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835B4A" w14:textId="0D449D2A" w:rsidR="00A53167" w:rsidRPr="00AE47C6" w:rsidRDefault="00A53167" w:rsidP="00BE0B19">
      <w:pPr>
        <w:pBdr>
          <w:bottom w:val="single" w:sz="4" w:space="1" w:color="auto"/>
        </w:pBdr>
        <w:autoSpaceDN w:val="0"/>
        <w:spacing w:before="100" w:beforeAutospacing="1" w:after="100" w:afterAutospacing="1" w:line="240" w:lineRule="auto"/>
        <w:jc w:val="center"/>
        <w:rPr>
          <w:rFonts w:ascii="Times New Roman" w:hAnsi="Times New Roman"/>
          <w:b/>
          <w:sz w:val="24"/>
          <w:szCs w:val="24"/>
        </w:rPr>
      </w:pPr>
      <w:r w:rsidRPr="00AE47C6">
        <w:rPr>
          <w:rFonts w:ascii="Times New Roman" w:hAnsi="Times New Roman"/>
          <w:b/>
          <w:sz w:val="24"/>
          <w:szCs w:val="24"/>
        </w:rPr>
        <w:t>Национален съвет по цени и реимбурсиране на лекарствените продукти</w:t>
      </w:r>
    </w:p>
    <w:p w14:paraId="70D5CC34" w14:textId="3A6E605E" w:rsidR="00646C7E" w:rsidRPr="00AE47C6" w:rsidRDefault="00C74E8C" w:rsidP="00646C7E">
      <w:pPr>
        <w:spacing w:before="100" w:beforeAutospacing="1" w:after="100" w:afterAutospacing="1" w:line="240" w:lineRule="auto"/>
        <w:jc w:val="right"/>
        <w:rPr>
          <w:rFonts w:ascii="Times New Roman" w:hAnsi="Times New Roman"/>
          <w:b/>
          <w:sz w:val="28"/>
          <w:szCs w:val="28"/>
        </w:rPr>
      </w:pPr>
      <w:r>
        <w:rPr>
          <w:rFonts w:ascii="Times New Roman" w:hAnsi="Times New Roman"/>
          <w:b/>
          <w:sz w:val="28"/>
          <w:szCs w:val="28"/>
        </w:rPr>
        <w:t>Проект!</w:t>
      </w:r>
      <w:bookmarkStart w:id="0" w:name="_GoBack"/>
      <w:bookmarkEnd w:id="0"/>
    </w:p>
    <w:p w14:paraId="5507D110" w14:textId="77777777" w:rsidR="00646C7E" w:rsidRPr="00AE47C6" w:rsidRDefault="00646C7E" w:rsidP="00646C7E">
      <w:pPr>
        <w:spacing w:before="100" w:beforeAutospacing="1" w:after="100" w:afterAutospacing="1" w:line="240" w:lineRule="auto"/>
        <w:jc w:val="center"/>
        <w:rPr>
          <w:rFonts w:ascii="Times New Roman" w:hAnsi="Times New Roman"/>
          <w:b/>
          <w:sz w:val="28"/>
          <w:szCs w:val="28"/>
          <w:lang w:val="ru-RU"/>
        </w:rPr>
      </w:pPr>
    </w:p>
    <w:p w14:paraId="6949CD58" w14:textId="70B135C4" w:rsidR="00646C7E" w:rsidRPr="00AE47C6" w:rsidRDefault="00646C7E" w:rsidP="00646C7E">
      <w:pPr>
        <w:spacing w:before="100" w:beforeAutospacing="1" w:after="100" w:afterAutospacing="1" w:line="240" w:lineRule="auto"/>
        <w:jc w:val="center"/>
        <w:rPr>
          <w:rFonts w:ascii="Times New Roman" w:hAnsi="Times New Roman"/>
          <w:b/>
          <w:sz w:val="28"/>
          <w:szCs w:val="28"/>
        </w:rPr>
      </w:pPr>
      <w:r w:rsidRPr="00AE47C6">
        <w:rPr>
          <w:rFonts w:ascii="Times New Roman" w:hAnsi="Times New Roman"/>
          <w:b/>
          <w:sz w:val="28"/>
          <w:szCs w:val="28"/>
          <w:lang w:val="ru-RU"/>
        </w:rPr>
        <w:t xml:space="preserve">НАРЕДБА </w:t>
      </w:r>
    </w:p>
    <w:p w14:paraId="4F579B02" w14:textId="77777777" w:rsidR="00646C7E" w:rsidRPr="00AE47C6" w:rsidRDefault="00646C7E" w:rsidP="00646C7E">
      <w:pPr>
        <w:spacing w:after="0" w:line="240" w:lineRule="auto"/>
        <w:jc w:val="center"/>
        <w:rPr>
          <w:rFonts w:ascii="Times New Roman" w:hAnsi="Times New Roman"/>
          <w:b/>
          <w:iCs/>
          <w:sz w:val="24"/>
          <w:szCs w:val="24"/>
        </w:rPr>
      </w:pPr>
      <w:r w:rsidRPr="00AE47C6">
        <w:rPr>
          <w:rFonts w:ascii="Times New Roman" w:hAnsi="Times New Roman"/>
          <w:b/>
          <w:iCs/>
          <w:sz w:val="24"/>
          <w:szCs w:val="24"/>
        </w:rPr>
        <w:t xml:space="preserve">за изменение на Наредба №7 от 03.10.2019 г. за приемане на фармако-терапевтично ръководство </w:t>
      </w:r>
      <w:r w:rsidRPr="00AE47C6">
        <w:rPr>
          <w:rFonts w:ascii="Times New Roman" w:hAnsi="Times New Roman"/>
          <w:b/>
          <w:sz w:val="24"/>
          <w:szCs w:val="24"/>
          <w:lang w:eastAsia="en-GB"/>
        </w:rPr>
        <w:t>за лечение на неврологичните заболявания</w:t>
      </w:r>
    </w:p>
    <w:p w14:paraId="6EE28719" w14:textId="6789FE74" w:rsidR="00646C7E" w:rsidRPr="00AE47C6" w:rsidRDefault="00646C7E" w:rsidP="00646C7E">
      <w:pPr>
        <w:spacing w:after="0" w:line="240" w:lineRule="auto"/>
        <w:jc w:val="center"/>
        <w:rPr>
          <w:rFonts w:ascii="Times New Roman" w:hAnsi="Times New Roman"/>
          <w:b/>
          <w:iCs/>
          <w:sz w:val="24"/>
          <w:szCs w:val="24"/>
        </w:rPr>
      </w:pPr>
      <w:r w:rsidRPr="00AE47C6">
        <w:rPr>
          <w:rFonts w:ascii="Times New Roman" w:eastAsia="Calibri" w:hAnsi="Times New Roman"/>
          <w:b/>
          <w:sz w:val="24"/>
          <w:szCs w:val="24"/>
          <w:lang w:val="en-US"/>
        </w:rPr>
        <w:t>(</w:t>
      </w:r>
      <w:r w:rsidRPr="00AE47C6">
        <w:rPr>
          <w:rFonts w:ascii="Times New Roman" w:eastAsia="Calibri" w:hAnsi="Times New Roman"/>
          <w:b/>
          <w:sz w:val="24"/>
          <w:szCs w:val="24"/>
        </w:rPr>
        <w:t>обн. в ДВ, бр. 83 от 2019 г.</w:t>
      </w:r>
      <w:r w:rsidR="00A53167" w:rsidRPr="00AE47C6">
        <w:rPr>
          <w:rFonts w:ascii="Times New Roman" w:eastAsia="Calibri" w:hAnsi="Times New Roman"/>
          <w:b/>
          <w:sz w:val="24"/>
          <w:szCs w:val="24"/>
        </w:rPr>
        <w:t>,</w:t>
      </w:r>
      <w:r w:rsidR="00A53167" w:rsidRPr="00AE47C6">
        <w:rPr>
          <w:rFonts w:ascii="Times New Roman" w:hAnsi="Times New Roman"/>
          <w:sz w:val="24"/>
          <w:szCs w:val="24"/>
        </w:rPr>
        <w:t xml:space="preserve"> </w:t>
      </w:r>
      <w:r w:rsidR="00A53167" w:rsidRPr="00AE47C6">
        <w:rPr>
          <w:rFonts w:ascii="Times New Roman" w:eastAsia="Calibri" w:hAnsi="Times New Roman"/>
          <w:b/>
          <w:sz w:val="24"/>
          <w:szCs w:val="24"/>
        </w:rPr>
        <w:t>изм., ДВ, бр. 95 от 2020 г.</w:t>
      </w:r>
      <w:r w:rsidR="00BE0B19" w:rsidRPr="00AE47C6">
        <w:rPr>
          <w:rFonts w:ascii="Times New Roman" w:eastAsia="Calibri" w:hAnsi="Times New Roman"/>
          <w:b/>
          <w:sz w:val="24"/>
          <w:szCs w:val="24"/>
        </w:rPr>
        <w:t xml:space="preserve">, </w:t>
      </w:r>
      <w:r w:rsidR="00BE0B19" w:rsidRPr="00AE47C6">
        <w:rPr>
          <w:rFonts w:ascii="Times New Roman" w:eastAsia="Calibri" w:hAnsi="Times New Roman"/>
          <w:b/>
          <w:sz w:val="24"/>
          <w:szCs w:val="24"/>
          <w:lang w:val="ru-RU"/>
        </w:rPr>
        <w:t>бр. 45 от 2023 г.</w:t>
      </w:r>
      <w:r w:rsidRPr="00AE47C6">
        <w:rPr>
          <w:rFonts w:ascii="Times New Roman" w:eastAsia="Calibri" w:hAnsi="Times New Roman"/>
          <w:b/>
          <w:sz w:val="24"/>
          <w:szCs w:val="24"/>
        </w:rPr>
        <w:t>)</w:t>
      </w:r>
    </w:p>
    <w:p w14:paraId="0365AF17" w14:textId="77777777" w:rsidR="00646C7E" w:rsidRPr="00AE47C6" w:rsidRDefault="00646C7E" w:rsidP="00646C7E">
      <w:pPr>
        <w:spacing w:after="0" w:line="240" w:lineRule="auto"/>
        <w:rPr>
          <w:rFonts w:ascii="Times New Roman" w:hAnsi="Times New Roman"/>
          <w:b/>
          <w:iCs/>
          <w:sz w:val="24"/>
          <w:szCs w:val="24"/>
        </w:rPr>
      </w:pPr>
    </w:p>
    <w:p w14:paraId="6EFAB322" w14:textId="77777777" w:rsidR="00646C7E" w:rsidRPr="00AE47C6" w:rsidRDefault="00646C7E" w:rsidP="00646C7E">
      <w:pPr>
        <w:spacing w:after="0" w:line="240" w:lineRule="auto"/>
        <w:rPr>
          <w:rFonts w:ascii="Times New Roman" w:hAnsi="Times New Roman"/>
          <w:b/>
          <w:iCs/>
          <w:sz w:val="24"/>
          <w:szCs w:val="24"/>
        </w:rPr>
      </w:pPr>
    </w:p>
    <w:p w14:paraId="22B71EE2" w14:textId="77777777" w:rsidR="00646C7E" w:rsidRPr="00AE47C6" w:rsidRDefault="00646C7E" w:rsidP="00646C7E">
      <w:pPr>
        <w:spacing w:after="0" w:line="240" w:lineRule="auto"/>
        <w:jc w:val="both"/>
        <w:rPr>
          <w:rFonts w:ascii="Times New Roman" w:hAnsi="Times New Roman"/>
          <w:b/>
          <w:iCs/>
          <w:sz w:val="24"/>
          <w:szCs w:val="24"/>
        </w:rPr>
      </w:pPr>
    </w:p>
    <w:p w14:paraId="66287D92" w14:textId="77777777" w:rsidR="00646C7E" w:rsidRPr="00AE47C6" w:rsidRDefault="00646C7E" w:rsidP="00646C7E">
      <w:pPr>
        <w:spacing w:after="0" w:line="240" w:lineRule="auto"/>
        <w:jc w:val="both"/>
        <w:rPr>
          <w:rFonts w:ascii="Times New Roman" w:hAnsi="Times New Roman"/>
          <w:b/>
          <w:iCs/>
          <w:sz w:val="24"/>
          <w:szCs w:val="24"/>
        </w:rPr>
      </w:pPr>
    </w:p>
    <w:p w14:paraId="3A663018" w14:textId="77777777" w:rsidR="00646C7E" w:rsidRPr="00AE47C6" w:rsidRDefault="00646C7E" w:rsidP="00646C7E">
      <w:pPr>
        <w:spacing w:after="0" w:line="240" w:lineRule="auto"/>
        <w:jc w:val="both"/>
        <w:rPr>
          <w:rFonts w:ascii="Times New Roman" w:hAnsi="Times New Roman"/>
          <w:sz w:val="24"/>
          <w:szCs w:val="24"/>
        </w:rPr>
      </w:pPr>
      <w:r w:rsidRPr="00AE47C6">
        <w:rPr>
          <w:rFonts w:ascii="Times New Roman" w:hAnsi="Times New Roman"/>
          <w:b/>
          <w:iCs/>
          <w:sz w:val="24"/>
          <w:szCs w:val="24"/>
        </w:rPr>
        <w:t xml:space="preserve">§1. </w:t>
      </w:r>
      <w:r w:rsidRPr="00AE47C6">
        <w:rPr>
          <w:rFonts w:ascii="Times New Roman" w:hAnsi="Times New Roman"/>
          <w:iCs/>
          <w:sz w:val="24"/>
          <w:szCs w:val="24"/>
        </w:rPr>
        <w:t>Изменя се п</w:t>
      </w:r>
      <w:r w:rsidRPr="00AE47C6">
        <w:rPr>
          <w:rFonts w:ascii="Times New Roman" w:hAnsi="Times New Roman"/>
          <w:sz w:val="24"/>
          <w:szCs w:val="24"/>
        </w:rPr>
        <w:t>риложението към член единствен, което се публикува като притурка на интернет страницата на Държавен вестник.</w:t>
      </w:r>
    </w:p>
    <w:p w14:paraId="7D4FCB54" w14:textId="77777777" w:rsidR="00646C7E" w:rsidRPr="00AE47C6" w:rsidRDefault="00646C7E" w:rsidP="00646C7E">
      <w:pPr>
        <w:spacing w:after="0" w:line="240" w:lineRule="auto"/>
        <w:jc w:val="both"/>
        <w:rPr>
          <w:rFonts w:ascii="Times New Roman" w:hAnsi="Times New Roman"/>
          <w:sz w:val="24"/>
          <w:szCs w:val="24"/>
        </w:rPr>
      </w:pPr>
    </w:p>
    <w:p w14:paraId="793841B5" w14:textId="77777777" w:rsidR="00646C7E" w:rsidRPr="00AE47C6" w:rsidRDefault="00646C7E" w:rsidP="00646C7E">
      <w:pPr>
        <w:spacing w:after="0" w:line="240" w:lineRule="auto"/>
        <w:jc w:val="both"/>
        <w:rPr>
          <w:rFonts w:ascii="Times New Roman" w:hAnsi="Times New Roman"/>
          <w:sz w:val="24"/>
          <w:szCs w:val="24"/>
        </w:rPr>
      </w:pPr>
    </w:p>
    <w:p w14:paraId="7E3DC80B" w14:textId="77777777" w:rsidR="00646C7E" w:rsidRPr="00AE47C6" w:rsidRDefault="00646C7E" w:rsidP="00646C7E">
      <w:pPr>
        <w:spacing w:after="0" w:line="240" w:lineRule="auto"/>
        <w:jc w:val="both"/>
        <w:rPr>
          <w:rFonts w:ascii="Times New Roman" w:hAnsi="Times New Roman"/>
          <w:sz w:val="24"/>
          <w:szCs w:val="24"/>
        </w:rPr>
      </w:pPr>
    </w:p>
    <w:p w14:paraId="2330419D" w14:textId="77777777" w:rsidR="00646C7E" w:rsidRPr="00AE47C6" w:rsidRDefault="00646C7E" w:rsidP="00646C7E">
      <w:pPr>
        <w:spacing w:after="0" w:line="240" w:lineRule="auto"/>
        <w:jc w:val="both"/>
        <w:rPr>
          <w:rFonts w:ascii="Times New Roman" w:hAnsi="Times New Roman"/>
          <w:sz w:val="24"/>
          <w:szCs w:val="24"/>
        </w:rPr>
      </w:pPr>
    </w:p>
    <w:p w14:paraId="50B85FB9" w14:textId="77777777" w:rsidR="00A53167" w:rsidRPr="00AE47C6" w:rsidRDefault="00A53167" w:rsidP="00A53167">
      <w:pPr>
        <w:autoSpaceDN w:val="0"/>
        <w:spacing w:after="0" w:line="240" w:lineRule="auto"/>
        <w:jc w:val="center"/>
        <w:rPr>
          <w:rFonts w:ascii="Times New Roman" w:hAnsi="Times New Roman"/>
          <w:b/>
          <w:bCs/>
          <w:sz w:val="24"/>
          <w:szCs w:val="24"/>
          <w:lang w:val="ru-RU"/>
        </w:rPr>
      </w:pPr>
      <w:r w:rsidRPr="00AE47C6">
        <w:rPr>
          <w:rFonts w:ascii="Times New Roman" w:hAnsi="Times New Roman"/>
          <w:b/>
          <w:bCs/>
          <w:sz w:val="24"/>
          <w:szCs w:val="24"/>
          <w:lang w:val="ru-RU"/>
        </w:rPr>
        <w:t>Заключителна разпоредба</w:t>
      </w:r>
    </w:p>
    <w:p w14:paraId="4C3D0FE7" w14:textId="77777777" w:rsidR="00A53167" w:rsidRPr="00AE47C6" w:rsidRDefault="00A53167" w:rsidP="00A53167">
      <w:pPr>
        <w:autoSpaceDN w:val="0"/>
        <w:spacing w:after="0" w:line="240" w:lineRule="auto"/>
        <w:jc w:val="center"/>
        <w:rPr>
          <w:rFonts w:ascii="Times New Roman" w:hAnsi="Times New Roman"/>
          <w:b/>
          <w:bCs/>
          <w:sz w:val="24"/>
          <w:szCs w:val="24"/>
          <w:lang w:val="ru-RU"/>
        </w:rPr>
      </w:pPr>
    </w:p>
    <w:p w14:paraId="5D97E6A2" w14:textId="3BB51655" w:rsidR="00A53167" w:rsidRPr="00AE47C6" w:rsidRDefault="00A53167" w:rsidP="00A53167">
      <w:pPr>
        <w:autoSpaceDN w:val="0"/>
        <w:spacing w:after="0" w:line="240" w:lineRule="auto"/>
        <w:jc w:val="both"/>
        <w:rPr>
          <w:rFonts w:ascii="Times New Roman" w:hAnsi="Times New Roman"/>
          <w:b/>
          <w:bCs/>
          <w:sz w:val="24"/>
          <w:szCs w:val="24"/>
          <w:lang w:val="ru-RU"/>
        </w:rPr>
      </w:pPr>
      <w:r w:rsidRPr="00AE47C6">
        <w:rPr>
          <w:rFonts w:ascii="Times New Roman" w:hAnsi="Times New Roman"/>
          <w:b/>
          <w:bCs/>
          <w:sz w:val="24"/>
          <w:szCs w:val="24"/>
          <w:lang w:val="ru-RU"/>
        </w:rPr>
        <w:t xml:space="preserve">§2. </w:t>
      </w:r>
      <w:r w:rsidRPr="00AE47C6">
        <w:rPr>
          <w:rFonts w:ascii="Times New Roman" w:hAnsi="Times New Roman"/>
          <w:bCs/>
          <w:sz w:val="24"/>
          <w:szCs w:val="24"/>
          <w:lang w:val="ru-RU"/>
        </w:rPr>
        <w:t xml:space="preserve">Наредбата е приета с Решение на Националния съвет по цени и реимбурсиране на лекарствените продукти, прието съгласно протокол № </w:t>
      </w:r>
      <w:r w:rsidR="00BE0B19" w:rsidRPr="00AE47C6">
        <w:rPr>
          <w:rFonts w:ascii="Times New Roman" w:hAnsi="Times New Roman"/>
          <w:bCs/>
          <w:sz w:val="24"/>
          <w:szCs w:val="24"/>
          <w:lang w:val="en-US"/>
        </w:rPr>
        <w:t>…</w:t>
      </w:r>
      <w:r w:rsidR="00BE0B19" w:rsidRPr="00AE47C6">
        <w:rPr>
          <w:rFonts w:ascii="Times New Roman" w:hAnsi="Times New Roman"/>
          <w:bCs/>
          <w:sz w:val="24"/>
          <w:szCs w:val="24"/>
        </w:rPr>
        <w:t>….</w:t>
      </w:r>
      <w:r w:rsidRPr="00AE47C6">
        <w:rPr>
          <w:rFonts w:ascii="Times New Roman" w:hAnsi="Times New Roman"/>
          <w:bCs/>
          <w:sz w:val="24"/>
          <w:szCs w:val="24"/>
          <w:lang w:val="ru-RU"/>
        </w:rPr>
        <w:t xml:space="preserve"> от </w:t>
      </w:r>
      <w:r w:rsidR="00BE0B19" w:rsidRPr="00AE47C6">
        <w:rPr>
          <w:rFonts w:ascii="Times New Roman" w:hAnsi="Times New Roman"/>
          <w:bCs/>
          <w:sz w:val="24"/>
          <w:szCs w:val="24"/>
          <w:lang w:val="en-US"/>
        </w:rPr>
        <w:t>…</w:t>
      </w:r>
      <w:r w:rsidR="00BE0B19" w:rsidRPr="00AE47C6">
        <w:rPr>
          <w:rFonts w:ascii="Times New Roman" w:hAnsi="Times New Roman"/>
          <w:bCs/>
          <w:sz w:val="24"/>
          <w:szCs w:val="24"/>
        </w:rPr>
        <w:t>….</w:t>
      </w:r>
      <w:r w:rsidR="00BE0B19" w:rsidRPr="00AE47C6">
        <w:rPr>
          <w:rFonts w:ascii="Times New Roman" w:hAnsi="Times New Roman"/>
          <w:bCs/>
          <w:sz w:val="24"/>
          <w:szCs w:val="24"/>
          <w:lang w:val="en-US"/>
        </w:rPr>
        <w:t>.2024</w:t>
      </w:r>
      <w:r w:rsidRPr="00AE47C6">
        <w:rPr>
          <w:rFonts w:ascii="Times New Roman" w:hAnsi="Times New Roman"/>
          <w:bCs/>
          <w:sz w:val="24"/>
          <w:szCs w:val="24"/>
          <w:lang w:val="ru-RU"/>
        </w:rPr>
        <w:t xml:space="preserve"> г. </w:t>
      </w:r>
    </w:p>
    <w:p w14:paraId="2777CD43" w14:textId="77777777" w:rsidR="00A53167" w:rsidRPr="00AE47C6" w:rsidRDefault="00A53167" w:rsidP="00A53167">
      <w:pPr>
        <w:autoSpaceDN w:val="0"/>
        <w:spacing w:after="0" w:line="240" w:lineRule="auto"/>
        <w:rPr>
          <w:rFonts w:ascii="Times New Roman" w:hAnsi="Times New Roman"/>
          <w:b/>
          <w:bCs/>
          <w:sz w:val="24"/>
          <w:szCs w:val="24"/>
          <w:lang w:val="ru-RU"/>
        </w:rPr>
      </w:pPr>
    </w:p>
    <w:p w14:paraId="3A0A5935" w14:textId="77777777" w:rsidR="00A53167" w:rsidRPr="00AE47C6" w:rsidRDefault="00A53167" w:rsidP="00A53167">
      <w:pPr>
        <w:autoSpaceDN w:val="0"/>
        <w:spacing w:after="0" w:line="240" w:lineRule="auto"/>
        <w:rPr>
          <w:rFonts w:ascii="Times New Roman" w:hAnsi="Times New Roman"/>
          <w:b/>
          <w:bCs/>
          <w:sz w:val="24"/>
          <w:szCs w:val="24"/>
          <w:lang w:val="ru-RU"/>
        </w:rPr>
      </w:pPr>
    </w:p>
    <w:p w14:paraId="3A0D263D" w14:textId="77777777" w:rsidR="00A53167" w:rsidRPr="00AE47C6" w:rsidRDefault="00A53167" w:rsidP="00A53167">
      <w:pPr>
        <w:autoSpaceDN w:val="0"/>
        <w:spacing w:after="0" w:line="240" w:lineRule="auto"/>
        <w:rPr>
          <w:rFonts w:ascii="Times New Roman" w:hAnsi="Times New Roman"/>
          <w:b/>
          <w:bCs/>
          <w:sz w:val="24"/>
          <w:szCs w:val="24"/>
          <w:lang w:val="ru-RU"/>
        </w:rPr>
      </w:pPr>
    </w:p>
    <w:p w14:paraId="2580BFCA" w14:textId="77777777" w:rsidR="00A53167" w:rsidRPr="00AE47C6" w:rsidRDefault="00A53167" w:rsidP="00A53167">
      <w:pPr>
        <w:autoSpaceDN w:val="0"/>
        <w:spacing w:after="0" w:line="240" w:lineRule="auto"/>
        <w:rPr>
          <w:rFonts w:ascii="Times New Roman" w:hAnsi="Times New Roman"/>
          <w:b/>
          <w:bCs/>
          <w:sz w:val="24"/>
          <w:szCs w:val="24"/>
          <w:lang w:val="ru-RU"/>
        </w:rPr>
      </w:pPr>
    </w:p>
    <w:p w14:paraId="574A62C0" w14:textId="693D9275" w:rsidR="00A53167" w:rsidRPr="00AE47C6" w:rsidRDefault="00BE0B19" w:rsidP="00A53167">
      <w:pPr>
        <w:autoSpaceDN w:val="0"/>
        <w:spacing w:after="0" w:line="240" w:lineRule="auto"/>
        <w:rPr>
          <w:rFonts w:ascii="Times New Roman" w:hAnsi="Times New Roman"/>
          <w:b/>
          <w:bCs/>
          <w:sz w:val="24"/>
          <w:szCs w:val="24"/>
          <w:lang w:val="ru-RU"/>
        </w:rPr>
      </w:pPr>
      <w:r w:rsidRPr="00AE47C6">
        <w:rPr>
          <w:rFonts w:ascii="Times New Roman" w:hAnsi="Times New Roman"/>
          <w:b/>
          <w:bCs/>
          <w:sz w:val="24"/>
          <w:szCs w:val="24"/>
          <w:lang w:val="ru-RU"/>
        </w:rPr>
        <w:t>ДОЦ. СИЛВИЯ ТЕРЕЗОВА</w:t>
      </w:r>
    </w:p>
    <w:p w14:paraId="5BBB4CB2" w14:textId="77777777" w:rsidR="00A53167" w:rsidRPr="00AE47C6" w:rsidRDefault="00A53167" w:rsidP="00A53167">
      <w:pPr>
        <w:autoSpaceDN w:val="0"/>
        <w:spacing w:after="0" w:line="240" w:lineRule="auto"/>
        <w:rPr>
          <w:rFonts w:ascii="Times New Roman" w:hAnsi="Times New Roman"/>
          <w:b/>
          <w:bCs/>
          <w:sz w:val="24"/>
          <w:szCs w:val="24"/>
          <w:lang w:val="ru-RU"/>
        </w:rPr>
      </w:pPr>
    </w:p>
    <w:p w14:paraId="3B7A268D" w14:textId="77777777" w:rsidR="00A53167" w:rsidRPr="00AE47C6" w:rsidRDefault="00A53167" w:rsidP="00A53167">
      <w:pPr>
        <w:autoSpaceDN w:val="0"/>
        <w:spacing w:after="0" w:line="240" w:lineRule="auto"/>
        <w:rPr>
          <w:rFonts w:ascii="Times New Roman" w:hAnsi="Times New Roman"/>
          <w:b/>
          <w:bCs/>
          <w:sz w:val="24"/>
          <w:szCs w:val="24"/>
          <w:lang w:val="ru-RU"/>
        </w:rPr>
      </w:pPr>
      <w:r w:rsidRPr="00AE47C6">
        <w:rPr>
          <w:rFonts w:ascii="Times New Roman" w:hAnsi="Times New Roman"/>
          <w:b/>
          <w:bCs/>
          <w:sz w:val="24"/>
          <w:szCs w:val="24"/>
          <w:lang w:val="ru-RU"/>
        </w:rPr>
        <w:t>ПРЕДСЕДАТЕЛ</w:t>
      </w:r>
    </w:p>
    <w:p w14:paraId="2460448A" w14:textId="77777777" w:rsidR="00646C7E" w:rsidRPr="00AE47C6" w:rsidRDefault="00646C7E" w:rsidP="00646C7E">
      <w:pPr>
        <w:autoSpaceDN w:val="0"/>
        <w:spacing w:after="0" w:line="240" w:lineRule="auto"/>
        <w:rPr>
          <w:rFonts w:ascii="Times New Roman" w:eastAsia="Arial Unicode MS" w:hAnsi="Times New Roman"/>
          <w:b/>
          <w:bCs/>
          <w:sz w:val="24"/>
          <w:szCs w:val="24"/>
        </w:rPr>
      </w:pPr>
    </w:p>
    <w:p w14:paraId="1C32329C" w14:textId="77777777" w:rsidR="00646C7E" w:rsidRPr="00AE47C6" w:rsidRDefault="00646C7E" w:rsidP="00646C7E">
      <w:pPr>
        <w:autoSpaceDN w:val="0"/>
        <w:spacing w:after="0" w:line="240" w:lineRule="auto"/>
        <w:rPr>
          <w:rFonts w:ascii="Times New Roman" w:eastAsia="Arial Unicode MS" w:hAnsi="Times New Roman"/>
          <w:b/>
          <w:bCs/>
          <w:sz w:val="24"/>
          <w:szCs w:val="24"/>
        </w:rPr>
      </w:pPr>
    </w:p>
    <w:p w14:paraId="4CCC414B" w14:textId="49099B1C" w:rsidR="00646C7E" w:rsidRPr="00AE47C6" w:rsidRDefault="00646C7E" w:rsidP="00646C7E">
      <w:pPr>
        <w:autoSpaceDN w:val="0"/>
        <w:spacing w:after="0" w:line="240" w:lineRule="auto"/>
        <w:rPr>
          <w:rFonts w:ascii="Times New Roman" w:eastAsia="Arial Unicode MS" w:hAnsi="Times New Roman"/>
          <w:b/>
          <w:bCs/>
          <w:sz w:val="24"/>
          <w:szCs w:val="24"/>
        </w:rPr>
      </w:pPr>
    </w:p>
    <w:p w14:paraId="1090668E" w14:textId="63CDB1B0" w:rsidR="00A96180" w:rsidRPr="00AE47C6" w:rsidRDefault="00A96180" w:rsidP="00646C7E">
      <w:pPr>
        <w:autoSpaceDN w:val="0"/>
        <w:spacing w:after="0" w:line="240" w:lineRule="auto"/>
        <w:rPr>
          <w:rFonts w:ascii="Times New Roman" w:eastAsia="Arial Unicode MS" w:hAnsi="Times New Roman"/>
          <w:b/>
          <w:bCs/>
          <w:sz w:val="24"/>
          <w:szCs w:val="24"/>
        </w:rPr>
      </w:pPr>
    </w:p>
    <w:p w14:paraId="65268D4B" w14:textId="08D787F8" w:rsidR="00A96180" w:rsidRPr="00AE47C6" w:rsidRDefault="00A96180" w:rsidP="00646C7E">
      <w:pPr>
        <w:autoSpaceDN w:val="0"/>
        <w:spacing w:after="0" w:line="240" w:lineRule="auto"/>
        <w:rPr>
          <w:rFonts w:ascii="Times New Roman" w:eastAsia="Arial Unicode MS" w:hAnsi="Times New Roman"/>
          <w:b/>
          <w:bCs/>
          <w:sz w:val="24"/>
          <w:szCs w:val="24"/>
        </w:rPr>
      </w:pPr>
    </w:p>
    <w:p w14:paraId="4F87F0A9" w14:textId="0672020F" w:rsidR="00A96180" w:rsidRPr="00AE47C6" w:rsidRDefault="00A96180" w:rsidP="00646C7E">
      <w:pPr>
        <w:autoSpaceDN w:val="0"/>
        <w:spacing w:after="0" w:line="240" w:lineRule="auto"/>
        <w:rPr>
          <w:rFonts w:ascii="Times New Roman" w:eastAsia="Arial Unicode MS" w:hAnsi="Times New Roman"/>
          <w:b/>
          <w:bCs/>
          <w:sz w:val="24"/>
          <w:szCs w:val="24"/>
        </w:rPr>
      </w:pPr>
    </w:p>
    <w:p w14:paraId="5EC5A8BA" w14:textId="0C933C51" w:rsidR="00A96180" w:rsidRPr="00AE47C6" w:rsidRDefault="00A96180" w:rsidP="00646C7E">
      <w:pPr>
        <w:autoSpaceDN w:val="0"/>
        <w:spacing w:after="0" w:line="240" w:lineRule="auto"/>
        <w:rPr>
          <w:rFonts w:ascii="Times New Roman" w:eastAsia="Arial Unicode MS" w:hAnsi="Times New Roman"/>
          <w:b/>
          <w:bCs/>
          <w:sz w:val="24"/>
          <w:szCs w:val="24"/>
        </w:rPr>
      </w:pPr>
    </w:p>
    <w:p w14:paraId="67C99DF4" w14:textId="77777777" w:rsidR="00A96180" w:rsidRPr="00AE47C6" w:rsidRDefault="00A96180" w:rsidP="00A96180">
      <w:pPr>
        <w:spacing w:line="240" w:lineRule="auto"/>
        <w:rPr>
          <w:rFonts w:ascii="Times New Roman" w:hAnsi="Times New Roman"/>
          <w:b/>
          <w:sz w:val="20"/>
          <w:szCs w:val="20"/>
          <w:lang w:val="en-US"/>
        </w:rPr>
      </w:pPr>
      <w:r w:rsidRPr="00AE47C6">
        <w:rPr>
          <w:rFonts w:ascii="Times New Roman" w:hAnsi="Times New Roman"/>
          <w:b/>
          <w:sz w:val="20"/>
          <w:szCs w:val="20"/>
        </w:rPr>
        <w:t>Съгласувал:</w:t>
      </w:r>
    </w:p>
    <w:p w14:paraId="3CBD7F78" w14:textId="77777777" w:rsidR="00A96180" w:rsidRPr="00AE47C6" w:rsidRDefault="00A96180" w:rsidP="00A96180">
      <w:pPr>
        <w:spacing w:line="240" w:lineRule="auto"/>
        <w:rPr>
          <w:rFonts w:ascii="Times New Roman" w:hAnsi="Times New Roman"/>
          <w:sz w:val="20"/>
          <w:szCs w:val="20"/>
        </w:rPr>
      </w:pPr>
      <w:r w:rsidRPr="00AE47C6">
        <w:rPr>
          <w:rFonts w:ascii="Times New Roman" w:hAnsi="Times New Roman"/>
          <w:sz w:val="20"/>
          <w:szCs w:val="20"/>
        </w:rPr>
        <w:t>Юрист - член на Съвета</w:t>
      </w:r>
      <w:r w:rsidRPr="00AE47C6">
        <w:rPr>
          <w:rFonts w:ascii="Times New Roman" w:hAnsi="Times New Roman"/>
          <w:sz w:val="20"/>
          <w:szCs w:val="20"/>
        </w:rPr>
        <w:tab/>
        <w:t xml:space="preserve">                         ………………….................…………..</w:t>
      </w:r>
      <w:r w:rsidRPr="00AE47C6">
        <w:rPr>
          <w:rFonts w:ascii="Times New Roman" w:hAnsi="Times New Roman"/>
          <w:bCs/>
          <w:sz w:val="20"/>
          <w:szCs w:val="20"/>
        </w:rPr>
        <w:t xml:space="preserve">       </w:t>
      </w:r>
      <w:r w:rsidRPr="00AE47C6">
        <w:rPr>
          <w:rFonts w:ascii="Times New Roman" w:hAnsi="Times New Roman"/>
          <w:bCs/>
          <w:sz w:val="20"/>
          <w:szCs w:val="20"/>
          <w:lang w:val="en-US"/>
        </w:rPr>
        <w:t xml:space="preserve">           </w:t>
      </w:r>
    </w:p>
    <w:p w14:paraId="4CCFF2AA" w14:textId="77777777" w:rsidR="00A96180" w:rsidRPr="00AE47C6" w:rsidRDefault="00A96180" w:rsidP="00A96180">
      <w:pPr>
        <w:spacing w:line="240" w:lineRule="auto"/>
        <w:rPr>
          <w:rFonts w:ascii="Times New Roman" w:hAnsi="Times New Roman"/>
          <w:sz w:val="20"/>
          <w:szCs w:val="20"/>
        </w:rPr>
      </w:pPr>
      <w:r w:rsidRPr="00AE47C6">
        <w:rPr>
          <w:rFonts w:ascii="Times New Roman" w:hAnsi="Times New Roman"/>
          <w:sz w:val="20"/>
          <w:szCs w:val="20"/>
        </w:rPr>
        <w:t>маг.-фарм. Боряна Иванова, началник отдел „ОЗТ“ ………......………………</w:t>
      </w:r>
    </w:p>
    <w:p w14:paraId="609D35F4" w14:textId="77777777" w:rsidR="00A96180" w:rsidRPr="00AE47C6" w:rsidRDefault="00A96180" w:rsidP="00A96180">
      <w:pPr>
        <w:spacing w:line="240" w:lineRule="auto"/>
        <w:rPr>
          <w:rFonts w:ascii="Times New Roman" w:hAnsi="Times New Roman"/>
          <w:sz w:val="20"/>
          <w:szCs w:val="20"/>
        </w:rPr>
      </w:pPr>
      <w:r w:rsidRPr="00AE47C6">
        <w:rPr>
          <w:rFonts w:ascii="Times New Roman" w:hAnsi="Times New Roman"/>
          <w:sz w:val="20"/>
          <w:szCs w:val="20"/>
        </w:rPr>
        <w:t>Евдокия Тошева, началник отдел „УР“ …………….............................…………</w:t>
      </w:r>
    </w:p>
    <w:p w14:paraId="0A2BB573" w14:textId="77777777" w:rsidR="00A96180" w:rsidRPr="00AE47C6" w:rsidRDefault="00A96180" w:rsidP="00A96180">
      <w:pPr>
        <w:spacing w:line="240" w:lineRule="auto"/>
        <w:rPr>
          <w:rFonts w:ascii="Times New Roman" w:hAnsi="Times New Roman"/>
          <w:bCs/>
          <w:sz w:val="20"/>
          <w:szCs w:val="20"/>
        </w:rPr>
      </w:pPr>
      <w:r w:rsidRPr="00AE47C6">
        <w:rPr>
          <w:rFonts w:ascii="Times New Roman" w:hAnsi="Times New Roman"/>
          <w:b/>
          <w:sz w:val="20"/>
          <w:szCs w:val="20"/>
        </w:rPr>
        <w:t>Изготвили:</w:t>
      </w:r>
      <w:r w:rsidRPr="00AE47C6">
        <w:rPr>
          <w:rFonts w:ascii="Times New Roman" w:hAnsi="Times New Roman"/>
          <w:sz w:val="20"/>
          <w:szCs w:val="20"/>
        </w:rPr>
        <w:t xml:space="preserve"> </w:t>
      </w:r>
      <w:r w:rsidRPr="00AE47C6">
        <w:rPr>
          <w:rFonts w:ascii="Times New Roman" w:hAnsi="Times New Roman"/>
          <w:sz w:val="20"/>
          <w:szCs w:val="20"/>
          <w:lang w:val="en-US"/>
        </w:rPr>
        <w:t xml:space="preserve"> </w:t>
      </w:r>
      <w:r w:rsidRPr="00AE47C6">
        <w:rPr>
          <w:rFonts w:ascii="Times New Roman" w:hAnsi="Times New Roman"/>
          <w:sz w:val="20"/>
          <w:szCs w:val="20"/>
        </w:rPr>
        <w:t xml:space="preserve">Александрина Гигова,  гл. юрисконсулт </w:t>
      </w:r>
      <w:r w:rsidRPr="00AE47C6">
        <w:rPr>
          <w:rFonts w:ascii="Times New Roman" w:hAnsi="Times New Roman"/>
          <w:bCs/>
          <w:sz w:val="20"/>
          <w:szCs w:val="20"/>
        </w:rPr>
        <w:t>Д „УРОЗТ“</w:t>
      </w:r>
      <w:r w:rsidRPr="00AE47C6">
        <w:rPr>
          <w:rFonts w:ascii="Times New Roman" w:hAnsi="Times New Roman"/>
          <w:sz w:val="20"/>
          <w:szCs w:val="20"/>
        </w:rPr>
        <w:t xml:space="preserve"> ...........</w:t>
      </w:r>
      <w:r w:rsidRPr="00AE47C6">
        <w:rPr>
          <w:rFonts w:ascii="Times New Roman" w:hAnsi="Times New Roman"/>
          <w:bCs/>
          <w:sz w:val="20"/>
          <w:szCs w:val="20"/>
        </w:rPr>
        <w:t>……</w:t>
      </w:r>
    </w:p>
    <w:p w14:paraId="49DCAE28" w14:textId="77777777" w:rsidR="00A96180" w:rsidRPr="00AE47C6" w:rsidRDefault="00A96180" w:rsidP="00A96180">
      <w:pPr>
        <w:spacing w:line="240" w:lineRule="auto"/>
        <w:ind w:left="708"/>
        <w:rPr>
          <w:rFonts w:ascii="Times New Roman" w:hAnsi="Times New Roman"/>
          <w:sz w:val="24"/>
          <w:szCs w:val="24"/>
          <w:lang w:val="en-US"/>
        </w:rPr>
      </w:pPr>
      <w:r w:rsidRPr="00AE47C6">
        <w:rPr>
          <w:rFonts w:ascii="Times New Roman" w:hAnsi="Times New Roman"/>
          <w:bCs/>
          <w:sz w:val="20"/>
          <w:szCs w:val="20"/>
        </w:rPr>
        <w:t xml:space="preserve">         Зорница Димова, </w:t>
      </w:r>
      <w:r w:rsidRPr="00AE47C6">
        <w:rPr>
          <w:rFonts w:ascii="Times New Roman" w:hAnsi="Times New Roman"/>
          <w:sz w:val="20"/>
          <w:szCs w:val="20"/>
        </w:rPr>
        <w:t xml:space="preserve">гл. юрисконсулт </w:t>
      </w:r>
      <w:r w:rsidRPr="00AE47C6">
        <w:rPr>
          <w:rFonts w:ascii="Times New Roman" w:hAnsi="Times New Roman"/>
          <w:bCs/>
          <w:sz w:val="20"/>
          <w:szCs w:val="20"/>
        </w:rPr>
        <w:t>Д „УРОЗТ“  ............................</w:t>
      </w:r>
    </w:p>
    <w:p w14:paraId="52F1C40B" w14:textId="77777777" w:rsidR="00646C7E" w:rsidRPr="00AE47C6" w:rsidRDefault="00646C7E" w:rsidP="00646C7E">
      <w:pPr>
        <w:autoSpaceDN w:val="0"/>
        <w:spacing w:after="0" w:line="240" w:lineRule="auto"/>
        <w:rPr>
          <w:rFonts w:ascii="Times New Roman" w:eastAsia="Arial Unicode MS" w:hAnsi="Times New Roman"/>
          <w:b/>
          <w:bCs/>
          <w:sz w:val="24"/>
          <w:szCs w:val="24"/>
          <w:lang w:val="en-US"/>
        </w:rPr>
      </w:pPr>
    </w:p>
    <w:p w14:paraId="1FFAC61F" w14:textId="77777777" w:rsidR="00646C7E" w:rsidRPr="00AE47C6" w:rsidRDefault="00646C7E" w:rsidP="00646C7E">
      <w:pPr>
        <w:autoSpaceDN w:val="0"/>
        <w:spacing w:after="0" w:line="240" w:lineRule="auto"/>
        <w:rPr>
          <w:rFonts w:ascii="Times New Roman" w:eastAsia="Arial Unicode MS" w:hAnsi="Times New Roman"/>
          <w:b/>
          <w:bCs/>
          <w:sz w:val="24"/>
          <w:szCs w:val="24"/>
        </w:rPr>
      </w:pPr>
    </w:p>
    <w:p w14:paraId="1CDDF0C6" w14:textId="77777777" w:rsidR="00646C7E" w:rsidRPr="00AE47C6" w:rsidRDefault="00646C7E" w:rsidP="00646C7E">
      <w:pPr>
        <w:autoSpaceDN w:val="0"/>
        <w:spacing w:after="0" w:line="240" w:lineRule="auto"/>
        <w:rPr>
          <w:rFonts w:ascii="Times New Roman" w:eastAsia="Arial Unicode MS" w:hAnsi="Times New Roman"/>
          <w:b/>
          <w:bCs/>
          <w:sz w:val="24"/>
          <w:szCs w:val="24"/>
        </w:rPr>
      </w:pPr>
    </w:p>
    <w:p w14:paraId="141B552D" w14:textId="77777777" w:rsidR="003E29E8" w:rsidRPr="00AE47C6" w:rsidRDefault="003E29E8" w:rsidP="00646C7E">
      <w:pPr>
        <w:autoSpaceDN w:val="0"/>
        <w:spacing w:after="0" w:line="240" w:lineRule="auto"/>
        <w:rPr>
          <w:rFonts w:ascii="Times New Roman" w:eastAsia="Arial Unicode MS" w:hAnsi="Times New Roman"/>
          <w:b/>
          <w:bCs/>
          <w:sz w:val="24"/>
          <w:szCs w:val="24"/>
        </w:rPr>
      </w:pPr>
    </w:p>
    <w:p w14:paraId="779F6939" w14:textId="77777777" w:rsidR="003E29E8" w:rsidRPr="00AE47C6" w:rsidRDefault="003E29E8" w:rsidP="00646C7E">
      <w:pPr>
        <w:autoSpaceDN w:val="0"/>
        <w:spacing w:after="0" w:line="240" w:lineRule="auto"/>
        <w:rPr>
          <w:rFonts w:ascii="Times New Roman" w:eastAsia="Arial Unicode MS" w:hAnsi="Times New Roman"/>
          <w:b/>
          <w:bCs/>
          <w:sz w:val="24"/>
          <w:szCs w:val="24"/>
        </w:rPr>
      </w:pPr>
    </w:p>
    <w:p w14:paraId="3994B3A8" w14:textId="77777777" w:rsidR="003E29E8" w:rsidRPr="00AE47C6" w:rsidRDefault="003E29E8" w:rsidP="00646C7E">
      <w:pPr>
        <w:autoSpaceDN w:val="0"/>
        <w:spacing w:after="0" w:line="240" w:lineRule="auto"/>
        <w:rPr>
          <w:rFonts w:ascii="Times New Roman" w:eastAsia="Arial Unicode MS" w:hAnsi="Times New Roman"/>
          <w:b/>
          <w:bCs/>
          <w:sz w:val="24"/>
          <w:szCs w:val="24"/>
        </w:rPr>
      </w:pPr>
    </w:p>
    <w:p w14:paraId="096A8EF6" w14:textId="77777777" w:rsidR="00646C7E" w:rsidRPr="00AE47C6" w:rsidRDefault="00646C7E" w:rsidP="00646C7E">
      <w:pPr>
        <w:autoSpaceDN w:val="0"/>
        <w:spacing w:after="0" w:line="240" w:lineRule="auto"/>
        <w:rPr>
          <w:rFonts w:ascii="Times New Roman" w:eastAsia="Arial Unicode MS" w:hAnsi="Times New Roman"/>
          <w:b/>
          <w:bCs/>
          <w:sz w:val="24"/>
          <w:szCs w:val="24"/>
        </w:rPr>
      </w:pPr>
    </w:p>
    <w:p w14:paraId="57FB1B3A" w14:textId="77777777" w:rsidR="00646C7E" w:rsidRPr="00AE47C6" w:rsidRDefault="00646C7E" w:rsidP="00646C7E">
      <w:pPr>
        <w:autoSpaceDN w:val="0"/>
        <w:spacing w:after="0" w:line="240" w:lineRule="auto"/>
        <w:rPr>
          <w:rFonts w:ascii="Times New Roman" w:eastAsia="Arial Unicode MS" w:hAnsi="Times New Roman"/>
          <w:b/>
          <w:bCs/>
          <w:sz w:val="24"/>
          <w:szCs w:val="24"/>
        </w:rPr>
      </w:pPr>
    </w:p>
    <w:p w14:paraId="69412E63" w14:textId="77777777" w:rsidR="00646C7E" w:rsidRPr="00AE47C6" w:rsidRDefault="00646C7E" w:rsidP="00646C7E">
      <w:pPr>
        <w:widowControl w:val="0"/>
        <w:autoSpaceDE w:val="0"/>
        <w:autoSpaceDN w:val="0"/>
        <w:spacing w:after="0" w:line="240" w:lineRule="auto"/>
        <w:jc w:val="right"/>
        <w:rPr>
          <w:rFonts w:ascii="Times New Roman" w:hAnsi="Times New Roman"/>
          <w:b/>
          <w:i/>
          <w:sz w:val="24"/>
          <w:szCs w:val="24"/>
          <w:lang w:val="en-GB" w:eastAsia="en-GB"/>
        </w:rPr>
      </w:pPr>
      <w:r w:rsidRPr="00AE47C6">
        <w:rPr>
          <w:rFonts w:ascii="Times New Roman" w:hAnsi="Times New Roman"/>
          <w:b/>
          <w:i/>
          <w:sz w:val="24"/>
          <w:szCs w:val="24"/>
          <w:lang w:val="en-GB" w:eastAsia="en-GB"/>
        </w:rPr>
        <w:t>Приложение към член единствен</w:t>
      </w:r>
    </w:p>
    <w:p w14:paraId="049D86DA" w14:textId="77777777" w:rsidR="00646C7E" w:rsidRPr="00AE47C6" w:rsidRDefault="00646C7E" w:rsidP="00646C7E">
      <w:pPr>
        <w:widowControl w:val="0"/>
        <w:autoSpaceDE w:val="0"/>
        <w:autoSpaceDN w:val="0"/>
        <w:spacing w:after="0" w:line="240" w:lineRule="auto"/>
        <w:jc w:val="center"/>
        <w:rPr>
          <w:rFonts w:ascii="Times New Roman" w:hAnsi="Times New Roman"/>
          <w:b/>
          <w:sz w:val="40"/>
          <w:szCs w:val="40"/>
          <w:lang w:val="en-GB" w:eastAsia="en-GB"/>
        </w:rPr>
      </w:pPr>
    </w:p>
    <w:p w14:paraId="5B576C4B" w14:textId="77777777" w:rsidR="003E29E8" w:rsidRPr="00AE47C6" w:rsidRDefault="003E29E8" w:rsidP="003E29E8">
      <w:pPr>
        <w:pStyle w:val="Heading1"/>
        <w:spacing w:line="240" w:lineRule="auto"/>
        <w:jc w:val="center"/>
        <w:rPr>
          <w:rFonts w:ascii="Times New Roman" w:hAnsi="Times New Roman"/>
          <w:color w:val="auto"/>
          <w:sz w:val="36"/>
          <w:szCs w:val="36"/>
        </w:rPr>
      </w:pPr>
    </w:p>
    <w:p w14:paraId="43E2715B" w14:textId="77777777" w:rsidR="003E29E8" w:rsidRPr="00AE47C6" w:rsidRDefault="003E29E8" w:rsidP="003E29E8">
      <w:pPr>
        <w:pStyle w:val="Heading1"/>
        <w:spacing w:line="240" w:lineRule="auto"/>
        <w:jc w:val="center"/>
        <w:rPr>
          <w:rFonts w:ascii="Times New Roman" w:hAnsi="Times New Roman"/>
          <w:color w:val="auto"/>
          <w:sz w:val="36"/>
          <w:szCs w:val="36"/>
        </w:rPr>
      </w:pPr>
    </w:p>
    <w:p w14:paraId="0DD50B94" w14:textId="7E750052" w:rsidR="003E29E8" w:rsidRPr="00AE47C6" w:rsidRDefault="00253B25" w:rsidP="003E29E8">
      <w:pPr>
        <w:pStyle w:val="Heading1"/>
        <w:spacing w:line="240" w:lineRule="auto"/>
        <w:jc w:val="center"/>
        <w:rPr>
          <w:rFonts w:ascii="Times New Roman" w:hAnsi="Times New Roman"/>
          <w:color w:val="auto"/>
          <w:sz w:val="36"/>
          <w:szCs w:val="36"/>
        </w:rPr>
      </w:pPr>
      <w:bookmarkStart w:id="1" w:name="_Toc163832156"/>
      <w:bookmarkStart w:id="2" w:name="_Toc164075831"/>
      <w:r w:rsidRPr="00AE47C6">
        <w:rPr>
          <w:rFonts w:ascii="Times New Roman" w:hAnsi="Times New Roman"/>
          <w:color w:val="auto"/>
          <w:sz w:val="36"/>
          <w:szCs w:val="36"/>
        </w:rPr>
        <w:t>ФАРМАКО</w:t>
      </w:r>
      <w:r w:rsidR="003908B5" w:rsidRPr="00AE47C6">
        <w:rPr>
          <w:rFonts w:ascii="Times New Roman" w:hAnsi="Times New Roman"/>
          <w:color w:val="auto"/>
          <w:sz w:val="36"/>
          <w:szCs w:val="36"/>
        </w:rPr>
        <w:t>-</w:t>
      </w:r>
      <w:r w:rsidRPr="00AE47C6">
        <w:rPr>
          <w:rFonts w:ascii="Times New Roman" w:hAnsi="Times New Roman"/>
          <w:color w:val="auto"/>
          <w:sz w:val="36"/>
          <w:szCs w:val="36"/>
        </w:rPr>
        <w:t>ТЕРАПЕВТИЧНО РЪКОВОДСТВО</w:t>
      </w:r>
      <w:bookmarkEnd w:id="1"/>
      <w:bookmarkEnd w:id="2"/>
    </w:p>
    <w:p w14:paraId="04A95957" w14:textId="66D9DC4B" w:rsidR="00253B25" w:rsidRPr="00AE47C6" w:rsidRDefault="00253B25" w:rsidP="00646C7E">
      <w:pPr>
        <w:pStyle w:val="Heading1"/>
        <w:jc w:val="center"/>
        <w:rPr>
          <w:rFonts w:ascii="Times New Roman" w:hAnsi="Times New Roman"/>
          <w:color w:val="auto"/>
        </w:rPr>
      </w:pPr>
      <w:bookmarkStart w:id="3" w:name="_Toc163832157"/>
      <w:bookmarkStart w:id="4" w:name="_Toc164075832"/>
      <w:r w:rsidRPr="00AE47C6">
        <w:rPr>
          <w:rFonts w:ascii="Times New Roman" w:hAnsi="Times New Roman"/>
          <w:color w:val="auto"/>
        </w:rPr>
        <w:t>ЗА ЛЕЧЕНИЕ НА НЕВРОЛОГИЧНИТЕ ЗАБОЛЯВАНИЯ</w:t>
      </w:r>
      <w:bookmarkEnd w:id="3"/>
      <w:bookmarkEnd w:id="4"/>
    </w:p>
    <w:p w14:paraId="6FD5087D" w14:textId="4EE50BDA" w:rsidR="00253B25" w:rsidRPr="00AE47C6" w:rsidRDefault="00253B25" w:rsidP="00AF3E56">
      <w:pPr>
        <w:pStyle w:val="ListParagraph"/>
        <w:spacing w:after="0" w:line="360" w:lineRule="auto"/>
        <w:ind w:left="0"/>
        <w:jc w:val="center"/>
        <w:rPr>
          <w:rFonts w:ascii="Times New Roman" w:hAnsi="Times New Roman"/>
          <w:b/>
          <w:sz w:val="24"/>
          <w:szCs w:val="24"/>
        </w:rPr>
      </w:pPr>
    </w:p>
    <w:p w14:paraId="4B7F2CEE" w14:textId="234EB171" w:rsidR="00AE0DF3" w:rsidRPr="00AE47C6" w:rsidRDefault="00AE0DF3" w:rsidP="00AF3E56">
      <w:pPr>
        <w:spacing w:after="0" w:line="360" w:lineRule="auto"/>
        <w:jc w:val="both"/>
        <w:rPr>
          <w:rFonts w:ascii="Times New Roman" w:hAnsi="Times New Roman"/>
          <w:b/>
          <w:sz w:val="24"/>
          <w:szCs w:val="24"/>
        </w:rPr>
      </w:pPr>
    </w:p>
    <w:p w14:paraId="2DCB39F7" w14:textId="77777777" w:rsidR="00AE0DF3" w:rsidRPr="00AE47C6" w:rsidRDefault="00AE0DF3" w:rsidP="00AF3E56">
      <w:pPr>
        <w:spacing w:after="0" w:line="360" w:lineRule="auto"/>
        <w:jc w:val="both"/>
        <w:rPr>
          <w:rFonts w:ascii="Times New Roman" w:hAnsi="Times New Roman"/>
          <w:b/>
          <w:sz w:val="24"/>
          <w:szCs w:val="24"/>
        </w:rPr>
      </w:pPr>
    </w:p>
    <w:p w14:paraId="6559F7BD" w14:textId="77777777" w:rsidR="00AE0DF3" w:rsidRPr="00AE47C6" w:rsidRDefault="00AE0DF3" w:rsidP="00AF3E56">
      <w:pPr>
        <w:spacing w:after="0" w:line="360" w:lineRule="auto"/>
        <w:jc w:val="both"/>
        <w:rPr>
          <w:rFonts w:ascii="Times New Roman" w:hAnsi="Times New Roman"/>
          <w:b/>
          <w:sz w:val="24"/>
          <w:szCs w:val="24"/>
        </w:rPr>
      </w:pPr>
    </w:p>
    <w:p w14:paraId="6021AE12" w14:textId="77777777" w:rsidR="00AE0DF3" w:rsidRPr="00AE47C6" w:rsidRDefault="00AE0DF3" w:rsidP="00AF3E56">
      <w:pPr>
        <w:spacing w:after="0" w:line="360" w:lineRule="auto"/>
        <w:jc w:val="both"/>
        <w:rPr>
          <w:rFonts w:ascii="Times New Roman" w:hAnsi="Times New Roman"/>
          <w:b/>
          <w:sz w:val="24"/>
          <w:szCs w:val="24"/>
        </w:rPr>
      </w:pPr>
    </w:p>
    <w:p w14:paraId="6D253EB8" w14:textId="77777777" w:rsidR="00AE0DF3" w:rsidRPr="00AE47C6" w:rsidRDefault="00AE0DF3" w:rsidP="00AF3E56">
      <w:pPr>
        <w:spacing w:after="0" w:line="360" w:lineRule="auto"/>
        <w:jc w:val="both"/>
        <w:rPr>
          <w:rFonts w:ascii="Times New Roman" w:hAnsi="Times New Roman"/>
          <w:b/>
          <w:sz w:val="24"/>
          <w:szCs w:val="24"/>
        </w:rPr>
      </w:pPr>
    </w:p>
    <w:p w14:paraId="71821473" w14:textId="77777777" w:rsidR="00AE0DF3" w:rsidRPr="00AE47C6" w:rsidRDefault="00AE0DF3" w:rsidP="00AF3E56">
      <w:pPr>
        <w:spacing w:after="0" w:line="360" w:lineRule="auto"/>
        <w:jc w:val="both"/>
        <w:rPr>
          <w:rFonts w:ascii="Times New Roman" w:hAnsi="Times New Roman"/>
          <w:b/>
          <w:sz w:val="24"/>
          <w:szCs w:val="24"/>
        </w:rPr>
      </w:pPr>
    </w:p>
    <w:p w14:paraId="06CFA6C2" w14:textId="1521F57A" w:rsidR="00AE0DF3" w:rsidRPr="00AE47C6" w:rsidRDefault="00AE0DF3" w:rsidP="00AF3E56">
      <w:pPr>
        <w:spacing w:after="0" w:line="360" w:lineRule="auto"/>
        <w:jc w:val="both"/>
        <w:rPr>
          <w:rFonts w:ascii="Times New Roman" w:hAnsi="Times New Roman"/>
          <w:b/>
          <w:sz w:val="24"/>
          <w:szCs w:val="24"/>
        </w:rPr>
      </w:pPr>
    </w:p>
    <w:p w14:paraId="52D30569" w14:textId="313792E7" w:rsidR="00BE0B19" w:rsidRPr="00AE47C6" w:rsidRDefault="00BE0B19" w:rsidP="00AF3E56">
      <w:pPr>
        <w:spacing w:after="0" w:line="360" w:lineRule="auto"/>
        <w:jc w:val="both"/>
        <w:rPr>
          <w:rFonts w:ascii="Times New Roman" w:hAnsi="Times New Roman"/>
          <w:b/>
          <w:sz w:val="24"/>
          <w:szCs w:val="24"/>
        </w:rPr>
      </w:pPr>
    </w:p>
    <w:p w14:paraId="3C0B84AE" w14:textId="0B4C8C4D" w:rsidR="00BE0B19" w:rsidRPr="00AE47C6" w:rsidRDefault="00BE0B19" w:rsidP="00AF3E56">
      <w:pPr>
        <w:spacing w:after="0" w:line="360" w:lineRule="auto"/>
        <w:jc w:val="both"/>
        <w:rPr>
          <w:rFonts w:ascii="Times New Roman" w:hAnsi="Times New Roman"/>
          <w:b/>
          <w:sz w:val="24"/>
          <w:szCs w:val="24"/>
        </w:rPr>
      </w:pPr>
    </w:p>
    <w:p w14:paraId="12AF1B79" w14:textId="36500852" w:rsidR="00BE0B19" w:rsidRPr="00AE47C6" w:rsidRDefault="00BE0B19" w:rsidP="00AF3E56">
      <w:pPr>
        <w:spacing w:after="0" w:line="360" w:lineRule="auto"/>
        <w:jc w:val="both"/>
        <w:rPr>
          <w:rFonts w:ascii="Times New Roman" w:hAnsi="Times New Roman"/>
          <w:b/>
          <w:sz w:val="24"/>
          <w:szCs w:val="24"/>
        </w:rPr>
      </w:pPr>
    </w:p>
    <w:p w14:paraId="375C118C" w14:textId="7A4EFDC3" w:rsidR="00BE0B19" w:rsidRPr="00AE47C6" w:rsidRDefault="00BE0B19" w:rsidP="00AF3E56">
      <w:pPr>
        <w:spacing w:after="0" w:line="360" w:lineRule="auto"/>
        <w:jc w:val="both"/>
        <w:rPr>
          <w:rFonts w:ascii="Times New Roman" w:hAnsi="Times New Roman"/>
          <w:b/>
          <w:sz w:val="24"/>
          <w:szCs w:val="24"/>
        </w:rPr>
      </w:pPr>
    </w:p>
    <w:p w14:paraId="436A0A4A" w14:textId="6BF70151" w:rsidR="00BE0B19" w:rsidRPr="00AE47C6" w:rsidRDefault="00BE0B19" w:rsidP="00AF3E56">
      <w:pPr>
        <w:spacing w:after="0" w:line="360" w:lineRule="auto"/>
        <w:jc w:val="both"/>
        <w:rPr>
          <w:rFonts w:ascii="Times New Roman" w:hAnsi="Times New Roman"/>
          <w:b/>
          <w:sz w:val="24"/>
          <w:szCs w:val="24"/>
        </w:rPr>
      </w:pPr>
    </w:p>
    <w:p w14:paraId="7DFA771C" w14:textId="6E699CDD" w:rsidR="00BE0B19" w:rsidRPr="00AE47C6" w:rsidRDefault="00BE0B19" w:rsidP="00AF3E56">
      <w:pPr>
        <w:spacing w:after="0" w:line="360" w:lineRule="auto"/>
        <w:jc w:val="both"/>
        <w:rPr>
          <w:rFonts w:ascii="Times New Roman" w:hAnsi="Times New Roman"/>
          <w:b/>
          <w:sz w:val="24"/>
          <w:szCs w:val="24"/>
        </w:rPr>
      </w:pPr>
    </w:p>
    <w:p w14:paraId="64B3AB2A" w14:textId="10944D2E" w:rsidR="00BE0B19" w:rsidRPr="00AE47C6" w:rsidRDefault="00BE0B19" w:rsidP="00AF3E56">
      <w:pPr>
        <w:spacing w:after="0" w:line="360" w:lineRule="auto"/>
        <w:jc w:val="both"/>
        <w:rPr>
          <w:rFonts w:ascii="Times New Roman" w:hAnsi="Times New Roman"/>
          <w:b/>
          <w:sz w:val="24"/>
          <w:szCs w:val="24"/>
        </w:rPr>
      </w:pPr>
    </w:p>
    <w:p w14:paraId="246191B7" w14:textId="4728C2F5" w:rsidR="00BE0B19" w:rsidRPr="00AE47C6" w:rsidRDefault="00BE0B19" w:rsidP="00AF3E56">
      <w:pPr>
        <w:spacing w:after="0" w:line="360" w:lineRule="auto"/>
        <w:jc w:val="both"/>
        <w:rPr>
          <w:rFonts w:ascii="Times New Roman" w:hAnsi="Times New Roman"/>
          <w:b/>
          <w:sz w:val="24"/>
          <w:szCs w:val="24"/>
        </w:rPr>
      </w:pPr>
    </w:p>
    <w:p w14:paraId="01CC0A79" w14:textId="472CB7CC" w:rsidR="00BE0B19" w:rsidRPr="00AE47C6" w:rsidRDefault="00BE0B19" w:rsidP="00AF3E56">
      <w:pPr>
        <w:spacing w:after="0" w:line="360" w:lineRule="auto"/>
        <w:jc w:val="both"/>
        <w:rPr>
          <w:rFonts w:ascii="Times New Roman" w:hAnsi="Times New Roman"/>
          <w:b/>
          <w:sz w:val="24"/>
          <w:szCs w:val="24"/>
        </w:rPr>
      </w:pPr>
    </w:p>
    <w:p w14:paraId="1993F883" w14:textId="238E511C" w:rsidR="00BE0B19" w:rsidRPr="00AE47C6" w:rsidRDefault="00BE0B19" w:rsidP="00AF3E56">
      <w:pPr>
        <w:spacing w:after="0" w:line="360" w:lineRule="auto"/>
        <w:jc w:val="both"/>
        <w:rPr>
          <w:rFonts w:ascii="Times New Roman" w:hAnsi="Times New Roman"/>
          <w:b/>
          <w:sz w:val="24"/>
          <w:szCs w:val="24"/>
        </w:rPr>
      </w:pPr>
    </w:p>
    <w:p w14:paraId="25CA5738" w14:textId="45C35B33" w:rsidR="00BE0B19" w:rsidRPr="00AE47C6" w:rsidRDefault="00BE0B19" w:rsidP="00AF3E56">
      <w:pPr>
        <w:spacing w:after="0" w:line="360" w:lineRule="auto"/>
        <w:jc w:val="both"/>
        <w:rPr>
          <w:rFonts w:ascii="Times New Roman" w:hAnsi="Times New Roman"/>
          <w:b/>
          <w:sz w:val="24"/>
          <w:szCs w:val="24"/>
        </w:rPr>
      </w:pPr>
    </w:p>
    <w:p w14:paraId="2A0904A8" w14:textId="77777777" w:rsidR="00BE0B19" w:rsidRPr="00AE47C6" w:rsidRDefault="00BE0B19" w:rsidP="00BE0B19">
      <w:pPr>
        <w:tabs>
          <w:tab w:val="left" w:pos="720"/>
        </w:tabs>
        <w:suppressAutoHyphens/>
        <w:spacing w:after="0" w:line="240" w:lineRule="auto"/>
        <w:rPr>
          <w:rFonts w:ascii="Times New Roman" w:eastAsia="SimSun" w:hAnsi="Times New Roman"/>
          <w:sz w:val="24"/>
          <w:szCs w:val="24"/>
          <w:lang w:eastAsia="bg-BG"/>
        </w:rPr>
        <w:sectPr w:rsidR="00BE0B19" w:rsidRPr="00AE47C6" w:rsidSect="00AD72E5">
          <w:headerReference w:type="first" r:id="rId8"/>
          <w:footerReference w:type="first" r:id="rId9"/>
          <w:pgSz w:w="11906" w:h="16838"/>
          <w:pgMar w:top="1701" w:right="1418" w:bottom="1134" w:left="1418" w:header="709" w:footer="709" w:gutter="0"/>
          <w:pgNumType w:start="0"/>
          <w:cols w:space="708"/>
          <w:titlePg/>
          <w:docGrid w:linePitch="360"/>
        </w:sectPr>
      </w:pPr>
    </w:p>
    <w:sdt>
      <w:sdtPr>
        <w:rPr>
          <w:rFonts w:ascii="Times New Roman" w:eastAsia="SimSun" w:hAnsi="Times New Roman"/>
        </w:rPr>
        <w:id w:val="2058050261"/>
        <w:docPartObj>
          <w:docPartGallery w:val="Table of Contents"/>
          <w:docPartUnique/>
        </w:docPartObj>
      </w:sdtPr>
      <w:sdtEndPr>
        <w:rPr>
          <w:b/>
          <w:bCs/>
          <w:noProof/>
        </w:rPr>
      </w:sdtEndPr>
      <w:sdtContent>
        <w:p w14:paraId="370473E7" w14:textId="77777777" w:rsidR="00BE0B19" w:rsidRPr="00AE47C6" w:rsidRDefault="00BE0B19" w:rsidP="00BE0B19">
          <w:pPr>
            <w:keepNext/>
            <w:keepLines/>
            <w:pageBreakBefore/>
            <w:spacing w:before="240" w:after="0" w:line="259" w:lineRule="auto"/>
            <w:rPr>
              <w:rFonts w:ascii="Times New Roman" w:eastAsiaTheme="majorEastAsia" w:hAnsi="Times New Roman"/>
              <w:b/>
              <w:bCs/>
              <w:sz w:val="28"/>
              <w:szCs w:val="32"/>
            </w:rPr>
          </w:pPr>
          <w:r w:rsidRPr="00AE47C6">
            <w:rPr>
              <w:rFonts w:ascii="Times New Roman" w:eastAsiaTheme="majorEastAsia" w:hAnsi="Times New Roman"/>
              <w:b/>
              <w:bCs/>
              <w:sz w:val="28"/>
              <w:szCs w:val="32"/>
            </w:rPr>
            <w:t>Съдържание</w:t>
          </w:r>
        </w:p>
        <w:p w14:paraId="5743A23A" w14:textId="4BD84ACE" w:rsidR="00AE47C6" w:rsidRPr="00DF3847" w:rsidRDefault="00BE0B19">
          <w:pPr>
            <w:pStyle w:val="TOC1"/>
            <w:rPr>
              <w:rFonts w:ascii="Times New Roman" w:eastAsiaTheme="minorEastAsia" w:hAnsi="Times New Roman"/>
              <w:b w:val="0"/>
              <w:noProof/>
              <w:sz w:val="22"/>
              <w:szCs w:val="22"/>
              <w:lang w:eastAsia="bg-BG"/>
            </w:rPr>
          </w:pPr>
          <w:r w:rsidRPr="00AE47C6">
            <w:rPr>
              <w:rFonts w:ascii="Times New Roman" w:eastAsia="SimSun" w:hAnsi="Times New Roman"/>
              <w:b w:val="0"/>
            </w:rPr>
            <w:fldChar w:fldCharType="begin"/>
          </w:r>
          <w:r w:rsidRPr="00AE47C6">
            <w:rPr>
              <w:rFonts w:ascii="Times New Roman" w:eastAsia="SimSun" w:hAnsi="Times New Roman"/>
            </w:rPr>
            <w:instrText xml:space="preserve"> TOC \o "1-3" \h \z \u </w:instrText>
          </w:r>
          <w:r w:rsidRPr="00AE47C6">
            <w:rPr>
              <w:rFonts w:ascii="Times New Roman" w:eastAsia="SimSun" w:hAnsi="Times New Roman"/>
              <w:b w:val="0"/>
            </w:rPr>
            <w:fldChar w:fldCharType="separate"/>
          </w:r>
          <w:hyperlink w:anchor="_Toc164075831" w:history="1">
            <w:r w:rsidR="00AE47C6" w:rsidRPr="00DF3847">
              <w:rPr>
                <w:rStyle w:val="Hyperlink"/>
                <w:rFonts w:ascii="Times New Roman" w:hAnsi="Times New Roman"/>
                <w:b w:val="0"/>
                <w:noProof/>
              </w:rPr>
              <w:t>ФАРМАКО-ТЕРАПЕВТИЧНО РЪКОВОДСТВО</w:t>
            </w:r>
            <w:r w:rsidR="00AE47C6" w:rsidRPr="00DF3847">
              <w:rPr>
                <w:rFonts w:ascii="Times New Roman" w:hAnsi="Times New Roman"/>
                <w:b w:val="0"/>
                <w:noProof/>
                <w:webHidden/>
              </w:rPr>
              <w:tab/>
            </w:r>
          </w:hyperlink>
        </w:p>
        <w:p w14:paraId="58B37910" w14:textId="43BA9248" w:rsidR="00AE47C6" w:rsidRPr="00DF3847" w:rsidRDefault="00C74E8C">
          <w:pPr>
            <w:pStyle w:val="TOC1"/>
            <w:rPr>
              <w:rFonts w:ascii="Times New Roman" w:eastAsiaTheme="minorEastAsia" w:hAnsi="Times New Roman"/>
              <w:b w:val="0"/>
              <w:noProof/>
              <w:sz w:val="22"/>
              <w:szCs w:val="22"/>
              <w:lang w:eastAsia="bg-BG"/>
            </w:rPr>
          </w:pPr>
          <w:hyperlink w:anchor="_Toc164075832" w:history="1">
            <w:r w:rsidR="00AE47C6" w:rsidRPr="00DF3847">
              <w:rPr>
                <w:rStyle w:val="Hyperlink"/>
                <w:rFonts w:ascii="Times New Roman" w:hAnsi="Times New Roman"/>
                <w:b w:val="0"/>
                <w:noProof/>
              </w:rPr>
              <w:t>ЗА ЛЕЧЕНИЕ НА НЕВРОЛОГИЧНИТЕ ЗАБОЛЯВАНИЯ</w:t>
            </w:r>
            <w:r w:rsidR="00AE47C6" w:rsidRPr="00DF3847">
              <w:rPr>
                <w:rFonts w:ascii="Times New Roman" w:hAnsi="Times New Roman"/>
                <w:b w:val="0"/>
                <w:noProof/>
                <w:webHidden/>
              </w:rPr>
              <w:tab/>
            </w:r>
          </w:hyperlink>
        </w:p>
        <w:p w14:paraId="78384D86" w14:textId="678ABF00" w:rsidR="00AE47C6" w:rsidRPr="00DF3847" w:rsidRDefault="00C74E8C">
          <w:pPr>
            <w:pStyle w:val="TOC1"/>
            <w:rPr>
              <w:rFonts w:ascii="Times New Roman" w:eastAsiaTheme="minorEastAsia" w:hAnsi="Times New Roman"/>
              <w:b w:val="0"/>
              <w:noProof/>
              <w:sz w:val="22"/>
              <w:szCs w:val="22"/>
              <w:lang w:eastAsia="bg-BG"/>
            </w:rPr>
          </w:pPr>
          <w:hyperlink w:anchor="_Toc164075833" w:history="1">
            <w:r w:rsidR="00AE47C6" w:rsidRPr="00DF3847">
              <w:rPr>
                <w:rStyle w:val="Hyperlink"/>
                <w:rFonts w:ascii="Times New Roman" w:eastAsia="SimSun" w:hAnsi="Times New Roman"/>
                <w:b w:val="0"/>
                <w:bCs/>
                <w:noProof/>
              </w:rPr>
              <w:t>1. Мозъчни инсулти</w:t>
            </w:r>
            <w:r w:rsidR="00AE47C6" w:rsidRPr="00DF3847">
              <w:rPr>
                <w:rFonts w:ascii="Times New Roman" w:hAnsi="Times New Roman"/>
                <w:b w:val="0"/>
                <w:noProof/>
                <w:webHidden/>
              </w:rPr>
              <w:tab/>
            </w:r>
          </w:hyperlink>
        </w:p>
        <w:p w14:paraId="23031168" w14:textId="50CE63F3" w:rsidR="00AE47C6" w:rsidRPr="00DF3847" w:rsidRDefault="00C74E8C">
          <w:pPr>
            <w:pStyle w:val="TOC2"/>
            <w:tabs>
              <w:tab w:val="right" w:leader="dot" w:pos="9060"/>
            </w:tabs>
            <w:rPr>
              <w:rFonts w:ascii="Times New Roman" w:eastAsiaTheme="minorEastAsia" w:hAnsi="Times New Roman"/>
              <w:noProof/>
              <w:lang w:eastAsia="bg-BG"/>
            </w:rPr>
          </w:pPr>
          <w:hyperlink w:anchor="_Toc164075834" w:history="1">
            <w:r w:rsidR="00AE47C6" w:rsidRPr="00DF3847">
              <w:rPr>
                <w:rStyle w:val="Hyperlink"/>
                <w:rFonts w:ascii="Times New Roman" w:eastAsia="SimSun" w:hAnsi="Times New Roman"/>
                <w:noProof/>
              </w:rPr>
              <w:t>1. 1. Диагностика</w:t>
            </w:r>
            <w:r w:rsidR="00AE47C6" w:rsidRPr="00DF3847">
              <w:rPr>
                <w:rFonts w:ascii="Times New Roman" w:hAnsi="Times New Roman"/>
                <w:noProof/>
                <w:webHidden/>
              </w:rPr>
              <w:tab/>
            </w:r>
          </w:hyperlink>
        </w:p>
        <w:p w14:paraId="47BF82D8" w14:textId="18DD5246" w:rsidR="00AE47C6" w:rsidRPr="00DF3847" w:rsidRDefault="00C74E8C">
          <w:pPr>
            <w:pStyle w:val="TOC2"/>
            <w:tabs>
              <w:tab w:val="right" w:leader="dot" w:pos="9060"/>
            </w:tabs>
            <w:rPr>
              <w:rFonts w:ascii="Times New Roman" w:eastAsiaTheme="minorEastAsia" w:hAnsi="Times New Roman"/>
              <w:noProof/>
              <w:lang w:eastAsia="bg-BG"/>
            </w:rPr>
          </w:pPr>
          <w:hyperlink w:anchor="_Toc164075835" w:history="1">
            <w:r w:rsidR="00AE47C6" w:rsidRPr="00DF3847">
              <w:rPr>
                <w:rStyle w:val="Hyperlink"/>
                <w:rFonts w:ascii="Times New Roman" w:eastAsia="SimSun" w:hAnsi="Times New Roman"/>
                <w:noProof/>
              </w:rPr>
              <w:t>1.2. Транзиторни исхемични атаки (ТИА)</w:t>
            </w:r>
            <w:r w:rsidR="00AE47C6" w:rsidRPr="00DF3847">
              <w:rPr>
                <w:rFonts w:ascii="Times New Roman" w:hAnsi="Times New Roman"/>
                <w:noProof/>
                <w:webHidden/>
              </w:rPr>
              <w:tab/>
            </w:r>
          </w:hyperlink>
        </w:p>
        <w:p w14:paraId="190B7DED" w14:textId="7DA9F79B" w:rsidR="00AE47C6" w:rsidRPr="00DF3847" w:rsidRDefault="00C74E8C">
          <w:pPr>
            <w:pStyle w:val="TOC2"/>
            <w:tabs>
              <w:tab w:val="right" w:leader="dot" w:pos="9060"/>
            </w:tabs>
            <w:rPr>
              <w:rFonts w:ascii="Times New Roman" w:eastAsiaTheme="minorEastAsia" w:hAnsi="Times New Roman"/>
              <w:noProof/>
              <w:lang w:eastAsia="bg-BG"/>
            </w:rPr>
          </w:pPr>
          <w:hyperlink w:anchor="_Toc164075836" w:history="1">
            <w:r w:rsidR="00AE47C6" w:rsidRPr="00DF3847">
              <w:rPr>
                <w:rStyle w:val="Hyperlink"/>
                <w:rFonts w:ascii="Times New Roman" w:eastAsia="SimSun" w:hAnsi="Times New Roman"/>
                <w:noProof/>
              </w:rPr>
              <w:t>1.3. Исхемичен мозъчен инсулт</w:t>
            </w:r>
            <w:r w:rsidR="00AE47C6" w:rsidRPr="00DF3847">
              <w:rPr>
                <w:rFonts w:ascii="Times New Roman" w:hAnsi="Times New Roman"/>
                <w:noProof/>
                <w:webHidden/>
              </w:rPr>
              <w:tab/>
            </w:r>
          </w:hyperlink>
        </w:p>
        <w:p w14:paraId="68EA9E53" w14:textId="7C8CEDA4" w:rsidR="00AE47C6" w:rsidRPr="00DF3847" w:rsidRDefault="00C74E8C">
          <w:pPr>
            <w:pStyle w:val="TOC3"/>
            <w:tabs>
              <w:tab w:val="right" w:leader="dot" w:pos="9060"/>
            </w:tabs>
            <w:rPr>
              <w:rFonts w:ascii="Times New Roman" w:eastAsiaTheme="minorEastAsia" w:hAnsi="Times New Roman"/>
              <w:noProof/>
              <w:lang w:eastAsia="bg-BG"/>
            </w:rPr>
          </w:pPr>
          <w:hyperlink w:anchor="_Toc164075837" w:history="1">
            <w:r w:rsidR="00AE47C6" w:rsidRPr="00DF3847">
              <w:rPr>
                <w:rStyle w:val="Hyperlink"/>
                <w:rFonts w:ascii="Times New Roman" w:eastAsia="SimSun" w:hAnsi="Times New Roman"/>
                <w:noProof/>
                <w:lang w:eastAsia="ja-JP"/>
              </w:rPr>
              <w:t>1.3.1. Етапи на диагностиката и лечението на исхемичните мозъчни инсулти</w:t>
            </w:r>
            <w:r w:rsidR="00AE47C6" w:rsidRPr="00DF3847">
              <w:rPr>
                <w:rFonts w:ascii="Times New Roman" w:hAnsi="Times New Roman"/>
                <w:noProof/>
                <w:webHidden/>
              </w:rPr>
              <w:tab/>
            </w:r>
          </w:hyperlink>
        </w:p>
        <w:p w14:paraId="0BC8BCF5" w14:textId="4585A1FE" w:rsidR="00AE47C6" w:rsidRPr="00DF3847" w:rsidRDefault="00C74E8C">
          <w:pPr>
            <w:pStyle w:val="TOC3"/>
            <w:tabs>
              <w:tab w:val="right" w:leader="dot" w:pos="9060"/>
            </w:tabs>
            <w:rPr>
              <w:rFonts w:ascii="Times New Roman" w:eastAsiaTheme="minorEastAsia" w:hAnsi="Times New Roman"/>
              <w:noProof/>
              <w:lang w:eastAsia="bg-BG"/>
            </w:rPr>
          </w:pPr>
          <w:hyperlink w:anchor="_Toc164075838" w:history="1">
            <w:r w:rsidR="00AE47C6" w:rsidRPr="00DF3847">
              <w:rPr>
                <w:rStyle w:val="Hyperlink"/>
                <w:rFonts w:ascii="Times New Roman" w:eastAsia="SimSun" w:hAnsi="Times New Roman"/>
                <w:noProof/>
              </w:rPr>
              <w:t>1.3.1.1. Диагностика</w:t>
            </w:r>
            <w:r w:rsidR="00AE47C6" w:rsidRPr="00DF3847">
              <w:rPr>
                <w:rFonts w:ascii="Times New Roman" w:hAnsi="Times New Roman"/>
                <w:noProof/>
                <w:webHidden/>
              </w:rPr>
              <w:tab/>
            </w:r>
          </w:hyperlink>
        </w:p>
        <w:p w14:paraId="2F05BE93" w14:textId="32A45907" w:rsidR="00AE47C6" w:rsidRPr="00DF3847" w:rsidRDefault="00C74E8C">
          <w:pPr>
            <w:pStyle w:val="TOC3"/>
            <w:tabs>
              <w:tab w:val="right" w:leader="dot" w:pos="9060"/>
            </w:tabs>
            <w:rPr>
              <w:rFonts w:ascii="Times New Roman" w:eastAsiaTheme="minorEastAsia" w:hAnsi="Times New Roman"/>
              <w:noProof/>
              <w:lang w:eastAsia="bg-BG"/>
            </w:rPr>
          </w:pPr>
          <w:hyperlink w:anchor="_Toc164075839" w:history="1">
            <w:r w:rsidR="00AE47C6" w:rsidRPr="00DF3847">
              <w:rPr>
                <w:rStyle w:val="Hyperlink"/>
                <w:rFonts w:ascii="Times New Roman" w:eastAsia="SimSun" w:hAnsi="Times New Roman"/>
                <w:noProof/>
              </w:rPr>
              <w:t>1.3.1.2. Лечение на исхемичните мозъчни инсулти</w:t>
            </w:r>
            <w:r w:rsidR="00AE47C6" w:rsidRPr="00DF3847">
              <w:rPr>
                <w:rFonts w:ascii="Times New Roman" w:hAnsi="Times New Roman"/>
                <w:noProof/>
                <w:webHidden/>
              </w:rPr>
              <w:tab/>
            </w:r>
          </w:hyperlink>
        </w:p>
        <w:p w14:paraId="0A6CD064" w14:textId="65F82D85" w:rsidR="00AE47C6" w:rsidRPr="00DF3847" w:rsidRDefault="00C74E8C">
          <w:pPr>
            <w:pStyle w:val="TOC2"/>
            <w:tabs>
              <w:tab w:val="right" w:leader="dot" w:pos="9060"/>
            </w:tabs>
            <w:rPr>
              <w:rFonts w:ascii="Times New Roman" w:eastAsiaTheme="minorEastAsia" w:hAnsi="Times New Roman"/>
              <w:noProof/>
              <w:lang w:eastAsia="bg-BG"/>
            </w:rPr>
          </w:pPr>
          <w:hyperlink w:anchor="_Toc164075840" w:history="1">
            <w:r w:rsidR="00AE47C6" w:rsidRPr="00DF3847">
              <w:rPr>
                <w:rStyle w:val="Hyperlink"/>
                <w:rFonts w:ascii="Times New Roman" w:eastAsia="SimSun" w:hAnsi="Times New Roman"/>
                <w:noProof/>
              </w:rPr>
              <w:t>1.4. Профилактика на мозъчните инсулти</w:t>
            </w:r>
            <w:r w:rsidR="00AE47C6" w:rsidRPr="00DF3847">
              <w:rPr>
                <w:rFonts w:ascii="Times New Roman" w:hAnsi="Times New Roman"/>
                <w:noProof/>
                <w:webHidden/>
              </w:rPr>
              <w:tab/>
            </w:r>
          </w:hyperlink>
        </w:p>
        <w:p w14:paraId="0B834EA5" w14:textId="7CF72832" w:rsidR="00AE47C6" w:rsidRPr="00DF3847" w:rsidRDefault="00C74E8C">
          <w:pPr>
            <w:pStyle w:val="TOC3"/>
            <w:tabs>
              <w:tab w:val="right" w:leader="dot" w:pos="9060"/>
            </w:tabs>
            <w:rPr>
              <w:rFonts w:ascii="Times New Roman" w:eastAsiaTheme="minorEastAsia" w:hAnsi="Times New Roman"/>
              <w:noProof/>
              <w:lang w:eastAsia="bg-BG"/>
            </w:rPr>
          </w:pPr>
          <w:hyperlink w:anchor="_Toc164075841" w:history="1">
            <w:r w:rsidR="00AE47C6" w:rsidRPr="00DF3847">
              <w:rPr>
                <w:rStyle w:val="Hyperlink"/>
                <w:rFonts w:ascii="Times New Roman" w:eastAsia="SimSun" w:hAnsi="Times New Roman"/>
                <w:noProof/>
                <w:lang w:eastAsia="ja-JP"/>
              </w:rPr>
              <w:t>1.4.1. Първична профилактика на мозъчните инсулти</w:t>
            </w:r>
            <w:r w:rsidR="00AE47C6" w:rsidRPr="00DF3847">
              <w:rPr>
                <w:rFonts w:ascii="Times New Roman" w:hAnsi="Times New Roman"/>
                <w:noProof/>
                <w:webHidden/>
              </w:rPr>
              <w:tab/>
            </w:r>
          </w:hyperlink>
        </w:p>
        <w:p w14:paraId="476CB9E7" w14:textId="30CE010C" w:rsidR="00AE47C6" w:rsidRPr="00DF3847" w:rsidRDefault="00C74E8C">
          <w:pPr>
            <w:pStyle w:val="TOC3"/>
            <w:tabs>
              <w:tab w:val="right" w:leader="dot" w:pos="9060"/>
            </w:tabs>
            <w:rPr>
              <w:rFonts w:ascii="Times New Roman" w:eastAsiaTheme="minorEastAsia" w:hAnsi="Times New Roman"/>
              <w:noProof/>
              <w:lang w:eastAsia="bg-BG"/>
            </w:rPr>
          </w:pPr>
          <w:hyperlink w:anchor="_Toc164075842" w:history="1">
            <w:r w:rsidR="00AE47C6" w:rsidRPr="00DF3847">
              <w:rPr>
                <w:rStyle w:val="Hyperlink"/>
                <w:rFonts w:ascii="Times New Roman" w:eastAsia="SimSun" w:hAnsi="Times New Roman"/>
                <w:noProof/>
                <w:lang w:eastAsia="ja-JP"/>
              </w:rPr>
              <w:t>1.4.2. Вторична профилактика на мозъчните инсулти</w:t>
            </w:r>
            <w:r w:rsidR="00AE47C6" w:rsidRPr="00DF3847">
              <w:rPr>
                <w:rFonts w:ascii="Times New Roman" w:hAnsi="Times New Roman"/>
                <w:noProof/>
                <w:webHidden/>
              </w:rPr>
              <w:tab/>
            </w:r>
          </w:hyperlink>
        </w:p>
        <w:p w14:paraId="3124A1F8" w14:textId="6A0AFF00" w:rsidR="00AE47C6" w:rsidRPr="00DF3847" w:rsidRDefault="00C74E8C">
          <w:pPr>
            <w:pStyle w:val="TOC2"/>
            <w:tabs>
              <w:tab w:val="right" w:leader="dot" w:pos="9060"/>
            </w:tabs>
            <w:rPr>
              <w:rFonts w:ascii="Times New Roman" w:eastAsiaTheme="minorEastAsia" w:hAnsi="Times New Roman"/>
              <w:noProof/>
              <w:lang w:eastAsia="bg-BG"/>
            </w:rPr>
          </w:pPr>
          <w:hyperlink w:anchor="_Toc164075843" w:history="1">
            <w:r w:rsidR="00AE47C6" w:rsidRPr="00DF3847">
              <w:rPr>
                <w:rStyle w:val="Hyperlink"/>
                <w:rFonts w:ascii="Times New Roman" w:eastAsia="SimSun" w:hAnsi="Times New Roman"/>
                <w:noProof/>
              </w:rPr>
              <w:t>1.5. Мозъчни кръвоизливи (МК)</w:t>
            </w:r>
            <w:r w:rsidR="00AE47C6" w:rsidRPr="00DF3847">
              <w:rPr>
                <w:rFonts w:ascii="Times New Roman" w:hAnsi="Times New Roman"/>
                <w:noProof/>
                <w:webHidden/>
              </w:rPr>
              <w:tab/>
            </w:r>
          </w:hyperlink>
        </w:p>
        <w:p w14:paraId="656672C5" w14:textId="42E59471" w:rsidR="00AE47C6" w:rsidRPr="00DF3847" w:rsidRDefault="00C74E8C">
          <w:pPr>
            <w:pStyle w:val="TOC3"/>
            <w:tabs>
              <w:tab w:val="right" w:leader="dot" w:pos="9060"/>
            </w:tabs>
            <w:rPr>
              <w:rFonts w:ascii="Times New Roman" w:eastAsiaTheme="minorEastAsia" w:hAnsi="Times New Roman"/>
              <w:noProof/>
              <w:lang w:eastAsia="bg-BG"/>
            </w:rPr>
          </w:pPr>
          <w:hyperlink w:anchor="_Toc164075844" w:history="1">
            <w:r w:rsidR="00AE47C6" w:rsidRPr="00DF3847">
              <w:rPr>
                <w:rStyle w:val="Hyperlink"/>
                <w:rFonts w:ascii="Times New Roman" w:eastAsia="SimSun" w:hAnsi="Times New Roman"/>
                <w:noProof/>
                <w:lang w:eastAsia="ja-JP"/>
              </w:rPr>
              <w:t>1.5.1. Паренхимни мозъчни кръвоизливи (ПМК)</w:t>
            </w:r>
            <w:r w:rsidR="00AE47C6" w:rsidRPr="00DF3847">
              <w:rPr>
                <w:rFonts w:ascii="Times New Roman" w:hAnsi="Times New Roman"/>
                <w:noProof/>
                <w:webHidden/>
              </w:rPr>
              <w:tab/>
            </w:r>
          </w:hyperlink>
        </w:p>
        <w:p w14:paraId="264DDAF1" w14:textId="7C7C8D09" w:rsidR="00AE47C6" w:rsidRPr="00DF3847" w:rsidRDefault="00C74E8C">
          <w:pPr>
            <w:pStyle w:val="TOC3"/>
            <w:tabs>
              <w:tab w:val="right" w:leader="dot" w:pos="9060"/>
            </w:tabs>
            <w:rPr>
              <w:rFonts w:ascii="Times New Roman" w:eastAsiaTheme="minorEastAsia" w:hAnsi="Times New Roman"/>
              <w:noProof/>
              <w:lang w:eastAsia="bg-BG"/>
            </w:rPr>
          </w:pPr>
          <w:hyperlink w:anchor="_Toc164075845" w:history="1">
            <w:r w:rsidR="00AE47C6" w:rsidRPr="00DF3847">
              <w:rPr>
                <w:rStyle w:val="Hyperlink"/>
                <w:rFonts w:ascii="Times New Roman" w:eastAsia="SimSun" w:hAnsi="Times New Roman"/>
                <w:noProof/>
                <w:lang w:eastAsia="ja-JP"/>
              </w:rPr>
              <w:t>1.5.2. Субарахноиден кръвоизлив (САК)</w:t>
            </w:r>
            <w:r w:rsidR="00AE47C6" w:rsidRPr="00DF3847">
              <w:rPr>
                <w:rFonts w:ascii="Times New Roman" w:hAnsi="Times New Roman"/>
                <w:noProof/>
                <w:webHidden/>
              </w:rPr>
              <w:tab/>
            </w:r>
          </w:hyperlink>
        </w:p>
        <w:p w14:paraId="13D50E32" w14:textId="513B983E" w:rsidR="00AE47C6" w:rsidRPr="00DF3847" w:rsidRDefault="00C74E8C">
          <w:pPr>
            <w:pStyle w:val="TOC2"/>
            <w:tabs>
              <w:tab w:val="right" w:leader="dot" w:pos="9060"/>
            </w:tabs>
            <w:rPr>
              <w:rFonts w:ascii="Times New Roman" w:eastAsiaTheme="minorEastAsia" w:hAnsi="Times New Roman"/>
              <w:noProof/>
              <w:lang w:eastAsia="bg-BG"/>
            </w:rPr>
          </w:pPr>
          <w:hyperlink w:anchor="_Toc164075846" w:history="1">
            <w:r w:rsidR="00AE47C6" w:rsidRPr="00DF3847">
              <w:rPr>
                <w:rStyle w:val="Hyperlink"/>
                <w:rFonts w:ascii="Times New Roman" w:eastAsia="SimSun" w:hAnsi="Times New Roman"/>
                <w:noProof/>
              </w:rPr>
              <w:t>1.6. Тромбози на мозъчните вени и д</w:t>
            </w:r>
            <w:r w:rsidR="00AE47C6" w:rsidRPr="00DF3847">
              <w:rPr>
                <w:rStyle w:val="Hyperlink"/>
                <w:rFonts w:ascii="Times New Roman" w:eastAsia="SimSun" w:hAnsi="Times New Roman"/>
                <w:noProof/>
                <w:spacing w:val="-10"/>
              </w:rPr>
              <w:t>урални синуси</w:t>
            </w:r>
            <w:r w:rsidR="00AE47C6" w:rsidRPr="00DF3847">
              <w:rPr>
                <w:rFonts w:ascii="Times New Roman" w:hAnsi="Times New Roman"/>
                <w:noProof/>
                <w:webHidden/>
              </w:rPr>
              <w:tab/>
            </w:r>
          </w:hyperlink>
        </w:p>
        <w:p w14:paraId="6F8E41F1" w14:textId="764C53AB" w:rsidR="00AE47C6" w:rsidRPr="00DF3847" w:rsidRDefault="00C74E8C">
          <w:pPr>
            <w:pStyle w:val="TOC2"/>
            <w:tabs>
              <w:tab w:val="right" w:leader="dot" w:pos="9060"/>
            </w:tabs>
            <w:rPr>
              <w:rFonts w:ascii="Times New Roman" w:eastAsiaTheme="minorEastAsia" w:hAnsi="Times New Roman"/>
              <w:noProof/>
              <w:lang w:eastAsia="bg-BG"/>
            </w:rPr>
          </w:pPr>
          <w:hyperlink w:anchor="_Toc164075847" w:history="1">
            <w:r w:rsidR="00AE47C6" w:rsidRPr="00DF3847">
              <w:rPr>
                <w:rStyle w:val="Hyperlink"/>
                <w:rFonts w:ascii="Times New Roman" w:eastAsia="SimSun" w:hAnsi="Times New Roman"/>
                <w:noProof/>
              </w:rPr>
              <w:t>1.7. Мозъчни аневризми и съдови малформации</w:t>
            </w:r>
            <w:r w:rsidR="00AE47C6" w:rsidRPr="00DF3847">
              <w:rPr>
                <w:rFonts w:ascii="Times New Roman" w:hAnsi="Times New Roman"/>
                <w:noProof/>
                <w:webHidden/>
              </w:rPr>
              <w:tab/>
            </w:r>
          </w:hyperlink>
        </w:p>
        <w:p w14:paraId="3F84BA14" w14:textId="6932BC75" w:rsidR="00AE47C6" w:rsidRPr="00DF3847" w:rsidRDefault="00C74E8C">
          <w:pPr>
            <w:pStyle w:val="TOC2"/>
            <w:tabs>
              <w:tab w:val="right" w:leader="dot" w:pos="9060"/>
            </w:tabs>
            <w:rPr>
              <w:rFonts w:ascii="Times New Roman" w:eastAsiaTheme="minorEastAsia" w:hAnsi="Times New Roman"/>
              <w:noProof/>
              <w:lang w:eastAsia="bg-BG"/>
            </w:rPr>
          </w:pPr>
          <w:hyperlink w:anchor="_Toc164075848" w:history="1">
            <w:r w:rsidR="00AE47C6" w:rsidRPr="00DF3847">
              <w:rPr>
                <w:rStyle w:val="Hyperlink"/>
                <w:rFonts w:ascii="Times New Roman" w:eastAsia="SimSun" w:hAnsi="Times New Roman"/>
                <w:noProof/>
              </w:rPr>
              <w:t>1.8. Остра хипертонична енцефалопатия</w:t>
            </w:r>
            <w:r w:rsidR="00AE47C6" w:rsidRPr="00DF3847">
              <w:rPr>
                <w:rFonts w:ascii="Times New Roman" w:hAnsi="Times New Roman"/>
                <w:noProof/>
                <w:webHidden/>
              </w:rPr>
              <w:tab/>
            </w:r>
          </w:hyperlink>
        </w:p>
        <w:p w14:paraId="61E37119" w14:textId="5A74BFBA" w:rsidR="00AE47C6" w:rsidRPr="00DF3847" w:rsidRDefault="00C74E8C">
          <w:pPr>
            <w:pStyle w:val="TOC1"/>
            <w:rPr>
              <w:rFonts w:ascii="Times New Roman" w:eastAsiaTheme="minorEastAsia" w:hAnsi="Times New Roman"/>
              <w:b w:val="0"/>
              <w:noProof/>
              <w:sz w:val="22"/>
              <w:szCs w:val="22"/>
              <w:lang w:eastAsia="bg-BG"/>
            </w:rPr>
          </w:pPr>
          <w:hyperlink w:anchor="_Toc164075849" w:history="1">
            <w:r w:rsidR="00AE47C6" w:rsidRPr="00DF3847">
              <w:rPr>
                <w:rStyle w:val="Hyperlink"/>
                <w:rFonts w:ascii="Times New Roman" w:eastAsia="SimSun" w:hAnsi="Times New Roman"/>
                <w:b w:val="0"/>
                <w:bCs/>
                <w:noProof/>
              </w:rPr>
              <w:t>2. Заболявания на периферната нервна система: неврити и невропатии</w:t>
            </w:r>
            <w:r w:rsidR="00AE47C6" w:rsidRPr="00DF3847">
              <w:rPr>
                <w:rFonts w:ascii="Times New Roman" w:hAnsi="Times New Roman"/>
                <w:b w:val="0"/>
                <w:noProof/>
                <w:webHidden/>
              </w:rPr>
              <w:tab/>
            </w:r>
          </w:hyperlink>
        </w:p>
        <w:p w14:paraId="6D76B222" w14:textId="4BEC19A3" w:rsidR="00AE47C6" w:rsidRPr="00DF3847" w:rsidRDefault="00C74E8C">
          <w:pPr>
            <w:pStyle w:val="TOC2"/>
            <w:tabs>
              <w:tab w:val="right" w:leader="dot" w:pos="9060"/>
            </w:tabs>
            <w:rPr>
              <w:rFonts w:ascii="Times New Roman" w:eastAsiaTheme="minorEastAsia" w:hAnsi="Times New Roman"/>
              <w:noProof/>
              <w:lang w:eastAsia="bg-BG"/>
            </w:rPr>
          </w:pPr>
          <w:hyperlink w:anchor="_Toc164075850" w:history="1">
            <w:r w:rsidR="00AE47C6" w:rsidRPr="00DF3847">
              <w:rPr>
                <w:rStyle w:val="Hyperlink"/>
                <w:rFonts w:ascii="Times New Roman" w:eastAsia="SimSun" w:hAnsi="Times New Roman"/>
                <w:noProof/>
              </w:rPr>
              <w:t>2.1. Мононевропатии</w:t>
            </w:r>
            <w:r w:rsidR="00AE47C6" w:rsidRPr="00DF3847">
              <w:rPr>
                <w:rFonts w:ascii="Times New Roman" w:hAnsi="Times New Roman"/>
                <w:noProof/>
                <w:webHidden/>
              </w:rPr>
              <w:tab/>
            </w:r>
          </w:hyperlink>
        </w:p>
        <w:p w14:paraId="7D9CAB53" w14:textId="3BA05E9A" w:rsidR="00AE47C6" w:rsidRPr="00DF3847" w:rsidRDefault="00C74E8C">
          <w:pPr>
            <w:pStyle w:val="TOC3"/>
            <w:tabs>
              <w:tab w:val="right" w:leader="dot" w:pos="9060"/>
            </w:tabs>
            <w:rPr>
              <w:rFonts w:ascii="Times New Roman" w:eastAsiaTheme="minorEastAsia" w:hAnsi="Times New Roman"/>
              <w:noProof/>
              <w:lang w:eastAsia="bg-BG"/>
            </w:rPr>
          </w:pPr>
          <w:hyperlink w:anchor="_Toc164075851" w:history="1">
            <w:r w:rsidR="00AE47C6" w:rsidRPr="00DF3847">
              <w:rPr>
                <w:rStyle w:val="Hyperlink"/>
                <w:rFonts w:ascii="Times New Roman" w:eastAsia="SimSun" w:hAnsi="Times New Roman"/>
                <w:noProof/>
                <w:lang w:eastAsia="ja-JP"/>
              </w:rPr>
              <w:t>2.1.1.Невралгии</w:t>
            </w:r>
            <w:r w:rsidR="00AE47C6" w:rsidRPr="00DF3847">
              <w:rPr>
                <w:rFonts w:ascii="Times New Roman" w:hAnsi="Times New Roman"/>
                <w:noProof/>
                <w:webHidden/>
              </w:rPr>
              <w:tab/>
            </w:r>
          </w:hyperlink>
        </w:p>
        <w:p w14:paraId="7E657B6C" w14:textId="125A125D" w:rsidR="00AE47C6" w:rsidRPr="00DF3847" w:rsidRDefault="00C74E8C">
          <w:pPr>
            <w:pStyle w:val="TOC3"/>
            <w:tabs>
              <w:tab w:val="right" w:leader="dot" w:pos="9060"/>
            </w:tabs>
            <w:rPr>
              <w:rFonts w:ascii="Times New Roman" w:eastAsiaTheme="minorEastAsia" w:hAnsi="Times New Roman"/>
              <w:noProof/>
              <w:lang w:eastAsia="bg-BG"/>
            </w:rPr>
          </w:pPr>
          <w:hyperlink w:anchor="_Toc164075852" w:history="1">
            <w:r w:rsidR="00AE47C6" w:rsidRPr="00DF3847">
              <w:rPr>
                <w:rStyle w:val="Hyperlink"/>
                <w:rFonts w:ascii="Times New Roman" w:eastAsia="SimSun" w:hAnsi="Times New Roman"/>
                <w:noProof/>
                <w:lang w:eastAsia="ja-JP"/>
              </w:rPr>
              <w:t>2.1.2. Мононеврити и мононевропатии</w:t>
            </w:r>
            <w:r w:rsidR="00AE47C6" w:rsidRPr="00DF3847">
              <w:rPr>
                <w:rFonts w:ascii="Times New Roman" w:hAnsi="Times New Roman"/>
                <w:noProof/>
                <w:webHidden/>
              </w:rPr>
              <w:tab/>
            </w:r>
          </w:hyperlink>
        </w:p>
        <w:p w14:paraId="163CCA35" w14:textId="247F3A27" w:rsidR="00AE47C6" w:rsidRPr="00DF3847" w:rsidRDefault="00C74E8C">
          <w:pPr>
            <w:pStyle w:val="TOC2"/>
            <w:tabs>
              <w:tab w:val="right" w:leader="dot" w:pos="9060"/>
            </w:tabs>
            <w:rPr>
              <w:rFonts w:ascii="Times New Roman" w:eastAsiaTheme="minorEastAsia" w:hAnsi="Times New Roman"/>
              <w:noProof/>
              <w:lang w:eastAsia="bg-BG"/>
            </w:rPr>
          </w:pPr>
          <w:hyperlink w:anchor="_Toc164075853" w:history="1">
            <w:r w:rsidR="00AE47C6" w:rsidRPr="00DF3847">
              <w:rPr>
                <w:rStyle w:val="Hyperlink"/>
                <w:rFonts w:ascii="Times New Roman" w:eastAsia="SimSun" w:hAnsi="Times New Roman"/>
                <w:noProof/>
              </w:rPr>
              <w:t>2.2. Полиневрити и полиневропатии</w:t>
            </w:r>
            <w:r w:rsidR="00AE47C6" w:rsidRPr="00DF3847">
              <w:rPr>
                <w:rFonts w:ascii="Times New Roman" w:hAnsi="Times New Roman"/>
                <w:noProof/>
                <w:webHidden/>
              </w:rPr>
              <w:tab/>
            </w:r>
          </w:hyperlink>
        </w:p>
        <w:p w14:paraId="3526235A" w14:textId="3FE69EC5" w:rsidR="00AE47C6" w:rsidRPr="00DF3847" w:rsidRDefault="00C74E8C">
          <w:pPr>
            <w:pStyle w:val="TOC3"/>
            <w:tabs>
              <w:tab w:val="right" w:leader="dot" w:pos="9060"/>
            </w:tabs>
            <w:rPr>
              <w:rFonts w:ascii="Times New Roman" w:eastAsiaTheme="minorEastAsia" w:hAnsi="Times New Roman"/>
              <w:noProof/>
              <w:lang w:eastAsia="bg-BG"/>
            </w:rPr>
          </w:pPr>
          <w:hyperlink w:anchor="_Toc164075854" w:history="1">
            <w:r w:rsidR="00AE47C6" w:rsidRPr="00DF3847">
              <w:rPr>
                <w:rStyle w:val="Hyperlink"/>
                <w:rFonts w:ascii="Times New Roman" w:eastAsia="SimSun" w:hAnsi="Times New Roman"/>
                <w:noProof/>
                <w:lang w:eastAsia="ja-JP"/>
              </w:rPr>
              <w:t>2.2.1. Възпалителни и демиелинизиращи полиневропатии.</w:t>
            </w:r>
            <w:r w:rsidR="00AE47C6" w:rsidRPr="00DF3847">
              <w:rPr>
                <w:rFonts w:ascii="Times New Roman" w:hAnsi="Times New Roman"/>
                <w:noProof/>
                <w:webHidden/>
              </w:rPr>
              <w:tab/>
            </w:r>
          </w:hyperlink>
        </w:p>
        <w:p w14:paraId="13271435" w14:textId="0D65B2AD" w:rsidR="00AE47C6" w:rsidRPr="00DF3847" w:rsidRDefault="00C74E8C">
          <w:pPr>
            <w:pStyle w:val="TOC3"/>
            <w:tabs>
              <w:tab w:val="right" w:leader="dot" w:pos="9060"/>
            </w:tabs>
            <w:rPr>
              <w:rFonts w:ascii="Times New Roman" w:eastAsiaTheme="minorEastAsia" w:hAnsi="Times New Roman"/>
              <w:noProof/>
              <w:lang w:eastAsia="bg-BG"/>
            </w:rPr>
          </w:pPr>
          <w:hyperlink w:anchor="_Toc164075855" w:history="1">
            <w:r w:rsidR="00AE47C6" w:rsidRPr="00DF3847">
              <w:rPr>
                <w:rStyle w:val="Hyperlink"/>
                <w:rFonts w:ascii="Times New Roman" w:eastAsia="SimSun" w:hAnsi="Times New Roman"/>
                <w:noProof/>
                <w:lang w:eastAsia="ja-JP"/>
              </w:rPr>
              <w:t>2.2.2. Полиневропатии, асоциирани с гамапатия (моноклонални протеини)</w:t>
            </w:r>
            <w:r w:rsidR="00AE47C6" w:rsidRPr="00DF3847">
              <w:rPr>
                <w:rFonts w:ascii="Times New Roman" w:hAnsi="Times New Roman"/>
                <w:noProof/>
                <w:webHidden/>
              </w:rPr>
              <w:tab/>
            </w:r>
          </w:hyperlink>
        </w:p>
        <w:p w14:paraId="5D3EE6EE" w14:textId="118458CA" w:rsidR="00AE47C6" w:rsidRPr="00DF3847" w:rsidRDefault="00C74E8C">
          <w:pPr>
            <w:pStyle w:val="TOC3"/>
            <w:tabs>
              <w:tab w:val="right" w:leader="dot" w:pos="9060"/>
            </w:tabs>
            <w:rPr>
              <w:rFonts w:ascii="Times New Roman" w:eastAsiaTheme="minorEastAsia" w:hAnsi="Times New Roman"/>
              <w:noProof/>
              <w:lang w:eastAsia="bg-BG"/>
            </w:rPr>
          </w:pPr>
          <w:hyperlink w:anchor="_Toc164075856" w:history="1">
            <w:r w:rsidR="00AE47C6" w:rsidRPr="00DF3847">
              <w:rPr>
                <w:rStyle w:val="Hyperlink"/>
                <w:rFonts w:ascii="Times New Roman" w:eastAsia="SimSun" w:hAnsi="Times New Roman"/>
                <w:noProof/>
                <w:lang w:eastAsia="ja-JP"/>
              </w:rPr>
              <w:t>2.2.3. Метаболитни полиневропатии</w:t>
            </w:r>
            <w:r w:rsidR="00AE47C6" w:rsidRPr="00DF3847">
              <w:rPr>
                <w:rFonts w:ascii="Times New Roman" w:hAnsi="Times New Roman"/>
                <w:noProof/>
                <w:webHidden/>
              </w:rPr>
              <w:tab/>
            </w:r>
          </w:hyperlink>
        </w:p>
        <w:p w14:paraId="512E22B5" w14:textId="1D4EEADE" w:rsidR="00AE47C6" w:rsidRPr="00DF3847" w:rsidRDefault="00C74E8C">
          <w:pPr>
            <w:pStyle w:val="TOC3"/>
            <w:tabs>
              <w:tab w:val="right" w:leader="dot" w:pos="9060"/>
            </w:tabs>
            <w:rPr>
              <w:rFonts w:ascii="Times New Roman" w:eastAsiaTheme="minorEastAsia" w:hAnsi="Times New Roman"/>
              <w:noProof/>
              <w:lang w:eastAsia="bg-BG"/>
            </w:rPr>
          </w:pPr>
          <w:hyperlink w:anchor="_Toc164075857" w:history="1">
            <w:r w:rsidR="00AE47C6" w:rsidRPr="00DF3847">
              <w:rPr>
                <w:rStyle w:val="Hyperlink"/>
                <w:rFonts w:ascii="Times New Roman" w:eastAsia="SimSun" w:hAnsi="Times New Roman"/>
                <w:noProof/>
                <w:lang w:eastAsia="ja-JP"/>
              </w:rPr>
              <w:t>2.2.4. Полиневропатии при първични и вторични васкулити</w:t>
            </w:r>
            <w:r w:rsidR="00AE47C6" w:rsidRPr="00DF3847">
              <w:rPr>
                <w:rFonts w:ascii="Times New Roman" w:hAnsi="Times New Roman"/>
                <w:noProof/>
                <w:webHidden/>
              </w:rPr>
              <w:tab/>
            </w:r>
          </w:hyperlink>
        </w:p>
        <w:p w14:paraId="71F66952" w14:textId="779503F0" w:rsidR="00AE47C6" w:rsidRPr="00DF3847" w:rsidRDefault="00C74E8C">
          <w:pPr>
            <w:pStyle w:val="TOC3"/>
            <w:tabs>
              <w:tab w:val="right" w:leader="dot" w:pos="9060"/>
            </w:tabs>
            <w:rPr>
              <w:rFonts w:ascii="Times New Roman" w:eastAsiaTheme="minorEastAsia" w:hAnsi="Times New Roman"/>
              <w:noProof/>
              <w:lang w:eastAsia="bg-BG"/>
            </w:rPr>
          </w:pPr>
          <w:hyperlink w:anchor="_Toc164075858" w:history="1">
            <w:r w:rsidR="00AE47C6" w:rsidRPr="00DF3847">
              <w:rPr>
                <w:rStyle w:val="Hyperlink"/>
                <w:rFonts w:ascii="Times New Roman" w:eastAsia="SimSun" w:hAnsi="Times New Roman"/>
                <w:noProof/>
                <w:lang w:eastAsia="ja-JP"/>
              </w:rPr>
              <w:t>2.2.5. Наследствени полиневропатии</w:t>
            </w:r>
            <w:r w:rsidR="00AE47C6" w:rsidRPr="00DF3847">
              <w:rPr>
                <w:rFonts w:ascii="Times New Roman" w:hAnsi="Times New Roman"/>
                <w:noProof/>
                <w:webHidden/>
              </w:rPr>
              <w:tab/>
            </w:r>
          </w:hyperlink>
        </w:p>
        <w:p w14:paraId="15335A64" w14:textId="2AC4FE5B" w:rsidR="00AE47C6" w:rsidRPr="00DF3847" w:rsidRDefault="00C74E8C">
          <w:pPr>
            <w:pStyle w:val="TOC3"/>
            <w:tabs>
              <w:tab w:val="right" w:leader="dot" w:pos="9060"/>
            </w:tabs>
            <w:rPr>
              <w:rFonts w:ascii="Times New Roman" w:eastAsiaTheme="minorEastAsia" w:hAnsi="Times New Roman"/>
              <w:noProof/>
              <w:lang w:eastAsia="bg-BG"/>
            </w:rPr>
          </w:pPr>
          <w:hyperlink w:anchor="_Toc164075859" w:history="1">
            <w:r w:rsidR="00AE47C6" w:rsidRPr="00DF3847">
              <w:rPr>
                <w:rStyle w:val="Hyperlink"/>
                <w:rFonts w:ascii="Times New Roman" w:eastAsia="SimSun" w:hAnsi="Times New Roman"/>
                <w:noProof/>
                <w:lang w:eastAsia="ja-JP"/>
              </w:rPr>
              <w:t>2.3. Плексити и плексопатии</w:t>
            </w:r>
            <w:r w:rsidR="00AE47C6" w:rsidRPr="00DF3847">
              <w:rPr>
                <w:rFonts w:ascii="Times New Roman" w:hAnsi="Times New Roman"/>
                <w:noProof/>
                <w:webHidden/>
              </w:rPr>
              <w:tab/>
            </w:r>
          </w:hyperlink>
        </w:p>
        <w:p w14:paraId="6E1F5B82" w14:textId="625EBFC0" w:rsidR="00AE47C6" w:rsidRPr="00DF3847" w:rsidRDefault="00C74E8C">
          <w:pPr>
            <w:pStyle w:val="TOC1"/>
            <w:rPr>
              <w:rFonts w:ascii="Times New Roman" w:eastAsiaTheme="minorEastAsia" w:hAnsi="Times New Roman"/>
              <w:b w:val="0"/>
              <w:noProof/>
              <w:sz w:val="22"/>
              <w:szCs w:val="22"/>
              <w:lang w:eastAsia="bg-BG"/>
            </w:rPr>
          </w:pPr>
          <w:hyperlink w:anchor="_Toc164075860" w:history="1">
            <w:r w:rsidR="00AE47C6" w:rsidRPr="00DF3847">
              <w:rPr>
                <w:rStyle w:val="Hyperlink"/>
                <w:rFonts w:ascii="Times New Roman" w:eastAsia="SimSun" w:hAnsi="Times New Roman"/>
                <w:b w:val="0"/>
                <w:bCs/>
                <w:noProof/>
              </w:rPr>
              <w:t>3. Диагностика и лечение на неврологично обусловените болки</w:t>
            </w:r>
            <w:r w:rsidR="00AE47C6" w:rsidRPr="00DF3847">
              <w:rPr>
                <w:rFonts w:ascii="Times New Roman" w:hAnsi="Times New Roman"/>
                <w:b w:val="0"/>
                <w:noProof/>
                <w:webHidden/>
              </w:rPr>
              <w:tab/>
            </w:r>
          </w:hyperlink>
        </w:p>
        <w:p w14:paraId="4406785F" w14:textId="67EF08A8" w:rsidR="00AE47C6" w:rsidRPr="00DF3847" w:rsidRDefault="00C74E8C">
          <w:pPr>
            <w:pStyle w:val="TOC2"/>
            <w:tabs>
              <w:tab w:val="right" w:leader="dot" w:pos="9060"/>
            </w:tabs>
            <w:rPr>
              <w:rFonts w:ascii="Times New Roman" w:eastAsiaTheme="minorEastAsia" w:hAnsi="Times New Roman"/>
              <w:noProof/>
              <w:lang w:eastAsia="bg-BG"/>
            </w:rPr>
          </w:pPr>
          <w:hyperlink w:anchor="_Toc164075861" w:history="1">
            <w:r w:rsidR="00AE47C6" w:rsidRPr="00DF3847">
              <w:rPr>
                <w:rStyle w:val="Hyperlink"/>
                <w:rFonts w:ascii="Times New Roman" w:eastAsia="SimSun" w:hAnsi="Times New Roman"/>
                <w:noProof/>
              </w:rPr>
              <w:t>3.1. Периферна невропатна болка</w:t>
            </w:r>
            <w:r w:rsidR="00AE47C6" w:rsidRPr="00DF3847">
              <w:rPr>
                <w:rFonts w:ascii="Times New Roman" w:hAnsi="Times New Roman"/>
                <w:noProof/>
                <w:webHidden/>
              </w:rPr>
              <w:tab/>
            </w:r>
          </w:hyperlink>
        </w:p>
        <w:p w14:paraId="4744AEF3" w14:textId="582C020D" w:rsidR="00AE47C6" w:rsidRPr="00DF3847" w:rsidRDefault="00C74E8C">
          <w:pPr>
            <w:pStyle w:val="TOC3"/>
            <w:tabs>
              <w:tab w:val="right" w:leader="dot" w:pos="9060"/>
            </w:tabs>
            <w:rPr>
              <w:rFonts w:ascii="Times New Roman" w:eastAsiaTheme="minorEastAsia" w:hAnsi="Times New Roman"/>
              <w:noProof/>
              <w:lang w:eastAsia="bg-BG"/>
            </w:rPr>
          </w:pPr>
          <w:hyperlink w:anchor="_Toc164075862" w:history="1">
            <w:r w:rsidR="00AE47C6" w:rsidRPr="00DF3847">
              <w:rPr>
                <w:rStyle w:val="Hyperlink"/>
                <w:rFonts w:ascii="Times New Roman" w:eastAsia="SimSun" w:hAnsi="Times New Roman"/>
                <w:noProof/>
                <w:lang w:eastAsia="ja-JP"/>
              </w:rPr>
              <w:t>3.1.1. Краниофациална болка</w:t>
            </w:r>
            <w:r w:rsidR="00AE47C6" w:rsidRPr="00DF3847">
              <w:rPr>
                <w:rFonts w:ascii="Times New Roman" w:hAnsi="Times New Roman"/>
                <w:noProof/>
                <w:webHidden/>
              </w:rPr>
              <w:tab/>
            </w:r>
          </w:hyperlink>
        </w:p>
        <w:p w14:paraId="30F88355" w14:textId="2B579194" w:rsidR="00AE47C6" w:rsidRPr="00DF3847" w:rsidRDefault="00C74E8C">
          <w:pPr>
            <w:pStyle w:val="TOC3"/>
            <w:tabs>
              <w:tab w:val="right" w:leader="dot" w:pos="9060"/>
            </w:tabs>
            <w:rPr>
              <w:rFonts w:ascii="Times New Roman" w:eastAsiaTheme="minorEastAsia" w:hAnsi="Times New Roman"/>
              <w:noProof/>
              <w:lang w:eastAsia="bg-BG"/>
            </w:rPr>
          </w:pPr>
          <w:hyperlink w:anchor="_Toc164075863" w:history="1">
            <w:r w:rsidR="00AE47C6" w:rsidRPr="00DF3847">
              <w:rPr>
                <w:rStyle w:val="Hyperlink"/>
                <w:rFonts w:ascii="Times New Roman" w:eastAsia="SimSun" w:hAnsi="Times New Roman"/>
                <w:noProof/>
                <w:lang w:eastAsia="ja-JP"/>
              </w:rPr>
              <w:t>3.1.2. Болки в гърба</w:t>
            </w:r>
            <w:r w:rsidR="00AE47C6" w:rsidRPr="00DF3847">
              <w:rPr>
                <w:rFonts w:ascii="Times New Roman" w:hAnsi="Times New Roman"/>
                <w:noProof/>
                <w:webHidden/>
              </w:rPr>
              <w:tab/>
            </w:r>
          </w:hyperlink>
        </w:p>
        <w:p w14:paraId="48D332AA" w14:textId="5978A0F9" w:rsidR="00AE47C6" w:rsidRPr="00DF3847" w:rsidRDefault="00C74E8C">
          <w:pPr>
            <w:pStyle w:val="TOC3"/>
            <w:tabs>
              <w:tab w:val="right" w:leader="dot" w:pos="9060"/>
            </w:tabs>
            <w:rPr>
              <w:rFonts w:ascii="Times New Roman" w:eastAsiaTheme="minorEastAsia" w:hAnsi="Times New Roman"/>
              <w:noProof/>
              <w:lang w:eastAsia="bg-BG"/>
            </w:rPr>
          </w:pPr>
          <w:hyperlink w:anchor="_Toc164075864" w:history="1">
            <w:r w:rsidR="00AE47C6" w:rsidRPr="00DF3847">
              <w:rPr>
                <w:rStyle w:val="Hyperlink"/>
                <w:rFonts w:ascii="Times New Roman" w:eastAsia="SimSun" w:hAnsi="Times New Roman"/>
                <w:noProof/>
                <w:lang w:eastAsia="ja-JP"/>
              </w:rPr>
              <w:t>3.1.3. Компресионни невропатии</w:t>
            </w:r>
            <w:r w:rsidR="00AE47C6" w:rsidRPr="00DF3847">
              <w:rPr>
                <w:rFonts w:ascii="Times New Roman" w:hAnsi="Times New Roman"/>
                <w:noProof/>
                <w:webHidden/>
              </w:rPr>
              <w:tab/>
            </w:r>
          </w:hyperlink>
        </w:p>
        <w:p w14:paraId="694B74FA" w14:textId="03C451DE" w:rsidR="00AE47C6" w:rsidRPr="00DF3847" w:rsidRDefault="00C74E8C">
          <w:pPr>
            <w:pStyle w:val="TOC3"/>
            <w:tabs>
              <w:tab w:val="right" w:leader="dot" w:pos="9060"/>
            </w:tabs>
            <w:rPr>
              <w:rFonts w:ascii="Times New Roman" w:eastAsiaTheme="minorEastAsia" w:hAnsi="Times New Roman"/>
              <w:noProof/>
              <w:lang w:eastAsia="bg-BG"/>
            </w:rPr>
          </w:pPr>
          <w:hyperlink w:anchor="_Toc164075865" w:history="1">
            <w:r w:rsidR="00AE47C6" w:rsidRPr="00DF3847">
              <w:rPr>
                <w:rStyle w:val="Hyperlink"/>
                <w:rFonts w:ascii="Times New Roman" w:eastAsia="SimSun" w:hAnsi="Times New Roman"/>
                <w:noProof/>
                <w:lang w:eastAsia="ja-JP"/>
              </w:rPr>
              <w:t>3.1.4. Полиневропатии</w:t>
            </w:r>
            <w:r w:rsidR="00AE47C6" w:rsidRPr="00DF3847">
              <w:rPr>
                <w:rFonts w:ascii="Times New Roman" w:hAnsi="Times New Roman"/>
                <w:noProof/>
                <w:webHidden/>
              </w:rPr>
              <w:tab/>
            </w:r>
          </w:hyperlink>
        </w:p>
        <w:p w14:paraId="0ED39721" w14:textId="1D856A39" w:rsidR="00AE47C6" w:rsidRPr="00DF3847" w:rsidRDefault="00C74E8C">
          <w:pPr>
            <w:pStyle w:val="TOC2"/>
            <w:tabs>
              <w:tab w:val="right" w:leader="dot" w:pos="9060"/>
            </w:tabs>
            <w:rPr>
              <w:rFonts w:ascii="Times New Roman" w:eastAsiaTheme="minorEastAsia" w:hAnsi="Times New Roman"/>
              <w:noProof/>
              <w:lang w:eastAsia="bg-BG"/>
            </w:rPr>
          </w:pPr>
          <w:hyperlink w:anchor="_Toc164075866" w:history="1">
            <w:r w:rsidR="00AE47C6" w:rsidRPr="00DF3847">
              <w:rPr>
                <w:rStyle w:val="Hyperlink"/>
                <w:rFonts w:ascii="Times New Roman" w:eastAsia="SimSun" w:hAnsi="Times New Roman"/>
                <w:noProof/>
              </w:rPr>
              <w:t>3.2. Централна невропатна болка</w:t>
            </w:r>
            <w:r w:rsidR="00AE47C6" w:rsidRPr="00DF3847">
              <w:rPr>
                <w:rFonts w:ascii="Times New Roman" w:hAnsi="Times New Roman"/>
                <w:noProof/>
                <w:webHidden/>
              </w:rPr>
              <w:tab/>
            </w:r>
          </w:hyperlink>
        </w:p>
        <w:p w14:paraId="66598D93" w14:textId="2248C581" w:rsidR="00AE47C6" w:rsidRPr="00DF3847" w:rsidRDefault="00C74E8C">
          <w:pPr>
            <w:pStyle w:val="TOC2"/>
            <w:tabs>
              <w:tab w:val="right" w:leader="dot" w:pos="9060"/>
            </w:tabs>
            <w:rPr>
              <w:rFonts w:ascii="Times New Roman" w:eastAsiaTheme="minorEastAsia" w:hAnsi="Times New Roman"/>
              <w:noProof/>
              <w:lang w:eastAsia="bg-BG"/>
            </w:rPr>
          </w:pPr>
          <w:hyperlink w:anchor="_Toc164075867" w:history="1">
            <w:r w:rsidR="00AE47C6" w:rsidRPr="00DF3847">
              <w:rPr>
                <w:rStyle w:val="Hyperlink"/>
                <w:rFonts w:ascii="Times New Roman" w:eastAsia="SimSun" w:hAnsi="Times New Roman"/>
                <w:noProof/>
              </w:rPr>
              <w:t>3.3. Централна мозъчна болка</w:t>
            </w:r>
            <w:r w:rsidR="00AE47C6" w:rsidRPr="00DF3847">
              <w:rPr>
                <w:rFonts w:ascii="Times New Roman" w:hAnsi="Times New Roman"/>
                <w:noProof/>
                <w:webHidden/>
              </w:rPr>
              <w:tab/>
            </w:r>
          </w:hyperlink>
        </w:p>
        <w:p w14:paraId="14993046" w14:textId="5CCDB390" w:rsidR="00AE47C6" w:rsidRPr="00DF3847" w:rsidRDefault="00C74E8C">
          <w:pPr>
            <w:pStyle w:val="TOC2"/>
            <w:tabs>
              <w:tab w:val="right" w:leader="dot" w:pos="9060"/>
            </w:tabs>
            <w:rPr>
              <w:rFonts w:ascii="Times New Roman" w:eastAsiaTheme="minorEastAsia" w:hAnsi="Times New Roman"/>
              <w:noProof/>
              <w:lang w:eastAsia="bg-BG"/>
            </w:rPr>
          </w:pPr>
          <w:hyperlink w:anchor="_Toc164075868" w:history="1">
            <w:r w:rsidR="00AE47C6" w:rsidRPr="00DF3847">
              <w:rPr>
                <w:rStyle w:val="Hyperlink"/>
                <w:rFonts w:ascii="Times New Roman" w:eastAsia="SimSun" w:hAnsi="Times New Roman"/>
                <w:noProof/>
              </w:rPr>
              <w:t>3.4. Лечение на неврологично обусловените болкови синдроми</w:t>
            </w:r>
            <w:r w:rsidR="00AE47C6" w:rsidRPr="00DF3847">
              <w:rPr>
                <w:rFonts w:ascii="Times New Roman" w:hAnsi="Times New Roman"/>
                <w:noProof/>
                <w:webHidden/>
              </w:rPr>
              <w:tab/>
            </w:r>
          </w:hyperlink>
        </w:p>
        <w:p w14:paraId="53DDA82C" w14:textId="5A6E8303" w:rsidR="00AE47C6" w:rsidRPr="00DF3847" w:rsidRDefault="00C74E8C">
          <w:pPr>
            <w:pStyle w:val="TOC3"/>
            <w:tabs>
              <w:tab w:val="right" w:leader="dot" w:pos="9060"/>
            </w:tabs>
            <w:rPr>
              <w:rFonts w:ascii="Times New Roman" w:eastAsiaTheme="minorEastAsia" w:hAnsi="Times New Roman"/>
              <w:noProof/>
              <w:lang w:eastAsia="bg-BG"/>
            </w:rPr>
          </w:pPr>
          <w:hyperlink w:anchor="_Toc164075869" w:history="1">
            <w:r w:rsidR="00AE47C6" w:rsidRPr="00DF3847">
              <w:rPr>
                <w:rStyle w:val="Hyperlink"/>
                <w:rFonts w:ascii="Times New Roman" w:eastAsia="SimSun" w:hAnsi="Times New Roman"/>
                <w:noProof/>
                <w:lang w:eastAsia="ja-JP"/>
              </w:rPr>
              <w:t>3.4.1. Лечение на ноцицептивната болка</w:t>
            </w:r>
            <w:r w:rsidR="00AE47C6" w:rsidRPr="00DF3847">
              <w:rPr>
                <w:rFonts w:ascii="Times New Roman" w:hAnsi="Times New Roman"/>
                <w:noProof/>
                <w:webHidden/>
              </w:rPr>
              <w:tab/>
            </w:r>
          </w:hyperlink>
        </w:p>
        <w:p w14:paraId="79898968" w14:textId="5CA4F2EA" w:rsidR="00AE47C6" w:rsidRPr="00DF3847" w:rsidRDefault="00C74E8C">
          <w:pPr>
            <w:pStyle w:val="TOC3"/>
            <w:tabs>
              <w:tab w:val="right" w:leader="dot" w:pos="9060"/>
            </w:tabs>
            <w:rPr>
              <w:rFonts w:ascii="Times New Roman" w:eastAsiaTheme="minorEastAsia" w:hAnsi="Times New Roman"/>
              <w:noProof/>
              <w:lang w:eastAsia="bg-BG"/>
            </w:rPr>
          </w:pPr>
          <w:hyperlink w:anchor="_Toc164075870" w:history="1">
            <w:r w:rsidR="00AE47C6" w:rsidRPr="00DF3847">
              <w:rPr>
                <w:rStyle w:val="Hyperlink"/>
                <w:rFonts w:ascii="Times New Roman" w:eastAsia="SimSun" w:hAnsi="Times New Roman"/>
                <w:noProof/>
                <w:lang w:eastAsia="ja-JP"/>
              </w:rPr>
              <w:t>3.4.2. Лечение на невропатната болка</w:t>
            </w:r>
            <w:r w:rsidR="00AE47C6" w:rsidRPr="00DF3847">
              <w:rPr>
                <w:rFonts w:ascii="Times New Roman" w:hAnsi="Times New Roman"/>
                <w:noProof/>
                <w:webHidden/>
              </w:rPr>
              <w:tab/>
            </w:r>
          </w:hyperlink>
        </w:p>
        <w:p w14:paraId="2C694A6D" w14:textId="3F07D945" w:rsidR="00AE47C6" w:rsidRPr="00DF3847" w:rsidRDefault="00C74E8C">
          <w:pPr>
            <w:pStyle w:val="TOC1"/>
            <w:rPr>
              <w:rFonts w:ascii="Times New Roman" w:eastAsiaTheme="minorEastAsia" w:hAnsi="Times New Roman"/>
              <w:b w:val="0"/>
              <w:noProof/>
              <w:sz w:val="22"/>
              <w:szCs w:val="22"/>
              <w:lang w:eastAsia="bg-BG"/>
            </w:rPr>
          </w:pPr>
          <w:hyperlink w:anchor="_Toc164075871" w:history="1">
            <w:r w:rsidR="00AE47C6" w:rsidRPr="00DF3847">
              <w:rPr>
                <w:rStyle w:val="Hyperlink"/>
                <w:rFonts w:ascii="Times New Roman" w:eastAsia="SimSun" w:hAnsi="Times New Roman"/>
                <w:b w:val="0"/>
                <w:bCs/>
                <w:noProof/>
              </w:rPr>
              <w:t>4. Остри вирусни и бактериални инфекции на ЦНС - менингити и енцефалити</w:t>
            </w:r>
            <w:r w:rsidR="00AE47C6" w:rsidRPr="00DF3847">
              <w:rPr>
                <w:rFonts w:ascii="Times New Roman" w:hAnsi="Times New Roman"/>
                <w:b w:val="0"/>
                <w:noProof/>
                <w:webHidden/>
              </w:rPr>
              <w:tab/>
            </w:r>
          </w:hyperlink>
        </w:p>
        <w:p w14:paraId="5E5903F3" w14:textId="2B26F2E0" w:rsidR="00AE47C6" w:rsidRPr="00DF3847" w:rsidRDefault="00C74E8C">
          <w:pPr>
            <w:pStyle w:val="TOC2"/>
            <w:tabs>
              <w:tab w:val="right" w:leader="dot" w:pos="9060"/>
            </w:tabs>
            <w:rPr>
              <w:rFonts w:ascii="Times New Roman" w:eastAsiaTheme="minorEastAsia" w:hAnsi="Times New Roman"/>
              <w:noProof/>
              <w:lang w:eastAsia="bg-BG"/>
            </w:rPr>
          </w:pPr>
          <w:hyperlink w:anchor="_Toc164075872" w:history="1">
            <w:r w:rsidR="00AE47C6" w:rsidRPr="00DF3847">
              <w:rPr>
                <w:rStyle w:val="Hyperlink"/>
                <w:rFonts w:ascii="Times New Roman" w:eastAsia="SimSun" w:hAnsi="Times New Roman"/>
                <w:noProof/>
              </w:rPr>
              <w:t>4.1. Остри бактериални менингити</w:t>
            </w:r>
            <w:r w:rsidR="00AE47C6" w:rsidRPr="00DF3847">
              <w:rPr>
                <w:rFonts w:ascii="Times New Roman" w:hAnsi="Times New Roman"/>
                <w:noProof/>
                <w:webHidden/>
              </w:rPr>
              <w:tab/>
            </w:r>
          </w:hyperlink>
        </w:p>
        <w:p w14:paraId="17F95EA4" w14:textId="104047CE" w:rsidR="00AE47C6" w:rsidRPr="00DF3847" w:rsidRDefault="00C74E8C">
          <w:pPr>
            <w:pStyle w:val="TOC2"/>
            <w:tabs>
              <w:tab w:val="right" w:leader="dot" w:pos="9060"/>
            </w:tabs>
            <w:rPr>
              <w:rFonts w:ascii="Times New Roman" w:eastAsiaTheme="minorEastAsia" w:hAnsi="Times New Roman"/>
              <w:noProof/>
              <w:lang w:eastAsia="bg-BG"/>
            </w:rPr>
          </w:pPr>
          <w:hyperlink w:anchor="_Toc164075873" w:history="1">
            <w:r w:rsidR="00AE47C6" w:rsidRPr="00DF3847">
              <w:rPr>
                <w:rStyle w:val="Hyperlink"/>
                <w:rFonts w:ascii="Times New Roman" w:eastAsia="SimSun" w:hAnsi="Times New Roman"/>
                <w:noProof/>
              </w:rPr>
              <w:t>4.2. Енцефалити и енцефалопатии</w:t>
            </w:r>
            <w:r w:rsidR="00AE47C6" w:rsidRPr="00DF3847">
              <w:rPr>
                <w:rFonts w:ascii="Times New Roman" w:hAnsi="Times New Roman"/>
                <w:noProof/>
                <w:webHidden/>
              </w:rPr>
              <w:tab/>
            </w:r>
          </w:hyperlink>
        </w:p>
        <w:p w14:paraId="54B0797E" w14:textId="0D0F67CE" w:rsidR="00AE47C6" w:rsidRPr="00DF3847" w:rsidRDefault="00C74E8C">
          <w:pPr>
            <w:pStyle w:val="TOC3"/>
            <w:tabs>
              <w:tab w:val="right" w:leader="dot" w:pos="9060"/>
            </w:tabs>
            <w:rPr>
              <w:rFonts w:ascii="Times New Roman" w:eastAsiaTheme="minorEastAsia" w:hAnsi="Times New Roman"/>
              <w:noProof/>
              <w:lang w:eastAsia="bg-BG"/>
            </w:rPr>
          </w:pPr>
          <w:hyperlink w:anchor="_Toc164075874" w:history="1">
            <w:r w:rsidR="00AE47C6" w:rsidRPr="00DF3847">
              <w:rPr>
                <w:rStyle w:val="Hyperlink"/>
                <w:rFonts w:ascii="Times New Roman" w:eastAsia="SimSun" w:hAnsi="Times New Roman"/>
                <w:noProof/>
                <w:lang w:eastAsia="ja-JP"/>
              </w:rPr>
              <w:t>4.2.1. Бактериални енцефалити</w:t>
            </w:r>
            <w:r w:rsidR="00AE47C6" w:rsidRPr="00DF3847">
              <w:rPr>
                <w:rFonts w:ascii="Times New Roman" w:hAnsi="Times New Roman"/>
                <w:noProof/>
                <w:webHidden/>
              </w:rPr>
              <w:tab/>
            </w:r>
          </w:hyperlink>
        </w:p>
        <w:p w14:paraId="1131AE4B" w14:textId="230E05A1" w:rsidR="00AE47C6" w:rsidRPr="00DF3847" w:rsidRDefault="00C74E8C">
          <w:pPr>
            <w:pStyle w:val="TOC3"/>
            <w:tabs>
              <w:tab w:val="right" w:leader="dot" w:pos="9060"/>
            </w:tabs>
            <w:rPr>
              <w:rFonts w:ascii="Times New Roman" w:eastAsiaTheme="minorEastAsia" w:hAnsi="Times New Roman"/>
              <w:noProof/>
              <w:lang w:eastAsia="bg-BG"/>
            </w:rPr>
          </w:pPr>
          <w:hyperlink w:anchor="_Toc164075875" w:history="1">
            <w:r w:rsidR="00AE47C6" w:rsidRPr="00DF3847">
              <w:rPr>
                <w:rStyle w:val="Hyperlink"/>
                <w:rFonts w:ascii="Times New Roman" w:eastAsia="SimSun" w:hAnsi="Times New Roman"/>
                <w:noProof/>
                <w:lang w:eastAsia="ja-JP"/>
              </w:rPr>
              <w:t>4.2.2. Остри вирусни менингити, менингоенцефалити и миелити</w:t>
            </w:r>
            <w:r w:rsidR="00AE47C6" w:rsidRPr="00DF3847">
              <w:rPr>
                <w:rFonts w:ascii="Times New Roman" w:hAnsi="Times New Roman"/>
                <w:noProof/>
                <w:webHidden/>
              </w:rPr>
              <w:tab/>
            </w:r>
          </w:hyperlink>
        </w:p>
        <w:p w14:paraId="39F82CB7" w14:textId="6BFAC960" w:rsidR="00AE47C6" w:rsidRPr="00DF3847" w:rsidRDefault="00C74E8C">
          <w:pPr>
            <w:pStyle w:val="TOC2"/>
            <w:tabs>
              <w:tab w:val="right" w:leader="dot" w:pos="9060"/>
            </w:tabs>
            <w:rPr>
              <w:rFonts w:ascii="Times New Roman" w:eastAsiaTheme="minorEastAsia" w:hAnsi="Times New Roman"/>
              <w:noProof/>
              <w:lang w:eastAsia="bg-BG"/>
            </w:rPr>
          </w:pPr>
          <w:hyperlink w:anchor="_Toc164075876" w:history="1">
            <w:r w:rsidR="00AE47C6" w:rsidRPr="00DF3847">
              <w:rPr>
                <w:rStyle w:val="Hyperlink"/>
                <w:rFonts w:ascii="Times New Roman" w:eastAsia="SimSun" w:hAnsi="Times New Roman"/>
                <w:noProof/>
              </w:rPr>
              <w:t>4. 3. Автоимунни енцефалити</w:t>
            </w:r>
            <w:r w:rsidR="00AE47C6" w:rsidRPr="00DF3847">
              <w:rPr>
                <w:rFonts w:ascii="Times New Roman" w:hAnsi="Times New Roman"/>
                <w:noProof/>
                <w:webHidden/>
              </w:rPr>
              <w:tab/>
            </w:r>
          </w:hyperlink>
        </w:p>
        <w:p w14:paraId="00D84E89" w14:textId="0F0C6A8E" w:rsidR="00AE47C6" w:rsidRPr="00DF3847" w:rsidRDefault="00C74E8C">
          <w:pPr>
            <w:pStyle w:val="TOC3"/>
            <w:tabs>
              <w:tab w:val="right" w:leader="dot" w:pos="9060"/>
            </w:tabs>
            <w:rPr>
              <w:rFonts w:ascii="Times New Roman" w:eastAsiaTheme="minorEastAsia" w:hAnsi="Times New Roman"/>
              <w:noProof/>
              <w:lang w:eastAsia="bg-BG"/>
            </w:rPr>
          </w:pPr>
          <w:hyperlink w:anchor="_Toc164075877" w:history="1">
            <w:r w:rsidR="00AE47C6" w:rsidRPr="00DF3847">
              <w:rPr>
                <w:rStyle w:val="Hyperlink"/>
                <w:rFonts w:ascii="Times New Roman" w:eastAsia="SimSun" w:hAnsi="Times New Roman"/>
                <w:noProof/>
                <w:lang w:eastAsia="ja-JP"/>
              </w:rPr>
              <w:t>4.3.1. Анти-NMDAR енцефалит</w:t>
            </w:r>
            <w:r w:rsidR="00AE47C6" w:rsidRPr="00DF3847">
              <w:rPr>
                <w:rFonts w:ascii="Times New Roman" w:hAnsi="Times New Roman"/>
                <w:noProof/>
                <w:webHidden/>
              </w:rPr>
              <w:tab/>
            </w:r>
          </w:hyperlink>
        </w:p>
        <w:p w14:paraId="0549A062" w14:textId="6A6074AB" w:rsidR="00AE47C6" w:rsidRPr="00DF3847" w:rsidRDefault="00C74E8C">
          <w:pPr>
            <w:pStyle w:val="TOC3"/>
            <w:tabs>
              <w:tab w:val="right" w:leader="dot" w:pos="9060"/>
            </w:tabs>
            <w:rPr>
              <w:rFonts w:ascii="Times New Roman" w:eastAsiaTheme="minorEastAsia" w:hAnsi="Times New Roman"/>
              <w:noProof/>
              <w:lang w:eastAsia="bg-BG"/>
            </w:rPr>
          </w:pPr>
          <w:hyperlink w:anchor="_Toc164075878" w:history="1">
            <w:r w:rsidR="00AE47C6" w:rsidRPr="00DF3847">
              <w:rPr>
                <w:rStyle w:val="Hyperlink"/>
                <w:rFonts w:ascii="Times New Roman" w:eastAsia="SimSun" w:hAnsi="Times New Roman"/>
                <w:noProof/>
                <w:lang w:eastAsia="ja-JP"/>
              </w:rPr>
              <w:t>4.3.2. Лимбичен енцефалит</w:t>
            </w:r>
            <w:r w:rsidR="00AE47C6" w:rsidRPr="00DF3847">
              <w:rPr>
                <w:rFonts w:ascii="Times New Roman" w:hAnsi="Times New Roman"/>
                <w:noProof/>
                <w:webHidden/>
              </w:rPr>
              <w:tab/>
            </w:r>
          </w:hyperlink>
        </w:p>
        <w:p w14:paraId="749A956F" w14:textId="1168AEF9" w:rsidR="00AE47C6" w:rsidRPr="00DF3847" w:rsidRDefault="00C74E8C">
          <w:pPr>
            <w:pStyle w:val="TOC3"/>
            <w:tabs>
              <w:tab w:val="right" w:leader="dot" w:pos="9060"/>
            </w:tabs>
            <w:rPr>
              <w:rFonts w:ascii="Times New Roman" w:eastAsiaTheme="minorEastAsia" w:hAnsi="Times New Roman"/>
              <w:noProof/>
              <w:lang w:eastAsia="bg-BG"/>
            </w:rPr>
          </w:pPr>
          <w:hyperlink w:anchor="_Toc164075879" w:history="1">
            <w:r w:rsidR="00AE47C6" w:rsidRPr="00DF3847">
              <w:rPr>
                <w:rStyle w:val="Hyperlink"/>
                <w:rFonts w:ascii="Times New Roman" w:eastAsia="SimSun" w:hAnsi="Times New Roman"/>
                <w:noProof/>
                <w:lang w:eastAsia="ja-JP"/>
              </w:rPr>
              <w:t>4.3.3. Автоимунни постстрептококови неврологични синдроми.</w:t>
            </w:r>
            <w:r w:rsidR="00AE47C6" w:rsidRPr="00DF3847">
              <w:rPr>
                <w:rFonts w:ascii="Times New Roman" w:hAnsi="Times New Roman"/>
                <w:noProof/>
                <w:webHidden/>
              </w:rPr>
              <w:tab/>
            </w:r>
          </w:hyperlink>
        </w:p>
        <w:p w14:paraId="6963B3BF" w14:textId="780D3AAE" w:rsidR="00AE47C6" w:rsidRPr="00DF3847" w:rsidRDefault="00C74E8C">
          <w:pPr>
            <w:pStyle w:val="TOC3"/>
            <w:tabs>
              <w:tab w:val="right" w:leader="dot" w:pos="9060"/>
            </w:tabs>
            <w:rPr>
              <w:rFonts w:ascii="Times New Roman" w:eastAsiaTheme="minorEastAsia" w:hAnsi="Times New Roman"/>
              <w:noProof/>
              <w:lang w:eastAsia="bg-BG"/>
            </w:rPr>
          </w:pPr>
          <w:hyperlink w:anchor="_Toc164075880" w:history="1">
            <w:r w:rsidR="00AE47C6" w:rsidRPr="00DF3847">
              <w:rPr>
                <w:rStyle w:val="Hyperlink"/>
                <w:rFonts w:ascii="Times New Roman" w:eastAsia="SimSun" w:hAnsi="Times New Roman"/>
                <w:noProof/>
                <w:lang w:eastAsia="ja-JP"/>
              </w:rPr>
              <w:t>4.3.4. Болести на ЦНС и анти-AQP4 автоимунност.</w:t>
            </w:r>
            <w:r w:rsidR="00AE47C6" w:rsidRPr="00DF3847">
              <w:rPr>
                <w:rFonts w:ascii="Times New Roman" w:hAnsi="Times New Roman"/>
                <w:noProof/>
                <w:webHidden/>
              </w:rPr>
              <w:tab/>
            </w:r>
          </w:hyperlink>
        </w:p>
        <w:p w14:paraId="30F3A10C" w14:textId="2E911634" w:rsidR="00AE47C6" w:rsidRPr="00DF3847" w:rsidRDefault="00C74E8C">
          <w:pPr>
            <w:pStyle w:val="TOC3"/>
            <w:tabs>
              <w:tab w:val="right" w:leader="dot" w:pos="9060"/>
            </w:tabs>
            <w:rPr>
              <w:rFonts w:ascii="Times New Roman" w:eastAsiaTheme="minorEastAsia" w:hAnsi="Times New Roman"/>
              <w:noProof/>
              <w:lang w:eastAsia="bg-BG"/>
            </w:rPr>
          </w:pPr>
          <w:hyperlink w:anchor="_Toc164075881" w:history="1">
            <w:r w:rsidR="00AE47C6" w:rsidRPr="00DF3847">
              <w:rPr>
                <w:rStyle w:val="Hyperlink"/>
                <w:rFonts w:ascii="Times New Roman" w:eastAsia="SimSun" w:hAnsi="Times New Roman"/>
                <w:noProof/>
                <w:lang w:eastAsia="ja-JP"/>
              </w:rPr>
              <w:t xml:space="preserve">4.3.5. Stiff Person синдром (SPS), Stiff Person варианти като </w:t>
            </w:r>
            <w:r w:rsidR="00AE47C6" w:rsidRPr="00DF3847">
              <w:rPr>
                <w:rStyle w:val="Hyperlink"/>
                <w:rFonts w:ascii="Times New Roman" w:eastAsia="SimSun" w:hAnsi="Times New Roman"/>
                <w:bCs/>
                <w:noProof/>
                <w:lang w:eastAsia="ja-JP"/>
              </w:rPr>
              <w:t xml:space="preserve">SPS </w:t>
            </w:r>
            <w:r w:rsidR="00AE47C6" w:rsidRPr="00DF3847">
              <w:rPr>
                <w:rStyle w:val="Hyperlink"/>
                <w:rFonts w:ascii="Times New Roman" w:eastAsia="SimSun" w:hAnsi="Times New Roman"/>
                <w:noProof/>
                <w:lang w:eastAsia="ja-JP"/>
              </w:rPr>
              <w:t xml:space="preserve">plus, атипичен </w:t>
            </w:r>
            <w:r w:rsidR="00AE47C6" w:rsidRPr="00DF3847">
              <w:rPr>
                <w:rStyle w:val="Hyperlink"/>
                <w:rFonts w:ascii="Times New Roman" w:eastAsia="SimSun" w:hAnsi="Times New Roman"/>
                <w:bCs/>
                <w:noProof/>
                <w:lang w:eastAsia="ja-JP"/>
              </w:rPr>
              <w:t>SPS</w:t>
            </w:r>
            <w:r w:rsidR="00AE47C6" w:rsidRPr="00DF3847">
              <w:rPr>
                <w:rStyle w:val="Hyperlink"/>
                <w:rFonts w:ascii="Times New Roman" w:eastAsia="SimSun" w:hAnsi="Times New Roman"/>
                <w:noProof/>
                <w:lang w:eastAsia="ja-JP"/>
              </w:rPr>
              <w:t xml:space="preserve"> или stiff-limb синдром</w:t>
            </w:r>
            <w:r w:rsidR="00AE47C6" w:rsidRPr="00DF3847">
              <w:rPr>
                <w:rFonts w:ascii="Times New Roman" w:hAnsi="Times New Roman"/>
                <w:noProof/>
                <w:webHidden/>
              </w:rPr>
              <w:tab/>
            </w:r>
          </w:hyperlink>
        </w:p>
        <w:p w14:paraId="0D760A1A" w14:textId="0F0D9F70" w:rsidR="00AE47C6" w:rsidRPr="00DF3847" w:rsidRDefault="00C74E8C">
          <w:pPr>
            <w:pStyle w:val="TOC3"/>
            <w:tabs>
              <w:tab w:val="right" w:leader="dot" w:pos="9060"/>
            </w:tabs>
            <w:rPr>
              <w:rFonts w:ascii="Times New Roman" w:eastAsiaTheme="minorEastAsia" w:hAnsi="Times New Roman"/>
              <w:noProof/>
              <w:lang w:eastAsia="bg-BG"/>
            </w:rPr>
          </w:pPr>
          <w:hyperlink w:anchor="_Toc164075882" w:history="1">
            <w:r w:rsidR="00AE47C6" w:rsidRPr="00DF3847">
              <w:rPr>
                <w:rStyle w:val="Hyperlink"/>
                <w:rFonts w:ascii="Times New Roman" w:eastAsia="SimSun" w:hAnsi="Times New Roman"/>
                <w:noProof/>
                <w:lang w:eastAsia="ja-JP"/>
              </w:rPr>
              <w:t>4.3.6. Енцефалит на Rasmussen.</w:t>
            </w:r>
            <w:r w:rsidR="00AE47C6" w:rsidRPr="00DF3847">
              <w:rPr>
                <w:rFonts w:ascii="Times New Roman" w:hAnsi="Times New Roman"/>
                <w:noProof/>
                <w:webHidden/>
              </w:rPr>
              <w:tab/>
            </w:r>
          </w:hyperlink>
        </w:p>
        <w:p w14:paraId="046E3887" w14:textId="18AA374C" w:rsidR="00AE47C6" w:rsidRPr="00DF3847" w:rsidRDefault="00C74E8C">
          <w:pPr>
            <w:pStyle w:val="TOC3"/>
            <w:tabs>
              <w:tab w:val="right" w:leader="dot" w:pos="9060"/>
            </w:tabs>
            <w:rPr>
              <w:rFonts w:ascii="Times New Roman" w:eastAsiaTheme="minorEastAsia" w:hAnsi="Times New Roman"/>
              <w:noProof/>
              <w:lang w:eastAsia="bg-BG"/>
            </w:rPr>
          </w:pPr>
          <w:hyperlink w:anchor="_Toc164075883" w:history="1">
            <w:r w:rsidR="00AE47C6" w:rsidRPr="00DF3847">
              <w:rPr>
                <w:rStyle w:val="Hyperlink"/>
                <w:rFonts w:ascii="Times New Roman" w:eastAsia="SimSun" w:hAnsi="Times New Roman"/>
                <w:noProof/>
                <w:lang w:eastAsia="ja-JP"/>
              </w:rPr>
              <w:t>4.3.7. Енцефалопатия на Hashimoto</w:t>
            </w:r>
            <w:r w:rsidR="00AE47C6" w:rsidRPr="00DF3847">
              <w:rPr>
                <w:rFonts w:ascii="Times New Roman" w:hAnsi="Times New Roman"/>
                <w:noProof/>
                <w:webHidden/>
              </w:rPr>
              <w:tab/>
            </w:r>
          </w:hyperlink>
        </w:p>
        <w:p w14:paraId="137B458C" w14:textId="55182D82" w:rsidR="00AE47C6" w:rsidRPr="00DF3847" w:rsidRDefault="00C74E8C">
          <w:pPr>
            <w:pStyle w:val="TOC3"/>
            <w:tabs>
              <w:tab w:val="right" w:leader="dot" w:pos="9060"/>
            </w:tabs>
            <w:rPr>
              <w:rFonts w:ascii="Times New Roman" w:eastAsiaTheme="minorEastAsia" w:hAnsi="Times New Roman"/>
              <w:noProof/>
              <w:lang w:eastAsia="bg-BG"/>
            </w:rPr>
          </w:pPr>
          <w:hyperlink w:anchor="_Toc164075884" w:history="1">
            <w:r w:rsidR="00AE47C6" w:rsidRPr="00DF3847">
              <w:rPr>
                <w:rStyle w:val="Hyperlink"/>
                <w:rFonts w:ascii="Times New Roman" w:eastAsia="SimSun" w:hAnsi="Times New Roman"/>
                <w:noProof/>
                <w:lang w:eastAsia="ja-JP"/>
              </w:rPr>
              <w:t>4.3.8. Opsoclonus-myoclonus синдром</w:t>
            </w:r>
            <w:r w:rsidR="00AE47C6" w:rsidRPr="00DF3847">
              <w:rPr>
                <w:rFonts w:ascii="Times New Roman" w:hAnsi="Times New Roman"/>
                <w:noProof/>
                <w:webHidden/>
              </w:rPr>
              <w:tab/>
            </w:r>
          </w:hyperlink>
        </w:p>
        <w:p w14:paraId="7B27CFAB" w14:textId="1B96B855" w:rsidR="00AE47C6" w:rsidRPr="00DF3847" w:rsidRDefault="00C74E8C">
          <w:pPr>
            <w:pStyle w:val="TOC3"/>
            <w:tabs>
              <w:tab w:val="right" w:leader="dot" w:pos="9060"/>
            </w:tabs>
            <w:rPr>
              <w:rFonts w:ascii="Times New Roman" w:eastAsiaTheme="minorEastAsia" w:hAnsi="Times New Roman"/>
              <w:noProof/>
              <w:lang w:eastAsia="bg-BG"/>
            </w:rPr>
          </w:pPr>
          <w:hyperlink w:anchor="_Toc164075885" w:history="1">
            <w:r w:rsidR="00AE47C6" w:rsidRPr="00DF3847">
              <w:rPr>
                <w:rStyle w:val="Hyperlink"/>
                <w:rFonts w:ascii="Times New Roman" w:eastAsia="SimSun" w:hAnsi="Times New Roman"/>
                <w:noProof/>
                <w:lang w:eastAsia="ja-JP"/>
              </w:rPr>
              <w:t>4.3.9. Автоимунен стволов енцефалит на Bickerstaff</w:t>
            </w:r>
            <w:r w:rsidR="00AE47C6" w:rsidRPr="00DF3847">
              <w:rPr>
                <w:rFonts w:ascii="Times New Roman" w:hAnsi="Times New Roman"/>
                <w:noProof/>
                <w:webHidden/>
              </w:rPr>
              <w:tab/>
            </w:r>
          </w:hyperlink>
        </w:p>
        <w:p w14:paraId="4156BBB9" w14:textId="002A6222" w:rsidR="00AE47C6" w:rsidRPr="00DF3847" w:rsidRDefault="00C74E8C">
          <w:pPr>
            <w:pStyle w:val="TOC2"/>
            <w:tabs>
              <w:tab w:val="right" w:leader="dot" w:pos="9060"/>
            </w:tabs>
            <w:rPr>
              <w:rFonts w:ascii="Times New Roman" w:eastAsiaTheme="minorEastAsia" w:hAnsi="Times New Roman"/>
              <w:noProof/>
              <w:lang w:eastAsia="bg-BG"/>
            </w:rPr>
          </w:pPr>
          <w:hyperlink w:anchor="_Toc164075886" w:history="1">
            <w:r w:rsidR="00AE47C6" w:rsidRPr="00DF3847">
              <w:rPr>
                <w:rStyle w:val="Hyperlink"/>
                <w:rFonts w:ascii="Times New Roman" w:eastAsia="SimSun" w:hAnsi="Times New Roman"/>
                <w:bCs/>
                <w:noProof/>
              </w:rPr>
              <w:t xml:space="preserve">4.4. </w:t>
            </w:r>
            <w:r w:rsidR="00AE47C6" w:rsidRPr="00DF3847">
              <w:rPr>
                <w:rStyle w:val="Hyperlink"/>
                <w:rFonts w:ascii="Times New Roman" w:eastAsia="SimSun" w:hAnsi="Times New Roman"/>
                <w:noProof/>
              </w:rPr>
              <w:t>Остри енцефалопатии, асоциирани с вирусни инфекции (ОЕАВИ)</w:t>
            </w:r>
            <w:r w:rsidR="00AE47C6" w:rsidRPr="00DF3847">
              <w:rPr>
                <w:rFonts w:ascii="Times New Roman" w:hAnsi="Times New Roman"/>
                <w:noProof/>
                <w:webHidden/>
              </w:rPr>
              <w:tab/>
            </w:r>
          </w:hyperlink>
        </w:p>
        <w:p w14:paraId="376C7190" w14:textId="7503703D" w:rsidR="00AE47C6" w:rsidRPr="00DF3847" w:rsidRDefault="00C74E8C">
          <w:pPr>
            <w:pStyle w:val="TOC3"/>
            <w:tabs>
              <w:tab w:val="right" w:leader="dot" w:pos="9060"/>
            </w:tabs>
            <w:rPr>
              <w:rFonts w:ascii="Times New Roman" w:eastAsiaTheme="minorEastAsia" w:hAnsi="Times New Roman"/>
              <w:noProof/>
              <w:lang w:eastAsia="bg-BG"/>
            </w:rPr>
          </w:pPr>
          <w:hyperlink w:anchor="_Toc164075887" w:history="1">
            <w:r w:rsidR="00AE47C6" w:rsidRPr="00DF3847">
              <w:rPr>
                <w:rStyle w:val="Hyperlink"/>
                <w:rFonts w:ascii="Times New Roman" w:eastAsia="SimSun" w:hAnsi="Times New Roman"/>
                <w:bCs/>
                <w:noProof/>
                <w:lang w:eastAsia="ja-JP"/>
              </w:rPr>
              <w:t xml:space="preserve">4.4.1. </w:t>
            </w:r>
            <w:r w:rsidR="00AE47C6" w:rsidRPr="00DF3847">
              <w:rPr>
                <w:rStyle w:val="Hyperlink"/>
                <w:rFonts w:ascii="Times New Roman" w:eastAsia="SimSun" w:hAnsi="Times New Roman"/>
                <w:noProof/>
                <w:lang w:eastAsia="ja-JP"/>
              </w:rPr>
              <w:t>Остра некротизираща енцефалопатия (ANE)</w:t>
            </w:r>
            <w:r w:rsidR="00AE47C6" w:rsidRPr="00DF3847">
              <w:rPr>
                <w:rFonts w:ascii="Times New Roman" w:hAnsi="Times New Roman"/>
                <w:noProof/>
                <w:webHidden/>
              </w:rPr>
              <w:tab/>
            </w:r>
          </w:hyperlink>
        </w:p>
        <w:p w14:paraId="564D747B" w14:textId="1FF5D5B7" w:rsidR="00AE47C6" w:rsidRPr="00DF3847" w:rsidRDefault="00C74E8C">
          <w:pPr>
            <w:pStyle w:val="TOC3"/>
            <w:tabs>
              <w:tab w:val="right" w:leader="dot" w:pos="9060"/>
            </w:tabs>
            <w:rPr>
              <w:rFonts w:ascii="Times New Roman" w:eastAsiaTheme="minorEastAsia" w:hAnsi="Times New Roman"/>
              <w:noProof/>
              <w:lang w:eastAsia="bg-BG"/>
            </w:rPr>
          </w:pPr>
          <w:hyperlink w:anchor="_Toc164075888" w:history="1">
            <w:r w:rsidR="00AE47C6" w:rsidRPr="00DF3847">
              <w:rPr>
                <w:rStyle w:val="Hyperlink"/>
                <w:rFonts w:ascii="Times New Roman" w:eastAsia="SimSun" w:hAnsi="Times New Roman"/>
                <w:noProof/>
                <w:lang w:eastAsia="ja-JP"/>
              </w:rPr>
              <w:t>4.4.2. Синдром „хеморагичен шок – енцефалопатия” (HSES)</w:t>
            </w:r>
            <w:r w:rsidR="00AE47C6" w:rsidRPr="00DF3847">
              <w:rPr>
                <w:rFonts w:ascii="Times New Roman" w:hAnsi="Times New Roman"/>
                <w:noProof/>
                <w:webHidden/>
              </w:rPr>
              <w:tab/>
            </w:r>
          </w:hyperlink>
        </w:p>
        <w:p w14:paraId="747A8459" w14:textId="35149197" w:rsidR="00AE47C6" w:rsidRPr="00DF3847" w:rsidRDefault="00C74E8C">
          <w:pPr>
            <w:pStyle w:val="TOC3"/>
            <w:tabs>
              <w:tab w:val="right" w:leader="dot" w:pos="9060"/>
            </w:tabs>
            <w:rPr>
              <w:rFonts w:ascii="Times New Roman" w:eastAsiaTheme="minorEastAsia" w:hAnsi="Times New Roman"/>
              <w:noProof/>
              <w:lang w:eastAsia="bg-BG"/>
            </w:rPr>
          </w:pPr>
          <w:hyperlink w:anchor="_Toc164075889" w:history="1">
            <w:r w:rsidR="00AE47C6" w:rsidRPr="00DF3847">
              <w:rPr>
                <w:rStyle w:val="Hyperlink"/>
                <w:rFonts w:ascii="Times New Roman" w:eastAsia="SimSun" w:hAnsi="Times New Roman"/>
                <w:noProof/>
                <w:lang w:eastAsia="ja-JP"/>
              </w:rPr>
              <w:t>4.4.3. ОЕАВИ вследствие метаболитно нарушение:</w:t>
            </w:r>
            <w:r w:rsidR="00AE47C6" w:rsidRPr="00DF3847">
              <w:rPr>
                <w:rFonts w:ascii="Times New Roman" w:hAnsi="Times New Roman"/>
                <w:noProof/>
                <w:webHidden/>
              </w:rPr>
              <w:tab/>
            </w:r>
          </w:hyperlink>
        </w:p>
        <w:p w14:paraId="1B34393A" w14:textId="71222BF6" w:rsidR="00AE47C6" w:rsidRPr="00DF3847" w:rsidRDefault="00C74E8C">
          <w:pPr>
            <w:pStyle w:val="TOC3"/>
            <w:tabs>
              <w:tab w:val="right" w:leader="dot" w:pos="9060"/>
            </w:tabs>
            <w:rPr>
              <w:rFonts w:ascii="Times New Roman" w:eastAsiaTheme="minorEastAsia" w:hAnsi="Times New Roman"/>
              <w:noProof/>
              <w:lang w:eastAsia="bg-BG"/>
            </w:rPr>
          </w:pPr>
          <w:hyperlink w:anchor="_Toc164075890" w:history="1">
            <w:r w:rsidR="00AE47C6" w:rsidRPr="00DF3847">
              <w:rPr>
                <w:rStyle w:val="Hyperlink"/>
                <w:rFonts w:ascii="Times New Roman" w:eastAsia="SimSun" w:hAnsi="Times New Roman"/>
                <w:noProof/>
                <w:lang w:eastAsia="ja-JP"/>
              </w:rPr>
              <w:t>4.4.4. Остри енцефалопатии вследствие ексцитотоксичност (ОЕАВИ с епилептични пристъпи като водещ синдром) с 2 подтипа</w:t>
            </w:r>
            <w:r w:rsidR="00AE47C6" w:rsidRPr="00DF3847">
              <w:rPr>
                <w:rFonts w:ascii="Times New Roman" w:hAnsi="Times New Roman"/>
                <w:noProof/>
                <w:webHidden/>
              </w:rPr>
              <w:tab/>
            </w:r>
          </w:hyperlink>
        </w:p>
        <w:p w14:paraId="3D843951" w14:textId="46FD81F7" w:rsidR="00AE47C6" w:rsidRPr="00DF3847" w:rsidRDefault="00C74E8C">
          <w:pPr>
            <w:pStyle w:val="TOC3"/>
            <w:tabs>
              <w:tab w:val="right" w:leader="dot" w:pos="9060"/>
            </w:tabs>
            <w:rPr>
              <w:rFonts w:ascii="Times New Roman" w:eastAsiaTheme="minorEastAsia" w:hAnsi="Times New Roman"/>
              <w:noProof/>
              <w:lang w:eastAsia="bg-BG"/>
            </w:rPr>
          </w:pPr>
          <w:hyperlink w:anchor="_Toc164075891" w:history="1">
            <w:r w:rsidR="00AE47C6" w:rsidRPr="00DF3847">
              <w:rPr>
                <w:rStyle w:val="Hyperlink"/>
                <w:rFonts w:ascii="Times New Roman" w:eastAsia="SimSun" w:hAnsi="Times New Roman"/>
                <w:noProof/>
                <w:lang w:eastAsia="ja-JP"/>
              </w:rPr>
              <w:t>4.4.5. Други синдроми с ОЕАВИ</w:t>
            </w:r>
            <w:r w:rsidR="00AE47C6" w:rsidRPr="00DF3847">
              <w:rPr>
                <w:rFonts w:ascii="Times New Roman" w:hAnsi="Times New Roman"/>
                <w:noProof/>
                <w:webHidden/>
              </w:rPr>
              <w:tab/>
            </w:r>
          </w:hyperlink>
        </w:p>
        <w:p w14:paraId="1497AAB3" w14:textId="066FB57A" w:rsidR="00AE47C6" w:rsidRPr="00DF3847" w:rsidRDefault="00C74E8C">
          <w:pPr>
            <w:pStyle w:val="TOC1"/>
            <w:rPr>
              <w:rFonts w:ascii="Times New Roman" w:eastAsiaTheme="minorEastAsia" w:hAnsi="Times New Roman"/>
              <w:b w:val="0"/>
              <w:noProof/>
              <w:sz w:val="22"/>
              <w:szCs w:val="22"/>
              <w:lang w:eastAsia="bg-BG"/>
            </w:rPr>
          </w:pPr>
          <w:hyperlink w:anchor="_Toc164075892" w:history="1">
            <w:r w:rsidR="00AE47C6" w:rsidRPr="00DF3847">
              <w:rPr>
                <w:rStyle w:val="Hyperlink"/>
                <w:rFonts w:ascii="Times New Roman" w:eastAsia="SimSun" w:hAnsi="Times New Roman"/>
                <w:b w:val="0"/>
                <w:bCs/>
                <w:noProof/>
              </w:rPr>
              <w:t>5. Невролипидози, левкодистрофии, и церебеларни дегенеративни заболявания</w:t>
            </w:r>
            <w:r w:rsidR="00AE47C6" w:rsidRPr="00DF3847">
              <w:rPr>
                <w:rFonts w:ascii="Times New Roman" w:hAnsi="Times New Roman"/>
                <w:b w:val="0"/>
                <w:noProof/>
                <w:webHidden/>
              </w:rPr>
              <w:tab/>
            </w:r>
          </w:hyperlink>
        </w:p>
        <w:p w14:paraId="197C5971" w14:textId="0691CD82" w:rsidR="00AE47C6" w:rsidRPr="00DF3847" w:rsidRDefault="00C74E8C">
          <w:pPr>
            <w:pStyle w:val="TOC2"/>
            <w:tabs>
              <w:tab w:val="right" w:leader="dot" w:pos="9060"/>
            </w:tabs>
            <w:rPr>
              <w:rFonts w:ascii="Times New Roman" w:eastAsiaTheme="minorEastAsia" w:hAnsi="Times New Roman"/>
              <w:noProof/>
              <w:lang w:eastAsia="bg-BG"/>
            </w:rPr>
          </w:pPr>
          <w:hyperlink w:anchor="_Toc164075893" w:history="1">
            <w:r w:rsidR="00AE47C6" w:rsidRPr="00DF3847">
              <w:rPr>
                <w:rStyle w:val="Hyperlink"/>
                <w:rFonts w:ascii="Times New Roman" w:eastAsia="SimSun" w:hAnsi="Times New Roman"/>
                <w:noProof/>
              </w:rPr>
              <w:t>5.1. Невролипидози и  болести с натрупване в лизозомите</w:t>
            </w:r>
            <w:r w:rsidR="00AE47C6" w:rsidRPr="00DF3847">
              <w:rPr>
                <w:rFonts w:ascii="Times New Roman" w:hAnsi="Times New Roman"/>
                <w:noProof/>
                <w:webHidden/>
              </w:rPr>
              <w:tab/>
            </w:r>
          </w:hyperlink>
        </w:p>
        <w:p w14:paraId="527FF14F" w14:textId="2285B2F2" w:rsidR="00AE47C6" w:rsidRPr="00DF3847" w:rsidRDefault="00C74E8C">
          <w:pPr>
            <w:pStyle w:val="TOC3"/>
            <w:tabs>
              <w:tab w:val="right" w:leader="dot" w:pos="9060"/>
            </w:tabs>
            <w:rPr>
              <w:rFonts w:ascii="Times New Roman" w:eastAsiaTheme="minorEastAsia" w:hAnsi="Times New Roman"/>
              <w:noProof/>
              <w:lang w:eastAsia="bg-BG"/>
            </w:rPr>
          </w:pPr>
          <w:hyperlink w:anchor="_Toc164075894" w:history="1">
            <w:r w:rsidR="00AE47C6" w:rsidRPr="00DF3847">
              <w:rPr>
                <w:rStyle w:val="Hyperlink"/>
                <w:rFonts w:ascii="Times New Roman" w:eastAsia="SimSun" w:hAnsi="Times New Roman"/>
                <w:noProof/>
                <w:lang w:eastAsia="ja-JP"/>
              </w:rPr>
              <w:t>5.1.1. Мукополизахаридози</w:t>
            </w:r>
            <w:r w:rsidR="00AE47C6" w:rsidRPr="00DF3847">
              <w:rPr>
                <w:rFonts w:ascii="Times New Roman" w:hAnsi="Times New Roman"/>
                <w:noProof/>
                <w:webHidden/>
              </w:rPr>
              <w:tab/>
            </w:r>
          </w:hyperlink>
        </w:p>
        <w:p w14:paraId="11593274" w14:textId="7E2EA2A9" w:rsidR="00AE47C6" w:rsidRPr="00DF3847" w:rsidRDefault="00C74E8C">
          <w:pPr>
            <w:pStyle w:val="TOC3"/>
            <w:tabs>
              <w:tab w:val="right" w:leader="dot" w:pos="9060"/>
            </w:tabs>
            <w:rPr>
              <w:rFonts w:ascii="Times New Roman" w:eastAsiaTheme="minorEastAsia" w:hAnsi="Times New Roman"/>
              <w:noProof/>
              <w:lang w:eastAsia="bg-BG"/>
            </w:rPr>
          </w:pPr>
          <w:hyperlink w:anchor="_Toc164075895" w:history="1">
            <w:r w:rsidR="00AE47C6" w:rsidRPr="00DF3847">
              <w:rPr>
                <w:rStyle w:val="Hyperlink"/>
                <w:rFonts w:ascii="Times New Roman" w:eastAsia="SimSun" w:hAnsi="Times New Roman"/>
                <w:noProof/>
                <w:lang w:eastAsia="ja-JP"/>
              </w:rPr>
              <w:t>5.1.2. Муколипидози и олигозахаридози.</w:t>
            </w:r>
            <w:r w:rsidR="00AE47C6" w:rsidRPr="00DF3847">
              <w:rPr>
                <w:rFonts w:ascii="Times New Roman" w:hAnsi="Times New Roman"/>
                <w:noProof/>
                <w:webHidden/>
              </w:rPr>
              <w:tab/>
            </w:r>
          </w:hyperlink>
        </w:p>
        <w:p w14:paraId="25F13BF2" w14:textId="5E2328CD" w:rsidR="00AE47C6" w:rsidRPr="00DF3847" w:rsidRDefault="00C74E8C">
          <w:pPr>
            <w:pStyle w:val="TOC3"/>
            <w:tabs>
              <w:tab w:val="right" w:leader="dot" w:pos="9060"/>
            </w:tabs>
            <w:rPr>
              <w:rFonts w:ascii="Times New Roman" w:eastAsiaTheme="minorEastAsia" w:hAnsi="Times New Roman"/>
              <w:noProof/>
              <w:lang w:eastAsia="bg-BG"/>
            </w:rPr>
          </w:pPr>
          <w:hyperlink w:anchor="_Toc164075896" w:history="1">
            <w:r w:rsidR="00AE47C6" w:rsidRPr="00DF3847">
              <w:rPr>
                <w:rStyle w:val="Hyperlink"/>
                <w:rFonts w:ascii="Times New Roman" w:eastAsia="SimSun" w:hAnsi="Times New Roman"/>
                <w:noProof/>
                <w:lang w:eastAsia="ja-JP"/>
              </w:rPr>
              <w:t>5.1.3. Болести с нарушен метаболизъм на сфинголипидите</w:t>
            </w:r>
            <w:r w:rsidR="00AE47C6" w:rsidRPr="00DF3847">
              <w:rPr>
                <w:rFonts w:ascii="Times New Roman" w:hAnsi="Times New Roman"/>
                <w:noProof/>
                <w:webHidden/>
              </w:rPr>
              <w:tab/>
            </w:r>
          </w:hyperlink>
        </w:p>
        <w:p w14:paraId="32958869" w14:textId="05E1209C" w:rsidR="00AE47C6" w:rsidRPr="00DF3847" w:rsidRDefault="00C74E8C">
          <w:pPr>
            <w:pStyle w:val="TOC3"/>
            <w:tabs>
              <w:tab w:val="right" w:leader="dot" w:pos="9060"/>
            </w:tabs>
            <w:rPr>
              <w:rFonts w:ascii="Times New Roman" w:eastAsiaTheme="minorEastAsia" w:hAnsi="Times New Roman"/>
              <w:noProof/>
              <w:lang w:eastAsia="bg-BG"/>
            </w:rPr>
          </w:pPr>
          <w:hyperlink w:anchor="_Toc164075897" w:history="1">
            <w:r w:rsidR="00AE47C6" w:rsidRPr="00DF3847">
              <w:rPr>
                <w:rStyle w:val="Hyperlink"/>
                <w:rFonts w:ascii="Times New Roman" w:eastAsia="SimSun" w:hAnsi="Times New Roman"/>
                <w:noProof/>
                <w:lang w:eastAsia="ja-JP"/>
              </w:rPr>
              <w:t>5.1.4. Невронални цероидлипофусцинози</w:t>
            </w:r>
            <w:r w:rsidR="00AE47C6" w:rsidRPr="00DF3847">
              <w:rPr>
                <w:rFonts w:ascii="Times New Roman" w:hAnsi="Times New Roman"/>
                <w:noProof/>
                <w:webHidden/>
              </w:rPr>
              <w:tab/>
            </w:r>
          </w:hyperlink>
        </w:p>
        <w:p w14:paraId="2D9EE14A" w14:textId="28ACB5DF" w:rsidR="00AE47C6" w:rsidRPr="00DF3847" w:rsidRDefault="00C74E8C">
          <w:pPr>
            <w:pStyle w:val="TOC2"/>
            <w:tabs>
              <w:tab w:val="right" w:leader="dot" w:pos="9060"/>
            </w:tabs>
            <w:rPr>
              <w:rFonts w:ascii="Times New Roman" w:eastAsiaTheme="minorEastAsia" w:hAnsi="Times New Roman"/>
              <w:noProof/>
              <w:lang w:eastAsia="bg-BG"/>
            </w:rPr>
          </w:pPr>
          <w:hyperlink w:anchor="_Toc164075898" w:history="1">
            <w:r w:rsidR="00AE47C6" w:rsidRPr="00DF3847">
              <w:rPr>
                <w:rStyle w:val="Hyperlink"/>
                <w:rFonts w:ascii="Times New Roman" w:eastAsia="SimSun" w:hAnsi="Times New Roman"/>
                <w:noProof/>
              </w:rPr>
              <w:t>5.2. Левкодистрофии и левкоенцефалопатии</w:t>
            </w:r>
            <w:r w:rsidR="00AE47C6" w:rsidRPr="00DF3847">
              <w:rPr>
                <w:rFonts w:ascii="Times New Roman" w:hAnsi="Times New Roman"/>
                <w:noProof/>
                <w:webHidden/>
              </w:rPr>
              <w:tab/>
            </w:r>
          </w:hyperlink>
        </w:p>
        <w:p w14:paraId="43358FC0" w14:textId="04CA0482" w:rsidR="00AE47C6" w:rsidRPr="00DF3847" w:rsidRDefault="00C74E8C">
          <w:pPr>
            <w:pStyle w:val="TOC2"/>
            <w:tabs>
              <w:tab w:val="right" w:leader="dot" w:pos="9060"/>
            </w:tabs>
            <w:rPr>
              <w:rFonts w:ascii="Times New Roman" w:eastAsiaTheme="minorEastAsia" w:hAnsi="Times New Roman"/>
              <w:noProof/>
              <w:lang w:eastAsia="bg-BG"/>
            </w:rPr>
          </w:pPr>
          <w:hyperlink w:anchor="_Toc164075899" w:history="1">
            <w:r w:rsidR="00AE47C6" w:rsidRPr="00DF3847">
              <w:rPr>
                <w:rStyle w:val="Hyperlink"/>
                <w:rFonts w:ascii="Times New Roman" w:eastAsia="SimSun" w:hAnsi="Times New Roman"/>
                <w:noProof/>
              </w:rPr>
              <w:t>5.3. Церебеларни дегенеративни заболявания или атаксии (ЦДЗ, ЦДА)</w:t>
            </w:r>
            <w:r w:rsidR="00AE47C6" w:rsidRPr="00DF3847">
              <w:rPr>
                <w:rFonts w:ascii="Times New Roman" w:hAnsi="Times New Roman"/>
                <w:noProof/>
                <w:webHidden/>
              </w:rPr>
              <w:tab/>
            </w:r>
          </w:hyperlink>
        </w:p>
        <w:p w14:paraId="78D8979B" w14:textId="551B9032" w:rsidR="00AE47C6" w:rsidRPr="00DF3847" w:rsidRDefault="00C74E8C">
          <w:pPr>
            <w:pStyle w:val="TOC1"/>
            <w:rPr>
              <w:rFonts w:ascii="Times New Roman" w:eastAsiaTheme="minorEastAsia" w:hAnsi="Times New Roman"/>
              <w:b w:val="0"/>
              <w:noProof/>
              <w:sz w:val="22"/>
              <w:szCs w:val="22"/>
              <w:lang w:eastAsia="bg-BG"/>
            </w:rPr>
          </w:pPr>
          <w:hyperlink w:anchor="_Toc164075900" w:history="1">
            <w:r w:rsidR="00AE47C6" w:rsidRPr="00DF3847">
              <w:rPr>
                <w:rStyle w:val="Hyperlink"/>
                <w:rFonts w:ascii="Times New Roman" w:eastAsia="SimSun" w:hAnsi="Times New Roman"/>
                <w:b w:val="0"/>
                <w:bCs/>
                <w:noProof/>
              </w:rPr>
              <w:t>6. Невродегенеративни заболявания с двигателни нарушения</w:t>
            </w:r>
            <w:r w:rsidR="00AE47C6" w:rsidRPr="00DF3847">
              <w:rPr>
                <w:rFonts w:ascii="Times New Roman" w:hAnsi="Times New Roman"/>
                <w:b w:val="0"/>
                <w:noProof/>
                <w:webHidden/>
              </w:rPr>
              <w:tab/>
            </w:r>
          </w:hyperlink>
        </w:p>
        <w:p w14:paraId="283D13DD" w14:textId="1D77A502" w:rsidR="00AE47C6" w:rsidRPr="00DF3847" w:rsidRDefault="00C74E8C">
          <w:pPr>
            <w:pStyle w:val="TOC2"/>
            <w:tabs>
              <w:tab w:val="right" w:leader="dot" w:pos="9060"/>
            </w:tabs>
            <w:rPr>
              <w:rFonts w:ascii="Times New Roman" w:eastAsiaTheme="minorEastAsia" w:hAnsi="Times New Roman"/>
              <w:noProof/>
              <w:lang w:eastAsia="bg-BG"/>
            </w:rPr>
          </w:pPr>
          <w:hyperlink w:anchor="_Toc164075901" w:history="1">
            <w:r w:rsidR="00AE47C6" w:rsidRPr="00DF3847">
              <w:rPr>
                <w:rStyle w:val="Hyperlink"/>
                <w:rFonts w:ascii="Times New Roman" w:eastAsia="SimSun" w:hAnsi="Times New Roman"/>
                <w:noProof/>
              </w:rPr>
              <w:t>6.1. Невродегенеративни заболявания с хипокинетични двигателни нарушения</w:t>
            </w:r>
            <w:r w:rsidR="00AE47C6" w:rsidRPr="00DF3847">
              <w:rPr>
                <w:rFonts w:ascii="Times New Roman" w:hAnsi="Times New Roman"/>
                <w:noProof/>
                <w:webHidden/>
              </w:rPr>
              <w:tab/>
            </w:r>
          </w:hyperlink>
        </w:p>
        <w:p w14:paraId="4A2FD72E" w14:textId="12020536" w:rsidR="00AE47C6" w:rsidRPr="00DF3847" w:rsidRDefault="00C74E8C">
          <w:pPr>
            <w:pStyle w:val="TOC3"/>
            <w:tabs>
              <w:tab w:val="right" w:leader="dot" w:pos="9060"/>
            </w:tabs>
            <w:rPr>
              <w:rFonts w:ascii="Times New Roman" w:eastAsiaTheme="minorEastAsia" w:hAnsi="Times New Roman"/>
              <w:noProof/>
              <w:lang w:eastAsia="bg-BG"/>
            </w:rPr>
          </w:pPr>
          <w:hyperlink w:anchor="_Toc164075902" w:history="1">
            <w:r w:rsidR="00AE47C6" w:rsidRPr="00DF3847">
              <w:rPr>
                <w:rStyle w:val="Hyperlink"/>
                <w:rFonts w:ascii="Times New Roman" w:eastAsia="SimSun" w:hAnsi="Times New Roman"/>
                <w:noProof/>
                <w:lang w:eastAsia="ja-JP"/>
              </w:rPr>
              <w:t>6.1.1. Паркинсонови синдроми</w:t>
            </w:r>
            <w:r w:rsidR="00AE47C6" w:rsidRPr="00DF3847">
              <w:rPr>
                <w:rFonts w:ascii="Times New Roman" w:hAnsi="Times New Roman"/>
                <w:noProof/>
                <w:webHidden/>
              </w:rPr>
              <w:tab/>
            </w:r>
          </w:hyperlink>
        </w:p>
        <w:p w14:paraId="285EEE02" w14:textId="728EA708" w:rsidR="00AE47C6" w:rsidRPr="00DF3847" w:rsidRDefault="00C74E8C">
          <w:pPr>
            <w:pStyle w:val="TOC2"/>
            <w:tabs>
              <w:tab w:val="right" w:leader="dot" w:pos="9060"/>
            </w:tabs>
            <w:rPr>
              <w:rFonts w:ascii="Times New Roman" w:eastAsiaTheme="minorEastAsia" w:hAnsi="Times New Roman"/>
              <w:noProof/>
              <w:lang w:eastAsia="bg-BG"/>
            </w:rPr>
          </w:pPr>
          <w:hyperlink w:anchor="_Toc164075903" w:history="1">
            <w:r w:rsidR="00AE47C6" w:rsidRPr="00DF3847">
              <w:rPr>
                <w:rStyle w:val="Hyperlink"/>
                <w:rFonts w:ascii="Times New Roman" w:eastAsia="SimSun" w:hAnsi="Times New Roman"/>
                <w:noProof/>
              </w:rPr>
              <w:t>6.2. Невродегенеративни заболявания с хиперкинетични двигателни нарушения</w:t>
            </w:r>
            <w:r w:rsidR="00AE47C6" w:rsidRPr="00DF3847">
              <w:rPr>
                <w:rFonts w:ascii="Times New Roman" w:hAnsi="Times New Roman"/>
                <w:noProof/>
                <w:webHidden/>
              </w:rPr>
              <w:tab/>
            </w:r>
          </w:hyperlink>
        </w:p>
        <w:p w14:paraId="5CDD8496" w14:textId="65AAC382" w:rsidR="00AE47C6" w:rsidRPr="00DF3847" w:rsidRDefault="00C74E8C">
          <w:pPr>
            <w:pStyle w:val="TOC3"/>
            <w:tabs>
              <w:tab w:val="right" w:leader="dot" w:pos="9060"/>
            </w:tabs>
            <w:rPr>
              <w:rFonts w:ascii="Times New Roman" w:eastAsiaTheme="minorEastAsia" w:hAnsi="Times New Roman"/>
              <w:noProof/>
              <w:lang w:eastAsia="bg-BG"/>
            </w:rPr>
          </w:pPr>
          <w:hyperlink w:anchor="_Toc164075904" w:history="1">
            <w:r w:rsidR="00AE47C6" w:rsidRPr="00DF3847">
              <w:rPr>
                <w:rStyle w:val="Hyperlink"/>
                <w:rFonts w:ascii="Times New Roman" w:eastAsia="SimSun" w:hAnsi="Times New Roman"/>
                <w:bCs/>
                <w:noProof/>
                <w:lang w:eastAsia="ja-JP"/>
              </w:rPr>
              <w:t>6.2.1.</w:t>
            </w:r>
            <w:r w:rsidR="00AE47C6" w:rsidRPr="00DF3847">
              <w:rPr>
                <w:rStyle w:val="Hyperlink"/>
                <w:rFonts w:ascii="Times New Roman" w:eastAsia="SimSun" w:hAnsi="Times New Roman"/>
                <w:noProof/>
                <w:lang w:eastAsia="ja-JP"/>
              </w:rPr>
              <w:t xml:space="preserve"> Дистонии</w:t>
            </w:r>
            <w:r w:rsidR="00AE47C6" w:rsidRPr="00DF3847">
              <w:rPr>
                <w:rFonts w:ascii="Times New Roman" w:hAnsi="Times New Roman"/>
                <w:noProof/>
                <w:webHidden/>
              </w:rPr>
              <w:tab/>
            </w:r>
          </w:hyperlink>
        </w:p>
        <w:p w14:paraId="393461BC" w14:textId="631B37C1" w:rsidR="00AE47C6" w:rsidRPr="00DF3847" w:rsidRDefault="00C74E8C">
          <w:pPr>
            <w:pStyle w:val="TOC3"/>
            <w:tabs>
              <w:tab w:val="right" w:leader="dot" w:pos="9060"/>
            </w:tabs>
            <w:rPr>
              <w:rFonts w:ascii="Times New Roman" w:eastAsiaTheme="minorEastAsia" w:hAnsi="Times New Roman"/>
              <w:noProof/>
              <w:lang w:eastAsia="bg-BG"/>
            </w:rPr>
          </w:pPr>
          <w:hyperlink w:anchor="_Toc164075905" w:history="1">
            <w:r w:rsidR="00AE47C6" w:rsidRPr="00DF3847">
              <w:rPr>
                <w:rStyle w:val="Hyperlink"/>
                <w:rFonts w:ascii="Times New Roman" w:eastAsia="SimSun" w:hAnsi="Times New Roman"/>
                <w:noProof/>
                <w:lang w:eastAsia="ja-JP"/>
              </w:rPr>
              <w:t>6.2.2. Хорея</w:t>
            </w:r>
            <w:r w:rsidR="00AE47C6" w:rsidRPr="00DF3847">
              <w:rPr>
                <w:rFonts w:ascii="Times New Roman" w:hAnsi="Times New Roman"/>
                <w:noProof/>
                <w:webHidden/>
              </w:rPr>
              <w:tab/>
            </w:r>
          </w:hyperlink>
        </w:p>
        <w:p w14:paraId="29962AB6" w14:textId="2636C5AD" w:rsidR="00AE47C6" w:rsidRPr="00DF3847" w:rsidRDefault="00C74E8C">
          <w:pPr>
            <w:pStyle w:val="TOC3"/>
            <w:tabs>
              <w:tab w:val="right" w:leader="dot" w:pos="9060"/>
            </w:tabs>
            <w:rPr>
              <w:rFonts w:ascii="Times New Roman" w:eastAsiaTheme="minorEastAsia" w:hAnsi="Times New Roman"/>
              <w:noProof/>
              <w:lang w:eastAsia="bg-BG"/>
            </w:rPr>
          </w:pPr>
          <w:hyperlink w:anchor="_Toc164075906" w:history="1">
            <w:r w:rsidR="00AE47C6" w:rsidRPr="00DF3847">
              <w:rPr>
                <w:rStyle w:val="Hyperlink"/>
                <w:rFonts w:ascii="Times New Roman" w:eastAsia="SimSun" w:hAnsi="Times New Roman"/>
                <w:noProof/>
                <w:lang w:eastAsia="ja-JP"/>
              </w:rPr>
              <w:t>6.2.3. Тикове</w:t>
            </w:r>
            <w:r w:rsidR="00AE47C6" w:rsidRPr="00DF3847">
              <w:rPr>
                <w:rFonts w:ascii="Times New Roman" w:hAnsi="Times New Roman"/>
                <w:noProof/>
                <w:webHidden/>
              </w:rPr>
              <w:tab/>
            </w:r>
          </w:hyperlink>
        </w:p>
        <w:p w14:paraId="00F1518D" w14:textId="1E4A3A2B" w:rsidR="00AE47C6" w:rsidRPr="00DF3847" w:rsidRDefault="00C74E8C">
          <w:pPr>
            <w:pStyle w:val="TOC3"/>
            <w:tabs>
              <w:tab w:val="right" w:leader="dot" w:pos="9060"/>
            </w:tabs>
            <w:rPr>
              <w:rFonts w:ascii="Times New Roman" w:eastAsiaTheme="minorEastAsia" w:hAnsi="Times New Roman"/>
              <w:noProof/>
              <w:lang w:eastAsia="bg-BG"/>
            </w:rPr>
          </w:pPr>
          <w:hyperlink w:anchor="_Toc164075907" w:history="1">
            <w:r w:rsidR="00AE47C6" w:rsidRPr="00DF3847">
              <w:rPr>
                <w:rStyle w:val="Hyperlink"/>
                <w:rFonts w:ascii="Times New Roman" w:eastAsia="SimSun" w:hAnsi="Times New Roman"/>
                <w:noProof/>
                <w:lang w:eastAsia="ja-JP"/>
              </w:rPr>
              <w:t>6.2.4. Миоклонии</w:t>
            </w:r>
            <w:r w:rsidR="00AE47C6" w:rsidRPr="00DF3847">
              <w:rPr>
                <w:rFonts w:ascii="Times New Roman" w:hAnsi="Times New Roman"/>
                <w:noProof/>
                <w:webHidden/>
              </w:rPr>
              <w:tab/>
            </w:r>
          </w:hyperlink>
        </w:p>
        <w:p w14:paraId="44D24200" w14:textId="20A63F91" w:rsidR="00AE47C6" w:rsidRPr="00DF3847" w:rsidRDefault="00C74E8C">
          <w:pPr>
            <w:pStyle w:val="TOC1"/>
            <w:rPr>
              <w:rFonts w:ascii="Times New Roman" w:eastAsiaTheme="minorEastAsia" w:hAnsi="Times New Roman"/>
              <w:b w:val="0"/>
              <w:noProof/>
              <w:sz w:val="22"/>
              <w:szCs w:val="22"/>
              <w:lang w:eastAsia="bg-BG"/>
            </w:rPr>
          </w:pPr>
          <w:hyperlink w:anchor="_Toc164075908" w:history="1">
            <w:r w:rsidR="00AE47C6" w:rsidRPr="00DF3847">
              <w:rPr>
                <w:rStyle w:val="Hyperlink"/>
                <w:rFonts w:ascii="Times New Roman" w:eastAsia="SimSun" w:hAnsi="Times New Roman"/>
                <w:b w:val="0"/>
                <w:bCs/>
                <w:noProof/>
              </w:rPr>
              <w:t>7. Деменции</w:t>
            </w:r>
            <w:r w:rsidR="00AE47C6" w:rsidRPr="00DF3847">
              <w:rPr>
                <w:rFonts w:ascii="Times New Roman" w:hAnsi="Times New Roman"/>
                <w:b w:val="0"/>
                <w:noProof/>
                <w:webHidden/>
              </w:rPr>
              <w:tab/>
            </w:r>
          </w:hyperlink>
        </w:p>
        <w:p w14:paraId="513AC12F" w14:textId="24E15D24" w:rsidR="00AE47C6" w:rsidRPr="00DF3847" w:rsidRDefault="00C74E8C">
          <w:pPr>
            <w:pStyle w:val="TOC2"/>
            <w:tabs>
              <w:tab w:val="right" w:leader="dot" w:pos="9060"/>
            </w:tabs>
            <w:rPr>
              <w:rFonts w:ascii="Times New Roman" w:eastAsiaTheme="minorEastAsia" w:hAnsi="Times New Roman"/>
              <w:noProof/>
              <w:lang w:eastAsia="bg-BG"/>
            </w:rPr>
          </w:pPr>
          <w:hyperlink w:anchor="_Toc164075909" w:history="1">
            <w:r w:rsidR="00AE47C6" w:rsidRPr="00DF3847">
              <w:rPr>
                <w:rStyle w:val="Hyperlink"/>
                <w:rFonts w:ascii="Times New Roman" w:eastAsia="SimSun" w:hAnsi="Times New Roman"/>
                <w:noProof/>
              </w:rPr>
              <w:t>7.1. Болест на Alzheimer (БА)</w:t>
            </w:r>
            <w:r w:rsidR="00AE47C6" w:rsidRPr="00DF3847">
              <w:rPr>
                <w:rFonts w:ascii="Times New Roman" w:hAnsi="Times New Roman"/>
                <w:noProof/>
                <w:webHidden/>
              </w:rPr>
              <w:tab/>
            </w:r>
          </w:hyperlink>
        </w:p>
        <w:p w14:paraId="5611FC71" w14:textId="74BF0225" w:rsidR="00AE47C6" w:rsidRPr="00DF3847" w:rsidRDefault="00C74E8C">
          <w:pPr>
            <w:pStyle w:val="TOC2"/>
            <w:tabs>
              <w:tab w:val="right" w:leader="dot" w:pos="9060"/>
            </w:tabs>
            <w:rPr>
              <w:rFonts w:ascii="Times New Roman" w:eastAsiaTheme="minorEastAsia" w:hAnsi="Times New Roman"/>
              <w:noProof/>
              <w:lang w:eastAsia="bg-BG"/>
            </w:rPr>
          </w:pPr>
          <w:hyperlink w:anchor="_Toc164075910" w:history="1">
            <w:r w:rsidR="00AE47C6" w:rsidRPr="00DF3847">
              <w:rPr>
                <w:rStyle w:val="Hyperlink"/>
                <w:rFonts w:ascii="Times New Roman" w:eastAsia="SimSun" w:hAnsi="Times New Roman"/>
                <w:noProof/>
              </w:rPr>
              <w:t>7.</w:t>
            </w:r>
            <w:r w:rsidR="00AE47C6" w:rsidRPr="00DF3847">
              <w:rPr>
                <w:rStyle w:val="Hyperlink"/>
                <w:rFonts w:ascii="Times New Roman" w:eastAsia="SimSun" w:hAnsi="Times New Roman"/>
                <w:i/>
                <w:noProof/>
              </w:rPr>
              <w:t xml:space="preserve">2. </w:t>
            </w:r>
            <w:r w:rsidR="00AE47C6" w:rsidRPr="00DF3847">
              <w:rPr>
                <w:rStyle w:val="Hyperlink"/>
                <w:rFonts w:ascii="Times New Roman" w:eastAsia="SimSun" w:hAnsi="Times New Roman"/>
                <w:noProof/>
              </w:rPr>
              <w:t>Съдова деменция</w:t>
            </w:r>
            <w:r w:rsidR="00AE47C6" w:rsidRPr="00DF3847">
              <w:rPr>
                <w:rStyle w:val="Hyperlink"/>
                <w:rFonts w:ascii="Times New Roman" w:eastAsia="SimSun" w:hAnsi="Times New Roman"/>
                <w:noProof/>
                <w:lang w:val="en-US"/>
              </w:rPr>
              <w:t xml:space="preserve"> </w:t>
            </w:r>
            <w:r w:rsidR="00AE47C6" w:rsidRPr="00DF3847">
              <w:rPr>
                <w:rStyle w:val="Hyperlink"/>
                <w:rFonts w:ascii="Times New Roman" w:eastAsia="SimSun" w:hAnsi="Times New Roman"/>
                <w:noProof/>
              </w:rPr>
              <w:t>(СД)</w:t>
            </w:r>
            <w:r w:rsidR="00AE47C6" w:rsidRPr="00DF3847">
              <w:rPr>
                <w:rFonts w:ascii="Times New Roman" w:hAnsi="Times New Roman"/>
                <w:noProof/>
                <w:webHidden/>
              </w:rPr>
              <w:tab/>
            </w:r>
          </w:hyperlink>
        </w:p>
        <w:p w14:paraId="0B0E6920" w14:textId="5EC23E00" w:rsidR="00AE47C6" w:rsidRPr="00DF3847" w:rsidRDefault="00C74E8C">
          <w:pPr>
            <w:pStyle w:val="TOC2"/>
            <w:tabs>
              <w:tab w:val="right" w:leader="dot" w:pos="9060"/>
            </w:tabs>
            <w:rPr>
              <w:rFonts w:ascii="Times New Roman" w:eastAsiaTheme="minorEastAsia" w:hAnsi="Times New Roman"/>
              <w:noProof/>
              <w:lang w:eastAsia="bg-BG"/>
            </w:rPr>
          </w:pPr>
          <w:hyperlink w:anchor="_Toc164075911" w:history="1">
            <w:r w:rsidR="00AE47C6" w:rsidRPr="00DF3847">
              <w:rPr>
                <w:rStyle w:val="Hyperlink"/>
                <w:rFonts w:ascii="Times New Roman" w:eastAsia="SimSun" w:hAnsi="Times New Roman"/>
                <w:noProof/>
              </w:rPr>
              <w:t>7.3. Фронто–темпорална деменция (ФТД)</w:t>
            </w:r>
            <w:r w:rsidR="00AE47C6" w:rsidRPr="00DF3847">
              <w:rPr>
                <w:rFonts w:ascii="Times New Roman" w:hAnsi="Times New Roman"/>
                <w:noProof/>
                <w:webHidden/>
              </w:rPr>
              <w:tab/>
            </w:r>
          </w:hyperlink>
        </w:p>
        <w:p w14:paraId="42E39D95" w14:textId="5CD169E1" w:rsidR="00AE47C6" w:rsidRPr="00DF3847" w:rsidRDefault="00C74E8C">
          <w:pPr>
            <w:pStyle w:val="TOC2"/>
            <w:tabs>
              <w:tab w:val="right" w:leader="dot" w:pos="9060"/>
            </w:tabs>
            <w:rPr>
              <w:rFonts w:ascii="Times New Roman" w:eastAsiaTheme="minorEastAsia" w:hAnsi="Times New Roman"/>
              <w:noProof/>
              <w:lang w:eastAsia="bg-BG"/>
            </w:rPr>
          </w:pPr>
          <w:hyperlink w:anchor="_Toc164075912" w:history="1">
            <w:r w:rsidR="00AE47C6" w:rsidRPr="00DF3847">
              <w:rPr>
                <w:rStyle w:val="Hyperlink"/>
                <w:rFonts w:ascii="Times New Roman" w:eastAsia="SimSun" w:hAnsi="Times New Roman"/>
                <w:noProof/>
              </w:rPr>
              <w:t>7.4. Болест с дифузни телца на Lewy</w:t>
            </w:r>
            <w:r w:rsidR="00AE47C6" w:rsidRPr="00DF3847">
              <w:rPr>
                <w:rFonts w:ascii="Times New Roman" w:hAnsi="Times New Roman"/>
                <w:noProof/>
                <w:webHidden/>
              </w:rPr>
              <w:tab/>
            </w:r>
          </w:hyperlink>
        </w:p>
        <w:p w14:paraId="3121365F" w14:textId="68D7BB72" w:rsidR="00AE47C6" w:rsidRPr="00DF3847" w:rsidRDefault="00C74E8C">
          <w:pPr>
            <w:pStyle w:val="TOC2"/>
            <w:tabs>
              <w:tab w:val="right" w:leader="dot" w:pos="9060"/>
            </w:tabs>
            <w:rPr>
              <w:rFonts w:ascii="Times New Roman" w:eastAsiaTheme="minorEastAsia" w:hAnsi="Times New Roman"/>
              <w:noProof/>
              <w:lang w:eastAsia="bg-BG"/>
            </w:rPr>
          </w:pPr>
          <w:hyperlink w:anchor="_Toc164075913" w:history="1">
            <w:r w:rsidR="00AE47C6" w:rsidRPr="00DF3847">
              <w:rPr>
                <w:rStyle w:val="Hyperlink"/>
                <w:rFonts w:ascii="Times New Roman" w:eastAsia="SimSun" w:hAnsi="Times New Roman"/>
                <w:noProof/>
              </w:rPr>
              <w:t>7.5.</w:t>
            </w:r>
            <w:r w:rsidR="00AE47C6" w:rsidRPr="00DF3847">
              <w:rPr>
                <w:rStyle w:val="Hyperlink"/>
                <w:rFonts w:ascii="Times New Roman" w:eastAsia="SimSun" w:hAnsi="Times New Roman"/>
                <w:noProof/>
                <w:lang w:val="en-US"/>
              </w:rPr>
              <w:t xml:space="preserve"> </w:t>
            </w:r>
            <w:r w:rsidR="00AE47C6" w:rsidRPr="00DF3847">
              <w:rPr>
                <w:rStyle w:val="Hyperlink"/>
                <w:rFonts w:ascii="Times New Roman" w:eastAsia="SimSun" w:hAnsi="Times New Roman"/>
                <w:noProof/>
              </w:rPr>
              <w:t>Деменция при Паркинсонова болест (ПБ)</w:t>
            </w:r>
            <w:r w:rsidR="00AE47C6" w:rsidRPr="00DF3847">
              <w:rPr>
                <w:rFonts w:ascii="Times New Roman" w:hAnsi="Times New Roman"/>
                <w:noProof/>
                <w:webHidden/>
              </w:rPr>
              <w:tab/>
            </w:r>
          </w:hyperlink>
        </w:p>
        <w:p w14:paraId="622F9ACC" w14:textId="373EF508" w:rsidR="00AE47C6" w:rsidRPr="00DF3847" w:rsidRDefault="00C74E8C">
          <w:pPr>
            <w:pStyle w:val="TOC2"/>
            <w:tabs>
              <w:tab w:val="right" w:leader="dot" w:pos="9060"/>
            </w:tabs>
            <w:rPr>
              <w:rFonts w:ascii="Times New Roman" w:eastAsiaTheme="minorEastAsia" w:hAnsi="Times New Roman"/>
              <w:noProof/>
              <w:lang w:eastAsia="bg-BG"/>
            </w:rPr>
          </w:pPr>
          <w:hyperlink w:anchor="_Toc164075914" w:history="1">
            <w:r w:rsidR="00AE47C6" w:rsidRPr="00DF3847">
              <w:rPr>
                <w:rStyle w:val="Hyperlink"/>
                <w:rFonts w:ascii="Times New Roman" w:eastAsia="SimSun" w:hAnsi="Times New Roman"/>
                <w:noProof/>
              </w:rPr>
              <w:t>7.6. Прогресивната супрануклеарна парализа (ПCП)</w:t>
            </w:r>
            <w:r w:rsidR="00AE47C6" w:rsidRPr="00DF3847">
              <w:rPr>
                <w:rFonts w:ascii="Times New Roman" w:hAnsi="Times New Roman"/>
                <w:noProof/>
                <w:webHidden/>
              </w:rPr>
              <w:tab/>
            </w:r>
          </w:hyperlink>
        </w:p>
        <w:p w14:paraId="57527E77" w14:textId="054B0DF9" w:rsidR="00AE47C6" w:rsidRPr="00DF3847" w:rsidRDefault="00C74E8C">
          <w:pPr>
            <w:pStyle w:val="TOC2"/>
            <w:tabs>
              <w:tab w:val="right" w:leader="dot" w:pos="9060"/>
            </w:tabs>
            <w:rPr>
              <w:rFonts w:ascii="Times New Roman" w:eastAsiaTheme="minorEastAsia" w:hAnsi="Times New Roman"/>
              <w:noProof/>
              <w:lang w:eastAsia="bg-BG"/>
            </w:rPr>
          </w:pPr>
          <w:hyperlink w:anchor="_Toc164075915" w:history="1">
            <w:r w:rsidR="00AE47C6" w:rsidRPr="00DF3847">
              <w:rPr>
                <w:rStyle w:val="Hyperlink"/>
                <w:rFonts w:ascii="Times New Roman" w:eastAsia="SimSun" w:hAnsi="Times New Roman"/>
                <w:noProof/>
              </w:rPr>
              <w:t>7.7. Кортикобазална дегенерация (КБД)</w:t>
            </w:r>
            <w:r w:rsidR="00AE47C6" w:rsidRPr="00DF3847">
              <w:rPr>
                <w:rFonts w:ascii="Times New Roman" w:hAnsi="Times New Roman"/>
                <w:noProof/>
                <w:webHidden/>
              </w:rPr>
              <w:tab/>
            </w:r>
          </w:hyperlink>
        </w:p>
        <w:p w14:paraId="12CA8CD3" w14:textId="2B63C9AC" w:rsidR="00AE47C6" w:rsidRPr="00DF3847" w:rsidRDefault="00C74E8C">
          <w:pPr>
            <w:pStyle w:val="TOC2"/>
            <w:tabs>
              <w:tab w:val="right" w:leader="dot" w:pos="9060"/>
            </w:tabs>
            <w:rPr>
              <w:rFonts w:ascii="Times New Roman" w:eastAsiaTheme="minorEastAsia" w:hAnsi="Times New Roman"/>
              <w:noProof/>
              <w:lang w:eastAsia="bg-BG"/>
            </w:rPr>
          </w:pPr>
          <w:hyperlink w:anchor="_Toc164075916" w:history="1">
            <w:r w:rsidR="00AE47C6" w:rsidRPr="00DF3847">
              <w:rPr>
                <w:rStyle w:val="Hyperlink"/>
                <w:rFonts w:ascii="Times New Roman" w:eastAsia="SimSun" w:hAnsi="Times New Roman"/>
                <w:noProof/>
              </w:rPr>
              <w:t>7.8. Деменция при болестта на Huntington.</w:t>
            </w:r>
            <w:r w:rsidR="00AE47C6" w:rsidRPr="00DF3847">
              <w:rPr>
                <w:rFonts w:ascii="Times New Roman" w:hAnsi="Times New Roman"/>
                <w:noProof/>
                <w:webHidden/>
              </w:rPr>
              <w:tab/>
            </w:r>
          </w:hyperlink>
        </w:p>
        <w:p w14:paraId="7F893C36" w14:textId="2E3C9883" w:rsidR="00AE47C6" w:rsidRPr="00DF3847" w:rsidRDefault="00C74E8C">
          <w:pPr>
            <w:pStyle w:val="TOC2"/>
            <w:tabs>
              <w:tab w:val="right" w:leader="dot" w:pos="9060"/>
            </w:tabs>
            <w:rPr>
              <w:rFonts w:ascii="Times New Roman" w:eastAsiaTheme="minorEastAsia" w:hAnsi="Times New Roman"/>
              <w:noProof/>
              <w:lang w:eastAsia="bg-BG"/>
            </w:rPr>
          </w:pPr>
          <w:hyperlink w:anchor="_Toc164075917" w:history="1">
            <w:r w:rsidR="00AE47C6" w:rsidRPr="00DF3847">
              <w:rPr>
                <w:rStyle w:val="Hyperlink"/>
                <w:rFonts w:ascii="Times New Roman" w:eastAsia="SimSun" w:hAnsi="Times New Roman"/>
                <w:noProof/>
              </w:rPr>
              <w:t>7.9. Деменция, свързана със злоупотреба на алкохол</w:t>
            </w:r>
            <w:r w:rsidR="00AE47C6" w:rsidRPr="00DF3847">
              <w:rPr>
                <w:rFonts w:ascii="Times New Roman" w:hAnsi="Times New Roman"/>
                <w:noProof/>
                <w:webHidden/>
              </w:rPr>
              <w:tab/>
            </w:r>
          </w:hyperlink>
        </w:p>
        <w:p w14:paraId="4ED7E159" w14:textId="65B3A8F0" w:rsidR="00AE47C6" w:rsidRPr="00DF3847" w:rsidRDefault="00C74E8C">
          <w:pPr>
            <w:pStyle w:val="TOC2"/>
            <w:tabs>
              <w:tab w:val="right" w:leader="dot" w:pos="9060"/>
            </w:tabs>
            <w:rPr>
              <w:rFonts w:ascii="Times New Roman" w:eastAsiaTheme="minorEastAsia" w:hAnsi="Times New Roman"/>
              <w:noProof/>
              <w:lang w:eastAsia="bg-BG"/>
            </w:rPr>
          </w:pPr>
          <w:hyperlink w:anchor="_Toc164075918" w:history="1">
            <w:r w:rsidR="00AE47C6" w:rsidRPr="00DF3847">
              <w:rPr>
                <w:rStyle w:val="Hyperlink"/>
                <w:rFonts w:ascii="Times New Roman" w:eastAsia="SimSun" w:hAnsi="Times New Roman"/>
                <w:noProof/>
              </w:rPr>
              <w:t>7.10. Трансмисивни деменции</w:t>
            </w:r>
            <w:r w:rsidR="00AE47C6" w:rsidRPr="00DF3847">
              <w:rPr>
                <w:rFonts w:ascii="Times New Roman" w:hAnsi="Times New Roman"/>
                <w:noProof/>
                <w:webHidden/>
              </w:rPr>
              <w:tab/>
            </w:r>
          </w:hyperlink>
        </w:p>
        <w:p w14:paraId="4AECE561" w14:textId="3864E6BD" w:rsidR="00AE47C6" w:rsidRPr="00DF3847" w:rsidRDefault="00C74E8C">
          <w:pPr>
            <w:pStyle w:val="TOC1"/>
            <w:rPr>
              <w:rFonts w:ascii="Times New Roman" w:eastAsiaTheme="minorEastAsia" w:hAnsi="Times New Roman"/>
              <w:b w:val="0"/>
              <w:noProof/>
              <w:sz w:val="22"/>
              <w:szCs w:val="22"/>
              <w:lang w:eastAsia="bg-BG"/>
            </w:rPr>
          </w:pPr>
          <w:hyperlink w:anchor="_Toc164075919" w:history="1">
            <w:r w:rsidR="00AE47C6" w:rsidRPr="00DF3847">
              <w:rPr>
                <w:rStyle w:val="Hyperlink"/>
                <w:rFonts w:ascii="Times New Roman" w:eastAsia="SimSun" w:hAnsi="Times New Roman"/>
                <w:b w:val="0"/>
                <w:bCs/>
                <w:noProof/>
              </w:rPr>
              <w:t>8. Заболявания на нервно-мускулното предаване</w:t>
            </w:r>
            <w:r w:rsidR="00AE47C6" w:rsidRPr="00DF3847">
              <w:rPr>
                <w:rFonts w:ascii="Times New Roman" w:hAnsi="Times New Roman"/>
                <w:b w:val="0"/>
                <w:noProof/>
                <w:webHidden/>
              </w:rPr>
              <w:tab/>
            </w:r>
          </w:hyperlink>
        </w:p>
        <w:p w14:paraId="7D28901A" w14:textId="11F4BB8D" w:rsidR="00AE47C6" w:rsidRPr="00DF3847" w:rsidRDefault="00C74E8C">
          <w:pPr>
            <w:pStyle w:val="TOC2"/>
            <w:tabs>
              <w:tab w:val="right" w:leader="dot" w:pos="9060"/>
            </w:tabs>
            <w:rPr>
              <w:rFonts w:ascii="Times New Roman" w:eastAsiaTheme="minorEastAsia" w:hAnsi="Times New Roman"/>
              <w:noProof/>
              <w:lang w:eastAsia="bg-BG"/>
            </w:rPr>
          </w:pPr>
          <w:hyperlink w:anchor="_Toc164075920" w:history="1">
            <w:r w:rsidR="00AE47C6" w:rsidRPr="00DF3847">
              <w:rPr>
                <w:rStyle w:val="Hyperlink"/>
                <w:rFonts w:ascii="Times New Roman" w:eastAsia="SimSun" w:hAnsi="Times New Roman"/>
                <w:noProof/>
              </w:rPr>
              <w:t>8.1. Myasthenia gravis (МГ)</w:t>
            </w:r>
            <w:r w:rsidR="00AE47C6" w:rsidRPr="00DF3847">
              <w:rPr>
                <w:rFonts w:ascii="Times New Roman" w:hAnsi="Times New Roman"/>
                <w:noProof/>
                <w:webHidden/>
              </w:rPr>
              <w:tab/>
            </w:r>
          </w:hyperlink>
        </w:p>
        <w:p w14:paraId="182D3BCB" w14:textId="74CBD05C" w:rsidR="00AE47C6" w:rsidRPr="00DF3847" w:rsidRDefault="00C74E8C">
          <w:pPr>
            <w:pStyle w:val="TOC2"/>
            <w:tabs>
              <w:tab w:val="right" w:leader="dot" w:pos="9060"/>
            </w:tabs>
            <w:rPr>
              <w:rFonts w:ascii="Times New Roman" w:eastAsiaTheme="minorEastAsia" w:hAnsi="Times New Roman"/>
              <w:noProof/>
              <w:lang w:eastAsia="bg-BG"/>
            </w:rPr>
          </w:pPr>
          <w:hyperlink w:anchor="_Toc164075921" w:history="1">
            <w:r w:rsidR="00AE47C6" w:rsidRPr="00DF3847">
              <w:rPr>
                <w:rStyle w:val="Hyperlink"/>
                <w:rFonts w:ascii="Times New Roman" w:eastAsia="SimSun" w:hAnsi="Times New Roman"/>
                <w:noProof/>
              </w:rPr>
              <w:t>8.2. Lambert-Eaton синдром (LE)</w:t>
            </w:r>
            <w:r w:rsidR="00AE47C6" w:rsidRPr="00DF3847">
              <w:rPr>
                <w:rFonts w:ascii="Times New Roman" w:hAnsi="Times New Roman"/>
                <w:noProof/>
                <w:webHidden/>
              </w:rPr>
              <w:tab/>
            </w:r>
          </w:hyperlink>
        </w:p>
        <w:p w14:paraId="1A5BA873" w14:textId="4A0545D8" w:rsidR="00AE47C6" w:rsidRPr="00DF3847" w:rsidRDefault="00C74E8C">
          <w:pPr>
            <w:pStyle w:val="TOC2"/>
            <w:tabs>
              <w:tab w:val="right" w:leader="dot" w:pos="9060"/>
            </w:tabs>
            <w:rPr>
              <w:rFonts w:ascii="Times New Roman" w:eastAsiaTheme="minorEastAsia" w:hAnsi="Times New Roman"/>
              <w:noProof/>
              <w:lang w:eastAsia="bg-BG"/>
            </w:rPr>
          </w:pPr>
          <w:hyperlink w:anchor="_Toc164075922" w:history="1">
            <w:r w:rsidR="00AE47C6" w:rsidRPr="00DF3847">
              <w:rPr>
                <w:rStyle w:val="Hyperlink"/>
                <w:rFonts w:ascii="Times New Roman" w:eastAsia="SimSun" w:hAnsi="Times New Roman"/>
                <w:noProof/>
              </w:rPr>
              <w:t>8.3. Ботулизъм</w:t>
            </w:r>
            <w:r w:rsidR="00AE47C6" w:rsidRPr="00DF3847">
              <w:rPr>
                <w:rFonts w:ascii="Times New Roman" w:hAnsi="Times New Roman"/>
                <w:noProof/>
                <w:webHidden/>
              </w:rPr>
              <w:tab/>
            </w:r>
          </w:hyperlink>
        </w:p>
        <w:p w14:paraId="495A051D" w14:textId="47554304" w:rsidR="00AE47C6" w:rsidRPr="00DF3847" w:rsidRDefault="00C74E8C">
          <w:pPr>
            <w:pStyle w:val="TOC1"/>
            <w:rPr>
              <w:rFonts w:ascii="Times New Roman" w:eastAsiaTheme="minorEastAsia" w:hAnsi="Times New Roman"/>
              <w:b w:val="0"/>
              <w:noProof/>
              <w:sz w:val="22"/>
              <w:szCs w:val="22"/>
              <w:lang w:eastAsia="bg-BG"/>
            </w:rPr>
          </w:pPr>
          <w:hyperlink w:anchor="_Toc164075923" w:history="1">
            <w:r w:rsidR="00AE47C6" w:rsidRPr="00DF3847">
              <w:rPr>
                <w:rStyle w:val="Hyperlink"/>
                <w:rFonts w:ascii="Times New Roman" w:eastAsia="SimSun" w:hAnsi="Times New Roman"/>
                <w:b w:val="0"/>
                <w:bCs/>
                <w:noProof/>
              </w:rPr>
              <w:t>9. Невро-мускулни заболявания</w:t>
            </w:r>
            <w:r w:rsidR="00AE47C6" w:rsidRPr="00DF3847">
              <w:rPr>
                <w:rFonts w:ascii="Times New Roman" w:hAnsi="Times New Roman"/>
                <w:b w:val="0"/>
                <w:noProof/>
                <w:webHidden/>
              </w:rPr>
              <w:tab/>
            </w:r>
          </w:hyperlink>
        </w:p>
        <w:p w14:paraId="1D83125D" w14:textId="2CF8B83C" w:rsidR="00AE47C6" w:rsidRPr="00DF3847" w:rsidRDefault="00C74E8C">
          <w:pPr>
            <w:pStyle w:val="TOC2"/>
            <w:tabs>
              <w:tab w:val="right" w:leader="dot" w:pos="9060"/>
            </w:tabs>
            <w:rPr>
              <w:rFonts w:ascii="Times New Roman" w:eastAsiaTheme="minorEastAsia" w:hAnsi="Times New Roman"/>
              <w:noProof/>
              <w:lang w:eastAsia="bg-BG"/>
            </w:rPr>
          </w:pPr>
          <w:hyperlink w:anchor="_Toc164075924" w:history="1">
            <w:r w:rsidR="00AE47C6" w:rsidRPr="00DF3847">
              <w:rPr>
                <w:rStyle w:val="Hyperlink"/>
                <w:rFonts w:ascii="Times New Roman" w:eastAsia="SimSun" w:hAnsi="Times New Roman"/>
                <w:noProof/>
              </w:rPr>
              <w:t>9.1. Заболявания на мускулите: вродени мускулни дистрофии, вродени миопатии, прогресиращи мускулни дистрофии, метаболитни миопатии.</w:t>
            </w:r>
            <w:r w:rsidR="00AE47C6" w:rsidRPr="00DF3847">
              <w:rPr>
                <w:rFonts w:ascii="Times New Roman" w:hAnsi="Times New Roman"/>
                <w:noProof/>
                <w:webHidden/>
              </w:rPr>
              <w:tab/>
            </w:r>
          </w:hyperlink>
        </w:p>
        <w:p w14:paraId="486431AE" w14:textId="5CC0B016" w:rsidR="00AE47C6" w:rsidRPr="00DF3847" w:rsidRDefault="00C74E8C">
          <w:pPr>
            <w:pStyle w:val="TOC3"/>
            <w:tabs>
              <w:tab w:val="right" w:leader="dot" w:pos="9060"/>
            </w:tabs>
            <w:rPr>
              <w:rFonts w:ascii="Times New Roman" w:eastAsiaTheme="minorEastAsia" w:hAnsi="Times New Roman"/>
              <w:noProof/>
              <w:lang w:eastAsia="bg-BG"/>
            </w:rPr>
          </w:pPr>
          <w:hyperlink w:anchor="_Toc164075925" w:history="1">
            <w:r w:rsidR="00AE47C6" w:rsidRPr="00DF3847">
              <w:rPr>
                <w:rStyle w:val="Hyperlink"/>
                <w:rFonts w:ascii="Times New Roman" w:eastAsia="SimSun" w:hAnsi="Times New Roman"/>
                <w:noProof/>
                <w:lang w:eastAsia="ja-JP"/>
              </w:rPr>
              <w:t>9.1.1. Вродени мускулни дистрофии (ВМД)</w:t>
            </w:r>
            <w:r w:rsidR="00AE47C6" w:rsidRPr="00DF3847">
              <w:rPr>
                <w:rFonts w:ascii="Times New Roman" w:hAnsi="Times New Roman"/>
                <w:noProof/>
                <w:webHidden/>
              </w:rPr>
              <w:tab/>
            </w:r>
          </w:hyperlink>
        </w:p>
        <w:p w14:paraId="46D2CD62" w14:textId="6730111C" w:rsidR="00AE47C6" w:rsidRPr="00DF3847" w:rsidRDefault="00C74E8C">
          <w:pPr>
            <w:pStyle w:val="TOC3"/>
            <w:tabs>
              <w:tab w:val="right" w:leader="dot" w:pos="9060"/>
            </w:tabs>
            <w:rPr>
              <w:rFonts w:ascii="Times New Roman" w:eastAsiaTheme="minorEastAsia" w:hAnsi="Times New Roman"/>
              <w:noProof/>
              <w:lang w:eastAsia="bg-BG"/>
            </w:rPr>
          </w:pPr>
          <w:hyperlink w:anchor="_Toc164075926" w:history="1">
            <w:r w:rsidR="00AE47C6" w:rsidRPr="00DF3847">
              <w:rPr>
                <w:rStyle w:val="Hyperlink"/>
                <w:rFonts w:ascii="Times New Roman" w:eastAsia="SimSun" w:hAnsi="Times New Roman"/>
                <w:noProof/>
                <w:lang w:eastAsia="ja-JP"/>
              </w:rPr>
              <w:t>9.1.2. Вродени миопатии</w:t>
            </w:r>
            <w:r w:rsidR="00AE47C6" w:rsidRPr="00DF3847">
              <w:rPr>
                <w:rFonts w:ascii="Times New Roman" w:hAnsi="Times New Roman"/>
                <w:noProof/>
                <w:webHidden/>
              </w:rPr>
              <w:tab/>
            </w:r>
          </w:hyperlink>
        </w:p>
        <w:p w14:paraId="201DF508" w14:textId="3A0D4633" w:rsidR="00AE47C6" w:rsidRPr="00DF3847" w:rsidRDefault="00C74E8C">
          <w:pPr>
            <w:pStyle w:val="TOC3"/>
            <w:tabs>
              <w:tab w:val="right" w:leader="dot" w:pos="9060"/>
            </w:tabs>
            <w:rPr>
              <w:rFonts w:ascii="Times New Roman" w:eastAsiaTheme="minorEastAsia" w:hAnsi="Times New Roman"/>
              <w:noProof/>
              <w:lang w:eastAsia="bg-BG"/>
            </w:rPr>
          </w:pPr>
          <w:hyperlink w:anchor="_Toc164075927" w:history="1">
            <w:r w:rsidR="00AE47C6" w:rsidRPr="00DF3847">
              <w:rPr>
                <w:rStyle w:val="Hyperlink"/>
                <w:rFonts w:ascii="Times New Roman" w:eastAsia="SimSun" w:hAnsi="Times New Roman"/>
                <w:noProof/>
                <w:lang w:eastAsia="ja-JP"/>
              </w:rPr>
              <w:t>9.1.3. Прогресивни мускулни дистрофии тип Duchenne/Becker</w:t>
            </w:r>
            <w:r w:rsidR="00AE47C6" w:rsidRPr="00DF3847">
              <w:rPr>
                <w:rFonts w:ascii="Times New Roman" w:hAnsi="Times New Roman"/>
                <w:noProof/>
                <w:webHidden/>
              </w:rPr>
              <w:tab/>
            </w:r>
          </w:hyperlink>
        </w:p>
        <w:p w14:paraId="384DF1DF" w14:textId="2A4AE301" w:rsidR="00AE47C6" w:rsidRPr="00DF3847" w:rsidRDefault="00C74E8C">
          <w:pPr>
            <w:pStyle w:val="TOC3"/>
            <w:tabs>
              <w:tab w:val="right" w:leader="dot" w:pos="9060"/>
            </w:tabs>
            <w:rPr>
              <w:rFonts w:ascii="Times New Roman" w:eastAsiaTheme="minorEastAsia" w:hAnsi="Times New Roman"/>
              <w:noProof/>
              <w:lang w:eastAsia="bg-BG"/>
            </w:rPr>
          </w:pPr>
          <w:hyperlink w:anchor="_Toc164075928" w:history="1">
            <w:r w:rsidR="00AE47C6" w:rsidRPr="00DF3847">
              <w:rPr>
                <w:rStyle w:val="Hyperlink"/>
                <w:rFonts w:ascii="Times New Roman" w:eastAsia="SimSun" w:hAnsi="Times New Roman"/>
                <w:noProof/>
                <w:lang w:eastAsia="ja-JP"/>
              </w:rPr>
              <w:t>9.1.4. Прогресивни мускулни дистрофии тип пояс-крайник (Пояс-крайник мускулни дистрофии ПКМД)</w:t>
            </w:r>
            <w:r w:rsidR="00AE47C6" w:rsidRPr="00DF3847">
              <w:rPr>
                <w:rFonts w:ascii="Times New Roman" w:hAnsi="Times New Roman"/>
                <w:noProof/>
                <w:webHidden/>
              </w:rPr>
              <w:tab/>
            </w:r>
          </w:hyperlink>
        </w:p>
        <w:p w14:paraId="2144DA2C" w14:textId="15F353FD" w:rsidR="00AE47C6" w:rsidRPr="00DF3847" w:rsidRDefault="00C74E8C">
          <w:pPr>
            <w:pStyle w:val="TOC3"/>
            <w:tabs>
              <w:tab w:val="right" w:leader="dot" w:pos="9060"/>
            </w:tabs>
            <w:rPr>
              <w:rFonts w:ascii="Times New Roman" w:eastAsiaTheme="minorEastAsia" w:hAnsi="Times New Roman"/>
              <w:noProof/>
              <w:lang w:eastAsia="bg-BG"/>
            </w:rPr>
          </w:pPr>
          <w:hyperlink w:anchor="_Toc164075929" w:history="1">
            <w:r w:rsidR="00AE47C6" w:rsidRPr="00DF3847">
              <w:rPr>
                <w:rStyle w:val="Hyperlink"/>
                <w:rFonts w:ascii="Times New Roman" w:eastAsia="SimSun" w:hAnsi="Times New Roman"/>
                <w:noProof/>
                <w:lang w:eastAsia="ja-JP"/>
              </w:rPr>
              <w:t>9.1.5. Фациоскапулохумерална дистрофия (ФСХД)</w:t>
            </w:r>
            <w:r w:rsidR="00AE47C6" w:rsidRPr="00DF3847">
              <w:rPr>
                <w:rFonts w:ascii="Times New Roman" w:hAnsi="Times New Roman"/>
                <w:noProof/>
                <w:webHidden/>
              </w:rPr>
              <w:tab/>
            </w:r>
          </w:hyperlink>
        </w:p>
        <w:p w14:paraId="69727B83" w14:textId="32E9D459" w:rsidR="00AE47C6" w:rsidRPr="00DF3847" w:rsidRDefault="00C74E8C">
          <w:pPr>
            <w:pStyle w:val="TOC3"/>
            <w:tabs>
              <w:tab w:val="right" w:leader="dot" w:pos="9060"/>
            </w:tabs>
            <w:rPr>
              <w:rFonts w:ascii="Times New Roman" w:eastAsiaTheme="minorEastAsia" w:hAnsi="Times New Roman"/>
              <w:noProof/>
              <w:lang w:eastAsia="bg-BG"/>
            </w:rPr>
          </w:pPr>
          <w:hyperlink w:anchor="_Toc164075930" w:history="1">
            <w:r w:rsidR="00AE47C6" w:rsidRPr="00DF3847">
              <w:rPr>
                <w:rStyle w:val="Hyperlink"/>
                <w:rFonts w:ascii="Times New Roman" w:eastAsia="SimSun" w:hAnsi="Times New Roman"/>
                <w:noProof/>
              </w:rPr>
              <w:t>9.1.6. Еmery-Dreifuss мускулна дистрофия</w:t>
            </w:r>
            <w:r w:rsidR="00AE47C6" w:rsidRPr="00DF3847">
              <w:rPr>
                <w:rFonts w:ascii="Times New Roman" w:hAnsi="Times New Roman"/>
                <w:noProof/>
                <w:webHidden/>
              </w:rPr>
              <w:tab/>
            </w:r>
          </w:hyperlink>
        </w:p>
        <w:p w14:paraId="67F92CE6" w14:textId="4F842017" w:rsidR="00AE47C6" w:rsidRPr="00DF3847" w:rsidRDefault="00C74E8C">
          <w:pPr>
            <w:pStyle w:val="TOC3"/>
            <w:tabs>
              <w:tab w:val="right" w:leader="dot" w:pos="9060"/>
            </w:tabs>
            <w:rPr>
              <w:rFonts w:ascii="Times New Roman" w:eastAsiaTheme="minorEastAsia" w:hAnsi="Times New Roman"/>
              <w:noProof/>
              <w:lang w:eastAsia="bg-BG"/>
            </w:rPr>
          </w:pPr>
          <w:hyperlink w:anchor="_Toc164075931" w:history="1">
            <w:r w:rsidR="00AE47C6" w:rsidRPr="00DF3847">
              <w:rPr>
                <w:rStyle w:val="Hyperlink"/>
                <w:rFonts w:ascii="Times New Roman" w:eastAsia="SimSun" w:hAnsi="Times New Roman"/>
                <w:noProof/>
                <w:lang w:eastAsia="ja-JP"/>
              </w:rPr>
              <w:t>9.1.7. Метаболитни миопатии</w:t>
            </w:r>
            <w:r w:rsidR="00AE47C6" w:rsidRPr="00DF3847">
              <w:rPr>
                <w:rFonts w:ascii="Times New Roman" w:hAnsi="Times New Roman"/>
                <w:noProof/>
                <w:webHidden/>
              </w:rPr>
              <w:tab/>
            </w:r>
          </w:hyperlink>
        </w:p>
        <w:p w14:paraId="5D3C6B5D" w14:textId="1ACFF051" w:rsidR="00AE47C6" w:rsidRPr="00DF3847" w:rsidRDefault="00C74E8C">
          <w:pPr>
            <w:pStyle w:val="TOC3"/>
            <w:tabs>
              <w:tab w:val="right" w:leader="dot" w:pos="9060"/>
            </w:tabs>
            <w:rPr>
              <w:rFonts w:ascii="Times New Roman" w:eastAsiaTheme="minorEastAsia" w:hAnsi="Times New Roman"/>
              <w:noProof/>
              <w:lang w:eastAsia="bg-BG"/>
            </w:rPr>
          </w:pPr>
          <w:hyperlink w:anchor="_Toc164075932" w:history="1">
            <w:r w:rsidR="00AE47C6" w:rsidRPr="00DF3847">
              <w:rPr>
                <w:rStyle w:val="Hyperlink"/>
                <w:rFonts w:ascii="Times New Roman" w:eastAsia="SimSun" w:hAnsi="Times New Roman"/>
                <w:noProof/>
                <w:lang w:eastAsia="ja-JP"/>
              </w:rPr>
              <w:t>9.1.8. Дистални миопатии</w:t>
            </w:r>
            <w:r w:rsidR="00AE47C6" w:rsidRPr="00DF3847">
              <w:rPr>
                <w:rFonts w:ascii="Times New Roman" w:hAnsi="Times New Roman"/>
                <w:noProof/>
                <w:webHidden/>
              </w:rPr>
              <w:tab/>
            </w:r>
          </w:hyperlink>
        </w:p>
        <w:p w14:paraId="71EFB9A1" w14:textId="364324B9" w:rsidR="00AE47C6" w:rsidRPr="00DF3847" w:rsidRDefault="00C74E8C">
          <w:pPr>
            <w:pStyle w:val="TOC3"/>
            <w:tabs>
              <w:tab w:val="right" w:leader="dot" w:pos="9060"/>
            </w:tabs>
            <w:rPr>
              <w:rFonts w:ascii="Times New Roman" w:eastAsiaTheme="minorEastAsia" w:hAnsi="Times New Roman"/>
              <w:noProof/>
              <w:lang w:eastAsia="bg-BG"/>
            </w:rPr>
          </w:pPr>
          <w:hyperlink w:anchor="_Toc164075933" w:history="1">
            <w:r w:rsidR="00AE47C6" w:rsidRPr="00DF3847">
              <w:rPr>
                <w:rStyle w:val="Hyperlink"/>
                <w:rFonts w:ascii="Times New Roman" w:eastAsia="SimSun" w:hAnsi="Times New Roman"/>
                <w:noProof/>
                <w:lang w:eastAsia="ja-JP"/>
              </w:rPr>
              <w:t>9.1.9. Миотонии и миотонични дистрофии</w:t>
            </w:r>
            <w:r w:rsidR="00AE47C6" w:rsidRPr="00DF3847">
              <w:rPr>
                <w:rFonts w:ascii="Times New Roman" w:hAnsi="Times New Roman"/>
                <w:noProof/>
                <w:webHidden/>
              </w:rPr>
              <w:tab/>
            </w:r>
          </w:hyperlink>
        </w:p>
        <w:p w14:paraId="14B15671" w14:textId="48E4AA1E" w:rsidR="00AE47C6" w:rsidRPr="00DF3847" w:rsidRDefault="00C74E8C">
          <w:pPr>
            <w:pStyle w:val="TOC3"/>
            <w:tabs>
              <w:tab w:val="right" w:leader="dot" w:pos="9060"/>
            </w:tabs>
            <w:rPr>
              <w:rFonts w:ascii="Times New Roman" w:eastAsiaTheme="minorEastAsia" w:hAnsi="Times New Roman"/>
              <w:noProof/>
              <w:lang w:eastAsia="bg-BG"/>
            </w:rPr>
          </w:pPr>
          <w:hyperlink w:anchor="_Toc164075934" w:history="1">
            <w:r w:rsidR="00AE47C6" w:rsidRPr="00DF3847">
              <w:rPr>
                <w:rStyle w:val="Hyperlink"/>
                <w:rFonts w:ascii="Times New Roman" w:eastAsia="SimSun" w:hAnsi="Times New Roman"/>
                <w:noProof/>
                <w:lang w:eastAsia="ja-JP"/>
              </w:rPr>
              <w:t>9.1.10. Периодични парализи</w:t>
            </w:r>
            <w:r w:rsidR="00AE47C6" w:rsidRPr="00DF3847">
              <w:rPr>
                <w:rFonts w:ascii="Times New Roman" w:hAnsi="Times New Roman"/>
                <w:noProof/>
                <w:webHidden/>
              </w:rPr>
              <w:tab/>
            </w:r>
          </w:hyperlink>
        </w:p>
        <w:p w14:paraId="724DF7C0" w14:textId="075F23BC" w:rsidR="00AE47C6" w:rsidRPr="00DF3847" w:rsidRDefault="00C74E8C">
          <w:pPr>
            <w:pStyle w:val="TOC2"/>
            <w:tabs>
              <w:tab w:val="right" w:leader="dot" w:pos="9060"/>
            </w:tabs>
            <w:rPr>
              <w:rFonts w:ascii="Times New Roman" w:eastAsiaTheme="minorEastAsia" w:hAnsi="Times New Roman"/>
              <w:noProof/>
              <w:lang w:eastAsia="bg-BG"/>
            </w:rPr>
          </w:pPr>
          <w:hyperlink w:anchor="_Toc164075935" w:history="1">
            <w:r w:rsidR="00AE47C6" w:rsidRPr="00DF3847">
              <w:rPr>
                <w:rStyle w:val="Hyperlink"/>
                <w:rFonts w:ascii="Times New Roman" w:eastAsia="SimSun" w:hAnsi="Times New Roman"/>
                <w:noProof/>
              </w:rPr>
              <w:t>9.2. Заболявания на периферния двигателен неврон. Спинална мускулна атрофия (СМА)</w:t>
            </w:r>
            <w:r w:rsidR="00AE47C6" w:rsidRPr="00DF3847">
              <w:rPr>
                <w:rFonts w:ascii="Times New Roman" w:hAnsi="Times New Roman"/>
                <w:noProof/>
                <w:webHidden/>
              </w:rPr>
              <w:tab/>
            </w:r>
          </w:hyperlink>
        </w:p>
        <w:p w14:paraId="342684A0" w14:textId="67EA86D0" w:rsidR="00AE47C6" w:rsidRPr="00DF3847" w:rsidRDefault="00C74E8C">
          <w:pPr>
            <w:pStyle w:val="TOC2"/>
            <w:tabs>
              <w:tab w:val="right" w:leader="dot" w:pos="9060"/>
            </w:tabs>
            <w:rPr>
              <w:rFonts w:ascii="Times New Roman" w:eastAsiaTheme="minorEastAsia" w:hAnsi="Times New Roman"/>
              <w:noProof/>
              <w:lang w:eastAsia="bg-BG"/>
            </w:rPr>
          </w:pPr>
          <w:hyperlink w:anchor="_Toc164075936" w:history="1">
            <w:r w:rsidR="00AE47C6" w:rsidRPr="00DF3847">
              <w:rPr>
                <w:rStyle w:val="Hyperlink"/>
                <w:rFonts w:ascii="Times New Roman" w:eastAsia="SimSun" w:hAnsi="Times New Roman"/>
                <w:noProof/>
              </w:rPr>
              <w:t>9.3. Вродени заболявания на невро-мускулното предаване</w:t>
            </w:r>
            <w:r w:rsidR="00AE47C6" w:rsidRPr="00DF3847">
              <w:rPr>
                <w:rFonts w:ascii="Times New Roman" w:hAnsi="Times New Roman"/>
                <w:noProof/>
                <w:webHidden/>
              </w:rPr>
              <w:tab/>
            </w:r>
          </w:hyperlink>
        </w:p>
        <w:p w14:paraId="44BABBFA" w14:textId="2B42B726" w:rsidR="00AE47C6" w:rsidRPr="00DF3847" w:rsidRDefault="00C74E8C">
          <w:pPr>
            <w:pStyle w:val="TOC2"/>
            <w:tabs>
              <w:tab w:val="right" w:leader="dot" w:pos="9060"/>
            </w:tabs>
            <w:rPr>
              <w:rFonts w:ascii="Times New Roman" w:eastAsiaTheme="minorEastAsia" w:hAnsi="Times New Roman"/>
              <w:noProof/>
              <w:lang w:eastAsia="bg-BG"/>
            </w:rPr>
          </w:pPr>
          <w:hyperlink w:anchor="_Toc164075937" w:history="1">
            <w:r w:rsidR="00AE47C6" w:rsidRPr="00DF3847">
              <w:rPr>
                <w:rStyle w:val="Hyperlink"/>
                <w:rFonts w:ascii="Times New Roman" w:eastAsia="SimSun" w:hAnsi="Times New Roman"/>
                <w:noProof/>
              </w:rPr>
              <w:t>9.4. Заболявания на периферните нерви</w:t>
            </w:r>
            <w:r w:rsidR="00AE47C6" w:rsidRPr="00DF3847">
              <w:rPr>
                <w:rFonts w:ascii="Times New Roman" w:hAnsi="Times New Roman"/>
                <w:noProof/>
                <w:webHidden/>
              </w:rPr>
              <w:tab/>
            </w:r>
          </w:hyperlink>
        </w:p>
        <w:p w14:paraId="4ACA3518" w14:textId="397901A0" w:rsidR="00AE47C6" w:rsidRPr="00DF3847" w:rsidRDefault="00C74E8C">
          <w:pPr>
            <w:pStyle w:val="TOC3"/>
            <w:tabs>
              <w:tab w:val="right" w:leader="dot" w:pos="9060"/>
            </w:tabs>
            <w:rPr>
              <w:rFonts w:ascii="Times New Roman" w:eastAsiaTheme="minorEastAsia" w:hAnsi="Times New Roman"/>
              <w:noProof/>
              <w:lang w:eastAsia="bg-BG"/>
            </w:rPr>
          </w:pPr>
          <w:hyperlink w:anchor="_Toc164075938" w:history="1">
            <w:r w:rsidR="00AE47C6" w:rsidRPr="00DF3847">
              <w:rPr>
                <w:rStyle w:val="Hyperlink"/>
                <w:rFonts w:ascii="Times New Roman" w:eastAsia="SimSun" w:hAnsi="Times New Roman"/>
                <w:noProof/>
                <w:lang w:eastAsia="ja-JP"/>
              </w:rPr>
              <w:t>9.4.1. Наследствени сетивни и моторни полиневропатии</w:t>
            </w:r>
            <w:r w:rsidR="00AE47C6" w:rsidRPr="00DF3847">
              <w:rPr>
                <w:rFonts w:ascii="Times New Roman" w:hAnsi="Times New Roman"/>
                <w:noProof/>
                <w:webHidden/>
              </w:rPr>
              <w:tab/>
            </w:r>
          </w:hyperlink>
        </w:p>
        <w:p w14:paraId="4A63BA4D" w14:textId="72402246" w:rsidR="00AE47C6" w:rsidRPr="00DF3847" w:rsidRDefault="00C74E8C">
          <w:pPr>
            <w:pStyle w:val="TOC3"/>
            <w:tabs>
              <w:tab w:val="right" w:leader="dot" w:pos="9060"/>
            </w:tabs>
            <w:rPr>
              <w:rFonts w:ascii="Times New Roman" w:eastAsiaTheme="minorEastAsia" w:hAnsi="Times New Roman"/>
              <w:noProof/>
              <w:lang w:eastAsia="bg-BG"/>
            </w:rPr>
          </w:pPr>
          <w:hyperlink w:anchor="_Toc164075939" w:history="1">
            <w:r w:rsidR="00AE47C6" w:rsidRPr="00DF3847">
              <w:rPr>
                <w:rStyle w:val="Hyperlink"/>
                <w:rFonts w:ascii="Times New Roman" w:eastAsia="SimSun" w:hAnsi="Times New Roman"/>
                <w:noProof/>
              </w:rPr>
              <w:t>9.4.2. Наследствените сетивни и автономни невропатии (НСАН)</w:t>
            </w:r>
            <w:r w:rsidR="00AE47C6" w:rsidRPr="00DF3847">
              <w:rPr>
                <w:rFonts w:ascii="Times New Roman" w:hAnsi="Times New Roman"/>
                <w:noProof/>
                <w:webHidden/>
              </w:rPr>
              <w:tab/>
            </w:r>
          </w:hyperlink>
        </w:p>
        <w:p w14:paraId="6EEEFAFB" w14:textId="216FDEC1" w:rsidR="00AE47C6" w:rsidRPr="00DF3847" w:rsidRDefault="00C74E8C">
          <w:pPr>
            <w:pStyle w:val="TOC1"/>
            <w:rPr>
              <w:rFonts w:ascii="Times New Roman" w:eastAsiaTheme="minorEastAsia" w:hAnsi="Times New Roman"/>
              <w:b w:val="0"/>
              <w:noProof/>
              <w:sz w:val="22"/>
              <w:szCs w:val="22"/>
              <w:lang w:eastAsia="bg-BG"/>
            </w:rPr>
          </w:pPr>
          <w:hyperlink w:anchor="_Toc164075940" w:history="1">
            <w:r w:rsidR="00AE47C6" w:rsidRPr="00DF3847">
              <w:rPr>
                <w:rStyle w:val="Hyperlink"/>
                <w:rFonts w:ascii="Times New Roman" w:eastAsia="SimSun" w:hAnsi="Times New Roman"/>
                <w:b w:val="0"/>
                <w:bCs/>
                <w:noProof/>
              </w:rPr>
              <w:t>10. Множествена склероза и заболявания от спектъра на оптичния невромиелит</w:t>
            </w:r>
            <w:r w:rsidR="00AE47C6" w:rsidRPr="00DF3847">
              <w:rPr>
                <w:rFonts w:ascii="Times New Roman" w:hAnsi="Times New Roman"/>
                <w:b w:val="0"/>
                <w:noProof/>
                <w:webHidden/>
              </w:rPr>
              <w:tab/>
            </w:r>
          </w:hyperlink>
        </w:p>
        <w:p w14:paraId="611F554F" w14:textId="5BC14763" w:rsidR="00AE47C6" w:rsidRPr="00DF3847" w:rsidRDefault="00C74E8C">
          <w:pPr>
            <w:pStyle w:val="TOC2"/>
            <w:tabs>
              <w:tab w:val="right" w:leader="dot" w:pos="9060"/>
            </w:tabs>
            <w:rPr>
              <w:rFonts w:ascii="Times New Roman" w:eastAsiaTheme="minorEastAsia" w:hAnsi="Times New Roman"/>
              <w:noProof/>
              <w:lang w:eastAsia="bg-BG"/>
            </w:rPr>
          </w:pPr>
          <w:hyperlink w:anchor="_Toc164075941" w:history="1">
            <w:r w:rsidR="00AE47C6" w:rsidRPr="00DF3847">
              <w:rPr>
                <w:rStyle w:val="Hyperlink"/>
                <w:rFonts w:ascii="Times New Roman" w:eastAsia="SimSun" w:hAnsi="Times New Roman"/>
                <w:noProof/>
              </w:rPr>
              <w:t>Приложение 1. Форми на клинично протичане на МС според времевия профил</w:t>
            </w:r>
            <w:r w:rsidR="00AE47C6" w:rsidRPr="00DF3847">
              <w:rPr>
                <w:rFonts w:ascii="Times New Roman" w:hAnsi="Times New Roman"/>
                <w:noProof/>
                <w:webHidden/>
              </w:rPr>
              <w:tab/>
            </w:r>
          </w:hyperlink>
        </w:p>
        <w:p w14:paraId="0A18A7B8" w14:textId="20DC806D" w:rsidR="00AE47C6" w:rsidRPr="00DF3847" w:rsidRDefault="00C74E8C">
          <w:pPr>
            <w:pStyle w:val="TOC2"/>
            <w:tabs>
              <w:tab w:val="right" w:leader="dot" w:pos="9060"/>
            </w:tabs>
            <w:rPr>
              <w:rFonts w:ascii="Times New Roman" w:eastAsiaTheme="minorEastAsia" w:hAnsi="Times New Roman"/>
              <w:noProof/>
              <w:lang w:eastAsia="bg-BG"/>
            </w:rPr>
          </w:pPr>
          <w:hyperlink w:anchor="_Toc164075942" w:history="1">
            <w:r w:rsidR="00AE47C6" w:rsidRPr="00DF3847">
              <w:rPr>
                <w:rStyle w:val="Hyperlink"/>
                <w:rFonts w:ascii="Times New Roman" w:eastAsia="SimSun" w:hAnsi="Times New Roman"/>
                <w:noProof/>
              </w:rPr>
              <w:t>Приложение 2. Ревизирани през 2017 г. критерии на McDonald за диагноза на множествената склероза</w:t>
            </w:r>
            <w:r w:rsidR="00AE47C6" w:rsidRPr="00DF3847">
              <w:rPr>
                <w:rFonts w:ascii="Times New Roman" w:hAnsi="Times New Roman"/>
                <w:noProof/>
                <w:webHidden/>
              </w:rPr>
              <w:tab/>
            </w:r>
          </w:hyperlink>
        </w:p>
        <w:p w14:paraId="6EE70686" w14:textId="463798CF" w:rsidR="00AE47C6" w:rsidRPr="00DF3847" w:rsidRDefault="00C74E8C">
          <w:pPr>
            <w:pStyle w:val="TOC2"/>
            <w:tabs>
              <w:tab w:val="right" w:leader="dot" w:pos="9060"/>
            </w:tabs>
            <w:rPr>
              <w:rFonts w:ascii="Times New Roman" w:eastAsiaTheme="minorEastAsia" w:hAnsi="Times New Roman"/>
              <w:noProof/>
              <w:lang w:eastAsia="bg-BG"/>
            </w:rPr>
          </w:pPr>
          <w:hyperlink w:anchor="_Toc164075943" w:history="1">
            <w:r w:rsidR="00AE47C6" w:rsidRPr="00DF3847">
              <w:rPr>
                <w:rStyle w:val="Hyperlink"/>
                <w:rFonts w:ascii="Times New Roman" w:eastAsia="SimSun" w:hAnsi="Times New Roman"/>
                <w:noProof/>
              </w:rPr>
              <w:t>Приложение 3. Ревизирани през 2017 г. МРТ критерии на McDonald</w:t>
            </w:r>
            <w:r w:rsidR="00AE47C6" w:rsidRPr="00DF3847">
              <w:rPr>
                <w:rFonts w:ascii="Times New Roman" w:hAnsi="Times New Roman"/>
                <w:noProof/>
                <w:webHidden/>
              </w:rPr>
              <w:tab/>
            </w:r>
          </w:hyperlink>
        </w:p>
        <w:p w14:paraId="2FF223DD" w14:textId="5DEE146A" w:rsidR="00AE47C6" w:rsidRPr="00DF3847" w:rsidRDefault="00C74E8C">
          <w:pPr>
            <w:pStyle w:val="TOC2"/>
            <w:tabs>
              <w:tab w:val="right" w:leader="dot" w:pos="9060"/>
            </w:tabs>
            <w:rPr>
              <w:rFonts w:ascii="Times New Roman" w:eastAsiaTheme="minorEastAsia" w:hAnsi="Times New Roman"/>
              <w:noProof/>
              <w:lang w:eastAsia="bg-BG"/>
            </w:rPr>
          </w:pPr>
          <w:hyperlink w:anchor="_Toc164075944" w:history="1">
            <w:r w:rsidR="00AE47C6" w:rsidRPr="00DF3847">
              <w:rPr>
                <w:rStyle w:val="Hyperlink"/>
                <w:rFonts w:ascii="Times New Roman" w:eastAsia="SimSun" w:hAnsi="Times New Roman"/>
                <w:noProof/>
              </w:rPr>
              <w:t>Приложение 4. Лечение на пристъп с кортикостероиди</w:t>
            </w:r>
            <w:r w:rsidR="00AE47C6" w:rsidRPr="00DF3847">
              <w:rPr>
                <w:rFonts w:ascii="Times New Roman" w:hAnsi="Times New Roman"/>
                <w:noProof/>
                <w:webHidden/>
              </w:rPr>
              <w:tab/>
            </w:r>
          </w:hyperlink>
        </w:p>
        <w:p w14:paraId="77569F63" w14:textId="119210D6" w:rsidR="00AE47C6" w:rsidRPr="00DF3847" w:rsidRDefault="00C74E8C">
          <w:pPr>
            <w:pStyle w:val="TOC2"/>
            <w:tabs>
              <w:tab w:val="right" w:leader="dot" w:pos="9060"/>
            </w:tabs>
            <w:rPr>
              <w:rFonts w:ascii="Times New Roman" w:eastAsiaTheme="minorEastAsia" w:hAnsi="Times New Roman"/>
              <w:noProof/>
              <w:lang w:eastAsia="bg-BG"/>
            </w:rPr>
          </w:pPr>
          <w:hyperlink w:anchor="_Toc164075945" w:history="1">
            <w:r w:rsidR="00AE47C6" w:rsidRPr="00DF3847">
              <w:rPr>
                <w:rStyle w:val="Hyperlink"/>
                <w:rFonts w:ascii="Times New Roman" w:eastAsia="SimSun" w:hAnsi="Times New Roman"/>
                <w:noProof/>
              </w:rPr>
              <w:t>Приложение 5. Симптоматично медикаментозно лечение на множествена склероза</w:t>
            </w:r>
            <w:r w:rsidR="00AE47C6" w:rsidRPr="00DF3847">
              <w:rPr>
                <w:rFonts w:ascii="Times New Roman" w:hAnsi="Times New Roman"/>
                <w:noProof/>
                <w:webHidden/>
              </w:rPr>
              <w:tab/>
            </w:r>
          </w:hyperlink>
        </w:p>
        <w:p w14:paraId="512D8B74" w14:textId="2B9C8B8E" w:rsidR="00AE47C6" w:rsidRPr="00DF3847" w:rsidRDefault="00C74E8C">
          <w:pPr>
            <w:pStyle w:val="TOC2"/>
            <w:tabs>
              <w:tab w:val="right" w:leader="dot" w:pos="9060"/>
            </w:tabs>
            <w:rPr>
              <w:rFonts w:ascii="Times New Roman" w:eastAsiaTheme="minorEastAsia" w:hAnsi="Times New Roman"/>
              <w:noProof/>
              <w:lang w:eastAsia="bg-BG"/>
            </w:rPr>
          </w:pPr>
          <w:hyperlink w:anchor="_Toc164075946" w:history="1">
            <w:r w:rsidR="00AE47C6" w:rsidRPr="00DF3847">
              <w:rPr>
                <w:rStyle w:val="Hyperlink"/>
                <w:rFonts w:ascii="Times New Roman" w:eastAsia="SimSun" w:hAnsi="Times New Roman"/>
                <w:noProof/>
              </w:rPr>
              <w:t>Приложение 6. Нива на значимост по показателите за ефективност на терапията</w:t>
            </w:r>
            <w:r w:rsidR="00AE47C6" w:rsidRPr="00DF3847">
              <w:rPr>
                <w:rFonts w:ascii="Times New Roman" w:hAnsi="Times New Roman"/>
                <w:noProof/>
                <w:webHidden/>
              </w:rPr>
              <w:tab/>
            </w:r>
          </w:hyperlink>
        </w:p>
        <w:p w14:paraId="5B4BCFF5" w14:textId="2FA287B3" w:rsidR="00AE47C6" w:rsidRPr="00DF3847" w:rsidRDefault="00C74E8C">
          <w:pPr>
            <w:pStyle w:val="TOC2"/>
            <w:tabs>
              <w:tab w:val="right" w:leader="dot" w:pos="9060"/>
            </w:tabs>
            <w:rPr>
              <w:rFonts w:ascii="Times New Roman" w:eastAsiaTheme="minorEastAsia" w:hAnsi="Times New Roman"/>
              <w:noProof/>
              <w:lang w:eastAsia="bg-BG"/>
            </w:rPr>
          </w:pPr>
          <w:hyperlink w:anchor="_Toc164075947" w:history="1">
            <w:r w:rsidR="00AE47C6" w:rsidRPr="00DF3847">
              <w:rPr>
                <w:rStyle w:val="Hyperlink"/>
                <w:rFonts w:ascii="Times New Roman" w:eastAsia="SimSun" w:hAnsi="Times New Roman"/>
                <w:noProof/>
              </w:rPr>
              <w:t>Приложение 7. Скала за количествено отчитане на увредата на неврологичните функции на J. F. Kurtzke (1983 г.)  – Expanded Disability Status Scale (EDSS)</w:t>
            </w:r>
            <w:r w:rsidR="00AE47C6" w:rsidRPr="00DF3847">
              <w:rPr>
                <w:rFonts w:ascii="Times New Roman" w:hAnsi="Times New Roman"/>
                <w:noProof/>
                <w:webHidden/>
              </w:rPr>
              <w:tab/>
            </w:r>
          </w:hyperlink>
        </w:p>
        <w:p w14:paraId="0675DCA6" w14:textId="093CB1F3" w:rsidR="00AE47C6" w:rsidRPr="00DF3847" w:rsidRDefault="00C74E8C">
          <w:pPr>
            <w:pStyle w:val="TOC2"/>
            <w:tabs>
              <w:tab w:val="right" w:leader="dot" w:pos="9060"/>
            </w:tabs>
            <w:rPr>
              <w:rFonts w:ascii="Times New Roman" w:eastAsiaTheme="minorEastAsia" w:hAnsi="Times New Roman"/>
              <w:noProof/>
              <w:lang w:eastAsia="bg-BG"/>
            </w:rPr>
          </w:pPr>
          <w:hyperlink w:anchor="_Toc164075948" w:history="1">
            <w:r w:rsidR="00AE47C6" w:rsidRPr="00DF3847">
              <w:rPr>
                <w:rStyle w:val="Hyperlink"/>
                <w:rFonts w:ascii="Times New Roman" w:eastAsia="SimSun" w:hAnsi="Times New Roman"/>
                <w:noProof/>
                <w:lang w:eastAsia="bg-BG"/>
              </w:rPr>
              <w:t>Приложение 8. Профилактика на МС и риск от COVID-19</w:t>
            </w:r>
            <w:r w:rsidR="00AE47C6" w:rsidRPr="00DF3847">
              <w:rPr>
                <w:rStyle w:val="Hyperlink"/>
                <w:rFonts w:ascii="Times New Roman" w:eastAsia="SimSun" w:hAnsi="Times New Roman"/>
                <w:noProof/>
              </w:rPr>
              <w:t>. Приложение към Националния консенсус за диагностика и лечение на множествената склероза</w:t>
            </w:r>
            <w:r w:rsidR="00AE47C6" w:rsidRPr="00DF3847">
              <w:rPr>
                <w:rFonts w:ascii="Times New Roman" w:hAnsi="Times New Roman"/>
                <w:noProof/>
                <w:webHidden/>
              </w:rPr>
              <w:tab/>
            </w:r>
          </w:hyperlink>
        </w:p>
        <w:p w14:paraId="729E7C55" w14:textId="78837B89" w:rsidR="00AE47C6" w:rsidRPr="00DF3847" w:rsidRDefault="00C74E8C">
          <w:pPr>
            <w:pStyle w:val="TOC1"/>
            <w:rPr>
              <w:rFonts w:ascii="Times New Roman" w:eastAsiaTheme="minorEastAsia" w:hAnsi="Times New Roman"/>
              <w:b w:val="0"/>
              <w:noProof/>
              <w:sz w:val="22"/>
              <w:szCs w:val="22"/>
              <w:lang w:eastAsia="bg-BG"/>
            </w:rPr>
          </w:pPr>
          <w:hyperlink w:anchor="_Toc164075949" w:history="1">
            <w:r w:rsidR="00AE47C6" w:rsidRPr="00DF3847">
              <w:rPr>
                <w:rStyle w:val="Hyperlink"/>
                <w:rFonts w:ascii="Times New Roman" w:eastAsia="SimSun" w:hAnsi="Times New Roman"/>
                <w:b w:val="0"/>
                <w:bCs/>
                <w:noProof/>
              </w:rPr>
              <w:t>11. Епилепсии и епилептични синдроми</w:t>
            </w:r>
            <w:r w:rsidR="00AE47C6" w:rsidRPr="00DF3847">
              <w:rPr>
                <w:rFonts w:ascii="Times New Roman" w:hAnsi="Times New Roman"/>
                <w:b w:val="0"/>
                <w:noProof/>
                <w:webHidden/>
              </w:rPr>
              <w:tab/>
            </w:r>
          </w:hyperlink>
        </w:p>
        <w:p w14:paraId="4514B347" w14:textId="672722D0" w:rsidR="00AE47C6" w:rsidRPr="00DF3847" w:rsidRDefault="00C74E8C">
          <w:pPr>
            <w:pStyle w:val="TOC1"/>
            <w:rPr>
              <w:rFonts w:ascii="Times New Roman" w:eastAsiaTheme="minorEastAsia" w:hAnsi="Times New Roman"/>
              <w:b w:val="0"/>
              <w:noProof/>
              <w:sz w:val="22"/>
              <w:szCs w:val="22"/>
              <w:lang w:eastAsia="bg-BG"/>
            </w:rPr>
          </w:pPr>
          <w:hyperlink w:anchor="_Toc164075950" w:history="1">
            <w:r w:rsidR="00AE47C6" w:rsidRPr="00DF3847">
              <w:rPr>
                <w:rStyle w:val="Hyperlink"/>
                <w:rFonts w:ascii="Times New Roman" w:eastAsia="SimSun" w:hAnsi="Times New Roman"/>
                <w:b w:val="0"/>
                <w:bCs/>
                <w:noProof/>
              </w:rPr>
              <w:t>12. Детска церебрална парализа  (ДЦП, ЦП)</w:t>
            </w:r>
            <w:r w:rsidR="00AE47C6" w:rsidRPr="00DF3847">
              <w:rPr>
                <w:rFonts w:ascii="Times New Roman" w:hAnsi="Times New Roman"/>
                <w:b w:val="0"/>
                <w:noProof/>
                <w:webHidden/>
              </w:rPr>
              <w:tab/>
            </w:r>
          </w:hyperlink>
        </w:p>
        <w:p w14:paraId="462E81EF" w14:textId="636F8311" w:rsidR="00AE47C6" w:rsidRPr="00DF3847" w:rsidRDefault="00C74E8C">
          <w:pPr>
            <w:pStyle w:val="TOC1"/>
            <w:rPr>
              <w:rFonts w:ascii="Times New Roman" w:eastAsiaTheme="minorEastAsia" w:hAnsi="Times New Roman"/>
              <w:b w:val="0"/>
              <w:noProof/>
              <w:sz w:val="22"/>
              <w:szCs w:val="22"/>
              <w:lang w:eastAsia="bg-BG"/>
            </w:rPr>
          </w:pPr>
          <w:hyperlink w:anchor="_Toc164075951" w:history="1">
            <w:r w:rsidR="00AE47C6" w:rsidRPr="00DF3847">
              <w:rPr>
                <w:rStyle w:val="Hyperlink"/>
                <w:rFonts w:ascii="Times New Roman" w:eastAsia="SimSun" w:hAnsi="Times New Roman"/>
                <w:b w:val="0"/>
                <w:bCs/>
                <w:noProof/>
              </w:rPr>
              <w:t>13. Главоболие</w:t>
            </w:r>
            <w:r w:rsidR="00AE47C6" w:rsidRPr="00DF3847">
              <w:rPr>
                <w:rFonts w:ascii="Times New Roman" w:hAnsi="Times New Roman"/>
                <w:b w:val="0"/>
                <w:noProof/>
                <w:webHidden/>
              </w:rPr>
              <w:tab/>
            </w:r>
          </w:hyperlink>
        </w:p>
        <w:p w14:paraId="013B912F" w14:textId="48040688" w:rsidR="00AE47C6" w:rsidRPr="00DF3847" w:rsidRDefault="00C74E8C">
          <w:pPr>
            <w:pStyle w:val="TOC2"/>
            <w:tabs>
              <w:tab w:val="right" w:leader="dot" w:pos="9060"/>
            </w:tabs>
            <w:rPr>
              <w:rFonts w:ascii="Times New Roman" w:eastAsiaTheme="minorEastAsia" w:hAnsi="Times New Roman"/>
              <w:noProof/>
              <w:lang w:eastAsia="bg-BG"/>
            </w:rPr>
          </w:pPr>
          <w:hyperlink w:anchor="_Toc164075952" w:history="1">
            <w:r w:rsidR="00AE47C6" w:rsidRPr="00DF3847">
              <w:rPr>
                <w:rStyle w:val="Hyperlink"/>
                <w:rFonts w:ascii="Times New Roman" w:eastAsia="SimSun" w:hAnsi="Times New Roman"/>
                <w:noProof/>
              </w:rPr>
              <w:t>13.1. Мигрена</w:t>
            </w:r>
            <w:r w:rsidR="00AE47C6" w:rsidRPr="00DF3847">
              <w:rPr>
                <w:rFonts w:ascii="Times New Roman" w:hAnsi="Times New Roman"/>
                <w:noProof/>
                <w:webHidden/>
              </w:rPr>
              <w:tab/>
            </w:r>
          </w:hyperlink>
        </w:p>
        <w:p w14:paraId="653D6601" w14:textId="5D7B63B3" w:rsidR="00AE47C6" w:rsidRPr="00DF3847" w:rsidRDefault="00C74E8C">
          <w:pPr>
            <w:pStyle w:val="TOC2"/>
            <w:tabs>
              <w:tab w:val="right" w:leader="dot" w:pos="9060"/>
            </w:tabs>
            <w:rPr>
              <w:rFonts w:ascii="Times New Roman" w:eastAsiaTheme="minorEastAsia" w:hAnsi="Times New Roman"/>
              <w:noProof/>
              <w:lang w:eastAsia="bg-BG"/>
            </w:rPr>
          </w:pPr>
          <w:hyperlink w:anchor="_Toc164075953" w:history="1">
            <w:r w:rsidR="00AE47C6" w:rsidRPr="00DF3847">
              <w:rPr>
                <w:rStyle w:val="Hyperlink"/>
                <w:rFonts w:ascii="Times New Roman" w:eastAsia="SimSun" w:hAnsi="Times New Roman"/>
                <w:noProof/>
              </w:rPr>
              <w:t>13.2. Тензионен тип главоболие</w:t>
            </w:r>
            <w:r w:rsidR="00AE47C6" w:rsidRPr="00DF3847">
              <w:rPr>
                <w:rFonts w:ascii="Times New Roman" w:hAnsi="Times New Roman"/>
                <w:noProof/>
                <w:webHidden/>
              </w:rPr>
              <w:tab/>
            </w:r>
          </w:hyperlink>
        </w:p>
        <w:p w14:paraId="7F7F1B76" w14:textId="61ACB120" w:rsidR="00AE47C6" w:rsidRPr="00DF3847" w:rsidRDefault="00C74E8C">
          <w:pPr>
            <w:pStyle w:val="TOC2"/>
            <w:tabs>
              <w:tab w:val="right" w:leader="dot" w:pos="9060"/>
            </w:tabs>
            <w:rPr>
              <w:rFonts w:ascii="Times New Roman" w:eastAsiaTheme="minorEastAsia" w:hAnsi="Times New Roman"/>
              <w:noProof/>
              <w:lang w:eastAsia="bg-BG"/>
            </w:rPr>
          </w:pPr>
          <w:hyperlink w:anchor="_Toc164075954" w:history="1">
            <w:r w:rsidR="00AE47C6" w:rsidRPr="00DF3847">
              <w:rPr>
                <w:rStyle w:val="Hyperlink"/>
                <w:rFonts w:ascii="Times New Roman" w:eastAsia="SimSun" w:hAnsi="Times New Roman"/>
                <w:noProof/>
              </w:rPr>
              <w:t>13.3. Тригеминални автономни цефалгии</w:t>
            </w:r>
            <w:r w:rsidR="00AE47C6" w:rsidRPr="00DF3847">
              <w:rPr>
                <w:rFonts w:ascii="Times New Roman" w:hAnsi="Times New Roman"/>
                <w:noProof/>
                <w:webHidden/>
              </w:rPr>
              <w:tab/>
            </w:r>
          </w:hyperlink>
        </w:p>
        <w:p w14:paraId="4A4D8723" w14:textId="3914166E" w:rsidR="00AE47C6" w:rsidRPr="00DF3847" w:rsidRDefault="00C74E8C">
          <w:pPr>
            <w:pStyle w:val="TOC3"/>
            <w:tabs>
              <w:tab w:val="right" w:leader="dot" w:pos="9060"/>
            </w:tabs>
            <w:rPr>
              <w:rFonts w:ascii="Times New Roman" w:eastAsiaTheme="minorEastAsia" w:hAnsi="Times New Roman"/>
              <w:noProof/>
              <w:lang w:eastAsia="bg-BG"/>
            </w:rPr>
          </w:pPr>
          <w:hyperlink w:anchor="_Toc164075955" w:history="1">
            <w:r w:rsidR="00AE47C6" w:rsidRPr="00DF3847">
              <w:rPr>
                <w:rStyle w:val="Hyperlink"/>
                <w:rFonts w:ascii="Times New Roman" w:eastAsia="SimSun" w:hAnsi="Times New Roman"/>
                <w:noProof/>
                <w:lang w:eastAsia="ja-JP"/>
              </w:rPr>
              <w:t>13.3.1. Кластърно главоболие</w:t>
            </w:r>
            <w:r w:rsidR="00AE47C6" w:rsidRPr="00DF3847">
              <w:rPr>
                <w:rFonts w:ascii="Times New Roman" w:hAnsi="Times New Roman"/>
                <w:noProof/>
                <w:webHidden/>
              </w:rPr>
              <w:tab/>
            </w:r>
          </w:hyperlink>
        </w:p>
        <w:p w14:paraId="1B461A91" w14:textId="52AD52D3" w:rsidR="00AE47C6" w:rsidRPr="00DF3847" w:rsidRDefault="00C74E8C">
          <w:pPr>
            <w:pStyle w:val="TOC3"/>
            <w:tabs>
              <w:tab w:val="right" w:leader="dot" w:pos="9060"/>
            </w:tabs>
            <w:rPr>
              <w:rFonts w:ascii="Times New Roman" w:eastAsiaTheme="minorEastAsia" w:hAnsi="Times New Roman"/>
              <w:noProof/>
              <w:lang w:eastAsia="bg-BG"/>
            </w:rPr>
          </w:pPr>
          <w:hyperlink w:anchor="_Toc164075956" w:history="1">
            <w:r w:rsidR="00AE47C6" w:rsidRPr="00DF3847">
              <w:rPr>
                <w:rStyle w:val="Hyperlink"/>
                <w:rFonts w:ascii="Times New Roman" w:eastAsia="SimSun" w:hAnsi="Times New Roman"/>
                <w:noProof/>
                <w:lang w:eastAsia="ja-JP"/>
              </w:rPr>
              <w:t>13.3.2. Пароксизмална хемикрания</w:t>
            </w:r>
            <w:r w:rsidR="00AE47C6" w:rsidRPr="00DF3847">
              <w:rPr>
                <w:rFonts w:ascii="Times New Roman" w:hAnsi="Times New Roman"/>
                <w:noProof/>
                <w:webHidden/>
              </w:rPr>
              <w:tab/>
            </w:r>
          </w:hyperlink>
        </w:p>
        <w:p w14:paraId="6B75DFC6" w14:textId="5E4F52D3" w:rsidR="00AE47C6" w:rsidRPr="00DF3847" w:rsidRDefault="00C74E8C">
          <w:pPr>
            <w:pStyle w:val="TOC3"/>
            <w:tabs>
              <w:tab w:val="right" w:leader="dot" w:pos="9060"/>
            </w:tabs>
            <w:rPr>
              <w:rFonts w:ascii="Times New Roman" w:eastAsiaTheme="minorEastAsia" w:hAnsi="Times New Roman"/>
              <w:noProof/>
              <w:lang w:eastAsia="bg-BG"/>
            </w:rPr>
          </w:pPr>
          <w:hyperlink w:anchor="_Toc164075957" w:history="1">
            <w:r w:rsidR="00AE47C6" w:rsidRPr="00DF3847">
              <w:rPr>
                <w:rStyle w:val="Hyperlink"/>
                <w:rFonts w:ascii="Times New Roman" w:eastAsia="SimSun" w:hAnsi="Times New Roman"/>
                <w:noProof/>
                <w:lang w:eastAsia="ja-JP"/>
              </w:rPr>
              <w:t>13.3.3. Краткотрайно едностранно невралгиформено главоболие с конюнтивална инекция и сълзотечение (SUNCT)</w:t>
            </w:r>
            <w:r w:rsidR="00AE47C6" w:rsidRPr="00DF3847">
              <w:rPr>
                <w:rFonts w:ascii="Times New Roman" w:hAnsi="Times New Roman"/>
                <w:noProof/>
                <w:webHidden/>
              </w:rPr>
              <w:tab/>
            </w:r>
          </w:hyperlink>
        </w:p>
        <w:p w14:paraId="2416AA7D" w14:textId="24295141" w:rsidR="00AE47C6" w:rsidRPr="00DF3847" w:rsidRDefault="00C74E8C">
          <w:pPr>
            <w:pStyle w:val="TOC3"/>
            <w:tabs>
              <w:tab w:val="right" w:leader="dot" w:pos="9060"/>
            </w:tabs>
            <w:rPr>
              <w:rFonts w:ascii="Times New Roman" w:eastAsiaTheme="minorEastAsia" w:hAnsi="Times New Roman"/>
              <w:noProof/>
              <w:lang w:eastAsia="bg-BG"/>
            </w:rPr>
          </w:pPr>
          <w:hyperlink w:anchor="_Toc164075958" w:history="1">
            <w:r w:rsidR="00AE47C6" w:rsidRPr="00DF3847">
              <w:rPr>
                <w:rStyle w:val="Hyperlink"/>
                <w:rFonts w:ascii="Times New Roman" w:eastAsia="SimSun" w:hAnsi="Times New Roman"/>
                <w:noProof/>
                <w:lang w:eastAsia="ja-JP"/>
              </w:rPr>
              <w:t>13.3.4. Hemicrania continua</w:t>
            </w:r>
            <w:r w:rsidR="00AE47C6" w:rsidRPr="00DF3847">
              <w:rPr>
                <w:rFonts w:ascii="Times New Roman" w:hAnsi="Times New Roman"/>
                <w:noProof/>
                <w:webHidden/>
              </w:rPr>
              <w:tab/>
            </w:r>
          </w:hyperlink>
        </w:p>
        <w:p w14:paraId="1497451F" w14:textId="601EF3F7" w:rsidR="00AE47C6" w:rsidRPr="00DF3847" w:rsidRDefault="00C74E8C">
          <w:pPr>
            <w:pStyle w:val="TOC1"/>
            <w:rPr>
              <w:rFonts w:ascii="Times New Roman" w:eastAsiaTheme="minorEastAsia" w:hAnsi="Times New Roman"/>
              <w:b w:val="0"/>
              <w:noProof/>
              <w:sz w:val="22"/>
              <w:szCs w:val="22"/>
              <w:lang w:eastAsia="bg-BG"/>
            </w:rPr>
          </w:pPr>
          <w:hyperlink w:anchor="_Toc164075959" w:history="1">
            <w:r w:rsidR="00AE47C6" w:rsidRPr="00DF3847">
              <w:rPr>
                <w:rStyle w:val="Hyperlink"/>
                <w:rFonts w:ascii="Times New Roman" w:eastAsia="SimSun" w:hAnsi="Times New Roman"/>
                <w:b w:val="0"/>
                <w:bCs/>
                <w:noProof/>
              </w:rPr>
              <w:t>14. Туберозна склероза комплекс</w:t>
            </w:r>
            <w:r w:rsidR="00AE47C6" w:rsidRPr="00DF3847">
              <w:rPr>
                <w:rFonts w:ascii="Times New Roman" w:hAnsi="Times New Roman"/>
                <w:b w:val="0"/>
                <w:noProof/>
                <w:webHidden/>
              </w:rPr>
              <w:tab/>
            </w:r>
          </w:hyperlink>
        </w:p>
        <w:p w14:paraId="0A436339" w14:textId="1E824444" w:rsidR="00AE47C6" w:rsidRPr="00DF3847" w:rsidRDefault="00C74E8C">
          <w:pPr>
            <w:pStyle w:val="TOC1"/>
            <w:rPr>
              <w:rFonts w:ascii="Times New Roman" w:eastAsiaTheme="minorEastAsia" w:hAnsi="Times New Roman"/>
              <w:b w:val="0"/>
              <w:noProof/>
              <w:sz w:val="22"/>
              <w:szCs w:val="22"/>
              <w:lang w:eastAsia="bg-BG"/>
            </w:rPr>
          </w:pPr>
          <w:hyperlink w:anchor="_Toc164075960" w:history="1">
            <w:r w:rsidR="00AE47C6" w:rsidRPr="00DF3847">
              <w:rPr>
                <w:rStyle w:val="Hyperlink"/>
                <w:rFonts w:ascii="Times New Roman" w:eastAsia="SimSun" w:hAnsi="Times New Roman"/>
                <w:b w:val="0"/>
                <w:bCs/>
                <w:noProof/>
              </w:rPr>
              <w:t>15. Приложение на терапевтичната плазмафереза при неврологични заболявания</w:t>
            </w:r>
            <w:r w:rsidR="00AE47C6" w:rsidRPr="00DF3847">
              <w:rPr>
                <w:rFonts w:ascii="Times New Roman" w:hAnsi="Times New Roman"/>
                <w:b w:val="0"/>
                <w:noProof/>
                <w:webHidden/>
              </w:rPr>
              <w:tab/>
            </w:r>
          </w:hyperlink>
        </w:p>
        <w:p w14:paraId="56423495" w14:textId="0681B003" w:rsidR="00AE47C6" w:rsidRPr="00AE47C6" w:rsidRDefault="00C74E8C">
          <w:pPr>
            <w:pStyle w:val="TOC1"/>
            <w:rPr>
              <w:rFonts w:ascii="Times New Roman" w:eastAsiaTheme="minorEastAsia" w:hAnsi="Times New Roman"/>
              <w:b w:val="0"/>
              <w:noProof/>
              <w:sz w:val="22"/>
              <w:szCs w:val="22"/>
              <w:lang w:eastAsia="bg-BG"/>
            </w:rPr>
          </w:pPr>
          <w:hyperlink w:anchor="_Toc164075961" w:history="1">
            <w:r w:rsidR="00AE47C6" w:rsidRPr="00DF3847">
              <w:rPr>
                <w:rStyle w:val="Hyperlink"/>
                <w:rFonts w:ascii="Times New Roman" w:eastAsia="SimSun" w:hAnsi="Times New Roman"/>
                <w:b w:val="0"/>
                <w:bCs/>
                <w:noProof/>
              </w:rPr>
              <w:t>16. Диагностика и лечение на разстройствата на съня и бодърстването</w:t>
            </w:r>
            <w:r w:rsidR="00AE47C6" w:rsidRPr="00DF3847">
              <w:rPr>
                <w:rFonts w:ascii="Times New Roman" w:hAnsi="Times New Roman"/>
                <w:b w:val="0"/>
                <w:noProof/>
                <w:webHidden/>
              </w:rPr>
              <w:tab/>
            </w:r>
          </w:hyperlink>
        </w:p>
        <w:p w14:paraId="69D5CA25" w14:textId="0F5BFE9E" w:rsidR="00BE0B19" w:rsidRPr="00AE47C6" w:rsidRDefault="00BE0B19" w:rsidP="00BE0B19">
          <w:pPr>
            <w:rPr>
              <w:rFonts w:ascii="Times New Roman" w:eastAsia="SimSun" w:hAnsi="Times New Roman"/>
            </w:rPr>
          </w:pPr>
          <w:r w:rsidRPr="00AE47C6">
            <w:rPr>
              <w:rFonts w:ascii="Times New Roman" w:eastAsia="SimSun" w:hAnsi="Times New Roman"/>
              <w:b/>
              <w:bCs/>
              <w:noProof/>
            </w:rPr>
            <w:fldChar w:fldCharType="end"/>
          </w:r>
        </w:p>
      </w:sdtContent>
    </w:sdt>
    <w:p w14:paraId="5E34ACDD" w14:textId="77777777" w:rsidR="00DF3847" w:rsidRDefault="00DF3847" w:rsidP="00BE0B19">
      <w:pPr>
        <w:shd w:val="clear" w:color="auto" w:fill="FFFFFF" w:themeFill="background1"/>
        <w:tabs>
          <w:tab w:val="left" w:pos="8080"/>
        </w:tabs>
        <w:spacing w:after="0" w:line="360" w:lineRule="auto"/>
        <w:ind w:firstLine="567"/>
        <w:jc w:val="both"/>
        <w:rPr>
          <w:rFonts w:ascii="Times New Roman" w:eastAsia="SimSun" w:hAnsi="Times New Roman"/>
          <w:sz w:val="24"/>
          <w:szCs w:val="24"/>
        </w:rPr>
      </w:pPr>
    </w:p>
    <w:p w14:paraId="7F91F743" w14:textId="05F4A4CF" w:rsidR="00DF3847" w:rsidRDefault="00DF3847" w:rsidP="00BE0B19">
      <w:pPr>
        <w:shd w:val="clear" w:color="auto" w:fill="FFFFFF" w:themeFill="background1"/>
        <w:tabs>
          <w:tab w:val="left" w:pos="8080"/>
        </w:tabs>
        <w:spacing w:after="0" w:line="360" w:lineRule="auto"/>
        <w:ind w:firstLine="567"/>
        <w:jc w:val="both"/>
        <w:rPr>
          <w:rFonts w:ascii="Times New Roman" w:eastAsia="SimSun" w:hAnsi="Times New Roman"/>
          <w:sz w:val="24"/>
          <w:szCs w:val="24"/>
        </w:rPr>
      </w:pPr>
    </w:p>
    <w:p w14:paraId="156343B0" w14:textId="77777777" w:rsidR="00DF3847" w:rsidRDefault="00DF3847" w:rsidP="00BE0B19">
      <w:pPr>
        <w:shd w:val="clear" w:color="auto" w:fill="FFFFFF" w:themeFill="background1"/>
        <w:tabs>
          <w:tab w:val="left" w:pos="8080"/>
        </w:tabs>
        <w:spacing w:after="0" w:line="360" w:lineRule="auto"/>
        <w:ind w:firstLine="567"/>
        <w:jc w:val="both"/>
        <w:rPr>
          <w:rFonts w:ascii="Times New Roman" w:eastAsia="SimSun" w:hAnsi="Times New Roman"/>
          <w:sz w:val="24"/>
          <w:szCs w:val="24"/>
        </w:rPr>
      </w:pPr>
    </w:p>
    <w:p w14:paraId="14625247" w14:textId="77777777" w:rsidR="00DF3847" w:rsidRDefault="00DF3847" w:rsidP="00BE0B19">
      <w:pPr>
        <w:shd w:val="clear" w:color="auto" w:fill="FFFFFF" w:themeFill="background1"/>
        <w:tabs>
          <w:tab w:val="left" w:pos="8080"/>
        </w:tabs>
        <w:spacing w:after="0" w:line="360" w:lineRule="auto"/>
        <w:ind w:firstLine="567"/>
        <w:jc w:val="both"/>
        <w:rPr>
          <w:rFonts w:ascii="Times New Roman" w:eastAsia="SimSun" w:hAnsi="Times New Roman"/>
          <w:sz w:val="24"/>
          <w:szCs w:val="24"/>
        </w:rPr>
      </w:pPr>
    </w:p>
    <w:p w14:paraId="3026BB01" w14:textId="77777777" w:rsidR="00DF3847" w:rsidRDefault="00DF3847" w:rsidP="00BE0B19">
      <w:pPr>
        <w:shd w:val="clear" w:color="auto" w:fill="FFFFFF" w:themeFill="background1"/>
        <w:tabs>
          <w:tab w:val="left" w:pos="8080"/>
        </w:tabs>
        <w:spacing w:after="0" w:line="360" w:lineRule="auto"/>
        <w:ind w:firstLine="567"/>
        <w:jc w:val="both"/>
        <w:rPr>
          <w:rFonts w:ascii="Times New Roman" w:eastAsia="SimSun" w:hAnsi="Times New Roman"/>
          <w:sz w:val="24"/>
          <w:szCs w:val="24"/>
        </w:rPr>
      </w:pPr>
    </w:p>
    <w:p w14:paraId="48AFCAC7" w14:textId="77777777" w:rsidR="00DF3847" w:rsidRDefault="00DF3847" w:rsidP="00BE0B19">
      <w:pPr>
        <w:shd w:val="clear" w:color="auto" w:fill="FFFFFF" w:themeFill="background1"/>
        <w:tabs>
          <w:tab w:val="left" w:pos="8080"/>
        </w:tabs>
        <w:spacing w:after="0" w:line="360" w:lineRule="auto"/>
        <w:ind w:firstLine="567"/>
        <w:jc w:val="both"/>
        <w:rPr>
          <w:rFonts w:ascii="Times New Roman" w:eastAsia="SimSun" w:hAnsi="Times New Roman"/>
          <w:sz w:val="24"/>
          <w:szCs w:val="24"/>
        </w:rPr>
      </w:pPr>
    </w:p>
    <w:p w14:paraId="5F561F1E" w14:textId="77777777" w:rsidR="00DF3847" w:rsidRDefault="00DF3847" w:rsidP="00BE0B19">
      <w:pPr>
        <w:shd w:val="clear" w:color="auto" w:fill="FFFFFF" w:themeFill="background1"/>
        <w:tabs>
          <w:tab w:val="left" w:pos="8080"/>
        </w:tabs>
        <w:spacing w:after="0" w:line="360" w:lineRule="auto"/>
        <w:ind w:firstLine="567"/>
        <w:jc w:val="both"/>
        <w:rPr>
          <w:rFonts w:ascii="Times New Roman" w:eastAsia="SimSun" w:hAnsi="Times New Roman"/>
          <w:sz w:val="24"/>
          <w:szCs w:val="24"/>
        </w:rPr>
      </w:pPr>
    </w:p>
    <w:p w14:paraId="49B8DC43" w14:textId="1B030EA9" w:rsidR="00BE0B19" w:rsidRPr="00AE47C6" w:rsidRDefault="00BE0B19" w:rsidP="00BE0B19">
      <w:pPr>
        <w:shd w:val="clear" w:color="auto" w:fill="FFFFFF" w:themeFill="background1"/>
        <w:tabs>
          <w:tab w:val="left" w:pos="8080"/>
        </w:tabs>
        <w:spacing w:after="0" w:line="360" w:lineRule="auto"/>
        <w:ind w:firstLine="567"/>
        <w:jc w:val="both"/>
        <w:rPr>
          <w:rFonts w:ascii="Times New Roman" w:eastAsia="SimSun" w:hAnsi="Times New Roman"/>
          <w:sz w:val="24"/>
          <w:szCs w:val="24"/>
        </w:rPr>
      </w:pPr>
      <w:r w:rsidRPr="00AE47C6">
        <w:rPr>
          <w:rFonts w:ascii="Times New Roman" w:eastAsia="SimSun" w:hAnsi="Times New Roman"/>
          <w:sz w:val="24"/>
          <w:szCs w:val="24"/>
        </w:rPr>
        <w:t xml:space="preserve">Фармакотерапевтичното ръководство за лечение на неврологичните заболявания е изработено въз основа на приетите национални консенсуси за диагностика и лечение на редица неврологични заболявания: мозъчно-съдови заболявания (2013 г., 2018 г., 2020 г.), имуномедиирани полиневрити и полиневропатии (2012 г., 2019 г.) и фамилни амилоидни полиневропатии (2019 г.), хередитарна транстиретинова амилоидоза (2019 г., 2023 г.), неврологично обусловени болки (2010 г., 2018 г.), множествена склероза (2012 г., 2014 г., 2015 г., 2017 г., 2018 г., 2019 г., 2021 г., 2022 г., 2023 г.) и заболявания от спектъра на оптичния невромиелит (2023 г.), епилепсия (2011 г., 2014 г., 2017 г., 2019 г., 2020 г., 2022 г., 2023 г.), разстройствата на съня и бодърстването (2019 г.), туберозна склероза – комплекс (2019 г.), болест на Pompe (2013 г.), двигателни нарушения (2017 г., 2018 г., 2021) и Паркинсонова болест (2010 г., 2013 г., 2015, 2018 г., 2022 г., 2023 г.), деменции (2015 г.), болестите с натрупване в лизозомите с неврологични изяви (2020 г. и 2023 г.), невромускулни заболявания (2012 г., 2019 г., 2020 г., 2021 г.), детска церебрална парализа (2014 г., 2019 г.), първични типове главоболие (2009 г., 2018 г., 2019 г., 2023 г.), лечение на болката (2018 г., 2023 г.), остри енцефалити, автоимунни енцефалити и остри вирус-индуцирани енцефалопатии (2019 г.), терапевтична плазмафереза (2014 г, 2019 г.); myasthenia gravis  (2021 г., 2023 г.), алгоритмите за диагностика и лечение на неврологични заболявания (2012 г.) и актуалните основни ръководства по неврология (Неврология, 2012 г. 2022 г.). Гореизброените национални консенсуси за диагностика и лечение са изработени от групи експерти невролози, представяни са на Национални конгреси и конференции на Българското научно дружество по неврология, като диагностиката на болестите е съобразена с международните правила, а терапията им - с регистрацията на лекарствените средства според проведените клинични проучвания, доказващи ефективност и безопасност, както и според международни консенсуси и правила. Утвърдените български консенсуси за диагностика и лечение на неврологичните заболявания са основа на алгоритми за диагностиката и лечението им  в неврологичните клинични пътеки на НЗОК (Неврологичните заболявания и лекарствените продукти са включени в приложение № 1 на Позитивния лекарствен списък (ПЛС) по чл. 262, ал. 6, т. 1 ЗЛПХМ, за които са подадени заявления по реда на Наредба № 10 от 2009 г на МЗ). </w:t>
      </w:r>
    </w:p>
    <w:p w14:paraId="53E6C29E" w14:textId="336C8A7D" w:rsidR="00BE0B19" w:rsidRPr="00AE47C6" w:rsidRDefault="00C41702" w:rsidP="00BE0B19">
      <w:pPr>
        <w:spacing w:after="0" w:line="360" w:lineRule="auto"/>
        <w:ind w:firstLine="567"/>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Фармако-терапевтичното ръководство е организирано </w:t>
      </w:r>
      <w:r w:rsidR="00BE0B19" w:rsidRPr="00AE47C6">
        <w:rPr>
          <w:rFonts w:ascii="Times New Roman" w:eastAsia="SimSun" w:hAnsi="Times New Roman"/>
          <w:sz w:val="24"/>
          <w:szCs w:val="24"/>
        </w:rPr>
        <w:t xml:space="preserve">в 16 раздела, съдържащи информация относно характеристика на основните неврологични заболяванията, общи и епидемиологични данни, критерии за поставяне на диагноза, диференциална диагноза, терапия, вкл. лекарствена терапия и контролиране и лечение на нежеланите лекарствени реакции, критерии за оценка на ефективността на прилаганата терапия: </w:t>
      </w:r>
    </w:p>
    <w:p w14:paraId="56C4FDCA" w14:textId="77777777" w:rsidR="00BE0B19" w:rsidRPr="00AE47C6" w:rsidRDefault="00BE0B19" w:rsidP="00BE0B19">
      <w:pPr>
        <w:spacing w:after="0" w:line="360" w:lineRule="auto"/>
        <w:ind w:firstLine="567"/>
        <w:contextualSpacing/>
        <w:jc w:val="both"/>
        <w:rPr>
          <w:rFonts w:ascii="Times New Roman" w:eastAsia="SimSun" w:hAnsi="Times New Roman"/>
          <w:sz w:val="24"/>
          <w:szCs w:val="24"/>
        </w:rPr>
      </w:pPr>
    </w:p>
    <w:p w14:paraId="5E4918C8" w14:textId="77777777" w:rsidR="00BE0B19" w:rsidRPr="00AE47C6" w:rsidRDefault="00BE0B19" w:rsidP="00BE0B19">
      <w:pPr>
        <w:numPr>
          <w:ilvl w:val="0"/>
          <w:numId w:val="3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Мозъчни инсулти</w:t>
      </w:r>
    </w:p>
    <w:p w14:paraId="354887CD" w14:textId="77777777" w:rsidR="00BE0B19" w:rsidRPr="00AE47C6" w:rsidRDefault="00BE0B19" w:rsidP="00BE0B19">
      <w:pPr>
        <w:numPr>
          <w:ilvl w:val="0"/>
          <w:numId w:val="3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Заболявания на периферната нервна система: неврити и невропатии</w:t>
      </w:r>
    </w:p>
    <w:p w14:paraId="3A8E8077" w14:textId="77777777" w:rsidR="00BE0B19" w:rsidRPr="00AE47C6" w:rsidRDefault="00BE0B19" w:rsidP="00BE0B19">
      <w:pPr>
        <w:numPr>
          <w:ilvl w:val="0"/>
          <w:numId w:val="3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Диагностика и лечение на неврологично обусловените болки</w:t>
      </w:r>
    </w:p>
    <w:p w14:paraId="07E32987" w14:textId="77777777" w:rsidR="00BE0B19" w:rsidRPr="00AE47C6" w:rsidRDefault="00BE0B19" w:rsidP="00BE0B19">
      <w:pPr>
        <w:numPr>
          <w:ilvl w:val="0"/>
          <w:numId w:val="3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Невроинфекции- менингити и енцефалити (бактериални и вирусни)</w:t>
      </w:r>
    </w:p>
    <w:p w14:paraId="30BCE0C8" w14:textId="77777777" w:rsidR="00BE0B19" w:rsidRPr="00AE47C6" w:rsidRDefault="00BE0B19" w:rsidP="00BE0B19">
      <w:pPr>
        <w:numPr>
          <w:ilvl w:val="0"/>
          <w:numId w:val="3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Левкодистрофии, невролипидози и церебеларни дегенеративни заболявания</w:t>
      </w:r>
    </w:p>
    <w:p w14:paraId="59083019" w14:textId="77777777" w:rsidR="00BE0B19" w:rsidRPr="00AE47C6" w:rsidRDefault="00BE0B19" w:rsidP="00BE0B19">
      <w:pPr>
        <w:numPr>
          <w:ilvl w:val="0"/>
          <w:numId w:val="3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Невродегенеративни заболявания с двигателни нарушения </w:t>
      </w:r>
    </w:p>
    <w:p w14:paraId="2A2A07F3" w14:textId="77777777" w:rsidR="00BE0B19" w:rsidRPr="00AE47C6" w:rsidRDefault="00BE0B19" w:rsidP="00BE0B19">
      <w:pPr>
        <w:numPr>
          <w:ilvl w:val="0"/>
          <w:numId w:val="3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Деменции</w:t>
      </w:r>
    </w:p>
    <w:p w14:paraId="297FB917" w14:textId="77777777" w:rsidR="00BE0B19" w:rsidRPr="00AE47C6" w:rsidRDefault="00BE0B19" w:rsidP="00BE0B19">
      <w:pPr>
        <w:numPr>
          <w:ilvl w:val="0"/>
          <w:numId w:val="3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Заболявания на невромускулното предаване</w:t>
      </w:r>
    </w:p>
    <w:p w14:paraId="23EC6998" w14:textId="77777777" w:rsidR="00BE0B19" w:rsidRPr="00AE47C6" w:rsidRDefault="00BE0B19" w:rsidP="00BE0B19">
      <w:pPr>
        <w:numPr>
          <w:ilvl w:val="0"/>
          <w:numId w:val="3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Невромускулни заболявания </w:t>
      </w:r>
    </w:p>
    <w:p w14:paraId="3F9BB593" w14:textId="77777777" w:rsidR="00BE0B19" w:rsidRPr="00AE47C6" w:rsidRDefault="00BE0B19" w:rsidP="00BE0B19">
      <w:pPr>
        <w:numPr>
          <w:ilvl w:val="0"/>
          <w:numId w:val="3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Множествена склероза и заболявания от спектъра на оптичния невромиелит</w:t>
      </w:r>
    </w:p>
    <w:p w14:paraId="53919B92" w14:textId="77777777" w:rsidR="00BE0B19" w:rsidRPr="00AE47C6" w:rsidRDefault="00BE0B19" w:rsidP="00BE0B19">
      <w:pPr>
        <w:numPr>
          <w:ilvl w:val="0"/>
          <w:numId w:val="3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Епилепсия</w:t>
      </w:r>
    </w:p>
    <w:p w14:paraId="140A21B5" w14:textId="77777777" w:rsidR="00BE0B19" w:rsidRPr="00AE47C6" w:rsidRDefault="00BE0B19" w:rsidP="00BE0B19">
      <w:pPr>
        <w:numPr>
          <w:ilvl w:val="0"/>
          <w:numId w:val="3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Детска церебрална парализа</w:t>
      </w:r>
    </w:p>
    <w:p w14:paraId="63BBE548" w14:textId="77777777" w:rsidR="00BE0B19" w:rsidRPr="00AE47C6" w:rsidRDefault="00BE0B19" w:rsidP="00BE0B19">
      <w:pPr>
        <w:numPr>
          <w:ilvl w:val="0"/>
          <w:numId w:val="3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Главоболие</w:t>
      </w:r>
    </w:p>
    <w:p w14:paraId="3A57F4C4" w14:textId="77777777" w:rsidR="00BE0B19" w:rsidRPr="00AE47C6" w:rsidRDefault="00BE0B19" w:rsidP="00BE0B19">
      <w:pPr>
        <w:numPr>
          <w:ilvl w:val="0"/>
          <w:numId w:val="3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Туберозна склероза комплекс</w:t>
      </w:r>
    </w:p>
    <w:p w14:paraId="5B55D579" w14:textId="77777777" w:rsidR="00BE0B19" w:rsidRPr="00AE47C6" w:rsidRDefault="00BE0B19" w:rsidP="00BE0B19">
      <w:pPr>
        <w:numPr>
          <w:ilvl w:val="0"/>
          <w:numId w:val="3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Приложение на терапевтичната плазмафереза при неврологични заболявания</w:t>
      </w:r>
    </w:p>
    <w:p w14:paraId="06EB6DBC" w14:textId="77777777" w:rsidR="00BE0B19" w:rsidRPr="00AE47C6" w:rsidRDefault="00BE0B19" w:rsidP="00BE0B19">
      <w:pPr>
        <w:numPr>
          <w:ilvl w:val="0"/>
          <w:numId w:val="3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Диагностика и лечение на разстройствата на съня и бодърстването</w:t>
      </w:r>
    </w:p>
    <w:p w14:paraId="10DD728F" w14:textId="77777777" w:rsidR="00BE0B19" w:rsidRPr="00AE47C6" w:rsidRDefault="00BE0B19" w:rsidP="00BE0B19">
      <w:pPr>
        <w:numPr>
          <w:ilvl w:val="0"/>
          <w:numId w:val="3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br w:type="page"/>
      </w:r>
    </w:p>
    <w:p w14:paraId="1A808057" w14:textId="77777777" w:rsidR="00BE0B19" w:rsidRPr="00AE47C6" w:rsidRDefault="00BE0B19" w:rsidP="00BE0B19">
      <w:pPr>
        <w:keepNext/>
        <w:keepLines/>
        <w:pageBreakBefore/>
        <w:spacing w:before="480" w:after="480"/>
        <w:outlineLvl w:val="0"/>
        <w:rPr>
          <w:rFonts w:ascii="Times New Roman" w:eastAsia="SimSun" w:hAnsi="Times New Roman"/>
          <w:b/>
          <w:bCs/>
          <w:sz w:val="28"/>
          <w:szCs w:val="28"/>
        </w:rPr>
      </w:pPr>
      <w:bookmarkStart w:id="5" w:name="_Toc155651703"/>
      <w:bookmarkStart w:id="6" w:name="_Toc164075833"/>
      <w:r w:rsidRPr="00AE47C6">
        <w:rPr>
          <w:rFonts w:ascii="Times New Roman" w:eastAsia="SimSun" w:hAnsi="Times New Roman"/>
          <w:b/>
          <w:bCs/>
          <w:sz w:val="28"/>
          <w:szCs w:val="28"/>
        </w:rPr>
        <w:t>1. Мозъчни инсулти</w:t>
      </w:r>
      <w:bookmarkEnd w:id="5"/>
      <w:bookmarkEnd w:id="6"/>
    </w:p>
    <w:p w14:paraId="4EC83969"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spacing w:val="-2"/>
          <w:sz w:val="24"/>
          <w:szCs w:val="24"/>
        </w:rPr>
        <w:t xml:space="preserve">Мозъчносъдовите заболявания (МСБ) са хетерогенна група, </w:t>
      </w:r>
      <w:r w:rsidRPr="00AE47C6">
        <w:rPr>
          <w:rFonts w:ascii="Times New Roman" w:eastAsia="SimSun" w:hAnsi="Times New Roman"/>
          <w:spacing w:val="-1"/>
          <w:sz w:val="24"/>
          <w:szCs w:val="24"/>
        </w:rPr>
        <w:t xml:space="preserve">включваща исхемични и хеморагични нарушения </w:t>
      </w:r>
      <w:r w:rsidRPr="00AE47C6">
        <w:rPr>
          <w:rFonts w:ascii="Times New Roman" w:eastAsia="SimSun" w:hAnsi="Times New Roman"/>
          <w:spacing w:val="2"/>
          <w:sz w:val="24"/>
          <w:szCs w:val="24"/>
        </w:rPr>
        <w:t>в артериалната и венозна част на мозъчното кръвообращение:</w:t>
      </w:r>
    </w:p>
    <w:p w14:paraId="724F46A3"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1. Исхемични нарушения на мозъчното кръвообращение</w:t>
      </w:r>
      <w:r w:rsidRPr="00AE47C6">
        <w:rPr>
          <w:rFonts w:ascii="Times New Roman" w:eastAsia="SimSun" w:hAnsi="Times New Roman"/>
          <w:sz w:val="24"/>
          <w:szCs w:val="24"/>
        </w:rPr>
        <w:t>:</w:t>
      </w:r>
    </w:p>
    <w:p w14:paraId="6655BEB8" w14:textId="77777777" w:rsidR="00BE0B19" w:rsidRPr="00AE47C6" w:rsidRDefault="00BE0B19" w:rsidP="00BE0B19">
      <w:pPr>
        <w:widowControl w:val="0"/>
        <w:numPr>
          <w:ilvl w:val="0"/>
          <w:numId w:val="111"/>
        </w:numPr>
        <w:shd w:val="clear" w:color="auto" w:fill="FFFFFF"/>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Транзиторни исхемични атаки на мозъчното кръвообращение (ТИА)</w:t>
      </w:r>
    </w:p>
    <w:p w14:paraId="02827B14" w14:textId="77777777" w:rsidR="00BE0B19" w:rsidRPr="00AE47C6" w:rsidRDefault="00BE0B19" w:rsidP="00BE0B19">
      <w:pPr>
        <w:widowControl w:val="0"/>
        <w:numPr>
          <w:ilvl w:val="0"/>
          <w:numId w:val="111"/>
        </w:numPr>
        <w:shd w:val="clear" w:color="auto" w:fill="FFFFFF"/>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Мозъчни инфаркти (исхемични мозъчни инсулти) (МИ)</w:t>
      </w:r>
    </w:p>
    <w:p w14:paraId="62B866C3"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2. Хеморагични мозъчни инсулти (ХМИ)</w:t>
      </w:r>
    </w:p>
    <w:p w14:paraId="574B1F08" w14:textId="77777777" w:rsidR="00BE0B19" w:rsidRPr="00AE47C6" w:rsidRDefault="00BE0B19" w:rsidP="00BE0B19">
      <w:pPr>
        <w:widowControl w:val="0"/>
        <w:numPr>
          <w:ilvl w:val="0"/>
          <w:numId w:val="112"/>
        </w:numPr>
        <w:shd w:val="clear" w:color="auto" w:fill="FFFFFF"/>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Паренхимни мозъчни кръвоизливи</w:t>
      </w:r>
    </w:p>
    <w:p w14:paraId="77F25EBA" w14:textId="77777777" w:rsidR="00BE0B19" w:rsidRPr="00AE47C6" w:rsidRDefault="00BE0B19" w:rsidP="00BE0B19">
      <w:pPr>
        <w:widowControl w:val="0"/>
        <w:numPr>
          <w:ilvl w:val="0"/>
          <w:numId w:val="112"/>
        </w:numPr>
        <w:shd w:val="clear" w:color="auto" w:fill="FFFFFF"/>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Субарахноидни кръвоизливи</w:t>
      </w:r>
    </w:p>
    <w:p w14:paraId="28290A32"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3. Остра хипертонична енцефалопатия</w:t>
      </w:r>
    </w:p>
    <w:p w14:paraId="4978E71F"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4. Тромбози на мозъчни вени и дурални синуси</w:t>
      </w:r>
    </w:p>
    <w:p w14:paraId="3E476AA0"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5. Съдова деменция</w:t>
      </w:r>
    </w:p>
    <w:p w14:paraId="54D25836" w14:textId="77777777" w:rsidR="00BE0B19" w:rsidRPr="00AE47C6" w:rsidRDefault="00BE0B19" w:rsidP="00BE0B19">
      <w:pPr>
        <w:spacing w:after="0" w:line="360" w:lineRule="auto"/>
        <w:ind w:firstLine="708"/>
        <w:jc w:val="both"/>
        <w:rPr>
          <w:rFonts w:ascii="Times New Roman" w:eastAsia="SimSun" w:hAnsi="Times New Roman"/>
          <w:bCs/>
          <w:sz w:val="24"/>
          <w:szCs w:val="24"/>
        </w:rPr>
      </w:pPr>
      <w:r w:rsidRPr="00AE47C6">
        <w:rPr>
          <w:rFonts w:ascii="Times New Roman" w:eastAsia="SimSun" w:hAnsi="Times New Roman"/>
          <w:sz w:val="24"/>
          <w:szCs w:val="24"/>
        </w:rPr>
        <w:t>Мозъчносъдовите заболявания заемат основно място</w:t>
      </w:r>
      <w:r w:rsidRPr="00AE47C6">
        <w:rPr>
          <w:rFonts w:ascii="Times New Roman" w:eastAsia="SimSun" w:hAnsi="Times New Roman"/>
          <w:spacing w:val="-3"/>
          <w:sz w:val="24"/>
          <w:szCs w:val="24"/>
        </w:rPr>
        <w:t xml:space="preserve"> сред социално значимите болести, поради</w:t>
      </w:r>
      <w:r w:rsidRPr="00AE47C6">
        <w:rPr>
          <w:rFonts w:ascii="Times New Roman" w:eastAsia="SimSun" w:hAnsi="Times New Roman"/>
          <w:spacing w:val="3"/>
          <w:sz w:val="24"/>
          <w:szCs w:val="24"/>
        </w:rPr>
        <w:t xml:space="preserve"> високата заболя</w:t>
      </w:r>
      <w:r w:rsidRPr="00AE47C6">
        <w:rPr>
          <w:rFonts w:ascii="Times New Roman" w:eastAsia="SimSun" w:hAnsi="Times New Roman"/>
          <w:spacing w:val="6"/>
          <w:sz w:val="24"/>
          <w:szCs w:val="24"/>
        </w:rPr>
        <w:t>емост, смъртност и тежката инвалидизация на прежи</w:t>
      </w:r>
      <w:r w:rsidRPr="00AE47C6">
        <w:rPr>
          <w:rFonts w:ascii="Times New Roman" w:eastAsia="SimSun" w:hAnsi="Times New Roman"/>
          <w:spacing w:val="-3"/>
          <w:sz w:val="24"/>
          <w:szCs w:val="24"/>
        </w:rPr>
        <w:t>велите мозъчния инсулт болни.</w:t>
      </w:r>
      <w:r w:rsidRPr="00AE47C6">
        <w:rPr>
          <w:rFonts w:ascii="Times New Roman" w:eastAsia="SimSun" w:hAnsi="Times New Roman"/>
          <w:spacing w:val="5"/>
          <w:sz w:val="24"/>
          <w:szCs w:val="24"/>
        </w:rPr>
        <w:t xml:space="preserve"> България е на едно от първите места в света по заболяемост и </w:t>
      </w:r>
      <w:r w:rsidRPr="00AE47C6">
        <w:rPr>
          <w:rFonts w:ascii="Times New Roman" w:eastAsia="SimSun" w:hAnsi="Times New Roman"/>
          <w:spacing w:val="6"/>
          <w:sz w:val="24"/>
          <w:szCs w:val="24"/>
        </w:rPr>
        <w:t xml:space="preserve">смъртност от мозъчносъдови заболявания. </w:t>
      </w:r>
      <w:r w:rsidRPr="00AE47C6">
        <w:rPr>
          <w:rFonts w:ascii="Times New Roman" w:eastAsia="SimSun" w:hAnsi="Times New Roman"/>
          <w:sz w:val="24"/>
          <w:szCs w:val="24"/>
        </w:rPr>
        <w:t xml:space="preserve">Атеротромбозата е глобално заболяване, </w:t>
      </w:r>
      <w:r w:rsidRPr="00AE47C6">
        <w:rPr>
          <w:rFonts w:ascii="Times New Roman" w:eastAsia="SimSun" w:hAnsi="Times New Roman"/>
          <w:bCs/>
          <w:sz w:val="24"/>
          <w:szCs w:val="24"/>
        </w:rPr>
        <w:t>което</w:t>
      </w:r>
      <w:r w:rsidRPr="00AE47C6">
        <w:rPr>
          <w:rFonts w:ascii="Times New Roman" w:eastAsia="SimSun" w:hAnsi="Times New Roman"/>
          <w:sz w:val="24"/>
          <w:szCs w:val="24"/>
        </w:rPr>
        <w:t xml:space="preserve"> намалява с 8 до 12 години продължителността на живота. Съществува обща </w:t>
      </w:r>
      <w:r w:rsidRPr="00AE47C6">
        <w:rPr>
          <w:rFonts w:ascii="Times New Roman" w:eastAsia="SimSun" w:hAnsi="Times New Roman"/>
          <w:bCs/>
          <w:sz w:val="24"/>
          <w:szCs w:val="24"/>
        </w:rPr>
        <w:t>патофизиологична връзка между инфаркта на миокарда, исхемичния инсулт и периферните артериални заболявания. Пациентите с клинични прояви на атеротромбоза в един съдов басейн са рискови да развият исхемични инциденти и в други съдови райони.</w:t>
      </w:r>
    </w:p>
    <w:p w14:paraId="248EF286"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7"/>
          <w:sz w:val="24"/>
          <w:szCs w:val="24"/>
        </w:rPr>
      </w:pPr>
      <w:r w:rsidRPr="00AE47C6">
        <w:rPr>
          <w:rFonts w:ascii="Times New Roman" w:eastAsia="SimSun" w:hAnsi="Times New Roman"/>
          <w:spacing w:val="6"/>
          <w:sz w:val="24"/>
          <w:szCs w:val="24"/>
        </w:rPr>
        <w:t xml:space="preserve">Смъртността от МСБ </w:t>
      </w:r>
      <w:r w:rsidRPr="00AE47C6">
        <w:rPr>
          <w:rFonts w:ascii="Times New Roman" w:eastAsia="SimSun" w:hAnsi="Times New Roman"/>
          <w:spacing w:val="-7"/>
          <w:sz w:val="24"/>
          <w:szCs w:val="24"/>
        </w:rPr>
        <w:t>е 270,1 за мъ</w:t>
      </w:r>
      <w:r w:rsidRPr="00AE47C6">
        <w:rPr>
          <w:rFonts w:ascii="Times New Roman" w:eastAsia="SimSun" w:hAnsi="Times New Roman"/>
          <w:spacing w:val="6"/>
          <w:sz w:val="24"/>
          <w:szCs w:val="24"/>
        </w:rPr>
        <w:t>ж</w:t>
      </w:r>
      <w:r w:rsidRPr="00AE47C6">
        <w:rPr>
          <w:rFonts w:ascii="Times New Roman" w:eastAsia="SimSun" w:hAnsi="Times New Roman"/>
          <w:spacing w:val="-7"/>
          <w:sz w:val="24"/>
          <w:szCs w:val="24"/>
        </w:rPr>
        <w:t xml:space="preserve">ете и 265,1 за </w:t>
      </w:r>
      <w:r w:rsidRPr="00AE47C6">
        <w:rPr>
          <w:rFonts w:ascii="Times New Roman" w:eastAsia="SimSun" w:hAnsi="Times New Roman"/>
          <w:spacing w:val="6"/>
          <w:sz w:val="24"/>
          <w:szCs w:val="24"/>
        </w:rPr>
        <w:t>же</w:t>
      </w:r>
      <w:r w:rsidRPr="00AE47C6">
        <w:rPr>
          <w:rFonts w:ascii="Times New Roman" w:eastAsia="SimSun" w:hAnsi="Times New Roman"/>
          <w:spacing w:val="-7"/>
          <w:sz w:val="24"/>
          <w:szCs w:val="24"/>
        </w:rPr>
        <w:t xml:space="preserve">ните на 100 000 души население. В </w:t>
      </w:r>
      <w:r w:rsidRPr="00AE47C6">
        <w:rPr>
          <w:rFonts w:ascii="Times New Roman" w:eastAsia="SimSun" w:hAnsi="Times New Roman"/>
          <w:spacing w:val="-2"/>
          <w:sz w:val="24"/>
          <w:szCs w:val="24"/>
        </w:rPr>
        <w:t xml:space="preserve">България се регистрират годишно около 82 398 случая с МСБ от които около 40 000 </w:t>
      </w:r>
      <w:r w:rsidRPr="00AE47C6">
        <w:rPr>
          <w:rFonts w:ascii="Times New Roman" w:eastAsia="SimSun" w:hAnsi="Times New Roman"/>
          <w:sz w:val="24"/>
          <w:szCs w:val="24"/>
        </w:rPr>
        <w:t xml:space="preserve">са с мозъчен инсулт. </w:t>
      </w:r>
      <w:r w:rsidRPr="00AE47C6">
        <w:rPr>
          <w:rFonts w:ascii="Times New Roman" w:eastAsia="SimSun" w:hAnsi="Times New Roman"/>
          <w:spacing w:val="-3"/>
          <w:sz w:val="24"/>
          <w:szCs w:val="24"/>
        </w:rPr>
        <w:t>От тях 8 000 болни завършват с летален изход,</w:t>
      </w:r>
      <w:r w:rsidRPr="00AE47C6">
        <w:rPr>
          <w:rFonts w:ascii="Times New Roman" w:eastAsia="SimSun" w:hAnsi="Times New Roman"/>
          <w:spacing w:val="1"/>
          <w:sz w:val="24"/>
          <w:szCs w:val="24"/>
        </w:rPr>
        <w:t xml:space="preserve"> а </w:t>
      </w:r>
      <w:r w:rsidRPr="00AE47C6">
        <w:rPr>
          <w:rFonts w:ascii="Times New Roman" w:eastAsia="SimSun" w:hAnsi="Times New Roman"/>
          <w:spacing w:val="2"/>
          <w:sz w:val="24"/>
          <w:szCs w:val="24"/>
        </w:rPr>
        <w:t xml:space="preserve">28 600 </w:t>
      </w:r>
      <w:r w:rsidRPr="00AE47C6">
        <w:rPr>
          <w:rFonts w:ascii="Times New Roman" w:eastAsia="SimSun" w:hAnsi="Times New Roman"/>
          <w:spacing w:val="1"/>
          <w:sz w:val="24"/>
          <w:szCs w:val="24"/>
        </w:rPr>
        <w:t xml:space="preserve">преживяват мозъчния инсулт </w:t>
      </w:r>
      <w:r w:rsidRPr="00AE47C6">
        <w:rPr>
          <w:rFonts w:ascii="Times New Roman" w:eastAsia="SimSun" w:hAnsi="Times New Roman"/>
          <w:spacing w:val="2"/>
          <w:sz w:val="24"/>
          <w:szCs w:val="24"/>
        </w:rPr>
        <w:t xml:space="preserve">с различна степен на инвалидност. При 10% от тях тя е </w:t>
      </w:r>
      <w:r w:rsidRPr="00AE47C6">
        <w:rPr>
          <w:rFonts w:ascii="Times New Roman" w:eastAsia="SimSun" w:hAnsi="Times New Roman"/>
          <w:spacing w:val="-3"/>
          <w:sz w:val="24"/>
          <w:szCs w:val="24"/>
        </w:rPr>
        <w:t>те</w:t>
      </w:r>
      <w:r w:rsidRPr="00AE47C6">
        <w:rPr>
          <w:rFonts w:ascii="Times New Roman" w:eastAsia="SimSun" w:hAnsi="Times New Roman"/>
          <w:spacing w:val="6"/>
          <w:sz w:val="24"/>
          <w:szCs w:val="24"/>
        </w:rPr>
        <w:t>ж</w:t>
      </w:r>
      <w:r w:rsidRPr="00AE47C6">
        <w:rPr>
          <w:rFonts w:ascii="Times New Roman" w:eastAsia="SimSun" w:hAnsi="Times New Roman"/>
          <w:spacing w:val="-3"/>
          <w:sz w:val="24"/>
          <w:szCs w:val="24"/>
        </w:rPr>
        <w:t>ко изразена и изисква гри</w:t>
      </w:r>
      <w:r w:rsidRPr="00AE47C6">
        <w:rPr>
          <w:rFonts w:ascii="Times New Roman" w:eastAsia="SimSun" w:hAnsi="Times New Roman"/>
          <w:spacing w:val="6"/>
          <w:sz w:val="24"/>
          <w:szCs w:val="24"/>
        </w:rPr>
        <w:t>ж</w:t>
      </w:r>
      <w:r w:rsidRPr="00AE47C6">
        <w:rPr>
          <w:rFonts w:ascii="Times New Roman" w:eastAsia="SimSun" w:hAnsi="Times New Roman"/>
          <w:spacing w:val="-3"/>
          <w:sz w:val="24"/>
          <w:szCs w:val="24"/>
        </w:rPr>
        <w:t>и и помощ от семейството, близ</w:t>
      </w:r>
      <w:r w:rsidRPr="00AE47C6">
        <w:rPr>
          <w:rFonts w:ascii="Times New Roman" w:eastAsia="SimSun" w:hAnsi="Times New Roman"/>
          <w:spacing w:val="7"/>
          <w:sz w:val="24"/>
          <w:szCs w:val="24"/>
        </w:rPr>
        <w:t>ките и обществото. От преживелите мозъчни инсулти 25-50% са с афазия и/или други речево-говорни нарушения и около 50% са с когнитивни нарушения достигащи до съдова деменция. При половината от тях тези инвалидизиращи нарушения остават трайни. Това нарушава качеството на живот.</w:t>
      </w:r>
    </w:p>
    <w:p w14:paraId="1AFACF88"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7"/>
          <w:sz w:val="24"/>
          <w:szCs w:val="24"/>
        </w:rPr>
      </w:pPr>
      <w:r w:rsidRPr="00AE47C6">
        <w:rPr>
          <w:rFonts w:ascii="Times New Roman" w:eastAsia="SimSun" w:hAnsi="Times New Roman"/>
          <w:spacing w:val="7"/>
          <w:sz w:val="24"/>
          <w:szCs w:val="24"/>
        </w:rPr>
        <w:t xml:space="preserve">Инсултите са втората по честота причина за развитие на деменция, най-честата причина за епилепсия в напреднала възраст и много честа причина за депресия. </w:t>
      </w:r>
    </w:p>
    <w:p w14:paraId="22F84782"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Мозъчният инсулт е спешно състояние в медицината. Той е резултат от остро нарушение на мозъчното кръвообръщение, което може да доведе до смърт или до тежки и необратими морфологични и функционални увреждания на централната нервна система. Затова е необходима спешна хоспитализация и незабавно адекватно лечение, целящо постигане на своевременна реканализация при исхемични мозъчни инсулти, функционална стабилност, пълно възстановяване на неврологичния дефицит или предпазване на неговото развитие. </w:t>
      </w:r>
    </w:p>
    <w:p w14:paraId="29DC1B6C"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3"/>
          <w:sz w:val="24"/>
          <w:szCs w:val="24"/>
        </w:rPr>
      </w:pPr>
      <w:r w:rsidRPr="00AE47C6">
        <w:rPr>
          <w:rFonts w:ascii="Times New Roman" w:eastAsia="SimSun" w:hAnsi="Times New Roman"/>
          <w:spacing w:val="-3"/>
          <w:sz w:val="24"/>
          <w:szCs w:val="24"/>
        </w:rPr>
        <w:t>Инсултът е широко разпространен в днешно време. Основният проблем е, че хората между 20 г. и 64 г. ще получават все по-често инсулти, което означава, че е застрашена работещата част от населението. Освен това със застаряването на населението в Европа и у нас броят на мозъчните инсулти ще се увеличава все повече. За да се снижи тежестта на проблема е изключително важно да се увеличи информирането на населението за това  тежко и инвалидизиращо заболяване.</w:t>
      </w:r>
    </w:p>
    <w:p w14:paraId="7C14C5DD"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3"/>
          <w:sz w:val="24"/>
          <w:szCs w:val="24"/>
        </w:rPr>
      </w:pPr>
      <w:r w:rsidRPr="00AE47C6">
        <w:rPr>
          <w:rFonts w:ascii="Times New Roman" w:eastAsia="SimSun" w:hAnsi="Times New Roman"/>
          <w:b/>
          <w:spacing w:val="7"/>
          <w:sz w:val="24"/>
          <w:szCs w:val="24"/>
        </w:rPr>
        <w:t>Исхемичните мозъчни инсулти</w:t>
      </w:r>
      <w:r w:rsidRPr="00AE47C6">
        <w:rPr>
          <w:rFonts w:ascii="Times New Roman" w:eastAsia="SimSun" w:hAnsi="Times New Roman"/>
          <w:spacing w:val="7"/>
          <w:sz w:val="24"/>
          <w:szCs w:val="24"/>
        </w:rPr>
        <w:t xml:space="preserve"> са най-честите остри нарушения </w:t>
      </w:r>
      <w:r w:rsidRPr="00AE47C6">
        <w:rPr>
          <w:rFonts w:ascii="Times New Roman" w:eastAsia="SimSun" w:hAnsi="Times New Roman"/>
          <w:spacing w:val="-3"/>
          <w:sz w:val="24"/>
          <w:szCs w:val="24"/>
        </w:rPr>
        <w:t xml:space="preserve">на мозъчното кръвообръщение – 88% от всички инсулти. Смъртността при тях е 12%. В зависимост от етиологията и патогенезата те се разделят на четири подвида: атеротромботични, кардиоемболични, лакунарни и криптогенни. </w:t>
      </w:r>
    </w:p>
    <w:p w14:paraId="43F7A200"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Рисковите фактори за исхемичните инсулти се разделят на </w:t>
      </w:r>
      <w:r w:rsidRPr="00AE47C6">
        <w:rPr>
          <w:rFonts w:ascii="Times New Roman" w:eastAsia="SimSun" w:hAnsi="Times New Roman"/>
          <w:b/>
          <w:i/>
          <w:spacing w:val="-3"/>
          <w:sz w:val="24"/>
          <w:szCs w:val="24"/>
        </w:rPr>
        <w:t>немодифицируеми</w:t>
      </w:r>
      <w:r w:rsidRPr="00AE47C6">
        <w:rPr>
          <w:rFonts w:ascii="Times New Roman" w:eastAsia="SimSun" w:hAnsi="Times New Roman"/>
          <w:spacing w:val="-3"/>
          <w:sz w:val="24"/>
          <w:szCs w:val="24"/>
        </w:rPr>
        <w:t xml:space="preserve"> (възраст, раса, пол и наследственост) и </w:t>
      </w:r>
      <w:r w:rsidRPr="00AE47C6">
        <w:rPr>
          <w:rFonts w:ascii="Times New Roman" w:eastAsia="SimSun" w:hAnsi="Times New Roman"/>
          <w:b/>
          <w:i/>
          <w:spacing w:val="-3"/>
          <w:sz w:val="24"/>
          <w:szCs w:val="24"/>
        </w:rPr>
        <w:t>модифицируеми</w:t>
      </w:r>
      <w:r w:rsidRPr="00AE47C6">
        <w:rPr>
          <w:rFonts w:ascii="Times New Roman" w:eastAsia="SimSun" w:hAnsi="Times New Roman"/>
          <w:spacing w:val="-3"/>
          <w:sz w:val="24"/>
          <w:szCs w:val="24"/>
        </w:rPr>
        <w:t xml:space="preserve"> (артериална хипертония, диабет, дислипидемии, сърдечни заболявания, асимптомни каротидни стенози, затлъстяване, тютюнопушене, обструктивна сънна апнея, намалена двигателна активност, стрес, злоупотреба с алкохол, хиперхомоцистеинемия и др.). Съвременните данни показват, че над 150 000 българи имат повече от един рисков фактор.</w:t>
      </w:r>
    </w:p>
    <w:p w14:paraId="0E0EB770"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3"/>
          <w:sz w:val="24"/>
          <w:szCs w:val="24"/>
        </w:rPr>
      </w:pPr>
      <w:r w:rsidRPr="00AE47C6">
        <w:rPr>
          <w:rFonts w:ascii="Times New Roman" w:eastAsia="SimSun" w:hAnsi="Times New Roman"/>
          <w:b/>
          <w:spacing w:val="-3"/>
          <w:sz w:val="24"/>
          <w:szCs w:val="24"/>
        </w:rPr>
        <w:t>Хеморагичните мозъчни инсулти</w:t>
      </w:r>
      <w:r w:rsidRPr="00AE47C6">
        <w:rPr>
          <w:rFonts w:ascii="Times New Roman" w:eastAsia="SimSun" w:hAnsi="Times New Roman"/>
          <w:spacing w:val="-3"/>
          <w:sz w:val="24"/>
          <w:szCs w:val="24"/>
        </w:rPr>
        <w:t xml:space="preserve"> са от 8 до 12% от всички инсулти и смъртността при тях е 36-37%. Рисковите фактори са основно възрастта и артериалната хипертония. Други рискови фактори са мозъчната амилоидна ангиопатия, съдови малформации, руптура на аневризми, нарушения на коагулацията, прилагане на антикоагуланти и тромболитици, вторичен кръвоизлив при мозъчно инфарциране, кървене в мозъчни тумори и злоупотреба с медикаменти. </w:t>
      </w:r>
    </w:p>
    <w:p w14:paraId="65A00A91"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Рисковите фактори за нетравматичните </w:t>
      </w:r>
      <w:r w:rsidRPr="00AE47C6">
        <w:rPr>
          <w:rFonts w:ascii="Times New Roman" w:eastAsia="SimSun" w:hAnsi="Times New Roman"/>
          <w:b/>
          <w:spacing w:val="-3"/>
          <w:sz w:val="24"/>
          <w:szCs w:val="24"/>
        </w:rPr>
        <w:t>субарахноидни кръвоизливи</w:t>
      </w:r>
      <w:r w:rsidRPr="00AE47C6">
        <w:rPr>
          <w:rFonts w:ascii="Times New Roman" w:eastAsia="SimSun" w:hAnsi="Times New Roman"/>
          <w:spacing w:val="-3"/>
          <w:sz w:val="24"/>
          <w:szCs w:val="24"/>
        </w:rPr>
        <w:t xml:space="preserve"> (САК) са основно артериалната хипертония, тютюнопушенето, злоупотребата с алкохол и използването на симпатикомиметични средства, като кокаин. Рискът от кръвоизлив е повишен при наличие на неруптурирали мозъчни аневризми (особено ако са симптоматични, с по-големи размери и локализирани в задната съединителна артерия или вертебробазиларната система), с анамнеза за предходен САК (с или без нелекувана аневризма) и фамилна анамнеза за аневризми или САК, артериовенозни малформации, кръвни заболявания и др.</w:t>
      </w:r>
    </w:p>
    <w:p w14:paraId="47C2566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Детските инсулти</w:t>
      </w:r>
      <w:r w:rsidRPr="00AE47C6">
        <w:rPr>
          <w:rFonts w:ascii="Times New Roman" w:eastAsia="SimSun" w:hAnsi="Times New Roman"/>
          <w:sz w:val="24"/>
          <w:szCs w:val="24"/>
        </w:rPr>
        <w:t xml:space="preserve"> във възрастта от 30 дни до 18 г. са с честота от 2-3 до 13 на 100 000 деца. Болестността от исхемични инсулти е от 2,7 до 7,8 на 100 000, от хеморагични -  2,9 на 100 000, а от тромбози на мозъчните вени и синуси – 0,6 на 100 000. Смъртността от мозъчни инсулти в детската възраст е 0,6 на 100 000 деца (от 7 до 28%). </w:t>
      </w:r>
    </w:p>
    <w:p w14:paraId="057AC08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Рисковите фактори за исхемичните инсулти в детската възраст са вродените и придобити, включително инфекциозни мозъчни артериопатии (при 50-80%), вродени и придобити сърдечни заболявания, тромбофилни състояния (дефицит на антитромбин, на протеин С и протеин S, мутации в гените на factor V на Leiden (1691G&gt;A) и на фактор II (20210G&gt;A), висок плазмен липопротеин, антифосфолипидния синдром и др. </w:t>
      </w:r>
    </w:p>
    <w:p w14:paraId="513903F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Рисковите фактори за хеморагичните инсулти в детската възраст са вродените мозъчно съдови аномалии като артерио-венозни малформации, кавернозни малформации и аневризми, хематологични заболявания, тромбоцитопения и мозъчни тумори.</w:t>
      </w:r>
    </w:p>
    <w:p w14:paraId="1358E28F"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7"/>
          <w:sz w:val="24"/>
          <w:szCs w:val="24"/>
        </w:rPr>
      </w:pPr>
      <w:r w:rsidRPr="00AE47C6">
        <w:rPr>
          <w:rFonts w:ascii="Times New Roman" w:eastAsia="SimSun" w:hAnsi="Times New Roman"/>
          <w:spacing w:val="-3"/>
          <w:sz w:val="24"/>
          <w:szCs w:val="24"/>
        </w:rPr>
        <w:t>Тромбозите на мозъчните вени и ду</w:t>
      </w:r>
      <w:r w:rsidRPr="00AE47C6">
        <w:rPr>
          <w:rFonts w:ascii="Times New Roman" w:eastAsia="SimSun" w:hAnsi="Times New Roman"/>
          <w:spacing w:val="1"/>
          <w:sz w:val="24"/>
          <w:szCs w:val="24"/>
        </w:rPr>
        <w:t>рални синуси са много по-редки от артериалните лезии.</w:t>
      </w:r>
    </w:p>
    <w:p w14:paraId="53F84FA8"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b/>
          <w:spacing w:val="-1"/>
          <w:sz w:val="24"/>
          <w:szCs w:val="24"/>
        </w:rPr>
        <w:t>Транзиторната исхемична атака</w:t>
      </w:r>
      <w:r w:rsidRPr="00AE47C6">
        <w:rPr>
          <w:rFonts w:ascii="Times New Roman" w:eastAsia="SimSun" w:hAnsi="Times New Roman"/>
          <w:sz w:val="24"/>
          <w:szCs w:val="24"/>
        </w:rPr>
        <w:t xml:space="preserve"> (ТИА) представлява бързопреходна неврологична дисфункция, предизвикана от фокална мозъчна, гръбначно–мозъчна или ретинна исхемия, без данни за оформен мозъчен инфаркт на невроизобразяващите изследвания. Болни с ТИА имат повишен риск от повторни мозъчносъдови исхемични нарушения (до 10% в първите 48 часа). Те се нуждаят от спешни диагностични мероприятия, с цел лечение на съпътстващи нарушения, модифициране на рискови фактори и идентифициране на специфични лечими причини за ТИА, най-вече артериална стеноза или източници на емболизъм. Незабавното превантивно лечение води до намаляване на честотата на МИ, инвалидността и смъртността. Болни с леки исхемични инсулти или такива с МИ с бързо спонтанно подобрение имат повишен риск от повторен МИ.</w:t>
      </w:r>
    </w:p>
    <w:p w14:paraId="7814B359"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p>
    <w:p w14:paraId="4D315CEF"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7" w:name="_Toc155651704"/>
      <w:bookmarkStart w:id="8" w:name="_Toc164075834"/>
      <w:r w:rsidRPr="00AE47C6">
        <w:rPr>
          <w:rFonts w:ascii="Times New Roman" w:eastAsia="SimSun" w:hAnsi="Times New Roman"/>
          <w:b/>
          <w:sz w:val="24"/>
          <w:szCs w:val="24"/>
        </w:rPr>
        <w:t>1. 1. Диагностика</w:t>
      </w:r>
      <w:bookmarkEnd w:id="7"/>
      <w:bookmarkEnd w:id="8"/>
    </w:p>
    <w:p w14:paraId="79C7238C"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bCs/>
          <w:iCs/>
          <w:spacing w:val="-3"/>
          <w:sz w:val="24"/>
          <w:szCs w:val="24"/>
        </w:rPr>
      </w:pPr>
      <w:r w:rsidRPr="00AE47C6">
        <w:rPr>
          <w:rFonts w:ascii="Times New Roman" w:eastAsia="SimSun" w:hAnsi="Times New Roman"/>
          <w:b/>
          <w:bCs/>
          <w:iCs/>
          <w:spacing w:val="-3"/>
          <w:sz w:val="24"/>
          <w:szCs w:val="24"/>
        </w:rPr>
        <w:t xml:space="preserve">Диагностика и лечение на мозъчните инсулти </w:t>
      </w:r>
      <w:r w:rsidRPr="00AE47C6">
        <w:rPr>
          <w:rFonts w:ascii="Times New Roman" w:eastAsia="SimSun" w:hAnsi="Times New Roman"/>
          <w:b/>
          <w:spacing w:val="-3"/>
          <w:sz w:val="24"/>
          <w:szCs w:val="24"/>
        </w:rPr>
        <w:t>(исхемични и хеморагични),</w:t>
      </w:r>
      <w:r w:rsidRPr="00AE47C6">
        <w:rPr>
          <w:rFonts w:ascii="Times New Roman" w:eastAsia="SimSun" w:hAnsi="Times New Roman"/>
          <w:b/>
          <w:bCs/>
          <w:iCs/>
          <w:spacing w:val="-3"/>
          <w:sz w:val="24"/>
          <w:szCs w:val="24"/>
        </w:rPr>
        <w:t xml:space="preserve"> транзиторни исхемични атаки, тромбози на мозъчни вени и дурални синуси, остра хипертонична енцефалопатия и съдова деменция</w:t>
      </w:r>
    </w:p>
    <w:p w14:paraId="67ABB32F"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bCs/>
          <w:iCs/>
          <w:spacing w:val="-3"/>
          <w:sz w:val="24"/>
          <w:szCs w:val="24"/>
        </w:rPr>
      </w:pPr>
    </w:p>
    <w:p w14:paraId="4105FFB2" w14:textId="77777777" w:rsidR="00BE0B19" w:rsidRPr="00AE47C6" w:rsidRDefault="00BE0B19" w:rsidP="00BE0B19">
      <w:pPr>
        <w:shd w:val="clear" w:color="auto" w:fill="FFFFFF"/>
        <w:spacing w:after="0" w:line="360" w:lineRule="auto"/>
        <w:ind w:firstLine="720"/>
        <w:jc w:val="both"/>
        <w:rPr>
          <w:rFonts w:ascii="Times New Roman" w:eastAsia="SimSun" w:hAnsi="Times New Roman"/>
          <w:i/>
          <w:spacing w:val="-3"/>
          <w:sz w:val="24"/>
          <w:szCs w:val="24"/>
        </w:rPr>
      </w:pPr>
      <w:r w:rsidRPr="00AE47C6">
        <w:rPr>
          <w:rFonts w:ascii="Times New Roman" w:eastAsia="SimSun" w:hAnsi="Times New Roman"/>
          <w:b/>
          <w:sz w:val="24"/>
          <w:szCs w:val="24"/>
        </w:rPr>
        <w:t>Общите правила за диагностика и лечение на мозъчните инсулти</w:t>
      </w:r>
      <w:r w:rsidRPr="00AE47C6">
        <w:rPr>
          <w:rFonts w:ascii="Times New Roman" w:eastAsia="SimSun" w:hAnsi="Times New Roman"/>
          <w:sz w:val="24"/>
          <w:szCs w:val="24"/>
        </w:rPr>
        <w:t xml:space="preserve"> са представени в „Алгоритми за диагноза и лечение на мозъчно-съдови заболявания”, 2012 и Национален консенсус за профилактика, диагностика и лечение на мозъчно-съдовите заболявания, 2013 г., 2018 г. и 2020 г.; Медицински стандарт „Нервни болести“ от 2014 г.; „Проект за развитие на интервенционална неврология в Р. България, 2012 г; „Национален консенсус за ултразвукова диагностика и поведение при екстракраниална каротидна патология“, 2011 г. и 2020 г.</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както и на Европейските и Американски консенсуси в тази насока. Основават се на препоръки и </w:t>
      </w:r>
      <w:r w:rsidRPr="00AE47C6">
        <w:rPr>
          <w:rFonts w:ascii="Times New Roman" w:eastAsia="SimSun" w:hAnsi="Times New Roman"/>
          <w:spacing w:val="-3"/>
          <w:sz w:val="24"/>
          <w:szCs w:val="24"/>
        </w:rPr>
        <w:t xml:space="preserve">се базират на мултицентрови рандомизирани клинични проучвания или мета-анализи </w:t>
      </w:r>
      <w:r w:rsidRPr="00AE47C6">
        <w:rPr>
          <w:rFonts w:ascii="Times New Roman" w:eastAsia="SimSun" w:hAnsi="Times New Roman"/>
          <w:b/>
          <w:i/>
          <w:spacing w:val="-3"/>
          <w:sz w:val="24"/>
          <w:szCs w:val="24"/>
        </w:rPr>
        <w:t>(ниво на доказателства А)</w:t>
      </w:r>
      <w:r w:rsidRPr="00AE47C6">
        <w:rPr>
          <w:rFonts w:ascii="Times New Roman" w:eastAsia="SimSun" w:hAnsi="Times New Roman"/>
          <w:spacing w:val="-3"/>
          <w:sz w:val="24"/>
          <w:szCs w:val="24"/>
        </w:rPr>
        <w:t xml:space="preserve">, едноцентрови или нерандомизирани проучвания </w:t>
      </w:r>
      <w:r w:rsidRPr="00AE47C6">
        <w:rPr>
          <w:rFonts w:ascii="Times New Roman" w:eastAsia="SimSun" w:hAnsi="Times New Roman"/>
          <w:b/>
          <w:i/>
          <w:spacing w:val="-3"/>
          <w:sz w:val="24"/>
          <w:szCs w:val="24"/>
        </w:rPr>
        <w:t>(ниво на доказателства В)</w:t>
      </w:r>
      <w:r w:rsidRPr="00AE47C6">
        <w:rPr>
          <w:rFonts w:ascii="Times New Roman" w:eastAsia="SimSun" w:hAnsi="Times New Roman"/>
          <w:spacing w:val="-3"/>
          <w:sz w:val="24"/>
          <w:szCs w:val="24"/>
        </w:rPr>
        <w:t xml:space="preserve"> и експертни препоръки или терапевтични стандарти </w:t>
      </w:r>
      <w:r w:rsidRPr="00AE47C6">
        <w:rPr>
          <w:rFonts w:ascii="Times New Roman" w:eastAsia="SimSun" w:hAnsi="Times New Roman"/>
          <w:b/>
          <w:i/>
          <w:spacing w:val="-3"/>
          <w:sz w:val="24"/>
          <w:szCs w:val="24"/>
        </w:rPr>
        <w:t>(ниво на доказателства С)</w:t>
      </w:r>
      <w:r w:rsidRPr="00AE47C6">
        <w:rPr>
          <w:rFonts w:ascii="Times New Roman" w:eastAsia="SimSun" w:hAnsi="Times New Roman"/>
          <w:spacing w:val="-3"/>
          <w:sz w:val="24"/>
          <w:szCs w:val="24"/>
        </w:rPr>
        <w:t xml:space="preserve">. Терапевтичните и диагностични процедури са градирани като задължителни – ползата силно надвишава риска (клас І), препоръчителни (клас ІІа) – ползата умерено надвишава риска, възможни (клас ІІb) – ползата е съизмерима или леко надвишава риска и (клас III) – ползата е съизмерима с риска или риска надвишава ползата </w:t>
      </w:r>
      <w:r w:rsidRPr="00AE47C6">
        <w:rPr>
          <w:rFonts w:ascii="Times New Roman" w:eastAsia="SimSun" w:hAnsi="Times New Roman"/>
          <w:sz w:val="24"/>
          <w:szCs w:val="24"/>
        </w:rPr>
        <w:t>(Фиг.1.1.):</w:t>
      </w:r>
    </w:p>
    <w:p w14:paraId="1E2F1F8A" w14:textId="77777777" w:rsidR="00BE0B19" w:rsidRPr="00AE47C6" w:rsidRDefault="00BE0B19" w:rsidP="00BE0B19">
      <w:pPr>
        <w:shd w:val="clear" w:color="auto" w:fill="FFFFFF"/>
        <w:tabs>
          <w:tab w:val="left" w:pos="9498"/>
        </w:tabs>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w:drawing>
          <wp:inline distT="0" distB="0" distL="0" distR="0" wp14:anchorId="03044A2A" wp14:editId="569DD891">
            <wp:extent cx="5638800" cy="6048375"/>
            <wp:effectExtent l="19050" t="0" r="0" b="0"/>
            <wp:docPr id="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a:srcRect/>
                    <a:stretch>
                      <a:fillRect/>
                    </a:stretch>
                  </pic:blipFill>
                  <pic:spPr bwMode="auto">
                    <a:xfrm>
                      <a:off x="0" y="0"/>
                      <a:ext cx="5638800" cy="6048375"/>
                    </a:xfrm>
                    <a:prstGeom prst="rect">
                      <a:avLst/>
                    </a:prstGeom>
                    <a:noFill/>
                    <a:ln w="9525">
                      <a:noFill/>
                      <a:miter lim="800000"/>
                      <a:headEnd/>
                      <a:tailEnd/>
                    </a:ln>
                  </pic:spPr>
                </pic:pic>
              </a:graphicData>
            </a:graphic>
          </wp:inline>
        </w:drawing>
      </w:r>
    </w:p>
    <w:p w14:paraId="10D9BCBD" w14:textId="77777777" w:rsidR="00BE0B19" w:rsidRPr="00AE47C6" w:rsidRDefault="00BE0B19" w:rsidP="00BE0B19">
      <w:pPr>
        <w:shd w:val="clear" w:color="auto" w:fill="FFFFFF"/>
        <w:tabs>
          <w:tab w:val="left" w:pos="9498"/>
        </w:tabs>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 xml:space="preserve">Фиг.1.1. </w:t>
      </w:r>
      <w:r w:rsidRPr="00AE47C6">
        <w:rPr>
          <w:rFonts w:ascii="Times New Roman" w:eastAsia="SimSun" w:hAnsi="Times New Roman"/>
          <w:sz w:val="24"/>
          <w:szCs w:val="24"/>
        </w:rPr>
        <w:t>Принципни насоки за диагностика и лечение на пациенти с мозъчен инсулт.</w:t>
      </w:r>
    </w:p>
    <w:p w14:paraId="0C2A5CB4" w14:textId="77777777" w:rsidR="00BE0B19" w:rsidRPr="00AE47C6" w:rsidRDefault="00BE0B19" w:rsidP="00BE0B19">
      <w:pPr>
        <w:spacing w:after="0" w:line="360" w:lineRule="auto"/>
        <w:ind w:left="927"/>
        <w:jc w:val="both"/>
        <w:rPr>
          <w:rFonts w:ascii="Times New Roman" w:eastAsia="SimSun" w:hAnsi="Times New Roman"/>
          <w:b/>
          <w:sz w:val="24"/>
          <w:szCs w:val="24"/>
        </w:rPr>
      </w:pPr>
    </w:p>
    <w:p w14:paraId="50332827" w14:textId="77777777" w:rsidR="00BE0B19" w:rsidRPr="00AE47C6" w:rsidRDefault="00BE0B19" w:rsidP="00BE0B19">
      <w:pPr>
        <w:spacing w:after="0" w:line="360" w:lineRule="auto"/>
        <w:ind w:firstLine="567"/>
        <w:jc w:val="both"/>
        <w:rPr>
          <w:rFonts w:ascii="Times New Roman" w:eastAsia="SimSun" w:hAnsi="Times New Roman"/>
          <w:b/>
          <w:sz w:val="24"/>
          <w:szCs w:val="24"/>
        </w:rPr>
      </w:pPr>
      <w:r w:rsidRPr="00AE47C6">
        <w:rPr>
          <w:rFonts w:ascii="Times New Roman" w:eastAsia="SimSun" w:hAnsi="Times New Roman"/>
          <w:b/>
          <w:sz w:val="24"/>
          <w:szCs w:val="24"/>
        </w:rPr>
        <w:t xml:space="preserve">Исхемичните нарушения на мозъчното кръвообращение </w:t>
      </w:r>
      <w:r w:rsidRPr="00AE47C6">
        <w:rPr>
          <w:rFonts w:ascii="Times New Roman" w:eastAsia="SimSun" w:hAnsi="Times New Roman"/>
          <w:sz w:val="24"/>
          <w:szCs w:val="24"/>
        </w:rPr>
        <w:t xml:space="preserve">възникват при преходно или трайно снижение на мозъчния кръвен ток по различни причини. </w:t>
      </w:r>
    </w:p>
    <w:p w14:paraId="559833F0"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9" w:name="_Toc155651705"/>
      <w:bookmarkStart w:id="10" w:name="_Toc164075835"/>
      <w:r w:rsidRPr="00AE47C6">
        <w:rPr>
          <w:rFonts w:ascii="Times New Roman" w:eastAsia="SimSun" w:hAnsi="Times New Roman"/>
          <w:b/>
          <w:sz w:val="24"/>
          <w:szCs w:val="24"/>
        </w:rPr>
        <w:t>1.2. Транзиторни исхемични атаки (ТИА)</w:t>
      </w:r>
      <w:bookmarkEnd w:id="9"/>
      <w:bookmarkEnd w:id="10"/>
    </w:p>
    <w:p w14:paraId="4B0D5AE0"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b/>
          <w:sz w:val="24"/>
          <w:szCs w:val="24"/>
        </w:rPr>
        <w:t>Определение. Транзиторната исхемична атака</w:t>
      </w:r>
      <w:r w:rsidRPr="00AE47C6">
        <w:rPr>
          <w:rFonts w:ascii="Times New Roman" w:eastAsia="SimSun" w:hAnsi="Times New Roman"/>
          <w:sz w:val="24"/>
          <w:szCs w:val="24"/>
        </w:rPr>
        <w:t xml:space="preserve"> (ТИА) представлява краткотраен епизод на неврологична дисфункция (от минути до няколко часа, под 24 часа, най-често от минути до 1-2 часа), предизвикана от фокална мозъчна, гръбначно–мозъчна или ретинна исхемия, без данни за оформен мозъчен инфаркт на невроизобразяващите изследвания. Болни с ТИА имат повишен риск от повторни мозъчносъдови исхемични нарушения (до 10% в първите 48 часа). Те се нуждаят от спешни диагностични мероприятия, с цел лечение на съпътстващи нарушения, модифициране на рискови фактори и идентифициране на специфични лечими причини за ТИА, най-вече артериална стеноза или източници на емболизъм. Незабавното превантивно лечение води до намаляване на честотата на МИ, инвалидността и смъртността. Болни с леки исхемични инсулти или такива с МИ с бързо спонтанно подобрение имат повишен риск от повторен МИ.</w:t>
      </w:r>
    </w:p>
    <w:p w14:paraId="5A64114D"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b/>
          <w:sz w:val="24"/>
          <w:szCs w:val="24"/>
        </w:rPr>
        <w:t xml:space="preserve">Епидемиология. </w:t>
      </w:r>
      <w:r w:rsidRPr="00AE47C6">
        <w:rPr>
          <w:rFonts w:ascii="Times New Roman" w:eastAsia="SimSun" w:hAnsi="Times New Roman"/>
          <w:bCs/>
          <w:sz w:val="24"/>
          <w:szCs w:val="24"/>
        </w:rPr>
        <w:t>От</w:t>
      </w:r>
      <w:r w:rsidRPr="00AE47C6">
        <w:rPr>
          <w:rFonts w:ascii="Times New Roman" w:eastAsia="SimSun" w:hAnsi="Times New Roman"/>
          <w:sz w:val="24"/>
          <w:szCs w:val="24"/>
        </w:rPr>
        <w:t xml:space="preserve">носителният дял на ТИА е около 15% от всички мозъчносъдови инциденти, около 40% се усложняват с мозъчен инфаркт, с най-висок риск през първата година от заболяването сред нелекуваните болни. В България болестността нараства с възрастта и варира от 40.4/1000 във възрастова група 40-59 г. до 63/1000 за населението между 65-74 г. и е по-висока за мъжете (1,6 на 1000) спрямо жените (0,9 на 1000). </w:t>
      </w:r>
    </w:p>
    <w:p w14:paraId="4BF88D37"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b/>
          <w:sz w:val="24"/>
          <w:szCs w:val="24"/>
        </w:rPr>
        <w:t>Етиология.</w:t>
      </w:r>
      <w:r w:rsidRPr="00AE47C6">
        <w:rPr>
          <w:rFonts w:ascii="Times New Roman" w:eastAsia="SimSun" w:hAnsi="Times New Roman"/>
          <w:sz w:val="24"/>
          <w:szCs w:val="24"/>
        </w:rPr>
        <w:t xml:space="preserve"> ТИА са полиетиологични. Най-честите причини са </w:t>
      </w:r>
      <w:r w:rsidRPr="00AE47C6">
        <w:rPr>
          <w:rFonts w:ascii="Times New Roman" w:eastAsia="SimSun" w:hAnsi="Times New Roman"/>
          <w:i/>
          <w:sz w:val="24"/>
          <w:szCs w:val="24"/>
        </w:rPr>
        <w:t xml:space="preserve">атеросклероза </w:t>
      </w:r>
      <w:r w:rsidRPr="00AE47C6">
        <w:rPr>
          <w:rFonts w:ascii="Times New Roman" w:eastAsia="SimSun" w:hAnsi="Times New Roman"/>
          <w:sz w:val="24"/>
          <w:szCs w:val="24"/>
        </w:rPr>
        <w:t xml:space="preserve">на аортата, магистралните и мозъчните артерии, </w:t>
      </w:r>
      <w:r w:rsidRPr="00AE47C6">
        <w:rPr>
          <w:rFonts w:ascii="Times New Roman" w:eastAsia="SimSun" w:hAnsi="Times New Roman"/>
          <w:i/>
          <w:sz w:val="24"/>
          <w:szCs w:val="24"/>
        </w:rPr>
        <w:t>сърдечните заболявания</w:t>
      </w:r>
      <w:r w:rsidRPr="00AE47C6">
        <w:rPr>
          <w:rFonts w:ascii="Times New Roman" w:eastAsia="SimSun" w:hAnsi="Times New Roman"/>
          <w:sz w:val="24"/>
          <w:szCs w:val="24"/>
        </w:rPr>
        <w:t xml:space="preserve"> (пороци, ритъмни и проводникови нарушения, исхемична болест на сърцето и др.), </w:t>
      </w:r>
      <w:r w:rsidRPr="00AE47C6">
        <w:rPr>
          <w:rFonts w:ascii="Times New Roman" w:eastAsia="SimSun" w:hAnsi="Times New Roman"/>
          <w:i/>
          <w:sz w:val="24"/>
          <w:szCs w:val="24"/>
        </w:rPr>
        <w:t>артериална хипертония, захарен диабет</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 xml:space="preserve">васкулити </w:t>
      </w:r>
      <w:r w:rsidRPr="00AE47C6">
        <w:rPr>
          <w:rFonts w:ascii="Times New Roman" w:eastAsia="SimSun" w:hAnsi="Times New Roman"/>
          <w:sz w:val="24"/>
          <w:szCs w:val="24"/>
        </w:rPr>
        <w:t xml:space="preserve">(гигантоклетъчния артериит, periarteritis nodosa, грануломатозният ангиит, сифилисът, СПИН) и васкулопатии с генетична причина или имунна патогенеза, вродени аномалии в магистралните и мозъчни артерии, аневризми, </w:t>
      </w:r>
      <w:r w:rsidRPr="00AE47C6">
        <w:rPr>
          <w:rFonts w:ascii="Times New Roman" w:eastAsia="SimSun" w:hAnsi="Times New Roman"/>
          <w:i/>
          <w:sz w:val="24"/>
          <w:szCs w:val="24"/>
        </w:rPr>
        <w:t>артерио-венозни малформации</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фибромускулна дисплазия</w:t>
      </w:r>
      <w:r w:rsidRPr="00AE47C6">
        <w:rPr>
          <w:rFonts w:ascii="Times New Roman" w:eastAsia="SimSun" w:hAnsi="Times New Roman"/>
          <w:sz w:val="24"/>
          <w:szCs w:val="24"/>
        </w:rPr>
        <w:t xml:space="preserve"> и </w:t>
      </w:r>
      <w:r w:rsidRPr="00AE47C6">
        <w:rPr>
          <w:rFonts w:ascii="Times New Roman" w:eastAsia="SimSun" w:hAnsi="Times New Roman"/>
          <w:i/>
          <w:iCs/>
          <w:sz w:val="24"/>
          <w:szCs w:val="24"/>
        </w:rPr>
        <w:t>к</w:t>
      </w:r>
      <w:r w:rsidRPr="00AE47C6">
        <w:rPr>
          <w:rFonts w:ascii="Times New Roman" w:eastAsia="SimSun" w:hAnsi="Times New Roman"/>
          <w:i/>
          <w:sz w:val="24"/>
          <w:szCs w:val="24"/>
        </w:rPr>
        <w:t>ръвни заболявания, неправилна употреба и злоупотреба с някои медикаменти или субстанции</w:t>
      </w:r>
      <w:r w:rsidRPr="00AE47C6">
        <w:rPr>
          <w:rFonts w:ascii="Times New Roman" w:eastAsia="SimSun" w:hAnsi="Times New Roman"/>
          <w:sz w:val="24"/>
          <w:szCs w:val="24"/>
        </w:rPr>
        <w:t xml:space="preserve"> (антидиабетни, антидепресанти, хормонални антиконцептивни, наркотици и др.), компресии на магистрални и мозъчни артерии. </w:t>
      </w:r>
    </w:p>
    <w:p w14:paraId="194E5372"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b/>
          <w:sz w:val="24"/>
          <w:szCs w:val="24"/>
        </w:rPr>
        <w:t xml:space="preserve">Клиника. </w:t>
      </w:r>
      <w:r w:rsidRPr="00AE47C6">
        <w:rPr>
          <w:rFonts w:ascii="Times New Roman" w:eastAsia="SimSun" w:hAnsi="Times New Roman"/>
          <w:sz w:val="24"/>
          <w:szCs w:val="24"/>
        </w:rPr>
        <w:t xml:space="preserve">ТИА протичат с внезапно начало, с краткотрайни огнищни неврологични синдроми според съдовия басейн и имат склонност да рецидивират. Продължават от минути до часове, но до 24 часа функциите се възстановяват напълно. </w:t>
      </w:r>
    </w:p>
    <w:p w14:paraId="6CE3F56F" w14:textId="77777777" w:rsidR="00BE0B19" w:rsidRPr="00AE47C6" w:rsidRDefault="00BE0B19" w:rsidP="00BE0B19">
      <w:pPr>
        <w:spacing w:after="0" w:line="360" w:lineRule="auto"/>
        <w:ind w:firstLine="567"/>
        <w:contextualSpacing/>
        <w:jc w:val="both"/>
        <w:rPr>
          <w:rFonts w:ascii="Times New Roman" w:eastAsia="SimSun" w:hAnsi="Times New Roman"/>
          <w:sz w:val="24"/>
          <w:szCs w:val="24"/>
        </w:rPr>
      </w:pPr>
      <w:r w:rsidRPr="00AE47C6">
        <w:rPr>
          <w:rFonts w:ascii="Times New Roman" w:eastAsia="SimSun" w:hAnsi="Times New Roman"/>
          <w:b/>
          <w:i/>
          <w:sz w:val="24"/>
          <w:szCs w:val="24"/>
        </w:rPr>
        <w:t>ТИА в каротидната система</w:t>
      </w:r>
      <w:r w:rsidRPr="00AE47C6">
        <w:rPr>
          <w:rFonts w:ascii="Times New Roman" w:eastAsia="SimSun" w:hAnsi="Times New Roman"/>
          <w:sz w:val="24"/>
          <w:szCs w:val="24"/>
        </w:rPr>
        <w:t xml:space="preserve"> започват остро, с главоболие и огнищни симптоми, които са най-често от басейна на офталмичната и/или средната мозъчна артерия. Зрителните нарушения са хомолатерално, а сетивните и двигателните нарушения – контралатерално на преходната исхемия. Нарушенията във висшите корови функции зависят от съдовия басейн.</w:t>
      </w:r>
      <w:r w:rsidRPr="00AE47C6">
        <w:rPr>
          <w:rFonts w:ascii="Times New Roman" w:eastAsia="SimSun" w:hAnsi="Times New Roman"/>
          <w:b/>
          <w:i/>
          <w:sz w:val="24"/>
          <w:szCs w:val="24"/>
        </w:rPr>
        <w:t xml:space="preserve"> ТИА във вертебробазиларната система </w:t>
      </w:r>
      <w:r w:rsidRPr="00AE47C6">
        <w:rPr>
          <w:rFonts w:ascii="Times New Roman" w:eastAsia="SimSun" w:hAnsi="Times New Roman"/>
          <w:sz w:val="24"/>
          <w:szCs w:val="24"/>
        </w:rPr>
        <w:t xml:space="preserve">са с по-голяма продължителност, по-малка стереотипност и по-голям риск от преминаване в мозъчен инфаркт от тези в каротидния басейн. Клиничните прояви са от мозъчния ствол, малкия мозък и/или окципиталния дял: алтерниращи синдроми, двустранната или алтернираща ляво- или десностранна моторна или сетивна дисфункция, хомонимна анопсия или комбинация от симптоми, съчетани с диплопията, дизартрията или световъртеж. </w:t>
      </w:r>
    </w:p>
    <w:p w14:paraId="004B85EF"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i/>
          <w:sz w:val="24"/>
          <w:szCs w:val="24"/>
        </w:rPr>
        <w:t xml:space="preserve">Диагностицирането </w:t>
      </w:r>
      <w:r w:rsidRPr="00AE47C6">
        <w:rPr>
          <w:rFonts w:ascii="Times New Roman" w:eastAsia="SimSun" w:hAnsi="Times New Roman"/>
          <w:sz w:val="24"/>
          <w:szCs w:val="24"/>
        </w:rPr>
        <w:t xml:space="preserve">се основава на: 1. Наличие на съдови рискови фактори; 2. Остро възникване и пълно възстановяване на огнищен неврологичен дефицит до 24 часа; 3. Липса на общомозъчни симптоми; 4. Склонност към рецидиви и стереотипност на клиничните симптоми; 5. Данни за наличие на атеросклеротични промени в екстракраниалните и/или мозъчните артерии при невросонографското или ангиографско изследване (4); </w:t>
      </w:r>
    </w:p>
    <w:p w14:paraId="6C5DD6CC"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b/>
          <w:sz w:val="24"/>
          <w:szCs w:val="24"/>
        </w:rPr>
        <w:t>Изследвания.</w:t>
      </w:r>
      <w:r w:rsidRPr="00AE47C6">
        <w:rPr>
          <w:rFonts w:ascii="Times New Roman" w:eastAsia="SimSun" w:hAnsi="Times New Roman"/>
          <w:sz w:val="24"/>
          <w:szCs w:val="24"/>
        </w:rPr>
        <w:t xml:space="preserve"> Соматично изследване, изследването на кръвните показатели (хематологични, биохимични, хемореологични и липиден профил), ЕКГ, ехокардиография и консултации с кардиолог; 24 часово мониториране на сърдечния ритъм с Холтер-ЕКГ; офталмоскопия и невроофталмологично изследване; Рентгенографията на шийни прешлени, белите дробове и сърцето; Невросонографското изследване; При необходимост се провежда контрастно ангиографско изследване (КТА, МРА, аортография и дигитална субтракционна ангиография) за доказване на значима съдова патология; Невроизобразяващите методи имат различна информативност. КТ на мозъка се използва за диференциална диагноза с мозъчни инфаркти и кръвоизливи, тумори или метастази и невроинфекции. В 20–40% от болните се установяват лакунарни мозъчни инфаркти, атрофии и мозъчен оток. МРТ е информативен образен метод при стволова и малкомозъчна локализация на симптомите и в детска възраст. SPECT визуализира критичните зони на регионална хипоперфузия; Ликворно изследване се провежда при невъзможност за КТ или негативен резултат, съмнение за мозъчен кръвоизлив, невроинфекции, обемни процеси и диференциална диагноза с други заболявания; </w:t>
      </w:r>
    </w:p>
    <w:p w14:paraId="67063A0F"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sz w:val="24"/>
          <w:szCs w:val="24"/>
        </w:rPr>
        <w:t>Рисковите фактори при ТИА за развитие на мозъчен инсулт се оценяват по АВСD скалата (Табл. 1.1).</w:t>
      </w:r>
    </w:p>
    <w:p w14:paraId="74EE3387" w14:textId="77777777" w:rsidR="00BE0B19" w:rsidRPr="00AE47C6" w:rsidRDefault="00BE0B19" w:rsidP="00BE0B19">
      <w:pPr>
        <w:spacing w:after="0" w:line="240" w:lineRule="auto"/>
        <w:rPr>
          <w:rFonts w:ascii="Times New Roman" w:eastAsia="SimSun" w:hAnsi="Times New Roman"/>
          <w:b/>
          <w:sz w:val="24"/>
          <w:szCs w:val="24"/>
        </w:rPr>
      </w:pPr>
      <w:r w:rsidRPr="00AE47C6">
        <w:rPr>
          <w:rFonts w:ascii="Times New Roman" w:eastAsia="SimSun" w:hAnsi="Times New Roman"/>
          <w:b/>
          <w:sz w:val="24"/>
          <w:szCs w:val="24"/>
        </w:rPr>
        <w:br w:type="page"/>
      </w:r>
    </w:p>
    <w:p w14:paraId="713BB953" w14:textId="77777777" w:rsidR="00BE0B19" w:rsidRPr="00AE47C6" w:rsidRDefault="00BE0B19" w:rsidP="00BE0B19">
      <w:pPr>
        <w:spacing w:after="0" w:line="360" w:lineRule="auto"/>
        <w:ind w:firstLine="567"/>
        <w:jc w:val="both"/>
        <w:rPr>
          <w:rFonts w:ascii="Times New Roman" w:eastAsia="SimSun" w:hAnsi="Times New Roman"/>
          <w:b/>
          <w:sz w:val="24"/>
          <w:szCs w:val="24"/>
        </w:rPr>
      </w:pPr>
    </w:p>
    <w:p w14:paraId="1B41ABF3"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b/>
          <w:sz w:val="24"/>
          <w:szCs w:val="24"/>
        </w:rPr>
        <w:t>Табл. 1. 1.</w:t>
      </w:r>
      <w:r w:rsidRPr="00AE47C6">
        <w:rPr>
          <w:rFonts w:ascii="Times New Roman" w:eastAsia="SimSun" w:hAnsi="Times New Roman"/>
          <w:sz w:val="24"/>
          <w:szCs w:val="24"/>
        </w:rPr>
        <w:t xml:space="preserve"> </w:t>
      </w:r>
      <w:r w:rsidRPr="00AE47C6">
        <w:rPr>
          <w:rFonts w:ascii="Times New Roman" w:eastAsia="SimSun" w:hAnsi="Times New Roman"/>
          <w:b/>
          <w:sz w:val="24"/>
          <w:szCs w:val="24"/>
        </w:rPr>
        <w:t>АВСD скала за оценка на рисковите фактори при ТИА</w:t>
      </w:r>
    </w:p>
    <w:p w14:paraId="416E5A6D" w14:textId="77777777" w:rsidR="00BE0B19" w:rsidRPr="00AE47C6" w:rsidRDefault="00BE0B19" w:rsidP="00BE0B19">
      <w:pPr>
        <w:spacing w:after="0" w:line="360" w:lineRule="auto"/>
        <w:jc w:val="both"/>
        <w:rPr>
          <w:rFonts w:ascii="Times New Roman" w:eastAsia="SimSun" w:hAnsi="Times New Roman"/>
          <w:b/>
          <w:i/>
          <w:sz w:val="24"/>
          <w:szCs w:val="24"/>
        </w:rPr>
      </w:pPr>
      <w:r w:rsidRPr="00AE47C6">
        <w:rPr>
          <w:rFonts w:ascii="Times New Roman" w:eastAsia="SimSun" w:hAnsi="Times New Roman"/>
          <w:noProof/>
          <w:sz w:val="24"/>
          <w:szCs w:val="24"/>
          <w:lang w:eastAsia="bg-BG"/>
        </w:rPr>
        <w:drawing>
          <wp:inline distT="0" distB="0" distL="0" distR="0" wp14:anchorId="008A0C12" wp14:editId="4AFDCD67">
            <wp:extent cx="5505450" cy="2847975"/>
            <wp:effectExtent l="19050" t="0" r="0" b="0"/>
            <wp:docPr id="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a:srcRect/>
                    <a:stretch>
                      <a:fillRect/>
                    </a:stretch>
                  </pic:blipFill>
                  <pic:spPr bwMode="auto">
                    <a:xfrm>
                      <a:off x="0" y="0"/>
                      <a:ext cx="5505450" cy="2847975"/>
                    </a:xfrm>
                    <a:prstGeom prst="rect">
                      <a:avLst/>
                    </a:prstGeom>
                    <a:noFill/>
                    <a:ln w="9525">
                      <a:noFill/>
                      <a:miter lim="800000"/>
                      <a:headEnd/>
                      <a:tailEnd/>
                    </a:ln>
                  </pic:spPr>
                </pic:pic>
              </a:graphicData>
            </a:graphic>
          </wp:inline>
        </w:drawing>
      </w:r>
    </w:p>
    <w:p w14:paraId="418FD693"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i/>
          <w:sz w:val="24"/>
          <w:szCs w:val="24"/>
        </w:rPr>
        <w:t>Алгоритъмът на поведение при вероятна ТИА за диагностика и лечение при оценка на риска за последващ мозъчен инфаркт</w:t>
      </w:r>
      <w:r w:rsidRPr="00AE47C6">
        <w:rPr>
          <w:rFonts w:ascii="Times New Roman" w:eastAsia="SimSun" w:hAnsi="Times New Roman"/>
          <w:sz w:val="24"/>
          <w:szCs w:val="24"/>
        </w:rPr>
        <w:t xml:space="preserve"> е представен на Фиг.1.2.</w:t>
      </w:r>
    </w:p>
    <w:p w14:paraId="46278A1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w:drawing>
          <wp:inline distT="0" distB="0" distL="0" distR="0" wp14:anchorId="05BDD179" wp14:editId="5E19C0DC">
            <wp:extent cx="5702300" cy="5319718"/>
            <wp:effectExtent l="0" t="0" r="0" b="0"/>
            <wp:docPr id="1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srcRect/>
                    <a:stretch>
                      <a:fillRect/>
                    </a:stretch>
                  </pic:blipFill>
                  <pic:spPr bwMode="auto">
                    <a:xfrm>
                      <a:off x="0" y="0"/>
                      <a:ext cx="5706800" cy="5323916"/>
                    </a:xfrm>
                    <a:prstGeom prst="rect">
                      <a:avLst/>
                    </a:prstGeom>
                    <a:noFill/>
                    <a:ln w="9525">
                      <a:noFill/>
                      <a:miter lim="800000"/>
                      <a:headEnd/>
                      <a:tailEnd/>
                    </a:ln>
                  </pic:spPr>
                </pic:pic>
              </a:graphicData>
            </a:graphic>
          </wp:inline>
        </w:drawing>
      </w:r>
    </w:p>
    <w:p w14:paraId="75EA43AA" w14:textId="77777777" w:rsidR="00BE0B19" w:rsidRPr="00AE47C6" w:rsidRDefault="00BE0B19" w:rsidP="00BE0B19">
      <w:pPr>
        <w:spacing w:after="0" w:line="360" w:lineRule="auto"/>
        <w:ind w:firstLine="567"/>
        <w:jc w:val="both"/>
        <w:rPr>
          <w:rFonts w:ascii="Times New Roman" w:eastAsia="SimSun" w:hAnsi="Times New Roman"/>
          <w:sz w:val="24"/>
          <w:szCs w:val="24"/>
        </w:rPr>
      </w:pPr>
    </w:p>
    <w:p w14:paraId="3732B563" w14:textId="77777777" w:rsidR="00BE0B19" w:rsidRPr="00AE47C6" w:rsidRDefault="00BE0B19" w:rsidP="00BE0B19">
      <w:pPr>
        <w:spacing w:after="0" w:line="360" w:lineRule="auto"/>
        <w:ind w:firstLine="567"/>
        <w:jc w:val="both"/>
        <w:rPr>
          <w:rFonts w:ascii="Times New Roman" w:eastAsia="SimSun" w:hAnsi="Times New Roman"/>
          <w:b/>
          <w:sz w:val="24"/>
          <w:szCs w:val="24"/>
        </w:rPr>
      </w:pPr>
      <w:r w:rsidRPr="00AE47C6">
        <w:rPr>
          <w:rFonts w:ascii="Times New Roman" w:eastAsia="SimSun" w:hAnsi="Times New Roman"/>
          <w:b/>
          <w:sz w:val="24"/>
          <w:szCs w:val="24"/>
        </w:rPr>
        <w:t>Фиг. 1.2.</w:t>
      </w:r>
      <w:r w:rsidRPr="00AE47C6">
        <w:rPr>
          <w:rFonts w:ascii="Times New Roman" w:eastAsia="SimSun" w:hAnsi="Times New Roman"/>
          <w:sz w:val="24"/>
          <w:szCs w:val="24"/>
        </w:rPr>
        <w:t xml:space="preserve"> </w:t>
      </w:r>
      <w:r w:rsidRPr="00AE47C6">
        <w:rPr>
          <w:rFonts w:ascii="Times New Roman" w:eastAsia="SimSun" w:hAnsi="Times New Roman"/>
          <w:b/>
          <w:sz w:val="24"/>
          <w:szCs w:val="24"/>
        </w:rPr>
        <w:t>Поведение при пациент с вероятна ТИА за диагностика и лечение при оценка на риска за последващ мозъчен инсулт</w:t>
      </w:r>
    </w:p>
    <w:p w14:paraId="2F656EB5" w14:textId="77777777" w:rsidR="00BE0B19" w:rsidRPr="00AE47C6" w:rsidRDefault="00BE0B19" w:rsidP="00BE0B19">
      <w:pPr>
        <w:spacing w:after="0" w:line="360" w:lineRule="auto"/>
        <w:ind w:firstLine="567"/>
        <w:jc w:val="both"/>
        <w:rPr>
          <w:rFonts w:ascii="Times New Roman" w:eastAsia="SimSun" w:hAnsi="Times New Roman"/>
          <w:sz w:val="24"/>
          <w:szCs w:val="24"/>
        </w:rPr>
      </w:pPr>
    </w:p>
    <w:p w14:paraId="6154E421"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b/>
          <w:sz w:val="24"/>
          <w:szCs w:val="24"/>
        </w:rPr>
        <w:t xml:space="preserve">Диференциалната диагноза </w:t>
      </w:r>
      <w:r w:rsidRPr="00AE47C6">
        <w:rPr>
          <w:rFonts w:ascii="Times New Roman" w:eastAsia="SimSun" w:hAnsi="Times New Roman"/>
          <w:sz w:val="24"/>
          <w:szCs w:val="24"/>
        </w:rPr>
        <w:t xml:space="preserve">включва: 1. Разграничаването от мозъчен инфаркт и други заболявания, протичащи с преходни синдроми: </w:t>
      </w:r>
      <w:r w:rsidRPr="00AE47C6">
        <w:rPr>
          <w:rFonts w:ascii="Times New Roman" w:eastAsia="SimSun" w:hAnsi="Times New Roman"/>
          <w:i/>
          <w:sz w:val="24"/>
          <w:szCs w:val="24"/>
        </w:rPr>
        <w:t>мигрена с аура</w:t>
      </w:r>
      <w:r w:rsidRPr="00AE47C6">
        <w:rPr>
          <w:rFonts w:ascii="Times New Roman" w:eastAsia="SimSun" w:hAnsi="Times New Roman"/>
          <w:sz w:val="24"/>
          <w:szCs w:val="24"/>
        </w:rPr>
        <w:t xml:space="preserve">; епилепсия с фокални сетивни и моторни пристъпи; </w:t>
      </w:r>
      <w:r w:rsidRPr="00AE47C6">
        <w:rPr>
          <w:rFonts w:ascii="Times New Roman" w:eastAsia="SimSun" w:hAnsi="Times New Roman"/>
          <w:i/>
          <w:sz w:val="24"/>
          <w:szCs w:val="24"/>
        </w:rPr>
        <w:t>остра хипертонична енцефалопатия</w:t>
      </w:r>
      <w:r w:rsidRPr="00AE47C6">
        <w:rPr>
          <w:rFonts w:ascii="Times New Roman" w:eastAsia="SimSun" w:hAnsi="Times New Roman"/>
          <w:sz w:val="24"/>
          <w:szCs w:val="24"/>
        </w:rPr>
        <w:t xml:space="preserve"> се предизвиква от внезапно и по-продължително повишаване на </w:t>
      </w:r>
      <w:r w:rsidRPr="00AE47C6">
        <w:rPr>
          <w:rFonts w:ascii="Times New Roman" w:eastAsia="SimSun" w:hAnsi="Times New Roman"/>
          <w:i/>
          <w:sz w:val="24"/>
          <w:szCs w:val="24"/>
        </w:rPr>
        <w:t>СрАН над 150-200 mmHg</w:t>
      </w:r>
      <w:r w:rsidRPr="00AE47C6">
        <w:rPr>
          <w:rFonts w:ascii="Times New Roman" w:eastAsia="SimSun" w:hAnsi="Times New Roman"/>
          <w:sz w:val="24"/>
          <w:szCs w:val="24"/>
        </w:rPr>
        <w:t>, заемащите пространство процеси (мозъчни тумори, субдурален хематом); Множествената склероза, синкопи; остри вестибуларни синдроми; интоксикации.</w:t>
      </w:r>
    </w:p>
    <w:p w14:paraId="10C09FAE" w14:textId="77777777" w:rsidR="00BE0B19" w:rsidRPr="00AE47C6" w:rsidRDefault="00BE0B19" w:rsidP="00BE0B19">
      <w:pPr>
        <w:spacing w:after="0" w:line="360" w:lineRule="auto"/>
        <w:ind w:firstLine="567"/>
        <w:jc w:val="both"/>
        <w:rPr>
          <w:rFonts w:ascii="Times New Roman" w:eastAsia="SimSun" w:hAnsi="Times New Roman"/>
          <w:i/>
          <w:sz w:val="24"/>
          <w:szCs w:val="24"/>
        </w:rPr>
      </w:pPr>
      <w:r w:rsidRPr="00AE47C6">
        <w:rPr>
          <w:rFonts w:ascii="Times New Roman" w:eastAsia="SimSun" w:hAnsi="Times New Roman"/>
          <w:b/>
          <w:sz w:val="24"/>
          <w:szCs w:val="24"/>
        </w:rPr>
        <w:t>Лечението</w:t>
      </w:r>
      <w:r w:rsidRPr="00AE47C6">
        <w:rPr>
          <w:rFonts w:ascii="Times New Roman" w:eastAsia="SimSun" w:hAnsi="Times New Roman"/>
          <w:i/>
          <w:sz w:val="24"/>
          <w:szCs w:val="24"/>
        </w:rPr>
        <w:t xml:space="preserve"> при ТИА </w:t>
      </w:r>
      <w:r w:rsidRPr="00AE47C6">
        <w:rPr>
          <w:rFonts w:ascii="Times New Roman" w:eastAsia="SimSun" w:hAnsi="Times New Roman"/>
          <w:sz w:val="24"/>
          <w:szCs w:val="24"/>
        </w:rPr>
        <w:t xml:space="preserve">е специфично (етиологично и патогенетично) и неспецифично (симптоматично). В острия стадий лечението следва поведението при мозъчните инфаркти (виж “Мозъчни инфаркти”). </w:t>
      </w:r>
    </w:p>
    <w:p w14:paraId="48BA99F2"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b/>
          <w:sz w:val="24"/>
          <w:szCs w:val="24"/>
        </w:rPr>
        <w:t xml:space="preserve">Профилактиката </w:t>
      </w:r>
      <w:r w:rsidRPr="00AE47C6">
        <w:rPr>
          <w:rFonts w:ascii="Times New Roman" w:eastAsia="SimSun" w:hAnsi="Times New Roman"/>
          <w:sz w:val="24"/>
          <w:szCs w:val="24"/>
        </w:rPr>
        <w:t xml:space="preserve">(виж вторична профилактика на исхемичните нарушения). </w:t>
      </w:r>
    </w:p>
    <w:p w14:paraId="39B0BA8C" w14:textId="77777777" w:rsidR="00BE0B19" w:rsidRPr="00AE47C6" w:rsidRDefault="00BE0B19" w:rsidP="00BE0B19">
      <w:pPr>
        <w:keepNext/>
        <w:tabs>
          <w:tab w:val="left" w:pos="720"/>
        </w:tabs>
        <w:spacing w:before="480" w:after="240" w:line="240" w:lineRule="auto"/>
        <w:outlineLvl w:val="1"/>
        <w:rPr>
          <w:rFonts w:ascii="Times New Roman" w:eastAsia="SimSun" w:hAnsi="Times New Roman"/>
          <w:b/>
          <w:sz w:val="24"/>
          <w:szCs w:val="24"/>
        </w:rPr>
      </w:pPr>
      <w:bookmarkStart w:id="11" w:name="_Toc155651706"/>
      <w:bookmarkStart w:id="12" w:name="_Toc164075836"/>
      <w:r w:rsidRPr="00AE47C6">
        <w:rPr>
          <w:rFonts w:ascii="Times New Roman" w:eastAsia="SimSun" w:hAnsi="Times New Roman"/>
          <w:b/>
          <w:sz w:val="24"/>
          <w:szCs w:val="24"/>
        </w:rPr>
        <w:t>1.3. Исхемичен мозъчен инсулт</w:t>
      </w:r>
      <w:bookmarkEnd w:id="11"/>
      <w:bookmarkEnd w:id="12"/>
    </w:p>
    <w:p w14:paraId="4BF15A56"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b/>
          <w:sz w:val="24"/>
          <w:szCs w:val="24"/>
        </w:rPr>
        <w:t xml:space="preserve">Исхемичният мозъчен инсулт (ИМИ) </w:t>
      </w:r>
      <w:r w:rsidRPr="00AE47C6">
        <w:rPr>
          <w:rFonts w:ascii="Times New Roman" w:eastAsia="SimSun" w:hAnsi="Times New Roman"/>
          <w:sz w:val="24"/>
          <w:szCs w:val="24"/>
        </w:rPr>
        <w:t xml:space="preserve">или мозъчният инфаркт (МИ) е остро разстройство на мозъчното кръвообращение, в резултат на недостатъчен приток на кръв, кислород и глюкоза към мозъка, с последващо разстройство на метаболитните процеси в засегната територия. Настъпват обратими и необратими увреждания на невроните, глията и мезенхимната тъкан. Необратимите увреждания, протичащи с характера на „исхемична аноксия”, се проявяват с трайни неврологични и/или психични нарушения. Нарушението на мозъчните функции има общ и огнищен характер. ИМИ са най-честите остри нарушения на мозъчното кръвообръщение – 88% от всички инсулти. Смъртността при тях е 12%. </w:t>
      </w:r>
    </w:p>
    <w:p w14:paraId="0523680B"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b/>
          <w:sz w:val="24"/>
          <w:szCs w:val="24"/>
        </w:rPr>
        <w:t>Епидемиология.</w:t>
      </w:r>
      <w:r w:rsidRPr="00AE47C6">
        <w:rPr>
          <w:rFonts w:ascii="Times New Roman" w:eastAsia="SimSun" w:hAnsi="Times New Roman"/>
          <w:sz w:val="24"/>
          <w:szCs w:val="24"/>
        </w:rPr>
        <w:t xml:space="preserve"> ИМИ представляват до 88% от всички мозъчни инсулти. По данни на СЗО заболяемостта варира между 1,8 и 2,8/1000, като нараства с възрастта, но се наблюдава тенденция за увеличаване на мозъчни инсулти в по-млада възраст. В детската възраст заболяемостта от исхемични инсулти е от 1.2 до 7.8/100 000. Смъртността от ИМИ е 12%. </w:t>
      </w:r>
      <w:r w:rsidRPr="00AE47C6">
        <w:rPr>
          <w:rFonts w:ascii="Times New Roman" w:eastAsia="SimSun" w:hAnsi="Times New Roman"/>
          <w:i/>
          <w:sz w:val="24"/>
          <w:szCs w:val="24"/>
        </w:rPr>
        <w:t>В България годишно се диагностицират 35 311 души с мозъчни инсулти</w:t>
      </w:r>
      <w:r w:rsidRPr="00AE47C6">
        <w:rPr>
          <w:rFonts w:ascii="Times New Roman" w:eastAsia="SimSun" w:hAnsi="Times New Roman"/>
          <w:sz w:val="24"/>
          <w:szCs w:val="24"/>
        </w:rPr>
        <w:t xml:space="preserve">. </w:t>
      </w:r>
    </w:p>
    <w:p w14:paraId="3A5B1675" w14:textId="77777777" w:rsidR="00BE0B19" w:rsidRPr="00AE47C6" w:rsidRDefault="00BE0B19" w:rsidP="00BE0B19">
      <w:pPr>
        <w:spacing w:after="0" w:line="360" w:lineRule="auto"/>
        <w:ind w:firstLine="567"/>
        <w:jc w:val="both"/>
        <w:rPr>
          <w:rFonts w:ascii="Times New Roman" w:eastAsia="SimSun" w:hAnsi="Times New Roman"/>
          <w:b/>
          <w:sz w:val="24"/>
          <w:szCs w:val="24"/>
        </w:rPr>
      </w:pPr>
      <w:r w:rsidRPr="00AE47C6">
        <w:rPr>
          <w:rFonts w:ascii="Times New Roman" w:eastAsia="SimSun" w:hAnsi="Times New Roman"/>
          <w:b/>
          <w:sz w:val="24"/>
          <w:szCs w:val="24"/>
        </w:rPr>
        <w:t xml:space="preserve">В зависимост от етиологията и патогенезата ИМИ се разделят на четири подвида: атеротромботични, кардиоемболични, лакунарни и криптогенни. </w:t>
      </w:r>
    </w:p>
    <w:p w14:paraId="537963A4" w14:textId="77777777" w:rsidR="00BE0B19" w:rsidRPr="00AE47C6" w:rsidRDefault="00BE0B19" w:rsidP="00BE0B19">
      <w:pPr>
        <w:spacing w:after="0" w:line="360" w:lineRule="auto"/>
        <w:ind w:firstLine="210"/>
        <w:jc w:val="both"/>
        <w:rPr>
          <w:rFonts w:ascii="Times New Roman" w:eastAsia="SimSun" w:hAnsi="Times New Roman"/>
          <w:sz w:val="24"/>
          <w:szCs w:val="24"/>
        </w:rPr>
      </w:pPr>
      <w:r w:rsidRPr="00AE47C6">
        <w:rPr>
          <w:rFonts w:ascii="Times New Roman" w:eastAsia="SimSun" w:hAnsi="Times New Roman"/>
          <w:b/>
          <w:sz w:val="24"/>
          <w:szCs w:val="24"/>
        </w:rPr>
        <w:t>Етиология.</w:t>
      </w:r>
      <w:r w:rsidRPr="00AE47C6">
        <w:rPr>
          <w:rFonts w:ascii="Times New Roman" w:eastAsia="SimSun" w:hAnsi="Times New Roman"/>
          <w:sz w:val="24"/>
          <w:szCs w:val="24"/>
        </w:rPr>
        <w:t xml:space="preserve"> Трите основни причини за мозъчен инфаркт са стенозите на големите артерии, заболяване на малките съдове и кардиоемболизъм, които се обуславят от: атеросклероза на сънните, вертебрални и мозъчни артерии; сърдечни заболявания протичащи с тромбоемболизъм и хемодинамични промени; вродени аномалии на екстракраниалните и мозъчните артерии; инфекциозни васкулити, автоимунни и други неинфекциозни васкулити и васкулопатии; хематологични заболявания и тромбофилии, хомоцистеинемия; дисекации, генетични васкулопатии на малките съдове; дисекации при травми или спонтанно на каротидните и вертебрални артерии, или при компресията им от тумори; метаболитни разстройства като хипогликемия, болест на Fabry. При 15-20% от болните етиологията на мозъчните инфаркти остава неизвестна. </w:t>
      </w:r>
      <w:r w:rsidRPr="00AE47C6">
        <w:rPr>
          <w:rFonts w:ascii="Times New Roman" w:eastAsia="SimSun" w:hAnsi="Times New Roman"/>
          <w:b/>
          <w:i/>
          <w:sz w:val="24"/>
          <w:szCs w:val="24"/>
        </w:rPr>
        <w:t xml:space="preserve">Рисковите фактори </w:t>
      </w:r>
      <w:r w:rsidRPr="00AE47C6">
        <w:rPr>
          <w:rFonts w:ascii="Times New Roman" w:eastAsia="SimSun" w:hAnsi="Times New Roman"/>
          <w:i/>
          <w:sz w:val="24"/>
          <w:szCs w:val="24"/>
        </w:rPr>
        <w:t>за исхемичните инсулти</w:t>
      </w:r>
      <w:r w:rsidRPr="00AE47C6">
        <w:rPr>
          <w:rFonts w:ascii="Times New Roman" w:eastAsia="SimSun" w:hAnsi="Times New Roman"/>
          <w:sz w:val="24"/>
          <w:szCs w:val="24"/>
        </w:rPr>
        <w:t xml:space="preserve"> се разделят на </w:t>
      </w:r>
      <w:r w:rsidRPr="00AE47C6">
        <w:rPr>
          <w:rFonts w:ascii="Times New Roman" w:eastAsia="SimSun" w:hAnsi="Times New Roman"/>
          <w:b/>
          <w:i/>
          <w:sz w:val="24"/>
          <w:szCs w:val="24"/>
        </w:rPr>
        <w:t>немодифицируеми</w:t>
      </w:r>
      <w:r w:rsidRPr="00AE47C6">
        <w:rPr>
          <w:rFonts w:ascii="Times New Roman" w:eastAsia="SimSun" w:hAnsi="Times New Roman"/>
          <w:sz w:val="24"/>
          <w:szCs w:val="24"/>
        </w:rPr>
        <w:t xml:space="preserve"> (възраст, раса, пол и наследственост) и </w:t>
      </w:r>
      <w:r w:rsidRPr="00AE47C6">
        <w:rPr>
          <w:rFonts w:ascii="Times New Roman" w:eastAsia="SimSun" w:hAnsi="Times New Roman"/>
          <w:b/>
          <w:i/>
          <w:sz w:val="24"/>
          <w:szCs w:val="24"/>
        </w:rPr>
        <w:t>модифицируеми</w:t>
      </w:r>
      <w:r w:rsidRPr="00AE47C6">
        <w:rPr>
          <w:rFonts w:ascii="Times New Roman" w:eastAsia="SimSun" w:hAnsi="Times New Roman"/>
          <w:sz w:val="24"/>
          <w:szCs w:val="24"/>
        </w:rPr>
        <w:t xml:space="preserve"> (артериална хипертония, диабет, дислипидемии, сърдечни заболявания, асимптомни каротисни стенози, затлъстяване, тютюнопушене, намалена двигателна активност, стрес, злоупотреба с алкохол, хиперхомоцистеинемия и др.).</w:t>
      </w:r>
    </w:p>
    <w:p w14:paraId="72F05BF3" w14:textId="77777777" w:rsidR="00BE0B19" w:rsidRPr="00AE47C6" w:rsidRDefault="00BE0B19" w:rsidP="00BE0B19">
      <w:pPr>
        <w:spacing w:after="0" w:line="360" w:lineRule="auto"/>
        <w:ind w:firstLine="567"/>
        <w:jc w:val="both"/>
        <w:rPr>
          <w:rFonts w:ascii="Times New Roman" w:eastAsia="SimSun" w:hAnsi="Times New Roman"/>
          <w:i/>
          <w:sz w:val="24"/>
          <w:szCs w:val="24"/>
        </w:rPr>
      </w:pPr>
      <w:r w:rsidRPr="00AE47C6">
        <w:rPr>
          <w:rFonts w:ascii="Times New Roman" w:eastAsia="SimSun" w:hAnsi="Times New Roman"/>
          <w:b/>
          <w:sz w:val="24"/>
          <w:szCs w:val="24"/>
        </w:rPr>
        <w:t>Патогенетично</w:t>
      </w:r>
      <w:r w:rsidRPr="00AE47C6">
        <w:rPr>
          <w:rFonts w:ascii="Times New Roman" w:eastAsia="SimSun" w:hAnsi="Times New Roman"/>
          <w:i/>
          <w:sz w:val="24"/>
          <w:szCs w:val="24"/>
        </w:rPr>
        <w:t xml:space="preserve"> мозъчните инфаркти се разделят на обтурационни и необтурационни. </w:t>
      </w:r>
    </w:p>
    <w:p w14:paraId="0A045D29"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b/>
          <w:i/>
          <w:sz w:val="24"/>
          <w:szCs w:val="24"/>
        </w:rPr>
        <w:t>Обтурационните инфаркти</w:t>
      </w:r>
      <w:r w:rsidRPr="00AE47C6">
        <w:rPr>
          <w:rFonts w:ascii="Times New Roman" w:eastAsia="SimSun" w:hAnsi="Times New Roman"/>
          <w:sz w:val="24"/>
          <w:szCs w:val="24"/>
        </w:rPr>
        <w:t xml:space="preserve"> са тромботични, емболични или смесени. </w:t>
      </w:r>
    </w:p>
    <w:p w14:paraId="6476A650"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i/>
          <w:sz w:val="24"/>
          <w:szCs w:val="24"/>
        </w:rPr>
        <w:t xml:space="preserve">Тромботичните </w:t>
      </w:r>
      <w:r w:rsidRPr="00AE47C6">
        <w:rPr>
          <w:rFonts w:ascii="Times New Roman" w:eastAsia="SimSun" w:hAnsi="Times New Roman"/>
          <w:sz w:val="24"/>
          <w:szCs w:val="24"/>
        </w:rPr>
        <w:t xml:space="preserve">инфаркти възникват при деструктивните изменения на артериалната стена на мозъчните съдове (атеросклероза, васкулити, хомоцистеинемия), забавянето на мозъчния кръвоток, вследствие нарушена сърдечна дейност, снижаването на кръвното налягане и повишените свойства на кръвосъсирване на кръвта (тромбофилии и др.). </w:t>
      </w:r>
    </w:p>
    <w:p w14:paraId="36D742A6"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i/>
          <w:sz w:val="24"/>
          <w:szCs w:val="24"/>
        </w:rPr>
        <w:t xml:space="preserve">Емболичните мозъчни инфаркти </w:t>
      </w:r>
      <w:r w:rsidRPr="00AE47C6">
        <w:rPr>
          <w:rFonts w:ascii="Times New Roman" w:eastAsia="SimSun" w:hAnsi="Times New Roman"/>
          <w:sz w:val="24"/>
          <w:szCs w:val="24"/>
        </w:rPr>
        <w:t>се причиняват от емболи основно от кардиален произход (25% общо от мозъчните инфаркти) или от артериален произход. Емболичните мозъчни инфаркти в 50 до 80% са с характер на „червен инфаркт” или „</w:t>
      </w:r>
      <w:r w:rsidRPr="00AE47C6">
        <w:rPr>
          <w:rFonts w:ascii="Times New Roman" w:eastAsia="SimSun" w:hAnsi="Times New Roman"/>
          <w:i/>
          <w:sz w:val="24"/>
          <w:szCs w:val="24"/>
        </w:rPr>
        <w:t>хеморагична трансформация”</w:t>
      </w:r>
      <w:r w:rsidRPr="00AE47C6">
        <w:rPr>
          <w:rFonts w:ascii="Times New Roman" w:eastAsia="SimSun" w:hAnsi="Times New Roman"/>
          <w:sz w:val="24"/>
          <w:szCs w:val="24"/>
        </w:rPr>
        <w:t xml:space="preserve"> поради възстановяването на кръвния ток дистално от ембола вследствие фибринолиза и реканализация. </w:t>
      </w:r>
      <w:r w:rsidRPr="00AE47C6">
        <w:rPr>
          <w:rFonts w:ascii="Times New Roman" w:eastAsia="SimSun" w:hAnsi="Times New Roman"/>
          <w:i/>
          <w:sz w:val="24"/>
          <w:szCs w:val="24"/>
        </w:rPr>
        <w:t>Артериалния спазъм</w:t>
      </w:r>
      <w:r w:rsidRPr="00AE47C6">
        <w:rPr>
          <w:rFonts w:ascii="Times New Roman" w:eastAsia="SimSun" w:hAnsi="Times New Roman"/>
          <w:sz w:val="24"/>
          <w:szCs w:val="24"/>
        </w:rPr>
        <w:t xml:space="preserve"> при вътрелуменно раздразване на съда в резултат най-често на емболизиране довежда до пълна обтурация на голям артериален съд, дори и при малък размер на ембола. </w:t>
      </w:r>
      <w:r w:rsidRPr="00AE47C6">
        <w:rPr>
          <w:rFonts w:ascii="Times New Roman" w:eastAsia="SimSun" w:hAnsi="Times New Roman"/>
          <w:i/>
          <w:sz w:val="24"/>
          <w:szCs w:val="24"/>
        </w:rPr>
        <w:t>Повишаването на общия кръвен вискозитет</w:t>
      </w:r>
      <w:r w:rsidRPr="00AE47C6">
        <w:rPr>
          <w:rFonts w:ascii="Times New Roman" w:eastAsia="SimSun" w:hAnsi="Times New Roman"/>
          <w:sz w:val="24"/>
          <w:szCs w:val="24"/>
        </w:rPr>
        <w:t xml:space="preserve"> забавя регионалния мозъчен кръвоток в басейна на хемодинамично значимо стенозирана мозъчна артерия и се създават условия за тромбообразуване. Образувалите се тромби могат да станат впоследствие източници на емболи.</w:t>
      </w:r>
    </w:p>
    <w:p w14:paraId="7B24B03F"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b/>
          <w:i/>
          <w:sz w:val="24"/>
          <w:szCs w:val="24"/>
        </w:rPr>
        <w:t xml:space="preserve">Необтурационните (хемодинамични) мозъчни инфаркти </w:t>
      </w:r>
      <w:r w:rsidRPr="00AE47C6">
        <w:rPr>
          <w:rFonts w:ascii="Times New Roman" w:eastAsia="SimSun" w:hAnsi="Times New Roman"/>
          <w:sz w:val="24"/>
          <w:szCs w:val="24"/>
        </w:rPr>
        <w:t xml:space="preserve">възникват при високостепенни стенози на екстракраниалните и/или на мозъчните артерии в зоните на локалната хипоперфузия, които са най-отдалечените зони на съдовия басейн (т.нар. </w:t>
      </w:r>
      <w:r w:rsidRPr="00AE47C6">
        <w:rPr>
          <w:rFonts w:ascii="Times New Roman" w:eastAsia="SimSun" w:hAnsi="Times New Roman"/>
          <w:i/>
          <w:sz w:val="24"/>
          <w:szCs w:val="24"/>
        </w:rPr>
        <w:t>„гранични зони”)</w:t>
      </w:r>
      <w:r w:rsidRPr="00AE47C6">
        <w:rPr>
          <w:rFonts w:ascii="Times New Roman" w:eastAsia="SimSun" w:hAnsi="Times New Roman"/>
          <w:sz w:val="24"/>
          <w:szCs w:val="24"/>
        </w:rPr>
        <w:t xml:space="preserve"> при спадане на артериалното налягане,  сърдечни дисритмии или със сърдечна недостатъчност. При </w:t>
      </w:r>
      <w:r w:rsidRPr="00AE47C6">
        <w:rPr>
          <w:rFonts w:ascii="Times New Roman" w:eastAsia="SimSun" w:hAnsi="Times New Roman"/>
          <w:i/>
          <w:sz w:val="24"/>
          <w:szCs w:val="24"/>
        </w:rPr>
        <w:t xml:space="preserve">синдром на открадване </w:t>
      </w:r>
      <w:r w:rsidRPr="00AE47C6">
        <w:rPr>
          <w:rFonts w:ascii="Times New Roman" w:eastAsia="SimSun" w:hAnsi="Times New Roman"/>
          <w:sz w:val="24"/>
          <w:szCs w:val="24"/>
        </w:rPr>
        <w:t>(„</w:t>
      </w:r>
      <w:r w:rsidRPr="00AE47C6">
        <w:rPr>
          <w:rFonts w:ascii="Times New Roman" w:eastAsia="SimSun" w:hAnsi="Times New Roman"/>
          <w:i/>
          <w:sz w:val="24"/>
          <w:szCs w:val="24"/>
        </w:rPr>
        <w:t>steal” синдром</w:t>
      </w:r>
      <w:r w:rsidRPr="00AE47C6">
        <w:rPr>
          <w:rFonts w:ascii="Times New Roman" w:eastAsia="SimSun" w:hAnsi="Times New Roman"/>
          <w:sz w:val="24"/>
          <w:szCs w:val="24"/>
        </w:rPr>
        <w:t xml:space="preserve">) кръвният ток се пренасочва от един към друг съдов басейн. </w:t>
      </w:r>
      <w:r w:rsidRPr="00AE47C6">
        <w:rPr>
          <w:rFonts w:ascii="Times New Roman" w:eastAsia="SimSun" w:hAnsi="Times New Roman"/>
          <w:i/>
          <w:sz w:val="24"/>
          <w:szCs w:val="24"/>
        </w:rPr>
        <w:t>Тежката анемия или хипогликемията</w:t>
      </w:r>
      <w:r w:rsidRPr="00AE47C6">
        <w:rPr>
          <w:rFonts w:ascii="Times New Roman" w:eastAsia="SimSun" w:hAnsi="Times New Roman"/>
          <w:sz w:val="24"/>
          <w:szCs w:val="24"/>
        </w:rPr>
        <w:t xml:space="preserve"> могат да участват в патогенезата на аноксично-хипоксичните инфаркти при изразена стеноза на екстракраниална и/или мозъчна артерия.</w:t>
      </w:r>
    </w:p>
    <w:p w14:paraId="498A47D7"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sz w:val="24"/>
          <w:szCs w:val="24"/>
        </w:rPr>
        <w:t>Намаление на мозъчния кръвоток в зоната на нарушено кръвоснабдяване от 55 ml/100 g мозъчна тъкан до под 23 ml/100 g причинява мозъчен инфаркт при съчетаване на няколко патогенетични фактора, а при снижен кръвоток под 10 ml/100 g се развива мозъчен инфаркт, без зависимост от продължителността на исхемията. Редукцията на кръвотока за повече от 4-5 минути причинява необратими последици и загиване на част от мозъчната тъкан. В граничните на инфаркта зони не всички неврони загиват. В началото на ИМИ</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 xml:space="preserve">исхемичната penumbra е обратимо възстановима, няколко часа след началото на оклузията. При своевременното нормализиране на рМКТ е възможно мозъчните функции да се възстановят напълно. Удълженото въздействие на патогенетичните фактори, причинили инфаркта, води до задълбочаването на исхемията, при което пенумбрата бързо намалява. </w:t>
      </w:r>
    </w:p>
    <w:p w14:paraId="58F2CCC2"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b/>
          <w:i/>
          <w:sz w:val="24"/>
          <w:szCs w:val="24"/>
        </w:rPr>
        <w:t xml:space="preserve">Клиниката на мозъчните инфаркти </w:t>
      </w:r>
      <w:r w:rsidRPr="00AE47C6">
        <w:rPr>
          <w:rFonts w:ascii="Times New Roman" w:eastAsia="SimSun" w:hAnsi="Times New Roman"/>
          <w:sz w:val="24"/>
          <w:szCs w:val="24"/>
        </w:rPr>
        <w:t>зависи от множество фактори - вид, локализация и големина на инфаркта, скорост на развитието му, ефективност на колатералното кръвообращение и соматично състояние на болния. Според развитието на неврологичната симптоматика инфарктите биват</w:t>
      </w:r>
      <w:r w:rsidRPr="00AE47C6">
        <w:rPr>
          <w:rFonts w:ascii="Times New Roman" w:eastAsia="SimSun" w:hAnsi="Times New Roman"/>
          <w:i/>
          <w:sz w:val="24"/>
          <w:szCs w:val="24"/>
        </w:rPr>
        <w:t xml:space="preserve"> остри, подостри, хронични и рецидивиращи</w:t>
      </w:r>
      <w:r w:rsidRPr="00AE47C6">
        <w:rPr>
          <w:rFonts w:ascii="Times New Roman" w:eastAsia="SimSun" w:hAnsi="Times New Roman"/>
          <w:sz w:val="24"/>
          <w:szCs w:val="24"/>
        </w:rPr>
        <w:t>.</w:t>
      </w:r>
    </w:p>
    <w:p w14:paraId="75A61D84"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sz w:val="24"/>
          <w:szCs w:val="24"/>
        </w:rPr>
        <w:t xml:space="preserve">С </w:t>
      </w:r>
      <w:r w:rsidRPr="00AE47C6">
        <w:rPr>
          <w:rFonts w:ascii="Times New Roman" w:eastAsia="SimSun" w:hAnsi="Times New Roman"/>
          <w:i/>
          <w:sz w:val="24"/>
          <w:szCs w:val="24"/>
        </w:rPr>
        <w:t>остро начало</w:t>
      </w:r>
      <w:r w:rsidRPr="00AE47C6">
        <w:rPr>
          <w:rFonts w:ascii="Times New Roman" w:eastAsia="SimSun" w:hAnsi="Times New Roman"/>
          <w:sz w:val="24"/>
          <w:szCs w:val="24"/>
        </w:rPr>
        <w:t xml:space="preserve"> се проявяват емболичните и вазодистоничните инфаркти. Те настъпват най-често в будно състояние, при физическо и/или психическо напрежение. </w:t>
      </w:r>
      <w:r w:rsidRPr="00AE47C6">
        <w:rPr>
          <w:rFonts w:ascii="Times New Roman" w:eastAsia="SimSun" w:hAnsi="Times New Roman"/>
          <w:i/>
          <w:sz w:val="24"/>
          <w:szCs w:val="24"/>
        </w:rPr>
        <w:t>Емболизирането</w:t>
      </w:r>
      <w:r w:rsidRPr="00AE47C6">
        <w:rPr>
          <w:rFonts w:ascii="Times New Roman" w:eastAsia="SimSun" w:hAnsi="Times New Roman"/>
          <w:sz w:val="24"/>
          <w:szCs w:val="24"/>
        </w:rPr>
        <w:t xml:space="preserve"> на голям артериален съд (ствола на средна мозъчна артерия) води до тежко нарушение на съзнанието. Болните са бледи, често със силно главоболие на страната на емболизирането, възможни са епилептични припадъци. Установява се сърдечна аритмия. Емболизирането на</w:t>
      </w:r>
      <w:r w:rsidRPr="00AE47C6">
        <w:rPr>
          <w:rFonts w:ascii="Times New Roman" w:eastAsia="SimSun" w:hAnsi="Times New Roman"/>
          <w:i/>
          <w:sz w:val="24"/>
          <w:szCs w:val="24"/>
        </w:rPr>
        <w:t xml:space="preserve"> малки съдове </w:t>
      </w:r>
      <w:r w:rsidRPr="00AE47C6">
        <w:rPr>
          <w:rFonts w:ascii="Times New Roman" w:eastAsia="SimSun" w:hAnsi="Times New Roman"/>
          <w:sz w:val="24"/>
          <w:szCs w:val="24"/>
        </w:rPr>
        <w:t xml:space="preserve">обуславя лакунарни инфаркти - „чисти моторни” или „чисти сензорни” инфаркти. Болните с </w:t>
      </w:r>
      <w:r w:rsidRPr="00AE47C6">
        <w:rPr>
          <w:rFonts w:ascii="Times New Roman" w:eastAsia="SimSun" w:hAnsi="Times New Roman"/>
          <w:i/>
          <w:sz w:val="24"/>
          <w:szCs w:val="24"/>
        </w:rPr>
        <w:t xml:space="preserve">вазодистонични инфаркти </w:t>
      </w:r>
      <w:r w:rsidRPr="00AE47C6">
        <w:rPr>
          <w:rFonts w:ascii="Times New Roman" w:eastAsia="SimSun" w:hAnsi="Times New Roman"/>
          <w:sz w:val="24"/>
          <w:szCs w:val="24"/>
        </w:rPr>
        <w:t>са зачервени, със силно главоболие и повръщане около 10-15 min след началото на инцидента.</w:t>
      </w:r>
    </w:p>
    <w:p w14:paraId="00C75881"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i/>
          <w:sz w:val="24"/>
          <w:szCs w:val="24"/>
        </w:rPr>
        <w:t>Подостро (прогресиращо)</w:t>
      </w:r>
      <w:r w:rsidRPr="00AE47C6">
        <w:rPr>
          <w:rFonts w:ascii="Times New Roman" w:eastAsia="SimSun" w:hAnsi="Times New Roman"/>
          <w:sz w:val="24"/>
          <w:szCs w:val="24"/>
        </w:rPr>
        <w:t xml:space="preserve"> протичат </w:t>
      </w:r>
      <w:r w:rsidRPr="00AE47C6">
        <w:rPr>
          <w:rFonts w:ascii="Times New Roman" w:eastAsia="SimSun" w:hAnsi="Times New Roman"/>
          <w:i/>
          <w:sz w:val="24"/>
          <w:szCs w:val="24"/>
        </w:rPr>
        <w:t xml:space="preserve">тромботичните и хемодинамичните мозъчни инфаркти, които </w:t>
      </w:r>
      <w:r w:rsidRPr="00AE47C6">
        <w:rPr>
          <w:rFonts w:ascii="Times New Roman" w:eastAsia="SimSun" w:hAnsi="Times New Roman"/>
          <w:sz w:val="24"/>
          <w:szCs w:val="24"/>
        </w:rPr>
        <w:t xml:space="preserve">обичайно настъпват по време на сън или почивка, често след предшестващи ТИА или инфаркти с пълно възстановяване. </w:t>
      </w:r>
    </w:p>
    <w:p w14:paraId="7A9AF09A"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i/>
          <w:sz w:val="24"/>
          <w:szCs w:val="24"/>
        </w:rPr>
        <w:t>Хроничните инфаркти</w:t>
      </w:r>
      <w:r w:rsidRPr="00AE47C6">
        <w:rPr>
          <w:rFonts w:ascii="Times New Roman" w:eastAsia="SimSun" w:hAnsi="Times New Roman"/>
          <w:sz w:val="24"/>
          <w:szCs w:val="24"/>
        </w:rPr>
        <w:t xml:space="preserve"> (с псевдотуморно протичане) са най-често тромботични и при тях неврологичните и психичните нарушения се развиват постепенно в продължение на седмици и месеци. Обикновено имат атеросклеротичен произход.</w:t>
      </w:r>
    </w:p>
    <w:p w14:paraId="250D3670"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sz w:val="24"/>
          <w:szCs w:val="24"/>
        </w:rPr>
        <w:t>Огнищните неврологични симптоми при мозъчните инфаркти зависят от артериалния басейн, в който възникват и от ефикасността на колатералното кръвообращение.</w:t>
      </w:r>
    </w:p>
    <w:p w14:paraId="06EE3AB0" w14:textId="77777777" w:rsidR="00BE0B19" w:rsidRPr="00AE47C6" w:rsidRDefault="00BE0B19" w:rsidP="00BE0B19">
      <w:pPr>
        <w:spacing w:after="0" w:line="360" w:lineRule="auto"/>
        <w:jc w:val="both"/>
        <w:rPr>
          <w:rFonts w:ascii="Times New Roman" w:eastAsia="SimSun" w:hAnsi="Times New Roman"/>
          <w:sz w:val="24"/>
          <w:szCs w:val="24"/>
        </w:rPr>
      </w:pPr>
    </w:p>
    <w:p w14:paraId="7C4E16CD" w14:textId="77777777" w:rsidR="00BE0B19" w:rsidRPr="00AE47C6" w:rsidRDefault="00BE0B19" w:rsidP="00BE0B19">
      <w:pPr>
        <w:spacing w:after="0" w:line="360" w:lineRule="auto"/>
        <w:ind w:firstLine="567"/>
        <w:jc w:val="both"/>
        <w:rPr>
          <w:rFonts w:ascii="Times New Roman" w:eastAsia="SimSun" w:hAnsi="Times New Roman"/>
          <w:b/>
          <w:sz w:val="24"/>
          <w:szCs w:val="24"/>
        </w:rPr>
      </w:pPr>
      <w:r w:rsidRPr="00AE47C6">
        <w:rPr>
          <w:rFonts w:ascii="Times New Roman" w:eastAsia="SimSun" w:hAnsi="Times New Roman"/>
          <w:b/>
          <w:sz w:val="24"/>
          <w:szCs w:val="24"/>
        </w:rPr>
        <w:t>Клинични синдроми при исхемични инсулти в басейна на a. carotis interna</w:t>
      </w:r>
    </w:p>
    <w:p w14:paraId="5ACD9E66" w14:textId="77777777" w:rsidR="00BE0B19" w:rsidRPr="00AE47C6" w:rsidRDefault="00BE0B19" w:rsidP="00BE0B19">
      <w:pPr>
        <w:spacing w:after="0" w:line="360" w:lineRule="auto"/>
        <w:jc w:val="both"/>
        <w:rPr>
          <w:rFonts w:ascii="Times New Roman" w:eastAsia="SimSun" w:hAnsi="Times New Roman"/>
          <w:b/>
          <w:sz w:val="24"/>
          <w:szCs w:val="24"/>
        </w:rPr>
      </w:pPr>
    </w:p>
    <w:p w14:paraId="1D428680"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b/>
          <w:i/>
          <w:sz w:val="24"/>
          <w:szCs w:val="24"/>
        </w:rPr>
        <w:t>Синдром на a. communicans posterior</w:t>
      </w:r>
      <w:r w:rsidRPr="00AE47C6">
        <w:rPr>
          <w:rFonts w:ascii="Times New Roman" w:eastAsia="SimSun" w:hAnsi="Times New Roman"/>
          <w:sz w:val="24"/>
          <w:szCs w:val="24"/>
        </w:rPr>
        <w:t xml:space="preserve">, </w:t>
      </w:r>
      <w:r w:rsidRPr="00AE47C6">
        <w:rPr>
          <w:rFonts w:ascii="Times New Roman" w:eastAsia="SimSun" w:hAnsi="Times New Roman"/>
          <w:b/>
          <w:i/>
          <w:sz w:val="24"/>
          <w:szCs w:val="24"/>
        </w:rPr>
        <w:t>Синдром на a. chorioidea anterior, Синдроми на a. cerebri anterior</w:t>
      </w:r>
      <w:r w:rsidRPr="00AE47C6">
        <w:rPr>
          <w:rFonts w:ascii="Times New Roman" w:eastAsia="SimSun" w:hAnsi="Times New Roman"/>
          <w:i/>
          <w:sz w:val="24"/>
          <w:szCs w:val="24"/>
        </w:rPr>
        <w:t xml:space="preserve">, </w:t>
      </w:r>
      <w:r w:rsidRPr="00AE47C6">
        <w:rPr>
          <w:rFonts w:ascii="Times New Roman" w:eastAsia="SimSun" w:hAnsi="Times New Roman"/>
          <w:b/>
          <w:i/>
          <w:sz w:val="24"/>
          <w:szCs w:val="24"/>
        </w:rPr>
        <w:t>Синдроми на a. cerebri media</w:t>
      </w:r>
      <w:r w:rsidRPr="00AE47C6">
        <w:rPr>
          <w:rFonts w:ascii="Times New Roman" w:eastAsia="SimSun" w:hAnsi="Times New Roman"/>
          <w:i/>
          <w:sz w:val="24"/>
          <w:szCs w:val="24"/>
        </w:rPr>
        <w:t>.</w:t>
      </w:r>
    </w:p>
    <w:p w14:paraId="1C2E8F01"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sz w:val="24"/>
          <w:szCs w:val="24"/>
        </w:rPr>
        <w:t xml:space="preserve">Инфарктите в басейн на </w:t>
      </w:r>
      <w:r w:rsidRPr="00AE47C6">
        <w:rPr>
          <w:rFonts w:ascii="Times New Roman" w:eastAsia="SimSun" w:hAnsi="Times New Roman"/>
          <w:b/>
          <w:i/>
          <w:sz w:val="24"/>
          <w:szCs w:val="24"/>
        </w:rPr>
        <w:t>a. cerebri anterior</w:t>
      </w:r>
      <w:r w:rsidRPr="00AE47C6">
        <w:rPr>
          <w:rFonts w:ascii="Times New Roman" w:eastAsia="SimSun" w:hAnsi="Times New Roman"/>
          <w:sz w:val="24"/>
          <w:szCs w:val="24"/>
        </w:rPr>
        <w:t xml:space="preserve"> биват повърхностни, дълбоки и смесени. Инфаркт в басейните на </w:t>
      </w:r>
      <w:r w:rsidRPr="00AE47C6">
        <w:rPr>
          <w:rFonts w:ascii="Times New Roman" w:eastAsia="SimSun" w:hAnsi="Times New Roman"/>
          <w:i/>
          <w:sz w:val="24"/>
          <w:szCs w:val="24"/>
        </w:rPr>
        <w:t>повърхностните и дълбоките клонове</w:t>
      </w:r>
      <w:r w:rsidRPr="00AE47C6">
        <w:rPr>
          <w:rFonts w:ascii="Times New Roman" w:eastAsia="SimSun" w:hAnsi="Times New Roman"/>
          <w:sz w:val="24"/>
          <w:szCs w:val="24"/>
        </w:rPr>
        <w:t xml:space="preserve"> на предна мозъчна артерия се проявява с контралатерална долна монопареза или парализа (по-тежка в дисталните мускулни групи), съчетана с корови сетивни нарушения, хватателен рефлекс, орални феномени, челна атаксия, тазоворезервоарни нарушения и психични разстройства. При наличие на </w:t>
      </w:r>
      <w:r w:rsidRPr="00AE47C6">
        <w:rPr>
          <w:rFonts w:ascii="Times New Roman" w:eastAsia="SimSun" w:hAnsi="Times New Roman"/>
          <w:i/>
          <w:sz w:val="24"/>
          <w:szCs w:val="24"/>
        </w:rPr>
        <w:t>предна трифуркация</w:t>
      </w:r>
      <w:r w:rsidRPr="00AE47C6">
        <w:rPr>
          <w:rFonts w:ascii="Times New Roman" w:eastAsia="SimSun" w:hAnsi="Times New Roman"/>
          <w:sz w:val="24"/>
          <w:szCs w:val="24"/>
        </w:rPr>
        <w:t xml:space="preserve"> и запушване на общия ствол на двете предни мозъчни артерии, инфарктът е двустранен и обхваща медиалните повърхности на челните дялове и зоните, кръвоснабдяваните от a. striata anterior. Появяват се долна парапареза или параплегия, атаксия и акинетичен мутизъм. Запушването на </w:t>
      </w:r>
      <w:r w:rsidRPr="00AE47C6">
        <w:rPr>
          <w:rFonts w:ascii="Times New Roman" w:eastAsia="SimSun" w:hAnsi="Times New Roman"/>
          <w:i/>
          <w:sz w:val="24"/>
          <w:szCs w:val="24"/>
        </w:rPr>
        <w:t>дълбоките клонове</w:t>
      </w:r>
      <w:r w:rsidRPr="00AE47C6">
        <w:rPr>
          <w:rFonts w:ascii="Times New Roman" w:eastAsia="SimSun" w:hAnsi="Times New Roman"/>
          <w:sz w:val="24"/>
          <w:szCs w:val="24"/>
        </w:rPr>
        <w:t xml:space="preserve"> на </w:t>
      </w:r>
      <w:r w:rsidRPr="00AE47C6">
        <w:rPr>
          <w:rFonts w:ascii="Times New Roman" w:eastAsia="SimSun" w:hAnsi="Times New Roman"/>
          <w:i/>
          <w:sz w:val="24"/>
          <w:szCs w:val="24"/>
        </w:rPr>
        <w:t>a. cerebri anterior</w:t>
      </w:r>
      <w:r w:rsidRPr="00AE47C6">
        <w:rPr>
          <w:rFonts w:ascii="Times New Roman" w:eastAsia="SimSun" w:hAnsi="Times New Roman"/>
          <w:sz w:val="24"/>
          <w:szCs w:val="24"/>
        </w:rPr>
        <w:t xml:space="preserve"> причинява челна атаксия и интелектуални нарушения. </w:t>
      </w:r>
    </w:p>
    <w:p w14:paraId="4130DD2C"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sz w:val="24"/>
          <w:szCs w:val="24"/>
        </w:rPr>
        <w:t xml:space="preserve">Инфарктите в басейна на </w:t>
      </w:r>
      <w:r w:rsidRPr="00AE47C6">
        <w:rPr>
          <w:rFonts w:ascii="Times New Roman" w:eastAsia="SimSun" w:hAnsi="Times New Roman"/>
          <w:b/>
          <w:i/>
          <w:sz w:val="24"/>
          <w:szCs w:val="24"/>
        </w:rPr>
        <w:t>a. cerebri media</w:t>
      </w:r>
      <w:r w:rsidRPr="00AE47C6">
        <w:rPr>
          <w:rFonts w:ascii="Times New Roman" w:eastAsia="SimSun" w:hAnsi="Times New Roman"/>
          <w:sz w:val="24"/>
          <w:szCs w:val="24"/>
        </w:rPr>
        <w:t xml:space="preserve"> са най-чести и са тотални, повърхностни и дълбоки. </w:t>
      </w:r>
      <w:r w:rsidRPr="00AE47C6">
        <w:rPr>
          <w:rFonts w:ascii="Times New Roman" w:eastAsia="SimSun" w:hAnsi="Times New Roman"/>
          <w:i/>
          <w:sz w:val="24"/>
          <w:szCs w:val="24"/>
        </w:rPr>
        <w:t>Тотален</w:t>
      </w:r>
      <w:r w:rsidRPr="00AE47C6">
        <w:rPr>
          <w:rFonts w:ascii="Times New Roman" w:eastAsia="SimSun" w:hAnsi="Times New Roman"/>
          <w:sz w:val="24"/>
          <w:szCs w:val="24"/>
        </w:rPr>
        <w:t xml:space="preserve"> инфаркт възниква при запушване на главния ствол на артерията. Установяват се спрегнато отклонение на очните ябълки </w:t>
      </w:r>
      <w:r w:rsidRPr="00AE47C6">
        <w:rPr>
          <w:rFonts w:ascii="Times New Roman" w:eastAsia="SimSun" w:hAnsi="Times New Roman"/>
          <w:i/>
          <w:sz w:val="24"/>
          <w:szCs w:val="24"/>
        </w:rPr>
        <w:t>(„болният гледа огнището на увреждане”)</w:t>
      </w:r>
      <w:r w:rsidRPr="00AE47C6">
        <w:rPr>
          <w:rFonts w:ascii="Times New Roman" w:eastAsia="SimSun" w:hAnsi="Times New Roman"/>
          <w:sz w:val="24"/>
          <w:szCs w:val="24"/>
        </w:rPr>
        <w:t xml:space="preserve">, контралатерална хемиплегия, хемианестезия, хемианопсия и лезия на VII и ХII КН по централен тип. При инфаркт в доминантната хемисфера настъпва и тотална афазия, а при локализация в недоминантната хемисфера – игнориране на сетивните дразнения, аутотопагнозия и анозогнозия. Бързо се развива мозъчен оток и кома с тенториално вклиняване и вторични кръвоизливи в мозъчния ствол. Появяват се повръщане и нарушения в дишането (Cheyne-Stokes или централна неврогенна хипервентилация), миоза и нарушение в сърдечния ритъм. С летален изход са около 50%, а преживялите остават с тежка инвалидност. </w:t>
      </w:r>
      <w:r w:rsidRPr="00AE47C6">
        <w:rPr>
          <w:rFonts w:ascii="Times New Roman" w:eastAsia="SimSun" w:hAnsi="Times New Roman"/>
          <w:i/>
          <w:sz w:val="24"/>
          <w:szCs w:val="24"/>
        </w:rPr>
        <w:t>Инфарктите в дълбоките или централни клонове на средна мозъчна артерия</w:t>
      </w:r>
      <w:r w:rsidRPr="00AE47C6">
        <w:rPr>
          <w:rFonts w:ascii="Times New Roman" w:eastAsia="SimSun" w:hAnsi="Times New Roman"/>
          <w:sz w:val="24"/>
          <w:szCs w:val="24"/>
        </w:rPr>
        <w:t xml:space="preserve">, се изявяват с централна хемиплегия или пареза, лезия на VII и ХII КН по централен тип, в някои случаи съчетани с хемихипестезия и хемианопсия, възможен е и стриопалидарен синдром. При </w:t>
      </w:r>
      <w:r w:rsidRPr="00AE47C6">
        <w:rPr>
          <w:rFonts w:ascii="Times New Roman" w:eastAsia="SimSun" w:hAnsi="Times New Roman"/>
          <w:i/>
          <w:sz w:val="24"/>
          <w:szCs w:val="24"/>
        </w:rPr>
        <w:t>инфаркти в повърхностните клонове</w:t>
      </w:r>
      <w:r w:rsidRPr="00AE47C6">
        <w:rPr>
          <w:rFonts w:ascii="Times New Roman" w:eastAsia="SimSun" w:hAnsi="Times New Roman"/>
          <w:sz w:val="24"/>
          <w:szCs w:val="24"/>
        </w:rPr>
        <w:t xml:space="preserve"> се наблюдават лезия на VII и ХII ЧМН по централен тип, централни хемипарези по-изразени в ръката, сетивни нарушения в лицето и/или ръката. Възможна е контралатерална долна квадрантанопсия или пълна хомонимна хемианопсия. При лезия в доминантната хемисфера се появяват моторна, сензорна или тотална афазия, синдром на Gerstmann, а в недоминантната хемисфера - аутотопагнозия, анозогнозия, игнориране на сетивните дразнения в срещуположната половина на тялото и др.</w:t>
      </w:r>
    </w:p>
    <w:p w14:paraId="0AA1C996"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b/>
          <w:i/>
          <w:sz w:val="24"/>
          <w:szCs w:val="24"/>
        </w:rPr>
        <w:t>Синдроми на a. carotis interna.</w:t>
      </w:r>
      <w:r w:rsidRPr="00AE47C6">
        <w:rPr>
          <w:rFonts w:ascii="Times New Roman" w:eastAsia="SimSun" w:hAnsi="Times New Roman"/>
          <w:sz w:val="24"/>
          <w:szCs w:val="24"/>
        </w:rPr>
        <w:t xml:space="preserve"> Най-честите обтурации (90%) са в областта на бифуркацията и рядко (8%) – в интракавернозната част на сифона. Обтурацията на вътрешната сънна артерия проксимално от отделянето на офталмичната артерия може да остане асимптомна. Инфарктите при стеноза и обтурация на вътрешната сънна артерия са локализирани най-често в басейна на средната мозъчна артерия или в басейните на средна и предна мозъчни артерии. При задна трифуркация се засяга и територията на задна мозъчна артерия.</w:t>
      </w:r>
    </w:p>
    <w:p w14:paraId="7BBF48D8"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sz w:val="24"/>
          <w:szCs w:val="24"/>
        </w:rPr>
        <w:t xml:space="preserve">Най-често симптоматиката се развива постепенно, след предшестващи ТИА, по- рядко развитието е остро, а в 15-20% - псевдотуморно. Типични са окуло-пирамидният (в 80% от болните) и оптико-пирамидният (в 15-20%) синдроми. </w:t>
      </w:r>
    </w:p>
    <w:p w14:paraId="745A8000" w14:textId="77777777" w:rsidR="00BE0B19" w:rsidRPr="00AE47C6" w:rsidRDefault="00BE0B19" w:rsidP="00BE0B19">
      <w:pPr>
        <w:spacing w:after="0" w:line="360" w:lineRule="auto"/>
        <w:ind w:firstLine="567"/>
        <w:jc w:val="both"/>
        <w:rPr>
          <w:rFonts w:ascii="Times New Roman" w:eastAsia="SimSun" w:hAnsi="Times New Roman"/>
          <w:sz w:val="24"/>
          <w:szCs w:val="24"/>
        </w:rPr>
      </w:pPr>
    </w:p>
    <w:p w14:paraId="4EED71D1" w14:textId="77777777" w:rsidR="00BE0B19" w:rsidRPr="00AE47C6" w:rsidRDefault="00BE0B19" w:rsidP="00BE0B19">
      <w:pPr>
        <w:spacing w:after="0" w:line="360" w:lineRule="auto"/>
        <w:ind w:firstLine="567"/>
        <w:jc w:val="both"/>
        <w:rPr>
          <w:rFonts w:ascii="Times New Roman" w:eastAsia="SimSun" w:hAnsi="Times New Roman"/>
          <w:b/>
          <w:bCs/>
          <w:sz w:val="24"/>
          <w:szCs w:val="24"/>
        </w:rPr>
      </w:pPr>
      <w:r w:rsidRPr="00AE47C6">
        <w:rPr>
          <w:rFonts w:ascii="Times New Roman" w:eastAsia="SimSun" w:hAnsi="Times New Roman"/>
          <w:b/>
          <w:bCs/>
          <w:sz w:val="24"/>
          <w:szCs w:val="24"/>
        </w:rPr>
        <w:t>Клинични синдроми от вертебро - базиларната система.</w:t>
      </w:r>
    </w:p>
    <w:p w14:paraId="06343579" w14:textId="77777777" w:rsidR="00BE0B19" w:rsidRPr="00AE47C6" w:rsidRDefault="00BE0B19" w:rsidP="00BE0B19">
      <w:pPr>
        <w:spacing w:after="0" w:line="360" w:lineRule="auto"/>
        <w:ind w:firstLine="567"/>
        <w:jc w:val="both"/>
        <w:rPr>
          <w:rFonts w:ascii="Times New Roman" w:eastAsia="SimSun" w:hAnsi="Times New Roman"/>
          <w:b/>
          <w:bCs/>
          <w:sz w:val="24"/>
          <w:szCs w:val="24"/>
        </w:rPr>
      </w:pPr>
    </w:p>
    <w:p w14:paraId="1BF40E9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Синдроми на a. vertebralis</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Инфарктите в тази област се предшестват от ТИА при около 70% от болните. Развиват се: хемианопсия, корова слепота, диплопия, нарушена сетивност на лицето, световъртеж, дизфагия и дизартрия, хемиплегия, хемианестезия, координационни нарушения, алтерниращи синдроми от medulla oblongata и pons, миоклонии на очните мускули, езика, мекото небце, ларинкса и диафрагмата, drop атаки, епизоди на амнезия и обърканост. При малкомозъчните инфаркти бързо се нарушават виталните функции на болния, поради повишаването на интракраниалното налягане и вклиняването на малкомозъчните тонзили в големия тилен отвор.</w:t>
      </w:r>
    </w:p>
    <w:p w14:paraId="7CDF9F9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 xml:space="preserve">Синдроми на a. basilaris: </w:t>
      </w:r>
      <w:r w:rsidRPr="00AE47C6">
        <w:rPr>
          <w:rFonts w:ascii="Times New Roman" w:eastAsia="SimSun" w:hAnsi="Times New Roman"/>
          <w:sz w:val="24"/>
          <w:szCs w:val="24"/>
        </w:rPr>
        <w:t>квадриплегия, с диплопия или парализа на съдружните очни движения. Могат да се прибавят симптоми от територията на задните мозъчни артерии (хемианопсия или корова слепота). Понякога се развива locked-in синдром (вентрален понтинен синдром) с квадриплегия, лезия на каудалните краниални нерви и невъзможност за извършване на хоризонталните движения на очните ябълки.</w:t>
      </w:r>
    </w:p>
    <w:p w14:paraId="29F9AE8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Внезапната емболия на базиларната артерия преди отделянето на задните мозъчни артерии е причина за бърза кома, ступор или делир и зрителни халюцинации с квадриплегия. Възникват очедвигателни нарушения. Запушването на</w:t>
      </w:r>
      <w:r w:rsidRPr="00AE47C6">
        <w:rPr>
          <w:rFonts w:ascii="Times New Roman" w:eastAsia="SimSun" w:hAnsi="Times New Roman"/>
          <w:i/>
          <w:sz w:val="24"/>
          <w:szCs w:val="24"/>
        </w:rPr>
        <w:t xml:space="preserve"> парамедианните перфориращи артерии </w:t>
      </w:r>
      <w:r w:rsidRPr="00AE47C6">
        <w:rPr>
          <w:rFonts w:ascii="Times New Roman" w:eastAsia="SimSun" w:hAnsi="Times New Roman"/>
          <w:sz w:val="24"/>
          <w:szCs w:val="24"/>
        </w:rPr>
        <w:t xml:space="preserve">води до контралатерални пирамидни и сетивни нарушения, хомолатерална атаксия и лезия на VI и III КН. На границата на парамедианната територия може да се засегне и VII КН. Двустранните инфаркти в парамедианите артерии протичат с квадрипареза или плегия, тежък псевдобулбарен синдром и малкомозъчни нарушения. По-ограничените лезии водят до долна спастична парапареза или параплегия, които се отличават от спиналните по наличието на псевдобулбарен и други понтинни симптоми. Инфарктите в </w:t>
      </w:r>
      <w:r w:rsidRPr="00AE47C6">
        <w:rPr>
          <w:rFonts w:ascii="Times New Roman" w:eastAsia="SimSun" w:hAnsi="Times New Roman"/>
          <w:i/>
          <w:sz w:val="24"/>
          <w:szCs w:val="24"/>
        </w:rPr>
        <w:t xml:space="preserve">продълговатия мозък </w:t>
      </w:r>
      <w:r w:rsidRPr="00AE47C6">
        <w:rPr>
          <w:rFonts w:ascii="Times New Roman" w:eastAsia="SimSun" w:hAnsi="Times New Roman"/>
          <w:sz w:val="24"/>
          <w:szCs w:val="24"/>
        </w:rPr>
        <w:t xml:space="preserve">се проявяват с хомолатерална лезия на ХII КН и контралатерална хемипареза или плегия, нарушения в ставно-мускулния и вибрационния усет. Исхемията в </w:t>
      </w:r>
      <w:r w:rsidRPr="00AE47C6">
        <w:rPr>
          <w:rFonts w:ascii="Times New Roman" w:eastAsia="SimSun" w:hAnsi="Times New Roman"/>
          <w:i/>
          <w:sz w:val="24"/>
          <w:szCs w:val="24"/>
        </w:rPr>
        <w:t>късите циркумферентни артерии</w:t>
      </w:r>
      <w:r w:rsidRPr="00AE47C6">
        <w:rPr>
          <w:rFonts w:ascii="Times New Roman" w:eastAsia="SimSun" w:hAnsi="Times New Roman"/>
          <w:sz w:val="24"/>
          <w:szCs w:val="24"/>
        </w:rPr>
        <w:t xml:space="preserve"> предизвиква хомолатерално атаксия и лезия на VII и VIII КН, синдром на Claude Bernard-Horner, а контралатерално – хемипареза или плегия и нарушения в усета за болка и температура.</w:t>
      </w:r>
    </w:p>
    <w:p w14:paraId="6AA87E7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 xml:space="preserve">Синдроми на a. cerebelli inferior posterior. </w:t>
      </w:r>
      <w:r w:rsidRPr="00AE47C6">
        <w:rPr>
          <w:rFonts w:ascii="Times New Roman" w:eastAsia="SimSun" w:hAnsi="Times New Roman"/>
          <w:sz w:val="24"/>
          <w:szCs w:val="24"/>
        </w:rPr>
        <w:t xml:space="preserve">Инфарктите се проявяват се с различни варианти на </w:t>
      </w:r>
      <w:r w:rsidRPr="00AE47C6">
        <w:rPr>
          <w:rFonts w:ascii="Times New Roman" w:eastAsia="SimSun" w:hAnsi="Times New Roman"/>
          <w:i/>
          <w:sz w:val="24"/>
          <w:szCs w:val="24"/>
        </w:rPr>
        <w:t>синдрома на Wallenberg</w:t>
      </w:r>
      <w:r w:rsidRPr="00AE47C6">
        <w:rPr>
          <w:rFonts w:ascii="Times New Roman" w:eastAsia="SimSun" w:hAnsi="Times New Roman"/>
          <w:sz w:val="24"/>
          <w:szCs w:val="24"/>
        </w:rPr>
        <w:t xml:space="preserve">. </w:t>
      </w:r>
    </w:p>
    <w:p w14:paraId="5D08F29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Синдроми на a. cerebelli inferior anterior.</w:t>
      </w:r>
      <w:r w:rsidRPr="00AE47C6">
        <w:rPr>
          <w:rFonts w:ascii="Times New Roman" w:eastAsia="SimSun" w:hAnsi="Times New Roman"/>
          <w:sz w:val="24"/>
          <w:szCs w:val="24"/>
        </w:rPr>
        <w:t xml:space="preserve"> Инфарктите са редки и протичат със: световъртеж, повръщане, глухота, хомолатерална загуба на сетивността за допир, болка и температура за лицето, ядрена лезия на VII ЧМН, атаксия, синдром на Claude Bernard-Horner, контралатерално нарушение в болковия и температурния усет.</w:t>
      </w:r>
    </w:p>
    <w:p w14:paraId="3B4ECC9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Синдроми на a. cerebelli superior.</w:t>
      </w:r>
      <w:r w:rsidRPr="00AE47C6">
        <w:rPr>
          <w:rFonts w:ascii="Times New Roman" w:eastAsia="SimSun" w:hAnsi="Times New Roman"/>
          <w:sz w:val="24"/>
          <w:szCs w:val="24"/>
        </w:rPr>
        <w:t xml:space="preserve"> Инфарктите предизвикват хомолатерална малкомозъчна атаксия, постурален тремор на ръката, хореични и атетозни хиперкинези в крайниците, синдром на Claude Bernard-Horner, а контралатерално – нарушение на усета за болка и температура. По-късно може да се появи миоклонус на мекото небце.</w:t>
      </w:r>
    </w:p>
    <w:p w14:paraId="590B98D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Синдроми на a. cerebri posterior.</w:t>
      </w:r>
      <w:r w:rsidRPr="00AE47C6">
        <w:rPr>
          <w:rFonts w:ascii="Times New Roman" w:eastAsia="SimSun" w:hAnsi="Times New Roman"/>
          <w:sz w:val="24"/>
          <w:szCs w:val="24"/>
        </w:rPr>
        <w:t xml:space="preserve"> Лезията в проксималната част (преди съединението с a. communicans post.) се проявява с различни нарушения в движенията на очите. Исхемията в заднолатералния thalamus протича с контралатерални симптоми от „чист сензорен” инфаркт, рядко с хореоатетозни движения, атаксия или тремор. Таламичният инфаркт предизвиква по-късно контралатерална силна, пареща болка (синдром на Dejerine-Roussy). По-често инфарктът е в хемисферната територия на артерията и се проявява с контралатерална хомонимна хемианопсия, в долната част - с контралатерална горна хомонимна квадрантанопсия. При инфаркт в лявата калкаринна област и splenium е налице алексия без аграфия. Инфарктите в доминантната хемисфера обикновено предизвикват аномия. При включване на gyrus lingualis и gyrus fusiformis се нарушават дискриминацията и наименованието на цветовете и може да възникне алексия в контралатералното зрително поле при лезия в доминантната хемисфера. Увреждането на хипокампа в доминантната страна предизвиква амнезия. </w:t>
      </w:r>
    </w:p>
    <w:p w14:paraId="2CF4589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Двустранната окципитална исхемия води до корова слепота, тежка амнезия и допълнителни симптоми, свързани с афазията и агнозията. Изчезват съновиденията на болните. При парамедианни мезенцефални инфаркти, се появяват алтерниращи и неалтерниращи синдроми на средния мозък (на Weber, Benedikt, Claude, преден синдром на Foix и др.) </w:t>
      </w:r>
    </w:p>
    <w:p w14:paraId="34F74776" w14:textId="77777777" w:rsidR="00BE0B19" w:rsidRPr="00AE47C6" w:rsidRDefault="00BE0B19" w:rsidP="00BE0B19">
      <w:pPr>
        <w:spacing w:after="0" w:line="360" w:lineRule="auto"/>
        <w:ind w:firstLine="720"/>
        <w:jc w:val="both"/>
        <w:rPr>
          <w:rFonts w:ascii="Times New Roman" w:eastAsia="SimSun" w:hAnsi="Times New Roman"/>
          <w:b/>
          <w:i/>
          <w:sz w:val="24"/>
          <w:szCs w:val="24"/>
        </w:rPr>
      </w:pPr>
      <w:r w:rsidRPr="00AE47C6">
        <w:rPr>
          <w:rFonts w:ascii="Times New Roman" w:eastAsia="SimSun" w:hAnsi="Times New Roman"/>
          <w:b/>
          <w:i/>
          <w:sz w:val="24"/>
          <w:szCs w:val="24"/>
        </w:rPr>
        <w:t xml:space="preserve">Съчетани каротисно-вертебробазиларни синдроми. </w:t>
      </w:r>
      <w:r w:rsidRPr="00AE47C6">
        <w:rPr>
          <w:rFonts w:ascii="Times New Roman" w:eastAsia="SimSun" w:hAnsi="Times New Roman"/>
          <w:sz w:val="24"/>
          <w:szCs w:val="24"/>
        </w:rPr>
        <w:t>Едновременната или последователно се появяват симптоми и синдроми от двата съдови басейна. При лошо колатерално кръвообращение и рецидивиращи инфаркти бързо се развиват тежки неврологични и психични нарушения. При добро колатерално кръвообращение обтурациите на две или три магистрални артерии на главата могат да протекат асимптомно или само с ТИА.</w:t>
      </w:r>
    </w:p>
    <w:p w14:paraId="0D7D52F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Диагнозата</w:t>
      </w:r>
      <w:r w:rsidRPr="00AE47C6">
        <w:rPr>
          <w:rFonts w:ascii="Times New Roman" w:eastAsia="SimSun" w:hAnsi="Times New Roman"/>
          <w:sz w:val="24"/>
          <w:szCs w:val="24"/>
        </w:rPr>
        <w:t xml:space="preserve"> се поставя въз основа на прецизна анамнеза, неврологичен, соматичен и психичен статус. Задължително е двустранното измерване на брахиалното артериално налягане и изследването на сърдечната дейност. В подкрепа на диагнозата задължително се използват данните от невроизобразяващите методи и лабораторните изследвания.</w:t>
      </w:r>
    </w:p>
    <w:p w14:paraId="1BE459B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Диференциалната диагноза</w:t>
      </w:r>
      <w:r w:rsidRPr="00AE47C6">
        <w:rPr>
          <w:rFonts w:ascii="Times New Roman" w:eastAsia="SimSun" w:hAnsi="Times New Roman"/>
          <w:sz w:val="24"/>
          <w:szCs w:val="24"/>
        </w:rPr>
        <w:t xml:space="preserve"> е на първо място с други нарушения на мозъчното кръвообращение (ТИА, мозъчен кръвоизлив, субдурален хематом) и други заболявания (мозъчен абсцес, мозъчен тумор, херпес симплекс енцефалит, коматозни състояния с различна причина) въз основа на клиничното протичане и резултатите от невроизобразяващите изследвания, ликворните и биохимични изследвания. След това трябва да се уточни вида на мозъчния инфаркт, който има изключително значение за провеждането на адекватно лечение. </w:t>
      </w:r>
    </w:p>
    <w:p w14:paraId="2252C41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Изследвания</w:t>
      </w:r>
      <w:r w:rsidRPr="00AE47C6">
        <w:rPr>
          <w:rFonts w:ascii="Times New Roman" w:eastAsia="SimSun" w:hAnsi="Times New Roman"/>
          <w:sz w:val="24"/>
          <w:szCs w:val="24"/>
        </w:rPr>
        <w:t xml:space="preserve">. </w:t>
      </w:r>
    </w:p>
    <w:p w14:paraId="5C39241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Невроизобразяващи изследвания: основно КТ, МРИ, доплерова сонография, рядко SPECT и PET. </w:t>
      </w:r>
    </w:p>
    <w:p w14:paraId="172B0EC8"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3" w:name="_Toc155651707"/>
      <w:bookmarkStart w:id="14" w:name="_Toc164075837"/>
      <w:r w:rsidRPr="00AE47C6">
        <w:rPr>
          <w:rFonts w:ascii="Times New Roman" w:eastAsia="SimSun" w:hAnsi="Times New Roman"/>
          <w:b/>
          <w:sz w:val="24"/>
          <w:szCs w:val="20"/>
          <w:lang w:eastAsia="ja-JP"/>
        </w:rPr>
        <w:t>1.3.1. Етапи на диагностиката и лечението на исхемичните мозъчни инсулти</w:t>
      </w:r>
      <w:bookmarkEnd w:id="13"/>
      <w:bookmarkEnd w:id="14"/>
    </w:p>
    <w:p w14:paraId="69E2C281" w14:textId="77777777" w:rsidR="00BE0B19" w:rsidRPr="00AE47C6" w:rsidRDefault="00BE0B19" w:rsidP="00AD72E5">
      <w:pPr>
        <w:pStyle w:val="Heading3"/>
        <w:rPr>
          <w:rFonts w:ascii="Times New Roman" w:eastAsia="SimSun" w:hAnsi="Times New Roman"/>
        </w:rPr>
      </w:pPr>
      <w:bookmarkStart w:id="15" w:name="_Toc164075838"/>
      <w:r w:rsidRPr="00AE47C6">
        <w:rPr>
          <w:rFonts w:ascii="Times New Roman" w:eastAsia="SimSun" w:hAnsi="Times New Roman"/>
        </w:rPr>
        <w:t>1.3.1.1. Диагностика</w:t>
      </w:r>
      <w:bookmarkEnd w:id="15"/>
    </w:p>
    <w:p w14:paraId="3B4CC361" w14:textId="77777777" w:rsidR="00BE0B19" w:rsidRPr="00AE47C6" w:rsidRDefault="00BE0B19" w:rsidP="00BE0B19">
      <w:pPr>
        <w:spacing w:before="240" w:after="240" w:line="240" w:lineRule="auto"/>
        <w:outlineLvl w:val="4"/>
        <w:rPr>
          <w:rFonts w:ascii="Times New Roman" w:eastAsia="SimSun" w:hAnsi="Times New Roman"/>
          <w:b/>
          <w:bCs/>
          <w:iCs/>
          <w:sz w:val="24"/>
          <w:szCs w:val="26"/>
        </w:rPr>
      </w:pPr>
      <w:r w:rsidRPr="00AE47C6">
        <w:rPr>
          <w:rFonts w:ascii="Times New Roman" w:eastAsia="SimSun" w:hAnsi="Times New Roman"/>
          <w:b/>
          <w:bCs/>
          <w:iCs/>
          <w:sz w:val="24"/>
          <w:szCs w:val="26"/>
        </w:rPr>
        <w:t>1.3.1.1.1. В доболнични условия</w:t>
      </w:r>
    </w:p>
    <w:p w14:paraId="0AF02507"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spacing w:val="-3"/>
          <w:sz w:val="24"/>
          <w:szCs w:val="24"/>
        </w:rPr>
        <w:t>Ранната диагноза на МСБ е необходима предпоставка за нейното успешно ле</w:t>
      </w:r>
      <w:r w:rsidRPr="00AE47C6">
        <w:rPr>
          <w:rFonts w:ascii="Times New Roman" w:eastAsia="SimSun" w:hAnsi="Times New Roman"/>
          <w:spacing w:val="-1"/>
          <w:sz w:val="24"/>
          <w:szCs w:val="24"/>
        </w:rPr>
        <w:t>чение. Ва</w:t>
      </w:r>
      <w:r w:rsidRPr="00AE47C6">
        <w:rPr>
          <w:rFonts w:ascii="Times New Roman" w:eastAsia="SimSun" w:hAnsi="Times New Roman"/>
          <w:spacing w:val="6"/>
          <w:sz w:val="24"/>
          <w:szCs w:val="24"/>
        </w:rPr>
        <w:t>ж</w:t>
      </w:r>
      <w:r w:rsidRPr="00AE47C6">
        <w:rPr>
          <w:rFonts w:ascii="Times New Roman" w:eastAsia="SimSun" w:hAnsi="Times New Roman"/>
          <w:spacing w:val="-1"/>
          <w:sz w:val="24"/>
          <w:szCs w:val="24"/>
        </w:rPr>
        <w:t>но е да бъдат разпознати още началните леки симптоми, за да мо</w:t>
      </w:r>
      <w:r w:rsidRPr="00AE47C6">
        <w:rPr>
          <w:rFonts w:ascii="Times New Roman" w:eastAsia="SimSun" w:hAnsi="Times New Roman"/>
          <w:spacing w:val="6"/>
          <w:sz w:val="24"/>
          <w:szCs w:val="24"/>
        </w:rPr>
        <w:t>ж</w:t>
      </w:r>
      <w:r w:rsidRPr="00AE47C6">
        <w:rPr>
          <w:rFonts w:ascii="Times New Roman" w:eastAsia="SimSun" w:hAnsi="Times New Roman"/>
          <w:sz w:val="24"/>
          <w:szCs w:val="24"/>
        </w:rPr>
        <w:t xml:space="preserve">е своевременно да се изгради адекватен диагностичен и терапевтичен </w:t>
      </w:r>
      <w:r w:rsidRPr="00AE47C6">
        <w:rPr>
          <w:rFonts w:ascii="Times New Roman" w:eastAsia="SimSun" w:hAnsi="Times New Roman"/>
          <w:spacing w:val="-4"/>
          <w:sz w:val="24"/>
          <w:szCs w:val="24"/>
        </w:rPr>
        <w:t>план.</w:t>
      </w:r>
      <w:r w:rsidRPr="00AE47C6">
        <w:rPr>
          <w:rFonts w:ascii="Times New Roman" w:eastAsia="SimSun" w:hAnsi="Times New Roman"/>
          <w:spacing w:val="-12"/>
          <w:sz w:val="24"/>
          <w:szCs w:val="24"/>
        </w:rPr>
        <w:t xml:space="preserve"> Мозъчният инсулт е спешно състояние, което изисква бърза хоспитализация. От спеш</w:t>
      </w:r>
      <w:r w:rsidRPr="00AE47C6">
        <w:rPr>
          <w:rFonts w:ascii="Times New Roman" w:eastAsia="SimSun" w:hAnsi="Times New Roman"/>
          <w:spacing w:val="-9"/>
          <w:sz w:val="24"/>
          <w:szCs w:val="24"/>
        </w:rPr>
        <w:t>ното диагностично изясняване и своевременното, и адекватно терапевтично поведе</w:t>
      </w:r>
      <w:r w:rsidRPr="00AE47C6">
        <w:rPr>
          <w:rFonts w:ascii="Times New Roman" w:eastAsia="SimSun" w:hAnsi="Times New Roman"/>
          <w:spacing w:val="-7"/>
          <w:sz w:val="24"/>
          <w:szCs w:val="24"/>
        </w:rPr>
        <w:t>ние зависи до голяма степен изхода на заболяването (клас І, ниво А).</w:t>
      </w:r>
    </w:p>
    <w:p w14:paraId="39C92747"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11"/>
          <w:sz w:val="24"/>
          <w:szCs w:val="24"/>
        </w:rPr>
      </w:pPr>
      <w:r w:rsidRPr="00AE47C6">
        <w:rPr>
          <w:rFonts w:ascii="Times New Roman" w:eastAsia="SimSun" w:hAnsi="Times New Roman"/>
          <w:spacing w:val="-11"/>
          <w:sz w:val="24"/>
          <w:szCs w:val="24"/>
        </w:rPr>
        <w:t xml:space="preserve">Концепцията „Time Is Brain” (времето е мозък) се въведе от World Stroke Organisation (WSO), за да се обърне внимание върху спешността на диагностиката и лечението на МСБ. </w:t>
      </w:r>
    </w:p>
    <w:p w14:paraId="74F4AF4C"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11"/>
          <w:sz w:val="24"/>
          <w:szCs w:val="24"/>
        </w:rPr>
      </w:pPr>
      <w:r w:rsidRPr="00AE47C6">
        <w:rPr>
          <w:rFonts w:ascii="Times New Roman" w:eastAsia="SimSun" w:hAnsi="Times New Roman"/>
          <w:b/>
          <w:spacing w:val="-11"/>
          <w:sz w:val="24"/>
          <w:szCs w:val="24"/>
        </w:rPr>
        <w:t>Необходимо е:</w:t>
      </w:r>
    </w:p>
    <w:p w14:paraId="69F5F503"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z w:val="24"/>
          <w:szCs w:val="24"/>
        </w:rPr>
      </w:pPr>
      <w:r w:rsidRPr="00AE47C6">
        <w:rPr>
          <w:rFonts w:ascii="Times New Roman" w:eastAsia="SimSun" w:hAnsi="Times New Roman"/>
          <w:spacing w:val="-11"/>
          <w:sz w:val="24"/>
          <w:szCs w:val="24"/>
        </w:rPr>
        <w:t xml:space="preserve">Създаване на специфични обучителни програми насочени към обществото, лекарите, останалия болничен персонал и екипите на БМП, целящи намаляване времето за разпознаване и транспорт на болните до лечебните заведения и увеличаване възможностите за тромболитично лечение. </w:t>
      </w:r>
      <w:r w:rsidRPr="00AE47C6">
        <w:rPr>
          <w:rFonts w:ascii="Times New Roman" w:eastAsia="SimSun" w:hAnsi="Times New Roman"/>
          <w:spacing w:val="-7"/>
          <w:sz w:val="24"/>
          <w:szCs w:val="24"/>
        </w:rPr>
        <w:t>(клас І, ниво С).</w:t>
      </w:r>
    </w:p>
    <w:p w14:paraId="1BC55E6A"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1"/>
          <w:sz w:val="24"/>
          <w:szCs w:val="24"/>
        </w:rPr>
      </w:pPr>
      <w:r w:rsidRPr="00AE47C6">
        <w:rPr>
          <w:rFonts w:ascii="Times New Roman" w:eastAsia="SimSun" w:hAnsi="Times New Roman"/>
          <w:spacing w:val="-11"/>
          <w:sz w:val="24"/>
          <w:szCs w:val="24"/>
        </w:rPr>
        <w:t xml:space="preserve">Обучение на населението за </w:t>
      </w:r>
      <w:r w:rsidRPr="00AE47C6">
        <w:rPr>
          <w:rFonts w:ascii="Times New Roman" w:eastAsia="SimSun" w:hAnsi="Times New Roman"/>
          <w:spacing w:val="-1"/>
          <w:sz w:val="24"/>
          <w:szCs w:val="24"/>
        </w:rPr>
        <w:t xml:space="preserve">бързо разпознаване на </w:t>
      </w:r>
      <w:r w:rsidRPr="00AE47C6">
        <w:rPr>
          <w:rFonts w:ascii="Times New Roman" w:eastAsia="SimSun" w:hAnsi="Times New Roman"/>
          <w:spacing w:val="-11"/>
          <w:sz w:val="24"/>
          <w:szCs w:val="24"/>
        </w:rPr>
        <w:t xml:space="preserve">ранните симптоми на мозъчен инсулт чрез </w:t>
      </w:r>
      <w:r w:rsidRPr="00AE47C6">
        <w:rPr>
          <w:rFonts w:ascii="Times New Roman" w:eastAsia="SimSun" w:hAnsi="Times New Roman"/>
          <w:spacing w:val="-1"/>
          <w:sz w:val="24"/>
          <w:szCs w:val="24"/>
        </w:rPr>
        <w:t xml:space="preserve">теста </w:t>
      </w:r>
      <w:r w:rsidRPr="00AE47C6">
        <w:rPr>
          <w:rFonts w:ascii="Times New Roman" w:eastAsia="SimSun" w:hAnsi="Times New Roman"/>
          <w:spacing w:val="-11"/>
          <w:sz w:val="24"/>
          <w:szCs w:val="24"/>
        </w:rPr>
        <w:t>FAST (Face-Arm-Speech-Test) – тест лице-ръка-говор.</w:t>
      </w:r>
      <w:r w:rsidRPr="00AE47C6">
        <w:rPr>
          <w:rFonts w:ascii="Times New Roman" w:eastAsia="SimSun" w:hAnsi="Times New Roman"/>
          <w:spacing w:val="-1"/>
          <w:sz w:val="24"/>
          <w:szCs w:val="24"/>
        </w:rPr>
        <w:t xml:space="preserve"> Незабавен контакт със службите за бърза и неотложна медицинска помощ (ЦСМП) и бърз транспорт до специализиран център за лечение на инсулти. </w:t>
      </w:r>
    </w:p>
    <w:p w14:paraId="7DC3D8AD"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1"/>
          <w:sz w:val="24"/>
          <w:szCs w:val="24"/>
        </w:rPr>
      </w:pPr>
      <w:r w:rsidRPr="00AE47C6">
        <w:rPr>
          <w:rFonts w:ascii="Times New Roman" w:eastAsia="SimSun" w:hAnsi="Times New Roman"/>
          <w:spacing w:val="-1"/>
          <w:sz w:val="24"/>
          <w:szCs w:val="24"/>
        </w:rPr>
        <w:t>Диспечерите на ЦСМП и персонала на линейките да бъдат обучени да разпознават симптомите на МИ с помощта на теста FAST</w:t>
      </w:r>
      <w:r w:rsidRPr="00AE47C6">
        <w:rPr>
          <w:rFonts w:ascii="Times New Roman" w:eastAsia="SimSun" w:hAnsi="Times New Roman"/>
          <w:b/>
          <w:spacing w:val="-1"/>
          <w:sz w:val="24"/>
          <w:szCs w:val="24"/>
        </w:rPr>
        <w:t>.</w:t>
      </w:r>
    </w:p>
    <w:p w14:paraId="5D5C72AF"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1"/>
          <w:sz w:val="24"/>
          <w:szCs w:val="24"/>
        </w:rPr>
      </w:pPr>
      <w:r w:rsidRPr="00AE47C6">
        <w:rPr>
          <w:rFonts w:ascii="Times New Roman" w:eastAsia="SimSun" w:hAnsi="Times New Roman"/>
          <w:spacing w:val="-1"/>
          <w:sz w:val="24"/>
          <w:szCs w:val="24"/>
        </w:rPr>
        <w:t>При анамнестични или клинични данни за мозъчен инсулт, ОПЛ или неврологът от доболничната помощ осъществяват незабавен контакт с ЦСМП, изследват стойностите на кръвната захар, оценяват виталните функции и насочват приоритетно болния за спешна хоспитализация (клас І, ниво А). Ранната промяна в нивото на съзнанието, повръщане и високо кръвно налягане предполагат ХМИ.</w:t>
      </w:r>
    </w:p>
    <w:p w14:paraId="3EA89DEF"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1"/>
          <w:sz w:val="24"/>
          <w:szCs w:val="24"/>
        </w:rPr>
      </w:pPr>
      <w:r w:rsidRPr="00AE47C6">
        <w:rPr>
          <w:rFonts w:ascii="Times New Roman" w:eastAsia="SimSun" w:hAnsi="Times New Roman"/>
          <w:spacing w:val="-1"/>
          <w:sz w:val="24"/>
          <w:szCs w:val="24"/>
        </w:rPr>
        <w:t>Спешен транспорт с висок приоритет до най-близкия специализиран център за лечение на инсулти, след предизвестяване (клас I, ниво B). Болният не бива да се транспортира до болници, които нямат капацитет за лечение на инсулти, дори да са локализирани по-близо (клас I, ниво B). Болни, чиито симптоми са настъпили преди не повече от 3 часа, следва да бъдат транспортирани с предимство. Близки на болния, които са в състояние да дадат информация за началото на симптомите и миналите заболявания, трябва да придружат болния.</w:t>
      </w:r>
    </w:p>
    <w:p w14:paraId="65BFA50D"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1"/>
          <w:sz w:val="24"/>
          <w:szCs w:val="24"/>
        </w:rPr>
      </w:pPr>
      <w:r w:rsidRPr="00AE47C6">
        <w:rPr>
          <w:rFonts w:ascii="Times New Roman" w:eastAsia="SimSun" w:hAnsi="Times New Roman"/>
          <w:spacing w:val="-1"/>
          <w:sz w:val="24"/>
          <w:szCs w:val="24"/>
        </w:rPr>
        <w:t xml:space="preserve">В отдалечени райони е уместно да се използва въздушен транспорт с оглед да се осигури бърз достъп до специализирано лечение (клас III, ниво C). </w:t>
      </w:r>
    </w:p>
    <w:p w14:paraId="042BCBA7"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1"/>
          <w:sz w:val="24"/>
          <w:szCs w:val="24"/>
        </w:rPr>
      </w:pPr>
      <w:r w:rsidRPr="00AE47C6">
        <w:rPr>
          <w:rFonts w:ascii="Times New Roman" w:eastAsia="SimSun" w:hAnsi="Times New Roman"/>
          <w:spacing w:val="-1"/>
          <w:sz w:val="24"/>
          <w:szCs w:val="24"/>
        </w:rPr>
        <w:t xml:space="preserve">Използването на телемедицина в отдалечени райони може да подобри достъпа до специализирано лечение (клас I, ниво B). </w:t>
      </w:r>
    </w:p>
    <w:p w14:paraId="1F3076AC"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1"/>
          <w:sz w:val="24"/>
          <w:szCs w:val="24"/>
        </w:rPr>
      </w:pPr>
      <w:r w:rsidRPr="00AE47C6">
        <w:rPr>
          <w:rFonts w:ascii="Times New Roman" w:eastAsia="SimSun" w:hAnsi="Times New Roman"/>
          <w:spacing w:val="-1"/>
          <w:sz w:val="24"/>
          <w:szCs w:val="24"/>
        </w:rPr>
        <w:t xml:space="preserve">Болни с възможна ТИА следва да бъдат незабавно транспортирани до медицински център, където може да им бъде предложено специализирано изследване и незабавно лечение (клас III, ниво B). </w:t>
      </w:r>
    </w:p>
    <w:p w14:paraId="21457662"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z w:val="24"/>
          <w:szCs w:val="24"/>
        </w:rPr>
      </w:pPr>
      <w:r w:rsidRPr="00AE47C6">
        <w:rPr>
          <w:rFonts w:ascii="Times New Roman" w:eastAsia="SimSun" w:hAnsi="Times New Roman"/>
          <w:spacing w:val="-4"/>
          <w:sz w:val="24"/>
          <w:szCs w:val="24"/>
        </w:rPr>
        <w:t>Изследванията на болни с ТИА получават същия приоритет както този на болни с МИ, тъй като 10% от тях ще претърпят МИ през следващите 48 часа.</w:t>
      </w:r>
    </w:p>
    <w:p w14:paraId="00DB5589" w14:textId="77777777" w:rsidR="00BE0B19" w:rsidRPr="00AE47C6" w:rsidRDefault="00BE0B19" w:rsidP="00BE0B19">
      <w:pPr>
        <w:spacing w:before="240" w:after="240" w:line="240" w:lineRule="auto"/>
        <w:outlineLvl w:val="4"/>
        <w:rPr>
          <w:rFonts w:ascii="Times New Roman" w:eastAsia="SimSun" w:hAnsi="Times New Roman"/>
          <w:b/>
          <w:bCs/>
          <w:iCs/>
          <w:sz w:val="24"/>
          <w:szCs w:val="26"/>
        </w:rPr>
      </w:pPr>
      <w:r w:rsidRPr="00AE47C6">
        <w:rPr>
          <w:rFonts w:ascii="Times New Roman" w:eastAsia="SimSun" w:hAnsi="Times New Roman"/>
          <w:b/>
          <w:bCs/>
          <w:iCs/>
          <w:sz w:val="24"/>
          <w:szCs w:val="26"/>
        </w:rPr>
        <w:t>1.3.1.1.2. В болнични условия</w:t>
      </w:r>
    </w:p>
    <w:p w14:paraId="796D2AA1"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5"/>
          <w:sz w:val="24"/>
          <w:szCs w:val="24"/>
        </w:rPr>
      </w:pPr>
      <w:r w:rsidRPr="00AE47C6">
        <w:rPr>
          <w:rFonts w:ascii="Times New Roman" w:eastAsia="SimSun" w:hAnsi="Times New Roman"/>
          <w:spacing w:val="-3"/>
          <w:sz w:val="24"/>
          <w:szCs w:val="24"/>
        </w:rPr>
        <w:t>Препоръчва</w:t>
      </w:r>
      <w:r w:rsidRPr="00AE47C6">
        <w:rPr>
          <w:rFonts w:ascii="Times New Roman" w:eastAsia="SimSun" w:hAnsi="Times New Roman"/>
          <w:spacing w:val="5"/>
          <w:sz w:val="24"/>
          <w:szCs w:val="24"/>
        </w:rPr>
        <w:t xml:space="preserve"> се всички болни да бъдат диагностицирани и лекувани в отделение за лечение на остри инсулти, интензивно отделение или стаи за лечение на остри инсулти в неврологични клиники и отделения (клас I, ниво A).</w:t>
      </w:r>
    </w:p>
    <w:p w14:paraId="6C0955BA"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3"/>
          <w:sz w:val="24"/>
          <w:szCs w:val="24"/>
        </w:rPr>
        <w:t>Необходимо</w:t>
      </w:r>
      <w:r w:rsidRPr="00AE47C6">
        <w:rPr>
          <w:rFonts w:ascii="Times New Roman" w:eastAsia="SimSun" w:hAnsi="Times New Roman"/>
          <w:spacing w:val="2"/>
          <w:sz w:val="24"/>
          <w:szCs w:val="24"/>
        </w:rPr>
        <w:t xml:space="preserve"> е да се използват стандартизирани диагностични протоколи, които да позволяват диагностициране и вземане на решение за лечение в рамките на 60 минути от приема на пациента (клас I, ниво B).</w:t>
      </w:r>
    </w:p>
    <w:p w14:paraId="3D2AB3E3"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Незабавна </w:t>
      </w:r>
      <w:r w:rsidRPr="00AE47C6">
        <w:rPr>
          <w:rFonts w:ascii="Times New Roman" w:eastAsia="SimSun" w:hAnsi="Times New Roman"/>
          <w:spacing w:val="-3"/>
          <w:sz w:val="24"/>
          <w:szCs w:val="24"/>
        </w:rPr>
        <w:t>сортировка</w:t>
      </w:r>
      <w:r w:rsidRPr="00AE47C6">
        <w:rPr>
          <w:rFonts w:ascii="Times New Roman" w:eastAsia="SimSun" w:hAnsi="Times New Roman"/>
          <w:sz w:val="24"/>
          <w:szCs w:val="24"/>
        </w:rPr>
        <w:t xml:space="preserve"> в звеното за лечение на инсулти, бързо и </w:t>
      </w:r>
      <w:r w:rsidRPr="00AE47C6">
        <w:rPr>
          <w:rFonts w:ascii="Times New Roman" w:eastAsia="SimSun" w:hAnsi="Times New Roman"/>
          <w:spacing w:val="-11"/>
          <w:sz w:val="24"/>
          <w:szCs w:val="24"/>
        </w:rPr>
        <w:t>приоритетно</w:t>
      </w:r>
      <w:r w:rsidRPr="00AE47C6">
        <w:rPr>
          <w:rFonts w:ascii="Times New Roman" w:eastAsia="SimSun" w:hAnsi="Times New Roman"/>
          <w:sz w:val="24"/>
          <w:szCs w:val="24"/>
        </w:rPr>
        <w:t xml:space="preserve"> извършване на клинични, лабораторни и образни изследвания, акуратна диагноза и прилагане на терапия (клас III, ниво B). </w:t>
      </w:r>
    </w:p>
    <w:p w14:paraId="2A43D3EC" w14:textId="77777777" w:rsidR="00BE0B19" w:rsidRPr="00AE47C6" w:rsidRDefault="00BE0B19" w:rsidP="00BE0B19">
      <w:pPr>
        <w:shd w:val="clear" w:color="auto" w:fill="FFFFFF"/>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Диагностичният процес</w:t>
      </w:r>
      <w:r w:rsidRPr="00AE47C6">
        <w:rPr>
          <w:rFonts w:ascii="Times New Roman" w:eastAsia="SimSun" w:hAnsi="Times New Roman"/>
          <w:sz w:val="24"/>
          <w:szCs w:val="24"/>
        </w:rPr>
        <w:t xml:space="preserve"> включва (виж фиг. 1.1., фиг. 1.2):</w:t>
      </w:r>
    </w:p>
    <w:p w14:paraId="0725D104" w14:textId="77777777" w:rsidR="00BE0B19" w:rsidRPr="00AE47C6" w:rsidRDefault="00BE0B19" w:rsidP="00BE0B19">
      <w:pPr>
        <w:spacing w:after="0" w:line="360" w:lineRule="auto"/>
        <w:ind w:firstLine="567"/>
        <w:jc w:val="both"/>
        <w:rPr>
          <w:rFonts w:ascii="Times New Roman" w:eastAsia="SimSun" w:hAnsi="Times New Roman"/>
          <w:b/>
          <w:sz w:val="24"/>
          <w:szCs w:val="24"/>
        </w:rPr>
      </w:pPr>
      <w:r w:rsidRPr="00AE47C6">
        <w:rPr>
          <w:rFonts w:ascii="Times New Roman" w:eastAsia="SimSun" w:hAnsi="Times New Roman"/>
          <w:b/>
          <w:sz w:val="24"/>
          <w:szCs w:val="24"/>
        </w:rPr>
        <w:t>Табл. 1. 2.</w:t>
      </w:r>
      <w:r w:rsidRPr="00AE47C6">
        <w:rPr>
          <w:rFonts w:ascii="Times New Roman" w:eastAsia="SimSun" w:hAnsi="Times New Roman"/>
          <w:sz w:val="24"/>
          <w:szCs w:val="24"/>
        </w:rPr>
        <w:t xml:space="preserve"> </w:t>
      </w:r>
      <w:r w:rsidRPr="00AE47C6">
        <w:rPr>
          <w:rFonts w:ascii="Times New Roman" w:eastAsia="SimSun" w:hAnsi="Times New Roman"/>
          <w:b/>
          <w:sz w:val="24"/>
          <w:szCs w:val="24"/>
        </w:rPr>
        <w:t>АВСD скала за оценка на рисковите фактори при ТИА</w:t>
      </w:r>
    </w:p>
    <w:p w14:paraId="50D0367B" w14:textId="77777777" w:rsidR="00BE0B19" w:rsidRPr="00AE47C6" w:rsidRDefault="00BE0B19" w:rsidP="00BE0B19">
      <w:pPr>
        <w:spacing w:after="0" w:line="360" w:lineRule="auto"/>
        <w:jc w:val="both"/>
        <w:rPr>
          <w:rFonts w:ascii="Times New Roman" w:eastAsia="SimSun" w:hAnsi="Times New Roman"/>
          <w:b/>
          <w:i/>
          <w:sz w:val="24"/>
          <w:szCs w:val="24"/>
        </w:rPr>
      </w:pPr>
      <w:r w:rsidRPr="00AE47C6">
        <w:rPr>
          <w:rFonts w:ascii="Times New Roman" w:eastAsia="SimSun" w:hAnsi="Times New Roman"/>
          <w:noProof/>
          <w:sz w:val="24"/>
          <w:szCs w:val="24"/>
          <w:lang w:eastAsia="bg-BG"/>
        </w:rPr>
        <w:drawing>
          <wp:inline distT="0" distB="0" distL="0" distR="0" wp14:anchorId="1D0890B7" wp14:editId="6CA47952">
            <wp:extent cx="5689579" cy="2943225"/>
            <wp:effectExtent l="0" t="0" r="6985" b="0"/>
            <wp:docPr id="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a:srcRect/>
                    <a:stretch>
                      <a:fillRect/>
                    </a:stretch>
                  </pic:blipFill>
                  <pic:spPr bwMode="auto">
                    <a:xfrm>
                      <a:off x="0" y="0"/>
                      <a:ext cx="5690815" cy="2943864"/>
                    </a:xfrm>
                    <a:prstGeom prst="rect">
                      <a:avLst/>
                    </a:prstGeom>
                    <a:noFill/>
                    <a:ln w="9525">
                      <a:noFill/>
                      <a:miter lim="800000"/>
                      <a:headEnd/>
                      <a:tailEnd/>
                    </a:ln>
                  </pic:spPr>
                </pic:pic>
              </a:graphicData>
            </a:graphic>
          </wp:inline>
        </w:drawing>
      </w:r>
    </w:p>
    <w:p w14:paraId="5EC6F715" w14:textId="77777777" w:rsidR="00BE0B19" w:rsidRPr="00AE47C6" w:rsidRDefault="00BE0B19" w:rsidP="00BE0B19">
      <w:pPr>
        <w:spacing w:after="0" w:line="360" w:lineRule="auto"/>
        <w:ind w:firstLine="210"/>
        <w:jc w:val="both"/>
        <w:rPr>
          <w:rFonts w:ascii="Times New Roman" w:eastAsia="SimSun" w:hAnsi="Times New Roman"/>
          <w:b/>
          <w:sz w:val="24"/>
          <w:szCs w:val="24"/>
        </w:rPr>
      </w:pPr>
    </w:p>
    <w:p w14:paraId="1201B7C6"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i/>
          <w:sz w:val="24"/>
          <w:szCs w:val="24"/>
        </w:rPr>
        <w:t>Алгоритъмът на поведение при вероятна ТИА за диагностика и лечение при оценка на риска за последващ мозъчен инфаркт</w:t>
      </w:r>
      <w:r w:rsidRPr="00AE47C6">
        <w:rPr>
          <w:rFonts w:ascii="Times New Roman" w:eastAsia="SimSun" w:hAnsi="Times New Roman"/>
          <w:sz w:val="24"/>
          <w:szCs w:val="24"/>
        </w:rPr>
        <w:t xml:space="preserve"> е представен на Фиг.1.3.</w:t>
      </w:r>
    </w:p>
    <w:p w14:paraId="66F3E3E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w:drawing>
          <wp:inline distT="0" distB="0" distL="0" distR="0" wp14:anchorId="7CCF2B82" wp14:editId="32C509A5">
            <wp:extent cx="5702300" cy="5319718"/>
            <wp:effectExtent l="0" t="0" r="0" b="0"/>
            <wp:docPr id="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srcRect/>
                    <a:stretch>
                      <a:fillRect/>
                    </a:stretch>
                  </pic:blipFill>
                  <pic:spPr bwMode="auto">
                    <a:xfrm>
                      <a:off x="0" y="0"/>
                      <a:ext cx="5704077" cy="5321376"/>
                    </a:xfrm>
                    <a:prstGeom prst="rect">
                      <a:avLst/>
                    </a:prstGeom>
                    <a:noFill/>
                    <a:ln w="9525">
                      <a:noFill/>
                      <a:miter lim="800000"/>
                      <a:headEnd/>
                      <a:tailEnd/>
                    </a:ln>
                  </pic:spPr>
                </pic:pic>
              </a:graphicData>
            </a:graphic>
          </wp:inline>
        </w:drawing>
      </w:r>
    </w:p>
    <w:p w14:paraId="357BA908" w14:textId="77777777" w:rsidR="00BE0B19" w:rsidRPr="00AE47C6" w:rsidRDefault="00BE0B19" w:rsidP="00BE0B19">
      <w:pPr>
        <w:spacing w:after="0" w:line="360" w:lineRule="auto"/>
        <w:ind w:firstLine="567"/>
        <w:jc w:val="both"/>
        <w:rPr>
          <w:rFonts w:ascii="Times New Roman" w:eastAsia="SimSun" w:hAnsi="Times New Roman"/>
          <w:sz w:val="24"/>
          <w:szCs w:val="24"/>
        </w:rPr>
      </w:pPr>
    </w:p>
    <w:p w14:paraId="641058A4" w14:textId="77777777" w:rsidR="00BE0B19" w:rsidRPr="00AE47C6" w:rsidRDefault="00BE0B19" w:rsidP="00BE0B19">
      <w:pPr>
        <w:spacing w:after="0" w:line="360" w:lineRule="auto"/>
        <w:ind w:firstLine="567"/>
        <w:jc w:val="both"/>
        <w:rPr>
          <w:rFonts w:ascii="Times New Roman" w:eastAsia="SimSun" w:hAnsi="Times New Roman"/>
          <w:b/>
          <w:sz w:val="24"/>
          <w:szCs w:val="24"/>
        </w:rPr>
      </w:pPr>
      <w:r w:rsidRPr="00AE47C6">
        <w:rPr>
          <w:rFonts w:ascii="Times New Roman" w:eastAsia="SimSun" w:hAnsi="Times New Roman"/>
          <w:b/>
          <w:sz w:val="24"/>
          <w:szCs w:val="24"/>
        </w:rPr>
        <w:t>Фиг. 1.3.</w:t>
      </w:r>
      <w:r w:rsidRPr="00AE47C6">
        <w:rPr>
          <w:rFonts w:ascii="Times New Roman" w:eastAsia="SimSun" w:hAnsi="Times New Roman"/>
          <w:sz w:val="24"/>
          <w:szCs w:val="24"/>
        </w:rPr>
        <w:t xml:space="preserve"> </w:t>
      </w:r>
      <w:r w:rsidRPr="00AE47C6">
        <w:rPr>
          <w:rFonts w:ascii="Times New Roman" w:eastAsia="SimSun" w:hAnsi="Times New Roman"/>
          <w:b/>
          <w:sz w:val="24"/>
          <w:szCs w:val="24"/>
        </w:rPr>
        <w:t>Поведение при пациент с вероятна ТИА за диагностика и лечение при оценка на риска за последващ мозъчен инсулт</w:t>
      </w:r>
    </w:p>
    <w:p w14:paraId="62258962" w14:textId="77777777" w:rsidR="00BE0B19" w:rsidRPr="00AE47C6" w:rsidRDefault="00BE0B19" w:rsidP="00BE0B19">
      <w:pPr>
        <w:shd w:val="clear" w:color="auto" w:fill="FFFFFF"/>
        <w:spacing w:after="0" w:line="360" w:lineRule="auto"/>
        <w:jc w:val="both"/>
        <w:rPr>
          <w:rFonts w:ascii="Times New Roman" w:eastAsia="SimSun" w:hAnsi="Times New Roman"/>
          <w:sz w:val="24"/>
          <w:szCs w:val="24"/>
        </w:rPr>
      </w:pPr>
    </w:p>
    <w:p w14:paraId="55144D77"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z w:val="24"/>
          <w:szCs w:val="24"/>
        </w:rPr>
      </w:pPr>
      <w:r w:rsidRPr="00AE47C6">
        <w:rPr>
          <w:rFonts w:ascii="Times New Roman" w:eastAsia="SimSun" w:hAnsi="Times New Roman"/>
          <w:spacing w:val="-3"/>
          <w:sz w:val="24"/>
          <w:szCs w:val="24"/>
        </w:rPr>
        <w:t>Прецизна анамнеза за началото на мозъчносъдовия инцидент (остро, подос</w:t>
      </w:r>
      <w:r w:rsidRPr="00AE47C6">
        <w:rPr>
          <w:rFonts w:ascii="Times New Roman" w:eastAsia="SimSun" w:hAnsi="Times New Roman"/>
          <w:spacing w:val="6"/>
          <w:sz w:val="24"/>
          <w:szCs w:val="24"/>
        </w:rPr>
        <w:t xml:space="preserve">тро) с развитие на огнищна неврологична симптоматика или без такава, </w:t>
      </w:r>
      <w:r w:rsidRPr="00AE47C6">
        <w:rPr>
          <w:rFonts w:ascii="Times New Roman" w:eastAsia="SimSun" w:hAnsi="Times New Roman"/>
          <w:spacing w:val="-3"/>
          <w:sz w:val="24"/>
          <w:szCs w:val="24"/>
        </w:rPr>
        <w:t>със или без общомозъчни симптоми.</w:t>
      </w:r>
    </w:p>
    <w:p w14:paraId="06ECB868"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z w:val="24"/>
          <w:szCs w:val="24"/>
        </w:rPr>
      </w:pPr>
      <w:r w:rsidRPr="00AE47C6">
        <w:rPr>
          <w:rFonts w:ascii="Times New Roman" w:eastAsia="SimSun" w:hAnsi="Times New Roman"/>
          <w:spacing w:val="-3"/>
          <w:sz w:val="24"/>
          <w:szCs w:val="24"/>
        </w:rPr>
        <w:t>Соматичен</w:t>
      </w:r>
      <w:r w:rsidRPr="00AE47C6">
        <w:rPr>
          <w:rFonts w:ascii="Times New Roman" w:eastAsia="SimSun" w:hAnsi="Times New Roman"/>
          <w:spacing w:val="4"/>
          <w:sz w:val="24"/>
          <w:szCs w:val="24"/>
        </w:rPr>
        <w:t xml:space="preserve"> статус - включително двустранно измерване на артериалното </w:t>
      </w:r>
      <w:r w:rsidRPr="00AE47C6">
        <w:rPr>
          <w:rFonts w:ascii="Times New Roman" w:eastAsia="SimSun" w:hAnsi="Times New Roman"/>
          <w:spacing w:val="-12"/>
          <w:sz w:val="24"/>
          <w:szCs w:val="24"/>
        </w:rPr>
        <w:t>налягане.</w:t>
      </w:r>
    </w:p>
    <w:p w14:paraId="426B3005"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z w:val="24"/>
          <w:szCs w:val="24"/>
        </w:rPr>
      </w:pPr>
      <w:r w:rsidRPr="00AE47C6">
        <w:rPr>
          <w:rFonts w:ascii="Times New Roman" w:eastAsia="SimSun" w:hAnsi="Times New Roman"/>
          <w:spacing w:val="-3"/>
          <w:sz w:val="24"/>
          <w:szCs w:val="24"/>
        </w:rPr>
        <w:t>Неврологичен</w:t>
      </w:r>
      <w:r w:rsidRPr="00AE47C6">
        <w:rPr>
          <w:rFonts w:ascii="Times New Roman" w:eastAsia="SimSun" w:hAnsi="Times New Roman"/>
          <w:spacing w:val="1"/>
          <w:sz w:val="24"/>
          <w:szCs w:val="24"/>
        </w:rPr>
        <w:t xml:space="preserve"> статус - наличие или отсъствие на менингеален синдром, на </w:t>
      </w:r>
      <w:r w:rsidRPr="00AE47C6">
        <w:rPr>
          <w:rFonts w:ascii="Times New Roman" w:eastAsia="SimSun" w:hAnsi="Times New Roman"/>
          <w:sz w:val="24"/>
          <w:szCs w:val="24"/>
        </w:rPr>
        <w:t>общомозъчни симптоми (главоболие, гадене, повръщане), дихателни и гълтателни нару</w:t>
      </w:r>
      <w:r w:rsidRPr="00AE47C6">
        <w:rPr>
          <w:rFonts w:ascii="Times New Roman" w:eastAsia="SimSun" w:hAnsi="Times New Roman"/>
          <w:spacing w:val="1"/>
          <w:sz w:val="24"/>
          <w:szCs w:val="24"/>
        </w:rPr>
        <w:t xml:space="preserve">шения, количествени нарушения на съзнанието; на огнищни неврологични </w:t>
      </w:r>
      <w:r w:rsidRPr="00AE47C6">
        <w:rPr>
          <w:rFonts w:ascii="Times New Roman" w:eastAsia="SimSun" w:hAnsi="Times New Roman"/>
          <w:spacing w:val="2"/>
          <w:sz w:val="24"/>
          <w:szCs w:val="24"/>
        </w:rPr>
        <w:t xml:space="preserve">симптоми в различна степен на изразеност (хемипареза, хемихипестезия, </w:t>
      </w:r>
      <w:r w:rsidRPr="00AE47C6">
        <w:rPr>
          <w:rFonts w:ascii="Times New Roman" w:eastAsia="SimSun" w:hAnsi="Times New Roman"/>
          <w:spacing w:val="-4"/>
          <w:sz w:val="24"/>
          <w:szCs w:val="24"/>
        </w:rPr>
        <w:t xml:space="preserve">хемианопсия, централна или периферна лезия на краниалните нерви), епилептични гърчове </w:t>
      </w:r>
      <w:r w:rsidRPr="00AE47C6">
        <w:rPr>
          <w:rFonts w:ascii="Times New Roman" w:eastAsia="SimSun" w:hAnsi="Times New Roman"/>
          <w:spacing w:val="-5"/>
          <w:sz w:val="24"/>
          <w:szCs w:val="24"/>
        </w:rPr>
        <w:t>и др.</w:t>
      </w:r>
    </w:p>
    <w:p w14:paraId="251DF92C"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5"/>
          <w:sz w:val="24"/>
          <w:szCs w:val="24"/>
        </w:rPr>
      </w:pPr>
      <w:r w:rsidRPr="00AE47C6">
        <w:rPr>
          <w:rFonts w:ascii="Times New Roman" w:eastAsia="SimSun" w:hAnsi="Times New Roman"/>
          <w:spacing w:val="-4"/>
          <w:sz w:val="24"/>
          <w:szCs w:val="24"/>
        </w:rPr>
        <w:t>Дефиниране на главните синдроми (клас І, ниво А) въз основа на:</w:t>
      </w:r>
    </w:p>
    <w:p w14:paraId="09ECE029" w14:textId="77777777" w:rsidR="00BE0B19" w:rsidRPr="00AE47C6" w:rsidRDefault="00BE0B19" w:rsidP="00BE0B19">
      <w:pPr>
        <w:shd w:val="clear" w:color="auto" w:fill="FFFFFF"/>
        <w:tabs>
          <w:tab w:val="left" w:pos="220"/>
        </w:tabs>
        <w:spacing w:after="0" w:line="360" w:lineRule="auto"/>
        <w:ind w:left="360" w:firstLine="916"/>
        <w:jc w:val="both"/>
        <w:rPr>
          <w:rFonts w:ascii="Times New Roman" w:eastAsia="SimSun" w:hAnsi="Times New Roman"/>
          <w:spacing w:val="-2"/>
          <w:sz w:val="24"/>
          <w:szCs w:val="24"/>
        </w:rPr>
      </w:pPr>
      <w:r w:rsidRPr="00AE47C6">
        <w:rPr>
          <w:rFonts w:ascii="Times New Roman" w:eastAsia="SimSun" w:hAnsi="Times New Roman"/>
          <w:spacing w:val="5"/>
          <w:sz w:val="24"/>
          <w:szCs w:val="24"/>
        </w:rPr>
        <w:t>- Оценка на тежестта на неврологичните симптоми от невролог с помощта на National Institutes of Health Stroke скалата</w:t>
      </w:r>
      <w:r w:rsidRPr="00AE47C6">
        <w:rPr>
          <w:rFonts w:ascii="Times New Roman" w:eastAsia="SimSun" w:hAnsi="Times New Roman"/>
          <w:spacing w:val="-2"/>
          <w:sz w:val="24"/>
          <w:szCs w:val="24"/>
        </w:rPr>
        <w:t xml:space="preserve"> (NIHSS)</w:t>
      </w:r>
      <w:r w:rsidRPr="00AE47C6">
        <w:rPr>
          <w:rFonts w:ascii="Times New Roman" w:eastAsia="SimSun" w:hAnsi="Times New Roman"/>
          <w:spacing w:val="-4"/>
          <w:sz w:val="24"/>
          <w:szCs w:val="24"/>
        </w:rPr>
        <w:t xml:space="preserve"> (клас І, ниво В).</w:t>
      </w:r>
    </w:p>
    <w:p w14:paraId="5F6029D5" w14:textId="77777777" w:rsidR="00BE0B19" w:rsidRPr="00AE47C6" w:rsidRDefault="00BE0B19" w:rsidP="00BE0B19">
      <w:pPr>
        <w:shd w:val="clear" w:color="auto" w:fill="FFFFFF"/>
        <w:tabs>
          <w:tab w:val="left" w:pos="220"/>
        </w:tabs>
        <w:spacing w:after="0" w:line="360" w:lineRule="auto"/>
        <w:ind w:left="360" w:firstLine="916"/>
        <w:jc w:val="both"/>
        <w:rPr>
          <w:rFonts w:ascii="Times New Roman" w:eastAsia="SimSun" w:hAnsi="Times New Roman"/>
          <w:spacing w:val="-4"/>
          <w:sz w:val="24"/>
          <w:szCs w:val="24"/>
        </w:rPr>
      </w:pPr>
      <w:r w:rsidRPr="00AE47C6">
        <w:rPr>
          <w:rFonts w:ascii="Times New Roman" w:eastAsia="SimSun" w:hAnsi="Times New Roman"/>
          <w:spacing w:val="-2"/>
          <w:sz w:val="24"/>
          <w:szCs w:val="24"/>
        </w:rPr>
        <w:t xml:space="preserve">- Оценка на съзнанието  по скалата на Glasgow-Liege coma скалата(GLCS) </w:t>
      </w:r>
    </w:p>
    <w:p w14:paraId="0731BF47" w14:textId="77777777" w:rsidR="00BE0B19" w:rsidRPr="00AE47C6" w:rsidRDefault="00BE0B19" w:rsidP="00BE0B19">
      <w:pPr>
        <w:shd w:val="clear" w:color="auto" w:fill="FFFFFF"/>
        <w:tabs>
          <w:tab w:val="left" w:pos="220"/>
        </w:tabs>
        <w:spacing w:after="0" w:line="360" w:lineRule="auto"/>
        <w:ind w:left="360" w:firstLine="916"/>
        <w:jc w:val="both"/>
        <w:rPr>
          <w:rFonts w:ascii="Times New Roman" w:eastAsia="SimSun" w:hAnsi="Times New Roman"/>
          <w:spacing w:val="-4"/>
          <w:sz w:val="24"/>
          <w:szCs w:val="24"/>
        </w:rPr>
      </w:pPr>
      <w:r w:rsidRPr="00AE47C6">
        <w:rPr>
          <w:rFonts w:ascii="Times New Roman" w:eastAsia="SimSun" w:hAnsi="Times New Roman"/>
          <w:spacing w:val="-2"/>
          <w:sz w:val="24"/>
          <w:szCs w:val="24"/>
        </w:rPr>
        <w:t xml:space="preserve">- Barthel индекс </w:t>
      </w:r>
    </w:p>
    <w:p w14:paraId="1A83B3AD" w14:textId="77777777" w:rsidR="00BE0B19" w:rsidRPr="00AE47C6" w:rsidRDefault="00BE0B19" w:rsidP="00BE0B19">
      <w:pPr>
        <w:shd w:val="clear" w:color="auto" w:fill="FFFFFF"/>
        <w:tabs>
          <w:tab w:val="left" w:pos="220"/>
        </w:tabs>
        <w:spacing w:after="0" w:line="360" w:lineRule="auto"/>
        <w:ind w:left="360" w:firstLine="916"/>
        <w:jc w:val="both"/>
        <w:rPr>
          <w:rFonts w:ascii="Times New Roman" w:eastAsia="SimSun" w:hAnsi="Times New Roman"/>
          <w:spacing w:val="-4"/>
          <w:sz w:val="24"/>
          <w:szCs w:val="24"/>
        </w:rPr>
      </w:pPr>
      <w:r w:rsidRPr="00AE47C6">
        <w:rPr>
          <w:rFonts w:ascii="Times New Roman" w:eastAsia="SimSun" w:hAnsi="Times New Roman"/>
          <w:spacing w:val="-2"/>
          <w:sz w:val="24"/>
          <w:szCs w:val="24"/>
        </w:rPr>
        <w:t xml:space="preserve">- Модифицираната скала на Rankin </w:t>
      </w:r>
    </w:p>
    <w:p w14:paraId="4990C61E" w14:textId="77777777" w:rsidR="00BE0B19" w:rsidRPr="00AE47C6" w:rsidRDefault="00BE0B19" w:rsidP="00BE0B19">
      <w:pPr>
        <w:shd w:val="clear" w:color="auto" w:fill="FFFFFF"/>
        <w:tabs>
          <w:tab w:val="left" w:pos="220"/>
        </w:tabs>
        <w:spacing w:after="0" w:line="360" w:lineRule="auto"/>
        <w:ind w:left="360" w:firstLine="916"/>
        <w:jc w:val="both"/>
        <w:rPr>
          <w:rFonts w:ascii="Times New Roman" w:eastAsia="SimSun" w:hAnsi="Times New Roman"/>
          <w:spacing w:val="-4"/>
          <w:sz w:val="24"/>
          <w:szCs w:val="24"/>
        </w:rPr>
      </w:pPr>
      <w:r w:rsidRPr="00AE47C6">
        <w:rPr>
          <w:rFonts w:ascii="Times New Roman" w:eastAsia="SimSun" w:hAnsi="Times New Roman"/>
          <w:spacing w:val="-2"/>
          <w:sz w:val="24"/>
          <w:szCs w:val="24"/>
        </w:rPr>
        <w:t xml:space="preserve">- Оценка по скалата на Hunt и Неss при САК </w:t>
      </w:r>
    </w:p>
    <w:p w14:paraId="520D57AC" w14:textId="77777777" w:rsidR="00BE0B19" w:rsidRPr="00AE47C6" w:rsidRDefault="00BE0B19" w:rsidP="00BE0B19">
      <w:pPr>
        <w:shd w:val="clear" w:color="auto" w:fill="FFFFFF"/>
        <w:tabs>
          <w:tab w:val="left" w:pos="216"/>
        </w:tabs>
        <w:spacing w:after="0" w:line="360" w:lineRule="auto"/>
        <w:jc w:val="both"/>
        <w:rPr>
          <w:rFonts w:ascii="Times New Roman" w:eastAsia="SimSun" w:hAnsi="Times New Roman"/>
          <w:b/>
          <w:spacing w:val="2"/>
          <w:sz w:val="24"/>
          <w:szCs w:val="24"/>
        </w:rPr>
      </w:pPr>
      <w:r w:rsidRPr="00AE47C6">
        <w:rPr>
          <w:rFonts w:ascii="Times New Roman" w:eastAsia="SimSun" w:hAnsi="Times New Roman"/>
          <w:b/>
          <w:spacing w:val="2"/>
          <w:sz w:val="24"/>
          <w:szCs w:val="24"/>
        </w:rPr>
        <w:t xml:space="preserve">Установяване на: </w:t>
      </w:r>
    </w:p>
    <w:p w14:paraId="64E9351A"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4"/>
          <w:sz w:val="24"/>
          <w:szCs w:val="24"/>
        </w:rPr>
        <w:t>Точното</w:t>
      </w:r>
      <w:r w:rsidRPr="00AE47C6">
        <w:rPr>
          <w:rFonts w:ascii="Times New Roman" w:eastAsia="SimSun" w:hAnsi="Times New Roman"/>
          <w:spacing w:val="2"/>
          <w:sz w:val="24"/>
          <w:szCs w:val="24"/>
        </w:rPr>
        <w:t xml:space="preserve"> време на настъпване на симптомите.</w:t>
      </w:r>
    </w:p>
    <w:p w14:paraId="61A71B8E"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Вида на мозъчния инсулт - исхемичен мозъчен инсулт, паренхимен мозъчен кръвоизлив и субарахноиден кръвоизлив, транзиторна исхемична атака, тромбоза на мозъчни вени и дурални синуси или остра хипертонична енцефалопатия.</w:t>
      </w:r>
    </w:p>
    <w:p w14:paraId="62D9131D"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Локализацията - топична диагноза.</w:t>
      </w:r>
    </w:p>
    <w:p w14:paraId="3CBF3B64"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Етиологията - етиологична диагноза.</w:t>
      </w:r>
    </w:p>
    <w:p w14:paraId="0F564ED6"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Наличието на рискови фактори.</w:t>
      </w:r>
    </w:p>
    <w:p w14:paraId="7D1B239B" w14:textId="77777777" w:rsidR="00BE0B19" w:rsidRPr="00AE47C6" w:rsidRDefault="00BE0B19" w:rsidP="00BE0B19">
      <w:pPr>
        <w:shd w:val="clear" w:color="auto" w:fill="FFFFFF"/>
        <w:tabs>
          <w:tab w:val="left" w:pos="220"/>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Изследвания</w:t>
      </w:r>
    </w:p>
    <w:p w14:paraId="1531F689"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Препоръчва се незабавното провеждане на КТ (клас I, ниво A) или МРИ (клас I, ниво В) на главен мозък. Те дават възможност да се изключи интрацеребрален кръвоизлив и да се установи наличието на КТ хиподензна зона или МР Т2 хиперинтензна исхемична зона. КТ методи (нативна КТ или КТ перфузия) са достатъчни, за да се вземе терапевтично решение за тромболиза.</w:t>
      </w:r>
    </w:p>
    <w:p w14:paraId="38CB97BF"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 xml:space="preserve">Препоръчва се провеждане на фибринолитична терапия при установяване на ранни исхемични промени в нативния КТ (ASPECTS </w:t>
      </w:r>
      <w:r w:rsidRPr="00AE47C6">
        <w:rPr>
          <w:rFonts w:ascii="Times New Roman" w:eastAsia="SimSun" w:hAnsi="Times New Roman"/>
          <w:bCs/>
          <w:sz w:val="24"/>
          <w:szCs w:val="24"/>
        </w:rPr>
        <w:t>&gt;7</w:t>
      </w:r>
      <w:r w:rsidRPr="00AE47C6">
        <w:rPr>
          <w:rFonts w:ascii="Times New Roman" w:eastAsia="SimSun" w:hAnsi="Times New Roman"/>
          <w:spacing w:val="2"/>
          <w:sz w:val="24"/>
          <w:szCs w:val="24"/>
        </w:rPr>
        <w:t>), както и на КТ перфузията (клас I, ниво A).</w:t>
      </w:r>
    </w:p>
    <w:p w14:paraId="75895A24"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Ако се провежда МРИ, последната задължително трябва да включва diffusion weighted imaging (DWI) за разпознаване на свръхострия исхемичен инсулт и T</w:t>
      </w:r>
      <w:r w:rsidRPr="00AE47C6">
        <w:rPr>
          <w:rFonts w:ascii="Times New Roman" w:eastAsia="SimSun" w:hAnsi="Times New Roman"/>
          <w:spacing w:val="2"/>
          <w:sz w:val="24"/>
          <w:szCs w:val="24"/>
          <w:vertAlign w:val="subscript"/>
        </w:rPr>
        <w:t>2</w:t>
      </w:r>
      <w:r w:rsidRPr="00AE47C6">
        <w:rPr>
          <w:rFonts w:ascii="Times New Roman" w:eastAsia="SimSun" w:hAnsi="Times New Roman"/>
          <w:spacing w:val="2"/>
          <w:sz w:val="24"/>
          <w:szCs w:val="24"/>
        </w:rPr>
        <w:t>-weighted gradient echo sequences за идентифициране на хеморагия.</w:t>
      </w:r>
    </w:p>
    <w:p w14:paraId="31541C87"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 xml:space="preserve">Болните следва да получават висок приоритет на достъп до образни изследвания, тъй като времето е от първостепенна важност. Те следва да бъдат извършени до 45 минути след пристигането на пациента в спешния център и да бъдат разчетени от специалист с достатъчно опит (клас I, ниво С). </w:t>
      </w:r>
    </w:p>
    <w:p w14:paraId="02D72DDB"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КТ перфузионните и МР перфузионните и дифузионни техники, включващи измерване на инфарктното ядро и пенумбрата могат да се прилагат за подбор на пациенти за реперфузионна терапия след времевия прозорец за интравенозна тромболиза. Те дават допълнителна информация за тежестта на инсулта и подпомагат вземането на решение (клас I, ниво В).</w:t>
      </w:r>
    </w:p>
    <w:p w14:paraId="1406D0A0"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 xml:space="preserve">Мозъчна панангиография е необходима при всички млади, нормотензивни пациенти без ясна причина за мозъчния кръвоизлив, при които се обсъжда оперативна интервенция, за доказване на мозъчна аневризма, малформация или друга съдова патология (клас ІV, ниво С). </w:t>
      </w:r>
    </w:p>
    <w:p w14:paraId="647E4817"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 xml:space="preserve">Рентгенография на белите дробове и сърцето се провежда при пациенти с данни за остро сърдечно или белодробно заболяване ако няма да забави осъществяването на интравенозната тромболиза (клас IIb, ниво B). </w:t>
      </w:r>
    </w:p>
    <w:p w14:paraId="5BA09383"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Неинвазивни изследвания на интракраниалните съдове в острата фаза на инсулта се извършват при пациенти, които са подходящи за интраартериална тромболиза или механична тромбектомия, ако няма да забавят осъществяването на интравенозната тромболиза (клас I, ниво A).</w:t>
      </w:r>
    </w:p>
    <w:p w14:paraId="3A47FDC7"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 xml:space="preserve">Уместно е провеждане на изследвания на мозъчните съдове с оглед идентифициране на високостепенни симптоматични стенози, които подлежат на каротидна ендартеректомия или ангиопластика (клас I, ниво A). Неинвазивните изследвания в тази насока с цветно-кодиран дуплекс ултразвук на екстра- и интракраниалните съдове, КТ или МР ангиография, придобиват все по-голямо значение. Тези методи са сравнително безопасни, докато интраартериалната ангиография крие риск от усложнения при 1-3% от болните със симптоматични каротидни стенози. Дигиталната субтракционна ангиография (ДСА) може да бъде използвана когато други изследвания не са възможни. </w:t>
      </w:r>
    </w:p>
    <w:p w14:paraId="76DF986D"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Лумбална пункция (ЛП) и изследване на ликвор - при невъзможност за извършване на КТ или негативен резултат и съмнение за САК или за диференциална диагноза с други заболявания.</w:t>
      </w:r>
    </w:p>
    <w:p w14:paraId="7AE78554"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 xml:space="preserve">Всички болни преминават поредица от ограничени кръвни изследвания по спешност  (клас І, ниво В): ПКК, диференциално броене, биохимия с кръвна захар и електролити, коагулационен статус. При необходимост кръвна група, изследвания за тромбофилни състояния, хомоцистеинемия и за антифосфолипиден синдром при инсулти в детска и млада възраст. Допълнителните тестове зависят от вида на инсулта и предполагаемата етиология (фиг. 1.1, 1.2, 1.3). </w:t>
      </w:r>
    </w:p>
    <w:p w14:paraId="1EF2F1E9"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 xml:space="preserve">Първоначалните лабораторни изследвания са ограничени, поради необходимостта от пестене на време (клас I, ниво B). </w:t>
      </w:r>
    </w:p>
    <w:p w14:paraId="69373E00"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Изследването на кръвна захар трябва да предхожда започването на интравенозна тромболиза при всички пациенти (клас I, ниво B).</w:t>
      </w:r>
    </w:p>
    <w:p w14:paraId="07527559"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Препоръчва се изследване на тропонин по преценка, ако няма да забави осъществяването на интравенозната тромболиза или механичната тромбектомия (клас I, ниво С).</w:t>
      </w:r>
    </w:p>
    <w:p w14:paraId="016C87AA"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 xml:space="preserve">При всички се препоръчва провеждането на 12-канална ЕKГ и консултация с кардиолог ако няма да забави осъществяването на интравенозната тромболиза (клас І, ниво В). </w:t>
      </w:r>
    </w:p>
    <w:p w14:paraId="3B9D3E4E"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 xml:space="preserve">Допълнително се препоръчва провеждането на продължителна 24-часовa Холтер ЕKГ след преминаване на острата фаза (клас I, ниво В). Кардиологични и ЕКГ отклонения са чести при пациенти с остър МИ. </w:t>
      </w:r>
    </w:p>
    <w:p w14:paraId="1A6BFCFF"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Ехокардиография се препоръчва за определени болни с данни за сърдечно заболяване (клас III, ниво B). Трансторакалната ехокардиография е достатъчна за диагнозата на пристенни тромби, особено на такива, които са разположени в областта на върха на лявата камера.</w:t>
      </w:r>
    </w:p>
    <w:p w14:paraId="3BD58C97" w14:textId="77777777" w:rsidR="00BE0B19" w:rsidRPr="00AE47C6" w:rsidRDefault="00BE0B19" w:rsidP="00AD72E5">
      <w:pPr>
        <w:pStyle w:val="Heading3"/>
        <w:rPr>
          <w:rFonts w:ascii="Times New Roman" w:eastAsia="SimSun" w:hAnsi="Times New Roman"/>
        </w:rPr>
      </w:pPr>
      <w:bookmarkStart w:id="16" w:name="_Toc164075839"/>
      <w:r w:rsidRPr="00AE47C6">
        <w:rPr>
          <w:rFonts w:ascii="Times New Roman" w:eastAsia="SimSun" w:hAnsi="Times New Roman"/>
        </w:rPr>
        <w:t>1.3.1.2. Лечение на исхемичните мозъчни инсулти</w:t>
      </w:r>
      <w:bookmarkEnd w:id="16"/>
    </w:p>
    <w:p w14:paraId="0A7F616A" w14:textId="77777777" w:rsidR="00BE0B19" w:rsidRPr="00AE47C6" w:rsidRDefault="00BE0B19" w:rsidP="00BE0B19">
      <w:pPr>
        <w:spacing w:before="240" w:after="240" w:line="240" w:lineRule="auto"/>
        <w:outlineLvl w:val="4"/>
        <w:rPr>
          <w:rFonts w:ascii="Times New Roman" w:eastAsia="SimSun" w:hAnsi="Times New Roman"/>
          <w:b/>
          <w:bCs/>
          <w:iCs/>
          <w:sz w:val="24"/>
          <w:szCs w:val="26"/>
        </w:rPr>
      </w:pPr>
      <w:r w:rsidRPr="00AE47C6">
        <w:rPr>
          <w:rFonts w:ascii="Times New Roman" w:eastAsia="SimSun" w:hAnsi="Times New Roman"/>
          <w:b/>
          <w:bCs/>
          <w:iCs/>
          <w:sz w:val="24"/>
          <w:szCs w:val="26"/>
        </w:rPr>
        <w:t>1.3.1.2.1. Специфично лечение</w:t>
      </w:r>
    </w:p>
    <w:p w14:paraId="53C8C9D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Cs/>
          <w:sz w:val="24"/>
          <w:szCs w:val="24"/>
        </w:rPr>
        <w:t xml:space="preserve">Провежда се чрез минимално инвазивни интраваскуларни техники. Интервенционалната неврология позволява съвременно лечение на съдовите неврологични заболявания. Включва прилагане на интравенозна (ИВТ) или интраартериална (ИАТ) тромболиза или механично премахване на тромб за лечение на ИМИ. ИВТ е само един от възможните начини за антеградна реперфузия, чрез премахване на оклузията. </w:t>
      </w:r>
      <w:r w:rsidRPr="00AE47C6">
        <w:rPr>
          <w:rFonts w:ascii="Times New Roman" w:eastAsia="SimSun" w:hAnsi="Times New Roman"/>
          <w:bCs/>
          <w:spacing w:val="1"/>
          <w:sz w:val="24"/>
          <w:szCs w:val="24"/>
        </w:rPr>
        <w:t xml:space="preserve">Тромболитичните медикаменти </w:t>
      </w:r>
      <w:r w:rsidRPr="00AE47C6">
        <w:rPr>
          <w:rFonts w:ascii="Times New Roman" w:eastAsia="SimSun" w:hAnsi="Times New Roman"/>
          <w:spacing w:val="1"/>
          <w:sz w:val="24"/>
          <w:szCs w:val="24"/>
        </w:rPr>
        <w:t>стимулират фибринолизата като прев</w:t>
      </w:r>
      <w:r w:rsidRPr="00AE47C6">
        <w:rPr>
          <w:rFonts w:ascii="Times New Roman" w:eastAsia="SimSun" w:hAnsi="Times New Roman"/>
          <w:spacing w:val="-5"/>
          <w:sz w:val="24"/>
          <w:szCs w:val="24"/>
        </w:rPr>
        <w:t xml:space="preserve">ръщат фибриногена във фибрин. </w:t>
      </w:r>
      <w:r w:rsidRPr="00AE47C6">
        <w:rPr>
          <w:rFonts w:ascii="Times New Roman" w:eastAsia="SimSun" w:hAnsi="Times New Roman"/>
          <w:bCs/>
          <w:sz w:val="24"/>
          <w:szCs w:val="24"/>
        </w:rPr>
        <w:t>Останалите начини разчитат на интраартериален достъп - чрез прилагане на фибринолитик на мястото на оклузията (интраартериална тромболиза) или нейното механично преодоляване с различни способи – ендоваскуларна тромбектомия, ендоваскуларна тромбаспирация или интраартериална ангиопластика.</w:t>
      </w:r>
    </w:p>
    <w:p w14:paraId="58F42EFF"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Първоначалната еуфория от намирането на средство за лечение на исхемичен мозъчен инсулт, постепенно бе заменена от умерен скептицизъм. Проучванията NINDS, ECASSI, ECASSII и ECASSIII показват, че пълно функционално възстановяване се очаква при 1 от всеки 5 лекувани с ИВТ, ако е приложена до третия час от началото на симптомите и на един от всеки 15 лекувани до 4,5 часа от началото на симптомите.</w:t>
      </w:r>
    </w:p>
    <w:p w14:paraId="2ABBCA1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Cs/>
          <w:sz w:val="24"/>
          <w:szCs w:val="24"/>
        </w:rPr>
        <w:t>Опитът показва, че лечението не винаги е толкова успешно. При проксимална оклузия на вътрешна сънна артерия (ВСА), успешна реперфузия се получава при 10% от лекуваните, а при оклузия на средна мозъчна артерия (СМА) – при 30%.</w:t>
      </w:r>
    </w:p>
    <w:p w14:paraId="014401CA"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sz w:val="24"/>
          <w:szCs w:val="24"/>
        </w:rPr>
        <w:tab/>
        <w:t>От друга страна п</w:t>
      </w:r>
      <w:r w:rsidRPr="00AE47C6">
        <w:rPr>
          <w:rFonts w:ascii="Times New Roman" w:eastAsia="SimSun" w:hAnsi="Times New Roman"/>
          <w:bCs/>
          <w:sz w:val="24"/>
          <w:szCs w:val="24"/>
        </w:rPr>
        <w:t>овишеният специфичен афинитет към фибрин, както и активирането на хемостазата от отделения при фибринолизата тромбин, увеличават съществено риска от ранна реоклузия.</w:t>
      </w:r>
    </w:p>
    <w:p w14:paraId="29054F6B" w14:textId="77777777" w:rsidR="00BE0B19" w:rsidRPr="00AE47C6" w:rsidRDefault="00BE0B19" w:rsidP="00BE0B19">
      <w:pPr>
        <w:spacing w:after="0" w:line="360" w:lineRule="auto"/>
        <w:jc w:val="both"/>
        <w:rPr>
          <w:rFonts w:ascii="Times New Roman" w:eastAsia="SimSun" w:hAnsi="Times New Roman"/>
          <w:sz w:val="24"/>
          <w:szCs w:val="24"/>
        </w:rPr>
      </w:pPr>
    </w:p>
    <w:p w14:paraId="4BC475B7" w14:textId="77777777" w:rsidR="00BE0B19" w:rsidRPr="00AE47C6" w:rsidRDefault="00BE0B19" w:rsidP="00BE0B19">
      <w:pPr>
        <w:shd w:val="clear" w:color="auto" w:fill="FFFFFF"/>
        <w:tabs>
          <w:tab w:val="left" w:pos="220"/>
        </w:tabs>
        <w:spacing w:after="0" w:line="360" w:lineRule="auto"/>
        <w:jc w:val="both"/>
        <w:rPr>
          <w:rFonts w:ascii="Times New Roman" w:eastAsia="SimSun" w:hAnsi="Times New Roman"/>
          <w:b/>
          <w:spacing w:val="3"/>
          <w:sz w:val="24"/>
          <w:szCs w:val="24"/>
        </w:rPr>
      </w:pPr>
      <w:r w:rsidRPr="00AE47C6">
        <w:rPr>
          <w:rFonts w:ascii="Times New Roman" w:eastAsia="SimSun" w:hAnsi="Times New Roman"/>
          <w:b/>
          <w:spacing w:val="3"/>
          <w:sz w:val="24"/>
          <w:szCs w:val="24"/>
        </w:rPr>
        <w:t>Изисквания за информирано съгласие на пациента:</w:t>
      </w:r>
    </w:p>
    <w:p w14:paraId="4AE4DB83"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интервенционално лечение и/или декомпресивна краниектомия при остър инсулт се осъществяват след получаване на информирано съгласие от пациента или от негов упълномощен представител;</w:t>
      </w:r>
    </w:p>
    <w:p w14:paraId="48C613A5" w14:textId="77777777" w:rsidR="00BE0B19" w:rsidRPr="00AE47C6" w:rsidRDefault="00BE0B19" w:rsidP="00BE0B19">
      <w:pPr>
        <w:widowControl w:val="0"/>
        <w:numPr>
          <w:ilvl w:val="0"/>
          <w:numId w:val="116"/>
        </w:numPr>
        <w:shd w:val="clear" w:color="auto" w:fill="FFFFFF"/>
        <w:autoSpaceDE w:val="0"/>
        <w:autoSpaceDN w:val="0"/>
        <w:adjustRightInd w:val="0"/>
        <w:spacing w:after="0" w:line="360" w:lineRule="auto"/>
        <w:ind w:firstLine="709"/>
        <w:jc w:val="both"/>
        <w:rPr>
          <w:rFonts w:ascii="Times New Roman" w:eastAsia="SimSun" w:hAnsi="Times New Roman"/>
          <w:spacing w:val="2"/>
          <w:sz w:val="24"/>
          <w:szCs w:val="24"/>
        </w:rPr>
      </w:pPr>
      <w:r w:rsidRPr="00AE47C6">
        <w:rPr>
          <w:rFonts w:ascii="Times New Roman" w:eastAsia="SimSun" w:hAnsi="Times New Roman"/>
          <w:spacing w:val="2"/>
          <w:sz w:val="24"/>
          <w:szCs w:val="24"/>
        </w:rPr>
        <w:t xml:space="preserve">при невъзможност на пациента да разбере и подпише същото, както и при отсъствие на близки или упълномощен представител на пациента, процедурите следва да се извършат по витални индикации въз основа на преценка от мултидисциплинарния екип отразена стриктно в медицинската документация. </w:t>
      </w:r>
    </w:p>
    <w:p w14:paraId="71EC7FB9" w14:textId="77777777" w:rsidR="00BE0B19" w:rsidRPr="00AE47C6" w:rsidRDefault="00BE0B19" w:rsidP="00BE0B19">
      <w:pPr>
        <w:widowControl w:val="0"/>
        <w:shd w:val="clear" w:color="auto" w:fill="FFFFFF"/>
        <w:autoSpaceDE w:val="0"/>
        <w:autoSpaceDN w:val="0"/>
        <w:adjustRightInd w:val="0"/>
        <w:spacing w:after="0" w:line="360" w:lineRule="auto"/>
        <w:ind w:left="709"/>
        <w:jc w:val="both"/>
        <w:rPr>
          <w:rFonts w:ascii="Times New Roman" w:eastAsia="SimSun" w:hAnsi="Times New Roman"/>
          <w:spacing w:val="2"/>
          <w:sz w:val="24"/>
          <w:szCs w:val="24"/>
        </w:rPr>
      </w:pPr>
    </w:p>
    <w:p w14:paraId="18ECD3CC"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bCs/>
          <w:sz w:val="24"/>
          <w:szCs w:val="24"/>
        </w:rPr>
        <w:t xml:space="preserve">Интравенозна </w:t>
      </w:r>
      <w:r w:rsidRPr="00AE47C6">
        <w:rPr>
          <w:rFonts w:ascii="Times New Roman" w:eastAsia="SimSun" w:hAnsi="Times New Roman"/>
          <w:b/>
          <w:sz w:val="24"/>
          <w:szCs w:val="24"/>
        </w:rPr>
        <w:t>тромболиза</w:t>
      </w:r>
    </w:p>
    <w:p w14:paraId="5085E8B0"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Единственият разрешен от регулаторните органи метод за лечение на исхемичен мозъчен инсулт е интравенозна тромболиза с rtPA (Alteplase) до 4,5 часа от началото на симптомите</w:t>
      </w:r>
      <w:r w:rsidRPr="00AE47C6">
        <w:rPr>
          <w:rFonts w:ascii="Times New Roman" w:eastAsia="SimSun" w:hAnsi="Times New Roman"/>
          <w:sz w:val="24"/>
          <w:szCs w:val="24"/>
        </w:rPr>
        <w:t>.</w:t>
      </w:r>
    </w:p>
    <w:p w14:paraId="3C3C8EE4"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За количествена оценка на исхемичното мозъчно увреждане се използва метода ASPECTS (Alberta Stroke Program Early CT Score). Това е 10-точкова скала за количествена топографска КТ оценка на пациентите. Скалата е създадена за оптимизиране на подбора на пациентите за спешна интравенозна тромболиза и подобряване по този начин на клиничния изход от заболяването. С този метод се постига намаляване разходите по време на хоспитализацията, чрез съкращаване на болничния престой и подобряване на терапевтичния подход. КТ изследването се прави нативно със стандартната за изследване на главен мозък дебелина на среза от 5 mm. ASPECTS разделя територията, кръвоснабдявана от средна мозъчна артерия (СМА) на 10 зони. Седем от тях са на ниво базални ганглии (C – глава на nucleus caudatus, I – insula, IC – вътрешна капсула, L – nucleus lentiformis, М1, М2, М3 – корови зони), 3 от зоните са над нивото на базалните ганглии – корови зони M4, M5 и M6 (фиг. 2).</w:t>
      </w:r>
    </w:p>
    <w:p w14:paraId="7A428A54"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За да се изчисли резултатът от ASPECTS-скалата се определя броя на зоните с видими признаци на ранно исхемично увреждане. Крайният резултат се получава като се изважда от 10 броя на засегнатите зони. Оценяват се всички репрезентативни срезове (на които се виждат базални ганглии и съответно всички срезове над нивото на базалните ганглии) (фиг. 1.3).</w:t>
      </w:r>
    </w:p>
    <w:p w14:paraId="65C1BFFC" w14:textId="77777777" w:rsidR="00BE0B19" w:rsidRPr="00AE47C6" w:rsidRDefault="00BE0B19" w:rsidP="00BE0B19">
      <w:pPr>
        <w:spacing w:after="0" w:line="360" w:lineRule="auto"/>
        <w:ind w:firstLine="720"/>
        <w:jc w:val="both"/>
        <w:rPr>
          <w:rFonts w:ascii="Times New Roman" w:eastAsia="SimSun" w:hAnsi="Times New Roman"/>
          <w:bCs/>
          <w:iCs/>
          <w:spacing w:val="-9"/>
          <w:sz w:val="24"/>
          <w:szCs w:val="24"/>
        </w:rPr>
      </w:pPr>
      <w:r w:rsidRPr="00AE47C6">
        <w:rPr>
          <w:rFonts w:ascii="Times New Roman" w:eastAsia="SimSun" w:hAnsi="Times New Roman"/>
          <w:bCs/>
          <w:sz w:val="24"/>
          <w:szCs w:val="24"/>
        </w:rPr>
        <w:t>Резултат 0 точки показва обширно дифузно исхемично увреждане, резултат 10 точки означава нормален КТ образ. По-ниският резултат може да означава по-проксимална артериална оклузия. Пациентите с резултат &gt;7 точки от ASPECTS имат най-голяма полза от тромболитичното лечение. Пациентите с резултат &lt;5 точки е малко вероятно да получат подобрение от тромболитичното лечение, а рискът</w:t>
      </w:r>
      <w:r w:rsidRPr="00AE47C6">
        <w:rPr>
          <w:rFonts w:ascii="Times New Roman" w:eastAsia="SimSun" w:hAnsi="Times New Roman"/>
          <w:bCs/>
          <w:iCs/>
          <w:spacing w:val="-9"/>
          <w:sz w:val="24"/>
          <w:szCs w:val="24"/>
        </w:rPr>
        <w:t xml:space="preserve"> от хеморагия  след терапевтичната процедура при тях е висок. </w:t>
      </w:r>
    </w:p>
    <w:p w14:paraId="54EF0FF8"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
          <w:spacing w:val="-4"/>
          <w:sz w:val="24"/>
          <w:szCs w:val="24"/>
        </w:rPr>
        <w:t>Интравенозна</w:t>
      </w:r>
      <w:r w:rsidRPr="00AE47C6">
        <w:rPr>
          <w:rFonts w:ascii="Times New Roman" w:eastAsia="SimSun" w:hAnsi="Times New Roman"/>
          <w:b/>
          <w:bCs/>
          <w:iCs/>
          <w:spacing w:val="-9"/>
          <w:sz w:val="24"/>
          <w:szCs w:val="24"/>
        </w:rPr>
        <w:t xml:space="preserve"> тромболиза се прилага:</w:t>
      </w:r>
    </w:p>
    <w:p w14:paraId="72448CBC"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Колкото е възможно по-рано (клас I, ниво А).</w:t>
      </w:r>
    </w:p>
    <w:p w14:paraId="4AD7FADD"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Може да се приложи и в диапазона 4,5 часа след инсулта, но с по-малък ефект (клас I, ниво B).  </w:t>
      </w:r>
    </w:p>
    <w:p w14:paraId="5ABFBFC8"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Времето от врата до игла (от идването на пациента в болницата до поставяне на болуса с rtPA да бъде в рамките на 60 мин. (клас І, ниво А).</w:t>
      </w:r>
    </w:p>
    <w:p w14:paraId="092D5126"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При всички подходящи пациенти, независимо от възможността за последващо интраваскуларно лечение (клас I, ниво А).</w:t>
      </w:r>
    </w:p>
    <w:p w14:paraId="2A8ECB17"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При пациенти под 80 годишна възраст, без диабет, които не са имали предишен инсулт, с оценка по NIHSS под 25, които не приемат ОАС и без невроизобразяващи данни за исхемична увреда, засягаща под 1/3 от територията на средна мозъчна артерия (клас I, ниво B).</w:t>
      </w:r>
    </w:p>
    <w:p w14:paraId="4311F23E" w14:textId="77777777" w:rsidR="00BE0B19" w:rsidRPr="00AE47C6" w:rsidRDefault="00BE0B19" w:rsidP="00BE0B19">
      <w:pPr>
        <w:widowControl w:val="0"/>
        <w:numPr>
          <w:ilvl w:val="0"/>
          <w:numId w:val="115"/>
        </w:numPr>
        <w:shd w:val="clear" w:color="auto" w:fill="FFFFFF"/>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pacing w:val="-9"/>
          <w:sz w:val="24"/>
          <w:szCs w:val="24"/>
        </w:rPr>
        <w:t>При пациенти над 80 годишна възраст и с начало на инсулта преди 3 - 4,5 часа фибринолизата е ефективна, както при по-младите пациенти (клас IIа, ниво В).</w:t>
      </w:r>
    </w:p>
    <w:p w14:paraId="228719E7"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Несигурен е ефекта при пациенти с оценка по NIHSS над 25 (клас IIb, ниво С).</w:t>
      </w:r>
    </w:p>
    <w:p w14:paraId="33F9838B"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При пациенти с леки инсулти трябва да се вземе решение за лечение като се съпостави риска спрямо ползата (клас IIb, ниво B).</w:t>
      </w:r>
    </w:p>
    <w:p w14:paraId="0638300F"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При пациенти с леки, неинвалидизиращи инсулти (NIHSS: 0–5), които изпълняват включващите критерии, не се препоръчва провеждането на интравенозна тромболиза (клас III, ниво B)</w:t>
      </w:r>
    </w:p>
    <w:p w14:paraId="34986AA5"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При пациенти с леки, но инвалидизиращи инсулти, които изпълняват включващите критерии е уместно провеждането на интравенозна тромболиза в рамките на 0 до 3 часа от началото на инсулта  (клас I, ниво B) или в рамките на 3 до 4,5 часа от началото на инсулта (клас IIb, ниво В).</w:t>
      </w:r>
    </w:p>
    <w:p w14:paraId="56400273"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При пациенти със средно тежки и тежки инсулти с бързо възстановяване, но с умерена тежест на симптомите се препоръчва провеждане на интравенозна тромболиза (клас IIa, ниво A). </w:t>
      </w:r>
    </w:p>
    <w:p w14:paraId="70AACCB1"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Не се препоръчва изчакване и наблюдение за евентуално подобрение на пациента и забавяне на лечението (клас III ниво С).</w:t>
      </w:r>
    </w:p>
    <w:p w14:paraId="637B971D"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при базиларна оклузия е приемлива алтернатива, дори след 3 часов интервал (клас III, ниво B). </w:t>
      </w:r>
    </w:p>
    <w:p w14:paraId="17611445"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Интравенозната тромболиза може да е от полза при пациенти с исхемичен инсулт и сърповидноклетъчна анемия (клас IIa, ниво B).</w:t>
      </w:r>
    </w:p>
    <w:p w14:paraId="025361A7" w14:textId="77777777" w:rsidR="00BE0B19" w:rsidRPr="00AE47C6" w:rsidRDefault="00BE0B19" w:rsidP="00BE0B19">
      <w:pPr>
        <w:widowControl w:val="0"/>
        <w:numPr>
          <w:ilvl w:val="0"/>
          <w:numId w:val="115"/>
        </w:numPr>
        <w:tabs>
          <w:tab w:val="left" w:pos="720"/>
        </w:tabs>
        <w:autoSpaceDE w:val="0"/>
        <w:autoSpaceDN w:val="0"/>
        <w:adjustRightInd w:val="0"/>
        <w:spacing w:after="0" w:line="360" w:lineRule="auto"/>
        <w:contextualSpacing/>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Интравенозната тромболиза може да е от полза при пациенти с исхемичен инсулт и хипердензна СМА (клас IIa, ниво B).</w:t>
      </w:r>
    </w:p>
    <w:p w14:paraId="53D5FB30"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Преди започване на лечението задължително се извършва КТ за изключване на ПМК, хеморагичен инфаркт, обширен исхемичен мозъчен инфаркт или мозъчен тумор. </w:t>
      </w:r>
    </w:p>
    <w:p w14:paraId="53125122"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Употребата на мултимодални образни критерии може да е от полза при селекция на пациенти за тромболиза, но не се препоръчва за рутинната практика (клас III, ниво C). </w:t>
      </w:r>
    </w:p>
    <w:p w14:paraId="00BF5707"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При пациенти които изпълняват критериите за лечение с интравенозна тромболиза в интервала до 4,5 часа след инсулта не се препоръчва забавяне на лечението за образно изследване на пенумбрата (клас III, ниво C).</w:t>
      </w:r>
    </w:p>
    <w:p w14:paraId="477A5A92"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Интравенозната фибринолитична терапия се препоръчва за ранно лечение при исхемични промени в КТ (клас I, ниво А), при спазване на терапевтичния прозорец.</w:t>
      </w:r>
    </w:p>
    <w:p w14:paraId="3BF16144"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Наличието на леки до умерени ранни исхемични промени при КТ изследване дефинирани като паренхимна хипоатенуация (намалена плътност на мозъчния паренхим или фокален оток) е показание за провеждане на интравенозна тромболиза (клас I, ниво А). Лечението е противопоказано ако промените обхващат голям регион или са тежко изразени (клас III, ниво А).</w:t>
      </w:r>
    </w:p>
    <w:p w14:paraId="362D44EC"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Рекомбинантния тъканен плазминогенен активатор (recombinant tissue plasminogen activator – rtPA, alteplase (Actilyse) се прилага венозно 0,9 mg/kg тегло, максимум до 90 mg. 10% от дозата се поставят болус, а останалото чрез инфузия за 60 минути. </w:t>
      </w:r>
    </w:p>
    <w:p w14:paraId="01B9D5B3"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bCs/>
          <w:iCs/>
          <w:spacing w:val="-9"/>
          <w:sz w:val="24"/>
          <w:szCs w:val="24"/>
          <w:u w:val="single"/>
        </w:rPr>
      </w:pPr>
      <w:r w:rsidRPr="00AE47C6">
        <w:rPr>
          <w:rFonts w:ascii="Times New Roman" w:eastAsia="SimSun" w:hAnsi="Times New Roman"/>
          <w:bCs/>
          <w:iCs/>
          <w:spacing w:val="-9"/>
          <w:sz w:val="24"/>
          <w:szCs w:val="24"/>
        </w:rPr>
        <w:t xml:space="preserve">Артериалното налягане трябва да се понижи внимателно под 185/110 mmHg преди тромболизата и да бъде стабилно (клас I, ниво B). </w:t>
      </w:r>
    </w:p>
    <w:p w14:paraId="5147DDD6"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bCs/>
          <w:iCs/>
          <w:spacing w:val="-9"/>
          <w:sz w:val="24"/>
          <w:szCs w:val="24"/>
          <w:u w:val="single"/>
        </w:rPr>
      </w:pPr>
      <w:r w:rsidRPr="00AE47C6">
        <w:rPr>
          <w:rFonts w:ascii="Times New Roman" w:eastAsia="SimSun" w:hAnsi="Times New Roman"/>
          <w:bCs/>
          <w:iCs/>
          <w:spacing w:val="-9"/>
          <w:sz w:val="24"/>
          <w:szCs w:val="24"/>
        </w:rPr>
        <w:t>При пациенти, които не са провели интравенозна тромболиза, но са планирани за механична тромбектомия, артериалното налягане трябва да се поддържа ≤185/110 mmHg преди процедурата (клас IIa, ниво B). Лекарят трябва да бъде сигурен, че ще може да поддържа с медикаменти артериалното налягане под 180/105 през първите 24 часа след тромболизата. Използва се медикамента Urapidil i.v.</w:t>
      </w:r>
    </w:p>
    <w:p w14:paraId="4D164238" w14:textId="77777777" w:rsidR="00BE0B19" w:rsidRPr="00AE47C6" w:rsidRDefault="00BE0B19" w:rsidP="00BE0B19">
      <w:pPr>
        <w:widowControl w:val="0"/>
        <w:numPr>
          <w:ilvl w:val="0"/>
          <w:numId w:val="117"/>
        </w:numPr>
        <w:tabs>
          <w:tab w:val="left" w:pos="-360"/>
        </w:tabs>
        <w:autoSpaceDE w:val="0"/>
        <w:autoSpaceDN w:val="0"/>
        <w:adjustRightInd w:val="0"/>
        <w:spacing w:after="0" w:line="360" w:lineRule="auto"/>
        <w:contextualSpacing/>
        <w:jc w:val="both"/>
        <w:rPr>
          <w:rFonts w:ascii="Times New Roman" w:eastAsia="Arial Unicode MS" w:hAnsi="Times New Roman"/>
          <w:sz w:val="24"/>
          <w:szCs w:val="24"/>
          <w:u w:color="000000"/>
        </w:rPr>
      </w:pPr>
      <w:r w:rsidRPr="00AE47C6">
        <w:rPr>
          <w:rFonts w:ascii="Times New Roman" w:eastAsia="SimSun" w:hAnsi="Times New Roman"/>
          <w:sz w:val="24"/>
          <w:szCs w:val="24"/>
        </w:rPr>
        <w:t xml:space="preserve">Артериалното налягане следва да се мониторира на всеки 15 min до 2 час от началото на тромболизата, след това на всеки 30 min до 6 час и след това – на всеки час до 24 часа </w:t>
      </w:r>
      <w:r w:rsidRPr="00AE47C6">
        <w:rPr>
          <w:rFonts w:ascii="Times New Roman" w:eastAsia="Arial Unicode MS" w:hAnsi="Times New Roman"/>
          <w:sz w:val="24"/>
          <w:szCs w:val="24"/>
          <w:u w:color="000000"/>
        </w:rPr>
        <w:t>(клас IIb, ниво С).</w:t>
      </w:r>
    </w:p>
    <w:p w14:paraId="69F74944" w14:textId="77777777" w:rsidR="00BE0B19" w:rsidRPr="00AE47C6" w:rsidRDefault="00BE0B19" w:rsidP="00BE0B19">
      <w:pPr>
        <w:widowControl w:val="0"/>
        <w:numPr>
          <w:ilvl w:val="0"/>
          <w:numId w:val="117"/>
        </w:numPr>
        <w:tabs>
          <w:tab w:val="left" w:pos="-360"/>
        </w:tabs>
        <w:autoSpaceDE w:val="0"/>
        <w:autoSpaceDN w:val="0"/>
        <w:adjustRightInd w:val="0"/>
        <w:spacing w:after="0" w:line="360" w:lineRule="auto"/>
        <w:contextualSpacing/>
        <w:jc w:val="both"/>
        <w:rPr>
          <w:rFonts w:ascii="Times New Roman" w:eastAsia="Arial Unicode MS" w:hAnsi="Times New Roman"/>
          <w:sz w:val="24"/>
          <w:szCs w:val="24"/>
          <w:u w:color="000000"/>
        </w:rPr>
      </w:pPr>
      <w:r w:rsidRPr="00AE47C6">
        <w:rPr>
          <w:rFonts w:ascii="Times New Roman" w:eastAsia="SimSun" w:hAnsi="Times New Roman"/>
          <w:sz w:val="24"/>
          <w:szCs w:val="24"/>
        </w:rPr>
        <w:t xml:space="preserve">Ако артериалното налягане не може да бъде овладяно или диастолното артериално налягане персистира &gt;140 mmHg, може да се приложи nitroprusside натрий интравенозно </w:t>
      </w:r>
      <w:r w:rsidRPr="00AE47C6">
        <w:rPr>
          <w:rFonts w:ascii="Times New Roman" w:eastAsia="Arial Unicode MS" w:hAnsi="Times New Roman"/>
          <w:sz w:val="24"/>
          <w:szCs w:val="24"/>
          <w:u w:color="000000"/>
        </w:rPr>
        <w:t>(клас IIb, ниво С).</w:t>
      </w:r>
    </w:p>
    <w:p w14:paraId="4EC29742"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Тромболитичната терапия може да се започне при липсващи анамнестични данни за нарушения в кръвосъсирващата система или провеждана антикоагулантна терапия преди да са получени резултатите от лабораторните изследвания. При получаване на същите, ако са установени релативни отклонения от нормата в процеса на провежданата инфузия същата трябва да се преустанови.</w:t>
      </w:r>
    </w:p>
    <w:p w14:paraId="1A31ABDA"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При пациенти, подлежащи на фибринолитична терапия, лекуващия екип трябва да има готовност за справяне с потенциалните странични ефекти като кървене и ангиоедем, който може да причини парциална обструкция на въздухоносните пътища (клас I, ниво B).</w:t>
      </w:r>
    </w:p>
    <w:p w14:paraId="7E9A7ABF"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Ако пациентът развие тежко главоболие, остра хипертензия, гадене или повръщане или се наблюдава влошаване в неврологичния статус, трябва да се прекъсне инфузията и да се проведе КТ на глава по спешност. </w:t>
      </w:r>
    </w:p>
    <w:p w14:paraId="0763E634"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Поставянето на назо-гастрална сонда и уретрален катетър се отлагат, ако пациентът може безопасно да бъде обгрижван и без тях.</w:t>
      </w:r>
    </w:p>
    <w:p w14:paraId="1E831343"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Необходимо е провеждането на контролен КТ или МРИ на глава 24 часа след интравенозната тромболиза, преди включването на антикоагуланти или на антитромботични медикаменти. </w:t>
      </w:r>
    </w:p>
    <w:p w14:paraId="2586B7ED"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b/>
          <w:bCs/>
          <w:iCs/>
          <w:spacing w:val="-9"/>
          <w:sz w:val="24"/>
          <w:szCs w:val="24"/>
        </w:rPr>
      </w:pPr>
      <w:r w:rsidRPr="00AE47C6">
        <w:rPr>
          <w:rFonts w:ascii="Times New Roman" w:eastAsia="SimSun" w:hAnsi="Times New Roman"/>
          <w:b/>
          <w:bCs/>
          <w:iCs/>
          <w:spacing w:val="-9"/>
          <w:sz w:val="24"/>
          <w:szCs w:val="24"/>
        </w:rPr>
        <w:t xml:space="preserve">Интравенозна тромболиза би могла да се приложи при някои пациенти след допълнителна оценка на риска, независимо, че в момента тенденциите са за ендоваскуларно лечение: </w:t>
      </w:r>
    </w:p>
    <w:p w14:paraId="3C4AB69F"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 неизвестен час на получаване на инсулта (събудили се с инсулт) или повече от 4,5 часа след началото на инсулта, когато DWI –MRI лезията е по-малка от една трета от СМА и FLAIR не показва промяна на сигнала (клас II, ниво А)(AHA-ASA).</w:t>
      </w:r>
    </w:p>
    <w:p w14:paraId="194CBC18"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под 18 и над 80 години (клас I, ниво А). </w:t>
      </w:r>
    </w:p>
    <w:p w14:paraId="2FD89F64"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с прекаран мозъчен инсулт и диабет (клас IIb, ниво B).</w:t>
      </w:r>
    </w:p>
    <w:p w14:paraId="24677B6C"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с много тежки инсулти, независимо от риска за хеморагична трансформация (клас I, ниво А).</w:t>
      </w:r>
    </w:p>
    <w:p w14:paraId="30F6ABA3"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при бременни жени със средно тежък и тежък инсулт, ако предполагаемата полза надвишава риска от маточно кървене  (клас IIb, ниво С). Необходима е спешна консултация с гинеколог (клас IIb, ниво С).</w:t>
      </w:r>
    </w:p>
    <w:p w14:paraId="0223580C"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в ранния постпартален период (до 14 дни след раждането), но няма достатъчно проучвания (клас IIb, ниво С). </w:t>
      </w:r>
    </w:p>
    <w:p w14:paraId="20F570F2"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претърпели хирургична операция през предшестващите 14 дни, ако предполагаемата полза надвишава риска от потенциално кървене в мястото на оперативната интервенция (клас IIb, ниво С).</w:t>
      </w:r>
    </w:p>
    <w:p w14:paraId="02FAAA52"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претърпели тежка травма през предшестващите 14 дни, ако предполагаемата полза надвишава риска от потенциално кървене в мястото на травмата (клас IIb, ниво С).</w:t>
      </w:r>
    </w:p>
    <w:p w14:paraId="6564AAF5"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получили едновременно остър инсулт и миокарден инфаркт, като след alteplase в стандартни дози се прилага перкутанна коронарна ангиопластика и стентиране, ако е показано (клас IIb, ниво С).</w:t>
      </w:r>
    </w:p>
    <w:p w14:paraId="61FF686C"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получили миокарден инфаркт през последните 3 месеца, ако инфаркта е не-STEMI (без ST елевация) или STEMI засягащ десния или долен миокард (клас IIa, ниво С) или левия преден миокард (клас IIb, ниво С).</w:t>
      </w:r>
    </w:p>
    <w:p w14:paraId="1E55EBE6"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 тежък исхемичен инсулт и вероятност от развитие на тежка инвалидност и остър перикардит (клас IIb, ниво С). Необходима е спешна консултация с кардиолог.</w:t>
      </w:r>
    </w:p>
    <w:p w14:paraId="6147A946"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 тежък исхемичен инсулт и вероятност от развитие на тежка инвалидност и известна лява предсърдна или камерна тромбоза (клас IIb, ниво С). При пациенти с по-лек инсулт съотношението на ползата спрямо риска не е ясно (клас IIb, ниво С).</w:t>
      </w:r>
    </w:p>
    <w:p w14:paraId="1535D0A7"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 мозъчен инсулт вероятно предизвикан от дисекация на екстракраниална цервикална артерия до 4,5 часа след инсулта (клас IIa, ниво С).</w:t>
      </w:r>
    </w:p>
    <w:p w14:paraId="4C925190"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 тежък исхемичен инсулт и вероятност от развитие на тежка инвалидност и сърдечна миксома или папиларна фиброеластома (клас IIb, ниво С).</w:t>
      </w:r>
    </w:p>
    <w:p w14:paraId="244FD250"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 анамнеза за гастроинтестинално или генитоуретрално кървене в миналото (клас IIb, ниво С).</w:t>
      </w:r>
    </w:p>
    <w:p w14:paraId="2544081A"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 неруптурирали интракраниални аневризми с размер под 10 mm (клас IIa, ниво С). При пациенти с по-големи аневризми няма достатъчно проучвания.</w:t>
      </w:r>
    </w:p>
    <w:p w14:paraId="3DF79A66"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 неруптурирали интракраниални съдови малформации и тежък мозъчен инсулт, при които ползата надвишава риска от интрацеребрален кръвоизлив (клас IIb, ниво С).</w:t>
      </w:r>
    </w:p>
    <w:p w14:paraId="5EEB036F"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 екстрааксиални интракраниални неоплазми  (клас IIa, ниво С).</w:t>
      </w:r>
    </w:p>
    <w:p w14:paraId="78EFA4FE"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в краен стадии на бъбречна недостатъчност при нормално aPTT (клас I, ниво С).</w:t>
      </w:r>
    </w:p>
    <w:p w14:paraId="1C99A527"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с деменция </w:t>
      </w:r>
      <w:r w:rsidRPr="00AE47C6">
        <w:rPr>
          <w:rFonts w:ascii="Times New Roman" w:eastAsia="SimSun" w:hAnsi="Times New Roman"/>
          <w:bCs/>
          <w:iCs/>
          <w:spacing w:val="-9"/>
          <w:sz w:val="24"/>
          <w:szCs w:val="24"/>
        </w:rPr>
        <w:t>(клас IIb, ниво В).</w:t>
      </w:r>
    </w:p>
    <w:p w14:paraId="4D618CD4"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с малигнено заболяване и очаквана преживяемост над 6 месеца, ако няма противопоказания, свързани с коагулационни нарушения, скорошна хирургична интервенция или системно кървене </w:t>
      </w:r>
      <w:r w:rsidRPr="00AE47C6">
        <w:rPr>
          <w:rFonts w:ascii="Times New Roman" w:eastAsia="SimSun" w:hAnsi="Times New Roman"/>
          <w:bCs/>
          <w:iCs/>
          <w:spacing w:val="-9"/>
          <w:sz w:val="24"/>
          <w:szCs w:val="24"/>
        </w:rPr>
        <w:t>(клас IIb, ниво С).</w:t>
      </w:r>
    </w:p>
    <w:p w14:paraId="32647BAE"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 ниво на кръвна захар &lt;2,8 mmol/L или &gt;22,2 mmol/L, след като се нормализират (клас IIb; ниво C).</w:t>
      </w:r>
    </w:p>
    <w:p w14:paraId="53E993CF"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 епилептични припадъци при получаването на инсулта, ако резидуалните симптоми настъпват вследствие на инсулта, а  не са постиктален феномен (клас IIa, ниво С).</w:t>
      </w:r>
    </w:p>
    <w:p w14:paraId="42D83E9F"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с данни за хеморагична диабетна ретинопатия или други хеморагични офталмологични заболявания, като се прецени риска от загуба на зрението (клас IIa, ниво В).  </w:t>
      </w:r>
    </w:p>
    <w:p w14:paraId="7CE72C1B"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менструален цикъл, които нямат анамнеза за менорагия, независимо от факта, че менструалното течение може да се засили (клас IIa, ниво С).</w:t>
      </w:r>
    </w:p>
    <w:p w14:paraId="4B93F98D"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менорагия, без клинично значима анемия или хипотония (клас IIb, ниво С). При пациентки с клинично значима анемия, тромболизата може да се проведе след консултация с гинеколог (клас IIa, ниво С).</w:t>
      </w:r>
    </w:p>
    <w:p w14:paraId="06D965E0"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менструален цикъл или активно вагинално кървене лекувани с интравенозна тромболиза, вагиналното кървене трябва да се наблюдава през следващите 24 часа (клас I, ниво С).</w:t>
      </w:r>
    </w:p>
    <w:p w14:paraId="5D25F912"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на които е направена лумбална пункция през предходните 7 дни (клас IIb, ниво С).</w:t>
      </w:r>
    </w:p>
    <w:p w14:paraId="14D1184F"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мозъчен инсулт настъпил като усложнение на сърдечни или мозъчни ангиографски процедури (клас IIa, ниво А).</w:t>
      </w:r>
    </w:p>
    <w:p w14:paraId="349E5056"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мозъчен инсулт настъпил като усложнение на прием на субстанции, като кокаин (клас IIa, ниво С).</w:t>
      </w:r>
    </w:p>
    <w:p w14:paraId="387CD194"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приемали антиагрегантна монотерапия преди инсулта (клас I, ниво А).</w:t>
      </w:r>
    </w:p>
    <w:p w14:paraId="2780E88B"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приемали комбинирана антиагрегантна комбинирана терапия (ASA и clopidogrel) преди инсулта (клас I, ниво В).</w:t>
      </w:r>
    </w:p>
    <w:p w14:paraId="1765E4CE"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 анамнеза за кървене и коагулопатия при преценка на риска (клас IIb, ниво С).</w:t>
      </w:r>
    </w:p>
    <w:p w14:paraId="3B07712D"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лекувани с warfarin (sintrom) и INR &lt;1,7 </w:t>
      </w:r>
      <w:r w:rsidRPr="00AE47C6">
        <w:rPr>
          <w:rFonts w:ascii="Times New Roman" w:eastAsia="SimSun" w:hAnsi="Times New Roman"/>
          <w:kern w:val="24"/>
          <w:sz w:val="24"/>
          <w:szCs w:val="24"/>
        </w:rPr>
        <w:t xml:space="preserve">и РТ&lt;15 sec </w:t>
      </w:r>
      <w:r w:rsidRPr="00AE47C6">
        <w:rPr>
          <w:rFonts w:ascii="Times New Roman" w:eastAsia="SimSun" w:hAnsi="Times New Roman"/>
          <w:sz w:val="24"/>
          <w:szCs w:val="24"/>
        </w:rPr>
        <w:t>(клас IIb, ниво В).</w:t>
      </w:r>
    </w:p>
    <w:p w14:paraId="278DA9FC"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iCs/>
          <w:spacing w:val="-9"/>
          <w:sz w:val="24"/>
          <w:szCs w:val="24"/>
        </w:rPr>
        <w:t>Интравенозна</w:t>
      </w:r>
      <w:r w:rsidRPr="00AE47C6">
        <w:rPr>
          <w:rFonts w:ascii="Times New Roman" w:eastAsia="SimSun" w:hAnsi="Times New Roman"/>
          <w:b/>
          <w:sz w:val="24"/>
          <w:szCs w:val="24"/>
        </w:rPr>
        <w:t xml:space="preserve"> тромболиза не се прилага при пациенти с</w:t>
      </w:r>
      <w:r w:rsidRPr="00AE47C6">
        <w:rPr>
          <w:rFonts w:ascii="Times New Roman" w:eastAsia="SimSun" w:hAnsi="Times New Roman"/>
          <w:sz w:val="24"/>
          <w:szCs w:val="24"/>
        </w:rPr>
        <w:t xml:space="preserve">: </w:t>
      </w:r>
    </w:p>
    <w:p w14:paraId="00BEEBD6"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bCs/>
          <w:iCs/>
          <w:spacing w:val="-9"/>
          <w:sz w:val="24"/>
          <w:szCs w:val="24"/>
        </w:rPr>
        <w:t xml:space="preserve">КТ данни за остър </w:t>
      </w:r>
      <w:r w:rsidRPr="00AE47C6">
        <w:rPr>
          <w:rFonts w:ascii="Times New Roman" w:eastAsia="SimSun" w:hAnsi="Times New Roman"/>
          <w:spacing w:val="-4"/>
          <w:sz w:val="24"/>
          <w:szCs w:val="24"/>
        </w:rPr>
        <w:t>интракраниален</w:t>
      </w:r>
      <w:r w:rsidRPr="00AE47C6">
        <w:rPr>
          <w:rFonts w:ascii="Times New Roman" w:eastAsia="SimSun" w:hAnsi="Times New Roman"/>
          <w:bCs/>
          <w:iCs/>
          <w:spacing w:val="-9"/>
          <w:sz w:val="24"/>
          <w:szCs w:val="24"/>
        </w:rPr>
        <w:t xml:space="preserve"> кръвоизлив (клас III, ниво C).</w:t>
      </w:r>
    </w:p>
    <w:p w14:paraId="376A2891"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симптоми, предполагащи субарахноиден кръвоизлив (клас III, ниво С).</w:t>
      </w:r>
    </w:p>
    <w:p w14:paraId="7EA30283"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тромбоцити под 100х10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/L, INR&gt;1,7, aPTT&gt;40 sec или PT&gt;15 sec (клас III, ниво С). Изследването на тромбоцити и коагулационен профил се извършва само при подозрение за аномалии, защото риска от такива нарушения е малък и изчакването на резултатите забавя спешната тромболиза (клас IIa, ниво B).</w:t>
      </w:r>
    </w:p>
    <w:p w14:paraId="4EA45DF7"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лекувани с acenocoumarol и INR &gt;1,7 (клас IIb, ниво В).</w:t>
      </w:r>
    </w:p>
    <w:p w14:paraId="12B5A8AC"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които през предходните 24 часа са били на лечение с ниско молекулни хепарини (клас III, ниво В).</w:t>
      </w:r>
    </w:p>
    <w:p w14:paraId="5E147D17"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през предходните 48 часа са били на лечение с директни тромбинови инхибитори или директни инхибитори на фактор Ха (клас III, ниво С). Изключение може да се направи ако aPTT, INR, тромбоцитите, тромбиновото време и активността на директния фактор Ха са в границите на нормата и/или пациента не е получавал тези медикаменти повече от 48 часа. </w:t>
      </w:r>
    </w:p>
    <w:p w14:paraId="530FB472" w14:textId="77777777" w:rsidR="00BE0B19" w:rsidRPr="00AE47C6" w:rsidRDefault="00BE0B19" w:rsidP="00BE0B19">
      <w:pPr>
        <w:widowControl w:val="0"/>
        <w:numPr>
          <w:ilvl w:val="0"/>
          <w:numId w:val="115"/>
        </w:numPr>
        <w:tabs>
          <w:tab w:val="left" w:pos="720"/>
        </w:tabs>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претърпели остра травма на главата (клас III, ниво С).</w:t>
      </w:r>
    </w:p>
    <w:p w14:paraId="1C8A5222"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претърпели тежка травма на главата през предшестващите 3 месеца (клас III, ниво С).</w:t>
      </w:r>
    </w:p>
    <w:p w14:paraId="017D983B"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посттравматичен мозъчен инфаркт в острата фаза (клас III, ниво С).</w:t>
      </w:r>
    </w:p>
    <w:p w14:paraId="4A45B38C" w14:textId="77777777" w:rsidR="00BE0B19" w:rsidRPr="00AE47C6" w:rsidRDefault="00BE0B19" w:rsidP="00BE0B19">
      <w:pPr>
        <w:widowControl w:val="0"/>
        <w:numPr>
          <w:ilvl w:val="0"/>
          <w:numId w:val="115"/>
        </w:numPr>
        <w:shd w:val="clear" w:color="auto" w:fill="FFFFFF"/>
        <w:tabs>
          <w:tab w:val="left" w:pos="269"/>
          <w:tab w:val="left" w:pos="7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мозъчна или гръбначномозъчна хирургична интервенция  през последните 3 месеца (клас III, ниво С).</w:t>
      </w:r>
    </w:p>
    <w:p w14:paraId="6F05F0D4"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симптоми на инфекциозен ендокардит, поради повишен риск от интракраниален кръвоизлив </w:t>
      </w:r>
      <w:r w:rsidRPr="00AE47C6">
        <w:rPr>
          <w:rFonts w:ascii="Times New Roman" w:eastAsia="SimSun" w:hAnsi="Times New Roman"/>
          <w:bCs/>
          <w:iCs/>
          <w:spacing w:val="-9"/>
          <w:sz w:val="24"/>
          <w:szCs w:val="24"/>
        </w:rPr>
        <w:t>(клас III, ниво С).</w:t>
      </w:r>
    </w:p>
    <w:p w14:paraId="51F4DAB1"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прекарали исхемичен мозъчен инсулт през предходните 3 месеца </w:t>
      </w:r>
      <w:r w:rsidRPr="00AE47C6">
        <w:rPr>
          <w:rFonts w:ascii="Times New Roman" w:eastAsia="SimSun" w:hAnsi="Times New Roman"/>
          <w:bCs/>
          <w:iCs/>
          <w:spacing w:val="-9"/>
          <w:sz w:val="24"/>
          <w:szCs w:val="24"/>
        </w:rPr>
        <w:t>(клас III, ниво В). Въпреки риска от мозъчен кръвоизлив може да се обсъжда ползата спрямо риска при определени пациенти (клас I, ниво С).</w:t>
      </w:r>
    </w:p>
    <w:p w14:paraId="3976A4DF"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гастроинтестинален малигнен процес или кървене през предходните 21 дни </w:t>
      </w:r>
      <w:r w:rsidRPr="00AE47C6">
        <w:rPr>
          <w:rFonts w:ascii="Times New Roman" w:eastAsia="SimSun" w:hAnsi="Times New Roman"/>
          <w:bCs/>
          <w:iCs/>
          <w:spacing w:val="-9"/>
          <w:sz w:val="24"/>
          <w:szCs w:val="24"/>
        </w:rPr>
        <w:t>(клас III, ниво С).</w:t>
      </w:r>
    </w:p>
    <w:p w14:paraId="179FE06C"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артериална пункция през предходните 7 дни на кръвоносен съд, който не може да се компресира </w:t>
      </w:r>
      <w:r w:rsidRPr="00AE47C6">
        <w:rPr>
          <w:rFonts w:ascii="Times New Roman" w:eastAsia="SimSun" w:hAnsi="Times New Roman"/>
          <w:bCs/>
          <w:iCs/>
          <w:spacing w:val="-9"/>
          <w:sz w:val="24"/>
          <w:szCs w:val="24"/>
        </w:rPr>
        <w:t>(клас IIb, ниво С).</w:t>
      </w:r>
    </w:p>
    <w:p w14:paraId="6B7147CE"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анамнеза за интракраниален кръвоизлив </w:t>
      </w:r>
      <w:r w:rsidRPr="00AE47C6">
        <w:rPr>
          <w:rFonts w:ascii="Times New Roman" w:eastAsia="SimSun" w:hAnsi="Times New Roman"/>
          <w:bCs/>
          <w:iCs/>
          <w:spacing w:val="-9"/>
          <w:sz w:val="24"/>
          <w:szCs w:val="24"/>
        </w:rPr>
        <w:t>(клас III, ниво С).</w:t>
      </w:r>
    </w:p>
    <w:p w14:paraId="73DC88FE"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интрааксиални интракраниални неоплазми  (клас III, ниво С).</w:t>
      </w:r>
    </w:p>
    <w:p w14:paraId="6E806C7C"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мозъчен инсулт, който вероятно е свързан с дисекация на аортната дъга (клас III, ниво С).</w:t>
      </w:r>
    </w:p>
    <w:p w14:paraId="4FCEC6C2"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инсулт свързан с дисекация на интракраниална артерия </w:t>
      </w:r>
      <w:r w:rsidRPr="00AE47C6">
        <w:rPr>
          <w:rFonts w:ascii="Times New Roman" w:eastAsia="SimSun" w:hAnsi="Times New Roman"/>
          <w:bCs/>
          <w:iCs/>
          <w:spacing w:val="-9"/>
          <w:sz w:val="24"/>
          <w:szCs w:val="24"/>
        </w:rPr>
        <w:t>(клас IIb, ниво С).</w:t>
      </w:r>
    </w:p>
    <w:p w14:paraId="4AABE81A"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bCs/>
          <w:iCs/>
          <w:spacing w:val="-9"/>
          <w:sz w:val="24"/>
          <w:szCs w:val="24"/>
        </w:rPr>
        <w:t>при пациенти с леки, неинвалидизиращи инсулти (NIHSS: 0–5) от 0 до 3 час (клас III, ниво B) и от 3 до 4,5 час (клас III, ниво С).</w:t>
      </w:r>
    </w:p>
    <w:p w14:paraId="3FF40F4D"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след </w:t>
      </w:r>
      <w:r w:rsidRPr="00AE47C6">
        <w:rPr>
          <w:rFonts w:ascii="Times New Roman" w:eastAsia="SimSun" w:hAnsi="Times New Roman"/>
          <w:b/>
          <w:bCs/>
          <w:iCs/>
          <w:spacing w:val="-9"/>
          <w:sz w:val="24"/>
          <w:szCs w:val="24"/>
        </w:rPr>
        <w:t>интравенозна</w:t>
      </w:r>
      <w:r w:rsidRPr="00AE47C6">
        <w:rPr>
          <w:rFonts w:ascii="Times New Roman" w:eastAsia="SimSun" w:hAnsi="Times New Roman"/>
          <w:b/>
          <w:sz w:val="24"/>
          <w:szCs w:val="24"/>
        </w:rPr>
        <w:t xml:space="preserve"> тромболиза не се прилагат: </w:t>
      </w:r>
    </w:p>
    <w:p w14:paraId="10FBDF5B"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Артериалното налягане трябва да се поддържа под 180/105 mm Hg поне през първите 24 часа след провеждането на интравенозна тромболиза (клас I, ниво B).</w:t>
      </w:r>
    </w:p>
    <w:p w14:paraId="29B46C7E"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b/>
          <w:bCs/>
          <w:sz w:val="24"/>
          <w:szCs w:val="24"/>
        </w:rPr>
        <w:t>Ендоваскуларно лечение</w:t>
      </w:r>
    </w:p>
    <w:p w14:paraId="09B2EDBA"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Включва комбинирано или поотделно прилагане на интраартериална тромболиза и механична тромбектомия.</w:t>
      </w:r>
    </w:p>
    <w:p w14:paraId="3056A4C7" w14:textId="77777777" w:rsidR="00BE0B19" w:rsidRPr="00AE47C6" w:rsidRDefault="00BE0B19" w:rsidP="00BE0B19">
      <w:pPr>
        <w:spacing w:after="0" w:line="360" w:lineRule="auto"/>
        <w:ind w:firstLine="720"/>
        <w:jc w:val="both"/>
        <w:rPr>
          <w:rFonts w:ascii="Times New Roman" w:eastAsia="SimSun" w:hAnsi="Times New Roman"/>
          <w:bCs/>
          <w:sz w:val="24"/>
          <w:szCs w:val="24"/>
        </w:rPr>
      </w:pPr>
    </w:p>
    <w:p w14:paraId="06FC4694"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b/>
          <w:bCs/>
          <w:sz w:val="24"/>
          <w:szCs w:val="24"/>
        </w:rPr>
        <w:t>Интраартериална тромболиза</w:t>
      </w:r>
    </w:p>
    <w:p w14:paraId="172C5EE7"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Тя е логически по-приемлива – работи се на мястото на запушването, избягват се системни усложнения, ефектът е в повечето случаи видимо бърз.</w:t>
      </w:r>
      <w:r w:rsidRPr="00AE47C6">
        <w:rPr>
          <w:rFonts w:ascii="Times New Roman" w:eastAsia="SimSun" w:hAnsi="Times New Roman"/>
          <w:sz w:val="24"/>
          <w:szCs w:val="24"/>
        </w:rPr>
        <w:t xml:space="preserve"> Въпреки това </w:t>
      </w:r>
      <w:r w:rsidRPr="00AE47C6">
        <w:rPr>
          <w:rFonts w:ascii="Times New Roman" w:eastAsia="SimSun" w:hAnsi="Times New Roman"/>
          <w:bCs/>
          <w:sz w:val="24"/>
          <w:szCs w:val="24"/>
        </w:rPr>
        <w:t>не се препоръчва при последните рандомизирани проучвания, защото шанса от кръвоизлив в ипсилатералната хемисфера надхвърля шанса от „разграждане“ на формираният вече тромб.</w:t>
      </w:r>
    </w:p>
    <w:p w14:paraId="1C41942B"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При </w:t>
      </w:r>
      <w:r w:rsidRPr="00AE47C6">
        <w:rPr>
          <w:rFonts w:ascii="Times New Roman" w:eastAsia="SimSun" w:hAnsi="Times New Roman"/>
          <w:bCs/>
          <w:iCs/>
          <w:spacing w:val="-9"/>
          <w:sz w:val="24"/>
          <w:szCs w:val="24"/>
        </w:rPr>
        <w:t>необходимост</w:t>
      </w:r>
      <w:r w:rsidRPr="00AE47C6">
        <w:rPr>
          <w:rFonts w:ascii="Times New Roman" w:eastAsia="SimSun" w:hAnsi="Times New Roman"/>
          <w:sz w:val="24"/>
          <w:szCs w:val="24"/>
        </w:rPr>
        <w:t xml:space="preserve"> от интервенционално лечение болният бързо се превежда в специализирано отделение на болница с такива възможности (клас І, ниво А). При необходимост се използва въздушен транспорт.</w:t>
      </w:r>
    </w:p>
    <w:p w14:paraId="1ADDFDB4"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Cs/>
          <w:iCs/>
          <w:spacing w:val="-9"/>
          <w:sz w:val="24"/>
          <w:szCs w:val="24"/>
        </w:rPr>
        <w:t>Осъществява</w:t>
      </w:r>
      <w:r w:rsidRPr="00AE47C6">
        <w:rPr>
          <w:rFonts w:ascii="Times New Roman" w:eastAsia="SimSun" w:hAnsi="Times New Roman"/>
          <w:sz w:val="24"/>
          <w:szCs w:val="24"/>
        </w:rPr>
        <w:t xml:space="preserve"> се само в специализиран център за лечение на остри нарушения на мозъчното кръвообръщение (ОНМК) с възможност за незабавна мозъчна ангиография, осъществена от квалифициран и лицензиран невроинтервенционалист (лекар с една от следните специалности: нервни болести, неврохирургия и интервенционална рентгенология, който има защитен сертификат. Изискване към здравното заведение, в което се намира специализираният център, е да има определени критерии за апаратурата и специалисти, на които е разрешено да извършват ИАТ </w:t>
      </w:r>
      <w:r w:rsidRPr="00AE47C6">
        <w:rPr>
          <w:rFonts w:ascii="Times New Roman" w:eastAsia="SimSun" w:hAnsi="Times New Roman"/>
          <w:bCs/>
          <w:iCs/>
          <w:spacing w:val="-9"/>
          <w:sz w:val="24"/>
          <w:szCs w:val="24"/>
        </w:rPr>
        <w:t xml:space="preserve">(клас I, </w:t>
      </w:r>
      <w:r w:rsidRPr="00AE47C6">
        <w:rPr>
          <w:rFonts w:ascii="Times New Roman" w:eastAsia="SimSun" w:hAnsi="Times New Roman"/>
          <w:sz w:val="24"/>
          <w:szCs w:val="24"/>
        </w:rPr>
        <w:t>ниво С).</w:t>
      </w:r>
    </w:p>
    <w:p w14:paraId="515AB230" w14:textId="77777777" w:rsidR="00BE0B19" w:rsidRPr="00AE47C6" w:rsidRDefault="00BE0B19" w:rsidP="00BE0B19">
      <w:pPr>
        <w:widowControl w:val="0"/>
        <w:shd w:val="clear" w:color="auto" w:fill="FFFFFF"/>
        <w:tabs>
          <w:tab w:val="left" w:pos="240"/>
        </w:tabs>
        <w:autoSpaceDE w:val="0"/>
        <w:autoSpaceDN w:val="0"/>
        <w:adjustRightInd w:val="0"/>
        <w:spacing w:after="0" w:line="360" w:lineRule="auto"/>
        <w:ind w:left="360"/>
        <w:jc w:val="both"/>
        <w:rPr>
          <w:rFonts w:ascii="Times New Roman" w:eastAsia="SimSun" w:hAnsi="Times New Roman"/>
          <w:sz w:val="24"/>
          <w:szCs w:val="24"/>
        </w:rPr>
      </w:pPr>
    </w:p>
    <w:p w14:paraId="1F72C670" w14:textId="77777777" w:rsidR="00BE0B19" w:rsidRPr="00AE47C6" w:rsidRDefault="00BE0B19" w:rsidP="00BE0B19">
      <w:pPr>
        <w:widowControl w:val="0"/>
        <w:shd w:val="clear" w:color="auto" w:fill="FFFFFF"/>
        <w:tabs>
          <w:tab w:val="left" w:pos="240"/>
        </w:tabs>
        <w:autoSpaceDE w:val="0"/>
        <w:autoSpaceDN w:val="0"/>
        <w:adjustRightInd w:val="0"/>
        <w:spacing w:after="0" w:line="360" w:lineRule="auto"/>
        <w:ind w:left="360"/>
        <w:jc w:val="both"/>
        <w:rPr>
          <w:rFonts w:ascii="Times New Roman" w:eastAsia="SimSun" w:hAnsi="Times New Roman"/>
          <w:sz w:val="24"/>
          <w:szCs w:val="24"/>
        </w:rPr>
      </w:pPr>
    </w:p>
    <w:p w14:paraId="113378DA" w14:textId="77777777" w:rsidR="00BE0B19" w:rsidRPr="00AE47C6" w:rsidRDefault="00BE0B19" w:rsidP="00BE0B19">
      <w:pPr>
        <w:widowControl w:val="0"/>
        <w:shd w:val="clear" w:color="auto" w:fill="FFFFFF"/>
        <w:tabs>
          <w:tab w:val="left" w:pos="240"/>
        </w:tabs>
        <w:autoSpaceDE w:val="0"/>
        <w:autoSpaceDN w:val="0"/>
        <w:adjustRightInd w:val="0"/>
        <w:spacing w:after="0" w:line="360" w:lineRule="auto"/>
        <w:ind w:left="360"/>
        <w:jc w:val="both"/>
        <w:rPr>
          <w:rFonts w:ascii="Times New Roman" w:eastAsia="SimSun" w:hAnsi="Times New Roman"/>
          <w:b/>
          <w:sz w:val="24"/>
          <w:szCs w:val="24"/>
        </w:rPr>
      </w:pPr>
      <w:r w:rsidRPr="00AE47C6">
        <w:rPr>
          <w:rFonts w:ascii="Times New Roman" w:eastAsia="SimSun" w:hAnsi="Times New Roman"/>
          <w:b/>
          <w:sz w:val="24"/>
          <w:szCs w:val="24"/>
        </w:rPr>
        <w:t xml:space="preserve">Интраартериалната тромболиза: </w:t>
      </w:r>
    </w:p>
    <w:p w14:paraId="7EB00594"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се прилага само при подбрани пациенти с големи исхемични </w:t>
      </w:r>
      <w:r w:rsidRPr="00AE47C6">
        <w:rPr>
          <w:rFonts w:ascii="Times New Roman" w:eastAsia="SimSun" w:hAnsi="Times New Roman"/>
          <w:bCs/>
          <w:iCs/>
          <w:spacing w:val="-9"/>
          <w:sz w:val="24"/>
          <w:szCs w:val="24"/>
        </w:rPr>
        <w:t>инсулти</w:t>
      </w:r>
      <w:r w:rsidRPr="00AE47C6">
        <w:rPr>
          <w:rFonts w:ascii="Times New Roman" w:eastAsia="SimSun" w:hAnsi="Times New Roman"/>
          <w:sz w:val="24"/>
          <w:szCs w:val="24"/>
        </w:rPr>
        <w:t xml:space="preserve"> с давност под 6 часа, предизвикани от оклузия на средната мозъчна артерия (клас I, ниво B-R).</w:t>
      </w:r>
    </w:p>
    <w:p w14:paraId="41D2FC6C"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алтернатива е при пациенти, които имат противопоказания за прилагане на интравенозна тромболиза, като скорошна оперативна интервенция (клас IIb, ниво C).</w:t>
      </w:r>
    </w:p>
    <w:p w14:paraId="562A863D"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препоръчва се при пациенти с остра базиларна оклузия </w:t>
      </w:r>
      <w:r w:rsidRPr="00AE47C6">
        <w:rPr>
          <w:rFonts w:ascii="Times New Roman" w:eastAsia="SimSun" w:hAnsi="Times New Roman"/>
          <w:sz w:val="24"/>
          <w:szCs w:val="24"/>
        </w:rPr>
        <w:t>до 6-ия час от нейното възникване</w:t>
      </w:r>
      <w:r w:rsidRPr="00AE47C6">
        <w:rPr>
          <w:rFonts w:ascii="Times New Roman" w:eastAsia="SimSun" w:hAnsi="Times New Roman"/>
          <w:bCs/>
          <w:iCs/>
          <w:spacing w:val="-9"/>
          <w:sz w:val="24"/>
          <w:szCs w:val="24"/>
        </w:rPr>
        <w:t xml:space="preserve"> (клас III, ниво B). </w:t>
      </w:r>
    </w:p>
    <w:p w14:paraId="386CA52E"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rtPA няма </w:t>
      </w:r>
      <w:r w:rsidRPr="00AE47C6">
        <w:rPr>
          <w:rFonts w:ascii="Times New Roman" w:eastAsia="SimSun" w:hAnsi="Times New Roman"/>
          <w:bCs/>
          <w:iCs/>
          <w:spacing w:val="-9"/>
          <w:sz w:val="24"/>
          <w:szCs w:val="24"/>
        </w:rPr>
        <w:t>одобрени</w:t>
      </w:r>
      <w:r w:rsidRPr="00AE47C6">
        <w:rPr>
          <w:rFonts w:ascii="Times New Roman" w:eastAsia="SimSun" w:hAnsi="Times New Roman"/>
          <w:sz w:val="24"/>
          <w:szCs w:val="24"/>
        </w:rPr>
        <w:t xml:space="preserve"> дози за интраартериално приложение и се препоръчва само при болни, включени в международни мултицентрови проучвания или национални програми. Поради тази причина ендоваскуларното лечение със стент ретривъри се препоръчва пред интраартериалната фибринолиза (клас I, ниво Е).</w:t>
      </w:r>
    </w:p>
    <w:p w14:paraId="3B09B971" w14:textId="77777777" w:rsidR="00BE0B19" w:rsidRPr="00AE47C6" w:rsidRDefault="00BE0B19" w:rsidP="00BE0B19">
      <w:pPr>
        <w:spacing w:after="0" w:line="360" w:lineRule="auto"/>
        <w:ind w:left="360"/>
        <w:jc w:val="both"/>
        <w:rPr>
          <w:rFonts w:ascii="Times New Roman" w:eastAsia="SimSun" w:hAnsi="Times New Roman"/>
          <w:b/>
          <w:sz w:val="24"/>
          <w:szCs w:val="24"/>
        </w:rPr>
      </w:pPr>
      <w:r w:rsidRPr="00AE47C6">
        <w:rPr>
          <w:rFonts w:ascii="Times New Roman" w:eastAsia="SimSun" w:hAnsi="Times New Roman"/>
          <w:b/>
          <w:sz w:val="24"/>
          <w:szCs w:val="24"/>
        </w:rPr>
        <w:t>Механична тромбектомия</w:t>
      </w:r>
    </w:p>
    <w:p w14:paraId="7F1BF4D2"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Cs/>
          <w:iCs/>
          <w:spacing w:val="-9"/>
          <w:sz w:val="24"/>
          <w:szCs w:val="24"/>
        </w:rPr>
        <w:t>Исхемичните</w:t>
      </w:r>
      <w:r w:rsidRPr="00AE47C6">
        <w:rPr>
          <w:rFonts w:ascii="Times New Roman" w:eastAsia="SimSun" w:hAnsi="Times New Roman"/>
          <w:sz w:val="24"/>
          <w:szCs w:val="24"/>
        </w:rPr>
        <w:t xml:space="preserve"> мозъчни инсулти при оклузия на съдове с широк диаметър (дистална ВСА, М1, базиларна артерия) водят до висока смъртност, ако се оставят нелекувани.</w:t>
      </w:r>
    </w:p>
    <w:p w14:paraId="6E8C1525"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Механичната тромбектомия постига по-висок процент на реканализация в сравнение с конвенционалното лечение, с или без ИВТ.</w:t>
      </w:r>
    </w:p>
    <w:p w14:paraId="0F142C33"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Шансовете за благоприятен изход са значимо по-високи при ранна реканализация на съда.</w:t>
      </w:r>
    </w:p>
    <w:p w14:paraId="13F04878"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При някои пациенти с индикация за ИВТ, но и с известни контраиндикации, следва да се предвидят ендоваскуларни методи, като част от институционален протокол. </w:t>
      </w:r>
    </w:p>
    <w:p w14:paraId="0418CFF5" w14:textId="77777777" w:rsidR="00BE0B19" w:rsidRPr="00AE47C6" w:rsidRDefault="00BE0B19" w:rsidP="00BE0B19">
      <w:pPr>
        <w:widowControl w:val="0"/>
        <w:numPr>
          <w:ilvl w:val="0"/>
          <w:numId w:val="117"/>
        </w:numPr>
        <w:tabs>
          <w:tab w:val="left" w:pos="-360"/>
          <w:tab w:val="left" w:pos="220"/>
          <w:tab w:val="left" w:pos="720"/>
        </w:tabs>
        <w:autoSpaceDE w:val="0"/>
        <w:autoSpaceDN w:val="0"/>
        <w:adjustRightInd w:val="0"/>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Ако интравенозната тромболиза е противопоказана (лечение с вит. К-антагонист в терапевтичния INR) се препоръчва механична тромбектомия като лечение на първа линия при оклузия на големи кръвоносни съдове (клас Іа, ниво А). </w:t>
      </w:r>
    </w:p>
    <w:p w14:paraId="46EE8B7F"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Пациентите с остра оклузия на базиларната артерия трябва да се изследват в центрове с мултимодални невроизобразяващи методи и да се лекуват с механична тромбектомия като допълнение към интравенозната тромболиза, когато има индикации за това (клас ІІа, ниво В) след КТ ангиография. Алтернативно те могат да се лекуват в рамките на рандомизирани и контролирани клинични проучвания за тромбектомия, одобрени от локалната етична комисия. </w:t>
      </w:r>
    </w:p>
    <w:p w14:paraId="486A6865"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Решението за механична тромбектомия се взема от мултидисциплинарен екип, включващ поне специалист по инсулти и невроинтервенционалист и се извършват в медицински центрове с опит, осигуряващи всестранно лечение на инсултите и опитни невроанестезиолози (клас V, ниво С). </w:t>
      </w:r>
    </w:p>
    <w:p w14:paraId="3533BBB1"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Оклузията на интракраниалните кръвоносни съдове трябва да се диагностицира,  когато е възможно с неинвазивни невроизобразяващи методи (КТ ангиография) за оценка на интракраниалните кръвоносни съдове, преди да се обсъжда лечение с интраартериална фибринолиза или механична тромбектомия (клас I, ниво А). КТ ангиографията дава достатъчно данни за провеждане на спешно лечение с интравенозна тромболиза, но след нейното провеждане трябва възможно най-бързо да се приложат неинвазивни невроизобразяващи съдови методи (клас I, ниво А).</w:t>
      </w:r>
    </w:p>
    <w:p w14:paraId="1CB43657"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Ползата от прилагане на допълнителни невроизобразяващи методи освен КТ, МР, КТ ангиография и МР ангиография, като КТ перфузионно или MР перфузионно и дифузионно изобразяване за пациенти, при които ще се прилага ендоваскуларна терапия не е ясна (клас IIb, ниво С).</w:t>
      </w:r>
    </w:p>
    <w:p w14:paraId="4895748E"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Ако не е възможно извършването на невроизобразяване на кръвоносните съдове трябва да се има предвид че NIHSS ≥ 9 до 3 часа и ASPECTS ≥ 7 точки до 6 часа показва наличие на оклузия на големи кръвоносни съдове (клас ІІа, ниво В).</w:t>
      </w:r>
    </w:p>
    <w:p w14:paraId="28A55A55"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Пациенти с невроизобразяващи данни за обширни инфаркти (чрез ASPECTS скалата) не са подходящи за тромбектомия (клас ІІа, ниво В) </w:t>
      </w:r>
    </w:p>
    <w:p w14:paraId="6A87342F"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Невроизобразяващи методи за определяне на размера на инфаркта и пенумбрата могат да се използват за подбор на пациенти и да се търси корелация с функционалното възстановяване след механичната тромбектомия (клас Іb, ниво B).</w:t>
      </w:r>
    </w:p>
    <w:p w14:paraId="5FE9EFF3"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Напредналата възраст сама за себе си не е причина, за да не се извърши механична тромбектомия като съпътстващо лечение (клас Іa, ниво А).</w:t>
      </w:r>
    </w:p>
    <w:p w14:paraId="2CA7274D" w14:textId="77777777" w:rsidR="00BE0B19" w:rsidRPr="00AE47C6" w:rsidRDefault="00BE0B19" w:rsidP="00BE0B19">
      <w:pPr>
        <w:widowControl w:val="0"/>
        <w:numPr>
          <w:ilvl w:val="0"/>
          <w:numId w:val="117"/>
        </w:numPr>
        <w:shd w:val="clear" w:color="auto" w:fill="FFFFFF"/>
        <w:tabs>
          <w:tab w:val="left" w:pos="-360"/>
          <w:tab w:val="left" w:pos="240"/>
        </w:tabs>
        <w:autoSpaceDE w:val="0"/>
        <w:autoSpaceDN w:val="0"/>
        <w:adjustRightInd w:val="0"/>
        <w:spacing w:after="0" w:line="360" w:lineRule="auto"/>
        <w:jc w:val="both"/>
        <w:rPr>
          <w:rFonts w:ascii="Times New Roman" w:eastAsia="SimSun" w:hAnsi="Times New Roman"/>
          <w:b/>
          <w:sz w:val="24"/>
          <w:szCs w:val="24"/>
          <w:lang w:eastAsia="en-GB"/>
        </w:rPr>
      </w:pPr>
      <w:r w:rsidRPr="00AE47C6">
        <w:rPr>
          <w:rFonts w:ascii="Times New Roman" w:eastAsia="SimSun" w:hAnsi="Times New Roman"/>
          <w:b/>
          <w:sz w:val="24"/>
          <w:szCs w:val="24"/>
        </w:rPr>
        <w:t>Механична тромбектомия</w:t>
      </w:r>
      <w:r w:rsidRPr="00AE47C6">
        <w:rPr>
          <w:rFonts w:ascii="Times New Roman" w:eastAsia="SimSun" w:hAnsi="Times New Roman"/>
          <w:b/>
          <w:sz w:val="24"/>
          <w:szCs w:val="24"/>
          <w:lang w:eastAsia="en-GB"/>
        </w:rPr>
        <w:t xml:space="preserve">: </w:t>
      </w:r>
    </w:p>
    <w:p w14:paraId="239B8FA3"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ако се приложи извън рандомизирано клинично изпитване, данните трябва да се впишат в регистър, с проследяване до 1 година след процедурата.</w:t>
      </w:r>
    </w:p>
    <w:p w14:paraId="21E231D0"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се </w:t>
      </w:r>
      <w:r w:rsidRPr="00AE47C6">
        <w:rPr>
          <w:rFonts w:ascii="Times New Roman" w:eastAsia="SimSun" w:hAnsi="Times New Roman"/>
          <w:sz w:val="24"/>
          <w:szCs w:val="24"/>
        </w:rPr>
        <w:t>препоръчва</w:t>
      </w:r>
      <w:r w:rsidRPr="00AE47C6">
        <w:rPr>
          <w:rFonts w:ascii="Times New Roman" w:eastAsia="SimSun" w:hAnsi="Times New Roman"/>
          <w:sz w:val="24"/>
          <w:szCs w:val="24"/>
          <w:lang w:eastAsia="en-GB"/>
        </w:rPr>
        <w:t xml:space="preserve"> като допълнение към интравенозната тромболиза за лечение на пациенти с остър инсулт поради оклузия на големи артерии в предното кръвообръщение след КТ ангиография. Извършва се до 6 часа след началото на симптомите (клас І, ниво А).</w:t>
      </w:r>
    </w:p>
    <w:p w14:paraId="7D9DCAFB" w14:textId="77777777" w:rsidR="00BE0B19" w:rsidRPr="00AE47C6" w:rsidRDefault="00BE0B19" w:rsidP="00BE0B19">
      <w:pPr>
        <w:widowControl w:val="0"/>
        <w:numPr>
          <w:ilvl w:val="0"/>
          <w:numId w:val="115"/>
        </w:numPr>
        <w:tabs>
          <w:tab w:val="left" w:pos="720"/>
        </w:tabs>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механична тромбектомия се препоръчва за избрани пациенти и след 6-ия час от началото на симптоматиката (до 16 часа-AHA/ASA, 6-24 часа-SNIS), които имат оклузия на голям съд от предното кръвообращение и отговарят на останалите критерии за допустимост от DAWN или DEFUSE 3 (клас I, ниво В).</w:t>
      </w:r>
    </w:p>
    <w:p w14:paraId="2980F7E5"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не </w:t>
      </w:r>
      <w:r w:rsidRPr="00AE47C6">
        <w:rPr>
          <w:rFonts w:ascii="Times New Roman" w:eastAsia="SimSun" w:hAnsi="Times New Roman"/>
          <w:sz w:val="24"/>
          <w:szCs w:val="24"/>
        </w:rPr>
        <w:t>трябва</w:t>
      </w:r>
      <w:r w:rsidRPr="00AE47C6">
        <w:rPr>
          <w:rFonts w:ascii="Times New Roman" w:eastAsia="SimSun" w:hAnsi="Times New Roman"/>
          <w:sz w:val="24"/>
          <w:szCs w:val="24"/>
          <w:lang w:eastAsia="en-GB"/>
        </w:rPr>
        <w:t xml:space="preserve"> да възпрепятства започването на интравенозна тромболиза, когато е показана. Интравенозната тромболиза не трябва да възпрепятства механичната тромбектомия (клас І, ниво А). </w:t>
      </w:r>
    </w:p>
    <w:p w14:paraId="53B2D7A5"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не се </w:t>
      </w:r>
      <w:r w:rsidRPr="00AE47C6">
        <w:rPr>
          <w:rFonts w:ascii="Times New Roman" w:eastAsia="SimSun" w:hAnsi="Times New Roman"/>
          <w:sz w:val="24"/>
          <w:szCs w:val="24"/>
        </w:rPr>
        <w:t>препоръчва</w:t>
      </w:r>
      <w:r w:rsidRPr="00AE47C6">
        <w:rPr>
          <w:rFonts w:ascii="Times New Roman" w:eastAsia="SimSun" w:hAnsi="Times New Roman"/>
          <w:sz w:val="24"/>
          <w:szCs w:val="24"/>
          <w:lang w:eastAsia="en-GB"/>
        </w:rPr>
        <w:t xml:space="preserve"> изчакването на клиничния ефект от интравенозната тромболиза за започване на ендоваскуларна терапия (клас III, ниво B) след КТ ангиография.</w:t>
      </w:r>
    </w:p>
    <w:p w14:paraId="0F07AB69"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извършва се колкото е </w:t>
      </w:r>
      <w:r w:rsidRPr="00AE47C6">
        <w:rPr>
          <w:rFonts w:ascii="Times New Roman" w:eastAsia="SimSun" w:hAnsi="Times New Roman"/>
          <w:sz w:val="24"/>
          <w:szCs w:val="24"/>
        </w:rPr>
        <w:t>възможно</w:t>
      </w:r>
      <w:r w:rsidRPr="00AE47C6">
        <w:rPr>
          <w:rFonts w:ascii="Times New Roman" w:eastAsia="SimSun" w:hAnsi="Times New Roman"/>
          <w:sz w:val="24"/>
          <w:szCs w:val="24"/>
          <w:lang w:eastAsia="en-GB"/>
        </w:rPr>
        <w:t xml:space="preserve"> по-скоро, след появата на индикации (клас І, ниво А).</w:t>
      </w:r>
    </w:p>
    <w:p w14:paraId="3447A626"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трябва да се извършва от обучени и опитни невроинтервенционалисти, които отговарят на националните и международни изисквания (клас ІІ, ниво В).</w:t>
      </w:r>
    </w:p>
    <w:p w14:paraId="3BBDD2D3"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извършва се със стент ретривъри одобрени от съответните институции в страната (клас І, ниво А).</w:t>
      </w:r>
    </w:p>
    <w:p w14:paraId="7C4DCC61"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rPr>
        <w:t>Използват се и ADAPT техниката (DAC катетър за аспирация на тромб), като при неуспех се преминава към използване на стент ретривъри.</w:t>
      </w:r>
    </w:p>
    <w:p w14:paraId="4FA69C60"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Стент </w:t>
      </w:r>
      <w:r w:rsidRPr="00AE47C6">
        <w:rPr>
          <w:rFonts w:ascii="Times New Roman" w:eastAsia="SimSun" w:hAnsi="Times New Roman"/>
          <w:sz w:val="24"/>
          <w:szCs w:val="24"/>
        </w:rPr>
        <w:t>ретривърите</w:t>
      </w:r>
      <w:r w:rsidRPr="00AE47C6">
        <w:rPr>
          <w:rFonts w:ascii="Times New Roman" w:eastAsia="SimSun" w:hAnsi="Times New Roman"/>
          <w:sz w:val="24"/>
          <w:szCs w:val="24"/>
          <w:lang w:eastAsia="en-GB"/>
        </w:rPr>
        <w:t xml:space="preserve"> се предпочитат пред MERCI устройствата </w:t>
      </w:r>
      <w:r w:rsidRPr="00AE47C6">
        <w:rPr>
          <w:rFonts w:ascii="Times New Roman" w:eastAsia="SimSun" w:hAnsi="Times New Roman"/>
          <w:sz w:val="24"/>
          <w:szCs w:val="24"/>
        </w:rPr>
        <w:t xml:space="preserve">(клас I, ниво А). </w:t>
      </w:r>
    </w:p>
    <w:p w14:paraId="45C9E185"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Други устройства за тромбектомия и аспирация освен стент ретривъри могат да се използват в някои случаи </w:t>
      </w:r>
      <w:r w:rsidRPr="00AE47C6">
        <w:rPr>
          <w:rFonts w:ascii="Times New Roman" w:eastAsia="SimSun" w:hAnsi="Times New Roman"/>
          <w:sz w:val="24"/>
          <w:szCs w:val="24"/>
        </w:rPr>
        <w:t xml:space="preserve">(клас IIb, ниво B), ако са </w:t>
      </w:r>
      <w:r w:rsidRPr="00AE47C6">
        <w:rPr>
          <w:rFonts w:ascii="Times New Roman" w:eastAsia="SimSun" w:hAnsi="Times New Roman"/>
          <w:sz w:val="24"/>
          <w:szCs w:val="24"/>
          <w:lang w:eastAsia="en-GB"/>
        </w:rPr>
        <w:t>одобрени от съответните институции в страната и по преценка на невроинтервенционалистите, ако с тях може да се постигне бърза, пълна и безопасна реваскуларизация на кръвоносните съдове (клас ІІа, ниво С).</w:t>
      </w:r>
    </w:p>
    <w:p w14:paraId="6CDD9291"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Подходящи за механична тромбектомия със стент ретривъри до 6 часа от началото на инсулта са пациенти, отговарящи на следните критерии (клас I, ниво А):</w:t>
      </w:r>
    </w:p>
    <w:p w14:paraId="0B4CAA0F"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с остър инсулт, получили интравенозна тромболиза до 4,5 часа след инсулта.</w:t>
      </w:r>
    </w:p>
    <w:p w14:paraId="1724ABC9" w14:textId="77777777" w:rsidR="00BE0B19" w:rsidRPr="00AE47C6" w:rsidRDefault="00BE0B19" w:rsidP="00BE0B19">
      <w:pPr>
        <w:numPr>
          <w:ilvl w:val="0"/>
          <w:numId w:val="115"/>
        </w:numPr>
        <w:shd w:val="clear" w:color="auto" w:fill="FFFFFF"/>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оклузия на ВСА или на проксималната част на СМА (М1) </w:t>
      </w:r>
    </w:p>
    <w:p w14:paraId="74DF098B" w14:textId="77777777" w:rsidR="00BE0B19" w:rsidRPr="00AE47C6" w:rsidRDefault="00BE0B19" w:rsidP="00BE0B19">
      <w:pPr>
        <w:numPr>
          <w:ilvl w:val="0"/>
          <w:numId w:val="115"/>
        </w:numPr>
        <w:shd w:val="clear" w:color="auto" w:fill="FFFFFF"/>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възраст </w:t>
      </w:r>
      <w:r w:rsidRPr="00AE47C6">
        <w:rPr>
          <w:rFonts w:ascii="Times New Roman" w:eastAsia="SimSun" w:hAnsi="Times New Roman"/>
          <w:sz w:val="24"/>
          <w:szCs w:val="24"/>
        </w:rPr>
        <w:sym w:font="Symbol" w:char="F0B3"/>
      </w:r>
      <w:r w:rsidRPr="00AE47C6">
        <w:rPr>
          <w:rFonts w:ascii="Times New Roman" w:eastAsia="SimSun" w:hAnsi="Times New Roman"/>
          <w:sz w:val="24"/>
          <w:szCs w:val="24"/>
        </w:rPr>
        <w:t xml:space="preserve"> 18 г.</w:t>
      </w:r>
    </w:p>
    <w:p w14:paraId="2B7E1D4C" w14:textId="77777777" w:rsidR="00BE0B19" w:rsidRPr="00AE47C6" w:rsidRDefault="00BE0B19" w:rsidP="00BE0B19">
      <w:pPr>
        <w:numPr>
          <w:ilvl w:val="0"/>
          <w:numId w:val="115"/>
        </w:numPr>
        <w:shd w:val="clear" w:color="auto" w:fill="FFFFFF"/>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NIHSS </w:t>
      </w:r>
      <w:r w:rsidRPr="00AE47C6">
        <w:rPr>
          <w:rFonts w:ascii="Times New Roman" w:eastAsia="SimSun" w:hAnsi="Times New Roman"/>
          <w:sz w:val="24"/>
          <w:szCs w:val="24"/>
        </w:rPr>
        <w:sym w:font="Symbol" w:char="F0B3"/>
      </w:r>
      <w:r w:rsidRPr="00AE47C6">
        <w:rPr>
          <w:rFonts w:ascii="Times New Roman" w:eastAsia="SimSun" w:hAnsi="Times New Roman"/>
          <w:sz w:val="24"/>
          <w:szCs w:val="24"/>
        </w:rPr>
        <w:t xml:space="preserve"> 6</w:t>
      </w:r>
    </w:p>
    <w:p w14:paraId="2036B392" w14:textId="77777777" w:rsidR="00BE0B19" w:rsidRPr="00AE47C6" w:rsidRDefault="00BE0B19" w:rsidP="00BE0B19">
      <w:pPr>
        <w:numPr>
          <w:ilvl w:val="0"/>
          <w:numId w:val="115"/>
        </w:numPr>
        <w:shd w:val="clear" w:color="auto" w:fill="FFFFFF"/>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ASPECTS </w:t>
      </w:r>
      <w:r w:rsidRPr="00AE47C6">
        <w:rPr>
          <w:rFonts w:ascii="Times New Roman" w:eastAsia="SimSun" w:hAnsi="Times New Roman"/>
          <w:sz w:val="24"/>
          <w:szCs w:val="24"/>
        </w:rPr>
        <w:sym w:font="Symbol" w:char="F0B3"/>
      </w:r>
      <w:r w:rsidRPr="00AE47C6">
        <w:rPr>
          <w:rFonts w:ascii="Times New Roman" w:eastAsia="SimSun" w:hAnsi="Times New Roman"/>
          <w:sz w:val="24"/>
          <w:szCs w:val="24"/>
        </w:rPr>
        <w:t xml:space="preserve"> 6</w:t>
      </w:r>
    </w:p>
    <w:p w14:paraId="6D939C09" w14:textId="77777777" w:rsidR="00BE0B19" w:rsidRPr="00AE47C6" w:rsidRDefault="00BE0B19" w:rsidP="00BE0B19">
      <w:pPr>
        <w:numPr>
          <w:ilvl w:val="0"/>
          <w:numId w:val="115"/>
        </w:numPr>
        <w:shd w:val="clear" w:color="auto" w:fill="FFFFFF"/>
        <w:tabs>
          <w:tab w:val="left" w:pos="720"/>
        </w:tabs>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rPr>
        <w:t xml:space="preserve">при внимателно подбрани пациенти </w:t>
      </w:r>
      <w:r w:rsidRPr="00AE47C6">
        <w:rPr>
          <w:rFonts w:ascii="Times New Roman" w:eastAsia="SimSun" w:hAnsi="Times New Roman"/>
          <w:sz w:val="24"/>
          <w:szCs w:val="24"/>
          <w:lang w:eastAsia="en-GB"/>
        </w:rPr>
        <w:t>с оклузия в предната циркулация и с контраиндикации за интравенозна тромболиза (клас IIa, ниво С).</w:t>
      </w:r>
    </w:p>
    <w:p w14:paraId="52D607B8" w14:textId="77777777" w:rsidR="00BE0B19" w:rsidRPr="00AE47C6" w:rsidRDefault="00BE0B19" w:rsidP="00BE0B19">
      <w:pPr>
        <w:numPr>
          <w:ilvl w:val="0"/>
          <w:numId w:val="115"/>
        </w:numPr>
        <w:shd w:val="clear" w:color="auto" w:fill="FFFFFF"/>
        <w:tabs>
          <w:tab w:val="clear" w:pos="720"/>
        </w:tabs>
        <w:spacing w:after="0" w:line="360" w:lineRule="auto"/>
        <w:contextualSpacing/>
        <w:jc w:val="both"/>
        <w:rPr>
          <w:rFonts w:ascii="Times New Roman" w:eastAsia="SimSun" w:hAnsi="Times New Roman"/>
          <w:sz w:val="24"/>
          <w:szCs w:val="24"/>
          <w:lang w:eastAsia="en-GB"/>
        </w:rPr>
      </w:pPr>
      <w:r w:rsidRPr="00AE47C6">
        <w:rPr>
          <w:rFonts w:ascii="Times New Roman" w:eastAsia="SimSun" w:hAnsi="Times New Roman"/>
          <w:sz w:val="24"/>
          <w:szCs w:val="24"/>
        </w:rPr>
        <w:t xml:space="preserve">въпреки че ползата не е сигурна, провеждането на ендоваскуларна терапия е разумно при пациенти </w:t>
      </w:r>
      <w:r w:rsidRPr="00AE47C6">
        <w:rPr>
          <w:rFonts w:ascii="Times New Roman" w:eastAsia="SimSun" w:hAnsi="Times New Roman"/>
          <w:sz w:val="24"/>
          <w:szCs w:val="24"/>
          <w:lang w:eastAsia="en-GB"/>
        </w:rPr>
        <w:t xml:space="preserve">с оценка по модифицираната скала на Rankin преди инсулта над 1, ASPECTS &lt; 6, NIHSS &lt;6 и оклузия на вътрешната сънна артерия или проксималната част (М1) на средната мозъчна артерия </w:t>
      </w:r>
      <w:r w:rsidRPr="00AE47C6">
        <w:rPr>
          <w:rFonts w:ascii="Times New Roman" w:eastAsia="SimSun" w:hAnsi="Times New Roman"/>
          <w:sz w:val="24"/>
          <w:szCs w:val="24"/>
        </w:rPr>
        <w:t>(клас IIb, ниво В).</w:t>
      </w:r>
    </w:p>
    <w:p w14:paraId="77F300D2" w14:textId="77777777" w:rsidR="00BE0B19" w:rsidRPr="00AE47C6" w:rsidRDefault="00BE0B19" w:rsidP="00BE0B19">
      <w:pPr>
        <w:numPr>
          <w:ilvl w:val="0"/>
          <w:numId w:val="115"/>
        </w:numPr>
        <w:shd w:val="clear" w:color="auto" w:fill="FFFFFF"/>
        <w:tabs>
          <w:tab w:val="clear" w:pos="720"/>
        </w:tabs>
        <w:spacing w:after="0" w:line="360" w:lineRule="auto"/>
        <w:contextualSpacing/>
        <w:jc w:val="both"/>
        <w:rPr>
          <w:rFonts w:ascii="Times New Roman" w:eastAsia="SimSun" w:hAnsi="Times New Roman"/>
          <w:sz w:val="24"/>
          <w:szCs w:val="24"/>
          <w:lang w:eastAsia="en-GB"/>
        </w:rPr>
      </w:pPr>
      <w:r w:rsidRPr="00AE47C6">
        <w:rPr>
          <w:rFonts w:ascii="Times New Roman" w:eastAsia="SimSun" w:hAnsi="Times New Roman"/>
          <w:sz w:val="24"/>
          <w:szCs w:val="24"/>
        </w:rPr>
        <w:t xml:space="preserve">въпреки че ползата не е сигурна, провеждането на ендоваскуларна терапия е разумно при внимателно подбрани пациенти </w:t>
      </w:r>
      <w:r w:rsidRPr="00AE47C6">
        <w:rPr>
          <w:rFonts w:ascii="Times New Roman" w:eastAsia="SimSun" w:hAnsi="Times New Roman"/>
          <w:sz w:val="24"/>
          <w:szCs w:val="24"/>
          <w:lang w:eastAsia="en-GB"/>
        </w:rPr>
        <w:t xml:space="preserve">с оклузия на М2 или М3 част на средната мозъчна артерия, предните мозъчни, вертебралните, задните мозъчни артерии и базиларната артерия </w:t>
      </w:r>
      <w:r w:rsidRPr="00AE47C6">
        <w:rPr>
          <w:rFonts w:ascii="Times New Roman" w:eastAsia="SimSun" w:hAnsi="Times New Roman"/>
          <w:sz w:val="24"/>
          <w:szCs w:val="24"/>
        </w:rPr>
        <w:t>(клас IIb, ниво С).</w:t>
      </w:r>
    </w:p>
    <w:p w14:paraId="40737678"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sz w:val="24"/>
          <w:szCs w:val="24"/>
          <w:lang w:eastAsia="en-GB"/>
        </w:rPr>
        <w:t>Целта</w:t>
      </w:r>
      <w:r w:rsidRPr="00AE47C6">
        <w:rPr>
          <w:rFonts w:ascii="Times New Roman" w:eastAsia="SimSun" w:hAnsi="Times New Roman"/>
          <w:bCs/>
          <w:iCs/>
          <w:spacing w:val="-9"/>
          <w:sz w:val="24"/>
          <w:szCs w:val="24"/>
        </w:rPr>
        <w:t xml:space="preserve"> на тромбектомията е постигане на степен 2b/3 ангиографски резултат по скалата TICI (Thrombolysis in cerebral infarction) с оглед постигане на добър клиничен резултат </w:t>
      </w:r>
      <w:r w:rsidRPr="00AE47C6">
        <w:rPr>
          <w:rFonts w:ascii="Times New Roman" w:eastAsia="SimSun" w:hAnsi="Times New Roman"/>
          <w:sz w:val="24"/>
          <w:szCs w:val="24"/>
          <w:lang w:eastAsia="en-GB"/>
        </w:rPr>
        <w:t>(клас I, ниво А).</w:t>
      </w:r>
      <w:r w:rsidRPr="00AE47C6">
        <w:rPr>
          <w:rFonts w:ascii="Times New Roman" w:eastAsia="SimSun" w:hAnsi="Times New Roman"/>
          <w:bCs/>
          <w:iCs/>
          <w:spacing w:val="-9"/>
          <w:sz w:val="24"/>
          <w:szCs w:val="24"/>
        </w:rPr>
        <w:t xml:space="preserve"> За постигане на този резултат могат да се използват допълнителни техники до 6 часа след инсулта, като интраартериална фибринолиза </w:t>
      </w:r>
      <w:r w:rsidRPr="00AE47C6">
        <w:rPr>
          <w:rFonts w:ascii="Times New Roman" w:eastAsia="SimSun" w:hAnsi="Times New Roman"/>
          <w:sz w:val="24"/>
          <w:szCs w:val="24"/>
          <w:lang w:eastAsia="en-GB"/>
        </w:rPr>
        <w:t>(клас I, ниво А).</w:t>
      </w:r>
      <w:r w:rsidRPr="00AE47C6">
        <w:rPr>
          <w:rFonts w:ascii="Times New Roman" w:eastAsia="SimSun" w:hAnsi="Times New Roman"/>
          <w:bCs/>
          <w:iCs/>
          <w:spacing w:val="-9"/>
          <w:sz w:val="24"/>
          <w:szCs w:val="24"/>
        </w:rPr>
        <w:t> </w:t>
      </w:r>
    </w:p>
    <w:p w14:paraId="2894AEF0"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Прилагането на ангиопластика и стентиране на проксимална цервикална атеросклеротична стеноза или пълна оклузия по време на тромбектомията не е противопоказано, но е с неясен резултат  </w:t>
      </w:r>
      <w:r w:rsidRPr="00AE47C6">
        <w:rPr>
          <w:rFonts w:ascii="Times New Roman" w:eastAsia="SimSun" w:hAnsi="Times New Roman"/>
          <w:sz w:val="24"/>
          <w:szCs w:val="24"/>
        </w:rPr>
        <w:t>(клас IIb, ниво С).</w:t>
      </w:r>
    </w:p>
    <w:p w14:paraId="6B0802C1"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sz w:val="24"/>
          <w:szCs w:val="24"/>
          <w:lang w:eastAsia="en-GB"/>
        </w:rPr>
        <w:t>Прилаганата</w:t>
      </w:r>
      <w:r w:rsidRPr="00AE47C6">
        <w:rPr>
          <w:rFonts w:ascii="Times New Roman" w:eastAsia="SimSun" w:hAnsi="Times New Roman"/>
          <w:sz w:val="24"/>
          <w:szCs w:val="24"/>
        </w:rPr>
        <w:t xml:space="preserve"> анестезия зависи от рисковите фактори при пациента, но се предпочита седацията пред общата анестезия (клас IIb, ниво С).</w:t>
      </w:r>
      <w:r w:rsidRPr="00AE47C6">
        <w:rPr>
          <w:rFonts w:ascii="Times New Roman" w:eastAsia="SimSun" w:hAnsi="Times New Roman"/>
          <w:sz w:val="24"/>
          <w:szCs w:val="24"/>
          <w:lang w:eastAsia="en-GB"/>
        </w:rPr>
        <w:t xml:space="preserve"> Независимо от избрания метод не бива да се допуска забавяне на тромбектомията (клас ІІb, ниво C).</w:t>
      </w:r>
    </w:p>
    <w:p w14:paraId="2D5E9096"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При пациенти, подложени на механична тромбектомия е уместно поддържане на артериално налягане  ≤180/105 mmHg по време на и 24 часа след процедурата (клас IIa, ниво B).</w:t>
      </w:r>
    </w:p>
    <w:p w14:paraId="1FDDA8AE"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При пациенти, подложени на механична тромбектомия с успешна реперфузия, може да е уместно поддържане на артериално налягане &lt;180/105 mmHg (клас IIb, ниво В).</w:t>
      </w:r>
    </w:p>
    <w:p w14:paraId="159CDB0E" w14:textId="77777777" w:rsidR="00BE0B19" w:rsidRPr="00AE47C6" w:rsidRDefault="00BE0B19" w:rsidP="00BE0B19">
      <w:pPr>
        <w:spacing w:before="240" w:after="240" w:line="240" w:lineRule="auto"/>
        <w:outlineLvl w:val="4"/>
        <w:rPr>
          <w:rFonts w:ascii="Times New Roman" w:eastAsia="SimSun" w:hAnsi="Times New Roman"/>
          <w:b/>
          <w:bCs/>
          <w:iCs/>
          <w:sz w:val="24"/>
          <w:szCs w:val="26"/>
        </w:rPr>
      </w:pPr>
      <w:r w:rsidRPr="00AE47C6">
        <w:rPr>
          <w:rFonts w:ascii="Times New Roman" w:eastAsia="SimSun" w:hAnsi="Times New Roman"/>
          <w:b/>
          <w:bCs/>
          <w:iCs/>
          <w:sz w:val="24"/>
          <w:szCs w:val="26"/>
        </w:rPr>
        <w:t xml:space="preserve">1.3.1.2.2. Общо (неспецифично) лечение </w:t>
      </w:r>
    </w:p>
    <w:p w14:paraId="3D8C5245"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Препоръчва се </w:t>
      </w:r>
      <w:r w:rsidRPr="00AE47C6">
        <w:rPr>
          <w:rFonts w:ascii="Times New Roman" w:eastAsia="SimSun" w:hAnsi="Times New Roman"/>
          <w:sz w:val="24"/>
          <w:szCs w:val="24"/>
          <w:lang w:eastAsia="en-GB"/>
        </w:rPr>
        <w:t>лечението</w:t>
      </w:r>
      <w:r w:rsidRPr="00AE47C6">
        <w:rPr>
          <w:rFonts w:ascii="Times New Roman" w:eastAsia="SimSun" w:hAnsi="Times New Roman"/>
          <w:bCs/>
          <w:iCs/>
          <w:spacing w:val="-9"/>
          <w:sz w:val="24"/>
          <w:szCs w:val="24"/>
        </w:rPr>
        <w:t xml:space="preserve"> да се провежда в отделение или стаи за лечение на инсулти, което има и възможност за неврорехабилитация (клас I, ниво А). </w:t>
      </w:r>
    </w:p>
    <w:p w14:paraId="4B3D0505"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Ticagrelor не се препоръчва за лечение на малък исхемичен инсулт, вместо ASA (клас III, ниво B).</w:t>
      </w:r>
    </w:p>
    <w:p w14:paraId="7EF6767E"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ASA не трябва да замества интравенозната тромболиза или механичната тромбектомия при показани пациенти (клас III, ниво B).</w:t>
      </w:r>
    </w:p>
    <w:p w14:paraId="502CAC45"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
          <w:bCs/>
          <w:iCs/>
          <w:spacing w:val="-9"/>
          <w:sz w:val="24"/>
          <w:szCs w:val="24"/>
        </w:rPr>
      </w:pPr>
      <w:r w:rsidRPr="00AE47C6">
        <w:rPr>
          <w:rFonts w:ascii="Times New Roman" w:eastAsia="SimSun" w:hAnsi="Times New Roman"/>
          <w:b/>
          <w:bCs/>
          <w:iCs/>
          <w:spacing w:val="-9"/>
          <w:sz w:val="24"/>
          <w:szCs w:val="24"/>
        </w:rPr>
        <w:t xml:space="preserve">няма </w:t>
      </w:r>
      <w:r w:rsidRPr="00AE47C6">
        <w:rPr>
          <w:rFonts w:ascii="Times New Roman" w:eastAsia="SimSun" w:hAnsi="Times New Roman"/>
          <w:b/>
          <w:sz w:val="24"/>
          <w:szCs w:val="24"/>
          <w:lang w:eastAsia="en-GB"/>
        </w:rPr>
        <w:t>сигурна</w:t>
      </w:r>
      <w:r w:rsidRPr="00AE47C6">
        <w:rPr>
          <w:rFonts w:ascii="Times New Roman" w:eastAsia="SimSun" w:hAnsi="Times New Roman"/>
          <w:b/>
          <w:bCs/>
          <w:iCs/>
          <w:spacing w:val="-9"/>
          <w:sz w:val="24"/>
          <w:szCs w:val="24"/>
        </w:rPr>
        <w:t xml:space="preserve"> полза от прилагането в острата фаза на инсулта на:</w:t>
      </w:r>
    </w:p>
    <w:p w14:paraId="5CD9AD81"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sz w:val="24"/>
          <w:szCs w:val="24"/>
          <w:lang w:eastAsia="en-GB"/>
        </w:rPr>
        <w:t>clopidogrel</w:t>
      </w:r>
      <w:r w:rsidRPr="00AE47C6">
        <w:rPr>
          <w:rFonts w:ascii="Times New Roman" w:eastAsia="SimSun" w:hAnsi="Times New Roman"/>
          <w:bCs/>
          <w:iCs/>
          <w:spacing w:val="-9"/>
          <w:sz w:val="24"/>
          <w:szCs w:val="24"/>
        </w:rPr>
        <w:t xml:space="preserve"> (клас IIb, ниво С).</w:t>
      </w:r>
    </w:p>
    <w:p w14:paraId="25E210EC"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спе</w:t>
      </w:r>
      <w:r w:rsidRPr="00AE47C6">
        <w:rPr>
          <w:rFonts w:ascii="Times New Roman" w:eastAsia="SimSun" w:hAnsi="Times New Roman"/>
          <w:sz w:val="24"/>
          <w:szCs w:val="24"/>
          <w:lang w:eastAsia="en-GB"/>
        </w:rPr>
        <w:t>ш</w:t>
      </w:r>
      <w:r w:rsidRPr="00AE47C6">
        <w:rPr>
          <w:rFonts w:ascii="Times New Roman" w:eastAsia="SimSun" w:hAnsi="Times New Roman"/>
          <w:bCs/>
          <w:iCs/>
          <w:spacing w:val="-9"/>
          <w:sz w:val="24"/>
          <w:szCs w:val="24"/>
        </w:rPr>
        <w:t xml:space="preserve">на </w:t>
      </w:r>
      <w:r w:rsidRPr="00AE47C6">
        <w:rPr>
          <w:rFonts w:ascii="Times New Roman" w:eastAsia="SimSun" w:hAnsi="Times New Roman"/>
          <w:sz w:val="24"/>
          <w:szCs w:val="24"/>
          <w:lang w:eastAsia="en-GB"/>
        </w:rPr>
        <w:t>антикоагулация</w:t>
      </w:r>
      <w:r w:rsidRPr="00AE47C6">
        <w:rPr>
          <w:rFonts w:ascii="Times New Roman" w:eastAsia="SimSun" w:hAnsi="Times New Roman"/>
          <w:bCs/>
          <w:iCs/>
          <w:spacing w:val="-9"/>
          <w:sz w:val="24"/>
          <w:szCs w:val="24"/>
        </w:rPr>
        <w:t xml:space="preserve"> при пациенти с тежка стеноза на вътрешната каротидна артерия ипсилатерално на исхемичния инсулт (клас IIb, ниво В).</w:t>
      </w:r>
    </w:p>
    <w:p w14:paraId="6CAFE627"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
          <w:bCs/>
          <w:iCs/>
          <w:spacing w:val="-9"/>
          <w:sz w:val="24"/>
          <w:szCs w:val="24"/>
        </w:rPr>
        <w:t>Не се препоръчва прилагането на спешна антикоагулация</w:t>
      </w:r>
      <w:r w:rsidRPr="00AE47C6">
        <w:rPr>
          <w:rFonts w:ascii="Times New Roman" w:eastAsia="SimSun" w:hAnsi="Times New Roman"/>
          <w:bCs/>
          <w:iCs/>
          <w:spacing w:val="-9"/>
          <w:sz w:val="24"/>
          <w:szCs w:val="24"/>
        </w:rPr>
        <w:t xml:space="preserve">: </w:t>
      </w:r>
    </w:p>
    <w:p w14:paraId="331D5DC1"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за </w:t>
      </w:r>
      <w:r w:rsidRPr="00AE47C6">
        <w:rPr>
          <w:rFonts w:ascii="Times New Roman" w:eastAsia="SimSun" w:hAnsi="Times New Roman"/>
          <w:sz w:val="24"/>
          <w:szCs w:val="24"/>
          <w:lang w:eastAsia="en-GB"/>
        </w:rPr>
        <w:t>превенция</w:t>
      </w:r>
      <w:r w:rsidRPr="00AE47C6">
        <w:rPr>
          <w:rFonts w:ascii="Times New Roman" w:eastAsia="SimSun" w:hAnsi="Times New Roman"/>
          <w:bCs/>
          <w:iCs/>
          <w:spacing w:val="-9"/>
          <w:sz w:val="24"/>
          <w:szCs w:val="24"/>
        </w:rPr>
        <w:t xml:space="preserve"> на ранен рецидив на мозъчен инсулт, влошаване на неврологичните симптоми или подобряване на изхода от инсулта </w:t>
      </w:r>
      <w:r w:rsidRPr="00AE47C6">
        <w:rPr>
          <w:rFonts w:ascii="Times New Roman" w:eastAsia="SimSun" w:hAnsi="Times New Roman"/>
          <w:sz w:val="24"/>
          <w:szCs w:val="24"/>
        </w:rPr>
        <w:t>(клас III, ниво А).</w:t>
      </w:r>
    </w:p>
    <w:p w14:paraId="08A28B0F"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за </w:t>
      </w:r>
      <w:r w:rsidRPr="00AE47C6">
        <w:rPr>
          <w:rFonts w:ascii="Times New Roman" w:eastAsia="SimSun" w:hAnsi="Times New Roman"/>
          <w:sz w:val="24"/>
          <w:szCs w:val="24"/>
          <w:lang w:eastAsia="en-GB"/>
        </w:rPr>
        <w:t>лечение</w:t>
      </w:r>
      <w:r w:rsidRPr="00AE47C6">
        <w:rPr>
          <w:rFonts w:ascii="Times New Roman" w:eastAsia="SimSun" w:hAnsi="Times New Roman"/>
          <w:bCs/>
          <w:iCs/>
          <w:spacing w:val="-9"/>
          <w:sz w:val="24"/>
          <w:szCs w:val="24"/>
        </w:rPr>
        <w:t xml:space="preserve"> на немозъчносъдови нарушения при пациенти с умерено тежки и тежки инсулти поради повишен риск от сериозен интракраниален кръвоизлив </w:t>
      </w:r>
      <w:r w:rsidRPr="00AE47C6">
        <w:rPr>
          <w:rFonts w:ascii="Times New Roman" w:eastAsia="SimSun" w:hAnsi="Times New Roman"/>
          <w:sz w:val="24"/>
          <w:szCs w:val="24"/>
        </w:rPr>
        <w:t>(клас III, ниво А).</w:t>
      </w:r>
    </w:p>
    <w:p w14:paraId="5EBD7F09"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Не се препоръчва ранно приложение на антикоагуланти – нефракциониран, нискомолекулен хепарин или хепариноиди за специфично лечение на пациенти с остър инсулт (клас I, ниво A). Антикоагулантите имат ограничено приложение поради риск от кръвоизлив в хода на лечението или хеморагично пропиване в инфарктната зона. Необходимо е да се следи хемостазния профил и да се проведе повторно КТ на главен мозък. При вземане на решение за прилагане на антикоагуланти е необходимо да се отчита ефекта полза/риск.</w:t>
      </w:r>
    </w:p>
    <w:p w14:paraId="26BF6C24"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Започва се лечение с ASA (първоначално 325 mg) 24 до 48 часа след инсулта (клас I, ниво А).</w:t>
      </w:r>
    </w:p>
    <w:p w14:paraId="18A45BD3"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ASA не се препоръчва като заместител на специфичното лечение на острия инсулт, включително и с интравенозна тромболиза (клас III, ниво В).</w:t>
      </w:r>
    </w:p>
    <w:p w14:paraId="746370B6"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При </w:t>
      </w:r>
      <w:r w:rsidRPr="00AE47C6">
        <w:rPr>
          <w:rFonts w:ascii="Times New Roman" w:eastAsia="SimSun" w:hAnsi="Times New Roman"/>
          <w:bCs/>
          <w:iCs/>
          <w:spacing w:val="-9"/>
          <w:sz w:val="24"/>
          <w:szCs w:val="24"/>
        </w:rPr>
        <w:t>пациенти</w:t>
      </w:r>
      <w:r w:rsidRPr="00AE47C6">
        <w:rPr>
          <w:rFonts w:ascii="Times New Roman" w:eastAsia="SimSun" w:hAnsi="Times New Roman"/>
          <w:spacing w:val="-3"/>
          <w:sz w:val="24"/>
          <w:szCs w:val="24"/>
        </w:rPr>
        <w:t xml:space="preserve"> с инсулт на фона на антиагрегантно лечение се препоръчва преоценка на рисковите фактори (</w:t>
      </w:r>
      <w:r w:rsidRPr="00AE47C6">
        <w:rPr>
          <w:rFonts w:ascii="Times New Roman" w:eastAsia="SimSun" w:hAnsi="Times New Roman"/>
          <w:spacing w:val="-1"/>
          <w:sz w:val="24"/>
          <w:szCs w:val="24"/>
        </w:rPr>
        <w:t>ДКП</w:t>
      </w:r>
      <w:r w:rsidRPr="00AE47C6">
        <w:rPr>
          <w:rFonts w:ascii="Times New Roman" w:eastAsia="SimSun" w:hAnsi="Times New Roman"/>
          <w:spacing w:val="-3"/>
          <w:sz w:val="24"/>
          <w:szCs w:val="24"/>
        </w:rPr>
        <w:t xml:space="preserve">). </w:t>
      </w:r>
    </w:p>
    <w:p w14:paraId="25E7E5C3"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Не се препоръчват в лечението на острия исхемичен инсулт приложението на вазодилататори (напр. pentoxifylline), предполагаеми невропротектори, хемодилуция чрез увеличаване на обема и високи дози албумин (клас III, ниво А). </w:t>
      </w:r>
    </w:p>
    <w:p w14:paraId="4C663631"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Не се препоръчва употребата на устройства за механично повишаване на мозъчния кръвен ток (клас III, ниво В).</w:t>
      </w:r>
    </w:p>
    <w:p w14:paraId="0839D32A"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Приложение на кислород при сатурация (</w:t>
      </w:r>
      <w:r w:rsidRPr="00AE47C6">
        <w:rPr>
          <w:rFonts w:ascii="Times New Roman" w:eastAsia="SimSun" w:hAnsi="Times New Roman"/>
          <w:spacing w:val="-10"/>
          <w:sz w:val="24"/>
          <w:szCs w:val="24"/>
        </w:rPr>
        <w:t>SaО</w:t>
      </w:r>
      <w:r w:rsidRPr="00AE47C6">
        <w:rPr>
          <w:rFonts w:ascii="Times New Roman" w:eastAsia="SimSun" w:hAnsi="Times New Roman"/>
          <w:spacing w:val="-10"/>
          <w:sz w:val="24"/>
          <w:szCs w:val="24"/>
          <w:vertAlign w:val="subscript"/>
        </w:rPr>
        <w:t>2</w:t>
      </w:r>
      <w:r w:rsidRPr="00AE47C6">
        <w:rPr>
          <w:rFonts w:ascii="Times New Roman" w:eastAsia="SimSun" w:hAnsi="Times New Roman"/>
          <w:spacing w:val="-10"/>
          <w:sz w:val="24"/>
          <w:szCs w:val="24"/>
        </w:rPr>
        <w:t xml:space="preserve">) </w:t>
      </w:r>
      <w:r w:rsidRPr="00AE47C6">
        <w:rPr>
          <w:rFonts w:ascii="Times New Roman" w:eastAsia="SimSun" w:hAnsi="Times New Roman"/>
          <w:bCs/>
          <w:iCs/>
          <w:spacing w:val="-9"/>
          <w:sz w:val="24"/>
          <w:szCs w:val="24"/>
        </w:rPr>
        <w:t>под 95% (клас I, ниво С). Не се препоръчва приложение на кислород при нехипоксични пациенти (клас III, ниво В).</w:t>
      </w:r>
    </w:p>
    <w:p w14:paraId="2D66B22C"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bCs/>
          <w:iCs/>
          <w:spacing w:val="-9"/>
          <w:sz w:val="24"/>
          <w:szCs w:val="24"/>
        </w:rPr>
        <w:t xml:space="preserve">Приложение на апаратна вентилация при пациенти с потиснато съзнание или булбарни нарушения </w:t>
      </w:r>
      <w:r w:rsidRPr="00AE47C6">
        <w:rPr>
          <w:rFonts w:ascii="Times New Roman" w:eastAsia="SimSun" w:hAnsi="Times New Roman"/>
          <w:spacing w:val="-11"/>
          <w:sz w:val="24"/>
          <w:szCs w:val="24"/>
        </w:rPr>
        <w:t>(</w:t>
      </w:r>
      <w:r w:rsidRPr="00AE47C6">
        <w:rPr>
          <w:rFonts w:ascii="Times New Roman" w:eastAsia="SimSun" w:hAnsi="Times New Roman"/>
          <w:spacing w:val="-5"/>
          <w:sz w:val="24"/>
          <w:szCs w:val="24"/>
        </w:rPr>
        <w:t>клас</w:t>
      </w:r>
      <w:r w:rsidRPr="00AE47C6">
        <w:rPr>
          <w:rFonts w:ascii="Times New Roman" w:eastAsia="SimSun" w:hAnsi="Times New Roman"/>
          <w:spacing w:val="-11"/>
          <w:sz w:val="24"/>
          <w:szCs w:val="24"/>
        </w:rPr>
        <w:t xml:space="preserve"> I, </w:t>
      </w:r>
      <w:r w:rsidRPr="00AE47C6">
        <w:rPr>
          <w:rFonts w:ascii="Times New Roman" w:eastAsia="SimSun" w:hAnsi="Times New Roman"/>
          <w:spacing w:val="-5"/>
          <w:sz w:val="24"/>
          <w:szCs w:val="24"/>
        </w:rPr>
        <w:t>ниво</w:t>
      </w:r>
      <w:r w:rsidRPr="00AE47C6">
        <w:rPr>
          <w:rFonts w:ascii="Times New Roman" w:eastAsia="SimSun" w:hAnsi="Times New Roman"/>
          <w:spacing w:val="-11"/>
          <w:sz w:val="24"/>
          <w:szCs w:val="24"/>
        </w:rPr>
        <w:t xml:space="preserve"> С).</w:t>
      </w:r>
      <w:r w:rsidRPr="00AE47C6">
        <w:rPr>
          <w:rFonts w:ascii="Times New Roman" w:eastAsia="SimSun" w:hAnsi="Times New Roman"/>
          <w:spacing w:val="-1"/>
          <w:sz w:val="24"/>
          <w:szCs w:val="24"/>
        </w:rPr>
        <w:t xml:space="preserve"> Целта е да се предотврати</w:t>
      </w:r>
      <w:r w:rsidRPr="00AE47C6">
        <w:rPr>
          <w:rFonts w:ascii="Times New Roman" w:eastAsia="SimSun" w:hAnsi="Times New Roman"/>
          <w:spacing w:val="-3"/>
          <w:sz w:val="24"/>
          <w:szCs w:val="24"/>
        </w:rPr>
        <w:t xml:space="preserve"> хипоксията и влошаването на мозъчната лезия. Поддържането на адекватна тъканна оксигенация е важно в условията на остра мозъчна исхемия. </w:t>
      </w:r>
    </w:p>
    <w:p w14:paraId="57CE1980"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Не се препоръчва хипербарна оксигенация при пациенти с остър исхемичен инсулт, освен в случаите, когато причината е въздушен емболизъм (клас III, ниво B).</w:t>
      </w:r>
    </w:p>
    <w:p w14:paraId="18B52356"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Хипотензията и хиповолемията трябва да бъдат коригирани с оглед осигуряване на системна перфузия, достатъчна за поддържане на органната функция (ниво I, клас C).</w:t>
      </w:r>
    </w:p>
    <w:p w14:paraId="781959EE"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При пациенти с остър инсулт ранното лечение на хипертонията е показано при необходимост от повлияване на налични коморбидни състояния (придружаващ остър коронарен инцидент, остра сърдечна недостатъчност, аортна дисекация, постфибринолитична интракраниална хеморагия, еклампсия/прееклампсия и др.) (клас I, ниво C)</w:t>
      </w:r>
    </w:p>
    <w:p w14:paraId="7F9BE86F"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Не се препоръчва рутинно понижаване на кръвното налягане след остър инсулт (ДКП). При пациенти с артериално налягане &lt;220/120 mmHg, които не подлежат на интравенозна тромболиза или механична тромбектомия и нямат съпътстващи състояния, изискващи спешно понижаване на артериалното налягане, назначаването на антихипертензивна терапия в първите 48 до 72 часа след острия инсулт не е показало ефект по отношение намаляване на инвалидизацията или смъртността (клас III, ниво A).</w:t>
      </w:r>
    </w:p>
    <w:p w14:paraId="1B30D699"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При пациенти които няма да се лекуват с фибринолиза се предприема внимателно понижаване на артериалното налягане при екстремно високи стойности (&gt;220/120 mmHg) при последователни измервания, тежка сърдечна недостатъчност, дисекация на аортата или хипертензивна енцефалопатия (клас I, ниво С). </w:t>
      </w:r>
    </w:p>
    <w:p w14:paraId="3BA57131"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При пациенти с артериално налягане ≥220/120, които не подлежат на интравенозна тромболиза или механична тромбектомия и нямат съпътстващи състояния, изискващи спешно понижаване на артериалното налягане, назначаването на антихипертензивна терапия в първите 48 до 72 часа след острия инсулт е с несигурен ефект. Може да бъде уместно понижаването на артериалното налягане с до 15% в първите 24 часа (клас IIb, ниво С).</w:t>
      </w:r>
    </w:p>
    <w:p w14:paraId="54F434D3"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Антихипертензивна терапия може да се започне отново до 24 часа след остър исхемичен инсулт при пациенти, които са били с хипертония и са неврологично стабилни, освен при наличие на противопоказания (клас IIа, ниво В). Лечението трябва да става внимателно, защото голяма част от пациентите имат спонтанно спадане на кръвното налягане през първите 24 часа след инсулта (клас IIb, ниво C)</w:t>
      </w:r>
    </w:p>
    <w:p w14:paraId="379B5C31"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Рязкото понижаване на артериалното налягане следва да се избягва. Не трябва да се снижава систолното артериално налягане с повече от 15% в първите 24 часа от съдовия инцидент (клас I, ниво C).</w:t>
      </w:r>
    </w:p>
    <w:p w14:paraId="5E2C9FF6"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Включването на антихипертензивна терапия по време на болничния престой при пациенти с артериално налягане &gt;140/90 mmHg, които са стабилни неврологично и при които липсват контраиндикации е безопасно и уместно с оглед подобряване дългосрочния контрол на артериалното налягане (клас IIa, ниво B).</w:t>
      </w:r>
    </w:p>
    <w:p w14:paraId="71018A3D"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Приложение на физиологичен разтвор (0,9% NaCl) за коригиране на хиповолемията и ниското артериално налягане и повлияване на сърдечната аритмия, която намалява сърдечния дебит (клас I, </w:t>
      </w:r>
      <w:r w:rsidRPr="00AE47C6">
        <w:rPr>
          <w:rFonts w:ascii="Times New Roman" w:eastAsia="SimSun" w:hAnsi="Times New Roman"/>
          <w:spacing w:val="-5"/>
          <w:sz w:val="24"/>
          <w:szCs w:val="24"/>
        </w:rPr>
        <w:t>ниво</w:t>
      </w:r>
      <w:r w:rsidRPr="00AE47C6">
        <w:rPr>
          <w:rFonts w:ascii="Times New Roman" w:eastAsia="SimSun" w:hAnsi="Times New Roman"/>
          <w:spacing w:val="-11"/>
          <w:sz w:val="24"/>
          <w:szCs w:val="24"/>
        </w:rPr>
        <w:t xml:space="preserve"> С</w:t>
      </w:r>
      <w:r w:rsidRPr="00AE47C6">
        <w:rPr>
          <w:rFonts w:ascii="Times New Roman" w:eastAsia="SimSun" w:hAnsi="Times New Roman"/>
          <w:bCs/>
          <w:iCs/>
          <w:spacing w:val="-9"/>
          <w:sz w:val="24"/>
          <w:szCs w:val="24"/>
        </w:rPr>
        <w:t xml:space="preserve">). </w:t>
      </w:r>
    </w:p>
    <w:p w14:paraId="63213940"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Хипогликемията (кръвна захар &lt;3,3 mmol/L) трябва да бъде лекувана (клас I, ниво C).</w:t>
      </w:r>
    </w:p>
    <w:p w14:paraId="0C9E2618"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Тежката хипогликемия 2,8 mmol/L да бъде лекувана с вливания на декстроза и 10-20% глюкоза (клас I, ниво С). </w:t>
      </w:r>
    </w:p>
    <w:p w14:paraId="2A281207"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Персистиращата хипергликемия по време на първите 24 часа от началото на инсулта се свързва с по-лош прогностичен изход, поради което следва да се поддържат нива на кръвната захар от 7,8 до 10,0 mmol/L, като трябва пациентът внимателно да се мониторира, за да не изпадне в хипогликемия (клас IIa, ниво C).</w:t>
      </w:r>
    </w:p>
    <w:p w14:paraId="5E486FEE"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Лечение с инсулин (клас IIа, ниво C) при нива на серумната глюкоза &gt;10 mmol/L. </w:t>
      </w:r>
    </w:p>
    <w:p w14:paraId="1BFAF20D"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При наличие на пирексия (температура &gt;38,0°C) вниманието да бъде насочено към търсене и лечение на съпътстваща инфекция и при необходимост прилагане на антипиретици (клас I, ниво C). </w:t>
      </w:r>
    </w:p>
    <w:p w14:paraId="0524A87B"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Лечението на високата температура (&gt;37,5°C) следва да се провежда с paracetamol и физикално охлаждане (клас III, ниво C).</w:t>
      </w:r>
    </w:p>
    <w:p w14:paraId="6A601C4C"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При пациенти с остър исхемичен инсулт лечението посредством индуцирана хипотермия е с несигурен резултат (клас IIb, ниво B).</w:t>
      </w:r>
    </w:p>
    <w:p w14:paraId="042A707F"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Рутинното профилактично приложение на антибиотици не се препоръчва (клас III, ниво А).</w:t>
      </w:r>
    </w:p>
    <w:p w14:paraId="6B2A664A"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При имунокомпрометирани пациенти не се препоръчва профилактика с антибиотици (клас II, ниво B).</w:t>
      </w:r>
    </w:p>
    <w:p w14:paraId="54A320E3"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При пациенти с предполагаема пневмония и инфекции на уринарния тракт се прилага лечение с подходящи антибиотици (клас I, ниво А).</w:t>
      </w:r>
    </w:p>
    <w:p w14:paraId="113195FC"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При имобилизирани пациенти се прилагат антикоагуланти подкожно за профилактика на дълбоките венозни тромбози и БТЕ. </w:t>
      </w:r>
      <w:r w:rsidRPr="00AE47C6">
        <w:rPr>
          <w:rFonts w:ascii="Times New Roman" w:eastAsia="SimSun" w:hAnsi="Times New Roman"/>
          <w:sz w:val="24"/>
          <w:szCs w:val="24"/>
        </w:rPr>
        <w:t xml:space="preserve">Ползата от профилактичната доза подкожен нефракциониран хепарин или ниско-молекулярен хепарин при пациенти с остър исхемичен инсулт е несигурна поради повишен риск от интра- и екстракраниално кървене (клас </w:t>
      </w:r>
      <w:r w:rsidRPr="00AE47C6">
        <w:rPr>
          <w:rFonts w:ascii="Times New Roman" w:eastAsia="SimSun" w:hAnsi="Times New Roman"/>
          <w:bCs/>
          <w:iCs/>
          <w:spacing w:val="-9"/>
          <w:sz w:val="24"/>
          <w:szCs w:val="24"/>
        </w:rPr>
        <w:t>IIb, ниво A).</w:t>
      </w:r>
    </w:p>
    <w:p w14:paraId="36539F24"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При употребата на профилактична антикоагулация няма сигурни данни в подкрепа предимството на ниско-молекулярните хепарини пред нефракционирания хепарин в профилактични дози (клас IIb, ниво B).</w:t>
      </w:r>
    </w:p>
    <w:p w14:paraId="410D0391"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При пациенти които не могат да получават антикоагуланти за профилактика на дълбоките венозни тромбози се прилага ASA (клас IIa, ниво A).</w:t>
      </w:r>
    </w:p>
    <w:p w14:paraId="2B4EA333"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При имобилизирани пациенти с оглед намаляване риска от дълбоки венозни тромбози се препоръчва прилагането на интермитентна външна компресия, при липса на контраиндикации, заедно с рутинните грижи (АSA и хидратация), вместо само рутинните грижи (клас I, ниво В).</w:t>
      </w:r>
    </w:p>
    <w:p w14:paraId="02D7A6FC"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При пациенти, които не могат да получават антикоагуланти се прилагат устройства за интермитентна външна компресия (клас IIa, ниво В). </w:t>
      </w:r>
    </w:p>
    <w:p w14:paraId="262DC1A7"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При пациенти с исхемичен инсулт не трябва да се употребяват еластични компресиращи чорапи (клас III, ниво B).</w:t>
      </w:r>
    </w:p>
    <w:p w14:paraId="446AEEAC"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bCs/>
          <w:iCs/>
          <w:spacing w:val="-9"/>
          <w:sz w:val="24"/>
          <w:szCs w:val="24"/>
        </w:rPr>
        <w:t>При пациенти с белодробен</w:t>
      </w:r>
      <w:r w:rsidRPr="00AE47C6">
        <w:rPr>
          <w:rFonts w:ascii="Times New Roman" w:eastAsia="SimSun" w:hAnsi="Times New Roman"/>
          <w:spacing w:val="-7"/>
          <w:sz w:val="24"/>
          <w:szCs w:val="24"/>
        </w:rPr>
        <w:t xml:space="preserve"> тромбоемболизъм (БТЕ) се използват </w:t>
      </w:r>
      <w:r w:rsidRPr="00AE47C6">
        <w:rPr>
          <w:rFonts w:ascii="Times New Roman" w:eastAsia="SimSun" w:hAnsi="Times New Roman"/>
          <w:spacing w:val="-5"/>
          <w:sz w:val="24"/>
          <w:szCs w:val="24"/>
        </w:rPr>
        <w:t>ниско молекулни хепарини</w:t>
      </w:r>
      <w:r w:rsidRPr="00AE47C6">
        <w:rPr>
          <w:rFonts w:ascii="Times New Roman" w:eastAsia="SimSun" w:hAnsi="Times New Roman"/>
          <w:spacing w:val="-8"/>
          <w:sz w:val="24"/>
          <w:szCs w:val="24"/>
        </w:rPr>
        <w:t xml:space="preserve"> за профилактика и лечение.</w:t>
      </w:r>
    </w:p>
    <w:p w14:paraId="55532682"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 xml:space="preserve">Преди пациента да започне да се храни, да пие течности и да приема перорално медикаменти трябва да се оценят гълтателните функции (клас I, ниво В). </w:t>
      </w:r>
    </w:p>
    <w:p w14:paraId="71F923E3"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При пациенти с гълтателни нарушения се поставя назогастрална или назодуоденална сонда, или перкутанна ендоскопска гастростома за поддържане на храненето и хидратацията до възстановяване на гълтането (клас I, ниво В).</w:t>
      </w:r>
    </w:p>
    <w:p w14:paraId="7DE2B36C"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При пациенти с гълтателни нарушения през първите 2-3 седмици след инсулта се предпочита хранене с назогастрална сонда (клас IIa, ниво В).</w:t>
      </w:r>
    </w:p>
    <w:p w14:paraId="7D0A2F17"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Уместно е въвеждането на протоколи за орална хигиена, с оглед намаляване риска от развитие на пневмония след остър инсулт (клас IIb, ниво B).</w:t>
      </w:r>
    </w:p>
    <w:p w14:paraId="0ABD851D"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Препоръчва се ранно раздвижване на по-леко увредените пациенти и мерки за профилактика на усложненията на инсулта (клас I, ниво С).</w:t>
      </w:r>
    </w:p>
    <w:p w14:paraId="23A85179"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Необходимо е да се лекуват придружаващите заболявания (клас I, ниво С).</w:t>
      </w:r>
    </w:p>
    <w:p w14:paraId="0B4A61AE"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Необходимо е да се започне рано превенция на рецидив на инсулта (клас І, ниво С).</w:t>
      </w:r>
    </w:p>
    <w:p w14:paraId="3F921811"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Рутинното приложение на хранителни добавки не се препоръчва (клас ІІІ, ниво В).</w:t>
      </w:r>
    </w:p>
    <w:p w14:paraId="62B2256E"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Уместна е употребата на хранителни добавки при пациенти, които са недохранени или с риск от недохранване (клас IIa, ниво B).</w:t>
      </w:r>
    </w:p>
    <w:p w14:paraId="6752E452"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pacing w:val="-11"/>
          <w:sz w:val="24"/>
          <w:szCs w:val="24"/>
        </w:rPr>
      </w:pPr>
      <w:r w:rsidRPr="00AE47C6">
        <w:rPr>
          <w:rFonts w:ascii="Times New Roman" w:eastAsia="SimSun" w:hAnsi="Times New Roman"/>
          <w:spacing w:val="-11"/>
          <w:sz w:val="24"/>
          <w:szCs w:val="24"/>
        </w:rPr>
        <w:t>Орални хранителни добавки са подходящи само за пациенти с инсулт, които нямат гълтателни нарушения и са с недохранване (</w:t>
      </w:r>
      <w:r w:rsidRPr="00AE47C6">
        <w:rPr>
          <w:rFonts w:ascii="Times New Roman" w:eastAsia="SimSun" w:hAnsi="Times New Roman"/>
          <w:spacing w:val="-5"/>
          <w:sz w:val="24"/>
          <w:szCs w:val="24"/>
        </w:rPr>
        <w:t>клас</w:t>
      </w:r>
      <w:r w:rsidRPr="00AE47C6">
        <w:rPr>
          <w:rFonts w:ascii="Times New Roman" w:eastAsia="SimSun" w:hAnsi="Times New Roman"/>
          <w:spacing w:val="-11"/>
          <w:sz w:val="24"/>
          <w:szCs w:val="24"/>
        </w:rPr>
        <w:t xml:space="preserve"> II, </w:t>
      </w:r>
      <w:r w:rsidRPr="00AE47C6">
        <w:rPr>
          <w:rFonts w:ascii="Times New Roman" w:eastAsia="SimSun" w:hAnsi="Times New Roman"/>
          <w:spacing w:val="-5"/>
          <w:sz w:val="24"/>
          <w:szCs w:val="24"/>
        </w:rPr>
        <w:t>ниво</w:t>
      </w:r>
      <w:r w:rsidRPr="00AE47C6">
        <w:rPr>
          <w:rFonts w:ascii="Times New Roman" w:eastAsia="SimSun" w:hAnsi="Times New Roman"/>
          <w:spacing w:val="-11"/>
          <w:sz w:val="24"/>
          <w:szCs w:val="24"/>
        </w:rPr>
        <w:t xml:space="preserve"> B). </w:t>
      </w:r>
    </w:p>
    <w:p w14:paraId="720E0530"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pacing w:val="-11"/>
          <w:sz w:val="24"/>
          <w:szCs w:val="24"/>
        </w:rPr>
      </w:pPr>
      <w:r w:rsidRPr="00AE47C6">
        <w:rPr>
          <w:rFonts w:ascii="Times New Roman" w:eastAsia="SimSun" w:hAnsi="Times New Roman"/>
          <w:spacing w:val="-11"/>
          <w:sz w:val="24"/>
          <w:szCs w:val="24"/>
        </w:rPr>
        <w:t>При пациенти, които са с риск от падане, е показано приемане на хранителни добавки - калций/витамин D (</w:t>
      </w:r>
      <w:r w:rsidRPr="00AE47C6">
        <w:rPr>
          <w:rFonts w:ascii="Times New Roman" w:eastAsia="SimSun" w:hAnsi="Times New Roman"/>
          <w:spacing w:val="-5"/>
          <w:sz w:val="24"/>
          <w:szCs w:val="24"/>
        </w:rPr>
        <w:t>клас</w:t>
      </w:r>
      <w:r w:rsidRPr="00AE47C6">
        <w:rPr>
          <w:rFonts w:ascii="Times New Roman" w:eastAsia="SimSun" w:hAnsi="Times New Roman"/>
          <w:spacing w:val="-11"/>
          <w:sz w:val="24"/>
          <w:szCs w:val="24"/>
        </w:rPr>
        <w:t xml:space="preserve"> II, </w:t>
      </w:r>
      <w:r w:rsidRPr="00AE47C6">
        <w:rPr>
          <w:rFonts w:ascii="Times New Roman" w:eastAsia="SimSun" w:hAnsi="Times New Roman"/>
          <w:spacing w:val="-5"/>
          <w:sz w:val="24"/>
          <w:szCs w:val="24"/>
        </w:rPr>
        <w:t>ниво</w:t>
      </w:r>
      <w:r w:rsidRPr="00AE47C6">
        <w:rPr>
          <w:rFonts w:ascii="Times New Roman" w:eastAsia="SimSun" w:hAnsi="Times New Roman"/>
          <w:spacing w:val="-11"/>
          <w:sz w:val="24"/>
          <w:szCs w:val="24"/>
        </w:rPr>
        <w:t xml:space="preserve"> B). </w:t>
      </w:r>
    </w:p>
    <w:p w14:paraId="1EE9F5C1"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pacing w:val="-11"/>
          <w:sz w:val="24"/>
          <w:szCs w:val="24"/>
        </w:rPr>
      </w:pPr>
      <w:r w:rsidRPr="00AE47C6">
        <w:rPr>
          <w:rFonts w:ascii="Times New Roman" w:eastAsia="SimSun" w:hAnsi="Times New Roman"/>
          <w:spacing w:val="-11"/>
          <w:sz w:val="24"/>
          <w:szCs w:val="24"/>
        </w:rPr>
        <w:t>Бифосфонати (Alendronate, Etidronate и Risedronate) са показани при жени с предшестващи фрактури (</w:t>
      </w:r>
      <w:r w:rsidRPr="00AE47C6">
        <w:rPr>
          <w:rFonts w:ascii="Times New Roman" w:eastAsia="SimSun" w:hAnsi="Times New Roman"/>
          <w:spacing w:val="-5"/>
          <w:sz w:val="24"/>
          <w:szCs w:val="24"/>
        </w:rPr>
        <w:t>клас</w:t>
      </w:r>
      <w:r w:rsidRPr="00AE47C6">
        <w:rPr>
          <w:rFonts w:ascii="Times New Roman" w:eastAsia="SimSun" w:hAnsi="Times New Roman"/>
          <w:spacing w:val="-11"/>
          <w:sz w:val="24"/>
          <w:szCs w:val="24"/>
        </w:rPr>
        <w:t xml:space="preserve"> II, </w:t>
      </w:r>
      <w:r w:rsidRPr="00AE47C6">
        <w:rPr>
          <w:rFonts w:ascii="Times New Roman" w:eastAsia="SimSun" w:hAnsi="Times New Roman"/>
          <w:spacing w:val="-5"/>
          <w:sz w:val="24"/>
          <w:szCs w:val="24"/>
        </w:rPr>
        <w:t>ниво</w:t>
      </w:r>
      <w:r w:rsidRPr="00AE47C6">
        <w:rPr>
          <w:rFonts w:ascii="Times New Roman" w:eastAsia="SimSun" w:hAnsi="Times New Roman"/>
          <w:spacing w:val="-11"/>
          <w:sz w:val="24"/>
          <w:szCs w:val="24"/>
        </w:rPr>
        <w:t xml:space="preserve"> B). </w:t>
      </w:r>
    </w:p>
    <w:p w14:paraId="1085B592"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pacing w:val="-11"/>
          <w:sz w:val="24"/>
          <w:szCs w:val="24"/>
        </w:rPr>
      </w:pPr>
      <w:r w:rsidRPr="00AE47C6">
        <w:rPr>
          <w:rFonts w:ascii="Times New Roman" w:eastAsia="SimSun" w:hAnsi="Times New Roman"/>
          <w:spacing w:val="-11"/>
          <w:sz w:val="24"/>
          <w:szCs w:val="24"/>
        </w:rPr>
        <w:t>Пациенти с инконтиненция на урина следва да бъдат консултирани с подходящ специалист (</w:t>
      </w:r>
      <w:r w:rsidRPr="00AE47C6">
        <w:rPr>
          <w:rFonts w:ascii="Times New Roman" w:eastAsia="SimSun" w:hAnsi="Times New Roman"/>
          <w:spacing w:val="-5"/>
          <w:sz w:val="24"/>
          <w:szCs w:val="24"/>
        </w:rPr>
        <w:t>клас</w:t>
      </w:r>
      <w:r w:rsidRPr="00AE47C6">
        <w:rPr>
          <w:rFonts w:ascii="Times New Roman" w:eastAsia="SimSun" w:hAnsi="Times New Roman"/>
          <w:spacing w:val="-11"/>
          <w:sz w:val="24"/>
          <w:szCs w:val="24"/>
        </w:rPr>
        <w:t xml:space="preserve"> III, </w:t>
      </w:r>
      <w:r w:rsidRPr="00AE47C6">
        <w:rPr>
          <w:rFonts w:ascii="Times New Roman" w:eastAsia="SimSun" w:hAnsi="Times New Roman"/>
          <w:spacing w:val="-5"/>
          <w:sz w:val="24"/>
          <w:szCs w:val="24"/>
        </w:rPr>
        <w:t>ниво</w:t>
      </w:r>
      <w:r w:rsidRPr="00AE47C6">
        <w:rPr>
          <w:rFonts w:ascii="Times New Roman" w:eastAsia="SimSun" w:hAnsi="Times New Roman"/>
          <w:spacing w:val="-11"/>
          <w:sz w:val="24"/>
          <w:szCs w:val="24"/>
        </w:rPr>
        <w:t xml:space="preserve"> C).</w:t>
      </w:r>
    </w:p>
    <w:p w14:paraId="74936E50"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spacing w:val="-11"/>
          <w:sz w:val="24"/>
          <w:szCs w:val="24"/>
        </w:rPr>
        <w:t>Рутинното</w:t>
      </w:r>
      <w:r w:rsidRPr="00AE47C6">
        <w:rPr>
          <w:rFonts w:ascii="Times New Roman" w:eastAsia="SimSun" w:hAnsi="Times New Roman"/>
          <w:bCs/>
          <w:iCs/>
          <w:spacing w:val="-9"/>
          <w:sz w:val="24"/>
          <w:szCs w:val="24"/>
        </w:rPr>
        <w:t xml:space="preserve"> поставяне на постоянни катетри не се препоръчва, поради опасност от инфекции на уринарния тракт (клас III, ниво С).</w:t>
      </w:r>
    </w:p>
    <w:p w14:paraId="56FBEFD1"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spacing w:val="-11"/>
          <w:sz w:val="24"/>
          <w:szCs w:val="24"/>
        </w:rPr>
        <w:t>Пациентите</w:t>
      </w:r>
      <w:r w:rsidRPr="00AE47C6">
        <w:rPr>
          <w:rFonts w:ascii="Times New Roman" w:eastAsia="SimSun" w:hAnsi="Times New Roman"/>
          <w:bCs/>
          <w:iCs/>
          <w:spacing w:val="-9"/>
          <w:sz w:val="24"/>
          <w:szCs w:val="24"/>
        </w:rPr>
        <w:t xml:space="preserve"> с големи мозъчни инсулти са с висок риск от усложнения с мозъчен оток и повишено интракраниално налягане. Необходимо е наблюдение през първите дни след  инсулта за влошаване на неврологичните симптоми и вземане на мерки за намаляване на риска от мозъчен оток (клас I, ниво С). При пациенти с малигнен мозъчен оток се предприема неврохирургична интервенция. </w:t>
      </w:r>
    </w:p>
    <w:p w14:paraId="1A2C0F67"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Уместно е прилагането на осмотична терапия при пациенти с клинично влошаване поради развитие на мозъчен оток, вследствие на церебрален инфаркт (клас IIa, ниво C).</w:t>
      </w:r>
    </w:p>
    <w:p w14:paraId="27579A2B"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Осмотична диуретична терапия за лечение на повишеното интракраниално налягане преди хирургичната интервенция, ако се планира такава (</w:t>
      </w:r>
      <w:r w:rsidRPr="00AE47C6">
        <w:rPr>
          <w:rFonts w:ascii="Times New Roman" w:eastAsia="SimSun" w:hAnsi="Times New Roman"/>
          <w:bCs/>
          <w:iCs/>
          <w:spacing w:val="-9"/>
          <w:sz w:val="24"/>
          <w:szCs w:val="24"/>
        </w:rPr>
        <w:t>клас</w:t>
      </w:r>
      <w:r w:rsidRPr="00AE47C6">
        <w:rPr>
          <w:rFonts w:ascii="Times New Roman" w:eastAsia="SimSun" w:hAnsi="Times New Roman"/>
          <w:spacing w:val="3"/>
          <w:sz w:val="24"/>
          <w:szCs w:val="24"/>
        </w:rPr>
        <w:t xml:space="preserve"> III, </w:t>
      </w:r>
      <w:r w:rsidRPr="00AE47C6">
        <w:rPr>
          <w:rFonts w:ascii="Times New Roman" w:eastAsia="SimSun" w:hAnsi="Times New Roman"/>
          <w:bCs/>
          <w:iCs/>
          <w:spacing w:val="-9"/>
          <w:sz w:val="24"/>
          <w:szCs w:val="24"/>
        </w:rPr>
        <w:t>ниво</w:t>
      </w:r>
      <w:r w:rsidRPr="00AE47C6">
        <w:rPr>
          <w:rFonts w:ascii="Times New Roman" w:eastAsia="SimSun" w:hAnsi="Times New Roman"/>
          <w:spacing w:val="3"/>
          <w:sz w:val="24"/>
          <w:szCs w:val="24"/>
        </w:rPr>
        <w:t xml:space="preserve"> C). Прилагат се Mannitol -1-2 g/kg/24 ч., на 4-6 часа в бързи болусни инфузии и/или furosemid 20-40 mg венозно.</w:t>
      </w:r>
    </w:p>
    <w:p w14:paraId="66C21C7D"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Употребата на краткотрайна умерена хипервентилация (PаСО</w:t>
      </w:r>
      <w:r w:rsidRPr="00AE47C6">
        <w:rPr>
          <w:rFonts w:ascii="Times New Roman" w:eastAsia="SimSun" w:hAnsi="Times New Roman"/>
          <w:spacing w:val="3"/>
          <w:sz w:val="24"/>
          <w:szCs w:val="24"/>
          <w:vertAlign w:val="subscript"/>
        </w:rPr>
        <w:t>2</w:t>
      </w:r>
      <w:r w:rsidRPr="00AE47C6">
        <w:rPr>
          <w:rFonts w:ascii="Times New Roman" w:eastAsia="SimSun" w:hAnsi="Times New Roman"/>
          <w:spacing w:val="3"/>
          <w:sz w:val="24"/>
          <w:szCs w:val="24"/>
        </w:rPr>
        <w:t xml:space="preserve"> прицелни стойности, 30–34 mmHg) е уместна при пациенти с тежко неврологично влошаване вследствие на мозъчен оток, като мост към по-радикална терапия (клас IIa, ниво C).</w:t>
      </w:r>
    </w:p>
    <w:p w14:paraId="3FCBE271"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Не се препоръчва приложението на кортикостероиди в стандартни или високи дози при пациенти с мозъчен оток и повишено интракраниално налягане поради риска от инфекциозни усложнения и липсата на ефективност (клас III, ниво A).</w:t>
      </w:r>
    </w:p>
    <w:p w14:paraId="0BBAECA2"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Не се препоръчва при исхемични мозъчни инсулти прилагането на хипотермия или барбитурати в условията свързани с исхемията при церебрален или церебеларен мозъчен оток (клас III, ниво В).</w:t>
      </w:r>
    </w:p>
    <w:p w14:paraId="1D14C5B1"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За лечение и превенция на мозъчното хернииране и стволовата компресия при пациенти с малкомозъчен инсулт се прилага декомпресивна хирургия (клас I, ниво В).</w:t>
      </w:r>
    </w:p>
    <w:p w14:paraId="40F0CBAD"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Cs/>
          <w:iCs/>
          <w:spacing w:val="-9"/>
          <w:sz w:val="24"/>
          <w:szCs w:val="24"/>
        </w:rPr>
      </w:pPr>
      <w:r w:rsidRPr="00AE47C6">
        <w:rPr>
          <w:rFonts w:ascii="Times New Roman" w:eastAsia="SimSun" w:hAnsi="Times New Roman"/>
          <w:bCs/>
          <w:iCs/>
          <w:spacing w:val="-9"/>
          <w:sz w:val="24"/>
          <w:szCs w:val="24"/>
        </w:rPr>
        <w:t>Декомпресивната хирургична интервенция е ефективна и животоспасяваща при пациенти с малигнен оток на мозъчните хемисфери (клас I, ниво В).</w:t>
      </w:r>
    </w:p>
    <w:p w14:paraId="70C28469"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bCs/>
          <w:iCs/>
          <w:spacing w:val="-9"/>
          <w:sz w:val="24"/>
          <w:szCs w:val="24"/>
        </w:rPr>
        <w:t>Извършване на хирургична</w:t>
      </w:r>
      <w:r w:rsidRPr="00AE47C6">
        <w:rPr>
          <w:rFonts w:ascii="Times New Roman" w:eastAsia="SimSun" w:hAnsi="Times New Roman"/>
          <w:spacing w:val="3"/>
          <w:sz w:val="24"/>
          <w:szCs w:val="24"/>
        </w:rPr>
        <w:t xml:space="preserve"> декомпресивна хемикраниектомия в рамките на 48 часа след началото на симптоматиката при пациенти до 60 годишна възраст със злокачествен еволюиращ инфаркт в басейна на СМА (клас IIa, </w:t>
      </w:r>
      <w:r w:rsidRPr="00AE47C6">
        <w:rPr>
          <w:rFonts w:ascii="Times New Roman" w:eastAsia="SimSun" w:hAnsi="Times New Roman"/>
          <w:bCs/>
          <w:iCs/>
          <w:spacing w:val="-9"/>
          <w:sz w:val="24"/>
          <w:szCs w:val="24"/>
        </w:rPr>
        <w:t>ниво</w:t>
      </w:r>
      <w:r w:rsidRPr="00AE47C6">
        <w:rPr>
          <w:rFonts w:ascii="Times New Roman" w:eastAsia="SimSun" w:hAnsi="Times New Roman"/>
          <w:spacing w:val="3"/>
          <w:sz w:val="24"/>
          <w:szCs w:val="24"/>
        </w:rPr>
        <w:t xml:space="preserve"> A). </w:t>
      </w:r>
    </w:p>
    <w:p w14:paraId="715EA4CE"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Декомпресивна хемикраниектомия би могла да бъде обсъждана в описаните случаи и при пациенти &gt; 60 години (клас IIb, ниво B). </w:t>
      </w:r>
    </w:p>
    <w:p w14:paraId="56E56BFE"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z w:val="24"/>
          <w:szCs w:val="24"/>
          <w:lang w:eastAsia="en-GB"/>
        </w:rPr>
        <w:t>Тя се осъществява</w:t>
      </w:r>
      <w:r w:rsidRPr="00AE47C6">
        <w:rPr>
          <w:rFonts w:ascii="Times New Roman" w:eastAsia="SimSun" w:hAnsi="Times New Roman"/>
          <w:spacing w:val="3"/>
          <w:sz w:val="24"/>
          <w:szCs w:val="24"/>
        </w:rPr>
        <w:t xml:space="preserve"> при клинични и невроизобразяващи данни за нарастваща интракраниална хипертенсия, водеща до кома, прогресия на огнищната неврологична симптоматика и прояви на стволова дисфункция. Интервенцията се предхожда от осмотична диуретична терапия за намаляване на повишеното интракраниално налягане.</w:t>
      </w:r>
    </w:p>
    <w:p w14:paraId="3A6CE489"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bCs/>
          <w:iCs/>
          <w:spacing w:val="-9"/>
          <w:sz w:val="24"/>
          <w:szCs w:val="24"/>
        </w:rPr>
        <w:t>Вентрикулостомия</w:t>
      </w:r>
      <w:r w:rsidRPr="00AE47C6">
        <w:rPr>
          <w:rFonts w:ascii="Times New Roman" w:eastAsia="SimSun" w:hAnsi="Times New Roman"/>
          <w:spacing w:val="3"/>
          <w:sz w:val="24"/>
          <w:szCs w:val="24"/>
        </w:rPr>
        <w:t xml:space="preserve"> или хирургична декомпресия следва да се имат предвид при пациенти с обширни малкомозъчни инфаркти, които притискат мозъчния ствол (</w:t>
      </w:r>
      <w:r w:rsidRPr="00AE47C6">
        <w:rPr>
          <w:rFonts w:ascii="Times New Roman" w:eastAsia="SimSun" w:hAnsi="Times New Roman"/>
          <w:bCs/>
          <w:iCs/>
          <w:spacing w:val="-9"/>
          <w:sz w:val="24"/>
          <w:szCs w:val="24"/>
        </w:rPr>
        <w:t>клас</w:t>
      </w:r>
      <w:r w:rsidRPr="00AE47C6">
        <w:rPr>
          <w:rFonts w:ascii="Times New Roman" w:eastAsia="SimSun" w:hAnsi="Times New Roman"/>
          <w:spacing w:val="3"/>
          <w:sz w:val="24"/>
          <w:szCs w:val="24"/>
        </w:rPr>
        <w:t xml:space="preserve"> III, </w:t>
      </w:r>
      <w:r w:rsidRPr="00AE47C6">
        <w:rPr>
          <w:rFonts w:ascii="Times New Roman" w:eastAsia="SimSun" w:hAnsi="Times New Roman"/>
          <w:bCs/>
          <w:iCs/>
          <w:spacing w:val="-9"/>
          <w:sz w:val="24"/>
          <w:szCs w:val="24"/>
        </w:rPr>
        <w:t>ниво</w:t>
      </w:r>
      <w:r w:rsidRPr="00AE47C6">
        <w:rPr>
          <w:rFonts w:ascii="Times New Roman" w:eastAsia="SimSun" w:hAnsi="Times New Roman"/>
          <w:spacing w:val="3"/>
          <w:sz w:val="24"/>
          <w:szCs w:val="24"/>
        </w:rPr>
        <w:t xml:space="preserve"> C). </w:t>
      </w:r>
    </w:p>
    <w:p w14:paraId="7E883FDF"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
          <w:spacing w:val="3"/>
          <w:sz w:val="24"/>
          <w:szCs w:val="24"/>
        </w:rPr>
      </w:pPr>
      <w:r w:rsidRPr="00AE47C6">
        <w:rPr>
          <w:rFonts w:ascii="Times New Roman" w:eastAsia="SimSun" w:hAnsi="Times New Roman"/>
          <w:b/>
          <w:spacing w:val="3"/>
          <w:sz w:val="24"/>
          <w:szCs w:val="24"/>
        </w:rPr>
        <w:tab/>
      </w:r>
      <w:r w:rsidRPr="00AE47C6">
        <w:rPr>
          <w:rFonts w:ascii="Times New Roman" w:eastAsia="SimSun" w:hAnsi="Times New Roman"/>
          <w:b/>
          <w:bCs/>
          <w:iCs/>
          <w:spacing w:val="-9"/>
          <w:sz w:val="24"/>
          <w:szCs w:val="24"/>
        </w:rPr>
        <w:t>Критерии за декомпресивна хемикраниектомия</w:t>
      </w:r>
    </w:p>
    <w:p w14:paraId="4C0741A0"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Възраст </w:t>
      </w:r>
      <w:r w:rsidRPr="00AE47C6">
        <w:rPr>
          <w:rFonts w:ascii="Times New Roman" w:eastAsia="SimSun" w:hAnsi="Times New Roman"/>
          <w:spacing w:val="3"/>
          <w:sz w:val="24"/>
          <w:szCs w:val="24"/>
        </w:rPr>
        <w:sym w:font="Symbol" w:char="F0A3"/>
      </w:r>
      <w:r w:rsidRPr="00AE47C6">
        <w:rPr>
          <w:rFonts w:ascii="Times New Roman" w:eastAsia="SimSun" w:hAnsi="Times New Roman"/>
          <w:spacing w:val="3"/>
          <w:sz w:val="24"/>
          <w:szCs w:val="24"/>
        </w:rPr>
        <w:t xml:space="preserve"> 60 г. (в някои случаи над 60 години)</w:t>
      </w:r>
    </w:p>
    <w:p w14:paraId="4D6D7B74"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Начало на симптомите &lt; 23 ч. (по изключение &lt;48 ч.)</w:t>
      </w:r>
    </w:p>
    <w:p w14:paraId="7C25F34B"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Наличие на инфарктна зона на проведената КТ и МР с големина над ½ от хемисферата</w:t>
      </w:r>
    </w:p>
    <w:p w14:paraId="56F38280"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Липса на контраиндикации за оперативно лечение</w:t>
      </w:r>
    </w:p>
    <w:p w14:paraId="56E244E3"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Неуспешна реканализация, в т.ч. неуспешна тромболиза, тромбектомия и др.</w:t>
      </w:r>
    </w:p>
    <w:p w14:paraId="417990E1"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Съгласие на близките за извършване на процедурата.</w:t>
      </w:r>
    </w:p>
    <w:p w14:paraId="6FB7EE76"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b/>
          <w:spacing w:val="3"/>
          <w:sz w:val="24"/>
          <w:szCs w:val="24"/>
        </w:rPr>
      </w:pPr>
      <w:r w:rsidRPr="00AE47C6">
        <w:rPr>
          <w:rFonts w:ascii="Times New Roman" w:eastAsia="SimSun" w:hAnsi="Times New Roman"/>
          <w:b/>
          <w:bCs/>
          <w:iCs/>
          <w:spacing w:val="-9"/>
          <w:sz w:val="24"/>
          <w:szCs w:val="24"/>
        </w:rPr>
        <w:t>Контраиндикации</w:t>
      </w:r>
      <w:r w:rsidRPr="00AE47C6">
        <w:rPr>
          <w:rFonts w:ascii="Times New Roman" w:eastAsia="SimSun" w:hAnsi="Times New Roman"/>
          <w:b/>
          <w:spacing w:val="3"/>
          <w:sz w:val="24"/>
          <w:szCs w:val="24"/>
        </w:rPr>
        <w:t xml:space="preserve"> за декомпресивна хемикраниектомия</w:t>
      </w:r>
    </w:p>
    <w:p w14:paraId="7E442631"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Кома с двустранна немедикаментозна мидриаза и зенична арефлексия</w:t>
      </w:r>
    </w:p>
    <w:p w14:paraId="177A136C"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Наличие на повече от три неблагоприятни прогностични фактори: </w:t>
      </w:r>
    </w:p>
    <w:p w14:paraId="4147E62F"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изразена коморбидност; </w:t>
      </w:r>
    </w:p>
    <w:p w14:paraId="7E566BA4"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тежко предшестващо увреждане; </w:t>
      </w:r>
    </w:p>
    <w:p w14:paraId="546C7939"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отказ на близките за извършване на процедурата.</w:t>
      </w:r>
    </w:p>
    <w:p w14:paraId="60736948"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Поставянето на дрениращ катетър във вентрикулите се препоръчва при пациенти с остра хидроцефалия при мозъчен инсулт (клас I, ниво С).</w:t>
      </w:r>
    </w:p>
    <w:p w14:paraId="469AC65F"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Рецидивиращите епилептични припадъци след мозъчен инсулт се лекуват стандартно, с антиепилептични медикаменти, като изборът им се основава на специфичните характеристики за всеки пациент (клас I, ниво С).</w:t>
      </w:r>
    </w:p>
    <w:p w14:paraId="3AB914D6"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Профилактичната употреба на антиконвулсанти не се препоръчва (клас III, ниво C).</w:t>
      </w:r>
    </w:p>
    <w:p w14:paraId="696125EA" w14:textId="77777777" w:rsidR="00BE0B19" w:rsidRPr="00AE47C6" w:rsidRDefault="00BE0B19" w:rsidP="00BE0B19">
      <w:pPr>
        <w:widowControl w:val="0"/>
        <w:numPr>
          <w:ilvl w:val="0"/>
          <w:numId w:val="117"/>
        </w:numPr>
        <w:shd w:val="clear" w:color="auto" w:fill="FFFFFF"/>
        <w:tabs>
          <w:tab w:val="left" w:pos="-360"/>
          <w:tab w:val="left" w:pos="230"/>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spacing w:val="-2"/>
          <w:sz w:val="24"/>
          <w:szCs w:val="24"/>
        </w:rPr>
        <w:t>Реанимационни</w:t>
      </w:r>
      <w:r w:rsidRPr="00AE47C6">
        <w:rPr>
          <w:rFonts w:ascii="Times New Roman" w:eastAsia="SimSun" w:hAnsi="Times New Roman"/>
          <w:b/>
          <w:spacing w:val="-9"/>
          <w:sz w:val="24"/>
          <w:szCs w:val="24"/>
        </w:rPr>
        <w:t xml:space="preserve"> мерки при </w:t>
      </w:r>
      <w:r w:rsidRPr="00AE47C6">
        <w:rPr>
          <w:rFonts w:ascii="Times New Roman" w:eastAsia="SimSun" w:hAnsi="Times New Roman"/>
          <w:b/>
          <w:spacing w:val="3"/>
          <w:sz w:val="24"/>
          <w:szCs w:val="24"/>
        </w:rPr>
        <w:t>усложнения</w:t>
      </w:r>
      <w:r w:rsidRPr="00AE47C6">
        <w:rPr>
          <w:rFonts w:ascii="Times New Roman" w:eastAsia="SimSun" w:hAnsi="Times New Roman"/>
          <w:b/>
          <w:spacing w:val="-9"/>
          <w:sz w:val="24"/>
          <w:szCs w:val="24"/>
        </w:rPr>
        <w:t>:</w:t>
      </w:r>
    </w:p>
    <w:p w14:paraId="4EF8697C"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Седация </w:t>
      </w:r>
    </w:p>
    <w:p w14:paraId="2AF38DF8"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Оротрахеална интубация</w:t>
      </w:r>
    </w:p>
    <w:p w14:paraId="5C9A275A"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Извършване на трахеостомия</w:t>
      </w:r>
    </w:p>
    <w:p w14:paraId="20E493BE"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Поставяне на централен венозен път и следене на ЦВН</w:t>
      </w:r>
    </w:p>
    <w:p w14:paraId="7C04B703"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Кръвопреливане</w:t>
      </w:r>
    </w:p>
    <w:p w14:paraId="5BEDE9DF"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При </w:t>
      </w:r>
      <w:r w:rsidRPr="00AE47C6">
        <w:rPr>
          <w:rFonts w:ascii="Times New Roman" w:eastAsia="SimSun" w:hAnsi="Times New Roman"/>
          <w:b/>
          <w:spacing w:val="-2"/>
          <w:sz w:val="24"/>
          <w:szCs w:val="24"/>
        </w:rPr>
        <w:t>коматозни</w:t>
      </w:r>
      <w:r w:rsidRPr="00AE47C6">
        <w:rPr>
          <w:rFonts w:ascii="Times New Roman" w:eastAsia="SimSun" w:hAnsi="Times New Roman"/>
          <w:b/>
          <w:sz w:val="24"/>
          <w:szCs w:val="24"/>
        </w:rPr>
        <w:t xml:space="preserve"> състояния</w:t>
      </w:r>
      <w:r w:rsidRPr="00AE47C6">
        <w:rPr>
          <w:rFonts w:ascii="Times New Roman" w:eastAsia="SimSun" w:hAnsi="Times New Roman"/>
          <w:sz w:val="24"/>
          <w:szCs w:val="24"/>
        </w:rPr>
        <w:t xml:space="preserve"> се прове</w:t>
      </w:r>
      <w:r w:rsidRPr="00AE47C6">
        <w:rPr>
          <w:rFonts w:ascii="Times New Roman" w:eastAsia="SimSun" w:hAnsi="Times New Roman"/>
          <w:spacing w:val="6"/>
          <w:sz w:val="24"/>
          <w:szCs w:val="24"/>
        </w:rPr>
        <w:t>ж</w:t>
      </w:r>
      <w:r w:rsidRPr="00AE47C6">
        <w:rPr>
          <w:rFonts w:ascii="Times New Roman" w:eastAsia="SimSun" w:hAnsi="Times New Roman"/>
          <w:sz w:val="24"/>
          <w:szCs w:val="24"/>
        </w:rPr>
        <w:t xml:space="preserve">дат </w:t>
      </w:r>
      <w:r w:rsidRPr="00AE47C6">
        <w:rPr>
          <w:rFonts w:ascii="Times New Roman" w:eastAsia="SimSun" w:hAnsi="Times New Roman"/>
          <w:spacing w:val="1"/>
          <w:sz w:val="24"/>
          <w:szCs w:val="24"/>
        </w:rPr>
        <w:t>спешни подпомагащи мероприятия:</w:t>
      </w:r>
    </w:p>
    <w:p w14:paraId="5131EC8C"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осигуряване проходимостта на дихателните пътища.</w:t>
      </w:r>
    </w:p>
    <w:p w14:paraId="034C9D37"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осигуряване на венозен път и инфузия на водно-солеви разтвори.</w:t>
      </w:r>
    </w:p>
    <w:p w14:paraId="2D37FF1A"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антиепилептична терапия при епилептични гърчове.</w:t>
      </w:r>
    </w:p>
    <w:p w14:paraId="58426429"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spacing w:val="2"/>
          <w:w w:val="90"/>
          <w:sz w:val="24"/>
          <w:szCs w:val="24"/>
        </w:rPr>
        <w:t xml:space="preserve">Общи </w:t>
      </w:r>
      <w:r w:rsidRPr="00AE47C6">
        <w:rPr>
          <w:rFonts w:ascii="Times New Roman" w:eastAsia="SimSun" w:hAnsi="Times New Roman"/>
          <w:b/>
          <w:spacing w:val="-2"/>
          <w:sz w:val="24"/>
          <w:szCs w:val="24"/>
        </w:rPr>
        <w:t>грижи</w:t>
      </w:r>
      <w:r w:rsidRPr="00AE47C6">
        <w:rPr>
          <w:rFonts w:ascii="Times New Roman" w:eastAsia="SimSun" w:hAnsi="Times New Roman"/>
          <w:b/>
          <w:bCs/>
          <w:spacing w:val="2"/>
          <w:w w:val="90"/>
          <w:sz w:val="24"/>
          <w:szCs w:val="24"/>
        </w:rPr>
        <w:t xml:space="preserve"> за болния:</w:t>
      </w:r>
    </w:p>
    <w:p w14:paraId="06094FF7"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Тоалет на устата, очите, гениталиите и тялото, разтриване и талкиране.</w:t>
      </w:r>
    </w:p>
    <w:p w14:paraId="2E4D6CC1"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Промяна положението на тялото на 2 часа.</w:t>
      </w:r>
    </w:p>
    <w:p w14:paraId="6B520087"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Поставяне в дренажни положения (не при САК).</w:t>
      </w:r>
    </w:p>
    <w:p w14:paraId="43EB21C5"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Почукващ и вибрационен масаж на гръдния кош (не при САК).</w:t>
      </w:r>
    </w:p>
    <w:p w14:paraId="2E7B5D9B"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Дихателна гимнастика.</w:t>
      </w:r>
    </w:p>
    <w:p w14:paraId="4DC2D162"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Орална и/или оротрахеална аспирация.</w:t>
      </w:r>
    </w:p>
    <w:p w14:paraId="45E780C8"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Грижи за дефекация и уриниране (събиране и отчитане на диуреза).</w:t>
      </w:r>
    </w:p>
    <w:p w14:paraId="5D444CE0"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Промивка на уретрален катетър.</w:t>
      </w:r>
    </w:p>
    <w:p w14:paraId="20460D83"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Обработка на рани, декубитуси и др.</w:t>
      </w:r>
    </w:p>
    <w:p w14:paraId="3A810FCA"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Поставяне на омекотяващи превръзки на петите на краката като профилактика на декубитуси.</w:t>
      </w:r>
    </w:p>
    <w:p w14:paraId="044790E1"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Двигателна рехабилитация и кинезитерапия (не при САК).</w:t>
      </w:r>
    </w:p>
    <w:p w14:paraId="488DA8B5"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Лечебен масаж (не при САК).</w:t>
      </w:r>
    </w:p>
    <w:p w14:paraId="7D8DFE98"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Грижа за болен с количествени нарушения на съзнанието.</w:t>
      </w:r>
    </w:p>
    <w:p w14:paraId="4B6CFB10"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Грижа за болен с назогастрална сонда.</w:t>
      </w:r>
    </w:p>
    <w:p w14:paraId="2EE879BE"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Грижа за интубиран болен.</w:t>
      </w:r>
    </w:p>
    <w:p w14:paraId="27933B34"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Грижа за трахеотомиран болен.</w:t>
      </w:r>
    </w:p>
    <w:p w14:paraId="5652F0D0"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b/>
          <w:spacing w:val="-2"/>
          <w:sz w:val="24"/>
          <w:szCs w:val="24"/>
        </w:rPr>
      </w:pPr>
      <w:r w:rsidRPr="00AE47C6">
        <w:rPr>
          <w:rFonts w:ascii="Times New Roman" w:eastAsia="SimSun" w:hAnsi="Times New Roman"/>
          <w:b/>
          <w:spacing w:val="-2"/>
          <w:sz w:val="24"/>
          <w:szCs w:val="24"/>
        </w:rPr>
        <w:t xml:space="preserve">Необходимо е редовно мониториране: </w:t>
      </w:r>
      <w:r w:rsidRPr="00AE47C6">
        <w:rPr>
          <w:rFonts w:ascii="Times New Roman" w:eastAsia="SimSun" w:hAnsi="Times New Roman"/>
          <w:b/>
          <w:bCs/>
          <w:iCs/>
          <w:spacing w:val="-9"/>
          <w:sz w:val="24"/>
          <w:szCs w:val="24"/>
        </w:rPr>
        <w:t>(фиг. 1.1)</w:t>
      </w:r>
    </w:p>
    <w:p w14:paraId="46ED3ADF"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Неврологичен статус</w:t>
      </w:r>
    </w:p>
    <w:p w14:paraId="15F858A7"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Телесна температура </w:t>
      </w:r>
    </w:p>
    <w:p w14:paraId="736DB7C3"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Кислородна сатурация (рО2) на артериалната кръв чрез пулсов оксиметър за 72 часа при пациенти със значителен персистиращ неврологичен дефицит (ДКП). При САК - скалата на Hunt и Hess.</w:t>
      </w:r>
    </w:p>
    <w:p w14:paraId="532F9D6A"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Дишане - честота, дълбочина, ритъм, тип</w:t>
      </w:r>
    </w:p>
    <w:p w14:paraId="64B6C2CC"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Съзнание - скалата на Glasgow-Liege Coma (GLСS)</w:t>
      </w:r>
    </w:p>
    <w:p w14:paraId="525BFD66"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Артериално налягане, пулс, сърдечен ритъм</w:t>
      </w:r>
    </w:p>
    <w:p w14:paraId="2E152479"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ЕКГ</w:t>
      </w:r>
    </w:p>
    <w:p w14:paraId="7C24F771"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Водно-електролитния баланс на организма при пациенти с тежък инсулт или трудности в преглъщането (ДКП) </w:t>
      </w:r>
    </w:p>
    <w:p w14:paraId="3135A0D0"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Диурезата </w:t>
      </w:r>
    </w:p>
    <w:p w14:paraId="716721A7"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Нивото на кръвната захар (ДКП) </w:t>
      </w:r>
    </w:p>
    <w:p w14:paraId="1C82F88F"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Храненето и гълтането</w:t>
      </w:r>
    </w:p>
    <w:p w14:paraId="67864736"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b/>
          <w:spacing w:val="2"/>
          <w:sz w:val="24"/>
          <w:szCs w:val="24"/>
        </w:rPr>
      </w:pPr>
      <w:r w:rsidRPr="00AE47C6">
        <w:rPr>
          <w:rFonts w:ascii="Times New Roman" w:eastAsia="SimSun" w:hAnsi="Times New Roman"/>
          <w:b/>
          <w:spacing w:val="2"/>
          <w:sz w:val="24"/>
          <w:szCs w:val="24"/>
        </w:rPr>
        <w:t>Контрол върху придружаващите соматични заболявания: (</w:t>
      </w:r>
      <w:r w:rsidRPr="00AE47C6">
        <w:rPr>
          <w:rFonts w:ascii="Times New Roman" w:eastAsia="SimSun" w:hAnsi="Times New Roman"/>
          <w:spacing w:val="2"/>
          <w:sz w:val="24"/>
          <w:szCs w:val="24"/>
        </w:rPr>
        <w:t>фиг. 1. 1</w:t>
      </w:r>
      <w:r w:rsidRPr="00AE47C6">
        <w:rPr>
          <w:rFonts w:ascii="Times New Roman" w:eastAsia="SimSun" w:hAnsi="Times New Roman"/>
          <w:b/>
          <w:spacing w:val="2"/>
          <w:sz w:val="24"/>
          <w:szCs w:val="24"/>
        </w:rPr>
        <w:t>)</w:t>
      </w:r>
    </w:p>
    <w:p w14:paraId="2566C47A"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Захарен диабет</w:t>
      </w:r>
    </w:p>
    <w:p w14:paraId="728C3856"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Артериална хипертония</w:t>
      </w:r>
    </w:p>
    <w:p w14:paraId="085A280B"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Сърдечна недостатъчност и ритъмни нарушения</w:t>
      </w:r>
    </w:p>
    <w:p w14:paraId="05BED796"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Бъбречни заболявания и бъбречна недостатъчност</w:t>
      </w:r>
    </w:p>
    <w:p w14:paraId="056141B4"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Чернодробни заболявания</w:t>
      </w:r>
    </w:p>
    <w:p w14:paraId="7F22504F"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Кръвни заболявания</w:t>
      </w:r>
    </w:p>
    <w:p w14:paraId="626FD032"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Епилепсия</w:t>
      </w:r>
    </w:p>
    <w:p w14:paraId="769304C6"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Малигнени заболявания</w:t>
      </w:r>
    </w:p>
    <w:p w14:paraId="012B0E61"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pacing w:val="2"/>
          <w:sz w:val="24"/>
          <w:szCs w:val="24"/>
        </w:rPr>
      </w:pPr>
      <w:r w:rsidRPr="00AE47C6">
        <w:rPr>
          <w:rFonts w:ascii="Times New Roman" w:eastAsia="SimSun" w:hAnsi="Times New Roman"/>
          <w:b/>
          <w:spacing w:val="2"/>
          <w:sz w:val="24"/>
          <w:szCs w:val="24"/>
        </w:rPr>
        <w:t>Наблюдение за развитие на  усложнения и лечение:</w:t>
      </w:r>
      <w:r w:rsidRPr="00AE47C6">
        <w:rPr>
          <w:rFonts w:ascii="Times New Roman" w:eastAsia="SimSun" w:hAnsi="Times New Roman"/>
          <w:spacing w:val="2"/>
          <w:sz w:val="24"/>
          <w:szCs w:val="24"/>
        </w:rPr>
        <w:t xml:space="preserve"> (фиг.1. 1)</w:t>
      </w:r>
    </w:p>
    <w:p w14:paraId="6BD348D2"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Белодробни инфекции, пневмония, аспирация, ателектаза </w:t>
      </w:r>
    </w:p>
    <w:p w14:paraId="239D993A"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Уринарни инфекции </w:t>
      </w:r>
    </w:p>
    <w:p w14:paraId="700C0B87"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Сепсис </w:t>
      </w:r>
    </w:p>
    <w:p w14:paraId="1923227F"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Декубитуси - хирургична обработка</w:t>
      </w:r>
    </w:p>
    <w:p w14:paraId="73EF1DB4"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Усложнения, свързани с инвазивни изследвания.</w:t>
      </w:r>
    </w:p>
    <w:p w14:paraId="37536BBE"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Оценка на риска от падане се препоръчва за всички пациенти с инсулт (ДКП). </w:t>
      </w:r>
    </w:p>
    <w:p w14:paraId="16591A7D" w14:textId="77777777" w:rsidR="00BE0B19" w:rsidRPr="00AE47C6" w:rsidRDefault="00BE0B19" w:rsidP="00BE0B19">
      <w:pPr>
        <w:shd w:val="clear" w:color="auto" w:fill="FFFFFF"/>
        <w:tabs>
          <w:tab w:val="left" w:pos="264"/>
        </w:tabs>
        <w:spacing w:after="0" w:line="360" w:lineRule="auto"/>
        <w:ind w:left="720"/>
        <w:jc w:val="both"/>
        <w:rPr>
          <w:rFonts w:ascii="Times New Roman" w:eastAsia="SimSun" w:hAnsi="Times New Roman"/>
          <w:spacing w:val="-11"/>
          <w:sz w:val="24"/>
          <w:szCs w:val="24"/>
        </w:rPr>
      </w:pPr>
    </w:p>
    <w:p w14:paraId="7359E54E" w14:textId="77777777" w:rsidR="00BE0B19" w:rsidRPr="00AE47C6" w:rsidRDefault="00BE0B19" w:rsidP="00BE0B19">
      <w:pPr>
        <w:spacing w:before="240" w:after="240" w:line="240" w:lineRule="auto"/>
        <w:outlineLvl w:val="4"/>
        <w:rPr>
          <w:rFonts w:ascii="Times New Roman" w:eastAsia="SimSun" w:hAnsi="Times New Roman"/>
          <w:b/>
          <w:bCs/>
          <w:iCs/>
          <w:sz w:val="24"/>
          <w:szCs w:val="26"/>
        </w:rPr>
      </w:pPr>
      <w:r w:rsidRPr="00AE47C6">
        <w:rPr>
          <w:rFonts w:ascii="Times New Roman" w:eastAsia="SimSun" w:hAnsi="Times New Roman"/>
          <w:b/>
          <w:bCs/>
          <w:iCs/>
          <w:sz w:val="24"/>
          <w:szCs w:val="26"/>
        </w:rPr>
        <w:t>1.3.1.2.3. Симптоматично лечение на последиците от инсулта</w:t>
      </w:r>
    </w:p>
    <w:p w14:paraId="5ABECE81" w14:textId="77777777" w:rsidR="00BE0B19" w:rsidRPr="00AE47C6" w:rsidRDefault="00BE0B19" w:rsidP="00BE0B19">
      <w:pPr>
        <w:widowControl w:val="0"/>
        <w:numPr>
          <w:ilvl w:val="0"/>
          <w:numId w:val="118"/>
        </w:numPr>
        <w:shd w:val="clear" w:color="auto" w:fill="FFFFFF"/>
        <w:tabs>
          <w:tab w:val="left" w:pos="220"/>
        </w:tabs>
        <w:autoSpaceDE w:val="0"/>
        <w:autoSpaceDN w:val="0"/>
        <w:adjustRightInd w:val="0"/>
        <w:spacing w:after="0" w:line="360" w:lineRule="auto"/>
        <w:ind w:left="0" w:firstLine="709"/>
        <w:jc w:val="both"/>
        <w:rPr>
          <w:rFonts w:ascii="Times New Roman" w:eastAsia="SimSun" w:hAnsi="Times New Roman"/>
          <w:b/>
          <w:sz w:val="24"/>
          <w:szCs w:val="24"/>
        </w:rPr>
      </w:pPr>
      <w:r w:rsidRPr="00AE47C6">
        <w:rPr>
          <w:rFonts w:ascii="Times New Roman" w:eastAsia="SimSun" w:hAnsi="Times New Roman"/>
          <w:b/>
          <w:sz w:val="24"/>
          <w:szCs w:val="24"/>
        </w:rPr>
        <w:t>Мултидисциплинарни грижи, двигателна и речево-говорна рехабилитация за пациентите с мозъчен инсулт</w:t>
      </w:r>
    </w:p>
    <w:p w14:paraId="65051DBA"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При приемане в отделение за лечение на инсулти се препоръчва на пациентите с остър инсулт да бъде приложена координирана мултидисциплинарна рехабилитация (клас I, ниво A). </w:t>
      </w:r>
    </w:p>
    <w:p w14:paraId="105253DF"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Препоръчва се ранно започване на рехабилитация при всички пациенти с инсулт (клас III, ниво C). Данните относно конкретното лечение на тежко увредени пациенти са недостатъчни (клас II, ниво B). </w:t>
      </w:r>
    </w:p>
    <w:p w14:paraId="416849AF"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Интензивна ранна рехабилитация в рамките на 24 часа от началото на инсулта не трябва да се прилага поради риск от намаляване шансовете за добро повлияване до третия месец (клас III, ниво B).</w:t>
      </w:r>
    </w:p>
    <w:p w14:paraId="58DF96D7" w14:textId="77777777" w:rsidR="00BE0B19" w:rsidRPr="00AE47C6" w:rsidRDefault="00BE0B19" w:rsidP="00BE0B19">
      <w:pPr>
        <w:widowControl w:val="0"/>
        <w:numPr>
          <w:ilvl w:val="0"/>
          <w:numId w:val="117"/>
        </w:numPr>
        <w:shd w:val="clear" w:color="auto" w:fill="FFFFFF"/>
        <w:tabs>
          <w:tab w:val="left" w:pos="-360"/>
          <w:tab w:val="left" w:pos="220"/>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Ранно изписване от отделение за лечение на инсулти е възможно при стабилизирани пациенти с леко до умерено увреждане при условие, че се осигурят условия за продължаване на рехабилитацията извън болницата от специалисти в областта на мозъчния инсулт (клас I, ниво A). </w:t>
      </w:r>
    </w:p>
    <w:p w14:paraId="14AA8EE6"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Препоръчва се рехабилитацията да се продължи след изписване, през първата година от инсулта (клас II, ниво A). Препоръчва се увеличаване на продължителността и интензитета на рехабилитацията (клас II, ниво B). </w:t>
      </w:r>
    </w:p>
    <w:p w14:paraId="6E38CA65"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Препоръчва се физиотерапия, но оптималният метод е все още спорен (клас I, ниво A).</w:t>
      </w:r>
    </w:p>
    <w:p w14:paraId="13B9716A"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Препоръчва се трудова терапия, но оптималният метод е спорен (клас I, ниво A).</w:t>
      </w:r>
    </w:p>
    <w:p w14:paraId="4C40B890" w14:textId="77777777" w:rsidR="00BE0B19" w:rsidRPr="00AE47C6" w:rsidRDefault="00BE0B19" w:rsidP="00BE0B19">
      <w:pPr>
        <w:widowControl w:val="0"/>
        <w:numPr>
          <w:ilvl w:val="0"/>
          <w:numId w:val="117"/>
        </w:numPr>
        <w:shd w:val="clear" w:color="auto" w:fill="FFFFFF"/>
        <w:tabs>
          <w:tab w:val="left" w:pos="-360"/>
          <w:tab w:val="left" w:pos="216"/>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Провеждане на ранна когнитивна и езикова рехабилитация в зависимост от състоянието на пациента от клиничен невропсихолог (или психолог и логопед с допълнителна специализация по афазиология/невропсихология).</w:t>
      </w:r>
    </w:p>
    <w:p w14:paraId="69F549F8"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Препоръчва се информираност на пациенти, обгрижващ персонал и близки - гледачи, но данните не подкрепят необходимостта от специализирана служба обхващаща всички пациенти (клас II, ниво B). </w:t>
      </w:r>
    </w:p>
    <w:p w14:paraId="0223B140"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Уместно е болните и близките при необходимост да бъдат насочвани към звена за палиативна грижа (клас IIa, ниво C).</w:t>
      </w:r>
    </w:p>
    <w:p w14:paraId="2E5384EC"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При спастично повишен мускулен тонус:</w:t>
      </w:r>
    </w:p>
    <w:p w14:paraId="551F0CB4"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Ботулинов токсин локално в засегнатите мускули (клас III, ниво B). </w:t>
      </w:r>
    </w:p>
    <w:p w14:paraId="2337445D"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Tizanidine 12 – 24 mg дн. </w:t>
      </w:r>
    </w:p>
    <w:p w14:paraId="1A4657A3"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Baclofen 50 – 75 mg дн. </w:t>
      </w:r>
    </w:p>
    <w:p w14:paraId="179CD65E"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pacing w:val="9"/>
          <w:sz w:val="24"/>
          <w:szCs w:val="24"/>
        </w:rPr>
      </w:pPr>
      <w:r w:rsidRPr="00AE47C6">
        <w:rPr>
          <w:rFonts w:ascii="Times New Roman" w:eastAsia="SimSun" w:hAnsi="Times New Roman"/>
          <w:sz w:val="24"/>
          <w:szCs w:val="24"/>
        </w:rPr>
        <w:t xml:space="preserve">Лечение на съдовите когнитивни нарушения и смесена деменция </w:t>
      </w:r>
      <w:r w:rsidRPr="00AE47C6">
        <w:rPr>
          <w:rFonts w:ascii="Times New Roman" w:eastAsia="SimSun" w:hAnsi="Times New Roman"/>
          <w:spacing w:val="9"/>
          <w:sz w:val="24"/>
          <w:szCs w:val="24"/>
        </w:rPr>
        <w:t>(Виж „Национален консенсус за ранна диагностика и лечение на болестта на Alzheimer и други форми на деменция”).</w:t>
      </w:r>
    </w:p>
    <w:p w14:paraId="76D898EE"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iCs/>
          <w:spacing w:val="-2"/>
          <w:sz w:val="24"/>
          <w:szCs w:val="24"/>
        </w:rPr>
      </w:pPr>
      <w:r w:rsidRPr="00AE47C6">
        <w:rPr>
          <w:rFonts w:ascii="Times New Roman" w:eastAsia="SimSun" w:hAnsi="Times New Roman"/>
          <w:iCs/>
          <w:spacing w:val="-2"/>
          <w:sz w:val="24"/>
          <w:szCs w:val="24"/>
        </w:rPr>
        <w:t>Лечение на депресията</w:t>
      </w:r>
    </w:p>
    <w:p w14:paraId="6E6FD8EC"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Препоръчва се прилагането на структурирано интервю за депресия като рутинен скрининг на постинсултна депресия (клас I, ниво B).</w:t>
      </w:r>
    </w:p>
    <w:p w14:paraId="53E1B651" w14:textId="77777777" w:rsidR="00BE0B19" w:rsidRPr="00AE47C6" w:rsidRDefault="00BE0B19" w:rsidP="00BE0B19">
      <w:pPr>
        <w:numPr>
          <w:ilvl w:val="0"/>
          <w:numId w:val="115"/>
        </w:numPr>
        <w:tabs>
          <w:tab w:val="left"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Пациентите с постинсултна депресия трябва да бъдат лекувани с антидепресанти при липса на контраиндикации и редовно проследявани за ефекта от лечението (клас I, ниво B).</w:t>
      </w:r>
    </w:p>
    <w:p w14:paraId="151C2083"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Медикаментозна терапия и нелекарствени методи се препоръчват за подобряване на настроението (клас I, ниво A).</w:t>
      </w:r>
    </w:p>
    <w:p w14:paraId="73180852"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Препоръчва се лечение на постинсултна невропатна болка (клас III, ниво B). </w:t>
      </w:r>
    </w:p>
    <w:p w14:paraId="7C041D9C"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iCs/>
          <w:spacing w:val="-2"/>
          <w:sz w:val="24"/>
          <w:szCs w:val="24"/>
        </w:rPr>
      </w:pPr>
      <w:r w:rsidRPr="00AE47C6">
        <w:rPr>
          <w:rFonts w:ascii="Times New Roman" w:eastAsia="SimSun" w:hAnsi="Times New Roman"/>
          <w:iCs/>
          <w:spacing w:val="-2"/>
          <w:sz w:val="24"/>
          <w:szCs w:val="24"/>
        </w:rPr>
        <w:t>Лечение на психотичните и поведенчески разстройства</w:t>
      </w:r>
    </w:p>
    <w:p w14:paraId="44F0D232"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Атипични невролептици.</w:t>
      </w:r>
    </w:p>
    <w:p w14:paraId="65BCB0FD"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Конвенционални невролептици.</w:t>
      </w:r>
    </w:p>
    <w:p w14:paraId="12DEB82C"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Лечение на сънните разстройства.</w:t>
      </w:r>
    </w:p>
    <w:p w14:paraId="054C36CC"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iCs/>
          <w:spacing w:val="-2"/>
          <w:sz w:val="24"/>
          <w:szCs w:val="24"/>
        </w:rPr>
        <w:t>Профилактика</w:t>
      </w:r>
      <w:r w:rsidRPr="00AE47C6">
        <w:rPr>
          <w:rFonts w:ascii="Times New Roman" w:eastAsia="SimSun" w:hAnsi="Times New Roman"/>
          <w:iCs/>
          <w:spacing w:val="-3"/>
          <w:sz w:val="24"/>
          <w:szCs w:val="24"/>
        </w:rPr>
        <w:t xml:space="preserve"> и лечение на дълбоки венозни тромбози</w:t>
      </w:r>
    </w:p>
    <w:p w14:paraId="57DED62C" w14:textId="77777777" w:rsidR="00BE0B19" w:rsidRPr="00AE47C6" w:rsidRDefault="00BE0B19" w:rsidP="00BE0B19">
      <w:pPr>
        <w:numPr>
          <w:ilvl w:val="0"/>
          <w:numId w:val="115"/>
        </w:numPr>
        <w:tabs>
          <w:tab w:val="clear" w:pos="720"/>
        </w:tabs>
        <w:spacing w:after="0" w:line="360" w:lineRule="auto"/>
        <w:jc w:val="both"/>
        <w:rPr>
          <w:rFonts w:ascii="Times New Roman" w:eastAsia="SimSun" w:hAnsi="Times New Roman"/>
          <w:i/>
          <w:sz w:val="24"/>
          <w:szCs w:val="24"/>
        </w:rPr>
      </w:pPr>
      <w:r w:rsidRPr="00AE47C6">
        <w:rPr>
          <w:rFonts w:ascii="Times New Roman" w:eastAsia="SimSun" w:hAnsi="Times New Roman"/>
          <w:spacing w:val="5"/>
          <w:sz w:val="24"/>
          <w:szCs w:val="24"/>
        </w:rPr>
        <w:t>Ниско молекулни хепарини подкожно</w:t>
      </w:r>
      <w:r w:rsidRPr="00AE47C6">
        <w:rPr>
          <w:rFonts w:ascii="Times New Roman" w:eastAsia="SimSun" w:hAnsi="Times New Roman"/>
          <w:i/>
          <w:spacing w:val="5"/>
          <w:sz w:val="24"/>
          <w:szCs w:val="24"/>
        </w:rPr>
        <w:t>.</w:t>
      </w:r>
    </w:p>
    <w:p w14:paraId="1ACB3A51" w14:textId="77777777" w:rsidR="00BE0B19" w:rsidRPr="00AE47C6" w:rsidRDefault="00BE0B19" w:rsidP="00BE0B19">
      <w:pPr>
        <w:spacing w:after="0" w:line="360" w:lineRule="auto"/>
        <w:ind w:firstLine="567"/>
        <w:jc w:val="both"/>
        <w:rPr>
          <w:rFonts w:ascii="Times New Roman" w:eastAsia="SimSun" w:hAnsi="Times New Roman"/>
          <w:b/>
          <w:sz w:val="24"/>
          <w:szCs w:val="24"/>
        </w:rPr>
      </w:pPr>
    </w:p>
    <w:p w14:paraId="0188F139" w14:textId="77777777" w:rsidR="00BE0B19" w:rsidRPr="00AE47C6" w:rsidRDefault="00BE0B19" w:rsidP="00BE0B19">
      <w:pPr>
        <w:shd w:val="clear" w:color="auto" w:fill="FFFFFF"/>
        <w:spacing w:after="0" w:line="360" w:lineRule="auto"/>
        <w:jc w:val="both"/>
        <w:rPr>
          <w:rFonts w:ascii="Times New Roman" w:eastAsia="SimSun" w:hAnsi="Times New Roman"/>
          <w:b/>
          <w:spacing w:val="-5"/>
          <w:sz w:val="24"/>
          <w:szCs w:val="24"/>
        </w:rPr>
      </w:pPr>
    </w:p>
    <w:p w14:paraId="7D9AC93B"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17" w:name="_Toc155651708"/>
      <w:bookmarkStart w:id="18" w:name="_Toc164075840"/>
      <w:r w:rsidRPr="00AE47C6">
        <w:rPr>
          <w:rFonts w:ascii="Times New Roman" w:eastAsia="SimSun" w:hAnsi="Times New Roman"/>
          <w:b/>
          <w:sz w:val="24"/>
          <w:szCs w:val="24"/>
        </w:rPr>
        <w:t>1.4. Профилактика на мозъчните инсулти</w:t>
      </w:r>
      <w:bookmarkEnd w:id="17"/>
      <w:bookmarkEnd w:id="18"/>
    </w:p>
    <w:p w14:paraId="3626DF1C" w14:textId="77777777" w:rsidR="00BE0B19" w:rsidRPr="00AE47C6" w:rsidRDefault="00BE0B19" w:rsidP="00BE0B19">
      <w:pPr>
        <w:rPr>
          <w:rFonts w:ascii="Times New Roman" w:eastAsia="SimSun" w:hAnsi="Times New Roman"/>
        </w:rPr>
      </w:pPr>
    </w:p>
    <w:p w14:paraId="0C4A1229"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pacing w:val="-5"/>
          <w:sz w:val="24"/>
          <w:szCs w:val="24"/>
          <w:lang w:eastAsia="bg-BG"/>
        </w:rPr>
      </w:pPr>
      <w:r w:rsidRPr="00AE47C6">
        <w:rPr>
          <w:rFonts w:ascii="Times New Roman" w:eastAsia="SimSun" w:hAnsi="Times New Roman"/>
          <w:sz w:val="24"/>
          <w:szCs w:val="24"/>
          <w:lang w:eastAsia="bg-BG"/>
        </w:rPr>
        <w:t xml:space="preserve">Алгоритъмът  за първична и вторична профилактика на исхемичните мозъчни инсулти </w:t>
      </w:r>
      <w:r w:rsidRPr="00AE47C6">
        <w:rPr>
          <w:rFonts w:ascii="Times New Roman" w:eastAsia="SimSun" w:hAnsi="Times New Roman"/>
          <w:spacing w:val="-5"/>
          <w:sz w:val="24"/>
          <w:szCs w:val="24"/>
          <w:lang w:eastAsia="bg-BG"/>
        </w:rPr>
        <w:t>е представен на Фиг. 1.4.</w:t>
      </w:r>
    </w:p>
    <w:p w14:paraId="10A77255" w14:textId="77777777" w:rsidR="00BE0B19" w:rsidRPr="00AE47C6" w:rsidRDefault="00BE0B19" w:rsidP="00BE0B19">
      <w:pPr>
        <w:shd w:val="clear" w:color="auto" w:fill="FFFFFF"/>
        <w:spacing w:after="0" w:line="360" w:lineRule="auto"/>
        <w:ind w:left="1080"/>
        <w:contextualSpacing/>
        <w:jc w:val="both"/>
        <w:rPr>
          <w:rFonts w:ascii="Times New Roman" w:eastAsia="SimSun" w:hAnsi="Times New Roman"/>
          <w:spacing w:val="-5"/>
          <w:sz w:val="24"/>
          <w:szCs w:val="24"/>
        </w:rPr>
      </w:pPr>
    </w:p>
    <w:p w14:paraId="02D9ECA4" w14:textId="77777777" w:rsidR="00BE0B19" w:rsidRPr="00AE47C6" w:rsidRDefault="00BE0B19" w:rsidP="00BE0B19">
      <w:pPr>
        <w:shd w:val="clear" w:color="auto" w:fill="FFFFFF"/>
        <w:tabs>
          <w:tab w:val="left" w:pos="226"/>
        </w:tabs>
        <w:spacing w:after="0" w:line="360" w:lineRule="auto"/>
        <w:jc w:val="both"/>
        <w:rPr>
          <w:rFonts w:ascii="Times New Roman" w:eastAsia="SimSun" w:hAnsi="Times New Roman"/>
          <w:spacing w:val="-4"/>
          <w:sz w:val="24"/>
          <w:szCs w:val="24"/>
        </w:rPr>
      </w:pPr>
      <w:r w:rsidRPr="00AE47C6">
        <w:rPr>
          <w:rFonts w:ascii="Times New Roman" w:eastAsia="SimSun" w:hAnsi="Times New Roman"/>
          <w:noProof/>
          <w:sz w:val="24"/>
          <w:szCs w:val="24"/>
          <w:lang w:eastAsia="bg-BG"/>
        </w:rPr>
        <w:drawing>
          <wp:inline distT="0" distB="0" distL="0" distR="0" wp14:anchorId="4C0FDCAD" wp14:editId="1791BB9B">
            <wp:extent cx="5686425" cy="4724400"/>
            <wp:effectExtent l="1905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srcRect/>
                    <a:stretch>
                      <a:fillRect/>
                    </a:stretch>
                  </pic:blipFill>
                  <pic:spPr bwMode="auto">
                    <a:xfrm>
                      <a:off x="0" y="0"/>
                      <a:ext cx="5686425" cy="4724400"/>
                    </a:xfrm>
                    <a:prstGeom prst="rect">
                      <a:avLst/>
                    </a:prstGeom>
                    <a:noFill/>
                    <a:ln w="9525">
                      <a:noFill/>
                      <a:miter lim="800000"/>
                      <a:headEnd/>
                      <a:tailEnd/>
                    </a:ln>
                  </pic:spPr>
                </pic:pic>
              </a:graphicData>
            </a:graphic>
          </wp:inline>
        </w:drawing>
      </w:r>
    </w:p>
    <w:p w14:paraId="7D58072C"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Фиг.1.4. Алгоритъм за първична и вторична профилактика на исхемичните мозъчни инсулти</w:t>
      </w:r>
    </w:p>
    <w:p w14:paraId="35181AA6"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9" w:name="_Toc155651709"/>
      <w:bookmarkStart w:id="20" w:name="_Toc164075841"/>
      <w:r w:rsidRPr="00AE47C6">
        <w:rPr>
          <w:rFonts w:ascii="Times New Roman" w:eastAsia="SimSun" w:hAnsi="Times New Roman"/>
          <w:b/>
          <w:sz w:val="24"/>
          <w:szCs w:val="20"/>
          <w:lang w:eastAsia="ja-JP"/>
        </w:rPr>
        <w:t>1.4.1. Първична профилактика на мозъчните инсулти</w:t>
      </w:r>
      <w:bookmarkEnd w:id="19"/>
      <w:bookmarkEnd w:id="20"/>
    </w:p>
    <w:p w14:paraId="78C31FDA"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1"/>
          <w:sz w:val="24"/>
          <w:szCs w:val="24"/>
        </w:rPr>
      </w:pPr>
      <w:r w:rsidRPr="00AE47C6">
        <w:rPr>
          <w:rFonts w:ascii="Times New Roman" w:eastAsia="SimSun" w:hAnsi="Times New Roman"/>
          <w:spacing w:val="-1"/>
          <w:sz w:val="24"/>
          <w:szCs w:val="24"/>
        </w:rPr>
        <w:t xml:space="preserve">Целта е да се намали рискът от инсулт при асимптомни индивиди. </w:t>
      </w:r>
      <w:r w:rsidRPr="00AE47C6">
        <w:rPr>
          <w:rFonts w:ascii="Times New Roman" w:eastAsia="SimSun" w:hAnsi="Times New Roman"/>
          <w:spacing w:val="-5"/>
          <w:sz w:val="24"/>
          <w:szCs w:val="24"/>
        </w:rPr>
        <w:t>Всеки шест секунди по света умира човек от мозъчен инсулт, затова мотото на кампанията на WSO (Световната организация за инсулти) „Един от шест” изисква спазването на 6 прости правила:</w:t>
      </w:r>
    </w:p>
    <w:p w14:paraId="70A9EE52"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1"/>
          <w:sz w:val="24"/>
          <w:szCs w:val="24"/>
        </w:rPr>
      </w:pPr>
      <w:r w:rsidRPr="00AE47C6">
        <w:rPr>
          <w:rFonts w:ascii="Times New Roman" w:eastAsia="SimSun" w:hAnsi="Times New Roman"/>
          <w:spacing w:val="-1"/>
          <w:sz w:val="24"/>
          <w:szCs w:val="24"/>
        </w:rPr>
        <w:t>1. Оценка на изменяемите рискови фактори: високо артериално налягане (клас І, ниво А), захарен диабет (клас І, ниво А) и висок холестерол (клас І, ниво А). При установени отклонения – вземане на конкретни мерки за тяхното медикаментозно, интервенционално или хирургично лечение.</w:t>
      </w:r>
    </w:p>
    <w:p w14:paraId="4228B102"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1"/>
          <w:sz w:val="24"/>
          <w:szCs w:val="24"/>
        </w:rPr>
      </w:pPr>
      <w:r w:rsidRPr="00AE47C6">
        <w:rPr>
          <w:rFonts w:ascii="Times New Roman" w:eastAsia="SimSun" w:hAnsi="Times New Roman"/>
          <w:spacing w:val="-1"/>
          <w:sz w:val="24"/>
          <w:szCs w:val="24"/>
        </w:rPr>
        <w:t>2. Редовни физически упражнения (клас ІІІ, ниво В).</w:t>
      </w:r>
    </w:p>
    <w:p w14:paraId="2E1B5EE3"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1"/>
          <w:sz w:val="24"/>
          <w:szCs w:val="24"/>
        </w:rPr>
      </w:pPr>
      <w:r w:rsidRPr="00AE47C6">
        <w:rPr>
          <w:rFonts w:ascii="Times New Roman" w:eastAsia="SimSun" w:hAnsi="Times New Roman"/>
          <w:spacing w:val="-1"/>
          <w:sz w:val="24"/>
          <w:szCs w:val="24"/>
        </w:rPr>
        <w:t>3. Избягване на наднормено тегло чрез здравословна диета (клас ІІІ, ниво В).</w:t>
      </w:r>
    </w:p>
    <w:p w14:paraId="6B13F70A"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1"/>
          <w:sz w:val="24"/>
          <w:szCs w:val="24"/>
        </w:rPr>
      </w:pPr>
      <w:r w:rsidRPr="00AE47C6">
        <w:rPr>
          <w:rFonts w:ascii="Times New Roman" w:eastAsia="SimSun" w:hAnsi="Times New Roman"/>
          <w:spacing w:val="-1"/>
          <w:sz w:val="24"/>
          <w:szCs w:val="24"/>
        </w:rPr>
        <w:t>4. Намаляване консумацията на алкохол (клас ІІІ, ниво В).</w:t>
      </w:r>
    </w:p>
    <w:p w14:paraId="77F92CE5"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1"/>
          <w:sz w:val="24"/>
          <w:szCs w:val="24"/>
        </w:rPr>
      </w:pPr>
      <w:r w:rsidRPr="00AE47C6">
        <w:rPr>
          <w:rFonts w:ascii="Times New Roman" w:eastAsia="SimSun" w:hAnsi="Times New Roman"/>
          <w:spacing w:val="-1"/>
          <w:sz w:val="24"/>
          <w:szCs w:val="24"/>
        </w:rPr>
        <w:t>5. Избягване на тютюнопушенето (клас ІІІ, ниво В).</w:t>
      </w:r>
    </w:p>
    <w:p w14:paraId="2D3C4D8C"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1"/>
          <w:sz w:val="24"/>
          <w:szCs w:val="24"/>
        </w:rPr>
      </w:pPr>
      <w:r w:rsidRPr="00AE47C6">
        <w:rPr>
          <w:rFonts w:ascii="Times New Roman" w:eastAsia="SimSun" w:hAnsi="Times New Roman"/>
          <w:spacing w:val="-1"/>
          <w:sz w:val="24"/>
          <w:szCs w:val="24"/>
        </w:rPr>
        <w:t>6. Обучение на населението за първите симптоми на мозъчен инсулт и необходимите мерки.</w:t>
      </w:r>
    </w:p>
    <w:p w14:paraId="7D77AD2D"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spacing w:val="-1"/>
          <w:sz w:val="24"/>
          <w:szCs w:val="24"/>
        </w:rPr>
      </w:pPr>
      <w:r w:rsidRPr="00AE47C6">
        <w:rPr>
          <w:rFonts w:ascii="Times New Roman" w:eastAsia="SimSun" w:hAnsi="Times New Roman"/>
          <w:b/>
          <w:spacing w:val="-1"/>
          <w:sz w:val="24"/>
          <w:szCs w:val="24"/>
        </w:rPr>
        <w:t xml:space="preserve">За профилактика на мозъчните инсулти е необходимо:  </w:t>
      </w:r>
    </w:p>
    <w:p w14:paraId="733B95D3"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spacing w:val="-1"/>
          <w:sz w:val="24"/>
          <w:szCs w:val="24"/>
        </w:rPr>
      </w:pPr>
      <w:r w:rsidRPr="00AE47C6">
        <w:rPr>
          <w:rFonts w:ascii="Times New Roman" w:eastAsia="SimSun" w:hAnsi="Times New Roman"/>
          <w:b/>
          <w:spacing w:val="-1"/>
          <w:sz w:val="24"/>
          <w:szCs w:val="24"/>
        </w:rPr>
        <w:t xml:space="preserve">1. </w:t>
      </w:r>
      <w:r w:rsidRPr="00AE47C6">
        <w:rPr>
          <w:rFonts w:ascii="Times New Roman" w:eastAsia="SimSun" w:hAnsi="Times New Roman"/>
          <w:b/>
          <w:spacing w:val="-5"/>
          <w:sz w:val="24"/>
          <w:szCs w:val="24"/>
        </w:rPr>
        <w:t>Идентифициране на лицата с рискови фактори чрез скриниране</w:t>
      </w:r>
    </w:p>
    <w:p w14:paraId="4FEFB0DE"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Редовно измерване на артериалното налягане. При високо артериално налягане се препоръчва промяна в начина на живот и индивидуализиране на фармакологичната терапия (клас I, ниво A) с прицелна стойност &lt;130/80 mmHg, но не &lt;120/70 mmHg при пациентите на възраст 18-65 год. И &lt;140/80 mmHg при пациентите &gt;65 год., ако се понася добре (клас I, ниво А).</w:t>
      </w:r>
    </w:p>
    <w:p w14:paraId="3961202C"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При хипертоници (&gt;140/90 mmHg) със застойна сърдечна недостатъчност, миокарден инфаркт, диабет или хронична бъбречна недостатъчност е индицирана антихипертензивна терапия (клас I, ниво A).</w:t>
      </w:r>
    </w:p>
    <w:p w14:paraId="5E1C048F"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Редовно изследване на кръвната захар. При болни със захарен диабет се препоръчва промяна в начина на живот и индивидуализирана фармакологична терапия. Високото артериално налягане следва да бъде лекувано по-агресивно (клас I, ниво A) с прицелни стойности &lt;130/80 mmHg при пациентите на възраст 18-65 год. (но не &lt;120 mmHg за систолното налягане), &lt;140/80 mmHg при пациентите &gt;65 год., ако се понася добре. Където е възможно, в лечението да се включи инхибитор на ангиотензин конвертиращия ензим (АСЕ-инхибитор) или ангиотензин-рецепторен блокер (АРБ) (клас I, ниво A).</w:t>
      </w:r>
    </w:p>
    <w:p w14:paraId="73E7D436"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 xml:space="preserve">Редовно изследване на серумния холестерол. При висок серумен холестерол се препоръчва промяна в начина на живот, преустановяване на тютюнопушенето (клас III, ниво B) и лечение със статин с/ без ezetimibe (клас I, ниво A). </w:t>
      </w:r>
    </w:p>
    <w:p w14:paraId="1FC51BE6"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spacing w:val="-5"/>
          <w:sz w:val="24"/>
          <w:szCs w:val="24"/>
        </w:rPr>
      </w:pPr>
      <w:r w:rsidRPr="00AE47C6">
        <w:rPr>
          <w:rFonts w:ascii="Times New Roman" w:eastAsia="SimSun" w:hAnsi="Times New Roman"/>
          <w:b/>
          <w:spacing w:val="-5"/>
          <w:sz w:val="24"/>
          <w:szCs w:val="24"/>
        </w:rPr>
        <w:t>2. Изготвяне на препоръки за комплексно повлияване на съдовите рискови фактори, насочени към промени в начина на живот и медикаментозно лечение.</w:t>
      </w:r>
    </w:p>
    <w:p w14:paraId="67CBF8D4"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 xml:space="preserve">преустановяване на прекомерната консумация на алкохол (клас III, ниво B). </w:t>
      </w:r>
    </w:p>
    <w:p w14:paraId="1715D8A6"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преустановяване на тютюнопушенето (клас III, ниво B).</w:t>
      </w:r>
    </w:p>
    <w:p w14:paraId="3C2526E8"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 xml:space="preserve">редовна физическа активност (клас III, ниво B). </w:t>
      </w:r>
    </w:p>
    <w:p w14:paraId="78525A82"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диета, бедна на сол и наситени масти, богата на плодове, зеленчуци и фибри (клас III, ниво B).</w:t>
      </w:r>
    </w:p>
    <w:p w14:paraId="0A673154"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 xml:space="preserve">Индивиди с повишен BMI (body mass index) да предприемат редуцираща телесното тегло диета (клас III, ниво B). </w:t>
      </w:r>
    </w:p>
    <w:p w14:paraId="33DC1FFC"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spacing w:val="-1"/>
          <w:sz w:val="24"/>
          <w:szCs w:val="24"/>
        </w:rPr>
      </w:pPr>
      <w:r w:rsidRPr="00AE47C6">
        <w:rPr>
          <w:rFonts w:ascii="Times New Roman" w:eastAsia="SimSun" w:hAnsi="Times New Roman"/>
          <w:b/>
          <w:spacing w:val="-5"/>
          <w:sz w:val="24"/>
          <w:szCs w:val="24"/>
        </w:rPr>
        <w:t>3. Антитромботична</w:t>
      </w:r>
      <w:r w:rsidRPr="00AE47C6">
        <w:rPr>
          <w:rFonts w:ascii="Times New Roman" w:eastAsia="SimSun" w:hAnsi="Times New Roman"/>
          <w:b/>
          <w:spacing w:val="-1"/>
          <w:sz w:val="24"/>
          <w:szCs w:val="24"/>
        </w:rPr>
        <w:t xml:space="preserve"> терапия</w:t>
      </w:r>
    </w:p>
    <w:p w14:paraId="1EC3D06E"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spacing w:val="-1"/>
          <w:sz w:val="24"/>
          <w:szCs w:val="24"/>
        </w:rPr>
      </w:pPr>
      <w:r w:rsidRPr="00AE47C6">
        <w:rPr>
          <w:rFonts w:ascii="Times New Roman" w:eastAsia="SimSun" w:hAnsi="Times New Roman"/>
          <w:b/>
          <w:spacing w:val="-1"/>
          <w:sz w:val="24"/>
          <w:szCs w:val="24"/>
        </w:rPr>
        <w:t>Препоръчват се:</w:t>
      </w:r>
    </w:p>
    <w:p w14:paraId="591FC32F"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b/>
          <w:i/>
          <w:spacing w:val="-1"/>
          <w:sz w:val="24"/>
          <w:szCs w:val="24"/>
        </w:rPr>
      </w:pPr>
      <w:r w:rsidRPr="00AE47C6">
        <w:rPr>
          <w:rFonts w:ascii="Times New Roman" w:eastAsia="SimSun" w:hAnsi="Times New Roman"/>
          <w:b/>
          <w:i/>
          <w:spacing w:val="-1"/>
          <w:sz w:val="24"/>
          <w:szCs w:val="24"/>
        </w:rPr>
        <w:t>При пациенти без неклапно предсърдно мъждене</w:t>
      </w:r>
    </w:p>
    <w:p w14:paraId="328FB6E5"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 xml:space="preserve">Ниско-дозираната ASA (100 mg/дн.) за първична превенция на миокарден инфаркт при мъже, не намалява риска от исхемичен инсулт (клас I, ниво A). </w:t>
      </w:r>
    </w:p>
    <w:p w14:paraId="4E683A58"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 xml:space="preserve">Ниско-дозирана ASA (100 mg/дн.) се препоръчва за превенция на съдови инциденти, при пациенти с безсимптомни каротидни стенози &gt;50% (клас II, ниво B). </w:t>
      </w:r>
    </w:p>
    <w:p w14:paraId="0F9322EE"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 xml:space="preserve">Тромбоцитни антиагреганти, различни от ASA, не се препоръчват за първична превенция на инсулт (ДКП). </w:t>
      </w:r>
    </w:p>
    <w:p w14:paraId="1AAFB996"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b/>
          <w:i/>
          <w:spacing w:val="-1"/>
          <w:sz w:val="24"/>
          <w:szCs w:val="24"/>
        </w:rPr>
      </w:pPr>
      <w:r w:rsidRPr="00AE47C6">
        <w:rPr>
          <w:rFonts w:ascii="Times New Roman" w:eastAsia="SimSun" w:hAnsi="Times New Roman"/>
          <w:b/>
          <w:i/>
          <w:spacing w:val="-1"/>
          <w:sz w:val="24"/>
          <w:szCs w:val="24"/>
        </w:rPr>
        <w:t>При пациенти с неклапно предсърдно мъждене</w:t>
      </w:r>
    </w:p>
    <w:p w14:paraId="626F8103"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Тромбоцитни антиагреганти не се препоръчват за профилактика на инсулта при пациенти с предсърдно мъждене.</w:t>
      </w:r>
    </w:p>
    <w:p w14:paraId="6AB541E7"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Перорален антикоагулант – антагонисти на вит. К (acenocoumarol)  с прицелен INR (international normalized ratio) 2,0-3,0 или не-вит. К антагонисти (dabigatran, apixaban, edoxaban, rivaroxaban) при пациенти на възраст между 65-75 години, без съдови рискови фактори, ако няма контраиндикации (клас I, ниво A).</w:t>
      </w:r>
    </w:p>
    <w:p w14:paraId="46AE37C0"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 xml:space="preserve">Перорален антикоагулант за пациенти на възраст над 75 години или по-млади, които имат рискови фактори като високо артериално налягане, левокамерна дисфункция или захарен диабет, ако няма контраиндикации (клас I, ниво A). </w:t>
      </w:r>
    </w:p>
    <w:p w14:paraId="249D8BC1"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bCs/>
          <w:i/>
          <w:spacing w:val="-2"/>
          <w:sz w:val="24"/>
          <w:szCs w:val="24"/>
        </w:rPr>
        <w:t>Acenocoumarol</w:t>
      </w:r>
      <w:r w:rsidRPr="00AE47C6">
        <w:rPr>
          <w:rFonts w:ascii="Times New Roman" w:eastAsia="SimSun" w:hAnsi="Times New Roman"/>
          <w:spacing w:val="-2"/>
          <w:sz w:val="24"/>
          <w:szCs w:val="24"/>
        </w:rPr>
        <w:t>- индиректен перорален антикоагулант</w:t>
      </w:r>
      <w:r w:rsidRPr="00AE47C6">
        <w:rPr>
          <w:rFonts w:ascii="Times New Roman" w:eastAsia="SimSun" w:hAnsi="Times New Roman"/>
          <w:spacing w:val="-1"/>
          <w:sz w:val="24"/>
          <w:szCs w:val="24"/>
        </w:rPr>
        <w:t xml:space="preserve"> (INR 2,0-3,0).</w:t>
      </w:r>
    </w:p>
    <w:p w14:paraId="4B073E22"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bCs/>
          <w:i/>
          <w:spacing w:val="-2"/>
          <w:sz w:val="24"/>
          <w:szCs w:val="24"/>
        </w:rPr>
        <w:t xml:space="preserve">Dabigatran etexilate </w:t>
      </w:r>
      <w:r w:rsidRPr="00AE47C6">
        <w:rPr>
          <w:rFonts w:ascii="Times New Roman" w:eastAsia="SimSun" w:hAnsi="Times New Roman"/>
          <w:sz w:val="24"/>
          <w:szCs w:val="24"/>
        </w:rPr>
        <w:t xml:space="preserve">2 х 110 mg дн. или 2 х 150 mg дн. – директен тромбинов инхибитор. </w:t>
      </w:r>
    </w:p>
    <w:p w14:paraId="6FE78214"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bCs/>
          <w:i/>
          <w:spacing w:val="-2"/>
          <w:sz w:val="24"/>
          <w:szCs w:val="24"/>
        </w:rPr>
        <w:t xml:space="preserve">Apixaban </w:t>
      </w:r>
      <w:r w:rsidRPr="00AE47C6">
        <w:rPr>
          <w:rFonts w:ascii="Times New Roman" w:eastAsia="SimSun" w:hAnsi="Times New Roman"/>
          <w:bCs/>
          <w:spacing w:val="-2"/>
          <w:sz w:val="24"/>
          <w:szCs w:val="24"/>
        </w:rPr>
        <w:t>2 x 5 mg дн.</w:t>
      </w:r>
      <w:r w:rsidRPr="00AE47C6">
        <w:rPr>
          <w:rFonts w:ascii="Times New Roman" w:eastAsia="SimSun" w:hAnsi="Times New Roman"/>
          <w:bCs/>
          <w:i/>
          <w:spacing w:val="-2"/>
          <w:sz w:val="24"/>
          <w:szCs w:val="24"/>
        </w:rPr>
        <w:t xml:space="preserve"> – </w:t>
      </w:r>
      <w:r w:rsidRPr="00AE47C6">
        <w:rPr>
          <w:rFonts w:ascii="Times New Roman" w:eastAsia="SimSun" w:hAnsi="Times New Roman"/>
          <w:bCs/>
          <w:spacing w:val="-2"/>
          <w:sz w:val="24"/>
          <w:szCs w:val="24"/>
        </w:rPr>
        <w:t xml:space="preserve">директен, селективен инхибитор на активното място на фактор Ха. </w:t>
      </w:r>
      <w:r w:rsidRPr="00AE47C6">
        <w:rPr>
          <w:rFonts w:ascii="Times New Roman" w:eastAsia="SimSun" w:hAnsi="Times New Roman"/>
          <w:bCs/>
          <w:i/>
          <w:spacing w:val="-2"/>
          <w:sz w:val="24"/>
          <w:szCs w:val="24"/>
        </w:rPr>
        <w:t xml:space="preserve">Apixaban 2 х </w:t>
      </w:r>
      <w:r w:rsidRPr="00AE47C6">
        <w:rPr>
          <w:rFonts w:ascii="Times New Roman" w:eastAsia="SimSun" w:hAnsi="Times New Roman"/>
          <w:bCs/>
          <w:spacing w:val="-2"/>
          <w:sz w:val="24"/>
          <w:szCs w:val="24"/>
        </w:rPr>
        <w:t xml:space="preserve">2,5 mg дн. при пациенти с поне две от следните характеристики: възраст ≥80 години, телесно тегло </w:t>
      </w:r>
      <w:r w:rsidRPr="00AE47C6">
        <w:rPr>
          <w:rFonts w:ascii="Times New Roman" w:eastAsia="SimSun" w:hAnsi="Times New Roman"/>
          <w:bCs/>
          <w:spacing w:val="-2"/>
          <w:sz w:val="24"/>
          <w:szCs w:val="24"/>
        </w:rPr>
        <w:sym w:font="Symbol" w:char="F0A3"/>
      </w:r>
      <w:r w:rsidRPr="00AE47C6">
        <w:rPr>
          <w:rFonts w:ascii="Times New Roman" w:eastAsia="SimSun" w:hAnsi="Times New Roman"/>
          <w:bCs/>
          <w:spacing w:val="-2"/>
          <w:sz w:val="24"/>
          <w:szCs w:val="24"/>
        </w:rPr>
        <w:t>60 kg, или серумен креатинин ≥133 μmol/l.</w:t>
      </w:r>
    </w:p>
    <w:p w14:paraId="1F763067"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bCs/>
          <w:i/>
          <w:sz w:val="24"/>
          <w:szCs w:val="24"/>
        </w:rPr>
        <w:t xml:space="preserve">Rivaroxaban </w:t>
      </w:r>
      <w:r w:rsidRPr="00AE47C6">
        <w:rPr>
          <w:rFonts w:ascii="Times New Roman" w:eastAsia="SimSun" w:hAnsi="Times New Roman"/>
          <w:bCs/>
          <w:spacing w:val="-2"/>
          <w:sz w:val="24"/>
          <w:szCs w:val="24"/>
        </w:rPr>
        <w:t>15 или 20 mg дн.</w:t>
      </w:r>
      <w:r w:rsidRPr="00AE47C6">
        <w:rPr>
          <w:rFonts w:ascii="Times New Roman" w:eastAsia="SimSun" w:hAnsi="Times New Roman"/>
          <w:bCs/>
          <w:sz w:val="24"/>
          <w:szCs w:val="24"/>
        </w:rPr>
        <w:t xml:space="preserve">– </w:t>
      </w:r>
      <w:r w:rsidRPr="00AE47C6">
        <w:rPr>
          <w:rFonts w:ascii="Times New Roman" w:eastAsia="SimSun" w:hAnsi="Times New Roman"/>
          <w:bCs/>
          <w:spacing w:val="-2"/>
          <w:sz w:val="24"/>
          <w:szCs w:val="24"/>
        </w:rPr>
        <w:t>директен, селективен инхибитор на активното място на фактор Ха.</w:t>
      </w:r>
    </w:p>
    <w:p w14:paraId="142BB211"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bCs/>
          <w:i/>
          <w:sz w:val="24"/>
          <w:szCs w:val="24"/>
        </w:rPr>
        <w:t xml:space="preserve">Edoxaban </w:t>
      </w:r>
      <w:r w:rsidRPr="00AE47C6">
        <w:rPr>
          <w:rFonts w:ascii="Times New Roman" w:eastAsia="SimSun" w:hAnsi="Times New Roman"/>
          <w:bCs/>
          <w:sz w:val="24"/>
          <w:szCs w:val="24"/>
        </w:rPr>
        <w:t xml:space="preserve">в обичайна дневна доза от 60 mg – директен, селективен инхибитор на активното място на фактор Ха. Употребата му е показана при един или повече от следните рискови фактори – застойна сърдечна недостатъчност, хипертония, възраст ≥ 75 години, захарен диабет. </w:t>
      </w:r>
      <w:r w:rsidRPr="00AE47C6">
        <w:rPr>
          <w:rFonts w:ascii="Times New Roman" w:eastAsia="SimSun" w:hAnsi="Times New Roman"/>
          <w:bCs/>
          <w:iCs/>
          <w:sz w:val="24"/>
          <w:szCs w:val="24"/>
        </w:rPr>
        <w:t>В</w:t>
      </w:r>
      <w:r w:rsidRPr="00AE47C6">
        <w:rPr>
          <w:rFonts w:ascii="Times New Roman" w:eastAsia="SimSun" w:hAnsi="Times New Roman"/>
          <w:bCs/>
          <w:sz w:val="24"/>
          <w:szCs w:val="24"/>
        </w:rPr>
        <w:t xml:space="preserve"> дневна доза от 30 mg е показан при пациенти с бъбречна недостатъчност (креатининов клирънс 15 - 50 mL/min), телесно тегло ≤ 60 kg, едновременна употреба на P-glycoprotein инхибитори: cyclosporin, dronedarone, erythromycin, ketoconazole.</w:t>
      </w:r>
    </w:p>
    <w:p w14:paraId="6B5AF710"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 xml:space="preserve">ASA (100 mg/дн.) при пациентите, които са противопоказани за орален антикоагулант (клас I, </w:t>
      </w:r>
      <w:r w:rsidRPr="00AE47C6">
        <w:rPr>
          <w:rFonts w:ascii="Times New Roman" w:eastAsia="SimSun" w:hAnsi="Times New Roman"/>
          <w:spacing w:val="-3"/>
          <w:sz w:val="24"/>
          <w:szCs w:val="24"/>
        </w:rPr>
        <w:t>ниво</w:t>
      </w:r>
      <w:r w:rsidRPr="00AE47C6">
        <w:rPr>
          <w:rFonts w:ascii="Times New Roman" w:eastAsia="SimSun" w:hAnsi="Times New Roman"/>
          <w:spacing w:val="-1"/>
          <w:sz w:val="24"/>
          <w:szCs w:val="24"/>
        </w:rPr>
        <w:t xml:space="preserve"> A).</w:t>
      </w:r>
    </w:p>
    <w:p w14:paraId="1BC50631"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 xml:space="preserve">Пациентите, които са протезирани с механични сърдечни клапи, следва да бъдат продължително лекувани с вит. К антагонист (acenocoumarol, като прицелната стойност на INR е според типа на дадената клапа, но не по-малко от INR 2,0-3,0 (клас II, </w:t>
      </w:r>
      <w:r w:rsidRPr="00AE47C6">
        <w:rPr>
          <w:rFonts w:ascii="Times New Roman" w:eastAsia="SimSun" w:hAnsi="Times New Roman"/>
          <w:spacing w:val="-3"/>
          <w:sz w:val="24"/>
          <w:szCs w:val="24"/>
        </w:rPr>
        <w:t>ниво</w:t>
      </w:r>
      <w:r w:rsidRPr="00AE47C6">
        <w:rPr>
          <w:rFonts w:ascii="Times New Roman" w:eastAsia="SimSun" w:hAnsi="Times New Roman"/>
          <w:spacing w:val="-1"/>
          <w:sz w:val="24"/>
          <w:szCs w:val="24"/>
        </w:rPr>
        <w:t xml:space="preserve"> B). </w:t>
      </w:r>
    </w:p>
    <w:p w14:paraId="708B567F"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spacing w:val="-1"/>
          <w:sz w:val="24"/>
          <w:szCs w:val="24"/>
        </w:rPr>
      </w:pPr>
      <w:r w:rsidRPr="00AE47C6">
        <w:rPr>
          <w:rFonts w:ascii="Times New Roman" w:eastAsia="SimSun" w:hAnsi="Times New Roman"/>
          <w:b/>
          <w:spacing w:val="-1"/>
          <w:sz w:val="24"/>
          <w:szCs w:val="24"/>
        </w:rPr>
        <w:t xml:space="preserve">4. Каротидна </w:t>
      </w:r>
      <w:r w:rsidRPr="00AE47C6">
        <w:rPr>
          <w:rFonts w:ascii="Times New Roman" w:eastAsia="SimSun" w:hAnsi="Times New Roman"/>
          <w:b/>
          <w:spacing w:val="-5"/>
          <w:sz w:val="24"/>
          <w:szCs w:val="24"/>
        </w:rPr>
        <w:t>хирургия</w:t>
      </w:r>
      <w:r w:rsidRPr="00AE47C6">
        <w:rPr>
          <w:rFonts w:ascii="Times New Roman" w:eastAsia="SimSun" w:hAnsi="Times New Roman"/>
          <w:b/>
          <w:spacing w:val="-1"/>
          <w:sz w:val="24"/>
          <w:szCs w:val="24"/>
        </w:rPr>
        <w:t xml:space="preserve"> и ангиопластика (виж „Актуализиран национален интердисциплинарен консенсус за ултразвукова диагностика и поведение при екстракраниална каротидна патология” от 2020 г.).</w:t>
      </w:r>
    </w:p>
    <w:p w14:paraId="2C823807"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 xml:space="preserve">Каротидната ендартеректомия не се препоръчва при асимптомни индивиди с хемодинамично-значими стенози (NASCET 60-99%), с изключение на случаите, когато има висок риск за инсулт (клас I, </w:t>
      </w:r>
      <w:r w:rsidRPr="00AE47C6">
        <w:rPr>
          <w:rFonts w:ascii="Times New Roman" w:eastAsia="SimSun" w:hAnsi="Times New Roman"/>
          <w:spacing w:val="-3"/>
          <w:sz w:val="24"/>
          <w:szCs w:val="24"/>
        </w:rPr>
        <w:t>ниво</w:t>
      </w:r>
      <w:r w:rsidRPr="00AE47C6">
        <w:rPr>
          <w:rFonts w:ascii="Times New Roman" w:eastAsia="SimSun" w:hAnsi="Times New Roman"/>
          <w:spacing w:val="-1"/>
          <w:sz w:val="24"/>
          <w:szCs w:val="24"/>
        </w:rPr>
        <w:t xml:space="preserve"> C).</w:t>
      </w:r>
    </w:p>
    <w:p w14:paraId="1AAC41FB"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Каротидна ангиопластика, със или без стентиране, не се препоръчва при пациенти с асимптомни каротидни стенози (ДКП).</w:t>
      </w:r>
    </w:p>
    <w:p w14:paraId="5D6C0110"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 xml:space="preserve">Препоръчва се пациентите да приемат ASA преди и след хирургичната интервенция (клас I, </w:t>
      </w:r>
      <w:r w:rsidRPr="00AE47C6">
        <w:rPr>
          <w:rFonts w:ascii="Times New Roman" w:eastAsia="SimSun" w:hAnsi="Times New Roman"/>
          <w:spacing w:val="-3"/>
          <w:sz w:val="24"/>
          <w:szCs w:val="24"/>
        </w:rPr>
        <w:t>ниво</w:t>
      </w:r>
      <w:r w:rsidRPr="00AE47C6">
        <w:rPr>
          <w:rFonts w:ascii="Times New Roman" w:eastAsia="SimSun" w:hAnsi="Times New Roman"/>
          <w:spacing w:val="-1"/>
          <w:sz w:val="24"/>
          <w:szCs w:val="24"/>
        </w:rPr>
        <w:t xml:space="preserve"> A).</w:t>
      </w:r>
    </w:p>
    <w:p w14:paraId="1371BC93"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bCs/>
          <w:spacing w:val="-9"/>
          <w:sz w:val="24"/>
          <w:szCs w:val="24"/>
        </w:rPr>
        <w:t xml:space="preserve">Средствата, подобряващи микроциркулацията и мозъчния метаболизъм </w:t>
      </w:r>
      <w:r w:rsidRPr="00AE47C6">
        <w:rPr>
          <w:rFonts w:ascii="Times New Roman" w:eastAsia="SimSun" w:hAnsi="Times New Roman"/>
          <w:sz w:val="24"/>
          <w:szCs w:val="24"/>
        </w:rPr>
        <w:t>са с недоказан терапевтичен ефект:</w:t>
      </w:r>
    </w:p>
    <w:p w14:paraId="0D5C0D40"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 xml:space="preserve">антиоксиданти, витамини и хранителни добавки (клас I, ниво A). </w:t>
      </w:r>
    </w:p>
    <w:p w14:paraId="1F750C6B"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21" w:name="_Toc155651710"/>
      <w:bookmarkStart w:id="22" w:name="_Toc164075842"/>
      <w:r w:rsidRPr="00AE47C6">
        <w:rPr>
          <w:rFonts w:ascii="Times New Roman" w:eastAsia="SimSun" w:hAnsi="Times New Roman"/>
          <w:b/>
          <w:sz w:val="24"/>
          <w:szCs w:val="20"/>
          <w:lang w:eastAsia="ja-JP"/>
        </w:rPr>
        <w:t>1.4.2. Вторична профилактика на мозъчните инсулти</w:t>
      </w:r>
      <w:bookmarkEnd w:id="21"/>
      <w:bookmarkEnd w:id="22"/>
    </w:p>
    <w:p w14:paraId="686A393D" w14:textId="77777777" w:rsidR="00BE0B19" w:rsidRPr="00AE47C6" w:rsidRDefault="00BE0B19" w:rsidP="00BE0B19">
      <w:pPr>
        <w:shd w:val="clear" w:color="auto" w:fill="FFFFFF"/>
        <w:tabs>
          <w:tab w:val="left" w:pos="226"/>
        </w:tabs>
        <w:spacing w:after="0" w:line="360" w:lineRule="auto"/>
        <w:ind w:left="720"/>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Провежда се при пациенти </w:t>
      </w:r>
      <w:r w:rsidRPr="00AE47C6">
        <w:rPr>
          <w:rFonts w:ascii="Times New Roman" w:eastAsia="SimSun" w:hAnsi="Times New Roman"/>
          <w:spacing w:val="-4"/>
          <w:sz w:val="24"/>
          <w:szCs w:val="24"/>
        </w:rPr>
        <w:t>с потвърдена диагноза МСБ, преживели мозъчен инсулт.</w:t>
      </w:r>
    </w:p>
    <w:p w14:paraId="4E22C73B" w14:textId="77777777" w:rsidR="00BE0B19" w:rsidRPr="00AE47C6" w:rsidRDefault="00BE0B19" w:rsidP="00BE0B19">
      <w:pPr>
        <w:widowControl w:val="0"/>
        <w:numPr>
          <w:ilvl w:val="0"/>
          <w:numId w:val="338"/>
        </w:numPr>
        <w:shd w:val="clear" w:color="auto" w:fill="FFFFFF"/>
        <w:tabs>
          <w:tab w:val="left" w:pos="226"/>
        </w:tabs>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b/>
          <w:spacing w:val="-4"/>
          <w:sz w:val="24"/>
          <w:szCs w:val="24"/>
        </w:rPr>
        <w:t xml:space="preserve">Пациентите </w:t>
      </w:r>
      <w:r w:rsidRPr="00AE47C6">
        <w:rPr>
          <w:rFonts w:ascii="Times New Roman" w:eastAsia="SimSun" w:hAnsi="Times New Roman"/>
          <w:spacing w:val="-4"/>
          <w:sz w:val="24"/>
          <w:szCs w:val="24"/>
        </w:rPr>
        <w:t>се преглеждат един път месечно и при всяко влошаване на състо</w:t>
      </w:r>
      <w:r w:rsidRPr="00AE47C6">
        <w:rPr>
          <w:rFonts w:ascii="Times New Roman" w:eastAsia="SimSun" w:hAnsi="Times New Roman"/>
          <w:spacing w:val="4"/>
          <w:sz w:val="24"/>
          <w:szCs w:val="24"/>
        </w:rPr>
        <w:t xml:space="preserve">янието, </w:t>
      </w:r>
      <w:r w:rsidRPr="00AE47C6">
        <w:rPr>
          <w:rFonts w:ascii="Times New Roman" w:eastAsia="SimSun" w:hAnsi="Times New Roman"/>
          <w:sz w:val="24"/>
          <w:szCs w:val="24"/>
        </w:rPr>
        <w:t xml:space="preserve">след края на първата година: </w:t>
      </w:r>
    </w:p>
    <w:p w14:paraId="2741F5C1" w14:textId="77777777" w:rsidR="00BE0B19" w:rsidRPr="00AE47C6" w:rsidRDefault="00BE0B19" w:rsidP="00BE0B19">
      <w:pPr>
        <w:widowControl w:val="0"/>
        <w:numPr>
          <w:ilvl w:val="1"/>
          <w:numId w:val="339"/>
        </w:numPr>
        <w:shd w:val="clear" w:color="auto" w:fill="FFFFFF"/>
        <w:tabs>
          <w:tab w:val="left" w:pos="226"/>
        </w:tabs>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spacing w:val="-2"/>
          <w:sz w:val="24"/>
          <w:szCs w:val="24"/>
        </w:rPr>
        <w:t>Извършват се домашни посещения при влошаване на състоянието на пациентите и се лекуват всички соматични усложнения.</w:t>
      </w:r>
    </w:p>
    <w:p w14:paraId="287DC65B" w14:textId="77777777" w:rsidR="00BE0B19" w:rsidRPr="00AE47C6" w:rsidRDefault="00BE0B19" w:rsidP="00BE0B19">
      <w:pPr>
        <w:widowControl w:val="0"/>
        <w:numPr>
          <w:ilvl w:val="1"/>
          <w:numId w:val="339"/>
        </w:numPr>
        <w:shd w:val="clear" w:color="auto" w:fill="FFFFFF"/>
        <w:tabs>
          <w:tab w:val="left" w:pos="226"/>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3"/>
          <w:sz w:val="24"/>
          <w:szCs w:val="24"/>
        </w:rPr>
        <w:t>Спешно консултира болните със специалист невролог при поява на нови сим</w:t>
      </w:r>
      <w:r w:rsidRPr="00AE47C6">
        <w:rPr>
          <w:rFonts w:ascii="Times New Roman" w:eastAsia="SimSun" w:hAnsi="Times New Roman"/>
          <w:spacing w:val="8"/>
          <w:sz w:val="24"/>
          <w:szCs w:val="24"/>
        </w:rPr>
        <w:t>птоми.</w:t>
      </w:r>
    </w:p>
    <w:p w14:paraId="7C2F5158" w14:textId="77777777" w:rsidR="00BE0B19" w:rsidRPr="00AE47C6" w:rsidRDefault="00BE0B19" w:rsidP="00BE0B19">
      <w:pPr>
        <w:widowControl w:val="0"/>
        <w:numPr>
          <w:ilvl w:val="1"/>
          <w:numId w:val="339"/>
        </w:numPr>
        <w:shd w:val="clear" w:color="auto" w:fill="FFFFFF"/>
        <w:tabs>
          <w:tab w:val="left" w:pos="226"/>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1"/>
          <w:sz w:val="24"/>
          <w:szCs w:val="24"/>
        </w:rPr>
        <w:t xml:space="preserve">Провежда профилактика на МСБ след консултация с </w:t>
      </w:r>
      <w:r w:rsidRPr="00AE47C6">
        <w:rPr>
          <w:rFonts w:ascii="Times New Roman" w:eastAsia="SimSun" w:hAnsi="Times New Roman"/>
          <w:spacing w:val="-7"/>
          <w:sz w:val="24"/>
          <w:szCs w:val="24"/>
        </w:rPr>
        <w:t>невролог.</w:t>
      </w:r>
    </w:p>
    <w:p w14:paraId="3E509754" w14:textId="77777777" w:rsidR="00BE0B19" w:rsidRPr="00AE47C6" w:rsidRDefault="00BE0B19" w:rsidP="00BE0B19">
      <w:pPr>
        <w:widowControl w:val="0"/>
        <w:numPr>
          <w:ilvl w:val="1"/>
          <w:numId w:val="339"/>
        </w:numPr>
        <w:shd w:val="clear" w:color="auto" w:fill="FFFFFF"/>
        <w:tabs>
          <w:tab w:val="left" w:pos="226"/>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1"/>
          <w:sz w:val="24"/>
          <w:szCs w:val="24"/>
        </w:rPr>
        <w:t>Изписва се ежемесечно терапията на болните, назначена от спе</w:t>
      </w:r>
      <w:r w:rsidRPr="00AE47C6">
        <w:rPr>
          <w:rFonts w:ascii="Times New Roman" w:eastAsia="SimSun" w:hAnsi="Times New Roman"/>
          <w:spacing w:val="-3"/>
          <w:sz w:val="24"/>
          <w:szCs w:val="24"/>
        </w:rPr>
        <w:t>циалиста невролог.</w:t>
      </w:r>
    </w:p>
    <w:p w14:paraId="34CA3CD2" w14:textId="77777777" w:rsidR="00BE0B19" w:rsidRPr="00AE47C6" w:rsidRDefault="00BE0B19" w:rsidP="00BE0B19">
      <w:pPr>
        <w:widowControl w:val="0"/>
        <w:numPr>
          <w:ilvl w:val="1"/>
          <w:numId w:val="339"/>
        </w:numPr>
        <w:shd w:val="clear" w:color="auto" w:fill="FFFFFF"/>
        <w:tabs>
          <w:tab w:val="left" w:pos="226"/>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1"/>
          <w:sz w:val="24"/>
          <w:szCs w:val="24"/>
        </w:rPr>
        <w:t>Не променя специфичната терапията без консултация със специалиста нев</w:t>
      </w:r>
      <w:r w:rsidRPr="00AE47C6">
        <w:rPr>
          <w:rFonts w:ascii="Times New Roman" w:eastAsia="SimSun" w:hAnsi="Times New Roman"/>
          <w:spacing w:val="-8"/>
          <w:sz w:val="24"/>
          <w:szCs w:val="24"/>
        </w:rPr>
        <w:t>ролог.</w:t>
      </w:r>
    </w:p>
    <w:p w14:paraId="4D8C0CD2" w14:textId="77777777" w:rsidR="00BE0B19" w:rsidRPr="00AE47C6" w:rsidRDefault="00BE0B19" w:rsidP="00BE0B19">
      <w:pPr>
        <w:widowControl w:val="0"/>
        <w:numPr>
          <w:ilvl w:val="1"/>
          <w:numId w:val="339"/>
        </w:numPr>
        <w:shd w:val="clear" w:color="auto" w:fill="FFFFFF"/>
        <w:tabs>
          <w:tab w:val="left" w:pos="226"/>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1"/>
          <w:sz w:val="24"/>
          <w:szCs w:val="24"/>
        </w:rPr>
        <w:t>Лично ръководи лечението на оставените по собствено желание на домаш</w:t>
      </w:r>
      <w:r w:rsidRPr="00AE47C6">
        <w:rPr>
          <w:rFonts w:ascii="Times New Roman" w:eastAsia="SimSun" w:hAnsi="Times New Roman"/>
          <w:spacing w:val="-4"/>
          <w:sz w:val="24"/>
          <w:szCs w:val="24"/>
        </w:rPr>
        <w:t>но лечение болни с МИ след консултация с невролог.</w:t>
      </w:r>
    </w:p>
    <w:p w14:paraId="10D4A78A" w14:textId="77777777" w:rsidR="00BE0B19" w:rsidRPr="00AE47C6" w:rsidRDefault="00BE0B19" w:rsidP="00BE0B19">
      <w:pPr>
        <w:widowControl w:val="0"/>
        <w:numPr>
          <w:ilvl w:val="1"/>
          <w:numId w:val="339"/>
        </w:numPr>
        <w:shd w:val="clear" w:color="auto" w:fill="FFFFFF"/>
        <w:tabs>
          <w:tab w:val="left" w:pos="226"/>
        </w:tabs>
        <w:autoSpaceDE w:val="0"/>
        <w:autoSpaceDN w:val="0"/>
        <w:adjustRightInd w:val="0"/>
        <w:spacing w:after="0" w:line="360" w:lineRule="auto"/>
        <w:contextualSpacing/>
        <w:jc w:val="both"/>
        <w:rPr>
          <w:rFonts w:ascii="Times New Roman" w:eastAsia="SimSun" w:hAnsi="Times New Roman"/>
          <w:spacing w:val="-3"/>
          <w:sz w:val="24"/>
          <w:szCs w:val="24"/>
        </w:rPr>
      </w:pPr>
      <w:r w:rsidRPr="00AE47C6">
        <w:rPr>
          <w:rFonts w:ascii="Times New Roman" w:eastAsia="SimSun" w:hAnsi="Times New Roman"/>
          <w:b/>
          <w:spacing w:val="-3"/>
          <w:sz w:val="24"/>
          <w:szCs w:val="24"/>
        </w:rPr>
        <w:t>Контрол на хипертонията.</w:t>
      </w:r>
      <w:r w:rsidRPr="00AE47C6">
        <w:rPr>
          <w:rFonts w:ascii="Times New Roman" w:eastAsia="SimSun" w:hAnsi="Times New Roman"/>
          <w:spacing w:val="-3"/>
          <w:sz w:val="24"/>
          <w:szCs w:val="24"/>
        </w:rPr>
        <w:t xml:space="preserve"> Редовно измерва артериалното налягане. Назначава фармакологично лечение при стойности на кръвното налягане над 140/90 mmHg (клас I, ниво В). </w:t>
      </w:r>
    </w:p>
    <w:p w14:paraId="492C050A" w14:textId="77777777" w:rsidR="00BE0B19" w:rsidRPr="00AE47C6" w:rsidRDefault="00BE0B19" w:rsidP="00BE0B19">
      <w:pPr>
        <w:widowControl w:val="0"/>
        <w:numPr>
          <w:ilvl w:val="2"/>
          <w:numId w:val="340"/>
        </w:numPr>
        <w:shd w:val="clear" w:color="auto" w:fill="FFFFFF"/>
        <w:tabs>
          <w:tab w:val="left" w:pos="226"/>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Контролира фармакологичното лечение с прицелни стойности &lt;130/80 mmHg при пациентите на възраст 18-65 год. (но не &lt;120 mmHg за систолното налягане), &lt;140/80 mmHg при пациенти &gt;65 год., ако се понася добре.</w:t>
      </w:r>
    </w:p>
    <w:p w14:paraId="38CA3B68" w14:textId="77777777" w:rsidR="00BE0B19" w:rsidRPr="00AE47C6" w:rsidRDefault="00BE0B19" w:rsidP="00BE0B19">
      <w:pPr>
        <w:widowControl w:val="0"/>
        <w:numPr>
          <w:ilvl w:val="2"/>
          <w:numId w:val="340"/>
        </w:numPr>
        <w:shd w:val="clear" w:color="auto" w:fill="FFFFFF"/>
        <w:tabs>
          <w:tab w:val="left" w:pos="226"/>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Терапията при стари хора започва при систолно налягане ≥160 mmHg с прицелна стойност за систолното налягане &lt;140 mmHg, ако се понася добре (клас I, ниво A). </w:t>
      </w:r>
    </w:p>
    <w:p w14:paraId="4155D867" w14:textId="77777777" w:rsidR="00BE0B19" w:rsidRPr="00AE47C6" w:rsidRDefault="00BE0B19" w:rsidP="00BE0B19">
      <w:pPr>
        <w:widowControl w:val="0"/>
        <w:numPr>
          <w:ilvl w:val="2"/>
          <w:numId w:val="340"/>
        </w:numPr>
        <w:shd w:val="clear" w:color="auto" w:fill="FFFFFF"/>
        <w:tabs>
          <w:tab w:val="left" w:pos="226"/>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При пациенти на възраст &lt;80 год. може да се пристъпи към медикаментозна терапия при САН ≥140 mmHg и прицелно АН &lt;140, ако се понася добре ( клас I, ниво А). </w:t>
      </w:r>
    </w:p>
    <w:p w14:paraId="155BB62C" w14:textId="77777777" w:rsidR="00BE0B19" w:rsidRPr="00AE47C6" w:rsidRDefault="00BE0B19" w:rsidP="00BE0B19">
      <w:pPr>
        <w:widowControl w:val="0"/>
        <w:numPr>
          <w:ilvl w:val="2"/>
          <w:numId w:val="340"/>
        </w:numPr>
        <w:shd w:val="clear" w:color="auto" w:fill="FFFFFF"/>
        <w:tabs>
          <w:tab w:val="left" w:pos="226"/>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При пациенти на възраст &gt;80 год. прицелното налягане може да бъде &lt;140 mmHg, ако физическият и ментален статус са добри (клас I, ниво А).</w:t>
      </w:r>
    </w:p>
    <w:p w14:paraId="7A6865C9" w14:textId="77777777" w:rsidR="00BE0B19" w:rsidRPr="00AE47C6" w:rsidRDefault="00BE0B19" w:rsidP="00BE0B19">
      <w:pPr>
        <w:widowControl w:val="0"/>
        <w:numPr>
          <w:ilvl w:val="2"/>
          <w:numId w:val="340"/>
        </w:numPr>
        <w:shd w:val="clear" w:color="auto" w:fill="FFFFFF"/>
        <w:tabs>
          <w:tab w:val="left" w:pos="226"/>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3"/>
          <w:sz w:val="24"/>
          <w:szCs w:val="24"/>
        </w:rPr>
        <w:t>Оптимално лечение на хипертонията се постига с диуретици или комбинацията им с инхибитори на ангиотензин-конвертиращия ензим (клас I, ниво А). Изборът на антихипертензивни средства е индивидуален, според характеристиките на хипертонията при пациента и наличието на други заболявания (клас IIа, ниво В).</w:t>
      </w:r>
    </w:p>
    <w:p w14:paraId="1215CBE1" w14:textId="77777777" w:rsidR="00BE0B19" w:rsidRPr="00AE47C6" w:rsidRDefault="00BE0B19" w:rsidP="00BE0B19">
      <w:pPr>
        <w:widowControl w:val="0"/>
        <w:numPr>
          <w:ilvl w:val="1"/>
          <w:numId w:val="339"/>
        </w:numPr>
        <w:shd w:val="clear" w:color="auto" w:fill="FFFFFF"/>
        <w:tabs>
          <w:tab w:val="left" w:pos="226"/>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b/>
          <w:spacing w:val="-3"/>
          <w:sz w:val="24"/>
          <w:szCs w:val="24"/>
        </w:rPr>
        <w:t>Контрол на дислипидемията.</w:t>
      </w:r>
      <w:r w:rsidRPr="00AE47C6">
        <w:rPr>
          <w:rFonts w:ascii="Times New Roman" w:eastAsia="SimSun" w:hAnsi="Times New Roman"/>
          <w:spacing w:val="-3"/>
          <w:sz w:val="24"/>
          <w:szCs w:val="24"/>
        </w:rPr>
        <w:t xml:space="preserve"> Интензивна терапия със статини се препоръчва при пациенти с анамнеза за не-кардиоемболичен исхемичен инсулт или ТИА за вторична профилактика на инсулта (клас I, ниво А). </w:t>
      </w:r>
    </w:p>
    <w:p w14:paraId="693B33F4" w14:textId="77777777" w:rsidR="00BE0B19" w:rsidRPr="00AE47C6" w:rsidRDefault="00BE0B19" w:rsidP="00BE0B19">
      <w:pPr>
        <w:widowControl w:val="0"/>
        <w:numPr>
          <w:ilvl w:val="2"/>
          <w:numId w:val="341"/>
        </w:numPr>
        <w:shd w:val="clear" w:color="auto" w:fill="FFFFFF"/>
        <w:tabs>
          <w:tab w:val="left" w:pos="226"/>
        </w:tabs>
        <w:autoSpaceDE w:val="0"/>
        <w:autoSpaceDN w:val="0"/>
        <w:adjustRightInd w:val="0"/>
        <w:spacing w:after="0" w:line="360" w:lineRule="auto"/>
        <w:jc w:val="both"/>
        <w:rPr>
          <w:rFonts w:ascii="Times New Roman" w:eastAsia="SimSun" w:hAnsi="Times New Roman"/>
          <w:strike/>
          <w:spacing w:val="-3"/>
          <w:sz w:val="24"/>
          <w:szCs w:val="24"/>
        </w:rPr>
      </w:pPr>
      <w:r w:rsidRPr="00AE47C6">
        <w:rPr>
          <w:rFonts w:ascii="Times New Roman" w:eastAsia="SimSun" w:hAnsi="Times New Roman"/>
          <w:spacing w:val="-3"/>
          <w:sz w:val="24"/>
          <w:szCs w:val="24"/>
        </w:rPr>
        <w:t>Целта на лечението трябва да бъде LDL-хол. &lt;1,4 mmol/L.</w:t>
      </w:r>
    </w:p>
    <w:p w14:paraId="1F4500D8" w14:textId="77777777" w:rsidR="00BE0B19" w:rsidRPr="00AE47C6" w:rsidRDefault="00BE0B19" w:rsidP="00BE0B19">
      <w:pPr>
        <w:widowControl w:val="0"/>
        <w:numPr>
          <w:ilvl w:val="2"/>
          <w:numId w:val="341"/>
        </w:numPr>
        <w:shd w:val="clear" w:color="auto" w:fill="FFFFFF"/>
        <w:tabs>
          <w:tab w:val="left" w:pos="226"/>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Препоръчва се високоинтензивна терапия с atorvastatin 40-80 mg или rosuvastatin 20-40 mg.</w:t>
      </w:r>
    </w:p>
    <w:p w14:paraId="353E12D8" w14:textId="77777777" w:rsidR="00BE0B19" w:rsidRPr="00AE47C6" w:rsidRDefault="00BE0B19" w:rsidP="00BE0B19">
      <w:pPr>
        <w:widowControl w:val="0"/>
        <w:numPr>
          <w:ilvl w:val="2"/>
          <w:numId w:val="341"/>
        </w:numPr>
        <w:shd w:val="clear" w:color="auto" w:fill="FFFFFF"/>
        <w:tabs>
          <w:tab w:val="left" w:pos="226"/>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При непоносимост към статин или непостигане на прицелните стойности трябва да се обсъди приложение на </w:t>
      </w:r>
      <w:r w:rsidRPr="00AE47C6">
        <w:rPr>
          <w:rFonts w:ascii="Times New Roman" w:eastAsia="SimSun" w:hAnsi="Times New Roman"/>
          <w:i/>
          <w:spacing w:val="-3"/>
          <w:sz w:val="24"/>
          <w:szCs w:val="24"/>
        </w:rPr>
        <w:t>ezetimibe</w:t>
      </w:r>
      <w:r w:rsidRPr="00AE47C6">
        <w:rPr>
          <w:rFonts w:ascii="Times New Roman" w:eastAsia="SimSun" w:hAnsi="Times New Roman"/>
          <w:spacing w:val="-3"/>
          <w:sz w:val="24"/>
          <w:szCs w:val="24"/>
        </w:rPr>
        <w:t xml:space="preserve"> (клас IIа, ниво С).</w:t>
      </w:r>
    </w:p>
    <w:p w14:paraId="2965C109" w14:textId="77777777" w:rsidR="00BE0B19" w:rsidRPr="00AE47C6" w:rsidRDefault="00BE0B19" w:rsidP="00BE0B19">
      <w:pPr>
        <w:widowControl w:val="0"/>
        <w:numPr>
          <w:ilvl w:val="1"/>
          <w:numId w:val="339"/>
        </w:numPr>
        <w:shd w:val="clear" w:color="auto" w:fill="FFFFFF"/>
        <w:tabs>
          <w:tab w:val="left" w:pos="220"/>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spacing w:val="-3"/>
          <w:sz w:val="24"/>
          <w:szCs w:val="24"/>
        </w:rPr>
        <w:t>Контрол на глюкозния метаболизъм.</w:t>
      </w:r>
      <w:r w:rsidRPr="00AE47C6">
        <w:rPr>
          <w:rFonts w:ascii="Times New Roman" w:eastAsia="SimSun" w:hAnsi="Times New Roman"/>
          <w:sz w:val="24"/>
          <w:szCs w:val="24"/>
        </w:rPr>
        <w:t xml:space="preserve"> След прекаран инсулт или ТИА е необходимо скриниране за захарен диабет посредством изследване на ниво на кръвна захар на гладно,  на HbA1c или провеждането на орален глюкозо-толерантен тест, като изследването HbA1c е по-точен метод във фазата, непосредствено след исхемията </w:t>
      </w:r>
      <w:r w:rsidRPr="00AE47C6">
        <w:rPr>
          <w:rFonts w:ascii="Times New Roman" w:eastAsia="SimSun" w:hAnsi="Times New Roman"/>
          <w:spacing w:val="-3"/>
          <w:sz w:val="24"/>
          <w:szCs w:val="24"/>
        </w:rPr>
        <w:t>(клас IIа, ниво С). Редовно проследява нивото на кръвната захар и провежда необходимото лечение.</w:t>
      </w:r>
    </w:p>
    <w:p w14:paraId="3FAB4492" w14:textId="77777777" w:rsidR="00BE0B19" w:rsidRPr="00AE47C6" w:rsidRDefault="00BE0B19" w:rsidP="00BE0B19">
      <w:pPr>
        <w:widowControl w:val="0"/>
        <w:numPr>
          <w:ilvl w:val="2"/>
          <w:numId w:val="339"/>
        </w:numPr>
        <w:shd w:val="clear" w:color="auto" w:fill="FFFFFF"/>
        <w:tabs>
          <w:tab w:val="left" w:pos="220"/>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3"/>
          <w:sz w:val="24"/>
          <w:szCs w:val="24"/>
        </w:rPr>
        <w:t xml:space="preserve">лечение с pioglitazone при пациенти с диабет 2 тип, които нямат нужда от инсулиново лечение (клас III, ниво B). </w:t>
      </w:r>
    </w:p>
    <w:p w14:paraId="287267C3" w14:textId="77777777" w:rsidR="00BE0B19" w:rsidRPr="00AE47C6" w:rsidRDefault="00BE0B19" w:rsidP="00BE0B19">
      <w:pPr>
        <w:widowControl w:val="0"/>
        <w:numPr>
          <w:ilvl w:val="1"/>
          <w:numId w:val="339"/>
        </w:numPr>
        <w:shd w:val="clear" w:color="auto" w:fill="FFFFFF"/>
        <w:tabs>
          <w:tab w:val="left" w:pos="226"/>
        </w:tabs>
        <w:autoSpaceDE w:val="0"/>
        <w:autoSpaceDN w:val="0"/>
        <w:adjustRightInd w:val="0"/>
        <w:spacing w:after="0" w:line="360" w:lineRule="auto"/>
        <w:jc w:val="both"/>
        <w:rPr>
          <w:rFonts w:ascii="Times New Roman" w:eastAsia="SimSun" w:hAnsi="Times New Roman"/>
          <w:b/>
          <w:spacing w:val="-3"/>
          <w:sz w:val="24"/>
          <w:szCs w:val="24"/>
        </w:rPr>
      </w:pPr>
      <w:r w:rsidRPr="00AE47C6">
        <w:rPr>
          <w:rFonts w:ascii="Times New Roman" w:eastAsia="SimSun" w:hAnsi="Times New Roman"/>
          <w:b/>
          <w:spacing w:val="-3"/>
          <w:sz w:val="24"/>
          <w:szCs w:val="24"/>
        </w:rPr>
        <w:t>Контрол на наднорменото тегло.</w:t>
      </w:r>
      <w:r w:rsidRPr="00AE47C6">
        <w:rPr>
          <w:rFonts w:ascii="Times New Roman" w:eastAsia="SimSun" w:hAnsi="Times New Roman"/>
          <w:sz w:val="24"/>
          <w:szCs w:val="24"/>
        </w:rPr>
        <w:t xml:space="preserve"> Необходимо е измерване на body mass index </w:t>
      </w:r>
      <w:r w:rsidRPr="00AE47C6">
        <w:rPr>
          <w:rFonts w:ascii="Times New Roman" w:eastAsia="SimSun" w:hAnsi="Times New Roman"/>
          <w:spacing w:val="-3"/>
          <w:sz w:val="24"/>
          <w:szCs w:val="24"/>
        </w:rPr>
        <w:t xml:space="preserve">(клас I, ниво С). </w:t>
      </w:r>
    </w:p>
    <w:p w14:paraId="48036BB2" w14:textId="77777777" w:rsidR="00BE0B19" w:rsidRPr="00AE47C6" w:rsidRDefault="00BE0B19" w:rsidP="00BE0B19">
      <w:pPr>
        <w:widowControl w:val="0"/>
        <w:numPr>
          <w:ilvl w:val="2"/>
          <w:numId w:val="339"/>
        </w:numPr>
        <w:shd w:val="clear" w:color="auto" w:fill="FFFFFF"/>
        <w:tabs>
          <w:tab w:val="left" w:pos="226"/>
        </w:tabs>
        <w:autoSpaceDE w:val="0"/>
        <w:autoSpaceDN w:val="0"/>
        <w:adjustRightInd w:val="0"/>
        <w:spacing w:after="0" w:line="360" w:lineRule="auto"/>
        <w:jc w:val="both"/>
        <w:rPr>
          <w:rFonts w:ascii="Times New Roman" w:eastAsia="SimSun" w:hAnsi="Times New Roman"/>
          <w:b/>
          <w:spacing w:val="-3"/>
          <w:sz w:val="24"/>
          <w:szCs w:val="24"/>
        </w:rPr>
      </w:pPr>
      <w:r w:rsidRPr="00AE47C6">
        <w:rPr>
          <w:rFonts w:ascii="Times New Roman" w:eastAsia="SimSun" w:hAnsi="Times New Roman"/>
          <w:spacing w:val="-3"/>
          <w:sz w:val="24"/>
          <w:szCs w:val="24"/>
        </w:rPr>
        <w:t>Препоръчва се диета за отслабване при пациенти с наднормено тегло (клас IIb, ниво С).</w:t>
      </w:r>
    </w:p>
    <w:p w14:paraId="46476CEC" w14:textId="77777777" w:rsidR="00BE0B19" w:rsidRPr="00AE47C6" w:rsidRDefault="00BE0B19" w:rsidP="00BE0B19">
      <w:pPr>
        <w:widowControl w:val="0"/>
        <w:numPr>
          <w:ilvl w:val="1"/>
          <w:numId w:val="339"/>
        </w:numPr>
        <w:shd w:val="clear" w:color="auto" w:fill="FFFFFF"/>
        <w:tabs>
          <w:tab w:val="left" w:pos="226"/>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b/>
          <w:spacing w:val="-3"/>
          <w:sz w:val="24"/>
          <w:szCs w:val="24"/>
        </w:rPr>
        <w:t xml:space="preserve">Изследване за сънна апнея </w:t>
      </w:r>
      <w:r w:rsidRPr="00AE47C6">
        <w:rPr>
          <w:rFonts w:ascii="Times New Roman" w:eastAsia="SimSun" w:hAnsi="Times New Roman"/>
          <w:spacing w:val="-3"/>
          <w:sz w:val="24"/>
          <w:szCs w:val="24"/>
        </w:rPr>
        <w:t xml:space="preserve">и при необходимост прилагане на лечение с продължително, позитивно налягане в дихателните пътища (клас IIb, ниво B), </w:t>
      </w:r>
    </w:p>
    <w:p w14:paraId="3D2A6ABB" w14:textId="77777777" w:rsidR="00BE0B19" w:rsidRPr="00AE47C6" w:rsidRDefault="00BE0B19" w:rsidP="00BE0B19">
      <w:pPr>
        <w:widowControl w:val="0"/>
        <w:numPr>
          <w:ilvl w:val="1"/>
          <w:numId w:val="339"/>
        </w:numPr>
        <w:shd w:val="clear" w:color="auto" w:fill="FFFFFF"/>
        <w:tabs>
          <w:tab w:val="left" w:pos="226"/>
        </w:tabs>
        <w:autoSpaceDE w:val="0"/>
        <w:autoSpaceDN w:val="0"/>
        <w:adjustRightInd w:val="0"/>
        <w:spacing w:after="0" w:line="360" w:lineRule="auto"/>
        <w:jc w:val="both"/>
        <w:rPr>
          <w:rFonts w:ascii="Times New Roman" w:eastAsia="SimSun" w:hAnsi="Times New Roman"/>
          <w:b/>
          <w:bCs/>
          <w:spacing w:val="-3"/>
          <w:sz w:val="24"/>
          <w:szCs w:val="24"/>
        </w:rPr>
      </w:pPr>
      <w:r w:rsidRPr="00AE47C6">
        <w:rPr>
          <w:rFonts w:ascii="Times New Roman" w:eastAsia="SimSun" w:hAnsi="Times New Roman"/>
          <w:b/>
          <w:bCs/>
          <w:spacing w:val="-3"/>
          <w:sz w:val="24"/>
          <w:szCs w:val="24"/>
        </w:rPr>
        <w:t xml:space="preserve">Не се препоръчва: </w:t>
      </w:r>
    </w:p>
    <w:p w14:paraId="1F4D6F56" w14:textId="77777777" w:rsidR="00BE0B19" w:rsidRPr="00AE47C6" w:rsidRDefault="00BE0B19" w:rsidP="00BE0B19">
      <w:pPr>
        <w:widowControl w:val="0"/>
        <w:numPr>
          <w:ilvl w:val="1"/>
          <w:numId w:val="339"/>
        </w:numPr>
        <w:shd w:val="clear" w:color="auto" w:fill="FFFFFF"/>
        <w:tabs>
          <w:tab w:val="left" w:pos="226"/>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рутинен скрининг за обструктивна сънна апнея след скорошен ИМИ (клас III, ниво B).</w:t>
      </w:r>
    </w:p>
    <w:p w14:paraId="78B50331" w14:textId="77777777" w:rsidR="00BE0B19" w:rsidRPr="00AE47C6" w:rsidRDefault="00BE0B19" w:rsidP="00BE0B19">
      <w:pPr>
        <w:widowControl w:val="0"/>
        <w:numPr>
          <w:ilvl w:val="1"/>
          <w:numId w:val="339"/>
        </w:numPr>
        <w:shd w:val="clear" w:color="auto" w:fill="FFFFFF"/>
        <w:tabs>
          <w:tab w:val="left" w:pos="226"/>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рутинен скрининг за антифосфолипиден синдром при липса на други клинични данни, както и при известна причина за ИМИ (клас III, ниво C). </w:t>
      </w:r>
    </w:p>
    <w:p w14:paraId="53485D8B" w14:textId="77777777" w:rsidR="00BE0B19" w:rsidRPr="00AE47C6" w:rsidRDefault="00BE0B19" w:rsidP="00BE0B19">
      <w:pPr>
        <w:widowControl w:val="0"/>
        <w:numPr>
          <w:ilvl w:val="1"/>
          <w:numId w:val="339"/>
        </w:numPr>
        <w:shd w:val="clear" w:color="auto" w:fill="FFFFFF"/>
        <w:tabs>
          <w:tab w:val="left" w:pos="226"/>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скрининг за хиперхомоцистеинемия след скорошен ИМИ (клас III, ниво C).</w:t>
      </w:r>
    </w:p>
    <w:p w14:paraId="1A398952" w14:textId="77777777" w:rsidR="00BE0B19" w:rsidRPr="00AE47C6" w:rsidRDefault="00BE0B19" w:rsidP="00BE0B19">
      <w:pPr>
        <w:widowControl w:val="0"/>
        <w:numPr>
          <w:ilvl w:val="1"/>
          <w:numId w:val="339"/>
        </w:numPr>
        <w:shd w:val="clear" w:color="auto" w:fill="FFFFFF"/>
        <w:tabs>
          <w:tab w:val="left" w:pos="226"/>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Ползата от скрининг за тромбофилии при болни с ИМИ е неизвестна (клас IIb, ниво C). </w:t>
      </w:r>
    </w:p>
    <w:p w14:paraId="2C55D0E1" w14:textId="77777777" w:rsidR="00BE0B19" w:rsidRPr="00AE47C6" w:rsidRDefault="00BE0B19" w:rsidP="00BE0B19">
      <w:pPr>
        <w:widowControl w:val="0"/>
        <w:numPr>
          <w:ilvl w:val="1"/>
          <w:numId w:val="339"/>
        </w:numPr>
        <w:shd w:val="clear" w:color="auto" w:fill="FFFFFF"/>
        <w:tabs>
          <w:tab w:val="left" w:pos="226"/>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b/>
          <w:spacing w:val="-3"/>
          <w:sz w:val="24"/>
          <w:szCs w:val="24"/>
        </w:rPr>
        <w:t xml:space="preserve">Наблюдение за предсърдно мъждене </w:t>
      </w:r>
      <w:r w:rsidRPr="00AE47C6">
        <w:rPr>
          <w:rFonts w:ascii="Times New Roman" w:eastAsia="SimSun" w:hAnsi="Times New Roman"/>
          <w:spacing w:val="-3"/>
          <w:sz w:val="24"/>
          <w:szCs w:val="24"/>
        </w:rPr>
        <w:t>през първите 6 месеца след прекаран инсулт или ТИА (</w:t>
      </w:r>
      <w:r w:rsidRPr="00AE47C6">
        <w:rPr>
          <w:rFonts w:ascii="Times New Roman" w:eastAsia="SimSun" w:hAnsi="Times New Roman"/>
          <w:spacing w:val="-1"/>
          <w:sz w:val="24"/>
          <w:szCs w:val="24"/>
        </w:rPr>
        <w:t>клас</w:t>
      </w:r>
      <w:r w:rsidRPr="00AE47C6">
        <w:rPr>
          <w:rFonts w:ascii="Times New Roman" w:eastAsia="SimSun" w:hAnsi="Times New Roman"/>
          <w:spacing w:val="-3"/>
          <w:sz w:val="24"/>
          <w:szCs w:val="24"/>
        </w:rPr>
        <w:t xml:space="preserve"> IIa, ниво C).</w:t>
      </w:r>
    </w:p>
    <w:p w14:paraId="733B0327"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spacing w:val="-3"/>
          <w:sz w:val="24"/>
          <w:szCs w:val="24"/>
        </w:rPr>
      </w:pPr>
      <w:r w:rsidRPr="00AE47C6">
        <w:rPr>
          <w:rFonts w:ascii="Times New Roman" w:eastAsia="SimSun" w:hAnsi="Times New Roman"/>
          <w:b/>
          <w:spacing w:val="-5"/>
          <w:sz w:val="24"/>
          <w:szCs w:val="24"/>
        </w:rPr>
        <w:t xml:space="preserve">2. Препоръчва </w:t>
      </w:r>
      <w:r w:rsidRPr="00AE47C6">
        <w:rPr>
          <w:rFonts w:ascii="Times New Roman" w:eastAsia="SimSun" w:hAnsi="Times New Roman"/>
          <w:spacing w:val="-3"/>
          <w:sz w:val="24"/>
          <w:szCs w:val="24"/>
        </w:rPr>
        <w:t>на пациентите:</w:t>
      </w:r>
    </w:p>
    <w:p w14:paraId="39F4F0F2"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С оглед лечение на хипертонията промяна в начина на живот (клас IIа, ниво С) със Средиземноморски тип диета, бедна на сол и наситени мастни киселини, богата на плодове, зеленчуци, риба, ядки и нискомаслени млечни продукти и ограничаване на прекомерната консумация на месо и въглехидрати. </w:t>
      </w:r>
    </w:p>
    <w:p w14:paraId="04CC3E79"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Ограничаване на приема на алкохол (клас I, ниво С)</w:t>
      </w:r>
    </w:p>
    <w:p w14:paraId="2A85512B"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Повишена физическа активност поне 3-4 дни в седмицата по 40 минути дневно (клас IIа, ниво С).</w:t>
      </w:r>
    </w:p>
    <w:p w14:paraId="5787B4B6"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Прекратяване на тютюнопушенето (</w:t>
      </w:r>
      <w:r w:rsidRPr="00AE47C6">
        <w:rPr>
          <w:rFonts w:ascii="Times New Roman" w:eastAsia="SimSun" w:hAnsi="Times New Roman"/>
          <w:spacing w:val="-1"/>
          <w:sz w:val="24"/>
          <w:szCs w:val="24"/>
        </w:rPr>
        <w:t>клас</w:t>
      </w:r>
      <w:r w:rsidRPr="00AE47C6">
        <w:rPr>
          <w:rFonts w:ascii="Times New Roman" w:eastAsia="SimSun" w:hAnsi="Times New Roman"/>
          <w:spacing w:val="-3"/>
          <w:sz w:val="24"/>
          <w:szCs w:val="24"/>
        </w:rPr>
        <w:t xml:space="preserve"> I, ниво C).  </w:t>
      </w:r>
    </w:p>
    <w:p w14:paraId="0C2C9F02"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Не се препоръчва прием на витамини (клас III, ниво А).</w:t>
      </w:r>
    </w:p>
    <w:p w14:paraId="26DCD0FE"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b/>
          <w:spacing w:val="-5"/>
          <w:sz w:val="24"/>
          <w:szCs w:val="24"/>
        </w:rPr>
        <w:t>3. Лекува</w:t>
      </w:r>
      <w:r w:rsidRPr="00AE47C6">
        <w:rPr>
          <w:rFonts w:ascii="Times New Roman" w:eastAsia="SimSun" w:hAnsi="Times New Roman"/>
          <w:sz w:val="24"/>
          <w:szCs w:val="24"/>
        </w:rPr>
        <w:t xml:space="preserve"> основните заболявания, довели до развитие на мозъчен инсулт.</w:t>
      </w:r>
    </w:p>
    <w:p w14:paraId="004A5BC5" w14:textId="77777777" w:rsidR="00BE0B19" w:rsidRPr="00AE47C6" w:rsidRDefault="00BE0B19" w:rsidP="00BE0B19">
      <w:pPr>
        <w:widowControl w:val="0"/>
        <w:numPr>
          <w:ilvl w:val="0"/>
          <w:numId w:val="334"/>
        </w:numPr>
        <w:shd w:val="clear" w:color="auto" w:fill="FFFFFF"/>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Провеждането на ехокардиография е уместно при отделни пациенти с оглед оценка на показанията за механично затваряне на персистиращ foramen ovale (клас IIa, ниво B).</w:t>
      </w:r>
    </w:p>
    <w:p w14:paraId="3FAF5096"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Персистиращият foramen ovale следва да бъде затворен при пациенти с криптогенен инсулт (</w:t>
      </w:r>
      <w:r w:rsidRPr="00AE47C6">
        <w:rPr>
          <w:rFonts w:ascii="Times New Roman" w:eastAsia="SimSun" w:hAnsi="Times New Roman"/>
          <w:spacing w:val="-1"/>
          <w:sz w:val="24"/>
          <w:szCs w:val="24"/>
        </w:rPr>
        <w:t>ДКП</w:t>
      </w:r>
      <w:r w:rsidRPr="00AE47C6">
        <w:rPr>
          <w:rFonts w:ascii="Times New Roman" w:eastAsia="SimSun" w:hAnsi="Times New Roman"/>
          <w:spacing w:val="-3"/>
          <w:sz w:val="24"/>
          <w:szCs w:val="24"/>
        </w:rPr>
        <w:t>).</w:t>
      </w:r>
    </w:p>
    <w:p w14:paraId="43B350ED"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bCs/>
          <w:spacing w:val="-3"/>
          <w:sz w:val="24"/>
          <w:szCs w:val="24"/>
        </w:rPr>
      </w:pPr>
    </w:p>
    <w:p w14:paraId="5134726F"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bCs/>
          <w:spacing w:val="-9"/>
          <w:sz w:val="24"/>
          <w:szCs w:val="24"/>
        </w:rPr>
      </w:pPr>
      <w:r w:rsidRPr="00AE47C6">
        <w:rPr>
          <w:rFonts w:ascii="Times New Roman" w:eastAsia="SimSun" w:hAnsi="Times New Roman"/>
          <w:b/>
          <w:spacing w:val="-11"/>
          <w:sz w:val="24"/>
          <w:szCs w:val="24"/>
        </w:rPr>
        <w:t>Специалистът невролог</w:t>
      </w:r>
      <w:r w:rsidRPr="00AE47C6">
        <w:rPr>
          <w:rFonts w:ascii="Times New Roman" w:eastAsia="SimSun" w:hAnsi="Times New Roman"/>
          <w:b/>
          <w:bCs/>
          <w:spacing w:val="-11"/>
          <w:sz w:val="24"/>
          <w:szCs w:val="24"/>
        </w:rPr>
        <w:t xml:space="preserve"> в</w:t>
      </w:r>
      <w:r w:rsidRPr="00AE47C6">
        <w:rPr>
          <w:rFonts w:ascii="Times New Roman" w:eastAsia="SimSun" w:hAnsi="Times New Roman"/>
          <w:spacing w:val="-11"/>
          <w:sz w:val="24"/>
          <w:szCs w:val="24"/>
        </w:rPr>
        <w:t xml:space="preserve"> </w:t>
      </w:r>
      <w:r w:rsidRPr="00AE47C6">
        <w:rPr>
          <w:rFonts w:ascii="Times New Roman" w:eastAsia="SimSun" w:hAnsi="Times New Roman"/>
          <w:b/>
          <w:bCs/>
          <w:spacing w:val="-3"/>
          <w:sz w:val="24"/>
          <w:szCs w:val="24"/>
        </w:rPr>
        <w:t xml:space="preserve">доболничната помощ </w:t>
      </w:r>
      <w:r w:rsidRPr="00AE47C6">
        <w:rPr>
          <w:rFonts w:ascii="Times New Roman" w:eastAsia="SimSun" w:hAnsi="Times New Roman"/>
          <w:b/>
          <w:bCs/>
          <w:spacing w:val="-9"/>
          <w:sz w:val="24"/>
          <w:szCs w:val="24"/>
        </w:rPr>
        <w:t xml:space="preserve"> осъществява </w:t>
      </w:r>
    </w:p>
    <w:p w14:paraId="6416DA19"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bCs/>
          <w:spacing w:val="-9"/>
          <w:sz w:val="24"/>
          <w:szCs w:val="24"/>
        </w:rPr>
      </w:pPr>
      <w:r w:rsidRPr="00AE47C6">
        <w:rPr>
          <w:rFonts w:ascii="Times New Roman" w:eastAsia="SimSun" w:hAnsi="Times New Roman"/>
          <w:b/>
          <w:sz w:val="24"/>
          <w:szCs w:val="24"/>
        </w:rPr>
        <w:t>1. Диспансерното наблюдение</w:t>
      </w:r>
      <w:r w:rsidRPr="00AE47C6">
        <w:rPr>
          <w:rFonts w:ascii="Times New Roman" w:eastAsia="SimSun" w:hAnsi="Times New Roman"/>
          <w:sz w:val="24"/>
          <w:szCs w:val="24"/>
        </w:rPr>
        <w:t xml:space="preserve"> на пациентите се извършва в продължение на една година. </w:t>
      </w:r>
    </w:p>
    <w:p w14:paraId="5BB9DFC0" w14:textId="77777777" w:rsidR="00BE0B19" w:rsidRPr="00AE47C6" w:rsidRDefault="00BE0B19" w:rsidP="00BE0B19">
      <w:pPr>
        <w:widowControl w:val="0"/>
        <w:numPr>
          <w:ilvl w:val="0"/>
          <w:numId w:val="113"/>
        </w:numPr>
        <w:shd w:val="clear" w:color="auto" w:fill="FFFFFF"/>
        <w:tabs>
          <w:tab w:val="left" w:pos="226"/>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1"/>
          <w:sz w:val="24"/>
          <w:szCs w:val="24"/>
        </w:rPr>
        <w:t xml:space="preserve">Преглежда болния с МСБ един път месечно през първите три месеца и един път </w:t>
      </w:r>
      <w:r w:rsidRPr="00AE47C6">
        <w:rPr>
          <w:rFonts w:ascii="Times New Roman" w:eastAsia="SimSun" w:hAnsi="Times New Roman"/>
          <w:spacing w:val="2"/>
          <w:sz w:val="24"/>
          <w:szCs w:val="24"/>
        </w:rPr>
        <w:t>на 3 месеца до края на първата година.</w:t>
      </w:r>
    </w:p>
    <w:p w14:paraId="04C9AD75" w14:textId="77777777" w:rsidR="00BE0B19" w:rsidRPr="00AE47C6" w:rsidRDefault="00BE0B19" w:rsidP="00BE0B19">
      <w:pPr>
        <w:widowControl w:val="0"/>
        <w:numPr>
          <w:ilvl w:val="0"/>
          <w:numId w:val="113"/>
        </w:numPr>
        <w:shd w:val="clear" w:color="auto" w:fill="FFFFFF"/>
        <w:tabs>
          <w:tab w:val="left" w:pos="226"/>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2"/>
          <w:sz w:val="24"/>
          <w:szCs w:val="24"/>
        </w:rPr>
        <w:t xml:space="preserve">Извършва консултация и </w:t>
      </w:r>
      <w:r w:rsidRPr="00AE47C6">
        <w:rPr>
          <w:rFonts w:ascii="Times New Roman" w:eastAsia="SimSun" w:hAnsi="Times New Roman"/>
          <w:spacing w:val="-2"/>
          <w:sz w:val="24"/>
          <w:szCs w:val="24"/>
        </w:rPr>
        <w:t xml:space="preserve">домашни посещения </w:t>
      </w:r>
      <w:r w:rsidRPr="00AE47C6">
        <w:rPr>
          <w:rFonts w:ascii="Times New Roman" w:eastAsia="SimSun" w:hAnsi="Times New Roman"/>
          <w:spacing w:val="2"/>
          <w:sz w:val="24"/>
          <w:szCs w:val="24"/>
        </w:rPr>
        <w:t>при необходимост</w:t>
      </w:r>
    </w:p>
    <w:p w14:paraId="481019C6" w14:textId="77777777" w:rsidR="00BE0B19" w:rsidRPr="00AE47C6" w:rsidRDefault="00BE0B19" w:rsidP="00BE0B19">
      <w:pPr>
        <w:widowControl w:val="0"/>
        <w:numPr>
          <w:ilvl w:val="0"/>
          <w:numId w:val="113"/>
        </w:numPr>
        <w:shd w:val="clear" w:color="auto" w:fill="FFFFFF"/>
        <w:tabs>
          <w:tab w:val="left" w:pos="226"/>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2"/>
          <w:sz w:val="24"/>
          <w:szCs w:val="24"/>
        </w:rPr>
        <w:t xml:space="preserve">Изработва </w:t>
      </w:r>
      <w:r w:rsidRPr="00AE47C6">
        <w:rPr>
          <w:rFonts w:ascii="Times New Roman" w:eastAsia="SimSun" w:hAnsi="Times New Roman"/>
          <w:spacing w:val="-7"/>
          <w:sz w:val="24"/>
          <w:szCs w:val="24"/>
        </w:rPr>
        <w:t xml:space="preserve">подробно медицинско заключение и индивидуален </w:t>
      </w:r>
      <w:r w:rsidRPr="00AE47C6">
        <w:rPr>
          <w:rFonts w:ascii="Times New Roman" w:eastAsia="SimSun" w:hAnsi="Times New Roman"/>
          <w:spacing w:val="-5"/>
          <w:sz w:val="24"/>
          <w:szCs w:val="24"/>
        </w:rPr>
        <w:t xml:space="preserve">план за лечение. </w:t>
      </w:r>
    </w:p>
    <w:p w14:paraId="2CB9AA95" w14:textId="77777777" w:rsidR="00BE0B19" w:rsidRPr="00AE47C6" w:rsidRDefault="00BE0B19" w:rsidP="00BE0B19">
      <w:pPr>
        <w:widowControl w:val="0"/>
        <w:numPr>
          <w:ilvl w:val="0"/>
          <w:numId w:val="113"/>
        </w:numPr>
        <w:shd w:val="clear" w:color="auto" w:fill="FFFFFF"/>
        <w:tabs>
          <w:tab w:val="left" w:pos="226"/>
        </w:tabs>
        <w:suppressAutoHyphens/>
        <w:autoSpaceDE w:val="0"/>
        <w:spacing w:after="0" w:line="360" w:lineRule="auto"/>
        <w:jc w:val="both"/>
        <w:rPr>
          <w:rFonts w:ascii="Times New Roman" w:eastAsia="SimSun" w:hAnsi="Times New Roman"/>
          <w:spacing w:val="-5"/>
          <w:sz w:val="24"/>
          <w:szCs w:val="24"/>
        </w:rPr>
      </w:pPr>
      <w:r w:rsidRPr="00AE47C6">
        <w:rPr>
          <w:rFonts w:ascii="Times New Roman" w:eastAsia="SimSun" w:hAnsi="Times New Roman"/>
          <w:spacing w:val="-7"/>
          <w:sz w:val="24"/>
          <w:szCs w:val="24"/>
        </w:rPr>
        <w:t xml:space="preserve">Насочва за необходими изследвания вкл. и за повторно невросонографско изследване, КТ, АГ, </w:t>
      </w:r>
      <w:r w:rsidRPr="00AE47C6">
        <w:rPr>
          <w:rFonts w:ascii="Times New Roman" w:eastAsia="SimSun" w:hAnsi="Times New Roman"/>
          <w:sz w:val="24"/>
          <w:szCs w:val="24"/>
        </w:rPr>
        <w:t>МР, ЕЕГ, ЕКГ, ехокардиография, отоневрологично и др., когато т</w:t>
      </w:r>
      <w:r w:rsidRPr="00AE47C6">
        <w:rPr>
          <w:rFonts w:ascii="Times New Roman" w:eastAsia="SimSun" w:hAnsi="Times New Roman"/>
          <w:spacing w:val="-5"/>
          <w:sz w:val="24"/>
          <w:szCs w:val="24"/>
        </w:rPr>
        <w:t>ова е необходимо.</w:t>
      </w:r>
    </w:p>
    <w:p w14:paraId="69D1CDF3"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Желателно е изследване за когнитивен дефицит, но няма достатъчно данни за препоръчване на специфично лечение (клас I, ниво A). </w:t>
      </w:r>
    </w:p>
    <w:p w14:paraId="30D6C97B" w14:textId="77777777" w:rsidR="00BE0B19" w:rsidRPr="00AE47C6" w:rsidRDefault="00BE0B19" w:rsidP="00BE0B19">
      <w:pPr>
        <w:widowControl w:val="0"/>
        <w:numPr>
          <w:ilvl w:val="0"/>
          <w:numId w:val="113"/>
        </w:numPr>
        <w:shd w:val="clear" w:color="auto" w:fill="FFFFFF"/>
        <w:tabs>
          <w:tab w:val="left" w:pos="226"/>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Препоръчва се изследване за дефицит на комуникацията макар, че няма достатъчно данни за специфично лечение (клас III, ДКП).</w:t>
      </w:r>
    </w:p>
    <w:p w14:paraId="3AFC443B" w14:textId="77777777" w:rsidR="00BE0B19" w:rsidRPr="00AE47C6" w:rsidRDefault="00BE0B19" w:rsidP="00BE0B19">
      <w:pPr>
        <w:widowControl w:val="0"/>
        <w:numPr>
          <w:ilvl w:val="0"/>
          <w:numId w:val="113"/>
        </w:numPr>
        <w:shd w:val="clear" w:color="auto" w:fill="FFFFFF"/>
        <w:tabs>
          <w:tab w:val="left" w:pos="226"/>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5"/>
          <w:sz w:val="24"/>
          <w:szCs w:val="24"/>
        </w:rPr>
        <w:t xml:space="preserve">При показания насочва болните за стационарно лечение и </w:t>
      </w:r>
      <w:r w:rsidRPr="00AE47C6">
        <w:rPr>
          <w:rFonts w:ascii="Times New Roman" w:eastAsia="SimSun" w:hAnsi="Times New Roman"/>
          <w:spacing w:val="-4"/>
          <w:sz w:val="24"/>
          <w:szCs w:val="24"/>
        </w:rPr>
        <w:t>двигателна рехабилитация в болници за долекуване или хосписи.</w:t>
      </w:r>
    </w:p>
    <w:p w14:paraId="7AD26F62" w14:textId="77777777" w:rsidR="00BE0B19" w:rsidRPr="00AE47C6" w:rsidRDefault="00BE0B19" w:rsidP="00BE0B19">
      <w:pPr>
        <w:shd w:val="clear" w:color="auto" w:fill="FFFFFF"/>
        <w:tabs>
          <w:tab w:val="left" w:pos="220"/>
        </w:tabs>
        <w:spacing w:after="0" w:line="360" w:lineRule="auto"/>
        <w:ind w:left="720"/>
        <w:jc w:val="both"/>
        <w:rPr>
          <w:rFonts w:ascii="Times New Roman" w:eastAsia="SimSun" w:hAnsi="Times New Roman"/>
          <w:spacing w:val="-3"/>
          <w:sz w:val="24"/>
          <w:szCs w:val="24"/>
        </w:rPr>
      </w:pPr>
      <w:r w:rsidRPr="00AE47C6">
        <w:rPr>
          <w:rFonts w:ascii="Times New Roman" w:eastAsia="SimSun" w:hAnsi="Times New Roman"/>
          <w:b/>
          <w:bCs/>
          <w:spacing w:val="2"/>
          <w:w w:val="91"/>
          <w:sz w:val="24"/>
          <w:szCs w:val="24"/>
        </w:rPr>
        <w:t xml:space="preserve">2. Вторична профилактика с </w:t>
      </w:r>
      <w:r w:rsidRPr="00AE47C6">
        <w:rPr>
          <w:rFonts w:ascii="Times New Roman" w:eastAsia="SimSun" w:hAnsi="Times New Roman"/>
          <w:b/>
          <w:spacing w:val="-3"/>
          <w:sz w:val="24"/>
          <w:szCs w:val="24"/>
        </w:rPr>
        <w:t>антитромботични медикаменти</w:t>
      </w:r>
      <w:r w:rsidRPr="00AE47C6">
        <w:rPr>
          <w:rFonts w:ascii="Times New Roman" w:eastAsia="SimSun" w:hAnsi="Times New Roman"/>
          <w:spacing w:val="-3"/>
          <w:sz w:val="24"/>
          <w:szCs w:val="24"/>
        </w:rPr>
        <w:t xml:space="preserve"> (</w:t>
      </w:r>
      <w:r w:rsidRPr="00AE47C6">
        <w:rPr>
          <w:rFonts w:ascii="Times New Roman" w:eastAsia="SimSun" w:hAnsi="Times New Roman"/>
          <w:spacing w:val="-1"/>
          <w:sz w:val="24"/>
          <w:szCs w:val="24"/>
        </w:rPr>
        <w:t>клас</w:t>
      </w:r>
      <w:r w:rsidRPr="00AE47C6">
        <w:rPr>
          <w:rFonts w:ascii="Times New Roman" w:eastAsia="SimSun" w:hAnsi="Times New Roman"/>
          <w:spacing w:val="-3"/>
          <w:sz w:val="24"/>
          <w:szCs w:val="24"/>
        </w:rPr>
        <w:t xml:space="preserve"> I, ниво A).</w:t>
      </w:r>
    </w:p>
    <w:p w14:paraId="76080EA4" w14:textId="77777777" w:rsidR="00BE0B19" w:rsidRPr="00AE47C6" w:rsidRDefault="00BE0B19" w:rsidP="00BE0B19">
      <w:pPr>
        <w:widowControl w:val="0"/>
        <w:numPr>
          <w:ilvl w:val="0"/>
          <w:numId w:val="335"/>
        </w:numPr>
        <w:shd w:val="clear" w:color="auto" w:fill="FFFFFF"/>
        <w:tabs>
          <w:tab w:val="left" w:pos="220"/>
        </w:tabs>
        <w:autoSpaceDE w:val="0"/>
        <w:autoSpaceDN w:val="0"/>
        <w:adjustRightInd w:val="0"/>
        <w:spacing w:after="0" w:line="360" w:lineRule="auto"/>
        <w:ind w:left="0" w:firstLine="705"/>
        <w:contextualSpacing/>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При пациенти, преживяли некардиоемболичен ИМИ се препоръчва употребата на антиагреганти вместо перорални антикоагуланти с оглед намаляването на риска от повторен ИМИ или друг кардиоваскуларен инцидент (клас I, ниво A) </w:t>
      </w:r>
    </w:p>
    <w:p w14:paraId="2E269627" w14:textId="77777777" w:rsidR="00BE0B19" w:rsidRPr="00AE47C6" w:rsidRDefault="00BE0B19" w:rsidP="00BE0B19">
      <w:pPr>
        <w:widowControl w:val="0"/>
        <w:numPr>
          <w:ilvl w:val="0"/>
          <w:numId w:val="335"/>
        </w:numPr>
        <w:shd w:val="clear" w:color="auto" w:fill="FFFFFF"/>
        <w:tabs>
          <w:tab w:val="left" w:pos="220"/>
        </w:tabs>
        <w:autoSpaceDE w:val="0"/>
        <w:autoSpaceDN w:val="0"/>
        <w:adjustRightInd w:val="0"/>
        <w:spacing w:after="0" w:line="360" w:lineRule="auto"/>
        <w:ind w:left="0" w:firstLine="705"/>
        <w:contextualSpacing/>
        <w:jc w:val="both"/>
        <w:rPr>
          <w:rFonts w:ascii="Times New Roman" w:eastAsia="SimSun" w:hAnsi="Times New Roman"/>
          <w:spacing w:val="-3"/>
          <w:sz w:val="24"/>
          <w:szCs w:val="24"/>
        </w:rPr>
      </w:pPr>
      <w:r w:rsidRPr="00AE47C6">
        <w:rPr>
          <w:rFonts w:ascii="Times New Roman" w:eastAsia="SimSun" w:hAnsi="Times New Roman"/>
          <w:spacing w:val="-3"/>
          <w:sz w:val="24"/>
          <w:szCs w:val="24"/>
        </w:rPr>
        <w:t>изборът на антитромботичен медикамент трябва да бъде индивидуализиран (клас I, ниво С).</w:t>
      </w:r>
    </w:p>
    <w:p w14:paraId="195B114A"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bCs/>
          <w:iCs/>
          <w:spacing w:val="-9"/>
          <w:sz w:val="24"/>
          <w:szCs w:val="24"/>
        </w:rPr>
        <w:t xml:space="preserve">Антиагрегантното лечение с ASA (325 mg дн.) се започва 24 до 48 часа след исхемичен инсулт в продължение на 1 месец, след което дозата се понижава до 75-100 mg/дневно. </w:t>
      </w:r>
    </w:p>
    <w:p w14:paraId="55B3036C"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При пациенти с тежки стенози на големи интракраниални артерии (70-99%) през първите 30 дни след инсулта към ASA се добавя Clopidogrel 75 mg дн. за период от 90 дни (клас IIb, ниво В).</w:t>
      </w:r>
    </w:p>
    <w:p w14:paraId="4F972146"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При пациенти с 50-60% стеноза на големи интракраниални артерии се прилага ASA 325 mg дневно (клас I, ниво A).</w:t>
      </w:r>
    </w:p>
    <w:p w14:paraId="73E44881"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Clopidogrel (</w:t>
      </w:r>
      <w:r w:rsidRPr="00AE47C6">
        <w:rPr>
          <w:rFonts w:ascii="Times New Roman" w:eastAsia="SimSun" w:hAnsi="Times New Roman"/>
          <w:spacing w:val="-5"/>
          <w:sz w:val="24"/>
          <w:szCs w:val="24"/>
        </w:rPr>
        <w:t>75 mg дн.)</w:t>
      </w:r>
      <w:r w:rsidRPr="00AE47C6">
        <w:rPr>
          <w:rFonts w:ascii="Times New Roman" w:eastAsia="SimSun" w:hAnsi="Times New Roman"/>
          <w:spacing w:val="-3"/>
          <w:sz w:val="24"/>
          <w:szCs w:val="24"/>
        </w:rPr>
        <w:t xml:space="preserve"> самостоятелно се препоръчва при непоносимост, странични ефекти или неповлияване от ASA при по-младите пациенти прекарали ТИА или ИМИ със захарен диабет, аортокоронарен байпас, патология на екстракраниалните магистрални съдове, тежка атероматоза и др. (клас IIa, ниво В) </w:t>
      </w:r>
    </w:p>
    <w:p w14:paraId="17BE610C"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Комбинацията от </w:t>
      </w:r>
      <w:r w:rsidRPr="00AE47C6">
        <w:rPr>
          <w:rFonts w:ascii="Times New Roman" w:eastAsia="SimSun" w:hAnsi="Times New Roman"/>
          <w:spacing w:val="-1"/>
          <w:sz w:val="24"/>
          <w:szCs w:val="24"/>
        </w:rPr>
        <w:t>ASA</w:t>
      </w:r>
      <w:r w:rsidRPr="00AE47C6">
        <w:rPr>
          <w:rFonts w:ascii="Times New Roman" w:eastAsia="SimSun" w:hAnsi="Times New Roman"/>
          <w:spacing w:val="-3"/>
          <w:sz w:val="24"/>
          <w:szCs w:val="24"/>
        </w:rPr>
        <w:t xml:space="preserve"> с Clopidogrel се препоръчва при пациенти с пресен исхемичен инсулт и нестабилна стенокардия, остър коронарен синдром или скорошно стентиране. Лечението следва да бъде провеждано до 12 месеца след събитието (клас I, ниво A). </w:t>
      </w:r>
    </w:p>
    <w:p w14:paraId="7D9DB749"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Комбинацията от </w:t>
      </w:r>
      <w:r w:rsidRPr="00AE47C6">
        <w:rPr>
          <w:rFonts w:ascii="Times New Roman" w:eastAsia="SimSun" w:hAnsi="Times New Roman"/>
          <w:spacing w:val="-1"/>
          <w:sz w:val="24"/>
          <w:szCs w:val="24"/>
        </w:rPr>
        <w:t>ASA</w:t>
      </w:r>
      <w:r w:rsidRPr="00AE47C6">
        <w:rPr>
          <w:rFonts w:ascii="Times New Roman" w:eastAsia="SimSun" w:hAnsi="Times New Roman"/>
          <w:spacing w:val="-3"/>
          <w:sz w:val="24"/>
          <w:szCs w:val="24"/>
        </w:rPr>
        <w:t xml:space="preserve"> с Clopidogrel може да се започне до 24 часа на пациенти с малък некардиоемболичен исхемичен инсулт </w:t>
      </w:r>
      <w:r w:rsidRPr="00AE47C6">
        <w:rPr>
          <w:rFonts w:ascii="Times New Roman" w:eastAsia="SimSun" w:hAnsi="Times New Roman"/>
          <w:sz w:val="24"/>
          <w:szCs w:val="24"/>
        </w:rPr>
        <w:t>(оценка на NIHSS ≤ 3), на които не е приложена ИВТ</w:t>
      </w:r>
      <w:r w:rsidRPr="00AE47C6">
        <w:rPr>
          <w:rFonts w:ascii="Times New Roman" w:eastAsia="SimSun" w:hAnsi="Times New Roman"/>
          <w:spacing w:val="-3"/>
          <w:sz w:val="24"/>
          <w:szCs w:val="24"/>
        </w:rPr>
        <w:t xml:space="preserve"> или ТИА в продължение на 21 дни (клас I, ниво А)</w:t>
      </w:r>
    </w:p>
    <w:p w14:paraId="268D78FC" w14:textId="77777777" w:rsidR="00BE0B19" w:rsidRPr="00AE47C6" w:rsidRDefault="00BE0B19" w:rsidP="00BE0B19">
      <w:pPr>
        <w:widowControl w:val="0"/>
        <w:numPr>
          <w:ilvl w:val="0"/>
          <w:numId w:val="336"/>
        </w:numPr>
        <w:shd w:val="clear" w:color="auto" w:fill="FFFFFF"/>
        <w:tabs>
          <w:tab w:val="left" w:pos="220"/>
        </w:tabs>
        <w:autoSpaceDE w:val="0"/>
        <w:autoSpaceDN w:val="0"/>
        <w:adjustRightInd w:val="0"/>
        <w:spacing w:after="0" w:line="360" w:lineRule="auto"/>
        <w:ind w:left="0" w:firstLine="709"/>
        <w:jc w:val="both"/>
        <w:rPr>
          <w:rFonts w:ascii="Times New Roman" w:eastAsia="SimSun" w:hAnsi="Times New Roman"/>
          <w:spacing w:val="-3"/>
          <w:sz w:val="24"/>
          <w:szCs w:val="24"/>
        </w:rPr>
      </w:pPr>
      <w:r w:rsidRPr="00AE47C6">
        <w:rPr>
          <w:rFonts w:ascii="Times New Roman" w:eastAsia="SimSun" w:hAnsi="Times New Roman"/>
          <w:spacing w:val="-3"/>
          <w:sz w:val="24"/>
          <w:szCs w:val="24"/>
        </w:rPr>
        <w:t>Вторична профилактика след некардиоемболичен ИМИ с тройна антиагрегантна терапия  (ASA+clopidogrel+dipyridamole) е вредна и не бива да се прилага (клас III, ниво В – TARDIS Trial).</w:t>
      </w:r>
    </w:p>
    <w:p w14:paraId="1C6732FE" w14:textId="77777777" w:rsidR="00BE0B19" w:rsidRPr="00AE47C6" w:rsidRDefault="00BE0B19" w:rsidP="00BE0B19">
      <w:pPr>
        <w:widowControl w:val="0"/>
        <w:numPr>
          <w:ilvl w:val="1"/>
          <w:numId w:val="335"/>
        </w:numPr>
        <w:shd w:val="clear" w:color="auto" w:fill="FFFFFF"/>
        <w:tabs>
          <w:tab w:val="left" w:pos="220"/>
        </w:tabs>
        <w:autoSpaceDE w:val="0"/>
        <w:autoSpaceDN w:val="0"/>
        <w:adjustRightInd w:val="0"/>
        <w:spacing w:after="0" w:line="360" w:lineRule="auto"/>
        <w:ind w:left="0" w:firstLine="709"/>
        <w:contextualSpacing/>
        <w:jc w:val="both"/>
        <w:rPr>
          <w:rFonts w:ascii="Times New Roman" w:eastAsia="SimSun" w:hAnsi="Times New Roman"/>
          <w:spacing w:val="-3"/>
          <w:sz w:val="24"/>
          <w:szCs w:val="24"/>
        </w:rPr>
      </w:pPr>
      <w:r w:rsidRPr="00AE47C6">
        <w:rPr>
          <w:rFonts w:ascii="Times New Roman" w:eastAsia="SimSun" w:hAnsi="Times New Roman"/>
          <w:spacing w:val="-3"/>
          <w:sz w:val="24"/>
          <w:szCs w:val="24"/>
        </w:rPr>
        <w:t>При пациенти, получили некардиоемболичен ИМИ на фона на прием на ASA, ползата от повишаването на дозата на ASA или преминаването към друг антиагрегантен медикамент не е достатъчно добре установена (клас IIb, ниво B).</w:t>
      </w:r>
    </w:p>
    <w:p w14:paraId="3E1BECC7" w14:textId="77777777" w:rsidR="00BE0B19" w:rsidRPr="00AE47C6" w:rsidRDefault="00BE0B19" w:rsidP="00BE0B19">
      <w:pPr>
        <w:widowControl w:val="0"/>
        <w:numPr>
          <w:ilvl w:val="0"/>
          <w:numId w:val="335"/>
        </w:numPr>
        <w:shd w:val="clear" w:color="auto" w:fill="FFFFFF"/>
        <w:tabs>
          <w:tab w:val="left" w:pos="220"/>
        </w:tabs>
        <w:autoSpaceDE w:val="0"/>
        <w:autoSpaceDN w:val="0"/>
        <w:adjustRightInd w:val="0"/>
        <w:spacing w:after="0" w:line="360" w:lineRule="auto"/>
        <w:contextualSpacing/>
        <w:jc w:val="both"/>
        <w:rPr>
          <w:rFonts w:ascii="Times New Roman" w:eastAsia="SimSun" w:hAnsi="Times New Roman"/>
          <w:spacing w:val="-3"/>
          <w:sz w:val="24"/>
          <w:szCs w:val="24"/>
        </w:rPr>
      </w:pPr>
      <w:r w:rsidRPr="00AE47C6">
        <w:rPr>
          <w:rFonts w:ascii="Times New Roman" w:eastAsia="SimSun" w:hAnsi="Times New Roman"/>
          <w:spacing w:val="-3"/>
          <w:sz w:val="24"/>
          <w:szCs w:val="24"/>
        </w:rPr>
        <w:t>При пациенти, получили некардиоемболичен ИМИ на фона на антиагрегантна терапия, не се препоръчва преминаване към вит. К-антагонист (клас III, ниво B – WARSS).</w:t>
      </w:r>
    </w:p>
    <w:p w14:paraId="5057521A" w14:textId="77777777" w:rsidR="00BE0B19" w:rsidRPr="00AE47C6" w:rsidRDefault="00BE0B19" w:rsidP="00BE0B19">
      <w:pPr>
        <w:widowControl w:val="0"/>
        <w:numPr>
          <w:ilvl w:val="0"/>
          <w:numId w:val="335"/>
        </w:numPr>
        <w:shd w:val="clear" w:color="auto" w:fill="FFFFFF"/>
        <w:tabs>
          <w:tab w:val="left" w:pos="220"/>
        </w:tabs>
        <w:autoSpaceDE w:val="0"/>
        <w:autoSpaceDN w:val="0"/>
        <w:adjustRightInd w:val="0"/>
        <w:spacing w:after="0" w:line="360" w:lineRule="auto"/>
        <w:contextualSpacing/>
        <w:jc w:val="both"/>
        <w:rPr>
          <w:rFonts w:ascii="Times New Roman" w:eastAsia="SimSun" w:hAnsi="Times New Roman"/>
          <w:spacing w:val="-3"/>
          <w:sz w:val="24"/>
          <w:szCs w:val="24"/>
        </w:rPr>
      </w:pPr>
      <w:r w:rsidRPr="00AE47C6">
        <w:rPr>
          <w:rFonts w:ascii="Times New Roman" w:eastAsia="SimSun" w:hAnsi="Times New Roman"/>
          <w:spacing w:val="-3"/>
          <w:sz w:val="24"/>
          <w:szCs w:val="24"/>
        </w:rPr>
        <w:t>Антикоагулантно лечение може да се обсъжда в случаите на абнормни находки</w:t>
      </w:r>
    </w:p>
    <w:p w14:paraId="40F5980C" w14:textId="77777777" w:rsidR="00BE0B19" w:rsidRPr="00AE47C6" w:rsidRDefault="00BE0B19" w:rsidP="00BE0B19">
      <w:pPr>
        <w:shd w:val="clear" w:color="auto" w:fill="FFFFFF"/>
        <w:tabs>
          <w:tab w:val="left" w:pos="220"/>
        </w:tabs>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в коагулационния профил след ИМИ, в зависимост от патологията и клиничните обстоятелства (клас IIb, ниво C).</w:t>
      </w:r>
    </w:p>
    <w:p w14:paraId="28D6CDB7"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b/>
          <w:i/>
          <w:spacing w:val="-3"/>
          <w:sz w:val="24"/>
          <w:szCs w:val="24"/>
        </w:rPr>
        <w:t xml:space="preserve">Орално антикоагулантно лечение </w:t>
      </w:r>
      <w:r w:rsidRPr="00AE47C6">
        <w:rPr>
          <w:rFonts w:ascii="Times New Roman" w:eastAsia="SimSun" w:hAnsi="Times New Roman"/>
          <w:spacing w:val="-3"/>
          <w:sz w:val="24"/>
          <w:szCs w:val="24"/>
        </w:rPr>
        <w:t xml:space="preserve">е уместно да се започне между 4 и 14 ден след началото на исхемичен инсулт, свързан </w:t>
      </w:r>
      <w:r w:rsidRPr="00AE47C6">
        <w:rPr>
          <w:rFonts w:ascii="Times New Roman" w:eastAsia="SimSun" w:hAnsi="Times New Roman"/>
          <w:b/>
          <w:i/>
          <w:spacing w:val="-3"/>
          <w:sz w:val="24"/>
          <w:szCs w:val="24"/>
        </w:rPr>
        <w:t xml:space="preserve">с неклапно мъждене </w:t>
      </w:r>
      <w:r w:rsidRPr="00AE47C6">
        <w:rPr>
          <w:rFonts w:ascii="Times New Roman" w:eastAsia="SimSun" w:hAnsi="Times New Roman"/>
          <w:spacing w:val="-3"/>
          <w:sz w:val="24"/>
          <w:szCs w:val="24"/>
        </w:rPr>
        <w:t>(клас IIa, ниво B).</w:t>
      </w:r>
    </w:p>
    <w:p w14:paraId="539EB8A6"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Началото на лечението може да се отложи при риск от хеморагична трансформация на инсулта (клас IIb, ниво В). </w:t>
      </w:r>
    </w:p>
    <w:p w14:paraId="0B1EA9F9"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spacing w:val="-3"/>
          <w:sz w:val="24"/>
          <w:szCs w:val="24"/>
        </w:rPr>
        <w:t>Прилагат се:</w:t>
      </w:r>
    </w:p>
    <w:p w14:paraId="326B7DFD"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bCs/>
          <w:i/>
          <w:spacing w:val="-2"/>
          <w:sz w:val="24"/>
          <w:szCs w:val="24"/>
        </w:rPr>
        <w:t>Acenocoumarol</w:t>
      </w:r>
      <w:r w:rsidRPr="00AE47C6">
        <w:rPr>
          <w:rFonts w:ascii="Times New Roman" w:eastAsia="SimSun" w:hAnsi="Times New Roman"/>
          <w:spacing w:val="-2"/>
          <w:sz w:val="24"/>
          <w:szCs w:val="24"/>
        </w:rPr>
        <w:t xml:space="preserve">- </w:t>
      </w:r>
      <w:r w:rsidRPr="00AE47C6">
        <w:rPr>
          <w:rFonts w:ascii="Times New Roman" w:eastAsia="SimSun" w:hAnsi="Times New Roman"/>
          <w:spacing w:val="-1"/>
          <w:sz w:val="24"/>
          <w:szCs w:val="24"/>
        </w:rPr>
        <w:t>INR (2,0-3,0)</w:t>
      </w:r>
    </w:p>
    <w:p w14:paraId="60CD2627"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bCs/>
          <w:i/>
          <w:spacing w:val="-2"/>
          <w:sz w:val="24"/>
          <w:szCs w:val="24"/>
        </w:rPr>
        <w:t xml:space="preserve">Apixaban </w:t>
      </w:r>
      <w:r w:rsidRPr="00AE47C6">
        <w:rPr>
          <w:rFonts w:ascii="Times New Roman" w:eastAsia="SimSun" w:hAnsi="Times New Roman"/>
          <w:bCs/>
          <w:spacing w:val="-2"/>
          <w:sz w:val="24"/>
          <w:szCs w:val="24"/>
        </w:rPr>
        <w:t>2 x 5 mg дн.</w:t>
      </w:r>
    </w:p>
    <w:p w14:paraId="393D9ECE"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bCs/>
          <w:i/>
          <w:spacing w:val="-2"/>
          <w:sz w:val="24"/>
          <w:szCs w:val="24"/>
        </w:rPr>
        <w:t xml:space="preserve">Apixaban 2 х </w:t>
      </w:r>
      <w:r w:rsidRPr="00AE47C6">
        <w:rPr>
          <w:rFonts w:ascii="Times New Roman" w:eastAsia="SimSun" w:hAnsi="Times New Roman"/>
          <w:bCs/>
          <w:spacing w:val="-2"/>
          <w:sz w:val="24"/>
          <w:szCs w:val="24"/>
        </w:rPr>
        <w:t xml:space="preserve">2,5 mg дн. при пациенти с поне две от следните характеристики: възраст ≥80 години, телесно тегло </w:t>
      </w:r>
      <w:r w:rsidRPr="00AE47C6">
        <w:rPr>
          <w:rFonts w:ascii="Times New Roman" w:eastAsia="SimSun" w:hAnsi="Times New Roman"/>
          <w:bCs/>
          <w:spacing w:val="-2"/>
          <w:sz w:val="24"/>
          <w:szCs w:val="24"/>
        </w:rPr>
        <w:sym w:font="Symbol" w:char="F0A3"/>
      </w:r>
      <w:r w:rsidRPr="00AE47C6">
        <w:rPr>
          <w:rFonts w:ascii="Times New Roman" w:eastAsia="SimSun" w:hAnsi="Times New Roman"/>
          <w:bCs/>
          <w:spacing w:val="-2"/>
          <w:sz w:val="24"/>
          <w:szCs w:val="24"/>
        </w:rPr>
        <w:t>60 kg, или серумен креатинин ≥1,5 mg/dl (133 μmol/l).</w:t>
      </w:r>
    </w:p>
    <w:p w14:paraId="0C020940"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bCs/>
          <w:i/>
          <w:spacing w:val="-2"/>
          <w:sz w:val="24"/>
          <w:szCs w:val="24"/>
        </w:rPr>
        <w:t xml:space="preserve">Dabigatran etexilate </w:t>
      </w:r>
      <w:r w:rsidRPr="00AE47C6">
        <w:rPr>
          <w:rFonts w:ascii="Times New Roman" w:eastAsia="SimSun" w:hAnsi="Times New Roman"/>
          <w:sz w:val="24"/>
          <w:szCs w:val="24"/>
        </w:rPr>
        <w:t xml:space="preserve">2 х 110 mg дн. или 2 х 150 mg дн. </w:t>
      </w:r>
    </w:p>
    <w:p w14:paraId="45298982"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bCs/>
          <w:i/>
          <w:sz w:val="24"/>
          <w:szCs w:val="24"/>
        </w:rPr>
        <w:t xml:space="preserve">Rivaroxaban </w:t>
      </w:r>
      <w:r w:rsidRPr="00AE47C6">
        <w:rPr>
          <w:rFonts w:ascii="Times New Roman" w:eastAsia="SimSun" w:hAnsi="Times New Roman"/>
          <w:bCs/>
          <w:spacing w:val="-2"/>
          <w:sz w:val="24"/>
          <w:szCs w:val="24"/>
        </w:rPr>
        <w:t>15 или 20 mg дн.</w:t>
      </w:r>
    </w:p>
    <w:p w14:paraId="658D0EF9" w14:textId="77777777" w:rsidR="00BE0B19" w:rsidRPr="00AE47C6" w:rsidRDefault="00BE0B19" w:rsidP="00BE0B19">
      <w:pPr>
        <w:widowControl w:val="0"/>
        <w:numPr>
          <w:ilvl w:val="0"/>
          <w:numId w:val="336"/>
        </w:numPr>
        <w:shd w:val="clear" w:color="auto" w:fill="FFFFFF"/>
        <w:tabs>
          <w:tab w:val="left" w:pos="220"/>
        </w:tabs>
        <w:autoSpaceDE w:val="0"/>
        <w:autoSpaceDN w:val="0"/>
        <w:adjustRightInd w:val="0"/>
        <w:spacing w:after="0" w:line="360" w:lineRule="auto"/>
        <w:ind w:left="220" w:firstLine="720"/>
        <w:jc w:val="both"/>
        <w:rPr>
          <w:rFonts w:ascii="Times New Roman" w:eastAsia="SimSun" w:hAnsi="Times New Roman"/>
          <w:spacing w:val="-3"/>
          <w:sz w:val="24"/>
          <w:szCs w:val="24"/>
        </w:rPr>
      </w:pPr>
      <w:r w:rsidRPr="00AE47C6">
        <w:rPr>
          <w:rFonts w:ascii="Times New Roman" w:eastAsia="SimSun" w:hAnsi="Times New Roman"/>
          <w:bCs/>
          <w:i/>
          <w:sz w:val="24"/>
          <w:szCs w:val="24"/>
        </w:rPr>
        <w:t xml:space="preserve">Edoxaban </w:t>
      </w:r>
      <w:r w:rsidRPr="00AE47C6">
        <w:rPr>
          <w:rFonts w:ascii="Times New Roman" w:eastAsia="SimSun" w:hAnsi="Times New Roman"/>
          <w:bCs/>
          <w:sz w:val="24"/>
          <w:szCs w:val="24"/>
        </w:rPr>
        <w:t>15, 30, 60 mg - обичайна доза 60 mg дн. или 30 mg дн. при специфични индикации.</w:t>
      </w:r>
    </w:p>
    <w:p w14:paraId="6F8462FC" w14:textId="77777777" w:rsidR="00BE0B19" w:rsidRPr="00AE47C6" w:rsidRDefault="00BE0B19" w:rsidP="00BE0B19">
      <w:pPr>
        <w:widowControl w:val="0"/>
        <w:numPr>
          <w:ilvl w:val="0"/>
          <w:numId w:val="336"/>
        </w:numPr>
        <w:shd w:val="clear" w:color="auto" w:fill="FFFFFF"/>
        <w:tabs>
          <w:tab w:val="left" w:pos="220"/>
        </w:tabs>
        <w:autoSpaceDE w:val="0"/>
        <w:autoSpaceDN w:val="0"/>
        <w:adjustRightInd w:val="0"/>
        <w:spacing w:after="0" w:line="360" w:lineRule="auto"/>
        <w:ind w:left="284" w:firstLine="709"/>
        <w:jc w:val="both"/>
        <w:rPr>
          <w:rFonts w:ascii="Times New Roman" w:eastAsia="SimSun" w:hAnsi="Times New Roman"/>
          <w:spacing w:val="-3"/>
          <w:sz w:val="24"/>
          <w:szCs w:val="24"/>
        </w:rPr>
      </w:pPr>
      <w:r w:rsidRPr="00AE47C6">
        <w:rPr>
          <w:rFonts w:ascii="Times New Roman" w:eastAsia="SimSun" w:hAnsi="Times New Roman"/>
          <w:spacing w:val="-3"/>
          <w:sz w:val="24"/>
          <w:szCs w:val="24"/>
        </w:rPr>
        <w:t>При пациенти с неклапно предсърдно мъждене и анамнеза за ТИА или ИМИ се препоръчва провеждането на вторична профилактика с новите директни орални антикоагуланти пред употребата на вит. К-антагонистите (ЕSO препоръки, 2019).</w:t>
      </w:r>
    </w:p>
    <w:p w14:paraId="44D65967" w14:textId="77777777" w:rsidR="00BE0B19" w:rsidRPr="00AE47C6" w:rsidRDefault="00BE0B19" w:rsidP="00BE0B19">
      <w:pPr>
        <w:widowControl w:val="0"/>
        <w:numPr>
          <w:ilvl w:val="0"/>
          <w:numId w:val="337"/>
        </w:numPr>
        <w:shd w:val="clear" w:color="auto" w:fill="FFFFFF"/>
        <w:tabs>
          <w:tab w:val="left" w:pos="220"/>
        </w:tabs>
        <w:autoSpaceDE w:val="0"/>
        <w:autoSpaceDN w:val="0"/>
        <w:adjustRightInd w:val="0"/>
        <w:spacing w:after="0" w:line="360" w:lineRule="auto"/>
        <w:ind w:left="284" w:firstLine="709"/>
        <w:contextualSpacing/>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Не може да се направи препоръка за оптималното време за включване на орално антикоагулантно лечение (ЕSO препоръки, 2019). </w:t>
      </w:r>
    </w:p>
    <w:p w14:paraId="6E30A7FF" w14:textId="77777777" w:rsidR="00BE0B19" w:rsidRPr="00AE47C6" w:rsidRDefault="00BE0B19" w:rsidP="00BE0B19">
      <w:pPr>
        <w:widowControl w:val="0"/>
        <w:numPr>
          <w:ilvl w:val="0"/>
          <w:numId w:val="337"/>
        </w:numPr>
        <w:shd w:val="clear" w:color="auto" w:fill="FFFFFF"/>
        <w:autoSpaceDE w:val="0"/>
        <w:autoSpaceDN w:val="0"/>
        <w:adjustRightInd w:val="0"/>
        <w:spacing w:after="0" w:line="360" w:lineRule="auto"/>
        <w:ind w:left="284" w:firstLine="709"/>
        <w:contextualSpacing/>
        <w:jc w:val="both"/>
        <w:rPr>
          <w:rFonts w:ascii="Times New Roman" w:eastAsia="SimSun" w:hAnsi="Times New Roman"/>
          <w:spacing w:val="-3"/>
          <w:sz w:val="24"/>
          <w:szCs w:val="24"/>
        </w:rPr>
      </w:pPr>
      <w:r w:rsidRPr="00AE47C6">
        <w:rPr>
          <w:rFonts w:ascii="Times New Roman" w:eastAsia="SimSun" w:hAnsi="Times New Roman"/>
          <w:spacing w:val="-3"/>
          <w:sz w:val="24"/>
          <w:szCs w:val="24"/>
        </w:rPr>
        <w:t xml:space="preserve">При ИМИ, асоцииран с неклапно предсърдно мъждене, е уместно в първите 48 часа провеждане на антитромботична терапия. След това, при леки инсулти с малка инфарктна зона (&lt;1,5 cm), е уместно включването на орално антикоагулантно лечение на 3 - 4 ден от началото на ИМИ, на 7 ден – при умерени ИМИ и след 14 дни при масивни ИМИ (ЕSO препоръки 2019). </w:t>
      </w:r>
    </w:p>
    <w:p w14:paraId="5BA9CAD6" w14:textId="77777777" w:rsidR="00BE0B19" w:rsidRPr="00AE47C6" w:rsidRDefault="00BE0B19" w:rsidP="00BE0B19">
      <w:pPr>
        <w:widowControl w:val="0"/>
        <w:numPr>
          <w:ilvl w:val="0"/>
          <w:numId w:val="337"/>
        </w:numPr>
        <w:shd w:val="clear" w:color="auto" w:fill="FFFFFF"/>
        <w:autoSpaceDE w:val="0"/>
        <w:autoSpaceDN w:val="0"/>
        <w:adjustRightInd w:val="0"/>
        <w:spacing w:after="0" w:line="360" w:lineRule="auto"/>
        <w:ind w:left="284" w:firstLine="709"/>
        <w:contextualSpacing/>
        <w:jc w:val="both"/>
        <w:rPr>
          <w:rFonts w:ascii="Times New Roman" w:eastAsia="SimSun" w:hAnsi="Times New Roman"/>
          <w:spacing w:val="-3"/>
          <w:sz w:val="24"/>
          <w:szCs w:val="24"/>
        </w:rPr>
      </w:pPr>
      <w:r w:rsidRPr="00AE47C6">
        <w:rPr>
          <w:rFonts w:ascii="Times New Roman" w:eastAsia="SimSun" w:hAnsi="Times New Roman"/>
          <w:spacing w:val="-3"/>
          <w:sz w:val="24"/>
          <w:szCs w:val="24"/>
        </w:rPr>
        <w:t>Трябва да се има предвид, обаче, че безопасността и ползата при лечението на ИМИ с орални директни инхибитори на фактор Xa още не са добре проучени (клас IIb, ниво С).</w:t>
      </w:r>
    </w:p>
    <w:p w14:paraId="1BD74E7C"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bCs/>
          <w:spacing w:val="-2"/>
          <w:sz w:val="24"/>
          <w:szCs w:val="24"/>
        </w:rPr>
      </w:pPr>
      <w:r w:rsidRPr="00AE47C6">
        <w:rPr>
          <w:rFonts w:ascii="Times New Roman" w:eastAsia="SimSun" w:hAnsi="Times New Roman"/>
          <w:bCs/>
          <w:spacing w:val="-2"/>
          <w:sz w:val="24"/>
          <w:szCs w:val="24"/>
        </w:rPr>
        <w:t xml:space="preserve">При пациенти с кардио-емболичен инсулт, несвързан с предсърдно мъждене, се препоръчва лечение с орални антикоагуланти (INR 2,0-3,0), ако рискът за рецидив е висок (клас III, ниво C). </w:t>
      </w:r>
    </w:p>
    <w:p w14:paraId="2DEA9D40"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bCs/>
          <w:spacing w:val="-2"/>
          <w:sz w:val="24"/>
          <w:szCs w:val="24"/>
        </w:rPr>
      </w:pPr>
      <w:r w:rsidRPr="00AE47C6">
        <w:rPr>
          <w:rFonts w:ascii="Times New Roman" w:eastAsia="SimSun" w:hAnsi="Times New Roman"/>
          <w:bCs/>
          <w:spacing w:val="-2"/>
          <w:sz w:val="24"/>
          <w:szCs w:val="24"/>
        </w:rPr>
        <w:t>При необходимост от временно спиране на приема на орални антикоагуланти, при селектирани пациенти се прилага временно ниско-молекулен heparin (клас IIа, ниво C).</w:t>
      </w:r>
    </w:p>
    <w:p w14:paraId="1C9F6E8D"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bCs/>
          <w:spacing w:val="-2"/>
          <w:sz w:val="24"/>
          <w:szCs w:val="24"/>
        </w:rPr>
      </w:pPr>
      <w:r w:rsidRPr="00AE47C6">
        <w:rPr>
          <w:rFonts w:ascii="Times New Roman" w:eastAsia="SimSun" w:hAnsi="Times New Roman"/>
          <w:bCs/>
          <w:spacing w:val="-2"/>
          <w:sz w:val="24"/>
          <w:szCs w:val="24"/>
        </w:rPr>
        <w:t>При подбрани случаи - нестабилна angina pectoris, коронарен стент, може да се приложи комбинация от орални антикоагуланти и антиагрегантни средства. При пациенти с анамнеза за ИМИ, предсърдно мъждене и коронарна болест добавянето на антитромботични медикаменти към оралната антикоагулантна терапия е с несигурен ефект (клас IIb, ниво С).</w:t>
      </w:r>
    </w:p>
    <w:p w14:paraId="2B60E9F2"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bCs/>
          <w:spacing w:val="-2"/>
          <w:sz w:val="24"/>
          <w:szCs w:val="24"/>
        </w:rPr>
      </w:pPr>
      <w:r w:rsidRPr="00AE47C6">
        <w:rPr>
          <w:rFonts w:ascii="Times New Roman" w:eastAsia="SimSun" w:hAnsi="Times New Roman"/>
          <w:bCs/>
          <w:spacing w:val="-2"/>
          <w:sz w:val="24"/>
          <w:szCs w:val="24"/>
        </w:rPr>
        <w:t xml:space="preserve">Не се препоръчва лечение с антикоагуланти при пациенти с коморбидни състояния като: припадъци, лош къмплайънс, неконтролирана епилепсия или гастроинтестинално кървене (клас III, ниво C). </w:t>
      </w:r>
    </w:p>
    <w:p w14:paraId="3FFBB0C5"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bCs/>
          <w:spacing w:val="-2"/>
          <w:sz w:val="24"/>
          <w:szCs w:val="24"/>
        </w:rPr>
      </w:pPr>
      <w:r w:rsidRPr="00AE47C6">
        <w:rPr>
          <w:rFonts w:ascii="Times New Roman" w:eastAsia="SimSun" w:hAnsi="Times New Roman"/>
          <w:bCs/>
          <w:spacing w:val="-2"/>
          <w:sz w:val="24"/>
          <w:szCs w:val="24"/>
        </w:rPr>
        <w:t xml:space="preserve">Напредналата възраст, сама по себе си, не е контраиндикация за лечение с орален антикоагулант (клас I, ниво A). </w:t>
      </w:r>
    </w:p>
    <w:p w14:paraId="35B956D3"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bCs/>
          <w:spacing w:val="-2"/>
          <w:sz w:val="24"/>
          <w:szCs w:val="24"/>
        </w:rPr>
      </w:pPr>
      <w:r w:rsidRPr="00AE47C6">
        <w:rPr>
          <w:rFonts w:ascii="Times New Roman" w:eastAsia="SimSun" w:hAnsi="Times New Roman"/>
          <w:bCs/>
          <w:spacing w:val="-2"/>
          <w:sz w:val="24"/>
          <w:szCs w:val="24"/>
        </w:rPr>
        <w:t>Не се препоръчва лечение с орален антикоагулант след некардиоемболичен исхемичен инсулт и при пациенти с аортна атероматоза (клас I, ниво A), освен при специфични състояния – фузиформена аневризма на базиларната артерия, дисекация на шийна артерия или персистиращ foramen ovale с наличие на доказана дълбока венозна тромбоза, както и при предсърдна септална аневризма (клас IIb, ниво B).</w:t>
      </w:r>
    </w:p>
    <w:p w14:paraId="2244ADA7"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bCs/>
          <w:spacing w:val="-2"/>
          <w:sz w:val="24"/>
          <w:szCs w:val="24"/>
        </w:rPr>
      </w:pPr>
      <w:r w:rsidRPr="00AE47C6">
        <w:rPr>
          <w:rFonts w:ascii="Times New Roman" w:eastAsia="SimSun" w:hAnsi="Times New Roman"/>
          <w:bCs/>
          <w:spacing w:val="-2"/>
          <w:sz w:val="24"/>
          <w:szCs w:val="24"/>
        </w:rPr>
        <w:t>При пациенти с ИМИ и екстракраниална каротидна или вертебрална дисекация е уместно включването на антиагрегантна или на антикоагулантна терапия за период от 3 до 6 месеца (клас IIa, ниво B).</w:t>
      </w:r>
    </w:p>
    <w:p w14:paraId="3FC6A0B5"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bCs/>
          <w:spacing w:val="-2"/>
          <w:sz w:val="24"/>
          <w:szCs w:val="24"/>
        </w:rPr>
      </w:pPr>
      <w:r w:rsidRPr="00AE47C6">
        <w:rPr>
          <w:rFonts w:ascii="Times New Roman" w:eastAsia="SimSun" w:hAnsi="Times New Roman"/>
          <w:bCs/>
          <w:spacing w:val="-2"/>
          <w:sz w:val="24"/>
          <w:szCs w:val="24"/>
        </w:rPr>
        <w:t xml:space="preserve">При ТМВДС се провежда лечение с нискомолекулни хепарини или нефракциониран хепарин, а след острата фаза е уместно продължително орално антикоагулантно лечение с антагонисти на Vitamin K  при INR (2,0 – 3,0) (клас IIa, ниво B). </w:t>
      </w:r>
    </w:p>
    <w:p w14:paraId="42100CB5"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bCs/>
          <w:spacing w:val="-2"/>
          <w:sz w:val="24"/>
          <w:szCs w:val="24"/>
        </w:rPr>
      </w:pPr>
      <w:r w:rsidRPr="00AE47C6">
        <w:rPr>
          <w:rFonts w:ascii="Times New Roman" w:eastAsia="SimSun" w:hAnsi="Times New Roman"/>
          <w:bCs/>
          <w:spacing w:val="-2"/>
          <w:sz w:val="24"/>
          <w:szCs w:val="24"/>
        </w:rPr>
        <w:t>Продължителността на антикоагулацията при ТМВДС зависи от етиологията и варира в рамките на 3–12 месеца или потенциално през целия живот при рецидивиращи ТМВДС, при висок тромботичен риск или при последвали дълбоки венозни тромбози след ТМВДС (клас IIb, ниво C, ДКП).</w:t>
      </w:r>
    </w:p>
    <w:p w14:paraId="7CC44422"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bCs/>
          <w:spacing w:val="-2"/>
          <w:sz w:val="24"/>
          <w:szCs w:val="24"/>
        </w:rPr>
      </w:pPr>
      <w:r w:rsidRPr="00AE47C6">
        <w:rPr>
          <w:rFonts w:ascii="Times New Roman" w:eastAsia="SimSun" w:hAnsi="Times New Roman"/>
          <w:bCs/>
          <w:spacing w:val="-2"/>
          <w:sz w:val="24"/>
          <w:szCs w:val="24"/>
        </w:rPr>
        <w:t>Средствата, подобряващи микроциркулацията и мозъчния метаболизъм са с недоказан терапевтичен ефект (клас ІV, ниво С).</w:t>
      </w:r>
    </w:p>
    <w:p w14:paraId="1076B807"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bCs/>
          <w:spacing w:val="-2"/>
          <w:sz w:val="24"/>
          <w:szCs w:val="24"/>
        </w:rPr>
      </w:pPr>
      <w:r w:rsidRPr="00AE47C6">
        <w:rPr>
          <w:rFonts w:ascii="Times New Roman" w:eastAsia="SimSun" w:hAnsi="Times New Roman"/>
          <w:bCs/>
          <w:spacing w:val="-2"/>
          <w:sz w:val="24"/>
          <w:szCs w:val="24"/>
        </w:rPr>
        <w:t>Не се препоръчват за приложение в рутинната практика антиагреганти от класа glycoprotein (GP) IIb-IIIa инхибитори (клас I, ниво A). Тези селективни блокери на тромботичната агрегация предизвикват по-голяма интрацеребрална хеморагия при исхемичен мозъчен инсулт.</w:t>
      </w:r>
    </w:p>
    <w:p w14:paraId="357E98C5"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bCs/>
          <w:spacing w:val="-2"/>
          <w:sz w:val="24"/>
          <w:szCs w:val="24"/>
        </w:rPr>
      </w:pPr>
      <w:r w:rsidRPr="00AE47C6">
        <w:rPr>
          <w:rFonts w:ascii="Times New Roman" w:eastAsia="SimSun" w:hAnsi="Times New Roman"/>
          <w:bCs/>
          <w:spacing w:val="-2"/>
          <w:sz w:val="24"/>
          <w:szCs w:val="24"/>
        </w:rPr>
        <w:t>При пациенти с ИМИ и хеморагична трансформация може да влезе в съображение започване или продължаване на антитромботично или антиагрегантно лечение в зависимост от специфичните клинични особености и подлежащи причини (клас IIb, ниво C).</w:t>
      </w:r>
    </w:p>
    <w:p w14:paraId="54B78832"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bCs/>
          <w:spacing w:val="-2"/>
          <w:sz w:val="24"/>
          <w:szCs w:val="24"/>
        </w:rPr>
      </w:pPr>
      <w:r w:rsidRPr="00AE47C6">
        <w:rPr>
          <w:rFonts w:ascii="Times New Roman" w:eastAsia="SimSun" w:hAnsi="Times New Roman"/>
          <w:bCs/>
          <w:spacing w:val="-2"/>
          <w:sz w:val="24"/>
          <w:szCs w:val="24"/>
        </w:rPr>
        <w:t xml:space="preserve">Не се препоръчва лечение и вторична профилактика на пациенти с исхемичен инсулт с невропротективни субстанции (клас III, ниво A). </w:t>
      </w:r>
    </w:p>
    <w:p w14:paraId="1FF0BCB5"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bCs/>
          <w:spacing w:val="-2"/>
          <w:sz w:val="24"/>
          <w:szCs w:val="24"/>
        </w:rPr>
      </w:pPr>
      <w:r w:rsidRPr="00AE47C6">
        <w:rPr>
          <w:rFonts w:ascii="Times New Roman" w:eastAsia="SimSun" w:hAnsi="Times New Roman"/>
          <w:bCs/>
          <w:spacing w:val="-2"/>
          <w:sz w:val="24"/>
          <w:szCs w:val="24"/>
        </w:rPr>
        <w:t>Не се препоръчва прилагане на вазодилататори, като pentoxifylline (клас III, ниво A).</w:t>
      </w:r>
    </w:p>
    <w:p w14:paraId="71843DB9" w14:textId="77777777" w:rsidR="00BE0B19" w:rsidRPr="00AE47C6" w:rsidRDefault="00BE0B19" w:rsidP="00BE0B19">
      <w:pPr>
        <w:shd w:val="clear" w:color="auto" w:fill="FFFFFF"/>
        <w:tabs>
          <w:tab w:val="left" w:pos="220"/>
        </w:tabs>
        <w:spacing w:after="0" w:line="360" w:lineRule="auto"/>
        <w:ind w:firstLine="720"/>
        <w:jc w:val="both"/>
        <w:rPr>
          <w:rFonts w:ascii="Times New Roman" w:eastAsia="SimSun" w:hAnsi="Times New Roman"/>
          <w:spacing w:val="-1"/>
          <w:sz w:val="24"/>
          <w:szCs w:val="24"/>
        </w:rPr>
      </w:pPr>
      <w:r w:rsidRPr="00AE47C6">
        <w:rPr>
          <w:rFonts w:ascii="Times New Roman" w:eastAsia="SimSun" w:hAnsi="Times New Roman"/>
          <w:b/>
          <w:spacing w:val="-3"/>
          <w:sz w:val="24"/>
          <w:szCs w:val="24"/>
        </w:rPr>
        <w:t xml:space="preserve">3. Хирургично лечение и ангиопластика </w:t>
      </w:r>
      <w:r w:rsidRPr="00AE47C6">
        <w:rPr>
          <w:rFonts w:ascii="Times New Roman" w:eastAsia="SimSun" w:hAnsi="Times New Roman"/>
          <w:spacing w:val="-1"/>
          <w:sz w:val="24"/>
          <w:szCs w:val="24"/>
        </w:rPr>
        <w:t>(виж „Национален консенсус за ултразвукова диагностика и поведение при екстракраниална каротидна патология” 11.03.2011 г. и 2020 г.)</w:t>
      </w:r>
    </w:p>
    <w:p w14:paraId="7940D777" w14:textId="77777777" w:rsidR="00BE0B19" w:rsidRPr="00AE47C6" w:rsidRDefault="00BE0B19" w:rsidP="00BE0B19">
      <w:pPr>
        <w:widowControl w:val="0"/>
        <w:numPr>
          <w:ilvl w:val="0"/>
          <w:numId w:val="334"/>
        </w:numPr>
        <w:shd w:val="clear" w:color="auto" w:fill="FFFFFF"/>
        <w:tabs>
          <w:tab w:val="left" w:pos="220"/>
        </w:tabs>
        <w:autoSpaceDE w:val="0"/>
        <w:autoSpaceDN w:val="0"/>
        <w:adjustRightInd w:val="0"/>
        <w:spacing w:after="0" w:line="360" w:lineRule="auto"/>
        <w:ind w:left="0" w:firstLine="567"/>
        <w:contextualSpacing/>
        <w:jc w:val="both"/>
        <w:rPr>
          <w:rFonts w:ascii="Times New Roman" w:eastAsia="SimSun" w:hAnsi="Times New Roman"/>
          <w:spacing w:val="-3"/>
          <w:sz w:val="24"/>
          <w:szCs w:val="24"/>
        </w:rPr>
      </w:pPr>
      <w:r w:rsidRPr="00AE47C6">
        <w:rPr>
          <w:rFonts w:ascii="Times New Roman" w:eastAsia="SimSun" w:hAnsi="Times New Roman"/>
          <w:spacing w:val="-3"/>
          <w:sz w:val="24"/>
          <w:szCs w:val="24"/>
        </w:rPr>
        <w:t>Между пациентите с малък, неинвалидизиращ ИМИ (mRS 0–2) в каротидния басейн, въз основа на провеждането на рутинно неинвазивно невроизобразяване на цервикалните каротидни артерии в рамките на 24 часа от приема (клас I, ниво B), се определят кандидати за каротидна ендартериектомия или стентиране.</w:t>
      </w:r>
    </w:p>
    <w:p w14:paraId="4796FAC6" w14:textId="77777777" w:rsidR="00BE0B19" w:rsidRPr="00AE47C6" w:rsidRDefault="00BE0B19" w:rsidP="00BE0B19">
      <w:pPr>
        <w:widowControl w:val="0"/>
        <w:numPr>
          <w:ilvl w:val="0"/>
          <w:numId w:val="336"/>
        </w:numPr>
        <w:shd w:val="clear" w:color="auto" w:fill="FFFFFF"/>
        <w:tabs>
          <w:tab w:val="left" w:pos="220"/>
        </w:tabs>
        <w:autoSpaceDE w:val="0"/>
        <w:autoSpaceDN w:val="0"/>
        <w:adjustRightInd w:val="0"/>
        <w:spacing w:after="0" w:line="360" w:lineRule="auto"/>
        <w:ind w:left="0" w:firstLine="567"/>
        <w:contextualSpacing/>
        <w:jc w:val="both"/>
        <w:rPr>
          <w:rFonts w:ascii="Times New Roman" w:eastAsia="SimSun" w:hAnsi="Times New Roman"/>
          <w:spacing w:val="-3"/>
          <w:sz w:val="24"/>
          <w:szCs w:val="24"/>
        </w:rPr>
      </w:pPr>
      <w:r w:rsidRPr="00AE47C6">
        <w:rPr>
          <w:rFonts w:ascii="Times New Roman" w:eastAsia="SimSun" w:hAnsi="Times New Roman"/>
          <w:spacing w:val="-3"/>
          <w:sz w:val="24"/>
          <w:szCs w:val="24"/>
        </w:rPr>
        <w:t>При индикации за реваскуларизация при пациенти с малък неинвалидизиращ ИМИ (mRS 0–2), е уместно процедурата да бъде извършена в рамките на 48 часа до 16 дни, при липса на контраиндикации за ранна реваскуларизация (клас IIa, ниво B).</w:t>
      </w:r>
    </w:p>
    <w:p w14:paraId="061F523A" w14:textId="77777777" w:rsidR="00BE0B19" w:rsidRPr="00AE47C6" w:rsidRDefault="00BE0B19" w:rsidP="00BE0B19">
      <w:pPr>
        <w:widowControl w:val="0"/>
        <w:numPr>
          <w:ilvl w:val="0"/>
          <w:numId w:val="114"/>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b/>
          <w:spacing w:val="-3"/>
          <w:sz w:val="24"/>
          <w:szCs w:val="24"/>
        </w:rPr>
        <w:t>Препоръчва се каротидна ендартеректомия</w:t>
      </w:r>
      <w:r w:rsidRPr="00AE47C6">
        <w:rPr>
          <w:rFonts w:ascii="Times New Roman" w:eastAsia="SimSun" w:hAnsi="Times New Roman"/>
          <w:spacing w:val="-3"/>
          <w:sz w:val="24"/>
          <w:szCs w:val="24"/>
        </w:rPr>
        <w:t>:</w:t>
      </w:r>
    </w:p>
    <w:p w14:paraId="7AA23BCE"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bCs/>
          <w:spacing w:val="-2"/>
          <w:sz w:val="24"/>
          <w:szCs w:val="24"/>
        </w:rPr>
      </w:pPr>
      <w:r w:rsidRPr="00AE47C6">
        <w:rPr>
          <w:rFonts w:ascii="Times New Roman" w:eastAsia="SimSun" w:hAnsi="Times New Roman"/>
          <w:bCs/>
          <w:spacing w:val="-2"/>
          <w:sz w:val="24"/>
          <w:szCs w:val="24"/>
        </w:rPr>
        <w:t xml:space="preserve">за пациенти с 70-99% (NASCET критерии) стенози (клас I, ниво A). Тя следва да бъде извършвана само в центрове с периоперативна честота на усложненията (всички типове инсулт и смърт) не повече от 6% (клас I, ниво A). </w:t>
      </w:r>
    </w:p>
    <w:p w14:paraId="3CDD4BA4"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bCs/>
          <w:spacing w:val="-2"/>
          <w:sz w:val="24"/>
          <w:szCs w:val="24"/>
        </w:rPr>
      </w:pPr>
      <w:r w:rsidRPr="00AE47C6">
        <w:rPr>
          <w:rFonts w:ascii="Times New Roman" w:eastAsia="SimSun" w:hAnsi="Times New Roman"/>
          <w:bCs/>
          <w:spacing w:val="-2"/>
          <w:sz w:val="24"/>
          <w:szCs w:val="24"/>
        </w:rPr>
        <w:t xml:space="preserve">може да бъде показана при определени пациенти със стенози от 50–69% (NASCET). Мъже със скорошни хемисферни симптоми е по-вероятно да имат полза (клас III, ниво C). </w:t>
      </w:r>
    </w:p>
    <w:p w14:paraId="10ABAB85"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bCs/>
          <w:spacing w:val="-2"/>
          <w:sz w:val="24"/>
          <w:szCs w:val="24"/>
        </w:rPr>
      </w:pPr>
      <w:r w:rsidRPr="00AE47C6">
        <w:rPr>
          <w:rFonts w:ascii="Times New Roman" w:eastAsia="SimSun" w:hAnsi="Times New Roman"/>
          <w:bCs/>
          <w:spacing w:val="-2"/>
          <w:sz w:val="24"/>
          <w:szCs w:val="24"/>
        </w:rPr>
        <w:t xml:space="preserve">Каротидна ендартеректомия за стенози над 70% (NASCET) следва да бъде проведена само в центрове с честота на периоперативните усложнения под 3% (клас I, ниво В). </w:t>
      </w:r>
    </w:p>
    <w:p w14:paraId="24DFD819"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bCs/>
          <w:spacing w:val="-2"/>
          <w:sz w:val="24"/>
          <w:szCs w:val="24"/>
        </w:rPr>
      </w:pPr>
      <w:r w:rsidRPr="00AE47C6">
        <w:rPr>
          <w:rFonts w:ascii="Times New Roman" w:eastAsia="SimSun" w:hAnsi="Times New Roman"/>
          <w:bCs/>
          <w:spacing w:val="-2"/>
          <w:sz w:val="24"/>
          <w:szCs w:val="24"/>
        </w:rPr>
        <w:t xml:space="preserve">Пациентите остават на лечение с антиагрегант преди и след операцията (клас I, ниво A). </w:t>
      </w:r>
    </w:p>
    <w:p w14:paraId="3A71F533" w14:textId="77777777" w:rsidR="00BE0B19" w:rsidRPr="00AE47C6" w:rsidRDefault="00BE0B19" w:rsidP="00BE0B19">
      <w:pPr>
        <w:widowControl w:val="0"/>
        <w:numPr>
          <w:ilvl w:val="0"/>
          <w:numId w:val="114"/>
        </w:numPr>
        <w:shd w:val="clear" w:color="auto" w:fill="FFFFFF"/>
        <w:tabs>
          <w:tab w:val="left" w:pos="220"/>
        </w:tabs>
        <w:autoSpaceDE w:val="0"/>
        <w:autoSpaceDN w:val="0"/>
        <w:adjustRightInd w:val="0"/>
        <w:spacing w:after="0" w:line="360" w:lineRule="auto"/>
        <w:jc w:val="both"/>
        <w:rPr>
          <w:rFonts w:ascii="Times New Roman" w:eastAsia="SimSun" w:hAnsi="Times New Roman"/>
          <w:spacing w:val="-3"/>
          <w:sz w:val="24"/>
          <w:szCs w:val="24"/>
        </w:rPr>
      </w:pPr>
      <w:r w:rsidRPr="00AE47C6">
        <w:rPr>
          <w:rFonts w:ascii="Times New Roman" w:eastAsia="SimSun" w:hAnsi="Times New Roman"/>
          <w:b/>
          <w:spacing w:val="-3"/>
          <w:sz w:val="24"/>
          <w:szCs w:val="24"/>
        </w:rPr>
        <w:t>Не се препоръчва</w:t>
      </w:r>
    </w:p>
    <w:p w14:paraId="40D86F42" w14:textId="77777777" w:rsidR="00BE0B19" w:rsidRPr="00AE47C6" w:rsidRDefault="00BE0B19" w:rsidP="00BE0B19">
      <w:pPr>
        <w:widowControl w:val="0"/>
        <w:numPr>
          <w:ilvl w:val="0"/>
          <w:numId w:val="113"/>
        </w:numPr>
        <w:shd w:val="clear" w:color="auto" w:fill="FFFFFF"/>
        <w:tabs>
          <w:tab w:val="left" w:pos="220"/>
        </w:tabs>
        <w:autoSpaceDE w:val="0"/>
        <w:autoSpaceDN w:val="0"/>
        <w:adjustRightInd w:val="0"/>
        <w:spacing w:after="0" w:line="360" w:lineRule="auto"/>
        <w:jc w:val="both"/>
        <w:rPr>
          <w:rFonts w:ascii="Times New Roman" w:eastAsia="SimSun" w:hAnsi="Times New Roman"/>
          <w:bCs/>
          <w:spacing w:val="-2"/>
          <w:sz w:val="24"/>
          <w:szCs w:val="24"/>
        </w:rPr>
      </w:pPr>
      <w:r w:rsidRPr="00AE47C6">
        <w:rPr>
          <w:rFonts w:ascii="Times New Roman" w:eastAsia="SimSun" w:hAnsi="Times New Roman"/>
          <w:bCs/>
          <w:spacing w:val="-2"/>
          <w:sz w:val="24"/>
          <w:szCs w:val="24"/>
        </w:rPr>
        <w:t>Не се препоръчва стентиране с Wingspan стентовата система при пациенти с високостепенни (70-99%) стенози на големи интракраниални артерии, когато същите са асимптомни (клас IIb, ниво C). Ползата от поставяне на други стентови системи и ангиопластика е дискутабилна, дори при прогресия на клиничните симптоми (клас IIb, ниво C).</w:t>
      </w:r>
    </w:p>
    <w:p w14:paraId="4A3106A0" w14:textId="77777777" w:rsidR="00BE0B19" w:rsidRPr="00AE47C6" w:rsidRDefault="00BE0B19" w:rsidP="00BE0B19">
      <w:pPr>
        <w:widowControl w:val="0"/>
        <w:numPr>
          <w:ilvl w:val="0"/>
          <w:numId w:val="114"/>
        </w:numPr>
        <w:shd w:val="clear" w:color="auto" w:fill="FFFFFF"/>
        <w:tabs>
          <w:tab w:val="left" w:pos="220"/>
        </w:tabs>
        <w:autoSpaceDE w:val="0"/>
        <w:autoSpaceDN w:val="0"/>
        <w:adjustRightInd w:val="0"/>
        <w:spacing w:after="0" w:line="360" w:lineRule="auto"/>
        <w:ind w:left="0" w:firstLine="360"/>
        <w:jc w:val="both"/>
        <w:rPr>
          <w:rFonts w:ascii="Times New Roman" w:eastAsia="SimSun" w:hAnsi="Times New Roman"/>
          <w:spacing w:val="-3"/>
          <w:sz w:val="24"/>
          <w:szCs w:val="24"/>
        </w:rPr>
      </w:pPr>
      <w:r w:rsidRPr="00AE47C6">
        <w:rPr>
          <w:rFonts w:ascii="Times New Roman" w:eastAsia="SimSun" w:hAnsi="Times New Roman"/>
          <w:b/>
          <w:spacing w:val="-3"/>
          <w:sz w:val="24"/>
          <w:szCs w:val="24"/>
        </w:rPr>
        <w:t>Каротидната перкутанна</w:t>
      </w:r>
      <w:r w:rsidRPr="00AE47C6">
        <w:rPr>
          <w:rFonts w:ascii="Times New Roman" w:eastAsia="SimSun" w:hAnsi="Times New Roman"/>
          <w:spacing w:val="-3"/>
          <w:sz w:val="24"/>
          <w:szCs w:val="24"/>
        </w:rPr>
        <w:t xml:space="preserve"> транслуминална ангиопластика и/или стентиране, се препоръчва само за определени групи пациенти (</w:t>
      </w:r>
      <w:r w:rsidRPr="00AE47C6">
        <w:rPr>
          <w:rFonts w:ascii="Times New Roman" w:eastAsia="SimSun" w:hAnsi="Times New Roman"/>
          <w:spacing w:val="-1"/>
          <w:sz w:val="24"/>
          <w:szCs w:val="24"/>
        </w:rPr>
        <w:t>клас</w:t>
      </w:r>
      <w:r w:rsidRPr="00AE47C6">
        <w:rPr>
          <w:rFonts w:ascii="Times New Roman" w:eastAsia="SimSun" w:hAnsi="Times New Roman"/>
          <w:spacing w:val="-3"/>
          <w:sz w:val="24"/>
          <w:szCs w:val="24"/>
        </w:rPr>
        <w:t xml:space="preserve"> I, ниво A). Тази интервенция следва да бъде ограничена за следните групи пациенти с високостепенни, симптоматични каротидни стенози: пациенти с контраиндикации за ендартеректомия, стеноза на недостъпно хирургически място, рестеноза след ендартеректомия и пострадиационна стеноза (</w:t>
      </w:r>
      <w:r w:rsidRPr="00AE47C6">
        <w:rPr>
          <w:rFonts w:ascii="Times New Roman" w:eastAsia="SimSun" w:hAnsi="Times New Roman"/>
          <w:spacing w:val="-1"/>
          <w:sz w:val="24"/>
          <w:szCs w:val="24"/>
        </w:rPr>
        <w:t>клас</w:t>
      </w:r>
      <w:r w:rsidRPr="00AE47C6">
        <w:rPr>
          <w:rFonts w:ascii="Times New Roman" w:eastAsia="SimSun" w:hAnsi="Times New Roman"/>
          <w:spacing w:val="-3"/>
          <w:sz w:val="24"/>
          <w:szCs w:val="24"/>
        </w:rPr>
        <w:t xml:space="preserve"> IIа, ниво В). </w:t>
      </w:r>
    </w:p>
    <w:p w14:paraId="55D8052F" w14:textId="77777777" w:rsidR="00BE0B19" w:rsidRPr="00AE47C6" w:rsidRDefault="00BE0B19" w:rsidP="00BE0B19">
      <w:pPr>
        <w:widowControl w:val="0"/>
        <w:numPr>
          <w:ilvl w:val="0"/>
          <w:numId w:val="114"/>
        </w:numPr>
        <w:shd w:val="clear" w:color="auto" w:fill="FFFFFF"/>
        <w:tabs>
          <w:tab w:val="left" w:pos="220"/>
        </w:tabs>
        <w:autoSpaceDE w:val="0"/>
        <w:autoSpaceDN w:val="0"/>
        <w:adjustRightInd w:val="0"/>
        <w:spacing w:after="0" w:line="360" w:lineRule="auto"/>
        <w:ind w:left="0" w:firstLine="360"/>
        <w:jc w:val="both"/>
        <w:rPr>
          <w:rFonts w:ascii="Times New Roman" w:eastAsia="SimSun" w:hAnsi="Times New Roman"/>
          <w:spacing w:val="-3"/>
          <w:sz w:val="24"/>
          <w:szCs w:val="24"/>
        </w:rPr>
      </w:pPr>
      <w:r w:rsidRPr="00AE47C6">
        <w:rPr>
          <w:rFonts w:ascii="Times New Roman" w:eastAsia="SimSun" w:hAnsi="Times New Roman"/>
          <w:spacing w:val="-3"/>
          <w:sz w:val="24"/>
          <w:szCs w:val="24"/>
        </w:rPr>
        <w:t>Следва да бъде проведена само в центрове с честота на периоперативните усложнения под 6% (</w:t>
      </w:r>
      <w:r w:rsidRPr="00AE47C6">
        <w:rPr>
          <w:rFonts w:ascii="Times New Roman" w:eastAsia="SimSun" w:hAnsi="Times New Roman"/>
          <w:spacing w:val="-1"/>
          <w:sz w:val="24"/>
          <w:szCs w:val="24"/>
        </w:rPr>
        <w:t>клас</w:t>
      </w:r>
      <w:r w:rsidRPr="00AE47C6">
        <w:rPr>
          <w:rFonts w:ascii="Times New Roman" w:eastAsia="SimSun" w:hAnsi="Times New Roman"/>
          <w:spacing w:val="-3"/>
          <w:sz w:val="24"/>
          <w:szCs w:val="24"/>
        </w:rPr>
        <w:t xml:space="preserve"> I, ниво В).</w:t>
      </w:r>
    </w:p>
    <w:p w14:paraId="5B4BCCD7" w14:textId="77777777" w:rsidR="00BE0B19" w:rsidRPr="00AE47C6" w:rsidRDefault="00BE0B19" w:rsidP="00BE0B19">
      <w:pPr>
        <w:widowControl w:val="0"/>
        <w:numPr>
          <w:ilvl w:val="0"/>
          <w:numId w:val="114"/>
        </w:numPr>
        <w:shd w:val="clear" w:color="auto" w:fill="FFFFFF"/>
        <w:tabs>
          <w:tab w:val="left" w:pos="220"/>
        </w:tabs>
        <w:autoSpaceDE w:val="0"/>
        <w:autoSpaceDN w:val="0"/>
        <w:adjustRightInd w:val="0"/>
        <w:spacing w:after="0" w:line="360" w:lineRule="auto"/>
        <w:ind w:left="0" w:firstLine="360"/>
        <w:jc w:val="both"/>
        <w:rPr>
          <w:rFonts w:ascii="Times New Roman" w:eastAsia="SimSun" w:hAnsi="Times New Roman"/>
          <w:spacing w:val="-3"/>
          <w:sz w:val="24"/>
          <w:szCs w:val="24"/>
        </w:rPr>
      </w:pPr>
      <w:r w:rsidRPr="00AE47C6">
        <w:rPr>
          <w:rFonts w:ascii="Times New Roman" w:eastAsia="SimSun" w:hAnsi="Times New Roman"/>
          <w:spacing w:val="-3"/>
          <w:sz w:val="24"/>
          <w:szCs w:val="24"/>
        </w:rPr>
        <w:t>Пациентите да получават комбинация от ASA (75-100 mg) с Clopidogrel (75 mg) точно преди и поне един месец (до 12 и повече месеца) след стентирането (</w:t>
      </w:r>
      <w:r w:rsidRPr="00AE47C6">
        <w:rPr>
          <w:rFonts w:ascii="Times New Roman" w:eastAsia="SimSun" w:hAnsi="Times New Roman"/>
          <w:spacing w:val="-1"/>
          <w:sz w:val="24"/>
          <w:szCs w:val="24"/>
        </w:rPr>
        <w:t>ДКП</w:t>
      </w:r>
      <w:r w:rsidRPr="00AE47C6">
        <w:rPr>
          <w:rFonts w:ascii="Times New Roman" w:eastAsia="SimSun" w:hAnsi="Times New Roman"/>
          <w:spacing w:val="-3"/>
          <w:sz w:val="24"/>
          <w:szCs w:val="24"/>
        </w:rPr>
        <w:t>).</w:t>
      </w:r>
    </w:p>
    <w:p w14:paraId="05FE3C1C" w14:textId="77777777" w:rsidR="00BE0B19" w:rsidRPr="00AE47C6" w:rsidRDefault="00BE0B19" w:rsidP="00BE0B19">
      <w:pPr>
        <w:widowControl w:val="0"/>
        <w:numPr>
          <w:ilvl w:val="0"/>
          <w:numId w:val="114"/>
        </w:numPr>
        <w:shd w:val="clear" w:color="auto" w:fill="FFFFFF"/>
        <w:tabs>
          <w:tab w:val="left" w:pos="220"/>
        </w:tabs>
        <w:autoSpaceDE w:val="0"/>
        <w:autoSpaceDN w:val="0"/>
        <w:adjustRightInd w:val="0"/>
        <w:spacing w:after="0" w:line="360" w:lineRule="auto"/>
        <w:ind w:left="0" w:firstLine="360"/>
        <w:jc w:val="both"/>
        <w:rPr>
          <w:rFonts w:ascii="Times New Roman" w:eastAsia="SimSun" w:hAnsi="Times New Roman"/>
          <w:spacing w:val="-3"/>
          <w:sz w:val="24"/>
          <w:szCs w:val="24"/>
        </w:rPr>
      </w:pPr>
      <w:r w:rsidRPr="00AE47C6">
        <w:rPr>
          <w:rFonts w:ascii="Times New Roman" w:eastAsia="SimSun" w:hAnsi="Times New Roman"/>
          <w:spacing w:val="-3"/>
          <w:sz w:val="24"/>
          <w:szCs w:val="24"/>
        </w:rPr>
        <w:t>При пациенти над 70 годишна възраст каротидната ендартеректомия се предпочита пред стентирането поради по-малкото периоперативни усложнения (</w:t>
      </w:r>
      <w:r w:rsidRPr="00AE47C6">
        <w:rPr>
          <w:rFonts w:ascii="Times New Roman" w:eastAsia="SimSun" w:hAnsi="Times New Roman"/>
          <w:spacing w:val="-1"/>
          <w:sz w:val="24"/>
          <w:szCs w:val="24"/>
        </w:rPr>
        <w:t>клас</w:t>
      </w:r>
      <w:r w:rsidRPr="00AE47C6">
        <w:rPr>
          <w:rFonts w:ascii="Times New Roman" w:eastAsia="SimSun" w:hAnsi="Times New Roman"/>
          <w:spacing w:val="-3"/>
          <w:sz w:val="24"/>
          <w:szCs w:val="24"/>
        </w:rPr>
        <w:t xml:space="preserve"> IIа, ниво B).</w:t>
      </w:r>
    </w:p>
    <w:p w14:paraId="0554B626" w14:textId="77777777" w:rsidR="00BE0B19" w:rsidRPr="00AE47C6" w:rsidRDefault="00BE0B19" w:rsidP="00BE0B19">
      <w:pPr>
        <w:widowControl w:val="0"/>
        <w:numPr>
          <w:ilvl w:val="0"/>
          <w:numId w:val="114"/>
        </w:numPr>
        <w:shd w:val="clear" w:color="auto" w:fill="FFFFFF"/>
        <w:tabs>
          <w:tab w:val="left" w:pos="220"/>
        </w:tabs>
        <w:autoSpaceDE w:val="0"/>
        <w:autoSpaceDN w:val="0"/>
        <w:adjustRightInd w:val="0"/>
        <w:spacing w:after="0" w:line="360" w:lineRule="auto"/>
        <w:ind w:left="0" w:firstLine="360"/>
        <w:jc w:val="both"/>
        <w:rPr>
          <w:rFonts w:ascii="Times New Roman" w:eastAsia="SimSun" w:hAnsi="Times New Roman"/>
          <w:spacing w:val="-3"/>
          <w:sz w:val="24"/>
          <w:szCs w:val="24"/>
        </w:rPr>
      </w:pPr>
      <w:r w:rsidRPr="00AE47C6">
        <w:rPr>
          <w:rFonts w:ascii="Times New Roman" w:eastAsia="SimSun" w:hAnsi="Times New Roman"/>
          <w:spacing w:val="-3"/>
          <w:sz w:val="24"/>
          <w:szCs w:val="24"/>
        </w:rPr>
        <w:t>Не се препоръчва интракраниална или екстракраниална байпасна хирургия (</w:t>
      </w:r>
      <w:r w:rsidRPr="00AE47C6">
        <w:rPr>
          <w:rFonts w:ascii="Times New Roman" w:eastAsia="SimSun" w:hAnsi="Times New Roman"/>
          <w:spacing w:val="-1"/>
          <w:sz w:val="24"/>
          <w:szCs w:val="24"/>
        </w:rPr>
        <w:t>клас</w:t>
      </w:r>
      <w:r w:rsidRPr="00AE47C6">
        <w:rPr>
          <w:rFonts w:ascii="Times New Roman" w:eastAsia="SimSun" w:hAnsi="Times New Roman"/>
          <w:spacing w:val="-3"/>
          <w:sz w:val="24"/>
          <w:szCs w:val="24"/>
        </w:rPr>
        <w:t xml:space="preserve"> III, ниво А).</w:t>
      </w:r>
    </w:p>
    <w:p w14:paraId="1DDC7738" w14:textId="77777777" w:rsidR="00BE0B19" w:rsidRPr="00AE47C6" w:rsidRDefault="00BE0B19" w:rsidP="00BE0B19">
      <w:pPr>
        <w:widowControl w:val="0"/>
        <w:numPr>
          <w:ilvl w:val="0"/>
          <w:numId w:val="114"/>
        </w:numPr>
        <w:shd w:val="clear" w:color="auto" w:fill="FFFFFF"/>
        <w:tabs>
          <w:tab w:val="left" w:pos="220"/>
        </w:tabs>
        <w:autoSpaceDE w:val="0"/>
        <w:autoSpaceDN w:val="0"/>
        <w:adjustRightInd w:val="0"/>
        <w:spacing w:after="0" w:line="360" w:lineRule="auto"/>
        <w:ind w:left="0" w:firstLine="360"/>
        <w:jc w:val="both"/>
        <w:rPr>
          <w:rFonts w:ascii="Times New Roman" w:eastAsia="SimSun" w:hAnsi="Times New Roman"/>
          <w:spacing w:val="-3"/>
          <w:sz w:val="24"/>
          <w:szCs w:val="24"/>
        </w:rPr>
      </w:pPr>
      <w:r w:rsidRPr="00AE47C6">
        <w:rPr>
          <w:rFonts w:ascii="Times New Roman" w:eastAsia="SimSun" w:hAnsi="Times New Roman"/>
          <w:spacing w:val="-3"/>
          <w:sz w:val="24"/>
          <w:szCs w:val="24"/>
        </w:rPr>
        <w:t>Не се препоръчва продължително проследяване на екстракаротидната циркулация с каротидна дуплексна сонография (</w:t>
      </w:r>
      <w:r w:rsidRPr="00AE47C6">
        <w:rPr>
          <w:rFonts w:ascii="Times New Roman" w:eastAsia="SimSun" w:hAnsi="Times New Roman"/>
          <w:spacing w:val="-1"/>
          <w:sz w:val="24"/>
          <w:szCs w:val="24"/>
        </w:rPr>
        <w:t>клас</w:t>
      </w:r>
      <w:r w:rsidRPr="00AE47C6">
        <w:rPr>
          <w:rFonts w:ascii="Times New Roman" w:eastAsia="SimSun" w:hAnsi="Times New Roman"/>
          <w:spacing w:val="-3"/>
          <w:sz w:val="24"/>
          <w:szCs w:val="24"/>
        </w:rPr>
        <w:t xml:space="preserve"> III, ниво B). </w:t>
      </w:r>
    </w:p>
    <w:p w14:paraId="2DD667A7"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23" w:name="_Toc155651711"/>
      <w:bookmarkStart w:id="24" w:name="_Toc164075843"/>
      <w:r w:rsidRPr="00AE47C6">
        <w:rPr>
          <w:rFonts w:ascii="Times New Roman" w:eastAsia="SimSun" w:hAnsi="Times New Roman"/>
          <w:b/>
          <w:sz w:val="24"/>
          <w:szCs w:val="24"/>
        </w:rPr>
        <w:t>1.5. Мозъчни кръвоизливи (МК)</w:t>
      </w:r>
      <w:bookmarkEnd w:id="23"/>
      <w:bookmarkEnd w:id="24"/>
    </w:p>
    <w:p w14:paraId="15533003"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b/>
          <w:iCs/>
          <w:spacing w:val="-9"/>
          <w:sz w:val="24"/>
          <w:szCs w:val="24"/>
        </w:rPr>
        <w:t>Хеморагичните мозъчни инсулти</w:t>
      </w:r>
      <w:r w:rsidRPr="00AE47C6">
        <w:rPr>
          <w:rFonts w:ascii="Times New Roman" w:eastAsia="SimSun" w:hAnsi="Times New Roman"/>
          <w:iCs/>
          <w:spacing w:val="-9"/>
          <w:sz w:val="24"/>
          <w:szCs w:val="24"/>
        </w:rPr>
        <w:t xml:space="preserve"> са от 8 до 12% от всички инсулти и смъртността при тях е 36-37%. Рисковите фактори са основно възрастта и артериалната хипертония. Други рискови фактори са мозъчната амилоидна ангиопатия, съдови малформации, руптура на аневризми, нарушения на коагулацията, прилагане на антикоагуланти и тромболитици, вторичен кръвоизлив при мозъчно инфарциране, кървене в мозъчни тумори и злоупотреба с медикаменти. Рисковите фактори за нетравматичните </w:t>
      </w:r>
      <w:r w:rsidRPr="00AE47C6">
        <w:rPr>
          <w:rFonts w:ascii="Times New Roman" w:eastAsia="SimSun" w:hAnsi="Times New Roman"/>
          <w:b/>
          <w:iCs/>
          <w:spacing w:val="-9"/>
          <w:sz w:val="24"/>
          <w:szCs w:val="24"/>
        </w:rPr>
        <w:t>субарахноидни кръвоизливи</w:t>
      </w:r>
      <w:r w:rsidRPr="00AE47C6">
        <w:rPr>
          <w:rFonts w:ascii="Times New Roman" w:eastAsia="SimSun" w:hAnsi="Times New Roman"/>
          <w:iCs/>
          <w:spacing w:val="-9"/>
          <w:sz w:val="24"/>
          <w:szCs w:val="24"/>
        </w:rPr>
        <w:t xml:space="preserve"> (САК) са основно артериалната хипертония, тютюнопушенето, злоупотребата с алкохол и използването на симпатикомиметични медикаменти, като кокаин. Рискът от кръвоизлив е повишен при наличие на неруптурирали мозъчни аневризми (особено ако са симптоматични, с по-големи размери и локализирани в задната съединителна артерия или вертебробазиларната система), с анамнеза за предходен САК (с или без нелекувана аневризма) и фамилна анамнеза за аневризми или САК, артериовенозни малформации, кръвни заболявания и др.</w:t>
      </w:r>
    </w:p>
    <w:p w14:paraId="33659B5D"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25" w:name="_Toc155651712"/>
      <w:bookmarkStart w:id="26" w:name="_Toc164075844"/>
      <w:r w:rsidRPr="00AE47C6">
        <w:rPr>
          <w:rFonts w:ascii="Times New Roman" w:eastAsia="SimSun" w:hAnsi="Times New Roman"/>
          <w:b/>
          <w:sz w:val="24"/>
          <w:szCs w:val="20"/>
          <w:lang w:eastAsia="ja-JP"/>
        </w:rPr>
        <w:t>1.5.1. Паренхимни мозъчни кръвоизливи (ПМК)</w:t>
      </w:r>
      <w:bookmarkEnd w:id="25"/>
      <w:bookmarkEnd w:id="26"/>
    </w:p>
    <w:p w14:paraId="5C060212"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b/>
          <w:iCs/>
          <w:spacing w:val="-9"/>
          <w:sz w:val="24"/>
          <w:szCs w:val="24"/>
        </w:rPr>
        <w:t xml:space="preserve">Епидемиология. </w:t>
      </w:r>
      <w:r w:rsidRPr="00AE47C6">
        <w:rPr>
          <w:rFonts w:ascii="Times New Roman" w:eastAsia="SimSun" w:hAnsi="Times New Roman"/>
          <w:iCs/>
          <w:spacing w:val="-9"/>
          <w:sz w:val="24"/>
          <w:szCs w:val="24"/>
        </w:rPr>
        <w:t>Заболяемостта e от 10 до 15 на 100 000 души население. Представляват 10-20% от всички мозъчни инсулти. Важната медико-социална значимост се определя от високия леталитет (над 50% в рамките на първия месец), тежката инвалидизация при преживелите и сравнително по-младите възрастови групи, при които настъпва заболяването.</w:t>
      </w:r>
    </w:p>
    <w:p w14:paraId="6D8A4AB9"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b/>
          <w:iCs/>
          <w:spacing w:val="-9"/>
          <w:sz w:val="24"/>
          <w:szCs w:val="24"/>
        </w:rPr>
        <w:t>Класификацията</w:t>
      </w:r>
      <w:r w:rsidRPr="00AE47C6">
        <w:rPr>
          <w:rFonts w:ascii="Times New Roman" w:eastAsia="SimSun" w:hAnsi="Times New Roman"/>
          <w:iCs/>
          <w:spacing w:val="-9"/>
          <w:sz w:val="24"/>
          <w:szCs w:val="24"/>
        </w:rPr>
        <w:t xml:space="preserve"> на ПМК е етиологична, патогенетична и топична. </w:t>
      </w:r>
    </w:p>
    <w:p w14:paraId="6D618168"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i/>
          <w:iCs/>
          <w:spacing w:val="-9"/>
          <w:sz w:val="24"/>
          <w:szCs w:val="24"/>
        </w:rPr>
        <w:t>Етиологична класификация</w:t>
      </w:r>
      <w:r w:rsidRPr="00AE47C6">
        <w:rPr>
          <w:rFonts w:ascii="Times New Roman" w:eastAsia="SimSun" w:hAnsi="Times New Roman"/>
          <w:iCs/>
          <w:spacing w:val="-9"/>
          <w:sz w:val="24"/>
          <w:szCs w:val="24"/>
        </w:rPr>
        <w:t xml:space="preserve">. Нетравматичните ПМК възникват при артериална хипертония, мозъчни аневризми, мозъчни ангиоми и артериовенозни малформации, първични и метастатични мозъчни тумори, заболявания на кръвта с разстройство на хемокоагулацията, антикоагулантна терапия, възпалителни заболявания на мозъчните артерии, мозъчни инфаркти, мозъчни флеботромбози, амилоидна мозъчна ангиопатия. </w:t>
      </w:r>
    </w:p>
    <w:p w14:paraId="50AE69B1"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i/>
          <w:iCs/>
          <w:spacing w:val="-9"/>
          <w:sz w:val="24"/>
          <w:szCs w:val="24"/>
        </w:rPr>
        <w:t>Патогенетична класификация.</w:t>
      </w:r>
      <w:r w:rsidRPr="00AE47C6">
        <w:rPr>
          <w:rFonts w:ascii="Times New Roman" w:eastAsia="SimSun" w:hAnsi="Times New Roman"/>
          <w:iCs/>
          <w:spacing w:val="-9"/>
          <w:sz w:val="24"/>
          <w:szCs w:val="24"/>
        </w:rPr>
        <w:t xml:space="preserve"> Кръвоизливите в паренхима на мозъка възникват по два основни патогенетични механизма: </w:t>
      </w:r>
    </w:p>
    <w:p w14:paraId="4E198F54" w14:textId="77777777" w:rsidR="00BE0B19" w:rsidRPr="00AE47C6" w:rsidRDefault="00BE0B19" w:rsidP="00BE0B19">
      <w:pPr>
        <w:numPr>
          <w:ilvl w:val="1"/>
          <w:numId w:val="44"/>
        </w:numPr>
        <w:shd w:val="clear" w:color="auto" w:fill="FFFFFF"/>
        <w:tabs>
          <w:tab w:val="clear" w:pos="720"/>
        </w:tabs>
        <w:spacing w:after="0" w:line="360" w:lineRule="auto"/>
        <w:jc w:val="both"/>
        <w:rPr>
          <w:rFonts w:ascii="Times New Roman" w:eastAsia="SimSun" w:hAnsi="Times New Roman"/>
          <w:iCs/>
          <w:spacing w:val="-9"/>
          <w:sz w:val="24"/>
          <w:szCs w:val="24"/>
        </w:rPr>
      </w:pPr>
      <w:r w:rsidRPr="00AE47C6">
        <w:rPr>
          <w:rFonts w:ascii="Times New Roman" w:eastAsia="SimSun" w:hAnsi="Times New Roman"/>
          <w:iCs/>
          <w:spacing w:val="-9"/>
          <w:sz w:val="24"/>
          <w:szCs w:val="24"/>
        </w:rPr>
        <w:t>Руптура на мозъчен съд с болестно променена стена или аневризма – “</w:t>
      </w:r>
      <w:r w:rsidRPr="00AE47C6">
        <w:rPr>
          <w:rFonts w:ascii="Times New Roman" w:eastAsia="SimSun" w:hAnsi="Times New Roman"/>
          <w:i/>
          <w:iCs/>
          <w:spacing w:val="-9"/>
          <w:sz w:val="24"/>
          <w:szCs w:val="24"/>
        </w:rPr>
        <w:t>тип хематом</w:t>
      </w:r>
      <w:r w:rsidRPr="00AE47C6">
        <w:rPr>
          <w:rFonts w:ascii="Times New Roman" w:eastAsia="SimSun" w:hAnsi="Times New Roman"/>
          <w:iCs/>
          <w:spacing w:val="-9"/>
          <w:sz w:val="24"/>
          <w:szCs w:val="24"/>
        </w:rPr>
        <w:t xml:space="preserve"> “; </w:t>
      </w:r>
    </w:p>
    <w:p w14:paraId="459C7629" w14:textId="77777777" w:rsidR="00BE0B19" w:rsidRPr="00AE47C6" w:rsidRDefault="00BE0B19" w:rsidP="00BE0B19">
      <w:pPr>
        <w:numPr>
          <w:ilvl w:val="1"/>
          <w:numId w:val="44"/>
        </w:numPr>
        <w:shd w:val="clear" w:color="auto" w:fill="FFFFFF"/>
        <w:tabs>
          <w:tab w:val="clear" w:pos="720"/>
        </w:tabs>
        <w:spacing w:after="0" w:line="360" w:lineRule="auto"/>
        <w:jc w:val="both"/>
        <w:rPr>
          <w:rFonts w:ascii="Times New Roman" w:eastAsia="SimSun" w:hAnsi="Times New Roman"/>
          <w:i/>
          <w:iCs/>
          <w:spacing w:val="-9"/>
          <w:sz w:val="24"/>
          <w:szCs w:val="24"/>
        </w:rPr>
      </w:pPr>
      <w:r w:rsidRPr="00AE47C6">
        <w:rPr>
          <w:rFonts w:ascii="Times New Roman" w:eastAsia="SimSun" w:hAnsi="Times New Roman"/>
          <w:iCs/>
          <w:spacing w:val="-9"/>
          <w:sz w:val="24"/>
          <w:szCs w:val="24"/>
        </w:rPr>
        <w:t xml:space="preserve">Диапедеза на кръвта през стените на малките кръвоносни съдове в мозъка – </w:t>
      </w:r>
      <w:r w:rsidRPr="00AE47C6">
        <w:rPr>
          <w:rFonts w:ascii="Times New Roman" w:eastAsia="SimSun" w:hAnsi="Times New Roman"/>
          <w:i/>
          <w:iCs/>
          <w:spacing w:val="-9"/>
          <w:sz w:val="24"/>
          <w:szCs w:val="24"/>
        </w:rPr>
        <w:t xml:space="preserve">“тип хеморагично пропиване”. </w:t>
      </w:r>
    </w:p>
    <w:p w14:paraId="1E6DEB46" w14:textId="77777777" w:rsidR="00BE0B19" w:rsidRPr="00AE47C6" w:rsidRDefault="00BE0B19" w:rsidP="00BE0B19">
      <w:pPr>
        <w:shd w:val="clear" w:color="auto" w:fill="FFFFFF"/>
        <w:spacing w:after="0" w:line="360" w:lineRule="auto"/>
        <w:ind w:firstLine="720"/>
        <w:jc w:val="both"/>
        <w:rPr>
          <w:rFonts w:ascii="Times New Roman" w:eastAsia="SimSun" w:hAnsi="Times New Roman"/>
          <w:i/>
          <w:iCs/>
          <w:spacing w:val="-9"/>
          <w:sz w:val="24"/>
          <w:szCs w:val="24"/>
        </w:rPr>
      </w:pPr>
      <w:r w:rsidRPr="00AE47C6">
        <w:rPr>
          <w:rFonts w:ascii="Times New Roman" w:eastAsia="SimSun" w:hAnsi="Times New Roman"/>
          <w:i/>
          <w:iCs/>
          <w:spacing w:val="-9"/>
          <w:sz w:val="24"/>
          <w:szCs w:val="24"/>
        </w:rPr>
        <w:t>Топична класификация.</w:t>
      </w:r>
      <w:r w:rsidRPr="00AE47C6">
        <w:rPr>
          <w:rFonts w:ascii="Times New Roman" w:eastAsia="SimSun" w:hAnsi="Times New Roman"/>
          <w:iCs/>
          <w:spacing w:val="-9"/>
          <w:sz w:val="24"/>
          <w:szCs w:val="24"/>
        </w:rPr>
        <w:t xml:space="preserve"> ПМК в </w:t>
      </w:r>
      <w:r w:rsidRPr="00AE47C6">
        <w:rPr>
          <w:rFonts w:ascii="Times New Roman" w:eastAsia="SimSun" w:hAnsi="Times New Roman"/>
          <w:i/>
          <w:iCs/>
          <w:spacing w:val="-9"/>
          <w:sz w:val="24"/>
          <w:szCs w:val="24"/>
        </w:rPr>
        <w:t xml:space="preserve">подкоровите ядра, в мозъчните дялове (лобарни), в малкия мозък и в моста. </w:t>
      </w:r>
    </w:p>
    <w:p w14:paraId="79E790E0"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i/>
          <w:iCs/>
          <w:spacing w:val="-9"/>
          <w:sz w:val="24"/>
          <w:szCs w:val="24"/>
        </w:rPr>
        <w:t>Кръвоизливите в подкоровите ядра</w:t>
      </w:r>
      <w:r w:rsidRPr="00AE47C6">
        <w:rPr>
          <w:rFonts w:ascii="Times New Roman" w:eastAsia="SimSun" w:hAnsi="Times New Roman"/>
          <w:iCs/>
          <w:spacing w:val="-9"/>
          <w:sz w:val="24"/>
          <w:szCs w:val="24"/>
        </w:rPr>
        <w:t xml:space="preserve"> се разделят в зависимост от локализацията им по отношение на capsula interna на </w:t>
      </w:r>
      <w:r w:rsidRPr="00AE47C6">
        <w:rPr>
          <w:rFonts w:ascii="Times New Roman" w:eastAsia="SimSun" w:hAnsi="Times New Roman"/>
          <w:i/>
          <w:iCs/>
          <w:spacing w:val="-9"/>
          <w:sz w:val="24"/>
          <w:szCs w:val="24"/>
        </w:rPr>
        <w:t>капсуло - латерални</w:t>
      </w:r>
      <w:r w:rsidRPr="00AE47C6">
        <w:rPr>
          <w:rFonts w:ascii="Times New Roman" w:eastAsia="SimSun" w:hAnsi="Times New Roman"/>
          <w:iCs/>
          <w:spacing w:val="-9"/>
          <w:sz w:val="24"/>
          <w:szCs w:val="24"/>
        </w:rPr>
        <w:t xml:space="preserve"> (путаминални, стриарни), </w:t>
      </w:r>
      <w:r w:rsidRPr="00AE47C6">
        <w:rPr>
          <w:rFonts w:ascii="Times New Roman" w:eastAsia="SimSun" w:hAnsi="Times New Roman"/>
          <w:i/>
          <w:iCs/>
          <w:spacing w:val="-9"/>
          <w:sz w:val="24"/>
          <w:szCs w:val="24"/>
        </w:rPr>
        <w:t>капсуло - медиални</w:t>
      </w:r>
      <w:r w:rsidRPr="00AE47C6">
        <w:rPr>
          <w:rFonts w:ascii="Times New Roman" w:eastAsia="SimSun" w:hAnsi="Times New Roman"/>
          <w:iCs/>
          <w:spacing w:val="-9"/>
          <w:sz w:val="24"/>
          <w:szCs w:val="24"/>
        </w:rPr>
        <w:t xml:space="preserve"> (таламични) и </w:t>
      </w:r>
      <w:r w:rsidRPr="00AE47C6">
        <w:rPr>
          <w:rFonts w:ascii="Times New Roman" w:eastAsia="SimSun" w:hAnsi="Times New Roman"/>
          <w:i/>
          <w:iCs/>
          <w:spacing w:val="-9"/>
          <w:sz w:val="24"/>
          <w:szCs w:val="24"/>
        </w:rPr>
        <w:t>смесени</w:t>
      </w:r>
      <w:r w:rsidRPr="00AE47C6">
        <w:rPr>
          <w:rFonts w:ascii="Times New Roman" w:eastAsia="SimSun" w:hAnsi="Times New Roman"/>
          <w:iCs/>
          <w:spacing w:val="-9"/>
          <w:sz w:val="24"/>
          <w:szCs w:val="24"/>
        </w:rPr>
        <w:t xml:space="preserve">. </w:t>
      </w:r>
      <w:r w:rsidRPr="00AE47C6">
        <w:rPr>
          <w:rFonts w:ascii="Times New Roman" w:eastAsia="SimSun" w:hAnsi="Times New Roman"/>
          <w:i/>
          <w:iCs/>
          <w:spacing w:val="-9"/>
          <w:sz w:val="24"/>
          <w:szCs w:val="24"/>
        </w:rPr>
        <w:t>Капсуло – латералните (стриарни) кръвоизливи</w:t>
      </w:r>
      <w:r w:rsidRPr="00AE47C6">
        <w:rPr>
          <w:rFonts w:ascii="Times New Roman" w:eastAsia="SimSun" w:hAnsi="Times New Roman"/>
          <w:iCs/>
          <w:spacing w:val="-9"/>
          <w:sz w:val="24"/>
          <w:szCs w:val="24"/>
        </w:rPr>
        <w:t xml:space="preserve"> са около 50% от всички ПМК и са локализирани в corpus striatum, преди всичко в putamen и в части от бялото вещество на centrum semiovale. </w:t>
      </w:r>
      <w:r w:rsidRPr="00AE47C6">
        <w:rPr>
          <w:rFonts w:ascii="Times New Roman" w:eastAsia="SimSun" w:hAnsi="Times New Roman"/>
          <w:i/>
          <w:iCs/>
          <w:spacing w:val="-9"/>
          <w:sz w:val="24"/>
          <w:szCs w:val="24"/>
        </w:rPr>
        <w:t>Капсуло - медиалните кръвоизливи</w:t>
      </w:r>
      <w:r w:rsidRPr="00AE47C6">
        <w:rPr>
          <w:rFonts w:ascii="Times New Roman" w:eastAsia="SimSun" w:hAnsi="Times New Roman"/>
          <w:iCs/>
          <w:spacing w:val="-9"/>
          <w:sz w:val="24"/>
          <w:szCs w:val="24"/>
        </w:rPr>
        <w:t xml:space="preserve"> (около 10%), засягат thalamus, а понякога и nucleus caudatus и capsula interna може да се увредят тежко. </w:t>
      </w:r>
      <w:r w:rsidRPr="00AE47C6">
        <w:rPr>
          <w:rFonts w:ascii="Times New Roman" w:eastAsia="SimSun" w:hAnsi="Times New Roman"/>
          <w:i/>
          <w:iCs/>
          <w:spacing w:val="-9"/>
          <w:sz w:val="24"/>
          <w:szCs w:val="24"/>
        </w:rPr>
        <w:t>Смесените кръвоизливи</w:t>
      </w:r>
      <w:r w:rsidRPr="00AE47C6">
        <w:rPr>
          <w:rFonts w:ascii="Times New Roman" w:eastAsia="SimSun" w:hAnsi="Times New Roman"/>
          <w:iCs/>
          <w:spacing w:val="-9"/>
          <w:sz w:val="24"/>
          <w:szCs w:val="24"/>
        </w:rPr>
        <w:t xml:space="preserve"> едновременно засягат латералните и медиалните области на подкоровите ядра, и които разрушават capsula interna</w:t>
      </w:r>
      <w:r w:rsidRPr="00AE47C6">
        <w:rPr>
          <w:rFonts w:ascii="Times New Roman" w:eastAsia="SimSun" w:hAnsi="Times New Roman"/>
          <w:i/>
          <w:iCs/>
          <w:spacing w:val="-9"/>
          <w:sz w:val="24"/>
          <w:szCs w:val="24"/>
        </w:rPr>
        <w:t>.</w:t>
      </w:r>
    </w:p>
    <w:p w14:paraId="43ADE746"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i/>
          <w:iCs/>
          <w:spacing w:val="-9"/>
          <w:sz w:val="24"/>
          <w:szCs w:val="24"/>
        </w:rPr>
        <w:t>Лобарните ПМК</w:t>
      </w:r>
      <w:r w:rsidRPr="00AE47C6">
        <w:rPr>
          <w:rFonts w:ascii="Times New Roman" w:eastAsia="SimSun" w:hAnsi="Times New Roman"/>
          <w:iCs/>
          <w:spacing w:val="-9"/>
          <w:sz w:val="24"/>
          <w:szCs w:val="24"/>
        </w:rPr>
        <w:t xml:space="preserve"> са около 10% от всички кръвоизливи. Засягат се отделните лобове на голямомозъчните хемисфери – челен, париетален, темпорален или тилен. </w:t>
      </w:r>
    </w:p>
    <w:p w14:paraId="018E32B0"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i/>
          <w:iCs/>
          <w:spacing w:val="-9"/>
          <w:sz w:val="24"/>
          <w:szCs w:val="24"/>
        </w:rPr>
        <w:t>Кръвоизливите в областта на ствола на мозъка</w:t>
      </w:r>
      <w:r w:rsidRPr="00AE47C6">
        <w:rPr>
          <w:rFonts w:ascii="Times New Roman" w:eastAsia="SimSun" w:hAnsi="Times New Roman"/>
          <w:iCs/>
          <w:spacing w:val="-9"/>
          <w:sz w:val="24"/>
          <w:szCs w:val="24"/>
        </w:rPr>
        <w:t xml:space="preserve"> се подразделят на първични и вторични. Само </w:t>
      </w:r>
      <w:r w:rsidRPr="00AE47C6">
        <w:rPr>
          <w:rFonts w:ascii="Times New Roman" w:eastAsia="SimSun" w:hAnsi="Times New Roman"/>
          <w:i/>
          <w:iCs/>
          <w:spacing w:val="-9"/>
          <w:sz w:val="24"/>
          <w:szCs w:val="24"/>
        </w:rPr>
        <w:t>първичните стволови кръвоизливи</w:t>
      </w:r>
      <w:r w:rsidRPr="00AE47C6">
        <w:rPr>
          <w:rFonts w:ascii="Times New Roman" w:eastAsia="SimSun" w:hAnsi="Times New Roman"/>
          <w:iCs/>
          <w:spacing w:val="-9"/>
          <w:sz w:val="24"/>
          <w:szCs w:val="24"/>
        </w:rPr>
        <w:t xml:space="preserve">, които са около 10%, се разглеждат като ПМК и се локализират предимно в моста и значително по-рядко – в средния мозък. </w:t>
      </w:r>
    </w:p>
    <w:p w14:paraId="473B3DA3"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i/>
          <w:iCs/>
          <w:spacing w:val="-9"/>
          <w:sz w:val="24"/>
          <w:szCs w:val="24"/>
        </w:rPr>
        <w:t>Малкомозъчните кръвоизливи</w:t>
      </w:r>
      <w:r w:rsidRPr="00AE47C6">
        <w:rPr>
          <w:rFonts w:ascii="Times New Roman" w:eastAsia="SimSun" w:hAnsi="Times New Roman"/>
          <w:iCs/>
          <w:spacing w:val="-9"/>
          <w:sz w:val="24"/>
          <w:szCs w:val="24"/>
        </w:rPr>
        <w:t xml:space="preserve"> (10%) възникват в областта на nucleus dentatus и значително по-рядко – във vermis. </w:t>
      </w:r>
    </w:p>
    <w:p w14:paraId="46B87CCB"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iCs/>
          <w:spacing w:val="-9"/>
          <w:sz w:val="24"/>
          <w:szCs w:val="24"/>
        </w:rPr>
        <w:t xml:space="preserve">ПМК, причинени от артериална хипертония, се локализират предимно в базалните ганглии, мозъчния ствол и малкия мозък. При нехипертонична етиология възникват лобарни кръвоизливи, най-често в бялото вещество на голямомозъчните хемисфери (окципитално, темпорално или париетално). Според размера им ПМК се подразделят на малки (1-2 cm в диаметър, под 20 ml), масивни (60 ml и повече, над няколко cm в диаметър) и средни. Размерът и топиката на кръвоизлива имат прогностично значение за неговия изход. </w:t>
      </w:r>
    </w:p>
    <w:p w14:paraId="2E98503D"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b/>
          <w:iCs/>
          <w:spacing w:val="-9"/>
          <w:sz w:val="24"/>
          <w:szCs w:val="24"/>
        </w:rPr>
        <w:t xml:space="preserve">Клиника. </w:t>
      </w:r>
      <w:r w:rsidRPr="00AE47C6">
        <w:rPr>
          <w:rFonts w:ascii="Times New Roman" w:eastAsia="SimSun" w:hAnsi="Times New Roman"/>
          <w:iCs/>
          <w:spacing w:val="-9"/>
          <w:sz w:val="24"/>
          <w:szCs w:val="24"/>
        </w:rPr>
        <w:t xml:space="preserve">Налице е </w:t>
      </w:r>
      <w:r w:rsidRPr="00AE47C6">
        <w:rPr>
          <w:rFonts w:ascii="Times New Roman" w:eastAsia="SimSun" w:hAnsi="Times New Roman"/>
          <w:i/>
          <w:iCs/>
          <w:spacing w:val="-9"/>
          <w:sz w:val="24"/>
          <w:szCs w:val="24"/>
        </w:rPr>
        <w:t>огнищна</w:t>
      </w:r>
      <w:r w:rsidRPr="00AE47C6">
        <w:rPr>
          <w:rFonts w:ascii="Times New Roman" w:eastAsia="SimSun" w:hAnsi="Times New Roman"/>
          <w:iCs/>
          <w:spacing w:val="-9"/>
          <w:sz w:val="24"/>
          <w:szCs w:val="24"/>
        </w:rPr>
        <w:t xml:space="preserve"> неврологична и </w:t>
      </w:r>
      <w:r w:rsidRPr="00AE47C6">
        <w:rPr>
          <w:rFonts w:ascii="Times New Roman" w:eastAsia="SimSun" w:hAnsi="Times New Roman"/>
          <w:i/>
          <w:iCs/>
          <w:spacing w:val="-9"/>
          <w:sz w:val="24"/>
          <w:szCs w:val="24"/>
        </w:rPr>
        <w:t xml:space="preserve">общомозъчна </w:t>
      </w:r>
      <w:r w:rsidRPr="00AE47C6">
        <w:rPr>
          <w:rFonts w:ascii="Times New Roman" w:eastAsia="SimSun" w:hAnsi="Times New Roman"/>
          <w:iCs/>
          <w:spacing w:val="-9"/>
          <w:sz w:val="24"/>
          <w:szCs w:val="24"/>
        </w:rPr>
        <w:t xml:space="preserve">симптоматика в различна степен на изразеност. Огнищната неврологична симптоматика е резултат от директна мозъчна лезия от развиващия се кръвоизлив. Общомозъчната симптоматика е резултат от индиректното увреждане на отдалечени от хеморагичното огнище мозъчни структури, поради развиващия се мозъчен оток, вътречерепната хипертензия, дислокацията и компресията на мозъчния ствол, проникването на кръв в ликворното пространство и др. Настъпва разстройство на централната регулация на виталните функции, при което в клиничната картина на заболяването наред с неврологичните симптоми се включва и соматична симптоматика. </w:t>
      </w:r>
    </w:p>
    <w:p w14:paraId="244AFB7E"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iCs/>
          <w:spacing w:val="-9"/>
          <w:sz w:val="24"/>
          <w:szCs w:val="24"/>
        </w:rPr>
      </w:pPr>
      <w:r w:rsidRPr="00AE47C6">
        <w:rPr>
          <w:rFonts w:ascii="Times New Roman" w:eastAsia="SimSun" w:hAnsi="Times New Roman"/>
          <w:b/>
          <w:iCs/>
          <w:spacing w:val="-9"/>
          <w:sz w:val="24"/>
          <w:szCs w:val="24"/>
        </w:rPr>
        <w:t>Общомозъчна симптоматика</w:t>
      </w:r>
    </w:p>
    <w:p w14:paraId="6B9EE79D"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i/>
          <w:iCs/>
          <w:spacing w:val="-9"/>
          <w:sz w:val="24"/>
          <w:szCs w:val="24"/>
        </w:rPr>
        <w:t xml:space="preserve"> Количествените нарушения на съзнанието</w:t>
      </w:r>
      <w:r w:rsidRPr="00AE47C6">
        <w:rPr>
          <w:rFonts w:ascii="Times New Roman" w:eastAsia="SimSun" w:hAnsi="Times New Roman"/>
          <w:iCs/>
          <w:spacing w:val="-9"/>
          <w:sz w:val="24"/>
          <w:szCs w:val="24"/>
        </w:rPr>
        <w:t xml:space="preserve"> са честа и важна клинична проява в острия стадий на мозъчния кръвоизлив, която създават непосредствена опасност за живота. При наличие на коматозно състояние в началото на заболяването с резултат под 8 точки по Glasgow скалата е установен летален изход при 90% от случаите. При локализация на кръвоизлива в ствола на мозъка, ретикуларната активираща система може да се увреди директно, а при кръвоизливи в голямомозъчната хемисфера или в малкия мозък – индиректно, поради дислокация или компресия на мозъчния ствол.</w:t>
      </w:r>
    </w:p>
    <w:p w14:paraId="4A285FE1"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i/>
          <w:iCs/>
          <w:spacing w:val="-9"/>
          <w:sz w:val="24"/>
          <w:szCs w:val="24"/>
        </w:rPr>
        <w:t>Мозъчният оток и повишеното вътречерепно налягане</w:t>
      </w:r>
      <w:r w:rsidRPr="00AE47C6">
        <w:rPr>
          <w:rFonts w:ascii="Times New Roman" w:eastAsia="SimSun" w:hAnsi="Times New Roman"/>
          <w:iCs/>
          <w:spacing w:val="-9"/>
          <w:sz w:val="24"/>
          <w:szCs w:val="24"/>
        </w:rPr>
        <w:t xml:space="preserve"> могат да доведат до количествени промени на съзнанието по два механизма: 1. Чрез нарушаване на мозъчната микроциркулация в широки области на мозъка, включително и в коровите структури; 2. Чрез компресия на ствола на мозъка в зависимост от големината на кръвоизлива и скоростта на развитие на мозъчният оток. </w:t>
      </w:r>
    </w:p>
    <w:p w14:paraId="09F31FAC"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i/>
          <w:iCs/>
          <w:spacing w:val="-9"/>
          <w:sz w:val="24"/>
          <w:szCs w:val="24"/>
        </w:rPr>
        <w:t>Масивният пробив на кръвта към вентрикулната система и субарахноидното пространство</w:t>
      </w:r>
      <w:r w:rsidRPr="00AE47C6">
        <w:rPr>
          <w:rFonts w:ascii="Times New Roman" w:eastAsia="SimSun" w:hAnsi="Times New Roman"/>
          <w:iCs/>
          <w:spacing w:val="-9"/>
          <w:sz w:val="24"/>
          <w:szCs w:val="24"/>
        </w:rPr>
        <w:t xml:space="preserve"> задълбочава количествените нарушения на съзнанието. Тампонирането на ликворната система от проникналата кръв води до развитие на </w:t>
      </w:r>
      <w:r w:rsidRPr="00AE47C6">
        <w:rPr>
          <w:rFonts w:ascii="Times New Roman" w:eastAsia="SimSun" w:hAnsi="Times New Roman"/>
          <w:i/>
          <w:iCs/>
          <w:spacing w:val="-9"/>
          <w:sz w:val="24"/>
          <w:szCs w:val="24"/>
        </w:rPr>
        <w:t>остра хидроцефалия</w:t>
      </w:r>
      <w:r w:rsidRPr="00AE47C6">
        <w:rPr>
          <w:rFonts w:ascii="Times New Roman" w:eastAsia="SimSun" w:hAnsi="Times New Roman"/>
          <w:iCs/>
          <w:spacing w:val="-9"/>
          <w:sz w:val="24"/>
          <w:szCs w:val="24"/>
        </w:rPr>
        <w:t xml:space="preserve"> с бързо повишение на вътречерепното налягане, а масивното проникване на кръв към субарахноидното пространство може да предизвика дифузен спазъм на повърхностните съдове с хипоксия на коровите структури. </w:t>
      </w:r>
      <w:r w:rsidRPr="00AE47C6">
        <w:rPr>
          <w:rFonts w:ascii="Times New Roman" w:eastAsia="SimSun" w:hAnsi="Times New Roman"/>
          <w:i/>
          <w:iCs/>
          <w:spacing w:val="-9"/>
          <w:sz w:val="24"/>
          <w:szCs w:val="24"/>
        </w:rPr>
        <w:t>Синдром на менинго-радикулерно дразнене</w:t>
      </w:r>
      <w:r w:rsidRPr="00AE47C6">
        <w:rPr>
          <w:rFonts w:ascii="Times New Roman" w:eastAsia="SimSun" w:hAnsi="Times New Roman"/>
          <w:iCs/>
          <w:spacing w:val="-9"/>
          <w:sz w:val="24"/>
          <w:szCs w:val="24"/>
        </w:rPr>
        <w:t xml:space="preserve"> в различна степен на изразеност се установява често, но може да липсва при много болни с ПМК, а може да се наблюдава и при редица тежки исхемични инсулти. </w:t>
      </w:r>
      <w:r w:rsidRPr="00AE47C6">
        <w:rPr>
          <w:rFonts w:ascii="Times New Roman" w:eastAsia="SimSun" w:hAnsi="Times New Roman"/>
          <w:i/>
          <w:iCs/>
          <w:spacing w:val="-9"/>
          <w:sz w:val="24"/>
          <w:szCs w:val="24"/>
        </w:rPr>
        <w:t>Епилептичните пристъпи и епилептичен статус</w:t>
      </w:r>
      <w:r w:rsidRPr="00AE47C6">
        <w:rPr>
          <w:rFonts w:ascii="Times New Roman" w:eastAsia="SimSun" w:hAnsi="Times New Roman"/>
          <w:iCs/>
          <w:spacing w:val="-9"/>
          <w:sz w:val="24"/>
          <w:szCs w:val="24"/>
        </w:rPr>
        <w:t xml:space="preserve"> са рядка клинична проява в острия стадий, но те рязко влошават клиничното протичане и прогнозата на заболяването. </w:t>
      </w:r>
    </w:p>
    <w:p w14:paraId="4F12B04C"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i/>
          <w:iCs/>
          <w:spacing w:val="-9"/>
          <w:sz w:val="24"/>
          <w:szCs w:val="24"/>
        </w:rPr>
        <w:t xml:space="preserve">Главоболието </w:t>
      </w:r>
      <w:r w:rsidRPr="00AE47C6">
        <w:rPr>
          <w:rFonts w:ascii="Times New Roman" w:eastAsia="SimSun" w:hAnsi="Times New Roman"/>
          <w:iCs/>
          <w:spacing w:val="-9"/>
          <w:sz w:val="24"/>
          <w:szCs w:val="24"/>
        </w:rPr>
        <w:t>започва внезапно или съществуващото преди това главоболие се изостря. П</w:t>
      </w:r>
      <w:r w:rsidRPr="00AE47C6">
        <w:rPr>
          <w:rFonts w:ascii="Times New Roman" w:eastAsia="SimSun" w:hAnsi="Times New Roman"/>
          <w:i/>
          <w:iCs/>
          <w:spacing w:val="-9"/>
          <w:sz w:val="24"/>
          <w:szCs w:val="24"/>
        </w:rPr>
        <w:t>овръщането</w:t>
      </w:r>
      <w:r w:rsidRPr="00AE47C6">
        <w:rPr>
          <w:rFonts w:ascii="Times New Roman" w:eastAsia="SimSun" w:hAnsi="Times New Roman"/>
          <w:iCs/>
          <w:spacing w:val="-9"/>
          <w:sz w:val="24"/>
          <w:szCs w:val="24"/>
        </w:rPr>
        <w:t xml:space="preserve"> се развива още в първите минути на фона на силно главоболие и се повтаря многократно. </w:t>
      </w:r>
    </w:p>
    <w:p w14:paraId="1B0230E6"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i/>
          <w:iCs/>
          <w:spacing w:val="-9"/>
          <w:sz w:val="24"/>
          <w:szCs w:val="24"/>
        </w:rPr>
        <w:t>Тежкото разстройство на виталните функции в острия стадий на заболяването поради непосредственото увреждане на тяхната централна неврогенна регулация</w:t>
      </w:r>
      <w:r w:rsidRPr="00AE47C6">
        <w:rPr>
          <w:rFonts w:ascii="Times New Roman" w:eastAsia="SimSun" w:hAnsi="Times New Roman"/>
          <w:iCs/>
          <w:spacing w:val="-9"/>
          <w:sz w:val="24"/>
          <w:szCs w:val="24"/>
        </w:rPr>
        <w:t xml:space="preserve"> и поради развиващите се многобройни </w:t>
      </w:r>
      <w:r w:rsidRPr="00AE47C6">
        <w:rPr>
          <w:rFonts w:ascii="Times New Roman" w:eastAsia="SimSun" w:hAnsi="Times New Roman"/>
          <w:i/>
          <w:iCs/>
          <w:spacing w:val="-9"/>
          <w:sz w:val="24"/>
          <w:szCs w:val="24"/>
        </w:rPr>
        <w:t>соматични усложнения</w:t>
      </w:r>
      <w:r w:rsidRPr="00AE47C6">
        <w:rPr>
          <w:rFonts w:ascii="Times New Roman" w:eastAsia="SimSun" w:hAnsi="Times New Roman"/>
          <w:iCs/>
          <w:spacing w:val="-9"/>
          <w:sz w:val="24"/>
          <w:szCs w:val="24"/>
        </w:rPr>
        <w:t xml:space="preserve"> е причина за високия леталитет. Предшестващите соматични заболявания (хипертонична болест, атеросклероза, бъбречни усложнения и др.) имат водещо етиопатогенетично значение за възникване на ПМК, но повлияват в значителна степен и протичането на заболяването.</w:t>
      </w:r>
    </w:p>
    <w:p w14:paraId="3E1AA080"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iCs/>
          <w:spacing w:val="-9"/>
          <w:sz w:val="24"/>
          <w:szCs w:val="24"/>
        </w:rPr>
      </w:pPr>
      <w:r w:rsidRPr="00AE47C6">
        <w:rPr>
          <w:rFonts w:ascii="Times New Roman" w:eastAsia="SimSun" w:hAnsi="Times New Roman"/>
          <w:b/>
          <w:iCs/>
          <w:spacing w:val="-9"/>
          <w:sz w:val="24"/>
          <w:szCs w:val="24"/>
        </w:rPr>
        <w:t xml:space="preserve">Огнищна неврологична симптоматика и протичане в зависимост от локализацията. </w:t>
      </w:r>
    </w:p>
    <w:p w14:paraId="1E8C2A24"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b/>
          <w:i/>
          <w:iCs/>
          <w:spacing w:val="-9"/>
          <w:sz w:val="24"/>
          <w:szCs w:val="24"/>
        </w:rPr>
        <w:t>Капсуло - латералните кръвоизливи</w:t>
      </w:r>
      <w:r w:rsidRPr="00AE47C6">
        <w:rPr>
          <w:rFonts w:ascii="Times New Roman" w:eastAsia="SimSun" w:hAnsi="Times New Roman"/>
          <w:iCs/>
          <w:spacing w:val="-9"/>
          <w:sz w:val="24"/>
          <w:szCs w:val="24"/>
        </w:rPr>
        <w:t xml:space="preserve"> се локализират в стрио - палидарната система, латерално от вътрешната капсула, като обикновено ангажират и части от бялото вещество на хемисферата. Кръвта може да проникне към латералния вентрикул или по-рядко към субарахноидното пространство. Заболяването започва остро, но при част от болните с такава топика на хематома, инсултът може да се развие по-постепенно и по-благоприятно. Притискането и увреждането на capsula interna или centrum semiovale водят до </w:t>
      </w:r>
      <w:r w:rsidRPr="00AE47C6">
        <w:rPr>
          <w:rFonts w:ascii="Times New Roman" w:eastAsia="SimSun" w:hAnsi="Times New Roman"/>
          <w:i/>
          <w:iCs/>
          <w:spacing w:val="-9"/>
          <w:sz w:val="24"/>
          <w:szCs w:val="24"/>
        </w:rPr>
        <w:t>двигателни нарушения (хемипареза, хемиплегия),</w:t>
      </w:r>
      <w:r w:rsidRPr="00AE47C6">
        <w:rPr>
          <w:rFonts w:ascii="Times New Roman" w:eastAsia="SimSun" w:hAnsi="Times New Roman"/>
          <w:iCs/>
          <w:spacing w:val="-9"/>
          <w:sz w:val="24"/>
          <w:szCs w:val="24"/>
        </w:rPr>
        <w:t xml:space="preserve"> съчетана с централна пареза на лицевата и на мускулатурата на езика и патологични рефлекси в засегнатите крайници. Наблюдават се спрегнато отклонение на главата и очите на противоположната на парезата страна (“болният гледа огнището на поражението“). </w:t>
      </w:r>
      <w:r w:rsidRPr="00AE47C6">
        <w:rPr>
          <w:rFonts w:ascii="Times New Roman" w:eastAsia="SimSun" w:hAnsi="Times New Roman"/>
          <w:i/>
          <w:iCs/>
          <w:spacing w:val="-9"/>
          <w:sz w:val="24"/>
          <w:szCs w:val="24"/>
        </w:rPr>
        <w:t xml:space="preserve">Сетивните нарушения </w:t>
      </w:r>
      <w:r w:rsidRPr="00AE47C6">
        <w:rPr>
          <w:rFonts w:ascii="Times New Roman" w:eastAsia="SimSun" w:hAnsi="Times New Roman"/>
          <w:iCs/>
          <w:spacing w:val="-9"/>
          <w:sz w:val="24"/>
          <w:szCs w:val="24"/>
        </w:rPr>
        <w:t xml:space="preserve">– понижение на повърхностната и дълбоката сетивност са в засегнатите крайници и половината на тялото. </w:t>
      </w:r>
      <w:r w:rsidRPr="00AE47C6">
        <w:rPr>
          <w:rFonts w:ascii="Times New Roman" w:eastAsia="SimSun" w:hAnsi="Times New Roman"/>
          <w:i/>
          <w:iCs/>
          <w:spacing w:val="-9"/>
          <w:sz w:val="24"/>
          <w:szCs w:val="24"/>
        </w:rPr>
        <w:t>Афатични разстройства</w:t>
      </w:r>
      <w:r w:rsidRPr="00AE47C6">
        <w:rPr>
          <w:rFonts w:ascii="Times New Roman" w:eastAsia="SimSun" w:hAnsi="Times New Roman"/>
          <w:iCs/>
          <w:spacing w:val="-9"/>
          <w:sz w:val="24"/>
          <w:szCs w:val="24"/>
        </w:rPr>
        <w:t xml:space="preserve"> се наблюдават при засягането на доминантното полукълбо. При увреждане на недоминантното полукълбо хемиплегията се съчетава понякога с анозогнозия. Наблюдават се </w:t>
      </w:r>
      <w:r w:rsidRPr="00AE47C6">
        <w:rPr>
          <w:rFonts w:ascii="Times New Roman" w:eastAsia="SimSun" w:hAnsi="Times New Roman"/>
          <w:i/>
          <w:iCs/>
          <w:spacing w:val="-9"/>
          <w:sz w:val="24"/>
          <w:szCs w:val="24"/>
        </w:rPr>
        <w:t>парциални епилептични пристъпи</w:t>
      </w:r>
      <w:r w:rsidRPr="00AE47C6">
        <w:rPr>
          <w:rFonts w:ascii="Times New Roman" w:eastAsia="SimSun" w:hAnsi="Times New Roman"/>
          <w:iCs/>
          <w:spacing w:val="-9"/>
          <w:sz w:val="24"/>
          <w:szCs w:val="24"/>
        </w:rPr>
        <w:t xml:space="preserve"> на лицето и крайниците на засегнатата страна. При по-предно разположение на хематома хемипарезата е по-лека и към симптоматиката може да се добави </w:t>
      </w:r>
      <w:r w:rsidRPr="00AE47C6">
        <w:rPr>
          <w:rFonts w:ascii="Times New Roman" w:eastAsia="SimSun" w:hAnsi="Times New Roman"/>
          <w:i/>
          <w:iCs/>
          <w:spacing w:val="-9"/>
          <w:sz w:val="24"/>
          <w:szCs w:val="24"/>
        </w:rPr>
        <w:t>абулия, хеминеглект, двигателно непостоянство или моторна афазия</w:t>
      </w:r>
      <w:r w:rsidRPr="00AE47C6">
        <w:rPr>
          <w:rFonts w:ascii="Times New Roman" w:eastAsia="SimSun" w:hAnsi="Times New Roman"/>
          <w:iCs/>
          <w:spacing w:val="-9"/>
          <w:sz w:val="24"/>
          <w:szCs w:val="24"/>
        </w:rPr>
        <w:t xml:space="preserve"> при засягане на доминантната хемисфера. По-задното разположение на хематома също е свързано с по-лека хемипареза, хемианопсия, сетивна отпадна симптоматика, анозогнозия или сензорна афазия при засягане на доминантната хемисфера. </w:t>
      </w:r>
    </w:p>
    <w:p w14:paraId="0239602D"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iCs/>
          <w:spacing w:val="-9"/>
          <w:sz w:val="24"/>
          <w:szCs w:val="24"/>
        </w:rPr>
        <w:t>При кръвоизлив в nucleus caudatus със засягане на capsula interna клиничната картина съвпада с тази на латералните кръвоизливи. При пробив в латералния вентрикул се наблюдават количествени и качествени нарушения на съзнанието.</w:t>
      </w:r>
    </w:p>
    <w:p w14:paraId="6E2B618E"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b/>
          <w:i/>
          <w:iCs/>
          <w:spacing w:val="-9"/>
          <w:sz w:val="24"/>
          <w:szCs w:val="24"/>
        </w:rPr>
        <w:t>Капсуло - медиалните кръвоизливи</w:t>
      </w:r>
      <w:r w:rsidRPr="00AE47C6">
        <w:rPr>
          <w:rFonts w:ascii="Times New Roman" w:eastAsia="SimSun" w:hAnsi="Times New Roman"/>
          <w:iCs/>
          <w:spacing w:val="-9"/>
          <w:sz w:val="24"/>
          <w:szCs w:val="24"/>
        </w:rPr>
        <w:t xml:space="preserve"> разрушават напълно или частично thalamus и понякога части от средния мозък, capsula interna и опашката на nucleus caudatus. Кръвта може да проникне в страничния и по-рядко в III вентрикул. Развиват се остро с </w:t>
      </w:r>
      <w:r w:rsidRPr="00AE47C6">
        <w:rPr>
          <w:rFonts w:ascii="Times New Roman" w:eastAsia="SimSun" w:hAnsi="Times New Roman"/>
          <w:i/>
          <w:iCs/>
          <w:spacing w:val="-9"/>
          <w:sz w:val="24"/>
          <w:szCs w:val="24"/>
        </w:rPr>
        <w:t>общомозъчна и огнищна симптоматика и тежко общо състояние на болния</w:t>
      </w:r>
      <w:r w:rsidRPr="00AE47C6">
        <w:rPr>
          <w:rFonts w:ascii="Times New Roman" w:eastAsia="SimSun" w:hAnsi="Times New Roman"/>
          <w:iCs/>
          <w:spacing w:val="-9"/>
          <w:sz w:val="24"/>
          <w:szCs w:val="24"/>
        </w:rPr>
        <w:t xml:space="preserve">. Увреждането на capsula interna води до изразена </w:t>
      </w:r>
      <w:r w:rsidRPr="00AE47C6">
        <w:rPr>
          <w:rFonts w:ascii="Times New Roman" w:eastAsia="SimSun" w:hAnsi="Times New Roman"/>
          <w:i/>
          <w:iCs/>
          <w:spacing w:val="-9"/>
          <w:sz w:val="24"/>
          <w:szCs w:val="24"/>
        </w:rPr>
        <w:t>хемипареза или хемиплегия</w:t>
      </w:r>
      <w:r w:rsidRPr="00AE47C6">
        <w:rPr>
          <w:rFonts w:ascii="Times New Roman" w:eastAsia="SimSun" w:hAnsi="Times New Roman"/>
          <w:iCs/>
          <w:spacing w:val="-9"/>
          <w:sz w:val="24"/>
          <w:szCs w:val="24"/>
        </w:rPr>
        <w:t xml:space="preserve"> с патологични рефлекси и начално понижен мускулен тонус в засегнатите крайници. </w:t>
      </w:r>
      <w:r w:rsidRPr="00AE47C6">
        <w:rPr>
          <w:rFonts w:ascii="Times New Roman" w:eastAsia="SimSun" w:hAnsi="Times New Roman"/>
          <w:i/>
          <w:iCs/>
          <w:spacing w:val="-9"/>
          <w:sz w:val="24"/>
          <w:szCs w:val="24"/>
        </w:rPr>
        <w:t>Сетивните нарушения</w:t>
      </w:r>
      <w:r w:rsidRPr="00AE47C6">
        <w:rPr>
          <w:rFonts w:ascii="Times New Roman" w:eastAsia="SimSun" w:hAnsi="Times New Roman"/>
          <w:iCs/>
          <w:spacing w:val="-9"/>
          <w:sz w:val="24"/>
          <w:szCs w:val="24"/>
        </w:rPr>
        <w:t xml:space="preserve"> засягат цялата контралатерална половина на тялото, но поради тежкото състояние на болните с промяна в яснотата на съзнанието не могат добре да се откроят. </w:t>
      </w:r>
      <w:r w:rsidRPr="00AE47C6">
        <w:rPr>
          <w:rFonts w:ascii="Times New Roman" w:eastAsia="SimSun" w:hAnsi="Times New Roman"/>
          <w:i/>
          <w:iCs/>
          <w:spacing w:val="-9"/>
          <w:sz w:val="24"/>
          <w:szCs w:val="24"/>
        </w:rPr>
        <w:t>Очедвигателна симптоматика</w:t>
      </w:r>
      <w:r w:rsidRPr="00AE47C6">
        <w:rPr>
          <w:rFonts w:ascii="Times New Roman" w:eastAsia="SimSun" w:hAnsi="Times New Roman"/>
          <w:iCs/>
          <w:spacing w:val="-9"/>
          <w:sz w:val="24"/>
          <w:szCs w:val="24"/>
        </w:rPr>
        <w:t xml:space="preserve"> се наблюдава при засягане на ядрата или коренчетата на ІІІ и ІV КН и на супрануклеарните структури, имащи отношение към вертикалните погледни движения – дивергиращ страбизъм, анизокория с разширяване на зеницата на страната на увреждането и липса на зенична реакция на светлина, тесни зеници, вертикална погледна пареза, разнопосочна девиация и др. При таламични кръвоизливи в доминантното полукълбо се наблюдава </w:t>
      </w:r>
      <w:r w:rsidRPr="00AE47C6">
        <w:rPr>
          <w:rFonts w:ascii="Times New Roman" w:eastAsia="SimSun" w:hAnsi="Times New Roman"/>
          <w:i/>
          <w:iCs/>
          <w:spacing w:val="-9"/>
          <w:sz w:val="24"/>
          <w:szCs w:val="24"/>
        </w:rPr>
        <w:t>сензорна таламична афазия</w:t>
      </w:r>
      <w:r w:rsidRPr="00AE47C6">
        <w:rPr>
          <w:rFonts w:ascii="Times New Roman" w:eastAsia="SimSun" w:hAnsi="Times New Roman"/>
          <w:iCs/>
          <w:spacing w:val="-9"/>
          <w:sz w:val="24"/>
          <w:szCs w:val="24"/>
        </w:rPr>
        <w:t xml:space="preserve">. При засягане на хипоталамичните структури и проникването на кръвта в ІІІ вентрикул се установява повишение на температурата, лабилност на артериалното налягане със склонност към понижаване, тахикардия, вазомоторни нарушения, повишена кръвна захар и др. </w:t>
      </w:r>
    </w:p>
    <w:p w14:paraId="114A822C"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b/>
          <w:i/>
          <w:iCs/>
          <w:spacing w:val="-9"/>
          <w:sz w:val="24"/>
          <w:szCs w:val="24"/>
        </w:rPr>
        <w:t>Лобарни кръвоизливи</w:t>
      </w:r>
      <w:r w:rsidRPr="00AE47C6">
        <w:rPr>
          <w:rFonts w:ascii="Times New Roman" w:eastAsia="SimSun" w:hAnsi="Times New Roman"/>
          <w:i/>
          <w:iCs/>
          <w:spacing w:val="-9"/>
          <w:sz w:val="24"/>
          <w:szCs w:val="24"/>
        </w:rPr>
        <w:t>.</w:t>
      </w:r>
      <w:r w:rsidRPr="00AE47C6">
        <w:rPr>
          <w:rFonts w:ascii="Times New Roman" w:eastAsia="SimSun" w:hAnsi="Times New Roman"/>
          <w:iCs/>
          <w:spacing w:val="-9"/>
          <w:sz w:val="24"/>
          <w:szCs w:val="24"/>
        </w:rPr>
        <w:t xml:space="preserve"> Локализират се в челната, теменната, слепоочната и тилната област на хемисферата без или с проникване на кръвта в субарахноидното пространство. Причиняват се от амилоидна ангиопатия, тумори, малформации и коагулопатии. Заболяването започва остро, с  главоболие, гадене и повръщане, понякога и епилептични гърчове – парциални или генерализирани. Особености на лобарните кръвоизливи са по-леките количествените нарушения на съзнанието, по-слабо изразените двигателни нарушения поради отдалечеността на лобарните кръвоизливи от двигателните пътища и по-добрата прогноза. </w:t>
      </w:r>
    </w:p>
    <w:p w14:paraId="727086A8"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b/>
          <w:i/>
          <w:iCs/>
          <w:spacing w:val="-9"/>
          <w:sz w:val="24"/>
          <w:szCs w:val="24"/>
        </w:rPr>
        <w:t>Стволови кръвоизливи</w:t>
      </w:r>
      <w:r w:rsidRPr="00AE47C6">
        <w:rPr>
          <w:rFonts w:ascii="Times New Roman" w:eastAsia="SimSun" w:hAnsi="Times New Roman"/>
          <w:i/>
          <w:iCs/>
          <w:spacing w:val="-9"/>
          <w:sz w:val="24"/>
          <w:szCs w:val="24"/>
        </w:rPr>
        <w:t>.</w:t>
      </w:r>
      <w:r w:rsidRPr="00AE47C6">
        <w:rPr>
          <w:rFonts w:ascii="Times New Roman" w:eastAsia="SimSun" w:hAnsi="Times New Roman"/>
          <w:iCs/>
          <w:spacing w:val="-9"/>
          <w:sz w:val="24"/>
          <w:szCs w:val="24"/>
        </w:rPr>
        <w:t xml:space="preserve"> Наблюдават се най-често в моста и по-рядко в средния мозък. Често се усложняват с пробив на кръвта към вентрикулната система и остра вътрешна хидроцефалия. Клинично се характеризират с остро начало, упорито повръщане бързо развитие на коматозно състояние и твърде често- с бърз смъртен изход. При неврологичното изследване се установяват централна тетраплегия или хемиплегия, понякога алтерниращи парализи, двустранно много тесни, но реагиращи на светлина зеници, дивергиращ страбизъм, погледна парализа с адверзивно отклонение на очните ябълки към страната на парализираните крайници и др. Понякога възникват тонични гърчове и децеребрационна спастичност. От най-ранните стадии се развиват тежки нарушения на виталните функции поради разстройства на централната им регулация. </w:t>
      </w:r>
    </w:p>
    <w:p w14:paraId="61EACF78"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b/>
          <w:i/>
          <w:iCs/>
          <w:spacing w:val="-9"/>
          <w:sz w:val="24"/>
          <w:szCs w:val="24"/>
        </w:rPr>
        <w:t>Малкомозъчни кръвоизливи</w:t>
      </w:r>
      <w:r w:rsidRPr="00AE47C6">
        <w:rPr>
          <w:rFonts w:ascii="Times New Roman" w:eastAsia="SimSun" w:hAnsi="Times New Roman"/>
          <w:iCs/>
          <w:spacing w:val="-9"/>
          <w:sz w:val="24"/>
          <w:szCs w:val="24"/>
        </w:rPr>
        <w:t xml:space="preserve">. Клиничната симптоматика се определя от големината и локализацията на хематома в паренхима на малкия мозък и от проникването на кръвта към ІV вентрикул или към субарахноидното пространство. Развиват се дислокация и компресия на мозъчния ствол и повишено вътречерепно налягане от обема на хематома, обтурацията на ликворопроводящите пътища и развиващия се тежък мозъчен оток. Малкомозъчният кръвоизлив започва внезапно със силно главоболие, гадене, повръщане, виене на свят, нарушено равновесие и дизартрия. Сравнително бързо се развиват количествени нарушения на съзнанието. Развитието на коматозно състояние и дихателни нарушения са лош прогностичен признак и в тези случаи дори хирургичното лечение рядко е успешно. </w:t>
      </w:r>
    </w:p>
    <w:p w14:paraId="082612ED"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iCs/>
          <w:spacing w:val="-9"/>
          <w:sz w:val="24"/>
          <w:szCs w:val="24"/>
        </w:rPr>
      </w:pPr>
      <w:r w:rsidRPr="00AE47C6">
        <w:rPr>
          <w:rFonts w:ascii="Times New Roman" w:eastAsia="SimSun" w:hAnsi="Times New Roman"/>
          <w:b/>
          <w:iCs/>
          <w:spacing w:val="-9"/>
          <w:sz w:val="24"/>
          <w:szCs w:val="24"/>
        </w:rPr>
        <w:t xml:space="preserve">Изследвания </w:t>
      </w:r>
    </w:p>
    <w:p w14:paraId="37B0C9E4"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iCs/>
          <w:spacing w:val="-9"/>
          <w:sz w:val="24"/>
          <w:szCs w:val="24"/>
        </w:rPr>
        <w:t xml:space="preserve">Необходимо е първоначална оценка на тежестта на ПМК (клас І, ниво B), както и бързо изобразяващо изследване КТ или МРИ (клас І, ниво А). </w:t>
      </w:r>
    </w:p>
    <w:p w14:paraId="143E07B9"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b/>
          <w:i/>
          <w:iCs/>
          <w:spacing w:val="-9"/>
          <w:sz w:val="24"/>
          <w:szCs w:val="24"/>
        </w:rPr>
        <w:t>- КТ на главния мозък</w:t>
      </w:r>
      <w:r w:rsidRPr="00AE47C6">
        <w:rPr>
          <w:rFonts w:ascii="Times New Roman" w:eastAsia="SimSun" w:hAnsi="Times New Roman"/>
          <w:iCs/>
          <w:spacing w:val="-9"/>
          <w:sz w:val="24"/>
          <w:szCs w:val="24"/>
        </w:rPr>
        <w:t xml:space="preserve"> е метод на избор за диагностициране на ПМК, който визуализира и проследява хематома от възникване до пълната му резорбция, както и мозъчни усложнения – проникването на кръвта в ликворните пространства, развитието на перифокален и дифузен мозъчен оток, изместването на срединните мозъчни структури, обтурацията на ликворните пътища и развитието на хидроцефалия. МРИ не може да визуализира ясно образа на хематома през първите дни след кръвоизлива, тъй като оксихемоглобинът е с диамагнитни свойства, а впоследствие той е “тъмен” при Т</w:t>
      </w:r>
      <w:r w:rsidRPr="00AE47C6">
        <w:rPr>
          <w:rFonts w:ascii="Times New Roman" w:eastAsia="SimSun" w:hAnsi="Times New Roman"/>
          <w:iCs/>
          <w:spacing w:val="-9"/>
          <w:sz w:val="24"/>
          <w:szCs w:val="24"/>
          <w:vertAlign w:val="subscript"/>
        </w:rPr>
        <w:t>2</w:t>
      </w:r>
      <w:r w:rsidRPr="00AE47C6">
        <w:rPr>
          <w:rFonts w:ascii="Times New Roman" w:eastAsia="SimSun" w:hAnsi="Times New Roman"/>
          <w:iCs/>
          <w:spacing w:val="-9"/>
          <w:sz w:val="24"/>
          <w:szCs w:val="24"/>
        </w:rPr>
        <w:t xml:space="preserve"> и “ярък” при Т</w:t>
      </w:r>
      <w:r w:rsidRPr="00AE47C6">
        <w:rPr>
          <w:rFonts w:ascii="Times New Roman" w:eastAsia="SimSun" w:hAnsi="Times New Roman"/>
          <w:iCs/>
          <w:spacing w:val="-9"/>
          <w:sz w:val="24"/>
          <w:szCs w:val="24"/>
          <w:vertAlign w:val="subscript"/>
        </w:rPr>
        <w:t>1</w:t>
      </w:r>
      <w:r w:rsidRPr="00AE47C6">
        <w:rPr>
          <w:rFonts w:ascii="Times New Roman" w:eastAsia="SimSun" w:hAnsi="Times New Roman"/>
          <w:iCs/>
          <w:spacing w:val="-9"/>
          <w:sz w:val="24"/>
          <w:szCs w:val="24"/>
        </w:rPr>
        <w:t xml:space="preserve"> изображение. </w:t>
      </w:r>
    </w:p>
    <w:p w14:paraId="2ABAFA28"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iCs/>
          <w:spacing w:val="-9"/>
          <w:sz w:val="24"/>
          <w:szCs w:val="24"/>
        </w:rPr>
        <w:t xml:space="preserve">- С изследване на </w:t>
      </w:r>
      <w:r w:rsidRPr="00AE47C6">
        <w:rPr>
          <w:rFonts w:ascii="Times New Roman" w:eastAsia="SimSun" w:hAnsi="Times New Roman"/>
          <w:i/>
          <w:iCs/>
          <w:spacing w:val="-9"/>
          <w:sz w:val="24"/>
          <w:szCs w:val="24"/>
        </w:rPr>
        <w:t>очните дъна</w:t>
      </w:r>
      <w:r w:rsidRPr="00AE47C6">
        <w:rPr>
          <w:rFonts w:ascii="Times New Roman" w:eastAsia="SimSun" w:hAnsi="Times New Roman"/>
          <w:iCs/>
          <w:spacing w:val="-9"/>
          <w:sz w:val="24"/>
          <w:szCs w:val="24"/>
        </w:rPr>
        <w:t xml:space="preserve"> може да се установи оток на папилите, дифузен спазъм на съдовете, хипертонична ангиопатия и пресни кръвоизливи в ретината, които са по-чести при субарахноидни или травматични кръвоизливи. </w:t>
      </w:r>
    </w:p>
    <w:p w14:paraId="621BA1FA"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iCs/>
          <w:spacing w:val="-9"/>
          <w:sz w:val="24"/>
          <w:szCs w:val="24"/>
        </w:rPr>
        <w:t xml:space="preserve">- Установяването на </w:t>
      </w:r>
      <w:r w:rsidRPr="00AE47C6">
        <w:rPr>
          <w:rFonts w:ascii="Times New Roman" w:eastAsia="SimSun" w:hAnsi="Times New Roman"/>
          <w:i/>
          <w:iCs/>
          <w:spacing w:val="-9"/>
          <w:sz w:val="24"/>
          <w:szCs w:val="24"/>
        </w:rPr>
        <w:t>кървав или ксантохромен ликвор</w:t>
      </w:r>
      <w:r w:rsidRPr="00AE47C6">
        <w:rPr>
          <w:rFonts w:ascii="Times New Roman" w:eastAsia="SimSun" w:hAnsi="Times New Roman"/>
          <w:iCs/>
          <w:spacing w:val="-9"/>
          <w:sz w:val="24"/>
          <w:szCs w:val="24"/>
        </w:rPr>
        <w:t xml:space="preserve"> е честа находка при ПМК с различна локализация (при 90% от случаите). </w:t>
      </w:r>
    </w:p>
    <w:p w14:paraId="5921DEAB"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iCs/>
          <w:spacing w:val="-9"/>
          <w:sz w:val="24"/>
          <w:szCs w:val="24"/>
        </w:rPr>
        <w:t xml:space="preserve">- </w:t>
      </w:r>
      <w:r w:rsidRPr="00AE47C6">
        <w:rPr>
          <w:rFonts w:ascii="Times New Roman" w:eastAsia="SimSun" w:hAnsi="Times New Roman"/>
          <w:i/>
          <w:iCs/>
          <w:spacing w:val="-9"/>
          <w:sz w:val="24"/>
          <w:szCs w:val="24"/>
        </w:rPr>
        <w:t>ЕЕГ</w:t>
      </w:r>
      <w:r w:rsidRPr="00AE47C6">
        <w:rPr>
          <w:rFonts w:ascii="Times New Roman" w:eastAsia="SimSun" w:hAnsi="Times New Roman"/>
          <w:iCs/>
          <w:spacing w:val="-9"/>
          <w:sz w:val="24"/>
          <w:szCs w:val="24"/>
        </w:rPr>
        <w:t xml:space="preserve"> при ПМК има стойност при внезапно настъпили количествени нарушения на съзнанието, гърчове или възможна мозъчна смърт. </w:t>
      </w:r>
    </w:p>
    <w:p w14:paraId="036820B7"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i/>
          <w:iCs/>
          <w:spacing w:val="-9"/>
          <w:sz w:val="24"/>
          <w:szCs w:val="24"/>
        </w:rPr>
        <w:t>- Мозъчната ангиография</w:t>
      </w:r>
      <w:r w:rsidRPr="00AE47C6">
        <w:rPr>
          <w:rFonts w:ascii="Times New Roman" w:eastAsia="SimSun" w:hAnsi="Times New Roman"/>
          <w:iCs/>
          <w:spacing w:val="-9"/>
          <w:sz w:val="24"/>
          <w:szCs w:val="24"/>
        </w:rPr>
        <w:t xml:space="preserve"> дава данни за дислокацията на мозъчните съдове в съчетание с безсъдова зона в определена област на мозъчния паренхим. Може да визуализира съдови малформации, етиологично свързани с ПМК. </w:t>
      </w:r>
    </w:p>
    <w:p w14:paraId="4CBBB0BF" w14:textId="77777777" w:rsidR="00BE0B19" w:rsidRPr="00AE47C6" w:rsidRDefault="00BE0B19" w:rsidP="00BE0B19">
      <w:pPr>
        <w:shd w:val="clear" w:color="auto" w:fill="FFFFFF"/>
        <w:spacing w:after="0" w:line="360" w:lineRule="auto"/>
        <w:ind w:firstLine="720"/>
        <w:jc w:val="both"/>
        <w:rPr>
          <w:rFonts w:ascii="Times New Roman" w:eastAsia="SimSun" w:hAnsi="Times New Roman"/>
          <w:i/>
          <w:iCs/>
          <w:spacing w:val="-9"/>
          <w:sz w:val="24"/>
          <w:szCs w:val="24"/>
        </w:rPr>
      </w:pPr>
      <w:r w:rsidRPr="00AE47C6">
        <w:rPr>
          <w:rFonts w:ascii="Times New Roman" w:eastAsia="SimSun" w:hAnsi="Times New Roman"/>
          <w:b/>
          <w:iCs/>
          <w:spacing w:val="-9"/>
          <w:sz w:val="24"/>
          <w:szCs w:val="24"/>
        </w:rPr>
        <w:t>Диференциалната диагноза</w:t>
      </w:r>
    </w:p>
    <w:p w14:paraId="577865EE"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i/>
          <w:iCs/>
          <w:spacing w:val="-9"/>
          <w:sz w:val="24"/>
          <w:szCs w:val="24"/>
        </w:rPr>
        <w:t>Кома при исхемичен мозъчен инсулт</w:t>
      </w:r>
      <w:r w:rsidRPr="00AE47C6">
        <w:rPr>
          <w:rFonts w:ascii="Times New Roman" w:eastAsia="SimSun" w:hAnsi="Times New Roman"/>
          <w:iCs/>
          <w:spacing w:val="-9"/>
          <w:sz w:val="24"/>
          <w:szCs w:val="24"/>
        </w:rPr>
        <w:t xml:space="preserve"> или </w:t>
      </w:r>
      <w:r w:rsidRPr="00AE47C6">
        <w:rPr>
          <w:rFonts w:ascii="Times New Roman" w:eastAsia="SimSun" w:hAnsi="Times New Roman"/>
          <w:i/>
          <w:iCs/>
          <w:spacing w:val="-9"/>
          <w:sz w:val="24"/>
          <w:szCs w:val="24"/>
        </w:rPr>
        <w:t>друго заболяване</w:t>
      </w:r>
      <w:r w:rsidRPr="00AE47C6">
        <w:rPr>
          <w:rFonts w:ascii="Times New Roman" w:eastAsia="SimSun" w:hAnsi="Times New Roman"/>
          <w:iCs/>
          <w:spacing w:val="-9"/>
          <w:sz w:val="24"/>
          <w:szCs w:val="24"/>
        </w:rPr>
        <w:t xml:space="preserve"> – тумор или абсцес на мозъка, остър или хроничен субдурален, епидурален и интрацеребрален травматичен хематом, субарахноиден кръвоизлив, енцефалит, епилептичен статус или соматични заболявания (хипогликемия, хипергликемия, хиперосмоларен синдром). Характерно за комата при ПМК е нейното внезапно настъпване, бързото развитие на тежката общомозъчна симптоматика и огнищни неврологични симптоми насочват към ПМК. </w:t>
      </w:r>
    </w:p>
    <w:p w14:paraId="40EB2D6F" w14:textId="77777777" w:rsidR="00BE0B19" w:rsidRPr="00AE47C6" w:rsidRDefault="00BE0B19" w:rsidP="00BE0B19">
      <w:pPr>
        <w:shd w:val="clear" w:color="auto" w:fill="FFFFFF"/>
        <w:spacing w:after="0" w:line="360" w:lineRule="auto"/>
        <w:ind w:firstLine="720"/>
        <w:jc w:val="both"/>
        <w:rPr>
          <w:rFonts w:ascii="Times New Roman" w:eastAsia="SimSun" w:hAnsi="Times New Roman"/>
          <w:iCs/>
          <w:spacing w:val="-9"/>
          <w:sz w:val="24"/>
          <w:szCs w:val="24"/>
        </w:rPr>
      </w:pPr>
      <w:r w:rsidRPr="00AE47C6">
        <w:rPr>
          <w:rFonts w:ascii="Times New Roman" w:eastAsia="SimSun" w:hAnsi="Times New Roman"/>
          <w:iCs/>
          <w:spacing w:val="-9"/>
          <w:sz w:val="24"/>
          <w:szCs w:val="24"/>
        </w:rPr>
        <w:t xml:space="preserve">Необходимо е първоначална оценка на тежестта на ПМК (клас І, ниво B), както и бързо изобразяващо изследване КТ или МР (клас І, ниво А). </w:t>
      </w:r>
    </w:p>
    <w:p w14:paraId="193ACA3A"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4"/>
          <w:sz w:val="24"/>
          <w:szCs w:val="24"/>
        </w:rPr>
      </w:pPr>
      <w:r w:rsidRPr="00AE47C6">
        <w:rPr>
          <w:rFonts w:ascii="Times New Roman" w:eastAsia="SimSun" w:hAnsi="Times New Roman"/>
          <w:b/>
          <w:iCs/>
          <w:spacing w:val="-9"/>
          <w:sz w:val="24"/>
          <w:szCs w:val="24"/>
        </w:rPr>
        <w:t xml:space="preserve">Консервативното лечение </w:t>
      </w:r>
      <w:r w:rsidRPr="00AE47C6">
        <w:rPr>
          <w:rFonts w:ascii="Times New Roman" w:eastAsia="SimSun" w:hAnsi="Times New Roman"/>
          <w:spacing w:val="-9"/>
          <w:sz w:val="24"/>
          <w:szCs w:val="24"/>
        </w:rPr>
        <w:t>включва преди всичко лечение на основното заболя</w:t>
      </w:r>
      <w:r w:rsidRPr="00AE47C6">
        <w:rPr>
          <w:rFonts w:ascii="Times New Roman" w:eastAsia="SimSun" w:hAnsi="Times New Roman"/>
          <w:spacing w:val="-5"/>
          <w:sz w:val="24"/>
          <w:szCs w:val="24"/>
        </w:rPr>
        <w:t>ване, довело до развитие на мозъчен кръвоизлив (етиологично лечение) и ин</w:t>
      </w:r>
      <w:r w:rsidRPr="00AE47C6">
        <w:rPr>
          <w:rFonts w:ascii="Times New Roman" w:eastAsia="SimSun" w:hAnsi="Times New Roman"/>
          <w:spacing w:val="-4"/>
          <w:sz w:val="24"/>
          <w:szCs w:val="24"/>
        </w:rPr>
        <w:t>тензивно лечение.</w:t>
      </w:r>
    </w:p>
    <w:p w14:paraId="7F6CD0CF"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pacing w:val="-4"/>
          <w:sz w:val="24"/>
          <w:szCs w:val="24"/>
        </w:rPr>
      </w:pPr>
      <w:r w:rsidRPr="00AE47C6">
        <w:rPr>
          <w:rFonts w:ascii="Times New Roman" w:eastAsia="SimSun" w:hAnsi="Times New Roman"/>
          <w:spacing w:val="-4"/>
          <w:sz w:val="24"/>
          <w:szCs w:val="24"/>
        </w:rPr>
        <w:t xml:space="preserve">При лечение с новите перорални антикоагуланти може да се предизвика ПМК. </w:t>
      </w:r>
    </w:p>
    <w:p w14:paraId="0C9388D1"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pacing w:val="-4"/>
          <w:sz w:val="24"/>
          <w:szCs w:val="24"/>
        </w:rPr>
      </w:pPr>
      <w:r w:rsidRPr="00AE47C6">
        <w:rPr>
          <w:rFonts w:ascii="Times New Roman" w:eastAsia="SimSun" w:hAnsi="Times New Roman"/>
          <w:spacing w:val="-4"/>
          <w:sz w:val="24"/>
          <w:szCs w:val="24"/>
        </w:rPr>
        <w:t xml:space="preserve">При хемодиализа се препоръчва dabigatran (клас ІІb, ниво С). </w:t>
      </w:r>
    </w:p>
    <w:p w14:paraId="12F477E5"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pacing w:val="-4"/>
          <w:sz w:val="24"/>
          <w:szCs w:val="24"/>
        </w:rPr>
      </w:pPr>
      <w:r w:rsidRPr="00AE47C6">
        <w:rPr>
          <w:rFonts w:ascii="Times New Roman" w:eastAsia="SimSun" w:hAnsi="Times New Roman"/>
          <w:spacing w:val="-4"/>
          <w:sz w:val="24"/>
          <w:szCs w:val="24"/>
        </w:rPr>
        <w:t xml:space="preserve">При болни, получавали хепарин и развили ПМК, се включва protamine sulfat (клас ІІb, ниво С). </w:t>
      </w:r>
    </w:p>
    <w:p w14:paraId="47A847FC"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pacing w:val="-4"/>
          <w:sz w:val="24"/>
          <w:szCs w:val="24"/>
        </w:rPr>
      </w:pPr>
      <w:r w:rsidRPr="00AE47C6">
        <w:rPr>
          <w:rFonts w:ascii="Times New Roman" w:eastAsia="SimSun" w:hAnsi="Times New Roman"/>
          <w:spacing w:val="-4"/>
          <w:sz w:val="24"/>
          <w:szCs w:val="24"/>
        </w:rPr>
        <w:t xml:space="preserve">Използването на тромбоцитна маса при болни с тромбоцитопения е с несигурна ефективност (клас ІІb, ниво С). </w:t>
      </w:r>
    </w:p>
    <w:p w14:paraId="1DDE6671"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pacing w:val="-4"/>
          <w:sz w:val="24"/>
          <w:szCs w:val="24"/>
        </w:rPr>
      </w:pPr>
      <w:r w:rsidRPr="00AE47C6">
        <w:rPr>
          <w:rFonts w:ascii="Times New Roman" w:eastAsia="SimSun" w:hAnsi="Times New Roman"/>
          <w:spacing w:val="-4"/>
          <w:sz w:val="24"/>
          <w:szCs w:val="24"/>
        </w:rPr>
        <w:t>Ниски дози на нискомолекулен хепарин подкожно се препоръчва след спиране на кръвоизлива за профилактика на венозна тромбоза и тромбемболия (клас ІІb, ниво В).</w:t>
      </w:r>
    </w:p>
    <w:p w14:paraId="780CB2FF"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pacing w:val="-4"/>
          <w:sz w:val="24"/>
          <w:szCs w:val="24"/>
        </w:rPr>
      </w:pPr>
      <w:r w:rsidRPr="00AE47C6">
        <w:rPr>
          <w:rFonts w:ascii="Times New Roman" w:eastAsia="SimSun" w:hAnsi="Times New Roman"/>
          <w:spacing w:val="-4"/>
          <w:sz w:val="24"/>
          <w:szCs w:val="24"/>
        </w:rPr>
        <w:t xml:space="preserve">За болни с ПМК, със систолично артериално налягане между 150 и 220 mm Hg и без контраиндикации за остро понижение на артериалното налягане до 140 mm Hg, което е безопасно (клас І, ниво А). </w:t>
      </w:r>
    </w:p>
    <w:p w14:paraId="1A3BD873"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pacing w:val="-4"/>
          <w:sz w:val="24"/>
          <w:szCs w:val="24"/>
        </w:rPr>
      </w:pPr>
      <w:r w:rsidRPr="00AE47C6">
        <w:rPr>
          <w:rFonts w:ascii="Times New Roman" w:eastAsia="SimSun" w:hAnsi="Times New Roman"/>
          <w:spacing w:val="-4"/>
          <w:sz w:val="24"/>
          <w:szCs w:val="24"/>
        </w:rPr>
        <w:t>При екстремно високо артериално налягане над 220 mm Hg е уместно агресивно снижаване с постоянна интравенозна инфузия и често измерване на налягането (клас ІІb, ниво С).</w:t>
      </w:r>
    </w:p>
    <w:p w14:paraId="04EB7857"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pacing w:val="-4"/>
          <w:sz w:val="24"/>
          <w:szCs w:val="24"/>
        </w:rPr>
      </w:pPr>
      <w:r w:rsidRPr="00AE47C6">
        <w:rPr>
          <w:rFonts w:ascii="Times New Roman" w:eastAsia="SimSun" w:hAnsi="Times New Roman"/>
          <w:spacing w:val="-4"/>
          <w:sz w:val="24"/>
          <w:szCs w:val="24"/>
        </w:rPr>
        <w:t>Епилептичните гърчове при ПМК се лекуват с антиепилептични средства (клас І, ниво А). Не се препоръчва профилактика с антиепилептични медикаменти (клас ІІІ, ниво В).</w:t>
      </w:r>
    </w:p>
    <w:p w14:paraId="58745CCC"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4"/>
          <w:sz w:val="24"/>
          <w:szCs w:val="24"/>
        </w:rPr>
      </w:pPr>
      <w:r w:rsidRPr="00AE47C6">
        <w:rPr>
          <w:rFonts w:ascii="Times New Roman" w:eastAsia="SimSun" w:hAnsi="Times New Roman"/>
          <w:b/>
          <w:spacing w:val="-4"/>
          <w:sz w:val="24"/>
          <w:szCs w:val="24"/>
        </w:rPr>
        <w:t>Лечение на усложненията</w:t>
      </w:r>
      <w:r w:rsidRPr="00AE47C6">
        <w:rPr>
          <w:rFonts w:ascii="Times New Roman" w:eastAsia="SimSun" w:hAnsi="Times New Roman"/>
          <w:spacing w:val="-4"/>
          <w:sz w:val="24"/>
          <w:szCs w:val="24"/>
        </w:rPr>
        <w:t xml:space="preserve">. </w:t>
      </w:r>
    </w:p>
    <w:p w14:paraId="0318EAFC"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pacing w:val="-4"/>
          <w:sz w:val="24"/>
          <w:szCs w:val="24"/>
        </w:rPr>
      </w:pPr>
      <w:r w:rsidRPr="00AE47C6">
        <w:rPr>
          <w:rFonts w:ascii="Times New Roman" w:eastAsia="SimSun" w:hAnsi="Times New Roman"/>
          <w:spacing w:val="-4"/>
          <w:sz w:val="24"/>
          <w:szCs w:val="24"/>
        </w:rPr>
        <w:t xml:space="preserve">Преди да се започне хранене през устата е необходимо да се извърши преценка за наличие на дисфагия (клас І, ниво В). </w:t>
      </w:r>
    </w:p>
    <w:p w14:paraId="6DFB7619"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pacing w:val="-4"/>
          <w:sz w:val="24"/>
          <w:szCs w:val="24"/>
        </w:rPr>
      </w:pPr>
      <w:r w:rsidRPr="00AE47C6">
        <w:rPr>
          <w:rFonts w:ascii="Times New Roman" w:eastAsia="SimSun" w:hAnsi="Times New Roman"/>
          <w:spacing w:val="-4"/>
          <w:sz w:val="24"/>
          <w:szCs w:val="24"/>
        </w:rPr>
        <w:t xml:space="preserve">Да се извършва системен скрининг за миокардна исхемия или миокарден инфаркт (клас ІІа, ниво С). </w:t>
      </w:r>
    </w:p>
    <w:p w14:paraId="62EE91E5"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pacing w:val="-4"/>
          <w:sz w:val="24"/>
          <w:szCs w:val="24"/>
        </w:rPr>
      </w:pPr>
      <w:r w:rsidRPr="00AE47C6">
        <w:rPr>
          <w:rFonts w:ascii="Times New Roman" w:eastAsia="SimSun" w:hAnsi="Times New Roman"/>
          <w:spacing w:val="-4"/>
          <w:sz w:val="24"/>
          <w:szCs w:val="24"/>
        </w:rPr>
        <w:t xml:space="preserve">При необходимост се прилагат аналгетици, антипиретици и др. </w:t>
      </w:r>
    </w:p>
    <w:p w14:paraId="755FF5D9"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pacing w:val="-4"/>
          <w:sz w:val="24"/>
          <w:szCs w:val="24"/>
        </w:rPr>
      </w:pPr>
      <w:r w:rsidRPr="00AE47C6">
        <w:rPr>
          <w:rFonts w:ascii="Times New Roman" w:eastAsia="SimSun" w:hAnsi="Times New Roman"/>
          <w:spacing w:val="-4"/>
          <w:sz w:val="24"/>
          <w:szCs w:val="24"/>
        </w:rPr>
        <w:t xml:space="preserve">При хидроцефалия се използва вентрикулен дренаж (клас ІІа, ниво В). </w:t>
      </w:r>
    </w:p>
    <w:p w14:paraId="7D67891A"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pacing w:val="-4"/>
          <w:sz w:val="24"/>
          <w:szCs w:val="24"/>
        </w:rPr>
      </w:pPr>
      <w:r w:rsidRPr="00AE47C6">
        <w:rPr>
          <w:rFonts w:ascii="Times New Roman" w:eastAsia="SimSun" w:hAnsi="Times New Roman"/>
          <w:spacing w:val="-4"/>
          <w:sz w:val="24"/>
          <w:szCs w:val="24"/>
        </w:rPr>
        <w:t>Не се използват кортикостероиди (клас ІІІ, ниво В).</w:t>
      </w:r>
    </w:p>
    <w:p w14:paraId="0803B3A5" w14:textId="77777777" w:rsidR="00BE0B19" w:rsidRPr="00AE47C6" w:rsidRDefault="00BE0B19" w:rsidP="00BE0B19">
      <w:pPr>
        <w:widowControl w:val="0"/>
        <w:numPr>
          <w:ilvl w:val="0"/>
          <w:numId w:val="117"/>
        </w:numPr>
        <w:shd w:val="clear" w:color="auto" w:fill="FFFFFF"/>
        <w:tabs>
          <w:tab w:val="left" w:pos="-360"/>
          <w:tab w:val="left" w:pos="226"/>
        </w:tabs>
        <w:autoSpaceDE w:val="0"/>
        <w:autoSpaceDN w:val="0"/>
        <w:adjustRightInd w:val="0"/>
        <w:spacing w:after="0" w:line="360" w:lineRule="auto"/>
        <w:jc w:val="both"/>
        <w:rPr>
          <w:rFonts w:ascii="Times New Roman" w:eastAsia="SimSun" w:hAnsi="Times New Roman"/>
          <w:spacing w:val="-4"/>
          <w:sz w:val="24"/>
          <w:szCs w:val="24"/>
        </w:rPr>
      </w:pPr>
      <w:r w:rsidRPr="00AE47C6">
        <w:rPr>
          <w:rFonts w:ascii="Times New Roman" w:eastAsia="SimSun" w:hAnsi="Times New Roman"/>
          <w:spacing w:val="-4"/>
          <w:sz w:val="24"/>
          <w:szCs w:val="24"/>
        </w:rPr>
        <w:t xml:space="preserve">При 43% от болните с ПМК се развива интравентрикулна хеморагия. Интравентрикулното приложение на rtPA не е сигурно (клас ІІb, ниво В). Приложението на интравентрикулно ендоскопско лечение също е несигурно. </w:t>
      </w:r>
    </w:p>
    <w:p w14:paraId="110F6489"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b/>
          <w:iCs/>
          <w:spacing w:val="-7"/>
          <w:sz w:val="24"/>
          <w:szCs w:val="24"/>
        </w:rPr>
        <w:t xml:space="preserve">Хирургично лечение. </w:t>
      </w:r>
      <w:r w:rsidRPr="00AE47C6">
        <w:rPr>
          <w:rFonts w:ascii="Times New Roman" w:eastAsia="SimSun" w:hAnsi="Times New Roman"/>
          <w:spacing w:val="-7"/>
          <w:sz w:val="24"/>
          <w:szCs w:val="24"/>
        </w:rPr>
        <w:t>Индикациите са в зависимост от ло</w:t>
      </w:r>
      <w:r w:rsidRPr="00AE47C6">
        <w:rPr>
          <w:rFonts w:ascii="Times New Roman" w:eastAsia="SimSun" w:hAnsi="Times New Roman"/>
          <w:spacing w:val="-2"/>
          <w:sz w:val="24"/>
          <w:szCs w:val="24"/>
        </w:rPr>
        <w:t>кализацията и големината на мозъчния кръвоизлив, от общото състояние и со</w:t>
      </w:r>
      <w:r w:rsidRPr="00AE47C6">
        <w:rPr>
          <w:rFonts w:ascii="Times New Roman" w:eastAsia="SimSun" w:hAnsi="Times New Roman"/>
          <w:spacing w:val="-6"/>
          <w:sz w:val="24"/>
          <w:szCs w:val="24"/>
        </w:rPr>
        <w:t>матичните усложнения на болния. Подходящи за оперативно лечение са малко</w:t>
      </w:r>
      <w:r w:rsidRPr="00AE47C6">
        <w:rPr>
          <w:rFonts w:ascii="Times New Roman" w:eastAsia="SimSun" w:hAnsi="Times New Roman"/>
          <w:sz w:val="24"/>
          <w:szCs w:val="24"/>
        </w:rPr>
        <w:t xml:space="preserve">мозъчните кръвоизливи, които нарастват и блокират вентрикулния дренаж (клас І, ниво В) и лобарните хематоми. </w:t>
      </w:r>
    </w:p>
    <w:p w14:paraId="169099F6"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27" w:name="_Toc155651713"/>
      <w:bookmarkStart w:id="28" w:name="_Toc164075845"/>
      <w:r w:rsidRPr="00AE47C6">
        <w:rPr>
          <w:rFonts w:ascii="Times New Roman" w:eastAsia="SimSun" w:hAnsi="Times New Roman"/>
          <w:b/>
          <w:sz w:val="24"/>
          <w:szCs w:val="20"/>
          <w:lang w:eastAsia="ja-JP"/>
        </w:rPr>
        <w:t>1.5.2. Субарахноиден кръвоизлив (САК)</w:t>
      </w:r>
      <w:bookmarkEnd w:id="27"/>
      <w:bookmarkEnd w:id="28"/>
    </w:p>
    <w:p w14:paraId="446F4311"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4"/>
          <w:sz w:val="24"/>
          <w:szCs w:val="24"/>
        </w:rPr>
      </w:pPr>
      <w:r w:rsidRPr="00AE47C6">
        <w:rPr>
          <w:rFonts w:ascii="Times New Roman" w:eastAsia="SimSun" w:hAnsi="Times New Roman"/>
          <w:spacing w:val="-4"/>
          <w:sz w:val="24"/>
          <w:szCs w:val="24"/>
        </w:rPr>
        <w:t>Относителният дял на спонтанния, първичен субарахноиден кръвоизлив (САК) е 10-12% от всички мозъчни инсулти. Той е четвърти по честота след атеротромботичния, емболичния и първичния хеморагичен инсулт. Медико-социалното му значение се определя от значителната му честота и високия процент на смъртност и инвалидност.</w:t>
      </w:r>
    </w:p>
    <w:p w14:paraId="7B6CAEB3"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spacing w:val="-4"/>
          <w:sz w:val="24"/>
          <w:szCs w:val="24"/>
        </w:rPr>
      </w:pPr>
      <w:r w:rsidRPr="00AE47C6">
        <w:rPr>
          <w:rFonts w:ascii="Times New Roman" w:eastAsia="SimSun" w:hAnsi="Times New Roman"/>
          <w:b/>
          <w:spacing w:val="-4"/>
          <w:sz w:val="24"/>
          <w:szCs w:val="24"/>
        </w:rPr>
        <w:t>Епидемиология</w:t>
      </w:r>
      <w:r w:rsidRPr="00AE47C6">
        <w:rPr>
          <w:rFonts w:ascii="Times New Roman" w:eastAsia="SimSun" w:hAnsi="Times New Roman"/>
          <w:b/>
          <w:i/>
          <w:spacing w:val="-4"/>
          <w:sz w:val="24"/>
          <w:szCs w:val="24"/>
        </w:rPr>
        <w:t>.</w:t>
      </w:r>
      <w:r w:rsidRPr="00AE47C6">
        <w:rPr>
          <w:rFonts w:ascii="Times New Roman" w:eastAsia="SimSun" w:hAnsi="Times New Roman"/>
          <w:spacing w:val="-4"/>
          <w:sz w:val="24"/>
          <w:szCs w:val="24"/>
        </w:rPr>
        <w:t xml:space="preserve"> Честотата на болните от АСАК (аневризмален субарахноиден кръвоизлив) варира между 6 и 16 случаи на 100 000 население годишно. Честотата на руптуриралите аневризми е 1,8%, а на неруптуриралите около 2%. С възрастта честотата на АСАК </w:t>
      </w:r>
      <w:r w:rsidRPr="00AE47C6">
        <w:rPr>
          <w:rFonts w:ascii="Times New Roman" w:eastAsia="SimSun" w:hAnsi="Times New Roman"/>
          <w:b/>
          <w:spacing w:val="-4"/>
          <w:sz w:val="24"/>
          <w:szCs w:val="24"/>
        </w:rPr>
        <w:t>нараства, като максимумът е между 35 и 65 години.</w:t>
      </w:r>
    </w:p>
    <w:p w14:paraId="13770CD4"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4"/>
          <w:sz w:val="24"/>
          <w:szCs w:val="24"/>
        </w:rPr>
      </w:pPr>
      <w:r w:rsidRPr="00AE47C6">
        <w:rPr>
          <w:rFonts w:ascii="Times New Roman" w:eastAsia="SimSun" w:hAnsi="Times New Roman"/>
          <w:b/>
          <w:spacing w:val="-4"/>
          <w:sz w:val="24"/>
          <w:szCs w:val="24"/>
        </w:rPr>
        <w:t>Етиология</w:t>
      </w:r>
      <w:r w:rsidRPr="00AE47C6">
        <w:rPr>
          <w:rFonts w:ascii="Times New Roman" w:eastAsia="SimSun" w:hAnsi="Times New Roman"/>
          <w:spacing w:val="-4"/>
          <w:sz w:val="24"/>
          <w:szCs w:val="24"/>
        </w:rPr>
        <w:t xml:space="preserve">. Основен етиологичен фактор е руптура на торбовидна аневризма – </w:t>
      </w:r>
      <w:r w:rsidRPr="00AE47C6">
        <w:rPr>
          <w:rFonts w:ascii="Times New Roman" w:eastAsia="SimSun" w:hAnsi="Times New Roman"/>
          <w:i/>
          <w:spacing w:val="-4"/>
          <w:sz w:val="24"/>
          <w:szCs w:val="24"/>
        </w:rPr>
        <w:t>аневризмален субарахноиден кръвоизлив (АСАК).</w:t>
      </w:r>
      <w:r w:rsidRPr="00AE47C6">
        <w:rPr>
          <w:rFonts w:ascii="Times New Roman" w:eastAsia="SimSun" w:hAnsi="Times New Roman"/>
          <w:spacing w:val="-4"/>
          <w:sz w:val="24"/>
          <w:szCs w:val="24"/>
        </w:rPr>
        <w:t xml:space="preserve"> Аневризмите са разположени най-често по артериалните съдове в основата на мозъка при около 60% от случаите. При 7% САК се дължи на </w:t>
      </w:r>
      <w:r w:rsidRPr="00AE47C6">
        <w:rPr>
          <w:rFonts w:ascii="Times New Roman" w:eastAsia="SimSun" w:hAnsi="Times New Roman"/>
          <w:i/>
          <w:spacing w:val="-4"/>
          <w:sz w:val="24"/>
          <w:szCs w:val="24"/>
        </w:rPr>
        <w:t>артерио-венозни малформации</w:t>
      </w:r>
      <w:r w:rsidRPr="00AE47C6">
        <w:rPr>
          <w:rFonts w:ascii="Times New Roman" w:eastAsia="SimSun" w:hAnsi="Times New Roman"/>
          <w:spacing w:val="-4"/>
          <w:sz w:val="24"/>
          <w:szCs w:val="24"/>
        </w:rPr>
        <w:t>, 34% е последица от други заболявания или причината е неизвестна.</w:t>
      </w:r>
    </w:p>
    <w:p w14:paraId="5933E7F9"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4"/>
          <w:sz w:val="24"/>
          <w:szCs w:val="24"/>
        </w:rPr>
      </w:pPr>
      <w:r w:rsidRPr="00AE47C6">
        <w:rPr>
          <w:rFonts w:ascii="Times New Roman" w:eastAsia="SimSun" w:hAnsi="Times New Roman"/>
          <w:spacing w:val="-4"/>
          <w:sz w:val="24"/>
          <w:szCs w:val="24"/>
        </w:rPr>
        <w:t xml:space="preserve">Етиопатогенезата на мозъчните аневризми както и факторите, водещи до руптурата им, остават неизвестни и противоречиви. Отдава се значение на следните фактори: </w:t>
      </w:r>
    </w:p>
    <w:p w14:paraId="375715D2" w14:textId="77777777" w:rsidR="00BE0B19" w:rsidRPr="00AE47C6" w:rsidRDefault="00BE0B19" w:rsidP="00BE0B19">
      <w:pPr>
        <w:numPr>
          <w:ilvl w:val="0"/>
          <w:numId w:val="46"/>
        </w:numPr>
        <w:shd w:val="clear" w:color="auto" w:fill="FFFFFF"/>
        <w:spacing w:after="0" w:line="360" w:lineRule="auto"/>
        <w:jc w:val="both"/>
        <w:rPr>
          <w:rFonts w:ascii="Times New Roman" w:eastAsia="SimSun" w:hAnsi="Times New Roman"/>
          <w:spacing w:val="-4"/>
          <w:sz w:val="24"/>
          <w:szCs w:val="24"/>
        </w:rPr>
      </w:pPr>
      <w:r w:rsidRPr="00AE47C6">
        <w:rPr>
          <w:rFonts w:ascii="Times New Roman" w:eastAsia="SimSun" w:hAnsi="Times New Roman"/>
          <w:i/>
          <w:spacing w:val="-4"/>
          <w:sz w:val="24"/>
          <w:szCs w:val="24"/>
        </w:rPr>
        <w:t>Съдов</w:t>
      </w:r>
      <w:r w:rsidRPr="00AE47C6">
        <w:rPr>
          <w:rFonts w:ascii="Times New Roman" w:eastAsia="SimSun" w:hAnsi="Times New Roman"/>
          <w:spacing w:val="-4"/>
          <w:sz w:val="24"/>
          <w:szCs w:val="24"/>
        </w:rPr>
        <w:t xml:space="preserve"> – вродени или придобити изменения един или в няколко от слоевете на артериалната стена (вътрешна еластична мембрана), които водят до възможност за развитие на аневризма; </w:t>
      </w:r>
    </w:p>
    <w:p w14:paraId="22ECF561" w14:textId="77777777" w:rsidR="00BE0B19" w:rsidRPr="00AE47C6" w:rsidRDefault="00BE0B19" w:rsidP="00BE0B19">
      <w:pPr>
        <w:numPr>
          <w:ilvl w:val="0"/>
          <w:numId w:val="46"/>
        </w:numPr>
        <w:shd w:val="clear" w:color="auto" w:fill="FFFFFF"/>
        <w:spacing w:after="0" w:line="360" w:lineRule="auto"/>
        <w:jc w:val="both"/>
        <w:rPr>
          <w:rFonts w:ascii="Times New Roman" w:eastAsia="SimSun" w:hAnsi="Times New Roman"/>
          <w:spacing w:val="-4"/>
          <w:sz w:val="24"/>
          <w:szCs w:val="24"/>
        </w:rPr>
      </w:pPr>
      <w:r w:rsidRPr="00AE47C6">
        <w:rPr>
          <w:rFonts w:ascii="Times New Roman" w:eastAsia="SimSun" w:hAnsi="Times New Roman"/>
          <w:i/>
          <w:spacing w:val="-4"/>
          <w:sz w:val="24"/>
          <w:szCs w:val="24"/>
        </w:rPr>
        <w:t>Артериалната хипертония</w:t>
      </w:r>
      <w:r w:rsidRPr="00AE47C6">
        <w:rPr>
          <w:rFonts w:ascii="Times New Roman" w:eastAsia="SimSun" w:hAnsi="Times New Roman"/>
          <w:spacing w:val="-4"/>
          <w:sz w:val="24"/>
          <w:szCs w:val="24"/>
        </w:rPr>
        <w:t xml:space="preserve"> е общоприет рисков фактор, който повишава механичния стрес върху съдовата стена. </w:t>
      </w:r>
    </w:p>
    <w:p w14:paraId="778E46C7" w14:textId="77777777" w:rsidR="00BE0B19" w:rsidRPr="00AE47C6" w:rsidRDefault="00BE0B19" w:rsidP="00BE0B19">
      <w:pPr>
        <w:numPr>
          <w:ilvl w:val="0"/>
          <w:numId w:val="46"/>
        </w:numPr>
        <w:shd w:val="clear" w:color="auto" w:fill="FFFFFF"/>
        <w:spacing w:after="0" w:line="360" w:lineRule="auto"/>
        <w:jc w:val="both"/>
        <w:rPr>
          <w:rFonts w:ascii="Times New Roman" w:eastAsia="SimSun" w:hAnsi="Times New Roman"/>
          <w:i/>
          <w:spacing w:val="-4"/>
          <w:sz w:val="24"/>
          <w:szCs w:val="24"/>
        </w:rPr>
      </w:pPr>
      <w:r w:rsidRPr="00AE47C6">
        <w:rPr>
          <w:rFonts w:ascii="Times New Roman" w:eastAsia="SimSun" w:hAnsi="Times New Roman"/>
          <w:i/>
          <w:spacing w:val="-4"/>
          <w:sz w:val="24"/>
          <w:szCs w:val="24"/>
        </w:rPr>
        <w:t>Хемодинамичен</w:t>
      </w:r>
      <w:r w:rsidRPr="00AE47C6">
        <w:rPr>
          <w:rFonts w:ascii="Times New Roman" w:eastAsia="SimSun" w:hAnsi="Times New Roman"/>
          <w:spacing w:val="-4"/>
          <w:sz w:val="24"/>
          <w:szCs w:val="24"/>
        </w:rPr>
        <w:t xml:space="preserve"> – хидродинамичните сили на кръвния ток, самостоятелно или в съчетание с други фактори, оказват въздействие върху съдовата стена. </w:t>
      </w:r>
    </w:p>
    <w:p w14:paraId="283E3781" w14:textId="77777777" w:rsidR="00BE0B19" w:rsidRPr="00AE47C6" w:rsidRDefault="00BE0B19" w:rsidP="00BE0B19">
      <w:pPr>
        <w:numPr>
          <w:ilvl w:val="0"/>
          <w:numId w:val="46"/>
        </w:numPr>
        <w:shd w:val="clear" w:color="auto" w:fill="FFFFFF"/>
        <w:spacing w:after="0" w:line="360" w:lineRule="auto"/>
        <w:jc w:val="both"/>
        <w:rPr>
          <w:rFonts w:ascii="Times New Roman" w:eastAsia="SimSun" w:hAnsi="Times New Roman"/>
          <w:spacing w:val="-4"/>
          <w:sz w:val="24"/>
          <w:szCs w:val="24"/>
        </w:rPr>
      </w:pPr>
      <w:r w:rsidRPr="00AE47C6">
        <w:rPr>
          <w:rFonts w:ascii="Times New Roman" w:eastAsia="SimSun" w:hAnsi="Times New Roman"/>
          <w:i/>
          <w:spacing w:val="-4"/>
          <w:sz w:val="24"/>
          <w:szCs w:val="24"/>
        </w:rPr>
        <w:t>Генетичен</w:t>
      </w:r>
      <w:r w:rsidRPr="00AE47C6">
        <w:rPr>
          <w:rFonts w:ascii="Times New Roman" w:eastAsia="SimSun" w:hAnsi="Times New Roman"/>
          <w:spacing w:val="-4"/>
          <w:sz w:val="24"/>
          <w:szCs w:val="24"/>
        </w:rPr>
        <w:t xml:space="preserve">. Роднините по първа линия на пациенти с торбовидна аневризма имат около 4% честота на безсимптомни аневризми. </w:t>
      </w:r>
    </w:p>
    <w:p w14:paraId="75E42966" w14:textId="77777777" w:rsidR="00BE0B19" w:rsidRPr="00AE47C6" w:rsidRDefault="00BE0B19" w:rsidP="00BE0B19">
      <w:pPr>
        <w:numPr>
          <w:ilvl w:val="0"/>
          <w:numId w:val="46"/>
        </w:numPr>
        <w:shd w:val="clear" w:color="auto" w:fill="FFFFFF"/>
        <w:spacing w:after="0" w:line="360" w:lineRule="auto"/>
        <w:jc w:val="both"/>
        <w:rPr>
          <w:rFonts w:ascii="Times New Roman" w:eastAsia="SimSun" w:hAnsi="Times New Roman"/>
          <w:spacing w:val="-4"/>
          <w:sz w:val="24"/>
          <w:szCs w:val="24"/>
        </w:rPr>
      </w:pPr>
      <w:r w:rsidRPr="00AE47C6">
        <w:rPr>
          <w:rFonts w:ascii="Times New Roman" w:eastAsia="SimSun" w:hAnsi="Times New Roman"/>
          <w:i/>
          <w:spacing w:val="-4"/>
          <w:sz w:val="24"/>
          <w:szCs w:val="24"/>
        </w:rPr>
        <w:t>Травматичен</w:t>
      </w:r>
      <w:r w:rsidRPr="00AE47C6">
        <w:rPr>
          <w:rFonts w:ascii="Times New Roman" w:eastAsia="SimSun" w:hAnsi="Times New Roman"/>
          <w:spacing w:val="-4"/>
          <w:sz w:val="24"/>
          <w:szCs w:val="24"/>
        </w:rPr>
        <w:t xml:space="preserve"> – при по-малко от 1% от аневризмите се установява патогенетична връзка с предшестваща краниална травма.</w:t>
      </w:r>
    </w:p>
    <w:p w14:paraId="4D153094" w14:textId="77777777" w:rsidR="00BE0B19" w:rsidRPr="00AE47C6" w:rsidRDefault="00BE0B19" w:rsidP="00BE0B19">
      <w:pPr>
        <w:numPr>
          <w:ilvl w:val="0"/>
          <w:numId w:val="46"/>
        </w:numPr>
        <w:shd w:val="clear" w:color="auto" w:fill="FFFFFF"/>
        <w:spacing w:after="0" w:line="360" w:lineRule="auto"/>
        <w:jc w:val="both"/>
        <w:rPr>
          <w:rFonts w:ascii="Times New Roman" w:eastAsia="SimSun" w:hAnsi="Times New Roman"/>
          <w:spacing w:val="-4"/>
          <w:sz w:val="24"/>
          <w:szCs w:val="24"/>
        </w:rPr>
      </w:pPr>
      <w:r w:rsidRPr="00AE47C6">
        <w:rPr>
          <w:rFonts w:ascii="Times New Roman" w:eastAsia="SimSun" w:hAnsi="Times New Roman"/>
          <w:i/>
          <w:spacing w:val="-4"/>
          <w:sz w:val="24"/>
          <w:szCs w:val="24"/>
        </w:rPr>
        <w:t xml:space="preserve">Инфекциозен </w:t>
      </w:r>
      <w:r w:rsidRPr="00AE47C6">
        <w:rPr>
          <w:rFonts w:ascii="Times New Roman" w:eastAsia="SimSun" w:hAnsi="Times New Roman"/>
          <w:spacing w:val="-4"/>
          <w:sz w:val="24"/>
          <w:szCs w:val="24"/>
        </w:rPr>
        <w:t xml:space="preserve">– около 0,5 - 2% от аневризмите имат инфекциозна генеза (микотични) и са последица от засягане на съдовата стена от инфектиран ембол при различни септични състояния. Друг вид аневризми са “атеросклеротичните” или фузиформени аневризми, които обхващат цилиндрично цялата циркумференция на съда (каротидна, вертебрална, базиларна артерия). </w:t>
      </w:r>
    </w:p>
    <w:p w14:paraId="40F587CA" w14:textId="77777777" w:rsidR="00BE0B19" w:rsidRPr="00AE47C6" w:rsidRDefault="00BE0B19" w:rsidP="00BE0B19">
      <w:pPr>
        <w:numPr>
          <w:ilvl w:val="0"/>
          <w:numId w:val="46"/>
        </w:numPr>
        <w:shd w:val="clear" w:color="auto" w:fill="FFFFFF"/>
        <w:spacing w:after="0" w:line="360" w:lineRule="auto"/>
        <w:jc w:val="both"/>
        <w:rPr>
          <w:rFonts w:ascii="Times New Roman" w:eastAsia="SimSun" w:hAnsi="Times New Roman"/>
          <w:spacing w:val="-4"/>
          <w:sz w:val="24"/>
          <w:szCs w:val="24"/>
        </w:rPr>
      </w:pPr>
      <w:r w:rsidRPr="00AE47C6">
        <w:rPr>
          <w:rFonts w:ascii="Times New Roman" w:eastAsia="SimSun" w:hAnsi="Times New Roman"/>
          <w:i/>
          <w:spacing w:val="-4"/>
          <w:sz w:val="24"/>
          <w:szCs w:val="24"/>
        </w:rPr>
        <w:t>Пушене и злоупотреба с алкохол</w:t>
      </w:r>
      <w:r w:rsidRPr="00AE47C6">
        <w:rPr>
          <w:rFonts w:ascii="Times New Roman" w:eastAsia="SimSun" w:hAnsi="Times New Roman"/>
          <w:spacing w:val="-4"/>
          <w:sz w:val="24"/>
          <w:szCs w:val="24"/>
        </w:rPr>
        <w:t xml:space="preserve"> – сочат се като сигурен рисков фактор. </w:t>
      </w:r>
    </w:p>
    <w:p w14:paraId="26672B0C" w14:textId="77777777" w:rsidR="00BE0B19" w:rsidRPr="00AE47C6" w:rsidRDefault="00BE0B19" w:rsidP="00BE0B19">
      <w:pPr>
        <w:shd w:val="clear" w:color="auto" w:fill="FFFFFF"/>
        <w:spacing w:after="0" w:line="360" w:lineRule="auto"/>
        <w:ind w:firstLine="720"/>
        <w:jc w:val="both"/>
        <w:rPr>
          <w:rFonts w:ascii="Times New Roman" w:eastAsia="SimSun" w:hAnsi="Times New Roman"/>
          <w:i/>
          <w:spacing w:val="-4"/>
          <w:sz w:val="24"/>
          <w:szCs w:val="24"/>
        </w:rPr>
      </w:pPr>
      <w:r w:rsidRPr="00AE47C6">
        <w:rPr>
          <w:rFonts w:ascii="Times New Roman" w:eastAsia="SimSun" w:hAnsi="Times New Roman"/>
          <w:b/>
          <w:spacing w:val="-4"/>
          <w:sz w:val="24"/>
          <w:szCs w:val="24"/>
        </w:rPr>
        <w:t>Клинична картина</w:t>
      </w:r>
      <w:r w:rsidRPr="00AE47C6">
        <w:rPr>
          <w:rFonts w:ascii="Times New Roman" w:eastAsia="SimSun" w:hAnsi="Times New Roman"/>
          <w:spacing w:val="-4"/>
          <w:sz w:val="24"/>
          <w:szCs w:val="24"/>
        </w:rPr>
        <w:t xml:space="preserve">. Заболяването започва остро по време на физическа активност. Внезапно възниква силно главоболие („като удар върху главата”), често придружено с гадене и повръщане. Масивният излив на кръв в субарахноидното пространство с цялата последваща верига от ранни и късни реакции, клинично се изяснява с бързото развитие на тежки количествени нарушения на съзнанието. След първоначалното нарушение на съзнанието, болният отново идва в контакт след минути до часове, но остава сомнолентен, объркан и с амнестични прояви. При най-тежките случаи съзнанието е трайно помрачено, развива се децеребрация и може да настъпи летален изход за часове. При по-малък излив на кръв съзнанието остава ясно. Честа клинична проява е психомоторното неспокойствие. В началото на заболяването могат да се наблюдават епилептични припадъци – генерализирани или парциални (10-25% от болните). Развива се </w:t>
      </w:r>
      <w:r w:rsidRPr="00AE47C6">
        <w:rPr>
          <w:rFonts w:ascii="Times New Roman" w:eastAsia="SimSun" w:hAnsi="Times New Roman"/>
          <w:i/>
          <w:spacing w:val="-4"/>
          <w:sz w:val="24"/>
          <w:szCs w:val="24"/>
        </w:rPr>
        <w:t>менингеален синдром</w:t>
      </w:r>
      <w:r w:rsidRPr="00AE47C6">
        <w:rPr>
          <w:rFonts w:ascii="Times New Roman" w:eastAsia="SimSun" w:hAnsi="Times New Roman"/>
          <w:spacing w:val="-4"/>
          <w:sz w:val="24"/>
          <w:szCs w:val="24"/>
        </w:rPr>
        <w:t xml:space="preserve">. Огнищната неврологична симптоматика е лека или липсва. За оценка на тежестта на субарахноидния кръвоизлив в зависимост от неврологичната симптоматика в клиничната практика се използва </w:t>
      </w:r>
      <w:r w:rsidRPr="00AE47C6">
        <w:rPr>
          <w:rFonts w:ascii="Times New Roman" w:eastAsia="SimSun" w:hAnsi="Times New Roman"/>
          <w:i/>
          <w:spacing w:val="-4"/>
          <w:sz w:val="24"/>
          <w:szCs w:val="24"/>
        </w:rPr>
        <w:t xml:space="preserve">скалата на Hunt </w:t>
      </w:r>
      <w:r w:rsidRPr="00AE47C6">
        <w:rPr>
          <w:rFonts w:ascii="Times New Roman" w:eastAsia="SimSun" w:hAnsi="Times New Roman"/>
          <w:spacing w:val="-4"/>
          <w:sz w:val="24"/>
          <w:szCs w:val="24"/>
        </w:rPr>
        <w:t>и</w:t>
      </w:r>
      <w:r w:rsidRPr="00AE47C6">
        <w:rPr>
          <w:rFonts w:ascii="Times New Roman" w:eastAsia="SimSun" w:hAnsi="Times New Roman"/>
          <w:i/>
          <w:spacing w:val="-4"/>
          <w:sz w:val="24"/>
          <w:szCs w:val="24"/>
        </w:rPr>
        <w:t xml:space="preserve"> Hess в 5 степени:</w:t>
      </w:r>
    </w:p>
    <w:p w14:paraId="5EEB3CF4" w14:textId="77777777" w:rsidR="00BE0B19" w:rsidRPr="00AE47C6" w:rsidRDefault="00BE0B19" w:rsidP="00BE0B19">
      <w:pPr>
        <w:numPr>
          <w:ilvl w:val="0"/>
          <w:numId w:val="45"/>
        </w:numPr>
        <w:shd w:val="clear" w:color="auto" w:fill="FFFFFF"/>
        <w:tabs>
          <w:tab w:val="clear" w:pos="1365"/>
          <w:tab w:val="num" w:pos="851"/>
        </w:tabs>
        <w:spacing w:after="0" w:line="360" w:lineRule="auto"/>
        <w:jc w:val="both"/>
        <w:rPr>
          <w:rFonts w:ascii="Times New Roman" w:eastAsia="SimSun" w:hAnsi="Times New Roman"/>
          <w:spacing w:val="-4"/>
          <w:sz w:val="24"/>
          <w:szCs w:val="24"/>
        </w:rPr>
      </w:pPr>
      <w:r w:rsidRPr="00AE47C6">
        <w:rPr>
          <w:rFonts w:ascii="Times New Roman" w:eastAsia="SimSun" w:hAnsi="Times New Roman"/>
          <w:spacing w:val="-4"/>
          <w:sz w:val="24"/>
          <w:szCs w:val="24"/>
        </w:rPr>
        <w:t>I степен – асимптоматични или с леко главоболие и вратна стегнатост</w:t>
      </w:r>
    </w:p>
    <w:p w14:paraId="018E556E" w14:textId="77777777" w:rsidR="00BE0B19" w:rsidRPr="00AE47C6" w:rsidRDefault="00BE0B19" w:rsidP="00BE0B19">
      <w:pPr>
        <w:numPr>
          <w:ilvl w:val="0"/>
          <w:numId w:val="45"/>
        </w:numPr>
        <w:shd w:val="clear" w:color="auto" w:fill="FFFFFF"/>
        <w:tabs>
          <w:tab w:val="clear" w:pos="1365"/>
          <w:tab w:val="num" w:pos="851"/>
        </w:tabs>
        <w:spacing w:after="0" w:line="360" w:lineRule="auto"/>
        <w:jc w:val="both"/>
        <w:rPr>
          <w:rFonts w:ascii="Times New Roman" w:eastAsia="SimSun" w:hAnsi="Times New Roman"/>
          <w:spacing w:val="-4"/>
          <w:sz w:val="24"/>
          <w:szCs w:val="24"/>
        </w:rPr>
      </w:pPr>
      <w:r w:rsidRPr="00AE47C6">
        <w:rPr>
          <w:rFonts w:ascii="Times New Roman" w:eastAsia="SimSun" w:hAnsi="Times New Roman"/>
          <w:spacing w:val="-4"/>
          <w:sz w:val="24"/>
          <w:szCs w:val="24"/>
        </w:rPr>
        <w:t>II степен – умерено до тежко главоболие и вратна стегнатост, но без огнищен неврологичен дефицит, с изключение на лезия на III КН</w:t>
      </w:r>
    </w:p>
    <w:p w14:paraId="4C7008F2" w14:textId="77777777" w:rsidR="00BE0B19" w:rsidRPr="00AE47C6" w:rsidRDefault="00BE0B19" w:rsidP="00BE0B19">
      <w:pPr>
        <w:numPr>
          <w:ilvl w:val="0"/>
          <w:numId w:val="45"/>
        </w:numPr>
        <w:shd w:val="clear" w:color="auto" w:fill="FFFFFF"/>
        <w:tabs>
          <w:tab w:val="clear" w:pos="1365"/>
          <w:tab w:val="num" w:pos="851"/>
        </w:tabs>
        <w:spacing w:after="0" w:line="360" w:lineRule="auto"/>
        <w:jc w:val="both"/>
        <w:rPr>
          <w:rFonts w:ascii="Times New Roman" w:eastAsia="SimSun" w:hAnsi="Times New Roman"/>
          <w:spacing w:val="-4"/>
          <w:sz w:val="24"/>
          <w:szCs w:val="24"/>
        </w:rPr>
      </w:pPr>
      <w:r w:rsidRPr="00AE47C6">
        <w:rPr>
          <w:rFonts w:ascii="Times New Roman" w:eastAsia="SimSun" w:hAnsi="Times New Roman"/>
          <w:spacing w:val="-4"/>
          <w:sz w:val="24"/>
          <w:szCs w:val="24"/>
        </w:rPr>
        <w:t>III степен – сомнолентност, дезориентация, лек неврологичен дефицит</w:t>
      </w:r>
    </w:p>
    <w:p w14:paraId="0113F74C" w14:textId="77777777" w:rsidR="00BE0B19" w:rsidRPr="00AE47C6" w:rsidRDefault="00BE0B19" w:rsidP="00BE0B19">
      <w:pPr>
        <w:numPr>
          <w:ilvl w:val="0"/>
          <w:numId w:val="45"/>
        </w:numPr>
        <w:shd w:val="clear" w:color="auto" w:fill="FFFFFF"/>
        <w:tabs>
          <w:tab w:val="clear" w:pos="1365"/>
          <w:tab w:val="num" w:pos="851"/>
        </w:tabs>
        <w:spacing w:after="0" w:line="360" w:lineRule="auto"/>
        <w:jc w:val="both"/>
        <w:rPr>
          <w:rFonts w:ascii="Times New Roman" w:eastAsia="SimSun" w:hAnsi="Times New Roman"/>
          <w:spacing w:val="-4"/>
          <w:sz w:val="24"/>
          <w:szCs w:val="24"/>
        </w:rPr>
      </w:pPr>
      <w:r w:rsidRPr="00AE47C6">
        <w:rPr>
          <w:rFonts w:ascii="Times New Roman" w:eastAsia="SimSun" w:hAnsi="Times New Roman"/>
          <w:spacing w:val="-4"/>
          <w:sz w:val="24"/>
          <w:szCs w:val="24"/>
        </w:rPr>
        <w:t>IV степен – сопор, умерен или тежък неврологичен дефицит, ранна децеребрационна спастичност и автономни нарушения</w:t>
      </w:r>
    </w:p>
    <w:p w14:paraId="7602D335" w14:textId="77777777" w:rsidR="00BE0B19" w:rsidRPr="00AE47C6" w:rsidRDefault="00BE0B19" w:rsidP="00BE0B19">
      <w:pPr>
        <w:numPr>
          <w:ilvl w:val="0"/>
          <w:numId w:val="45"/>
        </w:numPr>
        <w:shd w:val="clear" w:color="auto" w:fill="FFFFFF"/>
        <w:tabs>
          <w:tab w:val="clear" w:pos="1365"/>
          <w:tab w:val="num" w:pos="851"/>
        </w:tabs>
        <w:spacing w:after="0" w:line="360" w:lineRule="auto"/>
        <w:jc w:val="both"/>
        <w:rPr>
          <w:rFonts w:ascii="Times New Roman" w:eastAsia="SimSun" w:hAnsi="Times New Roman"/>
          <w:spacing w:val="-4"/>
          <w:sz w:val="24"/>
          <w:szCs w:val="24"/>
        </w:rPr>
      </w:pPr>
      <w:r w:rsidRPr="00AE47C6">
        <w:rPr>
          <w:rFonts w:ascii="Times New Roman" w:eastAsia="SimSun" w:hAnsi="Times New Roman"/>
          <w:spacing w:val="-4"/>
          <w:sz w:val="24"/>
          <w:szCs w:val="24"/>
        </w:rPr>
        <w:t>V степен – дълбока кома и децеребрационна спастичност</w:t>
      </w:r>
    </w:p>
    <w:p w14:paraId="656D85B9"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4"/>
          <w:sz w:val="24"/>
          <w:szCs w:val="24"/>
        </w:rPr>
      </w:pPr>
      <w:r w:rsidRPr="00AE47C6">
        <w:rPr>
          <w:rFonts w:ascii="Times New Roman" w:eastAsia="SimSun" w:hAnsi="Times New Roman"/>
          <w:spacing w:val="-4"/>
          <w:sz w:val="24"/>
          <w:szCs w:val="24"/>
        </w:rPr>
        <w:t xml:space="preserve">Влошаването на състоянието може да настъпи в резултат на </w:t>
      </w:r>
      <w:r w:rsidRPr="00AE47C6">
        <w:rPr>
          <w:rFonts w:ascii="Times New Roman" w:eastAsia="SimSun" w:hAnsi="Times New Roman"/>
          <w:i/>
          <w:spacing w:val="-4"/>
          <w:sz w:val="24"/>
          <w:szCs w:val="24"/>
        </w:rPr>
        <w:t xml:space="preserve">късна исхемична мозъчна дисфункция, рецидив или хидроцефалия. </w:t>
      </w:r>
      <w:r w:rsidRPr="00AE47C6">
        <w:rPr>
          <w:rFonts w:ascii="Times New Roman" w:eastAsia="SimSun" w:hAnsi="Times New Roman"/>
          <w:spacing w:val="-4"/>
          <w:sz w:val="24"/>
          <w:szCs w:val="24"/>
        </w:rPr>
        <w:t xml:space="preserve">Клиничната симптоматика при усложненията е сходна и изисква прецизно наблюдение на болните и използване на диагностични методи за тяхното диференциране, тъй като терапевтичното поведение е различно. При случаите с </w:t>
      </w:r>
      <w:r w:rsidRPr="00AE47C6">
        <w:rPr>
          <w:rFonts w:ascii="Times New Roman" w:eastAsia="SimSun" w:hAnsi="Times New Roman"/>
          <w:i/>
          <w:spacing w:val="-4"/>
          <w:sz w:val="24"/>
          <w:szCs w:val="24"/>
        </w:rPr>
        <w:t>късна исхемична мозъчна дисфункция (3-12 ден след САК)</w:t>
      </w:r>
      <w:r w:rsidRPr="00AE47C6">
        <w:rPr>
          <w:rFonts w:ascii="Times New Roman" w:eastAsia="SimSun" w:hAnsi="Times New Roman"/>
          <w:spacing w:val="-4"/>
          <w:sz w:val="24"/>
          <w:szCs w:val="24"/>
        </w:rPr>
        <w:t xml:space="preserve"> в резултат на вазоспазъм се наблюдават дезориентираност, обърканост, понякога засилване на главоболието и последващ локален неврологичен дефицит (хемипареза или афазия). При тежко болните в ІV и V степен по скалата на Hunt и Hess, които са с изразени количествени нарушения на съзнанието и много често са интубирани или са на апаратна вентилация, трудно могат да се отчитат клиничните симптоми от развитието на късен исхемичен мозъчен дефицит. </w:t>
      </w:r>
    </w:p>
    <w:p w14:paraId="35AFFE1F"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4"/>
          <w:sz w:val="24"/>
          <w:szCs w:val="24"/>
        </w:rPr>
      </w:pPr>
      <w:r w:rsidRPr="00AE47C6">
        <w:rPr>
          <w:rFonts w:ascii="Times New Roman" w:eastAsia="SimSun" w:hAnsi="Times New Roman"/>
          <w:i/>
          <w:spacing w:val="-4"/>
          <w:sz w:val="24"/>
          <w:szCs w:val="24"/>
        </w:rPr>
        <w:t>Рецидивите</w:t>
      </w:r>
      <w:r w:rsidRPr="00AE47C6">
        <w:rPr>
          <w:rFonts w:ascii="Times New Roman" w:eastAsia="SimSun" w:hAnsi="Times New Roman"/>
          <w:spacing w:val="-4"/>
          <w:sz w:val="24"/>
          <w:szCs w:val="24"/>
        </w:rPr>
        <w:t xml:space="preserve"> настъпват по всяко време след първоначалния кръвоизлив. Най-рискови са първите 24 часа и първите седмици след САК. През първите 24 часа рецидив получават 4%, а във всеки следващ ден от първите 4 седмици – 1,5-2%. Общо през първите 6 месеца след АСАК рецидив получават 40 до 60% от болните, след което честотата намалява до 3% годишно. С по-малък шанс за повторно кървене са неаневризмалните САК. </w:t>
      </w:r>
    </w:p>
    <w:p w14:paraId="3BB4C507"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4"/>
          <w:sz w:val="24"/>
          <w:szCs w:val="24"/>
        </w:rPr>
      </w:pPr>
      <w:r w:rsidRPr="00AE47C6">
        <w:rPr>
          <w:rFonts w:ascii="Times New Roman" w:eastAsia="SimSun" w:hAnsi="Times New Roman"/>
          <w:i/>
          <w:spacing w:val="-4"/>
          <w:sz w:val="24"/>
          <w:szCs w:val="24"/>
        </w:rPr>
        <w:t xml:space="preserve">Подострото развитие на хидроцефалия (2-4 седмици след САК) </w:t>
      </w:r>
      <w:r w:rsidRPr="00AE47C6">
        <w:rPr>
          <w:rFonts w:ascii="Times New Roman" w:eastAsia="SimSun" w:hAnsi="Times New Roman"/>
          <w:spacing w:val="-4"/>
          <w:sz w:val="24"/>
          <w:szCs w:val="24"/>
        </w:rPr>
        <w:t xml:space="preserve">е друга причина за влошаване и налага ликвородренираща  операция. </w:t>
      </w:r>
    </w:p>
    <w:p w14:paraId="20F76840"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spacing w:val="-4"/>
          <w:sz w:val="24"/>
          <w:szCs w:val="24"/>
        </w:rPr>
      </w:pPr>
      <w:r w:rsidRPr="00AE47C6">
        <w:rPr>
          <w:rFonts w:ascii="Times New Roman" w:eastAsia="SimSun" w:hAnsi="Times New Roman"/>
          <w:b/>
          <w:spacing w:val="-4"/>
          <w:sz w:val="24"/>
          <w:szCs w:val="24"/>
        </w:rPr>
        <w:t>Изследвания.</w:t>
      </w:r>
    </w:p>
    <w:p w14:paraId="4E671666"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4"/>
          <w:sz w:val="24"/>
          <w:szCs w:val="24"/>
        </w:rPr>
      </w:pPr>
      <w:r w:rsidRPr="00AE47C6">
        <w:rPr>
          <w:rFonts w:ascii="Times New Roman" w:eastAsia="SimSun" w:hAnsi="Times New Roman"/>
          <w:i/>
          <w:spacing w:val="-4"/>
          <w:sz w:val="24"/>
          <w:szCs w:val="24"/>
        </w:rPr>
        <w:t>- Лумбалната пункция с изследване на ликвора</w:t>
      </w:r>
      <w:r w:rsidRPr="00AE47C6">
        <w:rPr>
          <w:rFonts w:ascii="Times New Roman" w:eastAsia="SimSun" w:hAnsi="Times New Roman"/>
          <w:spacing w:val="-4"/>
          <w:sz w:val="24"/>
          <w:szCs w:val="24"/>
        </w:rPr>
        <w:t xml:space="preserve"> е основно средство за диагностициране на предполагаемия по клинични данни САК и се прилага задължително при негативна находка на </w:t>
      </w:r>
      <w:r w:rsidRPr="00AE47C6">
        <w:rPr>
          <w:rFonts w:ascii="Times New Roman" w:eastAsia="SimSun" w:hAnsi="Times New Roman"/>
          <w:i/>
          <w:spacing w:val="-4"/>
          <w:sz w:val="24"/>
          <w:szCs w:val="24"/>
        </w:rPr>
        <w:t xml:space="preserve">КТ </w:t>
      </w:r>
      <w:r w:rsidRPr="00AE47C6">
        <w:rPr>
          <w:rFonts w:ascii="Times New Roman" w:eastAsia="SimSun" w:hAnsi="Times New Roman"/>
          <w:spacing w:val="-4"/>
          <w:sz w:val="24"/>
          <w:szCs w:val="24"/>
        </w:rPr>
        <w:t xml:space="preserve">или </w:t>
      </w:r>
      <w:r w:rsidRPr="00AE47C6">
        <w:rPr>
          <w:rFonts w:ascii="Times New Roman" w:eastAsia="SimSun" w:hAnsi="Times New Roman"/>
          <w:i/>
          <w:spacing w:val="-4"/>
          <w:sz w:val="24"/>
          <w:szCs w:val="24"/>
        </w:rPr>
        <w:t xml:space="preserve">МРТ </w:t>
      </w:r>
      <w:r w:rsidRPr="00AE47C6">
        <w:rPr>
          <w:rFonts w:ascii="Times New Roman" w:eastAsia="SimSun" w:hAnsi="Times New Roman"/>
          <w:spacing w:val="-4"/>
          <w:sz w:val="24"/>
          <w:szCs w:val="24"/>
        </w:rPr>
        <w:t xml:space="preserve">(до 15% от всички САК) през следващите 7 дни. </w:t>
      </w:r>
      <w:r w:rsidRPr="00AE47C6">
        <w:rPr>
          <w:rFonts w:ascii="Times New Roman" w:eastAsia="SimSun" w:hAnsi="Times New Roman"/>
          <w:i/>
          <w:spacing w:val="-4"/>
          <w:sz w:val="24"/>
          <w:szCs w:val="24"/>
        </w:rPr>
        <w:t>Наличието на ликворна еритроциторахия и ксантохромия е сигурно доказателство за кървене в ликворните пространства</w:t>
      </w:r>
      <w:r w:rsidRPr="00AE47C6">
        <w:rPr>
          <w:rFonts w:ascii="Times New Roman" w:eastAsia="SimSun" w:hAnsi="Times New Roman"/>
          <w:spacing w:val="-4"/>
          <w:sz w:val="24"/>
          <w:szCs w:val="24"/>
        </w:rPr>
        <w:t xml:space="preserve">. </w:t>
      </w:r>
    </w:p>
    <w:p w14:paraId="63D314E7"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4"/>
          <w:sz w:val="24"/>
          <w:szCs w:val="24"/>
        </w:rPr>
      </w:pPr>
      <w:r w:rsidRPr="00AE47C6">
        <w:rPr>
          <w:rFonts w:ascii="Times New Roman" w:eastAsia="SimSun" w:hAnsi="Times New Roman"/>
          <w:i/>
          <w:spacing w:val="-4"/>
          <w:sz w:val="24"/>
          <w:szCs w:val="24"/>
        </w:rPr>
        <w:t>- КТ изследване</w:t>
      </w:r>
      <w:r w:rsidRPr="00AE47C6">
        <w:rPr>
          <w:rFonts w:ascii="Times New Roman" w:eastAsia="SimSun" w:hAnsi="Times New Roman"/>
          <w:spacing w:val="-4"/>
          <w:sz w:val="24"/>
          <w:szCs w:val="24"/>
        </w:rPr>
        <w:t xml:space="preserve"> - в 90% от всички случаи на САК се установява кръв в субарахноидните пространства, мозъка или ликворопроводящите пътища. </w:t>
      </w:r>
    </w:p>
    <w:p w14:paraId="33D5D78E"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4"/>
          <w:sz w:val="24"/>
          <w:szCs w:val="24"/>
        </w:rPr>
      </w:pPr>
      <w:r w:rsidRPr="00AE47C6">
        <w:rPr>
          <w:rFonts w:ascii="Times New Roman" w:eastAsia="SimSun" w:hAnsi="Times New Roman"/>
          <w:spacing w:val="-4"/>
          <w:sz w:val="24"/>
          <w:szCs w:val="24"/>
        </w:rPr>
        <w:t xml:space="preserve">- При изследване на </w:t>
      </w:r>
      <w:r w:rsidRPr="00AE47C6">
        <w:rPr>
          <w:rFonts w:ascii="Times New Roman" w:eastAsia="SimSun" w:hAnsi="Times New Roman"/>
          <w:i/>
          <w:spacing w:val="-4"/>
          <w:sz w:val="24"/>
          <w:szCs w:val="24"/>
        </w:rPr>
        <w:t>очните дъна</w:t>
      </w:r>
      <w:r w:rsidRPr="00AE47C6">
        <w:rPr>
          <w:rFonts w:ascii="Times New Roman" w:eastAsia="SimSun" w:hAnsi="Times New Roman"/>
          <w:spacing w:val="-4"/>
          <w:sz w:val="24"/>
          <w:szCs w:val="24"/>
        </w:rPr>
        <w:t xml:space="preserve"> се установяват кръвоизливи в ретината в около 20%. </w:t>
      </w:r>
    </w:p>
    <w:p w14:paraId="2DBB432C" w14:textId="77777777" w:rsidR="00BE0B19" w:rsidRPr="00AE47C6" w:rsidRDefault="00BE0B19" w:rsidP="00BE0B19">
      <w:pPr>
        <w:shd w:val="clear" w:color="auto" w:fill="FFFFFF"/>
        <w:spacing w:after="0" w:line="360" w:lineRule="auto"/>
        <w:ind w:firstLine="720"/>
        <w:jc w:val="both"/>
        <w:rPr>
          <w:rFonts w:ascii="Times New Roman" w:eastAsia="SimSun" w:hAnsi="Times New Roman"/>
          <w:spacing w:val="-4"/>
          <w:sz w:val="24"/>
          <w:szCs w:val="24"/>
        </w:rPr>
      </w:pPr>
      <w:r w:rsidRPr="00AE47C6">
        <w:rPr>
          <w:rFonts w:ascii="Times New Roman" w:eastAsia="SimSun" w:hAnsi="Times New Roman"/>
          <w:i/>
          <w:spacing w:val="-4"/>
          <w:sz w:val="24"/>
          <w:szCs w:val="24"/>
        </w:rPr>
        <w:t>- Мозъчна панангиография</w:t>
      </w:r>
      <w:r w:rsidRPr="00AE47C6">
        <w:rPr>
          <w:rFonts w:ascii="Times New Roman" w:eastAsia="SimSun" w:hAnsi="Times New Roman"/>
          <w:spacing w:val="-4"/>
          <w:sz w:val="24"/>
          <w:szCs w:val="24"/>
        </w:rPr>
        <w:t xml:space="preserve">, възможно най-рано – още в първите 24-72 часа от началото на заболяването се извършва при болните в по-младите възрастови групи и с по-лека степен на заболяването (І-ІІI степен по Hunt u Hess). При установяване на мозъчносъдова аневризма трябва да се извърши ранно оперативно лечение. Когато ангиографското изследване не е извършено през първите 3 дни след възникване на САК, то може да се проведе след 20-ти ден, когато условията са по-добри и рискът от развитие на съдов спазъм с последваща късна исхемична мозъчна дисфункция е по-малък. Ако при извършената панангиография не се установи аневризма, а анамнестичните и клиничните данни насочват към нея, ангиографското изследване трябва да се повтори. </w:t>
      </w:r>
    </w:p>
    <w:p w14:paraId="040CA7A2" w14:textId="77777777" w:rsidR="00BE0B19" w:rsidRPr="00AE47C6" w:rsidRDefault="00BE0B19" w:rsidP="00BE0B19">
      <w:pPr>
        <w:numPr>
          <w:ilvl w:val="0"/>
          <w:numId w:val="100"/>
        </w:numPr>
        <w:shd w:val="clear" w:color="auto" w:fill="FFFFFF"/>
        <w:spacing w:after="0" w:line="360" w:lineRule="auto"/>
        <w:contextualSpacing/>
        <w:jc w:val="both"/>
        <w:rPr>
          <w:rFonts w:ascii="Times New Roman" w:eastAsia="SimSun" w:hAnsi="Times New Roman"/>
          <w:spacing w:val="-4"/>
          <w:sz w:val="24"/>
          <w:szCs w:val="24"/>
        </w:rPr>
      </w:pPr>
      <w:r w:rsidRPr="00AE47C6">
        <w:rPr>
          <w:rFonts w:ascii="Times New Roman" w:eastAsia="SimSun" w:hAnsi="Times New Roman"/>
          <w:spacing w:val="-4"/>
          <w:sz w:val="24"/>
          <w:szCs w:val="24"/>
        </w:rPr>
        <w:t xml:space="preserve">При </w:t>
      </w:r>
      <w:r w:rsidRPr="00AE47C6">
        <w:rPr>
          <w:rFonts w:ascii="Times New Roman" w:eastAsia="SimSun" w:hAnsi="Times New Roman"/>
          <w:i/>
          <w:spacing w:val="-4"/>
          <w:sz w:val="24"/>
          <w:szCs w:val="24"/>
        </w:rPr>
        <w:t>МРТ ангиографията</w:t>
      </w:r>
      <w:r w:rsidRPr="00AE47C6">
        <w:rPr>
          <w:rFonts w:ascii="Times New Roman" w:eastAsia="SimSun" w:hAnsi="Times New Roman"/>
          <w:spacing w:val="-4"/>
          <w:sz w:val="24"/>
          <w:szCs w:val="24"/>
        </w:rPr>
        <w:t xml:space="preserve"> се демонстрират голяма част от наличните малформации. Тя обаче все още не може да замести конвенционалната ангиография при предстоящо хирургично лечение.</w:t>
      </w:r>
    </w:p>
    <w:p w14:paraId="7487B19D"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spacing w:val="-4"/>
          <w:sz w:val="24"/>
          <w:szCs w:val="24"/>
        </w:rPr>
      </w:pPr>
      <w:r w:rsidRPr="00AE47C6">
        <w:rPr>
          <w:rFonts w:ascii="Times New Roman" w:eastAsia="SimSun" w:hAnsi="Times New Roman"/>
          <w:b/>
          <w:spacing w:val="-4"/>
          <w:sz w:val="24"/>
          <w:szCs w:val="24"/>
        </w:rPr>
        <w:t>Диференциална диагноза</w:t>
      </w:r>
      <w:r w:rsidRPr="00AE47C6">
        <w:rPr>
          <w:rFonts w:ascii="Times New Roman" w:eastAsia="SimSun" w:hAnsi="Times New Roman"/>
          <w:spacing w:val="-4"/>
          <w:sz w:val="24"/>
          <w:szCs w:val="24"/>
        </w:rPr>
        <w:t xml:space="preserve">. Изследването на ликвора има решаващо значение за потвърждаване наличието на субарахноиден кръвоизлив и отхвърляне на </w:t>
      </w:r>
      <w:r w:rsidRPr="00AE47C6">
        <w:rPr>
          <w:rFonts w:ascii="Times New Roman" w:eastAsia="SimSun" w:hAnsi="Times New Roman"/>
          <w:i/>
          <w:spacing w:val="-4"/>
          <w:sz w:val="24"/>
          <w:szCs w:val="24"/>
        </w:rPr>
        <w:t>други заболявания</w:t>
      </w:r>
      <w:r w:rsidRPr="00AE47C6">
        <w:rPr>
          <w:rFonts w:ascii="Times New Roman" w:eastAsia="SimSun" w:hAnsi="Times New Roman"/>
          <w:spacing w:val="-4"/>
          <w:sz w:val="24"/>
          <w:szCs w:val="24"/>
        </w:rPr>
        <w:t xml:space="preserve">, които могат да протекат със сходна клинична симптоматика – </w:t>
      </w:r>
      <w:r w:rsidRPr="00AE47C6">
        <w:rPr>
          <w:rFonts w:ascii="Times New Roman" w:eastAsia="SimSun" w:hAnsi="Times New Roman"/>
          <w:i/>
          <w:spacing w:val="-4"/>
          <w:sz w:val="24"/>
          <w:szCs w:val="24"/>
        </w:rPr>
        <w:t xml:space="preserve">менингити, енцефалити, тумори </w:t>
      </w:r>
      <w:r w:rsidRPr="00AE47C6">
        <w:rPr>
          <w:rFonts w:ascii="Times New Roman" w:eastAsia="SimSun" w:hAnsi="Times New Roman"/>
          <w:spacing w:val="-4"/>
          <w:sz w:val="24"/>
          <w:szCs w:val="24"/>
        </w:rPr>
        <w:t>и др. Чрез КТ и МРТ е възможно да се установи дали се отнася за САК или за интрацеребрален хематом. Може да се визуализира инфаркт в резултат на развитието на късен артериален спазъм или да се наблюдава хидроцефалия.</w:t>
      </w:r>
    </w:p>
    <w:p w14:paraId="14B5C3FB"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spacing w:val="-4"/>
          <w:sz w:val="24"/>
          <w:szCs w:val="24"/>
        </w:rPr>
        <w:t>Лечението включва комбинирани оперативни и консерва</w:t>
      </w:r>
      <w:r w:rsidRPr="00AE47C6">
        <w:rPr>
          <w:rFonts w:ascii="Times New Roman" w:eastAsia="SimSun" w:hAnsi="Times New Roman"/>
          <w:sz w:val="24"/>
          <w:szCs w:val="24"/>
        </w:rPr>
        <w:t>тивни терапевтични подходи, които са насочени към преодоляване на основ</w:t>
      </w:r>
      <w:r w:rsidRPr="00AE47C6">
        <w:rPr>
          <w:rFonts w:ascii="Times New Roman" w:eastAsia="SimSun" w:hAnsi="Times New Roman"/>
          <w:spacing w:val="3"/>
          <w:sz w:val="24"/>
          <w:szCs w:val="24"/>
        </w:rPr>
        <w:t xml:space="preserve">ните причини за лошата прогноза: </w:t>
      </w:r>
      <w:r w:rsidRPr="00AE47C6">
        <w:rPr>
          <w:rFonts w:ascii="Times New Roman" w:eastAsia="SimSun" w:hAnsi="Times New Roman"/>
          <w:spacing w:val="-10"/>
          <w:sz w:val="24"/>
          <w:szCs w:val="24"/>
        </w:rPr>
        <w:t xml:space="preserve">рецидив, </w:t>
      </w:r>
      <w:r w:rsidRPr="00AE47C6">
        <w:rPr>
          <w:rFonts w:ascii="Times New Roman" w:eastAsia="SimSun" w:hAnsi="Times New Roman"/>
          <w:spacing w:val="-2"/>
          <w:sz w:val="24"/>
          <w:szCs w:val="24"/>
        </w:rPr>
        <w:t xml:space="preserve">развитие на вазоспазъм и </w:t>
      </w:r>
      <w:r w:rsidRPr="00AE47C6">
        <w:rPr>
          <w:rFonts w:ascii="Times New Roman" w:eastAsia="SimSun" w:hAnsi="Times New Roman"/>
          <w:spacing w:val="-12"/>
          <w:sz w:val="24"/>
          <w:szCs w:val="24"/>
        </w:rPr>
        <w:t>хидроцефалия.</w:t>
      </w:r>
    </w:p>
    <w:p w14:paraId="1C2C360C"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При коматозно болните се провежда интензивно лечение.</w:t>
      </w:r>
    </w:p>
    <w:p w14:paraId="6722373C"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iCs/>
          <w:spacing w:val="-11"/>
          <w:sz w:val="24"/>
          <w:szCs w:val="24"/>
        </w:rPr>
        <w:t xml:space="preserve">Оперативното лечение </w:t>
      </w:r>
      <w:r w:rsidRPr="00AE47C6">
        <w:rPr>
          <w:rFonts w:ascii="Times New Roman" w:eastAsia="SimSun" w:hAnsi="Times New Roman"/>
          <w:spacing w:val="-11"/>
          <w:sz w:val="24"/>
          <w:szCs w:val="24"/>
        </w:rPr>
        <w:t>се състои в:</w:t>
      </w:r>
    </w:p>
    <w:p w14:paraId="26ADE093"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4"/>
          <w:sz w:val="24"/>
          <w:szCs w:val="24"/>
        </w:rPr>
        <w:t>ранно</w:t>
      </w:r>
      <w:r w:rsidRPr="00AE47C6">
        <w:rPr>
          <w:rFonts w:ascii="Times New Roman" w:eastAsia="SimSun" w:hAnsi="Times New Roman"/>
          <w:spacing w:val="-2"/>
          <w:sz w:val="24"/>
          <w:szCs w:val="24"/>
        </w:rPr>
        <w:t xml:space="preserve"> клипсиране на аневризмата</w:t>
      </w:r>
      <w:r w:rsidRPr="00AE47C6">
        <w:rPr>
          <w:rFonts w:ascii="Times New Roman" w:eastAsia="SimSun" w:hAnsi="Times New Roman"/>
          <w:bCs/>
          <w:sz w:val="24"/>
          <w:szCs w:val="24"/>
        </w:rPr>
        <w:t xml:space="preserve"> до 72 час </w:t>
      </w:r>
      <w:r w:rsidRPr="00AE47C6">
        <w:rPr>
          <w:rFonts w:ascii="Times New Roman" w:eastAsia="SimSun" w:hAnsi="Times New Roman"/>
          <w:bCs/>
          <w:spacing w:val="-4"/>
          <w:sz w:val="24"/>
          <w:szCs w:val="24"/>
        </w:rPr>
        <w:t>в острият стадий на САК (клас I, ниво В)</w:t>
      </w:r>
      <w:r w:rsidRPr="00AE47C6">
        <w:rPr>
          <w:rFonts w:ascii="Times New Roman" w:eastAsia="SimSun" w:hAnsi="Times New Roman"/>
          <w:spacing w:val="-2"/>
          <w:sz w:val="24"/>
          <w:szCs w:val="24"/>
        </w:rPr>
        <w:t>.</w:t>
      </w:r>
      <w:r w:rsidRPr="00AE47C6">
        <w:rPr>
          <w:rFonts w:ascii="Times New Roman" w:eastAsia="SimSun" w:hAnsi="Times New Roman"/>
          <w:bCs/>
          <w:spacing w:val="-9"/>
          <w:sz w:val="24"/>
          <w:szCs w:val="24"/>
        </w:rPr>
        <w:t xml:space="preserve"> Ранното извършване на ангиография и оперативно лечение </w:t>
      </w:r>
      <w:r w:rsidRPr="00AE47C6">
        <w:rPr>
          <w:rFonts w:ascii="Times New Roman" w:eastAsia="SimSun" w:hAnsi="Times New Roman"/>
          <w:bCs/>
          <w:sz w:val="24"/>
          <w:szCs w:val="24"/>
        </w:rPr>
        <w:t xml:space="preserve">при болни в I и II степен от скалата на </w:t>
      </w:r>
      <w:r w:rsidRPr="00AE47C6">
        <w:rPr>
          <w:rFonts w:ascii="Times New Roman" w:eastAsia="SimSun" w:hAnsi="Times New Roman"/>
          <w:bCs/>
          <w:spacing w:val="-11"/>
          <w:sz w:val="24"/>
          <w:szCs w:val="24"/>
        </w:rPr>
        <w:t>Нunt и Неss елиминира източника на кървене, а в комбинация с калциеви ан</w:t>
      </w:r>
      <w:r w:rsidRPr="00AE47C6">
        <w:rPr>
          <w:rFonts w:ascii="Times New Roman" w:eastAsia="SimSun" w:hAnsi="Times New Roman"/>
          <w:bCs/>
          <w:spacing w:val="-5"/>
          <w:sz w:val="24"/>
          <w:szCs w:val="24"/>
        </w:rPr>
        <w:t xml:space="preserve">тагонисти (nimodipine), адекватна хемодилуция и артериална хипертензия </w:t>
      </w:r>
      <w:r w:rsidRPr="00AE47C6">
        <w:rPr>
          <w:rFonts w:ascii="Times New Roman" w:eastAsia="SimSun" w:hAnsi="Times New Roman"/>
          <w:bCs/>
          <w:spacing w:val="-8"/>
          <w:sz w:val="24"/>
          <w:szCs w:val="24"/>
        </w:rPr>
        <w:t xml:space="preserve">се намалява и рискът от късен исхемичен дефицит. </w:t>
      </w:r>
    </w:p>
    <w:p w14:paraId="778D30D4"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2"/>
          <w:sz w:val="24"/>
          <w:szCs w:val="24"/>
        </w:rPr>
        <w:t>поставяне</w:t>
      </w:r>
      <w:r w:rsidRPr="00AE47C6">
        <w:rPr>
          <w:rFonts w:ascii="Times New Roman" w:eastAsia="SimSun" w:hAnsi="Times New Roman"/>
          <w:spacing w:val="-1"/>
          <w:sz w:val="24"/>
          <w:szCs w:val="24"/>
        </w:rPr>
        <w:t xml:space="preserve"> на вентрикулен или лумбален дренаж при остра хидроцефалия (клас I, ниво В).</w:t>
      </w:r>
    </w:p>
    <w:p w14:paraId="7E973584"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2"/>
          <w:sz w:val="24"/>
          <w:szCs w:val="24"/>
        </w:rPr>
        <w:t>Ендоваскуларната</w:t>
      </w:r>
      <w:r w:rsidRPr="00AE47C6">
        <w:rPr>
          <w:rFonts w:ascii="Times New Roman" w:eastAsia="SimSun" w:hAnsi="Times New Roman"/>
          <w:spacing w:val="-1"/>
          <w:sz w:val="24"/>
          <w:szCs w:val="24"/>
        </w:rPr>
        <w:t xml:space="preserve"> оклузия на руптурирала мозъчна аневризма е подходяща при пациенти, отговарящи на изискванията за неврохирургично лечение. Тя е първи метод на избор, като по-малко инвазивна и травматична интервенция. Ако е неуспешна се преминава към класическата краниотомия и клипсиране на аневризмата. Редица изследвания показват по-добри резултати (по-ниска смъртност и инвалидизация) в полза на ендоваскуларната терапия.</w:t>
      </w:r>
    </w:p>
    <w:p w14:paraId="09ECF694"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 xml:space="preserve">При </w:t>
      </w:r>
      <w:r w:rsidRPr="00AE47C6">
        <w:rPr>
          <w:rFonts w:ascii="Times New Roman" w:eastAsia="SimSun" w:hAnsi="Times New Roman"/>
          <w:spacing w:val="-2"/>
          <w:sz w:val="24"/>
          <w:szCs w:val="24"/>
        </w:rPr>
        <w:t>неруптурирали</w:t>
      </w:r>
      <w:r w:rsidRPr="00AE47C6">
        <w:rPr>
          <w:rFonts w:ascii="Times New Roman" w:eastAsia="SimSun" w:hAnsi="Times New Roman"/>
          <w:spacing w:val="-1"/>
          <w:sz w:val="24"/>
          <w:szCs w:val="24"/>
        </w:rPr>
        <w:t xml:space="preserve"> аневризми съществуват редица фактори, които трябва да се вземат под внимание за невроинтервенционално лечение.</w:t>
      </w:r>
    </w:p>
    <w:p w14:paraId="62BC3559"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iCs/>
          <w:spacing w:val="-6"/>
          <w:sz w:val="24"/>
          <w:szCs w:val="24"/>
        </w:rPr>
        <w:t xml:space="preserve">Консервативното лечение </w:t>
      </w:r>
      <w:r w:rsidRPr="00AE47C6">
        <w:rPr>
          <w:rFonts w:ascii="Times New Roman" w:eastAsia="SimSun" w:hAnsi="Times New Roman"/>
          <w:spacing w:val="-6"/>
          <w:sz w:val="24"/>
          <w:szCs w:val="24"/>
        </w:rPr>
        <w:t>включва съответен режим и медикаменти за пред</w:t>
      </w:r>
      <w:r w:rsidRPr="00AE47C6">
        <w:rPr>
          <w:rFonts w:ascii="Times New Roman" w:eastAsia="SimSun" w:hAnsi="Times New Roman"/>
          <w:spacing w:val="1"/>
          <w:sz w:val="24"/>
          <w:szCs w:val="24"/>
        </w:rPr>
        <w:t>пазване от рецидив и развитие на вазоспазъм, в случаите, когато има противопоказания за оперативно лечение или отказ от страна на болния.</w:t>
      </w:r>
    </w:p>
    <w:p w14:paraId="69579044"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i/>
          <w:sz w:val="24"/>
          <w:szCs w:val="24"/>
        </w:rPr>
      </w:pPr>
      <w:r w:rsidRPr="00AE47C6">
        <w:rPr>
          <w:rFonts w:ascii="Times New Roman" w:eastAsia="SimSun" w:hAnsi="Times New Roman"/>
          <w:b/>
          <w:i/>
          <w:spacing w:val="-8"/>
          <w:sz w:val="24"/>
          <w:szCs w:val="24"/>
        </w:rPr>
        <w:t>П</w:t>
      </w:r>
      <w:r w:rsidRPr="00AE47C6">
        <w:rPr>
          <w:rFonts w:ascii="Times New Roman" w:eastAsia="SimSun" w:hAnsi="Times New Roman"/>
          <w:b/>
          <w:i/>
          <w:iCs/>
          <w:spacing w:val="-8"/>
          <w:sz w:val="24"/>
          <w:szCs w:val="24"/>
        </w:rPr>
        <w:t>рофилактиката на рецидив</w:t>
      </w:r>
      <w:r w:rsidRPr="00AE47C6">
        <w:rPr>
          <w:rFonts w:ascii="Times New Roman" w:eastAsia="SimSun" w:hAnsi="Times New Roman"/>
          <w:b/>
          <w:i/>
          <w:spacing w:val="18"/>
          <w:sz w:val="24"/>
          <w:szCs w:val="24"/>
        </w:rPr>
        <w:t>:</w:t>
      </w:r>
    </w:p>
    <w:p w14:paraId="5F4660FC"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1"/>
          <w:sz w:val="24"/>
          <w:szCs w:val="24"/>
        </w:rPr>
        <w:t>пълен</w:t>
      </w:r>
      <w:r w:rsidRPr="00AE47C6">
        <w:rPr>
          <w:rFonts w:ascii="Times New Roman" w:eastAsia="SimSun" w:hAnsi="Times New Roman"/>
          <w:spacing w:val="-3"/>
          <w:sz w:val="24"/>
          <w:szCs w:val="24"/>
        </w:rPr>
        <w:t xml:space="preserve"> физичен и психичен покой чрез строг постелен режим в продължение </w:t>
      </w:r>
      <w:r w:rsidRPr="00AE47C6">
        <w:rPr>
          <w:rFonts w:ascii="Times New Roman" w:eastAsia="SimSun" w:hAnsi="Times New Roman"/>
          <w:spacing w:val="-4"/>
          <w:sz w:val="24"/>
          <w:szCs w:val="24"/>
        </w:rPr>
        <w:t>на 3-4 седмици и аналгоседация.</w:t>
      </w:r>
    </w:p>
    <w:p w14:paraId="2A038D0C"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1"/>
          <w:sz w:val="24"/>
          <w:szCs w:val="24"/>
        </w:rPr>
        <w:t>редовна</w:t>
      </w:r>
      <w:r w:rsidRPr="00AE47C6">
        <w:rPr>
          <w:rFonts w:ascii="Times New Roman" w:eastAsia="SimSun" w:hAnsi="Times New Roman"/>
          <w:spacing w:val="-4"/>
          <w:sz w:val="24"/>
          <w:szCs w:val="24"/>
        </w:rPr>
        <w:t xml:space="preserve"> дефекация, осигурявана с подходящ хранителен режим, слабителни </w:t>
      </w:r>
      <w:r w:rsidRPr="00AE47C6">
        <w:rPr>
          <w:rFonts w:ascii="Times New Roman" w:eastAsia="SimSun" w:hAnsi="Times New Roman"/>
          <w:spacing w:val="3"/>
          <w:sz w:val="24"/>
          <w:szCs w:val="24"/>
        </w:rPr>
        <w:t>средства и очистителни клизми.</w:t>
      </w:r>
    </w:p>
    <w:p w14:paraId="6546D59B"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1"/>
          <w:sz w:val="24"/>
          <w:szCs w:val="24"/>
        </w:rPr>
        <w:t>системен</w:t>
      </w:r>
      <w:r w:rsidRPr="00AE47C6">
        <w:rPr>
          <w:rFonts w:ascii="Times New Roman" w:eastAsia="SimSun" w:hAnsi="Times New Roman"/>
          <w:spacing w:val="4"/>
          <w:sz w:val="24"/>
          <w:szCs w:val="24"/>
        </w:rPr>
        <w:t xml:space="preserve"> контрол на артериалното налягане</w:t>
      </w:r>
      <w:r w:rsidRPr="00AE47C6">
        <w:rPr>
          <w:rFonts w:ascii="Times New Roman" w:eastAsia="SimSun" w:hAnsi="Times New Roman"/>
          <w:sz w:val="24"/>
          <w:szCs w:val="24"/>
        </w:rPr>
        <w:t xml:space="preserve">. </w:t>
      </w:r>
      <w:r w:rsidRPr="00AE47C6">
        <w:rPr>
          <w:rFonts w:ascii="Times New Roman" w:eastAsia="SimSun" w:hAnsi="Times New Roman"/>
          <w:spacing w:val="-1"/>
          <w:sz w:val="24"/>
          <w:szCs w:val="24"/>
        </w:rPr>
        <w:t xml:space="preserve">При неоперирани болни с дългогодишна хипертония систолното налягане да </w:t>
      </w:r>
      <w:r w:rsidRPr="00AE47C6">
        <w:rPr>
          <w:rFonts w:ascii="Times New Roman" w:eastAsia="SimSun" w:hAnsi="Times New Roman"/>
          <w:spacing w:val="6"/>
          <w:sz w:val="24"/>
          <w:szCs w:val="24"/>
        </w:rPr>
        <w:t>не надвишава 160 mgНg (клас IIа, ниво С).</w:t>
      </w:r>
    </w:p>
    <w:p w14:paraId="697D89C0"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7"/>
          <w:sz w:val="24"/>
          <w:szCs w:val="24"/>
        </w:rPr>
        <w:t xml:space="preserve">при </w:t>
      </w:r>
      <w:r w:rsidRPr="00AE47C6">
        <w:rPr>
          <w:rFonts w:ascii="Times New Roman" w:eastAsia="SimSun" w:hAnsi="Times New Roman"/>
          <w:spacing w:val="-1"/>
          <w:sz w:val="24"/>
          <w:szCs w:val="24"/>
        </w:rPr>
        <w:t>извършване</w:t>
      </w:r>
      <w:r w:rsidRPr="00AE47C6">
        <w:rPr>
          <w:rFonts w:ascii="Times New Roman" w:eastAsia="SimSun" w:hAnsi="Times New Roman"/>
          <w:spacing w:val="-7"/>
          <w:sz w:val="24"/>
          <w:szCs w:val="24"/>
        </w:rPr>
        <w:t xml:space="preserve"> на болезнени манипулации (ЛП, поставяне на ЦВП и др.) допъ</w:t>
      </w:r>
      <w:r w:rsidRPr="00AE47C6">
        <w:rPr>
          <w:rFonts w:ascii="Times New Roman" w:eastAsia="SimSun" w:hAnsi="Times New Roman"/>
          <w:spacing w:val="1"/>
          <w:sz w:val="24"/>
          <w:szCs w:val="24"/>
        </w:rPr>
        <w:t>лнително обезболяване за да се избегнат транзиторни покачвания на арте</w:t>
      </w:r>
      <w:r w:rsidRPr="00AE47C6">
        <w:rPr>
          <w:rFonts w:ascii="Times New Roman" w:eastAsia="SimSun" w:hAnsi="Times New Roman"/>
          <w:spacing w:val="-3"/>
          <w:sz w:val="24"/>
          <w:szCs w:val="24"/>
        </w:rPr>
        <w:t>риалното налягане.</w:t>
      </w:r>
    </w:p>
    <w:p w14:paraId="101A80EA"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при наличие на епилептичните гърчове се използват подходящи </w:t>
      </w:r>
      <w:r w:rsidRPr="00AE47C6">
        <w:rPr>
          <w:rFonts w:ascii="Times New Roman" w:eastAsia="SimSun" w:hAnsi="Times New Roman"/>
          <w:spacing w:val="2"/>
          <w:sz w:val="24"/>
          <w:szCs w:val="24"/>
        </w:rPr>
        <w:t>антиконвулсанти (клас IIb, ниво В).</w:t>
      </w:r>
    </w:p>
    <w:p w14:paraId="63D055A4"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Веднага след САК могат да се използват профилактично антиконвулсанти (клас IIb, ниво B).</w:t>
      </w:r>
    </w:p>
    <w:p w14:paraId="4A725D1A"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 се препоръчва дълготрайната употреба на антиконвулсанти (клас III, ниво B), освен при пациенти с предхождаща епилепсия, интрацеребрален хематом, неповлияваща се хипертония, инфаркт или аневризма на средна мозъчна артерия (клас IIb, ниво B).</w:t>
      </w:r>
    </w:p>
    <w:p w14:paraId="206A9733"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i/>
          <w:iCs/>
          <w:spacing w:val="-12"/>
          <w:sz w:val="24"/>
          <w:szCs w:val="24"/>
        </w:rPr>
        <w:t>Профилактика и лечение на исхемично-хипоксичните изменения</w:t>
      </w:r>
      <w:r w:rsidRPr="00AE47C6">
        <w:rPr>
          <w:rFonts w:ascii="Times New Roman" w:eastAsia="SimSun" w:hAnsi="Times New Roman"/>
          <w:b/>
          <w:spacing w:val="-9"/>
          <w:sz w:val="24"/>
          <w:szCs w:val="24"/>
        </w:rPr>
        <w:t>:</w:t>
      </w:r>
    </w:p>
    <w:p w14:paraId="34373075"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pacing w:val="1"/>
          <w:sz w:val="24"/>
          <w:szCs w:val="24"/>
        </w:rPr>
      </w:pPr>
      <w:r w:rsidRPr="00AE47C6">
        <w:rPr>
          <w:rFonts w:ascii="Times New Roman" w:eastAsia="SimSun" w:hAnsi="Times New Roman"/>
          <w:spacing w:val="1"/>
          <w:sz w:val="24"/>
          <w:szCs w:val="24"/>
        </w:rPr>
        <w:t xml:space="preserve">Препоръчва се </w:t>
      </w:r>
      <w:r w:rsidRPr="00AE47C6">
        <w:rPr>
          <w:rFonts w:ascii="Times New Roman" w:eastAsia="SimSun" w:hAnsi="Times New Roman"/>
          <w:sz w:val="24"/>
          <w:szCs w:val="24"/>
        </w:rPr>
        <w:t>поддържане</w:t>
      </w:r>
      <w:r w:rsidRPr="00AE47C6">
        <w:rPr>
          <w:rFonts w:ascii="Times New Roman" w:eastAsia="SimSun" w:hAnsi="Times New Roman"/>
          <w:spacing w:val="1"/>
          <w:sz w:val="24"/>
          <w:szCs w:val="24"/>
        </w:rPr>
        <w:t xml:space="preserve"> на нормоволемия и нормален обем на циркулиращата кръв (клас I, ниво B).</w:t>
      </w:r>
    </w:p>
    <w:p w14:paraId="444AC36F"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1"/>
          <w:sz w:val="24"/>
          <w:szCs w:val="24"/>
        </w:rPr>
        <w:t xml:space="preserve">Хиперволемична </w:t>
      </w:r>
      <w:r w:rsidRPr="00AE47C6">
        <w:rPr>
          <w:rFonts w:ascii="Times New Roman" w:eastAsia="SimSun" w:hAnsi="Times New Roman"/>
          <w:sz w:val="24"/>
          <w:szCs w:val="24"/>
        </w:rPr>
        <w:t>хемодилуция</w:t>
      </w:r>
      <w:r w:rsidRPr="00AE47C6">
        <w:rPr>
          <w:rFonts w:ascii="Times New Roman" w:eastAsia="SimSun" w:hAnsi="Times New Roman"/>
          <w:spacing w:val="1"/>
          <w:sz w:val="24"/>
          <w:szCs w:val="24"/>
        </w:rPr>
        <w:t xml:space="preserve"> в съчетание с артериална хипертензия, се прилага при болни с клипси</w:t>
      </w:r>
      <w:r w:rsidRPr="00AE47C6">
        <w:rPr>
          <w:rFonts w:ascii="Times New Roman" w:eastAsia="SimSun" w:hAnsi="Times New Roman"/>
          <w:spacing w:val="2"/>
          <w:sz w:val="24"/>
          <w:szCs w:val="24"/>
        </w:rPr>
        <w:t>рана аневризма, за да се увеличат мозъ</w:t>
      </w:r>
      <w:r w:rsidRPr="00AE47C6">
        <w:rPr>
          <w:rFonts w:ascii="Times New Roman" w:eastAsia="SimSun" w:hAnsi="Times New Roman"/>
          <w:spacing w:val="1"/>
          <w:sz w:val="24"/>
          <w:szCs w:val="24"/>
        </w:rPr>
        <w:t>чния кръвоток и мозъчното перфузионно налягане и да се подобри хеморе</w:t>
      </w:r>
      <w:r w:rsidRPr="00AE47C6">
        <w:rPr>
          <w:rFonts w:ascii="Times New Roman" w:eastAsia="SimSun" w:hAnsi="Times New Roman"/>
          <w:spacing w:val="2"/>
          <w:sz w:val="24"/>
          <w:szCs w:val="24"/>
        </w:rPr>
        <w:t>ологията (да се подържа хематокрит между 0,33 и 0,38).</w:t>
      </w:r>
    </w:p>
    <w:p w14:paraId="03384561"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pacing w:val="2"/>
          <w:sz w:val="24"/>
          <w:szCs w:val="24"/>
        </w:rPr>
      </w:pPr>
      <w:r w:rsidRPr="00AE47C6">
        <w:rPr>
          <w:rFonts w:ascii="Times New Roman" w:eastAsia="SimSun" w:hAnsi="Times New Roman"/>
          <w:spacing w:val="2"/>
          <w:sz w:val="24"/>
          <w:szCs w:val="24"/>
        </w:rPr>
        <w:t xml:space="preserve">Не се </w:t>
      </w:r>
      <w:r w:rsidRPr="00AE47C6">
        <w:rPr>
          <w:rFonts w:ascii="Times New Roman" w:eastAsia="SimSun" w:hAnsi="Times New Roman"/>
          <w:sz w:val="24"/>
          <w:szCs w:val="24"/>
        </w:rPr>
        <w:t>препоръчва</w:t>
      </w:r>
      <w:r w:rsidRPr="00AE47C6">
        <w:rPr>
          <w:rFonts w:ascii="Times New Roman" w:eastAsia="SimSun" w:hAnsi="Times New Roman"/>
          <w:spacing w:val="2"/>
          <w:sz w:val="24"/>
          <w:szCs w:val="24"/>
        </w:rPr>
        <w:t xml:space="preserve"> профилактична хиперволемия или балонна ангиопластика преди развитието на ангиографски доказан съдов спазъм (клас III, ниво B).</w:t>
      </w:r>
    </w:p>
    <w:p w14:paraId="20CA5BBA"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Прилагане</w:t>
      </w:r>
      <w:r w:rsidRPr="00AE47C6">
        <w:rPr>
          <w:rFonts w:ascii="Times New Roman" w:eastAsia="SimSun" w:hAnsi="Times New Roman"/>
          <w:spacing w:val="5"/>
          <w:sz w:val="24"/>
          <w:szCs w:val="24"/>
        </w:rPr>
        <w:t xml:space="preserve"> на калциеви антагонисти (nimodipine) флакони от 50 ml </w:t>
      </w:r>
      <w:r w:rsidRPr="00AE47C6">
        <w:rPr>
          <w:rFonts w:ascii="Times New Roman" w:eastAsia="SimSun" w:hAnsi="Times New Roman"/>
          <w:spacing w:val="1"/>
          <w:sz w:val="24"/>
          <w:szCs w:val="24"/>
        </w:rPr>
        <w:t>(10 mg), в непрекъсната венозна инфузия чрез перфузор 1-2 mg/h, или перо</w:t>
      </w:r>
      <w:r w:rsidRPr="00AE47C6">
        <w:rPr>
          <w:rFonts w:ascii="Times New Roman" w:eastAsia="SimSun" w:hAnsi="Times New Roman"/>
          <w:spacing w:val="6"/>
          <w:sz w:val="24"/>
          <w:szCs w:val="24"/>
        </w:rPr>
        <w:t xml:space="preserve">рален прием на таблетки от 30 mg (обща дневна доза 240-300 mg) – при АН над 120/75 mmHg. При стойности на АН под тези, приложение на </w:t>
      </w:r>
      <w:r w:rsidRPr="00AE47C6">
        <w:rPr>
          <w:rFonts w:ascii="Times New Roman" w:eastAsia="SimSun" w:hAnsi="Times New Roman"/>
          <w:spacing w:val="5"/>
          <w:sz w:val="24"/>
          <w:szCs w:val="24"/>
        </w:rPr>
        <w:t>nimodipine</w:t>
      </w:r>
      <w:r w:rsidRPr="00AE47C6">
        <w:rPr>
          <w:rFonts w:ascii="Times New Roman" w:eastAsia="SimSun" w:hAnsi="Times New Roman"/>
          <w:spacing w:val="6"/>
          <w:sz w:val="24"/>
          <w:szCs w:val="24"/>
        </w:rPr>
        <w:t xml:space="preserve"> е противопоказано (клас I, ниво А).</w:t>
      </w:r>
    </w:p>
    <w:p w14:paraId="0E2DBEF9"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pacing w:val="6"/>
          <w:sz w:val="24"/>
          <w:szCs w:val="24"/>
        </w:rPr>
      </w:pPr>
      <w:r w:rsidRPr="00AE47C6">
        <w:rPr>
          <w:rFonts w:ascii="Times New Roman" w:eastAsia="SimSun" w:hAnsi="Times New Roman"/>
          <w:spacing w:val="6"/>
          <w:sz w:val="24"/>
          <w:szCs w:val="24"/>
        </w:rPr>
        <w:t xml:space="preserve">За </w:t>
      </w:r>
      <w:r w:rsidRPr="00AE47C6">
        <w:rPr>
          <w:rFonts w:ascii="Times New Roman" w:eastAsia="SimSun" w:hAnsi="Times New Roman"/>
          <w:sz w:val="24"/>
          <w:szCs w:val="24"/>
        </w:rPr>
        <w:t>мониториране</w:t>
      </w:r>
      <w:r w:rsidRPr="00AE47C6">
        <w:rPr>
          <w:rFonts w:ascii="Times New Roman" w:eastAsia="SimSun" w:hAnsi="Times New Roman"/>
          <w:spacing w:val="6"/>
          <w:sz w:val="24"/>
          <w:szCs w:val="24"/>
        </w:rPr>
        <w:t xml:space="preserve"> на артериалния вазоспазъм може да се използва транскраниална Доплерова сонография (клас IIa, ниво B).</w:t>
      </w:r>
    </w:p>
    <w:p w14:paraId="0C041D1E"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3"/>
          <w:sz w:val="24"/>
          <w:szCs w:val="24"/>
        </w:rPr>
        <w:t xml:space="preserve">При </w:t>
      </w:r>
      <w:r w:rsidRPr="00AE47C6">
        <w:rPr>
          <w:rFonts w:ascii="Times New Roman" w:eastAsia="SimSun" w:hAnsi="Times New Roman"/>
          <w:sz w:val="24"/>
          <w:szCs w:val="24"/>
        </w:rPr>
        <w:t>болни</w:t>
      </w:r>
      <w:r w:rsidRPr="00AE47C6">
        <w:rPr>
          <w:rFonts w:ascii="Times New Roman" w:eastAsia="SimSun" w:hAnsi="Times New Roman"/>
          <w:spacing w:val="-3"/>
          <w:sz w:val="24"/>
          <w:szCs w:val="24"/>
        </w:rPr>
        <w:t xml:space="preserve"> с клипсирана аневризма и клинични данни за мозъчна исхемия, се </w:t>
      </w:r>
      <w:r w:rsidRPr="00AE47C6">
        <w:rPr>
          <w:rFonts w:ascii="Times New Roman" w:eastAsia="SimSun" w:hAnsi="Times New Roman"/>
          <w:sz w:val="24"/>
          <w:szCs w:val="24"/>
        </w:rPr>
        <w:t>препоръчва стойностите на систоличното налягане да са по-високи - до 200 mm</w:t>
      </w:r>
      <w:r w:rsidRPr="00AE47C6">
        <w:rPr>
          <w:rFonts w:ascii="Times New Roman" w:eastAsia="SimSun" w:hAnsi="Times New Roman"/>
          <w:spacing w:val="1"/>
          <w:sz w:val="24"/>
          <w:szCs w:val="24"/>
        </w:rPr>
        <w:t xml:space="preserve">Hg </w:t>
      </w:r>
      <w:r w:rsidRPr="00AE47C6">
        <w:rPr>
          <w:rFonts w:ascii="Times New Roman" w:eastAsia="SimSun" w:hAnsi="Times New Roman"/>
          <w:sz w:val="24"/>
          <w:szCs w:val="24"/>
        </w:rPr>
        <w:t>или да се поддържат с кардиотоници (клас IIa, ниво В).</w:t>
      </w:r>
    </w:p>
    <w:p w14:paraId="14DDC664"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Необходимо е да се мониторира централното венозно налягане и баланса на течности и да се прилагат при нужда кристалоиди или колоидни флуиди (клас IIa, ниво B).</w:t>
      </w:r>
    </w:p>
    <w:p w14:paraId="1B10B08A"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Централното венозно налягане</w:t>
      </w:r>
      <w:r w:rsidRPr="00AE47C6">
        <w:rPr>
          <w:rFonts w:ascii="Times New Roman" w:eastAsia="SimSun" w:hAnsi="Times New Roman"/>
          <w:spacing w:val="2"/>
          <w:sz w:val="24"/>
          <w:szCs w:val="24"/>
        </w:rPr>
        <w:t xml:space="preserve"> да не надвишава 120 mm Н</w:t>
      </w:r>
      <w:r w:rsidRPr="00AE47C6">
        <w:rPr>
          <w:rFonts w:ascii="Times New Roman" w:eastAsia="SimSun" w:hAnsi="Times New Roman"/>
          <w:spacing w:val="2"/>
          <w:sz w:val="24"/>
          <w:szCs w:val="24"/>
          <w:vertAlign w:val="subscript"/>
        </w:rPr>
        <w:t>2</w:t>
      </w:r>
      <w:r w:rsidRPr="00AE47C6">
        <w:rPr>
          <w:rFonts w:ascii="Times New Roman" w:eastAsia="SimSun" w:hAnsi="Times New Roman"/>
          <w:spacing w:val="2"/>
          <w:sz w:val="24"/>
          <w:szCs w:val="24"/>
        </w:rPr>
        <w:t>О стълб поради опасност от белодробен оток, сърдечна декомпенсация и мозъчен оток.</w:t>
      </w:r>
    </w:p>
    <w:p w14:paraId="6A51592D"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pacing w:val="2"/>
          <w:sz w:val="24"/>
          <w:szCs w:val="24"/>
        </w:rPr>
      </w:pPr>
      <w:r w:rsidRPr="00AE47C6">
        <w:rPr>
          <w:rFonts w:ascii="Times New Roman" w:eastAsia="SimSun" w:hAnsi="Times New Roman"/>
          <w:spacing w:val="2"/>
          <w:sz w:val="24"/>
          <w:szCs w:val="24"/>
        </w:rPr>
        <w:t xml:space="preserve">В острата </w:t>
      </w:r>
      <w:r w:rsidRPr="00AE47C6">
        <w:rPr>
          <w:rFonts w:ascii="Times New Roman" w:eastAsia="SimSun" w:hAnsi="Times New Roman"/>
          <w:sz w:val="24"/>
          <w:szCs w:val="24"/>
        </w:rPr>
        <w:t>фаза</w:t>
      </w:r>
      <w:r w:rsidRPr="00AE47C6">
        <w:rPr>
          <w:rFonts w:ascii="Times New Roman" w:eastAsia="SimSun" w:hAnsi="Times New Roman"/>
          <w:spacing w:val="2"/>
          <w:sz w:val="24"/>
          <w:szCs w:val="24"/>
        </w:rPr>
        <w:t xml:space="preserve"> на САК е необходимо агресивно поддържане на  нормотермия (клас IIa, ниво B).</w:t>
      </w:r>
    </w:p>
    <w:p w14:paraId="4DD6F248"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pacing w:val="2"/>
          <w:sz w:val="24"/>
          <w:szCs w:val="24"/>
        </w:rPr>
      </w:pPr>
      <w:r w:rsidRPr="00AE47C6">
        <w:rPr>
          <w:rFonts w:ascii="Times New Roman" w:eastAsia="SimSun" w:hAnsi="Times New Roman"/>
          <w:sz w:val="24"/>
          <w:szCs w:val="24"/>
        </w:rPr>
        <w:t>Поддържане</w:t>
      </w:r>
      <w:r w:rsidRPr="00AE47C6">
        <w:rPr>
          <w:rFonts w:ascii="Times New Roman" w:eastAsia="SimSun" w:hAnsi="Times New Roman"/>
          <w:spacing w:val="2"/>
          <w:sz w:val="24"/>
          <w:szCs w:val="24"/>
        </w:rPr>
        <w:t xml:space="preserve"> в норма на кръвната захар и предпазване от хипогликемия (клас IIb, ниво B).</w:t>
      </w:r>
    </w:p>
    <w:p w14:paraId="4A199351"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pacing w:val="2"/>
          <w:sz w:val="24"/>
          <w:szCs w:val="24"/>
        </w:rPr>
      </w:pPr>
      <w:r w:rsidRPr="00AE47C6">
        <w:rPr>
          <w:rFonts w:ascii="Times New Roman" w:eastAsia="SimSun" w:hAnsi="Times New Roman"/>
          <w:spacing w:val="2"/>
          <w:sz w:val="24"/>
          <w:szCs w:val="24"/>
        </w:rPr>
        <w:t xml:space="preserve">За </w:t>
      </w:r>
      <w:r w:rsidRPr="00AE47C6">
        <w:rPr>
          <w:rFonts w:ascii="Times New Roman" w:eastAsia="SimSun" w:hAnsi="Times New Roman"/>
          <w:sz w:val="24"/>
          <w:szCs w:val="24"/>
        </w:rPr>
        <w:t>профилактика</w:t>
      </w:r>
      <w:r w:rsidRPr="00AE47C6">
        <w:rPr>
          <w:rFonts w:ascii="Times New Roman" w:eastAsia="SimSun" w:hAnsi="Times New Roman"/>
          <w:spacing w:val="2"/>
          <w:sz w:val="24"/>
          <w:szCs w:val="24"/>
        </w:rPr>
        <w:t xml:space="preserve"> и корекция на хипонатриемията се прилага fludrocortison acetate (клас IIa, ниво B).</w:t>
      </w:r>
    </w:p>
    <w:p w14:paraId="52355820"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Необходим</w:t>
      </w:r>
      <w:r w:rsidRPr="00AE47C6">
        <w:rPr>
          <w:rFonts w:ascii="Times New Roman" w:eastAsia="SimSun" w:hAnsi="Times New Roman"/>
          <w:spacing w:val="-2"/>
          <w:sz w:val="24"/>
          <w:szCs w:val="24"/>
        </w:rPr>
        <w:t xml:space="preserve"> е контрол на електролитите и поддържане на кислородна сату</w:t>
      </w:r>
      <w:r w:rsidRPr="00AE47C6">
        <w:rPr>
          <w:rFonts w:ascii="Times New Roman" w:eastAsia="SimSun" w:hAnsi="Times New Roman"/>
          <w:spacing w:val="-7"/>
          <w:sz w:val="24"/>
          <w:szCs w:val="24"/>
        </w:rPr>
        <w:t>рация над 95%.</w:t>
      </w:r>
    </w:p>
    <w:p w14:paraId="6382AB53" w14:textId="77777777" w:rsidR="00BE0B19" w:rsidRPr="00AE47C6" w:rsidRDefault="00BE0B19" w:rsidP="00BE0B19">
      <w:pPr>
        <w:widowControl w:val="0"/>
        <w:numPr>
          <w:ilvl w:val="0"/>
          <w:numId w:val="117"/>
        </w:numPr>
        <w:shd w:val="clear" w:color="auto" w:fill="FFFFFF"/>
        <w:tabs>
          <w:tab w:val="left" w:pos="-360"/>
          <w:tab w:val="left" w:pos="221"/>
        </w:tabs>
        <w:autoSpaceDE w:val="0"/>
        <w:autoSpaceDN w:val="0"/>
        <w:adjustRightInd w:val="0"/>
        <w:spacing w:after="0" w:line="360" w:lineRule="auto"/>
        <w:jc w:val="both"/>
        <w:rPr>
          <w:rFonts w:ascii="Times New Roman" w:eastAsia="SimSun" w:hAnsi="Times New Roman"/>
          <w:spacing w:val="-2"/>
          <w:sz w:val="24"/>
          <w:szCs w:val="24"/>
        </w:rPr>
      </w:pPr>
      <w:r w:rsidRPr="00AE47C6">
        <w:rPr>
          <w:rFonts w:ascii="Times New Roman" w:eastAsia="SimSun" w:hAnsi="Times New Roman"/>
          <w:spacing w:val="-2"/>
          <w:sz w:val="24"/>
          <w:szCs w:val="24"/>
        </w:rPr>
        <w:t xml:space="preserve">За лечение на </w:t>
      </w:r>
      <w:r w:rsidRPr="00AE47C6">
        <w:rPr>
          <w:rFonts w:ascii="Times New Roman" w:eastAsia="SimSun" w:hAnsi="Times New Roman"/>
          <w:sz w:val="24"/>
          <w:szCs w:val="24"/>
        </w:rPr>
        <w:t>анемията</w:t>
      </w:r>
      <w:r w:rsidRPr="00AE47C6">
        <w:rPr>
          <w:rFonts w:ascii="Times New Roman" w:eastAsia="SimSun" w:hAnsi="Times New Roman"/>
          <w:spacing w:val="-2"/>
          <w:sz w:val="24"/>
          <w:szCs w:val="24"/>
        </w:rPr>
        <w:t xml:space="preserve"> при пациенти със САК и риск от мозъчна исхемия може да се приложи трансфузия на еритроцити. Оптималното ниво на хемоглобина не е установено (клас IIb, ниво B).</w:t>
      </w:r>
    </w:p>
    <w:p w14:paraId="26F377FB" w14:textId="77777777" w:rsidR="00BE0B19" w:rsidRPr="00AE47C6" w:rsidRDefault="00BE0B19" w:rsidP="00BE0B19">
      <w:pPr>
        <w:shd w:val="clear" w:color="auto" w:fill="FFFFFF"/>
        <w:tabs>
          <w:tab w:val="left" w:pos="221"/>
        </w:tabs>
        <w:spacing w:after="0" w:line="360" w:lineRule="auto"/>
        <w:ind w:left="720"/>
        <w:jc w:val="both"/>
        <w:rPr>
          <w:rFonts w:ascii="Times New Roman" w:eastAsia="SimSun" w:hAnsi="Times New Roman"/>
          <w:spacing w:val="6"/>
          <w:sz w:val="24"/>
          <w:szCs w:val="24"/>
        </w:rPr>
      </w:pPr>
    </w:p>
    <w:p w14:paraId="654E9014"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pacing w:val="-10"/>
          <w:sz w:val="24"/>
          <w:szCs w:val="24"/>
        </w:rPr>
      </w:pPr>
      <w:bookmarkStart w:id="29" w:name="_Toc155651714"/>
      <w:bookmarkStart w:id="30" w:name="_Toc164075846"/>
      <w:r w:rsidRPr="00AE47C6">
        <w:rPr>
          <w:rFonts w:ascii="Times New Roman" w:eastAsia="SimSun" w:hAnsi="Times New Roman"/>
          <w:b/>
          <w:sz w:val="24"/>
          <w:szCs w:val="24"/>
        </w:rPr>
        <w:t>1.6. Тромбози на мозъчните вени и д</w:t>
      </w:r>
      <w:r w:rsidRPr="00AE47C6">
        <w:rPr>
          <w:rFonts w:ascii="Times New Roman" w:eastAsia="SimSun" w:hAnsi="Times New Roman"/>
          <w:b/>
          <w:spacing w:val="-10"/>
          <w:sz w:val="24"/>
          <w:szCs w:val="24"/>
        </w:rPr>
        <w:t>урални синуси</w:t>
      </w:r>
      <w:bookmarkEnd w:id="29"/>
      <w:bookmarkEnd w:id="30"/>
    </w:p>
    <w:p w14:paraId="11FA3C70" w14:textId="77777777" w:rsidR="00BE0B19" w:rsidRPr="00AE47C6" w:rsidRDefault="00BE0B19" w:rsidP="00BE0B19">
      <w:pPr>
        <w:widowControl w:val="0"/>
        <w:shd w:val="clear" w:color="auto" w:fill="FFFFFF"/>
        <w:tabs>
          <w:tab w:val="left" w:pos="220"/>
        </w:tabs>
        <w:autoSpaceDE w:val="0"/>
        <w:autoSpaceDN w:val="0"/>
        <w:adjustRightInd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Тромбози на мозъчните вени и синуси</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ТМВДС) представляват около 1% от мозъчните исхемии. Честотата на заболяването е около 3-4/1 000 000 души, като при децата достига до 7/1 000 000 души. Пикът на заболяването е във възрастта до 1 г. (до 43% са новородени, основно при дехидратация, 55% са до 6 месечна възраст) и в третата декада, като по-често (75%) се среща при жените. Най-често засегнати са sinus sagittalis superior и lateralis (transversus), по-рядко – sinus rectus и cavernosus и коровите вени. </w:t>
      </w:r>
    </w:p>
    <w:p w14:paraId="47ED611D" w14:textId="77777777" w:rsidR="00BE0B19" w:rsidRPr="00AE47C6" w:rsidRDefault="00BE0B19" w:rsidP="00BE0B19">
      <w:pPr>
        <w:widowControl w:val="0"/>
        <w:shd w:val="clear" w:color="auto" w:fill="FFFFFF"/>
        <w:tabs>
          <w:tab w:val="left" w:pos="220"/>
        </w:tabs>
        <w:autoSpaceDE w:val="0"/>
        <w:autoSpaceDN w:val="0"/>
        <w:adjustRightInd w:val="0"/>
        <w:spacing w:after="0" w:line="360" w:lineRule="auto"/>
        <w:ind w:left="360"/>
        <w:jc w:val="both"/>
        <w:rPr>
          <w:rFonts w:ascii="Times New Roman" w:eastAsia="SimSun" w:hAnsi="Times New Roman"/>
          <w:spacing w:val="-3"/>
          <w:sz w:val="24"/>
          <w:szCs w:val="24"/>
        </w:rPr>
      </w:pPr>
    </w:p>
    <w:p w14:paraId="78B379DC"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ab/>
        <w:t xml:space="preserve">Класификацията </w:t>
      </w:r>
      <w:r w:rsidRPr="00AE47C6">
        <w:rPr>
          <w:rFonts w:ascii="Times New Roman" w:eastAsia="SimSun" w:hAnsi="Times New Roman"/>
          <w:sz w:val="24"/>
          <w:szCs w:val="24"/>
        </w:rPr>
        <w:t>е по различни критерии:</w:t>
      </w:r>
    </w:p>
    <w:p w14:paraId="1856F572"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1) Етиология: </w:t>
      </w:r>
    </w:p>
    <w:p w14:paraId="5B12C81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а) първични (идиопатични)</w:t>
      </w:r>
    </w:p>
    <w:p w14:paraId="7A93049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б) вторични (симптоматични)</w:t>
      </w:r>
    </w:p>
    <w:p w14:paraId="75247783"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2. Наличие на инфекция:</w:t>
      </w:r>
    </w:p>
    <w:p w14:paraId="1309C84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а) инфекциозни</w:t>
      </w:r>
    </w:p>
    <w:p w14:paraId="79548CE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б) неинфекциозни</w:t>
      </w:r>
    </w:p>
    <w:p w14:paraId="3BAF5117"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3. Засегнат синус:</w:t>
      </w:r>
    </w:p>
    <w:p w14:paraId="4FC6B5E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a) sinus sagittalis superior</w:t>
      </w:r>
    </w:p>
    <w:p w14:paraId="153D0A8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б) sinus transversus </w:t>
      </w:r>
    </w:p>
    <w:p w14:paraId="61C9ABF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в) sinus cavernosus </w:t>
      </w:r>
    </w:p>
    <w:p w14:paraId="10D620A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г) sinus petrosus superior и inferior </w:t>
      </w:r>
    </w:p>
    <w:p w14:paraId="01AF9A4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д) повърхностни (корови) вени</w:t>
      </w:r>
    </w:p>
    <w:p w14:paraId="48BEA069"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sz w:val="24"/>
          <w:szCs w:val="24"/>
        </w:rPr>
        <w:t xml:space="preserve"> е) дълбоки мозъчни вени</w:t>
      </w:r>
    </w:p>
    <w:p w14:paraId="541CB755" w14:textId="77777777" w:rsidR="00BE0B19" w:rsidRPr="00AE47C6" w:rsidRDefault="00BE0B19" w:rsidP="00BE0B19">
      <w:pPr>
        <w:keepNext/>
        <w:keepLines/>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Етиология.</w:t>
      </w:r>
      <w:r w:rsidRPr="00AE47C6">
        <w:rPr>
          <w:rFonts w:ascii="Times New Roman" w:eastAsia="SimSun" w:hAnsi="Times New Roman"/>
          <w:sz w:val="24"/>
          <w:szCs w:val="24"/>
        </w:rPr>
        <w:t xml:space="preserve"> Най-значимите фактори, предразполагащи към възникване на ТМВВС (Табл.1. 3) са: коагулопатии с хиперкоагулабилитет и тромбофилни състояния; системна или локална инфекция с последващо разпространение; бременност и прием на контрацептиви; болест на Behcet; съединителнотъканна патология; неоплазии и постоперативни състояния. Тромбофилните състояния са налице при около 86% от пациентите с ТМВВС. Често се среща при болни с генетична предиспозиция, при които има краниална травма или бременност с индуцирано родоразрешение. Приемът на орални контрацептиви (по-специално трета генерация) има повишен риск от развитие на венозна тромбоза. Механично травматизиране на дуралните синуси може да се получи при югуларна катетризация или неврохирургична интервенция. При отит и/или мастоидит инфекцията може да се разпространи към прилежащите sinus transversus и sigmoideus. </w:t>
      </w:r>
    </w:p>
    <w:p w14:paraId="6CB22AE4"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Табл. 1.3. Причини и рискови фактори, съчетани с тромбоза на мозъчни вени и венозни синуси</w:t>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072"/>
      </w:tblGrid>
      <w:tr w:rsidR="00BE0B19" w:rsidRPr="00AE47C6" w14:paraId="24CE1FFE" w14:textId="77777777" w:rsidTr="00AD72E5">
        <w:tc>
          <w:tcPr>
            <w:tcW w:w="9072" w:type="dxa"/>
          </w:tcPr>
          <w:p w14:paraId="0A246611"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Генетични протромботични състояния</w:t>
            </w:r>
          </w:p>
          <w:p w14:paraId="316C49C2" w14:textId="77777777" w:rsidR="00BE0B19" w:rsidRPr="00AE47C6" w:rsidRDefault="00BE0B19" w:rsidP="00BE0B19">
            <w:pPr>
              <w:numPr>
                <w:ilvl w:val="0"/>
                <w:numId w:val="47"/>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дефицит на антитромбин</w:t>
            </w:r>
          </w:p>
          <w:p w14:paraId="22565811" w14:textId="77777777" w:rsidR="00BE0B19" w:rsidRPr="00AE47C6" w:rsidRDefault="00BE0B19" w:rsidP="00BE0B19">
            <w:pPr>
              <w:numPr>
                <w:ilvl w:val="0"/>
                <w:numId w:val="47"/>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дефицит на протеин C и протеин S</w:t>
            </w:r>
          </w:p>
          <w:p w14:paraId="657D4DAE" w14:textId="77777777" w:rsidR="00BE0B19" w:rsidRPr="00AE47C6" w:rsidRDefault="00BE0B19" w:rsidP="00BE0B19">
            <w:pPr>
              <w:numPr>
                <w:ilvl w:val="0"/>
                <w:numId w:val="47"/>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мутация на фактор V на Leiden</w:t>
            </w:r>
          </w:p>
          <w:p w14:paraId="1319ED52" w14:textId="77777777" w:rsidR="00BE0B19" w:rsidRPr="00AE47C6" w:rsidRDefault="00BE0B19" w:rsidP="00BE0B19">
            <w:pPr>
              <w:numPr>
                <w:ilvl w:val="0"/>
                <w:numId w:val="47"/>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мутация на протромбин</w:t>
            </w:r>
          </w:p>
          <w:p w14:paraId="64B225D9" w14:textId="77777777" w:rsidR="00BE0B19" w:rsidRPr="00AE47C6" w:rsidRDefault="00BE0B19" w:rsidP="00BE0B19">
            <w:pPr>
              <w:numPr>
                <w:ilvl w:val="0"/>
                <w:numId w:val="47"/>
              </w:numPr>
              <w:spacing w:after="0" w:line="360" w:lineRule="auto"/>
              <w:ind w:left="459" w:firstLine="0"/>
              <w:rPr>
                <w:rFonts w:ascii="Times New Roman" w:eastAsia="SimSun" w:hAnsi="Times New Roman"/>
                <w:sz w:val="24"/>
                <w:szCs w:val="24"/>
              </w:rPr>
            </w:pPr>
            <w:r w:rsidRPr="00AE47C6">
              <w:rPr>
                <w:rFonts w:ascii="Times New Roman" w:eastAsia="SimSun" w:hAnsi="Times New Roman"/>
                <w:sz w:val="24"/>
                <w:szCs w:val="24"/>
              </w:rPr>
              <w:t>хомоцистеинемия, причинена от генна мутация в гена за метилентетрахидрофолат редуктаза (MTHFR)</w:t>
            </w:r>
          </w:p>
          <w:p w14:paraId="2162E57A"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Придобити протромботични състояния</w:t>
            </w:r>
          </w:p>
          <w:p w14:paraId="6A0A4585" w14:textId="77777777" w:rsidR="00BE0B19" w:rsidRPr="00AE47C6" w:rsidRDefault="00BE0B19" w:rsidP="00BE0B19">
            <w:pPr>
              <w:numPr>
                <w:ilvl w:val="0"/>
                <w:numId w:val="48"/>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нефротичен синдром</w:t>
            </w:r>
          </w:p>
          <w:p w14:paraId="2719F51B" w14:textId="77777777" w:rsidR="00BE0B19" w:rsidRPr="00AE47C6" w:rsidRDefault="00BE0B19" w:rsidP="00BE0B19">
            <w:pPr>
              <w:numPr>
                <w:ilvl w:val="0"/>
                <w:numId w:val="48"/>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антифосфолипиден синдром</w:t>
            </w:r>
          </w:p>
          <w:p w14:paraId="29DCD4F7" w14:textId="77777777" w:rsidR="00BE0B19" w:rsidRPr="00AE47C6" w:rsidRDefault="00BE0B19" w:rsidP="00BE0B19">
            <w:pPr>
              <w:numPr>
                <w:ilvl w:val="0"/>
                <w:numId w:val="48"/>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хомоцистеинемия</w:t>
            </w:r>
          </w:p>
          <w:p w14:paraId="17E2DE80" w14:textId="77777777" w:rsidR="00BE0B19" w:rsidRPr="00AE47C6" w:rsidRDefault="00BE0B19" w:rsidP="00BE0B19">
            <w:pPr>
              <w:numPr>
                <w:ilvl w:val="0"/>
                <w:numId w:val="48"/>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бременност</w:t>
            </w:r>
          </w:p>
          <w:p w14:paraId="757E9503" w14:textId="77777777" w:rsidR="00BE0B19" w:rsidRPr="00AE47C6" w:rsidRDefault="00BE0B19" w:rsidP="00BE0B19">
            <w:pPr>
              <w:numPr>
                <w:ilvl w:val="0"/>
                <w:numId w:val="48"/>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пуерперален период</w:t>
            </w:r>
          </w:p>
          <w:p w14:paraId="14277CFE"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Инфекции</w:t>
            </w:r>
          </w:p>
          <w:p w14:paraId="49F2DB23" w14:textId="77777777" w:rsidR="00BE0B19" w:rsidRPr="00AE47C6" w:rsidRDefault="00BE0B19" w:rsidP="00BE0B19">
            <w:pPr>
              <w:numPr>
                <w:ilvl w:val="0"/>
                <w:numId w:val="49"/>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отит, мастоидит, синуит</w:t>
            </w:r>
          </w:p>
          <w:p w14:paraId="04CDB6C5" w14:textId="77777777" w:rsidR="00BE0B19" w:rsidRPr="00AE47C6" w:rsidRDefault="00BE0B19" w:rsidP="00BE0B19">
            <w:pPr>
              <w:numPr>
                <w:ilvl w:val="0"/>
                <w:numId w:val="49"/>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менингит</w:t>
            </w:r>
          </w:p>
          <w:p w14:paraId="62E94A01" w14:textId="77777777" w:rsidR="00BE0B19" w:rsidRPr="00AE47C6" w:rsidRDefault="00BE0B19" w:rsidP="00BE0B19">
            <w:pPr>
              <w:numPr>
                <w:ilvl w:val="0"/>
                <w:numId w:val="49"/>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системна инфекция</w:t>
            </w:r>
          </w:p>
          <w:p w14:paraId="2AC8E92C"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Възпалителни заболявания</w:t>
            </w:r>
          </w:p>
          <w:p w14:paraId="78A60A88" w14:textId="77777777" w:rsidR="00BE0B19" w:rsidRPr="00AE47C6" w:rsidRDefault="00BE0B19" w:rsidP="00BE0B19">
            <w:pPr>
              <w:numPr>
                <w:ilvl w:val="0"/>
                <w:numId w:val="50"/>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 xml:space="preserve">системен lupus erythematosus </w:t>
            </w:r>
          </w:p>
          <w:p w14:paraId="14EF0389" w14:textId="77777777" w:rsidR="00BE0B19" w:rsidRPr="00AE47C6" w:rsidRDefault="00BE0B19" w:rsidP="00BE0B19">
            <w:pPr>
              <w:numPr>
                <w:ilvl w:val="0"/>
                <w:numId w:val="50"/>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грануломатоза на Wegener</w:t>
            </w:r>
          </w:p>
          <w:p w14:paraId="306769A0" w14:textId="77777777" w:rsidR="00BE0B19" w:rsidRPr="00AE47C6" w:rsidRDefault="00BE0B19" w:rsidP="00BE0B19">
            <w:pPr>
              <w:numPr>
                <w:ilvl w:val="0"/>
                <w:numId w:val="50"/>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саркоидоза</w:t>
            </w:r>
          </w:p>
          <w:p w14:paraId="0A4BE436" w14:textId="77777777" w:rsidR="00BE0B19" w:rsidRPr="00AE47C6" w:rsidRDefault="00BE0B19" w:rsidP="00BE0B19">
            <w:pPr>
              <w:numPr>
                <w:ilvl w:val="0"/>
                <w:numId w:val="50"/>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чревно възпалително заболяване</w:t>
            </w:r>
          </w:p>
          <w:p w14:paraId="1C7EB13A" w14:textId="77777777" w:rsidR="00BE0B19" w:rsidRPr="00AE47C6" w:rsidRDefault="00BE0B19" w:rsidP="00BE0B19">
            <w:pPr>
              <w:numPr>
                <w:ilvl w:val="0"/>
                <w:numId w:val="50"/>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болест на Behcet</w:t>
            </w:r>
          </w:p>
          <w:p w14:paraId="4361CE18"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Хематологични заболявания</w:t>
            </w:r>
          </w:p>
          <w:p w14:paraId="1A2C4843" w14:textId="77777777" w:rsidR="00BE0B19" w:rsidRPr="00AE47C6" w:rsidRDefault="00BE0B19" w:rsidP="00BE0B19">
            <w:pPr>
              <w:numPr>
                <w:ilvl w:val="0"/>
                <w:numId w:val="51"/>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първична и вторична полицитемия</w:t>
            </w:r>
          </w:p>
          <w:p w14:paraId="2FDCE824" w14:textId="77777777" w:rsidR="00BE0B19" w:rsidRPr="00AE47C6" w:rsidRDefault="00BE0B19" w:rsidP="00BE0B19">
            <w:pPr>
              <w:numPr>
                <w:ilvl w:val="0"/>
                <w:numId w:val="51"/>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тромбоцитопения</w:t>
            </w:r>
          </w:p>
          <w:p w14:paraId="48C27097" w14:textId="77777777" w:rsidR="00BE0B19" w:rsidRPr="00AE47C6" w:rsidRDefault="00BE0B19" w:rsidP="00BE0B19">
            <w:pPr>
              <w:numPr>
                <w:ilvl w:val="0"/>
                <w:numId w:val="51"/>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левкемия</w:t>
            </w:r>
          </w:p>
          <w:p w14:paraId="66661D94" w14:textId="77777777" w:rsidR="00BE0B19" w:rsidRPr="00AE47C6" w:rsidRDefault="00BE0B19" w:rsidP="00BE0B19">
            <w:pPr>
              <w:numPr>
                <w:ilvl w:val="0"/>
                <w:numId w:val="51"/>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анемия, включително и пароксизмална нощна хемоглобинурия</w:t>
            </w:r>
          </w:p>
          <w:p w14:paraId="7689B6F7"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Медикаменти</w:t>
            </w:r>
          </w:p>
          <w:p w14:paraId="1C3D19C5" w14:textId="77777777" w:rsidR="00BE0B19" w:rsidRPr="00AE47C6" w:rsidRDefault="00BE0B19" w:rsidP="00BE0B19">
            <w:pPr>
              <w:numPr>
                <w:ilvl w:val="0"/>
                <w:numId w:val="52"/>
              </w:numPr>
              <w:spacing w:after="0" w:line="360" w:lineRule="auto"/>
              <w:ind w:left="743" w:hanging="284"/>
              <w:jc w:val="both"/>
              <w:rPr>
                <w:rFonts w:ascii="Times New Roman" w:eastAsia="SimSun" w:hAnsi="Times New Roman"/>
                <w:sz w:val="24"/>
                <w:szCs w:val="24"/>
              </w:rPr>
            </w:pPr>
            <w:r w:rsidRPr="00AE47C6">
              <w:rPr>
                <w:rFonts w:ascii="Times New Roman" w:eastAsia="SimSun" w:hAnsi="Times New Roman"/>
                <w:sz w:val="24"/>
                <w:szCs w:val="24"/>
              </w:rPr>
              <w:t>орални контрацептиви</w:t>
            </w:r>
          </w:p>
          <w:p w14:paraId="6F124DBD" w14:textId="77777777" w:rsidR="00BE0B19" w:rsidRPr="00AE47C6" w:rsidRDefault="00BE0B19" w:rsidP="00BE0B19">
            <w:pPr>
              <w:numPr>
                <w:ilvl w:val="0"/>
                <w:numId w:val="52"/>
              </w:numPr>
              <w:spacing w:after="0" w:line="360" w:lineRule="auto"/>
              <w:ind w:left="743" w:hanging="284"/>
              <w:jc w:val="both"/>
              <w:rPr>
                <w:rFonts w:ascii="Times New Roman" w:eastAsia="SimSun" w:hAnsi="Times New Roman"/>
                <w:sz w:val="24"/>
                <w:szCs w:val="24"/>
              </w:rPr>
            </w:pPr>
            <w:r w:rsidRPr="00AE47C6">
              <w:rPr>
                <w:rFonts w:ascii="Times New Roman" w:eastAsia="SimSun" w:hAnsi="Times New Roman"/>
                <w:sz w:val="24"/>
                <w:szCs w:val="24"/>
              </w:rPr>
              <w:t>аспергилоза</w:t>
            </w:r>
          </w:p>
          <w:p w14:paraId="2C3D4E30"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Механични причини, травми</w:t>
            </w:r>
          </w:p>
          <w:p w14:paraId="46ED4B19" w14:textId="77777777" w:rsidR="00BE0B19" w:rsidRPr="00AE47C6" w:rsidRDefault="00BE0B19" w:rsidP="00BE0B19">
            <w:pPr>
              <w:numPr>
                <w:ilvl w:val="0"/>
                <w:numId w:val="53"/>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краниална травма</w:t>
            </w:r>
          </w:p>
          <w:p w14:paraId="1866D8BF" w14:textId="77777777" w:rsidR="00BE0B19" w:rsidRPr="00AE47C6" w:rsidRDefault="00BE0B19" w:rsidP="00BE0B19">
            <w:pPr>
              <w:numPr>
                <w:ilvl w:val="0"/>
                <w:numId w:val="53"/>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травма на дуралните синуси или v. jugularis; югуларна катетризация</w:t>
            </w:r>
          </w:p>
          <w:p w14:paraId="3C95E8FC" w14:textId="77777777" w:rsidR="00BE0B19" w:rsidRPr="00AE47C6" w:rsidRDefault="00BE0B19" w:rsidP="00BE0B19">
            <w:pPr>
              <w:numPr>
                <w:ilvl w:val="0"/>
                <w:numId w:val="53"/>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неврохирургични причини</w:t>
            </w:r>
          </w:p>
          <w:p w14:paraId="5E17DDF7" w14:textId="77777777" w:rsidR="00BE0B19" w:rsidRPr="00AE47C6" w:rsidRDefault="00BE0B19" w:rsidP="00BE0B19">
            <w:pPr>
              <w:numPr>
                <w:ilvl w:val="0"/>
                <w:numId w:val="53"/>
              </w:numPr>
              <w:spacing w:after="0" w:line="360" w:lineRule="auto"/>
              <w:ind w:left="459" w:firstLine="0"/>
              <w:jc w:val="both"/>
              <w:rPr>
                <w:rFonts w:ascii="Times New Roman" w:eastAsia="SimSun" w:hAnsi="Times New Roman"/>
                <w:sz w:val="24"/>
                <w:szCs w:val="24"/>
              </w:rPr>
            </w:pPr>
            <w:r w:rsidRPr="00AE47C6">
              <w:rPr>
                <w:rFonts w:ascii="Times New Roman" w:eastAsia="SimSun" w:hAnsi="Times New Roman"/>
                <w:sz w:val="24"/>
                <w:szCs w:val="24"/>
              </w:rPr>
              <w:t>лумбална пункция</w:t>
            </w:r>
          </w:p>
          <w:p w14:paraId="54AB4570"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Други</w:t>
            </w:r>
          </w:p>
          <w:p w14:paraId="4993CB6E" w14:textId="77777777" w:rsidR="00BE0B19" w:rsidRPr="00AE47C6" w:rsidRDefault="00BE0B19" w:rsidP="00BE0B19">
            <w:pPr>
              <w:numPr>
                <w:ilvl w:val="0"/>
                <w:numId w:val="54"/>
              </w:numPr>
              <w:spacing w:after="0" w:line="360" w:lineRule="auto"/>
              <w:ind w:left="459" w:hanging="459"/>
              <w:jc w:val="both"/>
              <w:rPr>
                <w:rFonts w:ascii="Times New Roman" w:eastAsia="SimSun" w:hAnsi="Times New Roman"/>
                <w:sz w:val="24"/>
                <w:szCs w:val="24"/>
              </w:rPr>
            </w:pPr>
            <w:r w:rsidRPr="00AE47C6">
              <w:rPr>
                <w:rFonts w:ascii="Times New Roman" w:eastAsia="SimSun" w:hAnsi="Times New Roman"/>
                <w:sz w:val="24"/>
                <w:szCs w:val="24"/>
              </w:rPr>
              <w:t>дехидратация - особено при деца</w:t>
            </w:r>
          </w:p>
          <w:p w14:paraId="45F00A76" w14:textId="77777777" w:rsidR="00BE0B19" w:rsidRPr="00AE47C6" w:rsidRDefault="00BE0B19" w:rsidP="00BE0B19">
            <w:pPr>
              <w:numPr>
                <w:ilvl w:val="0"/>
                <w:numId w:val="54"/>
              </w:numPr>
              <w:spacing w:after="0" w:line="360" w:lineRule="auto"/>
              <w:ind w:left="459" w:hanging="459"/>
              <w:jc w:val="both"/>
              <w:rPr>
                <w:rFonts w:ascii="Times New Roman" w:eastAsia="SimSun" w:hAnsi="Times New Roman"/>
                <w:sz w:val="24"/>
                <w:szCs w:val="24"/>
              </w:rPr>
            </w:pPr>
            <w:r w:rsidRPr="00AE47C6">
              <w:rPr>
                <w:rFonts w:ascii="Times New Roman" w:eastAsia="SimSun" w:hAnsi="Times New Roman"/>
                <w:sz w:val="24"/>
                <w:szCs w:val="24"/>
              </w:rPr>
              <w:t>туморно новообразувание</w:t>
            </w:r>
          </w:p>
        </w:tc>
      </w:tr>
    </w:tbl>
    <w:p w14:paraId="12AE25EC" w14:textId="77777777" w:rsidR="00BE0B19" w:rsidRPr="00AE47C6" w:rsidRDefault="00BE0B19" w:rsidP="00BE0B19">
      <w:pPr>
        <w:keepNext/>
        <w:keepLines/>
        <w:widowControl w:val="0"/>
        <w:spacing w:after="0" w:line="360" w:lineRule="auto"/>
        <w:ind w:hanging="284"/>
        <w:jc w:val="both"/>
        <w:rPr>
          <w:rFonts w:ascii="Times New Roman" w:eastAsia="SimSun" w:hAnsi="Times New Roman"/>
          <w:b/>
          <w:sz w:val="24"/>
          <w:szCs w:val="24"/>
        </w:rPr>
      </w:pPr>
    </w:p>
    <w:p w14:paraId="3DF18F9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Клиника: </w:t>
      </w:r>
      <w:r w:rsidRPr="00AE47C6">
        <w:rPr>
          <w:rFonts w:ascii="Times New Roman" w:eastAsia="SimSun" w:hAnsi="Times New Roman"/>
          <w:sz w:val="24"/>
          <w:szCs w:val="24"/>
        </w:rPr>
        <w:t xml:space="preserve">Основните клинични прояви при мозъчните венозни тромбози са синдром на нарастваща интракраниална хипертенсия с количествени нарушения на съзнанието, гърчове до епилептичен статус, огнищна неврологична симптоматика при развитието на венозен (хеморагичен) мозъчен инфаркт. Симптомите настъпват по-бавно отколкото при артериалните тромбози. Гърчовете и комата са неблагоприятни прогностични фактори. Смъртността е висока (10-20%) особено в неонаталния период, 41% се нормализират, 46% са с остатъчен неврологичен дефицит. Най-често тромбозите се локализират в трансверзалните синуси (73%)  и сагиталните синуси (35%).  </w:t>
      </w:r>
    </w:p>
    <w:p w14:paraId="771FAC2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Изследвания. </w:t>
      </w:r>
      <w:r w:rsidRPr="00AE47C6">
        <w:rPr>
          <w:rFonts w:ascii="Times New Roman" w:eastAsia="SimSun" w:hAnsi="Times New Roman"/>
          <w:sz w:val="24"/>
          <w:szCs w:val="24"/>
        </w:rPr>
        <w:t>Метод на избор за диагностициране на ТМВВС са МРТ на глава с магнитно-резонансна венография - Т</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 xml:space="preserve"> и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МРТ изображенията показват хиперинтензен сигнал в тромбозиралите синуси; Конвенционалната </w:t>
      </w:r>
      <w:r w:rsidRPr="00AE47C6">
        <w:rPr>
          <w:rFonts w:ascii="Times New Roman" w:eastAsia="SimSun" w:hAnsi="Times New Roman"/>
          <w:i/>
          <w:sz w:val="24"/>
          <w:szCs w:val="24"/>
        </w:rPr>
        <w:t xml:space="preserve">мозъчна панангиография (венозна фаза), </w:t>
      </w:r>
      <w:r w:rsidRPr="00AE47C6">
        <w:rPr>
          <w:rFonts w:ascii="Times New Roman" w:eastAsia="SimSun" w:hAnsi="Times New Roman"/>
          <w:b/>
          <w:sz w:val="24"/>
          <w:szCs w:val="24"/>
        </w:rPr>
        <w:t xml:space="preserve">КТ. </w:t>
      </w:r>
      <w:r w:rsidRPr="00AE47C6">
        <w:rPr>
          <w:rFonts w:ascii="Times New Roman" w:eastAsia="SimSun" w:hAnsi="Times New Roman"/>
          <w:sz w:val="24"/>
          <w:szCs w:val="24"/>
        </w:rPr>
        <w:t xml:space="preserve">Провеждат се хематологични и биохимични изследвания, ликворни изследвания, микробиологични изследвания от серум и ликвор.                                                                                                                                                                                                                                                                                                                                                                                                                                                                                                                                                                                                                                                                                                                                                                                                                                                                                                                                                                                                                                                                                                                                                                                                                                                                                                                                                                                                                                                                                                                                                                                                                                                                                                                                                                                                                                                                                                                                                                                                                                                                                                                                                                                                                                                                                                             </w:t>
      </w:r>
    </w:p>
    <w:p w14:paraId="151BB1B4" w14:textId="77777777" w:rsidR="00BE0B19" w:rsidRPr="00AE47C6" w:rsidRDefault="00BE0B19" w:rsidP="00BE0B19">
      <w:pPr>
        <w:shd w:val="clear" w:color="auto" w:fill="FFFFFF"/>
        <w:spacing w:after="0" w:line="360" w:lineRule="auto"/>
        <w:ind w:left="1455"/>
        <w:contextualSpacing/>
        <w:jc w:val="both"/>
        <w:rPr>
          <w:rFonts w:ascii="Times New Roman" w:eastAsia="SimSun" w:hAnsi="Times New Roman"/>
          <w:b/>
          <w:iCs/>
          <w:spacing w:val="-10"/>
          <w:sz w:val="24"/>
          <w:szCs w:val="24"/>
        </w:rPr>
      </w:pPr>
      <w:r w:rsidRPr="00AE47C6">
        <w:rPr>
          <w:rFonts w:ascii="Times New Roman" w:eastAsia="SimSun" w:hAnsi="Times New Roman"/>
          <w:b/>
          <w:iCs/>
          <w:spacing w:val="-10"/>
          <w:sz w:val="24"/>
          <w:szCs w:val="24"/>
        </w:rPr>
        <w:t>Необходимо е:</w:t>
      </w:r>
    </w:p>
    <w:p w14:paraId="627D0AF3"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2"/>
          <w:sz w:val="24"/>
          <w:szCs w:val="24"/>
        </w:rPr>
        <w:t>Прецизна</w:t>
      </w:r>
      <w:r w:rsidRPr="00AE47C6">
        <w:rPr>
          <w:rFonts w:ascii="Times New Roman" w:eastAsia="SimSun" w:hAnsi="Times New Roman"/>
          <w:sz w:val="24"/>
          <w:szCs w:val="24"/>
        </w:rPr>
        <w:t xml:space="preserve"> анамнеза за употреба на хормонални антиконцептивни средства, </w:t>
      </w:r>
      <w:r w:rsidRPr="00AE47C6">
        <w:rPr>
          <w:rFonts w:ascii="Times New Roman" w:eastAsia="SimSun" w:hAnsi="Times New Roman"/>
          <w:spacing w:val="2"/>
          <w:sz w:val="24"/>
          <w:szCs w:val="24"/>
        </w:rPr>
        <w:t>бременност, пуерпериум, открити или закрити травми на гла</w:t>
      </w:r>
      <w:r w:rsidRPr="00AE47C6">
        <w:rPr>
          <w:rFonts w:ascii="Times New Roman" w:eastAsia="SimSun" w:hAnsi="Times New Roman"/>
          <w:spacing w:val="-4"/>
          <w:sz w:val="24"/>
          <w:szCs w:val="24"/>
        </w:rPr>
        <w:t>вата, зъбни грануломи, кръвни заболявания, васкулити, неоплазми и др.</w:t>
      </w:r>
    </w:p>
    <w:p w14:paraId="7219EDD5"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2"/>
          <w:sz w:val="24"/>
          <w:szCs w:val="24"/>
        </w:rPr>
        <w:t>Соматичен</w:t>
      </w:r>
      <w:r w:rsidRPr="00AE47C6">
        <w:rPr>
          <w:rFonts w:ascii="Times New Roman" w:eastAsia="SimSun" w:hAnsi="Times New Roman"/>
          <w:spacing w:val="8"/>
          <w:sz w:val="24"/>
          <w:szCs w:val="24"/>
        </w:rPr>
        <w:t xml:space="preserve"> статус.</w:t>
      </w:r>
    </w:p>
    <w:p w14:paraId="67C5F13F"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3"/>
          <w:sz w:val="24"/>
          <w:szCs w:val="24"/>
        </w:rPr>
        <w:t>Неврологичен статус – синдром на интракраниална хипертензия (с главоболие, диплопия) с или без гадене и повръщане, възможни епилептични гърчове, лезия на краниални нерви, двига</w:t>
      </w:r>
      <w:r w:rsidRPr="00AE47C6">
        <w:rPr>
          <w:rFonts w:ascii="Times New Roman" w:eastAsia="SimSun" w:hAnsi="Times New Roman"/>
          <w:spacing w:val="5"/>
          <w:sz w:val="24"/>
          <w:szCs w:val="24"/>
        </w:rPr>
        <w:t xml:space="preserve">телни и сетивни нарушения, афазия, дизартрия, общомозъчна симптоматика с количествени </w:t>
      </w:r>
      <w:r w:rsidRPr="00AE47C6">
        <w:rPr>
          <w:rFonts w:ascii="Times New Roman" w:eastAsia="SimSun" w:hAnsi="Times New Roman"/>
          <w:sz w:val="24"/>
          <w:szCs w:val="24"/>
        </w:rPr>
        <w:t>нарушения на съзнанието до кома.</w:t>
      </w:r>
    </w:p>
    <w:p w14:paraId="2FC4FB3E"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pacing w:val="3"/>
          <w:sz w:val="24"/>
          <w:szCs w:val="24"/>
        </w:rPr>
        <w:t xml:space="preserve">При </w:t>
      </w:r>
      <w:r w:rsidRPr="00AE47C6">
        <w:rPr>
          <w:rFonts w:ascii="Times New Roman" w:eastAsia="SimSun" w:hAnsi="Times New Roman"/>
          <w:spacing w:val="-3"/>
          <w:sz w:val="24"/>
          <w:szCs w:val="24"/>
        </w:rPr>
        <w:t>анамнестични</w:t>
      </w:r>
      <w:r w:rsidRPr="00AE47C6">
        <w:rPr>
          <w:rFonts w:ascii="Times New Roman" w:eastAsia="SimSun" w:hAnsi="Times New Roman"/>
          <w:spacing w:val="3"/>
          <w:sz w:val="24"/>
          <w:szCs w:val="24"/>
        </w:rPr>
        <w:t xml:space="preserve"> данни и симптоми от неврологичния статус </w:t>
      </w:r>
      <w:r w:rsidRPr="00AE47C6">
        <w:rPr>
          <w:rFonts w:ascii="Times New Roman" w:eastAsia="SimSun" w:hAnsi="Times New Roman"/>
          <w:spacing w:val="-2"/>
          <w:sz w:val="24"/>
          <w:szCs w:val="24"/>
        </w:rPr>
        <w:t>за ТМВДС, болният веднага се насочва чрез ЦСМП за спеш</w:t>
      </w:r>
      <w:r w:rsidRPr="00AE47C6">
        <w:rPr>
          <w:rFonts w:ascii="Times New Roman" w:eastAsia="SimSun" w:hAnsi="Times New Roman"/>
          <w:spacing w:val="2"/>
          <w:sz w:val="24"/>
          <w:szCs w:val="24"/>
        </w:rPr>
        <w:t xml:space="preserve">на хоспитализация. </w:t>
      </w:r>
    </w:p>
    <w:p w14:paraId="32E74EF1"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При клинично съмнение за ТМВДС е необходимо провеждането на пълна кръвна картина, биохимия, активирано парциално тромбопластиново време и протромбиново време (клас I, ниво C) с оглед установяване подлежащ хиперкоагулобилитет, инфекциозен или възпалителен процес.</w:t>
      </w:r>
    </w:p>
    <w:p w14:paraId="6ECC5016"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Уместно е изследването на D-димер (ELISA) преди извършването на образна диагностика (с изключение на случаите с изолирано главоболие или пролонгирана симптоматика – над седмица, поради риск от фалшиво отрицателни резултати), като нормалните стойности идентифицират пациентите с малка вероятност за ТМВДС (клас IIb, ниво B, ДКП).</w:t>
      </w:r>
    </w:p>
    <w:p w14:paraId="2F294258"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Необходимо е провеждането на образно изследване на венозната система с оглед изключване на ТМВДС при пациенти с клиничната картина на идиопатична интракраниална хипертензия (клас I, ниво C), при болни с главоболие с атипични признаци (клас IIa, ниво C), както и при пациенти с лобарни хематоми с неясна етиология и мозъчни инфаркти извън типичните артериални зони (клас I, ниво C). </w:t>
      </w:r>
    </w:p>
    <w:p w14:paraId="5CE3089A"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Лечението се състои в приложението на ниско-молекулярен хепарин или нефракциониран хепарин, дори и при налична паренхимна мозъчна хеморагия (клас IIa, ниво B, ДКП).</w:t>
      </w:r>
    </w:p>
    <w:p w14:paraId="0CCDE599"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Успоредно с антикоагулантната терапия, основните етиологични фактори трябва да бъдат търсени и третирани, както и да бъде провеждано адекватно симптоматично лечение, превенция и лечение на настъпилите усложнения.</w:t>
      </w:r>
    </w:p>
    <w:p w14:paraId="51EDD667"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Консенсусът се базира на препоръките за оптимално използване на орални антикоагуланти – вит. К-антагонисти, след острата фаза и консултация с хематолог. Ендоваскуларно лечение би могло да се обсъжда в случаите на клинично влошаване на фона на оптимална антикоагулантна терапия (клас IIb, ниво C).</w:t>
      </w:r>
    </w:p>
    <w:p w14:paraId="2C47139F"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При болни с </w:t>
      </w:r>
      <w:r w:rsidRPr="00AE47C6">
        <w:rPr>
          <w:rFonts w:ascii="Times New Roman" w:eastAsia="SimSun" w:hAnsi="Times New Roman"/>
          <w:spacing w:val="2"/>
          <w:sz w:val="24"/>
          <w:szCs w:val="24"/>
        </w:rPr>
        <w:t xml:space="preserve">тежък мозъчен оток и данни за вклиняване се провежда животоспасяваща краниектомия (клас IIb, ниво C). </w:t>
      </w:r>
    </w:p>
    <w:p w14:paraId="3DC88B4F"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В случаите на повишено вътречерепно налягане е уместно включването на acetazolamide, а при прогресивна загуба на зрението биха могли да бъдат проведени лумбална пункция, декомпресия на оптичния нерв или поставяне на шънт (клас IIa, ниво C, ДКП). </w:t>
      </w:r>
    </w:p>
    <w:p w14:paraId="519539A7"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Употребата на кортикостероиди е свързана с по-лош прогностичен изход и не се препоръчва, освен при необходимост от третиране на подлежащо състояние (клас III, ниво B).</w:t>
      </w:r>
    </w:p>
    <w:p w14:paraId="64D1A158"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При наличие на епилептичен пристъп се започва антиепилептична терапия (клас I и клас IIa), но такава не е показана за профилактика на евентуални пристъпи (клас III, ниво C).</w:t>
      </w:r>
    </w:p>
    <w:p w14:paraId="59279977"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Лечението на ТМВДС по време на бременност се провежда с нискомолекулярни хепарини (клас I, ниво C). След раждането, антикоагулантното лечение с ниско-молекулярен хепарин или вит. К-антагонист при INR (2,0 – 3,0) следва да продължи за поне 6 месеца (клас I, ниво C). </w:t>
      </w:r>
    </w:p>
    <w:p w14:paraId="5F3744AB"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Пациентки, с анамнеза за ТМВДС, са с повишен риск от тромботични явления, но състоянието не е контраиндикация за бъдеща бременност (клас IIa, ниво В), като може да се препоръча профилактика с нискомолекулярен хепарин по време на следваща бременност (клас IIa, ниво C).</w:t>
      </w:r>
    </w:p>
    <w:p w14:paraId="6652372D"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31" w:name="_Toc155651715"/>
      <w:bookmarkStart w:id="32" w:name="_Toc164075847"/>
      <w:r w:rsidRPr="00AE47C6">
        <w:rPr>
          <w:rFonts w:ascii="Times New Roman" w:eastAsia="SimSun" w:hAnsi="Times New Roman"/>
          <w:b/>
          <w:sz w:val="24"/>
          <w:szCs w:val="24"/>
        </w:rPr>
        <w:t>1.7. Мозъчни аневризми и съдови малформации</w:t>
      </w:r>
      <w:bookmarkEnd w:id="31"/>
      <w:bookmarkEnd w:id="32"/>
    </w:p>
    <w:p w14:paraId="7B1B9821"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Други индикации за невроинтервенционално лечение </w:t>
      </w:r>
    </w:p>
    <w:p w14:paraId="6CA82192"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 xml:space="preserve">Съществено различие за всички останали индикации е липсата на изискване за спешност тъй като спасяването на мозъчната ‘пенумбра’ до шестия час не е главна цел. </w:t>
      </w:r>
    </w:p>
    <w:p w14:paraId="091CDA59"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 xml:space="preserve">Мозъчните аневризми засягат не голяма част от населението (заболяемост 6 до 16 на 100 000, болестност от 0,5% до 6% от населението на САЩ). Независимо от това, тяхното лечение е от изключителна важност поради тежките последствия и висока смъртност при рецидиви, предимно в млада възраст. </w:t>
      </w:r>
    </w:p>
    <w:p w14:paraId="32F148FF"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Поради разнообразието от големина, форма и локализация на аневризмите (или АВМ), точни правила за начина на провеждане на процедурата не са определени.</w:t>
      </w:r>
    </w:p>
    <w:p w14:paraId="6D8A2F1B"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Ендоваскуларната оклузия на руптурирала мозъчна аневризма е подходяща при пациенти, отговарящи на изискванията за неврохирургично лечение. </w:t>
      </w:r>
    </w:p>
    <w:p w14:paraId="693E2228"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При неруптурирали аневризми съществуват редица фактори, които трябва да се вземат под внимание като възраст, големина на аневризмата, анамнеза за САХ в миналото, фамилна анамнеза за аневризми, множествени аневризми, и друга патология като АВМ, фибромускулна дисплазия, дисекация, церебрален артериит и др. индикатори за повишен риск от кръвоизлив.</w:t>
      </w:r>
    </w:p>
    <w:p w14:paraId="0FB14268"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Пациентите с неруптурирала мозъчна аневризма трябва да бъдат отлично информирани за рисковете от процедурата, като алтернатива на неврохирургично лечение.</w:t>
      </w:r>
    </w:p>
    <w:p w14:paraId="1E4D5C83" w14:textId="77777777" w:rsidR="00BE0B19" w:rsidRPr="00AE47C6" w:rsidRDefault="00BE0B19" w:rsidP="00BE0B19">
      <w:pPr>
        <w:widowControl w:val="0"/>
        <w:numPr>
          <w:ilvl w:val="0"/>
          <w:numId w:val="117"/>
        </w:numPr>
        <w:shd w:val="clear" w:color="auto" w:fill="FFFFFF"/>
        <w:tabs>
          <w:tab w:val="left" w:pos="-360"/>
          <w:tab w:val="left" w:pos="23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Задължително изискване е наличието на неврохирургична клиника/отделение за спешно лечение на възможните усложнения от процедурата.</w:t>
      </w:r>
    </w:p>
    <w:p w14:paraId="18E2C111"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33" w:name="_Toc155651716"/>
      <w:bookmarkStart w:id="34" w:name="_Toc164075848"/>
      <w:r w:rsidRPr="00AE47C6">
        <w:rPr>
          <w:rFonts w:ascii="Times New Roman" w:eastAsia="SimSun" w:hAnsi="Times New Roman"/>
          <w:b/>
          <w:sz w:val="24"/>
          <w:szCs w:val="24"/>
        </w:rPr>
        <w:t>1.8. Остра хипертонична енцефалопатия</w:t>
      </w:r>
      <w:bookmarkEnd w:id="33"/>
      <w:bookmarkEnd w:id="34"/>
    </w:p>
    <w:p w14:paraId="4E157AD9" w14:textId="77777777" w:rsidR="00BE0B19" w:rsidRPr="00AE47C6" w:rsidRDefault="00BE0B19" w:rsidP="00BE0B19">
      <w:pPr>
        <w:shd w:val="clear" w:color="auto" w:fill="FFFFFF"/>
        <w:tabs>
          <w:tab w:val="left" w:pos="851"/>
        </w:tabs>
        <w:spacing w:after="0" w:line="360" w:lineRule="auto"/>
        <w:ind w:firstLine="851"/>
        <w:jc w:val="both"/>
        <w:rPr>
          <w:rFonts w:ascii="Times New Roman" w:eastAsia="SimSun" w:hAnsi="Times New Roman"/>
          <w:sz w:val="24"/>
          <w:szCs w:val="24"/>
        </w:rPr>
      </w:pPr>
      <w:r w:rsidRPr="00AE47C6">
        <w:rPr>
          <w:rFonts w:ascii="Times New Roman" w:eastAsia="SimSun" w:hAnsi="Times New Roman"/>
          <w:sz w:val="24"/>
          <w:szCs w:val="24"/>
        </w:rPr>
        <w:t xml:space="preserve">Представлява остро и преходно разстройство на мозъчните функции при внезапно силно покачване на артериалното налягане. Основен патогенетичен фактор в развитието на хипертонична енцефалопатия е внезапното ексцесивно покачване на кръвното налягане (над 240/140 mmHg). Най-важният признак е дифузният мозъчен оток. Развива се спазъм на големите и средните мозъчни артерии и паралитична вазодилатация на артериолите. Могат да се наблюдават точковидни кръвоизливи в centrum semiovale или pons, или дори червени инфаркти с различна големина. Съдовата стена е пропита с кръвна плазма. Налице е околосъдова плазморагия и екстравазация на кръвен белтък - повишена проницаемост на кръвно-мозъчната бариера. </w:t>
      </w:r>
    </w:p>
    <w:p w14:paraId="2916B039" w14:textId="77777777" w:rsidR="00BE0B19" w:rsidRPr="00AE47C6" w:rsidRDefault="00BE0B19" w:rsidP="00BE0B19">
      <w:pPr>
        <w:shd w:val="clear" w:color="auto" w:fill="FFFFFF"/>
        <w:tabs>
          <w:tab w:val="left" w:pos="851"/>
        </w:tabs>
        <w:spacing w:after="0" w:line="360" w:lineRule="auto"/>
        <w:ind w:firstLine="851"/>
        <w:jc w:val="both"/>
        <w:rPr>
          <w:rFonts w:ascii="Times New Roman" w:eastAsia="SimSun" w:hAnsi="Times New Roman"/>
          <w:sz w:val="24"/>
          <w:szCs w:val="24"/>
        </w:rPr>
      </w:pPr>
      <w:r w:rsidRPr="00AE47C6">
        <w:rPr>
          <w:rFonts w:ascii="Times New Roman" w:eastAsia="SimSun" w:hAnsi="Times New Roman"/>
          <w:sz w:val="24"/>
          <w:szCs w:val="24"/>
        </w:rPr>
        <w:t>Повишеното вътречерепно налягане лежи в основата на повечето клинични прояви. Основните симптоми са тези на интракраниалната хипертензия: силно, „разцепващо" главоболие, нарушение на съзнанието, генерализирани или локални епилептични гърчове, преходни огнищни неврологични прояви, спазъм на ретинните съдове (проявен с хеморагии и ексудати), често едем на папилите и повишено ликворно налягане.</w:t>
      </w:r>
    </w:p>
    <w:p w14:paraId="667348EE" w14:textId="77777777" w:rsidR="00BE0B19" w:rsidRPr="00AE47C6" w:rsidRDefault="00BE0B19" w:rsidP="00BE0B19">
      <w:pPr>
        <w:shd w:val="clear" w:color="auto" w:fill="FFFFFF"/>
        <w:tabs>
          <w:tab w:val="left" w:pos="851"/>
        </w:tabs>
        <w:spacing w:after="0" w:line="360" w:lineRule="auto"/>
        <w:ind w:firstLine="851"/>
        <w:jc w:val="both"/>
        <w:rPr>
          <w:rFonts w:ascii="Times New Roman" w:eastAsia="SimSun" w:hAnsi="Times New Roman"/>
          <w:sz w:val="24"/>
          <w:szCs w:val="24"/>
        </w:rPr>
      </w:pPr>
      <w:r w:rsidRPr="00AE47C6">
        <w:rPr>
          <w:rFonts w:ascii="Times New Roman" w:eastAsia="SimSun" w:hAnsi="Times New Roman"/>
          <w:sz w:val="24"/>
          <w:szCs w:val="24"/>
        </w:rPr>
        <w:t>Диагностичните методи при хипертонична енцефалопатия са физикален преглед, измерване на кръвното налягане, кръвни изследвания, ЕКГ, КТ и/или МР на глава.</w:t>
      </w:r>
    </w:p>
    <w:p w14:paraId="6FC1C493" w14:textId="77777777" w:rsidR="00BE0B19" w:rsidRPr="00AE47C6" w:rsidRDefault="00BE0B19" w:rsidP="00BE0B19">
      <w:pPr>
        <w:shd w:val="clear" w:color="auto" w:fill="FFFFFF"/>
        <w:tabs>
          <w:tab w:val="left" w:pos="851"/>
        </w:tabs>
        <w:spacing w:after="0" w:line="360" w:lineRule="auto"/>
        <w:ind w:firstLine="851"/>
        <w:jc w:val="both"/>
        <w:rPr>
          <w:rFonts w:ascii="Times New Roman" w:eastAsia="SimSun" w:hAnsi="Times New Roman"/>
          <w:sz w:val="24"/>
          <w:szCs w:val="24"/>
        </w:rPr>
      </w:pPr>
      <w:r w:rsidRPr="00AE47C6">
        <w:rPr>
          <w:rFonts w:ascii="Times New Roman" w:eastAsia="SimSun" w:hAnsi="Times New Roman"/>
          <w:sz w:val="24"/>
          <w:szCs w:val="24"/>
        </w:rPr>
        <w:t>Лечението включва бързо понижаване на артериалното налягане, което може да отстрани клиничната симптоматика за няколко часа. Хипотензивното лечение се комбинира с диуретици и противооточни средства.</w:t>
      </w:r>
    </w:p>
    <w:p w14:paraId="779F2DBD" w14:textId="77777777" w:rsidR="00BE0B19" w:rsidRPr="00AE47C6" w:rsidRDefault="00BE0B19" w:rsidP="00BE0B19">
      <w:pPr>
        <w:spacing w:after="0" w:line="360" w:lineRule="auto"/>
        <w:jc w:val="both"/>
        <w:rPr>
          <w:rFonts w:ascii="Times New Roman" w:eastAsia="SimSun" w:hAnsi="Times New Roman"/>
          <w:sz w:val="24"/>
          <w:szCs w:val="24"/>
        </w:rPr>
      </w:pPr>
    </w:p>
    <w:p w14:paraId="30AAB30F" w14:textId="77777777" w:rsidR="00BE0B19" w:rsidRPr="00AE47C6" w:rsidRDefault="00BE0B19" w:rsidP="00BE0B19">
      <w:pPr>
        <w:keepNext/>
        <w:keepLines/>
        <w:pageBreakBefore/>
        <w:spacing w:before="480" w:after="480"/>
        <w:outlineLvl w:val="0"/>
        <w:rPr>
          <w:rFonts w:ascii="Times New Roman" w:eastAsia="SimSun" w:hAnsi="Times New Roman"/>
          <w:b/>
          <w:bCs/>
          <w:sz w:val="28"/>
          <w:szCs w:val="28"/>
        </w:rPr>
      </w:pPr>
      <w:bookmarkStart w:id="35" w:name="_Toc155651717"/>
      <w:bookmarkStart w:id="36" w:name="_Toc164075849"/>
      <w:r w:rsidRPr="00AE47C6">
        <w:rPr>
          <w:rFonts w:ascii="Times New Roman" w:eastAsia="SimSun" w:hAnsi="Times New Roman"/>
          <w:b/>
          <w:bCs/>
          <w:sz w:val="28"/>
          <w:szCs w:val="28"/>
        </w:rPr>
        <w:t>2. Заболявания на периферната нервна система: неврити и невропатии</w:t>
      </w:r>
      <w:bookmarkEnd w:id="35"/>
      <w:bookmarkEnd w:id="36"/>
    </w:p>
    <w:p w14:paraId="1FA4029E"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37" w:name="_Toc155651718"/>
      <w:bookmarkStart w:id="38" w:name="_Toc164075850"/>
      <w:r w:rsidRPr="00AE47C6">
        <w:rPr>
          <w:rFonts w:ascii="Times New Roman" w:eastAsia="SimSun" w:hAnsi="Times New Roman"/>
          <w:b/>
          <w:sz w:val="24"/>
          <w:szCs w:val="24"/>
        </w:rPr>
        <w:t>2.1. Мононевропатии</w:t>
      </w:r>
      <w:bookmarkEnd w:id="37"/>
      <w:bookmarkEnd w:id="38"/>
    </w:p>
    <w:p w14:paraId="72053BC4"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39" w:name="_Toc155651719"/>
      <w:bookmarkStart w:id="40" w:name="_Toc164075851"/>
      <w:r w:rsidRPr="00AE47C6">
        <w:rPr>
          <w:rFonts w:ascii="Times New Roman" w:eastAsia="SimSun" w:hAnsi="Times New Roman"/>
          <w:b/>
          <w:sz w:val="24"/>
          <w:szCs w:val="20"/>
          <w:lang w:eastAsia="ja-JP"/>
        </w:rPr>
        <w:t>2.1.1.Невралгии</w:t>
      </w:r>
      <w:bookmarkEnd w:id="39"/>
      <w:bookmarkEnd w:id="40"/>
      <w:r w:rsidRPr="00AE47C6">
        <w:rPr>
          <w:rFonts w:ascii="Times New Roman" w:eastAsia="SimSun" w:hAnsi="Times New Roman"/>
          <w:b/>
          <w:sz w:val="24"/>
          <w:szCs w:val="20"/>
          <w:lang w:eastAsia="ja-JP"/>
        </w:rPr>
        <w:t xml:space="preserve"> </w:t>
      </w:r>
    </w:p>
    <w:p w14:paraId="4DD2BC46" w14:textId="77777777" w:rsidR="00BE0B19" w:rsidRPr="00AE47C6" w:rsidRDefault="00BE0B19" w:rsidP="00BE0B19">
      <w:pPr>
        <w:widowControl w:val="0"/>
        <w:suppressAutoHyphens/>
        <w:overflowPunct w:val="0"/>
        <w:autoSpaceDE w:val="0"/>
        <w:spacing w:after="0" w:line="360" w:lineRule="auto"/>
        <w:ind w:firstLine="709"/>
        <w:jc w:val="both"/>
        <w:textAlignment w:val="baseline"/>
        <w:rPr>
          <w:rFonts w:ascii="Times New Roman" w:eastAsia="SimSun" w:hAnsi="Times New Roman"/>
          <w:sz w:val="20"/>
          <w:szCs w:val="20"/>
          <w:lang w:eastAsia="ar-SA"/>
        </w:rPr>
      </w:pPr>
      <w:r w:rsidRPr="00AE47C6">
        <w:rPr>
          <w:rFonts w:ascii="Times New Roman" w:eastAsia="SimSun" w:hAnsi="Times New Roman"/>
          <w:sz w:val="20"/>
          <w:szCs w:val="20"/>
          <w:lang w:eastAsia="ar-SA"/>
        </w:rPr>
        <w:t>(</w:t>
      </w:r>
      <w:r w:rsidRPr="00AE47C6">
        <w:rPr>
          <w:rFonts w:ascii="Times New Roman" w:eastAsia="SimSun" w:hAnsi="Times New Roman"/>
          <w:sz w:val="24"/>
          <w:szCs w:val="24"/>
          <w:lang w:eastAsia="ar-SA"/>
        </w:rPr>
        <w:t>виж</w:t>
      </w:r>
      <w:r w:rsidRPr="00AE47C6">
        <w:rPr>
          <w:rFonts w:ascii="Times New Roman" w:eastAsia="SimSun" w:hAnsi="Times New Roman"/>
          <w:sz w:val="20"/>
          <w:szCs w:val="20"/>
          <w:lang w:eastAsia="ar-SA"/>
        </w:rPr>
        <w:t xml:space="preserve"> </w:t>
      </w:r>
      <w:r w:rsidRPr="00AE47C6">
        <w:rPr>
          <w:rFonts w:ascii="Times New Roman" w:eastAsia="SimSun" w:hAnsi="Times New Roman"/>
          <w:sz w:val="24"/>
          <w:szCs w:val="24"/>
          <w:lang w:eastAsia="ar-SA"/>
        </w:rPr>
        <w:t>раздел</w:t>
      </w:r>
      <w:r w:rsidRPr="00AE47C6">
        <w:rPr>
          <w:rFonts w:ascii="Times New Roman" w:eastAsia="SimSun" w:hAnsi="Times New Roman"/>
          <w:sz w:val="20"/>
          <w:szCs w:val="20"/>
          <w:lang w:eastAsia="ar-SA"/>
        </w:rPr>
        <w:t xml:space="preserve"> 3.1)</w:t>
      </w:r>
    </w:p>
    <w:p w14:paraId="288D9CD4"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41" w:name="_Toc155651720"/>
      <w:bookmarkStart w:id="42" w:name="_Toc164075852"/>
      <w:r w:rsidRPr="00AE47C6">
        <w:rPr>
          <w:rFonts w:ascii="Times New Roman" w:eastAsia="SimSun" w:hAnsi="Times New Roman"/>
          <w:b/>
          <w:sz w:val="24"/>
          <w:szCs w:val="20"/>
          <w:lang w:eastAsia="ja-JP"/>
        </w:rPr>
        <w:t>2.1.2. Мононеврити и мононевропатии</w:t>
      </w:r>
      <w:bookmarkEnd w:id="41"/>
      <w:bookmarkEnd w:id="42"/>
    </w:p>
    <w:p w14:paraId="5BC62ADC" w14:textId="77777777" w:rsidR="00BE0B19" w:rsidRPr="00AE47C6" w:rsidRDefault="00BE0B19" w:rsidP="00BE0B19">
      <w:pPr>
        <w:widowControl w:val="0"/>
        <w:suppressAutoHyphens/>
        <w:overflowPunct w:val="0"/>
        <w:autoSpaceDE w:val="0"/>
        <w:spacing w:after="0" w:line="360" w:lineRule="auto"/>
        <w:ind w:firstLine="709"/>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Представляват увреждане на един нерв поради локален процес. Най-често се предизвикват от компресия, травма, исхемия, възпалителни и неопластични фактори или могат да бъдат идиопатични. </w:t>
      </w:r>
    </w:p>
    <w:p w14:paraId="5C671C73" w14:textId="77777777" w:rsidR="00BE0B19" w:rsidRPr="00AE47C6" w:rsidRDefault="00BE0B19" w:rsidP="00BE0B19">
      <w:pPr>
        <w:widowControl w:val="0"/>
        <w:suppressAutoHyphens/>
        <w:overflowPunct w:val="0"/>
        <w:autoSpaceDE w:val="0"/>
        <w:spacing w:after="0" w:line="360" w:lineRule="auto"/>
        <w:ind w:firstLine="709"/>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u w:val="single"/>
          <w:lang w:eastAsia="ar-SA"/>
        </w:rPr>
        <w:t>N. facialis</w:t>
      </w:r>
      <w:r w:rsidRPr="00AE47C6">
        <w:rPr>
          <w:rFonts w:ascii="Times New Roman" w:eastAsia="SimSun" w:hAnsi="Times New Roman"/>
          <w:sz w:val="24"/>
          <w:szCs w:val="24"/>
          <w:lang w:eastAsia="ar-SA"/>
        </w:rPr>
        <w:t xml:space="preserve"> се компресира в конституционно по-тесен костен канал, вследствие на локално преохлаждане с последващ оток на нерва. Нарича се идиопатична лицева парализа (парализа на Bell), защото в 75% от случаите етиологията не е ясна. Възможно е в някои случаи да се предизвиква от инфекция с herpes simplex вирус тип 1 или противогрипна ваксина.</w:t>
      </w:r>
    </w:p>
    <w:p w14:paraId="7ABB6282" w14:textId="77777777" w:rsidR="00BE0B19" w:rsidRPr="00AE47C6" w:rsidRDefault="00BE0B19" w:rsidP="00BE0B19">
      <w:pPr>
        <w:widowControl w:val="0"/>
        <w:suppressAutoHyphens/>
        <w:overflowPunct w:val="0"/>
        <w:autoSpaceDE w:val="0"/>
        <w:spacing w:after="0" w:line="360" w:lineRule="auto"/>
        <w:ind w:firstLine="709"/>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Епидемиология</w:t>
      </w:r>
      <w:r w:rsidRPr="00AE47C6">
        <w:rPr>
          <w:rFonts w:ascii="Times New Roman" w:eastAsia="SimSun" w:hAnsi="Times New Roman"/>
          <w:i/>
          <w:sz w:val="24"/>
          <w:szCs w:val="24"/>
          <w:lang w:eastAsia="ar-SA"/>
        </w:rPr>
        <w:t>.</w:t>
      </w:r>
      <w:r w:rsidRPr="00AE47C6">
        <w:rPr>
          <w:rFonts w:ascii="Times New Roman" w:eastAsia="SimSun" w:hAnsi="Times New Roman"/>
          <w:sz w:val="24"/>
          <w:szCs w:val="24"/>
          <w:lang w:eastAsia="ar-SA"/>
        </w:rPr>
        <w:t xml:space="preserve"> Това е най-честото заболяване на лицевия нерв със заболяемост 23 на 100 000 население годишно. Засяга еднакво двата пола и всяка възраст и няма сезонност. По-често се наблюдава при пациенти с диабет и по време на бременност. </w:t>
      </w:r>
    </w:p>
    <w:p w14:paraId="01BF034D" w14:textId="77777777" w:rsidR="00BE0B19" w:rsidRPr="00AE47C6" w:rsidRDefault="00BE0B19" w:rsidP="00BE0B19">
      <w:pPr>
        <w:widowControl w:val="0"/>
        <w:suppressAutoHyphens/>
        <w:overflowPunct w:val="0"/>
        <w:autoSpaceDE w:val="0"/>
        <w:spacing w:after="0" w:line="360" w:lineRule="auto"/>
        <w:ind w:firstLine="709"/>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Клиничната картина</w:t>
      </w:r>
      <w:r w:rsidRPr="00AE47C6">
        <w:rPr>
          <w:rFonts w:ascii="Times New Roman" w:eastAsia="SimSun" w:hAnsi="Times New Roman"/>
          <w:sz w:val="24"/>
          <w:szCs w:val="24"/>
          <w:lang w:eastAsia="ar-SA"/>
        </w:rPr>
        <w:t xml:space="preserve"> е с остро начало – максималната увреда се развива за 48 часа или до 5 дни. Парализата на лицевите мускули може да се предшества за 1-2 дни от болка зад ухото. При част от болните може да се намери и хипестезия в един или няколко клона на тригеминалния нерв. Вкусът в предните две трети на езика ипсилатерално се засяга, когато увреждането е над мястото на присъединяване на chorda tympani към лицевия нерв. При парализа на m. stapedius се получава хиперакузис или изкривяване на звука в ипсилатералното ухо. При увреда под свързването с chorda tympani се засягат само двигателните функции с пареза на мускулите, инервирани от лицевия нерв. Устният ъгъл увисва, изглаждат се назолабиалната гънка и бръчките на челото. Болният не може да набръчка челото, да си покаже зъбите и да затвори окото от увредената страна. При затваряне на окото с нормалното завъртат на двете очни ябълки нагоре, от болната страна това е видимо, защото горният клепач не покрива очната ябълка (симптом на Bell). Долният клепач малко се отпуска, поради което очната цепка е по-широка и сълзите текат по бузата. Болният не може да свири с уста, събират се храна и слюнка между зъбите и бузата. Двата клона на нерва могат да бъдат засегнати в различна степен и да преобладават двигателните нарушения от челото, окото или бузата. При по-проксимална увреда – над ganglion geniculi, намалява и сълзоотделянето. </w:t>
      </w:r>
    </w:p>
    <w:p w14:paraId="17EE4E02" w14:textId="77777777" w:rsidR="00BE0B19" w:rsidRPr="00AE47C6" w:rsidRDefault="00BE0B19" w:rsidP="00BE0B19">
      <w:pPr>
        <w:widowControl w:val="0"/>
        <w:suppressAutoHyphens/>
        <w:overflowPunct w:val="0"/>
        <w:autoSpaceDE w:val="0"/>
        <w:spacing w:after="0" w:line="360" w:lineRule="auto"/>
        <w:ind w:firstLine="709"/>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В част от случаите, особено при неправилно лечение (прилагане на ацетилхолинови медиатори, ексцесивна физиотерапия и масаж) нерва се възстановява непълно и с дефект. Настъпват </w:t>
      </w:r>
      <w:r w:rsidRPr="00AE47C6">
        <w:rPr>
          <w:rFonts w:ascii="Times New Roman" w:eastAsia="SimSun" w:hAnsi="Times New Roman"/>
          <w:i/>
          <w:sz w:val="24"/>
          <w:szCs w:val="24"/>
          <w:lang w:eastAsia="ar-SA"/>
        </w:rPr>
        <w:t>контрактури</w:t>
      </w:r>
      <w:r w:rsidRPr="00AE47C6">
        <w:rPr>
          <w:rFonts w:ascii="Times New Roman" w:eastAsia="SimSun" w:hAnsi="Times New Roman"/>
          <w:sz w:val="24"/>
          <w:szCs w:val="24"/>
          <w:lang w:eastAsia="ar-SA"/>
        </w:rPr>
        <w:t xml:space="preserve"> на увредените мускули и патологични синкинезии – при опит за движение на определен мускул се движат и други (придръпва се устния ъгъл при затваряне на очите и по-рядко при отваряне на устата се придърпва клепача). Друг вид синкинезия е сълзотечението при хранене (симптом на крокодилските сълзи) или по-рядко – изпотяване на бузата. Много рядко може да възникне като усложнение лицев хемиспазъм.</w:t>
      </w:r>
    </w:p>
    <w:p w14:paraId="2C335C93" w14:textId="77777777" w:rsidR="00BE0B19" w:rsidRPr="00AE47C6" w:rsidRDefault="00BE0B19" w:rsidP="00BE0B19">
      <w:pPr>
        <w:widowControl w:val="0"/>
        <w:suppressAutoHyphens/>
        <w:overflowPunct w:val="0"/>
        <w:autoSpaceDE w:val="0"/>
        <w:spacing w:after="0" w:line="360" w:lineRule="auto"/>
        <w:ind w:firstLine="709"/>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Диференциална диагноза</w:t>
      </w:r>
      <w:r w:rsidRPr="00AE47C6">
        <w:rPr>
          <w:rFonts w:ascii="Times New Roman" w:eastAsia="SimSun" w:hAnsi="Times New Roman"/>
          <w:sz w:val="24"/>
          <w:szCs w:val="24"/>
          <w:lang w:eastAsia="ar-SA"/>
        </w:rPr>
        <w:t xml:space="preserve"> трябва да се прави с централната (супрануклеарна) пареза. Възможна е ядрена увреда на нерва от различни съдови и инфекциозни заболявания, множествена склероза, захарен диабет, саркоидоза, синдром на Melkersson-Rosenthal, на Sjogren, амилоидоза, полиомиелит, полиневрит тип Guillain-Barre и Лаймска болест, инфекция с HIV, herpes simplex и varicella-zoster вирус (синдром на Ramsay Hunt). При лезия от тумор в понто-церебеларния ъгъл (неврином на слуховия нерв), otitis media, аневризми на вертебралната и базиларна артерия се намират симптоми на засягане и на съседни краниални нерви, най-често слуховия и тригеминалния. При притискане от тумор началото на заболяването е подостро, с хронична прогресия.</w:t>
      </w:r>
    </w:p>
    <w:p w14:paraId="49734693" w14:textId="77777777" w:rsidR="00BE0B19" w:rsidRPr="00AE47C6" w:rsidRDefault="00BE0B19" w:rsidP="00BE0B19">
      <w:pPr>
        <w:widowControl w:val="0"/>
        <w:suppressAutoHyphens/>
        <w:overflowPunct w:val="0"/>
        <w:autoSpaceDE w:val="0"/>
        <w:spacing w:after="0" w:line="360" w:lineRule="auto"/>
        <w:ind w:firstLine="709"/>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 xml:space="preserve">Прогнозата </w:t>
      </w:r>
      <w:r w:rsidRPr="00AE47C6">
        <w:rPr>
          <w:rFonts w:ascii="Times New Roman" w:eastAsia="SimSun" w:hAnsi="Times New Roman"/>
          <w:sz w:val="24"/>
          <w:szCs w:val="24"/>
          <w:lang w:eastAsia="ar-SA"/>
        </w:rPr>
        <w:t xml:space="preserve">при 80% от болните е за спонтанно пълно или частично възстановяване на парезата след 1-2 месеца, при тежка увреда над 2 години и не винаги е пълно; при 8% от пациентите могат да се получат повторни епизоди на пареза. </w:t>
      </w:r>
    </w:p>
    <w:p w14:paraId="666740B4" w14:textId="77777777" w:rsidR="00BE0B19" w:rsidRPr="00AE47C6" w:rsidRDefault="00BE0B19" w:rsidP="00BE0B19">
      <w:pPr>
        <w:widowControl w:val="0"/>
        <w:suppressAutoHyphens/>
        <w:overflowPunct w:val="0"/>
        <w:autoSpaceDE w:val="0"/>
        <w:spacing w:after="0" w:line="360" w:lineRule="auto"/>
        <w:ind w:firstLine="709"/>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Лечение:</w:t>
      </w:r>
    </w:p>
    <w:p w14:paraId="222A2849" w14:textId="77777777" w:rsidR="00BE0B19" w:rsidRPr="00AE47C6" w:rsidRDefault="00BE0B19" w:rsidP="00BE0B19">
      <w:pPr>
        <w:widowControl w:val="0"/>
        <w:suppressAutoHyphens/>
        <w:overflowPunct w:val="0"/>
        <w:autoSpaceDE w:val="0"/>
        <w:spacing w:after="0" w:line="360" w:lineRule="auto"/>
        <w:ind w:firstLine="709"/>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Противооточна терапия с кортикостероид</w:t>
      </w:r>
      <w:r w:rsidRPr="00AE47C6">
        <w:rPr>
          <w:rFonts w:ascii="Times New Roman" w:eastAsia="SimSun" w:hAnsi="Times New Roman"/>
          <w:sz w:val="24"/>
          <w:szCs w:val="24"/>
          <w:lang w:eastAsia="ar-SA"/>
        </w:rPr>
        <w:t xml:space="preserve"> (prednisone 40-100 mg дн. интравенозно), </w:t>
      </w:r>
      <w:r w:rsidRPr="00AE47C6">
        <w:rPr>
          <w:rFonts w:ascii="Times New Roman" w:eastAsia="SimSun" w:hAnsi="Times New Roman"/>
          <w:i/>
          <w:sz w:val="24"/>
          <w:szCs w:val="24"/>
          <w:lang w:eastAsia="ar-SA"/>
        </w:rPr>
        <w:t>заедно с Mannitol 10%, 500 ml,</w:t>
      </w:r>
      <w:r w:rsidRPr="00AE47C6">
        <w:rPr>
          <w:rFonts w:ascii="Times New Roman" w:eastAsia="SimSun" w:hAnsi="Times New Roman"/>
          <w:sz w:val="24"/>
          <w:szCs w:val="24"/>
          <w:lang w:eastAsia="ar-SA"/>
        </w:rPr>
        <w:t xml:space="preserve"> при деца 1 g/kg за 5-7 дни. </w:t>
      </w:r>
    </w:p>
    <w:p w14:paraId="46584BC4" w14:textId="77777777" w:rsidR="00BE0B19" w:rsidRPr="00AE47C6" w:rsidRDefault="00BE0B19" w:rsidP="00BE0B19">
      <w:pPr>
        <w:widowControl w:val="0"/>
        <w:suppressAutoHyphens/>
        <w:overflowPunct w:val="0"/>
        <w:autoSpaceDE w:val="0"/>
        <w:spacing w:after="0" w:line="360" w:lineRule="auto"/>
        <w:ind w:firstLine="709"/>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По-късно може да се приложат холинергични</w:t>
      </w:r>
      <w:r w:rsidRPr="00AE47C6">
        <w:rPr>
          <w:rFonts w:ascii="Times New Roman" w:eastAsia="SimSun" w:hAnsi="Times New Roman"/>
          <w:i/>
          <w:sz w:val="24"/>
          <w:szCs w:val="24"/>
          <w:lang w:eastAsia="ar-SA"/>
        </w:rPr>
        <w:t xml:space="preserve"> (Galantamine</w:t>
      </w:r>
      <w:r w:rsidRPr="00AE47C6">
        <w:rPr>
          <w:rFonts w:ascii="Times New Roman" w:eastAsia="SimSun" w:hAnsi="Times New Roman"/>
          <w:sz w:val="24"/>
          <w:szCs w:val="24"/>
          <w:lang w:eastAsia="ar-SA"/>
        </w:rPr>
        <w:t xml:space="preserve"> по схема), витамини от групата В (В</w:t>
      </w:r>
      <w:r w:rsidRPr="00AE47C6">
        <w:rPr>
          <w:rFonts w:ascii="Times New Roman" w:eastAsia="SimSun" w:hAnsi="Times New Roman"/>
          <w:sz w:val="24"/>
          <w:szCs w:val="24"/>
          <w:vertAlign w:val="subscript"/>
          <w:lang w:eastAsia="ar-SA"/>
        </w:rPr>
        <w:t>1</w:t>
      </w:r>
      <w:r w:rsidRPr="00AE47C6">
        <w:rPr>
          <w:rFonts w:ascii="Times New Roman" w:eastAsia="SimSun" w:hAnsi="Times New Roman"/>
          <w:sz w:val="24"/>
          <w:szCs w:val="24"/>
          <w:lang w:eastAsia="ar-SA"/>
        </w:rPr>
        <w:t>-30 mg, В</w:t>
      </w:r>
      <w:r w:rsidRPr="00AE47C6">
        <w:rPr>
          <w:rFonts w:ascii="Times New Roman" w:eastAsia="SimSun" w:hAnsi="Times New Roman"/>
          <w:sz w:val="24"/>
          <w:szCs w:val="24"/>
          <w:vertAlign w:val="subscript"/>
          <w:lang w:eastAsia="ar-SA"/>
        </w:rPr>
        <w:t>6</w:t>
      </w:r>
      <w:r w:rsidRPr="00AE47C6">
        <w:rPr>
          <w:rFonts w:ascii="Times New Roman" w:eastAsia="SimSun" w:hAnsi="Times New Roman"/>
          <w:sz w:val="24"/>
          <w:szCs w:val="24"/>
          <w:lang w:eastAsia="ar-SA"/>
        </w:rPr>
        <w:t>-0,1 g, В</w:t>
      </w:r>
      <w:r w:rsidRPr="00AE47C6">
        <w:rPr>
          <w:rFonts w:ascii="Times New Roman" w:eastAsia="SimSun" w:hAnsi="Times New Roman"/>
          <w:sz w:val="24"/>
          <w:szCs w:val="24"/>
          <w:vertAlign w:val="subscript"/>
          <w:lang w:eastAsia="ar-SA"/>
        </w:rPr>
        <w:t>12</w:t>
      </w:r>
      <w:r w:rsidRPr="00AE47C6">
        <w:rPr>
          <w:rFonts w:ascii="Times New Roman" w:eastAsia="SimSun" w:hAnsi="Times New Roman"/>
          <w:sz w:val="24"/>
          <w:szCs w:val="24"/>
          <w:lang w:eastAsia="ar-SA"/>
        </w:rPr>
        <w:t xml:space="preserve">-1000 μg дн. мускулно) и физиотерапия. </w:t>
      </w:r>
    </w:p>
    <w:p w14:paraId="445F7079" w14:textId="77777777" w:rsidR="00BE0B19" w:rsidRPr="00AE47C6" w:rsidRDefault="00BE0B19" w:rsidP="00BE0B19">
      <w:pPr>
        <w:widowControl w:val="0"/>
        <w:suppressAutoHyphens/>
        <w:overflowPunct w:val="0"/>
        <w:autoSpaceDE w:val="0"/>
        <w:spacing w:after="0" w:line="360" w:lineRule="auto"/>
        <w:ind w:firstLine="709"/>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За лечение на синкинезиите и контрактурит</w:t>
      </w:r>
      <w:r w:rsidRPr="00AE47C6">
        <w:rPr>
          <w:rFonts w:ascii="Times New Roman" w:eastAsia="SimSun" w:hAnsi="Times New Roman"/>
          <w:sz w:val="24"/>
          <w:szCs w:val="24"/>
          <w:lang w:eastAsia="ar-SA"/>
        </w:rPr>
        <w:t>е - Baclofen 30-60 mg дневно; най-ефективно е инжектирането на ботулинов токсин в засегнатите мускули.</w:t>
      </w:r>
    </w:p>
    <w:p w14:paraId="1C6ABCBB" w14:textId="77777777" w:rsidR="00BE0B19" w:rsidRPr="00AE47C6" w:rsidRDefault="00BE0B19" w:rsidP="00BE0B19">
      <w:pPr>
        <w:widowControl w:val="0"/>
        <w:suppressAutoHyphens/>
        <w:overflowPunct w:val="0"/>
        <w:autoSpaceDE w:val="0"/>
        <w:spacing w:after="0" w:line="360" w:lineRule="auto"/>
        <w:ind w:firstLine="709"/>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u w:val="single"/>
          <w:lang w:eastAsia="ar-SA"/>
        </w:rPr>
        <w:t>Лицевият хемиспазъм</w:t>
      </w:r>
      <w:r w:rsidRPr="00AE47C6">
        <w:rPr>
          <w:rFonts w:ascii="Times New Roman" w:eastAsia="SimSun" w:hAnsi="Times New Roman"/>
          <w:sz w:val="24"/>
          <w:szCs w:val="24"/>
          <w:lang w:eastAsia="ar-SA"/>
        </w:rPr>
        <w:t xml:space="preserve"> представлява неволева, неритмична и безболезнена контракция на половината лицеви мускули. Може да възникне след парализа на Bell, акустичен неврином, аневризма на базиларната артерия или аберантна артерия, която компресира нерва. В много случаи причината не е ясна. Повлиява се от </w:t>
      </w:r>
      <w:r w:rsidRPr="00AE47C6">
        <w:rPr>
          <w:rFonts w:ascii="Times New Roman" w:eastAsia="SimSun" w:hAnsi="Times New Roman"/>
          <w:i/>
          <w:sz w:val="24"/>
          <w:szCs w:val="24"/>
          <w:lang w:eastAsia="ar-SA"/>
        </w:rPr>
        <w:t>carbamazepine, gabapentin, baclofen, ботулинов токсин или хирургична декомпресия</w:t>
      </w:r>
      <w:r w:rsidRPr="00AE47C6">
        <w:rPr>
          <w:rFonts w:ascii="Times New Roman" w:eastAsia="SimSun" w:hAnsi="Times New Roman"/>
          <w:sz w:val="24"/>
          <w:szCs w:val="24"/>
          <w:lang w:eastAsia="ar-SA"/>
        </w:rPr>
        <w:t>.</w:t>
      </w:r>
    </w:p>
    <w:p w14:paraId="45D7258E" w14:textId="77777777" w:rsidR="00BE0B19" w:rsidRPr="00AE47C6" w:rsidRDefault="00BE0B19" w:rsidP="00BE0B19">
      <w:pPr>
        <w:widowControl w:val="0"/>
        <w:suppressAutoHyphens/>
        <w:overflowPunct w:val="0"/>
        <w:autoSpaceDE w:val="0"/>
        <w:spacing w:after="0" w:line="360" w:lineRule="auto"/>
        <w:ind w:firstLine="709"/>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За компресионни мононевропатии виж т.3.1.3.</w:t>
      </w:r>
    </w:p>
    <w:p w14:paraId="69C88755"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i/>
          <w:iCs/>
          <w:sz w:val="24"/>
          <w:szCs w:val="24"/>
        </w:rPr>
      </w:pPr>
      <w:bookmarkStart w:id="43" w:name="_Toc155651721"/>
      <w:bookmarkStart w:id="44" w:name="_Toc164075853"/>
      <w:r w:rsidRPr="00AE47C6">
        <w:rPr>
          <w:rFonts w:ascii="Times New Roman" w:eastAsia="SimSun" w:hAnsi="Times New Roman"/>
          <w:b/>
          <w:sz w:val="24"/>
          <w:szCs w:val="24"/>
        </w:rPr>
        <w:t>2.2. Полиневрити и полиневропатии</w:t>
      </w:r>
      <w:bookmarkEnd w:id="43"/>
      <w:bookmarkEnd w:id="44"/>
    </w:p>
    <w:p w14:paraId="4CFCC469" w14:textId="77777777" w:rsidR="00BE0B19" w:rsidRPr="00AE47C6" w:rsidRDefault="00BE0B19" w:rsidP="00BE0B19">
      <w:pPr>
        <w:tabs>
          <w:tab w:val="left" w:pos="7938"/>
        </w:tabs>
        <w:overflowPunct w:val="0"/>
        <w:autoSpaceDE w:val="0"/>
        <w:autoSpaceDN w:val="0"/>
        <w:adjustRightInd w:val="0"/>
        <w:spacing w:after="0" w:line="360" w:lineRule="auto"/>
        <w:ind w:firstLine="720"/>
        <w:jc w:val="both"/>
        <w:textAlignment w:val="baseline"/>
        <w:rPr>
          <w:rFonts w:ascii="Times New Roman" w:eastAsia="SimSun" w:hAnsi="Times New Roman"/>
          <w:iCs/>
          <w:sz w:val="24"/>
          <w:szCs w:val="24"/>
        </w:rPr>
      </w:pPr>
      <w:r w:rsidRPr="00AE47C6">
        <w:rPr>
          <w:rFonts w:ascii="Times New Roman" w:eastAsia="SimSun" w:hAnsi="Times New Roman"/>
          <w:i/>
          <w:iCs/>
          <w:sz w:val="24"/>
          <w:szCs w:val="24"/>
        </w:rPr>
        <w:t xml:space="preserve">Определение. </w:t>
      </w:r>
      <w:r w:rsidRPr="00AE47C6">
        <w:rPr>
          <w:rFonts w:ascii="Times New Roman" w:eastAsia="SimSun" w:hAnsi="Times New Roman"/>
          <w:iCs/>
          <w:sz w:val="24"/>
          <w:szCs w:val="24"/>
        </w:rPr>
        <w:t xml:space="preserve">Представляват заболявания на периферната нервна система (ПНС), при които се увреждат двустранно симетрично повече от два периферни нерви с техните моторни, сетивни или автономни влакна. </w:t>
      </w:r>
      <w:r w:rsidRPr="00AE47C6">
        <w:rPr>
          <w:rFonts w:ascii="Times New Roman" w:eastAsia="SimSun" w:hAnsi="Times New Roman"/>
          <w:b/>
          <w:sz w:val="24"/>
          <w:szCs w:val="24"/>
        </w:rPr>
        <w:t>При някои от полиневропатиите могат да се засегнат и краниалните нерви (КН) и/или спиналните коренчета.</w:t>
      </w:r>
    </w:p>
    <w:p w14:paraId="1807C5A4"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b/>
          <w:i/>
          <w:sz w:val="24"/>
          <w:szCs w:val="24"/>
        </w:rPr>
        <w:t xml:space="preserve">Епидемиология. </w:t>
      </w:r>
      <w:r w:rsidRPr="00AE47C6">
        <w:rPr>
          <w:rFonts w:ascii="Times New Roman" w:eastAsia="SimSun" w:hAnsi="Times New Roman"/>
          <w:sz w:val="24"/>
          <w:szCs w:val="24"/>
        </w:rPr>
        <w:t xml:space="preserve">Засягат 2-8% от възрастното население, като заболяемостта нараства с възрастта. </w:t>
      </w:r>
    </w:p>
    <w:p w14:paraId="7D35E1B7"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i/>
          <w:iCs/>
          <w:sz w:val="24"/>
          <w:szCs w:val="24"/>
        </w:rPr>
        <w:t xml:space="preserve">Класификацията </w:t>
      </w:r>
      <w:r w:rsidRPr="00AE47C6">
        <w:rPr>
          <w:rFonts w:ascii="Times New Roman" w:eastAsia="SimSun" w:hAnsi="Times New Roman"/>
          <w:iCs/>
          <w:sz w:val="24"/>
          <w:szCs w:val="24"/>
        </w:rPr>
        <w:t>на</w:t>
      </w:r>
      <w:r w:rsidRPr="00AE47C6">
        <w:rPr>
          <w:rFonts w:ascii="Times New Roman" w:eastAsia="SimSun" w:hAnsi="Times New Roman"/>
          <w:sz w:val="24"/>
          <w:szCs w:val="24"/>
        </w:rPr>
        <w:t xml:space="preserve"> полиневропатиите може да се направи според темпа на възникване (остри, подостри и хронични), според преобладаващите клинични симптоми</w:t>
      </w:r>
      <w:r w:rsidRPr="00AE47C6">
        <w:rPr>
          <w:rFonts w:ascii="Times New Roman" w:eastAsia="SimSun" w:hAnsi="Times New Roman"/>
          <w:iCs/>
          <w:sz w:val="24"/>
          <w:szCs w:val="24"/>
        </w:rPr>
        <w:t xml:space="preserve"> (сетивни, моторни, сетивно-моторни и автономни)</w:t>
      </w:r>
      <w:r w:rsidRPr="00AE47C6">
        <w:rPr>
          <w:rFonts w:ascii="Times New Roman" w:eastAsia="SimSun" w:hAnsi="Times New Roman"/>
          <w:sz w:val="24"/>
          <w:szCs w:val="24"/>
        </w:rPr>
        <w:t xml:space="preserve"> и в зависимост от етиологията и патогенезата (Табл.2 1.).</w:t>
      </w:r>
    </w:p>
    <w:p w14:paraId="17213214"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p>
    <w:p w14:paraId="6F8AE1D5" w14:textId="77777777" w:rsidR="00BE0B19" w:rsidRPr="00AE47C6" w:rsidRDefault="00BE0B19" w:rsidP="00BE0B19">
      <w:pPr>
        <w:spacing w:after="0" w:line="360" w:lineRule="auto"/>
        <w:ind w:firstLine="709"/>
        <w:jc w:val="both"/>
        <w:rPr>
          <w:rFonts w:ascii="Times New Roman" w:eastAsia="SimSun" w:hAnsi="Times New Roman"/>
          <w:b/>
          <w:iCs/>
          <w:sz w:val="24"/>
          <w:szCs w:val="24"/>
        </w:rPr>
      </w:pPr>
      <w:r w:rsidRPr="00AE47C6">
        <w:rPr>
          <w:rFonts w:ascii="Times New Roman" w:eastAsia="SimSun" w:hAnsi="Times New Roman"/>
          <w:b/>
          <w:iCs/>
          <w:sz w:val="24"/>
          <w:szCs w:val="24"/>
        </w:rPr>
        <w:t>Табл.2.1. Етиопатогенетична класификация на полиневропатиите</w:t>
      </w:r>
    </w:p>
    <w:tbl>
      <w:tblPr>
        <w:tblW w:w="8443" w:type="dxa"/>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3"/>
      </w:tblGrid>
      <w:tr w:rsidR="00BE0B19" w:rsidRPr="00AE47C6" w14:paraId="214A44C5" w14:textId="77777777" w:rsidTr="00AD72E5">
        <w:trPr>
          <w:trHeight w:val="278"/>
        </w:trPr>
        <w:tc>
          <w:tcPr>
            <w:tcW w:w="8443" w:type="dxa"/>
          </w:tcPr>
          <w:p w14:paraId="3E06ADE7"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b/>
                <w:bCs/>
                <w:iCs/>
                <w:sz w:val="24"/>
                <w:szCs w:val="24"/>
              </w:rPr>
              <w:t>Инфекциозни полиневропатии</w:t>
            </w:r>
          </w:p>
        </w:tc>
      </w:tr>
      <w:tr w:rsidR="00BE0B19" w:rsidRPr="00AE47C6" w14:paraId="6D84727A" w14:textId="77777777" w:rsidTr="00AD72E5">
        <w:trPr>
          <w:trHeight w:val="592"/>
        </w:trPr>
        <w:tc>
          <w:tcPr>
            <w:tcW w:w="8443" w:type="dxa"/>
          </w:tcPr>
          <w:p w14:paraId="393D08D7"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Дифтерийна полиневропатия</w:t>
            </w:r>
          </w:p>
          <w:p w14:paraId="758900AF"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Лепрозна полиневропатия</w:t>
            </w:r>
          </w:p>
          <w:p w14:paraId="23EC3EF3"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При инфекциозна мононуклеоза</w:t>
            </w:r>
          </w:p>
          <w:p w14:paraId="3937B00B"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При невроборелиоза</w:t>
            </w:r>
          </w:p>
          <w:p w14:paraId="28695F94"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При СПИН</w:t>
            </w:r>
          </w:p>
        </w:tc>
      </w:tr>
      <w:tr w:rsidR="00BE0B19" w:rsidRPr="00AE47C6" w14:paraId="694D9EC7" w14:textId="77777777" w:rsidTr="00AD72E5">
        <w:trPr>
          <w:trHeight w:val="441"/>
        </w:trPr>
        <w:tc>
          <w:tcPr>
            <w:tcW w:w="8443" w:type="dxa"/>
          </w:tcPr>
          <w:p w14:paraId="0D2897A0"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b/>
                <w:bCs/>
                <w:iCs/>
                <w:sz w:val="24"/>
                <w:szCs w:val="24"/>
              </w:rPr>
              <w:t>Възпалителни демиелинизиращи полирадикулоневропатии</w:t>
            </w:r>
          </w:p>
        </w:tc>
      </w:tr>
      <w:tr w:rsidR="00BE0B19" w:rsidRPr="00AE47C6" w14:paraId="44CFCFA6" w14:textId="77777777" w:rsidTr="00AD72E5">
        <w:trPr>
          <w:trHeight w:val="1231"/>
        </w:trPr>
        <w:tc>
          <w:tcPr>
            <w:tcW w:w="8443" w:type="dxa"/>
          </w:tcPr>
          <w:p w14:paraId="61D12756"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Остра възпалителна демиелинизираща полирадикулоневропатия (ОВДП)</w:t>
            </w:r>
          </w:p>
          <w:p w14:paraId="2FDEEF6D"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Хронична възпалителна демиелинизираща полирадикулоневропатия (ХВДП)</w:t>
            </w:r>
          </w:p>
          <w:p w14:paraId="1693F2A1" w14:textId="77777777" w:rsidR="00BE0B19" w:rsidRPr="00AE47C6" w:rsidRDefault="00BE0B19" w:rsidP="00BE0B19">
            <w:pPr>
              <w:spacing w:after="0" w:line="360" w:lineRule="auto"/>
              <w:jc w:val="both"/>
              <w:rPr>
                <w:rFonts w:ascii="Times New Roman" w:eastAsia="SimSun" w:hAnsi="Times New Roman"/>
                <w:b/>
                <w:bCs/>
                <w:i/>
                <w:iCs/>
                <w:sz w:val="24"/>
                <w:szCs w:val="24"/>
              </w:rPr>
            </w:pPr>
            <w:r w:rsidRPr="00AE47C6">
              <w:rPr>
                <w:rFonts w:ascii="Times New Roman" w:eastAsia="SimSun" w:hAnsi="Times New Roman"/>
                <w:iCs/>
                <w:sz w:val="24"/>
                <w:szCs w:val="24"/>
              </w:rPr>
              <w:t>Мултифокална моторна невропатия с блок в проводимостта</w:t>
            </w:r>
          </w:p>
        </w:tc>
      </w:tr>
      <w:tr w:rsidR="00BE0B19" w:rsidRPr="00AE47C6" w14:paraId="7362AD00" w14:textId="77777777" w:rsidTr="00AD72E5">
        <w:trPr>
          <w:trHeight w:val="255"/>
        </w:trPr>
        <w:tc>
          <w:tcPr>
            <w:tcW w:w="8443" w:type="dxa"/>
          </w:tcPr>
          <w:p w14:paraId="735DDFE1"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b/>
                <w:bCs/>
                <w:iCs/>
                <w:sz w:val="24"/>
                <w:szCs w:val="24"/>
              </w:rPr>
              <w:t>Полиневропатии, асоциирани с гамапатия</w:t>
            </w:r>
          </w:p>
        </w:tc>
      </w:tr>
      <w:tr w:rsidR="00BE0B19" w:rsidRPr="00AE47C6" w14:paraId="62063161" w14:textId="77777777" w:rsidTr="00AD72E5">
        <w:trPr>
          <w:trHeight w:val="279"/>
        </w:trPr>
        <w:tc>
          <w:tcPr>
            <w:tcW w:w="8443" w:type="dxa"/>
          </w:tcPr>
          <w:p w14:paraId="2B93D95B"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b/>
                <w:bCs/>
                <w:iCs/>
                <w:sz w:val="24"/>
                <w:szCs w:val="24"/>
              </w:rPr>
              <w:t>Токсични полиневропатии</w:t>
            </w:r>
          </w:p>
        </w:tc>
      </w:tr>
      <w:tr w:rsidR="00BE0B19" w:rsidRPr="00AE47C6" w14:paraId="35839754" w14:textId="77777777" w:rsidTr="00AD72E5">
        <w:trPr>
          <w:trHeight w:val="416"/>
        </w:trPr>
        <w:tc>
          <w:tcPr>
            <w:tcW w:w="8443" w:type="dxa"/>
          </w:tcPr>
          <w:p w14:paraId="22A12E5B"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Полиневропатии при отравяне с индустриални, селскостопански и други токсични вещества</w:t>
            </w:r>
          </w:p>
          <w:p w14:paraId="1C7C23EA"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Медикаментозни полиневропатии</w:t>
            </w:r>
          </w:p>
          <w:p w14:paraId="617A8D17" w14:textId="77777777" w:rsidR="00BE0B19" w:rsidRPr="00AE47C6" w:rsidRDefault="00BE0B19" w:rsidP="00BE0B19">
            <w:pPr>
              <w:spacing w:after="0" w:line="360" w:lineRule="auto"/>
              <w:jc w:val="both"/>
              <w:rPr>
                <w:rFonts w:ascii="Times New Roman" w:eastAsia="SimSun" w:hAnsi="Times New Roman"/>
                <w:bCs/>
                <w:iCs/>
                <w:sz w:val="24"/>
                <w:szCs w:val="24"/>
              </w:rPr>
            </w:pPr>
            <w:r w:rsidRPr="00AE47C6">
              <w:rPr>
                <w:rFonts w:ascii="Times New Roman" w:eastAsia="SimSun" w:hAnsi="Times New Roman"/>
                <w:bCs/>
                <w:sz w:val="24"/>
                <w:szCs w:val="24"/>
              </w:rPr>
              <w:t>Полиневропатия при критични заболявания</w:t>
            </w:r>
          </w:p>
        </w:tc>
      </w:tr>
      <w:tr w:rsidR="00BE0B19" w:rsidRPr="00AE47C6" w14:paraId="6027B6A5" w14:textId="77777777" w:rsidTr="00AD72E5">
        <w:trPr>
          <w:trHeight w:val="255"/>
        </w:trPr>
        <w:tc>
          <w:tcPr>
            <w:tcW w:w="8443" w:type="dxa"/>
          </w:tcPr>
          <w:p w14:paraId="1451418B"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b/>
                <w:bCs/>
                <w:iCs/>
                <w:sz w:val="24"/>
                <w:szCs w:val="24"/>
              </w:rPr>
              <w:t>Недоимъчни полиневропатии</w:t>
            </w:r>
          </w:p>
          <w:p w14:paraId="0C4C24AD"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Алкохолна полиневропатия</w:t>
            </w:r>
          </w:p>
        </w:tc>
      </w:tr>
      <w:tr w:rsidR="00BE0B19" w:rsidRPr="00AE47C6" w14:paraId="28963BA7" w14:textId="77777777" w:rsidTr="00AD72E5">
        <w:trPr>
          <w:trHeight w:val="336"/>
        </w:trPr>
        <w:tc>
          <w:tcPr>
            <w:tcW w:w="8443" w:type="dxa"/>
          </w:tcPr>
          <w:p w14:paraId="6E96C1D0" w14:textId="77777777" w:rsidR="00BE0B19" w:rsidRPr="00AE47C6" w:rsidRDefault="00BE0B19" w:rsidP="00BE0B19">
            <w:pPr>
              <w:spacing w:after="0" w:line="360" w:lineRule="auto"/>
              <w:jc w:val="both"/>
              <w:rPr>
                <w:rFonts w:ascii="Times New Roman" w:eastAsia="SimSun" w:hAnsi="Times New Roman"/>
                <w:b/>
                <w:bCs/>
                <w:iCs/>
                <w:sz w:val="24"/>
                <w:szCs w:val="24"/>
              </w:rPr>
            </w:pPr>
            <w:r w:rsidRPr="00AE47C6">
              <w:rPr>
                <w:rFonts w:ascii="Times New Roman" w:eastAsia="SimSun" w:hAnsi="Times New Roman"/>
                <w:b/>
                <w:bCs/>
                <w:iCs/>
                <w:sz w:val="24"/>
                <w:szCs w:val="24"/>
              </w:rPr>
              <w:t>Метаболитни полиневропатии</w:t>
            </w:r>
          </w:p>
        </w:tc>
      </w:tr>
      <w:tr w:rsidR="00BE0B19" w:rsidRPr="00AE47C6" w14:paraId="7256F3F1" w14:textId="77777777" w:rsidTr="00AD72E5">
        <w:trPr>
          <w:trHeight w:val="894"/>
        </w:trPr>
        <w:tc>
          <w:tcPr>
            <w:tcW w:w="8443" w:type="dxa"/>
          </w:tcPr>
          <w:p w14:paraId="267B4F82"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 xml:space="preserve">Диабетна полиневропатия </w:t>
            </w:r>
          </w:p>
          <w:p w14:paraId="63A5FFE6" w14:textId="77777777" w:rsidR="00BE0B19" w:rsidRPr="00AE47C6" w:rsidRDefault="00BE0B19" w:rsidP="00BE0B19">
            <w:pPr>
              <w:spacing w:after="0" w:line="360" w:lineRule="auto"/>
              <w:jc w:val="both"/>
              <w:rPr>
                <w:rFonts w:ascii="Times New Roman" w:eastAsia="SimSun" w:hAnsi="Times New Roman"/>
                <w:b/>
                <w:bCs/>
                <w:i/>
                <w:iCs/>
                <w:sz w:val="24"/>
                <w:szCs w:val="24"/>
              </w:rPr>
            </w:pPr>
            <w:r w:rsidRPr="00AE47C6">
              <w:rPr>
                <w:rFonts w:ascii="Times New Roman" w:eastAsia="SimSun" w:hAnsi="Times New Roman"/>
                <w:iCs/>
                <w:sz w:val="24"/>
                <w:szCs w:val="24"/>
              </w:rPr>
              <w:t>Уремична полиневропатия</w:t>
            </w:r>
          </w:p>
        </w:tc>
      </w:tr>
      <w:tr w:rsidR="00BE0B19" w:rsidRPr="00AE47C6" w14:paraId="093D85D6" w14:textId="77777777" w:rsidTr="00AD72E5">
        <w:trPr>
          <w:trHeight w:val="274"/>
        </w:trPr>
        <w:tc>
          <w:tcPr>
            <w:tcW w:w="8443" w:type="dxa"/>
          </w:tcPr>
          <w:p w14:paraId="0CD95925" w14:textId="77777777" w:rsidR="00BE0B19" w:rsidRPr="00AE47C6" w:rsidRDefault="00BE0B19" w:rsidP="00BE0B19">
            <w:pPr>
              <w:spacing w:after="0" w:line="360" w:lineRule="auto"/>
              <w:jc w:val="both"/>
              <w:rPr>
                <w:rFonts w:ascii="Times New Roman" w:eastAsia="SimSun" w:hAnsi="Times New Roman"/>
                <w:b/>
                <w:bCs/>
                <w:i/>
                <w:iCs/>
                <w:sz w:val="24"/>
                <w:szCs w:val="24"/>
              </w:rPr>
            </w:pPr>
            <w:r w:rsidRPr="00AE47C6">
              <w:rPr>
                <w:rFonts w:ascii="Times New Roman" w:eastAsia="SimSun" w:hAnsi="Times New Roman"/>
                <w:b/>
                <w:iCs/>
                <w:sz w:val="24"/>
                <w:szCs w:val="24"/>
              </w:rPr>
              <w:t>Полиневропатии при малигнени неоплазми</w:t>
            </w:r>
          </w:p>
        </w:tc>
      </w:tr>
      <w:tr w:rsidR="00BE0B19" w:rsidRPr="00AE47C6" w14:paraId="05016BF2" w14:textId="77777777" w:rsidTr="00AD72E5">
        <w:trPr>
          <w:trHeight w:val="476"/>
        </w:trPr>
        <w:tc>
          <w:tcPr>
            <w:tcW w:w="8443" w:type="dxa"/>
          </w:tcPr>
          <w:p w14:paraId="1844085C" w14:textId="77777777" w:rsidR="00BE0B19" w:rsidRPr="00AE47C6" w:rsidRDefault="00BE0B19" w:rsidP="00BE0B19">
            <w:pPr>
              <w:spacing w:after="0" w:line="360" w:lineRule="auto"/>
              <w:jc w:val="both"/>
              <w:rPr>
                <w:rFonts w:ascii="Times New Roman" w:eastAsia="SimSun" w:hAnsi="Times New Roman"/>
                <w:b/>
                <w:bCs/>
                <w:iCs/>
                <w:sz w:val="24"/>
                <w:szCs w:val="24"/>
              </w:rPr>
            </w:pPr>
            <w:r w:rsidRPr="00AE47C6">
              <w:rPr>
                <w:rFonts w:ascii="Times New Roman" w:eastAsia="SimSun" w:hAnsi="Times New Roman"/>
                <w:b/>
                <w:bCs/>
                <w:iCs/>
                <w:sz w:val="24"/>
                <w:szCs w:val="24"/>
              </w:rPr>
              <w:t>Полиневропатии при болести на съединителната тъкан и васкулити</w:t>
            </w:r>
          </w:p>
        </w:tc>
      </w:tr>
      <w:tr w:rsidR="00BE0B19" w:rsidRPr="00AE47C6" w14:paraId="0EDF752F" w14:textId="77777777" w:rsidTr="00AD72E5">
        <w:trPr>
          <w:trHeight w:val="211"/>
        </w:trPr>
        <w:tc>
          <w:tcPr>
            <w:tcW w:w="8443" w:type="dxa"/>
          </w:tcPr>
          <w:p w14:paraId="2296D112" w14:textId="77777777" w:rsidR="00BE0B19" w:rsidRPr="00AE47C6" w:rsidRDefault="00BE0B19" w:rsidP="00BE0B19">
            <w:pPr>
              <w:spacing w:after="0" w:line="360" w:lineRule="auto"/>
              <w:jc w:val="both"/>
              <w:rPr>
                <w:rFonts w:ascii="Times New Roman" w:eastAsia="SimSun" w:hAnsi="Times New Roman"/>
                <w:b/>
                <w:bCs/>
                <w:iCs/>
                <w:sz w:val="24"/>
                <w:szCs w:val="24"/>
              </w:rPr>
            </w:pPr>
            <w:r w:rsidRPr="00AE47C6">
              <w:rPr>
                <w:rFonts w:ascii="Times New Roman" w:eastAsia="SimSun" w:hAnsi="Times New Roman"/>
                <w:b/>
                <w:bCs/>
                <w:iCs/>
                <w:sz w:val="24"/>
                <w:szCs w:val="24"/>
              </w:rPr>
              <w:t>Наследствени полиневропатии</w:t>
            </w:r>
          </w:p>
        </w:tc>
      </w:tr>
    </w:tbl>
    <w:p w14:paraId="2D9F5727" w14:textId="77777777" w:rsidR="00BE0B19" w:rsidRPr="00AE47C6" w:rsidRDefault="00BE0B19" w:rsidP="00BE0B19">
      <w:pPr>
        <w:overflowPunct w:val="0"/>
        <w:autoSpaceDE w:val="0"/>
        <w:autoSpaceDN w:val="0"/>
        <w:adjustRightInd w:val="0"/>
        <w:spacing w:after="0" w:line="360" w:lineRule="auto"/>
        <w:jc w:val="both"/>
        <w:textAlignment w:val="baseline"/>
        <w:rPr>
          <w:rFonts w:ascii="Times New Roman" w:eastAsia="SimSun" w:hAnsi="Times New Roman"/>
          <w:sz w:val="24"/>
          <w:szCs w:val="24"/>
        </w:rPr>
      </w:pPr>
    </w:p>
    <w:p w14:paraId="54DF4D28" w14:textId="77777777" w:rsidR="00BE0B19" w:rsidRPr="00AE47C6" w:rsidRDefault="00BE0B19" w:rsidP="00BE0B19">
      <w:pPr>
        <w:spacing w:after="0" w:line="360" w:lineRule="auto"/>
        <w:ind w:firstLine="709"/>
        <w:jc w:val="both"/>
        <w:rPr>
          <w:rFonts w:ascii="Times New Roman" w:eastAsia="SimSun" w:hAnsi="Times New Roman"/>
          <w:iCs/>
          <w:sz w:val="24"/>
          <w:szCs w:val="24"/>
        </w:rPr>
      </w:pPr>
      <w:r w:rsidRPr="00AE47C6">
        <w:rPr>
          <w:rFonts w:ascii="Times New Roman" w:eastAsia="SimSun" w:hAnsi="Times New Roman"/>
          <w:b/>
          <w:iCs/>
          <w:sz w:val="24"/>
          <w:szCs w:val="24"/>
        </w:rPr>
        <w:t>Клиничната картина</w:t>
      </w:r>
      <w:r w:rsidRPr="00AE47C6">
        <w:rPr>
          <w:rFonts w:ascii="Times New Roman" w:eastAsia="SimSun" w:hAnsi="Times New Roman"/>
          <w:sz w:val="24"/>
          <w:szCs w:val="24"/>
        </w:rPr>
        <w:t xml:space="preserve"> най-често е тази на </w:t>
      </w:r>
      <w:r w:rsidRPr="00AE47C6">
        <w:rPr>
          <w:rFonts w:ascii="Times New Roman" w:eastAsia="SimSun" w:hAnsi="Times New Roman"/>
          <w:i/>
          <w:sz w:val="24"/>
          <w:szCs w:val="24"/>
        </w:rPr>
        <w:t>симетрична, дистална, сетивно-моторна полиневропатия.</w:t>
      </w:r>
      <w:r w:rsidRPr="00AE47C6">
        <w:rPr>
          <w:rFonts w:ascii="Times New Roman" w:eastAsia="SimSun" w:hAnsi="Times New Roman"/>
          <w:sz w:val="24"/>
          <w:szCs w:val="24"/>
        </w:rPr>
        <w:t xml:space="preserve"> Установяват се дистално засилващи се сетивни промени, които са симетрични, съчетани с дистални периферни парези, с мускулна хипотония и отслабени до липсващи сухожилни рефлекси. Сухожилните рефлекси не се засягат при невропатии на малките (тънките) нервни влакна, защото в рефлексната дъга участват дебелите миелинизирани нервни влакна от мускулните вретена. При засягане на тънките влакна възникват автономни нарушения и се засяга усета за болка и температура. Автономните нарушения най-често се проявяват с анхидроза и ортостатична хипотония. Могат да се проявят нарушения на зеничните реакции, нарушено слюноотделяне и сълзотечение, импотентност, мехурни нарушения и други. При засягане на дебелите влакна паралелно със сухожилната арефлексия се засяга и дълбоката сетивност. В тези случаи може да възникне сензорна атаксия, псевдоатетоза (танцуващи пръсти) и акционен тремор в горните крайници. Сетивните нарушения преобладават пред двигателните при токсичните и метаболитни невропатии. При повечето случаи краката са по-тежко засегнатите крайници. Този модел на увреждане предимно на дисталните части на крайниците и по-тежко увреждане на долните крайници е типичен за аксонната дегенерация. Увреждат се първо и най-тежко най-дългите периферни нерви. Денервираните мускули постепенно атрофират. По-рядко се наблюдават </w:t>
      </w:r>
      <w:r w:rsidRPr="00AE47C6">
        <w:rPr>
          <w:rFonts w:ascii="Times New Roman" w:eastAsia="SimSun" w:hAnsi="Times New Roman"/>
          <w:i/>
          <w:sz w:val="24"/>
          <w:szCs w:val="24"/>
        </w:rPr>
        <w:t>проксимален тип на полиневропатия и множествена мононевропатия</w:t>
      </w:r>
      <w:r w:rsidRPr="00AE47C6">
        <w:rPr>
          <w:rFonts w:ascii="Times New Roman" w:eastAsia="SimSun" w:hAnsi="Times New Roman"/>
          <w:sz w:val="24"/>
          <w:szCs w:val="24"/>
        </w:rPr>
        <w:t xml:space="preserve"> – асиметрично и изолирано увреждане на множество периферни нерви, което понякога не настъпва едновременно, а последователно. Този модел на увреждане първо на проксималните части на крайниците е типичен за демиелинизиращите полиневропатии. В тези случаи не настъпва мускулна атрофия, защото аксоните в периферния нерв почти не са увредени и липсва денервация на мускулите.</w:t>
      </w:r>
    </w:p>
    <w:p w14:paraId="159FD725"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Клиничният ход</w:t>
      </w:r>
      <w:r w:rsidRPr="00AE47C6">
        <w:rPr>
          <w:rFonts w:ascii="Times New Roman" w:eastAsia="SimSun" w:hAnsi="Times New Roman"/>
          <w:sz w:val="24"/>
          <w:szCs w:val="24"/>
        </w:rPr>
        <w:t xml:space="preserve"> на полиневропатиите е различен. Съществуват </w:t>
      </w:r>
      <w:r w:rsidRPr="00AE47C6">
        <w:rPr>
          <w:rFonts w:ascii="Times New Roman" w:eastAsia="SimSun" w:hAnsi="Times New Roman"/>
          <w:i/>
          <w:sz w:val="24"/>
          <w:szCs w:val="24"/>
        </w:rPr>
        <w:t>остро (за дни), подостро (за седмици) и хронично (за месеци и години) развиващи се полиневропатии</w:t>
      </w:r>
      <w:r w:rsidRPr="00AE47C6">
        <w:rPr>
          <w:rFonts w:ascii="Times New Roman" w:eastAsia="SimSun" w:hAnsi="Times New Roman"/>
          <w:sz w:val="24"/>
          <w:szCs w:val="24"/>
        </w:rPr>
        <w:t xml:space="preserve">, както и такива с </w:t>
      </w:r>
      <w:r w:rsidRPr="00AE47C6">
        <w:rPr>
          <w:rFonts w:ascii="Times New Roman" w:eastAsia="SimSun" w:hAnsi="Times New Roman"/>
          <w:i/>
          <w:sz w:val="24"/>
          <w:szCs w:val="24"/>
        </w:rPr>
        <w:t>хронично-ремитентно протичане</w:t>
      </w:r>
      <w:r w:rsidRPr="00AE47C6">
        <w:rPr>
          <w:rFonts w:ascii="Times New Roman" w:eastAsia="SimSun" w:hAnsi="Times New Roman"/>
          <w:sz w:val="24"/>
          <w:szCs w:val="24"/>
        </w:rPr>
        <w:t xml:space="preserve">. Острите полиневропатии са възпалителни, имунни, токсични или съдови. Подострите най-често са токсични, метаболитни или свързани със системни заболявания. Хроничните полиневропатии са наследствени и по-рядко метаболитни. </w:t>
      </w:r>
    </w:p>
    <w:p w14:paraId="300D513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Диагнозата и диференциалната диагноза</w:t>
      </w:r>
      <w:r w:rsidRPr="00AE47C6">
        <w:rPr>
          <w:rFonts w:ascii="Times New Roman" w:eastAsia="SimSun" w:hAnsi="Times New Roman"/>
          <w:sz w:val="24"/>
          <w:szCs w:val="24"/>
        </w:rPr>
        <w:t xml:space="preserve"> се основават на анамнестичните данни, неврологичният статус, ЕМГ, ликворологични, хистологични и други лабораторни изследвания. За изясняване на етиологията на заболяването се налагат множество различни изследвания – глюкозен толеранс, HbA</w:t>
      </w:r>
      <w:r w:rsidRPr="00AE47C6">
        <w:rPr>
          <w:rFonts w:ascii="Times New Roman" w:eastAsia="SimSun" w:hAnsi="Times New Roman"/>
          <w:sz w:val="24"/>
          <w:szCs w:val="24"/>
          <w:vertAlign w:val="subscript"/>
        </w:rPr>
        <w:t>1C</w:t>
      </w:r>
      <w:r w:rsidRPr="00AE47C6">
        <w:rPr>
          <w:rFonts w:ascii="Times New Roman" w:eastAsia="SimSun" w:hAnsi="Times New Roman"/>
          <w:sz w:val="24"/>
          <w:szCs w:val="24"/>
        </w:rPr>
        <w:t>, серумно ниво на витамин В</w:t>
      </w:r>
      <w:r w:rsidRPr="00AE47C6">
        <w:rPr>
          <w:rFonts w:ascii="Times New Roman" w:eastAsia="SimSun" w:hAnsi="Times New Roman"/>
          <w:sz w:val="24"/>
          <w:szCs w:val="24"/>
          <w:vertAlign w:val="subscript"/>
        </w:rPr>
        <w:t>12</w:t>
      </w:r>
      <w:r w:rsidRPr="00AE47C6">
        <w:rPr>
          <w:rFonts w:ascii="Times New Roman" w:eastAsia="SimSun" w:hAnsi="Times New Roman"/>
          <w:sz w:val="24"/>
          <w:szCs w:val="24"/>
        </w:rPr>
        <w:t xml:space="preserve">, изследвания за системен васкулит и колагеноза и др. ЕМГ изследването може да отговори на въпросите дали полиневропатията е аксонна или демиелинизираща, симетрична или несиметрична, тежка или лека. </w:t>
      </w:r>
    </w:p>
    <w:p w14:paraId="09F1ED0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Лечението</w:t>
      </w:r>
      <w:r w:rsidRPr="00AE47C6">
        <w:rPr>
          <w:rFonts w:ascii="Times New Roman" w:eastAsia="SimSun" w:hAnsi="Times New Roman"/>
          <w:sz w:val="24"/>
          <w:szCs w:val="24"/>
        </w:rPr>
        <w:t xml:space="preserve"> на първо място е насочено към лечение на подлежащото заболяване, когато това е възможно. </w:t>
      </w:r>
    </w:p>
    <w:p w14:paraId="211FAA12"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i/>
          <w:sz w:val="24"/>
          <w:szCs w:val="24"/>
        </w:rPr>
        <w:t xml:space="preserve">Повлияването на </w:t>
      </w:r>
      <w:r w:rsidRPr="00AE47C6">
        <w:rPr>
          <w:rFonts w:ascii="Times New Roman" w:eastAsia="SimSun" w:hAnsi="Times New Roman"/>
          <w:b/>
          <w:i/>
          <w:sz w:val="24"/>
          <w:szCs w:val="24"/>
        </w:rPr>
        <w:t xml:space="preserve">болката </w:t>
      </w:r>
      <w:r w:rsidRPr="00AE47C6">
        <w:rPr>
          <w:rFonts w:ascii="Times New Roman" w:eastAsia="SimSun" w:hAnsi="Times New Roman"/>
          <w:i/>
          <w:sz w:val="24"/>
          <w:szCs w:val="24"/>
        </w:rPr>
        <w:t>е основен тип лечение</w:t>
      </w:r>
      <w:r w:rsidRPr="00AE47C6">
        <w:rPr>
          <w:rFonts w:ascii="Times New Roman" w:eastAsia="SimSun" w:hAnsi="Times New Roman"/>
          <w:sz w:val="24"/>
          <w:szCs w:val="24"/>
        </w:rPr>
        <w:t>.</w:t>
      </w:r>
    </w:p>
    <w:p w14:paraId="56CC3DAB"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Невропатната болка</w:t>
      </w:r>
      <w:r w:rsidRPr="00AE47C6">
        <w:rPr>
          <w:rFonts w:ascii="Times New Roman" w:eastAsia="SimSun" w:hAnsi="Times New Roman"/>
          <w:sz w:val="24"/>
          <w:szCs w:val="24"/>
        </w:rPr>
        <w:t xml:space="preserve"> се повлиява от няколко групи медикаменти: антидепресанти, антиконвулсанти, мембранни стабилизатори, NMDA антагонисти, адренергични агонисти, ГАМК</w:t>
      </w:r>
      <w:r w:rsidRPr="00AE47C6">
        <w:rPr>
          <w:rFonts w:ascii="Times New Roman" w:eastAsia="SimSun" w:hAnsi="Times New Roman"/>
          <w:sz w:val="24"/>
          <w:szCs w:val="24"/>
          <w:vertAlign w:val="subscript"/>
        </w:rPr>
        <w:t xml:space="preserve"> </w:t>
      </w:r>
      <w:r w:rsidRPr="00AE47C6">
        <w:rPr>
          <w:rFonts w:ascii="Times New Roman" w:eastAsia="SimSun" w:hAnsi="Times New Roman"/>
          <w:sz w:val="24"/>
          <w:szCs w:val="24"/>
        </w:rPr>
        <w:t xml:space="preserve">в агонисти, опиоидни медикаменти. Колкото по-рано се започне лечението, толкова по- добър ефект се постига. </w:t>
      </w:r>
    </w:p>
    <w:p w14:paraId="7466ADBF" w14:textId="77777777" w:rsidR="00BE0B19" w:rsidRPr="00AE47C6" w:rsidRDefault="00BE0B19" w:rsidP="00BE0B19">
      <w:pPr>
        <w:numPr>
          <w:ilvl w:val="0"/>
          <w:numId w:val="63"/>
        </w:numPr>
        <w:tabs>
          <w:tab w:val="left" w:pos="426"/>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
          <w:sz w:val="24"/>
          <w:szCs w:val="24"/>
        </w:rPr>
        <w:t>Първи избор</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Gabapentin</w:t>
      </w:r>
      <w:r w:rsidRPr="00AE47C6">
        <w:rPr>
          <w:rFonts w:ascii="Times New Roman" w:eastAsia="SimSun" w:hAnsi="Times New Roman"/>
          <w:sz w:val="24"/>
          <w:szCs w:val="24"/>
        </w:rPr>
        <w:t xml:space="preserve"> 900-1800 mg и </w:t>
      </w:r>
      <w:r w:rsidRPr="00AE47C6">
        <w:rPr>
          <w:rFonts w:ascii="Times New Roman" w:eastAsia="SimSun" w:hAnsi="Times New Roman"/>
          <w:i/>
          <w:sz w:val="24"/>
          <w:szCs w:val="24"/>
        </w:rPr>
        <w:t xml:space="preserve">Pregabalin </w:t>
      </w:r>
      <w:r w:rsidRPr="00AE47C6">
        <w:rPr>
          <w:rFonts w:ascii="Times New Roman" w:eastAsia="SimSun" w:hAnsi="Times New Roman"/>
          <w:sz w:val="24"/>
          <w:szCs w:val="24"/>
        </w:rPr>
        <w:t xml:space="preserve">300-600 mg. </w:t>
      </w:r>
    </w:p>
    <w:p w14:paraId="2224766B" w14:textId="77777777" w:rsidR="00BE0B19" w:rsidRPr="00AE47C6" w:rsidRDefault="00BE0B19" w:rsidP="00BE0B19">
      <w:pPr>
        <w:numPr>
          <w:ilvl w:val="0"/>
          <w:numId w:val="63"/>
        </w:numPr>
        <w:tabs>
          <w:tab w:val="left" w:pos="426"/>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
          <w:sz w:val="24"/>
          <w:szCs w:val="24"/>
        </w:rPr>
        <w:t>Втори избор</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 xml:space="preserve">Антидепресанти </w:t>
      </w:r>
      <w:r w:rsidRPr="00AE47C6">
        <w:rPr>
          <w:rFonts w:ascii="Times New Roman" w:eastAsia="SimSun" w:hAnsi="Times New Roman"/>
          <w:sz w:val="24"/>
          <w:szCs w:val="24"/>
        </w:rPr>
        <w:t xml:space="preserve">- трициклични и със селективно инхибиране на обратния захват на серотонина и норадреналина: </w:t>
      </w:r>
    </w:p>
    <w:p w14:paraId="6BDFAE6D" w14:textId="77777777" w:rsidR="00BE0B19" w:rsidRPr="00AE47C6" w:rsidRDefault="00BE0B19" w:rsidP="00BE0B19">
      <w:pPr>
        <w:numPr>
          <w:ilvl w:val="1"/>
          <w:numId w:val="62"/>
        </w:numPr>
        <w:tabs>
          <w:tab w:val="left" w:pos="1134"/>
        </w:tabs>
        <w:spacing w:after="0" w:line="360" w:lineRule="auto"/>
        <w:ind w:left="0" w:hanging="283"/>
        <w:jc w:val="both"/>
        <w:rPr>
          <w:rFonts w:ascii="Times New Roman" w:eastAsia="SimSun" w:hAnsi="Times New Roman"/>
          <w:sz w:val="24"/>
          <w:szCs w:val="24"/>
        </w:rPr>
      </w:pPr>
      <w:r w:rsidRPr="00AE47C6">
        <w:rPr>
          <w:rFonts w:ascii="Times New Roman" w:eastAsia="SimSun" w:hAnsi="Times New Roman"/>
          <w:i/>
          <w:sz w:val="24"/>
          <w:szCs w:val="24"/>
        </w:rPr>
        <w:t>Трициклични антидепресанти</w:t>
      </w:r>
      <w:r w:rsidRPr="00AE47C6">
        <w:rPr>
          <w:rFonts w:ascii="Times New Roman" w:eastAsia="SimSun" w:hAnsi="Times New Roman"/>
          <w:sz w:val="24"/>
          <w:szCs w:val="24"/>
        </w:rPr>
        <w:t>- Amitriptyline 12.5-75 mg/дневно- ефективен, със странични реакции</w:t>
      </w:r>
    </w:p>
    <w:p w14:paraId="7F337757" w14:textId="77777777" w:rsidR="00BE0B19" w:rsidRPr="00AE47C6" w:rsidRDefault="00BE0B19" w:rsidP="00BE0B19">
      <w:pPr>
        <w:numPr>
          <w:ilvl w:val="1"/>
          <w:numId w:val="62"/>
        </w:numPr>
        <w:tabs>
          <w:tab w:val="left" w:pos="1134"/>
        </w:tabs>
        <w:spacing w:after="0" w:line="360" w:lineRule="auto"/>
        <w:ind w:left="0" w:hanging="283"/>
        <w:jc w:val="both"/>
        <w:rPr>
          <w:rFonts w:ascii="Times New Roman" w:eastAsia="SimSun" w:hAnsi="Times New Roman"/>
          <w:sz w:val="24"/>
          <w:szCs w:val="24"/>
        </w:rPr>
      </w:pPr>
      <w:r w:rsidRPr="00AE47C6">
        <w:rPr>
          <w:rFonts w:ascii="Times New Roman" w:eastAsia="SimSun" w:hAnsi="Times New Roman"/>
          <w:i/>
          <w:sz w:val="24"/>
          <w:szCs w:val="24"/>
        </w:rPr>
        <w:t>Антидепресанти със селективно инхибиране на обратния захват на серотонина и норадреналина</w:t>
      </w:r>
      <w:r w:rsidRPr="00AE47C6">
        <w:rPr>
          <w:rFonts w:ascii="Times New Roman" w:eastAsia="SimSun" w:hAnsi="Times New Roman"/>
          <w:sz w:val="24"/>
          <w:szCs w:val="24"/>
        </w:rPr>
        <w:t xml:space="preserve">, ефективни, с по-малко странични реакции: </w:t>
      </w:r>
    </w:p>
    <w:p w14:paraId="74764C99" w14:textId="77777777" w:rsidR="00BE0B19" w:rsidRPr="00AE47C6" w:rsidRDefault="00BE0B19" w:rsidP="00BE0B19">
      <w:pPr>
        <w:numPr>
          <w:ilvl w:val="0"/>
          <w:numId w:val="102"/>
        </w:numPr>
        <w:spacing w:after="0" w:line="360" w:lineRule="auto"/>
        <w:ind w:left="0"/>
        <w:jc w:val="both"/>
        <w:rPr>
          <w:rFonts w:ascii="Times New Roman" w:eastAsia="SimSun" w:hAnsi="Times New Roman"/>
          <w:sz w:val="24"/>
          <w:szCs w:val="24"/>
        </w:rPr>
      </w:pPr>
      <w:r w:rsidRPr="00AE47C6">
        <w:rPr>
          <w:rFonts w:ascii="Times New Roman" w:eastAsia="SimSun" w:hAnsi="Times New Roman"/>
          <w:i/>
          <w:sz w:val="24"/>
          <w:szCs w:val="24"/>
        </w:rPr>
        <w:t>Mirtazapine 3</w:t>
      </w:r>
      <w:r w:rsidRPr="00AE47C6">
        <w:rPr>
          <w:rFonts w:ascii="Times New Roman" w:eastAsia="SimSun" w:hAnsi="Times New Roman"/>
          <w:sz w:val="24"/>
          <w:szCs w:val="24"/>
        </w:rPr>
        <w:t>0-60 mg</w:t>
      </w:r>
    </w:p>
    <w:p w14:paraId="79657D7E" w14:textId="77777777" w:rsidR="00BE0B19" w:rsidRPr="00AE47C6" w:rsidRDefault="00BE0B19" w:rsidP="00BE0B19">
      <w:pPr>
        <w:numPr>
          <w:ilvl w:val="0"/>
          <w:numId w:val="102"/>
        </w:numPr>
        <w:spacing w:after="0" w:line="360" w:lineRule="auto"/>
        <w:ind w:left="0"/>
        <w:jc w:val="both"/>
        <w:rPr>
          <w:rFonts w:ascii="Times New Roman" w:eastAsia="SimSun" w:hAnsi="Times New Roman"/>
          <w:sz w:val="24"/>
          <w:szCs w:val="24"/>
        </w:rPr>
      </w:pPr>
      <w:r w:rsidRPr="00AE47C6">
        <w:rPr>
          <w:rFonts w:ascii="Times New Roman" w:eastAsia="SimSun" w:hAnsi="Times New Roman"/>
          <w:i/>
          <w:sz w:val="24"/>
          <w:szCs w:val="24"/>
        </w:rPr>
        <w:t>Duloxetine</w:t>
      </w:r>
      <w:r w:rsidRPr="00AE47C6">
        <w:rPr>
          <w:rFonts w:ascii="Times New Roman" w:eastAsia="SimSun" w:hAnsi="Times New Roman"/>
          <w:sz w:val="24"/>
          <w:szCs w:val="24"/>
        </w:rPr>
        <w:t xml:space="preserve"> 30 – 60 mg дневно, ефективен и при фибромиалгии</w:t>
      </w:r>
    </w:p>
    <w:p w14:paraId="458C4AFA" w14:textId="77777777" w:rsidR="00BE0B19" w:rsidRPr="00AE47C6" w:rsidRDefault="00BE0B19" w:rsidP="00BE0B19">
      <w:pPr>
        <w:numPr>
          <w:ilvl w:val="0"/>
          <w:numId w:val="102"/>
        </w:numPr>
        <w:spacing w:after="0" w:line="360" w:lineRule="auto"/>
        <w:ind w:left="0"/>
        <w:jc w:val="both"/>
        <w:rPr>
          <w:rFonts w:ascii="Times New Roman" w:eastAsia="SimSun" w:hAnsi="Times New Roman"/>
          <w:sz w:val="24"/>
          <w:szCs w:val="24"/>
        </w:rPr>
      </w:pPr>
      <w:r w:rsidRPr="00AE47C6">
        <w:rPr>
          <w:rFonts w:ascii="Times New Roman" w:eastAsia="SimSun" w:hAnsi="Times New Roman"/>
          <w:i/>
          <w:sz w:val="24"/>
          <w:szCs w:val="24"/>
        </w:rPr>
        <w:t xml:space="preserve">Milnacipran hydrochloride </w:t>
      </w:r>
      <w:r w:rsidRPr="00AE47C6">
        <w:rPr>
          <w:rFonts w:ascii="Times New Roman" w:eastAsia="SimSun" w:hAnsi="Times New Roman"/>
          <w:sz w:val="24"/>
          <w:szCs w:val="24"/>
        </w:rPr>
        <w:t xml:space="preserve">50-100 mg дневно </w:t>
      </w:r>
    </w:p>
    <w:p w14:paraId="32252A91" w14:textId="77777777" w:rsidR="00BE0B19" w:rsidRPr="00AE47C6" w:rsidRDefault="00BE0B19" w:rsidP="00BE0B19">
      <w:pPr>
        <w:numPr>
          <w:ilvl w:val="0"/>
          <w:numId w:val="103"/>
        </w:numPr>
        <w:spacing w:after="0" w:line="360" w:lineRule="auto"/>
        <w:ind w:left="0" w:hanging="283"/>
        <w:jc w:val="both"/>
        <w:rPr>
          <w:rFonts w:ascii="Times New Roman" w:eastAsia="SimSun" w:hAnsi="Times New Roman"/>
          <w:sz w:val="24"/>
          <w:szCs w:val="24"/>
        </w:rPr>
      </w:pPr>
      <w:r w:rsidRPr="00AE47C6">
        <w:rPr>
          <w:rFonts w:ascii="Times New Roman" w:eastAsia="SimSun" w:hAnsi="Times New Roman"/>
          <w:i/>
          <w:sz w:val="24"/>
          <w:szCs w:val="24"/>
        </w:rPr>
        <w:t>Baclofen</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структурен аналог на ГАМК)- до 60 mg/дневно, бърз ефект</w:t>
      </w:r>
    </w:p>
    <w:p w14:paraId="56DEDD08" w14:textId="77777777" w:rsidR="00BE0B19" w:rsidRPr="00AE47C6" w:rsidRDefault="00BE0B19" w:rsidP="00BE0B19">
      <w:pPr>
        <w:numPr>
          <w:ilvl w:val="0"/>
          <w:numId w:val="103"/>
        </w:numPr>
        <w:spacing w:after="0" w:line="360" w:lineRule="auto"/>
        <w:ind w:left="0" w:hanging="283"/>
        <w:jc w:val="both"/>
        <w:rPr>
          <w:rFonts w:ascii="Times New Roman" w:eastAsia="SimSun" w:hAnsi="Times New Roman"/>
          <w:sz w:val="24"/>
          <w:szCs w:val="24"/>
        </w:rPr>
      </w:pPr>
      <w:r w:rsidRPr="00AE47C6">
        <w:rPr>
          <w:rFonts w:ascii="Times New Roman" w:eastAsia="SimSun" w:hAnsi="Times New Roman"/>
          <w:i/>
          <w:sz w:val="24"/>
          <w:szCs w:val="24"/>
        </w:rPr>
        <w:t xml:space="preserve">Tizanidine </w:t>
      </w:r>
      <w:r w:rsidRPr="00AE47C6">
        <w:rPr>
          <w:rFonts w:ascii="Times New Roman" w:eastAsia="SimSun" w:hAnsi="Times New Roman"/>
          <w:sz w:val="24"/>
          <w:szCs w:val="24"/>
        </w:rPr>
        <w:t>(aлфа 2 адренорецепторен агонист)- ефект при невропатна болка и болка при мускулен спазъм</w:t>
      </w:r>
    </w:p>
    <w:p w14:paraId="3ED26C60" w14:textId="77777777" w:rsidR="00BE0B19" w:rsidRPr="00AE47C6" w:rsidRDefault="00BE0B19" w:rsidP="00BE0B19">
      <w:pPr>
        <w:numPr>
          <w:ilvl w:val="0"/>
          <w:numId w:val="103"/>
        </w:numPr>
        <w:overflowPunct w:val="0"/>
        <w:autoSpaceDE w:val="0"/>
        <w:autoSpaceDN w:val="0"/>
        <w:adjustRightInd w:val="0"/>
        <w:spacing w:after="0" w:line="360" w:lineRule="auto"/>
        <w:ind w:left="0" w:hanging="283"/>
        <w:jc w:val="both"/>
        <w:textAlignment w:val="baseline"/>
        <w:rPr>
          <w:rFonts w:ascii="Times New Roman" w:eastAsia="SimSun" w:hAnsi="Times New Roman"/>
          <w:sz w:val="24"/>
          <w:szCs w:val="24"/>
        </w:rPr>
      </w:pPr>
      <w:r w:rsidRPr="00AE47C6">
        <w:rPr>
          <w:rFonts w:ascii="Times New Roman" w:eastAsia="SimSun" w:hAnsi="Times New Roman"/>
          <w:sz w:val="24"/>
          <w:szCs w:val="24"/>
        </w:rPr>
        <w:t>Локално приложение на стероидни и нестероидни противовъзпалителни средства</w:t>
      </w:r>
    </w:p>
    <w:p w14:paraId="29946B01"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45" w:name="_Toc155651722"/>
      <w:bookmarkStart w:id="46" w:name="_Toc164075854"/>
      <w:r w:rsidRPr="00AE47C6">
        <w:rPr>
          <w:rFonts w:ascii="Times New Roman" w:eastAsia="SimSun" w:hAnsi="Times New Roman"/>
          <w:b/>
          <w:sz w:val="24"/>
          <w:szCs w:val="20"/>
          <w:lang w:eastAsia="ja-JP"/>
        </w:rPr>
        <w:t>2.2.1. Възпалителни и демиелинизиращи полиневропатии.</w:t>
      </w:r>
      <w:bookmarkEnd w:id="45"/>
      <w:bookmarkEnd w:id="46"/>
    </w:p>
    <w:p w14:paraId="3DD9CDD2" w14:textId="77777777" w:rsidR="00BE0B19" w:rsidRPr="00AE47C6" w:rsidRDefault="00BE0B19" w:rsidP="00BE0B19">
      <w:pPr>
        <w:spacing w:after="0" w:line="360" w:lineRule="auto"/>
        <w:ind w:firstLine="360"/>
        <w:jc w:val="both"/>
        <w:rPr>
          <w:rFonts w:ascii="Times New Roman" w:eastAsia="SimSun" w:hAnsi="Times New Roman"/>
          <w:b/>
          <w:sz w:val="24"/>
          <w:szCs w:val="24"/>
        </w:rPr>
      </w:pPr>
      <w:r w:rsidRPr="00AE47C6">
        <w:rPr>
          <w:rFonts w:ascii="Times New Roman" w:eastAsia="SimSun" w:hAnsi="Times New Roman"/>
          <w:sz w:val="24"/>
          <w:szCs w:val="24"/>
        </w:rPr>
        <w:t>Алгоритъмът за диагностика на възпалителните и демиелинизиращи (имуномедиирани) невропатии е представен на фиг. 2.1, а лечението, на фиг. 2.2.</w:t>
      </w:r>
    </w:p>
    <w:p w14:paraId="67B9BD90" w14:textId="77777777" w:rsidR="00BE0B19" w:rsidRPr="00AE47C6" w:rsidRDefault="00BE0B19" w:rsidP="00BE0B19">
      <w:pPr>
        <w:tabs>
          <w:tab w:val="left" w:pos="7938"/>
        </w:tabs>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w:drawing>
          <wp:inline distT="0" distB="0" distL="0" distR="0" wp14:anchorId="4CD6EC38" wp14:editId="6C31020C">
            <wp:extent cx="5721350" cy="4451872"/>
            <wp:effectExtent l="0" t="0" r="0" b="6350"/>
            <wp:docPr id="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srcRect/>
                    <a:stretch>
                      <a:fillRect/>
                    </a:stretch>
                  </pic:blipFill>
                  <pic:spPr bwMode="auto">
                    <a:xfrm>
                      <a:off x="0" y="0"/>
                      <a:ext cx="5730426" cy="4458934"/>
                    </a:xfrm>
                    <a:prstGeom prst="rect">
                      <a:avLst/>
                    </a:prstGeom>
                    <a:noFill/>
                    <a:ln w="9525">
                      <a:noFill/>
                      <a:miter lim="800000"/>
                      <a:headEnd/>
                      <a:tailEnd/>
                    </a:ln>
                  </pic:spPr>
                </pic:pic>
              </a:graphicData>
            </a:graphic>
          </wp:inline>
        </w:drawing>
      </w:r>
    </w:p>
    <w:p w14:paraId="5BAA3A11" w14:textId="77777777" w:rsidR="00BE0B19" w:rsidRPr="00AE47C6" w:rsidRDefault="00BE0B19" w:rsidP="00BE0B19">
      <w:pPr>
        <w:tabs>
          <w:tab w:val="left" w:pos="7938"/>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Фиг.2.1. Алгоритъм за диагностика на имуномедиираните полиневропатии</w:t>
      </w:r>
    </w:p>
    <w:p w14:paraId="2C82889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w:drawing>
          <wp:inline distT="0" distB="0" distL="0" distR="0" wp14:anchorId="2F28812B" wp14:editId="3FF01D5F">
            <wp:extent cx="5762625" cy="2208542"/>
            <wp:effectExtent l="0" t="0" r="0" b="1270"/>
            <wp:docPr id="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srcRect/>
                    <a:stretch>
                      <a:fillRect/>
                    </a:stretch>
                  </pic:blipFill>
                  <pic:spPr bwMode="auto">
                    <a:xfrm>
                      <a:off x="0" y="0"/>
                      <a:ext cx="5763084" cy="2208718"/>
                    </a:xfrm>
                    <a:prstGeom prst="rect">
                      <a:avLst/>
                    </a:prstGeom>
                    <a:noFill/>
                    <a:ln w="9525">
                      <a:noFill/>
                      <a:miter lim="800000"/>
                      <a:headEnd/>
                      <a:tailEnd/>
                    </a:ln>
                  </pic:spPr>
                </pic:pic>
              </a:graphicData>
            </a:graphic>
          </wp:inline>
        </w:drawing>
      </w:r>
    </w:p>
    <w:p w14:paraId="26BE468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Фиг.2.2.</w:t>
      </w:r>
      <w:r w:rsidRPr="00AE47C6">
        <w:rPr>
          <w:rFonts w:ascii="Times New Roman" w:eastAsia="SimSun" w:hAnsi="Times New Roman"/>
          <w:sz w:val="24"/>
          <w:szCs w:val="24"/>
        </w:rPr>
        <w:t xml:space="preserve"> Алгоритъм за лечение на имуномедиираните невропатии.</w:t>
      </w:r>
    </w:p>
    <w:p w14:paraId="6CA525D9" w14:textId="77777777" w:rsidR="00BE0B19" w:rsidRPr="00AE47C6" w:rsidRDefault="00BE0B19" w:rsidP="00BE0B19">
      <w:pPr>
        <w:spacing w:after="0" w:line="360" w:lineRule="auto"/>
        <w:ind w:firstLine="360"/>
        <w:jc w:val="both"/>
        <w:rPr>
          <w:rFonts w:ascii="Times New Roman" w:eastAsia="SimSun" w:hAnsi="Times New Roman"/>
          <w:b/>
          <w:sz w:val="24"/>
          <w:szCs w:val="24"/>
        </w:rPr>
      </w:pPr>
    </w:p>
    <w:p w14:paraId="16A9F07E" w14:textId="77777777" w:rsidR="00BE0B19" w:rsidRPr="00AE47C6" w:rsidRDefault="00BE0B19" w:rsidP="00BE0B19">
      <w:pPr>
        <w:keepNext/>
        <w:spacing w:before="240" w:after="240" w:line="240" w:lineRule="auto"/>
        <w:outlineLvl w:val="3"/>
        <w:rPr>
          <w:rFonts w:ascii="Times New Roman" w:eastAsia="SimSun" w:hAnsi="Times New Roman"/>
          <w:b/>
          <w:bCs/>
          <w:iCs/>
          <w:sz w:val="24"/>
          <w:szCs w:val="28"/>
        </w:rPr>
      </w:pPr>
      <w:r w:rsidRPr="00AE47C6">
        <w:rPr>
          <w:rFonts w:ascii="Times New Roman" w:eastAsia="SimSun" w:hAnsi="Times New Roman"/>
          <w:b/>
          <w:bCs/>
          <w:sz w:val="24"/>
          <w:szCs w:val="28"/>
        </w:rPr>
        <w:t>2.2.1.1. Остра възпалителна демиелинизираща полиневропатия (Guillain-Barre) (ОВДП)</w:t>
      </w:r>
    </w:p>
    <w:p w14:paraId="107BD297"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b/>
          <w:bCs/>
          <w:sz w:val="24"/>
          <w:szCs w:val="24"/>
        </w:rPr>
        <w:t>Остро до подостро протичаща възпалителна полирадикулоневропатия.</w:t>
      </w:r>
    </w:p>
    <w:p w14:paraId="794AA2E6" w14:textId="77777777" w:rsidR="00BE0B19" w:rsidRPr="00AE47C6" w:rsidRDefault="00BE0B19" w:rsidP="00BE0B19">
      <w:pPr>
        <w:spacing w:after="0" w:line="360" w:lineRule="auto"/>
        <w:ind w:firstLine="720"/>
        <w:jc w:val="both"/>
        <w:rPr>
          <w:rFonts w:ascii="Times New Roman" w:eastAsia="SimSun" w:hAnsi="Times New Roman"/>
          <w:iCs/>
          <w:sz w:val="24"/>
          <w:szCs w:val="24"/>
        </w:rPr>
      </w:pPr>
      <w:r w:rsidRPr="00AE47C6">
        <w:rPr>
          <w:rFonts w:ascii="Times New Roman" w:eastAsia="SimSun" w:hAnsi="Times New Roman"/>
          <w:b/>
          <w:iCs/>
          <w:sz w:val="24"/>
          <w:szCs w:val="24"/>
        </w:rPr>
        <w:t>Етиология.</w:t>
      </w:r>
      <w:r w:rsidRPr="00AE47C6">
        <w:rPr>
          <w:rFonts w:ascii="Times New Roman" w:eastAsia="SimSun" w:hAnsi="Times New Roman"/>
          <w:sz w:val="24"/>
          <w:szCs w:val="24"/>
        </w:rPr>
        <w:t xml:space="preserve"> Около 75% от пациентите в период от 1-4 седмици преди появата на неврологичната симптоматика са били с респираторна или гастроинтестинална инфекция. При част от болните се установяват Campylobacter jejuni, по-рядко цитомегаловирус, вирусът на Epstein Barr, Mycoplasma pneumoniae или Лаймска болест. Други предшестващи фактори са телесно нараняване (операция, травма), ваксиниране, употреба на тромболитични агенти или хероин, заболявания като болестта на Hodgkin, лимфом, системен LED и HIV инфекция и по-рядко след предхождащи инфекциозни заболявания като морбили, денга, varicella-zoster инфекция и хепатит С. </w:t>
      </w:r>
    </w:p>
    <w:p w14:paraId="3F584CAA"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Епидемиология. </w:t>
      </w:r>
      <w:r w:rsidRPr="00AE47C6">
        <w:rPr>
          <w:rFonts w:ascii="Times New Roman" w:eastAsia="SimSun" w:hAnsi="Times New Roman"/>
          <w:sz w:val="24"/>
          <w:szCs w:val="24"/>
        </w:rPr>
        <w:t>Заболяемост 1,2-1,9/100 000</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Мъжете боледуват 1,5 пъти по-често. Заболяването не е сезонно и понастоящем е най-честата причина за остра периферна парализа в страните, където случаите с остър преден полиомиелит са значително намалени.</w:t>
      </w:r>
    </w:p>
    <w:p w14:paraId="3981DA05" w14:textId="77777777" w:rsidR="00BE0B19" w:rsidRPr="00AE47C6" w:rsidRDefault="00BE0B19" w:rsidP="00BE0B19">
      <w:pPr>
        <w:spacing w:after="0" w:line="360" w:lineRule="auto"/>
        <w:ind w:firstLine="720"/>
        <w:jc w:val="both"/>
        <w:rPr>
          <w:rFonts w:ascii="Times New Roman" w:eastAsia="SimSun" w:hAnsi="Times New Roman"/>
          <w:iCs/>
          <w:sz w:val="24"/>
          <w:szCs w:val="24"/>
        </w:rPr>
      </w:pPr>
      <w:r w:rsidRPr="00AE47C6">
        <w:rPr>
          <w:rFonts w:ascii="Times New Roman" w:eastAsia="SimSun" w:hAnsi="Times New Roman"/>
          <w:b/>
          <w:iCs/>
          <w:sz w:val="24"/>
          <w:szCs w:val="24"/>
        </w:rPr>
        <w:t xml:space="preserve">Патогенеза. </w:t>
      </w:r>
      <w:r w:rsidRPr="00AE47C6">
        <w:rPr>
          <w:rFonts w:ascii="Times New Roman" w:eastAsia="SimSun" w:hAnsi="Times New Roman"/>
          <w:b/>
          <w:sz w:val="24"/>
          <w:szCs w:val="24"/>
        </w:rPr>
        <w:t>ОВДП</w:t>
      </w:r>
      <w:r w:rsidRPr="00AE47C6">
        <w:rPr>
          <w:rFonts w:ascii="Times New Roman" w:eastAsia="SimSun" w:hAnsi="Times New Roman"/>
          <w:sz w:val="24"/>
          <w:szCs w:val="24"/>
        </w:rPr>
        <w:t xml:space="preserve"> е имуномедиирано заболяване, в чиято патогенеза участват клетъчни и хуморални механизми. Различни инфекциозни агенти причиняват  отключване на автоимунен отговор, тъй като съдържат специфични антигени (липополизахариди) с подобна структура на ганглиозидите, изграждащи периферния нервен миелин и предизвикват хуморален и клетъчно медииран имунен отговор. Антителата реагират кръстосано и с ганглиозидите на периферния миелин, най-често с G</w:t>
      </w:r>
      <w:r w:rsidRPr="00AE47C6">
        <w:rPr>
          <w:rFonts w:ascii="Times New Roman" w:eastAsia="SimSun" w:hAnsi="Times New Roman"/>
          <w:sz w:val="24"/>
          <w:szCs w:val="24"/>
          <w:vertAlign w:val="subscript"/>
        </w:rPr>
        <w:t xml:space="preserve">M1 </w:t>
      </w:r>
      <w:r w:rsidRPr="00AE47C6">
        <w:rPr>
          <w:rFonts w:ascii="Times New Roman" w:eastAsia="SimSun" w:hAnsi="Times New Roman"/>
          <w:sz w:val="24"/>
          <w:szCs w:val="24"/>
        </w:rPr>
        <w:t>(при пациенти с аксонна форма), GD</w:t>
      </w:r>
      <w:r w:rsidRPr="00AE47C6">
        <w:rPr>
          <w:rFonts w:ascii="Times New Roman" w:eastAsia="SimSun" w:hAnsi="Times New Roman"/>
          <w:sz w:val="24"/>
          <w:szCs w:val="24"/>
          <w:vertAlign w:val="subscript"/>
        </w:rPr>
        <w:t>1b</w:t>
      </w:r>
      <w:r w:rsidRPr="00AE47C6">
        <w:rPr>
          <w:rFonts w:ascii="Times New Roman" w:eastAsia="SimSun" w:hAnsi="Times New Roman"/>
          <w:sz w:val="24"/>
          <w:szCs w:val="24"/>
        </w:rPr>
        <w:t xml:space="preserve"> и GT</w:t>
      </w:r>
      <w:r w:rsidRPr="00AE47C6">
        <w:rPr>
          <w:rFonts w:ascii="Times New Roman" w:eastAsia="SimSun" w:hAnsi="Times New Roman"/>
          <w:sz w:val="24"/>
          <w:szCs w:val="24"/>
          <w:vertAlign w:val="subscript"/>
        </w:rPr>
        <w:t>1a</w:t>
      </w:r>
      <w:r w:rsidRPr="00AE47C6">
        <w:rPr>
          <w:rFonts w:ascii="Times New Roman" w:eastAsia="SimSun" w:hAnsi="Times New Roman"/>
          <w:sz w:val="24"/>
          <w:szCs w:val="24"/>
        </w:rPr>
        <w:t xml:space="preserve"> (при пациенти с фаринго-брахио-цервикална форма), GQ</w:t>
      </w:r>
      <w:r w:rsidRPr="00AE47C6">
        <w:rPr>
          <w:rFonts w:ascii="Times New Roman" w:eastAsia="SimSun" w:hAnsi="Times New Roman"/>
          <w:sz w:val="24"/>
          <w:szCs w:val="24"/>
          <w:vertAlign w:val="subscript"/>
        </w:rPr>
        <w:t>1b</w:t>
      </w:r>
      <w:r w:rsidRPr="00AE47C6">
        <w:rPr>
          <w:rFonts w:ascii="Times New Roman" w:eastAsia="SimSun" w:hAnsi="Times New Roman"/>
          <w:sz w:val="24"/>
          <w:szCs w:val="24"/>
        </w:rPr>
        <w:t xml:space="preserve"> (при пациенти с офталмоплегия) и др. Процесът е известен като </w:t>
      </w:r>
      <w:r w:rsidRPr="00AE47C6">
        <w:rPr>
          <w:rFonts w:ascii="Times New Roman" w:eastAsia="SimSun" w:hAnsi="Times New Roman"/>
          <w:i/>
          <w:iCs/>
          <w:sz w:val="24"/>
          <w:szCs w:val="24"/>
        </w:rPr>
        <w:t>молекулярна мимикрия</w:t>
      </w:r>
      <w:r w:rsidRPr="00AE47C6">
        <w:rPr>
          <w:rFonts w:ascii="Times New Roman" w:eastAsia="SimSun" w:hAnsi="Times New Roman"/>
          <w:sz w:val="24"/>
          <w:szCs w:val="24"/>
        </w:rPr>
        <w:t xml:space="preserve"> и води до деструкция на миелина, сегментна демиелинизация, по-късно ремиелинизация и мононуклеарна клетъчна инфилтрация. </w:t>
      </w:r>
    </w:p>
    <w:p w14:paraId="4595B780"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 xml:space="preserve">Клиника. </w:t>
      </w:r>
      <w:r w:rsidRPr="00AE47C6">
        <w:rPr>
          <w:rFonts w:ascii="Times New Roman" w:eastAsia="SimSun" w:hAnsi="Times New Roman"/>
          <w:iCs/>
          <w:sz w:val="24"/>
          <w:szCs w:val="24"/>
        </w:rPr>
        <w:t>П</w:t>
      </w:r>
      <w:r w:rsidRPr="00AE47C6">
        <w:rPr>
          <w:rFonts w:ascii="Times New Roman" w:eastAsia="SimSun" w:hAnsi="Times New Roman"/>
          <w:sz w:val="24"/>
          <w:szCs w:val="24"/>
        </w:rPr>
        <w:t xml:space="preserve">ри 75% от болните </w:t>
      </w:r>
      <w:r w:rsidRPr="00AE47C6">
        <w:rPr>
          <w:rFonts w:ascii="Times New Roman" w:eastAsia="SimSun" w:hAnsi="Times New Roman"/>
          <w:i/>
          <w:sz w:val="24"/>
          <w:szCs w:val="24"/>
        </w:rPr>
        <w:t>сетивните промени</w:t>
      </w:r>
      <w:r w:rsidRPr="00AE47C6">
        <w:rPr>
          <w:rFonts w:ascii="Times New Roman" w:eastAsia="SimSun" w:hAnsi="Times New Roman"/>
          <w:sz w:val="24"/>
          <w:szCs w:val="24"/>
        </w:rPr>
        <w:t xml:space="preserve"> са първият симптом: парене, изтръпване, спонтанни болки в кръста, шията, гърба и палпаторна болезненост на мускулите. Притискането и разтягането на нервните стволове са болезнени (положителни симптоми на Lasegue, Wasserman и Neri). Възниква вяла симетрична </w:t>
      </w:r>
      <w:r w:rsidRPr="00AE47C6">
        <w:rPr>
          <w:rFonts w:ascii="Times New Roman" w:eastAsia="SimSun" w:hAnsi="Times New Roman"/>
          <w:i/>
          <w:sz w:val="24"/>
          <w:szCs w:val="24"/>
        </w:rPr>
        <w:t>пареза на краката</w:t>
      </w:r>
      <w:r w:rsidRPr="00AE47C6">
        <w:rPr>
          <w:rFonts w:ascii="Times New Roman" w:eastAsia="SimSun" w:hAnsi="Times New Roman"/>
          <w:sz w:val="24"/>
          <w:szCs w:val="24"/>
        </w:rPr>
        <w:t xml:space="preserve">, засягаща дисталните и проксималните мускули, която бързо (дни до седмици) асцендира към мускулите на тялото и ръцете. Най-характерният начин на разпространение на парезите е асцендентният (тип Landry) – от долните към горните крайници и евентуално към КН, а по-рядък е десцендентния начин – от горните към долните крайници. При 5% от пациентите парезата засяга и дихателните мускули. Сухожилните рефлекси са отслабени или липсващи. Не е характерно развитието на мускулни хипотрофии. След една седмица се нарушава дълбоката и в по-малка степен повърхностната сетивност. КН могат да бъдат въвлечени в около 30% от случаите. Най-често се засяга VII КН (често двустранно), следват по честота на увреждането булбарните и очедвигателните КН. Автономните нарушения са тахикардия или брадиаритмия, смутена судо- и вазомоторика, лабилна хипо- или хипертония. Прогресията на неврологичната симптоматика продължава 1-2 седмици при 60% от болните и 3-4 седмици при повече от 30% от болните, след което настъпва фаза на стациониране с времетраене от дни до седмици. </w:t>
      </w:r>
    </w:p>
    <w:p w14:paraId="1BAD807F" w14:textId="77777777" w:rsidR="00BE0B19" w:rsidRPr="00AE47C6" w:rsidRDefault="00BE0B19" w:rsidP="00BE0B19">
      <w:pPr>
        <w:tabs>
          <w:tab w:val="left" w:pos="7938"/>
        </w:tabs>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iCs/>
          <w:sz w:val="24"/>
          <w:szCs w:val="24"/>
        </w:rPr>
        <w:t>Клинични варианти</w:t>
      </w:r>
      <w:r w:rsidRPr="00AE47C6">
        <w:rPr>
          <w:rFonts w:ascii="Times New Roman" w:eastAsia="SimSun" w:hAnsi="Times New Roman"/>
          <w:b/>
          <w:bCs/>
          <w:iCs/>
          <w:sz w:val="24"/>
          <w:szCs w:val="24"/>
        </w:rPr>
        <w:t xml:space="preserve"> на </w:t>
      </w:r>
      <w:r w:rsidRPr="00AE47C6">
        <w:rPr>
          <w:rFonts w:ascii="Times New Roman" w:eastAsia="SimSun" w:hAnsi="Times New Roman"/>
          <w:b/>
          <w:sz w:val="24"/>
          <w:szCs w:val="24"/>
        </w:rPr>
        <w:t xml:space="preserve">синдрома на Guillain-Barre </w:t>
      </w:r>
    </w:p>
    <w:p w14:paraId="6A273730" w14:textId="77777777" w:rsidR="00BE0B19" w:rsidRPr="00AE47C6" w:rsidRDefault="00BE0B19" w:rsidP="00BE0B19">
      <w:pPr>
        <w:tabs>
          <w:tab w:val="left" w:pos="7938"/>
        </w:tabs>
        <w:spacing w:after="0" w:line="360" w:lineRule="auto"/>
        <w:jc w:val="both"/>
        <w:rPr>
          <w:rFonts w:ascii="Times New Roman" w:eastAsia="SimSun" w:hAnsi="Times New Roman"/>
          <w:b/>
          <w:bCs/>
          <w:iCs/>
          <w:sz w:val="24"/>
          <w:szCs w:val="24"/>
        </w:rPr>
      </w:pPr>
      <w:r w:rsidRPr="00AE47C6">
        <w:rPr>
          <w:rFonts w:ascii="Times New Roman" w:eastAsia="SimSun" w:hAnsi="Times New Roman"/>
          <w:b/>
          <w:bCs/>
          <w:iCs/>
          <w:sz w:val="24"/>
          <w:szCs w:val="24"/>
        </w:rPr>
        <w:t xml:space="preserve">Класификация на </w:t>
      </w:r>
      <w:r w:rsidRPr="00AE47C6">
        <w:rPr>
          <w:rFonts w:ascii="Times New Roman" w:eastAsia="SimSun" w:hAnsi="Times New Roman"/>
          <w:b/>
          <w:sz w:val="24"/>
          <w:szCs w:val="24"/>
        </w:rPr>
        <w:t xml:space="preserve">синдрома на Guillain-Barre </w:t>
      </w:r>
      <w:r w:rsidRPr="00AE47C6">
        <w:rPr>
          <w:rFonts w:ascii="Times New Roman" w:eastAsia="SimSun" w:hAnsi="Times New Roman"/>
          <w:b/>
          <w:bCs/>
          <w:iCs/>
          <w:sz w:val="24"/>
          <w:szCs w:val="24"/>
        </w:rPr>
        <w:t>и негови клинични субтипове:</w:t>
      </w:r>
    </w:p>
    <w:p w14:paraId="7D7D2F55"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78048" behindDoc="0" locked="0" layoutInCell="1" allowOverlap="1" wp14:anchorId="79A39BAD" wp14:editId="149837B5">
                <wp:simplePos x="0" y="0"/>
                <wp:positionH relativeFrom="margin">
                  <wp:posOffset>6930390</wp:posOffset>
                </wp:positionH>
                <wp:positionV relativeFrom="paragraph">
                  <wp:posOffset>294005</wp:posOffset>
                </wp:positionV>
                <wp:extent cx="988060" cy="1577340"/>
                <wp:effectExtent l="0" t="0" r="0" b="0"/>
                <wp:wrapSquare wrapText="largest"/>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060" cy="15773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9970CD" w14:textId="77777777" w:rsidR="00471742" w:rsidRPr="00AC7CAF" w:rsidRDefault="00471742" w:rsidP="00BE0B1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A39BAD" id="_x0000_t202" coordsize="21600,21600" o:spt="202" path="m,l,21600r21600,l21600,xe">
                <v:stroke joinstyle="miter"/>
                <v:path gradientshapeok="t" o:connecttype="rect"/>
              </v:shapetype>
              <v:shape id="Text Box 2" o:spid="_x0000_s1026" type="#_x0000_t202" style="position:absolute;left:0;text-align:left;margin-left:545.7pt;margin-top:23.15pt;width:77.8pt;height:124.2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" stroked="f">
                <v:fill opacity="0"/>
                <v:textbox inset="0,0,0,0">
                  <w:txbxContent>
                    <w:p w14:paraId="169970CD" w14:textId="77777777" w:rsidR="00471742" w:rsidRPr="00AC7CAF" w:rsidRDefault="00471742" w:rsidP="00BE0B19"/>
                  </w:txbxContent>
                </v:textbox>
                <w10:wrap type="square" side="largest" anchorx="margin"/>
              </v:shape>
            </w:pict>
          </mc:Fallback>
        </mc:AlternateContent>
      </w:r>
      <w:r w:rsidRPr="00AE47C6">
        <w:rPr>
          <w:rFonts w:ascii="Times New Roman" w:eastAsia="SimSun" w:hAnsi="Times New Roman"/>
          <w:sz w:val="24"/>
          <w:szCs w:val="24"/>
        </w:rPr>
        <w:t>1. Остра възпалителна демиелинизираща полирадикулоневропатия (ОВДП)</w:t>
      </w:r>
    </w:p>
    <w:p w14:paraId="468DDC9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Подостра възпалителна демиелинизираща полирадикулоневропатия</w:t>
      </w:r>
    </w:p>
    <w:p w14:paraId="4B5491D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Остра моторна аксонна невропатия (ОМАН)</w:t>
      </w:r>
    </w:p>
    <w:p w14:paraId="066C41D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Остра моторно-сетивна аксонна невропатия (ОМСАН)</w:t>
      </w:r>
    </w:p>
    <w:p w14:paraId="0226D9A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Краниален полиневрит</w:t>
      </w:r>
    </w:p>
    <w:p w14:paraId="2778C1D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 Синдром на Miller-Fisher</w:t>
      </w:r>
    </w:p>
    <w:p w14:paraId="5EB2588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 Сетивен вариант</w:t>
      </w:r>
    </w:p>
    <w:p w14:paraId="7AFC60E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8. Фаринго-цервико-брахиален вариант </w:t>
      </w:r>
    </w:p>
    <w:p w14:paraId="3F1E80E5" w14:textId="77777777" w:rsidR="00BE0B19" w:rsidRPr="00AE47C6" w:rsidRDefault="00BE0B19" w:rsidP="00BE0B19">
      <w:pPr>
        <w:tabs>
          <w:tab w:val="left" w:pos="7938"/>
        </w:tabs>
        <w:spacing w:after="0" w:line="360" w:lineRule="auto"/>
        <w:jc w:val="both"/>
        <w:rPr>
          <w:rFonts w:ascii="Times New Roman" w:eastAsia="SimSun" w:hAnsi="Times New Roman"/>
          <w:b/>
          <w:sz w:val="24"/>
          <w:szCs w:val="24"/>
        </w:rPr>
      </w:pPr>
      <w:r w:rsidRPr="00AE47C6">
        <w:rPr>
          <w:rFonts w:ascii="Times New Roman" w:eastAsia="SimSun" w:hAnsi="Times New Roman"/>
          <w:sz w:val="24"/>
          <w:szCs w:val="24"/>
        </w:rPr>
        <w:t>9. Остра пандизавтономия</w:t>
      </w:r>
    </w:p>
    <w:p w14:paraId="10439827" w14:textId="77777777" w:rsidR="00BE0B19" w:rsidRPr="00AE47C6" w:rsidRDefault="00BE0B19" w:rsidP="00BE0B19">
      <w:pPr>
        <w:tabs>
          <w:tab w:val="left" w:pos="9000"/>
          <w:tab w:val="left" w:pos="909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ОВДП е най-често срещаният клиничен вариант на </w:t>
      </w:r>
      <w:r w:rsidRPr="00AE47C6">
        <w:rPr>
          <w:rFonts w:ascii="Times New Roman" w:eastAsia="SimSun" w:hAnsi="Times New Roman"/>
          <w:b/>
          <w:sz w:val="24"/>
          <w:szCs w:val="24"/>
        </w:rPr>
        <w:t>синдрома на Guillain-Barre</w:t>
      </w:r>
      <w:r w:rsidRPr="00AE47C6">
        <w:rPr>
          <w:rFonts w:ascii="Times New Roman" w:eastAsia="SimSun" w:hAnsi="Times New Roman"/>
          <w:sz w:val="24"/>
          <w:szCs w:val="24"/>
        </w:rPr>
        <w:t xml:space="preserve">, засягащ предимно двигателните нерви и техните коренчета, обикновено с добра прогноза. Краниалният полиневрит, синдромът на Miller-Fisher и чисто сетивният вариант на заболяването представляват не повече от 15% от всички ново диагностицирани случаи. </w:t>
      </w:r>
    </w:p>
    <w:p w14:paraId="0C30C42C" w14:textId="77777777" w:rsidR="00BE0B19" w:rsidRPr="00AE47C6" w:rsidRDefault="00BE0B19" w:rsidP="00BE0B19">
      <w:pPr>
        <w:tabs>
          <w:tab w:val="left" w:pos="7938"/>
          <w:tab w:val="left" w:pos="9000"/>
          <w:tab w:val="left" w:pos="909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 Остра моторна (</w:t>
      </w:r>
      <w:r w:rsidRPr="00AE47C6">
        <w:rPr>
          <w:rFonts w:ascii="Times New Roman" w:eastAsia="SimSun" w:hAnsi="Times New Roman"/>
          <w:sz w:val="24"/>
          <w:szCs w:val="24"/>
        </w:rPr>
        <w:t xml:space="preserve">моторно-сетивна) </w:t>
      </w:r>
      <w:r w:rsidRPr="00AE47C6">
        <w:rPr>
          <w:rFonts w:ascii="Times New Roman" w:eastAsia="SimSun" w:hAnsi="Times New Roman"/>
          <w:i/>
          <w:iCs/>
          <w:sz w:val="24"/>
          <w:szCs w:val="24"/>
        </w:rPr>
        <w:t xml:space="preserve">аксонна невропатия (ОМАН, ОМСАН) </w:t>
      </w:r>
      <w:r w:rsidRPr="00AE47C6">
        <w:rPr>
          <w:rFonts w:ascii="Times New Roman" w:eastAsia="SimSun" w:hAnsi="Times New Roman"/>
          <w:sz w:val="24"/>
          <w:szCs w:val="24"/>
        </w:rPr>
        <w:t>се наблюдава при 5% от болните и представлява аксонен вариант на СГБ. Развиват се тежко изразени парези и мускулни хипотрофии с лоша прогноза по отношение на възстановяването им. Пациентите остават с тежък резидуален неврологичен дефицит.</w:t>
      </w:r>
    </w:p>
    <w:p w14:paraId="45E281B5" w14:textId="77777777" w:rsidR="00BE0B19" w:rsidRPr="00AE47C6" w:rsidRDefault="00BE0B19" w:rsidP="00BE0B19">
      <w:pPr>
        <w:tabs>
          <w:tab w:val="left" w:pos="7938"/>
          <w:tab w:val="left" w:pos="9000"/>
          <w:tab w:val="left" w:pos="909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 xml:space="preserve">- Синдром на Miller-Fisher </w:t>
      </w:r>
      <w:r w:rsidRPr="00AE47C6">
        <w:rPr>
          <w:rFonts w:ascii="Times New Roman" w:eastAsia="SimSun" w:hAnsi="Times New Roman"/>
          <w:sz w:val="24"/>
          <w:szCs w:val="24"/>
        </w:rPr>
        <w:t xml:space="preserve">се наблюдава при 5% от случаите и се характеризира с класическата триада от тотална външна офталмоплегия, атаксия и арефлексия. В някои случаи има само офталмоплегия. </w:t>
      </w:r>
    </w:p>
    <w:p w14:paraId="1D96DFA9" w14:textId="77777777" w:rsidR="00BE0B19" w:rsidRPr="00AE47C6" w:rsidRDefault="00BE0B19" w:rsidP="00BE0B19">
      <w:pPr>
        <w:tabs>
          <w:tab w:val="left" w:pos="7938"/>
          <w:tab w:val="left" w:pos="9000"/>
          <w:tab w:val="left" w:pos="909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 </w:t>
      </w:r>
      <w:r w:rsidRPr="00AE47C6">
        <w:rPr>
          <w:rFonts w:ascii="Times New Roman" w:eastAsia="SimSun" w:hAnsi="Times New Roman"/>
          <w:i/>
          <w:sz w:val="24"/>
          <w:szCs w:val="24"/>
        </w:rPr>
        <w:t xml:space="preserve">Фаринго-цервико-брахиалният вариант </w:t>
      </w:r>
      <w:r w:rsidRPr="00AE47C6">
        <w:rPr>
          <w:rFonts w:ascii="Times New Roman" w:eastAsia="SimSun" w:hAnsi="Times New Roman"/>
          <w:sz w:val="24"/>
          <w:szCs w:val="24"/>
        </w:rPr>
        <w:t xml:space="preserve">протича със затруднения в гълтането, слабост на шийните и проксимални мускули на ръцете. Могат да се добавят зенични нарушения, птоза, офталмоплегия и атаксия на походката. </w:t>
      </w:r>
    </w:p>
    <w:p w14:paraId="400F273E" w14:textId="77777777" w:rsidR="00BE0B19" w:rsidRPr="00AE47C6" w:rsidRDefault="00BE0B19" w:rsidP="00BE0B19">
      <w:pPr>
        <w:tabs>
          <w:tab w:val="left" w:pos="7938"/>
          <w:tab w:val="left" w:pos="9000"/>
          <w:tab w:val="left" w:pos="909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 xml:space="preserve">- Краниален полиневрит – </w:t>
      </w:r>
      <w:r w:rsidRPr="00AE47C6">
        <w:rPr>
          <w:rFonts w:ascii="Times New Roman" w:eastAsia="SimSun" w:hAnsi="Times New Roman"/>
          <w:sz w:val="24"/>
          <w:szCs w:val="24"/>
        </w:rPr>
        <w:t>на преден план са множествени лезии на КН. Парезите в крайниците са дискретни или има само ЕМГ данни за засягане на периферните нерви.</w:t>
      </w:r>
    </w:p>
    <w:p w14:paraId="20614EFD" w14:textId="77777777" w:rsidR="00BE0B19" w:rsidRPr="00AE47C6" w:rsidRDefault="00BE0B19" w:rsidP="00BE0B19">
      <w:pPr>
        <w:tabs>
          <w:tab w:val="left" w:pos="7938"/>
          <w:tab w:val="left" w:pos="9000"/>
          <w:tab w:val="left" w:pos="909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 xml:space="preserve">- Остра пандизавтономия – </w:t>
      </w:r>
      <w:r w:rsidRPr="00AE47C6">
        <w:rPr>
          <w:rFonts w:ascii="Times New Roman" w:eastAsia="SimSun" w:hAnsi="Times New Roman"/>
          <w:sz w:val="24"/>
          <w:szCs w:val="24"/>
        </w:rPr>
        <w:t xml:space="preserve">бързо развитие на комбинирана симпатикова и парасимпатикова недостатъчност: тежка ортостатична хипотония, анхидроза, смущения в микцията и потентността, гастроинтестинална атония. Има добра прогноза. </w:t>
      </w:r>
    </w:p>
    <w:p w14:paraId="5020151A"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iCs/>
          <w:sz w:val="24"/>
          <w:szCs w:val="24"/>
        </w:rPr>
        <w:t>Диагнозата</w:t>
      </w:r>
      <w:r w:rsidRPr="00AE47C6">
        <w:rPr>
          <w:rFonts w:ascii="Times New Roman" w:eastAsia="SimSun" w:hAnsi="Times New Roman"/>
          <w:sz w:val="24"/>
          <w:szCs w:val="24"/>
        </w:rPr>
        <w:t xml:space="preserve"> се поставя по критерии, предложени от Аsbury и Cornblath през 1990 година. Те включват използването на </w:t>
      </w:r>
      <w:r w:rsidRPr="00AE47C6">
        <w:rPr>
          <w:rFonts w:ascii="Times New Roman" w:eastAsia="SimSun" w:hAnsi="Times New Roman"/>
          <w:b/>
          <w:sz w:val="24"/>
          <w:szCs w:val="24"/>
        </w:rPr>
        <w:t>задължителни клинични, ликворологични и електрофизиологични критерии:</w:t>
      </w:r>
    </w:p>
    <w:p w14:paraId="79D6747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i/>
          <w:iCs/>
          <w:sz w:val="24"/>
          <w:szCs w:val="24"/>
        </w:rPr>
        <w:t>Задължителни клинични критерии</w:t>
      </w:r>
      <w:r w:rsidRPr="00AE47C6">
        <w:rPr>
          <w:rFonts w:ascii="Times New Roman" w:eastAsia="SimSun" w:hAnsi="Times New Roman"/>
          <w:sz w:val="24"/>
          <w:szCs w:val="24"/>
        </w:rPr>
        <w:t xml:space="preserve"> – прогресивно развиваща се слабост в повече от един крайник, съчетана със сухожилна арефлексия.</w:t>
      </w:r>
    </w:p>
    <w:p w14:paraId="333DDF67" w14:textId="77777777" w:rsidR="00BE0B19" w:rsidRPr="00AE47C6" w:rsidRDefault="00BE0B19" w:rsidP="00BE0B19">
      <w:pPr>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i/>
          <w:iCs/>
          <w:sz w:val="24"/>
          <w:szCs w:val="24"/>
        </w:rPr>
        <w:t>Подкрепящи симптоми за диагнозата са</w:t>
      </w:r>
      <w:r w:rsidRPr="00AE47C6">
        <w:rPr>
          <w:rFonts w:ascii="Times New Roman" w:eastAsia="SimSun" w:hAnsi="Times New Roman"/>
          <w:b/>
          <w:bCs/>
          <w:sz w:val="24"/>
          <w:szCs w:val="24"/>
        </w:rPr>
        <w:t xml:space="preserve">: </w:t>
      </w:r>
    </w:p>
    <w:p w14:paraId="67B04FDA" w14:textId="77777777" w:rsidR="00BE0B19" w:rsidRPr="00AE47C6" w:rsidRDefault="00BE0B19" w:rsidP="00BE0B19">
      <w:pPr>
        <w:widowControl w:val="0"/>
        <w:numPr>
          <w:ilvl w:val="0"/>
          <w:numId w:val="45"/>
        </w:numPr>
        <w:tabs>
          <w:tab w:val="clear" w:pos="1365"/>
          <w:tab w:val="left" w:pos="0"/>
          <w:tab w:val="num" w:pos="1440"/>
        </w:tabs>
        <w:suppressAutoHyphen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прогресия в продължение на дни до 4 седмици;</w:t>
      </w:r>
    </w:p>
    <w:p w14:paraId="71F44B70" w14:textId="77777777" w:rsidR="00BE0B19" w:rsidRPr="00AE47C6" w:rsidRDefault="00BE0B19" w:rsidP="00BE0B19">
      <w:pPr>
        <w:widowControl w:val="0"/>
        <w:numPr>
          <w:ilvl w:val="0"/>
          <w:numId w:val="45"/>
        </w:numPr>
        <w:tabs>
          <w:tab w:val="clear" w:pos="1365"/>
          <w:tab w:val="left" w:pos="0"/>
          <w:tab w:val="num" w:pos="1440"/>
        </w:tabs>
        <w:suppressAutoHyphen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относително симетрично разпределение на парезите;</w:t>
      </w:r>
    </w:p>
    <w:p w14:paraId="43FF0172" w14:textId="77777777" w:rsidR="00BE0B19" w:rsidRPr="00AE47C6" w:rsidRDefault="00BE0B19" w:rsidP="00BE0B19">
      <w:pPr>
        <w:widowControl w:val="0"/>
        <w:numPr>
          <w:ilvl w:val="0"/>
          <w:numId w:val="45"/>
        </w:numPr>
        <w:tabs>
          <w:tab w:val="clear" w:pos="1365"/>
          <w:tab w:val="left" w:pos="0"/>
          <w:tab w:val="num" w:pos="1440"/>
        </w:tabs>
        <w:suppressAutoHyphen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леко изразени сетивни симптоми;</w:t>
      </w:r>
    </w:p>
    <w:p w14:paraId="28E752B3" w14:textId="77777777" w:rsidR="00BE0B19" w:rsidRPr="00AE47C6" w:rsidRDefault="00BE0B19" w:rsidP="00BE0B19">
      <w:pPr>
        <w:widowControl w:val="0"/>
        <w:numPr>
          <w:ilvl w:val="0"/>
          <w:numId w:val="45"/>
        </w:numPr>
        <w:tabs>
          <w:tab w:val="clear" w:pos="1365"/>
          <w:tab w:val="left" w:pos="0"/>
          <w:tab w:val="num" w:pos="1440"/>
        </w:tabs>
        <w:suppressAutoHyphen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въвличане на КН;</w:t>
      </w:r>
    </w:p>
    <w:p w14:paraId="4D5C602A" w14:textId="77777777" w:rsidR="00BE0B19" w:rsidRPr="00AE47C6" w:rsidRDefault="00BE0B19" w:rsidP="00BE0B19">
      <w:pPr>
        <w:widowControl w:val="0"/>
        <w:numPr>
          <w:ilvl w:val="0"/>
          <w:numId w:val="45"/>
        </w:numPr>
        <w:tabs>
          <w:tab w:val="clear" w:pos="1365"/>
          <w:tab w:val="left" w:pos="0"/>
          <w:tab w:val="num" w:pos="1440"/>
        </w:tabs>
        <w:suppressAutoHyphen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възстановяване, което започва 2-4 седмици след спиране на прогресията;</w:t>
      </w:r>
    </w:p>
    <w:p w14:paraId="6BE1FB81" w14:textId="77777777" w:rsidR="00BE0B19" w:rsidRPr="00AE47C6" w:rsidRDefault="00BE0B19" w:rsidP="00BE0B19">
      <w:pPr>
        <w:widowControl w:val="0"/>
        <w:numPr>
          <w:ilvl w:val="0"/>
          <w:numId w:val="45"/>
        </w:numPr>
        <w:tabs>
          <w:tab w:val="clear" w:pos="1365"/>
          <w:tab w:val="left" w:pos="0"/>
          <w:tab w:val="num" w:pos="1440"/>
        </w:tabs>
        <w:suppressAutoHyphen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симптоми за автономна дисфункция;</w:t>
      </w:r>
    </w:p>
    <w:p w14:paraId="577A724E" w14:textId="77777777" w:rsidR="00BE0B19" w:rsidRPr="00AE47C6" w:rsidRDefault="00BE0B19" w:rsidP="00BE0B19">
      <w:pPr>
        <w:widowControl w:val="0"/>
        <w:numPr>
          <w:ilvl w:val="0"/>
          <w:numId w:val="45"/>
        </w:numPr>
        <w:tabs>
          <w:tab w:val="clear" w:pos="1365"/>
          <w:tab w:val="left" w:pos="0"/>
          <w:tab w:val="num" w:pos="1440"/>
        </w:tabs>
        <w:suppressAutoHyphen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отсъствие на фебрилно състояние в началото на заболяването.</w:t>
      </w:r>
    </w:p>
    <w:p w14:paraId="0F8010A7" w14:textId="77777777" w:rsidR="00BE0B19" w:rsidRPr="00AE47C6" w:rsidRDefault="00BE0B19" w:rsidP="00BE0B19">
      <w:pPr>
        <w:tabs>
          <w:tab w:val="num" w:pos="2160"/>
        </w:tabs>
        <w:spacing w:after="0" w:line="360" w:lineRule="auto"/>
        <w:ind w:firstLine="709"/>
        <w:jc w:val="both"/>
        <w:rPr>
          <w:rFonts w:ascii="Times New Roman" w:eastAsia="SimSun" w:hAnsi="Times New Roman"/>
          <w:b/>
          <w:bCs/>
          <w:i/>
          <w:iCs/>
          <w:sz w:val="24"/>
          <w:szCs w:val="24"/>
        </w:rPr>
      </w:pPr>
      <w:r w:rsidRPr="00AE47C6">
        <w:rPr>
          <w:rFonts w:ascii="Times New Roman" w:eastAsia="SimSun" w:hAnsi="Times New Roman"/>
          <w:b/>
          <w:bCs/>
          <w:i/>
          <w:iCs/>
          <w:sz w:val="24"/>
          <w:szCs w:val="24"/>
        </w:rPr>
        <w:t xml:space="preserve">Не изключват диагнозата: </w:t>
      </w:r>
      <w:r w:rsidRPr="00AE47C6">
        <w:rPr>
          <w:rFonts w:ascii="Times New Roman" w:eastAsia="SimSun" w:hAnsi="Times New Roman"/>
          <w:sz w:val="24"/>
          <w:szCs w:val="24"/>
        </w:rPr>
        <w:t>мехурна и/или чревна дисфункция; положителен рефлекс на Babinski; атаксия; дистония.</w:t>
      </w:r>
    </w:p>
    <w:p w14:paraId="3F0B82E0" w14:textId="77777777" w:rsidR="00BE0B19" w:rsidRPr="00AE47C6" w:rsidRDefault="00BE0B19" w:rsidP="00BE0B19">
      <w:pPr>
        <w:tabs>
          <w:tab w:val="num" w:pos="216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i/>
          <w:iCs/>
          <w:sz w:val="24"/>
          <w:szCs w:val="24"/>
        </w:rPr>
        <w:t xml:space="preserve">Ликворологични критерии, </w:t>
      </w:r>
      <w:r w:rsidRPr="00AE47C6">
        <w:rPr>
          <w:rFonts w:ascii="Times New Roman" w:eastAsia="SimSun" w:hAnsi="Times New Roman"/>
          <w:i/>
          <w:iCs/>
          <w:sz w:val="24"/>
          <w:szCs w:val="24"/>
        </w:rPr>
        <w:t>подкрепящи диагнозата</w:t>
      </w:r>
      <w:r w:rsidRPr="00AE47C6">
        <w:rPr>
          <w:rFonts w:ascii="Times New Roman" w:eastAsia="SimSun" w:hAnsi="Times New Roman"/>
          <w:sz w:val="24"/>
          <w:szCs w:val="24"/>
        </w:rPr>
        <w:t xml:space="preserve"> – данни за белтъчно-клетъчна дисоциация в лумбалната церебро-спинална течност, т.е. увеличено количество на ликворния белтък над 0,46 g/l при нормоцитоза (до 10 мононуклеарни левкоцита x 10</w:t>
      </w:r>
      <w:r w:rsidRPr="00AE47C6">
        <w:rPr>
          <w:rFonts w:ascii="Times New Roman" w:eastAsia="SimSun" w:hAnsi="Times New Roman"/>
          <w:sz w:val="24"/>
          <w:szCs w:val="24"/>
          <w:vertAlign w:val="superscript"/>
        </w:rPr>
        <w:t>6</w:t>
      </w:r>
      <w:r w:rsidRPr="00AE47C6">
        <w:rPr>
          <w:rFonts w:ascii="Times New Roman" w:eastAsia="SimSun" w:hAnsi="Times New Roman"/>
          <w:sz w:val="24"/>
          <w:szCs w:val="24"/>
        </w:rPr>
        <w:t>/l). Хиперпротеинорахията е най-изразена през втората и трета седмица от началото на заболяването. До 10% от случаите ликворният белтък може да остане в нормални граници през целия период на заболяването. Допустимо е леко изразена плеоцитоза до 50 х10</w:t>
      </w:r>
      <w:r w:rsidRPr="00AE47C6">
        <w:rPr>
          <w:rFonts w:ascii="Times New Roman" w:eastAsia="SimSun" w:hAnsi="Times New Roman"/>
          <w:sz w:val="24"/>
          <w:szCs w:val="24"/>
          <w:vertAlign w:val="superscript"/>
        </w:rPr>
        <w:t>6</w:t>
      </w:r>
      <w:r w:rsidRPr="00AE47C6">
        <w:rPr>
          <w:rFonts w:ascii="Times New Roman" w:eastAsia="SimSun" w:hAnsi="Times New Roman"/>
          <w:sz w:val="24"/>
          <w:szCs w:val="24"/>
        </w:rPr>
        <w:t xml:space="preserve">/l клетки. В случаите, при които броят на мононуклеарните клетки надвишава тази граница, трябва да се изключат други заболявания като: HIV инфекция, Лаймска болест, саркоидоза, неоплазми. </w:t>
      </w:r>
    </w:p>
    <w:p w14:paraId="37A8ABA9"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При част от болните може да се регистрира хипергамаглобулинорахия и увеличение на IgG в ликвора, както и олигоклонални ивици в ликворната протеинограма.</w:t>
      </w:r>
    </w:p>
    <w:p w14:paraId="5CCE3587" w14:textId="77777777" w:rsidR="00BE0B19" w:rsidRPr="00AE47C6" w:rsidRDefault="00BE0B19" w:rsidP="00BE0B19">
      <w:pPr>
        <w:tabs>
          <w:tab w:val="num" w:pos="216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i/>
          <w:iCs/>
          <w:sz w:val="24"/>
          <w:szCs w:val="24"/>
        </w:rPr>
        <w:t>Задължителни ЕМГ критерии</w:t>
      </w:r>
      <w:r w:rsidRPr="00AE47C6">
        <w:rPr>
          <w:rFonts w:ascii="Times New Roman" w:eastAsia="SimSun" w:hAnsi="Times New Roman"/>
          <w:i/>
          <w:iCs/>
          <w:sz w:val="24"/>
          <w:szCs w:val="24"/>
        </w:rPr>
        <w:t xml:space="preserve"> – </w:t>
      </w:r>
      <w:r w:rsidRPr="00AE47C6">
        <w:rPr>
          <w:rFonts w:ascii="Times New Roman" w:eastAsia="SimSun" w:hAnsi="Times New Roman"/>
          <w:iCs/>
          <w:sz w:val="24"/>
          <w:szCs w:val="24"/>
        </w:rPr>
        <w:t>данни за демиелинизация в повече от два периферни нерви.</w:t>
      </w:r>
      <w:r w:rsidRPr="00AE47C6">
        <w:rPr>
          <w:rFonts w:ascii="Times New Roman" w:eastAsia="SimSun" w:hAnsi="Times New Roman"/>
          <w:sz w:val="24"/>
          <w:szCs w:val="24"/>
        </w:rPr>
        <w:t xml:space="preserve"> Необходимо е наличие на 3 от 4 ЕМГ критерия:</w:t>
      </w:r>
    </w:p>
    <w:p w14:paraId="6DE872A7" w14:textId="77777777" w:rsidR="00BE0B19" w:rsidRPr="00AE47C6" w:rsidRDefault="00BE0B19" w:rsidP="00BE0B19">
      <w:pPr>
        <w:widowControl w:val="0"/>
        <w:numPr>
          <w:ilvl w:val="0"/>
          <w:numId w:val="45"/>
        </w:numPr>
        <w:tabs>
          <w:tab w:val="clear" w:pos="1365"/>
          <w:tab w:val="left" w:pos="426"/>
          <w:tab w:val="left" w:pos="1418"/>
        </w:tabs>
        <w:suppressAutoHyphens/>
        <w:spacing w:after="0" w:line="360" w:lineRule="auto"/>
        <w:ind w:left="0" w:firstLine="851"/>
        <w:jc w:val="both"/>
        <w:rPr>
          <w:rFonts w:ascii="Times New Roman" w:eastAsia="SimSun" w:hAnsi="Times New Roman"/>
          <w:sz w:val="24"/>
          <w:szCs w:val="24"/>
        </w:rPr>
      </w:pPr>
      <w:r w:rsidRPr="00AE47C6">
        <w:rPr>
          <w:rFonts w:ascii="Times New Roman" w:eastAsia="SimSun" w:hAnsi="Times New Roman"/>
          <w:sz w:val="24"/>
          <w:szCs w:val="24"/>
        </w:rPr>
        <w:t>забавена скорост на провеждане по двигателните влакна на периферните нерви;</w:t>
      </w:r>
    </w:p>
    <w:p w14:paraId="09835F1E" w14:textId="77777777" w:rsidR="00BE0B19" w:rsidRPr="00AE47C6" w:rsidRDefault="00BE0B19" w:rsidP="00BE0B19">
      <w:pPr>
        <w:widowControl w:val="0"/>
        <w:numPr>
          <w:ilvl w:val="0"/>
          <w:numId w:val="45"/>
        </w:numPr>
        <w:tabs>
          <w:tab w:val="clear" w:pos="1365"/>
          <w:tab w:val="left" w:pos="426"/>
          <w:tab w:val="left" w:pos="1418"/>
        </w:tabs>
        <w:suppressAutoHyphens/>
        <w:spacing w:after="0" w:line="360" w:lineRule="auto"/>
        <w:ind w:left="0" w:firstLine="851"/>
        <w:jc w:val="both"/>
        <w:rPr>
          <w:rFonts w:ascii="Times New Roman" w:eastAsia="SimSun" w:hAnsi="Times New Roman"/>
          <w:sz w:val="24"/>
          <w:szCs w:val="24"/>
        </w:rPr>
      </w:pPr>
      <w:r w:rsidRPr="00AE47C6">
        <w:rPr>
          <w:rFonts w:ascii="Times New Roman" w:eastAsia="SimSun" w:hAnsi="Times New Roman"/>
          <w:sz w:val="24"/>
          <w:szCs w:val="24"/>
        </w:rPr>
        <w:t>пълен или частичен блок на провеждане (&gt;20%) по двигателните влакна на периферните нерви и/или абнормна темпорална дисперсия;</w:t>
      </w:r>
    </w:p>
    <w:p w14:paraId="0FE4AB7D" w14:textId="77777777" w:rsidR="00BE0B19" w:rsidRPr="00AE47C6" w:rsidRDefault="00BE0B19" w:rsidP="00BE0B19">
      <w:pPr>
        <w:widowControl w:val="0"/>
        <w:numPr>
          <w:ilvl w:val="0"/>
          <w:numId w:val="45"/>
        </w:numPr>
        <w:tabs>
          <w:tab w:val="clear" w:pos="1365"/>
          <w:tab w:val="left" w:pos="426"/>
          <w:tab w:val="left" w:pos="1418"/>
        </w:tabs>
        <w:suppressAutoHyphens/>
        <w:spacing w:after="0" w:line="360" w:lineRule="auto"/>
        <w:ind w:left="0" w:firstLine="851"/>
        <w:jc w:val="both"/>
        <w:rPr>
          <w:rFonts w:ascii="Times New Roman" w:eastAsia="SimSun" w:hAnsi="Times New Roman"/>
          <w:sz w:val="24"/>
          <w:szCs w:val="24"/>
        </w:rPr>
      </w:pPr>
      <w:r w:rsidRPr="00AE47C6">
        <w:rPr>
          <w:rFonts w:ascii="Times New Roman" w:eastAsia="SimSun" w:hAnsi="Times New Roman"/>
          <w:sz w:val="24"/>
          <w:szCs w:val="24"/>
        </w:rPr>
        <w:t>удължени дистални моторни латенции;</w:t>
      </w:r>
    </w:p>
    <w:p w14:paraId="5293869E" w14:textId="77777777" w:rsidR="00BE0B19" w:rsidRPr="00AE47C6" w:rsidRDefault="00BE0B19" w:rsidP="00BE0B19">
      <w:pPr>
        <w:widowControl w:val="0"/>
        <w:numPr>
          <w:ilvl w:val="0"/>
          <w:numId w:val="45"/>
        </w:numPr>
        <w:tabs>
          <w:tab w:val="clear" w:pos="1365"/>
          <w:tab w:val="left" w:pos="426"/>
          <w:tab w:val="left" w:pos="1418"/>
        </w:tabs>
        <w:suppressAutoHyphens/>
        <w:spacing w:after="0" w:line="360" w:lineRule="auto"/>
        <w:ind w:left="0" w:firstLine="851"/>
        <w:jc w:val="both"/>
        <w:rPr>
          <w:rFonts w:ascii="Times New Roman" w:eastAsia="SimSun" w:hAnsi="Times New Roman"/>
          <w:sz w:val="24"/>
          <w:szCs w:val="24"/>
        </w:rPr>
      </w:pPr>
      <w:r w:rsidRPr="00AE47C6">
        <w:rPr>
          <w:rFonts w:ascii="Times New Roman" w:eastAsia="SimSun" w:hAnsi="Times New Roman"/>
          <w:sz w:val="24"/>
          <w:szCs w:val="24"/>
        </w:rPr>
        <w:t>забавени латенции на F-вълните и/или намален процент на същите.</w:t>
      </w:r>
    </w:p>
    <w:p w14:paraId="00A03BAF" w14:textId="77777777" w:rsidR="00BE0B19" w:rsidRPr="00AE47C6" w:rsidRDefault="00BE0B19" w:rsidP="00BE0B19">
      <w:pPr>
        <w:tabs>
          <w:tab w:val="left" w:pos="426"/>
          <w:tab w:val="left" w:pos="1418"/>
          <w:tab w:val="num" w:pos="2160"/>
        </w:tabs>
        <w:spacing w:after="0" w:line="360" w:lineRule="auto"/>
        <w:ind w:firstLine="284"/>
        <w:jc w:val="both"/>
        <w:rPr>
          <w:rFonts w:ascii="Times New Roman" w:eastAsia="SimSun" w:hAnsi="Times New Roman"/>
          <w:b/>
          <w:bCs/>
          <w:i/>
          <w:iCs/>
          <w:sz w:val="24"/>
          <w:szCs w:val="24"/>
        </w:rPr>
      </w:pPr>
      <w:r w:rsidRPr="00AE47C6">
        <w:rPr>
          <w:rFonts w:ascii="Times New Roman" w:eastAsia="SimSun" w:hAnsi="Times New Roman"/>
          <w:b/>
          <w:i/>
          <w:sz w:val="24"/>
          <w:szCs w:val="24"/>
        </w:rPr>
        <w:t>Симптоми</w:t>
      </w:r>
      <w:r w:rsidRPr="00AE47C6">
        <w:rPr>
          <w:rFonts w:ascii="Times New Roman" w:eastAsia="SimSun" w:hAnsi="Times New Roman"/>
          <w:b/>
          <w:bCs/>
          <w:i/>
          <w:iCs/>
          <w:sz w:val="24"/>
          <w:szCs w:val="24"/>
        </w:rPr>
        <w:t xml:space="preserve">, които не изключват диагнозата: </w:t>
      </w:r>
    </w:p>
    <w:p w14:paraId="1E1E6BB6" w14:textId="77777777" w:rsidR="00BE0B19" w:rsidRPr="00AE47C6" w:rsidRDefault="00BE0B19" w:rsidP="00BE0B19">
      <w:pPr>
        <w:widowControl w:val="0"/>
        <w:numPr>
          <w:ilvl w:val="0"/>
          <w:numId w:val="45"/>
        </w:numPr>
        <w:tabs>
          <w:tab w:val="clear" w:pos="1365"/>
          <w:tab w:val="left" w:pos="426"/>
          <w:tab w:val="left" w:pos="1418"/>
        </w:tabs>
        <w:suppressAutoHyphens/>
        <w:spacing w:after="0" w:line="360" w:lineRule="auto"/>
        <w:ind w:left="0" w:firstLine="851"/>
        <w:jc w:val="both"/>
        <w:rPr>
          <w:rFonts w:ascii="Times New Roman" w:eastAsia="SimSun" w:hAnsi="Times New Roman"/>
          <w:sz w:val="24"/>
          <w:szCs w:val="24"/>
        </w:rPr>
      </w:pPr>
      <w:r w:rsidRPr="00AE47C6">
        <w:rPr>
          <w:rFonts w:ascii="Times New Roman" w:eastAsia="SimSun" w:hAnsi="Times New Roman"/>
          <w:sz w:val="24"/>
          <w:szCs w:val="24"/>
        </w:rPr>
        <w:t>мехурна и/или чревна дисфункция;</w:t>
      </w:r>
    </w:p>
    <w:p w14:paraId="1016F55F" w14:textId="77777777" w:rsidR="00BE0B19" w:rsidRPr="00AE47C6" w:rsidRDefault="00BE0B19" w:rsidP="00BE0B19">
      <w:pPr>
        <w:widowControl w:val="0"/>
        <w:numPr>
          <w:ilvl w:val="0"/>
          <w:numId w:val="45"/>
        </w:numPr>
        <w:tabs>
          <w:tab w:val="clear" w:pos="1365"/>
          <w:tab w:val="left" w:pos="426"/>
          <w:tab w:val="left" w:pos="1418"/>
        </w:tabs>
        <w:suppressAutoHyphens/>
        <w:spacing w:after="0" w:line="360" w:lineRule="auto"/>
        <w:ind w:left="0" w:firstLine="851"/>
        <w:jc w:val="both"/>
        <w:rPr>
          <w:rFonts w:ascii="Times New Roman" w:eastAsia="SimSun" w:hAnsi="Times New Roman"/>
          <w:sz w:val="24"/>
          <w:szCs w:val="24"/>
        </w:rPr>
      </w:pPr>
      <w:r w:rsidRPr="00AE47C6">
        <w:rPr>
          <w:rFonts w:ascii="Times New Roman" w:eastAsia="SimSun" w:hAnsi="Times New Roman"/>
          <w:sz w:val="24"/>
          <w:szCs w:val="24"/>
        </w:rPr>
        <w:t>положителен рефлекс на Babinski;</w:t>
      </w:r>
    </w:p>
    <w:p w14:paraId="5BCFEABB" w14:textId="77777777" w:rsidR="00BE0B19" w:rsidRPr="00AE47C6" w:rsidRDefault="00BE0B19" w:rsidP="00BE0B19">
      <w:pPr>
        <w:widowControl w:val="0"/>
        <w:numPr>
          <w:ilvl w:val="0"/>
          <w:numId w:val="45"/>
        </w:numPr>
        <w:tabs>
          <w:tab w:val="clear" w:pos="1365"/>
          <w:tab w:val="left" w:pos="426"/>
          <w:tab w:val="left" w:pos="1418"/>
        </w:tabs>
        <w:suppressAutoHyphens/>
        <w:spacing w:after="0" w:line="360" w:lineRule="auto"/>
        <w:ind w:left="0" w:firstLine="851"/>
        <w:jc w:val="both"/>
        <w:rPr>
          <w:rFonts w:ascii="Times New Roman" w:eastAsia="SimSun" w:hAnsi="Times New Roman"/>
          <w:sz w:val="24"/>
          <w:szCs w:val="24"/>
        </w:rPr>
      </w:pPr>
      <w:r w:rsidRPr="00AE47C6">
        <w:rPr>
          <w:rFonts w:ascii="Times New Roman" w:eastAsia="SimSun" w:hAnsi="Times New Roman"/>
          <w:sz w:val="24"/>
          <w:szCs w:val="24"/>
        </w:rPr>
        <w:t>атаксия;</w:t>
      </w:r>
    </w:p>
    <w:p w14:paraId="526CE661" w14:textId="77777777" w:rsidR="00BE0B19" w:rsidRPr="00AE47C6" w:rsidRDefault="00BE0B19" w:rsidP="00BE0B19">
      <w:pPr>
        <w:widowControl w:val="0"/>
        <w:numPr>
          <w:ilvl w:val="0"/>
          <w:numId w:val="45"/>
        </w:numPr>
        <w:tabs>
          <w:tab w:val="clear" w:pos="1365"/>
          <w:tab w:val="left" w:pos="426"/>
          <w:tab w:val="left" w:pos="1418"/>
        </w:tabs>
        <w:suppressAutoHyphens/>
        <w:spacing w:after="0" w:line="360" w:lineRule="auto"/>
        <w:ind w:left="0" w:firstLine="851"/>
        <w:jc w:val="both"/>
        <w:rPr>
          <w:rFonts w:ascii="Times New Roman" w:eastAsia="SimSun" w:hAnsi="Times New Roman"/>
          <w:sz w:val="24"/>
          <w:szCs w:val="24"/>
        </w:rPr>
      </w:pPr>
      <w:r w:rsidRPr="00AE47C6">
        <w:rPr>
          <w:rFonts w:ascii="Times New Roman" w:eastAsia="SimSun" w:hAnsi="Times New Roman"/>
          <w:sz w:val="24"/>
          <w:szCs w:val="24"/>
        </w:rPr>
        <w:t>дистония.</w:t>
      </w:r>
    </w:p>
    <w:p w14:paraId="36CF02B0"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Изследванията</w:t>
      </w:r>
      <w:r w:rsidRPr="00AE47C6">
        <w:rPr>
          <w:rFonts w:ascii="Times New Roman" w:eastAsia="SimSun" w:hAnsi="Times New Roman"/>
          <w:sz w:val="24"/>
          <w:szCs w:val="24"/>
        </w:rPr>
        <w:t xml:space="preserve"> за поставяне на диагнозата са ликворното и електрофизиологичното. </w:t>
      </w:r>
    </w:p>
    <w:p w14:paraId="3EA6DF8C"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В ликвора</w:t>
      </w:r>
      <w:r w:rsidRPr="00AE47C6">
        <w:rPr>
          <w:rFonts w:ascii="Times New Roman" w:eastAsia="SimSun" w:hAnsi="Times New Roman"/>
          <w:sz w:val="24"/>
          <w:szCs w:val="24"/>
        </w:rPr>
        <w:t xml:space="preserve"> се установява белтъчно-клетъчна дисоциация. Белтъкът в ликвора може да достигне стойности до 10 g/l. Броят на клетките най-често е в нормални граници. </w:t>
      </w:r>
    </w:p>
    <w:p w14:paraId="22DACDE3"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Електроневрографията</w:t>
      </w:r>
      <w:r w:rsidRPr="00AE47C6">
        <w:rPr>
          <w:rFonts w:ascii="Times New Roman" w:eastAsia="SimSun" w:hAnsi="Times New Roman"/>
          <w:sz w:val="24"/>
          <w:szCs w:val="24"/>
        </w:rPr>
        <w:t xml:space="preserve"> (ЕНГ) е чувствителен метод за установяване на перифернонервните увреди и определяне на техния тип, локализация и тежест на изява. В ранния стадий на СГБ повече от 1/3 от проведените ЕНГ изследвания не показват отклонения в скоростта на провеждане по двигателните влакна на периферните нерви. В тази ранна фаза на развитие на заболяването се регистрират данни за предимно проксимална </w:t>
      </w:r>
      <w:r w:rsidRPr="00AE47C6">
        <w:rPr>
          <w:rFonts w:ascii="Times New Roman" w:eastAsia="SimSun" w:hAnsi="Times New Roman"/>
          <w:i/>
          <w:iCs/>
          <w:sz w:val="24"/>
          <w:szCs w:val="24"/>
        </w:rPr>
        <w:t>сегментна демиелинизация</w:t>
      </w:r>
      <w:r w:rsidRPr="00AE47C6">
        <w:rPr>
          <w:rFonts w:ascii="Times New Roman" w:eastAsia="SimSun" w:hAnsi="Times New Roman"/>
          <w:sz w:val="24"/>
          <w:szCs w:val="24"/>
        </w:rPr>
        <w:t xml:space="preserve">. Нейният електроневрографски израз е свързан с установяване на абнормни F-вълни (удължени латенции и/или намален процент на същите), А-вълни, както и проксимален блок на провеждане по двигателните влакна. В по-късните стадии на заболяването скоростта на провеждане по двигателните и/или сетивните влакна се забавя като израз на </w:t>
      </w:r>
      <w:r w:rsidRPr="00AE47C6">
        <w:rPr>
          <w:rFonts w:ascii="Times New Roman" w:eastAsia="SimSun" w:hAnsi="Times New Roman"/>
          <w:i/>
          <w:iCs/>
          <w:sz w:val="24"/>
          <w:szCs w:val="24"/>
        </w:rPr>
        <w:t>дифузна демиелинизация</w:t>
      </w:r>
      <w:r w:rsidRPr="00AE47C6">
        <w:rPr>
          <w:rFonts w:ascii="Times New Roman" w:eastAsia="SimSun" w:hAnsi="Times New Roman"/>
          <w:sz w:val="24"/>
          <w:szCs w:val="24"/>
        </w:rPr>
        <w:t xml:space="preserve">. Удължават се дисталните сетивни и двигателни латентни времена. </w:t>
      </w:r>
    </w:p>
    <w:p w14:paraId="3F1930A4"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При по-малка част от пациентите може да са </w:t>
      </w:r>
      <w:r w:rsidRPr="00AE47C6">
        <w:rPr>
          <w:rFonts w:ascii="Times New Roman" w:eastAsia="SimSun" w:hAnsi="Times New Roman"/>
          <w:i/>
          <w:iCs/>
          <w:sz w:val="24"/>
          <w:szCs w:val="24"/>
        </w:rPr>
        <w:t>налице ЕМГ данни за аксонна дегенерация</w:t>
      </w:r>
      <w:r w:rsidRPr="00AE47C6">
        <w:rPr>
          <w:rFonts w:ascii="Times New Roman" w:eastAsia="SimSun" w:hAnsi="Times New Roman"/>
          <w:sz w:val="24"/>
          <w:szCs w:val="24"/>
        </w:rPr>
        <w:t xml:space="preserve"> (намалени амплитуди на моторните потенциали, данни за денервация в покой, намален брой на двигателните единици, разредени записи). Намалената с повече от 20% амплитуда на моторните потенциали е предиктор за дълготрайна мускулна слабост. </w:t>
      </w:r>
    </w:p>
    <w:p w14:paraId="446BDFBD"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Серологичните тестове</w:t>
      </w:r>
      <w:r w:rsidRPr="00AE47C6">
        <w:rPr>
          <w:rFonts w:ascii="Times New Roman" w:eastAsia="SimSun" w:hAnsi="Times New Roman"/>
          <w:sz w:val="24"/>
          <w:szCs w:val="24"/>
        </w:rPr>
        <w:t xml:space="preserve"> имат ограничено значение при диагностицирането на СГБ. Понякога се установяват високи титри на антитела срещу ганглиозиди: G</w:t>
      </w:r>
      <w:r w:rsidRPr="00AE47C6">
        <w:rPr>
          <w:rFonts w:ascii="Times New Roman" w:eastAsia="SimSun" w:hAnsi="Times New Roman"/>
          <w:sz w:val="24"/>
          <w:szCs w:val="24"/>
          <w:vertAlign w:val="subscript"/>
        </w:rPr>
        <w:t>M1</w:t>
      </w:r>
      <w:r w:rsidRPr="00AE47C6">
        <w:rPr>
          <w:rFonts w:ascii="Times New Roman" w:eastAsia="SimSun" w:hAnsi="Times New Roman"/>
          <w:sz w:val="24"/>
          <w:szCs w:val="24"/>
        </w:rPr>
        <w:t>, GD</w:t>
      </w:r>
      <w:r w:rsidRPr="00AE47C6">
        <w:rPr>
          <w:rFonts w:ascii="Times New Roman" w:eastAsia="SimSun" w:hAnsi="Times New Roman"/>
          <w:sz w:val="24"/>
          <w:szCs w:val="24"/>
          <w:vertAlign w:val="subscript"/>
        </w:rPr>
        <w:t>1b</w:t>
      </w:r>
      <w:r w:rsidRPr="00AE47C6">
        <w:rPr>
          <w:rFonts w:ascii="Times New Roman" w:eastAsia="SimSun" w:hAnsi="Times New Roman"/>
          <w:sz w:val="24"/>
          <w:szCs w:val="24"/>
        </w:rPr>
        <w:t>, GQ</w:t>
      </w:r>
      <w:r w:rsidRPr="00AE47C6">
        <w:rPr>
          <w:rFonts w:ascii="Times New Roman" w:eastAsia="SimSun" w:hAnsi="Times New Roman"/>
          <w:sz w:val="24"/>
          <w:szCs w:val="24"/>
          <w:vertAlign w:val="subscript"/>
        </w:rPr>
        <w:t>1b</w:t>
      </w:r>
      <w:r w:rsidRPr="00AE47C6">
        <w:rPr>
          <w:rFonts w:ascii="Times New Roman" w:eastAsia="SimSun" w:hAnsi="Times New Roman"/>
          <w:sz w:val="24"/>
          <w:szCs w:val="24"/>
        </w:rPr>
        <w:t>, GT</w:t>
      </w:r>
      <w:r w:rsidRPr="00AE47C6">
        <w:rPr>
          <w:rFonts w:ascii="Times New Roman" w:eastAsia="SimSun" w:hAnsi="Times New Roman"/>
          <w:sz w:val="24"/>
          <w:szCs w:val="24"/>
          <w:vertAlign w:val="subscript"/>
        </w:rPr>
        <w:t>1a</w:t>
      </w:r>
      <w:r w:rsidRPr="00AE47C6">
        <w:rPr>
          <w:rFonts w:ascii="Times New Roman" w:eastAsia="SimSun" w:hAnsi="Times New Roman"/>
          <w:sz w:val="24"/>
          <w:szCs w:val="24"/>
        </w:rPr>
        <w:t>.</w:t>
      </w:r>
    </w:p>
    <w:p w14:paraId="79733F88" w14:textId="77777777" w:rsidR="00BE0B19" w:rsidRPr="00AE47C6" w:rsidRDefault="00BE0B19" w:rsidP="00BE0B19">
      <w:pPr>
        <w:tabs>
          <w:tab w:val="left" w:pos="90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Диференциалната диагноза</w:t>
      </w:r>
      <w:r w:rsidRPr="00AE47C6">
        <w:rPr>
          <w:rFonts w:ascii="Times New Roman" w:eastAsia="SimSun" w:hAnsi="Times New Roman"/>
          <w:sz w:val="24"/>
          <w:szCs w:val="24"/>
        </w:rPr>
        <w:t xml:space="preserve"> налага да се изключат дифузни форми на </w:t>
      </w:r>
      <w:r w:rsidRPr="00AE47C6">
        <w:rPr>
          <w:rFonts w:ascii="Times New Roman" w:eastAsia="SimSun" w:hAnsi="Times New Roman"/>
          <w:iCs/>
          <w:sz w:val="24"/>
          <w:szCs w:val="24"/>
        </w:rPr>
        <w:t>полиомиелит</w:t>
      </w:r>
      <w:r w:rsidRPr="00AE47C6">
        <w:rPr>
          <w:rFonts w:ascii="Times New Roman" w:eastAsia="SimSun" w:hAnsi="Times New Roman"/>
          <w:sz w:val="24"/>
          <w:szCs w:val="24"/>
        </w:rPr>
        <w:t xml:space="preserve"> и някои други остро или подостро протичащи полиневропатии: </w:t>
      </w:r>
      <w:r w:rsidRPr="00AE47C6">
        <w:rPr>
          <w:rFonts w:ascii="Times New Roman" w:eastAsia="SimSun" w:hAnsi="Times New Roman"/>
          <w:iCs/>
          <w:sz w:val="24"/>
          <w:szCs w:val="24"/>
        </w:rPr>
        <w:t>при остра интермитентна порфирия</w:t>
      </w:r>
      <w:r w:rsidRPr="00AE47C6">
        <w:rPr>
          <w:rFonts w:ascii="Times New Roman" w:eastAsia="SimSun" w:hAnsi="Times New Roman"/>
          <w:sz w:val="24"/>
          <w:szCs w:val="24"/>
        </w:rPr>
        <w:t xml:space="preserve">, HIV, </w:t>
      </w:r>
      <w:r w:rsidRPr="00AE47C6">
        <w:rPr>
          <w:rFonts w:ascii="Times New Roman" w:eastAsia="SimSun" w:hAnsi="Times New Roman"/>
          <w:iCs/>
          <w:sz w:val="24"/>
          <w:szCs w:val="24"/>
        </w:rPr>
        <w:t xml:space="preserve">токсични </w:t>
      </w:r>
      <w:r w:rsidRPr="00AE47C6">
        <w:rPr>
          <w:rFonts w:ascii="Times New Roman" w:eastAsia="SimSun" w:hAnsi="Times New Roman"/>
          <w:sz w:val="24"/>
          <w:szCs w:val="24"/>
        </w:rPr>
        <w:t xml:space="preserve">и </w:t>
      </w:r>
      <w:r w:rsidRPr="00AE47C6">
        <w:rPr>
          <w:rFonts w:ascii="Times New Roman" w:eastAsia="SimSun" w:hAnsi="Times New Roman"/>
          <w:iCs/>
          <w:sz w:val="24"/>
          <w:szCs w:val="24"/>
        </w:rPr>
        <w:t>дифтерийни полиневропатии</w:t>
      </w:r>
      <w:r w:rsidRPr="00AE47C6">
        <w:rPr>
          <w:rFonts w:ascii="Times New Roman" w:eastAsia="SimSun" w:hAnsi="Times New Roman"/>
          <w:sz w:val="24"/>
          <w:szCs w:val="24"/>
        </w:rPr>
        <w:t xml:space="preserve">. По-редки причини за остра периферна парализа могат да бъдат </w:t>
      </w:r>
      <w:r w:rsidRPr="00AE47C6">
        <w:rPr>
          <w:rFonts w:ascii="Times New Roman" w:eastAsia="SimSun" w:hAnsi="Times New Roman"/>
          <w:iCs/>
          <w:sz w:val="24"/>
          <w:szCs w:val="24"/>
        </w:rPr>
        <w:t>васкулит, лимфом или левкоза</w:t>
      </w:r>
      <w:r w:rsidRPr="00AE47C6">
        <w:rPr>
          <w:rFonts w:ascii="Times New Roman" w:eastAsia="SimSun" w:hAnsi="Times New Roman"/>
          <w:sz w:val="24"/>
          <w:szCs w:val="24"/>
        </w:rPr>
        <w:t>.</w:t>
      </w:r>
    </w:p>
    <w:p w14:paraId="5559377F" w14:textId="77777777" w:rsidR="00BE0B19" w:rsidRPr="00AE47C6" w:rsidRDefault="00BE0B19" w:rsidP="00BE0B19">
      <w:pPr>
        <w:spacing w:after="0" w:line="360" w:lineRule="auto"/>
        <w:ind w:firstLine="709"/>
        <w:jc w:val="both"/>
        <w:rPr>
          <w:rFonts w:ascii="Times New Roman" w:eastAsia="SimSun" w:hAnsi="Times New Roman"/>
          <w:iCs/>
          <w:sz w:val="24"/>
          <w:szCs w:val="24"/>
        </w:rPr>
      </w:pPr>
      <w:r w:rsidRPr="00AE47C6">
        <w:rPr>
          <w:rFonts w:ascii="Times New Roman" w:eastAsia="SimSun" w:hAnsi="Times New Roman"/>
          <w:b/>
          <w:iCs/>
          <w:sz w:val="24"/>
          <w:szCs w:val="24"/>
        </w:rPr>
        <w:t>Лечение при синдрома на ГБ (Фиг.2.2.):</w:t>
      </w:r>
    </w:p>
    <w:p w14:paraId="5AB2DCF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Общи медицински грижи, поддържане на дишането и хранене,</w:t>
      </w:r>
      <w:r w:rsidRPr="00AE47C6">
        <w:rPr>
          <w:rFonts w:ascii="Times New Roman" w:eastAsia="SimSun" w:hAnsi="Times New Roman"/>
          <w:sz w:val="24"/>
          <w:szCs w:val="24"/>
        </w:rPr>
        <w:t xml:space="preserve"> защото заболяването преминава спонтанно. Около 25% от пациентите имат нужда от механична вентилация. Препоръчва се всички пациенти, освен с най-леки форми на заболяването да бъдат хоспитализирани за наблюдение. Необходимо е да се оценява и проследява силата на диафрагмалните и респираторни мускули. Тя корелира със силата на шийните и трапецовидни мускули, с които има обща сегментна инервация. Грубото определяне на дихателния капацитет се извършва като пациента брои бързо с едно поемане на въздух. Възможността да преброи до 20 отговаря на витален капацитет над 1,5 L. Пациентът трябва да се наблюдава и за поява на тахикардия, тахипнея, диафореза и неспокойство. </w:t>
      </w:r>
    </w:p>
    <w:p w14:paraId="1AD4347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При спадане на виталния капацитет под 10 ml/kg се налага ендотрахеална интубация и механична вентилация</w:t>
      </w:r>
      <w:r w:rsidRPr="00AE47C6">
        <w:rPr>
          <w:rFonts w:ascii="Times New Roman" w:eastAsia="SimSun" w:hAnsi="Times New Roman"/>
          <w:sz w:val="24"/>
          <w:szCs w:val="24"/>
        </w:rPr>
        <w:t>. При необходимост от продължителна механична вентилация се прилага трахеостомия.</w:t>
      </w:r>
    </w:p>
    <w:p w14:paraId="59EE9F2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С оглед на автономната нестабилност е необходим </w:t>
      </w:r>
      <w:r w:rsidRPr="00AE47C6">
        <w:rPr>
          <w:rFonts w:ascii="Times New Roman" w:eastAsia="SimSun" w:hAnsi="Times New Roman"/>
          <w:i/>
          <w:sz w:val="24"/>
          <w:szCs w:val="24"/>
        </w:rPr>
        <w:t>контрол на повишеното или понижено кръвно налягане</w:t>
      </w:r>
      <w:r w:rsidRPr="00AE47C6">
        <w:rPr>
          <w:rFonts w:ascii="Times New Roman" w:eastAsia="SimSun" w:hAnsi="Times New Roman"/>
          <w:sz w:val="24"/>
          <w:szCs w:val="24"/>
        </w:rPr>
        <w:t xml:space="preserve">. </w:t>
      </w:r>
    </w:p>
    <w:p w14:paraId="325CDC7C"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Провежда се и </w:t>
      </w:r>
      <w:r w:rsidRPr="00AE47C6">
        <w:rPr>
          <w:rFonts w:ascii="Times New Roman" w:eastAsia="SimSun" w:hAnsi="Times New Roman"/>
          <w:i/>
          <w:sz w:val="24"/>
          <w:szCs w:val="24"/>
        </w:rPr>
        <w:t>профилактика на флеботромбозите</w:t>
      </w:r>
      <w:r w:rsidRPr="00AE47C6">
        <w:rPr>
          <w:rFonts w:ascii="Times New Roman" w:eastAsia="SimSun" w:hAnsi="Times New Roman"/>
          <w:sz w:val="24"/>
          <w:szCs w:val="24"/>
        </w:rPr>
        <w:t xml:space="preserve"> на долните крайници и белодробната емболия с ниски дози </w:t>
      </w:r>
      <w:r w:rsidRPr="00AE47C6">
        <w:rPr>
          <w:rFonts w:ascii="Times New Roman" w:eastAsia="SimSun" w:hAnsi="Times New Roman"/>
          <w:i/>
          <w:sz w:val="24"/>
          <w:szCs w:val="24"/>
        </w:rPr>
        <w:t xml:space="preserve">Heparin </w:t>
      </w:r>
      <w:r w:rsidRPr="00AE47C6">
        <w:rPr>
          <w:rFonts w:ascii="Times New Roman" w:eastAsia="SimSun" w:hAnsi="Times New Roman"/>
          <w:sz w:val="24"/>
          <w:szCs w:val="24"/>
        </w:rPr>
        <w:t xml:space="preserve">или </w:t>
      </w:r>
      <w:r w:rsidRPr="00AE47C6">
        <w:rPr>
          <w:rFonts w:ascii="Times New Roman" w:eastAsia="SimSun" w:hAnsi="Times New Roman"/>
          <w:i/>
          <w:sz w:val="24"/>
          <w:szCs w:val="24"/>
        </w:rPr>
        <w:t>нискомолекулни хепарини</w:t>
      </w:r>
      <w:r w:rsidRPr="00AE47C6">
        <w:rPr>
          <w:rFonts w:ascii="Times New Roman" w:eastAsia="SimSun" w:hAnsi="Times New Roman"/>
          <w:sz w:val="24"/>
          <w:szCs w:val="24"/>
        </w:rPr>
        <w:t xml:space="preserve"> (Clexane – 20 – 40 mg/дн., Fraxiparin – 0,3 – 0,6 ml/дн.).</w:t>
      </w:r>
    </w:p>
    <w:p w14:paraId="2F834CCD"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Специфично лечение на синдрома засега не е известно</w:t>
      </w:r>
      <w:r w:rsidRPr="00AE47C6">
        <w:rPr>
          <w:rFonts w:ascii="Times New Roman" w:eastAsia="SimSun" w:hAnsi="Times New Roman"/>
          <w:sz w:val="24"/>
          <w:szCs w:val="24"/>
        </w:rPr>
        <w:t>. Препоръчва се въздържане от употреба на кортикостероидни препарати, поради липса на ефект, освен в някои случаи.</w:t>
      </w:r>
    </w:p>
    <w:p w14:paraId="5B262073"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u w:val="single"/>
          <w:shd w:val="clear" w:color="auto" w:fill="FFFFFF"/>
        </w:rPr>
        <w:t>Медикаментозно лечение</w:t>
      </w:r>
    </w:p>
    <w:p w14:paraId="60B7BCA8"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u w:val="single"/>
          <w:shd w:val="clear" w:color="auto" w:fill="FFFFFF"/>
        </w:rPr>
        <w:t>Първи избор</w:t>
      </w:r>
    </w:p>
    <w:p w14:paraId="03CD73EB"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shd w:val="clear" w:color="auto" w:fill="FFFFFF"/>
        </w:rPr>
        <w:t>Имуноглобулин i.v</w:t>
      </w:r>
      <w:r w:rsidRPr="00AE47C6">
        <w:rPr>
          <w:rFonts w:ascii="Times New Roman" w:eastAsia="SimSun" w:hAnsi="Times New Roman"/>
          <w:sz w:val="24"/>
          <w:szCs w:val="24"/>
          <w:shd w:val="clear" w:color="auto" w:fill="FFFFFF"/>
        </w:rPr>
        <w:t>. до 400 mg/kg / дневно - 5 последователни дни.</w:t>
      </w:r>
      <w:r w:rsidRPr="00AE47C6">
        <w:rPr>
          <w:rFonts w:ascii="Times New Roman" w:eastAsia="SimSun" w:hAnsi="Times New Roman"/>
          <w:sz w:val="24"/>
          <w:szCs w:val="24"/>
        </w:rPr>
        <w:t xml:space="preserve"> Индикации за прилагане има при пациенти със сигурна диагноза и тежки форми на полирадикулоневрит с двигателни нарушения (невъзможна походка, дихателни нарушения), които продължават да се влошават и давността на заболяването не превишава 3 седмици.</w:t>
      </w:r>
    </w:p>
    <w:p w14:paraId="7BE4ADA6"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u w:val="single"/>
          <w:shd w:val="clear" w:color="auto" w:fill="FFFFFF"/>
        </w:rPr>
        <w:t>Втори избор</w:t>
      </w:r>
    </w:p>
    <w:p w14:paraId="0EE6AAC0"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shd w:val="clear" w:color="auto" w:fill="FFFFFF"/>
        </w:rPr>
        <w:t xml:space="preserve">Плазмафереза </w:t>
      </w:r>
      <w:r w:rsidRPr="00AE47C6">
        <w:rPr>
          <w:rFonts w:ascii="Times New Roman" w:eastAsia="SimSun" w:hAnsi="Times New Roman"/>
          <w:sz w:val="24"/>
          <w:szCs w:val="24"/>
          <w:shd w:val="clear" w:color="auto" w:fill="FFFFFF"/>
        </w:rPr>
        <w:t xml:space="preserve">при контраиндикации за лечение с имуноглобулин. </w:t>
      </w:r>
      <w:r w:rsidRPr="00AE47C6">
        <w:rPr>
          <w:rFonts w:ascii="Times New Roman" w:eastAsia="SimSun" w:hAnsi="Times New Roman"/>
          <w:sz w:val="24"/>
          <w:szCs w:val="24"/>
        </w:rPr>
        <w:t>Препоръчва се екстракция на 200 – 500 ml/kg плазма за 4-6 сеанса през ден и замяна със солеви разтвор с 5% албумин.</w:t>
      </w:r>
    </w:p>
    <w:p w14:paraId="42313B87"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shd w:val="clear" w:color="auto" w:fill="FFFFFF"/>
        </w:rPr>
        <w:t>Кортикостероидите нямат сигурен ефект в резултати от клинични проучвания</w:t>
      </w:r>
    </w:p>
    <w:p w14:paraId="75C57139"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shd w:val="clear" w:color="auto" w:fill="FFFFFF"/>
        </w:rPr>
      </w:pPr>
      <w:r w:rsidRPr="00AE47C6">
        <w:rPr>
          <w:rFonts w:ascii="Times New Roman" w:eastAsia="SimSun" w:hAnsi="Times New Roman"/>
          <w:b/>
          <w:sz w:val="24"/>
          <w:szCs w:val="24"/>
          <w:u w:val="single"/>
          <w:shd w:val="clear" w:color="auto" w:fill="FFFFFF"/>
        </w:rPr>
        <w:t>Симптоматична терапия</w:t>
      </w:r>
      <w:r w:rsidRPr="00AE47C6">
        <w:rPr>
          <w:rFonts w:ascii="Times New Roman" w:eastAsia="SimSun" w:hAnsi="Times New Roman"/>
          <w:sz w:val="24"/>
          <w:szCs w:val="24"/>
          <w:shd w:val="clear" w:color="auto" w:fill="FFFFFF"/>
        </w:rPr>
        <w:t>:</w:t>
      </w:r>
    </w:p>
    <w:p w14:paraId="329586FA" w14:textId="77777777" w:rsidR="00BE0B19" w:rsidRPr="00AE47C6" w:rsidRDefault="00BE0B19" w:rsidP="00BE0B19">
      <w:pPr>
        <w:tabs>
          <w:tab w:val="left" w:pos="7938"/>
        </w:tabs>
        <w:spacing w:after="0" w:line="360" w:lineRule="auto"/>
        <w:jc w:val="both"/>
        <w:rPr>
          <w:rFonts w:ascii="Times New Roman" w:eastAsia="SimSun" w:hAnsi="Times New Roman"/>
          <w:i/>
          <w:sz w:val="24"/>
          <w:szCs w:val="24"/>
          <w:shd w:val="clear" w:color="auto" w:fill="FFFFFF"/>
        </w:rPr>
      </w:pPr>
      <w:r w:rsidRPr="00AE47C6">
        <w:rPr>
          <w:rFonts w:ascii="Times New Roman" w:eastAsia="SimSun" w:hAnsi="Times New Roman"/>
          <w:i/>
          <w:sz w:val="24"/>
          <w:szCs w:val="24"/>
          <w:shd w:val="clear" w:color="auto" w:fill="FFFFFF"/>
        </w:rPr>
        <w:t>нискомолекулни хепарини</w:t>
      </w:r>
    </w:p>
    <w:p w14:paraId="2D67F49F" w14:textId="77777777" w:rsidR="00BE0B19" w:rsidRPr="00AE47C6" w:rsidRDefault="00BE0B19" w:rsidP="00BE0B19">
      <w:pPr>
        <w:tabs>
          <w:tab w:val="left" w:pos="7938"/>
        </w:tabs>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shd w:val="clear" w:color="auto" w:fill="FFFFFF"/>
        </w:rPr>
        <w:t>лечение на невропатната болка:</w:t>
      </w:r>
    </w:p>
    <w:p w14:paraId="08203C66" w14:textId="77777777" w:rsidR="00BE0B19" w:rsidRPr="00AE47C6" w:rsidRDefault="00BE0B19" w:rsidP="00BE0B19">
      <w:pPr>
        <w:keepNext/>
        <w:keepLines/>
        <w:widowControl w:val="0"/>
        <w:spacing w:after="0" w:line="360" w:lineRule="auto"/>
        <w:contextualSpacing/>
        <w:jc w:val="both"/>
        <w:rPr>
          <w:rFonts w:ascii="Times New Roman" w:eastAsia="SimSun" w:hAnsi="Times New Roman"/>
          <w:sz w:val="24"/>
          <w:szCs w:val="24"/>
          <w:shd w:val="clear" w:color="auto" w:fill="FFFFFF"/>
        </w:rPr>
      </w:pPr>
      <w:r w:rsidRPr="00AE47C6">
        <w:rPr>
          <w:rFonts w:ascii="Times New Roman" w:eastAsia="SimSun" w:hAnsi="Times New Roman"/>
          <w:sz w:val="24"/>
          <w:szCs w:val="24"/>
          <w:shd w:val="clear" w:color="auto" w:fill="FFFFFF"/>
        </w:rPr>
        <w:t xml:space="preserve">средство на избор е </w:t>
      </w:r>
      <w:r w:rsidRPr="00AE47C6">
        <w:rPr>
          <w:rFonts w:ascii="Times New Roman" w:eastAsia="SimSun" w:hAnsi="Times New Roman"/>
          <w:i/>
          <w:sz w:val="24"/>
          <w:szCs w:val="24"/>
          <w:shd w:val="clear" w:color="auto" w:fill="FFFFFF"/>
        </w:rPr>
        <w:t>gabapentin</w:t>
      </w:r>
      <w:r w:rsidRPr="00AE47C6">
        <w:rPr>
          <w:rFonts w:ascii="Times New Roman" w:eastAsia="SimSun" w:hAnsi="Times New Roman"/>
          <w:sz w:val="24"/>
          <w:szCs w:val="24"/>
          <w:shd w:val="clear" w:color="auto" w:fill="FFFFFF"/>
        </w:rPr>
        <w:t xml:space="preserve"> 600-1800 mg/дневно</w:t>
      </w:r>
    </w:p>
    <w:p w14:paraId="57B9D737" w14:textId="77777777" w:rsidR="00BE0B19" w:rsidRPr="00AE47C6" w:rsidRDefault="00BE0B19" w:rsidP="00BE0B19">
      <w:pPr>
        <w:keepNext/>
        <w:keepLines/>
        <w:widowControl w:val="0"/>
        <w:spacing w:after="0" w:line="360" w:lineRule="auto"/>
        <w:contextualSpacing/>
        <w:jc w:val="both"/>
        <w:rPr>
          <w:rFonts w:ascii="Times New Roman" w:eastAsia="SimSun" w:hAnsi="Times New Roman"/>
          <w:sz w:val="24"/>
          <w:szCs w:val="24"/>
          <w:shd w:val="clear" w:color="auto" w:fill="FFFFFF"/>
        </w:rPr>
      </w:pPr>
      <w:r w:rsidRPr="00AE47C6">
        <w:rPr>
          <w:rFonts w:ascii="Times New Roman" w:eastAsia="SimSun" w:hAnsi="Times New Roman"/>
          <w:i/>
          <w:sz w:val="24"/>
          <w:szCs w:val="24"/>
          <w:shd w:val="clear" w:color="auto" w:fill="FFFFFF"/>
        </w:rPr>
        <w:t>Антидепресанти</w:t>
      </w:r>
      <w:r w:rsidRPr="00AE47C6">
        <w:rPr>
          <w:rFonts w:ascii="Times New Roman" w:eastAsia="SimSun" w:hAnsi="Times New Roman"/>
          <w:sz w:val="24"/>
          <w:szCs w:val="24"/>
          <w:shd w:val="clear" w:color="auto" w:fill="FFFFFF"/>
        </w:rPr>
        <w:t xml:space="preserve"> – втори избор - </w:t>
      </w:r>
      <w:r w:rsidRPr="00AE47C6">
        <w:rPr>
          <w:rFonts w:ascii="Times New Roman" w:eastAsia="SimSun" w:hAnsi="Times New Roman"/>
          <w:sz w:val="24"/>
          <w:szCs w:val="24"/>
        </w:rPr>
        <w:t xml:space="preserve">трициклични и със селективно инхибиране на обратния захват на серотонина и норадреналина: </w:t>
      </w:r>
    </w:p>
    <w:p w14:paraId="0F8241BC" w14:textId="77777777" w:rsidR="00BE0B19" w:rsidRPr="00AE47C6" w:rsidRDefault="00BE0B19" w:rsidP="00BE0B19">
      <w:pPr>
        <w:numPr>
          <w:ilvl w:val="0"/>
          <w:numId w:val="101"/>
        </w:numPr>
        <w:spacing w:after="0" w:line="360" w:lineRule="auto"/>
        <w:ind w:left="0" w:hanging="283"/>
        <w:contextualSpacing/>
        <w:jc w:val="both"/>
        <w:rPr>
          <w:rFonts w:ascii="Times New Roman" w:eastAsia="SimSun" w:hAnsi="Times New Roman"/>
          <w:sz w:val="24"/>
          <w:szCs w:val="24"/>
        </w:rPr>
      </w:pPr>
      <w:r w:rsidRPr="00AE47C6">
        <w:rPr>
          <w:rFonts w:ascii="Times New Roman" w:eastAsia="SimSun" w:hAnsi="Times New Roman"/>
          <w:i/>
          <w:sz w:val="24"/>
          <w:szCs w:val="24"/>
        </w:rPr>
        <w:t>Трициклични антидепресанти</w:t>
      </w:r>
      <w:r w:rsidRPr="00AE47C6">
        <w:rPr>
          <w:rFonts w:ascii="Times New Roman" w:eastAsia="SimSun" w:hAnsi="Times New Roman"/>
          <w:sz w:val="24"/>
          <w:szCs w:val="24"/>
        </w:rPr>
        <w:t>- Amitriptyline 12.5-75 mg/дневно- ефективен, със странични реакции</w:t>
      </w:r>
    </w:p>
    <w:p w14:paraId="13207A3A" w14:textId="77777777" w:rsidR="00BE0B19" w:rsidRPr="00AE47C6" w:rsidRDefault="00BE0B19" w:rsidP="00BE0B19">
      <w:pPr>
        <w:numPr>
          <w:ilvl w:val="0"/>
          <w:numId w:val="101"/>
        </w:numPr>
        <w:spacing w:after="0" w:line="360" w:lineRule="auto"/>
        <w:ind w:left="0" w:hanging="283"/>
        <w:contextualSpacing/>
        <w:jc w:val="both"/>
        <w:rPr>
          <w:rFonts w:ascii="Times New Roman" w:eastAsia="SimSun" w:hAnsi="Times New Roman"/>
          <w:sz w:val="24"/>
          <w:szCs w:val="24"/>
        </w:rPr>
      </w:pPr>
      <w:r w:rsidRPr="00AE47C6">
        <w:rPr>
          <w:rFonts w:ascii="Times New Roman" w:eastAsia="SimSun" w:hAnsi="Times New Roman"/>
          <w:i/>
          <w:sz w:val="24"/>
          <w:szCs w:val="24"/>
        </w:rPr>
        <w:t>Антидепресанти със селективно инхибиране на обратния захват на серотонина и норадреналина</w:t>
      </w:r>
      <w:r w:rsidRPr="00AE47C6">
        <w:rPr>
          <w:rFonts w:ascii="Times New Roman" w:eastAsia="SimSun" w:hAnsi="Times New Roman"/>
          <w:sz w:val="24"/>
          <w:szCs w:val="24"/>
        </w:rPr>
        <w:t xml:space="preserve">, ефективни, с по-малко странични реакции: </w:t>
      </w:r>
    </w:p>
    <w:p w14:paraId="5FFDCDFF" w14:textId="77777777" w:rsidR="00BE0B19" w:rsidRPr="00AE47C6" w:rsidRDefault="00BE0B19" w:rsidP="00BE0B19">
      <w:pPr>
        <w:numPr>
          <w:ilvl w:val="0"/>
          <w:numId w:val="66"/>
        </w:numPr>
        <w:spacing w:after="0" w:line="360" w:lineRule="auto"/>
        <w:ind w:left="0" w:firstLine="993"/>
        <w:jc w:val="both"/>
        <w:rPr>
          <w:rFonts w:ascii="Times New Roman" w:eastAsia="SimSun" w:hAnsi="Times New Roman"/>
          <w:sz w:val="24"/>
          <w:szCs w:val="24"/>
        </w:rPr>
      </w:pPr>
      <w:r w:rsidRPr="00AE47C6">
        <w:rPr>
          <w:rFonts w:ascii="Times New Roman" w:eastAsia="SimSun" w:hAnsi="Times New Roman"/>
          <w:i/>
          <w:sz w:val="24"/>
          <w:szCs w:val="24"/>
        </w:rPr>
        <w:t xml:space="preserve">Mirtazapine </w:t>
      </w:r>
      <w:r w:rsidRPr="00AE47C6">
        <w:rPr>
          <w:rFonts w:ascii="Times New Roman" w:eastAsia="SimSun" w:hAnsi="Times New Roman"/>
          <w:sz w:val="24"/>
          <w:szCs w:val="24"/>
        </w:rPr>
        <w:t>30-60 mg</w:t>
      </w:r>
    </w:p>
    <w:p w14:paraId="26D4A20E" w14:textId="77777777" w:rsidR="00BE0B19" w:rsidRPr="00AE47C6" w:rsidRDefault="00BE0B19" w:rsidP="00BE0B19">
      <w:pPr>
        <w:numPr>
          <w:ilvl w:val="0"/>
          <w:numId w:val="66"/>
        </w:numPr>
        <w:spacing w:after="0" w:line="360" w:lineRule="auto"/>
        <w:ind w:left="0" w:firstLine="993"/>
        <w:jc w:val="both"/>
        <w:rPr>
          <w:rFonts w:ascii="Times New Roman" w:eastAsia="SimSun" w:hAnsi="Times New Roman"/>
          <w:sz w:val="24"/>
          <w:szCs w:val="24"/>
        </w:rPr>
      </w:pPr>
      <w:r w:rsidRPr="00AE47C6">
        <w:rPr>
          <w:rFonts w:ascii="Times New Roman" w:eastAsia="SimSun" w:hAnsi="Times New Roman"/>
          <w:i/>
          <w:sz w:val="24"/>
          <w:szCs w:val="24"/>
        </w:rPr>
        <w:t xml:space="preserve">Duloxetine </w:t>
      </w:r>
      <w:r w:rsidRPr="00AE47C6">
        <w:rPr>
          <w:rFonts w:ascii="Times New Roman" w:eastAsia="SimSun" w:hAnsi="Times New Roman"/>
          <w:sz w:val="24"/>
          <w:szCs w:val="24"/>
        </w:rPr>
        <w:t xml:space="preserve">30 – 60 mg </w:t>
      </w:r>
    </w:p>
    <w:p w14:paraId="4659B493" w14:textId="77777777" w:rsidR="00BE0B19" w:rsidRPr="00AE47C6" w:rsidRDefault="00BE0B19" w:rsidP="00BE0B19">
      <w:pPr>
        <w:numPr>
          <w:ilvl w:val="0"/>
          <w:numId w:val="66"/>
        </w:numPr>
        <w:spacing w:after="0" w:line="360" w:lineRule="auto"/>
        <w:ind w:left="0" w:firstLine="993"/>
        <w:jc w:val="both"/>
        <w:rPr>
          <w:rFonts w:ascii="Times New Roman" w:eastAsia="SimSun" w:hAnsi="Times New Roman"/>
          <w:sz w:val="24"/>
          <w:szCs w:val="24"/>
        </w:rPr>
      </w:pPr>
      <w:r w:rsidRPr="00AE47C6">
        <w:rPr>
          <w:rFonts w:ascii="Times New Roman" w:eastAsia="SimSun" w:hAnsi="Times New Roman"/>
          <w:i/>
          <w:sz w:val="24"/>
          <w:szCs w:val="24"/>
        </w:rPr>
        <w:t xml:space="preserve">Milnacipran hydrochloride </w:t>
      </w:r>
      <w:r w:rsidRPr="00AE47C6">
        <w:rPr>
          <w:rFonts w:ascii="Times New Roman" w:eastAsia="SimSun" w:hAnsi="Times New Roman"/>
          <w:sz w:val="24"/>
          <w:szCs w:val="24"/>
        </w:rPr>
        <w:t xml:space="preserve">50-100 mg </w:t>
      </w:r>
    </w:p>
    <w:p w14:paraId="7A713BCC" w14:textId="77777777" w:rsidR="00BE0B19" w:rsidRPr="00AE47C6" w:rsidRDefault="00BE0B19" w:rsidP="00BE0B19">
      <w:pPr>
        <w:spacing w:after="0" w:line="360" w:lineRule="auto"/>
        <w:ind w:firstLine="720"/>
        <w:contextualSpacing/>
        <w:jc w:val="both"/>
        <w:rPr>
          <w:rFonts w:ascii="Times New Roman" w:eastAsia="SimSun" w:hAnsi="Times New Roman"/>
          <w:iCs/>
          <w:sz w:val="24"/>
          <w:szCs w:val="24"/>
        </w:rPr>
      </w:pPr>
      <w:r w:rsidRPr="00AE47C6">
        <w:rPr>
          <w:rFonts w:ascii="Times New Roman" w:eastAsia="SimSun" w:hAnsi="Times New Roman"/>
          <w:iCs/>
          <w:sz w:val="24"/>
          <w:szCs w:val="24"/>
        </w:rPr>
        <w:t xml:space="preserve">Лечение с </w:t>
      </w:r>
      <w:r w:rsidRPr="00AE47C6">
        <w:rPr>
          <w:rFonts w:ascii="Times New Roman" w:eastAsia="SimSun" w:hAnsi="Times New Roman"/>
          <w:i/>
          <w:iCs/>
          <w:sz w:val="24"/>
          <w:szCs w:val="24"/>
        </w:rPr>
        <w:t>терапевтична плазмафереза</w:t>
      </w:r>
      <w:r w:rsidRPr="00AE47C6">
        <w:rPr>
          <w:rFonts w:ascii="Times New Roman" w:eastAsia="SimSun" w:hAnsi="Times New Roman"/>
          <w:iCs/>
          <w:sz w:val="24"/>
          <w:szCs w:val="24"/>
        </w:rPr>
        <w:t xml:space="preserve"> при индикации - </w:t>
      </w:r>
      <w:r w:rsidRPr="00AE47C6">
        <w:rPr>
          <w:rFonts w:ascii="Times New Roman" w:eastAsia="SimSun" w:hAnsi="Times New Roman"/>
          <w:sz w:val="24"/>
          <w:szCs w:val="24"/>
        </w:rPr>
        <w:t>пациенти със сигурна диагноза и тежки форми на заболяването с дихателни и двигателни нарушения (невъзможна походка), които продължават да се влошават и давността на заболяването не превишава 3 седмици</w:t>
      </w:r>
      <w:r w:rsidRPr="00AE47C6">
        <w:rPr>
          <w:rFonts w:ascii="Times New Roman" w:eastAsia="SimSun" w:hAnsi="Times New Roman"/>
          <w:iCs/>
          <w:sz w:val="24"/>
          <w:szCs w:val="24"/>
        </w:rPr>
        <w:t xml:space="preserve"> (виж. Раздел 15 – Терапевтична плазмафереза).</w:t>
      </w:r>
    </w:p>
    <w:p w14:paraId="650FFD7D"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b/>
          <w:iCs/>
          <w:sz w:val="24"/>
          <w:szCs w:val="24"/>
        </w:rPr>
        <w:t xml:space="preserve">Прогнозата </w:t>
      </w:r>
      <w:r w:rsidRPr="00AE47C6">
        <w:rPr>
          <w:rFonts w:ascii="Times New Roman" w:eastAsia="SimSun" w:hAnsi="Times New Roman"/>
          <w:iCs/>
          <w:sz w:val="24"/>
          <w:szCs w:val="24"/>
        </w:rPr>
        <w:t>е благоприятна.</w:t>
      </w:r>
      <w:r w:rsidRPr="00AE47C6">
        <w:rPr>
          <w:rFonts w:ascii="Times New Roman" w:eastAsia="SimSun" w:hAnsi="Times New Roman"/>
          <w:sz w:val="24"/>
          <w:szCs w:val="24"/>
        </w:rPr>
        <w:t xml:space="preserve"> Около 80% от пациентите се възстановяват напълно, около 5-10% от остават с тежко ограничение на движенията. Възстановяването продължава от 6 месеца до 2 години. При 5-10% от пациентите има последващи нови пристъпи (1-2) на заболяването. Леталитетът е между 2 и 6%  поради сърдечни усложнения и белодробната емболия. </w:t>
      </w:r>
    </w:p>
    <w:p w14:paraId="317C9255" w14:textId="77777777" w:rsidR="00BE0B19" w:rsidRPr="00AE47C6" w:rsidRDefault="00BE0B19" w:rsidP="00BE0B19">
      <w:pPr>
        <w:keepNext/>
        <w:spacing w:before="240" w:after="240" w:line="240" w:lineRule="auto"/>
        <w:jc w:val="both"/>
        <w:outlineLvl w:val="3"/>
        <w:rPr>
          <w:rFonts w:ascii="Times New Roman" w:eastAsia="SimSun" w:hAnsi="Times New Roman"/>
          <w:b/>
          <w:bCs/>
          <w:sz w:val="24"/>
          <w:szCs w:val="28"/>
        </w:rPr>
      </w:pPr>
      <w:r w:rsidRPr="00AE47C6">
        <w:rPr>
          <w:rFonts w:ascii="Times New Roman" w:eastAsia="SimSun" w:hAnsi="Times New Roman"/>
          <w:b/>
          <w:bCs/>
          <w:sz w:val="24"/>
          <w:szCs w:val="28"/>
        </w:rPr>
        <w:t>2.2.1.2.</w:t>
      </w:r>
      <w:r w:rsidRPr="00AE47C6">
        <w:rPr>
          <w:rFonts w:ascii="Times New Roman" w:eastAsia="SimSun" w:hAnsi="Times New Roman"/>
          <w:b/>
          <w:bCs/>
          <w:sz w:val="24"/>
          <w:szCs w:val="28"/>
          <w:shd w:val="clear" w:color="auto" w:fill="FFFFFF"/>
        </w:rPr>
        <w:t xml:space="preserve"> Хронична възпалителна демиелинизираща полирадикулоневропатия (ХВДП)</w:t>
      </w:r>
    </w:p>
    <w:p w14:paraId="13068C4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Характеризира се с прогресиращо развитие на симетрична мускулна слабост в крайниците, най-малко в продължение на два месеца. </w:t>
      </w:r>
    </w:p>
    <w:p w14:paraId="7D3FC7D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Епидемиологията</w:t>
      </w:r>
      <w:r w:rsidRPr="00AE47C6">
        <w:rPr>
          <w:rFonts w:ascii="Times New Roman" w:eastAsia="SimSun" w:hAnsi="Times New Roman"/>
          <w:sz w:val="24"/>
          <w:szCs w:val="24"/>
        </w:rPr>
        <w:t xml:space="preserve"> не е добре проучена. Може да се срещне във всяка възраст, но най-често боледуват лицата между 50-60 години.</w:t>
      </w:r>
    </w:p>
    <w:p w14:paraId="12E1A932"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 xml:space="preserve">Класификация. </w:t>
      </w:r>
      <w:r w:rsidRPr="00AE47C6">
        <w:rPr>
          <w:rFonts w:ascii="Times New Roman" w:eastAsia="SimSun" w:hAnsi="Times New Roman"/>
          <w:sz w:val="24"/>
          <w:szCs w:val="24"/>
        </w:rPr>
        <w:t xml:space="preserve">Представлява хетерогенен синдром, съставен от няколко клинични варианти, които се различават от класическата ХВДП по клиничната си картина и терапевтично повлияване (табл. 2.2.). При 25% от пациентите се установява връзка с друго заболяване (парапротеинемия, лимфом и др.). Понастоящем всички придобити демиелинизиращи невропатии с неустановена етиология се причисляват към ХВДП. През последните години се обръща особено внимание на атипичните (асиметрични) варианти на ХВДП, тъй като тяхното недиагностициране изпуска благоприятната възможност да бъдат третирани с подходящо имуносупресивно лечение (интравенозен имуноглобулин или кортикостероиди). </w:t>
      </w:r>
    </w:p>
    <w:p w14:paraId="762497D6"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Табл. 2.2. Класификация на ХВДП</w:t>
      </w:r>
    </w:p>
    <w:tbl>
      <w:tblPr>
        <w:tblW w:w="9185" w:type="dxa"/>
        <w:tblInd w:w="-5" w:type="dxa"/>
        <w:tblLayout w:type="fixed"/>
        <w:tblLook w:val="0000" w:firstRow="0" w:lastRow="0" w:firstColumn="0" w:lastColumn="0" w:noHBand="0" w:noVBand="0"/>
      </w:tblPr>
      <w:tblGrid>
        <w:gridCol w:w="9185"/>
      </w:tblGrid>
      <w:tr w:rsidR="00BE0B19" w:rsidRPr="00AE47C6" w14:paraId="4C17A769" w14:textId="77777777" w:rsidTr="00AD72E5">
        <w:tc>
          <w:tcPr>
            <w:tcW w:w="9185" w:type="dxa"/>
            <w:tcBorders>
              <w:top w:val="single" w:sz="4" w:space="0" w:color="000000"/>
              <w:left w:val="single" w:sz="4" w:space="0" w:color="000000"/>
              <w:bottom w:val="single" w:sz="4" w:space="0" w:color="000000"/>
              <w:right w:val="single" w:sz="4" w:space="0" w:color="000000"/>
            </w:tcBorders>
          </w:tcPr>
          <w:p w14:paraId="74E1E12E"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 xml:space="preserve">Идиопатична (класическа) ХВДП – </w:t>
            </w:r>
            <w:r w:rsidRPr="00AE47C6">
              <w:rPr>
                <w:rFonts w:ascii="Times New Roman" w:eastAsia="SimSun" w:hAnsi="Times New Roman"/>
                <w:sz w:val="24"/>
                <w:szCs w:val="24"/>
              </w:rPr>
              <w:t>няма съпътстващо заболяване</w:t>
            </w:r>
          </w:p>
          <w:p w14:paraId="1888860B"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Атипични варианти на ХВДП:</w:t>
            </w:r>
          </w:p>
          <w:p w14:paraId="488B0FD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iCs/>
                <w:sz w:val="24"/>
                <w:szCs w:val="24"/>
              </w:rPr>
              <w:t>- Мултифокална моторна невропатия (ММН)</w:t>
            </w:r>
            <w:r w:rsidRPr="00AE47C6">
              <w:rPr>
                <w:rFonts w:ascii="Times New Roman" w:eastAsia="SimSun" w:hAnsi="Times New Roman"/>
                <w:b/>
                <w:bCs/>
                <w:sz w:val="24"/>
                <w:szCs w:val="24"/>
              </w:rPr>
              <w:t xml:space="preserve"> - </w:t>
            </w:r>
            <w:r w:rsidRPr="00AE47C6">
              <w:rPr>
                <w:rFonts w:ascii="Times New Roman" w:eastAsia="SimSun" w:hAnsi="Times New Roman"/>
                <w:sz w:val="24"/>
                <w:szCs w:val="24"/>
              </w:rPr>
              <w:t>асиметрична, чисто моторна;</w:t>
            </w:r>
          </w:p>
          <w:p w14:paraId="19EC702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w:t>
            </w:r>
            <w:r w:rsidRPr="00AE47C6">
              <w:rPr>
                <w:rFonts w:ascii="Times New Roman" w:eastAsia="SimSun" w:hAnsi="Times New Roman"/>
                <w:iCs/>
                <w:sz w:val="24"/>
                <w:szCs w:val="24"/>
              </w:rPr>
              <w:t>Мултифокална придобита демиелинизираща сетивно-моторна невропатия (Lewis-Sumner синдром)</w:t>
            </w:r>
            <w:r w:rsidRPr="00AE47C6">
              <w:rPr>
                <w:rFonts w:ascii="Times New Roman" w:eastAsia="SimSun" w:hAnsi="Times New Roman"/>
                <w:sz w:val="24"/>
                <w:szCs w:val="24"/>
              </w:rPr>
              <w:t xml:space="preserve"> – асиметрична, сетивно-моторна;</w:t>
            </w:r>
          </w:p>
          <w:p w14:paraId="1E9713A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w:t>
            </w:r>
            <w:r w:rsidRPr="00AE47C6">
              <w:rPr>
                <w:rFonts w:ascii="Times New Roman" w:eastAsia="SimSun" w:hAnsi="Times New Roman"/>
                <w:iCs/>
                <w:sz w:val="24"/>
                <w:szCs w:val="24"/>
              </w:rPr>
              <w:t xml:space="preserve">Дистална придобита демиелинизираща симетрична невропатия </w:t>
            </w:r>
            <w:r w:rsidRPr="00AE47C6">
              <w:rPr>
                <w:rFonts w:ascii="Times New Roman" w:eastAsia="SimSun" w:hAnsi="Times New Roman"/>
                <w:sz w:val="24"/>
                <w:szCs w:val="24"/>
              </w:rPr>
              <w:t>– симетрична, дистална, сетивно-моторна;</w:t>
            </w:r>
          </w:p>
          <w:p w14:paraId="24D8FFAD"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sz w:val="24"/>
                <w:szCs w:val="24"/>
              </w:rPr>
              <w:t>- К</w:t>
            </w:r>
            <w:r w:rsidRPr="00AE47C6">
              <w:rPr>
                <w:rFonts w:ascii="Times New Roman" w:eastAsia="SimSun" w:hAnsi="Times New Roman"/>
                <w:iCs/>
                <w:sz w:val="24"/>
                <w:szCs w:val="24"/>
              </w:rPr>
              <w:t>раниален полиневрит;</w:t>
            </w:r>
          </w:p>
          <w:p w14:paraId="33D550D0"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 Брахиална или лумбосакрална радикулоплексусна невропатия;</w:t>
            </w:r>
          </w:p>
          <w:p w14:paraId="198A018C"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 Множествена мононевропатия;</w:t>
            </w:r>
          </w:p>
          <w:p w14:paraId="5E6A245C"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 Съчетание на централна и периферна демиелинизация;</w:t>
            </w:r>
          </w:p>
          <w:p w14:paraId="2901C8B9"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 Чисто сетивни невропатии;</w:t>
            </w:r>
          </w:p>
          <w:p w14:paraId="447E18E1"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ХВДП асоциирана с друго заболяване:</w:t>
            </w:r>
          </w:p>
          <w:p w14:paraId="348D480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HIV инфекция</w:t>
            </w:r>
          </w:p>
          <w:p w14:paraId="2B10272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Лимфопролиферативни заболявания (лимфом на Hodgkin);</w:t>
            </w:r>
          </w:p>
          <w:p w14:paraId="25BAE66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Моноклонална или биклонална гамапатии (макроглобулинемия, POEMS синдром);</w:t>
            </w:r>
          </w:p>
          <w:p w14:paraId="0E24B73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Моноклонална гамопатия от неопределена значимост – най-често от IgM, IgG и IgA тип;</w:t>
            </w:r>
          </w:p>
          <w:p w14:paraId="319641C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Системен lupus erythematosus;</w:t>
            </w:r>
          </w:p>
          <w:p w14:paraId="6C6645F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Захарен диабет;</w:t>
            </w:r>
          </w:p>
          <w:p w14:paraId="2A97B47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Хроничен активен хепатит В или С;</w:t>
            </w:r>
          </w:p>
          <w:p w14:paraId="18F2B32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Възпалителни заболявания на червата (болест на Crohn);</w:t>
            </w:r>
          </w:p>
          <w:p w14:paraId="31D010C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Тиреотоксикоза;</w:t>
            </w:r>
          </w:p>
          <w:p w14:paraId="161F5BF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Демиелинизация на ЦНС.</w:t>
            </w:r>
          </w:p>
        </w:tc>
      </w:tr>
    </w:tbl>
    <w:p w14:paraId="427E4614"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p>
    <w:p w14:paraId="01534C6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 xml:space="preserve">Етиологията и патогенезата </w:t>
      </w:r>
      <w:r w:rsidRPr="00AE47C6">
        <w:rPr>
          <w:rFonts w:ascii="Times New Roman" w:eastAsia="SimSun" w:hAnsi="Times New Roman"/>
          <w:sz w:val="24"/>
          <w:szCs w:val="24"/>
        </w:rPr>
        <w:t>не са неизвестни. Най-вероятно е свързана както с антитяло медиирани, така и с Т-клетъчно медиирани автоимунни реакции. За разлика от ОВДП, често започваща след вирусна инфекция, при ХВДП се открива връзка с HLA антигени.</w:t>
      </w:r>
    </w:p>
    <w:p w14:paraId="73A7BF4C"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 xml:space="preserve">Клиничната картина </w:t>
      </w:r>
      <w:r w:rsidRPr="00AE47C6">
        <w:rPr>
          <w:rFonts w:ascii="Times New Roman" w:eastAsia="SimSun" w:hAnsi="Times New Roman"/>
          <w:iCs/>
          <w:sz w:val="24"/>
          <w:szCs w:val="24"/>
        </w:rPr>
        <w:t xml:space="preserve">се характеризира с </w:t>
      </w:r>
      <w:r w:rsidRPr="00AE47C6">
        <w:rPr>
          <w:rFonts w:ascii="Times New Roman" w:eastAsia="SimSun" w:hAnsi="Times New Roman"/>
          <w:sz w:val="24"/>
          <w:szCs w:val="24"/>
        </w:rPr>
        <w:t>постепенно и бавно развитие на слабост в проксималните и дистални мускулни групи на долните и по-рядко на горните крайници. Максималният неврологичен дефицит се достига след 8 или повече седмици от началото на неврологичната симптоматика. При 15% от пациентите заболяването започва остро, като ОВДП и после променя своя клиничен ход. Възможно е и асиметрично или от горните крайници. Мускулните хипотрофии са слабо изразени. Сетивните нарушения са по-отчетливи в сравнение с ОВДП. Засягането на КН се среща по-рядко (10-15% от случаите). Периферни автономни нарушения има в 20%, а огнищна неврологична симптоматика от страна на ЦНС – в 10% от случаите. При някои пациенти има тремор в ръцете.</w:t>
      </w:r>
    </w:p>
    <w:p w14:paraId="0562AE5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Клиничният ход</w:t>
      </w:r>
      <w:r w:rsidRPr="00AE47C6">
        <w:rPr>
          <w:rFonts w:ascii="Times New Roman" w:eastAsia="SimSun" w:hAnsi="Times New Roman"/>
          <w:sz w:val="24"/>
          <w:szCs w:val="24"/>
        </w:rPr>
        <w:t xml:space="preserve"> на заболяването е прогресиращ, стъпаловидно-прогресиращ или пристъпен. </w:t>
      </w:r>
    </w:p>
    <w:p w14:paraId="35C60110"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 xml:space="preserve">Диагнозата </w:t>
      </w:r>
      <w:r w:rsidRPr="00AE47C6">
        <w:rPr>
          <w:rFonts w:ascii="Times New Roman" w:eastAsia="SimSun" w:hAnsi="Times New Roman"/>
          <w:iCs/>
          <w:sz w:val="24"/>
          <w:szCs w:val="24"/>
        </w:rPr>
        <w:t xml:space="preserve">се поставя чрез </w:t>
      </w:r>
      <w:r w:rsidRPr="00AE47C6">
        <w:rPr>
          <w:rFonts w:ascii="Times New Roman" w:eastAsia="SimSun" w:hAnsi="Times New Roman"/>
          <w:sz w:val="24"/>
          <w:szCs w:val="24"/>
        </w:rPr>
        <w:t>клинични, ликворологични, електродиагностични и патоморфологични критерии. Тяхното изпълнение определя нивото на диагностична сигурност – възможна, вероятна и сигурна ХВДП.</w:t>
      </w:r>
    </w:p>
    <w:p w14:paraId="0823A007"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i/>
          <w:sz w:val="24"/>
          <w:szCs w:val="24"/>
        </w:rPr>
        <w:t xml:space="preserve">Задължителните клинични критерии </w:t>
      </w:r>
      <w:r w:rsidRPr="00AE47C6">
        <w:rPr>
          <w:rFonts w:ascii="Times New Roman" w:eastAsia="SimSun" w:hAnsi="Times New Roman"/>
          <w:sz w:val="24"/>
          <w:szCs w:val="24"/>
        </w:rPr>
        <w:t xml:space="preserve">са: развитие на симетрична проксимална и дистална мускулна слабост в повече от един крайник, съчетана със сухожилна хипо- до арефлексия и прогресия на заболяването над 2 месеца. </w:t>
      </w:r>
    </w:p>
    <w:p w14:paraId="59BEDE8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i/>
          <w:sz w:val="24"/>
          <w:szCs w:val="24"/>
        </w:rPr>
        <w:t>- Ликворологични критерии</w:t>
      </w:r>
      <w:r w:rsidRPr="00AE47C6">
        <w:rPr>
          <w:rFonts w:ascii="Times New Roman" w:eastAsia="SimSun" w:hAnsi="Times New Roman"/>
          <w:sz w:val="24"/>
          <w:szCs w:val="24"/>
        </w:rPr>
        <w:t xml:space="preserve"> – установяване на данни за белтъчно-клетъчна дисоциация в лумбалния ликвор (белтък &gt; 45 mg% клетки &lt; 10 mm</w:t>
      </w:r>
      <w:r w:rsidRPr="00AE47C6">
        <w:rPr>
          <w:rFonts w:ascii="Times New Roman" w:eastAsia="SimSun" w:hAnsi="Times New Roman"/>
          <w:sz w:val="24"/>
          <w:szCs w:val="24"/>
          <w:vertAlign w:val="superscript"/>
        </w:rPr>
        <w:t>3</w:t>
      </w:r>
      <w:r w:rsidRPr="00AE47C6">
        <w:rPr>
          <w:rFonts w:ascii="Times New Roman" w:eastAsia="SimSun" w:hAnsi="Times New Roman"/>
          <w:sz w:val="24"/>
          <w:szCs w:val="24"/>
        </w:rPr>
        <w:t xml:space="preserve">). </w:t>
      </w:r>
    </w:p>
    <w:p w14:paraId="0A6B7414" w14:textId="77777777" w:rsidR="00BE0B19" w:rsidRPr="00AE47C6" w:rsidRDefault="00BE0B19" w:rsidP="00BE0B19">
      <w:pPr>
        <w:tabs>
          <w:tab w:val="left" w:pos="7938"/>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sz w:val="24"/>
          <w:szCs w:val="24"/>
        </w:rPr>
        <w:t xml:space="preserve">- </w:t>
      </w:r>
      <w:r w:rsidRPr="00AE47C6">
        <w:rPr>
          <w:rFonts w:ascii="Times New Roman" w:eastAsia="SimSun" w:hAnsi="Times New Roman"/>
          <w:b/>
          <w:bCs/>
          <w:i/>
          <w:sz w:val="24"/>
          <w:szCs w:val="24"/>
        </w:rPr>
        <w:t xml:space="preserve">Електромиографските критерии </w:t>
      </w:r>
      <w:r w:rsidRPr="00AE47C6">
        <w:rPr>
          <w:rFonts w:ascii="Times New Roman" w:eastAsia="SimSun" w:hAnsi="Times New Roman"/>
          <w:sz w:val="24"/>
          <w:szCs w:val="24"/>
        </w:rPr>
        <w:t xml:space="preserve">са задължителни за поставяне на диагнозата. В сравнение със СГБ, при пациентите с ХВДП се установява значително по-забавена скорост на провеждане по двигателните и сетивни влакна на периферните нерви, по-силно изразен частичен блок на провеждане по двигателните влакна или абнормни темпорална дисперсия, F-вълни и дистални латенции. По-често се регистрират данни за денервация и силно разредени записи при иглената ЕМГ. </w:t>
      </w:r>
    </w:p>
    <w:p w14:paraId="5750DBF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sz w:val="24"/>
          <w:szCs w:val="24"/>
        </w:rPr>
        <w:t xml:space="preserve">- </w:t>
      </w:r>
      <w:r w:rsidRPr="00AE47C6">
        <w:rPr>
          <w:rFonts w:ascii="Times New Roman" w:eastAsia="SimSun" w:hAnsi="Times New Roman"/>
          <w:b/>
          <w:bCs/>
          <w:i/>
          <w:sz w:val="24"/>
          <w:szCs w:val="24"/>
        </w:rPr>
        <w:t>Хистологични критерии</w:t>
      </w:r>
      <w:r w:rsidRPr="00AE47C6">
        <w:rPr>
          <w:rFonts w:ascii="Times New Roman" w:eastAsia="SimSun" w:hAnsi="Times New Roman"/>
          <w:sz w:val="24"/>
          <w:szCs w:val="24"/>
        </w:rPr>
        <w:t xml:space="preserve"> – данни за демиелинизация, ремиелинизация и възпалителна инфилтрация. Те са задължителни за поставяне на сигурна диагноза според ААN критериите и подкрепящи диагнозата според D. Sapestein и съавт. (2001 г.). В случаите, когато степента на сигурност на диагнозата е “възможна” (не са изпълнени ЕМГ и ликворологични критерии), се препоръчва биопсия на периферен нерв с оглед изключване на други заболявания.</w:t>
      </w:r>
    </w:p>
    <w:p w14:paraId="54143FA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Диференциална диагноза</w:t>
      </w:r>
      <w:r w:rsidRPr="00AE47C6">
        <w:rPr>
          <w:rFonts w:ascii="Times New Roman" w:eastAsia="SimSun" w:hAnsi="Times New Roman"/>
          <w:b/>
          <w:i/>
          <w:iCs/>
          <w:sz w:val="24"/>
          <w:szCs w:val="24"/>
        </w:rPr>
        <w:t xml:space="preserve">. </w:t>
      </w:r>
      <w:r w:rsidRPr="00AE47C6">
        <w:rPr>
          <w:rFonts w:ascii="Times New Roman" w:eastAsia="SimSun" w:hAnsi="Times New Roman"/>
          <w:sz w:val="24"/>
          <w:szCs w:val="24"/>
        </w:rPr>
        <w:t xml:space="preserve">Пациентите с идиопатична и ХВДП се диференцират от ХВДП, свързана с друго заболяване (LED, HIV инфекция, моноклонална гамапатия, макроглобулинемия на Waldenstrom, остеосклеротичен миелом, POEMS синдром, хроничен активен хепатит, възпалително заболяване на червата и лимфом на Hodgkin). Необходимо е провеждане на съответните изследвания за изключване на изброените заболявания. </w:t>
      </w:r>
    </w:p>
    <w:p w14:paraId="27DA626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 xml:space="preserve">Лечението </w:t>
      </w:r>
      <w:r w:rsidRPr="00AE47C6">
        <w:rPr>
          <w:rFonts w:ascii="Times New Roman" w:eastAsia="SimSun" w:hAnsi="Times New Roman"/>
          <w:sz w:val="24"/>
          <w:szCs w:val="24"/>
        </w:rPr>
        <w:t xml:space="preserve">се провежда с кортикостероиди, плазмафереза и интравенозен имуноглобулин. </w:t>
      </w:r>
    </w:p>
    <w:p w14:paraId="7FFDCB8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shd w:val="clear" w:color="auto" w:fill="FFFFFF"/>
        </w:rPr>
        <w:t xml:space="preserve">- Methylprednisolone </w:t>
      </w:r>
      <w:r w:rsidRPr="00AE47C6">
        <w:rPr>
          <w:rFonts w:ascii="Times New Roman" w:eastAsia="SimSun" w:hAnsi="Times New Roman"/>
          <w:sz w:val="24"/>
          <w:szCs w:val="24"/>
          <w:shd w:val="clear" w:color="auto" w:fill="FFFFFF"/>
        </w:rPr>
        <w:t>– 80 – 120 mg/дн. i.v. в продължение на две седмици с постепенно намаляване на дневната доза и преминаване към перорален приемна Prednisone. Всеки месец дневната доза се намалява с 20 mg до достигане на минималната ефективна доза, обикновено 20-40 mg дневно. Лечението трябва да продължи поне 9 месеца.</w:t>
      </w:r>
      <w:r w:rsidRPr="00AE47C6">
        <w:rPr>
          <w:rFonts w:ascii="Times New Roman" w:eastAsia="SimSun" w:hAnsi="Times New Roman"/>
          <w:sz w:val="24"/>
          <w:szCs w:val="24"/>
        </w:rPr>
        <w:t xml:space="preserve"> По-ранното прекратяване на лечението води до нов пристъп. За продължителен период от време може да се провежда поддържащо лечение от 0,5 – 0,75 mg/kg/дн. Остеопорозата с вертебрални компресионни фрактури и катарактата са най-честите усложнения от дългосрочното лечение.</w:t>
      </w:r>
    </w:p>
    <w:p w14:paraId="4674F5A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shd w:val="clear" w:color="auto" w:fill="FFFFFF"/>
        </w:rPr>
        <w:t xml:space="preserve">- </w:t>
      </w:r>
      <w:r w:rsidRPr="00AE47C6">
        <w:rPr>
          <w:rFonts w:ascii="Times New Roman" w:eastAsia="SimSun" w:hAnsi="Times New Roman"/>
          <w:i/>
          <w:sz w:val="24"/>
          <w:szCs w:val="24"/>
          <w:shd w:val="clear" w:color="auto" w:fill="FFFFFF"/>
        </w:rPr>
        <w:t>К</w:t>
      </w:r>
      <w:r w:rsidRPr="00AE47C6">
        <w:rPr>
          <w:rFonts w:ascii="Times New Roman" w:eastAsia="SimSun" w:hAnsi="Times New Roman"/>
          <w:i/>
          <w:sz w:val="24"/>
          <w:szCs w:val="24"/>
        </w:rPr>
        <w:t>омбинирано лечение с Prednisone и плазмафереза</w:t>
      </w:r>
      <w:r w:rsidRPr="00AE47C6">
        <w:rPr>
          <w:rFonts w:ascii="Times New Roman" w:eastAsia="SimSun" w:hAnsi="Times New Roman"/>
          <w:sz w:val="24"/>
          <w:szCs w:val="24"/>
        </w:rPr>
        <w:t xml:space="preserve"> при липса на ефект от 4 седмично лечение с Prednisone или влошаване или странични ефекти </w:t>
      </w:r>
    </w:p>
    <w:p w14:paraId="1000966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 </w:t>
      </w:r>
      <w:r w:rsidRPr="00AE47C6">
        <w:rPr>
          <w:rFonts w:ascii="Times New Roman" w:eastAsia="SimSun" w:hAnsi="Times New Roman"/>
          <w:i/>
          <w:sz w:val="24"/>
          <w:szCs w:val="24"/>
        </w:rPr>
        <w:t>Плазмафереза</w:t>
      </w:r>
      <w:r w:rsidRPr="00AE47C6">
        <w:rPr>
          <w:rFonts w:ascii="Times New Roman" w:eastAsia="SimSun" w:hAnsi="Times New Roman"/>
          <w:sz w:val="24"/>
          <w:szCs w:val="24"/>
        </w:rPr>
        <w:t xml:space="preserve"> се провежда два пъти седмично в продължение на 3 - 6 седмици, след което се повтаря в зависимост от влошаването на пациента (Виж Раздел 15. Терапевтична плазмафереза)</w:t>
      </w:r>
    </w:p>
    <w:p w14:paraId="0197CB7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shd w:val="clear" w:color="auto" w:fill="FFFFFF"/>
        </w:rPr>
        <w:t xml:space="preserve">- </w:t>
      </w:r>
      <w:r w:rsidRPr="00AE47C6">
        <w:rPr>
          <w:rFonts w:ascii="Times New Roman" w:eastAsia="SimSun" w:hAnsi="Times New Roman"/>
          <w:i/>
          <w:sz w:val="24"/>
          <w:szCs w:val="24"/>
        </w:rPr>
        <w:t>Интравенозен имунен глобулин</w:t>
      </w:r>
      <w:r w:rsidRPr="00AE47C6">
        <w:rPr>
          <w:rFonts w:ascii="Times New Roman" w:eastAsia="SimSun" w:hAnsi="Times New Roman"/>
          <w:sz w:val="24"/>
          <w:szCs w:val="24"/>
        </w:rPr>
        <w:t xml:space="preserve"> - 0,5 до 2 g/kg/дн. в продължение на 4 - 5 дни. Тези пациенти, които отговарят добре на лечението, могат да получат инфузии с единична доза от 0,5g/kg/дн. на интервали, зависещи от състоянието им. Това лечение рядко предизвиква сериозни странични ефекти, но трябва да се провежда внимателно при бъбречна недостатъчност.</w:t>
      </w:r>
    </w:p>
    <w:p w14:paraId="37661F8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shd w:val="clear" w:color="auto" w:fill="FFFFFF"/>
        </w:rPr>
        <w:t>- Azathioprine</w:t>
      </w:r>
      <w:r w:rsidRPr="00AE47C6">
        <w:rPr>
          <w:rFonts w:ascii="Times New Roman" w:eastAsia="SimSun" w:hAnsi="Times New Roman"/>
          <w:sz w:val="24"/>
          <w:szCs w:val="24"/>
          <w:shd w:val="clear" w:color="auto" w:fill="FFFFFF"/>
        </w:rPr>
        <w:t xml:space="preserve"> 3 mg/kg дн. в продължение на 3 месеца може да се приложи при липса на ефект.</w:t>
      </w:r>
    </w:p>
    <w:p w14:paraId="63D347F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 xml:space="preserve">Прогноза. </w:t>
      </w:r>
      <w:r w:rsidRPr="00AE47C6">
        <w:rPr>
          <w:rFonts w:ascii="Times New Roman" w:eastAsia="SimSun" w:hAnsi="Times New Roman"/>
          <w:sz w:val="24"/>
          <w:szCs w:val="24"/>
        </w:rPr>
        <w:t>След проведеното лечение 95% от болните се подобряват временно. След това само 40% от тях остават в пълна или частична ремисия, без да се лекуват. По-добра е прогнозата при пациенти със спонтанни ремисии, отколкото с прогресиращ ход на заболяването.</w:t>
      </w:r>
    </w:p>
    <w:p w14:paraId="3B7CCB90"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2.2.1.3. Мултифокална моторна невропатия с блок в проводимостта (ММН)</w:t>
      </w:r>
    </w:p>
    <w:p w14:paraId="3D9A1E5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Разделя се на две групи – мултифокална моторна невропатия (ММН) и мултифокален блок в провеждането. Между тях съществуват клинични, ЕМГ и имунологични разлики, но въпреки това се разграничават трудно. Описани над 300 случая. </w:t>
      </w:r>
    </w:p>
    <w:p w14:paraId="5C89DC7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Етиологията</w:t>
      </w:r>
      <w:r w:rsidRPr="00AE47C6">
        <w:rPr>
          <w:rFonts w:ascii="Times New Roman" w:eastAsia="SimSun" w:hAnsi="Times New Roman"/>
          <w:sz w:val="24"/>
          <w:szCs w:val="24"/>
        </w:rPr>
        <w:t xml:space="preserve"> не е известна. При 50% от пациентите е повишен титъра на IgM антителата към G</w:t>
      </w:r>
      <w:r w:rsidRPr="00AE47C6">
        <w:rPr>
          <w:rFonts w:ascii="Times New Roman" w:eastAsia="SimSun" w:hAnsi="Times New Roman"/>
          <w:sz w:val="24"/>
          <w:szCs w:val="24"/>
          <w:vertAlign w:val="subscript"/>
        </w:rPr>
        <w:t>M1</w:t>
      </w:r>
      <w:r w:rsidRPr="00AE47C6">
        <w:rPr>
          <w:rFonts w:ascii="Times New Roman" w:eastAsia="SimSun" w:hAnsi="Times New Roman"/>
          <w:sz w:val="24"/>
          <w:szCs w:val="24"/>
        </w:rPr>
        <w:t xml:space="preserve"> ганглиозид на периферния миелин. Възможна е принадлежността му към парапротеинемичните полиневропатии.</w:t>
      </w:r>
    </w:p>
    <w:p w14:paraId="2FDAE52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 xml:space="preserve">Клинично </w:t>
      </w:r>
      <w:r w:rsidRPr="00AE47C6">
        <w:rPr>
          <w:rFonts w:ascii="Times New Roman" w:eastAsia="SimSun" w:hAnsi="Times New Roman"/>
          <w:iCs/>
          <w:sz w:val="24"/>
          <w:szCs w:val="24"/>
        </w:rPr>
        <w:t xml:space="preserve">протича много сходно на АЛС. </w:t>
      </w:r>
      <w:r w:rsidRPr="00AE47C6">
        <w:rPr>
          <w:rFonts w:ascii="Times New Roman" w:eastAsia="SimSun" w:hAnsi="Times New Roman"/>
          <w:sz w:val="24"/>
          <w:szCs w:val="24"/>
        </w:rPr>
        <w:t xml:space="preserve">Засяга предимно мъжете (80%), във възрастовия диапазон 20-50 години (80%). Остро или подостро се развива моторна мононевропатия в горни или долни крайници (увисване на китката или стъпалото), засягат се и други периферни нерви. Въвличането на КН не е характерно. Липсват болки и автономни разстройства. Оформят се асиметрична, предимно дистална слабост и мускулни хипотрофии, единични фасцикулации и крампи, които засягат предимно ръцете. Сухожилните рефлекси може да са потиснати или нормални. Типична е липсата на сетивен дефицит при клиничното и ЕМГ изследване. При някои пациенти с мултифокален блок на проводимостта може да има клинични и ЕМГ сетивни нарушения в областта на моторния блок. В тези случаи клиничната картина наподобява повече ХВДП. Липсват болки и автономни разстройства. Белези от засягане на централния двигателен неврон не се установяват. Заболяването е с хронично-ремитентно или по-често с бавно хронично - прогредиентно протичане. </w:t>
      </w:r>
    </w:p>
    <w:p w14:paraId="7B958D3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Диагноза</w:t>
      </w:r>
      <w:r w:rsidRPr="00AE47C6">
        <w:rPr>
          <w:rFonts w:ascii="Times New Roman" w:eastAsia="SimSun" w:hAnsi="Times New Roman"/>
          <w:b/>
          <w:sz w:val="24"/>
          <w:szCs w:val="24"/>
        </w:rPr>
        <w:t xml:space="preserve">та </w:t>
      </w:r>
      <w:r w:rsidRPr="00AE47C6">
        <w:rPr>
          <w:rFonts w:ascii="Times New Roman" w:eastAsia="SimSun" w:hAnsi="Times New Roman"/>
          <w:sz w:val="24"/>
          <w:szCs w:val="24"/>
        </w:rPr>
        <w:t xml:space="preserve">се поставя според характерните клинични, ликворологични и ЕМГ критерии. Характерен неврографски белег за заболяването са белезите за демиелинизация – </w:t>
      </w:r>
      <w:r w:rsidRPr="00AE47C6">
        <w:rPr>
          <w:rFonts w:ascii="Times New Roman" w:eastAsia="SimSun" w:hAnsi="Times New Roman"/>
          <w:iCs/>
          <w:sz w:val="24"/>
          <w:szCs w:val="24"/>
        </w:rPr>
        <w:t xml:space="preserve">персистиращият мултифокален частичен блок на провеждане по двигателните влакна на периферните нерви (при ММН) или блок на проводимостта по смесени нерви. </w:t>
      </w:r>
      <w:r w:rsidRPr="00AE47C6">
        <w:rPr>
          <w:rFonts w:ascii="Times New Roman" w:eastAsia="SimSun" w:hAnsi="Times New Roman"/>
          <w:sz w:val="24"/>
          <w:szCs w:val="24"/>
        </w:rPr>
        <w:t>Те са основен диференциално-диагностичен белег за различаването му от мотоневронните заболявания. Сетивните влакна остават незасегнати. ЕМГ изследването не показва патологични отклонения. Ликворният белтък обикновено е в референтни граници.</w:t>
      </w:r>
    </w:p>
    <w:p w14:paraId="3357497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Добрият терапевтичен ефект от лечение с интравенозен имуноглобулин или cyclophosphamide подкрепят диагнозата. </w:t>
      </w:r>
    </w:p>
    <w:p w14:paraId="36AAA6B6" w14:textId="77777777" w:rsidR="00BE0B19" w:rsidRPr="00AE47C6" w:rsidRDefault="00BE0B19" w:rsidP="00BE0B19">
      <w:pPr>
        <w:spacing w:after="0" w:line="360" w:lineRule="auto"/>
        <w:ind w:firstLine="709"/>
        <w:jc w:val="both"/>
        <w:rPr>
          <w:rFonts w:ascii="Times New Roman" w:eastAsia="SimSun" w:hAnsi="Times New Roman"/>
          <w:i/>
          <w:iCs/>
          <w:sz w:val="24"/>
          <w:szCs w:val="24"/>
        </w:rPr>
      </w:pPr>
      <w:r w:rsidRPr="00AE47C6">
        <w:rPr>
          <w:rFonts w:ascii="Times New Roman" w:eastAsia="SimSun" w:hAnsi="Times New Roman"/>
          <w:b/>
          <w:iCs/>
          <w:sz w:val="24"/>
          <w:szCs w:val="24"/>
        </w:rPr>
        <w:t>Диференциалната диагноза</w:t>
      </w:r>
      <w:r w:rsidRPr="00AE47C6">
        <w:rPr>
          <w:rFonts w:ascii="Times New Roman" w:eastAsia="SimSun" w:hAnsi="Times New Roman"/>
          <w:sz w:val="24"/>
          <w:szCs w:val="24"/>
        </w:rPr>
        <w:t xml:space="preserve"> налага да се изключат </w:t>
      </w:r>
      <w:r w:rsidRPr="00AE47C6">
        <w:rPr>
          <w:rFonts w:ascii="Times New Roman" w:eastAsia="SimSun" w:hAnsi="Times New Roman"/>
          <w:i/>
          <w:iCs/>
          <w:sz w:val="24"/>
          <w:szCs w:val="24"/>
        </w:rPr>
        <w:t>ALS, спинална мускулна атрофия и ХВДП, редкия синдром на Lewis-Sumner</w:t>
      </w:r>
      <w:r w:rsidRPr="00AE47C6">
        <w:rPr>
          <w:rFonts w:ascii="Times New Roman" w:eastAsia="SimSun" w:hAnsi="Times New Roman"/>
          <w:sz w:val="24"/>
          <w:szCs w:val="24"/>
        </w:rPr>
        <w:t xml:space="preserve"> от кръга на ХВДП, </w:t>
      </w:r>
      <w:r w:rsidRPr="00AE47C6">
        <w:rPr>
          <w:rFonts w:ascii="Times New Roman" w:eastAsia="SimSun" w:hAnsi="Times New Roman"/>
          <w:i/>
          <w:iCs/>
          <w:sz w:val="24"/>
          <w:szCs w:val="24"/>
        </w:rPr>
        <w:t>множествената мононевропатия</w:t>
      </w:r>
      <w:r w:rsidRPr="00AE47C6">
        <w:rPr>
          <w:rFonts w:ascii="Times New Roman" w:eastAsia="SimSun" w:hAnsi="Times New Roman"/>
          <w:sz w:val="24"/>
          <w:szCs w:val="24"/>
        </w:rPr>
        <w:t xml:space="preserve"> при васкулити или в резултат на множествени компресионни синдроми на периферни нерви при наследствени невропатии със склонност към развитие на парализи, причинени от натиск или неврофиброми. </w:t>
      </w:r>
    </w:p>
    <w:p w14:paraId="4BCA6258"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iCs/>
          <w:sz w:val="24"/>
          <w:szCs w:val="24"/>
        </w:rPr>
        <w:t>Лечение</w:t>
      </w:r>
      <w:r w:rsidRPr="00AE47C6">
        <w:rPr>
          <w:rFonts w:ascii="Times New Roman" w:eastAsia="SimSun" w:hAnsi="Times New Roman"/>
          <w:b/>
          <w:sz w:val="24"/>
          <w:szCs w:val="24"/>
        </w:rPr>
        <w:t>:</w:t>
      </w:r>
    </w:p>
    <w:p w14:paraId="2E2B95B9" w14:textId="77777777" w:rsidR="00BE0B19" w:rsidRPr="00AE47C6" w:rsidRDefault="00BE0B19" w:rsidP="00BE0B19">
      <w:pPr>
        <w:numPr>
          <w:ilvl w:val="1"/>
          <w:numId w:val="62"/>
        </w:numPr>
        <w:spacing w:after="0" w:line="360" w:lineRule="auto"/>
        <w:ind w:left="0"/>
        <w:contextualSpacing/>
        <w:jc w:val="both"/>
        <w:rPr>
          <w:rFonts w:ascii="Times New Roman" w:eastAsia="SimSun" w:hAnsi="Times New Roman"/>
          <w:b/>
          <w:i/>
          <w:sz w:val="24"/>
          <w:szCs w:val="24"/>
        </w:rPr>
      </w:pPr>
      <w:r w:rsidRPr="00AE47C6">
        <w:rPr>
          <w:rFonts w:ascii="Times New Roman" w:eastAsia="SimSun" w:hAnsi="Times New Roman"/>
          <w:i/>
          <w:sz w:val="24"/>
          <w:szCs w:val="24"/>
        </w:rPr>
        <w:t xml:space="preserve"> интравенозен имунен глобулин (в доза 0,4 – 0,5 g/kg/дн. в продължение на 4 - 5 дни) </w:t>
      </w:r>
      <w:r w:rsidRPr="00AE47C6">
        <w:rPr>
          <w:rFonts w:ascii="Times New Roman" w:eastAsia="SimSun" w:hAnsi="Times New Roman"/>
          <w:sz w:val="24"/>
          <w:szCs w:val="24"/>
        </w:rPr>
        <w:t xml:space="preserve">повлиява временно повечето пациенти. </w:t>
      </w:r>
    </w:p>
    <w:p w14:paraId="591BA62F" w14:textId="77777777" w:rsidR="00BE0B19" w:rsidRPr="00AE47C6" w:rsidRDefault="00BE0B19" w:rsidP="00BE0B19">
      <w:pPr>
        <w:numPr>
          <w:ilvl w:val="1"/>
          <w:numId w:val="62"/>
        </w:numPr>
        <w:spacing w:after="0" w:line="360" w:lineRule="auto"/>
        <w:ind w:left="0"/>
        <w:contextualSpacing/>
        <w:jc w:val="both"/>
        <w:rPr>
          <w:rFonts w:ascii="Times New Roman" w:eastAsia="SimSun" w:hAnsi="Times New Roman"/>
          <w:b/>
          <w:i/>
          <w:sz w:val="24"/>
          <w:szCs w:val="24"/>
        </w:rPr>
      </w:pPr>
      <w:r w:rsidRPr="00AE47C6">
        <w:rPr>
          <w:rFonts w:ascii="Times New Roman" w:eastAsia="SimSun" w:hAnsi="Times New Roman"/>
          <w:i/>
          <w:sz w:val="24"/>
          <w:szCs w:val="24"/>
        </w:rPr>
        <w:t>cyclophosphamide 1 g/m</w:t>
      </w:r>
      <w:r w:rsidRPr="00AE47C6">
        <w:rPr>
          <w:rFonts w:ascii="Times New Roman" w:eastAsia="SimSun" w:hAnsi="Times New Roman"/>
          <w:i/>
          <w:sz w:val="24"/>
          <w:szCs w:val="24"/>
          <w:vertAlign w:val="superscript"/>
        </w:rPr>
        <w:t>2</w:t>
      </w:r>
      <w:r w:rsidRPr="00AE47C6">
        <w:rPr>
          <w:rFonts w:ascii="Times New Roman" w:eastAsia="SimSun" w:hAnsi="Times New Roman"/>
          <w:i/>
          <w:sz w:val="24"/>
          <w:szCs w:val="24"/>
        </w:rPr>
        <w:t xml:space="preserve"> месечно</w:t>
      </w:r>
      <w:r w:rsidRPr="00AE47C6">
        <w:rPr>
          <w:rFonts w:ascii="Times New Roman" w:eastAsia="SimSun" w:hAnsi="Times New Roman"/>
          <w:sz w:val="24"/>
          <w:szCs w:val="24"/>
        </w:rPr>
        <w:t xml:space="preserve">, за 6 месеца. </w:t>
      </w:r>
    </w:p>
    <w:p w14:paraId="14C339F6" w14:textId="77777777" w:rsidR="00BE0B19" w:rsidRPr="00AE47C6" w:rsidRDefault="00BE0B19" w:rsidP="00BE0B19">
      <w:pP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 xml:space="preserve">Пациентите не се подобряват след лечение с кортикостероиди или плазмафереза. </w:t>
      </w:r>
    </w:p>
    <w:p w14:paraId="2093408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iCs/>
          <w:sz w:val="24"/>
          <w:szCs w:val="24"/>
        </w:rPr>
        <w:t xml:space="preserve">Прогнозата </w:t>
      </w:r>
      <w:r w:rsidRPr="00AE47C6">
        <w:rPr>
          <w:rFonts w:ascii="Times New Roman" w:eastAsia="SimSun" w:hAnsi="Times New Roman"/>
          <w:sz w:val="24"/>
          <w:szCs w:val="24"/>
        </w:rPr>
        <w:t>е добра.</w:t>
      </w:r>
    </w:p>
    <w:p w14:paraId="4C1F2A53"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47" w:name="_Toc155651723"/>
      <w:bookmarkStart w:id="48" w:name="_Toc164075855"/>
      <w:r w:rsidRPr="00AE47C6">
        <w:rPr>
          <w:rFonts w:ascii="Times New Roman" w:eastAsia="SimSun" w:hAnsi="Times New Roman"/>
          <w:b/>
          <w:sz w:val="24"/>
          <w:szCs w:val="20"/>
          <w:lang w:eastAsia="ja-JP"/>
        </w:rPr>
        <w:t>2.2.2. Полиневропатии, асоциирани с гамапатия (моноклонални протеини)</w:t>
      </w:r>
      <w:bookmarkEnd w:id="47"/>
      <w:bookmarkEnd w:id="48"/>
    </w:p>
    <w:p w14:paraId="62A77D3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Етиологията</w:t>
      </w:r>
      <w:r w:rsidRPr="00AE47C6">
        <w:rPr>
          <w:rFonts w:ascii="Times New Roman" w:eastAsia="SimSun" w:hAnsi="Times New Roman"/>
          <w:sz w:val="24"/>
          <w:szCs w:val="24"/>
        </w:rPr>
        <w:t xml:space="preserve"> е свързана с нарушения на серумните имуноглобулини. Появата на моноклоналния имуноглобулин парапротеин (М-компонент) в кръвта може да бъде първично (изолирано) или да съпровожда други заболявания като неоплазми, бавновирусни инфекции, СПИН, луес и др. Гамапатиите могат да бъдат първична и единствена изява на патологичния процес. Полиневропатии могат да се срещнат при първични (бенигнена моноклонална гамапатия и криоглобулинемия) и вторични гамапатии и особено при миелом (единичен или множествен), плазмацитом и макроглобулинемия на Waldenstrom.</w:t>
      </w:r>
    </w:p>
    <w:p w14:paraId="4E7C1A6C"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Бенигнената моноклонална гамапатия</w:t>
      </w:r>
      <w:r w:rsidRPr="00AE47C6">
        <w:rPr>
          <w:rFonts w:ascii="Times New Roman" w:eastAsia="SimSun" w:hAnsi="Times New Roman"/>
          <w:b/>
          <w:sz w:val="24"/>
          <w:szCs w:val="24"/>
        </w:rPr>
        <w:t xml:space="preserve"> (</w:t>
      </w:r>
      <w:r w:rsidRPr="00AE47C6">
        <w:rPr>
          <w:rFonts w:ascii="Times New Roman" w:eastAsia="SimSun" w:hAnsi="Times New Roman"/>
          <w:b/>
          <w:iCs/>
          <w:sz w:val="24"/>
          <w:szCs w:val="24"/>
        </w:rPr>
        <w:t>моноклонална гамапатия с неопределена значимост</w:t>
      </w:r>
      <w:r w:rsidRPr="00AE47C6">
        <w:rPr>
          <w:rFonts w:ascii="Times New Roman" w:eastAsia="SimSun" w:hAnsi="Times New Roman"/>
          <w:b/>
          <w:sz w:val="24"/>
          <w:szCs w:val="24"/>
        </w:rPr>
        <w:t>)</w:t>
      </w:r>
      <w:r w:rsidRPr="00AE47C6">
        <w:rPr>
          <w:rFonts w:ascii="Times New Roman" w:eastAsia="SimSun" w:hAnsi="Times New Roman"/>
          <w:sz w:val="24"/>
          <w:szCs w:val="24"/>
        </w:rPr>
        <w:t xml:space="preserve"> е честа, като един съответен М-протеин може да се открие в 1,5% от населението над 50 години и в 3% над 70 години. Засяга най-често мъже на 60-70 годишна възраст. При 25% от пациентите след много години възниква миелом. При част от пациентите с IgM парапротеинемия след години се развива болестта на Waldenstrom. </w:t>
      </w:r>
      <w:r w:rsidRPr="00AE47C6">
        <w:rPr>
          <w:rFonts w:ascii="Times New Roman" w:eastAsia="SimSun" w:hAnsi="Times New Roman"/>
          <w:i/>
          <w:sz w:val="24"/>
          <w:szCs w:val="24"/>
        </w:rPr>
        <w:t>Клинично</w:t>
      </w:r>
      <w:r w:rsidRPr="00AE47C6">
        <w:rPr>
          <w:rFonts w:ascii="Times New Roman" w:eastAsia="SimSun" w:hAnsi="Times New Roman"/>
          <w:sz w:val="24"/>
          <w:szCs w:val="24"/>
        </w:rPr>
        <w:t xml:space="preserve"> има хронично-прогресиращ ход с дистално симетрично въвличане на крайниците с преобладаване на възбудните (изтръпване) и отпадни сетивни прояви. Двигателните влакна са по-слабо ангажирани като паретичните прояви и мускулни хипотрофии се развиват по-късно и са по-леки. </w:t>
      </w:r>
    </w:p>
    <w:p w14:paraId="0A0E80D9"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POEMS синдромът</w:t>
      </w:r>
      <w:r w:rsidRPr="00AE47C6">
        <w:rPr>
          <w:rFonts w:ascii="Times New Roman" w:eastAsia="SimSun" w:hAnsi="Times New Roman"/>
          <w:sz w:val="24"/>
          <w:szCs w:val="24"/>
        </w:rPr>
        <w:t xml:space="preserve"> (съчетание на полиневропатия, остеосклеротичен миелом, органомегалия, ендокринопатия, регистриране на М-протеин и кожни промени) при остеосклеротичен миелом е свързан с абнормен моноклонален глобулин с ламбда лека верига. </w:t>
      </w:r>
      <w:r w:rsidRPr="00AE47C6">
        <w:rPr>
          <w:rFonts w:ascii="Times New Roman" w:eastAsia="SimSun" w:hAnsi="Times New Roman"/>
          <w:i/>
          <w:sz w:val="24"/>
          <w:szCs w:val="24"/>
        </w:rPr>
        <w:t>Клинично</w:t>
      </w:r>
      <w:r w:rsidRPr="00AE47C6">
        <w:rPr>
          <w:rFonts w:ascii="Times New Roman" w:eastAsia="SimSun" w:hAnsi="Times New Roman"/>
          <w:sz w:val="24"/>
          <w:szCs w:val="24"/>
        </w:rPr>
        <w:t xml:space="preserve"> протича като умерено изразена сензомоторна полиневропатия. Кожните промени са основно хипертрихоза, бърз растеж на косата, задебеляване и хиперпигментация на кожата. Появяват се папиледема, хепатоспленомегалия, отоци и хипотиреоидизъм. В много случаи има лимфаденопатия поради ангиофоликуларна хиперплазия при болестта на Castleman. </w:t>
      </w:r>
    </w:p>
    <w:p w14:paraId="6971AF9D"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Ликворното</w:t>
      </w:r>
      <w:r w:rsidRPr="00AE47C6">
        <w:rPr>
          <w:rFonts w:ascii="Times New Roman" w:eastAsia="SimSun" w:hAnsi="Times New Roman"/>
          <w:sz w:val="24"/>
          <w:szCs w:val="24"/>
        </w:rPr>
        <w:t xml:space="preserve"> изследване показва силно повишен протеин в ликвора. При имуноелектрофореза се установява наличие на парапротеин. </w:t>
      </w:r>
    </w:p>
    <w:p w14:paraId="496B0F5F"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В кръвта се откриват пик на имуноглобулини, който е моноклонален, биклонален или мултиклонален, и има ламбда лека верига. </w:t>
      </w:r>
    </w:p>
    <w:p w14:paraId="2B399A96"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ЕМГ изследването показва данни за демиелинизация, а по-късно в хода на заболяването – и за аксонна дегенерация. </w:t>
      </w:r>
    </w:p>
    <w:p w14:paraId="5BEC359F"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Рентгенологично при POEMS се откриват остеосклеротични лезии в дългите кости, прешлените, ребрата, pelvis или черепа. </w:t>
      </w:r>
    </w:p>
    <w:p w14:paraId="0FD1F965"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 xml:space="preserve">Лечението </w:t>
      </w:r>
      <w:r w:rsidRPr="00AE47C6">
        <w:rPr>
          <w:rFonts w:ascii="Times New Roman" w:eastAsia="SimSun" w:hAnsi="Times New Roman"/>
          <w:b/>
          <w:sz w:val="24"/>
          <w:szCs w:val="24"/>
        </w:rPr>
        <w:t>при пациенти с IgA, IgG и IgM (MAG – негативни) – гамапатия с неопределена значимост и невропатия</w:t>
      </w:r>
      <w:r w:rsidRPr="00AE47C6">
        <w:rPr>
          <w:rFonts w:ascii="Times New Roman" w:eastAsia="SimSun" w:hAnsi="Times New Roman"/>
          <w:sz w:val="24"/>
          <w:szCs w:val="24"/>
        </w:rPr>
        <w:t xml:space="preserve"> се провежда с </w:t>
      </w:r>
      <w:r w:rsidRPr="00AE47C6">
        <w:rPr>
          <w:rFonts w:ascii="Times New Roman" w:eastAsia="SimSun" w:hAnsi="Times New Roman"/>
          <w:i/>
          <w:sz w:val="24"/>
          <w:szCs w:val="24"/>
        </w:rPr>
        <w:t>кортикостероиди, интравенозен имуноглобулин или плазмафереза</w:t>
      </w:r>
      <w:r w:rsidRPr="00AE47C6">
        <w:rPr>
          <w:rFonts w:ascii="Times New Roman" w:eastAsia="SimSun" w:hAnsi="Times New Roman"/>
          <w:sz w:val="24"/>
          <w:szCs w:val="24"/>
        </w:rPr>
        <w:t xml:space="preserve"> (както при ХВДП) (Виж раздел 15. Терапевтична плазмафереза). </w:t>
      </w:r>
    </w:p>
    <w:p w14:paraId="05594900" w14:textId="77777777" w:rsidR="00BE0B19" w:rsidRPr="00AE47C6" w:rsidRDefault="00BE0B19" w:rsidP="00BE0B19">
      <w:pPr>
        <w:tabs>
          <w:tab w:val="left" w:pos="709"/>
        </w:tabs>
        <w:spacing w:after="0" w:line="360" w:lineRule="auto"/>
        <w:ind w:firstLine="709"/>
        <w:jc w:val="both"/>
        <w:rPr>
          <w:rFonts w:ascii="Times New Roman" w:eastAsia="SimSun" w:hAnsi="Times New Roman"/>
          <w:i/>
          <w:sz w:val="24"/>
          <w:szCs w:val="24"/>
        </w:rPr>
      </w:pPr>
      <w:r w:rsidRPr="00AE47C6">
        <w:rPr>
          <w:rFonts w:ascii="Times New Roman" w:eastAsia="SimSun" w:hAnsi="Times New Roman"/>
          <w:b/>
          <w:sz w:val="24"/>
          <w:szCs w:val="24"/>
        </w:rPr>
        <w:t>При болните с IgM (MAG – позитивни) – гамапатия и невропатия</w:t>
      </w:r>
      <w:r w:rsidRPr="00AE47C6">
        <w:rPr>
          <w:rFonts w:ascii="Times New Roman" w:eastAsia="SimSun" w:hAnsi="Times New Roman"/>
          <w:sz w:val="24"/>
          <w:szCs w:val="24"/>
        </w:rPr>
        <w:t xml:space="preserve"> се прилага </w:t>
      </w:r>
      <w:r w:rsidRPr="00AE47C6">
        <w:rPr>
          <w:rFonts w:ascii="Times New Roman" w:eastAsia="SimSun" w:hAnsi="Times New Roman"/>
          <w:i/>
          <w:sz w:val="24"/>
          <w:szCs w:val="24"/>
        </w:rPr>
        <w:t xml:space="preserve">cyclophosphamide – 0,1 – 0,2 mg/ kg/дн. в продължение на 4 седмици. </w:t>
      </w:r>
      <w:r w:rsidRPr="00AE47C6">
        <w:rPr>
          <w:rFonts w:ascii="Times New Roman" w:eastAsia="SimSun" w:hAnsi="Times New Roman"/>
          <w:sz w:val="24"/>
          <w:szCs w:val="24"/>
        </w:rPr>
        <w:t xml:space="preserve">Алтернатива е </w:t>
      </w:r>
      <w:r w:rsidRPr="00AE47C6">
        <w:rPr>
          <w:rFonts w:ascii="Times New Roman" w:eastAsia="SimSun" w:hAnsi="Times New Roman"/>
          <w:i/>
          <w:sz w:val="24"/>
          <w:szCs w:val="24"/>
        </w:rPr>
        <w:t>chlorambucil (4 пъти по 300 mg/m</w:t>
      </w:r>
      <w:r w:rsidRPr="00AE47C6">
        <w:rPr>
          <w:rFonts w:ascii="Times New Roman" w:eastAsia="SimSun" w:hAnsi="Times New Roman"/>
          <w:i/>
          <w:sz w:val="24"/>
          <w:szCs w:val="24"/>
          <w:vertAlign w:val="superscript"/>
        </w:rPr>
        <w:t>2</w:t>
      </w:r>
      <w:r w:rsidRPr="00AE47C6">
        <w:rPr>
          <w:rFonts w:ascii="Times New Roman" w:eastAsia="SimSun" w:hAnsi="Times New Roman"/>
          <w:i/>
          <w:sz w:val="24"/>
          <w:szCs w:val="24"/>
        </w:rPr>
        <w:t>) в продължение на 4 седмици.</w:t>
      </w:r>
    </w:p>
    <w:p w14:paraId="4D52260B"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При POEMS</w:t>
      </w:r>
      <w:r w:rsidRPr="00AE47C6">
        <w:rPr>
          <w:rFonts w:ascii="Times New Roman" w:eastAsia="SimSun" w:hAnsi="Times New Roman"/>
          <w:sz w:val="24"/>
          <w:szCs w:val="24"/>
        </w:rPr>
        <w:t xml:space="preserve"> като злокачествено заболяване лечението се провежда съвместно с хематолог (облъчване, dehydrocortison в комбинация с melphalan или cyclophosphamide). </w:t>
      </w:r>
    </w:p>
    <w:p w14:paraId="638A51C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Макроглобулинемията на Waldenstrom</w:t>
      </w:r>
      <w:r w:rsidRPr="00AE47C6">
        <w:rPr>
          <w:rFonts w:ascii="Times New Roman" w:eastAsia="SimSun" w:hAnsi="Times New Roman"/>
          <w:sz w:val="24"/>
          <w:szCs w:val="24"/>
        </w:rPr>
        <w:t xml:space="preserve"> при моноклонално повишаване на IgM плазмената фракция и анти-MAG антитела  при около 50% протича с полиневропатията с хронично развитие и асиметрично начало, впоследствие  става симетрична, сетивна и дистална, предимно в долните крайници. Развива се сензорна атаксия. Липсват коленните и ахилови рефлекси. </w:t>
      </w:r>
    </w:p>
    <w:p w14:paraId="4C71358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Криоглобулинемията</w:t>
      </w:r>
      <w:r w:rsidRPr="00AE47C6">
        <w:rPr>
          <w:rFonts w:ascii="Times New Roman" w:eastAsia="SimSun" w:hAnsi="Times New Roman"/>
          <w:sz w:val="24"/>
          <w:szCs w:val="24"/>
        </w:rPr>
        <w:t xml:space="preserve"> може да бъде есенциална или вследствие на множествен миелом, лимфома, съединително тъканни заболявания, хронична инфекция и хепатит С. Полиневропатия е хронична, дистална, симетрична и сензомоторна с начало в долните крайници. Развиват се феномени на Raynaud и пурпурни кожни обриви по крайниците. По-рядко заболяването може да протече като множествена мононевропатия. В кръвта се установява криоглобулин. ЕМГ изследването показва аксонна дегенерация.</w:t>
      </w:r>
    </w:p>
    <w:p w14:paraId="2E20941B" w14:textId="77777777" w:rsidR="00BE0B19" w:rsidRPr="00AE47C6" w:rsidRDefault="00BE0B19" w:rsidP="00BE0B19">
      <w:pPr>
        <w:spacing w:after="0" w:line="360" w:lineRule="auto"/>
        <w:ind w:firstLine="709"/>
        <w:jc w:val="both"/>
        <w:rPr>
          <w:rFonts w:ascii="Times New Roman" w:eastAsia="SimSun" w:hAnsi="Times New Roman"/>
          <w:i/>
          <w:sz w:val="24"/>
          <w:szCs w:val="24"/>
        </w:rPr>
      </w:pPr>
      <w:r w:rsidRPr="00AE47C6">
        <w:rPr>
          <w:rFonts w:ascii="Times New Roman" w:eastAsia="SimSun" w:hAnsi="Times New Roman"/>
          <w:i/>
          <w:sz w:val="24"/>
          <w:szCs w:val="24"/>
        </w:rPr>
        <w:t>Лечението</w:t>
      </w:r>
      <w:r w:rsidRPr="00AE47C6">
        <w:rPr>
          <w:rFonts w:ascii="Times New Roman" w:eastAsia="SimSun" w:hAnsi="Times New Roman"/>
          <w:sz w:val="24"/>
          <w:szCs w:val="24"/>
        </w:rPr>
        <w:t xml:space="preserve"> на макроглобулинемичните полиневропатии се провежда с </w:t>
      </w:r>
      <w:r w:rsidRPr="00AE47C6">
        <w:rPr>
          <w:rFonts w:ascii="Times New Roman" w:eastAsia="SimSun" w:hAnsi="Times New Roman"/>
          <w:i/>
          <w:sz w:val="24"/>
          <w:szCs w:val="24"/>
        </w:rPr>
        <w:t>prednisone, chlorambucil, cyclophosphamide и повтаряща се плазмафереза.</w:t>
      </w:r>
    </w:p>
    <w:p w14:paraId="32DE8B87"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49" w:name="_Toc155651724"/>
      <w:bookmarkStart w:id="50" w:name="_Toc164075856"/>
      <w:r w:rsidRPr="00AE47C6">
        <w:rPr>
          <w:rFonts w:ascii="Times New Roman" w:eastAsia="SimSun" w:hAnsi="Times New Roman"/>
          <w:b/>
          <w:sz w:val="24"/>
          <w:szCs w:val="20"/>
          <w:lang w:eastAsia="ja-JP"/>
        </w:rPr>
        <w:t>2.2.3. Метаболитни полиневропатии</w:t>
      </w:r>
      <w:bookmarkEnd w:id="49"/>
      <w:bookmarkEnd w:id="50"/>
    </w:p>
    <w:p w14:paraId="1E9B8AF8"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2.2.3.1. Диабетна полиневропатия</w:t>
      </w:r>
    </w:p>
    <w:p w14:paraId="502F062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Засягането на ПНС е едно от най-честите усложнения на захарния диабет тип 1 и тип 2. Диабетната невропатия (ДН) заема първо място по честота в структурата на различните видове полиневропатии. Клинични данни за невропатия се намират при 15% от диабетиците, а ЕМГ патология имат 50%. Основният фактор за появата на полиневропатията е продължителността на диабета. В началото на заболяването полиневропатия имат 10% от пациентите, а след 25 годишна давност – 50%. Около половината от диабетиците имат симетрична невропатия. Приблизително 25% развиват синдром на карпалния тунел, а около 5% – автономна невропатия.</w:t>
      </w:r>
    </w:p>
    <w:p w14:paraId="370C4A5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Етиология</w:t>
      </w:r>
      <w:r w:rsidRPr="00AE47C6">
        <w:rPr>
          <w:rFonts w:ascii="Times New Roman" w:eastAsia="SimSun" w:hAnsi="Times New Roman"/>
          <w:b/>
          <w:sz w:val="24"/>
          <w:szCs w:val="24"/>
        </w:rPr>
        <w:t>та</w:t>
      </w:r>
      <w:r w:rsidRPr="00AE47C6">
        <w:rPr>
          <w:rFonts w:ascii="Times New Roman" w:eastAsia="SimSun" w:hAnsi="Times New Roman"/>
          <w:sz w:val="24"/>
          <w:szCs w:val="24"/>
        </w:rPr>
        <w:t xml:space="preserve"> е мултифакторна, свързана с лошия контрол на нивото на кръвната захар, тежестта и продължителността на диабета, ролята на хипоинсулинемията, дислипидемията, артериалната хипертония, както и някои индивидуални фактори. Интензивната антихипергликемична терапия при добър и траен контрол на гликемията намалява риска от развитие и прогресия на невропатията с около 60%. </w:t>
      </w:r>
    </w:p>
    <w:p w14:paraId="6D8C66E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Патогенеза</w:t>
      </w:r>
      <w:r w:rsidRPr="00AE47C6">
        <w:rPr>
          <w:rFonts w:ascii="Times New Roman" w:eastAsia="SimSun" w:hAnsi="Times New Roman"/>
          <w:b/>
          <w:sz w:val="24"/>
          <w:szCs w:val="24"/>
        </w:rPr>
        <w:t>та</w:t>
      </w:r>
      <w:r w:rsidRPr="00AE47C6">
        <w:rPr>
          <w:rFonts w:ascii="Times New Roman" w:eastAsia="SimSun" w:hAnsi="Times New Roman"/>
          <w:sz w:val="24"/>
          <w:szCs w:val="24"/>
        </w:rPr>
        <w:t xml:space="preserve"> е мултифакторна: </w:t>
      </w:r>
    </w:p>
    <w:p w14:paraId="3E53DB4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Съдовата (исхемично-хипоксична) теория</w:t>
      </w:r>
      <w:r w:rsidRPr="00AE47C6">
        <w:rPr>
          <w:rFonts w:ascii="Times New Roman" w:eastAsia="SimSun" w:hAnsi="Times New Roman"/>
          <w:sz w:val="24"/>
          <w:szCs w:val="24"/>
        </w:rPr>
        <w:t xml:space="preserve"> приема за основен патогенетичен фактор </w:t>
      </w:r>
      <w:r w:rsidRPr="00AE47C6">
        <w:rPr>
          <w:rFonts w:ascii="Times New Roman" w:eastAsia="SimSun" w:hAnsi="Times New Roman"/>
          <w:iCs/>
          <w:sz w:val="24"/>
          <w:szCs w:val="24"/>
        </w:rPr>
        <w:t>ендоневралната исхемия</w:t>
      </w:r>
      <w:r w:rsidRPr="00AE47C6">
        <w:rPr>
          <w:rFonts w:ascii="Times New Roman" w:eastAsia="SimSun" w:hAnsi="Times New Roman"/>
          <w:sz w:val="24"/>
          <w:szCs w:val="24"/>
        </w:rPr>
        <w:t xml:space="preserve"> в резултат на повишен кръвен вискозитет. Диабетната </w:t>
      </w:r>
      <w:r w:rsidRPr="00AE47C6">
        <w:rPr>
          <w:rFonts w:ascii="Times New Roman" w:eastAsia="SimSun" w:hAnsi="Times New Roman"/>
          <w:iCs/>
          <w:sz w:val="24"/>
          <w:szCs w:val="24"/>
        </w:rPr>
        <w:t>микроангиопатия</w:t>
      </w:r>
      <w:r w:rsidRPr="00AE47C6">
        <w:rPr>
          <w:rFonts w:ascii="Times New Roman" w:eastAsia="SimSun" w:hAnsi="Times New Roman"/>
          <w:sz w:val="24"/>
          <w:szCs w:val="24"/>
        </w:rPr>
        <w:t xml:space="preserve"> в съчетание с </w:t>
      </w:r>
      <w:r w:rsidRPr="00AE47C6">
        <w:rPr>
          <w:rFonts w:ascii="Times New Roman" w:eastAsia="SimSun" w:hAnsi="Times New Roman"/>
          <w:iCs/>
          <w:sz w:val="24"/>
          <w:szCs w:val="24"/>
        </w:rPr>
        <w:t>нарушения аксонен транспорт</w:t>
      </w:r>
      <w:r w:rsidRPr="00AE47C6">
        <w:rPr>
          <w:rFonts w:ascii="Times New Roman" w:eastAsia="SimSun" w:hAnsi="Times New Roman"/>
          <w:sz w:val="24"/>
          <w:szCs w:val="24"/>
        </w:rPr>
        <w:t xml:space="preserve"> и </w:t>
      </w:r>
      <w:r w:rsidRPr="00AE47C6">
        <w:rPr>
          <w:rFonts w:ascii="Times New Roman" w:eastAsia="SimSun" w:hAnsi="Times New Roman"/>
          <w:iCs/>
          <w:sz w:val="24"/>
          <w:szCs w:val="24"/>
        </w:rPr>
        <w:t>Na</w:t>
      </w:r>
      <w:r w:rsidRPr="00AE47C6">
        <w:rPr>
          <w:rFonts w:ascii="Times New Roman" w:eastAsia="SimSun" w:hAnsi="Times New Roman"/>
          <w:iCs/>
          <w:sz w:val="24"/>
          <w:szCs w:val="24"/>
          <w:vertAlign w:val="superscript"/>
        </w:rPr>
        <w:t>+</w:t>
      </w:r>
      <w:r w:rsidRPr="00AE47C6">
        <w:rPr>
          <w:rFonts w:ascii="Times New Roman" w:eastAsia="SimSun" w:hAnsi="Times New Roman"/>
          <w:iCs/>
          <w:sz w:val="24"/>
          <w:szCs w:val="24"/>
        </w:rPr>
        <w:t>/K</w:t>
      </w:r>
      <w:r w:rsidRPr="00AE47C6">
        <w:rPr>
          <w:rFonts w:ascii="Times New Roman" w:eastAsia="SimSun" w:hAnsi="Times New Roman"/>
          <w:iCs/>
          <w:sz w:val="24"/>
          <w:szCs w:val="24"/>
          <w:vertAlign w:val="superscript"/>
        </w:rPr>
        <w:t xml:space="preserve">+ </w:t>
      </w:r>
      <w:r w:rsidRPr="00AE47C6">
        <w:rPr>
          <w:rFonts w:ascii="Times New Roman" w:eastAsia="SimSun" w:hAnsi="Times New Roman"/>
          <w:iCs/>
          <w:sz w:val="24"/>
          <w:szCs w:val="24"/>
        </w:rPr>
        <w:t xml:space="preserve">- ATФ активност </w:t>
      </w:r>
      <w:r w:rsidRPr="00AE47C6">
        <w:rPr>
          <w:rFonts w:ascii="Times New Roman" w:eastAsia="SimSun" w:hAnsi="Times New Roman"/>
          <w:sz w:val="24"/>
          <w:szCs w:val="24"/>
        </w:rPr>
        <w:t xml:space="preserve">водят до развитие на дистална аксонна дегенерация. </w:t>
      </w:r>
      <w:r w:rsidRPr="00AE47C6">
        <w:rPr>
          <w:rFonts w:ascii="Times New Roman" w:eastAsia="SimSun" w:hAnsi="Times New Roman"/>
          <w:i/>
          <w:iCs/>
          <w:sz w:val="24"/>
          <w:szCs w:val="24"/>
        </w:rPr>
        <w:t xml:space="preserve">Метаболитната теория </w:t>
      </w:r>
      <w:r w:rsidRPr="00AE47C6">
        <w:rPr>
          <w:rFonts w:ascii="Times New Roman" w:eastAsia="SimSun" w:hAnsi="Times New Roman"/>
          <w:sz w:val="24"/>
          <w:szCs w:val="24"/>
        </w:rPr>
        <w:t xml:space="preserve">приема, че </w:t>
      </w:r>
      <w:r w:rsidRPr="00AE47C6">
        <w:rPr>
          <w:rFonts w:ascii="Times New Roman" w:eastAsia="SimSun" w:hAnsi="Times New Roman"/>
          <w:iCs/>
          <w:sz w:val="24"/>
          <w:szCs w:val="24"/>
        </w:rPr>
        <w:t>хипергликемията</w:t>
      </w:r>
      <w:r w:rsidRPr="00AE47C6">
        <w:rPr>
          <w:rFonts w:ascii="Times New Roman" w:eastAsia="SimSun" w:hAnsi="Times New Roman"/>
          <w:sz w:val="24"/>
          <w:szCs w:val="24"/>
        </w:rPr>
        <w:t xml:space="preserve"> води до увеличаване на концентрацията на интрацелуларната глюкоза в периферните нерви. Повишената активност на полиоловия (сорбитолов) път води до влошаване на аксонния транспорт и структурни нарушения в нервите. </w:t>
      </w:r>
      <w:r w:rsidRPr="00AE47C6">
        <w:rPr>
          <w:rFonts w:ascii="Times New Roman" w:eastAsia="SimSun" w:hAnsi="Times New Roman"/>
          <w:i/>
          <w:iCs/>
          <w:sz w:val="24"/>
          <w:szCs w:val="24"/>
        </w:rPr>
        <w:t xml:space="preserve">Смутена продукция и транспорт на невротрофични фактори - </w:t>
      </w:r>
      <w:r w:rsidRPr="00AE47C6">
        <w:rPr>
          <w:rFonts w:ascii="Times New Roman" w:eastAsia="SimSun" w:hAnsi="Times New Roman"/>
          <w:sz w:val="24"/>
          <w:szCs w:val="24"/>
        </w:rPr>
        <w:t xml:space="preserve">нервния растежен фактор (NGF) и съдовия ендотелен растежен фактор (VEGF). Обсъжда се ролята на антиоксидантите за подобряване ефектите на NGF. </w:t>
      </w:r>
      <w:r w:rsidRPr="00AE47C6">
        <w:rPr>
          <w:rFonts w:ascii="Times New Roman" w:eastAsia="SimSun" w:hAnsi="Times New Roman"/>
          <w:i/>
          <w:sz w:val="24"/>
          <w:szCs w:val="24"/>
        </w:rPr>
        <w:t>Оксидативният стрес</w:t>
      </w:r>
      <w:r w:rsidRPr="00AE47C6">
        <w:rPr>
          <w:rFonts w:ascii="Times New Roman" w:eastAsia="SimSun" w:hAnsi="Times New Roman"/>
          <w:sz w:val="24"/>
          <w:szCs w:val="24"/>
        </w:rPr>
        <w:t xml:space="preserve">, медииран от свободни радикали предизвиква невроваскуларни дефекти </w:t>
      </w:r>
      <w:r w:rsidRPr="00AE47C6">
        <w:rPr>
          <w:rFonts w:ascii="Times New Roman" w:eastAsia="SimSun" w:hAnsi="Times New Roman"/>
          <w:spacing w:val="3"/>
          <w:sz w:val="24"/>
          <w:szCs w:val="24"/>
        </w:rPr>
        <w:t xml:space="preserve">с последващо увреждане на аксоните. </w:t>
      </w:r>
      <w:r w:rsidRPr="00AE47C6">
        <w:rPr>
          <w:rFonts w:ascii="Times New Roman" w:eastAsia="SimSun" w:hAnsi="Times New Roman"/>
          <w:i/>
          <w:iCs/>
          <w:sz w:val="24"/>
          <w:szCs w:val="24"/>
        </w:rPr>
        <w:t>Ламининова теория.</w:t>
      </w:r>
      <w:r w:rsidRPr="00AE47C6">
        <w:rPr>
          <w:rFonts w:ascii="Times New Roman" w:eastAsia="SimSun" w:hAnsi="Times New Roman"/>
          <w:sz w:val="24"/>
          <w:szCs w:val="24"/>
        </w:rPr>
        <w:t xml:space="preserve"> Абнормното гликиране на мембранно-свързаните протеини обуславят структурни и функционални разстройства в периферните нерви, водещи до сегментна демиелинизация (предимно при диабет 2 тип) и аксонна дегенерация (при диабет 1 тип). </w:t>
      </w:r>
      <w:r w:rsidRPr="00AE47C6">
        <w:rPr>
          <w:rFonts w:ascii="Times New Roman" w:eastAsia="SimSun" w:hAnsi="Times New Roman"/>
          <w:i/>
          <w:iCs/>
          <w:sz w:val="24"/>
          <w:szCs w:val="24"/>
        </w:rPr>
        <w:t xml:space="preserve">Имунно-възпалителната теория </w:t>
      </w:r>
      <w:r w:rsidRPr="00AE47C6">
        <w:rPr>
          <w:rFonts w:ascii="Times New Roman" w:eastAsia="SimSun" w:hAnsi="Times New Roman"/>
          <w:iCs/>
          <w:sz w:val="24"/>
          <w:szCs w:val="24"/>
        </w:rPr>
        <w:t>обяснява</w:t>
      </w:r>
      <w:r w:rsidRPr="00AE47C6">
        <w:rPr>
          <w:rFonts w:ascii="Times New Roman" w:eastAsia="SimSun" w:hAnsi="Times New Roman"/>
          <w:sz w:val="24"/>
          <w:szCs w:val="24"/>
        </w:rPr>
        <w:t xml:space="preserve"> увредата на ендотелните капилярни клетки с автоимунна патогенеза при асиметричните форми на диабетна невропатия. </w:t>
      </w:r>
    </w:p>
    <w:p w14:paraId="3210BB5E" w14:textId="77777777" w:rsidR="00BE0B19" w:rsidRPr="00AE47C6" w:rsidRDefault="00BE0B19" w:rsidP="00BE0B19">
      <w:pPr>
        <w:tabs>
          <w:tab w:val="left" w:pos="90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Клиничната картина</w:t>
      </w:r>
      <w:r w:rsidRPr="00AE47C6">
        <w:rPr>
          <w:rFonts w:ascii="Times New Roman" w:eastAsia="SimSun" w:hAnsi="Times New Roman"/>
          <w:sz w:val="24"/>
          <w:szCs w:val="24"/>
        </w:rPr>
        <w:t xml:space="preserve"> се определя от различните форми на диабетна невропатия, които включват симетрични полиневропатии, фокални и мултифокални невропатии. Началото на оплакванията може да бъде внезапно или незабелязано, прогресията на заболяването – бавна или бърза. </w:t>
      </w:r>
    </w:p>
    <w:p w14:paraId="46F0C6EF" w14:textId="77777777" w:rsidR="00BE0B19" w:rsidRPr="00AE47C6" w:rsidRDefault="00BE0B19" w:rsidP="00BE0B19">
      <w:pPr>
        <w:spacing w:after="0" w:line="360" w:lineRule="auto"/>
        <w:ind w:firstLine="709"/>
        <w:jc w:val="both"/>
        <w:rPr>
          <w:rFonts w:ascii="Times New Roman" w:eastAsia="SimSun" w:hAnsi="Times New Roman"/>
          <w:b/>
          <w:sz w:val="24"/>
          <w:szCs w:val="24"/>
        </w:rPr>
      </w:pPr>
    </w:p>
    <w:p w14:paraId="1E0CAB19"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 xml:space="preserve">I. </w:t>
      </w:r>
      <w:r w:rsidRPr="00AE47C6">
        <w:rPr>
          <w:rFonts w:ascii="Times New Roman" w:eastAsia="SimSun" w:hAnsi="Times New Roman"/>
          <w:b/>
          <w:iCs/>
          <w:sz w:val="24"/>
          <w:szCs w:val="24"/>
        </w:rPr>
        <w:t>Симетрични форми на диабетна невропатия</w:t>
      </w:r>
    </w:p>
    <w:p w14:paraId="670CA39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i/>
          <w:iCs/>
          <w:sz w:val="24"/>
          <w:szCs w:val="24"/>
        </w:rPr>
        <w:t>1. Дистална симетрична сетивно-моторна полиневропатия</w:t>
      </w:r>
    </w:p>
    <w:p w14:paraId="6AEDAD7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Това е най-честата форма на ДН. Болестността е 55% от пациентите с диабет тип 1 и 45% - за тип 2. Среща се при възрастни и при деца. Засяга тънките и дебели сетивни, автономните и двигателни влакна в периферните нерви в различни комбинации. При всички случаи сетивните и автономни влакна са по-силно засегнати.</w:t>
      </w:r>
    </w:p>
    <w:p w14:paraId="3B2418C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Клинично </w:t>
      </w:r>
      <w:r w:rsidRPr="00AE47C6">
        <w:rPr>
          <w:rFonts w:ascii="Times New Roman" w:eastAsia="SimSun" w:hAnsi="Times New Roman"/>
          <w:sz w:val="24"/>
          <w:szCs w:val="24"/>
        </w:rPr>
        <w:t xml:space="preserve">се развива бавно и постепенно с разстройство във функциите на сетивните, моторните и автономните влакна. Болните се оплакват от изтръпване, боцкане, мравучкане, парене, изстиване и болки в подбедриците и стъпалата, които са по-изразени нощем. Установяват се дистална хипестезия за болка, допир и температура и снижен вибрационен усет. Може да се засегне и по-сериозно дълбоката сетивност с поява на сетивна атаксия. Ахиловите и коленните рефлекси са отслабени или загубени. При 10% има слабост в мускулите на подбедриците и паретични прояви (най-често двустранна перонеална пареза) с нарушение на походката. При част от пациентите без слабостта и мускулната хипотрофия в стъпалата и подбедриците при ЕМГ изследване скоростите на провеждане по моторните влакна са абнормни. Характерни са автономните разстройства с импотентност, нощна диария, снижено потоотделяне в областта на ходилата и ортостатична хипотония. </w:t>
      </w:r>
    </w:p>
    <w:p w14:paraId="72D84C68" w14:textId="77777777" w:rsidR="00BE0B19" w:rsidRPr="00AE47C6" w:rsidRDefault="00BE0B19" w:rsidP="00BE0B19">
      <w:pPr>
        <w:spacing w:after="0" w:line="360" w:lineRule="auto"/>
        <w:ind w:firstLine="709"/>
        <w:jc w:val="both"/>
        <w:rPr>
          <w:rFonts w:ascii="Times New Roman" w:eastAsia="SimSun" w:hAnsi="Times New Roman"/>
          <w:b/>
          <w:bCs/>
          <w:i/>
          <w:iCs/>
          <w:sz w:val="24"/>
          <w:szCs w:val="24"/>
        </w:rPr>
      </w:pPr>
      <w:r w:rsidRPr="00AE47C6">
        <w:rPr>
          <w:rFonts w:ascii="Times New Roman" w:eastAsia="SimSun" w:hAnsi="Times New Roman"/>
          <w:b/>
          <w:bCs/>
          <w:i/>
          <w:iCs/>
          <w:sz w:val="24"/>
          <w:szCs w:val="24"/>
        </w:rPr>
        <w:t>2. Дистална селективно сетивна полиневропатия</w:t>
      </w:r>
    </w:p>
    <w:p w14:paraId="6EF82D1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При тази сравнително честа форма се засягат предимно тънко миелинизираните и немиелинизираните нервни влакна (т.н. small fiber neuropathy). В случая се касае за увреждане на немиелинизираните нервни влакна, което обуславя „псевдосирингомиелитична картина” на заболяването. Субективните оплаквания са от дистална пареща болка, изтръпване и хиперестезия в подбедриците и стъпалата. Обективното изследване разкрива загуба на усета за болка и температура, докато сухожилните рефлекси и дълбоката сетивност са съхранени. Налице са изразени автономни нарушения. Изследването често разкрива загуба на Ахиловите рефлекси и нарушен вибрационен усет при пациенти без субективни оплаквания. Когато се засягат дебело миелинизираните сетивни влакна, се констатира загуба на усета за допир, вибрационния усет и дълбоката сетивност. Походката е нестабилна, като в по-тежките случаи се наблюдава сензорна атаксия – псевдотабесна форма на ДН (атаксична невропатия).</w:t>
      </w:r>
    </w:p>
    <w:p w14:paraId="41E78AC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Cs/>
          <w:iCs/>
          <w:sz w:val="24"/>
          <w:szCs w:val="24"/>
        </w:rPr>
        <w:t xml:space="preserve">Други форми на симетричната диабетна полиневропатия са: болезнена дистална невропатия със загуба на тегло – диабетна кахексия, симетрична моторна невропатия,  инсулинов „неврит” , полиневропатия след кетоацидоза, автономна невропатия </w:t>
      </w:r>
    </w:p>
    <w:p w14:paraId="6AC3B4A7" w14:textId="77777777" w:rsidR="00BE0B19" w:rsidRPr="00AE47C6" w:rsidRDefault="00BE0B19" w:rsidP="00BE0B19">
      <w:pPr>
        <w:spacing w:after="0" w:line="360" w:lineRule="auto"/>
        <w:ind w:firstLine="709"/>
        <w:jc w:val="both"/>
        <w:rPr>
          <w:rFonts w:ascii="Times New Roman" w:eastAsia="SimSun" w:hAnsi="Times New Roman"/>
          <w:i/>
          <w:iCs/>
          <w:sz w:val="24"/>
          <w:szCs w:val="24"/>
        </w:rPr>
      </w:pPr>
    </w:p>
    <w:p w14:paraId="70F66BFE" w14:textId="77777777" w:rsidR="00BE0B19" w:rsidRPr="00AE47C6" w:rsidRDefault="00BE0B19" w:rsidP="00BE0B19">
      <w:pPr>
        <w:tabs>
          <w:tab w:val="left" w:pos="8820"/>
        </w:tabs>
        <w:spacing w:after="0" w:line="360" w:lineRule="auto"/>
        <w:ind w:firstLine="709"/>
        <w:jc w:val="both"/>
        <w:rPr>
          <w:rFonts w:ascii="Times New Roman" w:eastAsia="SimSun" w:hAnsi="Times New Roman"/>
          <w:b/>
          <w:bCs/>
          <w:iCs/>
          <w:sz w:val="24"/>
          <w:szCs w:val="24"/>
        </w:rPr>
      </w:pPr>
      <w:r w:rsidRPr="00AE47C6">
        <w:rPr>
          <w:rFonts w:ascii="Times New Roman" w:eastAsia="SimSun" w:hAnsi="Times New Roman"/>
          <w:b/>
          <w:iCs/>
          <w:sz w:val="24"/>
          <w:szCs w:val="24"/>
        </w:rPr>
        <w:t xml:space="preserve">II. Асиметрични (фокални и мултифокални) форми на диабетна невропатия- краниалната невропатия; </w:t>
      </w:r>
      <w:r w:rsidRPr="00AE47C6">
        <w:rPr>
          <w:rFonts w:ascii="Times New Roman" w:eastAsia="SimSun" w:hAnsi="Times New Roman"/>
          <w:b/>
          <w:bCs/>
          <w:iCs/>
          <w:sz w:val="24"/>
          <w:szCs w:val="24"/>
        </w:rPr>
        <w:t>Диабетна лумбосакрална радикулоплексопатия (проксимална диабетна невропатия); Диабетна цервикобрахиална радикулоплексопатия; Диабетна трункусна радикулоневропатия; Компресионна невропатия</w:t>
      </w:r>
    </w:p>
    <w:p w14:paraId="3899DCB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Диференциалната диагноза</w:t>
      </w:r>
      <w:r w:rsidRPr="00AE47C6">
        <w:rPr>
          <w:rFonts w:ascii="Times New Roman" w:eastAsia="SimSun" w:hAnsi="Times New Roman"/>
          <w:sz w:val="24"/>
          <w:szCs w:val="24"/>
        </w:rPr>
        <w:t xml:space="preserve"> налага да се изключат СГБ, алкохолна, медикаментозна и уремична полиневропатия в случаите на диабетна симетрична дистална сетивно-моторна полиневропатия. </w:t>
      </w:r>
    </w:p>
    <w:p w14:paraId="01B64D6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Cs/>
          <w:sz w:val="24"/>
          <w:szCs w:val="24"/>
        </w:rPr>
        <w:t>Лечение на диабетната невропатия:</w:t>
      </w:r>
    </w:p>
    <w:p w14:paraId="49C41CD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Контрол на хипергликемията</w:t>
      </w:r>
      <w:r w:rsidRPr="00AE47C6">
        <w:rPr>
          <w:rFonts w:ascii="Times New Roman" w:eastAsia="SimSun" w:hAnsi="Times New Roman"/>
          <w:sz w:val="24"/>
          <w:szCs w:val="24"/>
        </w:rPr>
        <w:t xml:space="preserve"> без флуктуации към хипо- или хипергликемия е първото условие за съхранението на периферните нерви. </w:t>
      </w:r>
      <w:r w:rsidRPr="00AE47C6">
        <w:rPr>
          <w:rFonts w:ascii="Times New Roman" w:eastAsia="SimSun" w:hAnsi="Times New Roman"/>
          <w:i/>
          <w:sz w:val="24"/>
          <w:szCs w:val="24"/>
        </w:rPr>
        <w:t>Ограничаване и елиминиране на рисковите фактори</w:t>
      </w:r>
      <w:r w:rsidRPr="00AE47C6">
        <w:rPr>
          <w:rFonts w:ascii="Times New Roman" w:eastAsia="SimSun" w:hAnsi="Times New Roman"/>
          <w:sz w:val="24"/>
          <w:szCs w:val="24"/>
        </w:rPr>
        <w:t xml:space="preserve"> (лечение на хипертонията, контрол на телесното тегло и дислипопротеинемиите, спиране на тютюнопушенето и др.) и спазване на подходящ хранителен режим. </w:t>
      </w:r>
    </w:p>
    <w:p w14:paraId="03945030" w14:textId="77777777" w:rsidR="00BE0B19" w:rsidRPr="00AE47C6" w:rsidRDefault="00BE0B19" w:rsidP="00BE0B19">
      <w:pPr>
        <w:spacing w:after="0" w:line="360" w:lineRule="auto"/>
        <w:ind w:firstLine="709"/>
        <w:jc w:val="both"/>
        <w:rPr>
          <w:rFonts w:ascii="Times New Roman" w:eastAsia="SimSun" w:hAnsi="Times New Roman"/>
          <w:i/>
          <w:sz w:val="24"/>
          <w:szCs w:val="24"/>
        </w:rPr>
      </w:pPr>
      <w:r w:rsidRPr="00AE47C6">
        <w:rPr>
          <w:rFonts w:ascii="Times New Roman" w:eastAsia="SimSun" w:hAnsi="Times New Roman"/>
          <w:i/>
          <w:sz w:val="24"/>
          <w:szCs w:val="24"/>
        </w:rPr>
        <w:t xml:space="preserve">Периферни вазодилататори и антиагреганти </w:t>
      </w:r>
      <w:r w:rsidRPr="00AE47C6">
        <w:rPr>
          <w:rFonts w:ascii="Times New Roman" w:eastAsia="SimSun" w:hAnsi="Times New Roman"/>
          <w:sz w:val="24"/>
          <w:szCs w:val="24"/>
        </w:rPr>
        <w:t xml:space="preserve">поради микроангиопатията на кръвоносните съдове на самите </w:t>
      </w:r>
      <w:r w:rsidRPr="00AE47C6">
        <w:rPr>
          <w:rFonts w:ascii="Times New Roman" w:eastAsia="SimSun" w:hAnsi="Times New Roman"/>
          <w:i/>
          <w:sz w:val="24"/>
          <w:szCs w:val="24"/>
        </w:rPr>
        <w:t xml:space="preserve">периферни нерви и повишеният кръвен вискозитет </w:t>
      </w:r>
    </w:p>
    <w:p w14:paraId="6BD4FC4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Pentoxifylline</w:t>
      </w:r>
      <w:r w:rsidRPr="00AE47C6">
        <w:rPr>
          <w:rFonts w:ascii="Times New Roman" w:eastAsia="SimSun" w:hAnsi="Times New Roman"/>
          <w:sz w:val="24"/>
          <w:szCs w:val="24"/>
        </w:rPr>
        <w:t xml:space="preserve"> – 600 до 800 mg/дневно в продължение на 2 - 3 месеца. </w:t>
      </w:r>
    </w:p>
    <w:p w14:paraId="64DE3A0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Лечение на невропатната болка</w:t>
      </w:r>
      <w:r w:rsidRPr="00AE47C6">
        <w:rPr>
          <w:rFonts w:ascii="Times New Roman" w:eastAsia="SimSun" w:hAnsi="Times New Roman"/>
          <w:sz w:val="24"/>
          <w:szCs w:val="24"/>
        </w:rPr>
        <w:t xml:space="preserve"> при болезнените форми на диабетната дистална селективно сетивна полиневропатия:</w:t>
      </w:r>
    </w:p>
    <w:p w14:paraId="3C6423E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Gabapentin – 800 – 900 mg/дн., Phenytoin – 100 – 300 mg/дн. или Carbamazepine (– 200 – 600 mg/дн.</w:t>
      </w:r>
      <w:r w:rsidRPr="00AE47C6">
        <w:rPr>
          <w:rFonts w:ascii="Times New Roman" w:eastAsia="SimSun" w:hAnsi="Times New Roman"/>
          <w:sz w:val="24"/>
          <w:szCs w:val="24"/>
        </w:rPr>
        <w:t xml:space="preserve"> Pregabalin 300 mg/ дневно. Лечението на болезнените форми може да се проведе и с </w:t>
      </w:r>
      <w:r w:rsidRPr="00AE47C6">
        <w:rPr>
          <w:rFonts w:ascii="Times New Roman" w:eastAsia="SimSun" w:hAnsi="Times New Roman"/>
          <w:i/>
          <w:sz w:val="24"/>
          <w:szCs w:val="24"/>
        </w:rPr>
        <w:t>Tramadol – 100 – 150 mg/дн.,</w:t>
      </w:r>
      <w:r w:rsidRPr="00AE47C6">
        <w:rPr>
          <w:rFonts w:ascii="Times New Roman" w:eastAsia="SimSun" w:hAnsi="Times New Roman"/>
          <w:sz w:val="24"/>
          <w:szCs w:val="24"/>
        </w:rPr>
        <w:t xml:space="preserve"> както и с различни обезболяващи кремове (Lidocaine, Capsaicine).</w:t>
      </w:r>
    </w:p>
    <w:p w14:paraId="68C1880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Duloxetine </w:t>
      </w:r>
      <w:r w:rsidRPr="00AE47C6">
        <w:rPr>
          <w:rFonts w:ascii="Times New Roman" w:eastAsia="SimSun" w:hAnsi="Times New Roman"/>
          <w:sz w:val="24"/>
          <w:szCs w:val="24"/>
        </w:rPr>
        <w:t>30-60 mg</w:t>
      </w:r>
    </w:p>
    <w:p w14:paraId="638CD9E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Amitriptyline</w:t>
      </w:r>
      <w:r w:rsidRPr="00AE47C6">
        <w:rPr>
          <w:rFonts w:ascii="Times New Roman" w:eastAsia="SimSun" w:hAnsi="Times New Roman"/>
          <w:sz w:val="24"/>
          <w:szCs w:val="24"/>
        </w:rPr>
        <w:t xml:space="preserve"> 50 - 150 mg дневно и антидепресанти от групата SNRI. </w:t>
      </w:r>
    </w:p>
    <w:p w14:paraId="2D902678"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51" w:name="_Toc155651725"/>
      <w:bookmarkStart w:id="52" w:name="_Toc164075857"/>
      <w:r w:rsidRPr="00AE47C6">
        <w:rPr>
          <w:rFonts w:ascii="Times New Roman" w:eastAsia="SimSun" w:hAnsi="Times New Roman"/>
          <w:b/>
          <w:sz w:val="24"/>
          <w:szCs w:val="20"/>
          <w:lang w:eastAsia="ja-JP"/>
        </w:rPr>
        <w:t>2.2.4. Полиневропатии при първични и вторични васкулити</w:t>
      </w:r>
      <w:bookmarkEnd w:id="51"/>
      <w:bookmarkEnd w:id="52"/>
      <w:r w:rsidRPr="00AE47C6">
        <w:rPr>
          <w:rFonts w:ascii="Times New Roman" w:eastAsia="SimSun" w:hAnsi="Times New Roman"/>
          <w:b/>
          <w:sz w:val="24"/>
          <w:szCs w:val="20"/>
          <w:lang w:eastAsia="ja-JP"/>
        </w:rPr>
        <w:t xml:space="preserve"> </w:t>
      </w:r>
    </w:p>
    <w:p w14:paraId="0E20A23D"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 xml:space="preserve">Периферните нерви се увреждат често при някои видове васкулити и болестите на съединителната тъкан. </w:t>
      </w:r>
    </w:p>
    <w:p w14:paraId="14FCAD11"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sz w:val="24"/>
          <w:szCs w:val="24"/>
          <w:lang w:eastAsia="ar-SA"/>
        </w:rPr>
        <w:t>Класифицират се</w:t>
      </w:r>
      <w:r w:rsidRPr="00AE47C6">
        <w:rPr>
          <w:rFonts w:ascii="Times New Roman" w:eastAsia="MS Mincho" w:hAnsi="Times New Roman"/>
          <w:sz w:val="24"/>
          <w:szCs w:val="24"/>
          <w:lang w:eastAsia="ar-SA"/>
        </w:rPr>
        <w:t xml:space="preserve"> на базата на калибъра на засегнатите кръвоносни съдови (малки, средни и големи). Друг признак, по който се класифицират е дали са системни или изолирани в периферната нервна система. Третият признак за класификация е според това дали васкулитът е първичен (polyarteritis nodosa, болест на Churg-Strauss, грануломатоза на Wegener, криоглобулинемия) или вторичен, вследствие на други системни заболявания (болести на съединителната тъкан, инфекции, медикаментозни реакции, малигнени заболявания).</w:t>
      </w:r>
    </w:p>
    <w:p w14:paraId="3C8833C7"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sz w:val="24"/>
          <w:szCs w:val="24"/>
          <w:lang w:eastAsia="ar-SA"/>
        </w:rPr>
        <w:t>Хистопатология.</w:t>
      </w:r>
      <w:r w:rsidRPr="00AE47C6">
        <w:rPr>
          <w:rFonts w:ascii="Times New Roman" w:eastAsia="MS Mincho" w:hAnsi="Times New Roman"/>
          <w:sz w:val="24"/>
          <w:szCs w:val="24"/>
          <w:lang w:eastAsia="ar-SA"/>
        </w:rPr>
        <w:t xml:space="preserve"> Васкулитът е хистологична диагноза, която изисква установяване на трансмурална възпалително-клетъчна инфилтрация и некроза на стената на кръвоносните съдове. Имунохистологичното изследване установява депозиране на имуноглобулин (IgM и/или IgG) и комплемент в кръвоносните съдове. Наблюдава се асиметрична загуба на нервни влакна и активна Валерова дегенерация, ако васкулитът е предизвикал инфарциране на нерва. Обикновеното възпаление е неспецифична находка и не винаги е свързано васкулит. Некротизиращият васкулит настъпва вследствие на исхемия на тъканите, кръвоснабдявани от увредените съдове.</w:t>
      </w:r>
    </w:p>
    <w:p w14:paraId="50372186"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sz w:val="24"/>
          <w:szCs w:val="24"/>
          <w:lang w:eastAsia="ar-SA"/>
        </w:rPr>
        <w:t>Клинично</w:t>
      </w:r>
      <w:r w:rsidRPr="00AE47C6">
        <w:rPr>
          <w:rFonts w:ascii="Times New Roman" w:eastAsia="MS Mincho" w:hAnsi="Times New Roman"/>
          <w:sz w:val="24"/>
          <w:szCs w:val="24"/>
          <w:lang w:eastAsia="ar-SA"/>
        </w:rPr>
        <w:t xml:space="preserve"> васкулитите имат някои общи симптоми, с вариации според увредените кръвоносни съдове. Всяко специфично заболяване има характерни системни симптоми, но клиничните прояви от страна на периферната нервна система се припокриват.</w:t>
      </w:r>
    </w:p>
    <w:p w14:paraId="6E0DEF6A"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 xml:space="preserve">Периферната нервна система се засяга по три патерна. Първият е множествена мононевропатия, при която се засягат няколко нерва, което води до асиметричност на симптомите. Вторият е застъпваща се множествена мононевропатия, при която се засягат едни и същи нерви двустранно, но в различна степен и със засягане на различни мускулни групи. Това води до генерализирано, но асиметрично засягане. След време асиметрията може да се изглади и да се оформи засягане тип ръкавици и чорапи, както при повечето дистални симетрични полиневропатии. Двата вида множествена мононевропатия се установяват при 60–70% от пациентите, а дистална симетрична полиневропатия – при 30–40%. </w:t>
      </w:r>
    </w:p>
    <w:p w14:paraId="27A69844"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 xml:space="preserve">Най-честият симптом е парещата дизестезична болка по хода на анатомичната инервация на засегнатите нерви. Засягат се двигателните и сетивните влакна, с двигателни и сетивни нарушения. При дистално симетрично засягане сетивните и двигателни нарушения са локализирани под формата на ръкавици и чорапи. </w:t>
      </w:r>
    </w:p>
    <w:p w14:paraId="3D2C2BC4"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sz w:val="24"/>
          <w:szCs w:val="24"/>
          <w:lang w:eastAsia="ar-SA"/>
        </w:rPr>
        <w:t>Изследвания.</w:t>
      </w:r>
      <w:r w:rsidRPr="00AE47C6">
        <w:rPr>
          <w:rFonts w:ascii="Times New Roman" w:eastAsia="MS Mincho" w:hAnsi="Times New Roman"/>
          <w:i/>
          <w:sz w:val="24"/>
          <w:szCs w:val="24"/>
          <w:lang w:eastAsia="ar-SA"/>
        </w:rPr>
        <w:t xml:space="preserve"> Биопсията</w:t>
      </w:r>
      <w:r w:rsidRPr="00AE47C6">
        <w:rPr>
          <w:rFonts w:ascii="Times New Roman" w:eastAsia="MS Mincho" w:hAnsi="Times New Roman"/>
          <w:sz w:val="24"/>
          <w:szCs w:val="24"/>
          <w:lang w:eastAsia="ar-SA"/>
        </w:rPr>
        <w:t xml:space="preserve"> на периферен нерв установява характерната хистопатологична находка. С подходящи </w:t>
      </w:r>
      <w:r w:rsidRPr="00AE47C6">
        <w:rPr>
          <w:rFonts w:ascii="Times New Roman" w:eastAsia="MS Mincho" w:hAnsi="Times New Roman"/>
          <w:i/>
          <w:sz w:val="24"/>
          <w:szCs w:val="24"/>
          <w:lang w:eastAsia="ar-SA"/>
        </w:rPr>
        <w:t>ултразвукови образни методи</w:t>
      </w:r>
      <w:r w:rsidRPr="00AE47C6">
        <w:rPr>
          <w:rFonts w:ascii="Times New Roman" w:eastAsia="MS Mincho" w:hAnsi="Times New Roman"/>
          <w:sz w:val="24"/>
          <w:szCs w:val="24"/>
          <w:lang w:eastAsia="ar-SA"/>
        </w:rPr>
        <w:t xml:space="preserve"> може да се обективизира локализацията и тежестта на васкулита и настъпилите промени в структурата на периферния нерв и мускулната архитектоника.</w:t>
      </w:r>
    </w:p>
    <w:p w14:paraId="6297C77B"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Неврографията</w:t>
      </w:r>
      <w:r w:rsidRPr="00AE47C6">
        <w:rPr>
          <w:rFonts w:ascii="Times New Roman" w:eastAsia="MS Mincho" w:hAnsi="Times New Roman"/>
          <w:sz w:val="24"/>
          <w:szCs w:val="24"/>
          <w:lang w:eastAsia="ar-SA"/>
        </w:rPr>
        <w:t xml:space="preserve"> показва асиметрично намаляване на амплитудата или липса на СНАП. Същите промени се установяват по отношение на СМАП. Дисталните моторни латентности са нормални или леко удължени. Скоростите на провеждане по двигателните влакна са в норма. В някои случаи може да се установи блок на провеждането. Иглената ЕМГ показва остри положителни вълни и фибрилации в мускулите, инервирани от засегнатите нерви. След време може да нараснат продължителността и амплитудите на акционните потенциали на двигателните единици.</w:t>
      </w:r>
    </w:p>
    <w:p w14:paraId="73CCAC3F"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sz w:val="24"/>
          <w:szCs w:val="24"/>
          <w:lang w:eastAsia="ar-SA"/>
        </w:rPr>
        <w:t>Лечението</w:t>
      </w:r>
      <w:r w:rsidRPr="00AE47C6">
        <w:rPr>
          <w:rFonts w:ascii="Times New Roman" w:eastAsia="MS Mincho" w:hAnsi="Times New Roman"/>
          <w:sz w:val="24"/>
          <w:szCs w:val="24"/>
          <w:lang w:eastAsia="ar-SA"/>
        </w:rPr>
        <w:t xml:space="preserve"> на системните васкулити се провежда с комбинация от кортикостероиди и cyclophosphamide. Хиперсензитивните и изолираните васкулити се лекуват само с кортикостероиди.</w:t>
      </w:r>
    </w:p>
    <w:p w14:paraId="0DF8E2AD"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Methylprednisolone</w:t>
      </w:r>
      <w:r w:rsidRPr="00AE47C6">
        <w:rPr>
          <w:rFonts w:ascii="Times New Roman" w:eastAsia="MS Mincho" w:hAnsi="Times New Roman"/>
          <w:sz w:val="24"/>
          <w:szCs w:val="24"/>
          <w:lang w:eastAsia="ar-SA"/>
        </w:rPr>
        <w:t xml:space="preserve"> се прилага първоначално в доза 1 g интравенозно, ежедневно 3 дни. След това се превключва на перорално prednisone 1,5 mg/kg/дн., до 100 mg/дн., приет като единична сутрешна доза. След 2–4 седмици се преминава на алтерниращи приеми през ден по 100 mg. Желателно е да се добави калций, витамин D и бифосфонати за превенция на остеопорозата.</w:t>
      </w:r>
    </w:p>
    <w:p w14:paraId="201CCF02"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Cyclophosphamide</w:t>
      </w:r>
      <w:r w:rsidRPr="00AE47C6">
        <w:rPr>
          <w:rFonts w:ascii="Times New Roman" w:eastAsia="MS Mincho" w:hAnsi="Times New Roman"/>
          <w:sz w:val="24"/>
          <w:szCs w:val="24"/>
          <w:lang w:eastAsia="ar-SA"/>
        </w:rPr>
        <w:t xml:space="preserve"> се започва заедно с кортикостероидите, перорално или интравенозно. Пероралният прием в доза 1,0–2,0 mg/kg е по-ефективен супресор на имунната система, но има повече странични реакции (хеморагичен цистит). Месечните интравенозни пулсове се прилагат в единична доза 500–1000 mg/m</w:t>
      </w:r>
      <w:r w:rsidRPr="00AE47C6">
        <w:rPr>
          <w:rFonts w:ascii="Times New Roman" w:eastAsia="MS Mincho" w:hAnsi="Times New Roman"/>
          <w:sz w:val="24"/>
          <w:szCs w:val="24"/>
          <w:vertAlign w:val="superscript"/>
          <w:lang w:eastAsia="ar-SA"/>
        </w:rPr>
        <w:t>2</w:t>
      </w:r>
      <w:r w:rsidRPr="00AE47C6">
        <w:rPr>
          <w:rFonts w:ascii="Times New Roman" w:eastAsia="MS Mincho" w:hAnsi="Times New Roman"/>
          <w:sz w:val="24"/>
          <w:szCs w:val="24"/>
          <w:lang w:eastAsia="ar-SA"/>
        </w:rPr>
        <w:t xml:space="preserve"> площ на тялото. Добавят се </w:t>
      </w:r>
      <w:r w:rsidRPr="00AE47C6">
        <w:rPr>
          <w:rFonts w:ascii="Times New Roman" w:eastAsia="MS Mincho" w:hAnsi="Times New Roman"/>
          <w:i/>
          <w:sz w:val="24"/>
          <w:szCs w:val="24"/>
          <w:lang w:eastAsia="ar-SA"/>
        </w:rPr>
        <w:t>sodium 2-mercaptoethane sulfonate</w:t>
      </w:r>
      <w:r w:rsidRPr="00AE47C6">
        <w:rPr>
          <w:rFonts w:ascii="Times New Roman" w:eastAsia="MS Mincho" w:hAnsi="Times New Roman"/>
          <w:sz w:val="24"/>
          <w:szCs w:val="24"/>
          <w:lang w:eastAsia="ar-SA"/>
        </w:rPr>
        <w:t xml:space="preserve"> за намаляване на токсичността върху пикочния мехур и ondansetron за намаляване на гаденето. Пациентите трябва да бъдат добре хидратирани, за намаляване на токсичността върху пикочния мехур. След интравенозното приложение левкоцитите спадат максимално към 7–18 ден. През този период рискът от инфекции е най-голям. </w:t>
      </w:r>
    </w:p>
    <w:p w14:paraId="0C3E3022"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 xml:space="preserve">Лечението продължава до настъпване на подобрение или стабилизиране, обикновено 4–6 месеца. След това prednisone се намалява постепенно с 5 mg всеки 2–3 седмици. Пулсовият cyclophosphamide се продължава поне 1 година. При липса на ефект от интравенозния cyclophosphamide, се преминава на перорален прием. При пациентите със Churg-Strauss синдром се налага продължителен прием на prednisone, поради наличието на астма. Нови пристъпи могат да се появят при 50% от пациентите с грануломатоза на Wegener. При тях може да се наложи доживотна имуносупресивна терапия. </w:t>
      </w:r>
    </w:p>
    <w:p w14:paraId="48C948DD"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 xml:space="preserve">При рефрактерни на лечение пациенти може да се опита methotrexate (0,15–0,3 mg/kg/седмично) в комбинация с кортикостероиди, azathioprine, cyclosporine, tacrolimus или chlorambucil. </w:t>
      </w:r>
    </w:p>
    <w:p w14:paraId="6CFD2F2F"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 xml:space="preserve">При </w:t>
      </w:r>
      <w:r w:rsidRPr="00AE47C6">
        <w:rPr>
          <w:rFonts w:ascii="Times New Roman" w:eastAsia="MS Mincho" w:hAnsi="Times New Roman"/>
          <w:i/>
          <w:sz w:val="24"/>
          <w:szCs w:val="24"/>
          <w:lang w:eastAsia="ar-SA"/>
        </w:rPr>
        <w:t>пациенти с хепатит B или C</w:t>
      </w:r>
      <w:r w:rsidRPr="00AE47C6">
        <w:rPr>
          <w:rFonts w:ascii="Times New Roman" w:eastAsia="MS Mincho" w:hAnsi="Times New Roman"/>
          <w:sz w:val="24"/>
          <w:szCs w:val="24"/>
          <w:lang w:eastAsia="ar-SA"/>
        </w:rPr>
        <w:t xml:space="preserve"> конвенционалното лечение с високи дози кортикостероиди и cyclophosphamide води до персистиране и репликация на вируса, с повишаване на риска за чернодробно увреждане. Кортикостероидите се прилагат само през първите няколко седмици, за повлияване на животозастрашаващите симптоми на системния васкулит. След това те се спират. Прилагат се плазмафереза и антивирусни медикаменти, като vidarabine или α-интерферон (3 милиона единици 3 пъти седмично).</w:t>
      </w:r>
    </w:p>
    <w:p w14:paraId="4808034D"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p>
    <w:p w14:paraId="76738A18"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2.2.4.1. Първични системни васкулити на средните и големи кръвоносни съдове</w:t>
      </w:r>
    </w:p>
    <w:p w14:paraId="4985B4DA"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sz w:val="24"/>
          <w:szCs w:val="24"/>
          <w:lang w:eastAsia="ar-SA"/>
        </w:rPr>
        <w:t>Гигантоклетъчните васкулити</w:t>
      </w:r>
      <w:r w:rsidRPr="00AE47C6">
        <w:rPr>
          <w:rFonts w:ascii="Times New Roman" w:eastAsia="MS Mincho" w:hAnsi="Times New Roman"/>
          <w:sz w:val="24"/>
          <w:szCs w:val="24"/>
          <w:lang w:eastAsia="ar-SA"/>
        </w:rPr>
        <w:t xml:space="preserve"> са две форми – темпорален и артериит на Takayasu. Само при темпоралния артериит възникват периферни невропатии. Засяга средните и големи артерии, особено аортната арка и нейните клонове, външните и вътрешни клонове на каротидните артерии и вертебралните артерии. </w:t>
      </w:r>
    </w:p>
    <w:p w14:paraId="2977EC08"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Клинично</w:t>
      </w:r>
      <w:r w:rsidRPr="00AE47C6">
        <w:rPr>
          <w:rFonts w:ascii="Times New Roman" w:eastAsia="MS Mincho" w:hAnsi="Times New Roman"/>
          <w:sz w:val="24"/>
          <w:szCs w:val="24"/>
          <w:lang w:eastAsia="ar-SA"/>
        </w:rPr>
        <w:t xml:space="preserve"> пациентите се оплакват от главоболие, миалгии и прищракване на долната челюст. При 8-23% от пациентите има исхемична оптична невропатия с вторична загуба на зрението. Друго важно усложнение са мозъчните инсулти. При 14% от пациентите се засяга периферната нервна система под формата на множествени мононевропатии, радикулопатии, плексопатии или генерализирани сензомоторни невропатии. При палпация темпоралната артерия е чувствителна и уплътнена. </w:t>
      </w:r>
    </w:p>
    <w:p w14:paraId="78A6CAC4"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Изследвания.</w:t>
      </w:r>
      <w:r w:rsidRPr="00AE47C6">
        <w:rPr>
          <w:rFonts w:ascii="Times New Roman" w:eastAsia="MS Mincho" w:hAnsi="Times New Roman"/>
          <w:sz w:val="24"/>
          <w:szCs w:val="24"/>
          <w:lang w:eastAsia="ar-SA"/>
        </w:rPr>
        <w:t xml:space="preserve"> СУЕ е увеличена при всички пациенти.</w:t>
      </w:r>
    </w:p>
    <w:p w14:paraId="31BDB591"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Биопсията на темпоралната артерия е негативна при 30% от пациентите. При останалите пациенти се установява възпалителна инфилтрация с гигантски клетки на кръвоносните съдове.</w:t>
      </w:r>
    </w:p>
    <w:p w14:paraId="55EB58F6"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Лечението</w:t>
      </w:r>
      <w:r w:rsidRPr="00AE47C6">
        <w:rPr>
          <w:rFonts w:ascii="Times New Roman" w:eastAsia="MS Mincho" w:hAnsi="Times New Roman"/>
          <w:sz w:val="24"/>
          <w:szCs w:val="24"/>
          <w:lang w:eastAsia="ar-SA"/>
        </w:rPr>
        <w:t xml:space="preserve"> с кортикостероиди (prednisone) или cyclophosphamide е ефективно. Плазмафереза се прилага при криоглобулинемия.</w:t>
      </w:r>
    </w:p>
    <w:p w14:paraId="40C0B4AD"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2.2.4.2 Първични системни васкулити на средните и малки кръвоносни съдове</w:t>
      </w:r>
    </w:p>
    <w:p w14:paraId="3BE02C7C"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sz w:val="24"/>
          <w:szCs w:val="24"/>
          <w:lang w:eastAsia="ar-SA"/>
        </w:rPr>
        <w:t>Polyarteritis nodosa</w:t>
      </w:r>
      <w:r w:rsidRPr="00AE47C6">
        <w:rPr>
          <w:rFonts w:ascii="Times New Roman" w:eastAsia="MS Mincho" w:hAnsi="Times New Roman"/>
          <w:sz w:val="24"/>
          <w:szCs w:val="24"/>
          <w:lang w:eastAsia="ar-SA"/>
        </w:rPr>
        <w:t xml:space="preserve"> е най-честият некротизиращ васкулит. Заболяването е системно и засяга предимно средните и по-слабо малки артерии в множество органи. При 70% от пациентите възникват полиневропатии, най-често множествени мононевропатии. Най-често се засяга n. ischiadicus или неговите клонове – n. peroneus и n. tibialis. Краниалните невропатии и засягането на нервната система са редки (под 2% от пациентите).</w:t>
      </w:r>
    </w:p>
    <w:p w14:paraId="22177082"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Заболяемостта</w:t>
      </w:r>
      <w:r w:rsidRPr="00AE47C6">
        <w:rPr>
          <w:rFonts w:ascii="Times New Roman" w:eastAsia="MS Mincho" w:hAnsi="Times New Roman"/>
          <w:sz w:val="24"/>
          <w:szCs w:val="24"/>
          <w:lang w:eastAsia="ar-SA"/>
        </w:rPr>
        <w:t xml:space="preserve"> е от 2 до 9 на милион население.</w:t>
      </w:r>
    </w:p>
    <w:p w14:paraId="7843EE6F"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Патогенезата</w:t>
      </w:r>
      <w:r w:rsidRPr="00AE47C6">
        <w:rPr>
          <w:rFonts w:ascii="Times New Roman" w:eastAsia="MS Mincho" w:hAnsi="Times New Roman"/>
          <w:sz w:val="24"/>
          <w:szCs w:val="24"/>
          <w:lang w:eastAsia="ar-SA"/>
        </w:rPr>
        <w:t xml:space="preserve"> не е известна. Предполага се T-клетъчен процес, медииран от ендотелни клетки. Вторична роля играе комплемент-медиираната съдова увреда.</w:t>
      </w:r>
    </w:p>
    <w:p w14:paraId="611F15E7"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Клинично</w:t>
      </w:r>
      <w:r w:rsidRPr="00AE47C6">
        <w:rPr>
          <w:rFonts w:ascii="Times New Roman" w:eastAsia="MS Mincho" w:hAnsi="Times New Roman"/>
          <w:sz w:val="24"/>
          <w:szCs w:val="24"/>
          <w:lang w:eastAsia="ar-SA"/>
        </w:rPr>
        <w:t xml:space="preserve"> се проявява между 40 и 60 г. възраст с повишена температура, загуба на апетит и тегло. Проявява се с мултисистемна дисфункция със засягане на бъбреците, черния дроб, мускулите, кожата и гастроинтестиналния тракт. Миалгиите и артралгиите са чести (до 70%). Кожните промени (25-60% от пациентите) включват петехии, папули, подкожни нодули, livedo reticularis и дистални гангрени. Васкулитите на гастроинтестиналния тракт се проявяват с абдоминална болка и кървене. Бъбречната исхемия води до бъбречна недостатъчност. Орхитът е също класически симптом. Могат да се установят феномен на Raynaud и понякога смесена поликлонална криоглобулинемия. </w:t>
      </w:r>
    </w:p>
    <w:p w14:paraId="0098293F"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 xml:space="preserve">Изследвания. </w:t>
      </w:r>
      <w:r w:rsidRPr="00AE47C6">
        <w:rPr>
          <w:rFonts w:ascii="Times New Roman" w:eastAsia="MS Mincho" w:hAnsi="Times New Roman"/>
          <w:sz w:val="24"/>
          <w:szCs w:val="24"/>
          <w:lang w:eastAsia="ar-SA"/>
        </w:rPr>
        <w:t>СУЕ е повишена над 60 mm/час. Ревматоидният фактор, С-реактивния протеин и α</w:t>
      </w:r>
      <w:r w:rsidRPr="00AE47C6">
        <w:rPr>
          <w:rFonts w:ascii="Times New Roman" w:eastAsia="MS Mincho" w:hAnsi="Times New Roman"/>
          <w:sz w:val="24"/>
          <w:szCs w:val="24"/>
          <w:vertAlign w:val="subscript"/>
          <w:lang w:eastAsia="ar-SA"/>
        </w:rPr>
        <w:t>2</w:t>
      </w:r>
      <w:r w:rsidRPr="00AE47C6">
        <w:rPr>
          <w:rFonts w:ascii="Times New Roman" w:eastAsia="MS Mincho" w:hAnsi="Times New Roman"/>
          <w:sz w:val="24"/>
          <w:szCs w:val="24"/>
          <w:lang w:eastAsia="ar-SA"/>
        </w:rPr>
        <w:t xml:space="preserve"> глобулините са повишени. Има левкоцитоза и нормохромна анемия. При 30% от пациентите се установява хепатит В антигенемия. При някои пациенти може да има инфекция с хепатит В или HIV. При абдоминална ангиография може да се установи васкулитна аневризма.</w:t>
      </w:r>
    </w:p>
    <w:p w14:paraId="6872FFB2"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 xml:space="preserve">При биопсия, инфилтратите са съставени предимно от CD8+ T-клетки и макрофаги. Полиморфонуклеарни клетки има в областта на фибриноидните некрози. Имуноцитохимично се установява депозиране на IgM, IgG и комплемент в кръвоносните съдове. За разлика от синдрома на Churg-Strauss няма формиране на грануломи и еозинофилна инфилтрация. </w:t>
      </w:r>
    </w:p>
    <w:p w14:paraId="1EC83725"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sz w:val="24"/>
          <w:szCs w:val="24"/>
          <w:lang w:eastAsia="ar-SA"/>
        </w:rPr>
        <w:t xml:space="preserve">Синдрома на Churg-Strauss </w:t>
      </w:r>
      <w:r w:rsidRPr="00AE47C6">
        <w:rPr>
          <w:rFonts w:ascii="Times New Roman" w:eastAsia="MS Mincho" w:hAnsi="Times New Roman"/>
          <w:sz w:val="24"/>
          <w:szCs w:val="24"/>
          <w:lang w:eastAsia="ar-SA"/>
        </w:rPr>
        <w:t>(алергичен ангиит/грануломатоза) е рядко заболяване.</w:t>
      </w:r>
    </w:p>
    <w:p w14:paraId="01F83F77"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Заболяемостта</w:t>
      </w:r>
      <w:r w:rsidRPr="00AE47C6">
        <w:rPr>
          <w:rFonts w:ascii="Times New Roman" w:eastAsia="MS Mincho" w:hAnsi="Times New Roman"/>
          <w:sz w:val="24"/>
          <w:szCs w:val="24"/>
          <w:lang w:eastAsia="ar-SA"/>
        </w:rPr>
        <w:t xml:space="preserve"> е само 30% от тази на polyarteritis nodosa, но засяга еднакво често с него периферната и централна нервна система. </w:t>
      </w:r>
    </w:p>
    <w:p w14:paraId="2BA77479"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Клинично</w:t>
      </w:r>
      <w:r w:rsidRPr="00AE47C6">
        <w:rPr>
          <w:rFonts w:ascii="Times New Roman" w:eastAsia="MS Mincho" w:hAnsi="Times New Roman"/>
          <w:sz w:val="24"/>
          <w:szCs w:val="24"/>
          <w:lang w:eastAsia="ar-SA"/>
        </w:rPr>
        <w:t xml:space="preserve"> има дихателни нарушения, за разлика от polyarteritis nodosa. Развива се алергичен ринит, назална полипоза и синуит, последвани от астма. Астмата започва в по-късна възраст, отколкото идиопатичната. При 50% от пациентите има белодробни инфилтрати, поради астмата и хипереозинофилията. Симптомите на системния васкулит започват средно 3 години след началото на астмата. При 16-49% от пациентите се развива некротизиращ гломерулонефрит, за разлика от исхемичната нефропатия при polyarteritis nodosa. С изключение на белодробните и бъбречни прояви, останалите симптоми на polyarteritis nodosa и синдрома на Churg-Strauss са еднакви. Множествен мононеврит се намира при до 75% от пациентите.</w:t>
      </w:r>
    </w:p>
    <w:p w14:paraId="522C214C"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Изследвания.</w:t>
      </w:r>
      <w:r w:rsidRPr="00AE47C6">
        <w:rPr>
          <w:rFonts w:ascii="Times New Roman" w:eastAsia="MS Mincho" w:hAnsi="Times New Roman"/>
          <w:sz w:val="24"/>
          <w:szCs w:val="24"/>
          <w:lang w:eastAsia="ar-SA"/>
        </w:rPr>
        <w:t xml:space="preserve"> Установява се еозинофилия (често над 10</w:t>
      </w:r>
      <w:r w:rsidRPr="00AE47C6">
        <w:rPr>
          <w:rFonts w:ascii="Times New Roman" w:eastAsia="MS Mincho" w:hAnsi="Times New Roman"/>
          <w:sz w:val="24"/>
          <w:szCs w:val="24"/>
          <w:vertAlign w:val="superscript"/>
          <w:lang w:eastAsia="ar-SA"/>
        </w:rPr>
        <w:t>9</w:t>
      </w:r>
      <w:r w:rsidRPr="00AE47C6">
        <w:rPr>
          <w:rFonts w:ascii="Times New Roman" w:eastAsia="MS Mincho" w:hAnsi="Times New Roman"/>
          <w:sz w:val="24"/>
          <w:szCs w:val="24"/>
          <w:lang w:eastAsia="ar-SA"/>
        </w:rPr>
        <w:t>/l), левкоцитоза, повишени СУЕ, С-реактивен протеин, ревматоиден фактор, серумни IgG и IgЕ. Намират се антиневротрофилни антитела (ANCA) и първична миелопероксидаза (p-ANCA). Съчетанието на еозинофилия и астма е патогномонично за синдрома.</w:t>
      </w:r>
    </w:p>
    <w:p w14:paraId="02063B34"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Биопсията показва данни за некротизиращ васкулит на средните и малки артерии и вени. Възпалителните инфилтрати се състоят от CD8+ цитотоксични T-лимфоцити и CD4+ хелперни T-лимфоцити, както и по-малко еозинофили.</w:t>
      </w:r>
    </w:p>
    <w:p w14:paraId="4419DE28"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sz w:val="24"/>
          <w:szCs w:val="24"/>
          <w:lang w:eastAsia="ar-SA"/>
        </w:rPr>
        <w:t>Грануломатозата на Wegener</w:t>
      </w:r>
      <w:r w:rsidRPr="00AE47C6">
        <w:rPr>
          <w:rFonts w:ascii="Times New Roman" w:eastAsia="MS Mincho" w:hAnsi="Times New Roman"/>
          <w:sz w:val="24"/>
          <w:szCs w:val="24"/>
          <w:lang w:eastAsia="ar-SA"/>
        </w:rPr>
        <w:t xml:space="preserve"> е рядко заболяване с некротизиращи грануломатозни инфилтрации и лезии в горния и долен дихателен тракт, гломерулонефрит и антинеутрофилни антитела към цитоплазмени антигени. Засяга средните и малки кръвоносни съдове.</w:t>
      </w:r>
    </w:p>
    <w:p w14:paraId="2F6C7B14"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Клинично</w:t>
      </w:r>
      <w:r w:rsidRPr="00AE47C6">
        <w:rPr>
          <w:rFonts w:ascii="Times New Roman" w:eastAsia="MS Mincho" w:hAnsi="Times New Roman"/>
          <w:sz w:val="24"/>
          <w:szCs w:val="24"/>
          <w:lang w:eastAsia="ar-SA"/>
        </w:rPr>
        <w:t xml:space="preserve"> ранните симптоми на респираторното засягане са назална секреция, кашлица, хемоптое и диспнея. Добавя се и лицева болка. При 30-50% от пациентите има някакво засягане на нервната система, но само при 15-20% има множествена мононевропатия или симетрична полиневропатия. Наличието на невропатия корелира с тежестта на бъбречното увреждане. При 10% от пациентите вследствие на назални и параназални грануломи възникват краниални невропатии (II, VI и VII КН).</w:t>
      </w:r>
    </w:p>
    <w:p w14:paraId="6FBA70E0"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Изследвания.</w:t>
      </w:r>
      <w:r w:rsidRPr="00AE47C6">
        <w:rPr>
          <w:rFonts w:ascii="Times New Roman" w:eastAsia="MS Mincho" w:hAnsi="Times New Roman"/>
          <w:sz w:val="24"/>
          <w:szCs w:val="24"/>
          <w:lang w:eastAsia="ar-SA"/>
        </w:rPr>
        <w:t xml:space="preserve"> Установяват се характерни антинеутрофилни антитела срещу протеиназа-3 (c-ANCA). Няма еозинофилия, нито еозинофилни инфилтрати при биопсичното изследване.</w:t>
      </w:r>
    </w:p>
    <w:p w14:paraId="5E892D92"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sz w:val="24"/>
          <w:szCs w:val="24"/>
          <w:lang w:eastAsia="ar-SA"/>
        </w:rPr>
        <w:t>Микроскопичният полиангит</w:t>
      </w:r>
      <w:r w:rsidRPr="00AE47C6">
        <w:rPr>
          <w:rFonts w:ascii="Times New Roman" w:eastAsia="MS Mincho" w:hAnsi="Times New Roman"/>
          <w:sz w:val="24"/>
          <w:szCs w:val="24"/>
          <w:lang w:eastAsia="ar-SA"/>
        </w:rPr>
        <w:t xml:space="preserve"> засяга малките артериоли, венули и капиляри. За разлика от polyarteritis nodosa не се установяват имунни депозити в кръвоносните съдове.</w:t>
      </w:r>
    </w:p>
    <w:p w14:paraId="4FA61EF8"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Заболяването е рядко, засяга само 30% от броя на пациентите с polyarteritis nodosa.</w:t>
      </w:r>
    </w:p>
    <w:p w14:paraId="32FEDD45"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Клинично</w:t>
      </w:r>
      <w:r w:rsidRPr="00AE47C6">
        <w:rPr>
          <w:rFonts w:ascii="Times New Roman" w:eastAsia="MS Mincho" w:hAnsi="Times New Roman"/>
          <w:sz w:val="24"/>
          <w:szCs w:val="24"/>
          <w:lang w:eastAsia="ar-SA"/>
        </w:rPr>
        <w:t xml:space="preserve"> започва средно на 50 г. възраст. Протича като polyarteritis nodosa, но често се засягат белите дробове. Възпалението на белодробните капиляри води до дифузно алвеоларно увреждане и интерстициална фиброза. Полиневропатия възниква при 14-36% от пациентите. При повечето пациенти се засягат бъбречните функции (хематурия, повишени урея и креатинин). При биопсия се установява фокална сегментна тромбоза и некротизиращ гломерулонефрит.</w:t>
      </w:r>
    </w:p>
    <w:p w14:paraId="767B7D59"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Изследвания.</w:t>
      </w:r>
      <w:r w:rsidRPr="00AE47C6">
        <w:rPr>
          <w:rFonts w:ascii="Times New Roman" w:eastAsia="MS Mincho" w:hAnsi="Times New Roman"/>
          <w:sz w:val="24"/>
          <w:szCs w:val="24"/>
          <w:lang w:eastAsia="ar-SA"/>
        </w:rPr>
        <w:t xml:space="preserve"> Установяват се p-ANCA, понякога и c-ANCA антитела. </w:t>
      </w:r>
    </w:p>
    <w:p w14:paraId="7A84C500"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sz w:val="24"/>
          <w:szCs w:val="24"/>
          <w:lang w:eastAsia="ar-SA"/>
        </w:rPr>
        <w:t>Синдромът на Behcet</w:t>
      </w:r>
      <w:r w:rsidRPr="00AE47C6">
        <w:rPr>
          <w:rFonts w:ascii="Times New Roman" w:eastAsia="MS Mincho" w:hAnsi="Times New Roman"/>
          <w:sz w:val="24"/>
          <w:szCs w:val="24"/>
          <w:lang w:eastAsia="ar-SA"/>
        </w:rPr>
        <w:t xml:space="preserve"> е с неизвестна етиология.</w:t>
      </w:r>
    </w:p>
    <w:p w14:paraId="52869300"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 xml:space="preserve">Мъжете се засягат по-често. </w:t>
      </w:r>
    </w:p>
    <w:p w14:paraId="0FC24689"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Клинично</w:t>
      </w:r>
      <w:r w:rsidRPr="00AE47C6">
        <w:rPr>
          <w:rFonts w:ascii="Times New Roman" w:eastAsia="MS Mincho" w:hAnsi="Times New Roman"/>
          <w:sz w:val="24"/>
          <w:szCs w:val="24"/>
          <w:lang w:eastAsia="ar-SA"/>
        </w:rPr>
        <w:t xml:space="preserve"> се характеризира с повтарящи се орални и генитални улцерации, свързани с възпаление на очите. Други симптоми са артрит, тромбофлебит, кожни лезии и васкулит на средните и малки артерии. ЦНС се засяга по-често от периферната, със стволови инсулти, менингоенцефалити и психоза. Проявява се с множествена мононевропатия или сензомоторна генерализирана полиневропатия. </w:t>
      </w:r>
    </w:p>
    <w:p w14:paraId="2B18BFF3"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2.2.4.3. Вторични системни васкулити</w:t>
      </w:r>
    </w:p>
    <w:p w14:paraId="6F88A05F"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sz w:val="24"/>
          <w:szCs w:val="24"/>
          <w:lang w:eastAsia="ar-SA"/>
        </w:rPr>
        <w:t>Васкулитите при заболявания на съединителната тъкан</w:t>
      </w:r>
      <w:r w:rsidRPr="00AE47C6">
        <w:rPr>
          <w:rFonts w:ascii="Times New Roman" w:eastAsia="MS Mincho" w:hAnsi="Times New Roman"/>
          <w:sz w:val="24"/>
          <w:szCs w:val="24"/>
          <w:lang w:eastAsia="ar-SA"/>
        </w:rPr>
        <w:t xml:space="preserve"> са най-чести при ревматоиден артрит, системен lupus erythematosus, синдрома на Sjogren и системна склероза. Невропатиите са чести усложнения. Невропатията е често усложнение при заболявания на съединителната тъкан, но по-рядко се предизвикват от истински васкулит.</w:t>
      </w:r>
    </w:p>
    <w:p w14:paraId="677D4735"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Клиничните</w:t>
      </w:r>
      <w:r w:rsidRPr="00AE47C6">
        <w:rPr>
          <w:rFonts w:ascii="Times New Roman" w:eastAsia="MS Mincho" w:hAnsi="Times New Roman"/>
          <w:sz w:val="24"/>
          <w:szCs w:val="24"/>
          <w:lang w:eastAsia="ar-SA"/>
        </w:rPr>
        <w:t>, хистологични и неврофизиологични прояви са подобни на тези при periarteritis nodosa.</w:t>
      </w:r>
    </w:p>
    <w:p w14:paraId="4C21AF45"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sz w:val="24"/>
          <w:szCs w:val="24"/>
          <w:lang w:eastAsia="ar-SA"/>
        </w:rPr>
        <w:t>Инфекциозните васкулити</w:t>
      </w:r>
      <w:r w:rsidRPr="00AE47C6">
        <w:rPr>
          <w:rFonts w:ascii="Times New Roman" w:eastAsia="MS Mincho" w:hAnsi="Times New Roman"/>
          <w:sz w:val="24"/>
          <w:szCs w:val="24"/>
          <w:lang w:eastAsia="ar-SA"/>
        </w:rPr>
        <w:t>, които засягат периферната нервна система могат да възникнат вследствие на вируси, като herpes varicella zoster, cytomegalovirus (CMV), HIV, хепатит B и C. Множествена мононевропатия при HIV или CMV инфекция възниква при 3% от пациентите със СПИН. Хепатит B и C може да предизвика polyarteritis nodosa или васкулит на малките кръвоносни съдове, свързан с криоглобулинемия. Лаймската болест, предизвикана от спирохетата Borrelia burgdorferi, също е свързана с различни невропатии, предизвикани от васкулит.</w:t>
      </w:r>
    </w:p>
    <w:p w14:paraId="434DBCF0"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sz w:val="24"/>
          <w:szCs w:val="24"/>
          <w:lang w:eastAsia="ar-SA"/>
        </w:rPr>
        <w:t>Васкулити при малигнени заболявания</w:t>
      </w:r>
      <w:r w:rsidRPr="00AE47C6">
        <w:rPr>
          <w:rFonts w:ascii="Times New Roman" w:eastAsia="MS Mincho" w:hAnsi="Times New Roman"/>
          <w:sz w:val="24"/>
          <w:szCs w:val="24"/>
          <w:lang w:eastAsia="ar-SA"/>
        </w:rPr>
        <w:t>, свързани със засягане на периферната нервна система се предизвикват от белодробен дребноклетъчен карцином и лимфома, по-рядко от карцином на бъбреците, жлъчните канали, простатата и стомаха. Васкулитните невропатии са редки.</w:t>
      </w:r>
    </w:p>
    <w:p w14:paraId="185618FC"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Патогенезата</w:t>
      </w:r>
      <w:r w:rsidRPr="00AE47C6">
        <w:rPr>
          <w:rFonts w:ascii="Times New Roman" w:eastAsia="MS Mincho" w:hAnsi="Times New Roman"/>
          <w:sz w:val="24"/>
          <w:szCs w:val="24"/>
          <w:lang w:eastAsia="ar-SA"/>
        </w:rPr>
        <w:t xml:space="preserve"> в повечето случаи е свързана не с некротизиращ васкулит, а с трансмурално и периваскуларно възпаление на малките кръвоносни съдове, без некроза.  Усложненията при белодробния дребноклетъчен карцином могат да се дължат на anti-Hu антитела. </w:t>
      </w:r>
    </w:p>
    <w:p w14:paraId="3A092E33"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 xml:space="preserve">Клинично </w:t>
      </w:r>
      <w:r w:rsidRPr="00AE47C6">
        <w:rPr>
          <w:rFonts w:ascii="Times New Roman" w:eastAsia="MS Mincho" w:hAnsi="Times New Roman"/>
          <w:sz w:val="24"/>
          <w:szCs w:val="24"/>
          <w:lang w:eastAsia="ar-SA"/>
        </w:rPr>
        <w:t xml:space="preserve">увреждането на периферната нервна система може да протече със симетрични или несиметрични сетивни нарушения, дизестезия и двигателна слабост. Лимфомите могат да се усложнят с неваскулитни паранеопластични невропатии или лимфоматозната инфилтрация на периферните нерви да предизвика множествени мононевропатии или генерализирани невропатии. </w:t>
      </w:r>
    </w:p>
    <w:p w14:paraId="0D3E2C47"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sz w:val="24"/>
          <w:szCs w:val="24"/>
          <w:lang w:eastAsia="ar-SA"/>
        </w:rPr>
        <w:t>Хиперсензитивните васкулити, предизвикани от медикаменти</w:t>
      </w:r>
      <w:r w:rsidRPr="00AE47C6">
        <w:rPr>
          <w:rFonts w:ascii="Times New Roman" w:eastAsia="MS Mincho" w:hAnsi="Times New Roman"/>
          <w:sz w:val="24"/>
          <w:szCs w:val="24"/>
          <w:lang w:eastAsia="ar-SA"/>
        </w:rPr>
        <w:t xml:space="preserve"> са самоограничаващи се.</w:t>
      </w:r>
    </w:p>
    <w:p w14:paraId="253559CA"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Патогенезата</w:t>
      </w:r>
      <w:r w:rsidRPr="00AE47C6">
        <w:rPr>
          <w:rFonts w:ascii="Times New Roman" w:eastAsia="MS Mincho" w:hAnsi="Times New Roman"/>
          <w:sz w:val="24"/>
          <w:szCs w:val="24"/>
          <w:lang w:eastAsia="ar-SA"/>
        </w:rPr>
        <w:t xml:space="preserve"> е свързана с комплемент медиирана левкоцитокластична реакция.</w:t>
      </w:r>
    </w:p>
    <w:p w14:paraId="0AC2647E"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Клинично</w:t>
      </w:r>
      <w:r w:rsidRPr="00AE47C6">
        <w:rPr>
          <w:rFonts w:ascii="Times New Roman" w:eastAsia="MS Mincho" w:hAnsi="Times New Roman"/>
          <w:sz w:val="24"/>
          <w:szCs w:val="24"/>
          <w:lang w:eastAsia="ar-SA"/>
        </w:rPr>
        <w:t xml:space="preserve"> протичат предимно с кожни прояви. По-често се засяга ЦНС при прием на амфетамини, кокаин и опиоиди. ПНС се засяга рядко.</w:t>
      </w:r>
    </w:p>
    <w:p w14:paraId="5E95DB89"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Лечението</w:t>
      </w:r>
      <w:r w:rsidRPr="00AE47C6">
        <w:rPr>
          <w:rFonts w:ascii="Times New Roman" w:eastAsia="MS Mincho" w:hAnsi="Times New Roman"/>
          <w:sz w:val="24"/>
          <w:szCs w:val="24"/>
          <w:lang w:eastAsia="ar-SA"/>
        </w:rPr>
        <w:t xml:space="preserve"> е с кортикостероиди.</w:t>
      </w:r>
    </w:p>
    <w:p w14:paraId="36140597"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sz w:val="24"/>
          <w:szCs w:val="24"/>
          <w:lang w:eastAsia="ar-SA"/>
        </w:rPr>
        <w:t>Васкулити при есенциална смесена криоглобулинемия.</w:t>
      </w:r>
      <w:r w:rsidRPr="00AE47C6">
        <w:rPr>
          <w:rFonts w:ascii="Times New Roman" w:eastAsia="MS Mincho" w:hAnsi="Times New Roman"/>
          <w:sz w:val="24"/>
          <w:szCs w:val="24"/>
          <w:lang w:eastAsia="ar-SA"/>
        </w:rPr>
        <w:t xml:space="preserve"> Този тип криоглобулинемия се установява при липса на друго системно заболяване освен вирусен хепатит. Повечето случаи са свързани с хепатит С антигенемия.</w:t>
      </w:r>
    </w:p>
    <w:p w14:paraId="39273E22"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Заболяемостта</w:t>
      </w:r>
      <w:r w:rsidRPr="00AE47C6">
        <w:rPr>
          <w:rFonts w:ascii="Times New Roman" w:eastAsia="MS Mincho" w:hAnsi="Times New Roman"/>
          <w:sz w:val="24"/>
          <w:szCs w:val="24"/>
          <w:lang w:eastAsia="ar-SA"/>
        </w:rPr>
        <w:t xml:space="preserve"> от полиневропатии при различни типове криоглобулинемии е от 25 до 90%.</w:t>
      </w:r>
    </w:p>
    <w:p w14:paraId="318774BF"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Патогенезата</w:t>
      </w:r>
      <w:r w:rsidRPr="00AE47C6">
        <w:rPr>
          <w:rFonts w:ascii="Times New Roman" w:eastAsia="MS Mincho" w:hAnsi="Times New Roman"/>
          <w:sz w:val="24"/>
          <w:szCs w:val="24"/>
          <w:lang w:eastAsia="ar-SA"/>
        </w:rPr>
        <w:t xml:space="preserve"> е свързана с исхемия поради хипервискозитет или васкулит свързан с депозиране на имунни комплекси в малките епиневрални кръвоносни съдове. </w:t>
      </w:r>
    </w:p>
    <w:p w14:paraId="3496876C"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Клинично</w:t>
      </w:r>
      <w:r w:rsidRPr="00AE47C6">
        <w:rPr>
          <w:rFonts w:ascii="Times New Roman" w:eastAsia="MS Mincho" w:hAnsi="Times New Roman"/>
          <w:sz w:val="24"/>
          <w:szCs w:val="24"/>
          <w:lang w:eastAsia="ar-SA"/>
        </w:rPr>
        <w:t xml:space="preserve"> протича като болезнена дистална симетрична полиневропатия и по-рядко като множествена мононевропатия.</w:t>
      </w:r>
    </w:p>
    <w:p w14:paraId="0DD61161"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Изследвания.</w:t>
      </w:r>
      <w:r w:rsidRPr="00AE47C6">
        <w:rPr>
          <w:rFonts w:ascii="Times New Roman" w:eastAsia="MS Mincho" w:hAnsi="Times New Roman"/>
          <w:sz w:val="24"/>
          <w:szCs w:val="24"/>
          <w:lang w:eastAsia="ar-SA"/>
        </w:rPr>
        <w:t xml:space="preserve"> Неврографията показва липсващи или със снижена амплитуда СНАП и СМАП, предимно в долните крайници. Иглената ЕМГ показва остри положителни вълни, фибрилации и редуциран брой акционни потенциали на моторните единици, предимно в дисталните мускулни групи.</w:t>
      </w:r>
    </w:p>
    <w:p w14:paraId="6865733A"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2.2.4.4. Несистемни васкулити</w:t>
      </w:r>
    </w:p>
    <w:p w14:paraId="170272BB"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 xml:space="preserve">Несистемните или изолирани васкулити на периферната нервна система предизвикват 30-58% от васкулитните невропатии. </w:t>
      </w:r>
    </w:p>
    <w:p w14:paraId="53F830AC"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Етиологията</w:t>
      </w:r>
      <w:r w:rsidRPr="00AE47C6">
        <w:rPr>
          <w:rFonts w:ascii="Times New Roman" w:eastAsia="MS Mincho" w:hAnsi="Times New Roman"/>
          <w:sz w:val="24"/>
          <w:szCs w:val="24"/>
          <w:lang w:eastAsia="ar-SA"/>
        </w:rPr>
        <w:t xml:space="preserve"> на тези селективни васкулити не е известна.</w:t>
      </w:r>
    </w:p>
    <w:p w14:paraId="73700DEC"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 xml:space="preserve">Патогенезата </w:t>
      </w:r>
      <w:r w:rsidRPr="00AE47C6">
        <w:rPr>
          <w:rFonts w:ascii="Times New Roman" w:eastAsia="MS Mincho" w:hAnsi="Times New Roman"/>
          <w:sz w:val="24"/>
          <w:szCs w:val="24"/>
          <w:lang w:eastAsia="ar-SA"/>
        </w:rPr>
        <w:t xml:space="preserve">е свързана със засягане на малките и средни артерии на епиневриума и периневриума, в които се депозират имунни комплекси. Т-клетките са основен източник на матриксните металопротеинази (MMP) MMP-2 и MMP-9, а стромата на периневриума и ендоневриума – допълнителен. Металопротеиназите MMP-2 и MMP-9 (желатиназа A и B) са от семейството на ендопептидазите и имат афинитет към различни извънклетъчни матриксни протеини. Повишени са в периферните нерви на пациентите с несистемен васкулит. MMP могат да деградират компонентите на субендотелната базална мембрана, като по този начин дават възможност на възпалителните клетки да нарушат кръвно-нервната бариера и да навлязат в периферните нерви. </w:t>
      </w:r>
    </w:p>
    <w:p w14:paraId="2CD315F7"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Клинично</w:t>
      </w:r>
      <w:r w:rsidRPr="00AE47C6">
        <w:rPr>
          <w:rFonts w:ascii="Times New Roman" w:eastAsia="MS Mincho" w:hAnsi="Times New Roman"/>
          <w:sz w:val="24"/>
          <w:szCs w:val="24"/>
          <w:lang w:eastAsia="ar-SA"/>
        </w:rPr>
        <w:t xml:space="preserve"> протичат подобно на невропатиите при polyarteritis nodosa, без засягане на вътрешните органи. Могат да протекат като множествени мононевропатии или дистални симетрични полиневропатии.</w:t>
      </w:r>
    </w:p>
    <w:p w14:paraId="38FE68B1"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 xml:space="preserve">Изследвания. </w:t>
      </w:r>
      <w:r w:rsidRPr="00AE47C6">
        <w:rPr>
          <w:rFonts w:ascii="Times New Roman" w:eastAsia="MS Mincho" w:hAnsi="Times New Roman"/>
          <w:sz w:val="24"/>
          <w:szCs w:val="24"/>
          <w:lang w:eastAsia="ar-SA"/>
        </w:rPr>
        <w:t>Установяват се повишено СУЕ и ниски титри на ANA.</w:t>
      </w:r>
    </w:p>
    <w:p w14:paraId="13031E7A"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Лечението</w:t>
      </w:r>
      <w:r w:rsidRPr="00AE47C6">
        <w:rPr>
          <w:rFonts w:ascii="Times New Roman" w:eastAsia="MS Mincho" w:hAnsi="Times New Roman"/>
          <w:sz w:val="24"/>
          <w:szCs w:val="24"/>
          <w:lang w:eastAsia="ar-SA"/>
        </w:rPr>
        <w:t xml:space="preserve"> с кортикостероиди или cyclophosphamide е ефективно.</w:t>
      </w:r>
    </w:p>
    <w:p w14:paraId="79B4EF6E"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Прогнозата</w:t>
      </w:r>
      <w:r w:rsidRPr="00AE47C6">
        <w:rPr>
          <w:rFonts w:ascii="Times New Roman" w:eastAsia="MS Mincho" w:hAnsi="Times New Roman"/>
          <w:sz w:val="24"/>
          <w:szCs w:val="24"/>
          <w:lang w:eastAsia="ar-SA"/>
        </w:rPr>
        <w:t xml:space="preserve"> е по-добра, отколкото при системните васкулити.</w:t>
      </w:r>
    </w:p>
    <w:p w14:paraId="2D52493F"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2.2.4.5. Невропатии при автоимунни заболявания на съединителната тъкан</w:t>
      </w:r>
    </w:p>
    <w:p w14:paraId="48D0BA25"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sz w:val="24"/>
          <w:szCs w:val="24"/>
          <w:lang w:eastAsia="ar-SA"/>
        </w:rPr>
        <w:t>Синдромът на Sjögren</w:t>
      </w:r>
      <w:r w:rsidRPr="00AE47C6">
        <w:rPr>
          <w:rFonts w:ascii="Times New Roman" w:eastAsia="MS Mincho" w:hAnsi="Times New Roman"/>
          <w:sz w:val="24"/>
          <w:szCs w:val="24"/>
          <w:lang w:eastAsia="ar-SA"/>
        </w:rPr>
        <w:t xml:space="preserve"> се характеризира с комплекса sicca – xerophthalmia (сухи очи), xerostomia (суха уста) и сухота на други мукозни мембрани.</w:t>
      </w:r>
    </w:p>
    <w:p w14:paraId="0A82097E"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Епидемиология.</w:t>
      </w:r>
      <w:r w:rsidRPr="00AE47C6">
        <w:rPr>
          <w:rFonts w:ascii="Times New Roman" w:eastAsia="MS Mincho" w:hAnsi="Times New Roman"/>
          <w:sz w:val="24"/>
          <w:szCs w:val="24"/>
          <w:lang w:eastAsia="ar-SA"/>
        </w:rPr>
        <w:t xml:space="preserve"> Жените боледуват много по-често. Заболяването започва в средна възраст. </w:t>
      </w:r>
    </w:p>
    <w:p w14:paraId="39B2D767"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Хистопатологично</w:t>
      </w:r>
      <w:r w:rsidRPr="00AE47C6">
        <w:rPr>
          <w:rFonts w:ascii="Times New Roman" w:eastAsia="MS Mincho" w:hAnsi="Times New Roman"/>
          <w:sz w:val="24"/>
          <w:szCs w:val="24"/>
          <w:lang w:eastAsia="ar-SA"/>
        </w:rPr>
        <w:t xml:space="preserve"> при сензомоторна полиневропатия в периферните нерви се установява аксонна дегенерация и вторична сегментна демиелинизация. Често се вижда неспецифично периваскуларно възпаление на периневралните и ендоневрални кръвоносни съдове. По-рядко се установява некротизиращ васкулит. При сетивна невропатия намалява броя на по-дебелите миелинизирани нервни влакна. Може да има периваскуларно лимфоцитно (CD8 T-клетки) възпаление на ендоневралните и периневралните кръвоносни съдове. В заднокоренчевите ганглии се установява лимфоцитна (предимно CD8 T-клетки) инфилтрация и дегенерация на клетъчните тела.</w:t>
      </w:r>
    </w:p>
    <w:p w14:paraId="1CFE5FD7"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Етиологията</w:t>
      </w:r>
      <w:r w:rsidRPr="00AE47C6">
        <w:rPr>
          <w:rFonts w:ascii="Times New Roman" w:eastAsia="MS Mincho" w:hAnsi="Times New Roman"/>
          <w:sz w:val="24"/>
          <w:szCs w:val="24"/>
          <w:lang w:eastAsia="ar-SA"/>
        </w:rPr>
        <w:t xml:space="preserve"> и специфичните тригери не са известни.</w:t>
      </w:r>
    </w:p>
    <w:p w14:paraId="65AF7147"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Патогенезата</w:t>
      </w:r>
      <w:r w:rsidRPr="00AE47C6">
        <w:rPr>
          <w:rFonts w:ascii="Times New Roman" w:eastAsia="MS Mincho" w:hAnsi="Times New Roman"/>
          <w:sz w:val="24"/>
          <w:szCs w:val="24"/>
          <w:lang w:eastAsia="ar-SA"/>
        </w:rPr>
        <w:t xml:space="preserve"> на невропатията е автоимунна, но антигените не са известни. Сетивната невропатия се дължи на автоимунна атака, насочена към сетивните ганглии. Някои случаи (30%) могат да бъдат предизвикани от некротизиращ васкулит.</w:t>
      </w:r>
    </w:p>
    <w:p w14:paraId="16999726"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Клинично</w:t>
      </w:r>
      <w:r w:rsidRPr="00AE47C6">
        <w:rPr>
          <w:rFonts w:ascii="Times New Roman" w:eastAsia="MS Mincho" w:hAnsi="Times New Roman"/>
          <w:sz w:val="24"/>
          <w:szCs w:val="24"/>
          <w:lang w:eastAsia="ar-SA"/>
        </w:rPr>
        <w:t xml:space="preserve"> може да протече със симптоми от засягане на ЦНС, които наподобяват трансверзален миелит или множествена склероза. </w:t>
      </w:r>
    </w:p>
    <w:p w14:paraId="1D4844EE"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 xml:space="preserve">Невропатия възниква при 10–50% от пациентите и може да бъде първи симптом. Най-често е аксонна сензомоторна невропатия, със сетивни нарушения и мравучкане в дисталните участъци на крайниците. Могат да се появят парене и парестезии. Ако има мускулна слабост, тя е слабо изразена. Автономната невропатия е рядка. </w:t>
      </w:r>
    </w:p>
    <w:p w14:paraId="788913CF"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 xml:space="preserve">При някои пациенти се развива сетивна невропатия (ганглионит). Може да започне остро или постепенно, с прогресивни мравучкания и сетивни нарушения в крайниците и понякога в лицето. Ръцете се засягат повече от краката, симптомите са асиметрични, дори едностранни. Намалени са всички сетивни модалности, особено вибрационния и усета за положение на крайниците в пространството. Може да възникне сетивна атаксия и псевдоатетоза. При засягане на долните крайници се установява положителен симптом на Romberg. При някои пациенти може да има намалена сетивност в областта, инервирана от тригеминалния нерв. Често има симптоми на автономна недостатъчност с положителен зеничен симптом на Adie, анхидроза, тахикардия и ортостатична хипотония. Сухожилните рефлекси са намалени или липсващи. Мускулната сила е запазена, но движенията могат да бъдат неловки, поради сетивните нарушения. </w:t>
      </w:r>
    </w:p>
    <w:p w14:paraId="3DC9D2A0"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Изследвания.</w:t>
      </w:r>
      <w:r w:rsidRPr="00AE47C6">
        <w:rPr>
          <w:rFonts w:ascii="Times New Roman" w:eastAsia="MS Mincho" w:hAnsi="Times New Roman"/>
          <w:sz w:val="24"/>
          <w:szCs w:val="24"/>
          <w:lang w:eastAsia="ar-SA"/>
        </w:rPr>
        <w:t xml:space="preserve"> Често се установяват SS-A/Ro и SS-B/La антитела в серума. В ликвора не се установяват нарушения.</w:t>
      </w:r>
    </w:p>
    <w:p w14:paraId="02A229A8"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Биопсията потвърждава диагнозата чрез установяване на лимфоцитна инвазия в слюнчените жлези или устните.</w:t>
      </w:r>
    </w:p>
    <w:p w14:paraId="2224CA3B"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Неврографията при пациенти с дистална сензомоторна невропатия установява намаляване на амплитудата на СНАП и на скоростите на провеждане по сетивните влакна. Иглената ЕМГ показва фибрилации и остри положителни вълни, повишена амплитуда и продължителност на акционните потенциали на моторните единици.</w:t>
      </w:r>
    </w:p>
    <w:p w14:paraId="786EF5C0"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 xml:space="preserve">При пациенти със сетивна невропатия се установява намаляване на амплитудите или липсващи СНАП в горните и долни крайници. Горните крайници са по-тежко засегнати и засягането може да бъде асиметрично. Двигателните влакна не са засегнати. </w:t>
      </w:r>
    </w:p>
    <w:p w14:paraId="53D6C00F"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Лечението</w:t>
      </w:r>
      <w:r w:rsidRPr="00AE47C6">
        <w:rPr>
          <w:rFonts w:ascii="Times New Roman" w:eastAsia="MS Mincho" w:hAnsi="Times New Roman"/>
          <w:sz w:val="24"/>
          <w:szCs w:val="24"/>
          <w:lang w:eastAsia="ar-SA"/>
        </w:rPr>
        <w:t xml:space="preserve"> е имуносупресивно, но без голям ефект.</w:t>
      </w:r>
    </w:p>
    <w:p w14:paraId="7092DC48"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sz w:val="24"/>
          <w:szCs w:val="24"/>
          <w:lang w:eastAsia="ar-SA"/>
        </w:rPr>
        <w:t>Ревматоидният артрит</w:t>
      </w:r>
      <w:r w:rsidRPr="00AE47C6">
        <w:rPr>
          <w:rFonts w:ascii="Times New Roman" w:eastAsia="MS Mincho" w:hAnsi="Times New Roman"/>
          <w:sz w:val="24"/>
          <w:szCs w:val="24"/>
          <w:lang w:eastAsia="ar-SA"/>
        </w:rPr>
        <w:t xml:space="preserve"> засяга 1% от населението и при 50% от пациентите се наблюдава полиневропатия. Васкулит възниква при 8-25% от пациентите, което прави ревматоидния артрит третият по честота причинител на васкулитна невропатия, след polyarteritis nodosa и изолираните васкулити на периферната нервна система. </w:t>
      </w:r>
    </w:p>
    <w:p w14:paraId="4D19B862"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Клинично</w:t>
      </w:r>
      <w:r w:rsidRPr="00AE47C6">
        <w:rPr>
          <w:rFonts w:ascii="Times New Roman" w:eastAsia="MS Mincho" w:hAnsi="Times New Roman"/>
          <w:sz w:val="24"/>
          <w:szCs w:val="24"/>
          <w:lang w:eastAsia="ar-SA"/>
        </w:rPr>
        <w:t xml:space="preserve"> васкулитната невропатия се проявява 10–15 години след другите симптоми на заболяването. Рядко може да бъде първи симптом. Може да се прояви като множествена или застъпваща се множествена мононевропатия или генерализирана симетрична полиневропатия. </w:t>
      </w:r>
    </w:p>
    <w:p w14:paraId="6EC355C0"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Изследванията</w:t>
      </w:r>
      <w:r w:rsidRPr="00AE47C6">
        <w:rPr>
          <w:rFonts w:ascii="Times New Roman" w:eastAsia="MS Mincho" w:hAnsi="Times New Roman"/>
          <w:sz w:val="24"/>
          <w:szCs w:val="24"/>
          <w:lang w:eastAsia="ar-SA"/>
        </w:rPr>
        <w:t xml:space="preserve"> показват антинуклеарни антитела (ANA), повишени СУЕ и ревматоиден фактор в серума. </w:t>
      </w:r>
    </w:p>
    <w:p w14:paraId="56BD91E5"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 xml:space="preserve">Неврографията показва промени, както при други форми на некротизиращ васкулит. При 75% от пациентите с ревматоиден артрит има данни за лека сетивна невропатия, без данни за некротизиращ васкулит. </w:t>
      </w:r>
    </w:p>
    <w:p w14:paraId="4192F4CE"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 xml:space="preserve">Биопсията при пациенти без данни за некротизиращ васкулит показва задебеляване на епиневралните и ендоневрални кръвоносни съдове и периваскуларно възпаление. </w:t>
      </w:r>
    </w:p>
    <w:p w14:paraId="3DC64AEB"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sz w:val="24"/>
          <w:szCs w:val="24"/>
          <w:lang w:eastAsia="ar-SA"/>
        </w:rPr>
        <w:t>Системният lupus erythematosus</w:t>
      </w:r>
      <w:r w:rsidRPr="00AE47C6">
        <w:rPr>
          <w:rFonts w:ascii="Times New Roman" w:eastAsia="MS Mincho" w:hAnsi="Times New Roman"/>
          <w:sz w:val="24"/>
          <w:szCs w:val="24"/>
          <w:lang w:eastAsia="ar-SA"/>
        </w:rPr>
        <w:t xml:space="preserve"> (SLE) е често заболяване на съединителната тъкан.</w:t>
      </w:r>
    </w:p>
    <w:p w14:paraId="7B34E92B"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 xml:space="preserve">Болестността </w:t>
      </w:r>
      <w:r w:rsidRPr="00AE47C6">
        <w:rPr>
          <w:rFonts w:ascii="Times New Roman" w:eastAsia="MS Mincho" w:hAnsi="Times New Roman"/>
          <w:sz w:val="24"/>
          <w:szCs w:val="24"/>
          <w:lang w:eastAsia="ar-SA"/>
        </w:rPr>
        <w:t>при възрастни е 1 на 2000 души население.</w:t>
      </w:r>
    </w:p>
    <w:p w14:paraId="37E2019F"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Патогенезата</w:t>
      </w:r>
      <w:r w:rsidRPr="00AE47C6">
        <w:rPr>
          <w:rFonts w:ascii="Times New Roman" w:eastAsia="MS Mincho" w:hAnsi="Times New Roman"/>
          <w:sz w:val="24"/>
          <w:szCs w:val="24"/>
          <w:lang w:eastAsia="ar-SA"/>
        </w:rPr>
        <w:t xml:space="preserve"> е автоимунна. В нервните фасцикули и ендотелните клетки са установени мононуклеарни възпалителни инфилтрати и повишена експресия на клас II антигени. </w:t>
      </w:r>
    </w:p>
    <w:p w14:paraId="7464F2EC"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Клинично</w:t>
      </w:r>
      <w:r w:rsidRPr="00AE47C6">
        <w:rPr>
          <w:rFonts w:ascii="Times New Roman" w:eastAsia="MS Mincho" w:hAnsi="Times New Roman"/>
          <w:sz w:val="24"/>
          <w:szCs w:val="24"/>
          <w:lang w:eastAsia="ar-SA"/>
        </w:rPr>
        <w:t xml:space="preserve"> се проявява със засягане на множество органи и системи. По-често засяга централната, но може да засегне и периферната нервна система. При 2–27% от пациентите се установява невропатия. Най-често протича с бавно прогресиращи дистални сетивни нарушения. Често е налице лека автономна невропатия. При някои пациенти възникват вторично множествени мононевропатии, вследствие на некротизиращ васкулит. С времето и прогресията на заболяването множествените мононевропатии се припокриват и се създава впечатление за симетрична невропатия. По-рядко се наблюдава генерализирана сензомоторна полиневропатия, подобна на ОВДП или ХВДП.</w:t>
      </w:r>
    </w:p>
    <w:p w14:paraId="5FC8307C"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Изследвания.</w:t>
      </w:r>
      <w:r w:rsidRPr="00AE47C6">
        <w:rPr>
          <w:rFonts w:ascii="Times New Roman" w:eastAsia="MS Mincho" w:hAnsi="Times New Roman"/>
          <w:sz w:val="24"/>
          <w:szCs w:val="24"/>
          <w:lang w:eastAsia="ar-SA"/>
        </w:rPr>
        <w:t xml:space="preserve"> Неврографията показва генерализирана, предимно сетивна аксонопатия с липсващи или нискоамплитудни СНАП. Може да се наблюдава леко намаление на амплитудата на СМАП и леко забавяне на скоростите на провеждане по двигателните влакна. При пациентите с некротизиращ васкулит ЕМГ находката е обичайна за този тип мононевропатии. При пациентите с генерализирана сензомоторна полиневропатия се установяват белези на демиелинизация при неврографията. </w:t>
      </w:r>
    </w:p>
    <w:p w14:paraId="1DF8DC7E"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Лечението</w:t>
      </w:r>
      <w:r w:rsidRPr="00AE47C6">
        <w:rPr>
          <w:rFonts w:ascii="Times New Roman" w:eastAsia="MS Mincho" w:hAnsi="Times New Roman"/>
          <w:sz w:val="24"/>
          <w:szCs w:val="24"/>
          <w:lang w:eastAsia="ar-SA"/>
        </w:rPr>
        <w:t xml:space="preserve"> е имуносупресивно. Ефективно е при пациенти с невропатия, свързана с васкулит. По-слабо ефективно е при пациенти с генерализирана сетивна или сензомоторна полиневропатия без данни за васкулит. При пациенти с полиневропатия, подобна на ОВДП, се прилага лечение, както при ОВДП.</w:t>
      </w:r>
    </w:p>
    <w:p w14:paraId="6F2F8046"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sz w:val="24"/>
          <w:szCs w:val="24"/>
          <w:lang w:eastAsia="ar-SA"/>
        </w:rPr>
        <w:t>Системната склероза (склеродермия)</w:t>
      </w:r>
      <w:r w:rsidRPr="00AE47C6">
        <w:rPr>
          <w:rFonts w:ascii="Times New Roman" w:eastAsia="MS Mincho" w:hAnsi="Times New Roman"/>
          <w:sz w:val="24"/>
          <w:szCs w:val="24"/>
          <w:lang w:eastAsia="ar-SA"/>
        </w:rPr>
        <w:t xml:space="preserve"> протича с прогресираща фиброза на кожата, гастроинтестиналния тракт, бъбреците и белите дробове.</w:t>
      </w:r>
    </w:p>
    <w:p w14:paraId="0C58E79B"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 xml:space="preserve">Невропатия се проявява при 5–14% от пациентите. </w:t>
      </w:r>
    </w:p>
    <w:p w14:paraId="49B9E79F"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Патогенезата</w:t>
      </w:r>
      <w:r w:rsidRPr="00AE47C6">
        <w:rPr>
          <w:rFonts w:ascii="Times New Roman" w:eastAsia="MS Mincho" w:hAnsi="Times New Roman"/>
          <w:sz w:val="24"/>
          <w:szCs w:val="24"/>
          <w:lang w:eastAsia="ar-SA"/>
        </w:rPr>
        <w:t xml:space="preserve"> на невропатията не е известна, но васкулитната генеза е изключително рядка. </w:t>
      </w:r>
    </w:p>
    <w:p w14:paraId="7BF78F15"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Клинично</w:t>
      </w:r>
      <w:r w:rsidRPr="00AE47C6">
        <w:rPr>
          <w:rFonts w:ascii="Times New Roman" w:eastAsia="MS Mincho" w:hAnsi="Times New Roman"/>
          <w:sz w:val="24"/>
          <w:szCs w:val="24"/>
          <w:lang w:eastAsia="ar-SA"/>
        </w:rPr>
        <w:t xml:space="preserve"> протича като дистална симетрична, предимно сетивна полиневропатия. Може да протече и като краниална мононевропатия. Най-често се засяга тригеминалния нерв, със сетивни нарушения, дизестезии, болка като електрически ток или боцкания в областта на лицето. По-рядко се засягат VII и IХ краниален нерв. </w:t>
      </w:r>
    </w:p>
    <w:p w14:paraId="63390E0A"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i/>
          <w:sz w:val="24"/>
          <w:szCs w:val="24"/>
          <w:lang w:eastAsia="ar-SA"/>
        </w:rPr>
        <w:t>CREST синдромът</w:t>
      </w:r>
      <w:r w:rsidRPr="00AE47C6">
        <w:rPr>
          <w:rFonts w:ascii="Times New Roman" w:eastAsia="MS Mincho" w:hAnsi="Times New Roman"/>
          <w:sz w:val="24"/>
          <w:szCs w:val="24"/>
          <w:lang w:eastAsia="ar-SA"/>
        </w:rPr>
        <w:t xml:space="preserve"> (калциноза, феномен на Raynaud, езофагеален дизмотилитет, склеродактилия и телангиектазии) е ограничена форма на склеродермия. При 1–2% от пациентите са описани множествени мононевропатии. Клиничните, ЕМГ и хистологични симптоми показват данни за некротизиращ васкулит, като причина за невропатията.</w:t>
      </w:r>
    </w:p>
    <w:p w14:paraId="1EDC87C0"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b/>
          <w:sz w:val="24"/>
          <w:szCs w:val="24"/>
          <w:lang w:eastAsia="ar-SA"/>
        </w:rPr>
        <w:t>Смесеното заболяване на съединителната тъкан (MCTD)</w:t>
      </w:r>
      <w:r w:rsidRPr="00AE47C6">
        <w:rPr>
          <w:rFonts w:ascii="Times New Roman" w:eastAsia="MS Mincho" w:hAnsi="Times New Roman"/>
          <w:sz w:val="24"/>
          <w:szCs w:val="24"/>
          <w:lang w:eastAsia="ar-SA"/>
        </w:rPr>
        <w:t xml:space="preserve"> е синдром, при който се припокриват SLE, склеродермия и полимиозит. Няма детайлно проучване на невропатията. Съобщава се при 10% от пациентите за лека дистална аксонна сензомоторна полиневропатия. </w:t>
      </w:r>
    </w:p>
    <w:p w14:paraId="0D509CBB"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2.2.4.6. Саркоидоза</w:t>
      </w:r>
    </w:p>
    <w:p w14:paraId="68996C73"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Представлява мултисистемно грануломатозно заболяване, което засяга черния дроб, слезката, мукозните мембрани, паротидната жлеза, мускулната тъкан, централната и периферна нервна система.</w:t>
      </w:r>
    </w:p>
    <w:p w14:paraId="60E272A8"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Жените се засягат по-често.</w:t>
      </w:r>
    </w:p>
    <w:p w14:paraId="6A559309"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Хистопатология.</w:t>
      </w:r>
      <w:r w:rsidRPr="00AE47C6">
        <w:rPr>
          <w:rFonts w:ascii="Times New Roman" w:eastAsia="MS Mincho" w:hAnsi="Times New Roman"/>
          <w:sz w:val="24"/>
          <w:szCs w:val="24"/>
          <w:lang w:eastAsia="ar-SA"/>
        </w:rPr>
        <w:t xml:space="preserve"> Основната находка са неказеиращи грануломи в различни тъкани. При засягане на периферните нерви при биопсия на нерв се установява профузна инфилтрация с множество саркоидни туберкули, които засягат всички области на поддържащите нервни структури (ендоневриум, периневриум и епиневриум) и са свързани с лимфоцитен ангиит. Налице е комбинация от аксонна загуба и демиелинизация. </w:t>
      </w:r>
    </w:p>
    <w:p w14:paraId="6FF6B1B5"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Етиологията</w:t>
      </w:r>
      <w:r w:rsidRPr="00AE47C6">
        <w:rPr>
          <w:rFonts w:ascii="Times New Roman" w:eastAsia="MS Mincho" w:hAnsi="Times New Roman"/>
          <w:sz w:val="24"/>
          <w:szCs w:val="24"/>
          <w:lang w:eastAsia="ar-SA"/>
        </w:rPr>
        <w:t xml:space="preserve"> не е известна. </w:t>
      </w:r>
    </w:p>
    <w:p w14:paraId="660C6D1B"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Патогенезата</w:t>
      </w:r>
      <w:r w:rsidRPr="00AE47C6">
        <w:rPr>
          <w:rFonts w:ascii="Times New Roman" w:eastAsia="MS Mincho" w:hAnsi="Times New Roman"/>
          <w:sz w:val="24"/>
          <w:szCs w:val="24"/>
          <w:lang w:eastAsia="ar-SA"/>
        </w:rPr>
        <w:t xml:space="preserve"> на саркоидозата е автоимунна, но патогенетичният механизъм не е добре изяснен. Невропатията може да бъде в резултат на директна компресия, исхемия, комбинация от двата фактора или да се дължи на други неизяснени фактори. Засягането на краниалните нерви и мононевропатиите на периферните нерви вероятно се дължат на директна инвазия и компресия на нерва. Невропатиите, които наподобяват ОВДП и ХВДП се дължат на дифузна инфилтрация на нерва и нервното коренче или на имунологични нарушения, свързани със саркоидозата. </w:t>
      </w:r>
    </w:p>
    <w:p w14:paraId="05C2847F"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Клиничното</w:t>
      </w:r>
      <w:r w:rsidRPr="00AE47C6">
        <w:rPr>
          <w:rFonts w:ascii="Times New Roman" w:eastAsia="MS Mincho" w:hAnsi="Times New Roman"/>
          <w:sz w:val="24"/>
          <w:szCs w:val="24"/>
          <w:lang w:eastAsia="ar-SA"/>
        </w:rPr>
        <w:t xml:space="preserve"> протичане е много индивидуално и варира от инцидентно установяване при рентгенографии на гръден кош на хилусна аденопатия, до тежки функционални нарушения и смърт. При повечето пациенти се наблюдават неспецифични симптоми, като повишена температура, загуба на тегло и умора. Клинично са налице преходни еритематозни подкожни възли в претибиалната област, придружени от артралгии. Могат да се палпират периферни лимфни възли. Често заболяването започва с остър грануломатозен увеит, който може да прогресира до сериозно нарушение на зрението и слепота. Чести са мукозните лезии в носа и синусите. </w:t>
      </w:r>
    </w:p>
    <w:p w14:paraId="1261ADE4"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 xml:space="preserve">При 5% от пациентите се засягат периферната и централната нервна система. В централната нервна система най-често се засягат менингите, хипоталамуса и хипофизата. В периферната нервна система се засягат краниалните и периферните нерви, особено в областта на спиналните коренчета. Често се проявява като пристъпно-ремитентна множествена мононевропатия на краниалните нерви. Всички краниален нерв може да се засегне. Най-често се засяга VII КН, понякога двустранно. Често се засягат II и ХI КН. </w:t>
      </w:r>
    </w:p>
    <w:p w14:paraId="4858CEAE"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 xml:space="preserve">При някои пациенти клиничното протичане е подобно на радикулопатия на едно или повече нервни коренчета. При генерализирано засягане на коренчетата симптомите са много подобни на ОВДП или ХВДП. Най-често периферната нервна система се засяга под формата на субклинична множествена мононевропатия, която се установява при неврографско изследване. По-рядко клиничното протичане е под формата на бавно прогресираща първична сетивна, моторна или сензомоторна невропатия. </w:t>
      </w:r>
    </w:p>
    <w:p w14:paraId="11FDD4A9"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Изследвания.</w:t>
      </w:r>
      <w:r w:rsidRPr="00AE47C6">
        <w:rPr>
          <w:rFonts w:ascii="Times New Roman" w:eastAsia="MS Mincho" w:hAnsi="Times New Roman"/>
          <w:sz w:val="24"/>
          <w:szCs w:val="24"/>
          <w:lang w:eastAsia="ar-SA"/>
        </w:rPr>
        <w:t xml:space="preserve"> Неврографията при субклинична невропатия показва липсващ или с намалена амплитуда СНАП в засегнатите нерви. СМАП и скоростите на провеждане по двигателните влакна са в норма. ЕМГ изследването е нормално.</w:t>
      </w:r>
    </w:p>
    <w:p w14:paraId="51D41D01"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 xml:space="preserve">При пациенти със симетрична сензомоторна невропатия СНАП е с намалена амплитуда или липсва. Скоростта на провеждане по сетивните влакна е намалена с 20%. По-голямо забавяне на скоростта има при пациенти с добавена демиелинизация към аксонната дегенерация. Скоростта на провеждане по двигателните влакна е намалена с 20% в долните крайници. СМАП са с намалена амплитуда или липсват в долните и с нормални параметри в горните крайници. При пациентите с полирадикулопатия СНАП са в норма, за разлика от СМАП. Игленото ЕМГ изследване при пациенти с дълготрайно заболяване и клинично проявена сензомоторна невропатия или полирадикулопатия показва аксонна загуба. Установяват се остри положителни вълни и фибрилации. Продължителността, амплитудата и броя на фазите на акционните потенциали на моторните единици нарастват. </w:t>
      </w:r>
    </w:p>
    <w:p w14:paraId="51697F63"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Лечението</w:t>
      </w:r>
      <w:r w:rsidRPr="00AE47C6">
        <w:rPr>
          <w:rFonts w:ascii="Times New Roman" w:eastAsia="MS Mincho" w:hAnsi="Times New Roman"/>
          <w:sz w:val="24"/>
          <w:szCs w:val="24"/>
          <w:lang w:eastAsia="ar-SA"/>
        </w:rPr>
        <w:t xml:space="preserve"> на невросаркоидозата, засягаща краниалните нерви се провежда успешно с кортикостероиди. При резистентни пациенти се прилагат имуносупресивни медикаменти (cyclosporine). След преустановяване на лечението заболяването рецидивира.</w:t>
      </w:r>
    </w:p>
    <w:p w14:paraId="5748D281"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2.2.4.7. Идиопатични периневрити</w:t>
      </w:r>
    </w:p>
    <w:p w14:paraId="1FC07B07"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Периневритът е неспецифична хистологична абнормност, с възпаление и задебеляване на периневриума. Може да се установи при биопсия на нерв при пациенти с невропатии вследствие на diabetes mellitus, заболявания на съединителната тъкан, улцерозен колит, васкулити (включително криоглобулинемия), лимфома и други злокачествени заболявания. Описва се и при пациенти с ОВДП и ХВДП. Тази находка не е свързана с определен тип невропатия. Идиопатични периневрити се установяват като основна хистологична находка и при пациенти без системни заболявания.</w:t>
      </w:r>
    </w:p>
    <w:p w14:paraId="363C7F0E"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Хистопатологично</w:t>
      </w:r>
      <w:r w:rsidRPr="00AE47C6">
        <w:rPr>
          <w:rFonts w:ascii="Times New Roman" w:eastAsia="MS Mincho" w:hAnsi="Times New Roman"/>
          <w:sz w:val="24"/>
          <w:szCs w:val="24"/>
          <w:lang w:eastAsia="ar-SA"/>
        </w:rPr>
        <w:t xml:space="preserve"> се установява задебеляване и фиброза на периневриума. Хроничните инфилтрати от възпалителни клетки в периневриума са съставени от лимфоцити и макрофаги. Може да се установи леко периваскуларно възпаление и загуба на миелинизирани нервни влакна, вследствие на аксонна дегенерация. Периневритът, задебеленият периневриум и загубата на нервни влакна могат да бъдат асиметрични в отделните нервни снопчета, което предполага исхемична увреда.</w:t>
      </w:r>
    </w:p>
    <w:p w14:paraId="49E308D0"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Патогенезата</w:t>
      </w:r>
      <w:r w:rsidRPr="00AE47C6">
        <w:rPr>
          <w:rFonts w:ascii="Times New Roman" w:eastAsia="MS Mincho" w:hAnsi="Times New Roman"/>
          <w:sz w:val="24"/>
          <w:szCs w:val="24"/>
          <w:lang w:eastAsia="ar-SA"/>
        </w:rPr>
        <w:t xml:space="preserve"> вероятно е автоимунна. Дискутира се дали периневритът е отделно заболяване. Периневритът може да увреди периферните нерви посредством исхемия, нарушено хранене и отделяне на токсините от нервните влакна към ендоневриума и обратно, както и посредством директна хуморална или клетъчна автоимунна атака насочена срещу нервните влакна. </w:t>
      </w:r>
    </w:p>
    <w:p w14:paraId="25D5ED67"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Клиничното протичане</w:t>
      </w:r>
      <w:r w:rsidRPr="00AE47C6">
        <w:rPr>
          <w:rFonts w:ascii="Times New Roman" w:eastAsia="MS Mincho" w:hAnsi="Times New Roman"/>
          <w:sz w:val="24"/>
          <w:szCs w:val="24"/>
          <w:lang w:eastAsia="ar-SA"/>
        </w:rPr>
        <w:t xml:space="preserve"> е вариабилно. При периневрит вследствие на диабет или васкулит се развива множествена мононевропатия, със сетивни нарушения, дизестезии, хиперпатия и мускулна слабост в зоната на инервация на множество засегнати периферни нерви. При други пациенти се развива хронична прогресивна и симетрична двигателна и сетивна загуба, неразличима от ОВДП и ХВДП. При друга група пациенти с идиопатичен периневрит клиничната картина е различна, с мигриращи области от сетивни нарушения, хипестезия, хиперпатия, дизестезии и болка при разтягане на нервните стволове. Симптомът на Tinel е положителен в засегнатите нерви. Тънките сетивни нервни влакна са по-силно засегнати от дебелите. Сухожилните рефлекси и мускулната сила са запазени. </w:t>
      </w:r>
    </w:p>
    <w:p w14:paraId="1B015A18"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Протичането</w:t>
      </w:r>
      <w:r w:rsidRPr="00AE47C6">
        <w:rPr>
          <w:rFonts w:ascii="Times New Roman" w:eastAsia="MS Mincho" w:hAnsi="Times New Roman"/>
          <w:sz w:val="24"/>
          <w:szCs w:val="24"/>
          <w:lang w:eastAsia="ar-SA"/>
        </w:rPr>
        <w:t xml:space="preserve"> на заболяването е пристъпно-ремитентно. </w:t>
      </w:r>
    </w:p>
    <w:p w14:paraId="1DE9FDBF"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Изследвания.</w:t>
      </w:r>
      <w:r w:rsidRPr="00AE47C6">
        <w:rPr>
          <w:rFonts w:ascii="Times New Roman" w:eastAsia="MS Mincho" w:hAnsi="Times New Roman"/>
          <w:sz w:val="24"/>
          <w:szCs w:val="24"/>
          <w:lang w:eastAsia="ar-SA"/>
        </w:rPr>
        <w:t xml:space="preserve"> Лабораторните изследвания, включително ANA, ESR, чернодробни тестове, електрофореза на серумни протеини и изследвания за васкулит са нормални. Ликворният протеин е нормален при пациенти със сетивна невропатия. Наличието на лабораторни абнормности говори за системно заболяване, като васкулит. Повишен ликворен протеин се установява при пациенти с форми наподобяващи ОВДП и при пациенти с диабет с множествена мононевропатия или лумбосакрална полирадикулоплексопатия.  </w:t>
      </w:r>
    </w:p>
    <w:p w14:paraId="34B8569D"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Неврографски се установяват намалени по амплитуда или липсващи СНАП. Скоростите на провеждане по двигателните влакна и иглената ЕМГ са нормални, освен при пациенти с множествена мононевропатия или радикулоплексопатия с двигателни и сетивни нарушения.</w:t>
      </w:r>
    </w:p>
    <w:p w14:paraId="1EDF90CA"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 xml:space="preserve">Лечението </w:t>
      </w:r>
      <w:r w:rsidRPr="00AE47C6">
        <w:rPr>
          <w:rFonts w:ascii="Times New Roman" w:eastAsia="MS Mincho" w:hAnsi="Times New Roman"/>
          <w:sz w:val="24"/>
          <w:szCs w:val="24"/>
          <w:lang w:eastAsia="ar-SA"/>
        </w:rPr>
        <w:t xml:space="preserve">се провежда с имунотерапия. При пациентите с истински васкулит или ОВДП се провежда имуносупресия, IVIG или плазмафереза. Prednisone повлиява болката при пациенти с идиопатична сетивна невропатия. </w:t>
      </w:r>
    </w:p>
    <w:p w14:paraId="01C2615D"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2.2.4.8. Хипереозинофилен синдром</w:t>
      </w:r>
    </w:p>
    <w:p w14:paraId="191DE74F"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Характеризира се с еозинофилия, придружена от различни кожни, сърдечни, хематологични и неврологични нарушения.</w:t>
      </w:r>
    </w:p>
    <w:p w14:paraId="2B3F6FDC"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Патогенезата</w:t>
      </w:r>
      <w:r w:rsidRPr="00AE47C6">
        <w:rPr>
          <w:rFonts w:ascii="Times New Roman" w:eastAsia="MS Mincho" w:hAnsi="Times New Roman"/>
          <w:sz w:val="24"/>
          <w:szCs w:val="24"/>
          <w:lang w:eastAsia="ar-SA"/>
        </w:rPr>
        <w:t xml:space="preserve"> е вероятно автоимунна, но не участва васкулитен компонент, освен в кожните промени. Нарушената функция на множество органи се свързва с еозинофилия и някои разпадни продукти на еозинофилите. </w:t>
      </w:r>
    </w:p>
    <w:p w14:paraId="3BB31135"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Клинично</w:t>
      </w:r>
      <w:r w:rsidRPr="00AE47C6">
        <w:rPr>
          <w:rFonts w:ascii="Times New Roman" w:eastAsia="MS Mincho" w:hAnsi="Times New Roman"/>
          <w:sz w:val="24"/>
          <w:szCs w:val="24"/>
          <w:lang w:eastAsia="ar-SA"/>
        </w:rPr>
        <w:t xml:space="preserve"> невропатия се проявява при 6–14% от пациентите. Протича като генерализирана полиневропатия или множествена мононевропатия. При някои пациенти се проявява и възпалителна миопатия. </w:t>
      </w:r>
    </w:p>
    <w:p w14:paraId="5FA7E044"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 xml:space="preserve">Неврографските </w:t>
      </w:r>
      <w:r w:rsidRPr="00AE47C6">
        <w:rPr>
          <w:rFonts w:ascii="Times New Roman" w:eastAsia="MS Mincho" w:hAnsi="Times New Roman"/>
          <w:sz w:val="24"/>
          <w:szCs w:val="24"/>
          <w:lang w:eastAsia="ar-SA"/>
        </w:rPr>
        <w:t xml:space="preserve">промени са характерни за аксонна сензомоторна невропатия. </w:t>
      </w:r>
    </w:p>
    <w:p w14:paraId="46536B84"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2.2.4.9. Синдром на Isaacs</w:t>
      </w:r>
    </w:p>
    <w:p w14:paraId="0950867E"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sz w:val="24"/>
          <w:szCs w:val="24"/>
          <w:lang w:eastAsia="ar-SA"/>
        </w:rPr>
        <w:t xml:space="preserve">Известен е още като невромиотония или синдром на продължителна активност на мускулните влакна. По-често е спорадичен, отколкото наследствен. </w:t>
      </w:r>
    </w:p>
    <w:p w14:paraId="71443396"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Етиологията</w:t>
      </w:r>
      <w:r w:rsidRPr="00AE47C6">
        <w:rPr>
          <w:rFonts w:ascii="Times New Roman" w:eastAsia="MS Mincho" w:hAnsi="Times New Roman"/>
          <w:sz w:val="24"/>
          <w:szCs w:val="24"/>
          <w:lang w:eastAsia="ar-SA"/>
        </w:rPr>
        <w:t xml:space="preserve"> е паранеопластична при злокачествено заболяване. При някои пациенти с придобитата форма се установяват автоантитела срещу волтажно зависимите K канали в периферните нерви. Мутации в тези канали се установяват при пациенти с наследствена епизодична атаксия, при които също има генерализирана миокимия.</w:t>
      </w:r>
    </w:p>
    <w:p w14:paraId="607BFAF3" w14:textId="77777777" w:rsidR="00BE0B19" w:rsidRPr="00AE47C6" w:rsidRDefault="00BE0B19" w:rsidP="00BE0B19">
      <w:pPr>
        <w:widowControl w:val="0"/>
        <w:tabs>
          <w:tab w:val="left" w:pos="720"/>
        </w:tabs>
        <w:suppressAutoHyphens/>
        <w:spacing w:after="0" w:line="360" w:lineRule="auto"/>
        <w:ind w:firstLine="709"/>
        <w:jc w:val="both"/>
        <w:rPr>
          <w:rFonts w:ascii="Times New Roman" w:eastAsia="MS Mincho" w:hAnsi="Times New Roman"/>
          <w:sz w:val="24"/>
          <w:szCs w:val="24"/>
          <w:lang w:eastAsia="ar-SA"/>
        </w:rPr>
      </w:pPr>
      <w:r w:rsidRPr="00AE47C6">
        <w:rPr>
          <w:rFonts w:ascii="Times New Roman" w:eastAsia="MS Mincho" w:hAnsi="Times New Roman"/>
          <w:i/>
          <w:sz w:val="24"/>
          <w:szCs w:val="24"/>
          <w:lang w:eastAsia="ar-SA"/>
        </w:rPr>
        <w:t>Клинично</w:t>
      </w:r>
      <w:r w:rsidRPr="00AE47C6">
        <w:rPr>
          <w:rFonts w:ascii="Times New Roman" w:eastAsia="MS Mincho" w:hAnsi="Times New Roman"/>
          <w:sz w:val="24"/>
          <w:szCs w:val="24"/>
          <w:lang w:eastAsia="ar-SA"/>
        </w:rPr>
        <w:t xml:space="preserve"> се проявява с мускулни съкращения (миокимия) в покой, мускулни крампи и повишен мускулен тонус, които се засилват след движение и ексцесивно изпотяване. Може да има или не симптоми на невропатия. Придобитата форма може да придружава други автоимунни заболявания, като myasthenia gravis и ХВДП, тимом и рак (лимфома и дребноклетъчен белодробен карцином). </w:t>
      </w:r>
    </w:p>
    <w:p w14:paraId="0F57270E"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53" w:name="_Toc155651726"/>
      <w:bookmarkStart w:id="54" w:name="_Toc164075858"/>
      <w:r w:rsidRPr="00AE47C6">
        <w:rPr>
          <w:rFonts w:ascii="Times New Roman" w:eastAsia="SimSun" w:hAnsi="Times New Roman"/>
          <w:b/>
          <w:sz w:val="24"/>
          <w:szCs w:val="20"/>
          <w:lang w:eastAsia="ja-JP"/>
        </w:rPr>
        <w:t>2.2.5. Наследствени полиневропатии</w:t>
      </w:r>
      <w:bookmarkEnd w:id="53"/>
      <w:bookmarkEnd w:id="54"/>
    </w:p>
    <w:p w14:paraId="1D81F158"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sz w:val="24"/>
          <w:szCs w:val="24"/>
        </w:rPr>
        <w:t>Подразделят се на моторно-сетивни (НМСН), моторни (НМН), сетивни (НСН) и сетивни и автономни (НСАН) невропатии.</w:t>
      </w:r>
    </w:p>
    <w:p w14:paraId="1D148BB9"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 xml:space="preserve">2.2.5.1. Наследствени моторно-сетивни невропатии (НМСН) </w:t>
      </w:r>
    </w:p>
    <w:p w14:paraId="3840E803"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2.2.5.2. Наследствени сетивни и автономни невропатии (НСАН)</w:t>
      </w:r>
    </w:p>
    <w:p w14:paraId="2D119096"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 xml:space="preserve">2.2.5.3. Наследствени моторни невропатии (НМН). Дистални моторни невропатии </w:t>
      </w:r>
    </w:p>
    <w:p w14:paraId="15E487A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(виж раздел 9.4.1)</w:t>
      </w:r>
    </w:p>
    <w:p w14:paraId="7B343414"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2.2.5.4. Невропатии при вродени метаболитни заболявания</w:t>
      </w:r>
    </w:p>
    <w:p w14:paraId="1CBEE87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Невропатиите са част от симптомокомплекса на множество вродени метаболитни заболявания – лизозомни и пероксизомни болести, фамилни амилоидози, порфирия, болест на Fabry, болест на Tangier и митохондриални заболявания. Първично или вторично се засягат Швановите клетки или невроните на периферната нервна система. Морфологичните прояви са разнообразни, но основно се развиват аксонна дегенерация или сегментна демиелинизация/ремиелинизация. При различните заболявания се засягат предилекционно дебело миелинизираните, слабо миелинизираните или немиелинизираните влакна на периферните нерви.</w:t>
      </w:r>
    </w:p>
    <w:p w14:paraId="62E9DBC0" w14:textId="77777777" w:rsidR="00BE0B19" w:rsidRPr="00AE47C6" w:rsidRDefault="00BE0B19" w:rsidP="00BE0B19">
      <w:pPr>
        <w:spacing w:before="240" w:after="240" w:line="240" w:lineRule="auto"/>
        <w:jc w:val="both"/>
        <w:outlineLvl w:val="4"/>
        <w:rPr>
          <w:rFonts w:ascii="Times New Roman" w:eastAsia="SimSun" w:hAnsi="Times New Roman"/>
          <w:b/>
          <w:bCs/>
          <w:iCs/>
          <w:sz w:val="24"/>
          <w:szCs w:val="26"/>
        </w:rPr>
      </w:pPr>
      <w:r w:rsidRPr="00AE47C6">
        <w:rPr>
          <w:rFonts w:ascii="Times New Roman" w:eastAsia="SimSun" w:hAnsi="Times New Roman"/>
          <w:b/>
          <w:bCs/>
          <w:iCs/>
          <w:sz w:val="24"/>
          <w:szCs w:val="26"/>
        </w:rPr>
        <w:t xml:space="preserve">2.2.5.4.1. Невропатии при пероксизомни болести. Адренолевкодистрофия и адреномиелоневропатия. Болест на Refsum </w:t>
      </w:r>
    </w:p>
    <w:p w14:paraId="40A0348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Пероксизомните болести се разделят на две големи категории – с дефекти в биогенезата на пероксизомите и с дефицит на отделни пероксизомни ензими. Към втората група спадат АЛД/адреномиелоневропатията (АМН) и болестта на Refsum. АЛД/АМН е Х-свързано рецесивно заболяване. И двата вида прояви могат да се наблюдават в една и съща фамилия, с различна възраст на начало и степен на изразеност. Клинично при АМН е налице изразена полиневропатия. </w:t>
      </w:r>
    </w:p>
    <w:p w14:paraId="5D0B3E4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Болест на Refsum. </w:t>
      </w:r>
      <w:r w:rsidRPr="00AE47C6">
        <w:rPr>
          <w:rFonts w:ascii="Times New Roman" w:eastAsia="SimSun" w:hAnsi="Times New Roman"/>
          <w:sz w:val="24"/>
          <w:szCs w:val="24"/>
        </w:rPr>
        <w:t xml:space="preserve">Заболяването е АР, дължащо се на вроден дефект на липидния метаболизъм. </w:t>
      </w:r>
      <w:r w:rsidRPr="00AE47C6">
        <w:rPr>
          <w:rFonts w:ascii="Times New Roman" w:eastAsia="SimSun" w:hAnsi="Times New Roman"/>
          <w:i/>
          <w:iCs/>
          <w:sz w:val="24"/>
          <w:szCs w:val="24"/>
        </w:rPr>
        <w:t>Епидемиология.</w:t>
      </w:r>
      <w:r w:rsidRPr="00AE47C6">
        <w:rPr>
          <w:rFonts w:ascii="Times New Roman" w:eastAsia="SimSun" w:hAnsi="Times New Roman"/>
          <w:sz w:val="24"/>
          <w:szCs w:val="24"/>
        </w:rPr>
        <w:t xml:space="preserve"> Заболяването е най-разпространено в Норвегия и другите Скандинавски държави, Северна Франция, Великобритания и Ирландия. </w:t>
      </w:r>
      <w:r w:rsidRPr="00AE47C6">
        <w:rPr>
          <w:rFonts w:ascii="Times New Roman" w:eastAsia="SimSun" w:hAnsi="Times New Roman"/>
          <w:i/>
          <w:iCs/>
          <w:sz w:val="24"/>
          <w:szCs w:val="24"/>
        </w:rPr>
        <w:t xml:space="preserve">Етиология. </w:t>
      </w:r>
      <w:r w:rsidRPr="00AE47C6">
        <w:rPr>
          <w:rFonts w:ascii="Times New Roman" w:eastAsia="SimSun" w:hAnsi="Times New Roman"/>
          <w:sz w:val="24"/>
          <w:szCs w:val="24"/>
        </w:rPr>
        <w:t xml:space="preserve">При всички пациенти е дефектна алфа-оксидацията, чрез която нормално се разгражда фитановата киселина. </w:t>
      </w:r>
      <w:r w:rsidRPr="00AE47C6">
        <w:rPr>
          <w:rFonts w:ascii="Times New Roman" w:eastAsia="SimSun" w:hAnsi="Times New Roman"/>
          <w:i/>
          <w:iCs/>
          <w:sz w:val="24"/>
          <w:szCs w:val="24"/>
        </w:rPr>
        <w:t xml:space="preserve">Клиничната картина </w:t>
      </w:r>
      <w:r w:rsidRPr="00AE47C6">
        <w:rPr>
          <w:rFonts w:ascii="Times New Roman" w:eastAsia="SimSun" w:hAnsi="Times New Roman"/>
          <w:sz w:val="24"/>
          <w:szCs w:val="24"/>
        </w:rPr>
        <w:t xml:space="preserve">включва следната тетрада: </w:t>
      </w:r>
      <w:r w:rsidRPr="00AE47C6">
        <w:rPr>
          <w:rFonts w:ascii="Times New Roman" w:eastAsia="SimSun" w:hAnsi="Times New Roman"/>
          <w:i/>
          <w:sz w:val="24"/>
          <w:szCs w:val="24"/>
        </w:rPr>
        <w:t>пигментна дегенерация на ретината, невропатия, церебеларни признаци и хиперпротеинрахия</w:t>
      </w:r>
      <w:r w:rsidRPr="00AE47C6">
        <w:rPr>
          <w:rFonts w:ascii="Times New Roman" w:eastAsia="SimSun" w:hAnsi="Times New Roman"/>
          <w:sz w:val="24"/>
          <w:szCs w:val="24"/>
        </w:rPr>
        <w:t xml:space="preserve">. Като непостоянни находки при голям процент от пациентите се откриват сензо-неврална глухота, аносмия, кожни промени, скелетни малформации и сърдечни аномалии. Възрастта на началото може да варира от ранно детство до трета или четвърта декади. Най-ранен симптом е </w:t>
      </w:r>
      <w:r w:rsidRPr="00AE47C6">
        <w:rPr>
          <w:rFonts w:ascii="Times New Roman" w:eastAsia="SimSun" w:hAnsi="Times New Roman"/>
          <w:i/>
          <w:sz w:val="24"/>
          <w:szCs w:val="24"/>
        </w:rPr>
        <w:t xml:space="preserve">хемералопия </w:t>
      </w:r>
      <w:r w:rsidRPr="00AE47C6">
        <w:rPr>
          <w:rFonts w:ascii="Times New Roman" w:eastAsia="SimSun" w:hAnsi="Times New Roman"/>
          <w:sz w:val="24"/>
          <w:szCs w:val="24"/>
        </w:rPr>
        <w:t xml:space="preserve">поради </w:t>
      </w:r>
      <w:r w:rsidRPr="00AE47C6">
        <w:rPr>
          <w:rFonts w:ascii="Times New Roman" w:eastAsia="SimSun" w:hAnsi="Times New Roman"/>
          <w:i/>
          <w:sz w:val="24"/>
          <w:szCs w:val="24"/>
        </w:rPr>
        <w:t>пигментната ретинопатия</w:t>
      </w:r>
      <w:r w:rsidRPr="00AE47C6">
        <w:rPr>
          <w:rFonts w:ascii="Times New Roman" w:eastAsia="SimSun" w:hAnsi="Times New Roman"/>
          <w:sz w:val="24"/>
          <w:szCs w:val="24"/>
        </w:rPr>
        <w:t xml:space="preserve">. </w:t>
      </w:r>
      <w:r w:rsidRPr="00AE47C6">
        <w:rPr>
          <w:rFonts w:ascii="Times New Roman" w:eastAsia="SimSun" w:hAnsi="Times New Roman"/>
          <w:i/>
          <w:iCs/>
          <w:sz w:val="24"/>
          <w:szCs w:val="24"/>
        </w:rPr>
        <w:t xml:space="preserve">Изследвания. </w:t>
      </w:r>
      <w:r w:rsidRPr="00AE47C6">
        <w:rPr>
          <w:rFonts w:ascii="Times New Roman" w:eastAsia="SimSun" w:hAnsi="Times New Roman"/>
          <w:sz w:val="24"/>
          <w:szCs w:val="24"/>
        </w:rPr>
        <w:t xml:space="preserve">Електроретинографията е от голяма полза за поставяне на диагнозата в ранните етапи от развитието на болестта. Електроневрографски се установява периферно-нервно засягане. Биохимичното изследване показва </w:t>
      </w:r>
      <w:r w:rsidRPr="00AE47C6">
        <w:rPr>
          <w:rFonts w:ascii="Times New Roman" w:eastAsia="SimSun" w:hAnsi="Times New Roman"/>
          <w:i/>
          <w:sz w:val="24"/>
          <w:szCs w:val="24"/>
        </w:rPr>
        <w:t>излишък на фитанова киселина</w:t>
      </w:r>
      <w:r w:rsidRPr="00AE47C6">
        <w:rPr>
          <w:rFonts w:ascii="Times New Roman" w:eastAsia="SimSun" w:hAnsi="Times New Roman"/>
          <w:sz w:val="24"/>
          <w:szCs w:val="24"/>
        </w:rPr>
        <w:t>.</w:t>
      </w:r>
    </w:p>
    <w:p w14:paraId="136249CC" w14:textId="77777777" w:rsidR="00BE0B19" w:rsidRPr="00AE47C6" w:rsidRDefault="00BE0B19" w:rsidP="00BE0B19">
      <w:pPr>
        <w:spacing w:after="0" w:line="360" w:lineRule="auto"/>
        <w:jc w:val="both"/>
        <w:rPr>
          <w:rFonts w:ascii="Times New Roman" w:eastAsia="SimSun" w:hAnsi="Times New Roman"/>
          <w:b/>
          <w:sz w:val="24"/>
          <w:szCs w:val="24"/>
        </w:rPr>
      </w:pPr>
    </w:p>
    <w:p w14:paraId="3CB5DC92" w14:textId="77777777" w:rsidR="00BE0B19" w:rsidRPr="00AE47C6" w:rsidRDefault="00BE0B19" w:rsidP="00BE0B19">
      <w:pPr>
        <w:spacing w:before="240" w:after="240" w:line="240" w:lineRule="auto"/>
        <w:outlineLvl w:val="4"/>
        <w:rPr>
          <w:rFonts w:ascii="Times New Roman" w:eastAsia="SimSun" w:hAnsi="Times New Roman"/>
          <w:b/>
          <w:bCs/>
          <w:iCs/>
          <w:sz w:val="24"/>
          <w:szCs w:val="26"/>
        </w:rPr>
      </w:pPr>
      <w:r w:rsidRPr="00AE47C6">
        <w:rPr>
          <w:rFonts w:ascii="Times New Roman" w:eastAsia="SimSun" w:hAnsi="Times New Roman"/>
          <w:b/>
          <w:bCs/>
          <w:iCs/>
          <w:sz w:val="24"/>
          <w:szCs w:val="26"/>
        </w:rPr>
        <w:t>2.2.5.4.2. Фамилни амилоидни полиневропатии</w:t>
      </w:r>
    </w:p>
    <w:p w14:paraId="27DB8F2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 xml:space="preserve">Определение. </w:t>
      </w:r>
      <w:r w:rsidRPr="00AE47C6">
        <w:rPr>
          <w:rFonts w:ascii="Times New Roman" w:eastAsia="SimSun" w:hAnsi="Times New Roman"/>
          <w:sz w:val="24"/>
          <w:szCs w:val="24"/>
        </w:rPr>
        <w:t xml:space="preserve">Хетерогенна група от АД заболявания, част от групата на амилоидозите, характеризиращи се с отлагане на фибрилерен протеин в извънклетъчното пространство. Различните видове амилоидози се определят от протеина, формиращ амилоида. Амилоидозата може да бъде системна или локализирана. Възрастта на поява на симптомите, моделът на въвличане на органи, както и хода на заболяването варират, но повечето патологични генетични варианти са свързани със сърдечно и/или неврологично засягане. Стомашно-чревният  тракт, стъкловидното тяло, белите дробове и карпалният лигамент  са също често засегнати. Най-честите системни форми са: първична леко верижна амилоидоза, вторична или реактивна амилоидоза и ФАП (съставляващи протеини: transthyretin [TTР], apolipoprotein А-І и gelsolin). Съществуват и много локализирани форми на амилоидозата, включително и засягащи ЦНС (напр. болестта на Alzheimer). Амилоидната невропатия, класически наблюдаваща се при ФАП, може да бъде проява и на първичната леко верижна амилоидоза и на свързаната с диализа амилоидоза. </w:t>
      </w:r>
    </w:p>
    <w:p w14:paraId="2D0EA068" w14:textId="77777777" w:rsidR="00BE0B19" w:rsidRPr="00AE47C6" w:rsidRDefault="00BE0B19" w:rsidP="00BE0B19">
      <w:pPr>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sz w:val="24"/>
          <w:szCs w:val="24"/>
        </w:rPr>
        <w:t>TTR-свързана ФАП</w:t>
      </w:r>
    </w:p>
    <w:p w14:paraId="252C913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 xml:space="preserve">Етиология. </w:t>
      </w:r>
      <w:r w:rsidRPr="00AE47C6">
        <w:rPr>
          <w:rFonts w:ascii="Times New Roman" w:eastAsia="SimSun" w:hAnsi="Times New Roman"/>
          <w:sz w:val="24"/>
          <w:szCs w:val="24"/>
        </w:rPr>
        <w:t xml:space="preserve">Патологични генетични варианти в TTР гена ускоряват процеса на образуване на TTР амилоид и са най-важният рисков фактор за развитие на клинично значима ATTР. Повече от 130 амилоидогенни </w:t>
      </w:r>
      <w:r w:rsidRPr="00AE47C6">
        <w:rPr>
          <w:rFonts w:ascii="Times New Roman" w:eastAsia="SimSun" w:hAnsi="Times New Roman"/>
          <w:i/>
          <w:sz w:val="24"/>
          <w:szCs w:val="24"/>
        </w:rPr>
        <w:t>TTР</w:t>
      </w:r>
      <w:r w:rsidRPr="00AE47C6">
        <w:rPr>
          <w:rFonts w:ascii="Times New Roman" w:eastAsia="SimSun" w:hAnsi="Times New Roman"/>
          <w:sz w:val="24"/>
          <w:szCs w:val="24"/>
        </w:rPr>
        <w:t xml:space="preserve"> варианти предизвикват системна хередитарна амилоидоза. TTР амилоидозата е най-честата причина за наследствена амилоидна невропатия. </w:t>
      </w:r>
    </w:p>
    <w:p w14:paraId="39CAF5B8"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Повечето варианти, които причиняват фамилна ATTР, са редки, но някои са често срещани при определени групи от населението. До момента при български пациенти са открити следните патогенни варианти в TTР гена:</w:t>
      </w:r>
    </w:p>
    <w:p w14:paraId="3A41636B" w14:textId="77777777" w:rsidR="00BE0B19" w:rsidRPr="00AE47C6" w:rsidRDefault="00BE0B19" w:rsidP="00BE0B19">
      <w:pPr>
        <w:numPr>
          <w:ilvl w:val="0"/>
          <w:numId w:val="342"/>
        </w:num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c.148G&gt;A, p.Val30Met (p.Val50Met)</w:t>
      </w:r>
      <w:r w:rsidRPr="00AE47C6">
        <w:rPr>
          <w:rFonts w:ascii="Times New Roman" w:eastAsia="SimSun" w:hAnsi="Times New Roman"/>
          <w:sz w:val="24"/>
          <w:szCs w:val="24"/>
        </w:rPr>
        <w:t xml:space="preserve"> е първият открит патогенен генетичен вариант в TTР гена при пациенти с автозомно-доминантна амилоидоза, засягаща периферните нерви, сърцето и други органи, описани в Португалия, Япония и Швеция, впоследствие и в целия свят. Установено е, че фибрилите при пациентите съдържат транстиретин, който носи замяна на метионина с валин на позиция 30. Аминокиселинната замяна се дължи на missense вариант в TTР гена. Ранните симптоми възникват като периферна невропатия, но тези пациенти в действителност имат системна амилоидоза със засягане на сърцето, стомашно-чревния тракт, очите и други органи.</w:t>
      </w:r>
    </w:p>
    <w:p w14:paraId="798FD5F6" w14:textId="77777777" w:rsidR="00BE0B19" w:rsidRPr="00AE47C6" w:rsidRDefault="00BE0B19" w:rsidP="00BE0B19">
      <w:pPr>
        <w:numPr>
          <w:ilvl w:val="0"/>
          <w:numId w:val="342"/>
        </w:num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c.200G&gt;A; p.Gly47Glu (p.Gly67Glu) </w:t>
      </w:r>
      <w:r w:rsidRPr="00AE47C6">
        <w:rPr>
          <w:rFonts w:ascii="Times New Roman" w:eastAsia="SimSun" w:hAnsi="Times New Roman"/>
          <w:sz w:val="24"/>
          <w:szCs w:val="24"/>
        </w:rPr>
        <w:t xml:space="preserve">патогенен генетичен вариант е открит за пръв път при пациенти от италиански произход, описани и български пациенти от ромски произход. Заболяването обикновено е с по-ранно начало и по-агресивен ход с кратка преживяемост. </w:t>
      </w:r>
    </w:p>
    <w:p w14:paraId="1E103342" w14:textId="77777777" w:rsidR="00BE0B19" w:rsidRPr="00AE47C6" w:rsidRDefault="00BE0B19" w:rsidP="00BE0B19">
      <w:pPr>
        <w:numPr>
          <w:ilvl w:val="0"/>
          <w:numId w:val="342"/>
        </w:num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c.214T&gt;C, p.Ser52Pro (p.Ser72Pro) </w:t>
      </w:r>
      <w:r w:rsidRPr="00AE47C6">
        <w:rPr>
          <w:rFonts w:ascii="Times New Roman" w:eastAsia="SimSun" w:hAnsi="Times New Roman"/>
          <w:sz w:val="24"/>
          <w:szCs w:val="24"/>
        </w:rPr>
        <w:t xml:space="preserve">е патогенен генетичен вариант е описана за първи път при британски пациенти, описана е и една българска фамилия. </w:t>
      </w:r>
    </w:p>
    <w:p w14:paraId="6E8B2C3D" w14:textId="77777777" w:rsidR="00BE0B19" w:rsidRPr="00AE47C6" w:rsidRDefault="00BE0B19" w:rsidP="00BE0B19">
      <w:pPr>
        <w:numPr>
          <w:ilvl w:val="0"/>
          <w:numId w:val="342"/>
        </w:num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 xml:space="preserve">c.290C&gt;T, p.Ser77Phe (p.Ser97Phe) </w:t>
      </w:r>
      <w:r w:rsidRPr="00AE47C6">
        <w:rPr>
          <w:rFonts w:ascii="Times New Roman" w:eastAsia="SimSun" w:hAnsi="Times New Roman"/>
          <w:sz w:val="24"/>
          <w:szCs w:val="24"/>
        </w:rPr>
        <w:t>е генетичният вариант е описана за първи път във Франция, а в България е открит при няколко семейства. Водещата фенотипна изява е полиневропатия.</w:t>
      </w:r>
    </w:p>
    <w:p w14:paraId="6C2D0204" w14:textId="77777777" w:rsidR="00BE0B19" w:rsidRPr="00AE47C6" w:rsidRDefault="00BE0B19" w:rsidP="00BE0B19">
      <w:pPr>
        <w:numPr>
          <w:ilvl w:val="0"/>
          <w:numId w:val="342"/>
        </w:num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 xml:space="preserve">c.325G&gt;C, p.Glu89Gln (p.Glu109Gln) е </w:t>
      </w:r>
      <w:r w:rsidRPr="00AE47C6">
        <w:rPr>
          <w:rFonts w:ascii="Times New Roman" w:eastAsia="SimSun" w:hAnsi="Times New Roman"/>
          <w:sz w:val="24"/>
          <w:szCs w:val="24"/>
        </w:rPr>
        <w:t>генетичен вариант, описана за първи път в Италия, но е открит и при голям брой български пациенти. Повечето от семействата са от региона на Кюстендилска и Благоевградска области, което се очертава като ендемичен регион за територията на Република България. Водещата фенотипна изява е полиневропатия, често съпроводена с рестриктивна кардиомиопатия.</w:t>
      </w:r>
    </w:p>
    <w:p w14:paraId="15B335FD" w14:textId="77777777" w:rsidR="00BE0B19" w:rsidRPr="00AE47C6" w:rsidRDefault="00BE0B19" w:rsidP="00BE0B19">
      <w:pPr>
        <w:spacing w:after="0" w:line="360" w:lineRule="auto"/>
        <w:ind w:firstLine="360"/>
        <w:jc w:val="both"/>
        <w:rPr>
          <w:rFonts w:ascii="Times New Roman" w:eastAsia="SimSun" w:hAnsi="Times New Roman"/>
          <w:sz w:val="24"/>
          <w:szCs w:val="24"/>
        </w:rPr>
      </w:pPr>
      <w:r w:rsidRPr="00AE47C6">
        <w:rPr>
          <w:rFonts w:ascii="Times New Roman" w:eastAsia="SimSun" w:hAnsi="Times New Roman"/>
          <w:sz w:val="24"/>
          <w:szCs w:val="24"/>
        </w:rPr>
        <w:t>Хередитарната ATTР традиционно се приема за моногенно автозомно-доминантно заболявания, но вече е известно, че болестта е далеч по-сложна. Най-многобройни данни в световен мащаб са налични за варианта p.Val30Met, но вече са налични и по-задълбочени изследвания и за други варианти като например p.Glu89Gln, наречена вече „Българска мутация“. Наблюдавани са следните особености:</w:t>
      </w:r>
    </w:p>
    <w:p w14:paraId="172AD8FE" w14:textId="77777777" w:rsidR="00BE0B19" w:rsidRPr="00AE47C6" w:rsidRDefault="00BE0B19" w:rsidP="00BE0B19">
      <w:pPr>
        <w:numPr>
          <w:ilvl w:val="0"/>
          <w:numId w:val="34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Вариации във възрастта на поява на първите симптоми: Обичайната възраст на начало на заболяването сред носителите на p.Val30Met в Португалия, Бразилия и Япония, е в третото до четвъртото десетилетие от живота. Все пак, има случаи с късно начало (като например  в Швеция), при които началото на заболяването е в петата до шестата декада от живота. В България носителите на този патологичен вариант се характеризират с късно начало. </w:t>
      </w:r>
    </w:p>
    <w:p w14:paraId="61D356F2" w14:textId="77777777" w:rsidR="00BE0B19" w:rsidRPr="00AE47C6" w:rsidRDefault="00BE0B19" w:rsidP="00BE0B19">
      <w:pPr>
        <w:numPr>
          <w:ilvl w:val="0"/>
          <w:numId w:val="34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Различна пенетрантност на заболяването: в Португалия и Япония повече от 90% от носителите на  p.Val30Met развиват симптоми до средна възраст. Въпреки това, в Швеция пенетрантността на заболяването е само 2%, а някои p.Val30Met хомозиготни индивиди остават асимптомни. </w:t>
      </w:r>
    </w:p>
    <w:p w14:paraId="03BB777B" w14:textId="77777777" w:rsidR="00BE0B19" w:rsidRPr="00AE47C6" w:rsidRDefault="00BE0B19" w:rsidP="00BE0B19">
      <w:pPr>
        <w:numPr>
          <w:ilvl w:val="0"/>
          <w:numId w:val="34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Някои атипични португалски и японски родственици следват шведския модел на късно начало с ниска пенетрантност.</w:t>
      </w:r>
    </w:p>
    <w:p w14:paraId="49E35CEF" w14:textId="77777777" w:rsidR="00BE0B19" w:rsidRPr="00AE47C6" w:rsidRDefault="00BE0B19" w:rsidP="00BE0B19">
      <w:pPr>
        <w:numPr>
          <w:ilvl w:val="0"/>
          <w:numId w:val="34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Някои пациенти без фамилна анамнеза за амилоидоза имат асимптомни роднини носители на p.Val30Met варианта.</w:t>
      </w:r>
    </w:p>
    <w:p w14:paraId="32711FF5" w14:textId="77777777" w:rsidR="00BE0B19" w:rsidRPr="00AE47C6" w:rsidRDefault="00BE0B19" w:rsidP="00BE0B19">
      <w:pPr>
        <w:numPr>
          <w:ilvl w:val="0"/>
          <w:numId w:val="34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Началото на заболяването е по-рано при мъжете, отколкото при жените. За „българската“ мутация p.Glu89Gln разликата във възрастта на начало при двата пола е около 4.5 години, като по-ранно начало се установява отново при мъжки пол.</w:t>
      </w:r>
    </w:p>
    <w:p w14:paraId="38E3B965" w14:textId="77777777" w:rsidR="00BE0B19" w:rsidRPr="00AE47C6" w:rsidRDefault="00BE0B19" w:rsidP="00BE0B19">
      <w:pPr>
        <w:numPr>
          <w:ilvl w:val="0"/>
          <w:numId w:val="34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В някои случаи възрастта на поява на първите симптоми е по-ранна в следващите поколения. Тази особеност се нарича антиципация. Причината за наблюдаваната антиципация е неясна, възможно е освен генетични да се намесват и епигенетични фактори.</w:t>
      </w:r>
    </w:p>
    <w:p w14:paraId="134C24CC" w14:textId="77777777" w:rsidR="00BE0B19" w:rsidRPr="00AE47C6" w:rsidRDefault="00BE0B19" w:rsidP="00BE0B19">
      <w:pPr>
        <w:spacing w:after="0" w:line="360" w:lineRule="auto"/>
        <w:ind w:firstLine="709"/>
        <w:jc w:val="both"/>
        <w:rPr>
          <w:rFonts w:ascii="Times New Roman" w:eastAsia="SimSun" w:hAnsi="Times New Roman"/>
          <w:sz w:val="24"/>
          <w:szCs w:val="24"/>
        </w:rPr>
      </w:pPr>
    </w:p>
    <w:p w14:paraId="6B2C561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Клиника</w:t>
      </w:r>
      <w:r w:rsidRPr="00AE47C6">
        <w:rPr>
          <w:rFonts w:ascii="Times New Roman" w:eastAsia="SimSun" w:hAnsi="Times New Roman"/>
          <w:b/>
          <w:sz w:val="24"/>
          <w:szCs w:val="24"/>
        </w:rPr>
        <w:t>:</w:t>
      </w:r>
      <w:r w:rsidRPr="00AE47C6">
        <w:rPr>
          <w:rFonts w:ascii="Times New Roman" w:eastAsia="SimSun" w:hAnsi="Times New Roman"/>
          <w:sz w:val="24"/>
          <w:szCs w:val="24"/>
        </w:rPr>
        <w:t xml:space="preserve"> Сензомоторна невропатия, обикновено с автономно засягане, кардиомиопатия и в по-малка степен – засягане на стъкловидното тяло и бъбреците. Полиневропатията е предимно дистална, сетивна и моторна. Класическата транстиретинова невропатия </w:t>
      </w:r>
      <w:r w:rsidRPr="00AE47C6">
        <w:rPr>
          <w:rFonts w:ascii="Times New Roman" w:eastAsia="SimSun" w:hAnsi="Times New Roman"/>
          <w:kern w:val="36"/>
          <w:sz w:val="24"/>
          <w:szCs w:val="24"/>
        </w:rPr>
        <w:t xml:space="preserve">е аксонна, зависеща от дължината на нерва </w:t>
      </w:r>
      <w:r w:rsidRPr="00AE47C6">
        <w:rPr>
          <w:rFonts w:ascii="Times New Roman" w:eastAsia="SimSun" w:hAnsi="Times New Roman"/>
          <w:sz w:val="24"/>
          <w:szCs w:val="24"/>
        </w:rPr>
        <w:t>т.н. length depended small fiber невропатия, описана при Val30Met с ранно начало.</w:t>
      </w:r>
      <w:r w:rsidRPr="00AE47C6">
        <w:rPr>
          <w:rFonts w:ascii="Times New Roman" w:eastAsia="SimSun" w:hAnsi="Times New Roman"/>
          <w:kern w:val="36"/>
          <w:sz w:val="24"/>
          <w:szCs w:val="24"/>
        </w:rPr>
        <w:t xml:space="preserve"> В началото се засягат немиелинизираните и малките миелинизирани нервни влакна, което води до нарушения на температурния и болковия усет, започващи от долни крайници, а</w:t>
      </w:r>
      <w:r w:rsidRPr="00AE47C6">
        <w:rPr>
          <w:rFonts w:ascii="Times New Roman" w:eastAsia="SimSun" w:hAnsi="Times New Roman"/>
          <w:sz w:val="24"/>
          <w:szCs w:val="24"/>
        </w:rPr>
        <w:t xml:space="preserve"> усетът за допир и ставномускулния усет са запазени. Установяват се парестезии, дизестезия, алодиния, хипералгезия или спонтанни парещи болки в краката, т.е. налице е сетивна дисоциация. Не при всички болни са налице болки. В този стадий рефлексите обикновенно са запазени. Аксонната дегенерация прогресира в проксимална посока и достига ръцете сред период от средно четири – пет години. В рамките на няколко години се засягат и по-големите миелинизирани сетивни и двигателни влакна и това води до нарушение на усета за допир, ставно-мускулния усет, двумернопространствения и вибрационния усет, появява се двигателен дефицит, който затруднява походката. Могат да се наблюдават трофични лезии на ходилата, наподобяващи перфорации и също неврогенни артропатии. </w:t>
      </w:r>
    </w:p>
    <w:p w14:paraId="1EEE873F" w14:textId="77777777" w:rsidR="00BE0B19" w:rsidRPr="00AE47C6" w:rsidRDefault="00BE0B19" w:rsidP="00BE0B19">
      <w:pPr>
        <w:spacing w:after="0" w:line="360" w:lineRule="auto"/>
        <w:ind w:firstLine="360"/>
        <w:jc w:val="both"/>
        <w:rPr>
          <w:rFonts w:ascii="Times New Roman" w:eastAsia="SimSun" w:hAnsi="Times New Roman"/>
          <w:sz w:val="24"/>
          <w:szCs w:val="24"/>
        </w:rPr>
      </w:pPr>
      <w:r w:rsidRPr="00AE47C6">
        <w:rPr>
          <w:rFonts w:ascii="Times New Roman" w:eastAsia="SimSun" w:hAnsi="Times New Roman"/>
          <w:sz w:val="24"/>
          <w:szCs w:val="24"/>
        </w:rPr>
        <w:t>Клиничният фенотип при българските болни е смесен, независимо коя от петте мутации е установена (Glu89Gln, Ser77Phe, Val30Met, Gly47Glu, Ser52Pro): налице е засягане на периферната нервна система и сърце, в по-напредналите случаи се включва и стомашно-чревният път.  Glu89Gln има подчертано смесен фенотип със средна възраст на начало 52 години и малко по-рано при мъжете; Ser77Phe също има смесен клиничен фенотип, но със средна начална възраст 58 години; средната начална възраст при Val30Met е най-висока – 68 години, фенотипа е смесен, но с превалиране на полиневропатията пред кардиомиопатията. Средната преживяемост на болните е 8 години. Бъбречно засягане се установява при Ser52Pro и Gly47Glu.  Gly47Glu има средна начална възраст 30 години за мъжете и 35 за жените, началото е със стомашно-чревно засягане и слабо изразена полиневропатия. Средната преживяемост за Gly47Glu е 5 години.</w:t>
      </w:r>
    </w:p>
    <w:p w14:paraId="3FC730DD" w14:textId="77777777" w:rsidR="00BE0B19" w:rsidRPr="00AE47C6" w:rsidRDefault="00BE0B19" w:rsidP="00BE0B19">
      <w:pPr>
        <w:spacing w:after="0" w:line="360" w:lineRule="auto"/>
        <w:ind w:firstLine="360"/>
        <w:jc w:val="both"/>
        <w:rPr>
          <w:rFonts w:ascii="Times New Roman" w:eastAsia="SimSun" w:hAnsi="Times New Roman"/>
          <w:sz w:val="24"/>
          <w:szCs w:val="24"/>
        </w:rPr>
      </w:pPr>
      <w:r w:rsidRPr="00AE47C6">
        <w:rPr>
          <w:rFonts w:ascii="Times New Roman" w:eastAsia="SimSun" w:hAnsi="Times New Roman"/>
          <w:sz w:val="24"/>
          <w:szCs w:val="24"/>
        </w:rPr>
        <w:t xml:space="preserve">Полиневропатията има 3 клинични стадия (Таблица 2.3): </w:t>
      </w:r>
    </w:p>
    <w:p w14:paraId="57AA51DF" w14:textId="77777777" w:rsidR="00BE0B19" w:rsidRPr="00AE47C6" w:rsidRDefault="00BE0B19" w:rsidP="00BE0B19">
      <w:pPr>
        <w:autoSpaceDE w:val="0"/>
        <w:autoSpaceDN w:val="0"/>
        <w:adjustRightInd w:val="0"/>
        <w:spacing w:after="0" w:line="360" w:lineRule="auto"/>
        <w:ind w:left="720"/>
        <w:contextualSpacing/>
        <w:jc w:val="both"/>
        <w:rPr>
          <w:rFonts w:ascii="Times New Roman" w:eastAsia="SimSun" w:hAnsi="Times New Roman"/>
          <w:sz w:val="24"/>
          <w:szCs w:val="24"/>
        </w:rPr>
      </w:pPr>
      <w:r w:rsidRPr="00AE47C6">
        <w:rPr>
          <w:rFonts w:ascii="Times New Roman" w:eastAsia="SimSun" w:hAnsi="Times New Roman"/>
          <w:b/>
          <w:sz w:val="24"/>
          <w:szCs w:val="24"/>
        </w:rPr>
        <w:t>Таблица 2.3.</w:t>
      </w:r>
      <w:r w:rsidRPr="00AE47C6">
        <w:rPr>
          <w:rFonts w:ascii="Times New Roman" w:eastAsia="SimSun" w:hAnsi="Times New Roman"/>
          <w:sz w:val="24"/>
          <w:szCs w:val="24"/>
        </w:rPr>
        <w:t xml:space="preserve"> Стадии на полиневропатията при TTR FAP</w:t>
      </w:r>
    </w:p>
    <w:tbl>
      <w:tblPr>
        <w:tblStyle w:val="TableGrid2"/>
        <w:tblW w:w="0" w:type="auto"/>
        <w:tblLook w:val="04A0" w:firstRow="1" w:lastRow="0" w:firstColumn="1" w:lastColumn="0" w:noHBand="0" w:noVBand="1"/>
      </w:tblPr>
      <w:tblGrid>
        <w:gridCol w:w="1413"/>
        <w:gridCol w:w="7647"/>
      </w:tblGrid>
      <w:tr w:rsidR="00BE0B19" w:rsidRPr="00AE47C6" w14:paraId="2CB13801" w14:textId="77777777" w:rsidTr="00AD72E5">
        <w:tc>
          <w:tcPr>
            <w:tcW w:w="1435" w:type="dxa"/>
            <w:tcBorders>
              <w:top w:val="single" w:sz="4" w:space="0" w:color="auto"/>
              <w:left w:val="single" w:sz="4" w:space="0" w:color="auto"/>
              <w:bottom w:val="single" w:sz="4" w:space="0" w:color="auto"/>
              <w:right w:val="single" w:sz="4" w:space="0" w:color="auto"/>
            </w:tcBorders>
            <w:hideMark/>
          </w:tcPr>
          <w:p w14:paraId="3C13ABB5"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sz w:val="24"/>
                <w:szCs w:val="24"/>
              </w:rPr>
              <w:t>Стадий I</w:t>
            </w:r>
          </w:p>
        </w:tc>
        <w:tc>
          <w:tcPr>
            <w:tcW w:w="7961" w:type="dxa"/>
            <w:tcBorders>
              <w:top w:val="single" w:sz="4" w:space="0" w:color="auto"/>
              <w:left w:val="single" w:sz="4" w:space="0" w:color="auto"/>
              <w:bottom w:val="single" w:sz="4" w:space="0" w:color="auto"/>
              <w:right w:val="single" w:sz="4" w:space="0" w:color="auto"/>
            </w:tcBorders>
            <w:hideMark/>
          </w:tcPr>
          <w:p w14:paraId="59AF1478"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Cs/>
                <w:sz w:val="24"/>
                <w:szCs w:val="24"/>
                <w:shd w:val="clear" w:color="auto" w:fill="FFFFFF"/>
                <w:lang w:bidi="en-US"/>
              </w:rPr>
              <w:t>Сензорна и моторна невропатия, ограничена в долните крайници. Тежко нарушен температурен и болков усет с относително запазен проприоцептивен усет /сензорна дисоциация/. Леко моторно нарушение. Запазена самостоятелна походка без помощни средства.</w:t>
            </w:r>
          </w:p>
        </w:tc>
      </w:tr>
      <w:tr w:rsidR="00BE0B19" w:rsidRPr="00AE47C6" w14:paraId="7D9E457E" w14:textId="77777777" w:rsidTr="00AD72E5">
        <w:tc>
          <w:tcPr>
            <w:tcW w:w="1435" w:type="dxa"/>
            <w:tcBorders>
              <w:top w:val="single" w:sz="4" w:space="0" w:color="auto"/>
              <w:left w:val="single" w:sz="4" w:space="0" w:color="auto"/>
              <w:bottom w:val="single" w:sz="4" w:space="0" w:color="auto"/>
              <w:right w:val="single" w:sz="4" w:space="0" w:color="auto"/>
            </w:tcBorders>
            <w:hideMark/>
          </w:tcPr>
          <w:p w14:paraId="25BE543C"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sz w:val="24"/>
                <w:szCs w:val="24"/>
              </w:rPr>
              <w:t>Стадий II</w:t>
            </w:r>
          </w:p>
        </w:tc>
        <w:tc>
          <w:tcPr>
            <w:tcW w:w="7961" w:type="dxa"/>
            <w:tcBorders>
              <w:top w:val="single" w:sz="4" w:space="0" w:color="auto"/>
              <w:left w:val="single" w:sz="4" w:space="0" w:color="auto"/>
              <w:bottom w:val="single" w:sz="4" w:space="0" w:color="auto"/>
              <w:right w:val="single" w:sz="4" w:space="0" w:color="auto"/>
            </w:tcBorders>
            <w:hideMark/>
          </w:tcPr>
          <w:p w14:paraId="11B23B6B"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Cs/>
                <w:sz w:val="24"/>
                <w:szCs w:val="24"/>
                <w:shd w:val="clear" w:color="auto" w:fill="FFFFFF"/>
                <w:lang w:bidi="en-US"/>
              </w:rPr>
              <w:t>Походка с помощ или помощни средства. Невропатията прогресира със засягане на горните крайници и трупа. Амиотрофия в горните и долните крайници. Умерен моторен дефицит.</w:t>
            </w:r>
          </w:p>
        </w:tc>
      </w:tr>
      <w:tr w:rsidR="00BE0B19" w:rsidRPr="00AE47C6" w14:paraId="4188D2FA" w14:textId="77777777" w:rsidTr="00AD72E5">
        <w:tc>
          <w:tcPr>
            <w:tcW w:w="1435" w:type="dxa"/>
            <w:tcBorders>
              <w:top w:val="single" w:sz="4" w:space="0" w:color="auto"/>
              <w:left w:val="single" w:sz="4" w:space="0" w:color="auto"/>
              <w:bottom w:val="single" w:sz="4" w:space="0" w:color="auto"/>
              <w:right w:val="single" w:sz="4" w:space="0" w:color="auto"/>
            </w:tcBorders>
            <w:hideMark/>
          </w:tcPr>
          <w:p w14:paraId="3BDCF9DF"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sz w:val="24"/>
                <w:szCs w:val="24"/>
              </w:rPr>
              <w:t>Стадий III</w:t>
            </w:r>
          </w:p>
        </w:tc>
        <w:tc>
          <w:tcPr>
            <w:tcW w:w="7961" w:type="dxa"/>
            <w:tcBorders>
              <w:top w:val="single" w:sz="4" w:space="0" w:color="auto"/>
              <w:left w:val="single" w:sz="4" w:space="0" w:color="auto"/>
              <w:bottom w:val="single" w:sz="4" w:space="0" w:color="auto"/>
              <w:right w:val="single" w:sz="4" w:space="0" w:color="auto"/>
            </w:tcBorders>
            <w:hideMark/>
          </w:tcPr>
          <w:p w14:paraId="276AA6AC"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Cs/>
                <w:sz w:val="24"/>
                <w:szCs w:val="24"/>
                <w:shd w:val="clear" w:color="auto" w:fill="FFFFFF"/>
                <w:lang w:bidi="en-US"/>
              </w:rPr>
              <w:t>Терминален стадий. Приковаване към инвалиден стол или легло. Тежък сетивна, моторна и автономна невропатия във всички крайници.</w:t>
            </w:r>
          </w:p>
        </w:tc>
      </w:tr>
    </w:tbl>
    <w:p w14:paraId="39128707" w14:textId="77777777" w:rsidR="00BE0B19" w:rsidRPr="00AE47C6" w:rsidRDefault="00BE0B19" w:rsidP="00BE0B19">
      <w:pPr>
        <w:spacing w:after="0" w:line="360" w:lineRule="auto"/>
        <w:jc w:val="both"/>
        <w:rPr>
          <w:rFonts w:ascii="Times New Roman" w:eastAsia="SimSun" w:hAnsi="Times New Roman"/>
          <w:sz w:val="24"/>
          <w:szCs w:val="24"/>
        </w:rPr>
      </w:pPr>
    </w:p>
    <w:p w14:paraId="16D2F8F4" w14:textId="77777777" w:rsidR="00BE0B19" w:rsidRPr="00AE47C6" w:rsidRDefault="00BE0B19" w:rsidP="00BE0B19">
      <w:pPr>
        <w:spacing w:after="0" w:line="360" w:lineRule="auto"/>
        <w:ind w:firstLine="284"/>
        <w:jc w:val="both"/>
        <w:rPr>
          <w:rFonts w:ascii="Times New Roman" w:eastAsia="SimSun" w:hAnsi="Times New Roman"/>
          <w:sz w:val="24"/>
          <w:szCs w:val="24"/>
        </w:rPr>
      </w:pPr>
      <w:r w:rsidRPr="00AE47C6">
        <w:rPr>
          <w:rFonts w:ascii="Times New Roman" w:eastAsia="SimSun" w:hAnsi="Times New Roman"/>
          <w:sz w:val="24"/>
          <w:szCs w:val="24"/>
        </w:rPr>
        <w:t>В практиката е разработена и по-нова, модифицирана скала за невропатията, отчитаща степента на инвалидизация на болните (</w:t>
      </w:r>
      <w:r w:rsidRPr="00AE47C6">
        <w:rPr>
          <w:rFonts w:ascii="Times New Roman" w:eastAsia="SimSun" w:hAnsi="Times New Roman"/>
          <w:sz w:val="24"/>
          <w:szCs w:val="24"/>
          <w:lang w:bidi="en-US"/>
        </w:rPr>
        <w:t xml:space="preserve">Ando Y. </w:t>
      </w:r>
      <w:r w:rsidRPr="00AE47C6">
        <w:rPr>
          <w:rFonts w:ascii="Times New Roman" w:eastAsia="SimSun" w:hAnsi="Times New Roman"/>
          <w:sz w:val="24"/>
          <w:szCs w:val="24"/>
        </w:rPr>
        <w:t>и сътр.,</w:t>
      </w:r>
      <w:r w:rsidRPr="00AE47C6">
        <w:rPr>
          <w:rFonts w:ascii="Times New Roman" w:eastAsia="SimSun" w:hAnsi="Times New Roman"/>
          <w:sz w:val="24"/>
          <w:szCs w:val="24"/>
          <w:lang w:bidi="en-US"/>
        </w:rPr>
        <w:t xml:space="preserve"> 2013) (Таблица 2.4.)</w:t>
      </w:r>
      <w:r w:rsidRPr="00AE47C6">
        <w:rPr>
          <w:rFonts w:ascii="Times New Roman" w:eastAsia="SimSun" w:hAnsi="Times New Roman"/>
          <w:sz w:val="24"/>
          <w:szCs w:val="24"/>
        </w:rPr>
        <w:t>:</w:t>
      </w:r>
    </w:p>
    <w:p w14:paraId="36A56136" w14:textId="77777777" w:rsidR="00BE0B19" w:rsidRPr="00AE47C6" w:rsidRDefault="00BE0B19" w:rsidP="00BE0B19">
      <w:pPr>
        <w:autoSpaceDE w:val="0"/>
        <w:autoSpaceDN w:val="0"/>
        <w:adjustRightInd w:val="0"/>
        <w:spacing w:after="0" w:line="360" w:lineRule="auto"/>
        <w:ind w:firstLine="284"/>
        <w:jc w:val="both"/>
        <w:rPr>
          <w:rFonts w:ascii="Times New Roman" w:eastAsia="SimSun" w:hAnsi="Times New Roman"/>
          <w:sz w:val="24"/>
          <w:szCs w:val="24"/>
        </w:rPr>
      </w:pPr>
      <w:r w:rsidRPr="00AE47C6">
        <w:rPr>
          <w:rFonts w:ascii="Times New Roman" w:eastAsia="SimSun" w:hAnsi="Times New Roman"/>
          <w:b/>
          <w:sz w:val="24"/>
          <w:szCs w:val="24"/>
          <w:lang w:bidi="en-US"/>
        </w:rPr>
        <w:t>Таблица 2.4</w:t>
      </w:r>
      <w:r w:rsidRPr="00AE47C6">
        <w:rPr>
          <w:rFonts w:ascii="Times New Roman" w:eastAsia="SimSun" w:hAnsi="Times New Roman"/>
          <w:sz w:val="24"/>
          <w:szCs w:val="24"/>
        </w:rPr>
        <w:t xml:space="preserve"> Модифицирана скала за невропатията, отчитаща степента на инвалидизация при TTR FAP</w:t>
      </w:r>
    </w:p>
    <w:tbl>
      <w:tblPr>
        <w:tblStyle w:val="TableGrid2"/>
        <w:tblW w:w="0" w:type="auto"/>
        <w:tblLook w:val="04A0" w:firstRow="1" w:lastRow="0" w:firstColumn="1" w:lastColumn="0" w:noHBand="0" w:noVBand="1"/>
      </w:tblPr>
      <w:tblGrid>
        <w:gridCol w:w="9060"/>
      </w:tblGrid>
      <w:tr w:rsidR="00BE0B19" w:rsidRPr="00AE47C6" w14:paraId="6DC226FE" w14:textId="77777777" w:rsidTr="00AD72E5">
        <w:tc>
          <w:tcPr>
            <w:tcW w:w="9288" w:type="dxa"/>
            <w:tcBorders>
              <w:top w:val="single" w:sz="4" w:space="0" w:color="auto"/>
              <w:left w:val="single" w:sz="4" w:space="0" w:color="auto"/>
              <w:bottom w:val="single" w:sz="4" w:space="0" w:color="auto"/>
              <w:right w:val="single" w:sz="4" w:space="0" w:color="auto"/>
            </w:tcBorders>
            <w:hideMark/>
          </w:tcPr>
          <w:p w14:paraId="018F33C8"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 xml:space="preserve">I. Сетивни нарушения, но запазена способност за ходене </w:t>
            </w:r>
          </w:p>
        </w:tc>
      </w:tr>
      <w:tr w:rsidR="00BE0B19" w:rsidRPr="00AE47C6" w14:paraId="6ADDD5D2" w14:textId="77777777" w:rsidTr="00AD72E5">
        <w:tc>
          <w:tcPr>
            <w:tcW w:w="9288" w:type="dxa"/>
            <w:tcBorders>
              <w:top w:val="single" w:sz="4" w:space="0" w:color="auto"/>
              <w:left w:val="single" w:sz="4" w:space="0" w:color="auto"/>
              <w:bottom w:val="single" w:sz="4" w:space="0" w:color="auto"/>
              <w:right w:val="single" w:sz="4" w:space="0" w:color="auto"/>
            </w:tcBorders>
            <w:hideMark/>
          </w:tcPr>
          <w:p w14:paraId="4C5EC5FA"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II. Затруднения при ходене, но без нуждата от използване на помощни средства</w:t>
            </w:r>
          </w:p>
        </w:tc>
      </w:tr>
      <w:tr w:rsidR="00BE0B19" w:rsidRPr="00AE47C6" w14:paraId="284624D8" w14:textId="77777777" w:rsidTr="00AD72E5">
        <w:tc>
          <w:tcPr>
            <w:tcW w:w="9288" w:type="dxa"/>
            <w:tcBorders>
              <w:top w:val="single" w:sz="4" w:space="0" w:color="auto"/>
              <w:left w:val="single" w:sz="4" w:space="0" w:color="auto"/>
              <w:bottom w:val="single" w:sz="4" w:space="0" w:color="auto"/>
              <w:right w:val="single" w:sz="4" w:space="0" w:color="auto"/>
            </w:tcBorders>
            <w:hideMark/>
          </w:tcPr>
          <w:p w14:paraId="5B60B680"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III A Използване на един стик или една патерица при ходене</w:t>
            </w:r>
          </w:p>
        </w:tc>
      </w:tr>
      <w:tr w:rsidR="00BE0B19" w:rsidRPr="00AE47C6" w14:paraId="6F9F9C5E" w14:textId="77777777" w:rsidTr="00AD72E5">
        <w:tc>
          <w:tcPr>
            <w:tcW w:w="9288" w:type="dxa"/>
            <w:tcBorders>
              <w:top w:val="single" w:sz="4" w:space="0" w:color="auto"/>
              <w:left w:val="single" w:sz="4" w:space="0" w:color="auto"/>
              <w:bottom w:val="single" w:sz="4" w:space="0" w:color="auto"/>
              <w:right w:val="single" w:sz="4" w:space="0" w:color="auto"/>
            </w:tcBorders>
            <w:hideMark/>
          </w:tcPr>
          <w:p w14:paraId="26002BDE"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III B Необходимост от използването на два стика или две патерици при ходене</w:t>
            </w:r>
          </w:p>
        </w:tc>
      </w:tr>
      <w:tr w:rsidR="00BE0B19" w:rsidRPr="00AE47C6" w14:paraId="54D5C958" w14:textId="77777777" w:rsidTr="00AD72E5">
        <w:tc>
          <w:tcPr>
            <w:tcW w:w="9288" w:type="dxa"/>
            <w:tcBorders>
              <w:top w:val="single" w:sz="4" w:space="0" w:color="auto"/>
              <w:left w:val="single" w:sz="4" w:space="0" w:color="auto"/>
              <w:bottom w:val="single" w:sz="4" w:space="0" w:color="auto"/>
              <w:right w:val="single" w:sz="4" w:space="0" w:color="auto"/>
            </w:tcBorders>
            <w:hideMark/>
          </w:tcPr>
          <w:p w14:paraId="593EAF3E"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IV. Пациентът е ограничен до инвалиден стол или прикован на легло</w:t>
            </w:r>
          </w:p>
        </w:tc>
      </w:tr>
    </w:tbl>
    <w:p w14:paraId="289A1D6C" w14:textId="77777777" w:rsidR="00BE0B19" w:rsidRPr="00AE47C6" w:rsidRDefault="00BE0B19" w:rsidP="00BE0B19">
      <w:pPr>
        <w:autoSpaceDE w:val="0"/>
        <w:autoSpaceDN w:val="0"/>
        <w:adjustRightInd w:val="0"/>
        <w:spacing w:after="0" w:line="360" w:lineRule="auto"/>
        <w:ind w:left="1440"/>
        <w:contextualSpacing/>
        <w:jc w:val="both"/>
        <w:rPr>
          <w:rFonts w:ascii="Times New Roman" w:eastAsia="SimSun" w:hAnsi="Times New Roman"/>
          <w:b/>
          <w:sz w:val="24"/>
          <w:szCs w:val="24"/>
        </w:rPr>
      </w:pPr>
    </w:p>
    <w:p w14:paraId="3B6773A7" w14:textId="77777777" w:rsidR="00BE0B19" w:rsidRPr="00AE47C6" w:rsidRDefault="00BE0B19" w:rsidP="00BE0B19">
      <w:pPr>
        <w:autoSpaceDE w:val="0"/>
        <w:autoSpaceDN w:val="0"/>
        <w:adjustRightInd w:val="0"/>
        <w:spacing w:after="0" w:line="360" w:lineRule="auto"/>
        <w:ind w:left="1440"/>
        <w:contextualSpacing/>
        <w:jc w:val="both"/>
        <w:rPr>
          <w:rFonts w:ascii="Times New Roman" w:eastAsia="SimSun" w:hAnsi="Times New Roman"/>
          <w:b/>
          <w:sz w:val="24"/>
          <w:szCs w:val="24"/>
        </w:rPr>
      </w:pPr>
      <w:r w:rsidRPr="00AE47C6">
        <w:rPr>
          <w:rFonts w:ascii="Times New Roman" w:eastAsia="SimSun" w:hAnsi="Times New Roman"/>
          <w:b/>
          <w:sz w:val="24"/>
          <w:szCs w:val="24"/>
        </w:rPr>
        <w:t>Диагноза на хередитарната транстиретинова амилоидоза</w:t>
      </w:r>
    </w:p>
    <w:p w14:paraId="0ACCA916" w14:textId="77777777" w:rsidR="00BE0B19" w:rsidRPr="00AE47C6" w:rsidRDefault="00BE0B19" w:rsidP="00BE0B19">
      <w:pPr>
        <w:autoSpaceDE w:val="0"/>
        <w:autoSpaceDN w:val="0"/>
        <w:adjustRightInd w:val="0"/>
        <w:spacing w:after="0" w:line="360" w:lineRule="auto"/>
        <w:ind w:left="720"/>
        <w:contextualSpacing/>
        <w:jc w:val="both"/>
        <w:rPr>
          <w:rFonts w:ascii="Times New Roman" w:eastAsia="SimSun" w:hAnsi="Times New Roman"/>
          <w:sz w:val="24"/>
          <w:szCs w:val="24"/>
        </w:rPr>
      </w:pPr>
      <w:r w:rsidRPr="00AE47C6">
        <w:rPr>
          <w:rFonts w:ascii="Times New Roman" w:eastAsia="SimSun" w:hAnsi="Times New Roman"/>
          <w:sz w:val="24"/>
          <w:szCs w:val="24"/>
        </w:rPr>
        <w:t>Ранната и точна диагноза на хередитарната TTR FAP все още представлява предизвикателство поради голямата клинична хетерогенност на заболяването. Диагностичният процес на хередитарната TTРА преминава през два основни етапа:</w:t>
      </w:r>
    </w:p>
    <w:p w14:paraId="687F552E" w14:textId="77777777" w:rsidR="00BE0B19" w:rsidRPr="00AE47C6" w:rsidRDefault="00BE0B19" w:rsidP="00BE0B19">
      <w:pPr>
        <w:numPr>
          <w:ilvl w:val="0"/>
          <w:numId w:val="344"/>
        </w:numPr>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Клинична диагноза с допълнителни потвърдителни изследвания</w:t>
      </w:r>
    </w:p>
    <w:p w14:paraId="77F3BBA5" w14:textId="77777777" w:rsidR="00BE0B19" w:rsidRPr="00AE47C6" w:rsidRDefault="00BE0B19" w:rsidP="00BE0B19">
      <w:pPr>
        <w:numPr>
          <w:ilvl w:val="0"/>
          <w:numId w:val="344"/>
        </w:numPr>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Точни диагностични методи: тъканна биопсия и молекулярно-генетично изследване.</w:t>
      </w:r>
    </w:p>
    <w:p w14:paraId="5C72A56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79072" behindDoc="0" locked="0" layoutInCell="1" allowOverlap="1" wp14:anchorId="2E9DD7F9" wp14:editId="78732E4A">
                <wp:simplePos x="0" y="0"/>
                <wp:positionH relativeFrom="column">
                  <wp:posOffset>567055</wp:posOffset>
                </wp:positionH>
                <wp:positionV relativeFrom="paragraph">
                  <wp:posOffset>122555</wp:posOffset>
                </wp:positionV>
                <wp:extent cx="4867275" cy="1409700"/>
                <wp:effectExtent l="0" t="0" r="9525" b="0"/>
                <wp:wrapNone/>
                <wp:docPr id="35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1409700"/>
                        </a:xfrm>
                        <a:prstGeom prst="rect">
                          <a:avLst/>
                        </a:prstGeom>
                        <a:solidFill>
                          <a:srgbClr val="FFFFFF"/>
                        </a:solidFill>
                        <a:ln w="9525">
                          <a:solidFill>
                            <a:srgbClr val="000000"/>
                          </a:solidFill>
                          <a:miter lim="800000"/>
                          <a:headEnd/>
                          <a:tailEnd/>
                        </a:ln>
                      </wps:spPr>
                      <wps:txbx>
                        <w:txbxContent>
                          <w:p w14:paraId="17892BC3" w14:textId="77777777" w:rsidR="00471742" w:rsidRPr="00715590" w:rsidRDefault="00471742" w:rsidP="00BE0B19">
                            <w:pPr>
                              <w:spacing w:after="0" w:line="240" w:lineRule="auto"/>
                              <w:rPr>
                                <w:rFonts w:ascii="Times New Roman" w:hAnsi="Times New Roman"/>
                                <w:b/>
                              </w:rPr>
                            </w:pPr>
                            <w:r w:rsidRPr="00715590">
                              <w:rPr>
                                <w:rFonts w:ascii="Times New Roman" w:hAnsi="Times New Roman"/>
                                <w:b/>
                              </w:rPr>
                              <w:t xml:space="preserve">Клинична диагноза на базата на: </w:t>
                            </w:r>
                          </w:p>
                          <w:p w14:paraId="04608FAA" w14:textId="77777777" w:rsidR="00471742" w:rsidRPr="00715590" w:rsidRDefault="00471742" w:rsidP="00BE0B19">
                            <w:pPr>
                              <w:numPr>
                                <w:ilvl w:val="0"/>
                                <w:numId w:val="345"/>
                              </w:numPr>
                              <w:spacing w:after="0" w:line="240" w:lineRule="auto"/>
                              <w:rPr>
                                <w:rFonts w:ascii="Times New Roman" w:hAnsi="Times New Roman"/>
                              </w:rPr>
                            </w:pPr>
                            <w:r w:rsidRPr="00715590">
                              <w:rPr>
                                <w:rFonts w:ascii="Times New Roman" w:hAnsi="Times New Roman"/>
                              </w:rPr>
                              <w:t xml:space="preserve">Анамнеза </w:t>
                            </w:r>
                          </w:p>
                          <w:p w14:paraId="07742C9A" w14:textId="77777777" w:rsidR="00471742" w:rsidRPr="00715590" w:rsidRDefault="00471742" w:rsidP="00BE0B19">
                            <w:pPr>
                              <w:numPr>
                                <w:ilvl w:val="0"/>
                                <w:numId w:val="345"/>
                              </w:numPr>
                              <w:spacing w:after="0" w:line="240" w:lineRule="auto"/>
                              <w:rPr>
                                <w:rFonts w:ascii="Times New Roman" w:hAnsi="Times New Roman"/>
                              </w:rPr>
                            </w:pPr>
                            <w:r w:rsidRPr="00715590">
                              <w:rPr>
                                <w:rFonts w:ascii="Times New Roman" w:hAnsi="Times New Roman"/>
                              </w:rPr>
                              <w:t>Соматичен и неврологичен статус</w:t>
                            </w:r>
                          </w:p>
                          <w:p w14:paraId="0EDFBA22" w14:textId="77777777" w:rsidR="00471742" w:rsidRPr="00715590" w:rsidRDefault="00471742" w:rsidP="00BE0B19">
                            <w:pPr>
                              <w:numPr>
                                <w:ilvl w:val="0"/>
                                <w:numId w:val="345"/>
                              </w:numPr>
                              <w:spacing w:after="0" w:line="240" w:lineRule="auto"/>
                              <w:rPr>
                                <w:rFonts w:ascii="Times New Roman" w:hAnsi="Times New Roman"/>
                              </w:rPr>
                            </w:pPr>
                            <w:r w:rsidRPr="00715590">
                              <w:rPr>
                                <w:rFonts w:ascii="Times New Roman" w:hAnsi="Times New Roman"/>
                              </w:rPr>
                              <w:t>Електрофизиологични изследвания</w:t>
                            </w:r>
                          </w:p>
                          <w:p w14:paraId="37F467F2" w14:textId="77777777" w:rsidR="00471742" w:rsidRPr="00715590" w:rsidRDefault="00471742" w:rsidP="00BE0B19">
                            <w:pPr>
                              <w:numPr>
                                <w:ilvl w:val="0"/>
                                <w:numId w:val="345"/>
                              </w:numPr>
                              <w:spacing w:after="0" w:line="240" w:lineRule="auto"/>
                              <w:rPr>
                                <w:rFonts w:ascii="Times New Roman" w:hAnsi="Times New Roman"/>
                              </w:rPr>
                            </w:pPr>
                            <w:r w:rsidRPr="00715590">
                              <w:rPr>
                                <w:rFonts w:ascii="Times New Roman" w:hAnsi="Times New Roman"/>
                              </w:rPr>
                              <w:t>Кардиологични изследвания</w:t>
                            </w:r>
                          </w:p>
                          <w:p w14:paraId="36446E3B" w14:textId="77777777" w:rsidR="00471742" w:rsidRPr="00715590" w:rsidRDefault="00471742" w:rsidP="00BE0B19">
                            <w:pPr>
                              <w:numPr>
                                <w:ilvl w:val="0"/>
                                <w:numId w:val="345"/>
                              </w:numPr>
                              <w:spacing w:after="0" w:line="240" w:lineRule="auto"/>
                              <w:rPr>
                                <w:rFonts w:ascii="Times New Roman" w:hAnsi="Times New Roman"/>
                              </w:rPr>
                            </w:pPr>
                            <w:r w:rsidRPr="00715590">
                              <w:rPr>
                                <w:rFonts w:ascii="Times New Roman" w:hAnsi="Times New Roman"/>
                              </w:rPr>
                              <w:t>Невроофталмологични изследвания</w:t>
                            </w:r>
                          </w:p>
                          <w:p w14:paraId="7A459390" w14:textId="77777777" w:rsidR="00471742" w:rsidRPr="00715590" w:rsidRDefault="00471742" w:rsidP="00BE0B19">
                            <w:pPr>
                              <w:numPr>
                                <w:ilvl w:val="0"/>
                                <w:numId w:val="345"/>
                              </w:numPr>
                              <w:spacing w:after="0" w:line="240" w:lineRule="auto"/>
                              <w:rPr>
                                <w:rFonts w:ascii="Times New Roman" w:hAnsi="Times New Roman"/>
                              </w:rPr>
                            </w:pPr>
                            <w:r w:rsidRPr="00715590">
                              <w:rPr>
                                <w:rFonts w:ascii="Times New Roman" w:hAnsi="Times New Roman"/>
                              </w:rPr>
                              <w:t>Нефрологични изследвания</w:t>
                            </w:r>
                          </w:p>
                          <w:p w14:paraId="5A3AFC1D" w14:textId="77777777" w:rsidR="00471742" w:rsidRDefault="00471742" w:rsidP="00BE0B19">
                            <w:pPr>
                              <w:spacing w:after="0" w:line="240" w:lineRule="auto"/>
                              <w:rPr>
                                <w:rFonts w:ascii="Times New Roman" w:hAnsi="Times New Roman"/>
                                <w:sz w:val="24"/>
                                <w:szCs w:val="24"/>
                              </w:rPr>
                            </w:pPr>
                          </w:p>
                          <w:p w14:paraId="23E6C7AB" w14:textId="77777777" w:rsidR="00471742" w:rsidRDefault="00471742" w:rsidP="00BE0B1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9DD7F9" id="Text Box 36" o:spid="_x0000_s1027" type="#_x0000_t202" style="position:absolute;left:0;text-align:left;margin-left:44.65pt;margin-top:9.65pt;width:383.25pt;height:111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">
                <v:textbox>
                  <w:txbxContent>
                    <w:p w14:paraId="17892BC3" w14:textId="77777777" w:rsidR="00471742" w:rsidRPr="00715590" w:rsidRDefault="00471742" w:rsidP="00BE0B19">
                      <w:pPr>
                        <w:spacing w:after="0" w:line="240" w:lineRule="auto"/>
                        <w:rPr>
                          <w:rFonts w:ascii="Times New Roman" w:hAnsi="Times New Roman"/>
                          <w:b/>
                        </w:rPr>
                      </w:pPr>
                      <w:r w:rsidRPr="00715590">
                        <w:rPr>
                          <w:rFonts w:ascii="Times New Roman" w:hAnsi="Times New Roman"/>
                          <w:b/>
                        </w:rPr>
                        <w:t xml:space="preserve">Клинична диагноза на базата на: </w:t>
                      </w:r>
                    </w:p>
                    <w:p w14:paraId="04608FAA" w14:textId="77777777" w:rsidR="00471742" w:rsidRPr="00715590" w:rsidRDefault="00471742" w:rsidP="00BE0B19">
                      <w:pPr>
                        <w:numPr>
                          <w:ilvl w:val="0"/>
                          <w:numId w:val="345"/>
                        </w:numPr>
                        <w:spacing w:after="0" w:line="240" w:lineRule="auto"/>
                        <w:rPr>
                          <w:rFonts w:ascii="Times New Roman" w:hAnsi="Times New Roman"/>
                        </w:rPr>
                      </w:pPr>
                      <w:r w:rsidRPr="00715590">
                        <w:rPr>
                          <w:rFonts w:ascii="Times New Roman" w:hAnsi="Times New Roman"/>
                        </w:rPr>
                        <w:t xml:space="preserve">Анамнеза </w:t>
                      </w:r>
                    </w:p>
                    <w:p w14:paraId="07742C9A" w14:textId="77777777" w:rsidR="00471742" w:rsidRPr="00715590" w:rsidRDefault="00471742" w:rsidP="00BE0B19">
                      <w:pPr>
                        <w:numPr>
                          <w:ilvl w:val="0"/>
                          <w:numId w:val="345"/>
                        </w:numPr>
                        <w:spacing w:after="0" w:line="240" w:lineRule="auto"/>
                        <w:rPr>
                          <w:rFonts w:ascii="Times New Roman" w:hAnsi="Times New Roman"/>
                        </w:rPr>
                      </w:pPr>
                      <w:r w:rsidRPr="00715590">
                        <w:rPr>
                          <w:rFonts w:ascii="Times New Roman" w:hAnsi="Times New Roman"/>
                        </w:rPr>
                        <w:t>Соматичен и неврологичен статус</w:t>
                      </w:r>
                    </w:p>
                    <w:p w14:paraId="0EDFBA22" w14:textId="77777777" w:rsidR="00471742" w:rsidRPr="00715590" w:rsidRDefault="00471742" w:rsidP="00BE0B19">
                      <w:pPr>
                        <w:numPr>
                          <w:ilvl w:val="0"/>
                          <w:numId w:val="345"/>
                        </w:numPr>
                        <w:spacing w:after="0" w:line="240" w:lineRule="auto"/>
                        <w:rPr>
                          <w:rFonts w:ascii="Times New Roman" w:hAnsi="Times New Roman"/>
                        </w:rPr>
                      </w:pPr>
                      <w:r w:rsidRPr="00715590">
                        <w:rPr>
                          <w:rFonts w:ascii="Times New Roman" w:hAnsi="Times New Roman"/>
                        </w:rPr>
                        <w:t>Електрофизиологични изследвания</w:t>
                      </w:r>
                    </w:p>
                    <w:p w14:paraId="37F467F2" w14:textId="77777777" w:rsidR="00471742" w:rsidRPr="00715590" w:rsidRDefault="00471742" w:rsidP="00BE0B19">
                      <w:pPr>
                        <w:numPr>
                          <w:ilvl w:val="0"/>
                          <w:numId w:val="345"/>
                        </w:numPr>
                        <w:spacing w:after="0" w:line="240" w:lineRule="auto"/>
                        <w:rPr>
                          <w:rFonts w:ascii="Times New Roman" w:hAnsi="Times New Roman"/>
                        </w:rPr>
                      </w:pPr>
                      <w:r w:rsidRPr="00715590">
                        <w:rPr>
                          <w:rFonts w:ascii="Times New Roman" w:hAnsi="Times New Roman"/>
                        </w:rPr>
                        <w:t>Кардиологични изследвания</w:t>
                      </w:r>
                    </w:p>
                    <w:p w14:paraId="36446E3B" w14:textId="77777777" w:rsidR="00471742" w:rsidRPr="00715590" w:rsidRDefault="00471742" w:rsidP="00BE0B19">
                      <w:pPr>
                        <w:numPr>
                          <w:ilvl w:val="0"/>
                          <w:numId w:val="345"/>
                        </w:numPr>
                        <w:spacing w:after="0" w:line="240" w:lineRule="auto"/>
                        <w:rPr>
                          <w:rFonts w:ascii="Times New Roman" w:hAnsi="Times New Roman"/>
                        </w:rPr>
                      </w:pPr>
                      <w:r w:rsidRPr="00715590">
                        <w:rPr>
                          <w:rFonts w:ascii="Times New Roman" w:hAnsi="Times New Roman"/>
                        </w:rPr>
                        <w:t>Невроофталмологични изследвания</w:t>
                      </w:r>
                    </w:p>
                    <w:p w14:paraId="7A459390" w14:textId="77777777" w:rsidR="00471742" w:rsidRPr="00715590" w:rsidRDefault="00471742" w:rsidP="00BE0B19">
                      <w:pPr>
                        <w:numPr>
                          <w:ilvl w:val="0"/>
                          <w:numId w:val="345"/>
                        </w:numPr>
                        <w:spacing w:after="0" w:line="240" w:lineRule="auto"/>
                        <w:rPr>
                          <w:rFonts w:ascii="Times New Roman" w:hAnsi="Times New Roman"/>
                        </w:rPr>
                      </w:pPr>
                      <w:r w:rsidRPr="00715590">
                        <w:rPr>
                          <w:rFonts w:ascii="Times New Roman" w:hAnsi="Times New Roman"/>
                        </w:rPr>
                        <w:t>Нефрологични изследвания</w:t>
                      </w:r>
                    </w:p>
                    <w:p w14:paraId="5A3AFC1D" w14:textId="77777777" w:rsidR="00471742" w:rsidRDefault="00471742" w:rsidP="00BE0B19">
                      <w:pPr>
                        <w:spacing w:after="0" w:line="240" w:lineRule="auto"/>
                        <w:rPr>
                          <w:rFonts w:ascii="Times New Roman" w:hAnsi="Times New Roman"/>
                          <w:sz w:val="24"/>
                          <w:szCs w:val="24"/>
                        </w:rPr>
                      </w:pPr>
                    </w:p>
                    <w:p w14:paraId="23E6C7AB" w14:textId="77777777" w:rsidR="00471742" w:rsidRDefault="00471742" w:rsidP="00BE0B19"/>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81120" behindDoc="0" locked="0" layoutInCell="1" allowOverlap="1" wp14:anchorId="75C3CDFB" wp14:editId="73C2152F">
                <wp:simplePos x="0" y="0"/>
                <wp:positionH relativeFrom="column">
                  <wp:posOffset>567055</wp:posOffset>
                </wp:positionH>
                <wp:positionV relativeFrom="paragraph">
                  <wp:posOffset>2051685</wp:posOffset>
                </wp:positionV>
                <wp:extent cx="4867275" cy="704850"/>
                <wp:effectExtent l="0" t="0" r="9525" b="0"/>
                <wp:wrapNone/>
                <wp:docPr id="35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704850"/>
                        </a:xfrm>
                        <a:prstGeom prst="rect">
                          <a:avLst/>
                        </a:prstGeom>
                        <a:solidFill>
                          <a:srgbClr val="FFFFFF"/>
                        </a:solidFill>
                        <a:ln w="9525">
                          <a:solidFill>
                            <a:srgbClr val="000000"/>
                          </a:solidFill>
                          <a:miter lim="800000"/>
                          <a:headEnd/>
                          <a:tailEnd/>
                        </a:ln>
                      </wps:spPr>
                      <wps:txbx>
                        <w:txbxContent>
                          <w:p w14:paraId="6786AA82" w14:textId="77777777" w:rsidR="00471742" w:rsidRPr="00715590" w:rsidRDefault="00471742" w:rsidP="00BE0B19">
                            <w:pPr>
                              <w:spacing w:after="0"/>
                              <w:rPr>
                                <w:rFonts w:ascii="Times New Roman" w:hAnsi="Times New Roman"/>
                                <w:b/>
                              </w:rPr>
                            </w:pPr>
                            <w:r w:rsidRPr="00715590">
                              <w:rPr>
                                <w:rFonts w:ascii="Times New Roman" w:hAnsi="Times New Roman"/>
                                <w:b/>
                              </w:rPr>
                              <w:t xml:space="preserve">Точни диагностични методи: </w:t>
                            </w:r>
                          </w:p>
                          <w:p w14:paraId="344830B1" w14:textId="77777777" w:rsidR="00471742" w:rsidRPr="00715590" w:rsidRDefault="00471742" w:rsidP="00BE0B19">
                            <w:pPr>
                              <w:numPr>
                                <w:ilvl w:val="0"/>
                                <w:numId w:val="349"/>
                              </w:numPr>
                              <w:spacing w:after="0" w:line="240" w:lineRule="auto"/>
                              <w:rPr>
                                <w:rFonts w:ascii="Times New Roman" w:hAnsi="Times New Roman"/>
                              </w:rPr>
                            </w:pPr>
                            <w:r w:rsidRPr="00715590">
                              <w:rPr>
                                <w:rFonts w:ascii="Times New Roman" w:hAnsi="Times New Roman"/>
                              </w:rPr>
                              <w:t xml:space="preserve">Тъканна биопсия </w:t>
                            </w:r>
                          </w:p>
                          <w:p w14:paraId="5080CC9E" w14:textId="77777777" w:rsidR="00471742" w:rsidRPr="00715590" w:rsidRDefault="00471742" w:rsidP="00BE0B19">
                            <w:pPr>
                              <w:numPr>
                                <w:ilvl w:val="0"/>
                                <w:numId w:val="349"/>
                              </w:numPr>
                              <w:spacing w:after="0" w:line="240" w:lineRule="auto"/>
                              <w:rPr>
                                <w:rFonts w:ascii="Times New Roman" w:hAnsi="Times New Roman"/>
                              </w:rPr>
                            </w:pPr>
                            <w:r w:rsidRPr="00715590">
                              <w:rPr>
                                <w:rFonts w:ascii="Times New Roman" w:hAnsi="Times New Roman"/>
                              </w:rPr>
                              <w:t>Молекулярно-генетично изследване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3CDFB" id="Text Box 34" o:spid="_x0000_s1028" type="#_x0000_t202" style="position:absolute;left:0;text-align:left;margin-left:44.65pt;margin-top:161.55pt;width:383.25pt;height:55.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">
                <v:textbox>
                  <w:txbxContent>
                    <w:p w14:paraId="6786AA82" w14:textId="77777777" w:rsidR="00471742" w:rsidRPr="00715590" w:rsidRDefault="00471742" w:rsidP="00BE0B19">
                      <w:pPr>
                        <w:spacing w:after="0"/>
                        <w:rPr>
                          <w:rFonts w:ascii="Times New Roman" w:hAnsi="Times New Roman"/>
                          <w:b/>
                        </w:rPr>
                      </w:pPr>
                      <w:r w:rsidRPr="00715590">
                        <w:rPr>
                          <w:rFonts w:ascii="Times New Roman" w:hAnsi="Times New Roman"/>
                          <w:b/>
                        </w:rPr>
                        <w:t xml:space="preserve">Точни диагностични методи: </w:t>
                      </w:r>
                    </w:p>
                    <w:p w14:paraId="344830B1" w14:textId="77777777" w:rsidR="00471742" w:rsidRPr="00715590" w:rsidRDefault="00471742" w:rsidP="00BE0B19">
                      <w:pPr>
                        <w:numPr>
                          <w:ilvl w:val="0"/>
                          <w:numId w:val="349"/>
                        </w:numPr>
                        <w:spacing w:after="0" w:line="240" w:lineRule="auto"/>
                        <w:rPr>
                          <w:rFonts w:ascii="Times New Roman" w:hAnsi="Times New Roman"/>
                        </w:rPr>
                      </w:pPr>
                      <w:r w:rsidRPr="00715590">
                        <w:rPr>
                          <w:rFonts w:ascii="Times New Roman" w:hAnsi="Times New Roman"/>
                        </w:rPr>
                        <w:t xml:space="preserve">Тъканна биопсия </w:t>
                      </w:r>
                    </w:p>
                    <w:p w14:paraId="5080CC9E" w14:textId="77777777" w:rsidR="00471742" w:rsidRPr="00715590" w:rsidRDefault="00471742" w:rsidP="00BE0B19">
                      <w:pPr>
                        <w:numPr>
                          <w:ilvl w:val="0"/>
                          <w:numId w:val="349"/>
                        </w:numPr>
                        <w:spacing w:after="0" w:line="240" w:lineRule="auto"/>
                        <w:rPr>
                          <w:rFonts w:ascii="Times New Roman" w:hAnsi="Times New Roman"/>
                        </w:rPr>
                      </w:pPr>
                      <w:r w:rsidRPr="00715590">
                        <w:rPr>
                          <w:rFonts w:ascii="Times New Roman" w:hAnsi="Times New Roman"/>
                        </w:rPr>
                        <w:t>Молекулярно-генетично изследване</w:t>
                      </w:r>
                    </w:p>
                  </w:txbxContent>
                </v:textbox>
              </v:shape>
            </w:pict>
          </mc:Fallback>
        </mc:AlternateContent>
      </w:r>
    </w:p>
    <w:p w14:paraId="354008A8"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7498DD42"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276D3114"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230088BC"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668A5E2D"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654BC1E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80096" behindDoc="0" locked="0" layoutInCell="1" allowOverlap="1" wp14:anchorId="77B3A7C7" wp14:editId="4238794D">
                <wp:simplePos x="0" y="0"/>
                <wp:positionH relativeFrom="column">
                  <wp:posOffset>2567305</wp:posOffset>
                </wp:positionH>
                <wp:positionV relativeFrom="paragraph">
                  <wp:posOffset>43815</wp:posOffset>
                </wp:positionV>
                <wp:extent cx="447675" cy="361950"/>
                <wp:effectExtent l="38100" t="0" r="9525" b="19050"/>
                <wp:wrapNone/>
                <wp:docPr id="356" name="Arrow: Down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361950"/>
                        </a:xfrm>
                        <a:prstGeom prst="downArrow">
                          <a:avLst>
                            <a:gd name="adj1" fmla="val 50000"/>
                            <a:gd name="adj2" fmla="val 25532"/>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95F58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5" o:spid="_x0000_s1026" type="#_x0000_t67" style="position:absolute;margin-left:202.15pt;margin-top:3.45pt;width:35.25pt;height:28.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" adj="16085">
                <v:textbox style="layout-flow:vertical-ideographic"/>
              </v:shape>
            </w:pict>
          </mc:Fallback>
        </mc:AlternateContent>
      </w:r>
    </w:p>
    <w:p w14:paraId="265BC2A5"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2946FF19"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23B51CAE"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7619F455"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5CBF58C3"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33BD22A8" w14:textId="77777777" w:rsidR="00BE0B19" w:rsidRPr="00AE47C6" w:rsidRDefault="00BE0B19" w:rsidP="00BE0B19">
      <w:pPr>
        <w:spacing w:after="0" w:line="360" w:lineRule="auto"/>
        <w:ind w:firstLine="284"/>
        <w:jc w:val="both"/>
        <w:rPr>
          <w:rFonts w:ascii="Times New Roman" w:eastAsia="SimSun" w:hAnsi="Times New Roman"/>
          <w:sz w:val="24"/>
          <w:szCs w:val="24"/>
        </w:rPr>
      </w:pPr>
      <w:r w:rsidRPr="00AE47C6">
        <w:rPr>
          <w:rFonts w:ascii="Times New Roman" w:eastAsia="SimSun" w:hAnsi="Times New Roman"/>
          <w:sz w:val="24"/>
          <w:szCs w:val="24"/>
        </w:rPr>
        <w:t xml:space="preserve">Важно е да се разграничат диагностичните подходи при индивиди с известна фамилна обремененост, от т.нар. ендемични райони от пациенти без известна фамилна анамнеза. </w:t>
      </w:r>
    </w:p>
    <w:p w14:paraId="79E75D7F" w14:textId="77777777" w:rsidR="00BE0B19" w:rsidRPr="00AE47C6" w:rsidRDefault="00BE0B19" w:rsidP="00BE0B19">
      <w:pPr>
        <w:spacing w:after="0" w:line="360" w:lineRule="auto"/>
        <w:ind w:firstLine="284"/>
        <w:jc w:val="both"/>
        <w:rPr>
          <w:rFonts w:ascii="Times New Roman" w:eastAsia="SimSun" w:hAnsi="Times New Roman"/>
          <w:sz w:val="24"/>
          <w:szCs w:val="24"/>
        </w:rPr>
      </w:pPr>
      <w:r w:rsidRPr="00AE47C6">
        <w:rPr>
          <w:rFonts w:ascii="Times New Roman" w:eastAsia="SimSun" w:hAnsi="Times New Roman"/>
          <w:i/>
          <w:sz w:val="24"/>
          <w:szCs w:val="24"/>
        </w:rPr>
        <w:t>При пациенти с данни за фамилна обремененост/или пресимптоматично установен генетичен дефект и симптоми в рамките на периферна невропатия, автономна дисфункция, ритъмни и проводни нарушения</w:t>
      </w:r>
      <w:r w:rsidRPr="00AE47C6">
        <w:rPr>
          <w:rFonts w:ascii="Times New Roman" w:eastAsia="SimSun" w:hAnsi="Times New Roman"/>
          <w:sz w:val="24"/>
          <w:szCs w:val="24"/>
        </w:rPr>
        <w:t xml:space="preserve"> налагат допълнителни изследвания за определяне на клиничното начало на заболяването (виж допълнителни изследвания).</w:t>
      </w:r>
    </w:p>
    <w:p w14:paraId="3BFAC281" w14:textId="77777777" w:rsidR="00BE0B19" w:rsidRPr="00AE47C6" w:rsidRDefault="00BE0B19" w:rsidP="00BE0B19">
      <w:pPr>
        <w:autoSpaceDE w:val="0"/>
        <w:autoSpaceDN w:val="0"/>
        <w:adjustRightInd w:val="0"/>
        <w:spacing w:after="0" w:line="360" w:lineRule="auto"/>
        <w:ind w:firstLine="284"/>
        <w:jc w:val="both"/>
        <w:rPr>
          <w:rFonts w:ascii="Times New Roman" w:eastAsia="SimSun" w:hAnsi="Times New Roman"/>
          <w:sz w:val="24"/>
          <w:szCs w:val="24"/>
        </w:rPr>
      </w:pPr>
      <w:r w:rsidRPr="00AE47C6">
        <w:rPr>
          <w:rFonts w:ascii="Times New Roman" w:eastAsia="SimSun" w:hAnsi="Times New Roman"/>
          <w:i/>
          <w:sz w:val="24"/>
          <w:szCs w:val="24"/>
        </w:rPr>
        <w:t>При пациенти без известна фамилна анамнеза</w:t>
      </w:r>
      <w:r w:rsidRPr="00AE47C6">
        <w:rPr>
          <w:rFonts w:ascii="Times New Roman" w:eastAsia="SimSun" w:hAnsi="Times New Roman"/>
          <w:sz w:val="24"/>
          <w:szCs w:val="24"/>
        </w:rPr>
        <w:t xml:space="preserve"> основните </w:t>
      </w:r>
      <w:r w:rsidRPr="00AE47C6">
        <w:rPr>
          <w:rFonts w:ascii="Times New Roman" w:eastAsia="SimSun" w:hAnsi="Times New Roman"/>
          <w:b/>
          <w:sz w:val="24"/>
          <w:szCs w:val="24"/>
        </w:rPr>
        <w:t>клинични прояви</w:t>
      </w:r>
      <w:r w:rsidRPr="00AE47C6">
        <w:rPr>
          <w:rFonts w:ascii="Times New Roman" w:eastAsia="SimSun" w:hAnsi="Times New Roman"/>
          <w:sz w:val="24"/>
          <w:szCs w:val="24"/>
        </w:rPr>
        <w:t>, които налагат изследване за хередитарната TTR FAP са (Фиг.2.3):</w:t>
      </w:r>
    </w:p>
    <w:p w14:paraId="1E04A1F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w:drawing>
          <wp:inline distT="0" distB="0" distL="0" distR="0" wp14:anchorId="0B924A21" wp14:editId="06328E96">
            <wp:extent cx="5971540" cy="3228340"/>
            <wp:effectExtent l="0" t="0" r="0" b="0"/>
            <wp:docPr id="1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71540" cy="3228340"/>
                    </a:xfrm>
                    <a:prstGeom prst="rect">
                      <a:avLst/>
                    </a:prstGeom>
                    <a:noFill/>
                    <a:ln>
                      <a:noFill/>
                    </a:ln>
                  </pic:spPr>
                </pic:pic>
              </a:graphicData>
            </a:graphic>
          </wp:inline>
        </w:drawing>
      </w:r>
    </w:p>
    <w:p w14:paraId="32C61EB4" w14:textId="77777777" w:rsidR="00BE0B19" w:rsidRPr="00AE47C6" w:rsidRDefault="00BE0B19" w:rsidP="00BE0B19">
      <w:pPr>
        <w:autoSpaceDE w:val="0"/>
        <w:autoSpaceDN w:val="0"/>
        <w:adjustRightInd w:val="0"/>
        <w:spacing w:after="0" w:line="360" w:lineRule="auto"/>
        <w:ind w:left="720"/>
        <w:contextualSpacing/>
        <w:jc w:val="both"/>
        <w:rPr>
          <w:rFonts w:ascii="Times New Roman" w:eastAsia="SimSun" w:hAnsi="Times New Roman"/>
          <w:sz w:val="24"/>
          <w:szCs w:val="24"/>
        </w:rPr>
      </w:pPr>
      <w:r w:rsidRPr="00AE47C6">
        <w:rPr>
          <w:rFonts w:ascii="Times New Roman" w:eastAsia="SimSun" w:hAnsi="Times New Roman"/>
          <w:b/>
          <w:sz w:val="24"/>
          <w:szCs w:val="24"/>
        </w:rPr>
        <w:t>Фигура 2.3</w:t>
      </w:r>
      <w:r w:rsidRPr="00AE47C6">
        <w:rPr>
          <w:rFonts w:ascii="Times New Roman" w:eastAsia="SimSun" w:hAnsi="Times New Roman"/>
          <w:sz w:val="24"/>
          <w:szCs w:val="24"/>
        </w:rPr>
        <w:t>. Потенциални симптоми, насочващи към диагнозата TTR FAP</w:t>
      </w:r>
    </w:p>
    <w:p w14:paraId="7594AC0A" w14:textId="77777777" w:rsidR="00BE0B19" w:rsidRPr="00AE47C6" w:rsidRDefault="00BE0B19" w:rsidP="00BE0B19">
      <w:pPr>
        <w:autoSpaceDE w:val="0"/>
        <w:autoSpaceDN w:val="0"/>
        <w:adjustRightInd w:val="0"/>
        <w:spacing w:after="0" w:line="360" w:lineRule="auto"/>
        <w:ind w:left="72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При пациентите, чиито клинични прояви са суспектни за хередитарна TTR FAP е важно насочване за </w:t>
      </w:r>
      <w:r w:rsidRPr="00AE47C6">
        <w:rPr>
          <w:rFonts w:ascii="Times New Roman" w:eastAsia="SimSun" w:hAnsi="Times New Roman"/>
          <w:b/>
          <w:sz w:val="24"/>
          <w:szCs w:val="24"/>
        </w:rPr>
        <w:t>допълнителни изследвания</w:t>
      </w:r>
      <w:r w:rsidRPr="00AE47C6">
        <w:rPr>
          <w:rFonts w:ascii="Times New Roman" w:eastAsia="SimSun" w:hAnsi="Times New Roman"/>
          <w:sz w:val="24"/>
          <w:szCs w:val="24"/>
        </w:rPr>
        <w:t>:</w:t>
      </w:r>
    </w:p>
    <w:p w14:paraId="6398F4DD" w14:textId="77777777" w:rsidR="00BE0B19" w:rsidRPr="00AE47C6" w:rsidRDefault="00BE0B19" w:rsidP="00BE0B19">
      <w:pPr>
        <w:numPr>
          <w:ilvl w:val="0"/>
          <w:numId w:val="346"/>
        </w:numPr>
        <w:autoSpaceDE w:val="0"/>
        <w:autoSpaceDN w:val="0"/>
        <w:adjustRightInd w:val="0"/>
        <w:spacing w:after="0" w:line="360" w:lineRule="auto"/>
        <w:contextualSpacing/>
        <w:jc w:val="both"/>
        <w:rPr>
          <w:rFonts w:ascii="Times New Roman" w:eastAsia="SimSun" w:hAnsi="Times New Roman"/>
          <w:b/>
          <w:sz w:val="24"/>
          <w:szCs w:val="24"/>
        </w:rPr>
      </w:pPr>
      <w:r w:rsidRPr="00AE47C6">
        <w:rPr>
          <w:rFonts w:ascii="Times New Roman" w:eastAsia="SimSun" w:hAnsi="Times New Roman"/>
          <w:b/>
          <w:sz w:val="24"/>
          <w:szCs w:val="24"/>
        </w:rPr>
        <w:t>Неврологични изследвания:</w:t>
      </w:r>
    </w:p>
    <w:p w14:paraId="7DF6BE96" w14:textId="77777777" w:rsidR="00BE0B19" w:rsidRPr="00AE47C6" w:rsidRDefault="00BE0B19" w:rsidP="00BE0B19">
      <w:pPr>
        <w:numPr>
          <w:ilvl w:val="1"/>
          <w:numId w:val="350"/>
        </w:numPr>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shd w:val="clear" w:color="auto" w:fill="FFFFFF"/>
        </w:rPr>
        <w:t>Оценката по PND (polyneuropathy disability) е представена на таблица 2.5.</w:t>
      </w:r>
    </w:p>
    <w:p w14:paraId="7DFA8DCE" w14:textId="77777777" w:rsidR="00BE0B19" w:rsidRPr="00AE47C6" w:rsidRDefault="00BE0B19" w:rsidP="00BE0B19">
      <w:pPr>
        <w:autoSpaceDE w:val="0"/>
        <w:autoSpaceDN w:val="0"/>
        <w:adjustRightInd w:val="0"/>
        <w:spacing w:after="0" w:line="360" w:lineRule="auto"/>
        <w:ind w:left="1440"/>
        <w:contextualSpacing/>
        <w:jc w:val="both"/>
        <w:rPr>
          <w:rFonts w:ascii="Times New Roman" w:eastAsia="SimSun" w:hAnsi="Times New Roman"/>
          <w:sz w:val="24"/>
          <w:szCs w:val="24"/>
        </w:rPr>
      </w:pPr>
    </w:p>
    <w:p w14:paraId="101F07DB" w14:textId="77777777" w:rsidR="00BE0B19" w:rsidRPr="00AE47C6" w:rsidRDefault="00BE0B19" w:rsidP="00BE0B19">
      <w:pPr>
        <w:autoSpaceDE w:val="0"/>
        <w:autoSpaceDN w:val="0"/>
        <w:adjustRightInd w:val="0"/>
        <w:spacing w:after="0" w:line="360" w:lineRule="auto"/>
        <w:ind w:left="720"/>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Таблица 2.5. </w:t>
      </w:r>
      <w:r w:rsidRPr="00AE47C6">
        <w:rPr>
          <w:rFonts w:ascii="Times New Roman" w:eastAsia="SimSun" w:hAnsi="Times New Roman"/>
          <w:sz w:val="24"/>
          <w:szCs w:val="24"/>
        </w:rPr>
        <w:t>Оценка по PND за тежестта на засягане на периферните нерви при TTR FAP</w:t>
      </w:r>
    </w:p>
    <w:p w14:paraId="117D2551" w14:textId="77777777" w:rsidR="00BE0B19" w:rsidRPr="00AE47C6" w:rsidRDefault="00BE0B19" w:rsidP="00BE0B19">
      <w:pPr>
        <w:autoSpaceDE w:val="0"/>
        <w:autoSpaceDN w:val="0"/>
        <w:adjustRightInd w:val="0"/>
        <w:spacing w:after="0" w:line="360" w:lineRule="auto"/>
        <w:ind w:left="720"/>
        <w:contextualSpacing/>
        <w:jc w:val="both"/>
        <w:rPr>
          <w:rFonts w:ascii="Times New Roman" w:eastAsia="SimSun" w:hAnsi="Times New Roman"/>
          <w:sz w:val="24"/>
          <w:szCs w:val="24"/>
        </w:rPr>
      </w:pPr>
    </w:p>
    <w:p w14:paraId="090D5637" w14:textId="77777777" w:rsidR="00BE0B19" w:rsidRPr="00AE47C6" w:rsidRDefault="00BE0B19" w:rsidP="00BE0B19">
      <w:pPr>
        <w:numPr>
          <w:ilvl w:val="0"/>
          <w:numId w:val="347"/>
        </w:num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   Без симптоми</w:t>
      </w:r>
    </w:p>
    <w:p w14:paraId="5FB141E3" w14:textId="77777777" w:rsidR="00BE0B19" w:rsidRPr="00AE47C6" w:rsidRDefault="00BE0B19" w:rsidP="00BE0B1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ind w:left="1080"/>
        <w:contextualSpacing/>
        <w:jc w:val="both"/>
        <w:rPr>
          <w:rFonts w:ascii="Times New Roman" w:eastAsia="SimSun" w:hAnsi="Times New Roman"/>
          <w:sz w:val="24"/>
          <w:szCs w:val="24"/>
        </w:rPr>
      </w:pPr>
      <w:r w:rsidRPr="00AE47C6">
        <w:rPr>
          <w:rFonts w:ascii="Times New Roman" w:eastAsia="SimSun" w:hAnsi="Times New Roman"/>
          <w:sz w:val="24"/>
          <w:szCs w:val="24"/>
        </w:rPr>
        <w:t>I        Сетивни прояви, без промени на походката</w:t>
      </w:r>
    </w:p>
    <w:p w14:paraId="2E398D5D" w14:textId="77777777" w:rsidR="00BE0B19" w:rsidRPr="00AE47C6" w:rsidRDefault="00BE0B19" w:rsidP="00BE0B1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ind w:left="1080"/>
        <w:contextualSpacing/>
        <w:jc w:val="both"/>
        <w:rPr>
          <w:rFonts w:ascii="Times New Roman" w:eastAsia="SimSun" w:hAnsi="Times New Roman"/>
          <w:sz w:val="24"/>
          <w:szCs w:val="24"/>
        </w:rPr>
      </w:pPr>
      <w:r w:rsidRPr="00AE47C6">
        <w:rPr>
          <w:rFonts w:ascii="Times New Roman" w:eastAsia="SimSun" w:hAnsi="Times New Roman"/>
          <w:sz w:val="24"/>
          <w:szCs w:val="24"/>
        </w:rPr>
        <w:t>II      Променена походка, възможна без използване на помощно средство</w:t>
      </w:r>
    </w:p>
    <w:p w14:paraId="70F0F1D6" w14:textId="77777777" w:rsidR="00BE0B19" w:rsidRPr="00AE47C6" w:rsidRDefault="00BE0B19" w:rsidP="00BE0B1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005"/>
        </w:tabs>
        <w:autoSpaceDE w:val="0"/>
        <w:autoSpaceDN w:val="0"/>
        <w:adjustRightInd w:val="0"/>
        <w:spacing w:after="0" w:line="360" w:lineRule="auto"/>
        <w:ind w:left="1080"/>
        <w:contextualSpacing/>
        <w:jc w:val="both"/>
        <w:rPr>
          <w:rFonts w:ascii="Times New Roman" w:eastAsia="SimSun" w:hAnsi="Times New Roman"/>
          <w:sz w:val="24"/>
          <w:szCs w:val="24"/>
        </w:rPr>
      </w:pPr>
      <w:r w:rsidRPr="00AE47C6">
        <w:rPr>
          <w:rFonts w:ascii="Times New Roman" w:eastAsia="SimSun" w:hAnsi="Times New Roman"/>
          <w:sz w:val="24"/>
          <w:szCs w:val="24"/>
        </w:rPr>
        <w:t>IIIA   Походката е възможна с едно помощно средство</w:t>
      </w:r>
      <w:r w:rsidRPr="00AE47C6">
        <w:rPr>
          <w:rFonts w:ascii="Times New Roman" w:eastAsia="SimSun" w:hAnsi="Times New Roman"/>
          <w:sz w:val="24"/>
          <w:szCs w:val="24"/>
        </w:rPr>
        <w:tab/>
      </w:r>
    </w:p>
    <w:p w14:paraId="667AA2C4" w14:textId="77777777" w:rsidR="00BE0B19" w:rsidRPr="00AE47C6" w:rsidRDefault="00BE0B19" w:rsidP="00BE0B1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ind w:left="1080"/>
        <w:contextualSpacing/>
        <w:jc w:val="both"/>
        <w:rPr>
          <w:rFonts w:ascii="Times New Roman" w:eastAsia="SimSun" w:hAnsi="Times New Roman"/>
          <w:sz w:val="24"/>
          <w:szCs w:val="24"/>
        </w:rPr>
      </w:pPr>
      <w:r w:rsidRPr="00AE47C6">
        <w:rPr>
          <w:rFonts w:ascii="Times New Roman" w:eastAsia="SimSun" w:hAnsi="Times New Roman"/>
          <w:sz w:val="24"/>
          <w:szCs w:val="24"/>
        </w:rPr>
        <w:t>IIIB   Походката е възможна с две помощни средства или проходилка</w:t>
      </w:r>
    </w:p>
    <w:p w14:paraId="09C31525" w14:textId="77777777" w:rsidR="00BE0B19" w:rsidRPr="00AE47C6" w:rsidRDefault="00BE0B19" w:rsidP="00BE0B1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ind w:left="1080"/>
        <w:contextualSpacing/>
        <w:jc w:val="both"/>
        <w:rPr>
          <w:rFonts w:ascii="Times New Roman" w:eastAsia="SimSun" w:hAnsi="Times New Roman"/>
          <w:sz w:val="24"/>
          <w:szCs w:val="24"/>
        </w:rPr>
      </w:pPr>
      <w:r w:rsidRPr="00AE47C6">
        <w:rPr>
          <w:rFonts w:ascii="Times New Roman" w:eastAsia="SimSun" w:hAnsi="Times New Roman"/>
          <w:sz w:val="24"/>
          <w:szCs w:val="24"/>
        </w:rPr>
        <w:t>IV     Самостоятелната походка е невъзможна, на инвалидна количка или легло</w:t>
      </w:r>
    </w:p>
    <w:p w14:paraId="1C0EDB0D" w14:textId="77777777" w:rsidR="00BE0B19" w:rsidRPr="00AE47C6" w:rsidRDefault="00BE0B19" w:rsidP="00BE0B19">
      <w:pPr>
        <w:autoSpaceDE w:val="0"/>
        <w:autoSpaceDN w:val="0"/>
        <w:adjustRightInd w:val="0"/>
        <w:spacing w:after="0" w:line="360" w:lineRule="auto"/>
        <w:ind w:left="720"/>
        <w:contextualSpacing/>
        <w:jc w:val="both"/>
        <w:rPr>
          <w:rFonts w:ascii="Times New Roman" w:eastAsia="SimSun" w:hAnsi="Times New Roman"/>
          <w:sz w:val="24"/>
          <w:szCs w:val="24"/>
        </w:rPr>
      </w:pPr>
    </w:p>
    <w:p w14:paraId="00F63474" w14:textId="77777777" w:rsidR="00BE0B19" w:rsidRPr="00AE47C6" w:rsidRDefault="00BE0B19" w:rsidP="00BE0B19">
      <w:pPr>
        <w:numPr>
          <w:ilvl w:val="1"/>
          <w:numId w:val="350"/>
        </w:numPr>
        <w:autoSpaceDE w:val="0"/>
        <w:autoSpaceDN w:val="0"/>
        <w:adjustRightInd w:val="0"/>
        <w:spacing w:after="0" w:line="360" w:lineRule="auto"/>
        <w:ind w:hanging="731"/>
        <w:contextualSpacing/>
        <w:jc w:val="both"/>
        <w:rPr>
          <w:rFonts w:ascii="Times New Roman" w:eastAsia="SimSun" w:hAnsi="Times New Roman"/>
          <w:sz w:val="24"/>
          <w:szCs w:val="24"/>
        </w:rPr>
      </w:pPr>
      <w:r w:rsidRPr="00AE47C6">
        <w:rPr>
          <w:rFonts w:ascii="Times New Roman" w:eastAsia="SimSun" w:hAnsi="Times New Roman"/>
          <w:sz w:val="24"/>
          <w:szCs w:val="24"/>
        </w:rPr>
        <w:t>Оценката на стадия на хередитарната TTРА</w:t>
      </w:r>
      <w:r w:rsidRPr="00AE47C6">
        <w:rPr>
          <w:rFonts w:ascii="Times New Roman" w:eastAsia="SimSun" w:hAnsi="Times New Roman"/>
          <w:sz w:val="24"/>
          <w:szCs w:val="24"/>
          <w:shd w:val="clear" w:color="auto" w:fill="FFFFFF"/>
        </w:rPr>
        <w:t>- има значение за преценка на възможността за патогенетична терапия (таблица 2.6)</w:t>
      </w:r>
    </w:p>
    <w:p w14:paraId="0046F87F" w14:textId="77777777" w:rsidR="00BE0B19" w:rsidRPr="00AE47C6" w:rsidRDefault="00BE0B19" w:rsidP="00BE0B19">
      <w:pPr>
        <w:autoSpaceDE w:val="0"/>
        <w:autoSpaceDN w:val="0"/>
        <w:adjustRightInd w:val="0"/>
        <w:spacing w:after="0" w:line="360" w:lineRule="auto"/>
        <w:ind w:left="720"/>
        <w:contextualSpacing/>
        <w:jc w:val="both"/>
        <w:rPr>
          <w:rFonts w:ascii="Times New Roman" w:eastAsia="SimSun" w:hAnsi="Times New Roman"/>
          <w:sz w:val="24"/>
          <w:szCs w:val="24"/>
        </w:rPr>
      </w:pPr>
      <w:r w:rsidRPr="00AE47C6">
        <w:rPr>
          <w:rFonts w:ascii="Times New Roman" w:eastAsia="SimSun" w:hAnsi="Times New Roman"/>
          <w:b/>
          <w:sz w:val="24"/>
          <w:szCs w:val="24"/>
        </w:rPr>
        <w:t>Таблица 2.6.</w:t>
      </w:r>
      <w:r w:rsidRPr="00AE47C6">
        <w:rPr>
          <w:rFonts w:ascii="Times New Roman" w:eastAsia="SimSun" w:hAnsi="Times New Roman"/>
          <w:sz w:val="24"/>
          <w:szCs w:val="24"/>
        </w:rPr>
        <w:t xml:space="preserve"> Оценка на стадия на хередитарната TTРА </w:t>
      </w:r>
    </w:p>
    <w:p w14:paraId="3DB7D603" w14:textId="77777777" w:rsidR="00BE0B19" w:rsidRPr="00AE47C6" w:rsidRDefault="00BE0B19" w:rsidP="00BE0B19">
      <w:pPr>
        <w:autoSpaceDE w:val="0"/>
        <w:autoSpaceDN w:val="0"/>
        <w:adjustRightInd w:val="0"/>
        <w:spacing w:after="0" w:line="360" w:lineRule="auto"/>
        <w:ind w:left="720"/>
        <w:contextualSpacing/>
        <w:jc w:val="both"/>
        <w:rPr>
          <w:rFonts w:ascii="Times New Roman" w:eastAsia="SimSun" w:hAnsi="Times New Roman"/>
          <w:sz w:val="24"/>
          <w:szCs w:val="24"/>
        </w:rPr>
      </w:pPr>
    </w:p>
    <w:p w14:paraId="509A0711" w14:textId="77777777" w:rsidR="00BE0B19" w:rsidRPr="00AE47C6" w:rsidRDefault="00BE0B19" w:rsidP="00BE0B1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ind w:left="72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       I     Походката не е нарушена, леки сетивни, моторни или автономни нарушения    в долните крайници  </w:t>
      </w:r>
    </w:p>
    <w:p w14:paraId="400E00AD" w14:textId="77777777" w:rsidR="00BE0B19" w:rsidRPr="00AE47C6" w:rsidRDefault="00BE0B19" w:rsidP="00BE0B1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ind w:left="72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       II   Самостоятелната походка е възможна само с помощно средство, умерено тежко засягане на долни, горни крайници и трункус</w:t>
      </w:r>
    </w:p>
    <w:p w14:paraId="743CBD18" w14:textId="77777777" w:rsidR="00BE0B19" w:rsidRPr="00AE47C6" w:rsidRDefault="00BE0B19" w:rsidP="00BE0B1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ind w:left="72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       III Самостоятелна походка- невъзможна, пациентът използва инвалидна количка или е на легло</w:t>
      </w:r>
    </w:p>
    <w:p w14:paraId="592F3029" w14:textId="77777777" w:rsidR="00BE0B19" w:rsidRPr="00AE47C6" w:rsidRDefault="00BE0B19" w:rsidP="00BE0B19">
      <w:pPr>
        <w:autoSpaceDE w:val="0"/>
        <w:autoSpaceDN w:val="0"/>
        <w:adjustRightInd w:val="0"/>
        <w:spacing w:after="0" w:line="360" w:lineRule="auto"/>
        <w:ind w:left="720"/>
        <w:contextualSpacing/>
        <w:jc w:val="both"/>
        <w:rPr>
          <w:rFonts w:ascii="Times New Roman" w:eastAsia="SimSun" w:hAnsi="Times New Roman"/>
          <w:sz w:val="24"/>
          <w:szCs w:val="24"/>
        </w:rPr>
      </w:pPr>
    </w:p>
    <w:p w14:paraId="02578B36" w14:textId="77777777" w:rsidR="00BE0B19" w:rsidRPr="00AE47C6" w:rsidRDefault="00BE0B19" w:rsidP="00BE0B19">
      <w:pPr>
        <w:autoSpaceDE w:val="0"/>
        <w:autoSpaceDN w:val="0"/>
        <w:adjustRightInd w:val="0"/>
        <w:spacing w:after="0" w:line="360" w:lineRule="auto"/>
        <w:ind w:left="284" w:firstLine="436"/>
        <w:contextualSpacing/>
        <w:jc w:val="both"/>
        <w:rPr>
          <w:rFonts w:ascii="Times New Roman" w:eastAsia="SimSun" w:hAnsi="Times New Roman"/>
          <w:sz w:val="24"/>
          <w:szCs w:val="24"/>
        </w:rPr>
      </w:pPr>
      <w:r w:rsidRPr="00AE47C6">
        <w:rPr>
          <w:rFonts w:ascii="Times New Roman" w:eastAsia="SimSun" w:hAnsi="Times New Roman"/>
          <w:i/>
          <w:sz w:val="24"/>
          <w:szCs w:val="24"/>
          <w:shd w:val="clear" w:color="auto" w:fill="FFFFFF"/>
        </w:rPr>
        <w:t xml:space="preserve">Оценка по PND, </w:t>
      </w:r>
      <w:r w:rsidRPr="00AE47C6">
        <w:rPr>
          <w:rFonts w:ascii="Times New Roman" w:eastAsia="SimSun" w:hAnsi="Times New Roman"/>
          <w:i/>
          <w:sz w:val="24"/>
          <w:szCs w:val="24"/>
        </w:rPr>
        <w:t xml:space="preserve">стадия на хередитарната TTРА и </w:t>
      </w:r>
      <w:r w:rsidRPr="00AE47C6">
        <w:rPr>
          <w:rFonts w:ascii="Times New Roman" w:eastAsia="SimSun" w:hAnsi="Times New Roman"/>
          <w:i/>
          <w:sz w:val="24"/>
          <w:szCs w:val="24"/>
          <w:shd w:val="clear" w:color="auto" w:fill="FFFFFF"/>
        </w:rPr>
        <w:t>NIS</w:t>
      </w:r>
      <w:r w:rsidRPr="00AE47C6">
        <w:rPr>
          <w:rFonts w:ascii="Times New Roman" w:eastAsia="SimSun" w:hAnsi="Times New Roman"/>
          <w:sz w:val="24"/>
          <w:szCs w:val="24"/>
          <w:shd w:val="clear" w:color="auto" w:fill="FFFFFF"/>
        </w:rPr>
        <w:t xml:space="preserve"> се извършват преди започване на лечението и за определяне на ефекта от терапията при вече диагностицираните болни.</w:t>
      </w:r>
    </w:p>
    <w:p w14:paraId="738442D2" w14:textId="77777777" w:rsidR="00BE0B19" w:rsidRPr="00AE47C6" w:rsidRDefault="00BE0B19" w:rsidP="00BE0B19">
      <w:pPr>
        <w:numPr>
          <w:ilvl w:val="1"/>
          <w:numId w:val="350"/>
        </w:numPr>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Електроневрография (ЕНГ) и електромиография (ЕМГ) </w:t>
      </w:r>
      <w:r w:rsidRPr="00AE47C6">
        <w:rPr>
          <w:rFonts w:ascii="Times New Roman" w:eastAsia="SimSun" w:hAnsi="Times New Roman"/>
          <w:sz w:val="24"/>
          <w:szCs w:val="24"/>
        </w:rPr>
        <w:t>с данни за аксонна сензомоторна полиневропатия с по-тежко засягане на периферните нерви на долните крайници и на сетивните спрямо моторните влакна. Възможни са следните комбинации:</w:t>
      </w:r>
    </w:p>
    <w:p w14:paraId="340478F0" w14:textId="77777777" w:rsidR="00BE0B19" w:rsidRPr="00AE47C6" w:rsidRDefault="00BE0B19" w:rsidP="00BE0B19">
      <w:pPr>
        <w:numPr>
          <w:ilvl w:val="2"/>
          <w:numId w:val="346"/>
        </w:numPr>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Намалена амплитуда (А) на СНАП и СМАП при нормални скорост на провеждане (СП)  и дистални латенции (ДЛ)</w:t>
      </w:r>
    </w:p>
    <w:p w14:paraId="2AA06954" w14:textId="77777777" w:rsidR="00BE0B19" w:rsidRPr="00AE47C6" w:rsidRDefault="00BE0B19" w:rsidP="00BE0B19">
      <w:pPr>
        <w:numPr>
          <w:ilvl w:val="2"/>
          <w:numId w:val="346"/>
        </w:numPr>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Нормална А и ДЛ при намалена СП</w:t>
      </w:r>
    </w:p>
    <w:p w14:paraId="66F582B2" w14:textId="77777777" w:rsidR="00BE0B19" w:rsidRPr="00AE47C6" w:rsidRDefault="00BE0B19" w:rsidP="00BE0B19">
      <w:pPr>
        <w:numPr>
          <w:ilvl w:val="2"/>
          <w:numId w:val="346"/>
        </w:numPr>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Намалени А и СП при нормална ДЛ</w:t>
      </w:r>
    </w:p>
    <w:p w14:paraId="73A3D5EE" w14:textId="77777777" w:rsidR="00BE0B19" w:rsidRPr="00AE47C6" w:rsidRDefault="00BE0B19" w:rsidP="00BE0B19">
      <w:pPr>
        <w:numPr>
          <w:ilvl w:val="2"/>
          <w:numId w:val="346"/>
        </w:numPr>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ДЛ са рядко удължени, с изкл. на ДЛ на n. medianus, която може да е удължена до 2 пъти над нормата, дори и без да са налице клинични прояви на синдром на карпалния канал.</w:t>
      </w:r>
    </w:p>
    <w:p w14:paraId="6F53018C" w14:textId="77777777" w:rsidR="00BE0B19" w:rsidRPr="00AE47C6" w:rsidRDefault="00BE0B19" w:rsidP="00BE0B19">
      <w:pPr>
        <w:autoSpaceDE w:val="0"/>
        <w:autoSpaceDN w:val="0"/>
        <w:adjustRightInd w:val="0"/>
        <w:spacing w:after="0" w:line="360" w:lineRule="auto"/>
        <w:ind w:left="284" w:firstLine="425"/>
        <w:jc w:val="both"/>
        <w:rPr>
          <w:rFonts w:ascii="Times New Roman" w:eastAsia="SimSun" w:hAnsi="Times New Roman"/>
          <w:sz w:val="24"/>
          <w:szCs w:val="24"/>
        </w:rPr>
      </w:pPr>
      <w:r w:rsidRPr="00AE47C6">
        <w:rPr>
          <w:rFonts w:ascii="Times New Roman" w:eastAsia="SimSun" w:hAnsi="Times New Roman"/>
          <w:sz w:val="24"/>
          <w:szCs w:val="24"/>
        </w:rPr>
        <w:t>В ранните стадии на заболяването, предвид преобладаващото ангажиране на малките немиелинизирани нервни влакна ЕНГ изследване може да е нормално, което налага провеждането на следните тестове, като:</w:t>
      </w:r>
    </w:p>
    <w:p w14:paraId="5E6F3BE3" w14:textId="77777777" w:rsidR="00BE0B19" w:rsidRPr="00AE47C6" w:rsidRDefault="00BE0B19" w:rsidP="00BE0B19">
      <w:pPr>
        <w:numPr>
          <w:ilvl w:val="1"/>
          <w:numId w:val="350"/>
        </w:numPr>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b/>
          <w:sz w:val="24"/>
          <w:szCs w:val="24"/>
        </w:rPr>
        <w:t>Симпатиковият кожен отговор</w:t>
      </w:r>
      <w:r w:rsidRPr="00AE47C6">
        <w:rPr>
          <w:rFonts w:ascii="Times New Roman" w:eastAsia="SimSun" w:hAnsi="Times New Roman"/>
          <w:sz w:val="24"/>
          <w:szCs w:val="24"/>
        </w:rPr>
        <w:t xml:space="preserve"> отразява активирането на потните жлези в отговор на подаване на електричен импулс или силен шум. Отвежда се от дланите и ходилата. Оценява се амплитудата, която е белег за запазен интегритет на судомоторните нервни влакна. При пациентите с хередитарната TTРА амплитудата е снижена или липсва отговор. </w:t>
      </w:r>
    </w:p>
    <w:p w14:paraId="6C59602F" w14:textId="77777777" w:rsidR="00BE0B19" w:rsidRPr="00AE47C6" w:rsidRDefault="00BE0B19" w:rsidP="00BE0B19">
      <w:pPr>
        <w:numPr>
          <w:ilvl w:val="1"/>
          <w:numId w:val="350"/>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b/>
          <w:sz w:val="24"/>
          <w:szCs w:val="24"/>
        </w:rPr>
        <w:t>Судомоторният тест Sudoscan</w:t>
      </w:r>
      <w:r w:rsidRPr="00AE47C6">
        <w:rPr>
          <w:rFonts w:ascii="Times New Roman" w:eastAsia="SimSun" w:hAnsi="Times New Roman"/>
          <w:sz w:val="24"/>
          <w:szCs w:val="24"/>
        </w:rPr>
        <w:t xml:space="preserve"> използва директна стимулация с нисък интензитет (≤ 4V) и обратна йонофореза, като начин за измерване на локалната проводимост между хлоридите в потната секреция и никеловите електроди на апарата. Електрохимичната проводимост (ЕхП) на кожата, осъществявана от немиелинизираните С-влакна, се изчислява в microSiemens (μS). За нормална ЕхП на ходилата се приемат резултати на 67μS. При ЕхП на кожата на ходилата под </w:t>
      </w:r>
      <w:r w:rsidRPr="00AE47C6">
        <w:rPr>
          <w:rFonts w:ascii="Times New Roman" w:eastAsia="TT15Ct00" w:hAnsi="Times New Roman"/>
          <w:sz w:val="24"/>
          <w:szCs w:val="24"/>
        </w:rPr>
        <w:t>66 μS ч</w:t>
      </w:r>
      <w:r w:rsidRPr="00AE47C6">
        <w:rPr>
          <w:rFonts w:ascii="Times New Roman" w:eastAsia="SimSun" w:hAnsi="Times New Roman"/>
          <w:sz w:val="24"/>
          <w:szCs w:val="24"/>
        </w:rPr>
        <w:t xml:space="preserve">увствителността на този метод за потвърждаване на смутената автономна регулация е 76%, а специфичността е 85%. </w:t>
      </w:r>
    </w:p>
    <w:p w14:paraId="3BCBDA6B" w14:textId="77777777" w:rsidR="00BE0B19" w:rsidRPr="00AE47C6" w:rsidRDefault="00BE0B19" w:rsidP="00BE0B19">
      <w:pPr>
        <w:numPr>
          <w:ilvl w:val="1"/>
          <w:numId w:val="351"/>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Количественият судомоторен аксонен тест </w:t>
      </w:r>
      <w:r w:rsidRPr="00AE47C6">
        <w:rPr>
          <w:rFonts w:ascii="Times New Roman" w:eastAsia="SimSun" w:hAnsi="Times New Roman"/>
          <w:sz w:val="24"/>
          <w:szCs w:val="24"/>
        </w:rPr>
        <w:t>(QSART) оценява судомоторната функция, но поради голямата продължителност на изследването, не намира широко приложение в рутинната практика.</w:t>
      </w:r>
    </w:p>
    <w:p w14:paraId="168711B7" w14:textId="77777777" w:rsidR="00BE0B19" w:rsidRPr="00AE47C6" w:rsidRDefault="00BE0B19" w:rsidP="00BE0B19">
      <w:pPr>
        <w:numPr>
          <w:ilvl w:val="1"/>
          <w:numId w:val="351"/>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b/>
          <w:sz w:val="24"/>
          <w:szCs w:val="24"/>
        </w:rPr>
        <w:t>Вариабилността на сърдечния ритъм</w:t>
      </w:r>
      <w:r w:rsidRPr="00AE47C6">
        <w:rPr>
          <w:rFonts w:ascii="Times New Roman" w:eastAsia="SimSun" w:hAnsi="Times New Roman"/>
          <w:sz w:val="24"/>
          <w:szCs w:val="24"/>
        </w:rPr>
        <w:t xml:space="preserve"> (Heart rate variability HRV) се оценява по време на дълбоко дишане и при маньовър на </w:t>
      </w:r>
      <w:r w:rsidRPr="00AE47C6">
        <w:rPr>
          <w:rFonts w:ascii="Times New Roman" w:eastAsia="Lato-Regular" w:hAnsi="Times New Roman"/>
          <w:sz w:val="24"/>
          <w:szCs w:val="24"/>
        </w:rPr>
        <w:t>Valsalva, но оценява основно парасимпатиковата функция. Не е приложим при пациенти с постоянен кардиостимулатор.</w:t>
      </w:r>
    </w:p>
    <w:p w14:paraId="56BF60F6" w14:textId="77777777" w:rsidR="00BE0B19" w:rsidRPr="00AE47C6" w:rsidRDefault="00BE0B19" w:rsidP="00BE0B19">
      <w:pPr>
        <w:numPr>
          <w:ilvl w:val="1"/>
          <w:numId w:val="351"/>
        </w:numPr>
        <w:shd w:val="clear" w:color="auto" w:fill="FFFFFF"/>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b/>
          <w:sz w:val="24"/>
          <w:szCs w:val="24"/>
        </w:rPr>
        <w:t>Количествен тест за оценка на сетивността</w:t>
      </w:r>
      <w:r w:rsidRPr="00AE47C6">
        <w:rPr>
          <w:rFonts w:ascii="Times New Roman" w:eastAsia="SimSun" w:hAnsi="Times New Roman"/>
          <w:sz w:val="24"/>
          <w:szCs w:val="24"/>
        </w:rPr>
        <w:t xml:space="preserve"> (QST)- оценява се вибрационния усет, прага на температурния усет за студено и прага на усета за топло-болка. Като при пациентите с хередитарната TTРА се отчита повишен праг и при трите модалности на 95 персентил.</w:t>
      </w:r>
    </w:p>
    <w:p w14:paraId="06F7A226" w14:textId="77777777" w:rsidR="00BE0B19" w:rsidRPr="00AE47C6" w:rsidRDefault="00BE0B19" w:rsidP="00BE0B19">
      <w:pPr>
        <w:numPr>
          <w:ilvl w:val="1"/>
          <w:numId w:val="351"/>
        </w:numPr>
        <w:autoSpaceDE w:val="0"/>
        <w:autoSpaceDN w:val="0"/>
        <w:adjustRightInd w:val="0"/>
        <w:spacing w:after="0" w:line="360" w:lineRule="auto"/>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Лазерни евокирани потенциали (ЛЕП)- използва се </w:t>
      </w:r>
      <w:r w:rsidRPr="00AE47C6">
        <w:rPr>
          <w:rFonts w:ascii="Times New Roman" w:eastAsia="SimSun" w:hAnsi="Times New Roman"/>
          <w:sz w:val="24"/>
          <w:szCs w:val="24"/>
        </w:rPr>
        <w:t>CO2-лазер стимулатор за стимулация на гърба на ходилото (дължина на вълната 10.6 mm; интензитет 15–20 W, продължителност 15 ms). Междустимулният интервал варира между 10 и 20 s. N2–P2 ЛЕП комплекс се отвежда чрез подкожни иглени електроди от вертекса (Cz) и фронтален референтен (Fpz). Оценяват се пиковата латенция и амплитудата N2–P2 комплекса. При симптомните се установява удължена латенция на N2.</w:t>
      </w:r>
    </w:p>
    <w:p w14:paraId="65144B0B"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Кардиологични изследвания. </w:t>
      </w:r>
      <w:r w:rsidRPr="00AE47C6">
        <w:rPr>
          <w:rFonts w:ascii="Times New Roman" w:eastAsia="SimSun" w:hAnsi="Times New Roman"/>
          <w:sz w:val="24"/>
          <w:szCs w:val="24"/>
        </w:rPr>
        <w:t>Диагнозата - хередитарна транстиретинова амилоидна кардиомиопатия се поставя на базата на: фамилна анамнеза, клинични данни, ЕКГ, образни методи, хистологично изследване при необходимост, като за дефинитивна диагноза е задължителен молекулярно генетичен анализ. Задължително е да се изключи лековерижна и „див тип“ транстиретинова амилоидоза, другите два най-чести вида амилоидна кардиомиопатия, които изискват различно поведение и лечение и имат различна прогноза (Таблица 2.7.)</w:t>
      </w:r>
    </w:p>
    <w:p w14:paraId="568FCA86" w14:textId="77777777" w:rsidR="00BE0B19" w:rsidRPr="00AE47C6" w:rsidRDefault="00BE0B19" w:rsidP="00BE0B19">
      <w:pPr>
        <w:spacing w:after="0" w:line="360" w:lineRule="auto"/>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Таблица 2.7</w:t>
      </w:r>
      <w:r w:rsidRPr="00AE47C6">
        <w:rPr>
          <w:rFonts w:ascii="Times New Roman" w:eastAsia="SimSun" w:hAnsi="Times New Roman"/>
          <w:sz w:val="24"/>
          <w:szCs w:val="24"/>
          <w:lang w:eastAsia="bg-BG"/>
        </w:rPr>
        <w:t xml:space="preserve">. </w:t>
      </w:r>
      <w:r w:rsidRPr="00AE47C6">
        <w:rPr>
          <w:rFonts w:ascii="Times New Roman" w:eastAsia="SimSun" w:hAnsi="Times New Roman"/>
          <w:b/>
          <w:sz w:val="24"/>
          <w:szCs w:val="24"/>
          <w:lang w:eastAsia="bg-BG"/>
        </w:rPr>
        <w:t>Необходими изследвания при диагностициране и проследяване на симптоматични пациенти и носители на генетична мутация свързана с АТТР.</w:t>
      </w:r>
    </w:p>
    <w:p w14:paraId="6559553D" w14:textId="77777777" w:rsidR="00BE0B19" w:rsidRPr="00AE47C6" w:rsidRDefault="00BE0B19" w:rsidP="00BE0B19">
      <w:pPr>
        <w:spacing w:after="0" w:line="360" w:lineRule="auto"/>
        <w:ind w:left="720"/>
        <w:contextualSpacing/>
        <w:jc w:val="both"/>
        <w:rPr>
          <w:rFonts w:ascii="Times New Roman" w:eastAsia="SimSun" w:hAnsi="Times New Roman"/>
          <w:sz w:val="24"/>
          <w:szCs w:val="24"/>
          <w:lang w:eastAsia="bg-BG"/>
        </w:rPr>
      </w:pPr>
    </w:p>
    <w:tbl>
      <w:tblPr>
        <w:tblStyle w:val="TableGrid2"/>
        <w:tblW w:w="4850" w:type="pct"/>
        <w:tblInd w:w="-5" w:type="dxa"/>
        <w:tblLayout w:type="fixed"/>
        <w:tblLook w:val="04A0" w:firstRow="1" w:lastRow="0" w:firstColumn="1" w:lastColumn="0" w:noHBand="0" w:noVBand="1"/>
      </w:tblPr>
      <w:tblGrid>
        <w:gridCol w:w="1135"/>
        <w:gridCol w:w="1418"/>
        <w:gridCol w:w="708"/>
        <w:gridCol w:w="851"/>
        <w:gridCol w:w="708"/>
        <w:gridCol w:w="851"/>
        <w:gridCol w:w="708"/>
        <w:gridCol w:w="710"/>
        <w:gridCol w:w="847"/>
        <w:gridCol w:w="852"/>
      </w:tblGrid>
      <w:tr w:rsidR="00BE0B19" w:rsidRPr="00AE47C6" w14:paraId="3365C14B" w14:textId="77777777" w:rsidTr="00AD72E5">
        <w:trPr>
          <w:trHeight w:val="1035"/>
        </w:trPr>
        <w:tc>
          <w:tcPr>
            <w:tcW w:w="645" w:type="pct"/>
            <w:tcBorders>
              <w:top w:val="single" w:sz="4" w:space="0" w:color="auto"/>
              <w:left w:val="single" w:sz="4" w:space="0" w:color="auto"/>
              <w:bottom w:val="single" w:sz="4" w:space="0" w:color="auto"/>
              <w:right w:val="single" w:sz="4" w:space="0" w:color="auto"/>
            </w:tcBorders>
          </w:tcPr>
          <w:p w14:paraId="2F27E7D8" w14:textId="77777777" w:rsidR="00BE0B19" w:rsidRPr="00AE47C6" w:rsidRDefault="00BE0B19" w:rsidP="00BE0B19">
            <w:pPr>
              <w:spacing w:after="0" w:line="360" w:lineRule="auto"/>
              <w:jc w:val="both"/>
              <w:rPr>
                <w:rFonts w:ascii="Times New Roman" w:hAnsi="Times New Roman"/>
                <w:sz w:val="20"/>
                <w:szCs w:val="20"/>
              </w:rPr>
            </w:pPr>
          </w:p>
        </w:tc>
        <w:tc>
          <w:tcPr>
            <w:tcW w:w="806" w:type="pct"/>
            <w:tcBorders>
              <w:top w:val="single" w:sz="4" w:space="0" w:color="auto"/>
              <w:left w:val="single" w:sz="4" w:space="0" w:color="auto"/>
              <w:bottom w:val="single" w:sz="4" w:space="0" w:color="auto"/>
              <w:right w:val="single" w:sz="4" w:space="0" w:color="auto"/>
            </w:tcBorders>
          </w:tcPr>
          <w:p w14:paraId="28F6056A" w14:textId="77777777" w:rsidR="00BE0B19" w:rsidRPr="00AE47C6" w:rsidRDefault="00BE0B19" w:rsidP="00BE0B19">
            <w:pPr>
              <w:spacing w:after="0" w:line="360" w:lineRule="auto"/>
              <w:jc w:val="both"/>
              <w:rPr>
                <w:rFonts w:ascii="Times New Roman" w:hAnsi="Times New Roman"/>
                <w:sz w:val="20"/>
                <w:szCs w:val="20"/>
              </w:rPr>
            </w:pPr>
          </w:p>
        </w:tc>
        <w:tc>
          <w:tcPr>
            <w:tcW w:w="403" w:type="pct"/>
            <w:tcBorders>
              <w:top w:val="single" w:sz="4" w:space="0" w:color="auto"/>
              <w:left w:val="single" w:sz="4" w:space="0" w:color="auto"/>
              <w:bottom w:val="single" w:sz="4" w:space="0" w:color="auto"/>
              <w:right w:val="single" w:sz="4" w:space="0" w:color="auto"/>
            </w:tcBorders>
            <w:hideMark/>
          </w:tcPr>
          <w:p w14:paraId="013A72FA"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ЕКГ</w:t>
            </w:r>
          </w:p>
        </w:tc>
        <w:tc>
          <w:tcPr>
            <w:tcW w:w="484" w:type="pct"/>
            <w:tcBorders>
              <w:top w:val="single" w:sz="4" w:space="0" w:color="auto"/>
              <w:left w:val="single" w:sz="4" w:space="0" w:color="auto"/>
              <w:bottom w:val="single" w:sz="4" w:space="0" w:color="auto"/>
              <w:right w:val="single" w:sz="4" w:space="0" w:color="auto"/>
            </w:tcBorders>
            <w:hideMark/>
          </w:tcPr>
          <w:p w14:paraId="3A598E87"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ЕхоКГ</w:t>
            </w:r>
          </w:p>
        </w:tc>
        <w:tc>
          <w:tcPr>
            <w:tcW w:w="403" w:type="pct"/>
            <w:tcBorders>
              <w:top w:val="single" w:sz="4" w:space="0" w:color="auto"/>
              <w:left w:val="single" w:sz="4" w:space="0" w:color="auto"/>
              <w:bottom w:val="single" w:sz="4" w:space="0" w:color="auto"/>
              <w:right w:val="single" w:sz="4" w:space="0" w:color="auto"/>
            </w:tcBorders>
            <w:hideMark/>
          </w:tcPr>
          <w:p w14:paraId="18BDA33E"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МРТ</w:t>
            </w:r>
          </w:p>
        </w:tc>
        <w:tc>
          <w:tcPr>
            <w:tcW w:w="484" w:type="pct"/>
            <w:tcBorders>
              <w:top w:val="single" w:sz="4" w:space="0" w:color="auto"/>
              <w:left w:val="single" w:sz="4" w:space="0" w:color="auto"/>
              <w:bottom w:val="single" w:sz="4" w:space="0" w:color="auto"/>
              <w:right w:val="single" w:sz="4" w:space="0" w:color="auto"/>
            </w:tcBorders>
            <w:hideMark/>
          </w:tcPr>
          <w:p w14:paraId="3E2C4A6E"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Костна сцинтиграфия</w:t>
            </w:r>
          </w:p>
        </w:tc>
        <w:tc>
          <w:tcPr>
            <w:tcW w:w="403" w:type="pct"/>
            <w:tcBorders>
              <w:top w:val="single" w:sz="4" w:space="0" w:color="auto"/>
              <w:left w:val="single" w:sz="4" w:space="0" w:color="auto"/>
              <w:bottom w:val="single" w:sz="4" w:space="0" w:color="auto"/>
              <w:right w:val="single" w:sz="4" w:space="0" w:color="auto"/>
            </w:tcBorders>
            <w:hideMark/>
          </w:tcPr>
          <w:p w14:paraId="44302DAF"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NT proBNP</w:t>
            </w:r>
          </w:p>
        </w:tc>
        <w:tc>
          <w:tcPr>
            <w:tcW w:w="404" w:type="pct"/>
            <w:tcBorders>
              <w:top w:val="single" w:sz="4" w:space="0" w:color="auto"/>
              <w:left w:val="single" w:sz="4" w:space="0" w:color="auto"/>
              <w:bottom w:val="single" w:sz="4" w:space="0" w:color="auto"/>
              <w:right w:val="single" w:sz="4" w:space="0" w:color="auto"/>
            </w:tcBorders>
            <w:hideMark/>
          </w:tcPr>
          <w:p w14:paraId="0755769B"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Тропонин</w:t>
            </w:r>
          </w:p>
        </w:tc>
        <w:tc>
          <w:tcPr>
            <w:tcW w:w="482" w:type="pct"/>
            <w:tcBorders>
              <w:top w:val="single" w:sz="4" w:space="0" w:color="auto"/>
              <w:left w:val="single" w:sz="4" w:space="0" w:color="auto"/>
              <w:bottom w:val="single" w:sz="4" w:space="0" w:color="auto"/>
              <w:right w:val="single" w:sz="4" w:space="0" w:color="auto"/>
            </w:tcBorders>
            <w:hideMark/>
          </w:tcPr>
          <w:p w14:paraId="74B3DE97"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Холтер ЕКГ</w:t>
            </w:r>
          </w:p>
        </w:tc>
        <w:tc>
          <w:tcPr>
            <w:tcW w:w="485" w:type="pct"/>
            <w:tcBorders>
              <w:top w:val="single" w:sz="4" w:space="0" w:color="auto"/>
              <w:left w:val="single" w:sz="4" w:space="0" w:color="auto"/>
              <w:bottom w:val="single" w:sz="4" w:space="0" w:color="auto"/>
              <w:right w:val="single" w:sz="4" w:space="0" w:color="auto"/>
            </w:tcBorders>
            <w:hideMark/>
          </w:tcPr>
          <w:p w14:paraId="336F2F3B"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Кръв/</w:t>
            </w:r>
          </w:p>
          <w:p w14:paraId="4B73C552"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урина</w:t>
            </w:r>
          </w:p>
        </w:tc>
      </w:tr>
      <w:tr w:rsidR="00BE0B19" w:rsidRPr="00AE47C6" w14:paraId="75926D29" w14:textId="77777777" w:rsidTr="00AD72E5">
        <w:trPr>
          <w:trHeight w:val="1035"/>
        </w:trPr>
        <w:tc>
          <w:tcPr>
            <w:tcW w:w="645" w:type="pct"/>
            <w:tcBorders>
              <w:top w:val="single" w:sz="4" w:space="0" w:color="auto"/>
              <w:left w:val="single" w:sz="4" w:space="0" w:color="auto"/>
              <w:bottom w:val="single" w:sz="4" w:space="0" w:color="auto"/>
              <w:right w:val="single" w:sz="4" w:space="0" w:color="auto"/>
            </w:tcBorders>
            <w:hideMark/>
          </w:tcPr>
          <w:p w14:paraId="61B5204D"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Пациенти</w:t>
            </w:r>
          </w:p>
        </w:tc>
        <w:tc>
          <w:tcPr>
            <w:tcW w:w="806" w:type="pct"/>
            <w:tcBorders>
              <w:top w:val="single" w:sz="4" w:space="0" w:color="auto"/>
              <w:left w:val="single" w:sz="4" w:space="0" w:color="auto"/>
              <w:bottom w:val="single" w:sz="4" w:space="0" w:color="auto"/>
              <w:right w:val="single" w:sz="4" w:space="0" w:color="auto"/>
            </w:tcBorders>
            <w:hideMark/>
          </w:tcPr>
          <w:p w14:paraId="7CA523CD"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диагноза</w:t>
            </w:r>
          </w:p>
        </w:tc>
        <w:tc>
          <w:tcPr>
            <w:tcW w:w="403" w:type="pct"/>
            <w:tcBorders>
              <w:top w:val="single" w:sz="4" w:space="0" w:color="auto"/>
              <w:left w:val="single" w:sz="4" w:space="0" w:color="auto"/>
              <w:bottom w:val="single" w:sz="4" w:space="0" w:color="auto"/>
              <w:right w:val="single" w:sz="4" w:space="0" w:color="auto"/>
            </w:tcBorders>
            <w:hideMark/>
          </w:tcPr>
          <w:p w14:paraId="665B7D03"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84" w:type="pct"/>
            <w:tcBorders>
              <w:top w:val="single" w:sz="4" w:space="0" w:color="auto"/>
              <w:left w:val="single" w:sz="4" w:space="0" w:color="auto"/>
              <w:bottom w:val="single" w:sz="4" w:space="0" w:color="auto"/>
              <w:right w:val="single" w:sz="4" w:space="0" w:color="auto"/>
            </w:tcBorders>
            <w:hideMark/>
          </w:tcPr>
          <w:p w14:paraId="5ED7BA93"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03" w:type="pct"/>
            <w:tcBorders>
              <w:top w:val="single" w:sz="4" w:space="0" w:color="auto"/>
              <w:left w:val="single" w:sz="4" w:space="0" w:color="auto"/>
              <w:bottom w:val="single" w:sz="4" w:space="0" w:color="auto"/>
              <w:right w:val="single" w:sz="4" w:space="0" w:color="auto"/>
            </w:tcBorders>
            <w:hideMark/>
          </w:tcPr>
          <w:p w14:paraId="151D751E"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84" w:type="pct"/>
            <w:tcBorders>
              <w:top w:val="single" w:sz="4" w:space="0" w:color="auto"/>
              <w:left w:val="single" w:sz="4" w:space="0" w:color="auto"/>
              <w:bottom w:val="single" w:sz="4" w:space="0" w:color="auto"/>
              <w:right w:val="single" w:sz="4" w:space="0" w:color="auto"/>
            </w:tcBorders>
            <w:hideMark/>
          </w:tcPr>
          <w:p w14:paraId="2622BFF7"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03" w:type="pct"/>
            <w:tcBorders>
              <w:top w:val="single" w:sz="4" w:space="0" w:color="auto"/>
              <w:left w:val="single" w:sz="4" w:space="0" w:color="auto"/>
              <w:bottom w:val="single" w:sz="4" w:space="0" w:color="auto"/>
              <w:right w:val="single" w:sz="4" w:space="0" w:color="auto"/>
            </w:tcBorders>
            <w:hideMark/>
          </w:tcPr>
          <w:p w14:paraId="1E2B25D3"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04" w:type="pct"/>
            <w:tcBorders>
              <w:top w:val="single" w:sz="4" w:space="0" w:color="auto"/>
              <w:left w:val="single" w:sz="4" w:space="0" w:color="auto"/>
              <w:bottom w:val="single" w:sz="4" w:space="0" w:color="auto"/>
              <w:right w:val="single" w:sz="4" w:space="0" w:color="auto"/>
            </w:tcBorders>
            <w:hideMark/>
          </w:tcPr>
          <w:p w14:paraId="7856C0E1"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82" w:type="pct"/>
            <w:tcBorders>
              <w:top w:val="single" w:sz="4" w:space="0" w:color="auto"/>
              <w:left w:val="single" w:sz="4" w:space="0" w:color="auto"/>
              <w:bottom w:val="single" w:sz="4" w:space="0" w:color="auto"/>
              <w:right w:val="single" w:sz="4" w:space="0" w:color="auto"/>
            </w:tcBorders>
            <w:hideMark/>
          </w:tcPr>
          <w:p w14:paraId="33325E8A"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85" w:type="pct"/>
            <w:tcBorders>
              <w:top w:val="single" w:sz="4" w:space="0" w:color="auto"/>
              <w:left w:val="single" w:sz="4" w:space="0" w:color="auto"/>
              <w:bottom w:val="single" w:sz="4" w:space="0" w:color="auto"/>
              <w:right w:val="single" w:sz="4" w:space="0" w:color="auto"/>
            </w:tcBorders>
            <w:hideMark/>
          </w:tcPr>
          <w:p w14:paraId="2E61B611"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r>
      <w:tr w:rsidR="00BE0B19" w:rsidRPr="00AE47C6" w14:paraId="686CBADA" w14:textId="77777777" w:rsidTr="00AD72E5">
        <w:trPr>
          <w:trHeight w:val="1035"/>
        </w:trPr>
        <w:tc>
          <w:tcPr>
            <w:tcW w:w="645" w:type="pct"/>
            <w:tcBorders>
              <w:top w:val="single" w:sz="4" w:space="0" w:color="auto"/>
              <w:left w:val="single" w:sz="4" w:space="0" w:color="auto"/>
              <w:bottom w:val="single" w:sz="4" w:space="0" w:color="auto"/>
              <w:right w:val="single" w:sz="4" w:space="0" w:color="auto"/>
            </w:tcBorders>
          </w:tcPr>
          <w:p w14:paraId="0D72A693" w14:textId="77777777" w:rsidR="00BE0B19" w:rsidRPr="00AE47C6" w:rsidRDefault="00BE0B19" w:rsidP="00BE0B19">
            <w:pPr>
              <w:spacing w:after="0" w:line="360" w:lineRule="auto"/>
              <w:jc w:val="both"/>
              <w:rPr>
                <w:rFonts w:ascii="Times New Roman" w:hAnsi="Times New Roman"/>
                <w:sz w:val="20"/>
                <w:szCs w:val="20"/>
              </w:rPr>
            </w:pPr>
          </w:p>
        </w:tc>
        <w:tc>
          <w:tcPr>
            <w:tcW w:w="806" w:type="pct"/>
            <w:tcBorders>
              <w:top w:val="single" w:sz="4" w:space="0" w:color="auto"/>
              <w:left w:val="single" w:sz="4" w:space="0" w:color="auto"/>
              <w:bottom w:val="single" w:sz="4" w:space="0" w:color="auto"/>
              <w:right w:val="single" w:sz="4" w:space="0" w:color="auto"/>
            </w:tcBorders>
            <w:hideMark/>
          </w:tcPr>
          <w:p w14:paraId="026CFF71"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проследяване</w:t>
            </w:r>
          </w:p>
        </w:tc>
        <w:tc>
          <w:tcPr>
            <w:tcW w:w="403" w:type="pct"/>
            <w:tcBorders>
              <w:top w:val="single" w:sz="4" w:space="0" w:color="auto"/>
              <w:left w:val="single" w:sz="4" w:space="0" w:color="auto"/>
              <w:bottom w:val="single" w:sz="4" w:space="0" w:color="auto"/>
              <w:right w:val="single" w:sz="4" w:space="0" w:color="auto"/>
            </w:tcBorders>
            <w:hideMark/>
          </w:tcPr>
          <w:p w14:paraId="2A9041B5"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84" w:type="pct"/>
            <w:tcBorders>
              <w:top w:val="single" w:sz="4" w:space="0" w:color="auto"/>
              <w:left w:val="single" w:sz="4" w:space="0" w:color="auto"/>
              <w:bottom w:val="single" w:sz="4" w:space="0" w:color="auto"/>
              <w:right w:val="single" w:sz="4" w:space="0" w:color="auto"/>
            </w:tcBorders>
            <w:hideMark/>
          </w:tcPr>
          <w:p w14:paraId="7B35844F"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03" w:type="pct"/>
            <w:tcBorders>
              <w:top w:val="single" w:sz="4" w:space="0" w:color="auto"/>
              <w:left w:val="single" w:sz="4" w:space="0" w:color="auto"/>
              <w:bottom w:val="single" w:sz="4" w:space="0" w:color="auto"/>
              <w:right w:val="single" w:sz="4" w:space="0" w:color="auto"/>
            </w:tcBorders>
            <w:hideMark/>
          </w:tcPr>
          <w:p w14:paraId="4F21CD73"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84" w:type="pct"/>
            <w:tcBorders>
              <w:top w:val="single" w:sz="4" w:space="0" w:color="auto"/>
              <w:left w:val="single" w:sz="4" w:space="0" w:color="auto"/>
              <w:bottom w:val="single" w:sz="4" w:space="0" w:color="auto"/>
              <w:right w:val="single" w:sz="4" w:space="0" w:color="auto"/>
            </w:tcBorders>
            <w:hideMark/>
          </w:tcPr>
          <w:p w14:paraId="5ED38D44"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03" w:type="pct"/>
            <w:tcBorders>
              <w:top w:val="single" w:sz="4" w:space="0" w:color="auto"/>
              <w:left w:val="single" w:sz="4" w:space="0" w:color="auto"/>
              <w:bottom w:val="single" w:sz="4" w:space="0" w:color="auto"/>
              <w:right w:val="single" w:sz="4" w:space="0" w:color="auto"/>
            </w:tcBorders>
            <w:hideMark/>
          </w:tcPr>
          <w:p w14:paraId="74DF5765"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04" w:type="pct"/>
            <w:tcBorders>
              <w:top w:val="single" w:sz="4" w:space="0" w:color="auto"/>
              <w:left w:val="single" w:sz="4" w:space="0" w:color="auto"/>
              <w:bottom w:val="single" w:sz="4" w:space="0" w:color="auto"/>
              <w:right w:val="single" w:sz="4" w:space="0" w:color="auto"/>
            </w:tcBorders>
            <w:hideMark/>
          </w:tcPr>
          <w:p w14:paraId="3728BAE6"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82" w:type="pct"/>
            <w:tcBorders>
              <w:top w:val="single" w:sz="4" w:space="0" w:color="auto"/>
              <w:left w:val="single" w:sz="4" w:space="0" w:color="auto"/>
              <w:bottom w:val="single" w:sz="4" w:space="0" w:color="auto"/>
              <w:right w:val="single" w:sz="4" w:space="0" w:color="auto"/>
            </w:tcBorders>
            <w:hideMark/>
          </w:tcPr>
          <w:p w14:paraId="3096D11D"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85" w:type="pct"/>
            <w:tcBorders>
              <w:top w:val="single" w:sz="4" w:space="0" w:color="auto"/>
              <w:left w:val="single" w:sz="4" w:space="0" w:color="auto"/>
              <w:bottom w:val="single" w:sz="4" w:space="0" w:color="auto"/>
              <w:right w:val="single" w:sz="4" w:space="0" w:color="auto"/>
            </w:tcBorders>
            <w:hideMark/>
          </w:tcPr>
          <w:p w14:paraId="24E10AEC"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r>
      <w:tr w:rsidR="00BE0B19" w:rsidRPr="00AE47C6" w14:paraId="7D1E4283" w14:textId="77777777" w:rsidTr="00AD72E5">
        <w:trPr>
          <w:trHeight w:val="1035"/>
        </w:trPr>
        <w:tc>
          <w:tcPr>
            <w:tcW w:w="645" w:type="pct"/>
            <w:tcBorders>
              <w:top w:val="single" w:sz="4" w:space="0" w:color="auto"/>
              <w:left w:val="single" w:sz="4" w:space="0" w:color="auto"/>
              <w:bottom w:val="single" w:sz="4" w:space="0" w:color="auto"/>
              <w:right w:val="single" w:sz="4" w:space="0" w:color="auto"/>
            </w:tcBorders>
            <w:hideMark/>
          </w:tcPr>
          <w:p w14:paraId="2E492319"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Носители</w:t>
            </w:r>
          </w:p>
        </w:tc>
        <w:tc>
          <w:tcPr>
            <w:tcW w:w="806" w:type="pct"/>
            <w:tcBorders>
              <w:top w:val="single" w:sz="4" w:space="0" w:color="auto"/>
              <w:left w:val="single" w:sz="4" w:space="0" w:color="auto"/>
              <w:bottom w:val="single" w:sz="4" w:space="0" w:color="auto"/>
              <w:right w:val="single" w:sz="4" w:space="0" w:color="auto"/>
            </w:tcBorders>
            <w:hideMark/>
          </w:tcPr>
          <w:p w14:paraId="46D4511F"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диагноза</w:t>
            </w:r>
          </w:p>
        </w:tc>
        <w:tc>
          <w:tcPr>
            <w:tcW w:w="403" w:type="pct"/>
            <w:tcBorders>
              <w:top w:val="single" w:sz="4" w:space="0" w:color="auto"/>
              <w:left w:val="single" w:sz="4" w:space="0" w:color="auto"/>
              <w:bottom w:val="single" w:sz="4" w:space="0" w:color="auto"/>
              <w:right w:val="single" w:sz="4" w:space="0" w:color="auto"/>
            </w:tcBorders>
            <w:hideMark/>
          </w:tcPr>
          <w:p w14:paraId="5A38E056"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84" w:type="pct"/>
            <w:tcBorders>
              <w:top w:val="single" w:sz="4" w:space="0" w:color="auto"/>
              <w:left w:val="single" w:sz="4" w:space="0" w:color="auto"/>
              <w:bottom w:val="single" w:sz="4" w:space="0" w:color="auto"/>
              <w:right w:val="single" w:sz="4" w:space="0" w:color="auto"/>
            </w:tcBorders>
            <w:hideMark/>
          </w:tcPr>
          <w:p w14:paraId="5303276C"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03" w:type="pct"/>
            <w:tcBorders>
              <w:top w:val="single" w:sz="4" w:space="0" w:color="auto"/>
              <w:left w:val="single" w:sz="4" w:space="0" w:color="auto"/>
              <w:bottom w:val="single" w:sz="4" w:space="0" w:color="auto"/>
              <w:right w:val="single" w:sz="4" w:space="0" w:color="auto"/>
            </w:tcBorders>
            <w:hideMark/>
          </w:tcPr>
          <w:p w14:paraId="3B0C2E74"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84" w:type="pct"/>
            <w:tcBorders>
              <w:top w:val="single" w:sz="4" w:space="0" w:color="auto"/>
              <w:left w:val="single" w:sz="4" w:space="0" w:color="auto"/>
              <w:bottom w:val="single" w:sz="4" w:space="0" w:color="auto"/>
              <w:right w:val="single" w:sz="4" w:space="0" w:color="auto"/>
            </w:tcBorders>
            <w:hideMark/>
          </w:tcPr>
          <w:p w14:paraId="5D5EF846"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03" w:type="pct"/>
            <w:tcBorders>
              <w:top w:val="single" w:sz="4" w:space="0" w:color="auto"/>
              <w:left w:val="single" w:sz="4" w:space="0" w:color="auto"/>
              <w:bottom w:val="single" w:sz="4" w:space="0" w:color="auto"/>
              <w:right w:val="single" w:sz="4" w:space="0" w:color="auto"/>
            </w:tcBorders>
            <w:hideMark/>
          </w:tcPr>
          <w:p w14:paraId="1F6770FF"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04" w:type="pct"/>
            <w:tcBorders>
              <w:top w:val="single" w:sz="4" w:space="0" w:color="auto"/>
              <w:left w:val="single" w:sz="4" w:space="0" w:color="auto"/>
              <w:bottom w:val="single" w:sz="4" w:space="0" w:color="auto"/>
              <w:right w:val="single" w:sz="4" w:space="0" w:color="auto"/>
            </w:tcBorders>
            <w:hideMark/>
          </w:tcPr>
          <w:p w14:paraId="5E6698C3"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82" w:type="pct"/>
            <w:tcBorders>
              <w:top w:val="single" w:sz="4" w:space="0" w:color="auto"/>
              <w:left w:val="single" w:sz="4" w:space="0" w:color="auto"/>
              <w:bottom w:val="single" w:sz="4" w:space="0" w:color="auto"/>
              <w:right w:val="single" w:sz="4" w:space="0" w:color="auto"/>
            </w:tcBorders>
            <w:hideMark/>
          </w:tcPr>
          <w:p w14:paraId="20FF5E89"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85" w:type="pct"/>
            <w:tcBorders>
              <w:top w:val="single" w:sz="4" w:space="0" w:color="auto"/>
              <w:left w:val="single" w:sz="4" w:space="0" w:color="auto"/>
              <w:bottom w:val="single" w:sz="4" w:space="0" w:color="auto"/>
              <w:right w:val="single" w:sz="4" w:space="0" w:color="auto"/>
            </w:tcBorders>
            <w:hideMark/>
          </w:tcPr>
          <w:p w14:paraId="7FDA849C"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r>
      <w:tr w:rsidR="00BE0B19" w:rsidRPr="00AE47C6" w14:paraId="4C6AC3E3" w14:textId="77777777" w:rsidTr="00AD72E5">
        <w:trPr>
          <w:trHeight w:val="1035"/>
        </w:trPr>
        <w:tc>
          <w:tcPr>
            <w:tcW w:w="645" w:type="pct"/>
            <w:tcBorders>
              <w:top w:val="single" w:sz="4" w:space="0" w:color="auto"/>
              <w:left w:val="single" w:sz="4" w:space="0" w:color="auto"/>
              <w:bottom w:val="single" w:sz="4" w:space="0" w:color="auto"/>
              <w:right w:val="single" w:sz="4" w:space="0" w:color="auto"/>
            </w:tcBorders>
          </w:tcPr>
          <w:p w14:paraId="0CEAA6E3" w14:textId="77777777" w:rsidR="00BE0B19" w:rsidRPr="00AE47C6" w:rsidRDefault="00BE0B19" w:rsidP="00BE0B19">
            <w:pPr>
              <w:spacing w:after="0" w:line="360" w:lineRule="auto"/>
              <w:jc w:val="both"/>
              <w:rPr>
                <w:rFonts w:ascii="Times New Roman" w:hAnsi="Times New Roman"/>
                <w:sz w:val="20"/>
                <w:szCs w:val="20"/>
              </w:rPr>
            </w:pPr>
          </w:p>
        </w:tc>
        <w:tc>
          <w:tcPr>
            <w:tcW w:w="806" w:type="pct"/>
            <w:tcBorders>
              <w:top w:val="single" w:sz="4" w:space="0" w:color="auto"/>
              <w:left w:val="single" w:sz="4" w:space="0" w:color="auto"/>
              <w:bottom w:val="single" w:sz="4" w:space="0" w:color="auto"/>
              <w:right w:val="single" w:sz="4" w:space="0" w:color="auto"/>
            </w:tcBorders>
            <w:hideMark/>
          </w:tcPr>
          <w:p w14:paraId="2110F95B"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проследяване</w:t>
            </w:r>
          </w:p>
        </w:tc>
        <w:tc>
          <w:tcPr>
            <w:tcW w:w="403" w:type="pct"/>
            <w:tcBorders>
              <w:top w:val="single" w:sz="4" w:space="0" w:color="auto"/>
              <w:left w:val="single" w:sz="4" w:space="0" w:color="auto"/>
              <w:bottom w:val="single" w:sz="4" w:space="0" w:color="auto"/>
              <w:right w:val="single" w:sz="4" w:space="0" w:color="auto"/>
            </w:tcBorders>
            <w:hideMark/>
          </w:tcPr>
          <w:p w14:paraId="233AD5F4"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84" w:type="pct"/>
            <w:tcBorders>
              <w:top w:val="single" w:sz="4" w:space="0" w:color="auto"/>
              <w:left w:val="single" w:sz="4" w:space="0" w:color="auto"/>
              <w:bottom w:val="single" w:sz="4" w:space="0" w:color="auto"/>
              <w:right w:val="single" w:sz="4" w:space="0" w:color="auto"/>
            </w:tcBorders>
            <w:hideMark/>
          </w:tcPr>
          <w:p w14:paraId="232EA678"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03" w:type="pct"/>
            <w:tcBorders>
              <w:top w:val="single" w:sz="4" w:space="0" w:color="auto"/>
              <w:left w:val="single" w:sz="4" w:space="0" w:color="auto"/>
              <w:bottom w:val="single" w:sz="4" w:space="0" w:color="auto"/>
              <w:right w:val="single" w:sz="4" w:space="0" w:color="auto"/>
            </w:tcBorders>
            <w:hideMark/>
          </w:tcPr>
          <w:p w14:paraId="4FB4FF3E"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84" w:type="pct"/>
            <w:tcBorders>
              <w:top w:val="single" w:sz="4" w:space="0" w:color="auto"/>
              <w:left w:val="single" w:sz="4" w:space="0" w:color="auto"/>
              <w:bottom w:val="single" w:sz="4" w:space="0" w:color="auto"/>
              <w:right w:val="single" w:sz="4" w:space="0" w:color="auto"/>
            </w:tcBorders>
            <w:hideMark/>
          </w:tcPr>
          <w:p w14:paraId="6DB0C975"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03" w:type="pct"/>
            <w:tcBorders>
              <w:top w:val="single" w:sz="4" w:space="0" w:color="auto"/>
              <w:left w:val="single" w:sz="4" w:space="0" w:color="auto"/>
              <w:bottom w:val="single" w:sz="4" w:space="0" w:color="auto"/>
              <w:right w:val="single" w:sz="4" w:space="0" w:color="auto"/>
            </w:tcBorders>
            <w:hideMark/>
          </w:tcPr>
          <w:p w14:paraId="322D88D6"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04" w:type="pct"/>
            <w:tcBorders>
              <w:top w:val="single" w:sz="4" w:space="0" w:color="auto"/>
              <w:left w:val="single" w:sz="4" w:space="0" w:color="auto"/>
              <w:bottom w:val="single" w:sz="4" w:space="0" w:color="auto"/>
              <w:right w:val="single" w:sz="4" w:space="0" w:color="auto"/>
            </w:tcBorders>
            <w:hideMark/>
          </w:tcPr>
          <w:p w14:paraId="17E752FC"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82" w:type="pct"/>
            <w:tcBorders>
              <w:top w:val="single" w:sz="4" w:space="0" w:color="auto"/>
              <w:left w:val="single" w:sz="4" w:space="0" w:color="auto"/>
              <w:bottom w:val="single" w:sz="4" w:space="0" w:color="auto"/>
              <w:right w:val="single" w:sz="4" w:space="0" w:color="auto"/>
            </w:tcBorders>
            <w:hideMark/>
          </w:tcPr>
          <w:p w14:paraId="20674DD6"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c>
          <w:tcPr>
            <w:tcW w:w="485" w:type="pct"/>
            <w:tcBorders>
              <w:top w:val="single" w:sz="4" w:space="0" w:color="auto"/>
              <w:left w:val="single" w:sz="4" w:space="0" w:color="auto"/>
              <w:bottom w:val="single" w:sz="4" w:space="0" w:color="auto"/>
              <w:right w:val="single" w:sz="4" w:space="0" w:color="auto"/>
            </w:tcBorders>
            <w:hideMark/>
          </w:tcPr>
          <w:p w14:paraId="3621DEBD" w14:textId="77777777" w:rsidR="00BE0B19" w:rsidRPr="00AE47C6" w:rsidRDefault="00BE0B19" w:rsidP="00BE0B19">
            <w:pPr>
              <w:spacing w:after="0" w:line="360" w:lineRule="auto"/>
              <w:jc w:val="both"/>
              <w:rPr>
                <w:rFonts w:ascii="Times New Roman" w:hAnsi="Times New Roman"/>
                <w:sz w:val="20"/>
                <w:szCs w:val="20"/>
              </w:rPr>
            </w:pPr>
            <w:r w:rsidRPr="00AE47C6">
              <w:rPr>
                <w:rFonts w:ascii="Times New Roman" w:hAnsi="Times New Roman"/>
                <w:sz w:val="20"/>
                <w:szCs w:val="20"/>
              </w:rPr>
              <w:t>-</w:t>
            </w:r>
          </w:p>
        </w:tc>
      </w:tr>
    </w:tbl>
    <w:p w14:paraId="36E9C364" w14:textId="77777777" w:rsidR="00BE0B19" w:rsidRPr="00AE47C6" w:rsidRDefault="00BE0B19" w:rsidP="00BE0B19">
      <w:pPr>
        <w:spacing w:after="0" w:line="360" w:lineRule="auto"/>
        <w:ind w:left="720"/>
        <w:contextualSpacing/>
        <w:jc w:val="both"/>
        <w:rPr>
          <w:rFonts w:ascii="Times New Roman" w:eastAsia="SimSun" w:hAnsi="Times New Roman"/>
          <w:b/>
          <w:sz w:val="24"/>
          <w:szCs w:val="24"/>
        </w:rPr>
      </w:pPr>
    </w:p>
    <w:p w14:paraId="40F9AAB2" w14:textId="77777777" w:rsidR="00BE0B19" w:rsidRPr="00AE47C6" w:rsidRDefault="00BE0B19" w:rsidP="00BE0B19">
      <w:pPr>
        <w:autoSpaceDE w:val="0"/>
        <w:autoSpaceDN w:val="0"/>
        <w:adjustRightInd w:val="0"/>
        <w:spacing w:after="0" w:line="360" w:lineRule="auto"/>
        <w:ind w:left="720"/>
        <w:contextualSpacing/>
        <w:jc w:val="both"/>
        <w:rPr>
          <w:rFonts w:ascii="Times New Roman" w:eastAsia="SimSun" w:hAnsi="Times New Roman"/>
          <w:b/>
          <w:sz w:val="24"/>
          <w:szCs w:val="24"/>
        </w:rPr>
      </w:pPr>
      <w:r w:rsidRPr="00AE47C6">
        <w:rPr>
          <w:rFonts w:ascii="Times New Roman" w:eastAsia="SimSun" w:hAnsi="Times New Roman"/>
          <w:b/>
          <w:sz w:val="24"/>
          <w:szCs w:val="24"/>
        </w:rPr>
        <w:t>Гастроентерологични изследвания</w:t>
      </w:r>
    </w:p>
    <w:p w14:paraId="4516409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За доказване на причината за гастроинтестиналните симптоми и изключване на друго заболяване  може да  се извърши горна или долна ендоскопия с биопсия, компютърна томографска или магнитно-резонансна ентерография и ентероклиза.</w:t>
      </w:r>
    </w:p>
    <w:p w14:paraId="01B79C3F"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Генетично изследване. </w:t>
      </w:r>
      <w:r w:rsidRPr="00AE47C6">
        <w:rPr>
          <w:rFonts w:ascii="Times New Roman" w:eastAsia="SimSun" w:hAnsi="Times New Roman"/>
          <w:sz w:val="24"/>
          <w:szCs w:val="24"/>
        </w:rPr>
        <w:t xml:space="preserve">Цели изясняване на специфичната мутация в TTР-гена. Директното секвениране на гена се прилага в случаите с атипични клинични прояви, неизвестна мутация или липса на фамилна обремененост. За търсене на известни мутации в ендемични райони или сред членове на засегнати семейства могат да се прилага PCR-RFLP, Real-time PCR и PCR-SSCP </w:t>
      </w:r>
    </w:p>
    <w:p w14:paraId="7BF1DEBF"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 xml:space="preserve">Хистопатологично изследване. </w:t>
      </w:r>
      <w:r w:rsidRPr="00AE47C6">
        <w:rPr>
          <w:rFonts w:ascii="Times New Roman" w:eastAsia="SimSun" w:hAnsi="Times New Roman"/>
          <w:sz w:val="24"/>
          <w:szCs w:val="24"/>
        </w:rPr>
        <w:t>Цели установяване на амилоидни депозити в различни тъкани, като слюнчени жлези, подкожна мастна тъкан, лигавица от гастроинтестиналния тракт, периферен нерв или други засегнати органи (сърце, бъбреци). Най-често се използват абдоминална подкожна мастна тъкан и биопсия на ректална лигавица, следвани от биопсия на n. suralis и слюнчена жлеза. Биопсираната тъкан се оцветява с Congo червено и се изследва на поляризационен микроскоп, за да могат да се визуализират извънклетъчните амилоидни отлагания, които имат ярко зелен цвят, след което специфичният вид амилоид трябва да се определи чрез имунохистохимично изследване с използване на антисерум срещу TTР.</w:t>
      </w:r>
    </w:p>
    <w:p w14:paraId="08FB38A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sz w:val="24"/>
          <w:szCs w:val="24"/>
        </w:rPr>
        <w:t>Полиневропатията при apolipoprotein А-І амилоидозата</w:t>
      </w:r>
      <w:r w:rsidRPr="00AE47C6">
        <w:rPr>
          <w:rFonts w:ascii="Times New Roman" w:eastAsia="SimSun" w:hAnsi="Times New Roman"/>
          <w:sz w:val="24"/>
          <w:szCs w:val="24"/>
        </w:rPr>
        <w:t xml:space="preserve"> е подобна на тази при TTR амилоидозата. При нея често се установяват язви на стомаха и бъбречна недостатъчност. </w:t>
      </w:r>
      <w:r w:rsidRPr="00AE47C6">
        <w:rPr>
          <w:rFonts w:ascii="Times New Roman" w:eastAsia="SimSun" w:hAnsi="Times New Roman"/>
          <w:b/>
          <w:bCs/>
          <w:sz w:val="24"/>
          <w:szCs w:val="24"/>
        </w:rPr>
        <w:t>Gelsolin амилоидозата</w:t>
      </w:r>
      <w:r w:rsidRPr="00AE47C6">
        <w:rPr>
          <w:rFonts w:ascii="Times New Roman" w:eastAsia="SimSun" w:hAnsi="Times New Roman"/>
          <w:sz w:val="24"/>
          <w:szCs w:val="24"/>
        </w:rPr>
        <w:t xml:space="preserve"> започва със засягане на стъкловидното тяло. Впоследствие се развива прогресираща краниална невропатия, която най-често засяга лицевия нерв. Установява се и лека сензорна полиневропатия. Често клинично или ЕМГ се диагностицира карпал-тунел синдром. </w:t>
      </w:r>
    </w:p>
    <w:p w14:paraId="28B850F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Диагнозата</w:t>
      </w:r>
      <w:r w:rsidRPr="00AE47C6">
        <w:rPr>
          <w:rFonts w:ascii="Times New Roman" w:eastAsia="SimSun" w:hAnsi="Times New Roman"/>
          <w:sz w:val="24"/>
          <w:szCs w:val="24"/>
        </w:rPr>
        <w:t xml:space="preserve"> се основава на биопсично изследване на материал от rectum, периферен нерв, подкожна мастна тъкан и др. и молекулярно-генетично изследване. Електроневрографски се установява аксонна невропатия.</w:t>
      </w:r>
    </w:p>
    <w:p w14:paraId="4207748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iCs/>
          <w:sz w:val="24"/>
          <w:szCs w:val="24"/>
        </w:rPr>
        <w:t>Диференциалната диагноза</w:t>
      </w:r>
      <w:r w:rsidRPr="00AE47C6">
        <w:rPr>
          <w:rFonts w:ascii="Times New Roman" w:eastAsia="SimSun" w:hAnsi="Times New Roman"/>
          <w:sz w:val="24"/>
          <w:szCs w:val="24"/>
        </w:rPr>
        <w:t xml:space="preserve"> е по-трудна в ранните стадии (</w:t>
      </w:r>
      <w:r w:rsidRPr="00AE47C6">
        <w:rPr>
          <w:rFonts w:ascii="Times New Roman" w:eastAsia="SimSun" w:hAnsi="Times New Roman"/>
          <w:b/>
          <w:sz w:val="24"/>
          <w:szCs w:val="24"/>
        </w:rPr>
        <w:t>Таблица 2.8</w:t>
      </w:r>
      <w:r w:rsidRPr="00AE47C6">
        <w:rPr>
          <w:rFonts w:ascii="Times New Roman" w:eastAsia="SimSun" w:hAnsi="Times New Roman"/>
          <w:sz w:val="24"/>
          <w:szCs w:val="24"/>
        </w:rPr>
        <w:t>.)</w:t>
      </w:r>
    </w:p>
    <w:p w14:paraId="330DC2C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Перифернонервното засягане на ТТРА </w:t>
      </w:r>
      <w:r w:rsidRPr="00AE47C6">
        <w:rPr>
          <w:rFonts w:ascii="Times New Roman" w:eastAsia="SimSun" w:hAnsi="Times New Roman"/>
          <w:sz w:val="24"/>
          <w:szCs w:val="24"/>
        </w:rPr>
        <w:t>следва да се отдиференцира от това при:</w:t>
      </w:r>
    </w:p>
    <w:p w14:paraId="31F6D398" w14:textId="77777777" w:rsidR="00BE0B19" w:rsidRPr="00AE47C6" w:rsidRDefault="00BE0B19" w:rsidP="00BE0B19">
      <w:pPr>
        <w:numPr>
          <w:ilvl w:val="0"/>
          <w:numId w:val="352"/>
        </w:numPr>
        <w:autoSpaceDE w:val="0"/>
        <w:autoSpaceDN w:val="0"/>
        <w:adjustRightInd w:val="0"/>
        <w:spacing w:after="0" w:line="360" w:lineRule="auto"/>
        <w:ind w:left="851" w:hanging="709"/>
        <w:contextualSpacing/>
        <w:jc w:val="both"/>
        <w:rPr>
          <w:rFonts w:ascii="Times New Roman" w:eastAsia="SimSun" w:hAnsi="Times New Roman"/>
          <w:sz w:val="24"/>
          <w:szCs w:val="24"/>
        </w:rPr>
      </w:pPr>
      <w:r w:rsidRPr="00AE47C6">
        <w:rPr>
          <w:rFonts w:ascii="Times New Roman" w:eastAsia="SimSun" w:hAnsi="Times New Roman"/>
          <w:sz w:val="24"/>
          <w:szCs w:val="24"/>
        </w:rPr>
        <w:t>Хронична възпалителна демиелинизираща полиневропатия</w:t>
      </w:r>
    </w:p>
    <w:p w14:paraId="65202CA2" w14:textId="77777777" w:rsidR="00BE0B19" w:rsidRPr="00AE47C6" w:rsidRDefault="00BE0B19" w:rsidP="00BE0B19">
      <w:pPr>
        <w:numPr>
          <w:ilvl w:val="0"/>
          <w:numId w:val="352"/>
        </w:numPr>
        <w:autoSpaceDE w:val="0"/>
        <w:autoSpaceDN w:val="0"/>
        <w:adjustRightInd w:val="0"/>
        <w:spacing w:after="0" w:line="360" w:lineRule="auto"/>
        <w:ind w:left="851" w:hanging="709"/>
        <w:contextualSpacing/>
        <w:jc w:val="both"/>
        <w:rPr>
          <w:rFonts w:ascii="Times New Roman" w:eastAsia="SimSun" w:hAnsi="Times New Roman"/>
          <w:sz w:val="24"/>
          <w:szCs w:val="24"/>
        </w:rPr>
      </w:pPr>
      <w:r w:rsidRPr="00AE47C6">
        <w:rPr>
          <w:rFonts w:ascii="Times New Roman" w:eastAsia="SimSun" w:hAnsi="Times New Roman"/>
          <w:sz w:val="24"/>
          <w:szCs w:val="24"/>
        </w:rPr>
        <w:t>Идиопатична аксонна невропатия</w:t>
      </w:r>
    </w:p>
    <w:p w14:paraId="1E5D2875" w14:textId="77777777" w:rsidR="00BE0B19" w:rsidRPr="00AE47C6" w:rsidRDefault="00BE0B19" w:rsidP="00BE0B19">
      <w:pPr>
        <w:numPr>
          <w:ilvl w:val="0"/>
          <w:numId w:val="352"/>
        </w:numPr>
        <w:autoSpaceDE w:val="0"/>
        <w:autoSpaceDN w:val="0"/>
        <w:adjustRightInd w:val="0"/>
        <w:spacing w:after="0" w:line="360" w:lineRule="auto"/>
        <w:ind w:left="851" w:hanging="709"/>
        <w:contextualSpacing/>
        <w:jc w:val="both"/>
        <w:rPr>
          <w:rFonts w:ascii="Times New Roman" w:eastAsia="SimSun" w:hAnsi="Times New Roman"/>
          <w:sz w:val="24"/>
          <w:szCs w:val="24"/>
        </w:rPr>
      </w:pPr>
      <w:r w:rsidRPr="00AE47C6">
        <w:rPr>
          <w:rFonts w:ascii="Times New Roman" w:eastAsia="SimSun" w:hAnsi="Times New Roman"/>
          <w:sz w:val="24"/>
          <w:szCs w:val="24"/>
        </w:rPr>
        <w:t>Диабетна полиневропатия</w:t>
      </w:r>
    </w:p>
    <w:p w14:paraId="76E5CFAA" w14:textId="77777777" w:rsidR="00BE0B19" w:rsidRPr="00AE47C6" w:rsidRDefault="00BE0B19" w:rsidP="00BE0B19">
      <w:pPr>
        <w:numPr>
          <w:ilvl w:val="0"/>
          <w:numId w:val="352"/>
        </w:numPr>
        <w:autoSpaceDE w:val="0"/>
        <w:autoSpaceDN w:val="0"/>
        <w:adjustRightInd w:val="0"/>
        <w:spacing w:after="0" w:line="360" w:lineRule="auto"/>
        <w:ind w:left="851" w:hanging="709"/>
        <w:contextualSpacing/>
        <w:jc w:val="both"/>
        <w:rPr>
          <w:rFonts w:ascii="Times New Roman" w:eastAsia="SimSun" w:hAnsi="Times New Roman"/>
          <w:sz w:val="24"/>
          <w:szCs w:val="24"/>
        </w:rPr>
      </w:pPr>
      <w:r w:rsidRPr="00AE47C6">
        <w:rPr>
          <w:rFonts w:ascii="Times New Roman" w:eastAsia="SimSun" w:hAnsi="Times New Roman"/>
          <w:sz w:val="24"/>
          <w:szCs w:val="24"/>
        </w:rPr>
        <w:t>Токсични полиневропатии (най-често с етилична генеза)</w:t>
      </w:r>
    </w:p>
    <w:p w14:paraId="695CB1AE" w14:textId="77777777" w:rsidR="00BE0B19" w:rsidRPr="00AE47C6" w:rsidRDefault="00BE0B19" w:rsidP="00BE0B19">
      <w:pPr>
        <w:numPr>
          <w:ilvl w:val="0"/>
          <w:numId w:val="352"/>
        </w:numPr>
        <w:autoSpaceDE w:val="0"/>
        <w:autoSpaceDN w:val="0"/>
        <w:adjustRightInd w:val="0"/>
        <w:spacing w:after="0" w:line="360" w:lineRule="auto"/>
        <w:ind w:left="851" w:hanging="709"/>
        <w:contextualSpacing/>
        <w:jc w:val="both"/>
        <w:rPr>
          <w:rFonts w:ascii="Times New Roman" w:eastAsia="SimSun" w:hAnsi="Times New Roman"/>
          <w:sz w:val="24"/>
          <w:szCs w:val="24"/>
        </w:rPr>
      </w:pPr>
      <w:r w:rsidRPr="00AE47C6">
        <w:rPr>
          <w:rFonts w:ascii="Times New Roman" w:eastAsia="SimSun" w:hAnsi="Times New Roman"/>
          <w:sz w:val="24"/>
          <w:szCs w:val="24"/>
        </w:rPr>
        <w:t>Недоимъчни полиневропатии (при предшестваща диария)</w:t>
      </w:r>
    </w:p>
    <w:p w14:paraId="2419430B" w14:textId="77777777" w:rsidR="00BE0B19" w:rsidRPr="00AE47C6" w:rsidRDefault="00BE0B19" w:rsidP="00BE0B19">
      <w:pPr>
        <w:numPr>
          <w:ilvl w:val="0"/>
          <w:numId w:val="352"/>
        </w:numPr>
        <w:autoSpaceDE w:val="0"/>
        <w:autoSpaceDN w:val="0"/>
        <w:adjustRightInd w:val="0"/>
        <w:spacing w:after="0" w:line="360" w:lineRule="auto"/>
        <w:ind w:left="851" w:hanging="709"/>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Дефицит на витамин B12 </w:t>
      </w:r>
    </w:p>
    <w:p w14:paraId="782DC6DF" w14:textId="77777777" w:rsidR="00BE0B19" w:rsidRPr="00AE47C6" w:rsidRDefault="00BE0B19" w:rsidP="00BE0B19">
      <w:pPr>
        <w:numPr>
          <w:ilvl w:val="0"/>
          <w:numId w:val="352"/>
        </w:numPr>
        <w:autoSpaceDE w:val="0"/>
        <w:autoSpaceDN w:val="0"/>
        <w:adjustRightInd w:val="0"/>
        <w:spacing w:after="0" w:line="360" w:lineRule="auto"/>
        <w:ind w:left="851" w:hanging="709"/>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Болест на Charcot–Marie–Tooth </w:t>
      </w:r>
    </w:p>
    <w:p w14:paraId="0F335CF7" w14:textId="77777777" w:rsidR="00BE0B19" w:rsidRPr="00AE47C6" w:rsidRDefault="00BE0B19" w:rsidP="00BE0B19">
      <w:pPr>
        <w:numPr>
          <w:ilvl w:val="0"/>
          <w:numId w:val="352"/>
        </w:numPr>
        <w:autoSpaceDE w:val="0"/>
        <w:autoSpaceDN w:val="0"/>
        <w:adjustRightInd w:val="0"/>
        <w:spacing w:after="0" w:line="360" w:lineRule="auto"/>
        <w:ind w:left="851" w:hanging="709"/>
        <w:contextualSpacing/>
        <w:jc w:val="both"/>
        <w:rPr>
          <w:rFonts w:ascii="Times New Roman" w:eastAsia="SimSun" w:hAnsi="Times New Roman"/>
          <w:sz w:val="24"/>
          <w:szCs w:val="24"/>
        </w:rPr>
      </w:pPr>
      <w:r w:rsidRPr="00AE47C6">
        <w:rPr>
          <w:rFonts w:ascii="Times New Roman" w:eastAsia="SimSun" w:hAnsi="Times New Roman"/>
          <w:sz w:val="24"/>
          <w:szCs w:val="24"/>
        </w:rPr>
        <w:t>Наследствени сетивни и автономни полиневропатии</w:t>
      </w:r>
    </w:p>
    <w:p w14:paraId="40821E43" w14:textId="77777777" w:rsidR="00BE0B19" w:rsidRPr="00AE47C6" w:rsidRDefault="00BE0B19" w:rsidP="00BE0B19">
      <w:pPr>
        <w:numPr>
          <w:ilvl w:val="0"/>
          <w:numId w:val="352"/>
        </w:numPr>
        <w:autoSpaceDE w:val="0"/>
        <w:autoSpaceDN w:val="0"/>
        <w:adjustRightInd w:val="0"/>
        <w:spacing w:after="0" w:line="360" w:lineRule="auto"/>
        <w:ind w:left="851" w:hanging="709"/>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Болест на Fabry </w:t>
      </w:r>
    </w:p>
    <w:p w14:paraId="5ACFC276" w14:textId="77777777" w:rsidR="00BE0B19" w:rsidRPr="00AE47C6" w:rsidRDefault="00BE0B19" w:rsidP="00BE0B19">
      <w:pPr>
        <w:numPr>
          <w:ilvl w:val="0"/>
          <w:numId w:val="352"/>
        </w:numPr>
        <w:autoSpaceDE w:val="0"/>
        <w:autoSpaceDN w:val="0"/>
        <w:adjustRightInd w:val="0"/>
        <w:spacing w:after="0" w:line="360" w:lineRule="auto"/>
        <w:ind w:left="851" w:hanging="709"/>
        <w:contextualSpacing/>
        <w:jc w:val="both"/>
        <w:rPr>
          <w:rFonts w:ascii="Times New Roman" w:eastAsia="SimSun" w:hAnsi="Times New Roman"/>
          <w:sz w:val="24"/>
          <w:szCs w:val="24"/>
        </w:rPr>
      </w:pPr>
      <w:r w:rsidRPr="00AE47C6">
        <w:rPr>
          <w:rFonts w:ascii="Times New Roman" w:eastAsia="SimSun" w:hAnsi="Times New Roman"/>
          <w:sz w:val="24"/>
          <w:szCs w:val="24"/>
        </w:rPr>
        <w:t>Други форми на наследствени амилоидоза (gelsolin, apolipoprotein A1)</w:t>
      </w:r>
    </w:p>
    <w:p w14:paraId="6F6405B3" w14:textId="77777777" w:rsidR="00BE0B19" w:rsidRPr="00AE47C6" w:rsidRDefault="00BE0B19" w:rsidP="00BE0B19">
      <w:pPr>
        <w:numPr>
          <w:ilvl w:val="0"/>
          <w:numId w:val="352"/>
        </w:numPr>
        <w:autoSpaceDE w:val="0"/>
        <w:autoSpaceDN w:val="0"/>
        <w:adjustRightInd w:val="0"/>
        <w:spacing w:after="0" w:line="360" w:lineRule="auto"/>
        <w:ind w:left="851" w:hanging="709"/>
        <w:contextualSpacing/>
        <w:jc w:val="both"/>
        <w:rPr>
          <w:rFonts w:ascii="Times New Roman" w:eastAsia="SimSun" w:hAnsi="Times New Roman"/>
          <w:sz w:val="24"/>
          <w:szCs w:val="24"/>
        </w:rPr>
      </w:pPr>
      <w:r w:rsidRPr="00AE47C6">
        <w:rPr>
          <w:rFonts w:ascii="Times New Roman" w:eastAsia="SimSun" w:hAnsi="Times New Roman"/>
          <w:sz w:val="24"/>
          <w:szCs w:val="24"/>
        </w:rPr>
        <w:t>AЛ амилоидоза- при моноклонални гамапатии</w:t>
      </w:r>
    </w:p>
    <w:p w14:paraId="6B3BA640" w14:textId="77777777" w:rsidR="00BE0B19" w:rsidRPr="00AE47C6" w:rsidRDefault="00BE0B19" w:rsidP="00BE0B19">
      <w:pPr>
        <w:autoSpaceDE w:val="0"/>
        <w:autoSpaceDN w:val="0"/>
        <w:adjustRightInd w:val="0"/>
        <w:spacing w:after="0" w:line="360" w:lineRule="auto"/>
        <w:ind w:left="851"/>
        <w:contextualSpacing/>
        <w:jc w:val="both"/>
        <w:rPr>
          <w:rFonts w:ascii="Times New Roman" w:eastAsia="SimSun" w:hAnsi="Times New Roman"/>
          <w:sz w:val="24"/>
          <w:szCs w:val="24"/>
        </w:rPr>
      </w:pPr>
      <w:r w:rsidRPr="00AE47C6">
        <w:rPr>
          <w:rFonts w:ascii="Times New Roman" w:eastAsia="SimSun" w:hAnsi="Times New Roman"/>
          <w:sz w:val="24"/>
          <w:szCs w:val="24"/>
        </w:rPr>
        <w:t>На таблица 5 са представени основните разлики между ТТРА, диабетната сензомоторна полиневропатия и AЛ амилоидозата.</w:t>
      </w:r>
    </w:p>
    <w:p w14:paraId="6A65D9C3" w14:textId="77777777" w:rsidR="00BE0B19" w:rsidRPr="00AE47C6" w:rsidRDefault="00BE0B19" w:rsidP="00BE0B19">
      <w:pPr>
        <w:spacing w:after="0" w:line="360" w:lineRule="auto"/>
        <w:ind w:left="851"/>
        <w:contextualSpacing/>
        <w:jc w:val="both"/>
        <w:rPr>
          <w:rFonts w:ascii="Times New Roman" w:eastAsia="SimSun" w:hAnsi="Times New Roman"/>
          <w:i/>
          <w:sz w:val="24"/>
          <w:szCs w:val="24"/>
        </w:rPr>
      </w:pPr>
      <w:r w:rsidRPr="00AE47C6">
        <w:rPr>
          <w:rFonts w:ascii="Times New Roman" w:eastAsia="SimSun" w:hAnsi="Times New Roman"/>
          <w:i/>
          <w:sz w:val="24"/>
          <w:szCs w:val="24"/>
        </w:rPr>
        <w:t>Хипертрофична кардиомиопатия</w:t>
      </w:r>
    </w:p>
    <w:p w14:paraId="605FF910" w14:textId="77777777" w:rsidR="00BE0B19" w:rsidRPr="00AE47C6" w:rsidRDefault="00BE0B19" w:rsidP="00BE0B19">
      <w:pPr>
        <w:autoSpaceDE w:val="0"/>
        <w:autoSpaceDN w:val="0"/>
        <w:adjustRightInd w:val="0"/>
        <w:spacing w:after="0" w:line="360" w:lineRule="auto"/>
        <w:ind w:left="851"/>
        <w:contextualSpacing/>
        <w:jc w:val="both"/>
        <w:rPr>
          <w:rFonts w:ascii="Times New Roman" w:eastAsia="SimSun" w:hAnsi="Times New Roman"/>
          <w:sz w:val="24"/>
          <w:szCs w:val="24"/>
        </w:rPr>
      </w:pPr>
      <w:r w:rsidRPr="00AE47C6">
        <w:rPr>
          <w:rFonts w:ascii="Times New Roman" w:eastAsia="SimSun" w:hAnsi="Times New Roman"/>
          <w:i/>
          <w:sz w:val="24"/>
          <w:szCs w:val="24"/>
        </w:rPr>
        <w:t>Гастроентерологичните пр</w:t>
      </w:r>
      <w:r w:rsidRPr="00AE47C6">
        <w:rPr>
          <w:rFonts w:ascii="Times New Roman" w:eastAsia="SimSun" w:hAnsi="Times New Roman"/>
          <w:sz w:val="24"/>
          <w:szCs w:val="24"/>
        </w:rPr>
        <w:t>ояви следва да се отдиференцират от тези при:</w:t>
      </w:r>
    </w:p>
    <w:p w14:paraId="5CE2B1E1" w14:textId="77777777" w:rsidR="00BE0B19" w:rsidRPr="00AE47C6" w:rsidRDefault="00BE0B19" w:rsidP="00BE0B19">
      <w:pPr>
        <w:numPr>
          <w:ilvl w:val="3"/>
          <w:numId w:val="353"/>
        </w:numPr>
        <w:autoSpaceDE w:val="0"/>
        <w:autoSpaceDN w:val="0"/>
        <w:adjustRightInd w:val="0"/>
        <w:spacing w:after="0" w:line="360" w:lineRule="auto"/>
        <w:ind w:left="851" w:hanging="709"/>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Хроничен улцерозен колит </w:t>
      </w:r>
    </w:p>
    <w:p w14:paraId="7FCEE11F" w14:textId="77777777" w:rsidR="00BE0B19" w:rsidRPr="00AE47C6" w:rsidRDefault="00BE0B19" w:rsidP="00BE0B19">
      <w:pPr>
        <w:numPr>
          <w:ilvl w:val="3"/>
          <w:numId w:val="353"/>
        </w:numPr>
        <w:autoSpaceDE w:val="0"/>
        <w:autoSpaceDN w:val="0"/>
        <w:adjustRightInd w:val="0"/>
        <w:spacing w:after="0" w:line="360" w:lineRule="auto"/>
        <w:ind w:left="851" w:hanging="709"/>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Болест на Crohn </w:t>
      </w:r>
    </w:p>
    <w:p w14:paraId="3E9F610A" w14:textId="77777777" w:rsidR="00BE0B19" w:rsidRPr="00AE47C6" w:rsidRDefault="00BE0B19" w:rsidP="00BE0B19">
      <w:pPr>
        <w:numPr>
          <w:ilvl w:val="3"/>
          <w:numId w:val="353"/>
        </w:numPr>
        <w:autoSpaceDE w:val="0"/>
        <w:autoSpaceDN w:val="0"/>
        <w:adjustRightInd w:val="0"/>
        <w:spacing w:after="0" w:line="360" w:lineRule="auto"/>
        <w:ind w:left="851" w:hanging="709"/>
        <w:contextualSpacing/>
        <w:jc w:val="both"/>
        <w:rPr>
          <w:rFonts w:ascii="Times New Roman" w:eastAsia="SimSun" w:hAnsi="Times New Roman"/>
          <w:sz w:val="24"/>
          <w:szCs w:val="24"/>
        </w:rPr>
      </w:pPr>
      <w:r w:rsidRPr="00AE47C6">
        <w:rPr>
          <w:rFonts w:ascii="Times New Roman" w:eastAsia="SimSun" w:hAnsi="Times New Roman"/>
          <w:sz w:val="24"/>
          <w:szCs w:val="24"/>
        </w:rPr>
        <w:t>Хроничен гастродуоденит</w:t>
      </w:r>
    </w:p>
    <w:p w14:paraId="035AA35D" w14:textId="77777777" w:rsidR="00BE0B19" w:rsidRPr="00AE47C6" w:rsidRDefault="00BE0B19" w:rsidP="00BE0B19">
      <w:pPr>
        <w:numPr>
          <w:ilvl w:val="3"/>
          <w:numId w:val="353"/>
        </w:numPr>
        <w:autoSpaceDE w:val="0"/>
        <w:autoSpaceDN w:val="0"/>
        <w:adjustRightInd w:val="0"/>
        <w:spacing w:after="0" w:line="360" w:lineRule="auto"/>
        <w:ind w:left="851" w:hanging="709"/>
        <w:contextualSpacing/>
        <w:jc w:val="both"/>
        <w:rPr>
          <w:rFonts w:ascii="Times New Roman" w:eastAsia="SimSun" w:hAnsi="Times New Roman"/>
          <w:sz w:val="24"/>
          <w:szCs w:val="24"/>
        </w:rPr>
      </w:pPr>
      <w:r w:rsidRPr="00AE47C6">
        <w:rPr>
          <w:rFonts w:ascii="Times New Roman" w:eastAsia="SimSun" w:hAnsi="Times New Roman"/>
          <w:sz w:val="24"/>
          <w:szCs w:val="24"/>
        </w:rPr>
        <w:t>Болест на Whipple</w:t>
      </w:r>
    </w:p>
    <w:p w14:paraId="4739DB62" w14:textId="77777777" w:rsidR="00BE0B19" w:rsidRPr="00AE47C6" w:rsidRDefault="00BE0B19" w:rsidP="00BE0B19">
      <w:pPr>
        <w:autoSpaceDE w:val="0"/>
        <w:autoSpaceDN w:val="0"/>
        <w:adjustRightInd w:val="0"/>
        <w:spacing w:after="0" w:line="360" w:lineRule="auto"/>
        <w:ind w:left="851"/>
        <w:contextualSpacing/>
        <w:jc w:val="both"/>
        <w:rPr>
          <w:rFonts w:ascii="Times New Roman" w:eastAsia="SimSun" w:hAnsi="Times New Roman"/>
          <w:sz w:val="24"/>
          <w:szCs w:val="24"/>
        </w:rPr>
      </w:pPr>
    </w:p>
    <w:p w14:paraId="11A22C13"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Таблица 2.8.</w:t>
      </w:r>
      <w:r w:rsidRPr="00AE47C6">
        <w:rPr>
          <w:rFonts w:ascii="Times New Roman" w:eastAsia="SimSun" w:hAnsi="Times New Roman"/>
          <w:sz w:val="24"/>
          <w:szCs w:val="24"/>
        </w:rPr>
        <w:t xml:space="preserve"> </w:t>
      </w:r>
      <w:r w:rsidRPr="00AE47C6">
        <w:rPr>
          <w:rFonts w:ascii="Times New Roman" w:eastAsia="SimSun" w:hAnsi="Times New Roman"/>
          <w:b/>
          <w:sz w:val="24"/>
          <w:szCs w:val="24"/>
        </w:rPr>
        <w:t>Основни разлики между ТТРА, диабетната сензомоторна полиневропатия и AЛ амилоидозата</w:t>
      </w:r>
    </w:p>
    <w:tbl>
      <w:tblPr>
        <w:tblStyle w:val="TableGrid2"/>
        <w:tblW w:w="9072" w:type="dxa"/>
        <w:tblLook w:val="0420" w:firstRow="1" w:lastRow="0" w:firstColumn="0" w:lastColumn="0" w:noHBand="0" w:noVBand="1"/>
      </w:tblPr>
      <w:tblGrid>
        <w:gridCol w:w="1663"/>
        <w:gridCol w:w="2011"/>
        <w:gridCol w:w="2006"/>
        <w:gridCol w:w="3392"/>
      </w:tblGrid>
      <w:tr w:rsidR="00BE0B19" w:rsidRPr="00AE47C6" w14:paraId="20D60B1C" w14:textId="77777777" w:rsidTr="00AD72E5">
        <w:trPr>
          <w:trHeight w:val="153"/>
        </w:trPr>
        <w:tc>
          <w:tcPr>
            <w:tcW w:w="1687" w:type="dxa"/>
            <w:hideMark/>
          </w:tcPr>
          <w:p w14:paraId="158196D8" w14:textId="77777777" w:rsidR="00BE0B19" w:rsidRPr="00AE47C6" w:rsidRDefault="00BE0B19" w:rsidP="00BE0B19">
            <w:pPr>
              <w:spacing w:after="0" w:line="360" w:lineRule="auto"/>
              <w:jc w:val="both"/>
              <w:rPr>
                <w:rFonts w:ascii="Times New Roman" w:hAnsi="Times New Roman"/>
                <w:sz w:val="24"/>
                <w:szCs w:val="24"/>
              </w:rPr>
            </w:pPr>
          </w:p>
        </w:tc>
        <w:tc>
          <w:tcPr>
            <w:tcW w:w="2011" w:type="dxa"/>
            <w:hideMark/>
          </w:tcPr>
          <w:p w14:paraId="278489F4"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bCs/>
                <w:kern w:val="24"/>
                <w:sz w:val="24"/>
                <w:szCs w:val="24"/>
              </w:rPr>
              <w:t>Диабетна полиневропатия</w:t>
            </w:r>
          </w:p>
        </w:tc>
        <w:tc>
          <w:tcPr>
            <w:tcW w:w="2000" w:type="dxa"/>
            <w:hideMark/>
          </w:tcPr>
          <w:p w14:paraId="22AD12EF"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bCs/>
                <w:kern w:val="24"/>
                <w:sz w:val="24"/>
                <w:szCs w:val="24"/>
              </w:rPr>
              <w:t>AL амилоидоза</w:t>
            </w:r>
          </w:p>
        </w:tc>
        <w:tc>
          <w:tcPr>
            <w:tcW w:w="4900" w:type="dxa"/>
            <w:hideMark/>
          </w:tcPr>
          <w:p w14:paraId="64BC24A0"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bCs/>
                <w:kern w:val="24"/>
                <w:sz w:val="24"/>
                <w:szCs w:val="24"/>
              </w:rPr>
              <w:t>ТТРА</w:t>
            </w:r>
          </w:p>
        </w:tc>
      </w:tr>
      <w:tr w:rsidR="00BE0B19" w:rsidRPr="00AE47C6" w14:paraId="53EA87F6" w14:textId="77777777" w:rsidTr="00AD72E5">
        <w:trPr>
          <w:trHeight w:val="1233"/>
        </w:trPr>
        <w:tc>
          <w:tcPr>
            <w:tcW w:w="1687" w:type="dxa"/>
            <w:hideMark/>
          </w:tcPr>
          <w:p w14:paraId="4E74E3BF"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Клинични прояви</w:t>
            </w:r>
          </w:p>
        </w:tc>
        <w:tc>
          <w:tcPr>
            <w:tcW w:w="2011" w:type="dxa"/>
            <w:hideMark/>
          </w:tcPr>
          <w:p w14:paraId="75520787"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bCs/>
                <w:kern w:val="24"/>
                <w:sz w:val="24"/>
                <w:szCs w:val="24"/>
              </w:rPr>
              <w:t>Полиневропатия със засягане на малките нервни влакна, ангажираща впоследствие големите влакна, сетивна загуба, невропатна болка, СР арефлексия</w:t>
            </w:r>
          </w:p>
        </w:tc>
        <w:tc>
          <w:tcPr>
            <w:tcW w:w="2000" w:type="dxa"/>
            <w:hideMark/>
          </w:tcPr>
          <w:p w14:paraId="66F7AA85"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bCs/>
                <w:kern w:val="24"/>
                <w:sz w:val="24"/>
                <w:szCs w:val="24"/>
              </w:rPr>
              <w:t>Симетрична предимна сетивна ПНП (болка и температура)</w:t>
            </w:r>
          </w:p>
          <w:p w14:paraId="4655A07C"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bCs/>
                <w:kern w:val="24"/>
                <w:sz w:val="24"/>
                <w:szCs w:val="24"/>
              </w:rPr>
              <w:t>Синдром на карпалния канал- 25%</w:t>
            </w:r>
          </w:p>
          <w:p w14:paraId="5DFA8BAA"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bCs/>
                <w:kern w:val="24"/>
                <w:sz w:val="24"/>
                <w:szCs w:val="24"/>
              </w:rPr>
              <w:t>Късно моторно засягане</w:t>
            </w:r>
          </w:p>
        </w:tc>
        <w:tc>
          <w:tcPr>
            <w:tcW w:w="4900" w:type="dxa"/>
            <w:hideMark/>
          </w:tcPr>
          <w:p w14:paraId="6FCCD1B2"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bCs/>
                <w:kern w:val="24"/>
                <w:sz w:val="24"/>
                <w:szCs w:val="24"/>
              </w:rPr>
              <w:t>Полиневропатия със засягане на малките нервни влакна, ангажираща впоследствие големите влакна</w:t>
            </w:r>
          </w:p>
          <w:p w14:paraId="1F958ACF"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bCs/>
                <w:kern w:val="24"/>
                <w:sz w:val="24"/>
                <w:szCs w:val="24"/>
              </w:rPr>
              <w:t>Прогресираща дистална към проксимална слабост</w:t>
            </w:r>
          </w:p>
          <w:p w14:paraId="46FAE577"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bCs/>
                <w:kern w:val="24"/>
                <w:sz w:val="24"/>
                <w:szCs w:val="24"/>
              </w:rPr>
              <w:t>Синдром на карпалния канал</w:t>
            </w:r>
          </w:p>
          <w:p w14:paraId="2241DDE6"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bCs/>
                <w:kern w:val="24"/>
                <w:sz w:val="24"/>
                <w:szCs w:val="24"/>
              </w:rPr>
              <w:t>СР арефлексия</w:t>
            </w:r>
          </w:p>
        </w:tc>
      </w:tr>
      <w:tr w:rsidR="00BE0B19" w:rsidRPr="00AE47C6" w14:paraId="3B82AEE7" w14:textId="77777777" w:rsidTr="00AD72E5">
        <w:trPr>
          <w:trHeight w:val="1994"/>
        </w:trPr>
        <w:tc>
          <w:tcPr>
            <w:tcW w:w="1687" w:type="dxa"/>
            <w:hideMark/>
          </w:tcPr>
          <w:p w14:paraId="676EC62D"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Системни прояви</w:t>
            </w:r>
          </w:p>
        </w:tc>
        <w:tc>
          <w:tcPr>
            <w:tcW w:w="2011" w:type="dxa"/>
            <w:hideMark/>
          </w:tcPr>
          <w:p w14:paraId="1FB59613"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bCs/>
                <w:kern w:val="24"/>
                <w:sz w:val="24"/>
                <w:szCs w:val="24"/>
              </w:rPr>
              <w:t>Нефропатия, ретинопатия</w:t>
            </w:r>
          </w:p>
        </w:tc>
        <w:tc>
          <w:tcPr>
            <w:tcW w:w="2000" w:type="dxa"/>
            <w:hideMark/>
          </w:tcPr>
          <w:p w14:paraId="144B15B2"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bCs/>
                <w:kern w:val="24"/>
                <w:sz w:val="24"/>
                <w:szCs w:val="24"/>
              </w:rPr>
              <w:t>Макроглосия</w:t>
            </w:r>
          </w:p>
          <w:p w14:paraId="1F8C0962"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bCs/>
                <w:kern w:val="24"/>
                <w:sz w:val="24"/>
                <w:szCs w:val="24"/>
              </w:rPr>
              <w:t>Purpura</w:t>
            </w:r>
          </w:p>
          <w:p w14:paraId="5A50C586"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bCs/>
                <w:kern w:val="24"/>
                <w:sz w:val="24"/>
                <w:szCs w:val="24"/>
              </w:rPr>
              <w:t>Нефротичен синдром</w:t>
            </w:r>
          </w:p>
          <w:p w14:paraId="67B6861C"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bCs/>
                <w:kern w:val="24"/>
                <w:sz w:val="24"/>
                <w:szCs w:val="24"/>
              </w:rPr>
              <w:t>Множествен миелом, парапротеинемия</w:t>
            </w:r>
          </w:p>
        </w:tc>
        <w:tc>
          <w:tcPr>
            <w:tcW w:w="4900" w:type="dxa"/>
            <w:hideMark/>
          </w:tcPr>
          <w:p w14:paraId="6043D79B"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bCs/>
                <w:kern w:val="24"/>
                <w:sz w:val="24"/>
                <w:szCs w:val="24"/>
              </w:rPr>
              <w:t>Кардиомиопатия</w:t>
            </w:r>
          </w:p>
          <w:p w14:paraId="25B343AE"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bCs/>
                <w:kern w:val="24"/>
                <w:sz w:val="24"/>
                <w:szCs w:val="24"/>
              </w:rPr>
              <w:t>Ритъмни и проводни нарушения</w:t>
            </w:r>
          </w:p>
          <w:p w14:paraId="6938330A"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bCs/>
                <w:kern w:val="24"/>
                <w:sz w:val="24"/>
                <w:szCs w:val="24"/>
              </w:rPr>
              <w:t>Нефропатия</w:t>
            </w:r>
          </w:p>
          <w:p w14:paraId="2C0AF5C1"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bCs/>
                <w:kern w:val="24"/>
                <w:sz w:val="24"/>
                <w:szCs w:val="24"/>
              </w:rPr>
              <w:t xml:space="preserve">Очно засягане </w:t>
            </w:r>
          </w:p>
        </w:tc>
      </w:tr>
      <w:tr w:rsidR="00BE0B19" w:rsidRPr="00AE47C6" w14:paraId="65277013" w14:textId="77777777" w:rsidTr="00AD72E5">
        <w:trPr>
          <w:trHeight w:val="881"/>
        </w:trPr>
        <w:tc>
          <w:tcPr>
            <w:tcW w:w="1687" w:type="dxa"/>
            <w:hideMark/>
          </w:tcPr>
          <w:p w14:paraId="1F7C99D4"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Автономни прояви</w:t>
            </w:r>
          </w:p>
        </w:tc>
        <w:tc>
          <w:tcPr>
            <w:tcW w:w="2011" w:type="dxa"/>
            <w:hideMark/>
          </w:tcPr>
          <w:p w14:paraId="0A261F8D"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w:t>
            </w:r>
          </w:p>
        </w:tc>
        <w:tc>
          <w:tcPr>
            <w:tcW w:w="2000" w:type="dxa"/>
            <w:hideMark/>
          </w:tcPr>
          <w:p w14:paraId="73952D46"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w:t>
            </w:r>
          </w:p>
        </w:tc>
        <w:tc>
          <w:tcPr>
            <w:tcW w:w="4900" w:type="dxa"/>
            <w:hideMark/>
          </w:tcPr>
          <w:p w14:paraId="3CF6DA74"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w:t>
            </w:r>
          </w:p>
        </w:tc>
      </w:tr>
      <w:tr w:rsidR="00BE0B19" w:rsidRPr="00AE47C6" w14:paraId="5E6A6BC1" w14:textId="77777777" w:rsidTr="00AD72E5">
        <w:trPr>
          <w:trHeight w:val="561"/>
        </w:trPr>
        <w:tc>
          <w:tcPr>
            <w:tcW w:w="1687" w:type="dxa"/>
            <w:hideMark/>
          </w:tcPr>
          <w:p w14:paraId="3503843C"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Прекурсорен протеин</w:t>
            </w:r>
          </w:p>
        </w:tc>
        <w:tc>
          <w:tcPr>
            <w:tcW w:w="2011" w:type="dxa"/>
            <w:hideMark/>
          </w:tcPr>
          <w:p w14:paraId="62F4CAE3"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w:t>
            </w:r>
          </w:p>
        </w:tc>
        <w:tc>
          <w:tcPr>
            <w:tcW w:w="2000" w:type="dxa"/>
            <w:hideMark/>
          </w:tcPr>
          <w:p w14:paraId="64183F2E"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AL амилоид</w:t>
            </w:r>
          </w:p>
        </w:tc>
        <w:tc>
          <w:tcPr>
            <w:tcW w:w="4900" w:type="dxa"/>
            <w:hideMark/>
          </w:tcPr>
          <w:p w14:paraId="113CA3F3"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 xml:space="preserve">TTR амилоид </w:t>
            </w:r>
          </w:p>
        </w:tc>
      </w:tr>
      <w:tr w:rsidR="00BE0B19" w:rsidRPr="00AE47C6" w14:paraId="4ADA63F5" w14:textId="77777777" w:rsidTr="00AD72E5">
        <w:trPr>
          <w:trHeight w:val="881"/>
        </w:trPr>
        <w:tc>
          <w:tcPr>
            <w:tcW w:w="1687" w:type="dxa"/>
            <w:hideMark/>
          </w:tcPr>
          <w:p w14:paraId="33B4BA15"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Прогресия</w:t>
            </w:r>
          </w:p>
        </w:tc>
        <w:tc>
          <w:tcPr>
            <w:tcW w:w="2011" w:type="dxa"/>
            <w:hideMark/>
          </w:tcPr>
          <w:p w14:paraId="375391D8"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Бавна прогресия за 5-20 г.</w:t>
            </w:r>
          </w:p>
        </w:tc>
        <w:tc>
          <w:tcPr>
            <w:tcW w:w="2000" w:type="dxa"/>
            <w:hideMark/>
          </w:tcPr>
          <w:p w14:paraId="1C0ED99F"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Бърза прогресия</w:t>
            </w:r>
          </w:p>
        </w:tc>
        <w:tc>
          <w:tcPr>
            <w:tcW w:w="4900" w:type="dxa"/>
            <w:hideMark/>
          </w:tcPr>
          <w:p w14:paraId="00BF6D8D"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Прогресираща за 1-10 г.</w:t>
            </w:r>
          </w:p>
        </w:tc>
      </w:tr>
      <w:tr w:rsidR="00BE0B19" w:rsidRPr="00AE47C6" w14:paraId="497AECE8" w14:textId="77777777" w:rsidTr="00AD72E5">
        <w:trPr>
          <w:trHeight w:val="637"/>
        </w:trPr>
        <w:tc>
          <w:tcPr>
            <w:tcW w:w="1687" w:type="dxa"/>
            <w:hideMark/>
          </w:tcPr>
          <w:p w14:paraId="37398E83"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Фамилна обремененост</w:t>
            </w:r>
          </w:p>
        </w:tc>
        <w:tc>
          <w:tcPr>
            <w:tcW w:w="2011" w:type="dxa"/>
            <w:hideMark/>
          </w:tcPr>
          <w:p w14:paraId="361D1B18"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w:t>
            </w:r>
          </w:p>
        </w:tc>
        <w:tc>
          <w:tcPr>
            <w:tcW w:w="2000" w:type="dxa"/>
            <w:hideMark/>
          </w:tcPr>
          <w:p w14:paraId="15A549F4"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w:t>
            </w:r>
          </w:p>
        </w:tc>
        <w:tc>
          <w:tcPr>
            <w:tcW w:w="4900" w:type="dxa"/>
            <w:hideMark/>
          </w:tcPr>
          <w:p w14:paraId="0112CE24"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w:t>
            </w:r>
          </w:p>
        </w:tc>
      </w:tr>
      <w:tr w:rsidR="00BE0B19" w:rsidRPr="00AE47C6" w14:paraId="1DB1458D" w14:textId="77777777" w:rsidTr="00AD72E5">
        <w:trPr>
          <w:trHeight w:val="625"/>
        </w:trPr>
        <w:tc>
          <w:tcPr>
            <w:tcW w:w="1687" w:type="dxa"/>
            <w:hideMark/>
          </w:tcPr>
          <w:p w14:paraId="0BDF521C"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Ликворен протеин</w:t>
            </w:r>
          </w:p>
        </w:tc>
        <w:tc>
          <w:tcPr>
            <w:tcW w:w="2011" w:type="dxa"/>
            <w:hideMark/>
          </w:tcPr>
          <w:p w14:paraId="115DA23D"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Нормален</w:t>
            </w:r>
          </w:p>
        </w:tc>
        <w:tc>
          <w:tcPr>
            <w:tcW w:w="2000" w:type="dxa"/>
            <w:hideMark/>
          </w:tcPr>
          <w:p w14:paraId="5025BC20"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Нормален</w:t>
            </w:r>
          </w:p>
        </w:tc>
        <w:tc>
          <w:tcPr>
            <w:tcW w:w="4900" w:type="dxa"/>
            <w:hideMark/>
          </w:tcPr>
          <w:p w14:paraId="52AEF9C8"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Нормален/повишен</w:t>
            </w:r>
          </w:p>
        </w:tc>
      </w:tr>
      <w:tr w:rsidR="00BE0B19" w:rsidRPr="00AE47C6" w14:paraId="07EB9E17" w14:textId="77777777" w:rsidTr="00AD72E5">
        <w:trPr>
          <w:trHeight w:val="887"/>
        </w:trPr>
        <w:tc>
          <w:tcPr>
            <w:tcW w:w="1687" w:type="dxa"/>
            <w:hideMark/>
          </w:tcPr>
          <w:p w14:paraId="34C5E82C"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Засягане на ЧМН</w:t>
            </w:r>
          </w:p>
        </w:tc>
        <w:tc>
          <w:tcPr>
            <w:tcW w:w="2011" w:type="dxa"/>
            <w:hideMark/>
          </w:tcPr>
          <w:p w14:paraId="2768B16F"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w:t>
            </w:r>
          </w:p>
        </w:tc>
        <w:tc>
          <w:tcPr>
            <w:tcW w:w="2000" w:type="dxa"/>
            <w:hideMark/>
          </w:tcPr>
          <w:p w14:paraId="766BB3CE"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w:t>
            </w:r>
          </w:p>
        </w:tc>
        <w:tc>
          <w:tcPr>
            <w:tcW w:w="4900" w:type="dxa"/>
            <w:hideMark/>
          </w:tcPr>
          <w:p w14:paraId="1CDDE6CA"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w:t>
            </w:r>
          </w:p>
        </w:tc>
      </w:tr>
      <w:tr w:rsidR="00BE0B19" w:rsidRPr="00AE47C6" w14:paraId="4914CDB7" w14:textId="77777777" w:rsidTr="00AD72E5">
        <w:trPr>
          <w:trHeight w:val="881"/>
        </w:trPr>
        <w:tc>
          <w:tcPr>
            <w:tcW w:w="1687" w:type="dxa"/>
            <w:hideMark/>
          </w:tcPr>
          <w:p w14:paraId="751C8F80"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ЕНГ</w:t>
            </w:r>
          </w:p>
        </w:tc>
        <w:tc>
          <w:tcPr>
            <w:tcW w:w="2011" w:type="dxa"/>
            <w:hideMark/>
          </w:tcPr>
          <w:p w14:paraId="63BA15B6"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Аксонна сензомоторна</w:t>
            </w:r>
          </w:p>
        </w:tc>
        <w:tc>
          <w:tcPr>
            <w:tcW w:w="2000" w:type="dxa"/>
            <w:hideMark/>
          </w:tcPr>
          <w:p w14:paraId="74DFDCD4"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Аксонна сензомоторна</w:t>
            </w:r>
          </w:p>
        </w:tc>
        <w:tc>
          <w:tcPr>
            <w:tcW w:w="4900" w:type="dxa"/>
            <w:hideMark/>
          </w:tcPr>
          <w:p w14:paraId="4B279891"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kern w:val="24"/>
                <w:sz w:val="24"/>
                <w:szCs w:val="24"/>
              </w:rPr>
              <w:t>Аксонна сензомоторна</w:t>
            </w:r>
          </w:p>
        </w:tc>
      </w:tr>
    </w:tbl>
    <w:p w14:paraId="3E24B38E" w14:textId="77777777" w:rsidR="00BE0B19" w:rsidRPr="00AE47C6" w:rsidRDefault="00BE0B19" w:rsidP="00BE0B19">
      <w:pPr>
        <w:spacing w:after="0" w:line="360" w:lineRule="auto"/>
        <w:ind w:firstLine="709"/>
        <w:jc w:val="both"/>
        <w:rPr>
          <w:rFonts w:ascii="Times New Roman" w:eastAsia="SimSun" w:hAnsi="Times New Roman"/>
          <w:sz w:val="24"/>
          <w:szCs w:val="24"/>
        </w:rPr>
      </w:pPr>
    </w:p>
    <w:p w14:paraId="210932C4" w14:textId="77777777" w:rsidR="00BE0B19" w:rsidRPr="00AE47C6" w:rsidRDefault="00BE0B19" w:rsidP="00BE0B19">
      <w:pPr>
        <w:spacing w:after="0" w:line="360" w:lineRule="auto"/>
        <w:ind w:firstLine="709"/>
        <w:jc w:val="both"/>
        <w:rPr>
          <w:rFonts w:ascii="Times New Roman" w:eastAsia="SimSun" w:hAnsi="Times New Roman"/>
          <w:b/>
          <w:iCs/>
          <w:sz w:val="24"/>
          <w:szCs w:val="24"/>
        </w:rPr>
      </w:pPr>
      <w:r w:rsidRPr="00AE47C6">
        <w:rPr>
          <w:rFonts w:ascii="Times New Roman" w:eastAsia="SimSun" w:hAnsi="Times New Roman"/>
          <w:b/>
          <w:iCs/>
          <w:sz w:val="24"/>
          <w:szCs w:val="24"/>
        </w:rPr>
        <w:t>Лечение:</w:t>
      </w:r>
    </w:p>
    <w:p w14:paraId="78ED5D6B" w14:textId="77777777" w:rsidR="00BE0B19" w:rsidRPr="00AE47C6" w:rsidRDefault="00BE0B19" w:rsidP="00BE0B19">
      <w:pPr>
        <w:numPr>
          <w:ilvl w:val="0"/>
          <w:numId w:val="348"/>
        </w:numPr>
        <w:spacing w:after="0" w:line="360" w:lineRule="auto"/>
        <w:ind w:left="709" w:hanging="567"/>
        <w:contextualSpacing/>
        <w:jc w:val="both"/>
        <w:rPr>
          <w:rFonts w:ascii="Times New Roman" w:eastAsia="SimSun" w:hAnsi="Times New Roman"/>
          <w:b/>
          <w:sz w:val="24"/>
          <w:szCs w:val="24"/>
        </w:rPr>
      </w:pPr>
      <w:r w:rsidRPr="00AE47C6">
        <w:rPr>
          <w:rFonts w:ascii="Times New Roman" w:eastAsia="SimSun" w:hAnsi="Times New Roman"/>
          <w:b/>
          <w:sz w:val="24"/>
          <w:szCs w:val="24"/>
        </w:rPr>
        <w:t>Патогенетично лечение на хередитарната транстиретинова амилоидоза</w:t>
      </w:r>
    </w:p>
    <w:p w14:paraId="4525D85E" w14:textId="77777777" w:rsidR="00BE0B19" w:rsidRPr="00AE47C6" w:rsidRDefault="00BE0B19" w:rsidP="00BE0B19">
      <w:pPr>
        <w:numPr>
          <w:ilvl w:val="0"/>
          <w:numId w:val="35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b/>
          <w:sz w:val="24"/>
          <w:szCs w:val="24"/>
        </w:rPr>
        <w:t>Ортотопичната чернодробна трансплантация</w:t>
      </w:r>
      <w:r w:rsidRPr="00AE47C6">
        <w:rPr>
          <w:rFonts w:ascii="Times New Roman" w:eastAsia="SimSun" w:hAnsi="Times New Roman"/>
          <w:sz w:val="24"/>
          <w:szCs w:val="24"/>
        </w:rPr>
        <w:t xml:space="preserve"> като рационална терапия за хередитарната ТТР амилоидоза чрез превенция на продукцията на мутантен транстиретин, която е най-ефективна при пациенти с мутацията Val30Met, с ранно начало на полиневропатията и без сърдечно засягане. Поради факта, че повечето от откритите мутации в българската популация са със смесен клиничен фенотип /неврологичен и кардиологичен/, чернодробната трансплантация не се разглежда като ефективен терапевтичен метод за българските пациенти. Единствената мутация Val30Met, която води до преобладаващо неврологичен фенотип на ТТР амилоидоза, е с късно начало при нашите пациенти, поради което и те не са подходящи за ОЧТ. </w:t>
      </w:r>
    </w:p>
    <w:p w14:paraId="57EA69C9" w14:textId="77777777" w:rsidR="00BE0B19" w:rsidRPr="00AE47C6" w:rsidRDefault="00BE0B19" w:rsidP="00BE0B19">
      <w:pPr>
        <w:numPr>
          <w:ilvl w:val="0"/>
          <w:numId w:val="35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 xml:space="preserve">Tafamidis </w:t>
      </w:r>
      <w:r w:rsidRPr="00AE47C6">
        <w:rPr>
          <w:rFonts w:ascii="Times New Roman" w:eastAsia="SimSun" w:hAnsi="Times New Roman"/>
          <w:sz w:val="24"/>
          <w:szCs w:val="24"/>
        </w:rPr>
        <w:t xml:space="preserve">е селективен стабилизатор на TTR, регистриран от ЕМА от 2011 г. Той е първия лекарствен продукт - tafamidis за лечение на транстиретинова амилоидоза при възрастни пациенти със симптоматична полиневропатия (ATTR-PN) стадий 1 за отлагане на периферно неврологично увреждане. </w:t>
      </w:r>
    </w:p>
    <w:p w14:paraId="56E9237A" w14:textId="77777777" w:rsidR="00BE0B19" w:rsidRPr="00AE47C6" w:rsidRDefault="00BE0B19" w:rsidP="00BE0B19">
      <w:pPr>
        <w:spacing w:after="0" w:line="360" w:lineRule="auto"/>
        <w:ind w:left="720" w:hanging="11"/>
        <w:contextualSpacing/>
        <w:jc w:val="both"/>
        <w:rPr>
          <w:rFonts w:ascii="Times New Roman" w:eastAsia="SimSun" w:hAnsi="Times New Roman"/>
          <w:sz w:val="24"/>
          <w:szCs w:val="24"/>
        </w:rPr>
      </w:pPr>
      <w:r w:rsidRPr="00AE47C6">
        <w:rPr>
          <w:rFonts w:ascii="Times New Roman" w:eastAsia="SimSun" w:hAnsi="Times New Roman"/>
          <w:sz w:val="24"/>
          <w:szCs w:val="24"/>
        </w:rPr>
        <w:t>Tafamidis се свързва към TTR в местата за свързване на тироксин, стабилизирайки тетрамера и забавяйки дисоциацията до мономери, ограничаващата скоростта стъпка в амилоидогенния процес. Tafamidis се свързва с отрицателна кооперативност с двете тироксин-свързващи места на нативната тетрамерна форма на транстиретин, като по този начин предотвратява разпадането до мономери. Всяка капсула съдържа 20 mg микронизиран tafamidis meglumine, еквивалентно на 12,2 mg tafamidis. Приема се перорално, веднъж дневно.</w:t>
      </w:r>
    </w:p>
    <w:p w14:paraId="4902E8E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Основното проучване</w:t>
      </w:r>
      <w:r w:rsidRPr="00AE47C6">
        <w:rPr>
          <w:rFonts w:ascii="Times New Roman" w:eastAsia="SimSun" w:hAnsi="Times New Roman"/>
          <w:sz w:val="24"/>
          <w:szCs w:val="24"/>
        </w:rPr>
        <w:t xml:space="preserve"> на tafamidis meglumine при пациенти с ATTR-PN стадий 1 е 18-месечно, многоцентрово, рандомизирано, двойносляпо, плацебо-контролирано проучване, което оценява безопасност и ефикасност на 20 mg tafamidis meglumine еднократно дневно при 128 пациенти с ATTR-PN с Val30Met мутация, основно стадий 1 на заболяването; 126 от 128-те пациенти не се нуждаят рутинно от помощ при ходене. Осемдесет и шест от 91-те пациенти, завършили 18-месечния период на лечение са включени след това в открито разширено проучване, където всички а получавали 20 mg tafamidis meglumine един път дневно за още 12 месеца. След 18 месеца лечение повечето пациенти, лекувани с tafamidis meglumine са отговорили на терапията според оценката по NIS-LL (промяна от по-малко от 2 точки по NIS-LL). Вторичните крайни точки показват, че лечението с tafamidis meglumine е довело до по-малко нарушения на неврологичната функция и до подобрение в хранителния статус (mBMI), сравнено с плацебо. В откритото разширено проучване степента на промяна по NIS-LL през 12-те месеца на лечение е подобна на тази, наблюдавана при пациентите, които са били рандомизирани и лекувани с tafamidis в предходния 18-месечен двойносляп период.</w:t>
      </w:r>
    </w:p>
    <w:p w14:paraId="0FAD706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Ефектите на tafamidis са оценени при пациенти с ATTR-PN с не-Val30Met мутация в подкрепящо отворено проучване при 21 пациенти и постмаркетингово обсервационно проучване при 39 пациенти. Въз основа на резултатите от тези проучвания механизмът на действие на tafamidis и резултатите за стабилизиране на TTR, се очаква tafamidis meglumine да има положителен ефект при пациенти в ATTR PN стадий 1, дължаща се и на други, различни от Val30Met, мутации. Клиничната програма с tafamidis включва 13 контролирани и неконтролирани проучвания, както и две неинтервенционални обсервационни такива. Терапията с лекарствения продукт спира прогресията на невропатията при 60% от пациентите след 18-месечно лечение, като не се наблюдава прогресия на заболяването при над 50% от пациентите след 30 месеца (Coelho T. И, сътр., 2010). Дългосрочното приложение на tafamidis за период от над 6 г. се понася добре (Barroso F., 2017). Не са наблюдавани животозастрашаващи нежелани лекарствени реакции или смърт.</w:t>
      </w:r>
    </w:p>
    <w:p w14:paraId="0BBE301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Според Консенсусните препоръки от 2022 г. за лечение и проследяване на наследствена ATTR, оценката на дългосрочното лечение с tafamidis (до 6 години) при португалски пациенти в стадий 1 с Val30Met мутация показва, че пациентите с ранно заболяване (NIS 10) и пациентите от женски пол са имали най-добър отговор към терапията, с продължително и пълно стабилизиране на заболяването. Във всички проучвания с Tafamidis 20 mg няма наблюдавани сериозни сигнали, свързани с безопасността.</w:t>
      </w:r>
    </w:p>
    <w:p w14:paraId="1A484BF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В България</w:t>
      </w:r>
      <w:r w:rsidRPr="00AE47C6">
        <w:rPr>
          <w:rFonts w:ascii="Times New Roman" w:eastAsia="SimSun" w:hAnsi="Times New Roman"/>
          <w:sz w:val="24"/>
          <w:szCs w:val="24"/>
        </w:rPr>
        <w:t xml:space="preserve"> терапията с tafamidis 20 mg на пациенти с ATTR-PN стадий 1 е реимбурсирана  през 2013 г., когато започва лечението на първите 10 пациенти с хередитарна TTR-PN първи стадий на периферната невропатия. </w:t>
      </w:r>
    </w:p>
    <w:p w14:paraId="6297C3A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За периода 2013 – 2022 г. 162 пациенти с ATTR-PN стадий 1 са започнали лечение с tafamidis. 68 от тях са преустановили лечението: 20 - починали, 45 - прогресия на заболяването, 3 - отказали лечение. Всички починали пациенти са имали напреднала рестриктивна кардиомиопатия и сърдечна недостатъчност. Някои от тях са починали внезапно от сърдечни усложнения, а други – от мозъчен инсулт. 30% от пациентите не са прогресирали и продължават да са в първи стадий на полиневропатия след 60-месечно лечение. 62% продължават да са в 1 стадий на полиневропатия след 48-месечно лечение. По-устойчив ефект на лечението с tafamidis се установява при пациентите с мутация Val30Met, докато при пациентите с Glu89Gln, независимо от забавяне на  хода на заболяването се установява по-често прогресия, налагаща спиране на лечението. Най-слаб е ефектът на лечение и най-бърза е прогресията при мутация Glu47Gln. Ранното започване на лечение е от критична важност за резултатите и ефекта от терапията. Повечето пациенти, при които е установена прогресия на заболяването са диагностицирани повече от 4 години след начало на заболяването. </w:t>
      </w:r>
    </w:p>
    <w:p w14:paraId="7339FE5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Пациентите с ATTRv често се представят със смесен фенотип. Смесеният фенотип се характеризира с различна степен на неврологично и сърдечно засягане. Сърдечното засягане до голяма степен определя неблагоприятната прогноза при тези пациенти. През месец Февруари 2020 г. Европейската агенция по лекарствата даде положително становище за tafamidis за лечение на </w:t>
      </w:r>
      <w:r w:rsidRPr="00AE47C6">
        <w:rPr>
          <w:rFonts w:ascii="Times New Roman" w:eastAsia="SimSun" w:hAnsi="Times New Roman"/>
          <w:i/>
          <w:sz w:val="24"/>
          <w:szCs w:val="24"/>
        </w:rPr>
        <w:t>див тип или наследствена транстиретинова амилоидоза при възрастни пациенти с кардиомиопатия (</w:t>
      </w:r>
      <w:r w:rsidRPr="00AE47C6">
        <w:rPr>
          <w:rFonts w:ascii="Times New Roman" w:eastAsia="SimSun" w:hAnsi="Times New Roman"/>
          <w:b/>
          <w:i/>
          <w:sz w:val="24"/>
          <w:szCs w:val="24"/>
        </w:rPr>
        <w:t>ATTR-CM</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Tafamidis се свързва с отрицателна кооперативност с двете тироксин-свързващи места на нативната тетрамерна форма на транстиретин, като по този начин предотвратява разпадането до мономери</w:t>
      </w:r>
      <w:r w:rsidRPr="00AE47C6">
        <w:rPr>
          <w:rFonts w:ascii="Times New Roman" w:eastAsia="SimSun" w:hAnsi="Times New Roman"/>
          <w:b/>
          <w:bCs/>
          <w:sz w:val="24"/>
          <w:szCs w:val="24"/>
        </w:rPr>
        <w:t xml:space="preserve">. Инхибирането на дисоциацията на TTR тетрамера е основата за употребата на tafamidis при пациенти с ATTR-CM. </w:t>
      </w:r>
      <w:r w:rsidRPr="00AE47C6">
        <w:rPr>
          <w:rFonts w:ascii="Times New Roman" w:eastAsia="SimSun" w:hAnsi="Times New Roman"/>
          <w:sz w:val="24"/>
          <w:szCs w:val="24"/>
        </w:rPr>
        <w:t>Всяка капсула съдържа 61 mg микронизиран tafamidis. Приема се перорално, веднъж дневно.</w:t>
      </w:r>
    </w:p>
    <w:p w14:paraId="12DE2DB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 пациенти с ATTR-CM, ефективността на tafamidis е проучена в две завършени </w:t>
      </w:r>
      <w:r w:rsidRPr="00AE47C6">
        <w:rPr>
          <w:rFonts w:ascii="Times New Roman" w:eastAsia="SimSun" w:hAnsi="Times New Roman"/>
          <w:b/>
          <w:bCs/>
          <w:sz w:val="24"/>
          <w:szCs w:val="24"/>
        </w:rPr>
        <w:t>клинични проучвания</w:t>
      </w:r>
      <w:r w:rsidRPr="00AE47C6">
        <w:rPr>
          <w:rFonts w:ascii="Times New Roman" w:eastAsia="SimSun" w:hAnsi="Times New Roman"/>
          <w:sz w:val="24"/>
          <w:szCs w:val="24"/>
        </w:rPr>
        <w:t xml:space="preserve"> (едно контролирано фаза III и едно открито фаза II проучване), както и в две съответстващи разширения на клиничните проучвания. Проследени са общо 530 пациенти с ATTR-CM, което представлява голям брой за клинична програма за рядко заболяване. Ефикасността на tafamidis е демонстрирана в многоцентрово, международно, двойно сляпо, плацебо-контролирано, рандомизирано проучване в 3 рамена (ATTR-ACT) при 441 пациенти с ATTRv-CM или ATTRwt-CM.  Резултатите показват, че при пациентите, лекувани с tafamidis се установява сигнификантно по-добър комбиниран показател за обща смъртност и честота на сърдечно-съдови хоспитализации в сравнение с плацебо след 30-месечен период на лечение (p=0,0006). Установяват се и по-добри резултати по отношение на общата смъртност с 30% (p=0,026) и честотата на сърдечно-съдови хоспитализации с 32% (p&lt;0,0001). Подобрен е функционалният капацитет на шестия месец в сравнение с плацебо и се задържа до 30-ия месец. Tafamidis намалява влошаването на параметрите при провеждане на 6-минутен тест (p&lt;0,0001) и на общото състояние на базата на въпросник, използван при пациентите с кардиомиопатии (p&lt;0,0001) (Kansas City Cardiomyopathy Questionnaire). Резултатите са по-добри при пациенти с NYHA клас I или II, което подкрепя извода, че tafamidis трябва да се започне възможно най-рано в хода на заболяването, когато клиничната полза относно прогресията на заболяването е най-голяма (Maurer MS, 2018). Понижение на общата смъртност спрямо плацебо с 64,4% е установена при пациенти клас I по NYHA, с 39.6% при клас II NYHA и с 16.2% при NYHA клас III. </w:t>
      </w:r>
    </w:p>
    <w:p w14:paraId="708B7EB1" w14:textId="77777777" w:rsidR="00BE0B19" w:rsidRPr="00AE47C6" w:rsidRDefault="00BE0B19" w:rsidP="00BE0B19">
      <w:pPr>
        <w:spacing w:after="0" w:line="360" w:lineRule="auto"/>
        <w:ind w:firstLine="720"/>
        <w:jc w:val="both"/>
        <w:rPr>
          <w:rFonts w:ascii="Times New Roman" w:eastAsia="SimSun" w:hAnsi="Times New Roman"/>
          <w:sz w:val="20"/>
          <w:szCs w:val="20"/>
        </w:rPr>
      </w:pPr>
      <w:r w:rsidRPr="00AE47C6">
        <w:rPr>
          <w:rFonts w:ascii="Times New Roman" w:eastAsia="SimSun" w:hAnsi="Times New Roman"/>
          <w:sz w:val="24"/>
          <w:szCs w:val="24"/>
        </w:rPr>
        <w:t xml:space="preserve">За удобство на пациента е разработена капсулата tafamidis 61 mg свободна киселина, сравнима с доза tafamidis meglumine 80 mg (4 caps x 20 mg) със същия механизъм на действие и биологичен ефект. </w:t>
      </w:r>
      <w:r w:rsidRPr="00AE47C6">
        <w:rPr>
          <w:rFonts w:ascii="Times New Roman" w:eastAsia="SimSun" w:hAnsi="Times New Roman"/>
          <w:sz w:val="20"/>
          <w:szCs w:val="20"/>
        </w:rPr>
        <w:t xml:space="preserve">(Lockwood PA, Le VH, O'Gorman MT, Patterson TA, Sultan MB, Tankisheva E, Wang Q, Riley S. The Bioequivalence of Tafamidis 61-mg Free Acid Capsules and Tafamidis Meglumine 4 × 20-mg Capsules in Healthy Volunteers. Clin Pharmacol Drug Dev. 2020 Oct;9(7):849-854. doi: 10.1002/cpdd.789. Epub 2020 Mar 20. PMID: 32196976; PMCID: PMC7754314.) </w:t>
      </w:r>
    </w:p>
    <w:p w14:paraId="328850A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Клиничното изпитване с </w:t>
      </w:r>
      <w:r w:rsidRPr="00AE47C6">
        <w:rPr>
          <w:rFonts w:ascii="Times New Roman" w:eastAsia="SimSun" w:hAnsi="Times New Roman"/>
          <w:b/>
          <w:bCs/>
          <w:sz w:val="24"/>
          <w:szCs w:val="24"/>
        </w:rPr>
        <w:t>tafamidis с две различни дозировки - 20 mg и 80 mg</w:t>
      </w:r>
      <w:r w:rsidRPr="00AE47C6">
        <w:rPr>
          <w:rFonts w:ascii="Times New Roman" w:eastAsia="SimSun" w:hAnsi="Times New Roman"/>
          <w:sz w:val="24"/>
          <w:szCs w:val="24"/>
        </w:rPr>
        <w:t xml:space="preserve"> е проведено в световен мащаб при пациенти с ATTRv-CM и ATTRwt-CM с продължителност 30 месеца. Първичната крайна цел за ефикасност показва значителни разлики между 264 пациенти, които са получавали tafamidis и 177 пациенти, които са получавали плацебо (p&lt;0,001). Tafamidis се асоциира с по-ниска обща смъртност в сравнение с плацебо 78 (264) или 29,5% спрямо 76 (177) или 42,9% и по-нисък процент хоспитализации, свързани със сърдечно-съдови заболявания, с коефициент на относителен риск от 0,68 (0.48 спрямо 0,70 на година). На 30-ия месец лечението с tafamidis се асоциира с по-нисък процент на намаляване на разстоянието от 6-минутния тест с ходене (6-MWT) (p&lt;0,001) и по-нисък процент на спад в резултата по KCCQ-OS (p&lt;0,001). </w:t>
      </w:r>
    </w:p>
    <w:p w14:paraId="3289DB93" w14:textId="77777777" w:rsidR="00BE0B19" w:rsidRPr="00AE47C6" w:rsidRDefault="00BE0B19" w:rsidP="00BE0B19">
      <w:pPr>
        <w:spacing w:after="0" w:line="360" w:lineRule="auto"/>
        <w:ind w:firstLine="720"/>
        <w:jc w:val="both"/>
        <w:rPr>
          <w:rFonts w:ascii="Times New Roman" w:eastAsia="SimSun" w:hAnsi="Times New Roman"/>
          <w:sz w:val="20"/>
          <w:szCs w:val="20"/>
        </w:rPr>
      </w:pPr>
      <w:r w:rsidRPr="00AE47C6">
        <w:rPr>
          <w:rFonts w:ascii="Times New Roman" w:eastAsia="SimSun" w:hAnsi="Times New Roman"/>
          <w:sz w:val="24"/>
          <w:szCs w:val="24"/>
        </w:rPr>
        <w:t>В Long-term Extension Study (LTE) се сравнява tafamidis meglumin 20 mg (tafamidis 12.2 mg) с tafamidis meglumin 80 mg (tafamidis 61 mg). Анализът на резултатите от основното проучване и LTE по отношение на смъртност са в полза на по-високата доза – 30% релативно намаление на риска в сравнение с по-ниската доза на 51-ия месец.  Tafamidis и в двете дозировки има профил на безопасност сравним с плацебо. (</w:t>
      </w:r>
      <w:r w:rsidRPr="00AE47C6">
        <w:rPr>
          <w:rFonts w:ascii="Times New Roman" w:eastAsia="SimSun" w:hAnsi="Times New Roman"/>
          <w:sz w:val="20"/>
          <w:szCs w:val="20"/>
        </w:rPr>
        <w:t>Damy T, Garcia-Pavia P, Hanna M, et al. Efficacy and safety of tafamidis doses in the Tafamidis in Transthyretin Cardiomyopathy Clinical Trial (ATTR-ACT) and long-term extension study. Eur J Heart Fail. 2021;23(2):277-285. doi:10.1002/ejhf.2027)</w:t>
      </w:r>
    </w:p>
    <w:p w14:paraId="6DB95AE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 сравняването на пациенти от различни класове по NYHA, при пациентите  клас III по NYHA се наблюдава по-ниска смъртност спрямо пациентите на плацебо. Пациентите  клас III по NYHA показват повишен риск от хоспитализация. Това се дължи вероятно на повишената преживяемост, защото тези болни се нуждаят от по-чести хоспитализации. </w:t>
      </w:r>
    </w:p>
    <w:p w14:paraId="7AE0910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При сравняване на двете дози 20 mg спрямо 80 mg по отношение на ефикасност, по-високата доза показва по-голям ефект върху смъртността. Не са открити сигнали, свързани с безопасността при която и да е от двете дози. Консенсусните препоръки от 2022 г. потвърждават, че tafamidis 61 mg (80 mg tafamidis meglumin) е одобрена опция за лечение на ATTRv-CM и ATTRwt-CM.</w:t>
      </w:r>
    </w:p>
    <w:p w14:paraId="142990C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В заключение</w:t>
      </w:r>
      <w:r w:rsidRPr="00AE47C6">
        <w:rPr>
          <w:rFonts w:ascii="Times New Roman" w:eastAsia="SimSun" w:hAnsi="Times New Roman"/>
          <w:sz w:val="24"/>
          <w:szCs w:val="24"/>
        </w:rPr>
        <w:t>, tafamidis е лекарствен продукт с доказана в клинични проучвания ефикасност, с благоприятен профил на безопасност, лесен за употреба както от страна на пациентите, така и на медицинските специалисти. Това е единственото одобрено лечение за ATTRv-CM и ATTRwt-CM.  Tafamidis е препоръчвана опция за лечение на пациенти с ATTR-PN в ранен стадий на заболяването.</w:t>
      </w:r>
    </w:p>
    <w:p w14:paraId="19A472F9" w14:textId="77777777" w:rsidR="00BE0B19" w:rsidRPr="00AE47C6" w:rsidRDefault="00BE0B19" w:rsidP="00BE0B19">
      <w:pPr>
        <w:numPr>
          <w:ilvl w:val="0"/>
          <w:numId w:val="354"/>
        </w:numPr>
        <w:spacing w:after="0" w:line="360" w:lineRule="auto"/>
        <w:contextualSpacing/>
        <w:jc w:val="both"/>
        <w:rPr>
          <w:rFonts w:ascii="Times New Roman" w:eastAsia="Calibri" w:hAnsi="Times New Roman"/>
          <w:sz w:val="24"/>
          <w:szCs w:val="24"/>
        </w:rPr>
      </w:pPr>
      <w:r w:rsidRPr="00AE47C6">
        <w:rPr>
          <w:rFonts w:ascii="Times New Roman" w:eastAsia="SimSun" w:hAnsi="Times New Roman"/>
          <w:i/>
          <w:sz w:val="24"/>
          <w:szCs w:val="24"/>
        </w:rPr>
        <w:t>Patisiran</w:t>
      </w:r>
      <w:r w:rsidRPr="00AE47C6">
        <w:rPr>
          <w:rFonts w:ascii="Times New Roman" w:eastAsia="SimSun" w:hAnsi="Times New Roman"/>
          <w:sz w:val="24"/>
          <w:szCs w:val="24"/>
        </w:rPr>
        <w:t xml:space="preserve"> е малка интерферираща РНК, която свързва кодиращи зони на ТТР матричната РНК, като специфично супресира чернодробната синтеза на транстиретин. Проведеното клинично проучване в 44 центъра в 19 страни с 225 пациенти /148 на интравенозно лечение с Patisiran (0,3 mg/kg телесно тегло) и 77 на плацебо/ за 18 месеца показва, че Patisiran подобрява множество клинични прояви на хередитарната транстиретинова амилоидоза (D. Adams и сътр., 2018). След 18 месечно лечение 56% от пациентите на Patisiran показват подобрение в mNIS+7 скалата в сравнение с 4 % от пациентите, които са на плацебо. Patisiran също показва ефект върху скоростта на походката и модифицирания BMI. Анализът на клиничното проучване APOLLO показва, че Patisiran намалява дебелината на стената на лявата камера,  глобалния лонгитудинален стрейн, сърдечния биомаркер NT-ProBNP и нежеланите сърдечно-съдови събития. Тези резултати предполагат, че Patisiran може да спре прогресията на сърдечните прояви и дори да ги подобри (Adams D. и </w:t>
      </w:r>
      <w:r w:rsidRPr="00AE47C6">
        <w:rPr>
          <w:rFonts w:ascii="Times New Roman" w:eastAsia="Calibri" w:hAnsi="Times New Roman"/>
          <w:sz w:val="24"/>
          <w:szCs w:val="24"/>
        </w:rPr>
        <w:t>сътр., 2018; Solomon S. и сътр., 2018; Kristen A. и сътр., 2019).</w:t>
      </w:r>
    </w:p>
    <w:p w14:paraId="54DB68E9" w14:textId="77777777" w:rsidR="00BE0B19" w:rsidRPr="00AE47C6" w:rsidRDefault="00BE0B19" w:rsidP="00BE0B19">
      <w:pPr>
        <w:spacing w:after="0" w:line="360" w:lineRule="auto"/>
        <w:ind w:left="720" w:firstLine="72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В групата на пациентите, които са на лечение с Patisiran, се установява 81% понижение на серумното ниво на транстиретин, независимо от възрастта, пола и генотипа. </w:t>
      </w:r>
    </w:p>
    <w:p w14:paraId="0054A42A" w14:textId="77777777" w:rsidR="00BE0B19" w:rsidRPr="00AE47C6" w:rsidRDefault="00BE0B19" w:rsidP="00BE0B19">
      <w:pPr>
        <w:spacing w:after="0" w:line="360" w:lineRule="auto"/>
        <w:ind w:left="720" w:firstLine="72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Клиничното проучване показва, че понижаването на транстиретиновите нива може да бъде ефективен терапевтичен подход. Установява се, че Patisiran значително подобрява сензомоторните и автономните признаци на полиневропатията при пациенти с хередитарна транстиретинова амилоидоза. Допълнително, лечението с Patisiran значително подобрява качеството на живот, ходенето, хранителния статус и ежедневните дейности. При 8% от групата с Patisiran се установява преминаване от асистирано към неасистирано ходене. </w:t>
      </w:r>
    </w:p>
    <w:p w14:paraId="4A2A99DA" w14:textId="77777777" w:rsidR="00BE0B19" w:rsidRPr="00AE47C6" w:rsidRDefault="00BE0B19" w:rsidP="00BE0B19">
      <w:pPr>
        <w:spacing w:after="0" w:line="360" w:lineRule="auto"/>
        <w:ind w:left="72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При плацебо групата заболяването има бърз, прогресиращ ход, влошаване на симптомите и понижена функционална активност. </w:t>
      </w:r>
    </w:p>
    <w:p w14:paraId="5F5D1BAF" w14:textId="77777777" w:rsidR="00BE0B19" w:rsidRPr="00AE47C6" w:rsidRDefault="00BE0B19" w:rsidP="00BE0B19">
      <w:pPr>
        <w:spacing w:after="0" w:line="360" w:lineRule="auto"/>
        <w:ind w:left="72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По отношение на безопасността на медикамента се установяват леки до умерени странични реакции при 20% от пациентите, които получават Patisiran, като честотата им намалява с времето, и при 10% от пациентите, които са на плацебо. Най-честите странични реакции са периферни отоци, диария, гадене и свързани с инфузиите. Смъртността е сходна в двете групи. </w:t>
      </w:r>
    </w:p>
    <w:p w14:paraId="11FBE87C" w14:textId="77777777" w:rsidR="00BE0B19" w:rsidRPr="00AE47C6" w:rsidRDefault="00BE0B19" w:rsidP="00BE0B19">
      <w:pPr>
        <w:spacing w:after="0" w:line="360" w:lineRule="auto"/>
        <w:ind w:left="720" w:firstLine="720"/>
        <w:contextualSpacing/>
        <w:jc w:val="both"/>
        <w:rPr>
          <w:rFonts w:ascii="Times New Roman" w:eastAsia="SimSun" w:hAnsi="Times New Roman"/>
          <w:sz w:val="24"/>
          <w:szCs w:val="24"/>
        </w:rPr>
      </w:pPr>
      <w:r w:rsidRPr="00AE47C6">
        <w:rPr>
          <w:rFonts w:ascii="Times New Roman" w:eastAsia="SimSun" w:hAnsi="Times New Roman"/>
          <w:sz w:val="24"/>
          <w:szCs w:val="24"/>
        </w:rPr>
        <w:t>Лечението с Patisiran е одобрено от EMA и FDA през август, 2018 г. и е показано за лечение на първи и втори стадий на периферната невропатия.</w:t>
      </w:r>
    </w:p>
    <w:p w14:paraId="0812A3B5" w14:textId="77777777" w:rsidR="00BE0B19" w:rsidRPr="00AE47C6" w:rsidRDefault="00BE0B19" w:rsidP="00BE0B19">
      <w:pPr>
        <w:spacing w:after="0" w:line="360" w:lineRule="auto"/>
        <w:ind w:left="720" w:firstLine="720"/>
        <w:contextualSpacing/>
        <w:jc w:val="both"/>
        <w:rPr>
          <w:rFonts w:ascii="Times New Roman" w:eastAsia="SimSun" w:hAnsi="Times New Roman"/>
          <w:sz w:val="24"/>
          <w:szCs w:val="24"/>
        </w:rPr>
      </w:pPr>
      <w:r w:rsidRPr="00AE47C6">
        <w:rPr>
          <w:rFonts w:ascii="Times New Roman" w:eastAsia="SimSun" w:hAnsi="Times New Roman"/>
          <w:sz w:val="24"/>
          <w:szCs w:val="24"/>
        </w:rPr>
        <w:t>Липсват директни сравнителни клинични проучвания за ефекта от лечение с Patisiran и Tafamidis до момента. Наскоро е проведено и публикувано индиректно сравнение на ефикасността на лечението на Patisiran и Tafamidis, като е приложен стандартния метод по двойки на Bucher за крайни точки, използвани в клиничните проучвания APOLLO и Tafamidis Fx-005: промяна от базисното ниво в Neuropathy Impairment Score-lower limbs (NIS-LL), въпросника Norforlk QoL-Diabetic Neuropathy (QoL-DN), NIS-LL отговора и  mBMI спрямо плацебо. Анализът на данните за пациентите, които са в първи стадий на ФАП, лекувани с Patisiran, предполага по-добър терапевтичен ефект спрямо лекуваните пациенти с Tafamidis за всички крайни точки със значително подобрение в средната промяна в NIS-LL и QoL-DN на 18 месец (Plante-Bordeneuve V. и сътр., 2019).</w:t>
      </w:r>
    </w:p>
    <w:p w14:paraId="4E1F153E" w14:textId="77777777" w:rsidR="00BE0B19" w:rsidRPr="00AE47C6" w:rsidRDefault="00BE0B19" w:rsidP="00BE0B19">
      <w:pPr>
        <w:numPr>
          <w:ilvl w:val="0"/>
          <w:numId w:val="354"/>
        </w:numPr>
        <w:spacing w:after="0" w:line="360" w:lineRule="auto"/>
        <w:contextualSpacing/>
        <w:jc w:val="both"/>
        <w:rPr>
          <w:rFonts w:ascii="Times New Roman" w:eastAsia="SimSun" w:hAnsi="Times New Roman"/>
          <w:bCs/>
          <w:i/>
          <w:sz w:val="24"/>
          <w:szCs w:val="24"/>
        </w:rPr>
      </w:pPr>
      <w:r w:rsidRPr="00AE47C6">
        <w:rPr>
          <w:rFonts w:ascii="Times New Roman" w:eastAsia="SimSun" w:hAnsi="Times New Roman"/>
          <w:bCs/>
          <w:i/>
          <w:sz w:val="24"/>
          <w:szCs w:val="24"/>
        </w:rPr>
        <w:t xml:space="preserve">Vutrisiran </w:t>
      </w:r>
      <w:r w:rsidRPr="00AE47C6">
        <w:rPr>
          <w:rFonts w:ascii="Times New Roman" w:eastAsia="SimSun" w:hAnsi="Times New Roman"/>
          <w:sz w:val="24"/>
          <w:szCs w:val="24"/>
        </w:rPr>
        <w:t>e двойноверижна малка интерферираща рибонуклеинова киселина (siRNA), която е специфично насочена към вариантен и див тип транстиретин (TTR) информационна РНК (mRNA). Чрез естествен процес, наречен РНК интерференция (RNAi), Vutrisiran причинява каталитично разграждане на TTR mRNA в хепатоцитите на черния дроб, което води до намаляването на серумните нива на TTR протеина от вариантен и див тип.</w:t>
      </w:r>
    </w:p>
    <w:p w14:paraId="197ED819" w14:textId="77777777" w:rsidR="00BE0B19" w:rsidRPr="00AE47C6" w:rsidRDefault="00BE0B19" w:rsidP="00BE0B19">
      <w:pPr>
        <w:spacing w:line="360" w:lineRule="auto"/>
        <w:ind w:left="720" w:firstLine="720"/>
        <w:jc w:val="both"/>
        <w:rPr>
          <w:rFonts w:ascii="Times New Roman" w:eastAsia="SimSun" w:hAnsi="Times New Roman"/>
          <w:sz w:val="24"/>
          <w:szCs w:val="24"/>
        </w:rPr>
      </w:pPr>
      <w:r w:rsidRPr="00AE47C6">
        <w:rPr>
          <w:rFonts w:ascii="Times New Roman" w:eastAsia="SimSun" w:hAnsi="Times New Roman"/>
          <w:sz w:val="24"/>
          <w:szCs w:val="24"/>
        </w:rPr>
        <w:t>Vutrisiran е показан за лечението на наследствена транстиретин-свързана амилоидоза (hereditary transthyretin-mediated amyloidosis, hATTR) при възрастни пациенти с полиневропатия стадий 1 или стадий 2.                                                                                             Vutrisiran 25 mg инжекционен разтвор, в предварително напълнена спринцовка за подкожно приложение. Препоръчителната доза е 25 mg, прилагана чрез подкожна инжекция веднъж на всеки 3 месеца.</w:t>
      </w:r>
      <w:r w:rsidRPr="00AE47C6">
        <w:rPr>
          <w:rFonts w:ascii="Times New Roman" w:eastAsia="SimSun" w:hAnsi="Times New Roman"/>
        </w:rPr>
        <w:t xml:space="preserve"> </w:t>
      </w:r>
      <w:r w:rsidRPr="00AE47C6">
        <w:rPr>
          <w:rFonts w:ascii="Times New Roman" w:eastAsia="SimSun" w:hAnsi="Times New Roman"/>
          <w:sz w:val="24"/>
          <w:szCs w:val="24"/>
        </w:rPr>
        <w:t xml:space="preserve">        </w:t>
      </w:r>
    </w:p>
    <w:p w14:paraId="3234F220" w14:textId="77777777" w:rsidR="00BE0B19" w:rsidRPr="00AE47C6" w:rsidRDefault="00BE0B19" w:rsidP="00BE0B19">
      <w:pPr>
        <w:spacing w:after="0" w:line="360" w:lineRule="auto"/>
        <w:ind w:left="720" w:firstLine="720"/>
        <w:jc w:val="both"/>
        <w:rPr>
          <w:rFonts w:ascii="Times New Roman" w:eastAsia="SimSun" w:hAnsi="Times New Roman"/>
          <w:sz w:val="24"/>
          <w:szCs w:val="24"/>
        </w:rPr>
      </w:pPr>
      <w:r w:rsidRPr="00AE47C6">
        <w:rPr>
          <w:rFonts w:ascii="Times New Roman" w:eastAsia="SimSun" w:hAnsi="Times New Roman"/>
          <w:sz w:val="24"/>
          <w:szCs w:val="24"/>
        </w:rPr>
        <w:t>При многократно прилагане на 25 mg веднъж на всеки 3 месеца, средното понижение на серумния TTR след 9 и 18 месеца лечение е съответно 83% и 88%. Пониженията на TTR са наблюдавани независимо от генотипа (V30M или не-V30M), предходна</w:t>
      </w:r>
      <w:r w:rsidRPr="00AE47C6">
        <w:rPr>
          <w:rFonts w:ascii="Times New Roman" w:eastAsia="SimSun" w:hAnsi="Times New Roman"/>
          <w:sz w:val="28"/>
          <w:szCs w:val="28"/>
        </w:rPr>
        <w:t xml:space="preserve"> </w:t>
      </w:r>
      <w:r w:rsidRPr="00AE47C6">
        <w:rPr>
          <w:rFonts w:ascii="Times New Roman" w:eastAsia="SimSun" w:hAnsi="Times New Roman"/>
          <w:sz w:val="24"/>
          <w:szCs w:val="24"/>
        </w:rPr>
        <w:t>употреба на TTR стабилизатор, тегло, пол, възраст или раса.</w:t>
      </w:r>
      <w:r w:rsidRPr="00AE47C6">
        <w:rPr>
          <w:rFonts w:ascii="Times New Roman" w:eastAsia="SimSun" w:hAnsi="Times New Roman"/>
        </w:rPr>
        <w:t xml:space="preserve">    </w:t>
      </w:r>
    </w:p>
    <w:p w14:paraId="3439948F" w14:textId="77777777" w:rsidR="00BE0B19" w:rsidRPr="00AE47C6" w:rsidRDefault="00BE0B19" w:rsidP="00BE0B19">
      <w:pPr>
        <w:spacing w:after="0" w:line="360" w:lineRule="auto"/>
        <w:ind w:left="720" w:firstLine="720"/>
        <w:jc w:val="both"/>
        <w:rPr>
          <w:rFonts w:ascii="Times New Roman" w:eastAsia="SimSun" w:hAnsi="Times New Roman"/>
          <w:sz w:val="24"/>
          <w:szCs w:val="24"/>
        </w:rPr>
      </w:pPr>
      <w:r w:rsidRPr="00AE47C6">
        <w:rPr>
          <w:rFonts w:ascii="Times New Roman" w:eastAsia="SimSun" w:hAnsi="Times New Roman"/>
          <w:sz w:val="24"/>
          <w:szCs w:val="24"/>
        </w:rPr>
        <w:t xml:space="preserve">Ефикасността на Vutrisiran е проучена в глобално, рандомизирано, открито клинично проучване (HELIOS-A) при възрастни пациенти с hATTR амилоидоза с полиневропатия. Пациентите са рандомизирани в съотношение 3:1 да получават 25 mg Vutrisiran (N=122) подкожно веднъж на всеки 3 месеца или 0,3 mg/kg Patisiran (N=42) интравенозно веднъж на всеки 3 седмици.  Периодът на лечение в проучването е в продължение на 18 месеца с два анализа в Месец 9 и Месец 18. Оценките на ефикасността са въз основа на данните от  рамото с Vutrisiran от проучването в сравнение с външна плацебо група (плацебо рамото от фаза 3 на проучването APOLLO), съдържаща подобна популация пациенти с hATTR амилоидоза с полиневропатия. </w:t>
      </w:r>
    </w:p>
    <w:p w14:paraId="2005111C" w14:textId="77777777" w:rsidR="00BE0B19" w:rsidRPr="00AE47C6" w:rsidRDefault="00BE0B19" w:rsidP="00BE0B19">
      <w:pPr>
        <w:spacing w:after="0" w:line="360" w:lineRule="auto"/>
        <w:ind w:left="720" w:firstLine="720"/>
        <w:jc w:val="both"/>
        <w:rPr>
          <w:rFonts w:ascii="Times New Roman" w:eastAsia="SimSun" w:hAnsi="Times New Roman"/>
          <w:sz w:val="24"/>
          <w:szCs w:val="24"/>
        </w:rPr>
      </w:pPr>
      <w:r w:rsidRPr="00AE47C6">
        <w:rPr>
          <w:rFonts w:ascii="Times New Roman" w:eastAsia="SimSun" w:hAnsi="Times New Roman"/>
          <w:sz w:val="24"/>
          <w:szCs w:val="24"/>
        </w:rPr>
        <w:t>Въпреки че лечението с Vutrisiran и Patisiran използва различни платформи за доставяне на РНК, то показва съизмерима редукция на серумния транстиретин, а също сравнима ефикасност на повлияване на полиневропатията, измерена чрез mNIS+7 скалата и 10 мин. тест за ходене, и в</w:t>
      </w:r>
      <w:r w:rsidRPr="00AE47C6">
        <w:rPr>
          <w:rFonts w:ascii="Times New Roman" w:eastAsiaTheme="majorEastAsia" w:hAnsi="Times New Roman"/>
          <w:kern w:val="24"/>
          <w:sz w:val="50"/>
          <w:szCs w:val="50"/>
        </w:rPr>
        <w:t xml:space="preserve"> </w:t>
      </w:r>
      <w:r w:rsidRPr="00AE47C6">
        <w:rPr>
          <w:rFonts w:ascii="Times New Roman" w:eastAsia="SimSun" w:hAnsi="Times New Roman"/>
          <w:sz w:val="24"/>
          <w:szCs w:val="24"/>
        </w:rPr>
        <w:t>подобрение на качеството на живот, измерено чрез Norfolk QOL-DN на 18-я месец. Предимството на лечението с Vutrisiran пред лечението с Patisiran е че се прилага подкожно всеки 3 месеца, докато лечението с Patisiran се прилага  чрез интравенозна инфузия в продължение на приблизително 80 минути, веднъж на всеки 3 седмици в здравно заведение и пациентът трябва да се наблюдава по време на инфузията и след нея (общо около 4 часа), което включва и мониторинг на сърдечна дейност .</w:t>
      </w:r>
    </w:p>
    <w:p w14:paraId="7D6E2CDE" w14:textId="77777777" w:rsidR="00BE0B19" w:rsidRPr="00AE47C6" w:rsidRDefault="00BE0B19" w:rsidP="00BE0B19">
      <w:pPr>
        <w:spacing w:after="0" w:line="360" w:lineRule="auto"/>
        <w:ind w:left="720" w:firstLine="720"/>
        <w:jc w:val="both"/>
        <w:rPr>
          <w:rFonts w:ascii="Times New Roman" w:eastAsia="SimSun" w:hAnsi="Times New Roman"/>
          <w:sz w:val="24"/>
          <w:szCs w:val="24"/>
        </w:rPr>
      </w:pPr>
      <w:r w:rsidRPr="00AE47C6">
        <w:rPr>
          <w:rFonts w:ascii="Times New Roman" w:eastAsia="SimSun" w:hAnsi="Times New Roman"/>
          <w:sz w:val="24"/>
          <w:szCs w:val="24"/>
        </w:rPr>
        <w:t xml:space="preserve">По отношение на безопасността на медикамента, по време на 18-месечния период на лечение в HELIOS-A, най-често възникващите нежелани реакции, съобщавани при пациенти, лекувани с Vutrisiran, са болка в крайниците (15%) и артралгия (11%).  Други чести </w:t>
      </w:r>
      <w:bookmarkStart w:id="55" w:name="_Hlk120889024"/>
      <w:r w:rsidRPr="00AE47C6">
        <w:rPr>
          <w:rFonts w:ascii="Times New Roman" w:eastAsia="SimSun" w:hAnsi="Times New Roman"/>
          <w:sz w:val="24"/>
          <w:szCs w:val="24"/>
        </w:rPr>
        <w:t xml:space="preserve">нежелани реакции </w:t>
      </w:r>
      <w:bookmarkEnd w:id="55"/>
      <w:r w:rsidRPr="00AE47C6">
        <w:rPr>
          <w:rFonts w:ascii="Times New Roman" w:eastAsia="SimSun" w:hAnsi="Times New Roman"/>
          <w:sz w:val="24"/>
          <w:szCs w:val="24"/>
        </w:rPr>
        <w:t xml:space="preserve">са диспнея и реакции на мястото на инжектирането и образуване на синини, еритем, болка, сърбеж и затопляне. Те са били леки, преходни и не са довели до прекратяване на лечението. </w:t>
      </w:r>
    </w:p>
    <w:p w14:paraId="06BC4EB7" w14:textId="77777777" w:rsidR="00BE0B19" w:rsidRPr="00AE47C6" w:rsidRDefault="00BE0B19" w:rsidP="00BE0B19">
      <w:pPr>
        <w:spacing w:after="0" w:line="360" w:lineRule="auto"/>
        <w:ind w:left="709"/>
        <w:jc w:val="both"/>
        <w:rPr>
          <w:rFonts w:ascii="Times New Roman" w:eastAsia="SimSun" w:hAnsi="Times New Roman"/>
          <w:sz w:val="24"/>
          <w:szCs w:val="24"/>
        </w:rPr>
      </w:pPr>
      <w:r w:rsidRPr="00AE47C6">
        <w:rPr>
          <w:rFonts w:ascii="Times New Roman" w:eastAsia="SimSun" w:hAnsi="Times New Roman"/>
          <w:sz w:val="24"/>
          <w:szCs w:val="24"/>
        </w:rPr>
        <w:t>Лечението с Vutrisiran е одобрено от EMA на 15 септември 2022 г.</w:t>
      </w:r>
    </w:p>
    <w:p w14:paraId="012484F2" w14:textId="77777777" w:rsidR="00BE0B19" w:rsidRPr="00AE47C6" w:rsidRDefault="00BE0B19" w:rsidP="00BE0B19">
      <w:pPr>
        <w:numPr>
          <w:ilvl w:val="0"/>
          <w:numId w:val="35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bCs/>
          <w:i/>
          <w:sz w:val="24"/>
          <w:szCs w:val="24"/>
        </w:rPr>
        <w:t>Inotersen</w:t>
      </w:r>
      <w:r w:rsidRPr="00AE47C6">
        <w:rPr>
          <w:rFonts w:ascii="Times New Roman" w:eastAsia="SimSun" w:hAnsi="Times New Roman"/>
          <w:bCs/>
          <w:sz w:val="24"/>
          <w:szCs w:val="24"/>
        </w:rPr>
        <w:t xml:space="preserve"> е лечение, основано на понижение на транстиретина</w:t>
      </w:r>
      <w:r w:rsidRPr="00AE47C6">
        <w:rPr>
          <w:rFonts w:ascii="Times New Roman" w:eastAsia="SimSun" w:hAnsi="Times New Roman"/>
          <w:b/>
          <w:bCs/>
          <w:sz w:val="24"/>
          <w:szCs w:val="24"/>
        </w:rPr>
        <w:t xml:space="preserve">. </w:t>
      </w:r>
      <w:r w:rsidRPr="00AE47C6">
        <w:rPr>
          <w:rFonts w:ascii="Times New Roman" w:eastAsia="SimSun" w:hAnsi="Times New Roman"/>
          <w:sz w:val="24"/>
          <w:szCs w:val="24"/>
        </w:rPr>
        <w:t>Inotersen</w:t>
      </w:r>
      <w:r w:rsidRPr="00AE47C6">
        <w:rPr>
          <w:rFonts w:ascii="Times New Roman" w:eastAsia="SimSun" w:hAnsi="Times New Roman"/>
          <w:bCs/>
          <w:sz w:val="24"/>
          <w:szCs w:val="24"/>
        </w:rPr>
        <w:t xml:space="preserve"> е антисенс нуклеотидна терапия, която супресира експресията на дивия тип транстиретин и мутантните форми на транстиретин. Лечението е одобрено от </w:t>
      </w:r>
      <w:r w:rsidRPr="00AE47C6">
        <w:rPr>
          <w:rFonts w:ascii="Times New Roman" w:eastAsia="SimSun" w:hAnsi="Times New Roman"/>
          <w:sz w:val="24"/>
          <w:szCs w:val="24"/>
        </w:rPr>
        <w:t>EMA</w:t>
      </w:r>
      <w:r w:rsidRPr="00AE47C6">
        <w:rPr>
          <w:rFonts w:ascii="Times New Roman" w:eastAsia="SimSun" w:hAnsi="Times New Roman"/>
          <w:bCs/>
          <w:sz w:val="24"/>
          <w:szCs w:val="24"/>
        </w:rPr>
        <w:t xml:space="preserve"> и FDA за лечение на първи и втори стадий на полиневропатията. Това одобрение се основава на резултатите от клиничното проучване NEURO-TTR при пациенти с хередитарна ТТР амилоидоза. Пациентите, лекувани с Inotersen показват значително подобрение в сравнение с пациентите, които са били на плацебо, оценено чрез mNIS+7 и Norfolk QoL-DN. Не е наблюдавано подобрение по отношение на сърдечните параметри в субпопулацията от пациенти със сърдечно засягане. По отношение на безопасността, Inotersen е асоцииран с повишен риск от тромбоцитопения и гломерулонефрити, изискващ повишено мониториране за ранно установяване на тези странични ефекти (</w:t>
      </w:r>
      <w:r w:rsidRPr="00AE47C6">
        <w:rPr>
          <w:rFonts w:ascii="Times New Roman" w:eastAsia="Calibri" w:hAnsi="Times New Roman"/>
          <w:sz w:val="24"/>
          <w:szCs w:val="24"/>
        </w:rPr>
        <w:t>Kristen A. и сътр., 2019)</w:t>
      </w:r>
    </w:p>
    <w:p w14:paraId="710CEFCF" w14:textId="77777777" w:rsidR="00BE0B19" w:rsidRPr="00AE47C6" w:rsidRDefault="00BE0B19" w:rsidP="00BE0B19">
      <w:pPr>
        <w:numPr>
          <w:ilvl w:val="0"/>
          <w:numId w:val="35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 xml:space="preserve">Diflunizal </w:t>
      </w:r>
      <w:r w:rsidRPr="00AE47C6">
        <w:rPr>
          <w:rFonts w:ascii="Times New Roman" w:eastAsia="SimSun" w:hAnsi="Times New Roman"/>
          <w:sz w:val="24"/>
          <w:szCs w:val="24"/>
        </w:rPr>
        <w:t xml:space="preserve">е </w:t>
      </w:r>
      <w:r w:rsidRPr="00AE47C6">
        <w:rPr>
          <w:rFonts w:ascii="Times New Roman" w:eastAsia="SimSun" w:hAnsi="Times New Roman"/>
          <w:bCs/>
          <w:sz w:val="24"/>
          <w:szCs w:val="24"/>
        </w:rPr>
        <w:t>генерично</w:t>
      </w:r>
      <w:r w:rsidRPr="00AE47C6">
        <w:rPr>
          <w:rFonts w:ascii="Times New Roman" w:eastAsia="SimSun" w:hAnsi="Times New Roman"/>
          <w:sz w:val="24"/>
          <w:szCs w:val="24"/>
        </w:rPr>
        <w:t>, нестероидно, антивъзпалително средство, което се използва като тетрамерен стабилизатор. Въпреки че не е одобрено за приложение при хередитарната ТТРА се използва в някои страни. Подобно на Tafamidis, Diflunizal е показано в клинично проучване за 24 месеца, че забавя прогресията на невропатията (измерена чрез NIS+7) спрямо плацебо. Само 48% от включените в проучването пациенти го завършват и прекъсването в най-голяма степен се дължи на прогресия на заболяването със средна промяна в NIS+7 +8,2 за две години. Лечението с Diflunizal на пациенти със сърдечно засягане не редуцират значимо дебелината на стената на лявата камера или лонгитудиналния стрейн на лявата камера спрямо плацебо. Като странични ефекти са описани случаи на нарушена бъбречна функция, тромбоцитопения. Лечението е противопоказано при сърдечна и бъбречна недостатъчност. И тъй като сърдечното засягане е често при хередитарната ТТРА, приложението на Diflunizal е ограничено (</w:t>
      </w:r>
      <w:r w:rsidRPr="00AE47C6">
        <w:rPr>
          <w:rFonts w:ascii="Times New Roman" w:eastAsia="Calibri" w:hAnsi="Times New Roman"/>
          <w:sz w:val="24"/>
          <w:szCs w:val="24"/>
        </w:rPr>
        <w:t>Kristen A. и сътр., 2019).</w:t>
      </w:r>
    </w:p>
    <w:p w14:paraId="1858C560" w14:textId="77777777" w:rsidR="00BE0B19" w:rsidRPr="00AE47C6" w:rsidRDefault="00BE0B19" w:rsidP="00BE0B19">
      <w:pPr>
        <w:numPr>
          <w:ilvl w:val="0"/>
          <w:numId w:val="354"/>
        </w:numPr>
        <w:spacing w:after="0" w:line="360" w:lineRule="auto"/>
        <w:contextualSpacing/>
        <w:jc w:val="both"/>
        <w:rPr>
          <w:rFonts w:ascii="Times New Roman" w:eastAsia="Calibri" w:hAnsi="Times New Roman"/>
          <w:b/>
          <w:bCs/>
          <w:sz w:val="24"/>
          <w:szCs w:val="24"/>
        </w:rPr>
      </w:pPr>
      <w:r w:rsidRPr="00AE47C6">
        <w:rPr>
          <w:rFonts w:ascii="Times New Roman" w:eastAsia="Calibri" w:hAnsi="Times New Roman"/>
          <w:b/>
          <w:bCs/>
          <w:sz w:val="24"/>
          <w:szCs w:val="24"/>
        </w:rPr>
        <w:t xml:space="preserve">Резюме и перспективи в лечението на ATTR амилоидозата според съвременните препоръки 2022 г. </w:t>
      </w:r>
    </w:p>
    <w:p w14:paraId="2098A58E" w14:textId="77777777" w:rsidR="00BE0B19" w:rsidRPr="00AE47C6" w:rsidRDefault="00BE0B19" w:rsidP="00BE0B19">
      <w:pPr>
        <w:spacing w:after="0" w:line="360" w:lineRule="auto"/>
        <w:ind w:left="360"/>
        <w:jc w:val="both"/>
        <w:rPr>
          <w:rFonts w:ascii="Times New Roman" w:eastAsia="Calibri" w:hAnsi="Times New Roman"/>
          <w:i/>
          <w:sz w:val="24"/>
          <w:szCs w:val="24"/>
        </w:rPr>
      </w:pPr>
      <w:r w:rsidRPr="00AE47C6">
        <w:rPr>
          <w:rFonts w:ascii="Times New Roman" w:eastAsia="Calibri" w:hAnsi="Times New Roman"/>
          <w:i/>
          <w:sz w:val="24"/>
          <w:szCs w:val="24"/>
        </w:rPr>
        <w:t>Guidelines and new directions in the therapy and monitoring of ATTRv amyloidosis (Amyloid The Journal of Protein Folding Disorders; https://doi.org/10.1080/13506129.2022.2052838)</w:t>
      </w:r>
    </w:p>
    <w:p w14:paraId="1B13FC79" w14:textId="77777777" w:rsidR="00BE0B19" w:rsidRPr="00AE47C6" w:rsidRDefault="00BE0B19" w:rsidP="00BE0B19">
      <w:pPr>
        <w:spacing w:after="0" w:line="360" w:lineRule="auto"/>
        <w:ind w:left="720"/>
        <w:contextualSpacing/>
        <w:jc w:val="both"/>
        <w:rPr>
          <w:rFonts w:ascii="Times New Roman" w:eastAsia="Calibri" w:hAnsi="Times New Roman"/>
          <w:sz w:val="24"/>
          <w:szCs w:val="24"/>
        </w:rPr>
      </w:pPr>
    </w:p>
    <w:p w14:paraId="68C97729" w14:textId="77777777" w:rsidR="00BE0B19" w:rsidRPr="00AE47C6" w:rsidRDefault="00BE0B19" w:rsidP="00BE0B19">
      <w:pPr>
        <w:spacing w:after="0" w:line="360" w:lineRule="auto"/>
        <w:ind w:left="360" w:firstLine="360"/>
        <w:jc w:val="both"/>
        <w:rPr>
          <w:rFonts w:ascii="Times New Roman" w:eastAsia="Calibri" w:hAnsi="Times New Roman"/>
          <w:sz w:val="24"/>
          <w:szCs w:val="24"/>
        </w:rPr>
      </w:pPr>
      <w:r w:rsidRPr="00AE47C6">
        <w:rPr>
          <w:rFonts w:ascii="Times New Roman" w:eastAsia="Calibri" w:hAnsi="Times New Roman"/>
          <w:sz w:val="24"/>
          <w:szCs w:val="24"/>
        </w:rPr>
        <w:t>Възможностите за повлияване на ATTR амилоидозата са заложени в нейната патофизиология. Трите терапевтични стълба са: TTR нокаут механизъм, стабилизиране на TTR и отстраняване на амилоида. Първите два стълба включват пет модифициращи заболяването терапии от клиничната практика, чернодробна трансплантация, tafamidis, inotersen, patisiran  и vutrisiran за ATTRv полиневропатия и само една – tafamidis и при ATTR кардиомиопатия (препоръки на международното дружество за амилоидоза от 2022 г.).</w:t>
      </w:r>
    </w:p>
    <w:p w14:paraId="13ED4B7F" w14:textId="77777777" w:rsidR="00BE0B19" w:rsidRPr="00AE47C6" w:rsidRDefault="00BE0B19" w:rsidP="00BE0B19">
      <w:pPr>
        <w:spacing w:after="0" w:line="360" w:lineRule="auto"/>
        <w:ind w:left="720"/>
        <w:contextualSpacing/>
        <w:jc w:val="both"/>
        <w:rPr>
          <w:rFonts w:ascii="Times New Roman" w:eastAsia="Calibri" w:hAnsi="Times New Roman"/>
          <w:sz w:val="24"/>
          <w:szCs w:val="24"/>
        </w:rPr>
      </w:pPr>
    </w:p>
    <w:p w14:paraId="1175F452" w14:textId="77777777" w:rsidR="00BE0B19" w:rsidRPr="00AE47C6" w:rsidRDefault="00BE0B19" w:rsidP="00BE0B19">
      <w:pPr>
        <w:spacing w:after="0" w:line="360" w:lineRule="auto"/>
        <w:ind w:left="360" w:firstLine="360"/>
        <w:jc w:val="both"/>
        <w:rPr>
          <w:rFonts w:ascii="Times New Roman" w:eastAsia="Calibri" w:hAnsi="Times New Roman"/>
          <w:i/>
          <w:sz w:val="24"/>
          <w:szCs w:val="24"/>
        </w:rPr>
      </w:pPr>
      <w:r w:rsidRPr="00AE47C6">
        <w:rPr>
          <w:rFonts w:ascii="Times New Roman" w:eastAsia="Calibri" w:hAnsi="Times New Roman"/>
          <w:i/>
          <w:sz w:val="24"/>
          <w:szCs w:val="24"/>
        </w:rPr>
        <w:t>Препоръки за лечението на наследствена ТТР амилоидоза (препоръки на международното дружество за амилоидоза от 2022 г.):</w:t>
      </w:r>
    </w:p>
    <w:p w14:paraId="752AB591" w14:textId="77777777" w:rsidR="00BE0B19" w:rsidRPr="00AE47C6" w:rsidRDefault="00BE0B19" w:rsidP="00BE0B19">
      <w:pPr>
        <w:spacing w:after="0" w:line="360" w:lineRule="auto"/>
        <w:ind w:left="360"/>
        <w:jc w:val="both"/>
        <w:rPr>
          <w:rFonts w:ascii="Times New Roman" w:eastAsia="Calibri" w:hAnsi="Times New Roman"/>
          <w:sz w:val="24"/>
          <w:szCs w:val="24"/>
        </w:rPr>
      </w:pPr>
      <w:r w:rsidRPr="00AE47C6">
        <w:rPr>
          <w:rFonts w:ascii="Times New Roman" w:eastAsia="Calibri" w:hAnsi="Times New Roman"/>
          <w:sz w:val="24"/>
          <w:szCs w:val="24"/>
        </w:rPr>
        <w:t>В идеалния случай ATTR амилоидозата трябва да се лекува веднага щом се диагностицира началото на заболяването, за да се постигне най-добър терапевтичен отговор и да се предотврати значително органно увреждане. Липсата на директни сравнителни проучвания между ефективните терапии затруднява избора на най-добрата терапия.</w:t>
      </w:r>
    </w:p>
    <w:p w14:paraId="02847C55" w14:textId="77777777" w:rsidR="00BE0B19" w:rsidRPr="00AE47C6" w:rsidRDefault="00BE0B19" w:rsidP="00BE0B19">
      <w:pPr>
        <w:spacing w:after="0" w:line="360" w:lineRule="auto"/>
        <w:ind w:left="360"/>
        <w:jc w:val="both"/>
        <w:rPr>
          <w:rFonts w:ascii="Times New Roman" w:eastAsia="Calibri" w:hAnsi="Times New Roman"/>
          <w:sz w:val="24"/>
          <w:szCs w:val="24"/>
        </w:rPr>
      </w:pPr>
      <w:r w:rsidRPr="00AE47C6">
        <w:rPr>
          <w:rFonts w:ascii="Times New Roman" w:eastAsia="Calibri" w:hAnsi="Times New Roman"/>
          <w:sz w:val="24"/>
          <w:szCs w:val="24"/>
        </w:rPr>
        <w:t>•</w:t>
      </w:r>
      <w:r w:rsidRPr="00AE47C6">
        <w:rPr>
          <w:rFonts w:ascii="Times New Roman" w:eastAsia="Calibri" w:hAnsi="Times New Roman"/>
          <w:sz w:val="24"/>
          <w:szCs w:val="24"/>
        </w:rPr>
        <w:tab/>
        <w:t>Пациентите с чиста невропатия трябва да бъдат лекувани или с tafamidis (в ранен стадий 1 на заболяването), или с patisiran, vutrisiran или inotersen генни заглушители (в стадий 1 и 2), според преценката на лекаря и критериите на местните здравни власти.</w:t>
      </w:r>
    </w:p>
    <w:p w14:paraId="2FA277B6" w14:textId="77777777" w:rsidR="00BE0B19" w:rsidRPr="00AE47C6" w:rsidRDefault="00BE0B19" w:rsidP="00BE0B19">
      <w:pPr>
        <w:spacing w:after="0" w:line="360" w:lineRule="auto"/>
        <w:ind w:left="360" w:firstLine="360"/>
        <w:jc w:val="both"/>
        <w:rPr>
          <w:rFonts w:ascii="Times New Roman" w:eastAsia="Calibri" w:hAnsi="Times New Roman"/>
          <w:i/>
          <w:iCs/>
          <w:sz w:val="24"/>
          <w:szCs w:val="24"/>
        </w:rPr>
      </w:pPr>
      <w:r w:rsidRPr="00AE47C6">
        <w:rPr>
          <w:rFonts w:ascii="Times New Roman" w:eastAsia="Calibri" w:hAnsi="Times New Roman"/>
          <w:i/>
          <w:iCs/>
          <w:sz w:val="24"/>
          <w:szCs w:val="24"/>
        </w:rPr>
        <w:t>Ниво на доказателственост II, степен на препоръка A</w:t>
      </w:r>
    </w:p>
    <w:p w14:paraId="06D748C1" w14:textId="77777777" w:rsidR="00BE0B19" w:rsidRPr="00AE47C6" w:rsidRDefault="00BE0B19" w:rsidP="00BE0B19">
      <w:pPr>
        <w:spacing w:after="0" w:line="360" w:lineRule="auto"/>
        <w:ind w:left="360"/>
        <w:jc w:val="both"/>
        <w:rPr>
          <w:rFonts w:ascii="Times New Roman" w:eastAsia="Calibri" w:hAnsi="Times New Roman"/>
          <w:i/>
          <w:iCs/>
          <w:sz w:val="24"/>
          <w:szCs w:val="24"/>
        </w:rPr>
      </w:pPr>
      <w:r w:rsidRPr="00AE47C6">
        <w:rPr>
          <w:rFonts w:ascii="Times New Roman" w:eastAsia="Calibri" w:hAnsi="Times New Roman"/>
          <w:sz w:val="24"/>
          <w:szCs w:val="24"/>
        </w:rPr>
        <w:t>•</w:t>
      </w:r>
      <w:r w:rsidRPr="00AE47C6">
        <w:rPr>
          <w:rFonts w:ascii="Times New Roman" w:eastAsia="Calibri" w:hAnsi="Times New Roman"/>
          <w:sz w:val="24"/>
          <w:szCs w:val="24"/>
        </w:rPr>
        <w:tab/>
        <w:t xml:space="preserve">Пациенти със смесен фенотип, невропатия и кардиомиопатия (определени според доказателство за сърдечно засягане чрез ехокардиография с дебелина на стената на междукамерната преграда в края на диастолата &gt; 12 mm), могат да бъдат лекувани с tafamidis, тъй като това е единственото лекарство, одобрено за лечение на кардиомиопатия. </w:t>
      </w:r>
      <w:r w:rsidRPr="00AE47C6">
        <w:rPr>
          <w:rFonts w:ascii="Times New Roman" w:eastAsia="Calibri" w:hAnsi="Times New Roman"/>
          <w:i/>
          <w:iCs/>
          <w:sz w:val="24"/>
          <w:szCs w:val="24"/>
        </w:rPr>
        <w:t>Ниво на доказателственост II, степен на препоръка A</w:t>
      </w:r>
    </w:p>
    <w:p w14:paraId="0C0ED11C" w14:textId="77777777" w:rsidR="00BE0B19" w:rsidRPr="00AE47C6" w:rsidRDefault="00BE0B19" w:rsidP="00BE0B19">
      <w:pPr>
        <w:spacing w:after="0" w:line="360" w:lineRule="auto"/>
        <w:ind w:left="360"/>
        <w:jc w:val="both"/>
        <w:rPr>
          <w:rFonts w:ascii="Times New Roman" w:eastAsia="Calibri" w:hAnsi="Times New Roman"/>
          <w:sz w:val="24"/>
          <w:szCs w:val="24"/>
        </w:rPr>
      </w:pPr>
      <w:r w:rsidRPr="00AE47C6">
        <w:rPr>
          <w:rFonts w:ascii="Times New Roman" w:eastAsia="Calibri" w:hAnsi="Times New Roman"/>
          <w:sz w:val="24"/>
          <w:szCs w:val="24"/>
        </w:rPr>
        <w:t>Въпреки това, при пациенти със смесен фенотип, лекарите могат да предпишат генен заглушител въз основа на обосновка и косвени, макар и не официално потвърдени доказателства за полза.</w:t>
      </w:r>
    </w:p>
    <w:p w14:paraId="2F78CD1B" w14:textId="77777777" w:rsidR="00BE0B19" w:rsidRPr="00AE47C6" w:rsidRDefault="00BE0B19" w:rsidP="00BE0B19">
      <w:pPr>
        <w:spacing w:after="0" w:line="360" w:lineRule="auto"/>
        <w:ind w:left="360"/>
        <w:jc w:val="both"/>
        <w:rPr>
          <w:rFonts w:ascii="Times New Roman" w:eastAsia="Calibri" w:hAnsi="Times New Roman"/>
          <w:sz w:val="24"/>
          <w:szCs w:val="24"/>
        </w:rPr>
      </w:pPr>
      <w:r w:rsidRPr="00AE47C6">
        <w:rPr>
          <w:rFonts w:ascii="Times New Roman" w:eastAsia="Calibri" w:hAnsi="Times New Roman"/>
          <w:sz w:val="24"/>
          <w:szCs w:val="24"/>
        </w:rPr>
        <w:t>•</w:t>
      </w:r>
      <w:r w:rsidRPr="00AE47C6">
        <w:rPr>
          <w:rFonts w:ascii="Times New Roman" w:eastAsia="Calibri" w:hAnsi="Times New Roman"/>
          <w:sz w:val="24"/>
          <w:szCs w:val="24"/>
        </w:rPr>
        <w:tab/>
        <w:t>Може да се обмисли употребата на diflunisal извън показанията (off-label), ако не са налични други опции.</w:t>
      </w:r>
    </w:p>
    <w:p w14:paraId="4861458C" w14:textId="77777777" w:rsidR="00BE0B19" w:rsidRPr="00AE47C6" w:rsidRDefault="00BE0B19" w:rsidP="00BE0B19">
      <w:pPr>
        <w:spacing w:after="0" w:line="360" w:lineRule="auto"/>
        <w:ind w:left="360"/>
        <w:jc w:val="both"/>
        <w:rPr>
          <w:rFonts w:ascii="Times New Roman" w:eastAsia="Calibri" w:hAnsi="Times New Roman"/>
          <w:i/>
          <w:iCs/>
          <w:sz w:val="24"/>
          <w:szCs w:val="24"/>
        </w:rPr>
      </w:pPr>
      <w:r w:rsidRPr="00AE47C6">
        <w:rPr>
          <w:rFonts w:ascii="Times New Roman" w:eastAsia="Calibri" w:hAnsi="Times New Roman"/>
          <w:i/>
          <w:iCs/>
          <w:sz w:val="24"/>
          <w:szCs w:val="24"/>
        </w:rPr>
        <w:t>Ниво на доказателственост II, степен на препоръка A</w:t>
      </w:r>
    </w:p>
    <w:p w14:paraId="56B5E34D" w14:textId="77777777" w:rsidR="00BE0B19" w:rsidRPr="00AE47C6" w:rsidRDefault="00BE0B19" w:rsidP="00BE0B19">
      <w:pPr>
        <w:spacing w:after="0" w:line="360" w:lineRule="auto"/>
        <w:ind w:left="360"/>
        <w:jc w:val="both"/>
        <w:rPr>
          <w:rFonts w:ascii="Times New Roman" w:eastAsia="Calibri" w:hAnsi="Times New Roman"/>
          <w:sz w:val="24"/>
          <w:szCs w:val="24"/>
        </w:rPr>
      </w:pPr>
      <w:r w:rsidRPr="00AE47C6">
        <w:rPr>
          <w:rFonts w:ascii="Times New Roman" w:eastAsia="Calibri" w:hAnsi="Times New Roman"/>
          <w:sz w:val="24"/>
          <w:szCs w:val="24"/>
        </w:rPr>
        <w:t>•</w:t>
      </w:r>
      <w:r w:rsidRPr="00AE47C6">
        <w:rPr>
          <w:rFonts w:ascii="Times New Roman" w:eastAsia="Calibri" w:hAnsi="Times New Roman"/>
          <w:sz w:val="24"/>
          <w:szCs w:val="24"/>
        </w:rPr>
        <w:tab/>
        <w:t>Пациентите с изолирана кардиомиопатия трябва да бъдат лекувани с tafamidis</w:t>
      </w:r>
    </w:p>
    <w:p w14:paraId="1ADDD9D7" w14:textId="77777777" w:rsidR="00BE0B19" w:rsidRPr="00AE47C6" w:rsidRDefault="00BE0B19" w:rsidP="00BE0B19">
      <w:pPr>
        <w:spacing w:after="0" w:line="360" w:lineRule="auto"/>
        <w:ind w:left="360"/>
        <w:jc w:val="both"/>
        <w:rPr>
          <w:rFonts w:ascii="Times New Roman" w:eastAsia="Calibri" w:hAnsi="Times New Roman"/>
          <w:i/>
          <w:iCs/>
          <w:sz w:val="24"/>
          <w:szCs w:val="24"/>
        </w:rPr>
      </w:pPr>
      <w:r w:rsidRPr="00AE47C6">
        <w:rPr>
          <w:rFonts w:ascii="Times New Roman" w:eastAsia="Calibri" w:hAnsi="Times New Roman"/>
          <w:i/>
          <w:iCs/>
          <w:sz w:val="24"/>
          <w:szCs w:val="24"/>
        </w:rPr>
        <w:t>Ниво на доказателственост II, степен на препоръка A</w:t>
      </w:r>
    </w:p>
    <w:p w14:paraId="4BFAD0EA" w14:textId="77777777" w:rsidR="00BE0B19" w:rsidRPr="00AE47C6" w:rsidRDefault="00BE0B19" w:rsidP="00BE0B19">
      <w:pPr>
        <w:spacing w:after="0" w:line="360" w:lineRule="auto"/>
        <w:ind w:left="360"/>
        <w:jc w:val="both"/>
        <w:rPr>
          <w:rFonts w:ascii="Times New Roman" w:eastAsia="Calibri" w:hAnsi="Times New Roman"/>
          <w:sz w:val="24"/>
          <w:szCs w:val="24"/>
        </w:rPr>
      </w:pPr>
      <w:r w:rsidRPr="00AE47C6">
        <w:rPr>
          <w:rFonts w:ascii="Times New Roman" w:eastAsia="Calibri" w:hAnsi="Times New Roman"/>
          <w:sz w:val="24"/>
          <w:szCs w:val="24"/>
        </w:rPr>
        <w:t>•</w:t>
      </w:r>
      <w:r w:rsidRPr="00AE47C6">
        <w:rPr>
          <w:rFonts w:ascii="Times New Roman" w:eastAsia="Calibri" w:hAnsi="Times New Roman"/>
          <w:sz w:val="24"/>
          <w:szCs w:val="24"/>
        </w:rPr>
        <w:tab/>
        <w:t>Мултидисциплинарната поддържаща терапия е от съществено значение</w:t>
      </w:r>
    </w:p>
    <w:p w14:paraId="702D899B" w14:textId="77777777" w:rsidR="00BE0B19" w:rsidRPr="00AE47C6" w:rsidRDefault="00BE0B19" w:rsidP="00BE0B19">
      <w:pPr>
        <w:spacing w:after="0" w:line="360" w:lineRule="auto"/>
        <w:ind w:left="360"/>
        <w:jc w:val="both"/>
        <w:rPr>
          <w:rFonts w:ascii="Times New Roman" w:eastAsia="Calibri" w:hAnsi="Times New Roman"/>
          <w:i/>
          <w:iCs/>
          <w:sz w:val="24"/>
          <w:szCs w:val="24"/>
        </w:rPr>
      </w:pPr>
      <w:r w:rsidRPr="00AE47C6">
        <w:rPr>
          <w:rFonts w:ascii="Times New Roman" w:eastAsia="Calibri" w:hAnsi="Times New Roman"/>
          <w:i/>
          <w:iCs/>
          <w:sz w:val="24"/>
          <w:szCs w:val="24"/>
        </w:rPr>
        <w:t>Ниво на доказателственост IV, степен на препоръка D</w:t>
      </w:r>
    </w:p>
    <w:p w14:paraId="1E04EF07" w14:textId="77777777" w:rsidR="00BE0B19" w:rsidRPr="00AE47C6" w:rsidRDefault="00BE0B19" w:rsidP="00BE0B19">
      <w:pPr>
        <w:spacing w:after="0" w:line="360" w:lineRule="auto"/>
        <w:ind w:left="360" w:firstLine="360"/>
        <w:jc w:val="both"/>
        <w:rPr>
          <w:rFonts w:ascii="Times New Roman" w:eastAsia="Calibri" w:hAnsi="Times New Roman"/>
          <w:sz w:val="24"/>
          <w:szCs w:val="24"/>
        </w:rPr>
      </w:pPr>
      <w:r w:rsidRPr="00AE47C6">
        <w:rPr>
          <w:rFonts w:ascii="Times New Roman" w:eastAsia="Calibri" w:hAnsi="Times New Roman"/>
          <w:sz w:val="24"/>
          <w:szCs w:val="24"/>
        </w:rPr>
        <w:t>Очаква се комбинацията от стабилизатори на TTR и генни заглушители да бъде синергична. Въпреки това, няма изпитвания в подкрепа на тази комбинация, а като се има предвид и високата цена на повечето от тези лекарствени продукти, се препоръчва да се проучи ефикасността на комбинацията в рамките на контролирано клинично изпитване.</w:t>
      </w:r>
    </w:p>
    <w:p w14:paraId="3E52B2CA" w14:textId="77777777" w:rsidR="00BE0B19" w:rsidRPr="00AE47C6" w:rsidRDefault="00BE0B19" w:rsidP="00BE0B19">
      <w:pPr>
        <w:spacing w:after="0" w:line="360" w:lineRule="auto"/>
        <w:ind w:left="360"/>
        <w:jc w:val="both"/>
        <w:rPr>
          <w:rFonts w:ascii="Times New Roman" w:eastAsia="Calibri" w:hAnsi="Times New Roman"/>
          <w:sz w:val="24"/>
          <w:szCs w:val="24"/>
        </w:rPr>
      </w:pPr>
      <w:r w:rsidRPr="00AE47C6">
        <w:rPr>
          <w:rFonts w:ascii="Times New Roman" w:eastAsia="Calibri" w:hAnsi="Times New Roman"/>
          <w:sz w:val="24"/>
          <w:szCs w:val="24"/>
        </w:rPr>
        <w:t>Няколко изпитвания фаза III са близо до приключването и скоро се очакват нови одобрения на лекарствени продукти с нови показания. Това ще промени терапевтичните възможности и препоръки.</w:t>
      </w:r>
    </w:p>
    <w:p w14:paraId="05A1C1A8" w14:textId="77777777" w:rsidR="00BE0B19" w:rsidRPr="00AE47C6" w:rsidRDefault="00BE0B19" w:rsidP="00BE0B19">
      <w:pPr>
        <w:tabs>
          <w:tab w:val="left" w:pos="3975"/>
        </w:tabs>
        <w:spacing w:after="0" w:line="360" w:lineRule="auto"/>
        <w:ind w:left="360"/>
        <w:jc w:val="both"/>
        <w:rPr>
          <w:rFonts w:ascii="Times New Roman" w:eastAsia="Calibri" w:hAnsi="Times New Roman"/>
          <w:sz w:val="24"/>
          <w:szCs w:val="24"/>
        </w:rPr>
      </w:pPr>
      <w:r w:rsidRPr="00AE47C6">
        <w:rPr>
          <w:rFonts w:ascii="Times New Roman" w:eastAsia="Calibri" w:hAnsi="Times New Roman"/>
          <w:sz w:val="24"/>
          <w:szCs w:val="24"/>
        </w:rPr>
        <w:t xml:space="preserve">        Имайки предвид международно одобрените ръководства за лечение на хередитарната транстиретинова амилоидоза, ние препоръчваме: </w:t>
      </w:r>
    </w:p>
    <w:p w14:paraId="298F0E71" w14:textId="77777777" w:rsidR="00BE0B19" w:rsidRPr="00AE47C6" w:rsidRDefault="00BE0B19" w:rsidP="00BE0B19">
      <w:pPr>
        <w:tabs>
          <w:tab w:val="left" w:pos="3975"/>
        </w:tabs>
        <w:spacing w:after="0" w:line="360" w:lineRule="auto"/>
        <w:ind w:left="360"/>
        <w:jc w:val="both"/>
        <w:rPr>
          <w:rFonts w:ascii="Times New Roman" w:eastAsia="Calibri" w:hAnsi="Times New Roman"/>
          <w:sz w:val="24"/>
          <w:szCs w:val="24"/>
        </w:rPr>
      </w:pPr>
      <w:r w:rsidRPr="00AE47C6">
        <w:rPr>
          <w:rFonts w:ascii="Times New Roman" w:eastAsia="Calibri" w:hAnsi="Times New Roman"/>
          <w:sz w:val="24"/>
          <w:szCs w:val="24"/>
        </w:rPr>
        <w:t xml:space="preserve">       Пациентите с чиста невропатия трябва да бъдат лекувани или с tafamidis (в ранен стадий 1 на заболяването), или с patisiran, vutrisiran или inotersen генни заглушители (в стадий 1 и 2), според преценката на лекаря и критериите на местните здравни власти.</w:t>
      </w:r>
      <w:r w:rsidRPr="00AE47C6">
        <w:rPr>
          <w:rFonts w:ascii="Times New Roman" w:eastAsia="Calibri" w:hAnsi="Times New Roman"/>
          <w:sz w:val="24"/>
          <w:szCs w:val="24"/>
        </w:rPr>
        <w:tab/>
      </w:r>
    </w:p>
    <w:p w14:paraId="7029D8AB" w14:textId="77777777" w:rsidR="00BE0B19" w:rsidRPr="00AE47C6" w:rsidRDefault="00BE0B19" w:rsidP="00BE0B19">
      <w:pPr>
        <w:spacing w:after="0" w:line="360" w:lineRule="auto"/>
        <w:ind w:left="360" w:firstLine="360"/>
        <w:jc w:val="both"/>
        <w:rPr>
          <w:rFonts w:ascii="Times New Roman" w:eastAsia="Calibri" w:hAnsi="Times New Roman"/>
          <w:sz w:val="24"/>
          <w:szCs w:val="24"/>
        </w:rPr>
      </w:pPr>
      <w:r w:rsidRPr="00AE47C6">
        <w:rPr>
          <w:rFonts w:ascii="Times New Roman" w:eastAsia="Calibri" w:hAnsi="Times New Roman"/>
          <w:sz w:val="24"/>
          <w:szCs w:val="24"/>
        </w:rPr>
        <w:t xml:space="preserve">  Пациенти със смесен фенотип, невропатия и кардиомиопатия (определени според доказателство за сърдечно засягане чрез ехокардиография с дебелина на стената на междукамерната преграда в края на диастолата &gt; 12 mm), могат да бъдат лекувани с tafamidis, тъй като това е единственото лекарство, одобрено за лечение на кардиомиопатия, като при преобладаващ сърдечен фенотип препоръчителната доза е 61 мг.</w:t>
      </w:r>
    </w:p>
    <w:p w14:paraId="106A0D3D" w14:textId="77777777" w:rsidR="00BE0B19" w:rsidRPr="00AE47C6" w:rsidRDefault="00BE0B19" w:rsidP="00BE0B19">
      <w:pPr>
        <w:spacing w:after="0" w:line="360" w:lineRule="auto"/>
        <w:ind w:left="360"/>
        <w:jc w:val="both"/>
        <w:rPr>
          <w:rFonts w:ascii="Times New Roman" w:eastAsia="Calibri" w:hAnsi="Times New Roman"/>
          <w:sz w:val="24"/>
          <w:szCs w:val="24"/>
        </w:rPr>
      </w:pPr>
      <w:r w:rsidRPr="00AE47C6">
        <w:rPr>
          <w:rFonts w:ascii="Times New Roman" w:eastAsia="Calibri" w:hAnsi="Times New Roman"/>
          <w:sz w:val="24"/>
          <w:szCs w:val="24"/>
        </w:rPr>
        <w:t xml:space="preserve">       Въпреки това, при пациенти със смесен фенотип, лекарите могат да предпишат генен заглушител въз основа на обосновка и косвени, макар и не официално потвърдени доказателства за полза.</w:t>
      </w:r>
    </w:p>
    <w:p w14:paraId="4F8A8D0A" w14:textId="77777777" w:rsidR="00BE0B19" w:rsidRPr="00AE47C6" w:rsidRDefault="00BE0B19" w:rsidP="00BE0B19">
      <w:pPr>
        <w:spacing w:after="0" w:line="360" w:lineRule="auto"/>
        <w:ind w:left="360"/>
        <w:jc w:val="both"/>
        <w:rPr>
          <w:rFonts w:ascii="Times New Roman" w:eastAsia="Calibri" w:hAnsi="Times New Roman"/>
          <w:sz w:val="24"/>
          <w:szCs w:val="24"/>
        </w:rPr>
      </w:pPr>
      <w:r w:rsidRPr="00AE47C6">
        <w:rPr>
          <w:rFonts w:ascii="Times New Roman" w:eastAsia="Calibri" w:hAnsi="Times New Roman"/>
          <w:sz w:val="24"/>
          <w:szCs w:val="24"/>
        </w:rPr>
        <w:t xml:space="preserve">       Пациентите с изолирана кардиомиопатия трябва да бъдат лекувани с tafamidis, като препоръчителната доза e 61 mg.</w:t>
      </w:r>
    </w:p>
    <w:p w14:paraId="11519519" w14:textId="77777777" w:rsidR="00BE0B19" w:rsidRPr="00AE47C6" w:rsidRDefault="00BE0B19" w:rsidP="00BE0B19">
      <w:pPr>
        <w:spacing w:after="0" w:line="360" w:lineRule="auto"/>
        <w:jc w:val="both"/>
        <w:rPr>
          <w:rFonts w:ascii="Times New Roman" w:eastAsia="Calibri" w:hAnsi="Times New Roman"/>
          <w:sz w:val="24"/>
          <w:szCs w:val="24"/>
        </w:rPr>
      </w:pPr>
    </w:p>
    <w:p w14:paraId="01D1991B" w14:textId="77777777" w:rsidR="00BE0B19" w:rsidRPr="00AE47C6" w:rsidRDefault="00BE0B19" w:rsidP="00BE0B19">
      <w:pPr>
        <w:numPr>
          <w:ilvl w:val="0"/>
          <w:numId w:val="348"/>
        </w:numPr>
        <w:spacing w:after="0" w:line="360" w:lineRule="auto"/>
        <w:ind w:left="284" w:hanging="284"/>
        <w:contextualSpacing/>
        <w:jc w:val="both"/>
        <w:rPr>
          <w:rFonts w:ascii="Times New Roman" w:eastAsia="Calibri" w:hAnsi="Times New Roman"/>
          <w:b/>
          <w:sz w:val="24"/>
          <w:szCs w:val="24"/>
        </w:rPr>
      </w:pPr>
      <w:r w:rsidRPr="00AE47C6">
        <w:rPr>
          <w:rFonts w:ascii="Times New Roman" w:eastAsia="Calibri" w:hAnsi="Times New Roman"/>
          <w:b/>
          <w:sz w:val="24"/>
          <w:szCs w:val="24"/>
        </w:rPr>
        <w:t>Симптоматично лечение при неврологично засягане</w:t>
      </w:r>
    </w:p>
    <w:p w14:paraId="60EB5D0D" w14:textId="77777777" w:rsidR="00BE0B19" w:rsidRPr="00AE47C6" w:rsidRDefault="00BE0B19" w:rsidP="00BE0B19">
      <w:pPr>
        <w:spacing w:after="0" w:line="360" w:lineRule="auto"/>
        <w:ind w:firstLine="426"/>
        <w:jc w:val="both"/>
        <w:rPr>
          <w:rFonts w:ascii="Times New Roman" w:eastAsia="Calibri" w:hAnsi="Times New Roman"/>
          <w:sz w:val="24"/>
          <w:szCs w:val="24"/>
        </w:rPr>
      </w:pPr>
      <w:r w:rsidRPr="00AE47C6">
        <w:rPr>
          <w:rFonts w:ascii="Times New Roman" w:eastAsia="Calibri" w:hAnsi="Times New Roman"/>
          <w:sz w:val="24"/>
          <w:szCs w:val="24"/>
        </w:rPr>
        <w:t>Симптоматичното лечение при неврологичното засягане цели повлияване на невропатната болка, която е налице при някои от болните, както и на парестезиите, които са по-чести. Използват се антиконвулсанти като Gabapentin ( в доза от 1200 mg до 2 400 mg) и Pregabalin ( в доза от 150 mg до 300 mg), или антидепресанти като Duloxetine (в доза от 30 mg до 90 mg). Дневната доза варира в зависимост от изразеността на симптомите и индивидуалната поносимост. Медикаментите трябва бавно да се титрират и да се прилагат изключително внимателно, поради артериалната хипотония, рисковете от колапси и наличната диария.</w:t>
      </w:r>
    </w:p>
    <w:p w14:paraId="405D9710" w14:textId="77777777" w:rsidR="00BE0B19" w:rsidRPr="00AE47C6" w:rsidRDefault="00BE0B19" w:rsidP="00BE0B19">
      <w:pPr>
        <w:spacing w:after="0" w:line="360" w:lineRule="auto"/>
        <w:ind w:firstLine="426"/>
        <w:jc w:val="both"/>
        <w:rPr>
          <w:rFonts w:ascii="Times New Roman" w:eastAsia="Calibri" w:hAnsi="Times New Roman"/>
          <w:sz w:val="24"/>
          <w:szCs w:val="24"/>
        </w:rPr>
      </w:pPr>
      <w:r w:rsidRPr="00AE47C6">
        <w:rPr>
          <w:rFonts w:ascii="Times New Roman" w:eastAsia="Calibri" w:hAnsi="Times New Roman"/>
          <w:sz w:val="24"/>
          <w:szCs w:val="24"/>
        </w:rPr>
        <w:t>Симптоматичното лечение на невропатните прояви цели по-добро качество на живот на болните.</w:t>
      </w:r>
    </w:p>
    <w:p w14:paraId="61791B6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lang w:eastAsia="bg-BG"/>
        </w:rPr>
      </w:pPr>
    </w:p>
    <w:p w14:paraId="7E1D090B" w14:textId="77777777" w:rsidR="00BE0B19" w:rsidRPr="00AE47C6" w:rsidRDefault="00BE0B19" w:rsidP="00BE0B19">
      <w:pPr>
        <w:spacing w:before="240" w:after="240" w:line="240" w:lineRule="auto"/>
        <w:outlineLvl w:val="4"/>
        <w:rPr>
          <w:rFonts w:ascii="Times New Roman" w:eastAsia="SimSun" w:hAnsi="Times New Roman"/>
          <w:b/>
          <w:bCs/>
          <w:iCs/>
          <w:sz w:val="24"/>
          <w:szCs w:val="26"/>
        </w:rPr>
      </w:pPr>
      <w:r w:rsidRPr="00AE47C6">
        <w:rPr>
          <w:rFonts w:ascii="Times New Roman" w:eastAsia="SimSun" w:hAnsi="Times New Roman"/>
          <w:b/>
          <w:bCs/>
          <w:iCs/>
          <w:sz w:val="24"/>
          <w:szCs w:val="26"/>
        </w:rPr>
        <w:t>2.2.5.4.3. Порфиринова полиневропатия</w:t>
      </w:r>
    </w:p>
    <w:p w14:paraId="3AF0E7E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Нарушенията на порфириновия метаболизъм са рядка причина за периферна невропатия. Порфириите се разделят на две големи групи: чернодробни и еритропоетични. Само чернодробните се свързват с неврологични прояви. Порфириновата невропатия възниква във връзка с остра или предизвикана чернодробна порфирия при три форми: остра интермитентна порфирия (ОИП), наследствена копропорфирия (НКП) и вариегатна порфирия (ВП). Повечето порфирии се унаследяват по АД тип. </w:t>
      </w:r>
    </w:p>
    <w:p w14:paraId="46FD5AF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 xml:space="preserve">Патогенеза. </w:t>
      </w:r>
      <w:r w:rsidRPr="00AE47C6">
        <w:rPr>
          <w:rFonts w:ascii="Times New Roman" w:eastAsia="SimSun" w:hAnsi="Times New Roman"/>
          <w:sz w:val="24"/>
          <w:szCs w:val="24"/>
        </w:rPr>
        <w:t xml:space="preserve">Медикаментите, които индуцират чернодробната микрозомална цитохром Р-450 система могат да предизвикат кризи на ОИП: барбитурати, Chloramphenicol, Diazepam, естрогени, Griseofulvin, Ethanol, Halothane, хидантоини, Imipramine, Ketamine, Methyldopa, орални контрацептиви, сулфонамиди, Theophylline, валпроати и др. Индуциращи причини са и още два фактора модифициращи хемната синтеза: хормонални промени (влияние на прогестерон, естроген и тестостерон) и глюкозата. </w:t>
      </w:r>
    </w:p>
    <w:p w14:paraId="00978B9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Клиничните прояви</w:t>
      </w:r>
      <w:r w:rsidRPr="00AE47C6">
        <w:rPr>
          <w:rFonts w:ascii="Times New Roman" w:eastAsia="SimSun" w:hAnsi="Times New Roman"/>
          <w:sz w:val="24"/>
          <w:szCs w:val="24"/>
        </w:rPr>
        <w:t xml:space="preserve"> и при трите вида порфирии могат да се изразяват в остри кризи на тежки неврологични усложнения, предизвикани от медикаменти или хормонални промени и липса на оплаквания между кризите. При НКП и ВП могат да са налице и кожни промени като фоточувствителност. Неврологичните прояви при ОИП, НКП и ВП са два вида. Първият вид се свързва с физиологични и фармакологични промени, предизвикващи </w:t>
      </w:r>
      <w:r w:rsidRPr="00AE47C6">
        <w:rPr>
          <w:rFonts w:ascii="Times New Roman" w:eastAsia="SimSun" w:hAnsi="Times New Roman"/>
          <w:i/>
          <w:sz w:val="24"/>
          <w:szCs w:val="24"/>
        </w:rPr>
        <w:t>психични нарушения, гърчове, нарушения на съзнанието и автономни нарушения</w:t>
      </w:r>
      <w:r w:rsidRPr="00AE47C6">
        <w:rPr>
          <w:rFonts w:ascii="Times New Roman" w:eastAsia="SimSun" w:hAnsi="Times New Roman"/>
          <w:sz w:val="24"/>
          <w:szCs w:val="24"/>
        </w:rPr>
        <w:t xml:space="preserve">. Вторият вид се свързва със </w:t>
      </w:r>
      <w:r w:rsidRPr="00AE47C6">
        <w:rPr>
          <w:rFonts w:ascii="Times New Roman" w:eastAsia="SimSun" w:hAnsi="Times New Roman"/>
          <w:i/>
          <w:sz w:val="24"/>
          <w:szCs w:val="24"/>
        </w:rPr>
        <w:t>структурна невронна увреда, особено на клетките на периферната нервна система</w:t>
      </w:r>
      <w:r w:rsidRPr="00AE47C6">
        <w:rPr>
          <w:rFonts w:ascii="Times New Roman" w:eastAsia="SimSun" w:hAnsi="Times New Roman"/>
          <w:sz w:val="24"/>
          <w:szCs w:val="24"/>
        </w:rPr>
        <w:t xml:space="preserve">. Възникват остра коремна коликообразна болка, последвана от психични нарушения и след това от остра невропатия. </w:t>
      </w:r>
      <w:r w:rsidRPr="00AE47C6">
        <w:rPr>
          <w:rFonts w:ascii="Times New Roman" w:eastAsia="SimSun" w:hAnsi="Times New Roman"/>
          <w:i/>
          <w:sz w:val="24"/>
          <w:szCs w:val="24"/>
        </w:rPr>
        <w:t>Невропатията</w:t>
      </w:r>
      <w:r w:rsidRPr="00AE47C6">
        <w:rPr>
          <w:rFonts w:ascii="Times New Roman" w:eastAsia="SimSun" w:hAnsi="Times New Roman"/>
          <w:sz w:val="24"/>
          <w:szCs w:val="24"/>
        </w:rPr>
        <w:t xml:space="preserve"> при разгърнатата криза се развива 2-3 дни след началото на коремните и психични симптоми. Тя има много прояви наподобяващи синдрома на Guillain-Barre: болка в кръста или в крайниците, двигателните симптоми със слабост, вкл. асиметрична с начало в дисталните и проксимални мускули горните крайници и в краниалните нерви с лицевата слабост и гълтателните нарушения, по-рядко и трункусна слабост и парализа на дихателната мускулатура. Сетивните симптоми се проявяват като сегментни или мигриращи парестезии. Наблюдават се изразени автономни прояви, особено симпатикова хиперреактивност – мидриаза, тахикардия, артериална хипертония, нарушения на уринирането и дефекацията. </w:t>
      </w:r>
    </w:p>
    <w:p w14:paraId="50D34C9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 xml:space="preserve">Диагноза. </w:t>
      </w:r>
      <w:r w:rsidRPr="00AE47C6">
        <w:rPr>
          <w:rFonts w:ascii="Times New Roman" w:eastAsia="SimSun" w:hAnsi="Times New Roman"/>
          <w:sz w:val="24"/>
          <w:szCs w:val="24"/>
        </w:rPr>
        <w:t xml:space="preserve">ЕНГ и ЕМГ могат да са нормални през първите дни от заболяването. Поради аксонната дегенерация сумарният мускулен акционен потенциал спада в зависимост от степента на мускулната слабост. Забавяне в провеждането или дисперсия могат да се изявят по-късно, във възстановителния период. Поради по-тежкото засягане на проксимални или лицеви мускули дисталното провеждане може да е в норма. Типична денервация се изявява след 5-10 дни. В хроничната фаза се изявяват реинервационни промени. </w:t>
      </w:r>
    </w:p>
    <w:p w14:paraId="552D244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Всички порфирии предизвикват повишени нива на δ-амино-левулинова киселина в урината по време на криза. При ОИП екскрецията на порфобилиноген надвишава тази на δ-амино-левулинова киселина за разлика от обратното съотношение при НКП и ВП. При симптоматична ОИП порфирините в урината са леко повишени, а фекалните порфирини са нормални или леко над нормата. Копропорфирините в урината и изпражненията са силно повишени при НКП, а фекалните протопорфирини – при ВП.</w:t>
      </w:r>
    </w:p>
    <w:p w14:paraId="3FD68A2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ab/>
      </w:r>
      <w:r w:rsidRPr="00AE47C6">
        <w:rPr>
          <w:rFonts w:ascii="Times New Roman" w:eastAsia="SimSun" w:hAnsi="Times New Roman"/>
          <w:b/>
          <w:iCs/>
          <w:sz w:val="24"/>
          <w:szCs w:val="24"/>
        </w:rPr>
        <w:t>Диференциалната диагноза</w:t>
      </w:r>
      <w:r w:rsidRPr="00AE47C6">
        <w:rPr>
          <w:rFonts w:ascii="Times New Roman" w:eastAsia="SimSun" w:hAnsi="Times New Roman"/>
          <w:sz w:val="24"/>
          <w:szCs w:val="24"/>
        </w:rPr>
        <w:t xml:space="preserve"> включва синдрома на Guillain-Barre, при който липсват психични прояви и гърчове. Подобни биохимични и клинични прояви могат да се наблюдават при оловна интоксикация и наследствена тирозинемия тип ІІ, отравяне с арсен и талий.</w:t>
      </w:r>
    </w:p>
    <w:p w14:paraId="247F788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Лечение. </w:t>
      </w:r>
      <w:r w:rsidRPr="00AE47C6">
        <w:rPr>
          <w:rFonts w:ascii="Times New Roman" w:eastAsia="SimSun" w:hAnsi="Times New Roman"/>
          <w:sz w:val="24"/>
          <w:szCs w:val="24"/>
        </w:rPr>
        <w:t xml:space="preserve">Избягват се всички медикаменти, които могат да задълбочат кризата. При леки кризи се прилагат </w:t>
      </w:r>
      <w:r w:rsidRPr="00AE47C6">
        <w:rPr>
          <w:rFonts w:ascii="Times New Roman" w:eastAsia="SimSun" w:hAnsi="Times New Roman"/>
          <w:i/>
          <w:sz w:val="24"/>
          <w:szCs w:val="24"/>
        </w:rPr>
        <w:t>високи дози глюкоза</w:t>
      </w:r>
      <w:r w:rsidRPr="00AE47C6">
        <w:rPr>
          <w:rFonts w:ascii="Times New Roman" w:eastAsia="SimSun" w:hAnsi="Times New Roman"/>
          <w:sz w:val="24"/>
          <w:szCs w:val="24"/>
        </w:rPr>
        <w:t xml:space="preserve"> – 300-500 g/24 часа. Най-ефективна е терапията с интравенозно приложение на </w:t>
      </w:r>
      <w:r w:rsidRPr="00AE47C6">
        <w:rPr>
          <w:rFonts w:ascii="Times New Roman" w:eastAsia="SimSun" w:hAnsi="Times New Roman"/>
          <w:i/>
          <w:sz w:val="24"/>
          <w:szCs w:val="24"/>
        </w:rPr>
        <w:t>хем – хематин</w:t>
      </w:r>
      <w:r w:rsidRPr="00AE47C6">
        <w:rPr>
          <w:rFonts w:ascii="Times New Roman" w:eastAsia="SimSun" w:hAnsi="Times New Roman"/>
          <w:sz w:val="24"/>
          <w:szCs w:val="24"/>
        </w:rPr>
        <w:t xml:space="preserve"> за 3-14 дни или </w:t>
      </w:r>
      <w:r w:rsidRPr="00AE47C6">
        <w:rPr>
          <w:rFonts w:ascii="Times New Roman" w:eastAsia="SimSun" w:hAnsi="Times New Roman"/>
          <w:i/>
          <w:sz w:val="24"/>
          <w:szCs w:val="24"/>
        </w:rPr>
        <w:t>метхемалбуми</w:t>
      </w:r>
      <w:r w:rsidRPr="00AE47C6">
        <w:rPr>
          <w:rFonts w:ascii="Times New Roman" w:eastAsia="SimSun" w:hAnsi="Times New Roman"/>
          <w:i/>
          <w:iCs/>
          <w:sz w:val="24"/>
          <w:szCs w:val="24"/>
        </w:rPr>
        <w:t>н</w:t>
      </w:r>
      <w:r w:rsidRPr="00AE47C6">
        <w:rPr>
          <w:rFonts w:ascii="Times New Roman" w:eastAsia="SimSun" w:hAnsi="Times New Roman"/>
          <w:sz w:val="24"/>
          <w:szCs w:val="24"/>
        </w:rPr>
        <w:t xml:space="preserve">. При гърчове се препоръчва </w:t>
      </w:r>
      <w:r w:rsidRPr="00AE47C6">
        <w:rPr>
          <w:rFonts w:ascii="Times New Roman" w:eastAsia="SimSun" w:hAnsi="Times New Roman"/>
          <w:i/>
          <w:sz w:val="24"/>
          <w:szCs w:val="24"/>
        </w:rPr>
        <w:t>Gabapentin.</w:t>
      </w:r>
      <w:r w:rsidRPr="00AE47C6">
        <w:rPr>
          <w:rFonts w:ascii="Times New Roman" w:eastAsia="SimSun" w:hAnsi="Times New Roman"/>
          <w:sz w:val="24"/>
          <w:szCs w:val="24"/>
        </w:rPr>
        <w:t xml:space="preserve"> За болковия синдром могат да се прилагат наркотични аналгетици, а за психичните нарушения – Chlorpromazine. Извън кризите се препоръчва избягване на порфирогенни медикаменти и балансирано хранене. </w:t>
      </w:r>
    </w:p>
    <w:p w14:paraId="49408666"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56" w:name="_Toc155651727"/>
      <w:bookmarkStart w:id="57" w:name="_Toc164075859"/>
      <w:r w:rsidRPr="00AE47C6">
        <w:rPr>
          <w:rFonts w:ascii="Times New Roman" w:eastAsia="SimSun" w:hAnsi="Times New Roman"/>
          <w:b/>
          <w:sz w:val="24"/>
          <w:szCs w:val="20"/>
          <w:lang w:eastAsia="ja-JP"/>
        </w:rPr>
        <w:t>2.3. Плексити и плексопатии</w:t>
      </w:r>
      <w:bookmarkEnd w:id="56"/>
      <w:bookmarkEnd w:id="57"/>
    </w:p>
    <w:p w14:paraId="4B70D457"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Плекситите представляват увреждане локализирано дистално от задните коренчета на спиналния ганглии. Те се характеризират със симптоми излизащи извън територията на едно коренче или периферен нерв, които зависят от анатомичната локализация на увредата. </w:t>
      </w:r>
    </w:p>
    <w:p w14:paraId="428EECEA"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 xml:space="preserve">Класифицират </w:t>
      </w:r>
      <w:r w:rsidRPr="00AE47C6">
        <w:rPr>
          <w:rFonts w:ascii="Times New Roman" w:eastAsia="SimSun" w:hAnsi="Times New Roman"/>
          <w:sz w:val="24"/>
          <w:szCs w:val="24"/>
          <w:lang w:eastAsia="ar-SA"/>
        </w:rPr>
        <w:t>се на брахиални и лумбо-сакрални плексити.</w:t>
      </w:r>
    </w:p>
    <w:p w14:paraId="0023A8A6"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 xml:space="preserve">Етиологията </w:t>
      </w:r>
      <w:r w:rsidRPr="00AE47C6">
        <w:rPr>
          <w:rFonts w:ascii="Times New Roman" w:eastAsia="SimSun" w:hAnsi="Times New Roman"/>
          <w:sz w:val="24"/>
          <w:szCs w:val="24"/>
          <w:lang w:eastAsia="ar-SA"/>
        </w:rPr>
        <w:t>на уврежданията на брахиалния плексус е свързана с травми, вкл. родови, тумори, компресия, лъчетерапия, инжектиране на животински серуми (тетанусов антитоксин) и ваксини (тиф-паратиф, дифтерия-тетанус-коклюш и дребна шарка) и вирусна инфекция. Лумбосакралният плексус се засяга вследствие на родови и други травми, хирургични интервенции в корема и малкия таз, тумори и саркоидоза. Рядко се наблюдават пострадиационна плексопатия и невралгична амиотрофия, идентични на цервикобрахиалните. Рядко се срещат и диабетната и herpes zoster плексопатия.</w:t>
      </w:r>
    </w:p>
    <w:p w14:paraId="7309A166"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u w:val="single"/>
          <w:lang w:eastAsia="ar-SA"/>
        </w:rPr>
        <w:t>1. Брахиалните плексити</w:t>
      </w:r>
      <w:r w:rsidRPr="00AE47C6">
        <w:rPr>
          <w:rFonts w:ascii="Times New Roman" w:eastAsia="SimSun" w:hAnsi="Times New Roman"/>
          <w:b/>
          <w:sz w:val="24"/>
          <w:szCs w:val="24"/>
          <w:lang w:eastAsia="ar-SA"/>
        </w:rPr>
        <w:t xml:space="preserve"> </w:t>
      </w:r>
      <w:r w:rsidRPr="00AE47C6">
        <w:rPr>
          <w:rFonts w:ascii="Times New Roman" w:eastAsia="SimSun" w:hAnsi="Times New Roman"/>
          <w:sz w:val="24"/>
          <w:szCs w:val="24"/>
          <w:lang w:eastAsia="ar-SA"/>
        </w:rPr>
        <w:t xml:space="preserve">при засягане на </w:t>
      </w:r>
      <w:r w:rsidRPr="00AE47C6">
        <w:rPr>
          <w:rFonts w:ascii="Times New Roman" w:eastAsia="SimSun" w:hAnsi="Times New Roman"/>
          <w:i/>
          <w:sz w:val="24"/>
          <w:szCs w:val="24"/>
          <w:lang w:eastAsia="ar-SA"/>
        </w:rPr>
        <w:t>целия плексус</w:t>
      </w:r>
      <w:r w:rsidRPr="00AE47C6">
        <w:rPr>
          <w:rFonts w:ascii="Times New Roman" w:eastAsia="SimSun" w:hAnsi="Times New Roman"/>
          <w:sz w:val="24"/>
          <w:szCs w:val="24"/>
          <w:lang w:eastAsia="ar-SA"/>
        </w:rPr>
        <w:t xml:space="preserve"> (С</w:t>
      </w:r>
      <w:r w:rsidRPr="00AE47C6">
        <w:rPr>
          <w:rFonts w:ascii="Times New Roman" w:eastAsia="SimSun" w:hAnsi="Times New Roman"/>
          <w:sz w:val="24"/>
          <w:szCs w:val="24"/>
          <w:vertAlign w:val="subscript"/>
          <w:lang w:eastAsia="ar-SA"/>
        </w:rPr>
        <w:t>5</w:t>
      </w:r>
      <w:r w:rsidRPr="00AE47C6">
        <w:rPr>
          <w:rFonts w:ascii="Times New Roman" w:eastAsia="SimSun" w:hAnsi="Times New Roman"/>
          <w:sz w:val="24"/>
          <w:szCs w:val="24"/>
          <w:lang w:eastAsia="ar-SA"/>
        </w:rPr>
        <w:t xml:space="preserve"> – Т</w:t>
      </w:r>
      <w:r w:rsidRPr="00AE47C6">
        <w:rPr>
          <w:rFonts w:ascii="Times New Roman" w:eastAsia="SimSun" w:hAnsi="Times New Roman"/>
          <w:sz w:val="24"/>
          <w:szCs w:val="24"/>
          <w:vertAlign w:val="subscript"/>
          <w:lang w:eastAsia="ar-SA"/>
        </w:rPr>
        <w:t>1</w:t>
      </w:r>
      <w:r w:rsidRPr="00AE47C6">
        <w:rPr>
          <w:rFonts w:ascii="Times New Roman" w:eastAsia="SimSun" w:hAnsi="Times New Roman"/>
          <w:sz w:val="24"/>
          <w:szCs w:val="24"/>
          <w:lang w:eastAsia="ar-SA"/>
        </w:rPr>
        <w:t xml:space="preserve"> коренчета) протичат с тотална пареза, сухожилна арефлексия и безчувственост на цялата ръка. Болката произхождаща от брахиалния плексус е най-силна в и около рамото и супраклавикуларната област. Провокира се от определени движения и положения на ръката и е свързана с повишена чувствителност над клавикулата. При засягане на </w:t>
      </w:r>
      <w:r w:rsidRPr="00AE47C6">
        <w:rPr>
          <w:rFonts w:ascii="Times New Roman" w:eastAsia="SimSun" w:hAnsi="Times New Roman"/>
          <w:i/>
          <w:sz w:val="24"/>
          <w:szCs w:val="24"/>
          <w:lang w:eastAsia="ar-SA"/>
        </w:rPr>
        <w:t>горния първичен ствол</w:t>
      </w:r>
      <w:r w:rsidRPr="00AE47C6">
        <w:rPr>
          <w:rFonts w:ascii="Times New Roman" w:eastAsia="SimSun" w:hAnsi="Times New Roman"/>
          <w:sz w:val="24"/>
          <w:szCs w:val="24"/>
          <w:lang w:eastAsia="ar-SA"/>
        </w:rPr>
        <w:t xml:space="preserve"> (С</w:t>
      </w:r>
      <w:r w:rsidRPr="00AE47C6">
        <w:rPr>
          <w:rFonts w:ascii="Times New Roman" w:eastAsia="SimSun" w:hAnsi="Times New Roman"/>
          <w:sz w:val="24"/>
          <w:szCs w:val="24"/>
          <w:vertAlign w:val="subscript"/>
          <w:lang w:eastAsia="ar-SA"/>
        </w:rPr>
        <w:t>5</w:t>
      </w:r>
      <w:r w:rsidRPr="00AE47C6">
        <w:rPr>
          <w:rFonts w:ascii="Times New Roman" w:eastAsia="SimSun" w:hAnsi="Times New Roman"/>
          <w:sz w:val="24"/>
          <w:szCs w:val="24"/>
          <w:lang w:eastAsia="ar-SA"/>
        </w:rPr>
        <w:t xml:space="preserve"> и С</w:t>
      </w:r>
      <w:r w:rsidRPr="00AE47C6">
        <w:rPr>
          <w:rFonts w:ascii="Times New Roman" w:eastAsia="SimSun" w:hAnsi="Times New Roman"/>
          <w:sz w:val="24"/>
          <w:szCs w:val="24"/>
          <w:vertAlign w:val="subscript"/>
          <w:lang w:eastAsia="ar-SA"/>
        </w:rPr>
        <w:t>6</w:t>
      </w:r>
      <w:r w:rsidRPr="00AE47C6">
        <w:rPr>
          <w:rFonts w:ascii="Times New Roman" w:eastAsia="SimSun" w:hAnsi="Times New Roman"/>
          <w:sz w:val="24"/>
          <w:szCs w:val="24"/>
          <w:lang w:eastAsia="ar-SA"/>
        </w:rPr>
        <w:t xml:space="preserve"> коренчета) се получава пареза на Erb-Duchenne със слабост и хипотрофия на mm. biceps, deltoideus, supra et infraspinatus, rhomboideus, supinator longus и brachialis anticus. Нарушава се абдукцията на ръката и флексията на предмишницата. Потискат се бицепсовия и трицепсов рефлекс. Сетивните нарушения са в зоната инервирана от коренчета С</w:t>
      </w:r>
      <w:r w:rsidRPr="00AE47C6">
        <w:rPr>
          <w:rFonts w:ascii="Times New Roman" w:eastAsia="SimSun" w:hAnsi="Times New Roman"/>
          <w:sz w:val="24"/>
          <w:szCs w:val="24"/>
          <w:vertAlign w:val="subscript"/>
          <w:lang w:eastAsia="ar-SA"/>
        </w:rPr>
        <w:t>5</w:t>
      </w:r>
      <w:r w:rsidRPr="00AE47C6">
        <w:rPr>
          <w:rFonts w:ascii="Times New Roman" w:eastAsia="SimSun" w:hAnsi="Times New Roman"/>
          <w:sz w:val="24"/>
          <w:szCs w:val="24"/>
          <w:lang w:eastAsia="ar-SA"/>
        </w:rPr>
        <w:t xml:space="preserve"> и С</w:t>
      </w:r>
      <w:r w:rsidRPr="00AE47C6">
        <w:rPr>
          <w:rFonts w:ascii="Times New Roman" w:eastAsia="SimSun" w:hAnsi="Times New Roman"/>
          <w:sz w:val="24"/>
          <w:szCs w:val="24"/>
          <w:vertAlign w:val="subscript"/>
          <w:lang w:eastAsia="ar-SA"/>
        </w:rPr>
        <w:t>6</w:t>
      </w:r>
      <w:r w:rsidRPr="00AE47C6">
        <w:rPr>
          <w:rFonts w:ascii="Times New Roman" w:eastAsia="SimSun" w:hAnsi="Times New Roman"/>
          <w:sz w:val="24"/>
          <w:szCs w:val="24"/>
          <w:lang w:eastAsia="ar-SA"/>
        </w:rPr>
        <w:t xml:space="preserve">. При засягане на </w:t>
      </w:r>
      <w:r w:rsidRPr="00AE47C6">
        <w:rPr>
          <w:rFonts w:ascii="Times New Roman" w:eastAsia="SimSun" w:hAnsi="Times New Roman"/>
          <w:i/>
          <w:sz w:val="24"/>
          <w:szCs w:val="24"/>
          <w:lang w:eastAsia="ar-SA"/>
        </w:rPr>
        <w:t>долния първичен ствол</w:t>
      </w:r>
      <w:r w:rsidRPr="00AE47C6">
        <w:rPr>
          <w:rFonts w:ascii="Times New Roman" w:eastAsia="SimSun" w:hAnsi="Times New Roman"/>
          <w:sz w:val="24"/>
          <w:szCs w:val="24"/>
          <w:lang w:eastAsia="ar-SA"/>
        </w:rPr>
        <w:t xml:space="preserve"> (С</w:t>
      </w:r>
      <w:r w:rsidRPr="00AE47C6">
        <w:rPr>
          <w:rFonts w:ascii="Times New Roman" w:eastAsia="SimSun" w:hAnsi="Times New Roman"/>
          <w:sz w:val="24"/>
          <w:szCs w:val="24"/>
          <w:vertAlign w:val="subscript"/>
          <w:lang w:eastAsia="ar-SA"/>
        </w:rPr>
        <w:t>7</w:t>
      </w:r>
      <w:r w:rsidRPr="00AE47C6">
        <w:rPr>
          <w:rFonts w:ascii="Times New Roman" w:eastAsia="SimSun" w:hAnsi="Times New Roman"/>
          <w:sz w:val="24"/>
          <w:szCs w:val="24"/>
          <w:lang w:eastAsia="ar-SA"/>
        </w:rPr>
        <w:t xml:space="preserve"> – Т</w:t>
      </w:r>
      <w:r w:rsidRPr="00AE47C6">
        <w:rPr>
          <w:rFonts w:ascii="Times New Roman" w:eastAsia="SimSun" w:hAnsi="Times New Roman"/>
          <w:sz w:val="24"/>
          <w:szCs w:val="24"/>
          <w:vertAlign w:val="subscript"/>
          <w:lang w:eastAsia="ar-SA"/>
        </w:rPr>
        <w:t>1</w:t>
      </w:r>
      <w:r w:rsidRPr="00AE47C6">
        <w:rPr>
          <w:rFonts w:ascii="Times New Roman" w:eastAsia="SimSun" w:hAnsi="Times New Roman"/>
          <w:sz w:val="24"/>
          <w:szCs w:val="24"/>
          <w:lang w:eastAsia="ar-SA"/>
        </w:rPr>
        <w:t xml:space="preserve"> коренчета) се получава пареза на Dejerine-Klumpke. Проявява се със слабост и хипотрофия на малките мускули на китката, сетивни нарушения по вътрешната част на предмишницата и в улнарната част на китката. При засягане на T</w:t>
      </w:r>
      <w:r w:rsidRPr="00AE47C6">
        <w:rPr>
          <w:rFonts w:ascii="Times New Roman" w:eastAsia="SimSun" w:hAnsi="Times New Roman"/>
          <w:sz w:val="24"/>
          <w:szCs w:val="24"/>
          <w:vertAlign w:val="subscript"/>
          <w:lang w:eastAsia="ar-SA"/>
        </w:rPr>
        <w:t>1</w:t>
      </w:r>
      <w:r w:rsidRPr="00AE47C6">
        <w:rPr>
          <w:rFonts w:ascii="Times New Roman" w:eastAsia="SimSun" w:hAnsi="Times New Roman"/>
          <w:sz w:val="24"/>
          <w:szCs w:val="24"/>
          <w:lang w:eastAsia="ar-SA"/>
        </w:rPr>
        <w:t xml:space="preserve"> коренче се добавя и синдром на Horner. При увреда на </w:t>
      </w:r>
      <w:r w:rsidRPr="00AE47C6">
        <w:rPr>
          <w:rFonts w:ascii="Times New Roman" w:eastAsia="SimSun" w:hAnsi="Times New Roman"/>
          <w:i/>
          <w:sz w:val="24"/>
          <w:szCs w:val="24"/>
          <w:lang w:eastAsia="ar-SA"/>
        </w:rPr>
        <w:t>латералния ствол</w:t>
      </w:r>
      <w:r w:rsidRPr="00AE47C6">
        <w:rPr>
          <w:rFonts w:ascii="Times New Roman" w:eastAsia="SimSun" w:hAnsi="Times New Roman"/>
          <w:sz w:val="24"/>
          <w:szCs w:val="24"/>
          <w:lang w:eastAsia="ar-SA"/>
        </w:rPr>
        <w:t xml:space="preserve"> страда n. musculocutaneus и част от n. medianus, при </w:t>
      </w:r>
      <w:r w:rsidRPr="00AE47C6">
        <w:rPr>
          <w:rFonts w:ascii="Times New Roman" w:eastAsia="SimSun" w:hAnsi="Times New Roman"/>
          <w:i/>
          <w:sz w:val="24"/>
          <w:szCs w:val="24"/>
          <w:lang w:eastAsia="ar-SA"/>
        </w:rPr>
        <w:t>медиалния</w:t>
      </w:r>
      <w:r w:rsidRPr="00AE47C6">
        <w:rPr>
          <w:rFonts w:ascii="Times New Roman" w:eastAsia="SimSun" w:hAnsi="Times New Roman"/>
          <w:sz w:val="24"/>
          <w:szCs w:val="24"/>
          <w:lang w:eastAsia="ar-SA"/>
        </w:rPr>
        <w:t xml:space="preserve"> – n.n. ulnaris и medianus, при </w:t>
      </w:r>
      <w:r w:rsidRPr="00AE47C6">
        <w:rPr>
          <w:rFonts w:ascii="Times New Roman" w:eastAsia="SimSun" w:hAnsi="Times New Roman"/>
          <w:i/>
          <w:sz w:val="24"/>
          <w:szCs w:val="24"/>
          <w:lang w:eastAsia="ar-SA"/>
        </w:rPr>
        <w:t>задния</w:t>
      </w:r>
      <w:r w:rsidRPr="00AE47C6">
        <w:rPr>
          <w:rFonts w:ascii="Times New Roman" w:eastAsia="SimSun" w:hAnsi="Times New Roman"/>
          <w:sz w:val="24"/>
          <w:szCs w:val="24"/>
          <w:lang w:eastAsia="ar-SA"/>
        </w:rPr>
        <w:t xml:space="preserve"> – делтоидния мускул, екстензорите на лакътя, китката и пръстите. Налице са и сетивни нарушения в съответните области на ръката.</w:t>
      </w:r>
    </w:p>
    <w:p w14:paraId="5381AFA1"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Посттравматичният плексит</w:t>
      </w:r>
      <w:r w:rsidRPr="00AE47C6">
        <w:rPr>
          <w:rFonts w:ascii="Times New Roman" w:eastAsia="SimSun" w:hAnsi="Times New Roman"/>
          <w:sz w:val="24"/>
          <w:szCs w:val="24"/>
          <w:lang w:eastAsia="ar-SA"/>
        </w:rPr>
        <w:t xml:space="preserve"> се среща най-често. Горният първичен ствол се засяга при трудно раждане. Долният първичен ствол се засяга по-често при раждане с форцепс или падане върху абдуцирана ръка. Вторичните стволове (латерален, медиален и заден) на плексуса се засягат при дислокация на главата на хумеруса и директна аксиларна увреда. При автомобилни злополуки се уврежда целия плексус.</w:t>
      </w:r>
    </w:p>
    <w:p w14:paraId="313B992B"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Плексит след лъчетерапия</w:t>
      </w:r>
      <w:r w:rsidRPr="00AE47C6">
        <w:rPr>
          <w:rFonts w:ascii="Times New Roman" w:eastAsia="SimSun" w:hAnsi="Times New Roman"/>
          <w:sz w:val="24"/>
          <w:szCs w:val="24"/>
          <w:lang w:eastAsia="ar-SA"/>
        </w:rPr>
        <w:t xml:space="preserve"> се получава средно 12 месеца след рентгенова терапия в областта на аксилата по повод на карцином на гърдата. Засяга най-често горния първичен ствол. Характеризира се с липса на болка и прогресиращ ход с двустранна, но асиметрична увреда.</w:t>
      </w:r>
    </w:p>
    <w:p w14:paraId="566FCCC1"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Постваксиналният и постсерумен плексит</w:t>
      </w:r>
      <w:r w:rsidRPr="00AE47C6">
        <w:rPr>
          <w:rFonts w:ascii="Times New Roman" w:eastAsia="SimSun" w:hAnsi="Times New Roman"/>
          <w:sz w:val="24"/>
          <w:szCs w:val="24"/>
          <w:lang w:eastAsia="ar-SA"/>
        </w:rPr>
        <w:t xml:space="preserve"> започва остро, 3-10 дни след прилагането на серум или ваксина (тетанусов токсин, тиф-паратифна, дифтерия, тетанус и коклюш ваксина) със силна болка в рамото и ръката, последвана след 1-2 дни с общите прояви на серумната болест. След няколко дни се появява мускулна слабост в рамото, като най-често се засяга горният първичен ствол и по-рядко са налице изолирани мононевропатии на n.n. axillaris, suprascapularis, musculocutaneus или thoracicus longus. </w:t>
      </w:r>
    </w:p>
    <w:p w14:paraId="1A0EE28E"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Синдрома на торакалния канал</w:t>
      </w:r>
      <w:r w:rsidRPr="00AE47C6">
        <w:rPr>
          <w:rFonts w:ascii="Times New Roman" w:eastAsia="SimSun" w:hAnsi="Times New Roman"/>
          <w:sz w:val="24"/>
          <w:szCs w:val="24"/>
          <w:lang w:eastAsia="ar-SA"/>
        </w:rPr>
        <w:t xml:space="preserve"> се предизвиква от различни анатомични аномалии в латералната цервикална област, които при определени условия предизвикват компресия на брахиалния плексус и субклавийната артерия и вена. Най-честата аномалия е непълното </w:t>
      </w:r>
      <w:r w:rsidRPr="00AE47C6">
        <w:rPr>
          <w:rFonts w:ascii="Times New Roman" w:eastAsia="SimSun" w:hAnsi="Times New Roman"/>
          <w:i/>
          <w:sz w:val="24"/>
          <w:szCs w:val="24"/>
          <w:lang w:eastAsia="ar-SA"/>
        </w:rPr>
        <w:t>допълнително шийно ребро, излизащо от С</w:t>
      </w:r>
      <w:r w:rsidRPr="00AE47C6">
        <w:rPr>
          <w:rFonts w:ascii="Times New Roman" w:eastAsia="SimSun" w:hAnsi="Times New Roman"/>
          <w:i/>
          <w:sz w:val="24"/>
          <w:szCs w:val="24"/>
          <w:vertAlign w:val="subscript"/>
          <w:lang w:eastAsia="ar-SA"/>
        </w:rPr>
        <w:t>7</w:t>
      </w:r>
      <w:r w:rsidRPr="00AE47C6">
        <w:rPr>
          <w:rFonts w:ascii="Times New Roman" w:eastAsia="SimSun" w:hAnsi="Times New Roman"/>
          <w:sz w:val="24"/>
          <w:szCs w:val="24"/>
          <w:lang w:eastAsia="ar-SA"/>
        </w:rPr>
        <w:t xml:space="preserve"> и преминаващо между предния и медиален m. scalenus, под брахиалния плексус и субклавийната артерия, чийто връх е свързан чрез груба фиброзна тъкан с първото ребро. Заболяването се среща 5 пъти по-често при жените в млада и средна възраст. Характерна е комбинацията от циркулаторни нарушения и симптоми на засягане на медиалния долен ствол на брахиалния плексус. </w:t>
      </w:r>
      <w:r w:rsidRPr="00AE47C6">
        <w:rPr>
          <w:rFonts w:ascii="Times New Roman" w:eastAsia="SimSun" w:hAnsi="Times New Roman"/>
          <w:i/>
          <w:sz w:val="24"/>
          <w:szCs w:val="24"/>
          <w:lang w:eastAsia="ar-SA"/>
        </w:rPr>
        <w:t>Неврологичните симптоми</w:t>
      </w:r>
      <w:r w:rsidRPr="00AE47C6">
        <w:rPr>
          <w:rFonts w:ascii="Times New Roman" w:eastAsia="SimSun" w:hAnsi="Times New Roman"/>
          <w:sz w:val="24"/>
          <w:szCs w:val="24"/>
          <w:lang w:eastAsia="ar-SA"/>
        </w:rPr>
        <w:t xml:space="preserve"> се изразяват в слабост и хипотрофия на хипотенара, mm. interosseus, abductor pollicis и дълбоките флексори на IV и V пръст, а в по-напреднали случаи и флексорите на предмишницата (мускулите инервирани от долния клон на брахиалния плексус и улнарния нерв). Сухожилните рефлекси обикновено са запазени. Налице са болка и изтръпване в улнарната част на предмишницата и китката, понякога придружено от сетивни нарушения, които могат да се провокират от натиск над клавикулата или дърпане на ръката. При всички форми на синдрома, болката в задната половина на торакса, пекторалната област и ръката е водещо оплакване. При наличие на неврологични, рядко се проявяват съдовите симптоми. При компресия на </w:t>
      </w:r>
      <w:r w:rsidRPr="00AE47C6">
        <w:rPr>
          <w:rFonts w:ascii="Times New Roman" w:eastAsia="SimSun" w:hAnsi="Times New Roman"/>
          <w:i/>
          <w:sz w:val="24"/>
          <w:szCs w:val="24"/>
          <w:lang w:eastAsia="ar-SA"/>
        </w:rPr>
        <w:t>субклавийната вена</w:t>
      </w:r>
      <w:r w:rsidRPr="00AE47C6">
        <w:rPr>
          <w:rFonts w:ascii="Times New Roman" w:eastAsia="SimSun" w:hAnsi="Times New Roman"/>
          <w:sz w:val="24"/>
          <w:szCs w:val="24"/>
          <w:lang w:eastAsia="ar-SA"/>
        </w:rPr>
        <w:t xml:space="preserve"> се появява оток на крайника, променя се цвета на кожата. След натоварване на крайника се подуват вените и може да възникне тромбоза на вените (синдром на Paget – Schroetter). При компресия на </w:t>
      </w:r>
      <w:r w:rsidRPr="00AE47C6">
        <w:rPr>
          <w:rFonts w:ascii="Times New Roman" w:eastAsia="SimSun" w:hAnsi="Times New Roman"/>
          <w:i/>
          <w:sz w:val="24"/>
          <w:szCs w:val="24"/>
          <w:lang w:eastAsia="ar-SA"/>
        </w:rPr>
        <w:t>субклавийната артерия</w:t>
      </w:r>
      <w:r w:rsidRPr="00AE47C6">
        <w:rPr>
          <w:rFonts w:ascii="Times New Roman" w:eastAsia="SimSun" w:hAnsi="Times New Roman"/>
          <w:sz w:val="24"/>
          <w:szCs w:val="24"/>
          <w:lang w:eastAsia="ar-SA"/>
        </w:rPr>
        <w:t xml:space="preserve"> се появява исхемия на крайника, феномен на Raynaud, чупливи нокти, улцерации на върховете на пръстите, гангрена на пръстите и ретроградна емболизация. </w:t>
      </w:r>
    </w:p>
    <w:p w14:paraId="48161E47"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b/>
          <w:sz w:val="24"/>
          <w:szCs w:val="24"/>
          <w:lang w:eastAsia="ar-SA"/>
        </w:rPr>
      </w:pPr>
      <w:r w:rsidRPr="00AE47C6">
        <w:rPr>
          <w:rFonts w:ascii="Times New Roman" w:eastAsia="SimSun" w:hAnsi="Times New Roman"/>
          <w:b/>
          <w:sz w:val="24"/>
          <w:szCs w:val="24"/>
          <w:lang w:eastAsia="ar-SA"/>
        </w:rPr>
        <w:t xml:space="preserve">Диференциалната диагноза при брахиален плексит: </w:t>
      </w:r>
      <w:r w:rsidRPr="00AE47C6">
        <w:rPr>
          <w:rFonts w:ascii="Times New Roman" w:eastAsia="SimSun" w:hAnsi="Times New Roman"/>
          <w:sz w:val="24"/>
          <w:szCs w:val="24"/>
          <w:lang w:eastAsia="ar-SA"/>
        </w:rPr>
        <w:t xml:space="preserve">Отхвърлят синдромите на карпалния, кубиталния и улнарния канал, пареза на радиалния нерв и шийна радикулопатия вследствие на цервикоартрит или дискова болест. </w:t>
      </w:r>
      <w:r w:rsidRPr="00AE47C6">
        <w:rPr>
          <w:rFonts w:ascii="Times New Roman" w:eastAsia="SimSun" w:hAnsi="Times New Roman"/>
          <w:i/>
          <w:sz w:val="24"/>
          <w:szCs w:val="24"/>
          <w:lang w:eastAsia="ar-SA"/>
        </w:rPr>
        <w:t>Брахиалната невралгична амиотрофия</w:t>
      </w:r>
      <w:r w:rsidRPr="00AE47C6">
        <w:rPr>
          <w:rFonts w:ascii="Times New Roman" w:eastAsia="SimSun" w:hAnsi="Times New Roman"/>
          <w:sz w:val="24"/>
          <w:szCs w:val="24"/>
          <w:lang w:eastAsia="ar-SA"/>
        </w:rPr>
        <w:t xml:space="preserve"> трябва да се отдиференцира от постваксиналния и постсерумен плексит. </w:t>
      </w:r>
      <w:r w:rsidRPr="00AE47C6">
        <w:rPr>
          <w:rFonts w:ascii="Times New Roman" w:eastAsia="SimSun" w:hAnsi="Times New Roman"/>
          <w:i/>
          <w:sz w:val="24"/>
          <w:szCs w:val="24"/>
          <w:lang w:eastAsia="ar-SA"/>
        </w:rPr>
        <w:t>Плекситът след лъчетерапия</w:t>
      </w:r>
      <w:r w:rsidRPr="00AE47C6">
        <w:rPr>
          <w:rFonts w:ascii="Times New Roman" w:eastAsia="SimSun" w:hAnsi="Times New Roman"/>
          <w:sz w:val="24"/>
          <w:szCs w:val="24"/>
          <w:lang w:eastAsia="ar-SA"/>
        </w:rPr>
        <w:t xml:space="preserve"> е необходимо да се отдиференцира от туморна инфилтрация, която засяга по-често долния ствол и се придружава от болка и синдром на Horner. </w:t>
      </w:r>
      <w:r w:rsidRPr="00AE47C6">
        <w:rPr>
          <w:rFonts w:ascii="Times New Roman" w:eastAsia="SimSun" w:hAnsi="Times New Roman"/>
          <w:i/>
          <w:iCs/>
          <w:sz w:val="24"/>
          <w:szCs w:val="24"/>
          <w:lang w:eastAsia="ar-SA"/>
        </w:rPr>
        <w:t>Т</w:t>
      </w:r>
      <w:r w:rsidRPr="00AE47C6">
        <w:rPr>
          <w:rFonts w:ascii="Times New Roman" w:eastAsia="SimSun" w:hAnsi="Times New Roman"/>
          <w:i/>
          <w:sz w:val="24"/>
          <w:szCs w:val="24"/>
          <w:lang w:eastAsia="ar-SA"/>
        </w:rPr>
        <w:t>ендинитът, субакромиалният или субделтоиден бурсит</w:t>
      </w:r>
      <w:r w:rsidRPr="00AE47C6">
        <w:rPr>
          <w:rFonts w:ascii="Times New Roman" w:eastAsia="SimSun" w:hAnsi="Times New Roman"/>
          <w:sz w:val="24"/>
          <w:szCs w:val="24"/>
          <w:lang w:eastAsia="ar-SA"/>
        </w:rPr>
        <w:t xml:space="preserve"> и увреждането на сухожилията на мускулите, обграждащи раменната става са чести в средната или късна възраст. Могат да започнат спонтанно или след необичайно силно натоварване на ръката. Те са често усложнение на обездвижването на ръката, включително и при плегия. Болката в рамото е силна и ирадиира към шията, ръката и китката, но липсват сетивни, двигателни и рефлексни симптоми от увреждане на коренчетата или плексусите. </w:t>
      </w:r>
      <w:r w:rsidRPr="00AE47C6">
        <w:rPr>
          <w:rFonts w:ascii="Times New Roman" w:eastAsia="SimSun" w:hAnsi="Times New Roman"/>
          <w:i/>
          <w:sz w:val="24"/>
          <w:szCs w:val="24"/>
          <w:lang w:eastAsia="ar-SA"/>
        </w:rPr>
        <w:t>Синдромът рамо-ръка</w:t>
      </w:r>
      <w:r w:rsidRPr="00AE47C6">
        <w:rPr>
          <w:rFonts w:ascii="Times New Roman" w:eastAsia="SimSun" w:hAnsi="Times New Roman"/>
          <w:sz w:val="24"/>
          <w:szCs w:val="24"/>
          <w:lang w:eastAsia="ar-SA"/>
        </w:rPr>
        <w:t xml:space="preserve"> също може да се получи при обездвижване на крайника и освен с болки в рамото и ръката се проявява с вазомоторни промени и артропатия на ставите на ръката. След време може да се получи остеопороза и атрофия на кожата и подкожните тъкани – атрофия на Sudeck. </w:t>
      </w:r>
      <w:r w:rsidRPr="00AE47C6">
        <w:rPr>
          <w:rFonts w:ascii="Times New Roman" w:eastAsia="SimSun" w:hAnsi="Times New Roman"/>
          <w:i/>
          <w:sz w:val="24"/>
          <w:szCs w:val="24"/>
          <w:lang w:eastAsia="ar-SA"/>
        </w:rPr>
        <w:t>Медиалният и латерален епикондилит</w:t>
      </w:r>
      <w:r w:rsidRPr="00AE47C6">
        <w:rPr>
          <w:rFonts w:ascii="Times New Roman" w:eastAsia="SimSun" w:hAnsi="Times New Roman"/>
          <w:sz w:val="24"/>
          <w:szCs w:val="24"/>
          <w:lang w:eastAsia="ar-SA"/>
        </w:rPr>
        <w:t xml:space="preserve"> (тенисов лакът) и тендосинувитите се проявяват с болка при определени движения на ръката и при натиск в засегнатата област. </w:t>
      </w:r>
      <w:r w:rsidRPr="00AE47C6">
        <w:rPr>
          <w:rFonts w:ascii="Times New Roman" w:eastAsia="SimSun" w:hAnsi="Times New Roman"/>
          <w:i/>
          <w:sz w:val="24"/>
          <w:szCs w:val="24"/>
          <w:lang w:eastAsia="ar-SA"/>
        </w:rPr>
        <w:t>Миофасциалният болков синдром</w:t>
      </w:r>
      <w:r w:rsidRPr="00AE47C6">
        <w:rPr>
          <w:rFonts w:ascii="Times New Roman" w:eastAsia="SimSun" w:hAnsi="Times New Roman"/>
          <w:sz w:val="24"/>
          <w:szCs w:val="24"/>
          <w:lang w:eastAsia="ar-SA"/>
        </w:rPr>
        <w:t xml:space="preserve"> се среща често и обхваща големите мускули на шията и раменния пояс, както и темпоралните мускули. При опипване в мускулите се намират болезнени възелчета, които тригерират болката. </w:t>
      </w:r>
    </w:p>
    <w:p w14:paraId="13946895"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Изследвания.</w:t>
      </w:r>
      <w:r w:rsidRPr="00AE47C6">
        <w:rPr>
          <w:rFonts w:ascii="Times New Roman" w:eastAsia="SimSun" w:hAnsi="Times New Roman"/>
          <w:sz w:val="24"/>
          <w:szCs w:val="24"/>
          <w:lang w:eastAsia="ar-SA"/>
        </w:rPr>
        <w:t xml:space="preserve"> Рентгенографско изследване на шийният гръбнак за търсене на допълнително ребро, но на рентгенографиите не се вижда наличието на фиброзна тъкан, която предизвиква най-сериозната компресия. ЕМГ изследването показва засегнатите периферни нерви, обикновено n. medianus и n. ulnaris. Изследването на F вълната, соматосензорните евокирани потенциали и плетизмографията също има диагностична стойност.</w:t>
      </w:r>
    </w:p>
    <w:p w14:paraId="3F7CC6FD" w14:textId="77777777" w:rsidR="00BE0B19" w:rsidRPr="00AE47C6" w:rsidRDefault="00BE0B19" w:rsidP="00BE0B19">
      <w:pPr>
        <w:widowControl w:val="0"/>
        <w:suppressAutoHyphens/>
        <w:overflowPunct w:val="0"/>
        <w:autoSpaceDE w:val="0"/>
        <w:spacing w:after="0" w:line="360" w:lineRule="auto"/>
        <w:jc w:val="both"/>
        <w:textAlignment w:val="baseline"/>
        <w:rPr>
          <w:rFonts w:ascii="Times New Roman" w:eastAsia="SimSun" w:hAnsi="Times New Roman"/>
          <w:sz w:val="24"/>
          <w:szCs w:val="24"/>
          <w:lang w:eastAsia="ar-SA"/>
        </w:rPr>
      </w:pPr>
    </w:p>
    <w:p w14:paraId="30EAADDB"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b/>
          <w:sz w:val="24"/>
          <w:szCs w:val="24"/>
          <w:lang w:eastAsia="ar-SA"/>
        </w:rPr>
      </w:pPr>
      <w:r w:rsidRPr="00AE47C6">
        <w:rPr>
          <w:rFonts w:ascii="Times New Roman" w:eastAsia="SimSun" w:hAnsi="Times New Roman"/>
          <w:b/>
          <w:sz w:val="24"/>
          <w:szCs w:val="24"/>
          <w:u w:val="single"/>
          <w:lang w:eastAsia="ar-SA"/>
        </w:rPr>
        <w:t>2. Лумбосакрални плексити.</w:t>
      </w:r>
      <w:r w:rsidRPr="00AE47C6">
        <w:rPr>
          <w:rFonts w:ascii="Times New Roman" w:eastAsia="SimSun" w:hAnsi="Times New Roman"/>
          <w:b/>
          <w:sz w:val="24"/>
          <w:szCs w:val="24"/>
          <w:lang w:eastAsia="ar-SA"/>
        </w:rPr>
        <w:t xml:space="preserve"> </w:t>
      </w:r>
      <w:r w:rsidRPr="00AE47C6">
        <w:rPr>
          <w:rFonts w:ascii="Times New Roman" w:eastAsia="SimSun" w:hAnsi="Times New Roman"/>
          <w:bCs/>
          <w:sz w:val="24"/>
          <w:szCs w:val="24"/>
          <w:lang w:eastAsia="ar-SA"/>
        </w:rPr>
        <w:t>П</w:t>
      </w:r>
      <w:r w:rsidRPr="00AE47C6">
        <w:rPr>
          <w:rFonts w:ascii="Times New Roman" w:eastAsia="SimSun" w:hAnsi="Times New Roman"/>
          <w:sz w:val="24"/>
          <w:szCs w:val="24"/>
          <w:lang w:eastAsia="ar-SA"/>
        </w:rPr>
        <w:t xml:space="preserve">ри засягане на </w:t>
      </w:r>
      <w:r w:rsidRPr="00AE47C6">
        <w:rPr>
          <w:rFonts w:ascii="Times New Roman" w:eastAsia="SimSun" w:hAnsi="Times New Roman"/>
          <w:b/>
          <w:sz w:val="24"/>
          <w:szCs w:val="24"/>
          <w:lang w:eastAsia="ar-SA"/>
        </w:rPr>
        <w:t>горния (лумбален) ствол на плексуса (L</w:t>
      </w:r>
      <w:r w:rsidRPr="00AE47C6">
        <w:rPr>
          <w:rFonts w:ascii="Times New Roman" w:eastAsia="SimSun" w:hAnsi="Times New Roman"/>
          <w:b/>
          <w:sz w:val="24"/>
          <w:szCs w:val="24"/>
          <w:vertAlign w:val="subscript"/>
          <w:lang w:eastAsia="ar-SA"/>
        </w:rPr>
        <w:t>2</w:t>
      </w:r>
      <w:r w:rsidRPr="00AE47C6">
        <w:rPr>
          <w:rFonts w:ascii="Times New Roman" w:eastAsia="SimSun" w:hAnsi="Times New Roman"/>
          <w:b/>
          <w:sz w:val="24"/>
          <w:szCs w:val="24"/>
          <w:lang w:eastAsia="ar-SA"/>
        </w:rPr>
        <w:t xml:space="preserve"> – L</w:t>
      </w:r>
      <w:r w:rsidRPr="00AE47C6">
        <w:rPr>
          <w:rFonts w:ascii="Times New Roman" w:eastAsia="SimSun" w:hAnsi="Times New Roman"/>
          <w:b/>
          <w:sz w:val="24"/>
          <w:szCs w:val="24"/>
          <w:vertAlign w:val="subscript"/>
          <w:lang w:eastAsia="ar-SA"/>
        </w:rPr>
        <w:t>4</w:t>
      </w:r>
      <w:r w:rsidRPr="00AE47C6">
        <w:rPr>
          <w:rFonts w:ascii="Times New Roman" w:eastAsia="SimSun" w:hAnsi="Times New Roman"/>
          <w:b/>
          <w:sz w:val="24"/>
          <w:szCs w:val="24"/>
          <w:lang w:eastAsia="ar-SA"/>
        </w:rPr>
        <w:t xml:space="preserve">) </w:t>
      </w:r>
      <w:r w:rsidRPr="00AE47C6">
        <w:rPr>
          <w:rFonts w:ascii="Times New Roman" w:eastAsia="SimSun" w:hAnsi="Times New Roman"/>
          <w:sz w:val="24"/>
          <w:szCs w:val="24"/>
          <w:lang w:eastAsia="ar-SA"/>
        </w:rPr>
        <w:t xml:space="preserve">протичат с двигателни нарушения, свързани със слабост на флексията и аддукцията на бедрото и екстензията на подбедрицата, а сетивните са локализирани в предно-медиалната част на бедрото и подбедрицата. Потиска се коленният рефлекс. При засягане на </w:t>
      </w:r>
      <w:r w:rsidRPr="00AE47C6">
        <w:rPr>
          <w:rFonts w:ascii="Times New Roman" w:eastAsia="SimSun" w:hAnsi="Times New Roman"/>
          <w:b/>
          <w:sz w:val="24"/>
          <w:szCs w:val="24"/>
          <w:lang w:eastAsia="ar-SA"/>
        </w:rPr>
        <w:t>долния (сакрален) ствол (L</w:t>
      </w:r>
      <w:r w:rsidRPr="00AE47C6">
        <w:rPr>
          <w:rFonts w:ascii="Times New Roman" w:eastAsia="SimSun" w:hAnsi="Times New Roman"/>
          <w:b/>
          <w:sz w:val="24"/>
          <w:szCs w:val="24"/>
          <w:vertAlign w:val="subscript"/>
          <w:lang w:eastAsia="ar-SA"/>
        </w:rPr>
        <w:t>5</w:t>
      </w:r>
      <w:r w:rsidRPr="00AE47C6">
        <w:rPr>
          <w:rFonts w:ascii="Times New Roman" w:eastAsia="SimSun" w:hAnsi="Times New Roman"/>
          <w:b/>
          <w:sz w:val="24"/>
          <w:szCs w:val="24"/>
          <w:lang w:eastAsia="ar-SA"/>
        </w:rPr>
        <w:t xml:space="preserve"> – S</w:t>
      </w:r>
      <w:r w:rsidRPr="00AE47C6">
        <w:rPr>
          <w:rFonts w:ascii="Times New Roman" w:eastAsia="SimSun" w:hAnsi="Times New Roman"/>
          <w:b/>
          <w:sz w:val="24"/>
          <w:szCs w:val="24"/>
          <w:vertAlign w:val="subscript"/>
          <w:lang w:eastAsia="ar-SA"/>
        </w:rPr>
        <w:t>1</w:t>
      </w:r>
      <w:r w:rsidRPr="00AE47C6">
        <w:rPr>
          <w:rFonts w:ascii="Times New Roman" w:eastAsia="SimSun" w:hAnsi="Times New Roman"/>
          <w:b/>
          <w:sz w:val="24"/>
          <w:szCs w:val="24"/>
          <w:lang w:eastAsia="ar-SA"/>
        </w:rPr>
        <w:t>)</w:t>
      </w:r>
      <w:r w:rsidRPr="00AE47C6">
        <w:rPr>
          <w:rFonts w:ascii="Times New Roman" w:eastAsia="SimSun" w:hAnsi="Times New Roman"/>
          <w:sz w:val="24"/>
          <w:szCs w:val="24"/>
          <w:lang w:eastAsia="ar-SA"/>
        </w:rPr>
        <w:t xml:space="preserve"> двигателните нарушения обхващат задната част на бедрото, подбедрицата и стъпалото, с нарушена екстензия и абдукция на бедрото, флексия на подбедрицата, флексия и дорзална флексия на стъпалото. Потиска се Ахиловият рефлекс. Сетивните нарушения обхващат областите инервирани от S</w:t>
      </w:r>
      <w:r w:rsidRPr="00AE47C6">
        <w:rPr>
          <w:rFonts w:ascii="Times New Roman" w:eastAsia="SimSun" w:hAnsi="Times New Roman"/>
          <w:sz w:val="24"/>
          <w:szCs w:val="24"/>
          <w:vertAlign w:val="subscript"/>
          <w:lang w:eastAsia="ar-SA"/>
        </w:rPr>
        <w:t>1</w:t>
      </w:r>
      <w:r w:rsidRPr="00AE47C6">
        <w:rPr>
          <w:rFonts w:ascii="Times New Roman" w:eastAsia="SimSun" w:hAnsi="Times New Roman"/>
          <w:sz w:val="24"/>
          <w:szCs w:val="24"/>
          <w:lang w:eastAsia="ar-SA"/>
        </w:rPr>
        <w:t xml:space="preserve"> и S</w:t>
      </w:r>
      <w:r w:rsidRPr="00AE47C6">
        <w:rPr>
          <w:rFonts w:ascii="Times New Roman" w:eastAsia="SimSun" w:hAnsi="Times New Roman"/>
          <w:sz w:val="24"/>
          <w:szCs w:val="24"/>
          <w:vertAlign w:val="subscript"/>
          <w:lang w:eastAsia="ar-SA"/>
        </w:rPr>
        <w:t>2</w:t>
      </w:r>
      <w:r w:rsidRPr="00AE47C6">
        <w:rPr>
          <w:rFonts w:ascii="Times New Roman" w:eastAsia="SimSun" w:hAnsi="Times New Roman"/>
          <w:sz w:val="24"/>
          <w:szCs w:val="24"/>
          <w:lang w:eastAsia="ar-SA"/>
        </w:rPr>
        <w:t xml:space="preserve"> коренче в задната част на бедрото, преднолатералната и задна част на подбедрицата и дорзолатералната и плантарна повърхност на стъпалото.</w:t>
      </w:r>
    </w:p>
    <w:p w14:paraId="361C6B26"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i/>
          <w:sz w:val="24"/>
          <w:szCs w:val="24"/>
          <w:lang w:eastAsia="ar-SA"/>
        </w:rPr>
        <w:t>Лечението</w:t>
      </w:r>
      <w:r w:rsidRPr="00AE47C6">
        <w:rPr>
          <w:rFonts w:ascii="Times New Roman" w:eastAsia="SimSun" w:hAnsi="Times New Roman"/>
          <w:b/>
          <w:sz w:val="24"/>
          <w:szCs w:val="24"/>
          <w:lang w:eastAsia="ar-SA"/>
        </w:rPr>
        <w:t xml:space="preserve"> на плекситите </w:t>
      </w:r>
      <w:r w:rsidRPr="00AE47C6">
        <w:rPr>
          <w:rFonts w:ascii="Times New Roman" w:eastAsia="SimSun" w:hAnsi="Times New Roman"/>
          <w:sz w:val="24"/>
          <w:szCs w:val="24"/>
          <w:lang w:eastAsia="ar-SA"/>
        </w:rPr>
        <w:t xml:space="preserve">се провежда с </w:t>
      </w:r>
      <w:r w:rsidRPr="00AE47C6">
        <w:rPr>
          <w:rFonts w:ascii="Times New Roman" w:eastAsia="SimSun" w:hAnsi="Times New Roman"/>
          <w:i/>
          <w:sz w:val="24"/>
          <w:szCs w:val="24"/>
          <w:lang w:eastAsia="ar-SA"/>
        </w:rPr>
        <w:t xml:space="preserve">Galantamine </w:t>
      </w:r>
      <w:r w:rsidRPr="00AE47C6">
        <w:rPr>
          <w:rFonts w:ascii="Times New Roman" w:eastAsia="SimSun" w:hAnsi="Times New Roman"/>
          <w:sz w:val="24"/>
          <w:szCs w:val="24"/>
          <w:lang w:eastAsia="ar-SA"/>
        </w:rPr>
        <w:t xml:space="preserve">i.m. по схема, </w:t>
      </w:r>
      <w:r w:rsidRPr="00AE47C6">
        <w:rPr>
          <w:rFonts w:ascii="Times New Roman" w:eastAsia="SimSun" w:hAnsi="Times New Roman"/>
          <w:i/>
          <w:sz w:val="24"/>
          <w:szCs w:val="24"/>
          <w:lang w:eastAsia="ar-SA"/>
        </w:rPr>
        <w:t>витамини от групата В</w:t>
      </w:r>
      <w:r w:rsidRPr="00AE47C6">
        <w:rPr>
          <w:rFonts w:ascii="Times New Roman" w:eastAsia="SimSun" w:hAnsi="Times New Roman"/>
          <w:sz w:val="24"/>
          <w:szCs w:val="24"/>
          <w:lang w:eastAsia="ar-SA"/>
        </w:rPr>
        <w:t xml:space="preserve"> (В</w:t>
      </w:r>
      <w:r w:rsidRPr="00AE47C6">
        <w:rPr>
          <w:rFonts w:ascii="Times New Roman" w:eastAsia="SimSun" w:hAnsi="Times New Roman"/>
          <w:sz w:val="24"/>
          <w:szCs w:val="24"/>
          <w:vertAlign w:val="subscript"/>
          <w:lang w:eastAsia="ar-SA"/>
        </w:rPr>
        <w:t>1</w:t>
      </w:r>
      <w:r w:rsidRPr="00AE47C6">
        <w:rPr>
          <w:rFonts w:ascii="Times New Roman" w:eastAsia="SimSun" w:hAnsi="Times New Roman"/>
          <w:sz w:val="24"/>
          <w:szCs w:val="24"/>
          <w:lang w:eastAsia="ar-SA"/>
        </w:rPr>
        <w:t>-30 mg, В</w:t>
      </w:r>
      <w:r w:rsidRPr="00AE47C6">
        <w:rPr>
          <w:rFonts w:ascii="Times New Roman" w:eastAsia="SimSun" w:hAnsi="Times New Roman"/>
          <w:sz w:val="24"/>
          <w:szCs w:val="24"/>
          <w:vertAlign w:val="subscript"/>
          <w:lang w:eastAsia="ar-SA"/>
        </w:rPr>
        <w:t>6</w:t>
      </w:r>
      <w:r w:rsidRPr="00AE47C6">
        <w:rPr>
          <w:rFonts w:ascii="Times New Roman" w:eastAsia="SimSun" w:hAnsi="Times New Roman"/>
          <w:sz w:val="24"/>
          <w:szCs w:val="24"/>
          <w:lang w:eastAsia="ar-SA"/>
        </w:rPr>
        <w:t>-0,1 g, В</w:t>
      </w:r>
      <w:r w:rsidRPr="00AE47C6">
        <w:rPr>
          <w:rFonts w:ascii="Times New Roman" w:eastAsia="SimSun" w:hAnsi="Times New Roman"/>
          <w:sz w:val="24"/>
          <w:szCs w:val="24"/>
          <w:vertAlign w:val="subscript"/>
          <w:lang w:eastAsia="ar-SA"/>
        </w:rPr>
        <w:t>12</w:t>
      </w:r>
      <w:r w:rsidRPr="00AE47C6">
        <w:rPr>
          <w:rFonts w:ascii="Times New Roman" w:eastAsia="SimSun" w:hAnsi="Times New Roman"/>
          <w:sz w:val="24"/>
          <w:szCs w:val="24"/>
          <w:lang w:eastAsia="ar-SA"/>
        </w:rPr>
        <w:t>-1000 µg дн. мускулно) и физиотерапия. При синдрома на торакалния канал се препоръчва консервативно лечение с миорелаксанти, аналгетици, физикална терапия и упражнения за заздравяване на раменния пояс. При липса на ефект и изразени невроваскуларни симптоми, се прилага оперативно лечение, с изрязване на фиброзната тъкан и допълнителното ребро.</w:t>
      </w:r>
    </w:p>
    <w:p w14:paraId="7B475A4E" w14:textId="77777777" w:rsidR="00BE0B19" w:rsidRPr="00AE47C6" w:rsidRDefault="00BE0B19" w:rsidP="00BE0B19">
      <w:pPr>
        <w:keepNext/>
        <w:keepLines/>
        <w:pageBreakBefore/>
        <w:spacing w:before="480" w:after="480"/>
        <w:outlineLvl w:val="0"/>
        <w:rPr>
          <w:rFonts w:ascii="Times New Roman" w:eastAsia="SimSun" w:hAnsi="Times New Roman"/>
          <w:b/>
          <w:bCs/>
          <w:sz w:val="28"/>
          <w:szCs w:val="28"/>
        </w:rPr>
      </w:pPr>
      <w:bookmarkStart w:id="58" w:name="_Toc155651728"/>
      <w:bookmarkStart w:id="59" w:name="_Toc164075860"/>
      <w:r w:rsidRPr="00AE47C6">
        <w:rPr>
          <w:rFonts w:ascii="Times New Roman" w:eastAsia="SimSun" w:hAnsi="Times New Roman"/>
          <w:b/>
          <w:bCs/>
          <w:sz w:val="28"/>
          <w:szCs w:val="28"/>
        </w:rPr>
        <w:t>3. Диагностика и лечение на неврологично обусловените болки</w:t>
      </w:r>
      <w:bookmarkEnd w:id="58"/>
      <w:bookmarkEnd w:id="59"/>
    </w:p>
    <w:p w14:paraId="7B6069CE" w14:textId="77777777" w:rsidR="00BE0B19" w:rsidRPr="00AE47C6" w:rsidRDefault="00BE0B19" w:rsidP="00BE0B19">
      <w:pPr>
        <w:spacing w:after="0" w:line="360" w:lineRule="auto"/>
        <w:ind w:firstLine="284"/>
        <w:jc w:val="both"/>
        <w:rPr>
          <w:rFonts w:ascii="Times New Roman" w:eastAsia="SimSun" w:hAnsi="Times New Roman"/>
          <w:b/>
          <w:sz w:val="24"/>
          <w:szCs w:val="24"/>
        </w:rPr>
      </w:pPr>
      <w:r w:rsidRPr="00AE47C6">
        <w:rPr>
          <w:rFonts w:ascii="Times New Roman" w:eastAsia="SimSun" w:hAnsi="Times New Roman"/>
          <w:sz w:val="24"/>
          <w:szCs w:val="24"/>
        </w:rPr>
        <w:t>Болката се определя като неприятно сетивно и емоционално преживяване, свързано с актуално или потенциално увреждане на тъканите</w:t>
      </w:r>
      <w:r w:rsidRPr="00AE47C6">
        <w:rPr>
          <w:rFonts w:ascii="Times New Roman" w:eastAsia="SimSun" w:hAnsi="Times New Roman"/>
          <w:b/>
          <w:sz w:val="24"/>
          <w:szCs w:val="24"/>
        </w:rPr>
        <w:t>.</w:t>
      </w:r>
    </w:p>
    <w:p w14:paraId="3CC7ED43" w14:textId="77777777" w:rsidR="00BE0B19" w:rsidRPr="00AE47C6" w:rsidRDefault="00BE0B19" w:rsidP="00BE0B19">
      <w:pPr>
        <w:spacing w:after="0" w:line="360" w:lineRule="auto"/>
        <w:ind w:firstLine="284"/>
        <w:jc w:val="both"/>
        <w:rPr>
          <w:rFonts w:ascii="Times New Roman" w:eastAsia="SimSun" w:hAnsi="Times New Roman"/>
          <w:b/>
          <w:bCs/>
          <w:sz w:val="24"/>
          <w:szCs w:val="24"/>
        </w:rPr>
      </w:pPr>
      <w:r w:rsidRPr="00AE47C6">
        <w:rPr>
          <w:rFonts w:ascii="Times New Roman" w:eastAsia="SimSun" w:hAnsi="Times New Roman"/>
          <w:b/>
          <w:bCs/>
          <w:sz w:val="24"/>
          <w:szCs w:val="24"/>
        </w:rPr>
        <w:t>Класификация</w:t>
      </w:r>
    </w:p>
    <w:p w14:paraId="5CE5ECB1" w14:textId="77777777" w:rsidR="00BE0B19" w:rsidRPr="00AE47C6" w:rsidRDefault="00BE0B19" w:rsidP="00BE0B19">
      <w:pPr>
        <w:spacing w:after="0" w:line="360" w:lineRule="auto"/>
        <w:ind w:left="284"/>
        <w:jc w:val="both"/>
        <w:rPr>
          <w:rFonts w:ascii="Times New Roman" w:eastAsia="SimSun" w:hAnsi="Times New Roman"/>
          <w:sz w:val="24"/>
          <w:szCs w:val="24"/>
        </w:rPr>
      </w:pPr>
      <w:r w:rsidRPr="00AE47C6">
        <w:rPr>
          <w:rFonts w:ascii="Times New Roman" w:eastAsia="SimSun" w:hAnsi="Times New Roman"/>
          <w:b/>
          <w:sz w:val="24"/>
          <w:szCs w:val="24"/>
        </w:rPr>
        <w:t xml:space="preserve">Според продължителността </w:t>
      </w:r>
      <w:r w:rsidRPr="00AE47C6">
        <w:rPr>
          <w:rFonts w:ascii="Times New Roman" w:eastAsia="SimSun" w:hAnsi="Times New Roman"/>
          <w:sz w:val="24"/>
          <w:szCs w:val="24"/>
        </w:rPr>
        <w:t>си болката се класифицира на остра и хронична. Острата болка е симптом, хроничната болка е заболяване.</w:t>
      </w:r>
    </w:p>
    <w:p w14:paraId="7BB63BD5" w14:textId="77777777" w:rsidR="00BE0B19" w:rsidRPr="00AE47C6" w:rsidRDefault="00BE0B19" w:rsidP="00BE0B19">
      <w:pPr>
        <w:spacing w:after="0" w:line="360" w:lineRule="auto"/>
        <w:ind w:left="284"/>
        <w:jc w:val="both"/>
        <w:rPr>
          <w:rFonts w:ascii="Times New Roman" w:eastAsia="SimSun" w:hAnsi="Times New Roman"/>
          <w:sz w:val="24"/>
          <w:szCs w:val="24"/>
        </w:rPr>
      </w:pPr>
      <w:r w:rsidRPr="00AE47C6">
        <w:rPr>
          <w:rFonts w:ascii="Times New Roman" w:eastAsia="SimSun" w:hAnsi="Times New Roman"/>
          <w:i/>
          <w:sz w:val="24"/>
          <w:szCs w:val="24"/>
        </w:rPr>
        <w:t>Острата болка</w:t>
      </w:r>
      <w:r w:rsidRPr="00AE47C6">
        <w:rPr>
          <w:rFonts w:ascii="Times New Roman" w:eastAsia="SimSun" w:hAnsi="Times New Roman"/>
          <w:sz w:val="24"/>
          <w:szCs w:val="24"/>
        </w:rPr>
        <w:t xml:space="preserve"> е свързана с ясна тъканна увреда и продължава до 1 месец от началото си. Има протективен ефект и преминава при оздравяване на лезията, когато локалната среда около ноцицепторите се нормализира и тяхната повишена активност се преустанови. </w:t>
      </w:r>
    </w:p>
    <w:p w14:paraId="19224C0C" w14:textId="77777777" w:rsidR="00BE0B19" w:rsidRPr="00AE47C6" w:rsidRDefault="00BE0B19" w:rsidP="00BE0B19">
      <w:pPr>
        <w:spacing w:after="0" w:line="360" w:lineRule="auto"/>
        <w:ind w:left="284"/>
        <w:jc w:val="both"/>
        <w:rPr>
          <w:rFonts w:ascii="Times New Roman" w:eastAsia="SimSun" w:hAnsi="Times New Roman"/>
          <w:sz w:val="24"/>
          <w:szCs w:val="24"/>
        </w:rPr>
      </w:pPr>
      <w:r w:rsidRPr="00AE47C6">
        <w:rPr>
          <w:rFonts w:ascii="Times New Roman" w:eastAsia="SimSun" w:hAnsi="Times New Roman"/>
          <w:i/>
          <w:sz w:val="24"/>
          <w:szCs w:val="24"/>
        </w:rPr>
        <w:t xml:space="preserve">Хроничната болка </w:t>
      </w:r>
      <w:r w:rsidRPr="00AE47C6">
        <w:rPr>
          <w:rFonts w:ascii="Times New Roman" w:eastAsia="SimSun" w:hAnsi="Times New Roman"/>
          <w:sz w:val="24"/>
          <w:szCs w:val="24"/>
        </w:rPr>
        <w:t xml:space="preserve">продължава повече от 3 месеца. Предизвиква се от увреждане на тъканите, но продължава и след оздравяването на лезията, която я причинява. Не се дължи на активиране на ноцицепторите и няма протективен ефект. </w:t>
      </w:r>
    </w:p>
    <w:p w14:paraId="53CC30F7" w14:textId="77777777" w:rsidR="00BE0B19" w:rsidRPr="00AE47C6" w:rsidRDefault="00BE0B19" w:rsidP="00BE0B19">
      <w:pPr>
        <w:spacing w:after="0" w:line="360" w:lineRule="auto"/>
        <w:ind w:left="284"/>
        <w:jc w:val="both"/>
        <w:rPr>
          <w:rFonts w:ascii="Times New Roman" w:eastAsia="SimSun" w:hAnsi="Times New Roman"/>
          <w:sz w:val="24"/>
          <w:szCs w:val="24"/>
        </w:rPr>
      </w:pPr>
      <w:r w:rsidRPr="00AE47C6">
        <w:rPr>
          <w:rFonts w:ascii="Times New Roman" w:eastAsia="SimSun" w:hAnsi="Times New Roman"/>
          <w:b/>
          <w:sz w:val="24"/>
          <w:szCs w:val="24"/>
        </w:rPr>
        <w:t>Според патофизиологичните механизми</w:t>
      </w:r>
      <w:r w:rsidRPr="00AE47C6">
        <w:rPr>
          <w:rFonts w:ascii="Times New Roman" w:eastAsia="SimSun" w:hAnsi="Times New Roman"/>
          <w:sz w:val="24"/>
          <w:szCs w:val="24"/>
        </w:rPr>
        <w:t>, които я предизвикват болката се класифицира като ноцицептивна или невропатна. Често е налице комбинация от двата вида (смесена) болка. (фиг.3.1, фиг.3.2 )</w:t>
      </w:r>
    </w:p>
    <w:p w14:paraId="5B7F4DF1" w14:textId="77777777" w:rsidR="00BE0B19" w:rsidRPr="00AE47C6" w:rsidRDefault="00BE0B19" w:rsidP="00BE0B19">
      <w:pPr>
        <w:spacing w:after="0" w:line="360" w:lineRule="auto"/>
        <w:ind w:firstLine="284"/>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c">
            <w:drawing>
              <wp:inline distT="0" distB="0" distL="0" distR="0" wp14:anchorId="5C94C59D" wp14:editId="526E0FEB">
                <wp:extent cx="5486400" cy="3225800"/>
                <wp:effectExtent l="18415" t="170815" r="10160" b="13335"/>
                <wp:docPr id="270" name="Organization Chart 6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53" name="_s1092"/>
                        <wps:cNvCnPr>
                          <a:cxnSpLocks/>
                        </wps:cNvCnPr>
                        <wps:spPr bwMode="auto">
                          <a:xfrm rot="10800000">
                            <a:off x="2608300" y="2577000"/>
                            <a:ext cx="261700" cy="433100"/>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54" name="_s1093"/>
                        <wps:cNvCnPr>
                          <a:cxnSpLocks/>
                        </wps:cNvCnPr>
                        <wps:spPr bwMode="auto">
                          <a:xfrm flipV="1">
                            <a:off x="2346700" y="2577000"/>
                            <a:ext cx="261600" cy="433100"/>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55" name="_s1094"/>
                        <wps:cNvCnPr>
                          <a:cxnSpLocks/>
                        </wps:cNvCnPr>
                        <wps:spPr bwMode="auto">
                          <a:xfrm flipV="1">
                            <a:off x="3393200" y="1730000"/>
                            <a:ext cx="1308200" cy="630700"/>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56" name="_s1095"/>
                        <wps:cNvCnPr>
                          <a:cxnSpLocks/>
                        </wps:cNvCnPr>
                        <wps:spPr bwMode="auto">
                          <a:xfrm rot="5400000" flipH="1">
                            <a:off x="677300" y="1188700"/>
                            <a:ext cx="216300" cy="800"/>
                          </a:xfrm>
                          <a:prstGeom prst="bentConnector3">
                            <a:avLst>
                              <a:gd name="adj1" fmla="val 50000"/>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57" name="_s1096"/>
                        <wps:cNvCnPr>
                          <a:cxnSpLocks/>
                        </wps:cNvCnPr>
                        <wps:spPr bwMode="auto">
                          <a:xfrm rot="5400000" flipH="1">
                            <a:off x="4072200" y="667600"/>
                            <a:ext cx="216300" cy="1042900"/>
                          </a:xfrm>
                          <a:prstGeom prst="bentConnector3">
                            <a:avLst>
                              <a:gd name="adj1" fmla="val 50000"/>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58" name="_s1097"/>
                        <wps:cNvCnPr>
                          <a:cxnSpLocks/>
                        </wps:cNvCnPr>
                        <wps:spPr bwMode="auto">
                          <a:xfrm rot="16200000">
                            <a:off x="3093100" y="731600"/>
                            <a:ext cx="216300" cy="915000"/>
                          </a:xfrm>
                          <a:prstGeom prst="bentConnector3">
                            <a:avLst>
                              <a:gd name="adj1" fmla="val 50000"/>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59" name="_s1098"/>
                        <wps:cNvCnPr>
                          <a:cxnSpLocks/>
                        </wps:cNvCnPr>
                        <wps:spPr bwMode="auto">
                          <a:xfrm rot="5400000" flipH="1">
                            <a:off x="2832400" y="-178100"/>
                            <a:ext cx="216200" cy="1436800"/>
                          </a:xfrm>
                          <a:prstGeom prst="bentConnector3">
                            <a:avLst>
                              <a:gd name="adj1" fmla="val 50148"/>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60" name="_s1099"/>
                        <wps:cNvCnPr>
                          <a:cxnSpLocks/>
                        </wps:cNvCnPr>
                        <wps:spPr bwMode="auto">
                          <a:xfrm rot="16200000">
                            <a:off x="1395600" y="-178300"/>
                            <a:ext cx="216200" cy="1436900"/>
                          </a:xfrm>
                          <a:prstGeom prst="bentConnector3">
                            <a:avLst>
                              <a:gd name="adj1" fmla="val 50148"/>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61" name="_s1100"/>
                        <wps:cNvSpPr>
                          <a:spLocks/>
                        </wps:cNvSpPr>
                        <wps:spPr bwMode="auto">
                          <a:xfrm>
                            <a:off x="1436800" y="0"/>
                            <a:ext cx="1569800" cy="432500"/>
                          </a:xfrm>
                          <a:prstGeom prst="roundRect">
                            <a:avLst>
                              <a:gd name="adj" fmla="val 16667"/>
                            </a:avLst>
                          </a:prstGeom>
                          <a:solidFill>
                            <a:srgbClr val="BBE0E3"/>
                          </a:solidFill>
                          <a:ln w="9525">
                            <a:round/>
                            <a:headEnd/>
                            <a:tailEnd/>
                          </a:ln>
                          <a:scene3d>
                            <a:camera prst="legacyObliqueTopRight"/>
                            <a:lightRig rig="legacyFlat3" dir="b"/>
                          </a:scene3d>
                          <a:sp3d extrusionH="430200" prstMaterial="legacyMatte">
                            <a:bevelT w="13500" h="13500" prst="angle"/>
                            <a:bevelB w="13500" h="13500" prst="angle"/>
                            <a:extrusionClr>
                              <a:srgbClr val="BBE0E3"/>
                            </a:extrusionClr>
                            <a:contourClr>
                              <a:srgbClr val="BBE0E3"/>
                            </a:contourClr>
                          </a:sp3d>
                        </wps:spPr>
                        <wps:txbx>
                          <w:txbxContent>
                            <w:p w14:paraId="7836ACD3" w14:textId="77777777" w:rsidR="00471742" w:rsidRPr="0098480A" w:rsidRDefault="00471742" w:rsidP="00BE0B19">
                              <w:pPr>
                                <w:jc w:val="center"/>
                                <w:rPr>
                                  <w:b/>
                                  <w:sz w:val="32"/>
                                </w:rPr>
                              </w:pPr>
                              <w:r w:rsidRPr="0098480A">
                                <w:rPr>
                                  <w:b/>
                                  <w:sz w:val="32"/>
                                </w:rPr>
                                <w:t>Болка</w:t>
                              </w:r>
                            </w:p>
                          </w:txbxContent>
                        </wps:txbx>
                        <wps:bodyPr rot="0" vert="horz" wrap="square" lIns="0" tIns="0" rIns="0" bIns="0" anchor="ctr" anchorCtr="0" upright="1">
                          <a:noAutofit/>
                        </wps:bodyPr>
                      </wps:wsp>
                      <wps:wsp>
                        <wps:cNvPr id="262" name="_s1101"/>
                        <wps:cNvSpPr>
                          <a:spLocks/>
                        </wps:cNvSpPr>
                        <wps:spPr bwMode="auto">
                          <a:xfrm>
                            <a:off x="0" y="648700"/>
                            <a:ext cx="1569800" cy="432500"/>
                          </a:xfrm>
                          <a:prstGeom prst="roundRect">
                            <a:avLst>
                              <a:gd name="adj" fmla="val 16667"/>
                            </a:avLst>
                          </a:prstGeom>
                          <a:solidFill>
                            <a:srgbClr val="BBE0E3"/>
                          </a:solidFill>
                          <a:ln w="9525">
                            <a:round/>
                            <a:headEnd/>
                            <a:tailEnd/>
                          </a:ln>
                          <a:scene3d>
                            <a:camera prst="legacyObliqueTopRight"/>
                            <a:lightRig rig="legacyFlat3" dir="b"/>
                          </a:scene3d>
                          <a:sp3d extrusionH="430200" prstMaterial="legacyMatte">
                            <a:bevelT w="13500" h="13500" prst="angle"/>
                            <a:bevelB w="13500" h="13500" prst="angle"/>
                            <a:extrusionClr>
                              <a:srgbClr val="BBE0E3"/>
                            </a:extrusionClr>
                            <a:contourClr>
                              <a:srgbClr val="BBE0E3"/>
                            </a:contourClr>
                          </a:sp3d>
                        </wps:spPr>
                        <wps:txbx>
                          <w:txbxContent>
                            <w:p w14:paraId="64911C47" w14:textId="77777777" w:rsidR="00471742" w:rsidRPr="0098480A" w:rsidRDefault="00471742" w:rsidP="00BE0B19">
                              <w:pPr>
                                <w:jc w:val="center"/>
                                <w:rPr>
                                  <w:b/>
                                </w:rPr>
                              </w:pPr>
                              <w:r w:rsidRPr="0098480A">
                                <w:rPr>
                                  <w:b/>
                                </w:rPr>
                                <w:t>Без неврологични симптоми</w:t>
                              </w:r>
                            </w:p>
                          </w:txbxContent>
                        </wps:txbx>
                        <wps:bodyPr rot="0" vert="horz" wrap="square" lIns="0" tIns="0" rIns="0" bIns="0" anchor="ctr" anchorCtr="0" upright="1">
                          <a:noAutofit/>
                        </wps:bodyPr>
                      </wps:wsp>
                      <wps:wsp>
                        <wps:cNvPr id="263" name="_s1102"/>
                        <wps:cNvSpPr>
                          <a:spLocks/>
                        </wps:cNvSpPr>
                        <wps:spPr bwMode="auto">
                          <a:xfrm>
                            <a:off x="2873600" y="648700"/>
                            <a:ext cx="1569800" cy="432500"/>
                          </a:xfrm>
                          <a:prstGeom prst="roundRect">
                            <a:avLst>
                              <a:gd name="adj" fmla="val 16667"/>
                            </a:avLst>
                          </a:prstGeom>
                          <a:solidFill>
                            <a:srgbClr val="BBE0E3"/>
                          </a:solidFill>
                          <a:ln w="9525">
                            <a:round/>
                            <a:headEnd/>
                            <a:tailEnd/>
                          </a:ln>
                          <a:scene3d>
                            <a:camera prst="legacyObliqueTopRight"/>
                            <a:lightRig rig="legacyFlat3" dir="b"/>
                          </a:scene3d>
                          <a:sp3d extrusionH="430200" prstMaterial="legacyMatte">
                            <a:bevelT w="13500" h="13500" prst="angle"/>
                            <a:bevelB w="13500" h="13500" prst="angle"/>
                            <a:extrusionClr>
                              <a:srgbClr val="BBE0E3"/>
                            </a:extrusionClr>
                            <a:contourClr>
                              <a:srgbClr val="BBE0E3"/>
                            </a:contourClr>
                          </a:sp3d>
                        </wps:spPr>
                        <wps:txbx>
                          <w:txbxContent>
                            <w:p w14:paraId="2DF6B2ED" w14:textId="77777777" w:rsidR="00471742" w:rsidRPr="0098480A" w:rsidRDefault="00471742" w:rsidP="00BE0B19">
                              <w:pPr>
                                <w:jc w:val="center"/>
                                <w:rPr>
                                  <w:b/>
                                </w:rPr>
                              </w:pPr>
                              <w:r w:rsidRPr="0098480A">
                                <w:rPr>
                                  <w:b/>
                                </w:rPr>
                                <w:t>С неврологични симптоми</w:t>
                              </w:r>
                            </w:p>
                          </w:txbxContent>
                        </wps:txbx>
                        <wps:bodyPr rot="0" vert="horz" wrap="square" lIns="0" tIns="0" rIns="0" bIns="0" anchor="ctr" anchorCtr="0" upright="1">
                          <a:noAutofit/>
                        </wps:bodyPr>
                      </wps:wsp>
                      <wps:wsp>
                        <wps:cNvPr id="264" name="_s1103"/>
                        <wps:cNvSpPr>
                          <a:spLocks/>
                        </wps:cNvSpPr>
                        <wps:spPr bwMode="auto">
                          <a:xfrm>
                            <a:off x="1831400" y="1297500"/>
                            <a:ext cx="1823500" cy="630700"/>
                          </a:xfrm>
                          <a:prstGeom prst="roundRect">
                            <a:avLst>
                              <a:gd name="adj" fmla="val 16667"/>
                            </a:avLst>
                          </a:prstGeom>
                          <a:solidFill>
                            <a:srgbClr val="BBE0E3"/>
                          </a:solidFill>
                          <a:ln w="9525">
                            <a:solidFill>
                              <a:srgbClr val="000000"/>
                            </a:solidFill>
                            <a:round/>
                            <a:headEnd/>
                            <a:tailEnd/>
                          </a:ln>
                        </wps:spPr>
                        <wps:txbx>
                          <w:txbxContent>
                            <w:p w14:paraId="6C3AED7C" w14:textId="77777777" w:rsidR="00471742" w:rsidRPr="0098480A" w:rsidRDefault="00471742" w:rsidP="00BE0B19">
                              <w:pPr>
                                <w:jc w:val="center"/>
                                <w:rPr>
                                  <w:b/>
                                </w:rPr>
                              </w:pPr>
                              <w:r w:rsidRPr="0098480A">
                                <w:rPr>
                                  <w:b/>
                                </w:rPr>
                                <w:t>Невроизобразяващи и неврофизиологични методи</w:t>
                              </w:r>
                            </w:p>
                          </w:txbxContent>
                        </wps:txbx>
                        <wps:bodyPr rot="0" vert="horz" wrap="square" lIns="0" tIns="0" rIns="0" bIns="0" anchor="ctr" anchorCtr="0" upright="1">
                          <a:noAutofit/>
                        </wps:bodyPr>
                      </wps:wsp>
                      <wps:wsp>
                        <wps:cNvPr id="265" name="_s1104"/>
                        <wps:cNvSpPr>
                          <a:spLocks/>
                        </wps:cNvSpPr>
                        <wps:spPr bwMode="auto">
                          <a:xfrm>
                            <a:off x="3916500" y="1297500"/>
                            <a:ext cx="1569900" cy="432500"/>
                          </a:xfrm>
                          <a:prstGeom prst="roundRect">
                            <a:avLst>
                              <a:gd name="adj" fmla="val 16667"/>
                            </a:avLst>
                          </a:prstGeom>
                          <a:solidFill>
                            <a:srgbClr val="BBE0E3"/>
                          </a:solidFill>
                          <a:ln w="9525">
                            <a:solidFill>
                              <a:srgbClr val="000000"/>
                            </a:solidFill>
                            <a:round/>
                            <a:headEnd/>
                            <a:tailEnd/>
                          </a:ln>
                        </wps:spPr>
                        <wps:txbx>
                          <w:txbxContent>
                            <w:p w14:paraId="2BB5A183" w14:textId="77777777" w:rsidR="00471742" w:rsidRPr="0098480A" w:rsidRDefault="00471742" w:rsidP="00BE0B19">
                              <w:pPr>
                                <w:jc w:val="center"/>
                                <w:rPr>
                                  <w:b/>
                                </w:rPr>
                              </w:pPr>
                              <w:r w:rsidRPr="0098480A">
                                <w:rPr>
                                  <w:b/>
                                </w:rPr>
                                <w:t>Критерии за диагностика</w:t>
                              </w:r>
                            </w:p>
                          </w:txbxContent>
                        </wps:txbx>
                        <wps:bodyPr rot="0" vert="horz" wrap="square" lIns="0" tIns="0" rIns="0" bIns="0" anchor="ctr" anchorCtr="0" upright="1">
                          <a:noAutofit/>
                        </wps:bodyPr>
                      </wps:wsp>
                      <wps:wsp>
                        <wps:cNvPr id="266" name="_s1105"/>
                        <wps:cNvSpPr>
                          <a:spLocks/>
                        </wps:cNvSpPr>
                        <wps:spPr bwMode="auto">
                          <a:xfrm>
                            <a:off x="700" y="1297500"/>
                            <a:ext cx="1569100" cy="432500"/>
                          </a:xfrm>
                          <a:prstGeom prst="roundRect">
                            <a:avLst>
                              <a:gd name="adj" fmla="val 16667"/>
                            </a:avLst>
                          </a:prstGeom>
                          <a:solidFill>
                            <a:srgbClr val="BBE0E3"/>
                          </a:solidFill>
                          <a:ln w="9525">
                            <a:solidFill>
                              <a:srgbClr val="000000"/>
                            </a:solidFill>
                            <a:round/>
                            <a:headEnd/>
                            <a:tailEnd/>
                          </a:ln>
                        </wps:spPr>
                        <wps:txbx>
                          <w:txbxContent>
                            <w:p w14:paraId="7201F4FB" w14:textId="77777777" w:rsidR="00471742" w:rsidRPr="0098480A" w:rsidRDefault="00471742" w:rsidP="00BE0B19">
                              <w:pPr>
                                <w:jc w:val="center"/>
                                <w:rPr>
                                  <w:b/>
                                </w:rPr>
                              </w:pPr>
                              <w:r w:rsidRPr="0098480A">
                                <w:rPr>
                                  <w:b/>
                                </w:rPr>
                                <w:t>Ноцицептивна болка</w:t>
                              </w:r>
                            </w:p>
                          </w:txbxContent>
                        </wps:txbx>
                        <wps:bodyPr rot="0" vert="horz" wrap="square" lIns="0" tIns="0" rIns="0" bIns="0" anchor="ctr" anchorCtr="0" upright="1">
                          <a:noAutofit/>
                        </wps:bodyPr>
                      </wps:wsp>
                      <wps:wsp>
                        <wps:cNvPr id="267" name="_s1106"/>
                        <wps:cNvSpPr>
                          <a:spLocks/>
                        </wps:cNvSpPr>
                        <wps:spPr bwMode="auto">
                          <a:xfrm>
                            <a:off x="1823400" y="2144500"/>
                            <a:ext cx="1569800" cy="432500"/>
                          </a:xfrm>
                          <a:prstGeom prst="roundRect">
                            <a:avLst>
                              <a:gd name="adj" fmla="val 16667"/>
                            </a:avLst>
                          </a:prstGeom>
                          <a:solidFill>
                            <a:srgbClr val="BBE0E3"/>
                          </a:solidFill>
                          <a:ln w="9525">
                            <a:solidFill>
                              <a:srgbClr val="000000"/>
                            </a:solidFill>
                            <a:round/>
                            <a:headEnd/>
                            <a:tailEnd/>
                          </a:ln>
                        </wps:spPr>
                        <wps:txbx>
                          <w:txbxContent>
                            <w:p w14:paraId="50202B95" w14:textId="77777777" w:rsidR="00471742" w:rsidRPr="0098480A" w:rsidRDefault="00471742" w:rsidP="00BE0B19">
                              <w:pPr>
                                <w:jc w:val="center"/>
                                <w:rPr>
                                  <w:b/>
                                  <w:szCs w:val="24"/>
                                </w:rPr>
                              </w:pPr>
                              <w:r w:rsidRPr="0098480A">
                                <w:rPr>
                                  <w:b/>
                                  <w:szCs w:val="24"/>
                                </w:rPr>
                                <w:t>Невропатна</w:t>
                              </w:r>
                            </w:p>
                            <w:p w14:paraId="7D34CA44" w14:textId="77777777" w:rsidR="00471742" w:rsidRPr="0098480A" w:rsidRDefault="00471742" w:rsidP="00BE0B19">
                              <w:pPr>
                                <w:jc w:val="center"/>
                                <w:rPr>
                                  <w:b/>
                                  <w:szCs w:val="24"/>
                                </w:rPr>
                              </w:pPr>
                              <w:r w:rsidRPr="0098480A">
                                <w:rPr>
                                  <w:b/>
                                  <w:szCs w:val="24"/>
                                </w:rPr>
                                <w:t>олка</w:t>
                              </w:r>
                            </w:p>
                          </w:txbxContent>
                        </wps:txbx>
                        <wps:bodyPr rot="0" vert="horz" wrap="square" lIns="0" tIns="0" rIns="0" bIns="0" anchor="ctr" anchorCtr="0" upright="1">
                          <a:noAutofit/>
                        </wps:bodyPr>
                      </wps:wsp>
                      <wps:wsp>
                        <wps:cNvPr id="268" name="_s1107"/>
                        <wps:cNvSpPr>
                          <a:spLocks/>
                        </wps:cNvSpPr>
                        <wps:spPr bwMode="auto">
                          <a:xfrm>
                            <a:off x="776900" y="2793200"/>
                            <a:ext cx="1569800" cy="432600"/>
                          </a:xfrm>
                          <a:prstGeom prst="roundRect">
                            <a:avLst>
                              <a:gd name="adj" fmla="val 16667"/>
                            </a:avLst>
                          </a:prstGeom>
                          <a:solidFill>
                            <a:srgbClr val="BBE0E3"/>
                          </a:solidFill>
                          <a:ln w="9525">
                            <a:solidFill>
                              <a:srgbClr val="000000"/>
                            </a:solidFill>
                            <a:round/>
                            <a:headEnd/>
                            <a:tailEnd/>
                          </a:ln>
                        </wps:spPr>
                        <wps:txbx>
                          <w:txbxContent>
                            <w:p w14:paraId="6D409C6B" w14:textId="77777777" w:rsidR="00471742" w:rsidRPr="0098480A" w:rsidRDefault="00471742" w:rsidP="00BE0B19">
                              <w:pPr>
                                <w:jc w:val="center"/>
                                <w:rPr>
                                  <w:b/>
                                </w:rPr>
                              </w:pPr>
                              <w:r w:rsidRPr="0098480A">
                                <w:rPr>
                                  <w:b/>
                                </w:rPr>
                                <w:t>периферна</w:t>
                              </w:r>
                            </w:p>
                          </w:txbxContent>
                        </wps:txbx>
                        <wps:bodyPr rot="0" vert="horz" wrap="square" lIns="0" tIns="0" rIns="0" bIns="0" anchor="ctr" anchorCtr="0" upright="1">
                          <a:noAutofit/>
                        </wps:bodyPr>
                      </wps:wsp>
                      <wps:wsp>
                        <wps:cNvPr id="269" name="_s1108"/>
                        <wps:cNvSpPr>
                          <a:spLocks/>
                        </wps:cNvSpPr>
                        <wps:spPr bwMode="auto">
                          <a:xfrm>
                            <a:off x="2870000" y="2793200"/>
                            <a:ext cx="1569800" cy="432600"/>
                          </a:xfrm>
                          <a:prstGeom prst="roundRect">
                            <a:avLst>
                              <a:gd name="adj" fmla="val 16667"/>
                            </a:avLst>
                          </a:prstGeom>
                          <a:solidFill>
                            <a:srgbClr val="BBE0E3"/>
                          </a:solidFill>
                          <a:ln w="9525">
                            <a:solidFill>
                              <a:srgbClr val="000000"/>
                            </a:solidFill>
                            <a:round/>
                            <a:headEnd/>
                            <a:tailEnd/>
                          </a:ln>
                        </wps:spPr>
                        <wps:txbx>
                          <w:txbxContent>
                            <w:p w14:paraId="62BDAFAD" w14:textId="77777777" w:rsidR="00471742" w:rsidRPr="0098480A" w:rsidRDefault="00471742" w:rsidP="00BE0B19">
                              <w:pPr>
                                <w:jc w:val="center"/>
                                <w:rPr>
                                  <w:b/>
                                </w:rPr>
                              </w:pPr>
                              <w:r w:rsidRPr="0098480A">
                                <w:rPr>
                                  <w:b/>
                                </w:rPr>
                                <w:t>централна</w:t>
                              </w:r>
                            </w:p>
                          </w:txbxContent>
                        </wps:txbx>
                        <wps:bodyPr rot="0" vert="horz" wrap="square" lIns="0" tIns="0" rIns="0" bIns="0" anchor="ctr" anchorCtr="0" upright="1">
                          <a:noAutofit/>
                        </wps:bodyPr>
                      </wps:wsp>
                    </wpc:wpc>
                  </a:graphicData>
                </a:graphic>
              </wp:inline>
            </w:drawing>
          </mc:Choice>
          <mc:Fallback>
            <w:pict>
              <v:group w14:anchorId="5C94C59D" id="Organization Chart 66" o:spid="_x0000_s1029" editas="canvas" style="width:6in;height:254pt;mso-position-horizontal-relative:char;mso-position-vertical-relative:line" coordsize="54864,32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54864;height:32258;visibility:visible;mso-wrap-style:square">
                  <v:fill o:detectmouseclick="t"/>
                  <v:path o:connecttype="none"/>
                </v:shape>
                <v:shapetype id="_x0000_t33" coordsize="21600,21600" o:spt="33" o:oned="t" path="m,l21600,r,21600e" filled="f">
                  <v:stroke joinstyle="miter"/>
                  <v:path arrowok="t" fillok="f" o:connecttype="none"/>
                  <o:lock v:ext="edit" shapetype="t"/>
                </v:shapetype>
                <v:shape id="_s1092" o:spid="_x0000_s1031" type="#_x0000_t33" style="position:absolute;left:26083;top:25770;width:2617;height:4331;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" strokeweight="2.25pt">
                  <o:lock v:ext="edit" shapetype="f"/>
                </v:shape>
                <v:shape id="_s1093" o:spid="_x0000_s1032" type="#_x0000_t33" style="position:absolute;left:23467;top:25770;width:2616;height:4331;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" strokeweight="2.25pt">
                  <o:lock v:ext="edit" shapetype="f"/>
                </v:shape>
                <v:shape id="_s1094" o:spid="_x0000_s1033" type="#_x0000_t33" style="position:absolute;left:33932;top:17300;width:13082;height:6307;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" strokeweight="2.25pt">
                  <o:lock v:ext="edit" shapetype="f"/>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095" o:spid="_x0000_s1034" type="#_x0000_t34" style="position:absolute;left:6772;top:11887;width:2163;height: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" strokeweight="2.25pt">
                  <o:lock v:ext="edit" shapetype="f"/>
                </v:shape>
                <v:shape id="_s1096" o:spid="_x0000_s1035" type="#_x0000_t34" style="position:absolute;left:40722;top:6676;width:2163;height:1042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" strokeweight="2.25pt">
                  <o:lock v:ext="edit" shapetype="f"/>
                </v:shape>
                <v:shape id="_s1097" o:spid="_x0000_s1036" type="#_x0000_t34" style="position:absolute;left:30930;top:7316;width:2163;height:915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" strokeweight="2.25pt">
                  <o:lock v:ext="edit" shapetype="f"/>
                </v:shape>
                <v:shape id="_s1098" o:spid="_x0000_s1037" type="#_x0000_t34" style="position:absolute;left:28324;top:-1781;width:2162;height:1436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" adj="10832" strokeweight="2.25pt">
                  <o:lock v:ext="edit" shapetype="f"/>
                </v:shape>
                <v:shape id="_s1099" o:spid="_x0000_s1038" type="#_x0000_t34" style="position:absolute;left:13956;top:-1784;width:2162;height:1436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" adj="10832" strokeweight="2.25pt">
                  <o:lock v:ext="edit" shapetype="f"/>
                </v:shape>
                <v:roundrect id="_s1100" o:spid="_x0000_s1039" style="position:absolute;left:14368;width:15698;height:43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" fillcolor="#bbe0e3">
                  <o:extrusion v:ext="view" color="#bbe0e3" on="t"/>
                  <v:path arrowok="t"/>
                  <v:textbox inset="0,0,0,0">
                    <w:txbxContent>
                      <w:p w14:paraId="7836ACD3" w14:textId="77777777" w:rsidR="00471742" w:rsidRPr="0098480A" w:rsidRDefault="00471742" w:rsidP="00BE0B19">
                        <w:pPr>
                          <w:jc w:val="center"/>
                          <w:rPr>
                            <w:b/>
                            <w:sz w:val="32"/>
                          </w:rPr>
                        </w:pPr>
                        <w:r w:rsidRPr="0098480A">
                          <w:rPr>
                            <w:b/>
                            <w:sz w:val="32"/>
                          </w:rPr>
                          <w:t>Болка</w:t>
                        </w:r>
                      </w:p>
                    </w:txbxContent>
                  </v:textbox>
                </v:roundrect>
                <v:roundrect id="_s1101" o:spid="_x0000_s1040" style="position:absolute;top:6487;width:15698;height:43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" fillcolor="#bbe0e3">
                  <o:extrusion v:ext="view" color="#bbe0e3" on="t"/>
                  <v:path arrowok="t"/>
                  <v:textbox inset="0,0,0,0">
                    <w:txbxContent>
                      <w:p w14:paraId="64911C47" w14:textId="77777777" w:rsidR="00471742" w:rsidRPr="0098480A" w:rsidRDefault="00471742" w:rsidP="00BE0B19">
                        <w:pPr>
                          <w:jc w:val="center"/>
                          <w:rPr>
                            <w:b/>
                          </w:rPr>
                        </w:pPr>
                        <w:r w:rsidRPr="0098480A">
                          <w:rPr>
                            <w:b/>
                          </w:rPr>
                          <w:t>Без неврологични симптоми</w:t>
                        </w:r>
                      </w:p>
                    </w:txbxContent>
                  </v:textbox>
                </v:roundrect>
                <v:roundrect id="_s1102" o:spid="_x0000_s1041" style="position:absolute;left:28736;top:6487;width:15698;height:43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" fillcolor="#bbe0e3">
                  <o:extrusion v:ext="view" color="#bbe0e3" on="t"/>
                  <v:path arrowok="t"/>
                  <v:textbox inset="0,0,0,0">
                    <w:txbxContent>
                      <w:p w14:paraId="2DF6B2ED" w14:textId="77777777" w:rsidR="00471742" w:rsidRPr="0098480A" w:rsidRDefault="00471742" w:rsidP="00BE0B19">
                        <w:pPr>
                          <w:jc w:val="center"/>
                          <w:rPr>
                            <w:b/>
                          </w:rPr>
                        </w:pPr>
                        <w:r w:rsidRPr="0098480A">
                          <w:rPr>
                            <w:b/>
                          </w:rPr>
                          <w:t>С неврологични симптоми</w:t>
                        </w:r>
                      </w:p>
                    </w:txbxContent>
                  </v:textbox>
                </v:roundrect>
                <v:roundrect id="_s1103" o:spid="_x0000_s1042" style="position:absolute;left:18314;top:12975;width:18235;height:63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" fillcolor="#bbe0e3">
                  <v:path arrowok="t"/>
                  <v:textbox inset="0,0,0,0">
                    <w:txbxContent>
                      <w:p w14:paraId="6C3AED7C" w14:textId="77777777" w:rsidR="00471742" w:rsidRPr="0098480A" w:rsidRDefault="00471742" w:rsidP="00BE0B19">
                        <w:pPr>
                          <w:jc w:val="center"/>
                          <w:rPr>
                            <w:b/>
                          </w:rPr>
                        </w:pPr>
                        <w:r w:rsidRPr="0098480A">
                          <w:rPr>
                            <w:b/>
                          </w:rPr>
                          <w:t>Невроизобразяващи и неврофизиологични методи</w:t>
                        </w:r>
                      </w:p>
                    </w:txbxContent>
                  </v:textbox>
                </v:roundrect>
                <v:roundrect id="_s1104" o:spid="_x0000_s1043" style="position:absolute;left:39165;top:12975;width:15699;height:43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" fillcolor="#bbe0e3">
                  <v:path arrowok="t"/>
                  <v:textbox inset="0,0,0,0">
                    <w:txbxContent>
                      <w:p w14:paraId="2BB5A183" w14:textId="77777777" w:rsidR="00471742" w:rsidRPr="0098480A" w:rsidRDefault="00471742" w:rsidP="00BE0B19">
                        <w:pPr>
                          <w:jc w:val="center"/>
                          <w:rPr>
                            <w:b/>
                          </w:rPr>
                        </w:pPr>
                        <w:r w:rsidRPr="0098480A">
                          <w:rPr>
                            <w:b/>
                          </w:rPr>
                          <w:t>Критерии за диагностика</w:t>
                        </w:r>
                      </w:p>
                    </w:txbxContent>
                  </v:textbox>
                </v:roundrect>
                <v:roundrect id="_s1105" o:spid="_x0000_s1044" style="position:absolute;left:7;top:12975;width:15691;height:43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" fillcolor="#bbe0e3">
                  <v:path arrowok="t"/>
                  <v:textbox inset="0,0,0,0">
                    <w:txbxContent>
                      <w:p w14:paraId="7201F4FB" w14:textId="77777777" w:rsidR="00471742" w:rsidRPr="0098480A" w:rsidRDefault="00471742" w:rsidP="00BE0B19">
                        <w:pPr>
                          <w:jc w:val="center"/>
                          <w:rPr>
                            <w:b/>
                          </w:rPr>
                        </w:pPr>
                        <w:r w:rsidRPr="0098480A">
                          <w:rPr>
                            <w:b/>
                          </w:rPr>
                          <w:t>Ноцицептивна болка</w:t>
                        </w:r>
                      </w:p>
                    </w:txbxContent>
                  </v:textbox>
                </v:roundrect>
                <v:roundrect id="_s1106" o:spid="_x0000_s1045" style="position:absolute;left:18234;top:21445;width:15698;height:432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" fillcolor="#bbe0e3">
                  <v:path arrowok="t"/>
                  <v:textbox inset="0,0,0,0">
                    <w:txbxContent>
                      <w:p w14:paraId="50202B95" w14:textId="77777777" w:rsidR="00471742" w:rsidRPr="0098480A" w:rsidRDefault="00471742" w:rsidP="00BE0B19">
                        <w:pPr>
                          <w:jc w:val="center"/>
                          <w:rPr>
                            <w:b/>
                            <w:szCs w:val="24"/>
                          </w:rPr>
                        </w:pPr>
                        <w:r w:rsidRPr="0098480A">
                          <w:rPr>
                            <w:b/>
                            <w:szCs w:val="24"/>
                          </w:rPr>
                          <w:t>Невропатна</w:t>
                        </w:r>
                      </w:p>
                      <w:p w14:paraId="7D34CA44" w14:textId="77777777" w:rsidR="00471742" w:rsidRPr="0098480A" w:rsidRDefault="00471742" w:rsidP="00BE0B19">
                        <w:pPr>
                          <w:jc w:val="center"/>
                          <w:rPr>
                            <w:b/>
                            <w:szCs w:val="24"/>
                          </w:rPr>
                        </w:pPr>
                        <w:r w:rsidRPr="0098480A">
                          <w:rPr>
                            <w:b/>
                            <w:szCs w:val="24"/>
                          </w:rPr>
                          <w:t>олка</w:t>
                        </w:r>
                      </w:p>
                    </w:txbxContent>
                  </v:textbox>
                </v:roundrect>
                <v:roundrect id="_s1107" o:spid="_x0000_s1046" style="position:absolute;left:7769;top:27932;width:15698;height:43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" fillcolor="#bbe0e3">
                  <v:path arrowok="t"/>
                  <v:textbox inset="0,0,0,0">
                    <w:txbxContent>
                      <w:p w14:paraId="6D409C6B" w14:textId="77777777" w:rsidR="00471742" w:rsidRPr="0098480A" w:rsidRDefault="00471742" w:rsidP="00BE0B19">
                        <w:pPr>
                          <w:jc w:val="center"/>
                          <w:rPr>
                            <w:b/>
                          </w:rPr>
                        </w:pPr>
                        <w:r w:rsidRPr="0098480A">
                          <w:rPr>
                            <w:b/>
                          </w:rPr>
                          <w:t>периферна</w:t>
                        </w:r>
                      </w:p>
                    </w:txbxContent>
                  </v:textbox>
                </v:roundrect>
                <v:roundrect id="_s1108" o:spid="_x0000_s1047" style="position:absolute;left:28700;top:27932;width:15698;height:43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" fillcolor="#bbe0e3">
                  <v:path arrowok="t"/>
                  <v:textbox inset="0,0,0,0">
                    <w:txbxContent>
                      <w:p w14:paraId="62BDAFAD" w14:textId="77777777" w:rsidR="00471742" w:rsidRPr="0098480A" w:rsidRDefault="00471742" w:rsidP="00BE0B19">
                        <w:pPr>
                          <w:jc w:val="center"/>
                          <w:rPr>
                            <w:b/>
                          </w:rPr>
                        </w:pPr>
                        <w:r w:rsidRPr="0098480A">
                          <w:rPr>
                            <w:b/>
                          </w:rPr>
                          <w:t>централна</w:t>
                        </w:r>
                      </w:p>
                    </w:txbxContent>
                  </v:textbox>
                </v:roundrect>
                <w10:anchorlock/>
              </v:group>
            </w:pict>
          </mc:Fallback>
        </mc:AlternateContent>
      </w:r>
    </w:p>
    <w:p w14:paraId="3DDE0B11"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Фигура 3.1. Видове болка</w:t>
      </w:r>
    </w:p>
    <w:p w14:paraId="0A5B4FF7" w14:textId="77777777" w:rsidR="00BE0B19" w:rsidRPr="00AE47C6" w:rsidRDefault="00BE0B19" w:rsidP="00BE0B19">
      <w:pPr>
        <w:spacing w:after="0" w:line="360" w:lineRule="auto"/>
        <w:ind w:left="284"/>
        <w:jc w:val="both"/>
        <w:rPr>
          <w:rFonts w:ascii="Times New Roman" w:eastAsia="SimSun" w:hAnsi="Times New Roman"/>
          <w:sz w:val="24"/>
          <w:szCs w:val="24"/>
        </w:rPr>
      </w:pPr>
      <w:r w:rsidRPr="00AE47C6">
        <w:rPr>
          <w:rFonts w:ascii="Times New Roman" w:eastAsia="SimSun" w:hAnsi="Times New Roman"/>
          <w:b/>
          <w:sz w:val="24"/>
          <w:szCs w:val="24"/>
        </w:rPr>
        <w:t>Според анатомичната локализация</w:t>
      </w:r>
      <w:r w:rsidRPr="00AE47C6">
        <w:rPr>
          <w:rFonts w:ascii="Times New Roman" w:eastAsia="SimSun" w:hAnsi="Times New Roman"/>
          <w:sz w:val="24"/>
          <w:szCs w:val="24"/>
        </w:rPr>
        <w:t xml:space="preserve"> болката се класифицира като болка в главата, лицето и устата; цервикална; в раменете и ръцете; торакална; абдоминална; лумбална; в долни крайници; в тазовата област; анална, перианална и генитална. </w:t>
      </w:r>
    </w:p>
    <w:p w14:paraId="6C176077"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Ноцицептивна болка</w:t>
      </w:r>
    </w:p>
    <w:p w14:paraId="57DC95BD" w14:textId="77777777" w:rsidR="00BE0B19" w:rsidRPr="00AE47C6" w:rsidRDefault="00BE0B19" w:rsidP="00BE0B19">
      <w:pPr>
        <w:spacing w:after="0" w:line="360" w:lineRule="auto"/>
        <w:ind w:left="283"/>
        <w:jc w:val="both"/>
        <w:rPr>
          <w:rFonts w:ascii="Times New Roman" w:eastAsia="SimSun" w:hAnsi="Times New Roman"/>
          <w:sz w:val="24"/>
          <w:szCs w:val="24"/>
        </w:rPr>
      </w:pPr>
      <w:r w:rsidRPr="00AE47C6">
        <w:rPr>
          <w:rFonts w:ascii="Times New Roman" w:eastAsia="SimSun" w:hAnsi="Times New Roman"/>
          <w:sz w:val="24"/>
          <w:szCs w:val="24"/>
        </w:rPr>
        <w:t>Дължи се на засягане на всеки орган или система, освен нервната и нейната диагностика и лечение е свързана с множество различни медицински специалности. Подразделя се на физиологична – при временно нарушение на функциите (крампи, колики) и патологична при увреда на тъканите.</w:t>
      </w:r>
    </w:p>
    <w:p w14:paraId="44694BB3" w14:textId="77777777" w:rsidR="00BE0B19" w:rsidRPr="00AE47C6" w:rsidRDefault="00BE0B19" w:rsidP="00BE0B19">
      <w:pPr>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sz w:val="24"/>
          <w:szCs w:val="24"/>
        </w:rPr>
        <w:t>Невропатна болка</w:t>
      </w:r>
    </w:p>
    <w:p w14:paraId="1689FC47" w14:textId="77777777" w:rsidR="00BE0B19" w:rsidRPr="00AE47C6" w:rsidRDefault="00BE0B19" w:rsidP="00BE0B19">
      <w:pPr>
        <w:spacing w:after="0" w:line="360" w:lineRule="auto"/>
        <w:ind w:left="283"/>
        <w:jc w:val="both"/>
        <w:rPr>
          <w:rFonts w:ascii="Times New Roman" w:eastAsia="SimSun" w:hAnsi="Times New Roman"/>
          <w:sz w:val="24"/>
          <w:szCs w:val="24"/>
        </w:rPr>
      </w:pPr>
      <w:r w:rsidRPr="00AE47C6">
        <w:rPr>
          <w:rFonts w:ascii="Times New Roman" w:eastAsia="SimSun" w:hAnsi="Times New Roman"/>
          <w:sz w:val="24"/>
          <w:szCs w:val="24"/>
        </w:rPr>
        <w:t>Възниква вследствие на функционална увреда, лезия или заболяване, директно засягащи соматосензорната нервна система. (Фиг.3.1., Фиг.3.2)</w:t>
      </w:r>
    </w:p>
    <w:p w14:paraId="469FF8FF"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noProof/>
          <w:sz w:val="24"/>
          <w:szCs w:val="24"/>
          <w:lang w:eastAsia="bg-BG"/>
        </w:rPr>
        <mc:AlternateContent>
          <mc:Choice Requires="wpc">
            <w:drawing>
              <wp:inline distT="0" distB="0" distL="0" distR="0" wp14:anchorId="63659C2F" wp14:editId="4C25B3E8">
                <wp:extent cx="5760720" cy="3448685"/>
                <wp:effectExtent l="0" t="209550" r="240030" b="266065"/>
                <wp:docPr id="278" name="Organization Chart 2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13" name="_s1055"/>
                        <wps:cNvCnPr>
                          <a:cxnSpLocks/>
                        </wps:cNvCnPr>
                        <wps:spPr bwMode="auto">
                          <a:xfrm rot="16200000">
                            <a:off x="4379014" y="1339233"/>
                            <a:ext cx="104103" cy="60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14" name="_s1056"/>
                        <wps:cNvCnPr>
                          <a:cxnSpLocks/>
                        </wps:cNvCnPr>
                        <wps:spPr bwMode="auto">
                          <a:xfrm rot="5400000" flipH="1">
                            <a:off x="4392514" y="1064626"/>
                            <a:ext cx="76202" cy="600"/>
                          </a:xfrm>
                          <a:prstGeom prst="bentConnector3">
                            <a:avLst>
                              <a:gd name="adj1" fmla="val 50000"/>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315" name="_s1057"/>
                        <wps:cNvCnPr>
                          <a:cxnSpLocks/>
                        </wps:cNvCnPr>
                        <wps:spPr bwMode="auto">
                          <a:xfrm rot="16200000">
                            <a:off x="4533615" y="3261380"/>
                            <a:ext cx="76802" cy="60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16" name="_s1058"/>
                        <wps:cNvCnPr>
                          <a:cxnSpLocks/>
                        </wps:cNvCnPr>
                        <wps:spPr bwMode="auto">
                          <a:xfrm rot="16200000">
                            <a:off x="4437913" y="2696366"/>
                            <a:ext cx="268007" cy="60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17" name="_s1059"/>
                        <wps:cNvCnPr>
                          <a:cxnSpLocks/>
                        </wps:cNvCnPr>
                        <wps:spPr bwMode="auto">
                          <a:xfrm rot="16200000">
                            <a:off x="4433312" y="2209654"/>
                            <a:ext cx="277407" cy="60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18" name="_s1060"/>
                        <wps:cNvCnPr>
                          <a:cxnSpLocks/>
                        </wps:cNvCnPr>
                        <wps:spPr bwMode="auto">
                          <a:xfrm flipV="1">
                            <a:off x="1331205" y="661616"/>
                            <a:ext cx="221801" cy="2270756"/>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319" name="_s1061"/>
                        <wps:cNvCnPr>
                          <a:cxnSpLocks/>
                        </wps:cNvCnPr>
                        <wps:spPr bwMode="auto">
                          <a:xfrm flipV="1">
                            <a:off x="3106111" y="702317"/>
                            <a:ext cx="221901" cy="187505"/>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24" name="_s1062"/>
                        <wps:cNvCnPr>
                          <a:cxnSpLocks/>
                        </wps:cNvCnPr>
                        <wps:spPr bwMode="auto">
                          <a:xfrm rot="16200000">
                            <a:off x="3397211" y="268009"/>
                            <a:ext cx="76202" cy="214501"/>
                          </a:xfrm>
                          <a:prstGeom prst="bentConnector3">
                            <a:avLst>
                              <a:gd name="adj1" fmla="val 50000"/>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25" name="_s1063"/>
                        <wps:cNvCnPr>
                          <a:cxnSpLocks/>
                        </wps:cNvCnPr>
                        <wps:spPr bwMode="auto">
                          <a:xfrm flipV="1">
                            <a:off x="5310118" y="681417"/>
                            <a:ext cx="221801" cy="1194029"/>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26" name="_s1064"/>
                        <wps:cNvCnPr>
                          <a:cxnSpLocks/>
                        </wps:cNvCnPr>
                        <wps:spPr bwMode="auto">
                          <a:xfrm flipV="1">
                            <a:off x="5310118" y="681417"/>
                            <a:ext cx="221801" cy="221705"/>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27" name="_s1065"/>
                        <wps:cNvCnPr>
                          <a:cxnSpLocks/>
                        </wps:cNvCnPr>
                        <wps:spPr bwMode="auto">
                          <a:xfrm flipV="1">
                            <a:off x="1331205" y="661816"/>
                            <a:ext cx="221801" cy="1890047"/>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28" name="_s1066"/>
                        <wps:cNvCnPr>
                          <a:cxnSpLocks/>
                        </wps:cNvCnPr>
                        <wps:spPr bwMode="auto">
                          <a:xfrm flipV="1">
                            <a:off x="1331205" y="661816"/>
                            <a:ext cx="221801" cy="1314632"/>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29" name="_s1067"/>
                        <wps:cNvCnPr>
                          <a:cxnSpLocks/>
                        </wps:cNvCnPr>
                        <wps:spPr bwMode="auto">
                          <a:xfrm flipV="1">
                            <a:off x="1331205" y="661816"/>
                            <a:ext cx="221801" cy="835621"/>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30" name="_s1068"/>
                        <wps:cNvCnPr>
                          <a:cxnSpLocks/>
                        </wps:cNvCnPr>
                        <wps:spPr bwMode="auto">
                          <a:xfrm flipV="1">
                            <a:off x="1331205" y="661616"/>
                            <a:ext cx="221801" cy="547613"/>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31" name="_s1069"/>
                        <wps:cNvCnPr>
                          <a:cxnSpLocks/>
                        </wps:cNvCnPr>
                        <wps:spPr bwMode="auto">
                          <a:xfrm flipV="1">
                            <a:off x="1331205" y="661816"/>
                            <a:ext cx="221801" cy="223406"/>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32" name="_s1070"/>
                        <wps:cNvCnPr>
                          <a:cxnSpLocks/>
                        </wps:cNvCnPr>
                        <wps:spPr bwMode="auto">
                          <a:xfrm rot="5400000" flipH="1">
                            <a:off x="4499115" y="-619394"/>
                            <a:ext cx="76202" cy="1989407"/>
                          </a:xfrm>
                          <a:prstGeom prst="bentConnector3">
                            <a:avLst>
                              <a:gd name="adj1" fmla="val 50000"/>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33" name="_s1071"/>
                        <wps:cNvCnPr>
                          <a:cxnSpLocks/>
                        </wps:cNvCnPr>
                        <wps:spPr bwMode="auto">
                          <a:xfrm rot="16200000">
                            <a:off x="2509708" y="-619494"/>
                            <a:ext cx="76202" cy="1989507"/>
                          </a:xfrm>
                          <a:prstGeom prst="bentConnector3">
                            <a:avLst>
                              <a:gd name="adj1" fmla="val 50000"/>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34" name="_s1072"/>
                        <wps:cNvSpPr>
                          <a:spLocks/>
                        </wps:cNvSpPr>
                        <wps:spPr bwMode="auto">
                          <a:xfrm>
                            <a:off x="2475209" y="0"/>
                            <a:ext cx="1855806" cy="337008"/>
                          </a:xfrm>
                          <a:prstGeom prst="roundRect">
                            <a:avLst>
                              <a:gd name="adj" fmla="val 16667"/>
                            </a:avLst>
                          </a:prstGeom>
                          <a:solidFill>
                            <a:srgbClr val="BBE0E3"/>
                          </a:solidFill>
                          <a:ln w="9525">
                            <a:round/>
                            <a:headEnd/>
                            <a:tailEnd/>
                          </a:ln>
                          <a:scene3d>
                            <a:camera prst="legacyObliqueTopRight"/>
                            <a:lightRig rig="legacyFlat3" dir="b"/>
                          </a:scene3d>
                          <a:sp3d extrusionH="430200" prstMaterial="legacyMatte">
                            <a:bevelT w="13500" h="13500" prst="angle"/>
                            <a:bevelB w="13500" h="13500" prst="angle"/>
                            <a:extrusionClr>
                              <a:srgbClr val="BBE0E3"/>
                            </a:extrusionClr>
                            <a:contourClr>
                              <a:srgbClr val="BBE0E3"/>
                            </a:contourClr>
                          </a:sp3d>
                        </wps:spPr>
                        <wps:txbx>
                          <w:txbxContent>
                            <w:p w14:paraId="220974F6" w14:textId="77777777" w:rsidR="00471742" w:rsidRPr="00C53DF4" w:rsidRDefault="00471742" w:rsidP="00BE0B19">
                              <w:pPr>
                                <w:jc w:val="center"/>
                                <w:rPr>
                                  <w:b/>
                                </w:rPr>
                              </w:pPr>
                              <w:r w:rsidRPr="00C53DF4">
                                <w:rPr>
                                  <w:b/>
                                </w:rPr>
                                <w:t>Невропатна болка</w:t>
                              </w:r>
                            </w:p>
                          </w:txbxContent>
                        </wps:txbx>
                        <wps:bodyPr rot="0" vert="horz" wrap="square" lIns="0" tIns="0" rIns="0" bIns="0" anchor="ctr" anchorCtr="0" upright="1">
                          <a:noAutofit/>
                        </wps:bodyPr>
                      </wps:wsp>
                      <wps:wsp>
                        <wps:cNvPr id="235" name="_s1073"/>
                        <wps:cNvSpPr>
                          <a:spLocks/>
                        </wps:cNvSpPr>
                        <wps:spPr bwMode="auto">
                          <a:xfrm>
                            <a:off x="887403" y="413610"/>
                            <a:ext cx="1331305" cy="248206"/>
                          </a:xfrm>
                          <a:prstGeom prst="roundRect">
                            <a:avLst>
                              <a:gd name="adj" fmla="val 16667"/>
                            </a:avLst>
                          </a:prstGeom>
                          <a:solidFill>
                            <a:srgbClr val="BBE0E3"/>
                          </a:solidFill>
                          <a:ln w="9525">
                            <a:round/>
                            <a:headEnd/>
                            <a:tailEnd/>
                          </a:ln>
                          <a:scene3d>
                            <a:camera prst="legacyObliqueTopRight"/>
                            <a:lightRig rig="legacyFlat3" dir="b"/>
                          </a:scene3d>
                          <a:sp3d extrusionH="430200" prstMaterial="legacyMatte">
                            <a:bevelT w="13500" h="13500" prst="angle"/>
                            <a:bevelB w="13500" h="13500" prst="angle"/>
                            <a:extrusionClr>
                              <a:srgbClr val="BBE0E3"/>
                            </a:extrusionClr>
                            <a:contourClr>
                              <a:srgbClr val="BBE0E3"/>
                            </a:contourClr>
                          </a:sp3d>
                        </wps:spPr>
                        <wps:txbx>
                          <w:txbxContent>
                            <w:p w14:paraId="5FD8D788" w14:textId="77777777" w:rsidR="00471742" w:rsidRPr="00C53DF4" w:rsidRDefault="00471742" w:rsidP="00BE0B19">
                              <w:pPr>
                                <w:jc w:val="center"/>
                                <w:rPr>
                                  <w:b/>
                                </w:rPr>
                              </w:pPr>
                              <w:r w:rsidRPr="00C53DF4">
                                <w:rPr>
                                  <w:b/>
                                </w:rPr>
                                <w:t>Периферна</w:t>
                              </w:r>
                            </w:p>
                          </w:txbxContent>
                        </wps:txbx>
                        <wps:bodyPr rot="0" vert="horz" wrap="square" lIns="0" tIns="0" rIns="0" bIns="0" anchor="ctr" anchorCtr="0" upright="1">
                          <a:noAutofit/>
                        </wps:bodyPr>
                      </wps:wsp>
                      <wps:wsp>
                        <wps:cNvPr id="236" name="_s1074"/>
                        <wps:cNvSpPr>
                          <a:spLocks/>
                        </wps:cNvSpPr>
                        <wps:spPr bwMode="auto">
                          <a:xfrm>
                            <a:off x="4429415" y="394560"/>
                            <a:ext cx="1331305" cy="267807"/>
                          </a:xfrm>
                          <a:prstGeom prst="roundRect">
                            <a:avLst>
                              <a:gd name="adj" fmla="val 16667"/>
                            </a:avLst>
                          </a:prstGeom>
                          <a:solidFill>
                            <a:srgbClr val="F79646"/>
                          </a:solidFill>
                          <a:ln w="9525">
                            <a:round/>
                            <a:headEnd/>
                            <a:tailEnd/>
                          </a:ln>
                          <a:effectLst/>
                          <a:scene3d>
                            <a:camera prst="legacyObliqueTopRight">
                              <a:rot lat="20699996" lon="300000" rev="0"/>
                            </a:camera>
                            <a:lightRig rig="legacyFlat3" dir="b"/>
                          </a:scene3d>
                          <a:sp3d extrusionH="430200" prstMaterial="legacyMatte">
                            <a:bevelT w="13500" h="13500" prst="angle"/>
                            <a:bevelB w="13500" h="13500" prst="angle"/>
                            <a:extrusionClr>
                              <a:srgbClr val="F79646"/>
                            </a:extrusionClr>
                            <a:contourClr>
                              <a:srgbClr val="F79646"/>
                            </a:contourClr>
                          </a:sp3d>
                          <a:extLst>
                            <a:ext uri="{AF507438-7753-43E0-B8FC-AC1667EBCBE1}">
                              <a14:hiddenEffects xmlns:a14="http://schemas.microsoft.com/office/drawing/2010/main">
                                <a:effectLst>
                                  <a:outerShdw dist="45791" dir="2021404" algn="ctr" rotWithShape="0">
                                    <a:srgbClr val="808080"/>
                                  </a:outerShdw>
                                </a:effectLst>
                              </a14:hiddenEffects>
                            </a:ext>
                          </a:extLst>
                        </wps:spPr>
                        <wps:txbx>
                          <w:txbxContent>
                            <w:p w14:paraId="1CD17844" w14:textId="77777777" w:rsidR="00471742" w:rsidRPr="00C53DF4" w:rsidRDefault="00471742" w:rsidP="00BE0B19">
                              <w:pPr>
                                <w:jc w:val="center"/>
                                <w:rPr>
                                  <w:b/>
                                </w:rPr>
                              </w:pPr>
                              <w:r w:rsidRPr="00C53DF4">
                                <w:rPr>
                                  <w:b/>
                                </w:rPr>
                                <w:t xml:space="preserve">Централна </w:t>
                              </w:r>
                            </w:p>
                          </w:txbxContent>
                        </wps:txbx>
                        <wps:bodyPr rot="0" vert="horz" wrap="square" lIns="0" tIns="0" rIns="0" bIns="0" anchor="ctr" anchorCtr="0" upright="1">
                          <a:noAutofit/>
                        </wps:bodyPr>
                      </wps:wsp>
                      <wps:wsp>
                        <wps:cNvPr id="237" name="_s1075"/>
                        <wps:cNvSpPr>
                          <a:spLocks/>
                        </wps:cNvSpPr>
                        <wps:spPr bwMode="auto">
                          <a:xfrm>
                            <a:off x="0" y="778719"/>
                            <a:ext cx="1331205" cy="213305"/>
                          </a:xfrm>
                          <a:prstGeom prst="roundRect">
                            <a:avLst>
                              <a:gd name="adj" fmla="val 16667"/>
                            </a:avLst>
                          </a:prstGeom>
                          <a:solidFill>
                            <a:srgbClr val="BBE0E3"/>
                          </a:solidFill>
                          <a:ln w="9525">
                            <a:solidFill>
                              <a:srgbClr val="000000"/>
                            </a:solidFill>
                            <a:round/>
                            <a:headEnd/>
                            <a:tailEnd/>
                          </a:ln>
                        </wps:spPr>
                        <wps:txbx>
                          <w:txbxContent>
                            <w:p w14:paraId="2AFF85D9" w14:textId="77777777" w:rsidR="00471742" w:rsidRPr="0098480A" w:rsidRDefault="00471742" w:rsidP="00BE0B19">
                              <w:pPr>
                                <w:jc w:val="center"/>
                                <w:rPr>
                                  <w:b/>
                                </w:rPr>
                              </w:pPr>
                              <w:r w:rsidRPr="0098480A">
                                <w:rPr>
                                  <w:b/>
                                </w:rPr>
                                <w:t>невралгии</w:t>
                              </w:r>
                            </w:p>
                          </w:txbxContent>
                        </wps:txbx>
                        <wps:bodyPr rot="0" vert="horz" wrap="square" lIns="0" tIns="0" rIns="0" bIns="0" anchor="ctr" anchorCtr="0" upright="1">
                          <a:noAutofit/>
                        </wps:bodyPr>
                      </wps:wsp>
                      <wps:wsp>
                        <wps:cNvPr id="238" name="_s1076"/>
                        <wps:cNvSpPr>
                          <a:spLocks/>
                        </wps:cNvSpPr>
                        <wps:spPr bwMode="auto">
                          <a:xfrm>
                            <a:off x="0" y="1103427"/>
                            <a:ext cx="1331205" cy="211705"/>
                          </a:xfrm>
                          <a:prstGeom prst="roundRect">
                            <a:avLst>
                              <a:gd name="adj" fmla="val 16667"/>
                            </a:avLst>
                          </a:prstGeom>
                          <a:solidFill>
                            <a:srgbClr val="BBE0E3"/>
                          </a:solidFill>
                          <a:ln w="9525">
                            <a:solidFill>
                              <a:srgbClr val="000000"/>
                            </a:solidFill>
                            <a:round/>
                            <a:headEnd/>
                            <a:tailEnd/>
                          </a:ln>
                        </wps:spPr>
                        <wps:txbx>
                          <w:txbxContent>
                            <w:p w14:paraId="27BE91B4" w14:textId="77777777" w:rsidR="00471742" w:rsidRPr="0098480A" w:rsidRDefault="00471742" w:rsidP="00BE0B19">
                              <w:pPr>
                                <w:jc w:val="center"/>
                                <w:rPr>
                                  <w:b/>
                                </w:rPr>
                              </w:pPr>
                              <w:r w:rsidRPr="0098480A">
                                <w:rPr>
                                  <w:b/>
                                </w:rPr>
                                <w:t>плексити</w:t>
                              </w:r>
                            </w:p>
                          </w:txbxContent>
                        </wps:txbx>
                        <wps:bodyPr rot="0" vert="horz" wrap="square" lIns="0" tIns="0" rIns="0" bIns="0" anchor="ctr" anchorCtr="0" upright="1">
                          <a:noAutofit/>
                        </wps:bodyPr>
                      </wps:wsp>
                      <wps:wsp>
                        <wps:cNvPr id="239" name="_s1077"/>
                        <wps:cNvSpPr>
                          <a:spLocks/>
                        </wps:cNvSpPr>
                        <wps:spPr bwMode="auto">
                          <a:xfrm>
                            <a:off x="0" y="1391734"/>
                            <a:ext cx="1331205" cy="211305"/>
                          </a:xfrm>
                          <a:prstGeom prst="roundRect">
                            <a:avLst>
                              <a:gd name="adj" fmla="val 16667"/>
                            </a:avLst>
                          </a:prstGeom>
                          <a:solidFill>
                            <a:srgbClr val="BBE0E3"/>
                          </a:solidFill>
                          <a:ln w="9525">
                            <a:solidFill>
                              <a:srgbClr val="000000"/>
                            </a:solidFill>
                            <a:round/>
                            <a:headEnd/>
                            <a:tailEnd/>
                          </a:ln>
                        </wps:spPr>
                        <wps:txbx>
                          <w:txbxContent>
                            <w:p w14:paraId="54E85EE3" w14:textId="77777777" w:rsidR="00471742" w:rsidRPr="0098480A" w:rsidRDefault="00471742" w:rsidP="00BE0B19">
                              <w:pPr>
                                <w:jc w:val="center"/>
                                <w:rPr>
                                  <w:b/>
                                </w:rPr>
                              </w:pPr>
                              <w:r w:rsidRPr="0098480A">
                                <w:rPr>
                                  <w:b/>
                                </w:rPr>
                                <w:t>фибромиалгия</w:t>
                              </w:r>
                            </w:p>
                          </w:txbxContent>
                        </wps:txbx>
                        <wps:bodyPr rot="0" vert="horz" wrap="square" lIns="0" tIns="0" rIns="0" bIns="0" anchor="ctr" anchorCtr="0" upright="1">
                          <a:noAutofit/>
                        </wps:bodyPr>
                      </wps:wsp>
                      <wps:wsp>
                        <wps:cNvPr id="240" name="_s1078"/>
                        <wps:cNvSpPr>
                          <a:spLocks/>
                        </wps:cNvSpPr>
                        <wps:spPr bwMode="auto">
                          <a:xfrm>
                            <a:off x="0" y="1679641"/>
                            <a:ext cx="1331205" cy="592615"/>
                          </a:xfrm>
                          <a:prstGeom prst="roundRect">
                            <a:avLst>
                              <a:gd name="adj" fmla="val 16667"/>
                            </a:avLst>
                          </a:prstGeom>
                          <a:solidFill>
                            <a:srgbClr val="BBE0E3"/>
                          </a:solidFill>
                          <a:ln w="9525">
                            <a:solidFill>
                              <a:srgbClr val="000000"/>
                            </a:solidFill>
                            <a:round/>
                            <a:headEnd/>
                            <a:tailEnd/>
                          </a:ln>
                        </wps:spPr>
                        <wps:txbx>
                          <w:txbxContent>
                            <w:p w14:paraId="718D02A7" w14:textId="77777777" w:rsidR="00471742" w:rsidRPr="0098480A" w:rsidRDefault="00471742" w:rsidP="00BE0B19">
                              <w:pPr>
                                <w:jc w:val="center"/>
                                <w:rPr>
                                  <w:b/>
                                </w:rPr>
                              </w:pPr>
                              <w:r w:rsidRPr="0098480A">
                                <w:rPr>
                                  <w:b/>
                                </w:rPr>
                                <w:t>Комплексен регионален болков синдром</w:t>
                              </w:r>
                            </w:p>
                          </w:txbxContent>
                        </wps:txbx>
                        <wps:bodyPr rot="0" vert="horz" wrap="square" lIns="0" tIns="0" rIns="0" bIns="0" anchor="ctr" anchorCtr="0" upright="1">
                          <a:noAutofit/>
                        </wps:bodyPr>
                      </wps:wsp>
                      <wps:wsp>
                        <wps:cNvPr id="241" name="_s1079"/>
                        <wps:cNvSpPr>
                          <a:spLocks/>
                        </wps:cNvSpPr>
                        <wps:spPr bwMode="auto">
                          <a:xfrm>
                            <a:off x="0" y="2348858"/>
                            <a:ext cx="1331205" cy="405310"/>
                          </a:xfrm>
                          <a:prstGeom prst="roundRect">
                            <a:avLst>
                              <a:gd name="adj" fmla="val 16667"/>
                            </a:avLst>
                          </a:prstGeom>
                          <a:solidFill>
                            <a:srgbClr val="BBE0E3"/>
                          </a:solidFill>
                          <a:ln w="9525">
                            <a:solidFill>
                              <a:srgbClr val="000000"/>
                            </a:solidFill>
                            <a:round/>
                            <a:headEnd/>
                            <a:tailEnd/>
                          </a:ln>
                        </wps:spPr>
                        <wps:txbx>
                          <w:txbxContent>
                            <w:p w14:paraId="49ABB8DA" w14:textId="77777777" w:rsidR="00471742" w:rsidRPr="00C53DF4" w:rsidRDefault="00471742" w:rsidP="00BE0B19">
                              <w:pPr>
                                <w:jc w:val="center"/>
                                <w:rPr>
                                  <w:b/>
                                </w:rPr>
                              </w:pPr>
                              <w:r w:rsidRPr="00C53DF4">
                                <w:rPr>
                                  <w:b/>
                                </w:rPr>
                                <w:t>Компресионни</w:t>
                              </w:r>
                              <w:r>
                                <w:rPr>
                                  <w:b/>
                                </w:rPr>
                                <w:t xml:space="preserve"> </w:t>
                              </w:r>
                              <w:r w:rsidRPr="00C53DF4">
                                <w:rPr>
                                  <w:b/>
                                </w:rPr>
                                <w:t>невропатии</w:t>
                              </w:r>
                            </w:p>
                          </w:txbxContent>
                        </wps:txbx>
                        <wps:bodyPr rot="0" vert="horz" wrap="square" lIns="0" tIns="0" rIns="0" bIns="0" anchor="ctr" anchorCtr="0" upright="1">
                          <a:noAutofit/>
                        </wps:bodyPr>
                      </wps:wsp>
                      <wps:wsp>
                        <wps:cNvPr id="242" name="_s1080"/>
                        <wps:cNvSpPr>
                          <a:spLocks/>
                        </wps:cNvSpPr>
                        <wps:spPr bwMode="auto">
                          <a:xfrm>
                            <a:off x="3549912" y="778719"/>
                            <a:ext cx="1760206" cy="248006"/>
                          </a:xfrm>
                          <a:prstGeom prst="roundRect">
                            <a:avLst>
                              <a:gd name="adj" fmla="val 16667"/>
                            </a:avLst>
                          </a:prstGeom>
                          <a:solidFill>
                            <a:srgbClr val="BBE0E3"/>
                          </a:solidFill>
                          <a:ln w="9525">
                            <a:solidFill>
                              <a:srgbClr val="000000"/>
                            </a:solidFill>
                            <a:round/>
                            <a:headEnd/>
                            <a:tailEnd/>
                          </a:ln>
                        </wps:spPr>
                        <wps:txbx>
                          <w:txbxContent>
                            <w:p w14:paraId="5BDF6A85" w14:textId="77777777" w:rsidR="00471742" w:rsidRPr="0098480A" w:rsidRDefault="00471742" w:rsidP="00BE0B19">
                              <w:pPr>
                                <w:jc w:val="center"/>
                                <w:rPr>
                                  <w:b/>
                                </w:rPr>
                              </w:pPr>
                              <w:r>
                                <w:rPr>
                                  <w:b/>
                                </w:rPr>
                                <w:t>Г</w:t>
                              </w:r>
                              <w:r w:rsidRPr="0098480A">
                                <w:rPr>
                                  <w:b/>
                                </w:rPr>
                                <w:t>ръбначномозъчна</w:t>
                              </w:r>
                            </w:p>
                          </w:txbxContent>
                        </wps:txbx>
                        <wps:bodyPr rot="0" vert="horz" wrap="square" lIns="0" tIns="0" rIns="0" bIns="0" anchor="ctr" anchorCtr="0" upright="1">
                          <a:noAutofit/>
                        </wps:bodyPr>
                      </wps:wsp>
                      <wps:wsp>
                        <wps:cNvPr id="243" name="_s1081"/>
                        <wps:cNvSpPr>
                          <a:spLocks/>
                        </wps:cNvSpPr>
                        <wps:spPr bwMode="auto">
                          <a:xfrm>
                            <a:off x="3833413" y="1679641"/>
                            <a:ext cx="1476705" cy="391610"/>
                          </a:xfrm>
                          <a:prstGeom prst="roundRect">
                            <a:avLst>
                              <a:gd name="adj" fmla="val 16667"/>
                            </a:avLst>
                          </a:prstGeom>
                          <a:solidFill>
                            <a:srgbClr val="BBE0E3"/>
                          </a:solidFill>
                          <a:ln w="9525">
                            <a:solidFill>
                              <a:srgbClr val="000000"/>
                            </a:solidFill>
                            <a:round/>
                            <a:headEnd/>
                            <a:tailEnd/>
                          </a:ln>
                        </wps:spPr>
                        <wps:txbx>
                          <w:txbxContent>
                            <w:p w14:paraId="25065CAA" w14:textId="77777777" w:rsidR="00471742" w:rsidRPr="0098480A" w:rsidRDefault="00471742" w:rsidP="00BE0B19">
                              <w:pPr>
                                <w:jc w:val="center"/>
                                <w:rPr>
                                  <w:b/>
                                </w:rPr>
                              </w:pPr>
                              <w:r w:rsidRPr="0098480A">
                                <w:rPr>
                                  <w:b/>
                                </w:rPr>
                                <w:t>Централна мозъчна</w:t>
                              </w:r>
                            </w:p>
                            <w:p w14:paraId="001DB244" w14:textId="77777777" w:rsidR="00471742" w:rsidRPr="00C53DF4" w:rsidRDefault="00471742" w:rsidP="00BE0B19">
                              <w:pPr>
                                <w:jc w:val="center"/>
                                <w:rPr>
                                  <w:sz w:val="16"/>
                                </w:rPr>
                              </w:pPr>
                            </w:p>
                          </w:txbxContent>
                        </wps:txbx>
                        <wps:bodyPr rot="0" vert="horz" wrap="square" lIns="0" tIns="0" rIns="0" bIns="0" anchor="ctr" anchorCtr="0" upright="1">
                          <a:noAutofit/>
                        </wps:bodyPr>
                      </wps:wsp>
                      <wps:wsp>
                        <wps:cNvPr id="244" name="_s1082"/>
                        <wps:cNvSpPr>
                          <a:spLocks/>
                        </wps:cNvSpPr>
                        <wps:spPr bwMode="auto">
                          <a:xfrm>
                            <a:off x="2662409" y="413610"/>
                            <a:ext cx="1331205" cy="288507"/>
                          </a:xfrm>
                          <a:prstGeom prst="roundRect">
                            <a:avLst>
                              <a:gd name="adj" fmla="val 16667"/>
                            </a:avLst>
                          </a:prstGeom>
                          <a:solidFill>
                            <a:srgbClr val="BBE0E3"/>
                          </a:solidFill>
                          <a:ln w="9525">
                            <a:round/>
                            <a:headEnd/>
                            <a:tailEnd/>
                          </a:ln>
                          <a:scene3d>
                            <a:camera prst="legacyObliqueTopRight"/>
                            <a:lightRig rig="legacyFlat3" dir="b"/>
                          </a:scene3d>
                          <a:sp3d extrusionH="430200" prstMaterial="legacyMatte">
                            <a:bevelT w="13500" h="13500" prst="angle"/>
                            <a:bevelB w="13500" h="13500" prst="angle"/>
                            <a:extrusionClr>
                              <a:srgbClr val="BBE0E3"/>
                            </a:extrusionClr>
                            <a:contourClr>
                              <a:srgbClr val="BBE0E3"/>
                            </a:contourClr>
                          </a:sp3d>
                        </wps:spPr>
                        <wps:txbx>
                          <w:txbxContent>
                            <w:p w14:paraId="0E4C7947" w14:textId="77777777" w:rsidR="00471742" w:rsidRPr="00C53DF4" w:rsidRDefault="00471742" w:rsidP="00BE0B19">
                              <w:pPr>
                                <w:jc w:val="center"/>
                                <w:rPr>
                                  <w:b/>
                                </w:rPr>
                              </w:pPr>
                              <w:r w:rsidRPr="00C53DF4">
                                <w:rPr>
                                  <w:b/>
                                </w:rPr>
                                <w:t>Смесена</w:t>
                              </w:r>
                            </w:p>
                          </w:txbxContent>
                        </wps:txbx>
                        <wps:bodyPr rot="0" vert="horz" wrap="square" lIns="0" tIns="0" rIns="0" bIns="0" anchor="ctr" anchorCtr="0" upright="1">
                          <a:noAutofit/>
                        </wps:bodyPr>
                      </wps:wsp>
                      <wps:wsp>
                        <wps:cNvPr id="245" name="_s1083"/>
                        <wps:cNvSpPr>
                          <a:spLocks/>
                        </wps:cNvSpPr>
                        <wps:spPr bwMode="auto">
                          <a:xfrm>
                            <a:off x="1774906" y="778719"/>
                            <a:ext cx="1331205" cy="222105"/>
                          </a:xfrm>
                          <a:prstGeom prst="roundRect">
                            <a:avLst>
                              <a:gd name="adj" fmla="val 16667"/>
                            </a:avLst>
                          </a:prstGeom>
                          <a:solidFill>
                            <a:srgbClr val="BBE0E3"/>
                          </a:solidFill>
                          <a:ln w="9525">
                            <a:solidFill>
                              <a:srgbClr val="000000"/>
                            </a:solidFill>
                            <a:round/>
                            <a:headEnd/>
                            <a:tailEnd/>
                          </a:ln>
                        </wps:spPr>
                        <wps:txbx>
                          <w:txbxContent>
                            <w:p w14:paraId="26D55078" w14:textId="77777777" w:rsidR="00471742" w:rsidRPr="0098480A" w:rsidRDefault="00471742" w:rsidP="00BE0B19">
                              <w:pPr>
                                <w:jc w:val="center"/>
                                <w:rPr>
                                  <w:b/>
                                </w:rPr>
                              </w:pPr>
                              <w:r w:rsidRPr="0098480A">
                                <w:rPr>
                                  <w:b/>
                                </w:rPr>
                                <w:t>Болки в гърба</w:t>
                              </w:r>
                            </w:p>
                          </w:txbxContent>
                        </wps:txbx>
                        <wps:bodyPr rot="0" vert="horz" wrap="square" lIns="0" tIns="0" rIns="0" bIns="0" anchor="ctr" anchorCtr="0" upright="1">
                          <a:noAutofit/>
                        </wps:bodyPr>
                      </wps:wsp>
                      <wps:wsp>
                        <wps:cNvPr id="246" name="_s1084"/>
                        <wps:cNvSpPr>
                          <a:spLocks/>
                        </wps:cNvSpPr>
                        <wps:spPr bwMode="auto">
                          <a:xfrm>
                            <a:off x="0" y="2830870"/>
                            <a:ext cx="1331205" cy="203005"/>
                          </a:xfrm>
                          <a:prstGeom prst="roundRect">
                            <a:avLst>
                              <a:gd name="adj" fmla="val 16667"/>
                            </a:avLst>
                          </a:prstGeom>
                          <a:solidFill>
                            <a:srgbClr val="BBE0E3"/>
                          </a:solidFill>
                          <a:ln w="9525">
                            <a:solidFill>
                              <a:srgbClr val="000000"/>
                            </a:solidFill>
                            <a:round/>
                            <a:headEnd/>
                            <a:tailEnd/>
                          </a:ln>
                        </wps:spPr>
                        <wps:txbx>
                          <w:txbxContent>
                            <w:p w14:paraId="607CCBDD" w14:textId="77777777" w:rsidR="00471742" w:rsidRPr="00C53DF4" w:rsidRDefault="00471742" w:rsidP="00BE0B19">
                              <w:pPr>
                                <w:jc w:val="center"/>
                                <w:rPr>
                                  <w:b/>
                                </w:rPr>
                              </w:pPr>
                              <w:r w:rsidRPr="00C53DF4">
                                <w:rPr>
                                  <w:b/>
                                </w:rPr>
                                <w:t>полиневропатии</w:t>
                              </w:r>
                            </w:p>
                          </w:txbxContent>
                        </wps:txbx>
                        <wps:bodyPr rot="0" vert="horz" wrap="square" lIns="0" tIns="0" rIns="0" bIns="0" anchor="ctr" anchorCtr="0" upright="1">
                          <a:noAutofit/>
                        </wps:bodyPr>
                      </wps:wsp>
                      <wps:wsp>
                        <wps:cNvPr id="247" name="_s1085"/>
                        <wps:cNvSpPr>
                          <a:spLocks/>
                        </wps:cNvSpPr>
                        <wps:spPr bwMode="auto">
                          <a:xfrm>
                            <a:off x="3879613" y="2348858"/>
                            <a:ext cx="1384205" cy="213605"/>
                          </a:xfrm>
                          <a:prstGeom prst="roundRect">
                            <a:avLst>
                              <a:gd name="adj" fmla="val 16667"/>
                            </a:avLst>
                          </a:prstGeom>
                          <a:solidFill>
                            <a:srgbClr val="BBE0E3"/>
                          </a:solidFill>
                          <a:ln w="9525">
                            <a:solidFill>
                              <a:srgbClr val="000000"/>
                            </a:solidFill>
                            <a:round/>
                            <a:headEnd/>
                            <a:tailEnd/>
                          </a:ln>
                        </wps:spPr>
                        <wps:txbx>
                          <w:txbxContent>
                            <w:p w14:paraId="2EA5B926" w14:textId="77777777" w:rsidR="00471742" w:rsidRPr="00D94AA5" w:rsidRDefault="00471742" w:rsidP="00BE0B19">
                              <w:pPr>
                                <w:jc w:val="center"/>
                                <w:rPr>
                                  <w:b/>
                                </w:rPr>
                              </w:pPr>
                              <w:r w:rsidRPr="00D94AA5">
                                <w:rPr>
                                  <w:b/>
                                </w:rPr>
                                <w:t>Мозъчен инсулт</w:t>
                              </w:r>
                            </w:p>
                          </w:txbxContent>
                        </wps:txbx>
                        <wps:bodyPr rot="0" vert="horz" wrap="square" lIns="0" tIns="0" rIns="0" bIns="0" anchor="ctr" anchorCtr="0" upright="1">
                          <a:noAutofit/>
                        </wps:bodyPr>
                      </wps:wsp>
                      <wps:wsp>
                        <wps:cNvPr id="248" name="_s1086"/>
                        <wps:cNvSpPr>
                          <a:spLocks/>
                        </wps:cNvSpPr>
                        <wps:spPr bwMode="auto">
                          <a:xfrm>
                            <a:off x="3906114" y="2830870"/>
                            <a:ext cx="1331205" cy="392410"/>
                          </a:xfrm>
                          <a:prstGeom prst="roundRect">
                            <a:avLst>
                              <a:gd name="adj" fmla="val 16667"/>
                            </a:avLst>
                          </a:prstGeom>
                          <a:solidFill>
                            <a:srgbClr val="BBE0E3"/>
                          </a:solidFill>
                          <a:ln w="9525">
                            <a:solidFill>
                              <a:srgbClr val="000000"/>
                            </a:solidFill>
                            <a:round/>
                            <a:headEnd/>
                            <a:tailEnd/>
                          </a:ln>
                        </wps:spPr>
                        <wps:txbx>
                          <w:txbxContent>
                            <w:p w14:paraId="26BCB4CF" w14:textId="77777777" w:rsidR="00471742" w:rsidRPr="00D94AA5" w:rsidRDefault="00471742" w:rsidP="00BE0B19">
                              <w:pPr>
                                <w:jc w:val="center"/>
                                <w:rPr>
                                  <w:b/>
                                </w:rPr>
                              </w:pPr>
                              <w:r w:rsidRPr="00D94AA5">
                                <w:rPr>
                                  <w:b/>
                                </w:rPr>
                                <w:t>Множествена склероза</w:t>
                              </w:r>
                            </w:p>
                          </w:txbxContent>
                        </wps:txbx>
                        <wps:bodyPr rot="0" vert="horz" wrap="square" lIns="0" tIns="0" rIns="0" bIns="0" anchor="ctr" anchorCtr="0" upright="1">
                          <a:noAutofit/>
                        </wps:bodyPr>
                      </wps:wsp>
                      <wps:wsp>
                        <wps:cNvPr id="249" name="_s1087"/>
                        <wps:cNvSpPr>
                          <a:spLocks/>
                        </wps:cNvSpPr>
                        <wps:spPr bwMode="auto">
                          <a:xfrm>
                            <a:off x="3914114" y="3299881"/>
                            <a:ext cx="1315205" cy="396610"/>
                          </a:xfrm>
                          <a:prstGeom prst="roundRect">
                            <a:avLst>
                              <a:gd name="adj" fmla="val 16667"/>
                            </a:avLst>
                          </a:prstGeom>
                          <a:solidFill>
                            <a:srgbClr val="BBE0E3"/>
                          </a:solidFill>
                          <a:ln w="9525">
                            <a:solidFill>
                              <a:srgbClr val="000000"/>
                            </a:solidFill>
                            <a:round/>
                            <a:headEnd/>
                            <a:tailEnd/>
                          </a:ln>
                        </wps:spPr>
                        <wps:txbx>
                          <w:txbxContent>
                            <w:p w14:paraId="3071200C" w14:textId="77777777" w:rsidR="00471742" w:rsidRPr="00D94AA5" w:rsidRDefault="00471742" w:rsidP="00BE0B19">
                              <w:pPr>
                                <w:jc w:val="center"/>
                                <w:rPr>
                                  <w:b/>
                                </w:rPr>
                              </w:pPr>
                              <w:r w:rsidRPr="00D94AA5">
                                <w:rPr>
                                  <w:b/>
                                </w:rPr>
                                <w:t>Паркинсонова болест</w:t>
                              </w:r>
                            </w:p>
                          </w:txbxContent>
                        </wps:txbx>
                        <wps:bodyPr rot="0" vert="horz" wrap="square" lIns="0" tIns="0" rIns="0" bIns="0" anchor="ctr" anchorCtr="0" upright="1">
                          <a:noAutofit/>
                        </wps:bodyPr>
                      </wps:wsp>
                      <wps:wsp>
                        <wps:cNvPr id="250" name="_s1088"/>
                        <wps:cNvSpPr>
                          <a:spLocks/>
                        </wps:cNvSpPr>
                        <wps:spPr bwMode="auto">
                          <a:xfrm>
                            <a:off x="3765013" y="1103427"/>
                            <a:ext cx="1330605" cy="183705"/>
                          </a:xfrm>
                          <a:prstGeom prst="roundRect">
                            <a:avLst>
                              <a:gd name="adj" fmla="val 16667"/>
                            </a:avLst>
                          </a:prstGeom>
                          <a:solidFill>
                            <a:srgbClr val="BBE0E3"/>
                          </a:solidFill>
                          <a:ln w="9525">
                            <a:solidFill>
                              <a:srgbClr val="000000"/>
                            </a:solidFill>
                            <a:round/>
                            <a:headEnd/>
                            <a:tailEnd/>
                          </a:ln>
                        </wps:spPr>
                        <wps:txbx>
                          <w:txbxContent>
                            <w:p w14:paraId="7EE744B2" w14:textId="77777777" w:rsidR="00471742" w:rsidRPr="00D94AA5" w:rsidRDefault="00471742" w:rsidP="00BE0B19">
                              <w:pPr>
                                <w:jc w:val="center"/>
                                <w:rPr>
                                  <w:b/>
                                </w:rPr>
                              </w:pPr>
                              <w:r w:rsidRPr="00D94AA5">
                                <w:rPr>
                                  <w:b/>
                                </w:rPr>
                                <w:t>травма</w:t>
                              </w:r>
                            </w:p>
                          </w:txbxContent>
                        </wps:txbx>
                        <wps:bodyPr rot="0" vert="horz" wrap="square" lIns="0" tIns="0" rIns="0" bIns="0" anchor="ctr" anchorCtr="0" upright="1">
                          <a:noAutofit/>
                        </wps:bodyPr>
                      </wps:wsp>
                      <wps:wsp>
                        <wps:cNvPr id="251" name="_s1089"/>
                        <wps:cNvSpPr>
                          <a:spLocks/>
                        </wps:cNvSpPr>
                        <wps:spPr bwMode="auto">
                          <a:xfrm>
                            <a:off x="3764413" y="1391734"/>
                            <a:ext cx="1331205" cy="198405"/>
                          </a:xfrm>
                          <a:prstGeom prst="roundRect">
                            <a:avLst>
                              <a:gd name="adj" fmla="val 16667"/>
                            </a:avLst>
                          </a:prstGeom>
                          <a:solidFill>
                            <a:srgbClr val="BBE0E3"/>
                          </a:solidFill>
                          <a:ln w="9525">
                            <a:solidFill>
                              <a:srgbClr val="000000"/>
                            </a:solidFill>
                            <a:round/>
                            <a:headEnd/>
                            <a:tailEnd/>
                          </a:ln>
                        </wps:spPr>
                        <wps:txbx>
                          <w:txbxContent>
                            <w:p w14:paraId="094366CA" w14:textId="77777777" w:rsidR="00471742" w:rsidRPr="0020154C" w:rsidRDefault="00471742" w:rsidP="00BE0B19">
                              <w:pPr>
                                <w:jc w:val="center"/>
                                <w:rPr>
                                  <w:b/>
                                </w:rPr>
                              </w:pPr>
                              <w:r w:rsidRPr="0020154C">
                                <w:rPr>
                                  <w:b/>
                                </w:rPr>
                                <w:t>сирингомиелия</w:t>
                              </w:r>
                            </w:p>
                          </w:txbxContent>
                        </wps:txbx>
                        <wps:bodyPr rot="0" vert="horz" wrap="square" lIns="0" tIns="0" rIns="0" bIns="0" anchor="ctr" anchorCtr="0" upright="1">
                          <a:noAutofit/>
                        </wps:bodyPr>
                      </wps:wsp>
                    </wpc:wpc>
                  </a:graphicData>
                </a:graphic>
              </wp:inline>
            </w:drawing>
          </mc:Choice>
          <mc:Fallback>
            <w:pict>
              <v:group w14:anchorId="63659C2F" id="Organization Chart 29" o:spid="_x0000_s1048" editas="canvas" style="width:453.6pt;height:271.55pt;mso-position-horizontal-relative:char;mso-position-vertical-relative:line" coordsize="57607,34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">
                <v:shape id="_x0000_s1049" type="#_x0000_t75" style="position:absolute;width:57607;height:34486;visibility:visible;mso-wrap-style:square">
                  <v:fill o:detectmouseclick="t"/>
                  <v:path o:connecttype="none"/>
                </v:shape>
                <v:shapetype id="_x0000_t32" coordsize="21600,21600" o:spt="32" o:oned="t" path="m,l21600,21600e" filled="f">
                  <v:path arrowok="t" fillok="f" o:connecttype="none"/>
                  <o:lock v:ext="edit" shapetype="t"/>
                </v:shapetype>
                <v:shape id="_s1055" o:spid="_x0000_s1050" type="#_x0000_t32" style="position:absolute;left:43789;top:13392;width:1041;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" strokeweight="2.25pt">
                  <o:lock v:ext="edit" shapetype="f"/>
                </v:shape>
                <v:shape id="_s1056" o:spid="_x0000_s1051" type="#_x0000_t34" style="position:absolute;left:43925;top:10646;width:762;height:6;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" strokeweight="2.25pt">
                  <o:lock v:ext="edit" shapetype="f"/>
                </v:shape>
                <v:shape id="_s1057" o:spid="_x0000_s1052" type="#_x0000_t32" style="position:absolute;left:45336;top:32613;width:768;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" strokeweight="2.25pt">
                  <o:lock v:ext="edit" shapetype="f"/>
                </v:shape>
                <v:shape id="_s1058" o:spid="_x0000_s1053" type="#_x0000_t32" style="position:absolute;left:44379;top:26963;width:2680;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" strokeweight="2.25pt">
                  <o:lock v:ext="edit" shapetype="f"/>
                </v:shape>
                <v:shape id="_s1059" o:spid="_x0000_s1054" type="#_x0000_t32" style="position:absolute;left:44333;top:22096;width:2774;height: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" strokeweight="2.25pt">
                  <o:lock v:ext="edit" shapetype="f"/>
                </v:shape>
                <v:shape id="_s1060" o:spid="_x0000_s1055" type="#_x0000_t33" style="position:absolute;left:13312;top:6616;width:2218;height:22707;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" strokeweight="2.25pt">
                  <o:lock v:ext="edit" shapetype="f"/>
                </v:shape>
                <v:shape id="_s1061" o:spid="_x0000_s1056" type="#_x0000_t33" style="position:absolute;left:31061;top:7023;width:2219;height:1875;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" strokeweight="2.25pt">
                  <o:lock v:ext="edit" shapetype="f"/>
                </v:shape>
                <v:shape id="_s1062" o:spid="_x0000_s1057" type="#_x0000_t34" style="position:absolute;left:33972;top:2679;width:762;height:214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" strokeweight="2.25pt">
                  <o:lock v:ext="edit" shapetype="f"/>
                </v:shape>
                <v:shape id="_s1063" o:spid="_x0000_s1058" type="#_x0000_t33" style="position:absolute;left:53101;top:6814;width:2218;height:1194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" strokeweight="2.25pt">
                  <o:lock v:ext="edit" shapetype="f"/>
                </v:shape>
                <v:shape id="_s1064" o:spid="_x0000_s1059" type="#_x0000_t33" style="position:absolute;left:53101;top:6814;width:2218;height:2217;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" strokeweight="2.25pt">
                  <o:lock v:ext="edit" shapetype="f"/>
                </v:shape>
                <v:shape id="_s1065" o:spid="_x0000_s1060" type="#_x0000_t33" style="position:absolute;left:13312;top:6618;width:2218;height:1890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" strokeweight="2.25pt">
                  <o:lock v:ext="edit" shapetype="f"/>
                </v:shape>
                <v:shape id="_s1066" o:spid="_x0000_s1061" type="#_x0000_t33" style="position:absolute;left:13312;top:6618;width:2218;height:13146;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" strokeweight="2.25pt">
                  <o:lock v:ext="edit" shapetype="f"/>
                </v:shape>
                <v:shape id="_s1067" o:spid="_x0000_s1062" type="#_x0000_t33" style="position:absolute;left:13312;top:6618;width:2218;height:8356;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" strokeweight="2.25pt">
                  <o:lock v:ext="edit" shapetype="f"/>
                </v:shape>
                <v:shape id="_s1068" o:spid="_x0000_s1063" type="#_x0000_t33" style="position:absolute;left:13312;top:6616;width:2218;height:5476;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" strokeweight="2.25pt">
                  <o:lock v:ext="edit" shapetype="f"/>
                </v:shape>
                <v:shape id="_s1069" o:spid="_x0000_s1064" type="#_x0000_t33" style="position:absolute;left:13312;top:6618;width:2218;height:2234;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" strokeweight="2.25pt">
                  <o:lock v:ext="edit" shapetype="f"/>
                </v:shape>
                <v:shape id="_s1070" o:spid="_x0000_s1065" type="#_x0000_t34" style="position:absolute;left:44991;top:-6194;width:762;height:1989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" strokeweight="2.25pt">
                  <o:lock v:ext="edit" shapetype="f"/>
                </v:shape>
                <v:shape id="_s1071" o:spid="_x0000_s1066" type="#_x0000_t34" style="position:absolute;left:25097;top:-6196;width:762;height:1989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" strokeweight="2.25pt">
                  <o:lock v:ext="edit" shapetype="f"/>
                </v:shape>
                <v:roundrect id="_s1072" o:spid="_x0000_s1067" style="position:absolute;left:24752;width:18558;height:337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" fillcolor="#bbe0e3">
                  <o:extrusion v:ext="view" color="#bbe0e3" on="t"/>
                  <v:path arrowok="t"/>
                  <v:textbox inset="0,0,0,0">
                    <w:txbxContent>
                      <w:p w14:paraId="220974F6" w14:textId="77777777" w:rsidR="00471742" w:rsidRPr="00C53DF4" w:rsidRDefault="00471742" w:rsidP="00BE0B19">
                        <w:pPr>
                          <w:jc w:val="center"/>
                          <w:rPr>
                            <w:b/>
                          </w:rPr>
                        </w:pPr>
                        <w:r w:rsidRPr="00C53DF4">
                          <w:rPr>
                            <w:b/>
                          </w:rPr>
                          <w:t>Невропатна болка</w:t>
                        </w:r>
                      </w:p>
                    </w:txbxContent>
                  </v:textbox>
                </v:roundrect>
                <v:roundrect id="_s1073" o:spid="_x0000_s1068" style="position:absolute;left:8874;top:4136;width:13313;height:24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" fillcolor="#bbe0e3">
                  <o:extrusion v:ext="view" color="#bbe0e3" on="t"/>
                  <v:path arrowok="t"/>
                  <v:textbox inset="0,0,0,0">
                    <w:txbxContent>
                      <w:p w14:paraId="5FD8D788" w14:textId="77777777" w:rsidR="00471742" w:rsidRPr="00C53DF4" w:rsidRDefault="00471742" w:rsidP="00BE0B19">
                        <w:pPr>
                          <w:jc w:val="center"/>
                          <w:rPr>
                            <w:b/>
                          </w:rPr>
                        </w:pPr>
                        <w:r w:rsidRPr="00C53DF4">
                          <w:rPr>
                            <w:b/>
                          </w:rPr>
                          <w:t>Периферна</w:t>
                        </w:r>
                      </w:p>
                    </w:txbxContent>
                  </v:textbox>
                </v:roundrect>
                <v:roundrect id="_s1074" o:spid="_x0000_s1069" style="position:absolute;left:44294;top:3945;width:13313;height:26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" fillcolor="#f79646">
                  <v:shadow offset="3pt"/>
                  <o:extrusion v:ext="view" color="#f79646" on="t" rotationangle="983045fd,5"/>
                  <v:path arrowok="t"/>
                  <v:textbox inset="0,0,0,0">
                    <w:txbxContent>
                      <w:p w14:paraId="1CD17844" w14:textId="77777777" w:rsidR="00471742" w:rsidRPr="00C53DF4" w:rsidRDefault="00471742" w:rsidP="00BE0B19">
                        <w:pPr>
                          <w:jc w:val="center"/>
                          <w:rPr>
                            <w:b/>
                          </w:rPr>
                        </w:pPr>
                        <w:r w:rsidRPr="00C53DF4">
                          <w:rPr>
                            <w:b/>
                          </w:rPr>
                          <w:t xml:space="preserve">Централна </w:t>
                        </w:r>
                      </w:p>
                    </w:txbxContent>
                  </v:textbox>
                </v:roundrect>
                <v:roundrect id="_s1075" o:spid="_x0000_s1070" style="position:absolute;top:7787;width:13312;height:213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" fillcolor="#bbe0e3">
                  <v:path arrowok="t"/>
                  <v:textbox inset="0,0,0,0">
                    <w:txbxContent>
                      <w:p w14:paraId="2AFF85D9" w14:textId="77777777" w:rsidR="00471742" w:rsidRPr="0098480A" w:rsidRDefault="00471742" w:rsidP="00BE0B19">
                        <w:pPr>
                          <w:jc w:val="center"/>
                          <w:rPr>
                            <w:b/>
                          </w:rPr>
                        </w:pPr>
                        <w:r w:rsidRPr="0098480A">
                          <w:rPr>
                            <w:b/>
                          </w:rPr>
                          <w:t>невралгии</w:t>
                        </w:r>
                      </w:p>
                    </w:txbxContent>
                  </v:textbox>
                </v:roundrect>
                <v:roundrect id="_s1076" o:spid="_x0000_s1071" style="position:absolute;top:11034;width:13312;height:21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" fillcolor="#bbe0e3">
                  <v:path arrowok="t"/>
                  <v:textbox inset="0,0,0,0">
                    <w:txbxContent>
                      <w:p w14:paraId="27BE91B4" w14:textId="77777777" w:rsidR="00471742" w:rsidRPr="0098480A" w:rsidRDefault="00471742" w:rsidP="00BE0B19">
                        <w:pPr>
                          <w:jc w:val="center"/>
                          <w:rPr>
                            <w:b/>
                          </w:rPr>
                        </w:pPr>
                        <w:r w:rsidRPr="0098480A">
                          <w:rPr>
                            <w:b/>
                          </w:rPr>
                          <w:t>плексити</w:t>
                        </w:r>
                      </w:p>
                    </w:txbxContent>
                  </v:textbox>
                </v:roundrect>
                <v:roundrect id="_s1077" o:spid="_x0000_s1072" style="position:absolute;top:13917;width:13312;height:211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" fillcolor="#bbe0e3">
                  <v:path arrowok="t"/>
                  <v:textbox inset="0,0,0,0">
                    <w:txbxContent>
                      <w:p w14:paraId="54E85EE3" w14:textId="77777777" w:rsidR="00471742" w:rsidRPr="0098480A" w:rsidRDefault="00471742" w:rsidP="00BE0B19">
                        <w:pPr>
                          <w:jc w:val="center"/>
                          <w:rPr>
                            <w:b/>
                          </w:rPr>
                        </w:pPr>
                        <w:r w:rsidRPr="0098480A">
                          <w:rPr>
                            <w:b/>
                          </w:rPr>
                          <w:t>фибромиалгия</w:t>
                        </w:r>
                      </w:p>
                    </w:txbxContent>
                  </v:textbox>
                </v:roundrect>
                <v:roundrect id="_s1078" o:spid="_x0000_s1073" style="position:absolute;top:16796;width:13312;height:59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" fillcolor="#bbe0e3">
                  <v:path arrowok="t"/>
                  <v:textbox inset="0,0,0,0">
                    <w:txbxContent>
                      <w:p w14:paraId="718D02A7" w14:textId="77777777" w:rsidR="00471742" w:rsidRPr="0098480A" w:rsidRDefault="00471742" w:rsidP="00BE0B19">
                        <w:pPr>
                          <w:jc w:val="center"/>
                          <w:rPr>
                            <w:b/>
                          </w:rPr>
                        </w:pPr>
                        <w:r w:rsidRPr="0098480A">
                          <w:rPr>
                            <w:b/>
                          </w:rPr>
                          <w:t>Комплексен регионален болков синдром</w:t>
                        </w:r>
                      </w:p>
                    </w:txbxContent>
                  </v:textbox>
                </v:roundrect>
                <v:roundrect id="_s1079" o:spid="_x0000_s1074" style="position:absolute;top:23488;width:13312;height:40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" fillcolor="#bbe0e3">
                  <v:path arrowok="t"/>
                  <v:textbox inset="0,0,0,0">
                    <w:txbxContent>
                      <w:p w14:paraId="49ABB8DA" w14:textId="77777777" w:rsidR="00471742" w:rsidRPr="00C53DF4" w:rsidRDefault="00471742" w:rsidP="00BE0B19">
                        <w:pPr>
                          <w:jc w:val="center"/>
                          <w:rPr>
                            <w:b/>
                          </w:rPr>
                        </w:pPr>
                        <w:r w:rsidRPr="00C53DF4">
                          <w:rPr>
                            <w:b/>
                          </w:rPr>
                          <w:t>Компресионни</w:t>
                        </w:r>
                        <w:r>
                          <w:rPr>
                            <w:b/>
                          </w:rPr>
                          <w:t xml:space="preserve"> </w:t>
                        </w:r>
                        <w:r w:rsidRPr="00C53DF4">
                          <w:rPr>
                            <w:b/>
                          </w:rPr>
                          <w:t>невропатии</w:t>
                        </w:r>
                      </w:p>
                    </w:txbxContent>
                  </v:textbox>
                </v:roundrect>
                <v:roundrect id="_s1080" o:spid="_x0000_s1075" style="position:absolute;left:35499;top:7787;width:17602;height:24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" fillcolor="#bbe0e3">
                  <v:path arrowok="t"/>
                  <v:textbox inset="0,0,0,0">
                    <w:txbxContent>
                      <w:p w14:paraId="5BDF6A85" w14:textId="77777777" w:rsidR="00471742" w:rsidRPr="0098480A" w:rsidRDefault="00471742" w:rsidP="00BE0B19">
                        <w:pPr>
                          <w:jc w:val="center"/>
                          <w:rPr>
                            <w:b/>
                          </w:rPr>
                        </w:pPr>
                        <w:r>
                          <w:rPr>
                            <w:b/>
                          </w:rPr>
                          <w:t>Г</w:t>
                        </w:r>
                        <w:r w:rsidRPr="0098480A">
                          <w:rPr>
                            <w:b/>
                          </w:rPr>
                          <w:t>ръбначномозъчна</w:t>
                        </w:r>
                      </w:p>
                    </w:txbxContent>
                  </v:textbox>
                </v:roundrect>
                <v:roundrect id="_s1081" o:spid="_x0000_s1076" style="position:absolute;left:38334;top:16796;width:14767;height:39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" fillcolor="#bbe0e3">
                  <v:path arrowok="t"/>
                  <v:textbox inset="0,0,0,0">
                    <w:txbxContent>
                      <w:p w14:paraId="25065CAA" w14:textId="77777777" w:rsidR="00471742" w:rsidRPr="0098480A" w:rsidRDefault="00471742" w:rsidP="00BE0B19">
                        <w:pPr>
                          <w:jc w:val="center"/>
                          <w:rPr>
                            <w:b/>
                          </w:rPr>
                        </w:pPr>
                        <w:r w:rsidRPr="0098480A">
                          <w:rPr>
                            <w:b/>
                          </w:rPr>
                          <w:t>Централна мозъчна</w:t>
                        </w:r>
                      </w:p>
                      <w:p w14:paraId="001DB244" w14:textId="77777777" w:rsidR="00471742" w:rsidRPr="00C53DF4" w:rsidRDefault="00471742" w:rsidP="00BE0B19">
                        <w:pPr>
                          <w:jc w:val="center"/>
                          <w:rPr>
                            <w:sz w:val="16"/>
                          </w:rPr>
                        </w:pPr>
                      </w:p>
                    </w:txbxContent>
                  </v:textbox>
                </v:roundrect>
                <v:roundrect id="_s1082" o:spid="_x0000_s1077" style="position:absolute;left:26624;top:4136;width:13312;height:28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" fillcolor="#bbe0e3">
                  <o:extrusion v:ext="view" color="#bbe0e3" on="t"/>
                  <v:path arrowok="t"/>
                  <v:textbox inset="0,0,0,0">
                    <w:txbxContent>
                      <w:p w14:paraId="0E4C7947" w14:textId="77777777" w:rsidR="00471742" w:rsidRPr="00C53DF4" w:rsidRDefault="00471742" w:rsidP="00BE0B19">
                        <w:pPr>
                          <w:jc w:val="center"/>
                          <w:rPr>
                            <w:b/>
                          </w:rPr>
                        </w:pPr>
                        <w:r w:rsidRPr="00C53DF4">
                          <w:rPr>
                            <w:b/>
                          </w:rPr>
                          <w:t>Смесена</w:t>
                        </w:r>
                      </w:p>
                    </w:txbxContent>
                  </v:textbox>
                </v:roundrect>
                <v:roundrect id="_s1083" o:spid="_x0000_s1078" style="position:absolute;left:17749;top:7787;width:13312;height:22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" fillcolor="#bbe0e3">
                  <v:path arrowok="t"/>
                  <v:textbox inset="0,0,0,0">
                    <w:txbxContent>
                      <w:p w14:paraId="26D55078" w14:textId="77777777" w:rsidR="00471742" w:rsidRPr="0098480A" w:rsidRDefault="00471742" w:rsidP="00BE0B19">
                        <w:pPr>
                          <w:jc w:val="center"/>
                          <w:rPr>
                            <w:b/>
                          </w:rPr>
                        </w:pPr>
                        <w:r w:rsidRPr="0098480A">
                          <w:rPr>
                            <w:b/>
                          </w:rPr>
                          <w:t>Болки в гърба</w:t>
                        </w:r>
                      </w:p>
                    </w:txbxContent>
                  </v:textbox>
                </v:roundrect>
                <v:roundrect id="_s1084" o:spid="_x0000_s1079" style="position:absolute;top:28308;width:13312;height:203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" fillcolor="#bbe0e3">
                  <v:path arrowok="t"/>
                  <v:textbox inset="0,0,0,0">
                    <w:txbxContent>
                      <w:p w14:paraId="607CCBDD" w14:textId="77777777" w:rsidR="00471742" w:rsidRPr="00C53DF4" w:rsidRDefault="00471742" w:rsidP="00BE0B19">
                        <w:pPr>
                          <w:jc w:val="center"/>
                          <w:rPr>
                            <w:b/>
                          </w:rPr>
                        </w:pPr>
                        <w:r w:rsidRPr="00C53DF4">
                          <w:rPr>
                            <w:b/>
                          </w:rPr>
                          <w:t>полиневропатии</w:t>
                        </w:r>
                      </w:p>
                    </w:txbxContent>
                  </v:textbox>
                </v:roundrect>
                <v:roundrect id="_s1085" o:spid="_x0000_s1080" style="position:absolute;left:38796;top:23488;width:13842;height:21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" fillcolor="#bbe0e3">
                  <v:path arrowok="t"/>
                  <v:textbox inset="0,0,0,0">
                    <w:txbxContent>
                      <w:p w14:paraId="2EA5B926" w14:textId="77777777" w:rsidR="00471742" w:rsidRPr="00D94AA5" w:rsidRDefault="00471742" w:rsidP="00BE0B19">
                        <w:pPr>
                          <w:jc w:val="center"/>
                          <w:rPr>
                            <w:b/>
                          </w:rPr>
                        </w:pPr>
                        <w:r w:rsidRPr="00D94AA5">
                          <w:rPr>
                            <w:b/>
                          </w:rPr>
                          <w:t>Мозъчен инсулт</w:t>
                        </w:r>
                      </w:p>
                    </w:txbxContent>
                  </v:textbox>
                </v:roundrect>
                <v:roundrect id="_s1086" o:spid="_x0000_s1081" style="position:absolute;left:39061;top:28308;width:13312;height:39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" fillcolor="#bbe0e3">
                  <v:path arrowok="t"/>
                  <v:textbox inset="0,0,0,0">
                    <w:txbxContent>
                      <w:p w14:paraId="26BCB4CF" w14:textId="77777777" w:rsidR="00471742" w:rsidRPr="00D94AA5" w:rsidRDefault="00471742" w:rsidP="00BE0B19">
                        <w:pPr>
                          <w:jc w:val="center"/>
                          <w:rPr>
                            <w:b/>
                          </w:rPr>
                        </w:pPr>
                        <w:r w:rsidRPr="00D94AA5">
                          <w:rPr>
                            <w:b/>
                          </w:rPr>
                          <w:t>Множествена склероза</w:t>
                        </w:r>
                      </w:p>
                    </w:txbxContent>
                  </v:textbox>
                </v:roundrect>
                <v:roundrect id="_s1087" o:spid="_x0000_s1082" style="position:absolute;left:39141;top:32998;width:13152;height:396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" fillcolor="#bbe0e3">
                  <v:path arrowok="t"/>
                  <v:textbox inset="0,0,0,0">
                    <w:txbxContent>
                      <w:p w14:paraId="3071200C" w14:textId="77777777" w:rsidR="00471742" w:rsidRPr="00D94AA5" w:rsidRDefault="00471742" w:rsidP="00BE0B19">
                        <w:pPr>
                          <w:jc w:val="center"/>
                          <w:rPr>
                            <w:b/>
                          </w:rPr>
                        </w:pPr>
                        <w:r w:rsidRPr="00D94AA5">
                          <w:rPr>
                            <w:b/>
                          </w:rPr>
                          <w:t>Паркинсонова болест</w:t>
                        </w:r>
                      </w:p>
                    </w:txbxContent>
                  </v:textbox>
                </v:roundrect>
                <v:roundrect id="_s1088" o:spid="_x0000_s1083" style="position:absolute;left:37650;top:11034;width:13306;height:18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" fillcolor="#bbe0e3">
                  <v:path arrowok="t"/>
                  <v:textbox inset="0,0,0,0">
                    <w:txbxContent>
                      <w:p w14:paraId="7EE744B2" w14:textId="77777777" w:rsidR="00471742" w:rsidRPr="00D94AA5" w:rsidRDefault="00471742" w:rsidP="00BE0B19">
                        <w:pPr>
                          <w:jc w:val="center"/>
                          <w:rPr>
                            <w:b/>
                          </w:rPr>
                        </w:pPr>
                        <w:r w:rsidRPr="00D94AA5">
                          <w:rPr>
                            <w:b/>
                          </w:rPr>
                          <w:t>травма</w:t>
                        </w:r>
                      </w:p>
                    </w:txbxContent>
                  </v:textbox>
                </v:roundrect>
                <v:roundrect id="_s1089" o:spid="_x0000_s1084" style="position:absolute;left:37644;top:13917;width:13312;height:19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" fillcolor="#bbe0e3">
                  <v:path arrowok="t"/>
                  <v:textbox inset="0,0,0,0">
                    <w:txbxContent>
                      <w:p w14:paraId="094366CA" w14:textId="77777777" w:rsidR="00471742" w:rsidRPr="0020154C" w:rsidRDefault="00471742" w:rsidP="00BE0B19">
                        <w:pPr>
                          <w:jc w:val="center"/>
                          <w:rPr>
                            <w:b/>
                          </w:rPr>
                        </w:pPr>
                        <w:r w:rsidRPr="0020154C">
                          <w:rPr>
                            <w:b/>
                          </w:rPr>
                          <w:t>сирингомиелия</w:t>
                        </w:r>
                      </w:p>
                    </w:txbxContent>
                  </v:textbox>
                </v:roundrect>
                <w10:anchorlock/>
              </v:group>
            </w:pict>
          </mc:Fallback>
        </mc:AlternateContent>
      </w:r>
    </w:p>
    <w:p w14:paraId="02203A3D" w14:textId="77777777" w:rsidR="00BE0B19" w:rsidRPr="00AE47C6" w:rsidRDefault="00BE0B19" w:rsidP="00BE0B19">
      <w:pPr>
        <w:spacing w:after="0" w:line="360" w:lineRule="auto"/>
        <w:jc w:val="both"/>
        <w:rPr>
          <w:rFonts w:ascii="Times New Roman" w:eastAsia="SimSun" w:hAnsi="Times New Roman"/>
          <w:b/>
          <w:sz w:val="24"/>
          <w:szCs w:val="24"/>
        </w:rPr>
      </w:pPr>
    </w:p>
    <w:p w14:paraId="2966E358" w14:textId="77777777" w:rsidR="00BE0B19" w:rsidRPr="00AE47C6" w:rsidRDefault="00BE0B19" w:rsidP="00BE0B19">
      <w:pPr>
        <w:spacing w:after="0" w:line="360" w:lineRule="auto"/>
        <w:jc w:val="both"/>
        <w:rPr>
          <w:rFonts w:ascii="Times New Roman" w:eastAsia="SimSun" w:hAnsi="Times New Roman"/>
          <w:b/>
          <w:sz w:val="24"/>
          <w:szCs w:val="24"/>
        </w:rPr>
      </w:pPr>
    </w:p>
    <w:p w14:paraId="22A1AD0B" w14:textId="77777777" w:rsidR="00BE0B19" w:rsidRPr="00AE47C6" w:rsidRDefault="00BE0B19" w:rsidP="00BE0B19">
      <w:pPr>
        <w:spacing w:after="0" w:line="360" w:lineRule="auto"/>
        <w:jc w:val="both"/>
        <w:rPr>
          <w:rFonts w:ascii="Times New Roman" w:eastAsia="SimSun" w:hAnsi="Times New Roman"/>
          <w:b/>
          <w:sz w:val="24"/>
          <w:szCs w:val="24"/>
        </w:rPr>
      </w:pPr>
    </w:p>
    <w:p w14:paraId="2F784B0D" w14:textId="77777777" w:rsidR="00BE0B19" w:rsidRPr="00AE47C6" w:rsidRDefault="00BE0B19" w:rsidP="00BE0B19">
      <w:pPr>
        <w:spacing w:after="0" w:line="360" w:lineRule="auto"/>
        <w:jc w:val="both"/>
        <w:rPr>
          <w:rFonts w:ascii="Times New Roman" w:eastAsia="SimSun" w:hAnsi="Times New Roman"/>
          <w:b/>
          <w:sz w:val="24"/>
          <w:szCs w:val="24"/>
        </w:rPr>
      </w:pPr>
    </w:p>
    <w:p w14:paraId="34E3F336" w14:textId="77777777" w:rsidR="00BE0B19" w:rsidRPr="00AE47C6" w:rsidRDefault="00BE0B19" w:rsidP="00BE0B19">
      <w:pPr>
        <w:spacing w:after="0" w:line="360" w:lineRule="auto"/>
        <w:jc w:val="both"/>
        <w:rPr>
          <w:rFonts w:ascii="Times New Roman" w:eastAsia="SimSun" w:hAnsi="Times New Roman"/>
          <w:b/>
          <w:sz w:val="24"/>
          <w:szCs w:val="24"/>
        </w:rPr>
      </w:pPr>
    </w:p>
    <w:p w14:paraId="27F62F04" w14:textId="77777777" w:rsidR="00BE0B19" w:rsidRPr="00AE47C6" w:rsidRDefault="00BE0B19" w:rsidP="00BE0B19">
      <w:pPr>
        <w:spacing w:after="0" w:line="360" w:lineRule="auto"/>
        <w:jc w:val="both"/>
        <w:rPr>
          <w:rFonts w:ascii="Times New Roman" w:eastAsia="SimSun" w:hAnsi="Times New Roman"/>
          <w:b/>
          <w:sz w:val="24"/>
          <w:szCs w:val="24"/>
        </w:rPr>
      </w:pPr>
    </w:p>
    <w:p w14:paraId="2A768279"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Фигура 3.2. Видове невропатна болка</w:t>
      </w:r>
    </w:p>
    <w:p w14:paraId="1F782384" w14:textId="77777777" w:rsidR="00BE0B19" w:rsidRPr="00AE47C6" w:rsidRDefault="00BE0B19" w:rsidP="00BE0B19">
      <w:pPr>
        <w:spacing w:after="0" w:line="360" w:lineRule="auto"/>
        <w:ind w:left="283" w:firstLine="437"/>
        <w:jc w:val="both"/>
        <w:rPr>
          <w:rFonts w:ascii="Times New Roman" w:eastAsia="SimSun" w:hAnsi="Times New Roman"/>
          <w:sz w:val="24"/>
          <w:szCs w:val="24"/>
        </w:rPr>
      </w:pPr>
      <w:r w:rsidRPr="00AE47C6">
        <w:rPr>
          <w:rFonts w:ascii="Times New Roman" w:eastAsia="SimSun" w:hAnsi="Times New Roman"/>
          <w:b/>
          <w:sz w:val="24"/>
          <w:szCs w:val="24"/>
        </w:rPr>
        <w:t>Болестността</w:t>
      </w:r>
      <w:r w:rsidRPr="00AE47C6">
        <w:rPr>
          <w:rFonts w:ascii="Times New Roman" w:eastAsia="SimSun" w:hAnsi="Times New Roman"/>
          <w:sz w:val="24"/>
          <w:szCs w:val="24"/>
        </w:rPr>
        <w:t xml:space="preserve"> от невропатна болка е 3 до 8,2% от възрастното население.</w:t>
      </w:r>
    </w:p>
    <w:p w14:paraId="5EF74456" w14:textId="77777777" w:rsidR="00BE0B19" w:rsidRPr="00AE47C6" w:rsidRDefault="00BE0B19" w:rsidP="00BE0B19">
      <w:pPr>
        <w:spacing w:after="0" w:line="360" w:lineRule="auto"/>
        <w:ind w:left="283" w:firstLine="437"/>
        <w:jc w:val="both"/>
        <w:rPr>
          <w:rFonts w:ascii="Times New Roman" w:eastAsia="SimSun" w:hAnsi="Times New Roman"/>
          <w:sz w:val="24"/>
          <w:szCs w:val="24"/>
        </w:rPr>
      </w:pPr>
      <w:r w:rsidRPr="00AE47C6">
        <w:rPr>
          <w:rFonts w:ascii="Times New Roman" w:eastAsia="SimSun" w:hAnsi="Times New Roman"/>
          <w:b/>
          <w:sz w:val="24"/>
          <w:szCs w:val="24"/>
        </w:rPr>
        <w:t>Етиологично</w:t>
      </w:r>
      <w:r w:rsidRPr="00AE47C6">
        <w:rPr>
          <w:rFonts w:ascii="Times New Roman" w:eastAsia="SimSun" w:hAnsi="Times New Roman"/>
          <w:sz w:val="24"/>
          <w:szCs w:val="24"/>
        </w:rPr>
        <w:t xml:space="preserve"> представлява хетерогенна група от състояния, които варират от неоплазми компресиращи периферните нерви, травми, засягане на периферен нерв след хирургична интервенция, възпаление, имунологични, метаболитни, интоксикационни, ендокринологични, дегенеративни и исхемични увреждания на периферните нерви, до исхемични увреждания на мозъка и функционални нарушения. Невропатната болка варира според патологията, която я предизвиква и анатомичната локализация на увредата. Увредата може да бъде навсякъде по хода на нервната система – от периферният нерв до мозъка. Съответно се подразделя на периферна и централна. Подразделя се и на физиологична – при компресия на нервна структура с преходно нарушение на функциите или патофизиологични промени и патологична – при деструкция. </w:t>
      </w:r>
    </w:p>
    <w:p w14:paraId="4F0578B9" w14:textId="77777777" w:rsidR="00BE0B19" w:rsidRPr="00AE47C6" w:rsidRDefault="00BE0B19" w:rsidP="00BE0B19">
      <w:pPr>
        <w:spacing w:after="0" w:line="360" w:lineRule="auto"/>
        <w:ind w:left="283" w:firstLine="426"/>
        <w:jc w:val="both"/>
        <w:rPr>
          <w:rFonts w:ascii="Times New Roman" w:eastAsia="SimSun" w:hAnsi="Times New Roman"/>
          <w:bCs/>
          <w:sz w:val="24"/>
          <w:szCs w:val="24"/>
        </w:rPr>
      </w:pPr>
      <w:r w:rsidRPr="00AE47C6">
        <w:rPr>
          <w:rFonts w:ascii="Times New Roman" w:eastAsia="SimSun" w:hAnsi="Times New Roman"/>
          <w:sz w:val="24"/>
          <w:szCs w:val="24"/>
        </w:rPr>
        <w:t>М</w:t>
      </w:r>
      <w:r w:rsidRPr="00AE47C6">
        <w:rPr>
          <w:rFonts w:ascii="Times New Roman" w:eastAsia="SimSun" w:hAnsi="Times New Roman"/>
          <w:bCs/>
          <w:sz w:val="24"/>
          <w:szCs w:val="24"/>
        </w:rPr>
        <w:t xml:space="preserve">оже да бъде </w:t>
      </w:r>
      <w:r w:rsidRPr="00AE47C6">
        <w:rPr>
          <w:rFonts w:ascii="Times New Roman" w:eastAsia="SimSun" w:hAnsi="Times New Roman"/>
          <w:sz w:val="24"/>
          <w:szCs w:val="24"/>
        </w:rPr>
        <w:t>спонтанна или предизвикана от стимули</w:t>
      </w:r>
      <w:r w:rsidRPr="00AE47C6">
        <w:rPr>
          <w:rFonts w:ascii="Times New Roman" w:eastAsia="SimSun" w:hAnsi="Times New Roman"/>
          <w:bCs/>
          <w:sz w:val="24"/>
          <w:szCs w:val="24"/>
        </w:rPr>
        <w:t xml:space="preserve">. </w:t>
      </w:r>
      <w:r w:rsidRPr="00AE47C6">
        <w:rPr>
          <w:rFonts w:ascii="Times New Roman" w:eastAsia="SimSun" w:hAnsi="Times New Roman"/>
          <w:sz w:val="24"/>
          <w:szCs w:val="24"/>
        </w:rPr>
        <w:t xml:space="preserve">Обикновено двата вида болка се проявяват едновременно. Невропатната болка е хронична или ремитентна и рядко може да бъде остра (при herpes zoster). </w:t>
      </w:r>
      <w:r w:rsidRPr="00AE47C6">
        <w:rPr>
          <w:rFonts w:ascii="Times New Roman" w:eastAsia="SimSun" w:hAnsi="Times New Roman"/>
          <w:bCs/>
          <w:sz w:val="24"/>
          <w:szCs w:val="24"/>
        </w:rPr>
        <w:t>Характеризира се с различни симптоми, които не е необходимо да са едновременно на лице и могат да се появят в различни комбинации.</w:t>
      </w:r>
    </w:p>
    <w:p w14:paraId="1FF5371D"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Клиничните симптоми</w:t>
      </w:r>
      <w:r w:rsidRPr="00AE47C6">
        <w:rPr>
          <w:rFonts w:ascii="Times New Roman" w:eastAsia="SimSun" w:hAnsi="Times New Roman"/>
          <w:bCs/>
          <w:sz w:val="24"/>
          <w:szCs w:val="24"/>
        </w:rPr>
        <w:t xml:space="preserve"> се характеризират с промени в интензивността, качеството, локалните и времеви характеристики на болката. Тя е локализирана в анатомични области с частична или пълна сетивна загуба. Възможно е да има двигателни и автономни нарушения.</w:t>
      </w:r>
    </w:p>
    <w:p w14:paraId="1D500836"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Възникват </w:t>
      </w:r>
      <w:r w:rsidRPr="00AE47C6">
        <w:rPr>
          <w:rFonts w:ascii="Times New Roman" w:eastAsia="SimSun" w:hAnsi="Times New Roman"/>
          <w:b/>
          <w:bCs/>
          <w:sz w:val="24"/>
          <w:szCs w:val="24"/>
        </w:rPr>
        <w:t>два основни типа симптоми:</w:t>
      </w:r>
      <w:r w:rsidRPr="00AE47C6">
        <w:rPr>
          <w:rFonts w:ascii="Times New Roman" w:eastAsia="SimSun" w:hAnsi="Times New Roman"/>
          <w:bCs/>
          <w:sz w:val="24"/>
          <w:szCs w:val="24"/>
        </w:rPr>
        <w:t xml:space="preserve"> позитивни и негативни. </w:t>
      </w:r>
      <w:r w:rsidRPr="00AE47C6">
        <w:rPr>
          <w:rFonts w:ascii="Times New Roman" w:eastAsia="SimSun" w:hAnsi="Times New Roman"/>
          <w:sz w:val="24"/>
          <w:szCs w:val="24"/>
        </w:rPr>
        <w:t xml:space="preserve">Негативните са свързани с дефицит, а позитивните – с абнормно повишена активност на сетивната система. Тежестта на негативните и позитивни симптоми не е еднаква и често негативните симптоми се прикриват от позитивните. </w:t>
      </w:r>
      <w:r w:rsidRPr="00AE47C6">
        <w:rPr>
          <w:rFonts w:ascii="Times New Roman" w:eastAsia="SimSun" w:hAnsi="Times New Roman"/>
          <w:bCs/>
          <w:i/>
          <w:sz w:val="24"/>
          <w:szCs w:val="24"/>
        </w:rPr>
        <w:t>Позитивните симптоми</w:t>
      </w:r>
      <w:r w:rsidRPr="00AE47C6">
        <w:rPr>
          <w:rFonts w:ascii="Times New Roman" w:eastAsia="SimSun" w:hAnsi="Times New Roman"/>
          <w:bCs/>
          <w:sz w:val="24"/>
          <w:szCs w:val="24"/>
        </w:rPr>
        <w:t xml:space="preserve"> зависят от засегнатите системи и включват болка, парестезии, дизестезии и хипералгезия (соматосензорна система), фасцикулации и миокимии (двигателна система), хиперхидроза, пилоерекция - “гъша кожа” и вазоконстрикция (автономната система). </w:t>
      </w:r>
      <w:r w:rsidRPr="00AE47C6">
        <w:rPr>
          <w:rFonts w:ascii="Times New Roman" w:eastAsia="SimSun" w:hAnsi="Times New Roman"/>
          <w:bCs/>
          <w:i/>
          <w:sz w:val="24"/>
          <w:szCs w:val="24"/>
        </w:rPr>
        <w:t>Негативните симптоми</w:t>
      </w:r>
      <w:r w:rsidRPr="00AE47C6">
        <w:rPr>
          <w:rFonts w:ascii="Times New Roman" w:eastAsia="SimSun" w:hAnsi="Times New Roman"/>
          <w:bCs/>
          <w:sz w:val="24"/>
          <w:szCs w:val="24"/>
        </w:rPr>
        <w:t xml:space="preserve"> зависят от засегнатите системи и включват хипестезия и аналгезия (соматосензорна система), парези (двигателна система) и хипохидроза (автономната система). </w:t>
      </w:r>
    </w:p>
    <w:p w14:paraId="2257CDB2" w14:textId="77777777" w:rsidR="00BE0B19" w:rsidRPr="00AE47C6" w:rsidRDefault="00BE0B19" w:rsidP="00BE0B19">
      <w:pPr>
        <w:spacing w:after="0" w:line="360" w:lineRule="auto"/>
        <w:ind w:left="283"/>
        <w:jc w:val="both"/>
        <w:rPr>
          <w:rFonts w:ascii="Times New Roman" w:eastAsia="SimSun" w:hAnsi="Times New Roman"/>
          <w:sz w:val="24"/>
          <w:szCs w:val="24"/>
        </w:rPr>
      </w:pPr>
      <w:r w:rsidRPr="00AE47C6">
        <w:rPr>
          <w:rFonts w:ascii="Times New Roman" w:eastAsia="SimSun" w:hAnsi="Times New Roman"/>
          <w:sz w:val="24"/>
          <w:szCs w:val="24"/>
        </w:rPr>
        <w:t xml:space="preserve">Болковите симптоми се подразделят според причината, която ги предизвиква на спонтанни (позитивни) и предизвикани (позитивни и негативни). </w:t>
      </w:r>
    </w:p>
    <w:p w14:paraId="1D7AE37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 xml:space="preserve">Спонтанните (непредизвикани от стимул) симптоми </w:t>
      </w:r>
      <w:r w:rsidRPr="00AE47C6">
        <w:rPr>
          <w:rFonts w:ascii="Times New Roman" w:eastAsia="SimSun" w:hAnsi="Times New Roman"/>
          <w:sz w:val="24"/>
          <w:szCs w:val="24"/>
        </w:rPr>
        <w:t xml:space="preserve">се характеризират с </w:t>
      </w:r>
      <w:r w:rsidRPr="00AE47C6">
        <w:rPr>
          <w:rFonts w:ascii="Times New Roman" w:eastAsia="SimSun" w:hAnsi="Times New Roman"/>
          <w:b/>
          <w:i/>
          <w:sz w:val="24"/>
          <w:szCs w:val="24"/>
        </w:rPr>
        <w:t>болка</w:t>
      </w:r>
      <w:r w:rsidRPr="00AE47C6">
        <w:rPr>
          <w:rFonts w:ascii="Times New Roman" w:eastAsia="SimSun" w:hAnsi="Times New Roman"/>
          <w:sz w:val="24"/>
          <w:szCs w:val="24"/>
        </w:rPr>
        <w:t xml:space="preserve"> с различна </w:t>
      </w:r>
      <w:r w:rsidRPr="00AE47C6">
        <w:rPr>
          <w:rFonts w:ascii="Times New Roman" w:eastAsia="SimSun" w:hAnsi="Times New Roman"/>
          <w:i/>
          <w:sz w:val="24"/>
          <w:szCs w:val="24"/>
        </w:rPr>
        <w:t>продължителност</w:t>
      </w:r>
      <w:r w:rsidRPr="00AE47C6">
        <w:rPr>
          <w:rFonts w:ascii="Times New Roman" w:eastAsia="SimSun" w:hAnsi="Times New Roman"/>
          <w:sz w:val="24"/>
          <w:szCs w:val="24"/>
        </w:rPr>
        <w:t xml:space="preserve">: продължителна, интермитентна или пароксизмална. Пароксизмалната болка е характерна за невралгиите, компресионните мононевропатии, tabes dorsalis, невропатията при болест на Fabry и фантомните болки. </w:t>
      </w:r>
    </w:p>
    <w:p w14:paraId="0E75B9E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Каузалгията</w:t>
      </w:r>
      <w:r w:rsidRPr="00AE47C6">
        <w:rPr>
          <w:rFonts w:ascii="Times New Roman" w:eastAsia="SimSun" w:hAnsi="Times New Roman"/>
          <w:sz w:val="24"/>
          <w:szCs w:val="24"/>
        </w:rPr>
        <w:t xml:space="preserve"> е пареща болка в областта на един или повече периферни нерви. </w:t>
      </w:r>
      <w:r w:rsidRPr="00AE47C6">
        <w:rPr>
          <w:rFonts w:ascii="Times New Roman" w:eastAsia="SimSun" w:hAnsi="Times New Roman"/>
          <w:i/>
          <w:sz w:val="24"/>
          <w:szCs w:val="24"/>
        </w:rPr>
        <w:t>Фантомната болка</w:t>
      </w:r>
      <w:r w:rsidRPr="00AE47C6">
        <w:rPr>
          <w:rFonts w:ascii="Times New Roman" w:eastAsia="SimSun" w:hAnsi="Times New Roman"/>
          <w:sz w:val="24"/>
          <w:szCs w:val="24"/>
        </w:rPr>
        <w:t xml:space="preserve"> представлява комбинация от централна и периферна невропатна болка. Тя се усеща в ампутирани или в части от тялото, които са с пълна анестезия поради лезия на периферни нерви, плексуси, коренчета и гръбначния мозък. </w:t>
      </w:r>
    </w:p>
    <w:p w14:paraId="5569B30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Отразената болка</w:t>
      </w:r>
      <w:r w:rsidRPr="00AE47C6">
        <w:rPr>
          <w:rFonts w:ascii="Times New Roman" w:eastAsia="SimSun" w:hAnsi="Times New Roman"/>
          <w:sz w:val="24"/>
          <w:szCs w:val="24"/>
        </w:rPr>
        <w:t xml:space="preserve"> и хипералгезия се усещат в части на тялото, различни от тези, в които възниква увреждащият стимул, и се провокират при тяхната стимулация. Най-типична е отразената болка от вътрешните органи. </w:t>
      </w:r>
    </w:p>
    <w:p w14:paraId="5306D54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Проектираната болка</w:t>
      </w:r>
      <w:r w:rsidRPr="00AE47C6">
        <w:rPr>
          <w:rFonts w:ascii="Times New Roman" w:eastAsia="SimSun" w:hAnsi="Times New Roman"/>
          <w:sz w:val="24"/>
          <w:szCs w:val="24"/>
        </w:rPr>
        <w:t xml:space="preserve"> произхожда от определена област, а се усеща в друга област на тялото по хода на гръбначно-мозъчните коренчета или периферни нерви. </w:t>
      </w:r>
    </w:p>
    <w:p w14:paraId="48312A0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Парестезиите</w:t>
      </w:r>
      <w:r w:rsidRPr="00AE47C6">
        <w:rPr>
          <w:rFonts w:ascii="Times New Roman" w:eastAsia="SimSun" w:hAnsi="Times New Roman"/>
          <w:sz w:val="24"/>
          <w:szCs w:val="24"/>
        </w:rPr>
        <w:t xml:space="preserve"> могат да бъдат спонтанни и провокирани. Представляват абнормни, неболезнени усещания на мравучкане или “боцкане с иглички”, които не са неприятни за пациентите. </w:t>
      </w:r>
    </w:p>
    <w:p w14:paraId="21257C6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Дизестезиите</w:t>
      </w:r>
      <w:r w:rsidRPr="00AE47C6">
        <w:rPr>
          <w:rFonts w:ascii="Times New Roman" w:eastAsia="SimSun" w:hAnsi="Times New Roman"/>
          <w:sz w:val="24"/>
          <w:szCs w:val="24"/>
        </w:rPr>
        <w:t xml:space="preserve"> са абнормни спонтанни или предизвикани усещания като болезнено мравучкане, които са неприятни за пациента. </w:t>
      </w:r>
    </w:p>
    <w:p w14:paraId="3623121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Предизвиканите симптоми</w:t>
      </w:r>
      <w:r w:rsidRPr="00AE47C6">
        <w:rPr>
          <w:rFonts w:ascii="Times New Roman" w:eastAsia="SimSun" w:hAnsi="Times New Roman"/>
          <w:sz w:val="24"/>
          <w:szCs w:val="24"/>
        </w:rPr>
        <w:t xml:space="preserve"> от тестови стимули се подразделят на позитивни (болка, хипералгезия, алодиния и хиперпатия към механични, термични и химични стимули) и негативни – хипоалгезия. Алодинията и хипералгезията не са свързани със специфичен тип болка. </w:t>
      </w:r>
    </w:p>
    <w:p w14:paraId="7A7950B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Хипералгезията</w:t>
      </w:r>
      <w:r w:rsidRPr="00AE47C6">
        <w:rPr>
          <w:rFonts w:ascii="Times New Roman" w:eastAsia="SimSun" w:hAnsi="Times New Roman"/>
          <w:sz w:val="24"/>
          <w:szCs w:val="24"/>
        </w:rPr>
        <w:t xml:space="preserve">, според тестовия стимул, който се възприема като най-болезнен, се подразделя на механична, топлинна, студова и химична. </w:t>
      </w:r>
    </w:p>
    <w:p w14:paraId="1B1B942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Хиперпатията</w:t>
      </w:r>
      <w:r w:rsidRPr="00AE47C6">
        <w:rPr>
          <w:rFonts w:ascii="Times New Roman" w:eastAsia="SimSun" w:hAnsi="Times New Roman"/>
          <w:sz w:val="24"/>
          <w:szCs w:val="24"/>
        </w:rPr>
        <w:t xml:space="preserve"> е хипоалгезия с повишена реакция към болкови стимули. Налице са повишен сетивен праг, забавена перцепция на стимула и абнормна болкова реакция, със сумация към повтарящи се стимули (нарастване на болката). Болката продължава дълго след прекратяване на стимула и се предизвиква както от стимули, които нормално предизвикват болка, така и от такива, които не предизвикват болка. </w:t>
      </w:r>
    </w:p>
    <w:p w14:paraId="0C0FF4F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Алодинията</w:t>
      </w:r>
      <w:r w:rsidRPr="00AE47C6">
        <w:rPr>
          <w:rFonts w:ascii="Times New Roman" w:eastAsia="SimSun" w:hAnsi="Times New Roman"/>
          <w:sz w:val="24"/>
          <w:szCs w:val="24"/>
        </w:rPr>
        <w:t xml:space="preserve"> е усещане за болка от стимули, които нормално не я предизвикват (докосване). Алодиничната болка е дифузна, продължава и след прекратяване на стимула и зависи от емоционалното състояние. В зависимост от стимула, който се прилага се различава механична, термална (студова и топлинна) и двигателна алодиния. </w:t>
      </w:r>
    </w:p>
    <w:p w14:paraId="5B34615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Пространствените нарушения</w:t>
      </w:r>
      <w:r w:rsidRPr="00AE47C6">
        <w:rPr>
          <w:rFonts w:ascii="Times New Roman" w:eastAsia="SimSun" w:hAnsi="Times New Roman"/>
          <w:sz w:val="24"/>
          <w:szCs w:val="24"/>
        </w:rPr>
        <w:t xml:space="preserve"> (дислокализация) са чест симптом на невропатната болка. Прилагането на стимул в една област предизвиква болка в друга. </w:t>
      </w:r>
    </w:p>
    <w:p w14:paraId="0386613B"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Диагностика</w:t>
      </w:r>
    </w:p>
    <w:p w14:paraId="554CD120"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Невропатната болка за разлика от ноцицептивната </w:t>
      </w:r>
      <w:r w:rsidRPr="00AE47C6">
        <w:rPr>
          <w:rFonts w:ascii="Times New Roman" w:eastAsia="SimSun" w:hAnsi="Times New Roman"/>
          <w:sz w:val="24"/>
          <w:szCs w:val="24"/>
        </w:rPr>
        <w:t xml:space="preserve">се придружава от други възбудни и отпадни неврологични симптоми, поради което се диагностицира и лекува от невролог. </w:t>
      </w:r>
      <w:r w:rsidRPr="00AE47C6">
        <w:rPr>
          <w:rFonts w:ascii="Times New Roman" w:eastAsia="SimSun" w:hAnsi="Times New Roman"/>
          <w:bCs/>
          <w:sz w:val="24"/>
          <w:szCs w:val="24"/>
        </w:rPr>
        <w:t xml:space="preserve">Диагнозата се поставя на базата на анамнезата, неврологичното изследване, критериите за диагностика и някои лабораторни методи. </w:t>
      </w:r>
    </w:p>
    <w:p w14:paraId="7EFF976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Анамнезата</w:t>
      </w:r>
      <w:r w:rsidRPr="00AE47C6">
        <w:rPr>
          <w:rFonts w:ascii="Times New Roman" w:eastAsia="SimSun" w:hAnsi="Times New Roman"/>
          <w:sz w:val="24"/>
          <w:szCs w:val="24"/>
        </w:rPr>
        <w:t xml:space="preserve"> е насочена към описание на болката. Необходимо е да се изясни начинът на започване, нейната локализация, продължителност, тежест, провокиращи и облекчаващи фактори. Пациентите с невропатна болка използват специфични определения за да опишат своята болка. На тази база са разработени различни </w:t>
      </w:r>
      <w:r w:rsidRPr="00AE47C6">
        <w:rPr>
          <w:rFonts w:ascii="Times New Roman" w:eastAsia="SimSun" w:hAnsi="Times New Roman"/>
          <w:i/>
          <w:sz w:val="24"/>
          <w:szCs w:val="24"/>
        </w:rPr>
        <w:t>вербални болкови скали</w:t>
      </w:r>
      <w:r w:rsidRPr="00AE47C6">
        <w:rPr>
          <w:rFonts w:ascii="Times New Roman" w:eastAsia="SimSun" w:hAnsi="Times New Roman"/>
          <w:sz w:val="24"/>
          <w:szCs w:val="24"/>
        </w:rPr>
        <w:t xml:space="preserve"> за отдиференциране на невропатната от ноцицептивната болка. Най-често се използва скалата на Leeds за оценка на невропатните болкови симптоми (LANSS).</w:t>
      </w:r>
    </w:p>
    <w:p w14:paraId="2E60685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Неврологичното изследване</w:t>
      </w:r>
      <w:r w:rsidRPr="00AE47C6">
        <w:rPr>
          <w:rFonts w:ascii="Times New Roman" w:eastAsia="SimSun" w:hAnsi="Times New Roman"/>
          <w:sz w:val="24"/>
          <w:szCs w:val="24"/>
        </w:rPr>
        <w:t xml:space="preserve"> има за цел да установи наличието на неврологична лезия и нейната връзка с болката при пациента. Търсят се сетивни нарушения в областта на болката. Необходимо е детайлно изследване на температурния и болков усет, които се осъществяват чрез различни системи. Оценява се бързината (скорост на провеждане) и точността на отговорите на пациента при изследването. Необходимо е да се установи наличието на позитивни и негативни болкови нарушения и тяхната локализация. При прегледа на пациента трябва да се обърне внимание на трофични промени в кожата, автономни, допълнителни неврологични (двигателни, координационни и др.) и симптоми от страна на вътрешните органи. </w:t>
      </w:r>
    </w:p>
    <w:p w14:paraId="4390B417" w14:textId="77777777" w:rsidR="00BE0B19" w:rsidRPr="00AE47C6" w:rsidRDefault="00BE0B19" w:rsidP="00BE0B19">
      <w:pPr>
        <w:tabs>
          <w:tab w:val="left" w:pos="72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Разпространението на болката</w:t>
      </w:r>
      <w:r w:rsidRPr="00AE47C6">
        <w:rPr>
          <w:rFonts w:ascii="Times New Roman" w:eastAsia="SimSun" w:hAnsi="Times New Roman"/>
          <w:sz w:val="24"/>
          <w:szCs w:val="24"/>
        </w:rPr>
        <w:t xml:space="preserve"> помага за определяне на локализацията на увредата (коренчева, плексусна, нервна, централна), защото всеки вид болка има относително стереотипно разпространение. </w:t>
      </w:r>
    </w:p>
    <w:p w14:paraId="2159BD4F"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Хипералгезията</w:t>
      </w:r>
      <w:r w:rsidRPr="00AE47C6">
        <w:rPr>
          <w:rFonts w:ascii="Times New Roman" w:eastAsia="SimSun" w:hAnsi="Times New Roman"/>
          <w:bCs/>
          <w:sz w:val="24"/>
          <w:szCs w:val="24"/>
        </w:rPr>
        <w:t xml:space="preserve"> може да се изследва чрез прищипване между палеца и показалеца на кожата, при което в зоната на хипералгезия се появява неприятно усещане. </w:t>
      </w:r>
    </w:p>
    <w:p w14:paraId="0AC0493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Алодинията</w:t>
      </w:r>
      <w:r w:rsidRPr="00AE47C6">
        <w:rPr>
          <w:rFonts w:ascii="Times New Roman" w:eastAsia="SimSun" w:hAnsi="Times New Roman"/>
          <w:sz w:val="24"/>
          <w:szCs w:val="24"/>
        </w:rPr>
        <w:t xml:space="preserve"> се изследва чрез докосване на кожата с парченце памук, при което възниква болка. </w:t>
      </w:r>
    </w:p>
    <w:p w14:paraId="0DC53100"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Мануалната палпация</w:t>
      </w:r>
      <w:r w:rsidRPr="00AE47C6">
        <w:rPr>
          <w:rFonts w:ascii="Times New Roman" w:eastAsia="SimSun" w:hAnsi="Times New Roman"/>
          <w:bCs/>
          <w:sz w:val="24"/>
          <w:szCs w:val="24"/>
        </w:rPr>
        <w:t xml:space="preserve"> може да установи мускулна свръхчувствителност, която стои в основата на различни прийоми, чрез които се установява заболелият висцерален орган. </w:t>
      </w:r>
    </w:p>
    <w:p w14:paraId="60F5900F"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i/>
          <w:sz w:val="24"/>
          <w:szCs w:val="24"/>
        </w:rPr>
        <w:t xml:space="preserve">Прилагането на </w:t>
      </w:r>
      <w:r w:rsidRPr="00AE47C6">
        <w:rPr>
          <w:rFonts w:ascii="Times New Roman" w:eastAsia="SimSun" w:hAnsi="Times New Roman"/>
          <w:bCs/>
          <w:i/>
          <w:sz w:val="24"/>
          <w:szCs w:val="24"/>
        </w:rPr>
        <w:t>lidocaine</w:t>
      </w:r>
      <w:r w:rsidRPr="00AE47C6">
        <w:rPr>
          <w:rFonts w:ascii="Times New Roman" w:eastAsia="SimSun" w:hAnsi="Times New Roman"/>
          <w:bCs/>
          <w:sz w:val="24"/>
          <w:szCs w:val="24"/>
        </w:rPr>
        <w:t xml:space="preserve"> интравенозно повлиява само невропатната, но не и ноцицептивната болка и може да се използва за нейното отдиференциране. </w:t>
      </w:r>
    </w:p>
    <w:p w14:paraId="47A47F18" w14:textId="77777777" w:rsidR="00BE0B19" w:rsidRPr="00AE47C6" w:rsidRDefault="00BE0B19" w:rsidP="00BE0B19">
      <w:pPr>
        <w:tabs>
          <w:tab w:val="left" w:pos="72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Използват се </w:t>
      </w:r>
      <w:r w:rsidRPr="00AE47C6">
        <w:rPr>
          <w:rFonts w:ascii="Times New Roman" w:eastAsia="SimSun" w:hAnsi="Times New Roman"/>
          <w:b/>
          <w:iCs/>
          <w:sz w:val="24"/>
          <w:szCs w:val="24"/>
        </w:rPr>
        <w:t>диагностични критерии</w:t>
      </w:r>
      <w:r w:rsidRPr="00AE47C6">
        <w:rPr>
          <w:rFonts w:ascii="Times New Roman" w:eastAsia="SimSun" w:hAnsi="Times New Roman"/>
          <w:sz w:val="24"/>
          <w:szCs w:val="24"/>
        </w:rPr>
        <w:t xml:space="preserve"> с различни нива на сигурност – сигурна, вероятна и възможна невропатна болка. </w:t>
      </w:r>
    </w:p>
    <w:p w14:paraId="0CAC87ED" w14:textId="77777777" w:rsidR="00BE0B19" w:rsidRPr="00AE47C6" w:rsidRDefault="00BE0B19" w:rsidP="00BE0B19">
      <w:pPr>
        <w:tabs>
          <w:tab w:val="left" w:pos="72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Диагнозата </w:t>
      </w:r>
      <w:r w:rsidRPr="00AE47C6">
        <w:rPr>
          <w:rFonts w:ascii="Times New Roman" w:eastAsia="SimSun" w:hAnsi="Times New Roman"/>
          <w:i/>
          <w:sz w:val="24"/>
          <w:szCs w:val="24"/>
        </w:rPr>
        <w:t>сигурна</w:t>
      </w:r>
      <w:r w:rsidRPr="00AE47C6">
        <w:rPr>
          <w:rFonts w:ascii="Times New Roman" w:eastAsia="SimSun" w:hAnsi="Times New Roman"/>
          <w:sz w:val="24"/>
          <w:szCs w:val="24"/>
        </w:rPr>
        <w:t xml:space="preserve"> невропатна болка се поставя при установяване на четири критерия: </w:t>
      </w:r>
    </w:p>
    <w:p w14:paraId="51E73828" w14:textId="77777777" w:rsidR="00BE0B19" w:rsidRPr="00AE47C6" w:rsidRDefault="00BE0B19" w:rsidP="00BE0B19">
      <w:pPr>
        <w:tabs>
          <w:tab w:val="left" w:pos="72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1. Болка в анатомична област, инервирана от периферен нерв или коренче или отговаряща на топографско представителство в централната нервна система. </w:t>
      </w:r>
    </w:p>
    <w:p w14:paraId="2E62450D" w14:textId="77777777" w:rsidR="00BE0B19" w:rsidRPr="00AE47C6" w:rsidRDefault="00BE0B19" w:rsidP="00BE0B19">
      <w:pPr>
        <w:tabs>
          <w:tab w:val="left" w:pos="72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2. Анамнеза за заболяване или увреда на периферната или централна соматосензорна нервна система, свързани с болката. </w:t>
      </w:r>
    </w:p>
    <w:p w14:paraId="0AFFDA7E" w14:textId="77777777" w:rsidR="00BE0B19" w:rsidRPr="00AE47C6" w:rsidRDefault="00BE0B19" w:rsidP="00BE0B19">
      <w:pPr>
        <w:tabs>
          <w:tab w:val="left" w:pos="72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3. Установяване на симптоми на определено невроанатомично увреждане чрез неврологичното изследване </w:t>
      </w:r>
    </w:p>
    <w:p w14:paraId="146DD44A" w14:textId="77777777" w:rsidR="00BE0B19" w:rsidRPr="00AE47C6" w:rsidRDefault="00BE0B19" w:rsidP="00BE0B19">
      <w:pPr>
        <w:tabs>
          <w:tab w:val="left" w:pos="72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4. Потвърждение на лезията или заболяването чрез поне един диагностичен тест (неврофизиологични, невроизобразяващи или неврохирургични методи). </w:t>
      </w:r>
    </w:p>
    <w:p w14:paraId="5475DD6B" w14:textId="77777777" w:rsidR="00BE0B19" w:rsidRPr="00AE47C6" w:rsidRDefault="00BE0B19" w:rsidP="00BE0B19">
      <w:pPr>
        <w:tabs>
          <w:tab w:val="left" w:pos="72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Вероятна</w:t>
      </w:r>
      <w:r w:rsidRPr="00AE47C6">
        <w:rPr>
          <w:rFonts w:ascii="Times New Roman" w:eastAsia="SimSun" w:hAnsi="Times New Roman"/>
          <w:sz w:val="24"/>
          <w:szCs w:val="24"/>
        </w:rPr>
        <w:t xml:space="preserve"> невропатна болка се поставя при наличие на първите три критерия, а </w:t>
      </w:r>
      <w:r w:rsidRPr="00AE47C6">
        <w:rPr>
          <w:rFonts w:ascii="Times New Roman" w:eastAsia="SimSun" w:hAnsi="Times New Roman"/>
          <w:i/>
          <w:sz w:val="24"/>
          <w:szCs w:val="24"/>
        </w:rPr>
        <w:t>възможна</w:t>
      </w:r>
      <w:r w:rsidRPr="00AE47C6">
        <w:rPr>
          <w:rFonts w:ascii="Times New Roman" w:eastAsia="SimSun" w:hAnsi="Times New Roman"/>
          <w:sz w:val="24"/>
          <w:szCs w:val="24"/>
        </w:rPr>
        <w:t xml:space="preserve"> – на първите два. Възможната невропатна болка налага провеждане на допълнителни изследвания за уточняване на диагнозата. </w:t>
      </w:r>
    </w:p>
    <w:p w14:paraId="48BC371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Използват се различни </w:t>
      </w:r>
      <w:r w:rsidRPr="00AE47C6">
        <w:rPr>
          <w:rFonts w:ascii="Times New Roman" w:eastAsia="SimSun" w:hAnsi="Times New Roman"/>
          <w:b/>
          <w:iCs/>
          <w:sz w:val="24"/>
          <w:szCs w:val="24"/>
        </w:rPr>
        <w:t>методи за количествено определяне на болката.</w:t>
      </w:r>
      <w:r w:rsidRPr="00AE47C6">
        <w:rPr>
          <w:rFonts w:ascii="Times New Roman" w:eastAsia="SimSun" w:hAnsi="Times New Roman"/>
          <w:sz w:val="24"/>
          <w:szCs w:val="24"/>
        </w:rPr>
        <w:t xml:space="preserve"> Тези методи са субективни и се повлияват от вниманието, умората и степента на будност на пациента. Изследва се спонтанната и предизвиканата чрез различни стимули (механични, термични, електрически, химични и исхемични) болка. С всяка сетивна модалност може да се определи прагът на възникване на болката и болковият толеранс. </w:t>
      </w:r>
    </w:p>
    <w:p w14:paraId="779AA321"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Пресорната алгометрия</w:t>
      </w:r>
      <w:r w:rsidRPr="00AE47C6">
        <w:rPr>
          <w:rFonts w:ascii="Times New Roman" w:eastAsia="SimSun" w:hAnsi="Times New Roman"/>
          <w:bCs/>
          <w:sz w:val="24"/>
          <w:szCs w:val="24"/>
        </w:rPr>
        <w:t xml:space="preserve"> се използва за количествено определяне на локалната чувствителност в мускулните тригерните точки, чрез пресорен алгометър. Измерва се прагът на натиск – минималният натиск, който предизвиква болка. Толерансът към натиск се определя като максималният натиск, който се понася от пациента и представлява чувствителността към болкови стимули. </w:t>
      </w:r>
    </w:p>
    <w:p w14:paraId="02711C28" w14:textId="77777777" w:rsidR="00BE0B19" w:rsidRPr="00AE47C6" w:rsidRDefault="00BE0B19" w:rsidP="00BE0B19">
      <w:pPr>
        <w:tabs>
          <w:tab w:val="left" w:pos="72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Използват се различни </w:t>
      </w:r>
      <w:r w:rsidRPr="00AE47C6">
        <w:rPr>
          <w:rFonts w:ascii="Times New Roman" w:eastAsia="SimSun" w:hAnsi="Times New Roman"/>
          <w:b/>
          <w:sz w:val="24"/>
          <w:szCs w:val="24"/>
        </w:rPr>
        <w:t>скали за определяне на интензивността на болката:</w:t>
      </w:r>
    </w:p>
    <w:p w14:paraId="4851E50D" w14:textId="77777777" w:rsidR="00BE0B19" w:rsidRPr="00AE47C6" w:rsidRDefault="00BE0B19" w:rsidP="00BE0B19">
      <w:pPr>
        <w:tabs>
          <w:tab w:val="left" w:pos="72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Визуалната аналогова скала</w:t>
      </w:r>
      <w:r w:rsidRPr="00AE47C6">
        <w:rPr>
          <w:rFonts w:ascii="Times New Roman" w:eastAsia="SimSun" w:hAnsi="Times New Roman"/>
          <w:sz w:val="24"/>
          <w:szCs w:val="24"/>
        </w:rPr>
        <w:t xml:space="preserve"> (0-10) представлява 10 cm хоризонтална, права линия с означение само на началото и края на скалата. В долния край на скалата е липсата на болка, а в горния – възможно най-силната болка, която може да си представи човек. Пациентът отбелязва своето усещане за болка, а изследващият измерва разстоянието от началото на скалата в сантиметри или милиметри. По този начин на болката се дава цифров израз. </w:t>
      </w:r>
    </w:p>
    <w:p w14:paraId="08CCF83F" w14:textId="77777777" w:rsidR="00BE0B19" w:rsidRPr="00AE47C6" w:rsidRDefault="00BE0B19" w:rsidP="00BE0B19">
      <w:pPr>
        <w:tabs>
          <w:tab w:val="left" w:pos="72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Цифровата скала за оценка на болката</w:t>
      </w:r>
      <w:r w:rsidRPr="00AE47C6">
        <w:rPr>
          <w:rFonts w:ascii="Times New Roman" w:eastAsia="SimSun" w:hAnsi="Times New Roman"/>
          <w:sz w:val="24"/>
          <w:szCs w:val="24"/>
        </w:rPr>
        <w:t xml:space="preserve"> използва цифри от 0 до 10 за силата на болката, която пациентът трябва сам да оцени. Оценка от 0-4 съответства на лека, 5-6 – на умерена и от 7 до 10 – на силна болка. </w:t>
      </w:r>
    </w:p>
    <w:p w14:paraId="3A5C4F2C" w14:textId="77777777" w:rsidR="00BE0B19" w:rsidRPr="00AE47C6" w:rsidRDefault="00BE0B19" w:rsidP="00BE0B19">
      <w:pPr>
        <w:tabs>
          <w:tab w:val="left" w:pos="72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Вербалната скала за оценка на болката</w:t>
      </w:r>
      <w:r w:rsidRPr="00AE47C6">
        <w:rPr>
          <w:rFonts w:ascii="Times New Roman" w:eastAsia="SimSun" w:hAnsi="Times New Roman"/>
          <w:sz w:val="24"/>
          <w:szCs w:val="24"/>
        </w:rPr>
        <w:t xml:space="preserve"> представлява списък от думи, които описват степенното нарастване на интензивността на болката – от липса до максимална. </w:t>
      </w:r>
    </w:p>
    <w:p w14:paraId="02560D00" w14:textId="77777777" w:rsidR="00BE0B19" w:rsidRPr="00AE47C6" w:rsidRDefault="00BE0B19" w:rsidP="00BE0B19">
      <w:pPr>
        <w:tabs>
          <w:tab w:val="left" w:pos="72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Лицевата скала на Wong-Baker за оценка на болката</w:t>
      </w:r>
      <w:r w:rsidRPr="00AE47C6">
        <w:rPr>
          <w:rFonts w:ascii="Times New Roman" w:eastAsia="SimSun" w:hAnsi="Times New Roman"/>
          <w:sz w:val="24"/>
          <w:szCs w:val="24"/>
        </w:rPr>
        <w:t xml:space="preserve"> се използва при деца под 8 годишна възраст, които трудно могат да използват прилагателни или цифри за оценка на своята болка. Използват се лица с гримаси изразяващи от много щастливо и усмихнато до стресирано и разплакано състояние. </w:t>
      </w:r>
    </w:p>
    <w:p w14:paraId="3A3D6D73" w14:textId="77777777" w:rsidR="00BE0B19" w:rsidRPr="00AE47C6" w:rsidRDefault="00BE0B19" w:rsidP="00BE0B19">
      <w:pPr>
        <w:tabs>
          <w:tab w:val="left" w:pos="72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Мултидименционалните скали</w:t>
      </w:r>
      <w:r w:rsidRPr="00AE47C6">
        <w:rPr>
          <w:rFonts w:ascii="Times New Roman" w:eastAsia="SimSun" w:hAnsi="Times New Roman"/>
          <w:sz w:val="24"/>
          <w:szCs w:val="24"/>
        </w:rPr>
        <w:t xml:space="preserve"> са по трудни за прилагане и интерпретация. Прилагат се от психолози при пациенти с хронична мултифакторна болка, които трудно се подават на лечение. </w:t>
      </w:r>
      <w:r w:rsidRPr="00AE47C6">
        <w:rPr>
          <w:rFonts w:ascii="Times New Roman" w:eastAsia="SimSun" w:hAnsi="Times New Roman"/>
          <w:i/>
          <w:iCs/>
          <w:sz w:val="24"/>
          <w:szCs w:val="24"/>
        </w:rPr>
        <w:t>Въпросникът на McGill за оценка на болката</w:t>
      </w:r>
      <w:r w:rsidRPr="00AE47C6">
        <w:rPr>
          <w:rFonts w:ascii="Times New Roman" w:eastAsia="SimSun" w:hAnsi="Times New Roman"/>
          <w:sz w:val="24"/>
          <w:szCs w:val="24"/>
        </w:rPr>
        <w:t xml:space="preserve"> е най-често прилаганата скала. Тя дава възможност за оценка на сензорните, афективни и оценителни измерения на болката. Пациентът трябва да подбере описателни термини от предложени групи от думи, които са подредени според силата на болката. Трябва освен това да означи сам, на диаграма на човешкото тяло, локализацията на своята болка. </w:t>
      </w:r>
      <w:r w:rsidRPr="00AE47C6">
        <w:rPr>
          <w:rFonts w:ascii="Times New Roman" w:eastAsia="SimSun" w:hAnsi="Times New Roman"/>
          <w:i/>
          <w:iCs/>
          <w:sz w:val="24"/>
          <w:szCs w:val="24"/>
        </w:rPr>
        <w:t>Краткият опис на болката</w:t>
      </w:r>
      <w:r w:rsidRPr="00AE47C6">
        <w:rPr>
          <w:rFonts w:ascii="Times New Roman" w:eastAsia="SimSun" w:hAnsi="Times New Roman"/>
          <w:sz w:val="24"/>
          <w:szCs w:val="24"/>
        </w:rPr>
        <w:t xml:space="preserve"> (Brief Pain Inventory) е често използвана скала за оценка на влиянието на болката върху ежедневните активности на пациента. </w:t>
      </w:r>
      <w:r w:rsidRPr="00AE47C6">
        <w:rPr>
          <w:rFonts w:ascii="Times New Roman" w:eastAsia="SimSun" w:hAnsi="Times New Roman"/>
          <w:i/>
          <w:iCs/>
          <w:sz w:val="24"/>
          <w:szCs w:val="24"/>
        </w:rPr>
        <w:t>Мултидименционалният опис на болката</w:t>
      </w:r>
      <w:r w:rsidRPr="00AE47C6">
        <w:rPr>
          <w:rFonts w:ascii="Times New Roman" w:eastAsia="SimSun" w:hAnsi="Times New Roman"/>
          <w:sz w:val="24"/>
          <w:szCs w:val="24"/>
        </w:rPr>
        <w:t xml:space="preserve"> (Multidimensional Pain Inventory) е въпросник от 64 точки, три части и 12 субскали. Първите 2 части оценяват влиянието на болката върху различни аспекти от живота на пациента и усещането му за отношението на близките хора към неговото страдание. В третата част се оценява колко често пациентът извършва 18 ежедневни активности. Подходящ е за оценка на изхода от лечението. </w:t>
      </w:r>
    </w:p>
    <w:p w14:paraId="619CB450" w14:textId="77777777" w:rsidR="00BE0B19" w:rsidRPr="00AE47C6" w:rsidRDefault="00BE0B19" w:rsidP="00BE0B19">
      <w:pPr>
        <w:spacing w:after="0" w:line="360" w:lineRule="auto"/>
        <w:ind w:firstLine="709"/>
        <w:jc w:val="both"/>
        <w:rPr>
          <w:rFonts w:ascii="Times New Roman" w:eastAsia="SimSun" w:hAnsi="Times New Roman"/>
          <w:iCs/>
          <w:sz w:val="24"/>
          <w:szCs w:val="24"/>
        </w:rPr>
      </w:pPr>
      <w:r w:rsidRPr="00AE47C6">
        <w:rPr>
          <w:rFonts w:ascii="Times New Roman" w:eastAsia="SimSun" w:hAnsi="Times New Roman"/>
          <w:b/>
          <w:iCs/>
          <w:sz w:val="24"/>
          <w:szCs w:val="24"/>
        </w:rPr>
        <w:t>Неврофизиологичните методи</w:t>
      </w:r>
      <w:r w:rsidRPr="00AE47C6">
        <w:rPr>
          <w:rFonts w:ascii="Times New Roman" w:eastAsia="SimSun" w:hAnsi="Times New Roman"/>
          <w:b/>
          <w:i/>
          <w:iCs/>
          <w:sz w:val="24"/>
          <w:szCs w:val="24"/>
        </w:rPr>
        <w:t xml:space="preserve"> </w:t>
      </w:r>
      <w:r w:rsidRPr="00AE47C6">
        <w:rPr>
          <w:rFonts w:ascii="Times New Roman" w:eastAsia="SimSun" w:hAnsi="Times New Roman"/>
          <w:iCs/>
          <w:sz w:val="24"/>
          <w:szCs w:val="24"/>
        </w:rPr>
        <w:t>се използват за установяване на увреждане на нервната система.</w:t>
      </w:r>
    </w:p>
    <w:p w14:paraId="53BE423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ЕМГ изследването</w:t>
      </w:r>
      <w:r w:rsidRPr="00AE47C6">
        <w:rPr>
          <w:rFonts w:ascii="Times New Roman" w:eastAsia="SimSun" w:hAnsi="Times New Roman"/>
          <w:sz w:val="24"/>
          <w:szCs w:val="24"/>
        </w:rPr>
        <w:t xml:space="preserve"> установява само увреждането на дебелите миелинизирани влакна в периферните нерви. С конвенционалните методи не могат да се изследват тънките Аδ и С влакна, провеждащи автономните импулси и ноцицептивната аферентация, нито могат да се установят позитивните симптоми. Поради тази причина изследването не може да потвърди или да отхвърли увреждането на периферния нерв като причина за невропатната болка. Въпреки това електромиографията и електроневрографията намират приложение за диагностика на полиневропатии, компресионни невропатии, радикулопатии и други увреждания на периферните нерви, които могат да бъдат източник на болка. Изследването дава възможност да се установи клиничната значимост на установените чрез невроизобразяващите методи промени, да се установи давността и прогнозата на уврежданията. Абсолютно индицирано е при установяване на отпадна неврологична симптоматика. Електромиографското изследване на мускулната активност и на F вълната дава възможност за точно определяне на засегнатото коренче.</w:t>
      </w:r>
    </w:p>
    <w:p w14:paraId="450034EA"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i/>
          <w:sz w:val="24"/>
          <w:szCs w:val="24"/>
        </w:rPr>
        <w:t>Симпатиковият кожен отговор</w:t>
      </w:r>
      <w:r w:rsidRPr="00AE47C6">
        <w:rPr>
          <w:rFonts w:ascii="Times New Roman" w:eastAsia="SimSun" w:hAnsi="Times New Roman"/>
          <w:sz w:val="24"/>
          <w:szCs w:val="24"/>
        </w:rPr>
        <w:t xml:space="preserve"> се използва за изследване на тънките немиелинизирани </w:t>
      </w:r>
      <w:r w:rsidRPr="00AE47C6">
        <w:rPr>
          <w:rFonts w:ascii="Times New Roman" w:eastAsia="SimSun" w:hAnsi="Times New Roman"/>
          <w:bCs/>
          <w:sz w:val="24"/>
          <w:szCs w:val="24"/>
        </w:rPr>
        <w:t>судомоторни влакна</w:t>
      </w:r>
      <w:r w:rsidRPr="00AE47C6">
        <w:rPr>
          <w:rFonts w:ascii="Times New Roman" w:eastAsia="SimSun" w:hAnsi="Times New Roman"/>
          <w:sz w:val="24"/>
          <w:szCs w:val="24"/>
        </w:rPr>
        <w:t xml:space="preserve">. </w:t>
      </w:r>
      <w:r w:rsidRPr="00AE47C6">
        <w:rPr>
          <w:rFonts w:ascii="Times New Roman" w:eastAsia="SimSun" w:hAnsi="Times New Roman"/>
          <w:bCs/>
          <w:sz w:val="24"/>
          <w:szCs w:val="24"/>
        </w:rPr>
        <w:t xml:space="preserve">При електростимулация на периферен нерв се предизвиква адренергичен стимул, който води до изпотяване и промяна в кожния електрически потенциал. Чувствителността на </w:t>
      </w:r>
      <w:r w:rsidRPr="00AE47C6">
        <w:rPr>
          <w:rFonts w:ascii="Times New Roman" w:eastAsia="SimSun" w:hAnsi="Times New Roman"/>
          <w:sz w:val="24"/>
          <w:szCs w:val="24"/>
        </w:rPr>
        <w:t>методиката</w:t>
      </w:r>
      <w:r w:rsidRPr="00AE47C6">
        <w:rPr>
          <w:rFonts w:ascii="Times New Roman" w:eastAsia="SimSun" w:hAnsi="Times New Roman"/>
          <w:bCs/>
          <w:sz w:val="24"/>
          <w:szCs w:val="24"/>
        </w:rPr>
        <w:t xml:space="preserve"> за диагностициране на невропатия на тънките влакна е ниска.</w:t>
      </w:r>
    </w:p>
    <w:p w14:paraId="33FAE088"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iCs/>
          <w:sz w:val="24"/>
          <w:szCs w:val="24"/>
        </w:rPr>
        <w:t>Стволовите рефлекси</w:t>
      </w:r>
      <w:r w:rsidRPr="00AE47C6">
        <w:rPr>
          <w:rFonts w:ascii="Times New Roman" w:eastAsia="SimSun" w:hAnsi="Times New Roman"/>
          <w:bCs/>
          <w:sz w:val="24"/>
          <w:szCs w:val="24"/>
        </w:rPr>
        <w:t xml:space="preserve"> (мигателният и масетерният инхибиторен рефлекс) са метод за оценка на тригеминалните, стволовите функции и на краниофациалната болка.  </w:t>
      </w:r>
    </w:p>
    <w:p w14:paraId="3A848DFC"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Мигателният рефлекс се състои от R1 и R2 компоненти, които се получават след механична или електрическа стимулация в супраорбиталната област. Масетерният инхибиторен рефлекс се състои от SP1 и SP2 компоненти, които се получават след механична или електрическа стимулация на максиларната или мандибуларна област. Тези рефлекси оценяват функцията на дебелите миелинизирани тригеминални аференти, както и централните тригеминални невронни кръгове в продълговатия мозък, моста и средния мозък. </w:t>
      </w:r>
    </w:p>
    <w:p w14:paraId="0A47C874"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iCs/>
          <w:sz w:val="24"/>
          <w:szCs w:val="24"/>
        </w:rPr>
        <w:t>Соматосензорните евокирани потенциали</w:t>
      </w:r>
      <w:r w:rsidRPr="00AE47C6">
        <w:rPr>
          <w:rFonts w:ascii="Times New Roman" w:eastAsia="SimSun" w:hAnsi="Times New Roman"/>
          <w:bCs/>
          <w:sz w:val="24"/>
          <w:szCs w:val="24"/>
        </w:rPr>
        <w:t xml:space="preserve"> (СЕП) се получават след подаване на ниско интензитетни електрически стимули, които активират предимно дебелите, бързо провеждащи аферентни влакна, с по-нисък праг на електростимулация от тънките ноцицептивни аферентни влакна. При увеличаване на интензитета на електрическия стимул се получава нарастваща болка, тъй като се активират и ноцицептивните аферентни влакна. Започват да се отвеждат “ноцицептивни” евокирани потенциали. Соматосензорните евокирани потенциали N1-P2 (или N140-P250) отразяват коровият болков отговор. </w:t>
      </w:r>
    </w:p>
    <w:p w14:paraId="7EE1BDB0"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iCs/>
          <w:sz w:val="24"/>
          <w:szCs w:val="24"/>
        </w:rPr>
        <w:t>Кожната биопсия</w:t>
      </w:r>
      <w:r w:rsidRPr="00AE47C6">
        <w:rPr>
          <w:rFonts w:ascii="Times New Roman" w:eastAsia="SimSun" w:hAnsi="Times New Roman"/>
          <w:bCs/>
          <w:sz w:val="24"/>
          <w:szCs w:val="24"/>
        </w:rPr>
        <w:t xml:space="preserve"> се използва за диагностика на болезнени невропатии. Вземат се малки парчета (3 mm) от кожата в различни участъци на тялото и се изследват аксоните и ноцицептивните нервни окончания в нея. Стандартно се прави пункционна кожна биопсия на крака на 10 cm над външния малеол. Диагнозата се поставя по намалената под 5% гъстота на нервните окончания. Количественото изследване се извършва в епидермиса, където аксоните се разделят на индивидуални интраепидермални нервни терминали, които могат да се изброят. </w:t>
      </w:r>
    </w:p>
    <w:p w14:paraId="353707F1"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iCs/>
          <w:sz w:val="24"/>
          <w:szCs w:val="24"/>
        </w:rPr>
        <w:t xml:space="preserve">Биопсията на n. suralis </w:t>
      </w:r>
      <w:r w:rsidRPr="00AE47C6">
        <w:rPr>
          <w:rFonts w:ascii="Times New Roman" w:eastAsia="SimSun" w:hAnsi="Times New Roman"/>
          <w:bCs/>
          <w:sz w:val="24"/>
          <w:szCs w:val="24"/>
        </w:rPr>
        <w:t xml:space="preserve">се използва често, тъй като нерва е чисто сетивен и неговата увреда не води до мускулна слабост. Изследването чрез светлинна микроскопия на немиелинизираните ноцицептивни аксони може да постави диагнозата невропатия. </w:t>
      </w:r>
    </w:p>
    <w:p w14:paraId="1B387DE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iCs/>
          <w:sz w:val="24"/>
          <w:szCs w:val="24"/>
        </w:rPr>
        <w:t>Невроизобразяващите методи</w:t>
      </w:r>
      <w:r w:rsidRPr="00AE47C6">
        <w:rPr>
          <w:rFonts w:ascii="Times New Roman" w:eastAsia="SimSun" w:hAnsi="Times New Roman"/>
          <w:bCs/>
          <w:sz w:val="24"/>
          <w:szCs w:val="24"/>
        </w:rPr>
        <w:t xml:space="preserve">, които се използват за установяване на етиологията на болката са рентгенография, миелография с нейонни контрасти, компютърна томография и магнитно резонансна томография. </w:t>
      </w:r>
      <w:r w:rsidRPr="00AE47C6">
        <w:rPr>
          <w:rFonts w:ascii="Times New Roman" w:eastAsia="SimSun" w:hAnsi="Times New Roman"/>
          <w:sz w:val="24"/>
          <w:szCs w:val="24"/>
        </w:rPr>
        <w:t>Невроизобразяващите методи са абсолютно индицирани при неврологичен дефицит, загуба на тегло, предишни данни за туморно заболяване, сериозна травма, двигателен неврологичен дефицит, продължително прилагане на кортикостероиди, клинични данни за ревматоиден артрит, анкилозиращ спондилит и метаболитни нарушения.</w:t>
      </w:r>
    </w:p>
    <w:p w14:paraId="61428FC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Рентгенографията</w:t>
      </w:r>
      <w:r w:rsidRPr="00AE47C6">
        <w:rPr>
          <w:rFonts w:ascii="Times New Roman" w:eastAsia="SimSun" w:hAnsi="Times New Roman"/>
          <w:sz w:val="24"/>
          <w:szCs w:val="24"/>
        </w:rPr>
        <w:t xml:space="preserve"> е рутинно използвано изследване при болки в гърба. Корелацията между рентгенографската находка и симптомите на болния е много слаба. Визуализират се дегенеративните промени на гръбнака, които отразяват нормалното остаряване, но не и компресията на коренчетата. </w:t>
      </w:r>
    </w:p>
    <w:p w14:paraId="5191EFF3"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iCs/>
          <w:sz w:val="24"/>
          <w:szCs w:val="24"/>
        </w:rPr>
        <w:t>Компютърната томография</w:t>
      </w:r>
      <w:r w:rsidRPr="00AE47C6">
        <w:rPr>
          <w:rFonts w:ascii="Times New Roman" w:eastAsia="SimSun" w:hAnsi="Times New Roman"/>
          <w:bCs/>
          <w:sz w:val="24"/>
          <w:szCs w:val="24"/>
        </w:rPr>
        <w:t xml:space="preserve"> (КТ) </w:t>
      </w:r>
      <w:r w:rsidRPr="00AE47C6">
        <w:rPr>
          <w:rFonts w:ascii="Times New Roman" w:eastAsia="SimSun" w:hAnsi="Times New Roman"/>
          <w:sz w:val="24"/>
          <w:szCs w:val="24"/>
        </w:rPr>
        <w:t>е метод на избор при болни с неврологичен дефицит.</w:t>
      </w:r>
      <w:r w:rsidRPr="00AE47C6">
        <w:rPr>
          <w:rFonts w:ascii="Times New Roman" w:eastAsia="SimSun" w:hAnsi="Times New Roman"/>
          <w:bCs/>
          <w:sz w:val="24"/>
          <w:szCs w:val="24"/>
        </w:rPr>
        <w:t xml:space="preserve"> Не може да визуализира добре очертанията гръбначния мозък, без прилагане на КТ миелография. </w:t>
      </w:r>
    </w:p>
    <w:p w14:paraId="66AF1B6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Миелографията</w:t>
      </w:r>
      <w:r w:rsidRPr="00AE47C6">
        <w:rPr>
          <w:rFonts w:ascii="Times New Roman" w:eastAsia="SimSun" w:hAnsi="Times New Roman"/>
          <w:sz w:val="24"/>
          <w:szCs w:val="24"/>
        </w:rPr>
        <w:t xml:space="preserve"> е инвазивен метод, който трябва да се използва само при болни с неврологичен дефицит. </w:t>
      </w:r>
      <w:r w:rsidRPr="00AE47C6">
        <w:rPr>
          <w:rFonts w:ascii="Times New Roman" w:eastAsia="SimSun" w:hAnsi="Times New Roman"/>
          <w:bCs/>
          <w:sz w:val="24"/>
          <w:szCs w:val="24"/>
        </w:rPr>
        <w:t>За тази цел чрез лумбална пункция се прилага водно разтворим контраст интратекално. Той</w:t>
      </w:r>
      <w:r w:rsidRPr="00AE47C6">
        <w:rPr>
          <w:rFonts w:ascii="Times New Roman" w:eastAsia="SimSun" w:hAnsi="Times New Roman"/>
          <w:sz w:val="24"/>
          <w:szCs w:val="24"/>
        </w:rPr>
        <w:t xml:space="preserve"> намалява постмиелографските реакции и арахноидити, но въпреки това съществува висок риск. Друго ограничение на метода е невъзможността да се визуализира придружаваща патология дистално от пълния блок на контрастната материя.</w:t>
      </w:r>
    </w:p>
    <w:p w14:paraId="66BA843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Cs/>
          <w:i/>
          <w:iCs/>
          <w:sz w:val="24"/>
          <w:szCs w:val="24"/>
        </w:rPr>
        <w:t>Магнитно резонансната томография</w:t>
      </w:r>
      <w:r w:rsidRPr="00AE47C6">
        <w:rPr>
          <w:rFonts w:ascii="Times New Roman" w:eastAsia="SimSun" w:hAnsi="Times New Roman"/>
          <w:bCs/>
          <w:sz w:val="24"/>
          <w:szCs w:val="24"/>
        </w:rPr>
        <w:t xml:space="preserve"> (МРТ) дава възможност за визуализиране на промени, които не са видими с КТ. </w:t>
      </w:r>
      <w:r w:rsidRPr="00AE47C6">
        <w:rPr>
          <w:rFonts w:ascii="Times New Roman" w:eastAsia="SimSun" w:hAnsi="Times New Roman"/>
          <w:sz w:val="24"/>
          <w:szCs w:val="24"/>
        </w:rPr>
        <w:t>Високата чувствителност на метода носи риск от хипердиагностика, поради визуализирането на ранни дегенеративни промени. Прилагането на контраст (gadolinium) повишава чувствителността на метода и е особено показан за отдиференциране на тумори и пост-оперативни усложнения от повторни дискови пролапси.</w:t>
      </w:r>
    </w:p>
    <w:p w14:paraId="1C6E6D3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Сцинтиграфията</w:t>
      </w:r>
      <w:r w:rsidRPr="00AE47C6">
        <w:rPr>
          <w:rFonts w:ascii="Times New Roman" w:eastAsia="SimSun" w:hAnsi="Times New Roman"/>
          <w:sz w:val="24"/>
          <w:szCs w:val="24"/>
        </w:rPr>
        <w:t xml:space="preserve"> е метод за ранна диагностика предимно на метастатични тумори, остеомиелит и остеопоротични фрактури.</w:t>
      </w:r>
    </w:p>
    <w:p w14:paraId="535FFABE"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Изследванията на автономната нервна система</w:t>
      </w:r>
      <w:r w:rsidRPr="00AE47C6">
        <w:rPr>
          <w:rFonts w:ascii="Times New Roman" w:eastAsia="SimSun" w:hAnsi="Times New Roman"/>
          <w:bCs/>
          <w:sz w:val="24"/>
          <w:szCs w:val="24"/>
        </w:rPr>
        <w:t xml:space="preserve"> чрез дермографски методи и техника на Head помагат за установяване на хипералгезия в кожата и подкожието. </w:t>
      </w:r>
    </w:p>
    <w:p w14:paraId="2423343A"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При </w:t>
      </w:r>
      <w:r w:rsidRPr="00AE47C6">
        <w:rPr>
          <w:rFonts w:ascii="Times New Roman" w:eastAsia="SimSun" w:hAnsi="Times New Roman"/>
          <w:bCs/>
          <w:i/>
          <w:sz w:val="24"/>
          <w:szCs w:val="24"/>
        </w:rPr>
        <w:t>дермографските методи</w:t>
      </w:r>
      <w:r w:rsidRPr="00AE47C6">
        <w:rPr>
          <w:rFonts w:ascii="Times New Roman" w:eastAsia="SimSun" w:hAnsi="Times New Roman"/>
          <w:bCs/>
          <w:sz w:val="24"/>
          <w:szCs w:val="24"/>
        </w:rPr>
        <w:t xml:space="preserve"> чрез тъпа писалка на дермографа се правят две паралелни, вертикални линии, на 2 cm една от друга. Прилага се постоянен натиск от 500 g. Може да се използва и гърба на нокътя на пръста на ръката на изследващия. Появяват се две червени линии по кожата (вазодилатация), които нормално постепенно избледняват едновременно. При хипералгезия линиите се прекъсват преждевременно поради преобладаване на исхемичната фаза на дермографизма. </w:t>
      </w:r>
    </w:p>
    <w:p w14:paraId="75974971"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При </w:t>
      </w:r>
      <w:r w:rsidRPr="00AE47C6">
        <w:rPr>
          <w:rFonts w:ascii="Times New Roman" w:eastAsia="SimSun" w:hAnsi="Times New Roman"/>
          <w:bCs/>
          <w:i/>
          <w:sz w:val="24"/>
          <w:szCs w:val="24"/>
        </w:rPr>
        <w:t>техниката на Head</w:t>
      </w:r>
      <w:r w:rsidRPr="00AE47C6">
        <w:rPr>
          <w:rFonts w:ascii="Times New Roman" w:eastAsia="SimSun" w:hAnsi="Times New Roman"/>
          <w:bCs/>
          <w:sz w:val="24"/>
          <w:szCs w:val="24"/>
        </w:rPr>
        <w:t xml:space="preserve"> се драскат концентрични линии по кожата, като се използва постоянно налягане от 40 g и ъгъл на писеца на дерматографа от 25</w:t>
      </w:r>
      <w:r w:rsidRPr="00AE47C6">
        <w:rPr>
          <w:rFonts w:ascii="Times New Roman" w:eastAsia="SimSun" w:hAnsi="Times New Roman"/>
          <w:bCs/>
          <w:sz w:val="24"/>
          <w:szCs w:val="24"/>
          <w:vertAlign w:val="superscript"/>
        </w:rPr>
        <w:t>0</w:t>
      </w:r>
      <w:r w:rsidRPr="00AE47C6">
        <w:rPr>
          <w:rFonts w:ascii="Times New Roman" w:eastAsia="SimSun" w:hAnsi="Times New Roman"/>
          <w:bCs/>
          <w:sz w:val="24"/>
          <w:szCs w:val="24"/>
        </w:rPr>
        <w:t xml:space="preserve">. Появата на болезнена реакция от страна на пациента показва достигане до хипералгезичната зона. </w:t>
      </w:r>
    </w:p>
    <w:p w14:paraId="47E972FB"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Лабораторните методи</w:t>
      </w:r>
      <w:r w:rsidRPr="00AE47C6">
        <w:rPr>
          <w:rFonts w:ascii="Times New Roman" w:eastAsia="SimSun" w:hAnsi="Times New Roman"/>
          <w:sz w:val="24"/>
          <w:szCs w:val="24"/>
        </w:rPr>
        <w:t xml:space="preserve"> за изследване на серум и урина се прилагат за установяване на етиологията на увредата. При данни за невропатия на тънките влакна се изследва кръвна захар, при съмнение за колагеноза – антинуклеарни антитела, ревматоиден фактор, криоглобулини и СУЕ. Конкретните изследвания зависят от предполагаемата диагноза. </w:t>
      </w:r>
    </w:p>
    <w:p w14:paraId="61ECD5A2"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60" w:name="_Toc155651729"/>
      <w:bookmarkStart w:id="61" w:name="_Toc164075861"/>
      <w:r w:rsidRPr="00AE47C6">
        <w:rPr>
          <w:rFonts w:ascii="Times New Roman" w:eastAsia="SimSun" w:hAnsi="Times New Roman"/>
          <w:b/>
          <w:sz w:val="24"/>
          <w:szCs w:val="24"/>
        </w:rPr>
        <w:t>3.1. Периферна невропатна болка</w:t>
      </w:r>
      <w:bookmarkEnd w:id="60"/>
      <w:bookmarkEnd w:id="61"/>
    </w:p>
    <w:p w14:paraId="55CC8882" w14:textId="77777777" w:rsidR="00BE0B19" w:rsidRPr="00AE47C6" w:rsidRDefault="00BE0B19" w:rsidP="00BE0B19">
      <w:pPr>
        <w:tabs>
          <w:tab w:val="left" w:pos="72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Cs/>
          <w:sz w:val="24"/>
          <w:szCs w:val="24"/>
        </w:rPr>
        <w:t xml:space="preserve">Възниква в резултат на всеки тип увреда и </w:t>
      </w:r>
      <w:r w:rsidRPr="00AE47C6">
        <w:rPr>
          <w:rFonts w:ascii="Times New Roman" w:eastAsia="SimSun" w:hAnsi="Times New Roman"/>
          <w:sz w:val="24"/>
          <w:szCs w:val="24"/>
        </w:rPr>
        <w:t>дисфункция</w:t>
      </w:r>
      <w:r w:rsidRPr="00AE47C6">
        <w:rPr>
          <w:rFonts w:ascii="Times New Roman" w:eastAsia="SimSun" w:hAnsi="Times New Roman"/>
          <w:iCs/>
          <w:sz w:val="24"/>
          <w:szCs w:val="24"/>
        </w:rPr>
        <w:t xml:space="preserve"> на периферните нерви, ганглиопатия (увреждане на сетивни или автономни ганглии) или радикулопатия (увреждане на задното коренче). Най-чести причини са травма, инфекция, възпаление, метаболитни и съдови нарушения, недохранване, исхемия, невротоксини (включително химиотерапевтици), радиация, автоимунни заболявания и наследствени нарушения. Според етиологията клиничната картина е различна. </w:t>
      </w:r>
      <w:r w:rsidRPr="00AE47C6">
        <w:rPr>
          <w:rFonts w:ascii="Times New Roman" w:eastAsia="SimSun" w:hAnsi="Times New Roman"/>
          <w:sz w:val="24"/>
          <w:szCs w:val="24"/>
        </w:rPr>
        <w:t xml:space="preserve">Темпът на развитие на заболяването помага за установяване на етиологията. </w:t>
      </w:r>
      <w:r w:rsidRPr="00AE47C6">
        <w:rPr>
          <w:rFonts w:ascii="Times New Roman" w:eastAsia="SimSun" w:hAnsi="Times New Roman"/>
          <w:iCs/>
          <w:sz w:val="24"/>
          <w:szCs w:val="24"/>
        </w:rPr>
        <w:t xml:space="preserve">Типично болката се развива постепенно, защото се причинява от патофизиологични механизми, които се развиват постепенно в периферната и централна нервна система. </w:t>
      </w:r>
      <w:r w:rsidRPr="00AE47C6">
        <w:rPr>
          <w:rFonts w:ascii="Times New Roman" w:eastAsia="SimSun" w:hAnsi="Times New Roman"/>
          <w:sz w:val="24"/>
          <w:szCs w:val="24"/>
        </w:rPr>
        <w:t xml:space="preserve">Началото е остро при </w:t>
      </w:r>
      <w:r w:rsidRPr="00AE47C6">
        <w:rPr>
          <w:rFonts w:ascii="Times New Roman" w:eastAsia="SimSun" w:hAnsi="Times New Roman"/>
          <w:iCs/>
          <w:sz w:val="24"/>
          <w:szCs w:val="24"/>
        </w:rPr>
        <w:t xml:space="preserve">внезапно възникнала увреда, </w:t>
      </w:r>
      <w:r w:rsidRPr="00AE47C6">
        <w:rPr>
          <w:rFonts w:ascii="Times New Roman" w:eastAsia="SimSun" w:hAnsi="Times New Roman"/>
          <w:sz w:val="24"/>
          <w:szCs w:val="24"/>
        </w:rPr>
        <w:t xml:space="preserve">възпалителни, автоимунни, токсични и съдови заболявания. Подостро е при токсични, недоимъчни и системни заболявания и хронично – при наследствени и метаболитни. </w:t>
      </w:r>
    </w:p>
    <w:p w14:paraId="229DC935"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62" w:name="_Toc155651730"/>
      <w:bookmarkStart w:id="63" w:name="_Toc164075862"/>
      <w:r w:rsidRPr="00AE47C6">
        <w:rPr>
          <w:rFonts w:ascii="Times New Roman" w:eastAsia="SimSun" w:hAnsi="Times New Roman"/>
          <w:b/>
          <w:sz w:val="24"/>
          <w:szCs w:val="20"/>
          <w:lang w:eastAsia="ja-JP"/>
        </w:rPr>
        <w:t>3.1.1. Краниофациална болка</w:t>
      </w:r>
      <w:bookmarkEnd w:id="62"/>
      <w:bookmarkEnd w:id="63"/>
    </w:p>
    <w:p w14:paraId="1A3CB1E6"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Болката в областта на лицето и около устата се установява при 13% от населението. Подразделя се на четири големи групи: предизвикана от локални заболявания, от периферните нерви и техните централни пътища, от анатомични структури извън лицето (уши, очи, сърце, цервикален гръбнак) и хронична атипична болка. </w:t>
      </w:r>
    </w:p>
    <w:p w14:paraId="25818E83"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b/>
          <w:sz w:val="24"/>
          <w:szCs w:val="24"/>
          <w:lang w:eastAsia="ar-SA"/>
        </w:rPr>
      </w:pPr>
    </w:p>
    <w:p w14:paraId="7644F5C7"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Атипични лицеви болки</w:t>
      </w:r>
      <w:r w:rsidRPr="00AE47C6">
        <w:rPr>
          <w:rFonts w:ascii="Times New Roman" w:eastAsia="SimSun" w:hAnsi="Times New Roman"/>
          <w:sz w:val="24"/>
          <w:szCs w:val="24"/>
          <w:lang w:eastAsia="ar-SA"/>
        </w:rPr>
        <w:t xml:space="preserve"> (невралгия, орофациална дизестезия)</w:t>
      </w:r>
    </w:p>
    <w:p w14:paraId="4E95CA5A"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Представлява персистираща лицева болка, при която не се установяват органични лезии и неврологични симптоми. </w:t>
      </w:r>
    </w:p>
    <w:p w14:paraId="6380D0A9"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Болестността</w:t>
      </w:r>
      <w:r w:rsidRPr="00AE47C6">
        <w:rPr>
          <w:rFonts w:ascii="Times New Roman" w:eastAsia="SimSun" w:hAnsi="Times New Roman"/>
          <w:sz w:val="24"/>
          <w:szCs w:val="24"/>
          <w:lang w:eastAsia="ar-SA"/>
        </w:rPr>
        <w:t xml:space="preserve"> е около 0,7 на 100 000 души население, по-често при жени в средна и напреднала възраст. </w:t>
      </w:r>
    </w:p>
    <w:p w14:paraId="5FD1C7CC"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Етиологията и патогенезата</w:t>
      </w:r>
      <w:r w:rsidRPr="00AE47C6">
        <w:rPr>
          <w:rFonts w:ascii="Times New Roman" w:eastAsia="SimSun" w:hAnsi="Times New Roman"/>
          <w:sz w:val="24"/>
          <w:szCs w:val="24"/>
          <w:lang w:eastAsia="ar-SA"/>
        </w:rPr>
        <w:t xml:space="preserve"> на болката не са ясни, предполага, се че е невропатна, вследствие на субклинична невропатия със засягане на тънките влакна. Началото често е свързано с травма – зъболечение, екстракция на зъб или хирургична интервенция на синусите. </w:t>
      </w:r>
    </w:p>
    <w:p w14:paraId="0DEAC63D"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 xml:space="preserve">Клинично </w:t>
      </w:r>
      <w:r w:rsidRPr="00AE47C6">
        <w:rPr>
          <w:rFonts w:ascii="Times New Roman" w:eastAsia="SimSun" w:hAnsi="Times New Roman"/>
          <w:sz w:val="24"/>
          <w:szCs w:val="24"/>
          <w:lang w:eastAsia="ar-SA"/>
        </w:rPr>
        <w:t xml:space="preserve">протича с дълбока, не добре локализирана пареща болка, в областта на долната или горната челюст. Болката е едностранна, но при 30% може да бъде двустранна. В началото се усеща в ъгъла между бузата и носа или средата на лицето, но с прогресията на заболяването обхваща по-голяма територия и излиза извън шийната област. Не се разпространява по хода на периферните нерви или коренчета и излиза извън областта инервирана от тригеминалния нерв. Болката е пареща, дърпаща, пробождаща, притискаща или пулсираща, с флуктуираща от умерена до силна интензивност. Може да бъде постоянна, ежедневна или да липсва в някои месеци от годината. Може да се придружава от леки субективни сетивни нарушения в същата област, дизестезии, парестезии и симптоми на симпатикова и съдова дисфункция, като чувство за подуване и топлина. Често се срещат главоболие, болки в гърба, хипервъзбудим пикочен мехур, депресия, психологичен дистрес, предшестващ появата на заболяването и други психични нарушения. </w:t>
      </w:r>
    </w:p>
    <w:p w14:paraId="02C3BF92"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Диагнозата</w:t>
      </w:r>
      <w:r w:rsidRPr="00AE47C6">
        <w:rPr>
          <w:rFonts w:ascii="Times New Roman" w:eastAsia="SimSun" w:hAnsi="Times New Roman"/>
          <w:sz w:val="24"/>
          <w:szCs w:val="24"/>
          <w:lang w:eastAsia="ar-SA"/>
        </w:rPr>
        <w:t xml:space="preserve"> се поставя на базата на изключване на всички възможни системни, неврологични и стоматологични заболявания и увреждане на тригеминалния нерв. </w:t>
      </w:r>
    </w:p>
    <w:p w14:paraId="2A98FA5D" w14:textId="77777777" w:rsidR="00BE0B19" w:rsidRPr="00AE47C6" w:rsidRDefault="00BE0B19" w:rsidP="00BE0B19">
      <w:pPr>
        <w:spacing w:after="0" w:line="360" w:lineRule="auto"/>
        <w:ind w:firstLine="709"/>
        <w:jc w:val="both"/>
        <w:rPr>
          <w:rFonts w:ascii="Times New Roman" w:eastAsia="SimSun" w:hAnsi="Times New Roman"/>
          <w:b/>
          <w:sz w:val="24"/>
          <w:szCs w:val="24"/>
        </w:rPr>
      </w:pPr>
    </w:p>
    <w:p w14:paraId="49C98FB6"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Синдром на парещата уста</w:t>
      </w:r>
    </w:p>
    <w:p w14:paraId="549B265D"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Използват се и термини като глосодиния, глосопироза, стоматодиния, стоматопироза, възпалена уста и орална дизестезия. </w:t>
      </w:r>
    </w:p>
    <w:p w14:paraId="5F1B912E"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Болестността</w:t>
      </w:r>
      <w:r w:rsidRPr="00AE47C6">
        <w:rPr>
          <w:rFonts w:ascii="Times New Roman" w:eastAsia="SimSun" w:hAnsi="Times New Roman"/>
          <w:bCs/>
          <w:sz w:val="24"/>
          <w:szCs w:val="24"/>
        </w:rPr>
        <w:t xml:space="preserve"> е около 3,7% от възрастното население. Жените боледуват по-често (5,5%) от мъжете (1,6%). С възрастта нараства и при двата пола и достига до 12% при жените във възрастовата група 60-70 години. Рисковите фактори не са известни, с изключение на нарастването на риска при жени след менопаузата. </w:t>
      </w:r>
    </w:p>
    <w:p w14:paraId="3F9D71EB"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Етиологията и патофизиологията</w:t>
      </w:r>
      <w:r w:rsidRPr="00AE47C6">
        <w:rPr>
          <w:rFonts w:ascii="Times New Roman" w:eastAsia="SimSun" w:hAnsi="Times New Roman"/>
          <w:bCs/>
          <w:sz w:val="24"/>
          <w:szCs w:val="24"/>
        </w:rPr>
        <w:t xml:space="preserve"> на синдрома не са известни. Предполагат се промени в периферната и централната нервна система, с минимални увреждания на централната и периферна част на тригеминалната система, които водят до невропатна болка. </w:t>
      </w:r>
    </w:p>
    <w:p w14:paraId="162826E8"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Клинично</w:t>
      </w:r>
      <w:r w:rsidRPr="00AE47C6">
        <w:rPr>
          <w:rFonts w:ascii="Times New Roman" w:eastAsia="SimSun" w:hAnsi="Times New Roman"/>
          <w:bCs/>
          <w:sz w:val="24"/>
          <w:szCs w:val="24"/>
        </w:rPr>
        <w:t xml:space="preserve"> протича с продължителна двустранна, пареща, умерена до силна болка в областта на нормално изглеждащата устна мукоза, в устните, предната част на езика и на твърдото небце или в няколко области. Не следва анатомичната инервация от периферните нерви. Засилва се при говорене, напрежение и умора, а се потиска при отвличане на вниманието, работа, хранене и консумация на студени храни и напитки. Най-слаба е при събуждането и нараства прогресивно до вечерта. Симптомите постепенно нарастват до разгръщане на пълната клинична картина. Сухотата в устата е придружаващ симптом (при 50%), въпреки че не се установява намалена слюнчена секреция. При 70% от пациентите има нарушения на вкуса и персистираща дисгеузия (горчив или метален вкус). Пациентите имат хронични болкови синдроми, депресия, тревожност, соматизация, личностови нарушения и нарушения на съня. </w:t>
      </w:r>
    </w:p>
    <w:p w14:paraId="1D69404A"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При прегледа в устата могат да се видят хиперемия, възпаление и улцерации, които засилват болката. </w:t>
      </w:r>
    </w:p>
    <w:p w14:paraId="69D41E96"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Диагнозата</w:t>
      </w:r>
      <w:r w:rsidRPr="00AE47C6">
        <w:rPr>
          <w:rFonts w:ascii="Times New Roman" w:eastAsia="SimSun" w:hAnsi="Times New Roman"/>
          <w:bCs/>
          <w:sz w:val="24"/>
          <w:szCs w:val="24"/>
        </w:rPr>
        <w:t xml:space="preserve"> се поставя след изключване на системни и локални заболявания на устната мукоза, като кандидоза, инфекции, алергични реакции, намалена слюнчена секреция и проблеми със зъбите. Трябва да се изключат дефицит на желязо, витамин В</w:t>
      </w:r>
      <w:r w:rsidRPr="00AE47C6">
        <w:rPr>
          <w:rFonts w:ascii="Times New Roman" w:eastAsia="SimSun" w:hAnsi="Times New Roman"/>
          <w:bCs/>
          <w:sz w:val="24"/>
          <w:szCs w:val="24"/>
          <w:vertAlign w:val="subscript"/>
        </w:rPr>
        <w:t>12</w:t>
      </w:r>
      <w:r w:rsidRPr="00AE47C6">
        <w:rPr>
          <w:rFonts w:ascii="Times New Roman" w:eastAsia="SimSun" w:hAnsi="Times New Roman"/>
          <w:bCs/>
          <w:sz w:val="24"/>
          <w:szCs w:val="24"/>
        </w:rPr>
        <w:t xml:space="preserve"> и фолиева киселина, хормонални нарушения (дефицит на естрогени), диабет и синдром на Sjogren. За поставяне на диагнозата се прилагат локални анестетици, които потискат глосодинията, но не потискат болката, ирадиираща от други структури. </w:t>
      </w:r>
    </w:p>
    <w:p w14:paraId="09A65A2E" w14:textId="77777777" w:rsidR="00BE0B19" w:rsidRPr="00AE47C6" w:rsidRDefault="00BE0B19" w:rsidP="00BE0B19">
      <w:pPr>
        <w:spacing w:after="0" w:line="360" w:lineRule="auto"/>
        <w:ind w:firstLine="709"/>
        <w:jc w:val="both"/>
        <w:rPr>
          <w:rFonts w:ascii="Times New Roman" w:eastAsia="SimSun" w:hAnsi="Times New Roman"/>
          <w:b/>
          <w:sz w:val="24"/>
          <w:szCs w:val="24"/>
        </w:rPr>
      </w:pPr>
    </w:p>
    <w:p w14:paraId="4DDE4996" w14:textId="77777777" w:rsidR="00BE0B19" w:rsidRPr="00AE47C6" w:rsidRDefault="00BE0B19" w:rsidP="00BE0B19">
      <w:pPr>
        <w:widowControl w:val="0"/>
        <w:suppressAutoHyphens/>
        <w:overflowPunct w:val="0"/>
        <w:autoSpaceDE w:val="0"/>
        <w:spacing w:after="0" w:line="360" w:lineRule="auto"/>
        <w:jc w:val="both"/>
        <w:textAlignment w:val="baseline"/>
        <w:rPr>
          <w:rFonts w:ascii="Times New Roman" w:eastAsia="SimSun" w:hAnsi="Times New Roman"/>
          <w:b/>
          <w:sz w:val="24"/>
          <w:szCs w:val="24"/>
          <w:lang w:eastAsia="ar-SA"/>
        </w:rPr>
      </w:pPr>
      <w:r w:rsidRPr="00AE47C6">
        <w:rPr>
          <w:rFonts w:ascii="Times New Roman" w:eastAsia="SimSun" w:hAnsi="Times New Roman"/>
          <w:b/>
          <w:sz w:val="24"/>
          <w:szCs w:val="24"/>
          <w:lang w:eastAsia="ar-SA"/>
        </w:rPr>
        <w:t xml:space="preserve">Болка от периферните нерви и техните централни пътища </w:t>
      </w:r>
    </w:p>
    <w:p w14:paraId="63B9E624"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Подразделя се на две големи групи: група без увреждане на централната нервна система (невралгии) и група с увреждания на централната нервна система. </w:t>
      </w:r>
    </w:p>
    <w:p w14:paraId="6DBEED6F" w14:textId="77777777" w:rsidR="00BE0B19" w:rsidRPr="00AE47C6" w:rsidRDefault="00BE0B19" w:rsidP="00BE0B19">
      <w:pPr>
        <w:widowControl w:val="0"/>
        <w:suppressAutoHyphens/>
        <w:overflowPunct w:val="0"/>
        <w:autoSpaceDE w:val="0"/>
        <w:spacing w:after="0" w:line="360" w:lineRule="auto"/>
        <w:jc w:val="both"/>
        <w:textAlignment w:val="baseline"/>
        <w:rPr>
          <w:rFonts w:ascii="Times New Roman" w:eastAsia="SimSun" w:hAnsi="Times New Roman"/>
          <w:sz w:val="24"/>
          <w:szCs w:val="24"/>
          <w:lang w:eastAsia="ar-SA"/>
        </w:rPr>
      </w:pPr>
    </w:p>
    <w:p w14:paraId="50A7ACEA" w14:textId="77777777" w:rsidR="00BE0B19" w:rsidRPr="00AE47C6" w:rsidRDefault="00BE0B19" w:rsidP="00BE0B19">
      <w:pPr>
        <w:widowControl w:val="0"/>
        <w:suppressAutoHyphens/>
        <w:overflowPunct w:val="0"/>
        <w:autoSpaceDE w:val="0"/>
        <w:spacing w:after="0" w:line="360" w:lineRule="auto"/>
        <w:jc w:val="both"/>
        <w:textAlignment w:val="baseline"/>
        <w:rPr>
          <w:rFonts w:ascii="Times New Roman" w:eastAsia="SimSun" w:hAnsi="Times New Roman"/>
          <w:b/>
          <w:sz w:val="24"/>
          <w:szCs w:val="24"/>
          <w:lang w:eastAsia="ar-SA"/>
        </w:rPr>
      </w:pPr>
      <w:r w:rsidRPr="00AE47C6">
        <w:rPr>
          <w:rFonts w:ascii="Times New Roman" w:eastAsia="SimSun" w:hAnsi="Times New Roman"/>
          <w:b/>
          <w:sz w:val="24"/>
          <w:szCs w:val="24"/>
          <w:lang w:eastAsia="ar-SA"/>
        </w:rPr>
        <w:t>Невралгии</w:t>
      </w:r>
    </w:p>
    <w:p w14:paraId="4BA174EF"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Класифицират се като идиопатични (с неизвестна етиология) и симптоматични – настъпващи вследствие на друго основно заболяване. Протичат с невропатна пароксизмална болка в територията инервирана от съответните сетивни нерви. Болката е краткотрайна и прилича на електрически импулс, последвана от рефрактерен период без болка. Характерно е наличието на тригерни точки на болката. Налице е и постоянна, по-слаба пареща болка.</w:t>
      </w:r>
    </w:p>
    <w:p w14:paraId="0C0FCC32" w14:textId="77777777" w:rsidR="00BE0B19" w:rsidRPr="00AE47C6" w:rsidRDefault="00BE0B19" w:rsidP="00BE0B19">
      <w:pPr>
        <w:widowControl w:val="0"/>
        <w:suppressAutoHyphens/>
        <w:overflowPunct w:val="0"/>
        <w:autoSpaceDE w:val="0"/>
        <w:spacing w:after="0" w:line="360" w:lineRule="auto"/>
        <w:jc w:val="both"/>
        <w:textAlignment w:val="baseline"/>
        <w:rPr>
          <w:rFonts w:ascii="Times New Roman" w:eastAsia="SimSun" w:hAnsi="Times New Roman"/>
          <w:sz w:val="24"/>
          <w:szCs w:val="24"/>
          <w:lang w:eastAsia="ar-SA"/>
        </w:rPr>
      </w:pPr>
    </w:p>
    <w:p w14:paraId="551945B2"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b/>
          <w:sz w:val="24"/>
          <w:szCs w:val="24"/>
          <w:lang w:eastAsia="ar-SA"/>
        </w:rPr>
      </w:pPr>
      <w:r w:rsidRPr="00AE47C6">
        <w:rPr>
          <w:rFonts w:ascii="Times New Roman" w:eastAsia="SimSun" w:hAnsi="Times New Roman"/>
          <w:b/>
          <w:sz w:val="24"/>
          <w:szCs w:val="24"/>
          <w:lang w:eastAsia="ar-SA"/>
        </w:rPr>
        <w:t>Орофациални невралгии</w:t>
      </w:r>
    </w:p>
    <w:p w14:paraId="4593ABF5"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b/>
          <w:sz w:val="24"/>
          <w:szCs w:val="24"/>
          <w:lang w:eastAsia="ar-SA"/>
        </w:rPr>
      </w:pPr>
      <w:r w:rsidRPr="00AE47C6">
        <w:rPr>
          <w:rFonts w:ascii="Times New Roman" w:eastAsia="SimSun" w:hAnsi="Times New Roman"/>
          <w:b/>
          <w:sz w:val="24"/>
          <w:szCs w:val="24"/>
          <w:lang w:eastAsia="ar-SA"/>
        </w:rPr>
        <w:t>Тригеминална невралгия</w:t>
      </w:r>
    </w:p>
    <w:p w14:paraId="4D38BE3B"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Годишната заболяемост</w:t>
      </w:r>
      <w:r w:rsidRPr="00AE47C6">
        <w:rPr>
          <w:rFonts w:ascii="Times New Roman" w:eastAsia="SimSun" w:hAnsi="Times New Roman"/>
          <w:sz w:val="24"/>
          <w:szCs w:val="24"/>
          <w:lang w:eastAsia="ar-SA"/>
        </w:rPr>
        <w:t xml:space="preserve"> е 6 на 100 000, а болестността – 70 на 100 000 население. Жените се засягат 3 пъти по-често, а с напредването на възрастта (над 60 г.), заболяемостта нараства и при двата пола. </w:t>
      </w:r>
    </w:p>
    <w:p w14:paraId="14E6AA50"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 xml:space="preserve">Етиологията </w:t>
      </w:r>
      <w:r w:rsidRPr="00AE47C6">
        <w:rPr>
          <w:rFonts w:ascii="Times New Roman" w:eastAsia="SimSun" w:hAnsi="Times New Roman"/>
          <w:sz w:val="24"/>
          <w:szCs w:val="24"/>
          <w:lang w:eastAsia="ar-SA"/>
        </w:rPr>
        <w:t xml:space="preserve">е свързана с компресия на тригеминалните коренчета от аберантен кръвоносен съд, най-често задната малкомозъчна артерия. Подразделя се на идиопатична, атипична и симптоматична. </w:t>
      </w:r>
    </w:p>
    <w:p w14:paraId="70208079"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 xml:space="preserve">Клинично </w:t>
      </w:r>
      <w:r w:rsidRPr="00AE47C6">
        <w:rPr>
          <w:rFonts w:ascii="Times New Roman" w:eastAsia="SimSun" w:hAnsi="Times New Roman"/>
          <w:sz w:val="24"/>
          <w:szCs w:val="24"/>
          <w:lang w:eastAsia="ar-SA"/>
        </w:rPr>
        <w:t xml:space="preserve">заболяването започва около 50, а симптоматичната форма – между 30 и 35 годишна възраст. Представя се с пристъпи от едностранна, силна, краткотрайна болка (като електрически ток) в областта на мандибуларния и/или максиларния и по-рядко (18%) офталмичния клон на нерва. Настъпват през определени периоди, последвани от периоди на ремисия. Могат да се групират по няколко един след друг, но в повечето случаи след един пристъп има рефрактерен период от няколко минути. При 10% от пациентите се развива двустранна болка, но пристъпите не се получават едновременно. Продължава от секунди до 1-2 минути, но е максимално силна веднага след като се появи и пациентът неволно примигва, от където идва наименованието "tic douloureux" (болезнен тик). Появяват се през деня, рядко през нощта и се провокират от докосване на тригерни зони от лицето, устните или венците. Храненето, говоренето, усмихването, гримасниченето, миенето на зъбите или дори вятърът могат да тригерират пристъп. </w:t>
      </w:r>
    </w:p>
    <w:p w14:paraId="29ED91C0"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При палпация е повишена чувствителността в изходните области на засегнатите клонове на нерва. Не се намират сетивни и двигателни нарушения, могат да се наблюдават леко изразени трофични промени на кожата в засегнатата област.</w:t>
      </w:r>
    </w:p>
    <w:p w14:paraId="19FD4CE4"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Симптоматична невралгия</w:t>
      </w:r>
      <w:r w:rsidRPr="00AE47C6">
        <w:rPr>
          <w:rFonts w:ascii="Times New Roman" w:eastAsia="SimSun" w:hAnsi="Times New Roman"/>
          <w:sz w:val="24"/>
          <w:szCs w:val="24"/>
          <w:lang w:eastAsia="ar-SA"/>
        </w:rPr>
        <w:t xml:space="preserve"> се среща при 2% от пациентите с тригеминална невралгия. Предизвиква се от структурна лезия: тумор в понтоцеребеларния ъгъл (при 5% неврином на слуховия или тригеминалния нерв, менингеом в задната черепна ямка), сирингомиелия, множествена склероза (при 5% плака разположена до входната зона на коренчетата на нерва в моста), аневризма на базиларната артерия или съдова аномалия. Клинично протича с постоянна, тъпа, по-често двустранна болка и хипестезия в тригеминалната област. Може да се комбинира с лицев хемиспазъм (tic convulsif) и да се прояви с нарушения на сетивността в зоните инервирани от нерва или неговите коренчета.</w:t>
      </w:r>
    </w:p>
    <w:p w14:paraId="257B8E03"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iCs/>
          <w:sz w:val="24"/>
          <w:szCs w:val="24"/>
          <w:lang w:eastAsia="ar-SA"/>
        </w:rPr>
        <w:t>Тригеминалната невропатия</w:t>
      </w:r>
      <w:r w:rsidRPr="00AE47C6">
        <w:rPr>
          <w:rFonts w:ascii="Times New Roman" w:eastAsia="SimSun" w:hAnsi="Times New Roman"/>
          <w:sz w:val="24"/>
          <w:szCs w:val="24"/>
          <w:lang w:eastAsia="ar-SA"/>
        </w:rPr>
        <w:t xml:space="preserve"> се дължи на структурна лезия на нерва, поради увреда, възпаление, исхемия или системно заболяване. Предизвиква се от по-масивни лезии в дисталната част на нерва, след спортни травми, автомобилни инциденти, тумори засягащи периферните клончета на ganglion Gasseri, хирургични интервенции и тежка артериална компресия от ектактична базиларна артерия. Най-честа е след засягане на денталните клонове на тригеминалния нерв, вследствие на екстракция на зъб (1-5%), инжектиране на локален анестетик, невроаблативни процедури в устната кухина или лечение на зъбните канали. </w:t>
      </w:r>
    </w:p>
    <w:p w14:paraId="1003D200"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Клинично</w:t>
      </w:r>
      <w:r w:rsidRPr="00AE47C6">
        <w:rPr>
          <w:rFonts w:ascii="Times New Roman" w:eastAsia="SimSun" w:hAnsi="Times New Roman"/>
          <w:sz w:val="24"/>
          <w:szCs w:val="24"/>
          <w:lang w:eastAsia="ar-SA"/>
        </w:rPr>
        <w:t xml:space="preserve"> се проявява с хронична пареща болка, която епизодично се засилва и става остра. Тригерните зони не са така силно изразени. Могат да се появят сетивни нарушения, парестезии, дизестезии, механична алодиния и слабост на m.m. masseter и pterygoideus. </w:t>
      </w:r>
    </w:p>
    <w:p w14:paraId="7D9BF35B"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Глософарингеална невралгия</w:t>
      </w:r>
    </w:p>
    <w:p w14:paraId="62D3F473"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Заболяемостта</w:t>
      </w:r>
      <w:r w:rsidRPr="00AE47C6">
        <w:rPr>
          <w:rFonts w:ascii="Times New Roman" w:eastAsia="SimSun" w:hAnsi="Times New Roman"/>
          <w:sz w:val="24"/>
          <w:szCs w:val="24"/>
          <w:lang w:eastAsia="ar-SA"/>
        </w:rPr>
        <w:t xml:space="preserve"> е 0,8 на 100 000 души население. </w:t>
      </w:r>
    </w:p>
    <w:p w14:paraId="7855CC7F"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iCs/>
          <w:sz w:val="24"/>
          <w:szCs w:val="24"/>
          <w:lang w:eastAsia="ar-SA"/>
        </w:rPr>
        <w:t>Идиопатичната форма</w:t>
      </w:r>
      <w:r w:rsidRPr="00AE47C6">
        <w:rPr>
          <w:rFonts w:ascii="Times New Roman" w:eastAsia="SimSun" w:hAnsi="Times New Roman"/>
          <w:sz w:val="24"/>
          <w:szCs w:val="24"/>
          <w:lang w:eastAsia="ar-SA"/>
        </w:rPr>
        <w:t xml:space="preserve"> се дължи на съдова компресия от вертебралната артерия или a. cerebellaris posterior inferior във входната зона на коренчетата на ІХ и Х краниален нерв. </w:t>
      </w:r>
    </w:p>
    <w:p w14:paraId="0E93137C"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С</w:t>
      </w:r>
      <w:r w:rsidRPr="00AE47C6">
        <w:rPr>
          <w:rFonts w:ascii="Times New Roman" w:eastAsia="SimSun" w:hAnsi="Times New Roman"/>
          <w:i/>
          <w:iCs/>
          <w:sz w:val="24"/>
          <w:szCs w:val="24"/>
          <w:lang w:eastAsia="ar-SA"/>
        </w:rPr>
        <w:t>имптоматичната форма</w:t>
      </w:r>
      <w:r w:rsidRPr="00AE47C6">
        <w:rPr>
          <w:rFonts w:ascii="Times New Roman" w:eastAsia="SimSun" w:hAnsi="Times New Roman"/>
          <w:sz w:val="24"/>
          <w:szCs w:val="24"/>
          <w:lang w:eastAsia="ar-SA"/>
        </w:rPr>
        <w:t xml:space="preserve"> (при 25%) е свързана с перитонзиларен абсцес, каротидна аневризма, карцином или епителиом в орофарингеалната област, тумор в понтоцеребеларния ъгъл, инфекции, травма, множествена склероза, синдром на Eagle. </w:t>
      </w:r>
    </w:p>
    <w:p w14:paraId="3B5F2C87"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iCs/>
          <w:sz w:val="24"/>
          <w:szCs w:val="24"/>
          <w:lang w:eastAsia="ar-SA"/>
        </w:rPr>
        <w:t>Глософарингеалната невропатия</w:t>
      </w:r>
      <w:r w:rsidRPr="00AE47C6">
        <w:rPr>
          <w:rFonts w:ascii="Times New Roman" w:eastAsia="SimSun" w:hAnsi="Times New Roman"/>
          <w:sz w:val="24"/>
          <w:szCs w:val="24"/>
          <w:lang w:eastAsia="ar-SA"/>
        </w:rPr>
        <w:t xml:space="preserve"> с продължителна болка е следствие от хирургични операции. </w:t>
      </w:r>
    </w:p>
    <w:p w14:paraId="4D3BFE86"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Клиничната картина</w:t>
      </w:r>
      <w:r w:rsidRPr="00AE47C6">
        <w:rPr>
          <w:rFonts w:ascii="Times New Roman" w:eastAsia="SimSun" w:hAnsi="Times New Roman"/>
          <w:sz w:val="24"/>
          <w:szCs w:val="24"/>
          <w:lang w:eastAsia="ar-SA"/>
        </w:rPr>
        <w:t xml:space="preserve"> наподобява тази на тригеминалната невралгия. Началото на заболяването може да бъде от детска до напреднала, най-често в средна възраст. Представя се от краткотрайна, пароксизмална, едностранна, интензивна и пробождаща болка в областта на ІХ и Х краниален нерв. Разпространява се към гърлото (fossa tonsillaris), ухото (аурикуларен клон на n. vagus), основата на езика и ъгъла на долната челюст или първично се локализира там. Провокира се от преглъщане, говорене, дъвчене, кашляне, прозяване, храни с определени вкусове и докосване по шията или външния слухов канал. Продължителността на пароксизмите е от секунди до минути и между тях може да персистира постоянна тъпа болка в продължение на минути или часове. Пристъпите са ежедневни в период от седмици или месеци, последван по-дълъг период на ремисия. Броят на пристъпите достига до 12 и повече ежедневно, включително и през нощта по време на сън. Може да се придружава от брадикардия, тахикардия, хипотония или синкоп, поради тригериране на кардиоинхибиторни рефлекси от болковата аферентация (от IX краниален нерв към tractus solitarii и дорзалното двигателно ядро на Х краниален нерв). Може да се придружава и от кашляне и прегракване на гласа. Не се установяват сетивни и двигателни нарушения. </w:t>
      </w:r>
    </w:p>
    <w:p w14:paraId="11A03F76"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p>
    <w:p w14:paraId="4BAF511B"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b/>
          <w:sz w:val="24"/>
          <w:szCs w:val="24"/>
          <w:lang w:eastAsia="ar-SA"/>
        </w:rPr>
      </w:pPr>
      <w:r w:rsidRPr="00AE47C6">
        <w:rPr>
          <w:rFonts w:ascii="Times New Roman" w:eastAsia="SimSun" w:hAnsi="Times New Roman"/>
          <w:b/>
          <w:sz w:val="24"/>
          <w:szCs w:val="24"/>
          <w:lang w:eastAsia="ar-SA"/>
        </w:rPr>
        <w:t>Окципитална невралгия</w:t>
      </w:r>
    </w:p>
    <w:p w14:paraId="1FC75E57"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Окципиталната невралгия е много честа. Съществуването на идиопатичната и симптоматична форма и нейните взаимоотношения с цервикогенното главоболие са неясни. </w:t>
      </w:r>
    </w:p>
    <w:p w14:paraId="3E7AE7CD"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 xml:space="preserve">Патогенезата </w:t>
      </w:r>
      <w:r w:rsidRPr="00AE47C6">
        <w:rPr>
          <w:rFonts w:ascii="Times New Roman" w:eastAsia="SimSun" w:hAnsi="Times New Roman"/>
          <w:sz w:val="24"/>
          <w:szCs w:val="24"/>
          <w:lang w:eastAsia="ar-SA"/>
        </w:rPr>
        <w:t xml:space="preserve">е свързана с увреждане на окципиталния нерв, при преминаването през m. semispinalis capitis, поради хроничен спазъм на мускула при миофасциалните синдроми. Засягането на коренчетата се предизвиква от вродени аномалии и дегенеративни промени на гръбнака, тумори, анкилозиращ спондилит, ревматоиден артрит, остеомиелит, хернииране на цервикален диск и травма (камшичен удар при катастрофа). </w:t>
      </w:r>
    </w:p>
    <w:p w14:paraId="0C1B8628"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 xml:space="preserve">Клинично </w:t>
      </w:r>
      <w:r w:rsidRPr="00AE47C6">
        <w:rPr>
          <w:rFonts w:ascii="Times New Roman" w:eastAsia="SimSun" w:hAnsi="Times New Roman"/>
          <w:sz w:val="24"/>
          <w:szCs w:val="24"/>
          <w:lang w:eastAsia="ar-SA"/>
        </w:rPr>
        <w:t>започва между 30 и 50 годишна възраст. Протича с дълбока, пароксизмална пареща болка в областта на големия (С</w:t>
      </w:r>
      <w:r w:rsidRPr="00AE47C6">
        <w:rPr>
          <w:rFonts w:ascii="Times New Roman" w:eastAsia="SimSun" w:hAnsi="Times New Roman"/>
          <w:sz w:val="24"/>
          <w:szCs w:val="24"/>
          <w:vertAlign w:val="subscript"/>
          <w:lang w:eastAsia="ar-SA"/>
        </w:rPr>
        <w:t>2</w:t>
      </w:r>
      <w:r w:rsidRPr="00AE47C6">
        <w:rPr>
          <w:rFonts w:ascii="Times New Roman" w:eastAsia="SimSun" w:hAnsi="Times New Roman"/>
          <w:sz w:val="24"/>
          <w:szCs w:val="24"/>
          <w:lang w:eastAsia="ar-SA"/>
        </w:rPr>
        <w:t>) или малките окципитални нерви (С</w:t>
      </w:r>
      <w:r w:rsidRPr="00AE47C6">
        <w:rPr>
          <w:rFonts w:ascii="Times New Roman" w:eastAsia="SimSun" w:hAnsi="Times New Roman"/>
          <w:sz w:val="24"/>
          <w:szCs w:val="24"/>
          <w:vertAlign w:val="subscript"/>
          <w:lang w:eastAsia="ar-SA"/>
        </w:rPr>
        <w:t>3</w:t>
      </w:r>
      <w:r w:rsidRPr="00AE47C6">
        <w:rPr>
          <w:rFonts w:ascii="Times New Roman" w:eastAsia="SimSun" w:hAnsi="Times New Roman"/>
          <w:sz w:val="24"/>
          <w:szCs w:val="24"/>
          <w:lang w:eastAsia="ar-SA"/>
        </w:rPr>
        <w:t xml:space="preserve">) – субокципиталната, окципиталната и задната париетална области. Засилва се през втората половина на деня и може да се разпространи към ипсилатералната страна на челото и слепоочието. Установяват се парестезии и повишена чувствителност в окципиталната област при палпация. </w:t>
      </w:r>
    </w:p>
    <w:p w14:paraId="16F6687A"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p>
    <w:p w14:paraId="0612CFCA"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b/>
          <w:sz w:val="24"/>
          <w:szCs w:val="24"/>
          <w:lang w:eastAsia="ar-SA"/>
        </w:rPr>
      </w:pPr>
      <w:r w:rsidRPr="00AE47C6">
        <w:rPr>
          <w:rFonts w:ascii="Times New Roman" w:eastAsia="SimSun" w:hAnsi="Times New Roman"/>
          <w:b/>
          <w:sz w:val="24"/>
          <w:szCs w:val="24"/>
          <w:lang w:eastAsia="ar-SA"/>
        </w:rPr>
        <w:t>Постхерпетична невралгия</w:t>
      </w:r>
    </w:p>
    <w:p w14:paraId="1ABA2617"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Развива се при 20 до 35% от пациентите с herpes zoster инфекция. Рискови фактори са напреднала възраст, женски пол, продромална и силна болка с изразен обрив през острия стадии, засягане на офталмичния нерв, захарен диабет, имунокомпрометирани пациенти и психологични фактори. Над 60 годишна възраст 50% от пациентите развиват невралгия, без тенденция към спонтанна ремисия, за разлика от тази при по-млади хора. При млади хора постхерпетичната невралгия продължава 2-3 седмици след заздравяване на кожните лезии, а при възрастни – повече от 2 месеца, но хиперестезията може да персистира по-дълго време. </w:t>
      </w:r>
    </w:p>
    <w:p w14:paraId="7254128D"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Причината за невралгията е персистиращата сензитизация на ноцицепторите след преминаването на инфекцията и промяна в централните механизми на контрол на болката. </w:t>
      </w:r>
    </w:p>
    <w:p w14:paraId="1E588F08"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Клинично</w:t>
      </w:r>
      <w:r w:rsidRPr="00AE47C6">
        <w:rPr>
          <w:rFonts w:ascii="Times New Roman" w:eastAsia="SimSun" w:hAnsi="Times New Roman"/>
          <w:sz w:val="24"/>
          <w:szCs w:val="24"/>
          <w:lang w:eastAsia="ar-SA"/>
        </w:rPr>
        <w:t xml:space="preserve"> засяга краниалните (herpes zoster auricularis и ophthalmicus) и гръбначно-мозъчните нерви и плексуси. Има два основни вида болка – постоянна, повърхностна и пареща, придружена от хиперпатия и дизестезия и втора, пристъпна, по-силна пробождаща или стрелкаща болка в засегнатия дерматом. Болката възниква спонтанно или вследствие на контакт на кожата с дрехите, физическа активност, промени в температурата и стрес. Някои области в дерматома при докосване тригерират болката, но при натиск я потискат. Установяват се хип- или анестезия, алодиния, хипералгезия, сърбеж, дизестезия или хиперестезия към докосване в засегнатия дерматом. Интензивността на болката варира и се облекчава само през нощта, но тогава се засилва хиперпатията и нарушава съня.</w:t>
      </w:r>
    </w:p>
    <w:p w14:paraId="4673D749"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b/>
          <w:bCs/>
          <w:sz w:val="24"/>
          <w:szCs w:val="24"/>
          <w:lang w:eastAsia="ar-SA"/>
        </w:rPr>
      </w:pPr>
    </w:p>
    <w:p w14:paraId="6516D9E5"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b/>
          <w:bCs/>
          <w:sz w:val="24"/>
          <w:szCs w:val="24"/>
          <w:lang w:eastAsia="ar-SA"/>
        </w:rPr>
      </w:pPr>
      <w:r w:rsidRPr="00AE47C6">
        <w:rPr>
          <w:rFonts w:ascii="Times New Roman" w:eastAsia="SimSun" w:hAnsi="Times New Roman"/>
          <w:b/>
          <w:bCs/>
          <w:sz w:val="24"/>
          <w:szCs w:val="24"/>
          <w:lang w:eastAsia="ar-SA"/>
        </w:rPr>
        <w:t>Диагностични методи при краниофациални болки</w:t>
      </w:r>
    </w:p>
    <w:p w14:paraId="38B1FFE2"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iCs/>
          <w:sz w:val="24"/>
          <w:szCs w:val="24"/>
          <w:lang w:eastAsia="ar-SA"/>
        </w:rPr>
      </w:pPr>
      <w:r w:rsidRPr="00AE47C6">
        <w:rPr>
          <w:rFonts w:ascii="Times New Roman" w:eastAsia="SimSun" w:hAnsi="Times New Roman"/>
          <w:b/>
          <w:sz w:val="24"/>
          <w:szCs w:val="24"/>
          <w:lang w:eastAsia="ar-SA"/>
        </w:rPr>
        <w:t xml:space="preserve">1. </w:t>
      </w:r>
      <w:r w:rsidRPr="00AE47C6">
        <w:rPr>
          <w:rFonts w:ascii="Times New Roman" w:eastAsia="SimSun" w:hAnsi="Times New Roman"/>
          <w:b/>
          <w:iCs/>
          <w:sz w:val="24"/>
          <w:szCs w:val="24"/>
          <w:lang w:eastAsia="ar-SA"/>
        </w:rPr>
        <w:t>Анамнезата</w:t>
      </w:r>
      <w:r w:rsidRPr="00AE47C6">
        <w:rPr>
          <w:rFonts w:ascii="Times New Roman" w:eastAsia="SimSun" w:hAnsi="Times New Roman"/>
          <w:iCs/>
          <w:sz w:val="24"/>
          <w:szCs w:val="24"/>
          <w:lang w:eastAsia="ar-SA"/>
        </w:rPr>
        <w:t xml:space="preserve"> за характера на болката и </w:t>
      </w:r>
      <w:r w:rsidRPr="00AE47C6">
        <w:rPr>
          <w:rFonts w:ascii="Times New Roman" w:eastAsia="SimSun" w:hAnsi="Times New Roman"/>
          <w:b/>
          <w:iCs/>
          <w:sz w:val="24"/>
          <w:szCs w:val="24"/>
          <w:lang w:eastAsia="ar-SA"/>
        </w:rPr>
        <w:t>клиничното изследване</w:t>
      </w:r>
      <w:r w:rsidRPr="00AE47C6">
        <w:rPr>
          <w:rFonts w:ascii="Times New Roman" w:eastAsia="SimSun" w:hAnsi="Times New Roman"/>
          <w:iCs/>
          <w:sz w:val="24"/>
          <w:szCs w:val="24"/>
          <w:lang w:eastAsia="ar-SA"/>
        </w:rPr>
        <w:t xml:space="preserve"> (особено на сетивността в лицето) и клиничното изследване са основни за поставяне на диагнозата.</w:t>
      </w:r>
    </w:p>
    <w:p w14:paraId="1FB244D7"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iCs/>
          <w:sz w:val="24"/>
          <w:szCs w:val="24"/>
          <w:lang w:eastAsia="ar-SA"/>
        </w:rPr>
      </w:pPr>
      <w:r w:rsidRPr="00AE47C6">
        <w:rPr>
          <w:rFonts w:ascii="Times New Roman" w:eastAsia="SimSun" w:hAnsi="Times New Roman"/>
          <w:b/>
          <w:sz w:val="24"/>
          <w:szCs w:val="24"/>
          <w:lang w:eastAsia="ar-SA"/>
        </w:rPr>
        <w:t>2. Неврофизиологичните методи</w:t>
      </w:r>
      <w:r w:rsidRPr="00AE47C6">
        <w:rPr>
          <w:rFonts w:ascii="Times New Roman" w:eastAsia="SimSun" w:hAnsi="Times New Roman"/>
          <w:sz w:val="24"/>
          <w:szCs w:val="24"/>
          <w:lang w:eastAsia="ar-SA"/>
        </w:rPr>
        <w:t xml:space="preserve"> (ЕМГ изследване на стволови рефлекси и СЕП) се прилагат за установяване на увреждания на тригеминалния нерв и стволовите ядра.</w:t>
      </w:r>
      <w:r w:rsidRPr="00AE47C6">
        <w:rPr>
          <w:rFonts w:ascii="Times New Roman" w:eastAsia="SimSun" w:hAnsi="Times New Roman"/>
          <w:iCs/>
          <w:sz w:val="24"/>
          <w:szCs w:val="24"/>
          <w:lang w:eastAsia="ar-SA"/>
        </w:rPr>
        <w:t xml:space="preserve"> При установяване на нарушения се предполага симптоматична невралгия и трябва да се използват невроизобразяващите методи за установяване на причината.</w:t>
      </w:r>
    </w:p>
    <w:p w14:paraId="1507A760"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3. Невроизобразяващите методи</w:t>
      </w:r>
      <w:r w:rsidRPr="00AE47C6">
        <w:rPr>
          <w:rFonts w:ascii="Times New Roman" w:eastAsia="SimSun" w:hAnsi="Times New Roman"/>
          <w:sz w:val="24"/>
          <w:szCs w:val="24"/>
          <w:lang w:eastAsia="ar-SA"/>
        </w:rPr>
        <w:t xml:space="preserve"> (рентгенография, КТ, МРТ) се използват за изключване на заболявания на синусите, назофарингеален и белодробен карцином, тумор в понтоцеребеларния ъгъл, множествена склероза. Установяването на промени в шийния гръбнак с невроизобразяващи методи не потвърждава диагнозата, защото е честа находка.</w:t>
      </w:r>
    </w:p>
    <w:p w14:paraId="61ACDB59"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4. Консултация със стоматолог</w:t>
      </w:r>
      <w:r w:rsidRPr="00AE47C6">
        <w:rPr>
          <w:rFonts w:ascii="Times New Roman" w:eastAsia="SimSun" w:hAnsi="Times New Roman"/>
          <w:sz w:val="24"/>
          <w:szCs w:val="24"/>
          <w:lang w:eastAsia="ar-SA"/>
        </w:rPr>
        <w:t xml:space="preserve"> за изключване на зъбна патология.</w:t>
      </w:r>
    </w:p>
    <w:p w14:paraId="3F67DE7E"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 xml:space="preserve">5. Консултация </w:t>
      </w:r>
      <w:r w:rsidRPr="00AE47C6">
        <w:rPr>
          <w:rFonts w:ascii="Times New Roman" w:eastAsia="SimSun" w:hAnsi="Times New Roman"/>
          <w:bCs/>
          <w:sz w:val="24"/>
          <w:szCs w:val="24"/>
          <w:lang w:eastAsia="ar-SA"/>
        </w:rPr>
        <w:t xml:space="preserve">с </w:t>
      </w:r>
      <w:r w:rsidRPr="00AE47C6">
        <w:rPr>
          <w:rFonts w:ascii="Times New Roman" w:eastAsia="SimSun" w:hAnsi="Times New Roman"/>
          <w:sz w:val="24"/>
          <w:szCs w:val="24"/>
          <w:lang w:eastAsia="ar-SA"/>
        </w:rPr>
        <w:t xml:space="preserve">офталмолог за изключване на глаукома и рефракционни нарушения. </w:t>
      </w:r>
    </w:p>
    <w:p w14:paraId="0ECF569A"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b/>
          <w:bCs/>
          <w:sz w:val="24"/>
          <w:szCs w:val="24"/>
          <w:lang w:eastAsia="ar-SA"/>
        </w:rPr>
      </w:pPr>
    </w:p>
    <w:p w14:paraId="433A08B8"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b/>
          <w:bCs/>
          <w:sz w:val="24"/>
          <w:szCs w:val="24"/>
          <w:lang w:eastAsia="ar-SA"/>
        </w:rPr>
      </w:pPr>
      <w:r w:rsidRPr="00AE47C6">
        <w:rPr>
          <w:rFonts w:ascii="Times New Roman" w:eastAsia="SimSun" w:hAnsi="Times New Roman"/>
          <w:b/>
          <w:bCs/>
          <w:sz w:val="24"/>
          <w:szCs w:val="24"/>
          <w:lang w:eastAsia="ar-SA"/>
        </w:rPr>
        <w:t>Диференциална диагноза при краниофациални болки</w:t>
      </w:r>
    </w:p>
    <w:p w14:paraId="246D4C38"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На първо място се отдиференцират симптоматичната невралгия и невропатия, болката от заболявания на синусите, челюстите, зъбите, очите, ушите, носа или шията. На второ място трябва да се отдиференцират кластърно главоболие (Sluder) в долната половина на лицето, синдрома „шия-език”, невралгията на Hunt (на n. intermedius), идиопатичната оталгия, с болка в или около ухото, кластър-тик синдром, SUNCT, синдром на Tolosa Hunt, цервикогенното, тензионното главоболие и някои форми на мигрената и други. </w:t>
      </w:r>
    </w:p>
    <w:p w14:paraId="1011BDDD"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Кластър-тик синдромът</w:t>
      </w:r>
      <w:r w:rsidRPr="00AE47C6">
        <w:rPr>
          <w:rFonts w:ascii="Times New Roman" w:eastAsia="SimSun" w:hAnsi="Times New Roman"/>
          <w:sz w:val="24"/>
          <w:szCs w:val="24"/>
          <w:lang w:eastAsia="ar-SA"/>
        </w:rPr>
        <w:t xml:space="preserve"> се проявява в епизодична и хронична форма и съчетава три вида болка. Първият вид наподобява тригеминалната невралгия – силна, пароксизмална и краткотрайна. Вторият вид наподобява кластърното главоболие и се придружава от автономни симптоми (лакримация и ринорея). Третият тип е смесица от първите два и се провокира от тригерни точки или движения на шията. </w:t>
      </w:r>
    </w:p>
    <w:p w14:paraId="13AD7FA2"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Синдромът на Costen</w:t>
      </w:r>
      <w:r w:rsidRPr="00AE47C6">
        <w:rPr>
          <w:rFonts w:ascii="Times New Roman" w:eastAsia="SimSun" w:hAnsi="Times New Roman"/>
          <w:sz w:val="24"/>
          <w:szCs w:val="24"/>
          <w:lang w:eastAsia="ar-SA"/>
        </w:rPr>
        <w:t xml:space="preserve"> е форма на краниофациална болка, която трябва да се отдиференцира от тригеминалната невралгия. </w:t>
      </w:r>
    </w:p>
    <w:p w14:paraId="0206341C"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Синдромът на Tolosa-Hunt</w:t>
      </w:r>
      <w:r w:rsidRPr="00AE47C6">
        <w:rPr>
          <w:rFonts w:ascii="Times New Roman" w:eastAsia="SimSun" w:hAnsi="Times New Roman"/>
          <w:sz w:val="24"/>
          <w:szCs w:val="24"/>
          <w:lang w:eastAsia="ar-SA"/>
        </w:rPr>
        <w:t xml:space="preserve"> се проявява с едностранна, постоянна, силна и остра болка зад окото, последвана след няколко дни от офталмоплегия и диплопия. Предизвиква се от грануломатозни лезии, тумори или артериит в областта на орбитата и засягане на III, IV, V (офталмичен клон) и VI краниален нерв. Повлияването от кортикостероидно лечение е диагностичен тест.</w:t>
      </w:r>
    </w:p>
    <w:p w14:paraId="4309C9DF"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Паратригеминална невралгия на Raeder</w:t>
      </w:r>
      <w:r w:rsidRPr="00AE47C6">
        <w:rPr>
          <w:rFonts w:ascii="Times New Roman" w:eastAsia="SimSun" w:hAnsi="Times New Roman"/>
          <w:sz w:val="24"/>
          <w:szCs w:val="24"/>
          <w:lang w:eastAsia="ar-SA"/>
        </w:rPr>
        <w:t xml:space="preserve"> е вследствие на травма, тумори в средна черепна ямка, луес, синуити, аневризми, дисекация на каротидната артерия, грануломатозни процеси и увреждания на параселарната област или sinus cavernosus. Характеризира се с едностранна, постоянна, силна и остра, дълбока и пулсираща или пареща, фронтотемпорална болка в областта на тригеминалния нерв – около окото, челото и бузата, която не може да се провокира. Може да събуди пациента от сън. Придружава се от хипестезия и дизестезия, птоза и миоза (непълен синдром на Horner). Наблюдават се мигренен вариант с епизодична болка продължаваща часове или дни и симптоматичен вариант с по-постоянна болка. </w:t>
      </w:r>
    </w:p>
    <w:p w14:paraId="69925697"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Лицевата рефлексна симпатикова дистрофия</w:t>
      </w:r>
      <w:r w:rsidRPr="00AE47C6">
        <w:rPr>
          <w:rFonts w:ascii="Times New Roman" w:eastAsia="SimSun" w:hAnsi="Times New Roman"/>
          <w:sz w:val="24"/>
          <w:szCs w:val="24"/>
          <w:lang w:eastAsia="ar-SA"/>
        </w:rPr>
        <w:t xml:space="preserve"> се получава след стоматологична хирургична намеса или проникващи наранявания на лицето. Характеризира се с остра, пареща болка и хиперпатия, без судо, вазомоторни и трофични промени на кожата. </w:t>
      </w:r>
    </w:p>
    <w:p w14:paraId="2E10C2E3"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i/>
          <w:sz w:val="24"/>
          <w:szCs w:val="24"/>
          <w:lang w:eastAsia="ar-SA"/>
        </w:rPr>
      </w:pPr>
      <w:r w:rsidRPr="00AE47C6">
        <w:rPr>
          <w:rFonts w:ascii="Times New Roman" w:eastAsia="SimSun" w:hAnsi="Times New Roman"/>
          <w:b/>
          <w:iCs/>
          <w:sz w:val="24"/>
          <w:szCs w:val="24"/>
          <w:lang w:eastAsia="ar-SA"/>
        </w:rPr>
        <w:t xml:space="preserve">Централната невропатна болка </w:t>
      </w:r>
      <w:r w:rsidRPr="00AE47C6">
        <w:rPr>
          <w:rFonts w:ascii="Times New Roman" w:eastAsia="SimSun" w:hAnsi="Times New Roman"/>
          <w:sz w:val="24"/>
          <w:szCs w:val="24"/>
          <w:lang w:eastAsia="ar-SA"/>
        </w:rPr>
        <w:t>при увреждане на централната нервна система може да предизвика синдром, неразличим от тригеминалната невралгия.</w:t>
      </w:r>
    </w:p>
    <w:p w14:paraId="541144BF"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Синдромът "шия-език"</w:t>
      </w:r>
      <w:r w:rsidRPr="00AE47C6">
        <w:rPr>
          <w:rFonts w:ascii="Times New Roman" w:eastAsia="SimSun" w:hAnsi="Times New Roman"/>
          <w:sz w:val="24"/>
          <w:szCs w:val="24"/>
          <w:lang w:eastAsia="ar-SA"/>
        </w:rPr>
        <w:t xml:space="preserve"> протича с остра окципитална болка и изтръпване на ипсилатералната половина на езика, при рязко завъртане на врата. Дължи се на разтягане на С</w:t>
      </w:r>
      <w:r w:rsidRPr="00AE47C6">
        <w:rPr>
          <w:rFonts w:ascii="Times New Roman" w:eastAsia="SimSun" w:hAnsi="Times New Roman"/>
          <w:sz w:val="24"/>
          <w:szCs w:val="24"/>
          <w:vertAlign w:val="subscript"/>
          <w:lang w:eastAsia="ar-SA"/>
        </w:rPr>
        <w:t>2</w:t>
      </w:r>
      <w:r w:rsidRPr="00AE47C6">
        <w:rPr>
          <w:rFonts w:ascii="Times New Roman" w:eastAsia="SimSun" w:hAnsi="Times New Roman"/>
          <w:sz w:val="24"/>
          <w:szCs w:val="24"/>
          <w:lang w:eastAsia="ar-SA"/>
        </w:rPr>
        <w:t xml:space="preserve"> коренче, което съдържа проприоцептивни влакна от езика.</w:t>
      </w:r>
    </w:p>
    <w:p w14:paraId="35873BC3"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64" w:name="_Toc155651731"/>
      <w:bookmarkStart w:id="65" w:name="_Toc164075863"/>
      <w:r w:rsidRPr="00AE47C6">
        <w:rPr>
          <w:rFonts w:ascii="Times New Roman" w:eastAsia="SimSun" w:hAnsi="Times New Roman"/>
          <w:b/>
          <w:sz w:val="24"/>
          <w:szCs w:val="20"/>
          <w:lang w:eastAsia="ja-JP"/>
        </w:rPr>
        <w:t>3.1.2. Болки в гърба</w:t>
      </w:r>
      <w:bookmarkEnd w:id="64"/>
      <w:bookmarkEnd w:id="65"/>
    </w:p>
    <w:p w14:paraId="200C82A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Не представляват обособено заболяване, а са симптом на множество различни заболявания, като в много от случаите етиологията остава неизвестна. Възникват във всяка част на гърба (шийната, гръдната или лумбосакралната), но най-често – в кръста. </w:t>
      </w:r>
    </w:p>
    <w:p w14:paraId="1AFD203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Болестността</w:t>
      </w:r>
      <w:r w:rsidRPr="00AE47C6">
        <w:rPr>
          <w:rFonts w:ascii="Times New Roman" w:eastAsia="SimSun" w:hAnsi="Times New Roman"/>
          <w:sz w:val="24"/>
          <w:szCs w:val="24"/>
        </w:rPr>
        <w:t xml:space="preserve"> от болки в кръста достига до 80% от населението, а заболяемостта до 5% годишно. Болестността от болки в шията е малко по-ниска. Нараства от 30 годишна възраст нататък, за да достигне своя максимум около 55 – 64 години. </w:t>
      </w:r>
    </w:p>
    <w:p w14:paraId="7BC9351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Етиология и патогенеза.</w:t>
      </w:r>
      <w:r w:rsidRPr="00AE47C6">
        <w:rPr>
          <w:rFonts w:ascii="Times New Roman" w:eastAsia="SimSun" w:hAnsi="Times New Roman"/>
          <w:sz w:val="24"/>
          <w:szCs w:val="24"/>
        </w:rPr>
        <w:t xml:space="preserve"> Болковият синдром може да се дължи на заболяване на костните структури, апофизеалните стави, лигаментите, мускулите или междупрешленните дискове и да засегне гръбначно-мозъчните коренчета и периферни нерви. Болката не е свързана с неврологично увреждане при 85% от пациентите. При 1% от пациентите се установява неоплазма, при 4% - компресионна фрактура и при 8% - дискова протрузия. Причините за болката при липса на коренчева компресия са възпалението на коренчето или химичното сензитизиране на диска.</w:t>
      </w:r>
    </w:p>
    <w:p w14:paraId="7105C6A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Спондилартрозата</w:t>
      </w:r>
      <w:r w:rsidRPr="00AE47C6">
        <w:rPr>
          <w:rFonts w:ascii="Times New Roman" w:eastAsia="SimSun" w:hAnsi="Times New Roman"/>
          <w:sz w:val="24"/>
          <w:szCs w:val="24"/>
        </w:rPr>
        <w:t xml:space="preserve"> е форма на остеоартроза, дегенеративно увреждане, което засяга различни структури на гръбначния стълб – кости, стави, лигаменти, мускули, прешлени и междупрешленни дискове и води до стеснение на спиналния канал. С процеса на стареене в интервертебралните дискове и лигаменти настъпват дегенеративни промени. Дехидратирания диск изтънява, става по-слаб и не е в състояние да абсорбира и разпределя налягането равномерно към annulus fibrosus и тялото на прешлена. Развиват се фиброзни промени, нараства налягането към задния край на annulus fibrosus, поради физиологичната лордоза. Повишеното налягане довежда до образуване на фисури в задната част на annulus fibrosus. Намаляването на височината на диска нарушава артикулацията на апофизеалните стави и телата на прешлените, което води до натоварване на ставите и ограничаване на тяхната подвижност. Възниква хипертрофия на артикуларните ставни повърхности, дегенеративна артропатия, стесняване на ставните междини, субхондрална склероза и костни образувания, които предизвикват </w:t>
      </w:r>
      <w:r w:rsidRPr="00AE47C6">
        <w:rPr>
          <w:rFonts w:ascii="Times New Roman" w:eastAsia="SimSun" w:hAnsi="Times New Roman"/>
          <w:i/>
          <w:sz w:val="24"/>
          <w:szCs w:val="24"/>
        </w:rPr>
        <w:t>стеноза на вертебралния</w:t>
      </w:r>
      <w:r w:rsidRPr="00AE47C6">
        <w:rPr>
          <w:rFonts w:ascii="Times New Roman" w:eastAsia="SimSun" w:hAnsi="Times New Roman"/>
          <w:sz w:val="24"/>
          <w:szCs w:val="24"/>
        </w:rPr>
        <w:t xml:space="preserve"> и интервертебралният канал. При остеопороза, намалява размера на прешлените, което допълнително стеснява спиналния канал. Конфигурацията на спиналния канал се променя, прогресивно се стесняват външните ъгли (латералния рецесус), където лежат коренчетата преди да излязат през интервертебралните отвори. Промените в латералния рецесус са най-силно изразени в лумбалния отдел. Тези дегенеративни промени (спондилоза), са дифузни, двустранни и различно изразени в различните сегменти на гръбнака. В повечето случаи annulus fibrosus остава с нарушена структура, но не загубва своя интегритет. Възникват промени и в лигаментите,  най-често – хипертрофия на жълтия лигамент. След години дегенеративните промени водят до фиброзна анкилоза и стабилизиране на гръбначните сегменти. </w:t>
      </w:r>
    </w:p>
    <w:p w14:paraId="05A21FA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Херниирането на диска</w:t>
      </w:r>
      <w:r w:rsidRPr="00AE47C6">
        <w:rPr>
          <w:rFonts w:ascii="Times New Roman" w:eastAsia="SimSun" w:hAnsi="Times New Roman"/>
          <w:sz w:val="24"/>
          <w:szCs w:val="24"/>
        </w:rPr>
        <w:t xml:space="preserve"> последва дегенеративните промени при 20% от пациентите. Най-различни тривиални движения, навеждане или кихане, могат да предизвикат пролабиране на nucleus pulposus, който избутва отслабения annulus fibrosus назад. При по-тежки случаи настъпва частично разкъсване на annulus fibrosus и nucleus pulposus може да протрузира през фисурите. Херниирането може да настъпи напред, към тялото на прешлена с формирането на телца на Schmorl. Тези три типа дисково хернииране са свързани с различна степен на увреждане на гръбначно-мозъчните коренчета от твърдите фрагменти на annulus и nucleus. Обикновено само фрагменти от ядрото протрузират през фисури на annulus, странично в ляво или дясно (по-рядко централно) и притискат едно или повече коренчета. Херниирането на един диск може да засегне няколко коренчета, със съответната клинична картина. По-големите протрузии могат да притиснат коренчетата към артикуларните апофизи или ламината на прешлена. Протрузиралото ядро се резорбира и намалява по размери, но предизвиква хронично дразнене на коренчетата с последваща артроза и остеофитоза. </w:t>
      </w:r>
    </w:p>
    <w:p w14:paraId="37A410D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Увреждането на меките тъкани</w:t>
      </w:r>
      <w:r w:rsidRPr="00AE47C6">
        <w:rPr>
          <w:rFonts w:ascii="Times New Roman" w:eastAsia="SimSun" w:hAnsi="Times New Roman"/>
          <w:sz w:val="24"/>
          <w:szCs w:val="24"/>
        </w:rPr>
        <w:t xml:space="preserve"> (мускули и лигаменти), в резултат от навеждане, завъртане, вдигане на тежести, продължително седене в неудобна поза е една от най-честите причини за болки в кръста и шията. В тези случаи апофизеалните стави между два прешлена се разместват, което уврежда ставните капсули и околните меки тъкани. Една от най-честите причини (25%) за болките в шията е травмата след камшичен удар.</w:t>
      </w:r>
    </w:p>
    <w:p w14:paraId="2C261E0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В много от случаите причините за болката не могат да бъдат установени, точна диагноза не може да се постави и лечението е неспецифично. Те се разделят на:</w:t>
      </w:r>
    </w:p>
    <w:p w14:paraId="4D5A04C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структурни: </w:t>
      </w:r>
      <w:r w:rsidRPr="00AE47C6">
        <w:rPr>
          <w:rFonts w:ascii="Times New Roman" w:eastAsia="SimSun" w:hAnsi="Times New Roman"/>
          <w:sz w:val="24"/>
          <w:szCs w:val="24"/>
        </w:rPr>
        <w:t>дегенеративни заболявания, спинална стеноза, вродени аномалии, миофасциален синдром, травматични увреждания и фрактури, кифосколиоза, спондилолистеза, болест на Scheuermann, ахондроплазия.</w:t>
      </w:r>
    </w:p>
    <w:p w14:paraId="1175F5C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неструктурни</w:t>
      </w:r>
      <w:r w:rsidRPr="00AE47C6">
        <w:rPr>
          <w:rFonts w:ascii="Times New Roman" w:eastAsia="SimSun" w:hAnsi="Times New Roman"/>
          <w:sz w:val="24"/>
          <w:szCs w:val="24"/>
        </w:rPr>
        <w:t xml:space="preserve"> (не свързани с гръбначния стълб): неоплазми (първични, метастатични), инфекции, остеомиелит, параспинален и епидурален абсцес, септичен, туберкулозен или анкилозиращ спондилит, адхезивен арахноидит, ревматоиден артрит, спондилартропатии, синдром на Reiter, заболявания на вътрешните органи, простатит, ендометрит, аневризма на коремната аорта, панкреатит, пептична язва, холецистит, бъбречни и ендокринни заболявания, акромегалия, хиперпаратиреоидизъм, хипертиреоидизъм, метаболитните заболявания на костите, остеопороза и болест на Paget.</w:t>
      </w:r>
    </w:p>
    <w:p w14:paraId="75637317"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 xml:space="preserve">Болките в гърба най-често се дължат на </w:t>
      </w:r>
      <w:r w:rsidRPr="00AE47C6">
        <w:rPr>
          <w:rFonts w:ascii="Times New Roman" w:eastAsia="SimSun" w:hAnsi="Times New Roman"/>
          <w:i/>
          <w:sz w:val="24"/>
          <w:szCs w:val="24"/>
        </w:rPr>
        <w:t>структурни причини</w:t>
      </w:r>
      <w:r w:rsidRPr="00AE47C6">
        <w:rPr>
          <w:rFonts w:ascii="Times New Roman" w:eastAsia="SimSun" w:hAnsi="Times New Roman"/>
          <w:sz w:val="24"/>
          <w:szCs w:val="24"/>
        </w:rPr>
        <w:t>. Тяхното анатомично прецизиране не винаги е възможно, защото повечето протичат с едни и същи симптоми. Болният трябва да се насочи за редица изследвания и за консултация с невролог и друг специалист.</w:t>
      </w:r>
    </w:p>
    <w:p w14:paraId="03432D59"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 xml:space="preserve">Своевременното диагностициране на </w:t>
      </w:r>
      <w:r w:rsidRPr="00AE47C6">
        <w:rPr>
          <w:rFonts w:ascii="Times New Roman" w:eastAsia="SimSun" w:hAnsi="Times New Roman"/>
          <w:i/>
          <w:sz w:val="24"/>
          <w:szCs w:val="24"/>
        </w:rPr>
        <w:t>неструктурните причини</w:t>
      </w:r>
      <w:r w:rsidRPr="00AE47C6">
        <w:rPr>
          <w:rFonts w:ascii="Times New Roman" w:eastAsia="SimSun" w:hAnsi="Times New Roman"/>
          <w:sz w:val="24"/>
          <w:szCs w:val="24"/>
        </w:rPr>
        <w:t xml:space="preserve"> за болки в гърба е особено важно. При данни за такива увреждания болният трябва да се насочи болният спешно за консултация с невролог.</w:t>
      </w:r>
    </w:p>
    <w:p w14:paraId="432F69B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Факторите, които допринасят</w:t>
      </w:r>
      <w:r w:rsidRPr="00AE47C6">
        <w:rPr>
          <w:rFonts w:ascii="Times New Roman" w:eastAsia="SimSun" w:hAnsi="Times New Roman"/>
          <w:sz w:val="24"/>
          <w:szCs w:val="24"/>
        </w:rPr>
        <w:t xml:space="preserve"> за появата на болки в гърба са: медицински: (респираторни заболявания, травма, бременност, менструация), от работната среда (продължително седене, шофиране, непостоянна трудова заетост), от семейството или персонални (проблеми в семейството, малки деца, неудовлетвореност от извършваната работа, депресия, тревожност, злоупотреба с алкохол, тютюнопушене с кашлица).</w:t>
      </w:r>
    </w:p>
    <w:p w14:paraId="0CF6E4FB" w14:textId="77777777" w:rsidR="00BE0B19" w:rsidRPr="00AE47C6" w:rsidRDefault="00BE0B19" w:rsidP="00BE0B19">
      <w:pPr>
        <w:spacing w:after="0" w:line="360" w:lineRule="auto"/>
        <w:ind w:left="283"/>
        <w:jc w:val="both"/>
        <w:rPr>
          <w:rFonts w:ascii="Times New Roman" w:eastAsia="SimSun" w:hAnsi="Times New Roman"/>
          <w:sz w:val="24"/>
          <w:szCs w:val="24"/>
        </w:rPr>
      </w:pPr>
      <w:r w:rsidRPr="00AE47C6">
        <w:rPr>
          <w:rFonts w:ascii="Times New Roman" w:eastAsia="SimSun" w:hAnsi="Times New Roman"/>
          <w:sz w:val="24"/>
          <w:szCs w:val="24"/>
        </w:rPr>
        <w:t>Болките в гърба са смесени (ноцицептивни и невропатни). Едновременно се проявяват няколко вида болка: локална, радикулерна и болка от мускулния спазъм.</w:t>
      </w:r>
    </w:p>
    <w:p w14:paraId="76BB195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Локалната болка</w:t>
      </w:r>
      <w:r w:rsidRPr="00AE47C6">
        <w:rPr>
          <w:rFonts w:ascii="Times New Roman" w:eastAsia="SimSun" w:hAnsi="Times New Roman"/>
          <w:sz w:val="24"/>
          <w:szCs w:val="24"/>
        </w:rPr>
        <w:t xml:space="preserve"> е ноцицептивна и възниква от патологичен процес увреждащ структурите, съдържащи ноцицептори (периостеума, лигаментите, фасциите, капсулата на интервертебралните стави, мускулите, annulus fibrosus и сухожилията). Тя е постоянна и пареща, но може да се усилва временно. Въпреки че е дифузна, тя се усеща около засегнатата област. Перкусията на засегнатата област засилва болката. </w:t>
      </w:r>
    </w:p>
    <w:p w14:paraId="02C82C9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Радикулерната</w:t>
      </w:r>
      <w:r w:rsidRPr="00AE47C6">
        <w:rPr>
          <w:rFonts w:ascii="Times New Roman" w:eastAsia="SimSun" w:hAnsi="Times New Roman"/>
          <w:sz w:val="24"/>
          <w:szCs w:val="24"/>
        </w:rPr>
        <w:t xml:space="preserve"> или ишалгична болка е невропатна. Възниква както от механичната компресия на нервните коренчета във foramen intervertebrale, латералния рецесус или гръбначния канал, така и от действието на инфламаторните невромедиатори (цитокини и хемокини), произхождащи от дегенериралия интервертебрален диск. Тя е остра и силна, с дистална ирадиация от гръбнака към крайника в съответния дерматом. Наслагва се върху тъпата отразена болка. Засилва се при кашляне, кихане и разтягане или притискане на коренчето, за което се използват различни прийоми (Lasegue, Wasserman, симптом на Neri и др.). Придружава се от болки в определени точки (на Valleux) по хода на нерва, парестезии и отпадни сетивни и двигателни симптоми. </w:t>
      </w:r>
    </w:p>
    <w:p w14:paraId="5463A52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Болката от протективния спазъм</w:t>
      </w:r>
      <w:r w:rsidRPr="00AE47C6">
        <w:rPr>
          <w:rFonts w:ascii="Times New Roman" w:eastAsia="SimSun" w:hAnsi="Times New Roman"/>
          <w:sz w:val="24"/>
          <w:szCs w:val="24"/>
        </w:rPr>
        <w:t xml:space="preserve"> на паравертебралните мускули, които предпазва увредените области от движение е ноцицептивна и тъпа. Усилва се пристъпно, нарушава нормалната поза и придружава локалната болка. Мускулите са болезнени при натиск, особено на нивото на засегнатия прешлен. Навеждането на тялото напред, встрани и назад засилват болката. </w:t>
      </w:r>
    </w:p>
    <w:p w14:paraId="0DC38C29"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Клинично протичане</w:t>
      </w:r>
    </w:p>
    <w:p w14:paraId="21E4B3D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Болките в гърба се подразделят на остри и хронични, според тяхната продължителност. Болки с определена етиология имат тенденция на настъпват остро и да отзвучават сравнително по-бързо, докато с друга етиология – да настъпват подостро и да имат хроничен ход. Остро настъпващите болки също могат да хронифицират. </w:t>
      </w:r>
    </w:p>
    <w:p w14:paraId="5DD45316"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3.1.2.1. Болки в гърба с предимно остро начало</w:t>
      </w:r>
    </w:p>
    <w:p w14:paraId="3584693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Острата идиопатична болка в кръста</w:t>
      </w:r>
      <w:r w:rsidRPr="00AE47C6">
        <w:rPr>
          <w:rFonts w:ascii="Times New Roman" w:eastAsia="SimSun" w:hAnsi="Times New Roman"/>
          <w:sz w:val="24"/>
          <w:szCs w:val="24"/>
        </w:rPr>
        <w:t xml:space="preserve">, наречена още “лумбаго” е най-честа (80% от случаите). Засяга възрастта между 25 и 50 години, мъжете боледуват 2 пъти по-често. </w:t>
      </w:r>
    </w:p>
    <w:p w14:paraId="33C5C80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Причинява се от разтягане на паравертебралните мускули и лигаменти, поради вдигане на тежести в неудобно положение, внезапно движение или падане. Няма корелация между тежестта на болката и физическото усилие. Болката е ноцицептивна.</w:t>
      </w:r>
    </w:p>
    <w:p w14:paraId="4597E5A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Болката е силна, нарушена е позата поради спазъм на сакроспиналните мускули. Засилва се от седене и при ставане от седнало положение и се облекчава при лежане по гръб с флексирани колене. Не се установяват никакви неврологични симптоми, освен палпаторна болезненост и спазъм на паравертебралните мускули и ограничено навеждане напред. </w:t>
      </w:r>
    </w:p>
    <w:p w14:paraId="6F52E09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Повлиява се бързо от лечение. При неправилно лечение хронифицира, което довежда до развитие на дегенеративни промени в интервертебралните стави и прешлените. </w:t>
      </w:r>
    </w:p>
    <w:p w14:paraId="597F947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Остра идиопатична болка в шията</w:t>
      </w:r>
      <w:r w:rsidRPr="00AE47C6">
        <w:rPr>
          <w:rFonts w:ascii="Times New Roman" w:eastAsia="SimSun" w:hAnsi="Times New Roman"/>
          <w:sz w:val="24"/>
          <w:szCs w:val="24"/>
        </w:rPr>
        <w:t xml:space="preserve"> е еквивалент на идиопатичната болка в кръста. Настъпва остро, след ставане от сън или при внезапно движение на главата. Болката е силна, затруднява се движението на главата, поради която тя е в принудително положение. Освен болка и спазъм на шийните мускули не се установяват отпадни неврологични симптоми. Оплакванията изчезват спонтанно след 7-10 дни, но болката може да хронифицира.</w:t>
      </w:r>
    </w:p>
    <w:p w14:paraId="0E6E8FE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Лумбалната дискова херния</w:t>
      </w:r>
      <w:r w:rsidRPr="00AE47C6">
        <w:rPr>
          <w:rFonts w:ascii="Times New Roman" w:eastAsia="SimSun" w:hAnsi="Times New Roman"/>
          <w:sz w:val="24"/>
          <w:szCs w:val="24"/>
        </w:rPr>
        <w:t xml:space="preserve"> е причина за остри, хронични и рецидивиращи болки в кръста и крака при 8% от пациентите с болки в кръста. Възниква около 30 – 40 годишна възраст, когато съставът на nucleus pulposus е все още желатинозен. Мъжете боледуват по-често. Най-често се засяга диска между L</w:t>
      </w:r>
      <w:r w:rsidRPr="00AE47C6">
        <w:rPr>
          <w:rFonts w:ascii="Times New Roman" w:eastAsia="SimSun" w:hAnsi="Times New Roman"/>
          <w:sz w:val="24"/>
          <w:szCs w:val="24"/>
          <w:vertAlign w:val="subscript"/>
        </w:rPr>
        <w:t>5</w:t>
      </w:r>
      <w:r w:rsidRPr="00AE47C6">
        <w:rPr>
          <w:rFonts w:ascii="Times New Roman" w:eastAsia="SimSun" w:hAnsi="Times New Roman"/>
          <w:sz w:val="24"/>
          <w:szCs w:val="24"/>
        </w:rPr>
        <w:t>-S</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 xml:space="preserve"> и в намаляваща честота L</w:t>
      </w:r>
      <w:r w:rsidRPr="00AE47C6">
        <w:rPr>
          <w:rFonts w:ascii="Times New Roman" w:eastAsia="SimSun" w:hAnsi="Times New Roman"/>
          <w:sz w:val="24"/>
          <w:szCs w:val="24"/>
          <w:vertAlign w:val="subscript"/>
        </w:rPr>
        <w:t>4</w:t>
      </w:r>
      <w:r w:rsidRPr="00AE47C6">
        <w:rPr>
          <w:rFonts w:ascii="Times New Roman" w:eastAsia="SimSun" w:hAnsi="Times New Roman"/>
          <w:sz w:val="24"/>
          <w:szCs w:val="24"/>
        </w:rPr>
        <w:t>-L</w:t>
      </w:r>
      <w:r w:rsidRPr="00AE47C6">
        <w:rPr>
          <w:rFonts w:ascii="Times New Roman" w:eastAsia="SimSun" w:hAnsi="Times New Roman"/>
          <w:sz w:val="24"/>
          <w:szCs w:val="24"/>
          <w:vertAlign w:val="subscript"/>
        </w:rPr>
        <w:t>5</w:t>
      </w:r>
      <w:r w:rsidRPr="00AE47C6">
        <w:rPr>
          <w:rFonts w:ascii="Times New Roman" w:eastAsia="SimSun" w:hAnsi="Times New Roman"/>
          <w:sz w:val="24"/>
          <w:szCs w:val="24"/>
        </w:rPr>
        <w:t>, L</w:t>
      </w:r>
      <w:r w:rsidRPr="00AE47C6">
        <w:rPr>
          <w:rFonts w:ascii="Times New Roman" w:eastAsia="SimSun" w:hAnsi="Times New Roman"/>
          <w:sz w:val="24"/>
          <w:szCs w:val="24"/>
          <w:vertAlign w:val="subscript"/>
        </w:rPr>
        <w:t>3</w:t>
      </w:r>
      <w:r w:rsidRPr="00AE47C6">
        <w:rPr>
          <w:rFonts w:ascii="Times New Roman" w:eastAsia="SimSun" w:hAnsi="Times New Roman"/>
          <w:sz w:val="24"/>
          <w:szCs w:val="24"/>
        </w:rPr>
        <w:t>-L</w:t>
      </w:r>
      <w:r w:rsidRPr="00AE47C6">
        <w:rPr>
          <w:rFonts w:ascii="Times New Roman" w:eastAsia="SimSun" w:hAnsi="Times New Roman"/>
          <w:sz w:val="24"/>
          <w:szCs w:val="24"/>
          <w:vertAlign w:val="subscript"/>
        </w:rPr>
        <w:t>4</w:t>
      </w:r>
      <w:r w:rsidRPr="00AE47C6">
        <w:rPr>
          <w:rFonts w:ascii="Times New Roman" w:eastAsia="SimSun" w:hAnsi="Times New Roman"/>
          <w:sz w:val="24"/>
          <w:szCs w:val="24"/>
        </w:rPr>
        <w:t xml:space="preserve"> и L</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-L</w:t>
      </w:r>
      <w:r w:rsidRPr="00AE47C6">
        <w:rPr>
          <w:rFonts w:ascii="Times New Roman" w:eastAsia="SimSun" w:hAnsi="Times New Roman"/>
          <w:sz w:val="24"/>
          <w:szCs w:val="24"/>
          <w:vertAlign w:val="subscript"/>
        </w:rPr>
        <w:t>3</w:t>
      </w:r>
      <w:r w:rsidRPr="00AE47C6">
        <w:rPr>
          <w:rFonts w:ascii="Times New Roman" w:eastAsia="SimSun" w:hAnsi="Times New Roman"/>
          <w:sz w:val="24"/>
          <w:szCs w:val="24"/>
        </w:rPr>
        <w:t xml:space="preserve">. </w:t>
      </w:r>
    </w:p>
    <w:p w14:paraId="4292D35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Разгърнатият синдром се изразява в спонтанна болка (умерена, или силна, като прерязване с нож) в кръста, дълбоко в глутеалната област, латерално и под сакроилиачната става и в задно латералния участък на бедрото, ирадиираща към задната част на подбедрицата и стъпалото (ишиас), стегнатост и деформация на гърба и комбинация от парестезии, отслабени сухожилни рефлекси и мускулна слабост. При силно изразена болка, болният не може да стане от леглото и избягва и най-малките движения, кашлянето и кихането засилват болката. Особено болезнени са седенето и ставането от седнало положение, качването и слизане по стълби. Болката и изтръпването се провокират чрез различни прийоми. Позата е нарушена (ишиасна сколиоза) с накланяне на тялото напред и странично (страната зависи от отношението на диска към коренчето). Аналгетичната поза е свързана и с рефлексната контракция на параспиналните мускули, която може да се види и палпира. Болният крак е леко свит в коленната става, така че да не докосва пода и при ходене тежестта пада върху него само за кратко време, при което болния куца.</w:t>
      </w:r>
    </w:p>
    <w:p w14:paraId="15C20B8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Симптомите на коренчево засягане включват парестезии в стъпалото или крака (по-рядко хипер-, хипо- или анестезия в дерматома), отслабване или загуба на коленния или Ахилов рефлекс, хипотония на мускулите на хълбока и подбедрицата и по-рядко слабост. При голяма централна протрузия симптомите са двустранни и могат да се добавят сфинктерни нарушения, синдром на cauda equina и повишен белтък в ликвора.</w:t>
      </w:r>
    </w:p>
    <w:p w14:paraId="5040A42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При дисков пролапс L</w:t>
      </w:r>
      <w:r w:rsidRPr="00AE47C6">
        <w:rPr>
          <w:rFonts w:ascii="Times New Roman" w:eastAsia="SimSun" w:hAnsi="Times New Roman"/>
          <w:sz w:val="24"/>
          <w:szCs w:val="24"/>
          <w:vertAlign w:val="subscript"/>
        </w:rPr>
        <w:t>5</w:t>
      </w:r>
      <w:r w:rsidRPr="00AE47C6">
        <w:rPr>
          <w:rFonts w:ascii="Times New Roman" w:eastAsia="SimSun" w:hAnsi="Times New Roman"/>
          <w:sz w:val="24"/>
          <w:szCs w:val="24"/>
        </w:rPr>
        <w:t>-S</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 xml:space="preserve"> се засяга </w:t>
      </w:r>
      <w:r w:rsidRPr="00AE47C6">
        <w:rPr>
          <w:rFonts w:ascii="Times New Roman" w:eastAsia="SimSun" w:hAnsi="Times New Roman"/>
          <w:b/>
          <w:sz w:val="24"/>
          <w:szCs w:val="24"/>
        </w:rPr>
        <w:t>S</w:t>
      </w:r>
      <w:r w:rsidRPr="00AE47C6">
        <w:rPr>
          <w:rFonts w:ascii="Times New Roman" w:eastAsia="SimSun" w:hAnsi="Times New Roman"/>
          <w:b/>
          <w:sz w:val="24"/>
          <w:szCs w:val="24"/>
          <w:vertAlign w:val="subscript"/>
        </w:rPr>
        <w:t>1</w:t>
      </w:r>
      <w:r w:rsidRPr="00AE47C6">
        <w:rPr>
          <w:rFonts w:ascii="Times New Roman" w:eastAsia="SimSun" w:hAnsi="Times New Roman"/>
          <w:sz w:val="24"/>
          <w:szCs w:val="24"/>
        </w:rPr>
        <w:t xml:space="preserve"> коренче, със спонтанна и палпаторна болка в средната глутеална област (около сакроилиачната става), задната част на бедрото и подбедрицата към петата и IV и V пръст на стъпалото. Симптомът на Lassegue е положителен. Парестезиите и сетивните нарушения са в долната част на крака и последните два пръста на стъпалото. Ранен симптом е загубата на Ахиловия рефлекс. Мускулната слабост обхваща плантарните флексори на пръстите и стъпалото (затруднено е ходенето на пръсти), абдукторите на пръстите и флексорите на подбедрицата.</w:t>
      </w:r>
    </w:p>
    <w:p w14:paraId="5AE6B79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При дисков пролапс L</w:t>
      </w:r>
      <w:r w:rsidRPr="00AE47C6">
        <w:rPr>
          <w:rFonts w:ascii="Times New Roman" w:eastAsia="SimSun" w:hAnsi="Times New Roman"/>
          <w:sz w:val="24"/>
          <w:szCs w:val="24"/>
          <w:vertAlign w:val="subscript"/>
        </w:rPr>
        <w:t>4</w:t>
      </w:r>
      <w:r w:rsidRPr="00AE47C6">
        <w:rPr>
          <w:rFonts w:ascii="Times New Roman" w:eastAsia="SimSun" w:hAnsi="Times New Roman"/>
          <w:sz w:val="24"/>
          <w:szCs w:val="24"/>
        </w:rPr>
        <w:t>-L</w:t>
      </w:r>
      <w:r w:rsidRPr="00AE47C6">
        <w:rPr>
          <w:rFonts w:ascii="Times New Roman" w:eastAsia="SimSun" w:hAnsi="Times New Roman"/>
          <w:sz w:val="24"/>
          <w:szCs w:val="24"/>
          <w:vertAlign w:val="subscript"/>
        </w:rPr>
        <w:t>5</w:t>
      </w:r>
      <w:r w:rsidRPr="00AE47C6">
        <w:rPr>
          <w:rFonts w:ascii="Times New Roman" w:eastAsia="SimSun" w:hAnsi="Times New Roman"/>
          <w:sz w:val="24"/>
          <w:szCs w:val="24"/>
        </w:rPr>
        <w:t xml:space="preserve"> се засяга </w:t>
      </w:r>
      <w:r w:rsidRPr="00AE47C6">
        <w:rPr>
          <w:rFonts w:ascii="Times New Roman" w:eastAsia="SimSun" w:hAnsi="Times New Roman"/>
          <w:b/>
          <w:sz w:val="24"/>
          <w:szCs w:val="24"/>
        </w:rPr>
        <w:t>L</w:t>
      </w:r>
      <w:r w:rsidRPr="00AE47C6">
        <w:rPr>
          <w:rFonts w:ascii="Times New Roman" w:eastAsia="SimSun" w:hAnsi="Times New Roman"/>
          <w:b/>
          <w:sz w:val="24"/>
          <w:szCs w:val="24"/>
          <w:vertAlign w:val="subscript"/>
        </w:rPr>
        <w:t>5</w:t>
      </w:r>
      <w:r w:rsidRPr="00AE47C6">
        <w:rPr>
          <w:rFonts w:ascii="Times New Roman" w:eastAsia="SimSun" w:hAnsi="Times New Roman"/>
          <w:sz w:val="24"/>
          <w:szCs w:val="24"/>
        </w:rPr>
        <w:t xml:space="preserve"> коренче със спонтанна и предизвикана болка в областта на латералната глутеална област до главата на бедрената кост, заднолатералната част на бедрото, латералната част на подбедрицата към външния малеол, дорзалната повърхност на стъпалото и I, II и понякога III пръст. Симптомът на Lasegue е положителен. Парестезиите се усещат във всички или само в дисталните области. Слабостта обхваща дорзалните флексори на I пръст и стъпалото (затруднено ходене на пети). Ахиловият рефлекс е запазен, намален или липсващ, коленният рефлекс винаги е отслабен или липсващ.</w:t>
      </w:r>
    </w:p>
    <w:p w14:paraId="601E485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По-рядката увреда на </w:t>
      </w:r>
      <w:r w:rsidRPr="00AE47C6">
        <w:rPr>
          <w:rFonts w:ascii="Times New Roman" w:eastAsia="SimSun" w:hAnsi="Times New Roman"/>
          <w:b/>
          <w:sz w:val="24"/>
          <w:szCs w:val="24"/>
        </w:rPr>
        <w:t>L</w:t>
      </w:r>
      <w:r w:rsidRPr="00AE47C6">
        <w:rPr>
          <w:rFonts w:ascii="Times New Roman" w:eastAsia="SimSun" w:hAnsi="Times New Roman"/>
          <w:b/>
          <w:sz w:val="24"/>
          <w:szCs w:val="24"/>
          <w:vertAlign w:val="subscript"/>
        </w:rPr>
        <w:t>3</w:t>
      </w:r>
      <w:r w:rsidRPr="00AE47C6">
        <w:rPr>
          <w:rFonts w:ascii="Times New Roman" w:eastAsia="SimSun" w:hAnsi="Times New Roman"/>
          <w:sz w:val="24"/>
          <w:szCs w:val="24"/>
        </w:rPr>
        <w:t xml:space="preserve"> (L</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-L</w:t>
      </w:r>
      <w:r w:rsidRPr="00AE47C6">
        <w:rPr>
          <w:rFonts w:ascii="Times New Roman" w:eastAsia="SimSun" w:hAnsi="Times New Roman"/>
          <w:sz w:val="24"/>
          <w:szCs w:val="24"/>
          <w:vertAlign w:val="subscript"/>
        </w:rPr>
        <w:t>3</w:t>
      </w:r>
      <w:r w:rsidRPr="00AE47C6">
        <w:rPr>
          <w:rFonts w:ascii="Times New Roman" w:eastAsia="SimSun" w:hAnsi="Times New Roman"/>
          <w:sz w:val="24"/>
          <w:szCs w:val="24"/>
        </w:rPr>
        <w:t xml:space="preserve"> пролапс) и на </w:t>
      </w:r>
      <w:r w:rsidRPr="00AE47C6">
        <w:rPr>
          <w:rFonts w:ascii="Times New Roman" w:eastAsia="SimSun" w:hAnsi="Times New Roman"/>
          <w:b/>
          <w:sz w:val="24"/>
          <w:szCs w:val="24"/>
        </w:rPr>
        <w:t>L</w:t>
      </w:r>
      <w:r w:rsidRPr="00AE47C6">
        <w:rPr>
          <w:rFonts w:ascii="Times New Roman" w:eastAsia="SimSun" w:hAnsi="Times New Roman"/>
          <w:b/>
          <w:sz w:val="24"/>
          <w:szCs w:val="24"/>
          <w:vertAlign w:val="subscript"/>
        </w:rPr>
        <w:t>4</w:t>
      </w:r>
      <w:r w:rsidRPr="00AE47C6">
        <w:rPr>
          <w:rFonts w:ascii="Times New Roman" w:eastAsia="SimSun" w:hAnsi="Times New Roman"/>
          <w:sz w:val="24"/>
          <w:szCs w:val="24"/>
        </w:rPr>
        <w:t xml:space="preserve"> (L</w:t>
      </w:r>
      <w:r w:rsidRPr="00AE47C6">
        <w:rPr>
          <w:rFonts w:ascii="Times New Roman" w:eastAsia="SimSun" w:hAnsi="Times New Roman"/>
          <w:sz w:val="24"/>
          <w:szCs w:val="24"/>
          <w:vertAlign w:val="subscript"/>
        </w:rPr>
        <w:t>3</w:t>
      </w:r>
      <w:r w:rsidRPr="00AE47C6">
        <w:rPr>
          <w:rFonts w:ascii="Times New Roman" w:eastAsia="SimSun" w:hAnsi="Times New Roman"/>
          <w:sz w:val="24"/>
          <w:szCs w:val="24"/>
        </w:rPr>
        <w:t>-L</w:t>
      </w:r>
      <w:r w:rsidRPr="00AE47C6">
        <w:rPr>
          <w:rFonts w:ascii="Times New Roman" w:eastAsia="SimSun" w:hAnsi="Times New Roman"/>
          <w:sz w:val="24"/>
          <w:szCs w:val="24"/>
          <w:vertAlign w:val="subscript"/>
        </w:rPr>
        <w:t>4</w:t>
      </w:r>
      <w:r w:rsidRPr="00AE47C6">
        <w:rPr>
          <w:rFonts w:ascii="Times New Roman" w:eastAsia="SimSun" w:hAnsi="Times New Roman"/>
          <w:sz w:val="24"/>
          <w:szCs w:val="24"/>
        </w:rPr>
        <w:t xml:space="preserve"> пролапс) предизвиква болка и сетивни нарушения в предната част на бедрото и коляното и предно медиалната част на подбедрицата (L</w:t>
      </w:r>
      <w:r w:rsidRPr="00AE47C6">
        <w:rPr>
          <w:rFonts w:ascii="Times New Roman" w:eastAsia="SimSun" w:hAnsi="Times New Roman"/>
          <w:sz w:val="24"/>
          <w:szCs w:val="24"/>
          <w:vertAlign w:val="subscript"/>
        </w:rPr>
        <w:t>4</w:t>
      </w:r>
      <w:r w:rsidRPr="00AE47C6">
        <w:rPr>
          <w:rFonts w:ascii="Times New Roman" w:eastAsia="SimSun" w:hAnsi="Times New Roman"/>
          <w:sz w:val="24"/>
          <w:szCs w:val="24"/>
        </w:rPr>
        <w:t>). Коленният рефлекс е отслабен или липсващ. При увреда на L</w:t>
      </w:r>
      <w:r w:rsidRPr="00AE47C6">
        <w:rPr>
          <w:rFonts w:ascii="Times New Roman" w:eastAsia="SimSun" w:hAnsi="Times New Roman"/>
          <w:sz w:val="24"/>
          <w:szCs w:val="24"/>
          <w:vertAlign w:val="subscript"/>
        </w:rPr>
        <w:t>3</w:t>
      </w:r>
      <w:r w:rsidRPr="00AE47C6">
        <w:rPr>
          <w:rFonts w:ascii="Times New Roman" w:eastAsia="SimSun" w:hAnsi="Times New Roman"/>
          <w:sz w:val="24"/>
          <w:szCs w:val="24"/>
        </w:rPr>
        <w:t xml:space="preserve"> се получава слабост на mm. quadriceps и iliopsoas, а при L</w:t>
      </w:r>
      <w:r w:rsidRPr="00AE47C6">
        <w:rPr>
          <w:rFonts w:ascii="Times New Roman" w:eastAsia="SimSun" w:hAnsi="Times New Roman"/>
          <w:sz w:val="24"/>
          <w:szCs w:val="24"/>
          <w:vertAlign w:val="subscript"/>
        </w:rPr>
        <w:t xml:space="preserve">4 </w:t>
      </w:r>
      <w:r w:rsidRPr="00AE47C6">
        <w:rPr>
          <w:rFonts w:ascii="Times New Roman" w:eastAsia="SimSun" w:hAnsi="Times New Roman"/>
          <w:sz w:val="24"/>
          <w:szCs w:val="24"/>
        </w:rPr>
        <w:t xml:space="preserve">– на m. tibialis anterior. </w:t>
      </w:r>
    </w:p>
    <w:p w14:paraId="04CA10B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Увредата на </w:t>
      </w:r>
      <w:r w:rsidRPr="00AE47C6">
        <w:rPr>
          <w:rFonts w:ascii="Times New Roman" w:eastAsia="SimSun" w:hAnsi="Times New Roman"/>
          <w:b/>
          <w:sz w:val="24"/>
          <w:szCs w:val="24"/>
        </w:rPr>
        <w:t>L</w:t>
      </w:r>
      <w:r w:rsidRPr="00AE47C6">
        <w:rPr>
          <w:rFonts w:ascii="Times New Roman" w:eastAsia="SimSun" w:hAnsi="Times New Roman"/>
          <w:b/>
          <w:sz w:val="24"/>
          <w:szCs w:val="24"/>
          <w:vertAlign w:val="subscript"/>
        </w:rPr>
        <w:t>1</w:t>
      </w:r>
      <w:r w:rsidRPr="00AE47C6">
        <w:rPr>
          <w:rFonts w:ascii="Times New Roman" w:eastAsia="SimSun" w:hAnsi="Times New Roman"/>
          <w:sz w:val="24"/>
          <w:szCs w:val="24"/>
        </w:rPr>
        <w:t xml:space="preserve"> (болки в сгъвката на бедрото) и </w:t>
      </w:r>
      <w:r w:rsidRPr="00AE47C6">
        <w:rPr>
          <w:rFonts w:ascii="Times New Roman" w:eastAsia="SimSun" w:hAnsi="Times New Roman"/>
          <w:b/>
          <w:sz w:val="24"/>
          <w:szCs w:val="24"/>
        </w:rPr>
        <w:t>L</w:t>
      </w:r>
      <w:r w:rsidRPr="00AE47C6">
        <w:rPr>
          <w:rFonts w:ascii="Times New Roman" w:eastAsia="SimSun" w:hAnsi="Times New Roman"/>
          <w:b/>
          <w:sz w:val="24"/>
          <w:szCs w:val="24"/>
          <w:vertAlign w:val="subscript"/>
        </w:rPr>
        <w:t>2</w:t>
      </w:r>
      <w:r w:rsidRPr="00AE47C6">
        <w:rPr>
          <w:rFonts w:ascii="Times New Roman" w:eastAsia="SimSun" w:hAnsi="Times New Roman"/>
          <w:sz w:val="24"/>
          <w:szCs w:val="24"/>
        </w:rPr>
        <w:t xml:space="preserve"> (болки в латералната част на бедрото) е значително по рядка.</w:t>
      </w:r>
    </w:p>
    <w:p w14:paraId="56EF1D0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При по-медиално разположена дискова протрузия на ниво L</w:t>
      </w:r>
      <w:r w:rsidRPr="00AE47C6">
        <w:rPr>
          <w:rFonts w:ascii="Times New Roman" w:eastAsia="SimSun" w:hAnsi="Times New Roman"/>
          <w:sz w:val="24"/>
          <w:szCs w:val="24"/>
          <w:vertAlign w:val="subscript"/>
        </w:rPr>
        <w:t>4</w:t>
      </w:r>
      <w:r w:rsidRPr="00AE47C6">
        <w:rPr>
          <w:rFonts w:ascii="Times New Roman" w:eastAsia="SimSun" w:hAnsi="Times New Roman"/>
          <w:sz w:val="24"/>
          <w:szCs w:val="24"/>
        </w:rPr>
        <w:t>-L</w:t>
      </w:r>
      <w:r w:rsidRPr="00AE47C6">
        <w:rPr>
          <w:rFonts w:ascii="Times New Roman" w:eastAsia="SimSun" w:hAnsi="Times New Roman"/>
          <w:sz w:val="24"/>
          <w:szCs w:val="24"/>
          <w:vertAlign w:val="subscript"/>
        </w:rPr>
        <w:t>5</w:t>
      </w:r>
      <w:r w:rsidRPr="00AE47C6">
        <w:rPr>
          <w:rFonts w:ascii="Times New Roman" w:eastAsia="SimSun" w:hAnsi="Times New Roman"/>
          <w:sz w:val="24"/>
          <w:szCs w:val="24"/>
        </w:rPr>
        <w:t xml:space="preserve"> могат да се засегнат не само L</w:t>
      </w:r>
      <w:r w:rsidRPr="00AE47C6">
        <w:rPr>
          <w:rFonts w:ascii="Times New Roman" w:eastAsia="SimSun" w:hAnsi="Times New Roman"/>
          <w:sz w:val="24"/>
          <w:szCs w:val="24"/>
          <w:vertAlign w:val="subscript"/>
        </w:rPr>
        <w:t>5</w:t>
      </w:r>
      <w:r w:rsidRPr="00AE47C6">
        <w:rPr>
          <w:rFonts w:ascii="Times New Roman" w:eastAsia="SimSun" w:hAnsi="Times New Roman"/>
          <w:sz w:val="24"/>
          <w:szCs w:val="24"/>
        </w:rPr>
        <w:t>, но и сакралните (S</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 S</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S</w:t>
      </w:r>
      <w:r w:rsidRPr="00AE47C6">
        <w:rPr>
          <w:rFonts w:ascii="Times New Roman" w:eastAsia="SimSun" w:hAnsi="Times New Roman"/>
          <w:sz w:val="24"/>
          <w:szCs w:val="24"/>
          <w:vertAlign w:val="subscript"/>
        </w:rPr>
        <w:t>3</w:t>
      </w:r>
      <w:r w:rsidRPr="00AE47C6">
        <w:rPr>
          <w:rFonts w:ascii="Times New Roman" w:eastAsia="SimSun" w:hAnsi="Times New Roman"/>
          <w:sz w:val="24"/>
          <w:szCs w:val="24"/>
        </w:rPr>
        <w:t>) коренчета. При медианна компресия има двустранна болка в краката и тазоворезервоарни нарушения. По-латерално разположена протрузия може да засегне по-горно коренче. Синдромите не винаги са напълно разгърнати. Болката в кръста може да не се придружава от болка в крака ("ишиас") или болката в кръста изчезва, а остават болка, сетивни и двигателни нарушения в крака. Заболяването от самото начало може да протече само с болки в крака.</w:t>
      </w:r>
    </w:p>
    <w:p w14:paraId="2E39A7B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Шийната дискова херния</w:t>
      </w:r>
      <w:r w:rsidRPr="00AE47C6">
        <w:rPr>
          <w:rFonts w:ascii="Times New Roman" w:eastAsia="SimSun" w:hAnsi="Times New Roman"/>
          <w:sz w:val="24"/>
          <w:szCs w:val="24"/>
        </w:rPr>
        <w:t>, за разлика от лумбалната, не е преобладаваща причина за коренчева увреда. Херниирането на долните цервикални дискове е една от честите причини за болка в шията, рамото и ръката. Настъпва остро, след различна по степен травма (внезапна хиперекстензия на шията, мануална терапия, скокове във вода, автомобилна злополука и други). Понякога острото начало е след ставане от сън, не е свързано с видими причини и е трудно да се обясни със съществуващите от години промени в прешлените. Най-често се засяга С</w:t>
      </w:r>
      <w:r w:rsidRPr="00AE47C6">
        <w:rPr>
          <w:rFonts w:ascii="Times New Roman" w:eastAsia="SimSun" w:hAnsi="Times New Roman"/>
          <w:sz w:val="24"/>
          <w:szCs w:val="24"/>
          <w:vertAlign w:val="subscript"/>
        </w:rPr>
        <w:t>7</w:t>
      </w:r>
      <w:r w:rsidRPr="00AE47C6">
        <w:rPr>
          <w:rFonts w:ascii="Times New Roman" w:eastAsia="SimSun" w:hAnsi="Times New Roman"/>
          <w:sz w:val="24"/>
          <w:szCs w:val="24"/>
        </w:rPr>
        <w:t xml:space="preserve"> (в 70%), по-рядко С</w:t>
      </w:r>
      <w:r w:rsidRPr="00AE47C6">
        <w:rPr>
          <w:rFonts w:ascii="Times New Roman" w:eastAsia="SimSun" w:hAnsi="Times New Roman"/>
          <w:sz w:val="24"/>
          <w:szCs w:val="24"/>
          <w:vertAlign w:val="subscript"/>
        </w:rPr>
        <w:t>6</w:t>
      </w:r>
      <w:r w:rsidRPr="00AE47C6">
        <w:rPr>
          <w:rFonts w:ascii="Times New Roman" w:eastAsia="SimSun" w:hAnsi="Times New Roman"/>
          <w:sz w:val="24"/>
          <w:szCs w:val="24"/>
        </w:rPr>
        <w:t xml:space="preserve"> (20%) и най-рядко С</w:t>
      </w:r>
      <w:r w:rsidRPr="00AE47C6">
        <w:rPr>
          <w:rFonts w:ascii="Times New Roman" w:eastAsia="SimSun" w:hAnsi="Times New Roman"/>
          <w:sz w:val="24"/>
          <w:szCs w:val="24"/>
          <w:vertAlign w:val="subscript"/>
        </w:rPr>
        <w:t>5</w:t>
      </w:r>
      <w:r w:rsidRPr="00AE47C6">
        <w:rPr>
          <w:rFonts w:ascii="Times New Roman" w:eastAsia="SimSun" w:hAnsi="Times New Roman"/>
          <w:sz w:val="24"/>
          <w:szCs w:val="24"/>
        </w:rPr>
        <w:t xml:space="preserve"> и С</w:t>
      </w:r>
      <w:r w:rsidRPr="00AE47C6">
        <w:rPr>
          <w:rFonts w:ascii="Times New Roman" w:eastAsia="SimSun" w:hAnsi="Times New Roman"/>
          <w:sz w:val="24"/>
          <w:szCs w:val="24"/>
          <w:vertAlign w:val="subscript"/>
        </w:rPr>
        <w:t>8</w:t>
      </w:r>
      <w:r w:rsidRPr="00AE47C6">
        <w:rPr>
          <w:rFonts w:ascii="Times New Roman" w:eastAsia="SimSun" w:hAnsi="Times New Roman"/>
          <w:sz w:val="24"/>
          <w:szCs w:val="24"/>
        </w:rPr>
        <w:t xml:space="preserve"> (общо 10%). </w:t>
      </w:r>
    </w:p>
    <w:p w14:paraId="74E4730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Клинично протича с болка (ноцицептивна и невропатна), възбудни (парестезии) и отпадни сетивни и двигателни нарушения, локализирани в зоната инервирана от увреденото коренче. Ограничена е подвижността в шийната област, болката се засилва при движение на шията поради спазъма на шийните мускули, особено при хиперекстензия и флексия, кашляне и кихане. Най-силно е ограничена екстензията и ротацията на главата към страната на болката. </w:t>
      </w:r>
    </w:p>
    <w:p w14:paraId="7B1D689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Медианната дискова протрузия</w:t>
      </w:r>
      <w:r w:rsidRPr="00AE47C6">
        <w:rPr>
          <w:rFonts w:ascii="Times New Roman" w:eastAsia="SimSun" w:hAnsi="Times New Roman"/>
          <w:sz w:val="24"/>
          <w:szCs w:val="24"/>
        </w:rPr>
        <w:t xml:space="preserve"> може да доведе до притискане и пълно прекъсване на гръбначния мозък, а парамедианно – до прекъсване на част от гръбначния мозък със съответните клинични прояви. Поради това, че липсва болка, синдромът може да имитира амиотрофична латерална склероза или комбинирана системна атрофия. Важно е да се установи наличието на тазово-резервоарни нарушения и ниво на сетивни нарушения. </w:t>
      </w:r>
    </w:p>
    <w:p w14:paraId="3242911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Торакалната дискова херния </w:t>
      </w:r>
      <w:r w:rsidRPr="00AE47C6">
        <w:rPr>
          <w:rFonts w:ascii="Times New Roman" w:eastAsia="SimSun" w:hAnsi="Times New Roman"/>
          <w:sz w:val="24"/>
          <w:szCs w:val="24"/>
        </w:rPr>
        <w:t>с болка в гръдния отдел е значително по-рядка (0,5%. от пациентите с дискова болест). Засягат се при 75% от пациентите последните четири гръдни прешлена, най-често T</w:t>
      </w:r>
      <w:r w:rsidRPr="00AE47C6">
        <w:rPr>
          <w:rFonts w:ascii="Times New Roman" w:eastAsia="SimSun" w:hAnsi="Times New Roman"/>
          <w:sz w:val="24"/>
          <w:szCs w:val="24"/>
          <w:vertAlign w:val="subscript"/>
        </w:rPr>
        <w:t>11</w:t>
      </w:r>
      <w:r w:rsidRPr="00AE47C6">
        <w:rPr>
          <w:rFonts w:ascii="Times New Roman" w:eastAsia="SimSun" w:hAnsi="Times New Roman"/>
          <w:sz w:val="24"/>
          <w:szCs w:val="24"/>
        </w:rPr>
        <w:t>-T</w:t>
      </w:r>
      <w:r w:rsidRPr="00AE47C6">
        <w:rPr>
          <w:rFonts w:ascii="Times New Roman" w:eastAsia="SimSun" w:hAnsi="Times New Roman"/>
          <w:sz w:val="24"/>
          <w:szCs w:val="24"/>
          <w:vertAlign w:val="subscript"/>
        </w:rPr>
        <w:t>12</w:t>
      </w:r>
      <w:r w:rsidRPr="00AE47C6">
        <w:rPr>
          <w:rFonts w:ascii="Times New Roman" w:eastAsia="SimSun" w:hAnsi="Times New Roman"/>
          <w:sz w:val="24"/>
          <w:szCs w:val="24"/>
        </w:rPr>
        <w:t xml:space="preserve">. Чести причини са травмата и падането от високо на крака. В леките случаи болката се разпространява по хода на съответния интеркостален нерв (междуребрена невралгия), може да липсва спонтанна болка в областта на прешлените и да симулира болка, идваща от вътрешните органи. За разлика от плевралната болка, те не се засилва при дълбоко вдишване. Характерно е засилването на болката през нощта. При палпация се намира паравертебрална болка и повишен мускулен тонус. При гръбначно-мозъчна компресия могат да се получат парестезии, загуба на повърхностната и дълбока сетивност под нивото на увреда, параплегия и тазово-резервоарни нарушения. </w:t>
      </w:r>
    </w:p>
    <w:p w14:paraId="3EC43123"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sz w:val="24"/>
          <w:szCs w:val="24"/>
        </w:rPr>
        <w:t xml:space="preserve">Синдромът на увреда </w:t>
      </w:r>
      <w:r w:rsidRPr="00AE47C6">
        <w:rPr>
          <w:rFonts w:ascii="Times New Roman" w:eastAsia="SimSun" w:hAnsi="Times New Roman"/>
          <w:b/>
          <w:bCs/>
          <w:sz w:val="24"/>
          <w:szCs w:val="24"/>
        </w:rPr>
        <w:t xml:space="preserve">на шията </w:t>
      </w:r>
      <w:r w:rsidRPr="00AE47C6">
        <w:rPr>
          <w:rFonts w:ascii="Times New Roman" w:eastAsia="SimSun" w:hAnsi="Times New Roman"/>
          <w:b/>
          <w:sz w:val="24"/>
          <w:szCs w:val="24"/>
        </w:rPr>
        <w:t>от камшичен удар</w:t>
      </w:r>
      <w:r w:rsidRPr="00AE47C6">
        <w:rPr>
          <w:rFonts w:ascii="Times New Roman" w:eastAsia="SimSun" w:hAnsi="Times New Roman"/>
          <w:bCs/>
          <w:sz w:val="24"/>
          <w:szCs w:val="24"/>
        </w:rPr>
        <w:t xml:space="preserve"> настъпват при 60% от хората претърпели автомобилна катастрофа. Камшичен удар е движение на шията, което възниква в пътниците на спрял автомобил, ударен от друг. </w:t>
      </w:r>
    </w:p>
    <w:p w14:paraId="079DDE24"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Клинично</w:t>
      </w:r>
      <w:r w:rsidRPr="00AE47C6">
        <w:rPr>
          <w:rFonts w:ascii="Times New Roman" w:eastAsia="SimSun" w:hAnsi="Times New Roman"/>
          <w:bCs/>
          <w:sz w:val="24"/>
          <w:szCs w:val="24"/>
        </w:rPr>
        <w:t xml:space="preserve"> симптомите се проявяват 12 до 24 часа след увредата, след като настъпят мускулни кръвоизливи и оток. Протича с болки в шията, отразена болка в главата или горните крайници. По-рядко има болки в гърба и между скапулите, замаяност и парестезии. При увреждане на лигаментозни и костни структури болката е остра и се засилва от най-малкото движение на главата. Появява се спазъм на цервикалните флексорни мускули (m. sternocleidomastoideus, mm. scaleni, m. colli longus). При 10% от пациентите болката ирадиира към ръката. Тези симптоми не са ясно очертани анатомично и не се дължат на коренчева увреда, а на отразена болка от интервертебралния диск, мускулите, лигаментите и апофизеалните стави. Може да възникне субективно усещане за безчувственост в областта, инервирана от улнарния нерв, вследствие на спазъм на m. scalenius anterior и компресия на брахиалния плексус. Рядко може да се получи разкъсване на лонгитудиналния лигамент и хернииране на интервертебралния диск, с радикулерна болка. Увредата на скапуларните мускули води до болки в гърба, рамото и ръцете. Може да се увреди и темпоромандибуларната става. Повечето пациенти се възстановяват до няколко месеца. </w:t>
      </w:r>
    </w:p>
    <w:p w14:paraId="4E5FB70F"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Увредата на меките тъкани води при част от пациентите (по-възрастни пациенти и жени) до психосоматични реакции, които хронифицират симптомите. При 20% от пациентите болката остава хронична, поради увреждане на апофизеалните стави. </w:t>
      </w:r>
    </w:p>
    <w:p w14:paraId="48FEAC31"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Неврологичното изследване не показва отклонения, освен палпаторна болезненост и ограничени движения в шийната област. При повечето пациенти невроизобразяващите методи не показват патологични промени. </w:t>
      </w:r>
    </w:p>
    <w:p w14:paraId="6D20A34C"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Фрактури на ламините, артикуларните процеси и окципиталните кондили настъпват много рядко в горния цервикален сегмент. Може да се добави неврологична симптоматика от коренчева или гръбначномозъчна компресия или нарушаване на кръвоснабдяването в предната спинална артерия. </w:t>
      </w:r>
    </w:p>
    <w:p w14:paraId="1825901A"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3.1.2.2. Болки в гърба с предимно подостро начало и хронично протичане</w:t>
      </w:r>
    </w:p>
    <w:p w14:paraId="7415E1B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Лумбалната спондилоза,</w:t>
      </w:r>
      <w:r w:rsidRPr="00AE47C6">
        <w:rPr>
          <w:rFonts w:ascii="Times New Roman" w:eastAsia="SimSun" w:hAnsi="Times New Roman"/>
          <w:sz w:val="24"/>
          <w:szCs w:val="24"/>
        </w:rPr>
        <w:t xml:space="preserve"> с дегенерация на интервертебралния диск, без протрузия, засяга по-възрастни пациенти (около 60 годишна възраст). Въпреки че стеснява вертебралния канал не води до отпадни неврологични и симптоми на коренчево засягане, ако не се придружава от дискова болест. Болката в кръста е дифузна, умерена и постоянна, без ремисии, придружена от стегнатост и ограничена подвижност на гръбнака. Не съществува добра корелация между рентгенографските остеофитни промени, стесняване на междудисковото пространство, сублуксация на ставите и неврологичната симптоматика. Най-вероятно болката се предизвиква от хипертрофията на ставните повърхности.</w:t>
      </w:r>
    </w:p>
    <w:p w14:paraId="068183D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Спиналната стеноза</w:t>
      </w:r>
      <w:r w:rsidRPr="00AE47C6">
        <w:rPr>
          <w:rFonts w:ascii="Times New Roman" w:eastAsia="SimSun" w:hAnsi="Times New Roman"/>
          <w:sz w:val="24"/>
          <w:szCs w:val="24"/>
        </w:rPr>
        <w:t xml:space="preserve"> вследствие на спондилоза при болни с по-тесен спинален канал предизвиква и коренчева компресия. Спондилозата най-често е в областта на горната ставна повърхност на L</w:t>
      </w:r>
      <w:r w:rsidRPr="00AE47C6">
        <w:rPr>
          <w:rFonts w:ascii="Times New Roman" w:eastAsia="SimSun" w:hAnsi="Times New Roman"/>
          <w:sz w:val="24"/>
          <w:szCs w:val="24"/>
          <w:vertAlign w:val="subscript"/>
        </w:rPr>
        <w:t>5</w:t>
      </w:r>
      <w:r w:rsidRPr="00AE47C6">
        <w:rPr>
          <w:rFonts w:ascii="Times New Roman" w:eastAsia="SimSun" w:hAnsi="Times New Roman"/>
          <w:sz w:val="24"/>
          <w:szCs w:val="24"/>
        </w:rPr>
        <w:t xml:space="preserve"> и стеснява латералния рецесус в горния край на крачето на прешлена, притискайки L</w:t>
      </w:r>
      <w:r w:rsidRPr="00AE47C6">
        <w:rPr>
          <w:rFonts w:ascii="Times New Roman" w:eastAsia="SimSun" w:hAnsi="Times New Roman"/>
          <w:sz w:val="24"/>
          <w:szCs w:val="24"/>
          <w:vertAlign w:val="subscript"/>
        </w:rPr>
        <w:t>5</w:t>
      </w:r>
      <w:r w:rsidRPr="00AE47C6">
        <w:rPr>
          <w:rFonts w:ascii="Times New Roman" w:eastAsia="SimSun" w:hAnsi="Times New Roman"/>
          <w:sz w:val="24"/>
          <w:szCs w:val="24"/>
        </w:rPr>
        <w:t xml:space="preserve"> и по-рядко S</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 xml:space="preserve"> коренче. Демонстрира се с болка в единия или двата крака при ставане и ходене, облекчаваща се при лежане и навеждане напред и различни сетивни, рефлексни и двигателни коренчеви нарушения. Към болката от радикулерния синдром може да се добави и такава от ставните капсули. При хипертрофия на апофизеалните стави коренчето може да бъде притиснато към пода на интервертебралния канал от горния или долен ставен израстък. Спондилозата може да доведе до компресия на коренчета на cauda equina между задната повърхност на тялото на прешлена и ligamentum flavum постеролатерално. </w:t>
      </w:r>
    </w:p>
    <w:p w14:paraId="31AAF4D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Клиничната картина на спондилозната каудална радикулопатия е тази на claudicatio intermittens и се демонстрира с болки, изтръпване и слабост на краката при ходене, отзвучаващи при почивка. Тя представлява лумбален еквивалент на спондилозната цервикална миелопатия.</w:t>
      </w:r>
    </w:p>
    <w:p w14:paraId="067ED47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Рядко има вродена стеноза на спиналния канал, поради аномалии в прешлените.</w:t>
      </w:r>
    </w:p>
    <w:p w14:paraId="4AAA7BB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Вродените аномалии</w:t>
      </w:r>
      <w:r w:rsidRPr="00AE47C6">
        <w:rPr>
          <w:rFonts w:ascii="Times New Roman" w:eastAsia="SimSun" w:hAnsi="Times New Roman"/>
          <w:sz w:val="24"/>
          <w:szCs w:val="24"/>
        </w:rPr>
        <w:t xml:space="preserve"> са чести в лумбалната област и въпреки че рядко са източник на болка, създават предпоставка за дискогенни или спондилозни усложнения, нарушавайки биомеханиката, подреждането на прешлените и размера на спиналния канал. Една от честите аномалии е незатваряне на ламините на един или няколко прешлена или на сакрума (spina bifida), често придружавано от малформация и асиметрия на интервертебралните стави или дизрафизъм. По-малко значение имат сакрализацията на L</w:t>
      </w:r>
      <w:r w:rsidRPr="00AE47C6">
        <w:rPr>
          <w:rFonts w:ascii="Times New Roman" w:eastAsia="SimSun" w:hAnsi="Times New Roman"/>
          <w:sz w:val="24"/>
          <w:szCs w:val="24"/>
          <w:vertAlign w:val="subscript"/>
        </w:rPr>
        <w:t>5</w:t>
      </w:r>
      <w:r w:rsidRPr="00AE47C6">
        <w:rPr>
          <w:rFonts w:ascii="Times New Roman" w:eastAsia="SimSun" w:hAnsi="Times New Roman"/>
          <w:sz w:val="24"/>
          <w:szCs w:val="24"/>
        </w:rPr>
        <w:t xml:space="preserve"> (фиксиране на прешлена към сакрума) или лумбализацията на S</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 xml:space="preserve"> (прешлена изглежда като шести лумбален). </w:t>
      </w:r>
    </w:p>
    <w:p w14:paraId="095970E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Спондилолизата е генетична аномалия, с костен дефект в междуартикуларната част на прешлена. При по-честата двустранна форма при млади хора, тялото, крачетата и горните ставни повърхности на прешлена се придвижват в предна посока и възниква спондилолистеза. В началото заболяването може да протече безсимптомно, но по-късно възникват болки в кръста (L</w:t>
      </w:r>
      <w:r w:rsidRPr="00AE47C6">
        <w:rPr>
          <w:rFonts w:ascii="Times New Roman" w:eastAsia="SimSun" w:hAnsi="Times New Roman"/>
          <w:sz w:val="24"/>
          <w:szCs w:val="24"/>
          <w:vertAlign w:val="subscript"/>
        </w:rPr>
        <w:t>5</w:t>
      </w:r>
      <w:r w:rsidRPr="00AE47C6">
        <w:rPr>
          <w:rFonts w:ascii="Times New Roman" w:eastAsia="SimSun" w:hAnsi="Times New Roman"/>
          <w:sz w:val="24"/>
          <w:szCs w:val="24"/>
        </w:rPr>
        <w:t>, по-рядко L</w:t>
      </w:r>
      <w:r w:rsidRPr="00AE47C6">
        <w:rPr>
          <w:rFonts w:ascii="Times New Roman" w:eastAsia="SimSun" w:hAnsi="Times New Roman"/>
          <w:sz w:val="24"/>
          <w:szCs w:val="24"/>
          <w:vertAlign w:val="subscript"/>
        </w:rPr>
        <w:t>4</w:t>
      </w:r>
      <w:r w:rsidRPr="00AE47C6">
        <w:rPr>
          <w:rFonts w:ascii="Times New Roman" w:eastAsia="SimSun" w:hAnsi="Times New Roman"/>
          <w:sz w:val="24"/>
          <w:szCs w:val="24"/>
        </w:rPr>
        <w:t xml:space="preserve">). Ако възникне спондилоптоза се получават и коренчеви симптоми: парестезии, сетивни и рефлексни нарушения и мускулна слабост. </w:t>
      </w:r>
    </w:p>
    <w:p w14:paraId="474C273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Спондилолистеза</w:t>
      </w:r>
      <w:r w:rsidRPr="00AE47C6">
        <w:rPr>
          <w:rFonts w:ascii="Times New Roman" w:eastAsia="SimSun" w:hAnsi="Times New Roman"/>
          <w:sz w:val="24"/>
          <w:szCs w:val="24"/>
        </w:rPr>
        <w:t xml:space="preserve"> (обикновено на L</w:t>
      </w:r>
      <w:r w:rsidRPr="00AE47C6">
        <w:rPr>
          <w:rFonts w:ascii="Times New Roman" w:eastAsia="SimSun" w:hAnsi="Times New Roman"/>
          <w:sz w:val="24"/>
          <w:szCs w:val="24"/>
          <w:vertAlign w:val="subscript"/>
        </w:rPr>
        <w:t>4</w:t>
      </w:r>
      <w:r w:rsidRPr="00AE47C6">
        <w:rPr>
          <w:rFonts w:ascii="Times New Roman" w:eastAsia="SimSun" w:hAnsi="Times New Roman"/>
          <w:sz w:val="24"/>
          <w:szCs w:val="24"/>
        </w:rPr>
        <w:t xml:space="preserve">) може да възникне и без спондилолиза, при жени на средна и напреднала възраст, вследствие на дегенеративни промени. Проявява се с болки в кръста, които трудно могат да се отдиференцират от болките с друга етиология. </w:t>
      </w:r>
    </w:p>
    <w:p w14:paraId="4F88C9F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Цервикалната спондилоза</w:t>
      </w:r>
      <w:r w:rsidRPr="00AE47C6">
        <w:rPr>
          <w:rFonts w:ascii="Times New Roman" w:eastAsia="SimSun" w:hAnsi="Times New Roman"/>
          <w:sz w:val="24"/>
          <w:szCs w:val="24"/>
        </w:rPr>
        <w:t xml:space="preserve"> е една от най-честите причини за болки в шията, задната част на главата, раменете и ръцете, едностранно или двустранно. Придружава се от стегнатост и ограничена подвижност на гръбнака, пукане на ставите при движение на главата и главоболие, неразличимо от тензионното. Няма отпадни неврологични симптоми, ако не се придружава от дискова болест. В много случаи протича безсимптомно, но с прогресията на заболяването стесненият интервертебрален канал води до дразнене на нервното коренче и постепенна поява на радикулерна болка, която се провокира от минимална травма, придружена от сетивни и двигателни симптоми. Тя е най-силна при екстензия на главата и обръщане към страната с болката. При стеснен спиналния канал, прогресията на заболяването може да предизвика гръбначно-мозъчна компресия с миелопатия. В други случаи компресията на спиналните артерии може да предизвика исхемична миелопатия. При дисково хернииране възниква остра и силна болка, която е недобре локализирана, влошава се при движение и се придружава от мускулен спазъм. В някои случаи дълго преди появата на радикулерна болка има недобре локализирана болка между скапулите, придружена от мускулен спазъм.</w:t>
      </w:r>
    </w:p>
    <w:p w14:paraId="4DB8B49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Най-често се засягат коренчета С</w:t>
      </w:r>
      <w:r w:rsidRPr="00AE47C6">
        <w:rPr>
          <w:rFonts w:ascii="Times New Roman" w:eastAsia="SimSun" w:hAnsi="Times New Roman"/>
          <w:sz w:val="24"/>
          <w:szCs w:val="24"/>
          <w:vertAlign w:val="subscript"/>
        </w:rPr>
        <w:t>5</w:t>
      </w:r>
      <w:r w:rsidRPr="00AE47C6">
        <w:rPr>
          <w:rFonts w:ascii="Times New Roman" w:eastAsia="SimSun" w:hAnsi="Times New Roman"/>
          <w:sz w:val="24"/>
          <w:szCs w:val="24"/>
        </w:rPr>
        <w:t xml:space="preserve"> и С</w:t>
      </w:r>
      <w:r w:rsidRPr="00AE47C6">
        <w:rPr>
          <w:rFonts w:ascii="Times New Roman" w:eastAsia="SimSun" w:hAnsi="Times New Roman"/>
          <w:sz w:val="24"/>
          <w:szCs w:val="24"/>
          <w:vertAlign w:val="subscript"/>
        </w:rPr>
        <w:t>6</w:t>
      </w:r>
      <w:r w:rsidRPr="00AE47C6">
        <w:rPr>
          <w:rFonts w:ascii="Times New Roman" w:eastAsia="SimSun" w:hAnsi="Times New Roman"/>
          <w:sz w:val="24"/>
          <w:szCs w:val="24"/>
        </w:rPr>
        <w:t xml:space="preserve">, защото тези прешлени имат най-голяма подвижност, поставени са под неблагоприятен ъгъл и са подложени на най-силна дегенерация. </w:t>
      </w:r>
    </w:p>
    <w:p w14:paraId="41F3DC1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Миофасциалните болки </w:t>
      </w:r>
      <w:r w:rsidRPr="00AE47C6">
        <w:rPr>
          <w:rFonts w:ascii="Times New Roman" w:eastAsia="SimSun" w:hAnsi="Times New Roman"/>
          <w:sz w:val="24"/>
          <w:szCs w:val="24"/>
        </w:rPr>
        <w:t>са честа причина (20%) за болки в гърба. Предизвикват се от хронично микротравматизиране на мускулите поради неправилна работна поза, стрес, тревожност и други. Болките са локални и са свързани с повишен тонус на болезнения мускул. Характерни са локалните тригерни зони, които генерират болка и могат да се палпират като уплътнение в мускула.</w:t>
      </w:r>
    </w:p>
    <w:p w14:paraId="435042A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Хроничната идиопатична болка в гърба</w:t>
      </w:r>
      <w:r w:rsidRPr="00AE47C6">
        <w:rPr>
          <w:rFonts w:ascii="Times New Roman" w:eastAsia="SimSun" w:hAnsi="Times New Roman"/>
          <w:sz w:val="24"/>
          <w:szCs w:val="24"/>
        </w:rPr>
        <w:t xml:space="preserve"> се дължи на неправилно лечение на острата идиопатична болка, неправилна работна поза, слаба мускулатура, хронично претоварване на гърба и други фактори, водещи до дегенеративни промени в спиналните мускули и лигаменти. </w:t>
      </w:r>
    </w:p>
    <w:p w14:paraId="79195BF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Болката е умерена и ако не настъпва непосредствено след остър епизод, нейното начало е постепенно и неясно. Тогава тя е умерено силна или преобладава чувството за дискомфорт и умора в кръста, които се засилват от всяка физическа активност. При прегледа се намира умерена палпаторна болезненост и повишен тонус на паравертебралните мускули, без отпадна неврологична симптоматика. Прийомите за засилване на болката са отрицателни и подвижността в кръста е запазена. При повтарящи се движения в гърба свързани с хиперфлексия и екстензия болката и тонусът на паравертебралните мускули се засилват. </w:t>
      </w:r>
    </w:p>
    <w:p w14:paraId="5CE9795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Психосоматичната болка в гърба</w:t>
      </w:r>
      <w:r w:rsidRPr="00AE47C6">
        <w:rPr>
          <w:rFonts w:ascii="Times New Roman" w:eastAsia="SimSun" w:hAnsi="Times New Roman"/>
          <w:sz w:val="24"/>
          <w:szCs w:val="24"/>
        </w:rPr>
        <w:t xml:space="preserve"> се предизвиква от тревожност и депресия, които водят до хроничен спазъм на паравертебралните мускули.  По-често се наблюдава в шийната област, но може да обхване и лумбо-сакралната. Клинично се установяват дифузен спазъм и болка в паравертебралните мускули. За да се приеме подобна причина, трябва да се изключат всички възможни органични. От друга страна болка, предизвикана от органични причини може да хронифицира поради психогенни фактори. Диагностично значение има повлияването на болката от антидепресанти. </w:t>
      </w:r>
    </w:p>
    <w:p w14:paraId="03E075B1" w14:textId="77777777" w:rsidR="00BE0B19" w:rsidRPr="00AE47C6" w:rsidRDefault="00BE0B19" w:rsidP="00BE0B19">
      <w:pPr>
        <w:spacing w:after="0" w:line="360" w:lineRule="auto"/>
        <w:ind w:firstLine="709"/>
        <w:jc w:val="both"/>
        <w:rPr>
          <w:rFonts w:ascii="Times New Roman" w:eastAsia="SimSun" w:hAnsi="Times New Roman"/>
          <w:sz w:val="24"/>
          <w:szCs w:val="24"/>
        </w:rPr>
      </w:pPr>
    </w:p>
    <w:p w14:paraId="550FC989"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Брахиален плексит</w:t>
      </w:r>
    </w:p>
    <w:p w14:paraId="59B37C7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Засягането на нервните коренчета, които формират брахиалния плексус на нивото на интервертебралния канал води до стрелкаща или пареща болка в задната част на врата, ирадиираща към раменете, по външната част на ръката, към лакътя и китката. Протича със сетивни (хипестезия или анестезия), двигателни (мускулна слабост и хипотрофии) и рефлексни симптоми. Понякога радикулерната болка е единственият симптом и леката пареза на m. triceps brachii може да остане незабелязана, поради компенсацията от други мускули. При остра дискова протрузия поради травма или силно движение, болката е по-силна и ирадиира по ръката. Появява се и неврологичен дефицит. </w:t>
      </w:r>
    </w:p>
    <w:p w14:paraId="55BB9A9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Диференциалната диагноза</w:t>
      </w:r>
      <w:r w:rsidRPr="00AE47C6">
        <w:rPr>
          <w:rFonts w:ascii="Times New Roman" w:eastAsia="SimSun" w:hAnsi="Times New Roman"/>
          <w:sz w:val="24"/>
          <w:szCs w:val="24"/>
        </w:rPr>
        <w:t xml:space="preserve"> е с върхов белодробен тумор на Pancoast, миофасциален и синдром на торакалния канал. </w:t>
      </w:r>
      <w:r w:rsidRPr="00AE47C6">
        <w:rPr>
          <w:rFonts w:ascii="Times New Roman" w:eastAsia="SimSun" w:hAnsi="Times New Roman"/>
          <w:i/>
          <w:sz w:val="24"/>
          <w:szCs w:val="24"/>
        </w:rPr>
        <w:t>Извънставните болкови синдроми</w:t>
      </w:r>
      <w:r w:rsidRPr="00AE47C6">
        <w:rPr>
          <w:rFonts w:ascii="Times New Roman" w:eastAsia="SimSun" w:hAnsi="Times New Roman"/>
          <w:sz w:val="24"/>
          <w:szCs w:val="24"/>
        </w:rPr>
        <w:t xml:space="preserve"> включват капсулити, тендинити, увреда на ротаторите, бурсити и периартрити, които имитират ставна болка. </w:t>
      </w:r>
    </w:p>
    <w:p w14:paraId="1926116F" w14:textId="77777777" w:rsidR="00BE0B19" w:rsidRPr="00AE47C6" w:rsidRDefault="00BE0B19" w:rsidP="00BE0B19">
      <w:pPr>
        <w:spacing w:after="0" w:line="360" w:lineRule="auto"/>
        <w:ind w:firstLine="709"/>
        <w:jc w:val="both"/>
        <w:rPr>
          <w:rFonts w:ascii="Times New Roman" w:eastAsia="SimSun" w:hAnsi="Times New Roman"/>
          <w:sz w:val="24"/>
          <w:szCs w:val="24"/>
        </w:rPr>
      </w:pPr>
    </w:p>
    <w:p w14:paraId="647797DA"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Фибромиалгия</w:t>
      </w:r>
    </w:p>
    <w:p w14:paraId="5B097FCD"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Този хроничен болков синдром се характеризира с дифузни болки, чувствителни точки, умора, главоболие, възбудим пикочен мехур, нарушен сън, паметови нарушения и мускулна стегнатост. Повечето пациенти (75%) имат дългогодишен миофасциален синдром преди разгръщането на генерализираните болки при фибромиалгия. И при двата синдрома се установяват тригерни зони, които при палпация провокират отразена болка. Рискът от развитие на фибромиалгия е по-висок при пациенти с други дълготрайни (над 6 години) болкови синдроми, като синдрома на камшичния удар, хронични болки в гърба и възпалителни ревматични заболявания, като системен лупус, ревматоиден и псориатичен артрит. Рискът е по-висок и при обездвижени хора, особено с напредването на възрастта. </w:t>
      </w:r>
    </w:p>
    <w:p w14:paraId="1678D41C"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Болестността</w:t>
      </w:r>
      <w:r w:rsidRPr="00AE47C6">
        <w:rPr>
          <w:rFonts w:ascii="Times New Roman" w:eastAsia="SimSun" w:hAnsi="Times New Roman"/>
          <w:bCs/>
          <w:sz w:val="24"/>
          <w:szCs w:val="24"/>
        </w:rPr>
        <w:t xml:space="preserve"> е около 2% от населението и нараства с възрастта. Боледуват предимно жени (до 90%). При тях болестността достига до 3,4%, а при мъжете е само 0,5%. </w:t>
      </w:r>
    </w:p>
    <w:p w14:paraId="346DFA95"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Патофизиологията</w:t>
      </w:r>
      <w:r w:rsidRPr="00AE47C6">
        <w:rPr>
          <w:rFonts w:ascii="Times New Roman" w:eastAsia="SimSun" w:hAnsi="Times New Roman"/>
          <w:bCs/>
          <w:sz w:val="24"/>
          <w:szCs w:val="24"/>
        </w:rPr>
        <w:t xml:space="preserve"> на синдрома е свързана с емоционалната травма, генетичните фактори и дефицита на серотонин и норадреналин, повишените нива на субстанция Р и нервен растежен фактор, както и нарушен кръвен ток към мускулите. Мускулната исхемия предизвиква периферна сензитизация, с последваща засилена ноцицептивна аферентация към централната нервна система, която води до нарушена обработка на соматосензорната аферентация на централно ниво – централна сензитизация и възникване на невропатна болка. </w:t>
      </w:r>
    </w:p>
    <w:p w14:paraId="7A32F9BF"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Началото</w:t>
      </w:r>
      <w:r w:rsidRPr="00AE47C6">
        <w:rPr>
          <w:rFonts w:ascii="Times New Roman" w:eastAsia="SimSun" w:hAnsi="Times New Roman"/>
          <w:bCs/>
          <w:sz w:val="24"/>
          <w:szCs w:val="24"/>
        </w:rPr>
        <w:t xml:space="preserve"> на заболяването е между 25 и 60 годишна възраст. Отключва се от различни тригерни фактори: психична или физическа травма, посттравматично стресово нарушение, инфекции, ендокринни нарушения и други. Основните клинични симптоми са мускулната чувствителност (механична алодиния) и хронична дифузна и мигрираща болка. Фибромиалгичните чувствителни точки са симетрични и пръснати по цялото тяло. Имат характерна локализация в мускулите, лигаментите и сухожилията. При натиск не предизвикват отразена болка и не са свързани с мускулен спазъм, за разлика от миофасциалните тригерни точки. При 20-40% от пациентите се установяват истински миофасциални тригерни точки. Те се формират остро – след травма при камшичен удар или мускулно претоварване или постепенно след хронично претоварване на крайниците, неправилна поза, нарушения на съня и слаба двигателна активност. Участъците от тялото в които е най-силно изразена болката се променят в рамките на часове и дни. Болката е тъпа, пареща и често се усеща като натиск. Локализирана е основно в мускулите, но някои пациенти съобщават за болки в ставите и повърхностни болки. Най-засегнати са мускулите на шията, раменете и кръста – m. sternocleidomastoideus, m. trapezius, m. masseter, m. temporalis, m. levator scapulae, m. gluteus maximus и minimus и m. quadratus lumborum. Болките в покой се засилват при физическа активност (особено в статична поза), психическо напрежение, безсъние, студ, шум, промяна във времето, инфекции, стрес, силна светлина и места с много хора. Намаляват от топлина, масаж и физически упражнения с разтягане на мускулите. Често има болезненост в темпоромандибуларната става, тензионно главоболие и болки в кръста. </w:t>
      </w:r>
    </w:p>
    <w:p w14:paraId="10A40981"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Повечето пациенти (70%) имат сутрешна скованост, подобна на тази при ревматоиден артрит. Оплакват се от чувство за дифузно подуване на ръцете и краката. Мускулният спазъм и скъсяването на мускулите поради тригерните точки нарушават ставните функции и подвижност. Често се добавят остеохондроза и радикулопатия. </w:t>
      </w:r>
    </w:p>
    <w:p w14:paraId="000D49BF"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Налице са дифузно повишена чувствителност (мултимодална и алодиния за натиск), хипералгезия, дизестезия и парестезии. При по-напреднали случаи се установяват когнитивни нарушения, като разстройства на паметта, затруднена концентрация, интолеранс към стрес и затруднение в извършване на няколко дейности едновременно. При 80% от пациентите са налице умора и слабост.</w:t>
      </w:r>
    </w:p>
    <w:p w14:paraId="18D2DA7D"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Налице са множество „функционални соматични синдроми”. Често се установяват синдромите на възбудимите черва и пикочен мехур. </w:t>
      </w:r>
    </w:p>
    <w:p w14:paraId="6C14A66E"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Диагнозата</w:t>
      </w:r>
      <w:r w:rsidRPr="00AE47C6">
        <w:rPr>
          <w:rFonts w:ascii="Times New Roman" w:eastAsia="SimSun" w:hAnsi="Times New Roman"/>
          <w:bCs/>
          <w:sz w:val="24"/>
          <w:szCs w:val="24"/>
        </w:rPr>
        <w:t xml:space="preserve"> се поставя при дифузни болки и алодиния към натиск в 3 или повече анатомични области и чувствителност в повече от 11 от 18 специфични за фибромиалгия чувствителни точки. Тези симптоми трябва да продължават над 3 месеца и да бъдат отхвърлени други причини за болката. </w:t>
      </w:r>
    </w:p>
    <w:p w14:paraId="6F41BA38"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Диференциалната диагноза</w:t>
      </w:r>
      <w:r w:rsidRPr="00AE47C6">
        <w:rPr>
          <w:rFonts w:ascii="Times New Roman" w:eastAsia="SimSun" w:hAnsi="Times New Roman"/>
          <w:bCs/>
          <w:sz w:val="24"/>
          <w:szCs w:val="24"/>
        </w:rPr>
        <w:t xml:space="preserve"> включва хронични възпалителни и неопластични заболявания, дисфункция на щитовидната жлеза, възпалителни и метаболитни миопатии, които трябва да се изключат с подходящи изследвания. Синдромът на хроничната умора има много общи черти с фибромиалгията и според някои автори става дума за един и същ синдром. При синдромът на хроничната умора обаче няма дифузна болка и алодиния.</w:t>
      </w:r>
    </w:p>
    <w:p w14:paraId="4791F280"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Прогнозата</w:t>
      </w:r>
      <w:r w:rsidRPr="00AE47C6">
        <w:rPr>
          <w:rFonts w:ascii="Times New Roman" w:eastAsia="SimSun" w:hAnsi="Times New Roman"/>
          <w:bCs/>
          <w:sz w:val="24"/>
          <w:szCs w:val="24"/>
        </w:rPr>
        <w:t xml:space="preserve"> е по-добра в млада възраст. При 24% от пациентите има ремисии, а при останалите протичането е хронично. </w:t>
      </w:r>
    </w:p>
    <w:p w14:paraId="4510F197"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sz w:val="24"/>
          <w:szCs w:val="24"/>
        </w:rPr>
        <w:t>Диагностични методи при болки в гърба</w:t>
      </w:r>
    </w:p>
    <w:p w14:paraId="3611069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 1. Анамнезата</w:t>
      </w:r>
      <w:r w:rsidRPr="00AE47C6">
        <w:rPr>
          <w:rFonts w:ascii="Times New Roman" w:eastAsia="SimSun" w:hAnsi="Times New Roman"/>
          <w:sz w:val="24"/>
          <w:szCs w:val="24"/>
        </w:rPr>
        <w:t xml:space="preserve"> дава информация за вида и продължителността на трудовата дейност, травма, други заболявания, загуба на тегло, уринарни проблеми, минали пристъпи на болки и прилаганото лечение, прекараните операции, начало, причините за поява, характера и разпространението на болката и по-нататъшното развитие, описание на другите симптоми (скованост, парестезии). Необходимо е да се установи наличието на „жълти знамена”, които повишават риска от хронична болка (таблица 3. 4).</w:t>
      </w:r>
    </w:p>
    <w:p w14:paraId="4635EB4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Важно е да се определят </w:t>
      </w:r>
      <w:r w:rsidRPr="00AE47C6">
        <w:rPr>
          <w:rFonts w:ascii="Times New Roman" w:eastAsia="SimSun" w:hAnsi="Times New Roman"/>
          <w:i/>
          <w:sz w:val="24"/>
          <w:szCs w:val="24"/>
        </w:rPr>
        <w:t xml:space="preserve">характера </w:t>
      </w:r>
      <w:r w:rsidRPr="00AE47C6">
        <w:rPr>
          <w:rFonts w:ascii="Times New Roman" w:eastAsia="SimSun" w:hAnsi="Times New Roman"/>
          <w:sz w:val="24"/>
          <w:szCs w:val="24"/>
        </w:rPr>
        <w:t xml:space="preserve">(таблица 3.1), </w:t>
      </w:r>
      <w:r w:rsidRPr="00AE47C6">
        <w:rPr>
          <w:rFonts w:ascii="Times New Roman" w:eastAsia="SimSun" w:hAnsi="Times New Roman"/>
          <w:i/>
          <w:sz w:val="24"/>
          <w:szCs w:val="24"/>
        </w:rPr>
        <w:t xml:space="preserve">продължителността, честотата </w:t>
      </w:r>
      <w:r w:rsidRPr="00AE47C6">
        <w:rPr>
          <w:rFonts w:ascii="Times New Roman" w:eastAsia="SimSun" w:hAnsi="Times New Roman"/>
          <w:sz w:val="24"/>
          <w:szCs w:val="24"/>
        </w:rPr>
        <w:t>и</w:t>
      </w:r>
      <w:r w:rsidRPr="00AE47C6">
        <w:rPr>
          <w:rFonts w:ascii="Times New Roman" w:eastAsia="SimSun" w:hAnsi="Times New Roman"/>
          <w:i/>
          <w:sz w:val="24"/>
          <w:szCs w:val="24"/>
        </w:rPr>
        <w:t xml:space="preserve">  факторите</w:t>
      </w:r>
      <w:r w:rsidRPr="00AE47C6">
        <w:rPr>
          <w:rFonts w:ascii="Times New Roman" w:eastAsia="SimSun" w:hAnsi="Times New Roman"/>
          <w:sz w:val="24"/>
          <w:szCs w:val="24"/>
        </w:rPr>
        <w:t xml:space="preserve"> засилващи и облекчаващи болката (таблица 3.2). Прогресивно нарастваща болка говори за спинален тумор, хронична болка с екзацербации и ремисии – за спондилартропатия, ирадиираща към долния крайник болка – за коренчево дразнене. </w:t>
      </w:r>
    </w:p>
    <w:p w14:paraId="1D8FCD46"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Таблица 3.1. Характер на болката в гърба</w:t>
      </w:r>
    </w:p>
    <w:tbl>
      <w:tblPr>
        <w:tblW w:w="0" w:type="auto"/>
        <w:tblInd w:w="137" w:type="dxa"/>
        <w:tblLayout w:type="fixed"/>
        <w:tblCellMar>
          <w:left w:w="70" w:type="dxa"/>
          <w:right w:w="70" w:type="dxa"/>
        </w:tblCellMar>
        <w:tblLook w:val="0000" w:firstRow="0" w:lastRow="0" w:firstColumn="0" w:lastColumn="0" w:noHBand="0" w:noVBand="0"/>
      </w:tblPr>
      <w:tblGrid>
        <w:gridCol w:w="3694"/>
        <w:gridCol w:w="4690"/>
      </w:tblGrid>
      <w:tr w:rsidR="00BE0B19" w:rsidRPr="00AE47C6" w14:paraId="1BC4E133" w14:textId="77777777" w:rsidTr="00AD72E5">
        <w:trPr>
          <w:trHeight w:val="222"/>
        </w:trPr>
        <w:tc>
          <w:tcPr>
            <w:tcW w:w="3694" w:type="dxa"/>
            <w:tcBorders>
              <w:top w:val="single" w:sz="4" w:space="0" w:color="000000"/>
              <w:left w:val="single" w:sz="4" w:space="0" w:color="000000"/>
              <w:bottom w:val="single" w:sz="4" w:space="0" w:color="000000"/>
            </w:tcBorders>
          </w:tcPr>
          <w:p w14:paraId="30C2BF09" w14:textId="77777777" w:rsidR="00BE0B19" w:rsidRPr="00AE47C6" w:rsidRDefault="00BE0B19" w:rsidP="00BE0B19">
            <w:pPr>
              <w:snapToGrid w:val="0"/>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Вид на болката</w:t>
            </w:r>
          </w:p>
        </w:tc>
        <w:tc>
          <w:tcPr>
            <w:tcW w:w="4690" w:type="dxa"/>
            <w:tcBorders>
              <w:top w:val="single" w:sz="4" w:space="0" w:color="000000"/>
              <w:left w:val="single" w:sz="4" w:space="0" w:color="000000"/>
              <w:bottom w:val="single" w:sz="4" w:space="0" w:color="000000"/>
              <w:right w:val="single" w:sz="4" w:space="0" w:color="000000"/>
            </w:tcBorders>
          </w:tcPr>
          <w:p w14:paraId="3A27967C" w14:textId="77777777" w:rsidR="00BE0B19" w:rsidRPr="00AE47C6" w:rsidRDefault="00BE0B19" w:rsidP="00BE0B19">
            <w:pPr>
              <w:snapToGrid w:val="0"/>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Заболяване</w:t>
            </w:r>
          </w:p>
        </w:tc>
      </w:tr>
      <w:tr w:rsidR="00BE0B19" w:rsidRPr="00AE47C6" w14:paraId="7678307C" w14:textId="77777777" w:rsidTr="00AD72E5">
        <w:trPr>
          <w:trHeight w:val="390"/>
        </w:trPr>
        <w:tc>
          <w:tcPr>
            <w:tcW w:w="3694" w:type="dxa"/>
            <w:tcBorders>
              <w:top w:val="single" w:sz="4" w:space="0" w:color="000000"/>
              <w:left w:val="single" w:sz="4" w:space="0" w:color="000000"/>
              <w:bottom w:val="single" w:sz="4" w:space="0" w:color="000000"/>
            </w:tcBorders>
          </w:tcPr>
          <w:p w14:paraId="6B00264F" w14:textId="77777777" w:rsidR="00BE0B19" w:rsidRPr="00AE47C6" w:rsidRDefault="00BE0B19" w:rsidP="00BE0B19">
            <w:pPr>
              <w:snapToGrid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пулсираща </w:t>
            </w:r>
          </w:p>
          <w:p w14:paraId="7FCA9B2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дълбока, въртяща</w:t>
            </w:r>
          </w:p>
          <w:p w14:paraId="1AAF547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постоянна, повърхностна</w:t>
            </w:r>
          </w:p>
          <w:p w14:paraId="5348AB6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остра, пробождаща</w:t>
            </w:r>
          </w:p>
        </w:tc>
        <w:tc>
          <w:tcPr>
            <w:tcW w:w="4690" w:type="dxa"/>
            <w:tcBorders>
              <w:top w:val="single" w:sz="4" w:space="0" w:color="000000"/>
              <w:left w:val="single" w:sz="4" w:space="0" w:color="000000"/>
              <w:bottom w:val="single" w:sz="4" w:space="0" w:color="000000"/>
              <w:right w:val="single" w:sz="4" w:space="0" w:color="000000"/>
            </w:tcBorders>
          </w:tcPr>
          <w:p w14:paraId="25E47B84" w14:textId="77777777" w:rsidR="00BE0B19" w:rsidRPr="00AE47C6" w:rsidRDefault="00BE0B19" w:rsidP="00BE0B19">
            <w:pPr>
              <w:snapToGrid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възпаление </w:t>
            </w:r>
          </w:p>
          <w:p w14:paraId="49633C6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тумор, болест на Paget </w:t>
            </w:r>
          </w:p>
          <w:p w14:paraId="7F11709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мускулно разтягане </w:t>
            </w:r>
          </w:p>
          <w:p w14:paraId="5B19590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компресия на нервно коренче</w:t>
            </w:r>
          </w:p>
        </w:tc>
      </w:tr>
    </w:tbl>
    <w:p w14:paraId="7BE8FCEE" w14:textId="77777777" w:rsidR="00BE0B19" w:rsidRPr="00AE47C6" w:rsidRDefault="00BE0B19" w:rsidP="00BE0B19">
      <w:pPr>
        <w:spacing w:after="0" w:line="360" w:lineRule="auto"/>
        <w:ind w:firstLine="720"/>
        <w:jc w:val="both"/>
        <w:rPr>
          <w:rFonts w:ascii="Times New Roman" w:eastAsia="SimSun" w:hAnsi="Times New Roman"/>
          <w:b/>
          <w:sz w:val="24"/>
          <w:szCs w:val="24"/>
        </w:rPr>
      </w:pPr>
    </w:p>
    <w:p w14:paraId="343C2847"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Таблица 3.2. Фактори усилващи и облекчаващи болките в гърба</w:t>
      </w:r>
    </w:p>
    <w:tbl>
      <w:tblPr>
        <w:tblW w:w="8306" w:type="dxa"/>
        <w:tblInd w:w="194" w:type="dxa"/>
        <w:tblLayout w:type="fixed"/>
        <w:tblLook w:val="0000" w:firstRow="0" w:lastRow="0" w:firstColumn="0" w:lastColumn="0" w:noHBand="0" w:noVBand="0"/>
      </w:tblPr>
      <w:tblGrid>
        <w:gridCol w:w="3629"/>
        <w:gridCol w:w="2268"/>
        <w:gridCol w:w="2409"/>
      </w:tblGrid>
      <w:tr w:rsidR="00BE0B19" w:rsidRPr="00AE47C6" w14:paraId="246635D9" w14:textId="77777777" w:rsidTr="00AD72E5">
        <w:trPr>
          <w:trHeight w:val="450"/>
        </w:trPr>
        <w:tc>
          <w:tcPr>
            <w:tcW w:w="3629" w:type="dxa"/>
            <w:tcBorders>
              <w:top w:val="single" w:sz="4" w:space="0" w:color="000000"/>
              <w:left w:val="single" w:sz="4" w:space="0" w:color="000000"/>
              <w:bottom w:val="single" w:sz="4" w:space="0" w:color="000000"/>
            </w:tcBorders>
            <w:vAlign w:val="center"/>
          </w:tcPr>
          <w:p w14:paraId="02E20257" w14:textId="77777777" w:rsidR="00BE0B19" w:rsidRPr="00AE47C6" w:rsidRDefault="00BE0B19" w:rsidP="00BE0B19">
            <w:pPr>
              <w:keepNext/>
              <w:keepLines/>
              <w:widowControl w:val="0"/>
              <w:snapToGri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Усилващи</w:t>
            </w:r>
          </w:p>
        </w:tc>
        <w:tc>
          <w:tcPr>
            <w:tcW w:w="2268" w:type="dxa"/>
            <w:tcBorders>
              <w:top w:val="single" w:sz="4" w:space="0" w:color="000000"/>
              <w:left w:val="single" w:sz="4" w:space="0" w:color="000000"/>
              <w:bottom w:val="single" w:sz="4" w:space="0" w:color="000000"/>
            </w:tcBorders>
            <w:vAlign w:val="center"/>
          </w:tcPr>
          <w:p w14:paraId="33806F37" w14:textId="77777777" w:rsidR="00BE0B19" w:rsidRPr="00AE47C6" w:rsidRDefault="00BE0B19" w:rsidP="00BE0B19">
            <w:pPr>
              <w:keepNext/>
              <w:keepLines/>
              <w:widowControl w:val="0"/>
              <w:snapToGri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Облекчаващи</w:t>
            </w:r>
          </w:p>
        </w:tc>
        <w:tc>
          <w:tcPr>
            <w:tcW w:w="2409" w:type="dxa"/>
            <w:tcBorders>
              <w:top w:val="single" w:sz="4" w:space="0" w:color="000000"/>
              <w:left w:val="single" w:sz="4" w:space="0" w:color="000000"/>
              <w:bottom w:val="single" w:sz="4" w:space="0" w:color="000000"/>
              <w:right w:val="single" w:sz="4" w:space="0" w:color="000000"/>
            </w:tcBorders>
            <w:vAlign w:val="center"/>
          </w:tcPr>
          <w:p w14:paraId="61375FE1" w14:textId="77777777" w:rsidR="00BE0B19" w:rsidRPr="00AE47C6" w:rsidRDefault="00BE0B19" w:rsidP="00BE0B19">
            <w:pPr>
              <w:keepNext/>
              <w:keepLines/>
              <w:widowControl w:val="0"/>
              <w:snapToGri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Заболяване</w:t>
            </w:r>
          </w:p>
        </w:tc>
      </w:tr>
      <w:tr w:rsidR="00BE0B19" w:rsidRPr="00AE47C6" w14:paraId="25683DC0" w14:textId="77777777" w:rsidTr="00AD72E5">
        <w:trPr>
          <w:trHeight w:val="306"/>
        </w:trPr>
        <w:tc>
          <w:tcPr>
            <w:tcW w:w="3629" w:type="dxa"/>
            <w:tcBorders>
              <w:top w:val="single" w:sz="4" w:space="0" w:color="000000"/>
              <w:left w:val="single" w:sz="4" w:space="0" w:color="000000"/>
              <w:bottom w:val="single" w:sz="4" w:space="0" w:color="000000"/>
            </w:tcBorders>
          </w:tcPr>
          <w:p w14:paraId="002C8A05"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Кашлица, кихане, напъване</w:t>
            </w:r>
          </w:p>
        </w:tc>
        <w:tc>
          <w:tcPr>
            <w:tcW w:w="2268" w:type="dxa"/>
            <w:tcBorders>
              <w:top w:val="single" w:sz="4" w:space="0" w:color="000000"/>
              <w:left w:val="single" w:sz="4" w:space="0" w:color="000000"/>
              <w:bottom w:val="single" w:sz="4" w:space="0" w:color="000000"/>
            </w:tcBorders>
          </w:tcPr>
          <w:p w14:paraId="47B7A088"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Лежане на твърдо</w:t>
            </w:r>
          </w:p>
        </w:tc>
        <w:tc>
          <w:tcPr>
            <w:tcW w:w="2409" w:type="dxa"/>
            <w:tcBorders>
              <w:top w:val="single" w:sz="4" w:space="0" w:color="000000"/>
              <w:left w:val="single" w:sz="4" w:space="0" w:color="000000"/>
              <w:bottom w:val="single" w:sz="4" w:space="0" w:color="000000"/>
              <w:right w:val="single" w:sz="4" w:space="0" w:color="000000"/>
            </w:tcBorders>
          </w:tcPr>
          <w:p w14:paraId="6A965C85"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Дисков пролапс</w:t>
            </w:r>
          </w:p>
        </w:tc>
      </w:tr>
      <w:tr w:rsidR="00BE0B19" w:rsidRPr="00AE47C6" w14:paraId="40CEAA96" w14:textId="77777777" w:rsidTr="00AD72E5">
        <w:trPr>
          <w:trHeight w:val="353"/>
        </w:trPr>
        <w:tc>
          <w:tcPr>
            <w:tcW w:w="3629" w:type="dxa"/>
            <w:tcBorders>
              <w:top w:val="single" w:sz="4" w:space="0" w:color="000000"/>
              <w:left w:val="single" w:sz="4" w:space="0" w:color="000000"/>
              <w:bottom w:val="single" w:sz="4" w:space="0" w:color="000000"/>
            </w:tcBorders>
          </w:tcPr>
          <w:p w14:paraId="2B15A3A7"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Седене напред</w:t>
            </w:r>
          </w:p>
        </w:tc>
        <w:tc>
          <w:tcPr>
            <w:tcW w:w="2268" w:type="dxa"/>
            <w:tcBorders>
              <w:top w:val="single" w:sz="4" w:space="0" w:color="000000"/>
              <w:left w:val="single" w:sz="4" w:space="0" w:color="000000"/>
              <w:bottom w:val="single" w:sz="4" w:space="0" w:color="000000"/>
            </w:tcBorders>
          </w:tcPr>
          <w:p w14:paraId="7833FA48"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Изправяне</w:t>
            </w:r>
          </w:p>
        </w:tc>
        <w:tc>
          <w:tcPr>
            <w:tcW w:w="2409" w:type="dxa"/>
            <w:tcBorders>
              <w:top w:val="single" w:sz="4" w:space="0" w:color="000000"/>
              <w:left w:val="single" w:sz="4" w:space="0" w:color="000000"/>
              <w:bottom w:val="single" w:sz="4" w:space="0" w:color="000000"/>
              <w:right w:val="single" w:sz="4" w:space="0" w:color="000000"/>
            </w:tcBorders>
          </w:tcPr>
          <w:p w14:paraId="7D159A55"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Спинален тумор</w:t>
            </w:r>
          </w:p>
        </w:tc>
      </w:tr>
      <w:tr w:rsidR="00BE0B19" w:rsidRPr="00AE47C6" w14:paraId="0C3C87E9" w14:textId="77777777" w:rsidTr="00AD72E5">
        <w:trPr>
          <w:trHeight w:val="320"/>
        </w:trPr>
        <w:tc>
          <w:tcPr>
            <w:tcW w:w="3629" w:type="dxa"/>
            <w:tcBorders>
              <w:top w:val="single" w:sz="4" w:space="0" w:color="000000"/>
              <w:left w:val="single" w:sz="4" w:space="0" w:color="000000"/>
              <w:bottom w:val="single" w:sz="4" w:space="0" w:color="000000"/>
            </w:tcBorders>
          </w:tcPr>
          <w:p w14:paraId="53731222"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Изправяне, ходене</w:t>
            </w:r>
          </w:p>
        </w:tc>
        <w:tc>
          <w:tcPr>
            <w:tcW w:w="2268" w:type="dxa"/>
            <w:tcBorders>
              <w:top w:val="single" w:sz="4" w:space="0" w:color="000000"/>
              <w:left w:val="single" w:sz="4" w:space="0" w:color="000000"/>
              <w:bottom w:val="single" w:sz="4" w:space="0" w:color="000000"/>
            </w:tcBorders>
          </w:tcPr>
          <w:p w14:paraId="008B93CC"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Седене</w:t>
            </w:r>
          </w:p>
        </w:tc>
        <w:tc>
          <w:tcPr>
            <w:tcW w:w="2409" w:type="dxa"/>
            <w:tcBorders>
              <w:top w:val="single" w:sz="4" w:space="0" w:color="000000"/>
              <w:left w:val="single" w:sz="4" w:space="0" w:color="000000"/>
              <w:bottom w:val="single" w:sz="4" w:space="0" w:color="000000"/>
              <w:right w:val="single" w:sz="4" w:space="0" w:color="000000"/>
            </w:tcBorders>
          </w:tcPr>
          <w:p w14:paraId="05B1ACBD"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Спондилолистеза</w:t>
            </w:r>
          </w:p>
        </w:tc>
      </w:tr>
      <w:tr w:rsidR="00BE0B19" w:rsidRPr="00AE47C6" w14:paraId="521A78F1" w14:textId="77777777" w:rsidTr="00AD72E5">
        <w:trPr>
          <w:trHeight w:val="753"/>
        </w:trPr>
        <w:tc>
          <w:tcPr>
            <w:tcW w:w="3629" w:type="dxa"/>
            <w:tcBorders>
              <w:top w:val="single" w:sz="4" w:space="0" w:color="000000"/>
              <w:left w:val="single" w:sz="4" w:space="0" w:color="000000"/>
              <w:bottom w:val="single" w:sz="4" w:space="0" w:color="000000"/>
            </w:tcBorders>
          </w:tcPr>
          <w:p w14:paraId="0936ABEE"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Продължително ходене, кашляне и лежане по очи</w:t>
            </w:r>
          </w:p>
        </w:tc>
        <w:tc>
          <w:tcPr>
            <w:tcW w:w="2268" w:type="dxa"/>
            <w:tcBorders>
              <w:top w:val="single" w:sz="4" w:space="0" w:color="000000"/>
              <w:left w:val="single" w:sz="4" w:space="0" w:color="000000"/>
              <w:bottom w:val="single" w:sz="4" w:space="0" w:color="000000"/>
            </w:tcBorders>
          </w:tcPr>
          <w:p w14:paraId="116E791A"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Почивка</w:t>
            </w:r>
          </w:p>
          <w:p w14:paraId="5628837C" w14:textId="77777777" w:rsidR="00BE0B19" w:rsidRPr="00AE47C6" w:rsidRDefault="00BE0B19" w:rsidP="00BE0B19">
            <w:pPr>
              <w:spacing w:after="0" w:line="360" w:lineRule="auto"/>
              <w:jc w:val="both"/>
              <w:rPr>
                <w:rFonts w:ascii="Times New Roman" w:eastAsia="SimSun" w:hAnsi="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6B49226A"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Спинална стеноза </w:t>
            </w:r>
          </w:p>
          <w:p w14:paraId="6FBA1DE9" w14:textId="77777777" w:rsidR="00BE0B19" w:rsidRPr="00AE47C6" w:rsidRDefault="00BE0B19" w:rsidP="00BE0B19">
            <w:pPr>
              <w:spacing w:after="0" w:line="360" w:lineRule="auto"/>
              <w:jc w:val="both"/>
              <w:rPr>
                <w:rFonts w:ascii="Times New Roman" w:eastAsia="SimSun" w:hAnsi="Times New Roman"/>
                <w:sz w:val="24"/>
                <w:szCs w:val="24"/>
              </w:rPr>
            </w:pPr>
          </w:p>
        </w:tc>
      </w:tr>
      <w:tr w:rsidR="00BE0B19" w:rsidRPr="00AE47C6" w14:paraId="589A5422" w14:textId="77777777" w:rsidTr="00AD72E5">
        <w:trPr>
          <w:trHeight w:val="833"/>
        </w:trPr>
        <w:tc>
          <w:tcPr>
            <w:tcW w:w="3629" w:type="dxa"/>
            <w:tcBorders>
              <w:top w:val="single" w:sz="4" w:space="0" w:color="000000"/>
              <w:left w:val="single" w:sz="4" w:space="0" w:color="000000"/>
              <w:bottom w:val="single" w:sz="4" w:space="0" w:color="000000"/>
            </w:tcBorders>
          </w:tcPr>
          <w:p w14:paraId="5C9E94C9"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Обръщане в леглото</w:t>
            </w:r>
          </w:p>
          <w:p w14:paraId="4ABEB7B0" w14:textId="77777777" w:rsidR="00BE0B19" w:rsidRPr="00AE47C6" w:rsidRDefault="00BE0B19" w:rsidP="00BE0B19">
            <w:pPr>
              <w:spacing w:after="0" w:line="360" w:lineRule="auto"/>
              <w:jc w:val="both"/>
              <w:rPr>
                <w:rFonts w:ascii="Times New Roman" w:eastAsia="SimSun" w:hAnsi="Times New Roman"/>
                <w:sz w:val="24"/>
                <w:szCs w:val="24"/>
              </w:rPr>
            </w:pPr>
          </w:p>
        </w:tc>
        <w:tc>
          <w:tcPr>
            <w:tcW w:w="2268" w:type="dxa"/>
            <w:tcBorders>
              <w:top w:val="single" w:sz="4" w:space="0" w:color="000000"/>
              <w:left w:val="single" w:sz="4" w:space="0" w:color="000000"/>
              <w:bottom w:val="single" w:sz="4" w:space="0" w:color="000000"/>
            </w:tcBorders>
          </w:tcPr>
          <w:p w14:paraId="1199BE85"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Липсват</w:t>
            </w:r>
          </w:p>
          <w:p w14:paraId="522EB727" w14:textId="77777777" w:rsidR="00BE0B19" w:rsidRPr="00AE47C6" w:rsidRDefault="00BE0B19" w:rsidP="00BE0B19">
            <w:pPr>
              <w:spacing w:after="0" w:line="360" w:lineRule="auto"/>
              <w:jc w:val="both"/>
              <w:rPr>
                <w:rFonts w:ascii="Times New Roman" w:eastAsia="SimSun" w:hAnsi="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65352DE7"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Анкилозиращ спондилит</w:t>
            </w:r>
          </w:p>
          <w:p w14:paraId="442EF5D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Дисков пролапс</w:t>
            </w:r>
          </w:p>
        </w:tc>
      </w:tr>
      <w:tr w:rsidR="00BE0B19" w:rsidRPr="00AE47C6" w14:paraId="01990F4C" w14:textId="77777777" w:rsidTr="00AD72E5">
        <w:trPr>
          <w:trHeight w:val="380"/>
        </w:trPr>
        <w:tc>
          <w:tcPr>
            <w:tcW w:w="3629" w:type="dxa"/>
            <w:tcBorders>
              <w:top w:val="single" w:sz="4" w:space="0" w:color="000000"/>
              <w:left w:val="single" w:sz="4" w:space="0" w:color="000000"/>
              <w:bottom w:val="single" w:sz="4" w:space="0" w:color="000000"/>
            </w:tcBorders>
          </w:tcPr>
          <w:p w14:paraId="339A6F13"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Движение във всички посоки</w:t>
            </w:r>
          </w:p>
        </w:tc>
        <w:tc>
          <w:tcPr>
            <w:tcW w:w="2268" w:type="dxa"/>
            <w:tcBorders>
              <w:top w:val="single" w:sz="4" w:space="0" w:color="000000"/>
              <w:left w:val="single" w:sz="4" w:space="0" w:color="000000"/>
              <w:bottom w:val="single" w:sz="4" w:space="0" w:color="000000"/>
            </w:tcBorders>
          </w:tcPr>
          <w:p w14:paraId="46A3F3C2"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Покой</w:t>
            </w:r>
          </w:p>
        </w:tc>
        <w:tc>
          <w:tcPr>
            <w:tcW w:w="2409" w:type="dxa"/>
            <w:tcBorders>
              <w:top w:val="single" w:sz="4" w:space="0" w:color="000000"/>
              <w:left w:val="single" w:sz="4" w:space="0" w:color="000000"/>
              <w:bottom w:val="single" w:sz="4" w:space="0" w:color="000000"/>
              <w:right w:val="single" w:sz="4" w:space="0" w:color="000000"/>
            </w:tcBorders>
          </w:tcPr>
          <w:p w14:paraId="1ACB3ABC"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Тумор, фрактура</w:t>
            </w:r>
          </w:p>
        </w:tc>
      </w:tr>
      <w:tr w:rsidR="00BE0B19" w:rsidRPr="00AE47C6" w14:paraId="587B9F04" w14:textId="77777777" w:rsidTr="00AD72E5">
        <w:trPr>
          <w:trHeight w:val="479"/>
        </w:trPr>
        <w:tc>
          <w:tcPr>
            <w:tcW w:w="3629" w:type="dxa"/>
            <w:tcBorders>
              <w:top w:val="single" w:sz="4" w:space="0" w:color="000000"/>
              <w:left w:val="single" w:sz="4" w:space="0" w:color="000000"/>
              <w:bottom w:val="single" w:sz="4" w:space="0" w:color="000000"/>
            </w:tcBorders>
          </w:tcPr>
          <w:p w14:paraId="67EC97A5"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Покой</w:t>
            </w:r>
          </w:p>
        </w:tc>
        <w:tc>
          <w:tcPr>
            <w:tcW w:w="2268" w:type="dxa"/>
            <w:tcBorders>
              <w:top w:val="single" w:sz="4" w:space="0" w:color="000000"/>
              <w:left w:val="single" w:sz="4" w:space="0" w:color="000000"/>
              <w:bottom w:val="single" w:sz="4" w:space="0" w:color="000000"/>
            </w:tcBorders>
          </w:tcPr>
          <w:p w14:paraId="7A828841"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Движение</w:t>
            </w:r>
          </w:p>
        </w:tc>
        <w:tc>
          <w:tcPr>
            <w:tcW w:w="2409" w:type="dxa"/>
            <w:tcBorders>
              <w:top w:val="single" w:sz="4" w:space="0" w:color="000000"/>
              <w:left w:val="single" w:sz="4" w:space="0" w:color="000000"/>
              <w:bottom w:val="single" w:sz="4" w:space="0" w:color="000000"/>
              <w:right w:val="single" w:sz="4" w:space="0" w:color="000000"/>
            </w:tcBorders>
          </w:tcPr>
          <w:p w14:paraId="7CB21FD1"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Възпалителните артропатии</w:t>
            </w:r>
          </w:p>
        </w:tc>
      </w:tr>
    </w:tbl>
    <w:p w14:paraId="199053A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ab/>
      </w:r>
    </w:p>
    <w:p w14:paraId="50E67A39"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34EBB1E7"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Таблица 3.3. Неврологичен преглед при болки в гърба</w:t>
      </w:r>
    </w:p>
    <w:tbl>
      <w:tblPr>
        <w:tblW w:w="9111" w:type="dxa"/>
        <w:tblInd w:w="-44" w:type="dxa"/>
        <w:tblLayout w:type="fixed"/>
        <w:tblLook w:val="0000" w:firstRow="0" w:lastRow="0" w:firstColumn="0" w:lastColumn="0" w:noHBand="0" w:noVBand="0"/>
      </w:tblPr>
      <w:tblGrid>
        <w:gridCol w:w="4717"/>
        <w:gridCol w:w="4394"/>
      </w:tblGrid>
      <w:tr w:rsidR="00BE0B19" w:rsidRPr="00AE47C6" w14:paraId="3E4DBFC3" w14:textId="77777777" w:rsidTr="00AD72E5">
        <w:trPr>
          <w:trHeight w:val="510"/>
        </w:trPr>
        <w:tc>
          <w:tcPr>
            <w:tcW w:w="4717" w:type="dxa"/>
            <w:tcBorders>
              <w:top w:val="single" w:sz="4" w:space="0" w:color="000000"/>
              <w:left w:val="single" w:sz="4" w:space="0" w:color="000000"/>
              <w:bottom w:val="single" w:sz="4" w:space="0" w:color="000000"/>
            </w:tcBorders>
          </w:tcPr>
          <w:p w14:paraId="5114B28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Преглед</w:t>
            </w:r>
          </w:p>
        </w:tc>
        <w:tc>
          <w:tcPr>
            <w:tcW w:w="4394" w:type="dxa"/>
            <w:tcBorders>
              <w:top w:val="single" w:sz="4" w:space="0" w:color="000000"/>
              <w:left w:val="single" w:sz="4" w:space="0" w:color="000000"/>
              <w:bottom w:val="single" w:sz="4" w:space="0" w:color="000000"/>
              <w:right w:val="single" w:sz="4" w:space="0" w:color="000000"/>
            </w:tcBorders>
          </w:tcPr>
          <w:p w14:paraId="2212979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Находка</w:t>
            </w:r>
          </w:p>
        </w:tc>
      </w:tr>
      <w:tr w:rsidR="00BE0B19" w:rsidRPr="00AE47C6" w14:paraId="5094CD88" w14:textId="77777777" w:rsidTr="00AD72E5">
        <w:trPr>
          <w:trHeight w:val="416"/>
        </w:trPr>
        <w:tc>
          <w:tcPr>
            <w:tcW w:w="4717" w:type="dxa"/>
            <w:tcBorders>
              <w:top w:val="single" w:sz="4" w:space="0" w:color="000000"/>
              <w:left w:val="single" w:sz="4" w:space="0" w:color="000000"/>
              <w:bottom w:val="single" w:sz="4" w:space="0" w:color="000000"/>
            </w:tcBorders>
          </w:tcPr>
          <w:p w14:paraId="47C2821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Оглед на гърба</w:t>
            </w:r>
          </w:p>
          <w:p w14:paraId="0C06906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Походка и обръщане</w:t>
            </w:r>
          </w:p>
          <w:p w14:paraId="72DF125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Възможност за събличане</w:t>
            </w:r>
          </w:p>
          <w:p w14:paraId="72CF79A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Обем на движение на гръбнака</w:t>
            </w:r>
          </w:p>
          <w:p w14:paraId="1C7B0B2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p>
          <w:p w14:paraId="3767D16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Дължина на крака</w:t>
            </w:r>
          </w:p>
          <w:p w14:paraId="24D8338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Палпация на пулс</w:t>
            </w:r>
          </w:p>
          <w:p w14:paraId="153DB23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Палпация в областта на болката </w:t>
            </w:r>
          </w:p>
          <w:p w14:paraId="7AEA983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Растежни симптоми</w:t>
            </w:r>
          </w:p>
          <w:p w14:paraId="14DF0EB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Прийоми засилващи болката от тазобедрената и сакроилиачната става</w:t>
            </w:r>
          </w:p>
          <w:p w14:paraId="4C45338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Изследване на рефлекси и мускулна сила</w:t>
            </w:r>
          </w:p>
          <w:p w14:paraId="15D6140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Повърхностна сетивност</w:t>
            </w:r>
          </w:p>
        </w:tc>
        <w:tc>
          <w:tcPr>
            <w:tcW w:w="4394" w:type="dxa"/>
            <w:tcBorders>
              <w:top w:val="single" w:sz="4" w:space="0" w:color="000000"/>
              <w:left w:val="single" w:sz="4" w:space="0" w:color="000000"/>
              <w:bottom w:val="single" w:sz="4" w:space="0" w:color="000000"/>
              <w:right w:val="single" w:sz="4" w:space="0" w:color="000000"/>
            </w:tcBorders>
          </w:tcPr>
          <w:p w14:paraId="50CB893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Сколиоза, кифоза, кожни промени</w:t>
            </w:r>
          </w:p>
          <w:p w14:paraId="2B5CDF8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Промени в походката</w:t>
            </w:r>
          </w:p>
          <w:p w14:paraId="24F8D76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Подвижност</w:t>
            </w:r>
          </w:p>
          <w:p w14:paraId="796C403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Нарушения във флексия, екстензия, ротация и странично навеждане</w:t>
            </w:r>
          </w:p>
          <w:p w14:paraId="48E867D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Разлика в двата крака</w:t>
            </w:r>
          </w:p>
          <w:p w14:paraId="16E5095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Съдова оклузия</w:t>
            </w:r>
          </w:p>
          <w:p w14:paraId="6BA4EF3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Болка, мускулен спазъм</w:t>
            </w:r>
          </w:p>
          <w:p w14:paraId="317A77F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Засилване на болката</w:t>
            </w:r>
          </w:p>
          <w:p w14:paraId="4259D86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Засягане на тазобедрената или сакроилиачната става</w:t>
            </w:r>
          </w:p>
          <w:p w14:paraId="0BCF1FA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Неврологичен дефицит</w:t>
            </w:r>
          </w:p>
          <w:p w14:paraId="23FD899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Неврологичен дефицит </w:t>
            </w:r>
          </w:p>
        </w:tc>
      </w:tr>
    </w:tbl>
    <w:p w14:paraId="779DCC8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ab/>
      </w:r>
    </w:p>
    <w:p w14:paraId="7BBBFCA7"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Таблица 3. 4. Фактори, изискващи внимание при болки в гърба</w:t>
      </w:r>
    </w:p>
    <w:tbl>
      <w:tblPr>
        <w:tblW w:w="8990" w:type="dxa"/>
        <w:tblInd w:w="77" w:type="dxa"/>
        <w:tblLayout w:type="fixed"/>
        <w:tblCellMar>
          <w:left w:w="70" w:type="dxa"/>
          <w:right w:w="70" w:type="dxa"/>
        </w:tblCellMar>
        <w:tblLook w:val="0000" w:firstRow="0" w:lastRow="0" w:firstColumn="0" w:lastColumn="0" w:noHBand="0" w:noVBand="0"/>
      </w:tblPr>
      <w:tblGrid>
        <w:gridCol w:w="5512"/>
        <w:gridCol w:w="3478"/>
      </w:tblGrid>
      <w:tr w:rsidR="00BE0B19" w:rsidRPr="00AE47C6" w14:paraId="0B1A166B" w14:textId="77777777" w:rsidTr="00AD72E5">
        <w:trPr>
          <w:trHeight w:val="161"/>
        </w:trPr>
        <w:tc>
          <w:tcPr>
            <w:tcW w:w="5512" w:type="dxa"/>
            <w:tcBorders>
              <w:top w:val="single" w:sz="4" w:space="0" w:color="000000"/>
              <w:left w:val="single" w:sz="4" w:space="0" w:color="000000"/>
              <w:bottom w:val="single" w:sz="4" w:space="0" w:color="000000"/>
            </w:tcBorders>
          </w:tcPr>
          <w:p w14:paraId="75D89A0F" w14:textId="77777777" w:rsidR="00BE0B19" w:rsidRPr="00AE47C6" w:rsidRDefault="00BE0B19" w:rsidP="00BE0B19">
            <w:pPr>
              <w:snapToGri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Червени знамена</w:t>
            </w:r>
          </w:p>
        </w:tc>
        <w:tc>
          <w:tcPr>
            <w:tcW w:w="3478" w:type="dxa"/>
            <w:tcBorders>
              <w:top w:val="single" w:sz="4" w:space="0" w:color="000000"/>
              <w:left w:val="single" w:sz="4" w:space="0" w:color="000000"/>
              <w:bottom w:val="single" w:sz="4" w:space="0" w:color="000000"/>
              <w:right w:val="single" w:sz="4" w:space="0" w:color="000000"/>
            </w:tcBorders>
          </w:tcPr>
          <w:p w14:paraId="119B3A59" w14:textId="77777777" w:rsidR="00BE0B19" w:rsidRPr="00AE47C6" w:rsidRDefault="00BE0B19" w:rsidP="00BE0B19">
            <w:pPr>
              <w:snapToGri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Жълти знамена</w:t>
            </w:r>
          </w:p>
        </w:tc>
      </w:tr>
      <w:tr w:rsidR="00BE0B19" w:rsidRPr="00AE47C6" w14:paraId="214A1619" w14:textId="77777777" w:rsidTr="00AD72E5">
        <w:trPr>
          <w:trHeight w:val="289"/>
        </w:trPr>
        <w:tc>
          <w:tcPr>
            <w:tcW w:w="5512" w:type="dxa"/>
            <w:tcBorders>
              <w:top w:val="single" w:sz="4" w:space="0" w:color="000000"/>
              <w:left w:val="single" w:sz="4" w:space="0" w:color="000000"/>
              <w:bottom w:val="single" w:sz="4" w:space="0" w:color="000000"/>
            </w:tcBorders>
          </w:tcPr>
          <w:p w14:paraId="02DAAF30"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начало на заболяването под 20 и над 55 години</w:t>
            </w:r>
          </w:p>
          <w:p w14:paraId="1A7F6D4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анамнеза за скорошна сериозна травма или малигнен тумор</w:t>
            </w:r>
          </w:p>
          <w:p w14:paraId="258FF00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прогресираща болка, която не се облекчава в покой</w:t>
            </w:r>
          </w:p>
          <w:p w14:paraId="1DF8D02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болка в торакалната област </w:t>
            </w:r>
          </w:p>
          <w:p w14:paraId="6D555EA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дълготрайна употреба на кортикостероиди медикаментозна зависимост </w:t>
            </w:r>
          </w:p>
          <w:p w14:paraId="7F1DE0C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СПИН, имуносупресия или системно заболяване </w:t>
            </w:r>
          </w:p>
          <w:p w14:paraId="3844E22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необяснима загуба на тегло или температура</w:t>
            </w:r>
          </w:p>
          <w:p w14:paraId="45A58E8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неврологични симптоми и структурни деформации </w:t>
            </w:r>
          </w:p>
        </w:tc>
        <w:tc>
          <w:tcPr>
            <w:tcW w:w="3478" w:type="dxa"/>
            <w:tcBorders>
              <w:top w:val="single" w:sz="4" w:space="0" w:color="000000"/>
              <w:left w:val="single" w:sz="4" w:space="0" w:color="000000"/>
              <w:bottom w:val="single" w:sz="4" w:space="0" w:color="000000"/>
              <w:right w:val="single" w:sz="4" w:space="0" w:color="000000"/>
            </w:tcBorders>
          </w:tcPr>
          <w:p w14:paraId="7B596AAA" w14:textId="77777777" w:rsidR="00BE0B19" w:rsidRPr="00AE47C6" w:rsidRDefault="00BE0B19" w:rsidP="00BE0B19">
            <w:pPr>
              <w:snapToGri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страх от инвалидизация</w:t>
            </w:r>
          </w:p>
          <w:p w14:paraId="305E009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намалена активност вследствие на болката емоционални проблеми (депресия, тревожност, стрес, намалена социална активност)</w:t>
            </w:r>
          </w:p>
        </w:tc>
      </w:tr>
    </w:tbl>
    <w:p w14:paraId="323E841D"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235F2DD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2. Неврологичният преглед</w:t>
      </w:r>
      <w:r w:rsidRPr="00AE47C6">
        <w:rPr>
          <w:rFonts w:ascii="Times New Roman" w:eastAsia="SimSun" w:hAnsi="Times New Roman"/>
          <w:sz w:val="24"/>
          <w:szCs w:val="24"/>
        </w:rPr>
        <w:t xml:space="preserve"> дава възможност да се установят предизвикана болка, стегнатост, ограничения на движенията, деформации и неврологичен дефицит. </w:t>
      </w:r>
    </w:p>
    <w:p w14:paraId="156F759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Прийомите за предизвикване на болката</w:t>
      </w:r>
      <w:r w:rsidRPr="00AE47C6">
        <w:rPr>
          <w:rFonts w:ascii="Times New Roman" w:eastAsia="SimSun" w:hAnsi="Times New Roman"/>
          <w:sz w:val="24"/>
          <w:szCs w:val="24"/>
        </w:rPr>
        <w:t xml:space="preserve"> дават възможност за установяване на нейната етиология. Липсата на положителен отговор на прийомите за провокиране на болката, говори за наличие на психогенни или мускулни фактори, предизвикващи болката. Засилването на болката от вътрешна или външна ротация (симптом на Patrick) на бедрото говори за заболяване на тазобедрената става. </w:t>
      </w:r>
    </w:p>
    <w:p w14:paraId="6FFFEB5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Неврологичният дефицит</w:t>
      </w:r>
      <w:r w:rsidRPr="00AE47C6">
        <w:rPr>
          <w:rFonts w:ascii="Times New Roman" w:eastAsia="SimSun" w:hAnsi="Times New Roman"/>
          <w:sz w:val="24"/>
          <w:szCs w:val="24"/>
        </w:rPr>
        <w:t xml:space="preserve"> при засягане на предното коренче се проявява с отслабване на сухожилните рефлекси, мускулна хипотония, слабост, атрофия, фасцикулации и сетивни нарушения. </w:t>
      </w:r>
    </w:p>
    <w:p w14:paraId="47F34FC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Ишалгичната болка</w:t>
      </w:r>
      <w:r w:rsidRPr="00AE47C6">
        <w:rPr>
          <w:rFonts w:ascii="Times New Roman" w:eastAsia="SimSun" w:hAnsi="Times New Roman"/>
          <w:sz w:val="24"/>
          <w:szCs w:val="24"/>
        </w:rPr>
        <w:t xml:space="preserve"> ирадиира по задната повърхност на хълбоците и предизвиква изтръпване по задната повърхност на бедрото, задно страничната на подбедрицата и достига до латералния малеол. Най-честата причина е дисковия пролапс, но може да се дължи и на гръбначномозъчна стеноза, невропатия или неврит, травма, бурсит и остеоартрит. </w:t>
      </w:r>
    </w:p>
    <w:p w14:paraId="5C4763F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Синдромът на cauda equina</w:t>
      </w:r>
      <w:r w:rsidRPr="00AE47C6">
        <w:rPr>
          <w:rFonts w:ascii="Times New Roman" w:eastAsia="SimSun" w:hAnsi="Times New Roman"/>
          <w:sz w:val="24"/>
          <w:szCs w:val="24"/>
        </w:rPr>
        <w:t xml:space="preserve"> се подозира при анамнеза за мехурни (най-често ретенция, по-рядко инкотиненция) и сфинктерни нарушения, анестезия като седло, мускулна слабост в долните крайници или нарушения на походката.</w:t>
      </w:r>
    </w:p>
    <w:p w14:paraId="39D31E8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Синдромът на гръбначно-мозъчна компресия</w:t>
      </w:r>
      <w:r w:rsidRPr="00AE47C6">
        <w:rPr>
          <w:rFonts w:ascii="Times New Roman" w:eastAsia="SimSun" w:hAnsi="Times New Roman"/>
          <w:sz w:val="24"/>
          <w:szCs w:val="24"/>
        </w:rPr>
        <w:t xml:space="preserve"> се проявява с тазово-резервоарни, проводникови сетивни и пирамидни симптоми.</w:t>
      </w:r>
    </w:p>
    <w:p w14:paraId="7346D71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3. Невроизобразяващите методи</w:t>
      </w:r>
      <w:r w:rsidRPr="00AE47C6">
        <w:rPr>
          <w:rFonts w:ascii="Times New Roman" w:eastAsia="SimSun" w:hAnsi="Times New Roman"/>
          <w:sz w:val="24"/>
          <w:szCs w:val="24"/>
        </w:rPr>
        <w:t xml:space="preserve"> не се препоръчват за рутинна диагностика, ако не са налице „червени знамена”. Корелацията между симптомите, невроизобразяващите методи и патологията е слаба. При повечето пациенти не могат да се открият патологичните промени, които предизвикват болката. При 15-45% от пациентите без оплаквания се установяват дегенеративни промени в гръбнака, които нарастват с възрастта. МРТ е най-чувствителния метод за изследване на гръбначния мозък, а компютърната томография – на костните структури на гръбнака. </w:t>
      </w:r>
    </w:p>
    <w:p w14:paraId="7FB57F96" w14:textId="0935A90E" w:rsidR="00BE0B19" w:rsidRPr="00AE47C6" w:rsidRDefault="00CD142B"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lang w:val="en-US"/>
        </w:rPr>
        <w:t>4</w:t>
      </w:r>
      <w:r w:rsidR="00BE0B19" w:rsidRPr="00AE47C6">
        <w:rPr>
          <w:rFonts w:ascii="Times New Roman" w:eastAsia="SimSun" w:hAnsi="Times New Roman"/>
          <w:b/>
          <w:sz w:val="24"/>
          <w:szCs w:val="24"/>
        </w:rPr>
        <w:t>. ЕМГ изследването</w:t>
      </w:r>
      <w:r w:rsidR="00BE0B19" w:rsidRPr="00AE47C6">
        <w:rPr>
          <w:rFonts w:ascii="Times New Roman" w:eastAsia="SimSun" w:hAnsi="Times New Roman"/>
          <w:sz w:val="24"/>
          <w:szCs w:val="24"/>
        </w:rPr>
        <w:t xml:space="preserve"> е абсолютно индицирано при отпадна неврологична симптоматика: </w:t>
      </w:r>
    </w:p>
    <w:p w14:paraId="70ECAA94" w14:textId="77777777" w:rsidR="00BE0B19" w:rsidRPr="00AE47C6" w:rsidRDefault="00BE0B19" w:rsidP="00BE0B19">
      <w:pPr>
        <w:numPr>
          <w:ilvl w:val="0"/>
          <w:numId w:val="45"/>
        </w:numPr>
        <w:tabs>
          <w:tab w:val="clear" w:pos="1365"/>
          <w:tab w:val="num" w:pos="0"/>
        </w:tabs>
        <w:suppressAutoHyphens/>
        <w:spacing w:after="0" w:line="360" w:lineRule="auto"/>
        <w:ind w:left="1440"/>
        <w:jc w:val="both"/>
        <w:rPr>
          <w:rFonts w:ascii="Times New Roman" w:eastAsia="SimSun" w:hAnsi="Times New Roman"/>
          <w:sz w:val="24"/>
          <w:szCs w:val="24"/>
        </w:rPr>
      </w:pPr>
      <w:r w:rsidRPr="00AE47C6">
        <w:rPr>
          <w:rFonts w:ascii="Times New Roman" w:eastAsia="SimSun" w:hAnsi="Times New Roman"/>
          <w:sz w:val="24"/>
          <w:szCs w:val="24"/>
        </w:rPr>
        <w:t xml:space="preserve">мускулна активност и F вълна за локализация на засегнатото коренче. </w:t>
      </w:r>
    </w:p>
    <w:p w14:paraId="4258F12B" w14:textId="77777777" w:rsidR="00BE0B19" w:rsidRPr="00AE47C6" w:rsidRDefault="00BE0B19" w:rsidP="00BE0B19">
      <w:pPr>
        <w:numPr>
          <w:ilvl w:val="0"/>
          <w:numId w:val="45"/>
        </w:numPr>
        <w:tabs>
          <w:tab w:val="clear" w:pos="1365"/>
          <w:tab w:val="num" w:pos="0"/>
        </w:tabs>
        <w:suppressAutoHyphens/>
        <w:spacing w:after="0" w:line="360" w:lineRule="auto"/>
        <w:ind w:left="1440"/>
        <w:jc w:val="both"/>
        <w:rPr>
          <w:rFonts w:ascii="Times New Roman" w:eastAsia="SimSun" w:hAnsi="Times New Roman"/>
          <w:bCs/>
          <w:sz w:val="24"/>
          <w:szCs w:val="24"/>
        </w:rPr>
      </w:pPr>
      <w:r w:rsidRPr="00AE47C6">
        <w:rPr>
          <w:rFonts w:ascii="Times New Roman" w:eastAsia="SimSun" w:hAnsi="Times New Roman"/>
          <w:sz w:val="24"/>
          <w:szCs w:val="24"/>
        </w:rPr>
        <w:t>Скорост на провеждане по сетивните и двигателни влакна за установяване на аксонна дегенерация в периферният нерв.</w:t>
      </w:r>
    </w:p>
    <w:p w14:paraId="6928CCC5" w14:textId="77777777" w:rsidR="00BE0B19" w:rsidRPr="00AE47C6" w:rsidRDefault="00BE0B19" w:rsidP="00BE0B19">
      <w:pPr>
        <w:numPr>
          <w:ilvl w:val="0"/>
          <w:numId w:val="45"/>
        </w:numPr>
        <w:tabs>
          <w:tab w:val="clear" w:pos="1365"/>
          <w:tab w:val="num" w:pos="0"/>
        </w:tabs>
        <w:suppressAutoHyphens/>
        <w:spacing w:after="0" w:line="360" w:lineRule="auto"/>
        <w:ind w:left="1440"/>
        <w:jc w:val="both"/>
        <w:rPr>
          <w:rFonts w:ascii="Times New Roman" w:eastAsia="SimSun" w:hAnsi="Times New Roman"/>
          <w:bCs/>
          <w:sz w:val="24"/>
          <w:szCs w:val="24"/>
        </w:rPr>
      </w:pPr>
      <w:r w:rsidRPr="00AE47C6">
        <w:rPr>
          <w:rFonts w:ascii="Times New Roman" w:eastAsia="SimSun" w:hAnsi="Times New Roman"/>
          <w:bCs/>
          <w:sz w:val="24"/>
          <w:szCs w:val="24"/>
        </w:rPr>
        <w:t>Втори отговор на флексорния рефлекс за определяне на прага на болката.</w:t>
      </w:r>
    </w:p>
    <w:p w14:paraId="5D448CB6" w14:textId="6F33D031" w:rsidR="00BE0B19" w:rsidRPr="00AE47C6" w:rsidRDefault="00CD142B" w:rsidP="00BE0B19">
      <w:pPr>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sz w:val="24"/>
          <w:szCs w:val="24"/>
        </w:rPr>
        <w:t>5</w:t>
      </w:r>
      <w:r w:rsidR="00BE0B19" w:rsidRPr="00AE47C6">
        <w:rPr>
          <w:rFonts w:ascii="Times New Roman" w:eastAsia="SimSun" w:hAnsi="Times New Roman"/>
          <w:b/>
          <w:bCs/>
          <w:sz w:val="24"/>
          <w:szCs w:val="24"/>
        </w:rPr>
        <w:t>. Установяване на чувствителни точки по тялото:</w:t>
      </w:r>
    </w:p>
    <w:p w14:paraId="29D71895" w14:textId="77777777" w:rsidR="00BE0B19" w:rsidRPr="00AE47C6" w:rsidRDefault="00BE0B19" w:rsidP="00BE0B19">
      <w:pPr>
        <w:numPr>
          <w:ilvl w:val="0"/>
          <w:numId w:val="44"/>
        </w:numPr>
        <w:tabs>
          <w:tab w:val="clear" w:pos="720"/>
          <w:tab w:val="num" w:pos="0"/>
        </w:tabs>
        <w:suppressAutoHyphens/>
        <w:spacing w:after="0" w:line="360" w:lineRule="auto"/>
        <w:ind w:left="1429"/>
        <w:jc w:val="both"/>
        <w:rPr>
          <w:rFonts w:ascii="Times New Roman" w:eastAsia="SimSun" w:hAnsi="Times New Roman"/>
          <w:bCs/>
          <w:sz w:val="24"/>
          <w:szCs w:val="24"/>
        </w:rPr>
      </w:pPr>
      <w:r w:rsidRPr="00AE47C6">
        <w:rPr>
          <w:rFonts w:ascii="Times New Roman" w:eastAsia="SimSun" w:hAnsi="Times New Roman"/>
          <w:bCs/>
          <w:sz w:val="24"/>
          <w:szCs w:val="24"/>
        </w:rPr>
        <w:t xml:space="preserve">С алгометър – праг на болката под 4 kg. </w:t>
      </w:r>
    </w:p>
    <w:p w14:paraId="3BD6C646" w14:textId="77777777" w:rsidR="00BE0B19" w:rsidRPr="00AE47C6" w:rsidRDefault="00BE0B19" w:rsidP="00BE0B19">
      <w:pPr>
        <w:numPr>
          <w:ilvl w:val="0"/>
          <w:numId w:val="44"/>
        </w:numPr>
        <w:tabs>
          <w:tab w:val="clear" w:pos="720"/>
          <w:tab w:val="num" w:pos="0"/>
        </w:tabs>
        <w:suppressAutoHyphens/>
        <w:spacing w:after="0" w:line="360" w:lineRule="auto"/>
        <w:ind w:left="1429"/>
        <w:jc w:val="both"/>
        <w:rPr>
          <w:rFonts w:ascii="Times New Roman" w:eastAsia="SimSun" w:hAnsi="Times New Roman"/>
          <w:bCs/>
          <w:sz w:val="24"/>
          <w:szCs w:val="24"/>
        </w:rPr>
      </w:pPr>
      <w:r w:rsidRPr="00AE47C6">
        <w:rPr>
          <w:rFonts w:ascii="Times New Roman" w:eastAsia="SimSun" w:hAnsi="Times New Roman"/>
          <w:bCs/>
          <w:sz w:val="24"/>
          <w:szCs w:val="24"/>
        </w:rPr>
        <w:t xml:space="preserve">При натиск с палец – праг на болката преди избледняване на нокътя. </w:t>
      </w:r>
    </w:p>
    <w:p w14:paraId="39814379" w14:textId="352FB203" w:rsidR="00BE0B19" w:rsidRPr="00AE47C6" w:rsidRDefault="00CD142B"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lang w:val="en-US"/>
        </w:rPr>
        <w:t>6</w:t>
      </w:r>
      <w:r w:rsidR="00BE0B19" w:rsidRPr="00AE47C6">
        <w:rPr>
          <w:rFonts w:ascii="Times New Roman" w:eastAsia="SimSun" w:hAnsi="Times New Roman"/>
          <w:b/>
          <w:sz w:val="24"/>
          <w:szCs w:val="24"/>
        </w:rPr>
        <w:t>. Лабораторните методи</w:t>
      </w:r>
      <w:r w:rsidR="00BE0B19" w:rsidRPr="00AE47C6">
        <w:rPr>
          <w:rFonts w:ascii="Times New Roman" w:eastAsia="SimSun" w:hAnsi="Times New Roman"/>
          <w:sz w:val="24"/>
          <w:szCs w:val="24"/>
        </w:rPr>
        <w:t xml:space="preserve"> за изследване на серум и урина се прилагат при: </w:t>
      </w:r>
    </w:p>
    <w:p w14:paraId="2F063CD8" w14:textId="77777777" w:rsidR="00BE0B19" w:rsidRPr="00AE47C6" w:rsidRDefault="00BE0B19" w:rsidP="00BE0B19">
      <w:pPr>
        <w:numPr>
          <w:ilvl w:val="0"/>
          <w:numId w:val="46"/>
        </w:numPr>
        <w:tabs>
          <w:tab w:val="left" w:pos="1080"/>
        </w:tabs>
        <w:suppressAutoHyphens/>
        <w:spacing w:after="0" w:line="360" w:lineRule="auto"/>
        <w:ind w:left="1080" w:firstLine="0"/>
        <w:jc w:val="both"/>
        <w:rPr>
          <w:rFonts w:ascii="Times New Roman" w:eastAsia="SimSun" w:hAnsi="Times New Roman"/>
          <w:sz w:val="24"/>
          <w:szCs w:val="24"/>
        </w:rPr>
      </w:pPr>
      <w:r w:rsidRPr="00AE47C6">
        <w:rPr>
          <w:rFonts w:ascii="Times New Roman" w:eastAsia="SimSun" w:hAnsi="Times New Roman"/>
          <w:sz w:val="24"/>
          <w:szCs w:val="24"/>
        </w:rPr>
        <w:t>Болка с продължителност над 4 – 6 седмици – изследване на пълна кръвна картина, калций и фосфор в серума и алкална фосфатаза за бъде изключено системно заболяване или заболяване на костите.</w:t>
      </w:r>
    </w:p>
    <w:p w14:paraId="1D58F3AD" w14:textId="77777777" w:rsidR="00BE0B19" w:rsidRPr="00AE47C6" w:rsidRDefault="00BE0B19" w:rsidP="00BE0B19">
      <w:pPr>
        <w:numPr>
          <w:ilvl w:val="0"/>
          <w:numId w:val="46"/>
        </w:numPr>
        <w:tabs>
          <w:tab w:val="left" w:pos="1080"/>
        </w:tabs>
        <w:suppressAutoHyphens/>
        <w:spacing w:after="0" w:line="360" w:lineRule="auto"/>
        <w:ind w:left="1080" w:firstLine="0"/>
        <w:jc w:val="both"/>
        <w:rPr>
          <w:rFonts w:ascii="Times New Roman" w:eastAsia="SimSun" w:hAnsi="Times New Roman"/>
          <w:sz w:val="24"/>
          <w:szCs w:val="24"/>
        </w:rPr>
      </w:pPr>
      <w:r w:rsidRPr="00AE47C6">
        <w:rPr>
          <w:rFonts w:ascii="Times New Roman" w:eastAsia="SimSun" w:hAnsi="Times New Roman"/>
          <w:sz w:val="24"/>
          <w:szCs w:val="24"/>
        </w:rPr>
        <w:t>Температура – изследване на пълна кръвна картина и СУЕ, а при клинични данни и туберкулинов и аглутинационен тест за Brucella за да бъде изключен възпалителен процес.</w:t>
      </w:r>
    </w:p>
    <w:p w14:paraId="7888F914" w14:textId="77777777" w:rsidR="00BE0B19" w:rsidRPr="00AE47C6" w:rsidRDefault="00BE0B19" w:rsidP="00BE0B19">
      <w:pPr>
        <w:numPr>
          <w:ilvl w:val="0"/>
          <w:numId w:val="46"/>
        </w:numPr>
        <w:tabs>
          <w:tab w:val="left" w:pos="1080"/>
        </w:tabs>
        <w:suppressAutoHyphens/>
        <w:spacing w:after="0" w:line="360" w:lineRule="auto"/>
        <w:ind w:left="1080" w:firstLine="0"/>
        <w:jc w:val="both"/>
        <w:rPr>
          <w:rFonts w:ascii="Times New Roman" w:eastAsia="SimSun" w:hAnsi="Times New Roman"/>
          <w:sz w:val="24"/>
          <w:szCs w:val="24"/>
        </w:rPr>
      </w:pPr>
      <w:r w:rsidRPr="00AE47C6">
        <w:rPr>
          <w:rFonts w:ascii="Times New Roman" w:eastAsia="SimSun" w:hAnsi="Times New Roman"/>
          <w:sz w:val="24"/>
          <w:szCs w:val="24"/>
        </w:rPr>
        <w:t>Мъже под 40 години, хронична болка в кръста и сутрешна скованост – изследване на пълна кръвна картина с диференциално броене, ревматоиден фактор и HLA-B27 антиген за да бъде изключен анкилозиращ спондилит и хламидиални антитела за да се изключи синдром на Reiter.</w:t>
      </w:r>
    </w:p>
    <w:p w14:paraId="39C86E2D" w14:textId="77777777" w:rsidR="00BE0B19" w:rsidRPr="00AE47C6" w:rsidRDefault="00BE0B19" w:rsidP="00BE0B19">
      <w:pPr>
        <w:numPr>
          <w:ilvl w:val="0"/>
          <w:numId w:val="46"/>
        </w:numPr>
        <w:tabs>
          <w:tab w:val="left" w:pos="1080"/>
        </w:tabs>
        <w:suppressAutoHyphens/>
        <w:spacing w:after="0" w:line="360" w:lineRule="auto"/>
        <w:ind w:left="1080" w:firstLine="0"/>
        <w:jc w:val="both"/>
        <w:rPr>
          <w:rFonts w:ascii="Times New Roman" w:eastAsia="SimSun" w:hAnsi="Times New Roman"/>
          <w:sz w:val="24"/>
          <w:szCs w:val="24"/>
        </w:rPr>
      </w:pPr>
      <w:r w:rsidRPr="00AE47C6">
        <w:rPr>
          <w:rFonts w:ascii="Times New Roman" w:eastAsia="SimSun" w:hAnsi="Times New Roman"/>
          <w:sz w:val="24"/>
          <w:szCs w:val="24"/>
        </w:rPr>
        <w:t>Мъже над 60 години – изследване на урея, алкална и кисела фосфатаза, специфичен простатен антиген, за да бъде изключен тумор.</w:t>
      </w:r>
    </w:p>
    <w:p w14:paraId="59377C34" w14:textId="4A5B2E3A" w:rsidR="00BE0B19" w:rsidRPr="00AE47C6" w:rsidRDefault="00CD142B"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7</w:t>
      </w:r>
      <w:r w:rsidR="00BE0B19" w:rsidRPr="00AE47C6">
        <w:rPr>
          <w:rFonts w:ascii="Times New Roman" w:eastAsia="SimSun" w:hAnsi="Times New Roman"/>
          <w:b/>
          <w:sz w:val="24"/>
          <w:szCs w:val="24"/>
        </w:rPr>
        <w:t>. Други изследвания:</w:t>
      </w:r>
    </w:p>
    <w:p w14:paraId="40A4B826" w14:textId="77777777" w:rsidR="00BE0B19" w:rsidRPr="00AE47C6" w:rsidRDefault="00BE0B19" w:rsidP="00BE0B19">
      <w:pPr>
        <w:numPr>
          <w:ilvl w:val="0"/>
          <w:numId w:val="283"/>
        </w:numPr>
        <w:tabs>
          <w:tab w:val="left" w:pos="1080"/>
        </w:tabs>
        <w:suppressAutoHyphens/>
        <w:spacing w:after="0" w:line="360" w:lineRule="auto"/>
        <w:ind w:left="1080" w:firstLine="0"/>
        <w:jc w:val="both"/>
        <w:rPr>
          <w:rFonts w:ascii="Times New Roman" w:eastAsia="SimSun" w:hAnsi="Times New Roman"/>
          <w:sz w:val="24"/>
          <w:szCs w:val="24"/>
        </w:rPr>
      </w:pPr>
      <w:r w:rsidRPr="00AE47C6">
        <w:rPr>
          <w:rFonts w:ascii="Times New Roman" w:eastAsia="SimSun" w:hAnsi="Times New Roman"/>
          <w:b/>
          <w:sz w:val="24"/>
          <w:szCs w:val="24"/>
        </w:rPr>
        <w:t>Остеодензитометрия</w:t>
      </w:r>
      <w:r w:rsidRPr="00AE47C6">
        <w:rPr>
          <w:rFonts w:ascii="Times New Roman" w:eastAsia="SimSun" w:hAnsi="Times New Roman"/>
          <w:sz w:val="24"/>
          <w:szCs w:val="24"/>
        </w:rPr>
        <w:t xml:space="preserve"> за наличие на остеопороза – при жени над 40 години.</w:t>
      </w:r>
    </w:p>
    <w:p w14:paraId="0A395ACE" w14:textId="77777777" w:rsidR="00BE0B19" w:rsidRPr="00AE47C6" w:rsidRDefault="00BE0B19" w:rsidP="00BE0B19">
      <w:pPr>
        <w:numPr>
          <w:ilvl w:val="0"/>
          <w:numId w:val="283"/>
        </w:numPr>
        <w:tabs>
          <w:tab w:val="left" w:pos="1080"/>
        </w:tabs>
        <w:suppressAutoHyphens/>
        <w:spacing w:after="0" w:line="360" w:lineRule="auto"/>
        <w:ind w:left="1080" w:firstLine="0"/>
        <w:jc w:val="both"/>
        <w:rPr>
          <w:rFonts w:ascii="Times New Roman" w:eastAsia="SimSun" w:hAnsi="Times New Roman"/>
          <w:sz w:val="24"/>
          <w:szCs w:val="24"/>
        </w:rPr>
      </w:pPr>
      <w:r w:rsidRPr="00AE47C6">
        <w:rPr>
          <w:rFonts w:ascii="Times New Roman" w:eastAsia="SimSun" w:hAnsi="Times New Roman"/>
          <w:b/>
          <w:sz w:val="24"/>
          <w:szCs w:val="24"/>
        </w:rPr>
        <w:t xml:space="preserve">Мамография </w:t>
      </w:r>
      <w:r w:rsidRPr="00AE47C6">
        <w:rPr>
          <w:rFonts w:ascii="Times New Roman" w:eastAsia="SimSun" w:hAnsi="Times New Roman"/>
          <w:sz w:val="24"/>
          <w:szCs w:val="24"/>
        </w:rPr>
        <w:t>за изключване на тумор – при жени над 40 години.</w:t>
      </w:r>
    </w:p>
    <w:p w14:paraId="555D51DF" w14:textId="77479C9B" w:rsidR="00BE0B19" w:rsidRPr="00AE47C6" w:rsidRDefault="00CD142B"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8</w:t>
      </w:r>
      <w:r w:rsidR="00BE0B19" w:rsidRPr="00AE47C6">
        <w:rPr>
          <w:rFonts w:ascii="Times New Roman" w:eastAsia="SimSun" w:hAnsi="Times New Roman"/>
          <w:b/>
          <w:sz w:val="24"/>
          <w:szCs w:val="24"/>
        </w:rPr>
        <w:t>. Консултации с други специалисти</w:t>
      </w:r>
    </w:p>
    <w:p w14:paraId="781ACB53" w14:textId="77777777" w:rsidR="00BE0B19" w:rsidRPr="00AE47C6" w:rsidRDefault="00BE0B19" w:rsidP="00BE0B19">
      <w:pPr>
        <w:numPr>
          <w:ilvl w:val="0"/>
          <w:numId w:val="283"/>
        </w:numPr>
        <w:tabs>
          <w:tab w:val="left" w:pos="1080"/>
        </w:tabs>
        <w:suppressAutoHyphens/>
        <w:spacing w:after="0" w:line="360" w:lineRule="auto"/>
        <w:ind w:left="1080" w:firstLine="0"/>
        <w:jc w:val="both"/>
        <w:rPr>
          <w:rFonts w:ascii="Times New Roman" w:eastAsia="SimSun" w:hAnsi="Times New Roman"/>
          <w:sz w:val="24"/>
          <w:szCs w:val="24"/>
        </w:rPr>
      </w:pPr>
      <w:r w:rsidRPr="00AE47C6">
        <w:rPr>
          <w:rFonts w:ascii="Times New Roman" w:eastAsia="SimSun" w:hAnsi="Times New Roman"/>
          <w:b/>
          <w:sz w:val="24"/>
          <w:szCs w:val="24"/>
        </w:rPr>
        <w:t>с ендокринолог</w:t>
      </w:r>
      <w:r w:rsidRPr="00AE47C6">
        <w:rPr>
          <w:rFonts w:ascii="Times New Roman" w:eastAsia="SimSun" w:hAnsi="Times New Roman"/>
          <w:sz w:val="24"/>
          <w:szCs w:val="24"/>
        </w:rPr>
        <w:t xml:space="preserve"> с оглед тиреотоксикоза или хиперпаратиреоидизъм.</w:t>
      </w:r>
    </w:p>
    <w:p w14:paraId="36F71DE6" w14:textId="77777777" w:rsidR="00BE0B19" w:rsidRPr="00AE47C6" w:rsidRDefault="00BE0B19" w:rsidP="00BE0B19">
      <w:pPr>
        <w:numPr>
          <w:ilvl w:val="0"/>
          <w:numId w:val="283"/>
        </w:numPr>
        <w:tabs>
          <w:tab w:val="left" w:pos="1080"/>
        </w:tabs>
        <w:suppressAutoHyphens/>
        <w:spacing w:after="0" w:line="360" w:lineRule="auto"/>
        <w:ind w:left="1080" w:firstLine="0"/>
        <w:jc w:val="both"/>
        <w:rPr>
          <w:rFonts w:ascii="Times New Roman" w:eastAsia="SimSun" w:hAnsi="Times New Roman"/>
          <w:sz w:val="24"/>
          <w:szCs w:val="24"/>
        </w:rPr>
      </w:pPr>
      <w:r w:rsidRPr="00AE47C6">
        <w:rPr>
          <w:rFonts w:ascii="Times New Roman" w:eastAsia="SimSun" w:hAnsi="Times New Roman"/>
          <w:b/>
          <w:sz w:val="24"/>
          <w:szCs w:val="24"/>
        </w:rPr>
        <w:t>с уролог</w:t>
      </w:r>
      <w:r w:rsidRPr="00AE47C6">
        <w:rPr>
          <w:rFonts w:ascii="Times New Roman" w:eastAsia="SimSun" w:hAnsi="Times New Roman"/>
          <w:sz w:val="24"/>
          <w:szCs w:val="24"/>
        </w:rPr>
        <w:t xml:space="preserve"> с оглед изключване на тумор на простатната жлеза – при мъже над 60 години.</w:t>
      </w:r>
    </w:p>
    <w:p w14:paraId="4142C603" w14:textId="77777777" w:rsidR="00BE0B19" w:rsidRPr="00AE47C6" w:rsidRDefault="00BE0B19" w:rsidP="00BE0B19">
      <w:pPr>
        <w:numPr>
          <w:ilvl w:val="0"/>
          <w:numId w:val="283"/>
        </w:numPr>
        <w:tabs>
          <w:tab w:val="left" w:pos="1080"/>
        </w:tabs>
        <w:suppressAutoHyphens/>
        <w:spacing w:after="0" w:line="360" w:lineRule="auto"/>
        <w:ind w:left="1080" w:firstLine="0"/>
        <w:jc w:val="both"/>
        <w:rPr>
          <w:rFonts w:ascii="Times New Roman" w:eastAsia="SimSun" w:hAnsi="Times New Roman"/>
          <w:sz w:val="24"/>
          <w:szCs w:val="24"/>
        </w:rPr>
      </w:pPr>
      <w:r w:rsidRPr="00AE47C6">
        <w:rPr>
          <w:rFonts w:ascii="Times New Roman" w:eastAsia="SimSun" w:hAnsi="Times New Roman"/>
          <w:b/>
          <w:sz w:val="24"/>
          <w:szCs w:val="24"/>
        </w:rPr>
        <w:t>с неврохирург</w:t>
      </w:r>
      <w:r w:rsidRPr="00AE47C6">
        <w:rPr>
          <w:rFonts w:ascii="Times New Roman" w:eastAsia="SimSun" w:hAnsi="Times New Roman"/>
          <w:sz w:val="24"/>
          <w:szCs w:val="24"/>
        </w:rPr>
        <w:t xml:space="preserve"> при диагностицирана дискова херния или спондилоза със съмнение за спинална стеноза с неврологичен дефицит и неповлияване на симптомите от консервативното лечение в продължение на 2 месеца.</w:t>
      </w:r>
    </w:p>
    <w:p w14:paraId="39B3498A"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Диференциална диагноза на болките в гърба </w:t>
      </w:r>
    </w:p>
    <w:p w14:paraId="2E1914E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Диференциалната диагноза е насочена към изключване на болка предизвикана от други органи и към установяване на данни за сериозна гръбначно-мозъчна патология (наречени „червени знамена”), които налагат специфични и по-задълбочени изследвания. Следващата стъпка в диагнозата е установяване на коренчева увреда. </w:t>
      </w:r>
    </w:p>
    <w:p w14:paraId="1344306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1. Травматичните увреждания</w:t>
      </w:r>
      <w:r w:rsidRPr="00AE47C6">
        <w:rPr>
          <w:rFonts w:ascii="Times New Roman" w:eastAsia="SimSun" w:hAnsi="Times New Roman"/>
          <w:sz w:val="24"/>
          <w:szCs w:val="24"/>
        </w:rPr>
        <w:t xml:space="preserve"> са честа причина за болки в гърба. Фрактурите на прешлени са в резултат на флексионни увреждания при автомобилни злополуки или падане от високо. Те могат да засегнат тялото, крачетата, ламината или спинозните процеси на един или няколко прешлена, както и да се получат дислокации и прекъсване на гръбначния мозък на съответното ниво. Фрактура може да се получи и при минимална травма, ако е налице миелом, метастатичен карцином, остеопороза, остеомалация, хиперпаратиреоидизъм или хипертиреоидизъм, причинили увреда на прешлена.</w:t>
      </w:r>
    </w:p>
    <w:p w14:paraId="3A0269C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2. Анкилозиращият спондилит (болест на Бехтерев)</w:t>
      </w:r>
      <w:r w:rsidRPr="00AE47C6">
        <w:rPr>
          <w:rFonts w:ascii="Times New Roman" w:eastAsia="SimSun" w:hAnsi="Times New Roman"/>
          <w:sz w:val="24"/>
          <w:szCs w:val="24"/>
        </w:rPr>
        <w:t xml:space="preserve"> дълго време може да бъде погрешно диагностициран като дискова болест. В началото на заболяването сутрешната скованост на гръбнака преобладава пред болката, която не се засилва от физическа активност. </w:t>
      </w:r>
    </w:p>
    <w:p w14:paraId="09A139F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3. Синдромът на Reiter</w:t>
      </w:r>
      <w:r w:rsidRPr="00AE47C6">
        <w:rPr>
          <w:rFonts w:ascii="Times New Roman" w:eastAsia="SimSun" w:hAnsi="Times New Roman"/>
          <w:sz w:val="24"/>
          <w:szCs w:val="24"/>
        </w:rPr>
        <w:t xml:space="preserve"> също може да предизвика болки в кръста от предизвикания сакроилеит или лумбална спондилартропатия.</w:t>
      </w:r>
    </w:p>
    <w:p w14:paraId="0939421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4. Спондилартропатии</w:t>
      </w:r>
      <w:r w:rsidRPr="00AE47C6">
        <w:rPr>
          <w:rFonts w:ascii="Times New Roman" w:eastAsia="SimSun" w:hAnsi="Times New Roman"/>
          <w:sz w:val="24"/>
          <w:szCs w:val="24"/>
        </w:rPr>
        <w:t xml:space="preserve"> могат да бъдат предизвикани от инфекциозни причинители като Treponema pallidum, Salmonella, Shigella, Escherichia colli, Mycoplasma pneumoniae.</w:t>
      </w:r>
    </w:p>
    <w:p w14:paraId="74A9879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5. Възпалителните заболявания</w:t>
      </w:r>
      <w:r w:rsidRPr="00AE47C6">
        <w:rPr>
          <w:rFonts w:ascii="Times New Roman" w:eastAsia="SimSun" w:hAnsi="Times New Roman"/>
          <w:sz w:val="24"/>
          <w:szCs w:val="24"/>
        </w:rPr>
        <w:t xml:space="preserve"> като септичен или туберкулозен спондилит и спинален епидурален абсцес след пункция предизвикат разлята болка в гърба, която не се облекчава от почивка, придружена от повишен тонус на паравертебралните мускули и повишена температура.</w:t>
      </w:r>
    </w:p>
    <w:p w14:paraId="26C42CF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6. Адхезивният арахноидит </w:t>
      </w:r>
      <w:r w:rsidRPr="00AE47C6">
        <w:rPr>
          <w:rFonts w:ascii="Times New Roman" w:eastAsia="SimSun" w:hAnsi="Times New Roman"/>
          <w:sz w:val="24"/>
          <w:szCs w:val="24"/>
        </w:rPr>
        <w:t>след спинална анестезия или оперативни интервенции може да причини хронични болки в гърба.</w:t>
      </w:r>
    </w:p>
    <w:p w14:paraId="4EFCAEC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7. Ендокринни заболявания</w:t>
      </w:r>
      <w:r w:rsidRPr="00AE47C6">
        <w:rPr>
          <w:rFonts w:ascii="Times New Roman" w:eastAsia="SimSun" w:hAnsi="Times New Roman"/>
          <w:sz w:val="24"/>
          <w:szCs w:val="24"/>
        </w:rPr>
        <w:t xml:space="preserve"> като хиперпаратиреоидизъм, хипертиреоидизъм и акромегалия предизвикват повишено извличане на калций от костите с последваща остеопороза. Акромегалията може да предизвика и стесняване на спиналния канал. </w:t>
      </w:r>
    </w:p>
    <w:p w14:paraId="4EC90B7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8. Метаболитните заболявания на костите</w:t>
      </w:r>
      <w:r w:rsidRPr="00AE47C6">
        <w:rPr>
          <w:rFonts w:ascii="Times New Roman" w:eastAsia="SimSun" w:hAnsi="Times New Roman"/>
          <w:sz w:val="24"/>
          <w:szCs w:val="24"/>
        </w:rPr>
        <w:t xml:space="preserve">, като остеопорозата и болестта на Paget предизвикват болки в гърба. </w:t>
      </w:r>
    </w:p>
    <w:p w14:paraId="11C9968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 xml:space="preserve">- Остеопорозата </w:t>
      </w:r>
      <w:r w:rsidRPr="00AE47C6">
        <w:rPr>
          <w:rFonts w:ascii="Times New Roman" w:eastAsia="SimSun" w:hAnsi="Times New Roman"/>
          <w:sz w:val="24"/>
          <w:szCs w:val="24"/>
        </w:rPr>
        <w:t xml:space="preserve">е системно метаболитно заболяване на скелета, което се характеризира с намаляване на костната маса и нарушаване на микроархитектурата на костната тъкан. Най-честа е първичната – постменопаузална и сенилна остеопороза. По-рядка е вторичната остеопороза при ендокринни (хиперпаратиреоидизъм, хипертиреоидизъм, хипогонадизъм, хиперглюкокортицизъм), стомашно-чревни (стомашна или чревна резекция, болест на Crohn, малабсорбция, панкреасна недостатъчност, чернодробно заболяване), кръвни, ревматични и генетични заболявания (синдром на Turner и Kleinfelter) и при лечение с медикаменти (глюкокортикоиди, хепарин, хормони на щитовидната жлеза, антиепилептични средства). От съществено значение са и начинът на живот, адекватното хранене, калциевият внос, физическата активност, хормоналният статус. Тютюнопушенето, злоупотребата с алкохол и кафе и ниският прием на калций допринасят за развитието на остеопороза. Прешлените на гръбначният стълб са предилекционно място за остеопорозата. При остеопороза костните гредички на спонгиозната кост изтъняват и се прекъсват, което води до микрофрактури в прешленното тяло. Гръбначният прешлен придобива типична биконкавна или клиновидна конфигурация. Костната загуба при остеопорозата в повечето случаи протича безсимптомно. В някои случаи компресионните фрактури в областта на торакалния и лумбалния отдел причиняват остра радикулерна болка, придружена от мускулна слабост в долните крайници. Острата болка продължава две- три седмици, след което може да отзвучи или да остане хронична болка в гърба. Хроничната болка, вследствие на фрактури на остеопоротичните прешлени, се причинява от повишаването на механичното напрежение в лумбалните прешлени и от спазъма на паравертебралната мускулатура. Гръбначните фрактури след минимална травма при болните с остеопороза са причина за неврологичен дефицит. </w:t>
      </w:r>
    </w:p>
    <w:p w14:paraId="7DA122D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 Болестта на Paget</w:t>
      </w:r>
      <w:r w:rsidRPr="00AE47C6">
        <w:rPr>
          <w:rFonts w:ascii="Times New Roman" w:eastAsia="SimSun" w:hAnsi="Times New Roman"/>
          <w:sz w:val="24"/>
          <w:szCs w:val="24"/>
        </w:rPr>
        <w:t xml:space="preserve"> засяга около 3% от хората над 40 годишна възраст. Заболяването е с неизвестна етиология и прогресиращ ход. Започва от една, след което засяга множество кости, най-често тибията, черепа и прешлените. Промените в костите включват деструктивни и репаративни промени. Дезосификацията на кортикалната кост довежда до микрофрактури. По късно настъпват остеосклеротични промени в костта. Тези промени в гръбначните прешлени довеждат до снижаване на предната част на прешлените и торакална кифоза. Налице е хронична болка в гърба, която не се облекчава от почивка и често се влошава през нощта. Към нея може да се добави и типична коренчева болка.</w:t>
      </w:r>
    </w:p>
    <w:p w14:paraId="29C1A15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9. Болестта на Scheuermann</w:t>
      </w:r>
      <w:r w:rsidRPr="00AE47C6">
        <w:rPr>
          <w:rFonts w:ascii="Times New Roman" w:eastAsia="SimSun" w:hAnsi="Times New Roman"/>
          <w:sz w:val="24"/>
          <w:szCs w:val="24"/>
        </w:rPr>
        <w:t xml:space="preserve"> е епифизеално заболяване на прешлените което се развива в юношеска възраст и довежда до болки в гърба при натоварване.</w:t>
      </w:r>
    </w:p>
    <w:p w14:paraId="0457525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10. Ахондроплазията</w:t>
      </w:r>
      <w:r w:rsidRPr="00AE47C6">
        <w:rPr>
          <w:rFonts w:ascii="Times New Roman" w:eastAsia="SimSun" w:hAnsi="Times New Roman"/>
          <w:sz w:val="24"/>
          <w:szCs w:val="24"/>
        </w:rPr>
        <w:t xml:space="preserve"> е наследствено заболяване с неизвестна етиология, предизвикващо дисфункция на ендохондралната осификация. Болните са с типичен външен вид – голяма глава, изпъкнало чело, къси ръце и крака. Типичната усилена лумбална лордоза, намалената височина на телата на прешлените и промените в анатомията на прешлените водят до стеноза на вертебралния канал. Често около 40 годишна възраст са налице болки в кръста,  придружени от сетивни и двигателни симптоми в долните крайници. Може да възникне и спастична парапареза с тазоворезервоарни нарушения, когато спиналната компресия е в торакалната област.</w:t>
      </w:r>
    </w:p>
    <w:p w14:paraId="24FF5F6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11. Синдромът на неуспешната оперативна интервенция</w:t>
      </w:r>
      <w:r w:rsidRPr="00AE47C6">
        <w:rPr>
          <w:rFonts w:ascii="Times New Roman" w:eastAsia="SimSun" w:hAnsi="Times New Roman"/>
          <w:sz w:val="24"/>
          <w:szCs w:val="24"/>
        </w:rPr>
        <w:t xml:space="preserve"> представлява персистиране или развитие на болка в гърба или крака след оперативна интервенция в лумбосакралния или шийния гръбнак. Честотата на синдрома достига до 60% от всички оперирани. Около 1-2% от пациентите с болки в гърба имат дискова херния, която е необходимо да бъде оперирана. Независимо колко е силна болката, тя винаги може да стане по-силна след оперативна интервенция. Най-честите причини за синдрома са рецидивираща дискова херния, спинална стеноза, епидурален цикатрикс или арахноидит, неправилният подбор на пациентите за хирургична интервенция (пациенти със соматоформено разстройство) или на хирургичния метод, извършване на погрешна оперативна интервенция (ламинектомия при дискогенна болка) и интервенция при липса на показания. Други причини са повторно дисково хернииране или ако оперативната интервенция не е ликвидирала проблема, усложнения след операцията (дисцит, псевдоменингоцеле, дефект на pars interarticularis), вторична нестабилност или дегенеративни промени вследствие на интервенцията (дискогенна или сакроилиачна ставна болка под оперативното ниво, спондилолистеза след ламинектомия), увреждане на нервни структури (арахноидит или епидурален цикатрикс) или придружаващи заболявания. Психологичните фактори също имат голямо значение.</w:t>
      </w:r>
    </w:p>
    <w:p w14:paraId="73FBACE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12. Коксартрозата, гонартрозата и периартритът на тазобедрената става</w:t>
      </w:r>
      <w:r w:rsidRPr="00AE47C6">
        <w:rPr>
          <w:rFonts w:ascii="Times New Roman" w:eastAsia="SimSun" w:hAnsi="Times New Roman"/>
          <w:sz w:val="24"/>
          <w:szCs w:val="24"/>
        </w:rPr>
        <w:t xml:space="preserve"> могат да създадат сериозни диференциално диагностични проблеми.  </w:t>
      </w:r>
    </w:p>
    <w:p w14:paraId="192647B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13. Лумбосакралният плексит</w:t>
      </w:r>
      <w:r w:rsidRPr="00AE47C6">
        <w:rPr>
          <w:rFonts w:ascii="Times New Roman" w:eastAsia="SimSun" w:hAnsi="Times New Roman"/>
          <w:sz w:val="24"/>
          <w:szCs w:val="24"/>
        </w:rPr>
        <w:t>, както и травматични, компресионни и диабетни ишиадикови или феморални невропатии и meralgia paresthetica трябва да се имат предвид в диференциалната диагноза.</w:t>
      </w:r>
    </w:p>
    <w:p w14:paraId="6C99C06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14. Съдовите заболявания</w:t>
      </w:r>
      <w:r w:rsidRPr="00AE47C6">
        <w:rPr>
          <w:rFonts w:ascii="Times New Roman" w:eastAsia="SimSun" w:hAnsi="Times New Roman"/>
          <w:sz w:val="24"/>
          <w:szCs w:val="24"/>
        </w:rPr>
        <w:t xml:space="preserve"> на долните крайници, предимно оклузията на общата или вътрешна илиачна артерия и тромбозата на коремната аорта могат да предизвикат болки в кръста, които ирадиират към бедрото. Болката е дълбока, постоянна, недобре локализирана, придружена с изтръпване на крака. Намират се промени в температурата на крайника, феморалния и пулса на dorsalis pedis липсват, може да е налице интермитентно клаудикацио. </w:t>
      </w:r>
    </w:p>
    <w:p w14:paraId="6176D42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15. Първичните или метастатични тумори</w:t>
      </w:r>
      <w:r w:rsidRPr="00AE47C6">
        <w:rPr>
          <w:rFonts w:ascii="Times New Roman" w:eastAsia="SimSun" w:hAnsi="Times New Roman"/>
          <w:sz w:val="24"/>
          <w:szCs w:val="24"/>
        </w:rPr>
        <w:t xml:space="preserve"> хемангиом, остеом, сарком, ретикулосарком, миелом, неврофибром, менингеом и метастатичен карцином трябва винаги да се имат предвид в диференциалната диагноза. Тумори локализирани в малкия таз и особено ретроперитонеално притискат лумбосакралния плексус и предизвикват болки в кръста, понякога с ишиадикова ирадиация на болката.</w:t>
      </w:r>
    </w:p>
    <w:p w14:paraId="26B4F67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16. Бременност и менструация</w:t>
      </w:r>
      <w:r w:rsidRPr="00AE47C6">
        <w:rPr>
          <w:rFonts w:ascii="Times New Roman" w:eastAsia="SimSun" w:hAnsi="Times New Roman"/>
          <w:sz w:val="24"/>
          <w:szCs w:val="24"/>
        </w:rPr>
        <w:t xml:space="preserve"> (20% от жените) могат да доведат до болки в гърба. През втората половина от бременността вследствие на хормоналните промени настъпва размекване на фиброзните тъкани на гръбнака и таза с последващо разтягане на лигаментите и болки в кръста. Създават условия и за промени в дисковете с дискова херния. Тези промени са особено изразени при многораждалите жени. Ендометриозата може да засегне лумбо-сакралния плексус и да предизвика болки в кръста и ишиалгия.</w:t>
      </w:r>
    </w:p>
    <w:p w14:paraId="076106F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17.</w:t>
      </w:r>
      <w:r w:rsidRPr="00AE47C6">
        <w:rPr>
          <w:rFonts w:ascii="Times New Roman" w:eastAsia="SimSun" w:hAnsi="Times New Roman"/>
          <w:sz w:val="24"/>
          <w:szCs w:val="24"/>
        </w:rPr>
        <w:t xml:space="preserve"> Болката при някои </w:t>
      </w:r>
      <w:r w:rsidRPr="00AE47C6">
        <w:rPr>
          <w:rFonts w:ascii="Times New Roman" w:eastAsia="SimSun" w:hAnsi="Times New Roman"/>
          <w:b/>
          <w:sz w:val="24"/>
          <w:szCs w:val="24"/>
        </w:rPr>
        <w:t>заболявания на вътрешните органи</w:t>
      </w:r>
      <w:r w:rsidRPr="00AE47C6">
        <w:rPr>
          <w:rFonts w:ascii="Times New Roman" w:eastAsia="SimSun" w:hAnsi="Times New Roman"/>
          <w:sz w:val="24"/>
          <w:szCs w:val="24"/>
        </w:rPr>
        <w:t xml:space="preserve"> се разпространява към гръбнака. Болката от малкия таз (урологични и гинекологични заболявания) се разпространява към сакралната област, от долната част на корема (червата) – към L</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до L</w:t>
      </w:r>
      <w:r w:rsidRPr="00AE47C6">
        <w:rPr>
          <w:rFonts w:ascii="Times New Roman" w:eastAsia="SimSun" w:hAnsi="Times New Roman"/>
          <w:sz w:val="24"/>
          <w:szCs w:val="24"/>
          <w:vertAlign w:val="subscript"/>
        </w:rPr>
        <w:t>4</w:t>
      </w:r>
      <w:r w:rsidRPr="00AE47C6">
        <w:rPr>
          <w:rFonts w:ascii="Times New Roman" w:eastAsia="SimSun" w:hAnsi="Times New Roman"/>
          <w:sz w:val="24"/>
          <w:szCs w:val="24"/>
        </w:rPr>
        <w:t xml:space="preserve"> прешлен и от горната част на корема (стомаха, панкреаса и ретроперитонеалното пространство) – към долните торакални и първите лумбални прешлени.</w:t>
      </w:r>
    </w:p>
    <w:p w14:paraId="3054ADE9"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b/>
          <w:bCs/>
          <w:sz w:val="24"/>
          <w:szCs w:val="24"/>
          <w:lang w:eastAsia="ar-SA"/>
        </w:rPr>
      </w:pPr>
      <w:r w:rsidRPr="00AE47C6">
        <w:rPr>
          <w:rFonts w:ascii="Times New Roman" w:eastAsia="SimSun" w:hAnsi="Times New Roman"/>
          <w:b/>
          <w:bCs/>
          <w:sz w:val="24"/>
          <w:szCs w:val="24"/>
          <w:lang w:eastAsia="ar-SA"/>
        </w:rPr>
        <w:t>Комплексен регионален болков синдром</w:t>
      </w:r>
    </w:p>
    <w:p w14:paraId="3BA0935E"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Представлява рядко срещана невралгия на периферните нерви. </w:t>
      </w:r>
    </w:p>
    <w:p w14:paraId="1A42612E"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 xml:space="preserve">Класифицира </w:t>
      </w:r>
      <w:r w:rsidRPr="00AE47C6">
        <w:rPr>
          <w:rFonts w:ascii="Times New Roman" w:eastAsia="SimSun" w:hAnsi="Times New Roman"/>
          <w:sz w:val="24"/>
          <w:szCs w:val="24"/>
          <w:lang w:eastAsia="ar-SA"/>
        </w:rPr>
        <w:t xml:space="preserve">се като комплексен регионален болков синдром I тип (рефлексна симпатикова дистрофия) и комплексен регионален болков синдром II тип (каузалгия). Двата синдрома се различават по отношение на етиологията, клиничната симптоматика и повлияването от лечение. </w:t>
      </w:r>
    </w:p>
    <w:p w14:paraId="7F96E7FD"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Заболяемостта</w:t>
      </w:r>
      <w:r w:rsidRPr="00AE47C6">
        <w:rPr>
          <w:rFonts w:ascii="Times New Roman" w:eastAsia="SimSun" w:hAnsi="Times New Roman"/>
          <w:sz w:val="24"/>
          <w:szCs w:val="24"/>
          <w:lang w:eastAsia="ar-SA"/>
        </w:rPr>
        <w:t xml:space="preserve"> е 5 на 100 000 пациенти, изложени на риск. Среща се 4 пъти по-често при жени. </w:t>
      </w:r>
    </w:p>
    <w:p w14:paraId="5B4EE3A6"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 xml:space="preserve">Етиологията </w:t>
      </w:r>
      <w:r w:rsidRPr="00AE47C6">
        <w:rPr>
          <w:rFonts w:ascii="Times New Roman" w:eastAsia="SimSun" w:hAnsi="Times New Roman"/>
          <w:i/>
          <w:sz w:val="24"/>
          <w:szCs w:val="24"/>
          <w:lang w:eastAsia="ar-SA"/>
        </w:rPr>
        <w:t>на каузалгията</w:t>
      </w:r>
      <w:r w:rsidRPr="00AE47C6">
        <w:rPr>
          <w:rFonts w:ascii="Times New Roman" w:eastAsia="SimSun" w:hAnsi="Times New Roman"/>
          <w:sz w:val="24"/>
          <w:szCs w:val="24"/>
          <w:lang w:eastAsia="ar-SA"/>
        </w:rPr>
        <w:t xml:space="preserve"> е свързана с травматична лезия на големи, проксимални нервни стволове, предизвикана от нож, куршум, части от машина, остри камъни или други предмети, с непълно прекъсване на периферен нерв. В 10% от случаите заболяването е идиопатично и не се предшества от ясна причина. </w:t>
      </w:r>
    </w:p>
    <w:p w14:paraId="7C803230"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Рефлексната симпатикова дистрофия</w:t>
      </w:r>
      <w:r w:rsidRPr="00AE47C6">
        <w:rPr>
          <w:rFonts w:ascii="Times New Roman" w:eastAsia="SimSun" w:hAnsi="Times New Roman"/>
          <w:sz w:val="24"/>
          <w:szCs w:val="24"/>
          <w:lang w:eastAsia="ar-SA"/>
        </w:rPr>
        <w:t xml:space="preserve"> възниква без увреждане на периферните нерви, след минимални травми на крайника: възпаление след хирургична интервенция, инфекции, изгаряния, наранявания, измръзвания, дегенеративни заболявания на ставите, травми, носене на шини и гипс и други, които водят до дълготраен оток на крайника с компресия на периферните нерви. Половината от случаите възникват след травма в горните крайници (n. medianus или n. ulnaris), по-рядко в долните (n. ischiadicus или n. peroneus), китката, коляното или глезена. При 30% от пациентите възниква след фрактура на китката. Честа причина е хирургичната интервенция за: артроскопия на коленната става (4%), синдром на карпалния канал (5%), на глезена (13%) и тотална артропластика на коляното (13%). По-рядко възниква след инфаркт на миокарда или инсулт. </w:t>
      </w:r>
    </w:p>
    <w:p w14:paraId="5D12684D"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Патогенезата</w:t>
      </w:r>
      <w:r w:rsidRPr="00AE47C6">
        <w:rPr>
          <w:rFonts w:ascii="Times New Roman" w:eastAsia="SimSun" w:hAnsi="Times New Roman"/>
          <w:sz w:val="24"/>
          <w:szCs w:val="24"/>
          <w:lang w:eastAsia="ar-SA"/>
        </w:rPr>
        <w:t xml:space="preserve"> е свързана с реорганизация на централния автономен контрол. Ранните симпатикови симптоми (едем, вазодилатация, трофични промени и повишена температура) са предизвикани от неврогенно възпаление. Централното освобождаване на невропептиди предизвиква ноцицептивна сензитизация и води до появата на хиперхидроза и двигателни нарушения като дистония. Субстанция Р и тумор некротизиращия фактор α активират остеокластите и предизвикват остеопороза. При хроничната форма кожата става студена, получава се вазоконстрикция. С времето симпатиковата болка намалява, поради намаляването на възпалителния компонент. </w:t>
      </w:r>
    </w:p>
    <w:p w14:paraId="26383E65"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Сетивните нарушения в засегнатия крайник излизат извън анатомичната зона на инервация и се възстановяват бързо. Те се дължат на промяна в коровата обработка на информацията за допир вследствие на хроничната болка. </w:t>
      </w:r>
    </w:p>
    <w:p w14:paraId="56BE7C29"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Клиничната картина</w:t>
      </w:r>
      <w:r w:rsidRPr="00AE47C6">
        <w:rPr>
          <w:rFonts w:ascii="Times New Roman" w:eastAsia="SimSun" w:hAnsi="Times New Roman"/>
          <w:sz w:val="24"/>
          <w:szCs w:val="24"/>
          <w:lang w:eastAsia="ar-SA"/>
        </w:rPr>
        <w:t xml:space="preserve"> при двата синдрома се характеризира с четири основни симптома в дисталните части на крайниците: болка, оток, промяна в цвета на кожата и стегнатост. Те не корелират със степента на увреда. Сетивните, двигателните, автономни и трофични симптоми се променят във времето, с преминаване в хроничния стадии. Колкото по-тежко протича острата фаза, толкова по голяма е вероятността за хронифициране. </w:t>
      </w:r>
    </w:p>
    <w:p w14:paraId="64AE1812"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Спонтанната болка</w:t>
      </w:r>
      <w:r w:rsidRPr="00AE47C6">
        <w:rPr>
          <w:rFonts w:ascii="Times New Roman" w:eastAsia="SimSun" w:hAnsi="Times New Roman"/>
          <w:sz w:val="24"/>
          <w:szCs w:val="24"/>
          <w:lang w:eastAsia="ar-SA"/>
        </w:rPr>
        <w:t xml:space="preserve"> в крайника в покой, по-силно изразена в пръстите, дланта или стъпалото е основният и най-чест симптом. Тя е постоянна, умерено силна, пареща или стрелкаща, дълбока, по рядко повърхностна. Засилва се от допир, топлина, студ, шум и емоции, поради хипералгезията. Най-много се засилва от движение на крайника, което стимулира механорецепторите в ставата, поради което пациентът държи крайника неподвижен и го пази от всякакъв контакт. Не може да понася дори допира на дрехите, но често завива крайника си с кърпа намокрена със студена вода в желанието си да облекчи болката. Болката ирадиира в широки области извън засегнатия нерв.</w:t>
      </w:r>
    </w:p>
    <w:p w14:paraId="05DE48F4"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Парестезии</w:t>
      </w:r>
      <w:r w:rsidRPr="00AE47C6">
        <w:rPr>
          <w:rFonts w:ascii="Times New Roman" w:eastAsia="SimSun" w:hAnsi="Times New Roman"/>
          <w:sz w:val="24"/>
          <w:szCs w:val="24"/>
          <w:lang w:eastAsia="ar-SA"/>
        </w:rPr>
        <w:t xml:space="preserve"> се наблюдават по-рядко, но може да има усещането, че крайникът е чужд. Хиперестезията и алодинията се наблюдава по-често. Хипералгезията и алодинията са вторични феномени, свързани с централната обработка на ноцицептивната информация. </w:t>
      </w:r>
    </w:p>
    <w:p w14:paraId="3BA16706"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Автономните нарушения</w:t>
      </w:r>
      <w:r w:rsidRPr="00AE47C6">
        <w:rPr>
          <w:rFonts w:ascii="Times New Roman" w:eastAsia="SimSun" w:hAnsi="Times New Roman"/>
          <w:sz w:val="24"/>
          <w:szCs w:val="24"/>
          <w:lang w:eastAsia="ar-SA"/>
        </w:rPr>
        <w:t xml:space="preserve"> в острата фаза се проявяват с дистална едема, топла, лъскава и зачервена кожа в засегнатите крайници. Отокът е в областта на първоначалната травма, по гърба на ръцете и стъпалата, по-рядко в коленете. Първоначално е мек и ограничен, по-късно става твърд и може да засегне целия крайник. В края на деня се засилва, а с преминаване в хроничната фаза изчезва. Добавят се судо и вазомоторни, а по-късно и трофични нарушения, които намаляват в хроничния стадии. В острите стадии (през първите 6 месеца) кожната температура е повишена в засегнатия крайник поради вазодилатацията, кожата е зачервена и изглежда хиперемична. В някои случаи кожната температура се променя ежедневно. В хроничната фаза вазодилатацията се заменя с вазоконстрикция, кожната температура спада на увредената страна, кожата става бледа или синкава и изглежда тънка и лъскава. При студените форми кожната температура е ниска от началото, може да не се промени във времето и да остане по-ниска с години, а цвета на кожата остава синкав. Отокът и трофичните промени са по-слабо изразени. И при двете форми се наблюдава хиперхидроза и по рядко – хипохидроза. Кожата на засегнатия крайник е влажна и топла или студена, лъскава и гладка, люспеста и обезцветена.</w:t>
      </w:r>
    </w:p>
    <w:p w14:paraId="39FA155D"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Мускулната стегнатост</w:t>
      </w:r>
      <w:r w:rsidRPr="00AE47C6">
        <w:rPr>
          <w:rFonts w:ascii="Times New Roman" w:eastAsia="SimSun" w:hAnsi="Times New Roman"/>
          <w:sz w:val="24"/>
          <w:szCs w:val="24"/>
          <w:lang w:eastAsia="ar-SA"/>
        </w:rPr>
        <w:t xml:space="preserve"> се дължи на отока на крайника и липсата на движения поради силната болка. С прогресията на заболяването се развива фиброза на лигаментите и адхезии в ставите, които ограничават възможността за движение. </w:t>
      </w:r>
    </w:p>
    <w:p w14:paraId="4A1275DD"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Трофичните промени</w:t>
      </w:r>
      <w:r w:rsidRPr="00AE47C6">
        <w:rPr>
          <w:rFonts w:ascii="Times New Roman" w:eastAsia="SimSun" w:hAnsi="Times New Roman"/>
          <w:sz w:val="24"/>
          <w:szCs w:val="24"/>
          <w:lang w:eastAsia="ar-SA"/>
        </w:rPr>
        <w:t xml:space="preserve"> в началото на заболяването се проявяват като плюс симптоми – засилен растеж на ноктите и космите, както и периартикуларна петниста остеопороза. С времето те избледняват и преминават постепенно в негативни – намален растеж на ноктите и космите, атрофия на кожата, която става стегната и лъскава и имобилизационна остеопороза. При по-тежките случаи може да възникне атрофия на подкожната тъкан, изтъняване на възглавничките на пръстите (симптом на подострения молив) и мускулна хипотрофия с фибрози и мускулни контрактури. </w:t>
      </w:r>
    </w:p>
    <w:p w14:paraId="41407A66"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Мускулна слабост</w:t>
      </w:r>
      <w:r w:rsidRPr="00AE47C6">
        <w:rPr>
          <w:rFonts w:ascii="Times New Roman" w:eastAsia="SimSun" w:hAnsi="Times New Roman"/>
          <w:sz w:val="24"/>
          <w:szCs w:val="24"/>
          <w:lang w:eastAsia="ar-SA"/>
        </w:rPr>
        <w:t xml:space="preserve"> в увредения крайник се наблюдава при голяма част от пациентите. В острата фаза тя е свързана с щаденето на крайника поради болката, а в хроничният стадии – с енергиен дефицит в увредените мускули. Обемът на движение на крайниците в острата фаза е намален, поради отокът и мускулния спазъм. През хроничната фаза обемът е намален поради контрактурите и фиброзите на палмарните и плантарни апоневрози.</w:t>
      </w:r>
    </w:p>
    <w:p w14:paraId="61A47019"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В развитието си заболяването може да не премине през описаните фази. Засегнатите участъци могат да се разширят от дисталните към проксималните части на крайниците, да обхванат не съседни области (70%) или огледални области в другия крайник. </w:t>
      </w:r>
    </w:p>
    <w:p w14:paraId="7C6D4F23"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При част от пациентите се установява усилен постурален тремор в увредения крайник и по-рядко – миоклонии и фокална дистония. Студената форма се придружава по-често от дистония, поради недостатъчност на ГАМК инхибиторните невронни кръгове.</w:t>
      </w:r>
    </w:p>
    <w:p w14:paraId="0881ECAD"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i/>
          <w:sz w:val="24"/>
          <w:szCs w:val="24"/>
          <w:lang w:eastAsia="ar-SA"/>
        </w:rPr>
        <w:t>Рефлексната симпатикова дистрофия</w:t>
      </w:r>
      <w:r w:rsidRPr="00AE47C6">
        <w:rPr>
          <w:rFonts w:ascii="Times New Roman" w:eastAsia="SimSun" w:hAnsi="Times New Roman"/>
          <w:sz w:val="24"/>
          <w:szCs w:val="24"/>
          <w:lang w:eastAsia="ar-SA"/>
        </w:rPr>
        <w:t xml:space="preserve"> протича в три фази. Пациентите не развиват всички възможни симптоми по време на хода на заболяването. Острата фаза започва до няколко дни след травмата и продължава няколко седмици. Характеризира се със спонтанна пареща болка разпространяваща се по хода на периферните нерви или кръвоносни съдове. Болката се засилва от студено, но не се повлиява от емоции. Могат да се появят хиперпатия, хипестезия или хиперестезия и дизестезия. Кожата на крайника е топла, суха и зачервена или студена, синкава, оточна и потна. Усилен е растежа на ноктите и космите. Движенията на крайника са ограничени. Втората, дистрофична фаза започва 3-6 месеца след травмата. През тази фаза болката е пареща и ирадиира под и над мястото на увредата, налице са хиперестезия и хипералгезия. Настъпват дистрофични промени в ноктите и растежът на косъма е забавен. Ставите стават сковани, надебелени, с намален обем на движение. Установява се лека мускулна атрофия, оток и остеопороза. През третата, атрофична фаза, която настъпва след 6 месеца от увредата, се установява болка, понижена кожна температура, трофични промени, изразени в гладка и лъскава кожа, сковани и трудно подвижни стави с мускулни контрактури, намалено или повишено изпотяване, деминерализация на костите с мускулна атрофия и намалена мускулна сила. </w:t>
      </w:r>
    </w:p>
    <w:p w14:paraId="7B615F2B"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i/>
          <w:sz w:val="24"/>
          <w:szCs w:val="24"/>
          <w:lang w:eastAsia="ar-SA"/>
        </w:rPr>
        <w:t>Каузалгията</w:t>
      </w:r>
      <w:r w:rsidRPr="00AE47C6">
        <w:rPr>
          <w:rFonts w:ascii="Times New Roman" w:eastAsia="SimSun" w:hAnsi="Times New Roman"/>
          <w:sz w:val="24"/>
          <w:szCs w:val="24"/>
          <w:lang w:eastAsia="ar-SA"/>
        </w:rPr>
        <w:t xml:space="preserve"> протича със силна, непрекъсната и пареща болка. Симптомите възникват няколко часа или 1-2 седмици след увредата и засягат проксималните части на крайника. Болката персистира над 5-6 седмици, което е времето, необходимо за възстановяване на увредените тъкани. Засилва се през нощта, от емоционални или стимули от външната среда. Могат да се появят и пароксизми от дълбока болка. </w:t>
      </w:r>
    </w:p>
    <w:p w14:paraId="618CE8E8"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iCs/>
          <w:sz w:val="24"/>
          <w:szCs w:val="24"/>
          <w:lang w:eastAsia="ar-SA"/>
        </w:rPr>
        <w:t>Диагнозата</w:t>
      </w:r>
      <w:r w:rsidRPr="00AE47C6">
        <w:rPr>
          <w:rFonts w:ascii="Times New Roman" w:eastAsia="SimSun" w:hAnsi="Times New Roman"/>
          <w:sz w:val="24"/>
          <w:szCs w:val="24"/>
          <w:lang w:eastAsia="ar-SA"/>
        </w:rPr>
        <w:t xml:space="preserve"> се поставя според критерии на IASP, ако са налице определени симптоми. Освен непрекъсната болка, която не е пропорционална на никаква пораждаща я причина, пациента трябва да съобщава поне по един симптом от поне 3 от 4 категории:</w:t>
      </w:r>
    </w:p>
    <w:p w14:paraId="75D008E2"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1. хипералгезия, хиперестезия; </w:t>
      </w:r>
    </w:p>
    <w:p w14:paraId="48F1C8ED"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2. асиметрия в кожната температура, промяна в цвета на кожата или асиметрия; </w:t>
      </w:r>
    </w:p>
    <w:p w14:paraId="7EB60BA1"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3. асиметрия в изпотяването, оток; </w:t>
      </w:r>
    </w:p>
    <w:p w14:paraId="28E91008"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4. намален обем на движение, дистония, тремор, мускулна слабост, трофични промени в космите или ноктите. </w:t>
      </w:r>
    </w:p>
    <w:p w14:paraId="1018D628"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При изследването трябва да е налице поне по една проява от поне 2 от 4 категории: </w:t>
      </w:r>
    </w:p>
    <w:p w14:paraId="23DC6871"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1. Хипералгезия при убождане, болка при докосване, хипералгезия или алодиния при натиск; </w:t>
      </w:r>
    </w:p>
    <w:p w14:paraId="599F7B76"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2. Асиметрия в кожната температура, промяна или асиметрия в цвета на кожата; </w:t>
      </w:r>
    </w:p>
    <w:p w14:paraId="5650317C"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3. Асиметрия в изпотяването, оток; </w:t>
      </w:r>
    </w:p>
    <w:p w14:paraId="5D875729"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4. Намален обем на движение, дистония, тремор, мускулна слабост, трофични промени в космите или ноктите. </w:t>
      </w:r>
    </w:p>
    <w:p w14:paraId="2C279610"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Последното изискване е да няма друга диагноза, която да обяснява по-добре симптомите. За да се постави диагноза комплексен регионален болков синдром II тип е необходимо да се установи клинично и неврофизиологично лезия на периферен нерв.</w:t>
      </w:r>
    </w:p>
    <w:p w14:paraId="05B4B94F"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iCs/>
          <w:sz w:val="24"/>
          <w:szCs w:val="24"/>
          <w:lang w:eastAsia="ar-SA"/>
        </w:rPr>
        <w:t>Изследвания</w:t>
      </w:r>
      <w:r w:rsidRPr="00AE47C6">
        <w:rPr>
          <w:rFonts w:ascii="Times New Roman" w:eastAsia="SimSun" w:hAnsi="Times New Roman"/>
          <w:sz w:val="24"/>
          <w:szCs w:val="24"/>
          <w:lang w:eastAsia="ar-SA"/>
        </w:rPr>
        <w:t xml:space="preserve">, които да доказват заболяването няма. </w:t>
      </w:r>
    </w:p>
    <w:p w14:paraId="0135C8D8"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Инфрачервената термография</w:t>
      </w:r>
      <w:r w:rsidRPr="00AE47C6">
        <w:rPr>
          <w:rFonts w:ascii="Times New Roman" w:eastAsia="SimSun" w:hAnsi="Times New Roman"/>
          <w:sz w:val="24"/>
          <w:szCs w:val="24"/>
          <w:lang w:eastAsia="ar-SA"/>
        </w:rPr>
        <w:t xml:space="preserve"> установява температурните разлики, които и при двете форми са над 1</w:t>
      </w:r>
      <w:r w:rsidRPr="00AE47C6">
        <w:rPr>
          <w:rFonts w:ascii="Times New Roman" w:eastAsia="SimSun" w:hAnsi="Times New Roman"/>
          <w:sz w:val="24"/>
          <w:szCs w:val="24"/>
          <w:vertAlign w:val="superscript"/>
          <w:lang w:eastAsia="ar-SA"/>
        </w:rPr>
        <w:t>0</w:t>
      </w:r>
      <w:r w:rsidRPr="00AE47C6">
        <w:rPr>
          <w:rFonts w:ascii="Times New Roman" w:eastAsia="SimSun" w:hAnsi="Times New Roman"/>
          <w:sz w:val="24"/>
          <w:szCs w:val="24"/>
          <w:lang w:eastAsia="ar-SA"/>
        </w:rPr>
        <w:t>. Пациентите имат положителен тест на студената вода.</w:t>
      </w:r>
    </w:p>
    <w:p w14:paraId="0766C257"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Конвенционалната рентгенография</w:t>
      </w:r>
      <w:r w:rsidRPr="00AE47C6">
        <w:rPr>
          <w:rFonts w:ascii="Times New Roman" w:eastAsia="SimSun" w:hAnsi="Times New Roman"/>
          <w:sz w:val="24"/>
          <w:szCs w:val="24"/>
          <w:lang w:eastAsia="ar-SA"/>
        </w:rPr>
        <w:t xml:space="preserve"> може да покаже 4-8 седмици след началото на заболяването развитието на петниста остеопороза в юкста-артикуларните части на костите. В по-късните стадии остеопорозата става дифузна. </w:t>
      </w:r>
    </w:p>
    <w:p w14:paraId="0C3A3C1B"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Трифазната костна сцинтиграфия</w:t>
      </w:r>
      <w:r w:rsidRPr="00AE47C6">
        <w:rPr>
          <w:rFonts w:ascii="Times New Roman" w:eastAsia="SimSun" w:hAnsi="Times New Roman"/>
          <w:sz w:val="24"/>
          <w:szCs w:val="24"/>
          <w:lang w:eastAsia="ar-SA"/>
        </w:rPr>
        <w:t xml:space="preserve"> с technetium-99m доказва рано остеопорозата. Повишено е натрупването на изотопа в периартикуларната област, което е индикатор за повишен костен метаболизъм. </w:t>
      </w:r>
    </w:p>
    <w:p w14:paraId="31209523"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МРТ изследването</w:t>
      </w:r>
      <w:r w:rsidRPr="00AE47C6">
        <w:rPr>
          <w:rFonts w:ascii="Times New Roman" w:eastAsia="SimSun" w:hAnsi="Times New Roman"/>
          <w:sz w:val="24"/>
          <w:szCs w:val="24"/>
          <w:lang w:eastAsia="ar-SA"/>
        </w:rPr>
        <w:t xml:space="preserve"> дава възможност да се отдиференцират други заболявания. </w:t>
      </w:r>
    </w:p>
    <w:p w14:paraId="4A06402F"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ЕМГ изследването</w:t>
      </w:r>
      <w:r w:rsidRPr="00AE47C6">
        <w:rPr>
          <w:rFonts w:ascii="Times New Roman" w:eastAsia="SimSun" w:hAnsi="Times New Roman"/>
          <w:sz w:val="24"/>
          <w:szCs w:val="24"/>
          <w:lang w:eastAsia="ar-SA"/>
        </w:rPr>
        <w:t xml:space="preserve"> дава възможност да се установи увреждане на периферните нерви.</w:t>
      </w:r>
    </w:p>
    <w:p w14:paraId="6CD932CF"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 xml:space="preserve">Диференциалната диагноза </w:t>
      </w:r>
      <w:r w:rsidRPr="00AE47C6">
        <w:rPr>
          <w:rFonts w:ascii="Times New Roman" w:eastAsia="SimSun" w:hAnsi="Times New Roman"/>
          <w:sz w:val="24"/>
          <w:szCs w:val="24"/>
          <w:lang w:eastAsia="ar-SA"/>
        </w:rPr>
        <w:t>включва локализирана инфекция в крайника, която може да имитира топлата форма или артериална оклузия, която имитира студената.</w:t>
      </w:r>
    </w:p>
    <w:p w14:paraId="637F2EBA"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66" w:name="_Toc155651732"/>
      <w:bookmarkStart w:id="67" w:name="_Toc164075864"/>
      <w:r w:rsidRPr="00AE47C6">
        <w:rPr>
          <w:rFonts w:ascii="Times New Roman" w:eastAsia="SimSun" w:hAnsi="Times New Roman"/>
          <w:b/>
          <w:sz w:val="24"/>
          <w:szCs w:val="20"/>
          <w:lang w:eastAsia="ja-JP"/>
        </w:rPr>
        <w:t>3.1.3. Компресионни невропатии</w:t>
      </w:r>
      <w:bookmarkEnd w:id="66"/>
      <w:bookmarkEnd w:id="67"/>
    </w:p>
    <w:p w14:paraId="21307568"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Представляват фокални лезии, предизвикани от притискане на периферните нерви при тяхното преминаване през костно-фиброзни анатомични канали, под лигаменти, ретинакулуми, фиброзни образувания на мускула или при натиск през кожата на места, където нервът преминава повърхностно. Външното притискане се предизвиква от патерици, гипс и други твърди предмети. </w:t>
      </w:r>
    </w:p>
    <w:p w14:paraId="5B14D678"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Протичат с комбинация от ноцицептивна и невропатна болка. Нервните стволове са източник на локална ноцицептивна болка (хипералгезия на нервния ствол), която се разпространява към околните области, но не ирадиира по хода на нерва. Такава болка се предизвиква при палпация на улнарния нерв в кубиталния канал. Често се появява асоциираният феномен на отразената болка. </w:t>
      </w:r>
    </w:p>
    <w:p w14:paraId="4974A291"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 xml:space="preserve">Компресията на n. medianus </w:t>
      </w:r>
      <w:r w:rsidRPr="00AE47C6">
        <w:rPr>
          <w:rFonts w:ascii="Times New Roman" w:eastAsia="SimSun" w:hAnsi="Times New Roman"/>
          <w:bCs/>
          <w:sz w:val="24"/>
          <w:szCs w:val="24"/>
        </w:rPr>
        <w:t>може да настъпи в дисталната и проксималната част на нерва.</w:t>
      </w:r>
    </w:p>
    <w:p w14:paraId="1A8D80E0"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i/>
          <w:sz w:val="24"/>
          <w:szCs w:val="24"/>
        </w:rPr>
        <w:t>Синдромът на карпалния канал</w:t>
      </w:r>
      <w:r w:rsidRPr="00AE47C6">
        <w:rPr>
          <w:rFonts w:ascii="Times New Roman" w:eastAsia="SimSun" w:hAnsi="Times New Roman"/>
          <w:bCs/>
          <w:sz w:val="24"/>
          <w:szCs w:val="24"/>
        </w:rPr>
        <w:t xml:space="preserve"> е най-честата дистална компресионна невропатия. Болестността е 2-3% от населението, засяга 3 пъти по-често жени на средна възраст. Увредата на нерва се дължи на механичната компресия на n. medianus в карпалния канал, в областта на китката и локалната исхемия. При повишаване на налягането се затруднява венозния отток и кръвоснабдяването на нерва. При достигане на критично ниво на хипоксия, болковите влакна в нерва стават свръхвъзбудими и генерират спонтанни импулси. </w:t>
      </w:r>
    </w:p>
    <w:p w14:paraId="4195CFF1"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Патологичните процеси, които водят до компресия се разделят на 3 групи. Първата група са свързани с процеси засягащи стените на канала и стесняващи неговото пространство. В нея се включват увреждания на китката (дислокации на карпални кости), хипертрофична артропатия и задебеляване на flexor retinaculum. Конституционално по-тесния канал предразполага към развитие на синдрома, особено при професии, свързани с повтарящи се движения на китката и ръката. Втората група причини е свързана с фактори, които директно засягат съдържимото на канала. В нея се включват заболявания на сухожилията и бурсите, хипертрофични невропатии, липоми, ксантоми и ганглиони. Третата група причини са идиопатични – миелома, болест на Raynaud, бъбречна недостатъчност, амилоидоза, подагра, захарен диабет, хипо и хипертиреоидизъм, микседема, синдром на Graves, акромегалия, свръхактивност на хипофизата, затлъстяване, бременност (оток на меките тъкани), съдов шънт за хемодиализа и много други системни заболявания. Повтарящата се активност на ръката влошава синдрома след време поради уплътняване на синовиалната обвивка на сухожилията, които преминават през канала заедно с нерва. </w:t>
      </w:r>
    </w:p>
    <w:p w14:paraId="2B571DBA"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Клинично,</w:t>
      </w:r>
      <w:r w:rsidRPr="00AE47C6">
        <w:rPr>
          <w:rFonts w:ascii="Times New Roman" w:eastAsia="SimSun" w:hAnsi="Times New Roman"/>
          <w:bCs/>
          <w:sz w:val="24"/>
          <w:szCs w:val="24"/>
        </w:rPr>
        <w:t xml:space="preserve"> началото е постепенно, с пристъпи от болезнено изтръпване в едната или двете китки. Симптомите се локализират в зоната на инервация на нерва – палеца, показалеца, средния пръст и радиалната половина на безименния пръст. Най-типични са позитивните сетивни симптоми, под формата на акропарестезии. Болката и парестезиите се проявяват най-силно през нощта и събуждат пациента от сън. Симптомите се провокират от четене на вестник, повтаряща се флексия на китката и пръстите, шофиране и шиене. С прогресията на заболяването се добавя и пареща болка. За провокиране на невропатната болка се използват тестовете на Tinnel и Phalen, които може да са отрицателни. </w:t>
      </w:r>
    </w:p>
    <w:p w14:paraId="481C45DB"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Вторият важен симптом при 40% от пациентите е отразената ноцицептивна болка, с която може да започне заболяването. Тя е дълбока, недобре локализирана в областта на китката, засилва се от повтарящи се движения и се разпространява към проксималната част на крайника, най-често към лакътя, рядко достига до рамото. Обхваща медиалните части на крайника и може да бъде по-силна от невропатната. </w:t>
      </w:r>
    </w:p>
    <w:p w14:paraId="7FB0C1DD"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Отпадни сетивни нарушения се установяват рядко, в дисталните части на пръстите, инервирани от n. medianus. Сетивността в областта на дланта не се засяга, защото сетивните клончета на нерва се отделят преди карпалния канал. </w:t>
      </w:r>
    </w:p>
    <w:p w14:paraId="3B0A3D49"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Автономни трофични промени във върха на пръстите и хипохидроза се установяват рядко. При някои пациенти се добавя и синдром на Raynaud, поради засягане на симпатиковите влакна на нерва.</w:t>
      </w:r>
    </w:p>
    <w:p w14:paraId="12DDF90E"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Позитивни двигателни нарушения, като спонтанни фасцикулации в мускулите инервирани от n. medianus се установяват рядко. Хипотрофията възниква след загубата на сетивността, при пациенти с аксонна увреда и невропатна болка. Появата на двигателни симптоми показва по-голяма тежест на увредата и обикновено изисква хирургична декомпресия. По-рядко може да има хипотрофия на thenar, без болка. Засягат се мускулите инервирани от n. medianus дистално от карпалния канал: mm. abductor pollicis brevis, opponens pollicis, flexor pollicis brevis и lumbricales на показалеца и средния пръст. </w:t>
      </w:r>
    </w:p>
    <w:p w14:paraId="68A85843"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Диференциалната диагноза</w:t>
      </w:r>
      <w:r w:rsidRPr="00AE47C6">
        <w:rPr>
          <w:rFonts w:ascii="Times New Roman" w:eastAsia="SimSun" w:hAnsi="Times New Roman"/>
          <w:bCs/>
          <w:sz w:val="24"/>
          <w:szCs w:val="24"/>
        </w:rPr>
        <w:t xml:space="preserve"> включва увреждане на нерва в областта на лакътя. </w:t>
      </w:r>
    </w:p>
    <w:p w14:paraId="1D4EFBCD"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ЕМГ изследването показва забавена проводимост в дисталния сегмент на нерва и снижена амплитуда на моторния отговор (при аксонна дегенерация). </w:t>
      </w:r>
    </w:p>
    <w:p w14:paraId="7A1EABCE"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i/>
          <w:sz w:val="24"/>
          <w:szCs w:val="24"/>
        </w:rPr>
        <w:t>Компресия на n. medianus</w:t>
      </w:r>
      <w:r w:rsidRPr="00AE47C6">
        <w:rPr>
          <w:rFonts w:ascii="Times New Roman" w:eastAsia="SimSun" w:hAnsi="Times New Roman"/>
          <w:bCs/>
          <w:i/>
          <w:sz w:val="24"/>
          <w:szCs w:val="24"/>
        </w:rPr>
        <w:t xml:space="preserve"> в проксималните части</w:t>
      </w:r>
      <w:r w:rsidRPr="00AE47C6">
        <w:rPr>
          <w:rFonts w:ascii="Times New Roman" w:eastAsia="SimSun" w:hAnsi="Times New Roman"/>
          <w:bCs/>
          <w:sz w:val="24"/>
          <w:szCs w:val="24"/>
        </w:rPr>
        <w:t xml:space="preserve"> на крайника може да настъпи на три различни места около лакътя и по-рядко в аксилата от неправилно използване на патерици. </w:t>
      </w:r>
    </w:p>
    <w:p w14:paraId="05B1F0DB"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Пронаторният синдром</w:t>
      </w:r>
      <w:r w:rsidRPr="00AE47C6">
        <w:rPr>
          <w:rFonts w:ascii="Times New Roman" w:eastAsia="SimSun" w:hAnsi="Times New Roman"/>
          <w:bCs/>
          <w:sz w:val="24"/>
          <w:szCs w:val="24"/>
        </w:rPr>
        <w:t xml:space="preserve"> възниква при ексцесивна пронация на предмишницата (игра на тенис) или при хипертрофия на мускула и сухожилни връзки, които притискат нерва. Получава се след травма, дислокация на лакътната става и кървене в областта на предмишницата. Може да възникне поради компресия на три различни места. Най-често това се случва между двете глави на m. pronator teres, проксимално от отделянето на n. interosseus anterior, при навлизането на нерва в предмишницата. </w:t>
      </w:r>
    </w:p>
    <w:p w14:paraId="1671AE25"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Пациентите се оплакват от разлети болки в предмишницата, безчувственост на палеца и показалеца. Ноцицептивната болка е дълбока, в проксималната част на m. pronator teres, в областта на притискането. Засилва се от силна пронация на предмишницата с флексирани пръсти срещу съпротивление и при носене на тежести с предмишницата. Появяват се парестезии по хода на n. medianus. Писането е болезнено. Наблюдава се отразена болка в проксималната част на крайника, най-често в медиалните и задни части на ръката, понякога и в рамото. Налице са позитивни и негативни сетивни невропатни симптоми в територията инервирана от n. medianus, които не са ясно отграничени и трудно се отдиференцират от тези при увреда в карпалния канал. Липсва нощно засилване на болката и симптома на Tinnel положителен в проксималния край m. pronator teres, а не върху карпалния канал. </w:t>
      </w:r>
    </w:p>
    <w:p w14:paraId="223277D7"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Появява се мускулна слабост и неловкост в китката при извършване на движения имитиращи щипане или колело. Проксималната увреда на нерва се отличава от дисталната (синдром на карпалния канал) по характерната слабост на m. flexor digitorum и m. flexor pollicis longus. Това се установява чрез „теста на колелото” – ако пациентът имитира колело, като постави върха на палеца срещу върха на показалеца си, той не може да флексира двете дистални фаланги на пръстите си. Показалецът остава хиперекстензиран в дисталната интерфалангеална става поради слабост на m. flexor digitorum profundus, а палецът – поради слабост на m. flexor pollicis longus Характерна е и слабостта на m. pronator при опит за пронация, ако компресията е под апоневрозата на m. biceps. Слабост в други мускули се развива в зависимост от степента на компресията. Могат да се засегнат дългите флексорни мускули на пръстите и палеца, както и m. abductor pollicis brevis.</w:t>
      </w:r>
    </w:p>
    <w:p w14:paraId="052C4801"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ЕМГ изследването не може да установи локализацията на увреждането. </w:t>
      </w:r>
    </w:p>
    <w:p w14:paraId="0ED2FA20"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sz w:val="24"/>
          <w:szCs w:val="24"/>
        </w:rPr>
        <w:t>Компресията на n. ulnaris</w:t>
      </w:r>
      <w:r w:rsidRPr="00AE47C6">
        <w:rPr>
          <w:rFonts w:ascii="Times New Roman" w:eastAsia="SimSun" w:hAnsi="Times New Roman"/>
          <w:bCs/>
          <w:sz w:val="24"/>
          <w:szCs w:val="24"/>
        </w:rPr>
        <w:t xml:space="preserve"> най-често е проксимална – в областта на лакътя и по-рядко – на китката. </w:t>
      </w:r>
    </w:p>
    <w:p w14:paraId="4ED25419"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Компресията в областта на лакътя (синдром на кубиталния канал)</w:t>
      </w:r>
      <w:r w:rsidRPr="00AE47C6">
        <w:rPr>
          <w:rFonts w:ascii="Times New Roman" w:eastAsia="SimSun" w:hAnsi="Times New Roman"/>
          <w:bCs/>
          <w:sz w:val="24"/>
          <w:szCs w:val="24"/>
        </w:rPr>
        <w:t xml:space="preserve"> е втората по честота компресионна невропатия на n. ulnaris във фиброзно-костния канал. Дегенеративният артрит на лакътната става, който води до хронична улнарна невропатия се нарича късна улнарна парализа. Тя може да се появи години след травматично увреждане на ставата и има прогресиращ ход. Предразполагащи фактори са диабет, наследствени невропатии, тесният костен канал на улнарната кост или хипермобилен нерв, който лесно излиза извън канала. В много случаи може да настъпи без ясна причина. </w:t>
      </w:r>
    </w:p>
    <w:p w14:paraId="75F11EF1"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Клинично синдрома може да протече с различни сетивни и двигателни нарушения. Пациентите се оплакват от дълбока ноцицептивна болка в медиалната част на лакътя. Тя се разпространява към вътрешната проксимална част на ръката, аксилата и медиалната проксимална трета на предмишницата. При натиск върху нерва или флексия в лакътната става се предизвиква болка, която е различна от тази при симптома на Tinnel. </w:t>
      </w:r>
    </w:p>
    <w:p w14:paraId="3E3CF7EA"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Позитивните сетивни симптоми се изразяват в спонтанно тръпнене в областта на hypothenar, медиалната част на IV и V пръст. Много чест е симптома на Tinnel на нивото на лакътя. Негативните сетивни симптоми се проявяват с нарушен усет за допир в улнарната част на ръката, улнарната част на IV и целия V пръст от дорзалната и вентрална страна. Може да има и добавени автономни симптоми (анхидроза).</w:t>
      </w:r>
    </w:p>
    <w:p w14:paraId="43FFA94B"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Позитивните двигателни симптоми се изразяват в продължителни фасцикулации в hypothenar. Негативните двигателни симптоми са в областта инервирана от n. ulnaris. Характерна за проксималната компресия на нерва е слабостта в m. flexor carpi ulnaris и m. flexor digitorum profundus. Наблюдава се слабост при абдукция и аддукция на пръстите. Налице са хипотрофии на hypothenar и mm. interossеi. Типичната “ръка на граблива птица” се дължи на хипотрофия на mm. lumbricales на IV и V пръст при запазени дълги екстензорни мускули. Засягането на m. adductor pollicis се проявява в слабост при притискане на палеца към показалеца. Компенсаторно се контрахира неволево m. flexor pollicis longus (инервиран от n. medianus) и крайната фаланга на палеца силно се флексира (симптом на Froment). Слабостта на улнарните флексори на предмишницата е много по-слабо изразена от тази на вътрешните мускули на ръката. </w:t>
      </w:r>
    </w:p>
    <w:p w14:paraId="420E818E"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ЕМГ изследването показва мястото на увредата на нерва.</w:t>
      </w:r>
    </w:p>
    <w:p w14:paraId="418D0039"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i/>
          <w:sz w:val="24"/>
          <w:szCs w:val="24"/>
        </w:rPr>
        <w:t>Синдромът на Guyon</w:t>
      </w:r>
      <w:r w:rsidRPr="00AE47C6">
        <w:rPr>
          <w:rFonts w:ascii="Times New Roman" w:eastAsia="SimSun" w:hAnsi="Times New Roman"/>
          <w:bCs/>
          <w:i/>
          <w:sz w:val="24"/>
          <w:szCs w:val="24"/>
        </w:rPr>
        <w:t xml:space="preserve">, </w:t>
      </w:r>
      <w:r w:rsidRPr="00AE47C6">
        <w:rPr>
          <w:rFonts w:ascii="Times New Roman" w:eastAsia="SimSun" w:hAnsi="Times New Roman"/>
          <w:bCs/>
          <w:sz w:val="24"/>
          <w:szCs w:val="24"/>
        </w:rPr>
        <w:t xml:space="preserve">поради компресия на нерва в едноименния канал в областта на китката, е втората по честота причина за улнарна невропатия. Най-честата причина е повтарящ се външен натиск от различни инструменти, дръжки на колело, стегнати каишки на часовник, бързо напълняване или използване на патерици и бастуни. Може да се получи при ганглиоми в канала, остра или хронична професионална травма на hypothenar (електротехници сплитащи кабели) и при фрактура на карпалните кости. </w:t>
      </w:r>
    </w:p>
    <w:p w14:paraId="594E6A2A"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Има три варианта на клинично протичане на компресията на нерва в китката. Симптомите варират от чисто двигателни до чисто сетивни, в зависимост от местоположението на компресията в канала. По-често се засяга само дълбокия двигателен, без сетивния клон за пръстите. Поради тази причина е налице само ноцицептивна, без невропатна болка и хипотрофия на m. interosseus dorsalis I. При компресия на нерва в проксималната част на канала се добавят и нарушения в сетивния клон за пръстите. Болката може да ирадиира към пръстите и предмишницата. При най-рядката компресия в дисталната част на канала има само сетивни нарушения в улнарната част на дланта. При тромбоза на улнарната артерия, която също преминава през канала, се получава феномен на Raynaud. </w:t>
      </w:r>
    </w:p>
    <w:p w14:paraId="304BB6D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Cs/>
          <w:i/>
          <w:sz w:val="24"/>
          <w:szCs w:val="24"/>
        </w:rPr>
        <w:t xml:space="preserve">Компресията на нерва в </w:t>
      </w:r>
      <w:r w:rsidRPr="00AE47C6">
        <w:rPr>
          <w:rFonts w:ascii="Times New Roman" w:eastAsia="SimSun" w:hAnsi="Times New Roman"/>
          <w:i/>
          <w:sz w:val="24"/>
          <w:szCs w:val="24"/>
        </w:rPr>
        <w:t xml:space="preserve">областта на предмишницата, </w:t>
      </w:r>
      <w:r w:rsidRPr="00AE47C6">
        <w:rPr>
          <w:rFonts w:ascii="Times New Roman" w:eastAsia="SimSun" w:hAnsi="Times New Roman"/>
          <w:bCs/>
          <w:i/>
          <w:sz w:val="24"/>
          <w:szCs w:val="24"/>
        </w:rPr>
        <w:t xml:space="preserve">над канала на </w:t>
      </w:r>
      <w:r w:rsidRPr="00AE47C6">
        <w:rPr>
          <w:rFonts w:ascii="Times New Roman" w:eastAsia="SimSun" w:hAnsi="Times New Roman"/>
          <w:i/>
          <w:sz w:val="24"/>
          <w:szCs w:val="24"/>
        </w:rPr>
        <w:t xml:space="preserve">Guyon </w:t>
      </w:r>
      <w:r w:rsidRPr="00AE47C6">
        <w:rPr>
          <w:rFonts w:ascii="Times New Roman" w:eastAsia="SimSun" w:hAnsi="Times New Roman"/>
          <w:sz w:val="24"/>
          <w:szCs w:val="24"/>
        </w:rPr>
        <w:t xml:space="preserve">е рядка. Настъпва при фрактура и протича като компресия в областта на китката. Ако лезията е проксимално от дорзалния сетивен кожен клон, ще се наруши сетивността в дорзалната част на китката. Могат да се появят и дизестезии. Увредата на дорзалния сетивен клон обикновено е вследствие на травма. </w:t>
      </w:r>
    </w:p>
    <w:p w14:paraId="63B1E098"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Компресията на n. radialis</w:t>
      </w:r>
      <w:r w:rsidRPr="00AE47C6">
        <w:rPr>
          <w:rFonts w:ascii="Times New Roman" w:eastAsia="SimSun" w:hAnsi="Times New Roman"/>
          <w:bCs/>
          <w:sz w:val="24"/>
          <w:szCs w:val="24"/>
        </w:rPr>
        <w:t xml:space="preserve"> може да настъпи над и под лакътя. </w:t>
      </w:r>
    </w:p>
    <w:p w14:paraId="3A02118B"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Компресията над лакътя</w:t>
      </w:r>
      <w:r w:rsidRPr="00AE47C6">
        <w:rPr>
          <w:rFonts w:ascii="Times New Roman" w:eastAsia="SimSun" w:hAnsi="Times New Roman"/>
          <w:bCs/>
          <w:sz w:val="24"/>
          <w:szCs w:val="24"/>
        </w:rPr>
        <w:t xml:space="preserve"> настъпва при притискане на горната част на ръката от главата на друг човек по време на сън, от патерици или при притискане на ръба на стол или скамейка. Настъпва често след употреба на алкохол или по време на анестезия, поради което изтръпването на ръката вследствие на компресията не се усеща от пациента. По-редки са компресиите вследствие на мускулно пренатоварване, фиброзна миопатия, инжектиране на медикаменти, задебеление на епиневриума, тумор и хумерална фрактура. Пациентите се възстановяват спонтанно сред около 10 седмици. Клинично протича с всички симптоми на дисталната (под лакътя) компресия, с допълнителна пареза на m. triceps brachii.</w:t>
      </w:r>
    </w:p>
    <w:p w14:paraId="7C67D1AA"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Компресията на и под нивото на лакътя</w:t>
      </w:r>
      <w:r w:rsidRPr="00AE47C6">
        <w:rPr>
          <w:rFonts w:ascii="Times New Roman" w:eastAsia="SimSun" w:hAnsi="Times New Roman"/>
          <w:bCs/>
          <w:sz w:val="24"/>
          <w:szCs w:val="24"/>
        </w:rPr>
        <w:t xml:space="preserve"> е свързано със синдрома на n. interosseus posterior. Този дълбок двигателен нерв преминава през арката на Frohse (между повърхностната и дълбока глава на супинатора), която се стеснява при супинация и екстензия на китката. Получава се рядко, при фрактура на горната трета или дислокация на главата на радиалната кост и фрактура на улнарната. Може да се получи подобно на съботната нощна пареза при неправилно поставяне на ръката по време на сън и употреба на алкохол. По-рядко може да настъпи при липоми, неврофиброми и ревматоиден артрит. Идиопатичната форма настъпва при компресия в арката на Frohse, вследствие на повтаряща се пронация, супинация и екстензия на лакътната става или при носене на турникети.</w:t>
      </w:r>
    </w:p>
    <w:p w14:paraId="35E37499"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Сетивния клон на радиалния нерв се отделя дистално от лакътя, преди навлизането в аркадата, така че притискането в тази област протича с чисто двигателни симптоми. Засягат се екстензорите на китката и пръстите и m. brachioradialis, което води до дълбока болка в предмишницата, увисване на китката и сетивни нарушения. Пациентите не могат да екстензират пръстите си в метакарпофалангеалните стави и да отклонят китките си улнарно. </w:t>
      </w:r>
    </w:p>
    <w:p w14:paraId="71FCE593"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Повърхностният сетивен радиален нерв</w:t>
      </w:r>
      <w:r w:rsidRPr="00AE47C6">
        <w:rPr>
          <w:rFonts w:ascii="Times New Roman" w:eastAsia="SimSun" w:hAnsi="Times New Roman"/>
          <w:bCs/>
          <w:sz w:val="24"/>
          <w:szCs w:val="24"/>
        </w:rPr>
        <w:t xml:space="preserve"> при хронична компресия в китката, вследствие на носене на стегнати каишки за часовници, гривни или белезници, води до невропатна болка, наречена cheiralgia paresthetica. Може да възникне и вследствие на фрактура на радиалната кост или интравенозни инфузии. </w:t>
      </w:r>
    </w:p>
    <w:p w14:paraId="0E0029FF"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Пациентите се оплакват от локална болка в латералната дистална част на предмишницата, без хипералгезия на нервния ствол. Позитивните сетивни симптоми се проявяват в дизестезии и парестезии, тригерирани от движения в китката. Симптомът на Tinnel е положителен и показва локализацията на увредата. Негативните сетивни промени се изразяват в нарушен усет за допир в дорзолатералната част на ръката, дорзалната част на I и II пръст до проксималната интерфалангеална става и радиалната част на III пръст. </w:t>
      </w:r>
    </w:p>
    <w:p w14:paraId="3757DD33"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sz w:val="24"/>
          <w:szCs w:val="24"/>
        </w:rPr>
        <w:t>Дигиталните нерви</w:t>
      </w:r>
      <w:r w:rsidRPr="00AE47C6">
        <w:rPr>
          <w:rFonts w:ascii="Times New Roman" w:eastAsia="SimSun" w:hAnsi="Times New Roman"/>
          <w:bCs/>
          <w:sz w:val="24"/>
          <w:szCs w:val="24"/>
        </w:rPr>
        <w:t xml:space="preserve"> се притискат рядко, при носене на стегнати пръстени за дълго време. Налице е невропатна пареща болка и спонтанни изтръпвания в областта на един дигитален нерв (половината на един пръст). Симптомът на Tinnel показва точната локализация на увредата. </w:t>
      </w:r>
      <w:r w:rsidRPr="00AE47C6">
        <w:rPr>
          <w:rFonts w:ascii="Times New Roman" w:eastAsia="SimSun" w:hAnsi="Times New Roman"/>
          <w:bCs/>
          <w:i/>
          <w:sz w:val="24"/>
          <w:szCs w:val="24"/>
        </w:rPr>
        <w:t>Синдромът на „палецът на играчът на бейзбол”</w:t>
      </w:r>
      <w:r w:rsidRPr="00AE47C6">
        <w:rPr>
          <w:rFonts w:ascii="Times New Roman" w:eastAsia="SimSun" w:hAnsi="Times New Roman"/>
          <w:bCs/>
          <w:sz w:val="24"/>
          <w:szCs w:val="24"/>
        </w:rPr>
        <w:t xml:space="preserve"> се получава и при играчи на крикет и кегли и се дължи на често дразнене на дигиталните нерви на палеца. Развива се периневрална фиброза и болезнени възелчета. </w:t>
      </w:r>
      <w:r w:rsidRPr="00AE47C6">
        <w:rPr>
          <w:rFonts w:ascii="Times New Roman" w:eastAsia="SimSun" w:hAnsi="Times New Roman"/>
          <w:bCs/>
          <w:i/>
          <w:sz w:val="24"/>
          <w:szCs w:val="24"/>
        </w:rPr>
        <w:t xml:space="preserve">Синдромът на палецът на „музиканта на арфа” </w:t>
      </w:r>
      <w:r w:rsidRPr="00AE47C6">
        <w:rPr>
          <w:rFonts w:ascii="Times New Roman" w:eastAsia="SimSun" w:hAnsi="Times New Roman"/>
          <w:bCs/>
          <w:sz w:val="24"/>
          <w:szCs w:val="24"/>
        </w:rPr>
        <w:t xml:space="preserve">се предизвиква от свирене на струнни музикални инструменти. Характеризира се с поява на болезнени възелчета и хиперсензитивност към допир. </w:t>
      </w:r>
    </w:p>
    <w:p w14:paraId="40CDC4E5"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sz w:val="24"/>
          <w:szCs w:val="24"/>
        </w:rPr>
        <w:t>Синдромът на торакалния канал</w:t>
      </w:r>
      <w:r w:rsidRPr="00AE47C6">
        <w:rPr>
          <w:rFonts w:ascii="Times New Roman" w:eastAsia="SimSun" w:hAnsi="Times New Roman"/>
          <w:bCs/>
          <w:sz w:val="24"/>
          <w:szCs w:val="24"/>
        </w:rPr>
        <w:t xml:space="preserve"> се среща рядко, при жени в млада и средна възраст. Започва спонтанно или след травма в рамото или шията, която води до мускулен спазъм. Дължи се на компресия на артерия и вена subclavia и брахиалния плексус. Разделя се на съдов (артериален или венозен) и неврогенен, които обикновено настъпват поотделно. </w:t>
      </w:r>
    </w:p>
    <w:p w14:paraId="31075717"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Артериалният синдром</w:t>
      </w:r>
      <w:r w:rsidRPr="00AE47C6">
        <w:rPr>
          <w:rFonts w:ascii="Times New Roman" w:eastAsia="SimSun" w:hAnsi="Times New Roman"/>
          <w:bCs/>
          <w:sz w:val="24"/>
          <w:szCs w:val="24"/>
        </w:rPr>
        <w:t xml:space="preserve"> възниква при компресия на артерия subclavia, с мурална тромбоза и атероматозна дегенерация, артериална стеноза и формиране на емболи към крайника. Проявява се с улцерации на връхчетата на пръстите, бледа, студена и тръпнеща ръка, с липсващ пулс. </w:t>
      </w:r>
    </w:p>
    <w:p w14:paraId="01A4D54A"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Венозният синдром</w:t>
      </w:r>
      <w:r w:rsidRPr="00AE47C6">
        <w:rPr>
          <w:rFonts w:ascii="Times New Roman" w:eastAsia="SimSun" w:hAnsi="Times New Roman"/>
          <w:bCs/>
          <w:sz w:val="24"/>
          <w:szCs w:val="24"/>
        </w:rPr>
        <w:t xml:space="preserve"> се предизвиква от оклузия на субклавийната или аксиларната вена. Възниква вследствие на повтаряща се компресия на вената между първото ребро и клавикулата вследствие на уплътнения m. scalenus anterior. Различава се от артериалния синдром по дифузно подутата, синкава ръка, с подути вени на гърдите и рамото. Появява се изтръпване на ръката вследствие на исхемия на периферните нерви. </w:t>
      </w:r>
    </w:p>
    <w:p w14:paraId="2B9739BF"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Неврогенният синдром</w:t>
      </w:r>
      <w:r w:rsidRPr="00AE47C6">
        <w:rPr>
          <w:rFonts w:ascii="Times New Roman" w:eastAsia="SimSun" w:hAnsi="Times New Roman"/>
          <w:bCs/>
          <w:sz w:val="24"/>
          <w:szCs w:val="24"/>
        </w:rPr>
        <w:t xml:space="preserve"> е рядък, защото компресията е преходна и рядко води до неврологични симптоми. При допълнително шийно ребро, по големи processi transversi, съединителнотъканна връзка между processi transversi и туберкулума на mm. scaleni и при миофасциален синдром, със спазъм на m. scalenus anterior, долният ствол на плексуса (С</w:t>
      </w:r>
      <w:r w:rsidRPr="00AE47C6">
        <w:rPr>
          <w:rFonts w:ascii="Times New Roman" w:eastAsia="SimSun" w:hAnsi="Times New Roman"/>
          <w:bCs/>
          <w:sz w:val="24"/>
          <w:szCs w:val="24"/>
          <w:vertAlign w:val="subscript"/>
        </w:rPr>
        <w:t>8</w:t>
      </w:r>
      <w:r w:rsidRPr="00AE47C6">
        <w:rPr>
          <w:rFonts w:ascii="Times New Roman" w:eastAsia="SimSun" w:hAnsi="Times New Roman"/>
          <w:bCs/>
          <w:sz w:val="24"/>
          <w:szCs w:val="24"/>
        </w:rPr>
        <w:t xml:space="preserve"> и T</w:t>
      </w:r>
      <w:r w:rsidRPr="00AE47C6">
        <w:rPr>
          <w:rFonts w:ascii="Times New Roman" w:eastAsia="SimSun" w:hAnsi="Times New Roman"/>
          <w:bCs/>
          <w:sz w:val="24"/>
          <w:szCs w:val="24"/>
          <w:vertAlign w:val="subscript"/>
        </w:rPr>
        <w:t>1</w:t>
      </w:r>
      <w:r w:rsidRPr="00AE47C6">
        <w:rPr>
          <w:rFonts w:ascii="Times New Roman" w:eastAsia="SimSun" w:hAnsi="Times New Roman"/>
          <w:bCs/>
          <w:sz w:val="24"/>
          <w:szCs w:val="24"/>
        </w:rPr>
        <w:t xml:space="preserve">) може да бъде притиснат. </w:t>
      </w:r>
    </w:p>
    <w:p w14:paraId="638F2143"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Пациентите се оплакват от едностранна, спонтанна, постоянна и тъпа болка в предната и задна част на рамото, която ирадиира към латералната част на предмишницата и китката. Може да ирадиира и към окципиталната част на главата и да предизвика главоболие. Засилва се след физическа активност и повдигане на засегнатата ръка. При засилване през нощта налага отдиференциране на синдрома на карпалния канал. В някои случаи болката е пристъпна, но с времето зачестява и се засилва. Сетивните нарушения и изтръпването се появяват преди двигателните от засягане на коренчета С</w:t>
      </w:r>
      <w:r w:rsidRPr="00AE47C6">
        <w:rPr>
          <w:rFonts w:ascii="Times New Roman" w:eastAsia="SimSun" w:hAnsi="Times New Roman"/>
          <w:bCs/>
          <w:sz w:val="24"/>
          <w:szCs w:val="24"/>
          <w:vertAlign w:val="subscript"/>
        </w:rPr>
        <w:t>8</w:t>
      </w:r>
      <w:r w:rsidRPr="00AE47C6">
        <w:rPr>
          <w:rFonts w:ascii="Times New Roman" w:eastAsia="SimSun" w:hAnsi="Times New Roman"/>
          <w:bCs/>
          <w:sz w:val="24"/>
          <w:szCs w:val="24"/>
        </w:rPr>
        <w:t xml:space="preserve"> и T</w:t>
      </w:r>
      <w:r w:rsidRPr="00AE47C6">
        <w:rPr>
          <w:rFonts w:ascii="Times New Roman" w:eastAsia="SimSun" w:hAnsi="Times New Roman"/>
          <w:bCs/>
          <w:sz w:val="24"/>
          <w:szCs w:val="24"/>
          <w:vertAlign w:val="subscript"/>
        </w:rPr>
        <w:t>1</w:t>
      </w:r>
      <w:r w:rsidRPr="00AE47C6">
        <w:rPr>
          <w:rFonts w:ascii="Times New Roman" w:eastAsia="SimSun" w:hAnsi="Times New Roman"/>
          <w:bCs/>
          <w:sz w:val="24"/>
          <w:szCs w:val="24"/>
        </w:rPr>
        <w:t>. По-изразени са в областта на китката (T</w:t>
      </w:r>
      <w:r w:rsidRPr="00AE47C6">
        <w:rPr>
          <w:rFonts w:ascii="Times New Roman" w:eastAsia="SimSun" w:hAnsi="Times New Roman"/>
          <w:bCs/>
          <w:sz w:val="24"/>
          <w:szCs w:val="24"/>
          <w:vertAlign w:val="subscript"/>
        </w:rPr>
        <w:t>1</w:t>
      </w:r>
      <w:r w:rsidRPr="00AE47C6">
        <w:rPr>
          <w:rFonts w:ascii="Times New Roman" w:eastAsia="SimSun" w:hAnsi="Times New Roman"/>
          <w:bCs/>
          <w:sz w:val="24"/>
          <w:szCs w:val="24"/>
        </w:rPr>
        <w:t>), отколкото на ръката (C</w:t>
      </w:r>
      <w:r w:rsidRPr="00AE47C6">
        <w:rPr>
          <w:rFonts w:ascii="Times New Roman" w:eastAsia="SimSun" w:hAnsi="Times New Roman"/>
          <w:bCs/>
          <w:sz w:val="24"/>
          <w:szCs w:val="24"/>
          <w:vertAlign w:val="subscript"/>
        </w:rPr>
        <w:t>8</w:t>
      </w:r>
      <w:r w:rsidRPr="00AE47C6">
        <w:rPr>
          <w:rFonts w:ascii="Times New Roman" w:eastAsia="SimSun" w:hAnsi="Times New Roman"/>
          <w:bCs/>
          <w:sz w:val="24"/>
          <w:szCs w:val="24"/>
        </w:rPr>
        <w:t xml:space="preserve">). Хипестезията и парестезиите обхващат целия IV и V пръст, улнарната част на китката и медиалната част на предмишницата. Установява се хипотрофия и слабост на вътрешните мускули на китката, инервирани от n. ulnaris, тенара и особено на инервираният от n. medianus m. abductor pollicis brevis. В шийната и раменна област се установява спазъм на мускулите. </w:t>
      </w:r>
    </w:p>
    <w:p w14:paraId="04FBFA9F"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Прийомите на Addson и Roos са положителни, поради контракцията на m. scalenius, стесняване на интерскаленовото пространство и повдигане на първото ребро. </w:t>
      </w:r>
    </w:p>
    <w:p w14:paraId="51CA5783"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ЕМГ изследването е нормално.</w:t>
      </w:r>
    </w:p>
    <w:p w14:paraId="5A8C2DCE"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Костоклавикуларния синдром</w:t>
      </w:r>
      <w:r w:rsidRPr="00AE47C6">
        <w:rPr>
          <w:rFonts w:ascii="Times New Roman" w:eastAsia="SimSun" w:hAnsi="Times New Roman"/>
          <w:bCs/>
          <w:sz w:val="24"/>
          <w:szCs w:val="24"/>
        </w:rPr>
        <w:t xml:space="preserve"> се предизвиква от неправилна поза или травма с компресия на невроваскуларния брахиален сноп между първото ребро и клавикулата. Проявява се с болки, парестезии и изтръпване в ръката и китката през нощта или рано сутрин. Синдромът се потвърждава чрез свиване на раменете надолу и назад (повдигане на гърдите и ретракция на раменете), при което симптомите се засилват и радиалния пулс отслабва. Дължи се на компресия на субклавийната артерия между clavicula и първото ребро. </w:t>
      </w:r>
    </w:p>
    <w:p w14:paraId="4EC62348"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Синдромът на m. pectoralis minor (хипераддукционен синдром)</w:t>
      </w:r>
      <w:r w:rsidRPr="00AE47C6">
        <w:rPr>
          <w:rFonts w:ascii="Times New Roman" w:eastAsia="SimSun" w:hAnsi="Times New Roman"/>
          <w:bCs/>
          <w:sz w:val="24"/>
          <w:szCs w:val="24"/>
        </w:rPr>
        <w:t xml:space="preserve"> възниква вследствие на компресия между m. pectoralis minor и гръдния кош. Предизвиква се от миофасциален синдром, който води до скъсяване на мускула или неправилна поза на тялото. Симптомите са преходни (появяват се през нощта и рано сутрин), не се установяват обективно и наподобяват костоклавикуларния синдром, но по-често се засяга улнарната и медианна част на ръката. </w:t>
      </w:r>
    </w:p>
    <w:p w14:paraId="22446D21"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Диагнозата се поставя при предизвикване на симптомите и потискане на радиалния пулс, чрез поставяне на ръцете в абдукция над главата, при ротация навън и назад. При тази позиция се разтяга m. pectoralis minor и притиска подлежащия невросъдов сноп. </w:t>
      </w:r>
    </w:p>
    <w:p w14:paraId="361B5B03"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Невралгичната амиотрофия</w:t>
      </w:r>
      <w:r w:rsidRPr="00AE47C6">
        <w:rPr>
          <w:rFonts w:ascii="Times New Roman" w:eastAsia="SimSun" w:hAnsi="Times New Roman"/>
          <w:bCs/>
          <w:sz w:val="24"/>
          <w:szCs w:val="24"/>
        </w:rPr>
        <w:t xml:space="preserve"> настъпва след грип, тиф, вариола и други инфекциозни заболявания или след инжектиране на серум. Характеризира се с остро настъпваща силна болка в рамото, която може да обхване ръката, гърба и шията. По-често се засяга дясната ръка, но в 25% от случаите е двустранна. Болката се засилва при движение на ръката и през нощта. Облекчава се при поставяне на крайника в покой, в аддукция и флексия в лакътя. Появява се проксимална слабост в рамото и ръката, която засяга мускулите инервирани от n. axillaris и n. suprascapularis. Сетивни нарушения обикновено не се появяват. </w:t>
      </w:r>
    </w:p>
    <w:p w14:paraId="527F5BA1"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Прийомът на Waxman се състои във флексионно-аддукционен тест, чрез който се предизвиква болка чрез абдукция и външна ротация в рамото, последвано от екстензия в лакътя. </w:t>
      </w:r>
    </w:p>
    <w:p w14:paraId="7AEB0BA6"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ЕМГ изследването показва периферно-нервна увреда. </w:t>
      </w:r>
    </w:p>
    <w:p w14:paraId="262AC92E"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Невропатията при серумна болест</w:t>
      </w:r>
      <w:r w:rsidRPr="00AE47C6">
        <w:rPr>
          <w:rFonts w:ascii="Times New Roman" w:eastAsia="SimSun" w:hAnsi="Times New Roman"/>
          <w:bCs/>
          <w:sz w:val="24"/>
          <w:szCs w:val="24"/>
        </w:rPr>
        <w:t xml:space="preserve"> се развива след прилагане на хетероложен серум, тифоидна или паратифоидна ваксинация или след прилагане на медикаменти, които образуват комплекси със серумните протеини. Няма корелация между количеството на приложения серум и тежестта на симптомите или появата на невропатия. Патогенезата е свързана с отлагане на имунни комплекси, което води до васкулит и периваскуларен едем с оток на периферните нерви. Отокът води до компресия на периферните нерви в областта на форамените, през които те преминават. Невропатията засяга брахиалния плексус. Проявява се с внезапна болка в рамото или горната част на ръката. Появяват се и симптоми, типични за серумната болест: подуване на лимфни възли, болки в ставите, миалгия и албуминурия. Развива се мускулна слабост в раменната област, която бързо прогресира до пареза и тежка мускулна атрофия. Сухожилните рефлекси изчезват, появяват се вазомоторни промени. Сетивните нарушения са слабо изразени и най-често радиалните мускули не страдат. </w:t>
      </w:r>
    </w:p>
    <w:p w14:paraId="5274B683"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Трябва да се отдиференцира от миалгичната и артритна болка при серумна болест, която засяга мускулите и ставите.</w:t>
      </w:r>
    </w:p>
    <w:p w14:paraId="628AA065"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Компресията на n. axillaris</w:t>
      </w:r>
      <w:r w:rsidRPr="00AE47C6">
        <w:rPr>
          <w:rFonts w:ascii="Times New Roman" w:eastAsia="SimSun" w:hAnsi="Times New Roman"/>
          <w:bCs/>
          <w:sz w:val="24"/>
          <w:szCs w:val="24"/>
        </w:rPr>
        <w:t xml:space="preserve"> е свързана с фрактури на хирургичната шийка на humerus, при долна дислокация на рамото или при външна ротация и абдукция на ръката. Протича с пареза на m. deltoideus и ограничена абдукция на ръката. Установява се хипестезия във външната горна част на ръката. </w:t>
      </w:r>
    </w:p>
    <w:p w14:paraId="7B38369A"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Компресията на n. suprascapularis</w:t>
      </w:r>
      <w:r w:rsidRPr="00AE47C6">
        <w:rPr>
          <w:rFonts w:ascii="Times New Roman" w:eastAsia="SimSun" w:hAnsi="Times New Roman"/>
          <w:bCs/>
          <w:sz w:val="24"/>
          <w:szCs w:val="24"/>
        </w:rPr>
        <w:t xml:space="preserve"> настъпва под горния трансверзален скапуларен лигамент от липоми или травма в раменната област, която засяга нерва, околните тъкани или лигамента. Наблюдава се при волейболисти, баскетболисти, гимнастици, при вдигане на тежести и носене на туристическа раница. Протича с недобре локализирана болка в рамото, най-силна в задните и латерални части. Установява се слабост на m. supraspinatus и m. infraspinatus. Не се установяват сетивни нарушения, защото нервът е чисто двигателен. </w:t>
      </w:r>
    </w:p>
    <w:p w14:paraId="3693B213"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ЕМГ изследването показва засягане на нерва. </w:t>
      </w:r>
    </w:p>
    <w:p w14:paraId="5B234DC1"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Компресията на n. musculocutaneus</w:t>
      </w:r>
      <w:r w:rsidRPr="00AE47C6">
        <w:rPr>
          <w:rFonts w:ascii="Times New Roman" w:eastAsia="SimSun" w:hAnsi="Times New Roman"/>
          <w:bCs/>
          <w:sz w:val="24"/>
          <w:szCs w:val="24"/>
        </w:rPr>
        <w:t xml:space="preserve"> възниква при силна екстензия на предмишницата, интензивни физически упражнения, повтаряща се пронация и супинация на предмишницата (работа с отвертка) и хиперекстензия с пронация на ръката (падане или игра на тенис). </w:t>
      </w:r>
    </w:p>
    <w:p w14:paraId="746AD08F"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Клинично протича със слабост на m. biceps brachii, болки в предно латералната част на лакътя и дизестезии в радиалната част на предмишницата. Може да се увреди изборно сетивната част на нерва, дистално от двигателната, поради компресия от латералния край на апоневрозата на m. biceps. Тя може да се увреди спонтанно, при венозна манипулация или вследствие на носене на тежка чанта с дръжки през лакътя. </w:t>
      </w:r>
    </w:p>
    <w:p w14:paraId="40CFE9EC"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Компресията на n. accessorius</w:t>
      </w:r>
      <w:r w:rsidRPr="00AE47C6">
        <w:rPr>
          <w:rFonts w:ascii="Times New Roman" w:eastAsia="SimSun" w:hAnsi="Times New Roman"/>
          <w:bCs/>
          <w:sz w:val="24"/>
          <w:szCs w:val="24"/>
        </w:rPr>
        <w:t xml:space="preserve"> може да настъпи спонтанно, след спортни инциденти или хирургични манипулации в задния триъгълник на шията – биопсия на лимфен възел. Клинично протича със слабост на m. trapezius и sternocleidomastoideus, болка и нестабилност в рамото. Абдукцията на ръката е затруднена, горният ъгъл на скапулата стои по-латерално, отколкото долния. Това нарушение се засилва при флексия на ръката.</w:t>
      </w:r>
    </w:p>
    <w:p w14:paraId="034DD2D6"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Компресията на n. thoracicus longus</w:t>
      </w:r>
      <w:r w:rsidRPr="00AE47C6">
        <w:rPr>
          <w:rFonts w:ascii="Times New Roman" w:eastAsia="SimSun" w:hAnsi="Times New Roman"/>
          <w:bCs/>
          <w:sz w:val="24"/>
          <w:szCs w:val="24"/>
        </w:rPr>
        <w:t xml:space="preserve"> настъпва при анестезия, когато пациентът е поставен в положение Trendelenburg, с недобре позиционирана опора на раменете, която ги притиска надолу. Може да настъпи при носене на тежки предмети на рамо и биопсия на лимфни възли в основата на шията. Води до нестабилност на рамото, затруднено повдигане на ръката и изместване на долния ъгъл на скапулата латерално, в сравнение с горния. Засилва се при екстензия на ръката срещу съпротивление. Болката се локализира в областта на рамото и се разпространява към шията и ръката. </w:t>
      </w:r>
    </w:p>
    <w:p w14:paraId="5B9E15E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Компресията на n. ischiadicus </w:t>
      </w:r>
      <w:r w:rsidRPr="00AE47C6">
        <w:rPr>
          <w:rFonts w:ascii="Times New Roman" w:eastAsia="SimSun" w:hAnsi="Times New Roman"/>
          <w:sz w:val="24"/>
          <w:szCs w:val="24"/>
        </w:rPr>
        <w:t>най-често настъпва в областта на неговото излизане от pelvis в ишиадиковия канал. Уврежданията настъпват при фрактура и дислокация на бедрената кост, проникващи травми, усложнения при хирургични операции на бедрото, продължителен натиск върху ханша при коматозни състояния, първични и метастатични тумори (лимфоми) и по-рядко при спонтанни или предизвикани от антикоагуланти хематоми. Дълбоко поставена мускулна инжекция може да увреди директно нерва или да предизвика мускулна фиброза, която да го компресира. Ендометриомите могат да притиснат нерва в ишиадиковия канал. Лезиите в горната трета на бедрото засягат едновременно фибуларния и тибиалния, но винаги по-силно фибуларния компонент на нерва. Лезиите в средната част на бедрото засягат еднакво силно и двата компонента на нерва</w:t>
      </w:r>
    </w:p>
    <w:p w14:paraId="5ABA7D8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Клинично протича с болка в хълбока, парестезии по задната част на крака, хипестезия в латералната част на крака и стъпалото, падане на стъпалото и нарушена екстензия на бедрото. Ако се засегне изборно фибуларния компонент, лезията клинично наподобява увреждане на нерва в областта на caput fibulae </w:t>
      </w:r>
    </w:p>
    <w:p w14:paraId="3F6DBF1D"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sz w:val="24"/>
          <w:szCs w:val="24"/>
        </w:rPr>
        <w:t>Компресията на n. peroneus communis</w:t>
      </w:r>
      <w:r w:rsidRPr="00AE47C6">
        <w:rPr>
          <w:rFonts w:ascii="Times New Roman" w:eastAsia="SimSun" w:hAnsi="Times New Roman"/>
          <w:bCs/>
          <w:sz w:val="24"/>
          <w:szCs w:val="24"/>
        </w:rPr>
        <w:t xml:space="preserve"> в областта на caput fibulae, в костно-фиброзен канал между фибуларната кост и m. peroneus longus, се наблюдава поради компресия на нерва при залежаване на легло, при пациенти в кома или по време на обща анестезия. Може да се увреди и при дълго седене в клекнало положение, с кръстосани крака, при усукване на глезена и преразтягане или от тумори, ганглионити и кисти на коленната става. </w:t>
      </w:r>
    </w:p>
    <w:p w14:paraId="7049A209"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Клинично протича с падане на стъпалото (поради слабост на m. tibialis anterior) и дълбока болка в латералната горна трета на крака или във fossa poplitea. Налице са и сетивни нарушения в областта инервирана от нерва. </w:t>
      </w:r>
    </w:p>
    <w:p w14:paraId="53DA1FB1"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N. peroneus profundus</w:t>
      </w:r>
      <w:r w:rsidRPr="00AE47C6">
        <w:rPr>
          <w:rFonts w:ascii="Times New Roman" w:eastAsia="SimSun" w:hAnsi="Times New Roman"/>
          <w:bCs/>
          <w:sz w:val="24"/>
          <w:szCs w:val="24"/>
        </w:rPr>
        <w:t xml:space="preserve"> може да бъде притиснат поради оток на мускула в предния отдел на крака – преден тибиален синдром. Може да възникне след ексцесивни упражнения, травма и реперфузия след артериална оклузия. </w:t>
      </w:r>
    </w:p>
    <w:p w14:paraId="71FE9CD8"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Протича със силна болка в предната част на подбедрицата и двигателни нарушения. </w:t>
      </w:r>
    </w:p>
    <w:p w14:paraId="4FD3F89D"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sz w:val="24"/>
          <w:szCs w:val="24"/>
        </w:rPr>
        <w:t>Компресията на n. peroneus superficialis</w:t>
      </w:r>
      <w:r w:rsidRPr="00AE47C6">
        <w:rPr>
          <w:rFonts w:ascii="Times New Roman" w:eastAsia="SimSun" w:hAnsi="Times New Roman"/>
          <w:bCs/>
          <w:sz w:val="24"/>
          <w:szCs w:val="24"/>
        </w:rPr>
        <w:t xml:space="preserve"> поради носене на високи и стегнати обувки се среща рядко. Пациентите нямат локална болка в мястото на компресията, но имат парестезии, които се засилват при ходене. Симптомът на Tinnel показва мястото на компресията. Установява се хипестезия за допир.</w:t>
      </w:r>
    </w:p>
    <w:p w14:paraId="11F5797A"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sz w:val="24"/>
          <w:szCs w:val="24"/>
        </w:rPr>
        <w:t>Компресията на n. tibialis posterior</w:t>
      </w:r>
      <w:r w:rsidRPr="00AE47C6">
        <w:rPr>
          <w:rFonts w:ascii="Times New Roman" w:eastAsia="SimSun" w:hAnsi="Times New Roman"/>
          <w:bCs/>
          <w:sz w:val="24"/>
          <w:szCs w:val="24"/>
        </w:rPr>
        <w:t xml:space="preserve"> може да възникне във fossa poplitea вследствие на хронична компресия от аневризма на a. poplitea. Проявява се с позитивни и негативни сетивни нарушения в стъпалото. </w:t>
      </w:r>
    </w:p>
    <w:p w14:paraId="1141FA04"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i/>
          <w:sz w:val="24"/>
          <w:szCs w:val="24"/>
        </w:rPr>
        <w:t>Синдромът на тарзалния канал</w:t>
      </w:r>
      <w:r w:rsidRPr="00AE47C6">
        <w:rPr>
          <w:rFonts w:ascii="Times New Roman" w:eastAsia="SimSun" w:hAnsi="Times New Roman"/>
          <w:bCs/>
          <w:sz w:val="24"/>
          <w:szCs w:val="24"/>
        </w:rPr>
        <w:t xml:space="preserve"> се среща по-често. Компресията на n. tibialis posterior настъпва след травми, фрактури и дислокации на глезенната става, носене на стегнат гипс, кънки, ски обувки или обувки, теносинувит, остеофити, тумори, хроничен тромбофлебит, подагра, хиперлипидемия и метаболитни заболявания, които водят до оток, като диабет, хипотиреоидизъм и ревматоиден артрит. Получава се при спринтьори, особено след усилени тренировки и продължителен туризъм. Пациентите се оплакват от постоянна, дълбока, пареща или стягаща болка и тръпнене над и зад медиалния малеол, петата, стъпалото и неговия свод. Областта е чувствителна при палпация. Позитивните сетивни симптоми се изразяват в спонтанни изтръпвания в стъпалото. Негативните сетивни симптоми се проявяват с хипестезия за допир и болка в плантарната част на стъпалото. Симптомите се влошават през нощта, от продължително стоене прав и ходене и се облекчават при движения в глезенната става, обратно на тези при плантарен фасциит. Симптомите на Tinnel и Phalen зад или под медиалния малеол са положителни. Перкусията на flexor retinaculum или дорзалната флексия и извиване на стъпалото, предизвиква болка, подобна на електрически ток. Могат да се появят двигателни симптоми, свързани със слабост на фалангите, което нарушава фазата на изтласкване на крака при ходене. </w:t>
      </w:r>
    </w:p>
    <w:p w14:paraId="2B2123E0"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ЕМГ изследването показва денервация на m. abductor hallucis и удължена дистална двигателна латентност.</w:t>
      </w:r>
    </w:p>
    <w:p w14:paraId="316A199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Компресиите на n. femoralis </w:t>
      </w:r>
      <w:r w:rsidRPr="00AE47C6">
        <w:rPr>
          <w:rFonts w:ascii="Times New Roman" w:eastAsia="SimSun" w:hAnsi="Times New Roman"/>
          <w:sz w:val="24"/>
          <w:szCs w:val="24"/>
        </w:rPr>
        <w:t xml:space="preserve">могат да настъпят над ингвиналния лигамент (между m. psoas и илиачните мускули) и тогава функцията на тези мускули е засегната. Лезиите под ингвиналния лигамент засягат само някои от функциите на нерва, защото няколко сантиметра след преминаването си под лигамента нервът се разделя на кожни клонове за сетивна инервация на предната част на бедрото и двигателни клонове. Нервът може да се увреди от хематоми или абсцеси в илиачните мускули. В тези случаи пациентът лежи с флексирано, абдуцирано и във външна ротация бедро за да отбремени налягането върху нерва. Увреждания могат да настъпят и по време на анестезия при пациент поставен в поза за литотомия, когато нерва се притиска под ингвиналния лигамент. Форсираната екстензия на крака или хиперекстензия на бедрото през ръба на леглото при кома, може да преразтегне и увреди нерва. Проникващите прободни травми, катетеризацията на феморалната артерия и хирургични интервенции с латерално изместване на m. psoas могат също да увредят нерва. </w:t>
      </w:r>
    </w:p>
    <w:p w14:paraId="4E64D88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Компресиите на n. saphenous</w:t>
      </w:r>
      <w:r w:rsidRPr="00AE47C6">
        <w:rPr>
          <w:rFonts w:ascii="Times New Roman" w:eastAsia="SimSun" w:hAnsi="Times New Roman"/>
          <w:sz w:val="24"/>
          <w:szCs w:val="24"/>
        </w:rPr>
        <w:t xml:space="preserve"> настъпват на 10 cm над медиалния феморален епикондил в областта на излизане на нерва от субсарториалната фасция. Болката възниква в медиалната част на крака към вътрешната част на ходилото и големия пръст на крака. Засилва се при движение на крайника, имитира заболяване на коленната става или claudicatio intermittens. Може да се увреди изолирано препателарния клон на нерва, след травма (медиална менисцектомия) или спонтанно. Възниква пареща болка и хипестезия под коляното. При напрежение в коляното се появяват парестезии и дизестезии. </w:t>
      </w:r>
    </w:p>
    <w:p w14:paraId="0DD373A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Компресията на n. cutaneus femori lateralis</w:t>
      </w:r>
      <w:r w:rsidRPr="00AE47C6">
        <w:rPr>
          <w:rFonts w:ascii="Times New Roman" w:eastAsia="SimSun" w:hAnsi="Times New Roman"/>
          <w:sz w:val="24"/>
          <w:szCs w:val="24"/>
        </w:rPr>
        <w:t xml:space="preserve"> в бедрото се нарича meralgia paresthetica. </w:t>
      </w:r>
      <w:r w:rsidRPr="00AE47C6">
        <w:rPr>
          <w:rFonts w:ascii="Times New Roman" w:eastAsia="SimSun" w:hAnsi="Times New Roman"/>
          <w:bCs/>
          <w:sz w:val="24"/>
          <w:szCs w:val="24"/>
        </w:rPr>
        <w:t xml:space="preserve">Нервът преминава през тунел, образуван от малка цепка в латералния край на ингвиналния лигамент. </w:t>
      </w:r>
      <w:r w:rsidRPr="00AE47C6">
        <w:rPr>
          <w:rFonts w:ascii="Times New Roman" w:eastAsia="SimSun" w:hAnsi="Times New Roman"/>
          <w:sz w:val="24"/>
          <w:szCs w:val="24"/>
        </w:rPr>
        <w:t xml:space="preserve">Податлив е на компресия в spina iliaca, където преминава между костта, лигамента и залавното място на m. sartorius. Синдромът възниква при състояния, свързани с нарастване на корема: бременност, бързо напълняване и чернодробни заболявания. Може да възникне в резултат на директна травма, стегнати джинси или </w:t>
      </w:r>
      <w:r w:rsidRPr="00AE47C6">
        <w:rPr>
          <w:rFonts w:ascii="Times New Roman" w:eastAsia="SimSun" w:hAnsi="Times New Roman"/>
          <w:bCs/>
          <w:sz w:val="24"/>
          <w:szCs w:val="24"/>
        </w:rPr>
        <w:t xml:space="preserve">колан, </w:t>
      </w:r>
      <w:r w:rsidRPr="00AE47C6">
        <w:rPr>
          <w:rFonts w:ascii="Times New Roman" w:eastAsia="SimSun" w:hAnsi="Times New Roman"/>
          <w:sz w:val="24"/>
          <w:szCs w:val="24"/>
        </w:rPr>
        <w:t xml:space="preserve">носене на портфейл в предния джоб на панталона и други. По-рядко може да възникне в резултат на ретроперитонеален злокачествен тумор и абдоминални хирургични интервенции. </w:t>
      </w:r>
    </w:p>
    <w:p w14:paraId="0407D75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Клинично протича с пареща невропатна болка и дизестезия в латералната част на бедрото, които се засилват от продължително стоене и ходене. </w:t>
      </w:r>
      <w:r w:rsidRPr="00AE47C6">
        <w:rPr>
          <w:rFonts w:ascii="Times New Roman" w:eastAsia="SimSun" w:hAnsi="Times New Roman"/>
          <w:bCs/>
          <w:sz w:val="24"/>
          <w:szCs w:val="24"/>
        </w:rPr>
        <w:t xml:space="preserve">При флексия на бедрото болезнените дизестезии изчезват. Рядко е налице локална ноцицептивна болка в областта на притискането. Негативните сетивни симптоми се проявяват с хипестезия за допир и болка в латералната част на бедрото. Те са най-силно изразени на 2-3 cm под слабините и никога не се разпространяват под коляното. Установява се изразена динамична механична алодиния. Симптомът на Tinnel е отрицателен. </w:t>
      </w:r>
      <w:r w:rsidRPr="00AE47C6">
        <w:rPr>
          <w:rFonts w:ascii="Times New Roman" w:eastAsia="SimSun" w:hAnsi="Times New Roman"/>
          <w:sz w:val="24"/>
          <w:szCs w:val="24"/>
        </w:rPr>
        <w:t xml:space="preserve">Прогнозата е добра, </w:t>
      </w:r>
      <w:r w:rsidRPr="00AE47C6">
        <w:rPr>
          <w:rFonts w:ascii="Times New Roman" w:eastAsia="SimSun" w:hAnsi="Times New Roman"/>
          <w:bCs/>
          <w:sz w:val="24"/>
          <w:szCs w:val="24"/>
        </w:rPr>
        <w:t>в повечето случаи изчезва спонтанно,</w:t>
      </w:r>
      <w:r w:rsidRPr="00AE47C6">
        <w:rPr>
          <w:rFonts w:ascii="Times New Roman" w:eastAsia="SimSun" w:hAnsi="Times New Roman"/>
          <w:sz w:val="24"/>
          <w:szCs w:val="24"/>
        </w:rPr>
        <w:t xml:space="preserve"> при отстраняване на причините за компресията. </w:t>
      </w:r>
    </w:p>
    <w:p w14:paraId="3BDD9F2B"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sz w:val="24"/>
          <w:szCs w:val="24"/>
        </w:rPr>
        <w:t>Плантарните дигитални нерви</w:t>
      </w:r>
      <w:r w:rsidRPr="00AE47C6">
        <w:rPr>
          <w:rFonts w:ascii="Times New Roman" w:eastAsia="SimSun" w:hAnsi="Times New Roman"/>
          <w:bCs/>
          <w:sz w:val="24"/>
          <w:szCs w:val="24"/>
        </w:rPr>
        <w:t xml:space="preserve"> могат да бъдат притиснати между главичките на съседните метатарзални кости или при преминаването им през дълбоките метатарзални лигаменти. Компресията често възниква в областта на общия плантарен дигитален нерв, преди бифуркацията му в n.n. digitales proprii. Най-често това се случва в областта на третото и четвъртото метатарзално пространство и води до </w:t>
      </w:r>
      <w:r w:rsidRPr="00AE47C6">
        <w:rPr>
          <w:rFonts w:ascii="Times New Roman" w:eastAsia="SimSun" w:hAnsi="Times New Roman"/>
          <w:b/>
          <w:bCs/>
          <w:sz w:val="24"/>
          <w:szCs w:val="24"/>
        </w:rPr>
        <w:t>невралгията</w:t>
      </w:r>
      <w:r w:rsidRPr="00AE47C6">
        <w:rPr>
          <w:rFonts w:ascii="Times New Roman" w:eastAsia="SimSun" w:hAnsi="Times New Roman"/>
          <w:b/>
          <w:sz w:val="24"/>
          <w:szCs w:val="24"/>
        </w:rPr>
        <w:t xml:space="preserve"> на Morton</w:t>
      </w:r>
      <w:r w:rsidRPr="00AE47C6">
        <w:rPr>
          <w:rFonts w:ascii="Times New Roman" w:eastAsia="SimSun" w:hAnsi="Times New Roman"/>
          <w:bCs/>
          <w:sz w:val="24"/>
          <w:szCs w:val="24"/>
        </w:rPr>
        <w:t xml:space="preserve">. Синдромът се среща често и засяга предимно жени. Пациентите се оплакват от локална болка в дисталната плантарна трета на стъпалото при ходене. Болката по-късно става постоянна и се разпространява към цялото стъпало. Засилва се при носене на обувки с високи токове. При палпация се установява локална чувствителност и движението на II и IV метатарзална кост една към друга предизвиква силна локална болка. При притискане на пръстите на крака един към друг и едновременен натиск върху зоната под пръстите, болката се засилва. Симптомът на Tinnel е негативен. Негативните сетивни симптоми се проявяват с хипестезия за допир и болка в два съседни пръста, най-често трети и четвърти. Позитивните сетивни симптоми се проявяват с невралгична болка като електрически ток между засегнатите пръсти. Налице е и постоянно парене, което трудно се понася от пациентите. </w:t>
      </w:r>
    </w:p>
    <w:p w14:paraId="402FF7AF"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sz w:val="24"/>
          <w:szCs w:val="24"/>
        </w:rPr>
        <w:t>Суралният нерв</w:t>
      </w:r>
      <w:r w:rsidRPr="00AE47C6">
        <w:rPr>
          <w:rFonts w:ascii="Times New Roman" w:eastAsia="SimSun" w:hAnsi="Times New Roman"/>
          <w:bCs/>
          <w:sz w:val="24"/>
          <w:szCs w:val="24"/>
        </w:rPr>
        <w:t xml:space="preserve"> се притиска рядко в анатомичната фиброзна аркада, която дублира неговата апоневроза. Наблюдава се при атлети и при дълготрайно притискане в задно-долната част на прасеца. Появява се болка в латералната част на глезена и стъпалото. Сетивни нарушения няма, само локален симптом на Tinnel.</w:t>
      </w:r>
    </w:p>
    <w:p w14:paraId="0B3DBDDC"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sz w:val="24"/>
          <w:szCs w:val="24"/>
        </w:rPr>
        <w:t>Невриномът на Joplin</w:t>
      </w:r>
      <w:r w:rsidRPr="00AE47C6">
        <w:rPr>
          <w:rFonts w:ascii="Times New Roman" w:eastAsia="SimSun" w:hAnsi="Times New Roman"/>
          <w:bCs/>
          <w:sz w:val="24"/>
          <w:szCs w:val="24"/>
        </w:rPr>
        <w:t xml:space="preserve"> се предизвиква от компресия на дигиталния нерв от медиалната страна на големия пръст на крака при носене на тесни обувки. Протича с локална болка и сетивни симптоми в медиалната част на големия пръст, понякога двустранно. </w:t>
      </w:r>
    </w:p>
    <w:p w14:paraId="5AA946C2" w14:textId="77777777" w:rsidR="00BE0B19" w:rsidRPr="00AE47C6" w:rsidRDefault="00BE0B19" w:rsidP="00BE0B19">
      <w:pPr>
        <w:spacing w:after="0" w:line="360" w:lineRule="auto"/>
        <w:ind w:firstLine="709"/>
        <w:jc w:val="both"/>
        <w:rPr>
          <w:rFonts w:ascii="Times New Roman" w:eastAsia="SimSun" w:hAnsi="Times New Roman"/>
          <w:bCs/>
          <w:sz w:val="24"/>
          <w:szCs w:val="24"/>
        </w:rPr>
      </w:pPr>
    </w:p>
    <w:p w14:paraId="2B0C7644" w14:textId="77777777" w:rsidR="00BE0B19" w:rsidRPr="00AE47C6" w:rsidRDefault="00BE0B19" w:rsidP="00BE0B19">
      <w:pPr>
        <w:keepNext/>
        <w:keepLines/>
        <w:widowControl w:val="0"/>
        <w:spacing w:after="0" w:line="360" w:lineRule="auto"/>
        <w:ind w:left="283"/>
        <w:rPr>
          <w:rFonts w:ascii="Times New Roman" w:eastAsia="SimSun" w:hAnsi="Times New Roman"/>
          <w:b/>
          <w:sz w:val="24"/>
          <w:szCs w:val="24"/>
        </w:rPr>
      </w:pPr>
      <w:r w:rsidRPr="00AE47C6">
        <w:rPr>
          <w:rFonts w:ascii="Times New Roman" w:eastAsia="SimSun" w:hAnsi="Times New Roman"/>
          <w:b/>
          <w:sz w:val="24"/>
          <w:szCs w:val="24"/>
        </w:rPr>
        <w:t>Диагностични методи при компресионни невропатии</w:t>
      </w:r>
    </w:p>
    <w:p w14:paraId="1821D6DD" w14:textId="77777777" w:rsidR="00BE0B19" w:rsidRPr="00AE47C6" w:rsidRDefault="00BE0B19" w:rsidP="00BE0B19">
      <w:pPr>
        <w:keepNext/>
        <w:keepLines/>
        <w:widowControl w:val="0"/>
        <w:spacing w:after="0" w:line="360" w:lineRule="auto"/>
        <w:ind w:left="283"/>
        <w:rPr>
          <w:rFonts w:ascii="Times New Roman" w:eastAsia="SimSun" w:hAnsi="Times New Roman"/>
          <w:b/>
          <w:sz w:val="24"/>
          <w:szCs w:val="24"/>
        </w:rPr>
      </w:pPr>
    </w:p>
    <w:p w14:paraId="653C8CB0"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Тестът на Tinnel</w:t>
      </w:r>
      <w:r w:rsidRPr="00AE47C6">
        <w:rPr>
          <w:rFonts w:ascii="Times New Roman" w:eastAsia="SimSun" w:hAnsi="Times New Roman"/>
          <w:bCs/>
          <w:sz w:val="24"/>
          <w:szCs w:val="24"/>
        </w:rPr>
        <w:t xml:space="preserve"> може да се предизвика по миелинизираните и немиелинизирани първични аферентни влакна. Почукването върху нервния ствол предизвиква генериране на ектопични импулси в аксона, поради повишена механочувствителност и мембранна хипервъзбудимост на нивото на компресираните аксони. Това води до дизестезии в кожната инервационната територия на засегнатия нерв. </w:t>
      </w:r>
    </w:p>
    <w:p w14:paraId="5EEE22D0"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При </w:t>
      </w:r>
      <w:r w:rsidRPr="00AE47C6">
        <w:rPr>
          <w:rFonts w:ascii="Times New Roman" w:eastAsia="SimSun" w:hAnsi="Times New Roman"/>
          <w:b/>
          <w:bCs/>
          <w:sz w:val="24"/>
          <w:szCs w:val="24"/>
        </w:rPr>
        <w:t>тестът на Phalen</w:t>
      </w:r>
      <w:r w:rsidRPr="00AE47C6">
        <w:rPr>
          <w:rFonts w:ascii="Times New Roman" w:eastAsia="SimSun" w:hAnsi="Times New Roman"/>
          <w:bCs/>
          <w:sz w:val="24"/>
          <w:szCs w:val="24"/>
        </w:rPr>
        <w:t xml:space="preserve">, флексията на китката за 60 s, води до изтръпване, ирадииращо към китката, поради венозният застой. Алтернативно тестът се извършва с турникет на ръката с приложено 60 mm Hg налягане. Тестът е чувствителен и може да служи за проследяване на ефекта от приложеното лечение. </w:t>
      </w:r>
    </w:p>
    <w:p w14:paraId="70BA6E76"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При </w:t>
      </w:r>
      <w:r w:rsidRPr="00AE47C6">
        <w:rPr>
          <w:rFonts w:ascii="Times New Roman" w:eastAsia="SimSun" w:hAnsi="Times New Roman"/>
          <w:b/>
          <w:bCs/>
          <w:sz w:val="24"/>
          <w:szCs w:val="24"/>
        </w:rPr>
        <w:t>прийомът на Addson</w:t>
      </w:r>
      <w:r w:rsidRPr="00AE47C6">
        <w:rPr>
          <w:rFonts w:ascii="Times New Roman" w:eastAsia="SimSun" w:hAnsi="Times New Roman"/>
          <w:bCs/>
          <w:sz w:val="24"/>
          <w:szCs w:val="24"/>
        </w:rPr>
        <w:t xml:space="preserve">, при абдукция и повдигане на ръката над главата и обръщане на главата към нея, при изпъната шия и поемане на дълбок дъх, радиалният пулс в повдигнатата ръка изчезва. Засилват се наличните неврологични симптоми. Пулсът може да намалее по амплитуда и при здрави хора, но липсват неврологичните симптоми. </w:t>
      </w:r>
    </w:p>
    <w:p w14:paraId="3B2C8A19"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Прийомът на Roos</w:t>
      </w:r>
      <w:r w:rsidRPr="00AE47C6">
        <w:rPr>
          <w:rFonts w:ascii="Times New Roman" w:eastAsia="SimSun" w:hAnsi="Times New Roman"/>
          <w:bCs/>
          <w:sz w:val="24"/>
          <w:szCs w:val="24"/>
        </w:rPr>
        <w:t xml:space="preserve"> се състои от засилване на симптомите при външна ротация и 90</w:t>
      </w:r>
      <w:r w:rsidRPr="00AE47C6">
        <w:rPr>
          <w:rFonts w:ascii="Times New Roman" w:eastAsia="SimSun" w:hAnsi="Times New Roman"/>
          <w:bCs/>
          <w:sz w:val="24"/>
          <w:szCs w:val="24"/>
          <w:vertAlign w:val="superscript"/>
        </w:rPr>
        <w:t>0</w:t>
      </w:r>
      <w:r w:rsidRPr="00AE47C6">
        <w:rPr>
          <w:rFonts w:ascii="Times New Roman" w:eastAsia="SimSun" w:hAnsi="Times New Roman"/>
          <w:bCs/>
          <w:sz w:val="24"/>
          <w:szCs w:val="24"/>
        </w:rPr>
        <w:t xml:space="preserve"> абдукция на ръката, придружено от отваряне и затваряне на дланта за 3 минути. Умереният натиск върху fossa supraclavicularis за 15 s засилва симптомите. Може да се установи разлика в кръвното налягане между двете ръце. </w:t>
      </w:r>
    </w:p>
    <w:p w14:paraId="36BAA3D8"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ЕМГ изследването</w:t>
      </w:r>
      <w:r w:rsidRPr="00AE47C6">
        <w:rPr>
          <w:rFonts w:ascii="Times New Roman" w:eastAsia="SimSun" w:hAnsi="Times New Roman"/>
          <w:bCs/>
          <w:sz w:val="24"/>
          <w:szCs w:val="24"/>
        </w:rPr>
        <w:t xml:space="preserve"> установява локализацията и степента на увредата. Може да се установи забавена скорост на провеждане по периферните нерви вследствие на фокална демиелинизация или снижена амплитуда на сетивния акционен и сумарният мускулен потенциал вследствие на аксонна увреда. </w:t>
      </w:r>
    </w:p>
    <w:p w14:paraId="312C693D" w14:textId="77777777" w:rsidR="00BE0B19" w:rsidRPr="00AE47C6" w:rsidRDefault="00BE0B19" w:rsidP="00BE0B19">
      <w:pPr>
        <w:spacing w:after="0" w:line="360" w:lineRule="auto"/>
        <w:ind w:firstLine="709"/>
        <w:jc w:val="both"/>
        <w:rPr>
          <w:rFonts w:ascii="Times New Roman" w:eastAsia="SimSun" w:hAnsi="Times New Roman"/>
          <w:bCs/>
          <w:sz w:val="24"/>
          <w:szCs w:val="24"/>
        </w:rPr>
      </w:pPr>
    </w:p>
    <w:p w14:paraId="0FCE25DA" w14:textId="77777777" w:rsidR="00BE0B19" w:rsidRPr="00AE47C6" w:rsidRDefault="00BE0B19" w:rsidP="00BE0B19">
      <w:pPr>
        <w:spacing w:after="0" w:line="360" w:lineRule="auto"/>
        <w:ind w:firstLine="709"/>
        <w:rPr>
          <w:rFonts w:ascii="Times New Roman" w:eastAsia="SimSun" w:hAnsi="Times New Roman"/>
          <w:b/>
          <w:bCs/>
          <w:sz w:val="24"/>
          <w:szCs w:val="24"/>
        </w:rPr>
      </w:pPr>
      <w:r w:rsidRPr="00AE47C6">
        <w:rPr>
          <w:rFonts w:ascii="Times New Roman" w:eastAsia="SimSun" w:hAnsi="Times New Roman"/>
          <w:b/>
          <w:bCs/>
          <w:sz w:val="24"/>
          <w:szCs w:val="24"/>
        </w:rPr>
        <w:t>Диференциална диагноза при компресионните невропатии</w:t>
      </w:r>
    </w:p>
    <w:p w14:paraId="728EC3C1" w14:textId="77777777" w:rsidR="00BE0B19" w:rsidRPr="00AE47C6" w:rsidRDefault="00BE0B19" w:rsidP="00BE0B19">
      <w:pPr>
        <w:spacing w:after="0" w:line="360" w:lineRule="auto"/>
        <w:ind w:firstLine="709"/>
        <w:rPr>
          <w:rFonts w:ascii="Times New Roman" w:eastAsia="SimSun" w:hAnsi="Times New Roman"/>
          <w:b/>
          <w:bCs/>
          <w:sz w:val="24"/>
          <w:szCs w:val="24"/>
        </w:rPr>
      </w:pPr>
    </w:p>
    <w:p w14:paraId="69F8BFB8"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sz w:val="24"/>
          <w:szCs w:val="24"/>
        </w:rPr>
        <w:t xml:space="preserve">Синдромът на торакалния канал </w:t>
      </w:r>
      <w:r w:rsidRPr="00AE47C6">
        <w:rPr>
          <w:rFonts w:ascii="Times New Roman" w:eastAsia="SimSun" w:hAnsi="Times New Roman"/>
          <w:sz w:val="24"/>
          <w:szCs w:val="24"/>
        </w:rPr>
        <w:t xml:space="preserve">трябва да се отдиференцира от </w:t>
      </w:r>
      <w:r w:rsidRPr="00AE47C6">
        <w:rPr>
          <w:rFonts w:ascii="Times New Roman" w:eastAsia="SimSun" w:hAnsi="Times New Roman"/>
          <w:bCs/>
          <w:sz w:val="24"/>
          <w:szCs w:val="24"/>
        </w:rPr>
        <w:t xml:space="preserve">цервикална дискова болест, синдром на апофизеалните стави, на карпалния канал, артропатия, перикапсулит, тумор на Pancoast, аневризма на субклавийната артерия и невралгична амиотрофия. Компресия на невроваскуларния ствол се подозира при болки в шията и неврологични симптоми в горния крайник, които се засилват при поставяне на ръцете и врата в определена поза. </w:t>
      </w:r>
    </w:p>
    <w:p w14:paraId="06DFD262"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Най-трудна е диференциалната диагноза с латерална дискова херния C</w:t>
      </w:r>
      <w:r w:rsidRPr="00AE47C6">
        <w:rPr>
          <w:rFonts w:ascii="Times New Roman" w:eastAsia="SimSun" w:hAnsi="Times New Roman"/>
          <w:bCs/>
          <w:sz w:val="24"/>
          <w:szCs w:val="24"/>
          <w:vertAlign w:val="subscript"/>
        </w:rPr>
        <w:t>5</w:t>
      </w:r>
      <w:r w:rsidRPr="00AE47C6">
        <w:rPr>
          <w:rFonts w:ascii="Times New Roman" w:eastAsia="SimSun" w:hAnsi="Times New Roman"/>
          <w:bCs/>
          <w:sz w:val="24"/>
          <w:szCs w:val="24"/>
        </w:rPr>
        <w:t>-C</w:t>
      </w:r>
      <w:r w:rsidRPr="00AE47C6">
        <w:rPr>
          <w:rFonts w:ascii="Times New Roman" w:eastAsia="SimSun" w:hAnsi="Times New Roman"/>
          <w:bCs/>
          <w:sz w:val="24"/>
          <w:szCs w:val="24"/>
          <w:vertAlign w:val="subscript"/>
        </w:rPr>
        <w:t>6</w:t>
      </w:r>
      <w:r w:rsidRPr="00AE47C6">
        <w:rPr>
          <w:rFonts w:ascii="Times New Roman" w:eastAsia="SimSun" w:hAnsi="Times New Roman"/>
          <w:bCs/>
          <w:sz w:val="24"/>
          <w:szCs w:val="24"/>
        </w:rPr>
        <w:t>, която води до болка, сетивни нарушения и парестезии в рамото, трапецовидния мускул, радиалната част на предмишницата и палеца. Болката ирадиира към лакътя и по дорзалната част на предмишницата към показалеца и средния пръст. Налице са сетивни нарушения и парестезии в областта на II и III пръст. Установява се палпаторна болезненост в областта на m. triceps brachii и паравертебрално.</w:t>
      </w:r>
    </w:p>
    <w:p w14:paraId="5396B997"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Компресионните невропатии в горните крайници</w:t>
      </w:r>
      <w:r w:rsidRPr="00AE47C6">
        <w:rPr>
          <w:rFonts w:ascii="Times New Roman" w:eastAsia="SimSun" w:hAnsi="Times New Roman"/>
          <w:bCs/>
          <w:sz w:val="24"/>
          <w:szCs w:val="24"/>
        </w:rPr>
        <w:t xml:space="preserve"> трябва да се отдиференцират от радикулопатия на С</w:t>
      </w:r>
      <w:r w:rsidRPr="00AE47C6">
        <w:rPr>
          <w:rFonts w:ascii="Times New Roman" w:eastAsia="SimSun" w:hAnsi="Times New Roman"/>
          <w:bCs/>
          <w:sz w:val="24"/>
          <w:szCs w:val="24"/>
          <w:vertAlign w:val="subscript"/>
        </w:rPr>
        <w:t>5</w:t>
      </w:r>
      <w:r w:rsidRPr="00AE47C6">
        <w:rPr>
          <w:rFonts w:ascii="Times New Roman" w:eastAsia="SimSun" w:hAnsi="Times New Roman"/>
          <w:bCs/>
          <w:sz w:val="24"/>
          <w:szCs w:val="24"/>
        </w:rPr>
        <w:t xml:space="preserve"> и С</w:t>
      </w:r>
      <w:r w:rsidRPr="00AE47C6">
        <w:rPr>
          <w:rFonts w:ascii="Times New Roman" w:eastAsia="SimSun" w:hAnsi="Times New Roman"/>
          <w:bCs/>
          <w:sz w:val="24"/>
          <w:szCs w:val="24"/>
          <w:vertAlign w:val="subscript"/>
        </w:rPr>
        <w:t>6</w:t>
      </w:r>
      <w:r w:rsidRPr="00AE47C6">
        <w:rPr>
          <w:rFonts w:ascii="Times New Roman" w:eastAsia="SimSun" w:hAnsi="Times New Roman"/>
          <w:bCs/>
          <w:sz w:val="24"/>
          <w:szCs w:val="24"/>
        </w:rPr>
        <w:t>, С</w:t>
      </w:r>
      <w:r w:rsidRPr="00AE47C6">
        <w:rPr>
          <w:rFonts w:ascii="Times New Roman" w:eastAsia="SimSun" w:hAnsi="Times New Roman"/>
          <w:bCs/>
          <w:sz w:val="24"/>
          <w:szCs w:val="24"/>
          <w:vertAlign w:val="subscript"/>
        </w:rPr>
        <w:t>6</w:t>
      </w:r>
      <w:r w:rsidRPr="00AE47C6">
        <w:rPr>
          <w:rFonts w:ascii="Times New Roman" w:eastAsia="SimSun" w:hAnsi="Times New Roman"/>
          <w:bCs/>
          <w:sz w:val="24"/>
          <w:szCs w:val="24"/>
        </w:rPr>
        <w:t xml:space="preserve"> и С</w:t>
      </w:r>
      <w:r w:rsidRPr="00AE47C6">
        <w:rPr>
          <w:rFonts w:ascii="Times New Roman" w:eastAsia="SimSun" w:hAnsi="Times New Roman"/>
          <w:bCs/>
          <w:sz w:val="24"/>
          <w:szCs w:val="24"/>
          <w:vertAlign w:val="subscript"/>
        </w:rPr>
        <w:t>7</w:t>
      </w:r>
      <w:r w:rsidRPr="00AE47C6">
        <w:rPr>
          <w:rFonts w:ascii="Times New Roman" w:eastAsia="SimSun" w:hAnsi="Times New Roman"/>
          <w:bCs/>
          <w:sz w:val="24"/>
          <w:szCs w:val="24"/>
        </w:rPr>
        <w:t xml:space="preserve"> или C</w:t>
      </w:r>
      <w:r w:rsidRPr="00AE47C6">
        <w:rPr>
          <w:rFonts w:ascii="Times New Roman" w:eastAsia="SimSun" w:hAnsi="Times New Roman"/>
          <w:bCs/>
          <w:sz w:val="24"/>
          <w:szCs w:val="24"/>
          <w:vertAlign w:val="subscript"/>
        </w:rPr>
        <w:t>8</w:t>
      </w:r>
      <w:r w:rsidRPr="00AE47C6">
        <w:rPr>
          <w:rFonts w:ascii="Times New Roman" w:eastAsia="SimSun" w:hAnsi="Times New Roman"/>
          <w:bCs/>
          <w:sz w:val="24"/>
          <w:szCs w:val="24"/>
        </w:rPr>
        <w:t xml:space="preserve"> и T</w:t>
      </w:r>
      <w:r w:rsidRPr="00AE47C6">
        <w:rPr>
          <w:rFonts w:ascii="Times New Roman" w:eastAsia="SimSun" w:hAnsi="Times New Roman"/>
          <w:bCs/>
          <w:sz w:val="24"/>
          <w:szCs w:val="24"/>
          <w:vertAlign w:val="subscript"/>
        </w:rPr>
        <w:t>1</w:t>
      </w:r>
      <w:r w:rsidRPr="00AE47C6">
        <w:rPr>
          <w:rFonts w:ascii="Times New Roman" w:eastAsia="SimSun" w:hAnsi="Times New Roman"/>
          <w:bCs/>
          <w:sz w:val="24"/>
          <w:szCs w:val="24"/>
        </w:rPr>
        <w:t xml:space="preserve"> коренче. Компресията на n. suprascapularis трябва да се отдиференцира от субакромиален бурсит, увреждане на маншона на ротаторите и брахиален плексит.</w:t>
      </w:r>
    </w:p>
    <w:p w14:paraId="585AB457"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68" w:name="_Toc155651733"/>
      <w:bookmarkStart w:id="69" w:name="_Toc164075865"/>
      <w:r w:rsidRPr="00AE47C6">
        <w:rPr>
          <w:rFonts w:ascii="Times New Roman" w:eastAsia="SimSun" w:hAnsi="Times New Roman"/>
          <w:b/>
          <w:sz w:val="24"/>
          <w:szCs w:val="20"/>
          <w:lang w:eastAsia="ja-JP"/>
        </w:rPr>
        <w:t>3.1.4. Полиневропатии</w:t>
      </w:r>
      <w:bookmarkEnd w:id="68"/>
      <w:bookmarkEnd w:id="69"/>
    </w:p>
    <w:p w14:paraId="2AC54952"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Невропатиите засягат аксоните и миелиновите обвивки или Швановите клетки. По-често се засягат аксоните, като първо се увреждат най-дългите и най-дебели нервни влакна. Дегенерацията започва от дисталните части на аксоните и прогресира проксимално. Този механизъм, наречен “dying-back” е резултат на метаболитни нарушения в клетъчните тела или аксоните. Аксонопатиите са симетрични и са типични за токсичните и метаболитни нарушения на периферните нерви. По-рядко аксоните са запазени, а е налице сегментна демиелинизация. Тя се развива между нодулите на Ranvier и най-често е вследствие на автоимунен пристъп срещу периферните нерви и коренчета (синдром на Guillain-Barre). Крайниците могат да се засегнат дистално и проксимално, симетрично. Рядко невропатиите развиват вследствие на абнормности в развитието или метаболизма на Швановите клетки. Клиничното протичане на полиневропатиите е различно в зависимост от тяхната етиология. </w:t>
      </w:r>
    </w:p>
    <w:p w14:paraId="6D9A8EDA"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При полиневропатиите се засягат предилекционно един от типовете нервни влакна. Могат да се засегнат предимно сетивните влакна с голям диаметър (провеждащи вибрация и проприорецепция) и моторните влакна със среден диаметър. Могат да се засегнат сетивните влакна с малък диаметър (провеждащи болка и температура), заедно или не с автономните нервни влакна. Болката е типичен симптом при невропатиите на тънките влакна. </w:t>
      </w:r>
    </w:p>
    <w:p w14:paraId="5D6726A6"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Множествената мононевропатия е вследствие на исхемия на периферните нерви, поради васкулит на малките и средни кръвоносни съдове. Може да бъде първа проява на системния васкулит. Независимо от етиологията започва с остра болка и изтръпване в засегнатия крайник. Отпадните сетивни и двигателни нарушения настъпват след дни. </w:t>
      </w:r>
    </w:p>
    <w:p w14:paraId="5942860B"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Невропатията е остра, ако симптомите се развиват за по-малко от 3 седмици. При подострата невропатия симптомите се развиват за седмици до месеци, а при хроничната – за повече от 6 месеца. </w:t>
      </w:r>
    </w:p>
    <w:p w14:paraId="681D48BB" w14:textId="77777777" w:rsidR="00BE0B19" w:rsidRPr="00AE47C6" w:rsidRDefault="00BE0B19" w:rsidP="00BE0B19">
      <w:pPr>
        <w:spacing w:after="0" w:line="360" w:lineRule="auto"/>
        <w:ind w:firstLine="709"/>
        <w:jc w:val="both"/>
        <w:rPr>
          <w:rFonts w:ascii="Times New Roman" w:eastAsia="SimSun" w:hAnsi="Times New Roman"/>
          <w:bCs/>
          <w:sz w:val="24"/>
          <w:szCs w:val="24"/>
        </w:rPr>
      </w:pPr>
    </w:p>
    <w:p w14:paraId="467C2DFC" w14:textId="77777777" w:rsidR="00BE0B19" w:rsidRPr="00AE47C6" w:rsidRDefault="00BE0B19" w:rsidP="00BE0B19">
      <w:pPr>
        <w:spacing w:after="0" w:line="360" w:lineRule="auto"/>
        <w:ind w:firstLine="709"/>
        <w:rPr>
          <w:rFonts w:ascii="Times New Roman" w:eastAsia="SimSun" w:hAnsi="Times New Roman"/>
          <w:b/>
          <w:sz w:val="24"/>
          <w:szCs w:val="24"/>
        </w:rPr>
      </w:pPr>
      <w:r w:rsidRPr="00AE47C6">
        <w:rPr>
          <w:rFonts w:ascii="Times New Roman" w:eastAsia="SimSun" w:hAnsi="Times New Roman"/>
          <w:b/>
          <w:sz w:val="24"/>
          <w:szCs w:val="24"/>
        </w:rPr>
        <w:t>Болезнени полиневропатии на тънките нервни влакна</w:t>
      </w:r>
    </w:p>
    <w:p w14:paraId="24FD06A6" w14:textId="77777777" w:rsidR="00BE0B19" w:rsidRPr="00AE47C6" w:rsidRDefault="00BE0B19" w:rsidP="00BE0B19">
      <w:pPr>
        <w:spacing w:after="0" w:line="360" w:lineRule="auto"/>
        <w:ind w:firstLine="709"/>
        <w:jc w:val="center"/>
        <w:rPr>
          <w:rFonts w:ascii="Times New Roman" w:eastAsia="SimSun" w:hAnsi="Times New Roman"/>
          <w:b/>
          <w:sz w:val="24"/>
          <w:szCs w:val="24"/>
        </w:rPr>
      </w:pPr>
    </w:p>
    <w:p w14:paraId="19F4C993"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Представляват подтип на сетивните невропатии, при който се засягат предимно тънките миелинизирани Аδ и немиелинизираните С нервни влакна. </w:t>
      </w:r>
    </w:p>
    <w:p w14:paraId="5EE5D9E0"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Боледува</w:t>
      </w:r>
      <w:r w:rsidRPr="00AE47C6">
        <w:rPr>
          <w:rFonts w:ascii="Times New Roman" w:eastAsia="SimSun" w:hAnsi="Times New Roman"/>
          <w:bCs/>
          <w:sz w:val="24"/>
          <w:szCs w:val="24"/>
        </w:rPr>
        <w:t xml:space="preserve"> около 3% от населението, по-често между 45 и 70 годишна възраст. </w:t>
      </w:r>
    </w:p>
    <w:p w14:paraId="32E45F89"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Етиологията</w:t>
      </w:r>
      <w:r w:rsidRPr="00AE47C6">
        <w:rPr>
          <w:rFonts w:ascii="Times New Roman" w:eastAsia="SimSun" w:hAnsi="Times New Roman"/>
          <w:bCs/>
          <w:sz w:val="24"/>
          <w:szCs w:val="24"/>
        </w:rPr>
        <w:t xml:space="preserve"> най-често е свързана с диабет. Наблюдава се и при възпалителните, наследствените сетивни и автономни и наследствените сетивни невропатии, васкулитите, саркоидозата, системният лупус, синдромът на Sjogren, болестта на Fabry, СПИН, еритромелалгията, някои вирусни инфекции и цитомегаловирусния полирадикулоневрит. Идиопатичната невропатия се дължи на автоимунни и невродегенеративни механизми. </w:t>
      </w:r>
    </w:p>
    <w:p w14:paraId="7E31D997"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К</w:t>
      </w:r>
      <w:r w:rsidRPr="00AE47C6">
        <w:rPr>
          <w:rFonts w:ascii="Times New Roman" w:eastAsia="SimSun" w:hAnsi="Times New Roman"/>
          <w:b/>
          <w:bCs/>
          <w:sz w:val="24"/>
          <w:szCs w:val="24"/>
        </w:rPr>
        <w:t>линичната характеристика</w:t>
      </w:r>
      <w:r w:rsidRPr="00AE47C6">
        <w:rPr>
          <w:rFonts w:ascii="Times New Roman" w:eastAsia="SimSun" w:hAnsi="Times New Roman"/>
          <w:bCs/>
          <w:sz w:val="24"/>
          <w:szCs w:val="24"/>
        </w:rPr>
        <w:t xml:space="preserve"> е обща, независимо от причината. Невропатията на тънките влакна е причина за 90% от случаите със синдрома на парещите (неспокойните) крака. Преобладаващи симптоми са болката и болезнените парестезии, за разлика от тези на дебелите миелинизирани влакна. Могат да се засегнат сетивните и автономни функции и в лека степен дебелите нервни влакна, с поява на двигателни симптоми. </w:t>
      </w:r>
    </w:p>
    <w:p w14:paraId="5975795A" w14:textId="77777777" w:rsidR="00BE0B19" w:rsidRPr="00AE47C6" w:rsidRDefault="00BE0B19" w:rsidP="00BE0B19">
      <w:pPr>
        <w:spacing w:after="0" w:line="360" w:lineRule="auto"/>
        <w:ind w:firstLine="709"/>
        <w:jc w:val="both"/>
        <w:rPr>
          <w:rFonts w:ascii="Times New Roman" w:eastAsia="SimSun" w:hAnsi="Times New Roman"/>
          <w:b/>
          <w:sz w:val="24"/>
          <w:szCs w:val="24"/>
        </w:rPr>
      </w:pPr>
    </w:p>
    <w:p w14:paraId="0ABD6982" w14:textId="77777777" w:rsidR="00BE0B19" w:rsidRPr="00AE47C6" w:rsidRDefault="00BE0B19" w:rsidP="00BE0B19">
      <w:pPr>
        <w:spacing w:after="0" w:line="360" w:lineRule="auto"/>
        <w:ind w:firstLine="709"/>
        <w:rPr>
          <w:rFonts w:ascii="Times New Roman" w:eastAsia="SimSun" w:hAnsi="Times New Roman"/>
          <w:b/>
          <w:sz w:val="24"/>
          <w:szCs w:val="24"/>
        </w:rPr>
      </w:pPr>
      <w:r w:rsidRPr="00AE47C6">
        <w:rPr>
          <w:rFonts w:ascii="Times New Roman" w:eastAsia="SimSun" w:hAnsi="Times New Roman"/>
          <w:b/>
          <w:sz w:val="24"/>
          <w:szCs w:val="24"/>
        </w:rPr>
        <w:t>Диабетни невропатии</w:t>
      </w:r>
    </w:p>
    <w:p w14:paraId="1F8564B7" w14:textId="77777777" w:rsidR="00BE0B19" w:rsidRPr="00AE47C6" w:rsidRDefault="00BE0B19" w:rsidP="00BE0B19">
      <w:pPr>
        <w:spacing w:after="0" w:line="360" w:lineRule="auto"/>
        <w:ind w:firstLine="709"/>
        <w:rPr>
          <w:rFonts w:ascii="Times New Roman" w:eastAsia="SimSun" w:hAnsi="Times New Roman"/>
          <w:b/>
          <w:sz w:val="24"/>
          <w:szCs w:val="24"/>
        </w:rPr>
      </w:pPr>
    </w:p>
    <w:p w14:paraId="5B7574B4"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Невропатиите са най-честото микроваскуларно усложнение на диабета. След 12 години от началото на заболяването 70% от мъжете и 50% от жените имат невропатия. Предразполагащи фактори са по-дългата продължителност на заболяването, лош контрол на кръвната захар, тютюнопушене, затлъстяване, кардиоваскуларни рискови фактори и диабет 2 тип. Болка се наблюдава при малка част от пациентите (10%), с диабетна невропатия на тънките влакна. Нормализирането на кръвната захар в повечето случаи води до изчезване на симптомите, поради регенерация на нервните влакна. С прогресиращата дегенерация на влакната болката също изчезва. </w:t>
      </w:r>
    </w:p>
    <w:p w14:paraId="440B0E62"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Патогенезата</w:t>
      </w:r>
      <w:r w:rsidRPr="00AE47C6">
        <w:rPr>
          <w:rFonts w:ascii="Times New Roman" w:eastAsia="SimSun" w:hAnsi="Times New Roman"/>
          <w:bCs/>
          <w:sz w:val="24"/>
          <w:szCs w:val="24"/>
        </w:rPr>
        <w:t xml:space="preserve"> е мултифакторна, свързана с метаболитни и съдови фактори, които водят до прогресивна загуба на автономни и соматични нервни влакна. Тежестта на невропатията корелира със степента на хипергликемията. Последващата паранодална демиелинизация и аксонна увреда водят до появата на клиничните симптоми. </w:t>
      </w:r>
    </w:p>
    <w:p w14:paraId="77339C24"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Класификацията</w:t>
      </w:r>
      <w:r w:rsidRPr="00AE47C6">
        <w:rPr>
          <w:rFonts w:ascii="Times New Roman" w:eastAsia="SimSun" w:hAnsi="Times New Roman"/>
          <w:bCs/>
          <w:sz w:val="24"/>
          <w:szCs w:val="24"/>
        </w:rPr>
        <w:t xml:space="preserve"> разделя болезнените диабетни невропатии на генерализирани и фокални. Фокалните (или мултифокални) се подразделят на краниални, на крайника, проксимални и радикулоневропатии на тялото. Генерализираните симетрични полиневропатии се подразделят на остри сетивни и хронични сензомоторни. </w:t>
      </w:r>
    </w:p>
    <w:p w14:paraId="11FA096B"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iCs/>
          <w:sz w:val="24"/>
          <w:szCs w:val="24"/>
        </w:rPr>
        <w:t>Краниалните невропатии</w:t>
      </w:r>
      <w:r w:rsidRPr="00AE47C6">
        <w:rPr>
          <w:rFonts w:ascii="Times New Roman" w:eastAsia="SimSun" w:hAnsi="Times New Roman"/>
          <w:bCs/>
          <w:sz w:val="24"/>
          <w:szCs w:val="24"/>
        </w:rPr>
        <w:t xml:space="preserve"> са редки (1%), най-често се засяга n. oculomotorius и по-рядко – n. abducens. Възстановяват се спонтанно в продължение на няколко месеца.</w:t>
      </w:r>
    </w:p>
    <w:p w14:paraId="4047F68F"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iCs/>
          <w:sz w:val="24"/>
          <w:szCs w:val="24"/>
        </w:rPr>
        <w:t>Фокалните невропатии на крайниците</w:t>
      </w:r>
      <w:r w:rsidRPr="00AE47C6">
        <w:rPr>
          <w:rFonts w:ascii="Times New Roman" w:eastAsia="SimSun" w:hAnsi="Times New Roman"/>
          <w:bCs/>
          <w:sz w:val="24"/>
          <w:szCs w:val="24"/>
        </w:rPr>
        <w:t xml:space="preserve"> се подразделят на предизвикани от компресия и от исхемия. Компресионните невропатии при пациенти с диабет не се подобряват без лечение. Засягат се най-често n. medianus, n. radialis, n. femoralis, n. peroneus communis и n. cutaneus femori lateralis (meralgia paresthetica). Исхемичните невропатии имат внезапно начало, с едностранна ноцицептивна болка и спонтанно отзвучаване в рамките на месеци. </w:t>
      </w:r>
    </w:p>
    <w:p w14:paraId="23CA97A1"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iCs/>
          <w:sz w:val="24"/>
          <w:szCs w:val="24"/>
        </w:rPr>
        <w:t>Проксималните невропатии</w:t>
      </w:r>
      <w:r w:rsidRPr="00AE47C6">
        <w:rPr>
          <w:rFonts w:ascii="Times New Roman" w:eastAsia="SimSun" w:hAnsi="Times New Roman"/>
          <w:bCs/>
          <w:sz w:val="24"/>
          <w:szCs w:val="24"/>
        </w:rPr>
        <w:t xml:space="preserve"> настъпват при по-възрастни пациенти с втори тип диабет. Протичат със силна невропатна болка в единия или двата долни крайника, в областта на бедрото. Засилва се през нощта и нарушава съня. Добавят се и асиметрични, проксимални двигателни нарушения, изразени със слабост и хипотрофии на мускулите на бедрото. Сетивни нарушения не се установяват. Трябва да се отдиференцира от хроничната възпалителна демиелинизираща невропатия, която се повлиява от имуномодулираща терапия. Имат тенденция към бавно (в рамките на 1 година) и непълно възстановяване. </w:t>
      </w:r>
    </w:p>
    <w:p w14:paraId="2E27C080"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iCs/>
          <w:sz w:val="24"/>
          <w:szCs w:val="24"/>
        </w:rPr>
        <w:t>Радикулоневропатиите на тялото</w:t>
      </w:r>
      <w:r w:rsidRPr="00AE47C6">
        <w:rPr>
          <w:rFonts w:ascii="Times New Roman" w:eastAsia="SimSun" w:hAnsi="Times New Roman"/>
          <w:bCs/>
          <w:sz w:val="24"/>
          <w:szCs w:val="24"/>
        </w:rPr>
        <w:t xml:space="preserve"> са редки, засягат предимно мъже в средна и напреднала възраст, с дълготраен диабет. Основната клинична проява е пареща или пробождаща болка, която се засилва през нощта и се придружава от кожна хиперестезия по дерматомен тип. Болката се локализира в поясната област или коремната стена, едностранно и по-рядко двустранно. По-рядко са налице двигателни нарушения в поясната област и бедрото. Симптомите имат тенденция към отзвучаване в рамките на 6 месеца. </w:t>
      </w:r>
    </w:p>
    <w:p w14:paraId="4610AD24"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iCs/>
          <w:sz w:val="24"/>
          <w:szCs w:val="24"/>
        </w:rPr>
        <w:t>Острата сетивна невропатия</w:t>
      </w:r>
      <w:r w:rsidRPr="00AE47C6">
        <w:rPr>
          <w:rFonts w:ascii="Times New Roman" w:eastAsia="SimSun" w:hAnsi="Times New Roman"/>
          <w:bCs/>
          <w:sz w:val="24"/>
          <w:szCs w:val="24"/>
        </w:rPr>
        <w:t xml:space="preserve"> е вариант на симетричната полиневропатия. Причинява се от лошия контрол на диабета с колебание на кръвната захар, независимо от неговата посока, което води до исхемия на нерва. Може да започне след епизод на кетоацидоза. </w:t>
      </w:r>
    </w:p>
    <w:p w14:paraId="08CF123A"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Началото е остро, със силна невропатна болка, която се засилва през нощта. Болката е постоянна, пареща и се засилва дистално от бедрото или коляното. Често се установява изразена хиперестезия и дълбока болка, върху която се наслагва внезапна и остра болка, като електрически ток. При изследването могат да се установят потиснати коленни рефлекси, дистална хипестезия и алодиния. </w:t>
      </w:r>
    </w:p>
    <w:p w14:paraId="0AFAEDE0"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iCs/>
          <w:sz w:val="24"/>
          <w:szCs w:val="24"/>
        </w:rPr>
        <w:t>Хроничната дистална сензомоторна невропатия</w:t>
      </w:r>
      <w:r w:rsidRPr="00AE47C6">
        <w:rPr>
          <w:rFonts w:ascii="Times New Roman" w:eastAsia="SimSun" w:hAnsi="Times New Roman"/>
          <w:bCs/>
          <w:sz w:val="24"/>
          <w:szCs w:val="24"/>
        </w:rPr>
        <w:t xml:space="preserve"> е най-честа. Често се установява още с диагностицирането на втори тип диабет. С развитието на диабета броя на пациентите нараства до 40% от всички пациенти с диабет. Първоначално се засягат тънките миелинизирани и немиелинизирани нервни влакна, а дебелите миелинизирани се засягат по-късно в хода на заболяването. Поради тази причина засягането на усета за болка и температура преобладава пред засягането на усета за допир, проприорецепцията и двигателната активност. Това дава възможност на пациента да използва ефективно своите анестезирани крайници. Липсата на протективна сетивна информация води до претоварване на крайника, нараняване, инфекции, развитие на плантарни язви, безболезнени костни фрактури и стави на Charcot в краката. Развиват се трофични нарушения и диабетно стъпало. Невропатията се проявява със строго индивидуални симптоми при всеки пациент, които остават непроменени по време на хода на заболяването. При много пациенти са налице позитивни (болка, хиперестезия) и негативни сетивни и двигателни симптоми. Изразеността на симптомите зависи от дължината на засегнатия нерв, поради което те преобладават в долните крайници. При по-тежко увреждане се засягат и пръстите на ръцете. Негативните симптоми включват изтръпване, дистална хипестезия за всички сетивни модалности (вкл. нарушен вибрационен усет) и двигателни нарушения в долните крайници. Хипестезията е симетрична, под формата на чорапи, но може да се покачи проксимално. Болката е пареща, дълбока (усещането е, че идва от костите), придружена от изтръпване и усещане за преминаване на електрически ток (парещи парестезии) и се засилва през нощта. Нарушената проприорецепция (нарушен ставно-мускулен и вибрационен усет) води до нестабилност на походката. Автономните симптоми са появяват рано в хода на заболяването, заедно със сетивните нарушения. Едни от първите симптоми са нарушение на съдовата и судомоторната инервация на краката, което клинично се проявява с анхидроза и липса на пилоерекция. Може да се появи и периферна едема. Сухожилните рефлекси са запазени, липсват Ахиловите, в по-тежките случаи са потиснати и коленните. Мускулна слабост се развива рядко, но понякога има хипотрофии на малките мускули на краката и ръцете. Изразените двигателни нарушения или асиметрия на симптомите поставят под въпрос диагнозата. </w:t>
      </w:r>
    </w:p>
    <w:p w14:paraId="578463B2"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Заболяването зависи от контрола на хипергликемията, но независимо от временните флуктуации прогресира във времето. </w:t>
      </w:r>
    </w:p>
    <w:p w14:paraId="0CF17BC8" w14:textId="77777777" w:rsidR="00BE0B19" w:rsidRPr="00AE47C6" w:rsidRDefault="00BE0B19" w:rsidP="00BE0B19">
      <w:pPr>
        <w:spacing w:after="0" w:line="360" w:lineRule="auto"/>
        <w:jc w:val="both"/>
        <w:rPr>
          <w:rFonts w:ascii="Times New Roman" w:eastAsia="SimSun" w:hAnsi="Times New Roman"/>
          <w:b/>
          <w:sz w:val="24"/>
          <w:szCs w:val="24"/>
        </w:rPr>
      </w:pPr>
    </w:p>
    <w:p w14:paraId="27267283" w14:textId="77777777" w:rsidR="00BE0B19" w:rsidRPr="00AE47C6" w:rsidRDefault="00BE0B19" w:rsidP="00BE0B19">
      <w:pPr>
        <w:spacing w:after="0" w:line="360" w:lineRule="auto"/>
        <w:ind w:firstLine="709"/>
        <w:rPr>
          <w:rFonts w:ascii="Times New Roman" w:eastAsia="SimSun" w:hAnsi="Times New Roman"/>
          <w:b/>
          <w:bCs/>
          <w:sz w:val="24"/>
          <w:szCs w:val="24"/>
        </w:rPr>
      </w:pPr>
      <w:r w:rsidRPr="00AE47C6">
        <w:rPr>
          <w:rFonts w:ascii="Times New Roman" w:eastAsia="SimSun" w:hAnsi="Times New Roman"/>
          <w:b/>
          <w:bCs/>
          <w:sz w:val="24"/>
          <w:szCs w:val="24"/>
        </w:rPr>
        <w:t>Невропатии при недоимъчни състояния</w:t>
      </w:r>
    </w:p>
    <w:p w14:paraId="0903D0AD" w14:textId="77777777" w:rsidR="00BE0B19" w:rsidRPr="00AE47C6" w:rsidRDefault="00BE0B19" w:rsidP="00BE0B19">
      <w:pPr>
        <w:spacing w:after="0" w:line="360" w:lineRule="auto"/>
        <w:ind w:firstLine="709"/>
        <w:rPr>
          <w:rFonts w:ascii="Times New Roman" w:eastAsia="SimSun" w:hAnsi="Times New Roman"/>
          <w:b/>
          <w:bCs/>
          <w:sz w:val="24"/>
          <w:szCs w:val="24"/>
        </w:rPr>
      </w:pPr>
    </w:p>
    <w:p w14:paraId="72694274"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Алкохолът</w:t>
      </w:r>
      <w:r w:rsidRPr="00AE47C6">
        <w:rPr>
          <w:rFonts w:ascii="Times New Roman" w:eastAsia="SimSun" w:hAnsi="Times New Roman"/>
          <w:bCs/>
          <w:sz w:val="24"/>
          <w:szCs w:val="24"/>
        </w:rPr>
        <w:t xml:space="preserve"> и малнутрицията вследствие на гастроинтестинални заболявания, неправилна диета, след тежка хирургична интервенция или друга причина, с последващ дефицит на витамини, водят до болезнена невропатия. </w:t>
      </w:r>
    </w:p>
    <w:p w14:paraId="4B275287"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Установява се при 9% от алкохолиците, по-често при жени. </w:t>
      </w:r>
    </w:p>
    <w:p w14:paraId="3E95DE95"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Дължи се на недостиг на витамини от групата В, тиамин, пиридоксин, пантотенова киселина, цианкобаламин и ниацин. В резултат на това се развива аксонна дегенерация с деструкция на миелина и аксоните. Засягат се прогресивно и симетрично най-дългите и най-дебели периферни нерви на долните крайници (70%) и по-малко тези на горните крайници. С прогресията на заболяването се засягат задните и предните нервни коренчета. </w:t>
      </w:r>
    </w:p>
    <w:p w14:paraId="1688D64B" w14:textId="77777777" w:rsidR="00BE0B19" w:rsidRPr="00AE47C6" w:rsidRDefault="00BE0B19" w:rsidP="00BE0B19">
      <w:pPr>
        <w:tabs>
          <w:tab w:val="left" w:pos="2835"/>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Клинично</w:t>
      </w:r>
      <w:r w:rsidRPr="00AE47C6">
        <w:rPr>
          <w:rFonts w:ascii="Times New Roman" w:eastAsia="SimSun" w:hAnsi="Times New Roman"/>
          <w:bCs/>
          <w:sz w:val="24"/>
          <w:szCs w:val="24"/>
        </w:rPr>
        <w:t xml:space="preserve"> започва с дизестезии, синдром на парещите крака, силна болка в стъпалата и прогресира към загуба на сетивността, автономни симптоми и мускулна слабост. Двигателните нарушения варират от загуба на Ахиловите рефлекси до падане на китката или стъпалото. Парестезиите в стъпалата се засилват при допир. Поради засягане на постганглионерните симпатикови влакна се получава ексцесивно изпотяване на воларните повърхности на дланите и стъпалата. Появяват се трофични промени по кожата на стъпалата, едем, пигментации и лъскава кожа. </w:t>
      </w:r>
    </w:p>
    <w:p w14:paraId="1A91BEC2" w14:textId="77777777" w:rsidR="00BE0B19" w:rsidRPr="00AE47C6" w:rsidRDefault="00BE0B19" w:rsidP="00BE0B19">
      <w:pPr>
        <w:tabs>
          <w:tab w:val="left" w:pos="2835"/>
        </w:tabs>
        <w:spacing w:after="0" w:line="360" w:lineRule="auto"/>
        <w:ind w:firstLine="709"/>
        <w:jc w:val="both"/>
        <w:rPr>
          <w:rFonts w:ascii="Times New Roman" w:eastAsia="SimSun" w:hAnsi="Times New Roman"/>
          <w:bCs/>
          <w:sz w:val="24"/>
          <w:szCs w:val="24"/>
        </w:rPr>
      </w:pPr>
    </w:p>
    <w:p w14:paraId="644FE534" w14:textId="77777777" w:rsidR="00BE0B19" w:rsidRPr="00AE47C6" w:rsidRDefault="00BE0B19" w:rsidP="00BE0B19">
      <w:pPr>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sz w:val="24"/>
          <w:szCs w:val="24"/>
        </w:rPr>
        <w:t>Полиневропатии при инфекциозни заболявания</w:t>
      </w:r>
    </w:p>
    <w:p w14:paraId="6818D5BA" w14:textId="77777777" w:rsidR="00BE0B19" w:rsidRPr="00AE47C6" w:rsidRDefault="00BE0B19" w:rsidP="00BE0B19">
      <w:pPr>
        <w:spacing w:after="0" w:line="360" w:lineRule="auto"/>
        <w:ind w:firstLine="709"/>
        <w:jc w:val="both"/>
        <w:rPr>
          <w:rFonts w:ascii="Times New Roman" w:eastAsia="SimSun" w:hAnsi="Times New Roman"/>
          <w:b/>
          <w:bCs/>
          <w:sz w:val="24"/>
          <w:szCs w:val="24"/>
        </w:rPr>
      </w:pPr>
    </w:p>
    <w:p w14:paraId="1BCC389C"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bCs/>
          <w:iCs/>
          <w:sz w:val="24"/>
          <w:szCs w:val="24"/>
        </w:rPr>
        <w:t>HIV инфекцията и СПИН</w:t>
      </w:r>
      <w:r w:rsidRPr="00AE47C6">
        <w:rPr>
          <w:rFonts w:ascii="Times New Roman" w:eastAsia="SimSun" w:hAnsi="Times New Roman"/>
          <w:bCs/>
          <w:sz w:val="24"/>
          <w:szCs w:val="24"/>
        </w:rPr>
        <w:t xml:space="preserve"> предизвикват възпалителни, инфекциозни, инфилтративни, васкулитни, дегенеративни и токсични (от медикаменти) болезнени невропатии.</w:t>
      </w:r>
    </w:p>
    <w:p w14:paraId="04A46BB4"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i/>
          <w:sz w:val="24"/>
          <w:szCs w:val="24"/>
        </w:rPr>
        <w:t>Дисталната сетивна симетрична полиневропатия</w:t>
      </w:r>
      <w:r w:rsidRPr="00AE47C6">
        <w:rPr>
          <w:rFonts w:ascii="Times New Roman" w:eastAsia="SimSun" w:hAnsi="Times New Roman"/>
          <w:bCs/>
          <w:sz w:val="24"/>
          <w:szCs w:val="24"/>
        </w:rPr>
        <w:t xml:space="preserve"> е най-честа, при 30% от пациентите със СПИН. В ранния стадии на HIV инфекцията тя се установява рядко, но зачестява с влошаването на имунологичния статус и корелира с тежестта на заболяването.</w:t>
      </w:r>
    </w:p>
    <w:p w14:paraId="32C48041"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Клинично протича с болка и симетрични дистални сетивни нарушения в пръстите на краката и стъпалата. Те се разпространяват проксимално в продължение на седмици и месеци. Изразената алодиния, дизестезия и хиперпатия правят ходенето болезнено. Пациентите спят с отвити крака, за да избегнат контакта със завивките. Горните крайници обикновено не са засегнати. При изследването се установяват хипестезия за болка и температура, намален вибрационен усет, с минимално засягане на двигателните функции. Ахиловите рефлекси са запазени, а коленните – усилени, поради съпътстващата миелопатия.</w:t>
      </w:r>
    </w:p>
    <w:p w14:paraId="3779095E"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Възпалителна болезнена невропатия</w:t>
      </w:r>
      <w:r w:rsidRPr="00AE47C6">
        <w:rPr>
          <w:rFonts w:ascii="Times New Roman" w:eastAsia="SimSun" w:hAnsi="Times New Roman"/>
          <w:bCs/>
          <w:sz w:val="24"/>
          <w:szCs w:val="24"/>
        </w:rPr>
        <w:t xml:space="preserve"> е имунно медиирана, със сегментна демиелинизация и остро или подостро протичане. Може да се появи в периода на сероконверсията или по-късно в хода на заболяването. Наподобява синдрома на Guillain-Barre, но за разлика от него вместо белтъчно-клетъчна дисоциация в ликвор се повишават и белтъка и клетките. Клинично симптомите се проявяват за дни до седмици – болки и парестезии в крайниците, прогресиращи от дистално към проксимално. Болката се усеща дълбоко в мускулите на гърба и бедрата и се влошава през нощта. Придружава се от мускулна слабост и потискане на сухожилните рефлекси. За седмици до месеци настъпва спонтанно възстановяване в различна степен. При малко пациенти настъпва смърт от дихателни усложнения. </w:t>
      </w:r>
    </w:p>
    <w:p w14:paraId="39692720"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ЕМГ изследването показва първична демиелинизация и блок в провеждането.</w:t>
      </w:r>
    </w:p>
    <w:p w14:paraId="120ED783" w14:textId="77777777" w:rsidR="00BE0B19" w:rsidRPr="00AE47C6" w:rsidRDefault="00BE0B19" w:rsidP="00BE0B19">
      <w:pPr>
        <w:spacing w:after="0" w:line="360" w:lineRule="auto"/>
        <w:ind w:firstLine="709"/>
        <w:jc w:val="both"/>
        <w:rPr>
          <w:rFonts w:ascii="Times New Roman" w:eastAsia="SimSun" w:hAnsi="Times New Roman"/>
          <w:b/>
          <w:bCs/>
          <w:iCs/>
          <w:sz w:val="24"/>
          <w:szCs w:val="24"/>
        </w:rPr>
      </w:pPr>
    </w:p>
    <w:p w14:paraId="5E6E6ABF" w14:textId="77777777" w:rsidR="00BE0B19" w:rsidRPr="00AE47C6" w:rsidRDefault="00BE0B19" w:rsidP="00BE0B19">
      <w:pPr>
        <w:spacing w:after="0" w:line="360" w:lineRule="auto"/>
        <w:ind w:firstLine="709"/>
        <w:jc w:val="both"/>
        <w:rPr>
          <w:rFonts w:ascii="Times New Roman" w:eastAsia="SimSun" w:hAnsi="Times New Roman"/>
          <w:b/>
          <w:bCs/>
          <w:iCs/>
          <w:sz w:val="24"/>
          <w:szCs w:val="24"/>
        </w:rPr>
      </w:pPr>
      <w:r w:rsidRPr="00AE47C6">
        <w:rPr>
          <w:rFonts w:ascii="Times New Roman" w:eastAsia="SimSun" w:hAnsi="Times New Roman"/>
          <w:b/>
          <w:bCs/>
          <w:iCs/>
          <w:sz w:val="24"/>
          <w:szCs w:val="24"/>
        </w:rPr>
        <w:t>Полиневропатии при малигнени заболявания</w:t>
      </w:r>
    </w:p>
    <w:p w14:paraId="4D01F707"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 xml:space="preserve">Паранеопластичните невропатии </w:t>
      </w:r>
      <w:r w:rsidRPr="00AE47C6">
        <w:rPr>
          <w:rFonts w:ascii="Times New Roman" w:eastAsia="SimSun" w:hAnsi="Times New Roman"/>
          <w:bCs/>
          <w:sz w:val="24"/>
          <w:szCs w:val="24"/>
        </w:rPr>
        <w:t xml:space="preserve">са сензомоторни или чисто сензорни, болезнени. Клиничните прояви предшестват с месеци или година диагнозата на тумора. Първите симптоми са болки и дизестезии в дисталната част на крайниците, тялото и лицето. Симптомите се разпространяват проксимално. Настъпва остра или подостра загуба на всички сетивни модалности, със загуба на дълбоката сетивност, която може да бъде асиметрична. Кинестетичният усет се засяга силно, което води до тежка инвалидизация на пациентите, независимо от запазената мускулна сила. Сухожилните рефлекси са потиснати или липсват. Установяват се деменция, малкомозъчно увреждане, миелопатия и дизавтономия. </w:t>
      </w:r>
    </w:p>
    <w:p w14:paraId="5F6EB8FC"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В ликвора се установява плеоцитоза и повишено количество протеини. В серума се установяват анти-невронни антитела. ЕМГ изследването установява нормална проводимост по двигателните и засягане на сетивните влакна. </w:t>
      </w:r>
    </w:p>
    <w:p w14:paraId="35BB7589" w14:textId="77777777" w:rsidR="00BE0B19" w:rsidRPr="00AE47C6" w:rsidRDefault="00BE0B19" w:rsidP="00BE0B19">
      <w:pPr>
        <w:spacing w:after="0" w:line="360" w:lineRule="auto"/>
        <w:ind w:firstLine="709"/>
        <w:jc w:val="both"/>
        <w:rPr>
          <w:rFonts w:ascii="Times New Roman" w:eastAsia="SimSun" w:hAnsi="Times New Roman"/>
          <w:b/>
          <w:sz w:val="24"/>
          <w:szCs w:val="24"/>
        </w:rPr>
      </w:pPr>
    </w:p>
    <w:p w14:paraId="7398E860" w14:textId="77777777" w:rsidR="00BE0B19" w:rsidRPr="00AE47C6" w:rsidRDefault="00BE0B19" w:rsidP="00BE0B19">
      <w:pPr>
        <w:spacing w:after="0" w:line="360" w:lineRule="auto"/>
        <w:ind w:firstLine="709"/>
        <w:rPr>
          <w:rFonts w:ascii="Times New Roman" w:eastAsia="SimSun" w:hAnsi="Times New Roman"/>
          <w:b/>
          <w:sz w:val="24"/>
          <w:szCs w:val="24"/>
        </w:rPr>
      </w:pPr>
      <w:r w:rsidRPr="00AE47C6">
        <w:rPr>
          <w:rFonts w:ascii="Times New Roman" w:eastAsia="SimSun" w:hAnsi="Times New Roman"/>
          <w:b/>
          <w:sz w:val="24"/>
          <w:szCs w:val="24"/>
        </w:rPr>
        <w:t>Специфични болкови невропатии</w:t>
      </w:r>
    </w:p>
    <w:p w14:paraId="4C17A263" w14:textId="77777777" w:rsidR="00BE0B19" w:rsidRPr="00AE47C6" w:rsidRDefault="00BE0B19" w:rsidP="00BE0B19">
      <w:pPr>
        <w:spacing w:after="0" w:line="360" w:lineRule="auto"/>
        <w:ind w:firstLine="709"/>
        <w:rPr>
          <w:rFonts w:ascii="Times New Roman" w:eastAsia="SimSun" w:hAnsi="Times New Roman"/>
          <w:b/>
          <w:sz w:val="24"/>
          <w:szCs w:val="24"/>
        </w:rPr>
      </w:pPr>
    </w:p>
    <w:p w14:paraId="41BD7F04"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В тази група се включват невропатиите при които се установява специфична причина за увреждането на тънките аферентни ноцицептивни нервни влакна. </w:t>
      </w:r>
    </w:p>
    <w:p w14:paraId="1DBE8822"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Клинично протичат с болка в дисталната част на крайниците, засилваща се вечер и през нощта. Тя се усеща повърхностно в кожата и може да дифузна и непрекъсната (пареща) или по-силна, пристъпна, локализирана и остра (като електрически ток). Може да има допълнителни позитивни и негативни дистални сетивни симптоми, като чорапи или ръкавици. Може да се добавят двигателни и автономни симптоми. При неврологичното изследване се установява дистална хипестезия за допир, болка и температура. В някои случаи сетивните симптоми са силно изразени, със загуба на дълбоката сетивност и изразени двигателни и автономни симптоми. Може да има симптоми, типични за конкретното заболяване, причиняващо невропатията. </w:t>
      </w:r>
    </w:p>
    <w:p w14:paraId="3179455D"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iCs/>
          <w:sz w:val="24"/>
          <w:szCs w:val="24"/>
        </w:rPr>
        <w:t>Наследствените сетивни и автономни невропатии (HSAN)</w:t>
      </w:r>
      <w:r w:rsidRPr="00AE47C6">
        <w:rPr>
          <w:rFonts w:ascii="Times New Roman" w:eastAsia="SimSun" w:hAnsi="Times New Roman"/>
          <w:bCs/>
          <w:sz w:val="24"/>
          <w:szCs w:val="24"/>
        </w:rPr>
        <w:t xml:space="preserve"> са няколко типа. </w:t>
      </w:r>
      <w:r w:rsidRPr="00AE47C6">
        <w:rPr>
          <w:rFonts w:ascii="Times New Roman" w:eastAsia="SimSun" w:hAnsi="Times New Roman"/>
          <w:sz w:val="24"/>
          <w:szCs w:val="24"/>
        </w:rPr>
        <w:t xml:space="preserve">Първият тип е </w:t>
      </w:r>
      <w:r w:rsidRPr="00AE47C6">
        <w:rPr>
          <w:rFonts w:ascii="Times New Roman" w:eastAsia="SimSun" w:hAnsi="Times New Roman"/>
          <w:i/>
          <w:sz w:val="24"/>
          <w:szCs w:val="24"/>
        </w:rPr>
        <w:t>автозомно-доминантна сетивна и автономна невропатия</w:t>
      </w:r>
      <w:r w:rsidRPr="00AE47C6">
        <w:rPr>
          <w:rFonts w:ascii="Times New Roman" w:eastAsia="SimSun" w:hAnsi="Times New Roman"/>
          <w:sz w:val="24"/>
          <w:szCs w:val="24"/>
        </w:rPr>
        <w:t xml:space="preserve"> (HSAN тип I по класификацията на Dick). </w:t>
      </w:r>
      <w:r w:rsidRPr="00AE47C6">
        <w:rPr>
          <w:rFonts w:ascii="Times New Roman" w:eastAsia="SimSun" w:hAnsi="Times New Roman"/>
          <w:bCs/>
          <w:sz w:val="24"/>
          <w:szCs w:val="24"/>
        </w:rPr>
        <w:t xml:space="preserve">Засягат се предимно тънките и в по-лека степен дебелите нервни влакна. </w:t>
      </w:r>
      <w:r w:rsidRPr="00AE47C6">
        <w:rPr>
          <w:rFonts w:ascii="Times New Roman" w:eastAsia="SimSun" w:hAnsi="Times New Roman"/>
          <w:sz w:val="24"/>
          <w:szCs w:val="24"/>
        </w:rPr>
        <w:t xml:space="preserve">Този </w:t>
      </w:r>
      <w:r w:rsidRPr="00AE47C6">
        <w:rPr>
          <w:rFonts w:ascii="Times New Roman" w:eastAsia="SimSun" w:hAnsi="Times New Roman"/>
          <w:bCs/>
          <w:sz w:val="24"/>
          <w:szCs w:val="24"/>
        </w:rPr>
        <w:t>сравнително рядък тип е най-често свързан с пареща болка, предимно в стъпалата, още в началото на заболяването.</w:t>
      </w:r>
      <w:r w:rsidRPr="00AE47C6">
        <w:rPr>
          <w:rFonts w:ascii="Times New Roman" w:eastAsia="SimSun" w:hAnsi="Times New Roman"/>
          <w:sz w:val="24"/>
          <w:szCs w:val="24"/>
        </w:rPr>
        <w:t xml:space="preserve"> Проявява се клинично след 20 годишна възраст със спонтанни болки и </w:t>
      </w:r>
      <w:r w:rsidRPr="00AE47C6">
        <w:rPr>
          <w:rFonts w:ascii="Times New Roman" w:eastAsia="SimSun" w:hAnsi="Times New Roman"/>
          <w:bCs/>
          <w:sz w:val="24"/>
          <w:szCs w:val="24"/>
        </w:rPr>
        <w:t>прогресиращи</w:t>
      </w:r>
      <w:r w:rsidRPr="00AE47C6">
        <w:rPr>
          <w:rFonts w:ascii="Times New Roman" w:eastAsia="SimSun" w:hAnsi="Times New Roman"/>
          <w:sz w:val="24"/>
          <w:szCs w:val="24"/>
        </w:rPr>
        <w:t xml:space="preserve"> нарушения на болковия и температурен усет. Засягат се и другите сетивни модалности. Появяват се </w:t>
      </w:r>
      <w:r w:rsidRPr="00AE47C6">
        <w:rPr>
          <w:rFonts w:ascii="Times New Roman" w:eastAsia="SimSun" w:hAnsi="Times New Roman"/>
          <w:bCs/>
          <w:sz w:val="24"/>
          <w:szCs w:val="24"/>
        </w:rPr>
        <w:t>слабо изразени</w:t>
      </w:r>
      <w:r w:rsidRPr="00AE47C6">
        <w:rPr>
          <w:rFonts w:ascii="Times New Roman" w:eastAsia="SimSun" w:hAnsi="Times New Roman"/>
          <w:sz w:val="24"/>
          <w:szCs w:val="24"/>
        </w:rPr>
        <w:t xml:space="preserve"> автономни симптоми (нарушено изпотяване в </w:t>
      </w:r>
      <w:r w:rsidRPr="00AE47C6">
        <w:rPr>
          <w:rFonts w:ascii="Times New Roman" w:eastAsia="SimSun" w:hAnsi="Times New Roman"/>
          <w:bCs/>
          <w:sz w:val="24"/>
          <w:szCs w:val="24"/>
        </w:rPr>
        <w:t xml:space="preserve">дисталните части на </w:t>
      </w:r>
      <w:r w:rsidRPr="00AE47C6">
        <w:rPr>
          <w:rFonts w:ascii="Times New Roman" w:eastAsia="SimSun" w:hAnsi="Times New Roman"/>
          <w:sz w:val="24"/>
          <w:szCs w:val="24"/>
        </w:rPr>
        <w:t>крайниците, тазово-резервоарни нарушения) и лека дистална слабост в крайниците с мускулни хипотрофии с рани</w:t>
      </w:r>
      <w:r w:rsidRPr="00AE47C6">
        <w:rPr>
          <w:rFonts w:ascii="Times New Roman" w:eastAsia="SimSun" w:hAnsi="Times New Roman"/>
          <w:bCs/>
          <w:sz w:val="24"/>
          <w:szCs w:val="24"/>
        </w:rPr>
        <w:t xml:space="preserve">. Горните крайници са по-слабо засегнати. Появяват се целулит, остеомиелит и артропатия с деформация на стъпалата. </w:t>
      </w:r>
    </w:p>
    <w:p w14:paraId="1466BF6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ЕМГ изследването показва засягане на сетивните влакна в периферните нерви.</w:t>
      </w:r>
    </w:p>
    <w:p w14:paraId="44CA8CB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Вторият тип е </w:t>
      </w:r>
      <w:r w:rsidRPr="00AE47C6">
        <w:rPr>
          <w:rFonts w:ascii="Times New Roman" w:eastAsia="SimSun" w:hAnsi="Times New Roman"/>
          <w:i/>
          <w:sz w:val="24"/>
          <w:szCs w:val="24"/>
        </w:rPr>
        <w:t>автозомно-рецесивна сетивна невропатия</w:t>
      </w:r>
      <w:r w:rsidRPr="00AE47C6">
        <w:rPr>
          <w:rFonts w:ascii="Times New Roman" w:eastAsia="SimSun" w:hAnsi="Times New Roman"/>
          <w:sz w:val="24"/>
          <w:szCs w:val="24"/>
        </w:rPr>
        <w:t xml:space="preserve"> (HSAN тип II) или синдром на Riley-Day. Проявява се от раждането и засяга всички сетивни модалности. Може да се появят автономни симптоми и лека дистална мускулна слабост в крайниците. </w:t>
      </w:r>
    </w:p>
    <w:p w14:paraId="29862E3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ЕМГ изследването показва засягане на сетивните и леко на двигателните влакна.</w:t>
      </w:r>
    </w:p>
    <w:p w14:paraId="1BA6C720" w14:textId="77777777" w:rsidR="00BE0B19" w:rsidRPr="00AE47C6" w:rsidRDefault="00BE0B19" w:rsidP="00BE0B19">
      <w:pPr>
        <w:spacing w:after="0" w:line="360" w:lineRule="auto"/>
        <w:ind w:firstLine="709"/>
        <w:jc w:val="both"/>
        <w:rPr>
          <w:rFonts w:ascii="Times New Roman" w:eastAsia="SimSun" w:hAnsi="Times New Roman"/>
          <w:sz w:val="24"/>
          <w:szCs w:val="24"/>
        </w:rPr>
      </w:pPr>
    </w:p>
    <w:p w14:paraId="6831C860" w14:textId="77777777" w:rsidR="00BE0B19" w:rsidRPr="00AE47C6" w:rsidRDefault="00BE0B19" w:rsidP="00BE0B19">
      <w:pPr>
        <w:keepNext/>
        <w:keepLines/>
        <w:widowControl w:val="0"/>
        <w:spacing w:after="0" w:line="360" w:lineRule="auto"/>
        <w:ind w:left="283"/>
        <w:rPr>
          <w:rFonts w:ascii="Times New Roman" w:eastAsia="SimSun" w:hAnsi="Times New Roman"/>
          <w:b/>
          <w:sz w:val="24"/>
          <w:szCs w:val="24"/>
        </w:rPr>
      </w:pPr>
      <w:r w:rsidRPr="00AE47C6">
        <w:rPr>
          <w:rFonts w:ascii="Times New Roman" w:eastAsia="SimSun" w:hAnsi="Times New Roman"/>
          <w:b/>
          <w:sz w:val="24"/>
          <w:szCs w:val="24"/>
        </w:rPr>
        <w:t>Диагностични методи при болезнени полиневропатии</w:t>
      </w:r>
    </w:p>
    <w:p w14:paraId="58E0FC17" w14:textId="77777777" w:rsidR="00BE0B19" w:rsidRPr="00AE47C6" w:rsidRDefault="00BE0B19" w:rsidP="00BE0B19">
      <w:pPr>
        <w:keepNext/>
        <w:keepLines/>
        <w:widowControl w:val="0"/>
        <w:spacing w:after="0" w:line="360" w:lineRule="auto"/>
        <w:ind w:left="283"/>
        <w:rPr>
          <w:rFonts w:ascii="Times New Roman" w:eastAsia="SimSun" w:hAnsi="Times New Roman"/>
          <w:b/>
          <w:sz w:val="24"/>
          <w:szCs w:val="24"/>
        </w:rPr>
      </w:pPr>
    </w:p>
    <w:p w14:paraId="4A33E9CD"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 xml:space="preserve">1. Анамнезата разкрива </w:t>
      </w:r>
      <w:r w:rsidRPr="00AE47C6">
        <w:rPr>
          <w:rFonts w:ascii="Times New Roman" w:eastAsia="SimSun" w:hAnsi="Times New Roman"/>
          <w:bCs/>
          <w:sz w:val="24"/>
          <w:szCs w:val="24"/>
        </w:rPr>
        <w:t>оплаквания от спонтанна остра болка (пареща, боцкаща или дълбока), парестезии и дизестезии  в пръстите на краката и дорзалната част на стъпалата. Острата болка е краткотрайна, пробождаща, като електрически ток. Парестезиите и дизестезиите са по-характерни за диабетните и алкохолни невропатии. Пациентите усещат краката си студени или като че ли кожата им е стегната, имат свръхчувствителност към температурни стимули (студено и топло). Болката и дизестезиите се засилват в покой и особено през нощта, като нарушават съня. Алодинията води до непоносимост към завивките в леглото, към чорапи и обувки. Заболяването започва от долните крайници и по-късно може да обхване и ръцете, но с прогресията на невропатията болката изчезва. При някои пациенти има крампи на мускулите на подбедрицата.</w:t>
      </w:r>
    </w:p>
    <w:p w14:paraId="449D4972"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2. Неврологичното изследване</w:t>
      </w:r>
      <w:r w:rsidRPr="00AE47C6">
        <w:rPr>
          <w:rFonts w:ascii="Times New Roman" w:eastAsia="SimSun" w:hAnsi="Times New Roman"/>
          <w:bCs/>
          <w:sz w:val="24"/>
          <w:szCs w:val="24"/>
        </w:rPr>
        <w:t xml:space="preserve"> показва данни за засягане на тънките влакна. Сетивните нарушения са характерни и могат да се засегнат една или всички сетивни модалности. Установява се дистална хипестезия за температура и болка в долните крайници, болката продължава и след прекратяване на стимулите. Чест симптом е хиперпатията. Появяват се и качествени нарушения на сетивността, като тактилните стимули се усещат като парене. Установяват се и автономни симптоми, най-често нарушения в изпотяването, запек или диария, инконтиненция и импотентност. По-рядко се намират ксеростомия и ксерофталмия, ортостатична хипотония и ексцесивно изпотяване. Засягат се повече функциите медиирани от холинергичните и кожни вазомоторни, отколкото тези от адренергичните влакна. Проприорецепцията се засяга рядко, сухожилните рефлекси са нормални или потиснати. </w:t>
      </w:r>
    </w:p>
    <w:p w14:paraId="61176A70"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Изключващи критерии са наличие на значителна дисфункция на дебелите влакна, проявяваща се с намалена проприорецепция в пръстите на краката, загуба на вибрационен усет в долните крайници, дистална мускулна слабост и хипотрофии или генерализирана арефлексия. Вибрационният усет може да е намален в областта на пръстите на краката, но би трябвало да е нормален на нивото на глезените. Ако е нарушен на по-високо ниво се приема наличието на увреждане и на дебелите нервни влакна.</w:t>
      </w:r>
    </w:p>
    <w:p w14:paraId="5A5B243A"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1. Стандартното ЕМГ</w:t>
      </w:r>
      <w:r w:rsidRPr="00AE47C6">
        <w:rPr>
          <w:rFonts w:ascii="Times New Roman" w:eastAsia="SimSun" w:hAnsi="Times New Roman"/>
          <w:bCs/>
          <w:sz w:val="24"/>
          <w:szCs w:val="24"/>
        </w:rPr>
        <w:t xml:space="preserve"> изследване не показва отклонения, но симпатиковият кожен отговор може да покаже нарушения на тънките нервни влакна. Установяването на забавена скорост на провеждане по двигателните влакна е изключващ критерии.</w:t>
      </w:r>
    </w:p>
    <w:p w14:paraId="7589A13B"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2. Тестовете за оценка на</w:t>
      </w:r>
      <w:r w:rsidRPr="00AE47C6">
        <w:rPr>
          <w:rFonts w:ascii="Times New Roman" w:eastAsia="SimSun" w:hAnsi="Times New Roman"/>
          <w:bCs/>
          <w:sz w:val="24"/>
          <w:szCs w:val="24"/>
        </w:rPr>
        <w:t xml:space="preserve"> кардиоваскуларната автономна функция могат да покажат субклинични нарушения. </w:t>
      </w:r>
    </w:p>
    <w:p w14:paraId="3BFB3E4F"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3. Кожната биопсия</w:t>
      </w:r>
      <w:r w:rsidRPr="00AE47C6">
        <w:rPr>
          <w:rFonts w:ascii="Times New Roman" w:eastAsia="SimSun" w:hAnsi="Times New Roman"/>
          <w:bCs/>
          <w:sz w:val="24"/>
          <w:szCs w:val="24"/>
        </w:rPr>
        <w:t xml:space="preserve"> с оценка на интраепидермалните нервни влакна е метод за оценка на степента на загуба на тънките нервни влакна. </w:t>
      </w:r>
    </w:p>
    <w:p w14:paraId="30922981"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4. Лабораторни изследвания</w:t>
      </w:r>
      <w:r w:rsidRPr="00AE47C6">
        <w:rPr>
          <w:rFonts w:ascii="Times New Roman" w:eastAsia="SimSun" w:hAnsi="Times New Roman"/>
          <w:bCs/>
          <w:sz w:val="24"/>
          <w:szCs w:val="24"/>
        </w:rPr>
        <w:t xml:space="preserve"> на кръвна захар, електрофореза, антинуклеарни антитела и други кръвни тестове в зависимост от подозираното подлежащо заболяване. </w:t>
      </w:r>
    </w:p>
    <w:p w14:paraId="724EF44E" w14:textId="77777777" w:rsidR="00BE0B19" w:rsidRPr="00AE47C6" w:rsidRDefault="00BE0B19" w:rsidP="00BE0B19">
      <w:pPr>
        <w:spacing w:after="0" w:line="360" w:lineRule="auto"/>
        <w:ind w:firstLine="709"/>
        <w:jc w:val="both"/>
        <w:rPr>
          <w:rFonts w:ascii="Times New Roman" w:eastAsia="SimSun" w:hAnsi="Times New Roman"/>
          <w:bCs/>
          <w:sz w:val="24"/>
          <w:szCs w:val="24"/>
        </w:rPr>
      </w:pPr>
    </w:p>
    <w:p w14:paraId="59FF4840" w14:textId="77777777" w:rsidR="00BE0B19" w:rsidRPr="00AE47C6" w:rsidRDefault="00BE0B19" w:rsidP="00BE0B19">
      <w:pPr>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sz w:val="24"/>
          <w:szCs w:val="24"/>
        </w:rPr>
        <w:t>Диференциална диагноза на болезнените невропатии</w:t>
      </w:r>
    </w:p>
    <w:p w14:paraId="31839917"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 xml:space="preserve">В диференциалната диагноза на заболяванията на периферната нервна система е важно да се установи анатомичната локализация на симптомите, тяхната прогресия във времето и патофизиологична характеристика. </w:t>
      </w:r>
    </w:p>
    <w:p w14:paraId="2094D908"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i/>
          <w:iCs/>
          <w:sz w:val="24"/>
          <w:szCs w:val="24"/>
        </w:rPr>
        <w:t>Диференциалната диагноза</w:t>
      </w:r>
      <w:r w:rsidRPr="00AE47C6">
        <w:rPr>
          <w:rFonts w:ascii="Times New Roman" w:eastAsia="SimSun" w:hAnsi="Times New Roman"/>
          <w:bCs/>
          <w:sz w:val="24"/>
          <w:szCs w:val="24"/>
        </w:rPr>
        <w:t xml:space="preserve"> включва търсене на подлежаща причина за невропатията. Ако такава не се установи, тя се приема за идиопатична, която е типична за напредналата възраст и има бенигнено протичане. Болката не е характерна за определен тип невропатия, така че диференциалната диагноза се изгражда на базата на други симптоми. </w:t>
      </w:r>
    </w:p>
    <w:p w14:paraId="0956BAF0"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70" w:name="_Toc155651734"/>
      <w:bookmarkStart w:id="71" w:name="_Toc164075866"/>
      <w:r w:rsidRPr="00AE47C6">
        <w:rPr>
          <w:rFonts w:ascii="Times New Roman" w:eastAsia="SimSun" w:hAnsi="Times New Roman"/>
          <w:b/>
          <w:sz w:val="24"/>
          <w:szCs w:val="24"/>
        </w:rPr>
        <w:t>3.2. Централна невропатна болка</w:t>
      </w:r>
      <w:bookmarkEnd w:id="70"/>
      <w:bookmarkEnd w:id="71"/>
    </w:p>
    <w:p w14:paraId="5F4E310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Възниква след увреда на спиноталамичния път в гръбначния или главния мозък. Най-чести причини са травма, заболяване на гръбначния мозък, инсулт и множествена склероза. </w:t>
      </w:r>
    </w:p>
    <w:p w14:paraId="55BC8B79"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 xml:space="preserve">Гръбначно-мозъчни невропатни болки </w:t>
      </w:r>
    </w:p>
    <w:p w14:paraId="3D3F934C"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Болки при гръбначно-мозъчна травма</w:t>
      </w:r>
    </w:p>
    <w:p w14:paraId="4B02AB7E"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Най-честата причина за увреда на гръбначния мозък е травмата. Тя води до загуба на двигателни, сетивни, сексуални, тазово-резервоарни функции и болка. Хронична болка има при 60-80% от пациентите, а при 40% от тях е много силна. Болката се появява средно година и половина след увредата. </w:t>
      </w:r>
    </w:p>
    <w:p w14:paraId="4079D54B"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Болката се подразделя на няколко типа, протичащи с различни клинични симптоми: ноцицептивна (мускулноскелетна, висцерална) и два типа невропатна болка (на и под нивото на увреда). Най-честа е мускулоскелетната (58%), последвана от невропатната болка на нивото на увредата (42%) и под нивото на увредата (34%). </w:t>
      </w:r>
    </w:p>
    <w:p w14:paraId="1CF873E4"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iCs/>
          <w:sz w:val="24"/>
          <w:szCs w:val="24"/>
        </w:rPr>
        <w:t>Мускулноскелетната болка</w:t>
      </w:r>
      <w:r w:rsidRPr="00AE47C6">
        <w:rPr>
          <w:rFonts w:ascii="Times New Roman" w:eastAsia="SimSun" w:hAnsi="Times New Roman"/>
          <w:bCs/>
          <w:sz w:val="24"/>
          <w:szCs w:val="24"/>
        </w:rPr>
        <w:t xml:space="preserve"> се предизвиква от структурна увреда и нестабилност на гръбначния стълб и неговите поддържащи структури – лигаменти, мускули, междупрешленни дискове и стави, без увреда на гръбначния мозък. Болката произхожда от нормално инервираните структури рострално от нивото на увреда на гръбначния мозък. Болката зависи от активността и позата и въпреки че не е радикулерна, може да ирадиира по тялото или към крайниците. Друг тип мускулноскелетна болка се дължи на мускулният спазъм при пациенти с непълна увреда. Най-често (72%) възниква след хронично претоварване на ръката и рамото при пациенти с параплегия, използващи инвалидни колички.</w:t>
      </w:r>
    </w:p>
    <w:p w14:paraId="0282BCE9"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iCs/>
          <w:sz w:val="24"/>
          <w:szCs w:val="24"/>
        </w:rPr>
        <w:t>Висцералната болка</w:t>
      </w:r>
      <w:r w:rsidRPr="00AE47C6">
        <w:rPr>
          <w:rFonts w:ascii="Times New Roman" w:eastAsia="SimSun" w:hAnsi="Times New Roman"/>
          <w:bCs/>
          <w:sz w:val="24"/>
          <w:szCs w:val="24"/>
        </w:rPr>
        <w:t xml:space="preserve"> възниква при придружаваща увреда на висцералните органи. Най-често се засяга пикочния мехур и възникват инфекции на пикочните пътища. Появява се ноцицептивна болка, която е с променено качество, в зависимост от нивото на увреда. Болката е тъпа, неясно локализирана в областта на корема. </w:t>
      </w:r>
    </w:p>
    <w:p w14:paraId="6C95EA45"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iCs/>
          <w:sz w:val="24"/>
          <w:szCs w:val="24"/>
        </w:rPr>
        <w:t>Невропатната болка над нивото на увреда</w:t>
      </w:r>
      <w:r w:rsidRPr="00AE47C6">
        <w:rPr>
          <w:rFonts w:ascii="Times New Roman" w:eastAsia="SimSun" w:hAnsi="Times New Roman"/>
          <w:bCs/>
          <w:sz w:val="24"/>
          <w:szCs w:val="24"/>
        </w:rPr>
        <w:t xml:space="preserve"> се дължи на комплексен регионален болков синдром или компресия на периферни нерви. Пациентите са предразположени към такива увреждания поради претоварването на горните крайници от използването на патерици и инвалидни колички.</w:t>
      </w:r>
    </w:p>
    <w:p w14:paraId="4E4938AD"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iCs/>
          <w:sz w:val="24"/>
          <w:szCs w:val="24"/>
        </w:rPr>
        <w:t>Невропатната болка на нивото на увреда</w:t>
      </w:r>
      <w:r w:rsidRPr="00AE47C6">
        <w:rPr>
          <w:rFonts w:ascii="Times New Roman" w:eastAsia="SimSun" w:hAnsi="Times New Roman"/>
          <w:bCs/>
          <w:sz w:val="24"/>
          <w:szCs w:val="24"/>
        </w:rPr>
        <w:t xml:space="preserve"> е стрелкаща или пареща със сегментно или дерматомно разпространение. Установява се в два сегмента над или под нивото на увреда. Поради специфичното разпространение се нарича опасваща, радикулерна, сегментна или болка на преходната, граничната или крайната зона. Често се придружава от алодиния или хиперестезия в съответните дерматоми. Дължи се на увреждане на нервните коренчета при травмата, вторично от диска или апофизеалните стави, поради нестабилност на гръбнака или увреждане на гръбначния мозък. Болката от увредата на нервните коренчета е едностранна и се засилва при движение на гръбнака. </w:t>
      </w:r>
    </w:p>
    <w:p w14:paraId="6A102D12"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Увреждането на гръбначния мозък води до двустранна невропатна болка. За да възникне е необходимо да бъде засегнато критично количество тъкан по протежение на гръбначния мозък. Засилва се активирането на невроните около увредата и разпространението на болката и абнормните усещания на нивото на увредата. </w:t>
      </w:r>
    </w:p>
    <w:p w14:paraId="099DFEC8"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При пациенти с по-късно развитие на сегментна болка след травмата, особено ако нивото на сетивната загуба се качва нагоре, трябва да се има предвид сирингомиелия. В типичните случаи се установява загуба на усета за болка и температура, но могат да се нарушат всички сетивни и двигателни функции, да се появи алодиния и хипералгезия. След увреждане на cauda equina настъпва значителна деаферентация на гръбначния мозък, което води до невронна активност и болка. Увредените коренчета на cauda equina генерират спонтанна активност, която се усеща като болка. Може да възникне арахноидит, който ограничава нормалното движение на нервните коренчета и води до тяхното механично дразнене при всяко движение. Периферните стимули водят до абнормна активност в областта на аксонната увреда и пареща болка в долните лумбални и сакрални дерматоми. </w:t>
      </w:r>
    </w:p>
    <w:p w14:paraId="0D440012"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iCs/>
          <w:sz w:val="24"/>
          <w:szCs w:val="24"/>
        </w:rPr>
        <w:t>Невропатната болка под нивото на увреда</w:t>
      </w:r>
      <w:r w:rsidRPr="00AE47C6">
        <w:rPr>
          <w:rFonts w:ascii="Times New Roman" w:eastAsia="SimSun" w:hAnsi="Times New Roman"/>
          <w:bCs/>
          <w:sz w:val="24"/>
          <w:szCs w:val="24"/>
        </w:rPr>
        <w:t xml:space="preserve"> възниква известно време след увредата. Нарича се още синдром на централна дизестезия, централна, фантомна или деаферентационна болка. Тя е най-честата (при 30%) хронична болка при увреждане на гръбначния мозък. Дължи се на намаляване на аферентацията към супраспиналните структури (таламуса), постъпваща по спиноталамичния и други възходящи пътища от структури под нивото на увредата и активиране на супраспиналните структури от абнормна активност генерирана над мястото на увреда. </w:t>
      </w:r>
    </w:p>
    <w:p w14:paraId="04C37BF9"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Болката е двустранна, спонтанна или предизвикана, в анестезичната област каудално от нивото на увреда и има характеристика на невропатна. Тя е постоянна, пареща, пулсираща или стрелкаща, усеща се тръпнене и мравучкане и може да се придружава от хипералгезия. Флуктуира в зависимост от настроението, активността, наличието на инфекции и други фактори. Не зависи от позата и движенията, но може да се предизвика от внезапен шум или разтърсване на тялото. </w:t>
      </w:r>
    </w:p>
    <w:p w14:paraId="5A77B33B"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iCs/>
          <w:sz w:val="24"/>
          <w:szCs w:val="24"/>
        </w:rPr>
        <w:t>Фантомните усещания</w:t>
      </w:r>
      <w:r w:rsidRPr="00AE47C6">
        <w:rPr>
          <w:rFonts w:ascii="Times New Roman" w:eastAsia="SimSun" w:hAnsi="Times New Roman"/>
          <w:bCs/>
          <w:sz w:val="24"/>
          <w:szCs w:val="24"/>
        </w:rPr>
        <w:t xml:space="preserve"> след увреждане на гръбначния мозък представляват форма на нарушение на сетивните функции. Установяват се при 90% от пациентите в областта на сетивните нарушения. Варират от парестезии и дизестезии до комплексни фантомни усещания за промяна в пространството, за движение и функционални илюзии като уриниране и оргазъм. Комплексните фантомни усещания се установяват при 60% от пациентите и изчезват няколко седмици или месеци след увредата. </w:t>
      </w:r>
    </w:p>
    <w:p w14:paraId="3D23CBFB"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Болки при сирингомиелия</w:t>
      </w:r>
    </w:p>
    <w:p w14:paraId="21552517"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Вследствие на увредата на гръбначния мозък и засягане на спиноталамичния път възниква централна невропатна болка. Тя е едностранна, локализирана в ръката, рамото, шията и торакса при цервико-торакалната форма или в долните крайници при дорзо-лумбалната форма. Болката при посттравматичната форма възниква след месеци или години. </w:t>
      </w:r>
    </w:p>
    <w:p w14:paraId="5A7CB314"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Болката е спонтанна, придружена от алодиния, хипералгезия, дизестезия и парестезия. Възниква спонтанно, по-често е непрекъсната пареща (повърхностна или дълбока) по-рядко – стрелкащата пароксизмална. Често има едновременно няколко типа болки, локализирани в едни и същи или различни анатомични области. Засилва се от кашляне, физически усилия и прийома на Valsalva, поради динамичните промени в ликвора в областта на сиринкса. Засилва се и от психологични фактори, като емоции, тревожност и стрес. </w:t>
      </w:r>
    </w:p>
    <w:p w14:paraId="7CEEEA4B"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Предизвиканата болка (механична и температурна алодиния и хипералгезия) започва или продължава и след прекратяване на стимула. Ирадиира извън мястото на стимулация и се усилва от повтарящи се стимули. Често има хиперпатия, парестезии и дизестезии. </w:t>
      </w:r>
    </w:p>
    <w:p w14:paraId="749F2BE4"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Сетивните нарушения в засегнатата област се изразяват с едностранен или двустранен термоалгезичен дефицит, със сегментно разпределение в областта на шията, раменете, тялото, ръцете и лицето. </w:t>
      </w:r>
      <w:r w:rsidRPr="00AE47C6">
        <w:rPr>
          <w:rFonts w:ascii="Times New Roman" w:eastAsia="SimSun" w:hAnsi="Times New Roman"/>
          <w:sz w:val="24"/>
          <w:szCs w:val="24"/>
        </w:rPr>
        <w:t xml:space="preserve">Сетивните нарушения (болкова и температурна хипестезия) в лицето се представят като концентрични кръгове около носа, поради увреда на ядрото на n. trigeminus. </w:t>
      </w:r>
      <w:r w:rsidRPr="00AE47C6">
        <w:rPr>
          <w:rFonts w:ascii="Times New Roman" w:eastAsia="SimSun" w:hAnsi="Times New Roman"/>
          <w:bCs/>
          <w:sz w:val="24"/>
          <w:szCs w:val="24"/>
        </w:rPr>
        <w:t xml:space="preserve">Локализират се ипсилатерално на кухината и варират от лека хипестезия и хипоалгезия до пълна анестезия и аналгезия. Повишени са вибрационния, механичния, праговете за температура и по-слабо – за болка. Проприоцептивната и тактилна сетивност се засягат при 50% от пациентите. Могат да се установят и други симптоми на засягане на задните колони, като графестезия и нарушение на посоката на движението. </w:t>
      </w:r>
    </w:p>
    <w:p w14:paraId="1963B25B"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sz w:val="24"/>
          <w:szCs w:val="24"/>
        </w:rPr>
        <w:t>Нарастването на кухината напред предизвиква сегментна арефлексия, мускулна слабост и хипотрофии,</w:t>
      </w:r>
      <w:r w:rsidRPr="00AE47C6">
        <w:rPr>
          <w:rFonts w:ascii="Times New Roman" w:eastAsia="SimSun" w:hAnsi="Times New Roman"/>
          <w:bCs/>
          <w:sz w:val="24"/>
          <w:szCs w:val="24"/>
        </w:rPr>
        <w:t xml:space="preserve"> най-често в ръцете, вследствие на увреждане на предния рог.</w:t>
      </w:r>
      <w:r w:rsidRPr="00AE47C6">
        <w:rPr>
          <w:rFonts w:ascii="Times New Roman" w:eastAsia="SimSun" w:hAnsi="Times New Roman"/>
          <w:sz w:val="24"/>
          <w:szCs w:val="24"/>
        </w:rPr>
        <w:t xml:space="preserve"> При проксимално нарастване на кухината се увреждат продълговатият мозък и краниалните нерви (най-често IX и XII). </w:t>
      </w:r>
      <w:r w:rsidRPr="00AE47C6">
        <w:rPr>
          <w:rFonts w:ascii="Times New Roman" w:eastAsia="SimSun" w:hAnsi="Times New Roman"/>
          <w:bCs/>
          <w:sz w:val="24"/>
          <w:szCs w:val="24"/>
        </w:rPr>
        <w:t xml:space="preserve">Могат да се добавят и пирамидни белези. </w:t>
      </w:r>
    </w:p>
    <w:p w14:paraId="20BE0F86"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r w:rsidRPr="00AE47C6">
        <w:rPr>
          <w:rFonts w:ascii="Times New Roman" w:eastAsia="SimSun" w:hAnsi="Times New Roman"/>
          <w:b/>
          <w:sz w:val="24"/>
          <w:szCs w:val="24"/>
        </w:rPr>
        <w:t xml:space="preserve"> </w:t>
      </w:r>
      <w:bookmarkStart w:id="72" w:name="_Toc155651735"/>
      <w:bookmarkStart w:id="73" w:name="_Toc164075867"/>
      <w:r w:rsidRPr="00AE47C6">
        <w:rPr>
          <w:rFonts w:ascii="Times New Roman" w:eastAsia="SimSun" w:hAnsi="Times New Roman"/>
          <w:b/>
          <w:sz w:val="24"/>
          <w:szCs w:val="24"/>
        </w:rPr>
        <w:t>3.3. Централна мозъчна болка</w:t>
      </w:r>
      <w:bookmarkEnd w:id="72"/>
      <w:bookmarkEnd w:id="73"/>
    </w:p>
    <w:p w14:paraId="36663F94"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sz w:val="24"/>
          <w:szCs w:val="24"/>
        </w:rPr>
        <w:t xml:space="preserve">Централният болков синдром след увреждане на мозъка се развива най-често след инсулт. </w:t>
      </w:r>
      <w:r w:rsidRPr="00AE47C6">
        <w:rPr>
          <w:rFonts w:ascii="Times New Roman" w:eastAsia="SimSun" w:hAnsi="Times New Roman"/>
          <w:bCs/>
          <w:sz w:val="24"/>
          <w:szCs w:val="24"/>
        </w:rPr>
        <w:t xml:space="preserve">Всяка лезия от ствола до мозъчната кора, включително в </w:t>
      </w:r>
      <w:r w:rsidRPr="00AE47C6">
        <w:rPr>
          <w:rFonts w:ascii="Times New Roman" w:eastAsia="SimSun" w:hAnsi="Times New Roman"/>
          <w:sz w:val="24"/>
          <w:szCs w:val="24"/>
        </w:rPr>
        <w:t xml:space="preserve">горната и долната част на </w:t>
      </w:r>
      <w:r w:rsidRPr="00AE47C6">
        <w:rPr>
          <w:rFonts w:ascii="Times New Roman" w:eastAsia="SimSun" w:hAnsi="Times New Roman"/>
          <w:bCs/>
          <w:sz w:val="24"/>
          <w:szCs w:val="24"/>
        </w:rPr>
        <w:t xml:space="preserve">продълговатия мозък, моста, средния мозък, </w:t>
      </w:r>
      <w:r w:rsidRPr="00AE47C6">
        <w:rPr>
          <w:rFonts w:ascii="Times New Roman" w:eastAsia="SimSun" w:hAnsi="Times New Roman"/>
          <w:sz w:val="24"/>
          <w:szCs w:val="24"/>
        </w:rPr>
        <w:t xml:space="preserve">инфраталамичната област, </w:t>
      </w:r>
      <w:r w:rsidRPr="00AE47C6">
        <w:rPr>
          <w:rFonts w:ascii="Times New Roman" w:eastAsia="SimSun" w:hAnsi="Times New Roman"/>
          <w:bCs/>
          <w:sz w:val="24"/>
          <w:szCs w:val="24"/>
        </w:rPr>
        <w:t>таламуса, capsula interna (задното бедро), подкоровите структури и областите на мозъчната кора, получаващи соматосензорна аферентация, може да предизвика невропатна болка.</w:t>
      </w:r>
      <w:r w:rsidRPr="00AE47C6">
        <w:rPr>
          <w:rFonts w:ascii="Times New Roman" w:eastAsia="SimSun" w:hAnsi="Times New Roman"/>
          <w:sz w:val="24"/>
          <w:szCs w:val="24"/>
        </w:rPr>
        <w:t xml:space="preserve"> Подобно на гръбначномозъчната болка, тя има три основни характеристики – постоянна,</w:t>
      </w:r>
      <w:r w:rsidRPr="00AE47C6">
        <w:rPr>
          <w:rFonts w:ascii="Times New Roman" w:eastAsia="SimSun" w:hAnsi="Times New Roman"/>
          <w:bCs/>
          <w:sz w:val="24"/>
          <w:szCs w:val="24"/>
        </w:rPr>
        <w:t xml:space="preserve"> с невропатен характер и предизвикана болка (алодиния и хиперпатия). </w:t>
      </w:r>
    </w:p>
    <w:p w14:paraId="0BA1D794" w14:textId="77777777" w:rsidR="00BE0B19" w:rsidRPr="00AE47C6" w:rsidRDefault="00BE0B19" w:rsidP="00BE0B19">
      <w:pPr>
        <w:spacing w:after="0" w:line="360" w:lineRule="auto"/>
        <w:ind w:firstLine="709"/>
        <w:jc w:val="both"/>
        <w:rPr>
          <w:rFonts w:ascii="Times New Roman" w:eastAsia="SimSun" w:hAnsi="Times New Roman"/>
          <w:sz w:val="24"/>
          <w:szCs w:val="24"/>
        </w:rPr>
      </w:pPr>
    </w:p>
    <w:p w14:paraId="5AD7EED4"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Централна слединсултна болка</w:t>
      </w:r>
    </w:p>
    <w:p w14:paraId="28F21F59"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sz w:val="24"/>
          <w:szCs w:val="24"/>
        </w:rPr>
        <w:t xml:space="preserve">Описана е </w:t>
      </w:r>
      <w:r w:rsidRPr="00AE47C6">
        <w:rPr>
          <w:rFonts w:ascii="Times New Roman" w:eastAsia="SimSun" w:hAnsi="Times New Roman"/>
          <w:bCs/>
          <w:sz w:val="24"/>
          <w:szCs w:val="24"/>
        </w:rPr>
        <w:t xml:space="preserve">от Dejerine и Roussy </w:t>
      </w:r>
      <w:r w:rsidRPr="00AE47C6">
        <w:rPr>
          <w:rFonts w:ascii="Times New Roman" w:eastAsia="SimSun" w:hAnsi="Times New Roman"/>
          <w:sz w:val="24"/>
          <w:szCs w:val="24"/>
        </w:rPr>
        <w:t xml:space="preserve">като „таламичен синдром” след инсулт. Развива се при 25% от пациентите с лезия в постеролатеровентралното таламично ядро. </w:t>
      </w:r>
      <w:r w:rsidRPr="00AE47C6">
        <w:rPr>
          <w:rFonts w:ascii="Times New Roman" w:eastAsia="SimSun" w:hAnsi="Times New Roman"/>
          <w:bCs/>
          <w:sz w:val="24"/>
          <w:szCs w:val="24"/>
        </w:rPr>
        <w:t xml:space="preserve">Когато лезията се простира латерално и дорзално извън таламуса и засяга capsula interna и други подкорови структури има придружаваща хемипареза. Лезиите могат да бъдат локализирани на различни места в мозъка. Няма разлика в честотата на невропатната болка, предизвикана от мозъчни инсулти или кръвоизливи. Размерът на лезията също няма значение. </w:t>
      </w:r>
    </w:p>
    <w:p w14:paraId="6BA9551F"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Честотата</w:t>
      </w:r>
      <w:r w:rsidRPr="00AE47C6">
        <w:rPr>
          <w:rFonts w:ascii="Times New Roman" w:eastAsia="SimSun" w:hAnsi="Times New Roman"/>
          <w:bCs/>
          <w:sz w:val="24"/>
          <w:szCs w:val="24"/>
        </w:rPr>
        <w:t xml:space="preserve"> на слединсултната болка достига до 2%.</w:t>
      </w:r>
    </w:p>
    <w:p w14:paraId="5A33848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Cs/>
          <w:sz w:val="24"/>
          <w:szCs w:val="24"/>
        </w:rPr>
        <w:t xml:space="preserve">Болката рядко започва веднага след инсулта, обикновено е необходимо латентно време до няколко години. </w:t>
      </w:r>
      <w:r w:rsidRPr="00AE47C6">
        <w:rPr>
          <w:rFonts w:ascii="Times New Roman" w:eastAsia="SimSun" w:hAnsi="Times New Roman"/>
          <w:sz w:val="24"/>
          <w:szCs w:val="24"/>
        </w:rPr>
        <w:t>Пареща болка се появява до 3 месеца след инсулта при 60% от пациентите, а при останалите – до 2 години.</w:t>
      </w:r>
    </w:p>
    <w:p w14:paraId="056F9858"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 xml:space="preserve">Клинично </w:t>
      </w:r>
      <w:r w:rsidRPr="00AE47C6">
        <w:rPr>
          <w:rFonts w:ascii="Times New Roman" w:eastAsia="SimSun" w:hAnsi="Times New Roman"/>
          <w:bCs/>
          <w:sz w:val="24"/>
          <w:szCs w:val="24"/>
        </w:rPr>
        <w:t xml:space="preserve">протича с контралатерална на увредата невропатна болка по хемитип, която не винаги включва лицето. </w:t>
      </w:r>
      <w:r w:rsidRPr="00AE47C6">
        <w:rPr>
          <w:rFonts w:ascii="Times New Roman" w:eastAsia="SimSun" w:hAnsi="Times New Roman"/>
          <w:sz w:val="24"/>
          <w:szCs w:val="24"/>
        </w:rPr>
        <w:t xml:space="preserve">В зависимост от локализацията на увредата симптомите могат да бъдат по-изразени в лицето или крайниците. </w:t>
      </w:r>
      <w:r w:rsidRPr="00AE47C6">
        <w:rPr>
          <w:rFonts w:ascii="Times New Roman" w:eastAsia="SimSun" w:hAnsi="Times New Roman"/>
          <w:bCs/>
          <w:sz w:val="24"/>
          <w:szCs w:val="24"/>
        </w:rPr>
        <w:t xml:space="preserve">Може да обхваща само един крайник или част от него (ръката или стъпалото). При инфаркти в долната част на ствола се получава кръстосана болка в ипсилатералната част на лицето и контралатералната част на тялото, подобна по разпределение на сетивните нарушения при синдромът на Wallenberg. Тази локализация на болката се дължи на увредата на ипсилатералното аферентно тригеминално снопче, спиналното тригеминално ядро и кръстосаният спиноталамичен път. При латерална лезия в продълговатия мозък болката се локализира около ипсилатералното око. </w:t>
      </w:r>
    </w:p>
    <w:p w14:paraId="25341A06"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Болката е повърхностна, пареща или дълбока, постоянна или пароксизмална. Пароксизмалната може да има алодиничен характер и да възниква независимо от постоянната, в резултат на докосване, движение или температурно дразнене. Варира по интензивност от слаба до много силна, най-силна е при лезии в областта на таламуса. Колебае се по интензивност в денонощието, както и под влияние на емоционални фактори. </w:t>
      </w:r>
    </w:p>
    <w:p w14:paraId="5AD7188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Cs/>
          <w:sz w:val="24"/>
          <w:szCs w:val="24"/>
        </w:rPr>
        <w:t xml:space="preserve">Централната невропатна болка не е задължително да се придружава от други симптоми на увреда на централната нервна система, освен от сетивни. Те включват </w:t>
      </w:r>
      <w:r w:rsidRPr="00AE47C6">
        <w:rPr>
          <w:rFonts w:ascii="Times New Roman" w:eastAsia="SimSun" w:hAnsi="Times New Roman"/>
          <w:sz w:val="24"/>
          <w:szCs w:val="24"/>
        </w:rPr>
        <w:t>повишен праг за болка и температура,</w:t>
      </w:r>
      <w:r w:rsidRPr="00AE47C6">
        <w:rPr>
          <w:rFonts w:ascii="Times New Roman" w:eastAsia="SimSun" w:hAnsi="Times New Roman"/>
          <w:bCs/>
          <w:sz w:val="24"/>
          <w:szCs w:val="24"/>
        </w:rPr>
        <w:t xml:space="preserve"> хипо или хиперестезия, хипералгезия, алодиния, хиперпатия, парестезии, дизестезии, ирадиация на усещанията и други. </w:t>
      </w:r>
      <w:r w:rsidRPr="00AE47C6">
        <w:rPr>
          <w:rFonts w:ascii="Times New Roman" w:eastAsia="SimSun" w:hAnsi="Times New Roman"/>
          <w:sz w:val="24"/>
          <w:szCs w:val="24"/>
        </w:rPr>
        <w:t xml:space="preserve">Най-засегнати са усещанията, провеждани по тънките аферентни влакна. </w:t>
      </w:r>
      <w:r w:rsidRPr="00AE47C6">
        <w:rPr>
          <w:rFonts w:ascii="Times New Roman" w:eastAsia="SimSun" w:hAnsi="Times New Roman"/>
          <w:bCs/>
          <w:sz w:val="24"/>
          <w:szCs w:val="24"/>
        </w:rPr>
        <w:t xml:space="preserve">Варират от лека хипестезия към една модалност, най-често за температура или болка, до пълна загуба на сетивността за всички модалности. Има големи вариации и в комбинацията от симптоми. При някои пациенти се установяват парадоксални реакции към температурни дразнители, с обратно възприемане на стимула (студено като топло и обратно). Често се установява хиперестезия към различни температури (алодиния към студено и топло). </w:t>
      </w:r>
      <w:r w:rsidRPr="00AE47C6">
        <w:rPr>
          <w:rFonts w:ascii="Times New Roman" w:eastAsia="SimSun" w:hAnsi="Times New Roman"/>
          <w:sz w:val="24"/>
          <w:szCs w:val="24"/>
        </w:rPr>
        <w:t xml:space="preserve">При 70% от пациентите се установява и алодиния. Най-честа е тактилната алодиния, а по-редки са алодинията към студ и движение на кожата. </w:t>
      </w:r>
    </w:p>
    <w:p w14:paraId="08D56776"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sz w:val="24"/>
          <w:szCs w:val="24"/>
        </w:rPr>
        <w:t xml:space="preserve">Често се добавят автономни симптоми (вазоконстрикция със студени крайници), </w:t>
      </w:r>
      <w:r w:rsidRPr="00AE47C6">
        <w:rPr>
          <w:rFonts w:ascii="Times New Roman" w:eastAsia="SimSun" w:hAnsi="Times New Roman"/>
          <w:bCs/>
          <w:sz w:val="24"/>
          <w:szCs w:val="24"/>
        </w:rPr>
        <w:t xml:space="preserve">лека хемипареза и хореоатетозни движения в засегнатите крайници. </w:t>
      </w:r>
    </w:p>
    <w:p w14:paraId="7DEEE0F8" w14:textId="77777777" w:rsidR="00BE0B19" w:rsidRPr="00AE47C6" w:rsidRDefault="00BE0B19" w:rsidP="00BE0B19">
      <w:pPr>
        <w:spacing w:after="0" w:line="360" w:lineRule="auto"/>
        <w:ind w:firstLine="709"/>
        <w:jc w:val="both"/>
        <w:rPr>
          <w:rFonts w:ascii="Times New Roman" w:eastAsia="SimSun" w:hAnsi="Times New Roman"/>
          <w:b/>
          <w:sz w:val="24"/>
          <w:szCs w:val="24"/>
        </w:rPr>
      </w:pPr>
    </w:p>
    <w:p w14:paraId="503998C2"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Болка при множествена склероза</w:t>
      </w:r>
    </w:p>
    <w:p w14:paraId="4CA61E52"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Острите (20% от пациентите) и хронични (50%) болкови синдроми често са първи симптом на заболяването. Най-често се локализират в долните крайници. При всеки пациент може да има повече от един вид болка. Може да бъде повърхностна или дълбока, пареща, стрелкаща или пробождаща. Провокира се от докосване, физически усилия, ходене, стоене, промени в околната температура, преумора, депресия или стрес. Облекчава се от покой, промяна в температурата, физическа активност и промяна на позата. </w:t>
      </w:r>
    </w:p>
    <w:p w14:paraId="1BE61372"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iCs/>
          <w:sz w:val="24"/>
          <w:szCs w:val="24"/>
        </w:rPr>
        <w:t>Острите</w:t>
      </w:r>
      <w:r w:rsidRPr="00AE47C6">
        <w:rPr>
          <w:rFonts w:ascii="Times New Roman" w:eastAsia="SimSun" w:hAnsi="Times New Roman"/>
          <w:bCs/>
          <w:sz w:val="24"/>
          <w:szCs w:val="24"/>
        </w:rPr>
        <w:t xml:space="preserve"> болкови синдроми включват тригеминална невралгия, симптома на Lhermitte, болезнени тонични епилептични пристъпи, пароксизмална болка в крайниците и болка при неврит на зрителния нерв. </w:t>
      </w:r>
    </w:p>
    <w:p w14:paraId="6484C637"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iCs/>
          <w:sz w:val="24"/>
          <w:szCs w:val="24"/>
        </w:rPr>
        <w:t>Хроничните</w:t>
      </w:r>
      <w:r w:rsidRPr="00AE47C6">
        <w:rPr>
          <w:rFonts w:ascii="Times New Roman" w:eastAsia="SimSun" w:hAnsi="Times New Roman"/>
          <w:bCs/>
          <w:sz w:val="24"/>
          <w:szCs w:val="24"/>
        </w:rPr>
        <w:t xml:space="preserve"> болкови синдроми включват централна болка, дизестезия, болезнени спазми на крайниците и болки в гърба. </w:t>
      </w:r>
    </w:p>
    <w:p w14:paraId="54B528F6"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Централната невропатна болка</w:t>
      </w:r>
      <w:r w:rsidRPr="00AE47C6">
        <w:rPr>
          <w:rFonts w:ascii="Times New Roman" w:eastAsia="SimSun" w:hAnsi="Times New Roman"/>
          <w:bCs/>
          <w:sz w:val="24"/>
          <w:szCs w:val="24"/>
        </w:rPr>
        <w:t xml:space="preserve"> (при 30%) се дължи на демиелинизираща лезия в спиноталамичния път. Може да бъде първи симптом на заболяването или да възникне по време на ремисия. Най-често се локализира в долните крайници. </w:t>
      </w:r>
    </w:p>
    <w:p w14:paraId="44F13E4F"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iCs/>
          <w:sz w:val="24"/>
          <w:szCs w:val="24"/>
        </w:rPr>
        <w:t xml:space="preserve">Другите </w:t>
      </w:r>
      <w:r w:rsidRPr="00AE47C6">
        <w:rPr>
          <w:rFonts w:ascii="Times New Roman" w:eastAsia="SimSun" w:hAnsi="Times New Roman"/>
          <w:b/>
          <w:bCs/>
          <w:sz w:val="24"/>
          <w:szCs w:val="24"/>
        </w:rPr>
        <w:t>болкови синдроми</w:t>
      </w:r>
      <w:r w:rsidRPr="00AE47C6">
        <w:rPr>
          <w:rFonts w:ascii="Times New Roman" w:eastAsia="SimSun" w:hAnsi="Times New Roman"/>
          <w:bCs/>
          <w:sz w:val="24"/>
          <w:szCs w:val="24"/>
        </w:rPr>
        <w:t xml:space="preserve"> включват висцерални и невропатни болки, свързани с терапията, главоболие и други ноцицептивни болки. Мускулните и ставни болки в крайниците (най-често рамото), могат да бъдат последица от абнормната поза, фиксация на ставите, претоварване на крайниците или неудобни помощни средства. </w:t>
      </w:r>
    </w:p>
    <w:p w14:paraId="75F0277A" w14:textId="77777777" w:rsidR="00BE0B19" w:rsidRPr="00AE47C6" w:rsidRDefault="00BE0B19" w:rsidP="00BE0B19">
      <w:pPr>
        <w:spacing w:after="0" w:line="360" w:lineRule="auto"/>
        <w:ind w:firstLine="709"/>
        <w:jc w:val="both"/>
        <w:rPr>
          <w:rFonts w:ascii="Times New Roman" w:eastAsia="SimSun" w:hAnsi="Times New Roman"/>
          <w:b/>
          <w:sz w:val="24"/>
          <w:szCs w:val="24"/>
        </w:rPr>
      </w:pPr>
    </w:p>
    <w:p w14:paraId="192757CD"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Болки при Паркинсонова болест</w:t>
      </w:r>
    </w:p>
    <w:p w14:paraId="15601D48"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Повечето от пациентите (до 75%) имат сетивни симптоми, от които най-честа е болката. Причина за това е участието на стрионигралната допаминергична система в механизмите на болката. Болковите синдроми се подразделят на свързани и несвързани с двигателните симптоми. Източник на болка могат да бъдат и автономните нарушения, синдрома на неспокойните крака и депресията при Паркинсоновата болест. </w:t>
      </w:r>
    </w:p>
    <w:p w14:paraId="2350036A"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Болката, която </w:t>
      </w:r>
      <w:r w:rsidRPr="00AE47C6">
        <w:rPr>
          <w:rFonts w:ascii="Times New Roman" w:eastAsia="SimSun" w:hAnsi="Times New Roman"/>
          <w:bCs/>
          <w:i/>
          <w:sz w:val="24"/>
          <w:szCs w:val="24"/>
        </w:rPr>
        <w:t>не е свързана с двигателните симптоми</w:t>
      </w:r>
      <w:r w:rsidRPr="00AE47C6">
        <w:rPr>
          <w:rFonts w:ascii="Times New Roman" w:eastAsia="SimSun" w:hAnsi="Times New Roman"/>
          <w:bCs/>
          <w:sz w:val="24"/>
          <w:szCs w:val="24"/>
        </w:rPr>
        <w:t xml:space="preserve"> се наблюдава на контралатералната страна или е двустранна, но по-силна на страната на по-изразените двигателни симптоми. При някои пациенти се установяват генитални, орални или абдоминални болки. Оралната пареща болка е подобна на тази при синдрома на парещата уста, при който е установена намалена допаминергична инхибиция. Болката е персистираща или интермитентна, дифузна, наподобяваща крампи или пареща. Допаминергичната и опиоидергичната система свързана с базалните ганглии участват в нейното възникване. </w:t>
      </w:r>
    </w:p>
    <w:p w14:paraId="4F9FAC15"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Абдоминалната болка и дизфагия са чести. По-рядко се наблюдава болезнен анизъм, вследствие на неволева дистонична контракция на аналния сфинктер. Те са вследствие на директни нарушения на гастроинтестиналния тракт (автономната и ентералната нервна система) от дегенеративния процес, забавяне на гастроинтестиналния пасаж и болезнена констипация. Допаминергичната терапия води до крампи и подуване на корема. </w:t>
      </w:r>
    </w:p>
    <w:p w14:paraId="3B9992C5"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Ноцицептивната болка, </w:t>
      </w:r>
      <w:r w:rsidRPr="00AE47C6">
        <w:rPr>
          <w:rFonts w:ascii="Times New Roman" w:eastAsia="SimSun" w:hAnsi="Times New Roman"/>
          <w:bCs/>
          <w:i/>
          <w:sz w:val="24"/>
          <w:szCs w:val="24"/>
        </w:rPr>
        <w:t>свързана с двигателните симптоми</w:t>
      </w:r>
      <w:r w:rsidRPr="00AE47C6">
        <w:rPr>
          <w:rFonts w:ascii="Times New Roman" w:eastAsia="SimSun" w:hAnsi="Times New Roman"/>
          <w:bCs/>
          <w:sz w:val="24"/>
          <w:szCs w:val="24"/>
        </w:rPr>
        <w:t xml:space="preserve"> е по-честа. Може да предшества поставянето на диагнозата с месеци и години. При 30% от пациентите болките в ставите (в рамото или бедрото) поради ригидно повишен мускулен тонус са първи симптом. Често погрешно се диагностицират като радикулопатия или синдром на замръзналото рамо. При пациенти с късна Паркинсонова болест ригидно повишения мускулен тонус и акинезията водят до постурални нарушения, с последващи болки в гърба. При пациенти с дегенеративни промени в гръбнака, комбинацията с болката вследствие на двигателните симптоми води до тежки и хронични болки. При пациенти с двигателни флуктуации се наблюдават различни болкови синдроми. Сутрешната дистония, двуфазната дистония, както и дистонията през “off” периода са болезнени. </w:t>
      </w:r>
    </w:p>
    <w:p w14:paraId="0DA0740C"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Синдромът на неспокойните крака</w:t>
      </w:r>
      <w:r w:rsidRPr="00AE47C6">
        <w:rPr>
          <w:rFonts w:ascii="Times New Roman" w:eastAsia="SimSun" w:hAnsi="Times New Roman"/>
          <w:bCs/>
          <w:sz w:val="24"/>
          <w:szCs w:val="24"/>
        </w:rPr>
        <w:t xml:space="preserve"> е свързан с неприятни болкови усещания в долните крайници. Предизвиква се от нарушена супраспинална модулация на болката от базалните ганглии чрез десцендиращите допаминергични пътища. </w:t>
      </w:r>
    </w:p>
    <w:p w14:paraId="5F90BA16" w14:textId="77777777" w:rsidR="00BE0B19" w:rsidRPr="00AE47C6" w:rsidRDefault="00BE0B19" w:rsidP="00BE0B19">
      <w:pPr>
        <w:spacing w:after="0" w:line="360" w:lineRule="auto"/>
        <w:ind w:firstLine="709"/>
        <w:jc w:val="both"/>
        <w:rPr>
          <w:rFonts w:ascii="Times New Roman" w:eastAsia="SimSun" w:hAnsi="Times New Roman"/>
          <w:bCs/>
          <w:sz w:val="24"/>
          <w:szCs w:val="24"/>
        </w:rPr>
      </w:pPr>
    </w:p>
    <w:p w14:paraId="4E3FD401"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Болка при соматизационни, психични заболявания и деменция</w:t>
      </w:r>
    </w:p>
    <w:p w14:paraId="01B5076E"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Тревожността и депресията</w:t>
      </w:r>
      <w:r w:rsidRPr="00AE47C6">
        <w:rPr>
          <w:rFonts w:ascii="Times New Roman" w:eastAsia="SimSun" w:hAnsi="Times New Roman"/>
          <w:bCs/>
          <w:sz w:val="24"/>
          <w:szCs w:val="24"/>
        </w:rPr>
        <w:t xml:space="preserve"> намаляват прага на болката и толерансът на пациента към нея. Соматизационните заболявания могат да доведат до болки, които не следват анатомичното разпределение на периферните нерви и други структури. </w:t>
      </w:r>
    </w:p>
    <w:p w14:paraId="18EAAB01"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Пациентите с </w:t>
      </w:r>
      <w:r w:rsidRPr="00AE47C6">
        <w:rPr>
          <w:rFonts w:ascii="Times New Roman" w:eastAsia="SimSun" w:hAnsi="Times New Roman"/>
          <w:bCs/>
          <w:i/>
          <w:sz w:val="24"/>
          <w:szCs w:val="24"/>
        </w:rPr>
        <w:t xml:space="preserve">деменция </w:t>
      </w:r>
      <w:r w:rsidRPr="00AE47C6">
        <w:rPr>
          <w:rFonts w:ascii="Times New Roman" w:eastAsia="SimSun" w:hAnsi="Times New Roman"/>
          <w:bCs/>
          <w:sz w:val="24"/>
          <w:szCs w:val="24"/>
        </w:rPr>
        <w:t xml:space="preserve">нямат промени в прага на болката, но имат по-висок толеранс към нея. Намален е мотивационно-афективният аспект на болката, поради дегенерация на множество структури в медиалната болкова система (основно amygdala и hippocampus). </w:t>
      </w:r>
    </w:p>
    <w:p w14:paraId="7DAF0700"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r w:rsidRPr="00AE47C6">
        <w:rPr>
          <w:rFonts w:ascii="Times New Roman" w:eastAsia="SimSun" w:hAnsi="Times New Roman"/>
          <w:b/>
          <w:sz w:val="24"/>
          <w:szCs w:val="24"/>
        </w:rPr>
        <w:t xml:space="preserve"> </w:t>
      </w:r>
      <w:bookmarkStart w:id="74" w:name="_Toc155651736"/>
      <w:bookmarkStart w:id="75" w:name="_Toc164075868"/>
      <w:r w:rsidRPr="00AE47C6">
        <w:rPr>
          <w:rFonts w:ascii="Times New Roman" w:eastAsia="SimSun" w:hAnsi="Times New Roman"/>
          <w:b/>
          <w:sz w:val="24"/>
          <w:szCs w:val="24"/>
        </w:rPr>
        <w:t>3.4. Лечение на неврологично обусловените болкови синдроми</w:t>
      </w:r>
      <w:bookmarkEnd w:id="74"/>
      <w:bookmarkEnd w:id="75"/>
    </w:p>
    <w:p w14:paraId="3EAC8057" w14:textId="77777777" w:rsidR="00BE0B19" w:rsidRPr="00AE47C6" w:rsidRDefault="00BE0B19" w:rsidP="00BE0B19">
      <w:pPr>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Лечението на ноцицептивната и невропатната болка са представени на фигура 3.3.</w:t>
      </w:r>
    </w:p>
    <w:p w14:paraId="7AC44E76" w14:textId="77777777" w:rsidR="00BE0B19" w:rsidRPr="00AE47C6" w:rsidRDefault="00BE0B19" w:rsidP="00BE0B19">
      <w:pPr>
        <w:pageBreakBefore/>
        <w:spacing w:after="0" w:line="360" w:lineRule="auto"/>
        <w:ind w:left="-142"/>
        <w:contextualSpacing/>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c">
            <w:drawing>
              <wp:inline distT="0" distB="0" distL="0" distR="0" wp14:anchorId="5D739648" wp14:editId="3659418A">
                <wp:extent cx="5992495" cy="3456305"/>
                <wp:effectExtent l="17145" t="132715" r="162560" b="11430"/>
                <wp:docPr id="252" name="Organization Chart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9" name="_s1028"/>
                        <wps:cNvCnPr>
                          <a:cxnSpLocks/>
                        </wps:cNvCnPr>
                        <wps:spPr bwMode="auto">
                          <a:xfrm rot="5400000" flipH="1">
                            <a:off x="1326522" y="2032603"/>
                            <a:ext cx="132400" cy="1200"/>
                          </a:xfrm>
                          <a:prstGeom prst="bentConnector3">
                            <a:avLst>
                              <a:gd name="adj1" fmla="val 50000"/>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0" name="_s1029"/>
                        <wps:cNvCnPr>
                          <a:cxnSpLocks/>
                        </wps:cNvCnPr>
                        <wps:spPr bwMode="auto">
                          <a:xfrm rot="16200000">
                            <a:off x="4535873" y="2911804"/>
                            <a:ext cx="132000" cy="130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8" name="_s1030"/>
                        <wps:cNvCnPr>
                          <a:cxnSpLocks/>
                        </wps:cNvCnPr>
                        <wps:spPr bwMode="auto">
                          <a:xfrm rot="16200000">
                            <a:off x="4536273" y="2452304"/>
                            <a:ext cx="131200" cy="130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89" name="_s1031"/>
                        <wps:cNvCnPr>
                          <a:cxnSpLocks/>
                        </wps:cNvCnPr>
                        <wps:spPr bwMode="auto">
                          <a:xfrm rot="16200000">
                            <a:off x="4534973" y="2032403"/>
                            <a:ext cx="132400" cy="130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90" name="_s1032"/>
                        <wps:cNvCnPr>
                          <a:cxnSpLocks/>
                        </wps:cNvCnPr>
                        <wps:spPr bwMode="auto">
                          <a:xfrm rot="16200000">
                            <a:off x="4535773" y="1612702"/>
                            <a:ext cx="131900" cy="130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91" name="_s1033"/>
                        <wps:cNvCnPr>
                          <a:cxnSpLocks/>
                        </wps:cNvCnPr>
                        <wps:spPr bwMode="auto">
                          <a:xfrm rot="16200000">
                            <a:off x="4534873" y="1192802"/>
                            <a:ext cx="132300" cy="130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92" name="_s1034"/>
                        <wps:cNvCnPr>
                          <a:cxnSpLocks/>
                        </wps:cNvCnPr>
                        <wps:spPr bwMode="auto">
                          <a:xfrm rot="16200000">
                            <a:off x="1327422" y="1612702"/>
                            <a:ext cx="131900" cy="130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93" name="_s1035"/>
                        <wps:cNvCnPr>
                          <a:cxnSpLocks/>
                        </wps:cNvCnPr>
                        <wps:spPr bwMode="auto">
                          <a:xfrm rot="16200000">
                            <a:off x="4536173" y="772901"/>
                            <a:ext cx="131100" cy="130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94" name="_s1036"/>
                        <wps:cNvCnPr>
                          <a:cxnSpLocks/>
                        </wps:cNvCnPr>
                        <wps:spPr bwMode="auto">
                          <a:xfrm rot="16200000">
                            <a:off x="1327422" y="1192802"/>
                            <a:ext cx="131900" cy="130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95" name="_s1037"/>
                        <wps:cNvCnPr>
                          <a:cxnSpLocks/>
                        </wps:cNvCnPr>
                        <wps:spPr bwMode="auto">
                          <a:xfrm rot="16200000">
                            <a:off x="1327822" y="772901"/>
                            <a:ext cx="131100" cy="130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96" name="_s1038"/>
                        <wps:cNvCnPr>
                          <a:cxnSpLocks/>
                        </wps:cNvCnPr>
                        <wps:spPr bwMode="auto">
                          <a:xfrm rot="5400000" flipH="1">
                            <a:off x="3731860" y="-447912"/>
                            <a:ext cx="132300" cy="1603525"/>
                          </a:xfrm>
                          <a:prstGeom prst="bentConnector3">
                            <a:avLst>
                              <a:gd name="adj1" fmla="val 50000"/>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97" name="_s1039"/>
                        <wps:cNvCnPr>
                          <a:cxnSpLocks/>
                        </wps:cNvCnPr>
                        <wps:spPr bwMode="auto">
                          <a:xfrm rot="16200000">
                            <a:off x="2128335" y="-448712"/>
                            <a:ext cx="132300" cy="1604725"/>
                          </a:xfrm>
                          <a:prstGeom prst="bentConnector3">
                            <a:avLst>
                              <a:gd name="adj1" fmla="val 50000"/>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wps:wsp>
                        <wps:cNvPr id="298" name="_s1040"/>
                        <wps:cNvSpPr>
                          <a:spLocks/>
                        </wps:cNvSpPr>
                        <wps:spPr bwMode="auto">
                          <a:xfrm>
                            <a:off x="1274820" y="0"/>
                            <a:ext cx="3442855" cy="287900"/>
                          </a:xfrm>
                          <a:prstGeom prst="roundRect">
                            <a:avLst>
                              <a:gd name="adj" fmla="val 16667"/>
                            </a:avLst>
                          </a:prstGeom>
                          <a:solidFill>
                            <a:srgbClr val="BBE0E3"/>
                          </a:solidFill>
                          <a:ln w="9525">
                            <a:round/>
                            <a:headEnd/>
                            <a:tailEnd/>
                          </a:ln>
                          <a:scene3d>
                            <a:camera prst="legacyObliqueTopRight">
                              <a:rot lat="21299996" lon="0" rev="0"/>
                            </a:camera>
                            <a:lightRig rig="legacyFlat3" dir="b"/>
                          </a:scene3d>
                          <a:sp3d extrusionH="430200" prstMaterial="legacyMatte">
                            <a:bevelT w="13500" h="13500" prst="angle"/>
                            <a:bevelB w="13500" h="13500" prst="angle"/>
                            <a:extrusionClr>
                              <a:srgbClr val="BBE0E3"/>
                            </a:extrusionClr>
                            <a:contourClr>
                              <a:srgbClr val="BBE0E3"/>
                            </a:contourClr>
                          </a:sp3d>
                        </wps:spPr>
                        <wps:txbx>
                          <w:txbxContent>
                            <w:p w14:paraId="79CB0C40" w14:textId="77777777" w:rsidR="00471742" w:rsidRPr="009370A5" w:rsidRDefault="00471742" w:rsidP="00BE0B19">
                              <w:pPr>
                                <w:jc w:val="center"/>
                                <w:rPr>
                                  <w:b/>
                                </w:rPr>
                              </w:pPr>
                              <w:r w:rsidRPr="009370A5">
                                <w:rPr>
                                  <w:b/>
                                </w:rPr>
                                <w:t>Лечение на болката</w:t>
                              </w:r>
                            </w:p>
                          </w:txbxContent>
                        </wps:txbx>
                        <wps:bodyPr rot="0" vert="horz" wrap="square" lIns="0" tIns="0" rIns="0" bIns="0" anchor="ctr" anchorCtr="0" upright="1">
                          <a:noAutofit/>
                        </wps:bodyPr>
                      </wps:wsp>
                      <wps:wsp>
                        <wps:cNvPr id="299" name="_s1041"/>
                        <wps:cNvSpPr>
                          <a:spLocks/>
                        </wps:cNvSpPr>
                        <wps:spPr bwMode="auto">
                          <a:xfrm>
                            <a:off x="0" y="419801"/>
                            <a:ext cx="2784244" cy="288000"/>
                          </a:xfrm>
                          <a:prstGeom prst="roundRect">
                            <a:avLst>
                              <a:gd name="adj" fmla="val 16667"/>
                            </a:avLst>
                          </a:prstGeom>
                          <a:solidFill>
                            <a:srgbClr val="BBE0E3"/>
                          </a:solidFill>
                          <a:ln w="9525">
                            <a:round/>
                            <a:headEnd/>
                            <a:tailEnd/>
                          </a:ln>
                          <a:scene3d>
                            <a:camera prst="legacyObliqueTopRight"/>
                            <a:lightRig rig="legacyFlat3" dir="b"/>
                          </a:scene3d>
                          <a:sp3d extrusionH="430200" prstMaterial="legacyMatte">
                            <a:bevelT w="13500" h="13500" prst="angle"/>
                            <a:bevelB w="13500" h="13500" prst="angle"/>
                            <a:extrusionClr>
                              <a:srgbClr val="BBE0E3"/>
                            </a:extrusionClr>
                            <a:contourClr>
                              <a:srgbClr val="BBE0E3"/>
                            </a:contourClr>
                          </a:sp3d>
                        </wps:spPr>
                        <wps:txbx>
                          <w:txbxContent>
                            <w:p w14:paraId="7DA1EE47" w14:textId="77777777" w:rsidR="00471742" w:rsidRPr="009370A5" w:rsidRDefault="00471742" w:rsidP="00BE0B19">
                              <w:pPr>
                                <w:jc w:val="center"/>
                                <w:rPr>
                                  <w:b/>
                                </w:rPr>
                              </w:pPr>
                              <w:r w:rsidRPr="009370A5">
                                <w:rPr>
                                  <w:b/>
                                </w:rPr>
                                <w:t>ноцицептивна</w:t>
                              </w:r>
                            </w:p>
                          </w:txbxContent>
                        </wps:txbx>
                        <wps:bodyPr rot="0" vert="horz" wrap="square" lIns="0" tIns="0" rIns="0" bIns="0" anchor="ctr" anchorCtr="0" upright="1">
                          <a:noAutofit/>
                        </wps:bodyPr>
                      </wps:wsp>
                      <wps:wsp>
                        <wps:cNvPr id="303" name="_s1042"/>
                        <wps:cNvSpPr>
                          <a:spLocks/>
                        </wps:cNvSpPr>
                        <wps:spPr bwMode="auto">
                          <a:xfrm>
                            <a:off x="3208251" y="419801"/>
                            <a:ext cx="2784244" cy="288000"/>
                          </a:xfrm>
                          <a:prstGeom prst="roundRect">
                            <a:avLst>
                              <a:gd name="adj" fmla="val 16667"/>
                            </a:avLst>
                          </a:prstGeom>
                          <a:solidFill>
                            <a:srgbClr val="BBE0E3"/>
                          </a:solidFill>
                          <a:ln w="9525">
                            <a:round/>
                            <a:headEnd/>
                            <a:tailEnd/>
                          </a:ln>
                          <a:scene3d>
                            <a:camera prst="legacyObliqueTopRight"/>
                            <a:lightRig rig="legacyFlat3" dir="b"/>
                          </a:scene3d>
                          <a:sp3d extrusionH="430200" prstMaterial="legacyMatte">
                            <a:bevelT w="13500" h="13500" prst="angle"/>
                            <a:bevelB w="13500" h="13500" prst="angle"/>
                            <a:extrusionClr>
                              <a:srgbClr val="BBE0E3"/>
                            </a:extrusionClr>
                            <a:contourClr>
                              <a:srgbClr val="BBE0E3"/>
                            </a:contourClr>
                          </a:sp3d>
                        </wps:spPr>
                        <wps:txbx>
                          <w:txbxContent>
                            <w:p w14:paraId="483F23E3" w14:textId="77777777" w:rsidR="00471742" w:rsidRPr="009370A5" w:rsidRDefault="00471742" w:rsidP="00BE0B19">
                              <w:pPr>
                                <w:jc w:val="center"/>
                                <w:rPr>
                                  <w:b/>
                                </w:rPr>
                              </w:pPr>
                              <w:r w:rsidRPr="009370A5">
                                <w:rPr>
                                  <w:b/>
                                </w:rPr>
                                <w:t>невропатна</w:t>
                              </w:r>
                            </w:p>
                          </w:txbxContent>
                        </wps:txbx>
                        <wps:bodyPr rot="0" vert="horz" wrap="square" lIns="0" tIns="0" rIns="0" bIns="0" anchor="ctr" anchorCtr="0" upright="1">
                          <a:noAutofit/>
                        </wps:bodyPr>
                      </wps:wsp>
                      <wps:wsp>
                        <wps:cNvPr id="304" name="_s1044"/>
                        <wps:cNvSpPr>
                          <a:spLocks/>
                        </wps:cNvSpPr>
                        <wps:spPr bwMode="auto">
                          <a:xfrm>
                            <a:off x="0" y="1259602"/>
                            <a:ext cx="2784244" cy="287900"/>
                          </a:xfrm>
                          <a:prstGeom prst="roundRect">
                            <a:avLst>
                              <a:gd name="adj" fmla="val 16667"/>
                            </a:avLst>
                          </a:prstGeom>
                          <a:solidFill>
                            <a:srgbClr val="BBE0E3"/>
                          </a:solidFill>
                          <a:ln w="9525">
                            <a:solidFill>
                              <a:srgbClr val="000000"/>
                            </a:solidFill>
                            <a:round/>
                            <a:headEnd/>
                            <a:tailEnd/>
                          </a:ln>
                        </wps:spPr>
                        <wps:txbx>
                          <w:txbxContent>
                            <w:p w14:paraId="39508C50" w14:textId="77777777" w:rsidR="00471742" w:rsidRPr="009370A5" w:rsidRDefault="00471742" w:rsidP="00BE0B19">
                              <w:pPr>
                                <w:jc w:val="center"/>
                                <w:rPr>
                                  <w:b/>
                                </w:rPr>
                              </w:pPr>
                              <w:r w:rsidRPr="009370A5">
                                <w:rPr>
                                  <w:b/>
                                </w:rPr>
                                <w:t>миорелаксанти</w:t>
                              </w:r>
                            </w:p>
                          </w:txbxContent>
                        </wps:txbx>
                        <wps:bodyPr rot="0" vert="horz" wrap="square" lIns="0" tIns="0" rIns="0" bIns="0" anchor="ctr" anchorCtr="0" upright="1">
                          <a:noAutofit/>
                        </wps:bodyPr>
                      </wps:wsp>
                      <wps:wsp>
                        <wps:cNvPr id="305" name="_s1045"/>
                        <wps:cNvSpPr>
                          <a:spLocks/>
                        </wps:cNvSpPr>
                        <wps:spPr bwMode="auto">
                          <a:xfrm>
                            <a:off x="3208251" y="839701"/>
                            <a:ext cx="2784244" cy="287600"/>
                          </a:xfrm>
                          <a:prstGeom prst="roundRect">
                            <a:avLst>
                              <a:gd name="adj" fmla="val 16667"/>
                            </a:avLst>
                          </a:prstGeom>
                          <a:solidFill>
                            <a:srgbClr val="BBE0E3"/>
                          </a:solidFill>
                          <a:ln w="9525">
                            <a:solidFill>
                              <a:srgbClr val="000000"/>
                            </a:solidFill>
                            <a:round/>
                            <a:headEnd/>
                            <a:tailEnd/>
                          </a:ln>
                        </wps:spPr>
                        <wps:txbx>
                          <w:txbxContent>
                            <w:p w14:paraId="6223B286" w14:textId="77777777" w:rsidR="00471742" w:rsidRPr="009370A5" w:rsidRDefault="00471742" w:rsidP="00BE0B19">
                              <w:pPr>
                                <w:jc w:val="center"/>
                                <w:rPr>
                                  <w:b/>
                                </w:rPr>
                              </w:pPr>
                              <w:r w:rsidRPr="009370A5">
                                <w:rPr>
                                  <w:b/>
                                </w:rPr>
                                <w:t>антиконвулсанти</w:t>
                              </w:r>
                            </w:p>
                          </w:txbxContent>
                        </wps:txbx>
                        <wps:bodyPr rot="0" vert="horz" wrap="square" lIns="0" tIns="0" rIns="0" bIns="0" anchor="ctr" anchorCtr="0" upright="1">
                          <a:noAutofit/>
                        </wps:bodyPr>
                      </wps:wsp>
                      <wps:wsp>
                        <wps:cNvPr id="306" name="_s1046"/>
                        <wps:cNvSpPr>
                          <a:spLocks/>
                        </wps:cNvSpPr>
                        <wps:spPr bwMode="auto">
                          <a:xfrm>
                            <a:off x="0" y="1679502"/>
                            <a:ext cx="2784244" cy="287900"/>
                          </a:xfrm>
                          <a:prstGeom prst="roundRect">
                            <a:avLst>
                              <a:gd name="adj" fmla="val 16667"/>
                            </a:avLst>
                          </a:prstGeom>
                          <a:solidFill>
                            <a:srgbClr val="BBE0E3"/>
                          </a:solidFill>
                          <a:ln w="9525">
                            <a:solidFill>
                              <a:srgbClr val="000000"/>
                            </a:solidFill>
                            <a:round/>
                            <a:headEnd/>
                            <a:tailEnd/>
                          </a:ln>
                        </wps:spPr>
                        <wps:txbx>
                          <w:txbxContent>
                            <w:p w14:paraId="0E84BA3D" w14:textId="77777777" w:rsidR="00471742" w:rsidRPr="009370A5" w:rsidRDefault="00471742" w:rsidP="00BE0B19">
                              <w:pPr>
                                <w:jc w:val="center"/>
                                <w:rPr>
                                  <w:b/>
                                </w:rPr>
                              </w:pPr>
                              <w:r w:rsidRPr="009370A5">
                                <w:rPr>
                                  <w:b/>
                                </w:rPr>
                                <w:t>аналгетици</w:t>
                              </w:r>
                            </w:p>
                          </w:txbxContent>
                        </wps:txbx>
                        <wps:bodyPr rot="0" vert="horz" wrap="square" lIns="0" tIns="0" rIns="0" bIns="0" anchor="ctr" anchorCtr="0" upright="1">
                          <a:noAutofit/>
                        </wps:bodyPr>
                      </wps:wsp>
                      <wps:wsp>
                        <wps:cNvPr id="307" name="_s1047"/>
                        <wps:cNvSpPr>
                          <a:spLocks/>
                        </wps:cNvSpPr>
                        <wps:spPr bwMode="auto">
                          <a:xfrm>
                            <a:off x="3208251" y="1259602"/>
                            <a:ext cx="2784244" cy="287900"/>
                          </a:xfrm>
                          <a:prstGeom prst="roundRect">
                            <a:avLst>
                              <a:gd name="adj" fmla="val 16667"/>
                            </a:avLst>
                          </a:prstGeom>
                          <a:solidFill>
                            <a:srgbClr val="BBE0E3"/>
                          </a:solidFill>
                          <a:ln w="9525">
                            <a:solidFill>
                              <a:srgbClr val="000000"/>
                            </a:solidFill>
                            <a:round/>
                            <a:headEnd/>
                            <a:tailEnd/>
                          </a:ln>
                        </wps:spPr>
                        <wps:txbx>
                          <w:txbxContent>
                            <w:p w14:paraId="14E97DCB" w14:textId="77777777" w:rsidR="00471742" w:rsidRPr="009370A5" w:rsidRDefault="00471742" w:rsidP="00BE0B19">
                              <w:pPr>
                                <w:jc w:val="center"/>
                                <w:rPr>
                                  <w:b/>
                                </w:rPr>
                              </w:pPr>
                              <w:r w:rsidRPr="009370A5">
                                <w:rPr>
                                  <w:b/>
                                </w:rPr>
                                <w:t>антидепресанти</w:t>
                              </w:r>
                            </w:p>
                          </w:txbxContent>
                        </wps:txbx>
                        <wps:bodyPr rot="0" vert="horz" wrap="square" lIns="0" tIns="0" rIns="0" bIns="0" anchor="ctr" anchorCtr="0" upright="1">
                          <a:noAutofit/>
                        </wps:bodyPr>
                      </wps:wsp>
                      <wps:wsp>
                        <wps:cNvPr id="308" name="_s1048"/>
                        <wps:cNvSpPr>
                          <a:spLocks/>
                        </wps:cNvSpPr>
                        <wps:spPr bwMode="auto">
                          <a:xfrm>
                            <a:off x="3208251" y="1679502"/>
                            <a:ext cx="2784244" cy="287900"/>
                          </a:xfrm>
                          <a:prstGeom prst="roundRect">
                            <a:avLst>
                              <a:gd name="adj" fmla="val 16667"/>
                            </a:avLst>
                          </a:prstGeom>
                          <a:solidFill>
                            <a:srgbClr val="BBE0E3"/>
                          </a:solidFill>
                          <a:ln w="9525">
                            <a:solidFill>
                              <a:srgbClr val="000000"/>
                            </a:solidFill>
                            <a:round/>
                            <a:headEnd/>
                            <a:tailEnd/>
                          </a:ln>
                        </wps:spPr>
                        <wps:txbx>
                          <w:txbxContent>
                            <w:p w14:paraId="5C8BA119" w14:textId="77777777" w:rsidR="00471742" w:rsidRPr="0020154C" w:rsidRDefault="00471742" w:rsidP="00BE0B19">
                              <w:pPr>
                                <w:jc w:val="center"/>
                                <w:rPr>
                                  <w:b/>
                                </w:rPr>
                              </w:pPr>
                              <w:r w:rsidRPr="0020154C">
                                <w:rPr>
                                  <w:b/>
                                </w:rPr>
                                <w:t>Опиоидни аналгетици</w:t>
                              </w:r>
                            </w:p>
                          </w:txbxContent>
                        </wps:txbx>
                        <wps:bodyPr rot="0" vert="horz" wrap="square" lIns="0" tIns="0" rIns="0" bIns="0" anchor="ctr" anchorCtr="0" upright="1">
                          <a:noAutofit/>
                        </wps:bodyPr>
                      </wps:wsp>
                      <wps:wsp>
                        <wps:cNvPr id="309" name="_s1049"/>
                        <wps:cNvSpPr>
                          <a:spLocks/>
                        </wps:cNvSpPr>
                        <wps:spPr bwMode="auto">
                          <a:xfrm>
                            <a:off x="3208251" y="2099403"/>
                            <a:ext cx="2784244" cy="287900"/>
                          </a:xfrm>
                          <a:prstGeom prst="roundRect">
                            <a:avLst>
                              <a:gd name="adj" fmla="val 16667"/>
                            </a:avLst>
                          </a:prstGeom>
                          <a:solidFill>
                            <a:srgbClr val="BBE0E3"/>
                          </a:solidFill>
                          <a:ln w="9525">
                            <a:solidFill>
                              <a:srgbClr val="000000"/>
                            </a:solidFill>
                            <a:round/>
                            <a:headEnd/>
                            <a:tailEnd/>
                          </a:ln>
                        </wps:spPr>
                        <wps:txbx>
                          <w:txbxContent>
                            <w:p w14:paraId="73B01971" w14:textId="77777777" w:rsidR="00471742" w:rsidRPr="0020154C" w:rsidRDefault="00471742" w:rsidP="00BE0B19">
                              <w:pPr>
                                <w:jc w:val="center"/>
                                <w:rPr>
                                  <w:b/>
                                </w:rPr>
                              </w:pPr>
                              <w:r w:rsidRPr="0020154C">
                                <w:rPr>
                                  <w:b/>
                                </w:rPr>
                                <w:t>Структурни аналози на ГАМК</w:t>
                              </w:r>
                            </w:p>
                            <w:p w14:paraId="45CCEA54" w14:textId="77777777" w:rsidR="00471742" w:rsidRPr="0020154C" w:rsidRDefault="00471742" w:rsidP="00BE0B19">
                              <w:pPr>
                                <w:rPr>
                                  <w:sz w:val="32"/>
                                </w:rPr>
                              </w:pPr>
                            </w:p>
                          </w:txbxContent>
                        </wps:txbx>
                        <wps:bodyPr rot="0" vert="horz" wrap="square" lIns="0" tIns="0" rIns="0" bIns="0" anchor="ctr" anchorCtr="0" upright="1">
                          <a:noAutofit/>
                        </wps:bodyPr>
                      </wps:wsp>
                      <wps:wsp>
                        <wps:cNvPr id="310" name="_s1050"/>
                        <wps:cNvSpPr>
                          <a:spLocks/>
                        </wps:cNvSpPr>
                        <wps:spPr bwMode="auto">
                          <a:xfrm>
                            <a:off x="3208251" y="2519304"/>
                            <a:ext cx="2784244" cy="327500"/>
                          </a:xfrm>
                          <a:prstGeom prst="roundRect">
                            <a:avLst>
                              <a:gd name="adj" fmla="val 16667"/>
                            </a:avLst>
                          </a:prstGeom>
                          <a:solidFill>
                            <a:srgbClr val="BBE0E3"/>
                          </a:solidFill>
                          <a:ln w="9525">
                            <a:solidFill>
                              <a:srgbClr val="000000"/>
                            </a:solidFill>
                            <a:round/>
                            <a:headEnd/>
                            <a:tailEnd/>
                          </a:ln>
                        </wps:spPr>
                        <wps:txbx>
                          <w:txbxContent>
                            <w:p w14:paraId="6146701B" w14:textId="77777777" w:rsidR="00471742" w:rsidRPr="0020154C" w:rsidRDefault="00471742" w:rsidP="00BE0B19">
                              <w:pPr>
                                <w:jc w:val="center"/>
                                <w:rPr>
                                  <w:rFonts w:cs="Arial"/>
                                  <w:b/>
                                  <w:sz w:val="14"/>
                                </w:rPr>
                              </w:pPr>
                              <w:r w:rsidRPr="0020154C">
                                <w:rPr>
                                  <w:b/>
                                </w:rPr>
                                <w:t>Алфа2-адренорецепторни агонисти</w:t>
                              </w:r>
                            </w:p>
                            <w:p w14:paraId="6647A29C" w14:textId="77777777" w:rsidR="00471742" w:rsidRDefault="00471742" w:rsidP="00BE0B19"/>
                          </w:txbxContent>
                        </wps:txbx>
                        <wps:bodyPr rot="0" vert="horz" wrap="square" lIns="0" tIns="0" rIns="0" bIns="0" anchor="ctr" anchorCtr="0" upright="1">
                          <a:noAutofit/>
                        </wps:bodyPr>
                      </wps:wsp>
                      <wps:wsp>
                        <wps:cNvPr id="311" name="_s1051"/>
                        <wps:cNvSpPr>
                          <a:spLocks/>
                        </wps:cNvSpPr>
                        <wps:spPr bwMode="auto">
                          <a:xfrm>
                            <a:off x="3208251" y="2978804"/>
                            <a:ext cx="2784244" cy="477501"/>
                          </a:xfrm>
                          <a:prstGeom prst="roundRect">
                            <a:avLst>
                              <a:gd name="adj" fmla="val 16667"/>
                            </a:avLst>
                          </a:prstGeom>
                          <a:solidFill>
                            <a:srgbClr val="BBE0E3"/>
                          </a:solidFill>
                          <a:ln w="9525">
                            <a:solidFill>
                              <a:srgbClr val="000000"/>
                            </a:solidFill>
                            <a:round/>
                            <a:headEnd/>
                            <a:tailEnd/>
                          </a:ln>
                        </wps:spPr>
                        <wps:txbx>
                          <w:txbxContent>
                            <w:p w14:paraId="65361C9A" w14:textId="77777777" w:rsidR="00471742" w:rsidRPr="0020154C" w:rsidRDefault="00471742" w:rsidP="00BE0B19">
                              <w:pPr>
                                <w:jc w:val="center"/>
                                <w:rPr>
                                  <w:b/>
                                </w:rPr>
                              </w:pPr>
                              <w:r w:rsidRPr="0020154C">
                                <w:rPr>
                                  <w:b/>
                                </w:rPr>
                                <w:t>Мембрано-стабилизиращи медикаменти</w:t>
                              </w:r>
                            </w:p>
                            <w:p w14:paraId="67F4294B" w14:textId="77777777" w:rsidR="00471742" w:rsidRPr="0020154C" w:rsidRDefault="00471742" w:rsidP="00BE0B19">
                              <w:pPr>
                                <w:jc w:val="center"/>
                                <w:rPr>
                                  <w:sz w:val="12"/>
                                </w:rPr>
                              </w:pPr>
                            </w:p>
                          </w:txbxContent>
                        </wps:txbx>
                        <wps:bodyPr rot="0" vert="horz" wrap="square" lIns="0" tIns="0" rIns="0" bIns="0" anchor="ctr" anchorCtr="0" upright="1">
                          <a:noAutofit/>
                        </wps:bodyPr>
                      </wps:wsp>
                      <wps:wsp>
                        <wps:cNvPr id="312" name="_s1052"/>
                        <wps:cNvSpPr>
                          <a:spLocks/>
                        </wps:cNvSpPr>
                        <wps:spPr bwMode="auto">
                          <a:xfrm>
                            <a:off x="118502" y="2099403"/>
                            <a:ext cx="2548440" cy="263500"/>
                          </a:xfrm>
                          <a:prstGeom prst="roundRect">
                            <a:avLst>
                              <a:gd name="adj" fmla="val 16667"/>
                            </a:avLst>
                          </a:prstGeom>
                          <a:solidFill>
                            <a:srgbClr val="BBE0E3"/>
                          </a:solidFill>
                          <a:ln w="9525">
                            <a:solidFill>
                              <a:srgbClr val="000000"/>
                            </a:solidFill>
                            <a:round/>
                            <a:headEnd/>
                            <a:tailEnd/>
                          </a:ln>
                        </wps:spPr>
                        <wps:txbx>
                          <w:txbxContent>
                            <w:p w14:paraId="1CE10AEC" w14:textId="77777777" w:rsidR="00471742" w:rsidRPr="009370A5" w:rsidRDefault="00471742" w:rsidP="00BE0B19">
                              <w:pPr>
                                <w:jc w:val="center"/>
                                <w:rPr>
                                  <w:b/>
                                </w:rPr>
                              </w:pPr>
                              <w:r w:rsidRPr="009370A5">
                                <w:rPr>
                                  <w:b/>
                                </w:rPr>
                                <w:t>Опиоидни аналгетици</w:t>
                              </w:r>
                            </w:p>
                          </w:txbxContent>
                        </wps:txbx>
                        <wps:bodyPr rot="0" vert="horz" wrap="square" lIns="0" tIns="0" rIns="0" bIns="0" anchor="ctr" anchorCtr="0" upright="1">
                          <a:noAutofit/>
                        </wps:bodyPr>
                      </wps:wsp>
                    </wpc:wpc>
                  </a:graphicData>
                </a:graphic>
              </wp:inline>
            </w:drawing>
          </mc:Choice>
          <mc:Fallback>
            <w:pict>
              <v:group w14:anchorId="5D739648" id="Organization Chart 2" o:spid="_x0000_s1085" editas="canvas" style="width:471.85pt;height:272.15pt;mso-position-horizontal-relative:char;mso-position-vertical-relative:line" coordsize="59924,3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">
                <v:shape id="_x0000_s1086" type="#_x0000_t75" style="position:absolute;width:59924;height:34563;visibility:visible;mso-wrap-style:square">
                  <v:fill o:detectmouseclick="t"/>
                  <v:path o:connecttype="none"/>
                </v:shape>
                <v:shape id="_s1028" o:spid="_x0000_s1087" type="#_x0000_t34" style="position:absolute;left:13265;top:20326;width:1324;height:1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" strokeweight="2.25pt">
                  <o:lock v:ext="edit" shapetype="f"/>
                </v:shape>
                <v:shape id="_s1029" o:spid="_x0000_s1088" type="#_x0000_t32" style="position:absolute;left:45359;top:29117;width:1320;height:13;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" strokeweight="2.25pt">
                  <o:lock v:ext="edit" shapetype="f"/>
                </v:shape>
                <v:shape id="_s1030" o:spid="_x0000_s1089" type="#_x0000_t32" style="position:absolute;left:45363;top:24522;width:1312;height:13;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" strokeweight="2.25pt">
                  <o:lock v:ext="edit" shapetype="f"/>
                </v:shape>
                <v:shape id="_s1031" o:spid="_x0000_s1090" type="#_x0000_t32" style="position:absolute;left:45350;top:20323;width:1324;height:13;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" strokeweight="2.25pt">
                  <o:lock v:ext="edit" shapetype="f"/>
                </v:shape>
                <v:shape id="_s1032" o:spid="_x0000_s1091" type="#_x0000_t32" style="position:absolute;left:45357;top:16127;width:1319;height:13;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" strokeweight="2.25pt">
                  <o:lock v:ext="edit" shapetype="f"/>
                </v:shape>
                <v:shape id="_s1033" o:spid="_x0000_s1092" type="#_x0000_t32" style="position:absolute;left:45348;top:11928;width:1323;height:13;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" strokeweight="2.25pt">
                  <o:lock v:ext="edit" shapetype="f"/>
                </v:shape>
                <v:shape id="_s1034" o:spid="_x0000_s1093" type="#_x0000_t32" style="position:absolute;left:13274;top:16127;width:1319;height:13;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" strokeweight="2.25pt">
                  <o:lock v:ext="edit" shapetype="f"/>
                </v:shape>
                <v:shape id="_s1035" o:spid="_x0000_s1094" type="#_x0000_t32" style="position:absolute;left:45361;top:7729;width:1311;height:13;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" strokeweight="2.25pt">
                  <o:lock v:ext="edit" shapetype="f"/>
                </v:shape>
                <v:shape id="_s1036" o:spid="_x0000_s1095" type="#_x0000_t32" style="position:absolute;left:13274;top:11928;width:1319;height:13;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" strokeweight="2.25pt">
                  <o:lock v:ext="edit" shapetype="f"/>
                </v:shape>
                <v:shape id="_s1037" o:spid="_x0000_s1096" type="#_x0000_t32" style="position:absolute;left:13278;top:7729;width:1311;height:13;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" strokeweight="2.25pt">
                  <o:lock v:ext="edit" shapetype="f"/>
                </v:shape>
                <v:shape id="_s1038" o:spid="_x0000_s1097" type="#_x0000_t34" style="position:absolute;left:37318;top:-4479;width:1323;height:1603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" strokeweight="2.25pt">
                  <o:lock v:ext="edit" shapetype="f"/>
                </v:shape>
                <v:shape id="_s1039" o:spid="_x0000_s1098" type="#_x0000_t34" style="position:absolute;left:21283;top:-4487;width:1323;height:16047;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" strokeweight="2.25pt">
                  <o:lock v:ext="edit" shapetype="f"/>
                </v:shape>
                <v:roundrect id="_s1040" o:spid="_x0000_s1099" style="position:absolute;left:12748;width:34428;height:28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" fillcolor="#bbe0e3">
                  <o:extrusion v:ext="view" color="#bbe0e3" on="t" rotationangle="327685fd"/>
                  <v:path arrowok="t"/>
                  <v:textbox inset="0,0,0,0">
                    <w:txbxContent>
                      <w:p w14:paraId="79CB0C40" w14:textId="77777777" w:rsidR="00471742" w:rsidRPr="009370A5" w:rsidRDefault="00471742" w:rsidP="00BE0B19">
                        <w:pPr>
                          <w:jc w:val="center"/>
                          <w:rPr>
                            <w:b/>
                          </w:rPr>
                        </w:pPr>
                        <w:r w:rsidRPr="009370A5">
                          <w:rPr>
                            <w:b/>
                          </w:rPr>
                          <w:t>Лечение на болката</w:t>
                        </w:r>
                      </w:p>
                    </w:txbxContent>
                  </v:textbox>
                </v:roundrect>
                <v:roundrect id="_s1041" o:spid="_x0000_s1100" style="position:absolute;top:4198;width:27842;height:28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" fillcolor="#bbe0e3">
                  <o:extrusion v:ext="view" color="#bbe0e3" on="t"/>
                  <v:path arrowok="t"/>
                  <v:textbox inset="0,0,0,0">
                    <w:txbxContent>
                      <w:p w14:paraId="7DA1EE47" w14:textId="77777777" w:rsidR="00471742" w:rsidRPr="009370A5" w:rsidRDefault="00471742" w:rsidP="00BE0B19">
                        <w:pPr>
                          <w:jc w:val="center"/>
                          <w:rPr>
                            <w:b/>
                          </w:rPr>
                        </w:pPr>
                        <w:r w:rsidRPr="009370A5">
                          <w:rPr>
                            <w:b/>
                          </w:rPr>
                          <w:t>ноцицептивна</w:t>
                        </w:r>
                      </w:p>
                    </w:txbxContent>
                  </v:textbox>
                </v:roundrect>
                <v:roundrect id="_s1042" o:spid="_x0000_s1101" style="position:absolute;left:32082;top:4198;width:27842;height:28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" fillcolor="#bbe0e3">
                  <o:extrusion v:ext="view" color="#bbe0e3" on="t"/>
                  <v:path arrowok="t"/>
                  <v:textbox inset="0,0,0,0">
                    <w:txbxContent>
                      <w:p w14:paraId="483F23E3" w14:textId="77777777" w:rsidR="00471742" w:rsidRPr="009370A5" w:rsidRDefault="00471742" w:rsidP="00BE0B19">
                        <w:pPr>
                          <w:jc w:val="center"/>
                          <w:rPr>
                            <w:b/>
                          </w:rPr>
                        </w:pPr>
                        <w:r w:rsidRPr="009370A5">
                          <w:rPr>
                            <w:b/>
                          </w:rPr>
                          <w:t>невропатна</w:t>
                        </w:r>
                      </w:p>
                    </w:txbxContent>
                  </v:textbox>
                </v:roundrect>
                <v:roundrect id="_s1044" o:spid="_x0000_s1102" style="position:absolute;top:12596;width:27842;height:28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" fillcolor="#bbe0e3">
                  <v:path arrowok="t"/>
                  <v:textbox inset="0,0,0,0">
                    <w:txbxContent>
                      <w:p w14:paraId="39508C50" w14:textId="77777777" w:rsidR="00471742" w:rsidRPr="009370A5" w:rsidRDefault="00471742" w:rsidP="00BE0B19">
                        <w:pPr>
                          <w:jc w:val="center"/>
                          <w:rPr>
                            <w:b/>
                          </w:rPr>
                        </w:pPr>
                        <w:r w:rsidRPr="009370A5">
                          <w:rPr>
                            <w:b/>
                          </w:rPr>
                          <w:t>миорелаксанти</w:t>
                        </w:r>
                      </w:p>
                    </w:txbxContent>
                  </v:textbox>
                </v:roundrect>
                <v:roundrect id="_s1045" o:spid="_x0000_s1103" style="position:absolute;left:32082;top:8397;width:27842;height:2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" fillcolor="#bbe0e3">
                  <v:path arrowok="t"/>
                  <v:textbox inset="0,0,0,0">
                    <w:txbxContent>
                      <w:p w14:paraId="6223B286" w14:textId="77777777" w:rsidR="00471742" w:rsidRPr="009370A5" w:rsidRDefault="00471742" w:rsidP="00BE0B19">
                        <w:pPr>
                          <w:jc w:val="center"/>
                          <w:rPr>
                            <w:b/>
                          </w:rPr>
                        </w:pPr>
                        <w:r w:rsidRPr="009370A5">
                          <w:rPr>
                            <w:b/>
                          </w:rPr>
                          <w:t>антиконвулсанти</w:t>
                        </w:r>
                      </w:p>
                    </w:txbxContent>
                  </v:textbox>
                </v:roundrect>
                <v:roundrect id="_s1046" o:spid="_x0000_s1104" style="position:absolute;top:16795;width:27842;height:28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" fillcolor="#bbe0e3">
                  <v:path arrowok="t"/>
                  <v:textbox inset="0,0,0,0">
                    <w:txbxContent>
                      <w:p w14:paraId="0E84BA3D" w14:textId="77777777" w:rsidR="00471742" w:rsidRPr="009370A5" w:rsidRDefault="00471742" w:rsidP="00BE0B19">
                        <w:pPr>
                          <w:jc w:val="center"/>
                          <w:rPr>
                            <w:b/>
                          </w:rPr>
                        </w:pPr>
                        <w:r w:rsidRPr="009370A5">
                          <w:rPr>
                            <w:b/>
                          </w:rPr>
                          <w:t>аналгетици</w:t>
                        </w:r>
                      </w:p>
                    </w:txbxContent>
                  </v:textbox>
                </v:roundrect>
                <v:roundrect id="_s1047" o:spid="_x0000_s1105" style="position:absolute;left:32082;top:12596;width:27842;height:28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" fillcolor="#bbe0e3">
                  <v:path arrowok="t"/>
                  <v:textbox inset="0,0,0,0">
                    <w:txbxContent>
                      <w:p w14:paraId="14E97DCB" w14:textId="77777777" w:rsidR="00471742" w:rsidRPr="009370A5" w:rsidRDefault="00471742" w:rsidP="00BE0B19">
                        <w:pPr>
                          <w:jc w:val="center"/>
                          <w:rPr>
                            <w:b/>
                          </w:rPr>
                        </w:pPr>
                        <w:r w:rsidRPr="009370A5">
                          <w:rPr>
                            <w:b/>
                          </w:rPr>
                          <w:t>антидепресанти</w:t>
                        </w:r>
                      </w:p>
                    </w:txbxContent>
                  </v:textbox>
                </v:roundrect>
                <v:roundrect id="_s1048" o:spid="_x0000_s1106" style="position:absolute;left:32082;top:16795;width:27842;height:28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" fillcolor="#bbe0e3">
                  <v:path arrowok="t"/>
                  <v:textbox inset="0,0,0,0">
                    <w:txbxContent>
                      <w:p w14:paraId="5C8BA119" w14:textId="77777777" w:rsidR="00471742" w:rsidRPr="0020154C" w:rsidRDefault="00471742" w:rsidP="00BE0B19">
                        <w:pPr>
                          <w:jc w:val="center"/>
                          <w:rPr>
                            <w:b/>
                          </w:rPr>
                        </w:pPr>
                        <w:r w:rsidRPr="0020154C">
                          <w:rPr>
                            <w:b/>
                          </w:rPr>
                          <w:t>Опиоидни аналгетици</w:t>
                        </w:r>
                      </w:p>
                    </w:txbxContent>
                  </v:textbox>
                </v:roundrect>
                <v:roundrect id="_s1049" o:spid="_x0000_s1107" style="position:absolute;left:32082;top:20994;width:27842;height:28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" fillcolor="#bbe0e3">
                  <v:path arrowok="t"/>
                  <v:textbox inset="0,0,0,0">
                    <w:txbxContent>
                      <w:p w14:paraId="73B01971" w14:textId="77777777" w:rsidR="00471742" w:rsidRPr="0020154C" w:rsidRDefault="00471742" w:rsidP="00BE0B19">
                        <w:pPr>
                          <w:jc w:val="center"/>
                          <w:rPr>
                            <w:b/>
                          </w:rPr>
                        </w:pPr>
                        <w:r w:rsidRPr="0020154C">
                          <w:rPr>
                            <w:b/>
                          </w:rPr>
                          <w:t>Структурни аналози на ГАМК</w:t>
                        </w:r>
                      </w:p>
                      <w:p w14:paraId="45CCEA54" w14:textId="77777777" w:rsidR="00471742" w:rsidRPr="0020154C" w:rsidRDefault="00471742" w:rsidP="00BE0B19">
                        <w:pPr>
                          <w:rPr>
                            <w:sz w:val="32"/>
                          </w:rPr>
                        </w:pPr>
                      </w:p>
                    </w:txbxContent>
                  </v:textbox>
                </v:roundrect>
                <v:roundrect id="_s1050" o:spid="_x0000_s1108" style="position:absolute;left:32082;top:25193;width:27842;height:32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" fillcolor="#bbe0e3">
                  <v:path arrowok="t"/>
                  <v:textbox inset="0,0,0,0">
                    <w:txbxContent>
                      <w:p w14:paraId="6146701B" w14:textId="77777777" w:rsidR="00471742" w:rsidRPr="0020154C" w:rsidRDefault="00471742" w:rsidP="00BE0B19">
                        <w:pPr>
                          <w:jc w:val="center"/>
                          <w:rPr>
                            <w:rFonts w:cs="Arial"/>
                            <w:b/>
                            <w:sz w:val="14"/>
                          </w:rPr>
                        </w:pPr>
                        <w:r w:rsidRPr="0020154C">
                          <w:rPr>
                            <w:b/>
                          </w:rPr>
                          <w:t>Алфа2-адренорецепторни агонисти</w:t>
                        </w:r>
                      </w:p>
                      <w:p w14:paraId="6647A29C" w14:textId="77777777" w:rsidR="00471742" w:rsidRDefault="00471742" w:rsidP="00BE0B19"/>
                    </w:txbxContent>
                  </v:textbox>
                </v:roundrect>
                <v:roundrect id="_s1051" o:spid="_x0000_s1109" style="position:absolute;left:32082;top:29788;width:27842;height:47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" fillcolor="#bbe0e3">
                  <v:path arrowok="t"/>
                  <v:textbox inset="0,0,0,0">
                    <w:txbxContent>
                      <w:p w14:paraId="65361C9A" w14:textId="77777777" w:rsidR="00471742" w:rsidRPr="0020154C" w:rsidRDefault="00471742" w:rsidP="00BE0B19">
                        <w:pPr>
                          <w:jc w:val="center"/>
                          <w:rPr>
                            <w:b/>
                          </w:rPr>
                        </w:pPr>
                        <w:r w:rsidRPr="0020154C">
                          <w:rPr>
                            <w:b/>
                          </w:rPr>
                          <w:t>Мембрано-стабилизиращи медикаменти</w:t>
                        </w:r>
                      </w:p>
                      <w:p w14:paraId="67F4294B" w14:textId="77777777" w:rsidR="00471742" w:rsidRPr="0020154C" w:rsidRDefault="00471742" w:rsidP="00BE0B19">
                        <w:pPr>
                          <w:jc w:val="center"/>
                          <w:rPr>
                            <w:sz w:val="12"/>
                          </w:rPr>
                        </w:pPr>
                      </w:p>
                    </w:txbxContent>
                  </v:textbox>
                </v:roundrect>
                <v:roundrect id="_s1052" o:spid="_x0000_s1110" style="position:absolute;left:1185;top:20994;width:25484;height:263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" fillcolor="#bbe0e3">
                  <v:path arrowok="t"/>
                  <v:textbox inset="0,0,0,0">
                    <w:txbxContent>
                      <w:p w14:paraId="1CE10AEC" w14:textId="77777777" w:rsidR="00471742" w:rsidRPr="009370A5" w:rsidRDefault="00471742" w:rsidP="00BE0B19">
                        <w:pPr>
                          <w:jc w:val="center"/>
                          <w:rPr>
                            <w:b/>
                          </w:rPr>
                        </w:pPr>
                        <w:r w:rsidRPr="009370A5">
                          <w:rPr>
                            <w:b/>
                          </w:rPr>
                          <w:t>Опиоидни аналгетици</w:t>
                        </w:r>
                      </w:p>
                    </w:txbxContent>
                  </v:textbox>
                </v:roundrect>
                <w10:anchorlock/>
              </v:group>
            </w:pict>
          </mc:Fallback>
        </mc:AlternateContent>
      </w:r>
    </w:p>
    <w:p w14:paraId="5803024C" w14:textId="77777777" w:rsidR="00BE0B19" w:rsidRPr="00AE47C6" w:rsidRDefault="00BE0B19" w:rsidP="00BE0B19">
      <w:pPr>
        <w:overflowPunct w:val="0"/>
        <w:autoSpaceDE w:val="0"/>
        <w:autoSpaceDN w:val="0"/>
        <w:adjustRightInd w:val="0"/>
        <w:spacing w:after="0" w:line="360" w:lineRule="auto"/>
        <w:jc w:val="both"/>
        <w:textAlignment w:val="baseline"/>
        <w:rPr>
          <w:rFonts w:ascii="Times New Roman" w:eastAsia="SimSun" w:hAnsi="Times New Roman"/>
          <w:sz w:val="24"/>
          <w:szCs w:val="24"/>
        </w:rPr>
      </w:pPr>
    </w:p>
    <w:p w14:paraId="067BFA26" w14:textId="77777777" w:rsidR="00BE0B19" w:rsidRPr="00AE47C6" w:rsidRDefault="00BE0B19" w:rsidP="00BE0B19">
      <w:pPr>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Фигура 3.3. Лечение на болковите синдроми</w:t>
      </w:r>
    </w:p>
    <w:p w14:paraId="5D3843CB" w14:textId="77777777" w:rsidR="00BE0B19" w:rsidRPr="00AE47C6" w:rsidRDefault="00BE0B19" w:rsidP="00BE0B19">
      <w:pPr>
        <w:overflowPunct w:val="0"/>
        <w:autoSpaceDE w:val="0"/>
        <w:autoSpaceDN w:val="0"/>
        <w:adjustRightInd w:val="0"/>
        <w:spacing w:after="0" w:line="360" w:lineRule="auto"/>
        <w:jc w:val="both"/>
        <w:textAlignment w:val="baseline"/>
        <w:rPr>
          <w:rFonts w:ascii="Times New Roman" w:eastAsia="SimSun" w:hAnsi="Times New Roman"/>
          <w:b/>
          <w:sz w:val="24"/>
          <w:szCs w:val="24"/>
        </w:rPr>
      </w:pPr>
    </w:p>
    <w:p w14:paraId="528DA13B"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76" w:name="_Toc155651737"/>
      <w:bookmarkStart w:id="77" w:name="_Toc164075869"/>
      <w:r w:rsidRPr="00AE47C6">
        <w:rPr>
          <w:rFonts w:ascii="Times New Roman" w:eastAsia="SimSun" w:hAnsi="Times New Roman"/>
          <w:b/>
          <w:sz w:val="24"/>
          <w:szCs w:val="20"/>
          <w:lang w:eastAsia="ja-JP"/>
        </w:rPr>
        <w:t>3.4.1. Лечение на ноцицептивната болка</w:t>
      </w:r>
      <w:bookmarkEnd w:id="76"/>
      <w:bookmarkEnd w:id="77"/>
    </w:p>
    <w:p w14:paraId="1E6F3026" w14:textId="77777777" w:rsidR="00BE0B19" w:rsidRPr="00AE47C6" w:rsidRDefault="00BE0B19" w:rsidP="00BE0B19">
      <w:pPr>
        <w:overflowPunct w:val="0"/>
        <w:autoSpaceDE w:val="0"/>
        <w:autoSpaceDN w:val="0"/>
        <w:adjustRightInd w:val="0"/>
        <w:spacing w:after="0" w:line="360" w:lineRule="auto"/>
        <w:jc w:val="both"/>
        <w:textAlignment w:val="baseline"/>
        <w:rPr>
          <w:rFonts w:ascii="Times New Roman" w:eastAsia="SimSun" w:hAnsi="Times New Roman"/>
          <w:b/>
          <w:sz w:val="24"/>
          <w:szCs w:val="24"/>
        </w:rPr>
      </w:pPr>
      <w:r w:rsidRPr="00AE47C6">
        <w:rPr>
          <w:rFonts w:ascii="Times New Roman" w:eastAsia="SimSun" w:hAnsi="Times New Roman"/>
          <w:b/>
          <w:sz w:val="24"/>
          <w:szCs w:val="24"/>
        </w:rPr>
        <w:t xml:space="preserve">Ноцицептивната болка се повлиява от НСПВС и аналгетици (опиоидни и неопиоидни). </w:t>
      </w:r>
    </w:p>
    <w:p w14:paraId="2A96E1DF"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b/>
          <w:sz w:val="24"/>
          <w:szCs w:val="24"/>
        </w:rPr>
        <w:t xml:space="preserve">Опиоидните аналгетици </w:t>
      </w:r>
      <w:r w:rsidRPr="00AE47C6">
        <w:rPr>
          <w:rFonts w:ascii="Times New Roman" w:eastAsia="SimSun" w:hAnsi="Times New Roman"/>
          <w:sz w:val="24"/>
          <w:szCs w:val="24"/>
        </w:rPr>
        <w:t xml:space="preserve">са по-слабо ефективни по отношение на невропатната, отколкото на ноцицептивната болка. Потискат интензивността на спонтанната невропатна болка с 30%. Не са подходящи за дълготрайно лечение при пациенти с хронична болка, защото влошават депресията. Комбинирането на опиоидите с НСПВС повишава аналгезичната активност, без да повишава съществено страничните ефекти. Използват се три различни типа опиоиди – μ агонисти, κ агонисти (смесени агонисти/антагонисти) и частични μ агонисти. Подразделят се на три категории, според фармакокинетичните свойства: с много кратко, с кратко и с дълго действие. Съответно се подразделят и на хидрофилни и липофилни. </w:t>
      </w:r>
    </w:p>
    <w:p w14:paraId="7963E719"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i/>
          <w:sz w:val="24"/>
          <w:szCs w:val="24"/>
        </w:rPr>
        <w:t xml:space="preserve">Dihydrocodeine tartarate </w:t>
      </w:r>
      <w:r w:rsidRPr="00AE47C6">
        <w:rPr>
          <w:rFonts w:ascii="Times New Roman" w:eastAsia="SimSun" w:hAnsi="Times New Roman"/>
          <w:sz w:val="24"/>
          <w:szCs w:val="24"/>
        </w:rPr>
        <w:t>е опиоиден аналгетик за лечение на хронична умерена до силна болка с бавно освобождаване. Таблетките (2 х 60 mg или 90 mg) се дозират на 12 часа и трябва да се поглъщат цели.</w:t>
      </w:r>
    </w:p>
    <w:p w14:paraId="08A5A80A"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i/>
          <w:sz w:val="24"/>
          <w:szCs w:val="24"/>
        </w:rPr>
        <w:t>Oxycodone и oxycodone-комбинациите</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са полусинтетични опиоиди, много близки до морфина. Медикаментът е комбиниран µ- и κ-рецепторен агонист, поради което е по-ефективен и с по-малко странични ефекти от морфина по отношение на невропатната болка. Има сходна ефективност с антидепресантите и антиконвулсантите. Прилага се в нормални или таблетки с бавно освобождаване в средна дневна доза 40 mg (5-10 mg на прием). Oxycodone има кратък полуживот и бърза елиминация, при висока перорална бионаличност. Предпочитат се медикаменти с бавно освобождаване (Oxycontin и oxycodone-комбинации), при които рискът от злоупотреба и пристрастяване е малък. Тези медикаменти се дозират на 12 часа и трябва да се поглъщат цели.</w:t>
      </w:r>
    </w:p>
    <w:p w14:paraId="562C4825"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i/>
          <w:sz w:val="24"/>
          <w:szCs w:val="24"/>
        </w:rPr>
        <w:t xml:space="preserve">Fentanyl </w:t>
      </w:r>
      <w:r w:rsidRPr="00AE47C6">
        <w:rPr>
          <w:rFonts w:ascii="Times New Roman" w:eastAsia="SimSun" w:hAnsi="Times New Roman"/>
          <w:sz w:val="24"/>
          <w:szCs w:val="24"/>
        </w:rPr>
        <w:t>е синтетичен липофилен опиоид, който е 80 пъти по-потентен аналгетик от морфина. Има бърз, но краткотраен ефект. Прилага се под формата на трансдермални пластири (Durogesic), в дози от 25 до 100 μg на час. Те осигуряват бавно освобождаване на медикамента в продължение на 72 часа. Медикаментът се натрупва в епидермиса и мастната тъкан под пластира и се абсорбира чрез кожната микроциркулация бавно в системното кръвообращение. При слаби пациенти и такива с температура, дозата трябва да се намали поради ниското телесно тегло и съответно поради повишената кожна циркулация. Много по-слабо ефективен е от останалите опиоиди за лечение на невропатната болка. Страничните ефекти (запек и сънливост) са по-слабо изразени отколкото на морфина, но често води до безсъние. При силна болка може да се приложи в доза 25 μg/час (1 пластир на 3 дни) Необходимо е да се използват минимални ефективни дози.</w:t>
      </w:r>
    </w:p>
    <w:p w14:paraId="7BD89C56"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bCs/>
          <w:sz w:val="24"/>
          <w:szCs w:val="24"/>
        </w:rPr>
      </w:pPr>
      <w:r w:rsidRPr="00AE47C6">
        <w:rPr>
          <w:rFonts w:ascii="Times New Roman" w:eastAsia="SimSun" w:hAnsi="Times New Roman"/>
          <w:b/>
          <w:sz w:val="24"/>
          <w:szCs w:val="24"/>
        </w:rPr>
        <w:t xml:space="preserve">Неопиоидните аналгетици </w:t>
      </w:r>
      <w:r w:rsidRPr="00AE47C6">
        <w:rPr>
          <w:rFonts w:ascii="Times New Roman" w:eastAsia="SimSun" w:hAnsi="Times New Roman"/>
          <w:bCs/>
          <w:sz w:val="24"/>
          <w:szCs w:val="24"/>
        </w:rPr>
        <w:t xml:space="preserve">включват основно НСПВС и някои модулатори на невропептидите. Използват се за лечение на ноцицептивна болка. Те са по-слабо ефективни от опиоидните. </w:t>
      </w:r>
      <w:r w:rsidRPr="00AE47C6">
        <w:rPr>
          <w:rFonts w:ascii="Times New Roman" w:eastAsia="SimSun" w:hAnsi="Times New Roman"/>
          <w:sz w:val="24"/>
          <w:szCs w:val="24"/>
        </w:rPr>
        <w:t>Прилагането на по-ниски дози от по-силните аналгетици има по-малко странични реакции от прилагането на високи дози от по-слабите.</w:t>
      </w:r>
    </w:p>
    <w:p w14:paraId="3FF29AD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Paracetamol</w:t>
      </w:r>
      <w:r w:rsidRPr="00AE47C6">
        <w:rPr>
          <w:rFonts w:ascii="Times New Roman" w:eastAsia="SimSun" w:hAnsi="Times New Roman"/>
          <w:sz w:val="24"/>
          <w:szCs w:val="24"/>
        </w:rPr>
        <w:t xml:space="preserve"> (до 1000 mg дневно)</w:t>
      </w:r>
      <w:r w:rsidRPr="00AE47C6">
        <w:rPr>
          <w:rFonts w:ascii="Times New Roman" w:eastAsia="SimSun" w:hAnsi="Times New Roman"/>
          <w:bCs/>
          <w:sz w:val="24"/>
          <w:szCs w:val="24"/>
        </w:rPr>
        <w:t xml:space="preserve"> е медикамент на първи избор при </w:t>
      </w:r>
      <w:r w:rsidRPr="00AE47C6">
        <w:rPr>
          <w:rFonts w:ascii="Times New Roman" w:eastAsia="SimSun" w:hAnsi="Times New Roman"/>
          <w:sz w:val="24"/>
          <w:szCs w:val="24"/>
        </w:rPr>
        <w:t xml:space="preserve">слаба до умерена ноцицептивна болка. </w:t>
      </w:r>
    </w:p>
    <w:p w14:paraId="592AC681" w14:textId="77777777" w:rsidR="00BE0B19" w:rsidRPr="00AE47C6" w:rsidRDefault="00BE0B19" w:rsidP="00BE0B19">
      <w:pPr>
        <w:overflowPunct w:val="0"/>
        <w:autoSpaceDE w:val="0"/>
        <w:autoSpaceDN w:val="0"/>
        <w:adjustRightInd w:val="0"/>
        <w:spacing w:after="0" w:line="360" w:lineRule="auto"/>
        <w:ind w:firstLine="709"/>
        <w:jc w:val="both"/>
        <w:textAlignment w:val="baseline"/>
        <w:rPr>
          <w:rFonts w:ascii="Times New Roman" w:eastAsia="SimSun" w:hAnsi="Times New Roman"/>
          <w:bCs/>
          <w:sz w:val="24"/>
          <w:szCs w:val="24"/>
        </w:rPr>
      </w:pPr>
      <w:r w:rsidRPr="00AE47C6">
        <w:rPr>
          <w:rFonts w:ascii="Times New Roman" w:eastAsia="SimSun" w:hAnsi="Times New Roman"/>
          <w:bCs/>
          <w:i/>
          <w:sz w:val="24"/>
          <w:szCs w:val="24"/>
        </w:rPr>
        <w:t>Tramadol hydrochloride</w:t>
      </w:r>
      <w:r w:rsidRPr="00AE47C6">
        <w:rPr>
          <w:rFonts w:ascii="Times New Roman" w:eastAsia="SimSun" w:hAnsi="Times New Roman"/>
          <w:b/>
          <w:bCs/>
          <w:i/>
          <w:sz w:val="24"/>
          <w:szCs w:val="24"/>
        </w:rPr>
        <w:t xml:space="preserve"> </w:t>
      </w:r>
      <w:r w:rsidRPr="00AE47C6">
        <w:rPr>
          <w:rFonts w:ascii="Times New Roman" w:eastAsia="SimSun" w:hAnsi="Times New Roman"/>
          <w:bCs/>
          <w:sz w:val="24"/>
          <w:szCs w:val="24"/>
        </w:rPr>
        <w:t xml:space="preserve">( 50 – 400 mg дневно) има директно опиоидно (µ-рецепторен агонист) и индиректно неопиоидно, моноаминергично действие, като потиска пресинаптично обратния захват на норадреналина и активира освобождаването на серотонин. Прилага се перорално в обикновени или таблетки с бавно освобождаване и е ефективен за лечение на невропатната болка. Страничните реакции са гадене, виене на свят и запек. Неговият аддиктивен потенциал е нисък, поради което е подходящ, когато се търси аналгетичен ефект. </w:t>
      </w:r>
    </w:p>
    <w:p w14:paraId="590E16A2" w14:textId="77777777" w:rsidR="00BE0B19" w:rsidRPr="00AE47C6" w:rsidRDefault="00BE0B19" w:rsidP="00BE0B19">
      <w:pPr>
        <w:overflowPunct w:val="0"/>
        <w:autoSpaceDE w:val="0"/>
        <w:autoSpaceDN w:val="0"/>
        <w:adjustRightInd w:val="0"/>
        <w:spacing w:after="0" w:line="360" w:lineRule="auto"/>
        <w:jc w:val="both"/>
        <w:textAlignment w:val="baseline"/>
        <w:rPr>
          <w:rFonts w:ascii="Times New Roman" w:eastAsia="SimSun" w:hAnsi="Times New Roman"/>
          <w:bCs/>
          <w:sz w:val="24"/>
          <w:szCs w:val="24"/>
        </w:rPr>
      </w:pPr>
      <w:r w:rsidRPr="00AE47C6">
        <w:rPr>
          <w:rFonts w:ascii="Times New Roman" w:eastAsia="SimSun" w:hAnsi="Times New Roman"/>
          <w:bCs/>
          <w:i/>
          <w:sz w:val="24"/>
          <w:szCs w:val="24"/>
        </w:rPr>
        <w:t xml:space="preserve">Комбинацията от </w:t>
      </w:r>
      <w:r w:rsidRPr="00AE47C6">
        <w:rPr>
          <w:rFonts w:ascii="Times New Roman" w:eastAsia="SimSun" w:hAnsi="Times New Roman"/>
          <w:i/>
          <w:sz w:val="24"/>
          <w:szCs w:val="24"/>
        </w:rPr>
        <w:t xml:space="preserve">Paracetamol (37,5 mg) и </w:t>
      </w:r>
      <w:r w:rsidRPr="00AE47C6">
        <w:rPr>
          <w:rFonts w:ascii="Times New Roman" w:eastAsia="SimSun" w:hAnsi="Times New Roman"/>
          <w:bCs/>
          <w:i/>
          <w:sz w:val="24"/>
          <w:szCs w:val="24"/>
        </w:rPr>
        <w:t>Tramadol hydrochloride (325 mg)</w:t>
      </w:r>
      <w:r w:rsidRPr="00AE47C6">
        <w:rPr>
          <w:rFonts w:ascii="Times New Roman" w:eastAsia="SimSun" w:hAnsi="Times New Roman"/>
          <w:b/>
          <w:bCs/>
          <w:i/>
          <w:sz w:val="24"/>
          <w:szCs w:val="24"/>
        </w:rPr>
        <w:t xml:space="preserve"> </w:t>
      </w:r>
      <w:r w:rsidRPr="00AE47C6">
        <w:rPr>
          <w:rFonts w:ascii="Times New Roman" w:eastAsia="SimSun" w:hAnsi="Times New Roman"/>
          <w:bCs/>
          <w:sz w:val="24"/>
          <w:szCs w:val="24"/>
        </w:rPr>
        <w:t xml:space="preserve">повлиява добре смесената (ноцицептивна и невропатна) болка при по-малко странични ефекти. </w:t>
      </w:r>
    </w:p>
    <w:p w14:paraId="0C87218B" w14:textId="77777777" w:rsidR="00BE0B19" w:rsidRPr="00AE47C6" w:rsidRDefault="00BE0B19" w:rsidP="00BE0B19">
      <w:pPr>
        <w:overflowPunct w:val="0"/>
        <w:autoSpaceDE w:val="0"/>
        <w:autoSpaceDN w:val="0"/>
        <w:adjustRightInd w:val="0"/>
        <w:spacing w:after="0" w:line="360" w:lineRule="auto"/>
        <w:jc w:val="both"/>
        <w:textAlignment w:val="baseline"/>
        <w:rPr>
          <w:rFonts w:ascii="Times New Roman" w:eastAsia="SimSun" w:hAnsi="Times New Roman"/>
          <w:bCs/>
          <w:sz w:val="24"/>
          <w:szCs w:val="24"/>
        </w:rPr>
      </w:pPr>
      <w:r w:rsidRPr="00AE47C6">
        <w:rPr>
          <w:rFonts w:ascii="Times New Roman" w:eastAsia="SimSun" w:hAnsi="Times New Roman"/>
          <w:b/>
          <w:sz w:val="24"/>
          <w:szCs w:val="24"/>
        </w:rPr>
        <w:t>Нестероидните противовъзпалителни средства</w:t>
      </w:r>
      <w:r w:rsidRPr="00AE47C6">
        <w:rPr>
          <w:rFonts w:ascii="Times New Roman" w:eastAsia="SimSun" w:hAnsi="Times New Roman"/>
          <w:b/>
          <w:bCs/>
          <w:sz w:val="24"/>
          <w:szCs w:val="24"/>
        </w:rPr>
        <w:t xml:space="preserve"> (НСПВС) </w:t>
      </w:r>
      <w:r w:rsidRPr="00AE47C6">
        <w:rPr>
          <w:rFonts w:ascii="Times New Roman" w:eastAsia="SimSun" w:hAnsi="Times New Roman"/>
          <w:bCs/>
          <w:sz w:val="24"/>
          <w:szCs w:val="24"/>
        </w:rPr>
        <w:t>се разделят на две големи групи: салицилови и несалицилови.</w:t>
      </w:r>
    </w:p>
    <w:p w14:paraId="371E790F"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bCs/>
          <w:sz w:val="24"/>
          <w:szCs w:val="24"/>
        </w:rPr>
      </w:pPr>
      <w:r w:rsidRPr="00AE47C6">
        <w:rPr>
          <w:rFonts w:ascii="Times New Roman" w:eastAsia="SimSun" w:hAnsi="Times New Roman"/>
          <w:bCs/>
          <w:i/>
          <w:sz w:val="24"/>
          <w:szCs w:val="24"/>
        </w:rPr>
        <w:t>Салициловите (Acetylsalicylic acid)</w:t>
      </w:r>
      <w:r w:rsidRPr="00AE47C6">
        <w:rPr>
          <w:rFonts w:ascii="Times New Roman" w:eastAsia="SimSun" w:hAnsi="Times New Roman"/>
          <w:b/>
          <w:bCs/>
          <w:sz w:val="24"/>
          <w:szCs w:val="24"/>
        </w:rPr>
        <w:t xml:space="preserve"> </w:t>
      </w:r>
      <w:r w:rsidRPr="00AE47C6">
        <w:rPr>
          <w:rFonts w:ascii="Times New Roman" w:eastAsia="SimSun" w:hAnsi="Times New Roman"/>
          <w:bCs/>
          <w:sz w:val="24"/>
          <w:szCs w:val="24"/>
        </w:rPr>
        <w:t>са най-старите медикаменти, предимно COX1 инхибитори.</w:t>
      </w:r>
    </w:p>
    <w:p w14:paraId="27170AB2"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bCs/>
          <w:sz w:val="24"/>
          <w:szCs w:val="24"/>
        </w:rPr>
      </w:pPr>
      <w:r w:rsidRPr="00AE47C6">
        <w:rPr>
          <w:rFonts w:ascii="Times New Roman" w:eastAsia="SimSun" w:hAnsi="Times New Roman"/>
          <w:bCs/>
          <w:i/>
          <w:sz w:val="24"/>
          <w:szCs w:val="24"/>
        </w:rPr>
        <w:t>Несалициловите НСПВС</w:t>
      </w:r>
      <w:r w:rsidRPr="00AE47C6">
        <w:rPr>
          <w:rFonts w:ascii="Times New Roman" w:eastAsia="SimSun" w:hAnsi="Times New Roman"/>
          <w:b/>
          <w:bCs/>
          <w:sz w:val="24"/>
          <w:szCs w:val="24"/>
        </w:rPr>
        <w:t xml:space="preserve"> </w:t>
      </w:r>
      <w:r w:rsidRPr="00AE47C6">
        <w:rPr>
          <w:rFonts w:ascii="Times New Roman" w:eastAsia="SimSun" w:hAnsi="Times New Roman"/>
          <w:bCs/>
          <w:sz w:val="24"/>
          <w:szCs w:val="24"/>
        </w:rPr>
        <w:t xml:space="preserve">се подразделят на три групи: специфични, селективни и неселективни СОХ-2 инхибитори. Селективните инхибитори въздействат предимно, но не изключително върху СОХ-2. Специфичните и селективни СОХ-2 имат 3 пъти по-малко гастроинтестинални странични ефекти. Дълготрайната употреба на тази група медикаменти не се препоръчва поради повишен риск от инфаркт на миокарда и хипертония. Повечето НСПВС потискат неспецифично както СОХ-1, така и СОХ-2. </w:t>
      </w:r>
    </w:p>
    <w:p w14:paraId="3A0204C3"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bCs/>
          <w:sz w:val="24"/>
          <w:szCs w:val="24"/>
        </w:rPr>
      </w:pPr>
      <w:r w:rsidRPr="00AE47C6">
        <w:rPr>
          <w:rFonts w:ascii="Times New Roman" w:eastAsia="SimSun" w:hAnsi="Times New Roman"/>
          <w:bCs/>
          <w:sz w:val="24"/>
          <w:szCs w:val="24"/>
        </w:rPr>
        <w:t>Ограничение при използването на НСПВС е „ефекта на тавана”, тоест повишаването на дозата над определено ниво не води до допълнителна аналгезия. Страничните ефекти на НСПВС от страна на гастро-интестиналния тракт, тромбоцитната агрегация и бъбреците са свързани с потискането на синтезата на простагландините. Те са сходни при различните НСПВС и са дозозависими.</w:t>
      </w:r>
    </w:p>
    <w:p w14:paraId="7A7D8C38"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НСПВС се категоризират според своя химичен клас или според своя полуживот. Различните медикаменти се различават повече по своята фармакокинетика, отколкото по фармакодинамиката. Те се подразделят на такива с къс елиминационен полуживот (ibuprofen), които се дозират 3-4 пъти дневно, с по-дълъг полуживот (naproxen), които се дозират 2 пъти дневно и такива с дълъг полуживот (piroxicam), които се дозират еднократно дневно. Изборът на медикамент се базира на принципа на опита и грешката. </w:t>
      </w:r>
    </w:p>
    <w:p w14:paraId="3D794950"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Според химичния клас се различават няколко основни групи. Групата на пропионовата киселина включва няколко отдавна наложени НСПВС. </w:t>
      </w:r>
      <w:r w:rsidRPr="00AE47C6">
        <w:rPr>
          <w:rFonts w:ascii="Times New Roman" w:eastAsia="SimSun" w:hAnsi="Times New Roman"/>
          <w:bCs/>
          <w:i/>
          <w:sz w:val="24"/>
          <w:szCs w:val="24"/>
        </w:rPr>
        <w:t>Ibuprofen</w:t>
      </w:r>
      <w:r w:rsidRPr="00AE47C6">
        <w:rPr>
          <w:rFonts w:ascii="Times New Roman" w:eastAsia="SimSun" w:hAnsi="Times New Roman"/>
          <w:bCs/>
          <w:sz w:val="24"/>
          <w:szCs w:val="24"/>
        </w:rPr>
        <w:t xml:space="preserve"> се приема в дневна доза от 1200 до 2400 mg, разделена на 4 приема. </w:t>
      </w:r>
      <w:r w:rsidRPr="00AE47C6">
        <w:rPr>
          <w:rFonts w:ascii="Times New Roman" w:eastAsia="SimSun" w:hAnsi="Times New Roman"/>
          <w:bCs/>
          <w:i/>
          <w:sz w:val="24"/>
          <w:szCs w:val="24"/>
        </w:rPr>
        <w:t>Naproxen</w:t>
      </w:r>
      <w:r w:rsidRPr="00AE47C6">
        <w:rPr>
          <w:rFonts w:ascii="Times New Roman" w:eastAsia="SimSun" w:hAnsi="Times New Roman"/>
          <w:bCs/>
          <w:sz w:val="24"/>
          <w:szCs w:val="24"/>
        </w:rPr>
        <w:t xml:space="preserve"> има по-дълъг полуживот, поради което се приема 2 пъти дневно по 500 mg. Натриевата сол се абсорбира по-бързо от гастроинтестиналния тракт. </w:t>
      </w:r>
      <w:r w:rsidRPr="00AE47C6">
        <w:rPr>
          <w:rFonts w:ascii="Times New Roman" w:eastAsia="SimSun" w:hAnsi="Times New Roman"/>
          <w:bCs/>
          <w:i/>
          <w:sz w:val="24"/>
          <w:szCs w:val="24"/>
        </w:rPr>
        <w:t>Ketoprofen</w:t>
      </w:r>
      <w:r w:rsidRPr="00AE47C6">
        <w:rPr>
          <w:rFonts w:ascii="Times New Roman" w:eastAsia="SimSun" w:hAnsi="Times New Roman"/>
          <w:bCs/>
          <w:sz w:val="24"/>
          <w:szCs w:val="24"/>
        </w:rPr>
        <w:t xml:space="preserve"> и </w:t>
      </w:r>
      <w:r w:rsidRPr="00AE47C6">
        <w:rPr>
          <w:rFonts w:ascii="Times New Roman" w:eastAsia="SimSun" w:hAnsi="Times New Roman"/>
          <w:bCs/>
          <w:i/>
          <w:sz w:val="24"/>
          <w:szCs w:val="24"/>
        </w:rPr>
        <w:t>Diclofenac</w:t>
      </w:r>
      <w:r w:rsidRPr="00AE47C6">
        <w:rPr>
          <w:rFonts w:ascii="Times New Roman" w:eastAsia="SimSun" w:hAnsi="Times New Roman"/>
          <w:bCs/>
          <w:sz w:val="24"/>
          <w:szCs w:val="24"/>
        </w:rPr>
        <w:t xml:space="preserve"> се приемат 3 пъти дневно по 75 mg. Etodolac е нов медикамент от тази група. Групата на индолоцетната киселина включва </w:t>
      </w:r>
      <w:r w:rsidRPr="00AE47C6">
        <w:rPr>
          <w:rFonts w:ascii="Times New Roman" w:eastAsia="SimSun" w:hAnsi="Times New Roman"/>
          <w:bCs/>
          <w:i/>
          <w:sz w:val="24"/>
          <w:szCs w:val="24"/>
        </w:rPr>
        <w:t>Indomethacin</w:t>
      </w:r>
      <w:r w:rsidRPr="00AE47C6">
        <w:rPr>
          <w:rFonts w:ascii="Times New Roman" w:eastAsia="SimSun" w:hAnsi="Times New Roman"/>
          <w:bCs/>
          <w:sz w:val="24"/>
          <w:szCs w:val="24"/>
        </w:rPr>
        <w:t xml:space="preserve"> (200 mg дневно на 4 приема) и </w:t>
      </w:r>
      <w:r w:rsidRPr="00AE47C6">
        <w:rPr>
          <w:rFonts w:ascii="Times New Roman" w:eastAsia="SimSun" w:hAnsi="Times New Roman"/>
          <w:bCs/>
          <w:i/>
          <w:sz w:val="24"/>
          <w:szCs w:val="24"/>
        </w:rPr>
        <w:t>Sulindac</w:t>
      </w:r>
      <w:r w:rsidRPr="00AE47C6">
        <w:rPr>
          <w:rFonts w:ascii="Times New Roman" w:eastAsia="SimSun" w:hAnsi="Times New Roman"/>
          <w:bCs/>
          <w:sz w:val="24"/>
          <w:szCs w:val="24"/>
        </w:rPr>
        <w:t xml:space="preserve"> (300 mg дневно на 2 приема). Основен представител в групата на оксикамите е </w:t>
      </w:r>
      <w:r w:rsidRPr="00AE47C6">
        <w:rPr>
          <w:rFonts w:ascii="Times New Roman" w:eastAsia="SimSun" w:hAnsi="Times New Roman"/>
          <w:bCs/>
          <w:i/>
          <w:sz w:val="24"/>
          <w:szCs w:val="24"/>
        </w:rPr>
        <w:t>Piroxicam</w:t>
      </w:r>
      <w:r w:rsidRPr="00AE47C6">
        <w:rPr>
          <w:rFonts w:ascii="Times New Roman" w:eastAsia="SimSun" w:hAnsi="Times New Roman"/>
          <w:bCs/>
          <w:sz w:val="24"/>
          <w:szCs w:val="24"/>
        </w:rPr>
        <w:t xml:space="preserve">. Медикаментът има дълъг полуживот (до 60 часа), който позволява еднократен дневен прием от 20 mg, но изразена гастротоксичност. Групата на фенаминовата киселина включва основно </w:t>
      </w:r>
      <w:r w:rsidRPr="00AE47C6">
        <w:rPr>
          <w:rFonts w:ascii="Times New Roman" w:eastAsia="SimSun" w:hAnsi="Times New Roman"/>
          <w:bCs/>
          <w:i/>
          <w:sz w:val="24"/>
          <w:szCs w:val="24"/>
        </w:rPr>
        <w:t>Meclofenamate</w:t>
      </w:r>
      <w:r w:rsidRPr="00AE47C6">
        <w:rPr>
          <w:rFonts w:ascii="Times New Roman" w:eastAsia="SimSun" w:hAnsi="Times New Roman"/>
          <w:bCs/>
          <w:sz w:val="24"/>
          <w:szCs w:val="24"/>
        </w:rPr>
        <w:t xml:space="preserve"> (400 mg дневно). Производният на фенилоцетната киселина </w:t>
      </w:r>
      <w:r w:rsidRPr="00AE47C6">
        <w:rPr>
          <w:rFonts w:ascii="Times New Roman" w:eastAsia="SimSun" w:hAnsi="Times New Roman"/>
          <w:bCs/>
          <w:i/>
          <w:sz w:val="24"/>
          <w:szCs w:val="24"/>
        </w:rPr>
        <w:t>Aceclofenac</w:t>
      </w:r>
      <w:r w:rsidRPr="00AE47C6">
        <w:rPr>
          <w:rFonts w:ascii="Times New Roman" w:eastAsia="SimSun" w:hAnsi="Times New Roman"/>
          <w:bCs/>
          <w:sz w:val="24"/>
          <w:szCs w:val="24"/>
        </w:rPr>
        <w:t xml:space="preserve"> (200 mg дневно на 2 приема) е селективен СОХ-2 инхибитор с бързо начало на действие, продължителен ефект и по-добър профил на безопасност по отношение на гастроинтестиналните странични ефекти. </w:t>
      </w:r>
    </w:p>
    <w:p w14:paraId="70FE5D6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Използването на НСПВС се ограничава до 10 дни в минимални ефективни дози, предвид на сериозните странични ефекти от гастро-интестиналния тракт. Както селективните, така и неселективните COX-2 инхибитори повишават риска от остър миокарден инфаркт, но степента на риска варира между различните НСПВС. Почти всички прилагани в клиничната практика НСПВС, освен naproxen, водят до повишен риск от остър миокарден инфаркт. Потискането на тромбоцитната агрегация е важен страничен ефект, като се има предвид, че голяма част от пациентите са във възраст, която налага използване на антиагреганти за профилактика на мозъчносъдова болест. Това налага предпазливост при започване на лечение с НСПВС, които потискат тромбоцитната агрегация и удължават времето на кървене. Някои НСПВС намаляват антиагрегантните свойства на Acetylsalicylic acid, конкурирайки се директно за мястото на свързване на тромбоцитите с COX-1. При пациенти, които се налага да приемат едновременно антиагреганти и НСПВС се предпочита приема на clopidogrel пред Acetylsalicylic acid.</w:t>
      </w:r>
    </w:p>
    <w:p w14:paraId="6951FC0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НСПВС потискат ефекта на антихипертензивните медикаменти, което може да доведе до повишаване на кръвното налягане. Този ефект е по-силно изразен при пациенти на лечение с инхибитори на ангиотензин конвертиращия ензим (ACEI) или ангиотензин рецепторни блокери (ARB). По-слаб е ефекта при пациенти лекувани с блокери на калциевите канали. Може да се наложи корекция на антихипертензивната терапия.</w:t>
      </w:r>
    </w:p>
    <w:p w14:paraId="093D863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НСПВС влошават бъбречните и чернодробни функции, което трябва да се има предвид при възрастни и пациенти с рискови фактори, като диабет и артериална хипертония или с нарушени бъбречни и чернодробни функции.</w:t>
      </w:r>
    </w:p>
    <w:p w14:paraId="185282E9" w14:textId="77777777" w:rsidR="00BE0B19" w:rsidRPr="00AE47C6" w:rsidRDefault="00BE0B19" w:rsidP="00BE0B19">
      <w:pPr>
        <w:overflowPunct w:val="0"/>
        <w:autoSpaceDE w:val="0"/>
        <w:autoSpaceDN w:val="0"/>
        <w:adjustRightInd w:val="0"/>
        <w:spacing w:after="0" w:line="360" w:lineRule="auto"/>
        <w:jc w:val="both"/>
        <w:textAlignment w:val="baseline"/>
        <w:rPr>
          <w:rFonts w:ascii="Times New Roman" w:eastAsia="SimSun" w:hAnsi="Times New Roman"/>
          <w:b/>
          <w:sz w:val="24"/>
          <w:szCs w:val="24"/>
        </w:rPr>
      </w:pPr>
      <w:r w:rsidRPr="00AE47C6">
        <w:rPr>
          <w:rFonts w:ascii="Times New Roman" w:eastAsia="SimSun" w:hAnsi="Times New Roman"/>
          <w:b/>
          <w:sz w:val="24"/>
          <w:szCs w:val="24"/>
        </w:rPr>
        <w:t xml:space="preserve">При пациенти с анамнеза за гастро-интестинални нарушения: </w:t>
      </w:r>
    </w:p>
    <w:p w14:paraId="3074EE73" w14:textId="77777777" w:rsidR="00BE0B19" w:rsidRPr="00AE47C6" w:rsidRDefault="00BE0B19" w:rsidP="00BE0B19">
      <w:pPr>
        <w:numPr>
          <w:ilvl w:val="0"/>
          <w:numId w:val="134"/>
        </w:numPr>
        <w:tabs>
          <w:tab w:val="clear" w:pos="1211"/>
          <w:tab w:val="num" w:pos="360"/>
        </w:tabs>
        <w:suppressAutoHyphens/>
        <w:spacing w:after="0" w:line="360" w:lineRule="auto"/>
        <w:ind w:left="720" w:firstLine="720"/>
        <w:jc w:val="both"/>
        <w:rPr>
          <w:rFonts w:ascii="Times New Roman" w:eastAsia="SimSun" w:hAnsi="Times New Roman"/>
          <w:sz w:val="24"/>
          <w:szCs w:val="24"/>
        </w:rPr>
      </w:pPr>
      <w:r w:rsidRPr="00AE47C6">
        <w:rPr>
          <w:rFonts w:ascii="Times New Roman" w:eastAsia="SimSun" w:hAnsi="Times New Roman"/>
          <w:b/>
          <w:sz w:val="24"/>
          <w:szCs w:val="24"/>
        </w:rPr>
        <w:t>Медикаменти на първи избор са</w:t>
      </w:r>
      <w:r w:rsidRPr="00AE47C6">
        <w:rPr>
          <w:rFonts w:ascii="Times New Roman" w:eastAsia="SimSun" w:hAnsi="Times New Roman"/>
          <w:b/>
          <w:i/>
          <w:sz w:val="24"/>
          <w:szCs w:val="24"/>
        </w:rPr>
        <w:t xml:space="preserve"> специфичните </w:t>
      </w:r>
      <w:r w:rsidRPr="00AE47C6">
        <w:rPr>
          <w:rFonts w:ascii="Times New Roman" w:eastAsia="SimSun" w:hAnsi="Times New Roman"/>
          <w:b/>
          <w:sz w:val="24"/>
          <w:szCs w:val="24"/>
        </w:rPr>
        <w:t>и</w:t>
      </w:r>
      <w:r w:rsidRPr="00AE47C6">
        <w:rPr>
          <w:rFonts w:ascii="Times New Roman" w:eastAsia="SimSun" w:hAnsi="Times New Roman"/>
          <w:b/>
          <w:i/>
          <w:sz w:val="24"/>
          <w:szCs w:val="24"/>
        </w:rPr>
        <w:t xml:space="preserve"> селективните НСПВС.</w:t>
      </w:r>
    </w:p>
    <w:p w14:paraId="10EC8866" w14:textId="77777777" w:rsidR="00BE0B19" w:rsidRPr="00AE47C6" w:rsidRDefault="00BE0B19" w:rsidP="00BE0B19">
      <w:pPr>
        <w:numPr>
          <w:ilvl w:val="0"/>
          <w:numId w:val="134"/>
        </w:numPr>
        <w:tabs>
          <w:tab w:val="clear" w:pos="1211"/>
          <w:tab w:val="num" w:pos="360"/>
          <w:tab w:val="left" w:pos="1440"/>
        </w:tabs>
        <w:suppressAutoHyphens/>
        <w:spacing w:after="0" w:line="360" w:lineRule="auto"/>
        <w:ind w:left="1440" w:firstLine="720"/>
        <w:jc w:val="both"/>
        <w:rPr>
          <w:rFonts w:ascii="Times New Roman" w:eastAsia="SimSun" w:hAnsi="Times New Roman"/>
          <w:sz w:val="24"/>
          <w:szCs w:val="24"/>
        </w:rPr>
      </w:pPr>
      <w:r w:rsidRPr="00AE47C6">
        <w:rPr>
          <w:rFonts w:ascii="Times New Roman" w:eastAsia="SimSun" w:hAnsi="Times New Roman"/>
          <w:i/>
          <w:sz w:val="24"/>
          <w:szCs w:val="24"/>
        </w:rPr>
        <w:t xml:space="preserve">Rofecoxib </w:t>
      </w:r>
      <w:r w:rsidRPr="00AE47C6">
        <w:rPr>
          <w:rFonts w:ascii="Times New Roman" w:eastAsia="SimSun" w:hAnsi="Times New Roman"/>
          <w:sz w:val="24"/>
          <w:szCs w:val="24"/>
        </w:rPr>
        <w:t>в доза 25 – 50 mg дневно</w:t>
      </w:r>
    </w:p>
    <w:p w14:paraId="5D3963A1" w14:textId="77777777" w:rsidR="00BE0B19" w:rsidRPr="00AE47C6" w:rsidRDefault="00BE0B19" w:rsidP="00BE0B19">
      <w:pPr>
        <w:numPr>
          <w:ilvl w:val="0"/>
          <w:numId w:val="134"/>
        </w:numPr>
        <w:tabs>
          <w:tab w:val="clear" w:pos="1211"/>
          <w:tab w:val="num" w:pos="360"/>
          <w:tab w:val="left" w:pos="1440"/>
        </w:tabs>
        <w:suppressAutoHyphens/>
        <w:spacing w:after="0" w:line="360" w:lineRule="auto"/>
        <w:ind w:left="1440" w:firstLine="720"/>
        <w:jc w:val="both"/>
        <w:rPr>
          <w:rFonts w:ascii="Times New Roman" w:eastAsia="SimSun" w:hAnsi="Times New Roman"/>
          <w:sz w:val="24"/>
          <w:szCs w:val="24"/>
        </w:rPr>
      </w:pPr>
      <w:r w:rsidRPr="00AE47C6">
        <w:rPr>
          <w:rFonts w:ascii="Times New Roman" w:eastAsia="SimSun" w:hAnsi="Times New Roman"/>
          <w:i/>
          <w:sz w:val="24"/>
          <w:szCs w:val="24"/>
        </w:rPr>
        <w:t xml:space="preserve">Celecoxib </w:t>
      </w:r>
      <w:r w:rsidRPr="00AE47C6">
        <w:rPr>
          <w:rFonts w:ascii="Times New Roman" w:eastAsia="SimSun" w:hAnsi="Times New Roman"/>
          <w:sz w:val="24"/>
          <w:szCs w:val="24"/>
        </w:rPr>
        <w:t>в доза 200 – 400 mg дневно</w:t>
      </w:r>
    </w:p>
    <w:p w14:paraId="7DB008A0" w14:textId="77777777" w:rsidR="00BE0B19" w:rsidRPr="00AE47C6" w:rsidRDefault="00BE0B19" w:rsidP="00BE0B19">
      <w:pPr>
        <w:numPr>
          <w:ilvl w:val="0"/>
          <w:numId w:val="134"/>
        </w:numPr>
        <w:tabs>
          <w:tab w:val="clear" w:pos="1211"/>
          <w:tab w:val="num" w:pos="360"/>
          <w:tab w:val="left" w:pos="1440"/>
        </w:tabs>
        <w:suppressAutoHyphens/>
        <w:spacing w:after="0" w:line="360" w:lineRule="auto"/>
        <w:ind w:left="1440" w:firstLine="720"/>
        <w:jc w:val="both"/>
        <w:rPr>
          <w:rFonts w:ascii="Times New Roman" w:eastAsia="SimSun" w:hAnsi="Times New Roman"/>
          <w:sz w:val="24"/>
          <w:szCs w:val="24"/>
        </w:rPr>
      </w:pPr>
      <w:r w:rsidRPr="00AE47C6">
        <w:rPr>
          <w:rFonts w:ascii="Times New Roman" w:eastAsia="SimSun" w:hAnsi="Times New Roman"/>
          <w:bCs/>
          <w:i/>
          <w:sz w:val="24"/>
          <w:szCs w:val="24"/>
        </w:rPr>
        <w:t xml:space="preserve">Parecoxib </w:t>
      </w:r>
      <w:r w:rsidRPr="00AE47C6">
        <w:rPr>
          <w:rFonts w:ascii="Times New Roman" w:eastAsia="SimSun" w:hAnsi="Times New Roman"/>
          <w:bCs/>
          <w:sz w:val="24"/>
          <w:szCs w:val="24"/>
        </w:rPr>
        <w:t>20 mg дневно</w:t>
      </w:r>
    </w:p>
    <w:p w14:paraId="6547ECF7" w14:textId="77777777" w:rsidR="00BE0B19" w:rsidRPr="00AE47C6" w:rsidRDefault="00BE0B19" w:rsidP="00BE0B19">
      <w:pPr>
        <w:numPr>
          <w:ilvl w:val="0"/>
          <w:numId w:val="134"/>
        </w:numPr>
        <w:tabs>
          <w:tab w:val="clear" w:pos="1211"/>
          <w:tab w:val="num" w:pos="360"/>
          <w:tab w:val="left" w:pos="1440"/>
        </w:tabs>
        <w:suppressAutoHyphens/>
        <w:spacing w:after="0" w:line="360" w:lineRule="auto"/>
        <w:ind w:left="1440" w:firstLine="720"/>
        <w:jc w:val="both"/>
        <w:rPr>
          <w:rFonts w:ascii="Times New Roman" w:eastAsia="SimSun" w:hAnsi="Times New Roman"/>
          <w:sz w:val="24"/>
          <w:szCs w:val="24"/>
        </w:rPr>
      </w:pPr>
      <w:r w:rsidRPr="00AE47C6">
        <w:rPr>
          <w:rFonts w:ascii="Times New Roman" w:eastAsia="SimSun" w:hAnsi="Times New Roman"/>
          <w:i/>
          <w:sz w:val="24"/>
          <w:szCs w:val="24"/>
        </w:rPr>
        <w:t xml:space="preserve">Etoricoxib </w:t>
      </w:r>
      <w:r w:rsidRPr="00AE47C6">
        <w:rPr>
          <w:rFonts w:ascii="Times New Roman" w:eastAsia="SimSun" w:hAnsi="Times New Roman"/>
          <w:sz w:val="24"/>
          <w:szCs w:val="24"/>
        </w:rPr>
        <w:t>30 – 60 mg дневно</w:t>
      </w:r>
    </w:p>
    <w:p w14:paraId="135AAFE7" w14:textId="77777777" w:rsidR="00BE0B19" w:rsidRPr="00AE47C6" w:rsidRDefault="00BE0B19" w:rsidP="00BE0B19">
      <w:pPr>
        <w:numPr>
          <w:ilvl w:val="0"/>
          <w:numId w:val="134"/>
        </w:numPr>
        <w:tabs>
          <w:tab w:val="clear" w:pos="1211"/>
          <w:tab w:val="num" w:pos="360"/>
          <w:tab w:val="left" w:pos="1440"/>
        </w:tabs>
        <w:suppressAutoHyphens/>
        <w:spacing w:after="0" w:line="360" w:lineRule="auto"/>
        <w:ind w:left="1440" w:firstLine="720"/>
        <w:jc w:val="both"/>
        <w:rPr>
          <w:rFonts w:ascii="Times New Roman" w:eastAsia="SimSun" w:hAnsi="Times New Roman"/>
          <w:sz w:val="24"/>
          <w:szCs w:val="24"/>
        </w:rPr>
      </w:pPr>
      <w:r w:rsidRPr="00AE47C6">
        <w:rPr>
          <w:rFonts w:ascii="Times New Roman" w:eastAsia="SimSun" w:hAnsi="Times New Roman"/>
          <w:bCs/>
          <w:i/>
          <w:sz w:val="24"/>
          <w:szCs w:val="24"/>
        </w:rPr>
        <w:t xml:space="preserve">Aceclofenac </w:t>
      </w:r>
      <w:r w:rsidRPr="00AE47C6">
        <w:rPr>
          <w:rFonts w:ascii="Times New Roman" w:eastAsia="SimSun" w:hAnsi="Times New Roman"/>
          <w:bCs/>
          <w:sz w:val="24"/>
          <w:szCs w:val="24"/>
        </w:rPr>
        <w:t xml:space="preserve">200 mg дневно </w:t>
      </w:r>
    </w:p>
    <w:p w14:paraId="191AE12D" w14:textId="77777777" w:rsidR="00BE0B19" w:rsidRPr="00AE47C6" w:rsidRDefault="00BE0B19" w:rsidP="00BE0B19">
      <w:pPr>
        <w:numPr>
          <w:ilvl w:val="0"/>
          <w:numId w:val="134"/>
        </w:numPr>
        <w:tabs>
          <w:tab w:val="clear" w:pos="1211"/>
          <w:tab w:val="num" w:pos="360"/>
          <w:tab w:val="left" w:pos="1440"/>
        </w:tabs>
        <w:suppressAutoHyphens/>
        <w:spacing w:after="0" w:line="360" w:lineRule="auto"/>
        <w:ind w:left="1440" w:firstLine="720"/>
        <w:jc w:val="both"/>
        <w:rPr>
          <w:rFonts w:ascii="Times New Roman" w:eastAsia="SimSun" w:hAnsi="Times New Roman"/>
          <w:i/>
          <w:sz w:val="24"/>
          <w:szCs w:val="24"/>
        </w:rPr>
      </w:pPr>
      <w:r w:rsidRPr="00AE47C6">
        <w:rPr>
          <w:rFonts w:ascii="Times New Roman" w:eastAsia="SimSun" w:hAnsi="Times New Roman"/>
          <w:i/>
          <w:sz w:val="24"/>
          <w:szCs w:val="24"/>
        </w:rPr>
        <w:t xml:space="preserve">Meloxicam </w:t>
      </w:r>
      <w:r w:rsidRPr="00AE47C6">
        <w:rPr>
          <w:rFonts w:ascii="Times New Roman" w:eastAsia="SimSun" w:hAnsi="Times New Roman"/>
          <w:sz w:val="24"/>
          <w:szCs w:val="24"/>
        </w:rPr>
        <w:t>в доза 7,5 – 15 mg дневно</w:t>
      </w:r>
    </w:p>
    <w:p w14:paraId="373D2DED" w14:textId="77777777" w:rsidR="00BE0B19" w:rsidRPr="00AE47C6" w:rsidRDefault="00BE0B19" w:rsidP="00BE0B19">
      <w:pPr>
        <w:numPr>
          <w:ilvl w:val="0"/>
          <w:numId w:val="134"/>
        </w:numPr>
        <w:tabs>
          <w:tab w:val="clear" w:pos="1211"/>
          <w:tab w:val="num" w:pos="360"/>
          <w:tab w:val="left" w:pos="1440"/>
        </w:tabs>
        <w:suppressAutoHyphens/>
        <w:spacing w:after="0" w:line="360" w:lineRule="auto"/>
        <w:ind w:left="1440" w:firstLine="720"/>
        <w:jc w:val="both"/>
        <w:rPr>
          <w:rFonts w:ascii="Times New Roman" w:eastAsia="SimSun" w:hAnsi="Times New Roman"/>
          <w:i/>
          <w:sz w:val="24"/>
          <w:szCs w:val="24"/>
        </w:rPr>
      </w:pPr>
      <w:r w:rsidRPr="00AE47C6">
        <w:rPr>
          <w:rFonts w:ascii="Times New Roman" w:eastAsia="SimSun" w:hAnsi="Times New Roman"/>
          <w:i/>
          <w:sz w:val="24"/>
          <w:szCs w:val="24"/>
        </w:rPr>
        <w:t xml:space="preserve">Nimesulide </w:t>
      </w:r>
      <w:r w:rsidRPr="00AE47C6">
        <w:rPr>
          <w:rFonts w:ascii="Times New Roman" w:eastAsia="SimSun" w:hAnsi="Times New Roman"/>
          <w:sz w:val="24"/>
          <w:szCs w:val="24"/>
        </w:rPr>
        <w:t>в доза 100 – 200 mg дневно</w:t>
      </w:r>
    </w:p>
    <w:p w14:paraId="4117A7E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Селективното потискане на COX-2 въпреки че намалява гастроинтестиналните странични ефекти, е свързано с повишен риск от атеротромботични съдови усложнения.</w:t>
      </w:r>
    </w:p>
    <w:p w14:paraId="439020DB" w14:textId="77777777" w:rsidR="00BE0B19" w:rsidRPr="00AE47C6" w:rsidRDefault="00BE0B19" w:rsidP="00BE0B19">
      <w:pPr>
        <w:numPr>
          <w:ilvl w:val="0"/>
          <w:numId w:val="134"/>
        </w:numPr>
        <w:tabs>
          <w:tab w:val="clear" w:pos="1211"/>
          <w:tab w:val="left" w:pos="1080"/>
          <w:tab w:val="num" w:pos="1803"/>
          <w:tab w:val="left" w:pos="8931"/>
        </w:tabs>
        <w:suppressAutoHyphens/>
        <w:spacing w:after="0" w:line="360" w:lineRule="auto"/>
        <w:ind w:left="720" w:firstLine="720"/>
        <w:jc w:val="both"/>
        <w:rPr>
          <w:rFonts w:ascii="Times New Roman" w:eastAsia="SimSun" w:hAnsi="Times New Roman"/>
          <w:sz w:val="24"/>
          <w:szCs w:val="24"/>
        </w:rPr>
      </w:pPr>
      <w:r w:rsidRPr="00AE47C6">
        <w:rPr>
          <w:rFonts w:ascii="Times New Roman" w:eastAsia="SimSun" w:hAnsi="Times New Roman"/>
          <w:b/>
          <w:sz w:val="24"/>
          <w:szCs w:val="24"/>
        </w:rPr>
        <w:t>Медикаменти на втори избор са</w:t>
      </w:r>
      <w:r w:rsidRPr="00AE47C6">
        <w:rPr>
          <w:rFonts w:ascii="Times New Roman" w:eastAsia="SimSun" w:hAnsi="Times New Roman"/>
          <w:b/>
          <w:i/>
          <w:sz w:val="24"/>
          <w:szCs w:val="24"/>
        </w:rPr>
        <w:t xml:space="preserve"> неселективните НСПВС</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Противовъзпалителното и аналгетично им действие са по-силно изразени, отколкото при специфичните и селективни НСПВС. Прилагането им под формата на супозитории или като интрамускулни (интравенозни) апликации намалява слабо страничните ефекти. </w:t>
      </w:r>
    </w:p>
    <w:p w14:paraId="0B493B4B" w14:textId="77777777" w:rsidR="00BE0B19" w:rsidRPr="00AE47C6" w:rsidRDefault="00BE0B19" w:rsidP="00BE0B19">
      <w:pPr>
        <w:overflowPunct w:val="0"/>
        <w:autoSpaceDE w:val="0"/>
        <w:autoSpaceDN w:val="0"/>
        <w:adjustRightInd w:val="0"/>
        <w:spacing w:after="0" w:line="360" w:lineRule="auto"/>
        <w:jc w:val="both"/>
        <w:textAlignment w:val="baseline"/>
        <w:rPr>
          <w:rFonts w:ascii="Times New Roman" w:eastAsia="SimSun" w:hAnsi="Times New Roman"/>
          <w:b/>
          <w:sz w:val="24"/>
          <w:szCs w:val="24"/>
        </w:rPr>
      </w:pPr>
      <w:r w:rsidRPr="00AE47C6">
        <w:rPr>
          <w:rFonts w:ascii="Times New Roman" w:eastAsia="SimSun" w:hAnsi="Times New Roman"/>
          <w:b/>
          <w:sz w:val="24"/>
          <w:szCs w:val="24"/>
        </w:rPr>
        <w:t xml:space="preserve">При пациенти без анамнеза за гастро-интестинални нарушения: </w:t>
      </w:r>
    </w:p>
    <w:p w14:paraId="13745589" w14:textId="77777777" w:rsidR="00BE0B19" w:rsidRPr="00AE47C6" w:rsidRDefault="00BE0B19" w:rsidP="00BE0B19">
      <w:pPr>
        <w:numPr>
          <w:ilvl w:val="0"/>
          <w:numId w:val="326"/>
        </w:numPr>
        <w:suppressAutoHyphens/>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 xml:space="preserve">Медикаменти на първи избор са неселективните НСПВС. </w:t>
      </w:r>
      <w:r w:rsidRPr="00AE47C6">
        <w:rPr>
          <w:rFonts w:ascii="Times New Roman" w:eastAsia="SimSun" w:hAnsi="Times New Roman"/>
          <w:sz w:val="24"/>
          <w:szCs w:val="24"/>
        </w:rPr>
        <w:t>Тази група включва множество медикаменти. Най-често използваните са:</w:t>
      </w:r>
    </w:p>
    <w:p w14:paraId="71021F77" w14:textId="77777777" w:rsidR="00BE0B19" w:rsidRPr="00AE47C6" w:rsidRDefault="00BE0B19" w:rsidP="00BE0B19">
      <w:pPr>
        <w:numPr>
          <w:ilvl w:val="0"/>
          <w:numId w:val="134"/>
        </w:numPr>
        <w:tabs>
          <w:tab w:val="clear" w:pos="1211"/>
          <w:tab w:val="num" w:pos="360"/>
          <w:tab w:val="left" w:pos="1440"/>
        </w:tabs>
        <w:suppressAutoHyphens/>
        <w:spacing w:after="0" w:line="360" w:lineRule="auto"/>
        <w:ind w:left="1077" w:firstLine="720"/>
        <w:jc w:val="both"/>
        <w:rPr>
          <w:rFonts w:ascii="Times New Roman" w:eastAsia="SimSun" w:hAnsi="Times New Roman"/>
          <w:sz w:val="24"/>
          <w:szCs w:val="24"/>
        </w:rPr>
      </w:pPr>
      <w:r w:rsidRPr="00AE47C6">
        <w:rPr>
          <w:rFonts w:ascii="Times New Roman" w:eastAsia="SimSun" w:hAnsi="Times New Roman"/>
          <w:i/>
          <w:sz w:val="24"/>
          <w:szCs w:val="24"/>
        </w:rPr>
        <w:t xml:space="preserve">Ketoprofen </w:t>
      </w:r>
      <w:r w:rsidRPr="00AE47C6">
        <w:rPr>
          <w:rFonts w:ascii="Times New Roman" w:eastAsia="SimSun" w:hAnsi="Times New Roman"/>
          <w:sz w:val="24"/>
          <w:szCs w:val="24"/>
        </w:rPr>
        <w:t xml:space="preserve">в доза 200 – 300 mg дневно има силно аналгетично и противовъзпалително действие и преминава лесно кръвно-ликворната бариера. Още по-бързо и силно действие имат формите за интрамускулно и интравенозно приложение. </w:t>
      </w:r>
    </w:p>
    <w:p w14:paraId="797E08FF" w14:textId="77777777" w:rsidR="00BE0B19" w:rsidRPr="00AE47C6" w:rsidRDefault="00BE0B19" w:rsidP="00BE0B19">
      <w:pPr>
        <w:numPr>
          <w:ilvl w:val="0"/>
          <w:numId w:val="134"/>
        </w:numPr>
        <w:tabs>
          <w:tab w:val="clear" w:pos="1211"/>
          <w:tab w:val="num" w:pos="360"/>
          <w:tab w:val="left" w:pos="1440"/>
        </w:tabs>
        <w:suppressAutoHyphens/>
        <w:spacing w:after="0" w:line="360" w:lineRule="auto"/>
        <w:ind w:left="1077" w:firstLine="720"/>
        <w:jc w:val="both"/>
        <w:rPr>
          <w:rFonts w:ascii="Times New Roman" w:eastAsia="SimSun" w:hAnsi="Times New Roman"/>
          <w:sz w:val="24"/>
          <w:szCs w:val="24"/>
        </w:rPr>
      </w:pPr>
      <w:r w:rsidRPr="00AE47C6">
        <w:rPr>
          <w:rFonts w:ascii="Times New Roman" w:eastAsia="SimSun" w:hAnsi="Times New Roman"/>
          <w:i/>
          <w:sz w:val="24"/>
          <w:szCs w:val="24"/>
        </w:rPr>
        <w:t xml:space="preserve">Dexketoprofen </w:t>
      </w:r>
      <w:r w:rsidRPr="00AE47C6">
        <w:rPr>
          <w:rFonts w:ascii="Times New Roman" w:eastAsia="SimSun" w:hAnsi="Times New Roman"/>
          <w:sz w:val="24"/>
          <w:szCs w:val="24"/>
        </w:rPr>
        <w:t>инжекционно 50 mg или табл.25 mg до 75 mg дневно</w:t>
      </w:r>
    </w:p>
    <w:p w14:paraId="732C06B6" w14:textId="77777777" w:rsidR="00BE0B19" w:rsidRPr="00AE47C6" w:rsidRDefault="00BE0B19" w:rsidP="00BE0B19">
      <w:pPr>
        <w:numPr>
          <w:ilvl w:val="0"/>
          <w:numId w:val="134"/>
        </w:numPr>
        <w:tabs>
          <w:tab w:val="clear" w:pos="1211"/>
          <w:tab w:val="num" w:pos="-363"/>
          <w:tab w:val="left" w:pos="1800"/>
        </w:tabs>
        <w:suppressAutoHyphens/>
        <w:spacing w:after="0" w:line="360" w:lineRule="auto"/>
        <w:ind w:left="1077" w:firstLine="720"/>
        <w:jc w:val="both"/>
        <w:rPr>
          <w:rFonts w:ascii="Times New Roman" w:eastAsia="SimSun" w:hAnsi="Times New Roman"/>
          <w:b/>
          <w:sz w:val="24"/>
          <w:szCs w:val="24"/>
        </w:rPr>
      </w:pPr>
      <w:r w:rsidRPr="00AE47C6">
        <w:rPr>
          <w:rFonts w:ascii="Times New Roman" w:eastAsia="SimSun" w:hAnsi="Times New Roman"/>
          <w:i/>
          <w:sz w:val="24"/>
          <w:szCs w:val="24"/>
        </w:rPr>
        <w:t xml:space="preserve">Naproxen </w:t>
      </w:r>
      <w:r w:rsidRPr="00AE47C6">
        <w:rPr>
          <w:rFonts w:ascii="Times New Roman" w:eastAsia="SimSun" w:hAnsi="Times New Roman"/>
          <w:sz w:val="24"/>
          <w:szCs w:val="24"/>
        </w:rPr>
        <w:t>в доза 500 – 1250 mg дневно е медикамент на избор при пациенти с кардиоваскуларни рискови фактори.</w:t>
      </w:r>
    </w:p>
    <w:p w14:paraId="7B0A597E" w14:textId="77777777" w:rsidR="00BE0B19" w:rsidRPr="00AE47C6" w:rsidRDefault="00BE0B19" w:rsidP="00BE0B19">
      <w:pPr>
        <w:numPr>
          <w:ilvl w:val="0"/>
          <w:numId w:val="134"/>
        </w:numPr>
        <w:tabs>
          <w:tab w:val="clear" w:pos="1211"/>
          <w:tab w:val="num" w:pos="-363"/>
          <w:tab w:val="left" w:pos="1800"/>
        </w:tabs>
        <w:suppressAutoHyphens/>
        <w:spacing w:after="0" w:line="360" w:lineRule="auto"/>
        <w:ind w:left="1077" w:firstLine="720"/>
        <w:jc w:val="both"/>
        <w:rPr>
          <w:rFonts w:ascii="Times New Roman" w:eastAsia="SimSun" w:hAnsi="Times New Roman"/>
          <w:sz w:val="24"/>
          <w:szCs w:val="24"/>
        </w:rPr>
      </w:pPr>
      <w:r w:rsidRPr="00AE47C6">
        <w:rPr>
          <w:rFonts w:ascii="Times New Roman" w:eastAsia="SimSun" w:hAnsi="Times New Roman"/>
          <w:i/>
          <w:sz w:val="24"/>
          <w:szCs w:val="24"/>
        </w:rPr>
        <w:t xml:space="preserve">Piroxicam </w:t>
      </w:r>
      <w:r w:rsidRPr="00AE47C6">
        <w:rPr>
          <w:rFonts w:ascii="Times New Roman" w:eastAsia="SimSun" w:hAnsi="Times New Roman"/>
          <w:sz w:val="24"/>
          <w:szCs w:val="24"/>
        </w:rPr>
        <w:t>в доза 10 – 20 mg дневно</w:t>
      </w:r>
    </w:p>
    <w:p w14:paraId="57182DD5" w14:textId="77777777" w:rsidR="00BE0B19" w:rsidRPr="00AE47C6" w:rsidRDefault="00BE0B19" w:rsidP="00BE0B19">
      <w:pPr>
        <w:numPr>
          <w:ilvl w:val="0"/>
          <w:numId w:val="134"/>
        </w:numPr>
        <w:tabs>
          <w:tab w:val="clear" w:pos="1211"/>
          <w:tab w:val="num" w:pos="-3"/>
          <w:tab w:val="left" w:pos="1440"/>
        </w:tabs>
        <w:suppressAutoHyphens/>
        <w:spacing w:after="0" w:line="360" w:lineRule="auto"/>
        <w:ind w:left="1077" w:firstLine="720"/>
        <w:jc w:val="both"/>
        <w:rPr>
          <w:rFonts w:ascii="Times New Roman" w:eastAsia="SimSun" w:hAnsi="Times New Roman"/>
          <w:sz w:val="24"/>
          <w:szCs w:val="24"/>
        </w:rPr>
      </w:pPr>
      <w:r w:rsidRPr="00AE47C6">
        <w:rPr>
          <w:rFonts w:ascii="Times New Roman" w:eastAsia="SimSun" w:hAnsi="Times New Roman"/>
          <w:bCs/>
          <w:i/>
          <w:sz w:val="24"/>
          <w:szCs w:val="24"/>
        </w:rPr>
        <w:t xml:space="preserve">Ibuprofen </w:t>
      </w:r>
      <w:r w:rsidRPr="00AE47C6">
        <w:rPr>
          <w:rFonts w:ascii="Times New Roman" w:eastAsia="SimSun" w:hAnsi="Times New Roman"/>
          <w:bCs/>
          <w:sz w:val="24"/>
          <w:szCs w:val="24"/>
        </w:rPr>
        <w:t>в доза от 1200 до 2400 mg дневно</w:t>
      </w:r>
    </w:p>
    <w:p w14:paraId="55A33658" w14:textId="77777777" w:rsidR="00BE0B19" w:rsidRPr="00AE47C6" w:rsidRDefault="00BE0B19" w:rsidP="00BE0B19">
      <w:pPr>
        <w:numPr>
          <w:ilvl w:val="0"/>
          <w:numId w:val="134"/>
        </w:numPr>
        <w:tabs>
          <w:tab w:val="clear" w:pos="1211"/>
          <w:tab w:val="num" w:pos="-3"/>
          <w:tab w:val="left" w:pos="1440"/>
        </w:tabs>
        <w:suppressAutoHyphens/>
        <w:spacing w:after="0" w:line="360" w:lineRule="auto"/>
        <w:ind w:left="1077" w:firstLine="720"/>
        <w:jc w:val="both"/>
        <w:rPr>
          <w:rFonts w:ascii="Times New Roman" w:eastAsia="SimSun" w:hAnsi="Times New Roman"/>
          <w:sz w:val="24"/>
          <w:szCs w:val="24"/>
        </w:rPr>
      </w:pPr>
      <w:r w:rsidRPr="00AE47C6">
        <w:rPr>
          <w:rFonts w:ascii="Times New Roman" w:eastAsia="SimSun" w:hAnsi="Times New Roman"/>
          <w:i/>
          <w:sz w:val="24"/>
          <w:szCs w:val="24"/>
        </w:rPr>
        <w:t xml:space="preserve">Diclofenac </w:t>
      </w:r>
      <w:r w:rsidRPr="00AE47C6">
        <w:rPr>
          <w:rFonts w:ascii="Times New Roman" w:eastAsia="SimSun" w:hAnsi="Times New Roman"/>
          <w:sz w:val="24"/>
          <w:szCs w:val="24"/>
        </w:rPr>
        <w:t>в доза 75 – 150 mg дневно</w:t>
      </w:r>
    </w:p>
    <w:p w14:paraId="7168B25F" w14:textId="77777777" w:rsidR="00BE0B19" w:rsidRPr="00AE47C6" w:rsidRDefault="00BE0B19" w:rsidP="00BE0B19">
      <w:pPr>
        <w:numPr>
          <w:ilvl w:val="0"/>
          <w:numId w:val="134"/>
        </w:numPr>
        <w:tabs>
          <w:tab w:val="clear" w:pos="1211"/>
          <w:tab w:val="num" w:pos="-3"/>
          <w:tab w:val="left" w:pos="1440"/>
        </w:tabs>
        <w:suppressAutoHyphens/>
        <w:spacing w:after="0" w:line="360" w:lineRule="auto"/>
        <w:ind w:left="1077" w:firstLine="720"/>
        <w:jc w:val="both"/>
        <w:rPr>
          <w:rFonts w:ascii="Times New Roman" w:eastAsia="SimSun" w:hAnsi="Times New Roman"/>
          <w:sz w:val="24"/>
          <w:szCs w:val="24"/>
        </w:rPr>
      </w:pPr>
      <w:r w:rsidRPr="00AE47C6">
        <w:rPr>
          <w:rFonts w:ascii="Times New Roman" w:eastAsia="SimSun" w:hAnsi="Times New Roman"/>
          <w:i/>
          <w:sz w:val="24"/>
          <w:szCs w:val="24"/>
        </w:rPr>
        <w:t xml:space="preserve">Indomethacin </w:t>
      </w:r>
      <w:r w:rsidRPr="00AE47C6">
        <w:rPr>
          <w:rFonts w:ascii="Times New Roman" w:eastAsia="SimSun" w:hAnsi="Times New Roman"/>
          <w:sz w:val="24"/>
          <w:szCs w:val="24"/>
        </w:rPr>
        <w:t xml:space="preserve">в доза 75 – 200 mg дневно </w:t>
      </w:r>
    </w:p>
    <w:p w14:paraId="588FCFA3" w14:textId="77777777" w:rsidR="00BE0B19" w:rsidRPr="00AE47C6" w:rsidRDefault="00BE0B19" w:rsidP="00BE0B19">
      <w:pPr>
        <w:numPr>
          <w:ilvl w:val="0"/>
          <w:numId w:val="134"/>
        </w:numPr>
        <w:tabs>
          <w:tab w:val="clear" w:pos="1211"/>
          <w:tab w:val="num" w:pos="360"/>
        </w:tabs>
        <w:suppressAutoHyphens/>
        <w:spacing w:after="0" w:line="360" w:lineRule="auto"/>
        <w:ind w:left="720" w:firstLine="720"/>
        <w:jc w:val="both"/>
        <w:rPr>
          <w:rFonts w:ascii="Times New Roman" w:eastAsia="SimSun" w:hAnsi="Times New Roman"/>
          <w:sz w:val="24"/>
          <w:szCs w:val="24"/>
        </w:rPr>
      </w:pPr>
      <w:r w:rsidRPr="00AE47C6">
        <w:rPr>
          <w:rFonts w:ascii="Times New Roman" w:eastAsia="SimSun" w:hAnsi="Times New Roman"/>
          <w:b/>
          <w:sz w:val="24"/>
          <w:szCs w:val="24"/>
        </w:rPr>
        <w:t>Медикаменти на втори избор са</w:t>
      </w:r>
      <w:r w:rsidRPr="00AE47C6">
        <w:rPr>
          <w:rFonts w:ascii="Times New Roman" w:eastAsia="SimSun" w:hAnsi="Times New Roman"/>
          <w:b/>
          <w:i/>
          <w:sz w:val="24"/>
          <w:szCs w:val="24"/>
        </w:rPr>
        <w:t xml:space="preserve"> специфичните </w:t>
      </w:r>
      <w:r w:rsidRPr="00AE47C6">
        <w:rPr>
          <w:rFonts w:ascii="Times New Roman" w:eastAsia="SimSun" w:hAnsi="Times New Roman"/>
          <w:b/>
          <w:sz w:val="24"/>
          <w:szCs w:val="24"/>
        </w:rPr>
        <w:t>и</w:t>
      </w:r>
      <w:r w:rsidRPr="00AE47C6">
        <w:rPr>
          <w:rFonts w:ascii="Times New Roman" w:eastAsia="SimSun" w:hAnsi="Times New Roman"/>
          <w:b/>
          <w:i/>
          <w:sz w:val="24"/>
          <w:szCs w:val="24"/>
        </w:rPr>
        <w:t xml:space="preserve"> селективните НСПВС.</w:t>
      </w:r>
    </w:p>
    <w:p w14:paraId="201D7410" w14:textId="77777777" w:rsidR="00BE0B19" w:rsidRPr="00AE47C6" w:rsidRDefault="00BE0B19" w:rsidP="00BE0B19">
      <w:pPr>
        <w:numPr>
          <w:ilvl w:val="0"/>
          <w:numId w:val="134"/>
        </w:numPr>
        <w:tabs>
          <w:tab w:val="clear" w:pos="1211"/>
          <w:tab w:val="num" w:pos="1080"/>
        </w:tabs>
        <w:suppressAutoHyphens/>
        <w:spacing w:after="0" w:line="360" w:lineRule="auto"/>
        <w:ind w:left="720"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Медикаменти на трети избор са локално прилаганите НСПВС </w:t>
      </w:r>
      <w:r w:rsidRPr="00AE47C6">
        <w:rPr>
          <w:rFonts w:ascii="Times New Roman" w:eastAsia="SimSun" w:hAnsi="Times New Roman"/>
          <w:sz w:val="24"/>
          <w:szCs w:val="24"/>
        </w:rPr>
        <w:t>под формата на гелове или унгвенти, които в някои случаи имат значителен ефект.</w:t>
      </w:r>
    </w:p>
    <w:p w14:paraId="24FA471B" w14:textId="77777777" w:rsidR="00BE0B19" w:rsidRPr="00AE47C6" w:rsidRDefault="00BE0B19" w:rsidP="00BE0B19">
      <w:pPr>
        <w:overflowPunct w:val="0"/>
        <w:autoSpaceDE w:val="0"/>
        <w:autoSpaceDN w:val="0"/>
        <w:adjustRightInd w:val="0"/>
        <w:spacing w:after="0" w:line="360" w:lineRule="auto"/>
        <w:jc w:val="both"/>
        <w:textAlignment w:val="baseline"/>
        <w:rPr>
          <w:rFonts w:ascii="Times New Roman" w:eastAsia="SimSun" w:hAnsi="Times New Roman"/>
          <w:bCs/>
          <w:sz w:val="24"/>
          <w:szCs w:val="24"/>
        </w:rPr>
      </w:pPr>
      <w:r w:rsidRPr="00AE47C6">
        <w:rPr>
          <w:rFonts w:ascii="Times New Roman" w:eastAsia="SimSun" w:hAnsi="Times New Roman"/>
          <w:b/>
          <w:bCs/>
          <w:sz w:val="24"/>
          <w:szCs w:val="24"/>
        </w:rPr>
        <w:t xml:space="preserve">Миорелаксантите </w:t>
      </w:r>
      <w:r w:rsidRPr="00AE47C6">
        <w:rPr>
          <w:rFonts w:ascii="Times New Roman" w:eastAsia="SimSun" w:hAnsi="Times New Roman"/>
          <w:bCs/>
          <w:sz w:val="24"/>
          <w:szCs w:val="24"/>
        </w:rPr>
        <w:t xml:space="preserve">се използват за лечение на ноцицептивната болка предизвикана от мускулен спазъм. Използват се централно действащи миорелаксанти, които нямат директно въздействие върху мускула, невромускулния синапс или двигателните нерви. </w:t>
      </w:r>
    </w:p>
    <w:p w14:paraId="3086A09D"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bCs/>
          <w:sz w:val="24"/>
          <w:szCs w:val="24"/>
        </w:rPr>
      </w:pPr>
      <w:r w:rsidRPr="00AE47C6">
        <w:rPr>
          <w:rFonts w:ascii="Times New Roman" w:eastAsia="SimSun" w:hAnsi="Times New Roman"/>
          <w:bCs/>
          <w:i/>
          <w:sz w:val="24"/>
          <w:szCs w:val="24"/>
        </w:rPr>
        <w:t>Baclofen</w:t>
      </w:r>
      <w:r w:rsidRPr="00AE47C6">
        <w:rPr>
          <w:rFonts w:ascii="Times New Roman" w:eastAsia="SimSun" w:hAnsi="Times New Roman"/>
          <w:b/>
          <w:bCs/>
          <w:sz w:val="24"/>
          <w:szCs w:val="24"/>
        </w:rPr>
        <w:t xml:space="preserve"> (</w:t>
      </w:r>
      <w:r w:rsidRPr="00AE47C6">
        <w:rPr>
          <w:rFonts w:ascii="Times New Roman" w:eastAsia="SimSun" w:hAnsi="Times New Roman"/>
          <w:bCs/>
          <w:sz w:val="24"/>
          <w:szCs w:val="24"/>
        </w:rPr>
        <w:t xml:space="preserve">50-60 mg дневно) е </w:t>
      </w:r>
      <w:r w:rsidRPr="00AE47C6">
        <w:rPr>
          <w:rFonts w:ascii="Times New Roman" w:eastAsia="SimSun" w:hAnsi="Times New Roman"/>
          <w:sz w:val="24"/>
          <w:szCs w:val="24"/>
        </w:rPr>
        <w:t>медикамент на първи избор при</w:t>
      </w:r>
      <w:r w:rsidRPr="00AE47C6">
        <w:rPr>
          <w:rFonts w:ascii="Times New Roman" w:eastAsia="SimSun" w:hAnsi="Times New Roman"/>
          <w:bCs/>
          <w:sz w:val="24"/>
          <w:szCs w:val="24"/>
        </w:rPr>
        <w:t xml:space="preserve"> пациенти с болки в гърба. Като ГАМК агонист намалява пресинаптично освобождаването на възбудни аминокиселини. </w:t>
      </w:r>
    </w:p>
    <w:p w14:paraId="37CC7DA7"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bCs/>
          <w:sz w:val="24"/>
          <w:szCs w:val="24"/>
        </w:rPr>
      </w:pPr>
      <w:r w:rsidRPr="00AE47C6">
        <w:rPr>
          <w:rFonts w:ascii="Times New Roman" w:eastAsia="SimSun" w:hAnsi="Times New Roman"/>
          <w:bCs/>
          <w:i/>
          <w:sz w:val="24"/>
          <w:szCs w:val="24"/>
        </w:rPr>
        <w:t>Tizanidine</w:t>
      </w:r>
      <w:r w:rsidRPr="00AE47C6">
        <w:rPr>
          <w:rFonts w:ascii="Times New Roman" w:eastAsia="SimSun" w:hAnsi="Times New Roman"/>
          <w:bCs/>
          <w:sz w:val="24"/>
          <w:szCs w:val="24"/>
        </w:rPr>
        <w:t xml:space="preserve"> (12-24 mg дневно) е медикамент на втори избор при пациенти с фибромиалгия и болки в гърба. Потиска полисинаптичните спинални механизми, свързани с повишения мускулен тонус, като повлиява освобождаването на възбудни аминокиселини от интерневроните. </w:t>
      </w:r>
    </w:p>
    <w:p w14:paraId="3AFD489C" w14:textId="77777777" w:rsidR="00BE0B19" w:rsidRPr="00AE47C6" w:rsidRDefault="00BE0B19" w:rsidP="00BE0B19">
      <w:pPr>
        <w:overflowPunct w:val="0"/>
        <w:autoSpaceDE w:val="0"/>
        <w:autoSpaceDN w:val="0"/>
        <w:adjustRightInd w:val="0"/>
        <w:spacing w:after="0" w:line="360" w:lineRule="auto"/>
        <w:ind w:firstLine="709"/>
        <w:jc w:val="both"/>
        <w:textAlignment w:val="baseline"/>
        <w:rPr>
          <w:rFonts w:ascii="Times New Roman" w:eastAsia="SimSun" w:hAnsi="Times New Roman"/>
          <w:b/>
          <w:bCs/>
          <w:sz w:val="24"/>
          <w:szCs w:val="24"/>
        </w:rPr>
      </w:pPr>
      <w:r w:rsidRPr="00AE47C6">
        <w:rPr>
          <w:rFonts w:ascii="Times New Roman" w:eastAsia="SimSun" w:hAnsi="Times New Roman"/>
          <w:bCs/>
          <w:i/>
          <w:sz w:val="24"/>
          <w:szCs w:val="24"/>
        </w:rPr>
        <w:t xml:space="preserve">Tolperisone </w:t>
      </w:r>
      <w:r w:rsidRPr="00AE47C6">
        <w:rPr>
          <w:rFonts w:ascii="Times New Roman" w:eastAsia="SimSun" w:hAnsi="Times New Roman"/>
          <w:sz w:val="24"/>
          <w:szCs w:val="24"/>
        </w:rPr>
        <w:t>с</w:t>
      </w:r>
      <w:r w:rsidRPr="00AE47C6">
        <w:rPr>
          <w:rFonts w:ascii="Times New Roman" w:eastAsia="SimSun" w:hAnsi="Times New Roman"/>
          <w:bCs/>
          <w:sz w:val="24"/>
          <w:szCs w:val="24"/>
        </w:rPr>
        <w:t>табилизира невронните мембрани, инхибира Na</w:t>
      </w:r>
      <w:r w:rsidRPr="00AE47C6">
        <w:rPr>
          <w:rFonts w:ascii="Times New Roman" w:eastAsia="SimSun" w:hAnsi="Times New Roman"/>
          <w:bCs/>
          <w:sz w:val="24"/>
          <w:szCs w:val="24"/>
          <w:vertAlign w:val="superscript"/>
        </w:rPr>
        <w:t>+</w:t>
      </w:r>
      <w:r w:rsidRPr="00AE47C6">
        <w:rPr>
          <w:rFonts w:ascii="Times New Roman" w:eastAsia="SimSun" w:hAnsi="Times New Roman"/>
          <w:bCs/>
          <w:sz w:val="24"/>
          <w:szCs w:val="24"/>
        </w:rPr>
        <w:t xml:space="preserve"> и Са</w:t>
      </w:r>
      <w:r w:rsidRPr="00AE47C6">
        <w:rPr>
          <w:rFonts w:ascii="Times New Roman" w:eastAsia="SimSun" w:hAnsi="Times New Roman"/>
          <w:bCs/>
          <w:sz w:val="24"/>
          <w:szCs w:val="24"/>
          <w:vertAlign w:val="superscript"/>
        </w:rPr>
        <w:t>++</w:t>
      </w:r>
      <w:r w:rsidRPr="00AE47C6">
        <w:rPr>
          <w:rFonts w:ascii="Times New Roman" w:eastAsia="SimSun" w:hAnsi="Times New Roman"/>
          <w:bCs/>
          <w:sz w:val="24"/>
          <w:szCs w:val="24"/>
        </w:rPr>
        <w:t xml:space="preserve"> невронни канали и потиска моно- и полисинаптичните спинални рефлекси. Не се прилага при пациенти с болки в гърба, поради недоказана ефективност и опасни странични ефекти.</w:t>
      </w:r>
    </w:p>
    <w:p w14:paraId="21D75374"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78" w:name="_Toc155651738"/>
      <w:bookmarkStart w:id="79" w:name="_Toc164075870"/>
      <w:r w:rsidRPr="00AE47C6">
        <w:rPr>
          <w:rFonts w:ascii="Times New Roman" w:eastAsia="SimSun" w:hAnsi="Times New Roman"/>
          <w:b/>
          <w:sz w:val="24"/>
          <w:szCs w:val="20"/>
          <w:lang w:eastAsia="ja-JP"/>
        </w:rPr>
        <w:t>3.4.2. Лечение на невропатната болка</w:t>
      </w:r>
      <w:bookmarkEnd w:id="78"/>
      <w:bookmarkEnd w:id="79"/>
    </w:p>
    <w:p w14:paraId="5CA94741"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Съвременното лечение на невропатната болка е симптомно ориентирано. </w:t>
      </w:r>
      <w:r w:rsidRPr="00AE47C6">
        <w:rPr>
          <w:rFonts w:ascii="Times New Roman" w:eastAsia="SimSun" w:hAnsi="Times New Roman"/>
          <w:b/>
          <w:i/>
          <w:sz w:val="24"/>
          <w:szCs w:val="24"/>
          <w:lang w:eastAsia="ar-SA"/>
        </w:rPr>
        <w:t>Алодинията</w:t>
      </w:r>
      <w:r w:rsidRPr="00AE47C6">
        <w:rPr>
          <w:rFonts w:ascii="Times New Roman" w:eastAsia="SimSun" w:hAnsi="Times New Roman"/>
          <w:sz w:val="24"/>
          <w:szCs w:val="24"/>
          <w:lang w:eastAsia="ar-SA"/>
        </w:rPr>
        <w:t xml:space="preserve"> се повлиява от </w:t>
      </w:r>
      <w:r w:rsidRPr="00AE47C6">
        <w:rPr>
          <w:rFonts w:ascii="Times New Roman" w:eastAsia="SimSun" w:hAnsi="Times New Roman"/>
          <w:i/>
          <w:sz w:val="24"/>
          <w:szCs w:val="24"/>
          <w:lang w:eastAsia="ar-SA"/>
        </w:rPr>
        <w:t>lidocaine, lamotrigine, gabapentin, amitriptyline, oxycodone и oxycodone-комбинации</w:t>
      </w:r>
      <w:r w:rsidRPr="00AE47C6">
        <w:rPr>
          <w:rFonts w:ascii="Times New Roman" w:eastAsia="SimSun" w:hAnsi="Times New Roman"/>
          <w:sz w:val="24"/>
          <w:szCs w:val="24"/>
          <w:lang w:eastAsia="ar-SA"/>
        </w:rPr>
        <w:t xml:space="preserve">. </w:t>
      </w:r>
      <w:r w:rsidRPr="00AE47C6">
        <w:rPr>
          <w:rFonts w:ascii="Times New Roman" w:eastAsia="SimSun" w:hAnsi="Times New Roman"/>
          <w:b/>
          <w:i/>
          <w:sz w:val="24"/>
          <w:szCs w:val="24"/>
          <w:lang w:eastAsia="ar-SA"/>
        </w:rPr>
        <w:t>Стрелкащата болка</w:t>
      </w:r>
      <w:r w:rsidRPr="00AE47C6">
        <w:rPr>
          <w:rFonts w:ascii="Times New Roman" w:eastAsia="SimSun" w:hAnsi="Times New Roman"/>
          <w:sz w:val="24"/>
          <w:szCs w:val="24"/>
          <w:lang w:eastAsia="ar-SA"/>
        </w:rPr>
        <w:t xml:space="preserve"> – от </w:t>
      </w:r>
      <w:r w:rsidRPr="00AE47C6">
        <w:rPr>
          <w:rFonts w:ascii="Times New Roman" w:eastAsia="SimSun" w:hAnsi="Times New Roman"/>
          <w:i/>
          <w:sz w:val="24"/>
          <w:szCs w:val="24"/>
          <w:lang w:eastAsia="ar-SA"/>
        </w:rPr>
        <w:t>carbamazepine, phenytoin, lamotrigine, валпроати и gabapentin</w:t>
      </w:r>
      <w:r w:rsidRPr="00AE47C6">
        <w:rPr>
          <w:rFonts w:ascii="Times New Roman" w:eastAsia="SimSun" w:hAnsi="Times New Roman"/>
          <w:sz w:val="24"/>
          <w:szCs w:val="24"/>
          <w:lang w:eastAsia="ar-SA"/>
        </w:rPr>
        <w:t xml:space="preserve">. </w:t>
      </w:r>
      <w:r w:rsidRPr="00AE47C6">
        <w:rPr>
          <w:rFonts w:ascii="Times New Roman" w:eastAsia="SimSun" w:hAnsi="Times New Roman"/>
          <w:b/>
          <w:i/>
          <w:sz w:val="24"/>
          <w:szCs w:val="24"/>
          <w:lang w:eastAsia="ar-SA"/>
        </w:rPr>
        <w:t>Парещата болка</w:t>
      </w:r>
      <w:r w:rsidRPr="00AE47C6">
        <w:rPr>
          <w:rFonts w:ascii="Times New Roman" w:eastAsia="SimSun" w:hAnsi="Times New Roman"/>
          <w:sz w:val="24"/>
          <w:szCs w:val="24"/>
          <w:lang w:eastAsia="ar-SA"/>
        </w:rPr>
        <w:t xml:space="preserve"> – от </w:t>
      </w:r>
      <w:r w:rsidRPr="00AE47C6">
        <w:rPr>
          <w:rFonts w:ascii="Times New Roman" w:eastAsia="SimSun" w:hAnsi="Times New Roman"/>
          <w:i/>
          <w:sz w:val="24"/>
          <w:szCs w:val="24"/>
          <w:lang w:eastAsia="ar-SA"/>
        </w:rPr>
        <w:t>amitriptyline и gabapentin</w:t>
      </w:r>
      <w:r w:rsidRPr="00AE47C6">
        <w:rPr>
          <w:rFonts w:ascii="Times New Roman" w:eastAsia="SimSun" w:hAnsi="Times New Roman"/>
          <w:sz w:val="24"/>
          <w:szCs w:val="24"/>
          <w:lang w:eastAsia="ar-SA"/>
        </w:rPr>
        <w:t xml:space="preserve">, а парестезиите и дизестезиите от phenytoin. Медикаментите повлияват различни патофизиологични механизми на болката и не може да се очаква един и същ медикамент да бъде ефективен при всички пациенти. Все още не е възможно да се идентифицира специфичния механизъм довел до невропатна болка при конкретния пациент. Различни механизми могат да предизвикват едни и същи симптоми. </w:t>
      </w:r>
    </w:p>
    <w:p w14:paraId="651F78B4"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Невропатната болка се повлиява от няколко основни групи медикаменти: антидепресанти, антиконвулсанти, мембранно-стабилизиращи медикаменти, NMDA антагонисти, алфа2 адренергични агонисти и ГАМКВ агонисти. Опиоидните медикаменти се прилагат при внимателен подбор на пациентите и оптимална дозировка.</w:t>
      </w:r>
    </w:p>
    <w:p w14:paraId="03668768"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Колкото по-рано се започне лечението, толкова вероятността за по-добро повлияване нараства. При започване на лечението до 6 месеца след възникване на болката, 90% от пациентите се повлияват, а до 1 година – 75% се повлияват благоприятно. Намаляването на болката с 30% е клинично ефективно за пациента. Изборът на медикамент е на принципа на опита и грешката. </w:t>
      </w:r>
    </w:p>
    <w:p w14:paraId="0F65577B"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Започва се с монотерапия с възможно най-ниската доза от избраният медикамент. </w:t>
      </w:r>
      <w:r w:rsidRPr="00AE47C6">
        <w:rPr>
          <w:rFonts w:ascii="Times New Roman" w:eastAsia="SimSun" w:hAnsi="Times New Roman"/>
          <w:sz w:val="24"/>
          <w:szCs w:val="24"/>
        </w:rPr>
        <w:t xml:space="preserve">Титрирането на медикаментите се извършва бавно за да се избегнат страничните ефекти. </w:t>
      </w:r>
      <w:r w:rsidRPr="00AE47C6">
        <w:rPr>
          <w:rFonts w:ascii="Times New Roman" w:eastAsia="SimSun" w:hAnsi="Times New Roman"/>
          <w:bCs/>
          <w:sz w:val="24"/>
          <w:szCs w:val="24"/>
        </w:rPr>
        <w:t xml:space="preserve">Дозата се повишава до получаване на ефект или на странични ефекти. </w:t>
      </w:r>
      <w:r w:rsidRPr="00AE47C6">
        <w:rPr>
          <w:rFonts w:ascii="Times New Roman" w:eastAsia="SimSun" w:hAnsi="Times New Roman"/>
          <w:sz w:val="24"/>
          <w:szCs w:val="24"/>
        </w:rPr>
        <w:t xml:space="preserve">Необходимо е да се достигне до максималната доза на медикамента преди да се прецени, че той не е ефективен. </w:t>
      </w:r>
      <w:r w:rsidRPr="00AE47C6">
        <w:rPr>
          <w:rFonts w:ascii="Times New Roman" w:eastAsia="SimSun" w:hAnsi="Times New Roman"/>
          <w:bCs/>
          <w:sz w:val="24"/>
          <w:szCs w:val="24"/>
        </w:rPr>
        <w:t xml:space="preserve">Ако първият избор на медикамент е несполучлив и не се отчита повлияване на болката след 1 месец, дозата постепенно се намалява и той се спира. Започва се лечение с втори медикамент до постигане на ефект. </w:t>
      </w:r>
    </w:p>
    <w:p w14:paraId="3DD9D41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Лекарствена комбинация, която повлиява различни механизми на болката се прилага при пациенти, които не се повлияват от монотерапия. Някои медикаменти имат синергично действие, което позволява редуциране на дозите и получаване на по-добра аналгезия. Основна цел на комбинираното лечение е бързото и ефективно обезболяване. Опитва се комбинация на антидепресанти с антиепилептични медикаменти или на различни антиепилептични медикаменти. Може да се комбинира опиоид с бързо начало на действие (oxycodone и oxycodone-комбинации) с медикамент, чийто ефект настъпва по-бавно. Прилагането на gabapentin заедно с морфин засилва неговото действие върху μ-опиоидните рецептори и по този начин се осъществява фармакодинамична синергия. Amitriptyline повишава плазмените нива на морфина чрез потискане на чернодробната глюкоронизация. Тази фармакокинетична синергия позволява да се намали дозата на морфина. Не се комбинират антидепресанти с моноаминергичен ефект с tramadol, поради нарастване на риска от серотонинергичен синдром. </w:t>
      </w:r>
    </w:p>
    <w:p w14:paraId="68AA37FE"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Лечението трябва да продължи поне 6 – 12 месеца. След това се опитва постепенно намаляване на дозата. Ако болката се възвърне, лечението се продължава за още 6 месеца. </w:t>
      </w:r>
    </w:p>
    <w:p w14:paraId="6532E99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Лечението на периферната и централна невропатна болка </w:t>
      </w:r>
      <w:r w:rsidRPr="00AE47C6">
        <w:rPr>
          <w:rFonts w:ascii="Times New Roman" w:eastAsia="SimSun" w:hAnsi="Times New Roman"/>
          <w:bCs/>
          <w:sz w:val="24"/>
          <w:szCs w:val="24"/>
        </w:rPr>
        <w:t xml:space="preserve">няма принципни различия. </w:t>
      </w:r>
      <w:r w:rsidRPr="00AE47C6">
        <w:rPr>
          <w:rFonts w:ascii="Times New Roman" w:eastAsia="SimSun" w:hAnsi="Times New Roman"/>
          <w:sz w:val="24"/>
          <w:szCs w:val="24"/>
        </w:rPr>
        <w:t xml:space="preserve">При периферната невропатна болка медикаменти на първи избор са антиконвулсантите, а на втори избор – антидепресантите. Централната болка се повлиява на първо място от </w:t>
      </w:r>
      <w:r w:rsidRPr="00AE47C6">
        <w:rPr>
          <w:rFonts w:ascii="Times New Roman" w:eastAsia="SimSun" w:hAnsi="Times New Roman"/>
          <w:bCs/>
          <w:sz w:val="24"/>
          <w:szCs w:val="24"/>
        </w:rPr>
        <w:t>антидепресанти и на второ – от антиконвулсанти</w:t>
      </w:r>
      <w:r w:rsidRPr="00AE47C6">
        <w:rPr>
          <w:rFonts w:ascii="Times New Roman" w:eastAsia="SimSun" w:hAnsi="Times New Roman"/>
          <w:sz w:val="24"/>
          <w:szCs w:val="24"/>
        </w:rPr>
        <w:t>. Медикаменти на трети избор и в двата случая са опиоидите (oxycodone, oxycodone-комбинации и Dihydrocodeine Tartarate BP). При силна болка лечението може да започне направо с тях.</w:t>
      </w:r>
    </w:p>
    <w:p w14:paraId="6D38D37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iCs/>
          <w:sz w:val="24"/>
          <w:szCs w:val="24"/>
        </w:rPr>
        <w:t>Антиконвулсантите</w:t>
      </w:r>
      <w:r w:rsidRPr="00AE47C6">
        <w:rPr>
          <w:rFonts w:ascii="Times New Roman" w:eastAsia="SimSun" w:hAnsi="Times New Roman"/>
          <w:sz w:val="24"/>
          <w:szCs w:val="24"/>
        </w:rPr>
        <w:t xml:space="preserve"> повлияват разкъсващата болка, произхождаща от генерирането на ектопични импулси в централната и периферна нервна система. Ефективни са тези, които чрез своите мембранно-стабилизиращи ефекти въздействат върху йонните канали и потискат ектопичните импулси. Използват се </w:t>
      </w:r>
      <w:r w:rsidRPr="00AE47C6">
        <w:rPr>
          <w:rFonts w:ascii="Times New Roman" w:eastAsia="SimSun" w:hAnsi="Times New Roman"/>
          <w:i/>
          <w:iCs/>
          <w:sz w:val="24"/>
          <w:szCs w:val="24"/>
        </w:rPr>
        <w:t>модулатори на волтажно зависимите натриеви канали</w:t>
      </w:r>
      <w:r w:rsidRPr="00AE47C6">
        <w:rPr>
          <w:rFonts w:ascii="Times New Roman" w:eastAsia="SimSun" w:hAnsi="Times New Roman"/>
          <w:sz w:val="24"/>
          <w:szCs w:val="24"/>
        </w:rPr>
        <w:t xml:space="preserve"> (carbamazepine, oxcarbazepine, lamotrigine) и </w:t>
      </w:r>
      <w:r w:rsidRPr="00AE47C6">
        <w:rPr>
          <w:rFonts w:ascii="Times New Roman" w:eastAsia="SimSun" w:hAnsi="Times New Roman"/>
          <w:i/>
          <w:iCs/>
          <w:sz w:val="24"/>
          <w:szCs w:val="24"/>
        </w:rPr>
        <w:t>блокери на волтажно зависимите калциеви канали</w:t>
      </w:r>
      <w:r w:rsidRPr="00AE47C6">
        <w:rPr>
          <w:rFonts w:ascii="Times New Roman" w:eastAsia="SimSun" w:hAnsi="Times New Roman"/>
          <w:sz w:val="24"/>
          <w:szCs w:val="24"/>
        </w:rPr>
        <w:t xml:space="preserve"> (gabapentin, pregabalin). </w:t>
      </w:r>
    </w:p>
    <w:p w14:paraId="3814AB15" w14:textId="77777777" w:rsidR="00BE0B19" w:rsidRPr="00AE47C6" w:rsidRDefault="00BE0B19" w:rsidP="00BE0B19">
      <w:pPr>
        <w:overflowPunct w:val="0"/>
        <w:autoSpaceDE w:val="0"/>
        <w:autoSpaceDN w:val="0"/>
        <w:adjustRightInd w:val="0"/>
        <w:spacing w:after="0" w:line="360" w:lineRule="auto"/>
        <w:ind w:firstLine="709"/>
        <w:jc w:val="both"/>
        <w:textAlignment w:val="baseline"/>
        <w:rPr>
          <w:rFonts w:ascii="Times New Roman" w:eastAsia="SimSun" w:hAnsi="Times New Roman"/>
          <w:sz w:val="24"/>
          <w:szCs w:val="24"/>
        </w:rPr>
      </w:pPr>
      <w:r w:rsidRPr="00AE47C6">
        <w:rPr>
          <w:rFonts w:ascii="Times New Roman" w:eastAsia="SimSun" w:hAnsi="Times New Roman"/>
          <w:i/>
          <w:sz w:val="24"/>
          <w:szCs w:val="24"/>
        </w:rPr>
        <w:t>Pregabalin</w:t>
      </w:r>
      <w:r w:rsidRPr="00AE47C6">
        <w:rPr>
          <w:rFonts w:ascii="Times New Roman" w:eastAsia="SimSun" w:hAnsi="Times New Roman"/>
          <w:sz w:val="24"/>
          <w:szCs w:val="24"/>
        </w:rPr>
        <w:t xml:space="preserve"> (300-600 mg дневно) е антиконвулсант на първи избор, най-ефективен за лечение на невропатната болка. Аналог е на gabapentin, но с по-бърз ефект, по-добра бионаличност и линеарна фармакокинетика. Повлиява периферната и централна невропатна болка по-добре от gabapentin. Титрацията и ефектът са бързи (1 седмица) и се повлиява нарушеният сън. Страничните ефекти (при 11%) включват замаяност, сънливост, сухота в устата, периферни отоци и наддаване на тегло. За да се избегнат страничните ефекти може да се прилага в по-ниски дози – 150-300 mg. </w:t>
      </w:r>
    </w:p>
    <w:p w14:paraId="0BF42969" w14:textId="77777777" w:rsidR="00BE0B19" w:rsidRPr="00AE47C6" w:rsidRDefault="00BE0B19" w:rsidP="00BE0B19">
      <w:pPr>
        <w:overflowPunct w:val="0"/>
        <w:autoSpaceDE w:val="0"/>
        <w:autoSpaceDN w:val="0"/>
        <w:adjustRightInd w:val="0"/>
        <w:spacing w:after="0" w:line="360" w:lineRule="auto"/>
        <w:ind w:firstLine="709"/>
        <w:jc w:val="both"/>
        <w:textAlignment w:val="baseline"/>
        <w:rPr>
          <w:rFonts w:ascii="Times New Roman" w:eastAsia="SimSun" w:hAnsi="Times New Roman"/>
          <w:sz w:val="24"/>
          <w:szCs w:val="24"/>
        </w:rPr>
      </w:pPr>
      <w:r w:rsidRPr="00AE47C6">
        <w:rPr>
          <w:rFonts w:ascii="Times New Roman" w:eastAsia="SimSun" w:hAnsi="Times New Roman"/>
          <w:i/>
          <w:sz w:val="24"/>
          <w:szCs w:val="24"/>
        </w:rPr>
        <w:t>Gabapentin</w:t>
      </w:r>
      <w:r w:rsidRPr="00AE47C6">
        <w:rPr>
          <w:rFonts w:ascii="Times New Roman" w:eastAsia="SimSun" w:hAnsi="Times New Roman"/>
          <w:sz w:val="24"/>
          <w:szCs w:val="24"/>
        </w:rPr>
        <w:t xml:space="preserve"> (900 до 1800 mg дневно) намалява честотата, силата и продължителността на пристъпите от болка. </w:t>
      </w:r>
    </w:p>
    <w:p w14:paraId="30E5606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Carbamazepine</w:t>
      </w:r>
      <w:r w:rsidRPr="00AE47C6">
        <w:rPr>
          <w:rFonts w:ascii="Times New Roman" w:eastAsia="SimSun" w:hAnsi="Times New Roman"/>
          <w:sz w:val="24"/>
          <w:szCs w:val="24"/>
        </w:rPr>
        <w:t xml:space="preserve"> (200 – 1200 mg дневно) и oxcarbazepine (600 – 1800 mg дневно) са медикаменти на първи избор само при пациенти с тригеминална невралгия. </w:t>
      </w:r>
    </w:p>
    <w:p w14:paraId="6AAF7521"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bCs/>
          <w:iCs/>
          <w:sz w:val="24"/>
          <w:szCs w:val="24"/>
          <w:lang w:eastAsia="ar-SA"/>
        </w:rPr>
        <w:t>Антидепресантите</w:t>
      </w:r>
      <w:r w:rsidRPr="00AE47C6">
        <w:rPr>
          <w:rFonts w:ascii="Times New Roman" w:eastAsia="SimSun" w:hAnsi="Times New Roman"/>
          <w:sz w:val="24"/>
          <w:szCs w:val="24"/>
          <w:lang w:eastAsia="ar-SA"/>
        </w:rPr>
        <w:t xml:space="preserve"> повлияват парещата, кратката разкъсваща болка и кожната хипералгезия, но не повлияват фантомната болка. Използват се трициклични и селективни инхибитори на обратния захват на серотонина и норадреналина (SNRI). Лечението е ефективно при намаляване на болката с поне 50% в края на първия месец от лечението. Продължава между 6 месеца и една година с минималната ефективна доза. При липса на ефект се изпробват друг клас антидепресанти за още един месец. В комбинация с опиоиди засилват техния аналгетичен ефект.</w:t>
      </w:r>
    </w:p>
    <w:p w14:paraId="682D518C" w14:textId="77777777" w:rsidR="00BE0B19" w:rsidRPr="00AE47C6" w:rsidRDefault="00BE0B19" w:rsidP="00BE0B19">
      <w:pPr>
        <w:overflowPunct w:val="0"/>
        <w:autoSpaceDE w:val="0"/>
        <w:autoSpaceDN w:val="0"/>
        <w:adjustRightInd w:val="0"/>
        <w:spacing w:after="0" w:line="360" w:lineRule="auto"/>
        <w:jc w:val="both"/>
        <w:textAlignment w:val="baseline"/>
        <w:rPr>
          <w:rFonts w:ascii="Times New Roman" w:eastAsia="SimSun" w:hAnsi="Times New Roman"/>
          <w:b/>
          <w:sz w:val="24"/>
          <w:szCs w:val="24"/>
        </w:rPr>
      </w:pPr>
      <w:r w:rsidRPr="00AE47C6">
        <w:rPr>
          <w:rFonts w:ascii="Times New Roman" w:eastAsia="SimSun" w:hAnsi="Times New Roman"/>
          <w:b/>
          <w:i/>
          <w:sz w:val="24"/>
          <w:szCs w:val="24"/>
        </w:rPr>
        <w:t>Трицикличните антидепресанти</w:t>
      </w:r>
      <w:r w:rsidRPr="00AE47C6">
        <w:rPr>
          <w:rFonts w:ascii="Times New Roman" w:eastAsia="SimSun" w:hAnsi="Times New Roman"/>
          <w:b/>
          <w:sz w:val="24"/>
          <w:szCs w:val="24"/>
        </w:rPr>
        <w:t xml:space="preserve"> са най-ефективни, но имат странични ефекти. </w:t>
      </w:r>
    </w:p>
    <w:p w14:paraId="2D9E4A8B"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b/>
          <w:sz w:val="24"/>
          <w:szCs w:val="24"/>
        </w:rPr>
      </w:pPr>
      <w:r w:rsidRPr="00AE47C6">
        <w:rPr>
          <w:rFonts w:ascii="Times New Roman" w:eastAsia="SimSun" w:hAnsi="Times New Roman"/>
          <w:i/>
          <w:sz w:val="24"/>
          <w:szCs w:val="24"/>
        </w:rPr>
        <w:t xml:space="preserve">Amitriptyline </w:t>
      </w:r>
      <w:r w:rsidRPr="00AE47C6">
        <w:rPr>
          <w:rFonts w:ascii="Times New Roman" w:eastAsia="SimSun" w:hAnsi="Times New Roman"/>
          <w:sz w:val="24"/>
          <w:szCs w:val="24"/>
        </w:rPr>
        <w:t>(12,5 – 75 mg дневно) се използва най-често.</w:t>
      </w:r>
    </w:p>
    <w:p w14:paraId="2C9E7271" w14:textId="77777777" w:rsidR="00BE0B19" w:rsidRPr="00AE47C6" w:rsidRDefault="00BE0B19" w:rsidP="00BE0B19">
      <w:pPr>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i/>
          <w:sz w:val="24"/>
          <w:szCs w:val="24"/>
        </w:rPr>
        <w:t>Антидепресантите, които потискат обратния захват на серотонина и норадреналина</w:t>
      </w:r>
      <w:r w:rsidRPr="00AE47C6">
        <w:rPr>
          <w:rFonts w:ascii="Times New Roman" w:eastAsia="SimSun" w:hAnsi="Times New Roman"/>
          <w:b/>
          <w:sz w:val="24"/>
          <w:szCs w:val="24"/>
        </w:rPr>
        <w:t xml:space="preserve"> (SNRI) </w:t>
      </w:r>
      <w:r w:rsidRPr="00AE47C6">
        <w:rPr>
          <w:rFonts w:ascii="Times New Roman" w:eastAsia="SimSun" w:hAnsi="Times New Roman"/>
          <w:sz w:val="24"/>
          <w:szCs w:val="24"/>
        </w:rPr>
        <w:t xml:space="preserve">са също толкова ефективни колкото трицикличните антидепресанти, но имат много по-малко странични ефекти. </w:t>
      </w:r>
    </w:p>
    <w:p w14:paraId="55991884"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i/>
          <w:sz w:val="24"/>
          <w:szCs w:val="24"/>
        </w:rPr>
        <w:t xml:space="preserve">Duloxetine </w:t>
      </w:r>
      <w:r w:rsidRPr="00AE47C6">
        <w:rPr>
          <w:rFonts w:ascii="Times New Roman" w:eastAsia="SimSun" w:hAnsi="Times New Roman"/>
          <w:sz w:val="24"/>
          <w:szCs w:val="24"/>
        </w:rPr>
        <w:t>(30 – 60 mg дневно) повлиява невропатната болка и е ефективен при фибромиалгия.</w:t>
      </w:r>
    </w:p>
    <w:p w14:paraId="6D4E5405"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i/>
          <w:sz w:val="24"/>
          <w:szCs w:val="24"/>
        </w:rPr>
        <w:t>Venlafaxine</w:t>
      </w:r>
      <w:r w:rsidRPr="00AE47C6">
        <w:rPr>
          <w:rFonts w:ascii="Times New Roman" w:eastAsia="SimSun" w:hAnsi="Times New Roman"/>
          <w:sz w:val="24"/>
          <w:szCs w:val="24"/>
        </w:rPr>
        <w:t xml:space="preserve"> (75 до 150 mg дневно) повишава прага на болката, повлиява невропатната болка</w:t>
      </w:r>
      <w:r w:rsidRPr="00AE47C6">
        <w:rPr>
          <w:rFonts w:ascii="Times New Roman" w:eastAsia="SimSun" w:hAnsi="Times New Roman"/>
          <w:b/>
          <w:sz w:val="24"/>
          <w:szCs w:val="24"/>
        </w:rPr>
        <w:t>.</w:t>
      </w:r>
    </w:p>
    <w:p w14:paraId="70FA3C60" w14:textId="77777777" w:rsidR="00BE0B19" w:rsidRPr="00AE47C6" w:rsidRDefault="00BE0B19" w:rsidP="00BE0B19">
      <w:pPr>
        <w:overflowPunct w:val="0"/>
        <w:autoSpaceDE w:val="0"/>
        <w:autoSpaceDN w:val="0"/>
        <w:adjustRightInd w:val="0"/>
        <w:spacing w:after="0" w:line="360" w:lineRule="auto"/>
        <w:ind w:firstLine="709"/>
        <w:jc w:val="both"/>
        <w:textAlignment w:val="baseline"/>
        <w:rPr>
          <w:rFonts w:ascii="Times New Roman" w:eastAsia="SimSun" w:hAnsi="Times New Roman"/>
          <w:sz w:val="24"/>
          <w:szCs w:val="24"/>
        </w:rPr>
      </w:pPr>
      <w:r w:rsidRPr="00AE47C6">
        <w:rPr>
          <w:rFonts w:ascii="Times New Roman" w:eastAsia="SimSun" w:hAnsi="Times New Roman"/>
          <w:i/>
          <w:sz w:val="24"/>
          <w:szCs w:val="24"/>
        </w:rPr>
        <w:t>Mirtazapine</w:t>
      </w:r>
      <w:r w:rsidRPr="00AE47C6">
        <w:rPr>
          <w:rFonts w:ascii="Times New Roman" w:eastAsia="SimSun" w:hAnsi="Times New Roman"/>
          <w:sz w:val="24"/>
          <w:szCs w:val="24"/>
        </w:rPr>
        <w:t xml:space="preserve"> (30 – 60 mg дневно) също повлиява невропатната болка.</w:t>
      </w:r>
    </w:p>
    <w:p w14:paraId="4AEB12C1" w14:textId="77777777" w:rsidR="00BE0B19" w:rsidRPr="00AE47C6" w:rsidRDefault="00BE0B19" w:rsidP="00BE0B19">
      <w:pPr>
        <w:overflowPunct w:val="0"/>
        <w:autoSpaceDE w:val="0"/>
        <w:autoSpaceDN w:val="0"/>
        <w:adjustRightInd w:val="0"/>
        <w:spacing w:after="0" w:line="360" w:lineRule="auto"/>
        <w:ind w:firstLine="709"/>
        <w:jc w:val="both"/>
        <w:textAlignment w:val="baseline"/>
        <w:rPr>
          <w:rFonts w:ascii="Times New Roman" w:eastAsia="SimSun" w:hAnsi="Times New Roman"/>
          <w:sz w:val="24"/>
          <w:szCs w:val="24"/>
        </w:rPr>
      </w:pPr>
      <w:r w:rsidRPr="00AE47C6">
        <w:rPr>
          <w:rFonts w:ascii="Times New Roman" w:eastAsia="SimSun" w:hAnsi="Times New Roman"/>
          <w:sz w:val="24"/>
          <w:szCs w:val="24"/>
        </w:rPr>
        <w:t xml:space="preserve">Структурният аналог на ГАМК </w:t>
      </w:r>
      <w:r w:rsidRPr="00AE47C6">
        <w:rPr>
          <w:rFonts w:ascii="Times New Roman" w:eastAsia="SimSun" w:hAnsi="Times New Roman"/>
          <w:i/>
          <w:sz w:val="24"/>
          <w:szCs w:val="24"/>
        </w:rPr>
        <w:t xml:space="preserve">baclofen </w:t>
      </w:r>
      <w:r w:rsidRPr="00AE47C6">
        <w:rPr>
          <w:rFonts w:ascii="Times New Roman" w:eastAsia="SimSun" w:hAnsi="Times New Roman"/>
          <w:sz w:val="24"/>
          <w:szCs w:val="24"/>
        </w:rPr>
        <w:t xml:space="preserve">(до 60 mg дневно) има бърз и добър ефект. </w:t>
      </w:r>
    </w:p>
    <w:p w14:paraId="373B54E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Алфа</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-адренорецепторният агонист </w:t>
      </w:r>
      <w:r w:rsidRPr="00AE47C6">
        <w:rPr>
          <w:rFonts w:ascii="Times New Roman" w:eastAsia="SimSun" w:hAnsi="Times New Roman"/>
          <w:i/>
          <w:sz w:val="24"/>
          <w:szCs w:val="24"/>
        </w:rPr>
        <w:t xml:space="preserve">tizanidine </w:t>
      </w:r>
      <w:r w:rsidRPr="00AE47C6">
        <w:rPr>
          <w:rFonts w:ascii="Times New Roman" w:eastAsia="SimSun" w:hAnsi="Times New Roman"/>
          <w:sz w:val="24"/>
          <w:szCs w:val="24"/>
        </w:rPr>
        <w:t xml:space="preserve">е ефективен за лечение на невропатна и болка вследствие на мускулен спазъм. </w:t>
      </w:r>
    </w:p>
    <w:p w14:paraId="7A34CCC6"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bCs/>
          <w:iCs/>
          <w:sz w:val="24"/>
          <w:szCs w:val="24"/>
          <w:lang w:eastAsia="ar-SA"/>
        </w:rPr>
        <w:t>Мембранно-стабилизиращият медикамент</w:t>
      </w:r>
      <w:r w:rsidRPr="00AE47C6">
        <w:rPr>
          <w:rFonts w:ascii="Times New Roman" w:eastAsia="SimSun" w:hAnsi="Times New Roman"/>
          <w:sz w:val="24"/>
          <w:szCs w:val="24"/>
          <w:lang w:eastAsia="ar-SA"/>
        </w:rPr>
        <w:t xml:space="preserve"> lidocaine блокира волтажно зависимите натриеви канали и потиска ектопичните импулси. Използва се локално под формата на пластири с 5% разтвор. Поставят се над болезнената кожна зона, при което се абсорбира малка част от медикамента и не се получават общи странични ефекти. Ефективен е предимно при пациенти с постхерпетична невралгия. </w:t>
      </w:r>
    </w:p>
    <w:p w14:paraId="56A0C43C"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b/>
          <w:bCs/>
          <w:iCs/>
          <w:sz w:val="24"/>
          <w:szCs w:val="24"/>
        </w:rPr>
        <w:t>Локалните стероидни и нестероидни</w:t>
      </w:r>
      <w:r w:rsidRPr="00AE47C6">
        <w:rPr>
          <w:rFonts w:ascii="Times New Roman" w:eastAsia="SimSun" w:hAnsi="Times New Roman"/>
          <w:b/>
          <w:sz w:val="24"/>
          <w:szCs w:val="24"/>
        </w:rPr>
        <w:t xml:space="preserve"> противовъзпалителни средства, </w:t>
      </w:r>
      <w:r w:rsidRPr="00AE47C6">
        <w:rPr>
          <w:rFonts w:ascii="Times New Roman" w:eastAsia="SimSun" w:hAnsi="Times New Roman"/>
          <w:sz w:val="24"/>
          <w:szCs w:val="24"/>
        </w:rPr>
        <w:t>които преминават през кожата също се прилагат за лечение на невропатната болка. Тяхната ефективност не е потвърдена чрез клинични проучвания.</w:t>
      </w:r>
    </w:p>
    <w:p w14:paraId="709518D2"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b/>
          <w:sz w:val="24"/>
          <w:szCs w:val="24"/>
        </w:rPr>
        <w:t xml:space="preserve">Физикалните средства намират широко приложение за лечението на болки в гърба. </w:t>
      </w:r>
      <w:r w:rsidRPr="00AE47C6">
        <w:rPr>
          <w:rFonts w:ascii="Times New Roman" w:eastAsia="SimSun" w:hAnsi="Times New Roman"/>
          <w:sz w:val="24"/>
          <w:szCs w:val="24"/>
        </w:rPr>
        <w:t>Прилагат се: масаж, мануална терапия, транскутанна електро-невро-стимулация (TENS), късовълнов диатермик, криотерапия, акупунктура, физически упражнения и корсети. Репетитивната транскраниална магнитна стимулация (rTMS) също е ефективна за повлияване на болката.</w:t>
      </w:r>
    </w:p>
    <w:p w14:paraId="22E62721" w14:textId="77777777" w:rsidR="00BE0B19" w:rsidRPr="00AE47C6" w:rsidRDefault="00BE0B19" w:rsidP="00BE0B19">
      <w:pPr>
        <w:widowControl w:val="0"/>
        <w:suppressAutoHyphens/>
        <w:overflowPunct w:val="0"/>
        <w:autoSpaceDE w:val="0"/>
        <w:spacing w:after="0" w:line="360" w:lineRule="auto"/>
        <w:ind w:firstLine="720"/>
        <w:jc w:val="center"/>
        <w:textAlignment w:val="baseline"/>
        <w:rPr>
          <w:rFonts w:ascii="Times New Roman" w:eastAsia="SimSun" w:hAnsi="Times New Roman"/>
          <w:b/>
          <w:bCs/>
          <w:sz w:val="24"/>
          <w:szCs w:val="24"/>
          <w:lang w:eastAsia="ar-SA"/>
        </w:rPr>
      </w:pPr>
    </w:p>
    <w:p w14:paraId="7277D3C2" w14:textId="77777777" w:rsidR="00BE0B19" w:rsidRPr="00AE47C6" w:rsidRDefault="00BE0B19" w:rsidP="00BE0B19">
      <w:pPr>
        <w:widowControl w:val="0"/>
        <w:suppressAutoHyphens/>
        <w:overflowPunct w:val="0"/>
        <w:autoSpaceDE w:val="0"/>
        <w:spacing w:after="0" w:line="360" w:lineRule="auto"/>
        <w:ind w:firstLine="720"/>
        <w:jc w:val="center"/>
        <w:textAlignment w:val="baseline"/>
        <w:rPr>
          <w:rFonts w:ascii="Times New Roman" w:eastAsia="SimSun" w:hAnsi="Times New Roman"/>
          <w:sz w:val="24"/>
          <w:szCs w:val="24"/>
          <w:lang w:eastAsia="ar-SA"/>
        </w:rPr>
      </w:pPr>
      <w:r w:rsidRPr="00AE47C6">
        <w:rPr>
          <w:rFonts w:ascii="Times New Roman" w:eastAsia="SimSun" w:hAnsi="Times New Roman"/>
          <w:b/>
          <w:bCs/>
          <w:sz w:val="24"/>
          <w:szCs w:val="24"/>
          <w:lang w:eastAsia="ar-SA"/>
        </w:rPr>
        <w:t>Невромодулаторни методи</w:t>
      </w:r>
    </w:p>
    <w:p w14:paraId="7A03B135"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Включват инвазивни и неинвазивни методи, електростимулация на нервната система и интратекална апликация на медикаменти.</w:t>
      </w:r>
    </w:p>
    <w:p w14:paraId="7AB248A5" w14:textId="77777777" w:rsidR="00BE0B19" w:rsidRPr="00AE47C6" w:rsidRDefault="00BE0B19" w:rsidP="00BE0B19">
      <w:pPr>
        <w:widowControl w:val="0"/>
        <w:suppressAutoHyphens/>
        <w:overflowPunct w:val="0"/>
        <w:autoSpaceDE w:val="0"/>
        <w:spacing w:after="0" w:line="360" w:lineRule="auto"/>
        <w:ind w:firstLine="720"/>
        <w:jc w:val="center"/>
        <w:textAlignment w:val="baseline"/>
        <w:rPr>
          <w:rFonts w:ascii="Times New Roman" w:eastAsia="SimSun" w:hAnsi="Times New Roman"/>
          <w:b/>
          <w:bCs/>
          <w:sz w:val="24"/>
          <w:szCs w:val="24"/>
          <w:lang w:eastAsia="ar-SA"/>
        </w:rPr>
      </w:pPr>
      <w:r w:rsidRPr="00AE47C6">
        <w:rPr>
          <w:rFonts w:ascii="Times New Roman" w:eastAsia="SimSun" w:hAnsi="Times New Roman"/>
          <w:b/>
          <w:bCs/>
          <w:sz w:val="24"/>
          <w:szCs w:val="24"/>
          <w:lang w:eastAsia="ar-SA"/>
        </w:rPr>
        <w:t>Инвазивни невромодулаторни методи</w:t>
      </w:r>
    </w:p>
    <w:p w14:paraId="2499CEAA"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Прилагат се при липса на клинична ефективност от прилагане на фармакологични и неинвазивни методи на стимулация в продължение на поне 6 месеца. Електростимулацията може да се приложи в различни участъци на нервната система – периферен нерв, заднокоренчев спинален ганглии и гръбначен мозък. </w:t>
      </w:r>
    </w:p>
    <w:p w14:paraId="3B9A18D0"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i/>
          <w:iCs/>
          <w:sz w:val="24"/>
          <w:szCs w:val="24"/>
          <w:lang w:eastAsia="ar-SA"/>
        </w:rPr>
      </w:pPr>
      <w:r w:rsidRPr="00AE47C6">
        <w:rPr>
          <w:rFonts w:ascii="Times New Roman" w:eastAsia="SimSun" w:hAnsi="Times New Roman"/>
          <w:b/>
          <w:bCs/>
          <w:i/>
          <w:iCs/>
          <w:sz w:val="24"/>
          <w:szCs w:val="24"/>
          <w:lang w:eastAsia="ar-SA"/>
        </w:rPr>
        <w:t>Електростимулацията на периферната нервна система</w:t>
      </w:r>
      <w:r w:rsidRPr="00AE47C6">
        <w:rPr>
          <w:rFonts w:ascii="Times New Roman" w:eastAsia="SimSun" w:hAnsi="Times New Roman"/>
          <w:sz w:val="24"/>
          <w:szCs w:val="24"/>
          <w:lang w:eastAsia="ar-SA"/>
        </w:rPr>
        <w:t xml:space="preserve"> е ефективна при увреждания на периферния нерв, ако електродите се поставят проксимално от мястото на лезията. Използва се високо-честотна ниско-интензитетна стимулация, която потиска спиноталамичната трансмисия посредством активиране на дебелите, миелинизирани аферентни влакна. Електродите се имплантират върху периферния нерв по хирургичен път, след като пробно е постигната ефективност на аналгезията чрез TENS.</w:t>
      </w:r>
    </w:p>
    <w:p w14:paraId="21B6C13A"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bCs/>
          <w:i/>
          <w:iCs/>
          <w:sz w:val="24"/>
          <w:szCs w:val="24"/>
          <w:lang w:eastAsia="ar-SA"/>
        </w:rPr>
        <w:t>Електростимулацията на гръбначния мозък</w:t>
      </w:r>
      <w:r w:rsidRPr="00AE47C6">
        <w:rPr>
          <w:rFonts w:ascii="Times New Roman" w:eastAsia="SimSun" w:hAnsi="Times New Roman"/>
          <w:sz w:val="24"/>
          <w:szCs w:val="24"/>
          <w:lang w:eastAsia="ar-SA"/>
        </w:rPr>
        <w:t xml:space="preserve"> е най-често прилагания метод за лечение на хроничната, невропатна болка. Има директен ефект върху механизмите, отговорни за възникване на невропатната болка, като модулира възбудимостта на заднороговите неврони. Редуцира с 50% невропатната, но не е ефективна за лечение на ноцицептивната болка. </w:t>
      </w:r>
    </w:p>
    <w:p w14:paraId="7B1F837E"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Извършва се чрез перкутанно поставени или имплантирани след ламинектомия, епидурално разположени, лонгитудинално ориентирани електроди върху задните колони, ипсилатерално на болката. Нивото на поставяне може да бъде в лумбалната, торакална или цервикална област, в зависимост от анатомичната локализация на болката. Външният край на стимулиращият електрод се свързва подкожно със стимулатора, който се имплантира в подкожен джоб абдоминално, латероторакално или субклавикуларно. Стимулатора може да се настройва дистанционно от пациента.</w:t>
      </w:r>
    </w:p>
    <w:p w14:paraId="0304662C"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Преди имплантиране на електродите е задължително провеждането на тест за повлияване на болката. Тестът се провежда с епидурално поставен иглен електрод, свързан със стимулатор и продължава 5-7 дни. Подходящи за имплантиране на електродите са пациенти, при които теста показва намаляване на болката с поне 50%.  </w:t>
      </w:r>
    </w:p>
    <w:p w14:paraId="5AD060F4"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Методът е ефективен за лечение на пациенти с радикулерна болка след неуспешна неврохирургична операция с последващ спинален арахноидит, персистираща радикулерна болка, синдром на cauda equina, увреда на периферен нерв с невропатна болка, невралгия, пост-херпетична невралгия, каузалгия, рефлексна симпатикова дистрофия, фантомна болка, пост-травматична болка и сегментна болка след спинална увреда. Ефективността при периферно съдово заболяване с исхемична болка не е сигурна.</w:t>
      </w:r>
    </w:p>
    <w:p w14:paraId="0724489D"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Не се прилага при пациенти с имплантиран пейсмейкър, злокачествени новообразувания, сърдечна недостатъчност и на антикоагулантна терапия. Не са подходящи пациенти с тежка депресия, алкохолна или друга зависимост, себеувреждащо поведение, психоза и тежък когнитивен дефицит. </w:t>
      </w:r>
    </w:p>
    <w:p w14:paraId="16025C98"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Най-честите усложнения са инфекция със Staphylococcus aureus и разместване на електродите. По-рядко може да настъпят увреждания на dura, епидурален хематом и изтичане на ликвор.</w:t>
      </w:r>
    </w:p>
    <w:p w14:paraId="73A6F77A"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Диагнозата на пациента трябва да бъде потвърдена в Университетска неврологична клиника, след прилагане на необходимите диагностични изследвания и психологична оценка.</w:t>
      </w:r>
    </w:p>
    <w:p w14:paraId="6770EF5D" w14:textId="77777777" w:rsidR="00BE0B19" w:rsidRPr="00AE47C6" w:rsidRDefault="00BE0B19" w:rsidP="00BE0B19">
      <w:pPr>
        <w:widowControl w:val="0"/>
        <w:suppressAutoHyphens/>
        <w:overflowPunct w:val="0"/>
        <w:autoSpaceDE w:val="0"/>
        <w:spacing w:after="0" w:line="360" w:lineRule="auto"/>
        <w:ind w:firstLine="720"/>
        <w:jc w:val="center"/>
        <w:textAlignment w:val="baseline"/>
        <w:rPr>
          <w:rFonts w:ascii="Times New Roman" w:eastAsia="SimSun" w:hAnsi="Times New Roman"/>
          <w:sz w:val="24"/>
          <w:szCs w:val="24"/>
          <w:lang w:eastAsia="ar-SA"/>
        </w:rPr>
      </w:pPr>
      <w:r w:rsidRPr="00AE47C6">
        <w:rPr>
          <w:rFonts w:ascii="Times New Roman" w:eastAsia="SimSun" w:hAnsi="Times New Roman"/>
          <w:b/>
          <w:sz w:val="24"/>
          <w:szCs w:val="24"/>
          <w:lang w:eastAsia="ar-SA"/>
        </w:rPr>
        <w:t>Неинвазивни невромодулаторни методи</w:t>
      </w:r>
    </w:p>
    <w:p w14:paraId="729BC04A"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 xml:space="preserve">Включват репетитивната транскраниална магнитна стимулация и перифернонервна стимулация на клоновете на n. trigeminus, n. occipitalis, n, supratrochlearis, n. auriculotemporalis и n. vagus или други увредени нерви. </w:t>
      </w:r>
    </w:p>
    <w:p w14:paraId="5C2CBA3D"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i/>
          <w:sz w:val="24"/>
          <w:szCs w:val="24"/>
          <w:lang w:eastAsia="ar-SA"/>
        </w:rPr>
      </w:pPr>
      <w:r w:rsidRPr="00AE47C6">
        <w:rPr>
          <w:rFonts w:ascii="Times New Roman" w:eastAsia="SimSun" w:hAnsi="Times New Roman"/>
          <w:b/>
          <w:bCs/>
          <w:i/>
          <w:iCs/>
          <w:sz w:val="24"/>
          <w:szCs w:val="24"/>
          <w:lang w:eastAsia="ar-SA"/>
        </w:rPr>
        <w:t>Репетитивната транскраниална магнитна стимулация (РТМС)</w:t>
      </w:r>
      <w:r w:rsidRPr="00AE47C6">
        <w:rPr>
          <w:rFonts w:ascii="Times New Roman" w:eastAsia="SimSun" w:hAnsi="Times New Roman"/>
          <w:sz w:val="24"/>
          <w:szCs w:val="24"/>
          <w:lang w:eastAsia="ar-SA"/>
        </w:rPr>
        <w:t xml:space="preserve"> е неинвазивен метод за стимулация на невронните структури при човека.</w:t>
      </w:r>
      <w:r w:rsidRPr="00AE47C6">
        <w:rPr>
          <w:rFonts w:ascii="Times New Roman" w:eastAsia="SimSun" w:hAnsi="Times New Roman"/>
          <w:i/>
          <w:sz w:val="24"/>
          <w:szCs w:val="24"/>
          <w:lang w:eastAsia="ar-SA"/>
        </w:rPr>
        <w:t xml:space="preserve"> </w:t>
      </w:r>
    </w:p>
    <w:p w14:paraId="3AF18A9B"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Високочестотната</w:t>
      </w:r>
      <w:r w:rsidRPr="00AE47C6">
        <w:rPr>
          <w:rFonts w:ascii="Times New Roman" w:eastAsia="SimSun" w:hAnsi="Times New Roman"/>
          <w:sz w:val="24"/>
          <w:szCs w:val="24"/>
          <w:lang w:eastAsia="ar-SA"/>
        </w:rPr>
        <w:t xml:space="preserve"> (10 Hz) стимулация, приложена върху контралатералната на болката първична моторна кора за 20 минути повлиява невропатната и хроничната болка. При прилагане върху дорзолатералната префронтална кора повлиява болката при фибромиалгия.</w:t>
      </w:r>
    </w:p>
    <w:p w14:paraId="5F5F2AFB"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i/>
          <w:sz w:val="24"/>
          <w:szCs w:val="24"/>
          <w:lang w:eastAsia="ar-SA"/>
        </w:rPr>
        <w:t>Нискочестотната</w:t>
      </w:r>
      <w:r w:rsidRPr="00AE47C6">
        <w:rPr>
          <w:rFonts w:ascii="Times New Roman" w:eastAsia="SimSun" w:hAnsi="Times New Roman"/>
          <w:sz w:val="24"/>
          <w:szCs w:val="24"/>
          <w:lang w:eastAsia="ar-SA"/>
        </w:rPr>
        <w:t xml:space="preserve"> РТМС е по-ефективна за лечение на централната, отколкото периферната невропатна болка.</w:t>
      </w:r>
    </w:p>
    <w:p w14:paraId="6100D4BF"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b/>
          <w:bCs/>
          <w:i/>
          <w:iCs/>
          <w:sz w:val="24"/>
          <w:szCs w:val="24"/>
          <w:lang w:eastAsia="ar-SA"/>
        </w:rPr>
        <w:t>Перифернонервната стимулация</w:t>
      </w:r>
      <w:r w:rsidRPr="00AE47C6">
        <w:rPr>
          <w:rFonts w:ascii="Times New Roman" w:eastAsia="SimSun" w:hAnsi="Times New Roman"/>
          <w:sz w:val="24"/>
          <w:szCs w:val="24"/>
          <w:lang w:eastAsia="ar-SA"/>
        </w:rPr>
        <w:t xml:space="preserve"> се прилага предимно за лечение на някои главоболия и увреждания на периферен нерв, придружени от болка.</w:t>
      </w:r>
    </w:p>
    <w:p w14:paraId="77EE7CFF"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p>
    <w:p w14:paraId="133E4C22" w14:textId="77777777" w:rsidR="00BE0B19" w:rsidRPr="00AE47C6" w:rsidRDefault="00BE0B19" w:rsidP="00BE0B19">
      <w:pPr>
        <w:widowControl w:val="0"/>
        <w:suppressAutoHyphens/>
        <w:overflowPunct w:val="0"/>
        <w:autoSpaceDE w:val="0"/>
        <w:spacing w:after="0" w:line="360" w:lineRule="auto"/>
        <w:ind w:firstLine="720"/>
        <w:jc w:val="center"/>
        <w:textAlignment w:val="baseline"/>
        <w:rPr>
          <w:rFonts w:ascii="Times New Roman" w:eastAsia="SimSun" w:hAnsi="Times New Roman"/>
          <w:sz w:val="24"/>
          <w:szCs w:val="24"/>
          <w:lang w:eastAsia="ar-SA"/>
        </w:rPr>
      </w:pPr>
      <w:r w:rsidRPr="00AE47C6">
        <w:rPr>
          <w:rFonts w:ascii="Times New Roman" w:eastAsia="SimSun" w:hAnsi="Times New Roman"/>
          <w:b/>
          <w:bCs/>
          <w:sz w:val="24"/>
          <w:szCs w:val="24"/>
          <w:lang w:eastAsia="ar-SA"/>
        </w:rPr>
        <w:t>Интратекална апликация на медикаменти</w:t>
      </w:r>
    </w:p>
    <w:p w14:paraId="57FB73D1"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r w:rsidRPr="00AE47C6">
        <w:rPr>
          <w:rFonts w:ascii="Times New Roman" w:eastAsia="SimSun" w:hAnsi="Times New Roman"/>
          <w:sz w:val="24"/>
          <w:szCs w:val="24"/>
          <w:lang w:eastAsia="ar-SA"/>
        </w:rPr>
        <w:t>Доставя ги директно в ликвора, по-близо до централните рецептори и по този начин се намаляват техните дози и системни странични ефекти. За тази цел се използват имплантирани помпи за непрекъсната инфузия. Чрез промяна на концентрацията на медикамента се постига подаване на необходимото количество. Помпите могат да се контролират от пациента, да се настройват чрез лаптоп или периферно устройство. Могат да подават медикамента (опиоди, Baclofen, Ketamine) интраспинално или интравентрикулно. Субарахноидното или интравентрикулно приложение се предпочита пред епидуралното, при което се изискват по-високи дози. Най-често се използват интраспиналните помпи, при които катетъра се поставя през игла за лумбална пункция над ниво L</w:t>
      </w:r>
      <w:r w:rsidRPr="00AE47C6">
        <w:rPr>
          <w:rFonts w:ascii="Times New Roman" w:eastAsia="SimSun" w:hAnsi="Times New Roman"/>
          <w:sz w:val="24"/>
          <w:szCs w:val="24"/>
          <w:vertAlign w:val="subscript"/>
          <w:lang w:eastAsia="ar-SA"/>
        </w:rPr>
        <w:t>2</w:t>
      </w:r>
      <w:r w:rsidRPr="00AE47C6">
        <w:rPr>
          <w:rFonts w:ascii="Times New Roman" w:eastAsia="SimSun" w:hAnsi="Times New Roman"/>
          <w:sz w:val="24"/>
          <w:szCs w:val="24"/>
          <w:lang w:eastAsia="ar-SA"/>
        </w:rPr>
        <w:t xml:space="preserve"> и се насочва рострално до долното торакално ниво. Помпата се имплантира подкожно в предно-латералната част на коремната стена от към доминантната ръка. Интратекалният катетър се свързва с помпата подкожно, за да се избегне разместване.</w:t>
      </w:r>
    </w:p>
    <w:p w14:paraId="6496ECFE" w14:textId="77777777" w:rsidR="00BE0B19" w:rsidRPr="00AE47C6" w:rsidRDefault="00BE0B19" w:rsidP="00BE0B19">
      <w:pPr>
        <w:widowControl w:val="0"/>
        <w:suppressAutoHyphens/>
        <w:overflowPunct w:val="0"/>
        <w:autoSpaceDE w:val="0"/>
        <w:spacing w:after="0" w:line="360" w:lineRule="auto"/>
        <w:ind w:firstLine="720"/>
        <w:jc w:val="both"/>
        <w:textAlignment w:val="baseline"/>
        <w:rPr>
          <w:rFonts w:ascii="Times New Roman" w:eastAsia="SimSun" w:hAnsi="Times New Roman"/>
          <w:sz w:val="24"/>
          <w:szCs w:val="24"/>
          <w:lang w:eastAsia="ar-SA"/>
        </w:rPr>
      </w:pPr>
    </w:p>
    <w:p w14:paraId="0D0EC4D6"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overflowPunct w:val="0"/>
        <w:autoSpaceDE w:val="0"/>
        <w:autoSpaceDN w:val="0"/>
        <w:adjustRightInd w:val="0"/>
        <w:spacing w:after="0" w:line="360" w:lineRule="auto"/>
        <w:jc w:val="center"/>
        <w:textAlignment w:val="baseline"/>
        <w:rPr>
          <w:rFonts w:ascii="Times New Roman" w:eastAsia="SimSun" w:hAnsi="Times New Roman"/>
          <w:b/>
          <w:sz w:val="24"/>
          <w:szCs w:val="24"/>
        </w:rPr>
      </w:pPr>
      <w:r w:rsidRPr="00AE47C6">
        <w:rPr>
          <w:rFonts w:ascii="Times New Roman" w:eastAsia="SimSun" w:hAnsi="Times New Roman"/>
          <w:b/>
          <w:sz w:val="24"/>
          <w:szCs w:val="24"/>
        </w:rPr>
        <w:t>Невропатната болка:</w:t>
      </w:r>
    </w:p>
    <w:p w14:paraId="0AA20330"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overflowPunct w:val="0"/>
        <w:autoSpaceDE w:val="0"/>
        <w:autoSpaceDN w:val="0"/>
        <w:adjustRightInd w:val="0"/>
        <w:spacing w:after="0" w:line="360" w:lineRule="auto"/>
        <w:jc w:val="both"/>
        <w:textAlignment w:val="baseline"/>
        <w:rPr>
          <w:rFonts w:ascii="Times New Roman" w:eastAsia="SimSun" w:hAnsi="Times New Roman"/>
          <w:b/>
          <w:sz w:val="24"/>
          <w:szCs w:val="24"/>
        </w:rPr>
      </w:pPr>
      <w:r w:rsidRPr="00AE47C6">
        <w:rPr>
          <w:rFonts w:ascii="Times New Roman" w:eastAsia="SimSun" w:hAnsi="Times New Roman"/>
          <w:b/>
          <w:sz w:val="24"/>
          <w:szCs w:val="24"/>
        </w:rPr>
        <w:t>1. Осъществява се задължително от невролог.</w:t>
      </w:r>
    </w:p>
    <w:p w14:paraId="0460F9D2"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overflowPunct w:val="0"/>
        <w:autoSpaceDE w:val="0"/>
        <w:autoSpaceDN w:val="0"/>
        <w:adjustRightInd w:val="0"/>
        <w:spacing w:after="0" w:line="360" w:lineRule="auto"/>
        <w:jc w:val="both"/>
        <w:textAlignment w:val="baseline"/>
        <w:rPr>
          <w:rFonts w:ascii="Times New Roman" w:eastAsia="SimSun" w:hAnsi="Times New Roman"/>
          <w:b/>
          <w:sz w:val="24"/>
          <w:szCs w:val="24"/>
        </w:rPr>
      </w:pPr>
      <w:r w:rsidRPr="00AE47C6">
        <w:rPr>
          <w:rFonts w:ascii="Times New Roman" w:eastAsia="SimSun" w:hAnsi="Times New Roman"/>
          <w:b/>
          <w:sz w:val="24"/>
          <w:szCs w:val="24"/>
        </w:rPr>
        <w:t xml:space="preserve">2. Прилагат се антиконвулсанти или SNRI антидепресанти. </w:t>
      </w:r>
    </w:p>
    <w:p w14:paraId="175C954E"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overflowPunct w:val="0"/>
        <w:autoSpaceDE w:val="0"/>
        <w:autoSpaceDN w:val="0"/>
        <w:adjustRightInd w:val="0"/>
        <w:spacing w:after="0" w:line="360" w:lineRule="auto"/>
        <w:jc w:val="both"/>
        <w:textAlignment w:val="baseline"/>
        <w:rPr>
          <w:rFonts w:ascii="Times New Roman" w:eastAsia="SimSun" w:hAnsi="Times New Roman"/>
          <w:b/>
          <w:sz w:val="24"/>
          <w:szCs w:val="24"/>
        </w:rPr>
      </w:pPr>
      <w:r w:rsidRPr="00AE47C6">
        <w:rPr>
          <w:rFonts w:ascii="Times New Roman" w:eastAsia="SimSun" w:hAnsi="Times New Roman"/>
          <w:b/>
          <w:sz w:val="24"/>
          <w:szCs w:val="24"/>
        </w:rPr>
        <w:t xml:space="preserve">3. При липса на ефект се прилага комбинирано лечение. </w:t>
      </w:r>
    </w:p>
    <w:p w14:paraId="55D884A9"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overflowPunct w:val="0"/>
        <w:autoSpaceDE w:val="0"/>
        <w:autoSpaceDN w:val="0"/>
        <w:adjustRightInd w:val="0"/>
        <w:spacing w:after="0" w:line="360" w:lineRule="auto"/>
        <w:jc w:val="both"/>
        <w:textAlignment w:val="baseline"/>
        <w:rPr>
          <w:rFonts w:ascii="Times New Roman" w:eastAsia="SimSun" w:hAnsi="Times New Roman"/>
          <w:b/>
          <w:sz w:val="24"/>
          <w:szCs w:val="24"/>
        </w:rPr>
      </w:pPr>
      <w:r w:rsidRPr="00AE47C6">
        <w:rPr>
          <w:rFonts w:ascii="Times New Roman" w:eastAsia="SimSun" w:hAnsi="Times New Roman"/>
          <w:b/>
          <w:sz w:val="24"/>
          <w:szCs w:val="24"/>
        </w:rPr>
        <w:t>4. При недостатъчно добър ефект се прилагат неинвазивни невромодулиращи методи и физиотерапия.</w:t>
      </w:r>
    </w:p>
    <w:p w14:paraId="6E66317E"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overflowPunct w:val="0"/>
        <w:autoSpaceDE w:val="0"/>
        <w:autoSpaceDN w:val="0"/>
        <w:adjustRightInd w:val="0"/>
        <w:spacing w:after="0" w:line="360" w:lineRule="auto"/>
        <w:jc w:val="both"/>
        <w:textAlignment w:val="baseline"/>
        <w:rPr>
          <w:rFonts w:ascii="Times New Roman" w:eastAsia="SimSun" w:hAnsi="Times New Roman"/>
          <w:b/>
          <w:sz w:val="24"/>
          <w:szCs w:val="24"/>
        </w:rPr>
      </w:pPr>
      <w:r w:rsidRPr="00AE47C6">
        <w:rPr>
          <w:rFonts w:ascii="Times New Roman" w:eastAsia="SimSun" w:hAnsi="Times New Roman"/>
          <w:b/>
          <w:sz w:val="24"/>
          <w:szCs w:val="24"/>
        </w:rPr>
        <w:t>5. При хронична болка, неповлияваща се от 6 месечно фармакологично лечение пациента може да се насочи за инвазивно невромодулиращо лечение (гръбначномозъчна електростимулация).</w:t>
      </w:r>
    </w:p>
    <w:p w14:paraId="61859067"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overflowPunct w:val="0"/>
        <w:autoSpaceDE w:val="0"/>
        <w:autoSpaceDN w:val="0"/>
        <w:adjustRightInd w:val="0"/>
        <w:spacing w:after="0" w:line="360" w:lineRule="auto"/>
        <w:jc w:val="both"/>
        <w:textAlignment w:val="baseline"/>
        <w:rPr>
          <w:rFonts w:ascii="Times New Roman" w:eastAsia="SimSun" w:hAnsi="Times New Roman"/>
          <w:b/>
          <w:sz w:val="24"/>
          <w:szCs w:val="24"/>
        </w:rPr>
      </w:pPr>
      <w:r w:rsidRPr="00AE47C6">
        <w:rPr>
          <w:rFonts w:ascii="Times New Roman" w:eastAsia="SimSun" w:hAnsi="Times New Roman"/>
          <w:b/>
          <w:sz w:val="24"/>
          <w:szCs w:val="24"/>
        </w:rPr>
        <w:t>6. Преценката за гръбначномозъчна електростимулация се прави от невролози занимаващи се с лечение на болката и невропсихолог, въз основа на включващите и изключващи критерии.</w:t>
      </w:r>
    </w:p>
    <w:p w14:paraId="5C01B355"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overflowPunct w:val="0"/>
        <w:autoSpaceDE w:val="0"/>
        <w:autoSpaceDN w:val="0"/>
        <w:adjustRightInd w:val="0"/>
        <w:spacing w:after="0" w:line="360" w:lineRule="auto"/>
        <w:jc w:val="both"/>
        <w:textAlignment w:val="baseline"/>
        <w:rPr>
          <w:rFonts w:ascii="Times New Roman" w:eastAsia="SimSun" w:hAnsi="Times New Roman"/>
          <w:b/>
          <w:sz w:val="24"/>
          <w:szCs w:val="24"/>
        </w:rPr>
      </w:pPr>
      <w:r w:rsidRPr="00AE47C6">
        <w:rPr>
          <w:rFonts w:ascii="Times New Roman" w:eastAsia="SimSun" w:hAnsi="Times New Roman"/>
          <w:b/>
          <w:sz w:val="24"/>
          <w:szCs w:val="24"/>
        </w:rPr>
        <w:t>7. Ефектът от лечението се проследява от невролог.</w:t>
      </w:r>
    </w:p>
    <w:p w14:paraId="48499DA5" w14:textId="77777777" w:rsidR="00BE0B19" w:rsidRPr="00AE47C6" w:rsidRDefault="00BE0B19" w:rsidP="00BE0B19">
      <w:pPr>
        <w:overflowPunct w:val="0"/>
        <w:autoSpaceDE w:val="0"/>
        <w:autoSpaceDN w:val="0"/>
        <w:adjustRightInd w:val="0"/>
        <w:spacing w:after="0" w:line="360" w:lineRule="auto"/>
        <w:jc w:val="both"/>
        <w:textAlignment w:val="baseline"/>
        <w:rPr>
          <w:rFonts w:ascii="Times New Roman" w:eastAsia="SimSun" w:hAnsi="Times New Roman"/>
          <w:b/>
          <w:sz w:val="24"/>
          <w:szCs w:val="24"/>
        </w:rPr>
      </w:pPr>
    </w:p>
    <w:p w14:paraId="4B318DA5"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p>
    <w:p w14:paraId="4713D074"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b/>
          <w:sz w:val="24"/>
          <w:szCs w:val="24"/>
        </w:rPr>
        <w:t xml:space="preserve">Ограничаване на двигателната активност </w:t>
      </w:r>
      <w:r w:rsidRPr="00AE47C6">
        <w:rPr>
          <w:rFonts w:ascii="Times New Roman" w:eastAsia="SimSun" w:hAnsi="Times New Roman"/>
          <w:sz w:val="24"/>
          <w:szCs w:val="24"/>
        </w:rPr>
        <w:t>или постелен режим в продължение на до 5 дни, в зависимост от силата на болката, се препоръчва при пациенти с остра болка в гърба. През следващите 20 дни се препоръчва умерено натоварване, а през следващите месеци – физикална програма под контрол на специалист. При нужда се препоръчва редуциране на телесното тегло и промяна в начина на живот и труд.</w:t>
      </w:r>
    </w:p>
    <w:p w14:paraId="5E30BFFD"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b/>
          <w:sz w:val="24"/>
          <w:szCs w:val="24"/>
        </w:rPr>
        <w:t xml:space="preserve">Особености в лечението на някои видове болка: </w:t>
      </w:r>
    </w:p>
    <w:p w14:paraId="0F42428D"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b/>
          <w:sz w:val="24"/>
          <w:szCs w:val="24"/>
        </w:rPr>
      </w:pPr>
      <w:r w:rsidRPr="00AE47C6">
        <w:rPr>
          <w:rFonts w:ascii="Times New Roman" w:eastAsia="SimSun" w:hAnsi="Times New Roman"/>
          <w:b/>
          <w:i/>
          <w:sz w:val="24"/>
          <w:szCs w:val="24"/>
        </w:rPr>
        <w:t xml:space="preserve">При HIV полиневропатията </w:t>
      </w:r>
      <w:r w:rsidRPr="00AE47C6">
        <w:rPr>
          <w:rFonts w:ascii="Times New Roman" w:eastAsia="SimSun" w:hAnsi="Times New Roman"/>
          <w:sz w:val="24"/>
          <w:szCs w:val="24"/>
        </w:rPr>
        <w:t>са ефективни само НСПВС и опиоиди.</w:t>
      </w:r>
    </w:p>
    <w:p w14:paraId="7BFFD570"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bCs/>
          <w:sz w:val="24"/>
          <w:szCs w:val="24"/>
        </w:rPr>
      </w:pPr>
      <w:r w:rsidRPr="00AE47C6">
        <w:rPr>
          <w:rFonts w:ascii="Times New Roman" w:eastAsia="SimSun" w:hAnsi="Times New Roman"/>
          <w:b/>
          <w:bCs/>
          <w:i/>
          <w:sz w:val="24"/>
          <w:szCs w:val="24"/>
        </w:rPr>
        <w:t xml:space="preserve">Миофасциалните болки </w:t>
      </w:r>
      <w:r w:rsidRPr="00AE47C6">
        <w:rPr>
          <w:rFonts w:ascii="Times New Roman" w:eastAsia="SimSun" w:hAnsi="Times New Roman"/>
          <w:bCs/>
          <w:sz w:val="24"/>
          <w:szCs w:val="24"/>
        </w:rPr>
        <w:t xml:space="preserve">се повлияват чрез инактивиране на тригерните точки във всеки отделен мускул. Използват се техниките на сухата игла (без инжектиране на разтвор) или инжектиране на изотоничен солеви разтвор, към който може да се добави 0,5% procaine или 1% lidocaine, понякога и кортикостероид (solumedrol 10-40 mg), който повлиява локалното възпаление. Във всяка точка се инжектира по 2-4 ml от приготвения разтвор. Локалното инжектиране на 10 U ботулинов токсин (Botox) във всяка тригерна точка има по-дълготраен ефект. </w:t>
      </w:r>
    </w:p>
    <w:p w14:paraId="20AC2F10"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b/>
          <w:bCs/>
          <w:i/>
          <w:iCs/>
          <w:sz w:val="24"/>
          <w:szCs w:val="24"/>
        </w:rPr>
        <w:t xml:space="preserve">При окципитална невралгия </w:t>
      </w:r>
      <w:r w:rsidRPr="00AE47C6">
        <w:rPr>
          <w:rFonts w:ascii="Times New Roman" w:eastAsia="SimSun" w:hAnsi="Times New Roman"/>
          <w:sz w:val="24"/>
          <w:szCs w:val="24"/>
        </w:rPr>
        <w:t>се прилагат блокади на окципиталните нерви с кортикостероид и/или локален анестетик.</w:t>
      </w:r>
    </w:p>
    <w:p w14:paraId="08963895" w14:textId="77777777" w:rsidR="00BE0B19" w:rsidRPr="00AE47C6" w:rsidRDefault="00BE0B19" w:rsidP="00BE0B19">
      <w:pPr>
        <w:overflowPunct w:val="0"/>
        <w:autoSpaceDE w:val="0"/>
        <w:autoSpaceDN w:val="0"/>
        <w:adjustRightInd w:val="0"/>
        <w:spacing w:after="0" w:line="360" w:lineRule="auto"/>
        <w:jc w:val="both"/>
        <w:textAlignment w:val="baseline"/>
        <w:rPr>
          <w:rFonts w:ascii="Times New Roman" w:eastAsia="SimSun" w:hAnsi="Times New Roman"/>
          <w:bCs/>
          <w:i/>
          <w:sz w:val="24"/>
          <w:szCs w:val="24"/>
        </w:rPr>
      </w:pPr>
      <w:r w:rsidRPr="00AE47C6">
        <w:rPr>
          <w:rFonts w:ascii="Times New Roman" w:eastAsia="SimSun" w:hAnsi="Times New Roman"/>
          <w:b/>
          <w:bCs/>
          <w:i/>
          <w:sz w:val="24"/>
          <w:szCs w:val="24"/>
        </w:rPr>
        <w:t xml:space="preserve">Невропатна болка при коренчева компресия </w:t>
      </w:r>
    </w:p>
    <w:p w14:paraId="06054F59" w14:textId="77777777" w:rsidR="00BE0B19" w:rsidRPr="00AE47C6" w:rsidRDefault="00BE0B19" w:rsidP="00BE0B19">
      <w:pPr>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i/>
          <w:sz w:val="24"/>
          <w:szCs w:val="24"/>
        </w:rPr>
        <w:t xml:space="preserve">1. Кортикостероидни противовъзпалителни средства </w:t>
      </w:r>
      <w:r w:rsidRPr="00AE47C6">
        <w:rPr>
          <w:rFonts w:ascii="Times New Roman" w:eastAsia="SimSun" w:hAnsi="Times New Roman"/>
          <w:sz w:val="24"/>
          <w:szCs w:val="24"/>
        </w:rPr>
        <w:t xml:space="preserve">интрамускулно или интравенозно 5 – 7 дни </w:t>
      </w:r>
    </w:p>
    <w:p w14:paraId="14C1CB0C" w14:textId="77777777" w:rsidR="00BE0B19" w:rsidRPr="00AE47C6" w:rsidRDefault="00BE0B19" w:rsidP="00BE0B19">
      <w:pPr>
        <w:numPr>
          <w:ilvl w:val="0"/>
          <w:numId w:val="282"/>
        </w:numPr>
        <w:tabs>
          <w:tab w:val="clear" w:pos="1429"/>
          <w:tab w:val="num" w:pos="-717"/>
          <w:tab w:val="left" w:pos="1440"/>
        </w:tabs>
        <w:suppressAutoHyphens/>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i/>
          <w:sz w:val="24"/>
          <w:szCs w:val="24"/>
        </w:rPr>
        <w:t>Dexamethasone в</w:t>
      </w:r>
      <w:r w:rsidRPr="00AE47C6">
        <w:rPr>
          <w:rFonts w:ascii="Times New Roman" w:eastAsia="SimSun" w:hAnsi="Times New Roman"/>
          <w:sz w:val="24"/>
          <w:szCs w:val="24"/>
        </w:rPr>
        <w:t xml:space="preserve"> доза 4 – 8 mg дневно </w:t>
      </w:r>
    </w:p>
    <w:p w14:paraId="69974A4C" w14:textId="77777777" w:rsidR="00BE0B19" w:rsidRPr="00AE47C6" w:rsidRDefault="00BE0B19" w:rsidP="00BE0B19">
      <w:pPr>
        <w:numPr>
          <w:ilvl w:val="0"/>
          <w:numId w:val="282"/>
        </w:numPr>
        <w:tabs>
          <w:tab w:val="clear" w:pos="1429"/>
          <w:tab w:val="num" w:pos="-717"/>
          <w:tab w:val="left" w:pos="1440"/>
        </w:tabs>
        <w:suppressAutoHyphens/>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i/>
          <w:sz w:val="24"/>
          <w:szCs w:val="24"/>
        </w:rPr>
        <w:t xml:space="preserve">Methylprednisolone </w:t>
      </w:r>
      <w:r w:rsidRPr="00AE47C6">
        <w:rPr>
          <w:rFonts w:ascii="Times New Roman" w:eastAsia="SimSun" w:hAnsi="Times New Roman"/>
          <w:sz w:val="24"/>
          <w:szCs w:val="24"/>
        </w:rPr>
        <w:t xml:space="preserve">в доза 40 – 80 mg дневно </w:t>
      </w:r>
    </w:p>
    <w:p w14:paraId="6C0A35A0" w14:textId="77777777" w:rsidR="00BE0B19" w:rsidRPr="00AE47C6" w:rsidRDefault="00BE0B19" w:rsidP="00BE0B19">
      <w:pPr>
        <w:overflowPunct w:val="0"/>
        <w:autoSpaceDE w:val="0"/>
        <w:autoSpaceDN w:val="0"/>
        <w:adjustRightInd w:val="0"/>
        <w:spacing w:after="0" w:line="360" w:lineRule="auto"/>
        <w:jc w:val="both"/>
        <w:textAlignment w:val="baseline"/>
        <w:rPr>
          <w:rFonts w:ascii="Times New Roman" w:eastAsia="SimSun" w:hAnsi="Times New Roman"/>
          <w:b/>
          <w:i/>
          <w:sz w:val="24"/>
          <w:szCs w:val="24"/>
        </w:rPr>
      </w:pPr>
      <w:r w:rsidRPr="00AE47C6">
        <w:rPr>
          <w:rFonts w:ascii="Times New Roman" w:eastAsia="SimSun" w:hAnsi="Times New Roman"/>
          <w:b/>
          <w:i/>
          <w:sz w:val="24"/>
          <w:szCs w:val="24"/>
        </w:rPr>
        <w:t>2. Противооточни медикаменти</w:t>
      </w:r>
    </w:p>
    <w:p w14:paraId="5EB82A2B" w14:textId="77777777" w:rsidR="00BE0B19" w:rsidRPr="00AE47C6" w:rsidRDefault="00BE0B19" w:rsidP="00BE0B19">
      <w:pPr>
        <w:numPr>
          <w:ilvl w:val="0"/>
          <w:numId w:val="281"/>
        </w:numPr>
        <w:tabs>
          <w:tab w:val="clear" w:pos="1429"/>
          <w:tab w:val="num" w:pos="-717"/>
          <w:tab w:val="left" w:pos="1440"/>
        </w:tabs>
        <w:suppressAutoHyphens/>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i/>
          <w:sz w:val="24"/>
          <w:szCs w:val="24"/>
        </w:rPr>
        <w:t>Mannitol 10%</w:t>
      </w:r>
      <w:r w:rsidRPr="00AE47C6">
        <w:rPr>
          <w:rFonts w:ascii="Times New Roman" w:eastAsia="SimSun" w:hAnsi="Times New Roman"/>
          <w:b/>
          <w:sz w:val="24"/>
          <w:szCs w:val="24"/>
        </w:rPr>
        <w:t xml:space="preserve"> - </w:t>
      </w:r>
      <w:r w:rsidRPr="00AE47C6">
        <w:rPr>
          <w:rFonts w:ascii="Times New Roman" w:eastAsia="SimSun" w:hAnsi="Times New Roman"/>
          <w:sz w:val="24"/>
          <w:szCs w:val="24"/>
        </w:rPr>
        <w:t>500 ml дневно интравенозно на бавна капка 5 – 7 дни.</w:t>
      </w:r>
    </w:p>
    <w:p w14:paraId="5A3694F4"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b/>
          <w:i/>
          <w:sz w:val="24"/>
          <w:szCs w:val="24"/>
        </w:rPr>
        <w:t xml:space="preserve">3. Неврохирургично лечение. </w:t>
      </w:r>
      <w:r w:rsidRPr="00AE47C6">
        <w:rPr>
          <w:rFonts w:ascii="Times New Roman" w:eastAsia="SimSun" w:hAnsi="Times New Roman"/>
          <w:sz w:val="24"/>
          <w:szCs w:val="24"/>
        </w:rPr>
        <w:t xml:space="preserve">Най-често използваният способ е вертебралната ламинектомия с отстраняване на пролабиралия диск. Успешен изход от операциите, без усложнения и рецидиви, се наблюдава при около 54% от оперираните. </w:t>
      </w:r>
    </w:p>
    <w:p w14:paraId="7AFD2C9A"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sz w:val="24"/>
          <w:szCs w:val="24"/>
        </w:rPr>
        <w:t>Индикациите за неврохирургична операция са:</w:t>
      </w:r>
    </w:p>
    <w:p w14:paraId="5DA51996" w14:textId="77777777" w:rsidR="00BE0B19" w:rsidRPr="00AE47C6" w:rsidRDefault="00BE0B19" w:rsidP="00BE0B19">
      <w:pPr>
        <w:numPr>
          <w:ilvl w:val="0"/>
          <w:numId w:val="280"/>
        </w:numPr>
        <w:tabs>
          <w:tab w:val="num" w:pos="360"/>
          <w:tab w:val="left" w:pos="1080"/>
        </w:tabs>
        <w:suppressAutoHyphens/>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 xml:space="preserve">неповлияваща се от консервативната терапия болка </w:t>
      </w:r>
    </w:p>
    <w:p w14:paraId="21D38342" w14:textId="77777777" w:rsidR="00BE0B19" w:rsidRPr="00AE47C6" w:rsidRDefault="00BE0B19" w:rsidP="00BE0B19">
      <w:pPr>
        <w:numPr>
          <w:ilvl w:val="0"/>
          <w:numId w:val="280"/>
        </w:numPr>
        <w:tabs>
          <w:tab w:val="num" w:pos="360"/>
          <w:tab w:val="left" w:pos="1080"/>
        </w:tabs>
        <w:suppressAutoHyphens/>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прогресиращ неврологичен дефицит с прояви и от второ коренче </w:t>
      </w:r>
    </w:p>
    <w:p w14:paraId="4A5F46CE" w14:textId="77777777" w:rsidR="00BE0B19" w:rsidRPr="00AE47C6" w:rsidRDefault="00BE0B19" w:rsidP="00BE0B19">
      <w:pPr>
        <w:numPr>
          <w:ilvl w:val="0"/>
          <w:numId w:val="280"/>
        </w:numPr>
        <w:tabs>
          <w:tab w:val="num" w:pos="360"/>
          <w:tab w:val="left" w:pos="1080"/>
        </w:tabs>
        <w:suppressAutoHyphens/>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 xml:space="preserve">синдром на cauda equina </w:t>
      </w:r>
    </w:p>
    <w:p w14:paraId="442C1FC8" w14:textId="77777777" w:rsidR="00BE0B19" w:rsidRPr="00AE47C6" w:rsidRDefault="00BE0B19" w:rsidP="00BE0B19">
      <w:pPr>
        <w:spacing w:after="0" w:line="360" w:lineRule="auto"/>
        <w:jc w:val="both"/>
        <w:rPr>
          <w:rFonts w:ascii="Times New Roman" w:eastAsia="SimSun" w:hAnsi="Times New Roman"/>
          <w:b/>
          <w:sz w:val="24"/>
          <w:szCs w:val="24"/>
          <w:u w:val="single"/>
        </w:rPr>
      </w:pPr>
    </w:p>
    <w:p w14:paraId="6BCC186A" w14:textId="77777777" w:rsidR="00BE0B19" w:rsidRPr="00AE47C6" w:rsidRDefault="00BE0B19" w:rsidP="00BE0B19">
      <w:pPr>
        <w:keepNext/>
        <w:keepLines/>
        <w:pageBreakBefore/>
        <w:spacing w:before="480" w:after="480"/>
        <w:outlineLvl w:val="0"/>
        <w:rPr>
          <w:rFonts w:ascii="Times New Roman" w:eastAsia="SimSun" w:hAnsi="Times New Roman"/>
          <w:b/>
          <w:bCs/>
          <w:sz w:val="28"/>
          <w:szCs w:val="28"/>
        </w:rPr>
      </w:pPr>
      <w:bookmarkStart w:id="80" w:name="_Toc155651739"/>
      <w:bookmarkStart w:id="81" w:name="_Toc164075871"/>
      <w:r w:rsidRPr="00AE47C6">
        <w:rPr>
          <w:rFonts w:ascii="Times New Roman" w:eastAsia="SimSun" w:hAnsi="Times New Roman"/>
          <w:b/>
          <w:bCs/>
          <w:sz w:val="28"/>
          <w:szCs w:val="28"/>
        </w:rPr>
        <w:t>4. Остри вирусни и бактериални инфекции на ЦНС - менингити и енцефалити</w:t>
      </w:r>
      <w:bookmarkEnd w:id="80"/>
      <w:bookmarkEnd w:id="81"/>
    </w:p>
    <w:p w14:paraId="0FD195C5"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82" w:name="_Toc155651740"/>
      <w:bookmarkStart w:id="83" w:name="_Toc164075872"/>
      <w:r w:rsidRPr="00AE47C6">
        <w:rPr>
          <w:rFonts w:ascii="Times New Roman" w:eastAsia="SimSun" w:hAnsi="Times New Roman"/>
          <w:b/>
          <w:sz w:val="24"/>
          <w:szCs w:val="24"/>
        </w:rPr>
        <w:t>4.1. Остри бактериални менингити</w:t>
      </w:r>
      <w:bookmarkEnd w:id="82"/>
      <w:bookmarkEnd w:id="83"/>
    </w:p>
    <w:p w14:paraId="766B5265"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Класификация на бактериалните невроинфекции</w:t>
      </w:r>
    </w:p>
    <w:p w14:paraId="0E44F6DD" w14:textId="77777777" w:rsidR="00BE0B19" w:rsidRPr="00AE47C6" w:rsidRDefault="00BE0B19" w:rsidP="00BE0B19">
      <w:pPr>
        <w:spacing w:after="0" w:line="360" w:lineRule="auto"/>
        <w:jc w:val="both"/>
        <w:rPr>
          <w:rFonts w:ascii="Times New Roman" w:eastAsia="SimSun" w:hAnsi="Times New Roman"/>
          <w:b/>
          <w:bCs/>
          <w:iCs/>
          <w:sz w:val="24"/>
          <w:szCs w:val="24"/>
        </w:rPr>
      </w:pPr>
      <w:r w:rsidRPr="00AE47C6">
        <w:rPr>
          <w:rFonts w:ascii="Times New Roman" w:eastAsia="SimSun" w:hAnsi="Times New Roman"/>
          <w:b/>
          <w:sz w:val="24"/>
          <w:szCs w:val="24"/>
        </w:rPr>
        <w:t>І. Бактериални менингити</w:t>
      </w:r>
    </w:p>
    <w:p w14:paraId="06BF2DAB" w14:textId="77777777" w:rsidR="00BE0B19" w:rsidRPr="00AE47C6" w:rsidRDefault="00BE0B19" w:rsidP="00BE0B19">
      <w:pPr>
        <w:numPr>
          <w:ilvl w:val="0"/>
          <w:numId w:val="104"/>
        </w:numPr>
        <w:tabs>
          <w:tab w:val="left" w:pos="0"/>
        </w:tabs>
        <w:spacing w:after="0" w:line="360" w:lineRule="auto"/>
        <w:ind w:left="0" w:hanging="349"/>
        <w:contextualSpacing/>
        <w:jc w:val="both"/>
        <w:rPr>
          <w:rFonts w:ascii="Times New Roman" w:eastAsia="SimSun" w:hAnsi="Times New Roman"/>
          <w:sz w:val="24"/>
          <w:szCs w:val="24"/>
        </w:rPr>
      </w:pPr>
      <w:r w:rsidRPr="00AE47C6">
        <w:rPr>
          <w:rFonts w:ascii="Times New Roman" w:eastAsia="SimSun" w:hAnsi="Times New Roman"/>
          <w:sz w:val="24"/>
          <w:szCs w:val="24"/>
        </w:rPr>
        <w:t>Първични бактериални менингити – туберкулозен, менингококов;</w:t>
      </w:r>
    </w:p>
    <w:p w14:paraId="6F47A121" w14:textId="77777777" w:rsidR="00BE0B19" w:rsidRPr="00AE47C6" w:rsidRDefault="00BE0B19" w:rsidP="00BE0B19">
      <w:pPr>
        <w:numPr>
          <w:ilvl w:val="0"/>
          <w:numId w:val="104"/>
        </w:numPr>
        <w:tabs>
          <w:tab w:val="left" w:pos="0"/>
        </w:tabs>
        <w:spacing w:after="0" w:line="360" w:lineRule="auto"/>
        <w:ind w:left="0" w:hanging="349"/>
        <w:contextualSpacing/>
        <w:jc w:val="both"/>
        <w:rPr>
          <w:rFonts w:ascii="Times New Roman" w:eastAsia="SimSun" w:hAnsi="Times New Roman"/>
          <w:sz w:val="24"/>
          <w:szCs w:val="24"/>
        </w:rPr>
      </w:pPr>
      <w:r w:rsidRPr="00AE47C6">
        <w:rPr>
          <w:rFonts w:ascii="Times New Roman" w:eastAsia="SimSun" w:hAnsi="Times New Roman"/>
          <w:sz w:val="24"/>
          <w:szCs w:val="24"/>
        </w:rPr>
        <w:t>Вторичните бактериални гнойни менингити могат да се разделят на две големи групи:</w:t>
      </w:r>
    </w:p>
    <w:p w14:paraId="29FD6F0B" w14:textId="77777777" w:rsidR="00BE0B19" w:rsidRPr="00AE47C6" w:rsidRDefault="00BE0B19" w:rsidP="00BE0B19">
      <w:pPr>
        <w:numPr>
          <w:ilvl w:val="0"/>
          <w:numId w:val="105"/>
        </w:numPr>
        <w:tabs>
          <w:tab w:val="left" w:pos="0"/>
          <w:tab w:val="num" w:pos="1134"/>
        </w:tabs>
        <w:spacing w:after="0" w:line="360" w:lineRule="auto"/>
        <w:ind w:left="0"/>
        <w:contextualSpacing/>
        <w:jc w:val="both"/>
        <w:rPr>
          <w:rFonts w:ascii="Times New Roman" w:eastAsia="SimSun" w:hAnsi="Times New Roman"/>
          <w:sz w:val="24"/>
          <w:szCs w:val="24"/>
        </w:rPr>
      </w:pPr>
      <w:r w:rsidRPr="00AE47C6">
        <w:rPr>
          <w:rFonts w:ascii="Times New Roman" w:eastAsia="SimSun" w:hAnsi="Times New Roman"/>
          <w:sz w:val="24"/>
          <w:szCs w:val="24"/>
        </w:rPr>
        <w:t>Според причинителя: стрептококов, стафилококов, пневмококов, ентерококов, гонококов и др.</w:t>
      </w:r>
    </w:p>
    <w:p w14:paraId="7A99BCCE" w14:textId="77777777" w:rsidR="00BE0B19" w:rsidRPr="00AE47C6" w:rsidRDefault="00BE0B19" w:rsidP="00BE0B19">
      <w:pPr>
        <w:numPr>
          <w:ilvl w:val="0"/>
          <w:numId w:val="105"/>
        </w:numPr>
        <w:tabs>
          <w:tab w:val="left" w:pos="0"/>
          <w:tab w:val="num" w:pos="1134"/>
        </w:tabs>
        <w:spacing w:after="0" w:line="360" w:lineRule="auto"/>
        <w:ind w:left="0"/>
        <w:contextualSpacing/>
        <w:jc w:val="both"/>
        <w:rPr>
          <w:rFonts w:ascii="Times New Roman" w:eastAsia="SimSun" w:hAnsi="Times New Roman"/>
          <w:sz w:val="24"/>
          <w:szCs w:val="24"/>
        </w:rPr>
      </w:pPr>
      <w:r w:rsidRPr="00AE47C6">
        <w:rPr>
          <w:rFonts w:ascii="Times New Roman" w:eastAsia="SimSun" w:hAnsi="Times New Roman"/>
          <w:sz w:val="24"/>
          <w:szCs w:val="24"/>
        </w:rPr>
        <w:t>Според източника на първичната инфекция: отогенни, риногенни, тонзилогенни, синугенни, стоматогенни, инфектирани рани по лицето и главата, както и по-редки, вторично-хематогенни менингити от топично отдалечени възпалителни огнища – бактериален ендокардит, холецистит, остеомиелит, фурункулоза и др.</w:t>
      </w:r>
    </w:p>
    <w:p w14:paraId="76ED136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 xml:space="preserve">ІІ. Спирохетни менингити </w:t>
      </w:r>
      <w:r w:rsidRPr="00AE47C6">
        <w:rPr>
          <w:rFonts w:ascii="Times New Roman" w:eastAsia="SimSun" w:hAnsi="Times New Roman"/>
          <w:sz w:val="24"/>
          <w:szCs w:val="24"/>
        </w:rPr>
        <w:t>– при луес, невроборелиоза и лептоспироза.</w:t>
      </w:r>
    </w:p>
    <w:p w14:paraId="000F790C" w14:textId="77777777" w:rsidR="00BE0B19" w:rsidRPr="00AE47C6" w:rsidRDefault="00BE0B19" w:rsidP="00BE0B19">
      <w:pPr>
        <w:spacing w:after="0" w:line="360" w:lineRule="auto"/>
        <w:contextualSpacing/>
        <w:jc w:val="both"/>
        <w:rPr>
          <w:rFonts w:ascii="Times New Roman" w:eastAsia="SimSun" w:hAnsi="Times New Roman"/>
          <w:b/>
          <w:kern w:val="24"/>
          <w:sz w:val="24"/>
          <w:szCs w:val="24"/>
        </w:rPr>
      </w:pPr>
      <w:r w:rsidRPr="00AE47C6">
        <w:rPr>
          <w:rFonts w:ascii="Times New Roman" w:eastAsia="SimSun" w:hAnsi="Times New Roman"/>
          <w:b/>
          <w:kern w:val="24"/>
          <w:sz w:val="24"/>
          <w:szCs w:val="24"/>
        </w:rPr>
        <w:t>III. Бактериални енцефалити</w:t>
      </w:r>
    </w:p>
    <w:p w14:paraId="6CA36E3D" w14:textId="77777777" w:rsidR="00BE0B19" w:rsidRPr="00AE47C6" w:rsidRDefault="00BE0B19" w:rsidP="00BE0B19">
      <w:pPr>
        <w:spacing w:after="0" w:line="360" w:lineRule="auto"/>
        <w:contextualSpacing/>
        <w:jc w:val="both"/>
        <w:rPr>
          <w:rFonts w:ascii="Times New Roman" w:eastAsia="SimSun" w:hAnsi="Times New Roman"/>
          <w:b/>
          <w:kern w:val="24"/>
          <w:sz w:val="24"/>
          <w:szCs w:val="24"/>
        </w:rPr>
      </w:pPr>
    </w:p>
    <w:p w14:paraId="54C912CC" w14:textId="77777777" w:rsidR="00BE0B19" w:rsidRPr="00AE47C6" w:rsidRDefault="00BE0B19" w:rsidP="00BE0B19">
      <w:pPr>
        <w:spacing w:after="0" w:line="360" w:lineRule="auto"/>
        <w:ind w:firstLine="709"/>
        <w:jc w:val="both"/>
        <w:rPr>
          <w:rFonts w:ascii="Times New Roman" w:eastAsia="SimSun" w:hAnsi="Times New Roman"/>
          <w:b/>
          <w:kern w:val="24"/>
          <w:sz w:val="24"/>
          <w:szCs w:val="24"/>
        </w:rPr>
      </w:pPr>
      <w:r w:rsidRPr="00AE47C6">
        <w:rPr>
          <w:rFonts w:ascii="Times New Roman" w:eastAsia="SimSun" w:hAnsi="Times New Roman"/>
          <w:b/>
          <w:sz w:val="24"/>
          <w:szCs w:val="24"/>
        </w:rPr>
        <w:t>Бактериални</w:t>
      </w:r>
      <w:r w:rsidRPr="00AE47C6">
        <w:rPr>
          <w:rFonts w:ascii="Times New Roman" w:eastAsia="SimSun" w:hAnsi="Times New Roman"/>
          <w:b/>
          <w:kern w:val="24"/>
          <w:sz w:val="24"/>
          <w:szCs w:val="24"/>
        </w:rPr>
        <w:t xml:space="preserve"> гнойни менингити</w:t>
      </w:r>
    </w:p>
    <w:p w14:paraId="40E2EE4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Определение.</w:t>
      </w:r>
      <w:r w:rsidRPr="00AE47C6">
        <w:rPr>
          <w:rFonts w:ascii="Times New Roman" w:eastAsia="SimSun" w:hAnsi="Times New Roman"/>
          <w:sz w:val="24"/>
          <w:szCs w:val="24"/>
        </w:rPr>
        <w:t xml:space="preserve"> Група заболявания, предизвикани от различни бактериални агенти и притежаващи сходни клинични и патоморфологични промени.</w:t>
      </w:r>
    </w:p>
    <w:p w14:paraId="5CDD0A24"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 xml:space="preserve">Етиология. </w:t>
      </w:r>
      <w:r w:rsidRPr="00AE47C6">
        <w:rPr>
          <w:rFonts w:ascii="Times New Roman" w:eastAsia="SimSun" w:hAnsi="Times New Roman"/>
          <w:sz w:val="24"/>
          <w:szCs w:val="24"/>
        </w:rPr>
        <w:t>Най-честите причинители са: менигококи, пневмококи, стрептококи, стафилококи, Haemophilus influenzae, ентеробактерии (E. colli, Proteus, Klebsiella, Salmonella), Pseudomonas aeruginosa, различни видове гъбични инфекции и други, понякога неуточнени инфекциозни агенти. Гнойните менингити са първични (менингококови) и вторични. В отделните възрастови групи относителният дял на инфекциозния причинител е различен. При новородените преобладават ентеробактериите, от 2 до 5 годишна възраст 30% от менингитите се причиняват от менигококи, около 15% - от пневмококи, 2-4% - от стрептококи, 1-2% - от Грам отрицателни бактерии и под 1% - от стафилококи. От 5 г. до 50 г. възраст менингококите заемат над 35%, пневмококите 30-35%, H. influenzae – около 10%, Грам отрицателните чревни бактерии - 6%, стафилококите - 5%. Над 50 годишна възраст само 5-6% от гнойните менингити се дължат на менингококова инфекция, докато относителната честота на пневмококите нараства до 56,5%. По-редки причинители могат да бъдат Nocardia, Brucella и Actinomyces.</w:t>
      </w:r>
    </w:p>
    <w:p w14:paraId="26DADED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Клинична картина.</w:t>
      </w:r>
      <w:r w:rsidRPr="00AE47C6">
        <w:rPr>
          <w:rFonts w:ascii="Times New Roman" w:eastAsia="SimSun" w:hAnsi="Times New Roman"/>
          <w:sz w:val="24"/>
          <w:szCs w:val="24"/>
        </w:rPr>
        <w:t xml:space="preserve"> Общата клинична характеристика на гнойните менингити включва: остро начало с висок фебрилитет, втрисане, повръщане и главоболие; Бързо се развива изразен синдром на менингорадикулерно дразнене - хиперестезия, вратна стегнатост, положителни симптоми на Kernig, на Brudzinski; при кърмачета - бомбирана фонтанела, симптом на Lessage. Сухожилните рефлекси в началото са оживени, установяват се патологични рефлекси (Hoffmann, Tromner, от групата на Babinski и на Rossolimo). При повечето от болните са налице огнищни неврологични симптоми, често – лезия на краниални нерви (ІІІ, VІ, VІІ, VІІІ). Още в първите часове (по-рядко на 2-3 ден) се развива остър мозъчен оток с изразена цефалгия, повръщане без гадене, мигрираща непостоянна огнищна неврологична симптоматика, анизокория, количествени и качествени промени в съзнанието, епилептични гърчове, дихателни и сърдечно-съдови нарушения. Възможни са кожни обриви- хеморагично-некротични (при менингококова инфекция) и макулопапулозни, петехиални, булозно-хеморагични (при стафилококовия менингит). </w:t>
      </w:r>
    </w:p>
    <w:p w14:paraId="35A2ECAA" w14:textId="77777777" w:rsidR="00BE0B19" w:rsidRPr="00AE47C6" w:rsidRDefault="00BE0B19" w:rsidP="00BE0B19">
      <w:pPr>
        <w:spacing w:after="0" w:line="360" w:lineRule="auto"/>
        <w:ind w:firstLine="709"/>
        <w:jc w:val="both"/>
        <w:rPr>
          <w:rFonts w:ascii="Times New Roman" w:eastAsia="SimSun" w:hAnsi="Times New Roman"/>
          <w:b/>
          <w:sz w:val="24"/>
          <w:szCs w:val="24"/>
        </w:rPr>
      </w:pPr>
    </w:p>
    <w:p w14:paraId="465E0F72"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Менингококов епидемичен гноен менингит</w:t>
      </w:r>
    </w:p>
    <w:p w14:paraId="2183728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Етиология. </w:t>
      </w:r>
      <w:r w:rsidRPr="00AE47C6">
        <w:rPr>
          <w:rFonts w:ascii="Times New Roman" w:eastAsia="SimSun" w:hAnsi="Times New Roman"/>
          <w:sz w:val="24"/>
          <w:szCs w:val="24"/>
        </w:rPr>
        <w:t>Причинява се от менингокок – Neisseria meningitides, Грам-отрицателен диплокок. Инкубационният период е от няколко часа до 2-3 седмици.</w:t>
      </w:r>
    </w:p>
    <w:p w14:paraId="4ACCED3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Епидемиология.</w:t>
      </w:r>
      <w:r w:rsidRPr="00AE47C6">
        <w:rPr>
          <w:rFonts w:ascii="Times New Roman" w:eastAsia="SimSun" w:hAnsi="Times New Roman"/>
          <w:sz w:val="24"/>
          <w:szCs w:val="24"/>
        </w:rPr>
        <w:t xml:space="preserve"> Заболяването показва есенно-зимно-пролетна сезонност. Контагиозният индекс на менингокока е малък (около 1%). Повечето заразени не боледуват, но остават заразоносители. </w:t>
      </w:r>
    </w:p>
    <w:p w14:paraId="32B5712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Клинична картина</w:t>
      </w:r>
      <w:r w:rsidRPr="00AE47C6">
        <w:rPr>
          <w:rFonts w:ascii="Times New Roman" w:eastAsia="SimSun" w:hAnsi="Times New Roman"/>
          <w:i/>
          <w:sz w:val="24"/>
          <w:szCs w:val="24"/>
        </w:rPr>
        <w:t>.</w:t>
      </w:r>
      <w:r w:rsidRPr="00AE47C6">
        <w:rPr>
          <w:rFonts w:ascii="Times New Roman" w:eastAsia="SimSun" w:hAnsi="Times New Roman"/>
          <w:sz w:val="24"/>
          <w:szCs w:val="24"/>
        </w:rPr>
        <w:t xml:space="preserve"> Децата боледуват по-често. Началото е остро, понякога мълниеносно с висок фебрилитет до 40-41</w:t>
      </w:r>
      <w:r w:rsidRPr="00AE47C6">
        <w:rPr>
          <w:rFonts w:ascii="Times New Roman" w:eastAsia="SimSun" w:hAnsi="Times New Roman"/>
          <w:sz w:val="24"/>
          <w:szCs w:val="24"/>
          <w:vertAlign w:val="superscript"/>
        </w:rPr>
        <w:t xml:space="preserve">0 </w:t>
      </w:r>
      <w:r w:rsidRPr="00AE47C6">
        <w:rPr>
          <w:rFonts w:ascii="Times New Roman" w:eastAsia="SimSun" w:hAnsi="Times New Roman"/>
          <w:sz w:val="24"/>
          <w:szCs w:val="24"/>
        </w:rPr>
        <w:t>C, много силно главоболие, повръщане, астено-адинамия, за няколко часа се развива изразен менингеален синдром. Възможни са генерализирани епилептични припадъци. Съзнанието е помрачено от самото начало на заболяването като бързото развитие на кома е лош прогностичен белег. При около 30% от болните се развива петехиален или папулозен обрив. Може да се повяват симптоми на конюнктивит, артрит, ендокардит и орхиепидидимит. Протичането на менингококовия менингит е свръх остро, остро, подостро и хронично.</w:t>
      </w:r>
    </w:p>
    <w:p w14:paraId="75C3EAD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Изследвания:</w:t>
      </w:r>
      <w:r w:rsidRPr="00AE47C6">
        <w:rPr>
          <w:rFonts w:ascii="Times New Roman" w:eastAsia="SimSun" w:hAnsi="Times New Roman"/>
          <w:sz w:val="24"/>
          <w:szCs w:val="24"/>
        </w:rPr>
        <w:t xml:space="preserve"> ПКК с изразена левкоцитоза и ускорена СУЕ. Ликвор - гноен, с жълтеникаво-сивкав цвят, с полиморфноядрена плеоцитоза до 15-20.10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 xml:space="preserve">/l, белтъкът до 3-6 g/l. Захарта и хлоридите са понижени. Екстра- и интрацелуларно се откриват диплококи. </w:t>
      </w:r>
    </w:p>
    <w:p w14:paraId="78163BD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Мълниеносна (фудроянтна) форма. </w:t>
      </w:r>
      <w:r w:rsidRPr="00AE47C6">
        <w:rPr>
          <w:rFonts w:ascii="Times New Roman" w:eastAsia="SimSun" w:hAnsi="Times New Roman"/>
          <w:sz w:val="24"/>
          <w:szCs w:val="24"/>
        </w:rPr>
        <w:t xml:space="preserve">Развива се инфекциозен шок. Протича със симптоми от две огнища - церебрално и надбъбречно. Болните умират за няколко часа, преди да се е манифестирал напълно менингеалният синдром. При </w:t>
      </w:r>
      <w:r w:rsidRPr="00AE47C6">
        <w:rPr>
          <w:rFonts w:ascii="Times New Roman" w:eastAsia="SimSun" w:hAnsi="Times New Roman"/>
          <w:i/>
          <w:sz w:val="24"/>
          <w:szCs w:val="24"/>
        </w:rPr>
        <w:t>церебралния тип</w:t>
      </w:r>
      <w:r w:rsidRPr="00AE47C6">
        <w:rPr>
          <w:rFonts w:ascii="Times New Roman" w:eastAsia="SimSun" w:hAnsi="Times New Roman"/>
          <w:sz w:val="24"/>
          <w:szCs w:val="24"/>
        </w:rPr>
        <w:t xml:space="preserve"> се развива много бързо кома. Леталният изход настъпва след няколко часа, без да се установи менингеална и ликворна находка. </w:t>
      </w:r>
      <w:r w:rsidRPr="00AE47C6">
        <w:rPr>
          <w:rFonts w:ascii="Times New Roman" w:eastAsia="SimSun" w:hAnsi="Times New Roman"/>
          <w:i/>
          <w:sz w:val="24"/>
          <w:szCs w:val="24"/>
        </w:rPr>
        <w:t>Надбъбречният тип (синдром на Waterhouse- Fridericksen)</w:t>
      </w:r>
      <w:r w:rsidRPr="00AE47C6">
        <w:rPr>
          <w:rFonts w:ascii="Times New Roman" w:eastAsia="SimSun" w:hAnsi="Times New Roman"/>
          <w:sz w:val="24"/>
          <w:szCs w:val="24"/>
        </w:rPr>
        <w:t xml:space="preserve"> е с некроза на надбъбрека, причинена от менингококовата инфекция. Налице са хипертермия, изразена артериална хипотония, филиформен пулс с тежък колапс, петехиално-пурпурни обриви по кожата, тежки биохимични промени в кръвта. Понякога се развива дисеминирана интравазална коагулопатия (DIC синдром).</w:t>
      </w:r>
    </w:p>
    <w:p w14:paraId="08025DE2" w14:textId="77777777" w:rsidR="00BE0B19" w:rsidRPr="00AE47C6" w:rsidRDefault="00BE0B19" w:rsidP="00BE0B19">
      <w:pPr>
        <w:tabs>
          <w:tab w:val="left" w:pos="0"/>
        </w:tabs>
        <w:suppressAutoHyphens/>
        <w:spacing w:after="0" w:line="360" w:lineRule="auto"/>
        <w:jc w:val="both"/>
        <w:rPr>
          <w:rFonts w:ascii="Times New Roman" w:eastAsia="SimSun" w:hAnsi="Times New Roman"/>
          <w:sz w:val="24"/>
          <w:szCs w:val="24"/>
        </w:rPr>
      </w:pPr>
      <w:r w:rsidRPr="00AE47C6">
        <w:rPr>
          <w:rFonts w:ascii="Times New Roman" w:eastAsia="SimSun" w:hAnsi="Times New Roman"/>
          <w:i/>
          <w:sz w:val="24"/>
          <w:szCs w:val="24"/>
        </w:rPr>
        <w:tab/>
        <w:t xml:space="preserve">Хроничният базален менингококов менингит </w:t>
      </w:r>
      <w:r w:rsidRPr="00AE47C6">
        <w:rPr>
          <w:rFonts w:ascii="Times New Roman" w:eastAsia="SimSun" w:hAnsi="Times New Roman"/>
          <w:sz w:val="24"/>
          <w:szCs w:val="24"/>
        </w:rPr>
        <w:t>се развива при деца на 2-3 годишна възраст. Протича с остро начало, висок фебрилитет, опистотонус и ранно развитие на хидроцефалия.</w:t>
      </w:r>
    </w:p>
    <w:p w14:paraId="5DD8522F" w14:textId="77777777" w:rsidR="00BE0B19" w:rsidRPr="00AE47C6" w:rsidRDefault="00BE0B19" w:rsidP="00BE0B19">
      <w:pPr>
        <w:tabs>
          <w:tab w:val="left" w:pos="0"/>
        </w:tabs>
        <w:suppressAutoHyphens/>
        <w:spacing w:after="0" w:line="360" w:lineRule="auto"/>
        <w:jc w:val="both"/>
        <w:rPr>
          <w:rFonts w:ascii="Times New Roman" w:eastAsia="SimSun" w:hAnsi="Times New Roman"/>
          <w:sz w:val="24"/>
          <w:szCs w:val="24"/>
        </w:rPr>
      </w:pPr>
      <w:r w:rsidRPr="00AE47C6">
        <w:rPr>
          <w:rFonts w:ascii="Times New Roman" w:eastAsia="SimSun" w:hAnsi="Times New Roman"/>
          <w:i/>
          <w:sz w:val="24"/>
          <w:szCs w:val="24"/>
        </w:rPr>
        <w:tab/>
        <w:t>Хронично-вълнообразно протичане.</w:t>
      </w:r>
      <w:r w:rsidRPr="00AE47C6">
        <w:rPr>
          <w:rFonts w:ascii="Times New Roman" w:eastAsia="SimSun" w:hAnsi="Times New Roman"/>
          <w:sz w:val="24"/>
          <w:szCs w:val="24"/>
        </w:rPr>
        <w:t xml:space="preserve"> Редуват се периоди на влошаване и подобрение, без да настъпва оздравяване, при тенденция за прогресиращо влошаване. Настъпват кахексия, хидроцефалия и деменция. Ликворът е жълт и лесно се желира (синдром на Nonne-Froin). За няколко месеца настъпва летален изход.</w:t>
      </w:r>
    </w:p>
    <w:p w14:paraId="4ED5BFE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Диагнозата</w:t>
      </w:r>
      <w:r w:rsidRPr="00AE47C6">
        <w:rPr>
          <w:rFonts w:ascii="Times New Roman" w:eastAsia="SimSun" w:hAnsi="Times New Roman"/>
          <w:sz w:val="24"/>
          <w:szCs w:val="24"/>
        </w:rPr>
        <w:t xml:space="preserve"> се поставя по клиничните данни за остро начало, висок фебрилитет, тежък менингеален синдром и кожни обриви и ликворния синдром. В натривка от прясно взет ликвор диплококът е разположен интра- и екстрацелуларно. </w:t>
      </w:r>
    </w:p>
    <w:p w14:paraId="79309B5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Диференциалната диагноза</w:t>
      </w:r>
      <w:r w:rsidRPr="00AE47C6">
        <w:rPr>
          <w:rFonts w:ascii="Times New Roman" w:eastAsia="SimSun" w:hAnsi="Times New Roman"/>
          <w:sz w:val="24"/>
          <w:szCs w:val="24"/>
        </w:rPr>
        <w:t xml:space="preserve"> с вторичните гнойни менингити, туберкулозния и вирусните менингити (Таблица 4.1.).</w:t>
      </w:r>
    </w:p>
    <w:p w14:paraId="58C389C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Лечение.</w:t>
      </w:r>
    </w:p>
    <w:p w14:paraId="60899432" w14:textId="77777777" w:rsidR="00BE0B19" w:rsidRPr="00AE47C6" w:rsidRDefault="00BE0B19" w:rsidP="00BE0B19">
      <w:pPr>
        <w:spacing w:after="0" w:line="360" w:lineRule="auto"/>
        <w:ind w:firstLine="720"/>
        <w:jc w:val="both"/>
        <w:rPr>
          <w:rFonts w:ascii="Times New Roman" w:eastAsia="SimSun" w:hAnsi="Times New Roman"/>
          <w:bCs/>
          <w:iCs/>
          <w:sz w:val="24"/>
          <w:szCs w:val="24"/>
        </w:rPr>
      </w:pPr>
      <w:r w:rsidRPr="00AE47C6">
        <w:rPr>
          <w:rFonts w:ascii="Times New Roman" w:eastAsia="SimSun" w:hAnsi="Times New Roman"/>
          <w:i/>
          <w:sz w:val="24"/>
          <w:szCs w:val="24"/>
        </w:rPr>
        <w:t>Медикамент на избор</w:t>
      </w:r>
      <w:r w:rsidRPr="00AE47C6">
        <w:rPr>
          <w:rFonts w:ascii="Times New Roman" w:eastAsia="SimSun" w:hAnsi="Times New Roman"/>
          <w:sz w:val="24"/>
          <w:szCs w:val="24"/>
        </w:rPr>
        <w:t xml:space="preserve"> е </w:t>
      </w:r>
      <w:r w:rsidRPr="00AE47C6">
        <w:rPr>
          <w:rFonts w:ascii="Times New Roman" w:eastAsia="SimSun" w:hAnsi="Times New Roman"/>
          <w:i/>
          <w:sz w:val="24"/>
          <w:szCs w:val="24"/>
        </w:rPr>
        <w:t>Penicillin G.</w:t>
      </w:r>
      <w:r w:rsidRPr="00AE47C6">
        <w:rPr>
          <w:rFonts w:ascii="Times New Roman" w:eastAsia="SimSun" w:hAnsi="Times New Roman"/>
          <w:sz w:val="24"/>
          <w:szCs w:val="24"/>
        </w:rPr>
        <w:t xml:space="preserve"> Дози – от 10 до 40 милиона UI/24 h i.m., разпределен на 6-8 приема или 3-4 милиона UI i.v. – 4–6 пъти дневно или по 300-500 000 UI/kg/24 h.; </w:t>
      </w:r>
      <w:r w:rsidRPr="00AE47C6">
        <w:rPr>
          <w:rFonts w:ascii="Times New Roman" w:eastAsia="SimSun" w:hAnsi="Times New Roman"/>
          <w:bCs/>
          <w:i/>
          <w:iCs/>
          <w:sz w:val="24"/>
          <w:szCs w:val="24"/>
        </w:rPr>
        <w:t xml:space="preserve">Benzylpenicillin </w:t>
      </w:r>
      <w:r w:rsidRPr="00AE47C6">
        <w:rPr>
          <w:rFonts w:ascii="Times New Roman" w:eastAsia="SimSun" w:hAnsi="Times New Roman"/>
          <w:bCs/>
          <w:iCs/>
          <w:sz w:val="24"/>
          <w:szCs w:val="24"/>
        </w:rPr>
        <w:t>i.v. 20 до 40 мил. Е дн. 4 до 6 – кратни апликации за 7 – 10 дни (500 000 – 800 000 Е/kg при деца)</w:t>
      </w:r>
    </w:p>
    <w:p w14:paraId="19073A80" w14:textId="77777777" w:rsidR="00BE0B19" w:rsidRPr="00AE47C6" w:rsidRDefault="00BE0B19" w:rsidP="00BE0B19">
      <w:pPr>
        <w:spacing w:after="0" w:line="360" w:lineRule="auto"/>
        <w:ind w:firstLine="720"/>
        <w:jc w:val="both"/>
        <w:rPr>
          <w:rFonts w:ascii="Times New Roman" w:eastAsia="SimSun" w:hAnsi="Times New Roman"/>
          <w:bCs/>
          <w:iCs/>
          <w:sz w:val="24"/>
          <w:szCs w:val="24"/>
        </w:rPr>
      </w:pPr>
      <w:r w:rsidRPr="00AE47C6">
        <w:rPr>
          <w:rFonts w:ascii="Times New Roman" w:eastAsia="SimSun" w:hAnsi="Times New Roman"/>
          <w:i/>
          <w:sz w:val="24"/>
          <w:szCs w:val="24"/>
        </w:rPr>
        <w:t xml:space="preserve">Ceftriaxone </w:t>
      </w:r>
      <w:r w:rsidRPr="00AE47C6">
        <w:rPr>
          <w:rFonts w:ascii="Times New Roman" w:eastAsia="SimSun" w:hAnsi="Times New Roman"/>
          <w:bCs/>
          <w:iCs/>
          <w:sz w:val="24"/>
          <w:szCs w:val="24"/>
        </w:rPr>
        <w:t>2-3 g дн. на 12 часови интервали (80 – 100 mg/kg при деца)</w:t>
      </w:r>
    </w:p>
    <w:p w14:paraId="455C0F66" w14:textId="77777777" w:rsidR="00BE0B19" w:rsidRPr="00AE47C6" w:rsidRDefault="00BE0B19" w:rsidP="00BE0B19">
      <w:pPr>
        <w:spacing w:after="0" w:line="360" w:lineRule="auto"/>
        <w:ind w:firstLine="720"/>
        <w:jc w:val="both"/>
        <w:rPr>
          <w:rFonts w:ascii="Times New Roman" w:eastAsia="SimSun" w:hAnsi="Times New Roman"/>
          <w:bCs/>
          <w:iCs/>
          <w:sz w:val="24"/>
          <w:szCs w:val="24"/>
        </w:rPr>
      </w:pPr>
      <w:r w:rsidRPr="00AE47C6">
        <w:rPr>
          <w:rFonts w:ascii="Times New Roman" w:eastAsia="SimSun" w:hAnsi="Times New Roman"/>
          <w:i/>
          <w:sz w:val="24"/>
          <w:szCs w:val="24"/>
        </w:rPr>
        <w:t xml:space="preserve">Cefotaxime </w:t>
      </w:r>
      <w:r w:rsidRPr="00AE47C6">
        <w:rPr>
          <w:rFonts w:ascii="Times New Roman" w:eastAsia="SimSun" w:hAnsi="Times New Roman"/>
          <w:bCs/>
          <w:iCs/>
          <w:sz w:val="24"/>
          <w:szCs w:val="24"/>
        </w:rPr>
        <w:t>6 до 8 g дн. (200 mg/kg за 24 часа при деца)</w:t>
      </w:r>
    </w:p>
    <w:p w14:paraId="77C7A028" w14:textId="77777777" w:rsidR="00BE0B19" w:rsidRPr="00AE47C6" w:rsidRDefault="00BE0B19" w:rsidP="00BE0B19">
      <w:pPr>
        <w:spacing w:after="0" w:line="360" w:lineRule="auto"/>
        <w:ind w:firstLine="720"/>
        <w:jc w:val="both"/>
        <w:rPr>
          <w:rFonts w:ascii="Times New Roman" w:eastAsia="SimSun" w:hAnsi="Times New Roman"/>
          <w:bCs/>
          <w:iCs/>
          <w:sz w:val="24"/>
          <w:szCs w:val="24"/>
        </w:rPr>
      </w:pPr>
      <w:r w:rsidRPr="00AE47C6">
        <w:rPr>
          <w:rFonts w:ascii="Times New Roman" w:eastAsia="SimSun" w:hAnsi="Times New Roman"/>
          <w:bCs/>
          <w:i/>
          <w:iCs/>
          <w:sz w:val="24"/>
          <w:szCs w:val="24"/>
        </w:rPr>
        <w:t xml:space="preserve">Chloramphenicol </w:t>
      </w:r>
      <w:r w:rsidRPr="00AE47C6">
        <w:rPr>
          <w:rFonts w:ascii="Times New Roman" w:eastAsia="SimSun" w:hAnsi="Times New Roman"/>
          <w:bCs/>
          <w:iCs/>
          <w:sz w:val="24"/>
          <w:szCs w:val="24"/>
        </w:rPr>
        <w:t>i.v.3 – 4 g дн. през 12 часови интервал (100 mg/kg при деца)</w:t>
      </w:r>
    </w:p>
    <w:p w14:paraId="40581225" w14:textId="77777777" w:rsidR="00BE0B19" w:rsidRPr="00AE47C6" w:rsidRDefault="00BE0B19" w:rsidP="00BE0B19">
      <w:pPr>
        <w:spacing w:after="0" w:line="360" w:lineRule="auto"/>
        <w:jc w:val="both"/>
        <w:rPr>
          <w:rFonts w:ascii="Times New Roman" w:eastAsia="SimSun" w:hAnsi="Times New Roman"/>
          <w:b/>
          <w:bCs/>
          <w:i/>
          <w:iCs/>
          <w:sz w:val="24"/>
          <w:szCs w:val="24"/>
        </w:rPr>
      </w:pPr>
      <w:r w:rsidRPr="00AE47C6">
        <w:rPr>
          <w:rFonts w:ascii="Times New Roman" w:eastAsia="SimSun" w:hAnsi="Times New Roman"/>
          <w:b/>
          <w:i/>
          <w:sz w:val="24"/>
          <w:szCs w:val="24"/>
        </w:rPr>
        <w:t xml:space="preserve">Симптоматично лечение: </w:t>
      </w:r>
    </w:p>
    <w:p w14:paraId="0DBCF9C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Mannitol 1g/kg i.v. и рехидратация с глюкозни, водно-електролитни и хранителни разтвори. </w:t>
      </w:r>
    </w:p>
    <w:p w14:paraId="25C6DCB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Имуномодулираща терапия </w:t>
      </w:r>
      <w:r w:rsidRPr="00AE47C6">
        <w:rPr>
          <w:rFonts w:ascii="Times New Roman" w:eastAsia="SimSun" w:hAnsi="Times New Roman"/>
          <w:sz w:val="24"/>
          <w:szCs w:val="24"/>
        </w:rPr>
        <w:t xml:space="preserve">с Immunovenin i.v. 1-3 ml/kg/24 h, повтаряща се неколкократно през 2-3 дни. </w:t>
      </w:r>
    </w:p>
    <w:p w14:paraId="590E7D19" w14:textId="77777777" w:rsidR="00BE0B19" w:rsidRPr="00AE47C6" w:rsidRDefault="00BE0B19" w:rsidP="00BE0B19">
      <w:pPr>
        <w:spacing w:after="0" w:line="360" w:lineRule="auto"/>
        <w:ind w:firstLine="709"/>
        <w:jc w:val="both"/>
        <w:rPr>
          <w:rFonts w:ascii="Times New Roman" w:eastAsia="SimSun" w:hAnsi="Times New Roman"/>
          <w:i/>
          <w:sz w:val="24"/>
          <w:szCs w:val="24"/>
        </w:rPr>
      </w:pPr>
      <w:r w:rsidRPr="00AE47C6">
        <w:rPr>
          <w:rFonts w:ascii="Times New Roman" w:eastAsia="SimSun" w:hAnsi="Times New Roman"/>
          <w:i/>
          <w:sz w:val="24"/>
          <w:szCs w:val="24"/>
        </w:rPr>
        <w:t xml:space="preserve">антипиретици, аналгетици, </w:t>
      </w:r>
    </w:p>
    <w:p w14:paraId="1BE20465" w14:textId="77777777" w:rsidR="00BE0B19" w:rsidRPr="00AE47C6" w:rsidRDefault="00BE0B19" w:rsidP="00BE0B19">
      <w:pPr>
        <w:spacing w:after="0" w:line="360" w:lineRule="auto"/>
        <w:ind w:firstLine="709"/>
        <w:jc w:val="both"/>
        <w:rPr>
          <w:rFonts w:ascii="Times New Roman" w:eastAsia="SimSun" w:hAnsi="Times New Roman"/>
          <w:i/>
          <w:sz w:val="24"/>
          <w:szCs w:val="24"/>
        </w:rPr>
      </w:pPr>
      <w:r w:rsidRPr="00AE47C6">
        <w:rPr>
          <w:rFonts w:ascii="Times New Roman" w:eastAsia="SimSun" w:hAnsi="Times New Roman"/>
          <w:i/>
          <w:sz w:val="24"/>
          <w:szCs w:val="24"/>
        </w:rPr>
        <w:t>антиеметици</w:t>
      </w:r>
    </w:p>
    <w:p w14:paraId="48CF6823" w14:textId="77777777" w:rsidR="00BE0B19" w:rsidRPr="00AE47C6" w:rsidRDefault="00BE0B19" w:rsidP="00BE0B19">
      <w:pPr>
        <w:spacing w:after="0" w:line="360" w:lineRule="auto"/>
        <w:ind w:firstLine="709"/>
        <w:jc w:val="both"/>
        <w:rPr>
          <w:rFonts w:ascii="Times New Roman" w:eastAsia="SimSun" w:hAnsi="Times New Roman"/>
          <w:i/>
          <w:sz w:val="24"/>
          <w:szCs w:val="24"/>
        </w:rPr>
      </w:pPr>
      <w:r w:rsidRPr="00AE47C6">
        <w:rPr>
          <w:rFonts w:ascii="Times New Roman" w:eastAsia="SimSun" w:hAnsi="Times New Roman"/>
          <w:i/>
          <w:sz w:val="24"/>
          <w:szCs w:val="24"/>
        </w:rPr>
        <w:t xml:space="preserve"> витамини от група В и витамин С, </w:t>
      </w:r>
    </w:p>
    <w:p w14:paraId="57DAF190" w14:textId="77777777" w:rsidR="00BE0B19" w:rsidRPr="00AE47C6" w:rsidRDefault="00BE0B19" w:rsidP="00BE0B19">
      <w:pPr>
        <w:spacing w:after="0" w:line="360" w:lineRule="auto"/>
        <w:ind w:firstLine="709"/>
        <w:jc w:val="both"/>
        <w:rPr>
          <w:rFonts w:ascii="Times New Roman" w:eastAsia="SimSun" w:hAnsi="Times New Roman"/>
          <w:i/>
          <w:sz w:val="24"/>
          <w:szCs w:val="24"/>
        </w:rPr>
      </w:pPr>
      <w:r w:rsidRPr="00AE47C6">
        <w:rPr>
          <w:rFonts w:ascii="Times New Roman" w:eastAsia="SimSun" w:hAnsi="Times New Roman"/>
          <w:i/>
          <w:sz w:val="24"/>
          <w:szCs w:val="24"/>
        </w:rPr>
        <w:t>антиконвулсанти, ноотропни и други медикаменти</w:t>
      </w:r>
    </w:p>
    <w:p w14:paraId="0571FBE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При нужда - кардиотоници и периферни аналептици</w:t>
      </w:r>
      <w:r w:rsidRPr="00AE47C6">
        <w:rPr>
          <w:rFonts w:ascii="Times New Roman" w:eastAsia="SimSun" w:hAnsi="Times New Roman"/>
          <w:sz w:val="24"/>
          <w:szCs w:val="24"/>
        </w:rPr>
        <w:t>.</w:t>
      </w:r>
    </w:p>
    <w:p w14:paraId="00D9978D" w14:textId="77777777" w:rsidR="00BE0B19" w:rsidRPr="00AE47C6" w:rsidRDefault="00BE0B19" w:rsidP="00BE0B19">
      <w:pPr>
        <w:spacing w:after="0" w:line="360" w:lineRule="auto"/>
        <w:ind w:firstLine="709"/>
        <w:jc w:val="both"/>
        <w:rPr>
          <w:rFonts w:ascii="Times New Roman" w:eastAsia="SimSun" w:hAnsi="Times New Roman"/>
          <w:i/>
          <w:sz w:val="24"/>
          <w:szCs w:val="24"/>
        </w:rPr>
      </w:pPr>
      <w:r w:rsidRPr="00AE47C6">
        <w:rPr>
          <w:rFonts w:ascii="Times New Roman" w:eastAsia="SimSun" w:hAnsi="Times New Roman"/>
          <w:sz w:val="24"/>
          <w:szCs w:val="24"/>
        </w:rPr>
        <w:t xml:space="preserve">Общите грижи за болния </w:t>
      </w:r>
    </w:p>
    <w:p w14:paraId="3697AC67" w14:textId="77777777" w:rsidR="00BE0B19" w:rsidRPr="00AE47C6" w:rsidRDefault="00BE0B19" w:rsidP="00BE0B19">
      <w:pPr>
        <w:spacing w:after="0" w:line="360" w:lineRule="auto"/>
        <w:jc w:val="both"/>
        <w:rPr>
          <w:rFonts w:ascii="Times New Roman" w:eastAsia="SimSun" w:hAnsi="Times New Roman"/>
          <w:b/>
          <w:bCs/>
          <w:iCs/>
          <w:sz w:val="24"/>
          <w:szCs w:val="24"/>
        </w:rPr>
      </w:pPr>
      <w:r w:rsidRPr="00AE47C6">
        <w:rPr>
          <w:rFonts w:ascii="Times New Roman" w:eastAsia="SimSun" w:hAnsi="Times New Roman"/>
          <w:b/>
          <w:sz w:val="24"/>
          <w:szCs w:val="24"/>
        </w:rPr>
        <w:t>Прогноза</w:t>
      </w:r>
      <w:r w:rsidRPr="00AE47C6">
        <w:rPr>
          <w:rFonts w:ascii="Times New Roman" w:eastAsia="SimSun" w:hAnsi="Times New Roman"/>
          <w:sz w:val="24"/>
          <w:szCs w:val="24"/>
        </w:rPr>
        <w:t>. При рано поставена диагноза и своевременно започната адекватна терапия, може да настъпи пълно оздравяване. При фудроянтната форма, особено с надбъбречен тип на протичане, смъртността е висока.</w:t>
      </w:r>
    </w:p>
    <w:p w14:paraId="73BDBD63"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51177FB1" w14:textId="77777777" w:rsidR="00BE0B19" w:rsidRPr="00AE47C6" w:rsidRDefault="00BE0B19" w:rsidP="00BE0B19">
      <w:pPr>
        <w:tabs>
          <w:tab w:val="left" w:pos="720"/>
        </w:tabs>
        <w:suppressAutoHyphens/>
        <w:spacing w:after="0" w:line="360" w:lineRule="auto"/>
        <w:ind w:firstLine="709"/>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Вторични бактериални менингити</w:t>
      </w:r>
      <w:r w:rsidRPr="00AE47C6">
        <w:rPr>
          <w:rFonts w:ascii="Times New Roman" w:eastAsia="SimSun" w:hAnsi="Times New Roman"/>
          <w:b/>
          <w:bCs/>
          <w:sz w:val="24"/>
          <w:szCs w:val="24"/>
          <w:lang w:eastAsia="bg-BG"/>
        </w:rPr>
        <w:br/>
      </w:r>
    </w:p>
    <w:p w14:paraId="0D8A858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Представляват усложнение на пиогенни процеси с различна органна локализация: глава, лице, устна кухина, хематогенни разсейки от холецистити, остеомиелити, бронхектазии, ендокардити, абсцеси, флегмони и др.</w:t>
      </w:r>
    </w:p>
    <w:p w14:paraId="1631C99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Етиология.</w:t>
      </w:r>
      <w:r w:rsidRPr="00AE47C6">
        <w:rPr>
          <w:rFonts w:ascii="Times New Roman" w:eastAsia="SimSun" w:hAnsi="Times New Roman"/>
          <w:sz w:val="24"/>
          <w:szCs w:val="24"/>
        </w:rPr>
        <w:t xml:space="preserve"> Причинители на вторичните бактериални менингити са стрептококи, стафилококи, пневмококи, ентерококи, понякога гонококи, Pseudomonas aeruginosa, Haemophilus influenzae и др. Значителен е процентът на етиологично неуточнените менингити. </w:t>
      </w:r>
    </w:p>
    <w:p w14:paraId="0F1054A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Патогенеза.</w:t>
      </w:r>
      <w:r w:rsidRPr="00AE47C6">
        <w:rPr>
          <w:rFonts w:ascii="Times New Roman" w:eastAsia="SimSun" w:hAnsi="Times New Roman"/>
          <w:sz w:val="24"/>
          <w:szCs w:val="24"/>
        </w:rPr>
        <w:t xml:space="preserve"> Пиогенните бактерии достигат до менингите по хематогенен и/или лимфогенен път, по съседство, чрез директна инокулация, ятрогенно при операции или при ликворно изследване, при пробив на абсцес в ликворните пространства.</w:t>
      </w:r>
    </w:p>
    <w:p w14:paraId="008BF1C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Клинична картина.</w:t>
      </w:r>
      <w:r w:rsidRPr="00AE47C6">
        <w:rPr>
          <w:rFonts w:ascii="Times New Roman" w:eastAsia="SimSun" w:hAnsi="Times New Roman"/>
          <w:sz w:val="24"/>
          <w:szCs w:val="24"/>
        </w:rPr>
        <w:t xml:space="preserve"> Общо соматичните възпалителни прояви се характеризират с висок фебрилитет до 41-42</w:t>
      </w:r>
      <w:r w:rsidRPr="00AE47C6">
        <w:rPr>
          <w:rFonts w:ascii="Times New Roman" w:eastAsia="SimSun" w:hAnsi="Times New Roman"/>
          <w:sz w:val="24"/>
          <w:szCs w:val="24"/>
          <w:vertAlign w:val="superscript"/>
        </w:rPr>
        <w:t xml:space="preserve">0 </w:t>
      </w:r>
      <w:r w:rsidRPr="00AE47C6">
        <w:rPr>
          <w:rFonts w:ascii="Times New Roman" w:eastAsia="SimSun" w:hAnsi="Times New Roman"/>
          <w:sz w:val="24"/>
          <w:szCs w:val="24"/>
        </w:rPr>
        <w:t>C, хиперхидроза, астено-адинамия, колебания в пулсовата честота, спадане на артериалното налягане (до колапс). Почти едновременно с това се развива ясно изразен менингеален синдром, кожна хиперестезия, фото- и фонофобия. Интракраниалната хипертензия е проявена с главоболие, гадене и повръщане. Възможни са корови прояви (двустранни пирамидни белези, епилептични припадъци), лезии на краниални нерви, количествени и качествени промени в съзнанието (до инфекциозни делири или кома). Подробната анамнеза и щателният соматичен преглед почти винаги разкриват наличие на инфекциозното възпалително огнище, от което е възникнал менингитът. Ликворното изследване е решаващо за потвърждаване на гнойния характер на менингита и за бактериологичното установяване на етиологията му. В ликвора се открива изразена полинуклеарна плеоцитоза (до 1-5.10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/l, т.е. 1000-5000 в 1 ml) и хиперпротеинрахия до 20,0 – 30,0 g/l.</w:t>
      </w:r>
    </w:p>
    <w:p w14:paraId="13C7C6E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Диагноза и диференциална диагноза.</w:t>
      </w:r>
      <w:r w:rsidRPr="00AE47C6">
        <w:rPr>
          <w:rFonts w:ascii="Times New Roman" w:eastAsia="SimSun" w:hAnsi="Times New Roman"/>
          <w:sz w:val="24"/>
          <w:szCs w:val="24"/>
        </w:rPr>
        <w:t xml:space="preserve"> Извършват се на базата на данните от анамнезата, епидемиологичната ситуация, подробния соматичен и неврологичен статус, началото, клиничните изяви и еволюцията на менингита. Решаващо за етиологичната диагноза е пълноценното, вкл. бактериологично ликворно изследване. (Табл.4.1.)</w:t>
      </w:r>
    </w:p>
    <w:p w14:paraId="72262A5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Пневмококов менингит.</w:t>
      </w:r>
      <w:r w:rsidRPr="00AE47C6">
        <w:rPr>
          <w:rFonts w:ascii="Times New Roman" w:eastAsia="SimSun" w:hAnsi="Times New Roman"/>
          <w:sz w:val="24"/>
          <w:szCs w:val="24"/>
        </w:rPr>
        <w:t xml:space="preserve"> Протича по-тежко от менингококовия менингит, като смъртността достига до 50%. Причинява се от пневмококи І и ІІ тип, а при новородени - от V серотип. Започва след синуит, отит, бронхопневмония или инфектиране на открита травма на главата. Бързо се развиват менингеален синдром, мозъчен оток, огнищни неврологични прояви и епилептични гърчове, кома. След оздравяване често се установяват остатъчни неврологични симптоми – глухота и лезии на краниални нерви, арахноидити и хидроцефалия.</w:t>
      </w:r>
    </w:p>
    <w:p w14:paraId="3D33273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Стафилококовият менингит</w:t>
      </w:r>
      <w:r w:rsidRPr="00AE47C6">
        <w:rPr>
          <w:rFonts w:ascii="Times New Roman" w:eastAsia="SimSun" w:hAnsi="Times New Roman"/>
          <w:sz w:val="24"/>
          <w:szCs w:val="24"/>
        </w:rPr>
        <w:t xml:space="preserve"> се среща предимно в кърмаческа и детска възраст. Обичайно е усложнение на стафилококови ангини, кожни инфекции, абсцеси, сепсис и др. Често се съпровожда от хеморагично-булозни обриви по крайниците, възникват и абсцедирания в мозъчната кора. Леталитетът е висок, а около 50% от оздравелите са с остатъчна неврологична симптоматика.</w:t>
      </w:r>
    </w:p>
    <w:p w14:paraId="6E73E52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Стрептококов менингит.</w:t>
      </w:r>
      <w:r w:rsidRPr="00AE47C6">
        <w:rPr>
          <w:rFonts w:ascii="Times New Roman" w:eastAsia="SimSun" w:hAnsi="Times New Roman"/>
          <w:sz w:val="24"/>
          <w:szCs w:val="24"/>
        </w:rPr>
        <w:t xml:space="preserve"> Източник на инфекцията са хронични отити, мастоидити, тонзилити и др. Най-често се развива в неонаталния период и при кърмачета, като твърде лесно се достига до сепсис с токсоинфекциозен шок. Леталитетът достига до 25%.</w:t>
      </w:r>
    </w:p>
    <w:p w14:paraId="6F2B259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Ентерококовият менингит</w:t>
      </w:r>
      <w:r w:rsidRPr="00AE47C6">
        <w:rPr>
          <w:rFonts w:ascii="Times New Roman" w:eastAsia="SimSun" w:hAnsi="Times New Roman"/>
          <w:sz w:val="24"/>
          <w:szCs w:val="24"/>
        </w:rPr>
        <w:t xml:space="preserve"> се развива предимно при новородени и през първите 6 месеца след раждането. Протичат с лек субфебрилитет, отказ от храна и течности, преколапсите и колапсните състояния. Кожната хиперестезия е силно изразена, рано настъпва хидроцефалия с бомбиране на фонтанелите. Леталитетът достига до 70%, оздравяването е с остатъчна симптоматика.</w:t>
      </w:r>
    </w:p>
    <w:p w14:paraId="654F026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Pseudomonas aeruginosa менингит.</w:t>
      </w:r>
      <w:r w:rsidRPr="00AE47C6">
        <w:rPr>
          <w:rFonts w:ascii="Times New Roman" w:eastAsia="SimSun" w:hAnsi="Times New Roman"/>
          <w:sz w:val="24"/>
          <w:szCs w:val="24"/>
        </w:rPr>
        <w:t xml:space="preserve"> Развива се у деца, лекувани продължително време или с високи дози имуносупресори, както и при деца с вроден или придобит имунен дефицит.</w:t>
      </w:r>
    </w:p>
    <w:p w14:paraId="231CFC5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Haemophilus influenzae менингитът</w:t>
      </w:r>
      <w:r w:rsidRPr="00AE47C6">
        <w:rPr>
          <w:rFonts w:ascii="Times New Roman" w:eastAsia="SimSun" w:hAnsi="Times New Roman"/>
          <w:sz w:val="24"/>
          <w:szCs w:val="24"/>
        </w:rPr>
        <w:t xml:space="preserve"> се причинява от бацилът на Pfeiffer. Среща се при кърмачета, малки деца и в старческа възраст. Най-често е усложнение на отити и ринофарингити. Протича без особености в симптоматиката.</w:t>
      </w:r>
    </w:p>
    <w:p w14:paraId="2A089EC5"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Таблица 4.1. Диференциална диагноза между менингитите.</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2362"/>
        <w:gridCol w:w="2192"/>
        <w:gridCol w:w="2313"/>
        <w:gridCol w:w="2205"/>
      </w:tblGrid>
      <w:tr w:rsidR="00BE0B19" w:rsidRPr="00AE47C6" w14:paraId="46EE121C" w14:textId="77777777" w:rsidTr="00AD72E5">
        <w:trPr>
          <w:trHeight w:val="350"/>
        </w:trPr>
        <w:tc>
          <w:tcPr>
            <w:tcW w:w="2451" w:type="dxa"/>
            <w:tcMar>
              <w:top w:w="72" w:type="dxa"/>
              <w:left w:w="144" w:type="dxa"/>
              <w:bottom w:w="72" w:type="dxa"/>
              <w:right w:w="144" w:type="dxa"/>
            </w:tcMar>
          </w:tcPr>
          <w:p w14:paraId="27BFC243" w14:textId="77777777" w:rsidR="00BE0B19" w:rsidRPr="00AE47C6" w:rsidRDefault="00BE0B19" w:rsidP="00BE0B19">
            <w:pPr>
              <w:spacing w:after="0" w:line="360" w:lineRule="auto"/>
              <w:jc w:val="both"/>
              <w:rPr>
                <w:rFonts w:ascii="Times New Roman" w:eastAsia="SimSun" w:hAnsi="Times New Roman"/>
                <w:sz w:val="24"/>
                <w:szCs w:val="24"/>
                <w:lang w:eastAsia="bg-BG"/>
              </w:rPr>
            </w:pPr>
          </w:p>
        </w:tc>
        <w:tc>
          <w:tcPr>
            <w:tcW w:w="2229" w:type="dxa"/>
            <w:tcMar>
              <w:top w:w="72" w:type="dxa"/>
              <w:left w:w="144" w:type="dxa"/>
              <w:bottom w:w="72" w:type="dxa"/>
              <w:right w:w="144" w:type="dxa"/>
            </w:tcMar>
          </w:tcPr>
          <w:p w14:paraId="028C3DE4"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ТУБЕРКУЛОЗЕН</w:t>
            </w:r>
          </w:p>
        </w:tc>
        <w:tc>
          <w:tcPr>
            <w:tcW w:w="2552" w:type="dxa"/>
            <w:tcMar>
              <w:top w:w="72" w:type="dxa"/>
              <w:left w:w="144" w:type="dxa"/>
              <w:bottom w:w="72" w:type="dxa"/>
              <w:right w:w="144" w:type="dxa"/>
            </w:tcMar>
          </w:tcPr>
          <w:p w14:paraId="592EF41F"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ГНОЕН</w:t>
            </w:r>
          </w:p>
        </w:tc>
        <w:tc>
          <w:tcPr>
            <w:tcW w:w="2410" w:type="dxa"/>
            <w:tcMar>
              <w:top w:w="72" w:type="dxa"/>
              <w:left w:w="144" w:type="dxa"/>
              <w:bottom w:w="72" w:type="dxa"/>
              <w:right w:w="144" w:type="dxa"/>
            </w:tcMar>
          </w:tcPr>
          <w:p w14:paraId="79582E1D"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ВИРУСНЕН</w:t>
            </w:r>
          </w:p>
        </w:tc>
      </w:tr>
      <w:tr w:rsidR="00BE0B19" w:rsidRPr="00AE47C6" w14:paraId="6BE2CFA7" w14:textId="77777777" w:rsidTr="00AD72E5">
        <w:trPr>
          <w:trHeight w:val="948"/>
        </w:trPr>
        <w:tc>
          <w:tcPr>
            <w:tcW w:w="2451" w:type="dxa"/>
            <w:tcMar>
              <w:top w:w="72" w:type="dxa"/>
              <w:left w:w="144" w:type="dxa"/>
              <w:bottom w:w="72" w:type="dxa"/>
              <w:right w:w="144" w:type="dxa"/>
            </w:tcMar>
          </w:tcPr>
          <w:p w14:paraId="36399483"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Минала анамнеза</w:t>
            </w:r>
          </w:p>
        </w:tc>
        <w:tc>
          <w:tcPr>
            <w:tcW w:w="2229" w:type="dxa"/>
            <w:tcMar>
              <w:top w:w="72" w:type="dxa"/>
              <w:left w:w="144" w:type="dxa"/>
              <w:bottom w:w="72" w:type="dxa"/>
              <w:right w:w="144" w:type="dxa"/>
            </w:tcMar>
          </w:tcPr>
          <w:p w14:paraId="5A034559"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Предшестваща TBC</w:t>
            </w:r>
          </w:p>
        </w:tc>
        <w:tc>
          <w:tcPr>
            <w:tcW w:w="2552" w:type="dxa"/>
            <w:tcMar>
              <w:top w:w="72" w:type="dxa"/>
              <w:left w:w="144" w:type="dxa"/>
              <w:bottom w:w="72" w:type="dxa"/>
              <w:right w:w="144" w:type="dxa"/>
            </w:tcMar>
          </w:tcPr>
          <w:p w14:paraId="4A88466A"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 xml:space="preserve">Гнойна инфекция </w:t>
            </w:r>
          </w:p>
          <w:p w14:paraId="69023D9A" w14:textId="77777777" w:rsidR="00BE0B19" w:rsidRPr="00AE47C6" w:rsidRDefault="00BE0B19" w:rsidP="00BE0B19">
            <w:pPr>
              <w:kinsoku w:val="0"/>
              <w:overflowPunct w:val="0"/>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(фурункул, отит, синуит)</w:t>
            </w:r>
          </w:p>
        </w:tc>
        <w:tc>
          <w:tcPr>
            <w:tcW w:w="2410" w:type="dxa"/>
            <w:tcMar>
              <w:top w:w="72" w:type="dxa"/>
              <w:left w:w="144" w:type="dxa"/>
              <w:bottom w:w="72" w:type="dxa"/>
              <w:right w:w="144" w:type="dxa"/>
            </w:tcMar>
          </w:tcPr>
          <w:p w14:paraId="160228C5"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Не</w:t>
            </w:r>
          </w:p>
        </w:tc>
      </w:tr>
      <w:tr w:rsidR="00BE0B19" w:rsidRPr="00AE47C6" w14:paraId="5BFE7109" w14:textId="77777777" w:rsidTr="00AD72E5">
        <w:trPr>
          <w:trHeight w:val="840"/>
        </w:trPr>
        <w:tc>
          <w:tcPr>
            <w:tcW w:w="2451" w:type="dxa"/>
            <w:tcMar>
              <w:top w:w="72" w:type="dxa"/>
              <w:left w:w="144" w:type="dxa"/>
              <w:bottom w:w="72" w:type="dxa"/>
              <w:right w:w="144" w:type="dxa"/>
            </w:tcMar>
          </w:tcPr>
          <w:p w14:paraId="77451B72"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Епидемиологична анамнеза</w:t>
            </w:r>
          </w:p>
        </w:tc>
        <w:tc>
          <w:tcPr>
            <w:tcW w:w="2229" w:type="dxa"/>
            <w:tcMar>
              <w:top w:w="72" w:type="dxa"/>
              <w:left w:w="144" w:type="dxa"/>
              <w:bottom w:w="72" w:type="dxa"/>
              <w:right w:w="144" w:type="dxa"/>
            </w:tcMar>
          </w:tcPr>
          <w:p w14:paraId="313AE644"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Контакт с TBC</w:t>
            </w:r>
          </w:p>
        </w:tc>
        <w:tc>
          <w:tcPr>
            <w:tcW w:w="2552" w:type="dxa"/>
            <w:tcMar>
              <w:top w:w="72" w:type="dxa"/>
              <w:left w:w="144" w:type="dxa"/>
              <w:bottom w:w="72" w:type="dxa"/>
              <w:right w:w="144" w:type="dxa"/>
            </w:tcMar>
          </w:tcPr>
          <w:p w14:paraId="3BA0904D"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Контакт с менингококов менингит</w:t>
            </w:r>
          </w:p>
        </w:tc>
        <w:tc>
          <w:tcPr>
            <w:tcW w:w="2410" w:type="dxa"/>
            <w:tcMar>
              <w:top w:w="72" w:type="dxa"/>
              <w:left w:w="144" w:type="dxa"/>
              <w:bottom w:w="72" w:type="dxa"/>
              <w:right w:w="144" w:type="dxa"/>
            </w:tcMar>
          </w:tcPr>
          <w:p w14:paraId="19CCAC65"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Контакт с болен с вирусна инфекция</w:t>
            </w:r>
          </w:p>
        </w:tc>
      </w:tr>
      <w:tr w:rsidR="00BE0B19" w:rsidRPr="00AE47C6" w14:paraId="14F34845" w14:textId="77777777" w:rsidTr="00AD72E5">
        <w:trPr>
          <w:trHeight w:val="648"/>
        </w:trPr>
        <w:tc>
          <w:tcPr>
            <w:tcW w:w="2451" w:type="dxa"/>
            <w:tcMar>
              <w:top w:w="72" w:type="dxa"/>
              <w:left w:w="144" w:type="dxa"/>
              <w:bottom w:w="72" w:type="dxa"/>
              <w:right w:w="144" w:type="dxa"/>
            </w:tcMar>
          </w:tcPr>
          <w:p w14:paraId="4B435803"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Продромален период</w:t>
            </w:r>
          </w:p>
        </w:tc>
        <w:tc>
          <w:tcPr>
            <w:tcW w:w="2229" w:type="dxa"/>
            <w:tcMar>
              <w:top w:w="72" w:type="dxa"/>
              <w:left w:w="144" w:type="dxa"/>
              <w:bottom w:w="72" w:type="dxa"/>
              <w:right w:w="144" w:type="dxa"/>
            </w:tcMar>
          </w:tcPr>
          <w:p w14:paraId="71943A96"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Да</w:t>
            </w:r>
          </w:p>
        </w:tc>
        <w:tc>
          <w:tcPr>
            <w:tcW w:w="2552" w:type="dxa"/>
            <w:tcMar>
              <w:top w:w="72" w:type="dxa"/>
              <w:left w:w="144" w:type="dxa"/>
              <w:bottom w:w="72" w:type="dxa"/>
              <w:right w:w="144" w:type="dxa"/>
            </w:tcMar>
          </w:tcPr>
          <w:p w14:paraId="5E9881FA"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Не</w:t>
            </w:r>
          </w:p>
        </w:tc>
        <w:tc>
          <w:tcPr>
            <w:tcW w:w="2410" w:type="dxa"/>
            <w:tcMar>
              <w:top w:w="72" w:type="dxa"/>
              <w:left w:w="144" w:type="dxa"/>
              <w:bottom w:w="72" w:type="dxa"/>
              <w:right w:w="144" w:type="dxa"/>
            </w:tcMar>
          </w:tcPr>
          <w:p w14:paraId="1BBF4CD5"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Не</w:t>
            </w:r>
          </w:p>
        </w:tc>
      </w:tr>
      <w:tr w:rsidR="00BE0B19" w:rsidRPr="00AE47C6" w14:paraId="1D1D0E02" w14:textId="77777777" w:rsidTr="00AD72E5">
        <w:trPr>
          <w:trHeight w:val="933"/>
        </w:trPr>
        <w:tc>
          <w:tcPr>
            <w:tcW w:w="2451" w:type="dxa"/>
            <w:tcMar>
              <w:top w:w="72" w:type="dxa"/>
              <w:left w:w="144" w:type="dxa"/>
              <w:bottom w:w="72" w:type="dxa"/>
              <w:right w:w="144" w:type="dxa"/>
            </w:tcMar>
          </w:tcPr>
          <w:p w14:paraId="54283E15"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T</w:t>
            </w:r>
            <w:r w:rsidRPr="00AE47C6">
              <w:rPr>
                <w:rFonts w:ascii="Times New Roman" w:eastAsia="SimSun" w:hAnsi="Times New Roman"/>
                <w:bCs/>
                <w:kern w:val="24"/>
                <w:position w:val="10"/>
                <w:sz w:val="24"/>
                <w:szCs w:val="24"/>
                <w:vertAlign w:val="superscript"/>
                <w:lang w:eastAsia="bg-BG"/>
              </w:rPr>
              <w:t>o</w:t>
            </w:r>
          </w:p>
        </w:tc>
        <w:tc>
          <w:tcPr>
            <w:tcW w:w="2229" w:type="dxa"/>
            <w:tcMar>
              <w:top w:w="72" w:type="dxa"/>
              <w:left w:w="144" w:type="dxa"/>
              <w:bottom w:w="72" w:type="dxa"/>
              <w:right w:w="144" w:type="dxa"/>
            </w:tcMar>
          </w:tcPr>
          <w:p w14:paraId="26E27C41"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До 38</w:t>
            </w:r>
            <w:r w:rsidRPr="00AE47C6">
              <w:rPr>
                <w:rFonts w:ascii="Times New Roman" w:eastAsia="SimSun" w:hAnsi="Times New Roman"/>
                <w:bCs/>
                <w:kern w:val="24"/>
                <w:position w:val="10"/>
                <w:sz w:val="24"/>
                <w:szCs w:val="24"/>
                <w:vertAlign w:val="superscript"/>
                <w:lang w:eastAsia="bg-BG"/>
              </w:rPr>
              <w:t>о</w:t>
            </w:r>
            <w:r w:rsidRPr="00AE47C6">
              <w:rPr>
                <w:rFonts w:ascii="Times New Roman" w:eastAsia="SimSun" w:hAnsi="Times New Roman"/>
                <w:bCs/>
                <w:kern w:val="24"/>
                <w:sz w:val="24"/>
                <w:szCs w:val="24"/>
                <w:lang w:eastAsia="bg-BG"/>
              </w:rPr>
              <w:t xml:space="preserve"> 5С</w:t>
            </w:r>
          </w:p>
        </w:tc>
        <w:tc>
          <w:tcPr>
            <w:tcW w:w="2552" w:type="dxa"/>
            <w:tcMar>
              <w:top w:w="72" w:type="dxa"/>
              <w:left w:w="144" w:type="dxa"/>
              <w:bottom w:w="72" w:type="dxa"/>
              <w:right w:w="144" w:type="dxa"/>
            </w:tcMar>
          </w:tcPr>
          <w:p w14:paraId="59C58E2C"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Висок фебрилитет, септичен характер</w:t>
            </w:r>
          </w:p>
        </w:tc>
        <w:tc>
          <w:tcPr>
            <w:tcW w:w="2410" w:type="dxa"/>
            <w:tcMar>
              <w:top w:w="72" w:type="dxa"/>
              <w:left w:w="144" w:type="dxa"/>
              <w:bottom w:w="72" w:type="dxa"/>
              <w:right w:w="144" w:type="dxa"/>
            </w:tcMar>
          </w:tcPr>
          <w:p w14:paraId="0AEC0F8B"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Остро повишение, двугърба T</w:t>
            </w:r>
            <w:r w:rsidRPr="00AE47C6">
              <w:rPr>
                <w:rFonts w:ascii="Times New Roman" w:eastAsia="SimSun" w:hAnsi="Times New Roman"/>
                <w:bCs/>
                <w:kern w:val="24"/>
                <w:position w:val="8"/>
                <w:sz w:val="24"/>
                <w:szCs w:val="24"/>
                <w:vertAlign w:val="superscript"/>
                <w:lang w:eastAsia="bg-BG"/>
              </w:rPr>
              <w:t>о</w:t>
            </w:r>
            <w:r w:rsidRPr="00AE47C6">
              <w:rPr>
                <w:rFonts w:ascii="Times New Roman" w:eastAsia="SimSun" w:hAnsi="Times New Roman"/>
                <w:bCs/>
                <w:kern w:val="24"/>
                <w:sz w:val="24"/>
                <w:szCs w:val="24"/>
                <w:lang w:eastAsia="bg-BG"/>
              </w:rPr>
              <w:t xml:space="preserve"> крива</w:t>
            </w:r>
          </w:p>
        </w:tc>
      </w:tr>
      <w:tr w:rsidR="00BE0B19" w:rsidRPr="00AE47C6" w14:paraId="2B79F5A7" w14:textId="77777777" w:rsidTr="00AD72E5">
        <w:trPr>
          <w:trHeight w:val="630"/>
        </w:trPr>
        <w:tc>
          <w:tcPr>
            <w:tcW w:w="2451" w:type="dxa"/>
            <w:tcMar>
              <w:top w:w="72" w:type="dxa"/>
              <w:left w:w="144" w:type="dxa"/>
              <w:bottom w:w="72" w:type="dxa"/>
              <w:right w:w="144" w:type="dxa"/>
            </w:tcMar>
          </w:tcPr>
          <w:p w14:paraId="7EAF1347"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Кръвна картина</w:t>
            </w:r>
          </w:p>
        </w:tc>
        <w:tc>
          <w:tcPr>
            <w:tcW w:w="2229" w:type="dxa"/>
            <w:tcMar>
              <w:top w:w="72" w:type="dxa"/>
              <w:left w:w="144" w:type="dxa"/>
              <w:bottom w:w="72" w:type="dxa"/>
              <w:right w:w="144" w:type="dxa"/>
            </w:tcMar>
          </w:tcPr>
          <w:p w14:paraId="1D837F9C"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До умерена левкоцитоза</w:t>
            </w:r>
          </w:p>
        </w:tc>
        <w:tc>
          <w:tcPr>
            <w:tcW w:w="2552" w:type="dxa"/>
            <w:tcMar>
              <w:top w:w="72" w:type="dxa"/>
              <w:left w:w="144" w:type="dxa"/>
              <w:bottom w:w="72" w:type="dxa"/>
              <w:right w:w="144" w:type="dxa"/>
            </w:tcMar>
          </w:tcPr>
          <w:p w14:paraId="58C33E0A"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Висока левкоцитоза</w:t>
            </w:r>
          </w:p>
        </w:tc>
        <w:tc>
          <w:tcPr>
            <w:tcW w:w="2410" w:type="dxa"/>
            <w:tcMar>
              <w:top w:w="72" w:type="dxa"/>
              <w:left w:w="144" w:type="dxa"/>
              <w:bottom w:w="72" w:type="dxa"/>
              <w:right w:w="144" w:type="dxa"/>
            </w:tcMar>
          </w:tcPr>
          <w:p w14:paraId="552FF294"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Не</w:t>
            </w:r>
          </w:p>
        </w:tc>
      </w:tr>
      <w:tr w:rsidR="00BE0B19" w:rsidRPr="00AE47C6" w14:paraId="0453CE9A" w14:textId="77777777" w:rsidTr="00AD72E5">
        <w:trPr>
          <w:trHeight w:val="530"/>
        </w:trPr>
        <w:tc>
          <w:tcPr>
            <w:tcW w:w="2451" w:type="dxa"/>
            <w:tcMar>
              <w:top w:w="72" w:type="dxa"/>
              <w:left w:w="144" w:type="dxa"/>
              <w:bottom w:w="72" w:type="dxa"/>
              <w:right w:w="144" w:type="dxa"/>
            </w:tcMar>
          </w:tcPr>
          <w:p w14:paraId="00D1D200"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КН увреди</w:t>
            </w:r>
          </w:p>
        </w:tc>
        <w:tc>
          <w:tcPr>
            <w:tcW w:w="2229" w:type="dxa"/>
            <w:tcMar>
              <w:top w:w="72" w:type="dxa"/>
              <w:left w:w="144" w:type="dxa"/>
              <w:bottom w:w="72" w:type="dxa"/>
              <w:right w:w="144" w:type="dxa"/>
            </w:tcMar>
          </w:tcPr>
          <w:p w14:paraId="0C7204AC"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Да</w:t>
            </w:r>
          </w:p>
        </w:tc>
        <w:tc>
          <w:tcPr>
            <w:tcW w:w="2552" w:type="dxa"/>
            <w:tcMar>
              <w:top w:w="72" w:type="dxa"/>
              <w:left w:w="144" w:type="dxa"/>
              <w:bottom w:w="72" w:type="dxa"/>
              <w:right w:w="144" w:type="dxa"/>
            </w:tcMar>
          </w:tcPr>
          <w:p w14:paraId="0D29F695"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Рядко</w:t>
            </w:r>
          </w:p>
        </w:tc>
        <w:tc>
          <w:tcPr>
            <w:tcW w:w="2410" w:type="dxa"/>
            <w:tcMar>
              <w:top w:w="72" w:type="dxa"/>
              <w:left w:w="144" w:type="dxa"/>
              <w:bottom w:w="72" w:type="dxa"/>
              <w:right w:w="144" w:type="dxa"/>
            </w:tcMar>
          </w:tcPr>
          <w:p w14:paraId="1DE564AC"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Не</w:t>
            </w:r>
          </w:p>
        </w:tc>
      </w:tr>
      <w:tr w:rsidR="00BE0B19" w:rsidRPr="00AE47C6" w14:paraId="44CCF263" w14:textId="77777777" w:rsidTr="00AD72E5">
        <w:trPr>
          <w:trHeight w:val="918"/>
        </w:trPr>
        <w:tc>
          <w:tcPr>
            <w:tcW w:w="2451" w:type="dxa"/>
            <w:tcMar>
              <w:top w:w="72" w:type="dxa"/>
              <w:left w:w="144" w:type="dxa"/>
              <w:bottom w:w="72" w:type="dxa"/>
              <w:right w:w="144" w:type="dxa"/>
            </w:tcMar>
          </w:tcPr>
          <w:p w14:paraId="1E2996F1"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Ликворна плеоцитоза</w:t>
            </w:r>
          </w:p>
        </w:tc>
        <w:tc>
          <w:tcPr>
            <w:tcW w:w="2229" w:type="dxa"/>
            <w:tcMar>
              <w:top w:w="72" w:type="dxa"/>
              <w:left w:w="144" w:type="dxa"/>
              <w:bottom w:w="72" w:type="dxa"/>
              <w:right w:w="144" w:type="dxa"/>
            </w:tcMar>
          </w:tcPr>
          <w:p w14:paraId="3C906518"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Лимфоцитна- до 500.10</w:t>
            </w:r>
            <w:r w:rsidRPr="00AE47C6">
              <w:rPr>
                <w:rFonts w:ascii="Times New Roman" w:eastAsia="SimSun" w:hAnsi="Times New Roman"/>
                <w:bCs/>
                <w:kern w:val="24"/>
                <w:position w:val="10"/>
                <w:sz w:val="24"/>
                <w:szCs w:val="24"/>
                <w:vertAlign w:val="superscript"/>
                <w:lang w:eastAsia="bg-BG"/>
              </w:rPr>
              <w:t xml:space="preserve"> 6</w:t>
            </w:r>
            <w:r w:rsidRPr="00AE47C6">
              <w:rPr>
                <w:rFonts w:ascii="Times New Roman" w:eastAsia="SimSun" w:hAnsi="Times New Roman"/>
                <w:bCs/>
                <w:kern w:val="24"/>
                <w:sz w:val="24"/>
                <w:szCs w:val="24"/>
                <w:lang w:eastAsia="bg-BG"/>
              </w:rPr>
              <w:t>/l</w:t>
            </w:r>
          </w:p>
        </w:tc>
        <w:tc>
          <w:tcPr>
            <w:tcW w:w="2552" w:type="dxa"/>
            <w:tcMar>
              <w:top w:w="72" w:type="dxa"/>
              <w:left w:w="144" w:type="dxa"/>
              <w:bottom w:w="72" w:type="dxa"/>
              <w:right w:w="144" w:type="dxa"/>
            </w:tcMar>
          </w:tcPr>
          <w:p w14:paraId="0A831B22"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 xml:space="preserve"> Сегменти- 1000-5000.10</w:t>
            </w:r>
            <w:r w:rsidRPr="00AE47C6">
              <w:rPr>
                <w:rFonts w:ascii="Times New Roman" w:eastAsia="SimSun" w:hAnsi="Times New Roman"/>
                <w:bCs/>
                <w:kern w:val="24"/>
                <w:position w:val="10"/>
                <w:sz w:val="24"/>
                <w:szCs w:val="24"/>
                <w:vertAlign w:val="superscript"/>
                <w:lang w:eastAsia="bg-BG"/>
              </w:rPr>
              <w:t>6</w:t>
            </w:r>
            <w:r w:rsidRPr="00AE47C6">
              <w:rPr>
                <w:rFonts w:ascii="Times New Roman" w:eastAsia="SimSun" w:hAnsi="Times New Roman"/>
                <w:bCs/>
                <w:kern w:val="24"/>
                <w:sz w:val="24"/>
                <w:szCs w:val="24"/>
                <w:lang w:eastAsia="bg-BG"/>
              </w:rPr>
              <w:t xml:space="preserve"> /l</w:t>
            </w:r>
          </w:p>
        </w:tc>
        <w:tc>
          <w:tcPr>
            <w:tcW w:w="2410" w:type="dxa"/>
            <w:tcMar>
              <w:top w:w="72" w:type="dxa"/>
              <w:left w:w="144" w:type="dxa"/>
              <w:bottom w:w="72" w:type="dxa"/>
              <w:right w:w="144" w:type="dxa"/>
            </w:tcMar>
          </w:tcPr>
          <w:p w14:paraId="62B49535"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Лимфоцитна- до 400-500.10</w:t>
            </w:r>
            <w:r w:rsidRPr="00AE47C6">
              <w:rPr>
                <w:rFonts w:ascii="Times New Roman" w:eastAsia="SimSun" w:hAnsi="Times New Roman"/>
                <w:bCs/>
                <w:kern w:val="24"/>
                <w:position w:val="10"/>
                <w:sz w:val="24"/>
                <w:szCs w:val="24"/>
                <w:vertAlign w:val="superscript"/>
                <w:lang w:eastAsia="bg-BG"/>
              </w:rPr>
              <w:t>6</w:t>
            </w:r>
            <w:r w:rsidRPr="00AE47C6">
              <w:rPr>
                <w:rFonts w:ascii="Times New Roman" w:eastAsia="SimSun" w:hAnsi="Times New Roman"/>
                <w:bCs/>
                <w:kern w:val="24"/>
                <w:sz w:val="24"/>
                <w:szCs w:val="24"/>
                <w:lang w:eastAsia="bg-BG"/>
              </w:rPr>
              <w:t>/l</w:t>
            </w:r>
          </w:p>
        </w:tc>
      </w:tr>
      <w:tr w:rsidR="00BE0B19" w:rsidRPr="00AE47C6" w14:paraId="5E521B5D" w14:textId="77777777" w:rsidTr="00AD72E5">
        <w:trPr>
          <w:trHeight w:val="533"/>
        </w:trPr>
        <w:tc>
          <w:tcPr>
            <w:tcW w:w="2451" w:type="dxa"/>
            <w:tcMar>
              <w:top w:w="72" w:type="dxa"/>
              <w:left w:w="144" w:type="dxa"/>
              <w:bottom w:w="72" w:type="dxa"/>
              <w:right w:w="144" w:type="dxa"/>
            </w:tcMar>
          </w:tcPr>
          <w:p w14:paraId="057B9B88"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Ликворен белтък</w:t>
            </w:r>
          </w:p>
        </w:tc>
        <w:tc>
          <w:tcPr>
            <w:tcW w:w="2229" w:type="dxa"/>
            <w:tcMar>
              <w:top w:w="72" w:type="dxa"/>
              <w:left w:w="144" w:type="dxa"/>
              <w:bottom w:w="72" w:type="dxa"/>
              <w:right w:w="144" w:type="dxa"/>
            </w:tcMar>
          </w:tcPr>
          <w:p w14:paraId="720A6288"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0,8-4,0 g/l</w:t>
            </w:r>
          </w:p>
        </w:tc>
        <w:tc>
          <w:tcPr>
            <w:tcW w:w="2552" w:type="dxa"/>
            <w:tcMar>
              <w:top w:w="72" w:type="dxa"/>
              <w:left w:w="144" w:type="dxa"/>
              <w:bottom w:w="72" w:type="dxa"/>
              <w:right w:w="144" w:type="dxa"/>
            </w:tcMar>
          </w:tcPr>
          <w:p w14:paraId="1372E91B"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До 10,0-30,0g/l</w:t>
            </w:r>
          </w:p>
        </w:tc>
        <w:tc>
          <w:tcPr>
            <w:tcW w:w="2410" w:type="dxa"/>
            <w:tcMar>
              <w:top w:w="72" w:type="dxa"/>
              <w:left w:w="144" w:type="dxa"/>
              <w:bottom w:w="72" w:type="dxa"/>
              <w:right w:w="144" w:type="dxa"/>
            </w:tcMar>
          </w:tcPr>
          <w:p w14:paraId="3A65614A"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0,5-4,0 g/l</w:t>
            </w:r>
          </w:p>
        </w:tc>
      </w:tr>
      <w:tr w:rsidR="00BE0B19" w:rsidRPr="00AE47C6" w14:paraId="4BE41D32" w14:textId="77777777" w:rsidTr="00AD72E5">
        <w:trPr>
          <w:trHeight w:val="530"/>
        </w:trPr>
        <w:tc>
          <w:tcPr>
            <w:tcW w:w="2451" w:type="dxa"/>
            <w:tcMar>
              <w:top w:w="72" w:type="dxa"/>
              <w:left w:w="144" w:type="dxa"/>
              <w:bottom w:w="72" w:type="dxa"/>
              <w:right w:w="144" w:type="dxa"/>
            </w:tcMar>
          </w:tcPr>
          <w:p w14:paraId="0EF0A391"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Ликворна глюкоза</w:t>
            </w:r>
          </w:p>
        </w:tc>
        <w:tc>
          <w:tcPr>
            <w:tcW w:w="2229" w:type="dxa"/>
            <w:tcMar>
              <w:top w:w="72" w:type="dxa"/>
              <w:left w:w="144" w:type="dxa"/>
              <w:bottom w:w="72" w:type="dxa"/>
              <w:right w:w="144" w:type="dxa"/>
            </w:tcMar>
          </w:tcPr>
          <w:p w14:paraId="40BFB0EA"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под 2,8 mmol /l</w:t>
            </w:r>
          </w:p>
        </w:tc>
        <w:tc>
          <w:tcPr>
            <w:tcW w:w="2552" w:type="dxa"/>
            <w:tcMar>
              <w:top w:w="72" w:type="dxa"/>
              <w:left w:w="144" w:type="dxa"/>
              <w:bottom w:w="72" w:type="dxa"/>
              <w:right w:w="144" w:type="dxa"/>
            </w:tcMar>
          </w:tcPr>
          <w:p w14:paraId="14F2E68A"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под 2,8 mmol /л</w:t>
            </w:r>
          </w:p>
        </w:tc>
        <w:tc>
          <w:tcPr>
            <w:tcW w:w="2410" w:type="dxa"/>
            <w:tcMar>
              <w:top w:w="72" w:type="dxa"/>
              <w:left w:w="144" w:type="dxa"/>
              <w:bottom w:w="72" w:type="dxa"/>
              <w:right w:w="144" w:type="dxa"/>
            </w:tcMar>
          </w:tcPr>
          <w:p w14:paraId="4582F454"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Нормална</w:t>
            </w:r>
          </w:p>
        </w:tc>
      </w:tr>
      <w:tr w:rsidR="00BE0B19" w:rsidRPr="00AE47C6" w14:paraId="6E727835" w14:textId="77777777" w:rsidTr="00AD72E5">
        <w:trPr>
          <w:trHeight w:val="615"/>
        </w:trPr>
        <w:tc>
          <w:tcPr>
            <w:tcW w:w="2451" w:type="dxa"/>
            <w:tcMar>
              <w:top w:w="72" w:type="dxa"/>
              <w:left w:w="144" w:type="dxa"/>
              <w:bottom w:w="72" w:type="dxa"/>
              <w:right w:w="144" w:type="dxa"/>
            </w:tcMar>
          </w:tcPr>
          <w:p w14:paraId="0940E979"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Ликворни хлориди</w:t>
            </w:r>
          </w:p>
        </w:tc>
        <w:tc>
          <w:tcPr>
            <w:tcW w:w="2229" w:type="dxa"/>
            <w:tcMar>
              <w:top w:w="72" w:type="dxa"/>
              <w:left w:w="144" w:type="dxa"/>
              <w:bottom w:w="72" w:type="dxa"/>
              <w:right w:w="144" w:type="dxa"/>
            </w:tcMar>
          </w:tcPr>
          <w:p w14:paraId="1A49866D"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под 115 mmol/l</w:t>
            </w:r>
          </w:p>
        </w:tc>
        <w:tc>
          <w:tcPr>
            <w:tcW w:w="2552" w:type="dxa"/>
            <w:tcMar>
              <w:top w:w="72" w:type="dxa"/>
              <w:left w:w="144" w:type="dxa"/>
              <w:bottom w:w="72" w:type="dxa"/>
              <w:right w:w="144" w:type="dxa"/>
            </w:tcMar>
          </w:tcPr>
          <w:p w14:paraId="11B6B14F"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под 115 mmol/l</w:t>
            </w:r>
          </w:p>
        </w:tc>
        <w:tc>
          <w:tcPr>
            <w:tcW w:w="2410" w:type="dxa"/>
            <w:tcMar>
              <w:top w:w="72" w:type="dxa"/>
              <w:left w:w="144" w:type="dxa"/>
              <w:bottom w:w="72" w:type="dxa"/>
              <w:right w:w="144" w:type="dxa"/>
            </w:tcMar>
          </w:tcPr>
          <w:p w14:paraId="28BCCF89"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Нормални</w:t>
            </w:r>
          </w:p>
        </w:tc>
      </w:tr>
      <w:tr w:rsidR="00BE0B19" w:rsidRPr="00AE47C6" w14:paraId="34815C2A" w14:textId="77777777" w:rsidTr="00AD72E5">
        <w:trPr>
          <w:trHeight w:val="480"/>
        </w:trPr>
        <w:tc>
          <w:tcPr>
            <w:tcW w:w="2451" w:type="dxa"/>
            <w:tcMar>
              <w:top w:w="72" w:type="dxa"/>
              <w:left w:w="144" w:type="dxa"/>
              <w:bottom w:w="72" w:type="dxa"/>
              <w:right w:w="144" w:type="dxa"/>
            </w:tcMar>
          </w:tcPr>
          <w:p w14:paraId="387A875C"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Вид</w:t>
            </w:r>
          </w:p>
        </w:tc>
        <w:tc>
          <w:tcPr>
            <w:tcW w:w="2229" w:type="dxa"/>
            <w:tcMar>
              <w:top w:w="72" w:type="dxa"/>
              <w:left w:w="144" w:type="dxa"/>
              <w:bottom w:w="72" w:type="dxa"/>
              <w:right w:w="144" w:type="dxa"/>
            </w:tcMar>
          </w:tcPr>
          <w:p w14:paraId="4FA7A2DF"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Мътен, фибринова мрежа</w:t>
            </w:r>
          </w:p>
        </w:tc>
        <w:tc>
          <w:tcPr>
            <w:tcW w:w="2552" w:type="dxa"/>
            <w:tcMar>
              <w:top w:w="72" w:type="dxa"/>
              <w:left w:w="144" w:type="dxa"/>
              <w:bottom w:w="72" w:type="dxa"/>
              <w:right w:w="144" w:type="dxa"/>
            </w:tcMar>
          </w:tcPr>
          <w:p w14:paraId="6D2025AB"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Гноен</w:t>
            </w:r>
          </w:p>
        </w:tc>
        <w:tc>
          <w:tcPr>
            <w:tcW w:w="2410" w:type="dxa"/>
            <w:tcMar>
              <w:top w:w="72" w:type="dxa"/>
              <w:left w:w="144" w:type="dxa"/>
              <w:bottom w:w="72" w:type="dxa"/>
              <w:right w:w="144" w:type="dxa"/>
            </w:tcMar>
          </w:tcPr>
          <w:p w14:paraId="0551F71A"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Нормален</w:t>
            </w:r>
          </w:p>
        </w:tc>
      </w:tr>
    </w:tbl>
    <w:p w14:paraId="61B9882E" w14:textId="77777777" w:rsidR="00BE0B19" w:rsidRPr="00AE47C6" w:rsidRDefault="00BE0B19" w:rsidP="00BE0B19">
      <w:pPr>
        <w:spacing w:after="0" w:line="360" w:lineRule="auto"/>
        <w:ind w:firstLine="709"/>
        <w:jc w:val="both"/>
        <w:rPr>
          <w:rFonts w:ascii="Times New Roman" w:eastAsia="SimSun" w:hAnsi="Times New Roman"/>
          <w:sz w:val="24"/>
          <w:szCs w:val="24"/>
        </w:rPr>
      </w:pPr>
    </w:p>
    <w:p w14:paraId="25AA2D25" w14:textId="77777777" w:rsidR="00BE0B19" w:rsidRPr="00AE47C6" w:rsidRDefault="00BE0B19" w:rsidP="00BE0B19">
      <w:pPr>
        <w:spacing w:after="0" w:line="360" w:lineRule="auto"/>
        <w:jc w:val="both"/>
        <w:rPr>
          <w:rFonts w:ascii="Times New Roman" w:eastAsia="SimSun" w:hAnsi="Times New Roman"/>
          <w:b/>
          <w:bCs/>
          <w:iCs/>
          <w:sz w:val="24"/>
          <w:szCs w:val="24"/>
          <w:u w:val="single"/>
        </w:rPr>
      </w:pPr>
      <w:r w:rsidRPr="00AE47C6">
        <w:rPr>
          <w:rFonts w:ascii="Times New Roman" w:eastAsia="SimSun" w:hAnsi="Times New Roman"/>
          <w:b/>
          <w:bCs/>
          <w:iCs/>
          <w:sz w:val="24"/>
          <w:szCs w:val="24"/>
          <w:u w:val="single"/>
        </w:rPr>
        <w:t xml:space="preserve">Антибактериална терапия </w:t>
      </w:r>
      <w:r w:rsidRPr="00AE47C6">
        <w:rPr>
          <w:rFonts w:ascii="Times New Roman" w:eastAsia="SimSun" w:hAnsi="Times New Roman"/>
          <w:bCs/>
          <w:iCs/>
          <w:sz w:val="24"/>
          <w:szCs w:val="24"/>
          <w:u w:val="single"/>
        </w:rPr>
        <w:t>(Табл.4.2., 4.3)</w:t>
      </w:r>
    </w:p>
    <w:p w14:paraId="0C92B584" w14:textId="77777777" w:rsidR="00BE0B19" w:rsidRPr="00AE47C6" w:rsidRDefault="00BE0B19" w:rsidP="00BE0B19">
      <w:pPr>
        <w:tabs>
          <w:tab w:val="left" w:pos="284"/>
        </w:tabs>
        <w:spacing w:after="0" w:line="360" w:lineRule="auto"/>
        <w:contextualSpacing/>
        <w:jc w:val="both"/>
        <w:rPr>
          <w:rFonts w:ascii="Times New Roman" w:eastAsia="SimSun" w:hAnsi="Times New Roman"/>
          <w:b/>
          <w:bCs/>
          <w:i/>
          <w:iCs/>
          <w:sz w:val="24"/>
          <w:szCs w:val="24"/>
        </w:rPr>
      </w:pPr>
      <w:r w:rsidRPr="00AE47C6">
        <w:rPr>
          <w:rFonts w:ascii="Times New Roman" w:eastAsia="SimSun" w:hAnsi="Times New Roman"/>
          <w:b/>
          <w:bCs/>
          <w:i/>
          <w:iCs/>
          <w:sz w:val="24"/>
          <w:szCs w:val="24"/>
        </w:rPr>
        <w:t>Менингококов гноен менингит</w:t>
      </w:r>
    </w:p>
    <w:p w14:paraId="734A50F5" w14:textId="77777777" w:rsidR="00BE0B19" w:rsidRPr="00AE47C6" w:rsidRDefault="00BE0B19" w:rsidP="00BE0B19">
      <w:pPr>
        <w:numPr>
          <w:ilvl w:val="0"/>
          <w:numId w:val="378"/>
        </w:numPr>
        <w:spacing w:after="0" w:line="360" w:lineRule="auto"/>
        <w:contextualSpacing/>
        <w:jc w:val="both"/>
        <w:rPr>
          <w:rFonts w:ascii="Times New Roman" w:eastAsia="SimSun" w:hAnsi="Times New Roman"/>
          <w:bCs/>
          <w:iCs/>
          <w:sz w:val="24"/>
          <w:szCs w:val="24"/>
        </w:rPr>
      </w:pPr>
      <w:r w:rsidRPr="00AE47C6">
        <w:rPr>
          <w:rFonts w:ascii="Times New Roman" w:eastAsia="SimSun" w:hAnsi="Times New Roman"/>
          <w:bCs/>
          <w:i/>
          <w:iCs/>
          <w:sz w:val="24"/>
          <w:szCs w:val="24"/>
        </w:rPr>
        <w:t xml:space="preserve"> Benzylpenicillin i.v.</w:t>
      </w:r>
      <w:r w:rsidRPr="00AE47C6">
        <w:rPr>
          <w:rFonts w:ascii="Times New Roman" w:eastAsia="SimSun" w:hAnsi="Times New Roman"/>
          <w:bCs/>
          <w:iCs/>
          <w:sz w:val="24"/>
          <w:szCs w:val="24"/>
        </w:rPr>
        <w:t xml:space="preserve"> 20 до 40 мил. Е дн. 4 до 6 – кратни апликации за 7 – 10 дни (500 000 – 800 000 Е/kg при деца)</w:t>
      </w:r>
    </w:p>
    <w:p w14:paraId="0510B634" w14:textId="77777777" w:rsidR="00BE0B19" w:rsidRPr="00AE47C6" w:rsidRDefault="00BE0B19" w:rsidP="00BE0B19">
      <w:pPr>
        <w:numPr>
          <w:ilvl w:val="0"/>
          <w:numId w:val="378"/>
        </w:numPr>
        <w:spacing w:after="0" w:line="360" w:lineRule="auto"/>
        <w:contextualSpacing/>
        <w:jc w:val="both"/>
        <w:rPr>
          <w:rFonts w:ascii="Times New Roman" w:eastAsia="SimSun" w:hAnsi="Times New Roman"/>
          <w:bCs/>
          <w:iCs/>
          <w:sz w:val="24"/>
          <w:szCs w:val="24"/>
        </w:rPr>
      </w:pPr>
      <w:r w:rsidRPr="00AE47C6">
        <w:rPr>
          <w:rFonts w:ascii="Times New Roman" w:eastAsia="SimSun" w:hAnsi="Times New Roman"/>
          <w:i/>
          <w:sz w:val="24"/>
          <w:szCs w:val="24"/>
        </w:rPr>
        <w:t xml:space="preserve"> Ceftriaxone </w:t>
      </w:r>
      <w:r w:rsidRPr="00AE47C6">
        <w:rPr>
          <w:rFonts w:ascii="Times New Roman" w:eastAsia="SimSun" w:hAnsi="Times New Roman"/>
          <w:bCs/>
          <w:iCs/>
          <w:sz w:val="24"/>
          <w:szCs w:val="24"/>
        </w:rPr>
        <w:t>2-3 g дн. на 12 часови интервали (80 – 100 mg/kg при деца)</w:t>
      </w:r>
    </w:p>
    <w:p w14:paraId="6D2A8B48" w14:textId="77777777" w:rsidR="00BE0B19" w:rsidRPr="00AE47C6" w:rsidRDefault="00BE0B19" w:rsidP="00BE0B19">
      <w:pPr>
        <w:numPr>
          <w:ilvl w:val="0"/>
          <w:numId w:val="378"/>
        </w:numPr>
        <w:spacing w:after="0" w:line="360" w:lineRule="auto"/>
        <w:contextualSpacing/>
        <w:jc w:val="both"/>
        <w:rPr>
          <w:rFonts w:ascii="Times New Roman" w:eastAsia="SimSun" w:hAnsi="Times New Roman"/>
          <w:bCs/>
          <w:iCs/>
          <w:sz w:val="24"/>
          <w:szCs w:val="24"/>
        </w:rPr>
      </w:pPr>
      <w:r w:rsidRPr="00AE47C6">
        <w:rPr>
          <w:rFonts w:ascii="Times New Roman" w:eastAsia="SimSun" w:hAnsi="Times New Roman"/>
          <w:i/>
          <w:sz w:val="24"/>
          <w:szCs w:val="24"/>
        </w:rPr>
        <w:t xml:space="preserve">Cefotaxime </w:t>
      </w:r>
      <w:r w:rsidRPr="00AE47C6">
        <w:rPr>
          <w:rFonts w:ascii="Times New Roman" w:eastAsia="SimSun" w:hAnsi="Times New Roman"/>
          <w:bCs/>
          <w:iCs/>
          <w:sz w:val="24"/>
          <w:szCs w:val="24"/>
        </w:rPr>
        <w:t>6 до 8 g дн. (200 mg/kg за 24 часа при деца)</w:t>
      </w:r>
    </w:p>
    <w:p w14:paraId="142E314F" w14:textId="77777777" w:rsidR="00BE0B19" w:rsidRPr="00AE47C6" w:rsidRDefault="00BE0B19" w:rsidP="00BE0B19">
      <w:pPr>
        <w:numPr>
          <w:ilvl w:val="0"/>
          <w:numId w:val="378"/>
        </w:numPr>
        <w:spacing w:after="0" w:line="360" w:lineRule="auto"/>
        <w:contextualSpacing/>
        <w:jc w:val="both"/>
        <w:rPr>
          <w:rFonts w:ascii="Times New Roman" w:eastAsia="SimSun" w:hAnsi="Times New Roman"/>
          <w:bCs/>
          <w:iCs/>
          <w:sz w:val="24"/>
          <w:szCs w:val="24"/>
        </w:rPr>
      </w:pPr>
      <w:r w:rsidRPr="00AE47C6">
        <w:rPr>
          <w:rFonts w:ascii="Times New Roman" w:eastAsia="SimSun" w:hAnsi="Times New Roman"/>
          <w:bCs/>
          <w:i/>
          <w:iCs/>
          <w:sz w:val="24"/>
          <w:szCs w:val="24"/>
        </w:rPr>
        <w:t xml:space="preserve">Chloramphenicol </w:t>
      </w:r>
      <w:r w:rsidRPr="00AE47C6">
        <w:rPr>
          <w:rFonts w:ascii="Times New Roman" w:eastAsia="SimSun" w:hAnsi="Times New Roman"/>
          <w:bCs/>
          <w:iCs/>
          <w:sz w:val="24"/>
          <w:szCs w:val="24"/>
        </w:rPr>
        <w:t>i.v.3 – 4 g дн. през 12 часови интервал (100 mg/kg при деца)</w:t>
      </w:r>
    </w:p>
    <w:p w14:paraId="4B2669C2" w14:textId="77777777" w:rsidR="00BE0B19" w:rsidRPr="00AE47C6" w:rsidRDefault="00BE0B19" w:rsidP="00BE0B19">
      <w:pPr>
        <w:spacing w:after="0" w:line="360" w:lineRule="auto"/>
        <w:jc w:val="both"/>
        <w:rPr>
          <w:rFonts w:ascii="Times New Roman" w:eastAsia="SimSun" w:hAnsi="Times New Roman"/>
          <w:bCs/>
          <w:iCs/>
          <w:sz w:val="24"/>
          <w:szCs w:val="24"/>
        </w:rPr>
      </w:pPr>
      <w:r w:rsidRPr="00AE47C6">
        <w:rPr>
          <w:rFonts w:ascii="Times New Roman" w:eastAsia="SimSun" w:hAnsi="Times New Roman"/>
          <w:b/>
          <w:bCs/>
          <w:i/>
          <w:iCs/>
          <w:sz w:val="24"/>
          <w:szCs w:val="24"/>
        </w:rPr>
        <w:t>Пневмококов гноен менингит</w:t>
      </w:r>
    </w:p>
    <w:p w14:paraId="1BB40AF3" w14:textId="77777777" w:rsidR="00BE0B19" w:rsidRPr="00AE47C6" w:rsidRDefault="00BE0B19" w:rsidP="00BE0B19">
      <w:pPr>
        <w:numPr>
          <w:ilvl w:val="0"/>
          <w:numId w:val="379"/>
        </w:numPr>
        <w:spacing w:after="0" w:line="360" w:lineRule="auto"/>
        <w:contextualSpacing/>
        <w:jc w:val="both"/>
        <w:rPr>
          <w:rFonts w:ascii="Times New Roman" w:eastAsia="SimSun" w:hAnsi="Times New Roman"/>
          <w:bCs/>
          <w:iCs/>
          <w:sz w:val="24"/>
          <w:szCs w:val="24"/>
        </w:rPr>
      </w:pPr>
      <w:r w:rsidRPr="00AE47C6">
        <w:rPr>
          <w:rFonts w:ascii="Times New Roman" w:eastAsia="SimSun" w:hAnsi="Times New Roman"/>
          <w:bCs/>
          <w:i/>
          <w:iCs/>
          <w:sz w:val="24"/>
          <w:szCs w:val="24"/>
        </w:rPr>
        <w:t>Penicillin и ampicillin</w:t>
      </w:r>
      <w:r w:rsidRPr="00AE47C6">
        <w:rPr>
          <w:rFonts w:ascii="Times New Roman" w:eastAsia="SimSun" w:hAnsi="Times New Roman"/>
          <w:bCs/>
          <w:iCs/>
          <w:sz w:val="24"/>
          <w:szCs w:val="24"/>
        </w:rPr>
        <w:t xml:space="preserve"> в горепосочените дози</w:t>
      </w:r>
    </w:p>
    <w:p w14:paraId="6514CD17" w14:textId="77777777" w:rsidR="00BE0B19" w:rsidRPr="00AE47C6" w:rsidRDefault="00BE0B19" w:rsidP="00BE0B19">
      <w:pPr>
        <w:numPr>
          <w:ilvl w:val="0"/>
          <w:numId w:val="379"/>
        </w:numPr>
        <w:spacing w:after="0" w:line="360" w:lineRule="auto"/>
        <w:contextualSpacing/>
        <w:jc w:val="both"/>
        <w:rPr>
          <w:rFonts w:ascii="Times New Roman" w:eastAsia="SimSun" w:hAnsi="Times New Roman"/>
          <w:bCs/>
          <w:iCs/>
          <w:sz w:val="24"/>
          <w:szCs w:val="24"/>
        </w:rPr>
      </w:pPr>
      <w:r w:rsidRPr="00AE47C6">
        <w:rPr>
          <w:rFonts w:ascii="Times New Roman" w:eastAsia="SimSun" w:hAnsi="Times New Roman"/>
          <w:i/>
          <w:sz w:val="24"/>
          <w:szCs w:val="24"/>
        </w:rPr>
        <w:t>Cefotaxime</w:t>
      </w:r>
      <w:r w:rsidRPr="00AE47C6">
        <w:rPr>
          <w:rFonts w:ascii="Times New Roman" w:eastAsia="SimSun" w:hAnsi="Times New Roman"/>
          <w:bCs/>
          <w:iCs/>
          <w:sz w:val="24"/>
          <w:szCs w:val="24"/>
        </w:rPr>
        <w:t xml:space="preserve"> 200 mg/kg</w:t>
      </w:r>
    </w:p>
    <w:p w14:paraId="6A0CC9C3" w14:textId="77777777" w:rsidR="00BE0B19" w:rsidRPr="00AE47C6" w:rsidRDefault="00BE0B19" w:rsidP="00BE0B19">
      <w:pPr>
        <w:numPr>
          <w:ilvl w:val="0"/>
          <w:numId w:val="379"/>
        </w:numPr>
        <w:spacing w:after="0" w:line="360" w:lineRule="auto"/>
        <w:contextualSpacing/>
        <w:jc w:val="both"/>
        <w:rPr>
          <w:rFonts w:ascii="Times New Roman" w:eastAsia="SimSun" w:hAnsi="Times New Roman"/>
          <w:bCs/>
          <w:iCs/>
          <w:sz w:val="24"/>
          <w:szCs w:val="24"/>
        </w:rPr>
      </w:pPr>
      <w:r w:rsidRPr="00AE47C6">
        <w:rPr>
          <w:rFonts w:ascii="Times New Roman" w:eastAsia="SimSun" w:hAnsi="Times New Roman"/>
          <w:i/>
          <w:sz w:val="24"/>
          <w:szCs w:val="24"/>
        </w:rPr>
        <w:t>Ceftriaxone</w:t>
      </w:r>
      <w:r w:rsidRPr="00AE47C6">
        <w:rPr>
          <w:rFonts w:ascii="Times New Roman" w:eastAsia="SimSun" w:hAnsi="Times New Roman"/>
          <w:bCs/>
          <w:iCs/>
          <w:sz w:val="24"/>
          <w:szCs w:val="24"/>
        </w:rPr>
        <w:t xml:space="preserve"> 100 – 150 mg/kg</w:t>
      </w:r>
    </w:p>
    <w:p w14:paraId="07A538F3" w14:textId="77777777" w:rsidR="00BE0B19" w:rsidRPr="00AE47C6" w:rsidRDefault="00BE0B19" w:rsidP="00BE0B19">
      <w:pPr>
        <w:numPr>
          <w:ilvl w:val="0"/>
          <w:numId w:val="379"/>
        </w:numPr>
        <w:spacing w:after="0" w:line="360" w:lineRule="auto"/>
        <w:contextualSpacing/>
        <w:jc w:val="both"/>
        <w:rPr>
          <w:rFonts w:ascii="Times New Roman" w:eastAsia="SimSun" w:hAnsi="Times New Roman"/>
          <w:bCs/>
          <w:iCs/>
          <w:sz w:val="24"/>
          <w:szCs w:val="24"/>
        </w:rPr>
      </w:pPr>
      <w:r w:rsidRPr="00AE47C6">
        <w:rPr>
          <w:rFonts w:ascii="Times New Roman" w:eastAsia="SimSun" w:hAnsi="Times New Roman"/>
          <w:bCs/>
          <w:i/>
          <w:iCs/>
          <w:sz w:val="24"/>
          <w:szCs w:val="24"/>
        </w:rPr>
        <w:t>Vancomycin</w:t>
      </w:r>
      <w:r w:rsidRPr="00AE47C6">
        <w:rPr>
          <w:rFonts w:ascii="Times New Roman" w:eastAsia="SimSun" w:hAnsi="Times New Roman"/>
          <w:bCs/>
          <w:iCs/>
          <w:sz w:val="24"/>
          <w:szCs w:val="24"/>
        </w:rPr>
        <w:t xml:space="preserve"> 50 – 60 mg/kg за 24 часа на четири приема</w:t>
      </w:r>
    </w:p>
    <w:p w14:paraId="68868676" w14:textId="77777777" w:rsidR="00BE0B19" w:rsidRPr="00AE47C6" w:rsidRDefault="00BE0B19" w:rsidP="00BE0B19">
      <w:pPr>
        <w:tabs>
          <w:tab w:val="left" w:pos="426"/>
        </w:tabs>
        <w:spacing w:after="0" w:line="360" w:lineRule="auto"/>
        <w:contextualSpacing/>
        <w:jc w:val="both"/>
        <w:rPr>
          <w:rFonts w:ascii="Times New Roman" w:eastAsia="SimSun" w:hAnsi="Times New Roman"/>
          <w:b/>
          <w:bCs/>
          <w:i/>
          <w:iCs/>
          <w:sz w:val="24"/>
          <w:szCs w:val="24"/>
        </w:rPr>
      </w:pPr>
      <w:r w:rsidRPr="00AE47C6">
        <w:rPr>
          <w:rFonts w:ascii="Times New Roman" w:eastAsia="SimSun" w:hAnsi="Times New Roman"/>
          <w:b/>
          <w:bCs/>
          <w:i/>
          <w:iCs/>
          <w:sz w:val="24"/>
          <w:szCs w:val="24"/>
        </w:rPr>
        <w:t>Стафилококов гноен менингит</w:t>
      </w:r>
    </w:p>
    <w:p w14:paraId="0BE141F3" w14:textId="77777777" w:rsidR="00BE0B19" w:rsidRPr="00AE47C6" w:rsidRDefault="00BE0B19" w:rsidP="00BE0B19">
      <w:pPr>
        <w:numPr>
          <w:ilvl w:val="0"/>
          <w:numId w:val="380"/>
        </w:numPr>
        <w:spacing w:after="0" w:line="360" w:lineRule="auto"/>
        <w:contextualSpacing/>
        <w:jc w:val="both"/>
        <w:rPr>
          <w:rFonts w:ascii="Times New Roman" w:eastAsia="SimSun" w:hAnsi="Times New Roman"/>
          <w:bCs/>
          <w:iCs/>
          <w:sz w:val="24"/>
          <w:szCs w:val="24"/>
        </w:rPr>
      </w:pPr>
      <w:r w:rsidRPr="00AE47C6">
        <w:rPr>
          <w:rFonts w:ascii="Times New Roman" w:eastAsia="SimSun" w:hAnsi="Times New Roman"/>
          <w:bCs/>
          <w:i/>
          <w:iCs/>
          <w:sz w:val="24"/>
          <w:szCs w:val="24"/>
        </w:rPr>
        <w:t xml:space="preserve">  Vancomycin</w:t>
      </w:r>
      <w:r w:rsidRPr="00AE47C6">
        <w:rPr>
          <w:rFonts w:ascii="Times New Roman" w:eastAsia="SimSun" w:hAnsi="Times New Roman"/>
          <w:bCs/>
          <w:iCs/>
          <w:sz w:val="24"/>
          <w:szCs w:val="24"/>
        </w:rPr>
        <w:t xml:space="preserve"> 60 mg/kg</w:t>
      </w:r>
    </w:p>
    <w:p w14:paraId="5BABBC07" w14:textId="77777777" w:rsidR="00BE0B19" w:rsidRPr="00AE47C6" w:rsidRDefault="00BE0B19" w:rsidP="00BE0B19">
      <w:pPr>
        <w:numPr>
          <w:ilvl w:val="0"/>
          <w:numId w:val="380"/>
        </w:numPr>
        <w:spacing w:after="0" w:line="360" w:lineRule="auto"/>
        <w:contextualSpacing/>
        <w:jc w:val="both"/>
        <w:rPr>
          <w:rFonts w:ascii="Times New Roman" w:eastAsia="SimSun" w:hAnsi="Times New Roman"/>
          <w:bCs/>
          <w:iCs/>
          <w:sz w:val="24"/>
          <w:szCs w:val="24"/>
        </w:rPr>
      </w:pPr>
      <w:r w:rsidRPr="00AE47C6">
        <w:rPr>
          <w:rFonts w:ascii="Times New Roman" w:eastAsia="SimSun" w:hAnsi="Times New Roman"/>
          <w:bCs/>
          <w:i/>
          <w:iCs/>
          <w:sz w:val="24"/>
          <w:szCs w:val="24"/>
        </w:rPr>
        <w:t xml:space="preserve">  Teicoplanin 1</w:t>
      </w:r>
      <w:r w:rsidRPr="00AE47C6">
        <w:rPr>
          <w:rFonts w:ascii="Times New Roman" w:eastAsia="SimSun" w:hAnsi="Times New Roman"/>
          <w:bCs/>
          <w:iCs/>
          <w:sz w:val="24"/>
          <w:szCs w:val="24"/>
        </w:rPr>
        <w:t>0 mg/kg</w:t>
      </w:r>
    </w:p>
    <w:p w14:paraId="66592D96" w14:textId="77777777" w:rsidR="00BE0B19" w:rsidRPr="00AE47C6" w:rsidRDefault="00BE0B19" w:rsidP="00BE0B19">
      <w:pPr>
        <w:numPr>
          <w:ilvl w:val="0"/>
          <w:numId w:val="2"/>
        </w:numPr>
        <w:tabs>
          <w:tab w:val="left" w:pos="426"/>
        </w:tabs>
        <w:spacing w:after="0" w:line="360" w:lineRule="auto"/>
        <w:ind w:left="0" w:firstLine="0"/>
        <w:contextualSpacing/>
        <w:jc w:val="both"/>
        <w:rPr>
          <w:rFonts w:ascii="Times New Roman" w:eastAsia="SimSun" w:hAnsi="Times New Roman"/>
          <w:b/>
          <w:bCs/>
          <w:i/>
          <w:iCs/>
          <w:sz w:val="24"/>
          <w:szCs w:val="24"/>
        </w:rPr>
      </w:pPr>
      <w:r w:rsidRPr="00AE47C6">
        <w:rPr>
          <w:rFonts w:ascii="Times New Roman" w:eastAsia="SimSun" w:hAnsi="Times New Roman"/>
          <w:b/>
          <w:bCs/>
          <w:i/>
          <w:iCs/>
          <w:sz w:val="24"/>
          <w:szCs w:val="24"/>
        </w:rPr>
        <w:t>гноен менингит от Haemophilus influenzae</w:t>
      </w:r>
    </w:p>
    <w:p w14:paraId="0636B38E" w14:textId="77777777" w:rsidR="00BE0B19" w:rsidRPr="00AE47C6" w:rsidRDefault="00BE0B19" w:rsidP="00BE0B19">
      <w:pPr>
        <w:numPr>
          <w:ilvl w:val="0"/>
          <w:numId w:val="381"/>
        </w:numPr>
        <w:spacing w:after="0" w:line="360" w:lineRule="auto"/>
        <w:contextualSpacing/>
        <w:jc w:val="both"/>
        <w:rPr>
          <w:rFonts w:ascii="Times New Roman" w:eastAsia="SimSun" w:hAnsi="Times New Roman"/>
          <w:bCs/>
          <w:iCs/>
          <w:sz w:val="24"/>
          <w:szCs w:val="24"/>
        </w:rPr>
      </w:pPr>
      <w:r w:rsidRPr="00AE47C6">
        <w:rPr>
          <w:rFonts w:ascii="Times New Roman" w:eastAsia="SimSun" w:hAnsi="Times New Roman"/>
          <w:i/>
          <w:sz w:val="24"/>
          <w:szCs w:val="24"/>
        </w:rPr>
        <w:t xml:space="preserve"> Ceftriaxone </w:t>
      </w:r>
      <w:r w:rsidRPr="00AE47C6">
        <w:rPr>
          <w:rFonts w:ascii="Times New Roman" w:eastAsia="SimSun" w:hAnsi="Times New Roman"/>
          <w:bCs/>
          <w:iCs/>
          <w:sz w:val="24"/>
          <w:szCs w:val="24"/>
        </w:rPr>
        <w:t>4 g дн. (100 – 150 mg/kg за деца)</w:t>
      </w:r>
    </w:p>
    <w:p w14:paraId="7B92FCD0" w14:textId="77777777" w:rsidR="00BE0B19" w:rsidRPr="00AE47C6" w:rsidRDefault="00BE0B19" w:rsidP="00BE0B19">
      <w:pPr>
        <w:numPr>
          <w:ilvl w:val="0"/>
          <w:numId w:val="381"/>
        </w:numPr>
        <w:spacing w:after="0" w:line="360" w:lineRule="auto"/>
        <w:contextualSpacing/>
        <w:jc w:val="both"/>
        <w:rPr>
          <w:rFonts w:ascii="Times New Roman" w:eastAsia="SimSun" w:hAnsi="Times New Roman"/>
          <w:bCs/>
          <w:iCs/>
          <w:sz w:val="24"/>
          <w:szCs w:val="24"/>
        </w:rPr>
      </w:pPr>
      <w:r w:rsidRPr="00AE47C6">
        <w:rPr>
          <w:rFonts w:ascii="Times New Roman" w:eastAsia="SimSun" w:hAnsi="Times New Roman"/>
          <w:bCs/>
          <w:i/>
          <w:iCs/>
          <w:sz w:val="24"/>
          <w:szCs w:val="24"/>
        </w:rPr>
        <w:t>Cefuroxime</w:t>
      </w:r>
      <w:r w:rsidRPr="00AE47C6">
        <w:rPr>
          <w:rFonts w:ascii="Times New Roman" w:eastAsia="SimSun" w:hAnsi="Times New Roman"/>
          <w:bCs/>
          <w:iCs/>
          <w:sz w:val="24"/>
          <w:szCs w:val="24"/>
        </w:rPr>
        <w:t xml:space="preserve"> 6 - 8 g дн. (200 mg/kg за деца)</w:t>
      </w:r>
    </w:p>
    <w:p w14:paraId="50F9BA89" w14:textId="77777777" w:rsidR="00BE0B19" w:rsidRPr="00AE47C6" w:rsidRDefault="00BE0B19" w:rsidP="00BE0B19">
      <w:pPr>
        <w:numPr>
          <w:ilvl w:val="0"/>
          <w:numId w:val="381"/>
        </w:numPr>
        <w:spacing w:after="0" w:line="360" w:lineRule="auto"/>
        <w:contextualSpacing/>
        <w:jc w:val="both"/>
        <w:rPr>
          <w:rFonts w:ascii="Times New Roman" w:eastAsia="SimSun" w:hAnsi="Times New Roman"/>
          <w:bCs/>
          <w:iCs/>
          <w:sz w:val="24"/>
          <w:szCs w:val="24"/>
        </w:rPr>
      </w:pPr>
      <w:r w:rsidRPr="00AE47C6">
        <w:rPr>
          <w:rFonts w:ascii="Times New Roman" w:eastAsia="SimSun" w:hAnsi="Times New Roman"/>
          <w:i/>
          <w:sz w:val="24"/>
          <w:szCs w:val="24"/>
        </w:rPr>
        <w:t xml:space="preserve">Cefotaxime </w:t>
      </w:r>
      <w:r w:rsidRPr="00AE47C6">
        <w:rPr>
          <w:rFonts w:ascii="Times New Roman" w:eastAsia="SimSun" w:hAnsi="Times New Roman"/>
          <w:bCs/>
          <w:iCs/>
          <w:sz w:val="24"/>
          <w:szCs w:val="24"/>
        </w:rPr>
        <w:t>8 – 12 g дн. (200 mg/kg за деца)</w:t>
      </w:r>
    </w:p>
    <w:p w14:paraId="17760718" w14:textId="77777777" w:rsidR="00BE0B19" w:rsidRPr="00AE47C6" w:rsidRDefault="00BE0B19" w:rsidP="00BE0B19">
      <w:pPr>
        <w:tabs>
          <w:tab w:val="left" w:pos="426"/>
        </w:tabs>
        <w:spacing w:after="0" w:line="360" w:lineRule="auto"/>
        <w:contextualSpacing/>
        <w:jc w:val="both"/>
        <w:rPr>
          <w:rFonts w:ascii="Times New Roman" w:eastAsia="SimSun" w:hAnsi="Times New Roman"/>
          <w:b/>
          <w:bCs/>
          <w:i/>
          <w:iCs/>
          <w:sz w:val="24"/>
          <w:szCs w:val="24"/>
        </w:rPr>
      </w:pPr>
      <w:r w:rsidRPr="00AE47C6">
        <w:rPr>
          <w:rFonts w:ascii="Times New Roman" w:eastAsia="SimSun" w:hAnsi="Times New Roman"/>
          <w:b/>
          <w:bCs/>
          <w:i/>
          <w:iCs/>
          <w:sz w:val="24"/>
          <w:szCs w:val="24"/>
        </w:rPr>
        <w:t xml:space="preserve">Менингити, причинени от по-редки патогени – Listeria monocytogenes </w:t>
      </w:r>
    </w:p>
    <w:p w14:paraId="25FAD7B9" w14:textId="77777777" w:rsidR="00BE0B19" w:rsidRPr="00AE47C6" w:rsidRDefault="00BE0B19" w:rsidP="00BE0B19">
      <w:pPr>
        <w:numPr>
          <w:ilvl w:val="0"/>
          <w:numId w:val="382"/>
        </w:numPr>
        <w:spacing w:after="0" w:line="360" w:lineRule="auto"/>
        <w:contextualSpacing/>
        <w:jc w:val="both"/>
        <w:rPr>
          <w:rFonts w:ascii="Times New Roman" w:eastAsia="SimSun" w:hAnsi="Times New Roman"/>
          <w:bCs/>
          <w:iCs/>
          <w:sz w:val="24"/>
          <w:szCs w:val="24"/>
        </w:rPr>
      </w:pPr>
      <w:r w:rsidRPr="00AE47C6">
        <w:rPr>
          <w:rFonts w:ascii="Times New Roman" w:eastAsia="SimSun" w:hAnsi="Times New Roman"/>
          <w:bCs/>
          <w:iCs/>
          <w:sz w:val="24"/>
          <w:szCs w:val="24"/>
        </w:rPr>
        <w:t xml:space="preserve"> Комбинацията </w:t>
      </w:r>
      <w:r w:rsidRPr="00AE47C6">
        <w:rPr>
          <w:rFonts w:ascii="Times New Roman" w:eastAsia="SimSun" w:hAnsi="Times New Roman"/>
          <w:bCs/>
          <w:i/>
          <w:iCs/>
          <w:sz w:val="24"/>
          <w:szCs w:val="24"/>
        </w:rPr>
        <w:t>ampicillin и penicillin</w:t>
      </w:r>
    </w:p>
    <w:p w14:paraId="233289EF" w14:textId="77777777" w:rsidR="00BE0B19" w:rsidRPr="00AE47C6" w:rsidRDefault="00BE0B19" w:rsidP="00BE0B19">
      <w:pPr>
        <w:numPr>
          <w:ilvl w:val="0"/>
          <w:numId w:val="382"/>
        </w:numPr>
        <w:spacing w:after="0" w:line="360" w:lineRule="auto"/>
        <w:contextualSpacing/>
        <w:jc w:val="both"/>
        <w:rPr>
          <w:rFonts w:ascii="Times New Roman" w:eastAsia="SimSun" w:hAnsi="Times New Roman"/>
          <w:bCs/>
          <w:iCs/>
          <w:sz w:val="24"/>
          <w:szCs w:val="24"/>
        </w:rPr>
      </w:pPr>
      <w:r w:rsidRPr="00AE47C6">
        <w:rPr>
          <w:rFonts w:ascii="Times New Roman" w:eastAsia="SimSun" w:hAnsi="Times New Roman"/>
          <w:bCs/>
          <w:i/>
          <w:iCs/>
          <w:sz w:val="24"/>
          <w:szCs w:val="24"/>
        </w:rPr>
        <w:t xml:space="preserve"> Meropenem </w:t>
      </w:r>
      <w:r w:rsidRPr="00AE47C6">
        <w:rPr>
          <w:rFonts w:ascii="Times New Roman" w:eastAsia="SimSun" w:hAnsi="Times New Roman"/>
          <w:bCs/>
          <w:iCs/>
          <w:sz w:val="24"/>
          <w:szCs w:val="24"/>
        </w:rPr>
        <w:t>- монотерапия</w:t>
      </w:r>
    </w:p>
    <w:p w14:paraId="64E2525D" w14:textId="77777777" w:rsidR="00BE0B19" w:rsidRPr="00AE47C6" w:rsidRDefault="00BE0B19" w:rsidP="00BE0B19">
      <w:pPr>
        <w:spacing w:after="0" w:line="360" w:lineRule="auto"/>
        <w:jc w:val="both"/>
        <w:rPr>
          <w:rFonts w:ascii="Times New Roman" w:eastAsia="SimSun" w:hAnsi="Times New Roman"/>
          <w:bCs/>
          <w:iCs/>
          <w:sz w:val="24"/>
          <w:szCs w:val="24"/>
        </w:rPr>
      </w:pPr>
      <w:r w:rsidRPr="00AE47C6">
        <w:rPr>
          <w:rFonts w:ascii="Times New Roman" w:eastAsia="SimSun" w:hAnsi="Times New Roman"/>
          <w:b/>
          <w:bCs/>
          <w:i/>
          <w:iCs/>
          <w:sz w:val="24"/>
          <w:szCs w:val="24"/>
        </w:rPr>
        <w:t>Симптоматично лечение</w:t>
      </w:r>
      <w:r w:rsidRPr="00AE47C6">
        <w:rPr>
          <w:rFonts w:ascii="Times New Roman" w:eastAsia="SimSun" w:hAnsi="Times New Roman"/>
          <w:bCs/>
          <w:i/>
          <w:iCs/>
          <w:sz w:val="24"/>
          <w:szCs w:val="24"/>
        </w:rPr>
        <w:t>:</w:t>
      </w:r>
    </w:p>
    <w:p w14:paraId="597EB0FF" w14:textId="77777777" w:rsidR="00BE0B19" w:rsidRPr="00AE47C6" w:rsidRDefault="00BE0B19" w:rsidP="00BE0B19">
      <w:pPr>
        <w:numPr>
          <w:ilvl w:val="0"/>
          <w:numId w:val="383"/>
        </w:numPr>
        <w:spacing w:after="0" w:line="360" w:lineRule="auto"/>
        <w:contextualSpacing/>
        <w:jc w:val="both"/>
        <w:rPr>
          <w:rFonts w:ascii="Times New Roman" w:eastAsia="SimSun" w:hAnsi="Times New Roman"/>
          <w:bCs/>
          <w:sz w:val="24"/>
          <w:szCs w:val="24"/>
        </w:rPr>
      </w:pPr>
      <w:r w:rsidRPr="00AE47C6">
        <w:rPr>
          <w:rFonts w:ascii="Times New Roman" w:eastAsia="SimSun" w:hAnsi="Times New Roman"/>
          <w:bCs/>
          <w:i/>
          <w:iCs/>
          <w:sz w:val="24"/>
          <w:szCs w:val="24"/>
        </w:rPr>
        <w:t xml:space="preserve">  Dexamethasone </w:t>
      </w:r>
      <w:r w:rsidRPr="00AE47C6">
        <w:rPr>
          <w:rFonts w:ascii="Times New Roman" w:eastAsia="SimSun" w:hAnsi="Times New Roman"/>
          <w:bCs/>
          <w:sz w:val="24"/>
          <w:szCs w:val="24"/>
        </w:rPr>
        <w:t>– 4 x 10 mg i.v. за 4 дни преди или по време на прилагане на първата доза антибиотик. 0,15 mg/kg 4 кратно за 24 часа в продължение на 2-4 дни</w:t>
      </w:r>
    </w:p>
    <w:p w14:paraId="6C590019" w14:textId="77777777" w:rsidR="00BE0B19" w:rsidRPr="00AE47C6" w:rsidRDefault="00BE0B19" w:rsidP="00BE0B19">
      <w:pPr>
        <w:numPr>
          <w:ilvl w:val="0"/>
          <w:numId w:val="383"/>
        </w:numPr>
        <w:spacing w:after="0" w:line="360" w:lineRule="auto"/>
        <w:contextualSpacing/>
        <w:jc w:val="both"/>
        <w:rPr>
          <w:rFonts w:ascii="Times New Roman" w:eastAsia="SimSun" w:hAnsi="Times New Roman"/>
          <w:bCs/>
          <w:sz w:val="24"/>
          <w:szCs w:val="24"/>
        </w:rPr>
      </w:pPr>
      <w:r w:rsidRPr="00AE47C6">
        <w:rPr>
          <w:rFonts w:ascii="Times New Roman" w:eastAsia="SimSun" w:hAnsi="Times New Roman"/>
          <w:bCs/>
          <w:sz w:val="24"/>
          <w:szCs w:val="24"/>
        </w:rPr>
        <w:t xml:space="preserve">  при деца с туберкулозен менингит - 0,1 mg/kg на 2 приема за 24 ч.</w:t>
      </w:r>
    </w:p>
    <w:p w14:paraId="2D65BAA4" w14:textId="77777777" w:rsidR="00BE0B19" w:rsidRPr="00AE47C6" w:rsidRDefault="00BE0B19" w:rsidP="00BE0B19">
      <w:pPr>
        <w:numPr>
          <w:ilvl w:val="0"/>
          <w:numId w:val="383"/>
        </w:numPr>
        <w:spacing w:after="0" w:line="360" w:lineRule="auto"/>
        <w:contextualSpacing/>
        <w:jc w:val="both"/>
        <w:rPr>
          <w:rFonts w:ascii="Times New Roman" w:eastAsia="SimSun" w:hAnsi="Times New Roman"/>
          <w:bCs/>
          <w:iCs/>
          <w:sz w:val="24"/>
          <w:szCs w:val="24"/>
        </w:rPr>
      </w:pPr>
      <w:r w:rsidRPr="00AE47C6">
        <w:rPr>
          <w:rFonts w:ascii="Times New Roman" w:eastAsia="SimSun" w:hAnsi="Times New Roman"/>
          <w:bCs/>
          <w:i/>
          <w:iCs/>
          <w:sz w:val="24"/>
          <w:szCs w:val="24"/>
        </w:rPr>
        <w:t xml:space="preserve">  Mannitol </w:t>
      </w:r>
      <w:r w:rsidRPr="00AE47C6">
        <w:rPr>
          <w:rFonts w:ascii="Times New Roman" w:eastAsia="SimSun" w:hAnsi="Times New Roman"/>
          <w:bCs/>
          <w:iCs/>
          <w:sz w:val="24"/>
          <w:szCs w:val="24"/>
        </w:rPr>
        <w:t>1-1,5 g/kg фракционирано 4-6 инфузии/ден</w:t>
      </w:r>
    </w:p>
    <w:p w14:paraId="32B5ED49" w14:textId="77777777" w:rsidR="00BE0B19" w:rsidRPr="00AE47C6" w:rsidRDefault="00BE0B19" w:rsidP="00BE0B19">
      <w:pPr>
        <w:numPr>
          <w:ilvl w:val="0"/>
          <w:numId w:val="383"/>
        </w:numPr>
        <w:spacing w:after="0" w:line="360" w:lineRule="auto"/>
        <w:contextualSpacing/>
        <w:jc w:val="both"/>
        <w:rPr>
          <w:rFonts w:ascii="Times New Roman" w:eastAsia="SimSun" w:hAnsi="Times New Roman"/>
          <w:bCs/>
          <w:iCs/>
          <w:sz w:val="24"/>
          <w:szCs w:val="24"/>
        </w:rPr>
      </w:pPr>
      <w:r w:rsidRPr="00AE47C6">
        <w:rPr>
          <w:rFonts w:ascii="Times New Roman" w:eastAsia="SimSun" w:hAnsi="Times New Roman"/>
          <w:bCs/>
          <w:i/>
          <w:iCs/>
          <w:sz w:val="24"/>
          <w:szCs w:val="24"/>
        </w:rPr>
        <w:t xml:space="preserve"> Furosemid</w:t>
      </w:r>
      <w:r w:rsidRPr="00AE47C6">
        <w:rPr>
          <w:rFonts w:ascii="Times New Roman" w:eastAsia="SimSun" w:hAnsi="Times New Roman"/>
          <w:bCs/>
          <w:iCs/>
          <w:sz w:val="24"/>
          <w:szCs w:val="24"/>
        </w:rPr>
        <w:t xml:space="preserve"> 1-2 amp. i.v.</w:t>
      </w:r>
    </w:p>
    <w:p w14:paraId="085CDCD8" w14:textId="77777777" w:rsidR="00BE0B19" w:rsidRPr="00AE47C6" w:rsidRDefault="00BE0B19" w:rsidP="00BE0B19">
      <w:pPr>
        <w:numPr>
          <w:ilvl w:val="0"/>
          <w:numId w:val="383"/>
        </w:numPr>
        <w:spacing w:after="0" w:line="360" w:lineRule="auto"/>
        <w:contextualSpacing/>
        <w:jc w:val="both"/>
        <w:rPr>
          <w:rFonts w:ascii="Times New Roman" w:eastAsia="SimSun" w:hAnsi="Times New Roman"/>
          <w:bCs/>
          <w:iCs/>
          <w:sz w:val="24"/>
          <w:szCs w:val="24"/>
        </w:rPr>
      </w:pPr>
      <w:r w:rsidRPr="00AE47C6">
        <w:rPr>
          <w:rFonts w:ascii="Times New Roman" w:eastAsia="SimSun" w:hAnsi="Times New Roman"/>
          <w:bCs/>
          <w:i/>
          <w:iCs/>
          <w:sz w:val="24"/>
          <w:szCs w:val="24"/>
        </w:rPr>
        <w:t xml:space="preserve"> глицерол орален </w:t>
      </w:r>
      <w:r w:rsidRPr="00AE47C6">
        <w:rPr>
          <w:rFonts w:ascii="Times New Roman" w:eastAsia="SimSun" w:hAnsi="Times New Roman"/>
          <w:bCs/>
          <w:iCs/>
          <w:sz w:val="24"/>
          <w:szCs w:val="24"/>
        </w:rPr>
        <w:t>60% разтвор</w:t>
      </w:r>
    </w:p>
    <w:p w14:paraId="6D90FD58" w14:textId="77777777" w:rsidR="00BE0B19" w:rsidRPr="00AE47C6" w:rsidRDefault="00BE0B19" w:rsidP="00BE0B19">
      <w:pPr>
        <w:numPr>
          <w:ilvl w:val="0"/>
          <w:numId w:val="383"/>
        </w:numPr>
        <w:spacing w:after="0" w:line="360" w:lineRule="auto"/>
        <w:contextualSpacing/>
        <w:jc w:val="both"/>
        <w:rPr>
          <w:rFonts w:ascii="Times New Roman" w:eastAsia="SimSun" w:hAnsi="Times New Roman"/>
          <w:bCs/>
          <w:sz w:val="24"/>
          <w:szCs w:val="24"/>
        </w:rPr>
      </w:pPr>
      <w:r w:rsidRPr="00AE47C6">
        <w:rPr>
          <w:rFonts w:ascii="Times New Roman" w:eastAsia="SimSun" w:hAnsi="Times New Roman"/>
          <w:bCs/>
          <w:i/>
          <w:iCs/>
          <w:sz w:val="24"/>
          <w:szCs w:val="24"/>
        </w:rPr>
        <w:t>Нискомолекулярни хепарини</w:t>
      </w:r>
      <w:r w:rsidRPr="00AE47C6">
        <w:rPr>
          <w:rFonts w:ascii="Times New Roman" w:eastAsia="SimSun" w:hAnsi="Times New Roman"/>
          <w:bCs/>
          <w:iCs/>
          <w:sz w:val="24"/>
          <w:szCs w:val="24"/>
        </w:rPr>
        <w:t xml:space="preserve"> – Nadroparine 0,3-0,6 ml s.c.</w:t>
      </w:r>
    </w:p>
    <w:p w14:paraId="6E53FF9E" w14:textId="77777777" w:rsidR="00BE0B19" w:rsidRPr="00AE47C6" w:rsidRDefault="00BE0B19" w:rsidP="00BE0B19">
      <w:pPr>
        <w:numPr>
          <w:ilvl w:val="0"/>
          <w:numId w:val="383"/>
        </w:numPr>
        <w:spacing w:after="0" w:line="360" w:lineRule="auto"/>
        <w:contextualSpacing/>
        <w:jc w:val="both"/>
        <w:rPr>
          <w:rFonts w:ascii="Times New Roman" w:eastAsia="SimSun" w:hAnsi="Times New Roman"/>
          <w:bCs/>
          <w:iCs/>
          <w:sz w:val="24"/>
          <w:szCs w:val="24"/>
        </w:rPr>
      </w:pPr>
      <w:r w:rsidRPr="00AE47C6">
        <w:rPr>
          <w:rFonts w:ascii="Times New Roman" w:eastAsia="SimSun" w:hAnsi="Times New Roman"/>
          <w:bCs/>
          <w:i/>
          <w:iCs/>
          <w:sz w:val="24"/>
          <w:szCs w:val="24"/>
        </w:rPr>
        <w:t>Диазепам, валпроева киселина, phenobarbital, oxcarbazepin</w:t>
      </w:r>
      <w:r w:rsidRPr="00AE47C6">
        <w:rPr>
          <w:rFonts w:ascii="Times New Roman" w:eastAsia="SimSun" w:hAnsi="Times New Roman"/>
          <w:bCs/>
          <w:iCs/>
          <w:sz w:val="24"/>
          <w:szCs w:val="24"/>
        </w:rPr>
        <w:t>e и др.</w:t>
      </w:r>
    </w:p>
    <w:p w14:paraId="27824AE8" w14:textId="77777777" w:rsidR="00BE0B19" w:rsidRPr="00AE47C6" w:rsidRDefault="00BE0B19" w:rsidP="00BE0B19">
      <w:pPr>
        <w:numPr>
          <w:ilvl w:val="0"/>
          <w:numId w:val="383"/>
        </w:numPr>
        <w:spacing w:after="0" w:line="360" w:lineRule="auto"/>
        <w:contextualSpacing/>
        <w:jc w:val="both"/>
        <w:rPr>
          <w:rFonts w:ascii="Times New Roman" w:eastAsia="SimSun" w:hAnsi="Times New Roman"/>
          <w:bCs/>
          <w:i/>
          <w:iCs/>
          <w:sz w:val="24"/>
          <w:szCs w:val="24"/>
        </w:rPr>
      </w:pPr>
      <w:r w:rsidRPr="00AE47C6">
        <w:rPr>
          <w:rFonts w:ascii="Times New Roman" w:eastAsia="SimSun" w:hAnsi="Times New Roman"/>
          <w:bCs/>
          <w:i/>
          <w:iCs/>
          <w:sz w:val="24"/>
          <w:szCs w:val="24"/>
        </w:rPr>
        <w:t xml:space="preserve">Антипиретици </w:t>
      </w:r>
    </w:p>
    <w:p w14:paraId="4C807F85" w14:textId="77777777" w:rsidR="00BE0B19" w:rsidRPr="00AE47C6" w:rsidRDefault="00BE0B19" w:rsidP="00BE0B19">
      <w:pPr>
        <w:spacing w:after="0" w:line="360" w:lineRule="auto"/>
        <w:jc w:val="both"/>
        <w:rPr>
          <w:rFonts w:ascii="Times New Roman" w:eastAsia="SimSun" w:hAnsi="Times New Roman"/>
          <w:b/>
          <w:sz w:val="24"/>
          <w:szCs w:val="24"/>
        </w:rPr>
      </w:pPr>
    </w:p>
    <w:p w14:paraId="78A8F7F7" w14:textId="77777777" w:rsidR="00BE0B19" w:rsidRPr="00AE47C6" w:rsidRDefault="00BE0B19" w:rsidP="00BE0B19">
      <w:pPr>
        <w:keepNext/>
        <w:keepLines/>
        <w:widowControl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Таблица 4.2. Фармакокинетика на антибиотичните средства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6"/>
        <w:gridCol w:w="7366"/>
      </w:tblGrid>
      <w:tr w:rsidR="00BE0B19" w:rsidRPr="00AE47C6" w14:paraId="0F2585EE" w14:textId="77777777" w:rsidTr="00AD72E5">
        <w:trPr>
          <w:trHeight w:val="559"/>
          <w:jc w:val="center"/>
        </w:trPr>
        <w:tc>
          <w:tcPr>
            <w:tcW w:w="1766" w:type="dxa"/>
            <w:vAlign w:val="center"/>
          </w:tcPr>
          <w:p w14:paraId="053DB918" w14:textId="77777777" w:rsidR="00BE0B19" w:rsidRPr="00AE47C6" w:rsidRDefault="00BE0B19" w:rsidP="00BE0B19">
            <w:pPr>
              <w:keepNext/>
              <w:keepLines/>
              <w:widowControl w:val="0"/>
              <w:tabs>
                <w:tab w:val="left" w:pos="720"/>
                <w:tab w:val="center" w:pos="4320"/>
                <w:tab w:val="right" w:pos="864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І група</w:t>
            </w:r>
          </w:p>
        </w:tc>
        <w:tc>
          <w:tcPr>
            <w:tcW w:w="7655" w:type="dxa"/>
          </w:tcPr>
          <w:p w14:paraId="2BF272A9" w14:textId="77777777" w:rsidR="00BE0B19" w:rsidRPr="00AE47C6" w:rsidRDefault="00BE0B19" w:rsidP="00BE0B19">
            <w:pPr>
              <w:keepNext/>
              <w:keepLines/>
              <w:widowControl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 добра кръвно-ликворна проходимост с или без наличие на възпалени менинги: chloramphenicol, rifampicin, цефалоспорини – трета генерация, сулфонамиди.</w:t>
            </w:r>
          </w:p>
        </w:tc>
      </w:tr>
      <w:tr w:rsidR="00BE0B19" w:rsidRPr="00AE47C6" w14:paraId="7CA7B0EE" w14:textId="77777777" w:rsidTr="00AD72E5">
        <w:trPr>
          <w:trHeight w:val="531"/>
          <w:jc w:val="center"/>
        </w:trPr>
        <w:tc>
          <w:tcPr>
            <w:tcW w:w="1766" w:type="dxa"/>
            <w:vAlign w:val="center"/>
          </w:tcPr>
          <w:p w14:paraId="2D8FA858" w14:textId="77777777" w:rsidR="00BE0B19" w:rsidRPr="00AE47C6" w:rsidRDefault="00BE0B19" w:rsidP="00BE0B19">
            <w:pPr>
              <w:keepNext/>
              <w:keepLines/>
              <w:widowControl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ІІ група</w:t>
            </w:r>
          </w:p>
        </w:tc>
        <w:tc>
          <w:tcPr>
            <w:tcW w:w="7655" w:type="dxa"/>
          </w:tcPr>
          <w:p w14:paraId="7B3A0A3D" w14:textId="77777777" w:rsidR="00BE0B19" w:rsidRPr="00AE47C6" w:rsidRDefault="00BE0B19" w:rsidP="00BE0B19">
            <w:pPr>
              <w:keepNext/>
              <w:keepLines/>
              <w:widowControl w:val="0"/>
              <w:tabs>
                <w:tab w:val="left" w:pos="117"/>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 добра кръвно-ликворна проходимост, при наличие на възпалителен процес на менингите: amikacin, gentamicin, penicillin, ampicillin, vancomycin.</w:t>
            </w:r>
          </w:p>
        </w:tc>
      </w:tr>
      <w:tr w:rsidR="00BE0B19" w:rsidRPr="00AE47C6" w14:paraId="721B732F" w14:textId="77777777" w:rsidTr="00AD72E5">
        <w:trPr>
          <w:trHeight w:val="570"/>
          <w:jc w:val="center"/>
        </w:trPr>
        <w:tc>
          <w:tcPr>
            <w:tcW w:w="1766" w:type="dxa"/>
            <w:vAlign w:val="center"/>
          </w:tcPr>
          <w:p w14:paraId="483B9485" w14:textId="77777777" w:rsidR="00BE0B19" w:rsidRPr="00AE47C6" w:rsidRDefault="00BE0B19" w:rsidP="00BE0B19">
            <w:pPr>
              <w:keepNext/>
              <w:keepLines/>
              <w:widowControl w:val="0"/>
              <w:tabs>
                <w:tab w:val="left" w:pos="720"/>
                <w:tab w:val="center" w:pos="4320"/>
                <w:tab w:val="right" w:pos="864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ІІІ група</w:t>
            </w:r>
          </w:p>
        </w:tc>
        <w:tc>
          <w:tcPr>
            <w:tcW w:w="7655" w:type="dxa"/>
          </w:tcPr>
          <w:p w14:paraId="30BD881C" w14:textId="77777777" w:rsidR="00BE0B19" w:rsidRPr="00AE47C6" w:rsidRDefault="00BE0B19" w:rsidP="00BE0B19">
            <w:pPr>
              <w:keepNext/>
              <w:keepLines/>
              <w:widowControl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Минимална ликворна проходимост при наличие на възпалителен процес на менингите: streptomycin, erythromycin, ketoconazole.</w:t>
            </w:r>
          </w:p>
        </w:tc>
      </w:tr>
      <w:tr w:rsidR="00BE0B19" w:rsidRPr="00AE47C6" w14:paraId="218D454D" w14:textId="77777777" w:rsidTr="00AD72E5">
        <w:trPr>
          <w:trHeight w:val="504"/>
          <w:jc w:val="center"/>
        </w:trPr>
        <w:tc>
          <w:tcPr>
            <w:tcW w:w="1766" w:type="dxa"/>
            <w:vAlign w:val="center"/>
          </w:tcPr>
          <w:p w14:paraId="221ECA30" w14:textId="77777777" w:rsidR="00BE0B19" w:rsidRPr="00AE47C6" w:rsidRDefault="00BE0B19" w:rsidP="00BE0B19">
            <w:pPr>
              <w:keepNext/>
              <w:keepLines/>
              <w:widowControl w:val="0"/>
              <w:tabs>
                <w:tab w:val="left" w:pos="720"/>
                <w:tab w:val="center" w:pos="4320"/>
                <w:tab w:val="right" w:pos="864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ІV група</w:t>
            </w:r>
          </w:p>
        </w:tc>
        <w:tc>
          <w:tcPr>
            <w:tcW w:w="7655" w:type="dxa"/>
          </w:tcPr>
          <w:p w14:paraId="123F4D83" w14:textId="77777777" w:rsidR="00BE0B19" w:rsidRPr="00AE47C6" w:rsidRDefault="00BE0B19" w:rsidP="00BE0B19">
            <w:pPr>
              <w:keepNext/>
              <w:keepLines/>
              <w:widowControl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Липсваща кръвно-ликворна проходимост независимо от възпалителен процес на менингите: lincomycin, clindamycin, антимикотични полиенови антибиотици (amphotericin В).</w:t>
            </w:r>
          </w:p>
        </w:tc>
      </w:tr>
    </w:tbl>
    <w:p w14:paraId="43A862FB" w14:textId="77777777" w:rsidR="00BE0B19" w:rsidRPr="00AE47C6" w:rsidRDefault="00BE0B19" w:rsidP="00BE0B19">
      <w:pPr>
        <w:spacing w:after="0" w:line="360" w:lineRule="auto"/>
        <w:jc w:val="both"/>
        <w:rPr>
          <w:rFonts w:ascii="Times New Roman" w:eastAsia="SimSun" w:hAnsi="Times New Roman"/>
          <w:b/>
          <w:sz w:val="24"/>
          <w:szCs w:val="24"/>
        </w:rPr>
      </w:pPr>
    </w:p>
    <w:p w14:paraId="2DEA0004"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Таблица 4.3. Терапия на бактериалните менингити</w:t>
      </w:r>
    </w:p>
    <w:tbl>
      <w:tblPr>
        <w:tblW w:w="907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28"/>
        <w:gridCol w:w="3944"/>
      </w:tblGrid>
      <w:tr w:rsidR="00BE0B19" w:rsidRPr="00AE47C6" w14:paraId="7C5322B0" w14:textId="77777777" w:rsidTr="00AD72E5">
        <w:tc>
          <w:tcPr>
            <w:tcW w:w="4993" w:type="dxa"/>
          </w:tcPr>
          <w:p w14:paraId="050F6236" w14:textId="77777777" w:rsidR="00BE0B19" w:rsidRPr="00AE47C6" w:rsidRDefault="00BE0B19" w:rsidP="00BE0B19">
            <w:pPr>
              <w:spacing w:after="0" w:line="360" w:lineRule="auto"/>
              <w:ind w:firstLine="142"/>
              <w:contextualSpacing/>
              <w:jc w:val="both"/>
              <w:rPr>
                <w:rFonts w:ascii="Times New Roman" w:eastAsia="SimSun" w:hAnsi="Times New Roman"/>
                <w:sz w:val="24"/>
                <w:szCs w:val="24"/>
              </w:rPr>
            </w:pPr>
            <w:r w:rsidRPr="00AE47C6">
              <w:rPr>
                <w:rFonts w:ascii="Times New Roman" w:eastAsia="SimSun" w:hAnsi="Times New Roman"/>
                <w:b/>
                <w:bCs/>
                <w:sz w:val="24"/>
                <w:szCs w:val="24"/>
              </w:rPr>
              <w:t>Антибиотик</w:t>
            </w:r>
          </w:p>
        </w:tc>
        <w:tc>
          <w:tcPr>
            <w:tcW w:w="3841" w:type="dxa"/>
          </w:tcPr>
          <w:p w14:paraId="3A377368" w14:textId="77777777" w:rsidR="00BE0B19" w:rsidRPr="00AE47C6" w:rsidRDefault="00BE0B19" w:rsidP="00BE0B19">
            <w:pPr>
              <w:spacing w:after="0" w:line="360" w:lineRule="auto"/>
              <w:contextualSpacing/>
              <w:jc w:val="both"/>
              <w:rPr>
                <w:rFonts w:ascii="Times New Roman" w:eastAsia="SimSun" w:hAnsi="Times New Roman"/>
                <w:sz w:val="24"/>
                <w:szCs w:val="24"/>
              </w:rPr>
            </w:pPr>
            <w:r w:rsidRPr="00AE47C6">
              <w:rPr>
                <w:rFonts w:ascii="Times New Roman" w:eastAsia="SimSun" w:hAnsi="Times New Roman"/>
                <w:b/>
                <w:bCs/>
                <w:sz w:val="24"/>
                <w:szCs w:val="24"/>
              </w:rPr>
              <w:t>Доза при възрастен</w:t>
            </w:r>
          </w:p>
        </w:tc>
      </w:tr>
      <w:tr w:rsidR="00BE0B19" w:rsidRPr="00AE47C6" w14:paraId="708403F9" w14:textId="77777777" w:rsidTr="00AD72E5">
        <w:trPr>
          <w:trHeight w:val="40"/>
        </w:trPr>
        <w:tc>
          <w:tcPr>
            <w:tcW w:w="4993" w:type="dxa"/>
          </w:tcPr>
          <w:p w14:paraId="1C66A5D6" w14:textId="77777777" w:rsidR="00BE0B19" w:rsidRPr="00AE47C6" w:rsidRDefault="00BE0B19" w:rsidP="00BE0B19">
            <w:pPr>
              <w:spacing w:after="0" w:line="360" w:lineRule="auto"/>
              <w:ind w:firstLine="142"/>
              <w:contextualSpacing/>
              <w:jc w:val="both"/>
              <w:rPr>
                <w:rFonts w:ascii="Times New Roman" w:eastAsia="SimSun" w:hAnsi="Times New Roman"/>
                <w:i/>
                <w:sz w:val="24"/>
                <w:szCs w:val="24"/>
              </w:rPr>
            </w:pPr>
            <w:r w:rsidRPr="00AE47C6">
              <w:rPr>
                <w:rFonts w:ascii="Times New Roman" w:eastAsia="SimSun" w:hAnsi="Times New Roman"/>
                <w:i/>
                <w:sz w:val="24"/>
                <w:szCs w:val="24"/>
              </w:rPr>
              <w:t>Ampicillin</w:t>
            </w:r>
          </w:p>
          <w:p w14:paraId="28F4CBCD" w14:textId="77777777" w:rsidR="00BE0B19" w:rsidRPr="00AE47C6" w:rsidRDefault="00BE0B19" w:rsidP="00BE0B19">
            <w:pPr>
              <w:spacing w:after="0" w:line="360" w:lineRule="auto"/>
              <w:ind w:firstLine="142"/>
              <w:contextualSpacing/>
              <w:jc w:val="both"/>
              <w:rPr>
                <w:rFonts w:ascii="Times New Roman" w:eastAsia="SimSun" w:hAnsi="Times New Roman"/>
                <w:i/>
                <w:sz w:val="24"/>
                <w:szCs w:val="24"/>
              </w:rPr>
            </w:pPr>
            <w:r w:rsidRPr="00AE47C6">
              <w:rPr>
                <w:rFonts w:ascii="Times New Roman" w:eastAsia="SimSun" w:hAnsi="Times New Roman"/>
                <w:i/>
                <w:sz w:val="24"/>
                <w:szCs w:val="24"/>
              </w:rPr>
              <w:t>Cefepime</w:t>
            </w:r>
          </w:p>
          <w:p w14:paraId="523B2EC5" w14:textId="77777777" w:rsidR="00BE0B19" w:rsidRPr="00AE47C6" w:rsidRDefault="00BE0B19" w:rsidP="00BE0B19">
            <w:pPr>
              <w:spacing w:after="0" w:line="360" w:lineRule="auto"/>
              <w:ind w:firstLine="142"/>
              <w:contextualSpacing/>
              <w:jc w:val="both"/>
              <w:rPr>
                <w:rFonts w:ascii="Times New Roman" w:eastAsia="SimSun" w:hAnsi="Times New Roman"/>
                <w:i/>
                <w:sz w:val="24"/>
                <w:szCs w:val="24"/>
              </w:rPr>
            </w:pPr>
            <w:r w:rsidRPr="00AE47C6">
              <w:rPr>
                <w:rFonts w:ascii="Times New Roman" w:eastAsia="SimSun" w:hAnsi="Times New Roman"/>
                <w:i/>
                <w:sz w:val="24"/>
                <w:szCs w:val="24"/>
              </w:rPr>
              <w:t>Cefotaxime</w:t>
            </w:r>
          </w:p>
          <w:p w14:paraId="437E175B" w14:textId="77777777" w:rsidR="00BE0B19" w:rsidRPr="00AE47C6" w:rsidRDefault="00BE0B19" w:rsidP="00BE0B19">
            <w:pPr>
              <w:spacing w:after="0" w:line="360" w:lineRule="auto"/>
              <w:ind w:firstLine="142"/>
              <w:contextualSpacing/>
              <w:jc w:val="both"/>
              <w:rPr>
                <w:rFonts w:ascii="Times New Roman" w:eastAsia="SimSun" w:hAnsi="Times New Roman"/>
                <w:i/>
                <w:sz w:val="24"/>
                <w:szCs w:val="24"/>
              </w:rPr>
            </w:pPr>
            <w:r w:rsidRPr="00AE47C6">
              <w:rPr>
                <w:rFonts w:ascii="Times New Roman" w:eastAsia="SimSun" w:hAnsi="Times New Roman"/>
                <w:i/>
                <w:sz w:val="24"/>
                <w:szCs w:val="24"/>
              </w:rPr>
              <w:t>Ceftriaxone</w:t>
            </w:r>
          </w:p>
          <w:p w14:paraId="5752C517" w14:textId="77777777" w:rsidR="00BE0B19" w:rsidRPr="00AE47C6" w:rsidRDefault="00BE0B19" w:rsidP="00BE0B19">
            <w:pPr>
              <w:spacing w:after="0" w:line="360" w:lineRule="auto"/>
              <w:ind w:firstLine="142"/>
              <w:contextualSpacing/>
              <w:jc w:val="both"/>
              <w:rPr>
                <w:rFonts w:ascii="Times New Roman" w:eastAsia="SimSun" w:hAnsi="Times New Roman"/>
                <w:i/>
                <w:sz w:val="24"/>
                <w:szCs w:val="24"/>
              </w:rPr>
            </w:pPr>
            <w:r w:rsidRPr="00AE47C6">
              <w:rPr>
                <w:rFonts w:ascii="Times New Roman" w:eastAsia="SimSun" w:hAnsi="Times New Roman"/>
                <w:i/>
                <w:sz w:val="24"/>
                <w:szCs w:val="24"/>
              </w:rPr>
              <w:t>Ceftazidime</w:t>
            </w:r>
          </w:p>
          <w:p w14:paraId="1D5FE4B1" w14:textId="77777777" w:rsidR="00BE0B19" w:rsidRPr="00AE47C6" w:rsidRDefault="00BE0B19" w:rsidP="00BE0B19">
            <w:pPr>
              <w:spacing w:after="0" w:line="360" w:lineRule="auto"/>
              <w:ind w:firstLine="142"/>
              <w:contextualSpacing/>
              <w:jc w:val="both"/>
              <w:rPr>
                <w:rFonts w:ascii="Times New Roman" w:eastAsia="SimSun" w:hAnsi="Times New Roman"/>
                <w:i/>
                <w:sz w:val="24"/>
                <w:szCs w:val="24"/>
              </w:rPr>
            </w:pPr>
            <w:r w:rsidRPr="00AE47C6">
              <w:rPr>
                <w:rFonts w:ascii="Times New Roman" w:eastAsia="SimSun" w:hAnsi="Times New Roman"/>
                <w:i/>
                <w:sz w:val="24"/>
                <w:szCs w:val="24"/>
              </w:rPr>
              <w:t>Gentamicin</w:t>
            </w:r>
          </w:p>
          <w:p w14:paraId="02D50BE8" w14:textId="77777777" w:rsidR="00BE0B19" w:rsidRPr="00AE47C6" w:rsidRDefault="00BE0B19" w:rsidP="00BE0B19">
            <w:pPr>
              <w:spacing w:after="0" w:line="360" w:lineRule="auto"/>
              <w:ind w:firstLine="142"/>
              <w:contextualSpacing/>
              <w:jc w:val="both"/>
              <w:rPr>
                <w:rFonts w:ascii="Times New Roman" w:eastAsia="SimSun" w:hAnsi="Times New Roman"/>
                <w:i/>
                <w:sz w:val="24"/>
                <w:szCs w:val="24"/>
              </w:rPr>
            </w:pPr>
            <w:r w:rsidRPr="00AE47C6">
              <w:rPr>
                <w:rFonts w:ascii="Times New Roman" w:eastAsia="SimSun" w:hAnsi="Times New Roman"/>
                <w:i/>
                <w:sz w:val="24"/>
                <w:szCs w:val="24"/>
              </w:rPr>
              <w:t>Meropenem</w:t>
            </w:r>
          </w:p>
          <w:p w14:paraId="42368033" w14:textId="77777777" w:rsidR="00BE0B19" w:rsidRPr="00AE47C6" w:rsidRDefault="00BE0B19" w:rsidP="00BE0B19">
            <w:pPr>
              <w:spacing w:after="0" w:line="360" w:lineRule="auto"/>
              <w:ind w:firstLine="142"/>
              <w:contextualSpacing/>
              <w:jc w:val="both"/>
              <w:rPr>
                <w:rFonts w:ascii="Times New Roman" w:eastAsia="SimSun" w:hAnsi="Times New Roman"/>
                <w:i/>
                <w:sz w:val="24"/>
                <w:szCs w:val="24"/>
              </w:rPr>
            </w:pPr>
            <w:r w:rsidRPr="00AE47C6">
              <w:rPr>
                <w:rFonts w:ascii="Times New Roman" w:eastAsia="SimSun" w:hAnsi="Times New Roman"/>
                <w:i/>
                <w:sz w:val="24"/>
                <w:szCs w:val="24"/>
              </w:rPr>
              <w:t>Metronidazole</w:t>
            </w:r>
          </w:p>
          <w:p w14:paraId="3FE0F1DB" w14:textId="77777777" w:rsidR="00BE0B19" w:rsidRPr="00AE47C6" w:rsidRDefault="00BE0B19" w:rsidP="00BE0B19">
            <w:pPr>
              <w:spacing w:after="0" w:line="360" w:lineRule="auto"/>
              <w:ind w:firstLine="142"/>
              <w:contextualSpacing/>
              <w:jc w:val="both"/>
              <w:rPr>
                <w:rFonts w:ascii="Times New Roman" w:eastAsia="SimSun" w:hAnsi="Times New Roman"/>
                <w:i/>
                <w:sz w:val="24"/>
                <w:szCs w:val="24"/>
              </w:rPr>
            </w:pPr>
            <w:r w:rsidRPr="00AE47C6">
              <w:rPr>
                <w:rFonts w:ascii="Times New Roman" w:eastAsia="SimSun" w:hAnsi="Times New Roman"/>
                <w:i/>
                <w:sz w:val="24"/>
                <w:szCs w:val="24"/>
              </w:rPr>
              <w:t>Nafcillin</w:t>
            </w:r>
          </w:p>
          <w:p w14:paraId="33AB3A6C" w14:textId="77777777" w:rsidR="00BE0B19" w:rsidRPr="00AE47C6" w:rsidRDefault="00BE0B19" w:rsidP="00BE0B19">
            <w:pPr>
              <w:spacing w:after="0" w:line="360" w:lineRule="auto"/>
              <w:ind w:firstLine="142"/>
              <w:contextualSpacing/>
              <w:jc w:val="both"/>
              <w:rPr>
                <w:rFonts w:ascii="Times New Roman" w:eastAsia="SimSun" w:hAnsi="Times New Roman"/>
                <w:i/>
                <w:sz w:val="24"/>
                <w:szCs w:val="24"/>
              </w:rPr>
            </w:pPr>
            <w:r w:rsidRPr="00AE47C6">
              <w:rPr>
                <w:rFonts w:ascii="Times New Roman" w:eastAsia="SimSun" w:hAnsi="Times New Roman"/>
                <w:i/>
                <w:sz w:val="24"/>
                <w:szCs w:val="24"/>
              </w:rPr>
              <w:t>Penicillin G</w:t>
            </w:r>
          </w:p>
          <w:p w14:paraId="4AED0F3C" w14:textId="77777777" w:rsidR="00BE0B19" w:rsidRPr="00AE47C6" w:rsidRDefault="00BE0B19" w:rsidP="00BE0B19">
            <w:pPr>
              <w:spacing w:after="0" w:line="360" w:lineRule="auto"/>
              <w:contextualSpacing/>
              <w:jc w:val="both"/>
              <w:rPr>
                <w:rFonts w:ascii="Times New Roman" w:eastAsia="SimSun" w:hAnsi="Times New Roman"/>
                <w:i/>
                <w:sz w:val="24"/>
                <w:szCs w:val="24"/>
              </w:rPr>
            </w:pPr>
            <w:r w:rsidRPr="00AE47C6">
              <w:rPr>
                <w:rFonts w:ascii="Times New Roman" w:eastAsia="SimSun" w:hAnsi="Times New Roman"/>
                <w:i/>
                <w:sz w:val="24"/>
                <w:szCs w:val="24"/>
              </w:rPr>
              <w:t xml:space="preserve">Vancomycin </w:t>
            </w:r>
          </w:p>
          <w:p w14:paraId="036E4E03" w14:textId="77777777" w:rsidR="00BE0B19" w:rsidRPr="00AE47C6" w:rsidRDefault="00BE0B19" w:rsidP="00BE0B19">
            <w:pPr>
              <w:spacing w:after="0" w:line="360" w:lineRule="auto"/>
              <w:ind w:firstLine="142"/>
              <w:contextualSpacing/>
              <w:jc w:val="both"/>
              <w:rPr>
                <w:rFonts w:ascii="Times New Roman" w:eastAsia="SimSun" w:hAnsi="Times New Roman"/>
                <w:b/>
                <w:bCs/>
                <w:sz w:val="24"/>
                <w:szCs w:val="24"/>
              </w:rPr>
            </w:pPr>
          </w:p>
        </w:tc>
        <w:tc>
          <w:tcPr>
            <w:tcW w:w="3841" w:type="dxa"/>
          </w:tcPr>
          <w:p w14:paraId="39B37B11" w14:textId="77777777" w:rsidR="00BE0B19" w:rsidRPr="00AE47C6" w:rsidRDefault="00BE0B19" w:rsidP="00BE0B19">
            <w:p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12 g/дн., на 4 часа</w:t>
            </w:r>
          </w:p>
          <w:p w14:paraId="35851AEF" w14:textId="77777777" w:rsidR="00BE0B19" w:rsidRPr="00AE47C6" w:rsidRDefault="00BE0B19" w:rsidP="00BE0B19">
            <w:p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6 g/дн., на 8 часа</w:t>
            </w:r>
          </w:p>
          <w:p w14:paraId="4E6721E8" w14:textId="77777777" w:rsidR="00BE0B19" w:rsidRPr="00AE47C6" w:rsidRDefault="00BE0B19" w:rsidP="00BE0B19">
            <w:p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12 g/дн., на 4 часа</w:t>
            </w:r>
          </w:p>
          <w:p w14:paraId="658CAE60" w14:textId="77777777" w:rsidR="00BE0B19" w:rsidRPr="00AE47C6" w:rsidRDefault="00BE0B19" w:rsidP="00BE0B19">
            <w:p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4 g/дн., на 12 часа</w:t>
            </w:r>
          </w:p>
          <w:p w14:paraId="610A84B2" w14:textId="77777777" w:rsidR="00BE0B19" w:rsidRPr="00AE47C6" w:rsidRDefault="00BE0B19" w:rsidP="00BE0B19">
            <w:p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6 g/дн., на 8 часа</w:t>
            </w:r>
          </w:p>
          <w:p w14:paraId="6B91891D" w14:textId="77777777" w:rsidR="00BE0B19" w:rsidRPr="00AE47C6" w:rsidRDefault="00BE0B19" w:rsidP="00BE0B19">
            <w:p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7,5 mg/kg/дн., на 8 часа </w:t>
            </w:r>
          </w:p>
          <w:p w14:paraId="4945FF51" w14:textId="77777777" w:rsidR="00BE0B19" w:rsidRPr="00AE47C6" w:rsidRDefault="00BE0B19" w:rsidP="00BE0B19">
            <w:p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3 g/дн., на 8 часа</w:t>
            </w:r>
          </w:p>
          <w:p w14:paraId="1D60A1EA" w14:textId="77777777" w:rsidR="00BE0B19" w:rsidRPr="00AE47C6" w:rsidRDefault="00BE0B19" w:rsidP="00BE0B19">
            <w:p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1500–2000 mg/дн., на 6 часа</w:t>
            </w:r>
          </w:p>
          <w:p w14:paraId="1F305F88" w14:textId="77777777" w:rsidR="00BE0B19" w:rsidRPr="00AE47C6" w:rsidRDefault="00BE0B19" w:rsidP="00BE0B19">
            <w:p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9–12 g/дн., на 4 часа</w:t>
            </w:r>
          </w:p>
          <w:p w14:paraId="1DCDAFDD" w14:textId="77777777" w:rsidR="00BE0B19" w:rsidRPr="00AE47C6" w:rsidRDefault="00BE0B19" w:rsidP="00BE0B19">
            <w:p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20–24 милиона U/дн., на 4 часа</w:t>
            </w:r>
          </w:p>
          <w:p w14:paraId="76E06163" w14:textId="77777777" w:rsidR="00BE0B19" w:rsidRPr="00AE47C6" w:rsidRDefault="00BE0B19" w:rsidP="00BE0B19">
            <w:p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2 g/дн., на 12 часа</w:t>
            </w:r>
          </w:p>
          <w:p w14:paraId="19050456" w14:textId="77777777" w:rsidR="00BE0B19" w:rsidRPr="00AE47C6" w:rsidRDefault="00BE0B19" w:rsidP="00BE0B19">
            <w:pPr>
              <w:spacing w:after="0" w:line="360" w:lineRule="auto"/>
              <w:contextualSpacing/>
              <w:jc w:val="both"/>
              <w:rPr>
                <w:rFonts w:ascii="Times New Roman" w:eastAsia="SimSun" w:hAnsi="Times New Roman"/>
                <w:b/>
                <w:bCs/>
                <w:sz w:val="24"/>
                <w:szCs w:val="24"/>
              </w:rPr>
            </w:pPr>
          </w:p>
        </w:tc>
      </w:tr>
      <w:tr w:rsidR="00BE0B19" w:rsidRPr="00AE47C6" w14:paraId="3A49B9F7" w14:textId="77777777" w:rsidTr="00AD72E5">
        <w:trPr>
          <w:trHeight w:val="1850"/>
        </w:trPr>
        <w:tc>
          <w:tcPr>
            <w:tcW w:w="8834" w:type="dxa"/>
            <w:gridSpan w:val="2"/>
          </w:tcPr>
          <w:p w14:paraId="13995228"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Продължителност на лечението на менингитите причинени от:</w:t>
            </w:r>
          </w:p>
          <w:p w14:paraId="7BF1952E" w14:textId="77777777" w:rsidR="00BE0B19" w:rsidRPr="00AE47C6" w:rsidRDefault="00BE0B19" w:rsidP="00BE0B19">
            <w:pPr>
              <w:numPr>
                <w:ilvl w:val="0"/>
                <w:numId w:val="1"/>
              </w:numPr>
              <w:spacing w:after="0" w:line="360" w:lineRule="auto"/>
              <w:ind w:left="0" w:firstLine="0"/>
              <w:contextualSpacing/>
              <w:jc w:val="both"/>
              <w:rPr>
                <w:rFonts w:ascii="Times New Roman" w:eastAsia="SimSun" w:hAnsi="Times New Roman"/>
                <w:bCs/>
                <w:sz w:val="24"/>
                <w:szCs w:val="24"/>
              </w:rPr>
            </w:pPr>
            <w:r w:rsidRPr="00AE47C6">
              <w:rPr>
                <w:rFonts w:ascii="Times New Roman" w:eastAsia="SimSun" w:hAnsi="Times New Roman"/>
                <w:bCs/>
                <w:iCs/>
                <w:sz w:val="24"/>
                <w:szCs w:val="24"/>
              </w:rPr>
              <w:t>S. pneumoniae, H. Influenzae, стрептококи група В – 10-14 дни.</w:t>
            </w:r>
          </w:p>
          <w:p w14:paraId="7DF4FEF1" w14:textId="77777777" w:rsidR="00BE0B19" w:rsidRPr="00AE47C6" w:rsidRDefault="00BE0B19" w:rsidP="00BE0B19">
            <w:pPr>
              <w:numPr>
                <w:ilvl w:val="0"/>
                <w:numId w:val="1"/>
              </w:numPr>
              <w:spacing w:after="0" w:line="360" w:lineRule="auto"/>
              <w:ind w:left="0" w:firstLine="0"/>
              <w:contextualSpacing/>
              <w:jc w:val="both"/>
              <w:rPr>
                <w:rFonts w:ascii="Times New Roman" w:eastAsia="SimSun" w:hAnsi="Times New Roman"/>
                <w:bCs/>
                <w:sz w:val="24"/>
                <w:szCs w:val="24"/>
              </w:rPr>
            </w:pPr>
            <w:r w:rsidRPr="00AE47C6">
              <w:rPr>
                <w:rFonts w:ascii="Times New Roman" w:eastAsia="SimSun" w:hAnsi="Times New Roman"/>
                <w:bCs/>
                <w:iCs/>
                <w:sz w:val="24"/>
                <w:szCs w:val="24"/>
              </w:rPr>
              <w:t xml:space="preserve">N. Meningitides </w:t>
            </w:r>
            <w:r w:rsidRPr="00AE47C6">
              <w:rPr>
                <w:rFonts w:ascii="Times New Roman" w:eastAsia="SimSun" w:hAnsi="Times New Roman"/>
                <w:bCs/>
                <w:sz w:val="24"/>
                <w:szCs w:val="24"/>
              </w:rPr>
              <w:t xml:space="preserve">– </w:t>
            </w:r>
            <w:r w:rsidRPr="00AE47C6">
              <w:rPr>
                <w:rFonts w:ascii="Times New Roman" w:eastAsia="SimSun" w:hAnsi="Times New Roman"/>
                <w:bCs/>
                <w:iCs/>
                <w:sz w:val="24"/>
                <w:szCs w:val="24"/>
              </w:rPr>
              <w:t xml:space="preserve">5-7 дни. </w:t>
            </w:r>
          </w:p>
          <w:p w14:paraId="3AE55FDC" w14:textId="77777777" w:rsidR="00BE0B19" w:rsidRPr="00AE47C6" w:rsidRDefault="00BE0B19" w:rsidP="00BE0B19">
            <w:pPr>
              <w:numPr>
                <w:ilvl w:val="0"/>
                <w:numId w:val="1"/>
              </w:numPr>
              <w:spacing w:after="0" w:line="360" w:lineRule="auto"/>
              <w:ind w:left="0" w:firstLine="0"/>
              <w:contextualSpacing/>
              <w:jc w:val="both"/>
              <w:rPr>
                <w:rFonts w:ascii="Times New Roman" w:eastAsia="SimSun" w:hAnsi="Times New Roman"/>
                <w:bCs/>
                <w:sz w:val="24"/>
                <w:szCs w:val="24"/>
              </w:rPr>
            </w:pPr>
            <w:r w:rsidRPr="00AE47C6">
              <w:rPr>
                <w:rFonts w:ascii="Times New Roman" w:eastAsia="SimSun" w:hAnsi="Times New Roman"/>
                <w:bCs/>
                <w:iCs/>
                <w:sz w:val="24"/>
                <w:szCs w:val="24"/>
              </w:rPr>
              <w:t>L. Monocytogenes и Enterobacteriaceae – 3-4 седмици.</w:t>
            </w:r>
          </w:p>
          <w:p w14:paraId="0C9B3B97" w14:textId="77777777" w:rsidR="00BE0B19" w:rsidRPr="00AE47C6" w:rsidRDefault="00BE0B19" w:rsidP="00BE0B19">
            <w:pPr>
              <w:numPr>
                <w:ilvl w:val="0"/>
                <w:numId w:val="1"/>
              </w:numPr>
              <w:spacing w:after="0" w:line="360" w:lineRule="auto"/>
              <w:ind w:left="0" w:firstLine="0"/>
              <w:contextualSpacing/>
              <w:jc w:val="both"/>
              <w:rPr>
                <w:rFonts w:ascii="Times New Roman" w:eastAsia="SimSun" w:hAnsi="Times New Roman"/>
                <w:bCs/>
                <w:sz w:val="24"/>
                <w:szCs w:val="24"/>
              </w:rPr>
            </w:pPr>
            <w:r w:rsidRPr="00AE47C6">
              <w:rPr>
                <w:rFonts w:ascii="Times New Roman" w:eastAsia="SimSun" w:hAnsi="Times New Roman"/>
                <w:bCs/>
                <w:sz w:val="24"/>
                <w:szCs w:val="24"/>
              </w:rPr>
              <w:t>Пациентите със съмнение за менингококов менингит се лекуват с Rifampin 2x600 mg за 2 дни след приключване на i.v. терапия</w:t>
            </w:r>
          </w:p>
        </w:tc>
      </w:tr>
    </w:tbl>
    <w:p w14:paraId="1BFDF748"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84" w:name="_Toc155651741"/>
      <w:bookmarkStart w:id="85" w:name="_Toc164075873"/>
      <w:r w:rsidRPr="00AE47C6">
        <w:rPr>
          <w:rFonts w:ascii="Times New Roman" w:eastAsia="SimSun" w:hAnsi="Times New Roman"/>
          <w:b/>
          <w:sz w:val="24"/>
          <w:szCs w:val="24"/>
        </w:rPr>
        <w:t>4.2. Енцефалити и енцефалопатии</w:t>
      </w:r>
      <w:bookmarkEnd w:id="84"/>
      <w:bookmarkEnd w:id="85"/>
    </w:p>
    <w:p w14:paraId="79044AE9" w14:textId="77777777" w:rsidR="00BE0B19" w:rsidRPr="00AE47C6" w:rsidRDefault="00BE0B19" w:rsidP="00BE0B19">
      <w:pPr>
        <w:shd w:val="clear" w:color="auto" w:fill="FFFFFF"/>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 xml:space="preserve">Енцефалитът </w:t>
      </w:r>
      <w:r w:rsidRPr="00AE47C6">
        <w:rPr>
          <w:rFonts w:ascii="Times New Roman" w:eastAsia="SimSun" w:hAnsi="Times New Roman"/>
          <w:sz w:val="24"/>
          <w:szCs w:val="24"/>
        </w:rPr>
        <w:t xml:space="preserve">е възпаление на мозъчния паренхим, свързано с неврологична дисфункция поради въздействието на причинителя върху мозъчния паренхим, от последващ процес при постинфекциозните  енцефалити и </w:t>
      </w:r>
      <w:r w:rsidRPr="00AE47C6">
        <w:rPr>
          <w:rFonts w:ascii="Times New Roman" w:eastAsia="SimSun" w:hAnsi="Times New Roman"/>
          <w:bCs/>
          <w:sz w:val="24"/>
          <w:szCs w:val="24"/>
        </w:rPr>
        <w:t xml:space="preserve">ОДЕМ (остър дисеминиран енцефаломиелит) </w:t>
      </w:r>
      <w:r w:rsidRPr="00AE47C6">
        <w:rPr>
          <w:rFonts w:ascii="Times New Roman" w:eastAsia="SimSun" w:hAnsi="Times New Roman"/>
          <w:sz w:val="24"/>
          <w:szCs w:val="24"/>
        </w:rPr>
        <w:t>или с автоимунна причина. Диагностицира се на базата на клинични, лабораторни, вкл. ликворни, електроенцефалографски и невроизобразяващи находки, тъй като рядко има патологоанатомично потвърждение. Енцефалитите са честа причина за заболяемост и смъртност, но около 60% остават с неясна етиология, а патогенезата и клиничната картина, ликворните и невроизобразяващите изследвания са различни.</w:t>
      </w:r>
    </w:p>
    <w:p w14:paraId="34BAD0F8" w14:textId="77777777" w:rsidR="00BE0B19" w:rsidRPr="00AE47C6" w:rsidRDefault="00BE0B19" w:rsidP="00BE0B19">
      <w:pPr>
        <w:shd w:val="clear" w:color="auto" w:fill="FFFFFF"/>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Енцефалитите с инфекциозна етиология</w:t>
      </w:r>
      <w:r w:rsidRPr="00AE47C6">
        <w:rPr>
          <w:rFonts w:ascii="Times New Roman" w:eastAsia="SimSun" w:hAnsi="Times New Roman"/>
          <w:sz w:val="24"/>
          <w:szCs w:val="24"/>
        </w:rPr>
        <w:t xml:space="preserve"> протичат най-често остро с бързо прогресираща енцефалопатия (под 6 седмици) в резултат на мозъчното възпаление и се доказват с характерни промени в ликворното изследване, патология в невроизобразяващите изследвания и се потвърждават чрез вирусологичните и микробиологични изследвания. </w:t>
      </w:r>
    </w:p>
    <w:p w14:paraId="7DEF8B8A" w14:textId="77777777" w:rsidR="00BE0B19" w:rsidRPr="00AE47C6" w:rsidRDefault="00BE0B19" w:rsidP="00BE0B19">
      <w:pPr>
        <w:shd w:val="clear" w:color="auto" w:fill="FFFFFF"/>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 xml:space="preserve">Автоимунните енцефалити </w:t>
      </w:r>
      <w:r w:rsidRPr="00AE47C6">
        <w:rPr>
          <w:rFonts w:ascii="Times New Roman" w:eastAsia="SimSun" w:hAnsi="Times New Roman"/>
          <w:sz w:val="24"/>
          <w:szCs w:val="24"/>
        </w:rPr>
        <w:t xml:space="preserve">се различават от острите енцефалити етиопатогенетично и клинично, чрез ликворните и невроизобразяващи находки, наличие на имунни автоантитела към невронни и глиални структури. Те са идиопатични, постинфекциозни (вирусни, бактериални), паранеопластични и с вероятна генетична предиспозиция. Възникват в резултат на автоимунно блокиране в ЦНС на антигени основно на волтажно-зависими йонни канали или рецептори на пресинаптично и постсинаптично ниво. Протичат монофазно, мултифазно или често хронично прогресиращо. Енцефалитът и енцефалопатията често се припокриват. </w:t>
      </w:r>
    </w:p>
    <w:p w14:paraId="69C917FA" w14:textId="77777777" w:rsidR="00BE0B19" w:rsidRPr="00AE47C6" w:rsidRDefault="00BE0B19" w:rsidP="00BE0B19">
      <w:pPr>
        <w:shd w:val="clear" w:color="auto" w:fill="FFFFFF"/>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 xml:space="preserve">Енцефалопатията </w:t>
      </w:r>
      <w:r w:rsidRPr="00AE47C6">
        <w:rPr>
          <w:rFonts w:ascii="Times New Roman" w:eastAsia="SimSun" w:hAnsi="Times New Roman"/>
          <w:iCs/>
          <w:sz w:val="24"/>
          <w:szCs w:val="24"/>
        </w:rPr>
        <w:t>с</w:t>
      </w:r>
      <w:r w:rsidRPr="00AE47C6">
        <w:rPr>
          <w:rFonts w:ascii="Times New Roman" w:eastAsia="SimSun" w:hAnsi="Times New Roman"/>
          <w:sz w:val="24"/>
          <w:szCs w:val="24"/>
        </w:rPr>
        <w:t xml:space="preserve">е дефинира като клинично състояние с увреден ментален статус, обърканост, дезориентация, поведенчески промени и когнитивни нарушения, със или без възпалителни мозъчни промени. </w:t>
      </w:r>
    </w:p>
    <w:p w14:paraId="62A9D2EC" w14:textId="77777777" w:rsidR="00BE0B19" w:rsidRPr="00AE47C6" w:rsidRDefault="00BE0B19" w:rsidP="00BE0B19">
      <w:pPr>
        <w:shd w:val="clear" w:color="auto" w:fill="FFFFFF"/>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 xml:space="preserve">Острите енцефалопатии, асоциирани с вирусни инфекции (ОЕАВИ) </w:t>
      </w:r>
      <w:r w:rsidRPr="00AE47C6">
        <w:rPr>
          <w:rFonts w:ascii="Times New Roman" w:eastAsia="SimSun" w:hAnsi="Times New Roman"/>
          <w:sz w:val="24"/>
          <w:szCs w:val="24"/>
        </w:rPr>
        <w:t xml:space="preserve">са заболявания, предизвикани от вирусна инфекция, най-често с грипния вирус, </w:t>
      </w:r>
      <w:r w:rsidRPr="00AE47C6">
        <w:rPr>
          <w:rFonts w:ascii="Times New Roman" w:eastAsia="SimSun" w:hAnsi="Times New Roman"/>
          <w:bCs/>
          <w:sz w:val="24"/>
          <w:szCs w:val="24"/>
        </w:rPr>
        <w:t xml:space="preserve">човешки херпес-вирус 6 </w:t>
      </w:r>
      <w:r w:rsidRPr="00AE47C6">
        <w:rPr>
          <w:rFonts w:ascii="Times New Roman" w:eastAsia="SimSun" w:hAnsi="Times New Roman"/>
          <w:sz w:val="24"/>
          <w:szCs w:val="24"/>
        </w:rPr>
        <w:t xml:space="preserve">(HHV-6), ротавирус, </w:t>
      </w:r>
      <w:r w:rsidRPr="00AE47C6">
        <w:rPr>
          <w:rFonts w:ascii="Times New Roman" w:eastAsia="SimSun" w:hAnsi="Times New Roman"/>
          <w:bCs/>
          <w:sz w:val="24"/>
          <w:szCs w:val="24"/>
        </w:rPr>
        <w:t xml:space="preserve">други вируси </w:t>
      </w:r>
      <w:r w:rsidRPr="00AE47C6">
        <w:rPr>
          <w:rFonts w:ascii="Times New Roman" w:eastAsia="SimSun" w:hAnsi="Times New Roman"/>
          <w:sz w:val="24"/>
          <w:szCs w:val="24"/>
        </w:rPr>
        <w:t>(паротитен, аденовирус, HHV-7, HSV, норовирус, EBV, VZV, морбилозен вирус), при които не се открива вирусна репликация в мозъка и са изключени менингит, вирусен енцефалит, ADEM, автоимунни енцефалити, задна обратима енцефалопатия и др. Симптомите от ЦНС се дължат на възпалителни медиатори, метаболитни нарушения или нарушения в баланса на ексцитаторните и инхибиторни невронни системи. Енцефалопатията без възпаление може да се предизвиква от различни метаболитни или токсични въздействия.</w:t>
      </w:r>
    </w:p>
    <w:p w14:paraId="280D804D"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86" w:name="_Toc155651742"/>
      <w:bookmarkStart w:id="87" w:name="_Toc164075874"/>
      <w:r w:rsidRPr="00AE47C6">
        <w:rPr>
          <w:rFonts w:ascii="Times New Roman" w:eastAsia="SimSun" w:hAnsi="Times New Roman"/>
          <w:b/>
          <w:sz w:val="24"/>
          <w:szCs w:val="20"/>
          <w:lang w:eastAsia="ja-JP"/>
        </w:rPr>
        <w:t>4.2.1. Бактериални енцефалити</w:t>
      </w:r>
      <w:bookmarkEnd w:id="86"/>
      <w:bookmarkEnd w:id="87"/>
    </w:p>
    <w:p w14:paraId="28FFD846"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Етиология.</w:t>
      </w:r>
      <w:r w:rsidRPr="00AE47C6">
        <w:rPr>
          <w:rFonts w:ascii="Times New Roman" w:eastAsia="SimSun" w:hAnsi="Times New Roman"/>
          <w:kern w:val="24"/>
          <w:sz w:val="24"/>
          <w:szCs w:val="24"/>
        </w:rPr>
        <w:t xml:space="preserve"> Най-често се предизвикват от Mycoplasma pneumoniae, Listeria monocytogenes, Legionella pneumophila, Rochalimaea hensele и др.</w:t>
      </w:r>
    </w:p>
    <w:p w14:paraId="7A18C826"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
          <w:kern w:val="24"/>
          <w:sz w:val="24"/>
          <w:szCs w:val="24"/>
          <w:u w:val="single"/>
        </w:rPr>
        <w:t>Mycoplasma pneumoniae енцефалитите</w:t>
      </w:r>
      <w:r w:rsidRPr="00AE47C6">
        <w:rPr>
          <w:rFonts w:ascii="Times New Roman" w:eastAsia="SimSun" w:hAnsi="Times New Roman"/>
          <w:kern w:val="24"/>
          <w:sz w:val="24"/>
          <w:szCs w:val="24"/>
        </w:rPr>
        <w:t xml:space="preserve"> възникват при 1-5% от пациентите с микоплазмена инфекция (пневмонии и трахеобронхити). В някои случаи се предполага участие на автоимунни механизми. </w:t>
      </w:r>
    </w:p>
    <w:p w14:paraId="23C34807"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kern w:val="24"/>
          <w:sz w:val="24"/>
          <w:szCs w:val="24"/>
        </w:rPr>
        <w:t>Клинично</w:t>
      </w:r>
      <w:r w:rsidRPr="00AE47C6">
        <w:rPr>
          <w:rFonts w:ascii="Times New Roman" w:eastAsia="SimSun" w:hAnsi="Times New Roman"/>
          <w:kern w:val="24"/>
          <w:sz w:val="24"/>
          <w:szCs w:val="24"/>
        </w:rPr>
        <w:t xml:space="preserve"> започва с тежко продромално главоболие. Могат да се развият различни симптоми от страна на ствола, главния, малкия или гръбначния мозък. В повечето случаи възстановяването е пълно, без остатъчни симптоми. </w:t>
      </w:r>
    </w:p>
    <w:p w14:paraId="15AEEF84"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kern w:val="24"/>
          <w:sz w:val="24"/>
          <w:szCs w:val="24"/>
        </w:rPr>
        <w:t>Изследването</w:t>
      </w:r>
      <w:r w:rsidRPr="00AE47C6">
        <w:rPr>
          <w:rFonts w:ascii="Times New Roman" w:eastAsia="SimSun" w:hAnsi="Times New Roman"/>
          <w:kern w:val="24"/>
          <w:sz w:val="24"/>
          <w:szCs w:val="24"/>
        </w:rPr>
        <w:t xml:space="preserve"> на ликвора установява повишен протеин и малко количество мононуклеарни клетки и полиморфонуклеарни левкоцити. В серума и ликвора се установяват повишени титри на антитела. </w:t>
      </w:r>
    </w:p>
    <w:p w14:paraId="73274C8E"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kern w:val="24"/>
          <w:sz w:val="24"/>
          <w:szCs w:val="24"/>
        </w:rPr>
        <w:t>Лечението</w:t>
      </w:r>
      <w:r w:rsidRPr="00AE47C6">
        <w:rPr>
          <w:rFonts w:ascii="Times New Roman" w:eastAsia="SimSun" w:hAnsi="Times New Roman"/>
          <w:kern w:val="24"/>
          <w:sz w:val="24"/>
          <w:szCs w:val="24"/>
        </w:rPr>
        <w:t xml:space="preserve"> се провежда с антибиотици от групите на erythromycin и tetracycline. </w:t>
      </w:r>
    </w:p>
    <w:p w14:paraId="45B0C6DE"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
          <w:kern w:val="24"/>
          <w:sz w:val="24"/>
          <w:szCs w:val="24"/>
          <w:u w:val="single"/>
        </w:rPr>
        <w:t>Listeria monocytogenes менингоенцефалитите</w:t>
      </w:r>
      <w:r w:rsidRPr="00AE47C6">
        <w:rPr>
          <w:rFonts w:ascii="Times New Roman" w:eastAsia="SimSun" w:hAnsi="Times New Roman"/>
          <w:kern w:val="24"/>
          <w:sz w:val="24"/>
          <w:szCs w:val="24"/>
        </w:rPr>
        <w:t xml:space="preserve"> възникват при имуносупресирани пациенти. Енцефалитът е със стволова локализация (ромбенцефалит) с няколкодневно главоболие, повишена температура, гадене и повръщане, асиметрична пареза на краниални нерви, малкомозъчни нарушения, хеми- или квадри- парези и сетивни нарушения. Могат да настъпят дихателни нарушения. </w:t>
      </w:r>
    </w:p>
    <w:p w14:paraId="29CA000D"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kern w:val="24"/>
          <w:sz w:val="24"/>
          <w:szCs w:val="24"/>
        </w:rPr>
        <w:t>Изследването</w:t>
      </w:r>
      <w:r w:rsidRPr="00AE47C6">
        <w:rPr>
          <w:rFonts w:ascii="Times New Roman" w:eastAsia="SimSun" w:hAnsi="Times New Roman"/>
          <w:kern w:val="24"/>
          <w:sz w:val="24"/>
          <w:szCs w:val="24"/>
        </w:rPr>
        <w:t xml:space="preserve"> на ликвора и КТ не показват промени. При МРТ се установяват промени в паренхима на ствола. </w:t>
      </w:r>
    </w:p>
    <w:p w14:paraId="4570BE8D"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kern w:val="24"/>
          <w:sz w:val="24"/>
          <w:szCs w:val="24"/>
        </w:rPr>
        <w:t>Лечението</w:t>
      </w:r>
      <w:r w:rsidRPr="00AE47C6">
        <w:rPr>
          <w:rFonts w:ascii="Times New Roman" w:eastAsia="SimSun" w:hAnsi="Times New Roman"/>
          <w:kern w:val="24"/>
          <w:sz w:val="24"/>
          <w:szCs w:val="24"/>
        </w:rPr>
        <w:t xml:space="preserve"> се провежда с </w:t>
      </w:r>
      <w:r w:rsidRPr="00AE47C6">
        <w:rPr>
          <w:rFonts w:ascii="Times New Roman" w:eastAsia="SimSun" w:hAnsi="Times New Roman"/>
          <w:i/>
          <w:kern w:val="24"/>
          <w:sz w:val="24"/>
          <w:szCs w:val="24"/>
        </w:rPr>
        <w:t>ampicillin</w:t>
      </w:r>
      <w:r w:rsidRPr="00AE47C6">
        <w:rPr>
          <w:rFonts w:ascii="Times New Roman" w:eastAsia="SimSun" w:hAnsi="Times New Roman"/>
          <w:kern w:val="24"/>
          <w:sz w:val="24"/>
          <w:szCs w:val="24"/>
        </w:rPr>
        <w:t xml:space="preserve"> 1 g i.v. на 4 часа, в комбинация с </w:t>
      </w:r>
      <w:r w:rsidRPr="00AE47C6">
        <w:rPr>
          <w:rFonts w:ascii="Times New Roman" w:eastAsia="SimSun" w:hAnsi="Times New Roman"/>
          <w:i/>
          <w:kern w:val="24"/>
          <w:sz w:val="24"/>
          <w:szCs w:val="24"/>
        </w:rPr>
        <w:t xml:space="preserve">tobramycin </w:t>
      </w:r>
      <w:r w:rsidRPr="00AE47C6">
        <w:rPr>
          <w:rFonts w:ascii="Times New Roman" w:eastAsia="SimSun" w:hAnsi="Times New Roman"/>
          <w:kern w:val="24"/>
          <w:sz w:val="24"/>
          <w:szCs w:val="24"/>
        </w:rPr>
        <w:t xml:space="preserve">5 mg/kg i.v. дн., разделен на 3 приема. </w:t>
      </w:r>
    </w:p>
    <w:p w14:paraId="114AFA2C"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kern w:val="24"/>
          <w:sz w:val="24"/>
          <w:szCs w:val="24"/>
        </w:rPr>
        <w:t xml:space="preserve">При имунокомпрометирани болни изходът обикновено е фатален, в останалите случаи настъпва пълно оздравяване. </w:t>
      </w:r>
    </w:p>
    <w:p w14:paraId="046C2063"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
          <w:kern w:val="24"/>
          <w:sz w:val="24"/>
          <w:szCs w:val="24"/>
          <w:u w:val="single"/>
        </w:rPr>
        <w:t>Legionella pneumophila енцефалитите</w:t>
      </w:r>
      <w:r w:rsidRPr="00AE47C6">
        <w:rPr>
          <w:rFonts w:ascii="Times New Roman" w:eastAsia="SimSun" w:hAnsi="Times New Roman"/>
          <w:kern w:val="24"/>
          <w:sz w:val="24"/>
          <w:szCs w:val="24"/>
        </w:rPr>
        <w:t xml:space="preserve"> възникват след инфекция с едноименния бактерии при инхалация на заразени аерозоли или прах от климатици, вода или почва. Типично предизвиква Легионерска болест с пневмонии, възпаление на горните дихателни пътища и гастроинтестинални симптоми. </w:t>
      </w:r>
    </w:p>
    <w:p w14:paraId="4323247F"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kern w:val="24"/>
          <w:sz w:val="24"/>
          <w:szCs w:val="24"/>
        </w:rPr>
        <w:t>Клинично</w:t>
      </w:r>
      <w:r w:rsidRPr="00AE47C6">
        <w:rPr>
          <w:rFonts w:ascii="Times New Roman" w:eastAsia="SimSun" w:hAnsi="Times New Roman"/>
          <w:kern w:val="24"/>
          <w:sz w:val="24"/>
          <w:szCs w:val="24"/>
        </w:rPr>
        <w:t xml:space="preserve"> протичат с главоболие, фебрилитет, сомнолентност или делир и белодробни симптоми. Възможен е тремор, нистагъм, малкомозъчна атаксия, пареза на външните очни мускули, погледна пареза и дизартрия, по-дифузен енцефаломиелит или трансверзален миелит. </w:t>
      </w:r>
    </w:p>
    <w:p w14:paraId="363BEE42"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kern w:val="24"/>
          <w:sz w:val="24"/>
          <w:szCs w:val="24"/>
        </w:rPr>
        <w:t>Изследването</w:t>
      </w:r>
      <w:r w:rsidRPr="00AE47C6">
        <w:rPr>
          <w:rFonts w:ascii="Times New Roman" w:eastAsia="SimSun" w:hAnsi="Times New Roman"/>
          <w:kern w:val="24"/>
          <w:sz w:val="24"/>
          <w:szCs w:val="24"/>
        </w:rPr>
        <w:t xml:space="preserve"> на ликвор и КТ са нормални. Диагнозата се поставя чрез изследване на антитела към бактерия. </w:t>
      </w:r>
    </w:p>
    <w:p w14:paraId="343036D0"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kern w:val="24"/>
          <w:sz w:val="24"/>
          <w:szCs w:val="24"/>
        </w:rPr>
        <w:t>Лечението</w:t>
      </w:r>
      <w:r w:rsidRPr="00AE47C6">
        <w:rPr>
          <w:rFonts w:ascii="Times New Roman" w:eastAsia="SimSun" w:hAnsi="Times New Roman"/>
          <w:kern w:val="24"/>
          <w:sz w:val="24"/>
          <w:szCs w:val="24"/>
        </w:rPr>
        <w:t xml:space="preserve"> се провежда с </w:t>
      </w:r>
      <w:r w:rsidRPr="00AE47C6">
        <w:rPr>
          <w:rFonts w:ascii="Times New Roman" w:eastAsia="SimSun" w:hAnsi="Times New Roman"/>
          <w:i/>
          <w:kern w:val="24"/>
          <w:sz w:val="24"/>
          <w:szCs w:val="24"/>
        </w:rPr>
        <w:t xml:space="preserve">erythromycin </w:t>
      </w:r>
      <w:r w:rsidRPr="00AE47C6">
        <w:rPr>
          <w:rFonts w:ascii="Times New Roman" w:eastAsia="SimSun" w:hAnsi="Times New Roman"/>
          <w:kern w:val="24"/>
          <w:sz w:val="24"/>
          <w:szCs w:val="24"/>
        </w:rPr>
        <w:t xml:space="preserve">0,5-1,0 mg i.v. на всеки 6 ч. за 3 седмици. Могат да се използват и аналозите </w:t>
      </w:r>
      <w:r w:rsidRPr="00AE47C6">
        <w:rPr>
          <w:rFonts w:ascii="Times New Roman" w:eastAsia="SimSun" w:hAnsi="Times New Roman"/>
          <w:i/>
          <w:kern w:val="24"/>
          <w:sz w:val="24"/>
          <w:szCs w:val="24"/>
        </w:rPr>
        <w:t>azithromycin и ciprofloxacin</w:t>
      </w:r>
      <w:r w:rsidRPr="00AE47C6">
        <w:rPr>
          <w:rFonts w:ascii="Times New Roman" w:eastAsia="SimSun" w:hAnsi="Times New Roman"/>
          <w:kern w:val="24"/>
          <w:sz w:val="24"/>
          <w:szCs w:val="24"/>
        </w:rPr>
        <w:t xml:space="preserve">. </w:t>
      </w:r>
    </w:p>
    <w:p w14:paraId="38B3A56D"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kern w:val="24"/>
          <w:sz w:val="24"/>
          <w:szCs w:val="24"/>
        </w:rPr>
        <w:t>Възстановяването обикновено е пълно.</w:t>
      </w:r>
    </w:p>
    <w:p w14:paraId="5EDE1499"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
          <w:kern w:val="24"/>
          <w:sz w:val="24"/>
          <w:szCs w:val="24"/>
          <w:u w:val="single"/>
        </w:rPr>
        <w:t>Енцефалитът при болестта на котешкото одраскване</w:t>
      </w:r>
      <w:r w:rsidRPr="00AE47C6">
        <w:rPr>
          <w:rFonts w:ascii="Times New Roman" w:eastAsia="SimSun" w:hAnsi="Times New Roman"/>
          <w:kern w:val="24"/>
          <w:sz w:val="24"/>
          <w:szCs w:val="24"/>
        </w:rPr>
        <w:t xml:space="preserve"> се причинява от Rochalimaea hensele. Предизвиква се при одраскване, рядко ухапване от заразени котки. </w:t>
      </w:r>
    </w:p>
    <w:p w14:paraId="08C90ECC"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kern w:val="24"/>
          <w:sz w:val="24"/>
          <w:szCs w:val="24"/>
        </w:rPr>
        <w:t>Клинично</w:t>
      </w:r>
      <w:r w:rsidRPr="00AE47C6">
        <w:rPr>
          <w:rFonts w:ascii="Times New Roman" w:eastAsia="SimSun" w:hAnsi="Times New Roman"/>
          <w:kern w:val="24"/>
          <w:sz w:val="24"/>
          <w:szCs w:val="24"/>
        </w:rPr>
        <w:t xml:space="preserve"> започва с едностранна аденопатия на аксиларните и цервикални лимфни възли. Температурата се повишава, появяват се епилептични припадъци, които могат да прогресират до status epilepticus. </w:t>
      </w:r>
    </w:p>
    <w:p w14:paraId="24495A17"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kern w:val="24"/>
          <w:sz w:val="24"/>
          <w:szCs w:val="24"/>
        </w:rPr>
        <w:t>Диагнозата</w:t>
      </w:r>
      <w:r w:rsidRPr="00AE47C6">
        <w:rPr>
          <w:rFonts w:ascii="Times New Roman" w:eastAsia="SimSun" w:hAnsi="Times New Roman"/>
          <w:kern w:val="24"/>
          <w:sz w:val="24"/>
          <w:szCs w:val="24"/>
        </w:rPr>
        <w:t xml:space="preserve"> се поставя чрез PCR изследване на лимфни възли. </w:t>
      </w:r>
    </w:p>
    <w:p w14:paraId="2D11DDC1"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kern w:val="24"/>
          <w:sz w:val="24"/>
          <w:szCs w:val="24"/>
        </w:rPr>
        <w:t>Лечението</w:t>
      </w:r>
      <w:r w:rsidRPr="00AE47C6">
        <w:rPr>
          <w:rFonts w:ascii="Times New Roman" w:eastAsia="SimSun" w:hAnsi="Times New Roman"/>
          <w:kern w:val="24"/>
          <w:sz w:val="24"/>
          <w:szCs w:val="24"/>
        </w:rPr>
        <w:t xml:space="preserve"> се провежда с erythromycin, chloramphenicol или doxycycline. </w:t>
      </w:r>
    </w:p>
    <w:p w14:paraId="2174EDD6"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kern w:val="24"/>
          <w:sz w:val="24"/>
          <w:szCs w:val="24"/>
        </w:rPr>
        <w:t>Възстановяването е пълно.</w:t>
      </w:r>
    </w:p>
    <w:p w14:paraId="1DD4F17A"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
          <w:kern w:val="24"/>
          <w:sz w:val="24"/>
          <w:szCs w:val="24"/>
          <w:u w:val="single"/>
        </w:rPr>
        <w:t>Менингоенцефалитът при бруцелоза</w:t>
      </w:r>
      <w:r w:rsidRPr="00AE47C6">
        <w:rPr>
          <w:rFonts w:ascii="Times New Roman" w:eastAsia="SimSun" w:hAnsi="Times New Roman"/>
          <w:kern w:val="24"/>
          <w:sz w:val="24"/>
          <w:szCs w:val="24"/>
        </w:rPr>
        <w:t xml:space="preserve"> протича с папиледема, повишено интракраниално налягане и менингеални симптоми. </w:t>
      </w:r>
    </w:p>
    <w:p w14:paraId="0D409AC8"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kern w:val="24"/>
          <w:sz w:val="24"/>
          <w:szCs w:val="24"/>
        </w:rPr>
        <w:t>Изследването</w:t>
      </w:r>
      <w:r w:rsidRPr="00AE47C6">
        <w:rPr>
          <w:rFonts w:ascii="Times New Roman" w:eastAsia="SimSun" w:hAnsi="Times New Roman"/>
          <w:kern w:val="24"/>
          <w:sz w:val="24"/>
          <w:szCs w:val="24"/>
        </w:rPr>
        <w:t xml:space="preserve"> на ликвора установява лимфоцитна плеоцитоза и повишено количество протеин. В серума и ликвора се повишава титъра на антителата към причинителя. </w:t>
      </w:r>
    </w:p>
    <w:p w14:paraId="027EACBF" w14:textId="77777777" w:rsidR="00BE0B19" w:rsidRPr="00AE47C6" w:rsidRDefault="00BE0B19" w:rsidP="00BE0B19">
      <w:pPr>
        <w:spacing w:after="0" w:line="360" w:lineRule="auto"/>
        <w:ind w:firstLine="709"/>
        <w:jc w:val="both"/>
        <w:rPr>
          <w:rFonts w:ascii="Times New Roman" w:eastAsia="SimSun" w:hAnsi="Times New Roman"/>
          <w:i/>
          <w:kern w:val="24"/>
          <w:sz w:val="24"/>
          <w:szCs w:val="24"/>
        </w:rPr>
      </w:pPr>
      <w:r w:rsidRPr="00AE47C6">
        <w:rPr>
          <w:rFonts w:ascii="Times New Roman" w:eastAsia="SimSun" w:hAnsi="Times New Roman"/>
          <w:i/>
          <w:kern w:val="24"/>
          <w:sz w:val="24"/>
          <w:szCs w:val="24"/>
        </w:rPr>
        <w:t>Лечението</w:t>
      </w:r>
      <w:r w:rsidRPr="00AE47C6">
        <w:rPr>
          <w:rFonts w:ascii="Times New Roman" w:eastAsia="SimSun" w:hAnsi="Times New Roman"/>
          <w:kern w:val="24"/>
          <w:sz w:val="24"/>
          <w:szCs w:val="24"/>
        </w:rPr>
        <w:t xml:space="preserve"> се провежда продължително време с </w:t>
      </w:r>
      <w:r w:rsidRPr="00AE47C6">
        <w:rPr>
          <w:rFonts w:ascii="Times New Roman" w:eastAsia="SimSun" w:hAnsi="Times New Roman"/>
          <w:i/>
          <w:kern w:val="24"/>
          <w:sz w:val="24"/>
          <w:szCs w:val="24"/>
        </w:rPr>
        <w:t xml:space="preserve">rifampin, trimethoprim-sulfamethoxazole и doxycycline. </w:t>
      </w:r>
    </w:p>
    <w:p w14:paraId="50B5D6CE"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88" w:name="_Toc155651743"/>
      <w:bookmarkStart w:id="89" w:name="_Toc164075875"/>
      <w:r w:rsidRPr="00AE47C6">
        <w:rPr>
          <w:rFonts w:ascii="Times New Roman" w:eastAsia="SimSun" w:hAnsi="Times New Roman"/>
          <w:b/>
          <w:sz w:val="24"/>
          <w:szCs w:val="20"/>
          <w:lang w:eastAsia="ja-JP"/>
        </w:rPr>
        <w:t>4.2.2. Остри вирусни менингити, менингоенцефалити и миелити</w:t>
      </w:r>
      <w:bookmarkEnd w:id="88"/>
      <w:bookmarkEnd w:id="89"/>
    </w:p>
    <w:p w14:paraId="6AFE7840" w14:textId="77777777" w:rsidR="00BE0B19" w:rsidRPr="00AE47C6" w:rsidRDefault="00BE0B19" w:rsidP="00BE0B19">
      <w:pPr>
        <w:spacing w:after="0" w:line="360" w:lineRule="auto"/>
        <w:contextualSpacing/>
        <w:jc w:val="both"/>
        <w:rPr>
          <w:rFonts w:ascii="Times New Roman" w:eastAsia="SimSun" w:hAnsi="Times New Roman"/>
          <w:b/>
          <w:sz w:val="24"/>
          <w:szCs w:val="24"/>
        </w:rPr>
      </w:pPr>
      <w:r w:rsidRPr="00AE47C6">
        <w:rPr>
          <w:rFonts w:ascii="Times New Roman" w:eastAsia="SimSun" w:hAnsi="Times New Roman"/>
          <w:b/>
          <w:sz w:val="24"/>
          <w:szCs w:val="24"/>
        </w:rPr>
        <w:t>Класификация</w:t>
      </w:r>
    </w:p>
    <w:p w14:paraId="3F5810CF" w14:textId="77777777" w:rsidR="00BE0B19" w:rsidRPr="00AE47C6" w:rsidRDefault="00BE0B19" w:rsidP="00BE0B19">
      <w:pPr>
        <w:spacing w:after="0" w:line="360" w:lineRule="auto"/>
        <w:contextualSpacing/>
        <w:jc w:val="both"/>
        <w:rPr>
          <w:rFonts w:ascii="Times New Roman" w:eastAsia="SimSun" w:hAnsi="Times New Roman"/>
          <w:b/>
          <w:sz w:val="24"/>
          <w:szCs w:val="24"/>
        </w:rPr>
      </w:pPr>
      <w:r w:rsidRPr="00AE47C6">
        <w:rPr>
          <w:rFonts w:ascii="Times New Roman" w:eastAsia="SimSun" w:hAnsi="Times New Roman"/>
          <w:b/>
          <w:sz w:val="24"/>
          <w:szCs w:val="24"/>
          <w:u w:val="single"/>
        </w:rPr>
        <w:t>І. Вирусни менингити</w:t>
      </w:r>
    </w:p>
    <w:p w14:paraId="30899BDC" w14:textId="77777777" w:rsidR="00BE0B19" w:rsidRPr="00AE47C6" w:rsidRDefault="00BE0B19" w:rsidP="00BE0B19">
      <w:pPr>
        <w:tabs>
          <w:tab w:val="left" w:pos="0"/>
        </w:tabs>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sz w:val="24"/>
          <w:szCs w:val="24"/>
        </w:rPr>
        <w:t>1.</w:t>
      </w:r>
      <w:r w:rsidRPr="00AE47C6">
        <w:rPr>
          <w:rFonts w:ascii="Times New Roman" w:eastAsia="SimSun" w:hAnsi="Times New Roman"/>
          <w:sz w:val="24"/>
          <w:szCs w:val="24"/>
        </w:rPr>
        <w:tab/>
        <w:t>Първични вирусни менингити</w:t>
      </w:r>
    </w:p>
    <w:p w14:paraId="2A2D056A" w14:textId="77777777" w:rsidR="00BE0B19" w:rsidRPr="00AE47C6" w:rsidRDefault="00BE0B19" w:rsidP="00BE0B19">
      <w:pPr>
        <w:numPr>
          <w:ilvl w:val="0"/>
          <w:numId w:val="27"/>
        </w:numPr>
        <w:tabs>
          <w:tab w:val="left" w:pos="0"/>
          <w:tab w:val="num" w:pos="1080"/>
        </w:tabs>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Ентеровирусни менингити – Coxsackie вирусни, ЕСНО-вирусни, полиомиелитни менингити;</w:t>
      </w:r>
    </w:p>
    <w:p w14:paraId="1C3579B8" w14:textId="77777777" w:rsidR="00BE0B19" w:rsidRPr="00AE47C6" w:rsidRDefault="00BE0B19" w:rsidP="00BE0B19">
      <w:pPr>
        <w:numPr>
          <w:ilvl w:val="0"/>
          <w:numId w:val="27"/>
        </w:numPr>
        <w:tabs>
          <w:tab w:val="left" w:pos="0"/>
          <w:tab w:val="num" w:pos="1080"/>
        </w:tabs>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Доброкачествен лимфоцитарен хориоменингит на Armstrong – Lilli;</w:t>
      </w:r>
    </w:p>
    <w:p w14:paraId="4A8B42E3" w14:textId="77777777" w:rsidR="00BE0B19" w:rsidRPr="00AE47C6" w:rsidRDefault="00BE0B19" w:rsidP="00BE0B19">
      <w:pPr>
        <w:numPr>
          <w:ilvl w:val="0"/>
          <w:numId w:val="27"/>
        </w:numPr>
        <w:tabs>
          <w:tab w:val="left" w:pos="0"/>
          <w:tab w:val="num" w:pos="1080"/>
        </w:tabs>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Мултирекурентен ендотелолимфоцитен менингит на Mollaret.</w:t>
      </w:r>
    </w:p>
    <w:p w14:paraId="5B91DD66" w14:textId="77777777" w:rsidR="00BE0B19" w:rsidRPr="00AE47C6" w:rsidRDefault="00BE0B19" w:rsidP="00BE0B19">
      <w:pPr>
        <w:tabs>
          <w:tab w:val="left" w:pos="0"/>
        </w:tabs>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sz w:val="24"/>
          <w:szCs w:val="24"/>
        </w:rPr>
        <w:t>2.</w:t>
      </w:r>
      <w:r w:rsidRPr="00AE47C6">
        <w:rPr>
          <w:rFonts w:ascii="Times New Roman" w:eastAsia="SimSun" w:hAnsi="Times New Roman"/>
          <w:sz w:val="24"/>
          <w:szCs w:val="24"/>
        </w:rPr>
        <w:tab/>
        <w:t>Вторични вирусни менингити – при herpes zoster, паротит, грип, еруптивни заболявания (рубеола, варицела, морбили).</w:t>
      </w:r>
    </w:p>
    <w:p w14:paraId="05E77138" w14:textId="77777777" w:rsidR="00BE0B19" w:rsidRPr="00AE47C6" w:rsidRDefault="00BE0B19" w:rsidP="00BE0B19">
      <w:pPr>
        <w:tabs>
          <w:tab w:val="num" w:pos="1800"/>
        </w:tabs>
        <w:spacing w:after="0" w:line="360" w:lineRule="auto"/>
        <w:jc w:val="both"/>
        <w:rPr>
          <w:rFonts w:ascii="Times New Roman" w:eastAsia="SimSun" w:hAnsi="Times New Roman"/>
          <w:b/>
          <w:kern w:val="24"/>
          <w:sz w:val="24"/>
          <w:szCs w:val="24"/>
          <w:u w:val="single"/>
        </w:rPr>
      </w:pPr>
      <w:r w:rsidRPr="00AE47C6">
        <w:rPr>
          <w:rFonts w:ascii="Times New Roman" w:eastAsia="SimSun" w:hAnsi="Times New Roman"/>
          <w:b/>
          <w:kern w:val="24"/>
          <w:sz w:val="24"/>
          <w:szCs w:val="24"/>
          <w:u w:val="single"/>
        </w:rPr>
        <w:t>II. Вирусни енцефалити</w:t>
      </w:r>
    </w:p>
    <w:p w14:paraId="1AEF18AF"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Класификация </w:t>
      </w:r>
    </w:p>
    <w:p w14:paraId="6192B2E9" w14:textId="77777777" w:rsidR="00BE0B19" w:rsidRPr="00AE47C6" w:rsidRDefault="00BE0B19" w:rsidP="00BE0B19">
      <w:pPr>
        <w:tabs>
          <w:tab w:val="num" w:pos="1800"/>
        </w:tabs>
        <w:spacing w:after="0" w:line="360" w:lineRule="auto"/>
        <w:jc w:val="both"/>
        <w:rPr>
          <w:rFonts w:ascii="Times New Roman" w:eastAsia="SimSun" w:hAnsi="Times New Roman"/>
          <w:b/>
          <w:kern w:val="24"/>
          <w:sz w:val="24"/>
          <w:szCs w:val="24"/>
        </w:rPr>
      </w:pPr>
      <w:r w:rsidRPr="00AE47C6">
        <w:rPr>
          <w:rFonts w:ascii="Times New Roman" w:eastAsia="SimSun" w:hAnsi="Times New Roman"/>
          <w:b/>
          <w:kern w:val="24"/>
          <w:sz w:val="24"/>
          <w:szCs w:val="24"/>
        </w:rPr>
        <w:t>Вирусни енцефалити</w:t>
      </w:r>
    </w:p>
    <w:p w14:paraId="53E67D78" w14:textId="77777777" w:rsidR="00BE0B19" w:rsidRPr="00AE47C6" w:rsidRDefault="00BE0B19" w:rsidP="00BE0B19">
      <w:pPr>
        <w:numPr>
          <w:ilvl w:val="1"/>
          <w:numId w:val="67"/>
        </w:numPr>
        <w:spacing w:after="0" w:line="360" w:lineRule="auto"/>
        <w:ind w:left="0" w:firstLine="0"/>
        <w:jc w:val="both"/>
        <w:rPr>
          <w:rFonts w:ascii="Times New Roman" w:eastAsia="SimSun" w:hAnsi="Times New Roman"/>
          <w:kern w:val="24"/>
          <w:sz w:val="24"/>
          <w:szCs w:val="24"/>
        </w:rPr>
      </w:pPr>
      <w:r w:rsidRPr="00AE47C6">
        <w:rPr>
          <w:rFonts w:ascii="Times New Roman" w:eastAsia="SimSun" w:hAnsi="Times New Roman"/>
          <w:kern w:val="24"/>
          <w:sz w:val="24"/>
          <w:szCs w:val="24"/>
        </w:rPr>
        <w:t>Herpes вирусни: Epstein-Barr, Cytomegalovirus, Herpes вирус 6, herpes simplex, herpes zoster</w:t>
      </w:r>
    </w:p>
    <w:p w14:paraId="4C6842DA" w14:textId="77777777" w:rsidR="00BE0B19" w:rsidRPr="00AE47C6" w:rsidRDefault="00BE0B19" w:rsidP="00BE0B19">
      <w:pPr>
        <w:numPr>
          <w:ilvl w:val="0"/>
          <w:numId w:val="27"/>
        </w:numPr>
        <w:tabs>
          <w:tab w:val="clear" w:pos="926"/>
          <w:tab w:val="num" w:pos="426"/>
        </w:tabs>
        <w:spacing w:after="0" w:line="360" w:lineRule="auto"/>
        <w:ind w:left="0" w:firstLine="0"/>
        <w:jc w:val="both"/>
        <w:rPr>
          <w:rFonts w:ascii="Times New Roman" w:eastAsia="SimSun" w:hAnsi="Times New Roman"/>
          <w:kern w:val="24"/>
          <w:sz w:val="24"/>
          <w:szCs w:val="24"/>
        </w:rPr>
      </w:pPr>
      <w:r w:rsidRPr="00AE47C6">
        <w:rPr>
          <w:rFonts w:ascii="Times New Roman" w:eastAsia="SimSun" w:hAnsi="Times New Roman"/>
          <w:kern w:val="24"/>
          <w:sz w:val="24"/>
          <w:szCs w:val="24"/>
        </w:rPr>
        <w:t>АRBO вирусни:</w:t>
      </w:r>
    </w:p>
    <w:p w14:paraId="56D9925D" w14:textId="77777777" w:rsidR="00BE0B19" w:rsidRPr="00AE47C6" w:rsidRDefault="00BE0B19" w:rsidP="00BE0B19">
      <w:pPr>
        <w:numPr>
          <w:ilvl w:val="2"/>
          <w:numId w:val="62"/>
        </w:numPr>
        <w:spacing w:after="0" w:line="360" w:lineRule="auto"/>
        <w:ind w:left="0" w:hanging="284"/>
        <w:jc w:val="both"/>
        <w:rPr>
          <w:rFonts w:ascii="Times New Roman" w:eastAsia="SimSun" w:hAnsi="Times New Roman"/>
          <w:kern w:val="24"/>
          <w:sz w:val="24"/>
          <w:szCs w:val="24"/>
        </w:rPr>
      </w:pPr>
      <w:r w:rsidRPr="00AE47C6">
        <w:rPr>
          <w:rFonts w:ascii="Times New Roman" w:eastAsia="SimSun" w:hAnsi="Times New Roman"/>
          <w:kern w:val="24"/>
          <w:sz w:val="24"/>
          <w:szCs w:val="24"/>
        </w:rPr>
        <w:t>Комарни - западно-Нилски, St. Louis, California (La Crosse), Японски, Източен, западен и Венецуелски конски</w:t>
      </w:r>
    </w:p>
    <w:p w14:paraId="73D0EC93" w14:textId="77777777" w:rsidR="00BE0B19" w:rsidRPr="00AE47C6" w:rsidRDefault="00BE0B19" w:rsidP="00BE0B19">
      <w:pPr>
        <w:numPr>
          <w:ilvl w:val="2"/>
          <w:numId w:val="62"/>
        </w:numPr>
        <w:spacing w:after="0" w:line="360" w:lineRule="auto"/>
        <w:ind w:left="0" w:hanging="284"/>
        <w:jc w:val="both"/>
        <w:rPr>
          <w:rFonts w:ascii="Times New Roman" w:eastAsia="SimSun" w:hAnsi="Times New Roman"/>
          <w:kern w:val="24"/>
          <w:sz w:val="24"/>
          <w:szCs w:val="24"/>
        </w:rPr>
      </w:pPr>
      <w:r w:rsidRPr="00AE47C6">
        <w:rPr>
          <w:rFonts w:ascii="Times New Roman" w:eastAsia="SimSun" w:hAnsi="Times New Roman"/>
          <w:kern w:val="24"/>
          <w:sz w:val="24"/>
          <w:szCs w:val="24"/>
        </w:rPr>
        <w:t xml:space="preserve">Кърлежови – Колорадски, далекоизточен и централноевропейски </w:t>
      </w:r>
    </w:p>
    <w:p w14:paraId="3110A7BC"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r w:rsidRPr="00AE47C6">
        <w:rPr>
          <w:rFonts w:ascii="Times New Roman" w:eastAsia="SimSun" w:hAnsi="Times New Roman"/>
          <w:b/>
          <w:sz w:val="24"/>
          <w:szCs w:val="24"/>
          <w:lang w:eastAsia="bg-BG"/>
        </w:rPr>
        <w:t xml:space="preserve">Вирусни полиоенцефаломиелити: </w:t>
      </w:r>
      <w:r w:rsidRPr="00AE47C6">
        <w:rPr>
          <w:rFonts w:ascii="Times New Roman" w:eastAsia="SimSun" w:hAnsi="Times New Roman"/>
          <w:sz w:val="24"/>
          <w:szCs w:val="24"/>
          <w:lang w:eastAsia="bg-BG"/>
        </w:rPr>
        <w:t>грипни, ентеровирусни, фокални с двигателни нарушения</w:t>
      </w:r>
    </w:p>
    <w:p w14:paraId="66FF932A"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Демиелинизиращи вирусни енцефаломиелити</w:t>
      </w:r>
    </w:p>
    <w:p w14:paraId="75BD911D"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Бактериални енцефалити</w:t>
      </w:r>
    </w:p>
    <w:p w14:paraId="04750418"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Бавновирусни невроинфекции от обичайни персистиращи вируси: хиперкинетичен</w:t>
      </w:r>
      <w:r w:rsidRPr="00AE47C6">
        <w:rPr>
          <w:rFonts w:ascii="Times New Roman" w:eastAsia="SimSun" w:hAnsi="Times New Roman"/>
          <w:sz w:val="24"/>
          <w:szCs w:val="24"/>
          <w:lang w:eastAsia="bg-BG"/>
        </w:rPr>
        <w:t xml:space="preserve"> прогресиращ паненцефалит, остър некротизиращ хеморагичен енцефаломиелит, рубеолен хроничен прогресиращ паненцефалит, прогресираща мултифокална левкоенцефалопатия, аденовирусни мултифокални енцефалити.</w:t>
      </w:r>
    </w:p>
    <w:p w14:paraId="182AB841"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p>
    <w:p w14:paraId="39EB5D8C"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Бавновирусни енцефалопатии, причинени от необичайни персистиращи вируси:</w:t>
      </w:r>
      <w:r w:rsidRPr="00AE47C6">
        <w:rPr>
          <w:rFonts w:ascii="Times New Roman" w:eastAsia="SimSun" w:hAnsi="Times New Roman"/>
          <w:sz w:val="24"/>
          <w:szCs w:val="24"/>
          <w:lang w:eastAsia="bg-BG"/>
        </w:rPr>
        <w:t xml:space="preserve"> Куру, болест на Creutzfeldt-Jakob.</w:t>
      </w:r>
    </w:p>
    <w:p w14:paraId="157085B9"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Етиология.</w:t>
      </w:r>
      <w:r w:rsidRPr="00AE47C6">
        <w:rPr>
          <w:rFonts w:ascii="Times New Roman" w:eastAsia="SimSun" w:hAnsi="Times New Roman"/>
          <w:sz w:val="24"/>
          <w:szCs w:val="24"/>
          <w:lang w:eastAsia="bg-BG"/>
        </w:rPr>
        <w:t xml:space="preserve"> Множество вируси могат да предизвикат енцефалит, но някои от тях са по-чести причинители. </w:t>
      </w:r>
    </w:p>
    <w:p w14:paraId="18C6D716"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i/>
          <w:sz w:val="24"/>
          <w:szCs w:val="24"/>
          <w:lang w:eastAsia="bg-BG"/>
        </w:rPr>
        <w:t>Спорадичните енцефалити</w:t>
      </w:r>
      <w:r w:rsidRPr="00AE47C6">
        <w:rPr>
          <w:rFonts w:ascii="Times New Roman" w:eastAsia="SimSun" w:hAnsi="Times New Roman"/>
          <w:sz w:val="24"/>
          <w:szCs w:val="24"/>
          <w:lang w:eastAsia="bg-BG"/>
        </w:rPr>
        <w:t xml:space="preserve"> най-често се причиняват от групата на херпесните вируси – herpes simplex, varicella zoster и Epstein-Barr вируси. Предават се по различен път – чрез гастроинтестиналния тракт (coxsackie), чрез слюнката на заразените животни (вирусът на бяса) или по въздушно-капков път (вирусите, които предизвикват детските инфекции). </w:t>
      </w:r>
    </w:p>
    <w:p w14:paraId="1F362868"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i/>
          <w:sz w:val="24"/>
          <w:szCs w:val="24"/>
          <w:lang w:eastAsia="bg-BG"/>
        </w:rPr>
        <w:t>Епидемиите от енцефалит</w:t>
      </w:r>
      <w:r w:rsidRPr="00AE47C6">
        <w:rPr>
          <w:rFonts w:ascii="Times New Roman" w:eastAsia="SimSun" w:hAnsi="Times New Roman"/>
          <w:sz w:val="24"/>
          <w:szCs w:val="24"/>
          <w:lang w:eastAsia="bg-BG"/>
        </w:rPr>
        <w:t xml:space="preserve"> най-често се предизвикват от арбовируси от различни групи, които се предават чрез кръвосмучещи инсекти, като комари и кърлежи. Развиват се в определени географски райони през месеците Юли до Септември. Резервоар за вирусите са различни птици или коне, от които инсектите смучат кръв. Само 10% от инфектираните хора развиват енцефалит и само при 1% от инфектираните има сериозни симптоми. Включват кърлежови, западно-Нилски, Венецуелски, източен и западен конски, St. Louis, Калифорнийски (La Crosse), Японски енцефалити и други по-редки видове. </w:t>
      </w:r>
    </w:p>
    <w:p w14:paraId="7BB8E735"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 xml:space="preserve">Патогенезата </w:t>
      </w:r>
      <w:r w:rsidRPr="00AE47C6">
        <w:rPr>
          <w:rFonts w:ascii="Times New Roman" w:eastAsia="SimSun" w:hAnsi="Times New Roman"/>
          <w:sz w:val="24"/>
          <w:szCs w:val="24"/>
          <w:lang w:eastAsia="bg-BG"/>
        </w:rPr>
        <w:t xml:space="preserve">на вирусните енцефалити е свързана с навлизане на вируса в ЦНС по хематогенен или невронен път. Хематогенното разпространение е по-често. Вирусите се разпространяват към ендотелните клетки на менингеалните капиляри, с последващо проникване към субарахноидното пространство, към хориоидния плексус, с последващо проникване към ликвора. Невронното разпространение чрез периферните нервни окончания се осъществява чрез ретрограден аксонен транспорт. Характерно е за бяс, herpes simplex, varicella-zoster вирус и полиовирус. </w:t>
      </w:r>
    </w:p>
    <w:p w14:paraId="7F8ADCC1"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 xml:space="preserve">Клинично </w:t>
      </w:r>
      <w:r w:rsidRPr="00AE47C6">
        <w:rPr>
          <w:rFonts w:ascii="Times New Roman" w:eastAsia="SimSun" w:hAnsi="Times New Roman"/>
          <w:sz w:val="24"/>
          <w:szCs w:val="24"/>
          <w:lang w:eastAsia="bg-BG"/>
        </w:rPr>
        <w:t>симптомите възникват 2 дни до 2 седмици след вирусната инвазия.  При леките случаи те не се различават от тези при грип. При по-тежките случаи на фона на фебрилно състояние се появяват стегнатост в шията и гърба, главоболие и повръщане (менингеален синдром) и се нарушава нивото на съзнанието от летаргия до кома. Менингитната компонента може да липсва и да има само конфузия, ажитираност, халюцинации, личностова промяна, поведенчески нарушения и психоза. Най-честите фокални неврологични симптоми са афазия, атаксия, централни или периферни парези, асиметрични сухожилни рефлекси и поява на рефлекс на Babinski, миоклонии, двигателни нарушения, тремор, нистагъм, засягане на краниални нерви (очедвигателни и лицеви парези), фокални или генерализирани епилептични припадъци.</w:t>
      </w:r>
    </w:p>
    <w:p w14:paraId="0D43C5BD"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Изследването</w:t>
      </w:r>
      <w:r w:rsidRPr="00AE47C6">
        <w:rPr>
          <w:rFonts w:ascii="Times New Roman" w:eastAsia="SimSun" w:hAnsi="Times New Roman"/>
          <w:sz w:val="24"/>
          <w:szCs w:val="24"/>
          <w:lang w:eastAsia="bg-BG"/>
        </w:rPr>
        <w:t xml:space="preserve"> на </w:t>
      </w:r>
      <w:r w:rsidRPr="00AE47C6">
        <w:rPr>
          <w:rFonts w:ascii="Times New Roman" w:eastAsia="SimSun" w:hAnsi="Times New Roman"/>
          <w:i/>
          <w:sz w:val="24"/>
          <w:szCs w:val="24"/>
          <w:lang w:eastAsia="bg-BG"/>
        </w:rPr>
        <w:t>ликвора</w:t>
      </w:r>
      <w:r w:rsidRPr="00AE47C6">
        <w:rPr>
          <w:rFonts w:ascii="Times New Roman" w:eastAsia="SimSun" w:hAnsi="Times New Roman"/>
          <w:sz w:val="24"/>
          <w:szCs w:val="24"/>
          <w:lang w:eastAsia="bg-BG"/>
        </w:rPr>
        <w:t xml:space="preserve"> е задължително. Находката не се различава от тази при менингит и се представя с лимфоцитна плеоцитоза (над 5 клетки/μL), умерено увеличен протеин и нормално глюкозно съдържание. При 96% от пациентите с енцефалит, причинен от herpes simplex вирус, PCR (полимеразната верижна реакция) за откриване на вирусна ДНК или РНК в ликвора е положителна. При други вирусни причинители чувствителността на реакцията е по-ниска. При бактериалните енцефалити плеоцитозата е от полиморфонуклеарни клетки, налице е хипогликорахия.</w:t>
      </w:r>
    </w:p>
    <w:p w14:paraId="7C058D3E"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i/>
          <w:sz w:val="24"/>
          <w:szCs w:val="24"/>
          <w:lang w:eastAsia="bg-BG"/>
        </w:rPr>
        <w:t>Невроизобразяващите изследвания</w:t>
      </w:r>
      <w:r w:rsidRPr="00AE47C6">
        <w:rPr>
          <w:rFonts w:ascii="Times New Roman" w:eastAsia="SimSun" w:hAnsi="Times New Roman"/>
          <w:sz w:val="24"/>
          <w:szCs w:val="24"/>
          <w:lang w:eastAsia="bg-BG"/>
        </w:rPr>
        <w:t xml:space="preserve"> (МРТ, КТ) могат да покажат само дифузен мозъчен оток. КТ може да покаже неспецифични хиподензни зони в мозъчния паренхим. При herpes simplex вирусен енцефалит се установява селективна увреда на темпоралния и фронталния мозъчен дял. При МРТ се установяват хиперинтензни Т</w:t>
      </w:r>
      <w:r w:rsidRPr="00AE47C6">
        <w:rPr>
          <w:rFonts w:ascii="Times New Roman" w:eastAsia="SimSun" w:hAnsi="Times New Roman"/>
          <w:sz w:val="24"/>
          <w:szCs w:val="24"/>
          <w:vertAlign w:val="subscript"/>
          <w:lang w:eastAsia="bg-BG"/>
        </w:rPr>
        <w:t>2</w:t>
      </w:r>
      <w:r w:rsidRPr="00AE47C6">
        <w:rPr>
          <w:rFonts w:ascii="Times New Roman" w:eastAsia="SimSun" w:hAnsi="Times New Roman"/>
          <w:sz w:val="24"/>
          <w:szCs w:val="24"/>
          <w:lang w:eastAsia="bg-BG"/>
        </w:rPr>
        <w:t xml:space="preserve"> и хипоинтензни Т</w:t>
      </w:r>
      <w:r w:rsidRPr="00AE47C6">
        <w:rPr>
          <w:rFonts w:ascii="Times New Roman" w:eastAsia="SimSun" w:hAnsi="Times New Roman"/>
          <w:sz w:val="24"/>
          <w:szCs w:val="24"/>
          <w:vertAlign w:val="subscript"/>
          <w:lang w:eastAsia="bg-BG"/>
        </w:rPr>
        <w:t>1</w:t>
      </w:r>
      <w:r w:rsidRPr="00AE47C6">
        <w:rPr>
          <w:rFonts w:ascii="Times New Roman" w:eastAsia="SimSun" w:hAnsi="Times New Roman"/>
          <w:sz w:val="24"/>
          <w:szCs w:val="24"/>
          <w:lang w:eastAsia="bg-BG"/>
        </w:rPr>
        <w:t xml:space="preserve"> лезии във фронтотемпоралната, цингуларната и инсуларната област. При varicella zoster вирусен енцефалит се установяват множествени исхемични и хеморагични лезии.</w:t>
      </w:r>
    </w:p>
    <w:p w14:paraId="7C087C74"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При </w:t>
      </w:r>
      <w:r w:rsidRPr="00AE47C6">
        <w:rPr>
          <w:rFonts w:ascii="Times New Roman" w:eastAsia="SimSun" w:hAnsi="Times New Roman"/>
          <w:i/>
          <w:sz w:val="24"/>
          <w:szCs w:val="24"/>
          <w:lang w:eastAsia="bg-BG"/>
        </w:rPr>
        <w:t>ЕЕГ изследването</w:t>
      </w:r>
      <w:r w:rsidRPr="00AE47C6">
        <w:rPr>
          <w:rFonts w:ascii="Times New Roman" w:eastAsia="SimSun" w:hAnsi="Times New Roman"/>
          <w:sz w:val="24"/>
          <w:szCs w:val="24"/>
          <w:lang w:eastAsia="bg-BG"/>
        </w:rPr>
        <w:t xml:space="preserve"> на пациенти с herpes simplex вирусен енцефалит се установяват периодични спайкове в темпоралния лоб, на фона на нискоамплитудна активност.</w:t>
      </w:r>
    </w:p>
    <w:p w14:paraId="6C9B74EF"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Диференциалната диагноза</w:t>
      </w:r>
      <w:r w:rsidRPr="00AE47C6">
        <w:rPr>
          <w:rFonts w:ascii="Times New Roman" w:eastAsia="SimSun" w:hAnsi="Times New Roman"/>
          <w:sz w:val="24"/>
          <w:szCs w:val="24"/>
          <w:lang w:eastAsia="bg-BG"/>
        </w:rPr>
        <w:t xml:space="preserve"> включва на първо място изключване на </w:t>
      </w:r>
      <w:r w:rsidRPr="00AE47C6">
        <w:rPr>
          <w:rFonts w:ascii="Times New Roman" w:eastAsia="SimSun" w:hAnsi="Times New Roman"/>
          <w:i/>
          <w:sz w:val="24"/>
          <w:szCs w:val="24"/>
          <w:lang w:eastAsia="bg-BG"/>
        </w:rPr>
        <w:t xml:space="preserve">невирусни </w:t>
      </w:r>
      <w:r w:rsidRPr="00AE47C6">
        <w:rPr>
          <w:rFonts w:ascii="Times New Roman" w:eastAsia="SimSun" w:hAnsi="Times New Roman"/>
          <w:sz w:val="24"/>
          <w:szCs w:val="24"/>
          <w:lang w:eastAsia="bg-BG"/>
        </w:rPr>
        <w:t xml:space="preserve">причинители – микобактерии, гъби, рикетсия, Listeria, Mycoplasma и бактериални причинители. </w:t>
      </w:r>
    </w:p>
    <w:p w14:paraId="22E1EC56"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На второ място трябва да се изключи </w:t>
      </w:r>
      <w:r w:rsidRPr="00AE47C6">
        <w:rPr>
          <w:rFonts w:ascii="Times New Roman" w:eastAsia="SimSun" w:hAnsi="Times New Roman"/>
          <w:i/>
          <w:sz w:val="24"/>
          <w:szCs w:val="24"/>
          <w:lang w:eastAsia="bg-BG"/>
        </w:rPr>
        <w:t>herpes simplex</w:t>
      </w:r>
      <w:r w:rsidRPr="00AE47C6">
        <w:rPr>
          <w:rFonts w:ascii="Times New Roman" w:eastAsia="SimSun" w:hAnsi="Times New Roman"/>
          <w:sz w:val="24"/>
          <w:szCs w:val="24"/>
          <w:lang w:eastAsia="bg-BG"/>
        </w:rPr>
        <w:t xml:space="preserve"> вирусен причинител, при който може да се приложи ефективна антивирусна терапия. Herpes simplex вирус се предполага при клинични и МРТ данни за засягане на долно-медиалните фронтотеморални мозъчни дялове, с наличие на мирисни и вкусови халюцинации, аносмия, личностови промени и странно поведение, както и паметови нарушения.</w:t>
      </w:r>
    </w:p>
    <w:p w14:paraId="50346E4A"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i/>
          <w:sz w:val="24"/>
          <w:szCs w:val="24"/>
          <w:lang w:eastAsia="bg-BG"/>
        </w:rPr>
        <w:t>Анатомичната локализация</w:t>
      </w:r>
      <w:r w:rsidRPr="00AE47C6">
        <w:rPr>
          <w:rFonts w:ascii="Times New Roman" w:eastAsia="SimSun" w:hAnsi="Times New Roman"/>
          <w:sz w:val="24"/>
          <w:szCs w:val="24"/>
          <w:lang w:eastAsia="bg-BG"/>
        </w:rPr>
        <w:t xml:space="preserve"> на лезиите допринася за диференциалната диагноза. При бързо прогресиращ енцефалит със засягане на стволови структури в съображение влизат западно-Нилски и Японски енцефалитен вирус, бяс и L. Monocytogenes. При тези пациенти може да има значително засягане на сивото мозъчно вещество, включително базалните ганглии и thalamus. Клинично в тези случаи има тремор, миоклонии и паркинсонов синдром. Наличието на остра вяла периферна пареза предполага западно-Нилски или ентеровирус 71 причинител. </w:t>
      </w:r>
    </w:p>
    <w:p w14:paraId="0677FEED"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i/>
          <w:sz w:val="24"/>
          <w:szCs w:val="24"/>
          <w:lang w:eastAsia="bg-BG"/>
        </w:rPr>
        <w:t>Енцефалитите при бяс</w:t>
      </w:r>
      <w:r w:rsidRPr="00AE47C6">
        <w:rPr>
          <w:rFonts w:ascii="Times New Roman" w:eastAsia="SimSun" w:hAnsi="Times New Roman"/>
          <w:sz w:val="24"/>
          <w:szCs w:val="24"/>
          <w:lang w:eastAsia="bg-BG"/>
        </w:rPr>
        <w:t xml:space="preserve"> протичат с температура, автономна хиперактивност и флуктуиращо съзнание. Фобийните спазми на ларинкса, фаринкса, шийните мускули и диафрагмата се предизвикват от опити за преглъщане на вода (хидрофобия) и инспирация (аерофобия). </w:t>
      </w:r>
    </w:p>
    <w:p w14:paraId="447B8F1B"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i/>
          <w:sz w:val="24"/>
          <w:szCs w:val="24"/>
          <w:lang w:eastAsia="bg-BG"/>
        </w:rPr>
        <w:t>Епидемиологичните данни</w:t>
      </w:r>
      <w:r w:rsidRPr="00AE47C6">
        <w:rPr>
          <w:rFonts w:ascii="Times New Roman" w:eastAsia="SimSun" w:hAnsi="Times New Roman"/>
          <w:sz w:val="24"/>
          <w:szCs w:val="24"/>
          <w:lang w:eastAsia="bg-BG"/>
        </w:rPr>
        <w:t xml:space="preserve"> оказват ценна помощ в диференциалната диагноза. Важни са географската локализация, пътувания в други региони на света, контакт с животни и гризачи и сезона в който настъпва заболяването. </w:t>
      </w:r>
    </w:p>
    <w:p w14:paraId="532DE3D0"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i/>
          <w:sz w:val="24"/>
          <w:szCs w:val="24"/>
          <w:lang w:eastAsia="bg-BG"/>
        </w:rPr>
        <w:t>Автоимунните</w:t>
      </w:r>
      <w:r w:rsidRPr="00AE47C6">
        <w:rPr>
          <w:rFonts w:ascii="Times New Roman" w:eastAsia="SimSun" w:hAnsi="Times New Roman"/>
          <w:sz w:val="24"/>
          <w:szCs w:val="24"/>
          <w:lang w:eastAsia="bg-BG"/>
        </w:rPr>
        <w:t xml:space="preserve">, постинфекциозни менингоенцефалити и острият дисеминиран енцефаломиелит (ОДЕМ) също влизат в диференциалната диагноза. Те протичат със специфична МРТ находка (виж “Множествена склероза). </w:t>
      </w:r>
    </w:p>
    <w:p w14:paraId="228976B6"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i/>
          <w:sz w:val="24"/>
          <w:szCs w:val="24"/>
          <w:lang w:eastAsia="bg-BG"/>
        </w:rPr>
        <w:t xml:space="preserve">Енцефалопатиите </w:t>
      </w:r>
      <w:r w:rsidRPr="00AE47C6">
        <w:rPr>
          <w:rFonts w:ascii="Times New Roman" w:eastAsia="SimSun" w:hAnsi="Times New Roman"/>
          <w:sz w:val="24"/>
          <w:szCs w:val="24"/>
          <w:lang w:eastAsia="bg-BG"/>
        </w:rPr>
        <w:t xml:space="preserve">с метаболитен или токсичен произход протичат без повишена температура, главоболие и промени в ликвора. Постепенно се влошава менталния статус, обикновено без фокални неврологични симптоми или епилептични припадъци. </w:t>
      </w:r>
    </w:p>
    <w:p w14:paraId="0E9BD6EC"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Лечението</w:t>
      </w:r>
      <w:r w:rsidRPr="00AE47C6">
        <w:rPr>
          <w:rFonts w:ascii="Times New Roman" w:eastAsia="SimSun" w:hAnsi="Times New Roman"/>
          <w:sz w:val="24"/>
          <w:szCs w:val="24"/>
          <w:lang w:eastAsia="bg-BG"/>
        </w:rPr>
        <w:t xml:space="preserve"> трябва да се започне още преди да се идентифицира специфичния вирус. Специфичната антивирусна терапия е ефективна при някои енцефалити, но не повлиява арбовирусните. </w:t>
      </w:r>
      <w:r w:rsidRPr="00AE47C6">
        <w:rPr>
          <w:rFonts w:ascii="Times New Roman" w:eastAsia="SimSun" w:hAnsi="Times New Roman"/>
          <w:i/>
          <w:sz w:val="24"/>
          <w:szCs w:val="24"/>
          <w:lang w:eastAsia="bg-BG"/>
        </w:rPr>
        <w:t xml:space="preserve">Acyclovir </w:t>
      </w:r>
      <w:r w:rsidRPr="00AE47C6">
        <w:rPr>
          <w:rFonts w:ascii="Times New Roman" w:eastAsia="SimSun" w:hAnsi="Times New Roman"/>
          <w:sz w:val="24"/>
          <w:szCs w:val="24"/>
          <w:lang w:eastAsia="bg-BG"/>
        </w:rPr>
        <w:t xml:space="preserve">е ефективен при herpes simplex и донякъде при varicella-zoster вируси. Вирусът кодират ензим thymidine киназа, който фосфорилира acyclovir до монофосфат. По-нататък той се фосфорилира ензимно до трифосфат, който потиска вирусната ДНК полимераза. При възрастни се прилага интравенозно в доза 8 mg/kg на всеки 8 часа (до 30 mg/kg дн.) в продължение на 14 дни. При деца медикамента е по-слабо ефективен и се прилага в доза 20 mg/kg на всеки 8 часа (до 60 mg/kg дн.) в продължение на поне 21 дни. </w:t>
      </w:r>
    </w:p>
    <w:p w14:paraId="0B90D50F"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i/>
          <w:sz w:val="24"/>
          <w:szCs w:val="24"/>
          <w:lang w:eastAsia="bg-BG"/>
        </w:rPr>
      </w:pPr>
      <w:r w:rsidRPr="00AE47C6">
        <w:rPr>
          <w:rFonts w:ascii="Times New Roman" w:eastAsia="SimSun" w:hAnsi="Times New Roman"/>
          <w:sz w:val="24"/>
          <w:szCs w:val="24"/>
          <w:lang w:eastAsia="bg-BG"/>
        </w:rPr>
        <w:t xml:space="preserve">При cytomegalovirus и Human herpes virus-6 се прилага комбинация от </w:t>
      </w:r>
      <w:r w:rsidRPr="00AE47C6">
        <w:rPr>
          <w:rFonts w:ascii="Times New Roman" w:eastAsia="SimSun" w:hAnsi="Times New Roman"/>
          <w:i/>
          <w:sz w:val="24"/>
          <w:szCs w:val="24"/>
          <w:lang w:eastAsia="bg-BG"/>
        </w:rPr>
        <w:t>ganciclovir и foscarnet.</w:t>
      </w:r>
    </w:p>
    <w:p w14:paraId="4E4A5233"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Прилагането на кортикостероиди е спорно. При HSV енцефалит те се прилагат с цел намаляване на мозъчния оток. Няма достатъчно проучвания върху ефективността на имуносупресивни медикаменти, плазмафереза и интравенозното прилагане на имуноглобулин. </w:t>
      </w:r>
    </w:p>
    <w:p w14:paraId="14405FBF"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В началото на заболяването пациентите се хоспитализират в интензивно отделение с оглед мониториране на виталните функции. Прилага се симптоматично лечение на високата температура, мозъчният оток и епилептичните припадъци. Необходима е профилактика на декубитусите, дълбоките венозни тромбози, аспирационната пневмония и мускулните контрактури. </w:t>
      </w:r>
    </w:p>
    <w:p w14:paraId="04A5E779"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Прогноза.</w:t>
      </w:r>
      <w:r w:rsidRPr="00AE47C6">
        <w:rPr>
          <w:rFonts w:ascii="Times New Roman" w:eastAsia="SimSun" w:hAnsi="Times New Roman"/>
          <w:sz w:val="24"/>
          <w:szCs w:val="24"/>
          <w:lang w:eastAsia="bg-BG"/>
        </w:rPr>
        <w:t xml:space="preserve"> Смъртен изход настъпва при 5-20% от пациентите боледуващи от вирусен енцефалит. Последиците след преживян енцефалит зависят много от причинителя. При 20% от пациентите могат да останат трайни неврологични симптоми изразени в когнитивни и паметови нарушения, личностови промени, епилептични припадъци, двигателни нарушения (миоклонии, тремор, паркинсонови симптоми) и парези. През следващата година част от симптомите отзвучават. </w:t>
      </w:r>
    </w:p>
    <w:p w14:paraId="6BADD290"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 xml:space="preserve">4.2.2.1. Herpes вирусни енцефалити </w:t>
      </w:r>
    </w:p>
    <w:p w14:paraId="0673D4B4"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kern w:val="24"/>
          <w:sz w:val="24"/>
          <w:szCs w:val="24"/>
        </w:rPr>
        <w:t>В тази група вируси се включват herpes simplex, varicella-zoster, cytomegalovirus, herpes вирус 6 и Epstein-Barr (EB) вирус. Тези вируси могат да останат латентни в организма след първоначалната инфекция в продължение на години. Когато се реактивират при нарушение на имунната система могат да предизвикат енцефалит.</w:t>
      </w:r>
    </w:p>
    <w:p w14:paraId="24B3B092"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 xml:space="preserve">Epstein-Barr (EB) вирусът </w:t>
      </w:r>
      <w:r w:rsidRPr="00AE47C6">
        <w:rPr>
          <w:rFonts w:ascii="Times New Roman" w:eastAsia="SimSun" w:hAnsi="Times New Roman"/>
          <w:kern w:val="24"/>
          <w:sz w:val="24"/>
          <w:szCs w:val="24"/>
        </w:rPr>
        <w:t xml:space="preserve">предизвиква инфекциозна мононуклеоза в детска и млада възраст. При 1% от инфектираните може да се развие след 1-3 седмици лек енцефалит с пълно възстановяване. Протича с неразположение, главоболие и стягане на врата. По-рядко се добавят фокални неврологични симптоми, епилептични припадъци, делир и кома. Може да предизвика и трансверзален миелит. Възстановяването от енцефалита и миелита обикновено е пълно. </w:t>
      </w:r>
    </w:p>
    <w:p w14:paraId="1C8986D7"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kern w:val="24"/>
          <w:sz w:val="24"/>
          <w:szCs w:val="24"/>
        </w:rPr>
        <w:t>Изследването</w:t>
      </w:r>
      <w:r w:rsidRPr="00AE47C6">
        <w:rPr>
          <w:rFonts w:ascii="Times New Roman" w:eastAsia="SimSun" w:hAnsi="Times New Roman"/>
          <w:kern w:val="24"/>
          <w:sz w:val="24"/>
          <w:szCs w:val="24"/>
        </w:rPr>
        <w:t xml:space="preserve"> на ликвора установява лека лимфоцитна плеоцитоза и протеинорахия. МРТ показва лезии в бялото и сиво мозъчно вещество. PCR в ликвора е положителна.</w:t>
      </w:r>
    </w:p>
    <w:p w14:paraId="6306A99D"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kern w:val="24"/>
          <w:sz w:val="24"/>
          <w:szCs w:val="24"/>
        </w:rPr>
        <w:t>Лечението</w:t>
      </w:r>
      <w:r w:rsidRPr="00AE47C6">
        <w:rPr>
          <w:rFonts w:ascii="Times New Roman" w:eastAsia="SimSun" w:hAnsi="Times New Roman"/>
          <w:kern w:val="24"/>
          <w:sz w:val="24"/>
          <w:szCs w:val="24"/>
        </w:rPr>
        <w:t xml:space="preserve"> е симптоматично, </w:t>
      </w:r>
      <w:r w:rsidRPr="00AE47C6">
        <w:rPr>
          <w:rFonts w:ascii="Times New Roman" w:eastAsia="SimSun" w:hAnsi="Times New Roman"/>
          <w:i/>
          <w:kern w:val="24"/>
          <w:sz w:val="24"/>
          <w:szCs w:val="24"/>
        </w:rPr>
        <w:t>acyclovir</w:t>
      </w:r>
      <w:r w:rsidRPr="00AE47C6">
        <w:rPr>
          <w:rFonts w:ascii="Times New Roman" w:eastAsia="SimSun" w:hAnsi="Times New Roman"/>
          <w:i/>
          <w:iCs/>
          <w:kern w:val="24"/>
          <w:sz w:val="24"/>
          <w:szCs w:val="24"/>
        </w:rPr>
        <w:t>r</w:t>
      </w:r>
      <w:r w:rsidRPr="00AE47C6">
        <w:rPr>
          <w:rFonts w:ascii="Times New Roman" w:eastAsia="SimSun" w:hAnsi="Times New Roman"/>
          <w:kern w:val="24"/>
          <w:sz w:val="24"/>
          <w:szCs w:val="24"/>
        </w:rPr>
        <w:t xml:space="preserve"> има слаба ефективност.</w:t>
      </w:r>
    </w:p>
    <w:p w14:paraId="11A5DF21"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 xml:space="preserve">Cytomegalovirus </w:t>
      </w:r>
      <w:r w:rsidRPr="00AE47C6">
        <w:rPr>
          <w:rFonts w:ascii="Times New Roman" w:eastAsia="SimSun" w:hAnsi="Times New Roman"/>
          <w:kern w:val="24"/>
          <w:sz w:val="24"/>
          <w:szCs w:val="24"/>
        </w:rPr>
        <w:t xml:space="preserve">предизвиква сравнително лек енцефалит. Като последица от него обаче може да остане нарушение в развитието на мозъка с хидроцефалия или микроцефалия, перивентрикулни калцификати, умствено изоставане, глухота, епилептични припадъци и фокални неврологични симптоми. Често се придружава от вирусна ретинопатия. Може да бъде опасен при имунокомпрометирани пациенти със СПИН. </w:t>
      </w:r>
    </w:p>
    <w:p w14:paraId="236DA877"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kern w:val="24"/>
          <w:sz w:val="24"/>
          <w:szCs w:val="24"/>
        </w:rPr>
        <w:t>Изследванията</w:t>
      </w:r>
      <w:r w:rsidRPr="00AE47C6">
        <w:rPr>
          <w:rFonts w:ascii="Times New Roman" w:eastAsia="SimSun" w:hAnsi="Times New Roman"/>
          <w:kern w:val="24"/>
          <w:sz w:val="24"/>
          <w:szCs w:val="24"/>
        </w:rPr>
        <w:t xml:space="preserve"> могат да установят вируса в урина и слюнка. </w:t>
      </w:r>
    </w:p>
    <w:p w14:paraId="40E4AEE7"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kern w:val="24"/>
          <w:sz w:val="24"/>
          <w:szCs w:val="24"/>
        </w:rPr>
        <w:t>Лечението</w:t>
      </w:r>
      <w:r w:rsidRPr="00AE47C6">
        <w:rPr>
          <w:rFonts w:ascii="Times New Roman" w:eastAsia="SimSun" w:hAnsi="Times New Roman"/>
          <w:kern w:val="24"/>
          <w:sz w:val="24"/>
          <w:szCs w:val="24"/>
        </w:rPr>
        <w:t xml:space="preserve"> се провежда с </w:t>
      </w:r>
      <w:r w:rsidRPr="00AE47C6">
        <w:rPr>
          <w:rFonts w:ascii="Times New Roman" w:eastAsia="SimSun" w:hAnsi="Times New Roman"/>
          <w:i/>
          <w:kern w:val="24"/>
          <w:sz w:val="24"/>
          <w:szCs w:val="24"/>
        </w:rPr>
        <w:t>ganciclovir.</w:t>
      </w:r>
    </w:p>
    <w:p w14:paraId="2016AD4F"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Herpes вирус 6</w:t>
      </w:r>
      <w:r w:rsidRPr="00AE47C6">
        <w:rPr>
          <w:rFonts w:ascii="Times New Roman" w:eastAsia="SimSun" w:hAnsi="Times New Roman"/>
          <w:kern w:val="24"/>
          <w:sz w:val="24"/>
          <w:szCs w:val="24"/>
        </w:rPr>
        <w:t xml:space="preserve"> предизвиква roseola infantum. Заболяването започва внезапно с висока температура, продължаваща 3-4 дни. Могат да се появят фебрилни гърчове. Появява се преходен (за 1-3 дни) макулопапуларен обрив по шията и тялото. Възниква постокципитална и постаурикуларна лимфаденопатия и фарингеална и тъпанчева инекция. Менингоенцефалитът се проявява с повишена температура, потиснато ниво на съзнание и епилептични припадъци. </w:t>
      </w:r>
    </w:p>
    <w:p w14:paraId="21037DED"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kern w:val="24"/>
          <w:sz w:val="24"/>
          <w:szCs w:val="24"/>
        </w:rPr>
        <w:t>Изследването</w:t>
      </w:r>
      <w:r w:rsidRPr="00AE47C6">
        <w:rPr>
          <w:rFonts w:ascii="Times New Roman" w:eastAsia="SimSun" w:hAnsi="Times New Roman"/>
          <w:kern w:val="24"/>
          <w:sz w:val="24"/>
          <w:szCs w:val="24"/>
        </w:rPr>
        <w:t xml:space="preserve"> на ликвора установява лека мононуклеарна плеоцитоза. Вируса може да се изолира от гърлото, слюнката или кръвта. </w:t>
      </w:r>
    </w:p>
    <w:p w14:paraId="1E02B8DA"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kern w:val="24"/>
          <w:sz w:val="24"/>
          <w:szCs w:val="24"/>
        </w:rPr>
        <w:t>Лечението</w:t>
      </w:r>
      <w:r w:rsidRPr="00AE47C6">
        <w:rPr>
          <w:rFonts w:ascii="Times New Roman" w:eastAsia="SimSun" w:hAnsi="Times New Roman"/>
          <w:kern w:val="24"/>
          <w:sz w:val="24"/>
          <w:szCs w:val="24"/>
        </w:rPr>
        <w:t xml:space="preserve"> с антипиретици намалява вероятността за поява на фебрилни гърчове. Лечението с </w:t>
      </w:r>
      <w:r w:rsidRPr="00AE47C6">
        <w:rPr>
          <w:rFonts w:ascii="Times New Roman" w:eastAsia="SimSun" w:hAnsi="Times New Roman"/>
          <w:i/>
          <w:kern w:val="24"/>
          <w:sz w:val="24"/>
          <w:szCs w:val="24"/>
        </w:rPr>
        <w:t>ganciclovir</w:t>
      </w:r>
      <w:r w:rsidRPr="00AE47C6">
        <w:rPr>
          <w:rFonts w:ascii="Times New Roman" w:eastAsia="SimSun" w:hAnsi="Times New Roman"/>
          <w:kern w:val="24"/>
          <w:sz w:val="24"/>
          <w:szCs w:val="24"/>
        </w:rPr>
        <w:t xml:space="preserve"> е ефективно. Прилагат се при нужда антиконвулсанти. </w:t>
      </w:r>
    </w:p>
    <w:p w14:paraId="697A4F2C"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p>
    <w:p w14:paraId="143C2BDF"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Herpes simplex вирусен менингоенцефалит</w:t>
      </w:r>
    </w:p>
    <w:p w14:paraId="636BB82A" w14:textId="77777777" w:rsidR="00BE0B19" w:rsidRPr="00AE47C6" w:rsidRDefault="00BE0B19" w:rsidP="00BE0B19">
      <w:pPr>
        <w:spacing w:after="0" w:line="360" w:lineRule="auto"/>
        <w:ind w:firstLine="709"/>
        <w:jc w:val="both"/>
        <w:rPr>
          <w:rFonts w:ascii="Times New Roman" w:eastAsia="SimSun" w:hAnsi="Times New Roman"/>
          <w:b/>
          <w:kern w:val="24"/>
          <w:sz w:val="24"/>
          <w:szCs w:val="24"/>
        </w:rPr>
      </w:pPr>
    </w:p>
    <w:p w14:paraId="36851F44"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Етиология</w:t>
      </w:r>
      <w:r w:rsidRPr="00AE47C6">
        <w:rPr>
          <w:rFonts w:ascii="Times New Roman" w:eastAsia="SimSun" w:hAnsi="Times New Roman"/>
          <w:b/>
          <w:i/>
          <w:kern w:val="24"/>
          <w:sz w:val="24"/>
          <w:szCs w:val="24"/>
        </w:rPr>
        <w:t>.</w:t>
      </w:r>
      <w:r w:rsidRPr="00AE47C6">
        <w:rPr>
          <w:rFonts w:ascii="Times New Roman" w:eastAsia="SimSun" w:hAnsi="Times New Roman"/>
          <w:kern w:val="24"/>
          <w:sz w:val="24"/>
          <w:szCs w:val="24"/>
        </w:rPr>
        <w:t xml:space="preserve"> Причинителят е herpes simplex вирус – 1 (HSV-1), който предизвиква херпес на оралната мукоза. Предава се по респираторен път или чрез контакт със слюнката. Вторият тип вирус (HSV-2) също може да причини остър енцефалит, най-често у новородени във връзка с генитална херпесна инфекция на майката. При възрастни HSV-2 предизвиква асептичен менингит и понякога полирадикулит или миелит, които са в тясна връзка с генитална херпесна инфекция. </w:t>
      </w:r>
    </w:p>
    <w:p w14:paraId="2C0D3EC8"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Епидемиология.</w:t>
      </w:r>
      <w:r w:rsidRPr="00AE47C6">
        <w:rPr>
          <w:rFonts w:ascii="Times New Roman" w:eastAsia="SimSun" w:hAnsi="Times New Roman"/>
          <w:kern w:val="24"/>
          <w:sz w:val="24"/>
          <w:szCs w:val="24"/>
        </w:rPr>
        <w:t xml:space="preserve"> Представляват 20% от вирусните енцефалити при възрастни и са най-честата причина за енцефалит. Това е най-тежката форма на остър енцефалит. Нямат сезонна, нито географска или възрастова предилекция. </w:t>
      </w:r>
    </w:p>
    <w:p w14:paraId="132E58A6"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Патоморфологично</w:t>
      </w:r>
      <w:r w:rsidRPr="00AE47C6">
        <w:rPr>
          <w:rFonts w:ascii="Times New Roman" w:eastAsia="SimSun" w:hAnsi="Times New Roman"/>
          <w:kern w:val="24"/>
          <w:sz w:val="24"/>
          <w:szCs w:val="24"/>
        </w:rPr>
        <w:t xml:space="preserve"> лезиите имат характера на тежки хеморагични некрози на долните или медиалните части на темпоралните лобове, медио-орбиталните части на фронталните дялове или каудално в мезенцефалона.</w:t>
      </w:r>
    </w:p>
    <w:p w14:paraId="740B918C"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 xml:space="preserve">Клинично </w:t>
      </w:r>
      <w:r w:rsidRPr="00AE47C6">
        <w:rPr>
          <w:rFonts w:ascii="Times New Roman" w:eastAsia="SimSun" w:hAnsi="Times New Roman"/>
          <w:kern w:val="24"/>
          <w:sz w:val="24"/>
          <w:szCs w:val="24"/>
        </w:rPr>
        <w:t>възникват при пациенти между 5-30 и след 50 годишна възраст. При до 60% от пациентите започва с продромални гастроинтестинални или симптоми от страна на горните дихателни пътища. Започва с температура, главоболие, вратна стегнатост, фокални и генерализирани епилептични припадъци (при 75%), объркване, сопор и кома. Поради засягането на фронталните и медиалните темпоралните лобове на мозъка, клиниката включва обонятелни или вкусови халюцинации при около 20%, аносмия, темпорални епилептични припадъци, личностови промени, странно, психотично поведение или делир, нарушена памет за близки събития, афазия (при 75%), сетивни нарушения и хемипареза (при 45%). Могат да възникнат нарушения на краниалните нерви, двигателни нарушения и автономна нестабилност. Отокът и херниирането на един от двата темпорални дяла в тенториума води до дълбока кома и респираторен арест през първите 24-72 часа.</w:t>
      </w:r>
    </w:p>
    <w:p w14:paraId="7ADB9F5E"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Изследвания.</w:t>
      </w:r>
      <w:r w:rsidRPr="00AE47C6">
        <w:rPr>
          <w:rFonts w:ascii="Times New Roman" w:eastAsia="SimSun" w:hAnsi="Times New Roman"/>
          <w:kern w:val="24"/>
          <w:sz w:val="24"/>
          <w:szCs w:val="24"/>
        </w:rPr>
        <w:t xml:space="preserve"> В ликвора се установява плеоцитоза (до 200 клетки/mm</w:t>
      </w:r>
      <w:r w:rsidRPr="00AE47C6">
        <w:rPr>
          <w:rFonts w:ascii="Times New Roman" w:eastAsia="SimSun" w:hAnsi="Times New Roman"/>
          <w:kern w:val="24"/>
          <w:sz w:val="24"/>
          <w:szCs w:val="24"/>
          <w:vertAlign w:val="superscript"/>
        </w:rPr>
        <w:t>3</w:t>
      </w:r>
      <w:r w:rsidRPr="00AE47C6">
        <w:rPr>
          <w:rFonts w:ascii="Times New Roman" w:eastAsia="SimSun" w:hAnsi="Times New Roman"/>
          <w:kern w:val="24"/>
          <w:sz w:val="24"/>
          <w:szCs w:val="24"/>
        </w:rPr>
        <w:t>) предимно лимфоцити. Съдържанието на протеин е увеличено в повечето случаи. Диагнозата се поставя основно с полимеразоверижна реакция (PCR) към HSV антиген в ликвора, имаща 95% чувствителност. Чрез КТ се установяват хиподензни зони в засегнатите части. МРТ често визуализира освен силния фокален мозъчен отток, Т</w:t>
      </w:r>
      <w:r w:rsidRPr="00AE47C6">
        <w:rPr>
          <w:rFonts w:ascii="Times New Roman" w:eastAsia="SimSun" w:hAnsi="Times New Roman"/>
          <w:kern w:val="24"/>
          <w:sz w:val="24"/>
          <w:szCs w:val="24"/>
          <w:vertAlign w:val="subscript"/>
        </w:rPr>
        <w:t>2</w:t>
      </w:r>
      <w:r w:rsidRPr="00AE47C6">
        <w:rPr>
          <w:rFonts w:ascii="Times New Roman" w:eastAsia="SimSun" w:hAnsi="Times New Roman"/>
          <w:kern w:val="24"/>
          <w:sz w:val="24"/>
          <w:szCs w:val="24"/>
        </w:rPr>
        <w:t xml:space="preserve"> хиперинтензни и Т</w:t>
      </w:r>
      <w:r w:rsidRPr="00AE47C6">
        <w:rPr>
          <w:rFonts w:ascii="Times New Roman" w:eastAsia="SimSun" w:hAnsi="Times New Roman"/>
          <w:kern w:val="24"/>
          <w:sz w:val="24"/>
          <w:szCs w:val="24"/>
          <w:vertAlign w:val="subscript"/>
        </w:rPr>
        <w:t>1</w:t>
      </w:r>
      <w:r w:rsidRPr="00AE47C6">
        <w:rPr>
          <w:rFonts w:ascii="Times New Roman" w:eastAsia="SimSun" w:hAnsi="Times New Roman"/>
          <w:kern w:val="24"/>
          <w:sz w:val="24"/>
          <w:szCs w:val="24"/>
        </w:rPr>
        <w:t xml:space="preserve"> хипоинтензни лезии, както и малки кръвоизливи предимно в темпоралните и базалните зони. Лезиите се усилват с gadolinium. </w:t>
      </w:r>
    </w:p>
    <w:p w14:paraId="567DCE8F"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kern w:val="24"/>
          <w:sz w:val="24"/>
          <w:szCs w:val="24"/>
        </w:rPr>
        <w:t xml:space="preserve">ЕЕГ изследването показва едностранни или двустранни темпорални фокуси от периодични високоволтажни остри вълни и бавновълнови комплекси 2-3/s. Острите вълни са монофазни или полифазни с продължителност от 100 до 1500/ms и се появяват на интервали от 1 до 5 s. </w:t>
      </w:r>
    </w:p>
    <w:p w14:paraId="336A3611"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 xml:space="preserve">Диференциална диагноза. </w:t>
      </w:r>
      <w:r w:rsidRPr="00AE47C6">
        <w:rPr>
          <w:rFonts w:ascii="Times New Roman" w:eastAsia="SimSun" w:hAnsi="Times New Roman"/>
          <w:kern w:val="24"/>
          <w:sz w:val="24"/>
          <w:szCs w:val="24"/>
        </w:rPr>
        <w:t>Острият herpes simplex енцефалит трябва да се отдиференцира от остър хеморагичен левкоенцефалит, субдурален емпием, мозъчен абсцес и тумор, мозъчна венозна тромбоза, септичен емболизъм, руптура на аневризма и инсулт. КТ показва хиподензни промени в засегнатите зони. МРТ визуализира по-често изменения. За точна диагноза се използват флуоресциращи антитела и вирусно култивиране на мозъчна тъкан след биопсия.</w:t>
      </w:r>
    </w:p>
    <w:p w14:paraId="0CA8F628"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Лечението</w:t>
      </w:r>
      <w:r w:rsidRPr="00AE47C6">
        <w:rPr>
          <w:rFonts w:ascii="Times New Roman" w:eastAsia="SimSun" w:hAnsi="Times New Roman"/>
          <w:iCs/>
          <w:kern w:val="24"/>
          <w:sz w:val="24"/>
          <w:szCs w:val="24"/>
        </w:rPr>
        <w:t xml:space="preserve"> с </w:t>
      </w:r>
      <w:r w:rsidRPr="00AE47C6">
        <w:rPr>
          <w:rFonts w:ascii="Times New Roman" w:eastAsia="SimSun" w:hAnsi="Times New Roman"/>
          <w:i/>
          <w:kern w:val="24"/>
          <w:sz w:val="24"/>
          <w:szCs w:val="24"/>
        </w:rPr>
        <w:t>Acyclovir в доза от 30 mg/kg дн. i.v. в продължение на 10-14 дни</w:t>
      </w:r>
      <w:r w:rsidRPr="00AE47C6">
        <w:rPr>
          <w:rFonts w:ascii="Times New Roman" w:eastAsia="SimSun" w:hAnsi="Times New Roman"/>
          <w:kern w:val="24"/>
          <w:sz w:val="24"/>
          <w:szCs w:val="24"/>
        </w:rPr>
        <w:t xml:space="preserve"> значително намалява смъртността. Лечението трябва да започне още през първите дни. Използват се и други противовирусни медикаменти като Valacyclovir по 1g/дн. за 7 дни, Famciclovir по 250 mg/дн. за 5-10 дни, Foscavir, Ganciclovir. Епилептичните припадъци се овладяват с високи дози от антиконвулсанти и дехидратиращи средства</w:t>
      </w:r>
      <w:r w:rsidRPr="00AE47C6">
        <w:rPr>
          <w:rFonts w:ascii="Times New Roman" w:eastAsia="SimSun" w:hAnsi="Times New Roman"/>
          <w:i/>
          <w:kern w:val="24"/>
          <w:sz w:val="24"/>
          <w:szCs w:val="24"/>
        </w:rPr>
        <w:t>.</w:t>
      </w:r>
      <w:r w:rsidRPr="00AE47C6">
        <w:rPr>
          <w:rFonts w:ascii="Times New Roman" w:eastAsia="SimSun" w:hAnsi="Times New Roman"/>
          <w:kern w:val="24"/>
          <w:sz w:val="24"/>
          <w:szCs w:val="24"/>
        </w:rPr>
        <w:t xml:space="preserve"> Трябва да се приложи лечение на мозъчния оток </w:t>
      </w:r>
      <w:r w:rsidRPr="00AE47C6">
        <w:rPr>
          <w:rFonts w:ascii="Times New Roman" w:eastAsia="SimSun" w:hAnsi="Times New Roman"/>
          <w:i/>
          <w:kern w:val="24"/>
          <w:sz w:val="24"/>
          <w:szCs w:val="24"/>
        </w:rPr>
        <w:t>с кортикостероиди</w:t>
      </w:r>
      <w:r w:rsidRPr="00AE47C6">
        <w:rPr>
          <w:rFonts w:ascii="Times New Roman" w:eastAsia="SimSun" w:hAnsi="Times New Roman"/>
          <w:kern w:val="24"/>
          <w:sz w:val="24"/>
          <w:szCs w:val="24"/>
        </w:rPr>
        <w:t xml:space="preserve">. </w:t>
      </w:r>
    </w:p>
    <w:p w14:paraId="48F8170D"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Прогноза.</w:t>
      </w:r>
      <w:r w:rsidRPr="00AE47C6">
        <w:rPr>
          <w:rFonts w:ascii="Times New Roman" w:eastAsia="SimSun" w:hAnsi="Times New Roman"/>
          <w:iCs/>
          <w:kern w:val="24"/>
          <w:sz w:val="24"/>
          <w:szCs w:val="24"/>
        </w:rPr>
        <w:t xml:space="preserve"> При нелекувани пациенти с HSV-1 смъртността достига до 70%, а при лекувани спада до 30%. Смъртността при новородени с HSV-2 енцефалит достига до 57%. </w:t>
      </w:r>
      <w:r w:rsidRPr="00AE47C6">
        <w:rPr>
          <w:rFonts w:ascii="Times New Roman" w:eastAsia="SimSun" w:hAnsi="Times New Roman"/>
          <w:kern w:val="24"/>
          <w:sz w:val="24"/>
          <w:szCs w:val="24"/>
        </w:rPr>
        <w:t xml:space="preserve">Неблагоприятни прогностични признаци </w:t>
      </w:r>
      <w:r w:rsidRPr="00AE47C6">
        <w:rPr>
          <w:rFonts w:ascii="Times New Roman" w:eastAsia="SimSun" w:hAnsi="Times New Roman"/>
          <w:iCs/>
          <w:kern w:val="24"/>
          <w:sz w:val="24"/>
          <w:szCs w:val="24"/>
        </w:rPr>
        <w:t xml:space="preserve">са възраст над 30 години, 6 или по-малко точки по </w:t>
      </w:r>
      <w:r w:rsidRPr="00AE47C6">
        <w:rPr>
          <w:rFonts w:ascii="Times New Roman" w:eastAsia="SimSun" w:hAnsi="Times New Roman"/>
          <w:kern w:val="24"/>
          <w:sz w:val="24"/>
          <w:szCs w:val="24"/>
        </w:rPr>
        <w:t>Glasgow Coma Scale. Повечето преживели заболяването имат различни неврологични нарушения вариращи от промени в паметта до тежък двигателен и сетивен дефицит, афазия и дисфазия</w:t>
      </w:r>
      <w:r w:rsidRPr="00AE47C6">
        <w:rPr>
          <w:rFonts w:ascii="Times New Roman" w:eastAsia="SimSun" w:hAnsi="Times New Roman"/>
          <w:i/>
          <w:kern w:val="24"/>
          <w:sz w:val="24"/>
          <w:szCs w:val="24"/>
        </w:rPr>
        <w:t xml:space="preserve">, </w:t>
      </w:r>
      <w:r w:rsidRPr="00AE47C6">
        <w:rPr>
          <w:rFonts w:ascii="Times New Roman" w:eastAsia="SimSun" w:hAnsi="Times New Roman"/>
          <w:kern w:val="24"/>
          <w:sz w:val="24"/>
          <w:szCs w:val="24"/>
        </w:rPr>
        <w:t xml:space="preserve">амнестични синдроми, глобална деменция и епилептични припадъци. Желателно е антиепилептичното лечение да се продължи поне 1 година. </w:t>
      </w:r>
    </w:p>
    <w:p w14:paraId="7099223D" w14:textId="77777777" w:rsidR="00BE0B19" w:rsidRPr="00AE47C6" w:rsidRDefault="00BE0B19" w:rsidP="00BE0B19">
      <w:pPr>
        <w:spacing w:after="0" w:line="360" w:lineRule="auto"/>
        <w:ind w:firstLine="709"/>
        <w:jc w:val="both"/>
        <w:rPr>
          <w:rFonts w:ascii="Times New Roman" w:eastAsia="SimSun" w:hAnsi="Times New Roman"/>
          <w:i/>
          <w:kern w:val="24"/>
          <w:sz w:val="24"/>
          <w:szCs w:val="24"/>
        </w:rPr>
      </w:pPr>
    </w:p>
    <w:p w14:paraId="3DC37A2B"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Herpes zoster менингоенцефалит и миелит</w:t>
      </w:r>
    </w:p>
    <w:p w14:paraId="0F328EC7" w14:textId="77777777" w:rsidR="00BE0B19" w:rsidRPr="00AE47C6" w:rsidRDefault="00BE0B19" w:rsidP="00BE0B19">
      <w:pPr>
        <w:tabs>
          <w:tab w:val="left" w:pos="720"/>
        </w:tabs>
        <w:suppressAutoHyphens/>
        <w:spacing w:after="0" w:line="360" w:lineRule="auto"/>
        <w:jc w:val="both"/>
        <w:rPr>
          <w:rFonts w:ascii="Times New Roman" w:eastAsia="SimSun" w:hAnsi="Times New Roman"/>
          <w:sz w:val="24"/>
          <w:szCs w:val="24"/>
          <w:lang w:eastAsia="bg-BG"/>
        </w:rPr>
      </w:pPr>
    </w:p>
    <w:p w14:paraId="219C22E4"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kern w:val="24"/>
          <w:sz w:val="24"/>
          <w:szCs w:val="24"/>
        </w:rPr>
        <w:t xml:space="preserve">Herpes zoster е честа вирусна инфекция на нервната система (3 до </w:t>
      </w:r>
      <w:r w:rsidRPr="00AE47C6">
        <w:rPr>
          <w:rFonts w:ascii="Times New Roman" w:eastAsia="SimSun" w:hAnsi="Times New Roman"/>
          <w:iCs/>
          <w:kern w:val="24"/>
          <w:sz w:val="24"/>
          <w:szCs w:val="24"/>
        </w:rPr>
        <w:t xml:space="preserve">5 </w:t>
      </w:r>
      <w:r w:rsidRPr="00AE47C6">
        <w:rPr>
          <w:rFonts w:ascii="Times New Roman" w:eastAsia="SimSun" w:hAnsi="Times New Roman"/>
          <w:kern w:val="24"/>
          <w:sz w:val="24"/>
          <w:szCs w:val="24"/>
        </w:rPr>
        <w:t xml:space="preserve">на 1000 човека за година). Причинителят varicella-zoster вирус (VZV) предизвиква варицела и herpes zoster. VZV остава латентен в невроните на сетивния ганглий след първоначалната инфекция и преболедуване от варицела. При имуносупресирани пациенти вирусът се реактивира, мигрира по сетивните нервни влакна и предизвиква дерматомна загуба на сетивността и характерния болезнен обрив, васкулопатии и демиелинизация в главния мозък. </w:t>
      </w:r>
    </w:p>
    <w:p w14:paraId="7DF339F3"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 xml:space="preserve">Клинично </w:t>
      </w:r>
      <w:r w:rsidRPr="00AE47C6">
        <w:rPr>
          <w:rFonts w:ascii="Times New Roman" w:eastAsia="SimSun" w:hAnsi="Times New Roman"/>
          <w:iCs/>
          <w:kern w:val="24"/>
          <w:sz w:val="24"/>
          <w:szCs w:val="24"/>
        </w:rPr>
        <w:t>в</w:t>
      </w:r>
      <w:r w:rsidRPr="00AE47C6">
        <w:rPr>
          <w:rFonts w:ascii="Times New Roman" w:eastAsia="SimSun" w:hAnsi="Times New Roman"/>
          <w:kern w:val="24"/>
          <w:sz w:val="24"/>
          <w:szCs w:val="24"/>
        </w:rPr>
        <w:t>езикуларната ерупция с коренчева болка, обикновено предхожда засягането на нервната система.</w:t>
      </w:r>
      <w:r w:rsidRPr="00AE47C6">
        <w:rPr>
          <w:rFonts w:ascii="Times New Roman" w:eastAsia="SimSun" w:hAnsi="Times New Roman"/>
          <w:iCs/>
          <w:kern w:val="24"/>
          <w:sz w:val="24"/>
          <w:szCs w:val="24"/>
        </w:rPr>
        <w:t xml:space="preserve"> Енцефалитът и церебралният васкулит, </w:t>
      </w:r>
      <w:r w:rsidRPr="00AE47C6">
        <w:rPr>
          <w:rFonts w:ascii="Times New Roman" w:eastAsia="SimSun" w:hAnsi="Times New Roman"/>
          <w:kern w:val="24"/>
          <w:sz w:val="24"/>
          <w:szCs w:val="24"/>
        </w:rPr>
        <w:t xml:space="preserve">са редки усложнения на цервикокраниалния зостер. </w:t>
      </w:r>
      <w:r w:rsidRPr="00AE47C6">
        <w:rPr>
          <w:rFonts w:ascii="Times New Roman" w:eastAsia="SimSun" w:hAnsi="Times New Roman"/>
          <w:iCs/>
          <w:kern w:val="24"/>
          <w:sz w:val="24"/>
          <w:szCs w:val="24"/>
        </w:rPr>
        <w:t>Лептоменингитът е сравнително лек – с лека температура и менингеални симптоми. При възникване на енцефалит се добавят сънливост, конфузия, атаксия, фокални неврологични симптоми и рядко епилептични припадъци</w:t>
      </w:r>
      <w:r w:rsidRPr="00AE47C6">
        <w:rPr>
          <w:rFonts w:ascii="Times New Roman" w:eastAsia="SimSun" w:hAnsi="Times New Roman"/>
          <w:kern w:val="24"/>
          <w:sz w:val="24"/>
          <w:szCs w:val="24"/>
        </w:rPr>
        <w:t xml:space="preserve">. Ограничени </w:t>
      </w:r>
      <w:r w:rsidRPr="00AE47C6">
        <w:rPr>
          <w:rFonts w:ascii="Times New Roman" w:eastAsia="SimSun" w:hAnsi="Times New Roman"/>
          <w:iCs/>
          <w:kern w:val="24"/>
          <w:sz w:val="24"/>
          <w:szCs w:val="24"/>
        </w:rPr>
        <w:t>миелити</w:t>
      </w:r>
      <w:r w:rsidRPr="00AE47C6">
        <w:rPr>
          <w:rFonts w:ascii="Times New Roman" w:eastAsia="SimSun" w:hAnsi="Times New Roman"/>
          <w:kern w:val="24"/>
          <w:sz w:val="24"/>
          <w:szCs w:val="24"/>
        </w:rPr>
        <w:t xml:space="preserve"> могат да се развият при торакален зостер. Може да се развие </w:t>
      </w:r>
      <w:r w:rsidRPr="00AE47C6">
        <w:rPr>
          <w:rFonts w:ascii="Times New Roman" w:eastAsia="SimSun" w:hAnsi="Times New Roman"/>
          <w:iCs/>
          <w:kern w:val="24"/>
          <w:sz w:val="24"/>
          <w:szCs w:val="24"/>
        </w:rPr>
        <w:t xml:space="preserve">полиомиелит, </w:t>
      </w:r>
      <w:r w:rsidRPr="00AE47C6">
        <w:rPr>
          <w:rFonts w:ascii="Times New Roman" w:eastAsia="SimSun" w:hAnsi="Times New Roman"/>
          <w:kern w:val="24"/>
          <w:sz w:val="24"/>
          <w:szCs w:val="24"/>
        </w:rPr>
        <w:t>наподобяващ острия преден полиомиелит, с типична унилатералност, сегментна локализация и по-голямо засягане на задния рог, коренчета и ганглии. Симптомите от засягане на гръбначния мозък се появяват 5 до 21 дни след обрива (средно 12) и продължават също толкова време. Най-чести признаци са асиметрична парапареза и сетивна загуба, сфинктерни нарушения и по-рядко Braun-Sequard синдром. В ликвора се установява плеоцитоза и повишен протеин.</w:t>
      </w:r>
    </w:p>
    <w:p w14:paraId="77031729"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 xml:space="preserve">Изследвания. </w:t>
      </w:r>
      <w:r w:rsidRPr="00AE47C6">
        <w:rPr>
          <w:rFonts w:ascii="Times New Roman" w:eastAsia="SimSun" w:hAnsi="Times New Roman"/>
          <w:kern w:val="24"/>
          <w:sz w:val="24"/>
          <w:szCs w:val="24"/>
        </w:rPr>
        <w:t>Диагнозата се потвърждава чрез директна имунофлуоресценция или кожна биопсия, с антитела срещу Varicella zoster вируса, полимеразно-верижна реакция (PCR) срещу VZV-ДНК в натривка от орофарингфеален секрет или от дъното на ранен везикул.</w:t>
      </w:r>
    </w:p>
    <w:p w14:paraId="4C9C71B6"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 xml:space="preserve">Лечението </w:t>
      </w:r>
      <w:r w:rsidRPr="00AE47C6">
        <w:rPr>
          <w:rFonts w:ascii="Times New Roman" w:eastAsia="SimSun" w:hAnsi="Times New Roman"/>
          <w:kern w:val="24"/>
          <w:sz w:val="24"/>
          <w:szCs w:val="24"/>
        </w:rPr>
        <w:t xml:space="preserve">при енцефалитните прояви се провежда с </w:t>
      </w:r>
      <w:r w:rsidRPr="00AE47C6">
        <w:rPr>
          <w:rFonts w:ascii="Times New Roman" w:eastAsia="SimSun" w:hAnsi="Times New Roman"/>
          <w:i/>
          <w:kern w:val="24"/>
          <w:sz w:val="24"/>
          <w:szCs w:val="24"/>
        </w:rPr>
        <w:t>Acyclovir в дневна доза 800 mg, 5 пъти дневно – 7 дни. При имунокомпрометирани пациенти се използва i.v. Acyclovir в доза 10 mg/kg за срок от 7 дни. Удачно е използването и на по-съвременните Famciclovir 3х500 mg за 7 дни или Valacyclovir 3х1 g за 7 дни.</w:t>
      </w:r>
      <w:r w:rsidRPr="00AE47C6">
        <w:rPr>
          <w:rFonts w:ascii="Times New Roman" w:eastAsia="SimSun" w:hAnsi="Times New Roman"/>
          <w:kern w:val="24"/>
          <w:sz w:val="24"/>
          <w:szCs w:val="24"/>
        </w:rPr>
        <w:t xml:space="preserve"> Varicella zoster имунният глобулин скъсява хода на кожното заболяване, постхерпетичната невралгия и помага срещу дисеминирането му при имуносупресирани пациенти. </w:t>
      </w:r>
    </w:p>
    <w:p w14:paraId="28C329A9"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4.2.2.2. АRBO-вирусни енцефалити</w:t>
      </w:r>
    </w:p>
    <w:p w14:paraId="62220A5D"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kern w:val="24"/>
          <w:sz w:val="24"/>
          <w:szCs w:val="24"/>
        </w:rPr>
        <w:t xml:space="preserve">Арбовирусите са артроподни </w:t>
      </w:r>
      <w:r w:rsidRPr="00AE47C6">
        <w:rPr>
          <w:rFonts w:ascii="Times New Roman" w:eastAsia="SimSun" w:hAnsi="Times New Roman"/>
          <w:iCs/>
          <w:kern w:val="24"/>
          <w:sz w:val="24"/>
          <w:szCs w:val="24"/>
        </w:rPr>
        <w:t xml:space="preserve">РНК вируси. Включват подгрупите alpha-, flavi-, bunya- и reo- вирусите. Основните причинители на енцефалит са от групата на flavi-вирусите, а на конските енцефалити – alpha-вирусите. </w:t>
      </w:r>
      <w:r w:rsidRPr="00AE47C6">
        <w:rPr>
          <w:rFonts w:ascii="Times New Roman" w:eastAsia="SimSun" w:hAnsi="Times New Roman"/>
          <w:kern w:val="24"/>
          <w:sz w:val="24"/>
          <w:szCs w:val="24"/>
        </w:rPr>
        <w:t xml:space="preserve">Главен природен резервоар са птиците и някои бозайници, а комарите и кърлежите – основни арбовирусни носители. Конете и хората са случайни гостоприемници във веригата на инфекцията. Заболяванията от арбовируси настъпват през лятото или ранна есен, в типични географски региони. Западно-Нилският вирус е най-честа причина за менингоенцефалит в северна Америка, но е разпространен в целия свят и предизвиква епидемии и в източна Европа и средния Изток. Освен чрез комари може да се предаде при кръвопреливане и органна трансплантация. Неврологични усложнения настъпват само при 1% от пациентите, често води до Паркинсонов синдром, миоклонии, краниални невропатии и вяли парализи. а. Японският комарен вирус предизвиква енцефалит с 10-30% смъртност, след който могат да останат Паркинсонов синдром и дистонии. Много други арбовируси могат да предизвикат ендемични заболявания в различни географски територии. Такива са далекоизточният и централноевропейският кърлежови енцефалити и други. </w:t>
      </w:r>
    </w:p>
    <w:p w14:paraId="4EF4870C"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kern w:val="24"/>
          <w:sz w:val="24"/>
          <w:szCs w:val="24"/>
        </w:rPr>
        <w:t>Различните енцефалити имат подобно клиничното си развитие. Инкубационният период между ухапването и развитието на клиничните симптоми е 5-15 дни. Може да има кратък продромален период с повишена температура, гадене и повръщане, артралгия и обриви. При деца могат да започнат остро с температура и епилептични припадъци. При възрастни започват подостро, с главоболие, апатичност, гадене, повръщане и температура. След няколко дни се получават вратна стегнатост, конфузия, епилептични припадъци, ступор и кома. Могат да се получат фотофобия, дифузна миалгия, акционен или интенционен тремор, асиметрия в сухожилните рефлекси, рефлекс на Babinski, хемипареза, миоклонии, екстрапирамидни синдроми и хорея. След 4-14 дни симптомите изчезват и 12% от пациентите остават само остатъчните неврологични симптоми – екстрапирамидни, Паркинсонов синдром, паметови, слепота, глухота, хемиплегия, епилептични припадъци. При 12% от пациентите може да настъпи смъртен изход.</w:t>
      </w:r>
    </w:p>
    <w:p w14:paraId="15EDBB77"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Изследването на ликвора</w:t>
      </w:r>
      <w:r w:rsidRPr="00AE47C6">
        <w:rPr>
          <w:rFonts w:ascii="Times New Roman" w:eastAsia="SimSun" w:hAnsi="Times New Roman"/>
          <w:kern w:val="24"/>
          <w:sz w:val="24"/>
          <w:szCs w:val="24"/>
        </w:rPr>
        <w:t xml:space="preserve"> показва повишени ликворно налягане и брой клетки, предимно левкоцити и протеинорахия. Промените са по-силно изразени при пациенти с източен конски енцефалит. МРТ може да покаже лезии в базалните ганглии, thalamus и ствола при пациенти с източен конски енцефалит.</w:t>
      </w:r>
    </w:p>
    <w:p w14:paraId="5C3D917B"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Диференциалната диагноза</w:t>
      </w:r>
      <w:r w:rsidRPr="00AE47C6">
        <w:rPr>
          <w:rFonts w:ascii="Times New Roman" w:eastAsia="SimSun" w:hAnsi="Times New Roman"/>
          <w:kern w:val="24"/>
          <w:sz w:val="24"/>
          <w:szCs w:val="24"/>
        </w:rPr>
        <w:t xml:space="preserve"> включва бактериални и туберкулозни менингити със засягане на мозъчния паренхим. </w:t>
      </w:r>
    </w:p>
    <w:p w14:paraId="4102FFF0"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Прогнозата</w:t>
      </w:r>
      <w:r w:rsidRPr="00AE47C6">
        <w:rPr>
          <w:rFonts w:ascii="Times New Roman" w:eastAsia="SimSun" w:hAnsi="Times New Roman"/>
          <w:kern w:val="24"/>
          <w:sz w:val="24"/>
          <w:szCs w:val="24"/>
        </w:rPr>
        <w:t xml:space="preserve"> е лоша при пациенти с източен конски енцефалит, който има 50% смъртност, а преживелите пациенти остават с трайни неврологични последици – когнитивни нарушения, пареза на краниални нерви, хемиплегия, афазия и епилептични припадъци. При пациенти със западен конски енцефалит смъртността е до 10% и има остатъчни неврологични симптоми. При пациенти с Венецуелски конски енцефалит смъртността е 0,5%. При St. Louis енцефалит смъртността е до 20%, при 25% има остатъчни неврологични симптоми. При западно Нилският вирусен енцефалит смъртността е до 12%, а при 60% от пациентите остават деменции или парези. При Японския енцефалит смъртността достига до 50%, а при La Crosse енцефалитът – 1%. </w:t>
      </w:r>
    </w:p>
    <w:p w14:paraId="2B217560"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Лечението</w:t>
      </w:r>
      <w:r w:rsidRPr="00AE47C6">
        <w:rPr>
          <w:rFonts w:ascii="Times New Roman" w:eastAsia="SimSun" w:hAnsi="Times New Roman"/>
          <w:kern w:val="24"/>
          <w:sz w:val="24"/>
          <w:szCs w:val="24"/>
        </w:rPr>
        <w:t xml:space="preserve"> е симптоматично.</w:t>
      </w:r>
    </w:p>
    <w:p w14:paraId="3DA0BFE3" w14:textId="77777777" w:rsidR="00BE0B19" w:rsidRPr="00AE47C6" w:rsidRDefault="00BE0B19" w:rsidP="00BE0B19">
      <w:pPr>
        <w:spacing w:after="0" w:line="360" w:lineRule="auto"/>
        <w:ind w:firstLine="709"/>
        <w:jc w:val="both"/>
        <w:rPr>
          <w:rFonts w:ascii="Times New Roman" w:eastAsia="SimSun" w:hAnsi="Times New Roman"/>
          <w:b/>
          <w:kern w:val="24"/>
          <w:sz w:val="24"/>
          <w:szCs w:val="24"/>
        </w:rPr>
      </w:pPr>
      <w:r w:rsidRPr="00AE47C6">
        <w:rPr>
          <w:rFonts w:ascii="Times New Roman" w:eastAsia="SimSun" w:hAnsi="Times New Roman"/>
          <w:b/>
          <w:kern w:val="24"/>
          <w:sz w:val="24"/>
          <w:szCs w:val="24"/>
        </w:rPr>
        <w:t>Кърлежови енцефалити</w:t>
      </w:r>
    </w:p>
    <w:p w14:paraId="5AEE4367"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iCs/>
          <w:kern w:val="24"/>
          <w:sz w:val="24"/>
          <w:szCs w:val="24"/>
        </w:rPr>
        <w:t xml:space="preserve">Етиология. </w:t>
      </w:r>
      <w:r w:rsidRPr="00AE47C6">
        <w:rPr>
          <w:rFonts w:ascii="Times New Roman" w:eastAsia="SimSun" w:hAnsi="Times New Roman"/>
          <w:kern w:val="24"/>
          <w:sz w:val="24"/>
          <w:szCs w:val="24"/>
        </w:rPr>
        <w:t>Актуални за България са Руският пролетно-летен, далекоизточният и централноевропейският вариант на кърлежов енцефалит.</w:t>
      </w:r>
    </w:p>
    <w:p w14:paraId="019C9B64"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iCs/>
          <w:kern w:val="24"/>
          <w:sz w:val="24"/>
          <w:szCs w:val="24"/>
        </w:rPr>
        <w:t xml:space="preserve">Епидемиология. </w:t>
      </w:r>
      <w:r w:rsidRPr="00AE47C6">
        <w:rPr>
          <w:rFonts w:ascii="Times New Roman" w:eastAsia="SimSun" w:hAnsi="Times New Roman"/>
          <w:kern w:val="24"/>
          <w:sz w:val="24"/>
          <w:szCs w:val="24"/>
        </w:rPr>
        <w:t>Кърлежовите енцефалити са природоогнищна инфекция. Основен резервоар за източните райони на Русия е Ixodes persulcatus, за западните райони на Русия и европейските страни – Ixodes ricinus.</w:t>
      </w:r>
    </w:p>
    <w:p w14:paraId="7001FE0D"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Далекоизточен кърлежов енцефалит</w:t>
      </w:r>
    </w:p>
    <w:p w14:paraId="177C37CE"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b/>
          <w:iCs/>
          <w:sz w:val="24"/>
          <w:szCs w:val="24"/>
          <w:lang w:eastAsia="bg-BG"/>
        </w:rPr>
        <w:t xml:space="preserve">Клинично </w:t>
      </w:r>
      <w:r w:rsidRPr="00AE47C6">
        <w:rPr>
          <w:rFonts w:ascii="Times New Roman" w:eastAsia="SimSun" w:hAnsi="Times New Roman"/>
          <w:iCs/>
          <w:sz w:val="24"/>
          <w:szCs w:val="24"/>
          <w:lang w:eastAsia="bg-BG"/>
        </w:rPr>
        <w:t>протича със</w:t>
      </w:r>
      <w:r w:rsidRPr="00AE47C6">
        <w:rPr>
          <w:rFonts w:ascii="Times New Roman" w:eastAsia="SimSun" w:hAnsi="Times New Roman"/>
          <w:sz w:val="24"/>
          <w:szCs w:val="24"/>
          <w:lang w:eastAsia="bg-BG"/>
        </w:rPr>
        <w:t xml:space="preserve"> симптоми на обща инфекция с фебрилитет, менинго-радикулерно дразнене, дифузно и огнищно увреждане на главния и гръбначния мозък. Още през първия ден заедно с повишението на телесната температура са налице главоболие и симптоми на менинго-радикулерно дразнене, повръщане, съзнанието се променя. Клиничните синдроми през острата фаза включват менинго-радикулерен, менинго-енцефалитен или полиоенцефаломиелитен синдром. Рядко протича с мезенцефални и паркинсонови прояви. Психичните промени се изразяват с делирни и аментивни прояви и повишена възбудимост, които често се съчетават с Кожевникова епилепсия.</w:t>
      </w:r>
    </w:p>
    <w:p w14:paraId="13759B40"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Централноевропейски кърлежов енцефалит</w:t>
      </w:r>
    </w:p>
    <w:p w14:paraId="21D1AFAF"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Клинична картина</w:t>
      </w:r>
      <w:r w:rsidRPr="00AE47C6">
        <w:rPr>
          <w:rFonts w:ascii="Times New Roman" w:eastAsia="SimSun" w:hAnsi="Times New Roman"/>
          <w:iCs/>
          <w:kern w:val="24"/>
          <w:sz w:val="24"/>
          <w:szCs w:val="24"/>
        </w:rPr>
        <w:t xml:space="preserve">. </w:t>
      </w:r>
      <w:r w:rsidRPr="00AE47C6">
        <w:rPr>
          <w:rFonts w:ascii="Times New Roman" w:eastAsia="SimSun" w:hAnsi="Times New Roman"/>
          <w:kern w:val="24"/>
          <w:sz w:val="24"/>
          <w:szCs w:val="24"/>
        </w:rPr>
        <w:t xml:space="preserve">Виремичната фаза има внезапно начало, с втрисане, висока температура, силно главоболие, болки в ставите и кръста. След афебрилен период настъпва втората фаза с тежки токсо-инфекциозни и менинго-радикулерни симптоми и фебрилен делир. Наблюдават се вяли парализи и атрофия на шийната мускулатура. Болните изпадат в кома и завършват летално. </w:t>
      </w:r>
    </w:p>
    <w:p w14:paraId="044D805B"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Диагноза</w:t>
      </w:r>
      <w:r w:rsidRPr="00AE47C6">
        <w:rPr>
          <w:rFonts w:ascii="Times New Roman" w:eastAsia="SimSun" w:hAnsi="Times New Roman"/>
          <w:i/>
          <w:iCs/>
          <w:kern w:val="24"/>
          <w:sz w:val="24"/>
          <w:szCs w:val="24"/>
        </w:rPr>
        <w:t xml:space="preserve">. </w:t>
      </w:r>
      <w:r w:rsidRPr="00AE47C6">
        <w:rPr>
          <w:rFonts w:ascii="Times New Roman" w:eastAsia="SimSun" w:hAnsi="Times New Roman"/>
          <w:kern w:val="24"/>
          <w:sz w:val="24"/>
          <w:szCs w:val="24"/>
        </w:rPr>
        <w:t xml:space="preserve">В ликвора се установяват лимфоцитна плеоцитоза и леко повишение на протеина при нормални стойности на глюкоза. В серума и ликвора чрез ELISA метода се установяват IgM антивирусни антитела. МРТ изследването е нормално или показва мозъчен оток. </w:t>
      </w:r>
    </w:p>
    <w:p w14:paraId="2C41C3E1"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Лечение и профилактика</w:t>
      </w:r>
      <w:r w:rsidRPr="00AE47C6">
        <w:rPr>
          <w:rFonts w:ascii="Times New Roman" w:eastAsia="SimSun" w:hAnsi="Times New Roman"/>
          <w:i/>
          <w:kern w:val="24"/>
          <w:sz w:val="24"/>
          <w:szCs w:val="24"/>
        </w:rPr>
        <w:t>.</w:t>
      </w:r>
      <w:r w:rsidRPr="00AE47C6">
        <w:rPr>
          <w:rFonts w:ascii="Times New Roman" w:eastAsia="SimSun" w:hAnsi="Times New Roman"/>
          <w:kern w:val="24"/>
          <w:sz w:val="24"/>
          <w:szCs w:val="24"/>
        </w:rPr>
        <w:t xml:space="preserve"> Няма лекарствени средства които могат да спрат или забавят прогресията на ARBO енцефалитите. </w:t>
      </w:r>
    </w:p>
    <w:p w14:paraId="720457A4"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kern w:val="24"/>
          <w:sz w:val="24"/>
          <w:szCs w:val="24"/>
        </w:rPr>
        <w:t xml:space="preserve">Лечението е симптоматично (антиконвулсанти, седативни, обезболяващи) и с кортикостероиди. Специфичната профилактика на застрашените контингенти е с ваксина, получена от мозъчната тъкан на заразени мишки. Важно е системното унищожаване с инсектициди на преносителите – кърлежи и комари, както и използването на репеленти. </w:t>
      </w:r>
    </w:p>
    <w:p w14:paraId="2BA324AB"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4.2.2.3. Грипен менингоенцефаломиелит</w:t>
      </w:r>
    </w:p>
    <w:p w14:paraId="2CC271CA"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 xml:space="preserve">Етиология и епидемиология. </w:t>
      </w:r>
      <w:r w:rsidRPr="00AE47C6">
        <w:rPr>
          <w:rFonts w:ascii="Times New Roman" w:eastAsia="SimSun" w:hAnsi="Times New Roman"/>
          <w:kern w:val="24"/>
          <w:sz w:val="24"/>
          <w:szCs w:val="24"/>
        </w:rPr>
        <w:t>Грипни вируси тип А, В и С, както и подтип А1 и подтип А2.</w:t>
      </w:r>
    </w:p>
    <w:p w14:paraId="3A9418AB"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kern w:val="24"/>
          <w:sz w:val="24"/>
          <w:szCs w:val="24"/>
        </w:rPr>
        <w:t>Неврологичните усложнения при грип варират от 0,01 до 3%, най-често около 0,3%. Различават се следните клинични форми на увреда на нервната система при грип: енцефалити, менингоенцефалити, миелити, радикулити и полирадикулоневрити.</w:t>
      </w:r>
    </w:p>
    <w:p w14:paraId="5E831A22"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 xml:space="preserve">Патоморфология. </w:t>
      </w:r>
      <w:r w:rsidRPr="00AE47C6">
        <w:rPr>
          <w:rFonts w:ascii="Times New Roman" w:eastAsia="SimSun" w:hAnsi="Times New Roman"/>
          <w:kern w:val="24"/>
          <w:sz w:val="24"/>
          <w:szCs w:val="24"/>
        </w:rPr>
        <w:t>Промените в ЦНС се проявяват с капиляротоксична енцефалопатия – мозъчен оток, застойна хиперемия, точковидни и по-големи хеморагии, понякога лимфоцитни периваскуларни инфилтрати. Могат да се открият и огнища на перивенозна демиелинизация.</w:t>
      </w:r>
    </w:p>
    <w:p w14:paraId="668E652A"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 xml:space="preserve">Клинична картина. </w:t>
      </w:r>
      <w:r w:rsidRPr="00AE47C6">
        <w:rPr>
          <w:rFonts w:ascii="Times New Roman" w:eastAsia="SimSun" w:hAnsi="Times New Roman"/>
          <w:kern w:val="24"/>
          <w:sz w:val="24"/>
          <w:szCs w:val="24"/>
        </w:rPr>
        <w:t xml:space="preserve">Развитието на </w:t>
      </w:r>
      <w:r w:rsidRPr="00AE47C6">
        <w:rPr>
          <w:rFonts w:ascii="Times New Roman" w:eastAsia="SimSun" w:hAnsi="Times New Roman"/>
          <w:i/>
          <w:iCs/>
          <w:kern w:val="24"/>
          <w:sz w:val="24"/>
          <w:szCs w:val="24"/>
        </w:rPr>
        <w:t xml:space="preserve">енцефалит </w:t>
      </w:r>
      <w:r w:rsidRPr="00AE47C6">
        <w:rPr>
          <w:rFonts w:ascii="Times New Roman" w:eastAsia="SimSun" w:hAnsi="Times New Roman"/>
          <w:kern w:val="24"/>
          <w:sz w:val="24"/>
          <w:szCs w:val="24"/>
        </w:rPr>
        <w:t xml:space="preserve">по време на острата инфекция или след 1-2 афебрилни дни се манифестира с ново покачване на температурата, силно главоболие и повръщане. Тежките форми протичат с епилептични припадъци, помрачено съзнание, кома и смъртен изход (особено при деца и старци). При други болни преобладава менингеалната симптоматика с вратна стегнатост и положителен симптом на Kernig. Ликворът е примесен с кръв. </w:t>
      </w:r>
      <w:r w:rsidRPr="00AE47C6">
        <w:rPr>
          <w:rFonts w:ascii="Times New Roman" w:eastAsia="SimSun" w:hAnsi="Times New Roman"/>
          <w:i/>
          <w:iCs/>
          <w:kern w:val="24"/>
          <w:sz w:val="24"/>
          <w:szCs w:val="24"/>
        </w:rPr>
        <w:t xml:space="preserve">Менингомиелитът </w:t>
      </w:r>
      <w:r w:rsidRPr="00AE47C6">
        <w:rPr>
          <w:rFonts w:ascii="Times New Roman" w:eastAsia="SimSun" w:hAnsi="Times New Roman"/>
          <w:kern w:val="24"/>
          <w:sz w:val="24"/>
          <w:szCs w:val="24"/>
        </w:rPr>
        <w:t>се развива по време на фебрилния период или 1-2 дни след спадане на температурата. Следва нова фебрилна вълна, съчетана с менингеален синдром. Поради напречна или дисеминирана увреда на гръбначния мозък се развиват сетивни смущения от проводников тип, вяла или спастична парапареза и тазоворезервоарни нарушения.</w:t>
      </w:r>
    </w:p>
    <w:p w14:paraId="7FCBDBCA"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 xml:space="preserve">Диференциална диагноза. </w:t>
      </w:r>
      <w:r w:rsidRPr="00AE47C6">
        <w:rPr>
          <w:rFonts w:ascii="Times New Roman" w:eastAsia="SimSun" w:hAnsi="Times New Roman"/>
          <w:kern w:val="24"/>
          <w:sz w:val="24"/>
          <w:szCs w:val="24"/>
        </w:rPr>
        <w:t>При подчертана менингитна симптоматика с хеморагичен ликвор по време на грипна епидемия диференцирането на грипен менинго-енцефалит от субарахноиден кръвоизлив е трудно.</w:t>
      </w:r>
    </w:p>
    <w:p w14:paraId="4ABBC4ED"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Лечението</w:t>
      </w:r>
      <w:r w:rsidRPr="00AE47C6">
        <w:rPr>
          <w:rFonts w:ascii="Times New Roman" w:eastAsia="SimSun" w:hAnsi="Times New Roman"/>
          <w:kern w:val="24"/>
          <w:sz w:val="24"/>
          <w:szCs w:val="24"/>
        </w:rPr>
        <w:t xml:space="preserve"> се провежда с</w:t>
      </w:r>
      <w:r w:rsidRPr="00AE47C6">
        <w:rPr>
          <w:rFonts w:ascii="Times New Roman" w:eastAsia="SimSun" w:hAnsi="Times New Roman"/>
          <w:i/>
          <w:kern w:val="24"/>
          <w:sz w:val="24"/>
          <w:szCs w:val="24"/>
        </w:rPr>
        <w:t xml:space="preserve"> Oseltamivir phosphate</w:t>
      </w:r>
      <w:r w:rsidRPr="00AE47C6">
        <w:rPr>
          <w:rFonts w:ascii="Times New Roman" w:eastAsia="SimSun" w:hAnsi="Times New Roman"/>
          <w:i/>
          <w:sz w:val="24"/>
          <w:szCs w:val="24"/>
        </w:rPr>
        <w:t>,</w:t>
      </w:r>
      <w:r w:rsidRPr="00AE47C6">
        <w:rPr>
          <w:rFonts w:ascii="Times New Roman" w:eastAsia="SimSun" w:hAnsi="Times New Roman"/>
          <w:sz w:val="24"/>
          <w:szCs w:val="24"/>
        </w:rPr>
        <w:t xml:space="preserve"> който</w:t>
      </w:r>
      <w:r w:rsidRPr="00AE47C6">
        <w:rPr>
          <w:rFonts w:ascii="Times New Roman" w:eastAsia="SimSun" w:hAnsi="Times New Roman"/>
          <w:kern w:val="24"/>
          <w:sz w:val="24"/>
          <w:szCs w:val="24"/>
        </w:rPr>
        <w:t xml:space="preserve"> е инхибитор на вирусната невроаминидаза. Блокира репликацията на всички грипни вируси (А и В) и се приема двукратно в капсули от 75 mg за пет дни. Може да се използва и </w:t>
      </w:r>
      <w:r w:rsidRPr="00AE47C6">
        <w:rPr>
          <w:rFonts w:ascii="Times New Roman" w:eastAsia="SimSun" w:hAnsi="Times New Roman"/>
          <w:sz w:val="24"/>
          <w:szCs w:val="24"/>
        </w:rPr>
        <w:t xml:space="preserve">zanamivir интраназално. </w:t>
      </w:r>
      <w:r w:rsidRPr="00AE47C6">
        <w:rPr>
          <w:rFonts w:ascii="Times New Roman" w:eastAsia="SimSun" w:hAnsi="Times New Roman"/>
          <w:i/>
          <w:kern w:val="24"/>
          <w:sz w:val="24"/>
          <w:szCs w:val="24"/>
        </w:rPr>
        <w:t>Remantadine</w:t>
      </w:r>
      <w:r w:rsidRPr="00AE47C6">
        <w:rPr>
          <w:rFonts w:ascii="Times New Roman" w:eastAsia="SimSun" w:hAnsi="Times New Roman"/>
          <w:kern w:val="24"/>
          <w:sz w:val="24"/>
          <w:szCs w:val="24"/>
        </w:rPr>
        <w:t xml:space="preserve"> таблетки от 50 mg, приеман по схема, не намира широко приложение, поради бързото развитие на резистентност към него.</w:t>
      </w:r>
    </w:p>
    <w:p w14:paraId="207E8B58"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4.2.2.4. Фокални енцефалити протичащи с двигателни нарушения</w:t>
      </w:r>
    </w:p>
    <w:p w14:paraId="31B4813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u w:val="single"/>
        </w:rPr>
        <w:t>Летаргичният енцефалит (болест на von Economo)</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обхваща епидемично цяла Европа, Америка и Китай (1917 г.), а през 1919 година добива пандемично разпространение, като обхваща Индия, Япония, Африка и Австралия. Пандемията с  пик през 1925 година, постепенно отзвучава до 1926 година, до 1935 година се появяват единични случаи и след 1940 година няма съобщени нови случаи на заболяване. Причинителят на заболяването не е изолиран, вероятно е мутирал от групата на influenza вирус. </w:t>
      </w:r>
      <w:r w:rsidRPr="00AE47C6">
        <w:rPr>
          <w:rFonts w:ascii="Times New Roman" w:eastAsia="SimSun" w:hAnsi="Times New Roman"/>
          <w:i/>
          <w:sz w:val="24"/>
          <w:szCs w:val="24"/>
        </w:rPr>
        <w:t>Патоанатомично</w:t>
      </w:r>
      <w:r w:rsidRPr="00AE47C6">
        <w:rPr>
          <w:rFonts w:ascii="Times New Roman" w:eastAsia="SimSun" w:hAnsi="Times New Roman"/>
          <w:sz w:val="24"/>
          <w:szCs w:val="24"/>
        </w:rPr>
        <w:t xml:space="preserve"> при пациентите с постенцефалитен паркинсонизъм в substantia nigra, locus ceruleus, ретикуларната формация, хипокампа, nucleus basalis Meynert, неокортекса и гръбначния мозък се установяват неврофибрилерни кълба, каквито не се установяват при Паркинсонова болест. Изградени са от абнормни тау протеини – триплети подобни на тези при болестта на Alzheimer и различни от тау дублетите при прогресивна супрануклеарна парализа и кортикобазална дегенерация. </w:t>
      </w:r>
    </w:p>
    <w:p w14:paraId="74CEEBE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Клинично</w:t>
      </w:r>
      <w:r w:rsidRPr="00AE47C6">
        <w:rPr>
          <w:rFonts w:ascii="Times New Roman" w:eastAsia="SimSun" w:hAnsi="Times New Roman"/>
          <w:sz w:val="24"/>
          <w:szCs w:val="24"/>
        </w:rPr>
        <w:t xml:space="preserve"> заболяването е дебютирало като неспецифична вирусна инфекция с фарингеални симптоми и субфебрилитет, типичните </w:t>
      </w:r>
      <w:r w:rsidRPr="00AE47C6">
        <w:rPr>
          <w:rFonts w:ascii="Times New Roman" w:eastAsia="SimSun" w:hAnsi="Times New Roman"/>
          <w:i/>
          <w:sz w:val="24"/>
          <w:szCs w:val="24"/>
        </w:rPr>
        <w:t>сомнолентно-офталмоплегични клинични прояви</w:t>
      </w:r>
      <w:r w:rsidRPr="00AE47C6">
        <w:rPr>
          <w:rFonts w:ascii="Times New Roman" w:eastAsia="SimSun" w:hAnsi="Times New Roman"/>
          <w:sz w:val="24"/>
          <w:szCs w:val="24"/>
        </w:rPr>
        <w:t xml:space="preserve">, ажитираност вместо сомнолентност, както и брадикинезия, мутизъм, хорея и миоклонии. При лумбална пункция при 50% от пациентите се установява хиперпротеинорахия с лимфоцитна плеоцитоза. Острата фаза на заболяването е продължавала няколко седмици, при 30 – 40% от пациентите е завършвала със смъртен изход. Останалите пациенти са се възстановявали напълно или са имали остатъчни симптоми: нарушение на цикъла сън-бодърстване, когнитивни и поведенчески нарушения, афазия, епилептични пристъпи, тикове, миоклонии, дистония, булимия и затлъстяване. Тези симптоми предполагат засягане и на мозъчната кора. След латентен период от 5 до 10 години се развиват </w:t>
      </w:r>
      <w:r w:rsidRPr="00AE47C6">
        <w:rPr>
          <w:rFonts w:ascii="Times New Roman" w:eastAsia="SimSun" w:hAnsi="Times New Roman"/>
          <w:i/>
          <w:sz w:val="24"/>
          <w:szCs w:val="24"/>
        </w:rPr>
        <w:t>три основни синдрома: паркинсонов, окулогирни кризи и централни дихателни нарушения.</w:t>
      </w:r>
    </w:p>
    <w:p w14:paraId="413E037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Окулогирните кризи</w:t>
      </w:r>
      <w:r w:rsidRPr="00AE47C6">
        <w:rPr>
          <w:rFonts w:ascii="Times New Roman" w:eastAsia="SimSun" w:hAnsi="Times New Roman"/>
          <w:sz w:val="24"/>
          <w:szCs w:val="24"/>
        </w:rPr>
        <w:t xml:space="preserve"> се проявяват едновременно с паркинсоновия синдром или малко преди него и персистират. Придружават се от страх, тревожност и депресия със суицидни намерения. Окулогирните кризи се дължат на нарушено равновесие между повишената холинергична и намалената допаминергична мозъчна активност и се повлияват от антихолинергични медикаменти. </w:t>
      </w:r>
      <w:r w:rsidRPr="00AE47C6">
        <w:rPr>
          <w:rFonts w:ascii="Times New Roman" w:eastAsia="SimSun" w:hAnsi="Times New Roman"/>
          <w:i/>
          <w:sz w:val="24"/>
          <w:szCs w:val="24"/>
        </w:rPr>
        <w:t>Паркинсоновият синдром</w:t>
      </w:r>
      <w:r w:rsidRPr="00AE47C6">
        <w:rPr>
          <w:rFonts w:ascii="Times New Roman" w:eastAsia="SimSun" w:hAnsi="Times New Roman"/>
          <w:sz w:val="24"/>
          <w:szCs w:val="24"/>
        </w:rPr>
        <w:t xml:space="preserve"> се развива при 80% от пациентите и се отличава с по-слабо проявен тремор, но по-изразена ригидност, ежедневни флуктуации в изразеността на двигателните симптоми и липса на изразена прогресия. </w:t>
      </w:r>
    </w:p>
    <w:p w14:paraId="0316FB2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През острата фаза на </w:t>
      </w:r>
      <w:r w:rsidRPr="00AE47C6">
        <w:rPr>
          <w:rFonts w:ascii="Times New Roman" w:eastAsia="SimSun" w:hAnsi="Times New Roman"/>
          <w:b/>
          <w:sz w:val="24"/>
          <w:szCs w:val="24"/>
        </w:rPr>
        <w:t>различни енцефалити</w:t>
      </w:r>
      <w:r w:rsidRPr="00AE47C6">
        <w:rPr>
          <w:rFonts w:ascii="Times New Roman" w:eastAsia="SimSun" w:hAnsi="Times New Roman"/>
          <w:sz w:val="24"/>
          <w:szCs w:val="24"/>
        </w:rPr>
        <w:t xml:space="preserve">, особено на Японския енцефалит тип В и западния конски енцефалит могат да се развият преходни и непрогресиращи паркинсонови симптоми. Някои автори смятат, че се касае за </w:t>
      </w:r>
      <w:r w:rsidRPr="00AE47C6">
        <w:rPr>
          <w:rFonts w:ascii="Times New Roman" w:eastAsia="SimSun" w:hAnsi="Times New Roman"/>
          <w:i/>
          <w:sz w:val="24"/>
          <w:szCs w:val="24"/>
        </w:rPr>
        <w:t>спорадични форми на летаргичния енцефалит</w:t>
      </w:r>
      <w:r w:rsidRPr="00AE47C6">
        <w:rPr>
          <w:rFonts w:ascii="Times New Roman" w:eastAsia="SimSun" w:hAnsi="Times New Roman"/>
          <w:sz w:val="24"/>
          <w:szCs w:val="24"/>
        </w:rPr>
        <w:t>. Японският енцефалит се среща често ендемично в югоизточна Азия. Паркинсоновите симптоми се появяват 1 до 4 седмици след началото на заболяването, когато съзнанието започне да се прояснява. По-рядко вирусът на Epstein-Barr, herpes simplex, varicella zoster, coxsackie B, полио, морбили, западно-Нилският и Централно-Европейският кърлежов енцефалит могат да предизвикат паркинсонов синдром. В България са описани такива случаи, предизвикани от неидентифициран вирус.</w:t>
      </w:r>
    </w:p>
    <w:p w14:paraId="23AE506D"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i/>
          <w:sz w:val="24"/>
          <w:szCs w:val="24"/>
          <w:lang w:eastAsia="bg-BG"/>
        </w:rPr>
      </w:pPr>
      <w:r w:rsidRPr="00AE47C6">
        <w:rPr>
          <w:rFonts w:ascii="Times New Roman" w:eastAsia="SimSun" w:hAnsi="Times New Roman"/>
          <w:b/>
          <w:bCs/>
          <w:kern w:val="24"/>
          <w:sz w:val="24"/>
          <w:szCs w:val="24"/>
          <w:u w:val="single"/>
          <w:lang w:eastAsia="bg-BG"/>
        </w:rPr>
        <w:t>Съвременният остър паркинсонов енцефалит</w:t>
      </w:r>
      <w:r w:rsidRPr="00AE47C6">
        <w:rPr>
          <w:rFonts w:ascii="Times New Roman" w:eastAsia="SimSun" w:hAnsi="Times New Roman"/>
          <w:b/>
          <w:bCs/>
          <w:kern w:val="24"/>
          <w:sz w:val="24"/>
          <w:szCs w:val="24"/>
          <w:lang w:eastAsia="bg-BG"/>
        </w:rPr>
        <w:t>,</w:t>
      </w:r>
      <w:r w:rsidRPr="00AE47C6">
        <w:rPr>
          <w:rFonts w:ascii="Times New Roman" w:eastAsia="SimSun" w:hAnsi="Times New Roman"/>
          <w:kern w:val="24"/>
          <w:sz w:val="24"/>
          <w:szCs w:val="24"/>
          <w:lang w:eastAsia="bg-BG"/>
        </w:rPr>
        <w:t xml:space="preserve"> </w:t>
      </w:r>
      <w:r w:rsidRPr="00AE47C6">
        <w:rPr>
          <w:rFonts w:ascii="Times New Roman" w:eastAsia="SimSun" w:hAnsi="Times New Roman"/>
          <w:sz w:val="24"/>
          <w:szCs w:val="24"/>
          <w:lang w:eastAsia="bg-BG"/>
        </w:rPr>
        <w:t>описан от С. Божинов и сътр. протича още в първите фебрилни дни с остър паркинсонов синдром (ОПС). Последният най-често има обратно развитие и по-рядко е свързан с остатъчни паркинсонови симптоми.</w:t>
      </w:r>
    </w:p>
    <w:p w14:paraId="71503B17"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Cs/>
          <w:kern w:val="24"/>
          <w:sz w:val="24"/>
          <w:szCs w:val="24"/>
        </w:rPr>
        <w:t xml:space="preserve">Патоморфологично се характеризира със </w:t>
      </w:r>
      <w:r w:rsidRPr="00AE47C6">
        <w:rPr>
          <w:rFonts w:ascii="Times New Roman" w:eastAsia="SimSun" w:hAnsi="Times New Roman"/>
          <w:kern w:val="24"/>
          <w:sz w:val="24"/>
          <w:szCs w:val="24"/>
        </w:rPr>
        <w:t>стволов полиоенцефалит с тежка възпалителна симетрична некроза в substantia nigra и единични глиомезенхимни възелчета в thalamus, hypothalamus, oliva bulbaris, nucleus dentatus. Характерно е пунктиформеното засягане на substantia nigra, на периакведукталните сиви ядра и множеството невронофаги.</w:t>
      </w:r>
    </w:p>
    <w:p w14:paraId="2DF7DBDD"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 xml:space="preserve">Клиничната картина </w:t>
      </w:r>
      <w:r w:rsidRPr="00AE47C6">
        <w:rPr>
          <w:rFonts w:ascii="Times New Roman" w:eastAsia="SimSun" w:hAnsi="Times New Roman"/>
          <w:kern w:val="24"/>
          <w:sz w:val="24"/>
          <w:szCs w:val="24"/>
        </w:rPr>
        <w:t>е с повишена температура, често дву- или тривълнова, безапетитие, главоболие, сънливост, леко изразен менингеален синдром. Температурата продължава 5-12 дни. Паркинсоновите симптоми възникват в първите 2-3 дни и бързо се задълбочават: паркинсонова мускулна ригидност, брадикинезия, хипомимия, втренчен поглед, редки мигателни движения, микрография и изчезване на нормалните синкинезии на ръцете при ходене. Мазната и потна кожа, слюноотделянето, кризите на зачервяване и побледняване на лицето са характерни симптоми при някои от болните. В еволюцията на заболяването се появяват малкомозъчни симптоми (атаксия, статичният тремор се засилва при интенция) и епизоди на страхово-хипохондричен синдром.</w:t>
      </w:r>
    </w:p>
    <w:p w14:paraId="18BA8687"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Диференциална диагноза</w:t>
      </w:r>
      <w:r w:rsidRPr="00AE47C6">
        <w:rPr>
          <w:rFonts w:ascii="Times New Roman" w:eastAsia="SimSun" w:hAnsi="Times New Roman"/>
          <w:iCs/>
          <w:kern w:val="24"/>
          <w:sz w:val="24"/>
          <w:szCs w:val="24"/>
        </w:rPr>
        <w:t xml:space="preserve">. </w:t>
      </w:r>
      <w:r w:rsidRPr="00AE47C6">
        <w:rPr>
          <w:rFonts w:ascii="Times New Roman" w:eastAsia="SimSun" w:hAnsi="Times New Roman"/>
          <w:kern w:val="24"/>
          <w:sz w:val="24"/>
          <w:szCs w:val="24"/>
        </w:rPr>
        <w:t xml:space="preserve">Клинико-анатомичната картина на съвременния остър паркинсонов енцефалит дава основание той да се отграничи от летаргичния енцефалит на von Economo, ARBO вирусните и други вирусни енцефалити. За разлика от летаргичния енцефалит паркинсоновият синдром при острия паркинсонов енцефалит има обратно развитие. </w:t>
      </w:r>
    </w:p>
    <w:p w14:paraId="46C7A955"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 xml:space="preserve">Лечението </w:t>
      </w:r>
      <w:r w:rsidRPr="00AE47C6">
        <w:rPr>
          <w:rFonts w:ascii="Times New Roman" w:eastAsia="SimSun" w:hAnsi="Times New Roman"/>
          <w:iCs/>
          <w:kern w:val="24"/>
          <w:sz w:val="24"/>
          <w:szCs w:val="24"/>
        </w:rPr>
        <w:t xml:space="preserve">е </w:t>
      </w:r>
      <w:r w:rsidRPr="00AE47C6">
        <w:rPr>
          <w:rFonts w:ascii="Times New Roman" w:eastAsia="SimSun" w:hAnsi="Times New Roman"/>
          <w:i/>
          <w:iCs/>
          <w:kern w:val="24"/>
          <w:sz w:val="24"/>
          <w:szCs w:val="24"/>
        </w:rPr>
        <w:t>с</w:t>
      </w:r>
      <w:r w:rsidRPr="00AE47C6">
        <w:rPr>
          <w:rFonts w:ascii="Times New Roman" w:eastAsia="SimSun" w:hAnsi="Times New Roman"/>
          <w:i/>
          <w:kern w:val="24"/>
          <w:sz w:val="24"/>
          <w:szCs w:val="24"/>
        </w:rPr>
        <w:t>имптоматично</w:t>
      </w:r>
      <w:r w:rsidRPr="00AE47C6">
        <w:rPr>
          <w:rFonts w:ascii="Times New Roman" w:eastAsia="SimSun" w:hAnsi="Times New Roman"/>
          <w:kern w:val="24"/>
          <w:sz w:val="24"/>
          <w:szCs w:val="24"/>
        </w:rPr>
        <w:t xml:space="preserve">, в острия стадий с прибавяне на </w:t>
      </w:r>
      <w:r w:rsidRPr="00AE47C6">
        <w:rPr>
          <w:rFonts w:ascii="Times New Roman" w:eastAsia="SimSun" w:hAnsi="Times New Roman"/>
          <w:i/>
          <w:kern w:val="24"/>
          <w:sz w:val="24"/>
          <w:szCs w:val="24"/>
        </w:rPr>
        <w:t>кортикостероиди, миорелаксанти и антипаркинсонови средств</w:t>
      </w:r>
      <w:r w:rsidRPr="00AE47C6">
        <w:rPr>
          <w:rFonts w:ascii="Times New Roman" w:eastAsia="SimSun" w:hAnsi="Times New Roman"/>
          <w:kern w:val="24"/>
          <w:sz w:val="24"/>
          <w:szCs w:val="24"/>
        </w:rPr>
        <w:t>а.</w:t>
      </w:r>
    </w:p>
    <w:p w14:paraId="74B7F5DF" w14:textId="77777777" w:rsidR="00BE0B19" w:rsidRPr="00AE47C6" w:rsidRDefault="00BE0B19" w:rsidP="00BE0B19">
      <w:pPr>
        <w:spacing w:after="0" w:line="360" w:lineRule="auto"/>
        <w:ind w:firstLine="709"/>
        <w:jc w:val="both"/>
        <w:rPr>
          <w:rFonts w:ascii="Times New Roman" w:eastAsia="SimSun" w:hAnsi="Times New Roman"/>
          <w:i/>
          <w:kern w:val="24"/>
          <w:sz w:val="24"/>
          <w:szCs w:val="24"/>
        </w:rPr>
      </w:pPr>
      <w:r w:rsidRPr="00AE47C6">
        <w:rPr>
          <w:rFonts w:ascii="Times New Roman" w:eastAsia="SimSun" w:hAnsi="Times New Roman"/>
          <w:i/>
          <w:iCs/>
          <w:kern w:val="24"/>
          <w:sz w:val="24"/>
          <w:szCs w:val="24"/>
        </w:rPr>
        <w:t xml:space="preserve">Прогнозата </w:t>
      </w:r>
      <w:r w:rsidRPr="00AE47C6">
        <w:rPr>
          <w:rFonts w:ascii="Times New Roman" w:eastAsia="SimSun" w:hAnsi="Times New Roman"/>
          <w:iCs/>
          <w:kern w:val="24"/>
          <w:sz w:val="24"/>
          <w:szCs w:val="24"/>
        </w:rPr>
        <w:t xml:space="preserve">е благоприятна при пациентите преживели острата фаза на заболяването. </w:t>
      </w:r>
      <w:r w:rsidRPr="00AE47C6">
        <w:rPr>
          <w:rFonts w:ascii="Times New Roman" w:eastAsia="SimSun" w:hAnsi="Times New Roman"/>
          <w:kern w:val="24"/>
          <w:sz w:val="24"/>
          <w:szCs w:val="24"/>
        </w:rPr>
        <w:t xml:space="preserve">Паркинсоновият синдром има обратно развитие до пълно оздравяване за 3-5 седмици. </w:t>
      </w:r>
    </w:p>
    <w:p w14:paraId="50605D9A"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4.2.2.5. Ентеровирусни полиоенцефаломиелити</w:t>
      </w:r>
    </w:p>
    <w:p w14:paraId="1BF3C4E0"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kern w:val="24"/>
          <w:sz w:val="24"/>
          <w:szCs w:val="24"/>
        </w:rPr>
        <w:t>Ентеровирусите са голяма група, съставена от 70 различни серотипа. В нея се включват polio-, coxsackie- A и В, echo- вирусите и други ентеровируси. Инфекцията се разпространява по орално-фекален и по-рядко по респираторен път. Епидемиите възникват през късното лято и есента и в повечето случаи водят до фарингеални и гастроинтестинални симптоми. Често предизвикват асимптомни менингити и по-рядко – енцефалити или енцефаломиелити.</w:t>
      </w:r>
    </w:p>
    <w:p w14:paraId="71D47660"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p>
    <w:p w14:paraId="7ECE3922"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Полиомиелит на Heine-Medin</w:t>
      </w:r>
    </w:p>
    <w:p w14:paraId="4872BBB9"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Етиологията</w:t>
      </w:r>
      <w:r w:rsidRPr="00AE47C6">
        <w:rPr>
          <w:rFonts w:ascii="Times New Roman" w:eastAsia="SimSun" w:hAnsi="Times New Roman"/>
          <w:kern w:val="24"/>
          <w:sz w:val="24"/>
          <w:szCs w:val="24"/>
        </w:rPr>
        <w:t xml:space="preserve"> е свързана с полиовируса от ентеровирусната РНК група (сем. Picorna вируси</w:t>
      </w:r>
      <w:r w:rsidRPr="00AE47C6">
        <w:rPr>
          <w:rFonts w:ascii="Times New Roman" w:eastAsia="SimSun" w:hAnsi="Times New Roman"/>
          <w:sz w:val="24"/>
          <w:szCs w:val="24"/>
        </w:rPr>
        <w:t>)</w:t>
      </w:r>
      <w:r w:rsidRPr="00AE47C6">
        <w:rPr>
          <w:rFonts w:ascii="Times New Roman" w:eastAsia="SimSun" w:hAnsi="Times New Roman"/>
          <w:kern w:val="24"/>
          <w:sz w:val="24"/>
          <w:szCs w:val="24"/>
        </w:rPr>
        <w:t xml:space="preserve">, които се размножават в цитоплазмата на клетката. Открити са три различни антигенни типа (I, II, III), като инфекцията с един от тях не води до имунитет към другите. </w:t>
      </w:r>
    </w:p>
    <w:p w14:paraId="7498711C"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Епидемиология.</w:t>
      </w:r>
      <w:r w:rsidRPr="00AE47C6">
        <w:rPr>
          <w:rFonts w:ascii="Times New Roman" w:eastAsia="SimSun" w:hAnsi="Times New Roman"/>
          <w:kern w:val="24"/>
          <w:sz w:val="24"/>
          <w:szCs w:val="24"/>
        </w:rPr>
        <w:t xml:space="preserve"> Заболяването има глобално разпространение, с тенденция за значително намаляване на заболеваемостта в резултат на агресивната имунизационна програма на СЗО. Възниква предимно през лятото и ранна есен. При епидемия 90% от пациентите са на възраст под 5 години. Повечето пациенти (95-99%) са без клинична изява (абортивна форма) или само с неспецифични фебрилни симптоми, фарингит или гастроентерит. Те са основният преносител на инфекцията.</w:t>
      </w:r>
    </w:p>
    <w:p w14:paraId="17383543"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Патогенеза.</w:t>
      </w:r>
      <w:r w:rsidRPr="00AE47C6">
        <w:rPr>
          <w:rFonts w:ascii="Times New Roman" w:eastAsia="SimSun" w:hAnsi="Times New Roman"/>
          <w:kern w:val="24"/>
          <w:sz w:val="24"/>
          <w:szCs w:val="24"/>
        </w:rPr>
        <w:t xml:space="preserve"> Хората са единствените гостоприемници, а главният път на инфекцията е фекално-оралния, чрез контаминирана вода и ръце. Инкубационният период е между 1 и 3 седмици. Орално попадналите вируси се размножават във фаринкса и в интестиналния тракт, разпространяват в кръвта и към шийните и мезентериалните лимфни възли. Вирусът е невротропен, предизвиква невронофагия на моторните неврони на предните рога на гръбначния мозък и мозъчния ствол, което обуславя характерната вяла мускулна парализа със спинално или булбарно разпределение. </w:t>
      </w:r>
    </w:p>
    <w:p w14:paraId="62600901"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 xml:space="preserve">Клиника. </w:t>
      </w:r>
      <w:r w:rsidRPr="00AE47C6">
        <w:rPr>
          <w:rFonts w:ascii="Times New Roman" w:eastAsia="SimSun" w:hAnsi="Times New Roman"/>
          <w:kern w:val="24"/>
          <w:sz w:val="24"/>
          <w:szCs w:val="24"/>
        </w:rPr>
        <w:t xml:space="preserve">Представя се в 4 различни клинични форми: </w:t>
      </w:r>
      <w:r w:rsidRPr="00AE47C6">
        <w:rPr>
          <w:rFonts w:ascii="Times New Roman" w:eastAsia="SimSun" w:hAnsi="Times New Roman"/>
          <w:i/>
          <w:kern w:val="24"/>
          <w:sz w:val="24"/>
          <w:szCs w:val="24"/>
        </w:rPr>
        <w:t>асимптомна инфекция, абортивна форма, непаралитичен полиомиелит и паралитична форма</w:t>
      </w:r>
      <w:r w:rsidRPr="00AE47C6">
        <w:rPr>
          <w:rFonts w:ascii="Times New Roman" w:eastAsia="SimSun" w:hAnsi="Times New Roman"/>
          <w:kern w:val="24"/>
          <w:sz w:val="24"/>
          <w:szCs w:val="24"/>
        </w:rPr>
        <w:t>.</w:t>
      </w:r>
    </w:p>
    <w:p w14:paraId="19465803"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kern w:val="24"/>
          <w:sz w:val="24"/>
          <w:szCs w:val="24"/>
        </w:rPr>
        <w:t>Продромалните симптоми са адинамия, дифузно главоболие, температура до 38-40°С, скованост и болки в мускулите и гърлото, анорексия, гадене и повръщане. Последват се след 3-4 дни от втора фаза на засилване на температурата, главоболието, мускулната скованост и болки (предимно в шията и гърба). Появяват се вратна стегнатост, симптомите на Kernig и Brudzinski и характерните ликворни промени за асептичен менингит. Заболяването може да приключи при някои пациенти само с тези продромални симптоми.</w:t>
      </w:r>
    </w:p>
    <w:p w14:paraId="3AAB2D1A"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kern w:val="24"/>
          <w:sz w:val="24"/>
          <w:szCs w:val="24"/>
        </w:rPr>
        <w:t xml:space="preserve">Паралитичните симптоми </w:t>
      </w:r>
      <w:r w:rsidRPr="00AE47C6">
        <w:rPr>
          <w:rFonts w:ascii="Times New Roman" w:eastAsia="SimSun" w:hAnsi="Times New Roman"/>
          <w:kern w:val="24"/>
          <w:sz w:val="24"/>
          <w:szCs w:val="24"/>
        </w:rPr>
        <w:t>се развиват по време на най-високата температура или при спадането с максималната изразеност между 48 ч. и 7 дни. Парезите обхващат различни мускулни групи, предимно проксимално и по-често на долните крайници с преходни фасцикулации в засегнатите мускули, тонусът спада, а сухожилните рефлекси отслабват и изчезват. Мускулната атрофия възниква до 3 седмици от началото на парализата, с максимум през 12 – 15 седмица. Булбарната парализа е по-честа при млади пациенти, като най-често увредени са краниални мускули, инервирани от nucl. Ambiguus или изолирана увреда на лицевия нерв. При засягане и на диафрагмалните и интеркостални мускули се налага спешно настаняване на пациента в интензивно отделение.</w:t>
      </w:r>
    </w:p>
    <w:p w14:paraId="53EE1942"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 xml:space="preserve">Изследването </w:t>
      </w:r>
      <w:r w:rsidRPr="00AE47C6">
        <w:rPr>
          <w:rFonts w:ascii="Times New Roman" w:eastAsia="SimSun" w:hAnsi="Times New Roman"/>
          <w:kern w:val="24"/>
          <w:sz w:val="24"/>
          <w:szCs w:val="24"/>
        </w:rPr>
        <w:t>на ликвор показва плеоцитоза от полиморфонуклеарни левкоцити, която след няколко дни се заменя от лимфоцити, лека протеинорахия. ЕМГ изследването показва засягане на преднороговите неврони. PCR в ликвора е положителна. Полиомиелитните вируси се изолират от фекални проби или смив от носоглътката на болния или носителя на вирус.</w:t>
      </w:r>
    </w:p>
    <w:p w14:paraId="704BD882"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Диагнозата</w:t>
      </w:r>
      <w:r w:rsidRPr="00AE47C6">
        <w:rPr>
          <w:rFonts w:ascii="Times New Roman" w:eastAsia="SimSun" w:hAnsi="Times New Roman"/>
          <w:kern w:val="24"/>
          <w:sz w:val="24"/>
          <w:szCs w:val="24"/>
        </w:rPr>
        <w:t xml:space="preserve"> е свързана с температурното начало, промени в ликвора, асиметрични вяли парези вследствие на преднорогови лезии, епидемиологични данни и вирусологичното изследване. </w:t>
      </w:r>
    </w:p>
    <w:p w14:paraId="28BDE3C5"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 xml:space="preserve">Диференциалната диагноза </w:t>
      </w:r>
      <w:r w:rsidRPr="00AE47C6">
        <w:rPr>
          <w:rFonts w:ascii="Times New Roman" w:eastAsia="SimSun" w:hAnsi="Times New Roman"/>
          <w:kern w:val="24"/>
          <w:sz w:val="24"/>
          <w:szCs w:val="24"/>
        </w:rPr>
        <w:t>при с</w:t>
      </w:r>
      <w:r w:rsidRPr="00AE47C6">
        <w:rPr>
          <w:rFonts w:ascii="Times New Roman" w:eastAsia="SimSun" w:hAnsi="Times New Roman"/>
          <w:iCs/>
          <w:kern w:val="24"/>
          <w:sz w:val="24"/>
          <w:szCs w:val="24"/>
        </w:rPr>
        <w:t xml:space="preserve">пинална форма на полиомиелита </w:t>
      </w:r>
      <w:r w:rsidRPr="00AE47C6">
        <w:rPr>
          <w:rFonts w:ascii="Times New Roman" w:eastAsia="SimSun" w:hAnsi="Times New Roman"/>
          <w:kern w:val="24"/>
          <w:sz w:val="24"/>
          <w:szCs w:val="24"/>
        </w:rPr>
        <w:t xml:space="preserve">е с полиневрит, трансверзален и дисеминиран миелит и енцефаломиелит. </w:t>
      </w:r>
      <w:r w:rsidRPr="00AE47C6">
        <w:rPr>
          <w:rFonts w:ascii="Times New Roman" w:eastAsia="SimSun" w:hAnsi="Times New Roman"/>
          <w:iCs/>
          <w:kern w:val="24"/>
          <w:sz w:val="24"/>
          <w:szCs w:val="24"/>
        </w:rPr>
        <w:t>Полиомиелит, протичащ като възходяща парали</w:t>
      </w:r>
      <w:r w:rsidRPr="00AE47C6">
        <w:rPr>
          <w:rFonts w:ascii="Times New Roman" w:eastAsia="SimSun" w:hAnsi="Times New Roman"/>
          <w:iCs/>
          <w:kern w:val="24"/>
          <w:sz w:val="24"/>
          <w:szCs w:val="24"/>
        </w:rPr>
        <w:softHyphen/>
        <w:t xml:space="preserve">за на Landry </w:t>
      </w:r>
      <w:r w:rsidRPr="00AE47C6">
        <w:rPr>
          <w:rFonts w:ascii="Times New Roman" w:eastAsia="SimSun" w:hAnsi="Times New Roman"/>
          <w:kern w:val="24"/>
          <w:sz w:val="24"/>
          <w:szCs w:val="24"/>
        </w:rPr>
        <w:t>трябва да се диференцира от полинев</w:t>
      </w:r>
      <w:r w:rsidRPr="00AE47C6">
        <w:rPr>
          <w:rFonts w:ascii="Times New Roman" w:eastAsia="SimSun" w:hAnsi="Times New Roman"/>
          <w:kern w:val="24"/>
          <w:sz w:val="24"/>
          <w:szCs w:val="24"/>
        </w:rPr>
        <w:softHyphen/>
        <w:t xml:space="preserve">рит и дисеминиран миелит. </w:t>
      </w:r>
      <w:r w:rsidRPr="00AE47C6">
        <w:rPr>
          <w:rFonts w:ascii="Times New Roman" w:eastAsia="SimSun" w:hAnsi="Times New Roman"/>
          <w:sz w:val="24"/>
          <w:szCs w:val="24"/>
        </w:rPr>
        <w:t>Булбо-понтинната форма на полиомиелита</w:t>
      </w:r>
      <w:r w:rsidRPr="00AE47C6">
        <w:rPr>
          <w:rFonts w:ascii="Times New Roman" w:eastAsia="SimSun" w:hAnsi="Times New Roman"/>
          <w:i/>
          <w:sz w:val="24"/>
          <w:szCs w:val="24"/>
        </w:rPr>
        <w:t xml:space="preserve"> – </w:t>
      </w:r>
      <w:r w:rsidRPr="00AE47C6">
        <w:rPr>
          <w:rFonts w:ascii="Times New Roman" w:eastAsia="SimSun" w:hAnsi="Times New Roman"/>
          <w:sz w:val="24"/>
          <w:szCs w:val="24"/>
        </w:rPr>
        <w:t xml:space="preserve">от острия булбарен полиневрит, острата форма на множествена склероза и параинфекциозния енцефалит. </w:t>
      </w:r>
      <w:r w:rsidRPr="00AE47C6">
        <w:rPr>
          <w:rFonts w:ascii="Times New Roman" w:eastAsia="SimSun" w:hAnsi="Times New Roman"/>
          <w:iCs/>
          <w:kern w:val="24"/>
          <w:sz w:val="24"/>
          <w:szCs w:val="24"/>
        </w:rPr>
        <w:t xml:space="preserve">Менингитна форма на полиомиелит </w:t>
      </w:r>
      <w:r w:rsidRPr="00AE47C6">
        <w:rPr>
          <w:rFonts w:ascii="Times New Roman" w:eastAsia="SimSun" w:hAnsi="Times New Roman"/>
          <w:kern w:val="24"/>
          <w:sz w:val="24"/>
          <w:szCs w:val="24"/>
        </w:rPr>
        <w:t>трябва да се диференцира преди всичко от вирусния менингит (Coxsackie и ЕСНО).</w:t>
      </w:r>
    </w:p>
    <w:p w14:paraId="17D7CFD1"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 xml:space="preserve">Лечение </w:t>
      </w:r>
      <w:r w:rsidRPr="00AE47C6">
        <w:rPr>
          <w:rFonts w:ascii="Times New Roman" w:eastAsia="SimSun" w:hAnsi="Times New Roman"/>
          <w:kern w:val="24"/>
          <w:sz w:val="24"/>
          <w:szCs w:val="24"/>
        </w:rPr>
        <w:t xml:space="preserve">няма. При булбарни форми се налага механична белодробна вентилация с трахеална тръба или трахеостомия. Полезна във възстановителния стадий е подходящата физиотерапия и рехабилитация. </w:t>
      </w:r>
      <w:r w:rsidRPr="00AE47C6">
        <w:rPr>
          <w:rFonts w:ascii="Times New Roman" w:eastAsia="SimSun" w:hAnsi="Times New Roman"/>
          <w:i/>
          <w:iCs/>
          <w:kern w:val="24"/>
          <w:sz w:val="24"/>
          <w:szCs w:val="24"/>
        </w:rPr>
        <w:t xml:space="preserve">Профилактика - </w:t>
      </w:r>
      <w:r w:rsidRPr="00AE47C6">
        <w:rPr>
          <w:rFonts w:ascii="Times New Roman" w:eastAsia="SimSun" w:hAnsi="Times New Roman"/>
          <w:iCs/>
          <w:kern w:val="24"/>
          <w:sz w:val="24"/>
          <w:szCs w:val="24"/>
        </w:rPr>
        <w:t>в</w:t>
      </w:r>
      <w:r w:rsidRPr="00AE47C6">
        <w:rPr>
          <w:rFonts w:ascii="Times New Roman" w:eastAsia="SimSun" w:hAnsi="Times New Roman"/>
          <w:kern w:val="24"/>
          <w:sz w:val="24"/>
          <w:szCs w:val="24"/>
        </w:rPr>
        <w:t>аксиниране с противополиомиелитна ваксини.</w:t>
      </w:r>
    </w:p>
    <w:p w14:paraId="4D4C30D5"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u w:val="single"/>
        </w:rPr>
        <w:t>Пост-полио синдрома</w:t>
      </w:r>
      <w:r w:rsidRPr="00AE47C6">
        <w:rPr>
          <w:rFonts w:ascii="Times New Roman" w:eastAsia="SimSun" w:hAnsi="Times New Roman"/>
          <w:kern w:val="24"/>
          <w:sz w:val="24"/>
          <w:szCs w:val="24"/>
        </w:rPr>
        <w:t xml:space="preserve"> се развива 20 до 40 години след инфекцията при пациенти, които са се възстановили напълно или частично от полиомиелита. Засяга 15-80% от пациентите. Характерно е, че лицата които са били по-засегнати и са имали по-добро възстановяване от основната инфекция развиват по-тежък пост-полио синдром.</w:t>
      </w:r>
    </w:p>
    <w:p w14:paraId="7EFA4626"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Етиологията</w:t>
      </w:r>
      <w:r w:rsidRPr="00AE47C6">
        <w:rPr>
          <w:rFonts w:ascii="Times New Roman" w:eastAsia="SimSun" w:hAnsi="Times New Roman"/>
          <w:kern w:val="24"/>
          <w:sz w:val="24"/>
          <w:szCs w:val="24"/>
        </w:rPr>
        <w:t xml:space="preserve"> на синдрома е неясна. Клинично се характеризира със слабост или бърза уморяемост, засягащи основно големите проксимални групи мускули, развитие на мускулна атрофия, фасцикулации, мускулни крампи, миалгия, невропатии, артрити, сколиози и непоносимост към студ. </w:t>
      </w:r>
    </w:p>
    <w:p w14:paraId="626219C9" w14:textId="77777777" w:rsidR="00BE0B19" w:rsidRPr="00AE47C6" w:rsidRDefault="00BE0B19" w:rsidP="00BE0B19">
      <w:pPr>
        <w:spacing w:after="0" w:line="360" w:lineRule="auto"/>
        <w:ind w:firstLine="709"/>
        <w:jc w:val="both"/>
        <w:rPr>
          <w:rFonts w:ascii="Times New Roman" w:eastAsia="SimSun" w:hAnsi="Times New Roman"/>
          <w:i/>
          <w:kern w:val="24"/>
          <w:sz w:val="24"/>
          <w:szCs w:val="24"/>
        </w:rPr>
      </w:pPr>
      <w:r w:rsidRPr="00AE47C6">
        <w:rPr>
          <w:rFonts w:ascii="Times New Roman" w:eastAsia="SimSun" w:hAnsi="Times New Roman"/>
          <w:b/>
          <w:kern w:val="24"/>
          <w:sz w:val="24"/>
          <w:szCs w:val="24"/>
        </w:rPr>
        <w:t xml:space="preserve">Диагнозата </w:t>
      </w:r>
      <w:r w:rsidRPr="00AE47C6">
        <w:rPr>
          <w:rFonts w:ascii="Times New Roman" w:eastAsia="SimSun" w:hAnsi="Times New Roman"/>
          <w:kern w:val="24"/>
          <w:sz w:val="24"/>
          <w:szCs w:val="24"/>
        </w:rPr>
        <w:t xml:space="preserve">се поставя на базата на клинични критерии. Трябва да има период на поне частично функционално възстановяване, последван от период на непроменено неврологично състояние с последващо развитие на прогресивна и персистираща мускулна слабост или патологична уморяемост, придружена или не от мускулна атрофия, обща слабост, мускулни и ставни болки. Симптомите трябва да персистират поне 1 година. </w:t>
      </w:r>
      <w:r w:rsidRPr="00AE47C6">
        <w:rPr>
          <w:rFonts w:ascii="Times New Roman" w:eastAsia="SimSun" w:hAnsi="Times New Roman"/>
          <w:b/>
          <w:kern w:val="24"/>
          <w:sz w:val="24"/>
          <w:szCs w:val="24"/>
        </w:rPr>
        <w:t xml:space="preserve">Лечението </w:t>
      </w:r>
      <w:r w:rsidRPr="00AE47C6">
        <w:rPr>
          <w:rFonts w:ascii="Times New Roman" w:eastAsia="SimSun" w:hAnsi="Times New Roman"/>
          <w:kern w:val="24"/>
          <w:sz w:val="24"/>
          <w:szCs w:val="24"/>
        </w:rPr>
        <w:t>на пост-полио синдрома се свежда до изграждане на баланс между режимите на мускулна активност и почивка, съчетано с физиотерапия за избягване на скованост или болка в мускулите и ставите</w:t>
      </w:r>
      <w:r w:rsidRPr="00AE47C6">
        <w:rPr>
          <w:rFonts w:ascii="Times New Roman" w:eastAsia="SimSun" w:hAnsi="Times New Roman"/>
          <w:i/>
          <w:kern w:val="24"/>
          <w:sz w:val="24"/>
          <w:szCs w:val="24"/>
        </w:rPr>
        <w:t xml:space="preserve">. </w:t>
      </w:r>
    </w:p>
    <w:p w14:paraId="68842921"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312AD385"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Полиомиелитоподобни ентеровирусни заболявания</w:t>
      </w:r>
    </w:p>
    <w:p w14:paraId="53016ACF"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b/>
          <w:bCs/>
          <w:sz w:val="24"/>
          <w:szCs w:val="24"/>
          <w:lang w:eastAsia="bg-BG"/>
        </w:rPr>
      </w:pPr>
    </w:p>
    <w:p w14:paraId="786B6AB3"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Етиология и епидемиология</w:t>
      </w:r>
      <w:r w:rsidRPr="00AE47C6">
        <w:rPr>
          <w:rFonts w:ascii="Times New Roman" w:eastAsia="SimSun" w:hAnsi="Times New Roman"/>
          <w:i/>
          <w:iCs/>
          <w:kern w:val="24"/>
          <w:sz w:val="24"/>
          <w:szCs w:val="24"/>
        </w:rPr>
        <w:t xml:space="preserve">. </w:t>
      </w:r>
      <w:r w:rsidRPr="00AE47C6">
        <w:rPr>
          <w:rFonts w:ascii="Times New Roman" w:eastAsia="SimSun" w:hAnsi="Times New Roman"/>
          <w:kern w:val="24"/>
          <w:sz w:val="24"/>
          <w:szCs w:val="24"/>
        </w:rPr>
        <w:t>Причиняват се ентеровируси – Coxsackie А и В и ECHO (чревни, цитопатогенни, човешки, сираци) с фекално-орален тип на разпространение. Епидемии от хеморагичен конюнктивит (причинен от ентеровирус 70) в малък процент от случаите се съчетават с мотоневронна парализа, наподобяваща полиомиелит. Наблюдават се предимно през лятото и есента. Прогресията на мускулната слабост може да настъпи години след острата паралитична фаза (пост-полио синдром).</w:t>
      </w:r>
    </w:p>
    <w:p w14:paraId="4BE95D9F" w14:textId="77777777" w:rsidR="00BE0B19" w:rsidRPr="00AE47C6" w:rsidRDefault="00BE0B19" w:rsidP="00BE0B19">
      <w:pPr>
        <w:spacing w:after="0" w:line="360" w:lineRule="auto"/>
        <w:jc w:val="both"/>
        <w:rPr>
          <w:rFonts w:ascii="Times New Roman" w:eastAsia="SimSun" w:hAnsi="Times New Roman"/>
          <w:iCs/>
          <w:kern w:val="24"/>
          <w:sz w:val="24"/>
          <w:szCs w:val="24"/>
        </w:rPr>
      </w:pPr>
      <w:r w:rsidRPr="00AE47C6">
        <w:rPr>
          <w:rFonts w:ascii="Times New Roman" w:eastAsia="SimSun" w:hAnsi="Times New Roman"/>
          <w:b/>
          <w:iCs/>
          <w:kern w:val="24"/>
          <w:sz w:val="24"/>
          <w:szCs w:val="24"/>
        </w:rPr>
        <w:t>Клинична картина</w:t>
      </w:r>
      <w:r w:rsidRPr="00AE47C6">
        <w:rPr>
          <w:rFonts w:ascii="Times New Roman" w:eastAsia="SimSun" w:hAnsi="Times New Roman"/>
          <w:i/>
          <w:iCs/>
          <w:kern w:val="24"/>
          <w:sz w:val="24"/>
          <w:szCs w:val="24"/>
        </w:rPr>
        <w:t>.</w:t>
      </w:r>
      <w:r w:rsidRPr="00AE47C6">
        <w:rPr>
          <w:rFonts w:ascii="Times New Roman" w:eastAsia="SimSun" w:hAnsi="Times New Roman"/>
          <w:iCs/>
          <w:kern w:val="24"/>
          <w:sz w:val="24"/>
          <w:szCs w:val="24"/>
        </w:rPr>
        <w:t xml:space="preserve"> Над 50% от случаите на инфекция остават асимптомни.</w:t>
      </w:r>
    </w:p>
    <w:p w14:paraId="52B97BB2"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Cs/>
          <w:kern w:val="24"/>
          <w:sz w:val="24"/>
          <w:szCs w:val="24"/>
          <w:u w:val="single"/>
        </w:rPr>
        <w:t>Ентеровирус 70</w:t>
      </w:r>
      <w:r w:rsidRPr="00AE47C6">
        <w:rPr>
          <w:rFonts w:ascii="Times New Roman" w:eastAsia="SimSun" w:hAnsi="Times New Roman"/>
          <w:iCs/>
          <w:kern w:val="24"/>
          <w:sz w:val="24"/>
          <w:szCs w:val="24"/>
        </w:rPr>
        <w:t xml:space="preserve">, </w:t>
      </w:r>
      <w:r w:rsidRPr="00AE47C6">
        <w:rPr>
          <w:rFonts w:ascii="Times New Roman" w:eastAsia="SimSun" w:hAnsi="Times New Roman"/>
          <w:kern w:val="24"/>
          <w:sz w:val="24"/>
          <w:szCs w:val="24"/>
        </w:rPr>
        <w:t xml:space="preserve">който причинява остър хеморагичен конюнктивит или асептичен менингит, се последва рядко от енцефалит или енцефаломиелит и в 1 на 10 000 случая от полиомиелит. Инкубационният период е 2 до 10 дни. Заболяването започва с температура и асептичен менингит, последвани от болки в гърба, обширни вяли асиметрични полиомиелитоподобни парализи (включително и на орофарингеалните мускули), придружени от радикулерни болки. Парализите са трайни при повече от половината болни. Наблюдавани са лезии на изолирани краниални нерви (предимно на лицевия) и на пирамидните пътища, световъртеж, тазоворезервоарни нарушения и сетивни промени. </w:t>
      </w:r>
    </w:p>
    <w:p w14:paraId="30CB3AD3"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Cs/>
          <w:kern w:val="24"/>
          <w:sz w:val="24"/>
          <w:szCs w:val="24"/>
          <w:u w:val="single"/>
        </w:rPr>
        <w:t>Ентеровирус 71</w:t>
      </w:r>
      <w:r w:rsidRPr="00AE47C6">
        <w:rPr>
          <w:rFonts w:ascii="Times New Roman" w:eastAsia="SimSun" w:hAnsi="Times New Roman"/>
          <w:iCs/>
          <w:kern w:val="24"/>
          <w:sz w:val="24"/>
          <w:szCs w:val="24"/>
        </w:rPr>
        <w:t xml:space="preserve">, </w:t>
      </w:r>
      <w:r w:rsidRPr="00AE47C6">
        <w:rPr>
          <w:rFonts w:ascii="Times New Roman" w:eastAsia="SimSun" w:hAnsi="Times New Roman"/>
          <w:kern w:val="24"/>
          <w:sz w:val="24"/>
          <w:szCs w:val="24"/>
        </w:rPr>
        <w:t>който причинява респираторни инфекции и гастроентерит, може да предизвика неврологични симптоми при 25% от пациентите, по-често при деца. Протичат със симптоми на асептичен менингит, малкомозъчна атаксия и различни форми на полиомиелит (вяли монопарези или засягане на булбарни мускули). Има случаи на по-тежко протичане с добавяне на миоклонии, тремор, кома и респираторни нарушения. В тези случаи смъртният изход достига до 11% от пациентите. При МРТ се установяват Т</w:t>
      </w:r>
      <w:r w:rsidRPr="00AE47C6">
        <w:rPr>
          <w:rFonts w:ascii="Times New Roman" w:eastAsia="SimSun" w:hAnsi="Times New Roman"/>
          <w:kern w:val="24"/>
          <w:sz w:val="24"/>
          <w:szCs w:val="24"/>
          <w:vertAlign w:val="subscript"/>
        </w:rPr>
        <w:t>2</w:t>
      </w:r>
      <w:r w:rsidRPr="00AE47C6">
        <w:rPr>
          <w:rFonts w:ascii="Times New Roman" w:eastAsia="SimSun" w:hAnsi="Times New Roman"/>
          <w:kern w:val="24"/>
          <w:sz w:val="24"/>
          <w:szCs w:val="24"/>
        </w:rPr>
        <w:t xml:space="preserve"> високо интензни лезии в ствола.</w:t>
      </w:r>
    </w:p>
    <w:p w14:paraId="7F9C7E59"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kern w:val="24"/>
          <w:sz w:val="24"/>
          <w:szCs w:val="24"/>
        </w:rPr>
        <w:t xml:space="preserve">При </w:t>
      </w:r>
      <w:r w:rsidRPr="00AE47C6">
        <w:rPr>
          <w:rFonts w:ascii="Times New Roman" w:eastAsia="SimSun" w:hAnsi="Times New Roman"/>
          <w:iCs/>
          <w:kern w:val="24"/>
          <w:sz w:val="24"/>
          <w:szCs w:val="24"/>
          <w:u w:val="single"/>
        </w:rPr>
        <w:t>Coxsackie вирусите</w:t>
      </w:r>
      <w:r w:rsidRPr="00AE47C6">
        <w:rPr>
          <w:rFonts w:ascii="Times New Roman" w:eastAsia="SimSun" w:hAnsi="Times New Roman"/>
          <w:iCs/>
          <w:kern w:val="24"/>
          <w:sz w:val="24"/>
          <w:szCs w:val="24"/>
        </w:rPr>
        <w:t xml:space="preserve"> се наблюдават </w:t>
      </w:r>
      <w:r w:rsidRPr="00AE47C6">
        <w:rPr>
          <w:rFonts w:ascii="Times New Roman" w:eastAsia="SimSun" w:hAnsi="Times New Roman"/>
          <w:kern w:val="24"/>
          <w:sz w:val="24"/>
          <w:szCs w:val="24"/>
        </w:rPr>
        <w:t>херпангина, плевродиния, епидемична миалгия, хеморагичен миокардит. Заболяването започва остро или подостро с неразположение, температура, главоболие, гадене и коремна болка. Възможно е развитието и на менингитни и менингоенцефалитни симптоми и конюнктивит след 24-48 часа. Възникват парези и сетивни нарушения.</w:t>
      </w:r>
    </w:p>
    <w:p w14:paraId="31A82A66"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kern w:val="24"/>
          <w:sz w:val="24"/>
          <w:szCs w:val="24"/>
        </w:rPr>
        <w:t xml:space="preserve">Клиниката при инфекциите с </w:t>
      </w:r>
      <w:r w:rsidRPr="00AE47C6">
        <w:rPr>
          <w:rFonts w:ascii="Times New Roman" w:eastAsia="SimSun" w:hAnsi="Times New Roman"/>
          <w:iCs/>
          <w:kern w:val="24"/>
          <w:sz w:val="24"/>
          <w:szCs w:val="24"/>
          <w:u w:val="single"/>
        </w:rPr>
        <w:t>ECHO вируси</w:t>
      </w:r>
      <w:r w:rsidRPr="00AE47C6">
        <w:rPr>
          <w:rFonts w:ascii="Times New Roman" w:eastAsia="SimSun" w:hAnsi="Times New Roman"/>
          <w:iCs/>
          <w:kern w:val="24"/>
          <w:sz w:val="24"/>
          <w:szCs w:val="24"/>
        </w:rPr>
        <w:t xml:space="preserve"> (особено 7, 9, 11 и 30 серотипове) </w:t>
      </w:r>
      <w:r w:rsidRPr="00AE47C6">
        <w:rPr>
          <w:rFonts w:ascii="Times New Roman" w:eastAsia="SimSun" w:hAnsi="Times New Roman"/>
          <w:kern w:val="24"/>
          <w:sz w:val="24"/>
          <w:szCs w:val="24"/>
        </w:rPr>
        <w:t>е сходна с тази на другите ентеровируси. Главните оплаквания са температура, хрема, фарингит, повръщане, диария и рубеолоподобен обрив. Прибавянето на главоболие, вратна стегнатост, летаргия и раздразнителност показват включване на нервната система в инфекциозния процес. При деца може да настъпи остро атаксия. В някои случаи се развива пареза на мускулите инервирани от n. oculomotorius (без засягане на зеничните реакции) и на други краниални нерви.</w:t>
      </w:r>
    </w:p>
    <w:p w14:paraId="1B6F4D85"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 xml:space="preserve">Изследването </w:t>
      </w:r>
      <w:r w:rsidRPr="00AE47C6">
        <w:rPr>
          <w:rFonts w:ascii="Times New Roman" w:eastAsia="SimSun" w:hAnsi="Times New Roman"/>
          <w:kern w:val="24"/>
          <w:sz w:val="24"/>
          <w:szCs w:val="24"/>
        </w:rPr>
        <w:t>на ликвор показва лека плеоцитоза и протеинорахия. PCR e положителна.</w:t>
      </w:r>
    </w:p>
    <w:p w14:paraId="17FD9F37"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 xml:space="preserve">Диференциалната диагноза </w:t>
      </w:r>
      <w:r w:rsidRPr="00AE47C6">
        <w:rPr>
          <w:rFonts w:ascii="Times New Roman" w:eastAsia="SimSun" w:hAnsi="Times New Roman"/>
          <w:kern w:val="24"/>
          <w:sz w:val="24"/>
          <w:szCs w:val="24"/>
        </w:rPr>
        <w:t xml:space="preserve">се прави с туберкулозен менингит, лептоспироза, Лаймска болест, Listeria monocytogenes, микоплазма, рикетсии, токсоплазмоза и менингити с друга етиология. </w:t>
      </w:r>
    </w:p>
    <w:p w14:paraId="77D1C7C9"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kern w:val="24"/>
          <w:sz w:val="24"/>
          <w:szCs w:val="24"/>
        </w:rPr>
        <w:t>Прогнозата</w:t>
      </w:r>
      <w:r w:rsidRPr="00AE47C6">
        <w:rPr>
          <w:rFonts w:ascii="Times New Roman" w:eastAsia="SimSun" w:hAnsi="Times New Roman"/>
          <w:kern w:val="24"/>
          <w:sz w:val="24"/>
          <w:szCs w:val="24"/>
        </w:rPr>
        <w:t xml:space="preserve"> е добра. При всички ентеровируси заболяването има доброкачествен ход за 1 - 2 седмици без остатъчни прояви. Нерядко протичането е тежко дори с фатален изход. При пациенти с нарушен имунитет се наблюдава хронична, неремитираща форма на ентеровирусен менингоенцефалит.</w:t>
      </w:r>
    </w:p>
    <w:p w14:paraId="45EA5CCF" w14:textId="77777777" w:rsidR="00BE0B19" w:rsidRPr="00AE47C6" w:rsidRDefault="00BE0B19" w:rsidP="00BE0B19">
      <w:pPr>
        <w:keepNext/>
        <w:spacing w:before="240" w:after="240" w:line="240" w:lineRule="auto"/>
        <w:outlineLvl w:val="3"/>
        <w:rPr>
          <w:rFonts w:ascii="Times New Roman" w:eastAsia="SimSun" w:hAnsi="Times New Roman"/>
          <w:b/>
          <w:bCs/>
          <w:kern w:val="24"/>
          <w:sz w:val="24"/>
          <w:szCs w:val="28"/>
        </w:rPr>
      </w:pPr>
      <w:r w:rsidRPr="00AE47C6">
        <w:rPr>
          <w:rFonts w:ascii="Times New Roman" w:eastAsia="SimSun" w:hAnsi="Times New Roman"/>
          <w:b/>
          <w:bCs/>
          <w:sz w:val="24"/>
          <w:szCs w:val="28"/>
        </w:rPr>
        <w:t xml:space="preserve">4.2.2.6. </w:t>
      </w:r>
      <w:r w:rsidRPr="00AE47C6">
        <w:rPr>
          <w:rFonts w:ascii="Times New Roman" w:eastAsia="SimSun" w:hAnsi="Times New Roman"/>
          <w:b/>
          <w:bCs/>
          <w:kern w:val="24"/>
          <w:sz w:val="24"/>
          <w:szCs w:val="28"/>
        </w:rPr>
        <w:t>Бяс</w:t>
      </w:r>
    </w:p>
    <w:p w14:paraId="4AF75587"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 xml:space="preserve">Етиология. </w:t>
      </w:r>
      <w:r w:rsidRPr="00AE47C6">
        <w:rPr>
          <w:rFonts w:ascii="Times New Roman" w:eastAsia="SimSun" w:hAnsi="Times New Roman"/>
          <w:kern w:val="24"/>
          <w:sz w:val="24"/>
          <w:szCs w:val="24"/>
        </w:rPr>
        <w:t xml:space="preserve">Вирусът на бяса е от групата Rhabdo вируси. Внася се от слюнката при ухапване от болни домашни или диви животни – кучета, котки, лисици, миещи мечки, скунксове и прилепи. Честотата на заразяване нараства при големи рани от ухапване и в близост до главата. Инкубационният период е от 20 до 60 дни. Той е по-къс при множествени ухапвания близо до главата. За да достигне до ЦНС, вирусът се разпространява по периферните нерви до спиналните ганглии където се размножава и в последствие инвазира гръбначния и главния мозък. По еферентните нерви достига до субмаксиларните слюнчени жлези, където достига значителни концентрации. </w:t>
      </w:r>
    </w:p>
    <w:p w14:paraId="0D98FE34"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Клинична картина</w:t>
      </w:r>
      <w:r w:rsidRPr="00AE47C6">
        <w:rPr>
          <w:rFonts w:ascii="Times New Roman" w:eastAsia="SimSun" w:hAnsi="Times New Roman"/>
          <w:i/>
          <w:iCs/>
          <w:kern w:val="24"/>
          <w:sz w:val="24"/>
          <w:szCs w:val="24"/>
        </w:rPr>
        <w:t xml:space="preserve">. </w:t>
      </w:r>
      <w:r w:rsidRPr="00AE47C6">
        <w:rPr>
          <w:rFonts w:ascii="Times New Roman" w:eastAsia="SimSun" w:hAnsi="Times New Roman"/>
          <w:kern w:val="24"/>
          <w:sz w:val="24"/>
          <w:szCs w:val="24"/>
        </w:rPr>
        <w:t>Характерно е изтръпването или безчувствеността в мястото на ухапването, дори след заздравяване на раната. Продромалният период се изразява с повишена температура, анорексия, неразположение и главоболие. След 2-4 дни се развиват неврологичните симптоми, които се изразяват в дизартрия, безпокойство и психомоторна възбуда, последвани от дисфагия с изтичане на слюнка от устата, хидрофобия - спазми на мускулите на гърлото при пиене на вода (по-рядко само при нейния вид), диплопия, безчувственост и спазми на лицевата мускулатура. Тези симптоми се дължат на засягане на тегментните медуларни ядра. Те се последват от генерализирани епилептични припадъци, обърканост и състояние на крайна възбуда, психоза, остра асцендираща парализа на фарингеалната и дихателната мускулатура и кома до смъртта, която настъпва след 4 до 10 дни.</w:t>
      </w:r>
    </w:p>
    <w:p w14:paraId="415CC26B"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kern w:val="24"/>
          <w:sz w:val="24"/>
          <w:szCs w:val="24"/>
        </w:rPr>
        <w:t>Рядката паралитична форма се дължи на засягане на гръбначния мозък.</w:t>
      </w:r>
    </w:p>
    <w:p w14:paraId="1E9B5F2F" w14:textId="77777777" w:rsidR="00BE0B19" w:rsidRPr="00AE47C6" w:rsidRDefault="00BE0B19" w:rsidP="00BE0B19">
      <w:pPr>
        <w:spacing w:after="0" w:line="360" w:lineRule="auto"/>
        <w:ind w:firstLine="709"/>
        <w:jc w:val="both"/>
        <w:rPr>
          <w:rFonts w:ascii="Times New Roman" w:eastAsia="SimSun" w:hAnsi="Times New Roman"/>
          <w:iCs/>
          <w:kern w:val="24"/>
          <w:sz w:val="24"/>
          <w:szCs w:val="24"/>
        </w:rPr>
      </w:pPr>
      <w:r w:rsidRPr="00AE47C6">
        <w:rPr>
          <w:rFonts w:ascii="Times New Roman" w:eastAsia="SimSun" w:hAnsi="Times New Roman"/>
          <w:b/>
          <w:kern w:val="24"/>
          <w:sz w:val="24"/>
          <w:szCs w:val="24"/>
        </w:rPr>
        <w:t>Диагноза:</w:t>
      </w:r>
      <w:r w:rsidRPr="00AE47C6">
        <w:rPr>
          <w:rFonts w:ascii="Times New Roman" w:eastAsia="SimSun" w:hAnsi="Times New Roman"/>
          <w:kern w:val="24"/>
          <w:sz w:val="24"/>
          <w:szCs w:val="24"/>
        </w:rPr>
        <w:t xml:space="preserve"> Най-сигурна е имунохистохимичната или с флуоресцентни антитела нефиксирана проба от мозъчна биопсия на евтаназираното болно животно. В специализирани лаборатории може да се докаже и с култивация на вируса от ликвор, слюнка или от мозъчна биопсия. Наличието на антитела в ликвора също могат да поставят диагнозата. При МРТ се установяват Т</w:t>
      </w:r>
      <w:r w:rsidRPr="00AE47C6">
        <w:rPr>
          <w:rFonts w:ascii="Times New Roman" w:eastAsia="SimSun" w:hAnsi="Times New Roman"/>
          <w:kern w:val="24"/>
          <w:sz w:val="24"/>
          <w:szCs w:val="24"/>
          <w:vertAlign w:val="subscript"/>
        </w:rPr>
        <w:t>2</w:t>
      </w:r>
      <w:r w:rsidRPr="00AE47C6">
        <w:rPr>
          <w:rFonts w:ascii="Times New Roman" w:eastAsia="SimSun" w:hAnsi="Times New Roman"/>
          <w:kern w:val="24"/>
          <w:sz w:val="24"/>
          <w:szCs w:val="24"/>
        </w:rPr>
        <w:t xml:space="preserve"> лезии в ствола, хипокампа и хипоталамуса.</w:t>
      </w:r>
    </w:p>
    <w:p w14:paraId="499F5F85"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 xml:space="preserve">Лечение. </w:t>
      </w:r>
      <w:r w:rsidRPr="00AE47C6">
        <w:rPr>
          <w:rFonts w:ascii="Times New Roman" w:eastAsia="SimSun" w:hAnsi="Times New Roman"/>
          <w:kern w:val="24"/>
          <w:sz w:val="24"/>
          <w:szCs w:val="24"/>
        </w:rPr>
        <w:t xml:space="preserve">При нарушение на кожата е необходима и профилактика на тетануса. </w:t>
      </w:r>
    </w:p>
    <w:p w14:paraId="02205C2B"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kern w:val="24"/>
          <w:sz w:val="24"/>
          <w:szCs w:val="24"/>
        </w:rPr>
        <w:t xml:space="preserve">Ако животното е болно или е избягало и не може да се изследва, се започва профилактика. Човешкият противобесен имуноглобулин </w:t>
      </w:r>
      <w:r w:rsidRPr="00AE47C6">
        <w:rPr>
          <w:rFonts w:ascii="Times New Roman" w:eastAsia="SimSun" w:hAnsi="Times New Roman"/>
          <w:i/>
          <w:kern w:val="24"/>
          <w:sz w:val="24"/>
          <w:szCs w:val="24"/>
        </w:rPr>
        <w:t>Rabies immunoglobulin (Hyperab, Imogam BayRab, RabAvert) се назначава в доза от 20 IU/kg (1/2</w:t>
      </w:r>
      <w:r w:rsidRPr="00AE47C6">
        <w:rPr>
          <w:rFonts w:ascii="Times New Roman" w:eastAsia="SimSun" w:hAnsi="Times New Roman"/>
          <w:kern w:val="24"/>
          <w:sz w:val="24"/>
          <w:szCs w:val="24"/>
        </w:rPr>
        <w:t xml:space="preserve"> се инфилтрира около раната и другата ½ - интрамускулно). Тази пасивна имунизация за 10-20 дни дава време за провеждане на </w:t>
      </w:r>
      <w:r w:rsidRPr="00AE47C6">
        <w:rPr>
          <w:rFonts w:ascii="Times New Roman" w:eastAsia="SimSun" w:hAnsi="Times New Roman"/>
          <w:i/>
          <w:kern w:val="24"/>
          <w:sz w:val="24"/>
          <w:szCs w:val="24"/>
        </w:rPr>
        <w:t>активна имунизация</w:t>
      </w:r>
      <w:bookmarkStart w:id="90" w:name="section~treatment"/>
      <w:bookmarkEnd w:id="90"/>
      <w:r w:rsidRPr="00AE47C6">
        <w:rPr>
          <w:rFonts w:ascii="Times New Roman" w:eastAsia="SimSun" w:hAnsi="Times New Roman"/>
          <w:i/>
          <w:kern w:val="24"/>
          <w:sz w:val="24"/>
          <w:szCs w:val="24"/>
        </w:rPr>
        <w:t xml:space="preserve"> с HDCV (човешка диплоидна клетъчна ваксина) 1 ml i.m. в деня на ухапването и на 3, 7, 14, и 28 де</w:t>
      </w:r>
      <w:r w:rsidRPr="00AE47C6">
        <w:rPr>
          <w:rFonts w:ascii="Times New Roman" w:eastAsia="SimSun" w:hAnsi="Times New Roman"/>
          <w:kern w:val="24"/>
          <w:sz w:val="24"/>
          <w:szCs w:val="24"/>
        </w:rPr>
        <w:t>н. Ваксината повишава образуването на антитела към чуждия протеин.</w:t>
      </w:r>
    </w:p>
    <w:p w14:paraId="2E7C91D9"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p>
    <w:p w14:paraId="7BF3FC76" w14:textId="77777777" w:rsidR="00BE0B19" w:rsidRPr="00AE47C6" w:rsidRDefault="00BE0B19" w:rsidP="00BE0B19">
      <w:pPr>
        <w:spacing w:after="0" w:line="360" w:lineRule="auto"/>
        <w:ind w:firstLine="709"/>
        <w:jc w:val="both"/>
        <w:rPr>
          <w:rFonts w:ascii="Times New Roman" w:eastAsia="SimSun" w:hAnsi="Times New Roman"/>
          <w:b/>
          <w:kern w:val="24"/>
          <w:sz w:val="24"/>
          <w:szCs w:val="24"/>
        </w:rPr>
      </w:pPr>
      <w:r w:rsidRPr="00AE47C6">
        <w:rPr>
          <w:rFonts w:ascii="Times New Roman" w:eastAsia="SimSun" w:hAnsi="Times New Roman"/>
          <w:b/>
          <w:sz w:val="24"/>
          <w:szCs w:val="24"/>
        </w:rPr>
        <w:t>4.2.2.7.</w:t>
      </w:r>
      <w:r w:rsidRPr="00AE47C6">
        <w:rPr>
          <w:rFonts w:ascii="Times New Roman" w:eastAsia="SimSun" w:hAnsi="Times New Roman"/>
          <w:b/>
          <w:kern w:val="24"/>
          <w:sz w:val="24"/>
          <w:szCs w:val="24"/>
        </w:rPr>
        <w:t xml:space="preserve"> Демиелинизиращи вирусни енцефаломиелити</w:t>
      </w:r>
    </w:p>
    <w:p w14:paraId="5A292869" w14:textId="77777777" w:rsidR="00BE0B19" w:rsidRPr="00AE47C6" w:rsidRDefault="00BE0B19" w:rsidP="00BE0B19">
      <w:pPr>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kern w:val="24"/>
          <w:sz w:val="24"/>
          <w:szCs w:val="24"/>
        </w:rPr>
        <w:t xml:space="preserve">Острият дисеминиран енцефаломиелит (ОДЕМ) </w:t>
      </w:r>
      <w:r w:rsidRPr="00AE47C6">
        <w:rPr>
          <w:rFonts w:ascii="Times New Roman" w:eastAsia="SimSun" w:hAnsi="Times New Roman"/>
          <w:kern w:val="24"/>
          <w:sz w:val="24"/>
          <w:szCs w:val="24"/>
        </w:rPr>
        <w:t>е и</w:t>
      </w:r>
      <w:r w:rsidRPr="00AE47C6">
        <w:rPr>
          <w:rFonts w:ascii="Times New Roman" w:eastAsia="SimSun" w:hAnsi="Times New Roman"/>
          <w:bCs/>
          <w:sz w:val="24"/>
          <w:szCs w:val="24"/>
        </w:rPr>
        <w:t xml:space="preserve">муномедиирано демиелинизиращо заболяване на ЦНС, главно в ранната детска възраст с монофазен или полифазен ход. </w:t>
      </w:r>
      <w:r w:rsidRPr="00AE47C6">
        <w:rPr>
          <w:rFonts w:ascii="Times New Roman" w:eastAsiaTheme="minorHAnsi" w:hAnsi="Times New Roman"/>
          <w:sz w:val="24"/>
          <w:szCs w:val="24"/>
        </w:rPr>
        <w:t xml:space="preserve">Заболяемостта е 0,3–0,6 на 100 000/ годишно. </w:t>
      </w:r>
      <w:r w:rsidRPr="00AE47C6">
        <w:rPr>
          <w:rFonts w:ascii="Times New Roman" w:eastAsia="SimSun" w:hAnsi="Times New Roman"/>
          <w:bCs/>
          <w:sz w:val="24"/>
          <w:szCs w:val="24"/>
        </w:rPr>
        <w:t>Често протича постинфекциозно, но етиологична зависимост не е установена. ОДЕМ и множествената склероза (МС) са различни заболявания, с различно начало, но e възможен преход от ОДЕМ към МС при около 18% от децата.</w:t>
      </w:r>
    </w:p>
    <w:p w14:paraId="7800338F"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Клинично</w:t>
      </w:r>
      <w:r w:rsidRPr="00AE47C6">
        <w:rPr>
          <w:rFonts w:ascii="Times New Roman" w:eastAsia="SimSun" w:hAnsi="Times New Roman"/>
          <w:bCs/>
          <w:sz w:val="24"/>
          <w:szCs w:val="24"/>
        </w:rPr>
        <w:t xml:space="preserve"> се характеризира с остро развил се многоогнищен неврологичен дефицит и енцефалопатия, която не може да се обясни с фебрилитета, с типични обратими промени в МРТ на главния мозък - недобре отграничени големи (над 1-2 cm) хиперинтензни в Т</w:t>
      </w:r>
      <w:r w:rsidRPr="00AE47C6">
        <w:rPr>
          <w:rFonts w:ascii="Times New Roman" w:eastAsia="SimSun" w:hAnsi="Times New Roman"/>
          <w:bCs/>
          <w:sz w:val="24"/>
          <w:szCs w:val="24"/>
          <w:vertAlign w:val="subscript"/>
        </w:rPr>
        <w:t>2</w:t>
      </w:r>
      <w:r w:rsidRPr="00AE47C6">
        <w:rPr>
          <w:rFonts w:ascii="Times New Roman" w:eastAsia="SimSun" w:hAnsi="Times New Roman"/>
          <w:bCs/>
          <w:sz w:val="24"/>
          <w:szCs w:val="24"/>
        </w:rPr>
        <w:t xml:space="preserve"> лезии в бялото вещество на главния мозък, често и в гръбначния мозък. Възможни са и лезии в базалните ганглии, таламуса и в ствола. Контрастирането на лезиите тип „отворен пръстен“ е характерна находка. Липсата на контрастиране на лезиите не изключва диагнозата. При DWI се установява рестрикция на дифузията на водните молекули по периферията на лезиите. Мозъчната МРТ е абнормна в острата фаза (3 месеца). Няма нови клинични и МРТ лезии за 3 месеца или повече след началото. (таблица.4.4.)</w:t>
      </w:r>
    </w:p>
    <w:p w14:paraId="3AC6F8F9" w14:textId="77777777" w:rsidR="00BE0B19" w:rsidRPr="00AE47C6" w:rsidRDefault="00BE0B19" w:rsidP="00BE0B19">
      <w:pPr>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Cs/>
          <w:i/>
          <w:sz w:val="24"/>
          <w:szCs w:val="24"/>
        </w:rPr>
        <w:t xml:space="preserve">Ликворът </w:t>
      </w:r>
      <w:r w:rsidRPr="00AE47C6">
        <w:rPr>
          <w:rFonts w:ascii="Times New Roman" w:eastAsia="SimSun" w:hAnsi="Times New Roman"/>
          <w:bCs/>
          <w:sz w:val="24"/>
          <w:szCs w:val="24"/>
        </w:rPr>
        <w:t xml:space="preserve">е с лека плеоцитоза и леко увеличен белтък, но без данни за олигоклоналност. При </w:t>
      </w:r>
      <w:r w:rsidRPr="00AE47C6">
        <w:rPr>
          <w:rFonts w:ascii="Times New Roman" w:eastAsia="SimSun" w:hAnsi="Times New Roman"/>
          <w:bCs/>
          <w:i/>
          <w:sz w:val="24"/>
          <w:szCs w:val="24"/>
        </w:rPr>
        <w:t xml:space="preserve">мултифазен ОДЕМ </w:t>
      </w:r>
      <w:r w:rsidRPr="00AE47C6">
        <w:rPr>
          <w:rFonts w:ascii="Times New Roman" w:eastAsia="SimSun" w:hAnsi="Times New Roman"/>
          <w:bCs/>
          <w:sz w:val="24"/>
          <w:szCs w:val="24"/>
        </w:rPr>
        <w:t>следва нов епизод над 3 месеца след началото на ADEM с изява на различна от първия епизод огнищна неврологична симптоматика и енцефалопатия, а в МРТ се установяват нови лезии (таблици 4.4. и 4.5).</w:t>
      </w:r>
    </w:p>
    <w:p w14:paraId="7E4A4464" w14:textId="77777777" w:rsidR="00BE0B19" w:rsidRPr="00AE47C6" w:rsidRDefault="00BE0B19" w:rsidP="00BE0B19">
      <w:pPr>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sz w:val="24"/>
          <w:szCs w:val="24"/>
        </w:rPr>
        <w:t>Таблица 4. 4. Характеристика на ОДЕМ (монофазен и мултифазен)</w:t>
      </w:r>
    </w:p>
    <w:tbl>
      <w:tblPr>
        <w:tblW w:w="9358" w:type="dxa"/>
        <w:tblCellMar>
          <w:left w:w="0" w:type="dxa"/>
          <w:right w:w="0" w:type="dxa"/>
        </w:tblCellMar>
        <w:tblLook w:val="04A0" w:firstRow="1" w:lastRow="0" w:firstColumn="1" w:lastColumn="0" w:noHBand="0" w:noVBand="1"/>
      </w:tblPr>
      <w:tblGrid>
        <w:gridCol w:w="1270"/>
        <w:gridCol w:w="4299"/>
        <w:gridCol w:w="3789"/>
      </w:tblGrid>
      <w:tr w:rsidR="00BE0B19" w:rsidRPr="00AE47C6" w14:paraId="41457BDC" w14:textId="77777777" w:rsidTr="00AD72E5">
        <w:trPr>
          <w:trHeight w:val="560"/>
        </w:trPr>
        <w:tc>
          <w:tcPr>
            <w:tcW w:w="12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22EABAA"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Вид</w:t>
            </w:r>
          </w:p>
        </w:tc>
        <w:tc>
          <w:tcPr>
            <w:tcW w:w="429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37C4BA2"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Монофазен</w:t>
            </w:r>
          </w:p>
        </w:tc>
        <w:tc>
          <w:tcPr>
            <w:tcW w:w="378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26E6C81"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Мултифазен</w:t>
            </w:r>
          </w:p>
        </w:tc>
      </w:tr>
      <w:tr w:rsidR="00BE0B19" w:rsidRPr="00AE47C6" w14:paraId="0C7CD2D6" w14:textId="77777777" w:rsidTr="00AD72E5">
        <w:trPr>
          <w:trHeight w:val="759"/>
        </w:trPr>
        <w:tc>
          <w:tcPr>
            <w:tcW w:w="12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1AD8F73"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Клиника</w:t>
            </w:r>
          </w:p>
        </w:tc>
        <w:tc>
          <w:tcPr>
            <w:tcW w:w="429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A64F12B" w14:textId="77777777" w:rsidR="00BE0B19" w:rsidRPr="00AE47C6" w:rsidRDefault="00BE0B19" w:rsidP="00BE0B19">
            <w:pPr>
              <w:numPr>
                <w:ilvl w:val="0"/>
                <w:numId w:val="241"/>
              </w:numPr>
              <w:spacing w:after="0" w:line="360" w:lineRule="auto"/>
              <w:ind w:firstLine="0"/>
              <w:jc w:val="both"/>
              <w:rPr>
                <w:rFonts w:ascii="Times New Roman" w:eastAsia="SimSun" w:hAnsi="Times New Roman"/>
                <w:bCs/>
                <w:sz w:val="24"/>
                <w:szCs w:val="24"/>
              </w:rPr>
            </w:pPr>
            <w:r w:rsidRPr="00AE47C6">
              <w:rPr>
                <w:rFonts w:ascii="Times New Roman" w:eastAsia="SimSun" w:hAnsi="Times New Roman"/>
                <w:bCs/>
                <w:sz w:val="24"/>
                <w:szCs w:val="24"/>
              </w:rPr>
              <w:t>Първи епизод с мултифокален неврологичен дефицит с предполагаема възпалителна демиелинизираща причина.</w:t>
            </w:r>
          </w:p>
          <w:p w14:paraId="2D84AF8D" w14:textId="77777777" w:rsidR="00BE0B19" w:rsidRPr="00AE47C6" w:rsidRDefault="00BE0B19" w:rsidP="00BE0B19">
            <w:pPr>
              <w:numPr>
                <w:ilvl w:val="0"/>
                <w:numId w:val="241"/>
              </w:numPr>
              <w:spacing w:after="0" w:line="360" w:lineRule="auto"/>
              <w:ind w:firstLine="0"/>
              <w:jc w:val="both"/>
              <w:rPr>
                <w:rFonts w:ascii="Times New Roman" w:eastAsia="SimSun" w:hAnsi="Times New Roman"/>
                <w:bCs/>
                <w:sz w:val="24"/>
                <w:szCs w:val="24"/>
              </w:rPr>
            </w:pPr>
            <w:r w:rsidRPr="00AE47C6">
              <w:rPr>
                <w:rFonts w:ascii="Times New Roman" w:eastAsia="SimSun" w:hAnsi="Times New Roman"/>
                <w:bCs/>
                <w:sz w:val="24"/>
                <w:szCs w:val="24"/>
              </w:rPr>
              <w:t xml:space="preserve">енцефалопатия, която не може да се обясни с фебрилитета (увреда на съзнанието и поведението) </w:t>
            </w:r>
          </w:p>
          <w:p w14:paraId="564F7F26" w14:textId="77777777" w:rsidR="00BE0B19" w:rsidRPr="00AE47C6" w:rsidRDefault="00BE0B19" w:rsidP="00BE0B19">
            <w:pPr>
              <w:numPr>
                <w:ilvl w:val="0"/>
                <w:numId w:val="242"/>
              </w:numPr>
              <w:spacing w:after="0" w:line="360" w:lineRule="auto"/>
              <w:ind w:firstLine="0"/>
              <w:jc w:val="both"/>
              <w:rPr>
                <w:rFonts w:ascii="Times New Roman" w:eastAsia="SimSun" w:hAnsi="Times New Roman"/>
                <w:bCs/>
                <w:sz w:val="24"/>
                <w:szCs w:val="24"/>
              </w:rPr>
            </w:pPr>
            <w:r w:rsidRPr="00AE47C6">
              <w:rPr>
                <w:rFonts w:ascii="Times New Roman" w:eastAsia="SimSun" w:hAnsi="Times New Roman"/>
                <w:bCs/>
                <w:sz w:val="24"/>
                <w:szCs w:val="24"/>
              </w:rPr>
              <w:t>Подобрение/ остатъчни клинични с-ми и МРТ лезии</w:t>
            </w:r>
          </w:p>
          <w:p w14:paraId="42CDC738" w14:textId="77777777" w:rsidR="00BE0B19" w:rsidRPr="00AE47C6" w:rsidRDefault="00BE0B19" w:rsidP="00BE0B19">
            <w:pPr>
              <w:numPr>
                <w:ilvl w:val="0"/>
                <w:numId w:val="242"/>
              </w:numPr>
              <w:spacing w:after="0" w:line="360" w:lineRule="auto"/>
              <w:ind w:firstLine="0"/>
              <w:jc w:val="both"/>
              <w:rPr>
                <w:rFonts w:ascii="Times New Roman" w:eastAsia="SimSun" w:hAnsi="Times New Roman"/>
                <w:bCs/>
                <w:sz w:val="24"/>
                <w:szCs w:val="24"/>
              </w:rPr>
            </w:pPr>
            <w:r w:rsidRPr="00AE47C6">
              <w:rPr>
                <w:rFonts w:ascii="Times New Roman" w:eastAsia="SimSun" w:hAnsi="Times New Roman"/>
                <w:bCs/>
                <w:sz w:val="24"/>
                <w:szCs w:val="24"/>
              </w:rPr>
              <w:t>Няма нови клинични симптоми и МРТ лезии за 3 месеца или повече след началото.</w:t>
            </w:r>
          </w:p>
          <w:p w14:paraId="6B609731" w14:textId="77777777" w:rsidR="00BE0B19" w:rsidRPr="00AE47C6" w:rsidRDefault="00BE0B19" w:rsidP="00BE0B19">
            <w:pPr>
              <w:numPr>
                <w:ilvl w:val="0"/>
                <w:numId w:val="242"/>
              </w:numPr>
              <w:spacing w:after="0" w:line="360" w:lineRule="auto"/>
              <w:ind w:firstLine="0"/>
              <w:jc w:val="both"/>
              <w:rPr>
                <w:rFonts w:ascii="Times New Roman" w:eastAsia="SimSun" w:hAnsi="Times New Roman"/>
                <w:bCs/>
                <w:sz w:val="24"/>
                <w:szCs w:val="24"/>
              </w:rPr>
            </w:pPr>
            <w:r w:rsidRPr="00AE47C6">
              <w:rPr>
                <w:rFonts w:ascii="Times New Roman" w:eastAsia="SimSun" w:hAnsi="Times New Roman"/>
                <w:bCs/>
                <w:sz w:val="24"/>
                <w:szCs w:val="24"/>
              </w:rPr>
              <w:t>Мозъчната МРТ е абнормна в острата фаза (3 месеца).</w:t>
            </w:r>
          </w:p>
        </w:tc>
        <w:tc>
          <w:tcPr>
            <w:tcW w:w="378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395298F"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ОДЕМ →последван нов епизод на ОДЕМ в нови анатомични области</w:t>
            </w:r>
          </w:p>
          <w:p w14:paraId="3C684F68" w14:textId="77777777" w:rsidR="00BE0B19" w:rsidRPr="00AE47C6" w:rsidRDefault="00BE0B19" w:rsidP="00BE0B19">
            <w:pPr>
              <w:numPr>
                <w:ilvl w:val="0"/>
                <w:numId w:val="243"/>
              </w:numPr>
              <w:spacing w:after="0" w:line="360" w:lineRule="auto"/>
              <w:ind w:firstLine="0"/>
              <w:jc w:val="both"/>
              <w:rPr>
                <w:rFonts w:ascii="Times New Roman" w:eastAsia="SimSun" w:hAnsi="Times New Roman"/>
                <w:bCs/>
                <w:sz w:val="24"/>
                <w:szCs w:val="24"/>
              </w:rPr>
            </w:pPr>
            <w:r w:rsidRPr="00AE47C6">
              <w:rPr>
                <w:rFonts w:ascii="Times New Roman" w:eastAsia="SimSun" w:hAnsi="Times New Roman"/>
                <w:bCs/>
                <w:sz w:val="24"/>
                <w:szCs w:val="24"/>
              </w:rPr>
              <w:t>над 1 месец след завършване на КС курс</w:t>
            </w:r>
          </w:p>
          <w:p w14:paraId="08BB1762" w14:textId="77777777" w:rsidR="00BE0B19" w:rsidRPr="00AE47C6" w:rsidRDefault="00BE0B19" w:rsidP="00BE0B19">
            <w:pPr>
              <w:numPr>
                <w:ilvl w:val="0"/>
                <w:numId w:val="243"/>
              </w:numPr>
              <w:spacing w:after="0" w:line="360" w:lineRule="auto"/>
              <w:ind w:firstLine="0"/>
              <w:jc w:val="both"/>
              <w:rPr>
                <w:rFonts w:ascii="Times New Roman" w:eastAsia="SimSun" w:hAnsi="Times New Roman"/>
                <w:bCs/>
                <w:sz w:val="24"/>
                <w:szCs w:val="24"/>
              </w:rPr>
            </w:pPr>
            <w:r w:rsidRPr="00AE47C6">
              <w:rPr>
                <w:rFonts w:ascii="Times New Roman" w:eastAsia="SimSun" w:hAnsi="Times New Roman"/>
                <w:bCs/>
                <w:sz w:val="24"/>
                <w:szCs w:val="24"/>
              </w:rPr>
              <w:t>над 3 месеца след началото на ОДЕМ Полисимптомна изява (различна от първия епизод) + енцефалопатия</w:t>
            </w:r>
          </w:p>
        </w:tc>
      </w:tr>
      <w:tr w:rsidR="00BE0B19" w:rsidRPr="00AE47C6" w14:paraId="6657D500" w14:textId="77777777" w:rsidTr="00AD72E5">
        <w:trPr>
          <w:trHeight w:val="2001"/>
        </w:trPr>
        <w:tc>
          <w:tcPr>
            <w:tcW w:w="12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BB1131E"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МРТ </w:t>
            </w:r>
          </w:p>
        </w:tc>
        <w:tc>
          <w:tcPr>
            <w:tcW w:w="429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337224A"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Фокални и дифузни, лошо отграничени големи (&gt; 1–2 cm) лезии, предимно в бялото мозъчно вещество:</w:t>
            </w:r>
          </w:p>
          <w:p w14:paraId="352B5A28" w14:textId="77777777" w:rsidR="00BE0B19" w:rsidRPr="00AE47C6" w:rsidRDefault="00BE0B19" w:rsidP="00BE0B19">
            <w:pPr>
              <w:numPr>
                <w:ilvl w:val="0"/>
                <w:numId w:val="244"/>
              </w:numPr>
              <w:spacing w:after="0" w:line="360" w:lineRule="auto"/>
              <w:ind w:firstLine="0"/>
              <w:jc w:val="both"/>
              <w:rPr>
                <w:rFonts w:ascii="Times New Roman" w:eastAsia="SimSun" w:hAnsi="Times New Roman"/>
                <w:bCs/>
                <w:sz w:val="24"/>
                <w:szCs w:val="24"/>
              </w:rPr>
            </w:pPr>
            <w:r w:rsidRPr="00AE47C6">
              <w:rPr>
                <w:rFonts w:ascii="Times New Roman" w:eastAsia="SimSun" w:hAnsi="Times New Roman"/>
                <w:bCs/>
                <w:sz w:val="24"/>
                <w:szCs w:val="24"/>
              </w:rPr>
              <w:t>На Т</w:t>
            </w:r>
            <w:r w:rsidRPr="00AE47C6">
              <w:rPr>
                <w:rFonts w:ascii="Times New Roman" w:eastAsia="SimSun" w:hAnsi="Times New Roman"/>
                <w:bCs/>
                <w:sz w:val="24"/>
                <w:szCs w:val="24"/>
                <w:vertAlign w:val="subscript"/>
              </w:rPr>
              <w:t>2</w:t>
            </w:r>
            <w:r w:rsidRPr="00AE47C6">
              <w:rPr>
                <w:rFonts w:ascii="Times New Roman" w:eastAsia="SimSun" w:hAnsi="Times New Roman"/>
                <w:bCs/>
                <w:sz w:val="24"/>
                <w:szCs w:val="24"/>
              </w:rPr>
              <w:t xml:space="preserve"> и FLAIR -1-2 cm, мултифокални</w:t>
            </w:r>
          </w:p>
          <w:p w14:paraId="5B2E923D" w14:textId="77777777" w:rsidR="00BE0B19" w:rsidRPr="00AE47C6" w:rsidRDefault="00BE0B19" w:rsidP="00BE0B19">
            <w:pPr>
              <w:numPr>
                <w:ilvl w:val="0"/>
                <w:numId w:val="244"/>
              </w:numPr>
              <w:spacing w:after="0" w:line="360" w:lineRule="auto"/>
              <w:ind w:firstLine="0"/>
              <w:jc w:val="both"/>
              <w:rPr>
                <w:rFonts w:ascii="Times New Roman" w:eastAsia="SimSun" w:hAnsi="Times New Roman"/>
                <w:bCs/>
                <w:sz w:val="24"/>
                <w:szCs w:val="24"/>
              </w:rPr>
            </w:pPr>
            <w:r w:rsidRPr="00AE47C6">
              <w:rPr>
                <w:rFonts w:ascii="Times New Roman" w:eastAsia="SimSun" w:hAnsi="Times New Roman"/>
                <w:bCs/>
                <w:sz w:val="24"/>
                <w:szCs w:val="24"/>
              </w:rPr>
              <w:t>В сивото вещество (базални ганглии, таламус)</w:t>
            </w:r>
          </w:p>
          <w:p w14:paraId="24AD029B" w14:textId="77777777" w:rsidR="00BE0B19" w:rsidRPr="00AE47C6" w:rsidRDefault="00BE0B19" w:rsidP="00BE0B19">
            <w:pPr>
              <w:numPr>
                <w:ilvl w:val="0"/>
                <w:numId w:val="244"/>
              </w:numPr>
              <w:spacing w:after="0" w:line="360" w:lineRule="auto"/>
              <w:ind w:firstLine="0"/>
              <w:jc w:val="both"/>
              <w:rPr>
                <w:rFonts w:ascii="Times New Roman" w:eastAsia="SimSun" w:hAnsi="Times New Roman"/>
                <w:bCs/>
                <w:sz w:val="24"/>
                <w:szCs w:val="24"/>
              </w:rPr>
            </w:pPr>
            <w:r w:rsidRPr="00AE47C6">
              <w:rPr>
                <w:rFonts w:ascii="Times New Roman" w:eastAsia="SimSun" w:hAnsi="Times New Roman"/>
                <w:bCs/>
                <w:sz w:val="24"/>
                <w:szCs w:val="24"/>
              </w:rPr>
              <w:t xml:space="preserve"> В гръбначния мозък</w:t>
            </w:r>
          </w:p>
          <w:p w14:paraId="1C49C2FC" w14:textId="77777777" w:rsidR="00BE0B19" w:rsidRPr="00AE47C6" w:rsidRDefault="00BE0B19" w:rsidP="00BE0B19">
            <w:pPr>
              <w:numPr>
                <w:ilvl w:val="0"/>
                <w:numId w:val="244"/>
              </w:numPr>
              <w:spacing w:after="0" w:line="360" w:lineRule="auto"/>
              <w:ind w:firstLine="0"/>
              <w:jc w:val="both"/>
              <w:rPr>
                <w:rFonts w:ascii="Times New Roman" w:eastAsia="SimSun" w:hAnsi="Times New Roman"/>
                <w:bCs/>
                <w:sz w:val="24"/>
                <w:szCs w:val="24"/>
              </w:rPr>
            </w:pPr>
            <w:r w:rsidRPr="00AE47C6">
              <w:rPr>
                <w:rFonts w:ascii="Times New Roman" w:eastAsia="SimSun" w:hAnsi="Times New Roman"/>
                <w:bCs/>
                <w:sz w:val="24"/>
                <w:szCs w:val="24"/>
              </w:rPr>
              <w:t>T</w:t>
            </w:r>
            <w:r w:rsidRPr="00AE47C6">
              <w:rPr>
                <w:rFonts w:ascii="Times New Roman" w:eastAsia="SimSun" w:hAnsi="Times New Roman"/>
                <w:bCs/>
                <w:sz w:val="24"/>
                <w:szCs w:val="24"/>
                <w:vertAlign w:val="subscript"/>
              </w:rPr>
              <w:t>1</w:t>
            </w:r>
            <w:r w:rsidRPr="00AE47C6">
              <w:rPr>
                <w:rFonts w:ascii="Times New Roman" w:eastAsia="SimSun" w:hAnsi="Times New Roman"/>
                <w:bCs/>
                <w:sz w:val="24"/>
                <w:szCs w:val="24"/>
              </w:rPr>
              <w:t>-хипоинтензни лезии в бялото мозъчно вещество- редки</w:t>
            </w:r>
          </w:p>
        </w:tc>
        <w:tc>
          <w:tcPr>
            <w:tcW w:w="378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4CA0CBF" w14:textId="77777777" w:rsidR="00BE0B19" w:rsidRPr="00AE47C6" w:rsidRDefault="00BE0B19" w:rsidP="00BE0B19">
            <w:pPr>
              <w:numPr>
                <w:ilvl w:val="0"/>
                <w:numId w:val="244"/>
              </w:numPr>
              <w:spacing w:after="0" w:line="360" w:lineRule="auto"/>
              <w:ind w:firstLine="0"/>
              <w:jc w:val="both"/>
              <w:rPr>
                <w:rFonts w:ascii="Times New Roman" w:eastAsia="SimSun" w:hAnsi="Times New Roman"/>
                <w:bCs/>
                <w:sz w:val="24"/>
                <w:szCs w:val="24"/>
              </w:rPr>
            </w:pPr>
            <w:r w:rsidRPr="00AE47C6">
              <w:rPr>
                <w:rFonts w:ascii="Times New Roman" w:eastAsia="SimSun" w:hAnsi="Times New Roman"/>
                <w:bCs/>
                <w:sz w:val="24"/>
                <w:szCs w:val="24"/>
              </w:rPr>
              <w:t>Нови МРТ лезии</w:t>
            </w:r>
          </w:p>
        </w:tc>
      </w:tr>
      <w:tr w:rsidR="00BE0B19" w:rsidRPr="00AE47C6" w14:paraId="25313305" w14:textId="77777777" w:rsidTr="00AD72E5">
        <w:trPr>
          <w:trHeight w:val="616"/>
        </w:trPr>
        <w:tc>
          <w:tcPr>
            <w:tcW w:w="127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2934421"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Ликвор</w:t>
            </w:r>
          </w:p>
        </w:tc>
        <w:tc>
          <w:tcPr>
            <w:tcW w:w="429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6A98BBD"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Възможна плеоцитоза, протеинорахия, но няма увеличени IgG и няма олигоклоналност</w:t>
            </w:r>
          </w:p>
        </w:tc>
        <w:tc>
          <w:tcPr>
            <w:tcW w:w="378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162C51F" w14:textId="77777777" w:rsidR="00BE0B19" w:rsidRPr="00AE47C6" w:rsidRDefault="00BE0B19" w:rsidP="00BE0B19">
            <w:pPr>
              <w:spacing w:after="0" w:line="360" w:lineRule="auto"/>
              <w:jc w:val="both"/>
              <w:rPr>
                <w:rFonts w:ascii="Times New Roman" w:eastAsia="SimSun" w:hAnsi="Times New Roman"/>
                <w:bCs/>
                <w:sz w:val="24"/>
                <w:szCs w:val="24"/>
              </w:rPr>
            </w:pPr>
          </w:p>
        </w:tc>
      </w:tr>
    </w:tbl>
    <w:p w14:paraId="6B7F0AD9" w14:textId="77777777" w:rsidR="00BE0B19" w:rsidRPr="00AE47C6" w:rsidRDefault="00BE0B19" w:rsidP="00BE0B19">
      <w:pPr>
        <w:spacing w:after="0" w:line="360" w:lineRule="auto"/>
        <w:ind w:firstLine="709"/>
        <w:jc w:val="both"/>
        <w:rPr>
          <w:rFonts w:ascii="Times New Roman" w:eastAsia="SimSun" w:hAnsi="Times New Roman"/>
          <w:bCs/>
          <w:sz w:val="24"/>
          <w:szCs w:val="24"/>
        </w:rPr>
      </w:pPr>
    </w:p>
    <w:p w14:paraId="03D02457" w14:textId="77777777" w:rsidR="00BE0B19" w:rsidRPr="00AE47C6" w:rsidRDefault="00BE0B19" w:rsidP="00BE0B19">
      <w:pPr>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sz w:val="24"/>
          <w:szCs w:val="24"/>
        </w:rPr>
        <w:t>Таблица 4.5. ОДЕМ и други демиелинизиращи заболявания</w:t>
      </w:r>
    </w:p>
    <w:tbl>
      <w:tblPr>
        <w:tblStyle w:val="TableGrid2"/>
        <w:tblW w:w="0" w:type="auto"/>
        <w:tblLook w:val="04A0" w:firstRow="1" w:lastRow="0" w:firstColumn="1" w:lastColumn="0" w:noHBand="0" w:noVBand="1"/>
      </w:tblPr>
      <w:tblGrid>
        <w:gridCol w:w="2492"/>
        <w:gridCol w:w="6568"/>
      </w:tblGrid>
      <w:tr w:rsidR="00BE0B19" w:rsidRPr="00AE47C6" w14:paraId="17B3295F" w14:textId="77777777" w:rsidTr="00AD72E5">
        <w:tc>
          <w:tcPr>
            <w:tcW w:w="2518" w:type="dxa"/>
          </w:tcPr>
          <w:p w14:paraId="630EDAAC" w14:textId="77777777" w:rsidR="00BE0B19" w:rsidRPr="00AE47C6" w:rsidRDefault="00BE0B19" w:rsidP="00BE0B19">
            <w:pPr>
              <w:spacing w:after="0" w:line="360" w:lineRule="auto"/>
              <w:jc w:val="both"/>
              <w:rPr>
                <w:rFonts w:ascii="Times New Roman" w:hAnsi="Times New Roman"/>
                <w:b/>
                <w:bCs/>
                <w:sz w:val="24"/>
                <w:szCs w:val="24"/>
              </w:rPr>
            </w:pPr>
            <w:r w:rsidRPr="00AE47C6">
              <w:rPr>
                <w:rFonts w:ascii="Times New Roman" w:hAnsi="Times New Roman"/>
                <w:b/>
                <w:sz w:val="24"/>
                <w:szCs w:val="24"/>
              </w:rPr>
              <w:t>Диагноза</w:t>
            </w:r>
          </w:p>
        </w:tc>
        <w:tc>
          <w:tcPr>
            <w:tcW w:w="6692" w:type="dxa"/>
          </w:tcPr>
          <w:p w14:paraId="4BE7D3BF" w14:textId="77777777" w:rsidR="00BE0B19" w:rsidRPr="00AE47C6" w:rsidRDefault="00BE0B19" w:rsidP="00BE0B19">
            <w:pPr>
              <w:spacing w:after="0" w:line="360" w:lineRule="auto"/>
              <w:jc w:val="both"/>
              <w:rPr>
                <w:rFonts w:ascii="Times New Roman" w:hAnsi="Times New Roman"/>
                <w:b/>
                <w:bCs/>
                <w:sz w:val="24"/>
                <w:szCs w:val="24"/>
              </w:rPr>
            </w:pPr>
            <w:r w:rsidRPr="00AE47C6">
              <w:rPr>
                <w:rFonts w:ascii="Times New Roman" w:hAnsi="Times New Roman"/>
                <w:b/>
                <w:sz w:val="24"/>
                <w:szCs w:val="24"/>
              </w:rPr>
              <w:t>Клинични критерии</w:t>
            </w:r>
          </w:p>
        </w:tc>
      </w:tr>
      <w:tr w:rsidR="00BE0B19" w:rsidRPr="00AE47C6" w14:paraId="18066579" w14:textId="77777777" w:rsidTr="00AD72E5">
        <w:tc>
          <w:tcPr>
            <w:tcW w:w="2518" w:type="dxa"/>
          </w:tcPr>
          <w:p w14:paraId="4F46D2F7" w14:textId="77777777" w:rsidR="00BE0B19" w:rsidRPr="00AE47C6" w:rsidRDefault="00BE0B19" w:rsidP="00BE0B19">
            <w:pPr>
              <w:autoSpaceDE w:val="0"/>
              <w:autoSpaceDN w:val="0"/>
              <w:adjustRightInd w:val="0"/>
              <w:spacing w:after="0" w:line="360" w:lineRule="auto"/>
              <w:jc w:val="both"/>
              <w:rPr>
                <w:rFonts w:ascii="Times New Roman" w:hAnsi="Times New Roman"/>
                <w:b/>
                <w:bCs/>
                <w:sz w:val="24"/>
                <w:szCs w:val="24"/>
              </w:rPr>
            </w:pPr>
            <w:r w:rsidRPr="00AE47C6">
              <w:rPr>
                <w:rFonts w:ascii="Times New Roman" w:hAnsi="Times New Roman"/>
                <w:bCs/>
                <w:sz w:val="24"/>
                <w:szCs w:val="24"/>
              </w:rPr>
              <w:t>ОДЕМ</w:t>
            </w:r>
            <w:r w:rsidRPr="00AE47C6">
              <w:rPr>
                <w:rFonts w:ascii="Times New Roman" w:hAnsi="Times New Roman"/>
                <w:sz w:val="24"/>
                <w:szCs w:val="24"/>
              </w:rPr>
              <w:t>- монофазен</w:t>
            </w:r>
          </w:p>
        </w:tc>
        <w:tc>
          <w:tcPr>
            <w:tcW w:w="6692" w:type="dxa"/>
          </w:tcPr>
          <w:p w14:paraId="6B182312"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Единична многоогнищна ЦНС изява с енцефалопатия поради възпалителна демиелинизация, без данни за нова активност (клинична и в МРТ) &gt;3 месеца след началото на заболяването</w:t>
            </w:r>
          </w:p>
        </w:tc>
      </w:tr>
      <w:tr w:rsidR="00BE0B19" w:rsidRPr="00AE47C6" w14:paraId="0112B48A" w14:textId="77777777" w:rsidTr="00AD72E5">
        <w:tc>
          <w:tcPr>
            <w:tcW w:w="2518" w:type="dxa"/>
          </w:tcPr>
          <w:p w14:paraId="486F9737" w14:textId="77777777" w:rsidR="00BE0B19" w:rsidRPr="00AE47C6" w:rsidRDefault="00BE0B19" w:rsidP="00BE0B19">
            <w:pPr>
              <w:autoSpaceDE w:val="0"/>
              <w:autoSpaceDN w:val="0"/>
              <w:adjustRightInd w:val="0"/>
              <w:spacing w:after="0" w:line="360" w:lineRule="auto"/>
              <w:jc w:val="both"/>
              <w:rPr>
                <w:rFonts w:ascii="Times New Roman" w:hAnsi="Times New Roman"/>
                <w:b/>
                <w:bCs/>
                <w:sz w:val="24"/>
                <w:szCs w:val="24"/>
              </w:rPr>
            </w:pPr>
            <w:r w:rsidRPr="00AE47C6">
              <w:rPr>
                <w:rFonts w:ascii="Times New Roman" w:hAnsi="Times New Roman"/>
                <w:bCs/>
                <w:sz w:val="24"/>
                <w:szCs w:val="24"/>
              </w:rPr>
              <w:t>ОДЕМ</w:t>
            </w:r>
            <w:r w:rsidRPr="00AE47C6">
              <w:rPr>
                <w:rFonts w:ascii="Times New Roman" w:hAnsi="Times New Roman"/>
                <w:sz w:val="24"/>
                <w:szCs w:val="24"/>
              </w:rPr>
              <w:t>- мултифазен</w:t>
            </w:r>
          </w:p>
        </w:tc>
        <w:tc>
          <w:tcPr>
            <w:tcW w:w="6692" w:type="dxa"/>
          </w:tcPr>
          <w:p w14:paraId="7C090506"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bCs/>
                <w:sz w:val="24"/>
                <w:szCs w:val="24"/>
              </w:rPr>
              <w:t>ОДЕМ</w:t>
            </w:r>
            <w:r w:rsidRPr="00AE47C6">
              <w:rPr>
                <w:rFonts w:ascii="Times New Roman" w:hAnsi="Times New Roman"/>
                <w:sz w:val="24"/>
                <w:szCs w:val="24"/>
              </w:rPr>
              <w:t xml:space="preserve"> последван след &gt;3 месеца с втори епизод на </w:t>
            </w:r>
            <w:r w:rsidRPr="00AE47C6">
              <w:rPr>
                <w:rFonts w:ascii="Times New Roman" w:hAnsi="Times New Roman"/>
                <w:bCs/>
                <w:sz w:val="24"/>
                <w:szCs w:val="24"/>
              </w:rPr>
              <w:t>ОДЕМ</w:t>
            </w:r>
            <w:r w:rsidRPr="00AE47C6">
              <w:rPr>
                <w:rFonts w:ascii="Times New Roman" w:hAnsi="Times New Roman"/>
                <w:sz w:val="24"/>
                <w:szCs w:val="24"/>
              </w:rPr>
              <w:t>, но не е друго не-</w:t>
            </w:r>
            <w:r w:rsidRPr="00AE47C6">
              <w:rPr>
                <w:rFonts w:ascii="Times New Roman" w:hAnsi="Times New Roman"/>
                <w:bCs/>
                <w:sz w:val="24"/>
                <w:szCs w:val="24"/>
              </w:rPr>
              <w:t>ОДЕМ</w:t>
            </w:r>
            <w:r w:rsidRPr="00AE47C6">
              <w:rPr>
                <w:rFonts w:ascii="Times New Roman" w:hAnsi="Times New Roman"/>
                <w:sz w:val="24"/>
                <w:szCs w:val="24"/>
              </w:rPr>
              <w:t xml:space="preserve"> демиелинизиращо заболяване</w:t>
            </w:r>
          </w:p>
        </w:tc>
      </w:tr>
      <w:tr w:rsidR="00BE0B19" w:rsidRPr="00AE47C6" w14:paraId="2987EE2A" w14:textId="77777777" w:rsidTr="00AD72E5">
        <w:trPr>
          <w:trHeight w:val="893"/>
        </w:trPr>
        <w:tc>
          <w:tcPr>
            <w:tcW w:w="2518" w:type="dxa"/>
          </w:tcPr>
          <w:p w14:paraId="45A4C143" w14:textId="77777777" w:rsidR="00BE0B19" w:rsidRPr="00AE47C6" w:rsidRDefault="00BE0B19" w:rsidP="00BE0B19">
            <w:pPr>
              <w:spacing w:after="0" w:line="360" w:lineRule="auto"/>
              <w:jc w:val="both"/>
              <w:rPr>
                <w:rFonts w:ascii="Times New Roman" w:hAnsi="Times New Roman"/>
                <w:b/>
                <w:bCs/>
                <w:sz w:val="24"/>
                <w:szCs w:val="24"/>
              </w:rPr>
            </w:pPr>
            <w:r w:rsidRPr="00AE47C6">
              <w:rPr>
                <w:rFonts w:ascii="Times New Roman" w:hAnsi="Times New Roman"/>
                <w:bCs/>
                <w:sz w:val="24"/>
                <w:szCs w:val="24"/>
              </w:rPr>
              <w:t>ОДЕМ</w:t>
            </w:r>
            <w:r w:rsidRPr="00AE47C6">
              <w:rPr>
                <w:rFonts w:ascii="Times New Roman" w:hAnsi="Times New Roman"/>
                <w:sz w:val="24"/>
                <w:szCs w:val="24"/>
              </w:rPr>
              <w:t>- MС</w:t>
            </w:r>
          </w:p>
        </w:tc>
        <w:tc>
          <w:tcPr>
            <w:tcW w:w="6692" w:type="dxa"/>
          </w:tcPr>
          <w:p w14:paraId="5C970AD8"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bCs/>
                <w:sz w:val="24"/>
                <w:szCs w:val="24"/>
              </w:rPr>
              <w:t xml:space="preserve">ОДЕМ </w:t>
            </w:r>
            <w:r w:rsidRPr="00AE47C6">
              <w:rPr>
                <w:rFonts w:ascii="Times New Roman" w:hAnsi="Times New Roman"/>
                <w:sz w:val="24"/>
                <w:szCs w:val="24"/>
              </w:rPr>
              <w:t>последван след &gt;3 месеца от не-</w:t>
            </w:r>
            <w:r w:rsidRPr="00AE47C6">
              <w:rPr>
                <w:rFonts w:ascii="Times New Roman" w:hAnsi="Times New Roman"/>
                <w:bCs/>
                <w:sz w:val="24"/>
                <w:szCs w:val="24"/>
              </w:rPr>
              <w:t xml:space="preserve">ОДЕМ </w:t>
            </w:r>
            <w:r w:rsidRPr="00AE47C6">
              <w:rPr>
                <w:rFonts w:ascii="Times New Roman" w:hAnsi="Times New Roman"/>
                <w:sz w:val="24"/>
                <w:szCs w:val="24"/>
              </w:rPr>
              <w:t>демиелинизиращ пристъп с нови МРТ лезии, изпълняващи критерии за разпространение в пространството</w:t>
            </w:r>
          </w:p>
        </w:tc>
      </w:tr>
      <w:tr w:rsidR="00BE0B19" w:rsidRPr="00AE47C6" w14:paraId="557E3CE0" w14:textId="77777777" w:rsidTr="00AD72E5">
        <w:trPr>
          <w:trHeight w:val="1530"/>
        </w:trPr>
        <w:tc>
          <w:tcPr>
            <w:tcW w:w="2518" w:type="dxa"/>
          </w:tcPr>
          <w:p w14:paraId="5EC89819" w14:textId="77777777" w:rsidR="00BE0B19" w:rsidRPr="00AE47C6" w:rsidRDefault="00BE0B19" w:rsidP="00BE0B19">
            <w:pPr>
              <w:spacing w:after="0" w:line="360" w:lineRule="auto"/>
              <w:jc w:val="both"/>
              <w:rPr>
                <w:rFonts w:ascii="Times New Roman" w:hAnsi="Times New Roman"/>
                <w:b/>
                <w:bCs/>
                <w:sz w:val="24"/>
                <w:szCs w:val="24"/>
              </w:rPr>
            </w:pPr>
            <w:r w:rsidRPr="00AE47C6">
              <w:rPr>
                <w:rFonts w:ascii="Times New Roman" w:hAnsi="Times New Roman"/>
                <w:bCs/>
                <w:sz w:val="24"/>
                <w:szCs w:val="24"/>
              </w:rPr>
              <w:t>ОДЕМ</w:t>
            </w:r>
            <w:r w:rsidRPr="00AE47C6">
              <w:rPr>
                <w:rFonts w:ascii="Times New Roman" w:hAnsi="Times New Roman"/>
                <w:sz w:val="24"/>
                <w:szCs w:val="24"/>
              </w:rPr>
              <w:t>- оптичен невромиелит</w:t>
            </w:r>
          </w:p>
        </w:tc>
        <w:tc>
          <w:tcPr>
            <w:tcW w:w="6692" w:type="dxa"/>
          </w:tcPr>
          <w:p w14:paraId="507FE4ED"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bCs/>
                <w:sz w:val="24"/>
                <w:szCs w:val="24"/>
              </w:rPr>
              <w:t>ОДЕМ</w:t>
            </w:r>
            <w:r w:rsidRPr="00AE47C6">
              <w:rPr>
                <w:rFonts w:ascii="Times New Roman" w:hAnsi="Times New Roman"/>
                <w:sz w:val="24"/>
                <w:szCs w:val="24"/>
              </w:rPr>
              <w:t xml:space="preserve"> последван след &gt;3 месеца от оптичен неврит, миелит засягащ няколко сегмента на гръбначния мозък или синдром на area postrema, а МРТ отговаря на критериите за спектъра на оптичния невромиелит</w:t>
            </w:r>
          </w:p>
        </w:tc>
      </w:tr>
      <w:tr w:rsidR="00BE0B19" w:rsidRPr="00AE47C6" w14:paraId="62FD72E4" w14:textId="77777777" w:rsidTr="00AD72E5">
        <w:tc>
          <w:tcPr>
            <w:tcW w:w="2518" w:type="dxa"/>
          </w:tcPr>
          <w:p w14:paraId="66F242FA" w14:textId="77777777" w:rsidR="00BE0B19" w:rsidRPr="00AE47C6" w:rsidRDefault="00BE0B19" w:rsidP="00BE0B19">
            <w:pPr>
              <w:spacing w:after="0" w:line="360" w:lineRule="auto"/>
              <w:jc w:val="both"/>
              <w:rPr>
                <w:rFonts w:ascii="Times New Roman" w:hAnsi="Times New Roman"/>
                <w:b/>
                <w:bCs/>
                <w:sz w:val="24"/>
                <w:szCs w:val="24"/>
              </w:rPr>
            </w:pPr>
            <w:r w:rsidRPr="00AE47C6">
              <w:rPr>
                <w:rFonts w:ascii="Times New Roman" w:hAnsi="Times New Roman"/>
                <w:bCs/>
                <w:sz w:val="24"/>
                <w:szCs w:val="24"/>
              </w:rPr>
              <w:t>ОДЕМ</w:t>
            </w:r>
            <w:r w:rsidRPr="00AE47C6">
              <w:rPr>
                <w:rFonts w:ascii="Times New Roman" w:hAnsi="Times New Roman"/>
                <w:sz w:val="24"/>
                <w:szCs w:val="24"/>
              </w:rPr>
              <w:t>- оптичен неврит</w:t>
            </w:r>
          </w:p>
        </w:tc>
        <w:tc>
          <w:tcPr>
            <w:tcW w:w="6692" w:type="dxa"/>
          </w:tcPr>
          <w:p w14:paraId="77005658"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bCs/>
                <w:sz w:val="24"/>
                <w:szCs w:val="24"/>
              </w:rPr>
              <w:t>ОДЕМ</w:t>
            </w:r>
            <w:r w:rsidRPr="00AE47C6">
              <w:rPr>
                <w:rFonts w:ascii="Times New Roman" w:hAnsi="Times New Roman"/>
                <w:sz w:val="24"/>
                <w:szCs w:val="24"/>
              </w:rPr>
              <w:t xml:space="preserve">, мултифазен </w:t>
            </w:r>
            <w:r w:rsidRPr="00AE47C6">
              <w:rPr>
                <w:rFonts w:ascii="Times New Roman" w:hAnsi="Times New Roman"/>
                <w:bCs/>
                <w:sz w:val="24"/>
                <w:szCs w:val="24"/>
              </w:rPr>
              <w:t>ОДЕМ</w:t>
            </w:r>
            <w:r w:rsidRPr="00AE47C6">
              <w:rPr>
                <w:rFonts w:ascii="Times New Roman" w:hAnsi="Times New Roman"/>
                <w:sz w:val="24"/>
                <w:szCs w:val="24"/>
              </w:rPr>
              <w:t>, последван от оптичен неврит</w:t>
            </w:r>
          </w:p>
        </w:tc>
      </w:tr>
    </w:tbl>
    <w:p w14:paraId="302D77A9" w14:textId="77777777" w:rsidR="00BE0B19" w:rsidRPr="00AE47C6" w:rsidRDefault="00BE0B19" w:rsidP="00BE0B19">
      <w:pPr>
        <w:spacing w:after="0" w:line="360" w:lineRule="auto"/>
        <w:ind w:firstLine="709"/>
        <w:jc w:val="both"/>
        <w:rPr>
          <w:rFonts w:ascii="Times New Roman" w:eastAsia="SimSun" w:hAnsi="Times New Roman"/>
          <w:b/>
          <w:bCs/>
          <w:sz w:val="24"/>
          <w:szCs w:val="24"/>
        </w:rPr>
      </w:pPr>
    </w:p>
    <w:p w14:paraId="5B545846" w14:textId="77777777" w:rsidR="00BE0B19" w:rsidRPr="00AE47C6" w:rsidRDefault="00BE0B19" w:rsidP="00BE0B19">
      <w:pPr>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sz w:val="24"/>
          <w:szCs w:val="24"/>
        </w:rPr>
        <w:t>Таблица 4.6. МРТ находки, които различават ОДЕМ от MС</w:t>
      </w:r>
    </w:p>
    <w:tbl>
      <w:tblPr>
        <w:tblStyle w:val="TableGrid2"/>
        <w:tblW w:w="9067" w:type="dxa"/>
        <w:tblLook w:val="04A0" w:firstRow="1" w:lastRow="0" w:firstColumn="1" w:lastColumn="0" w:noHBand="0" w:noVBand="1"/>
      </w:tblPr>
      <w:tblGrid>
        <w:gridCol w:w="6062"/>
        <w:gridCol w:w="1304"/>
        <w:gridCol w:w="1701"/>
      </w:tblGrid>
      <w:tr w:rsidR="00BE0B19" w:rsidRPr="00AE47C6" w14:paraId="67DA5A16" w14:textId="77777777" w:rsidTr="00AD72E5">
        <w:tc>
          <w:tcPr>
            <w:tcW w:w="6062" w:type="dxa"/>
          </w:tcPr>
          <w:p w14:paraId="4DCB5304" w14:textId="77777777" w:rsidR="00BE0B19" w:rsidRPr="00AE47C6" w:rsidRDefault="00BE0B19" w:rsidP="00BE0B19">
            <w:pPr>
              <w:spacing w:after="0" w:line="360" w:lineRule="auto"/>
              <w:jc w:val="both"/>
              <w:rPr>
                <w:rFonts w:ascii="Times New Roman" w:hAnsi="Times New Roman"/>
                <w:b/>
                <w:bCs/>
                <w:sz w:val="24"/>
                <w:szCs w:val="24"/>
              </w:rPr>
            </w:pPr>
            <w:r w:rsidRPr="00AE47C6">
              <w:rPr>
                <w:rFonts w:ascii="Times New Roman" w:hAnsi="Times New Roman"/>
                <w:b/>
                <w:bCs/>
                <w:sz w:val="24"/>
                <w:szCs w:val="24"/>
              </w:rPr>
              <w:t>МРТ лезия</w:t>
            </w:r>
          </w:p>
        </w:tc>
        <w:tc>
          <w:tcPr>
            <w:tcW w:w="1304" w:type="dxa"/>
          </w:tcPr>
          <w:p w14:paraId="0C3C9547" w14:textId="77777777" w:rsidR="00BE0B19" w:rsidRPr="00AE47C6" w:rsidRDefault="00BE0B19" w:rsidP="00BE0B19">
            <w:pPr>
              <w:spacing w:after="0" w:line="360" w:lineRule="auto"/>
              <w:jc w:val="both"/>
              <w:rPr>
                <w:rFonts w:ascii="Times New Roman" w:hAnsi="Times New Roman"/>
                <w:b/>
                <w:bCs/>
                <w:sz w:val="24"/>
                <w:szCs w:val="24"/>
              </w:rPr>
            </w:pPr>
            <w:r w:rsidRPr="00AE47C6">
              <w:rPr>
                <w:rFonts w:ascii="Times New Roman" w:hAnsi="Times New Roman"/>
                <w:b/>
                <w:bCs/>
                <w:sz w:val="24"/>
                <w:szCs w:val="24"/>
              </w:rPr>
              <w:t>Типично за ОДЕМ</w:t>
            </w:r>
          </w:p>
        </w:tc>
        <w:tc>
          <w:tcPr>
            <w:tcW w:w="1701" w:type="dxa"/>
          </w:tcPr>
          <w:p w14:paraId="0B376996" w14:textId="77777777" w:rsidR="00BE0B19" w:rsidRPr="00AE47C6" w:rsidRDefault="00BE0B19" w:rsidP="00BE0B19">
            <w:pPr>
              <w:spacing w:after="0" w:line="360" w:lineRule="auto"/>
              <w:jc w:val="both"/>
              <w:rPr>
                <w:rFonts w:ascii="Times New Roman" w:hAnsi="Times New Roman"/>
                <w:b/>
                <w:bCs/>
                <w:sz w:val="24"/>
                <w:szCs w:val="24"/>
              </w:rPr>
            </w:pPr>
            <w:r w:rsidRPr="00AE47C6">
              <w:rPr>
                <w:rFonts w:ascii="Times New Roman" w:hAnsi="Times New Roman"/>
                <w:b/>
                <w:bCs/>
                <w:sz w:val="24"/>
                <w:szCs w:val="24"/>
              </w:rPr>
              <w:t>Типично за MС</w:t>
            </w:r>
          </w:p>
        </w:tc>
      </w:tr>
      <w:tr w:rsidR="00BE0B19" w:rsidRPr="00AE47C6" w14:paraId="51A3BF38" w14:textId="77777777" w:rsidTr="00AD72E5">
        <w:tc>
          <w:tcPr>
            <w:tcW w:w="6062" w:type="dxa"/>
          </w:tcPr>
          <w:p w14:paraId="3EBED97B" w14:textId="77777777" w:rsidR="00BE0B19" w:rsidRPr="00AE47C6" w:rsidRDefault="00BE0B19" w:rsidP="00BE0B19">
            <w:pPr>
              <w:spacing w:after="0" w:line="360" w:lineRule="auto"/>
              <w:jc w:val="both"/>
              <w:rPr>
                <w:rFonts w:ascii="Times New Roman" w:hAnsi="Times New Roman"/>
                <w:b/>
                <w:bCs/>
                <w:sz w:val="24"/>
                <w:szCs w:val="24"/>
              </w:rPr>
            </w:pPr>
            <w:r w:rsidRPr="00AE47C6">
              <w:rPr>
                <w:rFonts w:ascii="Times New Roman" w:hAnsi="Times New Roman"/>
                <w:sz w:val="24"/>
                <w:szCs w:val="24"/>
              </w:rPr>
              <w:t xml:space="preserve">Лезии в дълбокото сиво вещество или в мозъчната кора </w:t>
            </w:r>
          </w:p>
        </w:tc>
        <w:tc>
          <w:tcPr>
            <w:tcW w:w="1304" w:type="dxa"/>
          </w:tcPr>
          <w:p w14:paraId="3AAA1535" w14:textId="77777777" w:rsidR="00BE0B19" w:rsidRPr="00AE47C6" w:rsidRDefault="00BE0B19" w:rsidP="00BE0B19">
            <w:pPr>
              <w:spacing w:after="0" w:line="360" w:lineRule="auto"/>
              <w:jc w:val="both"/>
              <w:rPr>
                <w:rFonts w:ascii="Times New Roman" w:hAnsi="Times New Roman"/>
                <w:bCs/>
                <w:sz w:val="24"/>
                <w:szCs w:val="24"/>
              </w:rPr>
            </w:pPr>
            <w:r w:rsidRPr="00AE47C6">
              <w:rPr>
                <w:rFonts w:ascii="Times New Roman" w:hAnsi="Times New Roman"/>
                <w:bCs/>
                <w:sz w:val="24"/>
                <w:szCs w:val="24"/>
              </w:rPr>
              <w:t>Да</w:t>
            </w:r>
          </w:p>
        </w:tc>
        <w:tc>
          <w:tcPr>
            <w:tcW w:w="1701" w:type="dxa"/>
          </w:tcPr>
          <w:p w14:paraId="29FC5DB5" w14:textId="77777777" w:rsidR="00BE0B19" w:rsidRPr="00AE47C6" w:rsidRDefault="00BE0B19" w:rsidP="00BE0B19">
            <w:pPr>
              <w:spacing w:after="0" w:line="360" w:lineRule="auto"/>
              <w:jc w:val="both"/>
              <w:rPr>
                <w:rFonts w:ascii="Times New Roman" w:hAnsi="Times New Roman"/>
                <w:bCs/>
                <w:sz w:val="24"/>
                <w:szCs w:val="24"/>
              </w:rPr>
            </w:pPr>
            <w:r w:rsidRPr="00AE47C6">
              <w:rPr>
                <w:rFonts w:ascii="Times New Roman" w:hAnsi="Times New Roman"/>
                <w:bCs/>
                <w:sz w:val="24"/>
                <w:szCs w:val="24"/>
              </w:rPr>
              <w:t>Не</w:t>
            </w:r>
          </w:p>
        </w:tc>
      </w:tr>
      <w:tr w:rsidR="00BE0B19" w:rsidRPr="00AE47C6" w14:paraId="5F0B792F" w14:textId="77777777" w:rsidTr="00AD72E5">
        <w:tc>
          <w:tcPr>
            <w:tcW w:w="6062" w:type="dxa"/>
          </w:tcPr>
          <w:p w14:paraId="11EBB8B7" w14:textId="77777777" w:rsidR="00BE0B19" w:rsidRPr="00AE47C6" w:rsidRDefault="00BE0B19" w:rsidP="00BE0B19">
            <w:pPr>
              <w:spacing w:after="0" w:line="360" w:lineRule="auto"/>
              <w:jc w:val="both"/>
              <w:rPr>
                <w:rFonts w:ascii="Times New Roman" w:hAnsi="Times New Roman"/>
                <w:b/>
                <w:bCs/>
                <w:sz w:val="24"/>
                <w:szCs w:val="24"/>
              </w:rPr>
            </w:pPr>
            <w:r w:rsidRPr="00AE47C6">
              <w:rPr>
                <w:rFonts w:ascii="Times New Roman" w:hAnsi="Times New Roman"/>
                <w:sz w:val="24"/>
                <w:szCs w:val="24"/>
              </w:rPr>
              <w:t>Двустранни дифузни лезии</w:t>
            </w:r>
          </w:p>
        </w:tc>
        <w:tc>
          <w:tcPr>
            <w:tcW w:w="1304" w:type="dxa"/>
          </w:tcPr>
          <w:p w14:paraId="1B19F124"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sz w:val="24"/>
                <w:szCs w:val="24"/>
              </w:rPr>
              <w:t>Да</w:t>
            </w:r>
          </w:p>
        </w:tc>
        <w:tc>
          <w:tcPr>
            <w:tcW w:w="1701" w:type="dxa"/>
          </w:tcPr>
          <w:p w14:paraId="4D44AF72"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sz w:val="24"/>
                <w:szCs w:val="24"/>
              </w:rPr>
              <w:t>Не</w:t>
            </w:r>
          </w:p>
        </w:tc>
      </w:tr>
      <w:tr w:rsidR="00BE0B19" w:rsidRPr="00AE47C6" w14:paraId="38BC011E" w14:textId="77777777" w:rsidTr="00AD72E5">
        <w:tc>
          <w:tcPr>
            <w:tcW w:w="6062" w:type="dxa"/>
          </w:tcPr>
          <w:p w14:paraId="5634F8EF" w14:textId="77777777" w:rsidR="00BE0B19" w:rsidRPr="00AE47C6" w:rsidRDefault="00BE0B19" w:rsidP="00BE0B19">
            <w:pPr>
              <w:spacing w:after="0" w:line="360" w:lineRule="auto"/>
              <w:jc w:val="both"/>
              <w:rPr>
                <w:rFonts w:ascii="Times New Roman" w:hAnsi="Times New Roman"/>
                <w:b/>
                <w:bCs/>
                <w:sz w:val="24"/>
                <w:szCs w:val="24"/>
              </w:rPr>
            </w:pPr>
            <w:r w:rsidRPr="00AE47C6">
              <w:rPr>
                <w:rFonts w:ascii="Times New Roman" w:hAnsi="Times New Roman"/>
                <w:sz w:val="24"/>
                <w:szCs w:val="24"/>
              </w:rPr>
              <w:t>Лошо отграничени лезии</w:t>
            </w:r>
          </w:p>
        </w:tc>
        <w:tc>
          <w:tcPr>
            <w:tcW w:w="1304" w:type="dxa"/>
          </w:tcPr>
          <w:p w14:paraId="493EC223"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sz w:val="24"/>
                <w:szCs w:val="24"/>
              </w:rPr>
              <w:t>Да</w:t>
            </w:r>
          </w:p>
        </w:tc>
        <w:tc>
          <w:tcPr>
            <w:tcW w:w="1701" w:type="dxa"/>
          </w:tcPr>
          <w:p w14:paraId="07AAA657"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sz w:val="24"/>
                <w:szCs w:val="24"/>
              </w:rPr>
              <w:t>Не</w:t>
            </w:r>
          </w:p>
        </w:tc>
      </w:tr>
      <w:tr w:rsidR="00BE0B19" w:rsidRPr="00AE47C6" w14:paraId="0DDEE9C5" w14:textId="77777777" w:rsidTr="00AD72E5">
        <w:tc>
          <w:tcPr>
            <w:tcW w:w="6062" w:type="dxa"/>
          </w:tcPr>
          <w:p w14:paraId="1F83A781" w14:textId="77777777" w:rsidR="00BE0B19" w:rsidRPr="00AE47C6" w:rsidRDefault="00BE0B19" w:rsidP="00BE0B19">
            <w:pPr>
              <w:spacing w:after="0" w:line="360" w:lineRule="auto"/>
              <w:jc w:val="both"/>
              <w:rPr>
                <w:rFonts w:ascii="Times New Roman" w:hAnsi="Times New Roman"/>
                <w:b/>
                <w:bCs/>
                <w:sz w:val="24"/>
                <w:szCs w:val="24"/>
              </w:rPr>
            </w:pPr>
            <w:r w:rsidRPr="00AE47C6">
              <w:rPr>
                <w:rFonts w:ascii="Times New Roman" w:hAnsi="Times New Roman"/>
                <w:sz w:val="24"/>
                <w:szCs w:val="24"/>
              </w:rPr>
              <w:t>Големи кълбовидни лезии</w:t>
            </w:r>
          </w:p>
        </w:tc>
        <w:tc>
          <w:tcPr>
            <w:tcW w:w="1304" w:type="dxa"/>
          </w:tcPr>
          <w:p w14:paraId="18BDBDE8"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sz w:val="24"/>
                <w:szCs w:val="24"/>
              </w:rPr>
              <w:t>Да</w:t>
            </w:r>
          </w:p>
        </w:tc>
        <w:tc>
          <w:tcPr>
            <w:tcW w:w="1701" w:type="dxa"/>
          </w:tcPr>
          <w:p w14:paraId="422B300B"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Cs/>
                <w:sz w:val="24"/>
                <w:szCs w:val="24"/>
              </w:rPr>
              <w:t>Не</w:t>
            </w:r>
          </w:p>
        </w:tc>
      </w:tr>
      <w:tr w:rsidR="00BE0B19" w:rsidRPr="00AE47C6" w14:paraId="02B11186" w14:textId="77777777" w:rsidTr="00AD72E5">
        <w:tc>
          <w:tcPr>
            <w:tcW w:w="6062" w:type="dxa"/>
          </w:tcPr>
          <w:p w14:paraId="3BBAE0E4" w14:textId="77777777" w:rsidR="00BE0B19" w:rsidRPr="00AE47C6" w:rsidRDefault="00BE0B19" w:rsidP="00BE0B19">
            <w:pPr>
              <w:spacing w:after="0" w:line="360" w:lineRule="auto"/>
              <w:jc w:val="both"/>
              <w:rPr>
                <w:rFonts w:ascii="Times New Roman" w:hAnsi="Times New Roman"/>
                <w:b/>
                <w:bCs/>
                <w:sz w:val="24"/>
                <w:szCs w:val="24"/>
              </w:rPr>
            </w:pPr>
            <w:r w:rsidRPr="00AE47C6">
              <w:rPr>
                <w:rFonts w:ascii="Times New Roman" w:hAnsi="Times New Roman"/>
                <w:sz w:val="24"/>
                <w:szCs w:val="24"/>
              </w:rPr>
              <w:t>Перивентрикулни лезии</w:t>
            </w:r>
          </w:p>
        </w:tc>
        <w:tc>
          <w:tcPr>
            <w:tcW w:w="1304" w:type="dxa"/>
          </w:tcPr>
          <w:p w14:paraId="0B5258C2" w14:textId="77777777" w:rsidR="00BE0B19" w:rsidRPr="00AE47C6" w:rsidRDefault="00BE0B19" w:rsidP="00BE0B19">
            <w:pPr>
              <w:spacing w:after="0" w:line="360" w:lineRule="auto"/>
              <w:jc w:val="both"/>
              <w:rPr>
                <w:rFonts w:ascii="Times New Roman" w:hAnsi="Times New Roman"/>
                <w:bCs/>
                <w:sz w:val="24"/>
                <w:szCs w:val="24"/>
              </w:rPr>
            </w:pPr>
            <w:r w:rsidRPr="00AE47C6">
              <w:rPr>
                <w:rFonts w:ascii="Times New Roman" w:hAnsi="Times New Roman"/>
                <w:bCs/>
                <w:sz w:val="24"/>
                <w:szCs w:val="24"/>
              </w:rPr>
              <w:t>Не</w:t>
            </w:r>
          </w:p>
        </w:tc>
        <w:tc>
          <w:tcPr>
            <w:tcW w:w="1701" w:type="dxa"/>
          </w:tcPr>
          <w:p w14:paraId="7123BA5A" w14:textId="77777777" w:rsidR="00BE0B19" w:rsidRPr="00AE47C6" w:rsidRDefault="00BE0B19" w:rsidP="00BE0B19">
            <w:pPr>
              <w:spacing w:after="0" w:line="360" w:lineRule="auto"/>
              <w:jc w:val="both"/>
              <w:rPr>
                <w:rFonts w:ascii="Times New Roman" w:hAnsi="Times New Roman"/>
                <w:bCs/>
                <w:sz w:val="24"/>
                <w:szCs w:val="24"/>
              </w:rPr>
            </w:pPr>
            <w:r w:rsidRPr="00AE47C6">
              <w:rPr>
                <w:rFonts w:ascii="Times New Roman" w:hAnsi="Times New Roman"/>
                <w:bCs/>
                <w:sz w:val="24"/>
                <w:szCs w:val="24"/>
              </w:rPr>
              <w:t>Да</w:t>
            </w:r>
          </w:p>
        </w:tc>
      </w:tr>
      <w:tr w:rsidR="00BE0B19" w:rsidRPr="00AE47C6" w14:paraId="61A88D16" w14:textId="77777777" w:rsidTr="00AD72E5">
        <w:tc>
          <w:tcPr>
            <w:tcW w:w="6062" w:type="dxa"/>
          </w:tcPr>
          <w:p w14:paraId="5DF9FAD9" w14:textId="77777777" w:rsidR="00BE0B19" w:rsidRPr="00AE47C6" w:rsidRDefault="00BE0B19" w:rsidP="00BE0B19">
            <w:pPr>
              <w:spacing w:after="0" w:line="360" w:lineRule="auto"/>
              <w:jc w:val="both"/>
              <w:rPr>
                <w:rFonts w:ascii="Times New Roman" w:hAnsi="Times New Roman"/>
                <w:b/>
                <w:bCs/>
                <w:sz w:val="24"/>
                <w:szCs w:val="24"/>
              </w:rPr>
            </w:pPr>
            <w:r w:rsidRPr="00AE47C6">
              <w:rPr>
                <w:rFonts w:ascii="Times New Roman" w:hAnsi="Times New Roman"/>
                <w:sz w:val="24"/>
                <w:szCs w:val="24"/>
              </w:rPr>
              <w:t>Лезии перпендикулярни на дългата ос на corpus callosum</w:t>
            </w:r>
          </w:p>
        </w:tc>
        <w:tc>
          <w:tcPr>
            <w:tcW w:w="1304" w:type="dxa"/>
          </w:tcPr>
          <w:p w14:paraId="5A194760" w14:textId="77777777" w:rsidR="00BE0B19" w:rsidRPr="00AE47C6" w:rsidRDefault="00BE0B19" w:rsidP="00BE0B19">
            <w:pPr>
              <w:spacing w:after="0" w:line="360" w:lineRule="auto"/>
              <w:jc w:val="both"/>
              <w:rPr>
                <w:rFonts w:ascii="Times New Roman" w:hAnsi="Times New Roman"/>
                <w:bCs/>
                <w:sz w:val="24"/>
                <w:szCs w:val="24"/>
              </w:rPr>
            </w:pPr>
            <w:r w:rsidRPr="00AE47C6">
              <w:rPr>
                <w:rFonts w:ascii="Times New Roman" w:hAnsi="Times New Roman"/>
                <w:bCs/>
                <w:sz w:val="24"/>
                <w:szCs w:val="24"/>
              </w:rPr>
              <w:t>Не</w:t>
            </w:r>
          </w:p>
        </w:tc>
        <w:tc>
          <w:tcPr>
            <w:tcW w:w="1701" w:type="dxa"/>
          </w:tcPr>
          <w:p w14:paraId="16D417FA" w14:textId="77777777" w:rsidR="00BE0B19" w:rsidRPr="00AE47C6" w:rsidRDefault="00BE0B19" w:rsidP="00BE0B19">
            <w:pPr>
              <w:spacing w:after="0" w:line="360" w:lineRule="auto"/>
              <w:jc w:val="both"/>
              <w:rPr>
                <w:rFonts w:ascii="Times New Roman" w:hAnsi="Times New Roman"/>
                <w:bCs/>
                <w:sz w:val="24"/>
                <w:szCs w:val="24"/>
              </w:rPr>
            </w:pPr>
            <w:r w:rsidRPr="00AE47C6">
              <w:rPr>
                <w:rFonts w:ascii="Times New Roman" w:hAnsi="Times New Roman"/>
                <w:bCs/>
                <w:sz w:val="24"/>
                <w:szCs w:val="24"/>
              </w:rPr>
              <w:t>Да</w:t>
            </w:r>
          </w:p>
        </w:tc>
      </w:tr>
      <w:tr w:rsidR="00BE0B19" w:rsidRPr="00AE47C6" w14:paraId="4962341F" w14:textId="77777777" w:rsidTr="00AD72E5">
        <w:tc>
          <w:tcPr>
            <w:tcW w:w="6062" w:type="dxa"/>
          </w:tcPr>
          <w:p w14:paraId="1A3978D5" w14:textId="77777777" w:rsidR="00BE0B19" w:rsidRPr="00AE47C6" w:rsidRDefault="00BE0B19" w:rsidP="00BE0B19">
            <w:pPr>
              <w:spacing w:after="0" w:line="360" w:lineRule="auto"/>
              <w:jc w:val="both"/>
              <w:rPr>
                <w:rFonts w:ascii="Times New Roman" w:hAnsi="Times New Roman"/>
                <w:bCs/>
                <w:sz w:val="24"/>
                <w:szCs w:val="24"/>
              </w:rPr>
            </w:pPr>
            <w:r w:rsidRPr="00AE47C6">
              <w:rPr>
                <w:rFonts w:ascii="Times New Roman" w:hAnsi="Times New Roman"/>
                <w:bCs/>
                <w:sz w:val="24"/>
                <w:szCs w:val="24"/>
              </w:rPr>
              <w:t>Овоидни лезии</w:t>
            </w:r>
          </w:p>
        </w:tc>
        <w:tc>
          <w:tcPr>
            <w:tcW w:w="1304" w:type="dxa"/>
          </w:tcPr>
          <w:p w14:paraId="29DD562D" w14:textId="77777777" w:rsidR="00BE0B19" w:rsidRPr="00AE47C6" w:rsidRDefault="00BE0B19" w:rsidP="00BE0B19">
            <w:pPr>
              <w:spacing w:after="0" w:line="360" w:lineRule="auto"/>
              <w:jc w:val="both"/>
              <w:rPr>
                <w:rFonts w:ascii="Times New Roman" w:hAnsi="Times New Roman"/>
                <w:bCs/>
                <w:sz w:val="24"/>
                <w:szCs w:val="24"/>
              </w:rPr>
            </w:pPr>
            <w:r w:rsidRPr="00AE47C6">
              <w:rPr>
                <w:rFonts w:ascii="Times New Roman" w:hAnsi="Times New Roman"/>
                <w:bCs/>
                <w:sz w:val="24"/>
                <w:szCs w:val="24"/>
              </w:rPr>
              <w:t>Не</w:t>
            </w:r>
          </w:p>
        </w:tc>
        <w:tc>
          <w:tcPr>
            <w:tcW w:w="1701" w:type="dxa"/>
          </w:tcPr>
          <w:p w14:paraId="2B3FCB2C" w14:textId="77777777" w:rsidR="00BE0B19" w:rsidRPr="00AE47C6" w:rsidRDefault="00BE0B19" w:rsidP="00BE0B19">
            <w:pPr>
              <w:spacing w:after="0" w:line="360" w:lineRule="auto"/>
              <w:jc w:val="both"/>
              <w:rPr>
                <w:rFonts w:ascii="Times New Roman" w:hAnsi="Times New Roman"/>
                <w:bCs/>
                <w:sz w:val="24"/>
                <w:szCs w:val="24"/>
              </w:rPr>
            </w:pPr>
            <w:r w:rsidRPr="00AE47C6">
              <w:rPr>
                <w:rFonts w:ascii="Times New Roman" w:hAnsi="Times New Roman"/>
                <w:bCs/>
                <w:sz w:val="24"/>
                <w:szCs w:val="24"/>
              </w:rPr>
              <w:t>Да</w:t>
            </w:r>
          </w:p>
        </w:tc>
      </w:tr>
      <w:tr w:rsidR="00BE0B19" w:rsidRPr="00AE47C6" w14:paraId="7AA81431" w14:textId="77777777" w:rsidTr="00AD72E5">
        <w:tc>
          <w:tcPr>
            <w:tcW w:w="6062" w:type="dxa"/>
          </w:tcPr>
          <w:p w14:paraId="57765AA2" w14:textId="77777777" w:rsidR="00BE0B19" w:rsidRPr="00AE47C6" w:rsidRDefault="00BE0B19" w:rsidP="00BE0B19">
            <w:pPr>
              <w:spacing w:after="0" w:line="360" w:lineRule="auto"/>
              <w:jc w:val="both"/>
              <w:rPr>
                <w:rFonts w:ascii="Times New Roman" w:hAnsi="Times New Roman"/>
                <w:b/>
                <w:bCs/>
                <w:sz w:val="24"/>
                <w:szCs w:val="24"/>
              </w:rPr>
            </w:pPr>
            <w:r w:rsidRPr="00AE47C6">
              <w:rPr>
                <w:rFonts w:ascii="Times New Roman" w:hAnsi="Times New Roman"/>
                <w:sz w:val="24"/>
                <w:szCs w:val="24"/>
              </w:rPr>
              <w:t>Лезии в калозо-септалния интерфейс на corpus callosum</w:t>
            </w:r>
          </w:p>
        </w:tc>
        <w:tc>
          <w:tcPr>
            <w:tcW w:w="1304" w:type="dxa"/>
          </w:tcPr>
          <w:p w14:paraId="727FDCBA" w14:textId="77777777" w:rsidR="00BE0B19" w:rsidRPr="00AE47C6" w:rsidRDefault="00BE0B19" w:rsidP="00BE0B19">
            <w:pPr>
              <w:spacing w:after="0" w:line="360" w:lineRule="auto"/>
              <w:jc w:val="both"/>
              <w:rPr>
                <w:rFonts w:ascii="Times New Roman" w:hAnsi="Times New Roman"/>
                <w:bCs/>
                <w:sz w:val="24"/>
                <w:szCs w:val="24"/>
              </w:rPr>
            </w:pPr>
            <w:r w:rsidRPr="00AE47C6">
              <w:rPr>
                <w:rFonts w:ascii="Times New Roman" w:hAnsi="Times New Roman"/>
                <w:bCs/>
                <w:sz w:val="24"/>
                <w:szCs w:val="24"/>
              </w:rPr>
              <w:t>Не</w:t>
            </w:r>
          </w:p>
        </w:tc>
        <w:tc>
          <w:tcPr>
            <w:tcW w:w="1701" w:type="dxa"/>
          </w:tcPr>
          <w:p w14:paraId="2E43D0A5" w14:textId="77777777" w:rsidR="00BE0B19" w:rsidRPr="00AE47C6" w:rsidRDefault="00BE0B19" w:rsidP="00BE0B19">
            <w:pPr>
              <w:spacing w:after="0" w:line="360" w:lineRule="auto"/>
              <w:jc w:val="both"/>
              <w:rPr>
                <w:rFonts w:ascii="Times New Roman" w:hAnsi="Times New Roman"/>
                <w:bCs/>
                <w:sz w:val="24"/>
                <w:szCs w:val="24"/>
              </w:rPr>
            </w:pPr>
            <w:r w:rsidRPr="00AE47C6">
              <w:rPr>
                <w:rFonts w:ascii="Times New Roman" w:hAnsi="Times New Roman"/>
                <w:bCs/>
                <w:sz w:val="24"/>
                <w:szCs w:val="24"/>
              </w:rPr>
              <w:t>Да</w:t>
            </w:r>
          </w:p>
        </w:tc>
      </w:tr>
      <w:tr w:rsidR="00BE0B19" w:rsidRPr="00AE47C6" w14:paraId="00DCD403" w14:textId="77777777" w:rsidTr="00AD72E5">
        <w:tc>
          <w:tcPr>
            <w:tcW w:w="6062" w:type="dxa"/>
          </w:tcPr>
          <w:p w14:paraId="1D1B9C3B" w14:textId="77777777" w:rsidR="00BE0B19" w:rsidRPr="00AE47C6" w:rsidRDefault="00BE0B19" w:rsidP="00BE0B19">
            <w:pPr>
              <w:spacing w:after="0" w:line="360" w:lineRule="auto"/>
              <w:jc w:val="both"/>
              <w:rPr>
                <w:rFonts w:ascii="Times New Roman" w:hAnsi="Times New Roman"/>
                <w:b/>
                <w:bCs/>
                <w:sz w:val="24"/>
                <w:szCs w:val="24"/>
              </w:rPr>
            </w:pPr>
            <w:r w:rsidRPr="00AE47C6">
              <w:rPr>
                <w:rFonts w:ascii="Times New Roman" w:hAnsi="Times New Roman"/>
                <w:sz w:val="24"/>
                <w:szCs w:val="24"/>
              </w:rPr>
              <w:t>Добре отграничени лезии</w:t>
            </w:r>
          </w:p>
        </w:tc>
        <w:tc>
          <w:tcPr>
            <w:tcW w:w="1304" w:type="dxa"/>
          </w:tcPr>
          <w:p w14:paraId="474543CC" w14:textId="77777777" w:rsidR="00BE0B19" w:rsidRPr="00AE47C6" w:rsidRDefault="00BE0B19" w:rsidP="00BE0B19">
            <w:pPr>
              <w:spacing w:after="0" w:line="360" w:lineRule="auto"/>
              <w:jc w:val="both"/>
              <w:rPr>
                <w:rFonts w:ascii="Times New Roman" w:hAnsi="Times New Roman"/>
                <w:bCs/>
                <w:sz w:val="24"/>
                <w:szCs w:val="24"/>
              </w:rPr>
            </w:pPr>
            <w:r w:rsidRPr="00AE47C6">
              <w:rPr>
                <w:rFonts w:ascii="Times New Roman" w:hAnsi="Times New Roman"/>
                <w:bCs/>
                <w:sz w:val="24"/>
                <w:szCs w:val="24"/>
              </w:rPr>
              <w:t>Не</w:t>
            </w:r>
          </w:p>
        </w:tc>
        <w:tc>
          <w:tcPr>
            <w:tcW w:w="1701" w:type="dxa"/>
          </w:tcPr>
          <w:p w14:paraId="4746C412" w14:textId="77777777" w:rsidR="00BE0B19" w:rsidRPr="00AE47C6" w:rsidRDefault="00BE0B19" w:rsidP="00BE0B19">
            <w:pPr>
              <w:spacing w:after="0" w:line="360" w:lineRule="auto"/>
              <w:jc w:val="both"/>
              <w:rPr>
                <w:rFonts w:ascii="Times New Roman" w:hAnsi="Times New Roman"/>
                <w:bCs/>
                <w:sz w:val="24"/>
                <w:szCs w:val="24"/>
              </w:rPr>
            </w:pPr>
            <w:r w:rsidRPr="00AE47C6">
              <w:rPr>
                <w:rFonts w:ascii="Times New Roman" w:hAnsi="Times New Roman"/>
                <w:bCs/>
                <w:sz w:val="24"/>
                <w:szCs w:val="24"/>
              </w:rPr>
              <w:t>Да</w:t>
            </w:r>
          </w:p>
        </w:tc>
      </w:tr>
      <w:tr w:rsidR="00BE0B19" w:rsidRPr="00AE47C6" w14:paraId="44EA0BAD" w14:textId="77777777" w:rsidTr="00AD72E5">
        <w:tc>
          <w:tcPr>
            <w:tcW w:w="6062" w:type="dxa"/>
          </w:tcPr>
          <w:p w14:paraId="32BE3907" w14:textId="77777777" w:rsidR="00BE0B19" w:rsidRPr="00AE47C6" w:rsidRDefault="00BE0B19" w:rsidP="00BE0B19">
            <w:pPr>
              <w:spacing w:after="0" w:line="360" w:lineRule="auto"/>
              <w:jc w:val="both"/>
              <w:rPr>
                <w:rFonts w:ascii="Times New Roman" w:hAnsi="Times New Roman"/>
                <w:b/>
                <w:bCs/>
                <w:sz w:val="24"/>
                <w:szCs w:val="24"/>
              </w:rPr>
            </w:pPr>
            <w:r w:rsidRPr="00AE47C6">
              <w:rPr>
                <w:rFonts w:ascii="Times New Roman" w:hAnsi="Times New Roman"/>
                <w:sz w:val="24"/>
                <w:szCs w:val="24"/>
              </w:rPr>
              <w:t>Черни дупки (на T</w:t>
            </w:r>
            <w:r w:rsidRPr="00AE47C6">
              <w:rPr>
                <w:rFonts w:ascii="Times New Roman" w:hAnsi="Times New Roman"/>
                <w:sz w:val="24"/>
                <w:szCs w:val="24"/>
                <w:vertAlign w:val="subscript"/>
              </w:rPr>
              <w:t>1</w:t>
            </w:r>
            <w:r w:rsidRPr="00AE47C6">
              <w:rPr>
                <w:rFonts w:ascii="Times New Roman" w:hAnsi="Times New Roman"/>
                <w:sz w:val="24"/>
                <w:szCs w:val="24"/>
              </w:rPr>
              <w:t xml:space="preserve"> измерване)</w:t>
            </w:r>
          </w:p>
        </w:tc>
        <w:tc>
          <w:tcPr>
            <w:tcW w:w="1304" w:type="dxa"/>
          </w:tcPr>
          <w:p w14:paraId="469E9564" w14:textId="77777777" w:rsidR="00BE0B19" w:rsidRPr="00AE47C6" w:rsidRDefault="00BE0B19" w:rsidP="00BE0B19">
            <w:pPr>
              <w:spacing w:after="0" w:line="360" w:lineRule="auto"/>
              <w:jc w:val="both"/>
              <w:rPr>
                <w:rFonts w:ascii="Times New Roman" w:hAnsi="Times New Roman"/>
                <w:bCs/>
                <w:sz w:val="24"/>
                <w:szCs w:val="24"/>
              </w:rPr>
            </w:pPr>
            <w:r w:rsidRPr="00AE47C6">
              <w:rPr>
                <w:rFonts w:ascii="Times New Roman" w:hAnsi="Times New Roman"/>
                <w:bCs/>
                <w:sz w:val="24"/>
                <w:szCs w:val="24"/>
              </w:rPr>
              <w:t>Не</w:t>
            </w:r>
          </w:p>
        </w:tc>
        <w:tc>
          <w:tcPr>
            <w:tcW w:w="1701" w:type="dxa"/>
          </w:tcPr>
          <w:p w14:paraId="4CD5E61F" w14:textId="77777777" w:rsidR="00BE0B19" w:rsidRPr="00AE47C6" w:rsidRDefault="00BE0B19" w:rsidP="00BE0B19">
            <w:pPr>
              <w:spacing w:after="0" w:line="360" w:lineRule="auto"/>
              <w:jc w:val="both"/>
              <w:rPr>
                <w:rFonts w:ascii="Times New Roman" w:hAnsi="Times New Roman"/>
                <w:bCs/>
                <w:sz w:val="24"/>
                <w:szCs w:val="24"/>
              </w:rPr>
            </w:pPr>
            <w:r w:rsidRPr="00AE47C6">
              <w:rPr>
                <w:rFonts w:ascii="Times New Roman" w:hAnsi="Times New Roman"/>
                <w:bCs/>
                <w:sz w:val="24"/>
                <w:szCs w:val="24"/>
              </w:rPr>
              <w:t>Да</w:t>
            </w:r>
          </w:p>
        </w:tc>
      </w:tr>
    </w:tbl>
    <w:p w14:paraId="61CED293" w14:textId="77777777" w:rsidR="00BE0B19" w:rsidRPr="00AE47C6" w:rsidRDefault="00BE0B19" w:rsidP="00BE0B19">
      <w:pPr>
        <w:spacing w:after="0" w:line="360" w:lineRule="auto"/>
        <w:ind w:firstLine="709"/>
        <w:jc w:val="both"/>
        <w:rPr>
          <w:rFonts w:ascii="Times New Roman" w:eastAsia="SimSun" w:hAnsi="Times New Roman"/>
          <w:b/>
          <w:bCs/>
          <w:sz w:val="24"/>
          <w:szCs w:val="24"/>
        </w:rPr>
      </w:pPr>
    </w:p>
    <w:p w14:paraId="56712C5D" w14:textId="77777777" w:rsidR="00BE0B19" w:rsidRPr="00AE47C6" w:rsidRDefault="00BE0B19" w:rsidP="00BE0B19">
      <w:pPr>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sz w:val="24"/>
          <w:szCs w:val="24"/>
        </w:rPr>
        <w:t>Таблица 4.7. Диференциална диагноза на ОДЕМ</w:t>
      </w:r>
    </w:p>
    <w:tbl>
      <w:tblPr>
        <w:tblW w:w="9062" w:type="dxa"/>
        <w:tblCellMar>
          <w:left w:w="0" w:type="dxa"/>
          <w:right w:w="0" w:type="dxa"/>
        </w:tblCellMar>
        <w:tblLook w:val="04A0" w:firstRow="1" w:lastRow="0" w:firstColumn="1" w:lastColumn="0" w:noHBand="0" w:noVBand="1"/>
      </w:tblPr>
      <w:tblGrid>
        <w:gridCol w:w="3920"/>
        <w:gridCol w:w="5142"/>
      </w:tblGrid>
      <w:tr w:rsidR="00BE0B19" w:rsidRPr="00AE47C6" w14:paraId="2DBE36DB" w14:textId="77777777" w:rsidTr="00AD72E5">
        <w:trPr>
          <w:trHeight w:val="506"/>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EBFD941" w14:textId="77777777" w:rsidR="00BE0B19" w:rsidRPr="00AE47C6" w:rsidRDefault="00BE0B19" w:rsidP="00BE0B19">
            <w:pPr>
              <w:spacing w:after="0" w:line="360" w:lineRule="auto"/>
              <w:jc w:val="both"/>
              <w:rPr>
                <w:rFonts w:ascii="Times New Roman" w:eastAsia="SimSun" w:hAnsi="Times New Roman"/>
                <w:bCs/>
                <w:sz w:val="24"/>
                <w:szCs w:val="24"/>
              </w:rPr>
            </w:pPr>
          </w:p>
        </w:tc>
        <w:tc>
          <w:tcPr>
            <w:tcW w:w="51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0FE7AEA"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Възможна причина </w:t>
            </w:r>
          </w:p>
        </w:tc>
      </w:tr>
      <w:tr w:rsidR="00BE0B19" w:rsidRPr="00AE47C6" w14:paraId="60047100" w14:textId="77777777" w:rsidTr="00AD72E5">
        <w:trPr>
          <w:trHeight w:val="506"/>
        </w:trPr>
        <w:tc>
          <w:tcPr>
            <w:tcW w:w="906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54B2CD9"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Клинични синдроми, атипични за ОДЕМ</w:t>
            </w:r>
          </w:p>
        </w:tc>
      </w:tr>
      <w:tr w:rsidR="00BE0B19" w:rsidRPr="00AE47C6" w14:paraId="2DF92747" w14:textId="77777777" w:rsidTr="00AD72E5">
        <w:trPr>
          <w:trHeight w:val="749"/>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56FE3B2"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Theme="minorHAnsi" w:hAnsi="Times New Roman"/>
                <w:sz w:val="24"/>
                <w:szCs w:val="24"/>
              </w:rPr>
              <w:t>Менингеални белези и главоболие</w:t>
            </w:r>
          </w:p>
        </w:tc>
        <w:tc>
          <w:tcPr>
            <w:tcW w:w="51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07EDD35"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Инфекциозен енцефалит, системни автоимунни заболявания (невросаркоидоза, SLE), васкулит на ЦНС </w:t>
            </w:r>
          </w:p>
        </w:tc>
      </w:tr>
      <w:tr w:rsidR="00BE0B19" w:rsidRPr="00AE47C6" w14:paraId="4F9ABCC1" w14:textId="77777777" w:rsidTr="00AD72E5">
        <w:trPr>
          <w:trHeight w:val="657"/>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A648D48"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Инсулт-подобни епизоди </w:t>
            </w:r>
          </w:p>
        </w:tc>
        <w:tc>
          <w:tcPr>
            <w:tcW w:w="51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E8CEFBB"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Васкулит на ЦНС, антифосфолипиден синдром, </w:t>
            </w:r>
          </w:p>
          <w:p w14:paraId="4FD593FA"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митохондриални болести (MELAS, POLG-свързани) </w:t>
            </w:r>
          </w:p>
        </w:tc>
      </w:tr>
      <w:tr w:rsidR="00BE0B19" w:rsidRPr="00AE47C6" w14:paraId="703F27C3" w14:textId="77777777" w:rsidTr="00AD72E5">
        <w:trPr>
          <w:trHeight w:val="506"/>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E481745"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Рецидивиращи епилептични пристъпи </w:t>
            </w:r>
          </w:p>
        </w:tc>
        <w:tc>
          <w:tcPr>
            <w:tcW w:w="51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EB1A622"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Инфекциозен или автоимунен енцефалит </w:t>
            </w:r>
          </w:p>
        </w:tc>
      </w:tr>
      <w:tr w:rsidR="00BE0B19" w:rsidRPr="00AE47C6" w14:paraId="72C4A274" w14:textId="77777777" w:rsidTr="00AD72E5">
        <w:trPr>
          <w:trHeight w:val="506"/>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1E553A2"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Дистония или паркинсонизъм </w:t>
            </w:r>
          </w:p>
        </w:tc>
        <w:tc>
          <w:tcPr>
            <w:tcW w:w="51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5C647FE"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Инфекциозен или автоимунен енцефалит </w:t>
            </w:r>
          </w:p>
        </w:tc>
      </w:tr>
      <w:tr w:rsidR="00BE0B19" w:rsidRPr="00AE47C6" w14:paraId="2F334AA0" w14:textId="77777777" w:rsidTr="00AD72E5">
        <w:trPr>
          <w:trHeight w:val="506"/>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C992B68"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Невропсихиатрични разстройства </w:t>
            </w:r>
          </w:p>
        </w:tc>
        <w:tc>
          <w:tcPr>
            <w:tcW w:w="51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B232AF2"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SLE или автоимунен енцефалит </w:t>
            </w:r>
          </w:p>
        </w:tc>
      </w:tr>
      <w:tr w:rsidR="00BE0B19" w:rsidRPr="00AE47C6" w14:paraId="3AFF8931" w14:textId="77777777" w:rsidTr="00AD72E5">
        <w:trPr>
          <w:trHeight w:val="667"/>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DC2A541"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Прогресивен ход </w:t>
            </w:r>
          </w:p>
        </w:tc>
        <w:tc>
          <w:tcPr>
            <w:tcW w:w="51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F4A933F"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Генетични/ метаболитни заболявания, глиоматоза, невросаркоидоза </w:t>
            </w:r>
          </w:p>
        </w:tc>
      </w:tr>
      <w:tr w:rsidR="00BE0B19" w:rsidRPr="00AE47C6" w14:paraId="7C0D8688" w14:textId="77777777" w:rsidTr="00AD72E5">
        <w:trPr>
          <w:trHeight w:val="749"/>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83EE434"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Анамнеза за забавено развитие или други неврологични с-ми </w:t>
            </w:r>
          </w:p>
        </w:tc>
        <w:tc>
          <w:tcPr>
            <w:tcW w:w="51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FC5A311"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Генетични/ метаболитни заболявания </w:t>
            </w:r>
          </w:p>
        </w:tc>
      </w:tr>
      <w:tr w:rsidR="00BE0B19" w:rsidRPr="00AE47C6" w14:paraId="22002F98" w14:textId="77777777" w:rsidTr="00AD72E5">
        <w:trPr>
          <w:trHeight w:val="749"/>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DEF1AED"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Рецидивиращи енцефалопатни епизоди </w:t>
            </w:r>
          </w:p>
        </w:tc>
        <w:tc>
          <w:tcPr>
            <w:tcW w:w="51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8E8B1F7"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Генетични/ метаболитни заболявания, системни автоимунни заболявания, автоимунен енцефалит, остра некротизираща енцефалопатия </w:t>
            </w:r>
          </w:p>
        </w:tc>
      </w:tr>
      <w:tr w:rsidR="00BE0B19" w:rsidRPr="00AE47C6" w14:paraId="20BF7A2F" w14:textId="77777777" w:rsidTr="00AD72E5">
        <w:trPr>
          <w:trHeight w:val="506"/>
        </w:trPr>
        <w:tc>
          <w:tcPr>
            <w:tcW w:w="906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C2E8C0B"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
                <w:bCs/>
                <w:sz w:val="24"/>
                <w:szCs w:val="24"/>
              </w:rPr>
              <w:t>Ликворни находки, атипични за ОДЕМ</w:t>
            </w:r>
          </w:p>
        </w:tc>
      </w:tr>
      <w:tr w:rsidR="00BE0B19" w:rsidRPr="00AE47C6" w14:paraId="4CBBDAAB" w14:textId="77777777" w:rsidTr="00AD72E5">
        <w:trPr>
          <w:trHeight w:val="749"/>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CBF1E0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Клетки&gt;50.10</w:t>
            </w:r>
            <w:r w:rsidRPr="00AE47C6">
              <w:rPr>
                <w:rFonts w:ascii="Times New Roman" w:eastAsia="SimSun" w:hAnsi="Times New Roman"/>
                <w:bCs/>
                <w:sz w:val="24"/>
                <w:szCs w:val="24"/>
                <w:vertAlign w:val="superscript"/>
              </w:rPr>
              <w:t>6</w:t>
            </w:r>
            <w:r w:rsidRPr="00AE47C6">
              <w:rPr>
                <w:rFonts w:ascii="Times New Roman" w:eastAsia="SimSun" w:hAnsi="Times New Roman"/>
                <w:bCs/>
                <w:sz w:val="24"/>
                <w:szCs w:val="24"/>
              </w:rPr>
              <w:t xml:space="preserve">/l или преобладаване на неутрофили или протеин &gt;1,0 g/L </w:t>
            </w:r>
          </w:p>
        </w:tc>
        <w:tc>
          <w:tcPr>
            <w:tcW w:w="51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AF02B9D"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ЦНС инфекции (HSV, EBV, ентеровируси, West </w:t>
            </w:r>
          </w:p>
          <w:p w14:paraId="6AC6190C"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Nile virus, mycoplasma), NMOSD, SLE </w:t>
            </w:r>
          </w:p>
        </w:tc>
      </w:tr>
      <w:tr w:rsidR="00BE0B19" w:rsidRPr="00AE47C6" w14:paraId="4404C8DE" w14:textId="77777777" w:rsidTr="00AD72E5">
        <w:trPr>
          <w:trHeight w:val="506"/>
        </w:trPr>
        <w:tc>
          <w:tcPr>
            <w:tcW w:w="906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DC0AEF5"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
                <w:bCs/>
                <w:sz w:val="24"/>
                <w:szCs w:val="24"/>
              </w:rPr>
              <w:t>Образни находки, атипични за ОДЕМ</w:t>
            </w:r>
          </w:p>
        </w:tc>
      </w:tr>
      <w:tr w:rsidR="00BE0B19" w:rsidRPr="00AE47C6" w14:paraId="4E324414" w14:textId="77777777" w:rsidTr="00AD72E5">
        <w:trPr>
          <w:trHeight w:val="749"/>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69ABAA7"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Дифузни симетрични лезии </w:t>
            </w:r>
          </w:p>
        </w:tc>
        <w:tc>
          <w:tcPr>
            <w:tcW w:w="51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8F74F83"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Генетични/ метаболитни заболявания; левкодистрофии, </w:t>
            </w:r>
          </w:p>
          <w:p w14:paraId="42B2534B"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Митохондриални заболявания, интоксикации (CO) </w:t>
            </w:r>
          </w:p>
        </w:tc>
      </w:tr>
      <w:tr w:rsidR="00BE0B19" w:rsidRPr="00AE47C6" w14:paraId="59A4B253" w14:textId="77777777" w:rsidTr="00AD72E5">
        <w:trPr>
          <w:trHeight w:val="751"/>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96A9951"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Остри исхемични лезии с рестрикция на дифузията в DWI/ADC</w:t>
            </w:r>
          </w:p>
        </w:tc>
        <w:tc>
          <w:tcPr>
            <w:tcW w:w="51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988A167"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Инсулт, митохондриални заболявания, ЦНС инфекции, антифосфолипиден синдром, ЦНС васкулит </w:t>
            </w:r>
          </w:p>
        </w:tc>
      </w:tr>
      <w:tr w:rsidR="00BE0B19" w:rsidRPr="00AE47C6" w14:paraId="646354F4" w14:textId="77777777" w:rsidTr="00AD72E5">
        <w:trPr>
          <w:trHeight w:val="506"/>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E5A060D"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Мезиална темпорална локализация </w:t>
            </w:r>
          </w:p>
        </w:tc>
        <w:tc>
          <w:tcPr>
            <w:tcW w:w="514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EA6E9C6"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Автоимунен енцефалит </w:t>
            </w:r>
          </w:p>
        </w:tc>
      </w:tr>
    </w:tbl>
    <w:p w14:paraId="51BEF094" w14:textId="77777777" w:rsidR="00BE0B19" w:rsidRPr="00AE47C6" w:rsidRDefault="00BE0B19" w:rsidP="00BE0B19">
      <w:pPr>
        <w:spacing w:after="0" w:line="360" w:lineRule="auto"/>
        <w:ind w:firstLine="709"/>
        <w:jc w:val="both"/>
        <w:rPr>
          <w:rFonts w:ascii="Times New Roman" w:eastAsia="SimSun" w:hAnsi="Times New Roman"/>
          <w:bCs/>
          <w:sz w:val="24"/>
          <w:szCs w:val="24"/>
        </w:rPr>
      </w:pPr>
    </w:p>
    <w:p w14:paraId="252032BC"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bCs/>
          <w:sz w:val="24"/>
          <w:szCs w:val="24"/>
        </w:rPr>
        <w:t xml:space="preserve">Таблица 4.8. МРТ лезии при </w:t>
      </w:r>
      <w:r w:rsidRPr="00AE47C6">
        <w:rPr>
          <w:rFonts w:ascii="Times New Roman" w:eastAsia="SimSun" w:hAnsi="Times New Roman"/>
          <w:b/>
          <w:sz w:val="24"/>
          <w:szCs w:val="24"/>
        </w:rPr>
        <w:t xml:space="preserve">диференциалната диагноза на </w:t>
      </w:r>
      <w:r w:rsidRPr="00AE47C6">
        <w:rPr>
          <w:rFonts w:ascii="Times New Roman" w:eastAsia="SimSun" w:hAnsi="Times New Roman"/>
          <w:b/>
          <w:bCs/>
          <w:sz w:val="24"/>
          <w:szCs w:val="24"/>
        </w:rPr>
        <w:t>ОДЕМ</w:t>
      </w:r>
    </w:p>
    <w:tbl>
      <w:tblPr>
        <w:tblStyle w:val="TableGrid2"/>
        <w:tblW w:w="0" w:type="auto"/>
        <w:tblLook w:val="04A0" w:firstRow="1" w:lastRow="0" w:firstColumn="1" w:lastColumn="0" w:noHBand="0" w:noVBand="1"/>
      </w:tblPr>
      <w:tblGrid>
        <w:gridCol w:w="3184"/>
        <w:gridCol w:w="5876"/>
      </w:tblGrid>
      <w:tr w:rsidR="00BE0B19" w:rsidRPr="00AE47C6" w14:paraId="7DA00C72" w14:textId="77777777" w:rsidTr="00AD72E5">
        <w:tc>
          <w:tcPr>
            <w:tcW w:w="3227" w:type="dxa"/>
          </w:tcPr>
          <w:p w14:paraId="5F472F63"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sz w:val="24"/>
                <w:szCs w:val="24"/>
              </w:rPr>
              <w:t>МРТ лезии</w:t>
            </w:r>
          </w:p>
        </w:tc>
        <w:tc>
          <w:tcPr>
            <w:tcW w:w="5983" w:type="dxa"/>
          </w:tcPr>
          <w:p w14:paraId="48F1C1AE"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sz w:val="24"/>
                <w:szCs w:val="24"/>
              </w:rPr>
              <w:t>Диагноза</w:t>
            </w:r>
          </w:p>
        </w:tc>
      </w:tr>
      <w:tr w:rsidR="00BE0B19" w:rsidRPr="00AE47C6" w14:paraId="206E5C16" w14:textId="77777777" w:rsidTr="00AD72E5">
        <w:trPr>
          <w:trHeight w:val="382"/>
        </w:trPr>
        <w:tc>
          <w:tcPr>
            <w:tcW w:w="3227" w:type="dxa"/>
            <w:vMerge w:val="restart"/>
          </w:tcPr>
          <w:p w14:paraId="000A6243"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Мултифокални лезии</w:t>
            </w:r>
          </w:p>
        </w:tc>
        <w:tc>
          <w:tcPr>
            <w:tcW w:w="5983" w:type="dxa"/>
          </w:tcPr>
          <w:p w14:paraId="296846BC"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MС</w:t>
            </w:r>
          </w:p>
        </w:tc>
      </w:tr>
      <w:tr w:rsidR="00BE0B19" w:rsidRPr="00AE47C6" w14:paraId="63488F4B" w14:textId="77777777" w:rsidTr="00AD72E5">
        <w:tc>
          <w:tcPr>
            <w:tcW w:w="3227" w:type="dxa"/>
            <w:vMerge/>
          </w:tcPr>
          <w:p w14:paraId="44CF8B8A" w14:textId="77777777" w:rsidR="00BE0B19" w:rsidRPr="00AE47C6" w:rsidRDefault="00BE0B19" w:rsidP="00BE0B19">
            <w:pPr>
              <w:spacing w:after="0" w:line="360" w:lineRule="auto"/>
              <w:jc w:val="both"/>
              <w:rPr>
                <w:rFonts w:ascii="Times New Roman" w:hAnsi="Times New Roman"/>
                <w:sz w:val="24"/>
                <w:szCs w:val="24"/>
              </w:rPr>
            </w:pPr>
          </w:p>
        </w:tc>
        <w:tc>
          <w:tcPr>
            <w:tcW w:w="5983" w:type="dxa"/>
          </w:tcPr>
          <w:p w14:paraId="6928F4E9"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Първичен васкулит на ЦНС</w:t>
            </w:r>
          </w:p>
        </w:tc>
      </w:tr>
      <w:tr w:rsidR="00BE0B19" w:rsidRPr="00AE47C6" w14:paraId="72D66F21" w14:textId="77777777" w:rsidTr="00AD72E5">
        <w:tc>
          <w:tcPr>
            <w:tcW w:w="3227" w:type="dxa"/>
            <w:vMerge/>
          </w:tcPr>
          <w:p w14:paraId="71AE2BBA" w14:textId="77777777" w:rsidR="00BE0B19" w:rsidRPr="00AE47C6" w:rsidRDefault="00BE0B19" w:rsidP="00BE0B19">
            <w:pPr>
              <w:spacing w:after="0" w:line="360" w:lineRule="auto"/>
              <w:jc w:val="both"/>
              <w:rPr>
                <w:rFonts w:ascii="Times New Roman" w:hAnsi="Times New Roman"/>
                <w:sz w:val="24"/>
                <w:szCs w:val="24"/>
              </w:rPr>
            </w:pPr>
          </w:p>
        </w:tc>
        <w:tc>
          <w:tcPr>
            <w:tcW w:w="5983" w:type="dxa"/>
          </w:tcPr>
          <w:p w14:paraId="41D06599"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Вторичен васкулит на ЦНС, вкл. SLEА, болест на Behcet</w:t>
            </w:r>
          </w:p>
        </w:tc>
      </w:tr>
      <w:tr w:rsidR="00BE0B19" w:rsidRPr="00AE47C6" w14:paraId="5A84DC4E" w14:textId="77777777" w:rsidTr="00AD72E5">
        <w:tc>
          <w:tcPr>
            <w:tcW w:w="3227" w:type="dxa"/>
            <w:vMerge/>
          </w:tcPr>
          <w:p w14:paraId="277228F2" w14:textId="77777777" w:rsidR="00BE0B19" w:rsidRPr="00AE47C6" w:rsidRDefault="00BE0B19" w:rsidP="00BE0B19">
            <w:pPr>
              <w:spacing w:after="0" w:line="360" w:lineRule="auto"/>
              <w:jc w:val="both"/>
              <w:rPr>
                <w:rFonts w:ascii="Times New Roman" w:hAnsi="Times New Roman"/>
                <w:sz w:val="24"/>
                <w:szCs w:val="24"/>
              </w:rPr>
            </w:pPr>
          </w:p>
        </w:tc>
        <w:tc>
          <w:tcPr>
            <w:tcW w:w="5983" w:type="dxa"/>
          </w:tcPr>
          <w:p w14:paraId="61998B60"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Невросаркоидоза</w:t>
            </w:r>
          </w:p>
        </w:tc>
      </w:tr>
      <w:tr w:rsidR="00BE0B19" w:rsidRPr="00AE47C6" w14:paraId="33ED2661" w14:textId="77777777" w:rsidTr="00AD72E5">
        <w:tc>
          <w:tcPr>
            <w:tcW w:w="3227" w:type="dxa"/>
            <w:vMerge/>
          </w:tcPr>
          <w:p w14:paraId="360494E6" w14:textId="77777777" w:rsidR="00BE0B19" w:rsidRPr="00AE47C6" w:rsidRDefault="00BE0B19" w:rsidP="00BE0B19">
            <w:pPr>
              <w:spacing w:after="0" w:line="360" w:lineRule="auto"/>
              <w:jc w:val="both"/>
              <w:rPr>
                <w:rFonts w:ascii="Times New Roman" w:hAnsi="Times New Roman"/>
                <w:sz w:val="24"/>
                <w:szCs w:val="24"/>
              </w:rPr>
            </w:pPr>
          </w:p>
        </w:tc>
        <w:tc>
          <w:tcPr>
            <w:tcW w:w="5983" w:type="dxa"/>
          </w:tcPr>
          <w:p w14:paraId="68D0F8FE"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Енцефалопатия на Hashimoto</w:t>
            </w:r>
          </w:p>
        </w:tc>
      </w:tr>
      <w:tr w:rsidR="00BE0B19" w:rsidRPr="00AE47C6" w14:paraId="59A3904E" w14:textId="77777777" w:rsidTr="00AD72E5">
        <w:tc>
          <w:tcPr>
            <w:tcW w:w="3227" w:type="dxa"/>
            <w:vMerge/>
          </w:tcPr>
          <w:p w14:paraId="2BE6259D" w14:textId="77777777" w:rsidR="00BE0B19" w:rsidRPr="00AE47C6" w:rsidRDefault="00BE0B19" w:rsidP="00BE0B19">
            <w:pPr>
              <w:spacing w:after="0" w:line="360" w:lineRule="auto"/>
              <w:jc w:val="both"/>
              <w:rPr>
                <w:rFonts w:ascii="Times New Roman" w:hAnsi="Times New Roman"/>
                <w:sz w:val="24"/>
                <w:szCs w:val="24"/>
              </w:rPr>
            </w:pPr>
          </w:p>
        </w:tc>
        <w:tc>
          <w:tcPr>
            <w:tcW w:w="5983" w:type="dxa"/>
          </w:tcPr>
          <w:p w14:paraId="373DD1BA"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Митохондриална болест; POLG-свързани болести</w:t>
            </w:r>
          </w:p>
        </w:tc>
      </w:tr>
      <w:tr w:rsidR="00BE0B19" w:rsidRPr="00AE47C6" w14:paraId="37FC17FC" w14:textId="77777777" w:rsidTr="00AD72E5">
        <w:tc>
          <w:tcPr>
            <w:tcW w:w="3227" w:type="dxa"/>
            <w:vMerge/>
          </w:tcPr>
          <w:p w14:paraId="72E3E1F7" w14:textId="77777777" w:rsidR="00BE0B19" w:rsidRPr="00AE47C6" w:rsidRDefault="00BE0B19" w:rsidP="00BE0B19">
            <w:pPr>
              <w:spacing w:after="0" w:line="360" w:lineRule="auto"/>
              <w:jc w:val="both"/>
              <w:rPr>
                <w:rFonts w:ascii="Times New Roman" w:hAnsi="Times New Roman"/>
                <w:sz w:val="24"/>
                <w:szCs w:val="24"/>
              </w:rPr>
            </w:pPr>
          </w:p>
        </w:tc>
        <w:tc>
          <w:tcPr>
            <w:tcW w:w="5983" w:type="dxa"/>
          </w:tcPr>
          <w:p w14:paraId="2B60B492"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Задна обратима енцефалопатия</w:t>
            </w:r>
          </w:p>
        </w:tc>
      </w:tr>
      <w:tr w:rsidR="00BE0B19" w:rsidRPr="00AE47C6" w14:paraId="363FCB57" w14:textId="77777777" w:rsidTr="00AD72E5">
        <w:tc>
          <w:tcPr>
            <w:tcW w:w="3227" w:type="dxa"/>
            <w:vMerge w:val="restart"/>
          </w:tcPr>
          <w:p w14:paraId="5D30FB4F"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 xml:space="preserve">Двустранни таламични и стриарни лезии </w:t>
            </w:r>
          </w:p>
        </w:tc>
        <w:tc>
          <w:tcPr>
            <w:tcW w:w="5983" w:type="dxa"/>
          </w:tcPr>
          <w:p w14:paraId="3B25DA98"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Остра некротизираща енцефалопатия тип 1</w:t>
            </w:r>
          </w:p>
        </w:tc>
      </w:tr>
      <w:tr w:rsidR="00BE0B19" w:rsidRPr="00AE47C6" w14:paraId="17F8CE03" w14:textId="77777777" w:rsidTr="00AD72E5">
        <w:tc>
          <w:tcPr>
            <w:tcW w:w="3227" w:type="dxa"/>
            <w:vMerge/>
          </w:tcPr>
          <w:p w14:paraId="4868A571" w14:textId="77777777" w:rsidR="00BE0B19" w:rsidRPr="00AE47C6" w:rsidRDefault="00BE0B19" w:rsidP="00BE0B19">
            <w:pPr>
              <w:spacing w:after="0" w:line="360" w:lineRule="auto"/>
              <w:jc w:val="both"/>
              <w:rPr>
                <w:rFonts w:ascii="Times New Roman" w:hAnsi="Times New Roman"/>
                <w:sz w:val="24"/>
                <w:szCs w:val="24"/>
              </w:rPr>
            </w:pPr>
          </w:p>
        </w:tc>
        <w:tc>
          <w:tcPr>
            <w:tcW w:w="5983" w:type="dxa"/>
          </w:tcPr>
          <w:p w14:paraId="719FBBE9"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 xml:space="preserve">Biotin-thiamine-отговарящо заболяване на базалните ядра </w:t>
            </w:r>
          </w:p>
        </w:tc>
      </w:tr>
      <w:tr w:rsidR="00BE0B19" w:rsidRPr="00AE47C6" w14:paraId="5742EEB1" w14:textId="77777777" w:rsidTr="00AD72E5">
        <w:tc>
          <w:tcPr>
            <w:tcW w:w="3227" w:type="dxa"/>
            <w:vMerge/>
          </w:tcPr>
          <w:p w14:paraId="3F040003" w14:textId="77777777" w:rsidR="00BE0B19" w:rsidRPr="00AE47C6" w:rsidRDefault="00BE0B19" w:rsidP="00BE0B19">
            <w:pPr>
              <w:spacing w:after="0" w:line="360" w:lineRule="auto"/>
              <w:jc w:val="both"/>
              <w:rPr>
                <w:rFonts w:ascii="Times New Roman" w:hAnsi="Times New Roman"/>
                <w:sz w:val="24"/>
                <w:szCs w:val="24"/>
              </w:rPr>
            </w:pPr>
          </w:p>
        </w:tc>
        <w:tc>
          <w:tcPr>
            <w:tcW w:w="5983" w:type="dxa"/>
          </w:tcPr>
          <w:p w14:paraId="17815267"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синдром на Leigh</w:t>
            </w:r>
          </w:p>
        </w:tc>
      </w:tr>
      <w:tr w:rsidR="00BE0B19" w:rsidRPr="00AE47C6" w14:paraId="1F7548F1" w14:textId="77777777" w:rsidTr="00AD72E5">
        <w:tc>
          <w:tcPr>
            <w:tcW w:w="3227" w:type="dxa"/>
            <w:vMerge/>
          </w:tcPr>
          <w:p w14:paraId="3DCBDBC3" w14:textId="77777777" w:rsidR="00BE0B19" w:rsidRPr="00AE47C6" w:rsidRDefault="00BE0B19" w:rsidP="00BE0B19">
            <w:pPr>
              <w:spacing w:after="0" w:line="360" w:lineRule="auto"/>
              <w:jc w:val="both"/>
              <w:rPr>
                <w:rFonts w:ascii="Times New Roman" w:hAnsi="Times New Roman"/>
                <w:sz w:val="24"/>
                <w:szCs w:val="24"/>
              </w:rPr>
            </w:pPr>
          </w:p>
        </w:tc>
        <w:tc>
          <w:tcPr>
            <w:tcW w:w="5983" w:type="dxa"/>
          </w:tcPr>
          <w:p w14:paraId="50BA8B0D"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Дълбока мозъчна венозна тромбоза</w:t>
            </w:r>
          </w:p>
        </w:tc>
      </w:tr>
      <w:tr w:rsidR="00BE0B19" w:rsidRPr="00AE47C6" w14:paraId="2AC13E78" w14:textId="77777777" w:rsidTr="00AD72E5">
        <w:tc>
          <w:tcPr>
            <w:tcW w:w="3227" w:type="dxa"/>
            <w:vMerge/>
          </w:tcPr>
          <w:p w14:paraId="717C0982" w14:textId="77777777" w:rsidR="00BE0B19" w:rsidRPr="00AE47C6" w:rsidRDefault="00BE0B19" w:rsidP="00BE0B19">
            <w:pPr>
              <w:spacing w:after="0" w:line="360" w:lineRule="auto"/>
              <w:jc w:val="both"/>
              <w:rPr>
                <w:rFonts w:ascii="Times New Roman" w:hAnsi="Times New Roman"/>
                <w:sz w:val="24"/>
                <w:szCs w:val="24"/>
              </w:rPr>
            </w:pPr>
          </w:p>
        </w:tc>
        <w:tc>
          <w:tcPr>
            <w:tcW w:w="5983" w:type="dxa"/>
          </w:tcPr>
          <w:p w14:paraId="3E85B6C3"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Японски енцефалит</w:t>
            </w:r>
          </w:p>
        </w:tc>
      </w:tr>
      <w:tr w:rsidR="00BE0B19" w:rsidRPr="00AE47C6" w14:paraId="403EC44F" w14:textId="77777777" w:rsidTr="00AD72E5">
        <w:tc>
          <w:tcPr>
            <w:tcW w:w="3227" w:type="dxa"/>
            <w:vMerge/>
          </w:tcPr>
          <w:p w14:paraId="52863D16" w14:textId="77777777" w:rsidR="00BE0B19" w:rsidRPr="00AE47C6" w:rsidRDefault="00BE0B19" w:rsidP="00BE0B19">
            <w:pPr>
              <w:spacing w:after="0" w:line="360" w:lineRule="auto"/>
              <w:jc w:val="both"/>
              <w:rPr>
                <w:rFonts w:ascii="Times New Roman" w:hAnsi="Times New Roman"/>
                <w:sz w:val="24"/>
                <w:szCs w:val="24"/>
              </w:rPr>
            </w:pPr>
          </w:p>
        </w:tc>
        <w:tc>
          <w:tcPr>
            <w:tcW w:w="5983" w:type="dxa"/>
          </w:tcPr>
          <w:p w14:paraId="02E25761"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ЕBV енцефалит</w:t>
            </w:r>
          </w:p>
        </w:tc>
      </w:tr>
      <w:tr w:rsidR="00BE0B19" w:rsidRPr="00AE47C6" w14:paraId="3D00BDF5" w14:textId="77777777" w:rsidTr="00AD72E5">
        <w:tc>
          <w:tcPr>
            <w:tcW w:w="3227" w:type="dxa"/>
            <w:vMerge/>
          </w:tcPr>
          <w:p w14:paraId="42FDDAA6" w14:textId="77777777" w:rsidR="00BE0B19" w:rsidRPr="00AE47C6" w:rsidRDefault="00BE0B19" w:rsidP="00BE0B19">
            <w:pPr>
              <w:spacing w:after="0" w:line="360" w:lineRule="auto"/>
              <w:jc w:val="both"/>
              <w:rPr>
                <w:rFonts w:ascii="Times New Roman" w:hAnsi="Times New Roman"/>
                <w:sz w:val="24"/>
                <w:szCs w:val="24"/>
              </w:rPr>
            </w:pPr>
          </w:p>
        </w:tc>
        <w:tc>
          <w:tcPr>
            <w:tcW w:w="5983" w:type="dxa"/>
          </w:tcPr>
          <w:p w14:paraId="1FB9FBE2"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Екстрапонтинна миелинолиза</w:t>
            </w:r>
          </w:p>
        </w:tc>
      </w:tr>
      <w:tr w:rsidR="00BE0B19" w:rsidRPr="00AE47C6" w14:paraId="5431A765" w14:textId="77777777" w:rsidTr="00AD72E5">
        <w:tc>
          <w:tcPr>
            <w:tcW w:w="3227" w:type="dxa"/>
            <w:vMerge/>
          </w:tcPr>
          <w:p w14:paraId="608423F6" w14:textId="77777777" w:rsidR="00BE0B19" w:rsidRPr="00AE47C6" w:rsidRDefault="00BE0B19" w:rsidP="00BE0B19">
            <w:pPr>
              <w:spacing w:after="0" w:line="360" w:lineRule="auto"/>
              <w:jc w:val="both"/>
              <w:rPr>
                <w:rFonts w:ascii="Times New Roman" w:hAnsi="Times New Roman"/>
                <w:sz w:val="24"/>
                <w:szCs w:val="24"/>
              </w:rPr>
            </w:pPr>
          </w:p>
        </w:tc>
        <w:tc>
          <w:tcPr>
            <w:tcW w:w="5983" w:type="dxa"/>
          </w:tcPr>
          <w:p w14:paraId="48648AE7"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Двустранен таламичен глиом</w:t>
            </w:r>
          </w:p>
        </w:tc>
      </w:tr>
      <w:tr w:rsidR="00BE0B19" w:rsidRPr="00AE47C6" w14:paraId="666BD14A" w14:textId="77777777" w:rsidTr="00AD72E5">
        <w:tc>
          <w:tcPr>
            <w:tcW w:w="3227" w:type="dxa"/>
            <w:vMerge w:val="restart"/>
          </w:tcPr>
          <w:p w14:paraId="0FEFA19D"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 xml:space="preserve">Двустранни обширни дифузни лезии в бялото вещество </w:t>
            </w:r>
          </w:p>
        </w:tc>
        <w:tc>
          <w:tcPr>
            <w:tcW w:w="5983" w:type="dxa"/>
          </w:tcPr>
          <w:p w14:paraId="7717C84B"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Левкодистрофии</w:t>
            </w:r>
          </w:p>
        </w:tc>
      </w:tr>
      <w:tr w:rsidR="00BE0B19" w:rsidRPr="00AE47C6" w14:paraId="08B01C16" w14:textId="77777777" w:rsidTr="00AD72E5">
        <w:tc>
          <w:tcPr>
            <w:tcW w:w="3227" w:type="dxa"/>
            <w:vMerge/>
          </w:tcPr>
          <w:p w14:paraId="51490163"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p>
        </w:tc>
        <w:tc>
          <w:tcPr>
            <w:tcW w:w="5983" w:type="dxa"/>
          </w:tcPr>
          <w:p w14:paraId="78C71651"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Токсични левкоенцефалопатии</w:t>
            </w:r>
          </w:p>
        </w:tc>
      </w:tr>
      <w:tr w:rsidR="00BE0B19" w:rsidRPr="00AE47C6" w14:paraId="59CDE6A1" w14:textId="77777777" w:rsidTr="00AD72E5">
        <w:tc>
          <w:tcPr>
            <w:tcW w:w="3227" w:type="dxa"/>
            <w:vMerge/>
          </w:tcPr>
          <w:p w14:paraId="673238CE"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p>
        </w:tc>
        <w:tc>
          <w:tcPr>
            <w:tcW w:w="5983" w:type="dxa"/>
          </w:tcPr>
          <w:p w14:paraId="0CBA1540"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Хемофагоцитна лимфохистиоцитоза</w:t>
            </w:r>
          </w:p>
        </w:tc>
      </w:tr>
      <w:tr w:rsidR="00BE0B19" w:rsidRPr="00AE47C6" w14:paraId="1964D873" w14:textId="77777777" w:rsidTr="00AD72E5">
        <w:trPr>
          <w:trHeight w:val="505"/>
        </w:trPr>
        <w:tc>
          <w:tcPr>
            <w:tcW w:w="3227" w:type="dxa"/>
            <w:vMerge/>
          </w:tcPr>
          <w:p w14:paraId="4B159909" w14:textId="77777777" w:rsidR="00BE0B19" w:rsidRPr="00AE47C6" w:rsidRDefault="00BE0B19" w:rsidP="00BE0B19">
            <w:pPr>
              <w:spacing w:after="0" w:line="360" w:lineRule="auto"/>
              <w:jc w:val="both"/>
              <w:rPr>
                <w:rFonts w:ascii="Times New Roman" w:hAnsi="Times New Roman"/>
                <w:sz w:val="24"/>
                <w:szCs w:val="24"/>
              </w:rPr>
            </w:pPr>
          </w:p>
        </w:tc>
        <w:tc>
          <w:tcPr>
            <w:tcW w:w="5983" w:type="dxa"/>
          </w:tcPr>
          <w:p w14:paraId="169CD35A"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Мозъчна глиоматоза</w:t>
            </w:r>
          </w:p>
        </w:tc>
      </w:tr>
      <w:tr w:rsidR="00BE0B19" w:rsidRPr="00AE47C6" w14:paraId="3E9522E8" w14:textId="77777777" w:rsidTr="00AD72E5">
        <w:tc>
          <w:tcPr>
            <w:tcW w:w="3227" w:type="dxa"/>
            <w:vMerge w:val="restart"/>
          </w:tcPr>
          <w:p w14:paraId="4CD06275"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Лезии &gt; 2 cm</w:t>
            </w:r>
          </w:p>
        </w:tc>
        <w:tc>
          <w:tcPr>
            <w:tcW w:w="5983" w:type="dxa"/>
          </w:tcPr>
          <w:p w14:paraId="715E028F"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Астроцитома</w:t>
            </w:r>
          </w:p>
        </w:tc>
      </w:tr>
      <w:tr w:rsidR="00BE0B19" w:rsidRPr="00AE47C6" w14:paraId="0A02F810" w14:textId="77777777" w:rsidTr="00AD72E5">
        <w:trPr>
          <w:trHeight w:val="268"/>
        </w:trPr>
        <w:tc>
          <w:tcPr>
            <w:tcW w:w="3227" w:type="dxa"/>
            <w:vMerge/>
          </w:tcPr>
          <w:p w14:paraId="7A68FAF7" w14:textId="77777777" w:rsidR="00BE0B19" w:rsidRPr="00AE47C6" w:rsidRDefault="00BE0B19" w:rsidP="00BE0B19">
            <w:pPr>
              <w:spacing w:after="0" w:line="360" w:lineRule="auto"/>
              <w:jc w:val="both"/>
              <w:rPr>
                <w:rFonts w:ascii="Times New Roman" w:hAnsi="Times New Roman"/>
                <w:sz w:val="24"/>
                <w:szCs w:val="24"/>
              </w:rPr>
            </w:pPr>
          </w:p>
        </w:tc>
        <w:tc>
          <w:tcPr>
            <w:tcW w:w="5983" w:type="dxa"/>
          </w:tcPr>
          <w:p w14:paraId="2870CA05"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Лимфом</w:t>
            </w:r>
          </w:p>
        </w:tc>
      </w:tr>
      <w:tr w:rsidR="00BE0B19" w:rsidRPr="00AE47C6" w14:paraId="0A005C27" w14:textId="77777777" w:rsidTr="00AD72E5">
        <w:tc>
          <w:tcPr>
            <w:tcW w:w="3227" w:type="dxa"/>
            <w:vMerge/>
          </w:tcPr>
          <w:p w14:paraId="2EF333E9" w14:textId="77777777" w:rsidR="00BE0B19" w:rsidRPr="00AE47C6" w:rsidRDefault="00BE0B19" w:rsidP="00BE0B19">
            <w:pPr>
              <w:spacing w:after="0" w:line="360" w:lineRule="auto"/>
              <w:jc w:val="both"/>
              <w:rPr>
                <w:rFonts w:ascii="Times New Roman" w:hAnsi="Times New Roman"/>
                <w:sz w:val="24"/>
                <w:szCs w:val="24"/>
              </w:rPr>
            </w:pPr>
          </w:p>
        </w:tc>
        <w:tc>
          <w:tcPr>
            <w:tcW w:w="5983" w:type="dxa"/>
          </w:tcPr>
          <w:p w14:paraId="431B5107"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 xml:space="preserve">Абсцес/инфекция </w:t>
            </w:r>
          </w:p>
        </w:tc>
      </w:tr>
    </w:tbl>
    <w:p w14:paraId="4ADBF924" w14:textId="77777777" w:rsidR="00BE0B19" w:rsidRPr="00AE47C6" w:rsidRDefault="00BE0B19" w:rsidP="00BE0B19">
      <w:pPr>
        <w:spacing w:after="0" w:line="360" w:lineRule="auto"/>
        <w:jc w:val="both"/>
        <w:rPr>
          <w:rFonts w:ascii="Times New Roman" w:eastAsia="SimSun" w:hAnsi="Times New Roman"/>
          <w:sz w:val="24"/>
          <w:szCs w:val="24"/>
        </w:rPr>
      </w:pPr>
    </w:p>
    <w:p w14:paraId="73F1C406"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ОДЕМ се диагностицира клинично и чрез МРТ и ликворно изследване (левкоцитоза, лека протеинорахия, без олигоклоналност). Поради липса на специфичен диагностичен тест, ОДЕМ се диагностицира чрез изключване от заболявания, налагащи друг тип лечение (Табл. 4.6, 4.7, 4.8). </w:t>
      </w:r>
    </w:p>
    <w:p w14:paraId="1CFA143E"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Основна диференциална диагноза на ОДЕМ е с клинично изолиран синдром (CIS) като първи пристъп на множествена склероза.</w:t>
      </w:r>
    </w:p>
    <w:p w14:paraId="40E73DF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Cs/>
          <w:sz w:val="24"/>
          <w:szCs w:val="24"/>
        </w:rPr>
        <w:t xml:space="preserve">Ролята на биомаркери, напр. автоантитела като анти-МОG (аnti-myelin oligodendrocyte glycoprotein), в патогенезата и диагнозата на ОДЕМ е дискусионна. </w:t>
      </w:r>
    </w:p>
    <w:p w14:paraId="024092A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Cs/>
          <w:i/>
          <w:sz w:val="24"/>
          <w:szCs w:val="24"/>
        </w:rPr>
        <w:t xml:space="preserve">Лечение: </w:t>
      </w:r>
      <w:r w:rsidRPr="00AE47C6">
        <w:rPr>
          <w:rFonts w:ascii="Times New Roman" w:eastAsia="SimSun" w:hAnsi="Times New Roman"/>
          <w:bCs/>
          <w:sz w:val="24"/>
          <w:szCs w:val="24"/>
        </w:rPr>
        <w:t>Ранна имунотерапия поради предполагаемата автоимунна етиология.</w:t>
      </w:r>
    </w:p>
    <w:p w14:paraId="024708C8" w14:textId="77777777" w:rsidR="00BE0B19" w:rsidRPr="00AE47C6" w:rsidRDefault="00BE0B19" w:rsidP="00BE0B19">
      <w:pPr>
        <w:spacing w:after="0" w:line="360" w:lineRule="auto"/>
        <w:ind w:firstLine="709"/>
        <w:jc w:val="both"/>
        <w:rPr>
          <w:rFonts w:ascii="Times New Roman" w:eastAsia="SimSun" w:hAnsi="Times New Roman"/>
          <w:b/>
          <w:bCs/>
          <w:i/>
          <w:iCs/>
          <w:sz w:val="24"/>
          <w:szCs w:val="24"/>
        </w:rPr>
      </w:pPr>
      <w:r w:rsidRPr="00AE47C6">
        <w:rPr>
          <w:rFonts w:ascii="Times New Roman" w:eastAsia="SimSun" w:hAnsi="Times New Roman"/>
          <w:bCs/>
          <w:i/>
          <w:sz w:val="24"/>
          <w:szCs w:val="24"/>
        </w:rPr>
        <w:t>Прогноза.</w:t>
      </w:r>
      <w:r w:rsidRPr="00AE47C6">
        <w:rPr>
          <w:rFonts w:ascii="Times New Roman" w:eastAsia="SimSun" w:hAnsi="Times New Roman"/>
          <w:bCs/>
          <w:sz w:val="24"/>
          <w:szCs w:val="24"/>
        </w:rPr>
        <w:t xml:space="preserve"> Изходът в детската възраст е общо благоприятен, но се описва когнитивен дефицит, дори без неврологична отпадна симптоматика. </w:t>
      </w:r>
      <w:r w:rsidRPr="00AE47C6">
        <w:rPr>
          <w:rFonts w:ascii="Times New Roman" w:eastAsia="SimSun" w:hAnsi="Times New Roman"/>
          <w:sz w:val="24"/>
          <w:szCs w:val="24"/>
        </w:rPr>
        <w:t xml:space="preserve">Възможен е </w:t>
      </w:r>
      <w:r w:rsidRPr="00AE47C6">
        <w:rPr>
          <w:rFonts w:ascii="Times New Roman" w:eastAsia="SimSun" w:hAnsi="Times New Roman"/>
          <w:bCs/>
          <w:sz w:val="24"/>
          <w:szCs w:val="24"/>
        </w:rPr>
        <w:t>преход към MS при до 18%, последващ оптичен неврит или невромиелит с нова клинична симптоматика.</w:t>
      </w:r>
    </w:p>
    <w:p w14:paraId="7A289AA6" w14:textId="77777777" w:rsidR="00BE0B19" w:rsidRPr="00AE47C6" w:rsidRDefault="00BE0B19" w:rsidP="00BE0B19">
      <w:pPr>
        <w:spacing w:after="0" w:line="360" w:lineRule="auto"/>
        <w:jc w:val="both"/>
        <w:rPr>
          <w:rFonts w:ascii="Times New Roman" w:eastAsia="SimSun" w:hAnsi="Times New Roman"/>
          <w:b/>
          <w:kern w:val="24"/>
          <w:sz w:val="24"/>
          <w:szCs w:val="24"/>
        </w:rPr>
      </w:pPr>
    </w:p>
    <w:p w14:paraId="02C1D9C6"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Остър некротизиращ хеморагичен енцефаломиелит (остър хеморагичен левкоенцефаломиелит на Weston-Hurst).</w:t>
      </w:r>
      <w:r w:rsidRPr="00AE47C6">
        <w:rPr>
          <w:rFonts w:ascii="Times New Roman" w:eastAsia="SimSun" w:hAnsi="Times New Roman"/>
          <w:sz w:val="24"/>
          <w:szCs w:val="24"/>
          <w:lang w:eastAsia="bg-BG"/>
        </w:rPr>
        <w:t xml:space="preserve"> Представлява най-тежката форма на </w:t>
      </w:r>
      <w:r w:rsidRPr="00AE47C6">
        <w:rPr>
          <w:rFonts w:ascii="Times New Roman" w:eastAsia="SimSun" w:hAnsi="Times New Roman"/>
          <w:bCs/>
          <w:sz w:val="24"/>
          <w:szCs w:val="24"/>
          <w:lang w:eastAsia="bg-BG"/>
        </w:rPr>
        <w:t>ОДЕМ</w:t>
      </w:r>
      <w:r w:rsidRPr="00AE47C6">
        <w:rPr>
          <w:rFonts w:ascii="Times New Roman" w:eastAsia="SimSun" w:hAnsi="Times New Roman"/>
          <w:sz w:val="24"/>
          <w:szCs w:val="24"/>
          <w:lang w:eastAsia="bg-BG"/>
        </w:rPr>
        <w:t xml:space="preserve">. </w:t>
      </w:r>
    </w:p>
    <w:p w14:paraId="61CC3C7F"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7339BD7C" w14:textId="77777777" w:rsidR="00BE0B19" w:rsidRPr="00AE47C6" w:rsidRDefault="00BE0B19" w:rsidP="00BE0B19">
      <w:pPr>
        <w:spacing w:after="0" w:line="360" w:lineRule="auto"/>
        <w:ind w:firstLine="720"/>
        <w:contextualSpacing/>
        <w:jc w:val="both"/>
        <w:rPr>
          <w:rFonts w:ascii="Times New Roman" w:eastAsia="SimSun" w:hAnsi="Times New Roman"/>
          <w:b/>
          <w:kern w:val="24"/>
          <w:sz w:val="24"/>
          <w:szCs w:val="24"/>
        </w:rPr>
      </w:pPr>
      <w:r w:rsidRPr="00AE47C6">
        <w:rPr>
          <w:rFonts w:ascii="Times New Roman" w:eastAsia="SimSun" w:hAnsi="Times New Roman"/>
          <w:b/>
          <w:kern w:val="24"/>
          <w:sz w:val="24"/>
          <w:szCs w:val="24"/>
        </w:rPr>
        <w:t>Енцефалити и енцефаломиелити при остри обривни инфекции и след ваксинации</w:t>
      </w:r>
      <w:r w:rsidRPr="00AE47C6">
        <w:rPr>
          <w:rFonts w:ascii="Times New Roman" w:eastAsia="SimSun" w:hAnsi="Times New Roman"/>
          <w:iCs/>
          <w:kern w:val="24"/>
          <w:sz w:val="24"/>
          <w:szCs w:val="24"/>
        </w:rPr>
        <w:t xml:space="preserve"> (</w:t>
      </w:r>
      <w:r w:rsidRPr="00AE47C6">
        <w:rPr>
          <w:rFonts w:ascii="Times New Roman" w:eastAsia="SimSun" w:hAnsi="Times New Roman"/>
          <w:b/>
          <w:kern w:val="24"/>
          <w:sz w:val="24"/>
          <w:szCs w:val="24"/>
        </w:rPr>
        <w:t>Постинфекциозни и постваксинални дисеминирани енцефаломиелити)</w:t>
      </w:r>
    </w:p>
    <w:p w14:paraId="09273DBA"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Етиопатогенеза</w:t>
      </w:r>
      <w:r w:rsidRPr="00AE47C6">
        <w:rPr>
          <w:rFonts w:ascii="Times New Roman" w:eastAsia="SimSun" w:hAnsi="Times New Roman"/>
          <w:i/>
          <w:iCs/>
          <w:kern w:val="24"/>
          <w:sz w:val="24"/>
          <w:szCs w:val="24"/>
        </w:rPr>
        <w:t xml:space="preserve">. </w:t>
      </w:r>
      <w:r w:rsidRPr="00AE47C6">
        <w:rPr>
          <w:rFonts w:ascii="Times New Roman" w:eastAsia="SimSun" w:hAnsi="Times New Roman"/>
          <w:kern w:val="24"/>
          <w:sz w:val="24"/>
          <w:szCs w:val="24"/>
        </w:rPr>
        <w:t xml:space="preserve">Възникват в периода на оздравяване на инфекциозната болест и са незадължително усложнение на обривни и други инфекции (морбили, рубеола, вариола, варицела, паротит) и ваксинации (против вариола, морбили, заушки, грип, антирабична, жива ваксина на Sabin и при прилагане на тетанусов антитоксин). Най-чести са след рубеола и морбили. Счита се, че са демиелинизиращи автоимунни заболявания. Вероятно вируса тригерира имуномедиирана реакция срещу миелина в ЦНС и предизвиква заболяване. Не може напълно да се отхвърли възможността за директна инфекция на ЦНС. Срещат се по-често при деца. Клинично и патоанатомично са неразличими от ОДЕМ, който възниква и след банални респираторни инфекции, грип, инфекциозна мононуклеоза, cytomegalovirus, Epstein-Barr, mycoplasma pneumoniae и дори след HIV инфекция. Проявяват се и като параинфекциозни енцефаломиелити – започват още по време на инфекциозното заболяване. </w:t>
      </w:r>
    </w:p>
    <w:p w14:paraId="4177CFD4"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 xml:space="preserve">Патоморфологично </w:t>
      </w:r>
      <w:r w:rsidRPr="00AE47C6">
        <w:rPr>
          <w:rFonts w:ascii="Times New Roman" w:eastAsia="SimSun" w:hAnsi="Times New Roman"/>
          <w:kern w:val="24"/>
          <w:sz w:val="24"/>
          <w:szCs w:val="24"/>
        </w:rPr>
        <w:t>се установяват перивенозна серодиапедеза, демиелинизация и глиоза. Лезиите са пръснати в кората, подкоровото бяло вещество, мозъчния ствол, гръбначния и малкия мозък, с предимно засягане на едни или други части на нервната система в зависимост от основното инфекциозно заболяване. Мозъчните лезии са овални, а аксоните са относително запазени.</w:t>
      </w:r>
    </w:p>
    <w:p w14:paraId="2C6CC7E4" w14:textId="77777777" w:rsidR="00BE0B19" w:rsidRPr="00AE47C6" w:rsidRDefault="00BE0B19" w:rsidP="00BE0B19">
      <w:pPr>
        <w:spacing w:after="0" w:line="360" w:lineRule="auto"/>
        <w:ind w:firstLine="709"/>
        <w:jc w:val="both"/>
        <w:rPr>
          <w:rFonts w:ascii="Times New Roman" w:eastAsia="SimSun" w:hAnsi="Times New Roman"/>
          <w:iCs/>
          <w:kern w:val="24"/>
          <w:sz w:val="24"/>
          <w:szCs w:val="24"/>
        </w:rPr>
      </w:pPr>
      <w:r w:rsidRPr="00AE47C6">
        <w:rPr>
          <w:rFonts w:ascii="Times New Roman" w:eastAsia="SimSun" w:hAnsi="Times New Roman"/>
          <w:b/>
          <w:iCs/>
          <w:kern w:val="24"/>
          <w:sz w:val="24"/>
          <w:szCs w:val="24"/>
        </w:rPr>
        <w:t xml:space="preserve">Клинично </w:t>
      </w:r>
      <w:r w:rsidRPr="00AE47C6">
        <w:rPr>
          <w:rFonts w:ascii="Times New Roman" w:eastAsia="SimSun" w:hAnsi="Times New Roman"/>
          <w:iCs/>
          <w:kern w:val="24"/>
          <w:sz w:val="24"/>
          <w:szCs w:val="24"/>
        </w:rPr>
        <w:t>се проявява няколко дни или седмици след фебрилното заболяване, когато пациента привидно оздравява. Могат да протекат в различна клинична форма – като енцефалит или като миелит с</w:t>
      </w:r>
      <w:r w:rsidRPr="00AE47C6">
        <w:rPr>
          <w:rFonts w:ascii="Times New Roman" w:eastAsia="SimSun" w:hAnsi="Times New Roman"/>
          <w:kern w:val="24"/>
          <w:sz w:val="24"/>
          <w:szCs w:val="24"/>
        </w:rPr>
        <w:t xml:space="preserve"> повишаване на температурата до 39-40°С и менингеална реакция.</w:t>
      </w:r>
    </w:p>
    <w:p w14:paraId="643D416E"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iCs/>
          <w:kern w:val="24"/>
          <w:sz w:val="24"/>
          <w:szCs w:val="24"/>
          <w:u w:val="single"/>
        </w:rPr>
        <w:t>Енцефалитната форма</w:t>
      </w:r>
      <w:r w:rsidRPr="00AE47C6">
        <w:rPr>
          <w:rFonts w:ascii="Times New Roman" w:eastAsia="SimSun" w:hAnsi="Times New Roman"/>
          <w:iCs/>
          <w:kern w:val="24"/>
          <w:sz w:val="24"/>
          <w:szCs w:val="24"/>
        </w:rPr>
        <w:t xml:space="preserve"> </w:t>
      </w:r>
      <w:r w:rsidRPr="00AE47C6">
        <w:rPr>
          <w:rFonts w:ascii="Times New Roman" w:eastAsia="SimSun" w:hAnsi="Times New Roman"/>
          <w:kern w:val="24"/>
          <w:sz w:val="24"/>
          <w:szCs w:val="24"/>
        </w:rPr>
        <w:t xml:space="preserve">има остро начало с обърканост, сомнолентност, главоболие, атаксия, огнищни или генерализирани епилептични припадъци, децеребрационна спастичност, помрачено съзнание или делирни преживявания, ступор и кома. Няколко дни по-късно, след проясняване на съзнанието, се появяват огнищните прояви (пирамидни симптоми, корова слепота, миоклонии, афазия, хореоатетоза и тежки автономни дисфункции). По-рядко има неврит на зрителния нерв или церебеларна атаксия. В много случаи, особено след паротит заболяването протича по-леко, само с менингеален синдром, главоболие и обърканост. </w:t>
      </w:r>
    </w:p>
    <w:p w14:paraId="1D03FD5E"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iCs/>
          <w:kern w:val="24"/>
          <w:sz w:val="24"/>
          <w:szCs w:val="24"/>
        </w:rPr>
        <w:t xml:space="preserve">Морбилният енцефалит </w:t>
      </w:r>
      <w:r w:rsidRPr="00AE47C6">
        <w:rPr>
          <w:rFonts w:ascii="Times New Roman" w:eastAsia="SimSun" w:hAnsi="Times New Roman"/>
          <w:kern w:val="24"/>
          <w:sz w:val="24"/>
          <w:szCs w:val="24"/>
        </w:rPr>
        <w:t>се развива 3-7 дни след екзантема с начални епилептични припадъци, хеми- и квадрипарези, пареза на очедвигателните нерви, мехурни смущения и др. Остатъчните явления в около 20 до 40% от случаите се изразяват в симптоматична епилепсия, спастични парези, афатични разстройства и др.</w:t>
      </w:r>
    </w:p>
    <w:p w14:paraId="3D1BC1E9"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kern w:val="24"/>
          <w:sz w:val="24"/>
          <w:szCs w:val="24"/>
        </w:rPr>
        <w:t xml:space="preserve">При предимна локализация на процеса в </w:t>
      </w:r>
      <w:r w:rsidRPr="00AE47C6">
        <w:rPr>
          <w:rFonts w:ascii="Times New Roman" w:eastAsia="SimSun" w:hAnsi="Times New Roman"/>
          <w:iCs/>
          <w:kern w:val="24"/>
          <w:sz w:val="24"/>
          <w:szCs w:val="24"/>
          <w:u w:val="single"/>
        </w:rPr>
        <w:t>малкия мозък</w:t>
      </w:r>
      <w:r w:rsidRPr="00AE47C6">
        <w:rPr>
          <w:rFonts w:ascii="Times New Roman" w:eastAsia="SimSun" w:hAnsi="Times New Roman"/>
          <w:iCs/>
          <w:kern w:val="24"/>
          <w:sz w:val="24"/>
          <w:szCs w:val="24"/>
        </w:rPr>
        <w:t xml:space="preserve">, </w:t>
      </w:r>
      <w:r w:rsidRPr="00AE47C6">
        <w:rPr>
          <w:rFonts w:ascii="Times New Roman" w:eastAsia="SimSun" w:hAnsi="Times New Roman"/>
          <w:kern w:val="24"/>
          <w:sz w:val="24"/>
          <w:szCs w:val="24"/>
        </w:rPr>
        <w:t xml:space="preserve">както е при болните с енцефалит след </w:t>
      </w:r>
      <w:r w:rsidRPr="00AE47C6">
        <w:rPr>
          <w:rFonts w:ascii="Times New Roman" w:eastAsia="SimSun" w:hAnsi="Times New Roman"/>
          <w:i/>
          <w:kern w:val="24"/>
          <w:sz w:val="24"/>
          <w:szCs w:val="24"/>
        </w:rPr>
        <w:t>варицела</w:t>
      </w:r>
      <w:r w:rsidRPr="00AE47C6">
        <w:rPr>
          <w:rFonts w:ascii="Times New Roman" w:eastAsia="SimSun" w:hAnsi="Times New Roman"/>
          <w:kern w:val="24"/>
          <w:sz w:val="24"/>
          <w:szCs w:val="24"/>
        </w:rPr>
        <w:t>, преобладават острата атаксия, дизметрията, интенционният тремор и др.</w:t>
      </w:r>
    </w:p>
    <w:p w14:paraId="6CEADB69"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i/>
          <w:iCs/>
          <w:kern w:val="24"/>
          <w:sz w:val="24"/>
          <w:szCs w:val="24"/>
          <w:u w:val="single"/>
        </w:rPr>
        <w:t>Миелитната форма</w:t>
      </w:r>
      <w:r w:rsidRPr="00AE47C6">
        <w:rPr>
          <w:rFonts w:ascii="Times New Roman" w:eastAsia="SimSun" w:hAnsi="Times New Roman"/>
          <w:iCs/>
          <w:kern w:val="24"/>
          <w:sz w:val="24"/>
          <w:szCs w:val="24"/>
          <w:u w:val="single"/>
        </w:rPr>
        <w:t xml:space="preserve"> </w:t>
      </w:r>
      <w:r w:rsidRPr="00AE47C6">
        <w:rPr>
          <w:rFonts w:ascii="Times New Roman" w:eastAsia="SimSun" w:hAnsi="Times New Roman"/>
          <w:kern w:val="24"/>
          <w:sz w:val="24"/>
          <w:szCs w:val="24"/>
        </w:rPr>
        <w:t xml:space="preserve">е типична след ваксинация против бяс и варицела. Протича като остър или подостър трансверзален миелит (най-често с торакално ниво) с болки в гърба, пълна или частична вяла пара- или квадри- пареза, загуба на сухожилните рефлекси, сфинктерни и сетивни нарушения с ниво. В други случаи може да протече като асцендиращ, дифузен или частичен миелит – синдром на Brown-Sequard, засягане на задните колони или територията на предната спинална артерия. След </w:t>
      </w:r>
      <w:r w:rsidRPr="00AE47C6">
        <w:rPr>
          <w:rFonts w:ascii="Times New Roman" w:eastAsia="SimSun" w:hAnsi="Times New Roman"/>
          <w:iCs/>
          <w:kern w:val="24"/>
          <w:sz w:val="24"/>
          <w:szCs w:val="24"/>
        </w:rPr>
        <w:t xml:space="preserve">антирабична ваксинация </w:t>
      </w:r>
      <w:r w:rsidRPr="00AE47C6">
        <w:rPr>
          <w:rFonts w:ascii="Times New Roman" w:eastAsia="SimSun" w:hAnsi="Times New Roman"/>
          <w:kern w:val="24"/>
          <w:sz w:val="24"/>
          <w:szCs w:val="24"/>
        </w:rPr>
        <w:t>миелитният процес е с дорзо-лумбална локализация или възходящ тип Landry. Смъртността е голяма при булбо-понтинните форми.</w:t>
      </w:r>
    </w:p>
    <w:p w14:paraId="08F04E33"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 xml:space="preserve">Изследванията </w:t>
      </w:r>
      <w:r w:rsidRPr="00AE47C6">
        <w:rPr>
          <w:rFonts w:ascii="Times New Roman" w:eastAsia="SimSun" w:hAnsi="Times New Roman"/>
          <w:kern w:val="24"/>
          <w:sz w:val="24"/>
          <w:szCs w:val="24"/>
        </w:rPr>
        <w:t>показват леко повишаване на лимфоцитите и протеина в ликвора. Чрез МРТ се установяват двустранни конфлуиращи Т</w:t>
      </w:r>
      <w:r w:rsidRPr="00AE47C6">
        <w:rPr>
          <w:rFonts w:ascii="Times New Roman" w:eastAsia="SimSun" w:hAnsi="Times New Roman"/>
          <w:kern w:val="24"/>
          <w:sz w:val="24"/>
          <w:szCs w:val="24"/>
          <w:vertAlign w:val="subscript"/>
        </w:rPr>
        <w:t>2</w:t>
      </w:r>
      <w:r w:rsidRPr="00AE47C6">
        <w:rPr>
          <w:rFonts w:ascii="Times New Roman" w:eastAsia="SimSun" w:hAnsi="Times New Roman"/>
          <w:kern w:val="24"/>
          <w:sz w:val="24"/>
          <w:szCs w:val="24"/>
        </w:rPr>
        <w:t xml:space="preserve"> хиперинтензни лезии на бялото мозъчно вещество в двете хемисфери. ЕЕГ изследването показва генерализирана активност с ниска честота (4-6 Hz) и висока амплитуда. </w:t>
      </w:r>
    </w:p>
    <w:p w14:paraId="05F4A22B"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Диференциална диагноза</w:t>
      </w:r>
      <w:r w:rsidRPr="00AE47C6">
        <w:rPr>
          <w:rFonts w:ascii="Times New Roman" w:eastAsia="SimSun" w:hAnsi="Times New Roman"/>
          <w:i/>
          <w:iCs/>
          <w:kern w:val="24"/>
          <w:sz w:val="24"/>
          <w:szCs w:val="24"/>
        </w:rPr>
        <w:t xml:space="preserve">. </w:t>
      </w:r>
      <w:r w:rsidRPr="00AE47C6">
        <w:rPr>
          <w:rFonts w:ascii="Times New Roman" w:eastAsia="SimSun" w:hAnsi="Times New Roman"/>
          <w:kern w:val="24"/>
          <w:sz w:val="24"/>
          <w:szCs w:val="24"/>
        </w:rPr>
        <w:t>Постваксиналните и постинфекциозните енцефаломиелити се разграничават от вирусните въз основа на анамнезата, клиничната картина и лабораторните изследвания – ликворни, високи серумни концентрации на чернодробните ензими и др. Трябва да се направи диференциална диагноза и с множествена склероза.</w:t>
      </w:r>
    </w:p>
    <w:p w14:paraId="14FE0279" w14:textId="77777777" w:rsidR="00BE0B19" w:rsidRPr="00AE47C6" w:rsidRDefault="00BE0B19" w:rsidP="00BE0B19">
      <w:pPr>
        <w:spacing w:after="0" w:line="360" w:lineRule="auto"/>
        <w:ind w:firstLine="709"/>
        <w:jc w:val="both"/>
        <w:rPr>
          <w:rFonts w:ascii="Times New Roman" w:eastAsia="SimSun" w:hAnsi="Times New Roman"/>
          <w:i/>
          <w:kern w:val="24"/>
          <w:sz w:val="24"/>
          <w:szCs w:val="24"/>
        </w:rPr>
      </w:pPr>
      <w:r w:rsidRPr="00AE47C6">
        <w:rPr>
          <w:rFonts w:ascii="Times New Roman" w:eastAsia="SimSun" w:hAnsi="Times New Roman"/>
          <w:b/>
          <w:kern w:val="24"/>
          <w:sz w:val="24"/>
          <w:szCs w:val="24"/>
        </w:rPr>
        <w:t xml:space="preserve">Лечението </w:t>
      </w:r>
      <w:r w:rsidRPr="00AE47C6">
        <w:rPr>
          <w:rFonts w:ascii="Times New Roman" w:eastAsia="SimSun" w:hAnsi="Times New Roman"/>
          <w:kern w:val="24"/>
          <w:sz w:val="24"/>
          <w:szCs w:val="24"/>
        </w:rPr>
        <w:t xml:space="preserve">е с кортикостероиди. </w:t>
      </w:r>
      <w:r w:rsidRPr="00AE47C6">
        <w:rPr>
          <w:rFonts w:ascii="Times New Roman" w:eastAsia="SimSun" w:hAnsi="Times New Roman"/>
          <w:i/>
          <w:kern w:val="24"/>
          <w:sz w:val="24"/>
          <w:szCs w:val="24"/>
        </w:rPr>
        <w:t>Плазмаферезата и интравенозното вливане на имуноглобулини също са ефективни.</w:t>
      </w:r>
    </w:p>
    <w:p w14:paraId="6FB18DEE"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Прогнозата -</w:t>
      </w:r>
      <w:r w:rsidRPr="00AE47C6">
        <w:rPr>
          <w:rFonts w:ascii="Times New Roman" w:eastAsia="SimSun" w:hAnsi="Times New Roman"/>
          <w:kern w:val="24"/>
          <w:sz w:val="24"/>
          <w:szCs w:val="24"/>
        </w:rPr>
        <w:t xml:space="preserve"> смъртността е между 30 и 50%. В много случаи след оздравяването остават трайни нарушения в поведението, изоставане в умственото развитие, парези или епилептични припадъци. </w:t>
      </w:r>
    </w:p>
    <w:p w14:paraId="099EE996"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3073D85D"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b/>
          <w:bCs/>
          <w:i/>
          <w:sz w:val="24"/>
          <w:szCs w:val="24"/>
          <w:lang w:eastAsia="bg-BG"/>
        </w:rPr>
      </w:pPr>
      <w:r w:rsidRPr="00AE47C6">
        <w:rPr>
          <w:rFonts w:ascii="Times New Roman" w:eastAsia="SimSun" w:hAnsi="Times New Roman"/>
          <w:b/>
          <w:bCs/>
          <w:sz w:val="24"/>
          <w:szCs w:val="24"/>
          <w:lang w:eastAsia="bg-BG"/>
        </w:rPr>
        <w:t>Остър церебелит (остра атаксия в детството)</w:t>
      </w:r>
    </w:p>
    <w:p w14:paraId="67403C74"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iCs/>
          <w:kern w:val="24"/>
          <w:sz w:val="24"/>
          <w:szCs w:val="24"/>
        </w:rPr>
        <w:t xml:space="preserve">Етиологията </w:t>
      </w:r>
      <w:r w:rsidRPr="00AE47C6">
        <w:rPr>
          <w:rFonts w:ascii="Times New Roman" w:eastAsia="SimSun" w:hAnsi="Times New Roman"/>
          <w:kern w:val="24"/>
          <w:sz w:val="24"/>
          <w:szCs w:val="24"/>
        </w:rPr>
        <w:t>най-често се свързва с варицела, но може да настъпи след детските инфекциозни заболявания (дребна шарка, коклюш, скарлатина), ентеровируси (coxsackie), Epstein-Barr вирус, микоплазма, цитомегаловирус, Q-треска, рядко при herpes simplex и varicella-zoster вирус, при ваксинации и при респираторни инфекции.</w:t>
      </w:r>
    </w:p>
    <w:p w14:paraId="265C11B9"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 xml:space="preserve">Клинично </w:t>
      </w:r>
      <w:r w:rsidRPr="00AE47C6">
        <w:rPr>
          <w:rFonts w:ascii="Times New Roman" w:eastAsia="SimSun" w:hAnsi="Times New Roman"/>
          <w:kern w:val="24"/>
          <w:sz w:val="24"/>
          <w:szCs w:val="24"/>
        </w:rPr>
        <w:t>менингоцеребелитът настъпва остро, за 1-2 дни, най-често след първия ден от заболяването. Протича с атаксия, по-рядко с дизартрия и нистагъм. Появяват се конфузия, повишен мускулен тонус в крайниците, рефлекс на Babinski. Възстановяването е бавно, с остатъчни симптоми.</w:t>
      </w:r>
    </w:p>
    <w:p w14:paraId="3520A90B" w14:textId="77777777" w:rsidR="00BE0B19" w:rsidRPr="00AE47C6" w:rsidRDefault="00BE0B19" w:rsidP="00BE0B19">
      <w:pPr>
        <w:spacing w:after="0" w:line="360" w:lineRule="auto"/>
        <w:ind w:firstLine="709"/>
        <w:jc w:val="both"/>
        <w:rPr>
          <w:rFonts w:ascii="Times New Roman" w:eastAsia="SimSun" w:hAnsi="Times New Roman"/>
          <w:kern w:val="24"/>
          <w:sz w:val="24"/>
          <w:szCs w:val="24"/>
        </w:rPr>
      </w:pPr>
      <w:r w:rsidRPr="00AE47C6">
        <w:rPr>
          <w:rFonts w:ascii="Times New Roman" w:eastAsia="SimSun" w:hAnsi="Times New Roman"/>
          <w:b/>
          <w:kern w:val="24"/>
          <w:sz w:val="24"/>
          <w:szCs w:val="24"/>
        </w:rPr>
        <w:t>Изследванията</w:t>
      </w:r>
      <w:r w:rsidRPr="00AE47C6">
        <w:rPr>
          <w:rFonts w:ascii="Times New Roman" w:eastAsia="SimSun" w:hAnsi="Times New Roman"/>
          <w:kern w:val="24"/>
          <w:sz w:val="24"/>
          <w:szCs w:val="24"/>
        </w:rPr>
        <w:t xml:space="preserve"> показват лека плеоцитоза, повишен или нормален ликворен протеин, нормален МРТ. </w:t>
      </w:r>
    </w:p>
    <w:p w14:paraId="4101E5BC"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Диагностичните критерии за острите енцефалити включват:</w:t>
      </w:r>
    </w:p>
    <w:p w14:paraId="00D735D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„Диагностични критерии за енцефалит или енцефалопатия с инфекциозна или автоимунна етиология”, „Диагностичен алгоритъм за начална оценка на енцефалит при възрастни” и „Диагностичен алгоритъм за начална оценка на енцефалит при деца” </w:t>
      </w:r>
    </w:p>
    <w:p w14:paraId="5B3A2D95"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Диагностични критерии за енцефалит или енцефалопатия с инфекциозна или автоимунна етиология</w:t>
      </w:r>
    </w:p>
    <w:p w14:paraId="61F3A636"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 xml:space="preserve">Главен критерий: Увреден ментален статус </w:t>
      </w:r>
      <w:r w:rsidRPr="00AE47C6">
        <w:rPr>
          <w:rFonts w:ascii="Times New Roman" w:eastAsia="SimSun" w:hAnsi="Times New Roman"/>
          <w:sz w:val="24"/>
          <w:szCs w:val="24"/>
        </w:rPr>
        <w:t>(снижено или увредено ниво на съзнанието) над ≥24 ч. без друга причина.</w:t>
      </w:r>
    </w:p>
    <w:p w14:paraId="5B3C5F4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Малки критерии</w:t>
      </w:r>
      <w:r w:rsidRPr="00AE47C6">
        <w:rPr>
          <w:rFonts w:ascii="Times New Roman" w:eastAsia="SimSun" w:hAnsi="Times New Roman"/>
          <w:sz w:val="24"/>
          <w:szCs w:val="24"/>
        </w:rPr>
        <w:t>: 2 за възможен енцефалит ≥3 за вероятен или потвърден енцефалит:</w:t>
      </w:r>
    </w:p>
    <w:p w14:paraId="3620E637" w14:textId="77777777" w:rsidR="00BE0B19" w:rsidRPr="00AE47C6" w:rsidRDefault="00BE0B19" w:rsidP="00BE0B19">
      <w:pPr>
        <w:numPr>
          <w:ilvl w:val="0"/>
          <w:numId w:val="245"/>
        </w:numPr>
        <w:spacing w:after="0" w:line="360" w:lineRule="auto"/>
        <w:ind w:firstLine="709"/>
        <w:contextualSpacing/>
        <w:jc w:val="both"/>
        <w:rPr>
          <w:rFonts w:ascii="Times New Roman" w:eastAsia="SimSun" w:hAnsi="Times New Roman"/>
          <w:b/>
          <w:sz w:val="24"/>
          <w:szCs w:val="24"/>
        </w:rPr>
      </w:pPr>
      <w:r w:rsidRPr="00AE47C6">
        <w:rPr>
          <w:rFonts w:ascii="Times New Roman" w:eastAsia="SimSun" w:hAnsi="Times New Roman"/>
          <w:b/>
          <w:sz w:val="24"/>
          <w:szCs w:val="24"/>
        </w:rPr>
        <w:t>Т</w:t>
      </w:r>
      <w:r w:rsidRPr="00AE47C6">
        <w:rPr>
          <w:rFonts w:ascii="Times New Roman" w:eastAsia="SimSun" w:hAnsi="Times New Roman"/>
          <w:b/>
          <w:sz w:val="24"/>
          <w:szCs w:val="24"/>
          <w:vertAlign w:val="superscript"/>
        </w:rPr>
        <w:t>о</w:t>
      </w:r>
      <w:r w:rsidRPr="00AE47C6">
        <w:rPr>
          <w:rFonts w:ascii="Times New Roman" w:eastAsia="SimSun" w:hAnsi="Times New Roman"/>
          <w:b/>
          <w:sz w:val="24"/>
          <w:szCs w:val="24"/>
        </w:rPr>
        <w:t>≥38° C за72 часа преди или след изследването/хоспитализацията</w:t>
      </w:r>
      <w:r w:rsidRPr="00AE47C6">
        <w:rPr>
          <w:rFonts w:ascii="Times New Roman" w:eastAsia="SimSun" w:hAnsi="Times New Roman"/>
          <w:sz w:val="24"/>
          <w:szCs w:val="24"/>
        </w:rPr>
        <w:t xml:space="preserve"> -Т</w:t>
      </w:r>
      <w:r w:rsidRPr="00AE47C6">
        <w:rPr>
          <w:rFonts w:ascii="Times New Roman" w:eastAsia="SimSun" w:hAnsi="Times New Roman"/>
          <w:b/>
          <w:sz w:val="24"/>
          <w:szCs w:val="24"/>
          <w:vertAlign w:val="superscript"/>
        </w:rPr>
        <w:t>о</w:t>
      </w:r>
      <w:r w:rsidRPr="00AE47C6">
        <w:rPr>
          <w:rFonts w:ascii="Times New Roman" w:eastAsia="SimSun" w:hAnsi="Times New Roman"/>
          <w:sz w:val="24"/>
          <w:szCs w:val="24"/>
        </w:rPr>
        <w:t xml:space="preserve"> може да е и в резултат на инфекции извън ЦНС, които да предизвикват и енцефалопатия, както и неинфекциозни причини да имитират енцефалит. Т</w:t>
      </w:r>
      <w:r w:rsidRPr="00AE47C6">
        <w:rPr>
          <w:rFonts w:ascii="Times New Roman" w:eastAsia="SimSun" w:hAnsi="Times New Roman"/>
          <w:b/>
          <w:sz w:val="24"/>
          <w:szCs w:val="24"/>
          <w:vertAlign w:val="superscript"/>
        </w:rPr>
        <w:t>о</w:t>
      </w:r>
      <w:r w:rsidRPr="00AE47C6">
        <w:rPr>
          <w:rFonts w:ascii="Times New Roman" w:eastAsia="SimSun" w:hAnsi="Times New Roman"/>
          <w:sz w:val="24"/>
          <w:szCs w:val="24"/>
        </w:rPr>
        <w:t xml:space="preserve"> може да флуктуира, но имуносупресираните пациенти с енцефалит могат да са афебрилни.</w:t>
      </w:r>
    </w:p>
    <w:p w14:paraId="272C8C45" w14:textId="77777777" w:rsidR="00BE0B19" w:rsidRPr="00AE47C6" w:rsidRDefault="00BE0B19" w:rsidP="00BE0B19">
      <w:pPr>
        <w:numPr>
          <w:ilvl w:val="0"/>
          <w:numId w:val="245"/>
        </w:numPr>
        <w:spacing w:after="0" w:line="360" w:lineRule="auto"/>
        <w:ind w:firstLine="709"/>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Генерализирани или фокални епилептични пристъпи, без предшестваща епилепсия, </w:t>
      </w:r>
      <w:r w:rsidRPr="00AE47C6">
        <w:rPr>
          <w:rFonts w:ascii="Times New Roman" w:eastAsia="SimSun" w:hAnsi="Times New Roman"/>
          <w:sz w:val="24"/>
          <w:szCs w:val="24"/>
        </w:rPr>
        <w:t xml:space="preserve">което е свързано с глобална ЦНС дисфункция или локализиран процес, възможни са и субклинични пристъпи. При </w:t>
      </w:r>
      <w:r w:rsidRPr="00AE47C6">
        <w:rPr>
          <w:rFonts w:ascii="Times New Roman" w:eastAsia="SimSun" w:hAnsi="Times New Roman"/>
          <w:i/>
          <w:sz w:val="24"/>
          <w:szCs w:val="24"/>
        </w:rPr>
        <w:t>децата</w:t>
      </w:r>
      <w:r w:rsidRPr="00AE47C6">
        <w:rPr>
          <w:rFonts w:ascii="Times New Roman" w:eastAsia="SimSun" w:hAnsi="Times New Roman"/>
          <w:sz w:val="24"/>
          <w:szCs w:val="24"/>
        </w:rPr>
        <w:t xml:space="preserve"> са възможни фебрилни гърчове с постиктална обърканост, които трябва да се изключат – наблюдение за 24 ч. за състоянието на съзнанието.</w:t>
      </w:r>
    </w:p>
    <w:p w14:paraId="730E070F" w14:textId="77777777" w:rsidR="00BE0B19" w:rsidRPr="00AE47C6" w:rsidRDefault="00BE0B19" w:rsidP="00BE0B19">
      <w:pPr>
        <w:numPr>
          <w:ilvl w:val="0"/>
          <w:numId w:val="245"/>
        </w:numPr>
        <w:spacing w:after="0" w:line="360" w:lineRule="auto"/>
        <w:ind w:firstLine="709"/>
        <w:contextualSpacing/>
        <w:jc w:val="both"/>
        <w:rPr>
          <w:rFonts w:ascii="Times New Roman" w:eastAsia="SimSun" w:hAnsi="Times New Roman"/>
          <w:b/>
          <w:sz w:val="24"/>
          <w:szCs w:val="24"/>
        </w:rPr>
      </w:pPr>
      <w:r w:rsidRPr="00AE47C6">
        <w:rPr>
          <w:rFonts w:ascii="Times New Roman" w:eastAsia="SimSun" w:hAnsi="Times New Roman"/>
          <w:b/>
          <w:sz w:val="24"/>
          <w:szCs w:val="24"/>
        </w:rPr>
        <w:t>Нововъзникнал огнищен неврологичен дефицит</w:t>
      </w:r>
    </w:p>
    <w:p w14:paraId="7C31BC0A" w14:textId="77777777" w:rsidR="00BE0B19" w:rsidRPr="00AE47C6" w:rsidRDefault="00BE0B19" w:rsidP="00BE0B19">
      <w:pPr>
        <w:numPr>
          <w:ilvl w:val="0"/>
          <w:numId w:val="245"/>
        </w:numPr>
        <w:spacing w:after="0" w:line="360" w:lineRule="auto"/>
        <w:ind w:firstLine="709"/>
        <w:contextualSpacing/>
        <w:jc w:val="both"/>
        <w:rPr>
          <w:rFonts w:ascii="Times New Roman" w:eastAsia="SimSun" w:hAnsi="Times New Roman"/>
          <w:b/>
          <w:sz w:val="24"/>
          <w:szCs w:val="24"/>
        </w:rPr>
      </w:pPr>
      <w:r w:rsidRPr="00AE47C6">
        <w:rPr>
          <w:rFonts w:ascii="Times New Roman" w:eastAsia="SimSun" w:hAnsi="Times New Roman"/>
          <w:b/>
          <w:sz w:val="24"/>
          <w:szCs w:val="24"/>
        </w:rPr>
        <w:t>Ликвор: левкоцити ≥5.10</w:t>
      </w:r>
      <w:r w:rsidRPr="00AE47C6">
        <w:rPr>
          <w:rFonts w:ascii="Times New Roman" w:eastAsia="SimSun" w:hAnsi="Times New Roman"/>
          <w:b/>
          <w:sz w:val="24"/>
          <w:szCs w:val="24"/>
          <w:vertAlign w:val="superscript"/>
        </w:rPr>
        <w:t>6</w:t>
      </w:r>
      <w:r w:rsidRPr="00AE47C6">
        <w:rPr>
          <w:rFonts w:ascii="Times New Roman" w:eastAsia="SimSun" w:hAnsi="Times New Roman"/>
          <w:b/>
          <w:sz w:val="24"/>
          <w:szCs w:val="24"/>
        </w:rPr>
        <w:t>/L</w:t>
      </w:r>
      <w:r w:rsidRPr="00AE47C6">
        <w:rPr>
          <w:rFonts w:ascii="Times New Roman" w:eastAsia="SimSun" w:hAnsi="Times New Roman"/>
          <w:b/>
          <w:sz w:val="24"/>
          <w:szCs w:val="24"/>
          <w:vertAlign w:val="superscript"/>
        </w:rPr>
        <w:t xml:space="preserve"> – </w:t>
      </w:r>
      <w:r w:rsidRPr="00AE47C6">
        <w:rPr>
          <w:rFonts w:ascii="Times New Roman" w:eastAsia="SimSun" w:hAnsi="Times New Roman"/>
          <w:sz w:val="24"/>
          <w:szCs w:val="24"/>
        </w:rPr>
        <w:t>възможно е при менингит/енцефалит/ менингоенцефалит. Липсата на ликворна плеоцитоза не изключва енцефалит, напр. при имунокомпрометирани пациенти. Пациентите с енцефалит са с левкоцити &lt;1000/mm</w:t>
      </w:r>
      <w:r w:rsidRPr="00AE47C6">
        <w:rPr>
          <w:rFonts w:ascii="Times New Roman" w:eastAsia="SimSun" w:hAnsi="Times New Roman"/>
          <w:sz w:val="24"/>
          <w:szCs w:val="24"/>
          <w:vertAlign w:val="superscript"/>
        </w:rPr>
        <w:t>3</w:t>
      </w:r>
      <w:r w:rsidRPr="00AE47C6">
        <w:rPr>
          <w:rFonts w:ascii="Times New Roman" w:eastAsia="SimSun" w:hAnsi="Times New Roman"/>
          <w:sz w:val="24"/>
          <w:szCs w:val="24"/>
        </w:rPr>
        <w:t>, предоминиращи лимфоцити.</w:t>
      </w:r>
    </w:p>
    <w:p w14:paraId="1B07B390" w14:textId="77777777" w:rsidR="00BE0B19" w:rsidRPr="00AE47C6" w:rsidRDefault="00BE0B19" w:rsidP="00BE0B19">
      <w:pPr>
        <w:numPr>
          <w:ilvl w:val="0"/>
          <w:numId w:val="245"/>
        </w:numPr>
        <w:spacing w:after="0" w:line="360" w:lineRule="auto"/>
        <w:ind w:firstLine="709"/>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Абнормност в мозъчния паренхим </w:t>
      </w:r>
      <w:r w:rsidRPr="00AE47C6">
        <w:rPr>
          <w:rFonts w:ascii="Times New Roman" w:eastAsia="SimSun" w:hAnsi="Times New Roman"/>
          <w:sz w:val="24"/>
          <w:szCs w:val="24"/>
        </w:rPr>
        <w:t xml:space="preserve">при невроизобразяващото изследване, което не е било налично в предишни изследвания или се появява при острото начало. МРТ е метод на избор за оценка на пациенти със суспектен енцефалит, и разграничаване от заболявания, имитиращи енцефалит, който превъзхожда КТ на главния мозък. Цели да изясни етиологията, локализацията и евентуално патогенезата (темпоралната локализация – за HSV енцефалит или автоимунен енцефалит). КТ изключва субарахноиден кръвоизлив. </w:t>
      </w:r>
    </w:p>
    <w:p w14:paraId="11804C65" w14:textId="77777777" w:rsidR="00BE0B19" w:rsidRPr="00AE47C6" w:rsidRDefault="00BE0B19" w:rsidP="00BE0B19">
      <w:pPr>
        <w:numPr>
          <w:ilvl w:val="0"/>
          <w:numId w:val="245"/>
        </w:num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Абнормност в ЕЕГ, </w:t>
      </w:r>
      <w:r w:rsidRPr="00AE47C6">
        <w:rPr>
          <w:rFonts w:ascii="Times New Roman" w:eastAsia="SimSun" w:hAnsi="Times New Roman"/>
          <w:sz w:val="24"/>
          <w:szCs w:val="24"/>
        </w:rPr>
        <w:t>която съответства на енцефалит и не е с друга причина. ЕЕГ ес генерализирано забавяне или при HSV- разряди от комплекси остра-бавна вълна.</w:t>
      </w:r>
    </w:p>
    <w:p w14:paraId="01FF713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За </w:t>
      </w:r>
      <w:r w:rsidRPr="00AE47C6">
        <w:rPr>
          <w:rFonts w:ascii="Times New Roman" w:eastAsia="SimSun" w:hAnsi="Times New Roman"/>
          <w:b/>
          <w:sz w:val="24"/>
          <w:szCs w:val="24"/>
        </w:rPr>
        <w:t>сигурен енцефалит</w:t>
      </w:r>
      <w:r w:rsidRPr="00AE47C6">
        <w:rPr>
          <w:rFonts w:ascii="Times New Roman" w:eastAsia="SimSun" w:hAnsi="Times New Roman"/>
          <w:sz w:val="24"/>
          <w:szCs w:val="24"/>
        </w:rPr>
        <w:t xml:space="preserve"> се изисква: </w:t>
      </w:r>
    </w:p>
    <w:p w14:paraId="3FA64EF9" w14:textId="77777777" w:rsidR="00BE0B19" w:rsidRPr="00AE47C6" w:rsidRDefault="00BE0B19" w:rsidP="00BE0B19">
      <w:pPr>
        <w:numPr>
          <w:ilvl w:val="0"/>
          <w:numId w:val="259"/>
        </w:num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sz w:val="24"/>
          <w:szCs w:val="24"/>
        </w:rPr>
        <w:t>Патологично потвърждение на мозъчен възпалителен процес, т.е. енцефалит.</w:t>
      </w:r>
    </w:p>
    <w:p w14:paraId="6A308F0F" w14:textId="77777777" w:rsidR="00BE0B19" w:rsidRPr="00AE47C6" w:rsidRDefault="00BE0B19" w:rsidP="00BE0B19">
      <w:pPr>
        <w:numPr>
          <w:ilvl w:val="0"/>
          <w:numId w:val="259"/>
        </w:num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sz w:val="24"/>
          <w:szCs w:val="24"/>
        </w:rPr>
        <w:t>Сигурни патологични, микробиологични, или серологични данни за остра инфекция с микроорганизъм, причиняващ енцефалита.</w:t>
      </w:r>
    </w:p>
    <w:p w14:paraId="63ED12CE" w14:textId="77777777" w:rsidR="00BE0B19" w:rsidRPr="00AE47C6" w:rsidRDefault="00BE0B19" w:rsidP="00BE0B19">
      <w:pPr>
        <w:numPr>
          <w:ilvl w:val="0"/>
          <w:numId w:val="259"/>
        </w:num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sz w:val="24"/>
          <w:szCs w:val="24"/>
        </w:rPr>
        <w:t>Лабораторни данни за автоимунност, свързана с енцефалита - само за автоимунен енцефалит.</w:t>
      </w:r>
    </w:p>
    <w:p w14:paraId="18F7594E" w14:textId="77777777" w:rsidR="00BE0B19" w:rsidRPr="00AE47C6" w:rsidRDefault="00BE0B19" w:rsidP="00BE0B19">
      <w:pPr>
        <w:spacing w:after="0" w:line="360" w:lineRule="auto"/>
        <w:ind w:left="709"/>
        <w:jc w:val="both"/>
        <w:rPr>
          <w:rFonts w:ascii="Times New Roman" w:eastAsia="SimSun" w:hAnsi="Times New Roman"/>
          <w:sz w:val="24"/>
          <w:szCs w:val="24"/>
        </w:rPr>
      </w:pPr>
    </w:p>
    <w:p w14:paraId="6429D176"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Диагностичен алгоритъм за начална оценка на енцефалит при възрастни</w:t>
      </w:r>
    </w:p>
    <w:p w14:paraId="33558AB0"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Рутинни изследвания</w:t>
      </w:r>
    </w:p>
    <w:p w14:paraId="73B64E36" w14:textId="77777777" w:rsidR="00BE0B19" w:rsidRPr="00AE47C6" w:rsidRDefault="00BE0B19" w:rsidP="00BE0B19">
      <w:pPr>
        <w:numPr>
          <w:ilvl w:val="0"/>
          <w:numId w:val="257"/>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Ликвор: </w:t>
      </w:r>
      <w:r w:rsidRPr="00AE47C6">
        <w:rPr>
          <w:rFonts w:ascii="Times New Roman" w:eastAsia="SimSun" w:hAnsi="Times New Roman"/>
          <w:sz w:val="24"/>
          <w:szCs w:val="24"/>
        </w:rPr>
        <w:t>20 ml за изследване на брой клетки (левкоцити с диференциално броене, еритроцити); протеин; глюкоза, микробиологично изследване; съхранява се за други изследвания; Herpes simplex virus 1 и 2 (HSV-1/2) PCR (при позитивен тест- ликворни HSV IgG и IgM ); Varicella zoster virus (VZV) PCR (при позитивен тест- ликворни VZV IgG и IgM); Enterovirus PCR; Cryptococcus антиген; VDRL</w:t>
      </w:r>
    </w:p>
    <w:p w14:paraId="33E36A60" w14:textId="77777777" w:rsidR="00BE0B19" w:rsidRPr="00AE47C6" w:rsidRDefault="00BE0B19" w:rsidP="00BE0B19">
      <w:pPr>
        <w:numPr>
          <w:ilvl w:val="0"/>
          <w:numId w:val="257"/>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Серум: </w:t>
      </w:r>
      <w:r w:rsidRPr="00AE47C6">
        <w:rPr>
          <w:rFonts w:ascii="Times New Roman" w:eastAsia="SimSun" w:hAnsi="Times New Roman"/>
          <w:sz w:val="24"/>
          <w:szCs w:val="24"/>
        </w:rPr>
        <w:t>ПКК, серология за HIV; Treponema; съхранява се серум за следващи изследвания.</w:t>
      </w:r>
    </w:p>
    <w:p w14:paraId="3674A8FC" w14:textId="77777777" w:rsidR="00BE0B19" w:rsidRPr="00AE47C6" w:rsidRDefault="00BE0B19" w:rsidP="00BE0B19">
      <w:pPr>
        <w:numPr>
          <w:ilvl w:val="0"/>
          <w:numId w:val="257"/>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Образни изследвания: </w:t>
      </w:r>
      <w:r w:rsidRPr="00AE47C6">
        <w:rPr>
          <w:rFonts w:ascii="Times New Roman" w:eastAsia="SimSun" w:hAnsi="Times New Roman"/>
          <w:sz w:val="24"/>
          <w:szCs w:val="24"/>
        </w:rPr>
        <w:t xml:space="preserve">Невроизобразяващи (МРТ се предпочита пред КТ); Ro графия или нискодозова КТ с висока резолюция на бял дроб. </w:t>
      </w:r>
    </w:p>
    <w:p w14:paraId="3483A9A8" w14:textId="77777777" w:rsidR="00BE0B19" w:rsidRPr="00AE47C6" w:rsidRDefault="00BE0B19" w:rsidP="00BE0B19">
      <w:pPr>
        <w:numPr>
          <w:ilvl w:val="0"/>
          <w:numId w:val="257"/>
        </w:numPr>
        <w:spacing w:after="0" w:line="360" w:lineRule="auto"/>
        <w:ind w:left="0" w:firstLine="709"/>
        <w:contextualSpacing/>
        <w:jc w:val="both"/>
        <w:rPr>
          <w:rFonts w:ascii="Times New Roman" w:eastAsia="SimSun" w:hAnsi="Times New Roman"/>
          <w:b/>
          <w:sz w:val="24"/>
          <w:szCs w:val="24"/>
        </w:rPr>
      </w:pPr>
      <w:r w:rsidRPr="00AE47C6">
        <w:rPr>
          <w:rFonts w:ascii="Times New Roman" w:eastAsia="SimSun" w:hAnsi="Times New Roman"/>
          <w:b/>
          <w:sz w:val="24"/>
          <w:szCs w:val="24"/>
        </w:rPr>
        <w:t>Неврофизиология: ЕЕГ</w:t>
      </w:r>
    </w:p>
    <w:p w14:paraId="3A107144"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Други изследвания:</w:t>
      </w:r>
    </w:p>
    <w:p w14:paraId="23D6126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При имунокомпрометирани пациенти: </w:t>
      </w:r>
      <w:r w:rsidRPr="00AE47C6">
        <w:rPr>
          <w:rFonts w:ascii="Times New Roman" w:eastAsia="SimSun" w:hAnsi="Times New Roman"/>
          <w:sz w:val="24"/>
          <w:szCs w:val="24"/>
        </w:rPr>
        <w:t>CMV PCR, HHV6/7 PCR, HIV PCR ликвор; </w:t>
      </w:r>
      <w:r w:rsidRPr="00AE47C6">
        <w:rPr>
          <w:rFonts w:ascii="Times New Roman" w:eastAsia="SimSun" w:hAnsi="Times New Roman"/>
          <w:iCs/>
          <w:sz w:val="24"/>
          <w:szCs w:val="24"/>
        </w:rPr>
        <w:t>Toxoplasma gondii</w:t>
      </w:r>
      <w:r w:rsidRPr="00AE47C6">
        <w:rPr>
          <w:rFonts w:ascii="Times New Roman" w:eastAsia="SimSun" w:hAnsi="Times New Roman"/>
          <w:sz w:val="24"/>
          <w:szCs w:val="24"/>
        </w:rPr>
        <w:t xml:space="preserve"> серология и/или PCR; туберкулозен микобактерии- тестове; изследване за микози; изследване на Западно-Нилски енцефалит (WNV), вкл. за ARBO virus според географския регион. </w:t>
      </w:r>
    </w:p>
    <w:p w14:paraId="668BAA17"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 xml:space="preserve">Географски фактори: </w:t>
      </w:r>
    </w:p>
    <w:p w14:paraId="17091D8F" w14:textId="77777777" w:rsidR="00BE0B19" w:rsidRPr="00AE47C6" w:rsidRDefault="00BE0B19" w:rsidP="00BE0B19">
      <w:pPr>
        <w:numPr>
          <w:ilvl w:val="0"/>
          <w:numId w:val="255"/>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Африка - </w:t>
      </w:r>
      <w:r w:rsidRPr="00AE47C6">
        <w:rPr>
          <w:rFonts w:ascii="Times New Roman" w:eastAsia="SimSun" w:hAnsi="Times New Roman"/>
          <w:sz w:val="24"/>
          <w:szCs w:val="24"/>
        </w:rPr>
        <w:t>малария, трипанозомиаза (кръв/ликвор, серология в серум и ликвор); денга</w:t>
      </w:r>
    </w:p>
    <w:p w14:paraId="53BFAB53" w14:textId="77777777" w:rsidR="00BE0B19" w:rsidRPr="00AE47C6" w:rsidRDefault="00BE0B19" w:rsidP="00BE0B19">
      <w:pPr>
        <w:numPr>
          <w:ilvl w:val="0"/>
          <w:numId w:val="255"/>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Азия - </w:t>
      </w:r>
      <w:r w:rsidRPr="00AE47C6">
        <w:rPr>
          <w:rFonts w:ascii="Times New Roman" w:eastAsia="SimSun" w:hAnsi="Times New Roman"/>
          <w:sz w:val="24"/>
          <w:szCs w:val="24"/>
        </w:rPr>
        <w:t>тестиране за Японски енцефалит, денга, малария, Nipah вирус (серология от серум и ликвор, PCR, имунохистохимия, вирусно изолиране)</w:t>
      </w:r>
    </w:p>
    <w:p w14:paraId="7B1C67B7" w14:textId="77777777" w:rsidR="00BE0B19" w:rsidRPr="00AE47C6" w:rsidRDefault="00BE0B19" w:rsidP="00BE0B19">
      <w:pPr>
        <w:numPr>
          <w:ilvl w:val="0"/>
          <w:numId w:val="255"/>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Австралия - </w:t>
      </w:r>
      <w:r w:rsidRPr="00AE47C6">
        <w:rPr>
          <w:rFonts w:ascii="Times New Roman" w:eastAsia="SimSun" w:hAnsi="Times New Roman"/>
          <w:sz w:val="24"/>
          <w:szCs w:val="24"/>
        </w:rPr>
        <w:t xml:space="preserve">тестиране за Murray Valley енцефалит, Kunjin вирус, AustralianBat Lyssa вирус (ABLV) </w:t>
      </w:r>
    </w:p>
    <w:p w14:paraId="0BC3CC26" w14:textId="77777777" w:rsidR="00BE0B19" w:rsidRPr="00AE47C6" w:rsidRDefault="00BE0B19" w:rsidP="00BE0B19">
      <w:pPr>
        <w:numPr>
          <w:ilvl w:val="0"/>
          <w:numId w:val="255"/>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Европа - </w:t>
      </w:r>
      <w:r w:rsidRPr="00AE47C6">
        <w:rPr>
          <w:rFonts w:ascii="Times New Roman" w:eastAsia="SimSun" w:hAnsi="Times New Roman"/>
          <w:sz w:val="24"/>
          <w:szCs w:val="24"/>
        </w:rPr>
        <w:t>Вирус на кърлежовия енцефалит(серология); Южна Европа – тестиране за WNV, Toscana вирус</w:t>
      </w:r>
    </w:p>
    <w:p w14:paraId="717B7A3C" w14:textId="77777777" w:rsidR="00BE0B19" w:rsidRPr="00AE47C6" w:rsidRDefault="00BE0B19" w:rsidP="00BE0B19">
      <w:pPr>
        <w:numPr>
          <w:ilvl w:val="0"/>
          <w:numId w:val="255"/>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Централна и Южна Америка - </w:t>
      </w:r>
      <w:r w:rsidRPr="00AE47C6">
        <w:rPr>
          <w:rFonts w:ascii="Times New Roman" w:eastAsia="SimSun" w:hAnsi="Times New Roman"/>
          <w:sz w:val="24"/>
          <w:szCs w:val="24"/>
        </w:rPr>
        <w:t>тестиране за денга, малария, WNV, Венецуелски конски енцефалит</w:t>
      </w:r>
    </w:p>
    <w:p w14:paraId="290D44FD" w14:textId="77777777" w:rsidR="00BE0B19" w:rsidRPr="00AE47C6" w:rsidRDefault="00BE0B19" w:rsidP="00BE0B19">
      <w:pPr>
        <w:numPr>
          <w:ilvl w:val="0"/>
          <w:numId w:val="255"/>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Северна Америка - </w:t>
      </w:r>
      <w:r w:rsidRPr="00AE47C6">
        <w:rPr>
          <w:rFonts w:ascii="Times New Roman" w:eastAsia="SimSun" w:hAnsi="Times New Roman"/>
          <w:sz w:val="24"/>
          <w:szCs w:val="24"/>
        </w:rPr>
        <w:t>тестиране за ARBO вирус (WNV, Powassan, La Crosse, Източен конски енцефалит, Лаймска болест (серум ELISA и Western blot)</w:t>
      </w:r>
    </w:p>
    <w:p w14:paraId="7D1C54AE"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Сезонност</w:t>
      </w:r>
    </w:p>
    <w:p w14:paraId="42E98EF2" w14:textId="77777777" w:rsidR="00BE0B19" w:rsidRPr="00AE47C6" w:rsidRDefault="00BE0B19" w:rsidP="00BE0B19">
      <w:pPr>
        <w:numPr>
          <w:ilvl w:val="0"/>
          <w:numId w:val="256"/>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Лято: ARBO virus - кърлежови енцефалити</w:t>
      </w:r>
    </w:p>
    <w:p w14:paraId="151DBDF2" w14:textId="77777777" w:rsidR="00BE0B19" w:rsidRPr="00AE47C6" w:rsidRDefault="00BE0B19" w:rsidP="00BE0B19">
      <w:pPr>
        <w:numPr>
          <w:ilvl w:val="0"/>
          <w:numId w:val="256"/>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Котки (ликвор) - Bartonella антитела (серум), очно изследване</w:t>
      </w:r>
    </w:p>
    <w:p w14:paraId="310CB333" w14:textId="77777777" w:rsidR="00BE0B19" w:rsidRPr="00AE47C6" w:rsidRDefault="00BE0B19" w:rsidP="00BE0B19">
      <w:pPr>
        <w:numPr>
          <w:ilvl w:val="0"/>
          <w:numId w:val="256"/>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Кърлежи - тестиране за кърлежов енцефалит</w:t>
      </w:r>
    </w:p>
    <w:p w14:paraId="4F436D8A" w14:textId="77777777" w:rsidR="00BE0B19" w:rsidRPr="00AE47C6" w:rsidRDefault="00BE0B19" w:rsidP="00BE0B19">
      <w:pPr>
        <w:numPr>
          <w:ilvl w:val="0"/>
          <w:numId w:val="256"/>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Ухапване от животни/тестиране за бяс</w:t>
      </w:r>
    </w:p>
    <w:p w14:paraId="68CE21F2" w14:textId="77777777" w:rsidR="00BE0B19" w:rsidRPr="00AE47C6" w:rsidRDefault="00BE0B19" w:rsidP="00BE0B19">
      <w:pPr>
        <w:numPr>
          <w:ilvl w:val="0"/>
          <w:numId w:val="256"/>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Плуване в топли басейни или риносинуит - </w:t>
      </w:r>
      <w:r w:rsidRPr="00AE47C6">
        <w:rPr>
          <w:rFonts w:ascii="Times New Roman" w:eastAsia="SimSun" w:hAnsi="Times New Roman"/>
          <w:iCs/>
          <w:sz w:val="24"/>
          <w:szCs w:val="24"/>
        </w:rPr>
        <w:t xml:space="preserve">Naegleria fowleri </w:t>
      </w:r>
      <w:r w:rsidRPr="00AE47C6">
        <w:rPr>
          <w:rFonts w:ascii="Times New Roman" w:eastAsia="SimSun" w:hAnsi="Times New Roman"/>
          <w:sz w:val="24"/>
          <w:szCs w:val="24"/>
        </w:rPr>
        <w:t>(ликвор и PCR)</w:t>
      </w:r>
    </w:p>
    <w:p w14:paraId="46F92073"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Специфични белези и синдроми</w:t>
      </w:r>
    </w:p>
    <w:p w14:paraId="5E5EA5F4" w14:textId="77777777" w:rsidR="00BE0B19" w:rsidRPr="00AE47C6" w:rsidRDefault="00BE0B19" w:rsidP="00BE0B19">
      <w:pPr>
        <w:numPr>
          <w:ilvl w:val="0"/>
          <w:numId w:val="252"/>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Психози и двигателни разстройства - </w:t>
      </w:r>
      <w:r w:rsidRPr="00AE47C6">
        <w:rPr>
          <w:rFonts w:ascii="Times New Roman" w:eastAsia="SimSun" w:hAnsi="Times New Roman"/>
          <w:sz w:val="24"/>
          <w:szCs w:val="24"/>
        </w:rPr>
        <w:t>анти-NMDAR антитела (серум и ликвор); бяс, изследвания за тумори, болест на Creutzfeldt-Jakob</w:t>
      </w:r>
    </w:p>
    <w:p w14:paraId="70117B19" w14:textId="77777777" w:rsidR="00BE0B19" w:rsidRPr="00AE47C6" w:rsidRDefault="00BE0B19" w:rsidP="00BE0B19">
      <w:pPr>
        <w:numPr>
          <w:ilvl w:val="0"/>
          <w:numId w:val="252"/>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Лимбични синдроми - </w:t>
      </w:r>
      <w:r w:rsidRPr="00AE47C6">
        <w:rPr>
          <w:rFonts w:ascii="Times New Roman" w:eastAsia="SimSun" w:hAnsi="Times New Roman"/>
          <w:sz w:val="24"/>
          <w:szCs w:val="24"/>
        </w:rPr>
        <w:t>Тестиране на автоимунен лимбичен енцефалит; HHV6/7 PCR (ликвор); изследване за тумори</w:t>
      </w:r>
    </w:p>
    <w:p w14:paraId="69AC58C7" w14:textId="77777777" w:rsidR="00BE0B19" w:rsidRPr="00AE47C6" w:rsidRDefault="00BE0B19" w:rsidP="00BE0B19">
      <w:pPr>
        <w:numPr>
          <w:ilvl w:val="0"/>
          <w:numId w:val="252"/>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Бързо декомпенсиране</w:t>
      </w:r>
      <w:r w:rsidRPr="00AE47C6">
        <w:rPr>
          <w:rFonts w:ascii="Times New Roman" w:eastAsia="SimSun" w:hAnsi="Times New Roman"/>
          <w:sz w:val="24"/>
          <w:szCs w:val="24"/>
        </w:rPr>
        <w:t xml:space="preserve"> (особено при ухапване от животни) - изследване за бяс</w:t>
      </w:r>
    </w:p>
    <w:p w14:paraId="13D6BD50" w14:textId="77777777" w:rsidR="00BE0B19" w:rsidRPr="00AE47C6" w:rsidRDefault="00BE0B19" w:rsidP="00BE0B19">
      <w:pPr>
        <w:numPr>
          <w:ilvl w:val="0"/>
          <w:numId w:val="252"/>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Респираторни синдроми</w:t>
      </w:r>
      <w:r w:rsidRPr="00AE47C6">
        <w:rPr>
          <w:rFonts w:ascii="Times New Roman" w:eastAsia="SimSun" w:hAnsi="Times New Roman"/>
          <w:sz w:val="24"/>
          <w:szCs w:val="24"/>
        </w:rPr>
        <w:t xml:space="preserve"> - серология за </w:t>
      </w:r>
      <w:r w:rsidRPr="00AE47C6">
        <w:rPr>
          <w:rFonts w:ascii="Times New Roman" w:eastAsia="SimSun" w:hAnsi="Times New Roman"/>
          <w:iCs/>
          <w:sz w:val="24"/>
          <w:szCs w:val="24"/>
        </w:rPr>
        <w:t xml:space="preserve">Mycoplasma pneumoniae </w:t>
      </w:r>
      <w:r w:rsidRPr="00AE47C6">
        <w:rPr>
          <w:rFonts w:ascii="Times New Roman" w:eastAsia="SimSun" w:hAnsi="Times New Roman"/>
          <w:sz w:val="24"/>
          <w:szCs w:val="24"/>
        </w:rPr>
        <w:t>и гърлен секрет – PCR, (PCR от ликвор); тестиране за респираторни вируси</w:t>
      </w:r>
    </w:p>
    <w:p w14:paraId="30295292" w14:textId="77777777" w:rsidR="00BE0B19" w:rsidRPr="00AE47C6" w:rsidRDefault="00BE0B19" w:rsidP="00BE0B19">
      <w:pPr>
        <w:numPr>
          <w:ilvl w:val="0"/>
          <w:numId w:val="252"/>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Остра вяла парализа</w:t>
      </w:r>
      <w:r w:rsidRPr="00AE47C6">
        <w:rPr>
          <w:rFonts w:ascii="Times New Roman" w:eastAsia="SimSun" w:hAnsi="Times New Roman"/>
          <w:sz w:val="24"/>
          <w:szCs w:val="24"/>
        </w:rPr>
        <w:t xml:space="preserve">  - тестиране за ARBO virus и за бяс, </w:t>
      </w:r>
      <w:r w:rsidRPr="00AE47C6">
        <w:rPr>
          <w:rFonts w:ascii="Times New Roman" w:eastAsia="SimSun" w:hAnsi="Times New Roman"/>
          <w:bCs/>
          <w:sz w:val="24"/>
          <w:szCs w:val="24"/>
        </w:rPr>
        <w:t>ентеровирус 71.</w:t>
      </w:r>
    </w:p>
    <w:p w14:paraId="3C5180D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Паркинсонов синдром</w:t>
      </w:r>
      <w:r w:rsidRPr="00AE47C6">
        <w:rPr>
          <w:rFonts w:ascii="Times New Roman" w:eastAsia="SimSun" w:hAnsi="Times New Roman"/>
          <w:sz w:val="24"/>
          <w:szCs w:val="24"/>
        </w:rPr>
        <w:t xml:space="preserve"> –тестиране за ARBO virus; серология за Toxoplasma</w:t>
      </w:r>
    </w:p>
    <w:p w14:paraId="1DC84465"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Лабораторни изследвания</w:t>
      </w:r>
    </w:p>
    <w:p w14:paraId="26F4A871" w14:textId="77777777" w:rsidR="00BE0B19" w:rsidRPr="00AE47C6" w:rsidRDefault="00BE0B19" w:rsidP="00BE0B19">
      <w:pPr>
        <w:numPr>
          <w:ilvl w:val="0"/>
          <w:numId w:val="254"/>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Повишени трансаминази </w:t>
      </w:r>
      <w:r w:rsidRPr="00AE47C6">
        <w:rPr>
          <w:rFonts w:ascii="Times New Roman" w:eastAsia="SimSun" w:hAnsi="Times New Roman"/>
          <w:sz w:val="24"/>
          <w:szCs w:val="24"/>
        </w:rPr>
        <w:t>- серология за Rickettsia и кърлежов енцефалит</w:t>
      </w:r>
    </w:p>
    <w:p w14:paraId="12EEB10C" w14:textId="77777777" w:rsidR="00BE0B19" w:rsidRPr="00AE47C6" w:rsidRDefault="00BE0B19" w:rsidP="00BE0B19">
      <w:pPr>
        <w:numPr>
          <w:ilvl w:val="0"/>
          <w:numId w:val="254"/>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Ликворен протеин </w:t>
      </w:r>
      <w:r w:rsidRPr="00AE47C6">
        <w:rPr>
          <w:rFonts w:ascii="Times New Roman" w:eastAsia="SimSun" w:hAnsi="Times New Roman"/>
          <w:sz w:val="24"/>
          <w:szCs w:val="24"/>
        </w:rPr>
        <w:t>&gt;1 g/L, ликворна глюкоза &lt;2/3 периферна глюкоза, или лимфоцитна плеоцитоза с подостро начало - тестиране за MTB и микози</w:t>
      </w:r>
    </w:p>
    <w:p w14:paraId="6A0AE376" w14:textId="77777777" w:rsidR="00BE0B19" w:rsidRPr="00AE47C6" w:rsidRDefault="00BE0B19" w:rsidP="00BE0B19">
      <w:pPr>
        <w:numPr>
          <w:ilvl w:val="0"/>
          <w:numId w:val="254"/>
        </w:numPr>
        <w:spacing w:after="0" w:line="360" w:lineRule="auto"/>
        <w:ind w:left="0" w:firstLine="709"/>
        <w:contextualSpacing/>
        <w:jc w:val="both"/>
        <w:rPr>
          <w:rFonts w:ascii="Times New Roman" w:eastAsia="SimSun" w:hAnsi="Times New Roman"/>
          <w:b/>
          <w:sz w:val="24"/>
          <w:szCs w:val="24"/>
        </w:rPr>
      </w:pPr>
      <w:r w:rsidRPr="00AE47C6">
        <w:rPr>
          <w:rFonts w:ascii="Times New Roman" w:eastAsia="SimSun" w:hAnsi="Times New Roman"/>
          <w:b/>
          <w:sz w:val="24"/>
          <w:szCs w:val="24"/>
        </w:rPr>
        <w:t>Ликворен протеин &gt;</w:t>
      </w:r>
      <w:r w:rsidRPr="00AE47C6">
        <w:rPr>
          <w:rFonts w:ascii="Times New Roman" w:eastAsia="SimSun" w:hAnsi="Times New Roman"/>
          <w:sz w:val="24"/>
          <w:szCs w:val="24"/>
        </w:rPr>
        <w:t xml:space="preserve">1 g/L, ликворна глюкоза &lt;2/3 периферна глюкоза, и неутрофилно предоминиране с остро начало на симптомите и скорошен прием на антибиотици ликворна PCR за </w:t>
      </w:r>
      <w:r w:rsidRPr="00AE47C6">
        <w:rPr>
          <w:rFonts w:ascii="Times New Roman" w:eastAsia="SimSun" w:hAnsi="Times New Roman"/>
          <w:iCs/>
          <w:sz w:val="24"/>
          <w:szCs w:val="24"/>
        </w:rPr>
        <w:t xml:space="preserve">S. Pneumoniae </w:t>
      </w:r>
      <w:r w:rsidRPr="00AE47C6">
        <w:rPr>
          <w:rFonts w:ascii="Times New Roman" w:eastAsia="SimSun" w:hAnsi="Times New Roman"/>
          <w:sz w:val="24"/>
          <w:szCs w:val="24"/>
        </w:rPr>
        <w:t xml:space="preserve">и </w:t>
      </w:r>
      <w:r w:rsidRPr="00AE47C6">
        <w:rPr>
          <w:rFonts w:ascii="Times New Roman" w:eastAsia="SimSun" w:hAnsi="Times New Roman"/>
          <w:iCs/>
          <w:sz w:val="24"/>
          <w:szCs w:val="24"/>
        </w:rPr>
        <w:t>N. meningitides</w:t>
      </w:r>
    </w:p>
    <w:p w14:paraId="3EC5185C" w14:textId="77777777" w:rsidR="00BE0B19" w:rsidRPr="00AE47C6" w:rsidRDefault="00BE0B19" w:rsidP="00BE0B19">
      <w:pPr>
        <w:numPr>
          <w:ilvl w:val="0"/>
          <w:numId w:val="254"/>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Ликворна еозинофилия – </w:t>
      </w:r>
      <w:r w:rsidRPr="00AE47C6">
        <w:rPr>
          <w:rFonts w:ascii="Times New Roman" w:eastAsia="SimSun" w:hAnsi="Times New Roman"/>
          <w:sz w:val="24"/>
          <w:szCs w:val="24"/>
        </w:rPr>
        <w:t xml:space="preserve">тестиране за MTB, микози; </w:t>
      </w:r>
      <w:r w:rsidRPr="00AE47C6">
        <w:rPr>
          <w:rFonts w:ascii="Times New Roman" w:eastAsia="SimSun" w:hAnsi="Times New Roman"/>
          <w:iCs/>
          <w:sz w:val="24"/>
          <w:szCs w:val="24"/>
        </w:rPr>
        <w:t>Baylisascaris</w:t>
      </w:r>
      <w:r w:rsidRPr="00AE47C6">
        <w:rPr>
          <w:rFonts w:ascii="Times New Roman" w:eastAsia="SimSun" w:hAnsi="Times New Roman"/>
          <w:sz w:val="24"/>
          <w:szCs w:val="24"/>
        </w:rPr>
        <w:t xml:space="preserve">procyonis антитела (серум и ликвор); </w:t>
      </w:r>
      <w:r w:rsidRPr="00AE47C6">
        <w:rPr>
          <w:rFonts w:ascii="Times New Roman" w:eastAsia="SimSun" w:hAnsi="Times New Roman"/>
          <w:iCs/>
          <w:sz w:val="24"/>
          <w:szCs w:val="24"/>
        </w:rPr>
        <w:t>Angiostrongylus cantonensis</w:t>
      </w:r>
      <w:r w:rsidRPr="00AE47C6">
        <w:rPr>
          <w:rFonts w:ascii="Times New Roman" w:eastAsia="SimSun" w:hAnsi="Times New Roman"/>
          <w:sz w:val="24"/>
          <w:szCs w:val="24"/>
        </w:rPr>
        <w:t xml:space="preserve">, </w:t>
      </w:r>
      <w:r w:rsidRPr="00AE47C6">
        <w:rPr>
          <w:rFonts w:ascii="Times New Roman" w:eastAsia="SimSun" w:hAnsi="Times New Roman"/>
          <w:iCs/>
          <w:sz w:val="24"/>
          <w:szCs w:val="24"/>
        </w:rPr>
        <w:t>Gnathostoma</w:t>
      </w:r>
      <w:r w:rsidRPr="00AE47C6">
        <w:rPr>
          <w:rFonts w:ascii="Times New Roman" w:eastAsia="SimSun" w:hAnsi="Times New Roman"/>
          <w:sz w:val="24"/>
          <w:szCs w:val="24"/>
        </w:rPr>
        <w:t xml:space="preserve">sp. </w:t>
      </w:r>
    </w:p>
    <w:p w14:paraId="2A4449E1" w14:textId="77777777" w:rsidR="00BE0B19" w:rsidRPr="00AE47C6" w:rsidRDefault="00BE0B19" w:rsidP="00BE0B19">
      <w:pPr>
        <w:numPr>
          <w:ilvl w:val="0"/>
          <w:numId w:val="254"/>
        </w:numPr>
        <w:spacing w:after="0" w:line="360" w:lineRule="auto"/>
        <w:ind w:left="0" w:firstLine="709"/>
        <w:contextualSpacing/>
        <w:jc w:val="both"/>
        <w:rPr>
          <w:rFonts w:ascii="Times New Roman" w:eastAsia="SimSun" w:hAnsi="Times New Roman"/>
          <w:b/>
          <w:sz w:val="24"/>
          <w:szCs w:val="24"/>
        </w:rPr>
      </w:pPr>
      <w:r w:rsidRPr="00AE47C6">
        <w:rPr>
          <w:rFonts w:ascii="Times New Roman" w:eastAsia="SimSun" w:hAnsi="Times New Roman"/>
          <w:b/>
          <w:sz w:val="24"/>
          <w:szCs w:val="24"/>
        </w:rPr>
        <w:t>Ликворна плеоцитоза</w:t>
      </w:r>
      <w:r w:rsidRPr="00AE47C6">
        <w:rPr>
          <w:rFonts w:ascii="Times New Roman" w:eastAsia="SimSun" w:hAnsi="Times New Roman"/>
          <w:sz w:val="24"/>
          <w:szCs w:val="24"/>
        </w:rPr>
        <w:t xml:space="preserve"> – тестиране за MTB и микози; </w:t>
      </w:r>
      <w:r w:rsidRPr="00AE47C6">
        <w:rPr>
          <w:rFonts w:ascii="Times New Roman" w:eastAsia="SimSun" w:hAnsi="Times New Roman"/>
          <w:iCs/>
          <w:sz w:val="24"/>
          <w:szCs w:val="24"/>
        </w:rPr>
        <w:t xml:space="preserve">Baylisascaris procyonis </w:t>
      </w:r>
      <w:r w:rsidRPr="00AE47C6">
        <w:rPr>
          <w:rFonts w:ascii="Times New Roman" w:eastAsia="SimSun" w:hAnsi="Times New Roman"/>
          <w:sz w:val="24"/>
          <w:szCs w:val="24"/>
        </w:rPr>
        <w:t xml:space="preserve">антитела (serum); </w:t>
      </w:r>
      <w:r w:rsidRPr="00AE47C6">
        <w:rPr>
          <w:rFonts w:ascii="Times New Roman" w:eastAsia="SimSun" w:hAnsi="Times New Roman"/>
          <w:iCs/>
          <w:sz w:val="24"/>
          <w:szCs w:val="24"/>
        </w:rPr>
        <w:t xml:space="preserve">Angiostrongylus cantonensis </w:t>
      </w:r>
      <w:r w:rsidRPr="00AE47C6">
        <w:rPr>
          <w:rFonts w:ascii="Times New Roman" w:eastAsia="SimSun" w:hAnsi="Times New Roman"/>
          <w:sz w:val="24"/>
          <w:szCs w:val="24"/>
        </w:rPr>
        <w:t>и</w:t>
      </w:r>
      <w:r w:rsidRPr="00AE47C6">
        <w:rPr>
          <w:rFonts w:ascii="Times New Roman" w:eastAsia="SimSun" w:hAnsi="Times New Roman"/>
          <w:iCs/>
          <w:sz w:val="24"/>
          <w:szCs w:val="24"/>
        </w:rPr>
        <w:t xml:space="preserve"> Gnathostoma </w:t>
      </w:r>
      <w:r w:rsidRPr="00AE47C6">
        <w:rPr>
          <w:rFonts w:ascii="Times New Roman" w:eastAsia="SimSun" w:hAnsi="Times New Roman"/>
          <w:bCs/>
          <w:iCs/>
          <w:sz w:val="24"/>
          <w:szCs w:val="24"/>
        </w:rPr>
        <w:t>spinigerum</w:t>
      </w:r>
    </w:p>
    <w:p w14:paraId="18D30905" w14:textId="77777777" w:rsidR="00BE0B19" w:rsidRPr="00AE47C6" w:rsidRDefault="00BE0B19" w:rsidP="00BE0B19">
      <w:pPr>
        <w:numPr>
          <w:ilvl w:val="0"/>
          <w:numId w:val="254"/>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Еритроцити</w:t>
      </w:r>
      <w:r w:rsidRPr="00AE47C6">
        <w:rPr>
          <w:rFonts w:ascii="Times New Roman" w:eastAsia="SimSun" w:hAnsi="Times New Roman"/>
          <w:sz w:val="24"/>
          <w:szCs w:val="24"/>
        </w:rPr>
        <w:t xml:space="preserve"> в ликвор - тестиране за </w:t>
      </w:r>
      <w:r w:rsidRPr="00AE47C6">
        <w:rPr>
          <w:rFonts w:ascii="Times New Roman" w:eastAsia="SimSun" w:hAnsi="Times New Roman"/>
          <w:iCs/>
          <w:sz w:val="24"/>
          <w:szCs w:val="24"/>
        </w:rPr>
        <w:t>Naegleria fowleri</w:t>
      </w:r>
    </w:p>
    <w:p w14:paraId="730DB4D8" w14:textId="77777777" w:rsidR="00BE0B19" w:rsidRPr="00AE47C6" w:rsidRDefault="00BE0B19" w:rsidP="00BE0B19">
      <w:pPr>
        <w:numPr>
          <w:ilvl w:val="0"/>
          <w:numId w:val="254"/>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Ликворна хипонатриемия</w:t>
      </w:r>
      <w:r w:rsidRPr="00AE47C6">
        <w:rPr>
          <w:rFonts w:ascii="Times New Roman" w:eastAsia="SimSun" w:hAnsi="Times New Roman"/>
          <w:sz w:val="24"/>
          <w:szCs w:val="24"/>
        </w:rPr>
        <w:t xml:space="preserve"> - анти-VGKC антитела- серум), тест за MTB </w:t>
      </w:r>
    </w:p>
    <w:p w14:paraId="6FDFACDD" w14:textId="77777777" w:rsidR="00BE0B19" w:rsidRPr="00AE47C6" w:rsidRDefault="00BE0B19" w:rsidP="00BE0B19">
      <w:pPr>
        <w:spacing w:after="0" w:line="360" w:lineRule="auto"/>
        <w:ind w:left="709"/>
        <w:contextualSpacing/>
        <w:jc w:val="both"/>
        <w:rPr>
          <w:rFonts w:ascii="Times New Roman" w:eastAsia="SimSun" w:hAnsi="Times New Roman"/>
          <w:sz w:val="24"/>
          <w:szCs w:val="24"/>
        </w:rPr>
      </w:pPr>
    </w:p>
    <w:p w14:paraId="72F797CA"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Невроизобразяващи изследвания</w:t>
      </w:r>
    </w:p>
    <w:p w14:paraId="1F8703D1" w14:textId="77777777" w:rsidR="00BE0B19" w:rsidRPr="00AE47C6" w:rsidRDefault="00BE0B19" w:rsidP="00BE0B19">
      <w:pPr>
        <w:numPr>
          <w:ilvl w:val="0"/>
          <w:numId w:val="253"/>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Фронтален дял</w:t>
      </w:r>
      <w:r w:rsidRPr="00AE47C6">
        <w:rPr>
          <w:rFonts w:ascii="Times New Roman" w:eastAsia="SimSun" w:hAnsi="Times New Roman"/>
          <w:sz w:val="24"/>
          <w:szCs w:val="24"/>
        </w:rPr>
        <w:t xml:space="preserve"> - тестиране за </w:t>
      </w:r>
      <w:r w:rsidRPr="00AE47C6">
        <w:rPr>
          <w:rFonts w:ascii="Times New Roman" w:eastAsia="SimSun" w:hAnsi="Times New Roman"/>
          <w:iCs/>
          <w:sz w:val="24"/>
          <w:szCs w:val="24"/>
        </w:rPr>
        <w:t xml:space="preserve">Naegleria fowleri </w:t>
      </w:r>
      <w:r w:rsidRPr="00AE47C6">
        <w:rPr>
          <w:rFonts w:ascii="Times New Roman" w:eastAsia="SimSun" w:hAnsi="Times New Roman"/>
          <w:sz w:val="24"/>
          <w:szCs w:val="24"/>
        </w:rPr>
        <w:t>(ликвор и PCR)</w:t>
      </w:r>
    </w:p>
    <w:p w14:paraId="19AA1DE7" w14:textId="77777777" w:rsidR="00BE0B19" w:rsidRPr="00AE47C6" w:rsidRDefault="00BE0B19" w:rsidP="00BE0B19">
      <w:pPr>
        <w:numPr>
          <w:ilvl w:val="0"/>
          <w:numId w:val="253"/>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Темпорален дял</w:t>
      </w:r>
      <w:r w:rsidRPr="00AE47C6">
        <w:rPr>
          <w:rFonts w:ascii="Times New Roman" w:eastAsia="SimSun" w:hAnsi="Times New Roman"/>
          <w:sz w:val="24"/>
          <w:szCs w:val="24"/>
        </w:rPr>
        <w:t xml:space="preserve"> - VGKC антитела (серум и ликвор); HHV 6/7 PCR (ликвор)</w:t>
      </w:r>
    </w:p>
    <w:p w14:paraId="2E49EA81" w14:textId="77777777" w:rsidR="00BE0B19" w:rsidRPr="00AE47C6" w:rsidRDefault="00BE0B19" w:rsidP="00BE0B19">
      <w:pPr>
        <w:numPr>
          <w:ilvl w:val="0"/>
          <w:numId w:val="253"/>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Базални ганглии и/или таламус</w:t>
      </w:r>
      <w:r w:rsidRPr="00AE47C6">
        <w:rPr>
          <w:rFonts w:ascii="Times New Roman" w:eastAsia="SimSun" w:hAnsi="Times New Roman"/>
          <w:sz w:val="24"/>
          <w:szCs w:val="24"/>
        </w:rPr>
        <w:t xml:space="preserve"> - тестиране за Arbo virus и MTB</w:t>
      </w:r>
    </w:p>
    <w:p w14:paraId="64B62A8E" w14:textId="77777777" w:rsidR="00BE0B19" w:rsidRPr="00AE47C6" w:rsidRDefault="00BE0B19" w:rsidP="00BE0B19">
      <w:pPr>
        <w:numPr>
          <w:ilvl w:val="0"/>
          <w:numId w:val="253"/>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Мозъчен ствол</w:t>
      </w:r>
      <w:r w:rsidRPr="00AE47C6">
        <w:rPr>
          <w:rFonts w:ascii="Times New Roman" w:eastAsia="SimSun" w:hAnsi="Times New Roman"/>
          <w:sz w:val="24"/>
          <w:szCs w:val="24"/>
        </w:rPr>
        <w:t xml:space="preserve"> - тестиране за ARBO virus, MTB, Listeria PCR; Brucella антитела (серум); </w:t>
      </w:r>
    </w:p>
    <w:p w14:paraId="3B8B85AB" w14:textId="77777777" w:rsidR="00BE0B19" w:rsidRPr="00AE47C6" w:rsidRDefault="00BE0B19" w:rsidP="00BE0B19">
      <w:pPr>
        <w:numPr>
          <w:ilvl w:val="0"/>
          <w:numId w:val="253"/>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Малък мозък - </w:t>
      </w:r>
      <w:r w:rsidRPr="00AE47C6">
        <w:rPr>
          <w:rFonts w:ascii="Times New Roman" w:eastAsia="SimSun" w:hAnsi="Times New Roman"/>
          <w:sz w:val="24"/>
          <w:szCs w:val="24"/>
        </w:rPr>
        <w:t>EBV PCR (ликвор) и серология</w:t>
      </w:r>
    </w:p>
    <w:p w14:paraId="7293C32A" w14:textId="77777777" w:rsidR="00BE0B19" w:rsidRPr="00AE47C6" w:rsidRDefault="00BE0B19" w:rsidP="00BE0B19">
      <w:pPr>
        <w:numPr>
          <w:ilvl w:val="0"/>
          <w:numId w:val="253"/>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Дифузен мозъчен оток - тестиране за респираторни вируси </w:t>
      </w:r>
    </w:p>
    <w:p w14:paraId="29B31E7E" w14:textId="77777777" w:rsidR="00BE0B19" w:rsidRPr="00AE47C6" w:rsidRDefault="00BE0B19" w:rsidP="00BE0B19">
      <w:pPr>
        <w:numPr>
          <w:ilvl w:val="0"/>
          <w:numId w:val="253"/>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Хидроцефалия и менингеално базално усилване</w:t>
      </w:r>
      <w:r w:rsidRPr="00AE47C6">
        <w:rPr>
          <w:rFonts w:ascii="Times New Roman" w:eastAsia="SimSun" w:hAnsi="Times New Roman"/>
          <w:sz w:val="24"/>
          <w:szCs w:val="24"/>
        </w:rPr>
        <w:t xml:space="preserve"> - тестиране за MTB; микози </w:t>
      </w:r>
    </w:p>
    <w:p w14:paraId="57A5818B" w14:textId="77777777" w:rsidR="00BE0B19" w:rsidRPr="00AE47C6" w:rsidRDefault="00BE0B19" w:rsidP="00BE0B19">
      <w:pPr>
        <w:numPr>
          <w:ilvl w:val="0"/>
          <w:numId w:val="253"/>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Огнищни лезии с или без периферно усилване -</w:t>
      </w:r>
      <w:r w:rsidRPr="00AE47C6">
        <w:rPr>
          <w:rFonts w:ascii="Times New Roman" w:eastAsia="SimSun" w:hAnsi="Times New Roman"/>
          <w:sz w:val="24"/>
          <w:szCs w:val="24"/>
        </w:rPr>
        <w:t xml:space="preserve"> тестиране за МВТ и за микози; </w:t>
      </w:r>
      <w:r w:rsidRPr="00AE47C6">
        <w:rPr>
          <w:rFonts w:ascii="Times New Roman" w:eastAsia="SimSun" w:hAnsi="Times New Roman"/>
          <w:iCs/>
          <w:sz w:val="24"/>
          <w:szCs w:val="24"/>
        </w:rPr>
        <w:t xml:space="preserve">Balamuthia mandrillaris </w:t>
      </w:r>
      <w:r w:rsidRPr="00AE47C6">
        <w:rPr>
          <w:rFonts w:ascii="Times New Roman" w:eastAsia="SimSun" w:hAnsi="Times New Roman"/>
          <w:sz w:val="24"/>
          <w:szCs w:val="24"/>
        </w:rPr>
        <w:t xml:space="preserve">и Acanthamoeba, серология за </w:t>
      </w:r>
      <w:r w:rsidRPr="00AE47C6">
        <w:rPr>
          <w:rFonts w:ascii="Times New Roman" w:eastAsia="SimSun" w:hAnsi="Times New Roman"/>
          <w:iCs/>
          <w:sz w:val="24"/>
          <w:szCs w:val="24"/>
        </w:rPr>
        <w:t>Toxoplasma gondii</w:t>
      </w:r>
      <w:r w:rsidRPr="00AE47C6">
        <w:rPr>
          <w:rFonts w:ascii="Times New Roman" w:eastAsia="SimSun" w:hAnsi="Times New Roman"/>
          <w:sz w:val="24"/>
          <w:szCs w:val="24"/>
        </w:rPr>
        <w:t> </w:t>
      </w:r>
    </w:p>
    <w:p w14:paraId="03678D10" w14:textId="77777777" w:rsidR="00BE0B19" w:rsidRPr="00AE47C6" w:rsidRDefault="00BE0B19" w:rsidP="00BE0B19">
      <w:pPr>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sz w:val="24"/>
          <w:szCs w:val="24"/>
        </w:rPr>
        <w:t>Рутинни изследвания</w:t>
      </w:r>
    </w:p>
    <w:p w14:paraId="369B50F1" w14:textId="77777777" w:rsidR="00BE0B19" w:rsidRPr="00AE47C6" w:rsidRDefault="00BE0B19" w:rsidP="00BE0B19">
      <w:pPr>
        <w:numPr>
          <w:ilvl w:val="0"/>
          <w:numId w:val="251"/>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Ликвор: </w:t>
      </w:r>
      <w:r w:rsidRPr="00AE47C6">
        <w:rPr>
          <w:rFonts w:ascii="Times New Roman" w:eastAsia="SimSun" w:hAnsi="Times New Roman"/>
          <w:sz w:val="24"/>
          <w:szCs w:val="24"/>
        </w:rPr>
        <w:t xml:space="preserve">5 ml за изследване на брой клетки (левкоцити с диференциално броене, еритроцити); протеин; глюкоза, микробиологично изследване; съхранява се за други изследвания; Human herpes virus 1 и 2 (HSV1/2) PCR, а при позитивен тест - ликворни HSV IgG и IgM; varicella-zoster virus (VZV) PCR, при позитивен тест - ликворни varicella-zoster virus IgG и IgM; Enterovirus PCR; </w:t>
      </w:r>
    </w:p>
    <w:p w14:paraId="7F7CF4E1" w14:textId="77777777" w:rsidR="00BE0B19" w:rsidRPr="00AE47C6" w:rsidRDefault="00BE0B19" w:rsidP="00BE0B19">
      <w:pPr>
        <w:numPr>
          <w:ilvl w:val="0"/>
          <w:numId w:val="251"/>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Серум: </w:t>
      </w:r>
      <w:r w:rsidRPr="00AE47C6">
        <w:rPr>
          <w:rFonts w:ascii="Times New Roman" w:eastAsia="SimSun" w:hAnsi="Times New Roman"/>
          <w:sz w:val="24"/>
          <w:szCs w:val="24"/>
        </w:rPr>
        <w:t xml:space="preserve">ПКК, серология за Epstein-Barr virus (EBV) (VCA IgG и IgM и EBNA IgG); </w:t>
      </w:r>
      <w:r w:rsidRPr="00AE47C6">
        <w:rPr>
          <w:rFonts w:ascii="Times New Roman" w:eastAsia="SimSun" w:hAnsi="Times New Roman"/>
          <w:iCs/>
          <w:sz w:val="24"/>
          <w:szCs w:val="24"/>
        </w:rPr>
        <w:t xml:space="preserve">Mycoplasma pneumoniae </w:t>
      </w:r>
      <w:r w:rsidRPr="00AE47C6">
        <w:rPr>
          <w:rFonts w:ascii="Times New Roman" w:eastAsia="SimSun" w:hAnsi="Times New Roman"/>
          <w:sz w:val="24"/>
          <w:szCs w:val="24"/>
        </w:rPr>
        <w:t xml:space="preserve">IgM и IgG; съхранява се серум за следващи изследвания </w:t>
      </w:r>
    </w:p>
    <w:p w14:paraId="77CB58F1" w14:textId="77777777" w:rsidR="00BE0B19" w:rsidRPr="00AE47C6" w:rsidRDefault="00BE0B19" w:rsidP="00BE0B19">
      <w:pPr>
        <w:numPr>
          <w:ilvl w:val="0"/>
          <w:numId w:val="251"/>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Образни изследвания: </w:t>
      </w:r>
      <w:r w:rsidRPr="00AE47C6">
        <w:rPr>
          <w:rFonts w:ascii="Times New Roman" w:eastAsia="SimSun" w:hAnsi="Times New Roman"/>
          <w:sz w:val="24"/>
          <w:szCs w:val="24"/>
        </w:rPr>
        <w:t xml:space="preserve">Невроизобразяващи (МРТ се предпочита пред КТ); Ro графия или нискодозова КТ с висока резолюция на бял дроб </w:t>
      </w:r>
    </w:p>
    <w:p w14:paraId="4F200378" w14:textId="77777777" w:rsidR="00BE0B19" w:rsidRPr="00AE47C6" w:rsidRDefault="00BE0B19" w:rsidP="00BE0B19">
      <w:pPr>
        <w:numPr>
          <w:ilvl w:val="0"/>
          <w:numId w:val="251"/>
        </w:numPr>
        <w:spacing w:after="0" w:line="360" w:lineRule="auto"/>
        <w:ind w:left="0" w:firstLine="709"/>
        <w:contextualSpacing/>
        <w:jc w:val="both"/>
        <w:rPr>
          <w:rFonts w:ascii="Times New Roman" w:eastAsia="SimSun" w:hAnsi="Times New Roman"/>
          <w:b/>
          <w:sz w:val="24"/>
          <w:szCs w:val="24"/>
        </w:rPr>
      </w:pPr>
      <w:r w:rsidRPr="00AE47C6">
        <w:rPr>
          <w:rFonts w:ascii="Times New Roman" w:eastAsia="SimSun" w:hAnsi="Times New Roman"/>
          <w:b/>
          <w:sz w:val="24"/>
          <w:szCs w:val="24"/>
        </w:rPr>
        <w:t>Неврофизиология: ЕЕГ</w:t>
      </w:r>
    </w:p>
    <w:p w14:paraId="1A31FE6B" w14:textId="77777777" w:rsidR="00BE0B19" w:rsidRPr="00AE47C6" w:rsidRDefault="00BE0B19" w:rsidP="00BE0B19">
      <w:pPr>
        <w:numPr>
          <w:ilvl w:val="0"/>
          <w:numId w:val="251"/>
        </w:numPr>
        <w:spacing w:after="0" w:line="360" w:lineRule="auto"/>
        <w:ind w:left="0" w:firstLine="709"/>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Други изследвания: </w:t>
      </w:r>
      <w:r w:rsidRPr="00AE47C6">
        <w:rPr>
          <w:rFonts w:ascii="Times New Roman" w:eastAsia="SimSun" w:hAnsi="Times New Roman"/>
          <w:iCs/>
          <w:sz w:val="24"/>
          <w:szCs w:val="24"/>
        </w:rPr>
        <w:t xml:space="preserve">Mycoplasma pneumoniae </w:t>
      </w:r>
      <w:r w:rsidRPr="00AE47C6">
        <w:rPr>
          <w:rFonts w:ascii="Times New Roman" w:eastAsia="SimSun" w:hAnsi="Times New Roman"/>
          <w:sz w:val="24"/>
          <w:szCs w:val="24"/>
        </w:rPr>
        <w:t>- PCR от гърлен секрет; Enterovirus -PCR и/или култура от гърлен секрет и изпражнения</w:t>
      </w:r>
      <w:r w:rsidRPr="00AE47C6">
        <w:rPr>
          <w:rFonts w:ascii="Times New Roman" w:eastAsia="SimSun" w:hAnsi="Times New Roman"/>
          <w:b/>
          <w:sz w:val="24"/>
          <w:szCs w:val="24"/>
        </w:rPr>
        <w:t>.</w:t>
      </w:r>
    </w:p>
    <w:p w14:paraId="0AFA10F6"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Индивидуални фактори</w:t>
      </w:r>
    </w:p>
    <w:p w14:paraId="366968C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Възраст &lt;3 г. - Parechovirus PCR (ликвор)</w:t>
      </w:r>
    </w:p>
    <w:p w14:paraId="04E5C27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Имунокомпрометирани - </w:t>
      </w:r>
      <w:r w:rsidRPr="00AE47C6">
        <w:rPr>
          <w:rFonts w:ascii="Times New Roman" w:eastAsia="SimSun" w:hAnsi="Times New Roman"/>
          <w:sz w:val="24"/>
          <w:szCs w:val="24"/>
        </w:rPr>
        <w:t xml:space="preserve">CMV PCR, HHV6/7 PCR, HIV PCR (ликвор); Cryptococcus антиген; серология за </w:t>
      </w:r>
      <w:r w:rsidRPr="00AE47C6">
        <w:rPr>
          <w:rFonts w:ascii="Times New Roman" w:eastAsia="SimSun" w:hAnsi="Times New Roman"/>
          <w:iCs/>
          <w:sz w:val="24"/>
          <w:szCs w:val="24"/>
        </w:rPr>
        <w:t>Toxoplasma gondii</w:t>
      </w:r>
      <w:r w:rsidRPr="00AE47C6">
        <w:rPr>
          <w:rFonts w:ascii="Times New Roman" w:eastAsia="SimSun" w:hAnsi="Times New Roman"/>
          <w:sz w:val="24"/>
          <w:szCs w:val="24"/>
        </w:rPr>
        <w:t xml:space="preserve"> и /или PCR; тест за MTB и за микози, за Западно нилски енцефалитен вирус (WNV)</w:t>
      </w:r>
    </w:p>
    <w:p w14:paraId="7D60E6E0"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 xml:space="preserve">Географски фактори: Европа - </w:t>
      </w:r>
      <w:r w:rsidRPr="00AE47C6">
        <w:rPr>
          <w:rFonts w:ascii="Times New Roman" w:eastAsia="SimSun" w:hAnsi="Times New Roman"/>
          <w:sz w:val="24"/>
          <w:szCs w:val="24"/>
        </w:rPr>
        <w:t>Вирус на кърлежовия енцефалит (серология); Южна Европа – тестиране за WNV, Toscana virus;</w:t>
      </w:r>
      <w:r w:rsidRPr="00AE47C6">
        <w:rPr>
          <w:rFonts w:ascii="Times New Roman" w:eastAsia="SimSun" w:hAnsi="Times New Roman"/>
          <w:b/>
          <w:sz w:val="24"/>
          <w:szCs w:val="24"/>
        </w:rPr>
        <w:t xml:space="preserve"> Африка - </w:t>
      </w:r>
      <w:r w:rsidRPr="00AE47C6">
        <w:rPr>
          <w:rFonts w:ascii="Times New Roman" w:eastAsia="SimSun" w:hAnsi="Times New Roman"/>
          <w:sz w:val="24"/>
          <w:szCs w:val="24"/>
        </w:rPr>
        <w:t xml:space="preserve">малария, трипанозомиаза (кръв/ликвор, серология в серум и ликвор), денга; </w:t>
      </w:r>
      <w:r w:rsidRPr="00AE47C6">
        <w:rPr>
          <w:rFonts w:ascii="Times New Roman" w:eastAsia="SimSun" w:hAnsi="Times New Roman"/>
          <w:b/>
          <w:sz w:val="24"/>
          <w:szCs w:val="24"/>
        </w:rPr>
        <w:t xml:space="preserve">Азия - </w:t>
      </w:r>
      <w:r w:rsidRPr="00AE47C6">
        <w:rPr>
          <w:rFonts w:ascii="Times New Roman" w:eastAsia="SimSun" w:hAnsi="Times New Roman"/>
          <w:sz w:val="24"/>
          <w:szCs w:val="24"/>
        </w:rPr>
        <w:t xml:space="preserve">тестиране за Японски енцефалит, денга, малария, Nipah вирус (серология от серум и ликвор, PCR, имунохистохимия, вирусно изолиране); </w:t>
      </w:r>
      <w:r w:rsidRPr="00AE47C6">
        <w:rPr>
          <w:rFonts w:ascii="Times New Roman" w:eastAsia="SimSun" w:hAnsi="Times New Roman"/>
          <w:b/>
          <w:sz w:val="24"/>
          <w:szCs w:val="24"/>
        </w:rPr>
        <w:t xml:space="preserve">Северна Америка - </w:t>
      </w:r>
      <w:r w:rsidRPr="00AE47C6">
        <w:rPr>
          <w:rFonts w:ascii="Times New Roman" w:eastAsia="SimSun" w:hAnsi="Times New Roman"/>
          <w:sz w:val="24"/>
          <w:szCs w:val="24"/>
        </w:rPr>
        <w:t xml:space="preserve">тестиране за ARBO-вирус (WNV, Powassan, La Crosse, Източен конски енцефалит), Лаймска болест (серум ELISA и Western blot); </w:t>
      </w:r>
      <w:r w:rsidRPr="00AE47C6">
        <w:rPr>
          <w:rFonts w:ascii="Times New Roman" w:eastAsia="SimSun" w:hAnsi="Times New Roman"/>
          <w:b/>
          <w:sz w:val="24"/>
          <w:szCs w:val="24"/>
        </w:rPr>
        <w:t xml:space="preserve">Австралия - </w:t>
      </w:r>
      <w:r w:rsidRPr="00AE47C6">
        <w:rPr>
          <w:rFonts w:ascii="Times New Roman" w:eastAsia="SimSun" w:hAnsi="Times New Roman"/>
          <w:sz w:val="24"/>
          <w:szCs w:val="24"/>
        </w:rPr>
        <w:t>тестиране за Murray Valley енцефалит, Kunjin virus, Australian Bat Lyssavirus (ABLV</w:t>
      </w:r>
      <w:r w:rsidRPr="00AE47C6">
        <w:rPr>
          <w:rFonts w:ascii="Times New Roman" w:eastAsia="SimSun" w:hAnsi="Times New Roman"/>
          <w:b/>
          <w:sz w:val="24"/>
          <w:szCs w:val="24"/>
        </w:rPr>
        <w:t>)</w:t>
      </w:r>
    </w:p>
    <w:p w14:paraId="09861551"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 xml:space="preserve">Сезонност и контакти: </w:t>
      </w:r>
      <w:r w:rsidRPr="00AE47C6">
        <w:rPr>
          <w:rFonts w:ascii="Times New Roman" w:eastAsia="SimSun" w:hAnsi="Times New Roman"/>
          <w:sz w:val="24"/>
          <w:szCs w:val="24"/>
        </w:rPr>
        <w:t>Лято: ARBO вирус – кърлежови енцефалити; Кърлежи - тестиране за кърлежов енцефалит; Котки (ликвор) - Bartonella антитела (серум), очно изследване</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Ухапване от животни/тестиране за бяс; Плуване в топли басейни или риносинуит - </w:t>
      </w:r>
      <w:r w:rsidRPr="00AE47C6">
        <w:rPr>
          <w:rFonts w:ascii="Times New Roman" w:eastAsia="SimSun" w:hAnsi="Times New Roman"/>
          <w:iCs/>
          <w:sz w:val="24"/>
          <w:szCs w:val="24"/>
        </w:rPr>
        <w:t xml:space="preserve">Naegleria fowleri </w:t>
      </w:r>
      <w:r w:rsidRPr="00AE47C6">
        <w:rPr>
          <w:rFonts w:ascii="Times New Roman" w:eastAsia="SimSun" w:hAnsi="Times New Roman"/>
          <w:sz w:val="24"/>
          <w:szCs w:val="24"/>
        </w:rPr>
        <w:t>(ликвор и PCR)</w:t>
      </w:r>
    </w:p>
    <w:p w14:paraId="77EC744D"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Специфични белези и синдроми</w:t>
      </w:r>
    </w:p>
    <w:p w14:paraId="4536B0CC" w14:textId="77777777" w:rsidR="00BE0B19" w:rsidRPr="00AE47C6" w:rsidRDefault="00BE0B19" w:rsidP="00BE0B19">
      <w:pPr>
        <w:numPr>
          <w:ilvl w:val="0"/>
          <w:numId w:val="250"/>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Абнормно поведение (нововъзникнала възбуда, агресия), психози, епилептични припадъци, двигателни разстройства - </w:t>
      </w:r>
      <w:r w:rsidRPr="00AE47C6">
        <w:rPr>
          <w:rFonts w:ascii="Times New Roman" w:eastAsia="SimSun" w:hAnsi="Times New Roman"/>
          <w:sz w:val="24"/>
          <w:szCs w:val="24"/>
        </w:rPr>
        <w:t>анти-NMDAR антитела (серум и ликвор), IgG index; бяс</w:t>
      </w:r>
    </w:p>
    <w:p w14:paraId="5E2961A4" w14:textId="77777777" w:rsidR="00BE0B19" w:rsidRPr="00AE47C6" w:rsidRDefault="00BE0B19" w:rsidP="00BE0B19">
      <w:pPr>
        <w:numPr>
          <w:ilvl w:val="0"/>
          <w:numId w:val="250"/>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Поведенчески промени, последващи миоклонични спазми: </w:t>
      </w:r>
      <w:r w:rsidRPr="00AE47C6">
        <w:rPr>
          <w:rFonts w:ascii="Times New Roman" w:eastAsia="SimSun" w:hAnsi="Times New Roman"/>
          <w:sz w:val="24"/>
          <w:szCs w:val="24"/>
        </w:rPr>
        <w:t xml:space="preserve">тестиране на серум и ликвор за морбилни антитела, IgG </w:t>
      </w:r>
    </w:p>
    <w:p w14:paraId="7493C11E" w14:textId="77777777" w:rsidR="00BE0B19" w:rsidRPr="00AE47C6" w:rsidRDefault="00BE0B19" w:rsidP="00BE0B19">
      <w:pPr>
        <w:numPr>
          <w:ilvl w:val="0"/>
          <w:numId w:val="250"/>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Везикуларен обрив - </w:t>
      </w:r>
      <w:r w:rsidRPr="00AE47C6">
        <w:rPr>
          <w:rFonts w:ascii="Times New Roman" w:eastAsia="SimSun" w:hAnsi="Times New Roman"/>
          <w:sz w:val="24"/>
          <w:szCs w:val="24"/>
        </w:rPr>
        <w:t>VZV PCR от ликвор, VZV IgG и IgM от серум</w:t>
      </w:r>
    </w:p>
    <w:p w14:paraId="6364955B" w14:textId="77777777" w:rsidR="00BE0B19" w:rsidRPr="00AE47C6" w:rsidRDefault="00BE0B19" w:rsidP="00BE0B19">
      <w:pPr>
        <w:numPr>
          <w:ilvl w:val="0"/>
          <w:numId w:val="250"/>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Бързо декомпенсиране (особено при ухапване от животни) - </w:t>
      </w:r>
      <w:r w:rsidRPr="00AE47C6">
        <w:rPr>
          <w:rFonts w:ascii="Times New Roman" w:eastAsia="SimSun" w:hAnsi="Times New Roman"/>
          <w:sz w:val="24"/>
          <w:szCs w:val="24"/>
        </w:rPr>
        <w:t>изследване за бяс</w:t>
      </w:r>
    </w:p>
    <w:p w14:paraId="24C2AED5" w14:textId="77777777" w:rsidR="00BE0B19" w:rsidRPr="00AE47C6" w:rsidRDefault="00BE0B19" w:rsidP="00BE0B19">
      <w:pPr>
        <w:numPr>
          <w:ilvl w:val="0"/>
          <w:numId w:val="250"/>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Респираторни синдроми - </w:t>
      </w:r>
      <w:r w:rsidRPr="00AE47C6">
        <w:rPr>
          <w:rFonts w:ascii="Times New Roman" w:eastAsia="SimSun" w:hAnsi="Times New Roman"/>
          <w:sz w:val="24"/>
          <w:szCs w:val="24"/>
        </w:rPr>
        <w:t xml:space="preserve">Ro графия на бял дроб; серология за </w:t>
      </w:r>
      <w:r w:rsidRPr="00AE47C6">
        <w:rPr>
          <w:rFonts w:ascii="Times New Roman" w:eastAsia="SimSun" w:hAnsi="Times New Roman"/>
          <w:iCs/>
          <w:sz w:val="24"/>
          <w:szCs w:val="24"/>
        </w:rPr>
        <w:t xml:space="preserve">Mycoplasma pneumoniae </w:t>
      </w:r>
      <w:r w:rsidRPr="00AE47C6">
        <w:rPr>
          <w:rFonts w:ascii="Times New Roman" w:eastAsia="SimSun" w:hAnsi="Times New Roman"/>
          <w:sz w:val="24"/>
          <w:szCs w:val="24"/>
        </w:rPr>
        <w:t>и гърлен секрет – PCR, (PCR от ликвор); тестиране за респираторни вируси</w:t>
      </w:r>
    </w:p>
    <w:p w14:paraId="5BB9F4FF" w14:textId="77777777" w:rsidR="00BE0B19" w:rsidRPr="00AE47C6" w:rsidRDefault="00BE0B19" w:rsidP="00BE0B19">
      <w:pPr>
        <w:numPr>
          <w:ilvl w:val="0"/>
          <w:numId w:val="250"/>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Остра вяла парализа - </w:t>
      </w:r>
      <w:r w:rsidRPr="00AE47C6">
        <w:rPr>
          <w:rFonts w:ascii="Times New Roman" w:eastAsia="SimSun" w:hAnsi="Times New Roman"/>
          <w:sz w:val="24"/>
          <w:szCs w:val="24"/>
        </w:rPr>
        <w:t xml:space="preserve">тестиране за </w:t>
      </w:r>
      <w:r w:rsidRPr="00AE47C6">
        <w:rPr>
          <w:rFonts w:ascii="Times New Roman" w:eastAsia="SimSun" w:hAnsi="Times New Roman"/>
          <w:bCs/>
          <w:sz w:val="24"/>
          <w:szCs w:val="24"/>
        </w:rPr>
        <w:t>ентеровирус 71</w:t>
      </w:r>
      <w:r w:rsidRPr="00AE47C6">
        <w:rPr>
          <w:rFonts w:ascii="Times New Roman" w:eastAsia="SimSun" w:hAnsi="Times New Roman"/>
          <w:sz w:val="24"/>
          <w:szCs w:val="24"/>
        </w:rPr>
        <w:t>, ARBO virus и за бяс.</w:t>
      </w:r>
    </w:p>
    <w:p w14:paraId="07F8CFC1" w14:textId="77777777" w:rsidR="00BE0B19" w:rsidRPr="00AE47C6" w:rsidRDefault="00BE0B19" w:rsidP="00BE0B19">
      <w:pPr>
        <w:numPr>
          <w:ilvl w:val="0"/>
          <w:numId w:val="250"/>
        </w:numPr>
        <w:spacing w:after="0" w:line="360" w:lineRule="auto"/>
        <w:ind w:left="0" w:firstLine="709"/>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Паркинсонов синдром – </w:t>
      </w:r>
      <w:r w:rsidRPr="00AE47C6">
        <w:rPr>
          <w:rFonts w:ascii="Times New Roman" w:eastAsia="SimSun" w:hAnsi="Times New Roman"/>
          <w:sz w:val="24"/>
          <w:szCs w:val="24"/>
        </w:rPr>
        <w:t>тестиране за ARBO virus; серология за Toxoplasma</w:t>
      </w:r>
    </w:p>
    <w:p w14:paraId="6F46CEEA" w14:textId="77777777" w:rsidR="00BE0B19" w:rsidRPr="00AE47C6" w:rsidRDefault="00BE0B19" w:rsidP="00BE0B19">
      <w:pPr>
        <w:numPr>
          <w:ilvl w:val="0"/>
          <w:numId w:val="250"/>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Изразени лимбични синдроми</w:t>
      </w:r>
      <w:r w:rsidRPr="00AE47C6">
        <w:rPr>
          <w:rFonts w:ascii="Times New Roman" w:eastAsia="SimSun" w:hAnsi="Times New Roman"/>
          <w:sz w:val="24"/>
          <w:szCs w:val="24"/>
        </w:rPr>
        <w:t xml:space="preserve"> - изследване за автоимунен енцефалит; HHV6/7 PCR (ликвор)</w:t>
      </w:r>
    </w:p>
    <w:p w14:paraId="0A7CE2DE"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Лабораторни изследвания</w:t>
      </w:r>
    </w:p>
    <w:p w14:paraId="74181BDD" w14:textId="77777777" w:rsidR="00BE0B19" w:rsidRPr="00AE47C6" w:rsidRDefault="00BE0B19" w:rsidP="00BE0B19">
      <w:pPr>
        <w:numPr>
          <w:ilvl w:val="0"/>
          <w:numId w:val="258"/>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При EBV серология и остра инфекция - </w:t>
      </w:r>
      <w:r w:rsidRPr="00AE47C6">
        <w:rPr>
          <w:rFonts w:ascii="Times New Roman" w:eastAsia="SimSun" w:hAnsi="Times New Roman"/>
          <w:sz w:val="24"/>
          <w:szCs w:val="24"/>
        </w:rPr>
        <w:t>за EBV PCR (ликвор)</w:t>
      </w:r>
    </w:p>
    <w:p w14:paraId="5BF1D67C" w14:textId="77777777" w:rsidR="00BE0B19" w:rsidRPr="00AE47C6" w:rsidRDefault="00BE0B19" w:rsidP="00BE0B19">
      <w:pPr>
        <w:numPr>
          <w:ilvl w:val="0"/>
          <w:numId w:val="258"/>
        </w:numPr>
        <w:spacing w:after="0" w:line="360" w:lineRule="auto"/>
        <w:ind w:left="0" w:firstLine="709"/>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Повишени трансаминази - </w:t>
      </w:r>
      <w:r w:rsidRPr="00AE47C6">
        <w:rPr>
          <w:rFonts w:ascii="Times New Roman" w:eastAsia="SimSun" w:hAnsi="Times New Roman"/>
          <w:sz w:val="24"/>
          <w:szCs w:val="24"/>
        </w:rPr>
        <w:t>серология за Rickettsia и кърлежов енцефалит</w:t>
      </w:r>
    </w:p>
    <w:p w14:paraId="67BE2DC8" w14:textId="77777777" w:rsidR="00BE0B19" w:rsidRPr="00AE47C6" w:rsidRDefault="00BE0B19" w:rsidP="00BE0B19">
      <w:pPr>
        <w:numPr>
          <w:ilvl w:val="0"/>
          <w:numId w:val="249"/>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Ликворен протеин &gt;1 g/L, ликворна глюкоза&lt;2/3 периферна глюкоза, или лимфоцитна плеоцитоза с подостро начало - </w:t>
      </w:r>
      <w:r w:rsidRPr="00AE47C6">
        <w:rPr>
          <w:rFonts w:ascii="Times New Roman" w:eastAsia="SimSun" w:hAnsi="Times New Roman"/>
          <w:sz w:val="24"/>
          <w:szCs w:val="24"/>
        </w:rPr>
        <w:t xml:space="preserve">тестиране за туберкулозен микобактерий и микози; </w:t>
      </w:r>
      <w:r w:rsidRPr="00AE47C6">
        <w:rPr>
          <w:rFonts w:ascii="Times New Roman" w:eastAsia="SimSun" w:hAnsi="Times New Roman"/>
          <w:iCs/>
          <w:sz w:val="24"/>
          <w:szCs w:val="24"/>
        </w:rPr>
        <w:t>Balamuthia mandrillaris</w:t>
      </w:r>
    </w:p>
    <w:p w14:paraId="05EF5097" w14:textId="77777777" w:rsidR="00BE0B19" w:rsidRPr="00AE47C6" w:rsidRDefault="00BE0B19" w:rsidP="00BE0B19">
      <w:pPr>
        <w:numPr>
          <w:ilvl w:val="0"/>
          <w:numId w:val="249"/>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Ликворен протеин &gt;1 g/L, ликворна глюкоза&lt;2/3 периферна глюкоза, и неутрофилно предоминиране с остро начало на симптомите и скорошен прием на антибиотици – </w:t>
      </w:r>
      <w:r w:rsidRPr="00AE47C6">
        <w:rPr>
          <w:rFonts w:ascii="Times New Roman" w:eastAsia="SimSun" w:hAnsi="Times New Roman"/>
          <w:sz w:val="24"/>
          <w:szCs w:val="24"/>
        </w:rPr>
        <w:t xml:space="preserve">ликворна PCR за </w:t>
      </w:r>
      <w:r w:rsidRPr="00AE47C6">
        <w:rPr>
          <w:rFonts w:ascii="Times New Roman" w:eastAsia="SimSun" w:hAnsi="Times New Roman"/>
          <w:iCs/>
          <w:sz w:val="24"/>
          <w:szCs w:val="24"/>
        </w:rPr>
        <w:t xml:space="preserve">S. Pneumoniae </w:t>
      </w:r>
      <w:r w:rsidRPr="00AE47C6">
        <w:rPr>
          <w:rFonts w:ascii="Times New Roman" w:eastAsia="SimSun" w:hAnsi="Times New Roman"/>
          <w:sz w:val="24"/>
          <w:szCs w:val="24"/>
        </w:rPr>
        <w:t xml:space="preserve">и </w:t>
      </w:r>
      <w:r w:rsidRPr="00AE47C6">
        <w:rPr>
          <w:rFonts w:ascii="Times New Roman" w:eastAsia="SimSun" w:hAnsi="Times New Roman"/>
          <w:iCs/>
          <w:sz w:val="24"/>
          <w:szCs w:val="24"/>
        </w:rPr>
        <w:t>N. meningitides</w:t>
      </w:r>
    </w:p>
    <w:p w14:paraId="48F358CB" w14:textId="77777777" w:rsidR="00BE0B19" w:rsidRPr="00AE47C6" w:rsidRDefault="00BE0B19" w:rsidP="00BE0B19">
      <w:pPr>
        <w:numPr>
          <w:ilvl w:val="0"/>
          <w:numId w:val="249"/>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Ликворна еозинофилия</w:t>
      </w:r>
      <w:r w:rsidRPr="00AE47C6">
        <w:rPr>
          <w:rFonts w:ascii="Times New Roman" w:eastAsia="SimSun" w:hAnsi="Times New Roman"/>
          <w:sz w:val="24"/>
          <w:szCs w:val="24"/>
        </w:rPr>
        <w:t xml:space="preserve"> – тестиране за туберкулозен микобактерий, микози; </w:t>
      </w:r>
      <w:r w:rsidRPr="00AE47C6">
        <w:rPr>
          <w:rFonts w:ascii="Times New Roman" w:eastAsia="SimSun" w:hAnsi="Times New Roman"/>
          <w:iCs/>
          <w:sz w:val="24"/>
          <w:szCs w:val="24"/>
        </w:rPr>
        <w:t>Baylisascaris</w:t>
      </w:r>
      <w:r w:rsidRPr="00AE47C6">
        <w:rPr>
          <w:rFonts w:ascii="Times New Roman" w:eastAsia="SimSun" w:hAnsi="Times New Roman"/>
          <w:sz w:val="24"/>
          <w:szCs w:val="24"/>
        </w:rPr>
        <w:t xml:space="preserve">procyonis антитела (серум и ликвор); </w:t>
      </w:r>
      <w:r w:rsidRPr="00AE47C6">
        <w:rPr>
          <w:rFonts w:ascii="Times New Roman" w:eastAsia="SimSun" w:hAnsi="Times New Roman"/>
          <w:iCs/>
          <w:sz w:val="24"/>
          <w:szCs w:val="24"/>
        </w:rPr>
        <w:t>Angiostrongylus cantonensis</w:t>
      </w:r>
      <w:r w:rsidRPr="00AE47C6">
        <w:rPr>
          <w:rFonts w:ascii="Times New Roman" w:eastAsia="SimSun" w:hAnsi="Times New Roman"/>
          <w:sz w:val="24"/>
          <w:szCs w:val="24"/>
        </w:rPr>
        <w:t xml:space="preserve">, </w:t>
      </w:r>
      <w:r w:rsidRPr="00AE47C6">
        <w:rPr>
          <w:rFonts w:ascii="Times New Roman" w:eastAsia="SimSun" w:hAnsi="Times New Roman"/>
          <w:iCs/>
          <w:sz w:val="24"/>
          <w:szCs w:val="24"/>
        </w:rPr>
        <w:t xml:space="preserve">Gnathostoma </w:t>
      </w:r>
      <w:r w:rsidRPr="00AE47C6">
        <w:rPr>
          <w:rFonts w:ascii="Times New Roman" w:eastAsia="SimSun" w:hAnsi="Times New Roman"/>
          <w:bCs/>
          <w:iCs/>
          <w:sz w:val="24"/>
          <w:szCs w:val="24"/>
        </w:rPr>
        <w:t>spinigerum</w:t>
      </w:r>
    </w:p>
    <w:p w14:paraId="3AA23678" w14:textId="77777777" w:rsidR="00BE0B19" w:rsidRPr="00AE47C6" w:rsidRDefault="00BE0B19" w:rsidP="00BE0B19">
      <w:pPr>
        <w:numPr>
          <w:ilvl w:val="0"/>
          <w:numId w:val="249"/>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Ликворна плеоцитоза </w:t>
      </w:r>
      <w:r w:rsidRPr="00AE47C6">
        <w:rPr>
          <w:rFonts w:ascii="Times New Roman" w:eastAsia="SimSun" w:hAnsi="Times New Roman"/>
          <w:sz w:val="24"/>
          <w:szCs w:val="24"/>
        </w:rPr>
        <w:t xml:space="preserve">– тестиране за MTB и микози; </w:t>
      </w:r>
      <w:r w:rsidRPr="00AE47C6">
        <w:rPr>
          <w:rFonts w:ascii="Times New Roman" w:eastAsia="SimSun" w:hAnsi="Times New Roman"/>
          <w:iCs/>
          <w:sz w:val="24"/>
          <w:szCs w:val="24"/>
        </w:rPr>
        <w:t xml:space="preserve">Baylis ascarisprocyonis </w:t>
      </w:r>
      <w:r w:rsidRPr="00AE47C6">
        <w:rPr>
          <w:rFonts w:ascii="Times New Roman" w:eastAsia="SimSun" w:hAnsi="Times New Roman"/>
          <w:sz w:val="24"/>
          <w:szCs w:val="24"/>
        </w:rPr>
        <w:t xml:space="preserve">антитела (серум); </w:t>
      </w:r>
      <w:r w:rsidRPr="00AE47C6">
        <w:rPr>
          <w:rFonts w:ascii="Times New Roman" w:eastAsia="SimSun" w:hAnsi="Times New Roman"/>
          <w:iCs/>
          <w:sz w:val="24"/>
          <w:szCs w:val="24"/>
        </w:rPr>
        <w:t xml:space="preserve">Angiostrongylus cantonensis </w:t>
      </w:r>
      <w:r w:rsidRPr="00AE47C6">
        <w:rPr>
          <w:rFonts w:ascii="Times New Roman" w:eastAsia="SimSun" w:hAnsi="Times New Roman"/>
          <w:sz w:val="24"/>
          <w:szCs w:val="24"/>
        </w:rPr>
        <w:t xml:space="preserve">и </w:t>
      </w:r>
      <w:r w:rsidRPr="00AE47C6">
        <w:rPr>
          <w:rFonts w:ascii="Times New Roman" w:eastAsia="SimSun" w:hAnsi="Times New Roman"/>
          <w:iCs/>
          <w:sz w:val="24"/>
          <w:szCs w:val="24"/>
        </w:rPr>
        <w:t xml:space="preserve">Gnathostoma </w:t>
      </w:r>
      <w:r w:rsidRPr="00AE47C6">
        <w:rPr>
          <w:rFonts w:ascii="Times New Roman" w:eastAsia="SimSun" w:hAnsi="Times New Roman"/>
          <w:bCs/>
          <w:iCs/>
          <w:sz w:val="24"/>
          <w:szCs w:val="24"/>
          <w:shd w:val="clear" w:color="auto" w:fill="FFFFFF"/>
        </w:rPr>
        <w:t xml:space="preserve">spinigerum </w:t>
      </w:r>
    </w:p>
    <w:p w14:paraId="7C106172" w14:textId="77777777" w:rsidR="00BE0B19" w:rsidRPr="00AE47C6" w:rsidRDefault="00BE0B19" w:rsidP="00BE0B19">
      <w:pPr>
        <w:numPr>
          <w:ilvl w:val="0"/>
          <w:numId w:val="249"/>
        </w:numPr>
        <w:spacing w:after="0" w:line="360" w:lineRule="auto"/>
        <w:ind w:left="0" w:firstLine="709"/>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Еритроцити в ликвор - </w:t>
      </w:r>
      <w:r w:rsidRPr="00AE47C6">
        <w:rPr>
          <w:rFonts w:ascii="Times New Roman" w:eastAsia="SimSun" w:hAnsi="Times New Roman"/>
          <w:sz w:val="24"/>
          <w:szCs w:val="24"/>
        </w:rPr>
        <w:t xml:space="preserve">тестиране за </w:t>
      </w:r>
      <w:r w:rsidRPr="00AE47C6">
        <w:rPr>
          <w:rFonts w:ascii="Times New Roman" w:eastAsia="SimSun" w:hAnsi="Times New Roman"/>
          <w:iCs/>
          <w:sz w:val="24"/>
          <w:szCs w:val="24"/>
        </w:rPr>
        <w:t>Naegleria fowleri</w:t>
      </w:r>
      <w:r w:rsidRPr="00AE47C6">
        <w:rPr>
          <w:rFonts w:ascii="Times New Roman" w:eastAsia="SimSun" w:hAnsi="Times New Roman"/>
          <w:b/>
          <w:sz w:val="24"/>
          <w:szCs w:val="24"/>
        </w:rPr>
        <w:t> </w:t>
      </w:r>
    </w:p>
    <w:p w14:paraId="1B775A09" w14:textId="77777777" w:rsidR="00BE0B19" w:rsidRPr="00AE47C6" w:rsidRDefault="00BE0B19" w:rsidP="00BE0B19">
      <w:pPr>
        <w:numPr>
          <w:ilvl w:val="0"/>
          <w:numId w:val="249"/>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Ликворна хипонатриемия - </w:t>
      </w:r>
      <w:r w:rsidRPr="00AE47C6">
        <w:rPr>
          <w:rFonts w:ascii="Times New Roman" w:eastAsia="SimSun" w:hAnsi="Times New Roman"/>
          <w:sz w:val="24"/>
          <w:szCs w:val="24"/>
        </w:rPr>
        <w:t>тест за туберкулозен микобактерии</w:t>
      </w:r>
    </w:p>
    <w:p w14:paraId="4CC5DC6B" w14:textId="77777777" w:rsidR="00BE0B19" w:rsidRPr="00AE47C6" w:rsidRDefault="00BE0B19" w:rsidP="00BE0B19">
      <w:pPr>
        <w:numPr>
          <w:ilvl w:val="0"/>
          <w:numId w:val="249"/>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iCs/>
          <w:sz w:val="24"/>
          <w:szCs w:val="24"/>
        </w:rPr>
        <w:t xml:space="preserve">Mycoplasma pneumoniae </w:t>
      </w:r>
      <w:r w:rsidRPr="00AE47C6">
        <w:rPr>
          <w:rFonts w:ascii="Times New Roman" w:eastAsia="SimSun" w:hAnsi="Times New Roman"/>
          <w:sz w:val="24"/>
          <w:szCs w:val="24"/>
        </w:rPr>
        <w:t xml:space="preserve">серология или от гърлен секрет PCR позитивна-за </w:t>
      </w:r>
      <w:r w:rsidRPr="00AE47C6">
        <w:rPr>
          <w:rFonts w:ascii="Times New Roman" w:eastAsia="SimSun" w:hAnsi="Times New Roman"/>
          <w:iCs/>
          <w:sz w:val="24"/>
          <w:szCs w:val="24"/>
        </w:rPr>
        <w:t xml:space="preserve">Mycoplasma pneumoniae </w:t>
      </w:r>
      <w:r w:rsidRPr="00AE47C6">
        <w:rPr>
          <w:rFonts w:ascii="Times New Roman" w:eastAsia="SimSun" w:hAnsi="Times New Roman"/>
          <w:sz w:val="24"/>
          <w:szCs w:val="24"/>
        </w:rPr>
        <w:t>PCR в ликвор</w:t>
      </w:r>
    </w:p>
    <w:p w14:paraId="5DA5C3D8" w14:textId="77777777" w:rsidR="00BE0B19" w:rsidRPr="00AE47C6" w:rsidRDefault="00BE0B19" w:rsidP="00BE0B19">
      <w:pPr>
        <w:numPr>
          <w:ilvl w:val="0"/>
          <w:numId w:val="249"/>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Морбилозен вирус - </w:t>
      </w:r>
      <w:r w:rsidRPr="00AE47C6">
        <w:rPr>
          <w:rFonts w:ascii="Times New Roman" w:eastAsia="SimSun" w:hAnsi="Times New Roman"/>
          <w:sz w:val="24"/>
          <w:szCs w:val="24"/>
        </w:rPr>
        <w:t>изследвания за субакутен склерозиращ паненцефалит (SSPE).</w:t>
      </w:r>
    </w:p>
    <w:p w14:paraId="3B57208B" w14:textId="77777777" w:rsidR="00BE0B19" w:rsidRPr="00AE47C6" w:rsidRDefault="00BE0B19" w:rsidP="00BE0B19">
      <w:pPr>
        <w:spacing w:after="0" w:line="360" w:lineRule="auto"/>
        <w:ind w:left="709"/>
        <w:contextualSpacing/>
        <w:jc w:val="both"/>
        <w:rPr>
          <w:rFonts w:ascii="Times New Roman" w:eastAsia="SimSun" w:hAnsi="Times New Roman"/>
          <w:sz w:val="24"/>
          <w:szCs w:val="24"/>
        </w:rPr>
      </w:pPr>
    </w:p>
    <w:p w14:paraId="18883DA1" w14:textId="77777777" w:rsidR="00BE0B19" w:rsidRPr="00AE47C6" w:rsidRDefault="00BE0B19" w:rsidP="00BE0B19">
      <w:pPr>
        <w:spacing w:after="0" w:line="360" w:lineRule="auto"/>
        <w:ind w:left="360"/>
        <w:jc w:val="both"/>
        <w:rPr>
          <w:rFonts w:ascii="Times New Roman" w:eastAsia="SimSun" w:hAnsi="Times New Roman"/>
          <w:b/>
          <w:sz w:val="24"/>
          <w:szCs w:val="24"/>
        </w:rPr>
      </w:pPr>
      <w:r w:rsidRPr="00AE47C6">
        <w:rPr>
          <w:rFonts w:ascii="Times New Roman" w:eastAsia="SimSun" w:hAnsi="Times New Roman"/>
          <w:b/>
          <w:sz w:val="24"/>
          <w:szCs w:val="24"/>
        </w:rPr>
        <w:t>При невроизобразяващи находки в следните анатомични зони са препоръчителни допълнителни изследвания:</w:t>
      </w:r>
    </w:p>
    <w:p w14:paraId="3DB107C1" w14:textId="77777777" w:rsidR="00BE0B19" w:rsidRPr="00AE47C6" w:rsidRDefault="00BE0B19" w:rsidP="00BE0B19">
      <w:pPr>
        <w:numPr>
          <w:ilvl w:val="0"/>
          <w:numId w:val="245"/>
        </w:numPr>
        <w:spacing w:after="0" w:line="360" w:lineRule="auto"/>
        <w:ind w:firstLine="709"/>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Фронтален дял - </w:t>
      </w:r>
      <w:r w:rsidRPr="00AE47C6">
        <w:rPr>
          <w:rFonts w:ascii="Times New Roman" w:eastAsia="SimSun" w:hAnsi="Times New Roman"/>
          <w:sz w:val="24"/>
          <w:szCs w:val="24"/>
        </w:rPr>
        <w:t xml:space="preserve">тестиране за </w:t>
      </w:r>
      <w:r w:rsidRPr="00AE47C6">
        <w:rPr>
          <w:rFonts w:ascii="Times New Roman" w:eastAsia="SimSun" w:hAnsi="Times New Roman"/>
          <w:iCs/>
          <w:sz w:val="24"/>
          <w:szCs w:val="24"/>
        </w:rPr>
        <w:t xml:space="preserve">Naegleria fowleri </w:t>
      </w:r>
      <w:r w:rsidRPr="00AE47C6">
        <w:rPr>
          <w:rFonts w:ascii="Times New Roman" w:eastAsia="SimSun" w:hAnsi="Times New Roman"/>
          <w:sz w:val="24"/>
          <w:szCs w:val="24"/>
        </w:rPr>
        <w:t>(ликвор и PCR)</w:t>
      </w:r>
    </w:p>
    <w:p w14:paraId="4B834EC7" w14:textId="77777777" w:rsidR="00BE0B19" w:rsidRPr="00AE47C6" w:rsidRDefault="00BE0B19" w:rsidP="00BE0B19">
      <w:pPr>
        <w:numPr>
          <w:ilvl w:val="0"/>
          <w:numId w:val="245"/>
        </w:num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Темпорален дял </w:t>
      </w:r>
      <w:r w:rsidRPr="00AE47C6">
        <w:rPr>
          <w:rFonts w:ascii="Times New Roman" w:eastAsia="SimSun" w:hAnsi="Times New Roman"/>
          <w:sz w:val="24"/>
          <w:szCs w:val="24"/>
        </w:rPr>
        <w:t>- HHV6/7 PCR в ликвор</w:t>
      </w:r>
    </w:p>
    <w:p w14:paraId="07721611" w14:textId="77777777" w:rsidR="00BE0B19" w:rsidRPr="00AE47C6" w:rsidRDefault="00BE0B19" w:rsidP="00BE0B19">
      <w:pPr>
        <w:numPr>
          <w:ilvl w:val="0"/>
          <w:numId w:val="245"/>
        </w:num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Базални ганглии и/или таламус - </w:t>
      </w:r>
      <w:r w:rsidRPr="00AE47C6">
        <w:rPr>
          <w:rFonts w:ascii="Times New Roman" w:eastAsia="SimSun" w:hAnsi="Times New Roman"/>
          <w:sz w:val="24"/>
          <w:szCs w:val="24"/>
        </w:rPr>
        <w:t>тестиране за респираторен вирус; ARBO virus и MTB</w:t>
      </w:r>
    </w:p>
    <w:p w14:paraId="3EC541A0" w14:textId="77777777" w:rsidR="00BE0B19" w:rsidRPr="00AE47C6" w:rsidRDefault="00BE0B19" w:rsidP="00BE0B19">
      <w:pPr>
        <w:numPr>
          <w:ilvl w:val="0"/>
          <w:numId w:val="245"/>
        </w:numPr>
        <w:spacing w:after="0" w:line="360" w:lineRule="auto"/>
        <w:ind w:firstLine="709"/>
        <w:contextualSpacing/>
        <w:jc w:val="both"/>
        <w:rPr>
          <w:rFonts w:ascii="Times New Roman" w:eastAsia="SimSun" w:hAnsi="Times New Roman"/>
          <w:b/>
          <w:sz w:val="24"/>
          <w:szCs w:val="24"/>
        </w:rPr>
      </w:pPr>
      <w:r w:rsidRPr="00AE47C6">
        <w:rPr>
          <w:rFonts w:ascii="Times New Roman" w:eastAsia="SimSun" w:hAnsi="Times New Roman"/>
          <w:b/>
          <w:sz w:val="24"/>
          <w:szCs w:val="24"/>
        </w:rPr>
        <w:t>Мозъчен ствол</w:t>
      </w:r>
      <w:r w:rsidRPr="00AE47C6">
        <w:rPr>
          <w:rFonts w:ascii="Times New Roman" w:eastAsia="SimSun" w:hAnsi="Times New Roman"/>
          <w:sz w:val="24"/>
          <w:szCs w:val="24"/>
        </w:rPr>
        <w:t>- тестиране за респираторен вирус, ARBO вирус, MTB, Listeria PCR; Brucella антитела (серум)</w:t>
      </w:r>
    </w:p>
    <w:p w14:paraId="30735A7D" w14:textId="77777777" w:rsidR="00BE0B19" w:rsidRPr="00AE47C6" w:rsidRDefault="00BE0B19" w:rsidP="00BE0B19">
      <w:pPr>
        <w:numPr>
          <w:ilvl w:val="0"/>
          <w:numId w:val="245"/>
        </w:numPr>
        <w:spacing w:after="0" w:line="360" w:lineRule="auto"/>
        <w:ind w:firstLine="709"/>
        <w:contextualSpacing/>
        <w:jc w:val="both"/>
        <w:rPr>
          <w:rFonts w:ascii="Times New Roman" w:eastAsia="SimSun" w:hAnsi="Times New Roman"/>
          <w:b/>
          <w:sz w:val="24"/>
          <w:szCs w:val="24"/>
        </w:rPr>
      </w:pPr>
      <w:r w:rsidRPr="00AE47C6">
        <w:rPr>
          <w:rFonts w:ascii="Times New Roman" w:eastAsia="SimSun" w:hAnsi="Times New Roman"/>
          <w:b/>
          <w:sz w:val="24"/>
          <w:szCs w:val="24"/>
        </w:rPr>
        <w:t>Малък мозък</w:t>
      </w:r>
      <w:r w:rsidRPr="00AE47C6">
        <w:rPr>
          <w:rFonts w:ascii="Times New Roman" w:eastAsia="SimSun" w:hAnsi="Times New Roman"/>
          <w:sz w:val="24"/>
          <w:szCs w:val="24"/>
        </w:rPr>
        <w:t>- VZV PCR от ликвор CSF (ликворни IgG и IgM); VZV IgG и IgM в серум; EBV PCR (ликвор) и серология.</w:t>
      </w:r>
    </w:p>
    <w:p w14:paraId="54632C33" w14:textId="77777777" w:rsidR="00BE0B19" w:rsidRPr="00AE47C6" w:rsidRDefault="00BE0B19" w:rsidP="00BE0B19">
      <w:pPr>
        <w:spacing w:after="0" w:line="360" w:lineRule="auto"/>
        <w:ind w:left="709"/>
        <w:jc w:val="both"/>
        <w:rPr>
          <w:rFonts w:ascii="Times New Roman" w:eastAsia="SimSun" w:hAnsi="Times New Roman"/>
          <w:b/>
          <w:sz w:val="24"/>
          <w:szCs w:val="24"/>
        </w:rPr>
      </w:pPr>
      <w:r w:rsidRPr="00AE47C6">
        <w:rPr>
          <w:rFonts w:ascii="Times New Roman" w:eastAsia="SimSun" w:hAnsi="Times New Roman"/>
          <w:b/>
          <w:sz w:val="24"/>
          <w:szCs w:val="24"/>
        </w:rPr>
        <w:t>При следните невроизобразяващи находки са препоръчителни допълнителни изследвания:</w:t>
      </w:r>
    </w:p>
    <w:p w14:paraId="7BA3829B" w14:textId="77777777" w:rsidR="00BE0B19" w:rsidRPr="00AE47C6" w:rsidRDefault="00BE0B19" w:rsidP="00BE0B19">
      <w:pPr>
        <w:numPr>
          <w:ilvl w:val="0"/>
          <w:numId w:val="245"/>
        </w:num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Дифузен мозъчен оток - </w:t>
      </w:r>
      <w:r w:rsidRPr="00AE47C6">
        <w:rPr>
          <w:rFonts w:ascii="Times New Roman" w:eastAsia="SimSun" w:hAnsi="Times New Roman"/>
          <w:sz w:val="24"/>
          <w:szCs w:val="24"/>
        </w:rPr>
        <w:t xml:space="preserve">тестиране за респираторни вируси </w:t>
      </w:r>
    </w:p>
    <w:p w14:paraId="4AD66B98" w14:textId="77777777" w:rsidR="00BE0B19" w:rsidRPr="00AE47C6" w:rsidRDefault="00BE0B19" w:rsidP="00BE0B19">
      <w:pPr>
        <w:numPr>
          <w:ilvl w:val="0"/>
          <w:numId w:val="245"/>
        </w:num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Огнищни лезии с или без периферно усилване</w:t>
      </w:r>
      <w:r w:rsidRPr="00AE47C6">
        <w:rPr>
          <w:rFonts w:ascii="Times New Roman" w:eastAsia="SimSun" w:hAnsi="Times New Roman"/>
          <w:sz w:val="24"/>
          <w:szCs w:val="24"/>
        </w:rPr>
        <w:t xml:space="preserve"> с тестиране за МВТ и за микози; </w:t>
      </w:r>
      <w:r w:rsidRPr="00AE47C6">
        <w:rPr>
          <w:rFonts w:ascii="Times New Roman" w:eastAsia="SimSun" w:hAnsi="Times New Roman"/>
          <w:iCs/>
          <w:sz w:val="24"/>
          <w:szCs w:val="24"/>
        </w:rPr>
        <w:t xml:space="preserve">Balamuthia mandrillaris </w:t>
      </w:r>
      <w:r w:rsidRPr="00AE47C6">
        <w:rPr>
          <w:rFonts w:ascii="Times New Roman" w:eastAsia="SimSun" w:hAnsi="Times New Roman"/>
          <w:sz w:val="24"/>
          <w:szCs w:val="24"/>
        </w:rPr>
        <w:t xml:space="preserve">и Acanthamoeba, серология за </w:t>
      </w:r>
      <w:r w:rsidRPr="00AE47C6">
        <w:rPr>
          <w:rFonts w:ascii="Times New Roman" w:eastAsia="SimSun" w:hAnsi="Times New Roman"/>
          <w:iCs/>
          <w:sz w:val="24"/>
          <w:szCs w:val="24"/>
        </w:rPr>
        <w:t>Toxoplasma gondii</w:t>
      </w:r>
      <w:r w:rsidRPr="00AE47C6">
        <w:rPr>
          <w:rFonts w:ascii="Times New Roman" w:eastAsia="SimSun" w:hAnsi="Times New Roman"/>
          <w:sz w:val="24"/>
          <w:szCs w:val="24"/>
        </w:rPr>
        <w:t> </w:t>
      </w:r>
    </w:p>
    <w:p w14:paraId="1EEA86A7" w14:textId="77777777" w:rsidR="00BE0B19" w:rsidRPr="00AE47C6" w:rsidRDefault="00BE0B19" w:rsidP="00BE0B19">
      <w:pPr>
        <w:numPr>
          <w:ilvl w:val="0"/>
          <w:numId w:val="245"/>
        </w:num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Хидроцефалия и /или базално менингеално усилване </w:t>
      </w:r>
      <w:r w:rsidRPr="00AE47C6">
        <w:rPr>
          <w:rFonts w:ascii="Times New Roman" w:eastAsia="SimSun" w:hAnsi="Times New Roman"/>
          <w:sz w:val="24"/>
          <w:szCs w:val="24"/>
        </w:rPr>
        <w:t xml:space="preserve">- тестиране за MTB микози; </w:t>
      </w:r>
      <w:r w:rsidRPr="00AE47C6">
        <w:rPr>
          <w:rFonts w:ascii="Times New Roman" w:eastAsia="SimSun" w:hAnsi="Times New Roman"/>
          <w:iCs/>
          <w:sz w:val="24"/>
          <w:szCs w:val="24"/>
        </w:rPr>
        <w:t>Balamuthia mandrillaris</w:t>
      </w:r>
      <w:r w:rsidRPr="00AE47C6">
        <w:rPr>
          <w:rFonts w:ascii="Times New Roman" w:eastAsia="SimSun" w:hAnsi="Times New Roman"/>
          <w:sz w:val="24"/>
          <w:szCs w:val="24"/>
        </w:rPr>
        <w:t>; хеморагичен инфаркт- тестиране за MTB микози, респираторни вируси;</w:t>
      </w:r>
    </w:p>
    <w:p w14:paraId="263C85BE" w14:textId="77777777" w:rsidR="00BE0B19" w:rsidRPr="00AE47C6" w:rsidRDefault="00BE0B19" w:rsidP="00BE0B19">
      <w:pPr>
        <w:numPr>
          <w:ilvl w:val="0"/>
          <w:numId w:val="245"/>
        </w:num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Лезии в бялото вещество</w:t>
      </w:r>
      <w:r w:rsidRPr="00AE47C6">
        <w:rPr>
          <w:rFonts w:ascii="Times New Roman" w:eastAsia="SimSun" w:hAnsi="Times New Roman"/>
          <w:sz w:val="24"/>
          <w:szCs w:val="24"/>
        </w:rPr>
        <w:t>- олигоклоналност, IgG индекс, Лаймска болест (серум за ELISA и Western blot); Brucella (серология и ликвор);</w:t>
      </w:r>
    </w:p>
    <w:p w14:paraId="7AE39207" w14:textId="77777777" w:rsidR="00BE0B19" w:rsidRPr="00AE47C6" w:rsidRDefault="00BE0B19" w:rsidP="00BE0B19">
      <w:pPr>
        <w:spacing w:after="0" w:line="360" w:lineRule="auto"/>
        <w:ind w:firstLine="709"/>
        <w:jc w:val="both"/>
        <w:rPr>
          <w:rFonts w:ascii="Times New Roman" w:eastAsia="SimSun" w:hAnsi="Times New Roman"/>
          <w:b/>
          <w:sz w:val="24"/>
          <w:szCs w:val="24"/>
          <w:u w:val="single"/>
        </w:rPr>
      </w:pPr>
    </w:p>
    <w:p w14:paraId="076605BE"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Диагностичен алгоритъм за начална оценка на енцефалит при деца</w:t>
      </w:r>
    </w:p>
    <w:p w14:paraId="6FF6EC6A" w14:textId="77777777" w:rsidR="00BE0B19" w:rsidRPr="00AE47C6" w:rsidRDefault="00BE0B19" w:rsidP="00BE0B19">
      <w:pPr>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sz w:val="24"/>
          <w:szCs w:val="24"/>
        </w:rPr>
        <w:t>Рутинни изследвания:</w:t>
      </w:r>
    </w:p>
    <w:p w14:paraId="6ED886A8" w14:textId="77777777" w:rsidR="00BE0B19" w:rsidRPr="00AE47C6" w:rsidRDefault="00BE0B19" w:rsidP="00BE0B19">
      <w:pPr>
        <w:numPr>
          <w:ilvl w:val="0"/>
          <w:numId w:val="246"/>
        </w:numPr>
        <w:spacing w:after="0" w:line="360" w:lineRule="auto"/>
        <w:ind w:left="0" w:firstLine="709"/>
        <w:contextualSpacing/>
        <w:jc w:val="both"/>
        <w:rPr>
          <w:rFonts w:ascii="Times New Roman" w:eastAsia="SimSun" w:hAnsi="Times New Roman"/>
          <w:b/>
          <w:bCs/>
          <w:sz w:val="24"/>
          <w:szCs w:val="24"/>
        </w:rPr>
      </w:pPr>
      <w:r w:rsidRPr="00AE47C6">
        <w:rPr>
          <w:rFonts w:ascii="Times New Roman" w:eastAsia="SimSun" w:hAnsi="Times New Roman"/>
          <w:b/>
          <w:sz w:val="24"/>
          <w:szCs w:val="24"/>
        </w:rPr>
        <w:t xml:space="preserve">Ликвор: </w:t>
      </w:r>
      <w:r w:rsidRPr="00AE47C6">
        <w:rPr>
          <w:rFonts w:ascii="Times New Roman" w:eastAsia="SimSun" w:hAnsi="Times New Roman"/>
          <w:sz w:val="24"/>
          <w:szCs w:val="24"/>
        </w:rPr>
        <w:t>5 ml за изследване на брой клетки (левкоцити с диференциално броене, еритроцити); протеин; глюкоза, микробиологично изследване; HSV1 и 2 PCR, а при позитивен тест- ликворни HSV IgG и IgM; VZV PCR, при позитивен тест - ликворни VZV IgG и IgM; Enterovirus PCR; поне 2 ml се съхраняват при -20</w:t>
      </w:r>
      <w:r w:rsidRPr="00AE47C6">
        <w:rPr>
          <w:rFonts w:ascii="Times New Roman" w:eastAsia="SimSun" w:hAnsi="Times New Roman"/>
          <w:sz w:val="24"/>
          <w:szCs w:val="24"/>
          <w:vertAlign w:val="superscript"/>
        </w:rPr>
        <w:t>0</w:t>
      </w:r>
      <w:r w:rsidRPr="00AE47C6">
        <w:rPr>
          <w:rFonts w:ascii="Times New Roman" w:eastAsia="SimSun" w:hAnsi="Times New Roman"/>
          <w:sz w:val="24"/>
          <w:szCs w:val="24"/>
        </w:rPr>
        <w:t>C за други изследвания.</w:t>
      </w:r>
    </w:p>
    <w:p w14:paraId="03B2C775" w14:textId="77777777" w:rsidR="00BE0B19" w:rsidRPr="00AE47C6" w:rsidRDefault="00BE0B19" w:rsidP="00BE0B19">
      <w:pPr>
        <w:numPr>
          <w:ilvl w:val="0"/>
          <w:numId w:val="246"/>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Серум: </w:t>
      </w:r>
      <w:r w:rsidRPr="00AE47C6">
        <w:rPr>
          <w:rFonts w:ascii="Times New Roman" w:eastAsia="SimSun" w:hAnsi="Times New Roman"/>
          <w:sz w:val="24"/>
          <w:szCs w:val="24"/>
        </w:rPr>
        <w:t xml:space="preserve">ПКК, серология за EBV (VCA IgG и IgM и EBNA IgG); </w:t>
      </w:r>
      <w:r w:rsidRPr="00AE47C6">
        <w:rPr>
          <w:rFonts w:ascii="Times New Roman" w:eastAsia="SimSun" w:hAnsi="Times New Roman"/>
          <w:iCs/>
          <w:sz w:val="24"/>
          <w:szCs w:val="24"/>
        </w:rPr>
        <w:t xml:space="preserve">Mycoplasma pneumoniae </w:t>
      </w:r>
      <w:r w:rsidRPr="00AE47C6">
        <w:rPr>
          <w:rFonts w:ascii="Times New Roman" w:eastAsia="SimSun" w:hAnsi="Times New Roman"/>
          <w:sz w:val="24"/>
          <w:szCs w:val="24"/>
        </w:rPr>
        <w:t>IgM и IgG; съхранява се серум при -20</w:t>
      </w:r>
      <w:r w:rsidRPr="00AE47C6">
        <w:rPr>
          <w:rFonts w:ascii="Times New Roman" w:eastAsia="SimSun" w:hAnsi="Times New Roman"/>
          <w:sz w:val="24"/>
          <w:szCs w:val="24"/>
          <w:vertAlign w:val="superscript"/>
        </w:rPr>
        <w:t>0</w:t>
      </w:r>
      <w:r w:rsidRPr="00AE47C6">
        <w:rPr>
          <w:rFonts w:ascii="Times New Roman" w:eastAsia="SimSun" w:hAnsi="Times New Roman"/>
          <w:sz w:val="24"/>
          <w:szCs w:val="24"/>
        </w:rPr>
        <w:t>C за следващи изследвания.</w:t>
      </w:r>
    </w:p>
    <w:p w14:paraId="7C9A80AF" w14:textId="77777777" w:rsidR="00BE0B19" w:rsidRPr="00AE47C6" w:rsidRDefault="00BE0B19" w:rsidP="00BE0B19">
      <w:pPr>
        <w:numPr>
          <w:ilvl w:val="0"/>
          <w:numId w:val="246"/>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Образни изследвания: </w:t>
      </w:r>
      <w:r w:rsidRPr="00AE47C6">
        <w:rPr>
          <w:rFonts w:ascii="Times New Roman" w:eastAsia="SimSun" w:hAnsi="Times New Roman"/>
          <w:sz w:val="24"/>
          <w:szCs w:val="24"/>
        </w:rPr>
        <w:t>Невроизобразяващи (МРТ се предпочита пред КТ); Ro графия на бял дроб или КТ.</w:t>
      </w:r>
    </w:p>
    <w:p w14:paraId="4E47A7B8" w14:textId="77777777" w:rsidR="00BE0B19" w:rsidRPr="00AE47C6" w:rsidRDefault="00BE0B19" w:rsidP="00BE0B19">
      <w:pPr>
        <w:numPr>
          <w:ilvl w:val="0"/>
          <w:numId w:val="246"/>
        </w:numPr>
        <w:spacing w:after="0" w:line="360" w:lineRule="auto"/>
        <w:ind w:left="0" w:firstLine="709"/>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Неврофизиология: </w:t>
      </w:r>
      <w:r w:rsidRPr="00AE47C6">
        <w:rPr>
          <w:rFonts w:ascii="Times New Roman" w:eastAsia="SimSun" w:hAnsi="Times New Roman"/>
          <w:sz w:val="24"/>
          <w:szCs w:val="24"/>
        </w:rPr>
        <w:t>ЕЕГ.</w:t>
      </w:r>
    </w:p>
    <w:p w14:paraId="2DFA1849" w14:textId="77777777" w:rsidR="00BE0B19" w:rsidRPr="00AE47C6" w:rsidRDefault="00BE0B19" w:rsidP="00BE0B19">
      <w:pPr>
        <w:numPr>
          <w:ilvl w:val="0"/>
          <w:numId w:val="246"/>
        </w:numPr>
        <w:spacing w:after="0" w:line="360" w:lineRule="auto"/>
        <w:ind w:left="0" w:firstLine="709"/>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Други изследвания: </w:t>
      </w:r>
      <w:r w:rsidRPr="00AE47C6">
        <w:rPr>
          <w:rFonts w:ascii="Times New Roman" w:eastAsia="SimSun" w:hAnsi="Times New Roman"/>
          <w:iCs/>
          <w:sz w:val="24"/>
          <w:szCs w:val="24"/>
        </w:rPr>
        <w:t xml:space="preserve">Mycoplasma pneumoniae </w:t>
      </w:r>
      <w:r w:rsidRPr="00AE47C6">
        <w:rPr>
          <w:rFonts w:ascii="Times New Roman" w:eastAsia="SimSun" w:hAnsi="Times New Roman"/>
          <w:sz w:val="24"/>
          <w:szCs w:val="24"/>
        </w:rPr>
        <w:t>- PCR от гърлен секрет; Enterovirus - PCR и/или култура от гърлен секрет и изпражнения; серология за B. Burgdorferi при анамнеза за предшестващо ухапване от кърлеж.</w:t>
      </w:r>
    </w:p>
    <w:p w14:paraId="6E826535" w14:textId="77777777" w:rsidR="00BE0B19" w:rsidRPr="00AE47C6" w:rsidRDefault="00BE0B19" w:rsidP="00BE0B19">
      <w:pPr>
        <w:numPr>
          <w:ilvl w:val="0"/>
          <w:numId w:val="246"/>
        </w:numPr>
        <w:spacing w:after="0" w:line="360" w:lineRule="auto"/>
        <w:ind w:left="0" w:firstLine="709"/>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Индивидуални фактори: </w:t>
      </w:r>
      <w:r w:rsidRPr="00AE47C6">
        <w:rPr>
          <w:rFonts w:ascii="Times New Roman" w:eastAsia="SimSun" w:hAnsi="Times New Roman"/>
          <w:sz w:val="24"/>
          <w:szCs w:val="24"/>
        </w:rPr>
        <w:t xml:space="preserve">Възраст &lt;3 г. Parechoviruses PCR (ликвор); </w:t>
      </w:r>
      <w:r w:rsidRPr="00AE47C6">
        <w:rPr>
          <w:rFonts w:ascii="Times New Roman" w:eastAsia="SimSun" w:hAnsi="Times New Roman"/>
          <w:b/>
          <w:sz w:val="24"/>
          <w:szCs w:val="24"/>
        </w:rPr>
        <w:t xml:space="preserve">Имунокомпрометирани - </w:t>
      </w:r>
      <w:r w:rsidRPr="00AE47C6">
        <w:rPr>
          <w:rFonts w:ascii="Times New Roman" w:eastAsia="SimSun" w:hAnsi="Times New Roman"/>
          <w:sz w:val="24"/>
          <w:szCs w:val="24"/>
        </w:rPr>
        <w:t xml:space="preserve">CMV PCR, HHV6/7 PCR, HIV PCR (ликвор); Cryptococcus антиген; серология за </w:t>
      </w:r>
      <w:r w:rsidRPr="00AE47C6">
        <w:rPr>
          <w:rFonts w:ascii="Times New Roman" w:eastAsia="SimSun" w:hAnsi="Times New Roman"/>
          <w:iCs/>
          <w:sz w:val="24"/>
          <w:szCs w:val="24"/>
        </w:rPr>
        <w:t>Toxoplasma gondii</w:t>
      </w:r>
      <w:r w:rsidRPr="00AE47C6">
        <w:rPr>
          <w:rFonts w:ascii="Times New Roman" w:eastAsia="SimSun" w:hAnsi="Times New Roman"/>
          <w:sz w:val="24"/>
          <w:szCs w:val="24"/>
        </w:rPr>
        <w:t xml:space="preserve"> и /или PCR; тест за MTB и за микози, за Западно Нилски енцефалит.</w:t>
      </w:r>
    </w:p>
    <w:p w14:paraId="1B71A767" w14:textId="77777777" w:rsidR="00BE0B19" w:rsidRPr="00AE47C6" w:rsidRDefault="00BE0B19" w:rsidP="00BE0B19">
      <w:pPr>
        <w:numPr>
          <w:ilvl w:val="0"/>
          <w:numId w:val="246"/>
        </w:numPr>
        <w:spacing w:after="0" w:line="360" w:lineRule="auto"/>
        <w:ind w:left="0" w:firstLine="709"/>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Сезонност и контакти: </w:t>
      </w:r>
      <w:r w:rsidRPr="00AE47C6">
        <w:rPr>
          <w:rFonts w:ascii="Times New Roman" w:eastAsia="SimSun" w:hAnsi="Times New Roman"/>
          <w:sz w:val="24"/>
          <w:szCs w:val="24"/>
        </w:rPr>
        <w:t>Лято: ARBO virus – кърлежови енцефалити; Кърлежи - тестиране за кърлежов енцефалит; Котки – Bartonella антитела, очно изследване; Ухапване от животни - за бяс</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Плуване в топли басейни или риносинуит - </w:t>
      </w:r>
      <w:r w:rsidRPr="00AE47C6">
        <w:rPr>
          <w:rFonts w:ascii="Times New Roman" w:eastAsia="SimSun" w:hAnsi="Times New Roman"/>
          <w:iCs/>
          <w:sz w:val="24"/>
          <w:szCs w:val="24"/>
        </w:rPr>
        <w:t xml:space="preserve">Naegleria fowleri </w:t>
      </w:r>
      <w:r w:rsidRPr="00AE47C6">
        <w:rPr>
          <w:rFonts w:ascii="Times New Roman" w:eastAsia="SimSun" w:hAnsi="Times New Roman"/>
          <w:sz w:val="24"/>
          <w:szCs w:val="24"/>
        </w:rPr>
        <w:t>(ликвор и PCR); Зима: Грипен енцефалит или грип асоциирана енцефалопатия.</w:t>
      </w:r>
    </w:p>
    <w:p w14:paraId="722FEBB6"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 xml:space="preserve">Специфични белези и синдроми: </w:t>
      </w:r>
    </w:p>
    <w:p w14:paraId="3372A865" w14:textId="77777777" w:rsidR="00BE0B19" w:rsidRPr="00AE47C6" w:rsidRDefault="00BE0B19" w:rsidP="00BE0B19">
      <w:pPr>
        <w:numPr>
          <w:ilvl w:val="0"/>
          <w:numId w:val="247"/>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Абнормно поведение (нововъзникнала възбуда, агресия), психози, епилептични припадъци, двигателни разстройства – анти-NMDAR антитела (серум и ликвор), IgG index; бяс.</w:t>
      </w:r>
    </w:p>
    <w:p w14:paraId="50B2E728" w14:textId="77777777" w:rsidR="00BE0B19" w:rsidRPr="00AE47C6" w:rsidRDefault="00BE0B19" w:rsidP="00BE0B19">
      <w:pPr>
        <w:numPr>
          <w:ilvl w:val="0"/>
          <w:numId w:val="247"/>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Поведенчески промени, последващи миоклонии: серум и ликвор за морбилни антитела, IgG.</w:t>
      </w:r>
    </w:p>
    <w:p w14:paraId="7A5AD9C5" w14:textId="77777777" w:rsidR="00BE0B19" w:rsidRPr="00AE47C6" w:rsidRDefault="00BE0B19" w:rsidP="00BE0B19">
      <w:pPr>
        <w:numPr>
          <w:ilvl w:val="0"/>
          <w:numId w:val="247"/>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Везикуларен обрив - VZV PCR от ликвор, VZV IgG и IgM от серум.</w:t>
      </w:r>
    </w:p>
    <w:p w14:paraId="0A615E85" w14:textId="77777777" w:rsidR="00BE0B19" w:rsidRPr="00AE47C6" w:rsidRDefault="00BE0B19" w:rsidP="00BE0B19">
      <w:pPr>
        <w:numPr>
          <w:ilvl w:val="0"/>
          <w:numId w:val="247"/>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Бързо декомпенсиране (особено при ухапване от животни) - изследване за бяс.</w:t>
      </w:r>
    </w:p>
    <w:p w14:paraId="5473C2D9" w14:textId="77777777" w:rsidR="00BE0B19" w:rsidRPr="00AE47C6" w:rsidRDefault="00BE0B19" w:rsidP="00BE0B19">
      <w:pPr>
        <w:numPr>
          <w:ilvl w:val="0"/>
          <w:numId w:val="247"/>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Респираторни синдроми - Ro графия на бял дроб; серология за </w:t>
      </w:r>
      <w:r w:rsidRPr="00AE47C6">
        <w:rPr>
          <w:rFonts w:ascii="Times New Roman" w:eastAsia="SimSun" w:hAnsi="Times New Roman"/>
          <w:iCs/>
          <w:sz w:val="24"/>
          <w:szCs w:val="24"/>
        </w:rPr>
        <w:t xml:space="preserve">Mycoplasma pneumoniae </w:t>
      </w:r>
      <w:r w:rsidRPr="00AE47C6">
        <w:rPr>
          <w:rFonts w:ascii="Times New Roman" w:eastAsia="SimSun" w:hAnsi="Times New Roman"/>
          <w:sz w:val="24"/>
          <w:szCs w:val="24"/>
        </w:rPr>
        <w:t>и гърлен секрет – PCR, (PCR от ликвор); тестиране за респираторни вируси.</w:t>
      </w:r>
    </w:p>
    <w:p w14:paraId="7806D0F3" w14:textId="77777777" w:rsidR="00BE0B19" w:rsidRPr="00AE47C6" w:rsidRDefault="00BE0B19" w:rsidP="00BE0B19">
      <w:pPr>
        <w:numPr>
          <w:ilvl w:val="0"/>
          <w:numId w:val="247"/>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Остра вяла парализа - тестиране за </w:t>
      </w:r>
      <w:r w:rsidRPr="00AE47C6">
        <w:rPr>
          <w:rFonts w:ascii="Times New Roman" w:eastAsia="SimSun" w:hAnsi="Times New Roman"/>
          <w:bCs/>
          <w:sz w:val="24"/>
          <w:szCs w:val="24"/>
        </w:rPr>
        <w:t>ентеровируси</w:t>
      </w:r>
      <w:r w:rsidRPr="00AE47C6">
        <w:rPr>
          <w:rFonts w:ascii="Times New Roman" w:eastAsia="SimSun" w:hAnsi="Times New Roman"/>
          <w:sz w:val="24"/>
          <w:szCs w:val="24"/>
        </w:rPr>
        <w:t>, ARBO virus и за бяс.</w:t>
      </w:r>
    </w:p>
    <w:p w14:paraId="388AFD7A" w14:textId="77777777" w:rsidR="00BE0B19" w:rsidRPr="00AE47C6" w:rsidRDefault="00BE0B19" w:rsidP="00BE0B19">
      <w:pPr>
        <w:numPr>
          <w:ilvl w:val="0"/>
          <w:numId w:val="247"/>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Паркинсонов синдром - тестиране за ARBO virus; серология за Toxoplasma.</w:t>
      </w:r>
    </w:p>
    <w:p w14:paraId="472B0D42" w14:textId="77777777" w:rsidR="00BE0B19" w:rsidRPr="00AE47C6" w:rsidRDefault="00BE0B19" w:rsidP="00BE0B19">
      <w:pPr>
        <w:numPr>
          <w:ilvl w:val="0"/>
          <w:numId w:val="247"/>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Изразени лимбични синдроми - изследване за автоимунен енцефалит; HHV6/7 PCR (ликвор).</w:t>
      </w:r>
    </w:p>
    <w:p w14:paraId="59A871F2" w14:textId="77777777" w:rsidR="00BE0B19" w:rsidRPr="00AE47C6" w:rsidRDefault="00BE0B19" w:rsidP="00BE0B19">
      <w:pPr>
        <w:spacing w:after="0" w:line="360" w:lineRule="auto"/>
        <w:ind w:left="709"/>
        <w:contextualSpacing/>
        <w:jc w:val="both"/>
        <w:rPr>
          <w:rFonts w:ascii="Times New Roman" w:eastAsia="SimSun" w:hAnsi="Times New Roman"/>
          <w:sz w:val="24"/>
          <w:szCs w:val="24"/>
        </w:rPr>
      </w:pPr>
    </w:p>
    <w:p w14:paraId="2E282A01"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Лабораторни изследвания</w:t>
      </w:r>
    </w:p>
    <w:p w14:paraId="55E04114" w14:textId="77777777" w:rsidR="00BE0B19" w:rsidRPr="00AE47C6" w:rsidRDefault="00BE0B19" w:rsidP="00BE0B19">
      <w:pPr>
        <w:numPr>
          <w:ilvl w:val="0"/>
          <w:numId w:val="247"/>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При EBV серология и остра инфекция - за EBV PCR (ликвор).</w:t>
      </w:r>
    </w:p>
    <w:p w14:paraId="172D7881" w14:textId="77777777" w:rsidR="00BE0B19" w:rsidRPr="00AE47C6" w:rsidRDefault="00BE0B19" w:rsidP="00BE0B19">
      <w:pPr>
        <w:numPr>
          <w:ilvl w:val="0"/>
          <w:numId w:val="247"/>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Повишени трансаминази - серология за Rickettsia и кърлежов енцефалит.</w:t>
      </w:r>
    </w:p>
    <w:p w14:paraId="4674B758" w14:textId="77777777" w:rsidR="00BE0B19" w:rsidRPr="00AE47C6" w:rsidRDefault="00BE0B19" w:rsidP="00BE0B19">
      <w:pPr>
        <w:numPr>
          <w:ilvl w:val="0"/>
          <w:numId w:val="247"/>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Ликворен протеин &gt;1 g/L, ликворна глюкоза&lt;2/3 периферна глюкоза, или лимфоцитна плеоцитоза с подостро начало - тестиране за туберкулозен микобактерии и микози; </w:t>
      </w:r>
      <w:r w:rsidRPr="00AE47C6">
        <w:rPr>
          <w:rFonts w:ascii="Times New Roman" w:eastAsia="SimSun" w:hAnsi="Times New Roman"/>
          <w:iCs/>
          <w:sz w:val="24"/>
          <w:szCs w:val="24"/>
        </w:rPr>
        <w:t>Balamuthia mandrillaris.</w:t>
      </w:r>
    </w:p>
    <w:p w14:paraId="06AA7394" w14:textId="77777777" w:rsidR="00BE0B19" w:rsidRPr="00AE47C6" w:rsidRDefault="00BE0B19" w:rsidP="00BE0B19">
      <w:pPr>
        <w:numPr>
          <w:ilvl w:val="0"/>
          <w:numId w:val="247"/>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Ликворен протеин &gt;1 g/L, ликворна глюкоза &lt;2/3 периферна глюкоза, и неутрофилно предоминиране с остро начало на симптомите и скорошен прием на антибиотици – ликворна PCR за </w:t>
      </w:r>
      <w:r w:rsidRPr="00AE47C6">
        <w:rPr>
          <w:rFonts w:ascii="Times New Roman" w:eastAsia="SimSun" w:hAnsi="Times New Roman"/>
          <w:iCs/>
          <w:sz w:val="24"/>
          <w:szCs w:val="24"/>
        </w:rPr>
        <w:t xml:space="preserve">S. Pneumoniae </w:t>
      </w:r>
      <w:r w:rsidRPr="00AE47C6">
        <w:rPr>
          <w:rFonts w:ascii="Times New Roman" w:eastAsia="SimSun" w:hAnsi="Times New Roman"/>
          <w:sz w:val="24"/>
          <w:szCs w:val="24"/>
        </w:rPr>
        <w:t xml:space="preserve">и </w:t>
      </w:r>
      <w:r w:rsidRPr="00AE47C6">
        <w:rPr>
          <w:rFonts w:ascii="Times New Roman" w:eastAsia="SimSun" w:hAnsi="Times New Roman"/>
          <w:iCs/>
          <w:sz w:val="24"/>
          <w:szCs w:val="24"/>
        </w:rPr>
        <w:t>N. Meningitides.</w:t>
      </w:r>
    </w:p>
    <w:p w14:paraId="5420A89D" w14:textId="77777777" w:rsidR="00BE0B19" w:rsidRPr="00AE47C6" w:rsidRDefault="00BE0B19" w:rsidP="00BE0B19">
      <w:pPr>
        <w:numPr>
          <w:ilvl w:val="0"/>
          <w:numId w:val="247"/>
        </w:numPr>
        <w:spacing w:after="0" w:line="360" w:lineRule="auto"/>
        <w:ind w:left="0" w:firstLine="709"/>
        <w:contextualSpacing/>
        <w:jc w:val="both"/>
        <w:rPr>
          <w:rFonts w:ascii="Times New Roman" w:eastAsia="SimSun" w:hAnsi="Times New Roman"/>
          <w:iCs/>
          <w:sz w:val="24"/>
          <w:szCs w:val="24"/>
        </w:rPr>
      </w:pPr>
      <w:r w:rsidRPr="00AE47C6">
        <w:rPr>
          <w:rFonts w:ascii="Times New Roman" w:eastAsia="SimSun" w:hAnsi="Times New Roman"/>
          <w:sz w:val="24"/>
          <w:szCs w:val="24"/>
        </w:rPr>
        <w:t>Ликворна еозинофилия - тестиране за туберкулозен микобактерий, микози; </w:t>
      </w:r>
      <w:r w:rsidRPr="00AE47C6">
        <w:rPr>
          <w:rFonts w:ascii="Times New Roman" w:eastAsia="SimSun" w:hAnsi="Times New Roman"/>
          <w:iCs/>
          <w:sz w:val="24"/>
          <w:szCs w:val="24"/>
        </w:rPr>
        <w:t xml:space="preserve">Baylisascaris procyonis </w:t>
      </w:r>
      <w:r w:rsidRPr="00AE47C6">
        <w:rPr>
          <w:rFonts w:ascii="Times New Roman" w:eastAsia="SimSun" w:hAnsi="Times New Roman"/>
          <w:sz w:val="24"/>
          <w:szCs w:val="24"/>
        </w:rPr>
        <w:t xml:space="preserve">антитела (серум и ликвор); </w:t>
      </w:r>
      <w:r w:rsidRPr="00AE47C6">
        <w:rPr>
          <w:rFonts w:ascii="Times New Roman" w:eastAsia="SimSun" w:hAnsi="Times New Roman"/>
          <w:iCs/>
          <w:sz w:val="24"/>
          <w:szCs w:val="24"/>
        </w:rPr>
        <w:t>Angiostrongylus cantonensis</w:t>
      </w:r>
      <w:r w:rsidRPr="00AE47C6">
        <w:rPr>
          <w:rFonts w:ascii="Times New Roman" w:eastAsia="SimSun" w:hAnsi="Times New Roman"/>
          <w:sz w:val="24"/>
          <w:szCs w:val="24"/>
        </w:rPr>
        <w:t xml:space="preserve">, </w:t>
      </w:r>
      <w:r w:rsidRPr="00AE47C6">
        <w:rPr>
          <w:rFonts w:ascii="Times New Roman" w:eastAsia="SimSun" w:hAnsi="Times New Roman"/>
          <w:iCs/>
          <w:sz w:val="24"/>
          <w:szCs w:val="24"/>
        </w:rPr>
        <w:t xml:space="preserve">Gnathostoma </w:t>
      </w:r>
      <w:r w:rsidRPr="00AE47C6">
        <w:rPr>
          <w:rFonts w:ascii="Times New Roman" w:eastAsia="SimSun" w:hAnsi="Times New Roman"/>
          <w:bCs/>
          <w:iCs/>
          <w:sz w:val="24"/>
          <w:szCs w:val="24"/>
        </w:rPr>
        <w:t>spinigerum.</w:t>
      </w:r>
    </w:p>
    <w:p w14:paraId="03F1838D" w14:textId="77777777" w:rsidR="00BE0B19" w:rsidRPr="00AE47C6" w:rsidRDefault="00BE0B19" w:rsidP="00BE0B19">
      <w:pPr>
        <w:numPr>
          <w:ilvl w:val="0"/>
          <w:numId w:val="247"/>
        </w:numPr>
        <w:spacing w:after="0" w:line="360" w:lineRule="auto"/>
        <w:ind w:left="0" w:firstLine="709"/>
        <w:contextualSpacing/>
        <w:jc w:val="both"/>
        <w:rPr>
          <w:rFonts w:ascii="Times New Roman" w:eastAsia="SimSun" w:hAnsi="Times New Roman"/>
          <w:iCs/>
          <w:sz w:val="24"/>
          <w:szCs w:val="24"/>
        </w:rPr>
      </w:pPr>
      <w:r w:rsidRPr="00AE47C6">
        <w:rPr>
          <w:rFonts w:ascii="Times New Roman" w:eastAsia="SimSun" w:hAnsi="Times New Roman"/>
          <w:sz w:val="24"/>
          <w:szCs w:val="24"/>
        </w:rPr>
        <w:t xml:space="preserve">Ликворна плеоцитоза – тестиране за туберкулозен микобактерий, и микози; </w:t>
      </w:r>
      <w:r w:rsidRPr="00AE47C6">
        <w:rPr>
          <w:rFonts w:ascii="Times New Roman" w:eastAsia="SimSun" w:hAnsi="Times New Roman"/>
          <w:iCs/>
          <w:sz w:val="24"/>
          <w:szCs w:val="24"/>
        </w:rPr>
        <w:t xml:space="preserve">Baylisascarisprocyonis </w:t>
      </w:r>
      <w:r w:rsidRPr="00AE47C6">
        <w:rPr>
          <w:rFonts w:ascii="Times New Roman" w:eastAsia="SimSun" w:hAnsi="Times New Roman"/>
          <w:sz w:val="24"/>
          <w:szCs w:val="24"/>
        </w:rPr>
        <w:t xml:space="preserve">(серум); </w:t>
      </w:r>
      <w:r w:rsidRPr="00AE47C6">
        <w:rPr>
          <w:rFonts w:ascii="Times New Roman" w:eastAsia="SimSun" w:hAnsi="Times New Roman"/>
          <w:iCs/>
          <w:sz w:val="24"/>
          <w:szCs w:val="24"/>
        </w:rPr>
        <w:t xml:space="preserve">Angiostrongylus cantonensis </w:t>
      </w:r>
      <w:r w:rsidRPr="00AE47C6">
        <w:rPr>
          <w:rFonts w:ascii="Times New Roman" w:eastAsia="SimSun" w:hAnsi="Times New Roman"/>
          <w:sz w:val="24"/>
          <w:szCs w:val="24"/>
        </w:rPr>
        <w:t xml:space="preserve">и </w:t>
      </w:r>
      <w:r w:rsidRPr="00AE47C6">
        <w:rPr>
          <w:rFonts w:ascii="Times New Roman" w:eastAsia="SimSun" w:hAnsi="Times New Roman"/>
          <w:iCs/>
          <w:sz w:val="24"/>
          <w:szCs w:val="24"/>
        </w:rPr>
        <w:t xml:space="preserve">Gnathostoma </w:t>
      </w:r>
      <w:r w:rsidRPr="00AE47C6">
        <w:rPr>
          <w:rFonts w:ascii="Times New Roman" w:eastAsia="SimSun" w:hAnsi="Times New Roman"/>
          <w:bCs/>
          <w:iCs/>
          <w:sz w:val="24"/>
          <w:szCs w:val="24"/>
          <w:shd w:val="clear" w:color="auto" w:fill="FFFFFF"/>
        </w:rPr>
        <w:t>spinigerum</w:t>
      </w:r>
    </w:p>
    <w:p w14:paraId="63507D01" w14:textId="77777777" w:rsidR="00BE0B19" w:rsidRPr="00AE47C6" w:rsidRDefault="00BE0B19" w:rsidP="00BE0B19">
      <w:pPr>
        <w:numPr>
          <w:ilvl w:val="0"/>
          <w:numId w:val="247"/>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Еритроцити в ликвор - тестиране за HSV, </w:t>
      </w:r>
      <w:r w:rsidRPr="00AE47C6">
        <w:rPr>
          <w:rFonts w:ascii="Times New Roman" w:eastAsia="SimSun" w:hAnsi="Times New Roman"/>
          <w:iCs/>
          <w:sz w:val="24"/>
          <w:szCs w:val="24"/>
        </w:rPr>
        <w:t>Naegleria fowleri</w:t>
      </w:r>
      <w:r w:rsidRPr="00AE47C6">
        <w:rPr>
          <w:rFonts w:ascii="Times New Roman" w:eastAsia="SimSun" w:hAnsi="Times New Roman"/>
          <w:sz w:val="24"/>
          <w:szCs w:val="24"/>
        </w:rPr>
        <w:t>.</w:t>
      </w:r>
    </w:p>
    <w:p w14:paraId="21D885D4" w14:textId="77777777" w:rsidR="00BE0B19" w:rsidRPr="00AE47C6" w:rsidRDefault="00BE0B19" w:rsidP="00BE0B19">
      <w:pPr>
        <w:numPr>
          <w:ilvl w:val="0"/>
          <w:numId w:val="247"/>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Ликворна хипонатриемия - тест за туберкулозен микобактерий.</w:t>
      </w:r>
    </w:p>
    <w:p w14:paraId="0A92D02A" w14:textId="77777777" w:rsidR="00BE0B19" w:rsidRPr="00AE47C6" w:rsidRDefault="00BE0B19" w:rsidP="00BE0B19">
      <w:pPr>
        <w:numPr>
          <w:ilvl w:val="0"/>
          <w:numId w:val="247"/>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iCs/>
          <w:sz w:val="24"/>
          <w:szCs w:val="24"/>
        </w:rPr>
        <w:t xml:space="preserve">Mycoplasma pneumoniae </w:t>
      </w:r>
      <w:r w:rsidRPr="00AE47C6">
        <w:rPr>
          <w:rFonts w:ascii="Times New Roman" w:eastAsia="SimSun" w:hAnsi="Times New Roman"/>
          <w:sz w:val="24"/>
          <w:szCs w:val="24"/>
        </w:rPr>
        <w:t xml:space="preserve">серология или от гърлен секрет PCR позитивна -за </w:t>
      </w:r>
      <w:r w:rsidRPr="00AE47C6">
        <w:rPr>
          <w:rFonts w:ascii="Times New Roman" w:eastAsia="SimSun" w:hAnsi="Times New Roman"/>
          <w:iCs/>
          <w:sz w:val="24"/>
          <w:szCs w:val="24"/>
        </w:rPr>
        <w:t xml:space="preserve">Mycoplasma pneumoniae </w:t>
      </w:r>
      <w:r w:rsidRPr="00AE47C6">
        <w:rPr>
          <w:rFonts w:ascii="Times New Roman" w:eastAsia="SimSun" w:hAnsi="Times New Roman"/>
          <w:sz w:val="24"/>
          <w:szCs w:val="24"/>
        </w:rPr>
        <w:t>PCR в ликвор.</w:t>
      </w:r>
    </w:p>
    <w:p w14:paraId="3D488CF0" w14:textId="77777777" w:rsidR="00BE0B19" w:rsidRPr="00AE47C6" w:rsidRDefault="00BE0B19" w:rsidP="00BE0B19">
      <w:pPr>
        <w:numPr>
          <w:ilvl w:val="0"/>
          <w:numId w:val="247"/>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Морбилозен вирус - изследвания за SSPE.</w:t>
      </w:r>
    </w:p>
    <w:p w14:paraId="23539713" w14:textId="77777777" w:rsidR="00BE0B19" w:rsidRPr="00AE47C6" w:rsidRDefault="00BE0B19" w:rsidP="00BE0B19">
      <w:pPr>
        <w:spacing w:after="0" w:line="360" w:lineRule="auto"/>
        <w:ind w:left="360"/>
        <w:jc w:val="both"/>
        <w:rPr>
          <w:rFonts w:ascii="Times New Roman" w:eastAsia="SimSun" w:hAnsi="Times New Roman"/>
          <w:b/>
          <w:sz w:val="24"/>
          <w:szCs w:val="24"/>
        </w:rPr>
      </w:pPr>
    </w:p>
    <w:p w14:paraId="58D77D1B" w14:textId="77777777" w:rsidR="00BE0B19" w:rsidRPr="00AE47C6" w:rsidRDefault="00BE0B19" w:rsidP="00BE0B19">
      <w:pPr>
        <w:spacing w:after="0" w:line="360" w:lineRule="auto"/>
        <w:ind w:left="360"/>
        <w:jc w:val="both"/>
        <w:rPr>
          <w:rFonts w:ascii="Times New Roman" w:eastAsia="SimSun" w:hAnsi="Times New Roman"/>
          <w:b/>
          <w:sz w:val="24"/>
          <w:szCs w:val="24"/>
        </w:rPr>
      </w:pPr>
      <w:r w:rsidRPr="00AE47C6">
        <w:rPr>
          <w:rFonts w:ascii="Times New Roman" w:eastAsia="SimSun" w:hAnsi="Times New Roman"/>
          <w:b/>
          <w:sz w:val="24"/>
          <w:szCs w:val="24"/>
        </w:rPr>
        <w:t>При невроизобразяващи находки в следните анатомични зони са препоръчителни допълнителни изследвания:</w:t>
      </w:r>
    </w:p>
    <w:p w14:paraId="5DE76067" w14:textId="77777777" w:rsidR="00BE0B19" w:rsidRPr="00AE47C6" w:rsidRDefault="00BE0B19" w:rsidP="00BE0B19">
      <w:pPr>
        <w:numPr>
          <w:ilvl w:val="0"/>
          <w:numId w:val="248"/>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Фронтален дял - тестиране за </w:t>
      </w:r>
      <w:r w:rsidRPr="00AE47C6">
        <w:rPr>
          <w:rFonts w:ascii="Times New Roman" w:eastAsia="SimSun" w:hAnsi="Times New Roman"/>
          <w:iCs/>
          <w:sz w:val="24"/>
          <w:szCs w:val="24"/>
        </w:rPr>
        <w:t xml:space="preserve">Naegleria fowleri </w:t>
      </w:r>
      <w:r w:rsidRPr="00AE47C6">
        <w:rPr>
          <w:rFonts w:ascii="Times New Roman" w:eastAsia="SimSun" w:hAnsi="Times New Roman"/>
          <w:sz w:val="24"/>
          <w:szCs w:val="24"/>
        </w:rPr>
        <w:t>(ликвор и PCR).</w:t>
      </w:r>
    </w:p>
    <w:p w14:paraId="106A4954" w14:textId="77777777" w:rsidR="00BE0B19" w:rsidRPr="00AE47C6" w:rsidRDefault="00BE0B19" w:rsidP="00BE0B19">
      <w:pPr>
        <w:numPr>
          <w:ilvl w:val="0"/>
          <w:numId w:val="248"/>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Темпорален дял – human herpes virus (HHV1, 6, 7 PCR в ликвор).</w:t>
      </w:r>
    </w:p>
    <w:p w14:paraId="588BE34C" w14:textId="77777777" w:rsidR="00BE0B19" w:rsidRPr="00AE47C6" w:rsidRDefault="00BE0B19" w:rsidP="00BE0B19">
      <w:pPr>
        <w:numPr>
          <w:ilvl w:val="0"/>
          <w:numId w:val="248"/>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Базални ганглии и/или таламус - тестиране за грип, респираторен вирус; ARBO вируси туберкулозен микобактерий.</w:t>
      </w:r>
    </w:p>
    <w:p w14:paraId="099BB4E7" w14:textId="77777777" w:rsidR="00BE0B19" w:rsidRPr="00AE47C6" w:rsidRDefault="00BE0B19" w:rsidP="00BE0B19">
      <w:pPr>
        <w:numPr>
          <w:ilvl w:val="0"/>
          <w:numId w:val="248"/>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Мозъчен ствол - тестиране за респираторен вирус, ARBO virus, туберкулозен микобактерий, Listeria PCR; Brucella антитела (серум).</w:t>
      </w:r>
    </w:p>
    <w:p w14:paraId="3577B0AD" w14:textId="77777777" w:rsidR="00BE0B19" w:rsidRPr="00AE47C6" w:rsidRDefault="00BE0B19" w:rsidP="00BE0B19">
      <w:pPr>
        <w:numPr>
          <w:ilvl w:val="0"/>
          <w:numId w:val="248"/>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Малък мозък - VZV PCR от ликвор CSF (ликворни IgG и IgM); VZV IgG и IgM в серум; EBV PCR (ликвор) и серология.</w:t>
      </w:r>
    </w:p>
    <w:p w14:paraId="4BC19D83" w14:textId="77777777" w:rsidR="00BE0B19" w:rsidRPr="00AE47C6" w:rsidRDefault="00BE0B19" w:rsidP="00BE0B19">
      <w:pPr>
        <w:spacing w:after="0" w:line="360" w:lineRule="auto"/>
        <w:ind w:left="709"/>
        <w:jc w:val="both"/>
        <w:rPr>
          <w:rFonts w:ascii="Times New Roman" w:eastAsia="SimSun" w:hAnsi="Times New Roman"/>
          <w:sz w:val="24"/>
          <w:szCs w:val="24"/>
        </w:rPr>
      </w:pPr>
    </w:p>
    <w:p w14:paraId="5DC47B10" w14:textId="77777777" w:rsidR="00BE0B19" w:rsidRPr="00AE47C6" w:rsidRDefault="00BE0B19" w:rsidP="00BE0B19">
      <w:pPr>
        <w:spacing w:after="0" w:line="360" w:lineRule="auto"/>
        <w:ind w:left="709"/>
        <w:jc w:val="both"/>
        <w:rPr>
          <w:rFonts w:ascii="Times New Roman" w:eastAsia="SimSun" w:hAnsi="Times New Roman"/>
          <w:b/>
          <w:sz w:val="24"/>
          <w:szCs w:val="24"/>
        </w:rPr>
      </w:pPr>
      <w:r w:rsidRPr="00AE47C6">
        <w:rPr>
          <w:rFonts w:ascii="Times New Roman" w:eastAsia="SimSun" w:hAnsi="Times New Roman"/>
          <w:b/>
          <w:sz w:val="24"/>
          <w:szCs w:val="24"/>
        </w:rPr>
        <w:t>При следните невроизобразяващи находки са препоръчителни допълнителни изследвания:</w:t>
      </w:r>
    </w:p>
    <w:p w14:paraId="55B1F1CC" w14:textId="77777777" w:rsidR="00BE0B19" w:rsidRPr="00AE47C6" w:rsidRDefault="00BE0B19" w:rsidP="00BE0B19">
      <w:pPr>
        <w:numPr>
          <w:ilvl w:val="0"/>
          <w:numId w:val="248"/>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Дифузен мозъчен оток - тестиране за респираторни вируси в смив или секрет от ГДП.</w:t>
      </w:r>
    </w:p>
    <w:p w14:paraId="269608E9" w14:textId="77777777" w:rsidR="00BE0B19" w:rsidRPr="00AE47C6" w:rsidRDefault="00BE0B19" w:rsidP="00BE0B19">
      <w:pPr>
        <w:numPr>
          <w:ilvl w:val="0"/>
          <w:numId w:val="248"/>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Огнищни лезии с или без периферно усилване - тестиране за туберкулозен микобактерий и за микози; </w:t>
      </w:r>
      <w:r w:rsidRPr="00AE47C6">
        <w:rPr>
          <w:rFonts w:ascii="Times New Roman" w:eastAsia="SimSun" w:hAnsi="Times New Roman"/>
          <w:iCs/>
          <w:sz w:val="24"/>
          <w:szCs w:val="24"/>
        </w:rPr>
        <w:t xml:space="preserve">Balamuthia mandrillaris </w:t>
      </w:r>
      <w:r w:rsidRPr="00AE47C6">
        <w:rPr>
          <w:rFonts w:ascii="Times New Roman" w:eastAsia="SimSun" w:hAnsi="Times New Roman"/>
          <w:sz w:val="24"/>
          <w:szCs w:val="24"/>
        </w:rPr>
        <w:t xml:space="preserve">и Acanthamoeba, серология за </w:t>
      </w:r>
      <w:r w:rsidRPr="00AE47C6">
        <w:rPr>
          <w:rFonts w:ascii="Times New Roman" w:eastAsia="SimSun" w:hAnsi="Times New Roman"/>
          <w:iCs/>
          <w:sz w:val="24"/>
          <w:szCs w:val="24"/>
        </w:rPr>
        <w:t>Toxoplasma gondii.</w:t>
      </w:r>
      <w:r w:rsidRPr="00AE47C6">
        <w:rPr>
          <w:rFonts w:ascii="Times New Roman" w:eastAsia="SimSun" w:hAnsi="Times New Roman"/>
          <w:sz w:val="24"/>
          <w:szCs w:val="24"/>
        </w:rPr>
        <w:t> </w:t>
      </w:r>
    </w:p>
    <w:p w14:paraId="64E09867" w14:textId="77777777" w:rsidR="00BE0B19" w:rsidRPr="00AE47C6" w:rsidRDefault="00BE0B19" w:rsidP="00BE0B19">
      <w:pPr>
        <w:numPr>
          <w:ilvl w:val="0"/>
          <w:numId w:val="248"/>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Хидроцефалия и /или базално менингеално усилване - тестиране за туберкулозен микобактерий, микози, </w:t>
      </w:r>
      <w:r w:rsidRPr="00AE47C6">
        <w:rPr>
          <w:rFonts w:ascii="Times New Roman" w:eastAsia="SimSun" w:hAnsi="Times New Roman"/>
          <w:iCs/>
          <w:sz w:val="24"/>
          <w:szCs w:val="24"/>
        </w:rPr>
        <w:t>Balamuthia mandrillaris</w:t>
      </w:r>
      <w:r w:rsidRPr="00AE47C6">
        <w:rPr>
          <w:rFonts w:ascii="Times New Roman" w:eastAsia="SimSun" w:hAnsi="Times New Roman"/>
          <w:sz w:val="24"/>
          <w:szCs w:val="24"/>
        </w:rPr>
        <w:t>.</w:t>
      </w:r>
    </w:p>
    <w:p w14:paraId="17438561" w14:textId="77777777" w:rsidR="00BE0B19" w:rsidRPr="00AE47C6" w:rsidRDefault="00BE0B19" w:rsidP="00BE0B19">
      <w:pPr>
        <w:numPr>
          <w:ilvl w:val="0"/>
          <w:numId w:val="248"/>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Хеморагичен инфаркт - тестиране за туберкулозен микобактерий, микози, респираторни вируси.</w:t>
      </w:r>
    </w:p>
    <w:p w14:paraId="1460AB8A" w14:textId="77777777" w:rsidR="00BE0B19" w:rsidRPr="00AE47C6" w:rsidRDefault="00BE0B19" w:rsidP="00BE0B19">
      <w:pPr>
        <w:numPr>
          <w:ilvl w:val="0"/>
          <w:numId w:val="248"/>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sz w:val="24"/>
          <w:szCs w:val="24"/>
        </w:rPr>
        <w:t>Лезии в бялото вещество - олигоклоналност, IgG индекс, Лаймска болест (серум за ELISA и Western blot); Brucella (серология и ликвор).</w:t>
      </w:r>
    </w:p>
    <w:p w14:paraId="5BA183AE"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5E458D0A" w14:textId="77777777" w:rsidR="00BE0B19" w:rsidRPr="00AE47C6" w:rsidRDefault="00BE0B19" w:rsidP="00BE0B19">
      <w:pPr>
        <w:spacing w:after="0" w:line="360" w:lineRule="auto"/>
        <w:contextualSpacing/>
        <w:jc w:val="both"/>
        <w:rPr>
          <w:rFonts w:ascii="Times New Roman" w:eastAsia="SimSun" w:hAnsi="Times New Roman"/>
          <w:b/>
          <w:sz w:val="24"/>
          <w:szCs w:val="24"/>
        </w:rPr>
      </w:pPr>
      <w:r w:rsidRPr="00AE47C6">
        <w:rPr>
          <w:rFonts w:ascii="Times New Roman" w:eastAsia="SimSun" w:hAnsi="Times New Roman"/>
          <w:b/>
          <w:sz w:val="24"/>
          <w:szCs w:val="24"/>
          <w:u w:val="single"/>
        </w:rPr>
        <w:t>Лечение на острите вирусни менингоенцефалити</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Табл. 4. 9.</w:t>
      </w:r>
      <w:r w:rsidRPr="00AE47C6">
        <w:rPr>
          <w:rFonts w:ascii="Times New Roman" w:eastAsia="SimSun" w:hAnsi="Times New Roman"/>
          <w:b/>
          <w:sz w:val="24"/>
          <w:szCs w:val="24"/>
        </w:rPr>
        <w:t>)</w:t>
      </w:r>
    </w:p>
    <w:p w14:paraId="2D40A8E0" w14:textId="77777777" w:rsidR="00BE0B19" w:rsidRPr="00AE47C6" w:rsidRDefault="00BE0B19" w:rsidP="00BE0B19">
      <w:pPr>
        <w:spacing w:after="0" w:line="360" w:lineRule="auto"/>
        <w:contextualSpacing/>
        <w:jc w:val="both"/>
        <w:rPr>
          <w:rFonts w:ascii="Times New Roman" w:eastAsia="SimSun" w:hAnsi="Times New Roman"/>
          <w:b/>
          <w:i/>
          <w:sz w:val="24"/>
          <w:szCs w:val="24"/>
        </w:rPr>
      </w:pPr>
      <w:r w:rsidRPr="00AE47C6">
        <w:rPr>
          <w:rFonts w:ascii="Times New Roman" w:eastAsia="SimSun" w:hAnsi="Times New Roman"/>
          <w:b/>
          <w:i/>
          <w:sz w:val="24"/>
          <w:szCs w:val="24"/>
        </w:rPr>
        <w:t>Herpes simplex менингоенцефалит и миелит</w:t>
      </w:r>
    </w:p>
    <w:p w14:paraId="249B76F6" w14:textId="77777777" w:rsidR="00BE0B19" w:rsidRPr="00AE47C6" w:rsidRDefault="00BE0B19" w:rsidP="00BE0B19">
      <w:pPr>
        <w:numPr>
          <w:ilvl w:val="1"/>
          <w:numId w:val="6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 xml:space="preserve">acyclovir </w:t>
      </w:r>
      <w:r w:rsidRPr="00AE47C6">
        <w:rPr>
          <w:rFonts w:ascii="Times New Roman" w:eastAsia="SimSun" w:hAnsi="Times New Roman"/>
          <w:sz w:val="24"/>
          <w:szCs w:val="24"/>
        </w:rPr>
        <w:t>10 mg/kg /8 часа (30 mg/kg дн.) в продължение на 14 дни i.v. в 100 ml физиологичен р-р.</w:t>
      </w:r>
    </w:p>
    <w:p w14:paraId="7B2F902F" w14:textId="77777777" w:rsidR="00BE0B19" w:rsidRPr="00AE47C6" w:rsidRDefault="00BE0B19" w:rsidP="00BE0B19">
      <w:pPr>
        <w:spacing w:after="0" w:line="360" w:lineRule="auto"/>
        <w:contextualSpacing/>
        <w:jc w:val="both"/>
        <w:rPr>
          <w:rFonts w:ascii="Times New Roman" w:eastAsia="SimSun" w:hAnsi="Times New Roman"/>
          <w:b/>
          <w:i/>
          <w:sz w:val="24"/>
          <w:szCs w:val="24"/>
        </w:rPr>
      </w:pPr>
      <w:r w:rsidRPr="00AE47C6">
        <w:rPr>
          <w:rFonts w:ascii="Times New Roman" w:eastAsia="SimSun" w:hAnsi="Times New Roman"/>
          <w:b/>
          <w:i/>
          <w:sz w:val="24"/>
          <w:szCs w:val="24"/>
        </w:rPr>
        <w:t>Herpes zoster менингоенцефалит и миелит</w:t>
      </w:r>
    </w:p>
    <w:p w14:paraId="6ABB4C97" w14:textId="77777777" w:rsidR="00BE0B19" w:rsidRPr="00AE47C6" w:rsidRDefault="00BE0B19" w:rsidP="00BE0B19">
      <w:pPr>
        <w:numPr>
          <w:ilvl w:val="1"/>
          <w:numId w:val="6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acyclovir</w:t>
      </w:r>
      <w:r w:rsidRPr="00AE47C6">
        <w:rPr>
          <w:rFonts w:ascii="Times New Roman" w:eastAsia="SimSun" w:hAnsi="Times New Roman"/>
          <w:sz w:val="24"/>
          <w:szCs w:val="24"/>
        </w:rPr>
        <w:t xml:space="preserve"> в по-високи дози.</w:t>
      </w:r>
    </w:p>
    <w:p w14:paraId="2E761DE4" w14:textId="77777777" w:rsidR="00BE0B19" w:rsidRPr="00AE47C6" w:rsidRDefault="00BE0B19" w:rsidP="00BE0B19">
      <w:pPr>
        <w:spacing w:after="0" w:line="360" w:lineRule="auto"/>
        <w:contextualSpacing/>
        <w:jc w:val="both"/>
        <w:rPr>
          <w:rFonts w:ascii="Times New Roman" w:eastAsia="SimSun" w:hAnsi="Times New Roman"/>
          <w:b/>
          <w:i/>
          <w:sz w:val="24"/>
          <w:szCs w:val="24"/>
        </w:rPr>
      </w:pPr>
      <w:r w:rsidRPr="00AE47C6">
        <w:rPr>
          <w:rFonts w:ascii="Times New Roman" w:eastAsia="SimSun" w:hAnsi="Times New Roman"/>
          <w:b/>
          <w:i/>
          <w:kern w:val="24"/>
          <w:sz w:val="24"/>
          <w:szCs w:val="24"/>
        </w:rPr>
        <w:t xml:space="preserve">Epstein-Barr </w:t>
      </w:r>
      <w:r w:rsidRPr="00AE47C6">
        <w:rPr>
          <w:rFonts w:ascii="Times New Roman" w:eastAsia="SimSun" w:hAnsi="Times New Roman"/>
          <w:b/>
          <w:i/>
          <w:sz w:val="24"/>
          <w:szCs w:val="24"/>
        </w:rPr>
        <w:t>менингоенцефалит и миелит</w:t>
      </w:r>
    </w:p>
    <w:p w14:paraId="04656FED" w14:textId="77777777" w:rsidR="00BE0B19" w:rsidRPr="00AE47C6" w:rsidRDefault="00BE0B19" w:rsidP="00BE0B19">
      <w:pPr>
        <w:numPr>
          <w:ilvl w:val="1"/>
          <w:numId w:val="6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acyclovir</w:t>
      </w:r>
      <w:r w:rsidRPr="00AE47C6">
        <w:rPr>
          <w:rFonts w:ascii="Times New Roman" w:eastAsia="SimSun" w:hAnsi="Times New Roman"/>
          <w:sz w:val="24"/>
          <w:szCs w:val="24"/>
        </w:rPr>
        <w:t xml:space="preserve"> 10 mg/kg /8 часа (30 mg/kg/дн.) в продължение на 14 дни i.v. в 100 ml физиологичен р-р.</w:t>
      </w:r>
    </w:p>
    <w:p w14:paraId="42837E23" w14:textId="77777777" w:rsidR="00BE0B19" w:rsidRPr="00AE47C6" w:rsidRDefault="00BE0B19" w:rsidP="00BE0B19">
      <w:pPr>
        <w:spacing w:after="0" w:line="360" w:lineRule="auto"/>
        <w:contextualSpacing/>
        <w:jc w:val="both"/>
        <w:rPr>
          <w:rFonts w:ascii="Times New Roman" w:eastAsia="SimSun" w:hAnsi="Times New Roman"/>
          <w:b/>
          <w:sz w:val="24"/>
          <w:szCs w:val="24"/>
        </w:rPr>
      </w:pPr>
    </w:p>
    <w:p w14:paraId="498AD08B" w14:textId="77777777" w:rsidR="00BE0B19" w:rsidRPr="00AE47C6" w:rsidRDefault="00BE0B19" w:rsidP="00BE0B19">
      <w:pPr>
        <w:spacing w:after="0" w:line="360" w:lineRule="auto"/>
        <w:contextualSpacing/>
        <w:jc w:val="both"/>
        <w:rPr>
          <w:rFonts w:ascii="Times New Roman" w:eastAsia="SimSun" w:hAnsi="Times New Roman"/>
          <w:b/>
          <w:sz w:val="24"/>
          <w:szCs w:val="24"/>
        </w:rPr>
      </w:pPr>
      <w:r w:rsidRPr="00AE47C6">
        <w:rPr>
          <w:rFonts w:ascii="Times New Roman" w:eastAsia="SimSun" w:hAnsi="Times New Roman"/>
          <w:b/>
          <w:sz w:val="24"/>
          <w:szCs w:val="24"/>
        </w:rPr>
        <w:t>Таблица 4. 9. Терапия на вирусните менингоенцефалити</w:t>
      </w:r>
    </w:p>
    <w:tbl>
      <w:tblPr>
        <w:tblW w:w="90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16"/>
        <w:gridCol w:w="7199"/>
      </w:tblGrid>
      <w:tr w:rsidR="00BE0B19" w:rsidRPr="00AE47C6" w14:paraId="720DEE9A" w14:textId="77777777" w:rsidTr="00AD72E5">
        <w:trPr>
          <w:trHeight w:val="584"/>
          <w:jc w:val="center"/>
        </w:trPr>
        <w:tc>
          <w:tcPr>
            <w:tcW w:w="1816" w:type="dxa"/>
          </w:tcPr>
          <w:p w14:paraId="6D6F3770" w14:textId="77777777" w:rsidR="00BE0B19" w:rsidRPr="00AE47C6" w:rsidRDefault="00BE0B19" w:rsidP="00BE0B19">
            <w:pPr>
              <w:spacing w:after="0" w:line="360" w:lineRule="auto"/>
              <w:ind w:firstLine="284"/>
              <w:jc w:val="both"/>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 xml:space="preserve">Вирус </w:t>
            </w:r>
          </w:p>
        </w:tc>
        <w:tc>
          <w:tcPr>
            <w:tcW w:w="7199" w:type="dxa"/>
          </w:tcPr>
          <w:p w14:paraId="5EAEC6CF" w14:textId="77777777" w:rsidR="00BE0B19" w:rsidRPr="00AE47C6" w:rsidRDefault="00BE0B19" w:rsidP="00BE0B19">
            <w:pPr>
              <w:spacing w:after="0" w:line="360" w:lineRule="auto"/>
              <w:ind w:firstLine="284"/>
              <w:jc w:val="both"/>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 xml:space="preserve">Лечение </w:t>
            </w:r>
          </w:p>
        </w:tc>
      </w:tr>
      <w:tr w:rsidR="00BE0B19" w:rsidRPr="00AE47C6" w14:paraId="75882227" w14:textId="77777777" w:rsidTr="00AD72E5">
        <w:trPr>
          <w:trHeight w:val="584"/>
          <w:jc w:val="center"/>
        </w:trPr>
        <w:tc>
          <w:tcPr>
            <w:tcW w:w="1816" w:type="dxa"/>
          </w:tcPr>
          <w:p w14:paraId="1B87905F" w14:textId="77777777" w:rsidR="00BE0B19" w:rsidRPr="00AE47C6" w:rsidRDefault="00BE0B19" w:rsidP="00BE0B19">
            <w:pPr>
              <w:spacing w:after="0" w:line="360" w:lineRule="auto"/>
              <w:ind w:firstLine="284"/>
              <w:jc w:val="both"/>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 xml:space="preserve">HSV 1 и 2 </w:t>
            </w:r>
          </w:p>
          <w:p w14:paraId="3ABA3AE5" w14:textId="77777777" w:rsidR="00BE0B19" w:rsidRPr="00AE47C6" w:rsidRDefault="00BE0B19" w:rsidP="00BE0B19">
            <w:pPr>
              <w:spacing w:after="0" w:line="360" w:lineRule="auto"/>
              <w:ind w:firstLine="284"/>
              <w:jc w:val="both"/>
              <w:rPr>
                <w:rFonts w:ascii="Times New Roman" w:eastAsia="SimSun" w:hAnsi="Times New Roman"/>
                <w:sz w:val="24"/>
                <w:szCs w:val="24"/>
              </w:rPr>
            </w:pPr>
          </w:p>
        </w:tc>
        <w:tc>
          <w:tcPr>
            <w:tcW w:w="7199" w:type="dxa"/>
          </w:tcPr>
          <w:p w14:paraId="15722761" w14:textId="77777777" w:rsidR="00BE0B19" w:rsidRPr="00AE47C6" w:rsidRDefault="00BE0B19" w:rsidP="00BE0B19">
            <w:pPr>
              <w:spacing w:after="0" w:line="360" w:lineRule="auto"/>
              <w:ind w:firstLine="284"/>
              <w:jc w:val="both"/>
              <w:rPr>
                <w:rFonts w:ascii="Times New Roman" w:eastAsia="SimSun" w:hAnsi="Times New Roman"/>
                <w:sz w:val="24"/>
                <w:szCs w:val="24"/>
                <w:lang w:eastAsia="bg-BG"/>
              </w:rPr>
            </w:pPr>
            <w:r w:rsidRPr="00AE47C6">
              <w:rPr>
                <w:rFonts w:ascii="Times New Roman" w:eastAsia="SimSun" w:hAnsi="Times New Roman"/>
                <w:bCs/>
                <w:iCs/>
                <w:kern w:val="24"/>
                <w:sz w:val="24"/>
                <w:szCs w:val="24"/>
                <w:lang w:eastAsia="bg-BG"/>
              </w:rPr>
              <w:t xml:space="preserve">Acyclovir 30 mg/kg i.v. разделен на 3 приема </w:t>
            </w:r>
            <w:r w:rsidRPr="00AE47C6">
              <w:rPr>
                <w:rFonts w:ascii="Times New Roman" w:eastAsia="SimSun" w:hAnsi="Times New Roman"/>
                <w:kern w:val="24"/>
                <w:sz w:val="24"/>
                <w:szCs w:val="24"/>
                <w:lang w:eastAsia="bg-BG"/>
              </w:rPr>
              <w:t>за 14-21 дни</w:t>
            </w:r>
          </w:p>
          <w:p w14:paraId="575D72F4" w14:textId="77777777" w:rsidR="00BE0B19" w:rsidRPr="00AE47C6" w:rsidRDefault="00BE0B19" w:rsidP="00BE0B19">
            <w:pPr>
              <w:spacing w:after="0" w:line="360" w:lineRule="auto"/>
              <w:ind w:firstLine="284"/>
              <w:jc w:val="both"/>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при неонатални енцефалити 20 mg/kg на 8 часа i.v. за 21 дни</w:t>
            </w:r>
          </w:p>
          <w:p w14:paraId="370FD5C1" w14:textId="77777777" w:rsidR="00BE0B19" w:rsidRPr="00AE47C6" w:rsidRDefault="00BE0B19" w:rsidP="00BE0B19">
            <w:pPr>
              <w:spacing w:after="0" w:line="360" w:lineRule="auto"/>
              <w:ind w:firstLine="284"/>
              <w:jc w:val="both"/>
              <w:rPr>
                <w:rFonts w:ascii="Times New Roman" w:eastAsia="SimSun" w:hAnsi="Times New Roman"/>
                <w:kern w:val="24"/>
                <w:sz w:val="24"/>
                <w:szCs w:val="24"/>
                <w:lang w:eastAsia="bg-BG"/>
              </w:rPr>
            </w:pPr>
            <w:r w:rsidRPr="00AE47C6">
              <w:rPr>
                <w:rFonts w:ascii="Times New Roman" w:eastAsia="SimSun" w:hAnsi="Times New Roman"/>
                <w:kern w:val="24"/>
                <w:sz w:val="24"/>
                <w:szCs w:val="24"/>
                <w:lang w:eastAsia="bg-BG"/>
              </w:rPr>
              <w:t xml:space="preserve">Acyclovir, Famciclovir, Valacyclovir  per os при менингити, асоциирани с генитален херпес </w:t>
            </w:r>
          </w:p>
        </w:tc>
      </w:tr>
      <w:tr w:rsidR="00BE0B19" w:rsidRPr="00AE47C6" w14:paraId="38525122" w14:textId="77777777" w:rsidTr="00AD72E5">
        <w:trPr>
          <w:trHeight w:val="584"/>
          <w:jc w:val="center"/>
        </w:trPr>
        <w:tc>
          <w:tcPr>
            <w:tcW w:w="1816" w:type="dxa"/>
          </w:tcPr>
          <w:p w14:paraId="02933898" w14:textId="77777777" w:rsidR="00BE0B19" w:rsidRPr="00AE47C6" w:rsidRDefault="00BE0B19" w:rsidP="00BE0B19">
            <w:pPr>
              <w:spacing w:after="0" w:line="360" w:lineRule="auto"/>
              <w:ind w:firstLine="284"/>
              <w:jc w:val="both"/>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VZV</w:t>
            </w:r>
          </w:p>
        </w:tc>
        <w:tc>
          <w:tcPr>
            <w:tcW w:w="7199" w:type="dxa"/>
          </w:tcPr>
          <w:p w14:paraId="64EECD99" w14:textId="77777777" w:rsidR="00BE0B19" w:rsidRPr="00AE47C6" w:rsidRDefault="00BE0B19" w:rsidP="00BE0B19">
            <w:pPr>
              <w:spacing w:after="0" w:line="360" w:lineRule="auto"/>
              <w:ind w:firstLine="284"/>
              <w:jc w:val="both"/>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 xml:space="preserve">Acyclovir 60 mg/kg i.v. разделен на 3 приема </w:t>
            </w:r>
          </w:p>
        </w:tc>
      </w:tr>
      <w:tr w:rsidR="00BE0B19" w:rsidRPr="00AE47C6" w14:paraId="51862467" w14:textId="77777777" w:rsidTr="00AD72E5">
        <w:trPr>
          <w:trHeight w:val="584"/>
          <w:jc w:val="center"/>
        </w:trPr>
        <w:tc>
          <w:tcPr>
            <w:tcW w:w="1816" w:type="dxa"/>
          </w:tcPr>
          <w:p w14:paraId="48FF5B12" w14:textId="77777777" w:rsidR="00BE0B19" w:rsidRPr="00AE47C6" w:rsidRDefault="00BE0B19" w:rsidP="00BE0B19">
            <w:pPr>
              <w:spacing w:after="0" w:line="360" w:lineRule="auto"/>
              <w:ind w:firstLine="284"/>
              <w:jc w:val="both"/>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CMV</w:t>
            </w:r>
          </w:p>
        </w:tc>
        <w:tc>
          <w:tcPr>
            <w:tcW w:w="7199" w:type="dxa"/>
          </w:tcPr>
          <w:p w14:paraId="07559397" w14:textId="77777777" w:rsidR="00BE0B19" w:rsidRPr="00AE47C6" w:rsidRDefault="00BE0B19" w:rsidP="00BE0B19">
            <w:pPr>
              <w:spacing w:after="0" w:line="360" w:lineRule="auto"/>
              <w:ind w:firstLine="284"/>
              <w:jc w:val="both"/>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Gancyclovir</w:t>
            </w:r>
          </w:p>
          <w:p w14:paraId="790BB75B" w14:textId="77777777" w:rsidR="00BE0B19" w:rsidRPr="00AE47C6" w:rsidRDefault="00BE0B19" w:rsidP="00BE0B19">
            <w:pPr>
              <w:spacing w:after="0" w:line="360" w:lineRule="auto"/>
              <w:ind w:firstLine="284"/>
              <w:jc w:val="both"/>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Foscarnet</w:t>
            </w:r>
          </w:p>
        </w:tc>
      </w:tr>
      <w:tr w:rsidR="00BE0B19" w:rsidRPr="00AE47C6" w14:paraId="4761456D" w14:textId="77777777" w:rsidTr="00AD72E5">
        <w:trPr>
          <w:trHeight w:val="584"/>
          <w:jc w:val="center"/>
        </w:trPr>
        <w:tc>
          <w:tcPr>
            <w:tcW w:w="1816" w:type="dxa"/>
          </w:tcPr>
          <w:p w14:paraId="222F777C" w14:textId="77777777" w:rsidR="00BE0B19" w:rsidRPr="00AE47C6" w:rsidRDefault="00BE0B19" w:rsidP="00BE0B19">
            <w:pPr>
              <w:spacing w:after="0" w:line="360" w:lineRule="auto"/>
              <w:ind w:firstLine="284"/>
              <w:jc w:val="both"/>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EBV</w:t>
            </w:r>
          </w:p>
        </w:tc>
        <w:tc>
          <w:tcPr>
            <w:tcW w:w="7199" w:type="dxa"/>
          </w:tcPr>
          <w:p w14:paraId="12079163" w14:textId="77777777" w:rsidR="00BE0B19" w:rsidRPr="00AE47C6" w:rsidRDefault="00BE0B19" w:rsidP="00BE0B19">
            <w:pPr>
              <w:spacing w:after="0" w:line="360" w:lineRule="auto"/>
              <w:ind w:firstLine="284"/>
              <w:jc w:val="both"/>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 xml:space="preserve">Acyclovir (ограничена ефективност) </w:t>
            </w:r>
          </w:p>
        </w:tc>
      </w:tr>
      <w:tr w:rsidR="00BE0B19" w:rsidRPr="00AE47C6" w14:paraId="4FE4599F" w14:textId="77777777" w:rsidTr="00AD72E5">
        <w:trPr>
          <w:trHeight w:val="584"/>
          <w:jc w:val="center"/>
        </w:trPr>
        <w:tc>
          <w:tcPr>
            <w:tcW w:w="1816" w:type="dxa"/>
          </w:tcPr>
          <w:p w14:paraId="79B144DB" w14:textId="77777777" w:rsidR="00BE0B19" w:rsidRPr="00AE47C6" w:rsidRDefault="00BE0B19" w:rsidP="00BE0B19">
            <w:pPr>
              <w:spacing w:after="0" w:line="360" w:lineRule="auto"/>
              <w:ind w:firstLine="284"/>
              <w:jc w:val="both"/>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Enterovirus</w:t>
            </w:r>
          </w:p>
        </w:tc>
        <w:tc>
          <w:tcPr>
            <w:tcW w:w="7199" w:type="dxa"/>
          </w:tcPr>
          <w:p w14:paraId="20AB72BB" w14:textId="77777777" w:rsidR="00BE0B19" w:rsidRPr="00AE47C6" w:rsidRDefault="00BE0B19" w:rsidP="00BE0B19">
            <w:pPr>
              <w:spacing w:after="0" w:line="360" w:lineRule="auto"/>
              <w:ind w:firstLine="284"/>
              <w:jc w:val="both"/>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Pleconaril</w:t>
            </w:r>
          </w:p>
          <w:p w14:paraId="6C5D3C6F" w14:textId="77777777" w:rsidR="00BE0B19" w:rsidRPr="00AE47C6" w:rsidRDefault="00BE0B19" w:rsidP="00BE0B19">
            <w:pPr>
              <w:spacing w:after="0" w:line="360" w:lineRule="auto"/>
              <w:ind w:firstLine="284"/>
              <w:jc w:val="both"/>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 xml:space="preserve">Имуноглобулин i.v. при хипогамаглобулинемия и новородени със сепсис </w:t>
            </w:r>
          </w:p>
        </w:tc>
      </w:tr>
    </w:tbl>
    <w:p w14:paraId="064F06CD" w14:textId="77777777" w:rsidR="00BE0B19" w:rsidRPr="00AE47C6" w:rsidRDefault="00BE0B19" w:rsidP="00BE0B19">
      <w:pPr>
        <w:spacing w:after="0" w:line="360" w:lineRule="auto"/>
        <w:contextualSpacing/>
        <w:jc w:val="both"/>
        <w:rPr>
          <w:rFonts w:ascii="Times New Roman" w:eastAsia="SimSun" w:hAnsi="Times New Roman"/>
          <w:sz w:val="24"/>
          <w:szCs w:val="24"/>
        </w:rPr>
      </w:pPr>
    </w:p>
    <w:p w14:paraId="20C49861" w14:textId="77777777" w:rsidR="00BE0B19" w:rsidRPr="00AE47C6" w:rsidRDefault="00BE0B19" w:rsidP="00BE0B19">
      <w:pPr>
        <w:spacing w:after="0" w:line="360" w:lineRule="auto"/>
        <w:contextualSpacing/>
        <w:jc w:val="both"/>
        <w:rPr>
          <w:rFonts w:ascii="Times New Roman" w:eastAsia="SimSun" w:hAnsi="Times New Roman"/>
          <w:b/>
          <w:sz w:val="24"/>
          <w:szCs w:val="24"/>
          <w:u w:val="single"/>
        </w:rPr>
      </w:pPr>
      <w:r w:rsidRPr="00AE47C6">
        <w:rPr>
          <w:rFonts w:ascii="Times New Roman" w:eastAsia="SimSun" w:hAnsi="Times New Roman"/>
          <w:b/>
          <w:sz w:val="24"/>
          <w:szCs w:val="24"/>
          <w:u w:val="single"/>
        </w:rPr>
        <w:t>Лечение на острите и хронични спирохетни менингити, менингоенцефалити и енцефаломиелити</w:t>
      </w:r>
    </w:p>
    <w:p w14:paraId="311673AB" w14:textId="77777777" w:rsidR="00BE0B19" w:rsidRPr="00AE47C6" w:rsidRDefault="00BE0B19" w:rsidP="00BE0B19">
      <w:pPr>
        <w:spacing w:after="0" w:line="360" w:lineRule="auto"/>
        <w:contextualSpacing/>
        <w:jc w:val="both"/>
        <w:rPr>
          <w:rFonts w:ascii="Times New Roman" w:eastAsia="SimSun" w:hAnsi="Times New Roman"/>
          <w:i/>
          <w:sz w:val="24"/>
          <w:szCs w:val="24"/>
        </w:rPr>
      </w:pPr>
      <w:r w:rsidRPr="00AE47C6">
        <w:rPr>
          <w:rFonts w:ascii="Times New Roman" w:eastAsia="SimSun" w:hAnsi="Times New Roman"/>
          <w:i/>
          <w:sz w:val="24"/>
          <w:szCs w:val="24"/>
        </w:rPr>
        <w:t>Остър лимфоцитарен менингоенцефалит и миелит в стадий ІІ на невроборелиоза:</w:t>
      </w:r>
    </w:p>
    <w:p w14:paraId="456023F6" w14:textId="77777777" w:rsidR="00BE0B19" w:rsidRPr="00AE47C6" w:rsidRDefault="00BE0B19" w:rsidP="00BE0B19">
      <w:pPr>
        <w:numPr>
          <w:ilvl w:val="0"/>
          <w:numId w:val="38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Ceftriaxone</w:t>
      </w:r>
      <w:r w:rsidRPr="00AE47C6">
        <w:rPr>
          <w:rFonts w:ascii="Times New Roman" w:eastAsia="SimSun" w:hAnsi="Times New Roman"/>
          <w:sz w:val="24"/>
          <w:szCs w:val="24"/>
        </w:rPr>
        <w:t xml:space="preserve"> 2 g за 24 ч. i.v. в продължение на 14 дни </w:t>
      </w:r>
    </w:p>
    <w:p w14:paraId="14508117" w14:textId="77777777" w:rsidR="00BE0B19" w:rsidRPr="00AE47C6" w:rsidRDefault="00BE0B19" w:rsidP="00BE0B19">
      <w:pPr>
        <w:numPr>
          <w:ilvl w:val="0"/>
          <w:numId w:val="38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Cefotaxime</w:t>
      </w:r>
      <w:r w:rsidRPr="00AE47C6">
        <w:rPr>
          <w:rFonts w:ascii="Times New Roman" w:eastAsia="SimSun" w:hAnsi="Times New Roman"/>
          <w:sz w:val="24"/>
          <w:szCs w:val="24"/>
        </w:rPr>
        <w:t xml:space="preserve"> 3 х 2 g i.v. за 14 дни</w:t>
      </w:r>
    </w:p>
    <w:p w14:paraId="6F751855" w14:textId="77777777" w:rsidR="00BE0B19" w:rsidRPr="00AE47C6" w:rsidRDefault="00BE0B19" w:rsidP="00BE0B19">
      <w:pPr>
        <w:numPr>
          <w:ilvl w:val="0"/>
          <w:numId w:val="38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 xml:space="preserve">Penicillin </w:t>
      </w:r>
      <w:r w:rsidRPr="00AE47C6">
        <w:rPr>
          <w:rFonts w:ascii="Times New Roman" w:eastAsia="SimSun" w:hAnsi="Times New Roman"/>
          <w:sz w:val="24"/>
          <w:szCs w:val="24"/>
        </w:rPr>
        <w:t>4 х 5 000 000 МЕ за 14 дни</w:t>
      </w:r>
    </w:p>
    <w:p w14:paraId="7A3371EE" w14:textId="77777777" w:rsidR="00BE0B19" w:rsidRPr="00AE47C6" w:rsidRDefault="00BE0B19" w:rsidP="00BE0B19">
      <w:pPr>
        <w:spacing w:after="0" w:line="360" w:lineRule="auto"/>
        <w:contextualSpacing/>
        <w:jc w:val="both"/>
        <w:rPr>
          <w:rFonts w:ascii="Times New Roman" w:eastAsia="SimSun" w:hAnsi="Times New Roman"/>
          <w:sz w:val="24"/>
          <w:szCs w:val="24"/>
        </w:rPr>
      </w:pPr>
    </w:p>
    <w:p w14:paraId="22A6BDCF" w14:textId="77777777" w:rsidR="00BE0B19" w:rsidRPr="00AE47C6" w:rsidRDefault="00BE0B19" w:rsidP="00BE0B19">
      <w:pPr>
        <w:spacing w:after="0" w:line="360" w:lineRule="auto"/>
        <w:contextualSpacing/>
        <w:jc w:val="both"/>
        <w:rPr>
          <w:rFonts w:ascii="Times New Roman" w:eastAsia="SimSun" w:hAnsi="Times New Roman"/>
          <w:i/>
          <w:sz w:val="24"/>
          <w:szCs w:val="24"/>
        </w:rPr>
      </w:pPr>
      <w:r w:rsidRPr="00AE47C6">
        <w:rPr>
          <w:rFonts w:ascii="Times New Roman" w:eastAsia="SimSun" w:hAnsi="Times New Roman"/>
          <w:i/>
          <w:sz w:val="24"/>
          <w:szCs w:val="24"/>
        </w:rPr>
        <w:t>Хроничен енцефалит или Енцефаломиелит в стадий ІІІ на невроборелиоза:</w:t>
      </w:r>
    </w:p>
    <w:p w14:paraId="71CC7BE6" w14:textId="77777777" w:rsidR="00BE0B19" w:rsidRPr="00AE47C6" w:rsidRDefault="00BE0B19" w:rsidP="00BE0B19">
      <w:p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Провежда се същата схема на лечение както при острия</w:t>
      </w:r>
    </w:p>
    <w:p w14:paraId="4CBA0E41" w14:textId="77777777" w:rsidR="00BE0B19" w:rsidRPr="00AE47C6" w:rsidRDefault="00BE0B19" w:rsidP="00BE0B19">
      <w:pPr>
        <w:spacing w:after="0" w:line="360" w:lineRule="auto"/>
        <w:contextualSpacing/>
        <w:jc w:val="both"/>
        <w:rPr>
          <w:rFonts w:ascii="Times New Roman" w:eastAsia="SimSun" w:hAnsi="Times New Roman"/>
          <w:i/>
          <w:sz w:val="24"/>
          <w:szCs w:val="24"/>
        </w:rPr>
      </w:pPr>
    </w:p>
    <w:p w14:paraId="18C1BC71" w14:textId="77777777" w:rsidR="00BE0B19" w:rsidRPr="00AE47C6" w:rsidRDefault="00BE0B19" w:rsidP="00BE0B19">
      <w:pPr>
        <w:spacing w:after="0" w:line="360" w:lineRule="auto"/>
        <w:contextualSpacing/>
        <w:jc w:val="both"/>
        <w:rPr>
          <w:rFonts w:ascii="Times New Roman" w:eastAsia="SimSun" w:hAnsi="Times New Roman"/>
          <w:i/>
          <w:sz w:val="24"/>
          <w:szCs w:val="24"/>
        </w:rPr>
      </w:pPr>
      <w:r w:rsidRPr="00AE47C6">
        <w:rPr>
          <w:rFonts w:ascii="Times New Roman" w:eastAsia="SimSun" w:hAnsi="Times New Roman"/>
          <w:i/>
          <w:sz w:val="24"/>
          <w:szCs w:val="24"/>
        </w:rPr>
        <w:t>Асимптомен менингит при невролуес</w:t>
      </w:r>
    </w:p>
    <w:p w14:paraId="5B66F2F2" w14:textId="77777777" w:rsidR="00BE0B19" w:rsidRPr="00AE47C6" w:rsidRDefault="00BE0B19" w:rsidP="00BE0B19">
      <w:pPr>
        <w:numPr>
          <w:ilvl w:val="0"/>
          <w:numId w:val="38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Penicillin</w:t>
      </w:r>
      <w:r w:rsidRPr="00AE47C6">
        <w:rPr>
          <w:rFonts w:ascii="Times New Roman" w:eastAsia="SimSun" w:hAnsi="Times New Roman"/>
          <w:sz w:val="24"/>
          <w:szCs w:val="24"/>
        </w:rPr>
        <w:t xml:space="preserve"> 4 х 6 000 000 i.v. в продължение на 14 дни.</w:t>
      </w:r>
    </w:p>
    <w:p w14:paraId="17831B16" w14:textId="77777777" w:rsidR="00BE0B19" w:rsidRPr="00AE47C6" w:rsidRDefault="00BE0B19" w:rsidP="00BE0B19">
      <w:pPr>
        <w:spacing w:after="0" w:line="360" w:lineRule="auto"/>
        <w:contextualSpacing/>
        <w:jc w:val="both"/>
        <w:rPr>
          <w:rFonts w:ascii="Times New Roman" w:eastAsia="SimSun" w:hAnsi="Times New Roman"/>
          <w:sz w:val="24"/>
          <w:szCs w:val="24"/>
        </w:rPr>
      </w:pPr>
    </w:p>
    <w:p w14:paraId="1BB2E76C" w14:textId="77777777" w:rsidR="00BE0B19" w:rsidRPr="00AE47C6" w:rsidRDefault="00BE0B19" w:rsidP="00BE0B19">
      <w:pPr>
        <w:spacing w:after="0" w:line="360" w:lineRule="auto"/>
        <w:contextualSpacing/>
        <w:jc w:val="both"/>
        <w:rPr>
          <w:rFonts w:ascii="Times New Roman" w:eastAsia="SimSun" w:hAnsi="Times New Roman"/>
          <w:b/>
          <w:sz w:val="24"/>
          <w:szCs w:val="24"/>
          <w:u w:val="single"/>
        </w:rPr>
      </w:pPr>
      <w:r w:rsidRPr="00AE47C6">
        <w:rPr>
          <w:rFonts w:ascii="Times New Roman" w:eastAsia="SimSun" w:hAnsi="Times New Roman"/>
          <w:b/>
          <w:sz w:val="24"/>
          <w:szCs w:val="24"/>
          <w:u w:val="single"/>
        </w:rPr>
        <w:t>Лечение на подостри и хронични микотични менингити и менингоенцефалити</w:t>
      </w:r>
    </w:p>
    <w:p w14:paraId="3964D833" w14:textId="77777777" w:rsidR="00BE0B19" w:rsidRPr="00AE47C6" w:rsidRDefault="00BE0B19" w:rsidP="00BE0B19">
      <w:pPr>
        <w:spacing w:after="0" w:line="360" w:lineRule="auto"/>
        <w:contextualSpacing/>
        <w:jc w:val="both"/>
        <w:rPr>
          <w:rFonts w:ascii="Times New Roman" w:eastAsia="SimSun" w:hAnsi="Times New Roman"/>
          <w:i/>
          <w:sz w:val="24"/>
          <w:szCs w:val="24"/>
        </w:rPr>
      </w:pPr>
      <w:r w:rsidRPr="00AE47C6">
        <w:rPr>
          <w:rFonts w:ascii="Times New Roman" w:eastAsia="SimSun" w:hAnsi="Times New Roman"/>
          <w:i/>
          <w:sz w:val="24"/>
          <w:szCs w:val="24"/>
        </w:rPr>
        <w:t>Cryptococcus neoformans менингоенцефалит</w:t>
      </w:r>
    </w:p>
    <w:p w14:paraId="6CC6FEAE" w14:textId="77777777" w:rsidR="00BE0B19" w:rsidRPr="00AE47C6" w:rsidRDefault="00BE0B19" w:rsidP="00BE0B19">
      <w:pPr>
        <w:numPr>
          <w:ilvl w:val="0"/>
          <w:numId w:val="386"/>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Amphotericin В</w:t>
      </w:r>
      <w:r w:rsidRPr="00AE47C6">
        <w:rPr>
          <w:rFonts w:ascii="Times New Roman" w:eastAsia="SimSun" w:hAnsi="Times New Roman"/>
          <w:sz w:val="24"/>
          <w:szCs w:val="24"/>
        </w:rPr>
        <w:t xml:space="preserve"> до обща доза 1500-2000 mg + flucytosine перорално 150 mg/kg дн. в 3 или 4 приема в продължение на 14-20 дни</w:t>
      </w:r>
    </w:p>
    <w:p w14:paraId="29255778" w14:textId="77777777" w:rsidR="00BE0B19" w:rsidRPr="00AE47C6" w:rsidRDefault="00BE0B19" w:rsidP="00BE0B19">
      <w:pPr>
        <w:numPr>
          <w:ilvl w:val="0"/>
          <w:numId w:val="386"/>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Amphotericin В</w:t>
      </w:r>
      <w:r w:rsidRPr="00AE47C6">
        <w:rPr>
          <w:rFonts w:ascii="Times New Roman" w:eastAsia="SimSun" w:hAnsi="Times New Roman"/>
          <w:sz w:val="24"/>
          <w:szCs w:val="24"/>
        </w:rPr>
        <w:t xml:space="preserve"> се назначава след тест-доза за поносимост от 0,2 mg/kg/24 ч. в 500 ml 5% глюкоза в инфузия за 4-6 часа, като в следващите дни дозата се увеличава с 0,2 mg/kg до 1 mg/kg/24 ч. </w:t>
      </w:r>
    </w:p>
    <w:p w14:paraId="18994C9F" w14:textId="77777777" w:rsidR="00BE0B19" w:rsidRPr="00AE47C6" w:rsidRDefault="00BE0B19" w:rsidP="00BE0B19">
      <w:pPr>
        <w:spacing w:after="0" w:line="360" w:lineRule="auto"/>
        <w:contextualSpacing/>
        <w:jc w:val="both"/>
        <w:rPr>
          <w:rFonts w:ascii="Times New Roman" w:eastAsia="SimSun" w:hAnsi="Times New Roman"/>
          <w:i/>
          <w:sz w:val="24"/>
          <w:szCs w:val="24"/>
        </w:rPr>
      </w:pPr>
    </w:p>
    <w:p w14:paraId="4C1D21D0" w14:textId="77777777" w:rsidR="00BE0B19" w:rsidRPr="00AE47C6" w:rsidRDefault="00BE0B19" w:rsidP="00BE0B19">
      <w:pPr>
        <w:spacing w:after="0" w:line="360" w:lineRule="auto"/>
        <w:contextualSpacing/>
        <w:jc w:val="both"/>
        <w:rPr>
          <w:rFonts w:ascii="Times New Roman" w:eastAsia="SimSun" w:hAnsi="Times New Roman"/>
          <w:i/>
          <w:sz w:val="24"/>
          <w:szCs w:val="24"/>
        </w:rPr>
      </w:pPr>
      <w:r w:rsidRPr="00AE47C6">
        <w:rPr>
          <w:rFonts w:ascii="Times New Roman" w:eastAsia="SimSun" w:hAnsi="Times New Roman"/>
          <w:i/>
          <w:sz w:val="24"/>
          <w:szCs w:val="24"/>
        </w:rPr>
        <w:t>Кандидозен менингоенцефалит</w:t>
      </w:r>
    </w:p>
    <w:p w14:paraId="14A70F4B" w14:textId="77777777" w:rsidR="00BE0B19" w:rsidRPr="00AE47C6" w:rsidRDefault="00BE0B19" w:rsidP="00BE0B19">
      <w:pPr>
        <w:numPr>
          <w:ilvl w:val="0"/>
          <w:numId w:val="387"/>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имунокомпетентни болни: Amphotericin В</w:t>
      </w:r>
      <w:r w:rsidRPr="00AE47C6">
        <w:rPr>
          <w:rFonts w:ascii="Times New Roman" w:eastAsia="SimSun" w:hAnsi="Times New Roman"/>
          <w:sz w:val="24"/>
          <w:szCs w:val="24"/>
        </w:rPr>
        <w:t xml:space="preserve"> + flucytosine както при криптококов менингит. </w:t>
      </w:r>
    </w:p>
    <w:p w14:paraId="680264D8" w14:textId="77777777" w:rsidR="00BE0B19" w:rsidRPr="00AE47C6" w:rsidRDefault="00BE0B19" w:rsidP="00BE0B19">
      <w:pPr>
        <w:numPr>
          <w:ilvl w:val="0"/>
          <w:numId w:val="387"/>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 xml:space="preserve">Имунокомпрометирани болни: fluconazol </w:t>
      </w:r>
      <w:r w:rsidRPr="00AE47C6">
        <w:rPr>
          <w:rFonts w:ascii="Times New Roman" w:eastAsia="SimSun" w:hAnsi="Times New Roman"/>
          <w:sz w:val="24"/>
          <w:szCs w:val="24"/>
        </w:rPr>
        <w:t>в начална доза 400 mg дн. в продължение на 8 дни.</w:t>
      </w:r>
    </w:p>
    <w:p w14:paraId="3EE39FF0" w14:textId="77777777" w:rsidR="00BE0B19" w:rsidRPr="00AE47C6" w:rsidRDefault="00BE0B19" w:rsidP="00BE0B19">
      <w:pPr>
        <w:numPr>
          <w:ilvl w:val="0"/>
          <w:numId w:val="387"/>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Amphotericin В</w:t>
      </w:r>
      <w:r w:rsidRPr="00AE47C6">
        <w:rPr>
          <w:rFonts w:ascii="Times New Roman" w:eastAsia="SimSun" w:hAnsi="Times New Roman"/>
          <w:sz w:val="24"/>
          <w:szCs w:val="24"/>
        </w:rPr>
        <w:t xml:space="preserve"> + flucytosine, както при криптококовия менингоенцефалит.</w:t>
      </w:r>
    </w:p>
    <w:p w14:paraId="3D7BA27D"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b/>
          <w:sz w:val="24"/>
          <w:szCs w:val="24"/>
          <w:u w:val="single"/>
        </w:rPr>
        <w:t>Лечение на подострите и хронични паразитни менингоенцефалити</w:t>
      </w:r>
    </w:p>
    <w:p w14:paraId="4B156941"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i/>
          <w:sz w:val="24"/>
          <w:szCs w:val="24"/>
        </w:rPr>
        <w:t>Цистицеркозен менингоенцефалит</w:t>
      </w:r>
    </w:p>
    <w:p w14:paraId="0F73C645" w14:textId="77777777" w:rsidR="00BE0B19" w:rsidRPr="00AE47C6" w:rsidRDefault="00BE0B19" w:rsidP="00BE0B19">
      <w:pPr>
        <w:numPr>
          <w:ilvl w:val="0"/>
          <w:numId w:val="38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iCs/>
          <w:sz w:val="24"/>
          <w:szCs w:val="24"/>
        </w:rPr>
        <w:t>P</w:t>
      </w:r>
      <w:r w:rsidRPr="00AE47C6">
        <w:rPr>
          <w:rFonts w:ascii="Times New Roman" w:eastAsia="SimSun" w:hAnsi="Times New Roman"/>
          <w:i/>
          <w:sz w:val="24"/>
          <w:szCs w:val="24"/>
        </w:rPr>
        <w:t xml:space="preserve">raziquantel l50 </w:t>
      </w:r>
      <w:r w:rsidRPr="00AE47C6">
        <w:rPr>
          <w:rFonts w:ascii="Times New Roman" w:eastAsia="SimSun" w:hAnsi="Times New Roman"/>
          <w:sz w:val="24"/>
          <w:szCs w:val="24"/>
        </w:rPr>
        <w:t>mg/kg/  24 ч. дн.15-30 дни.</w:t>
      </w:r>
    </w:p>
    <w:p w14:paraId="678A0EDE" w14:textId="77777777" w:rsidR="00BE0B19" w:rsidRPr="00AE47C6" w:rsidRDefault="00BE0B19" w:rsidP="00BE0B19">
      <w:pPr>
        <w:spacing w:after="0" w:line="360" w:lineRule="auto"/>
        <w:ind w:left="-360"/>
        <w:jc w:val="both"/>
        <w:rPr>
          <w:rFonts w:ascii="Times New Roman" w:eastAsia="SimSun" w:hAnsi="Times New Roman"/>
          <w:i/>
          <w:sz w:val="24"/>
          <w:szCs w:val="24"/>
        </w:rPr>
      </w:pPr>
      <w:r w:rsidRPr="00AE47C6">
        <w:rPr>
          <w:rFonts w:ascii="Times New Roman" w:eastAsia="SimSun" w:hAnsi="Times New Roman"/>
          <w:i/>
          <w:sz w:val="24"/>
          <w:szCs w:val="24"/>
        </w:rPr>
        <w:t>Токсоплазмен менингоенцефалит</w:t>
      </w:r>
    </w:p>
    <w:p w14:paraId="366957A1" w14:textId="77777777" w:rsidR="00BE0B19" w:rsidRPr="00AE47C6" w:rsidRDefault="00BE0B19" w:rsidP="00BE0B19">
      <w:pPr>
        <w:numPr>
          <w:ilvl w:val="0"/>
          <w:numId w:val="388"/>
        </w:numPr>
        <w:spacing w:after="0" w:line="360" w:lineRule="auto"/>
        <w:contextualSpacing/>
        <w:jc w:val="both"/>
        <w:rPr>
          <w:rFonts w:ascii="Times New Roman" w:eastAsia="SimSun" w:hAnsi="Times New Roman"/>
          <w:i/>
          <w:sz w:val="24"/>
          <w:szCs w:val="24"/>
        </w:rPr>
      </w:pPr>
      <w:r w:rsidRPr="00AE47C6">
        <w:rPr>
          <w:rFonts w:ascii="Times New Roman" w:eastAsia="SimSun" w:hAnsi="Times New Roman"/>
          <w:i/>
          <w:sz w:val="24"/>
          <w:szCs w:val="24"/>
        </w:rPr>
        <w:t xml:space="preserve">Spiramicine </w:t>
      </w:r>
      <w:r w:rsidRPr="00AE47C6">
        <w:rPr>
          <w:rFonts w:ascii="Times New Roman" w:eastAsia="SimSun" w:hAnsi="Times New Roman"/>
          <w:sz w:val="24"/>
          <w:szCs w:val="24"/>
        </w:rPr>
        <w:t>3 g и комбинацията pyrimethamine 25 mg и sulfadiazine 2-4 mg дневно за 3-4 седмици.</w:t>
      </w:r>
    </w:p>
    <w:p w14:paraId="0253946F"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91" w:name="_Toc155651744"/>
      <w:bookmarkStart w:id="92" w:name="_Toc164075876"/>
      <w:r w:rsidRPr="00AE47C6">
        <w:rPr>
          <w:rFonts w:ascii="Times New Roman" w:eastAsia="SimSun" w:hAnsi="Times New Roman"/>
          <w:b/>
          <w:sz w:val="24"/>
          <w:szCs w:val="24"/>
        </w:rPr>
        <w:t>4. 3. Автоимунни енцефалити</w:t>
      </w:r>
      <w:bookmarkEnd w:id="91"/>
      <w:bookmarkEnd w:id="92"/>
    </w:p>
    <w:p w14:paraId="5B720ABD"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Етиология и патогенеза. </w:t>
      </w:r>
      <w:r w:rsidRPr="00AE47C6">
        <w:rPr>
          <w:rFonts w:ascii="Times New Roman" w:eastAsia="SimSun" w:hAnsi="Times New Roman"/>
          <w:sz w:val="24"/>
          <w:szCs w:val="24"/>
        </w:rPr>
        <w:t xml:space="preserve">Автоимунните енцефалити, описани през 1968 г. като „паранеопластични неврологични синдроми” са типизирани през последните 10 г., като към 2017 г. са описани 22 автоантитела към невронни и глиални клетъчни структури в нервната система. Те се различават от острите енцефалити етиопатогенетично и клинично. Според етиологията се разделят на идиопатични, постинфекциозни (вирусни, бактериални), паранеопластични и с вероятна генетична предиспозиция. Патогенетично е налице автоимунно блокиране в ЦНС на антигени основно на волтажно-зависими йонни канали или рецептори на пресинаптично или постсинаптично ниво от антиневронални или антиглиални антитела при паранеопластични, а в детската възраст по-често при непаранеопластични неврологични синдроми. </w:t>
      </w:r>
      <w:r w:rsidRPr="00AE47C6">
        <w:rPr>
          <w:rFonts w:ascii="Times New Roman" w:eastAsia="SimSun" w:hAnsi="Times New Roman"/>
          <w:b/>
          <w:i/>
          <w:sz w:val="24"/>
          <w:szCs w:val="24"/>
        </w:rPr>
        <w:t xml:space="preserve">Антиневронните антитела </w:t>
      </w:r>
      <w:r w:rsidRPr="00AE47C6">
        <w:rPr>
          <w:rFonts w:ascii="Times New Roman" w:eastAsia="SimSun" w:hAnsi="Times New Roman"/>
          <w:sz w:val="24"/>
          <w:szCs w:val="24"/>
        </w:rPr>
        <w:t xml:space="preserve">са насочени към </w:t>
      </w:r>
      <w:r w:rsidRPr="00AE47C6">
        <w:rPr>
          <w:rFonts w:ascii="Times New Roman" w:eastAsia="SimSun" w:hAnsi="Times New Roman"/>
          <w:b/>
          <w:i/>
          <w:sz w:val="24"/>
          <w:szCs w:val="24"/>
        </w:rPr>
        <w:t xml:space="preserve">интрацелуларни протеини: </w:t>
      </w:r>
      <w:r w:rsidRPr="00AE47C6">
        <w:rPr>
          <w:rFonts w:ascii="Times New Roman" w:eastAsia="SimSun" w:hAnsi="Times New Roman"/>
          <w:sz w:val="24"/>
          <w:szCs w:val="24"/>
        </w:rPr>
        <w:t xml:space="preserve">анти-Hu, анти-Mu, анти-глутамат декарбоксилазни (GAD 65), или протеини от клетъчната повърхност или синапсите </w:t>
      </w:r>
      <w:r w:rsidRPr="00AE47C6">
        <w:rPr>
          <w:rFonts w:ascii="Times New Roman" w:eastAsia="SimSun" w:hAnsi="Times New Roman"/>
          <w:b/>
          <w:i/>
          <w:sz w:val="24"/>
          <w:szCs w:val="24"/>
        </w:rPr>
        <w:t xml:space="preserve">антисинаптични: </w:t>
      </w:r>
      <w:r w:rsidRPr="00AE47C6">
        <w:rPr>
          <w:rFonts w:ascii="Times New Roman" w:eastAsia="SimSun" w:hAnsi="Times New Roman"/>
          <w:bCs/>
          <w:sz w:val="24"/>
          <w:szCs w:val="24"/>
        </w:rPr>
        <w:t xml:space="preserve">N-methyl D-aspartat рецепторни (анти-NMDAR), </w:t>
      </w:r>
      <w:r w:rsidRPr="00AE47C6">
        <w:rPr>
          <w:rFonts w:ascii="Times New Roman" w:eastAsia="SimSun" w:hAnsi="Times New Roman"/>
          <w:sz w:val="24"/>
          <w:szCs w:val="24"/>
        </w:rPr>
        <w:t>AMPA рецепторни</w:t>
      </w:r>
      <w:r w:rsidRPr="00AE47C6">
        <w:rPr>
          <w:rFonts w:ascii="Times New Roman" w:eastAsia="SimSun" w:hAnsi="Times New Roman"/>
          <w:bCs/>
          <w:sz w:val="24"/>
          <w:szCs w:val="24"/>
        </w:rPr>
        <w:t xml:space="preserve">, </w:t>
      </w:r>
      <w:r w:rsidRPr="00AE47C6">
        <w:rPr>
          <w:rFonts w:ascii="Times New Roman" w:eastAsia="SimSun" w:hAnsi="Times New Roman"/>
          <w:sz w:val="24"/>
          <w:szCs w:val="24"/>
        </w:rPr>
        <w:t>анти-GABA</w:t>
      </w:r>
      <w:r w:rsidRPr="00AE47C6">
        <w:rPr>
          <w:rFonts w:ascii="Times New Roman" w:eastAsia="SimSun" w:hAnsi="Times New Roman"/>
          <w:sz w:val="24"/>
          <w:szCs w:val="24"/>
          <w:vertAlign w:val="subscript"/>
        </w:rPr>
        <w:t xml:space="preserve">В </w:t>
      </w:r>
      <w:r w:rsidRPr="00AE47C6">
        <w:rPr>
          <w:rFonts w:ascii="Times New Roman" w:eastAsia="SimSun" w:hAnsi="Times New Roman"/>
          <w:sz w:val="24"/>
          <w:szCs w:val="24"/>
        </w:rPr>
        <w:t>рецепторни</w:t>
      </w:r>
      <w:r w:rsidRPr="00AE47C6">
        <w:rPr>
          <w:rFonts w:ascii="Times New Roman" w:eastAsia="SimSun" w:hAnsi="Times New Roman"/>
          <w:bCs/>
          <w:sz w:val="24"/>
          <w:szCs w:val="24"/>
        </w:rPr>
        <w:t xml:space="preserve">, </w:t>
      </w:r>
      <w:r w:rsidRPr="00AE47C6">
        <w:rPr>
          <w:rFonts w:ascii="Times New Roman" w:eastAsia="SimSun" w:hAnsi="Times New Roman"/>
          <w:sz w:val="24"/>
          <w:szCs w:val="24"/>
        </w:rPr>
        <w:t>анти-GABA</w:t>
      </w:r>
      <w:r w:rsidRPr="00AE47C6">
        <w:rPr>
          <w:rFonts w:ascii="Times New Roman" w:eastAsia="SimSun" w:hAnsi="Times New Roman"/>
          <w:sz w:val="24"/>
          <w:szCs w:val="24"/>
          <w:vertAlign w:val="subscript"/>
        </w:rPr>
        <w:t xml:space="preserve">А </w:t>
      </w:r>
      <w:r w:rsidRPr="00AE47C6">
        <w:rPr>
          <w:rFonts w:ascii="Times New Roman" w:eastAsia="SimSun" w:hAnsi="Times New Roman"/>
          <w:sz w:val="24"/>
          <w:szCs w:val="24"/>
        </w:rPr>
        <w:t>рецепторни</w:t>
      </w:r>
      <w:r w:rsidRPr="00AE47C6">
        <w:rPr>
          <w:rFonts w:ascii="Times New Roman" w:eastAsia="SimSun" w:hAnsi="Times New Roman"/>
          <w:bCs/>
          <w:sz w:val="24"/>
          <w:szCs w:val="24"/>
        </w:rPr>
        <w:t xml:space="preserve">, </w:t>
      </w:r>
      <w:r w:rsidRPr="00AE47C6">
        <w:rPr>
          <w:rFonts w:ascii="Times New Roman" w:eastAsia="SimSun" w:hAnsi="Times New Roman"/>
          <w:sz w:val="24"/>
          <w:szCs w:val="24"/>
        </w:rPr>
        <w:t>анти-глутаматни (mGLU5)</w:t>
      </w:r>
      <w:r w:rsidRPr="00AE47C6">
        <w:rPr>
          <w:rFonts w:ascii="Times New Roman" w:eastAsia="SimSun" w:hAnsi="Times New Roman"/>
          <w:bCs/>
          <w:sz w:val="24"/>
          <w:szCs w:val="24"/>
        </w:rPr>
        <w:t xml:space="preserve">, </w:t>
      </w:r>
      <w:r w:rsidRPr="00AE47C6">
        <w:rPr>
          <w:rFonts w:ascii="Times New Roman" w:eastAsia="SimSun" w:hAnsi="Times New Roman"/>
          <w:sz w:val="24"/>
          <w:szCs w:val="24"/>
        </w:rPr>
        <w:t xml:space="preserve">анти-допамин 2 -рецепторни (анти-D2), </w:t>
      </w:r>
      <w:r w:rsidRPr="00AE47C6">
        <w:rPr>
          <w:rFonts w:ascii="Times New Roman" w:eastAsia="SimSun" w:hAnsi="Times New Roman"/>
          <w:b/>
          <w:i/>
          <w:sz w:val="24"/>
          <w:szCs w:val="24"/>
        </w:rPr>
        <w:t xml:space="preserve">срещу канали и мембранно-свързани: </w:t>
      </w:r>
      <w:r w:rsidRPr="00AE47C6">
        <w:rPr>
          <w:rFonts w:ascii="Times New Roman" w:eastAsia="SimSun" w:hAnsi="Times New Roman"/>
          <w:sz w:val="24"/>
          <w:szCs w:val="24"/>
        </w:rPr>
        <w:t>anti-leucine-rich glioma inactivated 1 (LGI1) или калиево-йонни канални антитела (VGKC), контактин асоцииран протеин 2</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CASPR2), дипептидил пептидаза-подобен протеин-6 (DPРX), анти-миелин олигодендроцитен гликопротеин (анти-MOG), анти-aquapurin 4 (анти-</w:t>
      </w:r>
      <w:r w:rsidRPr="00AE47C6">
        <w:rPr>
          <w:rFonts w:ascii="Times New Roman" w:eastAsia="SimSun" w:hAnsi="Times New Roman"/>
          <w:bCs/>
          <w:sz w:val="24"/>
          <w:szCs w:val="24"/>
        </w:rPr>
        <w:t>AQP4</w:t>
      </w:r>
      <w:r w:rsidRPr="00AE47C6">
        <w:rPr>
          <w:rFonts w:ascii="Times New Roman" w:eastAsia="SimSun" w:hAnsi="Times New Roman"/>
          <w:b/>
          <w:bCs/>
          <w:sz w:val="24"/>
          <w:szCs w:val="24"/>
        </w:rPr>
        <w:t>)</w:t>
      </w:r>
      <w:r w:rsidRPr="00AE47C6">
        <w:rPr>
          <w:rFonts w:ascii="Times New Roman" w:eastAsia="SimSun" w:hAnsi="Times New Roman"/>
          <w:sz w:val="24"/>
          <w:szCs w:val="24"/>
        </w:rPr>
        <w:t xml:space="preserve">, анти-GQ1l, </w:t>
      </w:r>
      <w:r w:rsidRPr="00AE47C6">
        <w:rPr>
          <w:rFonts w:ascii="Times New Roman" w:eastAsia="SimSun" w:hAnsi="Times New Roman"/>
          <w:bCs/>
          <w:sz w:val="24"/>
          <w:szCs w:val="24"/>
        </w:rPr>
        <w:t>анти-глицин рецепторни антитела</w:t>
      </w:r>
      <w:r w:rsidRPr="00AE47C6">
        <w:rPr>
          <w:rFonts w:ascii="Times New Roman" w:eastAsia="SimSun" w:hAnsi="Times New Roman"/>
          <w:sz w:val="24"/>
          <w:szCs w:val="24"/>
        </w:rPr>
        <w:t xml:space="preserve"> (Анти-GlyR α1).</w:t>
      </w:r>
    </w:p>
    <w:p w14:paraId="4112D924"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Най-често автоантителата са насочени към </w:t>
      </w:r>
      <w:r w:rsidRPr="00AE47C6">
        <w:rPr>
          <w:rFonts w:ascii="Times New Roman" w:eastAsia="SimSun" w:hAnsi="Times New Roman"/>
          <w:b/>
          <w:sz w:val="24"/>
          <w:szCs w:val="24"/>
        </w:rPr>
        <w:t xml:space="preserve">клетъчно повърхностни и синаптични протеини </w:t>
      </w:r>
      <w:r w:rsidRPr="00AE47C6">
        <w:rPr>
          <w:rFonts w:ascii="Times New Roman" w:eastAsia="SimSun" w:hAnsi="Times New Roman"/>
          <w:sz w:val="24"/>
          <w:szCs w:val="24"/>
        </w:rPr>
        <w:t>с основна критична роля в синаптичната трансмисия и пластичност, каквито са NMDA рецепторите, AMPA рецепторите, GABA</w:t>
      </w:r>
      <w:r w:rsidRPr="00AE47C6">
        <w:rPr>
          <w:rFonts w:ascii="Times New Roman" w:eastAsia="SimSun" w:hAnsi="Times New Roman"/>
          <w:sz w:val="24"/>
          <w:szCs w:val="24"/>
          <w:vertAlign w:val="subscript"/>
        </w:rPr>
        <w:t xml:space="preserve">B </w:t>
      </w:r>
      <w:r w:rsidRPr="00AE47C6">
        <w:rPr>
          <w:rFonts w:ascii="Times New Roman" w:eastAsia="SimSun" w:hAnsi="Times New Roman"/>
          <w:sz w:val="24"/>
          <w:szCs w:val="24"/>
        </w:rPr>
        <w:t xml:space="preserve">и глициновите рецептори. Патогенетично намаляването </w:t>
      </w:r>
      <w:r w:rsidRPr="00AE47C6">
        <w:rPr>
          <w:rFonts w:ascii="Times New Roman" w:eastAsia="SimSun" w:hAnsi="Times New Roman"/>
          <w:sz w:val="24"/>
          <w:szCs w:val="24"/>
          <w:shd w:val="clear" w:color="auto" w:fill="FFFFFF"/>
        </w:rPr>
        <w:t xml:space="preserve">NMDA рецепторите в инхибиторните GABA-ергични неврони и глутаминергичните синапси причинява различни нива на дезинхибиция на възбудните пътища и екстрацелуларния глутамат с изява на фронто-стриарни синдроми (психози, кататония, мутизъм, ригидност и дистония), а дезинхибицията на мозъчностволовите структури води до неволеви движения, дизкинезии и нарушения на медуло-понтинните дихателни структури с дихателна дисфункция. </w:t>
      </w:r>
      <w:r w:rsidRPr="00AE47C6">
        <w:rPr>
          <w:rFonts w:ascii="Times New Roman" w:eastAsia="SimSun" w:hAnsi="Times New Roman"/>
          <w:sz w:val="24"/>
          <w:szCs w:val="24"/>
        </w:rPr>
        <w:t>Автоантителата към LGI1 (</w:t>
      </w:r>
      <w:r w:rsidRPr="00AE47C6">
        <w:rPr>
          <w:rFonts w:ascii="Times New Roman" w:eastAsia="SimSun" w:hAnsi="Times New Roman"/>
          <w:bCs/>
          <w:sz w:val="24"/>
          <w:szCs w:val="24"/>
        </w:rPr>
        <w:t>VGKC</w:t>
      </w:r>
      <w:r w:rsidRPr="00AE47C6">
        <w:rPr>
          <w:rFonts w:ascii="Times New Roman" w:eastAsia="SimSun" w:hAnsi="Times New Roman"/>
          <w:sz w:val="24"/>
          <w:szCs w:val="24"/>
        </w:rPr>
        <w:t>) и CASPR2, които са част от транссинаптичен комплекс и невронни адхезионни молекули, увреждат настройването на синаптичната трансмисия и нервната възбудимост.</w:t>
      </w:r>
    </w:p>
    <w:p w14:paraId="0B211AD0"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sz w:val="24"/>
          <w:szCs w:val="24"/>
        </w:rPr>
      </w:pPr>
      <w:r w:rsidRPr="00AE47C6">
        <w:rPr>
          <w:rFonts w:ascii="Times New Roman" w:eastAsia="SimSun" w:hAnsi="Times New Roman"/>
          <w:bCs/>
          <w:sz w:val="24"/>
          <w:szCs w:val="24"/>
        </w:rPr>
        <w:t xml:space="preserve">Автоимунните енцефалити с антитела срещу </w:t>
      </w:r>
      <w:r w:rsidRPr="00AE47C6">
        <w:rPr>
          <w:rFonts w:ascii="Times New Roman" w:eastAsia="SimSun" w:hAnsi="Times New Roman"/>
          <w:b/>
          <w:bCs/>
          <w:sz w:val="24"/>
          <w:szCs w:val="24"/>
        </w:rPr>
        <w:t>интрацелуларни антигени</w:t>
      </w:r>
      <w:r w:rsidRPr="00AE47C6">
        <w:rPr>
          <w:rFonts w:ascii="Times New Roman" w:eastAsia="SimSun" w:hAnsi="Times New Roman"/>
          <w:bCs/>
          <w:sz w:val="24"/>
          <w:szCs w:val="24"/>
        </w:rPr>
        <w:t xml:space="preserve"> са паранеопластични и се срещат в средната или старческата възраст – антитела към Hu, Ma2, Ri, CRMP5 и amphiphysin, като при около 70% от случаите диагностицирането им предшества диагностицирането на тумора. В тези случаи се установява лимбичен енцефалит или енцефаломиелит, а пациенти с анти- Hu антитела развиват коров енцефалит и </w:t>
      </w:r>
      <w:r w:rsidRPr="00AE47C6">
        <w:rPr>
          <w:rFonts w:ascii="Times New Roman" w:eastAsia="SimSun" w:hAnsi="Times New Roman"/>
          <w:bCs/>
          <w:iCs/>
          <w:sz w:val="24"/>
          <w:szCs w:val="24"/>
        </w:rPr>
        <w:t>epilepsia partialis continua</w:t>
      </w:r>
      <w:r w:rsidRPr="00AE47C6">
        <w:rPr>
          <w:rFonts w:ascii="Times New Roman" w:eastAsia="SimSun" w:hAnsi="Times New Roman"/>
          <w:bCs/>
          <w:sz w:val="24"/>
          <w:szCs w:val="24"/>
        </w:rPr>
        <w:t xml:space="preserve">. Пациенти с анти-Ma2 антитела развиват предимно мозъчно-стволови симптоми с погледна и лицева пареза. </w:t>
      </w:r>
      <w:r w:rsidRPr="00AE47C6">
        <w:rPr>
          <w:rFonts w:ascii="Times New Roman" w:eastAsia="SimSun" w:hAnsi="Times New Roman"/>
          <w:sz w:val="24"/>
          <w:szCs w:val="24"/>
        </w:rPr>
        <w:t>Пациенти с лимбичен енцефалит, със или без епилептични припадъци могат да имат анти - GAD 65 антитела, които рядко са при тумори, но са асоциирани и с малкомозъчна дегенерация, stiff-person syndrome, диабет I тип, пернициозна анемия. GAD65 антителата могат да са налични заедно с други антитела като AMPAR, GABA</w:t>
      </w:r>
      <w:r w:rsidRPr="00AE47C6">
        <w:rPr>
          <w:rFonts w:ascii="Times New Roman" w:eastAsia="SimSun" w:hAnsi="Times New Roman"/>
          <w:sz w:val="24"/>
          <w:szCs w:val="24"/>
          <w:vertAlign w:val="subscript"/>
        </w:rPr>
        <w:t>B</w:t>
      </w:r>
      <w:r w:rsidRPr="00AE47C6">
        <w:rPr>
          <w:rFonts w:ascii="Times New Roman" w:eastAsia="SimSun" w:hAnsi="Times New Roman"/>
          <w:sz w:val="24"/>
          <w:szCs w:val="24"/>
        </w:rPr>
        <w:t>R или GABA</w:t>
      </w:r>
      <w:r w:rsidRPr="00AE47C6">
        <w:rPr>
          <w:rFonts w:ascii="Times New Roman" w:eastAsia="SimSun" w:hAnsi="Times New Roman"/>
          <w:sz w:val="24"/>
          <w:szCs w:val="24"/>
          <w:vertAlign w:val="subscript"/>
        </w:rPr>
        <w:t>A</w:t>
      </w:r>
      <w:r w:rsidRPr="00AE47C6">
        <w:rPr>
          <w:rFonts w:ascii="Times New Roman" w:eastAsia="SimSun" w:hAnsi="Times New Roman"/>
          <w:sz w:val="24"/>
          <w:szCs w:val="24"/>
        </w:rPr>
        <w:t>R, поради което всички пациенти с енцефалит или припадъци с анти GAD65 антитела трябва да се изследват и за други антитела към клетъчно-повърхностни протеини.</w:t>
      </w:r>
    </w:p>
    <w:p w14:paraId="100E6426"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sz w:val="24"/>
          <w:szCs w:val="24"/>
        </w:rPr>
        <w:t xml:space="preserve">Клиника. </w:t>
      </w:r>
      <w:r w:rsidRPr="00AE47C6">
        <w:rPr>
          <w:rFonts w:ascii="Times New Roman" w:eastAsia="SimSun" w:hAnsi="Times New Roman"/>
          <w:sz w:val="24"/>
          <w:szCs w:val="24"/>
        </w:rPr>
        <w:t xml:space="preserve">Автоимунните енцефалити клинично протичат монофазно, мултифазно или най-често с хронично прогресиращо. Характерна е </w:t>
      </w:r>
      <w:r w:rsidRPr="00AE47C6">
        <w:rPr>
          <w:rFonts w:ascii="Times New Roman" w:eastAsia="SimSun" w:hAnsi="Times New Roman"/>
          <w:i/>
          <w:sz w:val="24"/>
          <w:szCs w:val="24"/>
        </w:rPr>
        <w:t>комбинация от неврологични и психиатрични синдроми</w:t>
      </w:r>
      <w:r w:rsidRPr="00AE47C6">
        <w:rPr>
          <w:rFonts w:ascii="Times New Roman" w:eastAsia="SimSun" w:hAnsi="Times New Roman"/>
          <w:sz w:val="24"/>
          <w:szCs w:val="24"/>
        </w:rPr>
        <w:t xml:space="preserve">: разстройства на съня (летаргия, инверсия на съня), когнитивни нарушения, амнезия, много често с епилепсии с терапевтична резистентност, миоклонии, миокимия, мутизъм, екстрапирамидни синдроми (паркинсонизъм, окулогирни кризи, хорея, дистонии и дискинезии), атаксия; кататония, промени в настроението и в поведението, обсесии и компулсии, анорексия или булимия, тревожност, депресии, психози </w:t>
      </w:r>
      <w:r w:rsidRPr="00AE47C6">
        <w:rPr>
          <w:rFonts w:ascii="Times New Roman" w:eastAsia="SimSun" w:hAnsi="Times New Roman"/>
          <w:bCs/>
          <w:sz w:val="24"/>
          <w:szCs w:val="24"/>
        </w:rPr>
        <w:t xml:space="preserve">(таблици 4.10 и 4.11.).  </w:t>
      </w:r>
      <w:r w:rsidRPr="00AE47C6">
        <w:rPr>
          <w:rFonts w:ascii="Times New Roman" w:eastAsia="SimSun" w:hAnsi="Times New Roman"/>
          <w:sz w:val="24"/>
          <w:szCs w:val="24"/>
        </w:rPr>
        <w:t xml:space="preserve">Диагностицират се чрез доказване на антитела в ликвора и серума, в част от случаите и </w:t>
      </w:r>
      <w:r w:rsidRPr="00AE47C6">
        <w:rPr>
          <w:rFonts w:ascii="Times New Roman" w:eastAsia="SimSun" w:hAnsi="Times New Roman"/>
          <w:bCs/>
          <w:sz w:val="24"/>
          <w:szCs w:val="24"/>
        </w:rPr>
        <w:t xml:space="preserve">ликворна плеоцитоза или олигоклоналност. </w:t>
      </w:r>
      <w:r w:rsidRPr="00AE47C6">
        <w:rPr>
          <w:rFonts w:ascii="Times New Roman" w:eastAsia="SimSun" w:hAnsi="Times New Roman"/>
          <w:sz w:val="24"/>
          <w:szCs w:val="24"/>
        </w:rPr>
        <w:t>В някои случаи при МРТ изследване се виждат фокални лезии в главния и/или в гръбначния мозък. Диагнозата на автоимунните енцефалити е трудна тъй като при 14% не се доказват антитела, в зависимост от вида, от стадия на заболяването и от изследващата лаборатория, а не винаги се установяват МРТ лезии в главния и гръбначен мозък.</w:t>
      </w:r>
    </w:p>
    <w:p w14:paraId="1324BD54"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Клиничната картина на „лимбичен енцефалит” може да се дължи на различни антитела, а едно антитяло може да предизвика различни неврологични синдроми. Примери за това са анти-GAD антителата, които освен паранеопластичен и непаранеопластичен лимбичен енцефалит предизвикват и stiff-person syndrome (SPS) и вариантите му, вкл. прогресиращ енцефаломиелит с ригидност и миоклонус (PERM), хиперекплексия, парциална епилепсия, церебеларна атаксия; анти-GlyR α1 антителата причиняват SPS и вариантите му, PERM и хиперекплексия. При един болен могат да се открият няколко типа антитела, а е възможно и припокриване на клиника на анти-NMDAR енцефалит с демиелинизиращи заболявания с анти-</w:t>
      </w:r>
      <w:r w:rsidRPr="00AE47C6">
        <w:rPr>
          <w:rFonts w:ascii="Times New Roman" w:eastAsia="ScalaLancetPro" w:hAnsi="Times New Roman"/>
          <w:sz w:val="24"/>
          <w:szCs w:val="24"/>
        </w:rPr>
        <w:t xml:space="preserve">AQP4 и анти-MOG </w:t>
      </w:r>
      <w:r w:rsidRPr="00AE47C6">
        <w:rPr>
          <w:rFonts w:ascii="Times New Roman" w:eastAsia="SimSun" w:hAnsi="Times New Roman"/>
          <w:bCs/>
          <w:sz w:val="24"/>
          <w:szCs w:val="24"/>
        </w:rPr>
        <w:t xml:space="preserve">антитела. </w:t>
      </w:r>
    </w:p>
    <w:p w14:paraId="038009D9"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 xml:space="preserve">Таблица 4.10. Антигени и клинична характеристика на автоимунните енцефалити </w:t>
      </w:r>
    </w:p>
    <w:tbl>
      <w:tblPr>
        <w:tblW w:w="9072" w:type="dxa"/>
        <w:tblLayout w:type="fixed"/>
        <w:tblCellMar>
          <w:left w:w="0" w:type="dxa"/>
          <w:right w:w="0" w:type="dxa"/>
        </w:tblCellMar>
        <w:tblLook w:val="04A0" w:firstRow="1" w:lastRow="0" w:firstColumn="1" w:lastColumn="0" w:noHBand="0" w:noVBand="1"/>
      </w:tblPr>
      <w:tblGrid>
        <w:gridCol w:w="1368"/>
        <w:gridCol w:w="3359"/>
        <w:gridCol w:w="1122"/>
        <w:gridCol w:w="1262"/>
        <w:gridCol w:w="1961"/>
      </w:tblGrid>
      <w:tr w:rsidR="00BE0B19" w:rsidRPr="00AE47C6" w14:paraId="426F1229" w14:textId="77777777" w:rsidTr="00AD72E5">
        <w:trPr>
          <w:trHeight w:val="263"/>
        </w:trPr>
        <w:tc>
          <w:tcPr>
            <w:tcW w:w="138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62068480"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
                <w:bCs/>
                <w:sz w:val="24"/>
                <w:szCs w:val="24"/>
              </w:rPr>
              <w:t>Антигени</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2F1604F5"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
                <w:bCs/>
                <w:sz w:val="24"/>
                <w:szCs w:val="24"/>
              </w:rPr>
              <w:t xml:space="preserve">Клинични особености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7AC8F867"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
                <w:bCs/>
                <w:sz w:val="24"/>
                <w:szCs w:val="24"/>
              </w:rPr>
              <w:t>Възраст (г.)</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0AEE799D"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Пол(ж:м) </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9BC289D"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
                <w:bCs/>
                <w:sz w:val="24"/>
                <w:szCs w:val="24"/>
              </w:rPr>
              <w:t>Тумор/ честота</w:t>
            </w:r>
          </w:p>
        </w:tc>
      </w:tr>
      <w:tr w:rsidR="00BE0B19" w:rsidRPr="00AE47C6" w14:paraId="3CB3E10A" w14:textId="77777777" w:rsidTr="00AD72E5">
        <w:trPr>
          <w:trHeight w:val="1142"/>
        </w:trPr>
        <w:tc>
          <w:tcPr>
            <w:tcW w:w="138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3A1883F0"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
                <w:bCs/>
                <w:sz w:val="24"/>
                <w:szCs w:val="24"/>
              </w:rPr>
              <w:t xml:space="preserve">NMDA R </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598A6E3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Продромален синдром; Психиатрични с-ми, гърчове амнезия, екстрапирамиден синдром, автономно разстройство с хиповентилация</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2EB43B7B"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0.6–85 (ср.21)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535ABA4B"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4:1 </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AA9BC91"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Възрастово зависими овариални тератоми-10–50%</w:t>
            </w:r>
          </w:p>
        </w:tc>
      </w:tr>
      <w:tr w:rsidR="00BE0B19" w:rsidRPr="00AE47C6" w14:paraId="4A6AEE91" w14:textId="77777777" w:rsidTr="00AD72E5">
        <w:trPr>
          <w:trHeight w:val="644"/>
        </w:trPr>
        <w:tc>
          <w:tcPr>
            <w:tcW w:w="138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5BCD18B8"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
                <w:bCs/>
                <w:sz w:val="24"/>
                <w:szCs w:val="24"/>
              </w:rPr>
              <w:t xml:space="preserve">LGI1 </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663A2DB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Лимбичен енцефалит, епилептични припадъци</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60F9EF99"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30–80 (ср.60)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6F699A0B"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1:2 </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147938E"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Тимом, тиреоиден,</w:t>
            </w:r>
          </w:p>
          <w:p w14:paraId="71F4764A"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белодробен, бъбречен-под 10%</w:t>
            </w:r>
          </w:p>
        </w:tc>
      </w:tr>
      <w:tr w:rsidR="00BE0B19" w:rsidRPr="00AE47C6" w14:paraId="106EA535" w14:textId="77777777" w:rsidTr="00AD72E5">
        <w:trPr>
          <w:trHeight w:val="535"/>
        </w:trPr>
        <w:tc>
          <w:tcPr>
            <w:tcW w:w="138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034F09EB"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
                <w:bCs/>
                <w:sz w:val="24"/>
                <w:szCs w:val="24"/>
              </w:rPr>
              <w:t>CASPR2</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0A3C3CAA"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Morvan синдром, невромиотония, лимбичен енцефалит (по-рядко)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43EFF364"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46–77 (ср.60)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6759258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1:4 </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20261CB"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Тимом-0–40%</w:t>
            </w:r>
          </w:p>
        </w:tc>
      </w:tr>
      <w:tr w:rsidR="00BE0B19" w:rsidRPr="00AE47C6" w14:paraId="1364C076" w14:textId="77777777" w:rsidTr="00AD72E5">
        <w:trPr>
          <w:trHeight w:val="687"/>
        </w:trPr>
        <w:tc>
          <w:tcPr>
            <w:tcW w:w="138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7FC48A69"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
                <w:bCs/>
                <w:sz w:val="24"/>
                <w:szCs w:val="24"/>
              </w:rPr>
              <w:t xml:space="preserve">AMPA R (GluR) </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31FEEC23"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Лимбичен енцефалит, епилептични припадъци</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1BB5B649"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38–87 (ср. 60)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251ED182"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9:1 </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A582A8A"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Белодробен, на гърдата, тимус, до 70% за всички </w:t>
            </w:r>
          </w:p>
        </w:tc>
      </w:tr>
      <w:tr w:rsidR="00BE0B19" w:rsidRPr="00AE47C6" w14:paraId="3FD6BDF2" w14:textId="77777777" w:rsidTr="00AD72E5">
        <w:trPr>
          <w:trHeight w:val="826"/>
        </w:trPr>
        <w:tc>
          <w:tcPr>
            <w:tcW w:w="138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1B38178E"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
                <w:bCs/>
                <w:sz w:val="24"/>
                <w:szCs w:val="24"/>
              </w:rPr>
              <w:t xml:space="preserve">GABA(b) R </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51EC6E43"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Лимбичен енцефалит, епилептични припадъци</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764EEBB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16–77 (ср.62)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4CB58A1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2:3 </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B809B67"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Дребноклетъчен белодробен карцином - 50% при възрастни</w:t>
            </w:r>
          </w:p>
        </w:tc>
      </w:tr>
      <w:tr w:rsidR="00BE0B19" w:rsidRPr="00AE47C6" w14:paraId="4AA00416" w14:textId="77777777" w:rsidTr="00AD72E5">
        <w:trPr>
          <w:trHeight w:val="445"/>
        </w:trPr>
        <w:tc>
          <w:tcPr>
            <w:tcW w:w="138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2C41CCC0"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
                <w:bCs/>
                <w:sz w:val="24"/>
                <w:szCs w:val="24"/>
              </w:rPr>
              <w:t xml:space="preserve">GABA(a) R </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7358A170"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Резистентни епилептични припадъци, епилептичен статус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2A362EAA"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3–63 (ср.22)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7BA8F5AA"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1:5 </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BE566A8"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Тимом - 1 от 6 случаи </w:t>
            </w:r>
          </w:p>
        </w:tc>
      </w:tr>
      <w:tr w:rsidR="00BE0B19" w:rsidRPr="00AE47C6" w14:paraId="27F83CDD" w14:textId="77777777" w:rsidTr="00AD72E5">
        <w:trPr>
          <w:trHeight w:val="666"/>
        </w:trPr>
        <w:tc>
          <w:tcPr>
            <w:tcW w:w="138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77C99DA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
                <w:bCs/>
                <w:sz w:val="24"/>
                <w:szCs w:val="24"/>
              </w:rPr>
              <w:t xml:space="preserve">GlycineR 1 </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0CB1EB75"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PERM, лимбичен енцефалит, stiff person синдром, хиперекплексия</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20A2AE9D"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1–75 (ср.49)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1C117EF9"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Възрастни 6:5</w:t>
            </w:r>
          </w:p>
          <w:p w14:paraId="6640EA4D"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деца </w:t>
            </w:r>
          </w:p>
          <w:p w14:paraId="63696FA0"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4:0 </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EEC3D4B"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Тимом (най-често), лимфом, на гърдата </w:t>
            </w:r>
          </w:p>
        </w:tc>
      </w:tr>
      <w:tr w:rsidR="00BE0B19" w:rsidRPr="00AE47C6" w14:paraId="3FB3DC41" w14:textId="77777777" w:rsidTr="00AD72E5">
        <w:trPr>
          <w:trHeight w:val="446"/>
        </w:trPr>
        <w:tc>
          <w:tcPr>
            <w:tcW w:w="138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7943C339"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
                <w:bCs/>
                <w:sz w:val="24"/>
                <w:szCs w:val="24"/>
              </w:rPr>
              <w:t xml:space="preserve">mGluR5 </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37A552D9"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Лимбичен енцефалит (Ophelia синдром), миоклонус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5C68337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15–46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248B0D89"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1:1 </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593082E"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Hodgkin </w:t>
            </w:r>
          </w:p>
          <w:p w14:paraId="74AD8428"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Лимфома - 3/3</w:t>
            </w:r>
          </w:p>
        </w:tc>
      </w:tr>
      <w:tr w:rsidR="00BE0B19" w:rsidRPr="00AE47C6" w14:paraId="17F83195" w14:textId="77777777" w:rsidTr="00AD72E5">
        <w:trPr>
          <w:trHeight w:val="768"/>
        </w:trPr>
        <w:tc>
          <w:tcPr>
            <w:tcW w:w="138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72158ED7"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
                <w:bCs/>
                <w:sz w:val="24"/>
                <w:szCs w:val="24"/>
              </w:rPr>
              <w:t xml:space="preserve">DPPX </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4015B728"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Енцефалит, свръхвъзбудимост, хиперекплексия, хиперкинези, двигателни разстройства, гърчове, PERM </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1C20467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15–76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1D3CCB6E"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1:2 </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0550045"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Не са описани </w:t>
            </w:r>
          </w:p>
        </w:tc>
      </w:tr>
      <w:tr w:rsidR="00BE0B19" w:rsidRPr="00AE47C6" w14:paraId="470F1BCB" w14:textId="77777777" w:rsidTr="00AD72E5">
        <w:trPr>
          <w:trHeight w:val="579"/>
        </w:trPr>
        <w:tc>
          <w:tcPr>
            <w:tcW w:w="138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2792E4CA"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
                <w:bCs/>
                <w:sz w:val="24"/>
                <w:szCs w:val="24"/>
              </w:rPr>
              <w:t xml:space="preserve">DR2 </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495FF40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Енцефалит на базалните ядра, двигателни разстройства, психиатрична симптоматика</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012241F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1,6–15 (ср.5,5)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8" w:type="dxa"/>
              <w:left w:w="108" w:type="dxa"/>
              <w:bottom w:w="0" w:type="dxa"/>
              <w:right w:w="108" w:type="dxa"/>
            </w:tcMar>
            <w:hideMark/>
          </w:tcPr>
          <w:p w14:paraId="1A49266D"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1:1 </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353F5F3"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Не са описани</w:t>
            </w:r>
          </w:p>
        </w:tc>
      </w:tr>
    </w:tbl>
    <w:p w14:paraId="29AA18E6"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Cs/>
          <w:sz w:val="24"/>
          <w:szCs w:val="24"/>
        </w:rPr>
      </w:pPr>
    </w:p>
    <w:p w14:paraId="7D89EFB1"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Таблица 4.11. </w:t>
      </w:r>
      <w:r w:rsidRPr="00AE47C6">
        <w:rPr>
          <w:rFonts w:ascii="Times New Roman" w:eastAsia="SimSun" w:hAnsi="Times New Roman"/>
          <w:b/>
          <w:bCs/>
          <w:sz w:val="24"/>
          <w:szCs w:val="24"/>
        </w:rPr>
        <w:t>Клинични особености и отговор към лечение при автоимунните енцефалити с интрацелуларни или клетъчно повърхностни антитела</w:t>
      </w:r>
    </w:p>
    <w:tbl>
      <w:tblPr>
        <w:tblW w:w="9072" w:type="dxa"/>
        <w:tblCellMar>
          <w:left w:w="0" w:type="dxa"/>
          <w:right w:w="0" w:type="dxa"/>
        </w:tblCellMar>
        <w:tblLook w:val="04A0" w:firstRow="1" w:lastRow="0" w:firstColumn="1" w:lastColumn="0" w:noHBand="0" w:noVBand="1"/>
      </w:tblPr>
      <w:tblGrid>
        <w:gridCol w:w="1800"/>
        <w:gridCol w:w="4878"/>
        <w:gridCol w:w="67"/>
        <w:gridCol w:w="2327"/>
      </w:tblGrid>
      <w:tr w:rsidR="00BE0B19" w:rsidRPr="00AE47C6" w14:paraId="0BB3777C" w14:textId="77777777" w:rsidTr="00AD72E5">
        <w:trPr>
          <w:trHeight w:val="584"/>
        </w:trPr>
        <w:tc>
          <w:tcPr>
            <w:tcW w:w="18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FBD45B9"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Антиген</w:t>
            </w:r>
          </w:p>
        </w:tc>
        <w:tc>
          <w:tcPr>
            <w:tcW w:w="5899"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B289DC1"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Неврологични симптоми</w:t>
            </w:r>
          </w:p>
        </w:tc>
        <w:tc>
          <w:tcPr>
            <w:tcW w:w="246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038BCE5"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 xml:space="preserve">Възраст, пол, тумори, отговор към имунотерапия </w:t>
            </w:r>
          </w:p>
        </w:tc>
      </w:tr>
      <w:tr w:rsidR="00BE0B19" w:rsidRPr="00AE47C6" w14:paraId="113C6581" w14:textId="77777777" w:rsidTr="00AD72E5">
        <w:trPr>
          <w:trHeight w:val="584"/>
        </w:trPr>
        <w:tc>
          <w:tcPr>
            <w:tcW w:w="10209" w:type="dxa"/>
            <w:gridSpan w:val="4"/>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EFB7EC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Интрацелуларни антигени</w:t>
            </w:r>
          </w:p>
        </w:tc>
      </w:tr>
      <w:tr w:rsidR="00BE0B19" w:rsidRPr="00AE47C6" w14:paraId="3E00F928" w14:textId="77777777" w:rsidTr="00AD72E5">
        <w:trPr>
          <w:trHeight w:val="584"/>
        </w:trPr>
        <w:tc>
          <w:tcPr>
            <w:tcW w:w="18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50EB00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Hu (ANNA I)</w:t>
            </w:r>
          </w:p>
        </w:tc>
        <w:tc>
          <w:tcPr>
            <w:tcW w:w="58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F84A051"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 xml:space="preserve">Енцефаломиелит, PCD, стволов енцефалит, фокален коров енцефалит, лимбичен енцефалит </w:t>
            </w:r>
          </w:p>
        </w:tc>
        <w:tc>
          <w:tcPr>
            <w:tcW w:w="2552" w:type="dxa"/>
            <w:gridSpan w:val="2"/>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E0702BE"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Главно възрастни,</w:t>
            </w:r>
            <w:r w:rsidRPr="00AE47C6">
              <w:rPr>
                <w:rFonts w:ascii="Times New Roman" w:eastAsia="SimSun" w:hAnsi="Times New Roman"/>
                <w:bCs/>
                <w:sz w:val="24"/>
                <w:szCs w:val="24"/>
              </w:rPr>
              <w:br/>
              <w:t>96–98% при тумори, главно SCLC (Hu, CV2, amphiphysin, Ri), тимоми (CRMP5), гърда (amphiphysin, Ri, Yo), яйчници (Yo, Ri), тестиси (Ma2)</w:t>
            </w:r>
            <w:r w:rsidRPr="00AE47C6">
              <w:rPr>
                <w:rFonts w:ascii="Times New Roman" w:eastAsia="SimSun" w:hAnsi="Times New Roman"/>
                <w:bCs/>
                <w:sz w:val="24"/>
                <w:szCs w:val="24"/>
              </w:rPr>
              <w:br/>
              <w:t xml:space="preserve">Ограничен отговор към имунотерапия и лечение на туморите </w:t>
            </w:r>
          </w:p>
        </w:tc>
      </w:tr>
      <w:tr w:rsidR="00BE0B19" w:rsidRPr="00AE47C6" w14:paraId="1E3F7815" w14:textId="77777777" w:rsidTr="00AD72E5">
        <w:trPr>
          <w:trHeight w:val="584"/>
        </w:trPr>
        <w:tc>
          <w:tcPr>
            <w:tcW w:w="18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6634DF8"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CRMP5</w:t>
            </w:r>
          </w:p>
        </w:tc>
        <w:tc>
          <w:tcPr>
            <w:tcW w:w="58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AB3062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 xml:space="preserve">Енцефаломиелит, хорея, PCD, лимбичен енцефалит </w:t>
            </w:r>
          </w:p>
        </w:tc>
        <w:tc>
          <w:tcPr>
            <w:tcW w:w="2552" w:type="dxa"/>
            <w:gridSpan w:val="2"/>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0FFBE9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p>
        </w:tc>
      </w:tr>
      <w:tr w:rsidR="00BE0B19" w:rsidRPr="00AE47C6" w14:paraId="03F33EAA" w14:textId="77777777" w:rsidTr="00AD72E5">
        <w:trPr>
          <w:trHeight w:val="584"/>
        </w:trPr>
        <w:tc>
          <w:tcPr>
            <w:tcW w:w="18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3EE6D3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Amphiphysin</w:t>
            </w:r>
          </w:p>
        </w:tc>
        <w:tc>
          <w:tcPr>
            <w:tcW w:w="58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CE07134"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 xml:space="preserve">Stiff-person syndrome, миелопатия, миоклонус, енцефаломиелит </w:t>
            </w:r>
          </w:p>
        </w:tc>
        <w:tc>
          <w:tcPr>
            <w:tcW w:w="2552" w:type="dxa"/>
            <w:gridSpan w:val="2"/>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963C7C1"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p>
        </w:tc>
      </w:tr>
      <w:tr w:rsidR="00BE0B19" w:rsidRPr="00AE47C6" w14:paraId="6CA4D130" w14:textId="77777777" w:rsidTr="00AD72E5">
        <w:trPr>
          <w:trHeight w:val="584"/>
        </w:trPr>
        <w:tc>
          <w:tcPr>
            <w:tcW w:w="18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5B7A380"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Ri (ANNA 2)</w:t>
            </w:r>
          </w:p>
        </w:tc>
        <w:tc>
          <w:tcPr>
            <w:tcW w:w="58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10831A1"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 xml:space="preserve">Стволов енцефалит, opsoclonus myoclonus </w:t>
            </w:r>
          </w:p>
        </w:tc>
        <w:tc>
          <w:tcPr>
            <w:tcW w:w="2552" w:type="dxa"/>
            <w:gridSpan w:val="2"/>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264B5F3"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p>
        </w:tc>
      </w:tr>
      <w:tr w:rsidR="00BE0B19" w:rsidRPr="00AE47C6" w14:paraId="07E687EA" w14:textId="77777777" w:rsidTr="00AD72E5">
        <w:trPr>
          <w:trHeight w:val="584"/>
        </w:trPr>
        <w:tc>
          <w:tcPr>
            <w:tcW w:w="18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9FA1B33"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Ma2</w:t>
            </w:r>
          </w:p>
        </w:tc>
        <w:tc>
          <w:tcPr>
            <w:tcW w:w="58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AF22833"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Диенцефален енцефалит, лимбичен енцефалит, стволов енцефалит</w:t>
            </w:r>
          </w:p>
        </w:tc>
        <w:tc>
          <w:tcPr>
            <w:tcW w:w="2552"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6FD20F8"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p>
        </w:tc>
      </w:tr>
      <w:tr w:rsidR="00BE0B19" w:rsidRPr="00AE47C6" w14:paraId="0DFAA9D1" w14:textId="77777777" w:rsidTr="00AD72E5">
        <w:trPr>
          <w:trHeight w:val="584"/>
        </w:trPr>
        <w:tc>
          <w:tcPr>
            <w:tcW w:w="18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1F8C9DD"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GAD65</w:t>
            </w:r>
          </w:p>
        </w:tc>
        <w:tc>
          <w:tcPr>
            <w:tcW w:w="58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065036B"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 xml:space="preserve">Атаксия, stiff person синдром, епилепсия </w:t>
            </w:r>
          </w:p>
        </w:tc>
        <w:tc>
          <w:tcPr>
            <w:tcW w:w="2552"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E40FB6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Възрастни, &lt;10% тумори, Ограничен отговор към имунотерапия </w:t>
            </w:r>
          </w:p>
        </w:tc>
      </w:tr>
      <w:tr w:rsidR="00BE0B19" w:rsidRPr="00AE47C6" w14:paraId="256580D2" w14:textId="77777777" w:rsidTr="00AD72E5">
        <w:trPr>
          <w:trHeight w:val="584"/>
        </w:trPr>
        <w:tc>
          <w:tcPr>
            <w:tcW w:w="10209" w:type="dxa"/>
            <w:gridSpan w:val="4"/>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4517E41"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Невронно повърхностни антигени</w:t>
            </w:r>
          </w:p>
        </w:tc>
      </w:tr>
      <w:tr w:rsidR="00BE0B19" w:rsidRPr="00AE47C6" w14:paraId="71BC5C90" w14:textId="77777777" w:rsidTr="00AD72E5">
        <w:trPr>
          <w:trHeight w:val="584"/>
        </w:trPr>
        <w:tc>
          <w:tcPr>
            <w:tcW w:w="18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20BBFC5"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NMDAR рецептор</w:t>
            </w:r>
            <w:r w:rsidRPr="00AE47C6">
              <w:rPr>
                <w:rFonts w:ascii="Times New Roman" w:eastAsia="SimSun" w:hAnsi="Times New Roman"/>
                <w:sz w:val="24"/>
                <w:szCs w:val="24"/>
              </w:rPr>
              <w:br/>
            </w:r>
            <w:r w:rsidRPr="00AE47C6">
              <w:rPr>
                <w:rFonts w:ascii="Times New Roman" w:eastAsia="SimSun" w:hAnsi="Times New Roman"/>
                <w:b/>
                <w:bCs/>
                <w:sz w:val="24"/>
                <w:szCs w:val="24"/>
              </w:rPr>
              <w:t>(NR1 субединица)</w:t>
            </w:r>
          </w:p>
        </w:tc>
        <w:tc>
          <w:tcPr>
            <w:tcW w:w="58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7C8CD58"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Психиатрични с-ми, дисфазии, абнормни движения, пристъпи, количествени нарушени на съзнанието, автономна нестабилност</w:t>
            </w:r>
          </w:p>
        </w:tc>
        <w:tc>
          <w:tcPr>
            <w:tcW w:w="2552"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D7A8E92"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Деца (40%) и юноши (ср.19 г.), 80% момичета.</w:t>
            </w:r>
            <w:r w:rsidRPr="00AE47C6">
              <w:rPr>
                <w:rFonts w:ascii="Times New Roman" w:eastAsia="SimSun" w:hAnsi="Times New Roman"/>
                <w:sz w:val="24"/>
                <w:szCs w:val="24"/>
              </w:rPr>
              <w:br/>
              <w:t>Тумори в зависимост от възрастта, пола, расата (9–55%), главно овариални тератоми</w:t>
            </w:r>
            <w:r w:rsidRPr="00AE47C6">
              <w:rPr>
                <w:rFonts w:ascii="Times New Roman" w:eastAsia="SimSun" w:hAnsi="Times New Roman"/>
                <w:sz w:val="24"/>
                <w:szCs w:val="24"/>
              </w:rPr>
              <w:br/>
              <w:t>80% добър отговор към имунотерапия</w:t>
            </w:r>
          </w:p>
        </w:tc>
      </w:tr>
      <w:tr w:rsidR="00BE0B19" w:rsidRPr="00AE47C6" w14:paraId="32EF771E" w14:textId="77777777" w:rsidTr="00AD72E5">
        <w:trPr>
          <w:trHeight w:val="584"/>
        </w:trPr>
        <w:tc>
          <w:tcPr>
            <w:tcW w:w="18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238053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GABA</w:t>
            </w:r>
            <w:r w:rsidRPr="00AE47C6">
              <w:rPr>
                <w:rFonts w:ascii="Times New Roman" w:eastAsia="SimSun" w:hAnsi="Times New Roman"/>
                <w:b/>
                <w:bCs/>
                <w:sz w:val="24"/>
                <w:szCs w:val="24"/>
                <w:vertAlign w:val="subscript"/>
              </w:rPr>
              <w:t>A</w:t>
            </w:r>
            <w:r w:rsidRPr="00AE47C6">
              <w:rPr>
                <w:rFonts w:ascii="Times New Roman" w:eastAsia="SimSun" w:hAnsi="Times New Roman"/>
                <w:b/>
                <w:bCs/>
                <w:sz w:val="24"/>
                <w:szCs w:val="24"/>
              </w:rPr>
              <w:t>R</w:t>
            </w:r>
          </w:p>
        </w:tc>
        <w:tc>
          <w:tcPr>
            <w:tcW w:w="58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A2DB1A1"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Високи титри в серум и ликвор: резистентни припадъци или епилептичен статус.</w:t>
            </w:r>
            <w:r w:rsidRPr="00AE47C6">
              <w:rPr>
                <w:rFonts w:ascii="Times New Roman" w:eastAsia="SimSun" w:hAnsi="Times New Roman"/>
                <w:sz w:val="24"/>
                <w:szCs w:val="24"/>
              </w:rPr>
              <w:br/>
              <w:t>Ниски титри в серум: широк спектър с-ми гърчове, stiff person syndrome, opsoclonus myoclonus синдром</w:t>
            </w:r>
          </w:p>
          <w:p w14:paraId="6604375E"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p>
        </w:tc>
        <w:tc>
          <w:tcPr>
            <w:tcW w:w="2552"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ACCEEB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Ограничен опит, 39% при деца; неясна връзка с тумори (някои пациенти с тимома). Тежки увреди при 2/6 с висок титър и с летален изход, но други 4 с добър отговор към имунотерапия)</w:t>
            </w:r>
          </w:p>
        </w:tc>
      </w:tr>
      <w:tr w:rsidR="00BE0B19" w:rsidRPr="00AE47C6" w14:paraId="344212AD" w14:textId="77777777" w:rsidTr="00AD72E5">
        <w:trPr>
          <w:trHeight w:val="2451"/>
        </w:trPr>
        <w:tc>
          <w:tcPr>
            <w:tcW w:w="18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7B9850E"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GABA</w:t>
            </w:r>
            <w:r w:rsidRPr="00AE47C6">
              <w:rPr>
                <w:rFonts w:ascii="Times New Roman" w:eastAsia="SimSun" w:hAnsi="Times New Roman"/>
                <w:b/>
                <w:bCs/>
                <w:sz w:val="24"/>
                <w:szCs w:val="24"/>
                <w:vertAlign w:val="subscript"/>
              </w:rPr>
              <w:t>B</w:t>
            </w:r>
            <w:r w:rsidRPr="00AE47C6">
              <w:rPr>
                <w:rFonts w:ascii="Times New Roman" w:eastAsia="SimSun" w:hAnsi="Times New Roman"/>
                <w:b/>
                <w:bCs/>
                <w:sz w:val="24"/>
                <w:szCs w:val="24"/>
              </w:rPr>
              <w:t>R</w:t>
            </w:r>
            <w:r w:rsidRPr="00AE47C6">
              <w:rPr>
                <w:rFonts w:ascii="Times New Roman" w:eastAsia="SimSun" w:hAnsi="Times New Roman"/>
                <w:sz w:val="24"/>
                <w:szCs w:val="24"/>
              </w:rPr>
              <w:br/>
            </w:r>
            <w:r w:rsidRPr="00AE47C6">
              <w:rPr>
                <w:rFonts w:ascii="Times New Roman" w:eastAsia="SimSun" w:hAnsi="Times New Roman"/>
                <w:b/>
                <w:bCs/>
                <w:sz w:val="24"/>
                <w:szCs w:val="24"/>
              </w:rPr>
              <w:t>(B1 субединица)</w:t>
            </w:r>
          </w:p>
        </w:tc>
        <w:tc>
          <w:tcPr>
            <w:tcW w:w="5813"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33224A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Класически лимбичен енцефалит. Ранни епилептични припадъци (GABA</w:t>
            </w:r>
            <w:r w:rsidRPr="00AE47C6">
              <w:rPr>
                <w:rFonts w:ascii="Times New Roman" w:eastAsia="SimSun" w:hAnsi="Times New Roman"/>
                <w:sz w:val="24"/>
                <w:szCs w:val="24"/>
                <w:vertAlign w:val="subscript"/>
              </w:rPr>
              <w:t>B</w:t>
            </w:r>
            <w:r w:rsidRPr="00AE47C6">
              <w:rPr>
                <w:rFonts w:ascii="Times New Roman" w:eastAsia="SimSun" w:hAnsi="Times New Roman"/>
                <w:sz w:val="24"/>
                <w:szCs w:val="24"/>
              </w:rPr>
              <w:t>R), психиатрични синдроми (AMPAR), хипонатриемия и кратки тонично-клонични пристъпи(LGI1)</w:t>
            </w:r>
          </w:p>
        </w:tc>
        <w:tc>
          <w:tcPr>
            <w:tcW w:w="2552"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5B602B4"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Възрастни (ср. 62 г., 50% жени)</w:t>
            </w:r>
            <w:r w:rsidRPr="00AE47C6">
              <w:rPr>
                <w:rFonts w:ascii="Times New Roman" w:eastAsia="SimSun" w:hAnsi="Times New Roman"/>
                <w:sz w:val="24"/>
                <w:szCs w:val="24"/>
              </w:rPr>
              <w:br/>
              <w:t>60% дребноклетъчен белодробен карцином;</w:t>
            </w:r>
            <w:r w:rsidRPr="00AE47C6">
              <w:rPr>
                <w:rFonts w:ascii="Times New Roman" w:eastAsia="SimSun" w:hAnsi="Times New Roman"/>
                <w:sz w:val="24"/>
                <w:szCs w:val="24"/>
              </w:rPr>
              <w:br/>
              <w:t xml:space="preserve">добър ефект от имунотерапия; </w:t>
            </w:r>
          </w:p>
          <w:p w14:paraId="32925E8D"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p>
        </w:tc>
      </w:tr>
      <w:tr w:rsidR="00BE0B19" w:rsidRPr="00AE47C6" w14:paraId="0B0A22C9" w14:textId="77777777" w:rsidTr="00AD72E5">
        <w:trPr>
          <w:trHeight w:val="584"/>
        </w:trPr>
        <w:tc>
          <w:tcPr>
            <w:tcW w:w="18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5D34D50"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AMPAR</w:t>
            </w:r>
            <w:r w:rsidRPr="00AE47C6">
              <w:rPr>
                <w:rFonts w:ascii="Times New Roman" w:eastAsia="SimSun" w:hAnsi="Times New Roman"/>
                <w:sz w:val="24"/>
                <w:szCs w:val="24"/>
              </w:rPr>
              <w:br/>
            </w:r>
            <w:r w:rsidRPr="00AE47C6">
              <w:rPr>
                <w:rFonts w:ascii="Times New Roman" w:eastAsia="SimSun" w:hAnsi="Times New Roman"/>
                <w:b/>
                <w:bCs/>
                <w:sz w:val="24"/>
                <w:szCs w:val="24"/>
              </w:rPr>
              <w:t>(Glu R1/2 субединица)</w:t>
            </w:r>
          </w:p>
        </w:tc>
        <w:tc>
          <w:tcPr>
            <w:tcW w:w="5813"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649E76D"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p>
        </w:tc>
        <w:tc>
          <w:tcPr>
            <w:tcW w:w="2552"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C4039F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Възрастни (ср. 80 г., 90% жени)</w:t>
            </w:r>
            <w:r w:rsidRPr="00AE47C6">
              <w:rPr>
                <w:rFonts w:ascii="Times New Roman" w:eastAsia="SimSun" w:hAnsi="Times New Roman"/>
                <w:sz w:val="24"/>
                <w:szCs w:val="24"/>
              </w:rPr>
              <w:br/>
              <w:t>70% тумори (бял дроб, гърда, тимус);</w:t>
            </w:r>
            <w:r w:rsidRPr="00AE47C6">
              <w:rPr>
                <w:rFonts w:ascii="Times New Roman" w:eastAsia="SimSun" w:hAnsi="Times New Roman"/>
                <w:sz w:val="24"/>
                <w:szCs w:val="24"/>
              </w:rPr>
              <w:br/>
              <w:t xml:space="preserve">добър отговор към имунотерапия </w:t>
            </w:r>
          </w:p>
          <w:p w14:paraId="16FD35EA"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p>
        </w:tc>
      </w:tr>
      <w:tr w:rsidR="00BE0B19" w:rsidRPr="00AE47C6" w14:paraId="58E09E35" w14:textId="77777777" w:rsidTr="00AD72E5">
        <w:trPr>
          <w:trHeight w:val="1340"/>
        </w:trPr>
        <w:tc>
          <w:tcPr>
            <w:tcW w:w="18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EE52528"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LGI1</w:t>
            </w:r>
          </w:p>
        </w:tc>
        <w:tc>
          <w:tcPr>
            <w:tcW w:w="5813"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7CF227B"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p>
        </w:tc>
        <w:tc>
          <w:tcPr>
            <w:tcW w:w="2552"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06AB64E"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Възрастни (ср. 60 г.,65% мъже)</w:t>
            </w:r>
            <w:r w:rsidRPr="00AE47C6">
              <w:rPr>
                <w:rFonts w:ascii="Times New Roman" w:eastAsia="SimSun" w:hAnsi="Times New Roman"/>
                <w:sz w:val="24"/>
                <w:szCs w:val="24"/>
              </w:rPr>
              <w:br/>
              <w:t xml:space="preserve">&lt;10% тумори (тимоми) </w:t>
            </w:r>
          </w:p>
        </w:tc>
      </w:tr>
      <w:tr w:rsidR="00BE0B19" w:rsidRPr="00AE47C6" w14:paraId="75F7D25B" w14:textId="77777777" w:rsidTr="00AD72E5">
        <w:trPr>
          <w:trHeight w:val="584"/>
        </w:trPr>
        <w:tc>
          <w:tcPr>
            <w:tcW w:w="18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C224938"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CASPR2</w:t>
            </w:r>
          </w:p>
        </w:tc>
        <w:tc>
          <w:tcPr>
            <w:tcW w:w="58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A5FCDC0"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Синдром на Morvan, енцефалит, перифернонервна свръхвъзбудимост</w:t>
            </w:r>
          </w:p>
        </w:tc>
        <w:tc>
          <w:tcPr>
            <w:tcW w:w="2552"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8650184"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Възрастни (ср. 60 г., предимно мъже)</w:t>
            </w:r>
            <w:r w:rsidRPr="00AE47C6">
              <w:rPr>
                <w:rFonts w:ascii="Times New Roman" w:eastAsia="SimSun" w:hAnsi="Times New Roman"/>
                <w:sz w:val="24"/>
                <w:szCs w:val="24"/>
              </w:rPr>
              <w:br/>
              <w:t>ограничен опит, ~30% тимоми</w:t>
            </w:r>
          </w:p>
        </w:tc>
      </w:tr>
      <w:tr w:rsidR="00BE0B19" w:rsidRPr="00AE47C6" w14:paraId="11E28782" w14:textId="77777777" w:rsidTr="00AD72E5">
        <w:trPr>
          <w:trHeight w:val="584"/>
        </w:trPr>
        <w:tc>
          <w:tcPr>
            <w:tcW w:w="184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F4DF01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DPPX</w:t>
            </w:r>
          </w:p>
        </w:tc>
        <w:tc>
          <w:tcPr>
            <w:tcW w:w="581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C01302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 xml:space="preserve">Дифузен енцефалит, продромална профузна диария. Психиатрични синдроми, тремор, миоклонус, атаксия, нистагъм, хиперекплексия </w:t>
            </w:r>
          </w:p>
        </w:tc>
        <w:tc>
          <w:tcPr>
            <w:tcW w:w="2552" w:type="dxa"/>
            <w:gridSpan w:val="2"/>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4A1E532"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 xml:space="preserve">Възрастни, ограничен опит, без тумори, отговор към имунотерапия </w:t>
            </w:r>
          </w:p>
        </w:tc>
      </w:tr>
    </w:tbl>
    <w:p w14:paraId="3A753F9F"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sz w:val="24"/>
          <w:szCs w:val="24"/>
        </w:rPr>
      </w:pPr>
    </w:p>
    <w:p w14:paraId="3F1695D9" w14:textId="77777777" w:rsidR="00BE0B19" w:rsidRPr="00AE47C6" w:rsidRDefault="00BE0B19" w:rsidP="00BE0B19">
      <w:pPr>
        <w:autoSpaceDE w:val="0"/>
        <w:autoSpaceDN w:val="0"/>
        <w:adjustRightInd w:val="0"/>
        <w:spacing w:after="0" w:line="360" w:lineRule="auto"/>
        <w:ind w:firstLine="709"/>
        <w:jc w:val="both"/>
        <w:rPr>
          <w:rFonts w:ascii="Times New Roman" w:eastAsia="+mn-ea" w:hAnsi="Times New Roman"/>
          <w:kern w:val="24"/>
          <w:sz w:val="24"/>
          <w:szCs w:val="24"/>
        </w:rPr>
      </w:pPr>
      <w:r w:rsidRPr="00AE47C6">
        <w:rPr>
          <w:rFonts w:ascii="Times New Roman" w:eastAsia="SimSun" w:hAnsi="Times New Roman"/>
          <w:sz w:val="24"/>
          <w:szCs w:val="24"/>
        </w:rPr>
        <w:t xml:space="preserve">Изработени са </w:t>
      </w:r>
      <w:r w:rsidRPr="00AE47C6">
        <w:rPr>
          <w:rFonts w:ascii="Times New Roman" w:eastAsia="SimSun" w:hAnsi="Times New Roman"/>
          <w:b/>
          <w:i/>
          <w:sz w:val="24"/>
          <w:szCs w:val="24"/>
        </w:rPr>
        <w:t xml:space="preserve">алгоритми и критерии </w:t>
      </w:r>
      <w:r w:rsidRPr="00AE47C6">
        <w:rPr>
          <w:rFonts w:ascii="Times New Roman" w:eastAsia="SimSun" w:hAnsi="Times New Roman"/>
          <w:sz w:val="24"/>
          <w:szCs w:val="24"/>
        </w:rPr>
        <w:t xml:space="preserve">за диагностицирането на възможен автоимунен енцефалит, на сигурен автоимунен лимбичен енцефалит, на </w:t>
      </w:r>
      <w:r w:rsidRPr="00AE47C6">
        <w:rPr>
          <w:rFonts w:ascii="Times New Roman" w:eastAsia="SimSun" w:hAnsi="Times New Roman"/>
          <w:bCs/>
          <w:sz w:val="24"/>
          <w:szCs w:val="24"/>
        </w:rPr>
        <w:t>анти-NMDAR енцефалит (сигурен и възможен),</w:t>
      </w:r>
      <w:r w:rsidRPr="00AE47C6">
        <w:rPr>
          <w:rFonts w:ascii="Times New Roman" w:eastAsia="SimSun" w:hAnsi="Times New Roman"/>
          <w:sz w:val="24"/>
          <w:szCs w:val="24"/>
        </w:rPr>
        <w:t xml:space="preserve"> на сигурен остър дисеминиран енцефаломиелит (</w:t>
      </w:r>
      <w:r w:rsidRPr="00AE47C6">
        <w:rPr>
          <w:rFonts w:ascii="Times New Roman" w:eastAsia="SimSun" w:hAnsi="Times New Roman"/>
          <w:bCs/>
          <w:sz w:val="24"/>
          <w:szCs w:val="24"/>
        </w:rPr>
        <w:t>ОДЕМ</w:t>
      </w:r>
      <w:r w:rsidRPr="00AE47C6">
        <w:rPr>
          <w:rFonts w:ascii="Times New Roman" w:eastAsia="SimSun" w:hAnsi="Times New Roman"/>
          <w:sz w:val="24"/>
          <w:szCs w:val="24"/>
        </w:rPr>
        <w:t>), на енцефалопатия на Hashimoto,</w:t>
      </w:r>
      <w:r w:rsidRPr="00AE47C6">
        <w:rPr>
          <w:rFonts w:ascii="Times New Roman" w:eastAsia="SimSun" w:hAnsi="Times New Roman"/>
          <w:bCs/>
          <w:sz w:val="24"/>
          <w:szCs w:val="24"/>
        </w:rPr>
        <w:t xml:space="preserve"> на стволов енцефалит на Bickerstaff</w:t>
      </w:r>
      <w:r w:rsidRPr="00AE47C6">
        <w:rPr>
          <w:rFonts w:ascii="Times New Roman" w:eastAsia="SimSun" w:hAnsi="Times New Roman"/>
          <w:sz w:val="24"/>
          <w:szCs w:val="24"/>
        </w:rPr>
        <w:t xml:space="preserve"> и на вероятни автоимунни енцефалити с негативни антиимунни антитела</w:t>
      </w:r>
      <w:r w:rsidRPr="00AE47C6">
        <w:rPr>
          <w:rFonts w:ascii="Times New Roman" w:eastAsia="+mn-ea" w:hAnsi="Times New Roman"/>
          <w:kern w:val="24"/>
          <w:sz w:val="24"/>
          <w:szCs w:val="24"/>
        </w:rPr>
        <w:t xml:space="preserve">. При съчетание на неврологични и психиатрични симптоми се обсъжда </w:t>
      </w:r>
      <w:r w:rsidRPr="00AE47C6">
        <w:rPr>
          <w:rFonts w:ascii="Times New Roman" w:eastAsia="+mn-ea" w:hAnsi="Times New Roman"/>
          <w:b/>
          <w:i/>
          <w:kern w:val="24"/>
          <w:sz w:val="24"/>
          <w:szCs w:val="24"/>
        </w:rPr>
        <w:t xml:space="preserve">възможен </w:t>
      </w:r>
      <w:r w:rsidRPr="00AE47C6">
        <w:rPr>
          <w:rFonts w:ascii="Times New Roman" w:eastAsia="+mn-ea" w:hAnsi="Times New Roman"/>
          <w:b/>
          <w:bCs/>
          <w:i/>
          <w:iCs/>
          <w:kern w:val="24"/>
          <w:sz w:val="24"/>
          <w:szCs w:val="24"/>
        </w:rPr>
        <w:t>автоимунен енцефалит при наличие на 3 диагностични критерия</w:t>
      </w:r>
      <w:r w:rsidRPr="00AE47C6">
        <w:rPr>
          <w:rFonts w:ascii="Times New Roman" w:eastAsia="+mn-ea" w:hAnsi="Times New Roman"/>
          <w:kern w:val="24"/>
          <w:sz w:val="24"/>
          <w:szCs w:val="24"/>
        </w:rPr>
        <w:t>:</w:t>
      </w:r>
    </w:p>
    <w:p w14:paraId="607F6C90" w14:textId="77777777" w:rsidR="00BE0B19" w:rsidRPr="00AE47C6" w:rsidRDefault="00BE0B19" w:rsidP="00BE0B19">
      <w:pPr>
        <w:autoSpaceDE w:val="0"/>
        <w:autoSpaceDN w:val="0"/>
        <w:adjustRightInd w:val="0"/>
        <w:spacing w:after="0" w:line="360" w:lineRule="auto"/>
        <w:ind w:firstLine="709"/>
        <w:jc w:val="both"/>
        <w:rPr>
          <w:rFonts w:ascii="Times New Roman" w:eastAsia="+mn-ea" w:hAnsi="Times New Roman"/>
          <w:kern w:val="24"/>
          <w:sz w:val="24"/>
          <w:szCs w:val="24"/>
        </w:rPr>
      </w:pPr>
    </w:p>
    <w:p w14:paraId="1374BC23"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calaLancetPro" w:hAnsi="Times New Roman"/>
          <w:b/>
          <w:i/>
          <w:sz w:val="24"/>
          <w:szCs w:val="24"/>
        </w:rPr>
      </w:pPr>
      <w:r w:rsidRPr="00AE47C6">
        <w:rPr>
          <w:rFonts w:ascii="Times New Roman" w:eastAsia="+mn-ea" w:hAnsi="Times New Roman"/>
          <w:b/>
          <w:i/>
          <w:kern w:val="24"/>
          <w:sz w:val="24"/>
          <w:szCs w:val="24"/>
        </w:rPr>
        <w:t xml:space="preserve">Диагностични критерии за възможен </w:t>
      </w:r>
      <w:r w:rsidRPr="00AE47C6">
        <w:rPr>
          <w:rFonts w:ascii="Times New Roman" w:eastAsia="+mn-ea" w:hAnsi="Times New Roman"/>
          <w:b/>
          <w:bCs/>
          <w:i/>
          <w:iCs/>
          <w:kern w:val="24"/>
          <w:sz w:val="24"/>
          <w:szCs w:val="24"/>
        </w:rPr>
        <w:t>автоимунен енцефалит</w:t>
      </w:r>
    </w:p>
    <w:p w14:paraId="00624CCE"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1. </w:t>
      </w:r>
      <w:r w:rsidRPr="00AE47C6">
        <w:rPr>
          <w:rFonts w:ascii="Times New Roman" w:eastAsia="SimSun" w:hAnsi="Times New Roman"/>
          <w:bCs/>
          <w:sz w:val="24"/>
          <w:szCs w:val="24"/>
        </w:rPr>
        <w:t xml:space="preserve">Подостро начало </w:t>
      </w:r>
      <w:r w:rsidRPr="00AE47C6">
        <w:rPr>
          <w:rFonts w:ascii="Times New Roman" w:eastAsia="SimSun" w:hAnsi="Times New Roman"/>
          <w:sz w:val="24"/>
          <w:szCs w:val="24"/>
        </w:rPr>
        <w:t>(бърза прогресия под 3 месеца)</w:t>
      </w:r>
    </w:p>
    <w:p w14:paraId="56293641" w14:textId="77777777" w:rsidR="00BE0B19" w:rsidRPr="00AE47C6" w:rsidRDefault="00BE0B19" w:rsidP="00BE0B19">
      <w:pPr>
        <w:numPr>
          <w:ilvl w:val="0"/>
          <w:numId w:val="266"/>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Cs/>
          <w:sz w:val="24"/>
          <w:szCs w:val="24"/>
        </w:rPr>
        <w:t xml:space="preserve">Или дефицит на работна памет /загуба на краткосрочна памет </w:t>
      </w:r>
    </w:p>
    <w:p w14:paraId="06133708" w14:textId="77777777" w:rsidR="00BE0B19" w:rsidRPr="00AE47C6" w:rsidRDefault="00BE0B19" w:rsidP="00BE0B19">
      <w:pPr>
        <w:numPr>
          <w:ilvl w:val="0"/>
          <w:numId w:val="266"/>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Cs/>
          <w:sz w:val="24"/>
          <w:szCs w:val="24"/>
        </w:rPr>
        <w:t xml:space="preserve">Увреден ментален статус или психични симптоми </w:t>
      </w:r>
    </w:p>
    <w:p w14:paraId="2A32E07C"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sz w:val="24"/>
          <w:szCs w:val="24"/>
        </w:rPr>
      </w:pPr>
      <w:r w:rsidRPr="00AE47C6">
        <w:rPr>
          <w:rFonts w:ascii="Times New Roman" w:eastAsia="SimSun" w:hAnsi="Times New Roman"/>
          <w:bCs/>
          <w:sz w:val="24"/>
          <w:szCs w:val="24"/>
        </w:rPr>
        <w:t>2. Нови огнищни ЦНС лезии</w:t>
      </w:r>
    </w:p>
    <w:p w14:paraId="7CDABFD2" w14:textId="77777777" w:rsidR="00BE0B19" w:rsidRPr="00AE47C6" w:rsidRDefault="00BE0B19" w:rsidP="00BE0B19">
      <w:pPr>
        <w:numPr>
          <w:ilvl w:val="0"/>
          <w:numId w:val="267"/>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Cs/>
          <w:sz w:val="24"/>
          <w:szCs w:val="24"/>
        </w:rPr>
        <w:t>Епилептични припадъци</w:t>
      </w:r>
      <w:r w:rsidRPr="00AE47C6">
        <w:rPr>
          <w:rFonts w:ascii="Times New Roman" w:eastAsia="SimSun" w:hAnsi="Times New Roman"/>
          <w:sz w:val="24"/>
          <w:szCs w:val="24"/>
        </w:rPr>
        <w:t xml:space="preserve">, не обяснени с предхождаща епилепсия </w:t>
      </w:r>
    </w:p>
    <w:p w14:paraId="6EFDE621" w14:textId="77777777" w:rsidR="00BE0B19" w:rsidRPr="00AE47C6" w:rsidRDefault="00BE0B19" w:rsidP="00BE0B19">
      <w:pPr>
        <w:numPr>
          <w:ilvl w:val="0"/>
          <w:numId w:val="267"/>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Cs/>
          <w:sz w:val="24"/>
          <w:szCs w:val="24"/>
        </w:rPr>
        <w:t xml:space="preserve">Ликворна плеоцитоза </w:t>
      </w:r>
      <w:r w:rsidRPr="00AE47C6">
        <w:rPr>
          <w:rFonts w:ascii="Times New Roman" w:eastAsia="SimSun" w:hAnsi="Times New Roman"/>
          <w:sz w:val="24"/>
          <w:szCs w:val="24"/>
        </w:rPr>
        <w:t>(левкоцити над 5.10</w:t>
      </w:r>
      <w:r w:rsidRPr="00AE47C6">
        <w:rPr>
          <w:rFonts w:ascii="Times New Roman" w:eastAsia="SimSun" w:hAnsi="Times New Roman"/>
          <w:sz w:val="24"/>
          <w:szCs w:val="24"/>
          <w:vertAlign w:val="superscript"/>
        </w:rPr>
        <w:t>6</w:t>
      </w:r>
      <w:r w:rsidRPr="00AE47C6">
        <w:rPr>
          <w:rFonts w:ascii="Times New Roman" w:eastAsia="SimSun" w:hAnsi="Times New Roman"/>
          <w:sz w:val="24"/>
          <w:szCs w:val="24"/>
        </w:rPr>
        <w:t xml:space="preserve">/L) </w:t>
      </w:r>
    </w:p>
    <w:p w14:paraId="1D727029" w14:textId="77777777" w:rsidR="00BE0B19" w:rsidRPr="00AE47C6" w:rsidRDefault="00BE0B19" w:rsidP="00BE0B19">
      <w:pPr>
        <w:numPr>
          <w:ilvl w:val="0"/>
          <w:numId w:val="267"/>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Cs/>
          <w:sz w:val="24"/>
          <w:szCs w:val="24"/>
        </w:rPr>
        <w:t xml:space="preserve">МРТ лезии, насочващи към енцефалит </w:t>
      </w:r>
    </w:p>
    <w:p w14:paraId="4A458539"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sz w:val="24"/>
          <w:szCs w:val="24"/>
        </w:rPr>
      </w:pPr>
      <w:r w:rsidRPr="00AE47C6">
        <w:rPr>
          <w:rFonts w:ascii="Times New Roman" w:eastAsia="SimSun" w:hAnsi="Times New Roman"/>
          <w:bCs/>
          <w:sz w:val="24"/>
          <w:szCs w:val="24"/>
        </w:rPr>
        <w:t>3. Изключени други причини</w:t>
      </w:r>
    </w:p>
    <w:p w14:paraId="6814BB9D"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Съобразно клиниката се препоръчва целенасочено изследване за </w:t>
      </w:r>
      <w:r w:rsidRPr="00AE47C6">
        <w:rPr>
          <w:rFonts w:ascii="Times New Roman" w:eastAsia="SimSun" w:hAnsi="Times New Roman"/>
          <w:bCs/>
          <w:sz w:val="24"/>
          <w:szCs w:val="24"/>
        </w:rPr>
        <w:t xml:space="preserve">анти-NMDAR, </w:t>
      </w:r>
      <w:r w:rsidRPr="00AE47C6">
        <w:rPr>
          <w:rFonts w:ascii="Times New Roman" w:eastAsia="SimSun" w:hAnsi="Times New Roman"/>
          <w:sz w:val="24"/>
          <w:szCs w:val="24"/>
        </w:rPr>
        <w:t>анти-GABA</w:t>
      </w:r>
      <w:r w:rsidRPr="00AE47C6">
        <w:rPr>
          <w:rFonts w:ascii="Times New Roman" w:eastAsia="SimSun" w:hAnsi="Times New Roman"/>
          <w:sz w:val="24"/>
          <w:szCs w:val="24"/>
          <w:vertAlign w:val="subscript"/>
        </w:rPr>
        <w:t>B</w:t>
      </w:r>
      <w:r w:rsidRPr="00AE47C6">
        <w:rPr>
          <w:rFonts w:ascii="Times New Roman" w:eastAsia="SimSun" w:hAnsi="Times New Roman"/>
          <w:sz w:val="24"/>
          <w:szCs w:val="24"/>
        </w:rPr>
        <w:t xml:space="preserve">, анти-GAD 65 антитела и последващо търсене на други по-редки антитела, както и съхраняване на ликвор за други изследвания. </w:t>
      </w:r>
    </w:p>
    <w:p w14:paraId="7E6E630D"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Основните клинични видове автоимунни енцефалити са анти-NMDAR, лимбичните, stiff-person синдром (SPS) и варианти, вкл. прогресиращ енцефаломиелит с ригидност и миоклонус (PERM), dopamine (пост-стрептококов) автоимунен енцефалит, neuromyelitis optica (анти-AQP4) и анти-MOG асоцииран енцефаломиелит, стволов енцефалит на Bickerstaff, енцефалит на Rasmussen, opsoclonus-myoclonus, енцефалопатия на Hashimoto. </w:t>
      </w:r>
    </w:p>
    <w:p w14:paraId="6BDAF4F0"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93" w:name="_Toc155651745"/>
      <w:bookmarkStart w:id="94" w:name="_Toc164075877"/>
      <w:r w:rsidRPr="00AE47C6">
        <w:rPr>
          <w:rFonts w:ascii="Times New Roman" w:eastAsia="SimSun" w:hAnsi="Times New Roman"/>
          <w:b/>
          <w:sz w:val="24"/>
          <w:szCs w:val="20"/>
          <w:lang w:eastAsia="ja-JP"/>
        </w:rPr>
        <w:t>4.3.1. Анти-NMDAR енцефалит</w:t>
      </w:r>
      <w:bookmarkEnd w:id="93"/>
      <w:bookmarkEnd w:id="94"/>
    </w:p>
    <w:p w14:paraId="49F387E8" w14:textId="77777777" w:rsidR="00BE0B19" w:rsidRPr="00AE47C6" w:rsidRDefault="00BE0B19" w:rsidP="00BE0B19">
      <w:pPr>
        <w:autoSpaceDE w:val="0"/>
        <w:autoSpaceDN w:val="0"/>
        <w:adjustRightInd w:val="0"/>
        <w:spacing w:after="0" w:line="360" w:lineRule="auto"/>
        <w:ind w:firstLine="709"/>
        <w:jc w:val="both"/>
        <w:rPr>
          <w:rFonts w:ascii="Times New Roman" w:eastAsiaTheme="minorHAnsi" w:hAnsi="Times New Roman"/>
          <w:sz w:val="24"/>
          <w:szCs w:val="24"/>
        </w:rPr>
      </w:pPr>
      <w:r w:rsidRPr="00AE47C6">
        <w:rPr>
          <w:rFonts w:ascii="Times New Roman" w:eastAsia="SimSun" w:hAnsi="Times New Roman"/>
          <w:b/>
          <w:bCs/>
          <w:sz w:val="24"/>
          <w:szCs w:val="24"/>
          <w:u w:val="single"/>
        </w:rPr>
        <w:t>Анти-NMDAR енцефалитите</w:t>
      </w:r>
      <w:r w:rsidRPr="00AE47C6">
        <w:rPr>
          <w:rFonts w:ascii="Times New Roman" w:eastAsia="SimSun" w:hAnsi="Times New Roman"/>
          <w:bCs/>
          <w:sz w:val="24"/>
          <w:szCs w:val="24"/>
        </w:rPr>
        <w:t xml:space="preserve"> са най-честите след ADEM при децата и протичат с начално главоболие, температура, гастроинтестинални или респираторни прояви (хиповентилация), а в следващите 2 седмици се изявяват нарушения на съня (инсомния), тревожност, психози (халюцинации, делир, възбуда, мания), поведенчески нарушения с дефицит на внимание, паметови нарушения, епилептични припадъци с терапевтична резистентност до епилептичен статус, екстрапирамиден синдром (дискинезии, дистонии, двигателни стереотипии), окулогирни кризи, кататония, мутизъм. При децата до 12 г. водещи са поведенческите отклонения, епилептичните припадъци и двигателните нарушения (екстрапирамидна симптоматика), а над 12 г.- поведенческите нарушения и фокалните епилептични пристъпи. Изолирани са анти-NMDAR антитела</w:t>
      </w:r>
      <w:r w:rsidRPr="00AE47C6">
        <w:rPr>
          <w:rFonts w:ascii="Times New Roman" w:eastAsia="SimSun" w:hAnsi="Times New Roman"/>
          <w:sz w:val="24"/>
          <w:szCs w:val="24"/>
        </w:rPr>
        <w:t xml:space="preserve">, glutamate NR1 при тератом, вкл. в юношеска възраст. </w:t>
      </w:r>
      <w:r w:rsidRPr="00AE47C6">
        <w:rPr>
          <w:rFonts w:ascii="Times New Roman" w:eastAsia="SimSun" w:hAnsi="Times New Roman"/>
          <w:b/>
          <w:sz w:val="24"/>
          <w:szCs w:val="24"/>
          <w:shd w:val="clear" w:color="auto" w:fill="FFFFFF"/>
        </w:rPr>
        <w:t xml:space="preserve">МРТ </w:t>
      </w:r>
      <w:r w:rsidRPr="00AE47C6">
        <w:rPr>
          <w:rFonts w:ascii="Times New Roman" w:eastAsia="SimSun" w:hAnsi="Times New Roman"/>
          <w:sz w:val="24"/>
          <w:szCs w:val="24"/>
          <w:shd w:val="clear" w:color="auto" w:fill="FFFFFF"/>
        </w:rPr>
        <w:t>визуализира хиперинтензни при T</w:t>
      </w:r>
      <w:r w:rsidRPr="00AE47C6">
        <w:rPr>
          <w:rFonts w:ascii="Times New Roman" w:eastAsia="SimSun" w:hAnsi="Times New Roman"/>
          <w:sz w:val="24"/>
          <w:szCs w:val="24"/>
          <w:shd w:val="clear" w:color="auto" w:fill="FFFFFF"/>
          <w:vertAlign w:val="subscript"/>
        </w:rPr>
        <w:t>2</w:t>
      </w:r>
      <w:r w:rsidRPr="00AE47C6">
        <w:rPr>
          <w:rFonts w:ascii="Times New Roman" w:eastAsia="SimSun" w:hAnsi="Times New Roman"/>
          <w:sz w:val="24"/>
          <w:szCs w:val="24"/>
          <w:shd w:val="clear" w:color="auto" w:fill="FFFFFF"/>
        </w:rPr>
        <w:t xml:space="preserve"> и FLAIR лезии в хипокампите, мозъчната кора на главния и малкия мозък, фронто базално, в insula, базалните ганглии, мозъчния ствол и рядко в гръбначния мозък при около 50% от пациентите</w:t>
      </w:r>
      <w:r w:rsidRPr="00AE47C6">
        <w:rPr>
          <w:rFonts w:ascii="Times New Roman" w:eastAsia="SimSun" w:hAnsi="Times New Roman"/>
          <w:sz w:val="24"/>
          <w:szCs w:val="24"/>
        </w:rPr>
        <w:t xml:space="preserve">. След прекаран HSV енцефалит са описани и случаи на </w:t>
      </w:r>
      <w:r w:rsidRPr="00AE47C6">
        <w:rPr>
          <w:rFonts w:ascii="Times New Roman" w:eastAsia="SimSun" w:hAnsi="Times New Roman"/>
          <w:bCs/>
          <w:sz w:val="24"/>
          <w:szCs w:val="24"/>
        </w:rPr>
        <w:t>анти-NMDAR енцефалити</w:t>
      </w:r>
      <w:r w:rsidRPr="00AE47C6">
        <w:rPr>
          <w:rFonts w:ascii="Times New Roman" w:eastAsia="SimSun" w:hAnsi="Times New Roman"/>
          <w:sz w:val="24"/>
          <w:szCs w:val="24"/>
        </w:rPr>
        <w:t xml:space="preserve">. Сравненията между деца и възрастни с автоимунен NMDAR енцефалит, развил се след HSV енцефалит установяват, че при децата наличието на двигателни разстройства помагат за клиничното различаване от рецидив на HSV енцефалит. </w:t>
      </w:r>
      <w:r w:rsidRPr="00AE47C6">
        <w:rPr>
          <w:rFonts w:ascii="Times New Roman" w:eastAsia="SimSun" w:hAnsi="Times New Roman"/>
          <w:bCs/>
          <w:sz w:val="24"/>
          <w:szCs w:val="24"/>
        </w:rPr>
        <w:t xml:space="preserve">Анти-NMDAR енцефалитът </w:t>
      </w:r>
      <w:r w:rsidRPr="00AE47C6">
        <w:rPr>
          <w:rFonts w:ascii="Times New Roman" w:eastAsia="SimSun" w:hAnsi="Times New Roman"/>
          <w:sz w:val="24"/>
          <w:szCs w:val="24"/>
        </w:rPr>
        <w:t xml:space="preserve">се характеризира с </w:t>
      </w:r>
      <w:r w:rsidRPr="00AE47C6">
        <w:rPr>
          <w:rFonts w:ascii="Times New Roman" w:eastAsia="SimSun" w:hAnsi="Times New Roman"/>
          <w:bCs/>
          <w:sz w:val="24"/>
          <w:szCs w:val="24"/>
        </w:rPr>
        <w:t xml:space="preserve">по-чести двигателни разстройства в сравнение с HSE </w:t>
      </w:r>
      <w:r w:rsidRPr="00AE47C6">
        <w:rPr>
          <w:rFonts w:ascii="Times New Roman" w:eastAsia="SimSun" w:hAnsi="Times New Roman"/>
          <w:sz w:val="24"/>
          <w:szCs w:val="24"/>
        </w:rPr>
        <w:t xml:space="preserve">(75% срещу 2,5%) и </w:t>
      </w:r>
      <w:r w:rsidRPr="00AE47C6">
        <w:rPr>
          <w:rFonts w:ascii="Times New Roman" w:eastAsia="SimSun" w:hAnsi="Times New Roman"/>
          <w:bCs/>
          <w:sz w:val="24"/>
          <w:szCs w:val="24"/>
        </w:rPr>
        <w:t>по-нисък % епилепсия (30% срещу 70%)</w:t>
      </w:r>
      <w:r w:rsidRPr="00AE47C6">
        <w:rPr>
          <w:rFonts w:ascii="Times New Roman" w:eastAsia="SimSun" w:hAnsi="Times New Roman"/>
          <w:sz w:val="24"/>
          <w:szCs w:val="24"/>
        </w:rPr>
        <w:t xml:space="preserve">. В сравнение с възрастните при децата е по-кратка латентността между HSE и анти-NMDAR енцефалит (средно 24 дни в сравнение 40,5 дни при възрастните); при анти-NMDAR енцефалита при децата се наблюдават по-често двигателни нарушения </w:t>
      </w:r>
      <w:r w:rsidRPr="00AE47C6">
        <w:rPr>
          <w:rFonts w:ascii="Times New Roman" w:eastAsia="SimSun" w:hAnsi="Times New Roman"/>
          <w:bCs/>
          <w:sz w:val="24"/>
          <w:szCs w:val="24"/>
        </w:rPr>
        <w:t>(86,7% срещу 40% при възрастните) и по-рядко психиатрични синдроми (41,9% деца с/у 90,0% възрастни</w:t>
      </w:r>
      <w:r w:rsidRPr="00AE47C6">
        <w:rPr>
          <w:rFonts w:ascii="Times New Roman" w:eastAsia="SimSun" w:hAnsi="Times New Roman"/>
          <w:sz w:val="24"/>
          <w:szCs w:val="24"/>
        </w:rPr>
        <w:t>), а протичането е по-тежко.</w:t>
      </w:r>
    </w:p>
    <w:p w14:paraId="1EB1BEB4" w14:textId="77777777" w:rsidR="00BE0B19" w:rsidRPr="00AE47C6" w:rsidRDefault="00BE0B19" w:rsidP="00BE0B19">
      <w:pPr>
        <w:pBdr>
          <w:top w:val="single" w:sz="4" w:space="1" w:color="auto"/>
          <w:left w:val="single" w:sz="4" w:space="4" w:color="auto"/>
          <w:bottom w:val="single" w:sz="4" w:space="1" w:color="auto"/>
          <w:right w:val="single" w:sz="4" w:space="4" w:color="auto"/>
        </w:pBdr>
        <w:shd w:val="clear" w:color="auto" w:fill="FFFFFF"/>
        <w:spacing w:after="0" w:line="360" w:lineRule="auto"/>
        <w:ind w:firstLine="709"/>
        <w:jc w:val="both"/>
        <w:textAlignment w:val="top"/>
        <w:rPr>
          <w:rFonts w:ascii="Times New Roman" w:eastAsia="SimSun" w:hAnsi="Times New Roman"/>
          <w:b/>
          <w:bCs/>
          <w:iCs/>
          <w:sz w:val="24"/>
          <w:szCs w:val="24"/>
        </w:rPr>
      </w:pPr>
      <w:r w:rsidRPr="00AE47C6">
        <w:rPr>
          <w:rFonts w:ascii="Times New Roman" w:eastAsia="SimSun" w:hAnsi="Times New Roman"/>
          <w:b/>
          <w:bCs/>
          <w:i/>
          <w:sz w:val="24"/>
          <w:szCs w:val="24"/>
        </w:rPr>
        <w:t>Диагностични критерии при анти-NMDAR автоимунен енцефалит</w:t>
      </w:r>
    </w:p>
    <w:p w14:paraId="23EDB6B1" w14:textId="77777777" w:rsidR="00BE0B19" w:rsidRPr="00AE47C6" w:rsidRDefault="00BE0B19" w:rsidP="00BE0B19">
      <w:pPr>
        <w:pBdr>
          <w:top w:val="single" w:sz="4" w:space="1" w:color="auto"/>
          <w:left w:val="single" w:sz="4" w:space="4" w:color="auto"/>
          <w:bottom w:val="single" w:sz="4" w:space="1" w:color="auto"/>
          <w:right w:val="single" w:sz="4" w:space="4" w:color="auto"/>
        </w:pBdr>
        <w:shd w:val="clear" w:color="auto" w:fill="FFFFFF"/>
        <w:spacing w:after="0" w:line="360" w:lineRule="auto"/>
        <w:ind w:firstLine="709"/>
        <w:jc w:val="both"/>
        <w:textAlignment w:val="top"/>
        <w:rPr>
          <w:rFonts w:ascii="Times New Roman" w:eastAsia="SimSun" w:hAnsi="Times New Roman"/>
          <w:b/>
          <w:bCs/>
          <w:sz w:val="24"/>
          <w:szCs w:val="24"/>
        </w:rPr>
      </w:pPr>
      <w:r w:rsidRPr="00AE47C6">
        <w:rPr>
          <w:rFonts w:ascii="Times New Roman" w:eastAsia="SimSun" w:hAnsi="Times New Roman"/>
          <w:b/>
          <w:bCs/>
          <w:sz w:val="24"/>
          <w:szCs w:val="24"/>
        </w:rPr>
        <w:t xml:space="preserve">І. </w:t>
      </w:r>
      <w:r w:rsidRPr="00AE47C6">
        <w:rPr>
          <w:rFonts w:ascii="Times New Roman" w:eastAsia="SimSun" w:hAnsi="Times New Roman"/>
          <w:b/>
          <w:bCs/>
          <w:i/>
          <w:sz w:val="24"/>
          <w:szCs w:val="24"/>
        </w:rPr>
        <w:t>Вероятен анти-NMDAR енцефалит</w:t>
      </w:r>
    </w:p>
    <w:p w14:paraId="718659B9" w14:textId="77777777" w:rsidR="00BE0B19" w:rsidRPr="00AE47C6" w:rsidRDefault="00BE0B19" w:rsidP="00BE0B19">
      <w:pPr>
        <w:pBdr>
          <w:top w:val="single" w:sz="4" w:space="1" w:color="auto"/>
          <w:left w:val="single" w:sz="4" w:space="4" w:color="auto"/>
          <w:bottom w:val="single" w:sz="4" w:space="1" w:color="auto"/>
          <w:right w:val="single" w:sz="4" w:space="4" w:color="auto"/>
        </w:pBdr>
        <w:shd w:val="clear" w:color="auto" w:fill="FFFFFF"/>
        <w:spacing w:after="0" w:line="360" w:lineRule="auto"/>
        <w:ind w:firstLine="709"/>
        <w:jc w:val="both"/>
        <w:textAlignment w:val="top"/>
        <w:rPr>
          <w:rFonts w:ascii="Times New Roman" w:eastAsia="SimSun" w:hAnsi="Times New Roman"/>
          <w:sz w:val="24"/>
          <w:szCs w:val="24"/>
        </w:rPr>
      </w:pPr>
      <w:r w:rsidRPr="00AE47C6">
        <w:rPr>
          <w:rFonts w:ascii="Times New Roman" w:eastAsia="SimSun" w:hAnsi="Times New Roman"/>
          <w:bCs/>
          <w:sz w:val="24"/>
          <w:szCs w:val="24"/>
        </w:rPr>
        <w:t>Диагностицира се при наличие на 3 групи симптоми:</w:t>
      </w:r>
    </w:p>
    <w:p w14:paraId="4A2CFB9A" w14:textId="77777777" w:rsidR="00BE0B19" w:rsidRPr="00AE47C6" w:rsidRDefault="00BE0B19" w:rsidP="00BE0B19">
      <w:pPr>
        <w:pBdr>
          <w:top w:val="single" w:sz="4" w:space="1" w:color="auto"/>
          <w:left w:val="single" w:sz="4" w:space="4" w:color="auto"/>
          <w:bottom w:val="single" w:sz="4" w:space="1" w:color="auto"/>
          <w:right w:val="single" w:sz="4" w:space="4" w:color="auto"/>
        </w:pBdr>
        <w:shd w:val="clear" w:color="auto" w:fill="FFFFFF"/>
        <w:spacing w:after="0" w:line="360" w:lineRule="auto"/>
        <w:ind w:firstLine="709"/>
        <w:jc w:val="both"/>
        <w:textAlignment w:val="top"/>
        <w:rPr>
          <w:rFonts w:ascii="Times New Roman" w:eastAsia="SimSun" w:hAnsi="Times New Roman"/>
          <w:sz w:val="24"/>
          <w:szCs w:val="24"/>
        </w:rPr>
      </w:pPr>
      <w:r w:rsidRPr="00AE47C6">
        <w:rPr>
          <w:rFonts w:ascii="Times New Roman" w:eastAsia="SimSun" w:hAnsi="Times New Roman"/>
          <w:bCs/>
          <w:sz w:val="24"/>
          <w:szCs w:val="24"/>
        </w:rPr>
        <w:t>1 . Бързо начало (под 3 месеца) и поне 4 от 6 групи симптоми:</w:t>
      </w:r>
    </w:p>
    <w:p w14:paraId="3ABD2447" w14:textId="77777777" w:rsidR="00BE0B19" w:rsidRPr="00AE47C6" w:rsidRDefault="00BE0B19" w:rsidP="00BE0B19">
      <w:pPr>
        <w:numPr>
          <w:ilvl w:val="0"/>
          <w:numId w:val="262"/>
        </w:numPr>
        <w:pBdr>
          <w:top w:val="single" w:sz="4" w:space="1" w:color="auto"/>
          <w:left w:val="single" w:sz="4" w:space="4" w:color="auto"/>
          <w:bottom w:val="single" w:sz="4" w:space="1" w:color="auto"/>
          <w:right w:val="single" w:sz="4" w:space="4" w:color="auto"/>
        </w:pBdr>
        <w:shd w:val="clear" w:color="auto" w:fill="FFFFFF"/>
        <w:spacing w:after="0" w:line="360" w:lineRule="auto"/>
        <w:ind w:left="0" w:firstLine="709"/>
        <w:jc w:val="both"/>
        <w:textAlignment w:val="top"/>
        <w:rPr>
          <w:rFonts w:ascii="Times New Roman" w:eastAsia="SimSun" w:hAnsi="Times New Roman"/>
          <w:sz w:val="24"/>
          <w:szCs w:val="24"/>
        </w:rPr>
      </w:pPr>
      <w:r w:rsidRPr="00AE47C6">
        <w:rPr>
          <w:rFonts w:ascii="Times New Roman" w:eastAsia="SimSun" w:hAnsi="Times New Roman"/>
          <w:bCs/>
          <w:sz w:val="24"/>
          <w:szCs w:val="24"/>
        </w:rPr>
        <w:t xml:space="preserve">Абнормно (психиатрично) поведение или когнитивна дисфункция </w:t>
      </w:r>
    </w:p>
    <w:p w14:paraId="05258FC3" w14:textId="77777777" w:rsidR="00BE0B19" w:rsidRPr="00AE47C6" w:rsidRDefault="00BE0B19" w:rsidP="00BE0B19">
      <w:pPr>
        <w:numPr>
          <w:ilvl w:val="0"/>
          <w:numId w:val="262"/>
        </w:numPr>
        <w:pBdr>
          <w:top w:val="single" w:sz="4" w:space="1" w:color="auto"/>
          <w:left w:val="single" w:sz="4" w:space="4" w:color="auto"/>
          <w:bottom w:val="single" w:sz="4" w:space="1" w:color="auto"/>
          <w:right w:val="single" w:sz="4" w:space="4" w:color="auto"/>
        </w:pBdr>
        <w:shd w:val="clear" w:color="auto" w:fill="FFFFFF"/>
        <w:spacing w:after="0" w:line="360" w:lineRule="auto"/>
        <w:ind w:left="0" w:firstLine="709"/>
        <w:jc w:val="both"/>
        <w:textAlignment w:val="top"/>
        <w:rPr>
          <w:rFonts w:ascii="Times New Roman" w:eastAsia="SimSun" w:hAnsi="Times New Roman"/>
          <w:sz w:val="24"/>
          <w:szCs w:val="24"/>
        </w:rPr>
      </w:pPr>
      <w:r w:rsidRPr="00AE47C6">
        <w:rPr>
          <w:rFonts w:ascii="Times New Roman" w:eastAsia="SimSun" w:hAnsi="Times New Roman"/>
          <w:bCs/>
          <w:sz w:val="24"/>
          <w:szCs w:val="24"/>
        </w:rPr>
        <w:t xml:space="preserve">Речева дисфункция - забавена, обедняла, мутизъм </w:t>
      </w:r>
    </w:p>
    <w:p w14:paraId="0D08E8C3" w14:textId="77777777" w:rsidR="00BE0B19" w:rsidRPr="00AE47C6" w:rsidRDefault="00BE0B19" w:rsidP="00BE0B19">
      <w:pPr>
        <w:numPr>
          <w:ilvl w:val="0"/>
          <w:numId w:val="262"/>
        </w:numPr>
        <w:pBdr>
          <w:top w:val="single" w:sz="4" w:space="1" w:color="auto"/>
          <w:left w:val="single" w:sz="4" w:space="4" w:color="auto"/>
          <w:bottom w:val="single" w:sz="4" w:space="1" w:color="auto"/>
          <w:right w:val="single" w:sz="4" w:space="4" w:color="auto"/>
        </w:pBdr>
        <w:shd w:val="clear" w:color="auto" w:fill="FFFFFF"/>
        <w:spacing w:after="0" w:line="360" w:lineRule="auto"/>
        <w:ind w:left="0" w:firstLine="709"/>
        <w:jc w:val="both"/>
        <w:textAlignment w:val="top"/>
        <w:rPr>
          <w:rFonts w:ascii="Times New Roman" w:eastAsia="SimSun" w:hAnsi="Times New Roman"/>
          <w:sz w:val="24"/>
          <w:szCs w:val="24"/>
        </w:rPr>
      </w:pPr>
      <w:r w:rsidRPr="00AE47C6">
        <w:rPr>
          <w:rFonts w:ascii="Times New Roman" w:eastAsia="SimSun" w:hAnsi="Times New Roman"/>
          <w:bCs/>
          <w:sz w:val="24"/>
          <w:szCs w:val="24"/>
        </w:rPr>
        <w:t xml:space="preserve">Гърчове </w:t>
      </w:r>
    </w:p>
    <w:p w14:paraId="29D627CE" w14:textId="77777777" w:rsidR="00BE0B19" w:rsidRPr="00AE47C6" w:rsidRDefault="00BE0B19" w:rsidP="00BE0B19">
      <w:pPr>
        <w:numPr>
          <w:ilvl w:val="0"/>
          <w:numId w:val="262"/>
        </w:numPr>
        <w:pBdr>
          <w:top w:val="single" w:sz="4" w:space="1" w:color="auto"/>
          <w:left w:val="single" w:sz="4" w:space="4" w:color="auto"/>
          <w:bottom w:val="single" w:sz="4" w:space="1" w:color="auto"/>
          <w:right w:val="single" w:sz="4" w:space="4" w:color="auto"/>
        </w:pBdr>
        <w:shd w:val="clear" w:color="auto" w:fill="FFFFFF"/>
        <w:spacing w:after="0" w:line="360" w:lineRule="auto"/>
        <w:ind w:left="0" w:firstLine="709"/>
        <w:jc w:val="both"/>
        <w:textAlignment w:val="top"/>
        <w:rPr>
          <w:rFonts w:ascii="Times New Roman" w:eastAsia="SimSun" w:hAnsi="Times New Roman"/>
          <w:sz w:val="24"/>
          <w:szCs w:val="24"/>
        </w:rPr>
      </w:pPr>
      <w:r w:rsidRPr="00AE47C6">
        <w:rPr>
          <w:rFonts w:ascii="Times New Roman" w:eastAsia="SimSun" w:hAnsi="Times New Roman"/>
          <w:bCs/>
          <w:sz w:val="24"/>
          <w:szCs w:val="24"/>
        </w:rPr>
        <w:t xml:space="preserve">Двигателни разстройства, дискинезии, ригидност, абнормна поза </w:t>
      </w:r>
    </w:p>
    <w:p w14:paraId="17C1CEB3" w14:textId="77777777" w:rsidR="00BE0B19" w:rsidRPr="00AE47C6" w:rsidRDefault="00BE0B19" w:rsidP="00BE0B19">
      <w:pPr>
        <w:numPr>
          <w:ilvl w:val="0"/>
          <w:numId w:val="262"/>
        </w:numPr>
        <w:pBdr>
          <w:top w:val="single" w:sz="4" w:space="1" w:color="auto"/>
          <w:left w:val="single" w:sz="4" w:space="4" w:color="auto"/>
          <w:bottom w:val="single" w:sz="4" w:space="1" w:color="auto"/>
          <w:right w:val="single" w:sz="4" w:space="4" w:color="auto"/>
        </w:pBdr>
        <w:shd w:val="clear" w:color="auto" w:fill="FFFFFF"/>
        <w:spacing w:after="0" w:line="360" w:lineRule="auto"/>
        <w:ind w:left="0" w:firstLine="709"/>
        <w:jc w:val="both"/>
        <w:textAlignment w:val="top"/>
        <w:rPr>
          <w:rFonts w:ascii="Times New Roman" w:eastAsia="SimSun" w:hAnsi="Times New Roman"/>
          <w:sz w:val="24"/>
          <w:szCs w:val="24"/>
        </w:rPr>
      </w:pPr>
      <w:r w:rsidRPr="00AE47C6">
        <w:rPr>
          <w:rFonts w:ascii="Times New Roman" w:eastAsia="SimSun" w:hAnsi="Times New Roman"/>
          <w:bCs/>
          <w:sz w:val="24"/>
          <w:szCs w:val="24"/>
        </w:rPr>
        <w:t xml:space="preserve">Промени в съзнанието </w:t>
      </w:r>
    </w:p>
    <w:p w14:paraId="012359BC" w14:textId="77777777" w:rsidR="00BE0B19" w:rsidRPr="00AE47C6" w:rsidRDefault="00BE0B19" w:rsidP="00BE0B19">
      <w:pPr>
        <w:numPr>
          <w:ilvl w:val="0"/>
          <w:numId w:val="262"/>
        </w:numPr>
        <w:pBdr>
          <w:top w:val="single" w:sz="4" w:space="1" w:color="auto"/>
          <w:left w:val="single" w:sz="4" w:space="4" w:color="auto"/>
          <w:bottom w:val="single" w:sz="4" w:space="1" w:color="auto"/>
          <w:right w:val="single" w:sz="4" w:space="4" w:color="auto"/>
        </w:pBdr>
        <w:shd w:val="clear" w:color="auto" w:fill="FFFFFF"/>
        <w:spacing w:after="0" w:line="360" w:lineRule="auto"/>
        <w:ind w:left="0" w:firstLine="709"/>
        <w:jc w:val="both"/>
        <w:textAlignment w:val="top"/>
        <w:rPr>
          <w:rFonts w:ascii="Times New Roman" w:eastAsia="SimSun" w:hAnsi="Times New Roman"/>
          <w:sz w:val="24"/>
          <w:szCs w:val="24"/>
        </w:rPr>
      </w:pPr>
      <w:r w:rsidRPr="00AE47C6">
        <w:rPr>
          <w:rFonts w:ascii="Times New Roman" w:eastAsia="SimSun" w:hAnsi="Times New Roman"/>
          <w:bCs/>
          <w:sz w:val="24"/>
          <w:szCs w:val="24"/>
        </w:rPr>
        <w:t xml:space="preserve">Автономна дисфункция или централна хиповентилация </w:t>
      </w:r>
    </w:p>
    <w:p w14:paraId="44363752" w14:textId="77777777" w:rsidR="00BE0B19" w:rsidRPr="00AE47C6" w:rsidRDefault="00BE0B19" w:rsidP="00BE0B19">
      <w:pPr>
        <w:pBdr>
          <w:top w:val="single" w:sz="4" w:space="1" w:color="auto"/>
          <w:left w:val="single" w:sz="4" w:space="4" w:color="auto"/>
          <w:bottom w:val="single" w:sz="4" w:space="1" w:color="auto"/>
          <w:right w:val="single" w:sz="4" w:space="4" w:color="auto"/>
        </w:pBdr>
        <w:shd w:val="clear" w:color="auto" w:fill="FFFFFF"/>
        <w:spacing w:after="0" w:line="360" w:lineRule="auto"/>
        <w:ind w:firstLine="709"/>
        <w:jc w:val="both"/>
        <w:textAlignment w:val="top"/>
        <w:rPr>
          <w:rFonts w:ascii="Times New Roman" w:eastAsia="SimSun" w:hAnsi="Times New Roman"/>
          <w:sz w:val="24"/>
          <w:szCs w:val="24"/>
        </w:rPr>
      </w:pPr>
      <w:r w:rsidRPr="00AE47C6">
        <w:rPr>
          <w:rFonts w:ascii="Times New Roman" w:eastAsia="SimSun" w:hAnsi="Times New Roman"/>
          <w:bCs/>
          <w:sz w:val="24"/>
          <w:szCs w:val="24"/>
        </w:rPr>
        <w:t>2. Поне 1 от следните лабораторни резултати:</w:t>
      </w:r>
    </w:p>
    <w:p w14:paraId="6EF51D34" w14:textId="77777777" w:rsidR="00BE0B19" w:rsidRPr="00AE47C6" w:rsidRDefault="00BE0B19" w:rsidP="00BE0B19">
      <w:pPr>
        <w:numPr>
          <w:ilvl w:val="0"/>
          <w:numId w:val="263"/>
        </w:numPr>
        <w:pBdr>
          <w:top w:val="single" w:sz="4" w:space="1" w:color="auto"/>
          <w:left w:val="single" w:sz="4" w:space="4" w:color="auto"/>
          <w:bottom w:val="single" w:sz="4" w:space="1" w:color="auto"/>
          <w:right w:val="single" w:sz="4" w:space="4" w:color="auto"/>
        </w:pBdr>
        <w:shd w:val="clear" w:color="auto" w:fill="FFFFFF"/>
        <w:spacing w:after="0" w:line="360" w:lineRule="auto"/>
        <w:ind w:left="0" w:firstLine="709"/>
        <w:jc w:val="both"/>
        <w:textAlignment w:val="top"/>
        <w:rPr>
          <w:rFonts w:ascii="Times New Roman" w:eastAsia="SimSun" w:hAnsi="Times New Roman"/>
          <w:sz w:val="24"/>
          <w:szCs w:val="24"/>
        </w:rPr>
      </w:pPr>
      <w:r w:rsidRPr="00AE47C6">
        <w:rPr>
          <w:rFonts w:ascii="Times New Roman" w:eastAsia="SimSun" w:hAnsi="Times New Roman"/>
          <w:bCs/>
          <w:sz w:val="24"/>
          <w:szCs w:val="24"/>
        </w:rPr>
        <w:t>Абнормна ЕЕГ (фокална или дифузно забавена, дезорганизирана епилептична активност или изобилие от делта вълни)</w:t>
      </w:r>
    </w:p>
    <w:p w14:paraId="4C6E4615" w14:textId="77777777" w:rsidR="00BE0B19" w:rsidRPr="00AE47C6" w:rsidRDefault="00BE0B19" w:rsidP="00BE0B19">
      <w:pPr>
        <w:numPr>
          <w:ilvl w:val="0"/>
          <w:numId w:val="263"/>
        </w:numPr>
        <w:pBdr>
          <w:top w:val="single" w:sz="4" w:space="1" w:color="auto"/>
          <w:left w:val="single" w:sz="4" w:space="4" w:color="auto"/>
          <w:bottom w:val="single" w:sz="4" w:space="1" w:color="auto"/>
          <w:right w:val="single" w:sz="4" w:space="4" w:color="auto"/>
        </w:pBdr>
        <w:shd w:val="clear" w:color="auto" w:fill="FFFFFF"/>
        <w:spacing w:after="0" w:line="360" w:lineRule="auto"/>
        <w:ind w:left="0" w:firstLine="709"/>
        <w:jc w:val="both"/>
        <w:textAlignment w:val="top"/>
        <w:rPr>
          <w:rFonts w:ascii="Times New Roman" w:eastAsia="SimSun" w:hAnsi="Times New Roman"/>
          <w:sz w:val="24"/>
          <w:szCs w:val="24"/>
        </w:rPr>
      </w:pPr>
      <w:r w:rsidRPr="00AE47C6">
        <w:rPr>
          <w:rFonts w:ascii="Times New Roman" w:eastAsia="SimSun" w:hAnsi="Times New Roman"/>
          <w:bCs/>
          <w:sz w:val="24"/>
          <w:szCs w:val="24"/>
        </w:rPr>
        <w:t>Ликворна плеоцитоза или олигоклоналност</w:t>
      </w:r>
    </w:p>
    <w:p w14:paraId="3D836693" w14:textId="77777777" w:rsidR="00BE0B19" w:rsidRPr="00AE47C6" w:rsidRDefault="00BE0B19" w:rsidP="00BE0B19">
      <w:pPr>
        <w:pBdr>
          <w:top w:val="single" w:sz="4" w:space="1" w:color="auto"/>
          <w:left w:val="single" w:sz="4" w:space="4" w:color="auto"/>
          <w:bottom w:val="single" w:sz="4" w:space="1" w:color="auto"/>
          <w:right w:val="single" w:sz="4" w:space="4" w:color="auto"/>
        </w:pBdr>
        <w:shd w:val="clear" w:color="auto" w:fill="FFFFFF"/>
        <w:spacing w:after="0" w:line="360" w:lineRule="auto"/>
        <w:ind w:firstLine="709"/>
        <w:jc w:val="both"/>
        <w:textAlignment w:val="top"/>
        <w:rPr>
          <w:rFonts w:ascii="Times New Roman" w:eastAsia="SimSun" w:hAnsi="Times New Roman"/>
          <w:bCs/>
          <w:sz w:val="24"/>
          <w:szCs w:val="24"/>
        </w:rPr>
      </w:pPr>
      <w:r w:rsidRPr="00AE47C6">
        <w:rPr>
          <w:rFonts w:ascii="Times New Roman" w:eastAsia="SimSun" w:hAnsi="Times New Roman"/>
          <w:bCs/>
          <w:sz w:val="24"/>
          <w:szCs w:val="24"/>
        </w:rPr>
        <w:t xml:space="preserve">3 . Изключени други възможни причини </w:t>
      </w:r>
    </w:p>
    <w:p w14:paraId="7502F229" w14:textId="77777777" w:rsidR="00BE0B19" w:rsidRPr="00AE47C6" w:rsidRDefault="00BE0B19" w:rsidP="00BE0B19">
      <w:pPr>
        <w:numPr>
          <w:ilvl w:val="0"/>
          <w:numId w:val="264"/>
        </w:numPr>
        <w:pBdr>
          <w:top w:val="single" w:sz="4" w:space="1" w:color="auto"/>
          <w:left w:val="single" w:sz="4" w:space="4" w:color="auto"/>
          <w:bottom w:val="single" w:sz="4" w:space="1" w:color="auto"/>
          <w:right w:val="single" w:sz="4" w:space="4" w:color="auto"/>
        </w:pBdr>
        <w:shd w:val="clear" w:color="auto" w:fill="FFFFFF"/>
        <w:spacing w:after="0" w:line="360" w:lineRule="auto"/>
        <w:ind w:left="0" w:firstLine="709"/>
        <w:jc w:val="both"/>
        <w:textAlignment w:val="top"/>
        <w:rPr>
          <w:rFonts w:ascii="Times New Roman" w:eastAsia="SimSun" w:hAnsi="Times New Roman"/>
          <w:sz w:val="24"/>
          <w:szCs w:val="24"/>
        </w:rPr>
      </w:pPr>
      <w:r w:rsidRPr="00AE47C6">
        <w:rPr>
          <w:rFonts w:ascii="Times New Roman" w:eastAsia="SimSun" w:hAnsi="Times New Roman"/>
          <w:sz w:val="24"/>
          <w:szCs w:val="24"/>
        </w:rPr>
        <w:t xml:space="preserve">Диагнозата е на основание на 3 от горните симптоми </w:t>
      </w:r>
    </w:p>
    <w:p w14:paraId="0D110A28" w14:textId="77777777" w:rsidR="00BE0B19" w:rsidRPr="00AE47C6" w:rsidRDefault="00BE0B19" w:rsidP="00BE0B19">
      <w:pPr>
        <w:numPr>
          <w:ilvl w:val="0"/>
          <w:numId w:val="264"/>
        </w:numPr>
        <w:pBdr>
          <w:top w:val="single" w:sz="4" w:space="1" w:color="auto"/>
          <w:left w:val="single" w:sz="4" w:space="4" w:color="auto"/>
          <w:bottom w:val="single" w:sz="4" w:space="1" w:color="auto"/>
          <w:right w:val="single" w:sz="4" w:space="4" w:color="auto"/>
        </w:pBdr>
        <w:shd w:val="clear" w:color="auto" w:fill="FFFFFF"/>
        <w:spacing w:after="0" w:line="360" w:lineRule="auto"/>
        <w:ind w:left="0" w:firstLine="709"/>
        <w:jc w:val="both"/>
        <w:textAlignment w:val="top"/>
        <w:rPr>
          <w:rFonts w:ascii="Times New Roman" w:eastAsia="SimSun" w:hAnsi="Times New Roman"/>
          <w:sz w:val="24"/>
          <w:szCs w:val="24"/>
        </w:rPr>
      </w:pPr>
      <w:r w:rsidRPr="00AE47C6">
        <w:rPr>
          <w:rFonts w:ascii="Times New Roman" w:eastAsia="SimSun" w:hAnsi="Times New Roman"/>
          <w:sz w:val="24"/>
          <w:szCs w:val="24"/>
        </w:rPr>
        <w:t xml:space="preserve">Наличие на тератом </w:t>
      </w:r>
    </w:p>
    <w:p w14:paraId="61BF4C5D" w14:textId="77777777" w:rsidR="00BE0B19" w:rsidRPr="00AE47C6" w:rsidRDefault="00BE0B19" w:rsidP="00BE0B19">
      <w:pPr>
        <w:pBdr>
          <w:top w:val="single" w:sz="4" w:space="1" w:color="auto"/>
          <w:left w:val="single" w:sz="4" w:space="4" w:color="auto"/>
          <w:bottom w:val="single" w:sz="4" w:space="1" w:color="auto"/>
          <w:right w:val="single" w:sz="4" w:space="4" w:color="auto"/>
        </w:pBdr>
        <w:shd w:val="clear" w:color="auto" w:fill="FFFFFF"/>
        <w:spacing w:after="0" w:line="360" w:lineRule="auto"/>
        <w:ind w:firstLine="709"/>
        <w:jc w:val="both"/>
        <w:textAlignment w:val="top"/>
        <w:rPr>
          <w:rFonts w:ascii="Times New Roman" w:eastAsia="SimSun" w:hAnsi="Times New Roman"/>
          <w:b/>
          <w:sz w:val="24"/>
          <w:szCs w:val="24"/>
        </w:rPr>
      </w:pPr>
      <w:r w:rsidRPr="00AE47C6">
        <w:rPr>
          <w:rFonts w:ascii="Times New Roman" w:eastAsia="SimSun" w:hAnsi="Times New Roman"/>
          <w:b/>
          <w:bCs/>
          <w:sz w:val="24"/>
          <w:szCs w:val="24"/>
        </w:rPr>
        <w:t xml:space="preserve">II. </w:t>
      </w:r>
      <w:r w:rsidRPr="00AE47C6">
        <w:rPr>
          <w:rFonts w:ascii="Times New Roman" w:eastAsia="SimSun" w:hAnsi="Times New Roman"/>
          <w:b/>
          <w:bCs/>
          <w:i/>
          <w:sz w:val="24"/>
          <w:szCs w:val="24"/>
        </w:rPr>
        <w:t>Сигурен анти-NMDAR енцефалит</w:t>
      </w:r>
    </w:p>
    <w:p w14:paraId="02E16F98" w14:textId="77777777" w:rsidR="00BE0B19" w:rsidRPr="00AE47C6" w:rsidRDefault="00BE0B19" w:rsidP="00BE0B19">
      <w:pPr>
        <w:numPr>
          <w:ilvl w:val="0"/>
          <w:numId w:val="268"/>
        </w:numPr>
        <w:pBdr>
          <w:top w:val="single" w:sz="4" w:space="1" w:color="auto"/>
          <w:left w:val="single" w:sz="4" w:space="4" w:color="auto"/>
          <w:bottom w:val="single" w:sz="4" w:space="1" w:color="auto"/>
          <w:right w:val="single" w:sz="4" w:space="4" w:color="auto"/>
        </w:pBdr>
        <w:shd w:val="clear" w:color="auto" w:fill="FFFFFF"/>
        <w:spacing w:after="0" w:line="360" w:lineRule="auto"/>
        <w:ind w:left="0" w:firstLine="709"/>
        <w:contextualSpacing/>
        <w:jc w:val="both"/>
        <w:textAlignment w:val="top"/>
        <w:rPr>
          <w:rFonts w:ascii="Times New Roman" w:eastAsia="SimSun" w:hAnsi="Times New Roman"/>
          <w:sz w:val="24"/>
          <w:szCs w:val="24"/>
        </w:rPr>
      </w:pPr>
      <w:r w:rsidRPr="00AE47C6">
        <w:rPr>
          <w:rFonts w:ascii="Times New Roman" w:eastAsia="SimSun" w:hAnsi="Times New Roman"/>
          <w:sz w:val="24"/>
          <w:szCs w:val="24"/>
        </w:rPr>
        <w:t xml:space="preserve">Диагноза </w:t>
      </w:r>
      <w:r w:rsidRPr="00AE47C6">
        <w:rPr>
          <w:rFonts w:ascii="Times New Roman" w:eastAsia="SimSun" w:hAnsi="Times New Roman"/>
          <w:bCs/>
          <w:sz w:val="24"/>
          <w:szCs w:val="24"/>
        </w:rPr>
        <w:t>при 1 или повече от6 IgG anti-GluN1 антитела</w:t>
      </w:r>
      <w:r w:rsidRPr="00AE47C6">
        <w:rPr>
          <w:rFonts w:ascii="Times New Roman" w:eastAsia="SimSun" w:hAnsi="Times New Roman"/>
          <w:sz w:val="24"/>
          <w:szCs w:val="24"/>
        </w:rPr>
        <w:t xml:space="preserve">, след изключване на други причини </w:t>
      </w:r>
    </w:p>
    <w:p w14:paraId="1D82CB99" w14:textId="77777777" w:rsidR="00BE0B19" w:rsidRPr="00AE47C6" w:rsidRDefault="00BE0B19" w:rsidP="00BE0B19">
      <w:pPr>
        <w:shd w:val="clear" w:color="auto" w:fill="FFFFFF"/>
        <w:spacing w:after="0" w:line="360" w:lineRule="auto"/>
        <w:ind w:firstLine="709"/>
        <w:jc w:val="both"/>
        <w:textAlignment w:val="top"/>
        <w:rPr>
          <w:rFonts w:ascii="Times New Roman" w:eastAsia="SimSun" w:hAnsi="Times New Roman"/>
          <w:sz w:val="24"/>
          <w:szCs w:val="24"/>
        </w:rPr>
      </w:pPr>
    </w:p>
    <w:p w14:paraId="3DC97AF6" w14:textId="77777777" w:rsidR="00BE0B19" w:rsidRPr="00AE47C6" w:rsidRDefault="00BE0B19" w:rsidP="00BE0B19">
      <w:pPr>
        <w:shd w:val="clear" w:color="auto" w:fill="FFFFFF"/>
        <w:spacing w:after="0" w:line="360" w:lineRule="auto"/>
        <w:ind w:firstLine="709"/>
        <w:jc w:val="both"/>
        <w:textAlignment w:val="top"/>
        <w:rPr>
          <w:rFonts w:ascii="Times New Roman" w:eastAsia="SimSun" w:hAnsi="Times New Roman"/>
          <w:sz w:val="24"/>
          <w:szCs w:val="24"/>
        </w:rPr>
      </w:pPr>
      <w:r w:rsidRPr="00AE47C6">
        <w:rPr>
          <w:rFonts w:ascii="Times New Roman" w:eastAsia="SimSun" w:hAnsi="Times New Roman"/>
          <w:sz w:val="24"/>
          <w:szCs w:val="24"/>
        </w:rPr>
        <w:t xml:space="preserve">Диференциалната диагноза при децата с anti-NMDAR енцефалит е широка и включва наличието на вирусен енцефалит, новодиагностицирана психоза, лимбичен енцефалит, прием на лекарства, невролептичен малигнен синдром (NMS), летаргичен енцефалит, дезинтегративни разстройства в детска възраст/аутизъм с късно начало, синдром на Kleine-Levin, вродени дефекти в метаболизма и редица заболявания с разстройства в моноаминните невротрансмитери (таблица 4.12.) </w:t>
      </w:r>
    </w:p>
    <w:p w14:paraId="757EF9B1" w14:textId="77777777" w:rsidR="00BE0B19" w:rsidRPr="00AE47C6" w:rsidRDefault="00BE0B19" w:rsidP="00BE0B19">
      <w:pPr>
        <w:shd w:val="clear" w:color="auto" w:fill="FFFFFF"/>
        <w:spacing w:after="0" w:line="360" w:lineRule="auto"/>
        <w:ind w:firstLine="709"/>
        <w:jc w:val="both"/>
        <w:textAlignment w:val="top"/>
        <w:rPr>
          <w:rFonts w:ascii="Times New Roman" w:eastAsia="SimSun" w:hAnsi="Times New Roman"/>
          <w:sz w:val="24"/>
          <w:szCs w:val="24"/>
        </w:rPr>
      </w:pPr>
      <w:r w:rsidRPr="00AE47C6">
        <w:rPr>
          <w:rFonts w:ascii="Times New Roman" w:eastAsia="SimSun" w:hAnsi="Times New Roman"/>
          <w:b/>
          <w:sz w:val="24"/>
          <w:szCs w:val="24"/>
        </w:rPr>
        <w:t xml:space="preserve">Таблица 4.12. </w:t>
      </w:r>
      <w:r w:rsidRPr="00AE47C6">
        <w:rPr>
          <w:rFonts w:ascii="Times New Roman" w:eastAsia="SimSun" w:hAnsi="Times New Roman"/>
          <w:sz w:val="24"/>
          <w:szCs w:val="24"/>
        </w:rPr>
        <w:t>Диференциална диагноза при анти-NMDAR енцефалит</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9"/>
        <w:gridCol w:w="6433"/>
      </w:tblGrid>
      <w:tr w:rsidR="00BE0B19" w:rsidRPr="00AE47C6" w14:paraId="48D6D788" w14:textId="77777777" w:rsidTr="00AD72E5">
        <w:trPr>
          <w:trHeight w:val="218"/>
        </w:trPr>
        <w:tc>
          <w:tcPr>
            <w:tcW w:w="2660" w:type="dxa"/>
            <w:hideMark/>
          </w:tcPr>
          <w:p w14:paraId="233E02B3"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bCs/>
                <w:kern w:val="24"/>
                <w:sz w:val="24"/>
                <w:szCs w:val="24"/>
              </w:rPr>
              <w:t>Заболяване</w:t>
            </w:r>
          </w:p>
        </w:tc>
        <w:tc>
          <w:tcPr>
            <w:tcW w:w="7087" w:type="dxa"/>
            <w:hideMark/>
          </w:tcPr>
          <w:p w14:paraId="1CFA493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bCs/>
                <w:kern w:val="24"/>
                <w:sz w:val="24"/>
                <w:szCs w:val="24"/>
              </w:rPr>
              <w:t>Клинични особености</w:t>
            </w:r>
          </w:p>
        </w:tc>
      </w:tr>
      <w:tr w:rsidR="00BE0B19" w:rsidRPr="00AE47C6" w14:paraId="621875D1" w14:textId="77777777" w:rsidTr="00AD72E5">
        <w:trPr>
          <w:trHeight w:val="376"/>
        </w:trPr>
        <w:tc>
          <w:tcPr>
            <w:tcW w:w="2660" w:type="dxa"/>
            <w:hideMark/>
          </w:tcPr>
          <w:p w14:paraId="75176A7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Вирусни енцефалити</w:t>
            </w:r>
          </w:p>
        </w:tc>
        <w:tc>
          <w:tcPr>
            <w:tcW w:w="7087" w:type="dxa"/>
            <w:hideMark/>
          </w:tcPr>
          <w:p w14:paraId="1E5C9DA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 xml:space="preserve">Остро развитие на неврологичен дефицит, ликвор с плеоцитоза, фебрилитет. </w:t>
            </w:r>
            <w:r w:rsidRPr="00AE47C6">
              <w:rPr>
                <w:rFonts w:ascii="Times New Roman" w:eastAsia="SimSun" w:hAnsi="Times New Roman"/>
                <w:bCs/>
                <w:kern w:val="24"/>
                <w:sz w:val="24"/>
                <w:szCs w:val="24"/>
              </w:rPr>
              <w:t>Психозите и дискинезията са характерни за анти-NMDAR енцефалити</w:t>
            </w:r>
          </w:p>
        </w:tc>
      </w:tr>
      <w:tr w:rsidR="00BE0B19" w:rsidRPr="00AE47C6" w14:paraId="60F9A211" w14:textId="77777777" w:rsidTr="00AD72E5">
        <w:trPr>
          <w:trHeight w:val="577"/>
        </w:trPr>
        <w:tc>
          <w:tcPr>
            <w:tcW w:w="2660" w:type="dxa"/>
            <w:hideMark/>
          </w:tcPr>
          <w:p w14:paraId="5F6CB99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Новодиагностицирана психоза</w:t>
            </w:r>
          </w:p>
        </w:tc>
        <w:tc>
          <w:tcPr>
            <w:tcW w:w="7087" w:type="dxa"/>
            <w:hideMark/>
          </w:tcPr>
          <w:p w14:paraId="691836C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 xml:space="preserve">При анти-NMDAR енцефалити – изява </w:t>
            </w:r>
            <w:r w:rsidRPr="00AE47C6">
              <w:rPr>
                <w:rFonts w:ascii="Times New Roman" w:eastAsia="SimSun" w:hAnsi="Times New Roman"/>
                <w:bCs/>
                <w:kern w:val="24"/>
                <w:sz w:val="24"/>
                <w:szCs w:val="24"/>
              </w:rPr>
              <w:t>и на огнищна неврологична симптоматика</w:t>
            </w:r>
          </w:p>
        </w:tc>
      </w:tr>
      <w:tr w:rsidR="00BE0B19" w:rsidRPr="00AE47C6" w14:paraId="115E8776" w14:textId="77777777" w:rsidTr="00AD72E5">
        <w:trPr>
          <w:trHeight w:val="557"/>
        </w:trPr>
        <w:tc>
          <w:tcPr>
            <w:tcW w:w="2660" w:type="dxa"/>
            <w:hideMark/>
          </w:tcPr>
          <w:p w14:paraId="63CB4E1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Лекарства</w:t>
            </w:r>
          </w:p>
        </w:tc>
        <w:tc>
          <w:tcPr>
            <w:tcW w:w="7087" w:type="dxa"/>
            <w:hideMark/>
          </w:tcPr>
          <w:p w14:paraId="098012D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Острото развитие на личностови и поведенчески разстройства у млади хора е възможно свързано със засягане на допаминергични пътища (ригидност, дистония, орофациални движения) и лекарства (ketamine, phencyclidine). Необходим е токсикологичен анализ</w:t>
            </w:r>
          </w:p>
        </w:tc>
      </w:tr>
      <w:tr w:rsidR="00BE0B19" w:rsidRPr="00AE47C6" w14:paraId="355A4B32" w14:textId="77777777" w:rsidTr="00AD72E5">
        <w:trPr>
          <w:trHeight w:val="897"/>
        </w:trPr>
        <w:tc>
          <w:tcPr>
            <w:tcW w:w="2660" w:type="dxa"/>
            <w:hideMark/>
          </w:tcPr>
          <w:p w14:paraId="727F81C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Невролептичен малигнен синдром (NMS)</w:t>
            </w:r>
          </w:p>
        </w:tc>
        <w:tc>
          <w:tcPr>
            <w:tcW w:w="7087" w:type="dxa"/>
            <w:hideMark/>
          </w:tcPr>
          <w:p w14:paraId="20A3575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Нарушено съзнание, епизоди на ригидност, хипертермия, автоимунни нарушения са възможно свързани с NMS</w:t>
            </w:r>
            <w:r w:rsidRPr="00AE47C6">
              <w:rPr>
                <w:rFonts w:ascii="Times New Roman" w:eastAsia="SimSun" w:hAnsi="Times New Roman"/>
                <w:kern w:val="24"/>
                <w:sz w:val="24"/>
                <w:szCs w:val="24"/>
              </w:rPr>
              <w:t xml:space="preserve">. Наличието на </w:t>
            </w:r>
            <w:r w:rsidRPr="00AE47C6">
              <w:rPr>
                <w:rFonts w:ascii="Times New Roman" w:eastAsia="SimSun" w:hAnsi="Times New Roman"/>
                <w:bCs/>
                <w:kern w:val="24"/>
                <w:sz w:val="24"/>
                <w:szCs w:val="24"/>
              </w:rPr>
              <w:t>дискинезии и кататония насочва към анти-NMDAR енцефалит</w:t>
            </w:r>
          </w:p>
        </w:tc>
      </w:tr>
      <w:tr w:rsidR="00BE0B19" w:rsidRPr="00AE47C6" w14:paraId="53CA7922" w14:textId="77777777" w:rsidTr="00AD72E5">
        <w:trPr>
          <w:trHeight w:val="865"/>
        </w:trPr>
        <w:tc>
          <w:tcPr>
            <w:tcW w:w="2660" w:type="dxa"/>
            <w:hideMark/>
          </w:tcPr>
          <w:p w14:paraId="6403858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 xml:space="preserve">Лимбичен енцефалит </w:t>
            </w:r>
          </w:p>
        </w:tc>
        <w:tc>
          <w:tcPr>
            <w:tcW w:w="7087" w:type="dxa"/>
            <w:hideMark/>
          </w:tcPr>
          <w:p w14:paraId="7627112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 xml:space="preserve">При </w:t>
            </w:r>
            <w:r w:rsidRPr="00AE47C6">
              <w:rPr>
                <w:rFonts w:ascii="Times New Roman" w:eastAsia="SimSun" w:hAnsi="Times New Roman"/>
                <w:bCs/>
                <w:kern w:val="24"/>
                <w:sz w:val="24"/>
                <w:szCs w:val="24"/>
              </w:rPr>
              <w:t>лимбичен енцефалит няма дискинезии и централна хиповентилация; МРТ абнормностите в медиалните темпорални дялове, лимбичната система и базалните ганглии и ЕЕГ епилептична и бавновълнова активност в темпорални дялове</w:t>
            </w:r>
          </w:p>
        </w:tc>
      </w:tr>
      <w:tr w:rsidR="00BE0B19" w:rsidRPr="00AE47C6" w14:paraId="162E97BC" w14:textId="77777777" w:rsidTr="00AD72E5">
        <w:trPr>
          <w:trHeight w:val="1150"/>
        </w:trPr>
        <w:tc>
          <w:tcPr>
            <w:tcW w:w="2660" w:type="dxa"/>
            <w:hideMark/>
          </w:tcPr>
          <w:p w14:paraId="1995F76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Летаргичен енцефалит</w:t>
            </w:r>
          </w:p>
        </w:tc>
        <w:tc>
          <w:tcPr>
            <w:tcW w:w="7087" w:type="dxa"/>
            <w:hideMark/>
          </w:tcPr>
          <w:p w14:paraId="293FF88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 xml:space="preserve">Поне 3 от: </w:t>
            </w:r>
            <w:r w:rsidRPr="00AE47C6">
              <w:rPr>
                <w:rFonts w:ascii="Times New Roman" w:eastAsia="SimSun" w:hAnsi="Times New Roman"/>
                <w:bCs/>
                <w:kern w:val="24"/>
                <w:sz w:val="24"/>
                <w:szCs w:val="24"/>
              </w:rPr>
              <w:t>симптоми за засягане на базалните ганглии; окулогирни кризи; офталмоплегия; обсесивно-компулсивно поведение; акинетичен мутизъм; централни дихателни нарушения; сомнолентност и/или сънна инверсия</w:t>
            </w:r>
            <w:r w:rsidRPr="00AE47C6">
              <w:rPr>
                <w:rFonts w:ascii="Times New Roman" w:eastAsia="SimSun" w:hAnsi="Times New Roman"/>
                <w:kern w:val="24"/>
                <w:sz w:val="24"/>
                <w:szCs w:val="24"/>
              </w:rPr>
              <w:t>. Около 50% от диагностицираните с „летаргичен хиперкинетичен енцефалит” са с анти-NMDAR енцефалит</w:t>
            </w:r>
          </w:p>
        </w:tc>
      </w:tr>
      <w:tr w:rsidR="00BE0B19" w:rsidRPr="00AE47C6" w14:paraId="4D816D29" w14:textId="77777777" w:rsidTr="00AD72E5">
        <w:trPr>
          <w:trHeight w:val="416"/>
        </w:trPr>
        <w:tc>
          <w:tcPr>
            <w:tcW w:w="2660" w:type="dxa"/>
            <w:hideMark/>
          </w:tcPr>
          <w:p w14:paraId="147FB35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Дезинтегративни разстройства в детска възраст</w:t>
            </w:r>
          </w:p>
        </w:tc>
        <w:tc>
          <w:tcPr>
            <w:tcW w:w="7087" w:type="dxa"/>
            <w:hideMark/>
          </w:tcPr>
          <w:p w14:paraId="02107C6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 xml:space="preserve">Децата санти-NMDAR енцефалит и дезинтегративно разстройства често са с когнитивен регрес, бърза увреда на речевите функции, аутистични прояви и гърчове. </w:t>
            </w:r>
            <w:r w:rsidRPr="00AE47C6">
              <w:rPr>
                <w:rFonts w:ascii="Times New Roman" w:eastAsia="SimSun" w:hAnsi="Times New Roman"/>
                <w:bCs/>
                <w:kern w:val="24"/>
                <w:sz w:val="24"/>
                <w:szCs w:val="24"/>
              </w:rPr>
              <w:t xml:space="preserve">При анти-NMDAR има подобрение от имунотерапия </w:t>
            </w:r>
          </w:p>
        </w:tc>
      </w:tr>
      <w:tr w:rsidR="00BE0B19" w:rsidRPr="00AE47C6" w14:paraId="613FDEF1" w14:textId="77777777" w:rsidTr="00AD72E5">
        <w:trPr>
          <w:trHeight w:val="699"/>
        </w:trPr>
        <w:tc>
          <w:tcPr>
            <w:tcW w:w="2660" w:type="dxa"/>
            <w:hideMark/>
          </w:tcPr>
          <w:p w14:paraId="79458D6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Синдром на Kleine-Levin</w:t>
            </w:r>
          </w:p>
        </w:tc>
        <w:tc>
          <w:tcPr>
            <w:tcW w:w="7087" w:type="dxa"/>
            <w:hideMark/>
          </w:tcPr>
          <w:p w14:paraId="7C4E41D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Типичните за</w:t>
            </w:r>
            <w:r w:rsidRPr="00AE47C6">
              <w:rPr>
                <w:rFonts w:ascii="Times New Roman" w:eastAsia="SimSun" w:hAnsi="Times New Roman"/>
                <w:bCs/>
                <w:kern w:val="24"/>
                <w:sz w:val="24"/>
                <w:szCs w:val="24"/>
              </w:rPr>
              <w:t xml:space="preserve"> синдром на Kleine-Levin</w:t>
            </w:r>
            <w:r w:rsidRPr="00AE47C6">
              <w:rPr>
                <w:rFonts w:ascii="Times New Roman" w:eastAsia="SimSun" w:hAnsi="Times New Roman"/>
                <w:kern w:val="24"/>
                <w:sz w:val="24"/>
                <w:szCs w:val="24"/>
              </w:rPr>
              <w:t xml:space="preserve"> хиперсомния, компулсивна хиперфагия, хиперсексуалност, апатия, инфантилно поведение, са възможни при анти-NMDAR енцефалит</w:t>
            </w:r>
          </w:p>
        </w:tc>
      </w:tr>
      <w:tr w:rsidR="00BE0B19" w:rsidRPr="00AE47C6" w14:paraId="79546D56" w14:textId="77777777" w:rsidTr="00AD72E5">
        <w:trPr>
          <w:trHeight w:val="218"/>
        </w:trPr>
        <w:tc>
          <w:tcPr>
            <w:tcW w:w="2660" w:type="dxa"/>
            <w:hideMark/>
          </w:tcPr>
          <w:p w14:paraId="6A58B2A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Вродени дефекти в метаболизма</w:t>
            </w:r>
          </w:p>
        </w:tc>
        <w:tc>
          <w:tcPr>
            <w:tcW w:w="7087" w:type="dxa"/>
            <w:hideMark/>
          </w:tcPr>
          <w:p w14:paraId="67CB324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Глутарова ацидурия тип I</w:t>
            </w:r>
            <w:r w:rsidRPr="00AE47C6">
              <w:rPr>
                <w:rFonts w:ascii="Times New Roman" w:eastAsia="SimSun" w:hAnsi="Times New Roman"/>
                <w:kern w:val="24"/>
                <w:sz w:val="24"/>
                <w:szCs w:val="24"/>
              </w:rPr>
              <w:t>, метилглутаконова ацидурия, креатин транспортен дефицит, митохондриални болести (</w:t>
            </w:r>
            <w:r w:rsidRPr="00AE47C6">
              <w:rPr>
                <w:rFonts w:ascii="Times New Roman" w:eastAsia="SimSun" w:hAnsi="Times New Roman"/>
                <w:bCs/>
                <w:kern w:val="24"/>
                <w:sz w:val="24"/>
                <w:szCs w:val="24"/>
              </w:rPr>
              <w:t>Leigh syndrome</w:t>
            </w:r>
            <w:r w:rsidRPr="00AE47C6">
              <w:rPr>
                <w:rFonts w:ascii="Times New Roman" w:eastAsia="SimSun" w:hAnsi="Times New Roman"/>
                <w:kern w:val="24"/>
                <w:sz w:val="24"/>
                <w:szCs w:val="24"/>
              </w:rPr>
              <w:t xml:space="preserve">), </w:t>
            </w:r>
            <w:r w:rsidRPr="00AE47C6">
              <w:rPr>
                <w:rFonts w:ascii="Times New Roman" w:eastAsia="SimSun" w:hAnsi="Times New Roman"/>
                <w:bCs/>
                <w:kern w:val="24"/>
                <w:sz w:val="24"/>
                <w:szCs w:val="24"/>
              </w:rPr>
              <w:t>болест на Wilson, на Hallervorden-Spatz и синдром на Lesch-Nyhan могат да протичат с остра или подостра енцефалопатия с екстрапирамиден синдром</w:t>
            </w:r>
          </w:p>
        </w:tc>
      </w:tr>
      <w:tr w:rsidR="00BE0B19" w:rsidRPr="00AE47C6" w14:paraId="14655404" w14:textId="77777777" w:rsidTr="00AD72E5">
        <w:trPr>
          <w:trHeight w:val="926"/>
        </w:trPr>
        <w:tc>
          <w:tcPr>
            <w:tcW w:w="2660" w:type="dxa"/>
            <w:hideMark/>
          </w:tcPr>
          <w:p w14:paraId="36F3682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Разстройства в моноаминните невротрансмитери</w:t>
            </w:r>
          </w:p>
        </w:tc>
        <w:tc>
          <w:tcPr>
            <w:tcW w:w="7087" w:type="dxa"/>
            <w:hideMark/>
          </w:tcPr>
          <w:p w14:paraId="32EEF62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Дефицит на допамин и серотонин могат да причинят енцефалопатия, епилепсия, пирамидни и екстрапирамидни симптоми. За диагноза са необходими ликворно изследване за ниво на невротрансмитери.</w:t>
            </w:r>
          </w:p>
        </w:tc>
      </w:tr>
    </w:tbl>
    <w:p w14:paraId="0E54D2E1" w14:textId="77777777" w:rsidR="00BE0B19" w:rsidRPr="00AE47C6" w:rsidRDefault="00BE0B19" w:rsidP="00BE0B19">
      <w:pPr>
        <w:spacing w:after="0" w:line="360" w:lineRule="auto"/>
        <w:ind w:firstLine="709"/>
        <w:jc w:val="both"/>
        <w:rPr>
          <w:rFonts w:ascii="Times New Roman" w:eastAsia="SimSun" w:hAnsi="Times New Roman"/>
          <w:sz w:val="24"/>
          <w:szCs w:val="24"/>
        </w:rPr>
      </w:pPr>
    </w:p>
    <w:p w14:paraId="672AC8C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Прогнозата при NMDAR енцефалит е относително добра, като при </w:t>
      </w:r>
      <w:r w:rsidRPr="00AE47C6">
        <w:rPr>
          <w:rFonts w:ascii="Times New Roman" w:eastAsia="SimSun" w:hAnsi="Times New Roman"/>
          <w:bCs/>
          <w:sz w:val="24"/>
          <w:szCs w:val="24"/>
        </w:rPr>
        <w:t xml:space="preserve">53% </w:t>
      </w:r>
      <w:r w:rsidRPr="00AE47C6">
        <w:rPr>
          <w:rFonts w:ascii="Times New Roman" w:eastAsia="SimSun" w:hAnsi="Times New Roman"/>
          <w:sz w:val="24"/>
          <w:szCs w:val="24"/>
        </w:rPr>
        <w:t xml:space="preserve">при имуномодулираща терапия настъпва подобрение за около 4 седмици, при </w:t>
      </w:r>
      <w:r w:rsidRPr="00AE47C6">
        <w:rPr>
          <w:rFonts w:ascii="Times New Roman" w:eastAsia="SimSun" w:hAnsi="Times New Roman"/>
          <w:bCs/>
          <w:sz w:val="24"/>
          <w:szCs w:val="24"/>
        </w:rPr>
        <w:t xml:space="preserve">81% - </w:t>
      </w:r>
      <w:r w:rsidRPr="00AE47C6">
        <w:rPr>
          <w:rFonts w:ascii="Times New Roman" w:eastAsia="SimSun" w:hAnsi="Times New Roman"/>
          <w:sz w:val="24"/>
          <w:szCs w:val="24"/>
        </w:rPr>
        <w:t xml:space="preserve">частично или пълно възстановяване или подобрение в първите 14 месеца, но </w:t>
      </w:r>
      <w:r w:rsidRPr="00AE47C6">
        <w:rPr>
          <w:rFonts w:ascii="Times New Roman" w:eastAsia="SimSun" w:hAnsi="Times New Roman"/>
          <w:bCs/>
          <w:sz w:val="24"/>
          <w:szCs w:val="24"/>
        </w:rPr>
        <w:t xml:space="preserve">12% от пациентите с подобрение имат рецидив </w:t>
      </w:r>
      <w:r w:rsidRPr="00AE47C6">
        <w:rPr>
          <w:rFonts w:ascii="Times New Roman" w:eastAsia="SimSun" w:hAnsi="Times New Roman"/>
          <w:sz w:val="24"/>
          <w:szCs w:val="24"/>
        </w:rPr>
        <w:t>през първите 2 г.</w:t>
      </w:r>
    </w:p>
    <w:p w14:paraId="6F650EE5"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95" w:name="_Toc155651746"/>
      <w:bookmarkStart w:id="96" w:name="_Toc164075878"/>
      <w:r w:rsidRPr="00AE47C6">
        <w:rPr>
          <w:rFonts w:ascii="Times New Roman" w:eastAsia="SimSun" w:hAnsi="Times New Roman"/>
          <w:b/>
          <w:sz w:val="24"/>
          <w:szCs w:val="20"/>
          <w:lang w:eastAsia="ja-JP"/>
        </w:rPr>
        <w:t>4.3.2. Лимбичен енцефалит</w:t>
      </w:r>
      <w:bookmarkEnd w:id="95"/>
      <w:bookmarkEnd w:id="96"/>
    </w:p>
    <w:p w14:paraId="12F96586"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sz w:val="24"/>
          <w:szCs w:val="24"/>
        </w:rPr>
        <w:t>Съчетава епилептичен синдром с когнитивни и поведенчески нарушения, най-често паранеопластичен (карцином на белия дроб, гърдата, овариален или тестикуларен, по рядко при невробластом, лимфом на Hodgkin, и левкемия в детска възраст). Установени са паранеопластични антитела към интрацелуларни протеини (анти-Hu/ANNA-1, анти-Ri/ANNA-2, анти-CV2/CRMP5 и анти-Ma2/Ta) и различни антитела срещу невронни протеини (анти-Hu, анти-Ma2, анти- GAD65) и рецепторни, антитела (срещу VGKC, анти- mGluR5, Анти-AMPA рецептор). Възможно е наличие едновременно с анти-GAD65 и VGKC антитела. Протича с когнитивни увреди, дезориентация, тревожност, обсесии и компулсии, епилептични припадъци с произход от темпоралния дял. Анти-AMPA рецепторен енцефалит, протича с клиника на бързо прогресиращ лимбичен енцефалит.</w:t>
      </w:r>
    </w:p>
    <w:p w14:paraId="04B882C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i/>
          <w:sz w:val="24"/>
          <w:szCs w:val="24"/>
          <w:u w:val="single"/>
        </w:rPr>
        <w:t xml:space="preserve">Диагностични критерии при сигурен лимбичен автоимунен енцефалит </w:t>
      </w:r>
      <w:r w:rsidRPr="00AE47C6">
        <w:rPr>
          <w:rFonts w:ascii="Times New Roman" w:eastAsia="SimSun" w:hAnsi="Times New Roman"/>
          <w:bCs/>
          <w:sz w:val="24"/>
          <w:szCs w:val="24"/>
        </w:rPr>
        <w:t>Диагностицира се при 4 критерия:</w:t>
      </w:r>
    </w:p>
    <w:p w14:paraId="357CB4A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1. </w:t>
      </w:r>
      <w:r w:rsidRPr="00AE47C6">
        <w:rPr>
          <w:rFonts w:ascii="Times New Roman" w:eastAsia="SimSun" w:hAnsi="Times New Roman"/>
          <w:bCs/>
          <w:sz w:val="24"/>
          <w:szCs w:val="24"/>
        </w:rPr>
        <w:t>Подостро начало (бърза прогресия под 3 месеца) или дефицит на работната памет /загуба на краткосрочна памет</w:t>
      </w:r>
    </w:p>
    <w:p w14:paraId="0C2B274A" w14:textId="77777777" w:rsidR="00BE0B19" w:rsidRPr="00AE47C6" w:rsidRDefault="00BE0B19" w:rsidP="00BE0B19">
      <w:pPr>
        <w:numPr>
          <w:ilvl w:val="0"/>
          <w:numId w:val="261"/>
        </w:numPr>
        <w:pBdr>
          <w:top w:val="single" w:sz="4" w:space="1" w:color="auto"/>
          <w:left w:val="single" w:sz="4" w:space="4" w:color="auto"/>
          <w:bottom w:val="single" w:sz="4" w:space="1" w:color="auto"/>
          <w:right w:val="single" w:sz="4" w:space="4" w:color="auto"/>
        </w:pBd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 xml:space="preserve">Епилептични припадъци или психични симптоми, насочващи към включване на лимбичната система </w:t>
      </w:r>
    </w:p>
    <w:p w14:paraId="6E8EF35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2. </w:t>
      </w:r>
      <w:r w:rsidRPr="00AE47C6">
        <w:rPr>
          <w:rFonts w:ascii="Times New Roman" w:eastAsia="SimSun" w:hAnsi="Times New Roman"/>
          <w:bCs/>
          <w:sz w:val="24"/>
          <w:szCs w:val="24"/>
        </w:rPr>
        <w:t>Двустранни мозъчни T</w:t>
      </w:r>
      <w:r w:rsidRPr="00AE47C6">
        <w:rPr>
          <w:rFonts w:ascii="Times New Roman" w:eastAsia="SimSun" w:hAnsi="Times New Roman"/>
          <w:bCs/>
          <w:sz w:val="24"/>
          <w:szCs w:val="24"/>
          <w:vertAlign w:val="subscript"/>
        </w:rPr>
        <w:t>2</w:t>
      </w:r>
      <w:r w:rsidRPr="00AE47C6">
        <w:rPr>
          <w:rFonts w:ascii="Times New Roman" w:eastAsia="SimSun" w:hAnsi="Times New Roman"/>
          <w:bCs/>
          <w:sz w:val="24"/>
          <w:szCs w:val="24"/>
        </w:rPr>
        <w:t>-лезии в МРТ</w:t>
      </w:r>
      <w:r w:rsidRPr="00AE47C6">
        <w:rPr>
          <w:rFonts w:ascii="Times New Roman" w:eastAsia="SimSun" w:hAnsi="Times New Roman"/>
          <w:sz w:val="24"/>
          <w:szCs w:val="24"/>
        </w:rPr>
        <w:t xml:space="preserve">, ограничени в </w:t>
      </w:r>
      <w:r w:rsidRPr="00AE47C6">
        <w:rPr>
          <w:rFonts w:ascii="Times New Roman" w:eastAsia="SimSun" w:hAnsi="Times New Roman"/>
          <w:bCs/>
          <w:sz w:val="24"/>
          <w:szCs w:val="24"/>
        </w:rPr>
        <w:t xml:space="preserve">медиалните части на темпоралните дялове </w:t>
      </w:r>
    </w:p>
    <w:p w14:paraId="7D19FF9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3. </w:t>
      </w:r>
      <w:r w:rsidRPr="00AE47C6">
        <w:rPr>
          <w:rFonts w:ascii="Times New Roman" w:eastAsia="SimSun" w:hAnsi="Times New Roman"/>
          <w:bCs/>
          <w:sz w:val="24"/>
          <w:szCs w:val="24"/>
        </w:rPr>
        <w:t>Поне едно от следните:</w:t>
      </w:r>
    </w:p>
    <w:p w14:paraId="696EF322" w14:textId="77777777" w:rsidR="00BE0B19" w:rsidRPr="00AE47C6" w:rsidRDefault="00BE0B19" w:rsidP="00BE0B19">
      <w:pPr>
        <w:numPr>
          <w:ilvl w:val="0"/>
          <w:numId w:val="260"/>
        </w:numPr>
        <w:pBdr>
          <w:top w:val="single" w:sz="4" w:space="1" w:color="auto"/>
          <w:left w:val="single" w:sz="4" w:space="4" w:color="auto"/>
          <w:bottom w:val="single" w:sz="4" w:space="1" w:color="auto"/>
          <w:right w:val="single" w:sz="4" w:space="4" w:color="auto"/>
        </w:pBdr>
        <w:spacing w:after="0" w:line="360" w:lineRule="auto"/>
        <w:ind w:firstLine="709"/>
        <w:jc w:val="both"/>
        <w:rPr>
          <w:rFonts w:ascii="Times New Roman" w:eastAsia="SimSun" w:hAnsi="Times New Roman"/>
          <w:sz w:val="24"/>
          <w:szCs w:val="24"/>
        </w:rPr>
      </w:pPr>
      <w:r w:rsidRPr="00AE47C6">
        <w:rPr>
          <w:rFonts w:ascii="Times New Roman" w:eastAsia="SimSun" w:hAnsi="Times New Roman"/>
          <w:bCs/>
          <w:sz w:val="24"/>
          <w:szCs w:val="24"/>
        </w:rPr>
        <w:t>Ликворна плеоцитоза (левкоцити над 5.10</w:t>
      </w:r>
      <w:r w:rsidRPr="00AE47C6">
        <w:rPr>
          <w:rFonts w:ascii="Times New Roman" w:eastAsia="SimSun" w:hAnsi="Times New Roman"/>
          <w:bCs/>
          <w:sz w:val="24"/>
          <w:szCs w:val="24"/>
          <w:vertAlign w:val="superscript"/>
        </w:rPr>
        <w:t>6</w:t>
      </w:r>
      <w:r w:rsidRPr="00AE47C6">
        <w:rPr>
          <w:rFonts w:ascii="Times New Roman" w:eastAsia="SimSun" w:hAnsi="Times New Roman"/>
          <w:bCs/>
          <w:sz w:val="24"/>
          <w:szCs w:val="24"/>
        </w:rPr>
        <w:t xml:space="preserve">/L) </w:t>
      </w:r>
    </w:p>
    <w:p w14:paraId="607250DE" w14:textId="77777777" w:rsidR="00BE0B19" w:rsidRPr="00AE47C6" w:rsidRDefault="00BE0B19" w:rsidP="00BE0B19">
      <w:pPr>
        <w:numPr>
          <w:ilvl w:val="0"/>
          <w:numId w:val="260"/>
        </w:numPr>
        <w:pBdr>
          <w:top w:val="single" w:sz="4" w:space="1" w:color="auto"/>
          <w:left w:val="single" w:sz="4" w:space="4" w:color="auto"/>
          <w:bottom w:val="single" w:sz="4" w:space="1" w:color="auto"/>
          <w:right w:val="single" w:sz="4" w:space="4" w:color="auto"/>
        </w:pBdr>
        <w:spacing w:after="0" w:line="360" w:lineRule="auto"/>
        <w:ind w:firstLine="709"/>
        <w:jc w:val="both"/>
        <w:rPr>
          <w:rFonts w:ascii="Times New Roman" w:eastAsia="SimSun" w:hAnsi="Times New Roman"/>
          <w:sz w:val="24"/>
          <w:szCs w:val="24"/>
        </w:rPr>
      </w:pPr>
      <w:r w:rsidRPr="00AE47C6">
        <w:rPr>
          <w:rFonts w:ascii="Times New Roman" w:eastAsia="SimSun" w:hAnsi="Times New Roman"/>
          <w:bCs/>
          <w:sz w:val="24"/>
          <w:szCs w:val="24"/>
        </w:rPr>
        <w:t xml:space="preserve">EEГ с епилептична или бавна острие-бавна вълнова активност в темпоралните дялове </w:t>
      </w:r>
    </w:p>
    <w:p w14:paraId="1C95359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sz w:val="24"/>
          <w:szCs w:val="24"/>
        </w:rPr>
        <w:t xml:space="preserve">4. </w:t>
      </w:r>
      <w:r w:rsidRPr="00AE47C6">
        <w:rPr>
          <w:rFonts w:ascii="Times New Roman" w:eastAsia="SimSun" w:hAnsi="Times New Roman"/>
          <w:bCs/>
          <w:sz w:val="24"/>
          <w:szCs w:val="24"/>
        </w:rPr>
        <w:t>Ликворна плеоцитоза (левкоцити над 5.10</w:t>
      </w:r>
      <w:r w:rsidRPr="00AE47C6">
        <w:rPr>
          <w:rFonts w:ascii="Times New Roman" w:eastAsia="SimSun" w:hAnsi="Times New Roman"/>
          <w:bCs/>
          <w:sz w:val="24"/>
          <w:szCs w:val="24"/>
          <w:vertAlign w:val="superscript"/>
        </w:rPr>
        <w:t>6</w:t>
      </w:r>
      <w:r w:rsidRPr="00AE47C6">
        <w:rPr>
          <w:rFonts w:ascii="Times New Roman" w:eastAsia="SimSun" w:hAnsi="Times New Roman"/>
          <w:bCs/>
          <w:sz w:val="24"/>
          <w:szCs w:val="24"/>
        </w:rPr>
        <w:t>L)</w:t>
      </w:r>
    </w:p>
    <w:p w14:paraId="233656CC" w14:textId="77777777" w:rsidR="00BE0B19" w:rsidRPr="00AE47C6" w:rsidRDefault="00BE0B19" w:rsidP="00BE0B19">
      <w:pPr>
        <w:tabs>
          <w:tab w:val="left" w:pos="735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Клинично са характеризирани автоимунни лимбични енцефалити, предизвикани от различни антитела, но същите антитела могат да предизвикат и друга клинична изява: </w:t>
      </w:r>
    </w:p>
    <w:p w14:paraId="76ACA1A1" w14:textId="77777777" w:rsidR="00BE0B19" w:rsidRPr="00AE47C6" w:rsidRDefault="00BE0B19" w:rsidP="00BE0B19">
      <w:pPr>
        <w:autoSpaceDE w:val="0"/>
        <w:autoSpaceDN w:val="0"/>
        <w:adjustRightInd w:val="0"/>
        <w:spacing w:after="0" w:line="360" w:lineRule="auto"/>
        <w:ind w:firstLine="709"/>
        <w:jc w:val="both"/>
        <w:rPr>
          <w:rFonts w:ascii="Times New Roman" w:eastAsiaTheme="minorHAnsi" w:hAnsi="Times New Roman"/>
          <w:sz w:val="24"/>
          <w:szCs w:val="24"/>
        </w:rPr>
      </w:pPr>
      <w:r w:rsidRPr="00AE47C6">
        <w:rPr>
          <w:rFonts w:ascii="Times New Roman" w:eastAsia="SimSun" w:hAnsi="Times New Roman"/>
          <w:b/>
          <w:i/>
          <w:sz w:val="24"/>
          <w:szCs w:val="24"/>
        </w:rPr>
        <w:t>Енцефалити с антитела към VGKC</w:t>
      </w:r>
      <w:r w:rsidRPr="00AE47C6">
        <w:rPr>
          <w:rFonts w:ascii="Times New Roman" w:eastAsia="SimSun" w:hAnsi="Times New Roman"/>
          <w:sz w:val="24"/>
          <w:szCs w:val="24"/>
        </w:rPr>
        <w:t>, верифицирани в последните години като анти-</w:t>
      </w:r>
      <w:r w:rsidRPr="00AE47C6">
        <w:rPr>
          <w:rFonts w:ascii="Times New Roman" w:eastAsiaTheme="minorHAnsi" w:hAnsi="Times New Roman"/>
          <w:b/>
          <w:sz w:val="24"/>
          <w:szCs w:val="24"/>
        </w:rPr>
        <w:t xml:space="preserve">LGI1 </w:t>
      </w:r>
      <w:r w:rsidRPr="00AE47C6">
        <w:rPr>
          <w:rFonts w:ascii="Times New Roman" w:eastAsiaTheme="minorHAnsi" w:hAnsi="Times New Roman"/>
          <w:sz w:val="24"/>
          <w:szCs w:val="24"/>
        </w:rPr>
        <w:t>и анти-</w:t>
      </w:r>
      <w:r w:rsidRPr="00AE47C6">
        <w:rPr>
          <w:rFonts w:ascii="Times New Roman" w:eastAsiaTheme="minorHAnsi" w:hAnsi="Times New Roman"/>
          <w:b/>
          <w:sz w:val="24"/>
          <w:szCs w:val="24"/>
        </w:rPr>
        <w:t xml:space="preserve">CASPR2, </w:t>
      </w:r>
      <w:r w:rsidRPr="00AE47C6">
        <w:rPr>
          <w:rFonts w:ascii="Times New Roman" w:eastAsiaTheme="minorHAnsi" w:hAnsi="Times New Roman"/>
          <w:sz w:val="24"/>
          <w:szCs w:val="24"/>
        </w:rPr>
        <w:t xml:space="preserve">протичат с 2 различни клинични синдрома: </w:t>
      </w:r>
      <w:r w:rsidRPr="00AE47C6">
        <w:rPr>
          <w:rFonts w:ascii="Times New Roman" w:eastAsiaTheme="minorHAnsi" w:hAnsi="Times New Roman"/>
          <w:i/>
          <w:sz w:val="24"/>
          <w:szCs w:val="24"/>
        </w:rPr>
        <w:t xml:space="preserve">Анти-LGI1-асоцииран енцефалит, </w:t>
      </w:r>
      <w:r w:rsidRPr="00AE47C6">
        <w:rPr>
          <w:rFonts w:ascii="Times New Roman" w:eastAsiaTheme="minorHAnsi" w:hAnsi="Times New Roman"/>
          <w:sz w:val="24"/>
          <w:szCs w:val="24"/>
        </w:rPr>
        <w:t xml:space="preserve">протичащ като лимбичен енцефалит с паметови увреди, нарушено съзнание, неконвулсивен епилептичен статус; </w:t>
      </w:r>
      <w:r w:rsidRPr="00AE47C6">
        <w:rPr>
          <w:rFonts w:ascii="Times New Roman" w:eastAsiaTheme="minorHAnsi" w:hAnsi="Times New Roman"/>
          <w:i/>
          <w:sz w:val="24"/>
          <w:szCs w:val="24"/>
        </w:rPr>
        <w:t xml:space="preserve">анти-CASPR2 енцефалит </w:t>
      </w:r>
      <w:r w:rsidRPr="00AE47C6">
        <w:rPr>
          <w:rFonts w:ascii="Times New Roman" w:eastAsiaTheme="minorHAnsi" w:hAnsi="Times New Roman"/>
          <w:sz w:val="24"/>
          <w:szCs w:val="24"/>
        </w:rPr>
        <w:t>по-рядко протичащ като лимбичен енцефалит и по-често с невромиотония и автономни увреди, енцефалопатия.</w:t>
      </w:r>
    </w:p>
    <w:p w14:paraId="57C18F4E" w14:textId="77777777" w:rsidR="00BE0B19" w:rsidRPr="00AE47C6" w:rsidRDefault="00BE0B19" w:rsidP="00BE0B19">
      <w:pPr>
        <w:autoSpaceDE w:val="0"/>
        <w:autoSpaceDN w:val="0"/>
        <w:adjustRightInd w:val="0"/>
        <w:spacing w:after="0" w:line="360" w:lineRule="auto"/>
        <w:ind w:firstLine="709"/>
        <w:jc w:val="both"/>
        <w:rPr>
          <w:rFonts w:ascii="Times New Roman" w:eastAsiaTheme="minorHAnsi" w:hAnsi="Times New Roman"/>
          <w:sz w:val="24"/>
          <w:szCs w:val="24"/>
        </w:rPr>
      </w:pPr>
      <w:r w:rsidRPr="00AE47C6">
        <w:rPr>
          <w:rFonts w:ascii="Times New Roman" w:eastAsiaTheme="minorHAnsi" w:hAnsi="Times New Roman"/>
          <w:b/>
          <w:i/>
          <w:sz w:val="24"/>
          <w:szCs w:val="24"/>
        </w:rPr>
        <w:t>Анти GABA</w:t>
      </w:r>
      <w:r w:rsidRPr="00AE47C6">
        <w:rPr>
          <w:rFonts w:ascii="Times New Roman" w:eastAsiaTheme="minorHAnsi" w:hAnsi="Times New Roman"/>
          <w:b/>
          <w:i/>
          <w:sz w:val="24"/>
          <w:szCs w:val="24"/>
          <w:vertAlign w:val="subscript"/>
        </w:rPr>
        <w:t xml:space="preserve">B </w:t>
      </w:r>
      <w:r w:rsidRPr="00AE47C6">
        <w:rPr>
          <w:rFonts w:ascii="Times New Roman" w:eastAsiaTheme="minorHAnsi" w:hAnsi="Times New Roman"/>
          <w:sz w:val="24"/>
          <w:szCs w:val="24"/>
        </w:rPr>
        <w:t xml:space="preserve">рецепторен енцефалит освен с клиника на </w:t>
      </w:r>
      <w:r w:rsidRPr="00AE47C6">
        <w:rPr>
          <w:rFonts w:ascii="Times New Roman" w:eastAsiaTheme="minorHAnsi" w:hAnsi="Times New Roman"/>
          <w:i/>
          <w:sz w:val="24"/>
          <w:szCs w:val="24"/>
        </w:rPr>
        <w:t xml:space="preserve">лимбичен енцефалит и атаксия </w:t>
      </w:r>
      <w:r w:rsidRPr="00AE47C6">
        <w:rPr>
          <w:rFonts w:ascii="Times New Roman" w:eastAsiaTheme="minorHAnsi" w:hAnsi="Times New Roman"/>
          <w:sz w:val="24"/>
          <w:szCs w:val="24"/>
        </w:rPr>
        <w:t>се обсъжда и при</w:t>
      </w:r>
      <w:r w:rsidRPr="00AE47C6">
        <w:rPr>
          <w:rFonts w:ascii="Times New Roman" w:eastAsiaTheme="minorHAnsi" w:hAnsi="Times New Roman"/>
          <w:i/>
          <w:sz w:val="24"/>
          <w:szCs w:val="24"/>
        </w:rPr>
        <w:t xml:space="preserve"> „опсоклонус-миоклонус</w:t>
      </w:r>
      <w:r w:rsidRPr="00AE47C6">
        <w:rPr>
          <w:rFonts w:ascii="Times New Roman" w:eastAsiaTheme="minorHAnsi" w:hAnsi="Times New Roman"/>
          <w:sz w:val="24"/>
          <w:szCs w:val="24"/>
        </w:rPr>
        <w:t>” синдрома.</w:t>
      </w:r>
    </w:p>
    <w:p w14:paraId="37A379E1" w14:textId="77777777" w:rsidR="00BE0B19" w:rsidRPr="00AE47C6" w:rsidRDefault="00BE0B19" w:rsidP="00BE0B19">
      <w:pPr>
        <w:autoSpaceDE w:val="0"/>
        <w:autoSpaceDN w:val="0"/>
        <w:adjustRightInd w:val="0"/>
        <w:spacing w:after="0" w:line="360" w:lineRule="auto"/>
        <w:ind w:firstLine="709"/>
        <w:jc w:val="both"/>
        <w:rPr>
          <w:rFonts w:ascii="Times New Roman" w:eastAsiaTheme="minorHAnsi" w:hAnsi="Times New Roman"/>
          <w:sz w:val="24"/>
          <w:szCs w:val="24"/>
        </w:rPr>
      </w:pPr>
      <w:r w:rsidRPr="00AE47C6">
        <w:rPr>
          <w:rFonts w:ascii="Times New Roman" w:eastAsiaTheme="minorHAnsi" w:hAnsi="Times New Roman"/>
          <w:b/>
          <w:i/>
          <w:sz w:val="24"/>
          <w:szCs w:val="24"/>
        </w:rPr>
        <w:t>Анти GABA</w:t>
      </w:r>
      <w:r w:rsidRPr="00AE47C6">
        <w:rPr>
          <w:rFonts w:ascii="Times New Roman" w:eastAsiaTheme="minorHAnsi" w:hAnsi="Times New Roman"/>
          <w:b/>
          <w:i/>
          <w:sz w:val="24"/>
          <w:szCs w:val="24"/>
          <w:vertAlign w:val="subscript"/>
        </w:rPr>
        <w:t xml:space="preserve">A </w:t>
      </w:r>
      <w:r w:rsidRPr="00AE47C6">
        <w:rPr>
          <w:rFonts w:ascii="Times New Roman" w:eastAsiaTheme="minorHAnsi" w:hAnsi="Times New Roman"/>
          <w:sz w:val="24"/>
          <w:szCs w:val="24"/>
        </w:rPr>
        <w:t>рецепторен енцефалит e описан вкл. при деца с енцефалопатия, прогресираща епилепсия до терапевтична резистентност и е с добър ефект от имунна терапия.</w:t>
      </w:r>
    </w:p>
    <w:p w14:paraId="15877EB6" w14:textId="77777777" w:rsidR="00BE0B19" w:rsidRPr="00AE47C6" w:rsidRDefault="00BE0B19" w:rsidP="00BE0B19">
      <w:pPr>
        <w:autoSpaceDE w:val="0"/>
        <w:autoSpaceDN w:val="0"/>
        <w:adjustRightInd w:val="0"/>
        <w:spacing w:after="0" w:line="360" w:lineRule="auto"/>
        <w:ind w:firstLine="709"/>
        <w:jc w:val="both"/>
        <w:rPr>
          <w:rFonts w:ascii="Times New Roman" w:eastAsiaTheme="minorHAnsi" w:hAnsi="Times New Roman"/>
          <w:sz w:val="24"/>
          <w:szCs w:val="24"/>
        </w:rPr>
      </w:pPr>
      <w:r w:rsidRPr="00AE47C6">
        <w:rPr>
          <w:rFonts w:ascii="Times New Roman" w:eastAsiaTheme="minorHAnsi" w:hAnsi="Times New Roman"/>
          <w:b/>
          <w:i/>
          <w:sz w:val="24"/>
          <w:szCs w:val="24"/>
        </w:rPr>
        <w:t xml:space="preserve">Автоимунните енцефалити с анти-GAD 65 </w:t>
      </w:r>
      <w:r w:rsidRPr="00AE47C6">
        <w:rPr>
          <w:rFonts w:ascii="Times New Roman" w:eastAsiaTheme="minorHAnsi" w:hAnsi="Times New Roman"/>
          <w:sz w:val="24"/>
          <w:szCs w:val="24"/>
        </w:rPr>
        <w:t>се причиняват от блокиране на пресинаптичния синтез на гама аминомаслената киселина (GABA)</w:t>
      </w:r>
      <w:r w:rsidRPr="00AE47C6">
        <w:rPr>
          <w:rFonts w:ascii="Times New Roman" w:eastAsia="SimSun" w:hAnsi="Times New Roman"/>
          <w:sz w:val="24"/>
          <w:szCs w:val="24"/>
        </w:rPr>
        <w:t xml:space="preserve"> и са с клинична изява освен на лимбичен енцефалит (непаранеопластичен или паранеопластичен), на атаксия, миоклонии, stiff-person синдром, </w:t>
      </w:r>
      <w:r w:rsidRPr="00AE47C6">
        <w:rPr>
          <w:rFonts w:ascii="Times New Roman" w:eastAsia="SimSun" w:hAnsi="Times New Roman"/>
          <w:bCs/>
          <w:sz w:val="24"/>
          <w:szCs w:val="24"/>
        </w:rPr>
        <w:t xml:space="preserve">PERM </w:t>
      </w:r>
      <w:r w:rsidRPr="00AE47C6">
        <w:rPr>
          <w:rFonts w:ascii="Times New Roman" w:eastAsia="SimSun" w:hAnsi="Times New Roman"/>
          <w:sz w:val="24"/>
          <w:szCs w:val="24"/>
        </w:rPr>
        <w:t>и терапевтично-резистентна фокална епилепсия</w:t>
      </w:r>
      <w:r w:rsidRPr="00AE47C6">
        <w:rPr>
          <w:rFonts w:ascii="Times New Roman" w:eastAsiaTheme="minorHAnsi" w:hAnsi="Times New Roman"/>
          <w:sz w:val="24"/>
          <w:szCs w:val="24"/>
        </w:rPr>
        <w:t xml:space="preserve">. </w:t>
      </w:r>
    </w:p>
    <w:p w14:paraId="0A14DB05" w14:textId="77777777" w:rsidR="00BE0B19" w:rsidRPr="00AE47C6" w:rsidRDefault="00BE0B19" w:rsidP="00BE0B19">
      <w:pPr>
        <w:autoSpaceDE w:val="0"/>
        <w:autoSpaceDN w:val="0"/>
        <w:adjustRightInd w:val="0"/>
        <w:spacing w:after="0" w:line="360" w:lineRule="auto"/>
        <w:ind w:firstLine="709"/>
        <w:jc w:val="both"/>
        <w:rPr>
          <w:rFonts w:ascii="Times New Roman" w:eastAsiaTheme="minorHAnsi" w:hAnsi="Times New Roman"/>
          <w:sz w:val="24"/>
          <w:szCs w:val="24"/>
        </w:rPr>
      </w:pPr>
      <w:r w:rsidRPr="00AE47C6">
        <w:rPr>
          <w:rFonts w:ascii="Times New Roman" w:eastAsiaTheme="minorHAnsi" w:hAnsi="Times New Roman"/>
          <w:sz w:val="24"/>
          <w:szCs w:val="24"/>
        </w:rPr>
        <w:t>Представя се диференциалната диагноза на лимбичните енцефалити (Табл.4.13).</w:t>
      </w:r>
    </w:p>
    <w:p w14:paraId="593BF84A" w14:textId="77777777" w:rsidR="00AA547F" w:rsidRPr="00AE47C6" w:rsidRDefault="00AA547F" w:rsidP="00BE0B19">
      <w:pPr>
        <w:autoSpaceDE w:val="0"/>
        <w:autoSpaceDN w:val="0"/>
        <w:adjustRightInd w:val="0"/>
        <w:spacing w:after="0" w:line="360" w:lineRule="auto"/>
        <w:ind w:firstLine="709"/>
        <w:jc w:val="both"/>
        <w:rPr>
          <w:rFonts w:ascii="Times New Roman" w:eastAsia="SimSun" w:hAnsi="Times New Roman"/>
          <w:b/>
          <w:sz w:val="24"/>
          <w:szCs w:val="24"/>
        </w:rPr>
      </w:pPr>
    </w:p>
    <w:p w14:paraId="5DB13E00" w14:textId="77777777" w:rsidR="00AA547F" w:rsidRPr="00AE47C6" w:rsidRDefault="00AA547F" w:rsidP="00BE0B19">
      <w:pPr>
        <w:autoSpaceDE w:val="0"/>
        <w:autoSpaceDN w:val="0"/>
        <w:adjustRightInd w:val="0"/>
        <w:spacing w:after="0" w:line="360" w:lineRule="auto"/>
        <w:ind w:firstLine="709"/>
        <w:jc w:val="both"/>
        <w:rPr>
          <w:rFonts w:ascii="Times New Roman" w:eastAsia="SimSun" w:hAnsi="Times New Roman"/>
          <w:b/>
          <w:sz w:val="24"/>
          <w:szCs w:val="24"/>
        </w:rPr>
      </w:pPr>
    </w:p>
    <w:p w14:paraId="054AFDC8" w14:textId="77777777" w:rsidR="00AA547F" w:rsidRPr="00AE47C6" w:rsidRDefault="00AA547F" w:rsidP="00BE0B19">
      <w:pPr>
        <w:autoSpaceDE w:val="0"/>
        <w:autoSpaceDN w:val="0"/>
        <w:adjustRightInd w:val="0"/>
        <w:spacing w:after="0" w:line="360" w:lineRule="auto"/>
        <w:ind w:firstLine="709"/>
        <w:jc w:val="both"/>
        <w:rPr>
          <w:rFonts w:ascii="Times New Roman" w:eastAsia="SimSun" w:hAnsi="Times New Roman"/>
          <w:b/>
          <w:sz w:val="24"/>
          <w:szCs w:val="24"/>
        </w:rPr>
      </w:pPr>
    </w:p>
    <w:p w14:paraId="14122A11" w14:textId="77777777" w:rsidR="00AA547F" w:rsidRPr="00AE47C6" w:rsidRDefault="00AA547F" w:rsidP="00BE0B19">
      <w:pPr>
        <w:autoSpaceDE w:val="0"/>
        <w:autoSpaceDN w:val="0"/>
        <w:adjustRightInd w:val="0"/>
        <w:spacing w:after="0" w:line="360" w:lineRule="auto"/>
        <w:ind w:firstLine="709"/>
        <w:jc w:val="both"/>
        <w:rPr>
          <w:rFonts w:ascii="Times New Roman" w:eastAsia="SimSun" w:hAnsi="Times New Roman"/>
          <w:b/>
          <w:sz w:val="24"/>
          <w:szCs w:val="24"/>
        </w:rPr>
      </w:pPr>
    </w:p>
    <w:p w14:paraId="32FB849A" w14:textId="77777777" w:rsidR="00AA547F" w:rsidRPr="00AE47C6" w:rsidRDefault="00AA547F" w:rsidP="00BE0B19">
      <w:pPr>
        <w:autoSpaceDE w:val="0"/>
        <w:autoSpaceDN w:val="0"/>
        <w:adjustRightInd w:val="0"/>
        <w:spacing w:after="0" w:line="360" w:lineRule="auto"/>
        <w:ind w:firstLine="709"/>
        <w:jc w:val="both"/>
        <w:rPr>
          <w:rFonts w:ascii="Times New Roman" w:eastAsia="SimSun" w:hAnsi="Times New Roman"/>
          <w:b/>
          <w:sz w:val="24"/>
          <w:szCs w:val="24"/>
        </w:rPr>
      </w:pPr>
    </w:p>
    <w:p w14:paraId="7E6643EF" w14:textId="77777777" w:rsidR="00AA547F" w:rsidRPr="00AE47C6" w:rsidRDefault="00AA547F" w:rsidP="00BE0B19">
      <w:pPr>
        <w:autoSpaceDE w:val="0"/>
        <w:autoSpaceDN w:val="0"/>
        <w:adjustRightInd w:val="0"/>
        <w:spacing w:after="0" w:line="360" w:lineRule="auto"/>
        <w:ind w:firstLine="709"/>
        <w:jc w:val="both"/>
        <w:rPr>
          <w:rFonts w:ascii="Times New Roman" w:eastAsia="SimSun" w:hAnsi="Times New Roman"/>
          <w:b/>
          <w:sz w:val="24"/>
          <w:szCs w:val="24"/>
        </w:rPr>
      </w:pPr>
    </w:p>
    <w:p w14:paraId="72838977" w14:textId="77777777" w:rsidR="00AA547F" w:rsidRPr="00AE47C6" w:rsidRDefault="00AA547F" w:rsidP="00BE0B19">
      <w:pPr>
        <w:autoSpaceDE w:val="0"/>
        <w:autoSpaceDN w:val="0"/>
        <w:adjustRightInd w:val="0"/>
        <w:spacing w:after="0" w:line="360" w:lineRule="auto"/>
        <w:ind w:firstLine="709"/>
        <w:jc w:val="both"/>
        <w:rPr>
          <w:rFonts w:ascii="Times New Roman" w:eastAsia="SimSun" w:hAnsi="Times New Roman"/>
          <w:b/>
          <w:sz w:val="24"/>
          <w:szCs w:val="24"/>
        </w:rPr>
      </w:pPr>
    </w:p>
    <w:p w14:paraId="41D6AEA0" w14:textId="77777777" w:rsidR="00AA547F" w:rsidRPr="00AE47C6" w:rsidRDefault="00AA547F" w:rsidP="00BE0B19">
      <w:pPr>
        <w:autoSpaceDE w:val="0"/>
        <w:autoSpaceDN w:val="0"/>
        <w:adjustRightInd w:val="0"/>
        <w:spacing w:after="0" w:line="360" w:lineRule="auto"/>
        <w:ind w:firstLine="709"/>
        <w:jc w:val="both"/>
        <w:rPr>
          <w:rFonts w:ascii="Times New Roman" w:eastAsia="SimSun" w:hAnsi="Times New Roman"/>
          <w:b/>
          <w:sz w:val="24"/>
          <w:szCs w:val="24"/>
        </w:rPr>
      </w:pPr>
    </w:p>
    <w:p w14:paraId="5D230C8E" w14:textId="3B3D82FB" w:rsidR="00BE0B19" w:rsidRPr="00AE47C6" w:rsidRDefault="00BE0B19" w:rsidP="00BE0B19">
      <w:pPr>
        <w:autoSpaceDE w:val="0"/>
        <w:autoSpaceDN w:val="0"/>
        <w:adjustRightInd w:val="0"/>
        <w:spacing w:after="0" w:line="360" w:lineRule="auto"/>
        <w:ind w:firstLine="709"/>
        <w:jc w:val="both"/>
        <w:rPr>
          <w:rFonts w:ascii="Times New Roman" w:eastAsiaTheme="minorHAnsi" w:hAnsi="Times New Roman"/>
          <w:sz w:val="24"/>
          <w:szCs w:val="24"/>
        </w:rPr>
      </w:pPr>
      <w:r w:rsidRPr="00AE47C6">
        <w:rPr>
          <w:rFonts w:ascii="Times New Roman" w:eastAsia="SimSun" w:hAnsi="Times New Roman"/>
          <w:b/>
          <w:sz w:val="24"/>
          <w:szCs w:val="24"/>
        </w:rPr>
        <w:t xml:space="preserve">Таблица 4.13. Диференциална диагноза на лимбичните енцефалити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47"/>
        <w:gridCol w:w="1033"/>
        <w:gridCol w:w="1450"/>
        <w:gridCol w:w="1450"/>
        <w:gridCol w:w="1160"/>
        <w:gridCol w:w="1160"/>
        <w:gridCol w:w="1160"/>
      </w:tblGrid>
      <w:tr w:rsidR="00BE0B19" w:rsidRPr="00AE47C6" w14:paraId="6F186B13" w14:textId="77777777" w:rsidTr="00AD72E5">
        <w:trPr>
          <w:trHeight w:val="2058"/>
          <w:tblHeader/>
        </w:trPr>
        <w:tc>
          <w:tcPr>
            <w:tcW w:w="0" w:type="auto"/>
            <w:tcMar>
              <w:top w:w="48" w:type="dxa"/>
              <w:left w:w="96" w:type="dxa"/>
              <w:bottom w:w="48" w:type="dxa"/>
              <w:right w:w="96" w:type="dxa"/>
            </w:tcMar>
            <w:hideMark/>
          </w:tcPr>
          <w:p w14:paraId="24A59734" w14:textId="77777777" w:rsidR="00BE0B19" w:rsidRPr="00AE47C6" w:rsidRDefault="00BE0B19" w:rsidP="00BE0B19">
            <w:pPr>
              <w:spacing w:after="0" w:line="360" w:lineRule="auto"/>
              <w:jc w:val="both"/>
              <w:rPr>
                <w:rFonts w:ascii="Times New Roman" w:eastAsia="SimSun" w:hAnsi="Times New Roman"/>
                <w:b/>
                <w:bCs/>
                <w:sz w:val="24"/>
                <w:szCs w:val="24"/>
              </w:rPr>
            </w:pPr>
          </w:p>
        </w:tc>
        <w:tc>
          <w:tcPr>
            <w:tcW w:w="0" w:type="auto"/>
            <w:tcMar>
              <w:top w:w="48" w:type="dxa"/>
              <w:left w:w="96" w:type="dxa"/>
              <w:bottom w:w="48" w:type="dxa"/>
              <w:right w:w="96" w:type="dxa"/>
            </w:tcMar>
            <w:hideMark/>
          </w:tcPr>
          <w:p w14:paraId="7FA663C7"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HSV-1</w:t>
            </w:r>
            <w:r w:rsidRPr="00AE47C6">
              <w:rPr>
                <w:rFonts w:ascii="Times New Roman" w:eastAsia="SimSun" w:hAnsi="Times New Roman"/>
                <w:b/>
                <w:bCs/>
                <w:sz w:val="24"/>
                <w:szCs w:val="24"/>
              </w:rPr>
              <w:br/>
              <w:t>енцефалит</w:t>
            </w:r>
          </w:p>
        </w:tc>
        <w:tc>
          <w:tcPr>
            <w:tcW w:w="0" w:type="auto"/>
            <w:tcMar>
              <w:top w:w="48" w:type="dxa"/>
              <w:left w:w="96" w:type="dxa"/>
              <w:bottom w:w="48" w:type="dxa"/>
              <w:right w:w="96" w:type="dxa"/>
            </w:tcMar>
            <w:hideMark/>
          </w:tcPr>
          <w:p w14:paraId="2D4ECAD8"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HHV6</w:t>
            </w:r>
          </w:p>
        </w:tc>
        <w:tc>
          <w:tcPr>
            <w:tcW w:w="0" w:type="auto"/>
            <w:tcMar>
              <w:top w:w="48" w:type="dxa"/>
              <w:left w:w="96" w:type="dxa"/>
              <w:bottom w:w="48" w:type="dxa"/>
              <w:right w:w="96" w:type="dxa"/>
            </w:tcMar>
            <w:hideMark/>
          </w:tcPr>
          <w:p w14:paraId="42C89C8E"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VZV</w:t>
            </w:r>
          </w:p>
        </w:tc>
        <w:tc>
          <w:tcPr>
            <w:tcW w:w="0" w:type="auto"/>
            <w:tcMar>
              <w:top w:w="48" w:type="dxa"/>
              <w:left w:w="96" w:type="dxa"/>
              <w:bottom w:w="48" w:type="dxa"/>
              <w:right w:w="96" w:type="dxa"/>
            </w:tcMar>
            <w:hideMark/>
          </w:tcPr>
          <w:p w14:paraId="252AD67E"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SLE</w:t>
            </w:r>
          </w:p>
        </w:tc>
        <w:tc>
          <w:tcPr>
            <w:tcW w:w="0" w:type="auto"/>
            <w:tcMar>
              <w:top w:w="48" w:type="dxa"/>
              <w:left w:w="96" w:type="dxa"/>
              <w:bottom w:w="48" w:type="dxa"/>
              <w:right w:w="96" w:type="dxa"/>
            </w:tcMar>
            <w:hideMark/>
          </w:tcPr>
          <w:p w14:paraId="7773709E"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Синдром на Sjogren</w:t>
            </w:r>
          </w:p>
        </w:tc>
        <w:tc>
          <w:tcPr>
            <w:tcW w:w="0" w:type="auto"/>
            <w:tcMar>
              <w:top w:w="48" w:type="dxa"/>
              <w:left w:w="96" w:type="dxa"/>
              <w:bottom w:w="48" w:type="dxa"/>
              <w:right w:w="96" w:type="dxa"/>
            </w:tcMar>
            <w:hideMark/>
          </w:tcPr>
          <w:p w14:paraId="22B45D3A"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PACNS</w:t>
            </w:r>
          </w:p>
          <w:p w14:paraId="7C694F6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(първичен ангиит на ЦНС)</w:t>
            </w:r>
          </w:p>
        </w:tc>
      </w:tr>
      <w:tr w:rsidR="00BE0B19" w:rsidRPr="00AE47C6" w14:paraId="0BD1D2ED" w14:textId="77777777" w:rsidTr="00AD72E5">
        <w:tc>
          <w:tcPr>
            <w:tcW w:w="0" w:type="auto"/>
            <w:tcMar>
              <w:top w:w="48" w:type="dxa"/>
              <w:left w:w="96" w:type="dxa"/>
              <w:bottom w:w="48" w:type="dxa"/>
              <w:right w:w="96" w:type="dxa"/>
            </w:tcMar>
            <w:hideMark/>
          </w:tcPr>
          <w:p w14:paraId="16D0A28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Клиничен синдром</w:t>
            </w:r>
          </w:p>
        </w:tc>
        <w:tc>
          <w:tcPr>
            <w:tcW w:w="0" w:type="auto"/>
            <w:tcMar>
              <w:top w:w="48" w:type="dxa"/>
              <w:left w:w="96" w:type="dxa"/>
              <w:bottom w:w="48" w:type="dxa"/>
              <w:right w:w="96" w:type="dxa"/>
            </w:tcMar>
            <w:hideMark/>
          </w:tcPr>
          <w:p w14:paraId="5CF7DAC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Гърчове, главоболие, личностови промени, промени в съзнанието, Т</w:t>
            </w:r>
            <w:r w:rsidRPr="00AE47C6">
              <w:rPr>
                <w:rFonts w:ascii="Times New Roman" w:eastAsia="SimSun" w:hAnsi="Times New Roman"/>
                <w:sz w:val="24"/>
                <w:szCs w:val="24"/>
                <w:vertAlign w:val="superscript"/>
              </w:rPr>
              <w:t>о</w:t>
            </w:r>
          </w:p>
        </w:tc>
        <w:tc>
          <w:tcPr>
            <w:tcW w:w="0" w:type="auto"/>
            <w:tcMar>
              <w:top w:w="48" w:type="dxa"/>
              <w:left w:w="96" w:type="dxa"/>
              <w:bottom w:w="48" w:type="dxa"/>
              <w:right w:w="96" w:type="dxa"/>
            </w:tcMar>
            <w:hideMark/>
          </w:tcPr>
          <w:p w14:paraId="2B91C86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Промени в съзнанието, възбуда, ажитация, краткотрайна загуба на памет, гърчове, тремор, атаксия, фокални белези, главоболие, Т</w:t>
            </w:r>
            <w:r w:rsidRPr="00AE47C6">
              <w:rPr>
                <w:rFonts w:ascii="Times New Roman" w:eastAsia="SimSun" w:hAnsi="Times New Roman"/>
                <w:sz w:val="24"/>
                <w:szCs w:val="24"/>
                <w:vertAlign w:val="superscript"/>
              </w:rPr>
              <w:t>о</w:t>
            </w:r>
          </w:p>
        </w:tc>
        <w:tc>
          <w:tcPr>
            <w:tcW w:w="0" w:type="auto"/>
            <w:tcMar>
              <w:top w:w="48" w:type="dxa"/>
              <w:left w:w="96" w:type="dxa"/>
              <w:bottom w:w="48" w:type="dxa"/>
              <w:right w:w="96" w:type="dxa"/>
            </w:tcMar>
            <w:hideMark/>
          </w:tcPr>
          <w:p w14:paraId="12C31BA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Главоболие, промени в съзнанието, Т</w:t>
            </w:r>
            <w:r w:rsidRPr="00AE47C6">
              <w:rPr>
                <w:rFonts w:ascii="Times New Roman" w:eastAsia="SimSun" w:hAnsi="Times New Roman"/>
                <w:sz w:val="24"/>
                <w:szCs w:val="24"/>
                <w:vertAlign w:val="superscript"/>
              </w:rPr>
              <w:t>о</w:t>
            </w:r>
            <w:r w:rsidRPr="00AE47C6">
              <w:rPr>
                <w:rFonts w:ascii="Times New Roman" w:eastAsia="SimSun" w:hAnsi="Times New Roman"/>
                <w:sz w:val="24"/>
                <w:szCs w:val="24"/>
              </w:rPr>
              <w:t>, менингеален с-м (20–30 %). Гърчове (рядко), обрив в 50%</w:t>
            </w:r>
          </w:p>
        </w:tc>
        <w:tc>
          <w:tcPr>
            <w:tcW w:w="0" w:type="auto"/>
            <w:tcMar>
              <w:top w:w="48" w:type="dxa"/>
              <w:left w:w="96" w:type="dxa"/>
              <w:bottom w:w="48" w:type="dxa"/>
              <w:right w:w="96" w:type="dxa"/>
            </w:tcMar>
            <w:hideMark/>
          </w:tcPr>
          <w:p w14:paraId="62077FA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Тревожност, разстройство в поведението, психоза, гърчове, главоболие</w:t>
            </w:r>
          </w:p>
        </w:tc>
        <w:tc>
          <w:tcPr>
            <w:tcW w:w="0" w:type="auto"/>
            <w:tcMar>
              <w:top w:w="48" w:type="dxa"/>
              <w:left w:w="96" w:type="dxa"/>
              <w:bottom w:w="48" w:type="dxa"/>
              <w:right w:w="96" w:type="dxa"/>
            </w:tcMar>
            <w:hideMark/>
          </w:tcPr>
          <w:p w14:paraId="54B9CC5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Гърчове, менингеален с-м, когнитивна дисфункция, пирамидни увреди</w:t>
            </w:r>
          </w:p>
        </w:tc>
        <w:tc>
          <w:tcPr>
            <w:tcW w:w="0" w:type="auto"/>
            <w:tcMar>
              <w:top w:w="48" w:type="dxa"/>
              <w:left w:w="96" w:type="dxa"/>
              <w:bottom w:w="48" w:type="dxa"/>
              <w:right w:w="96" w:type="dxa"/>
            </w:tcMar>
            <w:hideMark/>
          </w:tcPr>
          <w:p w14:paraId="76E0094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Главоболие, когнитивна дисфункция, фокални промени</w:t>
            </w:r>
          </w:p>
        </w:tc>
      </w:tr>
      <w:tr w:rsidR="00BE0B19" w:rsidRPr="00AE47C6" w14:paraId="668DD5C3" w14:textId="77777777" w:rsidTr="00AD72E5">
        <w:tc>
          <w:tcPr>
            <w:tcW w:w="0" w:type="auto"/>
            <w:tcMar>
              <w:top w:w="48" w:type="dxa"/>
              <w:left w:w="96" w:type="dxa"/>
              <w:bottom w:w="48" w:type="dxa"/>
              <w:right w:w="96" w:type="dxa"/>
            </w:tcMar>
            <w:hideMark/>
          </w:tcPr>
          <w:p w14:paraId="0B957CA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МРТ: двустранно темпоромезиалниT</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/FLAIR хиперинтензности</w:t>
            </w:r>
          </w:p>
        </w:tc>
        <w:tc>
          <w:tcPr>
            <w:tcW w:w="0" w:type="auto"/>
            <w:tcMar>
              <w:top w:w="48" w:type="dxa"/>
              <w:left w:w="96" w:type="dxa"/>
              <w:bottom w:w="48" w:type="dxa"/>
              <w:right w:w="96" w:type="dxa"/>
            </w:tcMar>
            <w:hideMark/>
          </w:tcPr>
          <w:p w14:paraId="00DAFE9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Много чести- 90 %</w:t>
            </w:r>
          </w:p>
        </w:tc>
        <w:tc>
          <w:tcPr>
            <w:tcW w:w="0" w:type="auto"/>
            <w:tcMar>
              <w:top w:w="48" w:type="dxa"/>
              <w:left w:w="96" w:type="dxa"/>
              <w:bottom w:w="48" w:type="dxa"/>
              <w:right w:w="96" w:type="dxa"/>
            </w:tcMar>
            <w:hideMark/>
          </w:tcPr>
          <w:p w14:paraId="6C66838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Чести</w:t>
            </w:r>
          </w:p>
        </w:tc>
        <w:tc>
          <w:tcPr>
            <w:tcW w:w="0" w:type="auto"/>
            <w:tcMar>
              <w:top w:w="48" w:type="dxa"/>
              <w:left w:w="96" w:type="dxa"/>
              <w:bottom w:w="48" w:type="dxa"/>
              <w:right w:w="96" w:type="dxa"/>
            </w:tcMar>
            <w:hideMark/>
          </w:tcPr>
          <w:p w14:paraId="33CFEE1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От 40–70%</w:t>
            </w:r>
          </w:p>
        </w:tc>
        <w:tc>
          <w:tcPr>
            <w:tcW w:w="0" w:type="auto"/>
            <w:tcMar>
              <w:top w:w="48" w:type="dxa"/>
              <w:left w:w="96" w:type="dxa"/>
              <w:bottom w:w="48" w:type="dxa"/>
              <w:right w:w="96" w:type="dxa"/>
            </w:tcMar>
            <w:hideMark/>
          </w:tcPr>
          <w:p w14:paraId="4AEDC1E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Много редки</w:t>
            </w:r>
          </w:p>
        </w:tc>
        <w:tc>
          <w:tcPr>
            <w:tcW w:w="0" w:type="auto"/>
            <w:tcMar>
              <w:top w:w="48" w:type="dxa"/>
              <w:left w:w="96" w:type="dxa"/>
              <w:bottom w:w="48" w:type="dxa"/>
              <w:right w:w="96" w:type="dxa"/>
            </w:tcMar>
            <w:hideMark/>
          </w:tcPr>
          <w:p w14:paraId="1E344A5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Много редки</w:t>
            </w:r>
          </w:p>
        </w:tc>
        <w:tc>
          <w:tcPr>
            <w:tcW w:w="0" w:type="auto"/>
            <w:tcMar>
              <w:top w:w="48" w:type="dxa"/>
              <w:left w:w="96" w:type="dxa"/>
              <w:bottom w:w="48" w:type="dxa"/>
              <w:right w:w="96" w:type="dxa"/>
            </w:tcMar>
            <w:hideMark/>
          </w:tcPr>
          <w:p w14:paraId="5715489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Много редки</w:t>
            </w:r>
          </w:p>
        </w:tc>
      </w:tr>
      <w:tr w:rsidR="00BE0B19" w:rsidRPr="00AE47C6" w14:paraId="1C6C3563" w14:textId="77777777" w:rsidTr="00AD72E5">
        <w:tc>
          <w:tcPr>
            <w:tcW w:w="0" w:type="auto"/>
            <w:tcMar>
              <w:top w:w="48" w:type="dxa"/>
              <w:left w:w="96" w:type="dxa"/>
              <w:bottom w:w="48" w:type="dxa"/>
              <w:right w:w="96" w:type="dxa"/>
            </w:tcMar>
            <w:hideMark/>
          </w:tcPr>
          <w:p w14:paraId="6A4E9A0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Ликвор</w:t>
            </w:r>
          </w:p>
        </w:tc>
        <w:tc>
          <w:tcPr>
            <w:tcW w:w="0" w:type="auto"/>
            <w:tcMar>
              <w:top w:w="48" w:type="dxa"/>
              <w:left w:w="96" w:type="dxa"/>
              <w:bottom w:w="48" w:type="dxa"/>
              <w:right w:w="96" w:type="dxa"/>
            </w:tcMar>
            <w:hideMark/>
          </w:tcPr>
          <w:p w14:paraId="647869A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Плеоцитоза, умерено повишен протеин. Еритроцити- често </w:t>
            </w:r>
          </w:p>
        </w:tc>
        <w:tc>
          <w:tcPr>
            <w:tcW w:w="0" w:type="auto"/>
            <w:tcMar>
              <w:top w:w="48" w:type="dxa"/>
              <w:left w:w="96" w:type="dxa"/>
              <w:bottom w:w="48" w:type="dxa"/>
              <w:right w:w="96" w:type="dxa"/>
            </w:tcMar>
            <w:hideMark/>
          </w:tcPr>
          <w:p w14:paraId="7A7A9E8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Лимфоцитна плеоцитоза, умерено повишен протеин</w:t>
            </w:r>
          </w:p>
        </w:tc>
        <w:tc>
          <w:tcPr>
            <w:tcW w:w="0" w:type="auto"/>
            <w:tcMar>
              <w:top w:w="48" w:type="dxa"/>
              <w:left w:w="96" w:type="dxa"/>
              <w:bottom w:w="48" w:type="dxa"/>
              <w:right w:w="96" w:type="dxa"/>
            </w:tcMar>
            <w:hideMark/>
          </w:tcPr>
          <w:p w14:paraId="4D1FD5D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Плеоцитоза, умерено повишен протеин. Еритроцити- рядко</w:t>
            </w:r>
          </w:p>
        </w:tc>
        <w:tc>
          <w:tcPr>
            <w:tcW w:w="0" w:type="auto"/>
            <w:tcMar>
              <w:top w:w="48" w:type="dxa"/>
              <w:left w:w="96" w:type="dxa"/>
              <w:bottom w:w="48" w:type="dxa"/>
              <w:right w:w="96" w:type="dxa"/>
            </w:tcMar>
            <w:hideMark/>
          </w:tcPr>
          <w:p w14:paraId="595A7EA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Понякога повишен протеин, плеоцитоза- рядко</w:t>
            </w:r>
          </w:p>
        </w:tc>
        <w:tc>
          <w:tcPr>
            <w:tcW w:w="0" w:type="auto"/>
            <w:tcMar>
              <w:top w:w="48" w:type="dxa"/>
              <w:left w:w="96" w:type="dxa"/>
              <w:bottom w:w="48" w:type="dxa"/>
              <w:right w:w="96" w:type="dxa"/>
            </w:tcMar>
            <w:hideMark/>
          </w:tcPr>
          <w:p w14:paraId="7FBAA52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Плеоцитоза, повишен протеин.</w:t>
            </w:r>
          </w:p>
        </w:tc>
        <w:tc>
          <w:tcPr>
            <w:tcW w:w="0" w:type="auto"/>
            <w:tcMar>
              <w:top w:w="48" w:type="dxa"/>
              <w:left w:w="96" w:type="dxa"/>
              <w:bottom w:w="48" w:type="dxa"/>
              <w:right w:w="96" w:type="dxa"/>
            </w:tcMar>
            <w:hideMark/>
          </w:tcPr>
          <w:p w14:paraId="3660035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Плеоцитоза, повишен протеин</w:t>
            </w:r>
          </w:p>
        </w:tc>
      </w:tr>
      <w:tr w:rsidR="00BE0B19" w:rsidRPr="00AE47C6" w14:paraId="1F8BE8D0" w14:textId="77777777" w:rsidTr="00AD72E5">
        <w:tc>
          <w:tcPr>
            <w:tcW w:w="0" w:type="auto"/>
            <w:tcMar>
              <w:top w:w="48" w:type="dxa"/>
              <w:left w:w="96" w:type="dxa"/>
              <w:bottom w:w="48" w:type="dxa"/>
              <w:right w:w="96" w:type="dxa"/>
            </w:tcMar>
            <w:hideMark/>
          </w:tcPr>
          <w:p w14:paraId="7E48CD3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ЕЕГ</w:t>
            </w:r>
          </w:p>
        </w:tc>
        <w:tc>
          <w:tcPr>
            <w:tcW w:w="0" w:type="auto"/>
            <w:tcMar>
              <w:top w:w="48" w:type="dxa"/>
              <w:left w:w="96" w:type="dxa"/>
              <w:bottom w:w="48" w:type="dxa"/>
              <w:right w:w="96" w:type="dxa"/>
            </w:tcMar>
            <w:hideMark/>
          </w:tcPr>
          <w:p w14:paraId="49F57DF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80% абнормна, пароксизми от острия, остри вълни. Темпорално двустранно дву- и трифазни вълни и периодични латерализирани разряди</w:t>
            </w:r>
          </w:p>
        </w:tc>
        <w:tc>
          <w:tcPr>
            <w:tcW w:w="0" w:type="auto"/>
            <w:tcMar>
              <w:top w:w="48" w:type="dxa"/>
              <w:left w:w="96" w:type="dxa"/>
              <w:bottom w:w="48" w:type="dxa"/>
              <w:right w:w="96" w:type="dxa"/>
            </w:tcMar>
            <w:hideMark/>
          </w:tcPr>
          <w:p w14:paraId="69ED3AA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Дифузно бавни по-рядко острия и остри вълни </w:t>
            </w:r>
          </w:p>
        </w:tc>
        <w:tc>
          <w:tcPr>
            <w:tcW w:w="0" w:type="auto"/>
            <w:tcMar>
              <w:top w:w="48" w:type="dxa"/>
              <w:left w:w="96" w:type="dxa"/>
              <w:bottom w:w="48" w:type="dxa"/>
              <w:right w:w="96" w:type="dxa"/>
            </w:tcMar>
            <w:hideMark/>
          </w:tcPr>
          <w:p w14:paraId="4CEEEF2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Пароксизми от острия, остри вълни.</w:t>
            </w:r>
          </w:p>
        </w:tc>
        <w:tc>
          <w:tcPr>
            <w:tcW w:w="0" w:type="auto"/>
            <w:tcMar>
              <w:top w:w="48" w:type="dxa"/>
              <w:left w:w="96" w:type="dxa"/>
              <w:bottom w:w="48" w:type="dxa"/>
              <w:right w:w="96" w:type="dxa"/>
            </w:tcMar>
            <w:hideMark/>
          </w:tcPr>
          <w:p w14:paraId="055A968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Дифузно забавяне, острия и остри вълни</w:t>
            </w:r>
          </w:p>
        </w:tc>
        <w:tc>
          <w:tcPr>
            <w:tcW w:w="0" w:type="auto"/>
            <w:tcMar>
              <w:top w:w="48" w:type="dxa"/>
              <w:left w:w="96" w:type="dxa"/>
              <w:bottom w:w="48" w:type="dxa"/>
              <w:right w:w="96" w:type="dxa"/>
            </w:tcMar>
            <w:hideMark/>
          </w:tcPr>
          <w:p w14:paraId="7F4C575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Дифузно забавяне, острия и остри вълни</w:t>
            </w:r>
          </w:p>
        </w:tc>
        <w:tc>
          <w:tcPr>
            <w:tcW w:w="0" w:type="auto"/>
            <w:tcMar>
              <w:top w:w="48" w:type="dxa"/>
              <w:left w:w="96" w:type="dxa"/>
              <w:bottom w:w="48" w:type="dxa"/>
              <w:right w:w="96" w:type="dxa"/>
            </w:tcMar>
            <w:hideMark/>
          </w:tcPr>
          <w:p w14:paraId="2EC03A5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Фокално и дифузно забавяне</w:t>
            </w:r>
          </w:p>
        </w:tc>
      </w:tr>
      <w:tr w:rsidR="00BE0B19" w:rsidRPr="00AE47C6" w14:paraId="78FACE96" w14:textId="77777777" w:rsidTr="00AD72E5">
        <w:tc>
          <w:tcPr>
            <w:tcW w:w="0" w:type="auto"/>
            <w:tcMar>
              <w:top w:w="48" w:type="dxa"/>
              <w:left w:w="96" w:type="dxa"/>
              <w:bottom w:w="48" w:type="dxa"/>
              <w:right w:w="96" w:type="dxa"/>
            </w:tcMar>
            <w:hideMark/>
          </w:tcPr>
          <w:p w14:paraId="556F440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Диагностични тестове и различия</w:t>
            </w:r>
          </w:p>
        </w:tc>
        <w:tc>
          <w:tcPr>
            <w:tcW w:w="0" w:type="auto"/>
            <w:tcMar>
              <w:top w:w="48" w:type="dxa"/>
              <w:left w:w="96" w:type="dxa"/>
              <w:bottom w:w="48" w:type="dxa"/>
              <w:right w:w="96" w:type="dxa"/>
            </w:tcMar>
            <w:hideMark/>
          </w:tcPr>
          <w:p w14:paraId="2891EA4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HSV-PCR в ликвор, гърчовете са много чести</w:t>
            </w:r>
          </w:p>
        </w:tc>
        <w:tc>
          <w:tcPr>
            <w:tcW w:w="0" w:type="auto"/>
            <w:tcMar>
              <w:top w:w="48" w:type="dxa"/>
              <w:left w:w="96" w:type="dxa"/>
              <w:bottom w:w="48" w:type="dxa"/>
              <w:right w:w="96" w:type="dxa"/>
            </w:tcMar>
            <w:hideMark/>
          </w:tcPr>
          <w:p w14:paraId="00D4A96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HHV6-PCR in CSF в ликвор</w:t>
            </w:r>
          </w:p>
          <w:p w14:paraId="79740D4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Имунокомпрометирани пациенти</w:t>
            </w:r>
          </w:p>
        </w:tc>
        <w:tc>
          <w:tcPr>
            <w:tcW w:w="0" w:type="auto"/>
            <w:tcMar>
              <w:top w:w="48" w:type="dxa"/>
              <w:left w:w="96" w:type="dxa"/>
              <w:bottom w:w="48" w:type="dxa"/>
              <w:right w:w="96" w:type="dxa"/>
            </w:tcMar>
            <w:hideMark/>
          </w:tcPr>
          <w:p w14:paraId="742DC7A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VZV-PCR в ликвор Herpes zoster обрив-50% Имунокомпрометирани пациенти</w:t>
            </w:r>
          </w:p>
        </w:tc>
        <w:tc>
          <w:tcPr>
            <w:tcW w:w="0" w:type="auto"/>
            <w:tcMar>
              <w:top w:w="48" w:type="dxa"/>
              <w:left w:w="96" w:type="dxa"/>
              <w:bottom w:w="48" w:type="dxa"/>
              <w:right w:w="96" w:type="dxa"/>
            </w:tcMar>
            <w:hideMark/>
          </w:tcPr>
          <w:p w14:paraId="1B51A19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Анти DNA-антитела</w:t>
            </w:r>
          </w:p>
        </w:tc>
        <w:tc>
          <w:tcPr>
            <w:tcW w:w="0" w:type="auto"/>
            <w:tcMar>
              <w:top w:w="48" w:type="dxa"/>
              <w:left w:w="96" w:type="dxa"/>
              <w:bottom w:w="48" w:type="dxa"/>
              <w:right w:w="96" w:type="dxa"/>
            </w:tcMar>
            <w:hideMark/>
          </w:tcPr>
          <w:p w14:paraId="25B1202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SS-A, SS-B антитела, биопсия на слюнчена жлеза </w:t>
            </w:r>
          </w:p>
        </w:tc>
        <w:tc>
          <w:tcPr>
            <w:tcW w:w="0" w:type="auto"/>
            <w:tcMar>
              <w:top w:w="48" w:type="dxa"/>
              <w:left w:w="96" w:type="dxa"/>
              <w:bottom w:w="48" w:type="dxa"/>
              <w:right w:w="96" w:type="dxa"/>
            </w:tcMar>
            <w:hideMark/>
          </w:tcPr>
          <w:p w14:paraId="172B738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Биопсия, ангиография</w:t>
            </w:r>
          </w:p>
        </w:tc>
      </w:tr>
      <w:tr w:rsidR="00BE0B19" w:rsidRPr="00AE47C6" w14:paraId="50A2E85E" w14:textId="77777777" w:rsidTr="00AD72E5">
        <w:tc>
          <w:tcPr>
            <w:tcW w:w="0" w:type="auto"/>
            <w:tcMar>
              <w:top w:w="48" w:type="dxa"/>
              <w:left w:w="96" w:type="dxa"/>
              <w:bottom w:w="48" w:type="dxa"/>
              <w:right w:w="96" w:type="dxa"/>
            </w:tcMar>
            <w:hideMark/>
          </w:tcPr>
          <w:p w14:paraId="48D44F9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Терапия</w:t>
            </w:r>
          </w:p>
        </w:tc>
        <w:tc>
          <w:tcPr>
            <w:tcW w:w="0" w:type="auto"/>
            <w:tcMar>
              <w:top w:w="48" w:type="dxa"/>
              <w:left w:w="96" w:type="dxa"/>
              <w:bottom w:w="48" w:type="dxa"/>
              <w:right w:w="96" w:type="dxa"/>
            </w:tcMar>
            <w:hideMark/>
          </w:tcPr>
          <w:p w14:paraId="13FD704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Acyclovir, Чест огнищен неврологичен дефицит, висока смъртност</w:t>
            </w:r>
          </w:p>
        </w:tc>
        <w:tc>
          <w:tcPr>
            <w:tcW w:w="0" w:type="auto"/>
            <w:tcMar>
              <w:top w:w="48" w:type="dxa"/>
              <w:left w:w="96" w:type="dxa"/>
              <w:bottom w:w="48" w:type="dxa"/>
              <w:right w:w="96" w:type="dxa"/>
            </w:tcMar>
            <w:hideMark/>
          </w:tcPr>
          <w:p w14:paraId="7CC91E4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Foscarnet, cidofovir, ganciclovir</w:t>
            </w:r>
          </w:p>
        </w:tc>
        <w:tc>
          <w:tcPr>
            <w:tcW w:w="0" w:type="auto"/>
            <w:tcMar>
              <w:top w:w="48" w:type="dxa"/>
              <w:left w:w="96" w:type="dxa"/>
              <w:bottom w:w="48" w:type="dxa"/>
              <w:right w:w="96" w:type="dxa"/>
            </w:tcMar>
            <w:hideMark/>
          </w:tcPr>
          <w:p w14:paraId="4A9B2C0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Acyclovir, Чест огнищен неврологичен дефицит</w:t>
            </w:r>
          </w:p>
        </w:tc>
        <w:tc>
          <w:tcPr>
            <w:tcW w:w="0" w:type="auto"/>
            <w:tcMar>
              <w:top w:w="48" w:type="dxa"/>
              <w:left w:w="96" w:type="dxa"/>
              <w:bottom w:w="48" w:type="dxa"/>
              <w:right w:w="96" w:type="dxa"/>
            </w:tcMar>
            <w:hideMark/>
          </w:tcPr>
          <w:p w14:paraId="3DF52F8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Кортикостероиди, azathioprine, cyclophosphamide, rituximab</w:t>
            </w:r>
          </w:p>
        </w:tc>
        <w:tc>
          <w:tcPr>
            <w:tcW w:w="0" w:type="auto"/>
            <w:tcMar>
              <w:top w:w="48" w:type="dxa"/>
              <w:left w:w="96" w:type="dxa"/>
              <w:bottom w:w="48" w:type="dxa"/>
              <w:right w:w="96" w:type="dxa"/>
            </w:tcMar>
            <w:hideMark/>
          </w:tcPr>
          <w:p w14:paraId="022E561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Кортикостероиди, имуносупресанти</w:t>
            </w:r>
          </w:p>
        </w:tc>
        <w:tc>
          <w:tcPr>
            <w:tcW w:w="0" w:type="auto"/>
            <w:tcMar>
              <w:top w:w="48" w:type="dxa"/>
              <w:left w:w="96" w:type="dxa"/>
              <w:bottom w:w="48" w:type="dxa"/>
              <w:right w:w="96" w:type="dxa"/>
            </w:tcMar>
            <w:hideMark/>
          </w:tcPr>
          <w:p w14:paraId="46A8B13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Кортикостероиди, cyclophosphamide</w:t>
            </w:r>
          </w:p>
        </w:tc>
      </w:tr>
    </w:tbl>
    <w:p w14:paraId="14B92BC7"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
          <w:bCs/>
          <w:sz w:val="24"/>
          <w:szCs w:val="24"/>
          <w:u w:val="single"/>
          <w:lang w:eastAsia="bg-BG"/>
        </w:rPr>
      </w:pPr>
    </w:p>
    <w:p w14:paraId="1ED12BAA"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97" w:name="_Toc155651747"/>
      <w:bookmarkStart w:id="98" w:name="_Toc164075879"/>
      <w:r w:rsidRPr="00AE47C6">
        <w:rPr>
          <w:rFonts w:ascii="Times New Roman" w:eastAsia="SimSun" w:hAnsi="Times New Roman"/>
          <w:b/>
          <w:sz w:val="24"/>
          <w:szCs w:val="20"/>
          <w:lang w:eastAsia="ja-JP"/>
        </w:rPr>
        <w:t>4.3.3. Автоимунни постстрептококови неврологични синдроми.</w:t>
      </w:r>
      <w:bookmarkEnd w:id="97"/>
      <w:bookmarkEnd w:id="98"/>
    </w:p>
    <w:p w14:paraId="5984DF57"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bCs/>
          <w:sz w:val="24"/>
          <w:szCs w:val="24"/>
          <w:lang w:eastAsia="bg-BG"/>
        </w:rPr>
        <w:t xml:space="preserve">Протичат с </w:t>
      </w:r>
      <w:r w:rsidRPr="00AE47C6">
        <w:rPr>
          <w:rFonts w:ascii="Times New Roman" w:eastAsia="SimSun" w:hAnsi="Times New Roman"/>
          <w:sz w:val="24"/>
          <w:szCs w:val="24"/>
          <w:lang w:eastAsia="bg-BG"/>
        </w:rPr>
        <w:t>дискинезии (моторни и вокални тикове, хорея); хиперактивност, обсесии и компулсии; хипотония, миокимия; атаксия; тревожност; епилепсия (вкл. мултифокален миоклонус); когнитивни увреди; агресия, булимия; разстройства на съня при анти-D</w:t>
      </w:r>
      <w:r w:rsidRPr="00AE47C6">
        <w:rPr>
          <w:rFonts w:ascii="Times New Roman" w:eastAsia="SimSun" w:hAnsi="Times New Roman"/>
          <w:sz w:val="24"/>
          <w:szCs w:val="24"/>
          <w:vertAlign w:val="subscript"/>
          <w:lang w:eastAsia="bg-BG"/>
        </w:rPr>
        <w:t>1</w:t>
      </w:r>
      <w:r w:rsidRPr="00AE47C6">
        <w:rPr>
          <w:rFonts w:ascii="Times New Roman" w:eastAsia="SimSun" w:hAnsi="Times New Roman"/>
          <w:sz w:val="24"/>
          <w:szCs w:val="24"/>
          <w:lang w:eastAsia="bg-BG"/>
        </w:rPr>
        <w:t>, анти-D</w:t>
      </w:r>
      <w:r w:rsidRPr="00AE47C6">
        <w:rPr>
          <w:rFonts w:ascii="Times New Roman" w:eastAsia="SimSun" w:hAnsi="Times New Roman"/>
          <w:sz w:val="24"/>
          <w:szCs w:val="24"/>
          <w:vertAlign w:val="subscript"/>
          <w:lang w:eastAsia="bg-BG"/>
        </w:rPr>
        <w:t>2</w:t>
      </w:r>
      <w:r w:rsidRPr="00AE47C6">
        <w:rPr>
          <w:rFonts w:ascii="Times New Roman" w:eastAsia="SimSun" w:hAnsi="Times New Roman"/>
          <w:sz w:val="24"/>
          <w:szCs w:val="24"/>
          <w:lang w:eastAsia="bg-BG"/>
        </w:rPr>
        <w:t xml:space="preserve">, анти-lyso-GM1, анти-Tubulin, CamKII антитела. </w:t>
      </w:r>
    </w:p>
    <w:p w14:paraId="5978EA7D"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99" w:name="_Toc155651748"/>
      <w:bookmarkStart w:id="100" w:name="_Toc164075880"/>
      <w:r w:rsidRPr="00AE47C6">
        <w:rPr>
          <w:rFonts w:ascii="Times New Roman" w:eastAsia="SimSun" w:hAnsi="Times New Roman"/>
          <w:b/>
          <w:sz w:val="24"/>
          <w:szCs w:val="20"/>
          <w:lang w:eastAsia="ja-JP"/>
        </w:rPr>
        <w:t>4.3.4. Болести на ЦНС и анти-AQP4 автоимунност.</w:t>
      </w:r>
      <w:bookmarkEnd w:id="99"/>
      <w:bookmarkEnd w:id="100"/>
      <w:r w:rsidRPr="00AE47C6">
        <w:rPr>
          <w:rFonts w:ascii="Times New Roman" w:eastAsia="SimSun" w:hAnsi="Times New Roman"/>
          <w:b/>
          <w:sz w:val="24"/>
          <w:szCs w:val="20"/>
          <w:lang w:eastAsia="ja-JP"/>
        </w:rPr>
        <w:t xml:space="preserve"> </w:t>
      </w:r>
    </w:p>
    <w:p w14:paraId="0EC8AE1B"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Cs/>
          <w:sz w:val="24"/>
          <w:szCs w:val="24"/>
          <w:lang w:eastAsia="bg-BG"/>
        </w:rPr>
      </w:pPr>
      <w:r w:rsidRPr="00AE47C6">
        <w:rPr>
          <w:rFonts w:ascii="Times New Roman" w:eastAsia="SimSun" w:hAnsi="Times New Roman"/>
          <w:b/>
          <w:bCs/>
          <w:sz w:val="24"/>
          <w:szCs w:val="24"/>
          <w:lang w:eastAsia="bg-BG"/>
        </w:rPr>
        <w:t>О</w:t>
      </w:r>
      <w:r w:rsidRPr="00AE47C6">
        <w:rPr>
          <w:rFonts w:ascii="Times New Roman" w:eastAsia="SimSun" w:hAnsi="Times New Roman"/>
          <w:b/>
          <w:sz w:val="24"/>
          <w:szCs w:val="24"/>
          <w:lang w:eastAsia="bg-BG"/>
        </w:rPr>
        <w:t>птичния невромиелит (</w:t>
      </w:r>
      <w:r w:rsidRPr="00AE47C6">
        <w:rPr>
          <w:rFonts w:ascii="Times New Roman" w:eastAsia="SimSun" w:hAnsi="Times New Roman"/>
          <w:b/>
          <w:bCs/>
          <w:sz w:val="24"/>
          <w:szCs w:val="24"/>
          <w:lang w:eastAsia="bg-BG"/>
        </w:rPr>
        <w:t>Neuromyelitis optica</w:t>
      </w:r>
      <w:r w:rsidRPr="00AE47C6">
        <w:rPr>
          <w:rFonts w:ascii="Times New Roman" w:eastAsia="SimSun" w:hAnsi="Times New Roman"/>
          <w:b/>
          <w:sz w:val="24"/>
          <w:szCs w:val="24"/>
          <w:lang w:eastAsia="bg-BG"/>
        </w:rPr>
        <w:t xml:space="preserve">) </w:t>
      </w:r>
      <w:r w:rsidRPr="00AE47C6">
        <w:rPr>
          <w:rFonts w:ascii="Times New Roman" w:eastAsia="SimSun" w:hAnsi="Times New Roman"/>
          <w:bCs/>
          <w:sz w:val="24"/>
          <w:szCs w:val="24"/>
          <w:lang w:eastAsia="bg-BG"/>
        </w:rPr>
        <w:t xml:space="preserve">протича рецидивиращо с изяви на </w:t>
      </w:r>
      <w:r w:rsidRPr="00AE47C6">
        <w:rPr>
          <w:rFonts w:ascii="Times New Roman" w:eastAsia="SimSun" w:hAnsi="Times New Roman"/>
          <w:sz w:val="24"/>
          <w:szCs w:val="24"/>
          <w:lang w:eastAsia="bg-BG"/>
        </w:rPr>
        <w:t xml:space="preserve">оптичен неврит, остър миелит, синдром на </w:t>
      </w:r>
      <w:r w:rsidRPr="00AE47C6">
        <w:rPr>
          <w:rFonts w:ascii="Times New Roman" w:eastAsia="SimSun" w:hAnsi="Times New Roman"/>
          <w:bCs/>
          <w:sz w:val="24"/>
          <w:szCs w:val="24"/>
          <w:lang w:eastAsia="bg-BG"/>
        </w:rPr>
        <w:t>area postrema (хълцане, гадене, повръщане), остър стволов синдром с офталмопареза, атаксия, симптоматична нарколепсия или остър диенцефален синдром.</w:t>
      </w:r>
    </w:p>
    <w:p w14:paraId="43CBFC7A"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
          <w:sz w:val="24"/>
          <w:szCs w:val="24"/>
          <w:u w:val="single"/>
          <w:lang w:eastAsia="bg-BG"/>
        </w:rPr>
      </w:pPr>
      <w:r w:rsidRPr="00AE47C6">
        <w:rPr>
          <w:rFonts w:ascii="Times New Roman" w:eastAsia="SimSun" w:hAnsi="Times New Roman"/>
          <w:bCs/>
          <w:sz w:val="24"/>
          <w:szCs w:val="24"/>
          <w:lang w:eastAsia="bg-BG"/>
        </w:rPr>
        <w:t>Критерии за диагностициране са</w:t>
      </w:r>
      <w:r w:rsidRPr="00AE47C6">
        <w:rPr>
          <w:rFonts w:ascii="Times New Roman" w:eastAsia="SimSun" w:hAnsi="Times New Roman"/>
          <w:sz w:val="24"/>
          <w:szCs w:val="24"/>
          <w:lang w:eastAsia="bg-BG"/>
        </w:rPr>
        <w:t xml:space="preserve">: </w:t>
      </w:r>
      <w:r w:rsidRPr="00AE47C6">
        <w:rPr>
          <w:rFonts w:ascii="Times New Roman" w:eastAsia="SimSun" w:hAnsi="Times New Roman"/>
          <w:bCs/>
          <w:sz w:val="24"/>
          <w:szCs w:val="24"/>
          <w:lang w:eastAsia="bg-BG"/>
        </w:rPr>
        <w:t>разпространение на лезиите над 3 сегмента в гръбначния мозък</w:t>
      </w:r>
      <w:r w:rsidRPr="00AE47C6">
        <w:rPr>
          <w:rFonts w:ascii="Times New Roman" w:eastAsia="SimSun" w:hAnsi="Times New Roman"/>
          <w:sz w:val="24"/>
          <w:szCs w:val="24"/>
          <w:lang w:eastAsia="bg-BG"/>
        </w:rPr>
        <w:t xml:space="preserve">, като </w:t>
      </w:r>
      <w:r w:rsidRPr="00AE47C6">
        <w:rPr>
          <w:rFonts w:ascii="Times New Roman" w:eastAsia="SimSun" w:hAnsi="Times New Roman"/>
          <w:bCs/>
          <w:sz w:val="24"/>
          <w:szCs w:val="24"/>
          <w:lang w:eastAsia="bg-BG"/>
        </w:rPr>
        <w:t>мозъчните лезии не отговарят на множествена склероза; наличие на анти-AQP4IgG</w:t>
      </w:r>
      <w:r w:rsidRPr="00AE47C6">
        <w:rPr>
          <w:rFonts w:ascii="Times New Roman" w:eastAsia="SimSun" w:hAnsi="Times New Roman"/>
          <w:sz w:val="24"/>
          <w:szCs w:val="24"/>
          <w:lang w:eastAsia="bg-BG"/>
        </w:rPr>
        <w:t xml:space="preserve">, но са </w:t>
      </w:r>
      <w:r w:rsidRPr="00AE47C6">
        <w:rPr>
          <w:rFonts w:ascii="Times New Roman" w:eastAsia="SimSun" w:hAnsi="Times New Roman"/>
          <w:bCs/>
          <w:sz w:val="24"/>
          <w:szCs w:val="24"/>
          <w:lang w:eastAsia="bg-BG"/>
        </w:rPr>
        <w:t>възможни и анти-AQP4IgG негативни случаи, а са описани и случаи с анти-MOG антитела.</w:t>
      </w:r>
    </w:p>
    <w:p w14:paraId="03A1B6C8"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01" w:name="_Toc155651749"/>
      <w:bookmarkStart w:id="102" w:name="_Toc164075881"/>
      <w:r w:rsidRPr="00AE47C6">
        <w:rPr>
          <w:rFonts w:ascii="Times New Roman" w:eastAsia="SimSun" w:hAnsi="Times New Roman"/>
          <w:b/>
          <w:sz w:val="24"/>
          <w:szCs w:val="20"/>
          <w:lang w:eastAsia="ja-JP"/>
        </w:rPr>
        <w:t xml:space="preserve">4.3.5. Stiff Person синдром (SPS), Stiff Person варианти като </w:t>
      </w:r>
      <w:r w:rsidRPr="00AE47C6">
        <w:rPr>
          <w:rFonts w:ascii="Times New Roman" w:eastAsia="SimSun" w:hAnsi="Times New Roman"/>
          <w:b/>
          <w:bCs/>
          <w:sz w:val="24"/>
          <w:szCs w:val="20"/>
          <w:lang w:eastAsia="ja-JP"/>
        </w:rPr>
        <w:t xml:space="preserve">SPS </w:t>
      </w:r>
      <w:r w:rsidRPr="00AE47C6">
        <w:rPr>
          <w:rFonts w:ascii="Times New Roman" w:eastAsia="SimSun" w:hAnsi="Times New Roman"/>
          <w:b/>
          <w:sz w:val="24"/>
          <w:szCs w:val="20"/>
          <w:lang w:eastAsia="ja-JP"/>
        </w:rPr>
        <w:t xml:space="preserve">plus, атипичен </w:t>
      </w:r>
      <w:r w:rsidRPr="00AE47C6">
        <w:rPr>
          <w:rFonts w:ascii="Times New Roman" w:eastAsia="SimSun" w:hAnsi="Times New Roman"/>
          <w:b/>
          <w:bCs/>
          <w:sz w:val="24"/>
          <w:szCs w:val="20"/>
          <w:lang w:eastAsia="ja-JP"/>
        </w:rPr>
        <w:t>SPS</w:t>
      </w:r>
      <w:r w:rsidRPr="00AE47C6">
        <w:rPr>
          <w:rFonts w:ascii="Times New Roman" w:eastAsia="SimSun" w:hAnsi="Times New Roman"/>
          <w:b/>
          <w:sz w:val="24"/>
          <w:szCs w:val="20"/>
          <w:lang w:eastAsia="ja-JP"/>
        </w:rPr>
        <w:t xml:space="preserve"> или stiff-limb синдром</w:t>
      </w:r>
      <w:bookmarkEnd w:id="101"/>
      <w:bookmarkEnd w:id="102"/>
      <w:r w:rsidRPr="00AE47C6">
        <w:rPr>
          <w:rFonts w:ascii="Times New Roman" w:eastAsia="SimSun" w:hAnsi="Times New Roman"/>
          <w:b/>
          <w:sz w:val="24"/>
          <w:szCs w:val="20"/>
          <w:lang w:eastAsia="ja-JP"/>
        </w:rPr>
        <w:t xml:space="preserve"> </w:t>
      </w:r>
    </w:p>
    <w:p w14:paraId="6DEDBDB1"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Cs/>
          <w:sz w:val="24"/>
          <w:szCs w:val="24"/>
          <w:lang w:eastAsia="bg-BG"/>
        </w:rPr>
      </w:pPr>
      <w:r w:rsidRPr="00AE47C6">
        <w:rPr>
          <w:rFonts w:ascii="Times New Roman" w:eastAsia="SimSun" w:hAnsi="Times New Roman"/>
          <w:sz w:val="24"/>
          <w:szCs w:val="24"/>
          <w:lang w:eastAsia="bg-BG"/>
        </w:rPr>
        <w:t>Протичат със свръхвъзбудимост, болка, мускулни крампи, спазми/скованост/ригидност на мускулите и усилен startle отговор при анти-GAD антитела над 100 (80%) или анти-</w:t>
      </w:r>
      <w:r w:rsidRPr="00AE47C6">
        <w:rPr>
          <w:rFonts w:ascii="Times New Roman" w:eastAsia="SimSun" w:hAnsi="Times New Roman"/>
          <w:bCs/>
          <w:sz w:val="24"/>
          <w:szCs w:val="24"/>
          <w:lang w:eastAsia="bg-BG"/>
        </w:rPr>
        <w:t xml:space="preserve">GlyR1. </w:t>
      </w:r>
    </w:p>
    <w:p w14:paraId="5493217E"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Cs/>
          <w:sz w:val="24"/>
          <w:szCs w:val="24"/>
          <w:lang w:eastAsia="bg-BG"/>
        </w:rPr>
      </w:pPr>
      <w:r w:rsidRPr="00AE47C6">
        <w:rPr>
          <w:rFonts w:ascii="Times New Roman" w:eastAsia="SimSun" w:hAnsi="Times New Roman"/>
          <w:b/>
          <w:bCs/>
          <w:sz w:val="24"/>
          <w:szCs w:val="24"/>
          <w:u w:val="single"/>
          <w:lang w:eastAsia="bg-BG"/>
        </w:rPr>
        <w:t>При прогресиращия енцефаломиелит с ригидност и миоклонус (PERM)</w:t>
      </w:r>
      <w:r w:rsidRPr="00AE47C6">
        <w:rPr>
          <w:rFonts w:ascii="Times New Roman" w:eastAsia="SimSun" w:hAnsi="Times New Roman"/>
          <w:b/>
          <w:bCs/>
          <w:sz w:val="24"/>
          <w:szCs w:val="24"/>
          <w:lang w:eastAsia="bg-BG"/>
        </w:rPr>
        <w:t xml:space="preserve"> </w:t>
      </w:r>
      <w:r w:rsidRPr="00AE47C6">
        <w:rPr>
          <w:rFonts w:ascii="Times New Roman" w:eastAsia="SimSun" w:hAnsi="Times New Roman"/>
          <w:bCs/>
          <w:sz w:val="24"/>
          <w:szCs w:val="24"/>
          <w:lang w:eastAsia="bg-BG"/>
        </w:rPr>
        <w:t xml:space="preserve">освен </w:t>
      </w:r>
      <w:r w:rsidRPr="00AE47C6">
        <w:rPr>
          <w:rFonts w:ascii="Times New Roman" w:eastAsia="SimSun" w:hAnsi="Times New Roman"/>
          <w:sz w:val="24"/>
          <w:szCs w:val="24"/>
          <w:lang w:eastAsia="bg-BG"/>
        </w:rPr>
        <w:t>startle феномени и мускулна ригидност се изявяват и пирамидни белези, атаксия, нистагъм, очедвигателни увреди, тригеминална, лицеви и булбарни моторни увреди, когнитивни увреди, енцефалопатия, гърчове, разстройства на съня, автономни увреди с прогресиращ или пристъпно-ремитентен ход Установяват се</w:t>
      </w:r>
      <w:r w:rsidRPr="00AE47C6">
        <w:rPr>
          <w:rFonts w:ascii="Times New Roman" w:eastAsia="SimSun" w:hAnsi="Times New Roman"/>
          <w:bCs/>
          <w:sz w:val="24"/>
          <w:szCs w:val="24"/>
          <w:lang w:eastAsia="bg-BG"/>
        </w:rPr>
        <w:t xml:space="preserve"> анти-GAD и/или анти-GlyR1 (Табл. 4.14).</w:t>
      </w:r>
    </w:p>
    <w:p w14:paraId="2B78B1B8" w14:textId="77777777" w:rsidR="00BE0B19" w:rsidRPr="00AE47C6" w:rsidRDefault="00BE0B19" w:rsidP="00BE0B19">
      <w:pPr>
        <w:autoSpaceDE w:val="0"/>
        <w:autoSpaceDN w:val="0"/>
        <w:adjustRightInd w:val="0"/>
        <w:spacing w:after="0" w:line="360" w:lineRule="auto"/>
        <w:ind w:firstLine="709"/>
        <w:jc w:val="both"/>
        <w:rPr>
          <w:rFonts w:ascii="Times New Roman" w:eastAsiaTheme="minorHAnsi" w:hAnsi="Times New Roman"/>
          <w:b/>
          <w:bCs/>
          <w:sz w:val="24"/>
          <w:szCs w:val="24"/>
          <w:lang w:eastAsia="bg-BG"/>
        </w:rPr>
      </w:pPr>
    </w:p>
    <w:p w14:paraId="5046BC9B"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
          <w:sz w:val="24"/>
          <w:szCs w:val="24"/>
          <w:lang w:eastAsia="bg-BG"/>
        </w:rPr>
      </w:pPr>
      <w:r w:rsidRPr="00AE47C6">
        <w:rPr>
          <w:rFonts w:ascii="Times New Roman" w:eastAsia="SimSun" w:hAnsi="Times New Roman"/>
          <w:b/>
          <w:sz w:val="24"/>
          <w:szCs w:val="24"/>
          <w:lang w:eastAsia="bg-BG"/>
        </w:rPr>
        <w:t>Таблица 4.14. Клинични особености при пациенти с анти-GlyR антитела</w:t>
      </w:r>
      <w:r w:rsidRPr="00AE47C6">
        <w:rPr>
          <w:rFonts w:ascii="Times New Roman" w:eastAsia="SimSun" w:hAnsi="Times New Roman"/>
          <w:sz w:val="24"/>
          <w:szCs w:val="24"/>
          <w:lang w:eastAsia="bg-BG"/>
        </w:rPr>
        <w:t xml:space="preserve"> (</w:t>
      </w:r>
      <w:r w:rsidRPr="00AE47C6">
        <w:rPr>
          <w:rFonts w:ascii="Times New Roman" w:eastAsia="SimSun" w:hAnsi="Times New Roman"/>
          <w:b/>
          <w:sz w:val="24"/>
          <w:szCs w:val="24"/>
          <w:lang w:eastAsia="bg-BG"/>
        </w:rPr>
        <w:t>n/%)</w:t>
      </w:r>
    </w:p>
    <w:tbl>
      <w:tblPr>
        <w:tblW w:w="9180" w:type="dxa"/>
        <w:tblLayout w:type="fixed"/>
        <w:tblCellMar>
          <w:left w:w="0" w:type="dxa"/>
          <w:right w:w="0" w:type="dxa"/>
        </w:tblCellMar>
        <w:tblLook w:val="04A0" w:firstRow="1" w:lastRow="0" w:firstColumn="1" w:lastColumn="0" w:noHBand="0" w:noVBand="1"/>
      </w:tblPr>
      <w:tblGrid>
        <w:gridCol w:w="5920"/>
        <w:gridCol w:w="1134"/>
        <w:gridCol w:w="2126"/>
      </w:tblGrid>
      <w:tr w:rsidR="00BE0B19" w:rsidRPr="00AE47C6" w14:paraId="687CCBED" w14:textId="77777777" w:rsidTr="00AD72E5">
        <w:trPr>
          <w:trHeight w:val="604"/>
        </w:trPr>
        <w:tc>
          <w:tcPr>
            <w:tcW w:w="7054" w:type="dxa"/>
            <w:gridSpan w:val="2"/>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44BE5B3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 xml:space="preserve">Първи синдроми и симптоми (n=45) </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55BDAC0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 xml:space="preserve">При максимална изразеност (n=30) </w:t>
            </w:r>
          </w:p>
        </w:tc>
      </w:tr>
      <w:tr w:rsidR="00BE0B19" w:rsidRPr="00AE47C6" w14:paraId="10EDC1C4" w14:textId="77777777" w:rsidTr="00AD72E5">
        <w:trPr>
          <w:trHeight w:val="855"/>
        </w:trPr>
        <w:tc>
          <w:tcPr>
            <w:tcW w:w="5920"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16A81EF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Очедвигателна патология: пареза на нерви, поглед (птоза, диплопия, нистагъм, бавни сакадни движения)</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4AB8915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18 (40%)</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25ADA05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16 (53%)</w:t>
            </w:r>
          </w:p>
        </w:tc>
      </w:tr>
      <w:tr w:rsidR="00BE0B19" w:rsidRPr="00AE47C6" w14:paraId="694FDA04" w14:textId="77777777" w:rsidTr="00AD72E5">
        <w:trPr>
          <w:trHeight w:val="929"/>
        </w:trPr>
        <w:tc>
          <w:tcPr>
            <w:tcW w:w="5920"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0C2F359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Тригеминални, лицеви и булбарни увреди (дисфагия, дизартрия, трудно дъвкане, тризмус, лицеви парестезии)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0A280DA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21 (47%)</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3DA11FD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17 (57%)</w:t>
            </w:r>
          </w:p>
        </w:tc>
      </w:tr>
      <w:tr w:rsidR="00BE0B19" w:rsidRPr="00AE47C6" w14:paraId="485C259B" w14:textId="77777777" w:rsidTr="00AD72E5">
        <w:trPr>
          <w:trHeight w:val="524"/>
        </w:trPr>
        <w:tc>
          <w:tcPr>
            <w:tcW w:w="5920"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376BB3E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 xml:space="preserve">Усилен startle рефлекс (спонтанен, от шум или допир) </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39E186B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19 (42%)</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1BF95C7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17 (57%)</w:t>
            </w:r>
          </w:p>
        </w:tc>
      </w:tr>
      <w:tr w:rsidR="00BE0B19" w:rsidRPr="00AE47C6" w14:paraId="7337998F" w14:textId="77777777" w:rsidTr="00AD72E5">
        <w:trPr>
          <w:trHeight w:val="524"/>
        </w:trPr>
        <w:tc>
          <w:tcPr>
            <w:tcW w:w="5920"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121B7AE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Походка /падания от скованост /ригидност /спазми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4346063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19 (42%)</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70687AB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24 (80%)</w:t>
            </w:r>
          </w:p>
        </w:tc>
      </w:tr>
      <w:tr w:rsidR="00BE0B19" w:rsidRPr="00AE47C6" w14:paraId="43780327" w14:textId="77777777" w:rsidTr="00AD72E5">
        <w:trPr>
          <w:trHeight w:val="524"/>
        </w:trPr>
        <w:tc>
          <w:tcPr>
            <w:tcW w:w="5920"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370B0B3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Парези на крайниците/пирамидни белези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3DBB32F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10 (22%)</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519E5D8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18 (60%)</w:t>
            </w:r>
          </w:p>
        </w:tc>
      </w:tr>
      <w:tr w:rsidR="00BE0B19" w:rsidRPr="00AE47C6" w14:paraId="3C050C53" w14:textId="77777777" w:rsidTr="00AD72E5">
        <w:trPr>
          <w:trHeight w:val="524"/>
        </w:trPr>
        <w:tc>
          <w:tcPr>
            <w:tcW w:w="5920"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6E1DBE9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Церебеларна атаксия (тяло, крайници)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0625956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 xml:space="preserve"> 6 (13%</w:t>
            </w:r>
            <w:r w:rsidRPr="00AE47C6">
              <w:rPr>
                <w:rFonts w:ascii="Times New Roman" w:eastAsia="SimSun" w:hAnsi="Times New Roman"/>
                <w:kern w:val="24"/>
                <w:sz w:val="24"/>
                <w:szCs w:val="24"/>
              </w:rPr>
              <w:t> </w:t>
            </w:r>
            <w:r w:rsidRPr="00AE47C6">
              <w:rPr>
                <w:rFonts w:ascii="Times New Roman" w:eastAsia="SimSun" w:hAnsi="Times New Roman"/>
                <w:kern w:val="24"/>
                <w:sz w:val="24"/>
                <w:szCs w:val="24"/>
              </w:rPr>
              <w:t>)</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6AE05AB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 xml:space="preserve"> 6 (20%)</w:t>
            </w:r>
          </w:p>
        </w:tc>
      </w:tr>
      <w:tr w:rsidR="00BE0B19" w:rsidRPr="00AE47C6" w14:paraId="73E54791" w14:textId="77777777" w:rsidTr="00AD72E5">
        <w:trPr>
          <w:trHeight w:val="1356"/>
        </w:trPr>
        <w:tc>
          <w:tcPr>
            <w:tcW w:w="5920"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28B6B11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Автономни увреди (хипер/хипохидроза, суха уста, бради/тахикардия, хипо/хипертензия, тазово-резервоарни нарушения, сексуална дисфункция)</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03B43FC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13 (29%)</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35009F1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13 (43%)</w:t>
            </w:r>
          </w:p>
        </w:tc>
      </w:tr>
      <w:tr w:rsidR="00BE0B19" w:rsidRPr="00AE47C6" w14:paraId="0E7B8FC1" w14:textId="77777777" w:rsidTr="00AD72E5">
        <w:trPr>
          <w:trHeight w:val="546"/>
        </w:trPr>
        <w:tc>
          <w:tcPr>
            <w:tcW w:w="5920"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3DF787A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Когнитивна увреда /енцефалопатия/ гърчове</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5C1CD76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16 (36%)</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597F94C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15 (50%)</w:t>
            </w:r>
          </w:p>
        </w:tc>
      </w:tr>
      <w:tr w:rsidR="00BE0B19" w:rsidRPr="00AE47C6" w14:paraId="4F9B8E52" w14:textId="77777777" w:rsidTr="00AD72E5">
        <w:trPr>
          <w:trHeight w:val="727"/>
        </w:trPr>
        <w:tc>
          <w:tcPr>
            <w:tcW w:w="5920"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3546A37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Сетивни симптоми / болка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71F93F6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10 (22%)</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020331D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14 (47%)</w:t>
            </w:r>
          </w:p>
        </w:tc>
      </w:tr>
      <w:tr w:rsidR="00BE0B19" w:rsidRPr="00AE47C6" w14:paraId="3EF073BD" w14:textId="77777777" w:rsidTr="00AD72E5">
        <w:trPr>
          <w:trHeight w:val="678"/>
        </w:trPr>
        <w:tc>
          <w:tcPr>
            <w:tcW w:w="5920"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1DAFC6B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kern w:val="24"/>
                <w:sz w:val="24"/>
                <w:szCs w:val="24"/>
              </w:rPr>
              <w:t>Дихателни разстройства, налагащи вентилация</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7B68478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 xml:space="preserve"> 8 (18%</w:t>
            </w:r>
            <w:r w:rsidRPr="00AE47C6">
              <w:rPr>
                <w:rFonts w:ascii="Times New Roman" w:eastAsia="SimSun" w:hAnsi="Times New Roman"/>
                <w:kern w:val="24"/>
                <w:sz w:val="24"/>
                <w:szCs w:val="24"/>
              </w:rPr>
              <w:t> </w:t>
            </w:r>
            <w:r w:rsidRPr="00AE47C6">
              <w:rPr>
                <w:rFonts w:ascii="Times New Roman" w:eastAsia="SimSun" w:hAnsi="Times New Roman"/>
                <w:kern w:val="24"/>
                <w:sz w:val="24"/>
                <w:szCs w:val="24"/>
              </w:rPr>
              <w:t>)</w:t>
            </w:r>
          </w:p>
        </w:tc>
        <w:tc>
          <w:tcPr>
            <w:tcW w:w="2126" w:type="dxa"/>
            <w:tcBorders>
              <w:top w:val="single" w:sz="8" w:space="0" w:color="000000"/>
              <w:left w:val="single" w:sz="8" w:space="0" w:color="000000"/>
              <w:bottom w:val="single" w:sz="8" w:space="0" w:color="000000"/>
              <w:right w:val="single" w:sz="8" w:space="0" w:color="000000"/>
            </w:tcBorders>
            <w:shd w:val="clear" w:color="auto" w:fill="FFFFFF"/>
            <w:tcMar>
              <w:top w:w="48" w:type="dxa"/>
              <w:left w:w="48" w:type="dxa"/>
              <w:bottom w:w="48" w:type="dxa"/>
              <w:right w:w="48" w:type="dxa"/>
            </w:tcMar>
            <w:vAlign w:val="center"/>
            <w:hideMark/>
          </w:tcPr>
          <w:p w14:paraId="6A8D047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kern w:val="24"/>
                <w:sz w:val="24"/>
                <w:szCs w:val="24"/>
              </w:rPr>
              <w:t xml:space="preserve"> 8 (27%)</w:t>
            </w:r>
          </w:p>
        </w:tc>
      </w:tr>
    </w:tbl>
    <w:p w14:paraId="2994E9D6"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
          <w:sz w:val="24"/>
          <w:szCs w:val="24"/>
          <w:lang w:eastAsia="bg-BG"/>
        </w:rPr>
      </w:pPr>
    </w:p>
    <w:p w14:paraId="50DB77DB"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03" w:name="_Toc155651750"/>
      <w:bookmarkStart w:id="104" w:name="_Toc164075882"/>
      <w:r w:rsidRPr="00AE47C6">
        <w:rPr>
          <w:rFonts w:ascii="Times New Roman" w:eastAsia="SimSun" w:hAnsi="Times New Roman"/>
          <w:b/>
          <w:sz w:val="24"/>
          <w:szCs w:val="20"/>
          <w:lang w:eastAsia="ja-JP"/>
        </w:rPr>
        <w:t>4.3.6. Енцефалит на Rasmussen.</w:t>
      </w:r>
      <w:bookmarkEnd w:id="103"/>
      <w:bookmarkEnd w:id="104"/>
      <w:r w:rsidRPr="00AE47C6">
        <w:rPr>
          <w:rFonts w:ascii="Times New Roman" w:eastAsia="SimSun" w:hAnsi="Times New Roman"/>
          <w:b/>
          <w:sz w:val="24"/>
          <w:szCs w:val="20"/>
          <w:lang w:eastAsia="ja-JP"/>
        </w:rPr>
        <w:t xml:space="preserve"> </w:t>
      </w:r>
    </w:p>
    <w:p w14:paraId="0E91E07B" w14:textId="77777777" w:rsidR="00BE0B19" w:rsidRPr="00AE47C6" w:rsidRDefault="00BE0B19" w:rsidP="00BE0B19">
      <w:pPr>
        <w:tabs>
          <w:tab w:val="left" w:pos="426"/>
          <w:tab w:val="num" w:pos="928"/>
          <w:tab w:val="left" w:pos="1134"/>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Cs/>
          <w:sz w:val="24"/>
          <w:szCs w:val="24"/>
        </w:rPr>
        <w:t>Характеризира се с прогресираща</w:t>
      </w:r>
      <w:r w:rsidRPr="00AE47C6">
        <w:rPr>
          <w:rFonts w:ascii="Times New Roman" w:eastAsia="SimSun" w:hAnsi="Times New Roman"/>
          <w:sz w:val="24"/>
          <w:szCs w:val="24"/>
        </w:rPr>
        <w:t xml:space="preserve"> хемипареза, афазия, фокални моторни пристъпи до фокален моторен статус (epilepsia partialis continua) и прогресираща еднохемисферна мозъчна атрофия. Анти-GluR3 не са установени при всички случаи.</w:t>
      </w:r>
    </w:p>
    <w:p w14:paraId="0D5D92F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Диагностични критерии на енцефалит на Rasmussen, 2005 г.</w:t>
      </w:r>
    </w:p>
    <w:p w14:paraId="59DB139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A (всички 3)</w:t>
      </w:r>
    </w:p>
    <w:p w14:paraId="448BAB93" w14:textId="77777777" w:rsidR="00BE0B19" w:rsidRPr="00AE47C6" w:rsidRDefault="00BE0B19" w:rsidP="00BE0B19">
      <w:pPr>
        <w:numPr>
          <w:ilvl w:val="0"/>
          <w:numId w:val="271"/>
        </w:numPr>
        <w:pBdr>
          <w:top w:val="single" w:sz="4" w:space="1" w:color="auto"/>
          <w:left w:val="single" w:sz="4" w:space="4" w:color="auto"/>
          <w:bottom w:val="single" w:sz="4" w:space="1" w:color="auto"/>
          <w:right w:val="single" w:sz="4" w:space="4" w:color="auto"/>
        </w:pBd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b/>
          <w:sz w:val="24"/>
          <w:szCs w:val="24"/>
        </w:rPr>
        <w:t xml:space="preserve">Клиника: </w:t>
      </w:r>
      <w:r w:rsidRPr="00AE47C6">
        <w:rPr>
          <w:rFonts w:ascii="Times New Roman" w:eastAsia="SimSun" w:hAnsi="Times New Roman"/>
          <w:sz w:val="24"/>
          <w:szCs w:val="24"/>
        </w:rPr>
        <w:t>Фокални епилептични пристъпи (със или без epilepsia partialis continua) и едностранен коров дефицит</w:t>
      </w:r>
    </w:p>
    <w:p w14:paraId="3D41FBD2" w14:textId="77777777" w:rsidR="00BE0B19" w:rsidRPr="00AE47C6" w:rsidRDefault="00BE0B19" w:rsidP="00BE0B19">
      <w:pPr>
        <w:numPr>
          <w:ilvl w:val="0"/>
          <w:numId w:val="271"/>
        </w:numPr>
        <w:pBdr>
          <w:top w:val="single" w:sz="4" w:space="1" w:color="auto"/>
          <w:left w:val="single" w:sz="4" w:space="4" w:color="auto"/>
          <w:bottom w:val="single" w:sz="4" w:space="1" w:color="auto"/>
          <w:right w:val="single" w:sz="4" w:space="4" w:color="auto"/>
        </w:pBd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b/>
          <w:bCs/>
          <w:sz w:val="24"/>
          <w:szCs w:val="24"/>
        </w:rPr>
        <w:t xml:space="preserve">EЕГ: </w:t>
      </w:r>
      <w:r w:rsidRPr="00AE47C6">
        <w:rPr>
          <w:rFonts w:ascii="Times New Roman" w:eastAsia="SimSun" w:hAnsi="Times New Roman"/>
          <w:bCs/>
          <w:sz w:val="24"/>
          <w:szCs w:val="24"/>
        </w:rPr>
        <w:t>Еднохемисферно</w:t>
      </w:r>
      <w:r w:rsidRPr="00AE47C6">
        <w:rPr>
          <w:rFonts w:ascii="Times New Roman" w:eastAsia="SimSun" w:hAnsi="Times New Roman"/>
          <w:sz w:val="24"/>
          <w:szCs w:val="24"/>
        </w:rPr>
        <w:t xml:space="preserve"> забавена активност със или без епилептична активност и пристъпи с едностранно начало </w:t>
      </w:r>
    </w:p>
    <w:p w14:paraId="276683D4" w14:textId="77777777" w:rsidR="00BE0B19" w:rsidRPr="00AE47C6" w:rsidRDefault="00BE0B19" w:rsidP="00BE0B19">
      <w:pPr>
        <w:numPr>
          <w:ilvl w:val="0"/>
          <w:numId w:val="271"/>
        </w:numPr>
        <w:pBdr>
          <w:top w:val="single" w:sz="4" w:space="1" w:color="auto"/>
          <w:left w:val="single" w:sz="4" w:space="4" w:color="auto"/>
          <w:bottom w:val="single" w:sz="4" w:space="1" w:color="auto"/>
          <w:right w:val="single" w:sz="4" w:space="4" w:color="auto"/>
        </w:pBd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b/>
          <w:sz w:val="24"/>
          <w:szCs w:val="24"/>
        </w:rPr>
        <w:t xml:space="preserve">MРТ: </w:t>
      </w:r>
      <w:r w:rsidRPr="00AE47C6">
        <w:rPr>
          <w:rFonts w:ascii="Times New Roman" w:eastAsia="SimSun" w:hAnsi="Times New Roman"/>
          <w:sz w:val="24"/>
          <w:szCs w:val="24"/>
        </w:rPr>
        <w:t>Еднохемисферна фокална корова атрофия и поне едно от следните:</w:t>
      </w:r>
    </w:p>
    <w:p w14:paraId="22DC1C02" w14:textId="77777777" w:rsidR="00BE0B19" w:rsidRPr="00AE47C6" w:rsidRDefault="00BE0B19" w:rsidP="00BE0B19">
      <w:pPr>
        <w:numPr>
          <w:ilvl w:val="1"/>
          <w:numId w:val="271"/>
        </w:numPr>
        <w:pBdr>
          <w:top w:val="single" w:sz="4" w:space="1" w:color="auto"/>
          <w:left w:val="single" w:sz="4" w:space="4" w:color="auto"/>
          <w:bottom w:val="single" w:sz="4" w:space="1" w:color="auto"/>
          <w:right w:val="single" w:sz="4" w:space="4" w:color="auto"/>
        </w:pBd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Хиперинтензни T</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/FLAIR сигнални промени в сивото или бяло мозъчно вещество</w:t>
      </w:r>
    </w:p>
    <w:p w14:paraId="712B30D8" w14:textId="77777777" w:rsidR="00BE0B19" w:rsidRPr="00AE47C6" w:rsidRDefault="00BE0B19" w:rsidP="00BE0B19">
      <w:pPr>
        <w:numPr>
          <w:ilvl w:val="1"/>
          <w:numId w:val="271"/>
        </w:numPr>
        <w:pBdr>
          <w:top w:val="single" w:sz="4" w:space="1" w:color="auto"/>
          <w:left w:val="single" w:sz="4" w:space="4" w:color="auto"/>
          <w:bottom w:val="single" w:sz="4" w:space="1" w:color="auto"/>
          <w:right w:val="single" w:sz="4" w:space="4" w:color="auto"/>
        </w:pBd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Хиперинтензни сигнали или атрофия ипсилатерално в caput nuclei caudati</w:t>
      </w:r>
    </w:p>
    <w:p w14:paraId="20FDD08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 xml:space="preserve">Или </w:t>
      </w:r>
      <w:r w:rsidRPr="00AE47C6">
        <w:rPr>
          <w:rFonts w:ascii="Times New Roman" w:eastAsia="SimSun" w:hAnsi="Times New Roman"/>
          <w:b/>
          <w:i/>
          <w:iCs/>
          <w:sz w:val="24"/>
          <w:szCs w:val="24"/>
        </w:rPr>
        <w:t xml:space="preserve">B </w:t>
      </w:r>
      <w:r w:rsidRPr="00AE47C6">
        <w:rPr>
          <w:rFonts w:ascii="Times New Roman" w:eastAsia="SimSun" w:hAnsi="Times New Roman"/>
          <w:b/>
          <w:sz w:val="24"/>
          <w:szCs w:val="24"/>
        </w:rPr>
        <w:t>(</w:t>
      </w:r>
      <w:r w:rsidRPr="00AE47C6">
        <w:rPr>
          <w:rFonts w:ascii="Times New Roman" w:eastAsia="SimSun" w:hAnsi="Times New Roman"/>
          <w:b/>
          <w:i/>
          <w:iCs/>
          <w:sz w:val="24"/>
          <w:szCs w:val="24"/>
        </w:rPr>
        <w:t>2 от 3</w:t>
      </w:r>
      <w:r w:rsidRPr="00AE47C6">
        <w:rPr>
          <w:rFonts w:ascii="Times New Roman" w:eastAsia="SimSun" w:hAnsi="Times New Roman"/>
          <w:b/>
          <w:sz w:val="24"/>
          <w:szCs w:val="24"/>
        </w:rPr>
        <w:t>)</w:t>
      </w:r>
    </w:p>
    <w:p w14:paraId="44364AEC" w14:textId="77777777" w:rsidR="00BE0B19" w:rsidRPr="00AE47C6" w:rsidRDefault="00BE0B19" w:rsidP="00BE0B19">
      <w:pPr>
        <w:numPr>
          <w:ilvl w:val="0"/>
          <w:numId w:val="272"/>
        </w:numPr>
        <w:pBdr>
          <w:top w:val="single" w:sz="4" w:space="1" w:color="auto"/>
          <w:left w:val="single" w:sz="4" w:space="4" w:color="auto"/>
          <w:bottom w:val="single" w:sz="4" w:space="1" w:color="auto"/>
          <w:right w:val="single" w:sz="4" w:space="4" w:color="auto"/>
        </w:pBd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Клиника: Epilepsia partialis continua или прогресивен* едностранен коров дефицит</w:t>
      </w:r>
    </w:p>
    <w:p w14:paraId="71E5252F" w14:textId="77777777" w:rsidR="00BE0B19" w:rsidRPr="00AE47C6" w:rsidRDefault="00BE0B19" w:rsidP="00BE0B19">
      <w:pPr>
        <w:numPr>
          <w:ilvl w:val="0"/>
          <w:numId w:val="272"/>
        </w:numPr>
        <w:pBdr>
          <w:top w:val="single" w:sz="4" w:space="1" w:color="auto"/>
          <w:left w:val="single" w:sz="4" w:space="4" w:color="auto"/>
          <w:bottom w:val="single" w:sz="4" w:space="1" w:color="auto"/>
          <w:right w:val="single" w:sz="4" w:space="4" w:color="auto"/>
        </w:pBd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b/>
          <w:sz w:val="24"/>
          <w:szCs w:val="24"/>
        </w:rPr>
        <w:t xml:space="preserve">МРТ: </w:t>
      </w:r>
      <w:r w:rsidRPr="00AE47C6">
        <w:rPr>
          <w:rFonts w:ascii="Times New Roman" w:eastAsia="SimSun" w:hAnsi="Times New Roman"/>
          <w:sz w:val="24"/>
          <w:szCs w:val="24"/>
        </w:rPr>
        <w:t>Прогресивна* едностранна фокална корова атрофия</w:t>
      </w:r>
    </w:p>
    <w:p w14:paraId="7ED07A06" w14:textId="77777777" w:rsidR="00BE0B19" w:rsidRPr="00AE47C6" w:rsidRDefault="00BE0B19" w:rsidP="00BE0B19">
      <w:pPr>
        <w:numPr>
          <w:ilvl w:val="0"/>
          <w:numId w:val="272"/>
        </w:numPr>
        <w:pBdr>
          <w:top w:val="single" w:sz="4" w:space="1" w:color="auto"/>
          <w:left w:val="single" w:sz="4" w:space="4" w:color="auto"/>
          <w:bottom w:val="single" w:sz="4" w:space="1" w:color="auto"/>
          <w:right w:val="single" w:sz="4" w:space="4" w:color="auto"/>
        </w:pBd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b/>
          <w:sz w:val="24"/>
          <w:szCs w:val="24"/>
        </w:rPr>
        <w:t>Патология:</w:t>
      </w:r>
      <w:r w:rsidRPr="00AE47C6">
        <w:rPr>
          <w:rFonts w:ascii="Times New Roman" w:eastAsia="SimSun" w:hAnsi="Times New Roman"/>
          <w:sz w:val="24"/>
          <w:szCs w:val="24"/>
        </w:rPr>
        <w:t xml:space="preserve"> T-клетъчен-енцефалит с активирана микроглия, типични, но не винаги, формиращи нодули и реактивирана астроглия; Многобройните паренхимни макрофаги, В клетки, плазматични клетки или вирусни включвания изключват диагнозата енцефалит на Rasmussen</w:t>
      </w:r>
    </w:p>
    <w:p w14:paraId="1EE6456C"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Диференциална диагноза</w:t>
      </w:r>
    </w:p>
    <w:p w14:paraId="030202D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Еднохемисферни епилептични синдроми</w:t>
      </w:r>
    </w:p>
    <w:p w14:paraId="7F3404A9" w14:textId="77777777" w:rsidR="00BE0B19" w:rsidRPr="00AE47C6" w:rsidRDefault="00BE0B19" w:rsidP="00BE0B19">
      <w:pPr>
        <w:numPr>
          <w:ilvl w:val="0"/>
          <w:numId w:val="273"/>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Корови дисплазии</w:t>
      </w:r>
    </w:p>
    <w:p w14:paraId="09A3D2B1" w14:textId="77777777" w:rsidR="00BE0B19" w:rsidRPr="00AE47C6" w:rsidRDefault="00BE0B19" w:rsidP="00BE0B19">
      <w:pPr>
        <w:numPr>
          <w:ilvl w:val="0"/>
          <w:numId w:val="273"/>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Хемимегаленцефалия</w:t>
      </w:r>
    </w:p>
    <w:p w14:paraId="6CD68E1D" w14:textId="77777777" w:rsidR="00BE0B19" w:rsidRPr="00AE47C6" w:rsidRDefault="00BE0B19" w:rsidP="00BE0B19">
      <w:pPr>
        <w:numPr>
          <w:ilvl w:val="0"/>
          <w:numId w:val="273"/>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Туберозна склероза</w:t>
      </w:r>
    </w:p>
    <w:p w14:paraId="7E16E91D" w14:textId="77777777" w:rsidR="00BE0B19" w:rsidRPr="00AE47C6" w:rsidRDefault="00BE0B19" w:rsidP="00BE0B19">
      <w:pPr>
        <w:numPr>
          <w:ilvl w:val="0"/>
          <w:numId w:val="273"/>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 xml:space="preserve">Синдром на Sturge-Weber </w:t>
      </w:r>
    </w:p>
    <w:p w14:paraId="4FFA0408" w14:textId="77777777" w:rsidR="00BE0B19" w:rsidRPr="00AE47C6" w:rsidRDefault="00BE0B19" w:rsidP="00BE0B19">
      <w:pPr>
        <w:numPr>
          <w:ilvl w:val="0"/>
          <w:numId w:val="273"/>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Инсулт</w:t>
      </w:r>
    </w:p>
    <w:p w14:paraId="4579828B" w14:textId="77777777" w:rsidR="00BE0B19" w:rsidRPr="00AE47C6" w:rsidRDefault="00BE0B19" w:rsidP="00BE0B19">
      <w:pPr>
        <w:numPr>
          <w:ilvl w:val="0"/>
          <w:numId w:val="273"/>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ННЕ Синдром (Hemiconvulsion–hemiplegia–epilepsy синдром)</w:t>
      </w:r>
    </w:p>
    <w:p w14:paraId="6191EDF4" w14:textId="77777777" w:rsidR="00BE0B19" w:rsidRPr="00AE47C6" w:rsidRDefault="00BE0B19" w:rsidP="00BE0B19">
      <w:pPr>
        <w:numPr>
          <w:ilvl w:val="0"/>
          <w:numId w:val="273"/>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Тумор</w:t>
      </w:r>
    </w:p>
    <w:p w14:paraId="3662933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Epilepsia partialis continua при метаболитни разстройства</w:t>
      </w:r>
    </w:p>
    <w:p w14:paraId="7EB67C32" w14:textId="77777777" w:rsidR="00BE0B19" w:rsidRPr="00AE47C6" w:rsidRDefault="00BE0B19" w:rsidP="00BE0B19">
      <w:pPr>
        <w:numPr>
          <w:ilvl w:val="0"/>
          <w:numId w:val="274"/>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Захарен диабет</w:t>
      </w:r>
    </w:p>
    <w:p w14:paraId="39C7747D" w14:textId="77777777" w:rsidR="00BE0B19" w:rsidRPr="00AE47C6" w:rsidRDefault="00BE0B19" w:rsidP="00BE0B19">
      <w:pPr>
        <w:numPr>
          <w:ilvl w:val="1"/>
          <w:numId w:val="274"/>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Кетогенна или некетогенна хипергликемия</w:t>
      </w:r>
    </w:p>
    <w:p w14:paraId="33CCAFA9" w14:textId="77777777" w:rsidR="00BE0B19" w:rsidRPr="00AE47C6" w:rsidRDefault="00BE0B19" w:rsidP="00BE0B19">
      <w:pPr>
        <w:numPr>
          <w:ilvl w:val="1"/>
          <w:numId w:val="274"/>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Диабет тип 1 и anti-GAD-65 антитела</w:t>
      </w:r>
    </w:p>
    <w:p w14:paraId="4E7BAE7A" w14:textId="77777777" w:rsidR="00BE0B19" w:rsidRPr="00AE47C6" w:rsidRDefault="00BE0B19" w:rsidP="00BE0B19">
      <w:pPr>
        <w:numPr>
          <w:ilvl w:val="0"/>
          <w:numId w:val="274"/>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Бъбречна или чернодробна енцефалопатия</w:t>
      </w:r>
    </w:p>
    <w:p w14:paraId="79E14E1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Метаболитни или дегенеративни прогресивни неврологични заболявания</w:t>
      </w:r>
    </w:p>
    <w:p w14:paraId="537EBFE5" w14:textId="77777777" w:rsidR="00BE0B19" w:rsidRPr="00AE47C6" w:rsidRDefault="00BE0B19" w:rsidP="00BE0B19">
      <w:pPr>
        <w:numPr>
          <w:ilvl w:val="0"/>
          <w:numId w:val="275"/>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MELAS или други митохондриопатии</w:t>
      </w:r>
    </w:p>
    <w:p w14:paraId="40949CB7" w14:textId="77777777" w:rsidR="00BE0B19" w:rsidRPr="00AE47C6" w:rsidRDefault="00BE0B19" w:rsidP="00BE0B19">
      <w:pPr>
        <w:numPr>
          <w:ilvl w:val="0"/>
          <w:numId w:val="275"/>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Синдром на Alpers</w:t>
      </w:r>
    </w:p>
    <w:p w14:paraId="204D013C" w14:textId="77777777" w:rsidR="00BE0B19" w:rsidRPr="00AE47C6" w:rsidRDefault="00BE0B19" w:rsidP="00BE0B19">
      <w:pPr>
        <w:numPr>
          <w:ilvl w:val="0"/>
          <w:numId w:val="275"/>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Болест на Kufs</w:t>
      </w:r>
    </w:p>
    <w:p w14:paraId="45350BB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Възпалителни или инфекциозни заболявания </w:t>
      </w:r>
    </w:p>
    <w:p w14:paraId="1F0FA980" w14:textId="77777777" w:rsidR="00BE0B19" w:rsidRPr="00AE47C6" w:rsidRDefault="00BE0B19" w:rsidP="00BE0B19">
      <w:pPr>
        <w:numPr>
          <w:ilvl w:val="0"/>
          <w:numId w:val="276"/>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Мозъчен васкулит (например lupus erythematosus)</w:t>
      </w:r>
    </w:p>
    <w:p w14:paraId="36E65F8E" w14:textId="77777777" w:rsidR="00BE0B19" w:rsidRPr="00AE47C6" w:rsidRDefault="00BE0B19" w:rsidP="00BE0B19">
      <w:pPr>
        <w:numPr>
          <w:ilvl w:val="0"/>
          <w:numId w:val="276"/>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Еднохемисферен мозъчен васкулит, имитиращ енцефалит на Rasmussen</w:t>
      </w:r>
    </w:p>
    <w:p w14:paraId="3EEC8C13" w14:textId="77777777" w:rsidR="00BE0B19" w:rsidRPr="00AE47C6" w:rsidRDefault="00BE0B19" w:rsidP="00BE0B19">
      <w:pPr>
        <w:numPr>
          <w:ilvl w:val="0"/>
          <w:numId w:val="276"/>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Субакутен склерозиращ паненцефалит (SSPE)или друг подостър морбилозен енцефалит със или без имунен дефицит</w:t>
      </w:r>
    </w:p>
    <w:p w14:paraId="13C6854E" w14:textId="77777777" w:rsidR="00BE0B19" w:rsidRPr="00AE47C6" w:rsidRDefault="00BE0B19" w:rsidP="00BE0B19">
      <w:pPr>
        <w:numPr>
          <w:ilvl w:val="0"/>
          <w:numId w:val="276"/>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Паранеопластични синдроми</w:t>
      </w:r>
    </w:p>
    <w:p w14:paraId="41F4B0FE" w14:textId="77777777" w:rsidR="00BE0B19" w:rsidRPr="00AE47C6" w:rsidRDefault="00BE0B19" w:rsidP="00BE0B19">
      <w:pPr>
        <w:numPr>
          <w:ilvl w:val="0"/>
          <w:numId w:val="276"/>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Онконеврални антитела (анти-Hu)</w:t>
      </w:r>
    </w:p>
    <w:p w14:paraId="6336C7D4" w14:textId="77777777" w:rsidR="00BE0B19" w:rsidRPr="00AE47C6" w:rsidRDefault="00BE0B19" w:rsidP="00BE0B19">
      <w:pPr>
        <w:numPr>
          <w:ilvl w:val="0"/>
          <w:numId w:val="276"/>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 xml:space="preserve">Руски пролетно-есенен менингоенцефалит </w:t>
      </w:r>
    </w:p>
    <w:p w14:paraId="479CFBC3" w14:textId="77777777" w:rsidR="00BE0B19" w:rsidRPr="00AE47C6" w:rsidRDefault="00BE0B19" w:rsidP="00BE0B19">
      <w:pPr>
        <w:numPr>
          <w:ilvl w:val="0"/>
          <w:numId w:val="276"/>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Множествена склероза</w:t>
      </w:r>
    </w:p>
    <w:p w14:paraId="6C734952" w14:textId="77777777" w:rsidR="00BE0B19" w:rsidRPr="00AE47C6" w:rsidRDefault="00BE0B19" w:rsidP="00BE0B19">
      <w:pPr>
        <w:numPr>
          <w:ilvl w:val="0"/>
          <w:numId w:val="276"/>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 xml:space="preserve">Болест на Creutzfeldt-Jakob </w:t>
      </w:r>
    </w:p>
    <w:p w14:paraId="1DD0B4B2" w14:textId="77777777" w:rsidR="00BE0B19" w:rsidRPr="00AE47C6" w:rsidRDefault="00BE0B19" w:rsidP="00BE0B19">
      <w:pPr>
        <w:numPr>
          <w:ilvl w:val="0"/>
          <w:numId w:val="276"/>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HIV</w:t>
      </w:r>
    </w:p>
    <w:p w14:paraId="6AB0C556" w14:textId="77777777" w:rsidR="00BE0B19" w:rsidRPr="00AE47C6" w:rsidRDefault="00BE0B19" w:rsidP="00BE0B19">
      <w:pPr>
        <w:numPr>
          <w:ilvl w:val="0"/>
          <w:numId w:val="276"/>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kern w:val="24"/>
          <w:sz w:val="24"/>
          <w:szCs w:val="24"/>
        </w:rPr>
        <w:t>Болест на котешкото одраскване</w:t>
      </w:r>
    </w:p>
    <w:p w14:paraId="1A8F68A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Други: Проконвулсивни лекарствени средства (metrizamide, penicillin, или azlocillin-cefotaxim)</w:t>
      </w:r>
    </w:p>
    <w:p w14:paraId="0AAFBF65" w14:textId="77777777" w:rsidR="00BE0B19" w:rsidRPr="00AE47C6" w:rsidRDefault="00BE0B19" w:rsidP="00BE0B19">
      <w:pPr>
        <w:numPr>
          <w:ilvl w:val="0"/>
          <w:numId w:val="277"/>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Костномозъчна трансплантация</w:t>
      </w:r>
    </w:p>
    <w:p w14:paraId="134E338D" w14:textId="77777777" w:rsidR="00BE0B19" w:rsidRPr="00AE47C6" w:rsidRDefault="00BE0B19" w:rsidP="00BE0B19">
      <w:pPr>
        <w:numPr>
          <w:ilvl w:val="0"/>
          <w:numId w:val="277"/>
        </w:numPr>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Мозъчна глиоматоза</w:t>
      </w:r>
    </w:p>
    <w:p w14:paraId="3A1C61F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*Необходими са поне 2 клинични изследвания или 2 МРТ изследвания </w:t>
      </w:r>
    </w:p>
    <w:p w14:paraId="6DE828D5"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sz w:val="24"/>
          <w:szCs w:val="24"/>
        </w:rPr>
        <w:t>Лечение: Антиепилептични средства, завършило е клинично проучване с приложение на tacrolimus и интравенозен имуноглобулин с подобен резултат; единични съобщения за подобрение от Natalizumab, Rituximab, Azathioprine и от плазмафереза</w:t>
      </w:r>
      <w:r w:rsidRPr="00AE47C6">
        <w:rPr>
          <w:rFonts w:ascii="Times New Roman" w:eastAsia="SimSun" w:hAnsi="Times New Roman"/>
          <w:b/>
          <w:sz w:val="24"/>
          <w:szCs w:val="24"/>
        </w:rPr>
        <w:t xml:space="preserve">. </w:t>
      </w:r>
    </w:p>
    <w:p w14:paraId="7E73723B"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05" w:name="_Toc155651751"/>
      <w:bookmarkStart w:id="106" w:name="_Toc164075883"/>
      <w:r w:rsidRPr="00AE47C6">
        <w:rPr>
          <w:rFonts w:ascii="Times New Roman" w:eastAsia="SimSun" w:hAnsi="Times New Roman"/>
          <w:b/>
          <w:sz w:val="24"/>
          <w:szCs w:val="20"/>
          <w:lang w:eastAsia="ja-JP"/>
        </w:rPr>
        <w:t>4.3.7. Енцефалопатия на Hashimoto</w:t>
      </w:r>
      <w:bookmarkEnd w:id="105"/>
      <w:bookmarkEnd w:id="106"/>
    </w:p>
    <w:p w14:paraId="2DF22F34"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
          <w:sz w:val="24"/>
          <w:szCs w:val="24"/>
          <w:lang w:eastAsia="bg-BG"/>
        </w:rPr>
      </w:pPr>
      <w:r w:rsidRPr="00AE47C6">
        <w:rPr>
          <w:rFonts w:ascii="Times New Roman" w:eastAsia="SimSun" w:hAnsi="Times New Roman"/>
          <w:b/>
          <w:sz w:val="24"/>
          <w:szCs w:val="24"/>
          <w:u w:val="single"/>
          <w:lang w:eastAsia="bg-BG"/>
        </w:rPr>
        <w:t>Енцефалопатията на Hashimoto</w:t>
      </w:r>
      <w:r w:rsidRPr="00AE47C6">
        <w:rPr>
          <w:rFonts w:ascii="Times New Roman" w:eastAsia="SimSun" w:hAnsi="Times New Roman"/>
          <w:sz w:val="24"/>
          <w:szCs w:val="24"/>
          <w:lang w:eastAsia="bg-BG"/>
        </w:rPr>
        <w:t xml:space="preserve"> протича с дезориентация, психози, когнитивни нарушения, тремор, миоклонии, епилепсия при изолирани Анти-alpha-Enolase 1, Анти-Thyreoglobulin, Анти-ThyroidPeroxidase, Анти-TSH рецепторни антитела</w:t>
      </w:r>
      <w:r w:rsidRPr="00AE47C6">
        <w:rPr>
          <w:rFonts w:ascii="Times New Roman" w:eastAsia="SimSun" w:hAnsi="Times New Roman"/>
          <w:b/>
          <w:sz w:val="24"/>
          <w:szCs w:val="24"/>
          <w:lang w:eastAsia="bg-BG"/>
        </w:rPr>
        <w:t>.</w:t>
      </w:r>
    </w:p>
    <w:p w14:paraId="3F09BBC7"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bCs/>
          <w:iCs/>
          <w:sz w:val="24"/>
          <w:szCs w:val="24"/>
          <w:lang w:eastAsia="bg-BG"/>
        </w:rPr>
      </w:pPr>
      <w:r w:rsidRPr="00AE47C6">
        <w:rPr>
          <w:rFonts w:ascii="Times New Roman" w:eastAsia="SimSun" w:hAnsi="Times New Roman"/>
          <w:b/>
          <w:bCs/>
          <w:i/>
          <w:sz w:val="24"/>
          <w:szCs w:val="24"/>
          <w:lang w:eastAsia="bg-BG"/>
        </w:rPr>
        <w:t>Диагностични 6 критерии при енцефалопатия на Hashimoto</w:t>
      </w:r>
    </w:p>
    <w:p w14:paraId="73758B9E"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bCs/>
          <w:sz w:val="24"/>
          <w:szCs w:val="24"/>
          <w:lang w:eastAsia="bg-BG"/>
        </w:rPr>
      </w:pPr>
      <w:r w:rsidRPr="00AE47C6">
        <w:rPr>
          <w:rFonts w:ascii="Times New Roman" w:eastAsia="SimSun" w:hAnsi="Times New Roman"/>
          <w:bCs/>
          <w:iCs/>
          <w:sz w:val="24"/>
          <w:szCs w:val="24"/>
          <w:lang w:eastAsia="bg-BG"/>
        </w:rPr>
        <w:t xml:space="preserve">1. Енцефалопатия </w:t>
      </w:r>
      <w:r w:rsidRPr="00AE47C6">
        <w:rPr>
          <w:rFonts w:ascii="Times New Roman" w:eastAsia="SimSun" w:hAnsi="Times New Roman"/>
          <w:bCs/>
          <w:sz w:val="24"/>
          <w:szCs w:val="24"/>
          <w:lang w:eastAsia="bg-BG"/>
        </w:rPr>
        <w:t>с епилептични припадъци, миоклонии, халюцинации или инсулто-подобни епизоди.</w:t>
      </w:r>
    </w:p>
    <w:p w14:paraId="7F7A33CA"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bCs/>
          <w:sz w:val="24"/>
          <w:szCs w:val="24"/>
          <w:lang w:eastAsia="bg-BG"/>
        </w:rPr>
      </w:pPr>
      <w:r w:rsidRPr="00AE47C6">
        <w:rPr>
          <w:rFonts w:ascii="Times New Roman" w:eastAsia="SimSun" w:hAnsi="Times New Roman"/>
          <w:bCs/>
          <w:sz w:val="24"/>
          <w:szCs w:val="24"/>
          <w:lang w:eastAsia="bg-BG"/>
        </w:rPr>
        <w:t>2. Субклинични или данни за тиреоидно заболяване (най-често хипотиреоидизъм)</w:t>
      </w:r>
    </w:p>
    <w:p w14:paraId="0E21D548"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bCs/>
          <w:sz w:val="24"/>
          <w:szCs w:val="24"/>
          <w:lang w:eastAsia="bg-BG"/>
        </w:rPr>
      </w:pPr>
      <w:r w:rsidRPr="00AE47C6">
        <w:rPr>
          <w:rFonts w:ascii="Times New Roman" w:eastAsia="SimSun" w:hAnsi="Times New Roman"/>
          <w:bCs/>
          <w:sz w:val="24"/>
          <w:szCs w:val="24"/>
          <w:lang w:eastAsia="bg-BG"/>
        </w:rPr>
        <w:t xml:space="preserve">3. Мозъчна МРТ – неспецифични абнормности </w:t>
      </w:r>
    </w:p>
    <w:p w14:paraId="42FFD93D"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bCs/>
          <w:sz w:val="24"/>
          <w:szCs w:val="24"/>
          <w:lang w:eastAsia="bg-BG"/>
        </w:rPr>
      </w:pPr>
      <w:r w:rsidRPr="00AE47C6">
        <w:rPr>
          <w:rFonts w:ascii="Times New Roman" w:eastAsia="SimSun" w:hAnsi="Times New Roman"/>
          <w:bCs/>
          <w:sz w:val="24"/>
          <w:szCs w:val="24"/>
          <w:lang w:eastAsia="bg-BG"/>
        </w:rPr>
        <w:t>4. Серумни антитела срещу тироид-пероксидаза и thyroglobulin (но антитела имат и 13% от здравите контроли)</w:t>
      </w:r>
    </w:p>
    <w:p w14:paraId="6C3DC7D5"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bCs/>
          <w:sz w:val="24"/>
          <w:szCs w:val="24"/>
          <w:lang w:eastAsia="bg-BG"/>
        </w:rPr>
      </w:pPr>
      <w:r w:rsidRPr="00AE47C6">
        <w:rPr>
          <w:rFonts w:ascii="Times New Roman" w:eastAsia="SimSun" w:hAnsi="Times New Roman"/>
          <w:bCs/>
          <w:sz w:val="24"/>
          <w:szCs w:val="24"/>
          <w:lang w:eastAsia="bg-BG"/>
        </w:rPr>
        <w:t xml:space="preserve">5. Липса на характеризирани невронни антитела в серум и ликвор </w:t>
      </w:r>
    </w:p>
    <w:p w14:paraId="19282BF2"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bCs/>
          <w:sz w:val="24"/>
          <w:szCs w:val="24"/>
          <w:lang w:eastAsia="bg-BG"/>
        </w:rPr>
      </w:pPr>
      <w:r w:rsidRPr="00AE47C6">
        <w:rPr>
          <w:rFonts w:ascii="Times New Roman" w:eastAsia="SimSun" w:hAnsi="Times New Roman"/>
          <w:bCs/>
          <w:sz w:val="24"/>
          <w:szCs w:val="24"/>
          <w:lang w:eastAsia="bg-BG"/>
        </w:rPr>
        <w:t>6. Изключване на други причини</w:t>
      </w:r>
    </w:p>
    <w:p w14:paraId="352A963E"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
          <w:sz w:val="24"/>
          <w:szCs w:val="24"/>
          <w:lang w:eastAsia="bg-BG"/>
        </w:rPr>
      </w:pPr>
    </w:p>
    <w:p w14:paraId="3DD28C42"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07" w:name="_Toc155651752"/>
      <w:bookmarkStart w:id="108" w:name="_Toc164075884"/>
      <w:r w:rsidRPr="00AE47C6">
        <w:rPr>
          <w:rFonts w:ascii="Times New Roman" w:eastAsia="SimSun" w:hAnsi="Times New Roman"/>
          <w:b/>
          <w:sz w:val="24"/>
          <w:szCs w:val="20"/>
          <w:lang w:eastAsia="ja-JP"/>
        </w:rPr>
        <w:t>4.3.8. Opsoclonus-myoclonus синдром</w:t>
      </w:r>
      <w:bookmarkEnd w:id="107"/>
      <w:bookmarkEnd w:id="108"/>
    </w:p>
    <w:p w14:paraId="515BA19B"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u w:val="single"/>
        </w:rPr>
        <w:t xml:space="preserve">Opsoclonus-myoclonus синдромът </w:t>
      </w:r>
      <w:r w:rsidRPr="00AE47C6">
        <w:rPr>
          <w:rFonts w:ascii="Times New Roman" w:eastAsia="SimSun" w:hAnsi="Times New Roman"/>
          <w:bCs/>
          <w:sz w:val="24"/>
          <w:szCs w:val="24"/>
        </w:rPr>
        <w:t>се наблюдава при деца - на средна възраст 20 месеца с възбудимост, атаксия, падания, миоклонии, тремор, говорни разстройства, opsoclonus (бързи хаотични очни движения), който може да липсва в началото. При 50% се установява тумор, най-често невробластом. В част от случаите са налице антитела срещу невронни протеини, анти-GABA</w:t>
      </w:r>
      <w:r w:rsidRPr="00AE47C6">
        <w:rPr>
          <w:rFonts w:ascii="Times New Roman" w:eastAsia="SimSun" w:hAnsi="Times New Roman"/>
          <w:bCs/>
          <w:sz w:val="24"/>
          <w:szCs w:val="24"/>
          <w:vertAlign w:val="subscript"/>
        </w:rPr>
        <w:t>B</w:t>
      </w:r>
      <w:r w:rsidRPr="00AE47C6">
        <w:rPr>
          <w:rFonts w:ascii="Times New Roman" w:eastAsia="SimSun" w:hAnsi="Times New Roman"/>
          <w:bCs/>
          <w:sz w:val="24"/>
          <w:szCs w:val="24"/>
        </w:rPr>
        <w:t>, анти-alpha-enolase 1. Патогенетично е налице автоимунен процес или възпаление в мозъчен ствол и малък мозък, но са налице и разстройства на съня, поведението и когницията. След подобрението остават когнитивни, речеви и поведенчески нарушения (агресия, обсесивно-компулсивно поведение, хиперактивност, дефицит на внимание). При 50% настъпват рецидиви най-често при инфекции.</w:t>
      </w:r>
    </w:p>
    <w:p w14:paraId="4353AB26"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09" w:name="_Toc155651753"/>
      <w:bookmarkStart w:id="110" w:name="_Toc164075885"/>
      <w:r w:rsidRPr="00AE47C6">
        <w:rPr>
          <w:rFonts w:ascii="Times New Roman" w:eastAsia="SimSun" w:hAnsi="Times New Roman"/>
          <w:b/>
          <w:sz w:val="24"/>
          <w:szCs w:val="20"/>
          <w:lang w:eastAsia="ja-JP"/>
        </w:rPr>
        <w:t>4.3.9. Автоимунен стволов енцефалит на Bickerstaff</w:t>
      </w:r>
      <w:bookmarkEnd w:id="109"/>
      <w:bookmarkEnd w:id="110"/>
    </w:p>
    <w:p w14:paraId="7BD9A399"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u w:val="single"/>
        </w:rPr>
        <w:t>Автоимунният стволов енцефалит на Bickerstaff</w:t>
      </w:r>
      <w:r w:rsidRPr="00AE47C6">
        <w:rPr>
          <w:rFonts w:ascii="Times New Roman" w:eastAsia="SimSun" w:hAnsi="Times New Roman"/>
          <w:b/>
          <w:bCs/>
          <w:sz w:val="24"/>
          <w:szCs w:val="24"/>
        </w:rPr>
        <w:t xml:space="preserve"> </w:t>
      </w:r>
      <w:r w:rsidRPr="00AE47C6">
        <w:rPr>
          <w:rFonts w:ascii="Times New Roman" w:eastAsia="SimSun" w:hAnsi="Times New Roman"/>
          <w:bCs/>
          <w:sz w:val="24"/>
          <w:szCs w:val="24"/>
        </w:rPr>
        <w:t xml:space="preserve">протича с офталмоплегия, атаксия и друга стволова симптоматика. </w:t>
      </w:r>
    </w:p>
    <w:p w14:paraId="676619C5"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bCs/>
          <w:iCs/>
          <w:sz w:val="24"/>
          <w:szCs w:val="24"/>
        </w:rPr>
      </w:pPr>
      <w:r w:rsidRPr="00AE47C6">
        <w:rPr>
          <w:rFonts w:ascii="Times New Roman" w:eastAsia="SimSun" w:hAnsi="Times New Roman"/>
          <w:b/>
          <w:bCs/>
          <w:i/>
          <w:iCs/>
          <w:sz w:val="24"/>
          <w:szCs w:val="24"/>
        </w:rPr>
        <w:t>Диагностични критерии на енцефалит на Bickerstaff</w:t>
      </w:r>
      <w:r w:rsidRPr="00AE47C6">
        <w:rPr>
          <w:rFonts w:ascii="Times New Roman" w:eastAsia="SimSun" w:hAnsi="Times New Roman"/>
          <w:bCs/>
          <w:sz w:val="24"/>
          <w:szCs w:val="24"/>
        </w:rPr>
        <w:t>:</w:t>
      </w:r>
    </w:p>
    <w:p w14:paraId="52F777B4"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b/>
          <w:bCs/>
          <w:i/>
          <w:iCs/>
          <w:sz w:val="24"/>
          <w:szCs w:val="24"/>
        </w:rPr>
      </w:pPr>
      <w:r w:rsidRPr="00AE47C6">
        <w:rPr>
          <w:rFonts w:ascii="Times New Roman" w:eastAsia="SimSun" w:hAnsi="Times New Roman"/>
          <w:b/>
          <w:bCs/>
          <w:i/>
          <w:iCs/>
          <w:sz w:val="24"/>
          <w:szCs w:val="24"/>
        </w:rPr>
        <w:t>Вероятен стволов енцефалит на Bickerstaff -</w:t>
      </w:r>
      <w:r w:rsidRPr="00AE47C6">
        <w:rPr>
          <w:rFonts w:ascii="Times New Roman" w:eastAsia="SimSun" w:hAnsi="Times New Roman"/>
          <w:bCs/>
          <w:iCs/>
          <w:sz w:val="24"/>
          <w:szCs w:val="24"/>
        </w:rPr>
        <w:t xml:space="preserve"> при 2 от групите критерии :</w:t>
      </w:r>
    </w:p>
    <w:p w14:paraId="7AB805C2"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bCs/>
          <w:iCs/>
          <w:sz w:val="24"/>
          <w:szCs w:val="24"/>
        </w:rPr>
      </w:pPr>
      <w:r w:rsidRPr="00AE47C6">
        <w:rPr>
          <w:rFonts w:ascii="Times New Roman" w:eastAsia="SimSun" w:hAnsi="Times New Roman"/>
          <w:bCs/>
          <w:iCs/>
          <w:sz w:val="24"/>
          <w:szCs w:val="24"/>
        </w:rPr>
        <w:t>1. Подостро начало (бърза прогресия за по-малко от 4 седмици) на следните симптоми:</w:t>
      </w:r>
    </w:p>
    <w:p w14:paraId="00C1EDB9"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bCs/>
          <w:iCs/>
          <w:sz w:val="24"/>
          <w:szCs w:val="24"/>
        </w:rPr>
      </w:pPr>
      <w:r w:rsidRPr="00AE47C6">
        <w:rPr>
          <w:rFonts w:ascii="Times New Roman" w:eastAsia="SimSun" w:hAnsi="Times New Roman"/>
          <w:bCs/>
          <w:iCs/>
          <w:sz w:val="24"/>
          <w:szCs w:val="24"/>
        </w:rPr>
        <w:t>• Увреда на съзнанието</w:t>
      </w:r>
    </w:p>
    <w:p w14:paraId="2AC98AA1"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bCs/>
          <w:iCs/>
          <w:sz w:val="24"/>
          <w:szCs w:val="24"/>
        </w:rPr>
      </w:pPr>
      <w:r w:rsidRPr="00AE47C6">
        <w:rPr>
          <w:rFonts w:ascii="Times New Roman" w:eastAsia="SimSun" w:hAnsi="Times New Roman"/>
          <w:bCs/>
          <w:iCs/>
          <w:sz w:val="24"/>
          <w:szCs w:val="24"/>
        </w:rPr>
        <w:t>• Двустранна външна офталмоплегия, атаксия</w:t>
      </w:r>
    </w:p>
    <w:p w14:paraId="10D813B7"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bCs/>
          <w:iCs/>
          <w:sz w:val="24"/>
          <w:szCs w:val="24"/>
        </w:rPr>
      </w:pPr>
      <w:r w:rsidRPr="00AE47C6">
        <w:rPr>
          <w:rFonts w:ascii="Times New Roman" w:eastAsia="SimSun" w:hAnsi="Times New Roman"/>
          <w:bCs/>
          <w:iCs/>
          <w:sz w:val="24"/>
          <w:szCs w:val="24"/>
        </w:rPr>
        <w:t>2. Изключени други възможни причини</w:t>
      </w:r>
    </w:p>
    <w:p w14:paraId="4C790E90"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b/>
          <w:bCs/>
          <w:i/>
          <w:iCs/>
          <w:sz w:val="24"/>
          <w:szCs w:val="24"/>
        </w:rPr>
      </w:pPr>
      <w:r w:rsidRPr="00AE47C6">
        <w:rPr>
          <w:rFonts w:ascii="Times New Roman" w:eastAsia="SimSun" w:hAnsi="Times New Roman"/>
          <w:b/>
          <w:bCs/>
          <w:i/>
          <w:iCs/>
          <w:sz w:val="24"/>
          <w:szCs w:val="24"/>
        </w:rPr>
        <w:t xml:space="preserve">Сигурен стволов енцефалит на Bickerstaff – </w:t>
      </w:r>
      <w:r w:rsidRPr="00AE47C6">
        <w:rPr>
          <w:rFonts w:ascii="Times New Roman" w:eastAsia="SimSun" w:hAnsi="Times New Roman"/>
          <w:bCs/>
          <w:iCs/>
          <w:sz w:val="24"/>
          <w:szCs w:val="24"/>
        </w:rPr>
        <w:t>при IgG и anti-GQ1b антитела, вкл. когато двустранната външна офталмоплегия не е пълна или атаксията не е сигурна или възстановяването е за около 12 седмици след началото.</w:t>
      </w:r>
    </w:p>
    <w:p w14:paraId="5B30798C"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Cs/>
          <w:i/>
          <w:sz w:val="24"/>
          <w:szCs w:val="24"/>
        </w:rPr>
      </w:pPr>
      <w:r w:rsidRPr="00AE47C6">
        <w:rPr>
          <w:rFonts w:ascii="Times New Roman" w:eastAsia="SimSun" w:hAnsi="Times New Roman"/>
          <w:bCs/>
          <w:sz w:val="24"/>
          <w:szCs w:val="24"/>
        </w:rPr>
        <w:t xml:space="preserve">При пациенти с разнообразни съчетания от неврологични и психиатрични синдроми, при които не са установени сигурни ликворни антитела, характерни МРТ лезии или не могат да са свързани с гореописаните автоимунни енцефалити, може да се постави диагнозата </w:t>
      </w:r>
      <w:r w:rsidRPr="00AE47C6">
        <w:rPr>
          <w:rFonts w:ascii="Times New Roman" w:eastAsia="SimSun" w:hAnsi="Times New Roman"/>
          <w:bCs/>
          <w:i/>
          <w:sz w:val="24"/>
          <w:szCs w:val="24"/>
        </w:rPr>
        <w:t>„Антитяло негативен, но възможен автоимунен енцефалит”.</w:t>
      </w:r>
    </w:p>
    <w:p w14:paraId="6DB3E019"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b/>
          <w:bCs/>
          <w:i/>
          <w:sz w:val="24"/>
          <w:szCs w:val="24"/>
        </w:rPr>
      </w:pPr>
      <w:r w:rsidRPr="00AE47C6">
        <w:rPr>
          <w:rFonts w:ascii="Times New Roman" w:eastAsia="SimSun" w:hAnsi="Times New Roman"/>
          <w:b/>
          <w:bCs/>
          <w:i/>
          <w:sz w:val="24"/>
          <w:szCs w:val="24"/>
        </w:rPr>
        <w:t>Антитяло негативен, но възможен автоимунен енцефалит</w:t>
      </w:r>
    </w:p>
    <w:p w14:paraId="28A92308"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i/>
          <w:sz w:val="24"/>
          <w:szCs w:val="24"/>
        </w:rPr>
        <w:t xml:space="preserve"> при следните 4 диагностични критерия</w:t>
      </w:r>
      <w:r w:rsidRPr="00AE47C6">
        <w:rPr>
          <w:rFonts w:ascii="Times New Roman" w:eastAsia="SimSun" w:hAnsi="Times New Roman"/>
          <w:bCs/>
          <w:sz w:val="24"/>
          <w:szCs w:val="24"/>
        </w:rPr>
        <w:t>:</w:t>
      </w:r>
    </w:p>
    <w:p w14:paraId="7BB1BECC"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1. Бърза прогресия (под 3 месеца) на дефицит на работна памет (особено краткосрочна ) увреден ментален статус, или психиатрични синдроми</w:t>
      </w:r>
    </w:p>
    <w:p w14:paraId="6CF19097"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2. Изключени синдроми за автоимунни енцефалити (типичен лимбичен енцефалит, стволов енцефалит на Bickerstaff, ADEM)</w:t>
      </w:r>
    </w:p>
    <w:p w14:paraId="0A44F40F"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3. Липса на характерни антитела в серум и ликвор и поне 2 от следните критерии:</w:t>
      </w:r>
    </w:p>
    <w:p w14:paraId="12539907" w14:textId="77777777" w:rsidR="00BE0B19" w:rsidRPr="00AE47C6" w:rsidRDefault="00BE0B19" w:rsidP="00BE0B19">
      <w:pPr>
        <w:numPr>
          <w:ilvl w:val="0"/>
          <w:numId w:val="265"/>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0" w:firstLine="709"/>
        <w:jc w:val="both"/>
        <w:rPr>
          <w:rFonts w:ascii="Times New Roman" w:eastAsia="SimSun" w:hAnsi="Times New Roman"/>
          <w:bCs/>
          <w:sz w:val="24"/>
          <w:szCs w:val="24"/>
        </w:rPr>
      </w:pPr>
      <w:r w:rsidRPr="00AE47C6">
        <w:rPr>
          <w:rFonts w:ascii="Times New Roman" w:eastAsia="SimSun" w:hAnsi="Times New Roman"/>
          <w:bCs/>
          <w:sz w:val="24"/>
          <w:szCs w:val="24"/>
        </w:rPr>
        <w:t>MРТ абнормности, насочващи към автоимунен енцефалит *</w:t>
      </w:r>
    </w:p>
    <w:p w14:paraId="2C225026" w14:textId="77777777" w:rsidR="00BE0B19" w:rsidRPr="00AE47C6" w:rsidRDefault="00BE0B19" w:rsidP="00BE0B19">
      <w:pPr>
        <w:numPr>
          <w:ilvl w:val="0"/>
          <w:numId w:val="265"/>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0"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Ликворна плеоцитоза, ликворно-специфична олигоклоналност, или повишен IgG индекс или и двете </w:t>
      </w:r>
    </w:p>
    <w:p w14:paraId="3B699AE5" w14:textId="77777777" w:rsidR="00BE0B19" w:rsidRPr="00AE47C6" w:rsidRDefault="00BE0B19" w:rsidP="00BE0B19">
      <w:pPr>
        <w:numPr>
          <w:ilvl w:val="0"/>
          <w:numId w:val="265"/>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left="0" w:firstLine="709"/>
        <w:jc w:val="both"/>
        <w:rPr>
          <w:rFonts w:ascii="Times New Roman" w:eastAsia="SimSun" w:hAnsi="Times New Roman"/>
          <w:bCs/>
          <w:sz w:val="24"/>
          <w:szCs w:val="24"/>
        </w:rPr>
      </w:pPr>
      <w:r w:rsidRPr="00AE47C6">
        <w:rPr>
          <w:rFonts w:ascii="Times New Roman" w:eastAsia="SimSun" w:hAnsi="Times New Roman"/>
          <w:bCs/>
          <w:sz w:val="24"/>
          <w:szCs w:val="24"/>
        </w:rPr>
        <w:t>Мозъчна биопсия с възпалителни инфилтрати, изключени други заболявания (тумор)</w:t>
      </w:r>
    </w:p>
    <w:p w14:paraId="5D681BE8"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Cs/>
          <w:sz w:val="24"/>
          <w:szCs w:val="24"/>
        </w:rPr>
        <w:t>4. Изключени други заболявания (митохондриалните и метаболитни разстройства могат да имат симетрични и асиметрични МРТ абнормности и ликворни промени)</w:t>
      </w:r>
    </w:p>
    <w:p w14:paraId="7E036F84"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sz w:val="24"/>
          <w:szCs w:val="24"/>
        </w:rPr>
        <w:t>Основни различия между автоимунните енцефалити и острите енцефалити, важни за диференциалната диагноза:</w:t>
      </w:r>
    </w:p>
    <w:p w14:paraId="64DA0BCB" w14:textId="77777777" w:rsidR="00BE0B19" w:rsidRPr="00AE47C6" w:rsidRDefault="00BE0B19" w:rsidP="00BE0B19">
      <w:pPr>
        <w:shd w:val="clear" w:color="auto" w:fill="FFFFFF"/>
        <w:spacing w:after="0" w:line="360" w:lineRule="auto"/>
        <w:ind w:firstLine="709"/>
        <w:jc w:val="both"/>
        <w:textAlignment w:val="top"/>
        <w:rPr>
          <w:rFonts w:ascii="Times New Roman" w:eastAsia="SimSun" w:hAnsi="Times New Roman"/>
          <w:sz w:val="24"/>
          <w:szCs w:val="24"/>
        </w:rPr>
      </w:pPr>
      <w:r w:rsidRPr="00AE47C6">
        <w:rPr>
          <w:rFonts w:ascii="Times New Roman" w:eastAsia="SimSun" w:hAnsi="Times New Roman"/>
          <w:sz w:val="24"/>
          <w:szCs w:val="24"/>
        </w:rPr>
        <w:t>Автоимунните енцефалити се срещат по-често при пациенти с добър имунитет, отколкото при увреден имунитет (22% срещу 3%).</w:t>
      </w:r>
    </w:p>
    <w:p w14:paraId="1C0359DE" w14:textId="77777777" w:rsidR="00BE0B19" w:rsidRPr="00AE47C6" w:rsidRDefault="00BE0B19" w:rsidP="00BE0B19">
      <w:pPr>
        <w:shd w:val="clear" w:color="auto" w:fill="FFFFFF"/>
        <w:spacing w:after="0" w:line="360" w:lineRule="auto"/>
        <w:ind w:firstLine="709"/>
        <w:jc w:val="both"/>
        <w:textAlignment w:val="top"/>
        <w:rPr>
          <w:rFonts w:ascii="Times New Roman" w:eastAsia="SimSun" w:hAnsi="Times New Roman"/>
          <w:sz w:val="24"/>
          <w:szCs w:val="24"/>
        </w:rPr>
      </w:pPr>
      <w:r w:rsidRPr="00AE47C6">
        <w:rPr>
          <w:rFonts w:ascii="Times New Roman" w:eastAsia="SimSun" w:hAnsi="Times New Roman"/>
          <w:sz w:val="24"/>
          <w:szCs w:val="24"/>
        </w:rPr>
        <w:t xml:space="preserve">Повечето пациенти с автоимунни енцефалити и HSE имат </w:t>
      </w:r>
      <w:r w:rsidRPr="00AE47C6">
        <w:rPr>
          <w:rFonts w:ascii="Times New Roman" w:eastAsia="SimSun" w:hAnsi="Times New Roman"/>
          <w:i/>
          <w:sz w:val="24"/>
          <w:szCs w:val="24"/>
        </w:rPr>
        <w:t>епилептични припадъци</w:t>
      </w:r>
      <w:r w:rsidRPr="00AE47C6">
        <w:rPr>
          <w:rFonts w:ascii="Times New Roman" w:eastAsia="SimSun" w:hAnsi="Times New Roman"/>
          <w:sz w:val="24"/>
          <w:szCs w:val="24"/>
        </w:rPr>
        <w:t>, а пациентите с енцефалити VZV енцефалит и туберкулозен менингоенцефалит рядко развиват припадъци.</w:t>
      </w:r>
    </w:p>
    <w:p w14:paraId="479B5B6F" w14:textId="77777777" w:rsidR="00BE0B19" w:rsidRPr="00AE47C6" w:rsidRDefault="00BE0B19" w:rsidP="00BE0B19">
      <w:pPr>
        <w:shd w:val="clear" w:color="auto" w:fill="FFFFFF"/>
        <w:spacing w:after="0" w:line="360" w:lineRule="auto"/>
        <w:ind w:firstLine="709"/>
        <w:jc w:val="both"/>
        <w:textAlignment w:val="top"/>
        <w:rPr>
          <w:rFonts w:ascii="Times New Roman" w:eastAsia="SimSun" w:hAnsi="Times New Roman"/>
          <w:sz w:val="24"/>
          <w:szCs w:val="24"/>
        </w:rPr>
      </w:pPr>
      <w:r w:rsidRPr="00AE47C6">
        <w:rPr>
          <w:rFonts w:ascii="Times New Roman" w:eastAsia="SimSun" w:hAnsi="Times New Roman"/>
          <w:i/>
          <w:sz w:val="24"/>
          <w:szCs w:val="24"/>
        </w:rPr>
        <w:t xml:space="preserve">Психоза, дисфазия, автономна нестабилност и абнормни движения </w:t>
      </w:r>
      <w:r w:rsidRPr="00AE47C6">
        <w:rPr>
          <w:rFonts w:ascii="Times New Roman" w:eastAsia="SimSun" w:hAnsi="Times New Roman"/>
          <w:sz w:val="24"/>
          <w:szCs w:val="24"/>
        </w:rPr>
        <w:t xml:space="preserve">са основна клинична изява на анти-NMDAR енцефалит. Повечето пациенти с инфекциозни енцефалити са с </w:t>
      </w:r>
      <w:r w:rsidRPr="00AE47C6">
        <w:rPr>
          <w:rFonts w:ascii="Times New Roman" w:eastAsia="SimSun" w:hAnsi="Times New Roman"/>
          <w:i/>
          <w:sz w:val="24"/>
          <w:szCs w:val="24"/>
        </w:rPr>
        <w:t>фебрилитет</w:t>
      </w:r>
      <w:r w:rsidRPr="00AE47C6">
        <w:rPr>
          <w:rFonts w:ascii="Times New Roman" w:eastAsia="SimSun" w:hAnsi="Times New Roman"/>
          <w:sz w:val="24"/>
          <w:szCs w:val="24"/>
        </w:rPr>
        <w:t>, но около 50% от автоимунните енцефалити също имат или развиват температура по време на заболяването.</w:t>
      </w:r>
    </w:p>
    <w:p w14:paraId="2E0F9D99" w14:textId="77777777" w:rsidR="00BE0B19" w:rsidRPr="00AE47C6" w:rsidRDefault="00BE0B19" w:rsidP="00BE0B19">
      <w:pPr>
        <w:shd w:val="clear" w:color="auto" w:fill="FFFFFF"/>
        <w:spacing w:after="0" w:line="360" w:lineRule="auto"/>
        <w:ind w:firstLine="709"/>
        <w:jc w:val="both"/>
        <w:textAlignment w:val="top"/>
        <w:rPr>
          <w:rFonts w:ascii="Times New Roman" w:eastAsia="SimSun" w:hAnsi="Times New Roman"/>
          <w:sz w:val="24"/>
          <w:szCs w:val="24"/>
          <w:vertAlign w:val="superscript"/>
        </w:rPr>
      </w:pPr>
      <w:r w:rsidRPr="00AE47C6">
        <w:rPr>
          <w:rFonts w:ascii="Times New Roman" w:eastAsia="SimSun" w:hAnsi="Times New Roman"/>
          <w:i/>
          <w:sz w:val="24"/>
          <w:szCs w:val="24"/>
        </w:rPr>
        <w:t>Продромални синдроми</w:t>
      </w:r>
      <w:r w:rsidRPr="00AE47C6">
        <w:rPr>
          <w:rFonts w:ascii="Times New Roman" w:eastAsia="SimSun" w:hAnsi="Times New Roman"/>
          <w:sz w:val="24"/>
          <w:szCs w:val="24"/>
        </w:rPr>
        <w:t xml:space="preserve"> като главоболие или грипоподобни синдроми се срещат често при автоимунните енцефалити.</w:t>
      </w:r>
    </w:p>
    <w:p w14:paraId="281DBC1E" w14:textId="77777777" w:rsidR="00BE0B19" w:rsidRPr="00AE47C6" w:rsidRDefault="00BE0B19" w:rsidP="00BE0B19">
      <w:pPr>
        <w:shd w:val="clear" w:color="auto" w:fill="FFFFFF"/>
        <w:spacing w:after="0" w:line="360" w:lineRule="auto"/>
        <w:ind w:firstLine="709"/>
        <w:jc w:val="both"/>
        <w:textAlignment w:val="top"/>
        <w:rPr>
          <w:rFonts w:ascii="Times New Roman" w:eastAsia="SimSun" w:hAnsi="Times New Roman"/>
          <w:sz w:val="24"/>
          <w:szCs w:val="24"/>
        </w:rPr>
      </w:pPr>
      <w:r w:rsidRPr="00AE47C6">
        <w:rPr>
          <w:rFonts w:ascii="Times New Roman" w:eastAsia="SimSun" w:hAnsi="Times New Roman"/>
          <w:i/>
          <w:sz w:val="24"/>
          <w:szCs w:val="24"/>
        </w:rPr>
        <w:t xml:space="preserve">Ликворни промени </w:t>
      </w:r>
      <w:r w:rsidRPr="00AE47C6">
        <w:rPr>
          <w:rFonts w:ascii="Times New Roman" w:eastAsia="SimSun" w:hAnsi="Times New Roman"/>
          <w:sz w:val="24"/>
          <w:szCs w:val="24"/>
        </w:rPr>
        <w:t>- повечето автоимунни енцефалити се характеризират с лимфоцитна плеоцитоза в ликвора. Пациентите с вирусни и автоимунни енцефалити имат нормално ниво на глюкоза и нормални или повишени протеини, докато пациентите с бактериални и туберкулозни менингоенцефалити са с понижена ликворна глюкоза.</w:t>
      </w:r>
    </w:p>
    <w:p w14:paraId="17C693F5" w14:textId="77777777" w:rsidR="00BE0B19" w:rsidRPr="00AE47C6" w:rsidRDefault="00BE0B19" w:rsidP="00BE0B19">
      <w:pPr>
        <w:shd w:val="clear" w:color="auto" w:fill="FFFFFF"/>
        <w:spacing w:after="0" w:line="360" w:lineRule="auto"/>
        <w:ind w:firstLine="709"/>
        <w:jc w:val="both"/>
        <w:textAlignment w:val="top"/>
        <w:rPr>
          <w:rFonts w:ascii="Times New Roman" w:eastAsia="SimSun" w:hAnsi="Times New Roman"/>
          <w:sz w:val="24"/>
          <w:szCs w:val="24"/>
        </w:rPr>
      </w:pPr>
      <w:r w:rsidRPr="00AE47C6">
        <w:rPr>
          <w:rFonts w:ascii="Times New Roman" w:eastAsia="SimSun" w:hAnsi="Times New Roman"/>
          <w:i/>
          <w:sz w:val="24"/>
          <w:szCs w:val="24"/>
        </w:rPr>
        <w:t xml:space="preserve">MРТ на мозъка </w:t>
      </w:r>
      <w:r w:rsidRPr="00AE47C6">
        <w:rPr>
          <w:rFonts w:ascii="Times New Roman" w:eastAsia="SimSun" w:hAnsi="Times New Roman"/>
          <w:sz w:val="24"/>
          <w:szCs w:val="24"/>
        </w:rPr>
        <w:t>е важна при ДД на енцефалитите, особено при лимбичните енцефалити. Повечето пациенти с автоимунни или лимбични енцефалити имат двустранни хиперинтензни в T</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/FLAIR лезии в медиалните темпорални лобове понякога асиметрични, без контрастиране на лезиите и без абнормности вDWI/ADC секвенцията. Изключение е паранеопластичният енцефалит с антитела към протеин Ma2, при който МРТ лезиите често се контрастират. При пациентите с анти-NMDAR мозъчната МРТ е нормална в почти 60%. Когато се установяват, по-чести са лезиите в хипокампусите. Наблюдават се също неспецифични FLAIR-хиперинтензни лезии с корова, субкорова или в задна черепна ямка локализация. При някои автоимунни стволови енцефалити се виждат лезии на различни нива в ствола. Само малка част от инфекциозните енцефалити са с МРТ промени, подобни на тези при автоимунните лимбични енцефалити. При herpes simplex енцефалита, който също засяга лимбичната система се наблюдават микро - или по-изразени хеморагии,  се с МРТ-секвенции, чувствителни на разпадни продукти на хемоглобина. Наличието на рестрикция на дифузията на водните молекули в DWI/ADC секвенцията, както и хеморагиите не са типични за автоимунните енцефалити и предполагат друга диагноза.</w:t>
      </w:r>
    </w:p>
    <w:p w14:paraId="3826D54D" w14:textId="77777777" w:rsidR="00BE0B19" w:rsidRPr="00AE47C6" w:rsidRDefault="00BE0B19" w:rsidP="00BE0B19">
      <w:pPr>
        <w:shd w:val="clear" w:color="auto" w:fill="FFFFFF"/>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Наличие на антитела: </w:t>
      </w:r>
      <w:r w:rsidRPr="00AE47C6">
        <w:rPr>
          <w:rFonts w:ascii="Times New Roman" w:eastAsia="SimSun" w:hAnsi="Times New Roman"/>
          <w:sz w:val="24"/>
          <w:szCs w:val="24"/>
        </w:rPr>
        <w:t>Синдромите при класически лимбичен енцефалит се развиват при антитела срещу AMPAR, GABA</w:t>
      </w:r>
      <w:r w:rsidRPr="00AE47C6">
        <w:rPr>
          <w:rFonts w:ascii="Times New Roman" w:eastAsia="SimSun" w:hAnsi="Times New Roman"/>
          <w:sz w:val="24"/>
          <w:szCs w:val="24"/>
          <w:vertAlign w:val="subscript"/>
        </w:rPr>
        <w:t>B</w:t>
      </w:r>
      <w:r w:rsidRPr="00AE47C6">
        <w:rPr>
          <w:rFonts w:ascii="Times New Roman" w:eastAsia="SimSun" w:hAnsi="Times New Roman"/>
          <w:sz w:val="24"/>
          <w:szCs w:val="24"/>
        </w:rPr>
        <w:t>R,LGI1, и по-рядко mGluR5. При пациентите с анти-NMDAR мозъчната МРТ е нормална в почти 60% или включва неспецифични промени с корови или подкорови или в задна черепна ямка FLAIR промени, преходно усилване на менингите или области на демиелинизация. МРТ на главния мозък при други автоимунни енцефалити, например с антитела към CASPR2 или DPPX често е абнормна, но рядко е като при фокален лимбичен енцефалит. Пациентите с високи стойности на GABA</w:t>
      </w:r>
      <w:r w:rsidRPr="00AE47C6">
        <w:rPr>
          <w:rFonts w:ascii="Times New Roman" w:eastAsia="SimSun" w:hAnsi="Times New Roman"/>
          <w:sz w:val="24"/>
          <w:szCs w:val="24"/>
          <w:vertAlign w:val="subscript"/>
        </w:rPr>
        <w:t>A</w:t>
      </w:r>
      <w:r w:rsidRPr="00AE47C6">
        <w:rPr>
          <w:rFonts w:ascii="Times New Roman" w:eastAsia="SimSun" w:hAnsi="Times New Roman"/>
          <w:sz w:val="24"/>
          <w:szCs w:val="24"/>
        </w:rPr>
        <w:t>R антитела в серум и ликвор могат да развият обширни корови и подкорови T</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-FLAIR промени в хода на заболяването. Само малка част от инфекциозните енцефалити са с МРТ промени, подобни на тези при автоимунните лимбични енцефалити. Те включват, посттрансплантационен остър лимбичен енцефалит, асоцииран с human herpes virus 6 (HHV6), редки случаи на невросифилис и HSE, но за HSE типични са медиалните асиметрични темпорални некрози с включване на цингуларни и инсуларни област. Някои пациенти, обикновено деца могат да развият обширни МРТ абнормности във фронталните, окципитални и париетални лобове. PCR за HSV може да бъде фалшиво негативна в първите 48 часа на HSE.</w:t>
      </w:r>
    </w:p>
    <w:p w14:paraId="44D1C6C3"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Лечението на автоимунните енцефалити</w:t>
      </w:r>
      <w:r w:rsidRPr="00AE47C6">
        <w:rPr>
          <w:rFonts w:ascii="Times New Roman" w:eastAsia="SimSun" w:hAnsi="Times New Roman"/>
          <w:bCs/>
          <w:sz w:val="24"/>
          <w:szCs w:val="24"/>
        </w:rPr>
        <w:t xml:space="preserve"> включва: 1. </w:t>
      </w:r>
      <w:r w:rsidRPr="00AE47C6">
        <w:rPr>
          <w:rFonts w:ascii="Times New Roman" w:eastAsia="SimSun" w:hAnsi="Times New Roman"/>
          <w:bCs/>
          <w:i/>
          <w:sz w:val="24"/>
          <w:szCs w:val="24"/>
        </w:rPr>
        <w:t>Първа линия</w:t>
      </w:r>
      <w:r w:rsidRPr="00AE47C6">
        <w:rPr>
          <w:rFonts w:ascii="Times New Roman" w:eastAsia="SimSun" w:hAnsi="Times New Roman"/>
          <w:bCs/>
          <w:sz w:val="24"/>
          <w:szCs w:val="24"/>
        </w:rPr>
        <w:t xml:space="preserve"> средства- </w:t>
      </w:r>
      <w:r w:rsidRPr="00AE47C6">
        <w:rPr>
          <w:rFonts w:ascii="Times New Roman" w:eastAsia="SimSun" w:hAnsi="Times New Roman"/>
          <w:bCs/>
          <w:i/>
          <w:sz w:val="24"/>
          <w:szCs w:val="24"/>
        </w:rPr>
        <w:t>монотерапия с кортикостероиди</w:t>
      </w:r>
      <w:r w:rsidRPr="00AE47C6">
        <w:rPr>
          <w:rFonts w:ascii="Times New Roman" w:eastAsia="SimSun" w:hAnsi="Times New Roman"/>
          <w:sz w:val="24"/>
          <w:szCs w:val="24"/>
        </w:rPr>
        <w:t xml:space="preserve"> (</w:t>
      </w:r>
      <w:r w:rsidRPr="00AE47C6">
        <w:rPr>
          <w:rFonts w:ascii="Times New Roman" w:eastAsia="SimSun" w:hAnsi="Times New Roman"/>
          <w:bCs/>
          <w:sz w:val="24"/>
          <w:szCs w:val="24"/>
        </w:rPr>
        <w:t>Methylprednisolone</w:t>
      </w:r>
      <w:r w:rsidRPr="00AE47C6">
        <w:rPr>
          <w:rFonts w:ascii="Times New Roman" w:eastAsia="SimSun" w:hAnsi="Times New Roman"/>
          <w:bCs/>
          <w:sz w:val="24"/>
          <w:szCs w:val="24"/>
        </w:rPr>
        <w:t> </w:t>
      </w:r>
      <w:r w:rsidRPr="00AE47C6">
        <w:rPr>
          <w:rFonts w:ascii="Times New Roman" w:eastAsia="SimSun" w:hAnsi="Times New Roman"/>
          <w:bCs/>
          <w:sz w:val="24"/>
          <w:szCs w:val="24"/>
        </w:rPr>
        <w:t xml:space="preserve">1 g /kg дневно), </w:t>
      </w:r>
      <w:r w:rsidRPr="00AE47C6">
        <w:rPr>
          <w:rFonts w:ascii="Times New Roman" w:eastAsia="SimSun" w:hAnsi="Times New Roman"/>
          <w:bCs/>
          <w:i/>
          <w:sz w:val="24"/>
          <w:szCs w:val="24"/>
        </w:rPr>
        <w:t>интравенозни имуноглобулини</w:t>
      </w:r>
      <w:r w:rsidRPr="00AE47C6">
        <w:rPr>
          <w:rFonts w:ascii="Times New Roman" w:eastAsia="SimSun" w:hAnsi="Times New Roman"/>
          <w:bCs/>
          <w:sz w:val="24"/>
          <w:szCs w:val="24"/>
        </w:rPr>
        <w:t xml:space="preserve"> (2 g/kg за 5 дни или 400 mg/kg/дневно) и/или </w:t>
      </w:r>
      <w:r w:rsidRPr="00AE47C6">
        <w:rPr>
          <w:rFonts w:ascii="Times New Roman" w:eastAsia="SimSun" w:hAnsi="Times New Roman"/>
          <w:bCs/>
          <w:i/>
          <w:sz w:val="24"/>
          <w:szCs w:val="24"/>
        </w:rPr>
        <w:t>плазмафереза</w:t>
      </w:r>
      <w:r w:rsidRPr="00AE47C6">
        <w:rPr>
          <w:rFonts w:ascii="Times New Roman" w:eastAsia="SimSun" w:hAnsi="Times New Roman"/>
          <w:bCs/>
          <w:sz w:val="24"/>
          <w:szCs w:val="24"/>
        </w:rPr>
        <w:t xml:space="preserve"> (през ден – 5-7 кратно) с ефект при 53% за 4 седмици и общо подобрение при 97% за 24 месеца. 2. </w:t>
      </w:r>
      <w:r w:rsidRPr="00AE47C6">
        <w:rPr>
          <w:rFonts w:ascii="Times New Roman" w:eastAsia="SimSun" w:hAnsi="Times New Roman"/>
          <w:bCs/>
          <w:i/>
          <w:sz w:val="24"/>
          <w:szCs w:val="24"/>
        </w:rPr>
        <w:t>Втора линия</w:t>
      </w:r>
      <w:r w:rsidRPr="00AE47C6">
        <w:rPr>
          <w:rFonts w:ascii="Times New Roman" w:eastAsia="SimSun" w:hAnsi="Times New Roman"/>
          <w:bCs/>
          <w:sz w:val="24"/>
          <w:szCs w:val="24"/>
        </w:rPr>
        <w:t xml:space="preserve"> имунотерапия – </w:t>
      </w:r>
      <w:r w:rsidRPr="00AE47C6">
        <w:rPr>
          <w:rFonts w:ascii="Times New Roman" w:eastAsia="SimSun" w:hAnsi="Times New Roman"/>
          <w:bCs/>
          <w:i/>
          <w:sz w:val="24"/>
          <w:szCs w:val="24"/>
        </w:rPr>
        <w:t xml:space="preserve">rituximab </w:t>
      </w:r>
      <w:r w:rsidRPr="00AE47C6">
        <w:rPr>
          <w:rFonts w:ascii="Times New Roman" w:eastAsia="SimSun" w:hAnsi="Times New Roman"/>
          <w:bCs/>
          <w:sz w:val="24"/>
          <w:szCs w:val="24"/>
        </w:rPr>
        <w:t>375 mg/m</w:t>
      </w:r>
      <w:r w:rsidRPr="00AE47C6">
        <w:rPr>
          <w:rFonts w:ascii="Times New Roman" w:eastAsia="SimSun" w:hAnsi="Times New Roman"/>
          <w:bCs/>
          <w:sz w:val="24"/>
          <w:szCs w:val="24"/>
          <w:vertAlign w:val="superscript"/>
        </w:rPr>
        <w:t>2</w:t>
      </w:r>
      <w:r w:rsidRPr="00AE47C6">
        <w:rPr>
          <w:rFonts w:ascii="Times New Roman" w:eastAsia="SimSun" w:hAnsi="Times New Roman"/>
          <w:bCs/>
          <w:sz w:val="24"/>
          <w:szCs w:val="24"/>
        </w:rPr>
        <w:t xml:space="preserve">седмично интравенозно за 4 седмици, </w:t>
      </w:r>
      <w:r w:rsidRPr="00AE47C6">
        <w:rPr>
          <w:rFonts w:ascii="Times New Roman" w:eastAsia="SimSun" w:hAnsi="Times New Roman"/>
          <w:bCs/>
          <w:i/>
          <w:sz w:val="24"/>
          <w:szCs w:val="24"/>
        </w:rPr>
        <w:t>cyclophosphamide</w:t>
      </w:r>
      <w:r w:rsidRPr="00AE47C6">
        <w:rPr>
          <w:rFonts w:ascii="Times New Roman" w:eastAsia="SimSun" w:hAnsi="Times New Roman"/>
          <w:bCs/>
          <w:sz w:val="24"/>
          <w:szCs w:val="24"/>
        </w:rPr>
        <w:t xml:space="preserve">, комбинирани с кортикостероиди с различен ефект. 3. При наличие на неопластичен процес-адекватно лечение. </w:t>
      </w:r>
      <w:r w:rsidRPr="00AE47C6">
        <w:rPr>
          <w:rFonts w:ascii="Times New Roman" w:eastAsia="SimSun" w:hAnsi="Times New Roman"/>
          <w:bCs/>
          <w:i/>
          <w:sz w:val="24"/>
          <w:szCs w:val="24"/>
        </w:rPr>
        <w:t>Алтернативна терапия</w:t>
      </w:r>
      <w:r w:rsidRPr="00AE47C6">
        <w:rPr>
          <w:rFonts w:ascii="Times New Roman" w:eastAsia="SimSun" w:hAnsi="Times New Roman"/>
          <w:b/>
          <w:bCs/>
          <w:sz w:val="24"/>
          <w:szCs w:val="24"/>
        </w:rPr>
        <w:t>-</w:t>
      </w:r>
      <w:r w:rsidRPr="00AE47C6">
        <w:rPr>
          <w:rFonts w:ascii="Times New Roman" w:eastAsia="SimSun" w:hAnsi="Times New Roman"/>
          <w:bCs/>
          <w:i/>
          <w:sz w:val="24"/>
          <w:szCs w:val="24"/>
        </w:rPr>
        <w:t>Tocilizumab</w:t>
      </w:r>
      <w:r w:rsidRPr="00AE47C6">
        <w:rPr>
          <w:rFonts w:ascii="Times New Roman" w:eastAsia="SimSun" w:hAnsi="Times New Roman"/>
          <w:bCs/>
          <w:sz w:val="24"/>
          <w:szCs w:val="24"/>
        </w:rPr>
        <w:t xml:space="preserve"> с начална доза 4 mg/kg, до 8 mg/kg месечно според клиничния отговор. Ниска доза </w:t>
      </w:r>
      <w:r w:rsidRPr="00AE47C6">
        <w:rPr>
          <w:rFonts w:ascii="Times New Roman" w:eastAsia="SimSun" w:hAnsi="Times New Roman"/>
          <w:bCs/>
          <w:i/>
          <w:sz w:val="24"/>
          <w:szCs w:val="24"/>
        </w:rPr>
        <w:t>interleukin-2</w:t>
      </w:r>
      <w:r w:rsidRPr="00AE47C6">
        <w:rPr>
          <w:rFonts w:ascii="Times New Roman" w:eastAsia="SimSun" w:hAnsi="Times New Roman"/>
          <w:bCs/>
          <w:sz w:val="24"/>
          <w:szCs w:val="24"/>
        </w:rPr>
        <w:t xml:space="preserve"> 1,5 милиона IU/дневно, 4 подкожни инжекции с интервал3 седмици; </w:t>
      </w:r>
      <w:r w:rsidRPr="00AE47C6">
        <w:rPr>
          <w:rFonts w:ascii="Times New Roman" w:eastAsia="SimSun" w:hAnsi="Times New Roman"/>
          <w:bCs/>
          <w:i/>
          <w:sz w:val="24"/>
          <w:szCs w:val="24"/>
        </w:rPr>
        <w:t>Стероид-комбинирани лекарства за поддържаща терапия</w:t>
      </w:r>
      <w:r w:rsidRPr="00AE47C6">
        <w:rPr>
          <w:rFonts w:ascii="Times New Roman" w:eastAsia="SimSun" w:hAnsi="Times New Roman"/>
          <w:b/>
          <w:bCs/>
          <w:sz w:val="24"/>
          <w:szCs w:val="24"/>
        </w:rPr>
        <w:t xml:space="preserve">: </w:t>
      </w:r>
      <w:r w:rsidRPr="00AE47C6">
        <w:rPr>
          <w:rFonts w:ascii="Times New Roman" w:eastAsia="SimSun" w:hAnsi="Times New Roman"/>
          <w:bCs/>
          <w:i/>
          <w:sz w:val="24"/>
          <w:szCs w:val="24"/>
        </w:rPr>
        <w:t>Azathioprine</w:t>
      </w:r>
      <w:r w:rsidRPr="00AE47C6">
        <w:rPr>
          <w:rFonts w:ascii="Times New Roman" w:eastAsia="SimSun" w:hAnsi="Times New Roman"/>
          <w:bCs/>
          <w:sz w:val="24"/>
          <w:szCs w:val="24"/>
        </w:rPr>
        <w:t>- начална доза 1–1,5 mg/kg еднократни или двукратно дневно до  2–3 mg/kg/дневно (Табл. 4.15).</w:t>
      </w:r>
    </w:p>
    <w:p w14:paraId="3EC2EDDF"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sz w:val="24"/>
          <w:szCs w:val="24"/>
        </w:rPr>
        <w:t xml:space="preserve">Таблица 4.15. </w:t>
      </w:r>
      <w:r w:rsidRPr="00AE47C6">
        <w:rPr>
          <w:rFonts w:ascii="Times New Roman" w:eastAsia="SimSun" w:hAnsi="Times New Roman"/>
          <w:b/>
          <w:sz w:val="24"/>
          <w:szCs w:val="24"/>
        </w:rPr>
        <w:t>Терапия на автоимунните енцефалити.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580"/>
        <w:gridCol w:w="4480"/>
      </w:tblGrid>
      <w:tr w:rsidR="00BE0B19" w:rsidRPr="00AE47C6" w14:paraId="641B8C1A" w14:textId="77777777" w:rsidTr="00AD72E5">
        <w:trPr>
          <w:trHeight w:val="419"/>
          <w:tblHeader/>
        </w:trPr>
        <w:tc>
          <w:tcPr>
            <w:tcW w:w="0" w:type="auto"/>
            <w:tcMar>
              <w:top w:w="48" w:type="dxa"/>
              <w:left w:w="96" w:type="dxa"/>
              <w:bottom w:w="48" w:type="dxa"/>
              <w:right w:w="96" w:type="dxa"/>
            </w:tcMar>
            <w:hideMark/>
          </w:tcPr>
          <w:p w14:paraId="572C6558"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Лечение</w:t>
            </w:r>
          </w:p>
        </w:tc>
        <w:tc>
          <w:tcPr>
            <w:tcW w:w="0" w:type="auto"/>
            <w:tcMar>
              <w:top w:w="48" w:type="dxa"/>
              <w:left w:w="96" w:type="dxa"/>
              <w:bottom w:w="48" w:type="dxa"/>
              <w:right w:w="96" w:type="dxa"/>
            </w:tcMar>
            <w:hideMark/>
          </w:tcPr>
          <w:p w14:paraId="5D38B8EF"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sz w:val="24"/>
                <w:szCs w:val="24"/>
              </w:rPr>
              <w:t>Начин на приложение</w:t>
            </w:r>
          </w:p>
        </w:tc>
      </w:tr>
      <w:tr w:rsidR="00BE0B19" w:rsidRPr="00AE47C6" w14:paraId="12791279" w14:textId="77777777" w:rsidTr="00AD72E5">
        <w:tc>
          <w:tcPr>
            <w:tcW w:w="0" w:type="auto"/>
            <w:tcMar>
              <w:top w:w="48" w:type="dxa"/>
              <w:left w:w="96" w:type="dxa"/>
              <w:bottom w:w="48" w:type="dxa"/>
              <w:right w:w="96" w:type="dxa"/>
            </w:tcMar>
            <w:hideMark/>
          </w:tcPr>
          <w:p w14:paraId="0FDAB52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Първа линия имунотерапия</w:t>
            </w:r>
          </w:p>
        </w:tc>
        <w:tc>
          <w:tcPr>
            <w:tcW w:w="0" w:type="auto"/>
            <w:tcMar>
              <w:top w:w="48" w:type="dxa"/>
              <w:left w:w="96" w:type="dxa"/>
              <w:bottom w:w="48" w:type="dxa"/>
              <w:right w:w="96" w:type="dxa"/>
            </w:tcMar>
            <w:hideMark/>
          </w:tcPr>
          <w:p w14:paraId="5463C493" w14:textId="77777777" w:rsidR="00BE0B19" w:rsidRPr="00AE47C6" w:rsidRDefault="00BE0B19" w:rsidP="00BE0B19">
            <w:pPr>
              <w:spacing w:after="0" w:line="360" w:lineRule="auto"/>
              <w:jc w:val="both"/>
              <w:rPr>
                <w:rFonts w:ascii="Times New Roman" w:eastAsia="SimSun" w:hAnsi="Times New Roman"/>
                <w:sz w:val="24"/>
                <w:szCs w:val="24"/>
              </w:rPr>
            </w:pPr>
          </w:p>
        </w:tc>
      </w:tr>
      <w:tr w:rsidR="00BE0B19" w:rsidRPr="00AE47C6" w14:paraId="3B357E4F" w14:textId="77777777" w:rsidTr="00AD72E5">
        <w:tc>
          <w:tcPr>
            <w:tcW w:w="0" w:type="auto"/>
            <w:tcMar>
              <w:top w:w="48" w:type="dxa"/>
              <w:left w:w="96" w:type="dxa"/>
              <w:bottom w:w="48" w:type="dxa"/>
              <w:right w:w="96" w:type="dxa"/>
            </w:tcMar>
            <w:hideMark/>
          </w:tcPr>
          <w:p w14:paraId="49C661F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Methylprednisolone</w:t>
            </w:r>
            <w:r w:rsidRPr="00AE47C6">
              <w:rPr>
                <w:rFonts w:ascii="Times New Roman" w:eastAsia="SimSun" w:hAnsi="Times New Roman"/>
                <w:sz w:val="24"/>
                <w:szCs w:val="24"/>
              </w:rPr>
              <w:t> </w:t>
            </w:r>
          </w:p>
        </w:tc>
        <w:tc>
          <w:tcPr>
            <w:tcW w:w="0" w:type="auto"/>
            <w:tcMar>
              <w:top w:w="48" w:type="dxa"/>
              <w:left w:w="96" w:type="dxa"/>
              <w:bottom w:w="48" w:type="dxa"/>
              <w:right w:w="96" w:type="dxa"/>
            </w:tcMar>
            <w:hideMark/>
          </w:tcPr>
          <w:p w14:paraId="5AA9B29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g /kg дневно, 3–5 дни</w:t>
            </w:r>
          </w:p>
        </w:tc>
      </w:tr>
      <w:tr w:rsidR="00BE0B19" w:rsidRPr="00AE47C6" w14:paraId="021EB597" w14:textId="77777777" w:rsidTr="00AD72E5">
        <w:tc>
          <w:tcPr>
            <w:tcW w:w="0" w:type="auto"/>
            <w:tcMar>
              <w:top w:w="48" w:type="dxa"/>
              <w:left w:w="96" w:type="dxa"/>
              <w:bottom w:w="48" w:type="dxa"/>
              <w:right w:w="96" w:type="dxa"/>
            </w:tcMar>
            <w:hideMark/>
          </w:tcPr>
          <w:p w14:paraId="0E3B77A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Интравенозен имуноглобулин </w:t>
            </w:r>
          </w:p>
        </w:tc>
        <w:tc>
          <w:tcPr>
            <w:tcW w:w="0" w:type="auto"/>
            <w:tcMar>
              <w:top w:w="48" w:type="dxa"/>
              <w:left w:w="96" w:type="dxa"/>
              <w:bottom w:w="48" w:type="dxa"/>
              <w:right w:w="96" w:type="dxa"/>
            </w:tcMar>
            <w:hideMark/>
          </w:tcPr>
          <w:p w14:paraId="1A6A7BD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g/kg за 5 дни (400 mg/kg/дневно)</w:t>
            </w:r>
          </w:p>
        </w:tc>
      </w:tr>
      <w:tr w:rsidR="00BE0B19" w:rsidRPr="00AE47C6" w14:paraId="0F400D71" w14:textId="77777777" w:rsidTr="00AD72E5">
        <w:trPr>
          <w:trHeight w:val="377"/>
        </w:trPr>
        <w:tc>
          <w:tcPr>
            <w:tcW w:w="0" w:type="auto"/>
            <w:tcMar>
              <w:top w:w="48" w:type="dxa"/>
              <w:left w:w="96" w:type="dxa"/>
              <w:bottom w:w="48" w:type="dxa"/>
              <w:right w:w="96" w:type="dxa"/>
            </w:tcMar>
            <w:hideMark/>
          </w:tcPr>
          <w:p w14:paraId="6F290F5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Плазмафереза/имуноадсорбция</w:t>
            </w:r>
            <w:r w:rsidRPr="00AE47C6">
              <w:rPr>
                <w:rFonts w:ascii="Times New Roman" w:eastAsia="SimSun" w:hAnsi="Times New Roman"/>
                <w:sz w:val="24"/>
                <w:szCs w:val="24"/>
              </w:rPr>
              <w:t> </w:t>
            </w:r>
          </w:p>
        </w:tc>
        <w:tc>
          <w:tcPr>
            <w:tcW w:w="0" w:type="auto"/>
            <w:tcMar>
              <w:top w:w="48" w:type="dxa"/>
              <w:left w:w="96" w:type="dxa"/>
              <w:bottom w:w="48" w:type="dxa"/>
              <w:right w:w="96" w:type="dxa"/>
            </w:tcMar>
            <w:hideMark/>
          </w:tcPr>
          <w:p w14:paraId="153E39E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През ден – 5-7 кратно </w:t>
            </w:r>
          </w:p>
        </w:tc>
      </w:tr>
      <w:tr w:rsidR="00BE0B19" w:rsidRPr="00AE47C6" w14:paraId="5EB0B6A2" w14:textId="77777777" w:rsidTr="00AD72E5">
        <w:tc>
          <w:tcPr>
            <w:tcW w:w="0" w:type="auto"/>
            <w:tcMar>
              <w:top w:w="48" w:type="dxa"/>
              <w:left w:w="96" w:type="dxa"/>
              <w:bottom w:w="48" w:type="dxa"/>
              <w:right w:w="96" w:type="dxa"/>
            </w:tcMar>
            <w:hideMark/>
          </w:tcPr>
          <w:p w14:paraId="2750563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Втора линия имунотерапия</w:t>
            </w:r>
          </w:p>
        </w:tc>
        <w:tc>
          <w:tcPr>
            <w:tcW w:w="0" w:type="auto"/>
            <w:tcMar>
              <w:top w:w="48" w:type="dxa"/>
              <w:left w:w="96" w:type="dxa"/>
              <w:bottom w:w="48" w:type="dxa"/>
              <w:right w:w="96" w:type="dxa"/>
            </w:tcMar>
            <w:hideMark/>
          </w:tcPr>
          <w:p w14:paraId="500804E5" w14:textId="77777777" w:rsidR="00BE0B19" w:rsidRPr="00AE47C6" w:rsidRDefault="00BE0B19" w:rsidP="00BE0B19">
            <w:pPr>
              <w:spacing w:after="0" w:line="360" w:lineRule="auto"/>
              <w:jc w:val="both"/>
              <w:rPr>
                <w:rFonts w:ascii="Times New Roman" w:eastAsia="SimSun" w:hAnsi="Times New Roman"/>
                <w:sz w:val="24"/>
                <w:szCs w:val="24"/>
              </w:rPr>
            </w:pPr>
          </w:p>
        </w:tc>
      </w:tr>
      <w:tr w:rsidR="00BE0B19" w:rsidRPr="00AE47C6" w14:paraId="2E5D46A1" w14:textId="77777777" w:rsidTr="00AD72E5">
        <w:tc>
          <w:tcPr>
            <w:tcW w:w="0" w:type="auto"/>
            <w:tcMar>
              <w:top w:w="48" w:type="dxa"/>
              <w:left w:w="96" w:type="dxa"/>
              <w:bottom w:w="48" w:type="dxa"/>
              <w:right w:w="96" w:type="dxa"/>
            </w:tcMar>
            <w:hideMark/>
          </w:tcPr>
          <w:p w14:paraId="3C5B3ED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Rituximab</w:t>
            </w:r>
            <w:r w:rsidRPr="00AE47C6">
              <w:rPr>
                <w:rFonts w:ascii="Times New Roman" w:eastAsia="SimSun" w:hAnsi="Times New Roman"/>
                <w:sz w:val="24"/>
                <w:szCs w:val="24"/>
              </w:rPr>
              <w:t> </w:t>
            </w:r>
          </w:p>
        </w:tc>
        <w:tc>
          <w:tcPr>
            <w:tcW w:w="0" w:type="auto"/>
            <w:tcMar>
              <w:top w:w="48" w:type="dxa"/>
              <w:left w:w="96" w:type="dxa"/>
              <w:bottom w:w="48" w:type="dxa"/>
              <w:right w:w="96" w:type="dxa"/>
            </w:tcMar>
            <w:hideMark/>
          </w:tcPr>
          <w:p w14:paraId="13869DB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375 mg/m</w:t>
            </w:r>
            <w:r w:rsidRPr="00AE47C6">
              <w:rPr>
                <w:rFonts w:ascii="Times New Roman" w:eastAsia="SimSun" w:hAnsi="Times New Roman"/>
                <w:sz w:val="24"/>
                <w:szCs w:val="24"/>
                <w:vertAlign w:val="superscript"/>
              </w:rPr>
              <w:t>2</w:t>
            </w:r>
            <w:r w:rsidRPr="00AE47C6">
              <w:rPr>
                <w:rFonts w:ascii="Times New Roman" w:eastAsia="SimSun" w:hAnsi="Times New Roman"/>
                <w:sz w:val="24"/>
                <w:szCs w:val="24"/>
              </w:rPr>
              <w:t> седмично i.v. за 4 седмици</w:t>
            </w:r>
          </w:p>
        </w:tc>
      </w:tr>
      <w:tr w:rsidR="00BE0B19" w:rsidRPr="00AE47C6" w14:paraId="5DF980AE" w14:textId="77777777" w:rsidTr="00AD72E5">
        <w:tc>
          <w:tcPr>
            <w:tcW w:w="0" w:type="auto"/>
            <w:tcMar>
              <w:top w:w="48" w:type="dxa"/>
              <w:left w:w="96" w:type="dxa"/>
              <w:bottom w:w="48" w:type="dxa"/>
              <w:right w:w="96" w:type="dxa"/>
            </w:tcMar>
            <w:hideMark/>
          </w:tcPr>
          <w:p w14:paraId="4B6B5D7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Cyclophosphamide</w:t>
            </w:r>
            <w:r w:rsidRPr="00AE47C6">
              <w:rPr>
                <w:rFonts w:ascii="Times New Roman" w:eastAsia="SimSun" w:hAnsi="Times New Roman"/>
                <w:sz w:val="24"/>
                <w:szCs w:val="24"/>
              </w:rPr>
              <w:t> </w:t>
            </w:r>
          </w:p>
        </w:tc>
        <w:tc>
          <w:tcPr>
            <w:tcW w:w="0" w:type="auto"/>
            <w:tcMar>
              <w:top w:w="48" w:type="dxa"/>
              <w:left w:w="96" w:type="dxa"/>
              <w:bottom w:w="48" w:type="dxa"/>
              <w:right w:w="96" w:type="dxa"/>
            </w:tcMar>
            <w:hideMark/>
          </w:tcPr>
          <w:p w14:paraId="70ED62F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750 mg/m</w:t>
            </w:r>
            <w:r w:rsidRPr="00AE47C6">
              <w:rPr>
                <w:rFonts w:ascii="Times New Roman" w:eastAsia="SimSun" w:hAnsi="Times New Roman"/>
                <w:sz w:val="24"/>
                <w:szCs w:val="24"/>
                <w:vertAlign w:val="superscript"/>
              </w:rPr>
              <w:t>2</w:t>
            </w:r>
            <w:r w:rsidRPr="00AE47C6">
              <w:rPr>
                <w:rFonts w:ascii="Times New Roman" w:eastAsia="SimSun" w:hAnsi="Times New Roman"/>
                <w:sz w:val="24"/>
                <w:szCs w:val="24"/>
              </w:rPr>
              <w:t>месечно за 3-6 месеца</w:t>
            </w:r>
          </w:p>
        </w:tc>
      </w:tr>
      <w:tr w:rsidR="00BE0B19" w:rsidRPr="00AE47C6" w14:paraId="4B955556" w14:textId="77777777" w:rsidTr="00AD72E5">
        <w:tc>
          <w:tcPr>
            <w:tcW w:w="0" w:type="auto"/>
            <w:tcMar>
              <w:top w:w="48" w:type="dxa"/>
              <w:left w:w="96" w:type="dxa"/>
              <w:bottom w:w="48" w:type="dxa"/>
              <w:right w:w="96" w:type="dxa"/>
            </w:tcMar>
            <w:hideMark/>
          </w:tcPr>
          <w:p w14:paraId="47CA77D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Алтернативна терапия</w:t>
            </w:r>
          </w:p>
        </w:tc>
        <w:tc>
          <w:tcPr>
            <w:tcW w:w="0" w:type="auto"/>
            <w:tcMar>
              <w:top w:w="48" w:type="dxa"/>
              <w:left w:w="96" w:type="dxa"/>
              <w:bottom w:w="48" w:type="dxa"/>
              <w:right w:w="96" w:type="dxa"/>
            </w:tcMar>
            <w:hideMark/>
          </w:tcPr>
          <w:p w14:paraId="3D644AC6" w14:textId="77777777" w:rsidR="00BE0B19" w:rsidRPr="00AE47C6" w:rsidRDefault="00BE0B19" w:rsidP="00BE0B19">
            <w:pPr>
              <w:spacing w:after="0" w:line="360" w:lineRule="auto"/>
              <w:jc w:val="both"/>
              <w:rPr>
                <w:rFonts w:ascii="Times New Roman" w:eastAsia="SimSun" w:hAnsi="Times New Roman"/>
                <w:sz w:val="24"/>
                <w:szCs w:val="24"/>
              </w:rPr>
            </w:pPr>
          </w:p>
        </w:tc>
      </w:tr>
      <w:tr w:rsidR="00BE0B19" w:rsidRPr="00AE47C6" w14:paraId="21341892" w14:textId="77777777" w:rsidTr="00AD72E5">
        <w:trPr>
          <w:trHeight w:val="655"/>
        </w:trPr>
        <w:tc>
          <w:tcPr>
            <w:tcW w:w="0" w:type="auto"/>
            <w:tcMar>
              <w:top w:w="48" w:type="dxa"/>
              <w:left w:w="96" w:type="dxa"/>
              <w:bottom w:w="48" w:type="dxa"/>
              <w:right w:w="96" w:type="dxa"/>
            </w:tcMar>
            <w:hideMark/>
          </w:tcPr>
          <w:p w14:paraId="3AF7A20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Tocilizumab</w:t>
            </w:r>
            <w:r w:rsidRPr="00AE47C6">
              <w:rPr>
                <w:rFonts w:ascii="Times New Roman" w:eastAsia="SimSun" w:hAnsi="Times New Roman"/>
                <w:sz w:val="24"/>
                <w:szCs w:val="24"/>
              </w:rPr>
              <w:t> </w:t>
            </w:r>
          </w:p>
        </w:tc>
        <w:tc>
          <w:tcPr>
            <w:tcW w:w="0" w:type="auto"/>
            <w:tcMar>
              <w:top w:w="48" w:type="dxa"/>
              <w:left w:w="96" w:type="dxa"/>
              <w:bottom w:w="48" w:type="dxa"/>
              <w:right w:w="96" w:type="dxa"/>
            </w:tcMar>
            <w:hideMark/>
          </w:tcPr>
          <w:p w14:paraId="4910B67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Начална доза 4 mg/kg, до 8 mg/kg месечно според клиничния отговор</w:t>
            </w:r>
          </w:p>
        </w:tc>
      </w:tr>
      <w:tr w:rsidR="00BE0B19" w:rsidRPr="00AE47C6" w14:paraId="1122947E" w14:textId="77777777" w:rsidTr="00AD72E5">
        <w:tc>
          <w:tcPr>
            <w:tcW w:w="0" w:type="auto"/>
            <w:tcMar>
              <w:top w:w="48" w:type="dxa"/>
              <w:left w:w="96" w:type="dxa"/>
              <w:bottom w:w="48" w:type="dxa"/>
              <w:right w:w="96" w:type="dxa"/>
            </w:tcMar>
            <w:hideMark/>
          </w:tcPr>
          <w:p w14:paraId="669F54C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Ниска доза interleukin-2 </w:t>
            </w:r>
          </w:p>
        </w:tc>
        <w:tc>
          <w:tcPr>
            <w:tcW w:w="0" w:type="auto"/>
            <w:tcMar>
              <w:top w:w="48" w:type="dxa"/>
              <w:left w:w="96" w:type="dxa"/>
              <w:bottom w:w="48" w:type="dxa"/>
              <w:right w:w="96" w:type="dxa"/>
            </w:tcMar>
            <w:hideMark/>
          </w:tcPr>
          <w:p w14:paraId="0983676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1,5 милиона IU/дневно, 4 подкожни инжекции с интервал 3 седмици</w:t>
            </w:r>
          </w:p>
        </w:tc>
      </w:tr>
      <w:tr w:rsidR="00BE0B19" w:rsidRPr="00AE47C6" w14:paraId="7CAF7AFD" w14:textId="77777777" w:rsidTr="00AD72E5">
        <w:tc>
          <w:tcPr>
            <w:tcW w:w="0" w:type="auto"/>
            <w:tcMar>
              <w:top w:w="48" w:type="dxa"/>
              <w:left w:w="96" w:type="dxa"/>
              <w:bottom w:w="48" w:type="dxa"/>
              <w:right w:w="96" w:type="dxa"/>
            </w:tcMar>
            <w:hideMark/>
          </w:tcPr>
          <w:p w14:paraId="76A7507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Стероид-комбинирани лекарства за поддържаща терапия</w:t>
            </w:r>
          </w:p>
        </w:tc>
        <w:tc>
          <w:tcPr>
            <w:tcW w:w="0" w:type="auto"/>
            <w:tcMar>
              <w:top w:w="48" w:type="dxa"/>
              <w:left w:w="96" w:type="dxa"/>
              <w:bottom w:w="48" w:type="dxa"/>
              <w:right w:w="96" w:type="dxa"/>
            </w:tcMar>
            <w:hideMark/>
          </w:tcPr>
          <w:p w14:paraId="0BC76D0E" w14:textId="77777777" w:rsidR="00BE0B19" w:rsidRPr="00AE47C6" w:rsidRDefault="00BE0B19" w:rsidP="00BE0B19">
            <w:pPr>
              <w:spacing w:after="0" w:line="360" w:lineRule="auto"/>
              <w:jc w:val="both"/>
              <w:rPr>
                <w:rFonts w:ascii="Times New Roman" w:eastAsia="SimSun" w:hAnsi="Times New Roman"/>
                <w:sz w:val="24"/>
                <w:szCs w:val="24"/>
              </w:rPr>
            </w:pPr>
          </w:p>
        </w:tc>
      </w:tr>
      <w:tr w:rsidR="00BE0B19" w:rsidRPr="00AE47C6" w14:paraId="71E4517A" w14:textId="77777777" w:rsidTr="00AD72E5">
        <w:tc>
          <w:tcPr>
            <w:tcW w:w="0" w:type="auto"/>
            <w:tcMar>
              <w:top w:w="48" w:type="dxa"/>
              <w:left w:w="96" w:type="dxa"/>
              <w:bottom w:w="48" w:type="dxa"/>
              <w:right w:w="96" w:type="dxa"/>
            </w:tcMar>
            <w:hideMark/>
          </w:tcPr>
          <w:p w14:paraId="730E31F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Azathioprine</w:t>
            </w:r>
            <w:r w:rsidRPr="00AE47C6">
              <w:rPr>
                <w:rFonts w:ascii="Times New Roman" w:eastAsia="SimSun" w:hAnsi="Times New Roman"/>
                <w:sz w:val="24"/>
                <w:szCs w:val="24"/>
              </w:rPr>
              <w:t> </w:t>
            </w:r>
          </w:p>
        </w:tc>
        <w:tc>
          <w:tcPr>
            <w:tcW w:w="0" w:type="auto"/>
            <w:tcMar>
              <w:top w:w="48" w:type="dxa"/>
              <w:left w:w="96" w:type="dxa"/>
              <w:bottom w:w="48" w:type="dxa"/>
              <w:right w:w="96" w:type="dxa"/>
            </w:tcMar>
            <w:hideMark/>
          </w:tcPr>
          <w:p w14:paraId="02A0E7A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Начална доза1-1,5 mg/kg еднократни или двукратно дневно до 2-3 mg/kg/дневно</w:t>
            </w:r>
          </w:p>
        </w:tc>
      </w:tr>
      <w:tr w:rsidR="00BE0B19" w:rsidRPr="00AE47C6" w14:paraId="673947DA" w14:textId="77777777" w:rsidTr="00AD72E5">
        <w:tc>
          <w:tcPr>
            <w:tcW w:w="0" w:type="auto"/>
            <w:tcMar>
              <w:top w:w="48" w:type="dxa"/>
              <w:left w:w="96" w:type="dxa"/>
              <w:bottom w:w="48" w:type="dxa"/>
              <w:right w:w="96" w:type="dxa"/>
            </w:tcMar>
            <w:hideMark/>
          </w:tcPr>
          <w:p w14:paraId="5F16A4A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Mycophenolate mofetil</w:t>
            </w:r>
            <w:r w:rsidRPr="00AE47C6">
              <w:rPr>
                <w:rFonts w:ascii="Times New Roman" w:eastAsia="SimSun" w:hAnsi="Times New Roman"/>
                <w:sz w:val="24"/>
                <w:szCs w:val="24"/>
              </w:rPr>
              <w:t> </w:t>
            </w:r>
          </w:p>
        </w:tc>
        <w:tc>
          <w:tcPr>
            <w:tcW w:w="0" w:type="auto"/>
            <w:tcMar>
              <w:top w:w="48" w:type="dxa"/>
              <w:left w:w="96" w:type="dxa"/>
              <w:bottom w:w="48" w:type="dxa"/>
              <w:right w:w="96" w:type="dxa"/>
            </w:tcMar>
            <w:hideMark/>
          </w:tcPr>
          <w:p w14:paraId="02B7FB8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Начало 500 mg двукратно/дневно, до 1000 mg двукратно</w:t>
            </w:r>
          </w:p>
        </w:tc>
      </w:tr>
    </w:tbl>
    <w:p w14:paraId="1B865FED"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
          <w:bCs/>
          <w:sz w:val="24"/>
          <w:szCs w:val="24"/>
        </w:rPr>
      </w:pPr>
    </w:p>
    <w:p w14:paraId="0D1AB688" w14:textId="77777777" w:rsidR="00BE0B19" w:rsidRPr="00AE47C6" w:rsidRDefault="00BE0B19" w:rsidP="00BE0B1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sz w:val="24"/>
          <w:szCs w:val="24"/>
        </w:rPr>
        <w:t xml:space="preserve">Обобщение за диагностика и лечение на автоимунните енцефалити: </w:t>
      </w:r>
    </w:p>
    <w:p w14:paraId="54D9320F" w14:textId="77777777" w:rsidR="00BE0B19" w:rsidRPr="00AE47C6" w:rsidRDefault="00BE0B19" w:rsidP="00BE0B19">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При заболявания, съчетаващи неврологични, психиатрични синдроми, терапевтично-резистентна епилепсия, когнитивен упадък с неясна причина, понякога с фебрилна провокация, с остро, подостро, рецидивиращо или хронично протичане е необходимо изследване за автоимунен енцефалит - МРТ, ликворно изследване. При негативен резултат от ликвор за антитела, ликворът се запазва за изследвания впоследствие в друга лаборатория.</w:t>
      </w:r>
    </w:p>
    <w:p w14:paraId="2B623B33" w14:textId="77777777" w:rsidR="00BE0B19" w:rsidRPr="00AE47C6" w:rsidRDefault="00BE0B19" w:rsidP="00BE0B19">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При автоимунните енцефалити е възможен успех от провеждането на имуномодулираща терапия, кортикостероиди, интравенозни имуноглобулини и/или плазмафереза, на следващ избор - rituximab, cyclophosphamide.</w:t>
      </w:r>
    </w:p>
    <w:p w14:paraId="7285CD85" w14:textId="77777777" w:rsidR="00BE0B19" w:rsidRPr="00AE47C6" w:rsidRDefault="00BE0B19" w:rsidP="00BE0B19">
      <w:pPr>
        <w:spacing w:after="0" w:line="360" w:lineRule="auto"/>
        <w:ind w:firstLine="709"/>
        <w:jc w:val="both"/>
        <w:rPr>
          <w:rFonts w:ascii="Times New Roman" w:eastAsia="SimSun" w:hAnsi="Times New Roman"/>
          <w:b/>
          <w:bCs/>
          <w:sz w:val="24"/>
          <w:szCs w:val="24"/>
        </w:rPr>
      </w:pPr>
    </w:p>
    <w:p w14:paraId="122A57C9"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111" w:name="_Toc155651754"/>
      <w:bookmarkStart w:id="112" w:name="_Toc164075886"/>
      <w:r w:rsidRPr="00AE47C6">
        <w:rPr>
          <w:rFonts w:ascii="Times New Roman" w:eastAsia="SimSun" w:hAnsi="Times New Roman"/>
          <w:b/>
          <w:bCs/>
          <w:sz w:val="24"/>
          <w:szCs w:val="24"/>
        </w:rPr>
        <w:t xml:space="preserve">4.4. </w:t>
      </w:r>
      <w:r w:rsidRPr="00AE47C6">
        <w:rPr>
          <w:rFonts w:ascii="Times New Roman" w:eastAsia="SimSun" w:hAnsi="Times New Roman"/>
          <w:b/>
          <w:sz w:val="24"/>
          <w:szCs w:val="24"/>
        </w:rPr>
        <w:t>Остри енцефалопатии, асоциирани с вирусни инфекции (ОЕАВИ)</w:t>
      </w:r>
      <w:bookmarkEnd w:id="111"/>
      <w:bookmarkEnd w:id="112"/>
    </w:p>
    <w:p w14:paraId="7D768638"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Острите енцефалопатии, асоциирани с вирусни инфекции (ОЕАВИ) са заболявания, предизвикани от вирусна инфекция, при които не се открива вирусна репликация в мозъка и са изключени менингит, вирусен енцефалит, остър дисеминиран енцефаломиелит (ADEM), автоимунни енцефалити, задна обратима енцефалопатия и др. Симптомите от ЦНС се дължат на възпалителни медиатори, метаболитни нарушения или нарушения в баланса на ексцитаторните и инхибиторни невронни системи. Описани са в Япония през 1995 г. по време на грипна епидемия а впоследствие и в други страни.</w:t>
      </w:r>
    </w:p>
    <w:p w14:paraId="47080822"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num" w:pos="720"/>
          <w:tab w:val="left" w:pos="900"/>
        </w:tabs>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i/>
          <w:sz w:val="24"/>
          <w:szCs w:val="24"/>
        </w:rPr>
        <w:t xml:space="preserve">Критериите </w:t>
      </w:r>
      <w:r w:rsidRPr="00AE47C6">
        <w:rPr>
          <w:rFonts w:ascii="Times New Roman" w:eastAsia="SimSun" w:hAnsi="Times New Roman"/>
          <w:b/>
          <w:bCs/>
          <w:sz w:val="24"/>
          <w:szCs w:val="24"/>
        </w:rPr>
        <w:t xml:space="preserve">за ОЕАВИ са: </w:t>
      </w:r>
      <w:r w:rsidRPr="00AE47C6">
        <w:rPr>
          <w:rFonts w:ascii="Times New Roman" w:eastAsia="SimSun" w:hAnsi="Times New Roman"/>
          <w:bCs/>
          <w:sz w:val="24"/>
          <w:szCs w:val="24"/>
        </w:rPr>
        <w:t>1. Остра симптоматика от ЦНС; 2. Изява в хода на вирусна инфекция; 3. Липса на ликворна плеоцитоза; 4. Наличие на хиперпротеинорахия и/или образни данни за мозъчен оток; 5. Липса на друго заболяване, обясняващо енцефалопатията.</w:t>
      </w:r>
    </w:p>
    <w:p w14:paraId="1A2CC883"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 xml:space="preserve">Класификация на ОЕАВИ </w:t>
      </w:r>
      <w:r w:rsidRPr="00AE47C6">
        <w:rPr>
          <w:rFonts w:ascii="Times New Roman" w:eastAsia="SimSun" w:hAnsi="Times New Roman"/>
          <w:bCs/>
          <w:sz w:val="24"/>
          <w:szCs w:val="24"/>
        </w:rPr>
        <w:t xml:space="preserve">: </w:t>
      </w:r>
    </w:p>
    <w:p w14:paraId="4314F9FE"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1. Остра некротизираща енцефалопатия (ANE); </w:t>
      </w:r>
    </w:p>
    <w:p w14:paraId="16C76C27"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2. С-м „хеморагичен шок-енцефалопатия” (HSES); </w:t>
      </w:r>
    </w:p>
    <w:p w14:paraId="7B8CD6B3"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3.</w:t>
      </w:r>
      <w:r w:rsidRPr="00AE47C6">
        <w:rPr>
          <w:rFonts w:ascii="Times New Roman" w:eastAsia="SimSun" w:hAnsi="Times New Roman"/>
          <w:sz w:val="24"/>
          <w:szCs w:val="24"/>
        </w:rPr>
        <w:t xml:space="preserve"> ОЕАВИ вследствие метаболитно нарушение</w:t>
      </w:r>
      <w:r w:rsidRPr="00AE47C6">
        <w:rPr>
          <w:rFonts w:ascii="Times New Roman" w:eastAsia="SimSun" w:hAnsi="Times New Roman"/>
          <w:bCs/>
          <w:sz w:val="24"/>
          <w:szCs w:val="24"/>
        </w:rPr>
        <w:t xml:space="preserve">, включващи </w:t>
      </w:r>
    </w:p>
    <w:p w14:paraId="65159C9E"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3.1. Класически синдром на Reye (RS);</w:t>
      </w:r>
    </w:p>
    <w:p w14:paraId="09264287"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3.2. Reye-подобен синдром (RLS);</w:t>
      </w:r>
    </w:p>
    <w:p w14:paraId="1BD2E274"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3.3. Вродени метаболитни заболявания, провокирани или обострени от остра вирусна инфекция; </w:t>
      </w:r>
    </w:p>
    <w:p w14:paraId="04463278"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4. Остри енцефалопатии вследствие ексцитотоксичност (известни и като ОЕАВИ с епилептични пристъпи като водещ синдром) с 2 подтипа </w:t>
      </w:r>
    </w:p>
    <w:p w14:paraId="140ACD29"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4.1. Остра енцефалопатия с двуфазни гърчове и късно намалена дифузия (АESD) </w:t>
      </w:r>
    </w:p>
    <w:p w14:paraId="7D6D4DC5"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iCs/>
          <w:sz w:val="24"/>
          <w:szCs w:val="24"/>
        </w:rPr>
      </w:pPr>
      <w:r w:rsidRPr="00AE47C6">
        <w:rPr>
          <w:rFonts w:ascii="Times New Roman" w:eastAsia="SimSun" w:hAnsi="Times New Roman"/>
          <w:bCs/>
          <w:sz w:val="24"/>
          <w:szCs w:val="24"/>
        </w:rPr>
        <w:t xml:space="preserve">4.2. </w:t>
      </w:r>
      <w:r w:rsidRPr="00AE47C6">
        <w:rPr>
          <w:rFonts w:ascii="Times New Roman" w:eastAsia="SimSun" w:hAnsi="Times New Roman"/>
          <w:iCs/>
          <w:sz w:val="24"/>
          <w:szCs w:val="24"/>
        </w:rPr>
        <w:t xml:space="preserve">Фебрилен инфекциозно-свързан епилептичен синдром (FIRES); </w:t>
      </w:r>
    </w:p>
    <w:p w14:paraId="654D8164"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5. Други синдроми с ОЕАВИ:</w:t>
      </w:r>
    </w:p>
    <w:p w14:paraId="6969B8DC"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5.1. Клинично лек енцефалит/енцефалопатия с обратими лезии на сплениума (MERS) </w:t>
      </w:r>
    </w:p>
    <w:p w14:paraId="17E5C078"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Cs/>
          <w:sz w:val="24"/>
          <w:szCs w:val="24"/>
        </w:rPr>
        <w:t xml:space="preserve">5.2. Дифузен мозъчен оток при грипна енцефалопатия от грип А (IAE) </w:t>
      </w:r>
    </w:p>
    <w:p w14:paraId="64156853"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ab/>
        <w:t xml:space="preserve">ОЕАВИ са относително редки заболявания. Неврологични симптоми за ОЕАВИ са установявани при 6,0% от хоспитализираните деца поради съмнение за грип в европейски болници по време на пандемията от грип A H1N1 през 2009/2010г., а с „мозъчен оток” са 4% от изследваните за грип деца у нас през 2011-2012 г. Най-чести са в кърмаческата и ранна детска възраст (средна възраст 4 г.), но са описани и у възрастни. </w:t>
      </w:r>
      <w:r w:rsidRPr="00AE47C6">
        <w:rPr>
          <w:rFonts w:ascii="Times New Roman" w:eastAsia="SimSun" w:hAnsi="Times New Roman"/>
          <w:iCs/>
          <w:sz w:val="24"/>
          <w:szCs w:val="24"/>
        </w:rPr>
        <w:t xml:space="preserve">Възрастовото начало при отделните синдроми е характерно: AESD средно на 1,7 г., последван от ANE - средно на 3,3 г. и MERS около 5,6 г. и в училищна възраст. </w:t>
      </w:r>
    </w:p>
    <w:p w14:paraId="245022DA"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bCs/>
          <w:iCs/>
          <w:sz w:val="24"/>
          <w:szCs w:val="24"/>
        </w:rPr>
      </w:pPr>
      <w:r w:rsidRPr="00AE47C6">
        <w:rPr>
          <w:rFonts w:ascii="Times New Roman" w:eastAsia="SimSun" w:hAnsi="Times New Roman"/>
          <w:b/>
          <w:bCs/>
          <w:i/>
          <w:iCs/>
          <w:sz w:val="24"/>
          <w:szCs w:val="24"/>
        </w:rPr>
        <w:t xml:space="preserve">Етиология на ОЕАВИ. </w:t>
      </w:r>
      <w:r w:rsidRPr="00AE47C6">
        <w:rPr>
          <w:rFonts w:ascii="Times New Roman" w:eastAsia="SimSun" w:hAnsi="Times New Roman"/>
          <w:bCs/>
          <w:iCs/>
          <w:sz w:val="24"/>
          <w:szCs w:val="24"/>
        </w:rPr>
        <w:t>Грипният вирус е водеща причина за ОЕАВИ, вкл. при 59% от 82 деца с подозирана грип-асоциирана енцефалопатия в Япония и при 66% от 70 деца с подозиран грип у нас. Честотата на отделните причинители на ОЕАВИ, установени в Япония в периода 2007-2010 г., и най-често срещаните синдроми са следните:</w:t>
      </w:r>
    </w:p>
    <w:p w14:paraId="3155D1D9" w14:textId="77777777" w:rsidR="00BE0B19" w:rsidRPr="00AE47C6" w:rsidRDefault="00BE0B19" w:rsidP="00BE0B19">
      <w:pPr>
        <w:numPr>
          <w:ilvl w:val="0"/>
          <w:numId w:val="269"/>
        </w:numPr>
        <w:tabs>
          <w:tab w:val="left" w:pos="900"/>
        </w:tab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bCs/>
          <w:sz w:val="24"/>
          <w:szCs w:val="24"/>
        </w:rPr>
        <w:t xml:space="preserve"> Грипен вирус - 26,6%</w:t>
      </w:r>
      <w:r w:rsidRPr="00AE47C6">
        <w:rPr>
          <w:rFonts w:ascii="Times New Roman" w:eastAsia="SimSun" w:hAnsi="Times New Roman"/>
          <w:sz w:val="24"/>
          <w:szCs w:val="24"/>
        </w:rPr>
        <w:t xml:space="preserve"> - среща се във всички възрасти; предизвиква предимно AESD, ANE и MERS </w:t>
      </w:r>
    </w:p>
    <w:p w14:paraId="446044B4" w14:textId="77777777" w:rsidR="00BE0B19" w:rsidRPr="00AE47C6" w:rsidRDefault="00BE0B19" w:rsidP="00BE0B19">
      <w:pPr>
        <w:numPr>
          <w:ilvl w:val="0"/>
          <w:numId w:val="269"/>
        </w:numPr>
        <w:tabs>
          <w:tab w:val="left" w:pos="900"/>
        </w:tab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 xml:space="preserve"> Човешки херпес-вирус 6 (HHV-6) – 17,0% - предизвиква ОЕАВИ предимно при кърмачета, най-често AESD. Не предизвиква MERS</w:t>
      </w:r>
    </w:p>
    <w:p w14:paraId="3C38832F" w14:textId="77777777" w:rsidR="00BE0B19" w:rsidRPr="00AE47C6" w:rsidRDefault="00BE0B19" w:rsidP="00BE0B19">
      <w:pPr>
        <w:numPr>
          <w:ilvl w:val="0"/>
          <w:numId w:val="269"/>
        </w:numPr>
        <w:tabs>
          <w:tab w:val="left" w:pos="900"/>
        </w:tab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 xml:space="preserve"> Rotavirus – 4,0%</w:t>
      </w:r>
    </w:p>
    <w:p w14:paraId="5F0D7B16" w14:textId="77777777" w:rsidR="00BE0B19" w:rsidRPr="00AE47C6" w:rsidRDefault="00BE0B19" w:rsidP="00BE0B19">
      <w:pPr>
        <w:numPr>
          <w:ilvl w:val="0"/>
          <w:numId w:val="269"/>
        </w:numPr>
        <w:tabs>
          <w:tab w:val="left" w:pos="900"/>
        </w:tab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 xml:space="preserve"> Респираторно-синцитиален вирус (RSV) – 1,7%</w:t>
      </w:r>
    </w:p>
    <w:p w14:paraId="2337F31B" w14:textId="77777777" w:rsidR="00BE0B19" w:rsidRPr="00AE47C6" w:rsidRDefault="00BE0B19" w:rsidP="00BE0B19">
      <w:pPr>
        <w:numPr>
          <w:ilvl w:val="0"/>
          <w:numId w:val="269"/>
        </w:numPr>
        <w:tabs>
          <w:tab w:val="left" w:pos="900"/>
        </w:tab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 xml:space="preserve"> Други вируси (паротитен, аденовирус, HHV-7, HSV, норовирус, EBV, VZV, морбилозен вирус) - под 1% </w:t>
      </w:r>
    </w:p>
    <w:p w14:paraId="34760CCE" w14:textId="77777777" w:rsidR="00BE0B19" w:rsidRPr="00AE47C6" w:rsidRDefault="00BE0B19" w:rsidP="00BE0B19">
      <w:pPr>
        <w:numPr>
          <w:ilvl w:val="0"/>
          <w:numId w:val="269"/>
        </w:numPr>
        <w:tabs>
          <w:tab w:val="left" w:pos="900"/>
        </w:tab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 xml:space="preserve"> Escherichia coli и Salmonella - 1,6%</w:t>
      </w:r>
    </w:p>
    <w:p w14:paraId="2FD604F1" w14:textId="77777777" w:rsidR="00BE0B19" w:rsidRPr="00AE47C6" w:rsidRDefault="00BE0B19" w:rsidP="00BE0B19">
      <w:pPr>
        <w:numPr>
          <w:ilvl w:val="0"/>
          <w:numId w:val="269"/>
        </w:numPr>
        <w:tabs>
          <w:tab w:val="left" w:pos="900"/>
        </w:tab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 xml:space="preserve"> Mycoplasma pneumoniae - 0,9%</w:t>
      </w:r>
    </w:p>
    <w:p w14:paraId="40885DAE" w14:textId="77777777" w:rsidR="00BE0B19" w:rsidRPr="00AE47C6" w:rsidRDefault="00BE0B19" w:rsidP="00BE0B19">
      <w:pPr>
        <w:numPr>
          <w:ilvl w:val="0"/>
          <w:numId w:val="269"/>
        </w:numPr>
        <w:tabs>
          <w:tab w:val="left" w:pos="900"/>
        </w:tab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 xml:space="preserve"> Комбинирани инфекции - HHV-6 и RSV, или ротавирус и Campylobacter jejuni или Е. coli – 0,5%</w:t>
      </w:r>
    </w:p>
    <w:p w14:paraId="4A7EA4AB" w14:textId="77777777" w:rsidR="00BE0B19" w:rsidRPr="00AE47C6" w:rsidRDefault="00BE0B19" w:rsidP="00BE0B19">
      <w:pPr>
        <w:numPr>
          <w:ilvl w:val="0"/>
          <w:numId w:val="269"/>
        </w:numPr>
        <w:tabs>
          <w:tab w:val="left" w:pos="900"/>
        </w:tab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 xml:space="preserve"> Неидентифициран патоген – </w:t>
      </w:r>
      <w:r w:rsidRPr="00AE47C6">
        <w:rPr>
          <w:rFonts w:ascii="Times New Roman" w:eastAsia="SimSun" w:hAnsi="Times New Roman"/>
          <w:bCs/>
          <w:sz w:val="24"/>
          <w:szCs w:val="24"/>
        </w:rPr>
        <w:t>40,8%</w:t>
      </w:r>
    </w:p>
    <w:p w14:paraId="77800065"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ANE и MERS се асоциират силно с грип, докато AESD – с HHV-6</w:t>
      </w:r>
    </w:p>
    <w:p w14:paraId="049C1F73" w14:textId="77777777" w:rsidR="00BE0B19" w:rsidRPr="00AE47C6" w:rsidRDefault="00BE0B19" w:rsidP="00BE0B19">
      <w:pPr>
        <w:tabs>
          <w:tab w:val="left" w:pos="900"/>
        </w:tabs>
        <w:spacing w:after="0" w:line="360" w:lineRule="auto"/>
        <w:ind w:firstLine="709"/>
        <w:jc w:val="both"/>
        <w:rPr>
          <w:rFonts w:ascii="Times New Roman" w:eastAsia="SimSun" w:hAnsi="Times New Roman"/>
          <w:bCs/>
          <w:iCs/>
          <w:sz w:val="24"/>
          <w:szCs w:val="24"/>
        </w:rPr>
      </w:pPr>
      <w:r w:rsidRPr="00AE47C6">
        <w:rPr>
          <w:rFonts w:ascii="Times New Roman" w:eastAsia="SimSun" w:hAnsi="Times New Roman"/>
          <w:b/>
          <w:bCs/>
          <w:i/>
          <w:iCs/>
          <w:sz w:val="24"/>
          <w:szCs w:val="24"/>
        </w:rPr>
        <w:t xml:space="preserve">Патогенезата на ОЕАВИ </w:t>
      </w:r>
      <w:r w:rsidRPr="00AE47C6">
        <w:rPr>
          <w:rFonts w:ascii="Times New Roman" w:eastAsia="SimSun" w:hAnsi="Times New Roman"/>
          <w:bCs/>
          <w:iCs/>
          <w:sz w:val="24"/>
          <w:szCs w:val="24"/>
        </w:rPr>
        <w:t xml:space="preserve">е по 3 основни механизма - „цитокинова буря”, метаболитно нарушение и ексцитотоксичност </w:t>
      </w:r>
      <w:r w:rsidRPr="00AE47C6">
        <w:rPr>
          <w:rFonts w:ascii="Times New Roman" w:eastAsia="SimSun" w:hAnsi="Times New Roman"/>
          <w:sz w:val="24"/>
          <w:szCs w:val="24"/>
        </w:rPr>
        <w:t>(</w:t>
      </w:r>
      <w:r w:rsidRPr="00AE47C6">
        <w:rPr>
          <w:rFonts w:ascii="Times New Roman" w:eastAsia="SimSun" w:hAnsi="Times New Roman"/>
          <w:bCs/>
          <w:iCs/>
          <w:sz w:val="24"/>
          <w:szCs w:val="24"/>
        </w:rPr>
        <w:t>Табл. 4.16.</w:t>
      </w:r>
      <w:r w:rsidRPr="00AE47C6">
        <w:rPr>
          <w:rFonts w:ascii="Times New Roman" w:eastAsia="SimSun" w:hAnsi="Times New Roman"/>
          <w:sz w:val="24"/>
          <w:szCs w:val="24"/>
        </w:rPr>
        <w:t>)</w:t>
      </w:r>
      <w:r w:rsidRPr="00AE47C6">
        <w:rPr>
          <w:rFonts w:ascii="Times New Roman" w:eastAsia="SimSun" w:hAnsi="Times New Roman"/>
          <w:bCs/>
          <w:iCs/>
          <w:sz w:val="24"/>
          <w:szCs w:val="24"/>
        </w:rPr>
        <w:t xml:space="preserve">. ОЕАВИ вследствие </w:t>
      </w:r>
      <w:r w:rsidRPr="00AE47C6">
        <w:rPr>
          <w:rFonts w:ascii="Times New Roman" w:eastAsia="SimSun" w:hAnsi="Times New Roman"/>
          <w:bCs/>
          <w:i/>
          <w:iCs/>
          <w:sz w:val="24"/>
          <w:szCs w:val="24"/>
        </w:rPr>
        <w:t xml:space="preserve">„цитокинова буря” </w:t>
      </w:r>
      <w:r w:rsidRPr="00AE47C6">
        <w:rPr>
          <w:rFonts w:ascii="Times New Roman" w:eastAsia="SimSun" w:hAnsi="Times New Roman"/>
          <w:bCs/>
          <w:iCs/>
          <w:sz w:val="24"/>
          <w:szCs w:val="24"/>
        </w:rPr>
        <w:t xml:space="preserve">протичат най-тежко и с най-лоша прогноза, наблюдават се главно при тежки случаи на грип с остра енцефалопатия, когато серумната и ликворната концентрация на възпалителните цитокини като TNF алфа и IL-6 е абнормно висока, а плазминогена увеличава фибринолизата, съдовата проницаемост и миграцията на инфламаторни клетки към лезията. При групата ОЕАВИ с "цитокинова буря" освен мозъка се увреждат и черния дроб, бъбреците, сърцето, скелетните мускули, кръвните клетки и кръвоносните съдове, поради което клиничните синдроми са енцефалопатия, системен възпалителен отговор, мултиорганна недостатъчност, синдром на дисеминирана интравазална коагулопатия (ДИК) и хемофагоцитен синдром. </w:t>
      </w:r>
    </w:p>
    <w:p w14:paraId="70C3BC15" w14:textId="77777777" w:rsidR="00AA547F" w:rsidRPr="00AE47C6" w:rsidRDefault="00AA547F" w:rsidP="00BE0B19">
      <w:pPr>
        <w:tabs>
          <w:tab w:val="left" w:pos="900"/>
        </w:tabs>
        <w:spacing w:after="0" w:line="360" w:lineRule="auto"/>
        <w:ind w:firstLine="709"/>
        <w:jc w:val="both"/>
        <w:rPr>
          <w:rFonts w:ascii="Times New Roman" w:eastAsia="SimSun" w:hAnsi="Times New Roman"/>
          <w:b/>
          <w:bCs/>
          <w:iCs/>
          <w:sz w:val="24"/>
          <w:szCs w:val="24"/>
        </w:rPr>
      </w:pPr>
    </w:p>
    <w:p w14:paraId="217952CA" w14:textId="77777777" w:rsidR="00AA547F" w:rsidRPr="00AE47C6" w:rsidRDefault="00AA547F" w:rsidP="00BE0B19">
      <w:pPr>
        <w:tabs>
          <w:tab w:val="left" w:pos="900"/>
        </w:tabs>
        <w:spacing w:after="0" w:line="360" w:lineRule="auto"/>
        <w:ind w:firstLine="709"/>
        <w:jc w:val="both"/>
        <w:rPr>
          <w:rFonts w:ascii="Times New Roman" w:eastAsia="SimSun" w:hAnsi="Times New Roman"/>
          <w:b/>
          <w:bCs/>
          <w:iCs/>
          <w:sz w:val="24"/>
          <w:szCs w:val="24"/>
        </w:rPr>
      </w:pPr>
    </w:p>
    <w:p w14:paraId="746F42E2" w14:textId="20135A3B" w:rsidR="00BE0B19" w:rsidRPr="00AE47C6" w:rsidRDefault="00BE0B19" w:rsidP="00BE0B19">
      <w:pPr>
        <w:tabs>
          <w:tab w:val="left" w:pos="900"/>
        </w:tabs>
        <w:spacing w:after="0" w:line="360" w:lineRule="auto"/>
        <w:ind w:firstLine="709"/>
        <w:jc w:val="both"/>
        <w:rPr>
          <w:rFonts w:ascii="Times New Roman" w:eastAsia="SimSun" w:hAnsi="Times New Roman"/>
          <w:b/>
          <w:bCs/>
          <w:iCs/>
          <w:sz w:val="24"/>
          <w:szCs w:val="24"/>
        </w:rPr>
      </w:pPr>
      <w:r w:rsidRPr="00AE47C6">
        <w:rPr>
          <w:rFonts w:ascii="Times New Roman" w:eastAsia="SimSun" w:hAnsi="Times New Roman"/>
          <w:b/>
          <w:bCs/>
          <w:iCs/>
          <w:sz w:val="24"/>
          <w:szCs w:val="24"/>
        </w:rPr>
        <w:t>Табл. 4.16. Патогенетична класификация на ОЕАВИ</w:t>
      </w:r>
    </w:p>
    <w:tbl>
      <w:tblPr>
        <w:tblW w:w="9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2"/>
        <w:gridCol w:w="2199"/>
        <w:gridCol w:w="2237"/>
        <w:gridCol w:w="2517"/>
      </w:tblGrid>
      <w:tr w:rsidR="00BE0B19" w:rsidRPr="00AE47C6" w14:paraId="3157A64D" w14:textId="77777777" w:rsidTr="00AD72E5">
        <w:trPr>
          <w:trHeight w:val="643"/>
        </w:trPr>
        <w:tc>
          <w:tcPr>
            <w:tcW w:w="2052" w:type="dxa"/>
          </w:tcPr>
          <w:p w14:paraId="6B65DC93" w14:textId="77777777" w:rsidR="00BE0B19" w:rsidRPr="00AE47C6" w:rsidRDefault="00BE0B19" w:rsidP="00BE0B19">
            <w:pPr>
              <w:tabs>
                <w:tab w:val="left" w:pos="900"/>
              </w:tabs>
              <w:spacing w:after="0" w:line="360" w:lineRule="auto"/>
              <w:jc w:val="both"/>
              <w:rPr>
                <w:rFonts w:ascii="Times New Roman" w:eastAsia="SimSun" w:hAnsi="Times New Roman"/>
                <w:b/>
                <w:bCs/>
                <w:iCs/>
                <w:sz w:val="24"/>
                <w:szCs w:val="24"/>
              </w:rPr>
            </w:pPr>
            <w:r w:rsidRPr="00AE47C6">
              <w:rPr>
                <w:rFonts w:ascii="Times New Roman" w:eastAsia="SimSun" w:hAnsi="Times New Roman"/>
                <w:b/>
                <w:bCs/>
                <w:iCs/>
                <w:sz w:val="24"/>
                <w:szCs w:val="24"/>
              </w:rPr>
              <w:t>Основен патогенетичен синдром</w:t>
            </w:r>
          </w:p>
        </w:tc>
        <w:tc>
          <w:tcPr>
            <w:tcW w:w="2199" w:type="dxa"/>
          </w:tcPr>
          <w:p w14:paraId="3DCBD2A3" w14:textId="77777777" w:rsidR="00BE0B19" w:rsidRPr="00AE47C6" w:rsidRDefault="00BE0B19" w:rsidP="00BE0B19">
            <w:pPr>
              <w:tabs>
                <w:tab w:val="left" w:pos="900"/>
              </w:tabs>
              <w:spacing w:after="0" w:line="360" w:lineRule="auto"/>
              <w:jc w:val="both"/>
              <w:rPr>
                <w:rFonts w:ascii="Times New Roman" w:eastAsia="SimSun" w:hAnsi="Times New Roman"/>
                <w:b/>
                <w:bCs/>
                <w:iCs/>
                <w:sz w:val="24"/>
                <w:szCs w:val="24"/>
              </w:rPr>
            </w:pPr>
            <w:r w:rsidRPr="00AE47C6">
              <w:rPr>
                <w:rFonts w:ascii="Times New Roman" w:eastAsia="SimSun" w:hAnsi="Times New Roman"/>
                <w:b/>
                <w:bCs/>
                <w:iCs/>
                <w:sz w:val="24"/>
                <w:szCs w:val="24"/>
              </w:rPr>
              <w:t>„Цитокинова буря”</w:t>
            </w:r>
          </w:p>
        </w:tc>
        <w:tc>
          <w:tcPr>
            <w:tcW w:w="2237" w:type="dxa"/>
          </w:tcPr>
          <w:p w14:paraId="4F5C8BF5" w14:textId="77777777" w:rsidR="00BE0B19" w:rsidRPr="00AE47C6" w:rsidRDefault="00BE0B19" w:rsidP="00BE0B19">
            <w:pPr>
              <w:tabs>
                <w:tab w:val="left" w:pos="900"/>
              </w:tabs>
              <w:spacing w:after="0" w:line="360" w:lineRule="auto"/>
              <w:jc w:val="both"/>
              <w:rPr>
                <w:rFonts w:ascii="Times New Roman" w:eastAsia="SimSun" w:hAnsi="Times New Roman"/>
                <w:b/>
                <w:bCs/>
                <w:iCs/>
                <w:sz w:val="24"/>
                <w:szCs w:val="24"/>
              </w:rPr>
            </w:pPr>
            <w:r w:rsidRPr="00AE47C6">
              <w:rPr>
                <w:rFonts w:ascii="Times New Roman" w:eastAsia="SimSun" w:hAnsi="Times New Roman"/>
                <w:b/>
                <w:bCs/>
                <w:iCs/>
                <w:sz w:val="24"/>
                <w:szCs w:val="24"/>
              </w:rPr>
              <w:t>Метаболитно нарушение</w:t>
            </w:r>
          </w:p>
        </w:tc>
        <w:tc>
          <w:tcPr>
            <w:tcW w:w="2517" w:type="dxa"/>
          </w:tcPr>
          <w:p w14:paraId="2C72208E" w14:textId="77777777" w:rsidR="00BE0B19" w:rsidRPr="00AE47C6" w:rsidRDefault="00BE0B19" w:rsidP="00BE0B19">
            <w:pPr>
              <w:tabs>
                <w:tab w:val="left" w:pos="900"/>
              </w:tabs>
              <w:spacing w:after="0" w:line="360" w:lineRule="auto"/>
              <w:jc w:val="both"/>
              <w:rPr>
                <w:rFonts w:ascii="Times New Roman" w:eastAsia="SimSun" w:hAnsi="Times New Roman"/>
                <w:b/>
                <w:bCs/>
                <w:iCs/>
                <w:sz w:val="24"/>
                <w:szCs w:val="24"/>
              </w:rPr>
            </w:pPr>
            <w:r w:rsidRPr="00AE47C6">
              <w:rPr>
                <w:rFonts w:ascii="Times New Roman" w:eastAsia="SimSun" w:hAnsi="Times New Roman"/>
                <w:b/>
                <w:bCs/>
                <w:iCs/>
                <w:sz w:val="24"/>
                <w:szCs w:val="24"/>
              </w:rPr>
              <w:t>Ексцитотоксичност</w:t>
            </w:r>
          </w:p>
        </w:tc>
      </w:tr>
      <w:tr w:rsidR="00BE0B19" w:rsidRPr="00AE47C6" w14:paraId="52705ACD" w14:textId="77777777" w:rsidTr="00AD72E5">
        <w:tc>
          <w:tcPr>
            <w:tcW w:w="2052" w:type="dxa"/>
          </w:tcPr>
          <w:p w14:paraId="0A93B317" w14:textId="77777777" w:rsidR="00BE0B19" w:rsidRPr="00AE47C6" w:rsidRDefault="00BE0B19" w:rsidP="00BE0B19">
            <w:pPr>
              <w:tabs>
                <w:tab w:val="left" w:pos="900"/>
              </w:tabs>
              <w:spacing w:after="0" w:line="360" w:lineRule="auto"/>
              <w:jc w:val="both"/>
              <w:rPr>
                <w:rFonts w:ascii="Times New Roman" w:eastAsia="SimSun" w:hAnsi="Times New Roman"/>
                <w:b/>
                <w:bCs/>
                <w:iCs/>
                <w:sz w:val="24"/>
                <w:szCs w:val="24"/>
              </w:rPr>
            </w:pPr>
            <w:r w:rsidRPr="00AE47C6">
              <w:rPr>
                <w:rFonts w:ascii="Times New Roman" w:eastAsia="SimSun" w:hAnsi="Times New Roman"/>
                <w:b/>
                <w:bCs/>
                <w:iCs/>
                <w:sz w:val="24"/>
                <w:szCs w:val="24"/>
              </w:rPr>
              <w:t>Синдроми и болести</w:t>
            </w:r>
          </w:p>
        </w:tc>
        <w:tc>
          <w:tcPr>
            <w:tcW w:w="2199" w:type="dxa"/>
          </w:tcPr>
          <w:p w14:paraId="5F4A2809"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Reye-подобен с-м</w:t>
            </w:r>
          </w:p>
          <w:p w14:paraId="3AEEC154"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Остра некротизираща енцефалопатия</w:t>
            </w:r>
          </w:p>
          <w:p w14:paraId="747B881B"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Хеморагичен шок-енцефалопатия</w:t>
            </w:r>
          </w:p>
        </w:tc>
        <w:tc>
          <w:tcPr>
            <w:tcW w:w="2237" w:type="dxa"/>
          </w:tcPr>
          <w:p w14:paraId="422176C9"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Класически Reye синдром</w:t>
            </w:r>
          </w:p>
          <w:p w14:paraId="18D6C3FB"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Вродени метаболитни болести</w:t>
            </w:r>
          </w:p>
        </w:tc>
        <w:tc>
          <w:tcPr>
            <w:tcW w:w="2517" w:type="dxa"/>
          </w:tcPr>
          <w:p w14:paraId="02292830"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Остра енцефалопатия с фебрилен конвулсивен епилептичен статус</w:t>
            </w:r>
          </w:p>
          <w:p w14:paraId="7FF76F28"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p>
        </w:tc>
      </w:tr>
      <w:tr w:rsidR="00BE0B19" w:rsidRPr="00AE47C6" w14:paraId="26FE6D62" w14:textId="77777777" w:rsidTr="00AD72E5">
        <w:tc>
          <w:tcPr>
            <w:tcW w:w="2052" w:type="dxa"/>
          </w:tcPr>
          <w:p w14:paraId="3B585266" w14:textId="77777777" w:rsidR="00BE0B19" w:rsidRPr="00AE47C6" w:rsidRDefault="00BE0B19" w:rsidP="00BE0B19">
            <w:pPr>
              <w:tabs>
                <w:tab w:val="left" w:pos="900"/>
              </w:tabs>
              <w:spacing w:after="0" w:line="360" w:lineRule="auto"/>
              <w:jc w:val="both"/>
              <w:rPr>
                <w:rFonts w:ascii="Times New Roman" w:eastAsia="SimSun" w:hAnsi="Times New Roman"/>
                <w:b/>
                <w:bCs/>
                <w:iCs/>
                <w:sz w:val="24"/>
                <w:szCs w:val="24"/>
              </w:rPr>
            </w:pPr>
            <w:r w:rsidRPr="00AE47C6">
              <w:rPr>
                <w:rFonts w:ascii="Times New Roman" w:eastAsia="SimSun" w:hAnsi="Times New Roman"/>
                <w:b/>
                <w:bCs/>
                <w:iCs/>
                <w:sz w:val="24"/>
                <w:szCs w:val="24"/>
              </w:rPr>
              <w:t>Локализация и вид на мозъчния едем</w:t>
            </w:r>
          </w:p>
        </w:tc>
        <w:tc>
          <w:tcPr>
            <w:tcW w:w="2199" w:type="dxa"/>
          </w:tcPr>
          <w:p w14:paraId="465DEA6C"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Дифузен</w:t>
            </w:r>
          </w:p>
        </w:tc>
        <w:tc>
          <w:tcPr>
            <w:tcW w:w="2237" w:type="dxa"/>
          </w:tcPr>
          <w:p w14:paraId="1BF70322"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Дифузен</w:t>
            </w:r>
          </w:p>
        </w:tc>
        <w:tc>
          <w:tcPr>
            <w:tcW w:w="2517" w:type="dxa"/>
          </w:tcPr>
          <w:p w14:paraId="6E3FF748"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Локализиран</w:t>
            </w:r>
          </w:p>
        </w:tc>
      </w:tr>
      <w:tr w:rsidR="00BE0B19" w:rsidRPr="00AE47C6" w14:paraId="6842307B" w14:textId="77777777" w:rsidTr="00AD72E5">
        <w:tc>
          <w:tcPr>
            <w:tcW w:w="2052" w:type="dxa"/>
          </w:tcPr>
          <w:p w14:paraId="09B7158E" w14:textId="77777777" w:rsidR="00BE0B19" w:rsidRPr="00AE47C6" w:rsidRDefault="00BE0B19" w:rsidP="00BE0B19">
            <w:pPr>
              <w:tabs>
                <w:tab w:val="left" w:pos="900"/>
              </w:tabs>
              <w:spacing w:after="0" w:line="360" w:lineRule="auto"/>
              <w:jc w:val="both"/>
              <w:rPr>
                <w:rFonts w:ascii="Times New Roman" w:eastAsia="SimSun" w:hAnsi="Times New Roman"/>
                <w:b/>
                <w:bCs/>
                <w:iCs/>
                <w:sz w:val="24"/>
                <w:szCs w:val="24"/>
              </w:rPr>
            </w:pPr>
            <w:r w:rsidRPr="00AE47C6">
              <w:rPr>
                <w:rFonts w:ascii="Times New Roman" w:eastAsia="SimSun" w:hAnsi="Times New Roman"/>
                <w:b/>
                <w:bCs/>
                <w:iCs/>
                <w:sz w:val="24"/>
                <w:szCs w:val="24"/>
              </w:rPr>
              <w:t>Чернодробна дисфункция</w:t>
            </w:r>
          </w:p>
        </w:tc>
        <w:tc>
          <w:tcPr>
            <w:tcW w:w="2199" w:type="dxa"/>
          </w:tcPr>
          <w:p w14:paraId="4FC2B0F7"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Лека до тежка</w:t>
            </w:r>
          </w:p>
        </w:tc>
        <w:tc>
          <w:tcPr>
            <w:tcW w:w="2237" w:type="dxa"/>
          </w:tcPr>
          <w:p w14:paraId="7B0BDF66"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Лека до тежка</w:t>
            </w:r>
          </w:p>
        </w:tc>
        <w:tc>
          <w:tcPr>
            <w:tcW w:w="2517" w:type="dxa"/>
          </w:tcPr>
          <w:p w14:paraId="11864CEF"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Липсва или лека</w:t>
            </w:r>
          </w:p>
        </w:tc>
      </w:tr>
      <w:tr w:rsidR="00BE0B19" w:rsidRPr="00AE47C6" w14:paraId="09EADC16" w14:textId="77777777" w:rsidTr="00AD72E5">
        <w:tc>
          <w:tcPr>
            <w:tcW w:w="2052" w:type="dxa"/>
          </w:tcPr>
          <w:p w14:paraId="4E4ADFB6" w14:textId="77777777" w:rsidR="00BE0B19" w:rsidRPr="00AE47C6" w:rsidRDefault="00BE0B19" w:rsidP="00BE0B19">
            <w:pPr>
              <w:tabs>
                <w:tab w:val="left" w:pos="900"/>
              </w:tabs>
              <w:spacing w:after="0" w:line="360" w:lineRule="auto"/>
              <w:jc w:val="both"/>
              <w:rPr>
                <w:rFonts w:ascii="Times New Roman" w:eastAsia="SimSun" w:hAnsi="Times New Roman"/>
                <w:b/>
                <w:bCs/>
                <w:iCs/>
                <w:sz w:val="24"/>
                <w:szCs w:val="24"/>
              </w:rPr>
            </w:pPr>
            <w:r w:rsidRPr="00AE47C6">
              <w:rPr>
                <w:rFonts w:ascii="Times New Roman" w:eastAsia="SimSun" w:hAnsi="Times New Roman"/>
                <w:b/>
                <w:bCs/>
                <w:iCs/>
                <w:sz w:val="24"/>
                <w:szCs w:val="24"/>
              </w:rPr>
              <w:t>ДИК синдром, мултиорганна недостатъчност</w:t>
            </w:r>
          </w:p>
        </w:tc>
        <w:tc>
          <w:tcPr>
            <w:tcW w:w="2199" w:type="dxa"/>
          </w:tcPr>
          <w:p w14:paraId="29751AB7"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Често</w:t>
            </w:r>
          </w:p>
        </w:tc>
        <w:tc>
          <w:tcPr>
            <w:tcW w:w="2237" w:type="dxa"/>
          </w:tcPr>
          <w:p w14:paraId="0C8EB0E8"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Рядко</w:t>
            </w:r>
          </w:p>
        </w:tc>
        <w:tc>
          <w:tcPr>
            <w:tcW w:w="2517" w:type="dxa"/>
          </w:tcPr>
          <w:p w14:paraId="59256043"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Рядко</w:t>
            </w:r>
          </w:p>
        </w:tc>
      </w:tr>
      <w:tr w:rsidR="00BE0B19" w:rsidRPr="00AE47C6" w14:paraId="3076BABF" w14:textId="77777777" w:rsidTr="00AD72E5">
        <w:trPr>
          <w:trHeight w:val="200"/>
        </w:trPr>
        <w:tc>
          <w:tcPr>
            <w:tcW w:w="2052" w:type="dxa"/>
          </w:tcPr>
          <w:p w14:paraId="1209E122" w14:textId="77777777" w:rsidR="00BE0B19" w:rsidRPr="00AE47C6" w:rsidRDefault="00BE0B19" w:rsidP="00BE0B19">
            <w:pPr>
              <w:tabs>
                <w:tab w:val="left" w:pos="900"/>
              </w:tabs>
              <w:spacing w:after="0" w:line="360" w:lineRule="auto"/>
              <w:jc w:val="both"/>
              <w:rPr>
                <w:rFonts w:ascii="Times New Roman" w:eastAsia="SimSun" w:hAnsi="Times New Roman"/>
                <w:b/>
                <w:bCs/>
                <w:iCs/>
                <w:sz w:val="24"/>
                <w:szCs w:val="24"/>
              </w:rPr>
            </w:pPr>
            <w:r w:rsidRPr="00AE47C6">
              <w:rPr>
                <w:rFonts w:ascii="Times New Roman" w:eastAsia="SimSun" w:hAnsi="Times New Roman"/>
                <w:b/>
                <w:bCs/>
                <w:iCs/>
                <w:sz w:val="24"/>
                <w:szCs w:val="24"/>
              </w:rPr>
              <w:t>Смъртност</w:t>
            </w:r>
          </w:p>
        </w:tc>
        <w:tc>
          <w:tcPr>
            <w:tcW w:w="2199" w:type="dxa"/>
          </w:tcPr>
          <w:p w14:paraId="200E7E1D"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Висока</w:t>
            </w:r>
          </w:p>
        </w:tc>
        <w:tc>
          <w:tcPr>
            <w:tcW w:w="2237" w:type="dxa"/>
          </w:tcPr>
          <w:p w14:paraId="6708F12E"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Умерена</w:t>
            </w:r>
          </w:p>
        </w:tc>
        <w:tc>
          <w:tcPr>
            <w:tcW w:w="2517" w:type="dxa"/>
          </w:tcPr>
          <w:p w14:paraId="5D1958F6"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Ниска</w:t>
            </w:r>
          </w:p>
        </w:tc>
      </w:tr>
      <w:tr w:rsidR="00BE0B19" w:rsidRPr="00AE47C6" w14:paraId="7C7154A9" w14:textId="77777777" w:rsidTr="00AD72E5">
        <w:tc>
          <w:tcPr>
            <w:tcW w:w="2052" w:type="dxa"/>
          </w:tcPr>
          <w:p w14:paraId="55E70202" w14:textId="77777777" w:rsidR="00BE0B19" w:rsidRPr="00AE47C6" w:rsidRDefault="00BE0B19" w:rsidP="00BE0B19">
            <w:pPr>
              <w:tabs>
                <w:tab w:val="left" w:pos="900"/>
              </w:tabs>
              <w:spacing w:after="0" w:line="360" w:lineRule="auto"/>
              <w:jc w:val="both"/>
              <w:rPr>
                <w:rFonts w:ascii="Times New Roman" w:eastAsia="SimSun" w:hAnsi="Times New Roman"/>
                <w:b/>
                <w:bCs/>
                <w:iCs/>
                <w:sz w:val="24"/>
                <w:szCs w:val="24"/>
              </w:rPr>
            </w:pPr>
            <w:r w:rsidRPr="00AE47C6">
              <w:rPr>
                <w:rFonts w:ascii="Times New Roman" w:eastAsia="SimSun" w:hAnsi="Times New Roman"/>
                <w:b/>
                <w:bCs/>
                <w:iCs/>
                <w:sz w:val="24"/>
                <w:szCs w:val="24"/>
              </w:rPr>
              <w:t>Рискови фактори</w:t>
            </w:r>
          </w:p>
        </w:tc>
        <w:tc>
          <w:tcPr>
            <w:tcW w:w="2199" w:type="dxa"/>
          </w:tcPr>
          <w:p w14:paraId="1A44F1A7"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НСПВ</w:t>
            </w:r>
          </w:p>
        </w:tc>
        <w:tc>
          <w:tcPr>
            <w:tcW w:w="2237" w:type="dxa"/>
          </w:tcPr>
          <w:p w14:paraId="61F74EDC"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Салицилати</w:t>
            </w:r>
          </w:p>
        </w:tc>
        <w:tc>
          <w:tcPr>
            <w:tcW w:w="2517" w:type="dxa"/>
          </w:tcPr>
          <w:p w14:paraId="67993ACA" w14:textId="77777777" w:rsidR="00BE0B19" w:rsidRPr="00AE47C6" w:rsidRDefault="00BE0B19" w:rsidP="00BE0B19">
            <w:pPr>
              <w:tabs>
                <w:tab w:val="left" w:pos="900"/>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 xml:space="preserve">Theophylline </w:t>
            </w:r>
          </w:p>
        </w:tc>
      </w:tr>
    </w:tbl>
    <w:p w14:paraId="22C9CC36"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32ABEDFD"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13" w:name="_Toc155651755"/>
      <w:bookmarkStart w:id="114" w:name="_Toc164075887"/>
      <w:r w:rsidRPr="00AE47C6">
        <w:rPr>
          <w:rFonts w:ascii="Times New Roman" w:eastAsia="SimSun" w:hAnsi="Times New Roman"/>
          <w:b/>
          <w:bCs/>
          <w:sz w:val="24"/>
          <w:szCs w:val="20"/>
          <w:lang w:eastAsia="ja-JP"/>
        </w:rPr>
        <w:t xml:space="preserve">4.4.1. </w:t>
      </w:r>
      <w:r w:rsidRPr="00AE47C6">
        <w:rPr>
          <w:rFonts w:ascii="Times New Roman" w:eastAsia="SimSun" w:hAnsi="Times New Roman"/>
          <w:b/>
          <w:sz w:val="24"/>
          <w:szCs w:val="20"/>
          <w:lang w:eastAsia="ja-JP"/>
        </w:rPr>
        <w:t>Остра некротизираща енцефалопатия (ANE)</w:t>
      </w:r>
      <w:bookmarkEnd w:id="113"/>
      <w:bookmarkEnd w:id="114"/>
      <w:r w:rsidRPr="00AE47C6">
        <w:rPr>
          <w:rFonts w:ascii="Times New Roman" w:eastAsia="SimSun" w:hAnsi="Times New Roman"/>
          <w:b/>
          <w:sz w:val="24"/>
          <w:szCs w:val="20"/>
          <w:lang w:eastAsia="ja-JP"/>
        </w:rPr>
        <w:t xml:space="preserve"> </w:t>
      </w:r>
    </w:p>
    <w:p w14:paraId="08D5C97F"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iCs/>
          <w:sz w:val="24"/>
          <w:szCs w:val="24"/>
          <w:lang w:eastAsia="bg-BG"/>
        </w:rPr>
      </w:pPr>
      <w:r w:rsidRPr="00AE47C6">
        <w:rPr>
          <w:rFonts w:ascii="Times New Roman" w:eastAsia="SimSun" w:hAnsi="Times New Roman"/>
          <w:sz w:val="24"/>
          <w:szCs w:val="24"/>
          <w:lang w:eastAsia="bg-BG"/>
        </w:rPr>
        <w:t xml:space="preserve">Това е най-често описваната по света ОЕАВИ. Средната възраст на пациентите с ANE е 3,3 г. </w:t>
      </w:r>
      <w:r w:rsidRPr="00AE47C6">
        <w:rPr>
          <w:rFonts w:ascii="Times New Roman" w:eastAsia="SimSun" w:hAnsi="Times New Roman"/>
          <w:i/>
          <w:sz w:val="24"/>
          <w:szCs w:val="24"/>
          <w:lang w:eastAsia="bg-BG"/>
        </w:rPr>
        <w:t>Предшестващата инфекция</w:t>
      </w:r>
      <w:r w:rsidRPr="00AE47C6">
        <w:rPr>
          <w:rFonts w:ascii="Times New Roman" w:eastAsia="SimSun" w:hAnsi="Times New Roman"/>
          <w:sz w:val="24"/>
          <w:szCs w:val="24"/>
          <w:lang w:eastAsia="bg-BG"/>
        </w:rPr>
        <w:t xml:space="preserve"> е грип тип А (41,0%) или HHV-6 (20,5%), в единични случаи при парагрип, варицела, coxsackie A9, ротавирус, COVID-19, Mycoplasma pneumoniae, ДТК ваксинация с пълноклетъчна пертусисна ваксина. Грипен вирус се открива чрез PCR в ликвор само при 10% от децата с грип-асоциирана енцефалопатия. </w:t>
      </w:r>
    </w:p>
    <w:p w14:paraId="0C9FC4A9"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r w:rsidRPr="00AE47C6">
        <w:rPr>
          <w:rFonts w:ascii="Times New Roman" w:eastAsia="SimSun" w:hAnsi="Times New Roman"/>
          <w:i/>
          <w:sz w:val="24"/>
          <w:szCs w:val="24"/>
          <w:lang w:eastAsia="bg-BG"/>
        </w:rPr>
        <w:t>Генетични фактори</w:t>
      </w:r>
      <w:r w:rsidRPr="00AE47C6">
        <w:rPr>
          <w:rFonts w:ascii="Times New Roman" w:eastAsia="SimSun" w:hAnsi="Times New Roman"/>
          <w:sz w:val="24"/>
          <w:szCs w:val="24"/>
          <w:lang w:eastAsia="bg-BG"/>
        </w:rPr>
        <w:t xml:space="preserve">. При фамилни или рецидивиращи случаи с ANE е установено автозомно-доминантно унаследяване на точкова мутация в гена RANBP2 (Ran-binding protein 2), която води до нарушена митохондриална функция или нарушена сигнална трансдукция на IL-6 и TNF alfa. Индивидите с мутация в RANBP2 имат 40% вероятност да развият ANE през живота си,  а деца, преживели ANE имат 50% вероятност от рецидив. </w:t>
      </w:r>
    </w:p>
    <w:p w14:paraId="684851B9"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r w:rsidRPr="00AE47C6">
        <w:rPr>
          <w:rFonts w:ascii="Times New Roman" w:eastAsia="SimSun" w:hAnsi="Times New Roman"/>
          <w:sz w:val="24"/>
          <w:szCs w:val="24"/>
          <w:lang w:eastAsia="bg-BG"/>
        </w:rPr>
        <w:t xml:space="preserve">Патогенетично ANE е свързана с цитокиновата буря- IL-6 и TNF алфа увреждат ендотела и подлежащите клетки. Генетична предразположеност е налице при фамилни или рецидивиращи случаи и мутация в гена RANBP2. </w:t>
      </w:r>
    </w:p>
    <w:p w14:paraId="3974073D"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sz w:val="24"/>
          <w:szCs w:val="24"/>
          <w:lang w:eastAsia="bg-BG"/>
        </w:rPr>
        <w:t>Патоанатомично се установява мозъчен оток, обширна коагулационна некроза симетрично в thalamus, putamen, дълбокото бяло вещество на главния и малкия мозък, в тегментума на мозъчния ствол. Налице са и петехиални хеморагии. Характерно е нарушаването на кръвно-ликворната бариера при липса на възпалителна инфилтрация на менингите и вирус в ЦНС. При 61% от случаите се открива чернодробна с</w:t>
      </w:r>
      <w:r w:rsidRPr="00AE47C6">
        <w:rPr>
          <w:rFonts w:ascii="Times New Roman" w:eastAsia="SimSun" w:hAnsi="Times New Roman"/>
          <w:bCs/>
          <w:sz w:val="24"/>
          <w:szCs w:val="24"/>
          <w:lang w:eastAsia="bg-BG"/>
        </w:rPr>
        <w:t xml:space="preserve">театоза. </w:t>
      </w:r>
    </w:p>
    <w:p w14:paraId="3346919E"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r w:rsidRPr="00AE47C6">
        <w:rPr>
          <w:rFonts w:ascii="Times New Roman" w:eastAsia="SimSun" w:hAnsi="Times New Roman"/>
          <w:sz w:val="24"/>
          <w:szCs w:val="24"/>
          <w:lang w:eastAsia="bg-BG"/>
        </w:rPr>
        <w:t>Клиничните прояви на ANE започват 1-3 дни от началото на вирусната инфекция (Табл. 4.17) с фебрилитет, с бързо влошаване на неврологичния статус, възможен делир, генерализирани тонично-клонични припадъци (ГТКП), последващ сопор и кома в първите 24 часа. Липсват менингеален синдром и фокална неврологична симптоматика. Възможни са хематинови повръщания и диария, артериална хипотония. При преживелите пациенти възстановяване на съзнанието настъпва между 6 и 10 дни, но неврологичната симптоматика се подобрява бавно и най-често непълно.</w:t>
      </w:r>
    </w:p>
    <w:p w14:paraId="354D27CD"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Табл. 4.17. Клинични прояви на остра некротизираща енцефалопатия (ANE)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38"/>
        <w:gridCol w:w="1546"/>
      </w:tblGrid>
      <w:tr w:rsidR="00BE0B19" w:rsidRPr="00AE47C6" w14:paraId="7849E734" w14:textId="77777777" w:rsidTr="00AD72E5">
        <w:trPr>
          <w:trHeight w:val="327"/>
          <w:jc w:val="center"/>
        </w:trPr>
        <w:tc>
          <w:tcPr>
            <w:tcW w:w="5538" w:type="dxa"/>
          </w:tcPr>
          <w:p w14:paraId="6BFCAF4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Симптоми:</w:t>
            </w:r>
          </w:p>
        </w:tc>
        <w:tc>
          <w:tcPr>
            <w:tcW w:w="1546" w:type="dxa"/>
          </w:tcPr>
          <w:p w14:paraId="57DDEFEB"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Честота (%)</w:t>
            </w:r>
          </w:p>
        </w:tc>
      </w:tr>
      <w:tr w:rsidR="00BE0B19" w:rsidRPr="00AE47C6" w14:paraId="629F250C" w14:textId="77777777" w:rsidTr="00AD72E5">
        <w:trPr>
          <w:jc w:val="center"/>
        </w:trPr>
        <w:tc>
          <w:tcPr>
            <w:tcW w:w="7084" w:type="dxa"/>
            <w:gridSpan w:val="2"/>
          </w:tcPr>
          <w:p w14:paraId="4637B81E"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Продроми:</w:t>
            </w:r>
          </w:p>
        </w:tc>
      </w:tr>
      <w:tr w:rsidR="00BE0B19" w:rsidRPr="00AE47C6" w14:paraId="26A2F7A9" w14:textId="77777777" w:rsidTr="00AD72E5">
        <w:trPr>
          <w:jc w:val="center"/>
        </w:trPr>
        <w:tc>
          <w:tcPr>
            <w:tcW w:w="5538" w:type="dxa"/>
          </w:tcPr>
          <w:p w14:paraId="0E5D2883"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Остра респираторна инфекция </w:t>
            </w:r>
          </w:p>
        </w:tc>
        <w:tc>
          <w:tcPr>
            <w:tcW w:w="1546" w:type="dxa"/>
          </w:tcPr>
          <w:p w14:paraId="26E7D354"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97</w:t>
            </w:r>
          </w:p>
        </w:tc>
      </w:tr>
      <w:tr w:rsidR="00BE0B19" w:rsidRPr="00AE47C6" w14:paraId="1284429C" w14:textId="77777777" w:rsidTr="00AD72E5">
        <w:trPr>
          <w:jc w:val="center"/>
        </w:trPr>
        <w:tc>
          <w:tcPr>
            <w:tcW w:w="5538" w:type="dxa"/>
          </w:tcPr>
          <w:p w14:paraId="5503E66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Фебрилитет</w:t>
            </w:r>
          </w:p>
        </w:tc>
        <w:tc>
          <w:tcPr>
            <w:tcW w:w="1546" w:type="dxa"/>
          </w:tcPr>
          <w:p w14:paraId="11AC1A93"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88</w:t>
            </w:r>
          </w:p>
        </w:tc>
      </w:tr>
      <w:tr w:rsidR="00BE0B19" w:rsidRPr="00AE47C6" w14:paraId="4160DAD4" w14:textId="77777777" w:rsidTr="00AD72E5">
        <w:trPr>
          <w:jc w:val="center"/>
        </w:trPr>
        <w:tc>
          <w:tcPr>
            <w:tcW w:w="7084" w:type="dxa"/>
            <w:gridSpan w:val="2"/>
          </w:tcPr>
          <w:p w14:paraId="76FC1FE7"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Симптоми:</w:t>
            </w:r>
          </w:p>
        </w:tc>
      </w:tr>
      <w:tr w:rsidR="00BE0B19" w:rsidRPr="00AE47C6" w14:paraId="26BAF211" w14:textId="77777777" w:rsidTr="00AD72E5">
        <w:trPr>
          <w:jc w:val="center"/>
        </w:trPr>
        <w:tc>
          <w:tcPr>
            <w:tcW w:w="5538" w:type="dxa"/>
          </w:tcPr>
          <w:p w14:paraId="3BB7BED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Кома</w:t>
            </w:r>
          </w:p>
        </w:tc>
        <w:tc>
          <w:tcPr>
            <w:tcW w:w="1546" w:type="dxa"/>
          </w:tcPr>
          <w:p w14:paraId="1322524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100</w:t>
            </w:r>
          </w:p>
        </w:tc>
      </w:tr>
      <w:tr w:rsidR="00BE0B19" w:rsidRPr="00AE47C6" w14:paraId="53E46A47" w14:textId="77777777" w:rsidTr="00AD72E5">
        <w:trPr>
          <w:jc w:val="center"/>
        </w:trPr>
        <w:tc>
          <w:tcPr>
            <w:tcW w:w="5538" w:type="dxa"/>
          </w:tcPr>
          <w:p w14:paraId="6CE5373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Гърчове</w:t>
            </w:r>
          </w:p>
        </w:tc>
        <w:tc>
          <w:tcPr>
            <w:tcW w:w="1546" w:type="dxa"/>
          </w:tcPr>
          <w:p w14:paraId="308405E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97</w:t>
            </w:r>
          </w:p>
        </w:tc>
      </w:tr>
      <w:tr w:rsidR="00BE0B19" w:rsidRPr="00AE47C6" w14:paraId="6235C6F4" w14:textId="77777777" w:rsidTr="00AD72E5">
        <w:trPr>
          <w:jc w:val="center"/>
        </w:trPr>
        <w:tc>
          <w:tcPr>
            <w:tcW w:w="5538" w:type="dxa"/>
          </w:tcPr>
          <w:p w14:paraId="7CCE186E"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Хиперпирексия</w:t>
            </w:r>
          </w:p>
        </w:tc>
        <w:tc>
          <w:tcPr>
            <w:tcW w:w="1546" w:type="dxa"/>
          </w:tcPr>
          <w:p w14:paraId="098C30B8"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83</w:t>
            </w:r>
          </w:p>
        </w:tc>
      </w:tr>
      <w:tr w:rsidR="00BE0B19" w:rsidRPr="00AE47C6" w14:paraId="316D6838" w14:textId="77777777" w:rsidTr="00AD72E5">
        <w:trPr>
          <w:jc w:val="center"/>
        </w:trPr>
        <w:tc>
          <w:tcPr>
            <w:tcW w:w="5538" w:type="dxa"/>
          </w:tcPr>
          <w:p w14:paraId="441E5CC0"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Хипервентилация</w:t>
            </w:r>
          </w:p>
        </w:tc>
        <w:tc>
          <w:tcPr>
            <w:tcW w:w="1546" w:type="dxa"/>
          </w:tcPr>
          <w:p w14:paraId="5BD910F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90</w:t>
            </w:r>
          </w:p>
        </w:tc>
      </w:tr>
      <w:tr w:rsidR="00BE0B19" w:rsidRPr="00AE47C6" w14:paraId="33CD188B" w14:textId="77777777" w:rsidTr="00AD72E5">
        <w:trPr>
          <w:jc w:val="center"/>
        </w:trPr>
        <w:tc>
          <w:tcPr>
            <w:tcW w:w="5538" w:type="dxa"/>
          </w:tcPr>
          <w:p w14:paraId="4D43E98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Шок</w:t>
            </w:r>
          </w:p>
        </w:tc>
        <w:tc>
          <w:tcPr>
            <w:tcW w:w="1546" w:type="dxa"/>
          </w:tcPr>
          <w:p w14:paraId="4163FC2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36</w:t>
            </w:r>
          </w:p>
        </w:tc>
      </w:tr>
      <w:tr w:rsidR="00BE0B19" w:rsidRPr="00AE47C6" w14:paraId="743A5C41" w14:textId="77777777" w:rsidTr="00AD72E5">
        <w:trPr>
          <w:jc w:val="center"/>
        </w:trPr>
        <w:tc>
          <w:tcPr>
            <w:tcW w:w="5538" w:type="dxa"/>
          </w:tcPr>
          <w:p w14:paraId="5E33650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Декортикация/децеребрация</w:t>
            </w:r>
          </w:p>
        </w:tc>
        <w:tc>
          <w:tcPr>
            <w:tcW w:w="1546" w:type="dxa"/>
          </w:tcPr>
          <w:p w14:paraId="74B8E51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87</w:t>
            </w:r>
          </w:p>
        </w:tc>
      </w:tr>
      <w:tr w:rsidR="00BE0B19" w:rsidRPr="00AE47C6" w14:paraId="67C54928" w14:textId="77777777" w:rsidTr="00AD72E5">
        <w:trPr>
          <w:jc w:val="center"/>
        </w:trPr>
        <w:tc>
          <w:tcPr>
            <w:tcW w:w="5538" w:type="dxa"/>
          </w:tcPr>
          <w:p w14:paraId="7DF217D4"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Миоза</w:t>
            </w:r>
          </w:p>
        </w:tc>
        <w:tc>
          <w:tcPr>
            <w:tcW w:w="1546" w:type="dxa"/>
          </w:tcPr>
          <w:p w14:paraId="4B8927B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78</w:t>
            </w:r>
          </w:p>
        </w:tc>
      </w:tr>
      <w:tr w:rsidR="00BE0B19" w:rsidRPr="00AE47C6" w14:paraId="745E9584" w14:textId="77777777" w:rsidTr="00AD72E5">
        <w:trPr>
          <w:jc w:val="center"/>
        </w:trPr>
        <w:tc>
          <w:tcPr>
            <w:tcW w:w="5538" w:type="dxa"/>
          </w:tcPr>
          <w:p w14:paraId="16946DC8"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Бавна зенична реакция на светлина</w:t>
            </w:r>
          </w:p>
        </w:tc>
        <w:tc>
          <w:tcPr>
            <w:tcW w:w="1546" w:type="dxa"/>
          </w:tcPr>
          <w:p w14:paraId="57445AD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22</w:t>
            </w:r>
          </w:p>
        </w:tc>
      </w:tr>
      <w:tr w:rsidR="00BE0B19" w:rsidRPr="00AE47C6" w14:paraId="3E584669" w14:textId="77777777" w:rsidTr="00AD72E5">
        <w:trPr>
          <w:jc w:val="center"/>
        </w:trPr>
        <w:tc>
          <w:tcPr>
            <w:tcW w:w="5538" w:type="dxa"/>
          </w:tcPr>
          <w:p w14:paraId="6B9AE2D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Оток на папилите</w:t>
            </w:r>
          </w:p>
        </w:tc>
        <w:tc>
          <w:tcPr>
            <w:tcW w:w="1546" w:type="dxa"/>
          </w:tcPr>
          <w:p w14:paraId="2FFE0025"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38</w:t>
            </w:r>
          </w:p>
        </w:tc>
      </w:tr>
      <w:tr w:rsidR="00BE0B19" w:rsidRPr="00AE47C6" w14:paraId="288E6278" w14:textId="77777777" w:rsidTr="00AD72E5">
        <w:trPr>
          <w:jc w:val="center"/>
        </w:trPr>
        <w:tc>
          <w:tcPr>
            <w:tcW w:w="5538" w:type="dxa"/>
          </w:tcPr>
          <w:p w14:paraId="5B92021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Сухожилна хиперрефлексия</w:t>
            </w:r>
          </w:p>
        </w:tc>
        <w:tc>
          <w:tcPr>
            <w:tcW w:w="1546" w:type="dxa"/>
          </w:tcPr>
          <w:p w14:paraId="0B67CF75"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67</w:t>
            </w:r>
          </w:p>
        </w:tc>
      </w:tr>
      <w:tr w:rsidR="00BE0B19" w:rsidRPr="00AE47C6" w14:paraId="7DC22CC9" w14:textId="77777777" w:rsidTr="00AD72E5">
        <w:trPr>
          <w:jc w:val="center"/>
        </w:trPr>
        <w:tc>
          <w:tcPr>
            <w:tcW w:w="5538" w:type="dxa"/>
          </w:tcPr>
          <w:p w14:paraId="79645A73"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Симптом на Babinski</w:t>
            </w:r>
          </w:p>
        </w:tc>
        <w:tc>
          <w:tcPr>
            <w:tcW w:w="1546" w:type="dxa"/>
          </w:tcPr>
          <w:p w14:paraId="19EEEB3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52</w:t>
            </w:r>
          </w:p>
        </w:tc>
      </w:tr>
      <w:tr w:rsidR="00BE0B19" w:rsidRPr="00AE47C6" w14:paraId="4463D51C" w14:textId="77777777" w:rsidTr="00AD72E5">
        <w:trPr>
          <w:jc w:val="center"/>
        </w:trPr>
        <w:tc>
          <w:tcPr>
            <w:tcW w:w="5538" w:type="dxa"/>
          </w:tcPr>
          <w:p w14:paraId="1D3D27BD"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Хепатомегалия</w:t>
            </w:r>
          </w:p>
        </w:tc>
        <w:tc>
          <w:tcPr>
            <w:tcW w:w="1546" w:type="dxa"/>
          </w:tcPr>
          <w:p w14:paraId="4E2A35EE"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46</w:t>
            </w:r>
          </w:p>
        </w:tc>
      </w:tr>
      <w:tr w:rsidR="00BE0B19" w:rsidRPr="00AE47C6" w14:paraId="10A158E4" w14:textId="77777777" w:rsidTr="00AD72E5">
        <w:trPr>
          <w:jc w:val="center"/>
        </w:trPr>
        <w:tc>
          <w:tcPr>
            <w:tcW w:w="5538" w:type="dxa"/>
          </w:tcPr>
          <w:p w14:paraId="44F3715B"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Диария</w:t>
            </w:r>
          </w:p>
        </w:tc>
        <w:tc>
          <w:tcPr>
            <w:tcW w:w="1546" w:type="dxa"/>
          </w:tcPr>
          <w:p w14:paraId="4A509643"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45</w:t>
            </w:r>
          </w:p>
        </w:tc>
      </w:tr>
    </w:tbl>
    <w:p w14:paraId="18DBE06C"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sz w:val="24"/>
          <w:szCs w:val="24"/>
        </w:rPr>
      </w:pPr>
    </w:p>
    <w:p w14:paraId="463D4E8C" w14:textId="77777777" w:rsidR="00BE0B19" w:rsidRPr="00AE47C6" w:rsidRDefault="00BE0B19" w:rsidP="00BE0B19">
      <w:pP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i/>
          <w:sz w:val="24"/>
          <w:szCs w:val="24"/>
        </w:rPr>
        <w:t>Изследвания: Невроизобразяващите изследвания</w:t>
      </w:r>
      <w:r w:rsidRPr="00AE47C6">
        <w:rPr>
          <w:rFonts w:ascii="Times New Roman" w:eastAsia="SimSun" w:hAnsi="Times New Roman"/>
          <w:bCs/>
          <w:sz w:val="24"/>
          <w:szCs w:val="24"/>
        </w:rPr>
        <w:t xml:space="preserve"> (КТ или МРТ) при всички пациенти до 12-ия час от настъпване на комата разкриват мозъчен оток и симетрични лезии в </w:t>
      </w:r>
      <w:r w:rsidRPr="00AE47C6">
        <w:rPr>
          <w:rFonts w:ascii="Times New Roman" w:eastAsia="SimSun" w:hAnsi="Times New Roman"/>
          <w:bCs/>
          <w:i/>
          <w:sz w:val="24"/>
          <w:szCs w:val="24"/>
        </w:rPr>
        <w:t xml:space="preserve">таламусите </w:t>
      </w:r>
      <w:r w:rsidRPr="00AE47C6">
        <w:rPr>
          <w:rFonts w:ascii="Times New Roman" w:eastAsia="SimSun" w:hAnsi="Times New Roman"/>
          <w:bCs/>
          <w:sz w:val="24"/>
          <w:szCs w:val="24"/>
        </w:rPr>
        <w:t>- хиподензни при КТ, а при МРТ - хипоинтензни на Т</w:t>
      </w:r>
      <w:r w:rsidRPr="00AE47C6">
        <w:rPr>
          <w:rFonts w:ascii="Times New Roman" w:eastAsia="SimSun" w:hAnsi="Times New Roman"/>
          <w:bCs/>
          <w:sz w:val="24"/>
          <w:szCs w:val="24"/>
          <w:vertAlign w:val="subscript"/>
        </w:rPr>
        <w:t>1</w:t>
      </w:r>
      <w:r w:rsidRPr="00AE47C6">
        <w:rPr>
          <w:rFonts w:ascii="Times New Roman" w:eastAsia="SimSun" w:hAnsi="Times New Roman"/>
          <w:bCs/>
          <w:sz w:val="24"/>
          <w:szCs w:val="24"/>
        </w:rPr>
        <w:t xml:space="preserve"> и хиперинтензни на Т</w:t>
      </w:r>
      <w:r w:rsidRPr="00AE47C6">
        <w:rPr>
          <w:rFonts w:ascii="Times New Roman" w:eastAsia="SimSun" w:hAnsi="Times New Roman"/>
          <w:bCs/>
          <w:sz w:val="24"/>
          <w:szCs w:val="24"/>
          <w:vertAlign w:val="subscript"/>
        </w:rPr>
        <w:t>2</w:t>
      </w:r>
      <w:r w:rsidRPr="00AE47C6">
        <w:rPr>
          <w:rFonts w:ascii="Times New Roman" w:eastAsia="SimSun" w:hAnsi="Times New Roman"/>
          <w:bCs/>
          <w:sz w:val="24"/>
          <w:szCs w:val="24"/>
        </w:rPr>
        <w:t>, или хиперинтензни на Т</w:t>
      </w:r>
      <w:r w:rsidRPr="00AE47C6">
        <w:rPr>
          <w:rFonts w:ascii="Times New Roman" w:eastAsia="SimSun" w:hAnsi="Times New Roman"/>
          <w:bCs/>
          <w:sz w:val="24"/>
          <w:szCs w:val="24"/>
          <w:vertAlign w:val="subscript"/>
        </w:rPr>
        <w:t>1</w:t>
      </w:r>
      <w:r w:rsidRPr="00AE47C6">
        <w:rPr>
          <w:rFonts w:ascii="Times New Roman" w:eastAsia="SimSun" w:hAnsi="Times New Roman"/>
          <w:bCs/>
          <w:sz w:val="24"/>
          <w:szCs w:val="24"/>
        </w:rPr>
        <w:t xml:space="preserve"> и Т</w:t>
      </w:r>
      <w:r w:rsidRPr="00AE47C6">
        <w:rPr>
          <w:rFonts w:ascii="Times New Roman" w:eastAsia="SimSun" w:hAnsi="Times New Roman"/>
          <w:bCs/>
          <w:sz w:val="24"/>
          <w:szCs w:val="24"/>
          <w:vertAlign w:val="subscript"/>
        </w:rPr>
        <w:t>2</w:t>
      </w:r>
      <w:r w:rsidRPr="00AE47C6">
        <w:rPr>
          <w:rFonts w:ascii="Times New Roman" w:eastAsia="SimSun" w:hAnsi="Times New Roman"/>
          <w:bCs/>
          <w:sz w:val="24"/>
          <w:szCs w:val="24"/>
        </w:rPr>
        <w:t xml:space="preserve"> при хеморагии. При дифузионната МРТ (DWI) има ламинарни промени поради вазогенен, цитотоксичен едем, централни хеморагии и некроза, а при магнитно-резонансната спектроскопия лактатът е увеличен. Описани са и хиперинтензни на Т</w:t>
      </w:r>
      <w:r w:rsidRPr="00AE47C6">
        <w:rPr>
          <w:rFonts w:ascii="Times New Roman" w:eastAsia="SimSun" w:hAnsi="Times New Roman"/>
          <w:bCs/>
          <w:sz w:val="24"/>
          <w:szCs w:val="24"/>
          <w:vertAlign w:val="subscript"/>
        </w:rPr>
        <w:t>2</w:t>
      </w:r>
      <w:r w:rsidRPr="00AE47C6">
        <w:rPr>
          <w:rFonts w:ascii="Times New Roman" w:eastAsia="SimSun" w:hAnsi="Times New Roman"/>
          <w:bCs/>
          <w:sz w:val="24"/>
          <w:szCs w:val="24"/>
        </w:rPr>
        <w:t xml:space="preserve"> лезии в задното краче на вътрешната капсула (100%), лентикуларното ядро, перивентрикулното бяло вещество (68%), в продълговатия мозък (71%), pons и мезенцефалона (73%). Остатъчните промени са мозъчна атрофия, малки таламични кисти или калцификати. </w:t>
      </w:r>
    </w:p>
    <w:p w14:paraId="38FB3D5B" w14:textId="77777777" w:rsidR="00BE0B19" w:rsidRPr="00AE47C6" w:rsidRDefault="00BE0B19" w:rsidP="00BE0B19">
      <w:pP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i/>
          <w:sz w:val="24"/>
          <w:szCs w:val="24"/>
        </w:rPr>
        <w:t>Лабораторни данни</w:t>
      </w:r>
      <w:r w:rsidRPr="00AE47C6">
        <w:rPr>
          <w:rFonts w:ascii="Times New Roman" w:eastAsia="SimSun" w:hAnsi="Times New Roman"/>
          <w:sz w:val="24"/>
          <w:szCs w:val="24"/>
        </w:rPr>
        <w:t xml:space="preserve">: </w:t>
      </w:r>
      <w:r w:rsidRPr="00AE47C6">
        <w:rPr>
          <w:rFonts w:ascii="Times New Roman" w:eastAsia="SimSun" w:hAnsi="Times New Roman"/>
          <w:bCs/>
          <w:sz w:val="24"/>
          <w:szCs w:val="24"/>
        </w:rPr>
        <w:t xml:space="preserve">Увеличени са СУЕ (при 42%), CRP (76%), серумните трансаминази, лактатдехидрогеназа (87%), креатинкиназа (48%), урея (90%), креатинин (16%), амоняк (6%) и билирубин (3%). Установяват се метаболитна ацидоза (88%), повишен кръвен лактат (19%) и пируват (38%). При тежките случаи се открива тромбоцитопения (в 50%), удължено протромбиново или парциално тромбопластиново време (38%), намален фибриноген (54%) и увеличени ФДП (57%), но не до степен на ДИК синдром. Биохимичните отклонения прогресират през първите три дни, а пълно нормализиране настъпва за 3 до 5 седмици. </w:t>
      </w:r>
    </w:p>
    <w:p w14:paraId="196DA680" w14:textId="77777777" w:rsidR="00BE0B19" w:rsidRPr="00AE47C6" w:rsidRDefault="00BE0B19" w:rsidP="00BE0B19">
      <w:pP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i/>
          <w:sz w:val="24"/>
          <w:szCs w:val="24"/>
        </w:rPr>
        <w:t xml:space="preserve">Ликворът </w:t>
      </w:r>
      <w:r w:rsidRPr="00AE47C6">
        <w:rPr>
          <w:rFonts w:ascii="Times New Roman" w:eastAsia="SimSun" w:hAnsi="Times New Roman"/>
          <w:sz w:val="24"/>
          <w:szCs w:val="24"/>
        </w:rPr>
        <w:t>е с хиперпротеинорахия (78%) и увеличен миелин-базичен протеин (MBP) - 83%, без плеоцитоза, с възможна ксантохромия, а лактат и пируват са нормални.</w:t>
      </w:r>
    </w:p>
    <w:p w14:paraId="1E993932"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ЕЕГ </w:t>
      </w:r>
      <w:r w:rsidRPr="00AE47C6">
        <w:rPr>
          <w:rFonts w:ascii="Times New Roman" w:eastAsia="SimSun" w:hAnsi="Times New Roman"/>
          <w:sz w:val="24"/>
          <w:szCs w:val="24"/>
        </w:rPr>
        <w:t xml:space="preserve">показва дифузна бавновълнова активност 1-6Hz в острия стадий, а пароксизмалната активност зачестява след седмици. </w:t>
      </w:r>
      <w:r w:rsidRPr="00AE47C6">
        <w:rPr>
          <w:rFonts w:ascii="Times New Roman" w:eastAsia="SimSun" w:hAnsi="Times New Roman"/>
          <w:i/>
          <w:sz w:val="24"/>
          <w:szCs w:val="24"/>
        </w:rPr>
        <w:t>Слуховите евокирани потенциали</w:t>
      </w:r>
      <w:r w:rsidRPr="00AE47C6">
        <w:rPr>
          <w:rFonts w:ascii="Times New Roman" w:eastAsia="SimSun" w:hAnsi="Times New Roman"/>
          <w:sz w:val="24"/>
          <w:szCs w:val="24"/>
        </w:rPr>
        <w:t xml:space="preserve"> са потиснати или липсващи в 86%.</w:t>
      </w:r>
    </w:p>
    <w:p w14:paraId="7733EB95"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Диагностичните критерии </w:t>
      </w:r>
      <w:r w:rsidRPr="00AE47C6">
        <w:rPr>
          <w:rFonts w:ascii="Times New Roman" w:eastAsia="SimSun" w:hAnsi="Times New Roman"/>
          <w:bCs/>
          <w:sz w:val="24"/>
          <w:szCs w:val="24"/>
        </w:rPr>
        <w:t>включват</w:t>
      </w:r>
      <w:r w:rsidRPr="00AE47C6">
        <w:rPr>
          <w:rFonts w:ascii="Times New Roman" w:eastAsia="SimSun" w:hAnsi="Times New Roman"/>
          <w:sz w:val="24"/>
          <w:szCs w:val="24"/>
        </w:rPr>
        <w:t xml:space="preserve">: </w:t>
      </w:r>
    </w:p>
    <w:p w14:paraId="1DE1AAB8"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1. Остра енцефалопатия 1-3 дни след началото на фебрилно заболяване, задължителен критерий е кома, подкрепящ критерий – гърчове;</w:t>
      </w:r>
    </w:p>
    <w:p w14:paraId="755F046C"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2. Симетрични мултифокални лезии при образните изследвания със задължителна локализация – в двата таламуса и подкрепяща локализация – в перивентрикулното бяло вещество, capsula interna, putamen, мозъчен ствол (мезенцефален тегментум), продълговатия мозък;</w:t>
      </w:r>
    </w:p>
    <w:p w14:paraId="59398A2F"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3. Липса на ликворна плеоцитоза, често има хиперпротеинорахия;</w:t>
      </w:r>
    </w:p>
    <w:p w14:paraId="0F771D18"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4. Увеличени серумни трансаминази в различна степен, нормален амоняк в серум; </w:t>
      </w:r>
    </w:p>
    <w:p w14:paraId="67A3EA66"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5. Изключване на други заболявания – инфекциозни, метаболитни, токсични, автоимунни.</w:t>
      </w:r>
    </w:p>
    <w:p w14:paraId="16642C3D"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i/>
          <w:sz w:val="24"/>
          <w:szCs w:val="24"/>
        </w:rPr>
      </w:pPr>
      <w:r w:rsidRPr="00AE47C6">
        <w:rPr>
          <w:rFonts w:ascii="Times New Roman" w:eastAsia="SimSun" w:hAnsi="Times New Roman"/>
          <w:i/>
          <w:sz w:val="24"/>
          <w:szCs w:val="24"/>
        </w:rPr>
        <w:t xml:space="preserve">Диференциалната диагноза най-често включва: </w:t>
      </w:r>
    </w:p>
    <w:p w14:paraId="1C01EA31" w14:textId="77777777" w:rsidR="00BE0B19" w:rsidRPr="00AE47C6" w:rsidRDefault="00BE0B19" w:rsidP="00BE0B19">
      <w:pPr>
        <w:tabs>
          <w:tab w:val="num" w:pos="720"/>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 xml:space="preserve">- други ОЕАВИ: </w:t>
      </w:r>
      <w:r w:rsidRPr="00AE47C6">
        <w:rPr>
          <w:rFonts w:ascii="Times New Roman" w:eastAsia="SimSun" w:hAnsi="Times New Roman"/>
          <w:bCs/>
          <w:i/>
          <w:sz w:val="24"/>
          <w:szCs w:val="24"/>
        </w:rPr>
        <w:t xml:space="preserve">Синдром на Reye: </w:t>
      </w:r>
      <w:r w:rsidRPr="00AE47C6">
        <w:rPr>
          <w:rFonts w:ascii="Times New Roman" w:eastAsia="SimSun" w:hAnsi="Times New Roman"/>
          <w:sz w:val="24"/>
          <w:szCs w:val="24"/>
        </w:rPr>
        <w:t xml:space="preserve">При ANE липсва хиперамониемия и хипогликемия, чести са хиперпротеинорахията и диарията, а при Reye синдром липсват симетричните мозъчни лезии, които се появяват рано по време на комата при ANE; </w:t>
      </w:r>
      <w:r w:rsidRPr="00AE47C6">
        <w:rPr>
          <w:rFonts w:ascii="Times New Roman" w:eastAsia="SimSun" w:hAnsi="Times New Roman"/>
          <w:i/>
          <w:sz w:val="24"/>
          <w:szCs w:val="24"/>
        </w:rPr>
        <w:t>Хеморагичен шок-енцефалопатия синдром (HSES</w:t>
      </w:r>
      <w:r w:rsidRPr="00AE47C6">
        <w:rPr>
          <w:rFonts w:ascii="Times New Roman" w:eastAsia="SimSun" w:hAnsi="Times New Roman"/>
          <w:b/>
          <w:sz w:val="24"/>
          <w:szCs w:val="24"/>
        </w:rPr>
        <w:t>)</w:t>
      </w:r>
      <w:r w:rsidRPr="00AE47C6">
        <w:rPr>
          <w:rFonts w:ascii="Times New Roman" w:eastAsia="SimSun" w:hAnsi="Times New Roman"/>
          <w:sz w:val="24"/>
          <w:szCs w:val="24"/>
        </w:rPr>
        <w:t xml:space="preserve"> протича също с кома, но с тежко мултиорганно увреждане. На КТ или МРТ се открива мозъчен оток и множество несиметрични хеморагични и нехеморагични инфаркти в мозъка.</w:t>
      </w:r>
    </w:p>
    <w:p w14:paraId="10821EF6" w14:textId="77777777" w:rsidR="00BE0B19" w:rsidRPr="00AE47C6" w:rsidRDefault="00BE0B19" w:rsidP="00BE0B19">
      <w:pPr>
        <w:tabs>
          <w:tab w:val="left" w:pos="900"/>
        </w:tabs>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sz w:val="24"/>
          <w:szCs w:val="24"/>
        </w:rPr>
        <w:t xml:space="preserve">- </w:t>
      </w:r>
      <w:r w:rsidRPr="00AE47C6">
        <w:rPr>
          <w:rFonts w:ascii="Times New Roman" w:eastAsia="SimSun" w:hAnsi="Times New Roman"/>
          <w:b/>
          <w:bCs/>
          <w:i/>
          <w:sz w:val="24"/>
          <w:szCs w:val="24"/>
        </w:rPr>
        <w:t>Острият дисеминиран енцефаломиелит (OДЕМ)</w:t>
      </w:r>
      <w:r w:rsidRPr="00AE47C6">
        <w:rPr>
          <w:rFonts w:ascii="Times New Roman" w:eastAsia="SimSun" w:hAnsi="Times New Roman"/>
          <w:bCs/>
          <w:sz w:val="24"/>
          <w:szCs w:val="24"/>
        </w:rPr>
        <w:t xml:space="preserve"> се характеризира с фокален неврологичен дефицит, има ликворна плеоцитоза, а в МРТ лезиите са асиметрични.</w:t>
      </w:r>
    </w:p>
    <w:p w14:paraId="6AEA8FF1" w14:textId="77777777" w:rsidR="00BE0B19" w:rsidRPr="00AE47C6" w:rsidRDefault="00BE0B19" w:rsidP="00BE0B19">
      <w:pPr>
        <w:tabs>
          <w:tab w:val="left" w:pos="900"/>
        </w:tabs>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sz w:val="24"/>
          <w:szCs w:val="24"/>
        </w:rPr>
        <w:t xml:space="preserve">- </w:t>
      </w:r>
      <w:r w:rsidRPr="00AE47C6">
        <w:rPr>
          <w:rFonts w:ascii="Times New Roman" w:eastAsia="SimSun" w:hAnsi="Times New Roman"/>
          <w:b/>
          <w:i/>
          <w:sz w:val="24"/>
          <w:szCs w:val="24"/>
        </w:rPr>
        <w:t>Острият хеморагичен левкоенцефалит</w:t>
      </w:r>
      <w:r w:rsidRPr="00AE47C6">
        <w:rPr>
          <w:rFonts w:ascii="Times New Roman" w:eastAsia="SimSun" w:hAnsi="Times New Roman"/>
          <w:sz w:val="24"/>
          <w:szCs w:val="24"/>
        </w:rPr>
        <w:t xml:space="preserve"> е с много тежко протичане, фокална неврологична симптоматика, гърчове и асиметрични мозъчни лезии поради съдова некроза.</w:t>
      </w:r>
    </w:p>
    <w:p w14:paraId="43A102D1"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sz w:val="24"/>
          <w:szCs w:val="24"/>
        </w:rPr>
        <w:t xml:space="preserve">- </w:t>
      </w:r>
      <w:r w:rsidRPr="00AE47C6">
        <w:rPr>
          <w:rFonts w:ascii="Times New Roman" w:eastAsia="SimSun" w:hAnsi="Times New Roman"/>
          <w:b/>
          <w:i/>
          <w:sz w:val="24"/>
          <w:szCs w:val="24"/>
        </w:rPr>
        <w:t>Венозна тромбоза на vv. internаe, v. magna Galleni или sinus rectus</w:t>
      </w:r>
      <w:r w:rsidRPr="00AE47C6">
        <w:rPr>
          <w:rFonts w:ascii="Times New Roman" w:eastAsia="SimSun" w:hAnsi="Times New Roman"/>
          <w:sz w:val="24"/>
          <w:szCs w:val="24"/>
        </w:rPr>
        <w:t xml:space="preserve"> протича с подобни образни и клинични прояви, диагностицира се с венография при КТ или МРТ.</w:t>
      </w:r>
    </w:p>
    <w:p w14:paraId="12F5E5EB" w14:textId="77777777" w:rsidR="00BE0B19" w:rsidRPr="00AE47C6" w:rsidRDefault="00BE0B19" w:rsidP="00BE0B19">
      <w:pPr>
        <w:tabs>
          <w:tab w:val="left" w:pos="900"/>
        </w:tabs>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sz w:val="24"/>
          <w:szCs w:val="24"/>
        </w:rPr>
        <w:t xml:space="preserve">- </w:t>
      </w:r>
      <w:r w:rsidRPr="00AE47C6">
        <w:rPr>
          <w:rFonts w:ascii="Times New Roman" w:eastAsia="SimSun" w:hAnsi="Times New Roman"/>
          <w:b/>
          <w:bCs/>
          <w:i/>
          <w:sz w:val="24"/>
          <w:szCs w:val="24"/>
        </w:rPr>
        <w:t xml:space="preserve">Други заболявания с подобна на ANE клинична картина </w:t>
      </w:r>
      <w:r w:rsidRPr="00AE47C6">
        <w:rPr>
          <w:rFonts w:ascii="Times New Roman" w:eastAsia="SimSun" w:hAnsi="Times New Roman"/>
          <w:bCs/>
          <w:i/>
          <w:sz w:val="24"/>
          <w:szCs w:val="24"/>
        </w:rPr>
        <w:t>са</w:t>
      </w:r>
      <w:r w:rsidRPr="00AE47C6">
        <w:rPr>
          <w:rFonts w:ascii="Times New Roman" w:eastAsia="SimSun" w:hAnsi="Times New Roman"/>
          <w:bCs/>
          <w:sz w:val="24"/>
          <w:szCs w:val="24"/>
        </w:rPr>
        <w:t>: тежка бактериална или вирусна инфекция, фулминантен хепатит, токсичен шок, интоксикация, хемолитично-уремичен с-м, топлинен удар</w:t>
      </w:r>
      <w:r w:rsidRPr="00AE47C6">
        <w:rPr>
          <w:rFonts w:ascii="Times New Roman" w:eastAsia="SimSun" w:hAnsi="Times New Roman"/>
          <w:sz w:val="24"/>
          <w:szCs w:val="24"/>
        </w:rPr>
        <w:t>.</w:t>
      </w:r>
    </w:p>
    <w:p w14:paraId="7E82219D"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Cs/>
          <w:i/>
          <w:sz w:val="24"/>
          <w:szCs w:val="24"/>
        </w:rPr>
        <w:t xml:space="preserve">- </w:t>
      </w:r>
      <w:r w:rsidRPr="00AE47C6">
        <w:rPr>
          <w:rFonts w:ascii="Times New Roman" w:eastAsia="SimSun" w:hAnsi="Times New Roman"/>
          <w:b/>
          <w:bCs/>
          <w:i/>
          <w:sz w:val="24"/>
          <w:szCs w:val="24"/>
        </w:rPr>
        <w:t xml:space="preserve">Други заболявания с подобна на ANE с подобна образна находка </w:t>
      </w:r>
      <w:r w:rsidRPr="00AE47C6">
        <w:rPr>
          <w:rFonts w:ascii="Times New Roman" w:eastAsia="SimSun" w:hAnsi="Times New Roman"/>
          <w:bCs/>
          <w:sz w:val="24"/>
          <w:szCs w:val="24"/>
        </w:rPr>
        <w:t xml:space="preserve">са: </w:t>
      </w:r>
      <w:r w:rsidRPr="00AE47C6">
        <w:rPr>
          <w:rFonts w:ascii="Times New Roman" w:eastAsia="SimSun" w:hAnsi="Times New Roman"/>
          <w:bCs/>
          <w:iCs/>
          <w:sz w:val="24"/>
          <w:szCs w:val="24"/>
        </w:rPr>
        <w:t xml:space="preserve">Leigh синдром и други митохондриални болести, глутарова ацидемия, метилмалонова ацидемия, инфантилна стриарна некроза, енцефалопатия на Wernicke, въглеоксидно отравяне, мозъчни </w:t>
      </w:r>
      <w:r w:rsidRPr="00AE47C6">
        <w:rPr>
          <w:rFonts w:ascii="Times New Roman" w:eastAsia="SimSun" w:hAnsi="Times New Roman"/>
          <w:bCs/>
          <w:sz w:val="24"/>
          <w:szCs w:val="24"/>
        </w:rPr>
        <w:t>васкулити, артериални или венозни инфаркти, аноксична енцефалопатия, краниална травма</w:t>
      </w:r>
      <w:r w:rsidRPr="00AE47C6">
        <w:rPr>
          <w:rFonts w:ascii="Times New Roman" w:eastAsia="SimSun" w:hAnsi="Times New Roman"/>
          <w:sz w:val="24"/>
          <w:szCs w:val="24"/>
        </w:rPr>
        <w:t xml:space="preserve">. </w:t>
      </w:r>
    </w:p>
    <w:p w14:paraId="61507B8B"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Прогнозата </w:t>
      </w:r>
      <w:r w:rsidRPr="00AE47C6">
        <w:rPr>
          <w:rFonts w:ascii="Times New Roman" w:eastAsia="SimSun" w:hAnsi="Times New Roman"/>
          <w:sz w:val="24"/>
          <w:szCs w:val="24"/>
        </w:rPr>
        <w:t>при ANE е лоша. Пълно възстановяване има в 12,8%, леки до умерени последици – 23,0%, тежки последици – 33,3%, и смърт – 28,2%. Описани са остатъчни спастична тетраплегия с ригидност (63%), тежко умствено изоставане (63%), епилепсия (24%), хемипареза (13%), дизартрия или скандирана реч, интенционен тремор и/или атаксия (13%). Стволовите лезии са с лоша прогноза.</w:t>
      </w:r>
    </w:p>
    <w:p w14:paraId="67A078E8"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15" w:name="_Toc155651756"/>
      <w:bookmarkStart w:id="116" w:name="_Toc164075888"/>
      <w:r w:rsidRPr="00AE47C6">
        <w:rPr>
          <w:rFonts w:ascii="Times New Roman" w:eastAsia="SimSun" w:hAnsi="Times New Roman"/>
          <w:b/>
          <w:sz w:val="24"/>
          <w:szCs w:val="20"/>
          <w:lang w:eastAsia="ja-JP"/>
        </w:rPr>
        <w:t>4.4.2. Синдром „хеморагичен шок – енцефалопатия” (HSES)</w:t>
      </w:r>
      <w:bookmarkEnd w:id="115"/>
      <w:bookmarkEnd w:id="116"/>
    </w:p>
    <w:p w14:paraId="124B4E53" w14:textId="77777777" w:rsidR="00BE0B19" w:rsidRPr="00AE47C6" w:rsidRDefault="00BE0B19" w:rsidP="00BE0B19">
      <w:pP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 xml:space="preserve">Синдромът „хеморагичен шок–енцефалопатия” (HSES) </w:t>
      </w:r>
      <w:r w:rsidRPr="00AE47C6">
        <w:rPr>
          <w:rFonts w:ascii="Times New Roman" w:eastAsia="SimSun" w:hAnsi="Times New Roman"/>
          <w:bCs/>
          <w:sz w:val="24"/>
          <w:szCs w:val="24"/>
        </w:rPr>
        <w:t xml:space="preserve">е 2,0% от всички ОЕАВИ между 0 и 8 г. (средна възраст - 2,9г.). Етиологично е свързан с грип, HHV-6, ротавирус, а патогенетично с "цитокинова буря”. HSES протича много тежко, често фатално, с изразена хеморагична диатеза вследствие ДИК синдром, хиповолемичен шок и мултиорганна дисфункция. Възможно е припокриване с Reye-подобен с-м. КТ и МРТ установяват оток на мозъчната кора или целия мозък, възможни са и асиметрични интракраниални хеморагии и хеморагични и нехеморагични мозъчни инфаркти. </w:t>
      </w:r>
    </w:p>
    <w:p w14:paraId="6E088B29"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00"/>
        </w:tabs>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sz w:val="24"/>
          <w:szCs w:val="24"/>
        </w:rPr>
        <w:t xml:space="preserve">Диагностичните критерии за синдрома „хеморагичен шок–енцефалопатия” (HSES): </w:t>
      </w:r>
    </w:p>
    <w:p w14:paraId="58CF88E6"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1. Начало в кърмаческа и ранна детска възраст (най-често 2–10 м.). </w:t>
      </w:r>
    </w:p>
    <w:p w14:paraId="2CC3B3B3"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2. Остра енцефалопатия (апнея, гърчове, кома). </w:t>
      </w:r>
    </w:p>
    <w:p w14:paraId="6AD1B331"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3. Фебрилитет (ректална температура поне 39</w:t>
      </w:r>
      <w:r w:rsidRPr="00AE47C6">
        <w:rPr>
          <w:rFonts w:ascii="Times New Roman" w:eastAsia="SimSun" w:hAnsi="Times New Roman"/>
          <w:bCs/>
          <w:sz w:val="24"/>
          <w:szCs w:val="24"/>
          <w:vertAlign w:val="superscript"/>
        </w:rPr>
        <w:t>о</w:t>
      </w:r>
      <w:r w:rsidRPr="00AE47C6">
        <w:rPr>
          <w:rFonts w:ascii="Times New Roman" w:eastAsia="SimSun" w:hAnsi="Times New Roman"/>
          <w:bCs/>
          <w:sz w:val="24"/>
          <w:szCs w:val="24"/>
        </w:rPr>
        <w:t xml:space="preserve">C). </w:t>
      </w:r>
    </w:p>
    <w:p w14:paraId="09D43E7D"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4. Шок (АН &lt;50 mmHg). </w:t>
      </w:r>
    </w:p>
    <w:p w14:paraId="2E6DF33D"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5. ДИК синдром (кървене от кожа, мукози, гастроинтестинален тракт, тромбоцитопения &lt;100.10</w:t>
      </w:r>
      <w:r w:rsidRPr="00AE47C6">
        <w:rPr>
          <w:rFonts w:ascii="Times New Roman" w:eastAsia="SimSun" w:hAnsi="Times New Roman"/>
          <w:bCs/>
          <w:sz w:val="24"/>
          <w:szCs w:val="24"/>
          <w:vertAlign w:val="superscript"/>
        </w:rPr>
        <w:t>9</w:t>
      </w:r>
      <w:r w:rsidRPr="00AE47C6">
        <w:rPr>
          <w:rFonts w:ascii="Times New Roman" w:eastAsia="SimSun" w:hAnsi="Times New Roman"/>
          <w:bCs/>
          <w:sz w:val="24"/>
          <w:szCs w:val="24"/>
        </w:rPr>
        <w:t>/l), удължено протромбиново време, удължено активирано парциално тромбопластиново време, намален фибриноген, наличие на фибрин-деградационни продукти).</w:t>
      </w:r>
    </w:p>
    <w:p w14:paraId="4B193CFB"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6. Хепатална дисфункция (над трикратно увеличени трансаминази). </w:t>
      </w:r>
    </w:p>
    <w:p w14:paraId="22455083"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7. Нормален серумен амоняк. </w:t>
      </w:r>
    </w:p>
    <w:p w14:paraId="582E7792"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8. Бъбречна дисфункция (азотемия, хипернатриемия, метаболитна ацидоза). </w:t>
      </w:r>
    </w:p>
    <w:p w14:paraId="09AE0EE8"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9. Изключване на подобни състояния (напр. септичен шок, с-м на токсичен шок, Reye синдром, хемолитико-уремичен синдром)</w:t>
      </w:r>
      <w:r w:rsidRPr="00AE47C6">
        <w:rPr>
          <w:rFonts w:ascii="Times New Roman" w:eastAsia="SimSun" w:hAnsi="Times New Roman"/>
          <w:sz w:val="24"/>
          <w:szCs w:val="24"/>
        </w:rPr>
        <w:t>.</w:t>
      </w:r>
    </w:p>
    <w:p w14:paraId="757E9F36"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Ранната диагноза</w:t>
      </w:r>
      <w:r w:rsidRPr="00AE47C6">
        <w:rPr>
          <w:rFonts w:ascii="Times New Roman" w:eastAsia="SimSun" w:hAnsi="Times New Roman"/>
          <w:sz w:val="24"/>
          <w:szCs w:val="24"/>
        </w:rPr>
        <w:t xml:space="preserve"> се основава на увеличените чернодробни ензими, креатинкиназа и рефрактерните артериална хипотензия и метаболитна ацидоза, некетотична хипогликемия. </w:t>
      </w:r>
    </w:p>
    <w:p w14:paraId="15AEDF05"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Няма ефикасно лечение. Цели се намаляване на мозъчния оток с осмотични диуретици и поддържане на адекватна циркулация с интравенозни вливания и вазоконстриктори. </w:t>
      </w:r>
    </w:p>
    <w:p w14:paraId="70AE74CA"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Прогнозата </w:t>
      </w:r>
      <w:r w:rsidRPr="00AE47C6">
        <w:rPr>
          <w:rFonts w:ascii="Times New Roman" w:eastAsia="SimSun" w:hAnsi="Times New Roman"/>
          <w:sz w:val="24"/>
          <w:szCs w:val="24"/>
        </w:rPr>
        <w:t>е лоша. Смъртността е между 35 и 82%, а тежки неврологични последици се установяват при 20-30%, пълно възстановяване - само при 10%.</w:t>
      </w:r>
    </w:p>
    <w:p w14:paraId="6FC36F80"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17" w:name="_Toc155651757"/>
      <w:bookmarkStart w:id="118" w:name="_Toc164075889"/>
      <w:r w:rsidRPr="00AE47C6">
        <w:rPr>
          <w:rFonts w:ascii="Times New Roman" w:eastAsia="SimSun" w:hAnsi="Times New Roman"/>
          <w:b/>
          <w:sz w:val="24"/>
          <w:szCs w:val="20"/>
          <w:lang w:eastAsia="ja-JP"/>
        </w:rPr>
        <w:t>4.4.3. ОЕАВИ вследствие метаболитно нарушение:</w:t>
      </w:r>
      <w:bookmarkEnd w:id="117"/>
      <w:bookmarkEnd w:id="118"/>
    </w:p>
    <w:p w14:paraId="37998719"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4.4.3.1. Класически синдром на Reye (RS)</w:t>
      </w:r>
    </w:p>
    <w:p w14:paraId="17E09ED4" w14:textId="77777777" w:rsidR="00BE0B19" w:rsidRPr="00AE47C6" w:rsidRDefault="00BE0B19" w:rsidP="00BE0B19">
      <w:pPr>
        <w:tabs>
          <w:tab w:val="left" w:pos="900"/>
        </w:tabs>
        <w:spacing w:after="0" w:line="360" w:lineRule="auto"/>
        <w:ind w:firstLine="709"/>
        <w:jc w:val="both"/>
        <w:rPr>
          <w:rFonts w:ascii="Times New Roman" w:eastAsia="SimSun" w:hAnsi="Times New Roman"/>
          <w:b/>
          <w:bCs/>
          <w:i/>
          <w:iCs/>
          <w:sz w:val="24"/>
          <w:szCs w:val="24"/>
        </w:rPr>
      </w:pPr>
      <w:r w:rsidRPr="00AE47C6">
        <w:rPr>
          <w:rFonts w:ascii="Times New Roman" w:eastAsia="SimSun" w:hAnsi="Times New Roman"/>
          <w:sz w:val="24"/>
          <w:szCs w:val="24"/>
        </w:rPr>
        <w:t>Това</w:t>
      </w:r>
      <w:r w:rsidRPr="00AE47C6">
        <w:rPr>
          <w:rFonts w:ascii="Times New Roman" w:eastAsia="SimSun" w:hAnsi="Times New Roman"/>
          <w:b/>
          <w:bCs/>
          <w:i/>
          <w:iCs/>
          <w:sz w:val="24"/>
          <w:szCs w:val="24"/>
        </w:rPr>
        <w:t xml:space="preserve"> </w:t>
      </w:r>
      <w:r w:rsidRPr="00AE47C6">
        <w:rPr>
          <w:rFonts w:ascii="Times New Roman" w:eastAsia="SimSun" w:hAnsi="Times New Roman"/>
          <w:bCs/>
          <w:iCs/>
          <w:sz w:val="24"/>
          <w:szCs w:val="24"/>
        </w:rPr>
        <w:t>е преходно нарушение на множество митохондриални функции, провокирано от вирусна инфекция, включително варицела или салицилати, най-често между 5 и 10 годишна възраст. Специфични симптоми са хиперамониемия, хипогликемия, микровезикуларна мастна метаморфоза на хепатоцитите и деформация на митохондриите. КТ и МРТ установяват дифузен мозъчен оток.</w:t>
      </w:r>
    </w:p>
    <w:p w14:paraId="1F39EF34"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00"/>
        </w:tabs>
        <w:spacing w:after="0" w:line="360" w:lineRule="auto"/>
        <w:ind w:firstLine="709"/>
        <w:jc w:val="both"/>
        <w:rPr>
          <w:rFonts w:ascii="Times New Roman" w:eastAsia="SimSun" w:hAnsi="Times New Roman"/>
          <w:b/>
          <w:bCs/>
          <w:iCs/>
          <w:sz w:val="24"/>
          <w:szCs w:val="24"/>
        </w:rPr>
      </w:pPr>
      <w:r w:rsidRPr="00AE47C6">
        <w:rPr>
          <w:rFonts w:ascii="Times New Roman" w:eastAsia="SimSun" w:hAnsi="Times New Roman"/>
          <w:b/>
          <w:bCs/>
          <w:i/>
          <w:iCs/>
          <w:sz w:val="24"/>
          <w:szCs w:val="24"/>
        </w:rPr>
        <w:t>Диагностични критерии за Класически синдром на Reye:</w:t>
      </w:r>
    </w:p>
    <w:p w14:paraId="0C9A5C9C"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00"/>
        </w:tabs>
        <w:spacing w:after="0" w:line="360" w:lineRule="auto"/>
        <w:ind w:firstLine="709"/>
        <w:jc w:val="both"/>
        <w:rPr>
          <w:rFonts w:ascii="Times New Roman" w:eastAsia="SimSun" w:hAnsi="Times New Roman"/>
          <w:bCs/>
          <w:iCs/>
          <w:sz w:val="24"/>
          <w:szCs w:val="24"/>
        </w:rPr>
      </w:pPr>
      <w:r w:rsidRPr="00AE47C6">
        <w:rPr>
          <w:rFonts w:ascii="Times New Roman" w:eastAsia="SimSun" w:hAnsi="Times New Roman"/>
          <w:bCs/>
          <w:iCs/>
          <w:sz w:val="24"/>
          <w:szCs w:val="24"/>
        </w:rPr>
        <w:t>1. Остра невъзпалителна енцефалопатия, документирана клинично чрез промяна в съзнанието и, при наличност, с ликвор съдържащ левкоцита под 8.10</w:t>
      </w:r>
      <w:r w:rsidRPr="00AE47C6">
        <w:rPr>
          <w:rFonts w:ascii="Times New Roman" w:eastAsia="SimSun" w:hAnsi="Times New Roman"/>
          <w:bCs/>
          <w:iCs/>
          <w:sz w:val="24"/>
          <w:szCs w:val="24"/>
          <w:vertAlign w:val="superscript"/>
        </w:rPr>
        <w:t>6</w:t>
      </w:r>
      <w:r w:rsidRPr="00AE47C6">
        <w:rPr>
          <w:rFonts w:ascii="Times New Roman" w:eastAsia="SimSun" w:hAnsi="Times New Roman"/>
          <w:bCs/>
          <w:iCs/>
          <w:sz w:val="24"/>
          <w:szCs w:val="24"/>
        </w:rPr>
        <w:t xml:space="preserve">/L , или чрез хистологични данни за мозъчен оток без периваскуларно или менингеално възпаление. </w:t>
      </w:r>
    </w:p>
    <w:p w14:paraId="18DF816D"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00"/>
        </w:tabs>
        <w:spacing w:after="0" w:line="360" w:lineRule="auto"/>
        <w:ind w:firstLine="709"/>
        <w:jc w:val="both"/>
        <w:rPr>
          <w:rFonts w:ascii="Times New Roman" w:eastAsia="SimSun" w:hAnsi="Times New Roman"/>
          <w:bCs/>
          <w:iCs/>
          <w:sz w:val="24"/>
          <w:szCs w:val="24"/>
        </w:rPr>
      </w:pPr>
      <w:r w:rsidRPr="00AE47C6">
        <w:rPr>
          <w:rFonts w:ascii="Times New Roman" w:eastAsia="SimSun" w:hAnsi="Times New Roman"/>
          <w:bCs/>
          <w:iCs/>
          <w:sz w:val="24"/>
          <w:szCs w:val="24"/>
        </w:rPr>
        <w:t xml:space="preserve">2. Хепатопатия, документирана хистологично като диагностична за Reye с-м, или поне трикратно повишение на аспартат аминотрансфераза или аланин аминотрансфераза или амоняк. </w:t>
      </w:r>
    </w:p>
    <w:p w14:paraId="5174E147"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00"/>
        </w:tabs>
        <w:spacing w:after="0" w:line="360" w:lineRule="auto"/>
        <w:ind w:firstLine="709"/>
        <w:jc w:val="both"/>
        <w:rPr>
          <w:rFonts w:ascii="Times New Roman" w:eastAsia="SimSun" w:hAnsi="Times New Roman"/>
          <w:bCs/>
          <w:iCs/>
          <w:sz w:val="24"/>
          <w:szCs w:val="24"/>
        </w:rPr>
      </w:pPr>
      <w:r w:rsidRPr="00AE47C6">
        <w:rPr>
          <w:rFonts w:ascii="Times New Roman" w:eastAsia="SimSun" w:hAnsi="Times New Roman"/>
          <w:bCs/>
          <w:iCs/>
          <w:sz w:val="24"/>
          <w:szCs w:val="24"/>
        </w:rPr>
        <w:t>3. Липса на по-добро обяснение на мозъчните и чернодробните симптоми.</w:t>
      </w:r>
    </w:p>
    <w:p w14:paraId="0BF340DB" w14:textId="77777777" w:rsidR="00BE0B19" w:rsidRPr="00AE47C6" w:rsidRDefault="00BE0B19" w:rsidP="00BE0B19">
      <w:pP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sz w:val="24"/>
          <w:szCs w:val="24"/>
        </w:rPr>
        <w:t xml:space="preserve">Съчетанието на енцефалопатия със стеатоза се среща освен при синдрома на Reye и Reye-подобни състояния и при ANE. При синдромите на </w:t>
      </w:r>
      <w:r w:rsidRPr="00AE47C6">
        <w:rPr>
          <w:rFonts w:ascii="Times New Roman" w:eastAsia="SimSun" w:hAnsi="Times New Roman"/>
          <w:bCs/>
          <w:sz w:val="24"/>
          <w:szCs w:val="24"/>
        </w:rPr>
        <w:t xml:space="preserve">Reye и на Leigh се открива хиперамониемия, хипогликемия и лактатна ацидоза и липсват симетрични таламични лезии за разлика от ANE. </w:t>
      </w:r>
    </w:p>
    <w:p w14:paraId="0E0BBFCB"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4.4.3.2. Reye-подобен синдром (RLS)</w:t>
      </w:r>
    </w:p>
    <w:p w14:paraId="73C984FE"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Cs/>
          <w:sz w:val="24"/>
          <w:szCs w:val="24"/>
        </w:rPr>
        <w:t xml:space="preserve">Reye-подобен синдром </w:t>
      </w:r>
      <w:r w:rsidRPr="00AE47C6">
        <w:rPr>
          <w:rFonts w:ascii="Times New Roman" w:eastAsia="SimSun" w:hAnsi="Times New Roman"/>
          <w:sz w:val="24"/>
          <w:szCs w:val="24"/>
        </w:rPr>
        <w:t xml:space="preserve">е недобре дефинирано заболяване с остра енцефалопатия и тежко чернодробно увреждане при „цитокинова буря”. Засяга възрастта между 1 и 5г. и се провокира от НСПВ. Установява се значително повишение на трансаминазите, но без биохимичните и хистологични характеристики на Reye синдром като хиперамониемия, хипогликемия, микровезикуларна мастна метаморфоза на хепатоцитите и деформация на митохондриите. КТ и МРТ установяват мозъчен оток, обхващащ мозъка или мозъчната кора. </w:t>
      </w:r>
    </w:p>
    <w:p w14:paraId="14FFF199"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4.4.3.3. Вродени метаболитни заболявания, провокирани или обострени от остра вирусна инфекция</w:t>
      </w:r>
    </w:p>
    <w:p w14:paraId="39E42EA8"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Вродени метаболитни заболявания</w:t>
      </w:r>
      <w:r w:rsidRPr="00AE47C6">
        <w:rPr>
          <w:rFonts w:ascii="Times New Roman" w:eastAsia="SimSun" w:hAnsi="Times New Roman"/>
          <w:sz w:val="24"/>
          <w:szCs w:val="24"/>
        </w:rPr>
        <w:t xml:space="preserve"> могат да се обострят бързо по време на инфекция и гладуване и да имитират ОЕАВИ. Такива метаболитни заболявания са нарушенията в транспорта на мастните киселини и бета-окислението, в метаболизма на органичните киселини, гликолизата и урейния цикъл. Суспектни данни за вродено метаболитно заболяване са фамилност, рецидивиращ характер, хипогликемия, хиперамониемия, лактатна ацидоза. При подозирано вродено метаболитно заболяване се замразяват кръв, урина и ликвор за бъдещи биохимични изследвания. КТ и МРТ най-често показват неспецифичен мозъчен оток или селективно засягане на дълбокото сиво вещество, включително на базалните ганглии, например при метилмалонова ацидемия и глутарова ацидурия І. </w:t>
      </w:r>
    </w:p>
    <w:p w14:paraId="01DEC617"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19" w:name="_Toc155651758"/>
      <w:bookmarkStart w:id="120" w:name="_Toc164075890"/>
      <w:r w:rsidRPr="00AE47C6">
        <w:rPr>
          <w:rFonts w:ascii="Times New Roman" w:eastAsia="SimSun" w:hAnsi="Times New Roman"/>
          <w:b/>
          <w:sz w:val="24"/>
          <w:szCs w:val="20"/>
          <w:lang w:eastAsia="ja-JP"/>
        </w:rPr>
        <w:t>4.4.4. Остри енцефалопатии вследствие ексцитотоксичност (ОЕАВИ с епилептични пристъпи като водещ синдром) с 2 подтипа</w:t>
      </w:r>
      <w:bookmarkEnd w:id="119"/>
      <w:bookmarkEnd w:id="120"/>
      <w:r w:rsidRPr="00AE47C6">
        <w:rPr>
          <w:rFonts w:ascii="Times New Roman" w:eastAsia="SimSun" w:hAnsi="Times New Roman"/>
          <w:b/>
          <w:sz w:val="24"/>
          <w:szCs w:val="20"/>
          <w:lang w:eastAsia="ja-JP"/>
        </w:rPr>
        <w:t xml:space="preserve"> </w:t>
      </w:r>
    </w:p>
    <w:p w14:paraId="5A6218C6" w14:textId="77777777" w:rsidR="00BE0B19" w:rsidRPr="00AE47C6" w:rsidRDefault="00BE0B19" w:rsidP="00BE0B19">
      <w:pP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 xml:space="preserve">Остри енцефалопатии вследствие ексцитотоксичност </w:t>
      </w:r>
      <w:r w:rsidRPr="00AE47C6">
        <w:rPr>
          <w:rFonts w:ascii="Times New Roman" w:eastAsia="SimSun" w:hAnsi="Times New Roman"/>
          <w:sz w:val="24"/>
          <w:szCs w:val="24"/>
        </w:rPr>
        <w:t>(</w:t>
      </w:r>
      <w:r w:rsidRPr="00AE47C6">
        <w:rPr>
          <w:rFonts w:ascii="Times New Roman" w:eastAsia="SimSun" w:hAnsi="Times New Roman"/>
          <w:bCs/>
          <w:sz w:val="24"/>
          <w:szCs w:val="24"/>
        </w:rPr>
        <w:t xml:space="preserve">известни са още като </w:t>
      </w:r>
      <w:r w:rsidRPr="00AE47C6">
        <w:rPr>
          <w:rFonts w:ascii="Times New Roman" w:eastAsia="SimSun" w:hAnsi="Times New Roman"/>
          <w:b/>
          <w:bCs/>
          <w:sz w:val="24"/>
          <w:szCs w:val="24"/>
        </w:rPr>
        <w:t xml:space="preserve">ОЕАВИ с епилептични пристъпи </w:t>
      </w:r>
      <w:r w:rsidRPr="00AE47C6">
        <w:rPr>
          <w:rFonts w:ascii="Times New Roman" w:eastAsia="SimSun" w:hAnsi="Times New Roman"/>
          <w:bCs/>
          <w:sz w:val="24"/>
          <w:szCs w:val="24"/>
        </w:rPr>
        <w:t xml:space="preserve">като водещ синдром или </w:t>
      </w:r>
      <w:r w:rsidRPr="00AE47C6">
        <w:rPr>
          <w:rFonts w:ascii="Times New Roman" w:eastAsia="SimSun" w:hAnsi="Times New Roman"/>
          <w:b/>
          <w:bCs/>
          <w:sz w:val="24"/>
          <w:szCs w:val="24"/>
        </w:rPr>
        <w:t>остра енцефалопатия с възпалително-медииран епилептичен статус</w:t>
      </w:r>
      <w:r w:rsidRPr="00AE47C6">
        <w:rPr>
          <w:rFonts w:ascii="Times New Roman" w:eastAsia="SimSun" w:hAnsi="Times New Roman"/>
          <w:sz w:val="24"/>
          <w:szCs w:val="24"/>
        </w:rPr>
        <w:t>)</w:t>
      </w:r>
      <w:r w:rsidRPr="00AE47C6">
        <w:rPr>
          <w:rFonts w:ascii="Times New Roman" w:eastAsia="SimSun" w:hAnsi="Times New Roman"/>
          <w:bCs/>
          <w:sz w:val="24"/>
          <w:szCs w:val="24"/>
        </w:rPr>
        <w:t xml:space="preserve"> са 2 подтипа - </w:t>
      </w:r>
      <w:r w:rsidRPr="00AE47C6">
        <w:rPr>
          <w:rFonts w:ascii="Times New Roman" w:eastAsia="SimSun" w:hAnsi="Times New Roman"/>
          <w:bCs/>
          <w:i/>
          <w:sz w:val="24"/>
          <w:szCs w:val="24"/>
        </w:rPr>
        <w:t xml:space="preserve">Остра енцефалопатия с двуфазни гърчове и късно намалена дифузия (АESD) </w:t>
      </w:r>
      <w:r w:rsidRPr="00AE47C6">
        <w:rPr>
          <w:rFonts w:ascii="Times New Roman" w:eastAsia="SimSun" w:hAnsi="Times New Roman"/>
          <w:bCs/>
          <w:sz w:val="24"/>
          <w:szCs w:val="24"/>
        </w:rPr>
        <w:t>и</w:t>
      </w:r>
      <w:r w:rsidRPr="00AE47C6">
        <w:rPr>
          <w:rFonts w:ascii="Times New Roman" w:eastAsia="SimSun" w:hAnsi="Times New Roman"/>
          <w:bCs/>
          <w:i/>
          <w:iCs/>
          <w:sz w:val="24"/>
          <w:szCs w:val="24"/>
        </w:rPr>
        <w:t xml:space="preserve"> Фебрилен инфекциозно-свързан епилептичен синдром (FIRES)</w:t>
      </w:r>
      <w:r w:rsidRPr="00AE47C6">
        <w:rPr>
          <w:rFonts w:ascii="Times New Roman" w:eastAsia="SimSun" w:hAnsi="Times New Roman"/>
          <w:bCs/>
          <w:sz w:val="24"/>
          <w:szCs w:val="24"/>
        </w:rPr>
        <w:t xml:space="preserve">. Започват като усложнен фебрилен гърч, с последващи специфични клинични и образни прояви и липсват доказателства за инфекциозен причинител или автоимунен процес. </w:t>
      </w:r>
    </w:p>
    <w:p w14:paraId="005D5B86"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 xml:space="preserve">4.4.4.1. Остра енцефалопатия с двуфазни гърчове и късно намалена дифузия (АESD) </w:t>
      </w:r>
    </w:p>
    <w:p w14:paraId="188CC3E7" w14:textId="77777777" w:rsidR="00BE0B19" w:rsidRPr="00AE47C6" w:rsidRDefault="00BE0B19" w:rsidP="00BE0B19">
      <w:pPr>
        <w:tabs>
          <w:tab w:val="left" w:pos="900"/>
        </w:tabs>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Cs/>
          <w:sz w:val="24"/>
          <w:szCs w:val="24"/>
        </w:rPr>
        <w:t>Известна е и като</w:t>
      </w:r>
      <w:r w:rsidRPr="00AE47C6">
        <w:rPr>
          <w:rFonts w:ascii="Times New Roman" w:eastAsia="SimSun" w:hAnsi="Times New Roman"/>
          <w:b/>
          <w:bCs/>
          <w:sz w:val="24"/>
          <w:szCs w:val="24"/>
        </w:rPr>
        <w:t xml:space="preserve"> „</w:t>
      </w:r>
      <w:r w:rsidRPr="00AE47C6">
        <w:rPr>
          <w:rFonts w:ascii="Times New Roman" w:eastAsia="SimSun" w:hAnsi="Times New Roman"/>
          <w:bCs/>
          <w:sz w:val="24"/>
          <w:szCs w:val="24"/>
        </w:rPr>
        <w:t xml:space="preserve">Остра енцефалопатия с фебрилен конвулсивен епилептичен статус” и „Енцефалопатия с бифазно клинично протичане”. </w:t>
      </w:r>
      <w:r w:rsidRPr="00AE47C6">
        <w:rPr>
          <w:rFonts w:ascii="Times New Roman" w:eastAsia="SimSun" w:hAnsi="Times New Roman"/>
          <w:sz w:val="24"/>
          <w:szCs w:val="24"/>
        </w:rPr>
        <w:t xml:space="preserve">АESD е най-честият синдром на ОЕАВИ през първите години (средна възраст -1,7 г.). Предшества се от инфекция с HHV-6 (38,2%), грип (9,5%), HHV-7 (1,8%), ротавирус и RSV (по 1,4%). Основен патогенетичен механизъм е ексцитотоксичност и апоптоза. </w:t>
      </w:r>
    </w:p>
    <w:p w14:paraId="6B442C70"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Клиничното протичане е характерно: Първият гърч е продължителен фебрилен с постиктална кома, последващо степенно подобрение, а през 4-ия или 5-ия ден над 50% от случаите имат серия от фебрилни или афебрилни гърчове (т.нар. „късни” гърчове), които често са парциални с вторична генерализация с постиктална кома. След възстановяване на съзнанието се проявява фокална корова симптоматика - адинамия, апатия, афазия, апраксия, хемипареза. КТ и МРТ са нормални в първите дни, а след късните гърчове се открива мозъчен оток, вкл. на подкоровото бяло вещество при DWI, а при SPECT - хиперперфузия. В подострия период (от 1 седмица до 1 месец от началото) КТ и МРТ показват прогресираща атрофия, а SPECT – прогресираща хипоперфузия. Във възстановителния период (от 1 мес. до 1 год.) атрофията и хипоперфузията постепенно изчезват или персистират при тежки случаи. </w:t>
      </w:r>
    </w:p>
    <w:p w14:paraId="3169C3C0"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00"/>
        </w:tabs>
        <w:spacing w:after="0" w:line="360" w:lineRule="auto"/>
        <w:ind w:firstLine="709"/>
        <w:jc w:val="both"/>
        <w:rPr>
          <w:rFonts w:ascii="Times New Roman" w:eastAsia="SimSun" w:hAnsi="Times New Roman"/>
          <w:b/>
          <w:bCs/>
          <w:i/>
          <w:sz w:val="24"/>
          <w:szCs w:val="24"/>
        </w:rPr>
      </w:pPr>
      <w:r w:rsidRPr="00AE47C6">
        <w:rPr>
          <w:rFonts w:ascii="Times New Roman" w:eastAsia="SimSun" w:hAnsi="Times New Roman"/>
          <w:b/>
          <w:bCs/>
          <w:i/>
          <w:sz w:val="24"/>
          <w:szCs w:val="24"/>
        </w:rPr>
        <w:t>Диагностични критерии</w:t>
      </w:r>
      <w:r w:rsidRPr="00AE47C6">
        <w:rPr>
          <w:rFonts w:ascii="Times New Roman" w:eastAsia="SimSun" w:hAnsi="Times New Roman"/>
          <w:b/>
          <w:i/>
          <w:sz w:val="24"/>
          <w:szCs w:val="24"/>
        </w:rPr>
        <w:t xml:space="preserve"> за </w:t>
      </w:r>
      <w:r w:rsidRPr="00AE47C6">
        <w:rPr>
          <w:rFonts w:ascii="Times New Roman" w:eastAsia="SimSun" w:hAnsi="Times New Roman"/>
          <w:b/>
          <w:bCs/>
          <w:i/>
          <w:sz w:val="24"/>
          <w:szCs w:val="24"/>
        </w:rPr>
        <w:t>Остра енцефалопатия с двуфазни гърчове и късно намалена дифузия (АESD) (известна и като „Остра енцефалопатия с фебрилен конвулсивен епилептичен статус” и „Енцефалопатия с бифазно клинично протичане”)</w:t>
      </w:r>
    </w:p>
    <w:p w14:paraId="41875A91"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1. Начало с гърчове, най-често епилептичен статус в първите 24ч. от началото на фебрилитета. </w:t>
      </w:r>
    </w:p>
    <w:p w14:paraId="00AA40E6"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2. Последващо преходно подобрение на съзнанието. </w:t>
      </w:r>
    </w:p>
    <w:p w14:paraId="1E887154"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3. Рецидив на гърчовете (най-често серии от парциални пристъпи) през 4-ия – 6-ия ден от началото на болестта с последващо нарушение на съзнанието. </w:t>
      </w:r>
    </w:p>
    <w:p w14:paraId="737058B7"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4. Етиология на началната инфекция – грипен вирус или HHV-6, 7, 5. Вариабилна прогноза – леко до тежко умствено изоставане, нарушения в речта и инициативността. </w:t>
      </w:r>
    </w:p>
    <w:p w14:paraId="38084879"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6. Нормална МРТ в първите два дни на болестта.</w:t>
      </w:r>
    </w:p>
    <w:p w14:paraId="30D1200D"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Cs/>
          <w:sz w:val="24"/>
          <w:szCs w:val="24"/>
        </w:rPr>
        <w:t>7. Хиперинтензни лезии в подкоровото бяло вещество на DWI от 3ия до 9-ия ден. (тип “ярко дърво”). Т</w:t>
      </w:r>
      <w:r w:rsidRPr="00AE47C6">
        <w:rPr>
          <w:rFonts w:ascii="Times New Roman" w:eastAsia="SimSun" w:hAnsi="Times New Roman"/>
          <w:bCs/>
          <w:sz w:val="24"/>
          <w:szCs w:val="24"/>
          <w:vertAlign w:val="subscript"/>
        </w:rPr>
        <w:t xml:space="preserve">2 </w:t>
      </w:r>
      <w:r w:rsidRPr="00AE47C6">
        <w:rPr>
          <w:rFonts w:ascii="Times New Roman" w:eastAsia="SimSun" w:hAnsi="Times New Roman"/>
          <w:bCs/>
          <w:sz w:val="24"/>
          <w:szCs w:val="24"/>
        </w:rPr>
        <w:t xml:space="preserve">и FLAIR могат да покажат хиперинтензност на U-влакната. </w:t>
      </w:r>
    </w:p>
    <w:p w14:paraId="61C7613F" w14:textId="77777777" w:rsidR="00BE0B19" w:rsidRPr="00AE47C6" w:rsidRDefault="00BE0B19" w:rsidP="00BE0B19">
      <w:pP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ab/>
      </w:r>
      <w:r w:rsidRPr="00AE47C6">
        <w:rPr>
          <w:rFonts w:ascii="Times New Roman" w:eastAsia="SimSun" w:hAnsi="Times New Roman"/>
          <w:sz w:val="24"/>
          <w:szCs w:val="24"/>
        </w:rPr>
        <w:t xml:space="preserve">Смъртността е под 5%. По-леките случаи се възстановяват напълно (29%), а при тежките остават с ментален дефицит и/или епилепсия (66%). </w:t>
      </w:r>
    </w:p>
    <w:p w14:paraId="38EA9583" w14:textId="77777777" w:rsidR="00BE0B19" w:rsidRPr="00AE47C6" w:rsidRDefault="00BE0B19" w:rsidP="00BE0B19">
      <w:pPr>
        <w:tabs>
          <w:tab w:val="left" w:pos="900"/>
        </w:tabs>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sz w:val="24"/>
          <w:szCs w:val="24"/>
        </w:rPr>
        <w:t xml:space="preserve">Варианти на остра енцефалопатия с двуфазни гърчове и късно намалена дифузия (АESD) </w:t>
      </w:r>
      <w:r w:rsidRPr="00AE47C6">
        <w:rPr>
          <w:rFonts w:ascii="Times New Roman" w:eastAsia="SimSun" w:hAnsi="Times New Roman"/>
          <w:bCs/>
          <w:sz w:val="24"/>
          <w:szCs w:val="24"/>
        </w:rPr>
        <w:t>:</w:t>
      </w:r>
    </w:p>
    <w:p w14:paraId="1A76A473" w14:textId="77777777" w:rsidR="00BE0B19" w:rsidRPr="00AE47C6" w:rsidRDefault="00BE0B19" w:rsidP="00BE0B19">
      <w:pP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 </w:t>
      </w:r>
      <w:r w:rsidRPr="00AE47C6">
        <w:rPr>
          <w:rFonts w:ascii="Times New Roman" w:eastAsia="SimSun" w:hAnsi="Times New Roman"/>
          <w:b/>
          <w:sz w:val="24"/>
          <w:szCs w:val="24"/>
        </w:rPr>
        <w:t>Остра инфантилна енцефалопатия, засягаща предимно фронталните дялове (AIEF)</w:t>
      </w:r>
      <w:r w:rsidRPr="00AE47C6">
        <w:rPr>
          <w:rFonts w:ascii="Times New Roman" w:eastAsia="SimSun" w:hAnsi="Times New Roman"/>
          <w:b/>
          <w:bCs/>
          <w:sz w:val="24"/>
          <w:szCs w:val="24"/>
        </w:rPr>
        <w:t>.</w:t>
      </w:r>
      <w:r w:rsidRPr="00AE47C6">
        <w:rPr>
          <w:rFonts w:ascii="Times New Roman" w:eastAsia="SimSun" w:hAnsi="Times New Roman"/>
          <w:bCs/>
          <w:sz w:val="24"/>
          <w:szCs w:val="24"/>
        </w:rPr>
        <w:t xml:space="preserve"> DWI показва предимно засягане на фронталното субкортикално бяло вещество двустранно. В реконвалесцентния период често се установяват стереотипни движения и нестабилност на настроението. </w:t>
      </w:r>
    </w:p>
    <w:p w14:paraId="548F8BCB" w14:textId="77777777" w:rsidR="00BE0B19" w:rsidRPr="00AE47C6" w:rsidRDefault="00BE0B19" w:rsidP="00BE0B19">
      <w:pP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 </w:t>
      </w:r>
      <w:r w:rsidRPr="00AE47C6">
        <w:rPr>
          <w:rFonts w:ascii="Times New Roman" w:eastAsia="SimSun" w:hAnsi="Times New Roman"/>
          <w:b/>
          <w:sz w:val="24"/>
          <w:szCs w:val="24"/>
        </w:rPr>
        <w:t xml:space="preserve">Синдромът «хемиконвулсия-хемиплегия» (HH), </w:t>
      </w:r>
      <w:r w:rsidRPr="00AE47C6">
        <w:rPr>
          <w:rFonts w:ascii="Times New Roman" w:eastAsia="SimSun" w:hAnsi="Times New Roman"/>
          <w:bCs/>
          <w:sz w:val="24"/>
          <w:szCs w:val="24"/>
        </w:rPr>
        <w:t>описан от H. Gastaut през 1960 г., се разглежда като подвид на AESD.</w:t>
      </w:r>
      <w:r w:rsidRPr="00AE47C6">
        <w:rPr>
          <w:rFonts w:ascii="Times New Roman" w:eastAsia="SimSun" w:hAnsi="Times New Roman"/>
          <w:sz w:val="24"/>
          <w:szCs w:val="24"/>
        </w:rPr>
        <w:t xml:space="preserve"> Започва с хемиклоничен епилептичен статус </w:t>
      </w:r>
      <w:r w:rsidRPr="00AE47C6">
        <w:rPr>
          <w:rFonts w:ascii="Times New Roman" w:eastAsia="SimSun" w:hAnsi="Times New Roman"/>
          <w:bCs/>
          <w:sz w:val="24"/>
          <w:szCs w:val="24"/>
        </w:rPr>
        <w:t>или пролонгиран генерализиран клоничен с латерализация и хемипареза, а в остатъчния стадий са налице моторна афазия, интелектуален дефицит и терапевтично резистентна епилепсия.</w:t>
      </w:r>
    </w:p>
    <w:p w14:paraId="21F2D78B"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 xml:space="preserve">Лечението на AESD </w:t>
      </w:r>
      <w:r w:rsidRPr="00AE47C6">
        <w:rPr>
          <w:rFonts w:ascii="Times New Roman" w:eastAsia="SimSun" w:hAnsi="Times New Roman"/>
          <w:sz w:val="24"/>
          <w:szCs w:val="24"/>
        </w:rPr>
        <w:t xml:space="preserve">включва агресивна антиконвулсивна терапия при ЕЕГ мониториране, за установяване и на електричен епилептичен статус. Няма сигурни положителни данни от пулс-терапия с метилпреднизолон, IV Ig и други терапии срещу проинфламаторните цитокини. Предлага се кетогенна диета. </w:t>
      </w:r>
    </w:p>
    <w:p w14:paraId="7C43BF71"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 xml:space="preserve">4.4.4.2. Фебрилен инфекциозно-свързан епилептичен синдром (FIRES) </w:t>
      </w:r>
    </w:p>
    <w:p w14:paraId="4E144AFC" w14:textId="77777777" w:rsidR="00BE0B19" w:rsidRPr="00AE47C6" w:rsidRDefault="00BE0B19" w:rsidP="00BE0B19">
      <w:pPr>
        <w:tabs>
          <w:tab w:val="left" w:pos="900"/>
        </w:tabs>
        <w:spacing w:after="0" w:line="360" w:lineRule="auto"/>
        <w:ind w:firstLine="709"/>
        <w:jc w:val="both"/>
        <w:rPr>
          <w:rFonts w:ascii="Times New Roman" w:eastAsia="SimSun" w:hAnsi="Times New Roman"/>
          <w:bCs/>
          <w:iCs/>
          <w:sz w:val="24"/>
          <w:szCs w:val="24"/>
        </w:rPr>
      </w:pPr>
      <w:r w:rsidRPr="00AE47C6">
        <w:rPr>
          <w:rFonts w:ascii="Times New Roman" w:eastAsia="SimSun" w:hAnsi="Times New Roman"/>
          <w:bCs/>
          <w:iCs/>
          <w:sz w:val="24"/>
          <w:szCs w:val="24"/>
        </w:rPr>
        <w:t>Описан е под различни имена "Остра енцефалит с рефрактерни повтарящи се парциални пристъпи (AERRPS)", „Опустошителна енцефалопатия при деца в училищна възраст" (DESC), „Детска рефрактерна фокална епилепсия след остра фебрилна енцефалопатия" (34), „Фебрилно-индуцирана рефрактерна епилептична енцефалопатия при деца в училищна възраст (FIRES) и „Фебрилно свързан епилептичен синдром".</w:t>
      </w:r>
    </w:p>
    <w:p w14:paraId="7B8D85FA" w14:textId="77777777" w:rsidR="00BE0B19" w:rsidRPr="00AE47C6" w:rsidRDefault="00BE0B19" w:rsidP="00BE0B19">
      <w:pPr>
        <w:tabs>
          <w:tab w:val="left" w:pos="900"/>
        </w:tabs>
        <w:spacing w:after="0" w:line="360" w:lineRule="auto"/>
        <w:ind w:firstLine="709"/>
        <w:jc w:val="both"/>
        <w:rPr>
          <w:rFonts w:ascii="Times New Roman" w:eastAsia="SimSun" w:hAnsi="Times New Roman"/>
          <w:bCs/>
          <w:iCs/>
          <w:sz w:val="24"/>
          <w:szCs w:val="24"/>
        </w:rPr>
      </w:pPr>
      <w:r w:rsidRPr="00AE47C6">
        <w:rPr>
          <w:rFonts w:ascii="Times New Roman" w:eastAsia="SimSun" w:hAnsi="Times New Roman"/>
          <w:bCs/>
          <w:iCs/>
          <w:sz w:val="24"/>
          <w:szCs w:val="24"/>
        </w:rPr>
        <w:t xml:space="preserve">Патогенезата остава неизяснена. Отхвърлени са мутации в гени, свързани с фебрилно-провокирани пристъпи като PCDH19, SCN1A или POLG и патологични вариации в броя на копията (CNVs). Отхвърлена е и имуномедиирана патогенеза поради липса на антитела срещу невронно-повърхностни антигени и неефективност от кортикостероиди и IV Ig. </w:t>
      </w:r>
    </w:p>
    <w:p w14:paraId="7F59BF41" w14:textId="77777777" w:rsidR="00BE0B19" w:rsidRPr="00AE47C6" w:rsidRDefault="00BE0B19" w:rsidP="00BE0B19">
      <w:pPr>
        <w:tabs>
          <w:tab w:val="left" w:pos="900"/>
        </w:tabs>
        <w:spacing w:after="0" w:line="360" w:lineRule="auto"/>
        <w:ind w:firstLine="709"/>
        <w:jc w:val="both"/>
        <w:rPr>
          <w:rFonts w:ascii="Times New Roman" w:eastAsia="SimSun" w:hAnsi="Times New Roman"/>
          <w:bCs/>
          <w:iCs/>
          <w:sz w:val="24"/>
          <w:szCs w:val="24"/>
        </w:rPr>
      </w:pPr>
      <w:r w:rsidRPr="00AE47C6">
        <w:rPr>
          <w:rFonts w:ascii="Times New Roman" w:eastAsia="SimSun" w:hAnsi="Times New Roman"/>
          <w:b/>
          <w:bCs/>
          <w:i/>
          <w:iCs/>
          <w:sz w:val="24"/>
          <w:szCs w:val="24"/>
        </w:rPr>
        <w:t xml:space="preserve">Клиничните прояви на FIRES (DESC, AERRPS) </w:t>
      </w:r>
      <w:r w:rsidRPr="00AE47C6">
        <w:rPr>
          <w:rFonts w:ascii="Times New Roman" w:eastAsia="SimSun" w:hAnsi="Times New Roman"/>
          <w:bCs/>
          <w:iCs/>
          <w:sz w:val="24"/>
          <w:szCs w:val="24"/>
        </w:rPr>
        <w:t xml:space="preserve">са: </w:t>
      </w:r>
    </w:p>
    <w:p w14:paraId="310B0F22"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1. Начало между 4 и 11 г. при здрави до момента деца (средно 7,5 г.); </w:t>
      </w:r>
    </w:p>
    <w:p w14:paraId="10506232"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2. Липса на доказана интракраниална инфекция въпреки началния фебрилитет (отрицателна серология и PCR за HSV, VZV, EBV, морбили, рубеола, аденовирус, паротит, ентеровирус, грип, парагрип при всички деца); </w:t>
      </w:r>
    </w:p>
    <w:p w14:paraId="76D3DFA5"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3. Изява с пролонгиран епилептичен статус - начало от 1 до 21 дни (средно 4 дни) от началото на фебрилитета; продължителност на статуса от 4 до 60 дни (средно 30 дни). Началните симптоми са дезориентация, халюцинации и моторни гърчове с алтернираща локализация.</w:t>
      </w:r>
    </w:p>
    <w:p w14:paraId="3937A1B9"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4. МРТ по време на началния епилептичен статус показва лезии в хипокампа, които са хипоинтензни на Т</w:t>
      </w:r>
      <w:r w:rsidRPr="00AE47C6">
        <w:rPr>
          <w:rFonts w:ascii="Times New Roman" w:eastAsia="SimSun" w:hAnsi="Times New Roman"/>
          <w:sz w:val="24"/>
          <w:szCs w:val="24"/>
          <w:vertAlign w:val="subscript"/>
        </w:rPr>
        <w:t xml:space="preserve">1 </w:t>
      </w:r>
      <w:r w:rsidRPr="00AE47C6">
        <w:rPr>
          <w:rFonts w:ascii="Times New Roman" w:eastAsia="SimSun" w:hAnsi="Times New Roman"/>
          <w:sz w:val="24"/>
          <w:szCs w:val="24"/>
        </w:rPr>
        <w:t>и хиперинтензни на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w:t>
      </w:r>
    </w:p>
    <w:p w14:paraId="2643F586"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5. Развитие на последваща медикаментозно резистентна епилепсия без латентен период след началния епилептичен статус. Пристъпите са на серии с интервал между тях от средно 20 дни.</w:t>
      </w:r>
    </w:p>
    <w:p w14:paraId="182EDBD1"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 6. Клинични и ЕЕГ данни за фокални гърчове с/без вторична генерализация при началния епилептичен статус и при последващата епилепсия. ЕЕГ може да показва и само забавена основна активност, без епилептиформена активност;</w:t>
      </w:r>
    </w:p>
    <w:p w14:paraId="58B39500"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7. Произход на гърчовете предимно от перисилвиевата зона (темпорално и фронтално двустранно); </w:t>
      </w:r>
    </w:p>
    <w:p w14:paraId="7C68040D"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8. Развитие на двустранни мезиални темпорални лезии (атрофия и/или глиоза) със съответни речеви, паметови и поведенчески нарушения при 70%; </w:t>
      </w:r>
    </w:p>
    <w:p w14:paraId="3D706BDF" w14:textId="77777777" w:rsidR="00BE0B19" w:rsidRPr="00AE47C6" w:rsidRDefault="00BE0B19" w:rsidP="00BE0B19">
      <w:pPr>
        <w:tabs>
          <w:tab w:val="left" w:pos="900"/>
        </w:tabs>
        <w:spacing w:after="0" w:line="360" w:lineRule="auto"/>
        <w:ind w:firstLine="709"/>
        <w:jc w:val="both"/>
        <w:rPr>
          <w:rFonts w:ascii="Times New Roman" w:eastAsia="SimSun" w:hAnsi="Times New Roman"/>
          <w:bCs/>
          <w:iCs/>
          <w:sz w:val="24"/>
          <w:szCs w:val="24"/>
        </w:rPr>
      </w:pPr>
      <w:r w:rsidRPr="00AE47C6">
        <w:rPr>
          <w:rFonts w:ascii="Times New Roman" w:eastAsia="SimSun" w:hAnsi="Times New Roman"/>
          <w:sz w:val="24"/>
          <w:szCs w:val="24"/>
        </w:rPr>
        <w:t>9. Фронтално засягане при 50% по данни от иктална ЕЕГ и невропсихологическо изследване.</w:t>
      </w:r>
    </w:p>
    <w:p w14:paraId="1CE71B50"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p>
    <w:p w14:paraId="690F829C" w14:textId="77777777" w:rsidR="00BE0B19" w:rsidRPr="00AE47C6" w:rsidRDefault="00BE0B19" w:rsidP="00BE0B19">
      <w:pPr>
        <w:tabs>
          <w:tab w:val="left" w:pos="900"/>
        </w:tabs>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Табл. 4.18. Диференциална диагноза на епилептични синдроми, които се провокират от инфекции</w:t>
      </w:r>
    </w:p>
    <w:tbl>
      <w:tblPr>
        <w:tblpPr w:leftFromText="180" w:rightFromText="180" w:vertAnchor="text" w:horzAnchor="margin" w:tblpY="231"/>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134"/>
        <w:gridCol w:w="2289"/>
        <w:gridCol w:w="2530"/>
        <w:gridCol w:w="1559"/>
      </w:tblGrid>
      <w:tr w:rsidR="00BE0B19" w:rsidRPr="00AE47C6" w14:paraId="76FB630D" w14:textId="77777777" w:rsidTr="00AD72E5">
        <w:tc>
          <w:tcPr>
            <w:tcW w:w="1668" w:type="dxa"/>
          </w:tcPr>
          <w:p w14:paraId="13127D81" w14:textId="77777777" w:rsidR="00BE0B19" w:rsidRPr="00AE47C6" w:rsidRDefault="00BE0B19" w:rsidP="00BE0B19">
            <w:pPr>
              <w:tabs>
                <w:tab w:val="left" w:pos="900"/>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Заболяване</w:t>
            </w:r>
          </w:p>
        </w:tc>
        <w:tc>
          <w:tcPr>
            <w:tcW w:w="1134" w:type="dxa"/>
          </w:tcPr>
          <w:p w14:paraId="476587BE" w14:textId="77777777" w:rsidR="00BE0B19" w:rsidRPr="00AE47C6" w:rsidRDefault="00BE0B19" w:rsidP="00BE0B19">
            <w:pPr>
              <w:tabs>
                <w:tab w:val="left" w:pos="900"/>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Предшестваща инфекция</w:t>
            </w:r>
          </w:p>
        </w:tc>
        <w:tc>
          <w:tcPr>
            <w:tcW w:w="2289" w:type="dxa"/>
          </w:tcPr>
          <w:p w14:paraId="1D15619D" w14:textId="77777777" w:rsidR="00BE0B19" w:rsidRPr="00AE47C6" w:rsidRDefault="00BE0B19" w:rsidP="00BE0B19">
            <w:pPr>
              <w:tabs>
                <w:tab w:val="left" w:pos="900"/>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Епилепсия</w:t>
            </w:r>
          </w:p>
        </w:tc>
        <w:tc>
          <w:tcPr>
            <w:tcW w:w="2530" w:type="dxa"/>
          </w:tcPr>
          <w:p w14:paraId="584E727D" w14:textId="77777777" w:rsidR="00BE0B19" w:rsidRPr="00AE47C6" w:rsidRDefault="00BE0B19" w:rsidP="00BE0B19">
            <w:pPr>
              <w:tabs>
                <w:tab w:val="left" w:pos="900"/>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Други типични прояви</w:t>
            </w:r>
          </w:p>
        </w:tc>
        <w:tc>
          <w:tcPr>
            <w:tcW w:w="1559" w:type="dxa"/>
          </w:tcPr>
          <w:p w14:paraId="548B16ED" w14:textId="77777777" w:rsidR="00BE0B19" w:rsidRPr="00AE47C6" w:rsidRDefault="00BE0B19" w:rsidP="00BE0B19">
            <w:pPr>
              <w:tabs>
                <w:tab w:val="left" w:pos="900"/>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Отговор към имуносупр. терапия </w:t>
            </w:r>
          </w:p>
        </w:tc>
      </w:tr>
      <w:tr w:rsidR="00BE0B19" w:rsidRPr="00AE47C6" w14:paraId="3C1628BA" w14:textId="77777777" w:rsidTr="00AD72E5">
        <w:tc>
          <w:tcPr>
            <w:tcW w:w="1668" w:type="dxa"/>
          </w:tcPr>
          <w:p w14:paraId="2513EB93"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Лимбичен енцефалит с анти-VGKC-Ат</w:t>
            </w:r>
          </w:p>
        </w:tc>
        <w:tc>
          <w:tcPr>
            <w:tcW w:w="1134" w:type="dxa"/>
          </w:tcPr>
          <w:p w14:paraId="08413801"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Често</w:t>
            </w:r>
          </w:p>
        </w:tc>
        <w:tc>
          <w:tcPr>
            <w:tcW w:w="2289" w:type="dxa"/>
          </w:tcPr>
          <w:p w14:paraId="490E2A6C"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Епилептичен статус</w:t>
            </w:r>
          </w:p>
        </w:tc>
        <w:tc>
          <w:tcPr>
            <w:tcW w:w="2530" w:type="dxa"/>
          </w:tcPr>
          <w:p w14:paraId="3F7E4395"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Нервнопсихиатричен с-м</w:t>
            </w:r>
          </w:p>
        </w:tc>
        <w:tc>
          <w:tcPr>
            <w:tcW w:w="1559" w:type="dxa"/>
          </w:tcPr>
          <w:p w14:paraId="69F37681"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Да</w:t>
            </w:r>
          </w:p>
        </w:tc>
      </w:tr>
      <w:tr w:rsidR="00BE0B19" w:rsidRPr="00AE47C6" w14:paraId="4E241F76" w14:textId="77777777" w:rsidTr="00AD72E5">
        <w:tc>
          <w:tcPr>
            <w:tcW w:w="1668" w:type="dxa"/>
          </w:tcPr>
          <w:p w14:paraId="392536B2"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Анти-NMDA рецепторен енцефалит</w:t>
            </w:r>
          </w:p>
        </w:tc>
        <w:tc>
          <w:tcPr>
            <w:tcW w:w="1134" w:type="dxa"/>
          </w:tcPr>
          <w:p w14:paraId="63B01D4F"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Често</w:t>
            </w:r>
          </w:p>
        </w:tc>
        <w:tc>
          <w:tcPr>
            <w:tcW w:w="2289" w:type="dxa"/>
          </w:tcPr>
          <w:p w14:paraId="766146F3"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Остро-появили се гърчове</w:t>
            </w:r>
          </w:p>
        </w:tc>
        <w:tc>
          <w:tcPr>
            <w:tcW w:w="2530" w:type="dxa"/>
          </w:tcPr>
          <w:p w14:paraId="0CEBBDA9"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Нервнопсихиатричен с-м, дискинезия</w:t>
            </w:r>
          </w:p>
        </w:tc>
        <w:tc>
          <w:tcPr>
            <w:tcW w:w="1559" w:type="dxa"/>
          </w:tcPr>
          <w:p w14:paraId="4AD7A6BB"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Да</w:t>
            </w:r>
          </w:p>
        </w:tc>
      </w:tr>
      <w:tr w:rsidR="00BE0B19" w:rsidRPr="00AE47C6" w14:paraId="6DEF0314" w14:textId="77777777" w:rsidTr="00AD72E5">
        <w:tc>
          <w:tcPr>
            <w:tcW w:w="1668" w:type="dxa"/>
          </w:tcPr>
          <w:p w14:paraId="5AD7CF4D"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Лимбичен енцефалит с анти-GAD-антитела</w:t>
            </w:r>
          </w:p>
        </w:tc>
        <w:tc>
          <w:tcPr>
            <w:tcW w:w="1134" w:type="dxa"/>
          </w:tcPr>
          <w:p w14:paraId="2438AA38"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Един случай</w:t>
            </w:r>
          </w:p>
        </w:tc>
        <w:tc>
          <w:tcPr>
            <w:tcW w:w="2289" w:type="dxa"/>
          </w:tcPr>
          <w:p w14:paraId="2CE6F9BE"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Медикаментозно резистентна епилепсия</w:t>
            </w:r>
          </w:p>
        </w:tc>
        <w:tc>
          <w:tcPr>
            <w:tcW w:w="2530" w:type="dxa"/>
          </w:tcPr>
          <w:p w14:paraId="3407A7DE"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Нервнопсихиатричен с-м, stiff-person с-м, атаксия</w:t>
            </w:r>
          </w:p>
        </w:tc>
        <w:tc>
          <w:tcPr>
            <w:tcW w:w="1559" w:type="dxa"/>
          </w:tcPr>
          <w:p w14:paraId="24BFD22E"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Възможен</w:t>
            </w:r>
          </w:p>
        </w:tc>
      </w:tr>
      <w:tr w:rsidR="00BE0B19" w:rsidRPr="00AE47C6" w14:paraId="5A1759FA" w14:textId="77777777" w:rsidTr="00AD72E5">
        <w:tc>
          <w:tcPr>
            <w:tcW w:w="1668" w:type="dxa"/>
          </w:tcPr>
          <w:p w14:paraId="05560457"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С-м на Alpers (мутация в POLG1)</w:t>
            </w:r>
          </w:p>
        </w:tc>
        <w:tc>
          <w:tcPr>
            <w:tcW w:w="1134" w:type="dxa"/>
          </w:tcPr>
          <w:p w14:paraId="4FF12AA3"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Рядко</w:t>
            </w:r>
          </w:p>
        </w:tc>
        <w:tc>
          <w:tcPr>
            <w:tcW w:w="2289" w:type="dxa"/>
          </w:tcPr>
          <w:p w14:paraId="71FD8F6C"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Epilepsia partialis continua</w:t>
            </w:r>
          </w:p>
        </w:tc>
        <w:tc>
          <w:tcPr>
            <w:tcW w:w="2530" w:type="dxa"/>
          </w:tcPr>
          <w:p w14:paraId="277404C4"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Окципитални разряди, кортикални и таламични МРТ лезии</w:t>
            </w:r>
          </w:p>
        </w:tc>
        <w:tc>
          <w:tcPr>
            <w:tcW w:w="1559" w:type="dxa"/>
          </w:tcPr>
          <w:p w14:paraId="28E7A7A6"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w:t>
            </w:r>
          </w:p>
        </w:tc>
      </w:tr>
      <w:tr w:rsidR="00BE0B19" w:rsidRPr="00AE47C6" w14:paraId="5F6F21D8" w14:textId="77777777" w:rsidTr="00AD72E5">
        <w:tc>
          <w:tcPr>
            <w:tcW w:w="1668" w:type="dxa"/>
          </w:tcPr>
          <w:p w14:paraId="4CE3C162"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С-м на Dravet (мутация в SCN)</w:t>
            </w:r>
          </w:p>
        </w:tc>
        <w:tc>
          <w:tcPr>
            <w:tcW w:w="1134" w:type="dxa"/>
          </w:tcPr>
          <w:p w14:paraId="587EA637"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Често</w:t>
            </w:r>
          </w:p>
        </w:tc>
        <w:tc>
          <w:tcPr>
            <w:tcW w:w="2289" w:type="dxa"/>
          </w:tcPr>
          <w:p w14:paraId="0DBB6F1D"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Продължителни фебрилни гърчове</w:t>
            </w:r>
          </w:p>
        </w:tc>
        <w:tc>
          <w:tcPr>
            <w:tcW w:w="2530" w:type="dxa"/>
          </w:tcPr>
          <w:p w14:paraId="6AA26AEC"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Тежка миоклонична епилепсия в детска възраст (SMEI)</w:t>
            </w:r>
          </w:p>
        </w:tc>
        <w:tc>
          <w:tcPr>
            <w:tcW w:w="1559" w:type="dxa"/>
          </w:tcPr>
          <w:p w14:paraId="73ECD332"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w:t>
            </w:r>
          </w:p>
        </w:tc>
      </w:tr>
      <w:tr w:rsidR="00BE0B19" w:rsidRPr="00AE47C6" w14:paraId="0510C72B" w14:textId="77777777" w:rsidTr="00AD72E5">
        <w:tc>
          <w:tcPr>
            <w:tcW w:w="1668" w:type="dxa"/>
          </w:tcPr>
          <w:p w14:paraId="45723EE6"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Мутация в PCDH19</w:t>
            </w:r>
          </w:p>
        </w:tc>
        <w:tc>
          <w:tcPr>
            <w:tcW w:w="1134" w:type="dxa"/>
          </w:tcPr>
          <w:p w14:paraId="4AE3D8D1"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Често</w:t>
            </w:r>
          </w:p>
        </w:tc>
        <w:tc>
          <w:tcPr>
            <w:tcW w:w="2289" w:type="dxa"/>
          </w:tcPr>
          <w:p w14:paraId="2201ACE9"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Серии от гърчове (често), епилепт. статус (рядко)</w:t>
            </w:r>
          </w:p>
        </w:tc>
        <w:tc>
          <w:tcPr>
            <w:tcW w:w="2530" w:type="dxa"/>
          </w:tcPr>
          <w:p w14:paraId="35531819"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Х-свързана епилепсия, начало в кърмаческа или ранна детска възраст</w:t>
            </w:r>
          </w:p>
        </w:tc>
        <w:tc>
          <w:tcPr>
            <w:tcW w:w="1559" w:type="dxa"/>
          </w:tcPr>
          <w:p w14:paraId="4FD04C6D"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Не </w:t>
            </w:r>
          </w:p>
        </w:tc>
      </w:tr>
      <w:tr w:rsidR="00BE0B19" w:rsidRPr="00AE47C6" w14:paraId="59531D61" w14:textId="77777777" w:rsidTr="00AD72E5">
        <w:tc>
          <w:tcPr>
            <w:tcW w:w="1668" w:type="dxa"/>
          </w:tcPr>
          <w:p w14:paraId="6FB580BA"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FIRES</w:t>
            </w:r>
          </w:p>
        </w:tc>
        <w:tc>
          <w:tcPr>
            <w:tcW w:w="1134" w:type="dxa"/>
          </w:tcPr>
          <w:p w14:paraId="2118640C"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Винаги</w:t>
            </w:r>
          </w:p>
        </w:tc>
        <w:tc>
          <w:tcPr>
            <w:tcW w:w="2289" w:type="dxa"/>
          </w:tcPr>
          <w:p w14:paraId="3FC2D93B"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Суперрефрактерен епилепт. статус</w:t>
            </w:r>
          </w:p>
        </w:tc>
        <w:tc>
          <w:tcPr>
            <w:tcW w:w="2530" w:type="dxa"/>
          </w:tcPr>
          <w:p w14:paraId="3114811B"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Най-често няма (чист гърчов фенотип)</w:t>
            </w:r>
          </w:p>
        </w:tc>
        <w:tc>
          <w:tcPr>
            <w:tcW w:w="1559" w:type="dxa"/>
          </w:tcPr>
          <w:p w14:paraId="7AA9A606"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w:t>
            </w:r>
          </w:p>
        </w:tc>
      </w:tr>
    </w:tbl>
    <w:p w14:paraId="649AECF9"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p>
    <w:p w14:paraId="26820B63"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Ликворните изследвания</w:t>
      </w:r>
      <w:r w:rsidRPr="00AE47C6">
        <w:rPr>
          <w:rFonts w:ascii="Times New Roman" w:eastAsia="SimSun" w:hAnsi="Times New Roman"/>
          <w:sz w:val="24"/>
          <w:szCs w:val="24"/>
        </w:rPr>
        <w:t xml:space="preserve"> при около 30% са с хиперпротеинорахия и/или лека или по-тежка плеоцитоза, с олигоклоналност, а при около 50% ликворът е нормален. Остатъчни прояви са дефицит на внимание с хиперактивност, когнитивен дефицит, липса на инициатива, персеверации, первазивно нарушение на развитието, речево изоставане. </w:t>
      </w:r>
    </w:p>
    <w:p w14:paraId="65FBA343"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Диференциална диагноза на FIRES</w:t>
      </w:r>
      <w:r w:rsidRPr="00AE47C6">
        <w:rPr>
          <w:rFonts w:ascii="Times New Roman" w:eastAsia="SimSun" w:hAnsi="Times New Roman"/>
          <w:sz w:val="24"/>
          <w:szCs w:val="24"/>
        </w:rPr>
        <w:t xml:space="preserve"> включва: 1. </w:t>
      </w:r>
      <w:r w:rsidRPr="00AE47C6">
        <w:rPr>
          <w:rFonts w:ascii="Times New Roman" w:eastAsia="SimSun" w:hAnsi="Times New Roman"/>
          <w:i/>
          <w:sz w:val="24"/>
          <w:szCs w:val="24"/>
        </w:rPr>
        <w:t>Остър енцефалит</w:t>
      </w:r>
      <w:r w:rsidRPr="00AE47C6">
        <w:rPr>
          <w:rFonts w:ascii="Times New Roman" w:eastAsia="SimSun" w:hAnsi="Times New Roman"/>
          <w:sz w:val="24"/>
          <w:szCs w:val="24"/>
        </w:rPr>
        <w:t xml:space="preserve"> – епилептичният статус е по-кратък в сравнение с FIRES, а ликворът при FIRES е по-често нормален и не се установява причинител в ликвора. </w:t>
      </w:r>
      <w:r w:rsidRPr="00AE47C6">
        <w:rPr>
          <w:rFonts w:ascii="Times New Roman" w:eastAsia="SimSun" w:hAnsi="Times New Roman"/>
          <w:i/>
          <w:sz w:val="24"/>
          <w:szCs w:val="24"/>
        </w:rPr>
        <w:t>2. Остър дисеминиран енцефаломиелит (ОДЕМ) –</w:t>
      </w:r>
      <w:r w:rsidRPr="00AE47C6">
        <w:rPr>
          <w:rFonts w:ascii="Times New Roman" w:eastAsia="SimSun" w:hAnsi="Times New Roman"/>
          <w:sz w:val="24"/>
          <w:szCs w:val="24"/>
        </w:rPr>
        <w:t xml:space="preserve"> при FIRES липсват клинични и МРТ данни за засягане на бялото вещество, а при </w:t>
      </w:r>
      <w:r w:rsidRPr="00AE47C6">
        <w:rPr>
          <w:rFonts w:ascii="Times New Roman" w:eastAsia="SimSun" w:hAnsi="Times New Roman"/>
          <w:i/>
          <w:sz w:val="24"/>
          <w:szCs w:val="24"/>
        </w:rPr>
        <w:t>ОДЕМ</w:t>
      </w:r>
      <w:r w:rsidRPr="00AE47C6">
        <w:rPr>
          <w:rFonts w:ascii="Times New Roman" w:eastAsia="SimSun" w:hAnsi="Times New Roman"/>
          <w:sz w:val="24"/>
          <w:szCs w:val="24"/>
        </w:rPr>
        <w:t xml:space="preserve"> гърчовете не са водещи. 3. </w:t>
      </w:r>
      <w:r w:rsidRPr="00AE47C6">
        <w:rPr>
          <w:rFonts w:ascii="Times New Roman" w:eastAsia="SimSun" w:hAnsi="Times New Roman"/>
          <w:i/>
          <w:sz w:val="24"/>
          <w:szCs w:val="24"/>
        </w:rPr>
        <w:t>Епилептични синдроми, които се провокират или влошават от инфекции</w:t>
      </w:r>
      <w:r w:rsidRPr="00AE47C6">
        <w:rPr>
          <w:rFonts w:ascii="Times New Roman" w:eastAsia="SimSun" w:hAnsi="Times New Roman"/>
          <w:sz w:val="24"/>
          <w:szCs w:val="24"/>
        </w:rPr>
        <w:t xml:space="preserve"> (Табл.4.18)</w:t>
      </w:r>
    </w:p>
    <w:p w14:paraId="01B33A6E"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Лечението по време на острата фаза с антиконвулсанти е неуспешно, с рецидиви след спирането на thiopental. Липсва ефект от кортикостероиди и високо дозирани имуноглобулини. Възможно е подобрение от кетогенна диета. Последващата епилепсия е терапевтично резистентна при почти всички случаи. </w:t>
      </w:r>
    </w:p>
    <w:p w14:paraId="53D52F74"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21" w:name="_Toc155651759"/>
      <w:bookmarkStart w:id="122" w:name="_Toc164075891"/>
      <w:r w:rsidRPr="00AE47C6">
        <w:rPr>
          <w:rFonts w:ascii="Times New Roman" w:eastAsia="SimSun" w:hAnsi="Times New Roman"/>
          <w:b/>
          <w:sz w:val="24"/>
          <w:szCs w:val="20"/>
          <w:lang w:eastAsia="ja-JP"/>
        </w:rPr>
        <w:t>4.4.5. Други синдроми с ОЕАВИ</w:t>
      </w:r>
      <w:bookmarkEnd w:id="121"/>
      <w:bookmarkEnd w:id="122"/>
      <w:r w:rsidRPr="00AE47C6">
        <w:rPr>
          <w:rFonts w:ascii="Times New Roman" w:eastAsia="SimSun" w:hAnsi="Times New Roman"/>
          <w:b/>
          <w:sz w:val="24"/>
          <w:szCs w:val="20"/>
          <w:lang w:eastAsia="ja-JP"/>
        </w:rPr>
        <w:t xml:space="preserve"> </w:t>
      </w:r>
    </w:p>
    <w:p w14:paraId="348A5667"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4.4.5.1. Клинично лек енцефалит/енцефалопатия с обратими лезии на сплениума (MERS)</w:t>
      </w:r>
    </w:p>
    <w:p w14:paraId="3A216F0E" w14:textId="77777777" w:rsidR="00BE0B19" w:rsidRPr="00AE47C6" w:rsidRDefault="00BE0B19" w:rsidP="00BE0B19">
      <w:pPr>
        <w:tabs>
          <w:tab w:val="left" w:pos="900"/>
        </w:tabs>
        <w:spacing w:after="0" w:line="360" w:lineRule="auto"/>
        <w:ind w:firstLine="709"/>
        <w:jc w:val="both"/>
        <w:rPr>
          <w:rFonts w:ascii="Times New Roman" w:eastAsia="SimSun" w:hAnsi="Times New Roman"/>
          <w:b/>
          <w:bCs/>
          <w:i/>
          <w:sz w:val="24"/>
          <w:szCs w:val="24"/>
        </w:rPr>
      </w:pPr>
      <w:r w:rsidRPr="00AE47C6">
        <w:rPr>
          <w:rFonts w:ascii="Times New Roman" w:eastAsia="SimSun" w:hAnsi="Times New Roman"/>
          <w:bCs/>
          <w:sz w:val="24"/>
          <w:szCs w:val="24"/>
        </w:rPr>
        <w:t>Клинично лек енцефалит/енцефалопатия с обратими лезии на сплениума (MERS)</w:t>
      </w:r>
      <w:r w:rsidRPr="00AE47C6">
        <w:rPr>
          <w:rFonts w:ascii="Times New Roman" w:eastAsia="SimSun" w:hAnsi="Times New Roman"/>
          <w:b/>
          <w:bCs/>
          <w:sz w:val="24"/>
          <w:szCs w:val="24"/>
        </w:rPr>
        <w:t xml:space="preserve">, </w:t>
      </w:r>
      <w:r w:rsidRPr="00AE47C6">
        <w:rPr>
          <w:rFonts w:ascii="Times New Roman" w:eastAsia="SimSun" w:hAnsi="Times New Roman"/>
          <w:bCs/>
          <w:sz w:val="24"/>
          <w:szCs w:val="24"/>
        </w:rPr>
        <w:t xml:space="preserve">с начало средно на 5 г. и се предшества от </w:t>
      </w:r>
      <w:r w:rsidRPr="00AE47C6">
        <w:rPr>
          <w:rFonts w:ascii="Times New Roman" w:eastAsia="SimSun" w:hAnsi="Times New Roman"/>
          <w:iCs/>
          <w:sz w:val="24"/>
          <w:szCs w:val="24"/>
        </w:rPr>
        <w:t xml:space="preserve">грип (34,4%), ротавирус (11,7%), паротитен вирус (3,9%) и HHV-6 (2,0%). Протича с </w:t>
      </w:r>
      <w:r w:rsidRPr="00AE47C6">
        <w:rPr>
          <w:rFonts w:ascii="Times New Roman" w:eastAsia="SimSun" w:hAnsi="Times New Roman"/>
          <w:bCs/>
          <w:iCs/>
          <w:sz w:val="24"/>
          <w:szCs w:val="24"/>
        </w:rPr>
        <w:t>невропсихиатрични с-ми – нарушена реч, поведение, съзнание, гърчове, хиперинтензни лезии в splenium или в целия corpus callosum. Прогнозата е добра - пълно възстановяване в 90,2%.</w:t>
      </w:r>
    </w:p>
    <w:p w14:paraId="2FAE4A6C"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4.4.5.2. Дифузен мозъчен оток при грипна енцефалопатия от грип А (IAE)</w:t>
      </w:r>
    </w:p>
    <w:p w14:paraId="4C69DF02" w14:textId="77777777" w:rsidR="00BE0B19" w:rsidRPr="00AE47C6" w:rsidRDefault="00BE0B19" w:rsidP="00BE0B19">
      <w:pP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Неспецифично състояние, което протича с дифузен мозъчен оток и апоптоза, нехарактерни за ANE. </w:t>
      </w:r>
    </w:p>
    <w:p w14:paraId="149D3E66" w14:textId="77777777" w:rsidR="00BE0B19" w:rsidRPr="00AE47C6" w:rsidRDefault="00BE0B19" w:rsidP="00BE0B19">
      <w:pPr>
        <w:tabs>
          <w:tab w:val="left" w:pos="900"/>
        </w:tabs>
        <w:spacing w:after="0" w:line="360" w:lineRule="auto"/>
        <w:ind w:firstLine="709"/>
        <w:jc w:val="both"/>
        <w:rPr>
          <w:rFonts w:ascii="Times New Roman" w:eastAsia="SimSun" w:hAnsi="Times New Roman"/>
          <w:bCs/>
          <w:i/>
          <w:sz w:val="24"/>
          <w:szCs w:val="24"/>
        </w:rPr>
      </w:pPr>
    </w:p>
    <w:p w14:paraId="6F6F8D64" w14:textId="77777777" w:rsidR="00BE0B19" w:rsidRPr="00AE47C6" w:rsidRDefault="00BE0B19" w:rsidP="00BE0B19">
      <w:pPr>
        <w:tabs>
          <w:tab w:val="left" w:pos="900"/>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u w:val="single"/>
        </w:rPr>
        <w:t>Лечение на ОЕАВИ</w:t>
      </w:r>
      <w:r w:rsidRPr="00AE47C6">
        <w:rPr>
          <w:rFonts w:ascii="Times New Roman" w:eastAsia="SimSun" w:hAnsi="Times New Roman"/>
          <w:b/>
          <w:bCs/>
          <w:sz w:val="24"/>
          <w:szCs w:val="24"/>
        </w:rPr>
        <w:t xml:space="preserve">. </w:t>
      </w:r>
      <w:r w:rsidRPr="00AE47C6">
        <w:rPr>
          <w:rFonts w:ascii="Times New Roman" w:eastAsia="SimSun" w:hAnsi="Times New Roman"/>
          <w:bCs/>
          <w:sz w:val="24"/>
          <w:szCs w:val="24"/>
        </w:rPr>
        <w:t xml:space="preserve">Публикувани са единични случаи и кратки серии, основно с ANE. Предложен е алгоритъм за всички ОЕАВИ с "цитокинова буря” и към недиференцираните ОЕАВИ. </w:t>
      </w:r>
      <w:r w:rsidRPr="00AE47C6">
        <w:rPr>
          <w:rFonts w:ascii="Times New Roman" w:eastAsia="SimSun" w:hAnsi="Times New Roman"/>
          <w:bCs/>
          <w:i/>
          <w:sz w:val="24"/>
          <w:szCs w:val="24"/>
        </w:rPr>
        <w:t>Кортикостероидите (КС)</w:t>
      </w:r>
      <w:r w:rsidRPr="00AE47C6">
        <w:rPr>
          <w:rFonts w:ascii="Times New Roman" w:eastAsia="SimSun" w:hAnsi="Times New Roman"/>
          <w:b/>
          <w:bCs/>
          <w:i/>
          <w:sz w:val="24"/>
          <w:szCs w:val="24"/>
        </w:rPr>
        <w:t xml:space="preserve"> </w:t>
      </w:r>
      <w:r w:rsidRPr="00AE47C6">
        <w:rPr>
          <w:rFonts w:ascii="Times New Roman" w:eastAsia="SimSun" w:hAnsi="Times New Roman"/>
          <w:bCs/>
          <w:sz w:val="24"/>
          <w:szCs w:val="24"/>
        </w:rPr>
        <w:t xml:space="preserve">са в основен метод на лечението на ANE </w:t>
      </w:r>
      <w:r w:rsidRPr="00AE47C6">
        <w:rPr>
          <w:rFonts w:ascii="Times New Roman" w:eastAsia="SimSun" w:hAnsi="Times New Roman"/>
          <w:bCs/>
          <w:iCs/>
          <w:sz w:val="24"/>
          <w:szCs w:val="24"/>
        </w:rPr>
        <w:t>като пулс-терапия с methylprednisolone максимално рано, по-възможност в първите 24ч. в доза 30</w:t>
      </w:r>
      <w:r w:rsidRPr="00AE47C6">
        <w:rPr>
          <w:rFonts w:ascii="Times New Roman" w:eastAsia="SimSun" w:hAnsi="Times New Roman"/>
          <w:sz w:val="24"/>
          <w:szCs w:val="24"/>
        </w:rPr>
        <w:t>mg/kg</w:t>
      </w:r>
      <w:r w:rsidRPr="00AE47C6">
        <w:rPr>
          <w:rFonts w:ascii="Times New Roman" w:eastAsia="SimSun" w:hAnsi="Times New Roman"/>
          <w:bCs/>
          <w:iCs/>
          <w:sz w:val="24"/>
          <w:szCs w:val="24"/>
        </w:rPr>
        <w:t>/ден за 5дни</w:t>
      </w:r>
      <w:r w:rsidRPr="00AE47C6">
        <w:rPr>
          <w:rFonts w:ascii="Times New Roman" w:eastAsia="SimSun" w:hAnsi="Times New Roman"/>
          <w:bCs/>
          <w:sz w:val="24"/>
          <w:szCs w:val="24"/>
        </w:rPr>
        <w:t xml:space="preserve">. Приложението на </w:t>
      </w:r>
      <w:r w:rsidRPr="00AE47C6">
        <w:rPr>
          <w:rFonts w:ascii="Times New Roman" w:eastAsia="SimSun" w:hAnsi="Times New Roman"/>
          <w:bCs/>
          <w:i/>
          <w:sz w:val="24"/>
          <w:szCs w:val="24"/>
        </w:rPr>
        <w:t>IVIG</w:t>
      </w:r>
      <w:r w:rsidRPr="00AE47C6">
        <w:rPr>
          <w:rFonts w:ascii="Times New Roman" w:eastAsia="SimSun" w:hAnsi="Times New Roman"/>
          <w:b/>
          <w:bCs/>
          <w:i/>
          <w:sz w:val="24"/>
          <w:szCs w:val="24"/>
        </w:rPr>
        <w:t xml:space="preserve"> </w:t>
      </w:r>
      <w:r w:rsidRPr="00AE47C6">
        <w:rPr>
          <w:rFonts w:ascii="Times New Roman" w:eastAsia="SimSun" w:hAnsi="Times New Roman"/>
          <w:bCs/>
          <w:sz w:val="24"/>
          <w:szCs w:val="24"/>
        </w:rPr>
        <w:t xml:space="preserve">е с противоречиви резултати. </w:t>
      </w:r>
      <w:r w:rsidRPr="00AE47C6">
        <w:rPr>
          <w:rFonts w:ascii="Times New Roman" w:eastAsia="SimSun" w:hAnsi="Times New Roman"/>
          <w:bCs/>
          <w:i/>
          <w:sz w:val="24"/>
          <w:szCs w:val="24"/>
        </w:rPr>
        <w:t>Плазмаферезата</w:t>
      </w:r>
      <w:r w:rsidRPr="00AE47C6">
        <w:rPr>
          <w:rFonts w:ascii="Times New Roman" w:eastAsia="SimSun" w:hAnsi="Times New Roman"/>
          <w:b/>
          <w:bCs/>
          <w:i/>
          <w:sz w:val="24"/>
          <w:szCs w:val="24"/>
        </w:rPr>
        <w:t xml:space="preserve"> </w:t>
      </w:r>
      <w:r w:rsidRPr="00AE47C6">
        <w:rPr>
          <w:rFonts w:ascii="Times New Roman" w:eastAsia="SimSun" w:hAnsi="Times New Roman"/>
          <w:bCs/>
          <w:sz w:val="24"/>
          <w:szCs w:val="24"/>
        </w:rPr>
        <w:t xml:space="preserve">намалява нивото на цитокините при грипна или друга ОЕАВИ след пулс-терапията с КС, когато се появят симптоми на ДИК и мултиорганна недостатъчност. </w:t>
      </w:r>
      <w:r w:rsidRPr="00AE47C6">
        <w:rPr>
          <w:rFonts w:ascii="Times New Roman" w:eastAsia="SimSun" w:hAnsi="Times New Roman"/>
          <w:bCs/>
          <w:i/>
          <w:sz w:val="24"/>
          <w:szCs w:val="24"/>
        </w:rPr>
        <w:t>Антивирусни препарати</w:t>
      </w:r>
      <w:r w:rsidRPr="00AE47C6">
        <w:rPr>
          <w:rFonts w:ascii="Times New Roman" w:eastAsia="SimSun" w:hAnsi="Times New Roman"/>
          <w:b/>
          <w:bCs/>
          <w:i/>
          <w:sz w:val="24"/>
          <w:szCs w:val="24"/>
        </w:rPr>
        <w:t xml:space="preserve"> </w:t>
      </w:r>
      <w:r w:rsidRPr="00AE47C6">
        <w:rPr>
          <w:rFonts w:ascii="Times New Roman" w:eastAsia="SimSun" w:hAnsi="Times New Roman"/>
          <w:bCs/>
          <w:sz w:val="24"/>
          <w:szCs w:val="24"/>
        </w:rPr>
        <w:t xml:space="preserve">като </w:t>
      </w:r>
      <w:r w:rsidRPr="00AE47C6">
        <w:rPr>
          <w:rFonts w:ascii="Times New Roman" w:eastAsia="SimSun" w:hAnsi="Times New Roman"/>
          <w:i/>
          <w:sz w:val="24"/>
          <w:szCs w:val="24"/>
        </w:rPr>
        <w:t xml:space="preserve">oseltamivir </w:t>
      </w:r>
      <w:r w:rsidRPr="00AE47C6">
        <w:rPr>
          <w:rFonts w:ascii="Times New Roman" w:eastAsia="SimSun" w:hAnsi="Times New Roman"/>
          <w:bCs/>
          <w:sz w:val="24"/>
          <w:szCs w:val="24"/>
        </w:rPr>
        <w:t>се препоръчва при суспектна грипна енцефалопатия в първите 24ч. от клиничната изява 5 дни в доза 6</w:t>
      </w:r>
      <w:r w:rsidRPr="00AE47C6">
        <w:rPr>
          <w:rFonts w:ascii="Times New Roman" w:eastAsia="SimSun" w:hAnsi="Times New Roman"/>
          <w:sz w:val="24"/>
          <w:szCs w:val="24"/>
        </w:rPr>
        <w:t>mg/kg</w:t>
      </w:r>
      <w:r w:rsidRPr="00AE47C6">
        <w:rPr>
          <w:rFonts w:ascii="Times New Roman" w:eastAsia="SimSun" w:hAnsi="Times New Roman"/>
          <w:bCs/>
          <w:sz w:val="24"/>
          <w:szCs w:val="24"/>
        </w:rPr>
        <w:t>/ден орално с два приема. Може да се прилага и при деца под 1 г. възраст</w:t>
      </w:r>
      <w:r w:rsidRPr="00AE47C6">
        <w:rPr>
          <w:rFonts w:ascii="Times New Roman" w:eastAsia="SimSun" w:hAnsi="Times New Roman"/>
          <w:bCs/>
          <w:i/>
          <w:sz w:val="24"/>
          <w:szCs w:val="24"/>
        </w:rPr>
        <w:t>. Zanamivir</w:t>
      </w:r>
      <w:r w:rsidRPr="00AE47C6">
        <w:rPr>
          <w:rFonts w:ascii="Times New Roman" w:eastAsia="SimSun" w:hAnsi="Times New Roman"/>
          <w:bCs/>
          <w:sz w:val="24"/>
          <w:szCs w:val="24"/>
        </w:rPr>
        <w:t xml:space="preserve"> има същите индикации. Прилагат се и цитокинови инхибитори, напр. </w:t>
      </w:r>
      <w:r w:rsidRPr="00AE47C6">
        <w:rPr>
          <w:rFonts w:ascii="Times New Roman" w:eastAsia="SimSun" w:hAnsi="Times New Roman"/>
          <w:bCs/>
          <w:i/>
          <w:sz w:val="24"/>
          <w:szCs w:val="24"/>
        </w:rPr>
        <w:t>ulinostat</w:t>
      </w:r>
      <w:r w:rsidRPr="00AE47C6">
        <w:rPr>
          <w:rFonts w:ascii="Times New Roman" w:eastAsia="SimSun" w:hAnsi="Times New Roman"/>
          <w:bCs/>
          <w:sz w:val="24"/>
          <w:szCs w:val="24"/>
        </w:rPr>
        <w:t xml:space="preserve"> при липса на ефект от КС, Антитромбин ІІІ, cyclosporine А. </w:t>
      </w:r>
    </w:p>
    <w:p w14:paraId="25903A54" w14:textId="77777777" w:rsidR="00BE0B19" w:rsidRPr="00AE47C6" w:rsidRDefault="00BE0B19" w:rsidP="00BE0B19">
      <w:pPr>
        <w:tabs>
          <w:tab w:val="left" w:pos="9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Препоръки за диагностика и лечение на ОЕАВИ:</w:t>
      </w:r>
      <w:r w:rsidRPr="00AE47C6">
        <w:rPr>
          <w:rFonts w:ascii="Times New Roman" w:eastAsia="SimSun" w:hAnsi="Times New Roman"/>
          <w:sz w:val="24"/>
          <w:szCs w:val="24"/>
        </w:rPr>
        <w:t xml:space="preserve"> ОЕАВИ протичат тежко, с висока смъртност и остатъчна симптоматика, поради което за подобряване на прогнозата се препоръчва:</w:t>
      </w:r>
    </w:p>
    <w:p w14:paraId="291A6BE1" w14:textId="77777777" w:rsidR="00BE0B19" w:rsidRPr="00AE47C6" w:rsidRDefault="00BE0B19" w:rsidP="00BE0B19">
      <w:pPr>
        <w:numPr>
          <w:ilvl w:val="0"/>
          <w:numId w:val="270"/>
        </w:numPr>
        <w:tabs>
          <w:tab w:val="left" w:pos="900"/>
        </w:tab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 xml:space="preserve"> При енцефалопатия в хода на фебрилна и/или вирусна инфекция се изисква хоспитализация в интензивно отделение и максимално бързо диагностично уточняване. </w:t>
      </w:r>
    </w:p>
    <w:p w14:paraId="75A95586" w14:textId="77777777" w:rsidR="00BE0B19" w:rsidRPr="00AE47C6" w:rsidRDefault="00BE0B19" w:rsidP="00BE0B19">
      <w:pPr>
        <w:numPr>
          <w:ilvl w:val="0"/>
          <w:numId w:val="270"/>
        </w:numPr>
        <w:tabs>
          <w:tab w:val="left" w:pos="900"/>
        </w:tab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 xml:space="preserve"> В грипен сезон се започва </w:t>
      </w:r>
      <w:r w:rsidRPr="00AE47C6">
        <w:rPr>
          <w:rFonts w:ascii="Times New Roman" w:eastAsia="SimSun" w:hAnsi="Times New Roman"/>
          <w:i/>
          <w:sz w:val="24"/>
          <w:szCs w:val="24"/>
        </w:rPr>
        <w:t>oseltamivir 6 mg/kg/ден</w:t>
      </w:r>
      <w:r w:rsidRPr="00AE47C6">
        <w:rPr>
          <w:rFonts w:ascii="Times New Roman" w:eastAsia="SimSun" w:hAnsi="Times New Roman"/>
          <w:sz w:val="24"/>
          <w:szCs w:val="24"/>
        </w:rPr>
        <w:t xml:space="preserve"> на 2 приема орално.</w:t>
      </w:r>
    </w:p>
    <w:p w14:paraId="7C42FE1F" w14:textId="77777777" w:rsidR="00BE0B19" w:rsidRPr="00AE47C6" w:rsidRDefault="00BE0B19" w:rsidP="00BE0B19">
      <w:pPr>
        <w:numPr>
          <w:ilvl w:val="0"/>
          <w:numId w:val="270"/>
        </w:numPr>
        <w:tabs>
          <w:tab w:val="left" w:pos="900"/>
        </w:tab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 xml:space="preserve"> Липсата на фокална отпадна или възбудна симптоматика е в подкрепа на ОЕАВИ.</w:t>
      </w:r>
    </w:p>
    <w:p w14:paraId="311BE2A0" w14:textId="77777777" w:rsidR="00BE0B19" w:rsidRPr="00AE47C6" w:rsidRDefault="00BE0B19" w:rsidP="00BE0B19">
      <w:pPr>
        <w:numPr>
          <w:ilvl w:val="0"/>
          <w:numId w:val="270"/>
        </w:numPr>
        <w:tabs>
          <w:tab w:val="left" w:pos="900"/>
        </w:tab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 xml:space="preserve"> Своевременното изследване чрез МРТ или КТ или трансфонтанелна ехография при кърмачета, важно за установяване на мозъчен оток и диагностициране на ANE или друг синдром. Ликворно изследване трябва да се извърши максимално рано, преди клиничните данни за увеличено вътречерепно налягане. Доказването на хиперпротеинорахия и липсата на плеоцитоза подкрепят ОЕАВИ. Замразява се ликвор за бъдещи вирусологични, имунологични и други изследвания.</w:t>
      </w:r>
    </w:p>
    <w:p w14:paraId="15D1D53E" w14:textId="77777777" w:rsidR="00BE0B19" w:rsidRPr="00AE47C6" w:rsidRDefault="00BE0B19" w:rsidP="00BE0B19">
      <w:pPr>
        <w:numPr>
          <w:ilvl w:val="0"/>
          <w:numId w:val="270"/>
        </w:numPr>
        <w:tabs>
          <w:tab w:val="left" w:pos="900"/>
        </w:tab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 xml:space="preserve"> При подтиснато съзнание без огнищна симптоматика, с образни данни за дифузен или таламичен мозъчен оток и без ликворна плеоцитоза максимално бързо се включва пулс-терапия с </w:t>
      </w:r>
      <w:r w:rsidRPr="00AE47C6">
        <w:rPr>
          <w:rFonts w:ascii="Times New Roman" w:eastAsia="SimSun" w:hAnsi="Times New Roman"/>
          <w:i/>
          <w:sz w:val="24"/>
          <w:szCs w:val="24"/>
        </w:rPr>
        <w:t>methylprednisolone в доза 30 mg/kg/ден</w:t>
      </w:r>
      <w:r w:rsidRPr="00AE47C6">
        <w:rPr>
          <w:rFonts w:ascii="Times New Roman" w:eastAsia="SimSun" w:hAnsi="Times New Roman"/>
          <w:sz w:val="24"/>
          <w:szCs w:val="24"/>
        </w:rPr>
        <w:t xml:space="preserve"> за 5 дни.</w:t>
      </w:r>
    </w:p>
    <w:p w14:paraId="2DEE5915" w14:textId="77777777" w:rsidR="00BE0B19" w:rsidRPr="00AE47C6" w:rsidRDefault="00BE0B19" w:rsidP="00BE0B19">
      <w:pPr>
        <w:numPr>
          <w:ilvl w:val="0"/>
          <w:numId w:val="270"/>
        </w:numPr>
        <w:tabs>
          <w:tab w:val="left" w:pos="900"/>
        </w:tab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 xml:space="preserve"> Противоедемно лечение с </w:t>
      </w:r>
      <w:r w:rsidRPr="00AE47C6">
        <w:rPr>
          <w:rFonts w:ascii="Times New Roman" w:eastAsia="SimSun" w:hAnsi="Times New Roman"/>
          <w:i/>
          <w:sz w:val="24"/>
          <w:szCs w:val="24"/>
        </w:rPr>
        <w:t xml:space="preserve">mannitol </w:t>
      </w:r>
      <w:r w:rsidRPr="00AE47C6">
        <w:rPr>
          <w:rFonts w:ascii="Times New Roman" w:eastAsia="SimSun" w:hAnsi="Times New Roman"/>
          <w:sz w:val="24"/>
          <w:szCs w:val="24"/>
        </w:rPr>
        <w:t xml:space="preserve">1g/kg на прием 3-5 пъти дневно, furosemid 1mg/kg i.v., </w:t>
      </w:r>
    </w:p>
    <w:p w14:paraId="2BDC3EE4" w14:textId="77777777" w:rsidR="00BE0B19" w:rsidRPr="00AE47C6" w:rsidRDefault="00BE0B19" w:rsidP="00BE0B19">
      <w:pPr>
        <w:numPr>
          <w:ilvl w:val="0"/>
          <w:numId w:val="270"/>
        </w:numPr>
        <w:tabs>
          <w:tab w:val="left" w:pos="900"/>
        </w:tab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i/>
          <w:sz w:val="24"/>
          <w:szCs w:val="24"/>
        </w:rPr>
        <w:t xml:space="preserve"> Acyclovir 3х10 mg/kg i.v.</w:t>
      </w:r>
      <w:r w:rsidRPr="00AE47C6">
        <w:rPr>
          <w:rFonts w:ascii="Times New Roman" w:eastAsia="SimSun" w:hAnsi="Times New Roman"/>
          <w:sz w:val="24"/>
          <w:szCs w:val="24"/>
        </w:rPr>
        <w:t xml:space="preserve"> до изключване на херпетичен енцефалит</w:t>
      </w:r>
    </w:p>
    <w:p w14:paraId="3B657683" w14:textId="77777777" w:rsidR="00BE0B19" w:rsidRPr="00AE47C6" w:rsidRDefault="00BE0B19" w:rsidP="00BE0B19">
      <w:pPr>
        <w:numPr>
          <w:ilvl w:val="0"/>
          <w:numId w:val="270"/>
        </w:numPr>
        <w:tabs>
          <w:tab w:val="left" w:pos="900"/>
        </w:tab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 xml:space="preserve"> Антиконвулсанти при епилептични пристъпи, най-често Phenobarbital 10 mg/kg i.v. и поддържаща доза 2-5 mg/kg/ден, други антиконвулсанти при епилептичен статус (виж Национален консенсус за лечение на епилепсията, 2019).</w:t>
      </w:r>
    </w:p>
    <w:p w14:paraId="3E805695" w14:textId="77777777" w:rsidR="00BE0B19" w:rsidRPr="00AE47C6" w:rsidRDefault="00BE0B19" w:rsidP="00BE0B19">
      <w:pPr>
        <w:numPr>
          <w:ilvl w:val="0"/>
          <w:numId w:val="270"/>
        </w:numPr>
        <w:tabs>
          <w:tab w:val="left" w:pos="900"/>
        </w:tab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 xml:space="preserve"> Поведението се индивидуализира, следят хемодинамиката, хемостазата, чернодробните и бъбречни функции. </w:t>
      </w:r>
    </w:p>
    <w:p w14:paraId="5C86678C" w14:textId="77777777" w:rsidR="00BE0B19" w:rsidRPr="00AE47C6" w:rsidRDefault="00BE0B19" w:rsidP="00BE0B19">
      <w:pPr>
        <w:numPr>
          <w:ilvl w:val="0"/>
          <w:numId w:val="270"/>
        </w:numPr>
        <w:tabs>
          <w:tab w:val="left" w:pos="900"/>
        </w:tabs>
        <w:spacing w:after="0" w:line="360" w:lineRule="auto"/>
        <w:ind w:left="0" w:firstLine="709"/>
        <w:jc w:val="both"/>
        <w:rPr>
          <w:rFonts w:ascii="Times New Roman" w:eastAsia="SimSun" w:hAnsi="Times New Roman"/>
          <w:sz w:val="24"/>
          <w:szCs w:val="24"/>
        </w:rPr>
      </w:pPr>
      <w:r w:rsidRPr="00AE47C6">
        <w:rPr>
          <w:rFonts w:ascii="Times New Roman" w:eastAsia="SimSun" w:hAnsi="Times New Roman"/>
          <w:sz w:val="24"/>
          <w:szCs w:val="24"/>
        </w:rPr>
        <w:t xml:space="preserve">Изпращат се серум и ликвор за вирусологични и микробиологични изследвания, както и 24-часова урина и кръв за метаболитен скрининг. </w:t>
      </w:r>
    </w:p>
    <w:p w14:paraId="2B3F4266" w14:textId="77777777" w:rsidR="00BE0B19" w:rsidRPr="00AE47C6" w:rsidRDefault="00BE0B19" w:rsidP="00BE0B19">
      <w:pPr>
        <w:tabs>
          <w:tab w:val="left" w:pos="900"/>
        </w:tabs>
        <w:spacing w:after="0" w:line="360" w:lineRule="auto"/>
        <w:ind w:firstLine="709"/>
        <w:jc w:val="both"/>
        <w:rPr>
          <w:rFonts w:ascii="Times New Roman" w:eastAsia="SimSun" w:hAnsi="Times New Roman"/>
          <w:b/>
          <w:sz w:val="24"/>
          <w:szCs w:val="24"/>
        </w:rPr>
      </w:pPr>
    </w:p>
    <w:p w14:paraId="34E3030B" w14:textId="77777777" w:rsidR="00BE0B19" w:rsidRPr="00AE47C6" w:rsidRDefault="00BE0B19" w:rsidP="00BE0B19">
      <w:pPr>
        <w:tabs>
          <w:tab w:val="left" w:pos="900"/>
        </w:tabs>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Обобщен алгоритъм за диагностика и лечение на острите енцефалити и енцефалопатии:</w:t>
      </w:r>
    </w:p>
    <w:tbl>
      <w:tblPr>
        <w:tblStyle w:val="TableGrid2"/>
        <w:tblW w:w="9209" w:type="dxa"/>
        <w:tblLook w:val="04A0" w:firstRow="1" w:lastRow="0" w:firstColumn="1" w:lastColumn="0" w:noHBand="0" w:noVBand="1"/>
      </w:tblPr>
      <w:tblGrid>
        <w:gridCol w:w="9209"/>
      </w:tblGrid>
      <w:tr w:rsidR="00BE0B19" w:rsidRPr="00AE47C6" w14:paraId="73719965" w14:textId="77777777" w:rsidTr="00AD72E5">
        <w:tc>
          <w:tcPr>
            <w:tcW w:w="9209" w:type="dxa"/>
          </w:tcPr>
          <w:p w14:paraId="03F89B7C" w14:textId="77777777" w:rsidR="00BE0B19" w:rsidRPr="00AE47C6" w:rsidRDefault="00BE0B19" w:rsidP="00BE0B19">
            <w:pPr>
              <w:tabs>
                <w:tab w:val="left" w:pos="900"/>
              </w:tabs>
              <w:spacing w:after="0" w:line="360" w:lineRule="auto"/>
              <w:ind w:firstLine="709"/>
              <w:jc w:val="both"/>
              <w:rPr>
                <w:rFonts w:ascii="Times New Roman" w:hAnsi="Times New Roman"/>
                <w:sz w:val="24"/>
                <w:szCs w:val="24"/>
              </w:rPr>
            </w:pPr>
            <w:r w:rsidRPr="00AE47C6">
              <w:rPr>
                <w:rFonts w:ascii="Times New Roman" w:hAnsi="Times New Roman"/>
                <w:sz w:val="24"/>
                <w:szCs w:val="24"/>
              </w:rPr>
              <w:t>При Т</w:t>
            </w:r>
            <w:r w:rsidRPr="00AE47C6">
              <w:rPr>
                <w:rFonts w:ascii="Times New Roman" w:hAnsi="Times New Roman"/>
                <w:sz w:val="24"/>
                <w:szCs w:val="24"/>
                <w:vertAlign w:val="superscript"/>
              </w:rPr>
              <w:t>о</w:t>
            </w:r>
            <w:r w:rsidRPr="00AE47C6">
              <w:rPr>
                <w:rFonts w:ascii="Times New Roman" w:hAnsi="Times New Roman"/>
                <w:sz w:val="24"/>
                <w:szCs w:val="24"/>
              </w:rPr>
              <w:t>, изява на менингеален синдром (главоболие, повръщане, вратна стегнатост), епилептични припадъци, огнищна неврологична симптоматика, количествени и /или качествени нарушения на съзнанието: спешна консултация с инфекционист, невролог/детски невролог и хоспитализация в инфекциозно/ неврологично/ интензивно отделение за диагностициране на невроинфекция (енцефалит, вирус-индуцирана енцефалопатия), мониториране на виталните функции</w:t>
            </w:r>
            <w:r w:rsidRPr="00AE47C6">
              <w:rPr>
                <w:rFonts w:ascii="Times New Roman" w:hAnsi="Times New Roman"/>
                <w:b/>
                <w:sz w:val="24"/>
                <w:szCs w:val="24"/>
              </w:rPr>
              <w:t xml:space="preserve">. </w:t>
            </w:r>
          </w:p>
        </w:tc>
      </w:tr>
      <w:tr w:rsidR="00BE0B19" w:rsidRPr="00AE47C6" w14:paraId="7857491F" w14:textId="77777777" w:rsidTr="00AD72E5">
        <w:tc>
          <w:tcPr>
            <w:tcW w:w="9209" w:type="dxa"/>
          </w:tcPr>
          <w:p w14:paraId="68169E1E" w14:textId="77777777" w:rsidR="00BE0B19" w:rsidRPr="00AE47C6" w:rsidRDefault="00BE0B19" w:rsidP="00BE0B19">
            <w:pPr>
              <w:tabs>
                <w:tab w:val="left" w:pos="900"/>
              </w:tabs>
              <w:spacing w:after="0" w:line="360" w:lineRule="auto"/>
              <w:ind w:firstLine="709"/>
              <w:jc w:val="both"/>
              <w:rPr>
                <w:rFonts w:ascii="Times New Roman" w:hAnsi="Times New Roman"/>
                <w:sz w:val="24"/>
                <w:szCs w:val="24"/>
              </w:rPr>
            </w:pPr>
            <w:r w:rsidRPr="00AE47C6">
              <w:rPr>
                <w:rFonts w:ascii="Times New Roman" w:hAnsi="Times New Roman"/>
                <w:sz w:val="24"/>
                <w:szCs w:val="24"/>
              </w:rPr>
              <w:t xml:space="preserve">Хоспитализация в инфекциозно, неврологично/детско неврологично отделение/ клиника за диагностика, изследвания и лечение - провеждане на: </w:t>
            </w:r>
          </w:p>
          <w:p w14:paraId="46BCCA6D" w14:textId="77777777" w:rsidR="00BE0B19" w:rsidRPr="00AE47C6" w:rsidRDefault="00BE0B19" w:rsidP="00BE0B19">
            <w:pPr>
              <w:numPr>
                <w:ilvl w:val="0"/>
                <w:numId w:val="261"/>
              </w:numPr>
              <w:tabs>
                <w:tab w:val="left" w:pos="900"/>
              </w:tabs>
              <w:spacing w:after="0" w:line="360" w:lineRule="auto"/>
              <w:ind w:left="0" w:firstLine="709"/>
              <w:contextualSpacing/>
              <w:jc w:val="both"/>
              <w:rPr>
                <w:rFonts w:ascii="Times New Roman" w:hAnsi="Times New Roman"/>
                <w:sz w:val="24"/>
                <w:szCs w:val="24"/>
              </w:rPr>
            </w:pPr>
            <w:r w:rsidRPr="00AE47C6">
              <w:rPr>
                <w:rFonts w:ascii="Times New Roman" w:hAnsi="Times New Roman"/>
                <w:sz w:val="24"/>
                <w:szCs w:val="24"/>
              </w:rPr>
              <w:t>Ликворни изследвания (протеин, клетки, глюкоза, електрофореза, имуноглобулини), антитела (Табл. 4.19)</w:t>
            </w:r>
          </w:p>
          <w:p w14:paraId="53AE9628" w14:textId="77777777" w:rsidR="00BE0B19" w:rsidRPr="00AE47C6" w:rsidRDefault="00BE0B19" w:rsidP="00BE0B19">
            <w:pPr>
              <w:numPr>
                <w:ilvl w:val="0"/>
                <w:numId w:val="261"/>
              </w:numPr>
              <w:tabs>
                <w:tab w:val="left" w:pos="900"/>
              </w:tabs>
              <w:spacing w:after="0" w:line="360" w:lineRule="auto"/>
              <w:ind w:left="0" w:firstLine="709"/>
              <w:contextualSpacing/>
              <w:jc w:val="both"/>
              <w:rPr>
                <w:rFonts w:ascii="Times New Roman" w:hAnsi="Times New Roman"/>
                <w:sz w:val="24"/>
                <w:szCs w:val="24"/>
              </w:rPr>
            </w:pPr>
            <w:r w:rsidRPr="00AE47C6">
              <w:rPr>
                <w:rFonts w:ascii="Times New Roman" w:hAnsi="Times New Roman"/>
                <w:sz w:val="24"/>
                <w:szCs w:val="24"/>
              </w:rPr>
              <w:t xml:space="preserve">Серологични изследвания от ликвор и серум, вирусологични и микробиологични изследвания </w:t>
            </w:r>
          </w:p>
          <w:p w14:paraId="6BC35F36" w14:textId="77777777" w:rsidR="00BE0B19" w:rsidRPr="00AE47C6" w:rsidRDefault="00BE0B19" w:rsidP="00BE0B19">
            <w:pPr>
              <w:numPr>
                <w:ilvl w:val="0"/>
                <w:numId w:val="261"/>
              </w:numPr>
              <w:tabs>
                <w:tab w:val="left" w:pos="900"/>
              </w:tabs>
              <w:spacing w:after="0" w:line="360" w:lineRule="auto"/>
              <w:ind w:left="0" w:firstLine="709"/>
              <w:contextualSpacing/>
              <w:jc w:val="both"/>
              <w:rPr>
                <w:rFonts w:ascii="Times New Roman" w:hAnsi="Times New Roman"/>
                <w:sz w:val="24"/>
                <w:szCs w:val="24"/>
              </w:rPr>
            </w:pPr>
            <w:r w:rsidRPr="00AE47C6">
              <w:rPr>
                <w:rFonts w:ascii="Times New Roman" w:hAnsi="Times New Roman"/>
                <w:sz w:val="24"/>
                <w:szCs w:val="24"/>
              </w:rPr>
              <w:t>Невроизобразяващи изследвания - МРТ или КТ</w:t>
            </w:r>
          </w:p>
          <w:p w14:paraId="41287CEC" w14:textId="77777777" w:rsidR="00BE0B19" w:rsidRPr="00AE47C6" w:rsidRDefault="00BE0B19" w:rsidP="00BE0B19">
            <w:pPr>
              <w:tabs>
                <w:tab w:val="left" w:pos="900"/>
              </w:tabs>
              <w:spacing w:after="0" w:line="360" w:lineRule="auto"/>
              <w:ind w:firstLine="709"/>
              <w:contextualSpacing/>
              <w:jc w:val="both"/>
              <w:rPr>
                <w:rFonts w:ascii="Times New Roman" w:hAnsi="Times New Roman"/>
                <w:b/>
                <w:sz w:val="24"/>
                <w:szCs w:val="24"/>
              </w:rPr>
            </w:pPr>
            <w:r w:rsidRPr="00AE47C6">
              <w:rPr>
                <w:rFonts w:ascii="Times New Roman" w:hAnsi="Times New Roman"/>
                <w:b/>
                <w:sz w:val="24"/>
                <w:szCs w:val="24"/>
              </w:rPr>
              <w:t xml:space="preserve">Лечение: </w:t>
            </w:r>
          </w:p>
          <w:p w14:paraId="494D4F90" w14:textId="77777777" w:rsidR="00BE0B19" w:rsidRPr="00AE47C6" w:rsidRDefault="00BE0B19" w:rsidP="00BE0B19">
            <w:pPr>
              <w:numPr>
                <w:ilvl w:val="0"/>
                <w:numId w:val="261"/>
              </w:numPr>
              <w:tabs>
                <w:tab w:val="left" w:pos="900"/>
              </w:tabs>
              <w:spacing w:after="0" w:line="360" w:lineRule="auto"/>
              <w:ind w:left="0" w:firstLine="709"/>
              <w:contextualSpacing/>
              <w:jc w:val="both"/>
              <w:rPr>
                <w:rFonts w:ascii="Times New Roman" w:hAnsi="Times New Roman"/>
                <w:sz w:val="24"/>
                <w:szCs w:val="24"/>
              </w:rPr>
            </w:pPr>
            <w:r w:rsidRPr="00AE47C6">
              <w:rPr>
                <w:rFonts w:ascii="Times New Roman" w:hAnsi="Times New Roman"/>
                <w:sz w:val="24"/>
                <w:szCs w:val="24"/>
              </w:rPr>
              <w:t>Мониториране и поддържане на витални функции</w:t>
            </w:r>
          </w:p>
          <w:p w14:paraId="35F21B62" w14:textId="77777777" w:rsidR="00BE0B19" w:rsidRPr="00AE47C6" w:rsidRDefault="00BE0B19" w:rsidP="00BE0B19">
            <w:pPr>
              <w:numPr>
                <w:ilvl w:val="0"/>
                <w:numId w:val="261"/>
              </w:numPr>
              <w:tabs>
                <w:tab w:val="left" w:pos="900"/>
              </w:tabs>
              <w:spacing w:after="0" w:line="360" w:lineRule="auto"/>
              <w:ind w:left="0" w:firstLine="709"/>
              <w:contextualSpacing/>
              <w:jc w:val="both"/>
              <w:rPr>
                <w:rFonts w:ascii="Times New Roman" w:hAnsi="Times New Roman"/>
                <w:sz w:val="24"/>
                <w:szCs w:val="24"/>
              </w:rPr>
            </w:pPr>
            <w:r w:rsidRPr="00AE47C6">
              <w:rPr>
                <w:rFonts w:ascii="Times New Roman" w:hAnsi="Times New Roman"/>
                <w:sz w:val="24"/>
                <w:szCs w:val="24"/>
              </w:rPr>
              <w:t xml:space="preserve">Специфично антивирусно лечение при herpes simplex енцефалит, varicella-zoster вирусните енцефалити (Acyclovir i.v. 30 mg/kg дн. (8 mg/kg на всеки 8 часа) за 14 дни, при деца до 60 mg/kg дн (20 mg/kg на всеки 8 часа) 21 дни; </w:t>
            </w:r>
          </w:p>
          <w:p w14:paraId="241150CD" w14:textId="77777777" w:rsidR="00BE0B19" w:rsidRPr="00AE47C6" w:rsidRDefault="00BE0B19" w:rsidP="00BE0B19">
            <w:pPr>
              <w:numPr>
                <w:ilvl w:val="0"/>
                <w:numId w:val="261"/>
              </w:numPr>
              <w:tabs>
                <w:tab w:val="left" w:pos="900"/>
              </w:tabs>
              <w:spacing w:after="0" w:line="360" w:lineRule="auto"/>
              <w:ind w:left="0" w:firstLine="709"/>
              <w:contextualSpacing/>
              <w:jc w:val="both"/>
              <w:rPr>
                <w:rFonts w:ascii="Times New Roman" w:hAnsi="Times New Roman"/>
                <w:sz w:val="24"/>
                <w:szCs w:val="24"/>
              </w:rPr>
            </w:pPr>
            <w:r w:rsidRPr="00AE47C6">
              <w:rPr>
                <w:rFonts w:ascii="Times New Roman" w:hAnsi="Times New Roman"/>
                <w:sz w:val="24"/>
                <w:szCs w:val="24"/>
              </w:rPr>
              <w:t xml:space="preserve">Специфично лечение за автоимунни енцефалити (кортикостероиди или друг тип имуносупресивно лечение - I и II избор; </w:t>
            </w:r>
          </w:p>
          <w:p w14:paraId="475585EA" w14:textId="77777777" w:rsidR="00BE0B19" w:rsidRPr="00AE47C6" w:rsidRDefault="00BE0B19" w:rsidP="00BE0B19">
            <w:pPr>
              <w:numPr>
                <w:ilvl w:val="0"/>
                <w:numId w:val="261"/>
              </w:numPr>
              <w:tabs>
                <w:tab w:val="left" w:pos="900"/>
              </w:tabs>
              <w:spacing w:after="0" w:line="360" w:lineRule="auto"/>
              <w:ind w:left="0" w:firstLine="709"/>
              <w:contextualSpacing/>
              <w:jc w:val="both"/>
              <w:rPr>
                <w:rFonts w:ascii="Times New Roman" w:hAnsi="Times New Roman"/>
                <w:sz w:val="24"/>
                <w:szCs w:val="24"/>
              </w:rPr>
            </w:pPr>
            <w:r w:rsidRPr="00AE47C6">
              <w:rPr>
                <w:rFonts w:ascii="Times New Roman" w:hAnsi="Times New Roman"/>
                <w:sz w:val="24"/>
                <w:szCs w:val="24"/>
              </w:rPr>
              <w:t xml:space="preserve">Специфично лечение за ОЕАВИ- антиедемно лечение </w:t>
            </w:r>
          </w:p>
          <w:p w14:paraId="36FF39C0" w14:textId="77777777" w:rsidR="00BE0B19" w:rsidRPr="00AE47C6" w:rsidRDefault="00BE0B19" w:rsidP="00BE0B19">
            <w:pPr>
              <w:numPr>
                <w:ilvl w:val="0"/>
                <w:numId w:val="261"/>
              </w:numPr>
              <w:tabs>
                <w:tab w:val="left" w:pos="900"/>
              </w:tabs>
              <w:spacing w:after="0" w:line="360" w:lineRule="auto"/>
              <w:ind w:left="0" w:firstLine="709"/>
              <w:contextualSpacing/>
              <w:jc w:val="both"/>
              <w:rPr>
                <w:rFonts w:ascii="Times New Roman" w:hAnsi="Times New Roman"/>
                <w:b/>
                <w:sz w:val="24"/>
                <w:szCs w:val="24"/>
              </w:rPr>
            </w:pPr>
            <w:r w:rsidRPr="00AE47C6">
              <w:rPr>
                <w:rFonts w:ascii="Times New Roman" w:hAnsi="Times New Roman"/>
                <w:sz w:val="24"/>
                <w:szCs w:val="24"/>
              </w:rPr>
              <w:t>Симптоматично лечение на фебрилитета, мозъчният оток и епилептичните припадъци, водно-солева реанимация, профилактика на декубитусите, дълбоките венозни тромбози, аспирационната пневмония и мускулните контрактури</w:t>
            </w:r>
          </w:p>
        </w:tc>
      </w:tr>
    </w:tbl>
    <w:p w14:paraId="479D2A50" w14:textId="77777777" w:rsidR="00BE0B19" w:rsidRPr="00AE47C6" w:rsidRDefault="00BE0B19" w:rsidP="00BE0B19">
      <w:pPr>
        <w:tabs>
          <w:tab w:val="left" w:pos="900"/>
        </w:tabs>
        <w:spacing w:after="0" w:line="360" w:lineRule="auto"/>
        <w:ind w:firstLine="709"/>
        <w:jc w:val="both"/>
        <w:rPr>
          <w:rFonts w:ascii="Times New Roman" w:eastAsia="SimSun" w:hAnsi="Times New Roman"/>
          <w:b/>
          <w:sz w:val="24"/>
          <w:szCs w:val="24"/>
        </w:rPr>
      </w:pPr>
    </w:p>
    <w:p w14:paraId="736D293C" w14:textId="77777777" w:rsidR="00BE0B19" w:rsidRPr="00AE47C6" w:rsidRDefault="00BE0B19" w:rsidP="00BE0B19">
      <w:pPr>
        <w:tabs>
          <w:tab w:val="left" w:pos="900"/>
        </w:tabs>
        <w:spacing w:after="0" w:line="360" w:lineRule="auto"/>
        <w:ind w:firstLine="709"/>
        <w:jc w:val="both"/>
        <w:rPr>
          <w:rFonts w:ascii="Times New Roman" w:eastAsia="SimSun" w:hAnsi="Times New Roman"/>
          <w:bCs/>
          <w:i/>
          <w:sz w:val="24"/>
          <w:szCs w:val="24"/>
        </w:rPr>
      </w:pPr>
      <w:r w:rsidRPr="00AE47C6">
        <w:rPr>
          <w:rFonts w:ascii="Times New Roman" w:eastAsia="SimSun" w:hAnsi="Times New Roman"/>
          <w:b/>
          <w:bCs/>
          <w:sz w:val="24"/>
          <w:szCs w:val="24"/>
        </w:rPr>
        <w:t xml:space="preserve">Табл. 4. 19. </w:t>
      </w:r>
      <w:r w:rsidRPr="00AE47C6">
        <w:rPr>
          <w:rFonts w:ascii="Times New Roman" w:eastAsia="SimSun" w:hAnsi="Times New Roman"/>
          <w:bCs/>
          <w:sz w:val="24"/>
          <w:szCs w:val="24"/>
        </w:rPr>
        <w:t>Ликворна находка при по-честите енцефалити/енцефалопатии</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6"/>
        <w:gridCol w:w="1088"/>
        <w:gridCol w:w="1249"/>
        <w:gridCol w:w="926"/>
        <w:gridCol w:w="1185"/>
        <w:gridCol w:w="1185"/>
        <w:gridCol w:w="897"/>
        <w:gridCol w:w="1356"/>
      </w:tblGrid>
      <w:tr w:rsidR="00BE0B19" w:rsidRPr="00AE47C6" w14:paraId="0BEB0B2D" w14:textId="77777777" w:rsidTr="00AD72E5">
        <w:tc>
          <w:tcPr>
            <w:tcW w:w="1278" w:type="dxa"/>
          </w:tcPr>
          <w:p w14:paraId="3DD3CB66" w14:textId="77777777" w:rsidR="00BE0B19" w:rsidRPr="00AE47C6" w:rsidRDefault="00BE0B19" w:rsidP="00BE0B19">
            <w:pPr>
              <w:tabs>
                <w:tab w:val="left" w:pos="900"/>
              </w:tabs>
              <w:spacing w:after="0" w:line="360" w:lineRule="auto"/>
              <w:jc w:val="both"/>
              <w:rPr>
                <w:rFonts w:ascii="Times New Roman" w:eastAsia="SimSun" w:hAnsi="Times New Roman"/>
                <w:b/>
                <w:sz w:val="24"/>
                <w:szCs w:val="24"/>
              </w:rPr>
            </w:pPr>
          </w:p>
        </w:tc>
        <w:tc>
          <w:tcPr>
            <w:tcW w:w="1170" w:type="dxa"/>
          </w:tcPr>
          <w:p w14:paraId="012ED16A" w14:textId="77777777" w:rsidR="00BE0B19" w:rsidRPr="00AE47C6" w:rsidRDefault="00BE0B19" w:rsidP="00BE0B19">
            <w:pPr>
              <w:tabs>
                <w:tab w:val="left" w:pos="900"/>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Макроскопски вид</w:t>
            </w:r>
          </w:p>
        </w:tc>
        <w:tc>
          <w:tcPr>
            <w:tcW w:w="1346" w:type="dxa"/>
          </w:tcPr>
          <w:p w14:paraId="7C247C50" w14:textId="77777777" w:rsidR="00BE0B19" w:rsidRPr="00AE47C6" w:rsidRDefault="00BE0B19" w:rsidP="00BE0B19">
            <w:pPr>
              <w:tabs>
                <w:tab w:val="left" w:pos="900"/>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Налягане</w:t>
            </w:r>
          </w:p>
        </w:tc>
        <w:tc>
          <w:tcPr>
            <w:tcW w:w="992" w:type="dxa"/>
          </w:tcPr>
          <w:p w14:paraId="1EC1FABB" w14:textId="77777777" w:rsidR="00BE0B19" w:rsidRPr="00AE47C6" w:rsidRDefault="00BE0B19" w:rsidP="00BE0B19">
            <w:pPr>
              <w:tabs>
                <w:tab w:val="left" w:pos="900"/>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Протеини g/l</w:t>
            </w:r>
          </w:p>
        </w:tc>
        <w:tc>
          <w:tcPr>
            <w:tcW w:w="1276" w:type="dxa"/>
          </w:tcPr>
          <w:p w14:paraId="12BCAC15" w14:textId="77777777" w:rsidR="00BE0B19" w:rsidRPr="00AE47C6" w:rsidRDefault="00BE0B19" w:rsidP="00BE0B19">
            <w:pPr>
              <w:tabs>
                <w:tab w:val="left" w:pos="900"/>
              </w:tabs>
              <w:spacing w:after="0" w:line="360" w:lineRule="auto"/>
              <w:jc w:val="both"/>
              <w:rPr>
                <w:rFonts w:ascii="Times New Roman" w:eastAsia="SimSun" w:hAnsi="Times New Roman"/>
                <w:b/>
                <w:sz w:val="24"/>
                <w:szCs w:val="24"/>
                <w:vertAlign w:val="superscript"/>
              </w:rPr>
            </w:pPr>
            <w:r w:rsidRPr="00AE47C6">
              <w:rPr>
                <w:rFonts w:ascii="Times New Roman" w:eastAsia="SimSun" w:hAnsi="Times New Roman"/>
                <w:b/>
                <w:sz w:val="24"/>
                <w:szCs w:val="24"/>
              </w:rPr>
              <w:t>Плеоцитоза mm</w:t>
            </w:r>
            <w:r w:rsidRPr="00AE47C6">
              <w:rPr>
                <w:rFonts w:ascii="Times New Roman" w:eastAsia="SimSun" w:hAnsi="Times New Roman"/>
                <w:b/>
                <w:sz w:val="24"/>
                <w:szCs w:val="24"/>
                <w:vertAlign w:val="superscript"/>
              </w:rPr>
              <w:t>3</w:t>
            </w:r>
          </w:p>
        </w:tc>
        <w:tc>
          <w:tcPr>
            <w:tcW w:w="1276" w:type="dxa"/>
          </w:tcPr>
          <w:p w14:paraId="6B22546E" w14:textId="77777777" w:rsidR="00BE0B19" w:rsidRPr="00AE47C6" w:rsidRDefault="00BE0B19" w:rsidP="00BE0B19">
            <w:pPr>
              <w:tabs>
                <w:tab w:val="left" w:pos="900"/>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Ликворна захар</w:t>
            </w:r>
          </w:p>
        </w:tc>
        <w:tc>
          <w:tcPr>
            <w:tcW w:w="960" w:type="dxa"/>
          </w:tcPr>
          <w:p w14:paraId="1F0DDFA6" w14:textId="77777777" w:rsidR="00BE0B19" w:rsidRPr="00AE47C6" w:rsidRDefault="00BE0B19" w:rsidP="00BE0B19">
            <w:pPr>
              <w:tabs>
                <w:tab w:val="left" w:pos="900"/>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Олигоклон. ивици</w:t>
            </w:r>
          </w:p>
        </w:tc>
        <w:tc>
          <w:tcPr>
            <w:tcW w:w="1464" w:type="dxa"/>
          </w:tcPr>
          <w:p w14:paraId="72499521" w14:textId="77777777" w:rsidR="00BE0B19" w:rsidRPr="00AE47C6" w:rsidRDefault="00BE0B19" w:rsidP="00BE0B19">
            <w:pPr>
              <w:tabs>
                <w:tab w:val="left" w:pos="900"/>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тест в ликвор</w:t>
            </w:r>
          </w:p>
        </w:tc>
      </w:tr>
      <w:tr w:rsidR="00BE0B19" w:rsidRPr="00AE47C6" w14:paraId="2F9D7AF0" w14:textId="77777777" w:rsidTr="00AD72E5">
        <w:tc>
          <w:tcPr>
            <w:tcW w:w="1278" w:type="dxa"/>
          </w:tcPr>
          <w:p w14:paraId="53187E4F"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Нормален ликвор</w:t>
            </w:r>
          </w:p>
        </w:tc>
        <w:tc>
          <w:tcPr>
            <w:tcW w:w="1170" w:type="dxa"/>
          </w:tcPr>
          <w:p w14:paraId="6DB2890B"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Бистър</w:t>
            </w:r>
          </w:p>
        </w:tc>
        <w:tc>
          <w:tcPr>
            <w:tcW w:w="1346" w:type="dxa"/>
          </w:tcPr>
          <w:p w14:paraId="75405DDC"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Изтича на</w:t>
            </w:r>
          </w:p>
          <w:p w14:paraId="415DAC4B"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бавна капка</w:t>
            </w:r>
          </w:p>
        </w:tc>
        <w:tc>
          <w:tcPr>
            <w:tcW w:w="992" w:type="dxa"/>
          </w:tcPr>
          <w:p w14:paraId="41A79E53"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0,45 (до 0,8за новородени)</w:t>
            </w:r>
          </w:p>
        </w:tc>
        <w:tc>
          <w:tcPr>
            <w:tcW w:w="1276" w:type="dxa"/>
          </w:tcPr>
          <w:p w14:paraId="5671B144"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До 5-10 (до 30 за</w:t>
            </w:r>
          </w:p>
          <w:p w14:paraId="62AA52BF"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новород.);&lt;7% сегментоядрени </w:t>
            </w:r>
          </w:p>
        </w:tc>
        <w:tc>
          <w:tcPr>
            <w:tcW w:w="1276" w:type="dxa"/>
          </w:tcPr>
          <w:p w14:paraId="3B354972"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Над 50 % от</w:t>
            </w:r>
          </w:p>
          <w:p w14:paraId="064F6F03"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нивото на кр.</w:t>
            </w:r>
          </w:p>
          <w:p w14:paraId="30627C57"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захар</w:t>
            </w:r>
          </w:p>
        </w:tc>
        <w:tc>
          <w:tcPr>
            <w:tcW w:w="960" w:type="dxa"/>
          </w:tcPr>
          <w:p w14:paraId="4D48DC90"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Няма</w:t>
            </w:r>
          </w:p>
        </w:tc>
        <w:tc>
          <w:tcPr>
            <w:tcW w:w="1464" w:type="dxa"/>
          </w:tcPr>
          <w:p w14:paraId="7F425AAC"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w:t>
            </w:r>
          </w:p>
        </w:tc>
      </w:tr>
      <w:tr w:rsidR="00BE0B19" w:rsidRPr="00AE47C6" w14:paraId="1D5C7E8C" w14:textId="77777777" w:rsidTr="00AD72E5">
        <w:tc>
          <w:tcPr>
            <w:tcW w:w="1278" w:type="dxa"/>
          </w:tcPr>
          <w:p w14:paraId="478205CE"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Херпес енцефалит</w:t>
            </w:r>
          </w:p>
        </w:tc>
        <w:tc>
          <w:tcPr>
            <w:tcW w:w="1170" w:type="dxa"/>
          </w:tcPr>
          <w:p w14:paraId="622587A6"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Бистър, или ксантохромен</w:t>
            </w:r>
          </w:p>
        </w:tc>
        <w:tc>
          <w:tcPr>
            <w:tcW w:w="1346" w:type="dxa"/>
          </w:tcPr>
          <w:p w14:paraId="54D1E703"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Нормално или леко повишено</w:t>
            </w:r>
          </w:p>
        </w:tc>
        <w:tc>
          <w:tcPr>
            <w:tcW w:w="992" w:type="dxa"/>
          </w:tcPr>
          <w:p w14:paraId="139833A9"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Над 0,45g/L</w:t>
            </w:r>
          </w:p>
        </w:tc>
        <w:tc>
          <w:tcPr>
            <w:tcW w:w="1276" w:type="dxa"/>
          </w:tcPr>
          <w:p w14:paraId="51029E81"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До 200-500, лимфоцити, често еритроцити; възможна начална неутроф. плеоцитоза</w:t>
            </w:r>
          </w:p>
        </w:tc>
        <w:tc>
          <w:tcPr>
            <w:tcW w:w="1276" w:type="dxa"/>
          </w:tcPr>
          <w:p w14:paraId="6C8798F9"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Нормална</w:t>
            </w:r>
          </w:p>
        </w:tc>
        <w:tc>
          <w:tcPr>
            <w:tcW w:w="960" w:type="dxa"/>
          </w:tcPr>
          <w:p w14:paraId="290467B1"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Няма</w:t>
            </w:r>
          </w:p>
        </w:tc>
        <w:tc>
          <w:tcPr>
            <w:tcW w:w="1464" w:type="dxa"/>
          </w:tcPr>
          <w:p w14:paraId="290AC60C"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PCR; специфични антивирусни IgM</w:t>
            </w:r>
          </w:p>
        </w:tc>
      </w:tr>
      <w:tr w:rsidR="00BE0B19" w:rsidRPr="00AE47C6" w14:paraId="3DECFBA3" w14:textId="77777777" w:rsidTr="00AD72E5">
        <w:tc>
          <w:tcPr>
            <w:tcW w:w="1278" w:type="dxa"/>
          </w:tcPr>
          <w:p w14:paraId="006F7F94"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Друг вирусен енцефалит</w:t>
            </w:r>
          </w:p>
        </w:tc>
        <w:tc>
          <w:tcPr>
            <w:tcW w:w="1170" w:type="dxa"/>
          </w:tcPr>
          <w:p w14:paraId="507E0584"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Бистър до</w:t>
            </w:r>
          </w:p>
          <w:p w14:paraId="0DA66E00"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леко опалесцентен</w:t>
            </w:r>
          </w:p>
        </w:tc>
        <w:tc>
          <w:tcPr>
            <w:tcW w:w="1346" w:type="dxa"/>
          </w:tcPr>
          <w:p w14:paraId="44D6BB29"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Леко повишено</w:t>
            </w:r>
          </w:p>
        </w:tc>
        <w:tc>
          <w:tcPr>
            <w:tcW w:w="992" w:type="dxa"/>
          </w:tcPr>
          <w:p w14:paraId="7CD6E078"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0,45-1</w:t>
            </w:r>
          </w:p>
        </w:tc>
        <w:tc>
          <w:tcPr>
            <w:tcW w:w="1276" w:type="dxa"/>
          </w:tcPr>
          <w:p w14:paraId="5A6E4DDC"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200-500-1000, рядко повече,</w:t>
            </w:r>
          </w:p>
          <w:p w14:paraId="54ADCAE9"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предимно лимфоцити</w:t>
            </w:r>
          </w:p>
        </w:tc>
        <w:tc>
          <w:tcPr>
            <w:tcW w:w="1276" w:type="dxa"/>
          </w:tcPr>
          <w:p w14:paraId="2A4E2C41"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Нормална </w:t>
            </w:r>
          </w:p>
        </w:tc>
        <w:tc>
          <w:tcPr>
            <w:tcW w:w="960" w:type="dxa"/>
          </w:tcPr>
          <w:p w14:paraId="14048AC3"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Няма</w:t>
            </w:r>
          </w:p>
        </w:tc>
        <w:tc>
          <w:tcPr>
            <w:tcW w:w="1464" w:type="dxa"/>
          </w:tcPr>
          <w:p w14:paraId="0D4C29D1"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PCR; специф. антивирусни IgM</w:t>
            </w:r>
          </w:p>
        </w:tc>
      </w:tr>
      <w:tr w:rsidR="00BE0B19" w:rsidRPr="00AE47C6" w14:paraId="1C20A651" w14:textId="77777777" w:rsidTr="00AD72E5">
        <w:tc>
          <w:tcPr>
            <w:tcW w:w="1278" w:type="dxa"/>
          </w:tcPr>
          <w:p w14:paraId="477E6558"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ADEM</w:t>
            </w:r>
          </w:p>
        </w:tc>
        <w:tc>
          <w:tcPr>
            <w:tcW w:w="1170" w:type="dxa"/>
          </w:tcPr>
          <w:p w14:paraId="5702C599"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Бистър</w:t>
            </w:r>
          </w:p>
        </w:tc>
        <w:tc>
          <w:tcPr>
            <w:tcW w:w="1346" w:type="dxa"/>
          </w:tcPr>
          <w:p w14:paraId="20635640"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Нормално или леко повишено</w:t>
            </w:r>
          </w:p>
        </w:tc>
        <w:tc>
          <w:tcPr>
            <w:tcW w:w="992" w:type="dxa"/>
          </w:tcPr>
          <w:p w14:paraId="1DF09CA9"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0,45-1</w:t>
            </w:r>
          </w:p>
        </w:tc>
        <w:tc>
          <w:tcPr>
            <w:tcW w:w="1276" w:type="dxa"/>
          </w:tcPr>
          <w:p w14:paraId="32B6B6D8"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По-често до 100; лимфоцити</w:t>
            </w:r>
          </w:p>
        </w:tc>
        <w:tc>
          <w:tcPr>
            <w:tcW w:w="1276" w:type="dxa"/>
          </w:tcPr>
          <w:p w14:paraId="26913FD5"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Нормална</w:t>
            </w:r>
          </w:p>
        </w:tc>
        <w:tc>
          <w:tcPr>
            <w:tcW w:w="960" w:type="dxa"/>
          </w:tcPr>
          <w:p w14:paraId="2D4A8D2C"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Няма</w:t>
            </w:r>
          </w:p>
        </w:tc>
        <w:tc>
          <w:tcPr>
            <w:tcW w:w="1464" w:type="dxa"/>
          </w:tcPr>
          <w:p w14:paraId="20168CB4"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Няма</w:t>
            </w:r>
          </w:p>
        </w:tc>
      </w:tr>
      <w:tr w:rsidR="00BE0B19" w:rsidRPr="00AE47C6" w14:paraId="3DBBDFE9" w14:textId="77777777" w:rsidTr="00AD72E5">
        <w:tc>
          <w:tcPr>
            <w:tcW w:w="1278" w:type="dxa"/>
          </w:tcPr>
          <w:p w14:paraId="2B992B7F"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Автоимунен енцефалит</w:t>
            </w:r>
          </w:p>
        </w:tc>
        <w:tc>
          <w:tcPr>
            <w:tcW w:w="1170" w:type="dxa"/>
          </w:tcPr>
          <w:p w14:paraId="2E267836"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Бистър</w:t>
            </w:r>
          </w:p>
        </w:tc>
        <w:tc>
          <w:tcPr>
            <w:tcW w:w="1346" w:type="dxa"/>
          </w:tcPr>
          <w:p w14:paraId="14DE77A0"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Нормално</w:t>
            </w:r>
          </w:p>
        </w:tc>
        <w:tc>
          <w:tcPr>
            <w:tcW w:w="992" w:type="dxa"/>
          </w:tcPr>
          <w:p w14:paraId="359FFDF5"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Рядко увеличен</w:t>
            </w:r>
          </w:p>
        </w:tc>
        <w:tc>
          <w:tcPr>
            <w:tcW w:w="1276" w:type="dxa"/>
          </w:tcPr>
          <w:p w14:paraId="55DE68C2"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Често лека плеоцитоза</w:t>
            </w:r>
          </w:p>
        </w:tc>
        <w:tc>
          <w:tcPr>
            <w:tcW w:w="1276" w:type="dxa"/>
          </w:tcPr>
          <w:p w14:paraId="5065C2A0"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Нормална</w:t>
            </w:r>
          </w:p>
        </w:tc>
        <w:tc>
          <w:tcPr>
            <w:tcW w:w="960" w:type="dxa"/>
          </w:tcPr>
          <w:p w14:paraId="6AE86065"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Има</w:t>
            </w:r>
          </w:p>
        </w:tc>
        <w:tc>
          <w:tcPr>
            <w:tcW w:w="1464" w:type="dxa"/>
          </w:tcPr>
          <w:p w14:paraId="6FC6EE96"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Антиневронални антитела</w:t>
            </w:r>
          </w:p>
        </w:tc>
      </w:tr>
      <w:tr w:rsidR="00BE0B19" w:rsidRPr="00AE47C6" w14:paraId="1A725769" w14:textId="77777777" w:rsidTr="00AD72E5">
        <w:tc>
          <w:tcPr>
            <w:tcW w:w="1278" w:type="dxa"/>
          </w:tcPr>
          <w:p w14:paraId="6B89CB61"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Остра енцефалопатия, асоциирана с вирусна инфекция</w:t>
            </w:r>
          </w:p>
        </w:tc>
        <w:tc>
          <w:tcPr>
            <w:tcW w:w="1170" w:type="dxa"/>
          </w:tcPr>
          <w:p w14:paraId="204C2AFF"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Бистър</w:t>
            </w:r>
          </w:p>
        </w:tc>
        <w:tc>
          <w:tcPr>
            <w:tcW w:w="1346" w:type="dxa"/>
          </w:tcPr>
          <w:p w14:paraId="251A3BB3"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Повишено </w:t>
            </w:r>
          </w:p>
        </w:tc>
        <w:tc>
          <w:tcPr>
            <w:tcW w:w="992" w:type="dxa"/>
          </w:tcPr>
          <w:p w14:paraId="7A710B4E"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Повишен</w:t>
            </w:r>
          </w:p>
        </w:tc>
        <w:tc>
          <w:tcPr>
            <w:tcW w:w="1276" w:type="dxa"/>
          </w:tcPr>
          <w:p w14:paraId="5DCBA1E6"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Липсва</w:t>
            </w:r>
          </w:p>
        </w:tc>
        <w:tc>
          <w:tcPr>
            <w:tcW w:w="1276" w:type="dxa"/>
          </w:tcPr>
          <w:p w14:paraId="680EEA6A"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Нормална</w:t>
            </w:r>
          </w:p>
        </w:tc>
        <w:tc>
          <w:tcPr>
            <w:tcW w:w="960" w:type="dxa"/>
          </w:tcPr>
          <w:p w14:paraId="1F43D9FF"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Няма</w:t>
            </w:r>
          </w:p>
        </w:tc>
        <w:tc>
          <w:tcPr>
            <w:tcW w:w="1464" w:type="dxa"/>
          </w:tcPr>
          <w:p w14:paraId="090EDE49"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Липса на вирус в ликвора</w:t>
            </w:r>
          </w:p>
        </w:tc>
      </w:tr>
      <w:tr w:rsidR="00BE0B19" w:rsidRPr="00AE47C6" w14:paraId="6CC466FE" w14:textId="77777777" w:rsidTr="00AD72E5">
        <w:tc>
          <w:tcPr>
            <w:tcW w:w="1278" w:type="dxa"/>
          </w:tcPr>
          <w:p w14:paraId="2F901629"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Нелекуван остър бактериален менингоенцефалит</w:t>
            </w:r>
          </w:p>
        </w:tc>
        <w:tc>
          <w:tcPr>
            <w:tcW w:w="1170" w:type="dxa"/>
          </w:tcPr>
          <w:p w14:paraId="45AEF384"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Белезникав, мътен до</w:t>
            </w:r>
          </w:p>
          <w:p w14:paraId="63C0F9E0"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гноен</w:t>
            </w:r>
          </w:p>
        </w:tc>
        <w:tc>
          <w:tcPr>
            <w:tcW w:w="1346" w:type="dxa"/>
          </w:tcPr>
          <w:p w14:paraId="7D3EE7EE"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Обикновенно повишено</w:t>
            </w:r>
          </w:p>
        </w:tc>
        <w:tc>
          <w:tcPr>
            <w:tcW w:w="992" w:type="dxa"/>
          </w:tcPr>
          <w:p w14:paraId="71548254"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1-5</w:t>
            </w:r>
          </w:p>
        </w:tc>
        <w:tc>
          <w:tcPr>
            <w:tcW w:w="1276" w:type="dxa"/>
          </w:tcPr>
          <w:p w14:paraId="5218CDDF"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2000 – 20 000,</w:t>
            </w:r>
          </w:p>
          <w:p w14:paraId="1C9EB982"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предимно неутрофили</w:t>
            </w:r>
          </w:p>
        </w:tc>
        <w:tc>
          <w:tcPr>
            <w:tcW w:w="1276" w:type="dxa"/>
          </w:tcPr>
          <w:p w14:paraId="103F6D5F"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Снижена &lt; 30 % от кръвната</w:t>
            </w:r>
          </w:p>
          <w:p w14:paraId="6C539161"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захар</w:t>
            </w:r>
          </w:p>
        </w:tc>
        <w:tc>
          <w:tcPr>
            <w:tcW w:w="960" w:type="dxa"/>
          </w:tcPr>
          <w:p w14:paraId="5CFD1519"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Няма</w:t>
            </w:r>
          </w:p>
        </w:tc>
        <w:tc>
          <w:tcPr>
            <w:tcW w:w="1464" w:type="dxa"/>
          </w:tcPr>
          <w:p w14:paraId="741F386B"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Ликворна култура, PCR, бързи антигенни тестове</w:t>
            </w:r>
          </w:p>
        </w:tc>
      </w:tr>
      <w:tr w:rsidR="00BE0B19" w:rsidRPr="00AE47C6" w14:paraId="3AC59239" w14:textId="77777777" w:rsidTr="00AD72E5">
        <w:tc>
          <w:tcPr>
            <w:tcW w:w="1278" w:type="dxa"/>
          </w:tcPr>
          <w:p w14:paraId="45AFFD82"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Частично лекуван бактериален менингоенцефалит</w:t>
            </w:r>
          </w:p>
        </w:tc>
        <w:tc>
          <w:tcPr>
            <w:tcW w:w="1170" w:type="dxa"/>
          </w:tcPr>
          <w:p w14:paraId="0B9D38F9"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Белезникав или опалесцентен</w:t>
            </w:r>
          </w:p>
        </w:tc>
        <w:tc>
          <w:tcPr>
            <w:tcW w:w="1346" w:type="dxa"/>
          </w:tcPr>
          <w:p w14:paraId="299F6CA5"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Нормално или леко</w:t>
            </w:r>
          </w:p>
          <w:p w14:paraId="6417B4A8"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повишено</w:t>
            </w:r>
          </w:p>
        </w:tc>
        <w:tc>
          <w:tcPr>
            <w:tcW w:w="992" w:type="dxa"/>
          </w:tcPr>
          <w:p w14:paraId="7C7A6C24"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Над 1</w:t>
            </w:r>
          </w:p>
        </w:tc>
        <w:tc>
          <w:tcPr>
            <w:tcW w:w="1276" w:type="dxa"/>
          </w:tcPr>
          <w:p w14:paraId="7F939C7B"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1000 и повече, предимно неутрофили</w:t>
            </w:r>
          </w:p>
        </w:tc>
        <w:tc>
          <w:tcPr>
            <w:tcW w:w="1276" w:type="dxa"/>
          </w:tcPr>
          <w:p w14:paraId="5CE7212E"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Снижена или</w:t>
            </w:r>
          </w:p>
          <w:p w14:paraId="29F0BD5A"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нормална</w:t>
            </w:r>
          </w:p>
        </w:tc>
        <w:tc>
          <w:tcPr>
            <w:tcW w:w="960" w:type="dxa"/>
          </w:tcPr>
          <w:p w14:paraId="139CDECB"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Няма</w:t>
            </w:r>
          </w:p>
        </w:tc>
        <w:tc>
          <w:tcPr>
            <w:tcW w:w="1464" w:type="dxa"/>
          </w:tcPr>
          <w:p w14:paraId="041BD4F6"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Ликворна култура (рядко), PCR, бързи антигенни тестове</w:t>
            </w:r>
          </w:p>
        </w:tc>
      </w:tr>
      <w:tr w:rsidR="00BE0B19" w:rsidRPr="00AE47C6" w14:paraId="5AC60799" w14:textId="77777777" w:rsidTr="00AD72E5">
        <w:tc>
          <w:tcPr>
            <w:tcW w:w="1278" w:type="dxa"/>
          </w:tcPr>
          <w:p w14:paraId="488758AB"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ТБК менингит</w:t>
            </w:r>
          </w:p>
        </w:tc>
        <w:tc>
          <w:tcPr>
            <w:tcW w:w="1170" w:type="dxa"/>
          </w:tcPr>
          <w:p w14:paraId="0B61684C"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Бистър, фибринова мрежа </w:t>
            </w:r>
          </w:p>
        </w:tc>
        <w:tc>
          <w:tcPr>
            <w:tcW w:w="1346" w:type="dxa"/>
          </w:tcPr>
          <w:p w14:paraId="32EAECB9"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Леко повишено</w:t>
            </w:r>
          </w:p>
        </w:tc>
        <w:tc>
          <w:tcPr>
            <w:tcW w:w="992" w:type="dxa"/>
          </w:tcPr>
          <w:p w14:paraId="79884920"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0,5-3 </w:t>
            </w:r>
          </w:p>
        </w:tc>
        <w:tc>
          <w:tcPr>
            <w:tcW w:w="1276" w:type="dxa"/>
          </w:tcPr>
          <w:p w14:paraId="7C6A3B3F"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50-500, предимно лимфоцити</w:t>
            </w:r>
          </w:p>
        </w:tc>
        <w:tc>
          <w:tcPr>
            <w:tcW w:w="1276" w:type="dxa"/>
          </w:tcPr>
          <w:p w14:paraId="126FCC03"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Снижена &lt;30 % от кр. захар</w:t>
            </w:r>
          </w:p>
        </w:tc>
        <w:tc>
          <w:tcPr>
            <w:tcW w:w="960" w:type="dxa"/>
          </w:tcPr>
          <w:p w14:paraId="65F246C2"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Няма</w:t>
            </w:r>
          </w:p>
        </w:tc>
        <w:tc>
          <w:tcPr>
            <w:tcW w:w="1464" w:type="dxa"/>
          </w:tcPr>
          <w:p w14:paraId="1A917F1C" w14:textId="77777777" w:rsidR="00BE0B19" w:rsidRPr="00AE47C6" w:rsidRDefault="00BE0B19" w:rsidP="00BE0B19">
            <w:pPr>
              <w:tabs>
                <w:tab w:val="left" w:pos="9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IGRA тест н периферна кръв</w:t>
            </w:r>
          </w:p>
        </w:tc>
      </w:tr>
    </w:tbl>
    <w:p w14:paraId="7A1E5BC9" w14:textId="77777777" w:rsidR="00BE0B19" w:rsidRPr="00AE47C6" w:rsidRDefault="00BE0B19" w:rsidP="00BE0B19">
      <w:pPr>
        <w:spacing w:after="0" w:line="360" w:lineRule="auto"/>
        <w:contextualSpacing/>
        <w:jc w:val="both"/>
        <w:rPr>
          <w:rFonts w:ascii="Times New Roman" w:eastAsia="SimSun" w:hAnsi="Times New Roman"/>
          <w:sz w:val="24"/>
          <w:szCs w:val="24"/>
        </w:rPr>
      </w:pPr>
    </w:p>
    <w:p w14:paraId="79B41ABD" w14:textId="77777777" w:rsidR="00BE0B19" w:rsidRPr="00AE47C6" w:rsidRDefault="00BE0B19" w:rsidP="00BE0B19">
      <w:pPr>
        <w:keepNext/>
        <w:keepLines/>
        <w:pageBreakBefore/>
        <w:spacing w:before="480" w:after="480"/>
        <w:outlineLvl w:val="0"/>
        <w:rPr>
          <w:rFonts w:ascii="Times New Roman" w:eastAsia="SimSun" w:hAnsi="Times New Roman"/>
          <w:b/>
          <w:bCs/>
          <w:sz w:val="28"/>
          <w:szCs w:val="28"/>
        </w:rPr>
      </w:pPr>
      <w:bookmarkStart w:id="123" w:name="_Toc155651760"/>
      <w:bookmarkStart w:id="124" w:name="_Toc164075892"/>
      <w:r w:rsidRPr="00AE47C6">
        <w:rPr>
          <w:rFonts w:ascii="Times New Roman" w:eastAsia="SimSun" w:hAnsi="Times New Roman"/>
          <w:b/>
          <w:bCs/>
          <w:sz w:val="28"/>
          <w:szCs w:val="28"/>
        </w:rPr>
        <w:t>5. Невролипидози, левкодистрофии, и церебеларни дегенеративни заболявания</w:t>
      </w:r>
      <w:bookmarkEnd w:id="123"/>
      <w:bookmarkEnd w:id="124"/>
    </w:p>
    <w:p w14:paraId="0D72B415" w14:textId="77777777" w:rsidR="00BE0B19" w:rsidRPr="00AE47C6" w:rsidRDefault="00BE0B19" w:rsidP="00BE0B19">
      <w:pPr>
        <w:widowControl w:val="0"/>
        <w:adjustRightInd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Невролипидозите, обменните енцефалопатии, левкодистрофиите и церебеларни дегенерации са редки </w:t>
      </w:r>
      <w:r w:rsidRPr="00AE47C6">
        <w:rPr>
          <w:rFonts w:ascii="Times New Roman" w:eastAsia="SimSun" w:hAnsi="Times New Roman"/>
          <w:bCs/>
          <w:sz w:val="24"/>
          <w:szCs w:val="24"/>
        </w:rPr>
        <w:t>дегенеративни или дизметаболитни заболявания на ЦНС.</w:t>
      </w:r>
      <w:r w:rsidRPr="00AE47C6">
        <w:rPr>
          <w:rFonts w:ascii="Times New Roman" w:eastAsia="SimSun" w:hAnsi="Times New Roman"/>
          <w:sz w:val="24"/>
          <w:szCs w:val="24"/>
        </w:rPr>
        <w:t xml:space="preserve"> Класифицират се като:</w:t>
      </w:r>
    </w:p>
    <w:p w14:paraId="04734101"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w:t>
      </w:r>
      <w:r w:rsidRPr="00AE47C6">
        <w:rPr>
          <w:rFonts w:ascii="Times New Roman" w:eastAsia="SimSun" w:hAnsi="Times New Roman"/>
          <w:b/>
          <w:bCs/>
          <w:sz w:val="24"/>
          <w:szCs w:val="24"/>
        </w:rPr>
        <w:t>Болести с натрупване в лизозомите</w:t>
      </w:r>
      <w:r w:rsidRPr="00AE47C6">
        <w:rPr>
          <w:rFonts w:ascii="Times New Roman" w:eastAsia="SimSun" w:hAnsi="Times New Roman"/>
          <w:sz w:val="24"/>
          <w:szCs w:val="24"/>
        </w:rPr>
        <w:t xml:space="preserve"> (невролипидози): </w:t>
      </w:r>
      <w:r w:rsidRPr="00AE47C6">
        <w:rPr>
          <w:rFonts w:ascii="Times New Roman" w:eastAsia="SimSun" w:hAnsi="Times New Roman"/>
          <w:b/>
          <w:bCs/>
          <w:sz w:val="24"/>
          <w:szCs w:val="24"/>
        </w:rPr>
        <w:t xml:space="preserve">ганглиозидози </w:t>
      </w:r>
      <w:r w:rsidRPr="00AE47C6">
        <w:rPr>
          <w:rFonts w:ascii="Times New Roman" w:eastAsia="SimSun" w:hAnsi="Times New Roman"/>
          <w:sz w:val="24"/>
          <w:szCs w:val="24"/>
        </w:rPr>
        <w:t xml:space="preserve">(сфинголипидози) - </w:t>
      </w:r>
      <w:r w:rsidRPr="00AE47C6">
        <w:rPr>
          <w:rFonts w:ascii="Times New Roman" w:eastAsia="SimSun" w:hAnsi="Times New Roman"/>
          <w:b/>
          <w:bCs/>
          <w:sz w:val="24"/>
          <w:szCs w:val="24"/>
        </w:rPr>
        <w:t xml:space="preserve">цереброзидози </w:t>
      </w:r>
      <w:r w:rsidRPr="00AE47C6">
        <w:rPr>
          <w:rFonts w:ascii="Times New Roman" w:eastAsia="SimSun" w:hAnsi="Times New Roman"/>
          <w:sz w:val="24"/>
          <w:szCs w:val="24"/>
        </w:rPr>
        <w:t xml:space="preserve">(Болест на Gaucher, Болест на Fabry), </w:t>
      </w:r>
      <w:r w:rsidRPr="00AE47C6">
        <w:rPr>
          <w:rFonts w:ascii="Times New Roman" w:eastAsia="SimSun" w:hAnsi="Times New Roman"/>
          <w:b/>
          <w:bCs/>
          <w:sz w:val="24"/>
          <w:szCs w:val="24"/>
        </w:rPr>
        <w:t xml:space="preserve">сфингомиелинози </w:t>
      </w:r>
      <w:r w:rsidRPr="00AE47C6">
        <w:rPr>
          <w:rFonts w:ascii="Times New Roman" w:eastAsia="SimSun" w:hAnsi="Times New Roman"/>
          <w:sz w:val="24"/>
          <w:szCs w:val="24"/>
        </w:rPr>
        <w:t>(Болест на Nieman-Pick</w:t>
      </w:r>
      <w:r w:rsidRPr="00AE47C6">
        <w:rPr>
          <w:rFonts w:ascii="Times New Roman" w:eastAsia="SimSun" w:hAnsi="Times New Roman"/>
          <w:color w:val="FF0000"/>
          <w:lang w:eastAsia="bg-BG"/>
        </w:rPr>
        <w:t xml:space="preserve"> </w:t>
      </w:r>
      <w:r w:rsidRPr="00AE47C6">
        <w:rPr>
          <w:rFonts w:ascii="Times New Roman" w:eastAsia="SimSun" w:hAnsi="Times New Roman"/>
          <w:sz w:val="24"/>
          <w:szCs w:val="24"/>
          <w:lang w:eastAsia="bg-BG"/>
        </w:rPr>
        <w:t>тип А, тип В,  тип A/B и тип C)</w:t>
      </w:r>
      <w:r w:rsidRPr="00AE47C6">
        <w:rPr>
          <w:rFonts w:ascii="Times New Roman" w:eastAsia="SimSun" w:hAnsi="Times New Roman"/>
          <w:sz w:val="24"/>
          <w:szCs w:val="24"/>
        </w:rPr>
        <w:t xml:space="preserve">, </w:t>
      </w:r>
      <w:r w:rsidRPr="00AE47C6">
        <w:rPr>
          <w:rFonts w:ascii="Times New Roman" w:eastAsia="SimSun" w:hAnsi="Times New Roman"/>
          <w:b/>
          <w:bCs/>
          <w:sz w:val="24"/>
          <w:szCs w:val="24"/>
        </w:rPr>
        <w:t>сиалидози</w:t>
      </w:r>
      <w:r w:rsidRPr="00AE47C6">
        <w:rPr>
          <w:rFonts w:ascii="Times New Roman" w:eastAsia="SimSun" w:hAnsi="Times New Roman"/>
          <w:sz w:val="24"/>
          <w:szCs w:val="24"/>
        </w:rPr>
        <w:t xml:space="preserve">; </w:t>
      </w:r>
      <w:r w:rsidRPr="00AE47C6">
        <w:rPr>
          <w:rFonts w:ascii="Times New Roman" w:eastAsia="SimSun" w:hAnsi="Times New Roman"/>
          <w:b/>
          <w:bCs/>
          <w:sz w:val="24"/>
          <w:szCs w:val="24"/>
        </w:rPr>
        <w:t>мукополизахаридози; други миоклонус епилепсии</w:t>
      </w:r>
      <w:r w:rsidRPr="00AE47C6">
        <w:rPr>
          <w:rFonts w:ascii="Times New Roman" w:eastAsia="SimSun" w:hAnsi="Times New Roman"/>
          <w:sz w:val="24"/>
          <w:szCs w:val="24"/>
        </w:rPr>
        <w:t xml:space="preserve">. </w:t>
      </w:r>
    </w:p>
    <w:p w14:paraId="54917FC1" w14:textId="77777777" w:rsidR="00BE0B19" w:rsidRPr="00AE47C6" w:rsidRDefault="00BE0B19" w:rsidP="00BE0B19">
      <w:pPr>
        <w:tabs>
          <w:tab w:val="left" w:pos="15451"/>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b/>
          <w:bCs/>
          <w:sz w:val="24"/>
          <w:szCs w:val="24"/>
        </w:rPr>
        <w:t>- Левкодистрофии и левкоенцефалопатии</w:t>
      </w:r>
    </w:p>
    <w:p w14:paraId="6CDEF863" w14:textId="77777777" w:rsidR="00BE0B19" w:rsidRPr="00AE47C6" w:rsidRDefault="00BE0B19" w:rsidP="00BE0B19">
      <w:pPr>
        <w:tabs>
          <w:tab w:val="left" w:pos="15451"/>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b/>
          <w:bCs/>
          <w:sz w:val="24"/>
          <w:szCs w:val="24"/>
        </w:rPr>
        <w:t>- Засягащи горен и долен моторен неврон и пирамидни пътища</w:t>
      </w:r>
      <w:r w:rsidRPr="00AE47C6">
        <w:rPr>
          <w:rFonts w:ascii="Times New Roman" w:eastAsia="SimSun" w:hAnsi="Times New Roman"/>
          <w:sz w:val="24"/>
          <w:szCs w:val="24"/>
        </w:rPr>
        <w:t xml:space="preserve"> (Латерална амиотрофична склероза, Фамилна спастична параплегия, Спинална мускулна атрофия) </w:t>
      </w:r>
    </w:p>
    <w:p w14:paraId="40EBCFAC" w14:textId="77777777" w:rsidR="00BE0B19" w:rsidRPr="00AE47C6" w:rsidRDefault="00BE0B19" w:rsidP="00BE0B19">
      <w:pPr>
        <w:tabs>
          <w:tab w:val="left" w:pos="15451"/>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b/>
          <w:bCs/>
          <w:sz w:val="24"/>
          <w:szCs w:val="24"/>
        </w:rPr>
        <w:t xml:space="preserve">- Базални </w:t>
      </w:r>
      <w:r w:rsidRPr="00AE47C6">
        <w:rPr>
          <w:rFonts w:ascii="Times New Roman" w:eastAsia="SimSun" w:hAnsi="Times New Roman"/>
          <w:b/>
          <w:sz w:val="24"/>
          <w:szCs w:val="24"/>
        </w:rPr>
        <w:t>ганглии</w:t>
      </w:r>
      <w:r w:rsidRPr="00AE47C6">
        <w:rPr>
          <w:rFonts w:ascii="Times New Roman" w:eastAsia="SimSun" w:hAnsi="Times New Roman"/>
          <w:sz w:val="24"/>
          <w:szCs w:val="24"/>
        </w:rPr>
        <w:t xml:space="preserve">: </w:t>
      </w:r>
    </w:p>
    <w:p w14:paraId="318ACDEE" w14:textId="77777777" w:rsidR="00BE0B19" w:rsidRPr="00AE47C6" w:rsidRDefault="00BE0B19" w:rsidP="00BE0B19">
      <w:pPr>
        <w:tabs>
          <w:tab w:val="left" w:pos="15451"/>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        - </w:t>
      </w:r>
      <w:r w:rsidRPr="00AE47C6">
        <w:rPr>
          <w:rFonts w:ascii="Times New Roman" w:eastAsia="SimSun" w:hAnsi="Times New Roman"/>
          <w:b/>
          <w:sz w:val="24"/>
          <w:szCs w:val="24"/>
        </w:rPr>
        <w:t>С начало в детската възраст</w:t>
      </w:r>
      <w:r w:rsidRPr="00AE47C6">
        <w:rPr>
          <w:rFonts w:ascii="Times New Roman" w:eastAsia="SimSun" w:hAnsi="Times New Roman"/>
          <w:sz w:val="24"/>
          <w:szCs w:val="24"/>
        </w:rPr>
        <w:t xml:space="preserve">: dystonia progressiva deformans, Болест на Hallervorden-Spatz, Болест на Fahr; </w:t>
      </w:r>
    </w:p>
    <w:p w14:paraId="350AF223" w14:textId="77777777" w:rsidR="00BE0B19" w:rsidRPr="00AE47C6" w:rsidRDefault="00BE0B19" w:rsidP="00BE0B19">
      <w:pPr>
        <w:tabs>
          <w:tab w:val="left" w:pos="15451"/>
          <w:tab w:val="left" w:pos="16440"/>
        </w:tabs>
        <w:spacing w:after="0" w:line="360" w:lineRule="auto"/>
        <w:jc w:val="both"/>
        <w:rPr>
          <w:rFonts w:ascii="Times New Roman" w:eastAsia="SimSun" w:hAnsi="Times New Roman"/>
          <w:b/>
          <w:bCs/>
          <w:sz w:val="24"/>
          <w:szCs w:val="24"/>
        </w:rPr>
      </w:pPr>
      <w:r w:rsidRPr="00AE47C6">
        <w:rPr>
          <w:rFonts w:ascii="Times New Roman" w:eastAsia="SimSun" w:hAnsi="Times New Roman"/>
          <w:b/>
          <w:sz w:val="24"/>
          <w:szCs w:val="24"/>
        </w:rPr>
        <w:t>- Малък мозък: Церебеларни дегенеративни заболявания</w:t>
      </w:r>
      <w:r w:rsidRPr="00AE47C6">
        <w:rPr>
          <w:rFonts w:ascii="Times New Roman" w:eastAsia="SimSun" w:hAnsi="Times New Roman"/>
          <w:sz w:val="24"/>
          <w:szCs w:val="24"/>
        </w:rPr>
        <w:t xml:space="preserve"> (спиноцеребеларни, церебеларни и цереброцеребеларни атаксии) </w:t>
      </w:r>
      <w:r w:rsidRPr="00AE47C6">
        <w:rPr>
          <w:rFonts w:ascii="Times New Roman" w:eastAsia="SimSun" w:hAnsi="Times New Roman"/>
          <w:b/>
          <w:sz w:val="24"/>
          <w:szCs w:val="24"/>
        </w:rPr>
        <w:t>Автозомно-доминантни атаксии (</w:t>
      </w:r>
      <w:r w:rsidRPr="00AE47C6">
        <w:rPr>
          <w:rFonts w:ascii="Times New Roman" w:eastAsia="SimSun" w:hAnsi="Times New Roman"/>
          <w:sz w:val="24"/>
          <w:szCs w:val="24"/>
        </w:rPr>
        <w:t>АД спиноцеребеларни атаксии; Епизодични атаксии - EA1-7; АД митохондриални болести с атаксия)</w:t>
      </w:r>
      <w:r w:rsidRPr="00AE47C6">
        <w:rPr>
          <w:rFonts w:ascii="Times New Roman" w:eastAsia="SimSun" w:hAnsi="Times New Roman"/>
          <w:b/>
          <w:sz w:val="24"/>
          <w:szCs w:val="24"/>
        </w:rPr>
        <w:t>; Автозомно-рецесивни а</w:t>
      </w:r>
      <w:r w:rsidRPr="00AE47C6">
        <w:rPr>
          <w:rFonts w:ascii="Times New Roman" w:eastAsia="SimSun" w:hAnsi="Times New Roman"/>
          <w:b/>
          <w:bCs/>
          <w:sz w:val="24"/>
          <w:szCs w:val="24"/>
        </w:rPr>
        <w:t>таксии</w:t>
      </w:r>
      <w:r w:rsidRPr="00AE47C6">
        <w:rPr>
          <w:rFonts w:ascii="Times New Roman" w:eastAsia="SimSun" w:hAnsi="Times New Roman"/>
          <w:sz w:val="24"/>
          <w:szCs w:val="24"/>
        </w:rPr>
        <w:t xml:space="preserve"> /при вродени</w:t>
      </w:r>
      <w:r w:rsidRPr="00AE47C6">
        <w:rPr>
          <w:rFonts w:ascii="Times New Roman" w:eastAsia="SimSun" w:hAnsi="Times New Roman"/>
          <w:bCs/>
          <w:sz w:val="24"/>
          <w:szCs w:val="24"/>
        </w:rPr>
        <w:t xml:space="preserve"> дефекти в развитието; при метаболитни дефекти; при нарушения в ДНК възстановяването; дегенеративни прогресиращи и асоциирани с други симптоми/; </w:t>
      </w:r>
      <w:r w:rsidRPr="00AE47C6">
        <w:rPr>
          <w:rFonts w:ascii="Times New Roman" w:eastAsia="SimSun" w:hAnsi="Times New Roman"/>
          <w:b/>
          <w:sz w:val="24"/>
          <w:szCs w:val="24"/>
        </w:rPr>
        <w:t>X-свързани /</w:t>
      </w:r>
      <w:r w:rsidRPr="00AE47C6">
        <w:rPr>
          <w:rFonts w:ascii="Times New Roman" w:eastAsia="SimSun" w:hAnsi="Times New Roman"/>
          <w:sz w:val="24"/>
          <w:szCs w:val="24"/>
        </w:rPr>
        <w:t xml:space="preserve">Синдром Х чуплива хромозома – тремор/атаксия; X-свързани митохондриални болести и атаксия (XLSA/A)/; </w:t>
      </w:r>
      <w:r w:rsidRPr="00AE47C6">
        <w:rPr>
          <w:rFonts w:ascii="Times New Roman" w:eastAsia="SimSun" w:hAnsi="Times New Roman"/>
          <w:b/>
          <w:sz w:val="24"/>
          <w:szCs w:val="24"/>
        </w:rPr>
        <w:t>Хередоатаксии с майчино унаследяване; Спорадични атаксии /</w:t>
      </w:r>
      <w:r w:rsidRPr="00AE47C6">
        <w:rPr>
          <w:rFonts w:ascii="Times New Roman" w:eastAsia="SimSun" w:hAnsi="Times New Roman"/>
          <w:sz w:val="24"/>
          <w:szCs w:val="24"/>
        </w:rPr>
        <w:t>Церебеларна атаксия с късно начало; Оливо-понто-церебеларна атрофия (OPCA); Церебеларен тип мултисистемна атрофия/</w:t>
      </w:r>
    </w:p>
    <w:p w14:paraId="7FF7F7E9" w14:textId="77777777" w:rsidR="00BE0B19" w:rsidRPr="00AE47C6" w:rsidRDefault="00BE0B19" w:rsidP="00BE0B19">
      <w:pPr>
        <w:spacing w:after="0" w:line="360" w:lineRule="auto"/>
        <w:ind w:firstLine="436"/>
        <w:jc w:val="both"/>
        <w:rPr>
          <w:rFonts w:ascii="Times New Roman" w:eastAsia="SimSun" w:hAnsi="Times New Roman"/>
          <w:b/>
          <w:bCs/>
          <w:sz w:val="24"/>
          <w:szCs w:val="24"/>
        </w:rPr>
      </w:pPr>
      <w:r w:rsidRPr="00AE47C6">
        <w:rPr>
          <w:rFonts w:ascii="Times New Roman" w:eastAsia="SimSun" w:hAnsi="Times New Roman"/>
          <w:b/>
          <w:bCs/>
          <w:sz w:val="24"/>
          <w:szCs w:val="24"/>
        </w:rPr>
        <w:t>Диагностицирането на генетичните, дегенеративните и дизметаболитни заболявания на ЦНС включва</w:t>
      </w:r>
      <w:r w:rsidRPr="00AE47C6">
        <w:rPr>
          <w:rFonts w:ascii="Times New Roman" w:eastAsia="SimSun" w:hAnsi="Times New Roman"/>
          <w:b/>
          <w:bCs/>
          <w:caps/>
          <w:sz w:val="24"/>
          <w:szCs w:val="24"/>
        </w:rPr>
        <w:t>:</w:t>
      </w:r>
    </w:p>
    <w:p w14:paraId="66EEA59F" w14:textId="77777777" w:rsidR="00BE0B19" w:rsidRPr="00AE47C6" w:rsidRDefault="00BE0B19" w:rsidP="00BE0B19">
      <w:pPr>
        <w:numPr>
          <w:ilvl w:val="0"/>
          <w:numId w:val="278"/>
        </w:numPr>
        <w:tabs>
          <w:tab w:val="left" w:pos="426"/>
        </w:tabs>
        <w:spacing w:after="0" w:line="360" w:lineRule="auto"/>
        <w:contextualSpacing/>
        <w:jc w:val="both"/>
        <w:rPr>
          <w:rFonts w:ascii="Times New Roman" w:eastAsia="SimSun" w:hAnsi="Times New Roman"/>
          <w:bCs/>
          <w:sz w:val="24"/>
          <w:szCs w:val="24"/>
        </w:rPr>
      </w:pPr>
      <w:r w:rsidRPr="00AE47C6">
        <w:rPr>
          <w:rFonts w:ascii="Times New Roman" w:eastAsia="SimSun" w:hAnsi="Times New Roman"/>
          <w:bCs/>
          <w:sz w:val="24"/>
          <w:szCs w:val="24"/>
        </w:rPr>
        <w:t xml:space="preserve">Неврологично изследване в динамика с данни за прогресиращ неврологичен дефицит; </w:t>
      </w:r>
    </w:p>
    <w:p w14:paraId="6C54A7E4" w14:textId="77777777" w:rsidR="00BE0B19" w:rsidRPr="00AE47C6" w:rsidRDefault="00BE0B19" w:rsidP="00BE0B19">
      <w:pPr>
        <w:numPr>
          <w:ilvl w:val="0"/>
          <w:numId w:val="278"/>
        </w:numPr>
        <w:tabs>
          <w:tab w:val="left" w:pos="426"/>
        </w:tabs>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Офталмологично изследване - амблиопия, амавроза;</w:t>
      </w:r>
    </w:p>
    <w:p w14:paraId="06B9BB96" w14:textId="77777777" w:rsidR="00BE0B19" w:rsidRPr="00AE47C6" w:rsidRDefault="00BE0B19" w:rsidP="00BE0B19">
      <w:pPr>
        <w:numPr>
          <w:ilvl w:val="0"/>
          <w:numId w:val="278"/>
        </w:numPr>
        <w:tabs>
          <w:tab w:val="left" w:pos="426"/>
        </w:tabs>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КТ/МРТ на главен мозък - обширна демиелинизация, обща или локализирана прогресираща мозъчна атрофия; </w:t>
      </w:r>
    </w:p>
    <w:p w14:paraId="1E5E1062" w14:textId="77777777" w:rsidR="00BE0B19" w:rsidRPr="00AE47C6" w:rsidRDefault="00BE0B19" w:rsidP="00BE0B19">
      <w:pPr>
        <w:numPr>
          <w:ilvl w:val="0"/>
          <w:numId w:val="278"/>
        </w:numPr>
        <w:tabs>
          <w:tab w:val="left" w:pos="426"/>
        </w:tabs>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Ликворно изследване - увеличен белтък → ДД при ЛАС, за наследствена спастична парапареза, за SMA, за болест на Friedreich, болести с натрупване в лизозомите, левкодистрофии</w:t>
      </w:r>
    </w:p>
    <w:p w14:paraId="19A73D7F" w14:textId="77777777" w:rsidR="00BE0B19" w:rsidRPr="00AE47C6" w:rsidRDefault="00BE0B19" w:rsidP="00BE0B19">
      <w:pPr>
        <w:numPr>
          <w:ilvl w:val="0"/>
          <w:numId w:val="278"/>
        </w:numPr>
        <w:tabs>
          <w:tab w:val="left" w:pos="426"/>
        </w:tabs>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ЕЕГ - при епилептични пристъпи и миоклонии</w:t>
      </w:r>
    </w:p>
    <w:p w14:paraId="3FEEE5F6" w14:textId="77777777" w:rsidR="00BE0B19" w:rsidRPr="00AE47C6" w:rsidRDefault="00BE0B19" w:rsidP="00BE0B19">
      <w:pPr>
        <w:numPr>
          <w:ilvl w:val="0"/>
          <w:numId w:val="278"/>
        </w:numPr>
        <w:tabs>
          <w:tab w:val="left" w:pos="426"/>
        </w:tabs>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ЕМГ - за диагноза на LAS, за наследствена спастична парапареза, SMA, полиневропатия при някои видове левкодистрофии и церебеларни дегенерации, треморограма (при изявен тремор), вродени миастении, миопатии, мускулни дистрофии, НСМН</w:t>
      </w:r>
    </w:p>
    <w:p w14:paraId="4AF8EA61" w14:textId="77777777" w:rsidR="00BE0B19" w:rsidRPr="00AE47C6" w:rsidRDefault="00BE0B19" w:rsidP="00BE0B19">
      <w:pPr>
        <w:numPr>
          <w:ilvl w:val="0"/>
          <w:numId w:val="278"/>
        </w:numPr>
        <w:tabs>
          <w:tab w:val="left" w:pos="426"/>
        </w:tabs>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Метаболитен скрининг - съответен за отделните нозологични единици дефект</w:t>
      </w:r>
    </w:p>
    <w:p w14:paraId="4A44672D" w14:textId="77777777" w:rsidR="00BE0B19" w:rsidRPr="00AE47C6" w:rsidRDefault="00BE0B19" w:rsidP="00BE0B19">
      <w:pPr>
        <w:numPr>
          <w:ilvl w:val="0"/>
          <w:numId w:val="278"/>
        </w:numPr>
        <w:tabs>
          <w:tab w:val="left" w:pos="426"/>
        </w:tabs>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Ензимен дефицит - в култура от фибробласти</w:t>
      </w:r>
    </w:p>
    <w:p w14:paraId="3D36FE51" w14:textId="77777777" w:rsidR="00BE0B19" w:rsidRPr="00AE47C6" w:rsidRDefault="00BE0B19" w:rsidP="00BE0B19">
      <w:pPr>
        <w:numPr>
          <w:ilvl w:val="0"/>
          <w:numId w:val="278"/>
        </w:numPr>
        <w:tabs>
          <w:tab w:val="left" w:pos="426"/>
        </w:tabs>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Невропсихологично изследване - за когнитивни нарушения в динамика</w:t>
      </w:r>
    </w:p>
    <w:p w14:paraId="01C74285" w14:textId="77777777" w:rsidR="00BE0B19" w:rsidRPr="00AE47C6" w:rsidRDefault="00BE0B19" w:rsidP="00BE0B19">
      <w:pPr>
        <w:numPr>
          <w:ilvl w:val="0"/>
          <w:numId w:val="278"/>
        </w:numPr>
        <w:tabs>
          <w:tab w:val="left" w:pos="426"/>
        </w:tabs>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Мускулна биопсия (мозъчна биопсия?) при индикации. </w:t>
      </w:r>
    </w:p>
    <w:p w14:paraId="544F9AAB" w14:textId="77777777" w:rsidR="00BE0B19" w:rsidRPr="00AE47C6" w:rsidRDefault="00BE0B19" w:rsidP="00BE0B19">
      <w:pPr>
        <w:widowControl w:val="0"/>
        <w:numPr>
          <w:ilvl w:val="0"/>
          <w:numId w:val="278"/>
        </w:numPr>
        <w:tabs>
          <w:tab w:val="left" w:pos="426"/>
        </w:tabs>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bCs/>
          <w:sz w:val="24"/>
          <w:szCs w:val="24"/>
        </w:rPr>
        <w:t>Генетично изследване: левкодистрофии, натрупване в лизозомите, ЛАС, наследствена спастична параплегия, SMA, болест на Huntington.</w:t>
      </w:r>
    </w:p>
    <w:p w14:paraId="0CED6E5D" w14:textId="77777777" w:rsidR="00BE0B19" w:rsidRPr="00AE47C6" w:rsidRDefault="00BE0B19" w:rsidP="00BE0B19">
      <w:pPr>
        <w:spacing w:after="0" w:line="360" w:lineRule="auto"/>
        <w:jc w:val="both"/>
        <w:rPr>
          <w:rFonts w:ascii="Times New Roman" w:eastAsia="SimSun" w:hAnsi="Times New Roman"/>
          <w:i/>
          <w:iCs/>
          <w:sz w:val="24"/>
          <w:szCs w:val="24"/>
        </w:rPr>
      </w:pPr>
    </w:p>
    <w:p w14:paraId="0BAFA0E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iCs/>
          <w:sz w:val="24"/>
          <w:szCs w:val="24"/>
        </w:rPr>
        <w:t xml:space="preserve">Невролипидозите и левкодистрофиите </w:t>
      </w:r>
      <w:r w:rsidRPr="00AE47C6">
        <w:rPr>
          <w:rFonts w:ascii="Times New Roman" w:eastAsia="SimSun" w:hAnsi="Times New Roman"/>
          <w:sz w:val="24"/>
          <w:szCs w:val="24"/>
        </w:rPr>
        <w:t xml:space="preserve">са наследствени генетични и  дегенеративни заболявания на нервната система с начало в детската възраст, които са резултат от определен метаболитен дефект. Характеризират се с абнормни липидни натрупвания в мозъчните неврони (невролипидози или полиодистрофии) или с нарушен миелинов синтез или демиелинизация (левкодистрофии и левкоенцефалопатии). </w:t>
      </w:r>
    </w:p>
    <w:p w14:paraId="6BBCA3D1" w14:textId="77777777" w:rsidR="00BE0B19" w:rsidRPr="00AE47C6" w:rsidRDefault="00BE0B19" w:rsidP="00BE0B19">
      <w:pPr>
        <w:widowControl w:val="0"/>
        <w:adjustRightInd w:val="0"/>
        <w:spacing w:after="0" w:line="360" w:lineRule="auto"/>
        <w:ind w:firstLine="720"/>
        <w:jc w:val="both"/>
        <w:rPr>
          <w:rFonts w:ascii="Times New Roman" w:eastAsia="SimSun" w:hAnsi="Times New Roman"/>
          <w:b/>
          <w:sz w:val="24"/>
          <w:szCs w:val="24"/>
        </w:rPr>
      </w:pPr>
    </w:p>
    <w:p w14:paraId="3EE58A54"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125" w:name="_Toc155651761"/>
      <w:bookmarkStart w:id="126" w:name="_Toc164075893"/>
      <w:r w:rsidRPr="00AE47C6">
        <w:rPr>
          <w:rFonts w:ascii="Times New Roman" w:eastAsia="SimSun" w:hAnsi="Times New Roman"/>
          <w:b/>
          <w:sz w:val="24"/>
          <w:szCs w:val="24"/>
        </w:rPr>
        <w:t>5.1. Невролипидози и  болести с натрупване в лизозомите</w:t>
      </w:r>
      <w:bookmarkEnd w:id="125"/>
      <w:bookmarkEnd w:id="126"/>
      <w:r w:rsidRPr="00AE47C6">
        <w:rPr>
          <w:rFonts w:ascii="Times New Roman" w:eastAsia="SimSun" w:hAnsi="Times New Roman"/>
          <w:b/>
          <w:sz w:val="24"/>
          <w:szCs w:val="24"/>
        </w:rPr>
        <w:t xml:space="preserve"> </w:t>
      </w:r>
    </w:p>
    <w:p w14:paraId="06F886AB" w14:textId="77777777" w:rsidR="00BE0B19" w:rsidRPr="00AE47C6" w:rsidRDefault="00BE0B19" w:rsidP="00BE0B19">
      <w:pPr>
        <w:spacing w:after="0" w:line="360" w:lineRule="auto"/>
        <w:ind w:firstLine="708"/>
        <w:jc w:val="both"/>
        <w:rPr>
          <w:rFonts w:ascii="Times New Roman" w:eastAsia="SimSun" w:hAnsi="Times New Roman"/>
          <w:b/>
          <w:bCs/>
          <w:sz w:val="24"/>
          <w:szCs w:val="24"/>
        </w:rPr>
      </w:pPr>
      <w:r w:rsidRPr="00AE47C6">
        <w:rPr>
          <w:rFonts w:ascii="Times New Roman" w:eastAsia="SimSun" w:hAnsi="Times New Roman"/>
          <w:sz w:val="24"/>
          <w:szCs w:val="24"/>
        </w:rPr>
        <w:t>Болестите с натрупване в лизозомите включват около 50 редки генетични метаболитни заболявания с различни мутации /патологични варианти, обуславящи ензимен дефицит и нарушение на лизозомните функции  поради и натрупване в тях на определени субстрати - </w:t>
      </w:r>
      <w:hyperlink r:id="rId17" w:tooltip="Lipid" w:history="1">
        <w:r w:rsidRPr="00AE47C6">
          <w:rPr>
            <w:rFonts w:ascii="Times New Roman" w:eastAsia="SimSun" w:hAnsi="Times New Roman"/>
            <w:sz w:val="24"/>
            <w:szCs w:val="24"/>
            <w:u w:val="single"/>
          </w:rPr>
          <w:t>липиди,</w:t>
        </w:r>
      </w:hyperlink>
      <w:r w:rsidRPr="00AE47C6">
        <w:rPr>
          <w:rFonts w:ascii="Times New Roman" w:eastAsia="SimSun" w:hAnsi="Times New Roman"/>
          <w:sz w:val="24"/>
          <w:szCs w:val="24"/>
          <w:u w:val="single"/>
        </w:rPr>
        <w:t xml:space="preserve"> гликопротеини, мукополизахариди</w:t>
      </w:r>
      <w:r w:rsidRPr="00AE47C6">
        <w:rPr>
          <w:rFonts w:ascii="Times New Roman" w:eastAsia="SimSun" w:hAnsi="Times New Roman"/>
          <w:sz w:val="24"/>
          <w:szCs w:val="24"/>
        </w:rPr>
        <w:t xml:space="preserve">. Предизвикват мултиорганно засягане и са с прогресиращ ход. Основно са с автозомно-рецесивно (A-P) предаване, напр. болест на </w:t>
      </w:r>
      <w:hyperlink r:id="rId18" w:tooltip="Niemann–Pick disease, type C" w:history="1">
        <w:r w:rsidRPr="00AE47C6">
          <w:rPr>
            <w:rFonts w:ascii="Times New Roman" w:eastAsia="SimSun" w:hAnsi="Times New Roman"/>
            <w:sz w:val="24"/>
            <w:szCs w:val="24"/>
            <w:u w:val="single"/>
          </w:rPr>
          <w:t>Niemann–Pick, тип C</w:t>
        </w:r>
      </w:hyperlink>
      <w:r w:rsidRPr="00AE47C6">
        <w:rPr>
          <w:rFonts w:ascii="Times New Roman" w:eastAsia="SimSun" w:hAnsi="Times New Roman"/>
          <w:sz w:val="24"/>
          <w:szCs w:val="24"/>
        </w:rPr>
        <w:t xml:space="preserve">, и рядко с Х-рецесивно (X-P) предаване /болест на Fabry и болест на </w:t>
      </w:r>
      <w:hyperlink r:id="rId19" w:tooltip="Hunter syndrome" w:history="1">
        <w:r w:rsidRPr="00AE47C6">
          <w:rPr>
            <w:rFonts w:ascii="Times New Roman" w:eastAsia="SimSun" w:hAnsi="Times New Roman"/>
            <w:sz w:val="24"/>
            <w:szCs w:val="24"/>
            <w:u w:val="single"/>
          </w:rPr>
          <w:t>Hunter</w:t>
        </w:r>
      </w:hyperlink>
      <w:r w:rsidRPr="00AE47C6">
        <w:rPr>
          <w:rFonts w:ascii="Times New Roman" w:eastAsia="SimSun" w:hAnsi="Times New Roman"/>
          <w:sz w:val="24"/>
          <w:szCs w:val="24"/>
        </w:rPr>
        <w:t xml:space="preserve"> (MPS II)/ или автозомно-доминантно (А-Д) предаване /невронална цероидлипофусциноза тип IV (</w:t>
      </w:r>
      <w:r w:rsidRPr="00AE47C6">
        <w:rPr>
          <w:rFonts w:ascii="Times New Roman" w:eastAsia="SimSun" w:hAnsi="Times New Roman"/>
          <w:sz w:val="24"/>
          <w:szCs w:val="24"/>
          <w:lang w:eastAsia="bg-BG"/>
        </w:rPr>
        <w:t>CLN4</w:t>
      </w:r>
      <w:r w:rsidRPr="00AE47C6">
        <w:rPr>
          <w:rFonts w:ascii="Times New Roman" w:eastAsia="SimSun" w:hAnsi="Times New Roman"/>
          <w:sz w:val="24"/>
          <w:szCs w:val="24"/>
        </w:rPr>
        <w:t xml:space="preserve">)/. Честотата им е около </w:t>
      </w:r>
      <w:r w:rsidRPr="00AE47C6">
        <w:rPr>
          <w:rFonts w:ascii="Times New Roman" w:eastAsia="SimSun" w:hAnsi="Times New Roman"/>
          <w:bCs/>
          <w:sz w:val="24"/>
          <w:szCs w:val="24"/>
        </w:rPr>
        <w:t>1 / 7 700 раждания</w:t>
      </w:r>
      <w:r w:rsidRPr="00AE47C6">
        <w:rPr>
          <w:rFonts w:ascii="Times New Roman" w:eastAsia="SimSun" w:hAnsi="Times New Roman"/>
          <w:b/>
          <w:bCs/>
          <w:sz w:val="24"/>
          <w:szCs w:val="24"/>
        </w:rPr>
        <w:t>.</w:t>
      </w:r>
      <w:r w:rsidRPr="00AE47C6">
        <w:rPr>
          <w:rFonts w:ascii="Times New Roman" w:eastAsia="SimSun" w:hAnsi="Times New Roman"/>
          <w:sz w:val="24"/>
          <w:szCs w:val="24"/>
        </w:rPr>
        <w:t xml:space="preserve"> Заболяемостта е около 1:100,000; но в някои случаи - 1:5,000 – 1:10,000.</w:t>
      </w:r>
      <w:r w:rsidRPr="00AE47C6">
        <w:rPr>
          <w:rFonts w:ascii="Times New Roman" w:eastAsia="SimSun" w:hAnsi="Times New Roman"/>
          <w:b/>
          <w:bCs/>
          <w:sz w:val="24"/>
          <w:szCs w:val="24"/>
        </w:rPr>
        <w:t xml:space="preserve"> </w:t>
      </w:r>
      <w:r w:rsidRPr="00AE47C6">
        <w:rPr>
          <w:rFonts w:ascii="Times New Roman" w:eastAsia="SimSun" w:hAnsi="Times New Roman"/>
          <w:sz w:val="24"/>
          <w:szCs w:val="24"/>
        </w:rPr>
        <w:t>Започват обикновено в детска възраст и са характеризирани инфантилни, късни инфантилни, детски, юношески форми и у възрастните. Клиничните синдроми при неврологични изяви зависят от мястото на натрупване на субстрат и най-често уврежда централната и по-рядко периферната нервна система, в някои случаи и мускулите, възможна е и мултиорганно засягане (сърце, съдове, бъбреци, черен дроб, слезка и др.)</w:t>
      </w:r>
    </w:p>
    <w:p w14:paraId="075312E9"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Класифицират се на:</w:t>
      </w:r>
    </w:p>
    <w:p w14:paraId="19091E62" w14:textId="77777777" w:rsidR="00BE0B19" w:rsidRPr="00AE47C6" w:rsidRDefault="00BE0B19" w:rsidP="00BE0B19">
      <w:pPr>
        <w:numPr>
          <w:ilvl w:val="0"/>
          <w:numId w:val="364"/>
        </w:numPr>
        <w:spacing w:after="0" w:line="360" w:lineRule="auto"/>
        <w:contextualSpacing/>
        <w:rPr>
          <w:rFonts w:ascii="Times New Roman" w:eastAsia="SimSun" w:hAnsi="Times New Roman"/>
          <w:b/>
          <w:sz w:val="24"/>
          <w:szCs w:val="24"/>
        </w:rPr>
      </w:pPr>
      <w:r w:rsidRPr="00AE47C6">
        <w:rPr>
          <w:rFonts w:ascii="Times New Roman" w:eastAsia="SimSun" w:hAnsi="Times New Roman"/>
          <w:b/>
          <w:sz w:val="24"/>
          <w:szCs w:val="24"/>
        </w:rPr>
        <w:t>Мукополизахаридози</w:t>
      </w:r>
    </w:p>
    <w:p w14:paraId="0DDF4FC0" w14:textId="77777777" w:rsidR="00BE0B19" w:rsidRPr="00AE47C6" w:rsidRDefault="00BE0B19" w:rsidP="00BE0B19">
      <w:pPr>
        <w:numPr>
          <w:ilvl w:val="0"/>
          <w:numId w:val="364"/>
        </w:numPr>
        <w:spacing w:after="0" w:line="360" w:lineRule="auto"/>
        <w:contextualSpacing/>
        <w:rPr>
          <w:rFonts w:ascii="Times New Roman" w:eastAsia="SimSun" w:hAnsi="Times New Roman"/>
          <w:b/>
          <w:sz w:val="24"/>
          <w:szCs w:val="24"/>
        </w:rPr>
      </w:pPr>
      <w:r w:rsidRPr="00AE47C6">
        <w:rPr>
          <w:rFonts w:ascii="Times New Roman" w:eastAsia="SimSun" w:hAnsi="Times New Roman"/>
          <w:b/>
          <w:sz w:val="24"/>
          <w:szCs w:val="24"/>
        </w:rPr>
        <w:t>Муколипидози и олигозахаридози</w:t>
      </w:r>
    </w:p>
    <w:p w14:paraId="4B032A6D" w14:textId="77777777" w:rsidR="00BE0B19" w:rsidRPr="00AE47C6" w:rsidRDefault="00BE0B19" w:rsidP="00BE0B19">
      <w:pPr>
        <w:numPr>
          <w:ilvl w:val="0"/>
          <w:numId w:val="364"/>
        </w:numPr>
        <w:spacing w:after="0" w:line="360" w:lineRule="auto"/>
        <w:contextualSpacing/>
        <w:rPr>
          <w:rFonts w:ascii="Times New Roman" w:eastAsia="SimSun" w:hAnsi="Times New Roman"/>
          <w:b/>
          <w:sz w:val="24"/>
          <w:szCs w:val="24"/>
        </w:rPr>
      </w:pPr>
      <w:r w:rsidRPr="00AE47C6">
        <w:rPr>
          <w:rFonts w:ascii="Times New Roman" w:eastAsia="SimSun" w:hAnsi="Times New Roman"/>
          <w:b/>
          <w:sz w:val="24"/>
          <w:szCs w:val="24"/>
        </w:rPr>
        <w:t>Болест на Pompe</w:t>
      </w:r>
    </w:p>
    <w:p w14:paraId="537F81D8" w14:textId="77777777" w:rsidR="00BE0B19" w:rsidRPr="00AE47C6" w:rsidRDefault="00BE0B19" w:rsidP="00BE0B19">
      <w:pPr>
        <w:numPr>
          <w:ilvl w:val="0"/>
          <w:numId w:val="364"/>
        </w:numPr>
        <w:spacing w:after="0" w:line="360" w:lineRule="auto"/>
        <w:contextualSpacing/>
        <w:jc w:val="both"/>
        <w:rPr>
          <w:rFonts w:ascii="Times New Roman" w:eastAsia="SimSun" w:hAnsi="Times New Roman"/>
          <w:bCs/>
          <w:sz w:val="24"/>
          <w:szCs w:val="24"/>
        </w:rPr>
      </w:pPr>
      <w:r w:rsidRPr="00AE47C6">
        <w:rPr>
          <w:rFonts w:ascii="Times New Roman" w:eastAsia="SimSun" w:hAnsi="Times New Roman"/>
          <w:b/>
          <w:sz w:val="24"/>
          <w:szCs w:val="24"/>
        </w:rPr>
        <w:t xml:space="preserve">Сфинголипидози - </w:t>
      </w:r>
      <w:r w:rsidRPr="00AE47C6">
        <w:rPr>
          <w:rFonts w:ascii="Times New Roman" w:eastAsia="SimSun" w:hAnsi="Times New Roman"/>
          <w:bCs/>
          <w:sz w:val="24"/>
          <w:szCs w:val="24"/>
        </w:rPr>
        <w:t>болест на Gaucher, болест на Fabry, други сфинголипидози (GM1ганглиозидоза, болест на Tay-Sachs, болест на Sandhoff, болест на Krabbe и метахроматична левкодистрофия), болест на Niemann-Pick тип А, тип В,  тип A/B и тип C .</w:t>
      </w:r>
    </w:p>
    <w:p w14:paraId="5DA52B09" w14:textId="77777777" w:rsidR="00BE0B19" w:rsidRPr="00AE47C6" w:rsidRDefault="00BE0B19" w:rsidP="00BE0B19">
      <w:pPr>
        <w:numPr>
          <w:ilvl w:val="0"/>
          <w:numId w:val="364"/>
        </w:numPr>
        <w:spacing w:after="0" w:line="360" w:lineRule="auto"/>
        <w:contextualSpacing/>
        <w:rPr>
          <w:rFonts w:ascii="Times New Roman" w:eastAsia="SimSun" w:hAnsi="Times New Roman"/>
          <w:b/>
          <w:sz w:val="24"/>
          <w:szCs w:val="24"/>
        </w:rPr>
      </w:pPr>
      <w:r w:rsidRPr="00AE47C6">
        <w:rPr>
          <w:rFonts w:ascii="Times New Roman" w:eastAsia="SimSun" w:hAnsi="Times New Roman"/>
          <w:b/>
          <w:sz w:val="24"/>
          <w:szCs w:val="24"/>
        </w:rPr>
        <w:t>Невронални цероидлипофусцинози (NCL 1-15) (Таблица 5.1)</w:t>
      </w:r>
    </w:p>
    <w:p w14:paraId="2470E3DE" w14:textId="77777777" w:rsidR="00BE0B19" w:rsidRPr="00AE47C6" w:rsidRDefault="00BE0B19" w:rsidP="00BE0B19">
      <w:pPr>
        <w:autoSpaceDE w:val="0"/>
        <w:autoSpaceDN w:val="0"/>
        <w:adjustRightInd w:val="0"/>
        <w:spacing w:after="0" w:line="360" w:lineRule="auto"/>
        <w:ind w:firstLine="360"/>
        <w:jc w:val="both"/>
        <w:rPr>
          <w:rFonts w:ascii="Times New Roman" w:eastAsia="SimSun" w:hAnsi="Times New Roman"/>
          <w:sz w:val="24"/>
          <w:szCs w:val="24"/>
        </w:rPr>
      </w:pPr>
      <w:r w:rsidRPr="00AE47C6">
        <w:rPr>
          <w:rFonts w:ascii="Times New Roman" w:eastAsia="SimSun" w:hAnsi="Times New Roman"/>
          <w:sz w:val="24"/>
          <w:szCs w:val="24"/>
        </w:rPr>
        <w:t>При засягане на ЦНС в МРТ на главния мозък се установяват лезии според типа на заболяването - от бързо прогресираща мозъчна и малкомозъчна атрофия поради загиване на неврони и хипомиелинизация при невроналните цероидлипофусцинози, обща мозъчна атрофия при мукополизахаридоза тип III, множество мозъчно-съдови лезии при болестта на Fabry, долихоектазии на съдове при болестта на Pompe и на Fabry. Рентгенологичните изследвания разкриват характерни костни промени в зависимост от типа на клетъчното натрупване на различни субстрати, най-често при мукополизахаридозите и муколипидозите.</w:t>
      </w:r>
    </w:p>
    <w:p w14:paraId="19E28F32" w14:textId="77777777" w:rsidR="00BE0B19" w:rsidRPr="00AE47C6" w:rsidRDefault="00BE0B19" w:rsidP="00BE0B19">
      <w:pPr>
        <w:autoSpaceDE w:val="0"/>
        <w:autoSpaceDN w:val="0"/>
        <w:adjustRightInd w:val="0"/>
        <w:spacing w:after="0" w:line="360" w:lineRule="auto"/>
        <w:ind w:firstLine="360"/>
        <w:jc w:val="both"/>
        <w:rPr>
          <w:rFonts w:ascii="Times New Roman" w:eastAsia="SimSun" w:hAnsi="Times New Roman"/>
          <w:sz w:val="24"/>
          <w:szCs w:val="24"/>
        </w:rPr>
      </w:pPr>
      <w:r w:rsidRPr="00AE47C6">
        <w:rPr>
          <w:rFonts w:ascii="Times New Roman" w:eastAsia="SimSun" w:hAnsi="Times New Roman"/>
          <w:sz w:val="24"/>
          <w:szCs w:val="24"/>
        </w:rPr>
        <w:t xml:space="preserve"> Лечението е патогенетично, с доказана терапевтична ефективност за промяна на естествения ход на заболяването при някои видове заболявания при определен ензимен дефицит - ензим-заместваща терапия (EЗT), субстрат-редуцираща терапия </w:t>
      </w:r>
      <w:r w:rsidRPr="00AE47C6">
        <w:rPr>
          <w:rFonts w:ascii="Times New Roman" w:eastAsia="SimSun" w:hAnsi="Times New Roman"/>
          <w:sz w:val="24"/>
          <w:szCs w:val="24"/>
          <w:lang w:eastAsia="bg-BG"/>
        </w:rPr>
        <w:t>(СРТ)</w:t>
      </w:r>
      <w:r w:rsidRPr="00AE47C6">
        <w:rPr>
          <w:rFonts w:ascii="Times New Roman" w:eastAsia="SimSun" w:hAnsi="Times New Roman"/>
          <w:sz w:val="24"/>
          <w:szCs w:val="24"/>
        </w:rPr>
        <w:t xml:space="preserve">, прилагане на шаперони, които могат да се свържат и помагат за правилното конфигуриране или съзряване и пренасянето на ензимите на подходящо място. Шаперони за сега се използват при болести с натрупване в лизозомите като болест на Gaucher, болест на Fabry, в експериментален стадий са опити за лечение при  болест на Pompe. Ефект от прилагане на стволови клетки е установен само при Мукополизахаридоза тип I в ранните стадии на заболяването. В експериментален стадий са и опитите за генна терапия чрез пренасяне с вирусни вектори и нано-частици.  </w:t>
      </w:r>
    </w:p>
    <w:p w14:paraId="239C38F3" w14:textId="4669E28E" w:rsidR="00BE0B19" w:rsidRPr="00AE47C6" w:rsidRDefault="00BE0B19" w:rsidP="00BE0B19">
      <w:pPr>
        <w:spacing w:after="0" w:line="360" w:lineRule="auto"/>
        <w:ind w:firstLine="720"/>
        <w:jc w:val="both"/>
        <w:rPr>
          <w:rFonts w:ascii="Times New Roman" w:eastAsia="SimSun" w:hAnsi="Times New Roman"/>
          <w:b/>
          <w:bCs/>
          <w:sz w:val="24"/>
          <w:szCs w:val="24"/>
        </w:rPr>
      </w:pPr>
    </w:p>
    <w:p w14:paraId="67252CE3" w14:textId="77777777" w:rsidR="00AA547F" w:rsidRPr="00AE47C6" w:rsidRDefault="00AA547F" w:rsidP="00BE0B19">
      <w:pPr>
        <w:spacing w:after="0" w:line="360" w:lineRule="auto"/>
        <w:ind w:firstLine="720"/>
        <w:jc w:val="both"/>
        <w:rPr>
          <w:rFonts w:ascii="Times New Roman" w:eastAsia="SimSun" w:hAnsi="Times New Roman"/>
          <w:b/>
          <w:bCs/>
          <w:sz w:val="24"/>
          <w:szCs w:val="24"/>
        </w:rPr>
      </w:pPr>
    </w:p>
    <w:p w14:paraId="3B417634"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bCs/>
          <w:sz w:val="24"/>
          <w:szCs w:val="24"/>
        </w:rPr>
        <w:t xml:space="preserve">Табл.5.1. </w:t>
      </w:r>
      <w:r w:rsidRPr="00AE47C6">
        <w:rPr>
          <w:rFonts w:ascii="Times New Roman" w:eastAsia="SimSun" w:hAnsi="Times New Roman"/>
          <w:bCs/>
          <w:sz w:val="24"/>
          <w:szCs w:val="24"/>
        </w:rPr>
        <w:t>Болести с натрупване в лизозомите</w:t>
      </w:r>
    </w:p>
    <w:tbl>
      <w:tblPr>
        <w:tblW w:w="8926"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0"/>
        <w:gridCol w:w="2700"/>
        <w:gridCol w:w="2340"/>
        <w:gridCol w:w="1906"/>
      </w:tblGrid>
      <w:tr w:rsidR="00BE0B19" w:rsidRPr="00AE47C6" w14:paraId="0803461F" w14:textId="77777777" w:rsidTr="00AD72E5">
        <w:trPr>
          <w:trHeight w:val="219"/>
          <w:tblCellSpacing w:w="0" w:type="dxa"/>
        </w:trPr>
        <w:tc>
          <w:tcPr>
            <w:tcW w:w="1980" w:type="dxa"/>
          </w:tcPr>
          <w:p w14:paraId="59607E02"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bCs/>
                <w:sz w:val="24"/>
                <w:szCs w:val="24"/>
              </w:rPr>
              <w:t>Болест</w:t>
            </w:r>
          </w:p>
        </w:tc>
        <w:tc>
          <w:tcPr>
            <w:tcW w:w="2700" w:type="dxa"/>
          </w:tcPr>
          <w:p w14:paraId="65CEF9C0" w14:textId="77777777" w:rsidR="00BE0B19" w:rsidRPr="00AE47C6" w:rsidRDefault="00BE0B19" w:rsidP="00BE0B19">
            <w:pPr>
              <w:spacing w:after="0" w:line="360" w:lineRule="auto"/>
              <w:ind w:firstLine="137"/>
              <w:rPr>
                <w:rFonts w:ascii="Times New Roman" w:eastAsia="SimSun" w:hAnsi="Times New Roman"/>
                <w:sz w:val="24"/>
                <w:szCs w:val="24"/>
              </w:rPr>
            </w:pPr>
            <w:r w:rsidRPr="00AE47C6">
              <w:rPr>
                <w:rFonts w:ascii="Times New Roman" w:eastAsia="SimSun" w:hAnsi="Times New Roman"/>
                <w:bCs/>
                <w:sz w:val="24"/>
                <w:szCs w:val="24"/>
              </w:rPr>
              <w:t>Предаване/ген/локус</w:t>
            </w:r>
          </w:p>
        </w:tc>
        <w:tc>
          <w:tcPr>
            <w:tcW w:w="2340" w:type="dxa"/>
          </w:tcPr>
          <w:p w14:paraId="50503196" w14:textId="77777777" w:rsidR="00BE0B19" w:rsidRPr="00AE47C6" w:rsidRDefault="00BE0B19" w:rsidP="00BE0B19">
            <w:pPr>
              <w:spacing w:after="0" w:line="360" w:lineRule="auto"/>
              <w:ind w:firstLine="130"/>
              <w:rPr>
                <w:rFonts w:ascii="Times New Roman" w:eastAsia="SimSun" w:hAnsi="Times New Roman"/>
                <w:sz w:val="24"/>
                <w:szCs w:val="24"/>
              </w:rPr>
            </w:pPr>
            <w:r w:rsidRPr="00AE47C6">
              <w:rPr>
                <w:rFonts w:ascii="Times New Roman" w:eastAsia="SimSun" w:hAnsi="Times New Roman"/>
                <w:sz w:val="24"/>
                <w:szCs w:val="24"/>
              </w:rPr>
              <w:t>Ензимен дефект</w:t>
            </w:r>
          </w:p>
        </w:tc>
        <w:tc>
          <w:tcPr>
            <w:tcW w:w="1906" w:type="dxa"/>
          </w:tcPr>
          <w:p w14:paraId="2F8B247B"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Натрупване в лизозомите</w:t>
            </w:r>
          </w:p>
        </w:tc>
      </w:tr>
      <w:tr w:rsidR="00BE0B19" w:rsidRPr="00AE47C6" w14:paraId="41B10557" w14:textId="77777777" w:rsidTr="00AD72E5">
        <w:trPr>
          <w:trHeight w:val="433"/>
          <w:tblCellSpacing w:w="0" w:type="dxa"/>
        </w:trPr>
        <w:tc>
          <w:tcPr>
            <w:tcW w:w="1980" w:type="dxa"/>
          </w:tcPr>
          <w:p w14:paraId="00A5D906"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Мукополизахаридози (MPS): болести на Нurler (I), Hunter (II),  Sanfilippo (III), Morquino (IV), Maroteaoux – Lamy (VI), Sly (VII)</w:t>
            </w:r>
            <w:r w:rsidRPr="00AE47C6">
              <w:rPr>
                <w:rFonts w:ascii="Times New Roman" w:eastAsia="SimSun" w:hAnsi="Times New Roman"/>
                <w:sz w:val="24"/>
                <w:szCs w:val="24"/>
                <w:lang w:eastAsia="bg-BG"/>
              </w:rPr>
              <w:t xml:space="preserve"> MPS IX</w:t>
            </w:r>
            <w:r w:rsidRPr="00AE47C6">
              <w:rPr>
                <w:rFonts w:ascii="Times New Roman" w:eastAsia="SimSun" w:hAnsi="Times New Roman"/>
                <w:bCs/>
                <w:sz w:val="24"/>
                <w:szCs w:val="24"/>
              </w:rPr>
              <w:t xml:space="preserve"> </w:t>
            </w:r>
          </w:p>
        </w:tc>
        <w:tc>
          <w:tcPr>
            <w:tcW w:w="2700" w:type="dxa"/>
          </w:tcPr>
          <w:p w14:paraId="758372C6" w14:textId="77777777" w:rsidR="00BE0B19" w:rsidRPr="00AE47C6" w:rsidRDefault="00BE0B19" w:rsidP="00BE0B19">
            <w:pPr>
              <w:spacing w:after="0" w:line="360" w:lineRule="auto"/>
              <w:ind w:firstLine="137"/>
              <w:rPr>
                <w:rFonts w:ascii="Times New Roman" w:eastAsia="SimSun" w:hAnsi="Times New Roman"/>
                <w:i/>
                <w:iCs/>
                <w:sz w:val="24"/>
                <w:szCs w:val="24"/>
                <w:lang w:eastAsia="bg-BG"/>
              </w:rPr>
            </w:pPr>
            <w:r w:rsidRPr="00AE47C6">
              <w:rPr>
                <w:rFonts w:ascii="Times New Roman" w:eastAsia="SimSun" w:hAnsi="Times New Roman"/>
                <w:bCs/>
                <w:sz w:val="24"/>
                <w:szCs w:val="24"/>
              </w:rPr>
              <w:t>АР / MPS I-</w:t>
            </w:r>
            <w:r w:rsidRPr="00AE47C6">
              <w:rPr>
                <w:rFonts w:ascii="Times New Roman" w:eastAsia="SimSun" w:hAnsi="Times New Roman"/>
                <w:i/>
                <w:iCs/>
                <w:sz w:val="24"/>
                <w:szCs w:val="24"/>
                <w:lang w:eastAsia="bg-BG"/>
              </w:rPr>
              <w:t xml:space="preserve"> IDUA; </w:t>
            </w:r>
            <w:r w:rsidRPr="00AE47C6">
              <w:rPr>
                <w:rFonts w:ascii="Times New Roman" w:eastAsia="SimSun" w:hAnsi="Times New Roman"/>
                <w:iCs/>
                <w:sz w:val="24"/>
                <w:szCs w:val="24"/>
                <w:lang w:eastAsia="bg-BG"/>
              </w:rPr>
              <w:t>MPLII</w:t>
            </w:r>
            <w:r w:rsidRPr="00AE47C6">
              <w:rPr>
                <w:rFonts w:ascii="Times New Roman" w:eastAsia="SimSun" w:hAnsi="Times New Roman"/>
                <w:i/>
                <w:iCs/>
                <w:sz w:val="24"/>
                <w:szCs w:val="24"/>
                <w:lang w:eastAsia="bg-BG"/>
              </w:rPr>
              <w:t>- IDS;</w:t>
            </w:r>
            <w:r w:rsidRPr="00AE47C6">
              <w:rPr>
                <w:rFonts w:ascii="Times New Roman" w:eastAsia="SimSun" w:hAnsi="Times New Roman"/>
                <w:iCs/>
                <w:sz w:val="24"/>
                <w:szCs w:val="24"/>
                <w:lang w:eastAsia="bg-BG"/>
              </w:rPr>
              <w:t xml:space="preserve"> MPLIIIA-</w:t>
            </w:r>
            <w:r w:rsidRPr="00AE47C6">
              <w:rPr>
                <w:rFonts w:ascii="Times New Roman" w:eastAsia="SimSun" w:hAnsi="Times New Roman"/>
                <w:i/>
                <w:iCs/>
                <w:sz w:val="24"/>
                <w:szCs w:val="24"/>
                <w:lang w:eastAsia="bg-BG"/>
              </w:rPr>
              <w:t xml:space="preserve"> SGSH;</w:t>
            </w:r>
            <w:r w:rsidRPr="00AE47C6">
              <w:rPr>
                <w:rFonts w:ascii="Times New Roman" w:eastAsia="SimSun" w:hAnsi="Times New Roman"/>
                <w:iCs/>
                <w:sz w:val="24"/>
                <w:szCs w:val="24"/>
                <w:lang w:eastAsia="bg-BG"/>
              </w:rPr>
              <w:t xml:space="preserve"> MPLIII B-</w:t>
            </w:r>
            <w:r w:rsidRPr="00AE47C6">
              <w:rPr>
                <w:rFonts w:ascii="Times New Roman" w:eastAsia="SimSun" w:hAnsi="Times New Roman"/>
                <w:i/>
                <w:iCs/>
                <w:sz w:val="24"/>
                <w:szCs w:val="24"/>
                <w:lang w:eastAsia="bg-BG"/>
              </w:rPr>
              <w:t xml:space="preserve"> NAGLU;</w:t>
            </w:r>
            <w:r w:rsidRPr="00AE47C6">
              <w:rPr>
                <w:rFonts w:ascii="Times New Roman" w:eastAsia="SimSun" w:hAnsi="Times New Roman"/>
                <w:iCs/>
                <w:sz w:val="24"/>
                <w:szCs w:val="24"/>
                <w:lang w:eastAsia="bg-BG"/>
              </w:rPr>
              <w:t xml:space="preserve"> MPLIII C-</w:t>
            </w:r>
            <w:r w:rsidRPr="00AE47C6">
              <w:rPr>
                <w:rFonts w:ascii="Times New Roman" w:eastAsia="SimSun" w:hAnsi="Times New Roman"/>
                <w:i/>
                <w:iCs/>
                <w:sz w:val="24"/>
                <w:szCs w:val="24"/>
                <w:lang w:eastAsia="bg-BG"/>
              </w:rPr>
              <w:t xml:space="preserve"> HGSNAT; </w:t>
            </w:r>
            <w:r w:rsidRPr="00AE47C6">
              <w:rPr>
                <w:rFonts w:ascii="Times New Roman" w:eastAsia="SimSun" w:hAnsi="Times New Roman"/>
                <w:iCs/>
                <w:sz w:val="24"/>
                <w:szCs w:val="24"/>
                <w:lang w:eastAsia="bg-BG"/>
              </w:rPr>
              <w:t>MPLIII D-</w:t>
            </w:r>
            <w:r w:rsidRPr="00AE47C6">
              <w:rPr>
                <w:rFonts w:ascii="Times New Roman" w:eastAsia="SimSun" w:hAnsi="Times New Roman"/>
                <w:i/>
                <w:iCs/>
                <w:sz w:val="24"/>
                <w:szCs w:val="24"/>
                <w:lang w:eastAsia="bg-BG"/>
              </w:rPr>
              <w:t xml:space="preserve"> GNS; </w:t>
            </w:r>
            <w:r w:rsidRPr="00AE47C6">
              <w:rPr>
                <w:rFonts w:ascii="Times New Roman" w:eastAsia="SimSun" w:hAnsi="Times New Roman"/>
                <w:iCs/>
                <w:sz w:val="24"/>
                <w:szCs w:val="24"/>
                <w:lang w:eastAsia="bg-BG"/>
              </w:rPr>
              <w:t>MPL IVA-</w:t>
            </w:r>
            <w:r w:rsidRPr="00AE47C6">
              <w:rPr>
                <w:rFonts w:ascii="Times New Roman" w:eastAsia="SimSun" w:hAnsi="Times New Roman"/>
                <w:i/>
                <w:iCs/>
                <w:sz w:val="24"/>
                <w:szCs w:val="24"/>
                <w:lang w:eastAsia="bg-BG"/>
              </w:rPr>
              <w:t xml:space="preserve"> GALNS;</w:t>
            </w:r>
            <w:r w:rsidRPr="00AE47C6">
              <w:rPr>
                <w:rFonts w:ascii="Times New Roman" w:eastAsia="SimSun" w:hAnsi="Times New Roman"/>
                <w:iCs/>
                <w:sz w:val="24"/>
                <w:szCs w:val="24"/>
                <w:lang w:eastAsia="bg-BG"/>
              </w:rPr>
              <w:t xml:space="preserve"> MPL IVB-</w:t>
            </w:r>
            <w:r w:rsidRPr="00AE47C6">
              <w:rPr>
                <w:rFonts w:ascii="Times New Roman" w:eastAsia="SimSun" w:hAnsi="Times New Roman"/>
                <w:i/>
                <w:iCs/>
                <w:sz w:val="24"/>
                <w:szCs w:val="24"/>
                <w:lang w:eastAsia="bg-BG"/>
              </w:rPr>
              <w:t xml:space="preserve"> GLB1;</w:t>
            </w:r>
            <w:r w:rsidRPr="00AE47C6">
              <w:rPr>
                <w:rFonts w:ascii="Times New Roman" w:eastAsia="SimSun" w:hAnsi="Times New Roman"/>
                <w:sz w:val="24"/>
                <w:szCs w:val="24"/>
                <w:lang w:eastAsia="bg-BG"/>
              </w:rPr>
              <w:t xml:space="preserve"> MPS VI-</w:t>
            </w:r>
            <w:r w:rsidRPr="00AE47C6">
              <w:rPr>
                <w:rFonts w:ascii="Times New Roman" w:eastAsia="SimSun" w:hAnsi="Times New Roman"/>
                <w:i/>
                <w:iCs/>
                <w:sz w:val="24"/>
                <w:szCs w:val="24"/>
                <w:lang w:eastAsia="bg-BG"/>
              </w:rPr>
              <w:t xml:space="preserve"> ARSB; </w:t>
            </w:r>
            <w:r w:rsidRPr="00AE47C6">
              <w:rPr>
                <w:rFonts w:ascii="Times New Roman" w:eastAsia="SimSun" w:hAnsi="Times New Roman"/>
                <w:sz w:val="24"/>
                <w:szCs w:val="24"/>
                <w:lang w:eastAsia="bg-BG"/>
              </w:rPr>
              <w:t>MPS VII-</w:t>
            </w:r>
            <w:r w:rsidRPr="00AE47C6">
              <w:rPr>
                <w:rFonts w:ascii="Times New Roman" w:eastAsia="SimSun" w:hAnsi="Times New Roman"/>
                <w:i/>
                <w:iCs/>
                <w:sz w:val="24"/>
                <w:szCs w:val="24"/>
                <w:lang w:eastAsia="bg-BG"/>
              </w:rPr>
              <w:t xml:space="preserve"> GUSB;</w:t>
            </w:r>
            <w:r w:rsidRPr="00AE47C6">
              <w:rPr>
                <w:rFonts w:ascii="Times New Roman" w:eastAsia="SimSun" w:hAnsi="Times New Roman"/>
                <w:sz w:val="24"/>
                <w:szCs w:val="24"/>
                <w:lang w:eastAsia="bg-BG"/>
              </w:rPr>
              <w:t xml:space="preserve"> MPS IX-</w:t>
            </w:r>
            <w:r w:rsidRPr="00AE47C6">
              <w:rPr>
                <w:rFonts w:ascii="Times New Roman" w:eastAsia="SimSun" w:hAnsi="Times New Roman"/>
                <w:i/>
                <w:iCs/>
                <w:sz w:val="24"/>
                <w:szCs w:val="24"/>
                <w:lang w:eastAsia="bg-BG"/>
              </w:rPr>
              <w:t xml:space="preserve"> HYAL1</w:t>
            </w:r>
          </w:p>
          <w:p w14:paraId="4ED70D97" w14:textId="77777777" w:rsidR="00BE0B19" w:rsidRPr="00AE47C6" w:rsidRDefault="00BE0B19" w:rsidP="00BE0B19">
            <w:pPr>
              <w:spacing w:after="0" w:line="360" w:lineRule="auto"/>
              <w:ind w:firstLine="137"/>
              <w:rPr>
                <w:rFonts w:ascii="Times New Roman" w:eastAsia="SimSun" w:hAnsi="Times New Roman"/>
                <w:i/>
                <w:iCs/>
                <w:sz w:val="24"/>
                <w:szCs w:val="24"/>
                <w:lang w:eastAsia="bg-BG"/>
              </w:rPr>
            </w:pPr>
            <w:r w:rsidRPr="00AE47C6">
              <w:rPr>
                <w:rFonts w:ascii="Times New Roman" w:eastAsia="SimSun" w:hAnsi="Times New Roman"/>
                <w:bCs/>
                <w:sz w:val="24"/>
                <w:szCs w:val="24"/>
              </w:rPr>
              <w:t>ХР /Xq28- болест на Hunter)</w:t>
            </w:r>
          </w:p>
        </w:tc>
        <w:tc>
          <w:tcPr>
            <w:tcW w:w="2340" w:type="dxa"/>
          </w:tcPr>
          <w:p w14:paraId="2B314262" w14:textId="77777777" w:rsidR="00BE0B19" w:rsidRPr="00AE47C6" w:rsidRDefault="00BE0B19" w:rsidP="00BE0B19">
            <w:pPr>
              <w:spacing w:after="0" w:line="360" w:lineRule="auto"/>
              <w:ind w:firstLine="130"/>
              <w:rPr>
                <w:rFonts w:ascii="Times New Roman" w:eastAsia="SimSun" w:hAnsi="Times New Roman"/>
                <w:bCs/>
                <w:sz w:val="24"/>
                <w:szCs w:val="24"/>
              </w:rPr>
            </w:pPr>
            <w:r w:rsidRPr="00AE47C6">
              <w:rPr>
                <w:rFonts w:ascii="Times New Roman" w:eastAsia="SimSun" w:hAnsi="Times New Roman"/>
                <w:bCs/>
                <w:sz w:val="24"/>
                <w:szCs w:val="24"/>
              </w:rPr>
              <w:t xml:space="preserve">α-L-идуронидаза (болест на Нurler, болест на Hunter), </w:t>
            </w:r>
          </w:p>
          <w:p w14:paraId="1BCC6BFE" w14:textId="77777777" w:rsidR="00BE0B19" w:rsidRPr="00AE47C6" w:rsidRDefault="00BE0B19" w:rsidP="00BE0B19">
            <w:pPr>
              <w:spacing w:after="0" w:line="360" w:lineRule="auto"/>
              <w:ind w:firstLine="130"/>
              <w:rPr>
                <w:rFonts w:ascii="Times New Roman" w:eastAsia="SimSun" w:hAnsi="Times New Roman"/>
                <w:bCs/>
                <w:sz w:val="24"/>
                <w:szCs w:val="24"/>
              </w:rPr>
            </w:pPr>
            <w:r w:rsidRPr="00AE47C6">
              <w:rPr>
                <w:rFonts w:ascii="Times New Roman" w:eastAsia="SimSun" w:hAnsi="Times New Roman"/>
                <w:bCs/>
                <w:sz w:val="24"/>
                <w:szCs w:val="24"/>
              </w:rPr>
              <w:t>хепаран –N сулфатаза (Sanfilippo), Галактоза-6-сулфат-сулфатаза (Morquino)</w:t>
            </w:r>
          </w:p>
          <w:p w14:paraId="0C57A035" w14:textId="77777777" w:rsidR="00BE0B19" w:rsidRPr="00AE47C6" w:rsidRDefault="00BE0B19" w:rsidP="00BE0B19">
            <w:pPr>
              <w:spacing w:after="0" w:line="360" w:lineRule="auto"/>
              <w:ind w:firstLine="130"/>
              <w:rPr>
                <w:rFonts w:ascii="Times New Roman" w:eastAsia="SimSun" w:hAnsi="Times New Roman"/>
                <w:sz w:val="24"/>
                <w:szCs w:val="24"/>
              </w:rPr>
            </w:pPr>
            <w:r w:rsidRPr="00AE47C6">
              <w:rPr>
                <w:rFonts w:ascii="Times New Roman" w:eastAsia="SimSun" w:hAnsi="Times New Roman"/>
                <w:bCs/>
                <w:sz w:val="24"/>
                <w:szCs w:val="24"/>
              </w:rPr>
              <w:t>β-глюкоуронидаза (Sly)</w:t>
            </w:r>
          </w:p>
        </w:tc>
        <w:tc>
          <w:tcPr>
            <w:tcW w:w="1906" w:type="dxa"/>
          </w:tcPr>
          <w:p w14:paraId="18A9B5D2"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bCs/>
                <w:sz w:val="24"/>
                <w:szCs w:val="24"/>
              </w:rPr>
              <w:t>Глюкозоаминогликани</w:t>
            </w:r>
          </w:p>
        </w:tc>
      </w:tr>
      <w:tr w:rsidR="00BE0B19" w:rsidRPr="00AE47C6" w14:paraId="2F48DB28" w14:textId="77777777" w:rsidTr="00AD72E5">
        <w:trPr>
          <w:trHeight w:val="3294"/>
          <w:tblCellSpacing w:w="0" w:type="dxa"/>
        </w:trPr>
        <w:tc>
          <w:tcPr>
            <w:tcW w:w="1980" w:type="dxa"/>
          </w:tcPr>
          <w:p w14:paraId="3F26C275"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Муколипидози (Сиалидози):</w:t>
            </w:r>
          </w:p>
          <w:p w14:paraId="4CFED2E7"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-Mucolipidosis I</w:t>
            </w:r>
          </w:p>
          <w:p w14:paraId="66EDBDEF"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-Mucolipidosis II/III</w:t>
            </w:r>
          </w:p>
          <w:p w14:paraId="499C67BE"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-Mucolipidosis IV</w:t>
            </w:r>
          </w:p>
          <w:p w14:paraId="1044CFC6"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-Мannosidosis</w:t>
            </w:r>
          </w:p>
          <w:p w14:paraId="3AE39A0C"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-Fucosidosis</w:t>
            </w:r>
          </w:p>
          <w:p w14:paraId="4899A443"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-Galactosialidosis</w:t>
            </w:r>
          </w:p>
          <w:p w14:paraId="493F7961"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-Salla disease</w:t>
            </w:r>
          </w:p>
          <w:p w14:paraId="23204C51"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-Schindler disease</w:t>
            </w:r>
          </w:p>
          <w:p w14:paraId="291C7D3E"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Aspartylglucosaminuria</w:t>
            </w:r>
          </w:p>
          <w:p w14:paraId="44FD87BE" w14:textId="77777777" w:rsidR="00BE0B19" w:rsidRPr="00AE47C6" w:rsidRDefault="00BE0B19" w:rsidP="00BE0B19">
            <w:pPr>
              <w:spacing w:after="0" w:line="360" w:lineRule="auto"/>
              <w:rPr>
                <w:rFonts w:ascii="Times New Roman" w:eastAsia="SimSun" w:hAnsi="Times New Roman"/>
                <w:sz w:val="24"/>
                <w:szCs w:val="24"/>
              </w:rPr>
            </w:pPr>
          </w:p>
        </w:tc>
        <w:tc>
          <w:tcPr>
            <w:tcW w:w="2700" w:type="dxa"/>
          </w:tcPr>
          <w:p w14:paraId="4D4D6428" w14:textId="77777777" w:rsidR="00BE0B19" w:rsidRPr="00AE47C6" w:rsidRDefault="00BE0B19" w:rsidP="00BE0B19">
            <w:pPr>
              <w:spacing w:after="0" w:line="360" w:lineRule="auto"/>
              <w:ind w:firstLine="137"/>
              <w:rPr>
                <w:rFonts w:ascii="Times New Roman" w:eastAsia="SimSun" w:hAnsi="Times New Roman"/>
                <w:bCs/>
                <w:sz w:val="24"/>
                <w:szCs w:val="24"/>
              </w:rPr>
            </w:pPr>
          </w:p>
          <w:p w14:paraId="2D082E18" w14:textId="77777777" w:rsidR="00BE0B19" w:rsidRPr="00AE47C6" w:rsidRDefault="00BE0B19" w:rsidP="00BE0B19">
            <w:pPr>
              <w:spacing w:after="0" w:line="360" w:lineRule="auto"/>
              <w:ind w:firstLine="137"/>
              <w:rPr>
                <w:rFonts w:ascii="Times New Roman" w:eastAsia="SimSun" w:hAnsi="Times New Roman"/>
                <w:bCs/>
                <w:sz w:val="24"/>
                <w:szCs w:val="24"/>
              </w:rPr>
            </w:pPr>
          </w:p>
          <w:p w14:paraId="2DDD2736" w14:textId="77777777" w:rsidR="00BE0B19" w:rsidRPr="00AE47C6" w:rsidRDefault="00BE0B19" w:rsidP="00BE0B19">
            <w:pPr>
              <w:spacing w:after="0" w:line="360" w:lineRule="auto"/>
              <w:ind w:firstLine="137"/>
              <w:rPr>
                <w:rFonts w:ascii="Times New Roman" w:eastAsia="SimSun" w:hAnsi="Times New Roman"/>
                <w:sz w:val="24"/>
                <w:szCs w:val="24"/>
              </w:rPr>
            </w:pPr>
            <w:r w:rsidRPr="00AE47C6">
              <w:rPr>
                <w:rFonts w:ascii="Times New Roman" w:eastAsia="SimSun" w:hAnsi="Times New Roman"/>
                <w:bCs/>
                <w:sz w:val="24"/>
                <w:szCs w:val="24"/>
              </w:rPr>
              <w:t>-АР/</w:t>
            </w:r>
            <w:r w:rsidRPr="00AE47C6">
              <w:rPr>
                <w:rFonts w:ascii="Times New Roman" w:eastAsiaTheme="minorHAnsi" w:hAnsi="Times New Roman"/>
                <w:b/>
                <w:bCs/>
                <w:sz w:val="24"/>
                <w:szCs w:val="24"/>
                <w:shd w:val="clear" w:color="auto" w:fill="FFFFFF"/>
              </w:rPr>
              <w:t xml:space="preserve"> </w:t>
            </w:r>
            <w:r w:rsidRPr="00AE47C6">
              <w:rPr>
                <w:rFonts w:ascii="Times New Roman" w:eastAsia="SimSun" w:hAnsi="Times New Roman"/>
                <w:i/>
                <w:sz w:val="24"/>
                <w:szCs w:val="24"/>
                <w:shd w:val="clear" w:color="auto" w:fill="FFFFFF"/>
              </w:rPr>
              <w:t>NEU1</w:t>
            </w:r>
            <w:r w:rsidRPr="00AE47C6">
              <w:rPr>
                <w:rFonts w:ascii="Times New Roman" w:eastAsia="SimSun" w:hAnsi="Times New Roman"/>
                <w:bCs/>
                <w:sz w:val="24"/>
                <w:szCs w:val="24"/>
              </w:rPr>
              <w:t xml:space="preserve"> /6 </w:t>
            </w:r>
            <w:r w:rsidRPr="00AE47C6">
              <w:rPr>
                <w:rFonts w:ascii="Times New Roman" w:eastAsia="SimSun" w:hAnsi="Times New Roman"/>
                <w:sz w:val="24"/>
                <w:szCs w:val="24"/>
              </w:rPr>
              <w:t>p21.33</w:t>
            </w:r>
          </w:p>
          <w:p w14:paraId="183609F4" w14:textId="77777777" w:rsidR="00BE0B19" w:rsidRPr="00AE47C6" w:rsidRDefault="00BE0B19" w:rsidP="00BE0B19">
            <w:pPr>
              <w:spacing w:after="0" w:line="360" w:lineRule="auto"/>
              <w:ind w:firstLine="137"/>
              <w:rPr>
                <w:rFonts w:ascii="Times New Roman" w:eastAsia="SimSun" w:hAnsi="Times New Roman"/>
                <w:i/>
                <w:iCs/>
                <w:sz w:val="24"/>
                <w:szCs w:val="24"/>
                <w:lang w:eastAsia="bg-BG"/>
              </w:rPr>
            </w:pPr>
            <w:r w:rsidRPr="00AE47C6">
              <w:rPr>
                <w:rFonts w:ascii="Times New Roman" w:eastAsia="SimSun" w:hAnsi="Times New Roman"/>
                <w:i/>
                <w:iCs/>
                <w:sz w:val="24"/>
                <w:szCs w:val="24"/>
                <w:lang w:eastAsia="bg-BG"/>
              </w:rPr>
              <w:t>-АР/ GNPTAB, GNPTG/</w:t>
            </w:r>
          </w:p>
          <w:p w14:paraId="6C28861E" w14:textId="77777777" w:rsidR="00BE0B19" w:rsidRPr="00AE47C6" w:rsidRDefault="00BE0B19" w:rsidP="00BE0B19">
            <w:pPr>
              <w:spacing w:after="0" w:line="360" w:lineRule="auto"/>
              <w:ind w:firstLine="137"/>
              <w:rPr>
                <w:rFonts w:ascii="Times New Roman" w:eastAsia="SimSun" w:hAnsi="Times New Roman"/>
                <w:sz w:val="24"/>
                <w:szCs w:val="24"/>
              </w:rPr>
            </w:pPr>
            <w:r w:rsidRPr="00AE47C6">
              <w:rPr>
                <w:rFonts w:ascii="Times New Roman" w:eastAsia="SimSun" w:hAnsi="Times New Roman"/>
                <w:i/>
                <w:iCs/>
                <w:sz w:val="24"/>
                <w:szCs w:val="24"/>
                <w:lang w:eastAsia="bg-BG"/>
              </w:rPr>
              <w:t>- MCOLN1</w:t>
            </w:r>
          </w:p>
          <w:p w14:paraId="69AE1ABE" w14:textId="77777777" w:rsidR="00BE0B19" w:rsidRPr="00AE47C6" w:rsidRDefault="00BE0B19" w:rsidP="00BE0B19">
            <w:pPr>
              <w:spacing w:after="0" w:line="360" w:lineRule="auto"/>
              <w:ind w:firstLine="137"/>
              <w:rPr>
                <w:rFonts w:ascii="Times New Roman" w:eastAsia="SimSun" w:hAnsi="Times New Roman"/>
                <w:i/>
                <w:iCs/>
                <w:sz w:val="24"/>
                <w:szCs w:val="24"/>
                <w:lang w:eastAsia="bg-BG"/>
              </w:rPr>
            </w:pPr>
            <w:r w:rsidRPr="00AE47C6">
              <w:rPr>
                <w:rFonts w:ascii="Times New Roman" w:eastAsia="SimSun" w:hAnsi="Times New Roman"/>
                <w:sz w:val="24"/>
                <w:szCs w:val="24"/>
              </w:rPr>
              <w:t>-</w:t>
            </w:r>
            <w:r w:rsidRPr="00AE47C6">
              <w:rPr>
                <w:rFonts w:ascii="Times New Roman" w:eastAsia="SimSun" w:hAnsi="Times New Roman"/>
                <w:i/>
                <w:iCs/>
                <w:sz w:val="24"/>
                <w:szCs w:val="24"/>
                <w:lang w:eastAsia="bg-BG"/>
              </w:rPr>
              <w:t xml:space="preserve"> MAN2B1, MANBA</w:t>
            </w:r>
          </w:p>
          <w:p w14:paraId="5744CFF3" w14:textId="77777777" w:rsidR="00BE0B19" w:rsidRPr="00AE47C6" w:rsidRDefault="00BE0B19" w:rsidP="00BE0B19">
            <w:pPr>
              <w:spacing w:after="0" w:line="360" w:lineRule="auto"/>
              <w:ind w:firstLine="137"/>
              <w:rPr>
                <w:rFonts w:ascii="Times New Roman" w:eastAsia="SimSun" w:hAnsi="Times New Roman"/>
                <w:i/>
                <w:iCs/>
                <w:sz w:val="24"/>
                <w:szCs w:val="24"/>
                <w:lang w:eastAsia="bg-BG"/>
              </w:rPr>
            </w:pPr>
            <w:r w:rsidRPr="00AE47C6">
              <w:rPr>
                <w:rFonts w:ascii="Times New Roman" w:eastAsia="SimSun" w:hAnsi="Times New Roman"/>
                <w:i/>
                <w:iCs/>
                <w:sz w:val="24"/>
                <w:szCs w:val="24"/>
                <w:lang w:eastAsia="bg-BG"/>
              </w:rPr>
              <w:t>- FUCA1</w:t>
            </w:r>
          </w:p>
          <w:p w14:paraId="05EA90D2" w14:textId="77777777" w:rsidR="00BE0B19" w:rsidRPr="00AE47C6" w:rsidRDefault="00BE0B19" w:rsidP="00BE0B19">
            <w:pPr>
              <w:spacing w:after="0" w:line="360" w:lineRule="auto"/>
              <w:ind w:firstLine="137"/>
              <w:rPr>
                <w:rFonts w:ascii="Times New Roman" w:eastAsia="SimSun" w:hAnsi="Times New Roman"/>
                <w:i/>
                <w:iCs/>
                <w:sz w:val="24"/>
                <w:szCs w:val="24"/>
                <w:lang w:eastAsia="bg-BG"/>
              </w:rPr>
            </w:pPr>
            <w:r w:rsidRPr="00AE47C6">
              <w:rPr>
                <w:rFonts w:ascii="Times New Roman" w:eastAsia="SimSun" w:hAnsi="Times New Roman"/>
                <w:i/>
                <w:iCs/>
                <w:sz w:val="24"/>
                <w:szCs w:val="24"/>
                <w:lang w:eastAsia="bg-BG"/>
              </w:rPr>
              <w:t>- CTSA</w:t>
            </w:r>
          </w:p>
          <w:p w14:paraId="12C27F37" w14:textId="77777777" w:rsidR="00BE0B19" w:rsidRPr="00AE47C6" w:rsidRDefault="00BE0B19" w:rsidP="00BE0B19">
            <w:pPr>
              <w:spacing w:after="0" w:line="360" w:lineRule="auto"/>
              <w:ind w:firstLine="137"/>
              <w:rPr>
                <w:rFonts w:ascii="Times New Roman" w:eastAsia="SimSun" w:hAnsi="Times New Roman"/>
                <w:i/>
                <w:iCs/>
                <w:sz w:val="24"/>
                <w:szCs w:val="24"/>
                <w:lang w:eastAsia="bg-BG"/>
              </w:rPr>
            </w:pPr>
            <w:r w:rsidRPr="00AE47C6">
              <w:rPr>
                <w:rFonts w:ascii="Times New Roman" w:eastAsia="SimSun" w:hAnsi="Times New Roman"/>
                <w:i/>
                <w:iCs/>
                <w:sz w:val="24"/>
                <w:szCs w:val="24"/>
                <w:lang w:eastAsia="bg-BG"/>
              </w:rPr>
              <w:t>- SLC17A5</w:t>
            </w:r>
          </w:p>
          <w:p w14:paraId="4A9719ED" w14:textId="77777777" w:rsidR="00BE0B19" w:rsidRPr="00AE47C6" w:rsidRDefault="00BE0B19" w:rsidP="00BE0B19">
            <w:pPr>
              <w:spacing w:after="0" w:line="360" w:lineRule="auto"/>
              <w:ind w:firstLine="137"/>
              <w:rPr>
                <w:rFonts w:ascii="Times New Roman" w:eastAsia="SimSun" w:hAnsi="Times New Roman"/>
                <w:i/>
                <w:iCs/>
                <w:sz w:val="24"/>
                <w:szCs w:val="24"/>
                <w:lang w:eastAsia="bg-BG"/>
              </w:rPr>
            </w:pPr>
            <w:r w:rsidRPr="00AE47C6">
              <w:rPr>
                <w:rFonts w:ascii="Times New Roman" w:eastAsia="SimSun" w:hAnsi="Times New Roman"/>
                <w:i/>
                <w:iCs/>
                <w:sz w:val="24"/>
                <w:szCs w:val="24"/>
                <w:lang w:eastAsia="bg-BG"/>
              </w:rPr>
              <w:t>- NAGA</w:t>
            </w:r>
          </w:p>
          <w:p w14:paraId="21CA74BD" w14:textId="77777777" w:rsidR="00BE0B19" w:rsidRPr="00AE47C6" w:rsidRDefault="00BE0B19" w:rsidP="00BE0B19">
            <w:pPr>
              <w:spacing w:after="0" w:line="360" w:lineRule="auto"/>
              <w:ind w:firstLine="137"/>
              <w:rPr>
                <w:rFonts w:ascii="Times New Roman" w:eastAsia="SimSun" w:hAnsi="Times New Roman"/>
                <w:sz w:val="24"/>
                <w:szCs w:val="24"/>
              </w:rPr>
            </w:pPr>
            <w:r w:rsidRPr="00AE47C6">
              <w:rPr>
                <w:rFonts w:ascii="Times New Roman" w:eastAsia="SimSun" w:hAnsi="Times New Roman"/>
                <w:i/>
                <w:iCs/>
                <w:sz w:val="24"/>
                <w:szCs w:val="24"/>
                <w:lang w:eastAsia="bg-BG"/>
              </w:rPr>
              <w:t>-AGA</w:t>
            </w:r>
          </w:p>
        </w:tc>
        <w:tc>
          <w:tcPr>
            <w:tcW w:w="2340" w:type="dxa"/>
          </w:tcPr>
          <w:p w14:paraId="6EED2FC1" w14:textId="77777777" w:rsidR="00BE0B19" w:rsidRPr="00AE47C6" w:rsidRDefault="00BE0B19" w:rsidP="00BE0B19">
            <w:pPr>
              <w:spacing w:after="0" w:line="360" w:lineRule="auto"/>
              <w:ind w:firstLine="130"/>
              <w:rPr>
                <w:rFonts w:ascii="Times New Roman" w:eastAsia="SimSun" w:hAnsi="Times New Roman"/>
                <w:bCs/>
                <w:sz w:val="24"/>
                <w:szCs w:val="24"/>
              </w:rPr>
            </w:pPr>
          </w:p>
          <w:p w14:paraId="1C4DE8B1" w14:textId="77777777" w:rsidR="00BE0B19" w:rsidRPr="00AE47C6" w:rsidRDefault="00BE0B19" w:rsidP="00BE0B19">
            <w:pPr>
              <w:spacing w:after="0" w:line="360" w:lineRule="auto"/>
              <w:ind w:firstLine="130"/>
              <w:rPr>
                <w:rFonts w:ascii="Times New Roman" w:eastAsia="SimSun" w:hAnsi="Times New Roman"/>
                <w:bCs/>
                <w:sz w:val="24"/>
                <w:szCs w:val="24"/>
              </w:rPr>
            </w:pPr>
          </w:p>
          <w:p w14:paraId="73E47F3A" w14:textId="77777777" w:rsidR="00BE0B19" w:rsidRPr="00AE47C6" w:rsidRDefault="00BE0B19" w:rsidP="00BE0B19">
            <w:pPr>
              <w:spacing w:after="0" w:line="360" w:lineRule="auto"/>
              <w:ind w:firstLine="130"/>
              <w:rPr>
                <w:rFonts w:ascii="Times New Roman" w:eastAsia="SimSun" w:hAnsi="Times New Roman"/>
                <w:bCs/>
                <w:sz w:val="24"/>
                <w:szCs w:val="24"/>
              </w:rPr>
            </w:pPr>
            <w:r w:rsidRPr="00AE47C6">
              <w:rPr>
                <w:rFonts w:ascii="Times New Roman" w:eastAsia="SimSun" w:hAnsi="Times New Roman"/>
                <w:bCs/>
                <w:sz w:val="24"/>
                <w:szCs w:val="24"/>
              </w:rPr>
              <w:t>-α-невроаминидаза</w:t>
            </w:r>
          </w:p>
          <w:p w14:paraId="1FF1C55D" w14:textId="77777777" w:rsidR="00BE0B19" w:rsidRPr="00AE47C6" w:rsidRDefault="00BE0B19" w:rsidP="00BE0B19">
            <w:pPr>
              <w:spacing w:after="0" w:line="360" w:lineRule="auto"/>
              <w:ind w:firstLine="130"/>
              <w:rPr>
                <w:rFonts w:ascii="Times New Roman" w:eastAsia="SimSun" w:hAnsi="Times New Roman"/>
                <w:sz w:val="24"/>
                <w:szCs w:val="24"/>
                <w:lang w:eastAsia="bg-BG"/>
              </w:rPr>
            </w:pPr>
            <w:r w:rsidRPr="00AE47C6">
              <w:rPr>
                <w:rFonts w:ascii="Times New Roman" w:eastAsia="SimSun" w:hAnsi="Times New Roman"/>
                <w:bCs/>
                <w:sz w:val="24"/>
                <w:szCs w:val="24"/>
              </w:rPr>
              <w:t>-</w:t>
            </w:r>
            <w:r w:rsidRPr="00AE47C6">
              <w:rPr>
                <w:rFonts w:ascii="Times New Roman" w:eastAsia="SimSun" w:hAnsi="Times New Roman"/>
                <w:sz w:val="24"/>
                <w:szCs w:val="24"/>
                <w:lang w:eastAsia="bg-BG"/>
              </w:rPr>
              <w:t xml:space="preserve"> UDP-N-acetylglucosamine- 1-phosphotransferase</w:t>
            </w:r>
          </w:p>
          <w:p w14:paraId="192D4CD7" w14:textId="77777777" w:rsidR="00BE0B19" w:rsidRPr="00AE47C6" w:rsidRDefault="00BE0B19" w:rsidP="00BE0B19">
            <w:pPr>
              <w:spacing w:after="0" w:line="360" w:lineRule="auto"/>
              <w:ind w:firstLine="130"/>
              <w:rPr>
                <w:rFonts w:ascii="Times New Roman" w:eastAsia="SimSun" w:hAnsi="Times New Roman"/>
                <w:sz w:val="24"/>
                <w:szCs w:val="24"/>
                <w:lang w:eastAsia="bg-BG"/>
              </w:rPr>
            </w:pPr>
            <w:r w:rsidRPr="00AE47C6">
              <w:rPr>
                <w:rFonts w:ascii="Times New Roman" w:eastAsia="SimSun" w:hAnsi="Times New Roman"/>
                <w:sz w:val="24"/>
                <w:szCs w:val="24"/>
                <w:lang w:eastAsia="bg-BG"/>
              </w:rPr>
              <w:t>- Mucolipin-1</w:t>
            </w:r>
          </w:p>
          <w:p w14:paraId="79E99597" w14:textId="77777777" w:rsidR="00BE0B19" w:rsidRPr="00AE47C6" w:rsidRDefault="00BE0B19" w:rsidP="00BE0B19">
            <w:pPr>
              <w:spacing w:after="0" w:line="360" w:lineRule="auto"/>
              <w:ind w:firstLine="130"/>
              <w:rPr>
                <w:rFonts w:ascii="Times New Roman" w:eastAsia="SimSun" w:hAnsi="Times New Roman"/>
                <w:sz w:val="24"/>
                <w:szCs w:val="24"/>
                <w:lang w:eastAsia="bg-BG"/>
              </w:rPr>
            </w:pPr>
            <w:r w:rsidRPr="00AE47C6">
              <w:rPr>
                <w:rFonts w:ascii="Times New Roman" w:eastAsia="SimSun" w:hAnsi="Times New Roman"/>
                <w:sz w:val="24"/>
                <w:szCs w:val="24"/>
                <w:lang w:eastAsia="bg-BG"/>
              </w:rPr>
              <w:t>- α и β mannosidase</w:t>
            </w:r>
          </w:p>
          <w:p w14:paraId="111CB89F" w14:textId="77777777" w:rsidR="00BE0B19" w:rsidRPr="00AE47C6" w:rsidRDefault="00BE0B19" w:rsidP="00BE0B19">
            <w:pPr>
              <w:spacing w:after="0" w:line="360" w:lineRule="auto"/>
              <w:ind w:firstLine="130"/>
              <w:rPr>
                <w:rFonts w:ascii="Times New Roman" w:eastAsia="SimSun" w:hAnsi="Times New Roman"/>
                <w:sz w:val="24"/>
                <w:szCs w:val="24"/>
                <w:lang w:eastAsia="bg-BG"/>
              </w:rPr>
            </w:pPr>
            <w:r w:rsidRPr="00AE47C6">
              <w:rPr>
                <w:rFonts w:ascii="Times New Roman" w:eastAsia="SimSun" w:hAnsi="Times New Roman"/>
                <w:sz w:val="24"/>
                <w:szCs w:val="24"/>
                <w:lang w:eastAsia="bg-BG"/>
              </w:rPr>
              <w:t>- Fucosidase</w:t>
            </w:r>
          </w:p>
          <w:p w14:paraId="15E35B7E" w14:textId="77777777" w:rsidR="00BE0B19" w:rsidRPr="00AE47C6" w:rsidRDefault="00BE0B19" w:rsidP="00BE0B19">
            <w:pPr>
              <w:spacing w:after="0" w:line="360" w:lineRule="auto"/>
              <w:ind w:firstLine="130"/>
              <w:rPr>
                <w:rFonts w:ascii="Times New Roman" w:eastAsia="SimSun" w:hAnsi="Times New Roman"/>
                <w:sz w:val="24"/>
                <w:szCs w:val="24"/>
                <w:lang w:eastAsia="bg-BG"/>
              </w:rPr>
            </w:pPr>
            <w:r w:rsidRPr="00AE47C6">
              <w:rPr>
                <w:rFonts w:ascii="Times New Roman" w:eastAsia="SimSun" w:hAnsi="Times New Roman"/>
                <w:sz w:val="24"/>
                <w:szCs w:val="24"/>
                <w:lang w:eastAsia="bg-BG"/>
              </w:rPr>
              <w:t>- Cathepsin A</w:t>
            </w:r>
          </w:p>
          <w:p w14:paraId="4E39BF4C" w14:textId="77777777" w:rsidR="00BE0B19" w:rsidRPr="00AE47C6" w:rsidRDefault="00BE0B19" w:rsidP="00BE0B19">
            <w:pPr>
              <w:spacing w:after="0" w:line="360" w:lineRule="auto"/>
              <w:ind w:firstLine="130"/>
              <w:rPr>
                <w:rFonts w:ascii="Times New Roman" w:eastAsia="SimSun" w:hAnsi="Times New Roman"/>
                <w:sz w:val="24"/>
                <w:szCs w:val="24"/>
                <w:lang w:eastAsia="bg-BG"/>
              </w:rPr>
            </w:pPr>
            <w:r w:rsidRPr="00AE47C6">
              <w:rPr>
                <w:rFonts w:ascii="Times New Roman" w:eastAsia="SimSun" w:hAnsi="Times New Roman"/>
                <w:sz w:val="24"/>
                <w:szCs w:val="24"/>
                <w:lang w:eastAsia="bg-BG"/>
              </w:rPr>
              <w:t>- Sialin</w:t>
            </w:r>
          </w:p>
          <w:p w14:paraId="186CAE3D" w14:textId="77777777" w:rsidR="00BE0B19" w:rsidRPr="00AE47C6" w:rsidRDefault="00BE0B19" w:rsidP="00BE0B19">
            <w:pPr>
              <w:spacing w:after="0" w:line="360" w:lineRule="auto"/>
              <w:ind w:firstLine="130"/>
              <w:rPr>
                <w:rFonts w:ascii="Times New Roman" w:eastAsia="SimSun" w:hAnsi="Times New Roman"/>
                <w:sz w:val="24"/>
                <w:szCs w:val="24"/>
                <w:lang w:eastAsia="bg-BG"/>
              </w:rPr>
            </w:pPr>
            <w:r w:rsidRPr="00AE47C6">
              <w:rPr>
                <w:rFonts w:ascii="Times New Roman" w:eastAsia="SimSun" w:hAnsi="Times New Roman"/>
                <w:sz w:val="24"/>
                <w:szCs w:val="24"/>
                <w:lang w:eastAsia="bg-BG"/>
              </w:rPr>
              <w:t>- α-N-acetylgalactosaminidase</w:t>
            </w:r>
          </w:p>
          <w:p w14:paraId="1C6515A8" w14:textId="77777777" w:rsidR="00BE0B19" w:rsidRPr="00AE47C6" w:rsidRDefault="00BE0B19" w:rsidP="00BE0B19">
            <w:pPr>
              <w:spacing w:after="0" w:line="360" w:lineRule="auto"/>
              <w:ind w:firstLine="130"/>
              <w:rPr>
                <w:rFonts w:ascii="Times New Roman" w:eastAsia="SimSun" w:hAnsi="Times New Roman"/>
                <w:sz w:val="24"/>
                <w:szCs w:val="24"/>
                <w:lang w:eastAsia="bg-BG"/>
              </w:rPr>
            </w:pPr>
            <w:r w:rsidRPr="00AE47C6">
              <w:rPr>
                <w:rFonts w:ascii="Times New Roman" w:eastAsia="SimSun" w:hAnsi="Times New Roman"/>
                <w:sz w:val="24"/>
                <w:szCs w:val="24"/>
                <w:lang w:eastAsia="bg-BG"/>
              </w:rPr>
              <w:t>- Aspartylglucosaminidase</w:t>
            </w:r>
          </w:p>
        </w:tc>
        <w:tc>
          <w:tcPr>
            <w:tcW w:w="1906" w:type="dxa"/>
          </w:tcPr>
          <w:p w14:paraId="6CFC8A0C"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sz w:val="24"/>
                <w:szCs w:val="24"/>
              </w:rPr>
              <w:t>Мукополизахариди, сфинголипиди и гликолипиди</w:t>
            </w:r>
          </w:p>
        </w:tc>
      </w:tr>
      <w:tr w:rsidR="00BE0B19" w:rsidRPr="00AE47C6" w14:paraId="297CDF8D" w14:textId="77777777" w:rsidTr="00AD72E5">
        <w:trPr>
          <w:trHeight w:val="351"/>
          <w:tblCellSpacing w:w="0" w:type="dxa"/>
        </w:trPr>
        <w:tc>
          <w:tcPr>
            <w:tcW w:w="1980" w:type="dxa"/>
          </w:tcPr>
          <w:p w14:paraId="190C5D7C"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Болест на Pompe</w:t>
            </w:r>
          </w:p>
        </w:tc>
        <w:tc>
          <w:tcPr>
            <w:tcW w:w="2700" w:type="dxa"/>
          </w:tcPr>
          <w:p w14:paraId="0A6B0A42" w14:textId="77777777" w:rsidR="00BE0B19" w:rsidRPr="00AE47C6" w:rsidRDefault="00BE0B19" w:rsidP="00BE0B19">
            <w:pPr>
              <w:spacing w:after="0" w:line="360" w:lineRule="auto"/>
              <w:ind w:firstLine="137"/>
              <w:rPr>
                <w:rFonts w:ascii="Times New Roman" w:eastAsia="SimSun" w:hAnsi="Times New Roman"/>
                <w:bCs/>
                <w:sz w:val="24"/>
                <w:szCs w:val="24"/>
              </w:rPr>
            </w:pPr>
            <w:r w:rsidRPr="00AE47C6">
              <w:rPr>
                <w:rFonts w:ascii="Times New Roman" w:eastAsia="SimSun" w:hAnsi="Times New Roman"/>
                <w:sz w:val="24"/>
                <w:szCs w:val="24"/>
              </w:rPr>
              <w:t>АР/</w:t>
            </w:r>
            <w:r w:rsidRPr="00AE47C6">
              <w:rPr>
                <w:rFonts w:ascii="Times New Roman" w:eastAsia="SimSun" w:hAnsi="Times New Roman"/>
                <w:iCs/>
                <w:sz w:val="24"/>
                <w:szCs w:val="24"/>
                <w:lang w:eastAsia="bg-BG"/>
              </w:rPr>
              <w:t xml:space="preserve"> </w:t>
            </w:r>
            <w:r w:rsidRPr="00AE47C6">
              <w:rPr>
                <w:rFonts w:ascii="Times New Roman" w:eastAsia="SimSun" w:hAnsi="Times New Roman"/>
                <w:i/>
                <w:iCs/>
                <w:sz w:val="24"/>
                <w:szCs w:val="24"/>
                <w:lang w:eastAsia="bg-BG"/>
              </w:rPr>
              <w:t>GAA/</w:t>
            </w:r>
            <w:r w:rsidRPr="00AE47C6">
              <w:rPr>
                <w:rFonts w:ascii="Times New Roman" w:eastAsia="SimSun" w:hAnsi="Times New Roman"/>
                <w:bCs/>
                <w:sz w:val="24"/>
                <w:szCs w:val="24"/>
              </w:rPr>
              <w:t>17q 25</w:t>
            </w:r>
          </w:p>
        </w:tc>
        <w:tc>
          <w:tcPr>
            <w:tcW w:w="2340" w:type="dxa"/>
          </w:tcPr>
          <w:p w14:paraId="47753FE5" w14:textId="77777777" w:rsidR="00BE0B19" w:rsidRPr="00AE47C6" w:rsidRDefault="00BE0B19" w:rsidP="00BE0B19">
            <w:pPr>
              <w:spacing w:after="0" w:line="360" w:lineRule="auto"/>
              <w:ind w:firstLine="130"/>
              <w:rPr>
                <w:rFonts w:ascii="Times New Roman" w:eastAsia="SimSun" w:hAnsi="Times New Roman"/>
                <w:bCs/>
                <w:sz w:val="24"/>
                <w:szCs w:val="24"/>
              </w:rPr>
            </w:pPr>
            <w:r w:rsidRPr="00AE47C6">
              <w:rPr>
                <w:rFonts w:ascii="Times New Roman" w:eastAsia="SimSun" w:hAnsi="Times New Roman"/>
                <w:bCs/>
                <w:sz w:val="24"/>
                <w:szCs w:val="24"/>
              </w:rPr>
              <w:t>Кисела α-глюкозидаза</w:t>
            </w:r>
          </w:p>
        </w:tc>
        <w:tc>
          <w:tcPr>
            <w:tcW w:w="1906" w:type="dxa"/>
          </w:tcPr>
          <w:p w14:paraId="78211DB0"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Гликоген</w:t>
            </w:r>
          </w:p>
        </w:tc>
      </w:tr>
      <w:tr w:rsidR="00BE0B19" w:rsidRPr="00AE47C6" w14:paraId="6F2D9EAD" w14:textId="77777777" w:rsidTr="00AD72E5">
        <w:trPr>
          <w:trHeight w:val="351"/>
          <w:tblCellSpacing w:w="0" w:type="dxa"/>
        </w:trPr>
        <w:tc>
          <w:tcPr>
            <w:tcW w:w="1980" w:type="dxa"/>
          </w:tcPr>
          <w:p w14:paraId="3698EC61"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bCs/>
                <w:sz w:val="24"/>
                <w:szCs w:val="24"/>
              </w:rPr>
              <w:t>Болест на Gaucher</w:t>
            </w:r>
          </w:p>
        </w:tc>
        <w:tc>
          <w:tcPr>
            <w:tcW w:w="2700" w:type="dxa"/>
          </w:tcPr>
          <w:p w14:paraId="23B11C02" w14:textId="77777777" w:rsidR="00BE0B19" w:rsidRPr="00AE47C6" w:rsidRDefault="00BE0B19" w:rsidP="00BE0B19">
            <w:pPr>
              <w:spacing w:after="0" w:line="360" w:lineRule="auto"/>
              <w:ind w:firstLine="137"/>
              <w:rPr>
                <w:rFonts w:ascii="Times New Roman" w:eastAsia="SimSun" w:hAnsi="Times New Roman"/>
                <w:sz w:val="24"/>
                <w:szCs w:val="24"/>
              </w:rPr>
            </w:pPr>
            <w:r w:rsidRPr="00AE47C6">
              <w:rPr>
                <w:rFonts w:ascii="Times New Roman" w:eastAsia="SimSun" w:hAnsi="Times New Roman"/>
                <w:sz w:val="24"/>
                <w:szCs w:val="24"/>
              </w:rPr>
              <w:t>АР</w:t>
            </w:r>
            <w:r w:rsidRPr="00AE47C6">
              <w:rPr>
                <w:rFonts w:ascii="Times New Roman" w:eastAsia="SimSun" w:hAnsi="Times New Roman"/>
                <w:sz w:val="24"/>
                <w:szCs w:val="24"/>
                <w:shd w:val="clear" w:color="auto" w:fill="FFFFFF"/>
              </w:rPr>
              <w:t>/ GBA/хр1</w:t>
            </w:r>
          </w:p>
        </w:tc>
        <w:tc>
          <w:tcPr>
            <w:tcW w:w="2340" w:type="dxa"/>
          </w:tcPr>
          <w:p w14:paraId="5C8C393D" w14:textId="77777777" w:rsidR="00BE0B19" w:rsidRPr="00AE47C6" w:rsidRDefault="00BE0B19" w:rsidP="00BE0B19">
            <w:pPr>
              <w:spacing w:after="0" w:line="360" w:lineRule="auto"/>
              <w:ind w:firstLine="130"/>
              <w:rPr>
                <w:rFonts w:ascii="Times New Roman" w:eastAsia="SimSun" w:hAnsi="Times New Roman"/>
                <w:bCs/>
                <w:sz w:val="24"/>
                <w:szCs w:val="24"/>
              </w:rPr>
            </w:pPr>
            <w:r w:rsidRPr="00AE47C6">
              <w:rPr>
                <w:rFonts w:ascii="Times New Roman" w:eastAsia="SimSun" w:hAnsi="Times New Roman"/>
                <w:bCs/>
                <w:sz w:val="24"/>
                <w:szCs w:val="24"/>
              </w:rPr>
              <w:t xml:space="preserve">Кисела β-глюкоцереброзидаза </w:t>
            </w:r>
          </w:p>
        </w:tc>
        <w:tc>
          <w:tcPr>
            <w:tcW w:w="1906" w:type="dxa"/>
          </w:tcPr>
          <w:p w14:paraId="0A7CC210"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iCs/>
                <w:sz w:val="24"/>
                <w:szCs w:val="24"/>
              </w:rPr>
              <w:t>Глюкоцереброзиди</w:t>
            </w:r>
          </w:p>
        </w:tc>
      </w:tr>
      <w:tr w:rsidR="00BE0B19" w:rsidRPr="00AE47C6" w14:paraId="2DFB308F" w14:textId="77777777" w:rsidTr="00AD72E5">
        <w:trPr>
          <w:trHeight w:val="351"/>
          <w:tblCellSpacing w:w="0" w:type="dxa"/>
        </w:trPr>
        <w:tc>
          <w:tcPr>
            <w:tcW w:w="1980" w:type="dxa"/>
          </w:tcPr>
          <w:p w14:paraId="442D3BE6"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 xml:space="preserve"> Болест на Fabry</w:t>
            </w:r>
          </w:p>
        </w:tc>
        <w:tc>
          <w:tcPr>
            <w:tcW w:w="2700" w:type="dxa"/>
          </w:tcPr>
          <w:p w14:paraId="165FB382" w14:textId="77777777" w:rsidR="00BE0B19" w:rsidRPr="00AE47C6" w:rsidRDefault="00BE0B19" w:rsidP="00BE0B19">
            <w:pPr>
              <w:spacing w:after="0" w:line="360" w:lineRule="auto"/>
              <w:ind w:firstLine="137"/>
              <w:rPr>
                <w:rFonts w:ascii="Times New Roman" w:eastAsia="SimSun" w:hAnsi="Times New Roman"/>
                <w:sz w:val="24"/>
                <w:szCs w:val="24"/>
              </w:rPr>
            </w:pPr>
            <w:r w:rsidRPr="00AE47C6">
              <w:rPr>
                <w:rFonts w:ascii="Times New Roman" w:eastAsia="SimSun" w:hAnsi="Times New Roman"/>
                <w:sz w:val="24"/>
                <w:szCs w:val="24"/>
              </w:rPr>
              <w:t>ХР/</w:t>
            </w:r>
            <w:r w:rsidRPr="00AE47C6">
              <w:rPr>
                <w:rFonts w:ascii="Times New Roman" w:eastAsia="SimSun" w:hAnsi="Times New Roman"/>
                <w:i/>
                <w:iCs/>
                <w:sz w:val="24"/>
                <w:szCs w:val="24"/>
                <w:lang w:eastAsia="bg-BG"/>
              </w:rPr>
              <w:t xml:space="preserve"> GLA</w:t>
            </w:r>
            <w:r w:rsidRPr="00AE47C6">
              <w:rPr>
                <w:rFonts w:ascii="Times New Roman" w:eastAsia="SimSun" w:hAnsi="Times New Roman"/>
                <w:sz w:val="24"/>
                <w:szCs w:val="24"/>
              </w:rPr>
              <w:t xml:space="preserve"> /Х21.33-q22</w:t>
            </w:r>
          </w:p>
        </w:tc>
        <w:tc>
          <w:tcPr>
            <w:tcW w:w="2340" w:type="dxa"/>
          </w:tcPr>
          <w:p w14:paraId="70764A9B" w14:textId="77777777" w:rsidR="00BE0B19" w:rsidRPr="00AE47C6" w:rsidRDefault="00BE0B19" w:rsidP="00BE0B19">
            <w:pPr>
              <w:spacing w:after="0" w:line="360" w:lineRule="auto"/>
              <w:ind w:firstLine="130"/>
              <w:rPr>
                <w:rFonts w:ascii="Times New Roman" w:eastAsia="SimSun" w:hAnsi="Times New Roman"/>
                <w:iCs/>
                <w:sz w:val="24"/>
                <w:szCs w:val="24"/>
              </w:rPr>
            </w:pPr>
            <w:r w:rsidRPr="00AE47C6">
              <w:rPr>
                <w:rFonts w:ascii="Times New Roman" w:eastAsia="SimSun" w:hAnsi="Times New Roman"/>
                <w:bCs/>
                <w:sz w:val="24"/>
                <w:szCs w:val="24"/>
              </w:rPr>
              <w:t>α-</w:t>
            </w:r>
            <w:r w:rsidRPr="00AE47C6">
              <w:rPr>
                <w:rFonts w:ascii="Times New Roman" w:eastAsia="SimSun" w:hAnsi="Times New Roman"/>
                <w:iCs/>
                <w:sz w:val="24"/>
                <w:szCs w:val="24"/>
              </w:rPr>
              <w:t>галактозидаза A</w:t>
            </w:r>
          </w:p>
          <w:p w14:paraId="051907FC" w14:textId="77777777" w:rsidR="00BE0B19" w:rsidRPr="00AE47C6" w:rsidRDefault="00BE0B19" w:rsidP="00BE0B19">
            <w:pPr>
              <w:spacing w:after="0" w:line="360" w:lineRule="auto"/>
              <w:ind w:firstLine="130"/>
              <w:rPr>
                <w:rFonts w:ascii="Times New Roman" w:eastAsia="SimSun" w:hAnsi="Times New Roman"/>
                <w:bCs/>
                <w:sz w:val="24"/>
                <w:szCs w:val="24"/>
              </w:rPr>
            </w:pPr>
          </w:p>
        </w:tc>
        <w:tc>
          <w:tcPr>
            <w:tcW w:w="1906" w:type="dxa"/>
          </w:tcPr>
          <w:p w14:paraId="2C5402C6" w14:textId="77777777" w:rsidR="00BE0B19" w:rsidRPr="00AE47C6" w:rsidRDefault="00BE0B19" w:rsidP="00BE0B19">
            <w:pPr>
              <w:spacing w:after="0" w:line="360" w:lineRule="auto"/>
              <w:rPr>
                <w:rFonts w:ascii="Times New Roman" w:eastAsia="SimSun" w:hAnsi="Times New Roman"/>
                <w:iCs/>
                <w:sz w:val="24"/>
                <w:szCs w:val="24"/>
              </w:rPr>
            </w:pPr>
            <w:r w:rsidRPr="00AE47C6">
              <w:rPr>
                <w:rFonts w:ascii="Times New Roman" w:eastAsia="SimSun" w:hAnsi="Times New Roman"/>
                <w:sz w:val="24"/>
                <w:szCs w:val="24"/>
                <w:lang w:eastAsia="bg-BG"/>
              </w:rPr>
              <w:t>Глоботриазоцилцерамид (Gb-3)</w:t>
            </w:r>
          </w:p>
        </w:tc>
      </w:tr>
      <w:tr w:rsidR="00BE0B19" w:rsidRPr="00AE47C6" w14:paraId="65999C60" w14:textId="77777777" w:rsidTr="00AD72E5">
        <w:trPr>
          <w:trHeight w:val="323"/>
          <w:tblCellSpacing w:w="0" w:type="dxa"/>
        </w:trPr>
        <w:tc>
          <w:tcPr>
            <w:tcW w:w="1980" w:type="dxa"/>
          </w:tcPr>
          <w:p w14:paraId="1882B47E"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bCs/>
                <w:sz w:val="24"/>
                <w:szCs w:val="24"/>
              </w:rPr>
              <w:t>Болест на Tay-Sachs</w:t>
            </w:r>
          </w:p>
        </w:tc>
        <w:tc>
          <w:tcPr>
            <w:tcW w:w="2700" w:type="dxa"/>
          </w:tcPr>
          <w:p w14:paraId="695317BE" w14:textId="77777777" w:rsidR="00BE0B19" w:rsidRPr="00AE47C6" w:rsidRDefault="00BE0B19" w:rsidP="00BE0B19">
            <w:pPr>
              <w:spacing w:after="0" w:line="360" w:lineRule="auto"/>
              <w:ind w:firstLine="137"/>
              <w:rPr>
                <w:rFonts w:ascii="Times New Roman" w:eastAsia="SimSun" w:hAnsi="Times New Roman"/>
                <w:sz w:val="24"/>
                <w:szCs w:val="24"/>
              </w:rPr>
            </w:pPr>
            <w:r w:rsidRPr="00AE47C6">
              <w:rPr>
                <w:rFonts w:ascii="Times New Roman" w:eastAsia="SimSun" w:hAnsi="Times New Roman"/>
                <w:bCs/>
                <w:sz w:val="24"/>
                <w:szCs w:val="24"/>
              </w:rPr>
              <w:t>AР/</w:t>
            </w:r>
            <w:r w:rsidRPr="00AE47C6">
              <w:rPr>
                <w:rFonts w:ascii="Times New Roman" w:eastAsia="SimSun" w:hAnsi="Times New Roman"/>
                <w:i/>
                <w:iCs/>
                <w:sz w:val="24"/>
                <w:szCs w:val="24"/>
                <w:shd w:val="clear" w:color="auto" w:fill="FFFFFF"/>
              </w:rPr>
              <w:t xml:space="preserve"> HEXA</w:t>
            </w:r>
            <w:r w:rsidRPr="00AE47C6">
              <w:rPr>
                <w:rFonts w:ascii="Times New Roman" w:eastAsia="SimSun" w:hAnsi="Times New Roman"/>
                <w:sz w:val="24"/>
                <w:szCs w:val="24"/>
                <w:shd w:val="clear" w:color="auto" w:fill="FFFFFF"/>
              </w:rPr>
              <w:t> /</w:t>
            </w:r>
            <w:r w:rsidRPr="00AE47C6">
              <w:rPr>
                <w:rFonts w:ascii="Times New Roman" w:eastAsia="SimSun" w:hAnsi="Times New Roman"/>
                <w:bCs/>
                <w:sz w:val="24"/>
                <w:szCs w:val="24"/>
              </w:rPr>
              <w:t xml:space="preserve"> 15</w:t>
            </w:r>
            <w:r w:rsidRPr="00AE47C6">
              <w:rPr>
                <w:rFonts w:ascii="Times New Roman" w:eastAsia="SimSun" w:hAnsi="Times New Roman"/>
                <w:sz w:val="24"/>
                <w:szCs w:val="24"/>
              </w:rPr>
              <w:t xml:space="preserve">q23-q24; </w:t>
            </w:r>
            <w:r w:rsidRPr="00AE47C6">
              <w:rPr>
                <w:rFonts w:ascii="Times New Roman" w:eastAsia="SimSun" w:hAnsi="Times New Roman"/>
                <w:bCs/>
                <w:sz w:val="24"/>
                <w:szCs w:val="24"/>
              </w:rPr>
              <w:t>5q</w:t>
            </w:r>
            <w:r w:rsidRPr="00AE47C6">
              <w:rPr>
                <w:rFonts w:ascii="Times New Roman" w:eastAsia="SimSun" w:hAnsi="Times New Roman"/>
                <w:sz w:val="24"/>
                <w:szCs w:val="24"/>
              </w:rPr>
              <w:t xml:space="preserve">11.2-q13.2.3. </w:t>
            </w:r>
          </w:p>
        </w:tc>
        <w:tc>
          <w:tcPr>
            <w:tcW w:w="2340" w:type="dxa"/>
          </w:tcPr>
          <w:p w14:paraId="33C2C94A" w14:textId="77777777" w:rsidR="00BE0B19" w:rsidRPr="00AE47C6" w:rsidRDefault="00BE0B19" w:rsidP="00BE0B19">
            <w:pPr>
              <w:spacing w:after="0" w:line="360" w:lineRule="auto"/>
              <w:ind w:firstLine="130"/>
              <w:rPr>
                <w:rFonts w:ascii="Times New Roman" w:eastAsia="SimSun" w:hAnsi="Times New Roman"/>
                <w:sz w:val="24"/>
                <w:szCs w:val="24"/>
              </w:rPr>
            </w:pPr>
            <w:r w:rsidRPr="00AE47C6">
              <w:rPr>
                <w:rFonts w:ascii="Times New Roman" w:eastAsia="SimSun" w:hAnsi="Times New Roman"/>
                <w:bCs/>
                <w:sz w:val="24"/>
                <w:szCs w:val="24"/>
              </w:rPr>
              <w:t>Хексозаминидаза А</w:t>
            </w:r>
          </w:p>
        </w:tc>
        <w:tc>
          <w:tcPr>
            <w:tcW w:w="1906" w:type="dxa"/>
          </w:tcPr>
          <w:p w14:paraId="52B0D99F"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iCs/>
                <w:sz w:val="24"/>
                <w:szCs w:val="24"/>
              </w:rPr>
              <w:t>G</w:t>
            </w:r>
            <w:r w:rsidRPr="00AE47C6">
              <w:rPr>
                <w:rFonts w:ascii="Times New Roman" w:eastAsia="SimSun" w:hAnsi="Times New Roman"/>
                <w:iCs/>
                <w:sz w:val="24"/>
                <w:szCs w:val="24"/>
                <w:vertAlign w:val="subscript"/>
              </w:rPr>
              <w:t>M2</w:t>
            </w:r>
            <w:r w:rsidRPr="00AE47C6">
              <w:rPr>
                <w:rFonts w:ascii="Times New Roman" w:eastAsia="SimSun" w:hAnsi="Times New Roman"/>
                <w:iCs/>
                <w:sz w:val="24"/>
                <w:szCs w:val="24"/>
              </w:rPr>
              <w:t xml:space="preserve"> ганглиозиди</w:t>
            </w:r>
          </w:p>
        </w:tc>
      </w:tr>
      <w:tr w:rsidR="00BE0B19" w:rsidRPr="00AE47C6" w14:paraId="47D21E6B" w14:textId="77777777" w:rsidTr="00AD72E5">
        <w:trPr>
          <w:trHeight w:val="1309"/>
          <w:tblCellSpacing w:w="0" w:type="dxa"/>
        </w:trPr>
        <w:tc>
          <w:tcPr>
            <w:tcW w:w="1980" w:type="dxa"/>
          </w:tcPr>
          <w:p w14:paraId="5110F321"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Късна инфантилна и детска G</w:t>
            </w:r>
            <w:r w:rsidRPr="00AE47C6">
              <w:rPr>
                <w:rFonts w:ascii="Times New Roman" w:eastAsia="SimSun" w:hAnsi="Times New Roman"/>
                <w:bCs/>
                <w:sz w:val="24"/>
                <w:szCs w:val="24"/>
                <w:vertAlign w:val="subscript"/>
              </w:rPr>
              <w:t xml:space="preserve">М1 </w:t>
            </w:r>
            <w:r w:rsidRPr="00AE47C6">
              <w:rPr>
                <w:rFonts w:ascii="Times New Roman" w:eastAsia="SimSun" w:hAnsi="Times New Roman"/>
                <w:bCs/>
                <w:sz w:val="24"/>
                <w:szCs w:val="24"/>
              </w:rPr>
              <w:t>ганглиозидоза</w:t>
            </w:r>
          </w:p>
        </w:tc>
        <w:tc>
          <w:tcPr>
            <w:tcW w:w="2700" w:type="dxa"/>
          </w:tcPr>
          <w:p w14:paraId="124C142E" w14:textId="77777777" w:rsidR="00BE0B19" w:rsidRPr="00AE47C6" w:rsidRDefault="00BE0B19" w:rsidP="00BE0B19">
            <w:pPr>
              <w:spacing w:after="0" w:line="360" w:lineRule="auto"/>
              <w:ind w:firstLine="137"/>
              <w:rPr>
                <w:rFonts w:ascii="Times New Roman" w:eastAsia="SimSun" w:hAnsi="Times New Roman"/>
                <w:bCs/>
                <w:sz w:val="24"/>
                <w:szCs w:val="24"/>
              </w:rPr>
            </w:pPr>
            <w:r w:rsidRPr="00AE47C6">
              <w:rPr>
                <w:rFonts w:ascii="Times New Roman" w:eastAsia="SimSun" w:hAnsi="Times New Roman"/>
                <w:bCs/>
                <w:sz w:val="24"/>
                <w:szCs w:val="24"/>
              </w:rPr>
              <w:t xml:space="preserve">AР/ </w:t>
            </w:r>
            <w:r w:rsidRPr="00AE47C6">
              <w:rPr>
                <w:rFonts w:ascii="Times New Roman" w:eastAsia="SimSun" w:hAnsi="Times New Roman"/>
                <w:sz w:val="24"/>
                <w:szCs w:val="24"/>
                <w:shd w:val="clear" w:color="auto" w:fill="F5F5F5"/>
              </w:rPr>
              <w:t>GLB1</w:t>
            </w:r>
            <w:r w:rsidRPr="00AE47C6">
              <w:rPr>
                <w:rFonts w:ascii="Times New Roman" w:eastAsia="SimSun" w:hAnsi="Times New Roman"/>
                <w:bCs/>
                <w:sz w:val="24"/>
                <w:szCs w:val="24"/>
              </w:rPr>
              <w:t>/</w:t>
            </w:r>
            <w:hyperlink r:id="rId20" w:history="1">
              <w:r w:rsidRPr="00AE47C6">
                <w:rPr>
                  <w:rFonts w:ascii="Times New Roman" w:eastAsia="SimSun" w:hAnsi="Times New Roman"/>
                  <w:sz w:val="24"/>
                  <w:szCs w:val="24"/>
                  <w:shd w:val="clear" w:color="auto" w:fill="F5F5F5"/>
                </w:rPr>
                <w:t>3p22.3</w:t>
              </w:r>
            </w:hyperlink>
          </w:p>
        </w:tc>
        <w:tc>
          <w:tcPr>
            <w:tcW w:w="2340" w:type="dxa"/>
          </w:tcPr>
          <w:p w14:paraId="0BAEDE5D" w14:textId="77777777" w:rsidR="00BE0B19" w:rsidRPr="00AE47C6" w:rsidRDefault="00BE0B19" w:rsidP="00BE0B19">
            <w:pPr>
              <w:spacing w:after="0" w:line="360" w:lineRule="auto"/>
              <w:ind w:firstLine="130"/>
              <w:rPr>
                <w:rFonts w:ascii="Times New Roman" w:eastAsia="SimSun" w:hAnsi="Times New Roman"/>
                <w:bCs/>
                <w:sz w:val="24"/>
                <w:szCs w:val="24"/>
              </w:rPr>
            </w:pPr>
            <w:r w:rsidRPr="00AE47C6">
              <w:rPr>
                <w:rFonts w:ascii="Times New Roman" w:eastAsia="SimSun" w:hAnsi="Times New Roman"/>
                <w:bCs/>
                <w:sz w:val="24"/>
                <w:szCs w:val="24"/>
              </w:rPr>
              <w:t>β-галактозидаза-1</w:t>
            </w:r>
          </w:p>
        </w:tc>
        <w:tc>
          <w:tcPr>
            <w:tcW w:w="1906" w:type="dxa"/>
          </w:tcPr>
          <w:p w14:paraId="4E954B5C" w14:textId="77777777" w:rsidR="00BE0B19" w:rsidRPr="00AE47C6" w:rsidRDefault="00BE0B19" w:rsidP="00BE0B19">
            <w:pPr>
              <w:spacing w:after="0" w:line="360" w:lineRule="auto"/>
              <w:rPr>
                <w:rFonts w:ascii="Times New Roman" w:eastAsia="SimSun" w:hAnsi="Times New Roman"/>
                <w:iCs/>
                <w:sz w:val="24"/>
                <w:szCs w:val="24"/>
              </w:rPr>
            </w:pPr>
            <w:r w:rsidRPr="00AE47C6">
              <w:rPr>
                <w:rFonts w:ascii="Times New Roman" w:eastAsia="SimSun" w:hAnsi="Times New Roman"/>
                <w:iCs/>
                <w:sz w:val="24"/>
                <w:szCs w:val="24"/>
              </w:rPr>
              <w:t>G</w:t>
            </w:r>
            <w:r w:rsidRPr="00AE47C6">
              <w:rPr>
                <w:rFonts w:ascii="Times New Roman" w:eastAsia="SimSun" w:hAnsi="Times New Roman"/>
                <w:iCs/>
                <w:sz w:val="24"/>
                <w:szCs w:val="24"/>
                <w:vertAlign w:val="subscript"/>
              </w:rPr>
              <w:t>М1</w:t>
            </w:r>
            <w:r w:rsidRPr="00AE47C6">
              <w:rPr>
                <w:rFonts w:ascii="Times New Roman" w:eastAsia="SimSun" w:hAnsi="Times New Roman"/>
                <w:iCs/>
                <w:sz w:val="24"/>
                <w:szCs w:val="24"/>
              </w:rPr>
              <w:t xml:space="preserve"> ганглиозиди</w:t>
            </w:r>
          </w:p>
          <w:p w14:paraId="5078DD64"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(Гликосфинголипиди)</w:t>
            </w:r>
          </w:p>
        </w:tc>
      </w:tr>
      <w:tr w:rsidR="00BE0B19" w:rsidRPr="00AE47C6" w14:paraId="0F3561C6" w14:textId="77777777" w:rsidTr="00AD72E5">
        <w:trPr>
          <w:trHeight w:val="297"/>
          <w:tblCellSpacing w:w="0" w:type="dxa"/>
        </w:trPr>
        <w:tc>
          <w:tcPr>
            <w:tcW w:w="1980" w:type="dxa"/>
          </w:tcPr>
          <w:p w14:paraId="62E5C796"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bCs/>
                <w:sz w:val="24"/>
                <w:szCs w:val="24"/>
              </w:rPr>
              <w:t>Болест на Niemann-Pick тип А, тип В  и тип A/B ДКСМ</w:t>
            </w:r>
          </w:p>
        </w:tc>
        <w:tc>
          <w:tcPr>
            <w:tcW w:w="2700" w:type="dxa"/>
          </w:tcPr>
          <w:p w14:paraId="2426A1BB" w14:textId="77777777" w:rsidR="00BE0B19" w:rsidRPr="00AE47C6" w:rsidRDefault="00BE0B19" w:rsidP="00BE0B19">
            <w:pPr>
              <w:spacing w:after="0" w:line="360" w:lineRule="auto"/>
              <w:ind w:firstLine="137"/>
              <w:rPr>
                <w:rFonts w:ascii="Times New Roman" w:eastAsia="SimSun" w:hAnsi="Times New Roman"/>
                <w:sz w:val="24"/>
                <w:szCs w:val="24"/>
              </w:rPr>
            </w:pPr>
            <w:r w:rsidRPr="00AE47C6">
              <w:rPr>
                <w:rFonts w:ascii="Times New Roman" w:eastAsia="SimSun" w:hAnsi="Times New Roman"/>
                <w:bCs/>
                <w:sz w:val="24"/>
                <w:szCs w:val="24"/>
              </w:rPr>
              <w:t>AР</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NPA</w:t>
            </w:r>
            <w:r w:rsidRPr="00AE47C6">
              <w:rPr>
                <w:rFonts w:ascii="Times New Roman" w:eastAsia="SimSun" w:hAnsi="Times New Roman"/>
                <w:sz w:val="24"/>
                <w:szCs w:val="24"/>
              </w:rPr>
              <w:t>/</w:t>
            </w:r>
            <w:r w:rsidRPr="00AE47C6">
              <w:rPr>
                <w:rFonts w:ascii="Times New Roman" w:eastAsia="SimSun" w:hAnsi="Times New Roman"/>
                <w:bCs/>
                <w:sz w:val="24"/>
                <w:szCs w:val="24"/>
              </w:rPr>
              <w:t>11</w:t>
            </w:r>
            <w:r w:rsidRPr="00AE47C6">
              <w:rPr>
                <w:rFonts w:ascii="Times New Roman" w:eastAsia="SimSun" w:hAnsi="Times New Roman"/>
                <w:sz w:val="24"/>
                <w:szCs w:val="24"/>
              </w:rPr>
              <w:t xml:space="preserve">p15.1 </w:t>
            </w:r>
          </w:p>
          <w:p w14:paraId="79174D69" w14:textId="77777777" w:rsidR="00BE0B19" w:rsidRPr="00AE47C6" w:rsidRDefault="00BE0B19" w:rsidP="00BE0B19">
            <w:pPr>
              <w:spacing w:after="0" w:line="360" w:lineRule="auto"/>
              <w:ind w:firstLine="137"/>
              <w:rPr>
                <w:rFonts w:ascii="Times New Roman" w:eastAsia="SimSun" w:hAnsi="Times New Roman"/>
                <w:sz w:val="24"/>
                <w:szCs w:val="24"/>
              </w:rPr>
            </w:pPr>
          </w:p>
        </w:tc>
        <w:tc>
          <w:tcPr>
            <w:tcW w:w="2340" w:type="dxa"/>
          </w:tcPr>
          <w:p w14:paraId="0E01A41E" w14:textId="77777777" w:rsidR="00BE0B19" w:rsidRPr="00AE47C6" w:rsidRDefault="00BE0B19" w:rsidP="00BE0B19">
            <w:pPr>
              <w:spacing w:after="0" w:line="360" w:lineRule="auto"/>
              <w:ind w:firstLine="130"/>
              <w:rPr>
                <w:rFonts w:ascii="Times New Roman" w:eastAsia="SimSun" w:hAnsi="Times New Roman"/>
                <w:sz w:val="24"/>
                <w:szCs w:val="24"/>
              </w:rPr>
            </w:pPr>
            <w:r w:rsidRPr="00AE47C6">
              <w:rPr>
                <w:rFonts w:ascii="Times New Roman" w:eastAsia="SimSun" w:hAnsi="Times New Roman"/>
                <w:bCs/>
                <w:sz w:val="24"/>
                <w:szCs w:val="24"/>
              </w:rPr>
              <w:t xml:space="preserve">Сфингомиелинидаза </w:t>
            </w:r>
          </w:p>
        </w:tc>
        <w:tc>
          <w:tcPr>
            <w:tcW w:w="1906" w:type="dxa"/>
          </w:tcPr>
          <w:p w14:paraId="7001C6D2" w14:textId="77777777" w:rsidR="00BE0B19" w:rsidRPr="00AE47C6" w:rsidRDefault="00BE0B19" w:rsidP="00BE0B19">
            <w:pPr>
              <w:spacing w:after="0" w:line="360" w:lineRule="auto"/>
              <w:rPr>
                <w:rFonts w:ascii="Times New Roman" w:eastAsia="SimSun" w:hAnsi="Times New Roman"/>
                <w:bCs/>
                <w:iCs/>
                <w:sz w:val="24"/>
                <w:szCs w:val="24"/>
              </w:rPr>
            </w:pPr>
            <w:r w:rsidRPr="00AE47C6">
              <w:rPr>
                <w:rFonts w:ascii="Times New Roman" w:eastAsia="SimSun" w:hAnsi="Times New Roman"/>
                <w:bCs/>
                <w:sz w:val="24"/>
                <w:szCs w:val="24"/>
              </w:rPr>
              <w:t>С</w:t>
            </w:r>
            <w:r w:rsidRPr="00AE47C6">
              <w:rPr>
                <w:rFonts w:ascii="Times New Roman" w:eastAsia="SimSun" w:hAnsi="Times New Roman"/>
                <w:bCs/>
                <w:iCs/>
                <w:sz w:val="24"/>
                <w:szCs w:val="24"/>
              </w:rPr>
              <w:t>фингомиелин, нарушен холестеролов вътреклетъчен транспорт</w:t>
            </w:r>
          </w:p>
        </w:tc>
      </w:tr>
      <w:tr w:rsidR="00BE0B19" w:rsidRPr="00AE47C6" w14:paraId="56F46A94" w14:textId="77777777" w:rsidTr="00AD72E5">
        <w:trPr>
          <w:trHeight w:val="297"/>
          <w:tblCellSpacing w:w="0" w:type="dxa"/>
        </w:trPr>
        <w:tc>
          <w:tcPr>
            <w:tcW w:w="1980" w:type="dxa"/>
          </w:tcPr>
          <w:p w14:paraId="0DF4A999"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Болест на Niemann-Pick C</w:t>
            </w:r>
          </w:p>
        </w:tc>
        <w:tc>
          <w:tcPr>
            <w:tcW w:w="2700" w:type="dxa"/>
          </w:tcPr>
          <w:p w14:paraId="7E1AFCB0" w14:textId="77777777" w:rsidR="00BE0B19" w:rsidRPr="00AE47C6" w:rsidRDefault="00BE0B19" w:rsidP="00BE0B19">
            <w:pPr>
              <w:spacing w:after="0" w:line="360" w:lineRule="auto"/>
              <w:ind w:firstLine="137"/>
              <w:rPr>
                <w:rFonts w:ascii="Times New Roman" w:eastAsia="SimSun" w:hAnsi="Times New Roman"/>
                <w:sz w:val="24"/>
                <w:szCs w:val="24"/>
              </w:rPr>
            </w:pPr>
            <w:r w:rsidRPr="00AE47C6">
              <w:rPr>
                <w:rFonts w:ascii="Times New Roman" w:eastAsia="SimSun" w:hAnsi="Times New Roman"/>
                <w:bCs/>
                <w:sz w:val="24"/>
                <w:szCs w:val="24"/>
              </w:rPr>
              <w:t>AР/</w:t>
            </w:r>
            <w:r w:rsidRPr="00AE47C6">
              <w:rPr>
                <w:rFonts w:ascii="Times New Roman" w:eastAsia="SimSun" w:hAnsi="Times New Roman"/>
                <w:i/>
                <w:sz w:val="24"/>
                <w:szCs w:val="24"/>
              </w:rPr>
              <w:t xml:space="preserve"> NPC 1</w:t>
            </w:r>
            <w:r w:rsidRPr="00AE47C6">
              <w:rPr>
                <w:rFonts w:ascii="Times New Roman" w:eastAsia="SimSun" w:hAnsi="Times New Roman"/>
                <w:bCs/>
                <w:sz w:val="24"/>
                <w:szCs w:val="24"/>
              </w:rPr>
              <w:t>18</w:t>
            </w:r>
            <w:r w:rsidRPr="00AE47C6">
              <w:rPr>
                <w:rFonts w:ascii="Times New Roman" w:eastAsia="SimSun" w:hAnsi="Times New Roman"/>
                <w:sz w:val="24"/>
                <w:szCs w:val="24"/>
              </w:rPr>
              <w:t xml:space="preserve">q11; </w:t>
            </w:r>
          </w:p>
          <w:p w14:paraId="6C5CEF49" w14:textId="77777777" w:rsidR="00BE0B19" w:rsidRPr="00AE47C6" w:rsidRDefault="00BE0B19" w:rsidP="00BE0B19">
            <w:pPr>
              <w:spacing w:after="0" w:line="360" w:lineRule="auto"/>
              <w:ind w:firstLine="137"/>
              <w:rPr>
                <w:rFonts w:ascii="Times New Roman" w:eastAsia="SimSun" w:hAnsi="Times New Roman"/>
                <w:bCs/>
                <w:sz w:val="24"/>
                <w:szCs w:val="24"/>
              </w:rPr>
            </w:pPr>
            <w:r w:rsidRPr="00AE47C6">
              <w:rPr>
                <w:rFonts w:ascii="Times New Roman" w:eastAsia="SimSun" w:hAnsi="Times New Roman"/>
                <w:i/>
                <w:sz w:val="24"/>
                <w:szCs w:val="24"/>
              </w:rPr>
              <w:t>NPC 2/</w:t>
            </w:r>
            <w:r w:rsidRPr="00AE47C6">
              <w:rPr>
                <w:rFonts w:ascii="Times New Roman" w:eastAsia="SimSun" w:hAnsi="Times New Roman"/>
                <w:bCs/>
                <w:sz w:val="24"/>
                <w:szCs w:val="24"/>
              </w:rPr>
              <w:t>14</w:t>
            </w:r>
            <w:r w:rsidRPr="00AE47C6">
              <w:rPr>
                <w:rFonts w:ascii="Times New Roman" w:eastAsia="SimSun" w:hAnsi="Times New Roman"/>
                <w:sz w:val="24"/>
                <w:szCs w:val="24"/>
              </w:rPr>
              <w:t>q24.3</w:t>
            </w:r>
          </w:p>
        </w:tc>
        <w:tc>
          <w:tcPr>
            <w:tcW w:w="2340" w:type="dxa"/>
          </w:tcPr>
          <w:p w14:paraId="4454AD65" w14:textId="77777777" w:rsidR="00BE0B19" w:rsidRPr="00AE47C6" w:rsidRDefault="00BE0B19" w:rsidP="00BE0B19">
            <w:pPr>
              <w:spacing w:after="0" w:line="360" w:lineRule="auto"/>
              <w:ind w:firstLine="130"/>
              <w:rPr>
                <w:rFonts w:ascii="Times New Roman" w:eastAsia="SimSun" w:hAnsi="Times New Roman"/>
                <w:bCs/>
                <w:sz w:val="24"/>
                <w:szCs w:val="24"/>
              </w:rPr>
            </w:pPr>
          </w:p>
        </w:tc>
        <w:tc>
          <w:tcPr>
            <w:tcW w:w="1906" w:type="dxa"/>
          </w:tcPr>
          <w:p w14:paraId="7F8CC87D"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iCs/>
                <w:sz w:val="24"/>
                <w:szCs w:val="24"/>
              </w:rPr>
              <w:t>Нарушен холестеролов вътреклетъчен транспорт</w:t>
            </w:r>
            <w:r w:rsidRPr="00AE47C6">
              <w:rPr>
                <w:rFonts w:ascii="Times New Roman" w:eastAsia="SimSun" w:hAnsi="Times New Roman"/>
                <w:bCs/>
                <w:sz w:val="24"/>
                <w:szCs w:val="24"/>
              </w:rPr>
              <w:t xml:space="preserve"> на гликосфинголипиди, сфингозин и холестерол</w:t>
            </w:r>
          </w:p>
        </w:tc>
      </w:tr>
      <w:tr w:rsidR="00BE0B19" w:rsidRPr="00AE47C6" w14:paraId="10486A7C" w14:textId="77777777" w:rsidTr="00AD72E5">
        <w:trPr>
          <w:trHeight w:val="2016"/>
          <w:tblCellSpacing w:w="0" w:type="dxa"/>
        </w:trPr>
        <w:tc>
          <w:tcPr>
            <w:tcW w:w="1980" w:type="dxa"/>
          </w:tcPr>
          <w:p w14:paraId="79A9A3AD"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bCs/>
                <w:sz w:val="24"/>
                <w:szCs w:val="24"/>
              </w:rPr>
              <w:t xml:space="preserve">Невронална цероид-липофусциноза (NCL 1,2,3, 5,6,7,8,9,10,11,12,13,14) </w:t>
            </w:r>
          </w:p>
        </w:tc>
        <w:tc>
          <w:tcPr>
            <w:tcW w:w="2700" w:type="dxa"/>
          </w:tcPr>
          <w:p w14:paraId="7BF923F9" w14:textId="77777777" w:rsidR="00BE0B19" w:rsidRPr="00AE47C6" w:rsidRDefault="00BE0B19" w:rsidP="00BE0B19">
            <w:pPr>
              <w:spacing w:after="0" w:line="360" w:lineRule="auto"/>
              <w:ind w:firstLine="137"/>
              <w:rPr>
                <w:rFonts w:ascii="Times New Roman" w:eastAsia="SimSun" w:hAnsi="Times New Roman"/>
                <w:bCs/>
                <w:sz w:val="24"/>
                <w:szCs w:val="24"/>
              </w:rPr>
            </w:pPr>
            <w:r w:rsidRPr="00AE47C6">
              <w:rPr>
                <w:rFonts w:ascii="Times New Roman" w:eastAsia="SimSun" w:hAnsi="Times New Roman"/>
                <w:bCs/>
                <w:sz w:val="24"/>
                <w:szCs w:val="24"/>
              </w:rPr>
              <w:t>AР</w:t>
            </w:r>
          </w:p>
          <w:p w14:paraId="1FE5F8AD" w14:textId="77777777" w:rsidR="00BE0B19" w:rsidRPr="00AE47C6" w:rsidRDefault="00C74E8C" w:rsidP="00BE0B19">
            <w:pPr>
              <w:numPr>
                <w:ilvl w:val="0"/>
                <w:numId w:val="17"/>
              </w:numPr>
              <w:tabs>
                <w:tab w:val="clear" w:pos="890"/>
                <w:tab w:val="num" w:pos="530"/>
              </w:tabs>
              <w:spacing w:after="0" w:line="360" w:lineRule="auto"/>
              <w:ind w:left="0" w:firstLine="137"/>
              <w:rPr>
                <w:rFonts w:ascii="Times New Roman" w:eastAsia="SimSun" w:hAnsi="Times New Roman"/>
                <w:bCs/>
                <w:sz w:val="24"/>
                <w:szCs w:val="24"/>
              </w:rPr>
            </w:pPr>
            <w:hyperlink r:id="rId21" w:history="1">
              <w:r w:rsidR="00BE0B19" w:rsidRPr="00AE47C6">
                <w:rPr>
                  <w:rFonts w:ascii="Times New Roman" w:eastAsia="SimSun" w:hAnsi="Times New Roman"/>
                  <w:sz w:val="24"/>
                  <w:szCs w:val="24"/>
                </w:rPr>
                <w:t>CLN1/</w:t>
              </w:r>
              <w:r w:rsidR="00BE0B19" w:rsidRPr="00AE47C6">
                <w:rPr>
                  <w:rFonts w:ascii="Times New Roman" w:eastAsia="SimSun" w:hAnsi="Times New Roman"/>
                  <w:i/>
                  <w:sz w:val="24"/>
                  <w:szCs w:val="24"/>
                </w:rPr>
                <w:t>PPT</w:t>
              </w:r>
            </w:hyperlink>
            <w:r w:rsidR="00BE0B19" w:rsidRPr="00AE47C6">
              <w:rPr>
                <w:rFonts w:ascii="Times New Roman" w:eastAsia="SimSun" w:hAnsi="Times New Roman"/>
                <w:bCs/>
                <w:sz w:val="24"/>
                <w:szCs w:val="24"/>
              </w:rPr>
              <w:t>/ 1p32</w:t>
            </w:r>
          </w:p>
          <w:p w14:paraId="5481CA01" w14:textId="77777777" w:rsidR="00BE0B19" w:rsidRPr="00AE47C6" w:rsidRDefault="00C74E8C" w:rsidP="00BE0B19">
            <w:pPr>
              <w:numPr>
                <w:ilvl w:val="0"/>
                <w:numId w:val="17"/>
              </w:numPr>
              <w:tabs>
                <w:tab w:val="clear" w:pos="890"/>
                <w:tab w:val="num" w:pos="530"/>
              </w:tabs>
              <w:spacing w:after="0" w:line="360" w:lineRule="auto"/>
              <w:ind w:left="0" w:firstLine="137"/>
              <w:rPr>
                <w:rFonts w:ascii="Times New Roman" w:eastAsia="SimSun" w:hAnsi="Times New Roman"/>
                <w:bCs/>
                <w:sz w:val="24"/>
                <w:szCs w:val="24"/>
              </w:rPr>
            </w:pPr>
            <w:hyperlink r:id="rId22" w:history="1">
              <w:r w:rsidR="00BE0B19" w:rsidRPr="00AE47C6">
                <w:rPr>
                  <w:rFonts w:ascii="Times New Roman" w:eastAsia="SimSun" w:hAnsi="Times New Roman"/>
                  <w:sz w:val="24"/>
                  <w:szCs w:val="24"/>
                </w:rPr>
                <w:t>CLN2/</w:t>
              </w:r>
              <w:r w:rsidR="00BE0B19" w:rsidRPr="00AE47C6">
                <w:rPr>
                  <w:rFonts w:ascii="Times New Roman" w:eastAsia="SimSun" w:hAnsi="Times New Roman"/>
                  <w:i/>
                  <w:sz w:val="24"/>
                  <w:szCs w:val="24"/>
                </w:rPr>
                <w:t>TPP1</w:t>
              </w:r>
            </w:hyperlink>
            <w:r w:rsidR="00BE0B19" w:rsidRPr="00AE47C6">
              <w:rPr>
                <w:rFonts w:ascii="Times New Roman" w:eastAsia="SimSun" w:hAnsi="Times New Roman"/>
                <w:bCs/>
                <w:sz w:val="24"/>
                <w:szCs w:val="24"/>
              </w:rPr>
              <w:t>/11p15.5</w:t>
            </w:r>
          </w:p>
          <w:p w14:paraId="122F7B4E" w14:textId="77777777" w:rsidR="00BE0B19" w:rsidRPr="00AE47C6" w:rsidRDefault="00BE0B19" w:rsidP="00BE0B19">
            <w:pPr>
              <w:numPr>
                <w:ilvl w:val="0"/>
                <w:numId w:val="17"/>
              </w:numPr>
              <w:tabs>
                <w:tab w:val="clear" w:pos="890"/>
                <w:tab w:val="num" w:pos="530"/>
              </w:tabs>
              <w:spacing w:after="0" w:line="360" w:lineRule="auto"/>
              <w:ind w:left="0" w:firstLine="137"/>
              <w:rPr>
                <w:rFonts w:ascii="Times New Roman" w:eastAsia="SimSun" w:hAnsi="Times New Roman"/>
                <w:bCs/>
                <w:sz w:val="24"/>
                <w:szCs w:val="24"/>
              </w:rPr>
            </w:pPr>
            <w:r w:rsidRPr="00AE47C6">
              <w:rPr>
                <w:rFonts w:ascii="Times New Roman" w:eastAsia="SimSun" w:hAnsi="Times New Roman"/>
                <w:bCs/>
                <w:sz w:val="24"/>
                <w:szCs w:val="24"/>
              </w:rPr>
              <w:t>CLN3/16p12.1</w:t>
            </w:r>
          </w:p>
          <w:p w14:paraId="429A2B3D" w14:textId="77777777" w:rsidR="00BE0B19" w:rsidRPr="00AE47C6" w:rsidRDefault="00BE0B19" w:rsidP="00BE0B19">
            <w:pPr>
              <w:numPr>
                <w:ilvl w:val="0"/>
                <w:numId w:val="17"/>
              </w:numPr>
              <w:tabs>
                <w:tab w:val="clear" w:pos="890"/>
                <w:tab w:val="num" w:pos="530"/>
              </w:tabs>
              <w:spacing w:after="0" w:line="360" w:lineRule="auto"/>
              <w:ind w:left="0" w:firstLine="137"/>
              <w:rPr>
                <w:rFonts w:ascii="Times New Roman" w:eastAsia="SimSun" w:hAnsi="Times New Roman"/>
                <w:bCs/>
                <w:sz w:val="24"/>
                <w:szCs w:val="24"/>
              </w:rPr>
            </w:pPr>
            <w:r w:rsidRPr="00AE47C6">
              <w:rPr>
                <w:rFonts w:ascii="Times New Roman" w:eastAsia="SimSun" w:hAnsi="Times New Roman"/>
                <w:bCs/>
                <w:sz w:val="24"/>
                <w:szCs w:val="24"/>
              </w:rPr>
              <w:t>CLN 5/ 13q21.1-q32</w:t>
            </w:r>
          </w:p>
          <w:p w14:paraId="2F799D13" w14:textId="77777777" w:rsidR="00BE0B19" w:rsidRPr="00AE47C6" w:rsidRDefault="00BE0B19" w:rsidP="00BE0B19">
            <w:pPr>
              <w:numPr>
                <w:ilvl w:val="0"/>
                <w:numId w:val="17"/>
              </w:numPr>
              <w:tabs>
                <w:tab w:val="clear" w:pos="890"/>
                <w:tab w:val="num" w:pos="530"/>
              </w:tabs>
              <w:spacing w:after="0" w:line="360" w:lineRule="auto"/>
              <w:ind w:left="0" w:firstLine="137"/>
              <w:rPr>
                <w:rFonts w:ascii="Times New Roman" w:eastAsia="SimSun" w:hAnsi="Times New Roman"/>
                <w:bCs/>
                <w:sz w:val="24"/>
                <w:szCs w:val="24"/>
              </w:rPr>
            </w:pPr>
            <w:r w:rsidRPr="00AE47C6">
              <w:rPr>
                <w:rFonts w:ascii="Times New Roman" w:eastAsia="SimSun" w:hAnsi="Times New Roman"/>
                <w:bCs/>
                <w:sz w:val="24"/>
                <w:szCs w:val="24"/>
              </w:rPr>
              <w:t>CLN 6/ 15q21-q23</w:t>
            </w:r>
          </w:p>
          <w:p w14:paraId="678BBA8A" w14:textId="77777777" w:rsidR="00BE0B19" w:rsidRPr="00AE47C6" w:rsidRDefault="00C74E8C" w:rsidP="00BE0B19">
            <w:pPr>
              <w:numPr>
                <w:ilvl w:val="0"/>
                <w:numId w:val="17"/>
              </w:numPr>
              <w:tabs>
                <w:tab w:val="clear" w:pos="890"/>
                <w:tab w:val="num" w:pos="530"/>
              </w:tabs>
              <w:spacing w:after="0" w:line="360" w:lineRule="auto"/>
              <w:ind w:left="0" w:firstLine="137"/>
              <w:rPr>
                <w:rFonts w:ascii="Times New Roman" w:eastAsia="SimSun" w:hAnsi="Times New Roman"/>
                <w:bCs/>
                <w:sz w:val="24"/>
                <w:szCs w:val="24"/>
              </w:rPr>
            </w:pPr>
            <w:hyperlink r:id="rId23" w:history="1">
              <w:r w:rsidR="00BE0B19" w:rsidRPr="00AE47C6">
                <w:rPr>
                  <w:rFonts w:ascii="Times New Roman" w:eastAsia="SimSun" w:hAnsi="Times New Roman"/>
                  <w:sz w:val="24"/>
                  <w:szCs w:val="24"/>
                </w:rPr>
                <w:t>CLN7/MFSD8</w:t>
              </w:r>
            </w:hyperlink>
            <w:r w:rsidR="00BE0B19" w:rsidRPr="00AE47C6">
              <w:rPr>
                <w:rFonts w:ascii="Times New Roman" w:eastAsia="SimSun" w:hAnsi="Times New Roman"/>
                <w:bCs/>
                <w:sz w:val="24"/>
                <w:szCs w:val="24"/>
              </w:rPr>
              <w:t xml:space="preserve">/ /4q28.1-q28.2 </w:t>
            </w:r>
          </w:p>
          <w:p w14:paraId="76803BC3" w14:textId="77777777" w:rsidR="00BE0B19" w:rsidRPr="00AE47C6" w:rsidRDefault="00BE0B19" w:rsidP="00BE0B19">
            <w:pPr>
              <w:numPr>
                <w:ilvl w:val="0"/>
                <w:numId w:val="17"/>
              </w:numPr>
              <w:tabs>
                <w:tab w:val="clear" w:pos="890"/>
                <w:tab w:val="num" w:pos="530"/>
              </w:tabs>
              <w:spacing w:after="0" w:line="360" w:lineRule="auto"/>
              <w:ind w:left="0" w:firstLine="137"/>
              <w:rPr>
                <w:rFonts w:ascii="Times New Roman" w:eastAsia="SimSun" w:hAnsi="Times New Roman"/>
                <w:bCs/>
                <w:sz w:val="24"/>
                <w:szCs w:val="24"/>
              </w:rPr>
            </w:pPr>
            <w:r w:rsidRPr="00AE47C6">
              <w:rPr>
                <w:rFonts w:ascii="Times New Roman" w:eastAsia="SimSun" w:hAnsi="Times New Roman"/>
                <w:bCs/>
                <w:sz w:val="24"/>
                <w:szCs w:val="24"/>
              </w:rPr>
              <w:t>CLN 8/ 8p23</w:t>
            </w:r>
          </w:p>
          <w:p w14:paraId="30819CCE" w14:textId="77777777" w:rsidR="00BE0B19" w:rsidRPr="00AE47C6" w:rsidRDefault="00C74E8C" w:rsidP="00BE0B19">
            <w:pPr>
              <w:numPr>
                <w:ilvl w:val="0"/>
                <w:numId w:val="17"/>
              </w:numPr>
              <w:tabs>
                <w:tab w:val="clear" w:pos="890"/>
                <w:tab w:val="num" w:pos="530"/>
              </w:tabs>
              <w:spacing w:after="0" w:line="360" w:lineRule="auto"/>
              <w:ind w:left="0" w:firstLine="137"/>
              <w:rPr>
                <w:rFonts w:ascii="Times New Roman" w:eastAsia="SimSun" w:hAnsi="Times New Roman"/>
                <w:bCs/>
                <w:sz w:val="24"/>
                <w:szCs w:val="24"/>
              </w:rPr>
            </w:pPr>
            <w:hyperlink r:id="rId24" w:history="1">
              <w:r w:rsidR="00BE0B19" w:rsidRPr="00AE47C6">
                <w:rPr>
                  <w:rFonts w:ascii="Times New Roman" w:eastAsia="SimSun" w:hAnsi="Times New Roman"/>
                  <w:sz w:val="24"/>
                  <w:szCs w:val="24"/>
                </w:rPr>
                <w:t>CLN9</w:t>
              </w:r>
            </w:hyperlink>
          </w:p>
          <w:p w14:paraId="77695324" w14:textId="77777777" w:rsidR="00BE0B19" w:rsidRPr="00AE47C6" w:rsidRDefault="00C74E8C" w:rsidP="00BE0B19">
            <w:pPr>
              <w:numPr>
                <w:ilvl w:val="0"/>
                <w:numId w:val="17"/>
              </w:numPr>
              <w:tabs>
                <w:tab w:val="clear" w:pos="890"/>
                <w:tab w:val="num" w:pos="530"/>
              </w:tabs>
              <w:spacing w:after="0" w:line="360" w:lineRule="auto"/>
              <w:ind w:left="0" w:firstLine="137"/>
              <w:rPr>
                <w:rFonts w:ascii="Times New Roman" w:eastAsia="SimSun" w:hAnsi="Times New Roman"/>
                <w:bCs/>
                <w:sz w:val="24"/>
                <w:szCs w:val="24"/>
              </w:rPr>
            </w:pPr>
            <w:hyperlink r:id="rId25" w:history="1">
              <w:r w:rsidR="00BE0B19" w:rsidRPr="00AE47C6">
                <w:rPr>
                  <w:rFonts w:ascii="Times New Roman" w:eastAsia="SimSun" w:hAnsi="Times New Roman"/>
                  <w:sz w:val="24"/>
                  <w:szCs w:val="24"/>
                </w:rPr>
                <w:t>CLN10/</w:t>
              </w:r>
              <w:r w:rsidR="00BE0B19" w:rsidRPr="00AE47C6">
                <w:rPr>
                  <w:rFonts w:ascii="Times New Roman" w:eastAsia="SimSun" w:hAnsi="Times New Roman"/>
                  <w:i/>
                  <w:sz w:val="24"/>
                  <w:szCs w:val="24"/>
                </w:rPr>
                <w:t>CTSD</w:t>
              </w:r>
            </w:hyperlink>
            <w:r w:rsidR="00BE0B19" w:rsidRPr="00AE47C6">
              <w:rPr>
                <w:rFonts w:ascii="Times New Roman" w:eastAsia="SimSun" w:hAnsi="Times New Roman"/>
                <w:bCs/>
                <w:sz w:val="24"/>
                <w:szCs w:val="24"/>
              </w:rPr>
              <w:t> /11p15.5</w:t>
            </w:r>
          </w:p>
          <w:p w14:paraId="1EA770C9" w14:textId="77777777" w:rsidR="00BE0B19" w:rsidRPr="00AE47C6" w:rsidRDefault="00C74E8C" w:rsidP="00BE0B19">
            <w:pPr>
              <w:numPr>
                <w:ilvl w:val="0"/>
                <w:numId w:val="17"/>
              </w:numPr>
              <w:tabs>
                <w:tab w:val="clear" w:pos="890"/>
                <w:tab w:val="num" w:pos="530"/>
              </w:tabs>
              <w:spacing w:after="0" w:line="360" w:lineRule="auto"/>
              <w:ind w:left="0" w:firstLine="137"/>
              <w:rPr>
                <w:rFonts w:ascii="Times New Roman" w:eastAsia="SimSun" w:hAnsi="Times New Roman"/>
                <w:bCs/>
                <w:sz w:val="24"/>
                <w:szCs w:val="24"/>
              </w:rPr>
            </w:pPr>
            <w:hyperlink r:id="rId26" w:history="1">
              <w:r w:rsidR="00BE0B19" w:rsidRPr="00AE47C6">
                <w:rPr>
                  <w:rFonts w:ascii="Times New Roman" w:eastAsia="SimSun" w:hAnsi="Times New Roman"/>
                  <w:sz w:val="24"/>
                  <w:szCs w:val="24"/>
                </w:rPr>
                <w:t>CLN11/</w:t>
              </w:r>
              <w:r w:rsidR="00BE0B19" w:rsidRPr="00AE47C6">
                <w:rPr>
                  <w:rFonts w:ascii="Times New Roman" w:eastAsia="SimSun" w:hAnsi="Times New Roman"/>
                  <w:i/>
                  <w:sz w:val="24"/>
                  <w:szCs w:val="24"/>
                </w:rPr>
                <w:t>GRN</w:t>
              </w:r>
            </w:hyperlink>
          </w:p>
          <w:p w14:paraId="189E874B" w14:textId="77777777" w:rsidR="00BE0B19" w:rsidRPr="00AE47C6" w:rsidRDefault="00C74E8C" w:rsidP="00BE0B19">
            <w:pPr>
              <w:numPr>
                <w:ilvl w:val="0"/>
                <w:numId w:val="17"/>
              </w:numPr>
              <w:tabs>
                <w:tab w:val="clear" w:pos="890"/>
                <w:tab w:val="num" w:pos="530"/>
              </w:tabs>
              <w:spacing w:after="0" w:line="360" w:lineRule="auto"/>
              <w:ind w:left="0" w:firstLine="137"/>
              <w:rPr>
                <w:rFonts w:ascii="Times New Roman" w:eastAsia="SimSun" w:hAnsi="Times New Roman"/>
                <w:bCs/>
                <w:sz w:val="24"/>
                <w:szCs w:val="24"/>
              </w:rPr>
            </w:pPr>
            <w:hyperlink r:id="rId27" w:history="1">
              <w:r w:rsidR="00BE0B19" w:rsidRPr="00AE47C6">
                <w:rPr>
                  <w:rFonts w:ascii="Times New Roman" w:eastAsia="SimSun" w:hAnsi="Times New Roman"/>
                  <w:sz w:val="24"/>
                  <w:szCs w:val="24"/>
                </w:rPr>
                <w:t>CLN12/</w:t>
              </w:r>
              <w:r w:rsidR="00BE0B19" w:rsidRPr="00AE47C6">
                <w:rPr>
                  <w:rFonts w:ascii="Times New Roman" w:eastAsia="SimSun" w:hAnsi="Times New Roman"/>
                  <w:i/>
                  <w:sz w:val="24"/>
                  <w:szCs w:val="24"/>
                </w:rPr>
                <w:t>ATP13A2</w:t>
              </w:r>
            </w:hyperlink>
          </w:p>
          <w:p w14:paraId="14B90B89" w14:textId="77777777" w:rsidR="00BE0B19" w:rsidRPr="00AE47C6" w:rsidRDefault="00BE0B19" w:rsidP="00BE0B19">
            <w:pPr>
              <w:numPr>
                <w:ilvl w:val="0"/>
                <w:numId w:val="17"/>
              </w:numPr>
              <w:tabs>
                <w:tab w:val="clear" w:pos="890"/>
                <w:tab w:val="num" w:pos="530"/>
              </w:tabs>
              <w:spacing w:after="0" w:line="360" w:lineRule="auto"/>
              <w:ind w:left="0" w:firstLine="137"/>
              <w:rPr>
                <w:rFonts w:ascii="Times New Roman" w:eastAsia="SimSun" w:hAnsi="Times New Roman"/>
                <w:bCs/>
                <w:sz w:val="24"/>
                <w:szCs w:val="24"/>
              </w:rPr>
            </w:pPr>
            <w:r w:rsidRPr="00AE47C6">
              <w:rPr>
                <w:rFonts w:ascii="Times New Roman" w:eastAsia="SimSun" w:hAnsi="Times New Roman"/>
                <w:bCs/>
                <w:sz w:val="24"/>
                <w:szCs w:val="24"/>
              </w:rPr>
              <w:t>С</w:t>
            </w:r>
            <w:hyperlink r:id="rId28" w:history="1">
              <w:r w:rsidRPr="00AE47C6">
                <w:rPr>
                  <w:rFonts w:ascii="Times New Roman" w:eastAsia="SimSun" w:hAnsi="Times New Roman"/>
                  <w:sz w:val="24"/>
                  <w:szCs w:val="24"/>
                </w:rPr>
                <w:t>LN13/</w:t>
              </w:r>
              <w:r w:rsidRPr="00AE47C6">
                <w:rPr>
                  <w:rFonts w:ascii="Times New Roman" w:eastAsia="SimSun" w:hAnsi="Times New Roman"/>
                  <w:i/>
                  <w:sz w:val="24"/>
                  <w:szCs w:val="24"/>
                </w:rPr>
                <w:t>CTSF</w:t>
              </w:r>
            </w:hyperlink>
          </w:p>
          <w:p w14:paraId="19FC3E98" w14:textId="77777777" w:rsidR="00BE0B19" w:rsidRPr="00AE47C6" w:rsidRDefault="00C74E8C" w:rsidP="00BE0B19">
            <w:pPr>
              <w:numPr>
                <w:ilvl w:val="0"/>
                <w:numId w:val="17"/>
              </w:numPr>
              <w:tabs>
                <w:tab w:val="clear" w:pos="890"/>
                <w:tab w:val="num" w:pos="530"/>
              </w:tabs>
              <w:spacing w:after="0" w:line="360" w:lineRule="auto"/>
              <w:ind w:left="0" w:firstLine="137"/>
              <w:rPr>
                <w:rFonts w:ascii="Times New Roman" w:eastAsia="SimSun" w:hAnsi="Times New Roman"/>
                <w:bCs/>
                <w:sz w:val="24"/>
                <w:szCs w:val="24"/>
              </w:rPr>
            </w:pPr>
            <w:hyperlink r:id="rId29" w:history="1">
              <w:r w:rsidR="00BE0B19" w:rsidRPr="00AE47C6">
                <w:rPr>
                  <w:rFonts w:ascii="Times New Roman" w:eastAsia="SimSun" w:hAnsi="Times New Roman"/>
                  <w:sz w:val="24"/>
                  <w:szCs w:val="24"/>
                </w:rPr>
                <w:t>CLN14/</w:t>
              </w:r>
              <w:r w:rsidR="00BE0B19" w:rsidRPr="00AE47C6">
                <w:rPr>
                  <w:rFonts w:ascii="Times New Roman" w:eastAsia="SimSun" w:hAnsi="Times New Roman"/>
                  <w:i/>
                  <w:sz w:val="24"/>
                  <w:szCs w:val="24"/>
                </w:rPr>
                <w:t>KCTD7</w:t>
              </w:r>
            </w:hyperlink>
            <w:r w:rsidR="00BE0B19" w:rsidRPr="00AE47C6">
              <w:rPr>
                <w:rFonts w:ascii="Times New Roman" w:eastAsia="SimSun" w:hAnsi="Times New Roman"/>
                <w:bCs/>
                <w:sz w:val="24"/>
                <w:szCs w:val="24"/>
              </w:rPr>
              <w:t> </w:t>
            </w:r>
          </w:p>
          <w:p w14:paraId="7CFA0D0E" w14:textId="77777777" w:rsidR="00BE0B19" w:rsidRPr="00AE47C6" w:rsidRDefault="00C74E8C" w:rsidP="00BE0B19">
            <w:pPr>
              <w:numPr>
                <w:ilvl w:val="0"/>
                <w:numId w:val="17"/>
              </w:numPr>
              <w:tabs>
                <w:tab w:val="clear" w:pos="890"/>
                <w:tab w:val="num" w:pos="530"/>
              </w:tabs>
              <w:spacing w:after="0" w:line="360" w:lineRule="auto"/>
              <w:ind w:left="0" w:firstLine="137"/>
              <w:rPr>
                <w:rFonts w:ascii="Times New Roman" w:eastAsia="SimSun" w:hAnsi="Times New Roman"/>
                <w:bCs/>
                <w:sz w:val="24"/>
                <w:szCs w:val="24"/>
              </w:rPr>
            </w:pPr>
            <w:hyperlink r:id="rId30" w:history="1">
              <w:r w:rsidR="00BE0B19" w:rsidRPr="00AE47C6">
                <w:rPr>
                  <w:rFonts w:ascii="Times New Roman" w:eastAsia="SimSun" w:hAnsi="Times New Roman"/>
                  <w:sz w:val="24"/>
                  <w:szCs w:val="24"/>
                </w:rPr>
                <w:t>SGSH</w:t>
              </w:r>
            </w:hyperlink>
          </w:p>
          <w:p w14:paraId="1FD3C900" w14:textId="77777777" w:rsidR="00BE0B19" w:rsidRPr="00AE47C6" w:rsidRDefault="00BE0B19" w:rsidP="00BE0B19">
            <w:pPr>
              <w:spacing w:after="0" w:line="360" w:lineRule="auto"/>
              <w:ind w:left="137"/>
              <w:rPr>
                <w:rFonts w:ascii="Times New Roman" w:eastAsia="SimSun" w:hAnsi="Times New Roman"/>
                <w:bCs/>
                <w:sz w:val="24"/>
                <w:szCs w:val="24"/>
              </w:rPr>
            </w:pPr>
            <w:r w:rsidRPr="00AE47C6">
              <w:rPr>
                <w:rFonts w:ascii="Times New Roman" w:eastAsia="SimSun" w:hAnsi="Times New Roman"/>
                <w:sz w:val="24"/>
                <w:szCs w:val="24"/>
              </w:rPr>
              <w:t>АД-</w:t>
            </w:r>
            <w:r w:rsidRPr="00AE47C6">
              <w:rPr>
                <w:rFonts w:ascii="Times New Roman" w:eastAsia="SimSun" w:hAnsi="Times New Roman"/>
                <w:bCs/>
                <w:sz w:val="24"/>
                <w:szCs w:val="24"/>
              </w:rPr>
              <w:t xml:space="preserve"> С</w:t>
            </w:r>
            <w:hyperlink r:id="rId31" w:history="1">
              <w:r w:rsidRPr="00AE47C6">
                <w:rPr>
                  <w:rFonts w:ascii="Times New Roman" w:eastAsia="SimSun" w:hAnsi="Times New Roman"/>
                  <w:sz w:val="24"/>
                  <w:szCs w:val="24"/>
                </w:rPr>
                <w:t>LN4/DNAJC5</w:t>
              </w:r>
            </w:hyperlink>
          </w:p>
          <w:p w14:paraId="1AD2C2AB" w14:textId="77777777" w:rsidR="00BE0B19" w:rsidRPr="00AE47C6" w:rsidRDefault="00BE0B19" w:rsidP="00BE0B19">
            <w:pPr>
              <w:spacing w:after="0" w:line="360" w:lineRule="auto"/>
              <w:ind w:left="137"/>
              <w:rPr>
                <w:rFonts w:ascii="Times New Roman" w:eastAsia="SimSun" w:hAnsi="Times New Roman"/>
                <w:bCs/>
                <w:sz w:val="24"/>
                <w:szCs w:val="24"/>
              </w:rPr>
            </w:pPr>
          </w:p>
        </w:tc>
        <w:tc>
          <w:tcPr>
            <w:tcW w:w="2340" w:type="dxa"/>
          </w:tcPr>
          <w:p w14:paraId="2282E068" w14:textId="77777777" w:rsidR="00BE0B19" w:rsidRPr="00AE47C6" w:rsidRDefault="00BE0B19" w:rsidP="00BE0B19">
            <w:pPr>
              <w:numPr>
                <w:ilvl w:val="0"/>
                <w:numId w:val="17"/>
              </w:numPr>
              <w:tabs>
                <w:tab w:val="clear" w:pos="890"/>
                <w:tab w:val="num" w:pos="350"/>
              </w:tabs>
              <w:spacing w:after="0" w:line="360" w:lineRule="auto"/>
              <w:ind w:left="0" w:firstLine="130"/>
              <w:rPr>
                <w:rFonts w:ascii="Times New Roman" w:eastAsia="SimSun" w:hAnsi="Times New Roman"/>
                <w:bCs/>
                <w:sz w:val="24"/>
                <w:szCs w:val="24"/>
              </w:rPr>
            </w:pPr>
            <w:r w:rsidRPr="00AE47C6">
              <w:rPr>
                <w:rFonts w:ascii="Times New Roman" w:eastAsia="SimSun" w:hAnsi="Times New Roman"/>
                <w:sz w:val="24"/>
                <w:szCs w:val="24"/>
              </w:rPr>
              <w:t>Палмитоил-протеин-тиоестераза (</w:t>
            </w:r>
            <w:r w:rsidRPr="00AE47C6">
              <w:rPr>
                <w:rFonts w:ascii="Times New Roman" w:eastAsia="SimSun" w:hAnsi="Times New Roman"/>
                <w:bCs/>
                <w:sz w:val="24"/>
                <w:szCs w:val="24"/>
              </w:rPr>
              <w:t>NCL 1</w:t>
            </w:r>
            <w:r w:rsidRPr="00AE47C6">
              <w:rPr>
                <w:rFonts w:ascii="Times New Roman" w:eastAsia="SimSun" w:hAnsi="Times New Roman"/>
                <w:sz w:val="24"/>
                <w:szCs w:val="24"/>
              </w:rPr>
              <w:t>)</w:t>
            </w:r>
            <w:r w:rsidRPr="00AE47C6">
              <w:rPr>
                <w:rFonts w:ascii="Times New Roman" w:eastAsia="SimSun" w:hAnsi="Times New Roman"/>
                <w:bCs/>
                <w:sz w:val="24"/>
                <w:szCs w:val="24"/>
              </w:rPr>
              <w:t xml:space="preserve">; </w:t>
            </w:r>
          </w:p>
          <w:p w14:paraId="11E7B7CC" w14:textId="77777777" w:rsidR="00BE0B19" w:rsidRPr="00AE47C6" w:rsidRDefault="00BE0B19" w:rsidP="00BE0B19">
            <w:pPr>
              <w:numPr>
                <w:ilvl w:val="0"/>
                <w:numId w:val="17"/>
              </w:numPr>
              <w:tabs>
                <w:tab w:val="clear" w:pos="890"/>
                <w:tab w:val="num" w:pos="350"/>
              </w:tabs>
              <w:spacing w:after="0" w:line="360" w:lineRule="auto"/>
              <w:ind w:left="0" w:firstLine="130"/>
              <w:rPr>
                <w:rFonts w:ascii="Times New Roman" w:eastAsia="SimSun" w:hAnsi="Times New Roman"/>
                <w:sz w:val="24"/>
                <w:szCs w:val="24"/>
              </w:rPr>
            </w:pPr>
            <w:r w:rsidRPr="00AE47C6">
              <w:rPr>
                <w:rFonts w:ascii="Times New Roman" w:eastAsia="SimSun" w:hAnsi="Times New Roman"/>
                <w:sz w:val="24"/>
                <w:szCs w:val="24"/>
                <w:lang w:eastAsia="bg-BG"/>
              </w:rPr>
              <w:t xml:space="preserve">Трипептидил-пептидаза </w:t>
            </w:r>
            <w:r w:rsidRPr="00AE47C6">
              <w:rPr>
                <w:rFonts w:ascii="Times New Roman" w:eastAsia="SimSun" w:hAnsi="Times New Roman"/>
                <w:bCs/>
                <w:sz w:val="24"/>
                <w:szCs w:val="24"/>
              </w:rPr>
              <w:t>(NCL 2)</w:t>
            </w:r>
          </w:p>
        </w:tc>
        <w:tc>
          <w:tcPr>
            <w:tcW w:w="1906" w:type="dxa"/>
          </w:tcPr>
          <w:p w14:paraId="0182C190"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Cs/>
                <w:sz w:val="24"/>
                <w:szCs w:val="24"/>
              </w:rPr>
              <w:t>Цероид и липофусцин</w:t>
            </w:r>
          </w:p>
        </w:tc>
      </w:tr>
    </w:tbl>
    <w:p w14:paraId="4529E13A"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27" w:name="_Toc155651762"/>
      <w:bookmarkStart w:id="128" w:name="_Toc164075894"/>
      <w:r w:rsidRPr="00AE47C6">
        <w:rPr>
          <w:rFonts w:ascii="Times New Roman" w:eastAsia="SimSun" w:hAnsi="Times New Roman"/>
          <w:b/>
          <w:sz w:val="24"/>
          <w:szCs w:val="20"/>
          <w:lang w:eastAsia="ja-JP"/>
        </w:rPr>
        <w:t>5.1.1. Мукополизахаридози</w:t>
      </w:r>
      <w:bookmarkEnd w:id="127"/>
      <w:bookmarkEnd w:id="128"/>
    </w:p>
    <w:p w14:paraId="72B24CAA" w14:textId="77777777" w:rsidR="00BE0B19" w:rsidRPr="00AE47C6" w:rsidRDefault="00BE0B19" w:rsidP="00BE0B19">
      <w:pPr>
        <w:shd w:val="clear" w:color="auto" w:fill="FFFFFF"/>
        <w:spacing w:after="0" w:line="360" w:lineRule="auto"/>
        <w:ind w:firstLine="708"/>
        <w:rPr>
          <w:rFonts w:ascii="Times New Roman" w:eastAsia="SimSun" w:hAnsi="Times New Roman"/>
          <w:sz w:val="24"/>
          <w:szCs w:val="24"/>
          <w:lang w:eastAsia="bg-BG"/>
        </w:rPr>
      </w:pPr>
      <w:r w:rsidRPr="00AE47C6">
        <w:rPr>
          <w:rFonts w:ascii="Times New Roman" w:eastAsia="SimSun" w:hAnsi="Times New Roman"/>
          <w:b/>
          <w:sz w:val="24"/>
          <w:szCs w:val="24"/>
        </w:rPr>
        <w:t xml:space="preserve">Мукополизахаридозите </w:t>
      </w:r>
      <w:r w:rsidRPr="00AE47C6">
        <w:rPr>
          <w:rFonts w:ascii="Times New Roman" w:eastAsia="SimSun" w:hAnsi="Times New Roman"/>
          <w:sz w:val="24"/>
          <w:szCs w:val="24"/>
        </w:rPr>
        <w:t>(MPS) са болести с натрупване на мукополизахариди в лизозомите на различни тъкани като кожа, хрущяли, корнея, черен дроб, слезка и съдове, поради ензимен дефицит на деградиращи ензими (Таблица 5.2)</w:t>
      </w:r>
      <w:r w:rsidRPr="00AE47C6">
        <w:rPr>
          <w:rFonts w:ascii="Times New Roman" w:eastAsia="SimSun" w:hAnsi="Times New Roman"/>
          <w:sz w:val="24"/>
          <w:szCs w:val="24"/>
          <w:lang w:eastAsia="bg-BG"/>
        </w:rPr>
        <w:t>. Предаването е автозомно рецесивно (АР) и само MPS II</w:t>
      </w:r>
      <w:r w:rsidRPr="00AE47C6">
        <w:rPr>
          <w:rFonts w:ascii="Times New Roman" w:eastAsia="SimSun" w:hAnsi="Times New Roman"/>
          <w:sz w:val="24"/>
          <w:szCs w:val="24"/>
        </w:rPr>
        <w:t xml:space="preserve"> - (болест на </w:t>
      </w:r>
      <w:hyperlink r:id="rId32" w:tooltip="Hunter syndrome" w:history="1">
        <w:r w:rsidRPr="00AE47C6">
          <w:rPr>
            <w:rFonts w:ascii="Times New Roman" w:eastAsia="SimSun" w:hAnsi="Times New Roman"/>
            <w:sz w:val="24"/>
            <w:szCs w:val="24"/>
          </w:rPr>
          <w:t>Hunter</w:t>
        </w:r>
      </w:hyperlink>
      <w:r w:rsidRPr="00AE47C6">
        <w:rPr>
          <w:rFonts w:ascii="Times New Roman" w:eastAsia="SimSun" w:hAnsi="Times New Roman"/>
          <w:sz w:val="24"/>
          <w:szCs w:val="24"/>
        </w:rPr>
        <w:t>)</w:t>
      </w:r>
      <w:r w:rsidRPr="00AE47C6">
        <w:rPr>
          <w:rFonts w:ascii="Times New Roman" w:eastAsia="SimSun" w:hAnsi="Times New Roman"/>
          <w:sz w:val="24"/>
          <w:szCs w:val="24"/>
          <w:lang w:eastAsia="bg-BG"/>
        </w:rPr>
        <w:t xml:space="preserve"> е Х-Р.</w:t>
      </w:r>
    </w:p>
    <w:p w14:paraId="3D340F24" w14:textId="77777777" w:rsidR="00BE0B19" w:rsidRPr="00AE47C6" w:rsidRDefault="00BE0B19" w:rsidP="00BE0B19">
      <w:pPr>
        <w:shd w:val="clear" w:color="auto" w:fill="FFFFFF"/>
        <w:spacing w:after="0" w:line="360" w:lineRule="auto"/>
        <w:ind w:firstLine="708"/>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Таблица 5.2.</w:t>
      </w:r>
      <w:r w:rsidRPr="00AE47C6">
        <w:rPr>
          <w:rFonts w:ascii="Times New Roman" w:eastAsia="SimSun" w:hAnsi="Times New Roman"/>
          <w:sz w:val="24"/>
          <w:szCs w:val="24"/>
          <w:lang w:eastAsia="bg-BG"/>
        </w:rPr>
        <w:t xml:space="preserve"> Мукополизахаридози, генни дефекти и ензимен дефицит</w:t>
      </w:r>
    </w:p>
    <w:tbl>
      <w:tblPr>
        <w:tblStyle w:val="TableGrid2"/>
        <w:tblW w:w="0" w:type="auto"/>
        <w:tblLook w:val="04A0" w:firstRow="1" w:lastRow="0" w:firstColumn="1" w:lastColumn="0" w:noHBand="0" w:noVBand="1"/>
      </w:tblPr>
      <w:tblGrid>
        <w:gridCol w:w="4359"/>
        <w:gridCol w:w="1680"/>
        <w:gridCol w:w="3021"/>
      </w:tblGrid>
      <w:tr w:rsidR="00BE0B19" w:rsidRPr="00AE47C6" w14:paraId="7B43A7F4" w14:textId="77777777" w:rsidTr="00AD72E5">
        <w:tc>
          <w:tcPr>
            <w:tcW w:w="4361" w:type="dxa"/>
          </w:tcPr>
          <w:p w14:paraId="1135BBD0"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Заболяване</w:t>
            </w:r>
          </w:p>
        </w:tc>
        <w:tc>
          <w:tcPr>
            <w:tcW w:w="1680" w:type="dxa"/>
          </w:tcPr>
          <w:p w14:paraId="5572C4F9"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Генен дефект</w:t>
            </w:r>
          </w:p>
        </w:tc>
        <w:tc>
          <w:tcPr>
            <w:tcW w:w="3021" w:type="dxa"/>
          </w:tcPr>
          <w:p w14:paraId="2EFB56F4"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Ензимен дефицит</w:t>
            </w:r>
          </w:p>
        </w:tc>
      </w:tr>
      <w:tr w:rsidR="00BE0B19" w:rsidRPr="00AE47C6" w14:paraId="101DBE4C" w14:textId="77777777" w:rsidTr="00AD72E5">
        <w:tc>
          <w:tcPr>
            <w:tcW w:w="4361" w:type="dxa"/>
          </w:tcPr>
          <w:p w14:paraId="6D8F2942"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MPS I (синдроми на Hurler, Scheie)</w:t>
            </w:r>
          </w:p>
        </w:tc>
        <w:tc>
          <w:tcPr>
            <w:tcW w:w="1680" w:type="dxa"/>
          </w:tcPr>
          <w:p w14:paraId="282EBF4A"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i/>
                <w:iCs/>
                <w:sz w:val="24"/>
                <w:szCs w:val="24"/>
                <w:lang w:eastAsia="bg-BG"/>
              </w:rPr>
              <w:t>IDUA</w:t>
            </w:r>
          </w:p>
        </w:tc>
        <w:tc>
          <w:tcPr>
            <w:tcW w:w="3021" w:type="dxa"/>
          </w:tcPr>
          <w:p w14:paraId="246D4C88"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Alpha-L-iduronidase</w:t>
            </w:r>
          </w:p>
        </w:tc>
      </w:tr>
      <w:tr w:rsidR="00BE0B19" w:rsidRPr="00AE47C6" w14:paraId="1A733C42" w14:textId="77777777" w:rsidTr="00AD72E5">
        <w:tc>
          <w:tcPr>
            <w:tcW w:w="4361" w:type="dxa"/>
          </w:tcPr>
          <w:p w14:paraId="601A289F"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MPS II (синдром на Hunter)</w:t>
            </w:r>
          </w:p>
        </w:tc>
        <w:tc>
          <w:tcPr>
            <w:tcW w:w="1680" w:type="dxa"/>
          </w:tcPr>
          <w:p w14:paraId="669552BF"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i/>
                <w:iCs/>
                <w:sz w:val="24"/>
                <w:szCs w:val="24"/>
                <w:lang w:eastAsia="bg-BG"/>
              </w:rPr>
              <w:t>IDS</w:t>
            </w:r>
          </w:p>
        </w:tc>
        <w:tc>
          <w:tcPr>
            <w:tcW w:w="3021" w:type="dxa"/>
          </w:tcPr>
          <w:p w14:paraId="09945450"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Iduronate-2-sulfatase</w:t>
            </w:r>
          </w:p>
        </w:tc>
      </w:tr>
      <w:tr w:rsidR="00BE0B19" w:rsidRPr="00AE47C6" w14:paraId="037C6073" w14:textId="77777777" w:rsidTr="00AD72E5">
        <w:tc>
          <w:tcPr>
            <w:tcW w:w="4361" w:type="dxa"/>
          </w:tcPr>
          <w:p w14:paraId="51DB767C"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MPS IIIA (синдром на Sanfilippo)</w:t>
            </w:r>
          </w:p>
        </w:tc>
        <w:tc>
          <w:tcPr>
            <w:tcW w:w="1680" w:type="dxa"/>
          </w:tcPr>
          <w:p w14:paraId="6B5D49F6"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i/>
                <w:iCs/>
                <w:sz w:val="24"/>
                <w:szCs w:val="24"/>
                <w:lang w:eastAsia="bg-BG"/>
              </w:rPr>
              <w:t>SGSH</w:t>
            </w:r>
          </w:p>
        </w:tc>
        <w:tc>
          <w:tcPr>
            <w:tcW w:w="3021" w:type="dxa"/>
          </w:tcPr>
          <w:p w14:paraId="74EB572D"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Heparan-N-sulfatase</w:t>
            </w:r>
          </w:p>
        </w:tc>
      </w:tr>
      <w:tr w:rsidR="00BE0B19" w:rsidRPr="00AE47C6" w14:paraId="161ADBF7" w14:textId="77777777" w:rsidTr="00AD72E5">
        <w:tc>
          <w:tcPr>
            <w:tcW w:w="4361" w:type="dxa"/>
          </w:tcPr>
          <w:p w14:paraId="558CBC12"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MPS IIIB (синдром на Sanfilippo)</w:t>
            </w:r>
          </w:p>
        </w:tc>
        <w:tc>
          <w:tcPr>
            <w:tcW w:w="1680" w:type="dxa"/>
          </w:tcPr>
          <w:p w14:paraId="1317E365"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i/>
                <w:iCs/>
                <w:sz w:val="24"/>
                <w:szCs w:val="24"/>
                <w:lang w:eastAsia="bg-BG"/>
              </w:rPr>
              <w:t>NAGLU</w:t>
            </w:r>
          </w:p>
        </w:tc>
        <w:tc>
          <w:tcPr>
            <w:tcW w:w="3021" w:type="dxa"/>
          </w:tcPr>
          <w:p w14:paraId="167B5FE7"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N-acetylglucosaminidase</w:t>
            </w:r>
          </w:p>
        </w:tc>
      </w:tr>
      <w:tr w:rsidR="00BE0B19" w:rsidRPr="00AE47C6" w14:paraId="4C45507F" w14:textId="77777777" w:rsidTr="00AD72E5">
        <w:tc>
          <w:tcPr>
            <w:tcW w:w="4361" w:type="dxa"/>
          </w:tcPr>
          <w:p w14:paraId="1F754B4E"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MPS IIIC (синдром на Sanfilippo)</w:t>
            </w:r>
          </w:p>
        </w:tc>
        <w:tc>
          <w:tcPr>
            <w:tcW w:w="1680" w:type="dxa"/>
          </w:tcPr>
          <w:p w14:paraId="71D6A821"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i/>
                <w:iCs/>
                <w:sz w:val="24"/>
                <w:szCs w:val="24"/>
                <w:lang w:eastAsia="bg-BG"/>
              </w:rPr>
              <w:t>HGSNAT</w:t>
            </w:r>
          </w:p>
        </w:tc>
        <w:tc>
          <w:tcPr>
            <w:tcW w:w="3021" w:type="dxa"/>
          </w:tcPr>
          <w:p w14:paraId="52FCEE0D"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Acetyl CoA glucosamine N-acetyltransferase</w:t>
            </w:r>
          </w:p>
        </w:tc>
      </w:tr>
      <w:tr w:rsidR="00BE0B19" w:rsidRPr="00AE47C6" w14:paraId="2D84110B" w14:textId="77777777" w:rsidTr="00AD72E5">
        <w:tc>
          <w:tcPr>
            <w:tcW w:w="4361" w:type="dxa"/>
          </w:tcPr>
          <w:p w14:paraId="1A2E07EF"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MPS IIID (синдром на Sanfilippo)</w:t>
            </w:r>
          </w:p>
        </w:tc>
        <w:tc>
          <w:tcPr>
            <w:tcW w:w="1680" w:type="dxa"/>
          </w:tcPr>
          <w:p w14:paraId="72F30F99"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i/>
                <w:iCs/>
                <w:sz w:val="24"/>
                <w:szCs w:val="24"/>
                <w:lang w:eastAsia="bg-BG"/>
              </w:rPr>
              <w:t>GNS</w:t>
            </w:r>
          </w:p>
        </w:tc>
        <w:tc>
          <w:tcPr>
            <w:tcW w:w="3021" w:type="dxa"/>
          </w:tcPr>
          <w:p w14:paraId="71AA4E20"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N-acetyl-glucosamine-6-sulfatase</w:t>
            </w:r>
          </w:p>
        </w:tc>
      </w:tr>
      <w:tr w:rsidR="00BE0B19" w:rsidRPr="00AE47C6" w14:paraId="2DE01654" w14:textId="77777777" w:rsidTr="00AD72E5">
        <w:tc>
          <w:tcPr>
            <w:tcW w:w="4361" w:type="dxa"/>
          </w:tcPr>
          <w:p w14:paraId="3E8EB0BB"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MPS IVA (синдром на Morquio)</w:t>
            </w:r>
          </w:p>
        </w:tc>
        <w:tc>
          <w:tcPr>
            <w:tcW w:w="1680" w:type="dxa"/>
          </w:tcPr>
          <w:p w14:paraId="031ED8B1"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i/>
                <w:iCs/>
                <w:sz w:val="24"/>
                <w:szCs w:val="24"/>
                <w:lang w:eastAsia="bg-BG"/>
              </w:rPr>
              <w:t>GALNS</w:t>
            </w:r>
          </w:p>
        </w:tc>
        <w:tc>
          <w:tcPr>
            <w:tcW w:w="3021" w:type="dxa"/>
          </w:tcPr>
          <w:p w14:paraId="516BC136"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N-acetylgalactosamine-6-sulfate sulfatase</w:t>
            </w:r>
          </w:p>
        </w:tc>
      </w:tr>
      <w:tr w:rsidR="00BE0B19" w:rsidRPr="00AE47C6" w14:paraId="67ADB336" w14:textId="77777777" w:rsidTr="00AD72E5">
        <w:tc>
          <w:tcPr>
            <w:tcW w:w="4361" w:type="dxa"/>
          </w:tcPr>
          <w:p w14:paraId="08C5599A"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MPS IVB (синдром на Morquio)</w:t>
            </w:r>
          </w:p>
        </w:tc>
        <w:tc>
          <w:tcPr>
            <w:tcW w:w="1680" w:type="dxa"/>
          </w:tcPr>
          <w:p w14:paraId="160B2E8E"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i/>
                <w:iCs/>
                <w:sz w:val="24"/>
                <w:szCs w:val="24"/>
                <w:lang w:eastAsia="bg-BG"/>
              </w:rPr>
              <w:t>GLB1</w:t>
            </w:r>
          </w:p>
        </w:tc>
        <w:tc>
          <w:tcPr>
            <w:tcW w:w="3021" w:type="dxa"/>
          </w:tcPr>
          <w:p w14:paraId="4605CD9C"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β -galactosidase</w:t>
            </w:r>
          </w:p>
        </w:tc>
      </w:tr>
      <w:tr w:rsidR="00BE0B19" w:rsidRPr="00AE47C6" w14:paraId="07BA342D" w14:textId="77777777" w:rsidTr="00AD72E5">
        <w:tc>
          <w:tcPr>
            <w:tcW w:w="4361" w:type="dxa"/>
          </w:tcPr>
          <w:p w14:paraId="0DC0FAC8"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MPS VI (синдром на Maroteaux-Lamy)</w:t>
            </w:r>
          </w:p>
        </w:tc>
        <w:tc>
          <w:tcPr>
            <w:tcW w:w="1680" w:type="dxa"/>
          </w:tcPr>
          <w:p w14:paraId="3F618E2B"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i/>
                <w:iCs/>
                <w:sz w:val="24"/>
                <w:szCs w:val="24"/>
                <w:lang w:eastAsia="bg-BG"/>
              </w:rPr>
              <w:t>ARSB</w:t>
            </w:r>
          </w:p>
        </w:tc>
        <w:tc>
          <w:tcPr>
            <w:tcW w:w="3021" w:type="dxa"/>
          </w:tcPr>
          <w:p w14:paraId="1C97D45A"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Arylsulfatase B</w:t>
            </w:r>
          </w:p>
        </w:tc>
      </w:tr>
      <w:tr w:rsidR="00BE0B19" w:rsidRPr="00AE47C6" w14:paraId="15D69A9F" w14:textId="77777777" w:rsidTr="00AD72E5">
        <w:tc>
          <w:tcPr>
            <w:tcW w:w="4361" w:type="dxa"/>
          </w:tcPr>
          <w:p w14:paraId="0D704DA9"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MPS VII (синдром на Sly)</w:t>
            </w:r>
          </w:p>
        </w:tc>
        <w:tc>
          <w:tcPr>
            <w:tcW w:w="1680" w:type="dxa"/>
          </w:tcPr>
          <w:p w14:paraId="285FFF6C"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i/>
                <w:iCs/>
                <w:sz w:val="24"/>
                <w:szCs w:val="24"/>
                <w:lang w:eastAsia="bg-BG"/>
              </w:rPr>
              <w:t>GUSB</w:t>
            </w:r>
          </w:p>
        </w:tc>
        <w:tc>
          <w:tcPr>
            <w:tcW w:w="3021" w:type="dxa"/>
          </w:tcPr>
          <w:p w14:paraId="05D6A077"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β-glucuronidase</w:t>
            </w:r>
          </w:p>
        </w:tc>
      </w:tr>
      <w:tr w:rsidR="00BE0B19" w:rsidRPr="00AE47C6" w14:paraId="5D76B418" w14:textId="77777777" w:rsidTr="00AD72E5">
        <w:tc>
          <w:tcPr>
            <w:tcW w:w="4361" w:type="dxa"/>
          </w:tcPr>
          <w:p w14:paraId="64F691BD"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MPS IX</w:t>
            </w:r>
          </w:p>
        </w:tc>
        <w:tc>
          <w:tcPr>
            <w:tcW w:w="1680" w:type="dxa"/>
          </w:tcPr>
          <w:p w14:paraId="6241E08A"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i/>
                <w:iCs/>
                <w:sz w:val="24"/>
                <w:szCs w:val="24"/>
                <w:lang w:eastAsia="bg-BG"/>
              </w:rPr>
              <w:t>HYAL1</w:t>
            </w:r>
          </w:p>
        </w:tc>
        <w:tc>
          <w:tcPr>
            <w:tcW w:w="3021" w:type="dxa"/>
          </w:tcPr>
          <w:p w14:paraId="14500905" w14:textId="77777777" w:rsidR="00BE0B19" w:rsidRPr="00AE47C6" w:rsidRDefault="00BE0B19" w:rsidP="00BE0B19">
            <w:pPr>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Hyaluronidase</w:t>
            </w:r>
          </w:p>
        </w:tc>
      </w:tr>
    </w:tbl>
    <w:p w14:paraId="2DE7EE29" w14:textId="77777777" w:rsidR="00BE0B19" w:rsidRPr="00AE47C6" w:rsidRDefault="00BE0B19" w:rsidP="00BE0B19">
      <w:pPr>
        <w:spacing w:after="0" w:line="240" w:lineRule="auto"/>
        <w:ind w:firstLine="210"/>
        <w:jc w:val="both"/>
        <w:rPr>
          <w:rFonts w:ascii="Times New Roman" w:eastAsia="SimSun" w:hAnsi="Times New Roman"/>
          <w:sz w:val="20"/>
          <w:szCs w:val="20"/>
          <w:lang w:eastAsia="bg-BG"/>
        </w:rPr>
      </w:pPr>
    </w:p>
    <w:p w14:paraId="35A874E2" w14:textId="77777777" w:rsidR="00BE0B19" w:rsidRPr="00AE47C6" w:rsidRDefault="00BE0B19" w:rsidP="00BE0B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p>
    <w:p w14:paraId="1A98E1B6" w14:textId="77777777" w:rsidR="00BE0B19" w:rsidRPr="00AE47C6" w:rsidRDefault="00BE0B19" w:rsidP="00BE0B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360" w:lineRule="auto"/>
        <w:ind w:firstLine="720"/>
        <w:jc w:val="both"/>
        <w:textAlignment w:val="baseline"/>
        <w:rPr>
          <w:rFonts w:ascii="Times New Roman" w:eastAsia="SimSun" w:hAnsi="Times New Roman"/>
          <w:b/>
          <w:bCs/>
          <w:sz w:val="24"/>
          <w:szCs w:val="24"/>
        </w:rPr>
      </w:pPr>
      <w:r w:rsidRPr="00AE47C6">
        <w:rPr>
          <w:rFonts w:ascii="Times New Roman" w:eastAsia="SimSun" w:hAnsi="Times New Roman"/>
          <w:b/>
          <w:bCs/>
          <w:sz w:val="24"/>
          <w:szCs w:val="24"/>
        </w:rPr>
        <w:t>MPS I и MPS II</w:t>
      </w:r>
    </w:p>
    <w:p w14:paraId="7617D443" w14:textId="77777777" w:rsidR="00BE0B19" w:rsidRPr="00AE47C6" w:rsidRDefault="00BE0B19" w:rsidP="00BE0B19">
      <w:pPr>
        <w:spacing w:after="0" w:line="240" w:lineRule="auto"/>
        <w:ind w:firstLine="210"/>
        <w:jc w:val="both"/>
        <w:rPr>
          <w:rFonts w:ascii="Times New Roman" w:eastAsia="SimSun" w:hAnsi="Times New Roman"/>
          <w:sz w:val="20"/>
          <w:szCs w:val="20"/>
          <w:lang w:eastAsia="bg-BG"/>
        </w:rPr>
      </w:pPr>
    </w:p>
    <w:p w14:paraId="0B3703AE" w14:textId="77777777" w:rsidR="00BE0B19" w:rsidRPr="00AE47C6" w:rsidRDefault="00BE0B19" w:rsidP="00BE0B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sz w:val="24"/>
          <w:szCs w:val="24"/>
        </w:rPr>
        <w:t>MPS I (Синдром на Hurler или синдром на Scheie според тежестта на клиниката с дефицит на Alpha-L-iduronidase), и MPS type II (синдром на Hunter с дефицит на Iduronate-2-sulfatase) са най-честите типове MPS.</w:t>
      </w:r>
    </w:p>
    <w:p w14:paraId="5894EF12" w14:textId="77777777" w:rsidR="00BE0B19" w:rsidRPr="00AE47C6" w:rsidRDefault="00BE0B19" w:rsidP="00BE0B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b/>
          <w:sz w:val="24"/>
          <w:szCs w:val="24"/>
        </w:rPr>
        <w:t>Клиника</w:t>
      </w:r>
      <w:r w:rsidRPr="00AE47C6">
        <w:rPr>
          <w:rFonts w:ascii="Times New Roman" w:eastAsia="SimSun" w:hAnsi="Times New Roman"/>
          <w:sz w:val="24"/>
          <w:szCs w:val="24"/>
        </w:rPr>
        <w:t xml:space="preserve">: При </w:t>
      </w:r>
      <w:r w:rsidRPr="00AE47C6">
        <w:rPr>
          <w:rFonts w:ascii="Times New Roman" w:eastAsia="SimSun" w:hAnsi="Times New Roman"/>
          <w:b/>
          <w:sz w:val="24"/>
          <w:szCs w:val="24"/>
        </w:rPr>
        <w:t>класическата форма</w:t>
      </w:r>
      <w:r w:rsidRPr="00AE47C6">
        <w:rPr>
          <w:rFonts w:ascii="Times New Roman" w:eastAsia="SimSun" w:hAnsi="Times New Roman"/>
          <w:sz w:val="24"/>
          <w:szCs w:val="24"/>
        </w:rPr>
        <w:t xml:space="preserve"> е налице забавено развитие, нисък ръст, рецидивиращи отити и респираторни инфекции, хепатоспленомегалия, макроцефалия, груби черти на лицето с дебели вежди, устни и нос, хиперплазия на венците и макроглосия. Прогресивно се развиват глухота, сърдечно-клапни дефекти, респираторна обструктивни заболявания, ставни контрактури и интелектуален регрес. При нелекуваните пациенти след 2-3 г. IQ е &lt;70 при 61% и граничен (IQ 70–85) при  25%. Други усложнения са помътнявания в корнеята, синдром на карпалния тунел, хидроцефалия, шийна нестабилност и спинална компресия, сърдечни аритмии. Глаукома. Характерни са находките при рентгеновите изследвания - dysostosis multiplex, промени в sella turcica, ребрата, проксималните метакарпални и метатарзални кости, </w:t>
      </w:r>
      <w:r w:rsidRPr="00AE47C6">
        <w:rPr>
          <w:rFonts w:ascii="Times New Roman" w:eastAsia="SimSun" w:hAnsi="Times New Roman"/>
          <w:sz w:val="24"/>
          <w:szCs w:val="24"/>
          <w:shd w:val="clear" w:color="auto" w:fill="F8F9FA"/>
        </w:rPr>
        <w:t>тазобедрена дисплазия</w:t>
      </w:r>
      <w:r w:rsidRPr="00AE47C6">
        <w:rPr>
          <w:rFonts w:ascii="Times New Roman" w:eastAsia="SimSun" w:hAnsi="Times New Roman"/>
          <w:sz w:val="24"/>
          <w:szCs w:val="24"/>
        </w:rPr>
        <w:t xml:space="preserve">. Продължителността на живота при нелекуваните пациенти до второто или третото десетилетие. </w:t>
      </w:r>
      <w:r w:rsidRPr="00AE47C6">
        <w:rPr>
          <w:rFonts w:ascii="Times New Roman" w:eastAsia="SimSun" w:hAnsi="Times New Roman"/>
          <w:b/>
          <w:sz w:val="24"/>
          <w:szCs w:val="24"/>
        </w:rPr>
        <w:t xml:space="preserve">При леката форма на MPS I и II </w:t>
      </w:r>
      <w:r w:rsidRPr="00AE47C6">
        <w:rPr>
          <w:rFonts w:ascii="Times New Roman" w:eastAsia="SimSun" w:hAnsi="Times New Roman"/>
          <w:sz w:val="24"/>
          <w:szCs w:val="24"/>
        </w:rPr>
        <w:t>соматични изяви са леки и без засягане на ЦНС и интелектът е нормален.</w:t>
      </w:r>
    </w:p>
    <w:p w14:paraId="64A45C9B" w14:textId="77777777" w:rsidR="00BE0B19" w:rsidRPr="00AE47C6" w:rsidRDefault="00BE0B19" w:rsidP="00BE0B19">
      <w:pPr>
        <w:shd w:val="clear" w:color="auto" w:fill="FFFFFF"/>
        <w:spacing w:after="0" w:line="360" w:lineRule="auto"/>
        <w:rPr>
          <w:rFonts w:ascii="Times New Roman" w:eastAsia="SimSun" w:hAnsi="Times New Roman"/>
          <w:b/>
          <w:sz w:val="24"/>
          <w:szCs w:val="24"/>
          <w:lang w:eastAsia="bg-BG"/>
        </w:rPr>
      </w:pPr>
      <w:r w:rsidRPr="00AE47C6">
        <w:rPr>
          <w:rFonts w:ascii="Times New Roman" w:eastAsia="SimSun" w:hAnsi="Times New Roman"/>
          <w:b/>
          <w:sz w:val="24"/>
          <w:szCs w:val="24"/>
          <w:lang w:eastAsia="bg-BG"/>
        </w:rPr>
        <w:t xml:space="preserve">Диагностициране: </w:t>
      </w:r>
    </w:p>
    <w:p w14:paraId="108182B3" w14:textId="77777777" w:rsidR="00BE0B19" w:rsidRPr="00AE47C6" w:rsidRDefault="00BE0B19" w:rsidP="00BE0B19">
      <w:pPr>
        <w:numPr>
          <w:ilvl w:val="0"/>
          <w:numId w:val="365"/>
        </w:numPr>
        <w:shd w:val="clear" w:color="auto" w:fill="FFFFFF"/>
        <w:spacing w:after="0" w:line="360" w:lineRule="auto"/>
        <w:contextualSpacing/>
        <w:rPr>
          <w:rFonts w:ascii="Times New Roman" w:eastAsia="SimSun" w:hAnsi="Times New Roman"/>
          <w:sz w:val="24"/>
          <w:szCs w:val="24"/>
          <w:lang w:eastAsia="bg-BG"/>
        </w:rPr>
      </w:pPr>
      <w:r w:rsidRPr="00AE47C6">
        <w:rPr>
          <w:rFonts w:ascii="Times New Roman" w:eastAsia="SimSun" w:hAnsi="Times New Roman"/>
          <w:i/>
          <w:sz w:val="24"/>
          <w:szCs w:val="24"/>
          <w:lang w:eastAsia="bg-BG"/>
        </w:rPr>
        <w:t>Количествено изследване на мукополизахариди в урина</w:t>
      </w:r>
      <w:r w:rsidRPr="00AE47C6">
        <w:rPr>
          <w:rFonts w:ascii="Times New Roman" w:eastAsia="SimSun" w:hAnsi="Times New Roman"/>
          <w:sz w:val="24"/>
          <w:szCs w:val="24"/>
          <w:lang w:eastAsia="bg-BG"/>
        </w:rPr>
        <w:t xml:space="preserve"> е начално изследване при скрининга за суспектни пациенти за MPS I  и II;  </w:t>
      </w:r>
    </w:p>
    <w:p w14:paraId="537FBF14" w14:textId="77777777" w:rsidR="00BE0B19" w:rsidRPr="00AE47C6" w:rsidRDefault="00BE0B19" w:rsidP="00BE0B19">
      <w:pPr>
        <w:numPr>
          <w:ilvl w:val="0"/>
          <w:numId w:val="365"/>
        </w:numPr>
        <w:shd w:val="clear" w:color="auto" w:fill="FFFFFF"/>
        <w:spacing w:after="0" w:line="360" w:lineRule="auto"/>
        <w:contextualSpacing/>
        <w:rPr>
          <w:rFonts w:ascii="Times New Roman" w:eastAsia="SimSun" w:hAnsi="Times New Roman"/>
          <w:sz w:val="24"/>
          <w:szCs w:val="24"/>
          <w:lang w:eastAsia="bg-BG"/>
        </w:rPr>
      </w:pPr>
      <w:r w:rsidRPr="00AE47C6">
        <w:rPr>
          <w:rFonts w:ascii="Times New Roman" w:eastAsia="SimSun" w:hAnsi="Times New Roman"/>
          <w:i/>
          <w:sz w:val="24"/>
          <w:szCs w:val="24"/>
          <w:lang w:eastAsia="bg-BG"/>
        </w:rPr>
        <w:t xml:space="preserve">Изследване на ензимна активност в суха капка кръв </w:t>
      </w:r>
      <w:r w:rsidRPr="00AE47C6">
        <w:rPr>
          <w:rFonts w:ascii="Times New Roman" w:eastAsia="SimSun" w:hAnsi="Times New Roman"/>
          <w:sz w:val="24"/>
          <w:szCs w:val="24"/>
          <w:lang w:eastAsia="bg-BG"/>
        </w:rPr>
        <w:t xml:space="preserve">при усилена екскреция на мукополизахариди в урината - снижената ензимна активност доказва диагнозата.  </w:t>
      </w:r>
      <w:r w:rsidRPr="00AE47C6">
        <w:rPr>
          <w:rFonts w:ascii="Times New Roman" w:eastAsia="SimSun" w:hAnsi="Times New Roman"/>
          <w:i/>
          <w:sz w:val="24"/>
          <w:szCs w:val="24"/>
          <w:lang w:eastAsia="bg-BG"/>
        </w:rPr>
        <w:t>Генетично изследване</w:t>
      </w:r>
      <w:r w:rsidRPr="00AE47C6">
        <w:rPr>
          <w:rFonts w:ascii="Times New Roman" w:eastAsia="SimSun" w:hAnsi="Times New Roman"/>
          <w:sz w:val="24"/>
          <w:szCs w:val="24"/>
          <w:lang w:eastAsia="bg-BG"/>
        </w:rPr>
        <w:t xml:space="preserve"> за доказване на мутация/патологичен вариант.</w:t>
      </w:r>
    </w:p>
    <w:p w14:paraId="66D248FE" w14:textId="77777777" w:rsidR="00BE0B19" w:rsidRPr="00AE47C6" w:rsidRDefault="00BE0B19" w:rsidP="00BE0B19">
      <w:pPr>
        <w:numPr>
          <w:ilvl w:val="0"/>
          <w:numId w:val="365"/>
        </w:numPr>
        <w:shd w:val="clear" w:color="auto" w:fill="FFFFFF"/>
        <w:spacing w:after="0" w:line="360" w:lineRule="auto"/>
        <w:contextualSpacing/>
        <w:rPr>
          <w:rFonts w:ascii="Times New Roman" w:eastAsia="SimSun" w:hAnsi="Times New Roman"/>
          <w:sz w:val="24"/>
          <w:szCs w:val="24"/>
          <w:lang w:eastAsia="bg-BG"/>
        </w:rPr>
      </w:pPr>
      <w:r w:rsidRPr="00AE47C6">
        <w:rPr>
          <w:rFonts w:ascii="Times New Roman" w:eastAsia="SimSun" w:hAnsi="Times New Roman"/>
          <w:i/>
          <w:sz w:val="24"/>
          <w:szCs w:val="24"/>
          <w:lang w:eastAsia="bg-BG"/>
        </w:rPr>
        <w:t>Рентгеново изследване</w:t>
      </w:r>
      <w:r w:rsidRPr="00AE47C6">
        <w:rPr>
          <w:rFonts w:ascii="Times New Roman" w:eastAsia="SimSun" w:hAnsi="Times New Roman"/>
          <w:sz w:val="24"/>
          <w:szCs w:val="24"/>
          <w:lang w:eastAsia="bg-BG"/>
        </w:rPr>
        <w:t xml:space="preserve"> - dysostosis multiplex подкрепя диагнозата.</w:t>
      </w:r>
    </w:p>
    <w:p w14:paraId="2C47133D"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 xml:space="preserve">Лечение: </w:t>
      </w:r>
      <w:r w:rsidRPr="00AE47C6">
        <w:rPr>
          <w:rFonts w:ascii="Times New Roman" w:eastAsia="SimSun" w:hAnsi="Times New Roman"/>
          <w:i/>
          <w:sz w:val="24"/>
          <w:szCs w:val="24"/>
          <w:lang w:eastAsia="bg-BG"/>
        </w:rPr>
        <w:t>Ензим заместваща терапия (ЕЗТ)</w:t>
      </w:r>
      <w:r w:rsidRPr="00AE47C6">
        <w:rPr>
          <w:rFonts w:ascii="Times New Roman" w:eastAsia="SimSun" w:hAnsi="Times New Roman"/>
          <w:sz w:val="24"/>
          <w:szCs w:val="24"/>
          <w:lang w:eastAsia="bg-BG"/>
        </w:rPr>
        <w:t xml:space="preserve"> с </w:t>
      </w:r>
      <w:r w:rsidRPr="00AE47C6">
        <w:rPr>
          <w:rFonts w:ascii="Times New Roman" w:eastAsia="SimSun" w:hAnsi="Times New Roman"/>
          <w:i/>
          <w:sz w:val="24"/>
          <w:szCs w:val="24"/>
          <w:lang w:eastAsia="bg-BG"/>
        </w:rPr>
        <w:t>laronidase</w:t>
      </w:r>
      <w:r w:rsidRPr="00AE47C6">
        <w:rPr>
          <w:rFonts w:ascii="Times New Roman" w:eastAsia="SimSun" w:hAnsi="Times New Roman"/>
          <w:sz w:val="24"/>
          <w:szCs w:val="24"/>
          <w:lang w:eastAsia="bg-BG"/>
        </w:rPr>
        <w:t xml:space="preserve"> за MPS I и idursulfase за MPS II забавя прогресията на заболяването, т.е. променя естествения му ход, но не го лекува. Ензимите не преминават през КМБ и не повлияват неврологичните симптоми</w:t>
      </w:r>
      <w:r w:rsidRPr="00AE47C6">
        <w:rPr>
          <w:rFonts w:ascii="Times New Roman" w:eastAsia="SimSun" w:hAnsi="Times New Roman"/>
          <w:b/>
          <w:sz w:val="24"/>
          <w:szCs w:val="24"/>
          <w:lang w:eastAsia="bg-BG"/>
        </w:rPr>
        <w:t xml:space="preserve">. </w:t>
      </w:r>
      <w:r w:rsidRPr="00AE47C6">
        <w:rPr>
          <w:rFonts w:ascii="Times New Roman" w:eastAsia="SimSun" w:hAnsi="Times New Roman"/>
          <w:i/>
          <w:sz w:val="24"/>
          <w:szCs w:val="24"/>
          <w:lang w:eastAsia="bg-BG"/>
        </w:rPr>
        <w:t>Трансплантация с хемопоетични стволови клетки е прилагана при MPS I</w:t>
      </w:r>
      <w:r w:rsidRPr="00AE47C6">
        <w:rPr>
          <w:rFonts w:ascii="Times New Roman" w:eastAsia="SimSun" w:hAnsi="Times New Roman"/>
          <w:sz w:val="24"/>
          <w:szCs w:val="24"/>
          <w:lang w:eastAsia="bg-BG"/>
        </w:rPr>
        <w:t xml:space="preserve"> под 2 г. възраст и стабилизира неврокогнитивните функции, има и известни положителни резултати при случаи с MPS II. Проследяването на пациентите е от мултидисциплинарни екипи.  </w:t>
      </w:r>
    </w:p>
    <w:p w14:paraId="3DB9D244"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sz w:val="24"/>
          <w:szCs w:val="24"/>
          <w:u w:val="single"/>
          <w:lang w:eastAsia="bg-BG"/>
        </w:rPr>
      </w:pPr>
      <w:r w:rsidRPr="00AE47C6">
        <w:rPr>
          <w:rFonts w:ascii="Times New Roman" w:eastAsia="SimSun" w:hAnsi="Times New Roman"/>
          <w:b/>
          <w:sz w:val="24"/>
          <w:szCs w:val="24"/>
          <w:u w:val="single"/>
          <w:lang w:eastAsia="bg-BG"/>
        </w:rPr>
        <w:t xml:space="preserve">MPS III включва 4 подтипа </w:t>
      </w:r>
      <w:r w:rsidRPr="00AE47C6">
        <w:rPr>
          <w:rFonts w:ascii="Times New Roman" w:eastAsia="SimSun" w:hAnsi="Times New Roman"/>
          <w:sz w:val="24"/>
          <w:szCs w:val="24"/>
          <w:lang w:eastAsia="bg-BG"/>
        </w:rPr>
        <w:t>с прогресиращо натрупване на хепарин сулфат, изразено в невроните на ЦНС, като MPS IIIA е най-честа (</w:t>
      </w:r>
      <w:hyperlink r:id="rId33" w:tgtFrame="table" w:history="1">
        <w:r w:rsidRPr="00AE47C6">
          <w:rPr>
            <w:rFonts w:ascii="Times New Roman" w:eastAsia="SimSun" w:hAnsi="Times New Roman"/>
            <w:iCs/>
            <w:sz w:val="24"/>
            <w:szCs w:val="24"/>
            <w:lang w:eastAsia="bg-BG"/>
          </w:rPr>
          <w:t>Таблица 5.2</w:t>
        </w:r>
      </w:hyperlink>
      <w:r w:rsidRPr="00AE47C6">
        <w:rPr>
          <w:rFonts w:ascii="Times New Roman" w:eastAsia="SimSun" w:hAnsi="Times New Roman"/>
          <w:sz w:val="24"/>
          <w:szCs w:val="24"/>
          <w:lang w:eastAsia="bg-BG"/>
        </w:rPr>
        <w:t>). В сравнение с останалите MPS, при MPS III са най-чести невропсихиатричните синдроми с ранна изява на забавено нервно-психично развитие и умствена изостаналост, прогресираща спастична квадрипареза, симптоматична епилепсия при 60-70%, безсъние, деменция, поведенчески отклонения с агресия, гневни реакции, деструктивно поведение, хиперактивност и дефицит на внимание. В напредналите стадии пациентите са енцефалопатни и достигат до хронично вегетативно състояние в юношеска възраст. В КТ и МРТ на главния мозък се установява дифузна атрофия. Хепатоспленомегалията и засягането на сърдечните клапи, dysostosis multiplex и лицевият дизморфизъм не са тежко изразени.</w:t>
      </w:r>
    </w:p>
    <w:p w14:paraId="1CC46301"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Диагностицирането</w:t>
      </w:r>
      <w:r w:rsidRPr="00AE47C6">
        <w:rPr>
          <w:rFonts w:ascii="Times New Roman" w:eastAsia="SimSun" w:hAnsi="Times New Roman"/>
          <w:i/>
          <w:sz w:val="24"/>
          <w:szCs w:val="24"/>
          <w:lang w:eastAsia="bg-BG"/>
        </w:rPr>
        <w:t xml:space="preserve"> </w:t>
      </w:r>
      <w:r w:rsidRPr="00AE47C6">
        <w:rPr>
          <w:rFonts w:ascii="Times New Roman" w:eastAsia="SimSun" w:hAnsi="Times New Roman"/>
          <w:sz w:val="24"/>
          <w:szCs w:val="24"/>
          <w:lang w:eastAsia="bg-BG"/>
        </w:rPr>
        <w:t xml:space="preserve">е чрез доказване на увеличена екскреция на мукополизахариди в урината, доказване на ензимен дефицит и генетично изследване. </w:t>
      </w:r>
    </w:p>
    <w:p w14:paraId="3516F136" w14:textId="77777777" w:rsidR="00BE0B19" w:rsidRPr="00AE47C6" w:rsidRDefault="00BE0B19" w:rsidP="00BE0B19">
      <w:pPr>
        <w:shd w:val="clear" w:color="auto" w:fill="FFFFFF"/>
        <w:spacing w:after="0" w:line="360" w:lineRule="auto"/>
        <w:rPr>
          <w:rFonts w:ascii="Times New Roman" w:eastAsia="SimSun" w:hAnsi="Times New Roman"/>
          <w:sz w:val="24"/>
          <w:szCs w:val="24"/>
          <w:lang w:eastAsia="bg-BG"/>
        </w:rPr>
      </w:pPr>
      <w:r w:rsidRPr="00AE47C6">
        <w:rPr>
          <w:rFonts w:ascii="Times New Roman" w:eastAsia="SimSun" w:hAnsi="Times New Roman"/>
          <w:b/>
          <w:sz w:val="24"/>
          <w:szCs w:val="24"/>
          <w:lang w:eastAsia="bg-BG"/>
        </w:rPr>
        <w:t>Лечение:</w:t>
      </w:r>
      <w:r w:rsidRPr="00AE47C6">
        <w:rPr>
          <w:rFonts w:ascii="Times New Roman" w:eastAsia="SimSun" w:hAnsi="Times New Roman"/>
          <w:sz w:val="24"/>
          <w:szCs w:val="24"/>
          <w:lang w:eastAsia="bg-BG"/>
        </w:rPr>
        <w:t xml:space="preserve"> Няма сигурно лечение за MPS III. Експериментира се  ЕЗТ, но не е установено преминаване през кръвномозъчната бариера (КМБ) и проникване в ЦНС.  </w:t>
      </w:r>
    </w:p>
    <w:p w14:paraId="4C3061E8"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bg-BG"/>
        </w:rPr>
      </w:pPr>
      <w:r w:rsidRPr="00AE47C6">
        <w:rPr>
          <w:rFonts w:ascii="Times New Roman" w:eastAsia="SimSun" w:hAnsi="Times New Roman"/>
          <w:b/>
          <w:sz w:val="24"/>
          <w:szCs w:val="24"/>
          <w:u w:val="single"/>
          <w:lang w:eastAsia="bg-BG"/>
        </w:rPr>
        <w:t>MPS тип IV (синдром на Morquio)</w:t>
      </w:r>
      <w:r w:rsidRPr="00AE47C6">
        <w:rPr>
          <w:rFonts w:ascii="Times New Roman" w:eastAsia="SimSun" w:hAnsi="Times New Roman"/>
          <w:sz w:val="24"/>
          <w:szCs w:val="24"/>
          <w:lang w:eastAsia="bg-BG"/>
        </w:rPr>
        <w:t xml:space="preserve"> се причинява от 2 ензимни дефицита (</w:t>
      </w:r>
      <w:hyperlink r:id="rId34" w:tgtFrame="table" w:history="1">
        <w:r w:rsidRPr="00AE47C6">
          <w:rPr>
            <w:rFonts w:ascii="Times New Roman" w:eastAsia="SimSun" w:hAnsi="Times New Roman"/>
            <w:iCs/>
            <w:sz w:val="24"/>
            <w:szCs w:val="24"/>
            <w:lang w:eastAsia="bg-BG"/>
          </w:rPr>
          <w:t>Таблица</w:t>
        </w:r>
      </w:hyperlink>
      <w:r w:rsidRPr="00AE47C6">
        <w:rPr>
          <w:rFonts w:ascii="Times New Roman" w:eastAsia="SimSun" w:hAnsi="Times New Roman"/>
          <w:iCs/>
          <w:sz w:val="24"/>
          <w:szCs w:val="24"/>
          <w:lang w:eastAsia="bg-BG"/>
        </w:rPr>
        <w:t xml:space="preserve"> 2</w:t>
      </w:r>
      <w:r w:rsidRPr="00AE47C6">
        <w:rPr>
          <w:rFonts w:ascii="Times New Roman" w:eastAsia="SimSun" w:hAnsi="Times New Roman"/>
          <w:sz w:val="24"/>
          <w:szCs w:val="24"/>
          <w:lang w:eastAsia="bg-BG"/>
        </w:rPr>
        <w:t xml:space="preserve">) и се характеризира основно скелетни дисплазии - нисък ръст, pectus carinatum, деформация на предмишницата, </w:t>
      </w:r>
      <w:r w:rsidRPr="00AE47C6">
        <w:rPr>
          <w:rFonts w:ascii="Times New Roman" w:eastAsia="SimSun" w:hAnsi="Times New Roman"/>
          <w:sz w:val="24"/>
          <w:szCs w:val="24"/>
        </w:rPr>
        <w:t xml:space="preserve">genu valgum, сколиоза, </w:t>
      </w:r>
      <w:r w:rsidRPr="00AE47C6">
        <w:rPr>
          <w:rFonts w:ascii="Times New Roman" w:eastAsia="SimSun" w:hAnsi="Times New Roman"/>
          <w:sz w:val="24"/>
          <w:szCs w:val="24"/>
          <w:lang w:eastAsia="bg-BG"/>
        </w:rPr>
        <w:t>тазобедрена</w:t>
      </w:r>
      <w:r w:rsidRPr="00AE47C6">
        <w:rPr>
          <w:rFonts w:ascii="Times New Roman" w:eastAsia="SimSun" w:hAnsi="Times New Roman"/>
          <w:sz w:val="24"/>
          <w:szCs w:val="24"/>
          <w:shd w:val="clear" w:color="auto" w:fill="F8F9FA"/>
        </w:rPr>
        <w:t xml:space="preserve"> дисплазия</w:t>
      </w:r>
      <w:r w:rsidRPr="00AE47C6">
        <w:rPr>
          <w:rFonts w:ascii="Times New Roman" w:eastAsia="SimSun" w:hAnsi="Times New Roman"/>
          <w:sz w:val="24"/>
          <w:szCs w:val="24"/>
        </w:rPr>
        <w:t xml:space="preserve">, атлантоокципитална нестабилност, </w:t>
      </w:r>
      <w:r w:rsidRPr="00AE47C6">
        <w:rPr>
          <w:rFonts w:ascii="Times New Roman" w:eastAsia="SimSun" w:hAnsi="Times New Roman"/>
          <w:sz w:val="24"/>
          <w:szCs w:val="24"/>
          <w:lang w:eastAsia="bg-BG"/>
        </w:rPr>
        <w:t xml:space="preserve">зъбни абнормности. Нескелетните изяви са </w:t>
      </w:r>
      <w:r w:rsidRPr="00AE47C6">
        <w:rPr>
          <w:rFonts w:ascii="Times New Roman" w:eastAsia="SimSun" w:hAnsi="Times New Roman"/>
          <w:sz w:val="24"/>
          <w:szCs w:val="24"/>
          <w:shd w:val="clear" w:color="auto" w:fill="F8F9FA"/>
        </w:rPr>
        <w:t>помътняване на роговицата</w:t>
      </w:r>
      <w:r w:rsidRPr="00AE47C6">
        <w:rPr>
          <w:rFonts w:ascii="Times New Roman" w:eastAsia="SimSun" w:hAnsi="Times New Roman"/>
          <w:sz w:val="24"/>
          <w:szCs w:val="24"/>
          <w:lang w:eastAsia="bg-BG"/>
        </w:rPr>
        <w:t xml:space="preserve">, загуба на слух, </w:t>
      </w:r>
      <w:r w:rsidRPr="00AE47C6">
        <w:rPr>
          <w:rFonts w:ascii="Times New Roman" w:eastAsia="SimSun" w:hAnsi="Times New Roman"/>
          <w:sz w:val="24"/>
          <w:szCs w:val="24"/>
        </w:rPr>
        <w:t>genu valgum</w:t>
      </w:r>
      <w:r w:rsidRPr="00AE47C6">
        <w:rPr>
          <w:rFonts w:ascii="Times New Roman" w:eastAsia="SimSun" w:hAnsi="Times New Roman"/>
          <w:sz w:val="24"/>
          <w:szCs w:val="24"/>
          <w:lang w:eastAsia="bg-BG"/>
        </w:rPr>
        <w:t xml:space="preserve">, обструктивни или рестриктивни белодробни болести, сърдечна дисфункция. Интелектът е  нормален. </w:t>
      </w:r>
    </w:p>
    <w:p w14:paraId="7728F172"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 xml:space="preserve">Диагностициране. </w:t>
      </w:r>
      <w:r w:rsidRPr="00AE47C6">
        <w:rPr>
          <w:rFonts w:ascii="Times New Roman" w:eastAsia="SimSun" w:hAnsi="Times New Roman"/>
          <w:sz w:val="24"/>
          <w:szCs w:val="24"/>
          <w:lang w:eastAsia="bg-BG"/>
        </w:rPr>
        <w:t>Диагнозата е трудна, тъй като количеството на мукополизахариди в урината, особено при възрастни пациенти може да е нормално. Необходими са ензимните и генетични изследвания, доказващи заболяването. Установяването чрез рентгенография  dysostosis multiplex подкрепя диагнозата.</w:t>
      </w:r>
    </w:p>
    <w:p w14:paraId="78C39F64"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 xml:space="preserve">Лечение: </w:t>
      </w:r>
      <w:r w:rsidRPr="00AE47C6">
        <w:rPr>
          <w:rFonts w:ascii="Times New Roman" w:eastAsia="SimSun" w:hAnsi="Times New Roman"/>
          <w:sz w:val="24"/>
          <w:szCs w:val="24"/>
          <w:lang w:eastAsia="bg-BG"/>
        </w:rPr>
        <w:t>ЕЗТ с Elosulfase</w:t>
      </w:r>
      <w:r w:rsidRPr="00AE47C6">
        <w:rPr>
          <w:rFonts w:ascii="Times New Roman" w:eastAsia="SimSun" w:hAnsi="Times New Roman"/>
          <w:i/>
          <w:sz w:val="24"/>
          <w:szCs w:val="24"/>
          <w:lang w:eastAsia="bg-BG"/>
        </w:rPr>
        <w:t xml:space="preserve"> alfa</w:t>
      </w:r>
      <w:r w:rsidRPr="00AE47C6">
        <w:rPr>
          <w:rFonts w:ascii="Times New Roman" w:eastAsia="SimSun" w:hAnsi="Times New Roman"/>
          <w:sz w:val="24"/>
          <w:szCs w:val="24"/>
          <w:lang w:eastAsia="bg-BG"/>
        </w:rPr>
        <w:t xml:space="preserve"> се прилага при MPS IVA , но не при MPS IVB. Elosulfase alfa редуцира отлагането на keratan sulfate и подобрява теста за 6 минутно ходене (6MWT), леко се подобряват и дихателните функции. Проследяването е от специалисти – генетик, ортопед, оториноларинголог, пулмолог, кардиолог, невролог, стоматолог.   </w:t>
      </w:r>
    </w:p>
    <w:p w14:paraId="03C6BEA3"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bg-BG"/>
        </w:rPr>
      </w:pPr>
      <w:r w:rsidRPr="00AE47C6">
        <w:rPr>
          <w:rFonts w:ascii="Times New Roman" w:eastAsia="SimSun" w:hAnsi="Times New Roman"/>
          <w:b/>
          <w:sz w:val="24"/>
          <w:szCs w:val="24"/>
          <w:u w:val="single"/>
          <w:lang w:eastAsia="bg-BG"/>
        </w:rPr>
        <w:t>MPS VI</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е рядка (заболяемост 0.36 до1.30 на 100,000 живородени). Подобно на MPS I и II се отлага dermatan sulphate, но за разлика от тях метаболизмът на heparan sulphate не е променен. Интелектът най-често е нормален. Клиничните изяви на MPS VI са подобни на MPS I на II  - нисък ръст, лицев дизморфизъм с груби черти, корнеални мътнини, белодробен обструктивен синдром, хепатоспленомегалия, сърдечно-клапни абнормности, ингвинална и умбиликална херния, dysostosis multiplex, ставни контрактури,</w:t>
      </w:r>
      <w:r w:rsidRPr="00AE47C6">
        <w:rPr>
          <w:rFonts w:ascii="Times New Roman" w:eastAsia="SimSun" w:hAnsi="Times New Roman"/>
          <w:sz w:val="24"/>
          <w:szCs w:val="24"/>
        </w:rPr>
        <w:t xml:space="preserve"> </w:t>
      </w:r>
      <w:r w:rsidRPr="00AE47C6">
        <w:rPr>
          <w:rFonts w:ascii="Times New Roman" w:eastAsia="SimSun" w:hAnsi="Times New Roman"/>
          <w:sz w:val="24"/>
          <w:szCs w:val="24"/>
          <w:shd w:val="clear" w:color="auto" w:fill="F8F9FA"/>
        </w:rPr>
        <w:t>тазобедрена дисплазия,</w:t>
      </w:r>
      <w:r w:rsidRPr="00AE47C6">
        <w:rPr>
          <w:rFonts w:ascii="Times New Roman" w:eastAsia="SimSun" w:hAnsi="Times New Roman"/>
          <w:sz w:val="24"/>
          <w:szCs w:val="24"/>
          <w:lang w:eastAsia="bg-BG"/>
        </w:rPr>
        <w:t xml:space="preserve"> синдром на карпалния тунел. </w:t>
      </w:r>
    </w:p>
    <w:p w14:paraId="7A8C17B4" w14:textId="77777777" w:rsidR="00BE0B19" w:rsidRPr="00AE47C6" w:rsidRDefault="00BE0B19" w:rsidP="00BE0B19">
      <w:pPr>
        <w:shd w:val="clear" w:color="auto" w:fill="FFFFFF"/>
        <w:spacing w:after="0" w:line="360" w:lineRule="auto"/>
        <w:ind w:firstLine="720"/>
        <w:jc w:val="both"/>
        <w:rPr>
          <w:rFonts w:ascii="Times New Roman" w:eastAsia="SimSun" w:hAnsi="Times New Roman"/>
          <w:i/>
          <w:sz w:val="24"/>
          <w:szCs w:val="24"/>
          <w:lang w:eastAsia="bg-BG"/>
        </w:rPr>
      </w:pPr>
      <w:r w:rsidRPr="00AE47C6">
        <w:rPr>
          <w:rFonts w:ascii="Times New Roman" w:eastAsia="SimSun" w:hAnsi="Times New Roman"/>
          <w:b/>
          <w:sz w:val="24"/>
          <w:szCs w:val="24"/>
          <w:lang w:eastAsia="bg-BG"/>
        </w:rPr>
        <w:t xml:space="preserve">Диагностициране: </w:t>
      </w:r>
      <w:r w:rsidRPr="00AE47C6">
        <w:rPr>
          <w:rFonts w:ascii="Times New Roman" w:eastAsia="SimSun" w:hAnsi="Times New Roman"/>
          <w:sz w:val="24"/>
          <w:szCs w:val="24"/>
          <w:lang w:eastAsia="bg-BG"/>
        </w:rPr>
        <w:t xml:space="preserve">Доказване на </w:t>
      </w:r>
      <w:r w:rsidRPr="00AE47C6">
        <w:rPr>
          <w:rFonts w:ascii="Times New Roman" w:eastAsia="SimSun" w:hAnsi="Times New Roman"/>
          <w:i/>
          <w:sz w:val="24"/>
          <w:szCs w:val="24"/>
          <w:lang w:eastAsia="bg-BG"/>
        </w:rPr>
        <w:t>повишена секреция на мукополизахариди в урината, ниска стойност на ензимната активност на арилсулфатаза В в урината и генетично доказване на мутация/ патологичен вариант</w:t>
      </w:r>
      <w:r w:rsidRPr="00AE47C6">
        <w:rPr>
          <w:rFonts w:ascii="Times New Roman" w:eastAsia="SimSun" w:hAnsi="Times New Roman"/>
          <w:b/>
          <w:i/>
          <w:sz w:val="24"/>
          <w:szCs w:val="24"/>
          <w:lang w:eastAsia="bg-BG"/>
        </w:rPr>
        <w:t xml:space="preserve"> </w:t>
      </w:r>
      <w:r w:rsidRPr="00AE47C6">
        <w:rPr>
          <w:rFonts w:ascii="Times New Roman" w:eastAsia="SimSun" w:hAnsi="Times New Roman"/>
          <w:i/>
          <w:sz w:val="24"/>
          <w:szCs w:val="24"/>
          <w:lang w:eastAsia="bg-BG"/>
        </w:rPr>
        <w:t xml:space="preserve">в </w:t>
      </w:r>
      <w:r w:rsidRPr="00AE47C6">
        <w:rPr>
          <w:rFonts w:ascii="Times New Roman" w:eastAsia="SimSun" w:hAnsi="Times New Roman"/>
          <w:i/>
          <w:iCs/>
          <w:sz w:val="24"/>
          <w:szCs w:val="24"/>
          <w:lang w:eastAsia="bg-BG"/>
        </w:rPr>
        <w:t>ARSB гена</w:t>
      </w:r>
      <w:r w:rsidRPr="00AE47C6">
        <w:rPr>
          <w:rFonts w:ascii="Times New Roman" w:eastAsia="SimSun" w:hAnsi="Times New Roman"/>
          <w:i/>
          <w:sz w:val="24"/>
          <w:szCs w:val="24"/>
          <w:lang w:eastAsia="bg-BG"/>
        </w:rPr>
        <w:t xml:space="preserve">. </w:t>
      </w:r>
    </w:p>
    <w:p w14:paraId="6B763FD6"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 xml:space="preserve">Лечение: </w:t>
      </w:r>
      <w:r w:rsidRPr="00AE47C6">
        <w:rPr>
          <w:rFonts w:ascii="Times New Roman" w:eastAsia="SimSun" w:hAnsi="Times New Roman"/>
          <w:sz w:val="24"/>
          <w:szCs w:val="24"/>
          <w:lang w:eastAsia="bg-BG"/>
        </w:rPr>
        <w:t xml:space="preserve">ERT за MPS VI е с </w:t>
      </w:r>
      <w:r w:rsidRPr="00AE47C6">
        <w:rPr>
          <w:rFonts w:ascii="Times New Roman" w:eastAsia="SimSun" w:hAnsi="Times New Roman"/>
          <w:i/>
          <w:sz w:val="24"/>
          <w:szCs w:val="24"/>
          <w:lang w:eastAsia="bg-BG"/>
        </w:rPr>
        <w:t>Galsulfase</w:t>
      </w:r>
      <w:r w:rsidRPr="00AE47C6">
        <w:rPr>
          <w:rFonts w:ascii="Times New Roman" w:eastAsia="SimSun" w:hAnsi="Times New Roman"/>
          <w:sz w:val="24"/>
          <w:szCs w:val="24"/>
          <w:lang w:eastAsia="bg-BG"/>
        </w:rPr>
        <w:t xml:space="preserve"> , която подобрява растежа, редуцира сърдечната хипертрофия, забавя прогресията на сърдечно-клапните промени и ставните нарушения, като лечението трябва да започне максимално рано. </w:t>
      </w:r>
    </w:p>
    <w:p w14:paraId="327BE0DD" w14:textId="77777777" w:rsidR="00BE0B19" w:rsidRPr="00AE47C6" w:rsidRDefault="00BE0B19" w:rsidP="00BE0B19">
      <w:pPr>
        <w:shd w:val="clear" w:color="auto" w:fill="FFFFFF"/>
        <w:spacing w:after="0" w:line="360" w:lineRule="auto"/>
        <w:ind w:firstLine="720"/>
        <w:jc w:val="both"/>
        <w:rPr>
          <w:rFonts w:ascii="Times New Roman" w:eastAsia="SimSun" w:hAnsi="Times New Roman"/>
          <w:b/>
          <w:sz w:val="24"/>
          <w:szCs w:val="24"/>
          <w:lang w:eastAsia="bg-BG"/>
        </w:rPr>
      </w:pPr>
      <w:r w:rsidRPr="00AE47C6">
        <w:rPr>
          <w:rFonts w:ascii="Times New Roman" w:eastAsia="SimSun" w:hAnsi="Times New Roman"/>
          <w:b/>
          <w:sz w:val="24"/>
          <w:szCs w:val="24"/>
          <w:lang w:eastAsia="bg-BG"/>
        </w:rPr>
        <w:t xml:space="preserve">MPS VII е много рядка </w:t>
      </w:r>
      <w:r w:rsidRPr="00AE47C6">
        <w:rPr>
          <w:rFonts w:ascii="Times New Roman" w:eastAsia="SimSun" w:hAnsi="Times New Roman"/>
          <w:sz w:val="24"/>
          <w:szCs w:val="24"/>
          <w:lang w:eastAsia="bg-BG"/>
        </w:rPr>
        <w:t xml:space="preserve">(0.05–0.29 на 100,000 новородени). При 40–45% от пациентите с MPS VII има </w:t>
      </w:r>
      <w:r w:rsidRPr="00AE47C6">
        <w:rPr>
          <w:rFonts w:ascii="Times New Roman" w:eastAsia="SimSun" w:hAnsi="Times New Roman"/>
          <w:i/>
          <w:sz w:val="24"/>
          <w:szCs w:val="24"/>
          <w:lang w:eastAsia="bg-BG"/>
        </w:rPr>
        <w:t>неимунен фетален хидропс</w:t>
      </w:r>
      <w:r w:rsidRPr="00AE47C6">
        <w:rPr>
          <w:rFonts w:ascii="Times New Roman" w:eastAsia="SimSun" w:hAnsi="Times New Roman"/>
          <w:sz w:val="24"/>
          <w:szCs w:val="24"/>
          <w:lang w:eastAsia="bg-BG"/>
        </w:rPr>
        <w:t xml:space="preserve">, който се среща рядко при другите MPS и затова наличието му насочва към MPS VII. Впоследствие водещи са </w:t>
      </w:r>
      <w:r w:rsidRPr="00AE47C6">
        <w:rPr>
          <w:rFonts w:ascii="Times New Roman" w:eastAsia="SimSun" w:hAnsi="Times New Roman"/>
          <w:i/>
          <w:sz w:val="24"/>
          <w:szCs w:val="24"/>
          <w:lang w:eastAsia="bg-BG"/>
        </w:rPr>
        <w:t>умствената изостаналост</w:t>
      </w:r>
      <w:r w:rsidRPr="00AE47C6">
        <w:rPr>
          <w:rFonts w:ascii="Times New Roman" w:eastAsia="SimSun" w:hAnsi="Times New Roman"/>
          <w:sz w:val="24"/>
          <w:szCs w:val="24"/>
          <w:lang w:eastAsia="bg-BG"/>
        </w:rPr>
        <w:t xml:space="preserve"> (86%), </w:t>
      </w:r>
      <w:r w:rsidRPr="00AE47C6">
        <w:rPr>
          <w:rFonts w:ascii="Times New Roman" w:eastAsia="SimSun" w:hAnsi="Times New Roman"/>
          <w:i/>
          <w:sz w:val="24"/>
          <w:szCs w:val="24"/>
          <w:lang w:eastAsia="bg-BG"/>
        </w:rPr>
        <w:t>грубите черти на лицето</w:t>
      </w:r>
      <w:r w:rsidRPr="00AE47C6">
        <w:rPr>
          <w:rFonts w:ascii="Times New Roman" w:eastAsia="SimSun" w:hAnsi="Times New Roman"/>
          <w:sz w:val="24"/>
          <w:szCs w:val="24"/>
          <w:lang w:eastAsia="bg-BG"/>
        </w:rPr>
        <w:t xml:space="preserve"> (87%), dysostosis multiplex (90%), ставни контрактури (84%), хепатоспленомегалия (75%), сколиоза (69%), корнеални помътняване (63%), обструктивно белодробно заболяване (44%), сърдечно клапно заболяване (50%) и кардиомиопатия (37%). Диагностицирането на MPS VII се извършва с доказване на повишено излъчване на мукополизахариди в урината, измерване на  ензимната активност на β-glucuronidase в кръв и генетично изследване. Лечението с ЕЗТ с</w:t>
      </w:r>
      <w:r w:rsidRPr="00AE47C6">
        <w:rPr>
          <w:rFonts w:ascii="Times New Roman" w:eastAsia="SimSun" w:hAnsi="Times New Roman"/>
          <w:sz w:val="24"/>
          <w:szCs w:val="24"/>
          <w:shd w:val="clear" w:color="auto" w:fill="FFFFFF"/>
        </w:rPr>
        <w:t xml:space="preserve"> интравенозно приложение на </w:t>
      </w:r>
      <w:r w:rsidRPr="00AE47C6">
        <w:rPr>
          <w:rFonts w:ascii="Times New Roman" w:eastAsia="SimSun" w:hAnsi="Times New Roman"/>
          <w:i/>
          <w:sz w:val="24"/>
          <w:szCs w:val="24"/>
          <w:shd w:val="clear" w:color="auto" w:fill="FFFFFF"/>
        </w:rPr>
        <w:t>vestronidase alfa</w:t>
      </w:r>
      <w:r w:rsidRPr="00AE47C6">
        <w:rPr>
          <w:rFonts w:ascii="Times New Roman" w:eastAsia="SimSun" w:hAnsi="Times New Roman"/>
          <w:sz w:val="24"/>
          <w:szCs w:val="24"/>
          <w:shd w:val="clear" w:color="auto" w:fill="FFFFFF"/>
        </w:rPr>
        <w:t xml:space="preserve">, рекомбинантна форма на β-glucuronidase, с доказан ефект върху двигателната активност с подобряване </w:t>
      </w:r>
      <w:r w:rsidRPr="00AE47C6">
        <w:rPr>
          <w:rFonts w:ascii="Times New Roman" w:eastAsia="SimSun" w:hAnsi="Times New Roman"/>
          <w:sz w:val="24"/>
          <w:szCs w:val="24"/>
          <w:lang w:eastAsia="bg-BG"/>
        </w:rPr>
        <w:t>6MWT</w:t>
      </w:r>
      <w:r w:rsidRPr="00AE47C6">
        <w:rPr>
          <w:rFonts w:ascii="Times New Roman" w:eastAsia="SimSun" w:hAnsi="Times New Roman"/>
          <w:sz w:val="24"/>
          <w:szCs w:val="24"/>
          <w:shd w:val="clear" w:color="auto" w:fill="FFFFFF"/>
        </w:rPr>
        <w:t xml:space="preserve">, фините движения и умората. </w:t>
      </w:r>
    </w:p>
    <w:p w14:paraId="556E5C52"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29" w:name="_Toc155651763"/>
      <w:bookmarkStart w:id="130" w:name="_Toc164075895"/>
      <w:r w:rsidRPr="00AE47C6">
        <w:rPr>
          <w:rFonts w:ascii="Times New Roman" w:eastAsia="SimSun" w:hAnsi="Times New Roman"/>
          <w:b/>
          <w:sz w:val="24"/>
          <w:szCs w:val="20"/>
          <w:lang w:eastAsia="ja-JP"/>
        </w:rPr>
        <w:t>5.1.2. Муколипидози и олигозахаридози.</w:t>
      </w:r>
      <w:bookmarkEnd w:id="129"/>
      <w:bookmarkEnd w:id="130"/>
      <w:r w:rsidRPr="00AE47C6">
        <w:rPr>
          <w:rFonts w:ascii="Times New Roman" w:eastAsia="SimSun" w:hAnsi="Times New Roman"/>
          <w:b/>
          <w:sz w:val="24"/>
          <w:szCs w:val="20"/>
          <w:lang w:eastAsia="ja-JP"/>
        </w:rPr>
        <w:t xml:space="preserve"> </w:t>
      </w:r>
    </w:p>
    <w:p w14:paraId="05D88E0F" w14:textId="77777777" w:rsidR="00BE0B19" w:rsidRPr="00AE47C6" w:rsidRDefault="00BE0B19" w:rsidP="00BE0B19">
      <w:pPr>
        <w:shd w:val="clear" w:color="auto" w:fill="FFFFFF"/>
        <w:spacing w:after="0" w:line="360" w:lineRule="auto"/>
        <w:ind w:firstLine="720"/>
        <w:jc w:val="both"/>
        <w:rPr>
          <w:rFonts w:ascii="Times New Roman" w:eastAsia="SimSun" w:hAnsi="Times New Roman"/>
          <w:bCs/>
          <w:sz w:val="24"/>
          <w:szCs w:val="24"/>
          <w:lang w:eastAsia="bg-BG"/>
        </w:rPr>
      </w:pPr>
      <w:r w:rsidRPr="00AE47C6">
        <w:rPr>
          <w:rFonts w:ascii="Times New Roman" w:eastAsia="SimSun" w:hAnsi="Times New Roman"/>
          <w:sz w:val="24"/>
          <w:szCs w:val="24"/>
          <w:lang w:eastAsia="bg-BG"/>
        </w:rPr>
        <w:t xml:space="preserve">Те са относително редки прогресиращи заболявания и приличат на MPS поради забавеното развитие, органомегалията и dysostosis multiplex. </w:t>
      </w:r>
      <w:r w:rsidRPr="00AE47C6">
        <w:rPr>
          <w:rFonts w:ascii="Times New Roman" w:eastAsia="SimSun" w:hAnsi="Times New Roman"/>
          <w:bCs/>
          <w:sz w:val="24"/>
          <w:szCs w:val="24"/>
          <w:lang w:eastAsia="bg-BG"/>
        </w:rPr>
        <w:t>(Таблица 5.3)</w:t>
      </w:r>
    </w:p>
    <w:p w14:paraId="5FCE87E0"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bg-BG"/>
        </w:rPr>
      </w:pPr>
    </w:p>
    <w:p w14:paraId="113F7F95" w14:textId="77777777" w:rsidR="00BE0B19" w:rsidRPr="00AE47C6" w:rsidRDefault="00BE0B19" w:rsidP="00BE0B19">
      <w:pPr>
        <w:tabs>
          <w:tab w:val="left" w:pos="720"/>
        </w:tabs>
        <w:suppressAutoHyphens/>
        <w:spacing w:after="0" w:line="360" w:lineRule="auto"/>
        <w:ind w:firstLine="142"/>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Таблица 5.3.</w:t>
      </w:r>
      <w:r w:rsidRPr="00AE47C6">
        <w:rPr>
          <w:rFonts w:ascii="Times New Roman" w:eastAsia="SimSun" w:hAnsi="Times New Roman"/>
          <w:sz w:val="24"/>
          <w:szCs w:val="24"/>
          <w:lang w:eastAsia="bg-BG"/>
        </w:rPr>
        <w:t xml:space="preserve"> Муколипидози и олигозахаридози - установени гени и ензимен дефицит </w:t>
      </w:r>
    </w:p>
    <w:tbl>
      <w:tblPr>
        <w:tblStyle w:val="TableGrid2"/>
        <w:tblW w:w="0" w:type="auto"/>
        <w:tblLook w:val="04A0" w:firstRow="1" w:lastRow="0" w:firstColumn="1" w:lastColumn="0" w:noHBand="0" w:noVBand="1"/>
      </w:tblPr>
      <w:tblGrid>
        <w:gridCol w:w="3020"/>
        <w:gridCol w:w="1936"/>
        <w:gridCol w:w="4104"/>
      </w:tblGrid>
      <w:tr w:rsidR="00BE0B19" w:rsidRPr="00AE47C6" w14:paraId="049D1BBB" w14:textId="77777777" w:rsidTr="00AD72E5">
        <w:trPr>
          <w:trHeight w:val="348"/>
        </w:trPr>
        <w:tc>
          <w:tcPr>
            <w:tcW w:w="3020" w:type="dxa"/>
          </w:tcPr>
          <w:p w14:paraId="4C0E3D7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Болест</w:t>
            </w:r>
          </w:p>
        </w:tc>
        <w:tc>
          <w:tcPr>
            <w:tcW w:w="1937" w:type="dxa"/>
          </w:tcPr>
          <w:p w14:paraId="5959AD6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Ген</w:t>
            </w:r>
          </w:p>
        </w:tc>
        <w:tc>
          <w:tcPr>
            <w:tcW w:w="4105" w:type="dxa"/>
          </w:tcPr>
          <w:p w14:paraId="605DAC0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Ензимен дефицит</w:t>
            </w:r>
          </w:p>
        </w:tc>
      </w:tr>
      <w:tr w:rsidR="00BE0B19" w:rsidRPr="00AE47C6" w14:paraId="7A2DB9BD" w14:textId="77777777" w:rsidTr="00AD72E5">
        <w:tc>
          <w:tcPr>
            <w:tcW w:w="3020" w:type="dxa"/>
          </w:tcPr>
          <w:p w14:paraId="1A3D753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Mucolipidosis I (Sialidosis)</w:t>
            </w:r>
          </w:p>
        </w:tc>
        <w:tc>
          <w:tcPr>
            <w:tcW w:w="1937" w:type="dxa"/>
          </w:tcPr>
          <w:p w14:paraId="42C716E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NEU1</w:t>
            </w:r>
          </w:p>
        </w:tc>
        <w:tc>
          <w:tcPr>
            <w:tcW w:w="4105" w:type="dxa"/>
          </w:tcPr>
          <w:p w14:paraId="6AC7484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α-neuraminidase</w:t>
            </w:r>
          </w:p>
        </w:tc>
      </w:tr>
      <w:tr w:rsidR="00BE0B19" w:rsidRPr="00AE47C6" w14:paraId="622E4298" w14:textId="77777777" w:rsidTr="00AD72E5">
        <w:tc>
          <w:tcPr>
            <w:tcW w:w="3020" w:type="dxa"/>
          </w:tcPr>
          <w:p w14:paraId="473B8CF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Mucolipidosis II/III</w:t>
            </w:r>
          </w:p>
        </w:tc>
        <w:tc>
          <w:tcPr>
            <w:tcW w:w="1937" w:type="dxa"/>
          </w:tcPr>
          <w:p w14:paraId="529B723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GNPTAB, GNPTG</w:t>
            </w:r>
          </w:p>
        </w:tc>
        <w:tc>
          <w:tcPr>
            <w:tcW w:w="4105" w:type="dxa"/>
          </w:tcPr>
          <w:p w14:paraId="307A62D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UDP-N-acetylglucosamine-1-phosphotransferase</w:t>
            </w:r>
          </w:p>
        </w:tc>
      </w:tr>
      <w:tr w:rsidR="00BE0B19" w:rsidRPr="00AE47C6" w14:paraId="4F7E3476" w14:textId="77777777" w:rsidTr="00AD72E5">
        <w:tc>
          <w:tcPr>
            <w:tcW w:w="3020" w:type="dxa"/>
          </w:tcPr>
          <w:p w14:paraId="23BDAA6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Mucolipidosis IV</w:t>
            </w:r>
          </w:p>
        </w:tc>
        <w:tc>
          <w:tcPr>
            <w:tcW w:w="1937" w:type="dxa"/>
          </w:tcPr>
          <w:p w14:paraId="3E3FA59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MCOLN1</w:t>
            </w:r>
          </w:p>
        </w:tc>
        <w:tc>
          <w:tcPr>
            <w:tcW w:w="4105" w:type="dxa"/>
          </w:tcPr>
          <w:p w14:paraId="2AC12A3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Mucolipin-1</w:t>
            </w:r>
          </w:p>
        </w:tc>
      </w:tr>
      <w:tr w:rsidR="00BE0B19" w:rsidRPr="00AE47C6" w14:paraId="5564FFDF" w14:textId="77777777" w:rsidTr="00AD72E5">
        <w:tc>
          <w:tcPr>
            <w:tcW w:w="3020" w:type="dxa"/>
          </w:tcPr>
          <w:p w14:paraId="37AF659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α-mannosidosis</w:t>
            </w:r>
          </w:p>
        </w:tc>
        <w:tc>
          <w:tcPr>
            <w:tcW w:w="1937" w:type="dxa"/>
          </w:tcPr>
          <w:p w14:paraId="5ED919B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MAN2B1</w:t>
            </w:r>
          </w:p>
        </w:tc>
        <w:tc>
          <w:tcPr>
            <w:tcW w:w="4105" w:type="dxa"/>
          </w:tcPr>
          <w:p w14:paraId="49BC3C6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α-mannosidase</w:t>
            </w:r>
          </w:p>
        </w:tc>
      </w:tr>
      <w:tr w:rsidR="00BE0B19" w:rsidRPr="00AE47C6" w14:paraId="0A8EC790" w14:textId="77777777" w:rsidTr="00AD72E5">
        <w:tc>
          <w:tcPr>
            <w:tcW w:w="3020" w:type="dxa"/>
          </w:tcPr>
          <w:p w14:paraId="1EB8F56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β-mannosidosis</w:t>
            </w:r>
          </w:p>
        </w:tc>
        <w:tc>
          <w:tcPr>
            <w:tcW w:w="1937" w:type="dxa"/>
          </w:tcPr>
          <w:p w14:paraId="38ABB07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MANBA</w:t>
            </w:r>
          </w:p>
        </w:tc>
        <w:tc>
          <w:tcPr>
            <w:tcW w:w="4105" w:type="dxa"/>
          </w:tcPr>
          <w:p w14:paraId="2D9D674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β-mannosidase</w:t>
            </w:r>
          </w:p>
        </w:tc>
      </w:tr>
      <w:tr w:rsidR="00BE0B19" w:rsidRPr="00AE47C6" w14:paraId="57BCBB5F" w14:textId="77777777" w:rsidTr="00AD72E5">
        <w:tc>
          <w:tcPr>
            <w:tcW w:w="3020" w:type="dxa"/>
          </w:tcPr>
          <w:p w14:paraId="228A937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Fucosidosis</w:t>
            </w:r>
          </w:p>
        </w:tc>
        <w:tc>
          <w:tcPr>
            <w:tcW w:w="1937" w:type="dxa"/>
          </w:tcPr>
          <w:p w14:paraId="3947FFE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FUCA1</w:t>
            </w:r>
          </w:p>
        </w:tc>
        <w:tc>
          <w:tcPr>
            <w:tcW w:w="4105" w:type="dxa"/>
          </w:tcPr>
          <w:p w14:paraId="1A30A87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Fucosidase</w:t>
            </w:r>
          </w:p>
        </w:tc>
      </w:tr>
      <w:tr w:rsidR="00BE0B19" w:rsidRPr="00AE47C6" w14:paraId="552A8227" w14:textId="77777777" w:rsidTr="00AD72E5">
        <w:tc>
          <w:tcPr>
            <w:tcW w:w="3020" w:type="dxa"/>
          </w:tcPr>
          <w:p w14:paraId="7E6CFDE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Galactosialidosis</w:t>
            </w:r>
          </w:p>
        </w:tc>
        <w:tc>
          <w:tcPr>
            <w:tcW w:w="1937" w:type="dxa"/>
          </w:tcPr>
          <w:p w14:paraId="36568C2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CTSA</w:t>
            </w:r>
          </w:p>
        </w:tc>
        <w:tc>
          <w:tcPr>
            <w:tcW w:w="4105" w:type="dxa"/>
          </w:tcPr>
          <w:p w14:paraId="314C3F7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Cathepsin A</w:t>
            </w:r>
          </w:p>
        </w:tc>
      </w:tr>
      <w:tr w:rsidR="00BE0B19" w:rsidRPr="00AE47C6" w14:paraId="35DEC762" w14:textId="77777777" w:rsidTr="00AD72E5">
        <w:tc>
          <w:tcPr>
            <w:tcW w:w="3020" w:type="dxa"/>
          </w:tcPr>
          <w:p w14:paraId="5AD0038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Salla disease</w:t>
            </w:r>
          </w:p>
        </w:tc>
        <w:tc>
          <w:tcPr>
            <w:tcW w:w="1937" w:type="dxa"/>
          </w:tcPr>
          <w:p w14:paraId="792471C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SLC17A5</w:t>
            </w:r>
          </w:p>
        </w:tc>
        <w:tc>
          <w:tcPr>
            <w:tcW w:w="4105" w:type="dxa"/>
          </w:tcPr>
          <w:p w14:paraId="062E361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Sialin</w:t>
            </w:r>
          </w:p>
        </w:tc>
      </w:tr>
      <w:tr w:rsidR="00BE0B19" w:rsidRPr="00AE47C6" w14:paraId="61AE18CB" w14:textId="77777777" w:rsidTr="00AD72E5">
        <w:tc>
          <w:tcPr>
            <w:tcW w:w="3020" w:type="dxa"/>
          </w:tcPr>
          <w:p w14:paraId="3E93D41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Infantile sialic acid storage disease</w:t>
            </w:r>
          </w:p>
        </w:tc>
        <w:tc>
          <w:tcPr>
            <w:tcW w:w="1937" w:type="dxa"/>
          </w:tcPr>
          <w:p w14:paraId="483B655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SLC17A5</w:t>
            </w:r>
          </w:p>
        </w:tc>
        <w:tc>
          <w:tcPr>
            <w:tcW w:w="4105" w:type="dxa"/>
          </w:tcPr>
          <w:p w14:paraId="29ACB52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Sialin</w:t>
            </w:r>
          </w:p>
        </w:tc>
      </w:tr>
      <w:tr w:rsidR="00BE0B19" w:rsidRPr="00AE47C6" w14:paraId="74D3F8ED" w14:textId="77777777" w:rsidTr="00AD72E5">
        <w:tc>
          <w:tcPr>
            <w:tcW w:w="3020" w:type="dxa"/>
          </w:tcPr>
          <w:p w14:paraId="6EFA011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Aspartylglucosaminuria</w:t>
            </w:r>
          </w:p>
        </w:tc>
        <w:tc>
          <w:tcPr>
            <w:tcW w:w="1937" w:type="dxa"/>
          </w:tcPr>
          <w:p w14:paraId="08094F1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AGA</w:t>
            </w:r>
          </w:p>
        </w:tc>
        <w:tc>
          <w:tcPr>
            <w:tcW w:w="4105" w:type="dxa"/>
          </w:tcPr>
          <w:p w14:paraId="682BD69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Aspartylglucosaminidase</w:t>
            </w:r>
          </w:p>
        </w:tc>
      </w:tr>
      <w:tr w:rsidR="00BE0B19" w:rsidRPr="00AE47C6" w14:paraId="6940C7F8" w14:textId="77777777" w:rsidTr="00AD72E5">
        <w:tc>
          <w:tcPr>
            <w:tcW w:w="3020" w:type="dxa"/>
          </w:tcPr>
          <w:p w14:paraId="0301A46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Schindler disease</w:t>
            </w:r>
          </w:p>
        </w:tc>
        <w:tc>
          <w:tcPr>
            <w:tcW w:w="1937" w:type="dxa"/>
          </w:tcPr>
          <w:p w14:paraId="710C79C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NAGA</w:t>
            </w:r>
          </w:p>
        </w:tc>
        <w:tc>
          <w:tcPr>
            <w:tcW w:w="4105" w:type="dxa"/>
          </w:tcPr>
          <w:p w14:paraId="06A7AA6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α-N-acetylgalactosaminidase</w:t>
            </w:r>
          </w:p>
        </w:tc>
      </w:tr>
    </w:tbl>
    <w:p w14:paraId="754468C8" w14:textId="77777777" w:rsidR="00BE0B19" w:rsidRPr="00AE47C6" w:rsidRDefault="00BE0B19" w:rsidP="00BE0B19">
      <w:pPr>
        <w:shd w:val="clear" w:color="auto" w:fill="FFFFFF"/>
        <w:spacing w:after="0" w:line="360" w:lineRule="auto"/>
        <w:rPr>
          <w:rFonts w:ascii="Times New Roman" w:eastAsia="SimSun" w:hAnsi="Times New Roman"/>
          <w:bCs/>
          <w:sz w:val="24"/>
          <w:szCs w:val="24"/>
        </w:rPr>
      </w:pPr>
    </w:p>
    <w:p w14:paraId="5C74ABE1"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bg-BG"/>
        </w:rPr>
      </w:pPr>
      <w:r w:rsidRPr="00AE47C6">
        <w:rPr>
          <w:rFonts w:ascii="Times New Roman" w:eastAsia="SimSun" w:hAnsi="Times New Roman"/>
          <w:b/>
          <w:bCs/>
          <w:sz w:val="24"/>
          <w:szCs w:val="24"/>
        </w:rPr>
        <w:t>Сиалидозите Тип 1 и Тип 2</w:t>
      </w:r>
      <w:r w:rsidRPr="00AE47C6">
        <w:rPr>
          <w:rFonts w:ascii="Times New Roman" w:eastAsia="SimSun" w:hAnsi="Times New Roman"/>
          <w:bCs/>
          <w:sz w:val="24"/>
          <w:szCs w:val="24"/>
        </w:rPr>
        <w:t xml:space="preserve"> (известна и като </w:t>
      </w:r>
      <w:hyperlink r:id="rId35" w:tooltip="Learn more about Mucolipidosis from ScienceDirect's AI-generated Topic Pages" w:history="1">
        <w:r w:rsidRPr="00AE47C6">
          <w:rPr>
            <w:rFonts w:ascii="Times New Roman" w:eastAsia="SimSun" w:hAnsi="Times New Roman"/>
            <w:sz w:val="24"/>
            <w:szCs w:val="24"/>
            <w:u w:val="single"/>
          </w:rPr>
          <w:t>муколипидоза</w:t>
        </w:r>
      </w:hyperlink>
      <w:r w:rsidRPr="00AE47C6">
        <w:rPr>
          <w:rFonts w:ascii="Times New Roman" w:eastAsia="SimSun" w:hAnsi="Times New Roman"/>
          <w:sz w:val="24"/>
          <w:szCs w:val="24"/>
        </w:rPr>
        <w:t xml:space="preserve"> I)</w:t>
      </w:r>
      <w:r w:rsidRPr="00AE47C6">
        <w:rPr>
          <w:rFonts w:ascii="Times New Roman" w:eastAsia="SimSun" w:hAnsi="Times New Roman"/>
          <w:bCs/>
          <w:sz w:val="24"/>
          <w:szCs w:val="24"/>
        </w:rPr>
        <w:t xml:space="preserve"> се обуславят от мутация </w:t>
      </w:r>
      <w:r w:rsidRPr="00AE47C6">
        <w:rPr>
          <w:rFonts w:ascii="Times New Roman" w:eastAsia="SimSun" w:hAnsi="Times New Roman"/>
          <w:i/>
          <w:sz w:val="24"/>
          <w:szCs w:val="24"/>
          <w:shd w:val="clear" w:color="auto" w:fill="FFFFFF"/>
        </w:rPr>
        <w:t xml:space="preserve">NEU1 </w:t>
      </w:r>
      <w:r w:rsidRPr="00AE47C6">
        <w:rPr>
          <w:rFonts w:ascii="Times New Roman" w:eastAsia="SimSun" w:hAnsi="Times New Roman"/>
          <w:sz w:val="24"/>
          <w:szCs w:val="24"/>
          <w:shd w:val="clear" w:color="auto" w:fill="FFFFFF"/>
        </w:rPr>
        <w:t>гена в 6p21.33,</w:t>
      </w:r>
      <w:r w:rsidRPr="00AE47C6">
        <w:rPr>
          <w:rFonts w:ascii="Times New Roman" w:eastAsia="SimSun" w:hAnsi="Times New Roman"/>
          <w:bCs/>
          <w:sz w:val="24"/>
          <w:szCs w:val="24"/>
        </w:rPr>
        <w:t xml:space="preserve"> причиняващ дефицит на </w:t>
      </w:r>
      <w:r w:rsidRPr="00AE47C6">
        <w:rPr>
          <w:rFonts w:ascii="Times New Roman" w:eastAsia="SimSun" w:hAnsi="Times New Roman"/>
          <w:sz w:val="24"/>
          <w:szCs w:val="24"/>
        </w:rPr>
        <w:t xml:space="preserve">alpha-neuraminidase и </w:t>
      </w:r>
      <w:hyperlink r:id="rId36" w:tooltip="Learn more about Beta-Galactosidase from ScienceDirect's AI-generated Topic Pages" w:history="1">
        <w:r w:rsidRPr="00AE47C6">
          <w:rPr>
            <w:rFonts w:ascii="Times New Roman" w:eastAsia="SimSun" w:hAnsi="Times New Roman"/>
            <w:sz w:val="24"/>
            <w:szCs w:val="24"/>
            <w:u w:val="single"/>
          </w:rPr>
          <w:t>beta-galactosidase</w:t>
        </w:r>
      </w:hyperlink>
      <w:r w:rsidRPr="00AE47C6">
        <w:rPr>
          <w:rFonts w:ascii="Times New Roman" w:eastAsia="SimSun" w:hAnsi="Times New Roman"/>
          <w:bCs/>
          <w:sz w:val="24"/>
          <w:szCs w:val="24"/>
        </w:rPr>
        <w:t>, вътреклетъчно натрупване на сиалоолигозахариди, както и висока екскреция на сиалоолигозахариди в урината.</w:t>
      </w:r>
      <w:r w:rsidRPr="00AE47C6">
        <w:rPr>
          <w:rFonts w:ascii="Times New Roman" w:eastAsia="SimSun" w:hAnsi="Times New Roman"/>
          <w:sz w:val="24"/>
          <w:szCs w:val="24"/>
          <w:shd w:val="clear" w:color="auto" w:fill="FFFFFF"/>
        </w:rPr>
        <w:t xml:space="preserve"> Известни са над 40 мутации в </w:t>
      </w:r>
      <w:r w:rsidRPr="00AE47C6">
        <w:rPr>
          <w:rFonts w:ascii="Times New Roman" w:eastAsia="SimSun" w:hAnsi="Times New Roman"/>
          <w:i/>
          <w:sz w:val="24"/>
          <w:szCs w:val="24"/>
          <w:shd w:val="clear" w:color="auto" w:fill="FFFFFF"/>
        </w:rPr>
        <w:t>NEU1</w:t>
      </w:r>
      <w:r w:rsidRPr="00AE47C6">
        <w:rPr>
          <w:rFonts w:ascii="Times New Roman" w:eastAsia="SimSun" w:hAnsi="Times New Roman"/>
          <w:sz w:val="24"/>
          <w:szCs w:val="24"/>
          <w:shd w:val="clear" w:color="auto" w:fill="FFFFFF"/>
        </w:rPr>
        <w:t>.</w:t>
      </w:r>
      <w:r w:rsidRPr="00AE47C6">
        <w:rPr>
          <w:rFonts w:ascii="Times New Roman" w:eastAsia="SimSun" w:hAnsi="Times New Roman"/>
          <w:bCs/>
          <w:sz w:val="24"/>
          <w:szCs w:val="24"/>
        </w:rPr>
        <w:t xml:space="preserve"> Клинично се изявяват </w:t>
      </w:r>
      <w:r w:rsidRPr="00AE47C6">
        <w:rPr>
          <w:rFonts w:ascii="Times New Roman" w:eastAsia="SimSun" w:hAnsi="Times New Roman"/>
          <w:bCs/>
          <w:i/>
          <w:sz w:val="24"/>
          <w:szCs w:val="24"/>
        </w:rPr>
        <w:t>с прогресираща слепота</w:t>
      </w:r>
      <w:r w:rsidRPr="00AE47C6">
        <w:rPr>
          <w:rFonts w:ascii="Times New Roman" w:eastAsia="SimSun" w:hAnsi="Times New Roman"/>
          <w:bCs/>
          <w:sz w:val="24"/>
          <w:szCs w:val="24"/>
        </w:rPr>
        <w:t xml:space="preserve">, характерна </w:t>
      </w:r>
      <w:r w:rsidRPr="00AE47C6">
        <w:rPr>
          <w:rFonts w:ascii="Times New Roman" w:eastAsia="SimSun" w:hAnsi="Times New Roman"/>
          <w:bCs/>
          <w:i/>
          <w:sz w:val="24"/>
          <w:szCs w:val="24"/>
        </w:rPr>
        <w:t xml:space="preserve">ретинна дегенерация тип „черешово петно“, </w:t>
      </w:r>
      <w:r w:rsidRPr="00AE47C6">
        <w:rPr>
          <w:rFonts w:ascii="Times New Roman" w:eastAsia="SimSun" w:hAnsi="Times New Roman"/>
          <w:sz w:val="24"/>
          <w:szCs w:val="24"/>
          <w:lang w:eastAsia="bg-BG"/>
        </w:rPr>
        <w:t>прогресивна</w:t>
      </w:r>
      <w:r w:rsidRPr="00AE47C6">
        <w:rPr>
          <w:rFonts w:ascii="Times New Roman" w:eastAsia="SimSun" w:hAnsi="Times New Roman"/>
          <w:bCs/>
          <w:i/>
          <w:sz w:val="24"/>
          <w:szCs w:val="24"/>
        </w:rPr>
        <w:t xml:space="preserve"> миоклонична епилепсия, атаксия, глухота и интелектуален регрес</w:t>
      </w:r>
      <w:r w:rsidRPr="00AE47C6">
        <w:rPr>
          <w:rFonts w:ascii="Times New Roman" w:eastAsia="SimSun" w:hAnsi="Times New Roman"/>
          <w:bCs/>
          <w:sz w:val="24"/>
          <w:szCs w:val="24"/>
        </w:rPr>
        <w:t xml:space="preserve">. Описани са Сиалидоза Тип 1 с по-късно начало и Сиалидоза а тип 2 - тежка, с ранно начало (вродена, инфантилна форма, юношеска форма) с бързо прогресираща слепота при ретинна дегенерация тип „черешово петно“, прогресивна миоклонична епилепсия, атаксия, глухота, интелектуален регрес. </w:t>
      </w:r>
    </w:p>
    <w:p w14:paraId="02F2ADE2" w14:textId="77777777" w:rsidR="00BE0B19" w:rsidRPr="00AE47C6" w:rsidRDefault="00BE0B19" w:rsidP="00BE0B19">
      <w:pPr>
        <w:shd w:val="clear" w:color="auto" w:fill="FFFFFF"/>
        <w:spacing w:after="0" w:line="360" w:lineRule="auto"/>
        <w:ind w:firstLine="720"/>
        <w:jc w:val="both"/>
        <w:rPr>
          <w:rFonts w:ascii="Times New Roman" w:eastAsia="SimSun" w:hAnsi="Times New Roman"/>
          <w:bCs/>
          <w:iCs/>
          <w:sz w:val="24"/>
          <w:szCs w:val="24"/>
        </w:rPr>
      </w:pPr>
      <w:r w:rsidRPr="00AE47C6">
        <w:rPr>
          <w:rFonts w:ascii="Times New Roman" w:eastAsia="SimSun" w:hAnsi="Times New Roman"/>
          <w:b/>
          <w:bCs/>
          <w:iCs/>
          <w:sz w:val="24"/>
          <w:szCs w:val="24"/>
        </w:rPr>
        <w:t>Болест на Pompе (</w:t>
      </w:r>
      <w:r w:rsidRPr="00AE47C6">
        <w:rPr>
          <w:rFonts w:ascii="Times New Roman" w:eastAsia="SimSun" w:hAnsi="Times New Roman"/>
          <w:bCs/>
          <w:iCs/>
          <w:sz w:val="24"/>
          <w:szCs w:val="24"/>
        </w:rPr>
        <w:t xml:space="preserve">вижте раздел 9. </w:t>
      </w:r>
      <w:r w:rsidRPr="00AE47C6">
        <w:rPr>
          <w:rFonts w:ascii="Times New Roman" w:eastAsia="SimSun" w:hAnsi="Times New Roman"/>
          <w:sz w:val="24"/>
          <w:szCs w:val="24"/>
          <w:lang w:eastAsia="bg-BG"/>
        </w:rPr>
        <w:t>Невромускулни</w:t>
      </w:r>
      <w:r w:rsidRPr="00AE47C6">
        <w:rPr>
          <w:rFonts w:ascii="Times New Roman" w:eastAsia="SimSun" w:hAnsi="Times New Roman"/>
          <w:bCs/>
          <w:iCs/>
          <w:sz w:val="24"/>
          <w:szCs w:val="24"/>
        </w:rPr>
        <w:t xml:space="preserve"> болести - метаболитни миопатии)</w:t>
      </w:r>
    </w:p>
    <w:p w14:paraId="33057418"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p>
    <w:p w14:paraId="73439103"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31" w:name="_Toc155651764"/>
      <w:bookmarkStart w:id="132" w:name="_Toc164075896"/>
      <w:r w:rsidRPr="00AE47C6">
        <w:rPr>
          <w:rFonts w:ascii="Times New Roman" w:eastAsia="SimSun" w:hAnsi="Times New Roman"/>
          <w:b/>
          <w:sz w:val="24"/>
          <w:szCs w:val="20"/>
          <w:lang w:eastAsia="ja-JP"/>
        </w:rPr>
        <w:t>5.1.3. Болести с нарушен метаболизъм на сфинголипидите</w:t>
      </w:r>
      <w:bookmarkEnd w:id="131"/>
      <w:bookmarkEnd w:id="132"/>
    </w:p>
    <w:p w14:paraId="021F1E33"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lang w:eastAsia="bg-BG"/>
        </w:rPr>
      </w:pPr>
      <w:r w:rsidRPr="00AE47C6">
        <w:rPr>
          <w:rFonts w:ascii="Times New Roman" w:eastAsia="SimSun" w:hAnsi="Times New Roman"/>
          <w:b/>
          <w:bCs/>
          <w:sz w:val="24"/>
          <w:szCs w:val="28"/>
          <w:lang w:eastAsia="bg-BG"/>
        </w:rPr>
        <w:t xml:space="preserve">5.1.3.1. Болест на Gaucher. </w:t>
      </w:r>
    </w:p>
    <w:p w14:paraId="7ED6329C"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Най-честата болест с натрупване в лизозомите 1/40,000, но при популацията на евреи Ashkenazi болестността е 1/1,000. Болестта на Gaucher се причинява от мутация в </w:t>
      </w:r>
      <w:r w:rsidRPr="00AE47C6">
        <w:rPr>
          <w:rFonts w:ascii="Times New Roman" w:eastAsia="SimSun" w:hAnsi="Times New Roman"/>
          <w:i/>
          <w:iCs/>
          <w:sz w:val="24"/>
          <w:szCs w:val="24"/>
          <w:lang w:eastAsia="bg-BG"/>
        </w:rPr>
        <w:t>GBA</w:t>
      </w:r>
      <w:r w:rsidRPr="00AE47C6">
        <w:rPr>
          <w:rFonts w:ascii="Times New Roman" w:eastAsia="SimSun" w:hAnsi="Times New Roman"/>
          <w:sz w:val="24"/>
          <w:szCs w:val="24"/>
          <w:lang w:eastAsia="bg-BG"/>
        </w:rPr>
        <w:t xml:space="preserve"> гена и </w:t>
      </w:r>
      <w:r w:rsidRPr="00AE47C6">
        <w:rPr>
          <w:rFonts w:ascii="Times New Roman" w:eastAsia="SimSun" w:hAnsi="Times New Roman"/>
          <w:bCs/>
          <w:sz w:val="24"/>
          <w:szCs w:val="24"/>
        </w:rPr>
        <w:t>ензимен</w:t>
      </w:r>
      <w:r w:rsidRPr="00AE47C6">
        <w:rPr>
          <w:rFonts w:ascii="Times New Roman" w:eastAsia="SimSun" w:hAnsi="Times New Roman"/>
          <w:sz w:val="24"/>
          <w:szCs w:val="24"/>
          <w:lang w:eastAsia="bg-BG"/>
        </w:rPr>
        <w:t xml:space="preserve"> дефицит на glucocerebrosidase. В лизозомите на макрофагите, в ретикулоендотелната система, черния дроб, слезката и костния мозък се натрупва glucosylceramide.</w:t>
      </w:r>
    </w:p>
    <w:p w14:paraId="7A6091B1" w14:textId="77777777" w:rsidR="00BE0B19" w:rsidRPr="00AE47C6" w:rsidRDefault="00BE0B19" w:rsidP="00BE0B19">
      <w:pPr>
        <w:shd w:val="clear" w:color="auto" w:fill="FFFFFF"/>
        <w:spacing w:after="0" w:line="360" w:lineRule="auto"/>
        <w:ind w:firstLine="720"/>
        <w:jc w:val="both"/>
        <w:rPr>
          <w:rFonts w:ascii="Times New Roman" w:eastAsia="SimSun" w:hAnsi="Times New Roman"/>
          <w:i/>
          <w:sz w:val="24"/>
          <w:szCs w:val="24"/>
        </w:rPr>
      </w:pPr>
      <w:r w:rsidRPr="00AE47C6">
        <w:rPr>
          <w:rFonts w:ascii="Times New Roman" w:eastAsia="SimSun" w:hAnsi="Times New Roman"/>
          <w:sz w:val="24"/>
          <w:szCs w:val="24"/>
        </w:rPr>
        <w:t xml:space="preserve">Описани са </w:t>
      </w:r>
      <w:r w:rsidRPr="00AE47C6">
        <w:rPr>
          <w:rFonts w:ascii="Times New Roman" w:eastAsia="SimSun" w:hAnsi="Times New Roman"/>
          <w:b/>
          <w:sz w:val="24"/>
          <w:szCs w:val="24"/>
        </w:rPr>
        <w:t>3 клинични типа</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Болест на Gaucher - тип I (GD1)</w:t>
      </w:r>
      <w:r w:rsidRPr="00AE47C6">
        <w:rPr>
          <w:rFonts w:ascii="Times New Roman" w:eastAsia="SimSun" w:hAnsi="Times New Roman"/>
          <w:sz w:val="24"/>
          <w:szCs w:val="24"/>
        </w:rPr>
        <w:t xml:space="preserve">, при който нервната система не се засяга и е </w:t>
      </w:r>
      <w:r w:rsidRPr="00AE47C6">
        <w:rPr>
          <w:rFonts w:ascii="Times New Roman" w:eastAsia="SimSun" w:hAnsi="Times New Roman"/>
          <w:bCs/>
          <w:sz w:val="24"/>
          <w:szCs w:val="24"/>
        </w:rPr>
        <w:t>характерна</w:t>
      </w:r>
      <w:r w:rsidRPr="00AE47C6">
        <w:rPr>
          <w:rFonts w:ascii="Times New Roman" w:eastAsia="SimSun" w:hAnsi="Times New Roman"/>
          <w:sz w:val="24"/>
          <w:szCs w:val="24"/>
        </w:rPr>
        <w:t xml:space="preserve"> специфичната </w:t>
      </w:r>
      <w:r w:rsidRPr="00AE47C6">
        <w:rPr>
          <w:rFonts w:ascii="Times New Roman" w:eastAsia="SimSun" w:hAnsi="Times New Roman"/>
          <w:i/>
          <w:iCs/>
          <w:sz w:val="24"/>
          <w:szCs w:val="24"/>
        </w:rPr>
        <w:t>GBA</w:t>
      </w:r>
      <w:r w:rsidRPr="00AE47C6">
        <w:rPr>
          <w:rFonts w:ascii="Times New Roman" w:eastAsia="SimSun" w:hAnsi="Times New Roman"/>
          <w:sz w:val="24"/>
          <w:szCs w:val="24"/>
        </w:rPr>
        <w:t xml:space="preserve"> мутация - p.N370S алел при хомозиготно или двойно хетерозиготно носителство; </w:t>
      </w:r>
      <w:r w:rsidRPr="00AE47C6">
        <w:rPr>
          <w:rFonts w:ascii="Times New Roman" w:eastAsia="SimSun" w:hAnsi="Times New Roman"/>
          <w:i/>
          <w:sz w:val="24"/>
          <w:szCs w:val="24"/>
        </w:rPr>
        <w:t>Болест на Gaucher тип II (GD2) и III (GD3)</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 xml:space="preserve">т.нар. „нeвронопатни форми“ с неврологично засягане - </w:t>
      </w:r>
      <w:r w:rsidRPr="00AE47C6">
        <w:rPr>
          <w:rFonts w:ascii="Times New Roman" w:eastAsia="SimSun" w:hAnsi="Times New Roman"/>
          <w:sz w:val="24"/>
          <w:szCs w:val="24"/>
        </w:rPr>
        <w:t>при хомозиготите на p.L444P алел, като тези мутации са чести в популацията на евреи Ashkenazi.</w:t>
      </w:r>
      <w:r w:rsidRPr="00AE47C6">
        <w:rPr>
          <w:rFonts w:ascii="Times New Roman" w:eastAsia="SimSun" w:hAnsi="Times New Roman"/>
          <w:i/>
          <w:sz w:val="24"/>
          <w:szCs w:val="24"/>
        </w:rPr>
        <w:t xml:space="preserve"> </w:t>
      </w:r>
    </w:p>
    <w:p w14:paraId="65C2305B" w14:textId="77777777" w:rsidR="00BE0B19" w:rsidRPr="00AE47C6" w:rsidRDefault="00BE0B19" w:rsidP="00BE0B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b/>
          <w:sz w:val="24"/>
          <w:szCs w:val="24"/>
        </w:rPr>
        <w:t>Болест на Gaucher тип I</w:t>
      </w:r>
      <w:r w:rsidRPr="00AE47C6">
        <w:rPr>
          <w:rFonts w:ascii="Times New Roman" w:eastAsia="SimSun" w:hAnsi="Times New Roman"/>
          <w:sz w:val="24"/>
          <w:szCs w:val="24"/>
        </w:rPr>
        <w:t xml:space="preserve"> (GD1) или </w:t>
      </w:r>
      <w:r w:rsidRPr="00AE47C6">
        <w:rPr>
          <w:rFonts w:ascii="Times New Roman" w:eastAsia="SimSun" w:hAnsi="Times New Roman"/>
          <w:b/>
          <w:sz w:val="24"/>
          <w:szCs w:val="24"/>
        </w:rPr>
        <w:t>„не-невронопатен“ тип</w:t>
      </w:r>
      <w:r w:rsidRPr="00AE47C6">
        <w:rPr>
          <w:rFonts w:ascii="Times New Roman" w:eastAsia="SimSun" w:hAnsi="Times New Roman"/>
          <w:sz w:val="24"/>
          <w:szCs w:val="24"/>
        </w:rPr>
        <w:t xml:space="preserve"> е най-честа (90% от случаите) и протича с хепатоспленомегалия,  тромбоцитопения, анемия, левкопения, болки в костите, нисък ръст. Описват се „костни кризи“ (33%), остеопения (42%), инфилтрации в бедрените кости (40%), аваскуларни некрози (25%), патологични фрактури (15%), литични лезии (8%). Началото на заболяването варира от детска възраст до 70 г.</w:t>
      </w:r>
    </w:p>
    <w:p w14:paraId="65C5F30A" w14:textId="77777777" w:rsidR="00BE0B19" w:rsidRPr="00AE47C6" w:rsidRDefault="00BE0B19" w:rsidP="00BE0B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b/>
          <w:sz w:val="24"/>
          <w:szCs w:val="24"/>
        </w:rPr>
        <w:t xml:space="preserve">Болест на Gaucher тип II </w:t>
      </w:r>
      <w:r w:rsidRPr="00AE47C6">
        <w:rPr>
          <w:rFonts w:ascii="Times New Roman" w:eastAsia="SimSun" w:hAnsi="Times New Roman"/>
          <w:sz w:val="24"/>
          <w:szCs w:val="24"/>
        </w:rPr>
        <w:t xml:space="preserve">(GD2) при </w:t>
      </w:r>
      <w:r w:rsidRPr="00AE47C6">
        <w:rPr>
          <w:rFonts w:ascii="Times New Roman" w:eastAsia="SimSun" w:hAnsi="Times New Roman"/>
          <w:sz w:val="24"/>
          <w:szCs w:val="24"/>
          <w:shd w:val="clear" w:color="auto" w:fill="FFFFFF"/>
        </w:rPr>
        <w:t>хомо- или хетерозиготно носителство на </w:t>
      </w:r>
      <w:r w:rsidRPr="00AE47C6">
        <w:rPr>
          <w:rFonts w:ascii="Times New Roman" w:eastAsia="SimSun" w:hAnsi="Times New Roman"/>
          <w:sz w:val="24"/>
          <w:szCs w:val="24"/>
          <w:u w:val="single"/>
          <w:shd w:val="clear" w:color="auto" w:fill="FFFFFF"/>
        </w:rPr>
        <w:t>алели L444P</w:t>
      </w:r>
      <w:r w:rsidRPr="00AE47C6">
        <w:rPr>
          <w:rFonts w:ascii="Times New Roman" w:eastAsia="SimSun" w:hAnsi="Times New Roman"/>
          <w:sz w:val="24"/>
          <w:szCs w:val="24"/>
        </w:rPr>
        <w:t xml:space="preserve"> се характеризира с тежко изоставане в нервно-психичното развитие, кахексия, спастична квадрипареза, епилептични пристъпи, хоризонтална погледна парализа, опистотонус и фетален хидропс. Преживяемостта е до 2 г. </w:t>
      </w:r>
    </w:p>
    <w:p w14:paraId="7609BA9E" w14:textId="77777777" w:rsidR="00BE0B19" w:rsidRPr="00AE47C6" w:rsidRDefault="00BE0B19" w:rsidP="00BE0B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b/>
          <w:sz w:val="24"/>
          <w:szCs w:val="24"/>
        </w:rPr>
        <w:t xml:space="preserve">Болест на Gaucher тип III </w:t>
      </w:r>
      <w:r w:rsidRPr="00AE47C6">
        <w:rPr>
          <w:rFonts w:ascii="Times New Roman" w:eastAsia="SimSun" w:hAnsi="Times New Roman"/>
          <w:sz w:val="24"/>
          <w:szCs w:val="24"/>
        </w:rPr>
        <w:t xml:space="preserve">(GD3) се изявява с хепатоспленомегалия, анемия, дихателни нарушени, а изяви от ЦНС са епилептични пристъпи, дискоординационен синдром, околомоторна апраксия, eсотропия, глухота, когнитивен регрес. </w:t>
      </w:r>
      <w:r w:rsidRPr="00AE47C6">
        <w:rPr>
          <w:rFonts w:ascii="Times New Roman" w:eastAsia="SimSun" w:hAnsi="Times New Roman"/>
          <w:sz w:val="24"/>
          <w:szCs w:val="24"/>
          <w:shd w:val="clear" w:color="auto" w:fill="FFFFFF"/>
        </w:rPr>
        <w:t>Преживяват над 10 г. до възрастни.</w:t>
      </w:r>
    </w:p>
    <w:p w14:paraId="6E49467E" w14:textId="77777777" w:rsidR="00BE0B19" w:rsidRPr="00AE47C6" w:rsidRDefault="00BE0B19" w:rsidP="00BE0B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lang w:eastAsia="bg-BG"/>
        </w:rPr>
      </w:pPr>
      <w:r w:rsidRPr="00AE47C6">
        <w:rPr>
          <w:rFonts w:ascii="Times New Roman" w:eastAsia="SimSun" w:hAnsi="Times New Roman"/>
          <w:b/>
          <w:sz w:val="24"/>
          <w:szCs w:val="24"/>
          <w:lang w:eastAsia="bg-BG"/>
        </w:rPr>
        <w:t>Диагностициране на болестта на Gaucher:</w:t>
      </w:r>
      <w:r w:rsidRPr="00AE47C6">
        <w:rPr>
          <w:rFonts w:ascii="Times New Roman" w:eastAsia="SimSun" w:hAnsi="Times New Roman"/>
          <w:sz w:val="24"/>
          <w:szCs w:val="24"/>
          <w:lang w:eastAsia="bg-BG"/>
        </w:rPr>
        <w:t xml:space="preserve"> 1. Доказване на снижена ензимната </w:t>
      </w:r>
      <w:r w:rsidRPr="00AE47C6">
        <w:rPr>
          <w:rFonts w:ascii="Times New Roman" w:eastAsia="SimSun" w:hAnsi="Times New Roman"/>
          <w:sz w:val="24"/>
          <w:szCs w:val="24"/>
          <w:shd w:val="clear" w:color="auto" w:fill="FFFFFF"/>
        </w:rPr>
        <w:t>активност</w:t>
      </w:r>
      <w:r w:rsidRPr="00AE47C6">
        <w:rPr>
          <w:rFonts w:ascii="Times New Roman" w:eastAsia="SimSun" w:hAnsi="Times New Roman"/>
          <w:sz w:val="24"/>
          <w:szCs w:val="24"/>
          <w:lang w:eastAsia="bg-BG"/>
        </w:rPr>
        <w:t xml:space="preserve"> на glucocerebrosidase в левкоцитите; 2. Доказване на 2 патогенни варианта на </w:t>
      </w:r>
      <w:r w:rsidRPr="00AE47C6">
        <w:rPr>
          <w:rFonts w:ascii="Times New Roman" w:eastAsia="SimSun" w:hAnsi="Times New Roman"/>
          <w:i/>
          <w:iCs/>
          <w:sz w:val="24"/>
          <w:szCs w:val="24"/>
          <w:lang w:eastAsia="bg-BG"/>
        </w:rPr>
        <w:t>GBA</w:t>
      </w:r>
      <w:r w:rsidRPr="00AE47C6">
        <w:rPr>
          <w:rFonts w:ascii="Times New Roman" w:eastAsia="SimSun" w:hAnsi="Times New Roman"/>
          <w:sz w:val="24"/>
          <w:szCs w:val="24"/>
          <w:lang w:eastAsia="bg-BG"/>
        </w:rPr>
        <w:t> гена; 3. В някои случаи и костно-мозъчна биопсия с доказване на характерните „клетки на Gaucher“.</w:t>
      </w:r>
    </w:p>
    <w:p w14:paraId="0C223CCC" w14:textId="77777777" w:rsidR="00BE0B19" w:rsidRPr="00AE47C6" w:rsidRDefault="00BE0B19" w:rsidP="00BE0B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lang w:eastAsia="bg-BG"/>
        </w:rPr>
      </w:pPr>
      <w:r w:rsidRPr="00AE47C6">
        <w:rPr>
          <w:rFonts w:ascii="Times New Roman" w:eastAsia="SimSun" w:hAnsi="Times New Roman"/>
          <w:b/>
          <w:sz w:val="24"/>
          <w:szCs w:val="24"/>
          <w:lang w:eastAsia="bg-BG"/>
        </w:rPr>
        <w:t>Лечението</w:t>
      </w:r>
      <w:r w:rsidRPr="00AE47C6">
        <w:rPr>
          <w:rFonts w:ascii="Times New Roman" w:eastAsia="SimSun" w:hAnsi="Times New Roman"/>
          <w:sz w:val="24"/>
          <w:szCs w:val="24"/>
          <w:lang w:eastAsia="bg-BG"/>
        </w:rPr>
        <w:t xml:space="preserve"> на </w:t>
      </w:r>
      <w:r w:rsidRPr="00AE47C6">
        <w:rPr>
          <w:rFonts w:ascii="Times New Roman" w:eastAsia="SimSun" w:hAnsi="Times New Roman"/>
          <w:b/>
          <w:sz w:val="24"/>
          <w:szCs w:val="24"/>
          <w:lang w:eastAsia="bg-BG"/>
        </w:rPr>
        <w:t>болест на Gaucher тип I и тип III</w:t>
      </w:r>
      <w:r w:rsidRPr="00AE47C6">
        <w:rPr>
          <w:rFonts w:ascii="Times New Roman" w:eastAsia="SimSun" w:hAnsi="Times New Roman"/>
          <w:sz w:val="24"/>
          <w:szCs w:val="24"/>
          <w:lang w:eastAsia="bg-BG"/>
        </w:rPr>
        <w:t xml:space="preserve"> включва </w:t>
      </w:r>
      <w:r w:rsidRPr="00AE47C6">
        <w:rPr>
          <w:rFonts w:ascii="Times New Roman" w:eastAsia="SimSun" w:hAnsi="Times New Roman"/>
          <w:i/>
          <w:sz w:val="24"/>
          <w:szCs w:val="24"/>
          <w:lang w:eastAsia="bg-BG"/>
        </w:rPr>
        <w:t>EРТ или субстрат редуцираща</w:t>
      </w:r>
      <w:r w:rsidRPr="00AE47C6">
        <w:rPr>
          <w:rFonts w:ascii="Times New Roman" w:eastAsia="SimSun" w:hAnsi="Times New Roman"/>
          <w:sz w:val="24"/>
          <w:szCs w:val="24"/>
          <w:lang w:eastAsia="bg-BG"/>
        </w:rPr>
        <w:t xml:space="preserve"> </w:t>
      </w:r>
      <w:r w:rsidRPr="00AE47C6">
        <w:rPr>
          <w:rFonts w:ascii="Times New Roman" w:eastAsia="SimSun" w:hAnsi="Times New Roman"/>
          <w:sz w:val="24"/>
          <w:szCs w:val="24"/>
          <w:shd w:val="clear" w:color="auto" w:fill="FFFFFF"/>
        </w:rPr>
        <w:t>терапия</w:t>
      </w:r>
      <w:r w:rsidRPr="00AE47C6">
        <w:rPr>
          <w:rFonts w:ascii="Times New Roman" w:eastAsia="SimSun" w:hAnsi="Times New Roman"/>
          <w:sz w:val="24"/>
          <w:szCs w:val="24"/>
          <w:lang w:eastAsia="bg-BG"/>
        </w:rPr>
        <w:t xml:space="preserve"> (СРT). </w:t>
      </w:r>
    </w:p>
    <w:p w14:paraId="18831CAD" w14:textId="77777777" w:rsidR="00BE0B19" w:rsidRPr="00AE47C6" w:rsidRDefault="00BE0B19" w:rsidP="00BE0B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За </w:t>
      </w:r>
      <w:r w:rsidRPr="00AE47C6">
        <w:rPr>
          <w:rFonts w:ascii="Times New Roman" w:eastAsia="SimSun" w:hAnsi="Times New Roman"/>
          <w:b/>
          <w:sz w:val="24"/>
          <w:szCs w:val="24"/>
          <w:lang w:eastAsia="bg-BG"/>
        </w:rPr>
        <w:t xml:space="preserve">ЕРТ </w:t>
      </w:r>
      <w:r w:rsidRPr="00AE47C6">
        <w:rPr>
          <w:rFonts w:ascii="Times New Roman" w:eastAsia="SimSun" w:hAnsi="Times New Roman"/>
          <w:sz w:val="24"/>
          <w:szCs w:val="24"/>
          <w:lang w:eastAsia="bg-BG"/>
        </w:rPr>
        <w:t xml:space="preserve">са регистрирани 3 лекарствени средства от ЕМА в Европа и FDA в САЩ: </w:t>
      </w:r>
      <w:r w:rsidRPr="00AE47C6">
        <w:rPr>
          <w:rFonts w:ascii="Times New Roman" w:eastAsia="SimSun" w:hAnsi="Times New Roman"/>
          <w:sz w:val="24"/>
          <w:szCs w:val="24"/>
          <w:shd w:val="clear" w:color="auto" w:fill="FFFFFF"/>
        </w:rPr>
        <w:t>imiglucerase</w:t>
      </w:r>
      <w:r w:rsidRPr="00AE47C6">
        <w:rPr>
          <w:rFonts w:ascii="Times New Roman" w:eastAsia="SimSun" w:hAnsi="Times New Roman"/>
          <w:sz w:val="24"/>
          <w:szCs w:val="24"/>
        </w:rPr>
        <w:t xml:space="preserve"> и </w:t>
      </w:r>
      <w:r w:rsidRPr="00AE47C6">
        <w:rPr>
          <w:rFonts w:ascii="Times New Roman" w:eastAsia="SimSun" w:hAnsi="Times New Roman"/>
          <w:i/>
          <w:sz w:val="24"/>
          <w:szCs w:val="24"/>
          <w:lang w:eastAsia="bg-BG"/>
        </w:rPr>
        <w:t xml:space="preserve">velaglucerase alfa са доказани </w:t>
      </w:r>
      <w:r w:rsidRPr="00AE47C6">
        <w:rPr>
          <w:rFonts w:ascii="Times New Roman" w:eastAsia="SimSun" w:hAnsi="Times New Roman"/>
          <w:sz w:val="24"/>
          <w:szCs w:val="24"/>
        </w:rPr>
        <w:t>за дълготрайно лечение  при пациенти с потвърдена диагноза не-невронопатна (Тип I) или хронично невронопатна (Тип III) с клинично изявени не-невропатни прояви на заболяването</w:t>
      </w:r>
      <w:r w:rsidRPr="00AE47C6">
        <w:rPr>
          <w:rFonts w:ascii="Times New Roman" w:eastAsia="SimSun" w:hAnsi="Times New Roman"/>
          <w:i/>
          <w:sz w:val="24"/>
          <w:szCs w:val="24"/>
          <w:lang w:eastAsia="bg-BG"/>
        </w:rPr>
        <w:t xml:space="preserve">, а taliglucerase alfa  - </w:t>
      </w:r>
      <w:r w:rsidRPr="00AE47C6">
        <w:rPr>
          <w:rFonts w:ascii="Times New Roman" w:eastAsia="SimSun" w:hAnsi="Times New Roman"/>
          <w:sz w:val="24"/>
          <w:szCs w:val="24"/>
          <w:lang w:eastAsia="bg-BG"/>
        </w:rPr>
        <w:t>за възрастни пациенти</w:t>
      </w:r>
      <w:r w:rsidRPr="00AE47C6">
        <w:rPr>
          <w:rFonts w:ascii="Times New Roman" w:eastAsia="SimSun" w:hAnsi="Times New Roman"/>
          <w:i/>
          <w:sz w:val="24"/>
          <w:szCs w:val="24"/>
          <w:lang w:eastAsia="bg-BG"/>
        </w:rPr>
        <w:t xml:space="preserve">. </w:t>
      </w:r>
      <w:r w:rsidRPr="00AE47C6">
        <w:rPr>
          <w:rFonts w:ascii="Times New Roman" w:eastAsia="SimSun" w:hAnsi="Times New Roman"/>
          <w:b/>
          <w:sz w:val="24"/>
          <w:szCs w:val="24"/>
          <w:lang w:eastAsia="bg-BG"/>
        </w:rPr>
        <w:t>Субстрат редуцираща терапия</w:t>
      </w:r>
      <w:r w:rsidRPr="00AE47C6">
        <w:rPr>
          <w:rFonts w:ascii="Times New Roman" w:eastAsia="SimSun" w:hAnsi="Times New Roman"/>
          <w:sz w:val="24"/>
          <w:szCs w:val="24"/>
          <w:lang w:eastAsia="bg-BG"/>
        </w:rPr>
        <w:t xml:space="preserve"> (СРТ) за възрастни пациенти се извършва с 2 регистрирани за употреба лекарствени продукта - </w:t>
      </w:r>
      <w:r w:rsidRPr="00AE47C6">
        <w:rPr>
          <w:rFonts w:ascii="Times New Roman" w:eastAsia="SimSun" w:hAnsi="Times New Roman"/>
          <w:i/>
          <w:sz w:val="24"/>
          <w:szCs w:val="24"/>
          <w:lang w:eastAsia="bg-BG"/>
        </w:rPr>
        <w:t>miglustat</w:t>
      </w:r>
      <w:r w:rsidRPr="00AE47C6">
        <w:rPr>
          <w:rFonts w:ascii="Times New Roman" w:eastAsia="SimSun" w:hAnsi="Times New Roman"/>
          <w:sz w:val="24"/>
          <w:szCs w:val="24"/>
          <w:lang w:eastAsia="bg-BG"/>
        </w:rPr>
        <w:t xml:space="preserve"> </w:t>
      </w:r>
      <w:r w:rsidRPr="00AE47C6">
        <w:rPr>
          <w:rFonts w:ascii="Times New Roman" w:eastAsia="SimSun" w:hAnsi="Times New Roman"/>
          <w:sz w:val="24"/>
          <w:szCs w:val="24"/>
        </w:rPr>
        <w:t xml:space="preserve">за болестта на Гоше тип 1 в лека до умерена форма </w:t>
      </w:r>
      <w:r w:rsidRPr="00AE47C6">
        <w:rPr>
          <w:rFonts w:ascii="Times New Roman" w:eastAsia="SimSun" w:hAnsi="Times New Roman"/>
          <w:sz w:val="24"/>
          <w:szCs w:val="24"/>
          <w:lang w:eastAsia="bg-BG"/>
        </w:rPr>
        <w:t xml:space="preserve">и </w:t>
      </w:r>
      <w:r w:rsidRPr="00AE47C6">
        <w:rPr>
          <w:rFonts w:ascii="Times New Roman" w:eastAsia="SimSun" w:hAnsi="Times New Roman"/>
          <w:i/>
          <w:sz w:val="24"/>
          <w:szCs w:val="24"/>
          <w:lang w:eastAsia="bg-BG"/>
        </w:rPr>
        <w:t>eliglustat</w:t>
      </w:r>
      <w:r w:rsidRPr="00AE47C6">
        <w:rPr>
          <w:rFonts w:ascii="Times New Roman" w:eastAsia="SimSun" w:hAnsi="Times New Roman"/>
          <w:sz w:val="24"/>
          <w:szCs w:val="24"/>
          <w:lang w:eastAsia="bg-BG"/>
        </w:rPr>
        <w:t xml:space="preserve"> за </w:t>
      </w:r>
      <w:r w:rsidRPr="00AE47C6">
        <w:rPr>
          <w:rFonts w:ascii="Times New Roman" w:eastAsia="SimSun" w:hAnsi="Times New Roman"/>
          <w:sz w:val="24"/>
          <w:szCs w:val="24"/>
        </w:rPr>
        <w:t xml:space="preserve">дълготрайно лечение възрастни пациенти с болест на Gaucher </w:t>
      </w:r>
      <w:r w:rsidRPr="00AE47C6">
        <w:rPr>
          <w:rFonts w:ascii="Times New Roman" w:eastAsia="SimSun" w:hAnsi="Times New Roman"/>
          <w:sz w:val="24"/>
          <w:szCs w:val="24"/>
          <w:lang w:eastAsia="bg-BG"/>
        </w:rPr>
        <w:t>тип I (</w:t>
      </w:r>
      <w:r w:rsidRPr="00AE47C6">
        <w:rPr>
          <w:rFonts w:ascii="Times New Roman" w:eastAsia="SimSun" w:hAnsi="Times New Roman"/>
          <w:sz w:val="24"/>
          <w:szCs w:val="24"/>
        </w:rPr>
        <w:t>GD1)</w:t>
      </w:r>
      <w:r w:rsidRPr="00AE47C6">
        <w:rPr>
          <w:rFonts w:ascii="Times New Roman" w:eastAsia="SimSun" w:hAnsi="Times New Roman"/>
          <w:sz w:val="24"/>
          <w:szCs w:val="24"/>
          <w:lang w:eastAsia="bg-BG"/>
        </w:rPr>
        <w:t xml:space="preserve">. СРТ инхибира ензима glucosylceramide synthase, първа стъпка към синтеза на гликосфинголипидите за орално приложение. ЕРТ с </w:t>
      </w:r>
      <w:r w:rsidRPr="00AE47C6">
        <w:rPr>
          <w:rFonts w:ascii="Times New Roman" w:eastAsia="SimSun" w:hAnsi="Times New Roman"/>
          <w:i/>
          <w:sz w:val="24"/>
          <w:szCs w:val="24"/>
          <w:lang w:eastAsia="bg-BG"/>
        </w:rPr>
        <w:t xml:space="preserve">imiglucerase или velaglucerase alfa </w:t>
      </w:r>
      <w:r w:rsidRPr="00AE47C6">
        <w:rPr>
          <w:rFonts w:ascii="Times New Roman" w:eastAsia="SimSun" w:hAnsi="Times New Roman"/>
          <w:sz w:val="24"/>
          <w:szCs w:val="24"/>
          <w:lang w:eastAsia="bg-BG"/>
        </w:rPr>
        <w:t xml:space="preserve">трябва да се започне веднага след диагностицирането, а Taliglucerase alfa, miglustat и eliglustat - за възрастта над 18 г. ЕРЗ и СЗТ при болест на Gaucher тип I и III тип повишава тромбоцитната и хемоглобиновата концентрация,  понижава обема на черния дроб и слезката и редуцира биомаркери за болестта на Gaucher като chitotriosidase, но не повлияват неврологичните увреди и синдроми при болест на Gaucher тип III. </w:t>
      </w:r>
    </w:p>
    <w:p w14:paraId="78EFE605" w14:textId="77777777" w:rsidR="00BE0B19" w:rsidRPr="00AE47C6" w:rsidRDefault="00BE0B19" w:rsidP="00BE0B19">
      <w:pPr>
        <w:shd w:val="clear" w:color="auto" w:fill="FFFFFF"/>
        <w:spacing w:after="0" w:line="360" w:lineRule="auto"/>
        <w:ind w:firstLine="708"/>
        <w:rPr>
          <w:rFonts w:ascii="Times New Roman" w:eastAsia="SimSun" w:hAnsi="Times New Roman"/>
          <w:sz w:val="24"/>
          <w:szCs w:val="24"/>
          <w:lang w:eastAsia="bg-BG"/>
        </w:rPr>
      </w:pPr>
      <w:r w:rsidRPr="00AE47C6">
        <w:rPr>
          <w:rFonts w:ascii="Times New Roman" w:eastAsia="SimSun" w:hAnsi="Times New Roman"/>
          <w:sz w:val="24"/>
          <w:szCs w:val="24"/>
          <w:lang w:eastAsia="bg-BG"/>
        </w:rPr>
        <w:t>За болест на Gaucher тип II няма ЕЗТ, провежда се симптоматично лечение - вкл.  дихателни грижи при необходимост.</w:t>
      </w:r>
    </w:p>
    <w:p w14:paraId="26585178" w14:textId="77777777" w:rsidR="00BE0B19" w:rsidRPr="00AE47C6" w:rsidRDefault="00BE0B19" w:rsidP="00BE0B19">
      <w:pPr>
        <w:shd w:val="clear" w:color="auto" w:fill="FFFFFF"/>
        <w:spacing w:after="0" w:line="360" w:lineRule="auto"/>
        <w:ind w:firstLine="708"/>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Проследяване:</w:t>
      </w:r>
      <w:r w:rsidRPr="00AE47C6">
        <w:rPr>
          <w:rFonts w:ascii="Times New Roman" w:eastAsia="SimSun" w:hAnsi="Times New Roman"/>
          <w:sz w:val="24"/>
          <w:szCs w:val="24"/>
          <w:lang w:eastAsia="bg-BG"/>
        </w:rPr>
        <w:t xml:space="preserve"> Чрез МРТ се проследяват се коремни структури, степента на костномозъчната инфилтрация, остеосклерозата и остеонекрозата; измерва се костномозъчна минерална плътност.</w:t>
      </w:r>
    </w:p>
    <w:p w14:paraId="253A219E"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lang w:eastAsia="bg-BG"/>
        </w:rPr>
      </w:pPr>
      <w:r w:rsidRPr="00AE47C6">
        <w:rPr>
          <w:rFonts w:ascii="Times New Roman" w:eastAsia="SimSun" w:hAnsi="Times New Roman"/>
          <w:b/>
          <w:bCs/>
          <w:sz w:val="24"/>
          <w:szCs w:val="28"/>
          <w:lang w:eastAsia="bg-BG"/>
        </w:rPr>
        <w:t>5.1.3.2. Болест на Fabry</w:t>
      </w:r>
    </w:p>
    <w:p w14:paraId="422866A4" w14:textId="77777777" w:rsidR="00BE0B19" w:rsidRPr="00AE47C6" w:rsidRDefault="00BE0B19" w:rsidP="00BE0B19">
      <w:pPr>
        <w:shd w:val="clear" w:color="auto" w:fill="FFFFFF"/>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 xml:space="preserve">Болестта на Fabry </w:t>
      </w:r>
      <w:r w:rsidRPr="00AE47C6">
        <w:rPr>
          <w:rFonts w:ascii="Times New Roman" w:eastAsia="CharisSIL" w:hAnsi="Times New Roman"/>
          <w:sz w:val="24"/>
          <w:szCs w:val="24"/>
        </w:rPr>
        <w:t>(OMIM #301500)</w:t>
      </w:r>
      <w:r w:rsidRPr="00AE47C6">
        <w:rPr>
          <w:rFonts w:ascii="Times New Roman" w:eastAsia="SimSun" w:hAnsi="Times New Roman"/>
          <w:sz w:val="24"/>
          <w:szCs w:val="24"/>
        </w:rPr>
        <w:t xml:space="preserve"> е рядко X-свързано прогресиращо генетично заболяване с мултиорганно засягане, причинено от патологичен вариант (мутация) в </w:t>
      </w:r>
      <w:r w:rsidRPr="00AE47C6">
        <w:rPr>
          <w:rFonts w:ascii="Times New Roman" w:eastAsia="SimSun" w:hAnsi="Times New Roman"/>
          <w:i/>
          <w:iCs/>
          <w:sz w:val="24"/>
          <w:szCs w:val="24"/>
        </w:rPr>
        <w:t>GLA</w:t>
      </w:r>
      <w:r w:rsidRPr="00AE47C6">
        <w:rPr>
          <w:rFonts w:ascii="Times New Roman" w:eastAsia="SimSun" w:hAnsi="Times New Roman"/>
          <w:sz w:val="24"/>
          <w:szCs w:val="24"/>
        </w:rPr>
        <w:t xml:space="preserve"> гена в Xq21.3-q22</w:t>
      </w:r>
      <w:r w:rsidRPr="00AE47C6">
        <w:rPr>
          <w:rFonts w:ascii="Times New Roman" w:eastAsia="CharisSIL" w:hAnsi="Times New Roman"/>
          <w:sz w:val="24"/>
          <w:szCs w:val="24"/>
        </w:rPr>
        <w:t>, обуславящ</w:t>
      </w:r>
      <w:r w:rsidRPr="00AE47C6">
        <w:rPr>
          <w:rFonts w:ascii="Times New Roman" w:eastAsia="SimSun" w:hAnsi="Times New Roman"/>
          <w:sz w:val="24"/>
          <w:szCs w:val="24"/>
        </w:rPr>
        <w:t xml:space="preserve"> ензимен дефицит на α-галактозидазата (α-galactosidase, GalA) и натрупване на гликосфинголипида глоботриаозилцерамид (globotriaosylceramide, Gb-3) в лизозомите на различни видове клетки на кожата, очите, бъбреците, централната и периферната нервна система. Натрупване на Gb-3 в съдовете вторично повишава ендотелната пролиферация и води до съдови оклузии, исхемия и инфаркти с най-често засягане на вертебралните и базиларната артерии и малките мозъчни съдове. За развитието на инсулти при младите пациенти с болест на Fabry се включват и протромботични механизми с ниско ниво на thrombomodulin (TM) и повишено ниво на плазминоген активатор (PAI), както и азотен оксид- и не-азотен оксид зависима ендотелна пролиферация и дилатация. Gb-3 натрупванията в автономните ганглии и спиналните ганглии са свързани с невропатните изяви и автономната дисфункция. Натрупванията в бъбречните гломерули тубулните и интерстициални клетки обуславят хронично-прогресиращо бъбречно заболяване с ранна протеинурия и полиурия и последваща хронична бъбречна недостатъчност. Засягането на сърдечните мускулни клетки, съдовите гладкомускулни клетки, фиброцитите по клапите, проводната система са причина за кардиомиопатиите, ритъмните и проводни нарушения и сърдечната недостатъчност. Вследствие на мултиорганното натрупване на гликосфинголипиди се развиват животозастрашаващи клинични нарушения в резултат от бъбречни, сърдечни или мозъчно-съдови и периферно-нервни усложнения. Установено е, че лечението с ензим-заместваща терапия (ЕЗТ) с α-GalA намалява натрупването на Gb-3 в много различни видове клетки, включително ендотелните и паренхимните клетки и променя естествения ход на заболяването. Migalastat е първата шаперонна терапия, разрешена от ЕМА и в Канада, проучват се експериментални генни терапии с вирусни вектори, mRNA терапия чрез липидни наночастици.</w:t>
      </w:r>
    </w:p>
    <w:p w14:paraId="22F67CEB" w14:textId="77777777" w:rsidR="00BE0B19" w:rsidRPr="00AE47C6" w:rsidRDefault="00BE0B19" w:rsidP="00BE0B19">
      <w:pPr>
        <w:shd w:val="clear" w:color="auto" w:fill="FFFFFF"/>
        <w:spacing w:after="0" w:line="360" w:lineRule="auto"/>
        <w:ind w:firstLine="708"/>
        <w:jc w:val="both"/>
        <w:rPr>
          <w:rFonts w:ascii="Times New Roman" w:eastAsia="SimSun" w:hAnsi="Times New Roman"/>
          <w:sz w:val="24"/>
          <w:szCs w:val="24"/>
          <w:shd w:val="clear" w:color="auto" w:fill="FFFFFF"/>
        </w:rPr>
      </w:pPr>
      <w:r w:rsidRPr="00AE47C6">
        <w:rPr>
          <w:rFonts w:ascii="Times New Roman" w:eastAsia="SimSun" w:hAnsi="Times New Roman"/>
          <w:b/>
          <w:i/>
          <w:sz w:val="24"/>
          <w:szCs w:val="24"/>
        </w:rPr>
        <w:t xml:space="preserve">Епидемиология. </w:t>
      </w:r>
      <w:r w:rsidRPr="00AE47C6">
        <w:rPr>
          <w:rFonts w:ascii="Times New Roman" w:eastAsia="SimSun" w:hAnsi="Times New Roman"/>
          <w:sz w:val="24"/>
          <w:szCs w:val="24"/>
        </w:rPr>
        <w:t xml:space="preserve">Заболяемостта е </w:t>
      </w:r>
      <w:r w:rsidRPr="00AE47C6">
        <w:rPr>
          <w:rFonts w:ascii="Times New Roman" w:eastAsia="SimSun" w:hAnsi="Times New Roman"/>
          <w:sz w:val="24"/>
          <w:szCs w:val="24"/>
          <w:shd w:val="clear" w:color="auto" w:fill="FFFFFF"/>
        </w:rPr>
        <w:t>1:40,000-60,000 мъже. Болестността при мъже от бялата раса с болест на Fabry е около 1:17 000 до 1:117 000. Мутациите за класическата форма на болестта на Fabry се срещат при 1:22 000 до 1:40 000 мъже, а при атипичните са при 1:1000 до 1:3000 мъже и 1:6000 до 1:40,000 жени.</w:t>
      </w:r>
    </w:p>
    <w:p w14:paraId="652306F4" w14:textId="77777777" w:rsidR="00BE0B19" w:rsidRPr="00AE47C6" w:rsidRDefault="00BE0B19" w:rsidP="00BE0B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Клинична характеристика</w:t>
      </w:r>
      <w:r w:rsidRPr="00AE47C6">
        <w:rPr>
          <w:rFonts w:ascii="Times New Roman" w:eastAsia="SimSun" w:hAnsi="Times New Roman"/>
          <w:sz w:val="24"/>
          <w:szCs w:val="24"/>
        </w:rPr>
        <w:t xml:space="preserve">. Основните клинични прояви на болестта на Fabry - нефрологични, кардиологични, неврологични, офталмологични и дерматологични са свързани с интрализозомното натрупване на сфингоглипиди, основно глоботриазоацилцирамид (Gb-3) в различни видове клетки - ендотелни клетки на съдовете, подоцити, тубулни, гломерулни ендотелни клетки, кардиомиоцити и неврони. Болестта на Fabry започва в различна възраст - от детска възраст до 5-то десетилетие или по-късно, но ранните клинични изяви са </w:t>
      </w:r>
      <w:r w:rsidRPr="00AE47C6">
        <w:rPr>
          <w:rFonts w:ascii="Times New Roman" w:eastAsia="SimSun" w:hAnsi="Times New Roman"/>
          <w:i/>
          <w:sz w:val="24"/>
          <w:szCs w:val="24"/>
        </w:rPr>
        <w:t>неврологични, гастроинтестинални и кожни</w:t>
      </w:r>
      <w:r w:rsidRPr="00AE47C6">
        <w:rPr>
          <w:rFonts w:ascii="Times New Roman" w:eastAsia="SimSun" w:hAnsi="Times New Roman"/>
          <w:sz w:val="24"/>
          <w:szCs w:val="24"/>
        </w:rPr>
        <w:t xml:space="preserve">. Някои мутации обуславят класическата клинична картина с ранно начало и тежко протичане, докато други водят до по-леко протичане с по-късно начало. Според клиничното протичане болестта на Fabry се разделя на </w:t>
      </w:r>
      <w:r w:rsidRPr="00AE47C6">
        <w:rPr>
          <w:rFonts w:ascii="Times New Roman" w:eastAsia="SimSun" w:hAnsi="Times New Roman"/>
          <w:b/>
          <w:i/>
          <w:sz w:val="24"/>
          <w:szCs w:val="24"/>
        </w:rPr>
        <w:t xml:space="preserve">класически и некласически вариант. </w:t>
      </w:r>
      <w:r w:rsidRPr="00AE47C6">
        <w:rPr>
          <w:rFonts w:ascii="Times New Roman" w:eastAsia="CharisSIL" w:hAnsi="Times New Roman"/>
          <w:sz w:val="24"/>
          <w:szCs w:val="24"/>
        </w:rPr>
        <w:t>Класическата форма на болестта на Fabry е с тежък фенотип и практически липсва или е силно снижена α-галактозидазната ензимна активност (под 5%), докато при късно начало и „некласически” фенотип се засягат единични органи и α-галактозидазната ензимна активност е в по-високи стойности</w:t>
      </w:r>
      <w:r w:rsidRPr="00AE47C6">
        <w:rPr>
          <w:rFonts w:ascii="Times New Roman" w:eastAsia="CharisSIL" w:hAnsi="Times New Roman"/>
          <w:b/>
          <w:sz w:val="24"/>
          <w:szCs w:val="24"/>
        </w:rPr>
        <w:t>.</w:t>
      </w:r>
    </w:p>
    <w:p w14:paraId="0BCEB8B4" w14:textId="77777777" w:rsidR="00BE0B19" w:rsidRPr="00AE47C6" w:rsidRDefault="00BE0B19" w:rsidP="00BE0B19">
      <w:pPr>
        <w:autoSpaceDE w:val="0"/>
        <w:autoSpaceDN w:val="0"/>
        <w:adjustRightInd w:val="0"/>
        <w:spacing w:after="0" w:line="360" w:lineRule="auto"/>
        <w:ind w:firstLine="720"/>
        <w:jc w:val="both"/>
        <w:rPr>
          <w:rFonts w:ascii="Times New Roman" w:eastAsia="CharisSIL" w:hAnsi="Times New Roman"/>
          <w:sz w:val="24"/>
          <w:szCs w:val="24"/>
        </w:rPr>
      </w:pPr>
      <w:r w:rsidRPr="00AE47C6">
        <w:rPr>
          <w:rFonts w:ascii="Times New Roman" w:eastAsia="SimSun" w:hAnsi="Times New Roman"/>
          <w:b/>
          <w:sz w:val="24"/>
          <w:szCs w:val="24"/>
          <w:u w:val="single"/>
        </w:rPr>
        <w:t>Класическа форма на болестта на Fabry се описва при мъжете</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поради X-свързаното предаване, </w:t>
      </w:r>
      <w:r w:rsidRPr="00AE47C6">
        <w:rPr>
          <w:rFonts w:ascii="Times New Roman" w:eastAsia="CharisSIL" w:hAnsi="Times New Roman"/>
          <w:sz w:val="24"/>
          <w:szCs w:val="24"/>
        </w:rPr>
        <w:t xml:space="preserve">със симптоми от ранна детска възраст – </w:t>
      </w:r>
      <w:r w:rsidRPr="00AE47C6">
        <w:rPr>
          <w:rFonts w:ascii="Times New Roman" w:eastAsia="CharisSIL" w:hAnsi="Times New Roman"/>
          <w:i/>
          <w:sz w:val="24"/>
          <w:szCs w:val="24"/>
        </w:rPr>
        <w:t>невропатна болка, гастроинтестинални прояви</w:t>
      </w:r>
      <w:r w:rsidRPr="00AE47C6">
        <w:rPr>
          <w:rFonts w:ascii="Times New Roman" w:eastAsia="SimSun" w:hAnsi="Times New Roman"/>
          <w:i/>
          <w:sz w:val="24"/>
          <w:szCs w:val="24"/>
        </w:rPr>
        <w:t xml:space="preserve"> със смутен стомашно-чревен мотилитет </w:t>
      </w:r>
      <w:r w:rsidRPr="00AE47C6">
        <w:rPr>
          <w:rFonts w:ascii="Times New Roman" w:eastAsia="CharisSIL" w:hAnsi="Times New Roman"/>
          <w:i/>
          <w:sz w:val="24"/>
          <w:szCs w:val="24"/>
        </w:rPr>
        <w:t>и хипохидроза,</w:t>
      </w:r>
      <w:r w:rsidRPr="00AE47C6">
        <w:rPr>
          <w:rFonts w:ascii="Times New Roman" w:eastAsia="CharisSIL" w:hAnsi="Times New Roman"/>
          <w:sz w:val="24"/>
          <w:szCs w:val="24"/>
        </w:rPr>
        <w:t xml:space="preserve"> обусловени от увреждания на периферната нервна система и автономната нервна система. </w:t>
      </w:r>
      <w:r w:rsidRPr="00AE47C6">
        <w:rPr>
          <w:rFonts w:ascii="Times New Roman" w:eastAsia="SimSun" w:hAnsi="Times New Roman"/>
          <w:sz w:val="24"/>
          <w:szCs w:val="24"/>
        </w:rPr>
        <w:t xml:space="preserve">Налице са </w:t>
      </w:r>
      <w:r w:rsidRPr="00AE47C6">
        <w:rPr>
          <w:rFonts w:ascii="Times New Roman" w:eastAsia="SimSun" w:hAnsi="Times New Roman"/>
          <w:i/>
          <w:sz w:val="24"/>
          <w:szCs w:val="24"/>
        </w:rPr>
        <w:t>ангиокератоми, корнеални опацитати.</w:t>
      </w:r>
      <w:r w:rsidRPr="00AE47C6">
        <w:rPr>
          <w:rFonts w:ascii="Times New Roman" w:eastAsia="CharisSIL" w:hAnsi="Times New Roman"/>
          <w:i/>
          <w:sz w:val="24"/>
          <w:szCs w:val="24"/>
        </w:rPr>
        <w:t xml:space="preserve"> Заболяването прогресира с мултиорганно увреждане: на бъбреците (албуминурия, снижена гломерулна филтрация</w:t>
      </w:r>
      <w:r w:rsidRPr="00AE47C6">
        <w:rPr>
          <w:rFonts w:ascii="Times New Roman" w:eastAsia="CharisSIL" w:hAnsi="Times New Roman"/>
          <w:b/>
          <w:sz w:val="24"/>
          <w:szCs w:val="24"/>
        </w:rPr>
        <w:t xml:space="preserve"> </w:t>
      </w:r>
      <w:r w:rsidRPr="00AE47C6">
        <w:rPr>
          <w:rFonts w:ascii="Times New Roman" w:eastAsia="CharisSIL" w:hAnsi="Times New Roman"/>
          <w:sz w:val="24"/>
          <w:szCs w:val="24"/>
        </w:rPr>
        <w:t xml:space="preserve">(GFR) и бъбречна недостатъчност), </w:t>
      </w:r>
      <w:r w:rsidRPr="00AE47C6">
        <w:rPr>
          <w:rFonts w:ascii="Times New Roman" w:eastAsia="CharisSIL" w:hAnsi="Times New Roman"/>
          <w:i/>
          <w:sz w:val="24"/>
          <w:szCs w:val="24"/>
        </w:rPr>
        <w:t>на сърцето</w:t>
      </w:r>
      <w:r w:rsidRPr="00AE47C6">
        <w:rPr>
          <w:rFonts w:ascii="Times New Roman" w:eastAsia="CharisSIL" w:hAnsi="Times New Roman"/>
          <w:b/>
          <w:sz w:val="24"/>
          <w:szCs w:val="24"/>
        </w:rPr>
        <w:t xml:space="preserve"> </w:t>
      </w:r>
      <w:r w:rsidRPr="00AE47C6">
        <w:rPr>
          <w:rFonts w:ascii="Times New Roman" w:eastAsia="CharisSIL" w:hAnsi="Times New Roman"/>
          <w:sz w:val="24"/>
          <w:szCs w:val="24"/>
        </w:rPr>
        <w:t xml:space="preserve">(левокамерна хипертрофия, сърдечна недостатъчност, ритъмни и проводни нарушения), </w:t>
      </w:r>
      <w:r w:rsidRPr="00AE47C6">
        <w:rPr>
          <w:rFonts w:ascii="Times New Roman" w:eastAsia="CharisSIL" w:hAnsi="Times New Roman"/>
          <w:i/>
          <w:sz w:val="24"/>
          <w:szCs w:val="24"/>
        </w:rPr>
        <w:t>слухови нарушения</w:t>
      </w:r>
      <w:r w:rsidRPr="00AE47C6">
        <w:rPr>
          <w:rFonts w:ascii="Times New Roman" w:eastAsia="CharisSIL" w:hAnsi="Times New Roman"/>
          <w:sz w:val="24"/>
          <w:szCs w:val="24"/>
        </w:rPr>
        <w:t xml:space="preserve"> с глухота, и вестибуларни симптоми, </w:t>
      </w:r>
      <w:r w:rsidRPr="00AE47C6">
        <w:rPr>
          <w:rFonts w:ascii="Times New Roman" w:eastAsia="CharisSIL" w:hAnsi="Times New Roman"/>
          <w:i/>
          <w:sz w:val="24"/>
          <w:szCs w:val="24"/>
        </w:rPr>
        <w:t>увреди на ЦНС с инсулти</w:t>
      </w:r>
      <w:r w:rsidRPr="00AE47C6">
        <w:rPr>
          <w:rFonts w:ascii="Times New Roman" w:eastAsia="CharisSIL" w:hAnsi="Times New Roman"/>
          <w:sz w:val="24"/>
          <w:szCs w:val="24"/>
        </w:rPr>
        <w:t xml:space="preserve"> в относително по-млада възраст.</w:t>
      </w:r>
      <w:r w:rsidRPr="00AE47C6">
        <w:rPr>
          <w:rFonts w:ascii="Times New Roman" w:eastAsia="SimSun" w:hAnsi="Times New Roman"/>
          <w:sz w:val="24"/>
          <w:szCs w:val="24"/>
        </w:rPr>
        <w:t xml:space="preserve"> В напредналите стадии на заболяването бъбречната недостатъчност, исхемичните инсулти, кардиомиопатията, ритъмни и проводни нарушения са непосредствени причини за летален изход. </w:t>
      </w:r>
      <w:r w:rsidRPr="00AE47C6">
        <w:rPr>
          <w:rFonts w:ascii="Times New Roman" w:eastAsia="SimSun" w:hAnsi="Times New Roman"/>
          <w:b/>
          <w:sz w:val="24"/>
          <w:szCs w:val="24"/>
          <w:u w:val="single"/>
        </w:rPr>
        <w:t>Болестта на Fabry при женския пол,</w:t>
      </w:r>
      <w:r w:rsidRPr="00AE47C6">
        <w:rPr>
          <w:rFonts w:ascii="Times New Roman" w:eastAsia="SimSun" w:hAnsi="Times New Roman"/>
          <w:sz w:val="24"/>
          <w:szCs w:val="24"/>
        </w:rPr>
        <w:t xml:space="preserve"> е</w:t>
      </w:r>
      <w:r w:rsidRPr="00AE47C6">
        <w:rPr>
          <w:rFonts w:ascii="Times New Roman" w:eastAsia="SimSun" w:hAnsi="Times New Roman"/>
          <w:sz w:val="24"/>
          <w:szCs w:val="24"/>
          <w:shd w:val="clear" w:color="auto" w:fill="F8F9FA"/>
        </w:rPr>
        <w:t xml:space="preserve"> подобна на мъжете, </w:t>
      </w:r>
      <w:r w:rsidRPr="00AE47C6">
        <w:rPr>
          <w:rFonts w:ascii="Times New Roman" w:eastAsia="SimSun" w:hAnsi="Times New Roman"/>
          <w:sz w:val="24"/>
          <w:szCs w:val="24"/>
        </w:rPr>
        <w:t xml:space="preserve"> но клиничната вариабилност при жените хетерозиготи е поради мозаечна характеристика при наличие на една здрава и една Х хромозома с мутация и възникване инактивацията на едната X хромозома, като носителите на </w:t>
      </w:r>
      <w:r w:rsidRPr="00AE47C6">
        <w:rPr>
          <w:rFonts w:ascii="Times New Roman" w:eastAsia="SimSun" w:hAnsi="Times New Roman"/>
          <w:i/>
          <w:iCs/>
          <w:sz w:val="24"/>
          <w:szCs w:val="24"/>
        </w:rPr>
        <w:t>GLA</w:t>
      </w:r>
      <w:r w:rsidRPr="00AE47C6">
        <w:rPr>
          <w:rFonts w:ascii="Times New Roman" w:eastAsia="SimSun" w:hAnsi="Times New Roman"/>
          <w:sz w:val="24"/>
          <w:szCs w:val="24"/>
        </w:rPr>
        <w:t xml:space="preserve"> алели се инактивират и снижената α-GalA ензимната активност причинява идентични на мъжете симптоми. Рядко има жени - хомозиготни носителки. Мозъчно-съдова болест имат 4–25% жените с болест на Fabry, невропатна болка - между 43–77% , с левокамерна сърдечна хипертрофия са 18–26%, с протеинурия 35–39%. </w:t>
      </w:r>
    </w:p>
    <w:p w14:paraId="149080C0" w14:textId="77777777" w:rsidR="00BE0B19" w:rsidRPr="00AE47C6" w:rsidRDefault="00BE0B19" w:rsidP="00BE0B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ab/>
        <w:t xml:space="preserve">При пациентите с </w:t>
      </w:r>
      <w:r w:rsidRPr="00AE47C6">
        <w:rPr>
          <w:rFonts w:ascii="Times New Roman" w:eastAsia="SimSun" w:hAnsi="Times New Roman"/>
          <w:b/>
          <w:sz w:val="24"/>
          <w:szCs w:val="24"/>
          <w:u w:val="single"/>
        </w:rPr>
        <w:t>некласическата форма на болестта</w:t>
      </w:r>
      <w:r w:rsidRPr="00AE47C6">
        <w:rPr>
          <w:rFonts w:ascii="Times New Roman" w:eastAsia="SimSun" w:hAnsi="Times New Roman"/>
          <w:sz w:val="24"/>
          <w:szCs w:val="24"/>
        </w:rPr>
        <w:t xml:space="preserve"> е налице по-леко протичане с единични симптоми, най-често </w:t>
      </w:r>
      <w:r w:rsidRPr="00AE47C6">
        <w:rPr>
          <w:rFonts w:ascii="Times New Roman" w:eastAsia="SimSun" w:hAnsi="Times New Roman"/>
          <w:b/>
          <w:sz w:val="24"/>
          <w:szCs w:val="24"/>
        </w:rPr>
        <w:t xml:space="preserve">левокамерна хипертрофия и/или кардиомиопатия - т. нар „сърдечна форма“, </w:t>
      </w:r>
      <w:r w:rsidRPr="00AE47C6">
        <w:rPr>
          <w:rFonts w:ascii="Times New Roman" w:eastAsia="SimSun" w:hAnsi="Times New Roman"/>
          <w:sz w:val="24"/>
          <w:szCs w:val="24"/>
        </w:rPr>
        <w:t xml:space="preserve">само с дискретна протеинурия. </w:t>
      </w:r>
    </w:p>
    <w:p w14:paraId="06A7F170" w14:textId="77777777" w:rsidR="00BE0B19" w:rsidRPr="00AE47C6" w:rsidRDefault="00BE0B19" w:rsidP="00BE0B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sz w:val="24"/>
          <w:szCs w:val="24"/>
        </w:rPr>
        <w:tab/>
        <w:t>Класическата форма на болестта на Fabry при мъжете започва с неврологични симптоми</w:t>
      </w:r>
      <w:r w:rsidRPr="00AE47C6">
        <w:rPr>
          <w:rFonts w:ascii="Times New Roman" w:eastAsia="SimSun" w:hAnsi="Times New Roman"/>
          <w:sz w:val="24"/>
          <w:szCs w:val="24"/>
        </w:rPr>
        <w:t xml:space="preserve"> на засягане на периферната нервна система (</w:t>
      </w:r>
      <w:r w:rsidRPr="00AE47C6">
        <w:rPr>
          <w:rFonts w:ascii="Times New Roman" w:eastAsia="SimSun" w:hAnsi="Times New Roman"/>
          <w:bCs/>
          <w:sz w:val="24"/>
          <w:szCs w:val="24"/>
        </w:rPr>
        <w:t>болезнена полиневропатия със засягане на тънките влакна и автономна дисфункция)</w:t>
      </w:r>
      <w:r w:rsidRPr="00AE47C6">
        <w:rPr>
          <w:rFonts w:ascii="Times New Roman" w:eastAsia="SimSun" w:hAnsi="Times New Roman"/>
          <w:sz w:val="24"/>
          <w:szCs w:val="24"/>
        </w:rPr>
        <w:t xml:space="preserve"> и впоследствие и на централната нервна система (</w:t>
      </w:r>
      <w:r w:rsidRPr="00AE47C6">
        <w:rPr>
          <w:rFonts w:ascii="Times New Roman" w:eastAsia="SimSun" w:hAnsi="Times New Roman"/>
          <w:bCs/>
          <w:sz w:val="24"/>
          <w:szCs w:val="24"/>
        </w:rPr>
        <w:t xml:space="preserve">исхемични и хеморагични мозъчни инсулти, епилепсия, когнитивни и поведенчески нарушения). Характерна са </w:t>
      </w:r>
      <w:r w:rsidRPr="00AE47C6">
        <w:rPr>
          <w:rFonts w:ascii="Times New Roman" w:eastAsia="SimSun" w:hAnsi="Times New Roman"/>
          <w:b/>
          <w:i/>
          <w:sz w:val="24"/>
          <w:szCs w:val="24"/>
        </w:rPr>
        <w:t>невропатна болка и акропарестезиите</w:t>
      </w:r>
      <w:r w:rsidRPr="00AE47C6">
        <w:rPr>
          <w:rFonts w:ascii="Times New Roman" w:eastAsia="SimSun" w:hAnsi="Times New Roman"/>
          <w:sz w:val="24"/>
          <w:szCs w:val="24"/>
        </w:rPr>
        <w:t xml:space="preserve"> (пареща болка, кризи с изтръпване на ръцете и краката), </w:t>
      </w:r>
      <w:r w:rsidRPr="00AE47C6">
        <w:rPr>
          <w:rFonts w:ascii="Times New Roman" w:eastAsia="SimSun" w:hAnsi="Times New Roman"/>
          <w:b/>
          <w:i/>
          <w:sz w:val="24"/>
          <w:szCs w:val="24"/>
        </w:rPr>
        <w:t xml:space="preserve">автономна дисфункция </w:t>
      </w:r>
      <w:r w:rsidRPr="00AE47C6">
        <w:rPr>
          <w:rFonts w:ascii="Times New Roman" w:eastAsia="SimSun" w:hAnsi="Times New Roman"/>
          <w:sz w:val="24"/>
          <w:szCs w:val="24"/>
        </w:rPr>
        <w:t>с хипохидроза. По-късно натрупванията на Gb-3 в мозъчните съдове</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се развиват и </w:t>
      </w:r>
      <w:r w:rsidRPr="00AE47C6">
        <w:rPr>
          <w:rFonts w:ascii="Times New Roman" w:eastAsia="SimSun" w:hAnsi="Times New Roman"/>
          <w:b/>
          <w:i/>
          <w:sz w:val="24"/>
          <w:szCs w:val="24"/>
        </w:rPr>
        <w:t>транзиторни исхемични атаки (ТИА) и мозъчни инсулти</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в 12% от мъжете относително рано- на средна възраст 28.8 г. Възможни са нарушение на слуха, корнеални опатоцити,  cornea verticillata, промени в настроението  като тревожност и депресия.</w:t>
      </w:r>
    </w:p>
    <w:p w14:paraId="73E60530" w14:textId="77777777" w:rsidR="00BE0B19" w:rsidRPr="00AE47C6" w:rsidRDefault="00BE0B19" w:rsidP="00BE0B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360" w:lineRule="auto"/>
        <w:ind w:firstLine="720"/>
        <w:jc w:val="both"/>
        <w:textAlignment w:val="baseline"/>
        <w:rPr>
          <w:rFonts w:ascii="Times New Roman" w:eastAsia="SimSun" w:hAnsi="Times New Roman"/>
          <w:b/>
          <w:sz w:val="24"/>
          <w:szCs w:val="24"/>
        </w:rPr>
      </w:pPr>
      <w:r w:rsidRPr="00AE47C6">
        <w:rPr>
          <w:rFonts w:ascii="Times New Roman" w:eastAsia="SimSun" w:hAnsi="Times New Roman"/>
          <w:b/>
          <w:i/>
          <w:sz w:val="24"/>
          <w:szCs w:val="24"/>
        </w:rPr>
        <w:t>Невропатиите при болестта на Fabry</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са начални клинични прояви породи увреждане на тънките миелинизирани Aδ и немиелинизираните С влакна на периферните нерви, вкл. автономните. Предизвикват се от </w:t>
      </w:r>
      <w:r w:rsidRPr="00AE47C6">
        <w:rPr>
          <w:rFonts w:ascii="Times New Roman" w:eastAsia="SimSun" w:hAnsi="Times New Roman"/>
          <w:bCs/>
          <w:sz w:val="24"/>
          <w:szCs w:val="24"/>
        </w:rPr>
        <w:t xml:space="preserve">натрупване на </w:t>
      </w:r>
      <w:r w:rsidRPr="00AE47C6">
        <w:rPr>
          <w:rFonts w:ascii="Times New Roman" w:eastAsia="SimSun" w:hAnsi="Times New Roman"/>
          <w:sz w:val="24"/>
          <w:szCs w:val="24"/>
        </w:rPr>
        <w:t xml:space="preserve">Gb-3 </w:t>
      </w:r>
      <w:r w:rsidRPr="00AE47C6">
        <w:rPr>
          <w:rFonts w:ascii="Times New Roman" w:eastAsia="SimSun" w:hAnsi="Times New Roman"/>
          <w:bCs/>
          <w:sz w:val="24"/>
          <w:szCs w:val="24"/>
        </w:rPr>
        <w:t xml:space="preserve">и неговата деацилирана форма в невроните и нарушение на функцията на вътреклетъчните протеини и йонните канали, оклузия на vasa nervorum на периферните нерви от </w:t>
      </w:r>
      <w:r w:rsidRPr="00AE47C6">
        <w:rPr>
          <w:rFonts w:ascii="Times New Roman" w:eastAsia="SimSun" w:hAnsi="Times New Roman"/>
          <w:sz w:val="24"/>
          <w:szCs w:val="24"/>
        </w:rPr>
        <w:t>Gb-3</w:t>
      </w:r>
      <w:r w:rsidRPr="00AE47C6">
        <w:rPr>
          <w:rFonts w:ascii="Times New Roman" w:eastAsia="SimSun" w:hAnsi="Times New Roman"/>
          <w:bCs/>
          <w:sz w:val="24"/>
          <w:szCs w:val="24"/>
        </w:rPr>
        <w:t>, нарушена вазоконстрикция и вазодилатация, повишена тромбоцитна агрегация, увеличена възбудимост на периферните нерви и централна сензитизация, функционално прекъсване на аксоните на засегнатите неврони</w:t>
      </w:r>
      <w:r w:rsidRPr="00AE47C6">
        <w:rPr>
          <w:rFonts w:ascii="Times New Roman" w:eastAsia="SimSun" w:hAnsi="Times New Roman"/>
          <w:sz w:val="24"/>
          <w:szCs w:val="24"/>
        </w:rPr>
        <w:t xml:space="preserve">. </w:t>
      </w:r>
    </w:p>
    <w:p w14:paraId="5A6208C8" w14:textId="77777777" w:rsidR="00BE0B19" w:rsidRPr="00AE47C6" w:rsidRDefault="00BE0B19" w:rsidP="00BE0B19">
      <w:pPr>
        <w:tabs>
          <w:tab w:val="num" w:pos="720"/>
        </w:tabs>
        <w:autoSpaceDE w:val="0"/>
        <w:autoSpaceDN w:val="0"/>
        <w:adjustRightInd w:val="0"/>
        <w:spacing w:after="0" w:line="360" w:lineRule="auto"/>
        <w:ind w:firstLine="357"/>
        <w:jc w:val="both"/>
        <w:rPr>
          <w:rFonts w:ascii="Times New Roman" w:eastAsia="SimSun" w:hAnsi="Times New Roman"/>
          <w:sz w:val="24"/>
          <w:szCs w:val="24"/>
        </w:rPr>
      </w:pPr>
      <w:r w:rsidRPr="00AE47C6">
        <w:rPr>
          <w:rFonts w:ascii="Times New Roman" w:eastAsia="SimSun" w:hAnsi="Times New Roman"/>
          <w:b/>
          <w:i/>
          <w:sz w:val="24"/>
          <w:szCs w:val="24"/>
        </w:rPr>
        <w:t>Невропатната болка</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е основен начален симптом, наблюдавана при 70% от децата и юношите с болестта на  Fabry, със средна възраст на изява при момчетата е 9 г., а при момичетата - 16 г. Болката е хронична, пареща, изгаряща в областта на дланите и ходилата, съчетана с дизестезии и парестезии. Възможни са и пристъпи от пареща болка, ирадиираща от дисталните към проксималните части на крайниците, която се провокира от повишаване на температурата, физически натоварвания или стрес. Установява се дистална термохипестезия. При прогресиране на заболяването и загубата на  тънките нервни влакна, болезнените усещания намаляват, но в някои случаи се засилват. Невропатните болки в детско-юношеската възраст се диагностицират погрешно като ревматични, костни болки при растеж, психогенни болки и др. </w:t>
      </w:r>
    </w:p>
    <w:p w14:paraId="7DF7D4B7" w14:textId="77777777" w:rsidR="00BE0B19" w:rsidRPr="00AE47C6" w:rsidRDefault="00BE0B19" w:rsidP="00BE0B19">
      <w:pPr>
        <w:tabs>
          <w:tab w:val="num" w:pos="720"/>
        </w:tabs>
        <w:autoSpaceDE w:val="0"/>
        <w:autoSpaceDN w:val="0"/>
        <w:adjustRightInd w:val="0"/>
        <w:spacing w:after="0" w:line="360" w:lineRule="auto"/>
        <w:ind w:firstLine="357"/>
        <w:jc w:val="both"/>
        <w:rPr>
          <w:rFonts w:ascii="Times New Roman" w:eastAsia="SimSun" w:hAnsi="Times New Roman"/>
          <w:sz w:val="24"/>
          <w:szCs w:val="24"/>
        </w:rPr>
      </w:pPr>
      <w:r w:rsidRPr="00AE47C6">
        <w:rPr>
          <w:rFonts w:ascii="Times New Roman" w:eastAsia="SimSun" w:hAnsi="Times New Roman"/>
          <w:i/>
          <w:sz w:val="24"/>
          <w:szCs w:val="24"/>
        </w:rPr>
        <w:t xml:space="preserve">Клиничните прояви на </w:t>
      </w:r>
      <w:r w:rsidRPr="00AE47C6">
        <w:rPr>
          <w:rFonts w:ascii="Times New Roman" w:eastAsia="SimSun" w:hAnsi="Times New Roman"/>
          <w:b/>
          <w:i/>
          <w:sz w:val="24"/>
          <w:szCs w:val="24"/>
        </w:rPr>
        <w:t>автономна дисфункция</w:t>
      </w:r>
      <w:r w:rsidRPr="00AE47C6">
        <w:rPr>
          <w:rFonts w:ascii="Times New Roman" w:eastAsia="SimSun" w:hAnsi="Times New Roman"/>
          <w:sz w:val="24"/>
          <w:szCs w:val="24"/>
        </w:rPr>
        <w:t xml:space="preserve"> включват основно хипохидроза, нарушение в зеничните реакции, хипосаливация, хиполакримация, смутен гастроинтестинален мотилитет със стомашни болки, диария и гадене.  </w:t>
      </w:r>
    </w:p>
    <w:p w14:paraId="27A87E8C" w14:textId="77777777" w:rsidR="00BE0B19" w:rsidRPr="00AE47C6" w:rsidRDefault="00BE0B19" w:rsidP="00BE0B19">
      <w:pPr>
        <w:tabs>
          <w:tab w:val="num" w:pos="720"/>
        </w:tabs>
        <w:autoSpaceDE w:val="0"/>
        <w:autoSpaceDN w:val="0"/>
        <w:adjustRightInd w:val="0"/>
        <w:spacing w:after="0" w:line="360" w:lineRule="auto"/>
        <w:ind w:firstLine="357"/>
        <w:jc w:val="both"/>
        <w:rPr>
          <w:rFonts w:ascii="Times New Roman" w:eastAsia="SimSun" w:hAnsi="Times New Roman"/>
          <w:sz w:val="24"/>
          <w:szCs w:val="24"/>
        </w:rPr>
      </w:pPr>
      <w:r w:rsidRPr="00AE47C6">
        <w:rPr>
          <w:rFonts w:ascii="Times New Roman" w:eastAsia="SimSun" w:hAnsi="Times New Roman"/>
          <w:b/>
          <w:i/>
          <w:sz w:val="24"/>
          <w:szCs w:val="24"/>
        </w:rPr>
        <w:t>Компресия на n. medianus в карпалния канал</w:t>
      </w:r>
      <w:r w:rsidRPr="00AE47C6">
        <w:rPr>
          <w:rFonts w:ascii="Times New Roman" w:eastAsia="SimSun" w:hAnsi="Times New Roman"/>
          <w:sz w:val="24"/>
          <w:szCs w:val="24"/>
        </w:rPr>
        <w:t xml:space="preserve"> при натрупване на Gb-3 се установява при около 25%  от болните.</w:t>
      </w:r>
    </w:p>
    <w:p w14:paraId="060B8353" w14:textId="77777777" w:rsidR="00BE0B19" w:rsidRPr="00AE47C6" w:rsidRDefault="00BE0B19" w:rsidP="00BE0B19">
      <w:pPr>
        <w:tabs>
          <w:tab w:val="num" w:pos="720"/>
        </w:tabs>
        <w:autoSpaceDE w:val="0"/>
        <w:autoSpaceDN w:val="0"/>
        <w:adjustRightInd w:val="0"/>
        <w:spacing w:after="0" w:line="360" w:lineRule="auto"/>
        <w:ind w:firstLine="357"/>
        <w:jc w:val="both"/>
        <w:rPr>
          <w:rFonts w:ascii="Times New Roman" w:eastAsia="SimSun" w:hAnsi="Times New Roman"/>
          <w:sz w:val="24"/>
          <w:szCs w:val="24"/>
        </w:rPr>
      </w:pPr>
      <w:r w:rsidRPr="00AE47C6">
        <w:rPr>
          <w:rFonts w:ascii="Times New Roman" w:eastAsia="SimSun" w:hAnsi="Times New Roman"/>
          <w:sz w:val="24"/>
          <w:szCs w:val="24"/>
        </w:rPr>
        <w:t xml:space="preserve">В ранните стадии на болестта на Fabry електромиографията (ЕМГ) е без отклонения, тъй като дебело миелинизираните нервни влакна Aα и Aβ, свързани с моторните функции и дълбоката сетивност не са засегнати, но с прогресия на заболяването те се засягат и се установява редукция на сумарния моторен акционен потенциал (СМАП) и по-рядко намалена скорост на провеждане. </w:t>
      </w:r>
    </w:p>
    <w:p w14:paraId="02B9BF0E" w14:textId="77777777" w:rsidR="00BE0B19" w:rsidRPr="00AE47C6" w:rsidRDefault="00BE0B19" w:rsidP="00BE0B19">
      <w:pPr>
        <w:tabs>
          <w:tab w:val="num" w:pos="720"/>
        </w:tabs>
        <w:autoSpaceDE w:val="0"/>
        <w:autoSpaceDN w:val="0"/>
        <w:adjustRightInd w:val="0"/>
        <w:spacing w:after="0" w:line="360" w:lineRule="auto"/>
        <w:ind w:firstLine="357"/>
        <w:jc w:val="both"/>
        <w:rPr>
          <w:rFonts w:ascii="Times New Roman" w:eastAsia="SimSun" w:hAnsi="Times New Roman"/>
          <w:sz w:val="24"/>
          <w:szCs w:val="24"/>
        </w:rPr>
      </w:pPr>
      <w:r w:rsidRPr="00AE47C6">
        <w:rPr>
          <w:rFonts w:ascii="Times New Roman" w:eastAsia="SimSun" w:hAnsi="Times New Roman"/>
          <w:sz w:val="24"/>
          <w:szCs w:val="24"/>
        </w:rPr>
        <w:t xml:space="preserve">Най-честите </w:t>
      </w:r>
      <w:r w:rsidRPr="00AE47C6">
        <w:rPr>
          <w:rFonts w:ascii="Times New Roman" w:eastAsia="SimSun" w:hAnsi="Times New Roman"/>
          <w:b/>
          <w:i/>
          <w:sz w:val="24"/>
          <w:szCs w:val="24"/>
        </w:rPr>
        <w:t xml:space="preserve">отоневрологични прояви </w:t>
      </w:r>
      <w:r w:rsidRPr="00AE47C6">
        <w:rPr>
          <w:rFonts w:ascii="Times New Roman" w:eastAsia="SimSun" w:hAnsi="Times New Roman"/>
          <w:sz w:val="24"/>
          <w:szCs w:val="24"/>
        </w:rPr>
        <w:t>са прогресивно невросензорно намаление на слуха основно за високите честоти, внезапна загуба на слух, тинитус и замайване, зачестяващи с възрастта.</w:t>
      </w:r>
    </w:p>
    <w:p w14:paraId="2AE31C88" w14:textId="77777777" w:rsidR="00BE0B19" w:rsidRPr="00AE47C6" w:rsidRDefault="00BE0B19" w:rsidP="00BE0B19">
      <w:pPr>
        <w:tabs>
          <w:tab w:val="num" w:pos="720"/>
        </w:tabs>
        <w:autoSpaceDE w:val="0"/>
        <w:autoSpaceDN w:val="0"/>
        <w:adjustRightInd w:val="0"/>
        <w:spacing w:after="0" w:line="360" w:lineRule="auto"/>
        <w:ind w:firstLine="357"/>
        <w:jc w:val="both"/>
        <w:rPr>
          <w:rFonts w:ascii="Times New Roman" w:eastAsia="SimSun" w:hAnsi="Times New Roman"/>
          <w:sz w:val="24"/>
          <w:szCs w:val="24"/>
        </w:rPr>
      </w:pPr>
      <w:r w:rsidRPr="00AE47C6">
        <w:rPr>
          <w:rFonts w:ascii="Times New Roman" w:eastAsia="SimSun" w:hAnsi="Times New Roman"/>
          <w:b/>
          <w:i/>
          <w:sz w:val="24"/>
          <w:szCs w:val="24"/>
        </w:rPr>
        <w:t>Офталмологичните прояви</w:t>
      </w:r>
      <w:r w:rsidRPr="00AE47C6">
        <w:rPr>
          <w:rFonts w:ascii="Times New Roman" w:eastAsia="SimSun" w:hAnsi="Times New Roman"/>
          <w:sz w:val="24"/>
          <w:szCs w:val="24"/>
        </w:rPr>
        <w:t xml:space="preserve"> на заболяването включват cornea verticillata, субкапсуларна катаракта, извитост на кръвоносните съдове на конюнктивата и ретината.</w:t>
      </w:r>
    </w:p>
    <w:p w14:paraId="65CA59D5" w14:textId="77777777" w:rsidR="00BE0B19" w:rsidRPr="00AE47C6" w:rsidRDefault="00BE0B19" w:rsidP="00BE0B19">
      <w:pPr>
        <w:tabs>
          <w:tab w:val="num" w:pos="720"/>
        </w:tabs>
        <w:autoSpaceDE w:val="0"/>
        <w:autoSpaceDN w:val="0"/>
        <w:adjustRightInd w:val="0"/>
        <w:spacing w:after="0" w:line="360" w:lineRule="auto"/>
        <w:ind w:firstLine="357"/>
        <w:jc w:val="both"/>
        <w:rPr>
          <w:rFonts w:ascii="Times New Roman" w:eastAsia="SimSun" w:hAnsi="Times New Roman"/>
          <w:sz w:val="24"/>
          <w:szCs w:val="24"/>
        </w:rPr>
      </w:pPr>
      <w:r w:rsidRPr="00AE47C6">
        <w:rPr>
          <w:rFonts w:ascii="Times New Roman" w:eastAsia="SimSun" w:hAnsi="Times New Roman"/>
          <w:b/>
          <w:sz w:val="24"/>
          <w:szCs w:val="24"/>
        </w:rPr>
        <w:t xml:space="preserve">Засягане на централната нервна система (ЦНС). </w:t>
      </w:r>
      <w:r w:rsidRPr="00AE47C6">
        <w:rPr>
          <w:rFonts w:ascii="Times New Roman" w:eastAsia="SimSun" w:hAnsi="Times New Roman"/>
          <w:sz w:val="24"/>
          <w:szCs w:val="24"/>
        </w:rPr>
        <w:t xml:space="preserve">Включва </w:t>
      </w:r>
      <w:r w:rsidRPr="00AE47C6">
        <w:rPr>
          <w:rFonts w:ascii="Times New Roman" w:eastAsia="SimSun" w:hAnsi="Times New Roman"/>
          <w:i/>
          <w:sz w:val="24"/>
          <w:szCs w:val="24"/>
        </w:rPr>
        <w:t>транзиторни исхемични атаки (ТИА), исхемични или хеморагични мозъчни инфаркти</w:t>
      </w:r>
      <w:r w:rsidRPr="00AE47C6">
        <w:rPr>
          <w:rFonts w:ascii="Times New Roman" w:eastAsia="SimSun" w:hAnsi="Times New Roman"/>
          <w:sz w:val="24"/>
          <w:szCs w:val="24"/>
        </w:rPr>
        <w:t xml:space="preserve">. Пациентите с болест на Fabry имат 12 пъти по-висок риск от исхемичен мозъчен инсулт (ИМИ) в сравнение с общата популация с основно засягане на артериите от вертебробазиларната система. Болестта на Fabry е една от причините за исхемични мозъчни инсулти (ИМИ) в млада възраст и е установена при 4.9% от мъжете и 2.4% от жените в скринингово проучване на 721 млади пациенти с ИМИ на възраст от 18-55 г. Средната възраст на първия ИМИ при болестта на Fabry в това проучване при мъжете е 39 г., а при жените- 45.7 г. ИМИ  се развиват в резултат на съдова автономна дисфункция и увреда на съдовата авторегулация, хиперкоагулабилитет при повишени съдови адхезионни молекули и намален тромбомодулин, пролиферация на гладко-мускулните клетки, поради натрупване на lyso-Gb3 в медията,  тромбемболии, вкл. сърдечните аритмии, артериална хипертония. Исхемичните или хеморагични мозъчни инфаркти предшестват бъбречното или сърдечното засягане при 6.9% от мъжете и 4.3% от жените болест на Fabry. </w:t>
      </w:r>
    </w:p>
    <w:p w14:paraId="1EE53BB7" w14:textId="77777777" w:rsidR="00BE0B19" w:rsidRPr="00AE47C6" w:rsidRDefault="00BE0B19" w:rsidP="00BE0B19">
      <w:pPr>
        <w:tabs>
          <w:tab w:val="num" w:pos="720"/>
        </w:tabs>
        <w:autoSpaceDE w:val="0"/>
        <w:autoSpaceDN w:val="0"/>
        <w:adjustRightInd w:val="0"/>
        <w:spacing w:after="0" w:line="360" w:lineRule="auto"/>
        <w:ind w:firstLine="357"/>
        <w:jc w:val="both"/>
        <w:rPr>
          <w:rFonts w:ascii="Times New Roman" w:eastAsia="SimSun" w:hAnsi="Times New Roman"/>
          <w:sz w:val="24"/>
          <w:szCs w:val="24"/>
        </w:rPr>
      </w:pPr>
      <w:r w:rsidRPr="00AE47C6">
        <w:rPr>
          <w:rFonts w:ascii="Times New Roman" w:eastAsia="SimSun" w:hAnsi="Times New Roman"/>
          <w:sz w:val="24"/>
          <w:szCs w:val="24"/>
        </w:rPr>
        <w:t xml:space="preserve">При пациентите с болест на Fabry се установяват и </w:t>
      </w:r>
      <w:r w:rsidRPr="00AE47C6">
        <w:rPr>
          <w:rFonts w:ascii="Times New Roman" w:eastAsia="SimSun" w:hAnsi="Times New Roman"/>
          <w:b/>
          <w:i/>
          <w:sz w:val="24"/>
          <w:szCs w:val="24"/>
        </w:rPr>
        <w:t>когнитивни нарушения</w:t>
      </w:r>
      <w:r w:rsidRPr="00AE47C6">
        <w:rPr>
          <w:rFonts w:ascii="Times New Roman" w:eastAsia="SimSun" w:hAnsi="Times New Roman"/>
          <w:sz w:val="24"/>
          <w:szCs w:val="24"/>
        </w:rPr>
        <w:t xml:space="preserve"> с по-тежко засягане на вниманието и екзекутивните функции. При 60% от засегнатите са налице депресивни прояви, които могат да са следствие на реакция при хронично мултисистемно заболяване.</w:t>
      </w:r>
    </w:p>
    <w:p w14:paraId="5B308E35" w14:textId="77777777" w:rsidR="00BE0B19" w:rsidRPr="00AE47C6" w:rsidRDefault="00BE0B19" w:rsidP="00BE0B19">
      <w:pPr>
        <w:spacing w:after="0" w:line="360" w:lineRule="auto"/>
        <w:ind w:firstLine="425"/>
        <w:jc w:val="both"/>
        <w:rPr>
          <w:rFonts w:ascii="Times New Roman" w:eastAsia="SimSun" w:hAnsi="Times New Roman"/>
          <w:sz w:val="24"/>
          <w:szCs w:val="24"/>
        </w:rPr>
      </w:pPr>
      <w:r w:rsidRPr="00AE47C6">
        <w:rPr>
          <w:rFonts w:ascii="Times New Roman" w:eastAsia="SimSun" w:hAnsi="Times New Roman"/>
          <w:sz w:val="24"/>
          <w:szCs w:val="24"/>
        </w:rPr>
        <w:t xml:space="preserve">При </w:t>
      </w:r>
      <w:r w:rsidRPr="00AE47C6">
        <w:rPr>
          <w:rFonts w:ascii="Times New Roman" w:eastAsia="SimSun" w:hAnsi="Times New Roman"/>
          <w:b/>
          <w:sz w:val="24"/>
          <w:szCs w:val="24"/>
        </w:rPr>
        <w:t>магнитнорезонансната томография (МРТ) на главен мозък</w:t>
      </w:r>
      <w:r w:rsidRPr="00AE47C6">
        <w:rPr>
          <w:rFonts w:ascii="Times New Roman" w:eastAsia="SimSun" w:hAnsi="Times New Roman"/>
          <w:sz w:val="24"/>
          <w:szCs w:val="24"/>
        </w:rPr>
        <w:t xml:space="preserve"> при болест на Fabry се визуализират лезии в бялото мозъчно вещество, </w:t>
      </w:r>
      <w:r w:rsidRPr="00AE47C6">
        <w:rPr>
          <w:rFonts w:ascii="Times New Roman" w:eastAsia="SimSun" w:hAnsi="Times New Roman"/>
          <w:bCs/>
          <w:sz w:val="24"/>
          <w:szCs w:val="24"/>
        </w:rPr>
        <w:t>предимно в задните перивентрикулни области и centrum semiovale</w:t>
      </w:r>
      <w:r w:rsidRPr="00AE47C6">
        <w:rPr>
          <w:rFonts w:ascii="Times New Roman" w:eastAsia="SimSun" w:hAnsi="Times New Roman"/>
          <w:sz w:val="24"/>
          <w:szCs w:val="24"/>
        </w:rPr>
        <w:t xml:space="preserve">, мозъчни инфаркти, вкл. таламични и вертебробазиларна долихоектазия. Броят на лезиите в бялото мозъчно вещество нараства с възрастта, като може да предшества неврологичните симптоми. При жените носителки промените от МРТ могат да са аналогични на тези при мъжете. </w:t>
      </w:r>
    </w:p>
    <w:p w14:paraId="70CC5FF7" w14:textId="77777777" w:rsidR="00BE0B19" w:rsidRPr="00AE47C6" w:rsidRDefault="00BE0B19" w:rsidP="00BE0B19">
      <w:pPr>
        <w:tabs>
          <w:tab w:val="num" w:pos="72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Диференциална диагноза</w:t>
      </w:r>
      <w:r w:rsidRPr="00AE47C6">
        <w:rPr>
          <w:rFonts w:ascii="Times New Roman" w:eastAsia="SimSun" w:hAnsi="Times New Roman"/>
          <w:sz w:val="24"/>
          <w:szCs w:val="24"/>
        </w:rPr>
        <w:t xml:space="preserve"> при болест на Fabry</w:t>
      </w:r>
      <w:r w:rsidRPr="00AE47C6">
        <w:rPr>
          <w:rFonts w:ascii="Times New Roman" w:eastAsia="SimSun" w:hAnsi="Times New Roman"/>
          <w:b/>
          <w:sz w:val="24"/>
          <w:szCs w:val="24"/>
        </w:rPr>
        <w:t xml:space="preserve"> при засягане на ЦНС и ПНС </w:t>
      </w:r>
      <w:r w:rsidRPr="00AE47C6">
        <w:rPr>
          <w:rFonts w:ascii="Times New Roman" w:eastAsia="SimSun" w:hAnsi="Times New Roman"/>
          <w:sz w:val="24"/>
          <w:szCs w:val="24"/>
        </w:rPr>
        <w:t xml:space="preserve">се прави с: </w:t>
      </w:r>
      <w:r w:rsidRPr="00AE47C6">
        <w:rPr>
          <w:rFonts w:ascii="Times New Roman" w:eastAsia="SimSun" w:hAnsi="Times New Roman"/>
          <w:bCs/>
          <w:sz w:val="24"/>
          <w:szCs w:val="24"/>
        </w:rPr>
        <w:t>васкулити и колагенози (SLE, болест на Behcet, синдром на Sjogren, Ревматоиден артрит, антифосфолипиден синдром), вродени тромбофилии, CADASIL, множествена склероза, синдром на Raynaud, фибромиалгия, синдром на хроничната умора, хронична възпалителна полиневропатия, диабетна, уремична полиневропатия, наследствени сетивни и моторни полиневропатии, еритромелалгия, дерматомиозит.</w:t>
      </w:r>
    </w:p>
    <w:p w14:paraId="6B8A8954" w14:textId="77777777" w:rsidR="00BE0B19" w:rsidRPr="00AE47C6" w:rsidRDefault="00BE0B19" w:rsidP="00BE0B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sz w:val="24"/>
          <w:szCs w:val="24"/>
        </w:rPr>
        <w:tab/>
        <w:t>Гастроинтестинални симптоми</w:t>
      </w:r>
      <w:r w:rsidRPr="00AE47C6">
        <w:rPr>
          <w:rFonts w:ascii="Times New Roman" w:eastAsia="SimSun" w:hAnsi="Times New Roman"/>
          <w:sz w:val="24"/>
          <w:szCs w:val="24"/>
        </w:rPr>
        <w:t xml:space="preserve"> с коремна болка и диарии и </w:t>
      </w:r>
      <w:r w:rsidRPr="00AE47C6">
        <w:rPr>
          <w:rFonts w:ascii="Times New Roman" w:eastAsia="SimSun" w:hAnsi="Times New Roman"/>
          <w:b/>
          <w:sz w:val="24"/>
          <w:szCs w:val="24"/>
        </w:rPr>
        <w:t>ангиокератоми</w:t>
      </w:r>
      <w:r w:rsidRPr="00AE47C6">
        <w:rPr>
          <w:rFonts w:ascii="Times New Roman" w:eastAsia="SimSun" w:hAnsi="Times New Roman"/>
          <w:sz w:val="24"/>
          <w:szCs w:val="24"/>
        </w:rPr>
        <w:t xml:space="preserve"> (струпвания на лилави, пунктиформени лезии)  са ранни изяви на заболяването с начало около 5-10 годишна възраст. </w:t>
      </w:r>
    </w:p>
    <w:p w14:paraId="3CC34C6F" w14:textId="77777777" w:rsidR="00BE0B19" w:rsidRPr="00AE47C6" w:rsidRDefault="00BE0B19" w:rsidP="00BE0B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sz w:val="24"/>
          <w:szCs w:val="24"/>
        </w:rPr>
        <w:tab/>
        <w:t>Бъбречната функция</w:t>
      </w:r>
      <w:r w:rsidRPr="00AE47C6">
        <w:rPr>
          <w:rFonts w:ascii="Times New Roman" w:eastAsia="SimSun" w:hAnsi="Times New Roman"/>
          <w:sz w:val="24"/>
          <w:szCs w:val="24"/>
        </w:rPr>
        <w:t xml:space="preserve"> прогресивно се влошава поради натрупване на GL-3 в бъбреците, като средната възраст на </w:t>
      </w:r>
      <w:r w:rsidRPr="00AE47C6">
        <w:rPr>
          <w:rFonts w:ascii="Times New Roman" w:eastAsia="SimSun" w:hAnsi="Times New Roman"/>
          <w:b/>
          <w:sz w:val="24"/>
          <w:szCs w:val="24"/>
        </w:rPr>
        <w:t xml:space="preserve">клинично изявената нефропатия е около  27 г. </w:t>
      </w:r>
      <w:r w:rsidRPr="00AE47C6">
        <w:rPr>
          <w:rFonts w:ascii="Times New Roman" w:eastAsia="SimSun" w:hAnsi="Times New Roman"/>
          <w:sz w:val="24"/>
          <w:szCs w:val="24"/>
        </w:rPr>
        <w:t xml:space="preserve">Нелекуваните пациенти развиват </w:t>
      </w:r>
      <w:r w:rsidRPr="00AE47C6">
        <w:rPr>
          <w:rFonts w:ascii="Times New Roman" w:eastAsia="SimSun" w:hAnsi="Times New Roman"/>
          <w:b/>
          <w:sz w:val="24"/>
          <w:szCs w:val="24"/>
        </w:rPr>
        <w:t>терминален стадий на бъбречна недостатъчност средно около 47 г.</w:t>
      </w:r>
      <w:r w:rsidRPr="00AE47C6">
        <w:rPr>
          <w:rFonts w:ascii="Times New Roman" w:eastAsia="SimSun" w:hAnsi="Times New Roman"/>
          <w:sz w:val="24"/>
          <w:szCs w:val="24"/>
        </w:rPr>
        <w:t xml:space="preserve"> (между  21–56 г).</w:t>
      </w:r>
    </w:p>
    <w:p w14:paraId="2B580DF9" w14:textId="77777777" w:rsidR="00BE0B19" w:rsidRPr="00AE47C6" w:rsidRDefault="00BE0B19" w:rsidP="00BE0B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sz w:val="24"/>
          <w:szCs w:val="24"/>
        </w:rPr>
        <w:tab/>
        <w:t>Сърдечното засягане включва левокамерна хипертрофия</w:t>
      </w:r>
      <w:r w:rsidRPr="00AE47C6">
        <w:rPr>
          <w:rFonts w:ascii="Times New Roman" w:eastAsia="SimSun" w:hAnsi="Times New Roman"/>
          <w:sz w:val="24"/>
          <w:szCs w:val="24"/>
        </w:rPr>
        <w:t xml:space="preserve">, </w:t>
      </w:r>
      <w:r w:rsidRPr="00AE47C6">
        <w:rPr>
          <w:rFonts w:ascii="Times New Roman" w:eastAsia="SimSun" w:hAnsi="Times New Roman"/>
          <w:b/>
          <w:sz w:val="24"/>
          <w:szCs w:val="24"/>
        </w:rPr>
        <w:t>аритмии, миокардна фиброза, синкопи, интолеранс при физически усилия</w:t>
      </w:r>
      <w:r w:rsidRPr="00AE47C6">
        <w:rPr>
          <w:rFonts w:ascii="Times New Roman" w:eastAsia="SimSun" w:hAnsi="Times New Roman"/>
          <w:sz w:val="24"/>
          <w:szCs w:val="24"/>
        </w:rPr>
        <w:t>. Левокамерната сърдечна хипертрофия се развива между 40 и 50 годишна възраст. Преди въвеждането на ензим –заместваща терапия заболяването води до летален изход около 45.5 г. в резултат на бъбречна недостатъчност.</w:t>
      </w:r>
    </w:p>
    <w:p w14:paraId="6C1CE684" w14:textId="77777777" w:rsidR="00BE0B19" w:rsidRPr="00AE47C6" w:rsidRDefault="00BE0B19" w:rsidP="00BE0B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360" w:lineRule="auto"/>
        <w:textAlignment w:val="baseline"/>
        <w:rPr>
          <w:rFonts w:ascii="Times New Roman" w:eastAsia="SimSun" w:hAnsi="Times New Roman"/>
          <w:sz w:val="24"/>
          <w:szCs w:val="24"/>
        </w:rPr>
      </w:pPr>
      <w:r w:rsidRPr="00AE47C6">
        <w:rPr>
          <w:rFonts w:ascii="Times New Roman" w:eastAsia="SimSun" w:hAnsi="Times New Roman"/>
          <w:sz w:val="24"/>
          <w:szCs w:val="24"/>
        </w:rPr>
        <w:tab/>
        <w:t>Развива се и обструктивен тип белодробно заболяване.</w:t>
      </w:r>
    </w:p>
    <w:p w14:paraId="2BC446B9" w14:textId="77777777" w:rsidR="00BE0B19" w:rsidRPr="00AE47C6" w:rsidRDefault="00BE0B19" w:rsidP="00BE0B1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u w:val="single"/>
        </w:rPr>
        <w:t>Болестта на Fabry се диагностицирана основание на клинични, биохимични, генетични и патологични критерии.</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Клиничните критерии като  нефропатия, хипертрофична кардиомиопатия и инсулт са неспецифични, налагат широка диференциална диагноза и затова се използва съчетание от клинични симптоми и допълнителни биохимични и генетични изследвания, в някои случаи и хистопатологични, за доказване на диагнозата. Cornea verticillata и биопсично доказани ангиокератоми са по-специфични, но също са диагностични в комбинация с други клинични критерии. </w:t>
      </w:r>
    </w:p>
    <w:p w14:paraId="23D9E8EC" w14:textId="77777777" w:rsidR="00BE0B19" w:rsidRPr="00AE47C6" w:rsidRDefault="00BE0B19" w:rsidP="00BE0B19">
      <w:pPr>
        <w:spacing w:after="0" w:line="360" w:lineRule="auto"/>
        <w:ind w:left="785"/>
        <w:contextualSpacing/>
        <w:jc w:val="both"/>
        <w:rPr>
          <w:rFonts w:ascii="Times New Roman" w:eastAsia="SimSun" w:hAnsi="Times New Roman"/>
          <w:b/>
          <w:sz w:val="24"/>
          <w:szCs w:val="24"/>
          <w:u w:val="single"/>
        </w:rPr>
      </w:pPr>
      <w:r w:rsidRPr="00AE47C6">
        <w:rPr>
          <w:rFonts w:ascii="Times New Roman" w:eastAsia="SimSun" w:hAnsi="Times New Roman"/>
          <w:b/>
          <w:sz w:val="24"/>
          <w:szCs w:val="24"/>
          <w:u w:val="single"/>
        </w:rPr>
        <w:t xml:space="preserve">Клинични критерии за диагностициране на болестта на Fabry: </w:t>
      </w:r>
    </w:p>
    <w:p w14:paraId="79C964AC" w14:textId="77777777" w:rsidR="00BE0B19" w:rsidRPr="00AE47C6" w:rsidRDefault="00BE0B19" w:rsidP="00BE0B19">
      <w:pPr>
        <w:spacing w:after="0" w:line="360" w:lineRule="auto"/>
        <w:ind w:firstLine="425"/>
        <w:jc w:val="both"/>
        <w:rPr>
          <w:rFonts w:ascii="Times New Roman" w:eastAsia="SimSun" w:hAnsi="Times New Roman"/>
          <w:sz w:val="24"/>
          <w:szCs w:val="24"/>
        </w:rPr>
      </w:pPr>
      <w:r w:rsidRPr="00AE47C6">
        <w:rPr>
          <w:rFonts w:ascii="Times New Roman" w:eastAsia="SimSun" w:hAnsi="Times New Roman"/>
          <w:b/>
          <w:sz w:val="24"/>
          <w:szCs w:val="24"/>
        </w:rPr>
        <w:t>Големи критерии</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Фамилна анамнеза за болест на Fabry; Ангиокератом; Бъбречно заболяване</w:t>
      </w:r>
      <w:r w:rsidRPr="00AE47C6">
        <w:rPr>
          <w:rFonts w:ascii="Times New Roman" w:eastAsia="SimSun" w:hAnsi="Times New Roman"/>
          <w:sz w:val="24"/>
          <w:szCs w:val="24"/>
        </w:rPr>
        <w:t xml:space="preserve"> (бъбречна недостатъчност или изолирана протеинурия); </w:t>
      </w:r>
      <w:r w:rsidRPr="00AE47C6">
        <w:rPr>
          <w:rFonts w:ascii="Times New Roman" w:eastAsia="SimSun" w:hAnsi="Times New Roman"/>
          <w:i/>
          <w:sz w:val="24"/>
          <w:szCs w:val="24"/>
        </w:rPr>
        <w:t>Корнеални опацитати; Акропарестезии в областта на дланите и ходилата; Хипертрофична кардиомиопатия или аномалии на диастолното пълнене; Ранни ТИА или исхемичен мозъчен инсулт (ИМИ).</w:t>
      </w:r>
    </w:p>
    <w:p w14:paraId="3E280A81" w14:textId="77777777" w:rsidR="00BE0B19" w:rsidRPr="00AE47C6" w:rsidRDefault="00BE0B19" w:rsidP="00BE0B19">
      <w:pPr>
        <w:spacing w:after="0" w:line="360" w:lineRule="auto"/>
        <w:ind w:firstLine="425"/>
        <w:jc w:val="both"/>
        <w:rPr>
          <w:rFonts w:ascii="Times New Roman" w:eastAsia="SimSun" w:hAnsi="Times New Roman"/>
          <w:sz w:val="24"/>
          <w:szCs w:val="24"/>
        </w:rPr>
      </w:pPr>
      <w:r w:rsidRPr="00AE47C6">
        <w:rPr>
          <w:rFonts w:ascii="Times New Roman" w:eastAsia="SimSun" w:hAnsi="Times New Roman"/>
          <w:b/>
          <w:sz w:val="24"/>
          <w:szCs w:val="24"/>
        </w:rPr>
        <w:t>Малки критерии</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Хронично стомашно-чревно нарушение; Хипохидроза; Непоносимост към горещина; Лимфедем; Намаление на слуха; Тинитус и постурална хипотония; Сърдечни критерии (малки)-</w:t>
      </w:r>
      <w:r w:rsidRPr="00AE47C6">
        <w:rPr>
          <w:rFonts w:ascii="Times New Roman" w:eastAsia="SimSun" w:hAnsi="Times New Roman"/>
          <w:sz w:val="24"/>
          <w:szCs w:val="24"/>
        </w:rPr>
        <w:t xml:space="preserve">увеличен размер на лявото предсърдие, аномалии в проводимостта с AV блок, къс PR интервал при липса на синдром на Wolf-Parkinson-White, камерна и предсърдна тахиаритмия, ляв бедрен блок; умерена митрална или аортна инсуфициенция при липса на други известни клапни аномалии); </w:t>
      </w:r>
      <w:r w:rsidRPr="00AE47C6">
        <w:rPr>
          <w:rFonts w:ascii="Times New Roman" w:eastAsia="SimSun" w:hAnsi="Times New Roman"/>
          <w:i/>
          <w:sz w:val="24"/>
          <w:szCs w:val="24"/>
        </w:rPr>
        <w:t>Необясними МРТ промени в бялото мозъчно вещество</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Световъртеж; Монокулярна слепота</w:t>
      </w:r>
      <w:r w:rsidRPr="00AE47C6">
        <w:rPr>
          <w:rFonts w:ascii="Times New Roman" w:eastAsia="SimSun" w:hAnsi="Times New Roman"/>
          <w:sz w:val="24"/>
          <w:szCs w:val="24"/>
        </w:rPr>
        <w:t xml:space="preserve"> (оптична невропатия); </w:t>
      </w:r>
      <w:r w:rsidRPr="00AE47C6">
        <w:rPr>
          <w:rFonts w:ascii="Times New Roman" w:eastAsia="SimSun" w:hAnsi="Times New Roman"/>
          <w:i/>
          <w:sz w:val="24"/>
          <w:szCs w:val="24"/>
        </w:rPr>
        <w:t>Ставна болка</w:t>
      </w:r>
      <w:r w:rsidRPr="00AE47C6">
        <w:rPr>
          <w:rFonts w:ascii="Times New Roman" w:eastAsia="SimSun" w:hAnsi="Times New Roman"/>
          <w:sz w:val="24"/>
          <w:szCs w:val="24"/>
        </w:rPr>
        <w:t xml:space="preserve"> (артралгия/артрит)</w:t>
      </w:r>
    </w:p>
    <w:p w14:paraId="2127BF9F" w14:textId="77777777" w:rsidR="00BE0B19" w:rsidRPr="00AE47C6" w:rsidRDefault="00BE0B19" w:rsidP="00BE0B19">
      <w:pPr>
        <w:spacing w:after="0" w:line="360" w:lineRule="auto"/>
        <w:ind w:firstLine="425"/>
        <w:jc w:val="both"/>
        <w:rPr>
          <w:rFonts w:ascii="Times New Roman" w:eastAsia="SimSun" w:hAnsi="Times New Roman"/>
          <w:b/>
          <w:sz w:val="24"/>
          <w:szCs w:val="24"/>
        </w:rPr>
      </w:pPr>
      <w:r w:rsidRPr="00AE47C6">
        <w:rPr>
          <w:rFonts w:ascii="Times New Roman" w:eastAsia="SimSun" w:hAnsi="Times New Roman"/>
          <w:b/>
          <w:i/>
          <w:sz w:val="24"/>
          <w:szCs w:val="24"/>
        </w:rPr>
        <w:t xml:space="preserve">Възрастни </w:t>
      </w:r>
      <w:r w:rsidRPr="00AE47C6">
        <w:rPr>
          <w:rFonts w:ascii="Times New Roman" w:eastAsia="SimSun" w:hAnsi="Times New Roman"/>
          <w:b/>
          <w:sz w:val="24"/>
          <w:szCs w:val="24"/>
        </w:rPr>
        <w:t xml:space="preserve">с един голям и един малък или три малки критерии трябва да бъдат допълнително изследвани. </w:t>
      </w:r>
    </w:p>
    <w:p w14:paraId="0CEEF88D" w14:textId="77777777" w:rsidR="00BE0B19" w:rsidRPr="00AE47C6" w:rsidRDefault="00BE0B19" w:rsidP="00BE0B19">
      <w:pPr>
        <w:spacing w:after="0" w:line="360" w:lineRule="auto"/>
        <w:ind w:firstLine="425"/>
        <w:jc w:val="both"/>
        <w:rPr>
          <w:rFonts w:ascii="Times New Roman" w:eastAsia="SimSun" w:hAnsi="Times New Roman"/>
          <w:b/>
          <w:sz w:val="24"/>
          <w:szCs w:val="24"/>
        </w:rPr>
      </w:pPr>
      <w:r w:rsidRPr="00AE47C6">
        <w:rPr>
          <w:rFonts w:ascii="Times New Roman" w:eastAsia="SimSun" w:hAnsi="Times New Roman"/>
          <w:b/>
          <w:i/>
          <w:sz w:val="24"/>
          <w:szCs w:val="24"/>
        </w:rPr>
        <w:t>При деца под 16 г</w:t>
      </w:r>
      <w:r w:rsidRPr="00AE47C6">
        <w:rPr>
          <w:rFonts w:ascii="Times New Roman" w:eastAsia="SimSun" w:hAnsi="Times New Roman"/>
          <w:b/>
          <w:sz w:val="24"/>
          <w:szCs w:val="24"/>
        </w:rPr>
        <w:t>. с един голям или три малки критерия трябва да се търси болест на Fabry.</w:t>
      </w:r>
    </w:p>
    <w:p w14:paraId="46C1FF21" w14:textId="77777777" w:rsidR="00BE0B19" w:rsidRPr="00AE47C6" w:rsidRDefault="00BE0B19" w:rsidP="00BE0B19">
      <w:pPr>
        <w:shd w:val="clear" w:color="auto" w:fill="FFFFFF"/>
        <w:spacing w:after="0" w:line="360" w:lineRule="auto"/>
        <w:rPr>
          <w:rFonts w:ascii="Times New Roman" w:eastAsia="SimSun" w:hAnsi="Times New Roman"/>
          <w:b/>
          <w:sz w:val="24"/>
          <w:szCs w:val="24"/>
        </w:rPr>
      </w:pPr>
      <w:r w:rsidRPr="00AE47C6">
        <w:rPr>
          <w:rFonts w:ascii="Times New Roman" w:eastAsia="SimSun" w:hAnsi="Times New Roman"/>
          <w:b/>
          <w:sz w:val="24"/>
          <w:szCs w:val="24"/>
          <w:u w:val="single"/>
        </w:rPr>
        <w:t>Биохимични критерии:</w:t>
      </w:r>
    </w:p>
    <w:p w14:paraId="1B6580E3" w14:textId="77777777" w:rsidR="00BE0B19" w:rsidRPr="00AE47C6" w:rsidRDefault="00BE0B19" w:rsidP="00BE0B19">
      <w:pPr>
        <w:numPr>
          <w:ilvl w:val="0"/>
          <w:numId w:val="369"/>
        </w:numPr>
        <w:shd w:val="clear" w:color="auto" w:fill="FFFFFF"/>
        <w:spacing w:after="0" w:line="360" w:lineRule="auto"/>
        <w:contextualSpacing/>
        <w:jc w:val="both"/>
        <w:rPr>
          <w:rFonts w:ascii="Times New Roman" w:eastAsia="SimSun" w:hAnsi="Times New Roman"/>
          <w:b/>
          <w:sz w:val="24"/>
          <w:szCs w:val="24"/>
        </w:rPr>
      </w:pPr>
      <w:r w:rsidRPr="00AE47C6">
        <w:rPr>
          <w:rFonts w:ascii="Times New Roman" w:eastAsia="SimSun" w:hAnsi="Times New Roman"/>
          <w:b/>
          <w:sz w:val="24"/>
          <w:szCs w:val="24"/>
          <w:u w:val="single"/>
        </w:rPr>
        <w:t>Снижена ензимна активност на α-галактозидаза A (</w:t>
      </w:r>
      <w:r w:rsidRPr="00AE47C6">
        <w:rPr>
          <w:rFonts w:ascii="Times New Roman" w:eastAsia="SimSun" w:hAnsi="Times New Roman"/>
          <w:sz w:val="24"/>
          <w:szCs w:val="24"/>
          <w:u w:val="single"/>
        </w:rPr>
        <w:t>α-GalA)</w:t>
      </w:r>
      <w:r w:rsidRPr="00AE47C6">
        <w:rPr>
          <w:rFonts w:ascii="Times New Roman" w:eastAsia="SimSun" w:hAnsi="Times New Roman"/>
          <w:sz w:val="24"/>
          <w:szCs w:val="24"/>
        </w:rPr>
        <w:t xml:space="preserve"> в левкоцити или суха капка кръв е </w:t>
      </w:r>
      <w:r w:rsidRPr="00AE47C6">
        <w:rPr>
          <w:rFonts w:ascii="Times New Roman" w:eastAsia="SimSun" w:hAnsi="Times New Roman"/>
          <w:b/>
          <w:sz w:val="24"/>
          <w:szCs w:val="24"/>
        </w:rPr>
        <w:t xml:space="preserve">златен стандарт за диагностициране на болестта на Fabry при мъжете, като тя е снижена под 5% или липсва, </w:t>
      </w:r>
      <w:r w:rsidRPr="00AE47C6">
        <w:rPr>
          <w:rFonts w:ascii="Times New Roman" w:eastAsia="SimSun" w:hAnsi="Times New Roman"/>
          <w:b/>
          <w:sz w:val="24"/>
          <w:szCs w:val="24"/>
          <w:u w:val="single"/>
        </w:rPr>
        <w:t xml:space="preserve">но при жените изследването на ензимната активност на α-GalA </w:t>
      </w:r>
      <w:r w:rsidRPr="00AE47C6">
        <w:rPr>
          <w:rFonts w:ascii="Times New Roman" w:eastAsia="SimSun" w:hAnsi="Times New Roman"/>
          <w:b/>
          <w:sz w:val="24"/>
          <w:szCs w:val="24"/>
          <w:u w:val="single"/>
          <w:shd w:val="clear" w:color="auto" w:fill="F8F9FA"/>
        </w:rPr>
        <w:t>е недостатъчно</w:t>
      </w:r>
      <w:r w:rsidRPr="00AE47C6">
        <w:rPr>
          <w:rFonts w:ascii="Times New Roman" w:eastAsia="SimSun" w:hAnsi="Times New Roman"/>
          <w:b/>
          <w:sz w:val="24"/>
          <w:szCs w:val="24"/>
          <w:shd w:val="clear" w:color="auto" w:fill="F8F9FA"/>
        </w:rPr>
        <w:t xml:space="preserve"> </w:t>
      </w:r>
      <w:r w:rsidRPr="00AE47C6">
        <w:rPr>
          <w:rFonts w:ascii="Times New Roman" w:eastAsia="SimSun" w:hAnsi="Times New Roman"/>
          <w:b/>
          <w:sz w:val="24"/>
          <w:szCs w:val="24"/>
        </w:rPr>
        <w:t xml:space="preserve">и </w:t>
      </w:r>
      <w:r w:rsidRPr="00AE47C6">
        <w:rPr>
          <w:rFonts w:ascii="Times New Roman" w:eastAsia="SimSun" w:hAnsi="Times New Roman"/>
          <w:b/>
          <w:sz w:val="24"/>
          <w:szCs w:val="24"/>
          <w:u w:val="single"/>
        </w:rPr>
        <w:t>необходимо молекулярно-генетично изследване</w:t>
      </w:r>
      <w:r w:rsidRPr="00AE47C6">
        <w:rPr>
          <w:rFonts w:ascii="Times New Roman" w:eastAsia="SimSun" w:hAnsi="Times New Roman"/>
          <w:b/>
          <w:sz w:val="24"/>
          <w:szCs w:val="24"/>
        </w:rPr>
        <w:t xml:space="preserve"> за потвърждаване</w:t>
      </w:r>
      <w:r w:rsidRPr="00AE47C6">
        <w:rPr>
          <w:rFonts w:ascii="Times New Roman" w:eastAsia="SimSun" w:hAnsi="Times New Roman"/>
          <w:sz w:val="24"/>
          <w:szCs w:val="24"/>
        </w:rPr>
        <w:t xml:space="preserve"> на диагнозата.  </w:t>
      </w:r>
    </w:p>
    <w:p w14:paraId="200E4D86" w14:textId="77777777" w:rsidR="00BE0B19" w:rsidRPr="00AE47C6" w:rsidRDefault="00BE0B19" w:rsidP="00BE0B19">
      <w:pPr>
        <w:numPr>
          <w:ilvl w:val="0"/>
          <w:numId w:val="369"/>
        </w:numPr>
        <w:shd w:val="clear" w:color="auto" w:fill="FFFFFF"/>
        <w:spacing w:after="0" w:line="360" w:lineRule="auto"/>
        <w:contextualSpacing/>
        <w:jc w:val="both"/>
        <w:rPr>
          <w:rFonts w:ascii="Times New Roman" w:eastAsia="SimSun" w:hAnsi="Times New Roman"/>
          <w:b/>
          <w:sz w:val="24"/>
          <w:szCs w:val="24"/>
        </w:rPr>
      </w:pPr>
      <w:r w:rsidRPr="00AE47C6">
        <w:rPr>
          <w:rFonts w:ascii="Times New Roman" w:eastAsia="SimSun" w:hAnsi="Times New Roman"/>
          <w:b/>
          <w:sz w:val="24"/>
          <w:szCs w:val="24"/>
        </w:rPr>
        <w:t>Биомаркери в урина и плазма</w:t>
      </w:r>
      <w:r w:rsidRPr="00AE47C6">
        <w:rPr>
          <w:rFonts w:ascii="Times New Roman" w:eastAsia="SimSun" w:hAnsi="Times New Roman"/>
          <w:sz w:val="24"/>
          <w:szCs w:val="24"/>
        </w:rPr>
        <w:t xml:space="preserve">: повишени </w:t>
      </w:r>
      <w:r w:rsidRPr="00AE47C6">
        <w:rPr>
          <w:rFonts w:ascii="Times New Roman" w:eastAsia="SimSun" w:hAnsi="Times New Roman"/>
          <w:b/>
          <w:sz w:val="24"/>
          <w:szCs w:val="24"/>
        </w:rPr>
        <w:t>глоботриазилцерамид (Gb-3) и сфингозин- глоботриазилцерамид (Lyso-Gb-3</w:t>
      </w:r>
      <w:r w:rsidRPr="00AE47C6">
        <w:rPr>
          <w:rFonts w:ascii="Times New Roman" w:eastAsia="SimSun" w:hAnsi="Times New Roman"/>
          <w:sz w:val="24"/>
          <w:szCs w:val="24"/>
        </w:rPr>
        <w:t xml:space="preserve">). </w:t>
      </w:r>
      <w:r w:rsidRPr="00AE47C6">
        <w:rPr>
          <w:rFonts w:ascii="Times New Roman" w:eastAsia="SimSun" w:hAnsi="Times New Roman"/>
          <w:b/>
          <w:sz w:val="24"/>
          <w:szCs w:val="24"/>
        </w:rPr>
        <w:t xml:space="preserve">Повишаването на  Gb-3 </w:t>
      </w:r>
      <w:r w:rsidRPr="00AE47C6">
        <w:rPr>
          <w:rFonts w:ascii="Times New Roman" w:eastAsia="SimSun" w:hAnsi="Times New Roman"/>
          <w:sz w:val="24"/>
          <w:szCs w:val="24"/>
        </w:rPr>
        <w:t xml:space="preserve">в плазма и урината е показателно за начална диагноза и дълготрайното проследяване, както и за ефект от провежданото лечение. При мъже с класическа болест на  </w:t>
      </w:r>
      <w:r w:rsidRPr="00AE47C6">
        <w:rPr>
          <w:rFonts w:ascii="Times New Roman" w:eastAsia="SimSun" w:hAnsi="Times New Roman"/>
          <w:bCs/>
          <w:sz w:val="24"/>
          <w:szCs w:val="24"/>
        </w:rPr>
        <w:t xml:space="preserve">Fabry </w:t>
      </w:r>
      <w:r w:rsidRPr="00AE47C6">
        <w:rPr>
          <w:rFonts w:ascii="Times New Roman" w:eastAsia="SimSun" w:hAnsi="Times New Roman"/>
          <w:sz w:val="24"/>
          <w:szCs w:val="24"/>
        </w:rPr>
        <w:t xml:space="preserve">Gb-3 е повишен от 200 до 400 пъти. При жени-хетерозиготни носители и мъже с некласическа форма със  сърдечно засягане и мутация p.N215S стойността му може да не е променена. </w:t>
      </w:r>
      <w:r w:rsidRPr="00AE47C6">
        <w:rPr>
          <w:rFonts w:ascii="Times New Roman" w:eastAsia="SimSun" w:hAnsi="Times New Roman"/>
          <w:b/>
          <w:sz w:val="24"/>
          <w:szCs w:val="24"/>
        </w:rPr>
        <w:t xml:space="preserve">Lyso-Gb3 </w:t>
      </w:r>
      <w:r w:rsidRPr="00AE47C6">
        <w:rPr>
          <w:rFonts w:ascii="Times New Roman" w:eastAsia="SimSun" w:hAnsi="Times New Roman"/>
          <w:sz w:val="24"/>
          <w:szCs w:val="24"/>
        </w:rPr>
        <w:t xml:space="preserve">е по-чувствителен маркер, може да се използва за скринингови изследвания и при жени, но може да не е променен при жени - хетерозиготни носителки.  </w:t>
      </w:r>
    </w:p>
    <w:p w14:paraId="5FC0C4FA" w14:textId="77777777" w:rsidR="00BE0B19" w:rsidRPr="00AE47C6" w:rsidRDefault="00BE0B19" w:rsidP="00BE0B19">
      <w:pPr>
        <w:numPr>
          <w:ilvl w:val="0"/>
          <w:numId w:val="369"/>
        </w:numPr>
        <w:shd w:val="clear" w:color="auto" w:fill="FFFFFF"/>
        <w:spacing w:after="0" w:line="360" w:lineRule="auto"/>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Молекулярно-генетично изследване на </w:t>
      </w:r>
      <w:r w:rsidRPr="00AE47C6">
        <w:rPr>
          <w:rFonts w:ascii="Times New Roman" w:eastAsia="SimSun" w:hAnsi="Times New Roman"/>
          <w:b/>
          <w:i/>
          <w:sz w:val="24"/>
          <w:szCs w:val="24"/>
        </w:rPr>
        <w:t>GLA</w:t>
      </w:r>
      <w:r w:rsidRPr="00AE47C6">
        <w:rPr>
          <w:rFonts w:ascii="Times New Roman" w:eastAsia="SimSun" w:hAnsi="Times New Roman"/>
          <w:b/>
          <w:sz w:val="24"/>
          <w:szCs w:val="24"/>
        </w:rPr>
        <w:t xml:space="preserve"> гена е необходимо при жени суспектни за болест на</w:t>
      </w:r>
      <w:r w:rsidRPr="00AE47C6">
        <w:rPr>
          <w:rFonts w:ascii="Times New Roman" w:eastAsia="SimSun" w:hAnsi="Times New Roman"/>
          <w:b/>
          <w:bCs/>
          <w:sz w:val="24"/>
          <w:szCs w:val="24"/>
        </w:rPr>
        <w:t xml:space="preserve"> Fabry</w:t>
      </w:r>
      <w:r w:rsidRPr="00AE47C6">
        <w:rPr>
          <w:rFonts w:ascii="Times New Roman" w:eastAsia="SimSun" w:hAnsi="Times New Roman"/>
          <w:sz w:val="24"/>
          <w:szCs w:val="24"/>
        </w:rPr>
        <w:t xml:space="preserve">, </w:t>
      </w:r>
      <w:r w:rsidRPr="00AE47C6">
        <w:rPr>
          <w:rFonts w:ascii="Times New Roman" w:eastAsia="SimSun" w:hAnsi="Times New Roman"/>
          <w:b/>
          <w:sz w:val="24"/>
          <w:szCs w:val="24"/>
        </w:rPr>
        <w:t>при фамилен скрининг и за генетично консултиране</w:t>
      </w:r>
      <w:r w:rsidRPr="00AE47C6">
        <w:rPr>
          <w:rFonts w:ascii="Times New Roman" w:eastAsia="SimSun" w:hAnsi="Times New Roman"/>
          <w:sz w:val="24"/>
          <w:szCs w:val="24"/>
        </w:rPr>
        <w:t>. Известни са мутации в бази данни със сигурно доказани мутации/ патологични варианти (http://www.galafoldamenabilitytable.com/hcp/). Не се приемат за поставяне на диагнозата варианти с неясно значение (Variants of uncertain significance, VUS), а при съответна клиника се предприема биопсично изследване за доказване на диагнозата. Препоръчва се генетично тестиране за болест на Fabry при пациенти с хипертрофична кардиомиопатия като част от панелно скриниране, но при болест на Fabry с хипертрофична кардиомиопатия трябва да се изключат и други причини (възможни са и други мутации).</w:t>
      </w:r>
    </w:p>
    <w:p w14:paraId="0151869D" w14:textId="77777777" w:rsidR="00BE0B19" w:rsidRPr="00AE47C6" w:rsidRDefault="00BE0B19" w:rsidP="00BE0B19">
      <w:pPr>
        <w:numPr>
          <w:ilvl w:val="0"/>
          <w:numId w:val="369"/>
        </w:numPr>
        <w:shd w:val="clear" w:color="auto" w:fill="FFFFFF"/>
        <w:spacing w:after="0" w:line="360" w:lineRule="auto"/>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Патологоанатомични критерии: </w:t>
      </w:r>
      <w:r w:rsidRPr="00AE47C6">
        <w:rPr>
          <w:rFonts w:ascii="Times New Roman" w:eastAsia="SimSun" w:hAnsi="Times New Roman"/>
          <w:sz w:val="24"/>
          <w:szCs w:val="24"/>
        </w:rPr>
        <w:t xml:space="preserve">При </w:t>
      </w:r>
      <w:r w:rsidRPr="00AE47C6">
        <w:rPr>
          <w:rFonts w:ascii="Times New Roman" w:eastAsia="SimSun" w:hAnsi="Times New Roman"/>
          <w:i/>
          <w:sz w:val="24"/>
          <w:szCs w:val="24"/>
        </w:rPr>
        <w:t>биопсични изследвания от бъбреци, сърце, кожа или други тъкани</w:t>
      </w:r>
      <w:r w:rsidRPr="00AE47C6">
        <w:rPr>
          <w:rFonts w:ascii="Times New Roman" w:eastAsia="SimSun" w:hAnsi="Times New Roman"/>
          <w:sz w:val="24"/>
          <w:szCs w:val="24"/>
        </w:rPr>
        <w:t xml:space="preserve"> се търси чрез </w:t>
      </w:r>
      <w:r w:rsidRPr="00AE47C6">
        <w:rPr>
          <w:rFonts w:ascii="Times New Roman" w:eastAsia="SimSun" w:hAnsi="Times New Roman"/>
          <w:i/>
          <w:sz w:val="24"/>
          <w:szCs w:val="24"/>
        </w:rPr>
        <w:t>имунохистохимично изследване натрупване на Gb-3.</w:t>
      </w:r>
      <w:r w:rsidRPr="00AE47C6">
        <w:rPr>
          <w:rFonts w:ascii="Times New Roman" w:eastAsia="SimSun" w:hAnsi="Times New Roman"/>
          <w:sz w:val="24"/>
          <w:szCs w:val="24"/>
        </w:rPr>
        <w:t xml:space="preserve"> В кожна биопсия заболяването се потвърждава чрез установяване на гликосфинголипиди. При </w:t>
      </w:r>
      <w:r w:rsidRPr="00AE47C6">
        <w:rPr>
          <w:rFonts w:ascii="Times New Roman" w:eastAsia="SimSun" w:hAnsi="Times New Roman"/>
          <w:i/>
          <w:sz w:val="24"/>
          <w:szCs w:val="24"/>
        </w:rPr>
        <w:t>електронно микроскопско изследване</w:t>
      </w:r>
      <w:r w:rsidRPr="00AE47C6">
        <w:rPr>
          <w:rFonts w:ascii="Times New Roman" w:eastAsia="SimSun" w:hAnsi="Times New Roman"/>
          <w:sz w:val="24"/>
          <w:szCs w:val="24"/>
        </w:rPr>
        <w:t xml:space="preserve"> на бъбречна биопсия се установяват концентрични слоеве от включвания, т.нар. „зебровидни телца“. Прогностично значение при биопсично изследване има установяването на степента на гломерулосклерозата при пациенти с нефропатия и на сърдечната фиброза. </w:t>
      </w:r>
    </w:p>
    <w:p w14:paraId="2FA5D5B5" w14:textId="77777777" w:rsidR="00BE0B19" w:rsidRPr="00AE47C6" w:rsidRDefault="00BE0B19" w:rsidP="00BE0B19">
      <w:pPr>
        <w:shd w:val="clear" w:color="auto" w:fill="FFFFFF"/>
        <w:spacing w:after="0" w:line="360" w:lineRule="auto"/>
        <w:ind w:firstLine="360"/>
        <w:rPr>
          <w:rFonts w:ascii="Times New Roman" w:eastAsia="SimSun" w:hAnsi="Times New Roman"/>
          <w:b/>
          <w:sz w:val="24"/>
          <w:szCs w:val="24"/>
        </w:rPr>
      </w:pPr>
      <w:r w:rsidRPr="00AE47C6">
        <w:rPr>
          <w:rFonts w:ascii="Times New Roman" w:eastAsia="SimSun" w:hAnsi="Times New Roman"/>
          <w:b/>
          <w:sz w:val="24"/>
          <w:szCs w:val="24"/>
        </w:rPr>
        <w:t>За сигурно поставяне на диагнозата се приема, че пациентите трябва да имат 3 т. по следните критерии (</w:t>
      </w:r>
      <w:r w:rsidRPr="00AE47C6">
        <w:rPr>
          <w:rFonts w:ascii="Times New Roman" w:eastAsia="SimSun" w:hAnsi="Times New Roman"/>
          <w:sz w:val="24"/>
          <w:szCs w:val="24"/>
        </w:rPr>
        <w:t>Табл. 5.4):</w:t>
      </w:r>
      <w:r w:rsidRPr="00AE47C6">
        <w:rPr>
          <w:rFonts w:ascii="Times New Roman" w:eastAsia="SimSun" w:hAnsi="Times New Roman"/>
          <w:b/>
          <w:sz w:val="24"/>
          <w:szCs w:val="24"/>
        </w:rPr>
        <w:t xml:space="preserve"> </w:t>
      </w:r>
    </w:p>
    <w:p w14:paraId="08043BBA" w14:textId="77777777" w:rsidR="00BE0B19" w:rsidRPr="00AE47C6" w:rsidRDefault="00BE0B19" w:rsidP="00BE0B19">
      <w:pPr>
        <w:shd w:val="clear" w:color="auto" w:fill="FFFFFF"/>
        <w:spacing w:after="0" w:line="360" w:lineRule="auto"/>
        <w:ind w:left="785"/>
        <w:contextualSpacing/>
        <w:rPr>
          <w:rFonts w:ascii="Times New Roman" w:eastAsia="SimSun" w:hAnsi="Times New Roman"/>
          <w:b/>
          <w:sz w:val="24"/>
          <w:szCs w:val="24"/>
        </w:rPr>
      </w:pPr>
      <w:r w:rsidRPr="00AE47C6">
        <w:rPr>
          <w:rFonts w:ascii="Times New Roman" w:eastAsia="SimSun" w:hAnsi="Times New Roman"/>
          <w:b/>
          <w:sz w:val="24"/>
          <w:szCs w:val="24"/>
        </w:rPr>
        <w:t>Таблица 5.4</w:t>
      </w:r>
      <w:r w:rsidRPr="00AE47C6">
        <w:rPr>
          <w:rFonts w:ascii="Times New Roman" w:eastAsia="SimSun" w:hAnsi="Times New Roman"/>
          <w:sz w:val="24"/>
          <w:szCs w:val="24"/>
        </w:rPr>
        <w:t>. Критерии за диагностициране</w:t>
      </w:r>
    </w:p>
    <w:tbl>
      <w:tblPr>
        <w:tblStyle w:val="TableGrid2"/>
        <w:tblW w:w="9072" w:type="dxa"/>
        <w:tblLook w:val="04A0" w:firstRow="1" w:lastRow="0" w:firstColumn="1" w:lastColumn="0" w:noHBand="0" w:noVBand="1"/>
      </w:tblPr>
      <w:tblGrid>
        <w:gridCol w:w="2901"/>
        <w:gridCol w:w="2075"/>
        <w:gridCol w:w="1748"/>
        <w:gridCol w:w="2348"/>
      </w:tblGrid>
      <w:tr w:rsidR="00BE0B19" w:rsidRPr="00AE47C6" w14:paraId="39E28000" w14:textId="77777777" w:rsidTr="00AD72E5">
        <w:tc>
          <w:tcPr>
            <w:tcW w:w="2615" w:type="dxa"/>
          </w:tcPr>
          <w:p w14:paraId="25740BAD"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r w:rsidRPr="00AE47C6">
              <w:rPr>
                <w:rFonts w:ascii="Times New Roman" w:hAnsi="Times New Roman"/>
                <w:b/>
                <w:bCs/>
                <w:sz w:val="24"/>
                <w:szCs w:val="24"/>
                <w:lang w:eastAsia="bg-BG"/>
              </w:rPr>
              <w:t>Критерии</w:t>
            </w:r>
          </w:p>
        </w:tc>
        <w:tc>
          <w:tcPr>
            <w:tcW w:w="1871" w:type="dxa"/>
            <w:shd w:val="clear" w:color="auto" w:fill="FFFFFF" w:themeFill="background1"/>
          </w:tcPr>
          <w:p w14:paraId="6FF0B769" w14:textId="77777777" w:rsidR="00BE0B19" w:rsidRPr="00AE47C6" w:rsidRDefault="00BE0B19" w:rsidP="00BE0B1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360" w:lineRule="auto"/>
              <w:textAlignment w:val="baseline"/>
              <w:rPr>
                <w:rFonts w:ascii="Times New Roman" w:hAnsi="Times New Roman"/>
                <w:sz w:val="24"/>
                <w:szCs w:val="24"/>
              </w:rPr>
            </w:pPr>
            <w:r w:rsidRPr="00AE47C6">
              <w:rPr>
                <w:rFonts w:ascii="Times New Roman" w:hAnsi="Times New Roman"/>
                <w:b/>
                <w:bCs/>
                <w:sz w:val="24"/>
                <w:szCs w:val="24"/>
              </w:rPr>
              <w:t>Установени находки</w:t>
            </w:r>
          </w:p>
          <w:p w14:paraId="00B92B40"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p>
        </w:tc>
        <w:tc>
          <w:tcPr>
            <w:tcW w:w="1576" w:type="dxa"/>
          </w:tcPr>
          <w:p w14:paraId="5ABCE7ED"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r w:rsidRPr="00AE47C6">
              <w:rPr>
                <w:rFonts w:ascii="Times New Roman" w:hAnsi="Times New Roman"/>
                <w:b/>
                <w:bCs/>
                <w:sz w:val="24"/>
                <w:szCs w:val="24"/>
                <w:lang w:eastAsia="bg-BG"/>
              </w:rPr>
              <w:t xml:space="preserve">Точкуване според диагнозата </w:t>
            </w:r>
          </w:p>
        </w:tc>
        <w:tc>
          <w:tcPr>
            <w:tcW w:w="2117" w:type="dxa"/>
          </w:tcPr>
          <w:p w14:paraId="1C1A595A"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r w:rsidRPr="00AE47C6">
              <w:rPr>
                <w:rFonts w:ascii="Times New Roman" w:hAnsi="Times New Roman"/>
                <w:b/>
                <w:bCs/>
                <w:sz w:val="24"/>
                <w:szCs w:val="24"/>
                <w:lang w:eastAsia="bg-BG"/>
              </w:rPr>
              <w:t>Коментари</w:t>
            </w:r>
          </w:p>
        </w:tc>
      </w:tr>
      <w:tr w:rsidR="00BE0B19" w:rsidRPr="00AE47C6" w14:paraId="7A358631" w14:textId="77777777" w:rsidTr="00AD72E5">
        <w:tc>
          <w:tcPr>
            <w:tcW w:w="2615" w:type="dxa"/>
          </w:tcPr>
          <w:p w14:paraId="41556394"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 xml:space="preserve">Клинични особености </w:t>
            </w:r>
          </w:p>
        </w:tc>
        <w:tc>
          <w:tcPr>
            <w:tcW w:w="1871" w:type="dxa"/>
          </w:tcPr>
          <w:p w14:paraId="03DA0DF8"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Cornea verticillata или биопсично доказан ангиокератом</w:t>
            </w:r>
          </w:p>
        </w:tc>
        <w:tc>
          <w:tcPr>
            <w:tcW w:w="1576" w:type="dxa"/>
          </w:tcPr>
          <w:p w14:paraId="5F569778"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За 2-та или всеки отделно</w:t>
            </w:r>
            <w:r w:rsidRPr="00AE47C6">
              <w:rPr>
                <w:rFonts w:ascii="Times New Roman" w:hAnsi="Times New Roman"/>
                <w:b/>
                <w:sz w:val="24"/>
                <w:szCs w:val="24"/>
                <w:lang w:eastAsia="bg-BG"/>
              </w:rPr>
              <w:t>-  1 т.</w:t>
            </w:r>
          </w:p>
        </w:tc>
        <w:tc>
          <w:tcPr>
            <w:tcW w:w="2117" w:type="dxa"/>
          </w:tcPr>
          <w:p w14:paraId="17FDAF29"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Необходимо да се изключат други болести</w:t>
            </w:r>
          </w:p>
        </w:tc>
      </w:tr>
      <w:tr w:rsidR="00BE0B19" w:rsidRPr="00AE47C6" w14:paraId="02841A5B" w14:textId="77777777" w:rsidTr="00AD72E5">
        <w:tc>
          <w:tcPr>
            <w:tcW w:w="2615" w:type="dxa"/>
          </w:tcPr>
          <w:p w14:paraId="7269FEE2"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Алфа-галактозидаза в плазма или левкоцити</w:t>
            </w:r>
          </w:p>
        </w:tc>
        <w:tc>
          <w:tcPr>
            <w:tcW w:w="1871" w:type="dxa"/>
          </w:tcPr>
          <w:p w14:paraId="67641252"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 xml:space="preserve">Под 5% </w:t>
            </w:r>
          </w:p>
        </w:tc>
        <w:tc>
          <w:tcPr>
            <w:tcW w:w="1576" w:type="dxa"/>
          </w:tcPr>
          <w:p w14:paraId="051FB520" w14:textId="77777777" w:rsidR="00BE0B19" w:rsidRPr="00AE47C6" w:rsidRDefault="00BE0B19" w:rsidP="00BE0B19">
            <w:pPr>
              <w:autoSpaceDE w:val="0"/>
              <w:autoSpaceDN w:val="0"/>
              <w:adjustRightInd w:val="0"/>
              <w:spacing w:after="0" w:line="360" w:lineRule="auto"/>
              <w:rPr>
                <w:rFonts w:ascii="Times New Roman" w:hAnsi="Times New Roman"/>
                <w:b/>
                <w:sz w:val="24"/>
                <w:szCs w:val="24"/>
                <w:lang w:eastAsia="bg-BG"/>
              </w:rPr>
            </w:pPr>
            <w:r w:rsidRPr="00AE47C6">
              <w:rPr>
                <w:rFonts w:ascii="Times New Roman" w:hAnsi="Times New Roman"/>
                <w:b/>
                <w:sz w:val="24"/>
                <w:szCs w:val="24"/>
                <w:lang w:eastAsia="bg-BG"/>
              </w:rPr>
              <w:t>1 т.</w:t>
            </w:r>
          </w:p>
        </w:tc>
        <w:tc>
          <w:tcPr>
            <w:tcW w:w="2117" w:type="dxa"/>
          </w:tcPr>
          <w:p w14:paraId="2C743E3B"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 xml:space="preserve">Активността при жени може да не е понижена, но при мъж от семейството –допринася за диагнозата </w:t>
            </w:r>
          </w:p>
        </w:tc>
      </w:tr>
      <w:tr w:rsidR="00BE0B19" w:rsidRPr="00AE47C6" w14:paraId="362EA35C" w14:textId="77777777" w:rsidTr="00AD72E5">
        <w:tc>
          <w:tcPr>
            <w:tcW w:w="2615" w:type="dxa"/>
          </w:tcPr>
          <w:p w14:paraId="20F3BC06"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 xml:space="preserve">Повишени в плазма или урина биомаркери </w:t>
            </w:r>
          </w:p>
        </w:tc>
        <w:tc>
          <w:tcPr>
            <w:tcW w:w="1871" w:type="dxa"/>
          </w:tcPr>
          <w:p w14:paraId="4180F70B"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 xml:space="preserve">Gb-3, предпочита се lyso-Gb3 </w:t>
            </w:r>
          </w:p>
        </w:tc>
        <w:tc>
          <w:tcPr>
            <w:tcW w:w="1576" w:type="dxa"/>
          </w:tcPr>
          <w:p w14:paraId="0B9228B5" w14:textId="77777777" w:rsidR="00BE0B19" w:rsidRPr="00AE47C6" w:rsidRDefault="00BE0B19" w:rsidP="00BE0B19">
            <w:pPr>
              <w:autoSpaceDE w:val="0"/>
              <w:autoSpaceDN w:val="0"/>
              <w:adjustRightInd w:val="0"/>
              <w:spacing w:after="0" w:line="360" w:lineRule="auto"/>
              <w:rPr>
                <w:rFonts w:ascii="Times New Roman" w:hAnsi="Times New Roman"/>
                <w:b/>
                <w:sz w:val="24"/>
                <w:szCs w:val="24"/>
                <w:lang w:eastAsia="bg-BG"/>
              </w:rPr>
            </w:pPr>
            <w:r w:rsidRPr="00AE47C6">
              <w:rPr>
                <w:rFonts w:ascii="Times New Roman" w:hAnsi="Times New Roman"/>
                <w:b/>
                <w:sz w:val="24"/>
                <w:szCs w:val="24"/>
                <w:lang w:eastAsia="bg-BG"/>
              </w:rPr>
              <w:t>1 т.</w:t>
            </w:r>
          </w:p>
        </w:tc>
        <w:tc>
          <w:tcPr>
            <w:tcW w:w="2117" w:type="dxa"/>
          </w:tcPr>
          <w:p w14:paraId="013054B7"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И други болести, освен  Fabry могат да повишат биомаркерите</w:t>
            </w:r>
          </w:p>
        </w:tc>
      </w:tr>
      <w:tr w:rsidR="00BE0B19" w:rsidRPr="00AE47C6" w14:paraId="21E46277" w14:textId="77777777" w:rsidTr="00AD72E5">
        <w:tc>
          <w:tcPr>
            <w:tcW w:w="2615" w:type="dxa"/>
          </w:tcPr>
          <w:p w14:paraId="363DC0B6"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Генетично изследване</w:t>
            </w:r>
          </w:p>
        </w:tc>
        <w:tc>
          <w:tcPr>
            <w:tcW w:w="1871" w:type="dxa"/>
          </w:tcPr>
          <w:p w14:paraId="7A16E593"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Мутации, определени в литературата като сигурни</w:t>
            </w:r>
          </w:p>
        </w:tc>
        <w:tc>
          <w:tcPr>
            <w:tcW w:w="1576" w:type="dxa"/>
          </w:tcPr>
          <w:p w14:paraId="5B7221FA" w14:textId="77777777" w:rsidR="00BE0B19" w:rsidRPr="00AE47C6" w:rsidRDefault="00BE0B19" w:rsidP="00BE0B19">
            <w:pPr>
              <w:autoSpaceDE w:val="0"/>
              <w:autoSpaceDN w:val="0"/>
              <w:adjustRightInd w:val="0"/>
              <w:spacing w:after="0" w:line="360" w:lineRule="auto"/>
              <w:rPr>
                <w:rFonts w:ascii="Times New Roman" w:hAnsi="Times New Roman"/>
                <w:b/>
                <w:bCs/>
                <w:sz w:val="24"/>
                <w:szCs w:val="24"/>
                <w:lang w:eastAsia="bg-BG"/>
              </w:rPr>
            </w:pPr>
            <w:r w:rsidRPr="00AE47C6">
              <w:rPr>
                <w:rFonts w:ascii="Times New Roman" w:hAnsi="Times New Roman"/>
                <w:b/>
                <w:bCs/>
                <w:sz w:val="24"/>
                <w:szCs w:val="24"/>
                <w:lang w:eastAsia="bg-BG"/>
              </w:rPr>
              <w:t>1 т.</w:t>
            </w:r>
          </w:p>
        </w:tc>
        <w:tc>
          <w:tcPr>
            <w:tcW w:w="2117" w:type="dxa"/>
          </w:tcPr>
          <w:p w14:paraId="448E4B1D"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Не се използват за диагнозата мутации с неясно значение (VUS)</w:t>
            </w:r>
          </w:p>
        </w:tc>
      </w:tr>
      <w:tr w:rsidR="00BE0B19" w:rsidRPr="00AE47C6" w14:paraId="50FEBBE2" w14:textId="77777777" w:rsidTr="00AD72E5">
        <w:tc>
          <w:tcPr>
            <w:tcW w:w="2615" w:type="dxa"/>
          </w:tcPr>
          <w:p w14:paraId="51A23B48"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 xml:space="preserve">Патологоанатомични находки </w:t>
            </w:r>
          </w:p>
        </w:tc>
        <w:tc>
          <w:tcPr>
            <w:tcW w:w="1871" w:type="dxa"/>
          </w:tcPr>
          <w:p w14:paraId="57C92101"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Типични натрупвания за болестта на Fabry</w:t>
            </w:r>
          </w:p>
        </w:tc>
        <w:tc>
          <w:tcPr>
            <w:tcW w:w="1576" w:type="dxa"/>
          </w:tcPr>
          <w:p w14:paraId="5A041A20"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r w:rsidRPr="00AE47C6">
              <w:rPr>
                <w:rFonts w:ascii="Times New Roman" w:hAnsi="Times New Roman"/>
                <w:b/>
                <w:sz w:val="24"/>
                <w:szCs w:val="24"/>
                <w:lang w:eastAsia="bg-BG"/>
              </w:rPr>
              <w:t>2 т.</w:t>
            </w:r>
            <w:r w:rsidRPr="00AE47C6">
              <w:rPr>
                <w:rFonts w:ascii="Times New Roman" w:hAnsi="Times New Roman"/>
                <w:sz w:val="24"/>
                <w:szCs w:val="24"/>
                <w:lang w:eastAsia="bg-BG"/>
              </w:rPr>
              <w:t xml:space="preserve"> за типични таргетни органи (бъбреци и сърце) </w:t>
            </w:r>
          </w:p>
          <w:p w14:paraId="6A6B13A4"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r w:rsidRPr="00AE47C6">
              <w:rPr>
                <w:rFonts w:ascii="Times New Roman" w:hAnsi="Times New Roman"/>
                <w:b/>
                <w:sz w:val="24"/>
                <w:szCs w:val="24"/>
                <w:lang w:eastAsia="bg-BG"/>
              </w:rPr>
              <w:t>1 т.</w:t>
            </w:r>
            <w:r w:rsidRPr="00AE47C6">
              <w:rPr>
                <w:rFonts w:ascii="Times New Roman" w:hAnsi="Times New Roman"/>
                <w:sz w:val="24"/>
                <w:szCs w:val="24"/>
                <w:lang w:eastAsia="bg-BG"/>
              </w:rPr>
              <w:t xml:space="preserve">  за други органи  (кожа) </w:t>
            </w:r>
          </w:p>
        </w:tc>
        <w:tc>
          <w:tcPr>
            <w:tcW w:w="2117" w:type="dxa"/>
          </w:tcPr>
          <w:p w14:paraId="28DD6880" w14:textId="77777777" w:rsidR="00BE0B19" w:rsidRPr="00AE47C6" w:rsidRDefault="00BE0B19" w:rsidP="00BE0B19">
            <w:pPr>
              <w:autoSpaceDE w:val="0"/>
              <w:autoSpaceDN w:val="0"/>
              <w:adjustRightInd w:val="0"/>
              <w:spacing w:after="0" w:line="360" w:lineRule="auto"/>
              <w:rPr>
                <w:rFonts w:ascii="Times New Roman" w:hAnsi="Times New Roman"/>
                <w:sz w:val="24"/>
                <w:szCs w:val="24"/>
                <w:lang w:eastAsia="bg-BG"/>
              </w:rPr>
            </w:pPr>
            <w:r w:rsidRPr="00AE47C6">
              <w:rPr>
                <w:rFonts w:ascii="Times New Roman" w:hAnsi="Times New Roman"/>
                <w:sz w:val="24"/>
                <w:szCs w:val="24"/>
                <w:lang w:eastAsia="bg-BG"/>
              </w:rPr>
              <w:t xml:space="preserve">Да се интерпретират от патолог с опит в болестта на  Fabry </w:t>
            </w:r>
          </w:p>
        </w:tc>
      </w:tr>
    </w:tbl>
    <w:p w14:paraId="577AAE95" w14:textId="77777777" w:rsidR="00BE0B19" w:rsidRPr="00AE47C6" w:rsidRDefault="00BE0B19" w:rsidP="00BE0B19">
      <w:pPr>
        <w:tabs>
          <w:tab w:val="num" w:pos="720"/>
        </w:tabs>
        <w:spacing w:after="0" w:line="360" w:lineRule="auto"/>
        <w:jc w:val="both"/>
        <w:rPr>
          <w:rFonts w:ascii="Times New Roman" w:eastAsia="SimSun" w:hAnsi="Times New Roman"/>
          <w:b/>
          <w:bCs/>
          <w:sz w:val="24"/>
          <w:szCs w:val="24"/>
        </w:rPr>
      </w:pPr>
    </w:p>
    <w:p w14:paraId="18887009" w14:textId="77777777" w:rsidR="00BE0B19" w:rsidRPr="00AE47C6" w:rsidRDefault="00BE0B19" w:rsidP="00BE0B19">
      <w:pPr>
        <w:tabs>
          <w:tab w:val="num" w:pos="720"/>
        </w:tabs>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При скриниране на пациенти с неясно бъбречно заболяване с персистираща протеинурия или eGFR &lt;90 ml/min / 1,73</w:t>
      </w:r>
      <w:r w:rsidRPr="00AE47C6">
        <w:rPr>
          <w:rFonts w:ascii="Times New Roman" w:eastAsia="SimSun" w:hAnsi="Times New Roman"/>
          <w:bCs/>
          <w:sz w:val="24"/>
          <w:szCs w:val="24"/>
          <w:vertAlign w:val="superscript"/>
        </w:rPr>
        <w:t xml:space="preserve">2 </w:t>
      </w:r>
      <w:r w:rsidRPr="00AE47C6">
        <w:rPr>
          <w:rFonts w:ascii="Times New Roman" w:eastAsia="SimSun" w:hAnsi="Times New Roman"/>
          <w:bCs/>
          <w:sz w:val="24"/>
          <w:szCs w:val="24"/>
        </w:rPr>
        <w:t xml:space="preserve">при мъже под 50 г. или жени независимо от възрастта при анамнеза за хипохидроза, непоносимост от студено или горещо, с акропарестезии, наличие на фамилност, установени ангиокератоми се провеждат измервания на ензимна активност за α- галактозидаза при мъжете или </w:t>
      </w:r>
      <w:r w:rsidRPr="00AE47C6">
        <w:rPr>
          <w:rFonts w:ascii="Times New Roman" w:eastAsia="SimSun" w:hAnsi="Times New Roman"/>
          <w:i/>
          <w:sz w:val="24"/>
          <w:szCs w:val="24"/>
        </w:rPr>
        <w:t>Lyso-Gb-3</w:t>
      </w:r>
      <w:r w:rsidRPr="00AE47C6">
        <w:rPr>
          <w:rFonts w:ascii="Times New Roman" w:eastAsia="SimSun" w:hAnsi="Times New Roman"/>
          <w:b/>
          <w:sz w:val="24"/>
          <w:szCs w:val="24"/>
        </w:rPr>
        <w:t xml:space="preserve"> </w:t>
      </w:r>
      <w:r w:rsidRPr="00AE47C6">
        <w:rPr>
          <w:rFonts w:ascii="Times New Roman" w:eastAsia="SimSun" w:hAnsi="Times New Roman"/>
          <w:bCs/>
          <w:sz w:val="24"/>
          <w:szCs w:val="24"/>
        </w:rPr>
        <w:t>и генетични изследвания при жените, за поставяне на диагноза.</w:t>
      </w:r>
    </w:p>
    <w:p w14:paraId="453EBDF2" w14:textId="77777777" w:rsidR="00BE0B19" w:rsidRPr="00AE47C6" w:rsidRDefault="00BE0B19" w:rsidP="00BE0B19">
      <w:pPr>
        <w:tabs>
          <w:tab w:val="num" w:pos="720"/>
        </w:tabs>
        <w:spacing w:after="0" w:line="360" w:lineRule="auto"/>
        <w:jc w:val="both"/>
        <w:rPr>
          <w:rFonts w:ascii="Times New Roman" w:eastAsia="SimSun" w:hAnsi="Times New Roman"/>
          <w:b/>
          <w:bCs/>
          <w:sz w:val="24"/>
          <w:szCs w:val="24"/>
        </w:rPr>
      </w:pPr>
    </w:p>
    <w:p w14:paraId="1309BAFE" w14:textId="77777777" w:rsidR="00BE0B19" w:rsidRPr="00AE47C6" w:rsidRDefault="00BE0B19" w:rsidP="00BE0B19">
      <w:pPr>
        <w:tabs>
          <w:tab w:val="num"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 xml:space="preserve">Диференциална диагноза на болестта на Fabry: </w:t>
      </w:r>
      <w:r w:rsidRPr="00AE47C6">
        <w:rPr>
          <w:rFonts w:ascii="Times New Roman" w:eastAsia="SimSun" w:hAnsi="Times New Roman"/>
          <w:b/>
          <w:i/>
          <w:sz w:val="24"/>
          <w:szCs w:val="24"/>
        </w:rPr>
        <w:t>При засягане на ЦНС и ПНС диференциална диагноза</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 xml:space="preserve">се прави с: </w:t>
      </w:r>
      <w:r w:rsidRPr="00AE47C6">
        <w:rPr>
          <w:rFonts w:ascii="Times New Roman" w:eastAsia="SimSun" w:hAnsi="Times New Roman"/>
          <w:bCs/>
          <w:sz w:val="24"/>
          <w:szCs w:val="24"/>
        </w:rPr>
        <w:t>васкулити и колагенози (SLE, болест на Behcet, синдром на Sjogren, Ревматоиден артрит, антифосфолипиден синдром), вродени тромбофилии, CADASIL, множествена склероза, синдром на Raynaud, фибромиалгия, синдром на хроничната умора, хронична възпалителна полиневропатия, диабетна, уремична полиневропатия, наследствени сетивни и моторни полиневропатии, еритромелалгия, дерматомиозит; цьолиакия, синдром на раздразнимо черво, лактозна недостатъчност. Диференциална диагноза при сърдечно засягане: Идиопатична кардиомиопатия и др. Диференциална диагноза при бъбречно засягане налага изключване на множество причини за бъбречна недостатъчност.</w:t>
      </w:r>
    </w:p>
    <w:p w14:paraId="77576016" w14:textId="77777777" w:rsidR="00BE0B19" w:rsidRPr="00AE47C6" w:rsidRDefault="00BE0B19" w:rsidP="00BE0B19">
      <w:pPr>
        <w:tabs>
          <w:tab w:val="num"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Проследяването на пациенти</w:t>
      </w:r>
      <w:r w:rsidRPr="00AE47C6">
        <w:rPr>
          <w:rFonts w:ascii="Times New Roman" w:eastAsia="SimSun" w:hAnsi="Times New Roman"/>
          <w:sz w:val="24"/>
          <w:szCs w:val="24"/>
        </w:rPr>
        <w:t xml:space="preserve"> с болест на Fabry се извършва от мултидисциплинарни екипи с периодично проследяване на бъбречни функции (урина за протеинурия, седимент, креатининов клирънс (24 часов), креатинин, урея, съдържание на Gb-3; серумния Lyso-Gb-3 се проследява 1/годишно; сърдечен статус с ЕКГ и Ехо- КГ се проследява 1/годишно или по-често.  За засягане на ЦНС се осъществява проследяване с КТ с КТ ангиография, МРТ с МР-АГ  на 3 г. или при необходимост; проследяване на невропатията. Проследява се слуха и зрението 1/годишно.  При пациентите от детска възраст проследяването става ежегодно или по-често при необходимост: бъбречни функции (общо изследване, креатинов клирънс), на EКГ, Ехо-КГ, на очен статус  гастроентерологичен статус, МРТ и МР-АГ при необходимост; </w:t>
      </w:r>
    </w:p>
    <w:p w14:paraId="6E0E2693" w14:textId="77777777" w:rsidR="00BE0B19" w:rsidRPr="00AE47C6" w:rsidRDefault="00BE0B19" w:rsidP="00BE0B19">
      <w:pPr>
        <w:tabs>
          <w:tab w:val="num" w:pos="720"/>
        </w:tabs>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Лечение. </w:t>
      </w:r>
      <w:r w:rsidRPr="00AE47C6">
        <w:rPr>
          <w:rFonts w:ascii="Times New Roman" w:eastAsia="SimSun" w:hAnsi="Times New Roman"/>
          <w:sz w:val="24"/>
          <w:szCs w:val="24"/>
        </w:rPr>
        <w:t xml:space="preserve">Лечението на болестта на Fabry се провежда с </w:t>
      </w:r>
      <w:r w:rsidRPr="00AE47C6">
        <w:rPr>
          <w:rFonts w:ascii="Times New Roman" w:eastAsia="SimSun" w:hAnsi="Times New Roman"/>
          <w:b/>
          <w:sz w:val="24"/>
          <w:szCs w:val="24"/>
        </w:rPr>
        <w:t>ЕЗТ</w:t>
      </w:r>
      <w:r w:rsidRPr="00AE47C6">
        <w:rPr>
          <w:rFonts w:ascii="Times New Roman" w:eastAsia="SimSun" w:hAnsi="Times New Roman"/>
          <w:sz w:val="24"/>
          <w:szCs w:val="24"/>
        </w:rPr>
        <w:t xml:space="preserve"> с рекомбинантни </w:t>
      </w:r>
      <w:r w:rsidRPr="00AE47C6">
        <w:rPr>
          <w:rFonts w:ascii="Times New Roman" w:eastAsia="SimSun" w:hAnsi="Times New Roman"/>
          <w:i/>
          <w:sz w:val="24"/>
          <w:szCs w:val="24"/>
        </w:rPr>
        <w:t>аgalsidase alfa</w:t>
      </w:r>
      <w:r w:rsidRPr="00AE47C6">
        <w:rPr>
          <w:rFonts w:ascii="Times New Roman" w:eastAsia="SimSun" w:hAnsi="Times New Roman"/>
          <w:sz w:val="24"/>
          <w:szCs w:val="24"/>
        </w:rPr>
        <w:t xml:space="preserve"> (регистрирана за употреба в Европа, Азия, Австралия и Канада) и </w:t>
      </w:r>
      <w:r w:rsidRPr="00AE47C6">
        <w:rPr>
          <w:rFonts w:ascii="Times New Roman" w:eastAsia="SimSun" w:hAnsi="Times New Roman"/>
          <w:i/>
          <w:sz w:val="24"/>
          <w:szCs w:val="24"/>
        </w:rPr>
        <w:t>аgalsidase beta</w:t>
      </w:r>
      <w:r w:rsidRPr="00AE47C6">
        <w:rPr>
          <w:rFonts w:ascii="Times New Roman" w:eastAsia="SimSun" w:hAnsi="Times New Roman"/>
          <w:sz w:val="24"/>
          <w:szCs w:val="24"/>
        </w:rPr>
        <w:t xml:space="preserve"> (регистрирана за употреба в Европа и САЩ), които се прилагат интервенозно през 14 дни, независимо от вида на мутацията. Регистрирана е и терапия с </w:t>
      </w:r>
      <w:r w:rsidRPr="00AE47C6">
        <w:rPr>
          <w:rFonts w:ascii="Times New Roman" w:eastAsia="SimSun" w:hAnsi="Times New Roman"/>
          <w:b/>
          <w:sz w:val="24"/>
          <w:szCs w:val="24"/>
        </w:rPr>
        <w:t xml:space="preserve">шаперони </w:t>
      </w:r>
      <w:r w:rsidRPr="00AE47C6">
        <w:rPr>
          <w:rFonts w:ascii="Times New Roman" w:eastAsia="SimSun" w:hAnsi="Times New Roman"/>
          <w:b/>
          <w:i/>
          <w:sz w:val="24"/>
          <w:szCs w:val="24"/>
        </w:rPr>
        <w:t xml:space="preserve">- </w:t>
      </w:r>
      <w:r w:rsidRPr="00AE47C6">
        <w:rPr>
          <w:rFonts w:ascii="Times New Roman" w:eastAsia="SimSun" w:hAnsi="Times New Roman"/>
          <w:i/>
          <w:sz w:val="24"/>
          <w:szCs w:val="24"/>
        </w:rPr>
        <w:t>Migalastat</w:t>
      </w:r>
      <w:r w:rsidRPr="00AE47C6">
        <w:rPr>
          <w:rFonts w:ascii="Times New Roman" w:eastAsia="SimSun" w:hAnsi="Times New Roman"/>
          <w:sz w:val="24"/>
          <w:szCs w:val="24"/>
        </w:rPr>
        <w:t xml:space="preserve"> перорално над 18 г. възраст при определен вид мутации. Проучват се възможности за субстрат-редуцираща терапия, генна терапия чрез вирусни вектори или предаване на м-РНК чрез нано-частици.</w:t>
      </w:r>
    </w:p>
    <w:p w14:paraId="2FEAB589" w14:textId="77777777" w:rsidR="00BE0B19" w:rsidRPr="00AE47C6" w:rsidRDefault="00BE0B19" w:rsidP="00BE0B19">
      <w:pPr>
        <w:tabs>
          <w:tab w:val="num"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ЕЗТ с agalsidase beta  и аgalsidase alfa е основна поддържаща терапия за болестта на  Fabry.</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Започва се при всички симптоматични пациенти от мъжки и женски пол, независимо от възрастта при сигурно поставена диагноза и критерии за лечение, независимо от вида на мутацията, като са изключени други причини за изява на симптомите. Асимптомните момчета с класическа мутация за болестта на Fabry се препоръчва да започнат ЕЗТ на  8–10 г. Асимптомните момичета се момичета се наблюдават.</w:t>
      </w:r>
    </w:p>
    <w:p w14:paraId="5A432468"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i/>
          <w:sz w:val="24"/>
          <w:szCs w:val="24"/>
          <w:lang w:eastAsia="bg-BG"/>
        </w:rPr>
        <w:t>ЕЗТ с аgalsidase alfa</w:t>
      </w:r>
      <w:r w:rsidRPr="00AE47C6">
        <w:rPr>
          <w:rFonts w:ascii="Times New Roman" w:eastAsia="SimSun" w:hAnsi="Times New Roman"/>
          <w:sz w:val="24"/>
          <w:szCs w:val="24"/>
          <w:lang w:eastAsia="bg-BG"/>
        </w:rPr>
        <w:t xml:space="preserve"> (1 mg/ml концентрат за инфузионен разтвор, амп. по 3.5 мл) се прилага в доза от 0,2 mg/kg телесно тегло през седмица чрез интравенозна инфузия в течение на 40 минути</w:t>
      </w:r>
      <w:r w:rsidRPr="00AE47C6">
        <w:rPr>
          <w:rFonts w:ascii="Times New Roman" w:eastAsia="SimSun" w:hAnsi="Times New Roman"/>
          <w:b/>
          <w:sz w:val="24"/>
          <w:szCs w:val="24"/>
          <w:lang w:eastAsia="bg-BG"/>
        </w:rPr>
        <w:t>)</w:t>
      </w:r>
      <w:r w:rsidRPr="00AE47C6">
        <w:rPr>
          <w:rFonts w:ascii="Times New Roman" w:eastAsia="SimSun" w:hAnsi="Times New Roman"/>
          <w:sz w:val="24"/>
          <w:szCs w:val="24"/>
          <w:lang w:eastAsia="bg-BG"/>
        </w:rPr>
        <w:t>.</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Безопасността и ефикасността на </w:t>
      </w:r>
      <w:r w:rsidRPr="00AE47C6">
        <w:rPr>
          <w:rFonts w:ascii="Times New Roman" w:eastAsia="SimSun" w:hAnsi="Times New Roman"/>
          <w:i/>
          <w:sz w:val="24"/>
          <w:szCs w:val="24"/>
          <w:lang w:eastAsia="bg-BG"/>
        </w:rPr>
        <w:t>аgalsidase alfa</w:t>
      </w:r>
      <w:r w:rsidRPr="00AE47C6">
        <w:rPr>
          <w:rFonts w:ascii="Times New Roman" w:eastAsia="SimSun" w:hAnsi="Times New Roman"/>
          <w:sz w:val="24"/>
          <w:szCs w:val="24"/>
          <w:lang w:eastAsia="bg-BG"/>
        </w:rPr>
        <w:t xml:space="preserve"> при регистрирането е оценена в 2 рандомизирани, двойно-слепи, плацебо-контролирани проучвания с продължения, с отворен дизайн при общо 40 пациенти с диагноза болест на Fabry на базата на клинични и биохимични данни.</w:t>
      </w:r>
    </w:p>
    <w:p w14:paraId="5CD8893D"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i/>
          <w:sz w:val="24"/>
          <w:szCs w:val="24"/>
          <w:lang w:eastAsia="bg-BG"/>
        </w:rPr>
        <w:t>ЕЗТ с agalsidase beta</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се препоръчва при пациенти с потвърдена диагноза на болест на Fabry при възрастни, деца и юноши на възраст 8 години през 14 дни в доза 1 mg/kg интравенозна инфузия. Първоначалната скорост на инфузията не трябва да надвишава 0,25 mg на минута (15 mg на час), за да се сведе до минимум рискът от поява на нежелани лекарствени реакции, свързани с инфузията. За регистрацията Fabrazyme е проучен в три проучвания при общо 73 възрастни, вкл. при 2 двойно-сляпо, плацебо-контролирани проучвания при 58 пациенти при отворено разширено клинично изпитване.</w:t>
      </w:r>
    </w:p>
    <w:p w14:paraId="7A15D2BB"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ЕЗТ с agalsidase alfa и agalsidase beta</w:t>
      </w:r>
      <w:r w:rsidRPr="00AE47C6">
        <w:rPr>
          <w:rFonts w:ascii="Times New Roman" w:eastAsia="SimSun" w:hAnsi="Times New Roman"/>
          <w:sz w:val="24"/>
          <w:szCs w:val="24"/>
        </w:rPr>
        <w:t xml:space="preserve"> е с доказан ефект за  стабилизиране на бъбречната и сърдечната функция, намаляване на миокардната хипертрофия и подобряване на невропатната болка при болните, установено в </w:t>
      </w:r>
      <w:r w:rsidRPr="00AE47C6">
        <w:rPr>
          <w:rFonts w:ascii="Times New Roman" w:eastAsia="CharisSIL" w:hAnsi="Times New Roman"/>
          <w:sz w:val="24"/>
          <w:szCs w:val="24"/>
        </w:rPr>
        <w:t xml:space="preserve">36 публикувани клинични проучвания, от които по 5 са двойно слепи плацебо-контролирани за </w:t>
      </w:r>
      <w:r w:rsidRPr="00AE47C6">
        <w:rPr>
          <w:rFonts w:ascii="Times New Roman" w:eastAsia="SimSun" w:hAnsi="Times New Roman"/>
          <w:sz w:val="24"/>
          <w:szCs w:val="24"/>
        </w:rPr>
        <w:t xml:space="preserve">agalsidase alfa и agalsidase beta и серия обсервационни проучвания. </w:t>
      </w:r>
      <w:r w:rsidRPr="00AE47C6">
        <w:rPr>
          <w:rFonts w:ascii="Times New Roman" w:eastAsia="SimSun" w:hAnsi="Times New Roman"/>
          <w:bCs/>
          <w:i/>
          <w:sz w:val="24"/>
          <w:szCs w:val="24"/>
        </w:rPr>
        <w:t xml:space="preserve">Обобщено клинични проучвания разкриват данни за подобряване чрез ЕЗТ </w:t>
      </w:r>
      <w:r w:rsidRPr="00AE47C6">
        <w:rPr>
          <w:rFonts w:ascii="Times New Roman" w:eastAsia="SimSun" w:hAnsi="Times New Roman"/>
          <w:bCs/>
          <w:sz w:val="24"/>
          <w:szCs w:val="24"/>
        </w:rPr>
        <w:t>с</w:t>
      </w:r>
      <w:r w:rsidRPr="00AE47C6">
        <w:rPr>
          <w:rFonts w:ascii="Times New Roman" w:eastAsia="SimSun" w:hAnsi="Times New Roman"/>
          <w:sz w:val="24"/>
          <w:szCs w:val="24"/>
        </w:rPr>
        <w:t xml:space="preserve"> agalsidase alfa и</w:t>
      </w:r>
      <w:r w:rsidRPr="00AE47C6">
        <w:rPr>
          <w:rFonts w:ascii="Times New Roman" w:eastAsia="SimSun" w:hAnsi="Times New Roman"/>
          <w:b/>
          <w:bCs/>
          <w:sz w:val="24"/>
          <w:szCs w:val="24"/>
        </w:rPr>
        <w:t xml:space="preserve"> </w:t>
      </w:r>
      <w:r w:rsidRPr="00AE47C6">
        <w:rPr>
          <w:rFonts w:ascii="Times New Roman" w:eastAsia="SimSun" w:hAnsi="Times New Roman"/>
          <w:sz w:val="24"/>
          <w:szCs w:val="24"/>
        </w:rPr>
        <w:t xml:space="preserve">agalsidase beta при болестта на </w:t>
      </w:r>
      <w:r w:rsidRPr="00AE47C6">
        <w:rPr>
          <w:rFonts w:ascii="Times New Roman" w:eastAsia="SimSun" w:hAnsi="Times New Roman"/>
          <w:bCs/>
          <w:sz w:val="24"/>
          <w:szCs w:val="24"/>
        </w:rPr>
        <w:t>чрез</w:t>
      </w:r>
      <w:r w:rsidRPr="00AE47C6">
        <w:rPr>
          <w:rFonts w:ascii="Times New Roman" w:eastAsia="SimSun" w:hAnsi="Times New Roman"/>
          <w:b/>
          <w:bCs/>
          <w:sz w:val="24"/>
          <w:szCs w:val="24"/>
        </w:rPr>
        <w:t xml:space="preserve"> </w:t>
      </w:r>
      <w:r w:rsidRPr="00AE47C6">
        <w:rPr>
          <w:rFonts w:ascii="Times New Roman" w:eastAsia="SimSun" w:hAnsi="Times New Roman"/>
          <w:sz w:val="24"/>
          <w:szCs w:val="24"/>
        </w:rPr>
        <w:t>стабилизиране на нефропатията (ефект върху протеинурията и гломерулната филтрация) и на кардиомиопатията чрез стабилизиране или намаляване на левостранната кардиомиопатия Fabry (снижава left ventricular mass index, LVMI), дебелината на лявата камера и подобрява, PR интервала на ЕКГ); Подобряване диаричния синдром, спазмите и болката, гаденето, повръщането. Няма сигурен ефект от ЕЗТ върху тахи- или брадиаритмията, инсулти и ТИА, депресия и загуба на слух.</w:t>
      </w:r>
      <w:r w:rsidRPr="00AE47C6">
        <w:rPr>
          <w:rFonts w:ascii="Times New Roman" w:eastAsia="CharisSIL" w:hAnsi="Times New Roman"/>
          <w:sz w:val="24"/>
          <w:szCs w:val="24"/>
        </w:rPr>
        <w:t xml:space="preserve"> Доказано, че ЕЗТ значително понижава нивото на globotriaosylceramide (</w:t>
      </w:r>
      <w:r w:rsidRPr="00AE47C6">
        <w:rPr>
          <w:rFonts w:ascii="Times New Roman" w:eastAsia="SimSun" w:hAnsi="Times New Roman"/>
          <w:bCs/>
          <w:sz w:val="24"/>
          <w:szCs w:val="24"/>
        </w:rPr>
        <w:t xml:space="preserve">Gb-3) </w:t>
      </w:r>
      <w:r w:rsidRPr="00AE47C6">
        <w:rPr>
          <w:rFonts w:ascii="Times New Roman" w:eastAsia="CharisSIL" w:hAnsi="Times New Roman"/>
          <w:sz w:val="24"/>
          <w:szCs w:val="24"/>
        </w:rPr>
        <w:t xml:space="preserve">в плазмата и урина и натрупването му различни клетки на бъбреците при бъбречна биопсия, вкл. и  на lyso-GL-3 с подобряване на протеинурията и албуминурията и забавя процеса на снижението на гломерулната филтрация; Намаляват натрупванията в миокардни клетки и кожата; Подобрява се левокамерната миокардна хипертрофия и сърдечната проводимост измерена с QRS продължителността. Подобряват се хипохидрозата и в повечето сетивността за температура и за болка, както и качеството на живот поради намаляване на честотата на болковите кризи, нуждата от аналгетици и отсъствието от работа или училище. Няма сигурни данни за намаляване на МРТ лезиите в бялото мозъчно вещество, долихоектазията на мозъчните съдове и мозъчните микрокръвоизливи. Не се описват съществени различия в ефективността на </w:t>
      </w:r>
      <w:r w:rsidRPr="00AE47C6">
        <w:rPr>
          <w:rFonts w:ascii="Times New Roman" w:eastAsia="SimSun" w:hAnsi="Times New Roman"/>
          <w:sz w:val="24"/>
          <w:szCs w:val="24"/>
        </w:rPr>
        <w:t>аgalsidase alfa и agalsidase beta  в стандартните дози - agalsidase alfa (0.2mg/kg) и agalsidase beta (1.0mg/kg) при проследяване 5 и 8 г. - CFDI разкрива еднакъв изход от лечението. Метаанализ установява стабилна бъбречна функция и кардиологични параметри на пациенти, лекувани с agalsidase beta след което с agalsidase alfa. При 10-годишно проследяване  според данни на CFDI промените в бъбречната функция при мъже с класическа форма на болестта лекувани с agalsidase beta и с agalsidase alfa са без статистическа значимост. Няма разлика между 2-те групи, при жени и мъже с некласически фенотип.</w:t>
      </w:r>
    </w:p>
    <w:p w14:paraId="32424D84"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i/>
          <w:sz w:val="24"/>
          <w:szCs w:val="24"/>
          <w:lang w:eastAsia="bg-BG"/>
        </w:rPr>
        <w:t>Migalastat</w:t>
      </w:r>
      <w:r w:rsidRPr="00AE47C6">
        <w:rPr>
          <w:rFonts w:ascii="Times New Roman" w:eastAsia="SimSun" w:hAnsi="Times New Roman"/>
          <w:sz w:val="24"/>
          <w:szCs w:val="24"/>
          <w:lang w:eastAsia="bg-BG"/>
        </w:rPr>
        <w:t xml:space="preserve"> е фармакологичен шаперон, който свързва активното място на  алфа- галактозидазата и стабилизира мутантния протеин. Разрешен е от FDA и ЕМА. Показан е за продължителното лечение на възрастни и юноши на възраст 16 години и по-големи с потвърдена диагноза болест на Fabry (дефицит на α-галактозидаза), които имат чувствителна мутация. Прилага се орално като алтернативна терапия при пациенти с болест на Fabry, които не се лекуват с ЕЗТ поради образуване на антитела, странични реакции или други причини</w:t>
      </w:r>
      <w:r w:rsidRPr="00AE47C6">
        <w:rPr>
          <w:rFonts w:ascii="Times New Roman" w:eastAsia="SimSun" w:hAnsi="Times New Roman"/>
          <w:b/>
          <w:sz w:val="24"/>
          <w:szCs w:val="24"/>
          <w:lang w:eastAsia="bg-BG"/>
        </w:rPr>
        <w:t xml:space="preserve">. </w:t>
      </w:r>
      <w:r w:rsidRPr="00AE47C6">
        <w:rPr>
          <w:rFonts w:ascii="Times New Roman" w:eastAsia="SimSun" w:hAnsi="Times New Roman"/>
          <w:i/>
          <w:sz w:val="24"/>
          <w:szCs w:val="24"/>
          <w:lang w:eastAsia="bg-BG"/>
        </w:rPr>
        <w:t>Migalastat</w:t>
      </w:r>
      <w:r w:rsidRPr="00AE47C6">
        <w:rPr>
          <w:rFonts w:ascii="Times New Roman" w:eastAsia="SimSun" w:hAnsi="Times New Roman"/>
          <w:sz w:val="24"/>
          <w:szCs w:val="24"/>
          <w:lang w:eastAsia="bg-BG"/>
        </w:rPr>
        <w:t xml:space="preserve"> не се препоръчва за употреба при пациенти с тежка бъбречна недостатъчност, определена като GFR, изчислена на по-малко от 30 ml/min/173 m</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Препоръчителният дозов режим при възрастни и юноши на възраст 16 години и по-големи е 123 mg </w:t>
      </w:r>
      <w:r w:rsidRPr="00AE47C6">
        <w:rPr>
          <w:rFonts w:ascii="Times New Roman" w:eastAsia="SimSun" w:hAnsi="Times New Roman"/>
          <w:iCs/>
          <w:sz w:val="24"/>
          <w:szCs w:val="24"/>
          <w:lang w:eastAsia="bg-BG"/>
        </w:rPr>
        <w:t>migalastat</w:t>
      </w:r>
      <w:r w:rsidRPr="00AE47C6">
        <w:rPr>
          <w:rFonts w:ascii="Times New Roman" w:eastAsia="SimSun" w:hAnsi="Times New Roman"/>
          <w:sz w:val="24"/>
          <w:szCs w:val="24"/>
          <w:lang w:eastAsia="bg-BG"/>
        </w:rPr>
        <w:t xml:space="preserve"> (1 капсула) веднъж през ден по едно и също време на деня. </w:t>
      </w:r>
      <w:r w:rsidRPr="00AE47C6">
        <w:rPr>
          <w:rFonts w:ascii="Times New Roman" w:eastAsia="SimSun" w:hAnsi="Times New Roman"/>
          <w:i/>
          <w:sz w:val="24"/>
          <w:szCs w:val="24"/>
          <w:lang w:eastAsia="bg-BG"/>
        </w:rPr>
        <w:t>Migalastat</w:t>
      </w:r>
      <w:r w:rsidRPr="00AE47C6">
        <w:rPr>
          <w:rFonts w:ascii="Times New Roman" w:eastAsia="SimSun" w:hAnsi="Times New Roman"/>
          <w:sz w:val="24"/>
          <w:szCs w:val="24"/>
          <w:lang w:eastAsia="bg-BG"/>
        </w:rPr>
        <w:t xml:space="preserve"> не е предназначен за едновременно приложение с ЕЗТ. Migalastat е с по-добър ефект в сравнение с плацебо върху бъбречната функция и левокамерната хипертрофия, диаричния синдром при пациенти с </w:t>
      </w:r>
      <w:r w:rsidRPr="00AE47C6">
        <w:rPr>
          <w:rFonts w:ascii="Times New Roman" w:eastAsia="SimSun" w:hAnsi="Times New Roman"/>
          <w:sz w:val="24"/>
          <w:szCs w:val="24"/>
          <w:shd w:val="clear" w:color="auto" w:fill="F8F9FA"/>
          <w:lang w:eastAsia="bg-BG"/>
        </w:rPr>
        <w:t>податливи</w:t>
      </w:r>
      <w:r w:rsidRPr="00AE47C6">
        <w:rPr>
          <w:rFonts w:ascii="Times New Roman" w:eastAsia="SimSun" w:hAnsi="Times New Roman"/>
          <w:sz w:val="24"/>
          <w:szCs w:val="24"/>
          <w:lang w:eastAsia="bg-BG"/>
        </w:rPr>
        <w:t xml:space="preserve"> мутации (http: //www.galafoldamenabilitytable.com /hcp/). Клиничните проучвания са върху пациенти с лека клиника (eGFR 89-94 ml/min/1.73m2, LVMI 94-97 g/m2) и не включват пациенти с високостойностна протеинурия (средно отношение на albumin/creatinine 13-27 и без данни за нефротичен синдром), което е рисков фактор за странични церебро-васкуларни и бъбречни увреди на болестта на Fabry, а проучванията са кратки  (18-24 месеца). </w:t>
      </w:r>
    </w:p>
    <w:p w14:paraId="34A484EA"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Симптоматично лечение: </w:t>
      </w:r>
      <w:r w:rsidRPr="00AE47C6">
        <w:rPr>
          <w:rFonts w:ascii="Times New Roman" w:eastAsia="SimSun" w:hAnsi="Times New Roman"/>
          <w:sz w:val="24"/>
          <w:szCs w:val="24"/>
        </w:rPr>
        <w:t xml:space="preserve">Освен ЕЗТ при пациентите с болест на Fabry се прилага лечение за усложненията: </w:t>
      </w:r>
    </w:p>
    <w:p w14:paraId="268BD52F" w14:textId="77777777" w:rsidR="00BE0B19" w:rsidRPr="00AE47C6" w:rsidRDefault="00BE0B19" w:rsidP="00BE0B19">
      <w:pPr>
        <w:shd w:val="clear" w:color="auto" w:fill="FFFFFF"/>
        <w:spacing w:after="0" w:line="360" w:lineRule="auto"/>
        <w:jc w:val="both"/>
        <w:rPr>
          <w:rFonts w:ascii="Times New Roman" w:eastAsia="SimSun" w:hAnsi="Times New Roman"/>
          <w:b/>
          <w:sz w:val="24"/>
          <w:szCs w:val="24"/>
        </w:rPr>
      </w:pPr>
      <w:r w:rsidRPr="00AE47C6">
        <w:rPr>
          <w:rFonts w:ascii="Times New Roman" w:eastAsia="SimSun" w:hAnsi="Times New Roman"/>
          <w:i/>
          <w:sz w:val="24"/>
          <w:szCs w:val="24"/>
        </w:rPr>
        <w:t>Акропарестезиите се лекуват с gabapentin, pregabalin и carbamazepine.</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Опиоидните аналгетици трябва да се избягват.</w:t>
      </w:r>
    </w:p>
    <w:p w14:paraId="5D7E2D2F" w14:textId="77777777" w:rsidR="00BE0B19" w:rsidRPr="00AE47C6" w:rsidRDefault="00BE0B19" w:rsidP="00BE0B19">
      <w:pPr>
        <w:shd w:val="clear" w:color="auto" w:fill="FFFFFF"/>
        <w:spacing w:after="0" w:line="360" w:lineRule="auto"/>
        <w:jc w:val="both"/>
        <w:rPr>
          <w:rFonts w:ascii="Times New Roman" w:eastAsia="SimSun" w:hAnsi="Times New Roman"/>
          <w:sz w:val="24"/>
          <w:szCs w:val="24"/>
        </w:rPr>
      </w:pPr>
      <w:r w:rsidRPr="00AE47C6">
        <w:rPr>
          <w:rFonts w:ascii="Times New Roman" w:eastAsia="SimSun" w:hAnsi="Times New Roman"/>
          <w:i/>
          <w:sz w:val="24"/>
          <w:szCs w:val="24"/>
        </w:rPr>
        <w:t xml:space="preserve">Микроалбуминурията </w:t>
      </w:r>
      <w:r w:rsidRPr="00AE47C6">
        <w:rPr>
          <w:rFonts w:ascii="Times New Roman" w:eastAsia="SimSun" w:hAnsi="Times New Roman"/>
          <w:sz w:val="24"/>
          <w:szCs w:val="24"/>
        </w:rPr>
        <w:t xml:space="preserve">се третира с angiotensin converting enzyme inhibitor (ACEI) или angiotensin рецепторен блокер (ARB). </w:t>
      </w:r>
    </w:p>
    <w:p w14:paraId="4C985E5B" w14:textId="77777777" w:rsidR="00BE0B19" w:rsidRPr="00AE47C6" w:rsidRDefault="00BE0B19" w:rsidP="00BE0B19">
      <w:pPr>
        <w:shd w:val="clear" w:color="auto" w:fill="FFFFFF"/>
        <w:spacing w:after="0" w:line="360" w:lineRule="auto"/>
        <w:jc w:val="both"/>
        <w:rPr>
          <w:rFonts w:ascii="Times New Roman" w:eastAsia="SimSun" w:hAnsi="Times New Roman"/>
          <w:sz w:val="24"/>
          <w:szCs w:val="24"/>
        </w:rPr>
      </w:pPr>
      <w:r w:rsidRPr="00AE47C6">
        <w:rPr>
          <w:rFonts w:ascii="Times New Roman" w:eastAsia="SimSun" w:hAnsi="Times New Roman"/>
          <w:i/>
          <w:sz w:val="24"/>
          <w:szCs w:val="24"/>
        </w:rPr>
        <w:t>При ТИА или мозъчен инсулт</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се прилага </w:t>
      </w:r>
      <w:r w:rsidRPr="00AE47C6">
        <w:rPr>
          <w:rFonts w:ascii="Times New Roman" w:eastAsia="SimSun" w:hAnsi="Times New Roman"/>
          <w:i/>
          <w:sz w:val="24"/>
          <w:szCs w:val="24"/>
        </w:rPr>
        <w:t xml:space="preserve">Acetylsalicylic acid </w:t>
      </w:r>
      <w:r w:rsidRPr="00AE47C6">
        <w:rPr>
          <w:rFonts w:ascii="Times New Roman" w:eastAsia="SimSun" w:hAnsi="Times New Roman"/>
          <w:sz w:val="24"/>
          <w:szCs w:val="24"/>
        </w:rPr>
        <w:t xml:space="preserve">или </w:t>
      </w:r>
      <w:r w:rsidRPr="00AE47C6">
        <w:rPr>
          <w:rFonts w:ascii="Times New Roman" w:eastAsia="SimSun" w:hAnsi="Times New Roman"/>
          <w:i/>
          <w:sz w:val="24"/>
          <w:szCs w:val="24"/>
        </w:rPr>
        <w:t>clopidogrel.</w:t>
      </w:r>
      <w:r w:rsidRPr="00AE47C6">
        <w:rPr>
          <w:rFonts w:ascii="Times New Roman" w:eastAsia="SimSun" w:hAnsi="Times New Roman"/>
          <w:sz w:val="24"/>
          <w:szCs w:val="24"/>
        </w:rPr>
        <w:t xml:space="preserve"> Контролът на основните съдови рискови фактори, като артериална хипертония, дислипидемия има важно значение за профилактиката на съдовите инциденти. </w:t>
      </w:r>
    </w:p>
    <w:p w14:paraId="0C68B3A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 xml:space="preserve">Интердисциплинарни грижи: </w:t>
      </w:r>
      <w:r w:rsidRPr="00AE47C6">
        <w:rPr>
          <w:rFonts w:ascii="Times New Roman" w:eastAsia="SimSun" w:hAnsi="Times New Roman"/>
          <w:sz w:val="24"/>
          <w:szCs w:val="24"/>
        </w:rPr>
        <w:t>Невролог, специализиран в областта на мозъчно-съдови заболявания и болест на Fabry. Кардиолог, специализиран в областта на инфарктите и ритъмните и проводни нарушения. Нефролог за диагностициране и проследяване на бъбречните увреди.</w:t>
      </w:r>
      <w:r w:rsidRPr="00AE47C6">
        <w:rPr>
          <w:rFonts w:ascii="Times New Roman" w:eastAsia="SimSun" w:hAnsi="Times New Roman"/>
          <w:b/>
          <w:sz w:val="24"/>
          <w:szCs w:val="24"/>
          <w:u w:val="single"/>
        </w:rPr>
        <w:t xml:space="preserve"> </w:t>
      </w:r>
    </w:p>
    <w:p w14:paraId="27C20642"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lang w:eastAsia="bg-BG"/>
        </w:rPr>
      </w:pPr>
      <w:r w:rsidRPr="00AE47C6">
        <w:rPr>
          <w:rFonts w:ascii="Times New Roman" w:eastAsia="SimSun" w:hAnsi="Times New Roman"/>
          <w:b/>
          <w:bCs/>
          <w:sz w:val="24"/>
          <w:szCs w:val="28"/>
          <w:u w:val="single"/>
          <w:lang w:eastAsia="bg-BG"/>
        </w:rPr>
        <w:t xml:space="preserve"> </w:t>
      </w:r>
      <w:r w:rsidRPr="00AE47C6">
        <w:rPr>
          <w:rFonts w:ascii="Times New Roman" w:eastAsia="SimSun" w:hAnsi="Times New Roman"/>
          <w:b/>
          <w:bCs/>
          <w:sz w:val="24"/>
          <w:szCs w:val="28"/>
          <w:lang w:eastAsia="bg-BG"/>
        </w:rPr>
        <w:t xml:space="preserve">5.1.3.3. </w:t>
      </w:r>
      <w:r w:rsidRPr="00AE47C6">
        <w:rPr>
          <w:rFonts w:ascii="Times New Roman" w:eastAsia="SimSun" w:hAnsi="Times New Roman"/>
          <w:b/>
          <w:bCs/>
          <w:sz w:val="24"/>
          <w:szCs w:val="28"/>
        </w:rPr>
        <w:t>Болест на Niemann-Pick тип А и тип В и тип А/В с дефицит на кисела сфингомиелиназа (ДКСМ)</w:t>
      </w:r>
    </w:p>
    <w:p w14:paraId="5976E8F8"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При болестта на Niemann-Pick тип А (ДКСМ тип А)</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 и тип В с дефицит на кисела сфингомиелинидаза се натрупва сфингомиелин в тъканите на слезката, черния дроб, белите дробове, костния мозък и рядко на мозъка. </w:t>
      </w:r>
    </w:p>
    <w:p w14:paraId="41D44783"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Болестта на Niemann-Pick тип А</w:t>
      </w:r>
      <w:r w:rsidRPr="00AE47C6">
        <w:rPr>
          <w:rFonts w:ascii="Times New Roman" w:eastAsia="SimSun" w:hAnsi="Times New Roman"/>
          <w:sz w:val="24"/>
          <w:szCs w:val="24"/>
          <w:lang w:eastAsia="bg-BG"/>
        </w:rPr>
        <w:t xml:space="preserve"> </w:t>
      </w:r>
      <w:r w:rsidRPr="00AE47C6">
        <w:rPr>
          <w:rFonts w:ascii="Times New Roman" w:eastAsia="SimSun" w:hAnsi="Times New Roman"/>
          <w:b/>
          <w:sz w:val="24"/>
          <w:szCs w:val="24"/>
          <w:lang w:eastAsia="bg-BG"/>
        </w:rPr>
        <w:t xml:space="preserve">(ДКСМ тип А) </w:t>
      </w:r>
      <w:r w:rsidRPr="00AE47C6">
        <w:rPr>
          <w:rFonts w:ascii="Times New Roman" w:eastAsia="SimSun" w:hAnsi="Times New Roman"/>
          <w:sz w:val="24"/>
          <w:szCs w:val="24"/>
          <w:lang w:eastAsia="bg-BG"/>
        </w:rPr>
        <w:t xml:space="preserve"> е известна като </w:t>
      </w:r>
      <w:r w:rsidRPr="00AE47C6">
        <w:rPr>
          <w:rFonts w:ascii="Times New Roman" w:eastAsia="SimSun" w:hAnsi="Times New Roman"/>
          <w:b/>
          <w:sz w:val="24"/>
          <w:szCs w:val="24"/>
          <w:lang w:eastAsia="bg-BG"/>
        </w:rPr>
        <w:t>„невронопатна“</w:t>
      </w:r>
      <w:r w:rsidRPr="00AE47C6">
        <w:rPr>
          <w:rFonts w:ascii="Times New Roman" w:eastAsia="SimSun" w:hAnsi="Times New Roman"/>
          <w:sz w:val="24"/>
          <w:szCs w:val="24"/>
          <w:lang w:eastAsia="bg-BG"/>
        </w:rPr>
        <w:t xml:space="preserve"> или  </w:t>
      </w:r>
      <w:r w:rsidRPr="00AE47C6">
        <w:rPr>
          <w:rFonts w:ascii="Times New Roman" w:eastAsia="SimSun" w:hAnsi="Times New Roman"/>
          <w:b/>
          <w:sz w:val="24"/>
          <w:szCs w:val="24"/>
          <w:lang w:eastAsia="bg-BG"/>
        </w:rPr>
        <w:t>„инфантилна невровисцерална“ форма</w:t>
      </w:r>
      <w:r w:rsidRPr="00AE47C6">
        <w:rPr>
          <w:rFonts w:ascii="Times New Roman" w:eastAsia="SimSun" w:hAnsi="Times New Roman"/>
          <w:sz w:val="24"/>
          <w:szCs w:val="24"/>
          <w:lang w:eastAsia="bg-BG"/>
        </w:rPr>
        <w:t xml:space="preserve"> с тежко протичане в кърмаческа възраст с хепатомегалия, иктер, повръщане, диария, респираторни инфекции, макулна дегенерация, регрес в невро-психичното и преживяване до 2-3 г. възраст. Среща се при евреи Ashkenazi и се дължи на founder мутация в </w:t>
      </w:r>
      <w:r w:rsidRPr="00AE47C6">
        <w:rPr>
          <w:rFonts w:ascii="Times New Roman" w:eastAsia="SimSun" w:hAnsi="Times New Roman"/>
          <w:i/>
          <w:iCs/>
          <w:sz w:val="24"/>
          <w:szCs w:val="24"/>
          <w:lang w:eastAsia="bg-BG"/>
        </w:rPr>
        <w:t>SMPD1</w:t>
      </w:r>
      <w:r w:rsidRPr="00AE47C6">
        <w:rPr>
          <w:rFonts w:ascii="Times New Roman" w:eastAsia="SimSun" w:hAnsi="Times New Roman"/>
          <w:sz w:val="24"/>
          <w:szCs w:val="24"/>
          <w:lang w:eastAsia="bg-BG"/>
        </w:rPr>
        <w:t>.</w:t>
      </w:r>
    </w:p>
    <w:p w14:paraId="07C84921"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Болестта на Niemann-Pick тип B (ДКСМ тип B)</w:t>
      </w:r>
      <w:r w:rsidRPr="00AE47C6">
        <w:rPr>
          <w:rFonts w:ascii="Times New Roman" w:eastAsia="SimSun" w:hAnsi="Times New Roman"/>
          <w:sz w:val="24"/>
          <w:szCs w:val="24"/>
          <w:lang w:eastAsia="bg-BG"/>
        </w:rPr>
        <w:t xml:space="preserve">  е известна като „не-невронопатна“. Протича хепатомегалия, чести белодробни инфекции при &gt;80%, тромбоцитопения при &gt;50%, дизлипидемия, сърдечно-клапни увреди, остеопения или остеопороза при възрастни.  </w:t>
      </w:r>
    </w:p>
    <w:p w14:paraId="29AA36FB"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Описана е и </w:t>
      </w:r>
      <w:r w:rsidRPr="00AE47C6">
        <w:rPr>
          <w:rFonts w:ascii="Times New Roman" w:eastAsia="SimSun" w:hAnsi="Times New Roman"/>
          <w:b/>
          <w:sz w:val="24"/>
          <w:szCs w:val="24"/>
          <w:lang w:eastAsia="bg-BG"/>
        </w:rPr>
        <w:t xml:space="preserve">междинна хронична невровисцерална форма (тип A/B)  </w:t>
      </w:r>
      <w:r w:rsidRPr="00AE47C6">
        <w:rPr>
          <w:rFonts w:ascii="Times New Roman" w:eastAsia="SimSun" w:hAnsi="Times New Roman"/>
          <w:sz w:val="24"/>
          <w:szCs w:val="24"/>
          <w:lang w:eastAsia="bg-BG"/>
        </w:rPr>
        <w:t>с дефицит на кисела сфингомиелиназа, която се характеризира с хепатоспленомегалия в детска възраст, с увеличени трансаминази, фиброза и цироза. Развитието е нормално до 5-7 г. възраст,</w:t>
      </w:r>
      <w:r w:rsidRPr="00AE47C6">
        <w:rPr>
          <w:rFonts w:ascii="Times New Roman" w:eastAsia="SimSun" w:hAnsi="Times New Roman"/>
          <w:sz w:val="24"/>
          <w:szCs w:val="24"/>
          <w:u w:val="single"/>
          <w:lang w:eastAsia="bg-BG"/>
        </w:rPr>
        <w:t xml:space="preserve"> </w:t>
      </w:r>
      <w:r w:rsidRPr="00AE47C6">
        <w:rPr>
          <w:rFonts w:ascii="Times New Roman" w:eastAsia="SimSun" w:hAnsi="Times New Roman"/>
          <w:sz w:val="24"/>
          <w:szCs w:val="24"/>
          <w:lang w:eastAsia="bg-BG"/>
        </w:rPr>
        <w:t>след това се изявяват неврологични синдроми - снижен слух, хипотония, хипорефлексия, атаксия,  когнитивна увреда, парези. Преживяемостта е различна.</w:t>
      </w:r>
    </w:p>
    <w:p w14:paraId="020BF34F"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Диагнозата се поставя</w:t>
      </w:r>
      <w:r w:rsidRPr="00AE47C6">
        <w:rPr>
          <w:rFonts w:ascii="Times New Roman" w:eastAsia="SimSun" w:hAnsi="Times New Roman"/>
          <w:sz w:val="24"/>
          <w:szCs w:val="24"/>
          <w:lang w:eastAsia="bg-BG"/>
        </w:rPr>
        <w:t xml:space="preserve"> чрез: </w:t>
      </w:r>
      <w:r w:rsidRPr="00AE47C6">
        <w:rPr>
          <w:rFonts w:ascii="Times New Roman" w:eastAsia="SimSun" w:hAnsi="Times New Roman"/>
          <w:i/>
          <w:sz w:val="24"/>
          <w:szCs w:val="24"/>
          <w:lang w:eastAsia="bg-BG"/>
        </w:rPr>
        <w:t>доказване на сфингомиелиназен дефицит в лимфоцити или клетъчни култури</w:t>
      </w:r>
      <w:r w:rsidRPr="00AE47C6">
        <w:rPr>
          <w:rFonts w:ascii="Times New Roman" w:eastAsia="SimSun" w:hAnsi="Times New Roman"/>
          <w:sz w:val="24"/>
          <w:szCs w:val="24"/>
          <w:lang w:eastAsia="bg-BG"/>
        </w:rPr>
        <w:t xml:space="preserve">, </w:t>
      </w:r>
      <w:r w:rsidRPr="00AE47C6">
        <w:rPr>
          <w:rFonts w:ascii="Times New Roman" w:eastAsia="SimSun" w:hAnsi="Times New Roman"/>
          <w:i/>
          <w:sz w:val="24"/>
          <w:szCs w:val="24"/>
          <w:lang w:eastAsia="bg-BG"/>
        </w:rPr>
        <w:t xml:space="preserve">генетично изследване с доказване на мутация/патологичен вариант в </w:t>
      </w:r>
      <w:r w:rsidRPr="00AE47C6">
        <w:rPr>
          <w:rFonts w:ascii="Times New Roman" w:eastAsia="SimSun" w:hAnsi="Times New Roman"/>
          <w:i/>
          <w:iCs/>
          <w:sz w:val="24"/>
          <w:szCs w:val="24"/>
          <w:lang w:eastAsia="bg-BG"/>
        </w:rPr>
        <w:t>SMPD1</w:t>
      </w:r>
      <w:r w:rsidRPr="00AE47C6">
        <w:rPr>
          <w:rFonts w:ascii="Times New Roman" w:eastAsia="SimSun" w:hAnsi="Times New Roman"/>
          <w:i/>
          <w:sz w:val="24"/>
          <w:szCs w:val="24"/>
          <w:lang w:eastAsia="bg-BG"/>
        </w:rPr>
        <w:t> гена</w:t>
      </w:r>
      <w:r w:rsidRPr="00AE47C6">
        <w:rPr>
          <w:rFonts w:ascii="Times New Roman" w:eastAsia="SimSun" w:hAnsi="Times New Roman"/>
          <w:sz w:val="24"/>
          <w:szCs w:val="24"/>
          <w:lang w:eastAsia="bg-BG"/>
        </w:rPr>
        <w:t>. Установява се увеличени плазмени оксистерол, особено lyso-sphingomyelin, при костно-мозъчна биопсия се доказват липид-съдържащи макрофаги („пенести“ клетки).</w:t>
      </w:r>
    </w:p>
    <w:p w14:paraId="1F81D30D" w14:textId="77777777" w:rsidR="00BE0B19" w:rsidRPr="00AE47C6" w:rsidRDefault="00BE0B19" w:rsidP="00BE0B19">
      <w:pPr>
        <w:shd w:val="clear" w:color="auto" w:fill="FFFFFF"/>
        <w:spacing w:after="0" w:line="360" w:lineRule="auto"/>
        <w:ind w:firstLine="708"/>
        <w:jc w:val="both"/>
        <w:rPr>
          <w:rFonts w:ascii="Times New Roman" w:eastAsia="SimSun" w:hAnsi="Times New Roman"/>
          <w:bCs/>
          <w:sz w:val="24"/>
          <w:szCs w:val="24"/>
          <w:lang w:eastAsia="bg-BG"/>
        </w:rPr>
      </w:pPr>
      <w:r w:rsidRPr="00AE47C6">
        <w:rPr>
          <w:rFonts w:ascii="Times New Roman" w:eastAsia="SimSun" w:hAnsi="Times New Roman"/>
          <w:sz w:val="24"/>
          <w:szCs w:val="24"/>
          <w:lang w:eastAsia="bg-BG"/>
        </w:rPr>
        <w:t xml:space="preserve">В България са диагностицирани над 30 болни с интермедиерен тип на болестта на </w:t>
      </w:r>
      <w:r w:rsidRPr="00AE47C6">
        <w:rPr>
          <w:rFonts w:ascii="Times New Roman" w:eastAsia="SimSun" w:hAnsi="Times New Roman"/>
          <w:bCs/>
          <w:sz w:val="24"/>
          <w:szCs w:val="24"/>
          <w:lang w:eastAsia="bg-BG"/>
        </w:rPr>
        <w:t>Niemann-Pick тип B. Заболяването е генетично хомогенно в българската популация. Всички диагностицирани болни са роми и имат една и съща мутация - трансверзията с.1711T&gt;G в SMPD1гена, която води до замяна на консервативен триптофан с глицин на позиция 391. Налице е значителна вариабилност по отношение на клиничния фенотип.</w:t>
      </w:r>
    </w:p>
    <w:p w14:paraId="528A59CA" w14:textId="77777777" w:rsidR="00BE0B19" w:rsidRPr="00AE47C6" w:rsidRDefault="00BE0B19" w:rsidP="00BE0B19">
      <w:pPr>
        <w:shd w:val="clear" w:color="auto" w:fill="FFFFFF"/>
        <w:spacing w:after="0" w:line="360" w:lineRule="auto"/>
        <w:ind w:firstLine="709"/>
        <w:jc w:val="both"/>
        <w:rPr>
          <w:rFonts w:ascii="Times New Roman" w:eastAsia="SimSun" w:hAnsi="Times New Roman"/>
        </w:rPr>
      </w:pPr>
      <w:r w:rsidRPr="00AE47C6">
        <w:rPr>
          <w:rFonts w:ascii="Times New Roman" w:eastAsia="SimSun" w:hAnsi="Times New Roman"/>
          <w:b/>
          <w:bCs/>
          <w:sz w:val="24"/>
          <w:szCs w:val="24"/>
          <w:lang w:eastAsia="bg-BG"/>
        </w:rPr>
        <w:t xml:space="preserve">Лечение: </w:t>
      </w:r>
      <w:r w:rsidRPr="00AE47C6">
        <w:rPr>
          <w:rFonts w:ascii="Times New Roman" w:eastAsia="SimSun" w:hAnsi="Times New Roman"/>
          <w:i/>
          <w:iCs/>
          <w:sz w:val="24"/>
          <w:szCs w:val="24"/>
          <w:shd w:val="clear" w:color="auto" w:fill="FFFFFF"/>
        </w:rPr>
        <w:t>Olipudase alpha</w:t>
      </w:r>
      <w:r w:rsidRPr="00AE47C6">
        <w:rPr>
          <w:rFonts w:ascii="Times New Roman" w:eastAsia="SimSun" w:hAnsi="Times New Roman"/>
          <w:sz w:val="24"/>
          <w:szCs w:val="24"/>
          <w:shd w:val="clear" w:color="auto" w:fill="FFFFFF"/>
        </w:rPr>
        <w:t xml:space="preserve"> е първата и единствена терапия, показана като ензимна заместителна терапия за лечение на прояви на Дефицит на Кисела Сфингомиелиназа (болест на Niemann-Pick тип А, B и тип A/B)  без засягане на централната нервна система (ЦНС) при педиатрични и възрастни пациенти. Olipudase alpha е рекомбинантна човешка кисела сфингомиелиназа, която намалява кумулирането на сфингомиелин (SM) в органите при пациенти с дефицит на кисела сфингомиелиназа (Acid Sphingomyelinase Deficiency, ДКСМ). Препоръчителната начална доза оlipudase alfa е 0,1 mg/kg за възрастни, препоръчителната поддържаща доза е 3 mg/kg на всеки 2 седмици. За педиатрични пациенти препоръчителната начална доза Olipudase alfa е 0,03 mg/kg , а препоръчителната поддържаща доза - 3 mg/kg на всеки 2 седмици.</w:t>
      </w:r>
      <w:r w:rsidRPr="00AE47C6">
        <w:rPr>
          <w:rFonts w:ascii="Times New Roman" w:eastAsia="SimSun" w:hAnsi="Times New Roman"/>
        </w:rPr>
        <w:t xml:space="preserve"> </w:t>
      </w:r>
    </w:p>
    <w:p w14:paraId="20A3707A" w14:textId="77777777" w:rsidR="00BE0B19" w:rsidRPr="00AE47C6" w:rsidRDefault="00BE0B19" w:rsidP="00BE0B19">
      <w:pPr>
        <w:spacing w:after="0" w:line="360" w:lineRule="auto"/>
        <w:ind w:firstLine="708"/>
        <w:jc w:val="both"/>
        <w:rPr>
          <w:rFonts w:ascii="Times New Roman" w:eastAsia="SimSun" w:hAnsi="Times New Roman"/>
          <w:sz w:val="24"/>
          <w:szCs w:val="24"/>
          <w:shd w:val="clear" w:color="auto" w:fill="FFFFFF"/>
        </w:rPr>
      </w:pPr>
      <w:r w:rsidRPr="00AE47C6">
        <w:rPr>
          <w:rFonts w:ascii="Times New Roman" w:eastAsia="SimSun" w:hAnsi="Times New Roman"/>
          <w:sz w:val="24"/>
          <w:szCs w:val="24"/>
          <w:shd w:val="clear" w:color="auto" w:fill="FFFFFF"/>
        </w:rPr>
        <w:t xml:space="preserve">Ефикасността на olipudase alpha е оценена в 3 клинични проучвания (изследване ASCEND при възрастни пациенти, изследване ASCEND-Peds при педиатрични пациенти и продължение на проучването при възрастни и при педиатрични пациенти).  </w:t>
      </w:r>
    </w:p>
    <w:p w14:paraId="391EC6D9"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sz w:val="24"/>
          <w:szCs w:val="24"/>
          <w:shd w:val="clear" w:color="auto" w:fill="FFFFFF"/>
          <w:lang w:eastAsia="bg-BG"/>
        </w:rPr>
        <w:t xml:space="preserve">В проучването ASCEND </w:t>
      </w:r>
      <w:r w:rsidRPr="00AE47C6">
        <w:rPr>
          <w:rFonts w:ascii="Times New Roman" w:eastAsia="SimSun" w:hAnsi="Times New Roman"/>
          <w:sz w:val="24"/>
          <w:szCs w:val="24"/>
          <w:lang w:eastAsia="bg-BG"/>
        </w:rPr>
        <w:t>на изходно ниво при 9 от 36 възрастни пациенти (25%) са наблюдавани неврологични прояви, които съответстват на клинична диагноза ДКСМ тип A/B. Останалите 27 пациенти са с клинична диагноза, съответстваща на ДКСМ тип П</w:t>
      </w:r>
      <w:r w:rsidRPr="00AE47C6">
        <w:rPr>
          <w:rFonts w:ascii="Times New Roman" w:eastAsia="SimSun" w:hAnsi="Times New Roman"/>
          <w:sz w:val="24"/>
          <w:szCs w:val="24"/>
          <w:shd w:val="clear" w:color="auto" w:fill="FFFFFF"/>
          <w:lang w:eastAsia="bg-BG"/>
        </w:rPr>
        <w:t xml:space="preserve">одобрения в средната процентна промяна в % прогнозиран DLco, обема на слезката, както и в средния обем на черния дроб и броя на тромбоцитите </w:t>
      </w:r>
      <w:r w:rsidRPr="00AE47C6">
        <w:rPr>
          <w:rFonts w:ascii="Times New Roman" w:eastAsia="SimSun" w:hAnsi="Times New Roman"/>
          <w:sz w:val="24"/>
          <w:szCs w:val="24"/>
          <w:lang w:eastAsia="bg-BG"/>
        </w:rPr>
        <w:t>са наблюдавани в групата на olipudase alfa  в сравнение с плацебо-групата</w:t>
      </w:r>
      <w:r w:rsidRPr="00AE47C6">
        <w:rPr>
          <w:rFonts w:ascii="Times New Roman" w:eastAsia="SimSun" w:hAnsi="Times New Roman"/>
          <w:sz w:val="24"/>
          <w:szCs w:val="24"/>
          <w:shd w:val="clear" w:color="auto" w:fill="FFFFFF"/>
          <w:lang w:eastAsia="bg-BG"/>
        </w:rPr>
        <w:t xml:space="preserve">. </w:t>
      </w:r>
      <w:r w:rsidRPr="00AE47C6">
        <w:rPr>
          <w:rFonts w:ascii="Times New Roman" w:eastAsia="SimSun" w:hAnsi="Times New Roman"/>
          <w:sz w:val="24"/>
          <w:szCs w:val="24"/>
          <w:lang w:eastAsia="bg-BG"/>
        </w:rPr>
        <w:t>В допълнение лизо-сфингомиелинът, който е значително повишен в плазмата на пациенти с ДКСМ, намалява значително, като</w:t>
      </w:r>
      <w:r w:rsidRPr="00AE47C6">
        <w:rPr>
          <w:rFonts w:ascii="Times New Roman" w:eastAsia="SimSun" w:hAnsi="Times New Roman"/>
          <w:spacing w:val="-2"/>
          <w:sz w:val="24"/>
          <w:szCs w:val="24"/>
          <w:lang w:eastAsia="bg-BG"/>
        </w:rPr>
        <w:t xml:space="preserve"> </w:t>
      </w:r>
      <w:r w:rsidRPr="00AE47C6">
        <w:rPr>
          <w:rFonts w:ascii="Times New Roman" w:eastAsia="SimSun" w:hAnsi="Times New Roman"/>
          <w:sz w:val="24"/>
          <w:szCs w:val="24"/>
          <w:lang w:eastAsia="bg-BG"/>
        </w:rPr>
        <w:t>отразява намаляването на съдържанието</w:t>
      </w:r>
      <w:r w:rsidRPr="00AE47C6">
        <w:rPr>
          <w:rFonts w:ascii="Times New Roman" w:eastAsia="SimSun" w:hAnsi="Times New Roman"/>
          <w:spacing w:val="-2"/>
          <w:sz w:val="24"/>
          <w:szCs w:val="24"/>
          <w:lang w:eastAsia="bg-BG"/>
        </w:rPr>
        <w:t xml:space="preserve"> </w:t>
      </w:r>
      <w:r w:rsidRPr="00AE47C6">
        <w:rPr>
          <w:rFonts w:ascii="Times New Roman" w:eastAsia="SimSun" w:hAnsi="Times New Roman"/>
          <w:sz w:val="24"/>
          <w:szCs w:val="24"/>
          <w:lang w:eastAsia="bg-BG"/>
        </w:rPr>
        <w:t>на сфингомиелин в тъканите. Процентната промяна в средните LS стойности от изходно ниво до 52-ра седмица (SE) на нивото на плазмения лизо-сфингомиелин преди инфузията е 77,7% (3,9) в групата на лечение с оlipudase alfa  в сравнение с 5,0% (4,2) в групата на плацебо. Съдържанието на сфингомиелин в черния дроб, оценено чрез хистопатология, е намаляло с 92,0% (SE: 8,1) от изходното</w:t>
      </w:r>
      <w:r w:rsidRPr="00AE47C6">
        <w:rPr>
          <w:rFonts w:ascii="Times New Roman" w:eastAsia="SimSun" w:hAnsi="Times New Roman"/>
          <w:spacing w:val="-2"/>
          <w:sz w:val="24"/>
          <w:szCs w:val="24"/>
          <w:lang w:eastAsia="bg-BG"/>
        </w:rPr>
        <w:t xml:space="preserve"> </w:t>
      </w:r>
      <w:r w:rsidRPr="00AE47C6">
        <w:rPr>
          <w:rFonts w:ascii="Times New Roman" w:eastAsia="SimSun" w:hAnsi="Times New Roman"/>
          <w:sz w:val="24"/>
          <w:szCs w:val="24"/>
          <w:lang w:eastAsia="bg-BG"/>
        </w:rPr>
        <w:t>ниво</w:t>
      </w:r>
      <w:r w:rsidRPr="00AE47C6">
        <w:rPr>
          <w:rFonts w:ascii="Times New Roman" w:eastAsia="SimSun" w:hAnsi="Times New Roman"/>
          <w:spacing w:val="-2"/>
          <w:sz w:val="24"/>
          <w:szCs w:val="24"/>
          <w:lang w:eastAsia="bg-BG"/>
        </w:rPr>
        <w:t xml:space="preserve"> </w:t>
      </w:r>
      <w:r w:rsidRPr="00AE47C6">
        <w:rPr>
          <w:rFonts w:ascii="Times New Roman" w:eastAsia="SimSun" w:hAnsi="Times New Roman"/>
          <w:sz w:val="24"/>
          <w:szCs w:val="24"/>
          <w:lang w:eastAsia="bg-BG"/>
        </w:rPr>
        <w:t>до</w:t>
      </w:r>
      <w:r w:rsidRPr="00AE47C6">
        <w:rPr>
          <w:rFonts w:ascii="Times New Roman" w:eastAsia="SimSun" w:hAnsi="Times New Roman"/>
          <w:spacing w:val="-2"/>
          <w:sz w:val="24"/>
          <w:szCs w:val="24"/>
          <w:lang w:eastAsia="bg-BG"/>
        </w:rPr>
        <w:t xml:space="preserve"> </w:t>
      </w:r>
      <w:r w:rsidRPr="00AE47C6">
        <w:rPr>
          <w:rFonts w:ascii="Times New Roman" w:eastAsia="SimSun" w:hAnsi="Times New Roman"/>
          <w:sz w:val="24"/>
          <w:szCs w:val="24"/>
          <w:lang w:eastAsia="bg-BG"/>
        </w:rPr>
        <w:t>52-ра</w:t>
      </w:r>
      <w:r w:rsidRPr="00AE47C6">
        <w:rPr>
          <w:rFonts w:ascii="Times New Roman" w:eastAsia="SimSun" w:hAnsi="Times New Roman"/>
          <w:spacing w:val="-4"/>
          <w:sz w:val="24"/>
          <w:szCs w:val="24"/>
          <w:lang w:eastAsia="bg-BG"/>
        </w:rPr>
        <w:t xml:space="preserve"> </w:t>
      </w:r>
      <w:r w:rsidRPr="00AE47C6">
        <w:rPr>
          <w:rFonts w:ascii="Times New Roman" w:eastAsia="SimSun" w:hAnsi="Times New Roman"/>
          <w:sz w:val="24"/>
          <w:szCs w:val="24"/>
          <w:lang w:eastAsia="bg-BG"/>
        </w:rPr>
        <w:t>седмица</w:t>
      </w:r>
      <w:r w:rsidRPr="00AE47C6">
        <w:rPr>
          <w:rFonts w:ascii="Times New Roman" w:eastAsia="SimSun" w:hAnsi="Times New Roman"/>
          <w:spacing w:val="-2"/>
          <w:sz w:val="24"/>
          <w:szCs w:val="24"/>
          <w:lang w:eastAsia="bg-BG"/>
        </w:rPr>
        <w:t xml:space="preserve"> </w:t>
      </w:r>
      <w:r w:rsidRPr="00AE47C6">
        <w:rPr>
          <w:rFonts w:ascii="Times New Roman" w:eastAsia="SimSun" w:hAnsi="Times New Roman"/>
          <w:sz w:val="24"/>
          <w:szCs w:val="24"/>
          <w:lang w:eastAsia="bg-BG"/>
        </w:rPr>
        <w:t>в</w:t>
      </w:r>
      <w:r w:rsidRPr="00AE47C6">
        <w:rPr>
          <w:rFonts w:ascii="Times New Roman" w:eastAsia="SimSun" w:hAnsi="Times New Roman"/>
          <w:spacing w:val="-3"/>
          <w:sz w:val="24"/>
          <w:szCs w:val="24"/>
          <w:lang w:eastAsia="bg-BG"/>
        </w:rPr>
        <w:t xml:space="preserve"> </w:t>
      </w:r>
      <w:r w:rsidRPr="00AE47C6">
        <w:rPr>
          <w:rFonts w:ascii="Times New Roman" w:eastAsia="SimSun" w:hAnsi="Times New Roman"/>
          <w:sz w:val="24"/>
          <w:szCs w:val="24"/>
          <w:lang w:eastAsia="bg-BG"/>
        </w:rPr>
        <w:t>групата</w:t>
      </w:r>
      <w:r w:rsidRPr="00AE47C6">
        <w:rPr>
          <w:rFonts w:ascii="Times New Roman" w:eastAsia="SimSun" w:hAnsi="Times New Roman"/>
          <w:spacing w:val="-2"/>
          <w:sz w:val="24"/>
          <w:szCs w:val="24"/>
          <w:lang w:eastAsia="bg-BG"/>
        </w:rPr>
        <w:t xml:space="preserve"> </w:t>
      </w:r>
      <w:r w:rsidRPr="00AE47C6">
        <w:rPr>
          <w:rFonts w:ascii="Times New Roman" w:eastAsia="SimSun" w:hAnsi="Times New Roman"/>
          <w:sz w:val="24"/>
          <w:szCs w:val="24"/>
          <w:lang w:eastAsia="bg-BG"/>
        </w:rPr>
        <w:t>на</w:t>
      </w:r>
      <w:r w:rsidRPr="00AE47C6">
        <w:rPr>
          <w:rFonts w:ascii="Times New Roman" w:eastAsia="SimSun" w:hAnsi="Times New Roman"/>
          <w:spacing w:val="-2"/>
          <w:sz w:val="24"/>
          <w:szCs w:val="24"/>
          <w:lang w:eastAsia="bg-BG"/>
        </w:rPr>
        <w:t xml:space="preserve"> </w:t>
      </w:r>
      <w:r w:rsidRPr="00AE47C6">
        <w:rPr>
          <w:rFonts w:ascii="Times New Roman" w:eastAsia="SimSun" w:hAnsi="Times New Roman"/>
          <w:sz w:val="24"/>
          <w:szCs w:val="24"/>
          <w:lang w:eastAsia="bg-BG"/>
        </w:rPr>
        <w:t>лечение</w:t>
      </w:r>
      <w:r w:rsidRPr="00AE47C6">
        <w:rPr>
          <w:rFonts w:ascii="Times New Roman" w:eastAsia="SimSun" w:hAnsi="Times New Roman"/>
          <w:spacing w:val="-2"/>
          <w:sz w:val="24"/>
          <w:szCs w:val="24"/>
          <w:lang w:eastAsia="bg-BG"/>
        </w:rPr>
        <w:t xml:space="preserve"> </w:t>
      </w:r>
      <w:r w:rsidRPr="00AE47C6">
        <w:rPr>
          <w:rFonts w:ascii="Times New Roman" w:eastAsia="SimSun" w:hAnsi="Times New Roman"/>
          <w:sz w:val="24"/>
          <w:szCs w:val="24"/>
          <w:lang w:eastAsia="bg-BG"/>
        </w:rPr>
        <w:t>с</w:t>
      </w:r>
      <w:r w:rsidRPr="00AE47C6">
        <w:rPr>
          <w:rFonts w:ascii="Times New Roman" w:eastAsia="SimSun" w:hAnsi="Times New Roman"/>
          <w:spacing w:val="-2"/>
          <w:sz w:val="24"/>
          <w:szCs w:val="24"/>
          <w:lang w:eastAsia="bg-BG"/>
        </w:rPr>
        <w:t xml:space="preserve"> </w:t>
      </w:r>
      <w:r w:rsidRPr="00AE47C6">
        <w:rPr>
          <w:rFonts w:ascii="Times New Roman" w:eastAsia="SimSun" w:hAnsi="Times New Roman"/>
          <w:sz w:val="24"/>
          <w:szCs w:val="24"/>
          <w:lang w:eastAsia="bg-BG"/>
        </w:rPr>
        <w:t xml:space="preserve">оlipudase alfa </w:t>
      </w:r>
      <w:r w:rsidRPr="00AE47C6">
        <w:rPr>
          <w:rFonts w:ascii="Times New Roman" w:eastAsia="SimSun" w:hAnsi="Times New Roman"/>
          <w:spacing w:val="-2"/>
          <w:sz w:val="24"/>
          <w:szCs w:val="24"/>
          <w:lang w:eastAsia="bg-BG"/>
        </w:rPr>
        <w:t xml:space="preserve"> </w:t>
      </w:r>
      <w:r w:rsidRPr="00AE47C6">
        <w:rPr>
          <w:rFonts w:ascii="Times New Roman" w:eastAsia="SimSun" w:hAnsi="Times New Roman"/>
          <w:sz w:val="24"/>
          <w:szCs w:val="24"/>
          <w:lang w:eastAsia="bg-BG"/>
        </w:rPr>
        <w:t>(в</w:t>
      </w:r>
      <w:r w:rsidRPr="00AE47C6">
        <w:rPr>
          <w:rFonts w:ascii="Times New Roman" w:eastAsia="SimSun" w:hAnsi="Times New Roman"/>
          <w:spacing w:val="-3"/>
          <w:sz w:val="24"/>
          <w:szCs w:val="24"/>
          <w:lang w:eastAsia="bg-BG"/>
        </w:rPr>
        <w:t xml:space="preserve"> </w:t>
      </w:r>
      <w:r w:rsidRPr="00AE47C6">
        <w:rPr>
          <w:rFonts w:ascii="Times New Roman" w:eastAsia="SimSun" w:hAnsi="Times New Roman"/>
          <w:sz w:val="24"/>
          <w:szCs w:val="24"/>
          <w:lang w:eastAsia="bg-BG"/>
        </w:rPr>
        <w:t>сравнение</w:t>
      </w:r>
      <w:r w:rsidRPr="00AE47C6">
        <w:rPr>
          <w:rFonts w:ascii="Times New Roman" w:eastAsia="SimSun" w:hAnsi="Times New Roman"/>
          <w:spacing w:val="-2"/>
          <w:sz w:val="24"/>
          <w:szCs w:val="24"/>
          <w:lang w:eastAsia="bg-BG"/>
        </w:rPr>
        <w:t xml:space="preserve"> </w:t>
      </w:r>
      <w:r w:rsidRPr="00AE47C6">
        <w:rPr>
          <w:rFonts w:ascii="Times New Roman" w:eastAsia="SimSun" w:hAnsi="Times New Roman"/>
          <w:sz w:val="24"/>
          <w:szCs w:val="24"/>
          <w:lang w:eastAsia="bg-BG"/>
        </w:rPr>
        <w:t>с</w:t>
      </w:r>
      <w:r w:rsidRPr="00AE47C6">
        <w:rPr>
          <w:rFonts w:ascii="Times New Roman" w:eastAsia="SimSun" w:hAnsi="Times New Roman"/>
          <w:spacing w:val="-2"/>
          <w:sz w:val="24"/>
          <w:szCs w:val="24"/>
          <w:lang w:eastAsia="bg-BG"/>
        </w:rPr>
        <w:t xml:space="preserve"> </w:t>
      </w:r>
      <w:r w:rsidRPr="00AE47C6">
        <w:rPr>
          <w:rFonts w:ascii="Times New Roman" w:eastAsia="SimSun" w:hAnsi="Times New Roman"/>
          <w:sz w:val="24"/>
          <w:szCs w:val="24"/>
          <w:lang w:eastAsia="bg-BG"/>
        </w:rPr>
        <w:t>+10,3%</w:t>
      </w:r>
      <w:r w:rsidRPr="00AE47C6">
        <w:rPr>
          <w:rFonts w:ascii="Times New Roman" w:eastAsia="SimSun" w:hAnsi="Times New Roman"/>
          <w:spacing w:val="-4"/>
          <w:sz w:val="24"/>
          <w:szCs w:val="24"/>
          <w:lang w:eastAsia="bg-BG"/>
        </w:rPr>
        <w:t xml:space="preserve"> </w:t>
      </w:r>
      <w:r w:rsidRPr="00AE47C6">
        <w:rPr>
          <w:rFonts w:ascii="Times New Roman" w:eastAsia="SimSun" w:hAnsi="Times New Roman"/>
          <w:sz w:val="24"/>
          <w:szCs w:val="24"/>
          <w:lang w:eastAsia="bg-BG"/>
        </w:rPr>
        <w:t>(SE: 7,8) в групата на плацебо). Трайни</w:t>
      </w:r>
      <w:r w:rsidRPr="00AE47C6">
        <w:rPr>
          <w:rFonts w:ascii="Times New Roman" w:eastAsia="SimSun" w:hAnsi="Times New Roman"/>
          <w:spacing w:val="-4"/>
          <w:sz w:val="24"/>
          <w:szCs w:val="24"/>
          <w:lang w:eastAsia="bg-BG"/>
        </w:rPr>
        <w:t xml:space="preserve"> </w:t>
      </w:r>
      <w:r w:rsidRPr="00AE47C6">
        <w:rPr>
          <w:rFonts w:ascii="Times New Roman" w:eastAsia="SimSun" w:hAnsi="Times New Roman"/>
          <w:sz w:val="24"/>
          <w:szCs w:val="24"/>
          <w:lang w:eastAsia="bg-BG"/>
        </w:rPr>
        <w:t>подобрения</w:t>
      </w:r>
      <w:r w:rsidRPr="00AE47C6">
        <w:rPr>
          <w:rFonts w:ascii="Times New Roman" w:eastAsia="SimSun" w:hAnsi="Times New Roman"/>
          <w:spacing w:val="-3"/>
          <w:sz w:val="24"/>
          <w:szCs w:val="24"/>
          <w:lang w:eastAsia="bg-BG"/>
        </w:rPr>
        <w:t xml:space="preserve"> </w:t>
      </w:r>
      <w:r w:rsidRPr="00AE47C6">
        <w:rPr>
          <w:rFonts w:ascii="Times New Roman" w:eastAsia="SimSun" w:hAnsi="Times New Roman"/>
          <w:sz w:val="24"/>
          <w:szCs w:val="24"/>
          <w:lang w:eastAsia="bg-BG"/>
        </w:rPr>
        <w:t>в</w:t>
      </w:r>
      <w:r w:rsidRPr="00AE47C6">
        <w:rPr>
          <w:rFonts w:ascii="Times New Roman" w:eastAsia="SimSun" w:hAnsi="Times New Roman"/>
          <w:spacing w:val="-3"/>
          <w:sz w:val="24"/>
          <w:szCs w:val="24"/>
          <w:lang w:eastAsia="bg-BG"/>
        </w:rPr>
        <w:t xml:space="preserve"> </w:t>
      </w:r>
      <w:r w:rsidRPr="00AE47C6">
        <w:rPr>
          <w:rFonts w:ascii="Times New Roman" w:eastAsia="SimSun" w:hAnsi="Times New Roman"/>
          <w:sz w:val="24"/>
          <w:szCs w:val="24"/>
          <w:lang w:eastAsia="bg-BG"/>
        </w:rPr>
        <w:t>прогнозирания</w:t>
      </w:r>
      <w:r w:rsidRPr="00AE47C6">
        <w:rPr>
          <w:rFonts w:ascii="Times New Roman" w:eastAsia="SimSun" w:hAnsi="Times New Roman"/>
          <w:spacing w:val="-2"/>
          <w:sz w:val="24"/>
          <w:szCs w:val="24"/>
          <w:lang w:eastAsia="bg-BG"/>
        </w:rPr>
        <w:t xml:space="preserve"> </w:t>
      </w:r>
      <w:r w:rsidRPr="00AE47C6">
        <w:rPr>
          <w:rFonts w:ascii="Times New Roman" w:eastAsia="SimSun" w:hAnsi="Times New Roman"/>
          <w:sz w:val="24"/>
          <w:szCs w:val="24"/>
          <w:lang w:eastAsia="bg-BG"/>
        </w:rPr>
        <w:t>%</w:t>
      </w:r>
      <w:r w:rsidRPr="00AE47C6">
        <w:rPr>
          <w:rFonts w:ascii="Times New Roman" w:eastAsia="SimSun" w:hAnsi="Times New Roman"/>
          <w:spacing w:val="-1"/>
          <w:sz w:val="24"/>
          <w:szCs w:val="24"/>
          <w:lang w:eastAsia="bg-BG"/>
        </w:rPr>
        <w:t xml:space="preserve"> </w:t>
      </w:r>
      <w:r w:rsidRPr="00AE47C6">
        <w:rPr>
          <w:rFonts w:ascii="Times New Roman" w:eastAsia="SimSun" w:hAnsi="Times New Roman"/>
          <w:sz w:val="24"/>
          <w:szCs w:val="24"/>
          <w:lang w:eastAsia="bg-BG"/>
        </w:rPr>
        <w:t>DLco,</w:t>
      </w:r>
      <w:r w:rsidRPr="00AE47C6">
        <w:rPr>
          <w:rFonts w:ascii="Times New Roman" w:eastAsia="SimSun" w:hAnsi="Times New Roman"/>
          <w:spacing w:val="-2"/>
          <w:sz w:val="24"/>
          <w:szCs w:val="24"/>
          <w:lang w:eastAsia="bg-BG"/>
        </w:rPr>
        <w:t xml:space="preserve"> </w:t>
      </w:r>
      <w:r w:rsidRPr="00AE47C6">
        <w:rPr>
          <w:rFonts w:ascii="Times New Roman" w:eastAsia="SimSun" w:hAnsi="Times New Roman"/>
          <w:sz w:val="24"/>
          <w:szCs w:val="24"/>
          <w:lang w:eastAsia="bg-BG"/>
        </w:rPr>
        <w:t>обема</w:t>
      </w:r>
      <w:r w:rsidRPr="00AE47C6">
        <w:rPr>
          <w:rFonts w:ascii="Times New Roman" w:eastAsia="SimSun" w:hAnsi="Times New Roman"/>
          <w:spacing w:val="-2"/>
          <w:sz w:val="24"/>
          <w:szCs w:val="24"/>
          <w:lang w:eastAsia="bg-BG"/>
        </w:rPr>
        <w:t xml:space="preserve"> </w:t>
      </w:r>
      <w:r w:rsidRPr="00AE47C6">
        <w:rPr>
          <w:rFonts w:ascii="Times New Roman" w:eastAsia="SimSun" w:hAnsi="Times New Roman"/>
          <w:sz w:val="24"/>
          <w:szCs w:val="24"/>
          <w:lang w:eastAsia="bg-BG"/>
        </w:rPr>
        <w:t>на</w:t>
      </w:r>
      <w:r w:rsidRPr="00AE47C6">
        <w:rPr>
          <w:rFonts w:ascii="Times New Roman" w:eastAsia="SimSun" w:hAnsi="Times New Roman"/>
          <w:spacing w:val="-2"/>
          <w:sz w:val="24"/>
          <w:szCs w:val="24"/>
          <w:lang w:eastAsia="bg-BG"/>
        </w:rPr>
        <w:t xml:space="preserve"> </w:t>
      </w:r>
      <w:r w:rsidRPr="00AE47C6">
        <w:rPr>
          <w:rFonts w:ascii="Times New Roman" w:eastAsia="SimSun" w:hAnsi="Times New Roman"/>
          <w:sz w:val="24"/>
          <w:szCs w:val="24"/>
          <w:lang w:eastAsia="bg-BG"/>
        </w:rPr>
        <w:t>далака</w:t>
      </w:r>
      <w:r w:rsidRPr="00AE47C6">
        <w:rPr>
          <w:rFonts w:ascii="Times New Roman" w:eastAsia="SimSun" w:hAnsi="Times New Roman"/>
          <w:spacing w:val="-2"/>
          <w:sz w:val="24"/>
          <w:szCs w:val="24"/>
          <w:lang w:eastAsia="bg-BG"/>
        </w:rPr>
        <w:t xml:space="preserve"> </w:t>
      </w:r>
      <w:r w:rsidRPr="00AE47C6">
        <w:rPr>
          <w:rFonts w:ascii="Times New Roman" w:eastAsia="SimSun" w:hAnsi="Times New Roman"/>
          <w:sz w:val="24"/>
          <w:szCs w:val="24"/>
          <w:lang w:eastAsia="bg-BG"/>
        </w:rPr>
        <w:t>и</w:t>
      </w:r>
      <w:r w:rsidRPr="00AE47C6">
        <w:rPr>
          <w:rFonts w:ascii="Times New Roman" w:eastAsia="SimSun" w:hAnsi="Times New Roman"/>
          <w:spacing w:val="-2"/>
          <w:sz w:val="24"/>
          <w:szCs w:val="24"/>
          <w:lang w:eastAsia="bg-BG"/>
        </w:rPr>
        <w:t xml:space="preserve"> </w:t>
      </w:r>
      <w:r w:rsidRPr="00AE47C6">
        <w:rPr>
          <w:rFonts w:ascii="Times New Roman" w:eastAsia="SimSun" w:hAnsi="Times New Roman"/>
          <w:sz w:val="24"/>
          <w:szCs w:val="24"/>
          <w:lang w:eastAsia="bg-BG"/>
        </w:rPr>
        <w:t>черния</w:t>
      </w:r>
      <w:r w:rsidRPr="00AE47C6">
        <w:rPr>
          <w:rFonts w:ascii="Times New Roman" w:eastAsia="SimSun" w:hAnsi="Times New Roman"/>
          <w:spacing w:val="-3"/>
          <w:sz w:val="24"/>
          <w:szCs w:val="24"/>
          <w:lang w:eastAsia="bg-BG"/>
        </w:rPr>
        <w:t xml:space="preserve"> </w:t>
      </w:r>
      <w:r w:rsidRPr="00AE47C6">
        <w:rPr>
          <w:rFonts w:ascii="Times New Roman" w:eastAsia="SimSun" w:hAnsi="Times New Roman"/>
          <w:sz w:val="24"/>
          <w:szCs w:val="24"/>
          <w:lang w:eastAsia="bg-BG"/>
        </w:rPr>
        <w:t>дроб</w:t>
      </w:r>
      <w:r w:rsidRPr="00AE47C6">
        <w:rPr>
          <w:rFonts w:ascii="Times New Roman" w:eastAsia="SimSun" w:hAnsi="Times New Roman"/>
          <w:spacing w:val="-4"/>
          <w:sz w:val="24"/>
          <w:szCs w:val="24"/>
          <w:lang w:eastAsia="bg-BG"/>
        </w:rPr>
        <w:t xml:space="preserve"> </w:t>
      </w:r>
      <w:r w:rsidRPr="00AE47C6">
        <w:rPr>
          <w:rFonts w:ascii="Times New Roman" w:eastAsia="SimSun" w:hAnsi="Times New Roman"/>
          <w:sz w:val="24"/>
          <w:szCs w:val="24"/>
          <w:lang w:eastAsia="bg-BG"/>
        </w:rPr>
        <w:t>и</w:t>
      </w:r>
      <w:r w:rsidRPr="00AE47C6">
        <w:rPr>
          <w:rFonts w:ascii="Times New Roman" w:eastAsia="SimSun" w:hAnsi="Times New Roman"/>
          <w:spacing w:val="-2"/>
          <w:sz w:val="24"/>
          <w:szCs w:val="24"/>
          <w:lang w:eastAsia="bg-BG"/>
        </w:rPr>
        <w:t xml:space="preserve"> </w:t>
      </w:r>
      <w:r w:rsidRPr="00AE47C6">
        <w:rPr>
          <w:rFonts w:ascii="Times New Roman" w:eastAsia="SimSun" w:hAnsi="Times New Roman"/>
          <w:sz w:val="24"/>
          <w:szCs w:val="24"/>
          <w:lang w:eastAsia="bg-BG"/>
        </w:rPr>
        <w:t>броя</w:t>
      </w:r>
      <w:r w:rsidRPr="00AE47C6">
        <w:rPr>
          <w:rFonts w:ascii="Times New Roman" w:eastAsia="SimSun" w:hAnsi="Times New Roman"/>
          <w:spacing w:val="-3"/>
          <w:sz w:val="24"/>
          <w:szCs w:val="24"/>
          <w:lang w:eastAsia="bg-BG"/>
        </w:rPr>
        <w:t xml:space="preserve"> </w:t>
      </w:r>
      <w:r w:rsidRPr="00AE47C6">
        <w:rPr>
          <w:rFonts w:ascii="Times New Roman" w:eastAsia="SimSun" w:hAnsi="Times New Roman"/>
          <w:sz w:val="24"/>
          <w:szCs w:val="24"/>
          <w:lang w:eastAsia="bg-BG"/>
        </w:rPr>
        <w:t xml:space="preserve">на тромбоцитите, в сравнение с изходното ниво, са отбелязани при възрастни в хода на проучването. </w:t>
      </w:r>
    </w:p>
    <w:p w14:paraId="6CBF3418"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shd w:val="clear" w:color="auto" w:fill="FFFFFF"/>
          <w:lang w:eastAsia="bg-BG"/>
        </w:rPr>
      </w:pPr>
      <w:r w:rsidRPr="00AE47C6">
        <w:rPr>
          <w:rFonts w:ascii="Times New Roman" w:eastAsia="SimSun" w:hAnsi="Times New Roman"/>
          <w:sz w:val="24"/>
          <w:szCs w:val="24"/>
          <w:lang w:eastAsia="bg-BG"/>
        </w:rPr>
        <w:t>Проучването ASCEND-Peds обхваща общо 20 пациента под 18 годишна възраст. На изходно ниво неврологични</w:t>
      </w:r>
      <w:r w:rsidRPr="00AE47C6">
        <w:rPr>
          <w:rFonts w:ascii="Times New Roman" w:eastAsia="SimSun" w:hAnsi="Times New Roman"/>
          <w:spacing w:val="-1"/>
          <w:sz w:val="24"/>
          <w:szCs w:val="24"/>
          <w:lang w:eastAsia="bg-BG"/>
        </w:rPr>
        <w:t xml:space="preserve"> </w:t>
      </w:r>
      <w:r w:rsidRPr="00AE47C6">
        <w:rPr>
          <w:rFonts w:ascii="Times New Roman" w:eastAsia="SimSun" w:hAnsi="Times New Roman"/>
          <w:sz w:val="24"/>
          <w:szCs w:val="24"/>
          <w:lang w:eastAsia="bg-BG"/>
        </w:rPr>
        <w:t xml:space="preserve">прояви са наблюдавани при 8 от 20 педиатрични пациенти (40%), които съответстват на клинична диагноза ДКСМ тип A/B. </w:t>
      </w:r>
      <w:r w:rsidRPr="00AE47C6">
        <w:rPr>
          <w:rFonts w:ascii="Times New Roman" w:eastAsia="SimSun" w:hAnsi="Times New Roman"/>
          <w:sz w:val="24"/>
          <w:szCs w:val="24"/>
          <w:shd w:val="clear" w:color="auto" w:fill="FFFFFF"/>
          <w:lang w:eastAsia="bg-BG"/>
        </w:rPr>
        <w:t xml:space="preserve">В ASCEND-Peds, лечението с olipudase alpha е довело до подобрения в средната процентна промяна в % прогнозиран DLco, обема на слезката и черния дроб, броя на тромбоцитите се и растежа на височина (измерен чрез Z-скор за височина) в сравнение с изходното ниво.  </w:t>
      </w:r>
      <w:r w:rsidRPr="00AE47C6">
        <w:rPr>
          <w:rFonts w:ascii="Times New Roman" w:eastAsia="SimSun" w:hAnsi="Times New Roman"/>
          <w:sz w:val="24"/>
          <w:szCs w:val="24"/>
          <w:lang w:eastAsia="bg-BG"/>
        </w:rPr>
        <w:t xml:space="preserve">В допълнение средните LS нива на плазмения церамид и лизо-сфингомиелина преди инфузията са намалени съответно с 57% (SE: 5,1) и 87,2% (SE: 1,3) в сравнение с изходното ниво след 52 седмици лечение. Ефектите на оlipudase alfa  върху обема на далака и черния дроб, тромбоцитите и Z-скора за височина са наблюдавани във всички педиатрични възрастови кохорти, включени в проучването. </w:t>
      </w:r>
      <w:r w:rsidRPr="00AE47C6">
        <w:rPr>
          <w:rFonts w:ascii="Times New Roman" w:eastAsia="SimSun" w:hAnsi="Times New Roman"/>
          <w:sz w:val="24"/>
          <w:szCs w:val="24"/>
          <w:shd w:val="clear" w:color="auto" w:fill="FFFFFF"/>
          <w:lang w:eastAsia="bg-BG"/>
        </w:rPr>
        <w:t>Най-често съобщаваните нежелани лекарствени реакции (НЛР) са главоболие (31,7%), пирексия (25%), уртикария (21,7%), гадене (20%), повръщане (16,7%), коремна болка (15%), миалгия (11,7%), сърбеж (10%) и повишение на С-реактивния протеин (10%).</w:t>
      </w:r>
    </w:p>
    <w:p w14:paraId="7E3E5E92"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u w:val="single"/>
          <w:lang w:eastAsia="bg-BG"/>
        </w:rPr>
      </w:pPr>
      <w:r w:rsidRPr="00AE47C6">
        <w:rPr>
          <w:rFonts w:ascii="Times New Roman" w:eastAsia="SimSun" w:hAnsi="Times New Roman"/>
          <w:b/>
          <w:sz w:val="24"/>
          <w:szCs w:val="24"/>
          <w:u w:val="single"/>
          <w:lang w:eastAsia="bg-BG"/>
        </w:rPr>
        <w:t xml:space="preserve">Други сфинголипидози- </w:t>
      </w:r>
      <w:r w:rsidRPr="00AE47C6">
        <w:rPr>
          <w:rFonts w:ascii="Times New Roman" w:eastAsia="SimSun" w:hAnsi="Times New Roman"/>
          <w:sz w:val="24"/>
          <w:szCs w:val="24"/>
          <w:lang w:eastAsia="bg-BG"/>
        </w:rPr>
        <w:t>GM1 ганглиозидоза, болест на Tay-Sachs, болест на Sandhoff , болест на Krabbe и метахроматичната левкодистрофия</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са свързани с увреден метаболизъм от натрупване </w:t>
      </w:r>
      <w:r w:rsidRPr="00AE47C6">
        <w:rPr>
          <w:rFonts w:ascii="Times New Roman" w:eastAsia="SimSun" w:hAnsi="Times New Roman"/>
          <w:sz w:val="24"/>
          <w:szCs w:val="24"/>
          <w:shd w:val="clear" w:color="auto" w:fill="FFFFFF"/>
          <w:lang w:eastAsia="bg-BG"/>
        </w:rPr>
        <w:t>на</w:t>
      </w:r>
      <w:r w:rsidRPr="00AE47C6">
        <w:rPr>
          <w:rFonts w:ascii="Times New Roman" w:eastAsia="SimSun" w:hAnsi="Times New Roman"/>
          <w:sz w:val="24"/>
          <w:szCs w:val="24"/>
          <w:lang w:eastAsia="bg-BG"/>
        </w:rPr>
        <w:t xml:space="preserve"> сфинголипиди в невроните на ЦНС и други структури.  Характерно за тях е прогресираща невродегенерация, не е известно специфично лечение.</w:t>
      </w:r>
    </w:p>
    <w:p w14:paraId="39BF0FEF"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5.1.3.4. GM1 ганглиозидоза</w:t>
      </w:r>
    </w:p>
    <w:p w14:paraId="71D31844"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b/>
          <w:sz w:val="24"/>
          <w:szCs w:val="24"/>
          <w:u w:val="single"/>
          <w:lang w:eastAsia="bg-BG"/>
        </w:rPr>
        <w:t>GM1 ганглиозидоза</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е обусловена от мутация в гена</w:t>
      </w:r>
      <w:r w:rsidRPr="00AE47C6">
        <w:rPr>
          <w:rFonts w:ascii="Times New Roman" w:eastAsia="SimSun" w:hAnsi="Times New Roman"/>
          <w:sz w:val="24"/>
          <w:szCs w:val="24"/>
          <w:shd w:val="clear" w:color="auto" w:fill="F5F5F5"/>
          <w:lang w:eastAsia="bg-BG"/>
        </w:rPr>
        <w:t xml:space="preserve"> </w:t>
      </w:r>
      <w:r w:rsidRPr="00AE47C6">
        <w:rPr>
          <w:rFonts w:ascii="Times New Roman" w:eastAsia="SimSun" w:hAnsi="Times New Roman"/>
          <w:sz w:val="24"/>
          <w:szCs w:val="24"/>
          <w:shd w:val="clear" w:color="auto" w:fill="FFFFFF" w:themeFill="background1"/>
          <w:lang w:eastAsia="bg-BG"/>
        </w:rPr>
        <w:t>GLB1</w:t>
      </w:r>
      <w:r w:rsidRPr="00AE47C6">
        <w:rPr>
          <w:rFonts w:ascii="Times New Roman" w:eastAsia="SimSun" w:hAnsi="Times New Roman"/>
          <w:bCs/>
          <w:sz w:val="24"/>
          <w:szCs w:val="24"/>
          <w:shd w:val="clear" w:color="auto" w:fill="FFFFFF" w:themeFill="background1"/>
          <w:lang w:eastAsia="bg-BG"/>
        </w:rPr>
        <w:t>/</w:t>
      </w:r>
      <w:hyperlink r:id="rId37" w:history="1">
        <w:r w:rsidRPr="00AE47C6">
          <w:rPr>
            <w:rFonts w:ascii="Times New Roman" w:eastAsia="SimSun" w:hAnsi="Times New Roman"/>
            <w:sz w:val="24"/>
            <w:szCs w:val="24"/>
            <w:u w:val="single"/>
            <w:shd w:val="clear" w:color="auto" w:fill="FFFFFF" w:themeFill="background1"/>
            <w:lang w:eastAsia="bg-BG"/>
          </w:rPr>
          <w:t>3p22.3</w:t>
        </w:r>
      </w:hyperlink>
      <w:r w:rsidRPr="00AE47C6">
        <w:rPr>
          <w:rFonts w:ascii="Times New Roman" w:eastAsia="SimSun" w:hAnsi="Times New Roman"/>
          <w:sz w:val="24"/>
          <w:szCs w:val="24"/>
          <w:shd w:val="clear" w:color="auto" w:fill="FFFFFF" w:themeFill="background1"/>
          <w:lang w:eastAsia="bg-BG"/>
        </w:rPr>
        <w:t>,</w:t>
      </w:r>
      <w:r w:rsidRPr="00AE47C6">
        <w:rPr>
          <w:rFonts w:ascii="Times New Roman" w:eastAsia="SimSun" w:hAnsi="Times New Roman"/>
          <w:sz w:val="24"/>
          <w:szCs w:val="24"/>
          <w:lang w:eastAsia="bg-BG"/>
        </w:rPr>
        <w:t xml:space="preserve"> причиняващ дефицит на </w:t>
      </w:r>
      <w:hyperlink r:id="rId38" w:tooltip="Learn more about Beta-Galactosidase from ScienceDirect's AI-generated Topic Pages" w:history="1">
        <w:r w:rsidRPr="00AE47C6">
          <w:rPr>
            <w:rFonts w:ascii="Times New Roman" w:eastAsiaTheme="majorEastAsia" w:hAnsi="Times New Roman"/>
            <w:sz w:val="24"/>
            <w:szCs w:val="24"/>
            <w:u w:val="single"/>
            <w:lang w:eastAsia="bg-BG"/>
          </w:rPr>
          <w:t>β-galactosidase</w:t>
        </w:r>
      </w:hyperlink>
      <w:r w:rsidRPr="00AE47C6">
        <w:rPr>
          <w:rFonts w:ascii="Times New Roman" w:eastAsia="SimSun" w:hAnsi="Times New Roman"/>
          <w:sz w:val="24"/>
          <w:szCs w:val="24"/>
          <w:lang w:eastAsia="bg-BG"/>
        </w:rPr>
        <w:t xml:space="preserve"> ензимна активност с известни над 102 мутации. Клиничните форми са според степента на ензимен дефицит и включват различни степени на невродегенерация и скелетни абнормности. </w:t>
      </w:r>
    </w:p>
    <w:p w14:paraId="4A56DDBE"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 </w:t>
      </w:r>
      <w:r w:rsidRPr="00AE47C6">
        <w:rPr>
          <w:rFonts w:ascii="Times New Roman" w:eastAsia="SimSun" w:hAnsi="Times New Roman"/>
          <w:b/>
          <w:sz w:val="24"/>
          <w:szCs w:val="24"/>
          <w:lang w:eastAsia="bg-BG"/>
        </w:rPr>
        <w:t>Най-честа е инфантилната форма на GM1 ганглиозидоза  (Тип 1)</w:t>
      </w:r>
      <w:r w:rsidRPr="00AE47C6">
        <w:rPr>
          <w:rFonts w:ascii="Times New Roman" w:eastAsia="SimSun" w:hAnsi="Times New Roman"/>
          <w:sz w:val="24"/>
          <w:szCs w:val="24"/>
          <w:lang w:eastAsia="bg-BG"/>
        </w:rPr>
        <w:t xml:space="preserve"> с начало от раждането с изразен лицев дизморфизъм, макроцефалия, оток, dysostosis multiplex, кифосколиоза,  хепатомегалия, хипотония; изявяват се епилептични пристъпи, прогресираща централна квадрипареза с последващи контрактури, амавроза, промени в ретината тип „черешово петно“, глухота, вакуолни лимфоцити. Пациентите преживяват около 2 г. </w:t>
      </w:r>
      <w:r w:rsidRPr="00AE47C6">
        <w:rPr>
          <w:rFonts w:ascii="Times New Roman" w:eastAsia="SimSun" w:hAnsi="Times New Roman"/>
          <w:b/>
          <w:sz w:val="24"/>
          <w:szCs w:val="24"/>
          <w:lang w:eastAsia="bg-BG"/>
        </w:rPr>
        <w:t>GM1 ганглиозидоза  - Тип 2 е късна инфантилна или ювенилна форма -</w:t>
      </w:r>
      <w:r w:rsidRPr="00AE47C6">
        <w:rPr>
          <w:rFonts w:ascii="Times New Roman" w:eastAsia="SimSun" w:hAnsi="Times New Roman"/>
          <w:sz w:val="24"/>
          <w:szCs w:val="24"/>
          <w:lang w:eastAsia="bg-BG"/>
        </w:rPr>
        <w:t xml:space="preserve"> започва между 1-3 г. с епилептични пристъпи, вкл. миоклонични,  прогресира спастична квадрипареза, </w:t>
      </w:r>
      <w:r w:rsidRPr="00AE47C6">
        <w:rPr>
          <w:rFonts w:ascii="Times New Roman" w:eastAsia="SimSun" w:hAnsi="Times New Roman"/>
          <w:i/>
          <w:sz w:val="24"/>
          <w:szCs w:val="24"/>
          <w:lang w:eastAsia="bg-BG"/>
        </w:rPr>
        <w:t>екстрапирамидни синдроми, интелектуален регрес</w:t>
      </w:r>
      <w:r w:rsidRPr="00AE47C6">
        <w:rPr>
          <w:rFonts w:ascii="Times New Roman" w:eastAsia="SimSun" w:hAnsi="Times New Roman"/>
          <w:sz w:val="24"/>
          <w:szCs w:val="24"/>
          <w:lang w:eastAsia="bg-BG"/>
        </w:rPr>
        <w:t>, ретинна дегенерация тип „черешово петно“, но липсва хепатоспленомегалия.</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Продължителността на живота е около 10 г.</w:t>
      </w:r>
      <w:r w:rsidRPr="00AE47C6">
        <w:rPr>
          <w:rFonts w:ascii="Times New Roman" w:eastAsia="SimSun" w:hAnsi="Times New Roman"/>
          <w:b/>
          <w:sz w:val="24"/>
          <w:szCs w:val="24"/>
          <w:lang w:eastAsia="bg-BG"/>
        </w:rPr>
        <w:t xml:space="preserve"> GM1 ганглиозидоза  </w:t>
      </w:r>
      <w:r w:rsidRPr="00AE47C6">
        <w:rPr>
          <w:rFonts w:ascii="Times New Roman" w:eastAsia="SimSun" w:hAnsi="Times New Roman"/>
          <w:b/>
          <w:i/>
          <w:sz w:val="24"/>
          <w:szCs w:val="24"/>
          <w:lang w:eastAsia="bg-BG"/>
        </w:rPr>
        <w:t xml:space="preserve">Тип 3 </w:t>
      </w:r>
      <w:r w:rsidRPr="00AE47C6">
        <w:rPr>
          <w:rFonts w:ascii="Times New Roman" w:eastAsia="SimSun" w:hAnsi="Times New Roman"/>
          <w:i/>
          <w:sz w:val="24"/>
          <w:szCs w:val="24"/>
          <w:lang w:eastAsia="bg-BG"/>
        </w:rPr>
        <w:t xml:space="preserve">започва </w:t>
      </w:r>
      <w:r w:rsidRPr="00AE47C6">
        <w:rPr>
          <w:rFonts w:ascii="Times New Roman" w:eastAsia="SimSun" w:hAnsi="Times New Roman"/>
          <w:sz w:val="24"/>
          <w:szCs w:val="24"/>
          <w:lang w:eastAsia="bg-BG"/>
        </w:rPr>
        <w:t>между 3–30 г</w:t>
      </w:r>
      <w:r w:rsidRPr="00AE47C6">
        <w:rPr>
          <w:rFonts w:ascii="Times New Roman" w:eastAsia="SimSun" w:hAnsi="Times New Roman"/>
          <w:b/>
          <w:sz w:val="24"/>
          <w:szCs w:val="24"/>
          <w:lang w:eastAsia="bg-BG"/>
        </w:rPr>
        <w:t>.</w:t>
      </w:r>
      <w:r w:rsidRPr="00AE47C6">
        <w:rPr>
          <w:rFonts w:ascii="Times New Roman" w:eastAsia="SimSun" w:hAnsi="Times New Roman"/>
          <w:sz w:val="24"/>
          <w:szCs w:val="24"/>
          <w:lang w:eastAsia="bg-BG"/>
        </w:rPr>
        <w:t xml:space="preserve"> и е с бавно прогресираща дизартрия, дистония, ригидност, брадикинезия промени в походката. В МРТ на главния мозък се установяват симетрични  хиперинтензни T2-лезии в</w:t>
      </w:r>
      <w:r w:rsidRPr="00AE47C6">
        <w:rPr>
          <w:rFonts w:ascii="Times New Roman" w:eastAsiaTheme="minorHAnsi" w:hAnsi="Times New Roman"/>
          <w:sz w:val="24"/>
          <w:szCs w:val="24"/>
        </w:rPr>
        <w:t xml:space="preserve"> putamen и nucleus caudatus,</w:t>
      </w:r>
      <w:r w:rsidRPr="00AE47C6">
        <w:rPr>
          <w:rFonts w:ascii="Times New Roman" w:eastAsia="SimSun" w:hAnsi="Times New Roman"/>
          <w:sz w:val="24"/>
          <w:szCs w:val="24"/>
          <w:lang w:eastAsia="bg-BG"/>
        </w:rPr>
        <w:t xml:space="preserve"> засягат се и globus pallidus, малкия мозък </w:t>
      </w:r>
      <w:r w:rsidRPr="00AE47C6">
        <w:rPr>
          <w:rFonts w:ascii="Times New Roman" w:eastAsiaTheme="majorEastAsia" w:hAnsi="Times New Roman"/>
          <w:sz w:val="24"/>
          <w:szCs w:val="24"/>
          <w:lang w:eastAsia="bg-BG"/>
        </w:rPr>
        <w:t>и</w:t>
      </w:r>
      <w:r w:rsidRPr="00AE47C6">
        <w:rPr>
          <w:rFonts w:ascii="Times New Roman" w:eastAsia="SimSun" w:hAnsi="Times New Roman"/>
          <w:sz w:val="24"/>
          <w:szCs w:val="24"/>
          <w:lang w:eastAsia="bg-BG"/>
        </w:rPr>
        <w:t xml:space="preserve"> amygdala. Няма специфично лечение, провежда се симптоматично лечение.</w:t>
      </w:r>
    </w:p>
    <w:p w14:paraId="01859160"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5.1.3.5. Болест на Tay–Sachs</w:t>
      </w:r>
    </w:p>
    <w:p w14:paraId="7C26D10F" w14:textId="77777777" w:rsidR="00BE0B19" w:rsidRPr="00AE47C6" w:rsidRDefault="00BE0B19" w:rsidP="00BE0B19">
      <w:pPr>
        <w:shd w:val="clear" w:color="auto" w:fill="FFFFFF"/>
        <w:spacing w:after="0" w:line="360" w:lineRule="auto"/>
        <w:ind w:firstLine="708"/>
        <w:jc w:val="both"/>
        <w:rPr>
          <w:rFonts w:ascii="Times New Roman" w:eastAsia="SimSun" w:hAnsi="Times New Roman"/>
          <w:sz w:val="24"/>
          <w:szCs w:val="24"/>
          <w:lang w:eastAsia="bg-BG"/>
        </w:rPr>
      </w:pPr>
      <w:r w:rsidRPr="00AE47C6">
        <w:rPr>
          <w:rFonts w:ascii="Times New Roman" w:eastAsia="SimSun" w:hAnsi="Times New Roman"/>
          <w:b/>
          <w:sz w:val="24"/>
          <w:szCs w:val="24"/>
          <w:u w:val="single"/>
          <w:lang w:eastAsia="bg-BG"/>
        </w:rPr>
        <w:t>Болестта на Tay–Sachs</w:t>
      </w:r>
      <w:r w:rsidRPr="00AE47C6">
        <w:rPr>
          <w:rFonts w:ascii="Times New Roman" w:eastAsia="SimSun" w:hAnsi="Times New Roman"/>
          <w:b/>
          <w:sz w:val="24"/>
          <w:szCs w:val="24"/>
          <w:lang w:eastAsia="bg-BG"/>
        </w:rPr>
        <w:t xml:space="preserve"> е</w:t>
      </w:r>
      <w:r w:rsidRPr="00AE47C6">
        <w:rPr>
          <w:rFonts w:ascii="Times New Roman" w:eastAsia="SimSun" w:hAnsi="Times New Roman"/>
          <w:sz w:val="24"/>
          <w:szCs w:val="24"/>
          <w:lang w:eastAsia="bg-BG"/>
        </w:rPr>
        <w:t xml:space="preserve"> GM2 ганглиозидоза с дефицит на хексозаминидаза А и  натрупване на GM2 ганглиозиди в невроните. Честотата на болестта на Tay-Sachs е около 1/112 000 население, като е значително по-висока при евреите (1/3 900). Различават се 3 форми според началото и неврологичното засягане. </w:t>
      </w:r>
      <w:r w:rsidRPr="00AE47C6">
        <w:rPr>
          <w:rFonts w:ascii="Times New Roman" w:eastAsia="SimSun" w:hAnsi="Times New Roman"/>
          <w:i/>
          <w:sz w:val="24"/>
          <w:szCs w:val="24"/>
          <w:lang w:eastAsia="bg-BG"/>
        </w:rPr>
        <w:t>Инфантилната форма</w:t>
      </w:r>
      <w:r w:rsidRPr="00AE47C6">
        <w:rPr>
          <w:rFonts w:ascii="Times New Roman" w:eastAsia="SimSun" w:hAnsi="Times New Roman"/>
          <w:sz w:val="24"/>
          <w:szCs w:val="24"/>
          <w:lang w:eastAsia="bg-BG"/>
        </w:rPr>
        <w:t xml:space="preserve"> типично започва около 6 месечна възраст с бурна реакция на шум известна като "startle отговор". Заболяването бързо прогресира - развива се централна квадрипареза, епилептични пристъпи, слепота, глухота, летален изход преди 4 г. </w:t>
      </w:r>
      <w:r w:rsidRPr="00AE47C6">
        <w:rPr>
          <w:rFonts w:ascii="Times New Roman" w:eastAsia="SimSun" w:hAnsi="Times New Roman"/>
          <w:i/>
          <w:sz w:val="24"/>
          <w:szCs w:val="24"/>
          <w:lang w:eastAsia="bg-BG"/>
        </w:rPr>
        <w:t>Ювенилната форма</w:t>
      </w:r>
      <w:r w:rsidRPr="00AE47C6">
        <w:rPr>
          <w:rFonts w:ascii="Times New Roman" w:eastAsia="SimSun" w:hAnsi="Times New Roman"/>
          <w:sz w:val="24"/>
          <w:szCs w:val="24"/>
          <w:lang w:eastAsia="bg-BG"/>
        </w:rPr>
        <w:t xml:space="preserve"> започва между 2 и 10 г. с регрес в двигателните функции с развитие на централна квадрипареза, дизартрия, дисфагия, атаксия  и деменция с летален изход между 5 и 15 г. При </w:t>
      </w:r>
      <w:r w:rsidRPr="00AE47C6">
        <w:rPr>
          <w:rFonts w:ascii="Times New Roman" w:eastAsia="SimSun" w:hAnsi="Times New Roman"/>
          <w:i/>
          <w:sz w:val="24"/>
          <w:szCs w:val="24"/>
          <w:lang w:eastAsia="bg-BG"/>
        </w:rPr>
        <w:t>късната форма</w:t>
      </w:r>
      <w:r w:rsidRPr="00AE47C6">
        <w:rPr>
          <w:rFonts w:ascii="Times New Roman" w:eastAsia="SimSun" w:hAnsi="Times New Roman"/>
          <w:sz w:val="24"/>
          <w:szCs w:val="24"/>
          <w:lang w:eastAsia="bg-BG"/>
        </w:rPr>
        <w:t xml:space="preserve"> първите симптоми са от юношеска възраст до 30 и 40 г. с прогресираща увреда на походката, речта, когнитивен регрес, шизофренно-подобни психози. Няма специфично лечение, провежда се симптоматично лечение.</w:t>
      </w:r>
    </w:p>
    <w:p w14:paraId="782F2DB3"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lang w:eastAsia="bg-BG"/>
        </w:rPr>
      </w:pPr>
      <w:r w:rsidRPr="00AE47C6">
        <w:rPr>
          <w:rFonts w:ascii="Times New Roman" w:eastAsia="SimSun" w:hAnsi="Times New Roman"/>
          <w:b/>
          <w:bCs/>
          <w:sz w:val="24"/>
          <w:szCs w:val="28"/>
          <w:lang w:eastAsia="bg-BG"/>
        </w:rPr>
        <w:t xml:space="preserve">5.1.3.6. Болест на Niemann-Pick тип C. </w:t>
      </w:r>
    </w:p>
    <w:p w14:paraId="44F91E25" w14:textId="77777777" w:rsidR="00BE0B19" w:rsidRPr="00AE47C6" w:rsidRDefault="00BE0B19" w:rsidP="00BE0B19">
      <w:pPr>
        <w:spacing w:after="0" w:line="360" w:lineRule="auto"/>
        <w:ind w:firstLine="360"/>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Патогенетично се предизвиква от нарушен липиден и холестеролов вътреклетъчен транспорт при мутации в </w:t>
      </w:r>
      <w:r w:rsidRPr="00AE47C6">
        <w:rPr>
          <w:rFonts w:ascii="Times New Roman" w:eastAsia="SimSun" w:hAnsi="Times New Roman"/>
          <w:i/>
          <w:iCs/>
          <w:sz w:val="24"/>
          <w:szCs w:val="24"/>
          <w:lang w:eastAsia="bg-BG"/>
        </w:rPr>
        <w:t>NPC1</w:t>
      </w:r>
      <w:r w:rsidRPr="00AE47C6">
        <w:rPr>
          <w:rFonts w:ascii="Times New Roman" w:eastAsia="SimSun" w:hAnsi="Times New Roman"/>
          <w:sz w:val="24"/>
          <w:szCs w:val="24"/>
          <w:lang w:eastAsia="bg-BG"/>
        </w:rPr>
        <w:t> или </w:t>
      </w:r>
      <w:r w:rsidRPr="00AE47C6">
        <w:rPr>
          <w:rFonts w:ascii="Times New Roman" w:eastAsia="SimSun" w:hAnsi="Times New Roman"/>
          <w:i/>
          <w:iCs/>
          <w:sz w:val="24"/>
          <w:szCs w:val="24"/>
          <w:lang w:eastAsia="bg-BG"/>
        </w:rPr>
        <w:t>NPC2</w:t>
      </w:r>
      <w:r w:rsidRPr="00AE47C6">
        <w:rPr>
          <w:rFonts w:ascii="Times New Roman" w:eastAsia="SimSun" w:hAnsi="Times New Roman"/>
          <w:sz w:val="24"/>
          <w:szCs w:val="24"/>
          <w:lang w:eastAsia="bg-BG"/>
        </w:rPr>
        <w:t xml:space="preserve"> гените, поради което се различава  от Niemann-Pick А и В, които са сфингомиелинози. </w:t>
      </w:r>
    </w:p>
    <w:p w14:paraId="24063D7F" w14:textId="77777777" w:rsidR="00BE0B19" w:rsidRPr="00AE47C6" w:rsidRDefault="00BE0B19" w:rsidP="00BE0B19">
      <w:pPr>
        <w:spacing w:after="0" w:line="360" w:lineRule="auto"/>
        <w:ind w:firstLine="360"/>
        <w:jc w:val="both"/>
        <w:rPr>
          <w:rFonts w:ascii="Times New Roman" w:eastAsia="SimSun" w:hAnsi="Times New Roman"/>
          <w:b/>
          <w:sz w:val="24"/>
          <w:szCs w:val="24"/>
        </w:rPr>
      </w:pPr>
      <w:r w:rsidRPr="00AE47C6">
        <w:rPr>
          <w:rFonts w:ascii="Times New Roman" w:eastAsia="SimSun" w:hAnsi="Times New Roman"/>
          <w:sz w:val="24"/>
          <w:szCs w:val="24"/>
        </w:rPr>
        <w:t xml:space="preserve">Болестта на Nieman-Pick тип C е прогресиращо автозомно рецесивно заболяване при мутации в </w:t>
      </w:r>
      <w:r w:rsidRPr="00AE47C6">
        <w:rPr>
          <w:rFonts w:ascii="Times New Roman" w:eastAsia="SimSun" w:hAnsi="Times New Roman"/>
          <w:i/>
          <w:sz w:val="24"/>
          <w:szCs w:val="24"/>
        </w:rPr>
        <w:t>NP1 гена</w:t>
      </w:r>
      <w:r w:rsidRPr="00AE47C6">
        <w:rPr>
          <w:rFonts w:ascii="Times New Roman" w:eastAsia="SimSun" w:hAnsi="Times New Roman"/>
          <w:sz w:val="24"/>
          <w:szCs w:val="24"/>
        </w:rPr>
        <w:t xml:space="preserve"> в 18q11-q12 (при 95%) и рядко в </w:t>
      </w:r>
      <w:r w:rsidRPr="00AE47C6">
        <w:rPr>
          <w:rFonts w:ascii="Times New Roman" w:eastAsia="SimSun" w:hAnsi="Times New Roman"/>
          <w:i/>
          <w:sz w:val="24"/>
          <w:szCs w:val="24"/>
        </w:rPr>
        <w:t>NP2 гена</w:t>
      </w:r>
      <w:r w:rsidRPr="00AE47C6">
        <w:rPr>
          <w:rFonts w:ascii="Times New Roman" w:eastAsia="SimSun" w:hAnsi="Times New Roman"/>
          <w:sz w:val="24"/>
          <w:szCs w:val="24"/>
        </w:rPr>
        <w:t xml:space="preserve"> в 14q24.3 (при 5%) в хомозиготно или двойно хетерозиготно състояние, които обуславят нарушение в холестероловия и гликосфинголипиден клетъчен транспорт и експорта на лизозомния холестерол. </w:t>
      </w:r>
      <w:r w:rsidRPr="00AE47C6">
        <w:rPr>
          <w:rFonts w:ascii="Times New Roman" w:eastAsia="SimSun" w:hAnsi="Times New Roman"/>
          <w:i/>
          <w:sz w:val="24"/>
          <w:szCs w:val="24"/>
        </w:rPr>
        <w:t>NPC1 протеинът</w:t>
      </w:r>
      <w:r w:rsidRPr="00AE47C6">
        <w:rPr>
          <w:rFonts w:ascii="Times New Roman" w:eastAsia="SimSun" w:hAnsi="Times New Roman"/>
          <w:sz w:val="24"/>
          <w:szCs w:val="24"/>
        </w:rPr>
        <w:t xml:space="preserve"> участва в транспорта на гликосфинголипиди, сфингозин и холестерол между вътрешната и периферната част на клетката, докато </w:t>
      </w:r>
      <w:r w:rsidRPr="00AE47C6">
        <w:rPr>
          <w:rFonts w:ascii="Times New Roman" w:eastAsia="SimSun" w:hAnsi="Times New Roman"/>
          <w:i/>
          <w:sz w:val="24"/>
          <w:szCs w:val="24"/>
        </w:rPr>
        <w:t>NPC2 протеинът</w:t>
      </w:r>
      <w:r w:rsidRPr="00AE47C6">
        <w:rPr>
          <w:rFonts w:ascii="Times New Roman" w:eastAsia="SimSun" w:hAnsi="Times New Roman"/>
          <w:sz w:val="24"/>
          <w:szCs w:val="24"/>
        </w:rPr>
        <w:t xml:space="preserve"> е разтворим гликопротеин, локализиран в лизозомите, който също свързва холестерол и други стероли. Двата белтъка функционират в общ комплекс и осигуряват експорта на лизозомния холестерол. При пациенти с NPС абнормният липиден транспорт води до натрупване GM2  и GM3</w:t>
      </w:r>
      <w:r w:rsidRPr="00AE47C6">
        <w:rPr>
          <w:rFonts w:ascii="Times New Roman" w:eastAsia="SimSun" w:hAnsi="Times New Roman"/>
          <w:sz w:val="24"/>
          <w:szCs w:val="24"/>
          <w:vertAlign w:val="subscript"/>
        </w:rPr>
        <w:t xml:space="preserve"> </w:t>
      </w:r>
      <w:r w:rsidRPr="00AE47C6">
        <w:rPr>
          <w:rFonts w:ascii="Times New Roman" w:eastAsia="SimSun" w:hAnsi="Times New Roman"/>
          <w:sz w:val="24"/>
          <w:szCs w:val="24"/>
        </w:rPr>
        <w:t xml:space="preserve">ганглиозиди в централната нервна система и неестерефициран холестерол, сфингомиелин, гликосфинголипиди и сфингозин в слезката и черния дроб и други тъкани и предизвиква </w:t>
      </w:r>
      <w:r w:rsidRPr="00AE47C6">
        <w:rPr>
          <w:rFonts w:ascii="Times New Roman" w:eastAsia="SimSun" w:hAnsi="Times New Roman"/>
          <w:bCs/>
          <w:sz w:val="24"/>
          <w:szCs w:val="24"/>
        </w:rPr>
        <w:t>програмирана клетъчна смърт (апоптоза).</w:t>
      </w:r>
      <w:r w:rsidRPr="00AE47C6">
        <w:rPr>
          <w:rFonts w:ascii="Times New Roman" w:eastAsia="SimSun" w:hAnsi="Times New Roman"/>
          <w:sz w:val="24"/>
          <w:szCs w:val="24"/>
        </w:rPr>
        <w:t xml:space="preserve"> Някои структури на централната нервна система се увреждат по-рано и по-тежко при пациентите с NPC, което корелира с основните клинични прояви. Намалението на броя на клетките на Purkinje е ранна изява на заболяването, свързана с локомоторната атаксия, дизартрията и дизфагията. Неврофибрилерната дегенерация, ектопичната дендритогенеза и формирането на меганеврити в мозъчната кора са причина за изявата на епилептични пристъпи и когнитивен дефицит. Изразената невронна загуба в ростралното интерстициално ядро на fasciculus longitudinalis medialis, контролиращо вертикалните очни движения, обуславя ранна вертикална парализа.</w:t>
      </w:r>
    </w:p>
    <w:p w14:paraId="1E71F2A0" w14:textId="77777777" w:rsidR="00BE0B19" w:rsidRPr="00AE47C6" w:rsidRDefault="00BE0B19" w:rsidP="00BE0B19">
      <w:pPr>
        <w:autoSpaceDE w:val="0"/>
        <w:autoSpaceDN w:val="0"/>
        <w:adjustRightInd w:val="0"/>
        <w:spacing w:after="0" w:line="360" w:lineRule="auto"/>
        <w:ind w:firstLine="708"/>
        <w:jc w:val="both"/>
        <w:rPr>
          <w:rFonts w:ascii="Times New Roman" w:eastAsia="SimSun" w:hAnsi="Times New Roman"/>
          <w:sz w:val="24"/>
          <w:szCs w:val="24"/>
        </w:rPr>
      </w:pPr>
      <w:r w:rsidRPr="00AE47C6">
        <w:rPr>
          <w:rFonts w:ascii="Times New Roman" w:eastAsia="SimSun" w:hAnsi="Times New Roman"/>
          <w:b/>
          <w:sz w:val="24"/>
          <w:szCs w:val="24"/>
        </w:rPr>
        <w:t>Епидемиология:</w:t>
      </w:r>
      <w:r w:rsidRPr="00AE47C6">
        <w:rPr>
          <w:rFonts w:ascii="Times New Roman" w:eastAsia="SimSun" w:hAnsi="Times New Roman"/>
          <w:sz w:val="24"/>
          <w:szCs w:val="24"/>
        </w:rPr>
        <w:t xml:space="preserve"> Заболяемостта е от 1/100,000  до 1/150 000 живородени деца, като в различни страни е от 0.47, 0.35 до 2.20/ 100,000 население. Заболяването е с хетерогенна клинична изява поради комбинираното прогресиращо засягане в различна степен на </w:t>
      </w:r>
      <w:r w:rsidRPr="00AE47C6">
        <w:rPr>
          <w:rFonts w:ascii="Times New Roman" w:eastAsia="SimSun" w:hAnsi="Times New Roman"/>
          <w:b/>
          <w:bCs/>
          <w:sz w:val="24"/>
          <w:szCs w:val="24"/>
        </w:rPr>
        <w:t xml:space="preserve">вътрешните органи (основно слезката и черния дроб) и на централната нервна система </w:t>
      </w:r>
      <w:r w:rsidRPr="00AE47C6">
        <w:rPr>
          <w:rFonts w:ascii="Times New Roman" w:eastAsia="SimSun" w:hAnsi="Times New Roman"/>
          <w:bCs/>
          <w:sz w:val="24"/>
          <w:szCs w:val="24"/>
        </w:rPr>
        <w:t xml:space="preserve">с изява на неврологични и психиатрични синдроми. Според възрастта при началото на </w:t>
      </w:r>
      <w:r w:rsidRPr="00AE47C6">
        <w:rPr>
          <w:rFonts w:ascii="Times New Roman" w:eastAsia="SimSun" w:hAnsi="Times New Roman"/>
          <w:sz w:val="24"/>
          <w:szCs w:val="24"/>
        </w:rPr>
        <w:t xml:space="preserve">NP-C </w:t>
      </w:r>
      <w:r w:rsidRPr="00AE47C6">
        <w:rPr>
          <w:rFonts w:ascii="Times New Roman" w:eastAsia="SimSun" w:hAnsi="Times New Roman"/>
          <w:bCs/>
          <w:sz w:val="24"/>
          <w:szCs w:val="24"/>
        </w:rPr>
        <w:t xml:space="preserve">са описани </w:t>
      </w:r>
      <w:r w:rsidRPr="00AE47C6">
        <w:rPr>
          <w:rFonts w:ascii="Times New Roman" w:eastAsia="SimSun" w:hAnsi="Times New Roman"/>
          <w:bCs/>
          <w:i/>
          <w:sz w:val="24"/>
          <w:szCs w:val="24"/>
        </w:rPr>
        <w:t>ранна детска форма</w:t>
      </w:r>
      <w:r w:rsidRPr="00AE47C6">
        <w:rPr>
          <w:rFonts w:ascii="Times New Roman" w:eastAsia="SimSun" w:hAnsi="Times New Roman"/>
          <w:bCs/>
          <w:sz w:val="24"/>
          <w:szCs w:val="24"/>
        </w:rPr>
        <w:t xml:space="preserve"> (ранна и късна инфантилна с начало преди 6 г.), </w:t>
      </w:r>
      <w:r w:rsidRPr="00AE47C6">
        <w:rPr>
          <w:rFonts w:ascii="Times New Roman" w:eastAsia="SimSun" w:hAnsi="Times New Roman"/>
          <w:bCs/>
          <w:i/>
          <w:sz w:val="24"/>
          <w:szCs w:val="24"/>
        </w:rPr>
        <w:t>късна детска форма</w:t>
      </w:r>
      <w:r w:rsidRPr="00AE47C6">
        <w:rPr>
          <w:rFonts w:ascii="Times New Roman" w:eastAsia="SimSun" w:hAnsi="Times New Roman"/>
          <w:bCs/>
          <w:sz w:val="24"/>
          <w:szCs w:val="24"/>
        </w:rPr>
        <w:t xml:space="preserve"> с начало между 6 и 11 г.,  </w:t>
      </w:r>
      <w:r w:rsidRPr="00AE47C6">
        <w:rPr>
          <w:rFonts w:ascii="Times New Roman" w:eastAsia="SimSun" w:hAnsi="Times New Roman"/>
          <w:bCs/>
          <w:i/>
          <w:sz w:val="24"/>
          <w:szCs w:val="24"/>
        </w:rPr>
        <w:t>юношеска форма и форма у възрастните</w:t>
      </w:r>
      <w:r w:rsidRPr="00AE47C6">
        <w:rPr>
          <w:rFonts w:ascii="Times New Roman" w:eastAsia="SimSun" w:hAnsi="Times New Roman"/>
          <w:bCs/>
          <w:sz w:val="24"/>
          <w:szCs w:val="24"/>
        </w:rPr>
        <w:t>, но най-чести са детските форми</w:t>
      </w:r>
      <w:r w:rsidRPr="00AE47C6">
        <w:rPr>
          <w:rFonts w:ascii="Times New Roman" w:eastAsia="SimSun" w:hAnsi="Times New Roman"/>
          <w:sz w:val="24"/>
          <w:szCs w:val="24"/>
        </w:rPr>
        <w:t xml:space="preserve">. </w:t>
      </w:r>
    </w:p>
    <w:p w14:paraId="1475B487" w14:textId="77777777" w:rsidR="00BE0B19" w:rsidRPr="00AE47C6" w:rsidRDefault="00BE0B19" w:rsidP="00BE0B19">
      <w:pPr>
        <w:autoSpaceDE w:val="0"/>
        <w:autoSpaceDN w:val="0"/>
        <w:adjustRightInd w:val="0"/>
        <w:spacing w:after="0" w:line="360" w:lineRule="auto"/>
        <w:ind w:firstLine="708"/>
        <w:jc w:val="both"/>
        <w:rPr>
          <w:rFonts w:ascii="Times New Roman" w:eastAsia="SimSun" w:hAnsi="Times New Roman"/>
          <w:sz w:val="24"/>
          <w:szCs w:val="24"/>
        </w:rPr>
      </w:pPr>
      <w:r w:rsidRPr="00AE47C6">
        <w:rPr>
          <w:rFonts w:ascii="Times New Roman" w:eastAsia="SimSun" w:hAnsi="Times New Roman"/>
          <w:b/>
          <w:sz w:val="24"/>
          <w:szCs w:val="24"/>
        </w:rPr>
        <w:t>Клиника:</w:t>
      </w:r>
      <w:r w:rsidRPr="00AE47C6">
        <w:rPr>
          <w:rFonts w:ascii="Times New Roman" w:eastAsia="SimSun" w:hAnsi="Times New Roman"/>
          <w:sz w:val="24"/>
          <w:szCs w:val="24"/>
        </w:rPr>
        <w:t xml:space="preserve"> Клиничните прояви на заболяването се характеризират с изключителна хетерогенност по отношение на възрастта на начало (от перинаталния период до седмото десетилетие) и продължителността на живота (от няколко дни след раждането до над 70-годишна възраст). </w:t>
      </w:r>
      <w:r w:rsidRPr="00AE47C6">
        <w:rPr>
          <w:rFonts w:ascii="Times New Roman" w:eastAsia="SimSun" w:hAnsi="Times New Roman"/>
          <w:b/>
          <w:bCs/>
          <w:sz w:val="24"/>
          <w:szCs w:val="24"/>
        </w:rPr>
        <w:t>Клиничната картина</w:t>
      </w:r>
      <w:r w:rsidRPr="00AE47C6">
        <w:rPr>
          <w:rFonts w:ascii="Times New Roman" w:eastAsia="SimSun" w:hAnsi="Times New Roman"/>
          <w:sz w:val="24"/>
          <w:szCs w:val="24"/>
        </w:rPr>
        <w:t>, насочваща към диагностициране на заболяването се основава на комбинация от синдроми, включващи хепато- и/или спленомегалия, вертикална погледна парализа, катаплексия, атаксия и/или дистония, забавено развитие, когнитивни нарушения, деменция и психиатрични разстройства с различна честота (</w:t>
      </w:r>
      <w:r w:rsidRPr="00AE47C6">
        <w:rPr>
          <w:rFonts w:ascii="Times New Roman" w:eastAsia="SimSun" w:hAnsi="Times New Roman"/>
          <w:bCs/>
          <w:sz w:val="24"/>
          <w:szCs w:val="24"/>
        </w:rPr>
        <w:t>Табл. 5.5.</w:t>
      </w:r>
      <w:r w:rsidRPr="00AE47C6">
        <w:rPr>
          <w:rFonts w:ascii="Times New Roman" w:eastAsia="SimSun" w:hAnsi="Times New Roman"/>
          <w:sz w:val="24"/>
          <w:szCs w:val="24"/>
        </w:rPr>
        <w:t>) и  в различна степен на изразеност според клиничните форми (възрастта при изявата) и стадия на заболяването (</w:t>
      </w:r>
      <w:r w:rsidRPr="00AE47C6">
        <w:rPr>
          <w:rFonts w:ascii="Times New Roman" w:eastAsia="SimSun" w:hAnsi="Times New Roman"/>
          <w:bCs/>
          <w:sz w:val="24"/>
          <w:szCs w:val="24"/>
        </w:rPr>
        <w:t>Табл. 5.6., 5.7</w:t>
      </w:r>
      <w:r w:rsidRPr="00AE47C6">
        <w:rPr>
          <w:rFonts w:ascii="Times New Roman" w:eastAsia="SimSun" w:hAnsi="Times New Roman"/>
          <w:sz w:val="24"/>
          <w:szCs w:val="24"/>
        </w:rPr>
        <w:t>).</w:t>
      </w:r>
    </w:p>
    <w:p w14:paraId="029B4EB4"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Таблица 5.5</w:t>
      </w:r>
      <w:r w:rsidRPr="00AE47C6">
        <w:rPr>
          <w:rFonts w:ascii="Times New Roman" w:eastAsia="SimSun" w:hAnsi="Times New Roman"/>
          <w:sz w:val="24"/>
          <w:szCs w:val="24"/>
        </w:rPr>
        <w:t xml:space="preserve">. </w:t>
      </w:r>
      <w:r w:rsidRPr="00AE47C6">
        <w:rPr>
          <w:rFonts w:ascii="Times New Roman" w:eastAsia="SimSun" w:hAnsi="Times New Roman"/>
          <w:b/>
          <w:sz w:val="24"/>
          <w:szCs w:val="24"/>
        </w:rPr>
        <w:t>Клинични симптоми при болестта на Niemann Pick C.</w:t>
      </w:r>
    </w:p>
    <w:tbl>
      <w:tblPr>
        <w:tblStyle w:val="TableGrid2"/>
        <w:tblW w:w="0" w:type="auto"/>
        <w:tblLook w:val="04A0" w:firstRow="1" w:lastRow="0" w:firstColumn="1" w:lastColumn="0" w:noHBand="0" w:noVBand="1"/>
      </w:tblPr>
      <w:tblGrid>
        <w:gridCol w:w="2943"/>
        <w:gridCol w:w="2127"/>
        <w:gridCol w:w="3969"/>
      </w:tblGrid>
      <w:tr w:rsidR="00BE0B19" w:rsidRPr="00AE47C6" w14:paraId="7BDDC0C1" w14:textId="77777777" w:rsidTr="00AD72E5">
        <w:tc>
          <w:tcPr>
            <w:tcW w:w="2943" w:type="dxa"/>
          </w:tcPr>
          <w:p w14:paraId="1B26F096"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Висцерални прояви</w:t>
            </w:r>
          </w:p>
        </w:tc>
        <w:tc>
          <w:tcPr>
            <w:tcW w:w="2127" w:type="dxa"/>
          </w:tcPr>
          <w:p w14:paraId="3FE86FE1"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Неврологични прояви</w:t>
            </w:r>
          </w:p>
        </w:tc>
        <w:tc>
          <w:tcPr>
            <w:tcW w:w="3969" w:type="dxa"/>
          </w:tcPr>
          <w:p w14:paraId="5318DCDC"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Психиатрични прояви</w:t>
            </w:r>
          </w:p>
        </w:tc>
      </w:tr>
      <w:tr w:rsidR="00BE0B19" w:rsidRPr="00AE47C6" w14:paraId="3F442A70" w14:textId="77777777" w:rsidTr="00AD72E5">
        <w:tc>
          <w:tcPr>
            <w:tcW w:w="2943" w:type="dxa"/>
          </w:tcPr>
          <w:p w14:paraId="0538AE58"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Спленомегалия, хепатоспленомегалия</w:t>
            </w:r>
          </w:p>
        </w:tc>
        <w:tc>
          <w:tcPr>
            <w:tcW w:w="2127" w:type="dxa"/>
          </w:tcPr>
          <w:p w14:paraId="6A850DC1"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Вертикална погледна пареза</w:t>
            </w:r>
          </w:p>
        </w:tc>
        <w:tc>
          <w:tcPr>
            <w:tcW w:w="3969" w:type="dxa"/>
          </w:tcPr>
          <w:p w14:paraId="0D6D9044"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Изоставане в НПР/деменция</w:t>
            </w:r>
          </w:p>
        </w:tc>
      </w:tr>
      <w:tr w:rsidR="00BE0B19" w:rsidRPr="00AE47C6" w14:paraId="47140C48" w14:textId="77777777" w:rsidTr="00AD72E5">
        <w:tc>
          <w:tcPr>
            <w:tcW w:w="2943" w:type="dxa"/>
          </w:tcPr>
          <w:p w14:paraId="351CEB32"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Пролонгиран неонатален иктер</w:t>
            </w:r>
          </w:p>
        </w:tc>
        <w:tc>
          <w:tcPr>
            <w:tcW w:w="2127" w:type="dxa"/>
          </w:tcPr>
          <w:p w14:paraId="3177B535"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Катаплексия</w:t>
            </w:r>
          </w:p>
        </w:tc>
        <w:tc>
          <w:tcPr>
            <w:tcW w:w="3969" w:type="dxa"/>
          </w:tcPr>
          <w:p w14:paraId="586F7623"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Психотични прояви</w:t>
            </w:r>
          </w:p>
        </w:tc>
      </w:tr>
      <w:tr w:rsidR="00BE0B19" w:rsidRPr="00AE47C6" w14:paraId="1AC7B3A4" w14:textId="77777777" w:rsidTr="00AD72E5">
        <w:tc>
          <w:tcPr>
            <w:tcW w:w="2943" w:type="dxa"/>
          </w:tcPr>
          <w:p w14:paraId="672811C0"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 xml:space="preserve">Hydrops foetalis </w:t>
            </w:r>
          </w:p>
        </w:tc>
        <w:tc>
          <w:tcPr>
            <w:tcW w:w="2127" w:type="dxa"/>
          </w:tcPr>
          <w:p w14:paraId="073DECAA"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Атаксия</w:t>
            </w:r>
          </w:p>
        </w:tc>
        <w:tc>
          <w:tcPr>
            <w:tcW w:w="3969" w:type="dxa"/>
          </w:tcPr>
          <w:p w14:paraId="6DACD72C"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Агресивно поведение</w:t>
            </w:r>
          </w:p>
        </w:tc>
      </w:tr>
      <w:tr w:rsidR="00BE0B19" w:rsidRPr="00AE47C6" w14:paraId="7F87454D" w14:textId="77777777" w:rsidTr="00AD72E5">
        <w:tc>
          <w:tcPr>
            <w:tcW w:w="2943" w:type="dxa"/>
          </w:tcPr>
          <w:p w14:paraId="7A434968" w14:textId="77777777" w:rsidR="00BE0B19" w:rsidRPr="00AE47C6" w:rsidRDefault="00BE0B19" w:rsidP="00BE0B19">
            <w:pPr>
              <w:spacing w:after="0" w:line="360" w:lineRule="auto"/>
              <w:rPr>
                <w:rFonts w:ascii="Times New Roman" w:hAnsi="Times New Roman"/>
                <w:sz w:val="24"/>
                <w:szCs w:val="24"/>
              </w:rPr>
            </w:pPr>
          </w:p>
        </w:tc>
        <w:tc>
          <w:tcPr>
            <w:tcW w:w="2127" w:type="dxa"/>
          </w:tcPr>
          <w:p w14:paraId="026408C8"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Дистония</w:t>
            </w:r>
          </w:p>
        </w:tc>
        <w:tc>
          <w:tcPr>
            <w:tcW w:w="3969" w:type="dxa"/>
          </w:tcPr>
          <w:p w14:paraId="52B186A5"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Прогресия на психиатричната симптоматика с медикаментозна резистентност</w:t>
            </w:r>
          </w:p>
        </w:tc>
      </w:tr>
      <w:tr w:rsidR="00BE0B19" w:rsidRPr="00AE47C6" w14:paraId="32443393" w14:textId="77777777" w:rsidTr="00AD72E5">
        <w:tc>
          <w:tcPr>
            <w:tcW w:w="2943" w:type="dxa"/>
          </w:tcPr>
          <w:p w14:paraId="037A9842" w14:textId="77777777" w:rsidR="00BE0B19" w:rsidRPr="00AE47C6" w:rsidRDefault="00BE0B19" w:rsidP="00BE0B19">
            <w:pPr>
              <w:spacing w:after="0" w:line="360" w:lineRule="auto"/>
              <w:rPr>
                <w:rFonts w:ascii="Times New Roman" w:hAnsi="Times New Roman"/>
                <w:sz w:val="24"/>
                <w:szCs w:val="24"/>
              </w:rPr>
            </w:pPr>
          </w:p>
        </w:tc>
        <w:tc>
          <w:tcPr>
            <w:tcW w:w="2127" w:type="dxa"/>
          </w:tcPr>
          <w:p w14:paraId="112FC411"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Дизартрия</w:t>
            </w:r>
          </w:p>
        </w:tc>
        <w:tc>
          <w:tcPr>
            <w:tcW w:w="3969" w:type="dxa"/>
          </w:tcPr>
          <w:p w14:paraId="70817A78"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Изоставане в НПР/деменция</w:t>
            </w:r>
          </w:p>
        </w:tc>
      </w:tr>
      <w:tr w:rsidR="00BE0B19" w:rsidRPr="00AE47C6" w14:paraId="584AC35F" w14:textId="77777777" w:rsidTr="00AD72E5">
        <w:tc>
          <w:tcPr>
            <w:tcW w:w="2943" w:type="dxa"/>
          </w:tcPr>
          <w:p w14:paraId="7D7B4A1E" w14:textId="77777777" w:rsidR="00BE0B19" w:rsidRPr="00AE47C6" w:rsidRDefault="00BE0B19" w:rsidP="00BE0B19">
            <w:pPr>
              <w:spacing w:after="0" w:line="360" w:lineRule="auto"/>
              <w:rPr>
                <w:rFonts w:ascii="Times New Roman" w:hAnsi="Times New Roman"/>
                <w:sz w:val="24"/>
                <w:szCs w:val="24"/>
              </w:rPr>
            </w:pPr>
          </w:p>
        </w:tc>
        <w:tc>
          <w:tcPr>
            <w:tcW w:w="2127" w:type="dxa"/>
          </w:tcPr>
          <w:p w14:paraId="7DD7582E"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Дисфагия</w:t>
            </w:r>
          </w:p>
        </w:tc>
        <w:tc>
          <w:tcPr>
            <w:tcW w:w="3969" w:type="dxa"/>
          </w:tcPr>
          <w:p w14:paraId="495EE382"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Психотични прояви</w:t>
            </w:r>
          </w:p>
        </w:tc>
      </w:tr>
      <w:tr w:rsidR="00BE0B19" w:rsidRPr="00AE47C6" w14:paraId="6F3E28C5" w14:textId="77777777" w:rsidTr="00AD72E5">
        <w:tc>
          <w:tcPr>
            <w:tcW w:w="2943" w:type="dxa"/>
          </w:tcPr>
          <w:p w14:paraId="473608D9" w14:textId="77777777" w:rsidR="00BE0B19" w:rsidRPr="00AE47C6" w:rsidRDefault="00BE0B19" w:rsidP="00BE0B19">
            <w:pPr>
              <w:spacing w:after="0" w:line="360" w:lineRule="auto"/>
              <w:rPr>
                <w:rFonts w:ascii="Times New Roman" w:hAnsi="Times New Roman"/>
                <w:sz w:val="24"/>
                <w:szCs w:val="24"/>
              </w:rPr>
            </w:pPr>
          </w:p>
        </w:tc>
        <w:tc>
          <w:tcPr>
            <w:tcW w:w="2127" w:type="dxa"/>
          </w:tcPr>
          <w:p w14:paraId="7EFE57E7"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Хипотония</w:t>
            </w:r>
          </w:p>
        </w:tc>
        <w:tc>
          <w:tcPr>
            <w:tcW w:w="3969" w:type="dxa"/>
          </w:tcPr>
          <w:p w14:paraId="7E7F2868"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Агресивно поведение</w:t>
            </w:r>
          </w:p>
        </w:tc>
      </w:tr>
      <w:tr w:rsidR="00BE0B19" w:rsidRPr="00AE47C6" w14:paraId="79A70CA8" w14:textId="77777777" w:rsidTr="00AD72E5">
        <w:tc>
          <w:tcPr>
            <w:tcW w:w="2943" w:type="dxa"/>
          </w:tcPr>
          <w:p w14:paraId="3EAF0BAC" w14:textId="77777777" w:rsidR="00BE0B19" w:rsidRPr="00AE47C6" w:rsidRDefault="00BE0B19" w:rsidP="00BE0B19">
            <w:pPr>
              <w:spacing w:after="0" w:line="360" w:lineRule="auto"/>
              <w:rPr>
                <w:rFonts w:ascii="Times New Roman" w:hAnsi="Times New Roman"/>
                <w:sz w:val="24"/>
                <w:szCs w:val="24"/>
              </w:rPr>
            </w:pPr>
          </w:p>
        </w:tc>
        <w:tc>
          <w:tcPr>
            <w:tcW w:w="2127" w:type="dxa"/>
          </w:tcPr>
          <w:p w14:paraId="5C5F93EF"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Несръчност</w:t>
            </w:r>
          </w:p>
        </w:tc>
        <w:tc>
          <w:tcPr>
            <w:tcW w:w="3969" w:type="dxa"/>
          </w:tcPr>
          <w:p w14:paraId="59BB187B"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Прогресия на психиатричната симптоматика с медикаментозна резистентност</w:t>
            </w:r>
          </w:p>
        </w:tc>
      </w:tr>
      <w:tr w:rsidR="00BE0B19" w:rsidRPr="00AE47C6" w14:paraId="3869F006" w14:textId="77777777" w:rsidTr="00AD72E5">
        <w:tc>
          <w:tcPr>
            <w:tcW w:w="2943" w:type="dxa"/>
          </w:tcPr>
          <w:p w14:paraId="189D9167" w14:textId="77777777" w:rsidR="00BE0B19" w:rsidRPr="00AE47C6" w:rsidRDefault="00BE0B19" w:rsidP="00BE0B19">
            <w:pPr>
              <w:spacing w:after="0" w:line="360" w:lineRule="auto"/>
              <w:rPr>
                <w:rFonts w:ascii="Times New Roman" w:hAnsi="Times New Roman"/>
                <w:sz w:val="24"/>
                <w:szCs w:val="24"/>
              </w:rPr>
            </w:pPr>
          </w:p>
        </w:tc>
        <w:tc>
          <w:tcPr>
            <w:tcW w:w="2127" w:type="dxa"/>
          </w:tcPr>
          <w:p w14:paraId="6FDFE65F"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Епилептични пристъпи</w:t>
            </w:r>
          </w:p>
        </w:tc>
        <w:tc>
          <w:tcPr>
            <w:tcW w:w="3969" w:type="dxa"/>
          </w:tcPr>
          <w:p w14:paraId="7B95AF10" w14:textId="77777777" w:rsidR="00BE0B19" w:rsidRPr="00AE47C6" w:rsidRDefault="00BE0B19" w:rsidP="00BE0B19">
            <w:pPr>
              <w:spacing w:after="0" w:line="360" w:lineRule="auto"/>
              <w:rPr>
                <w:rFonts w:ascii="Times New Roman" w:hAnsi="Times New Roman"/>
                <w:sz w:val="24"/>
                <w:szCs w:val="24"/>
              </w:rPr>
            </w:pPr>
          </w:p>
        </w:tc>
      </w:tr>
      <w:tr w:rsidR="00BE0B19" w:rsidRPr="00AE47C6" w14:paraId="3C7092E3" w14:textId="77777777" w:rsidTr="00AD72E5">
        <w:tc>
          <w:tcPr>
            <w:tcW w:w="2943" w:type="dxa"/>
          </w:tcPr>
          <w:p w14:paraId="5329EFB8" w14:textId="77777777" w:rsidR="00BE0B19" w:rsidRPr="00AE47C6" w:rsidRDefault="00BE0B19" w:rsidP="00BE0B19">
            <w:pPr>
              <w:spacing w:after="0" w:line="360" w:lineRule="auto"/>
              <w:rPr>
                <w:rFonts w:ascii="Times New Roman" w:hAnsi="Times New Roman"/>
                <w:sz w:val="24"/>
                <w:szCs w:val="24"/>
              </w:rPr>
            </w:pPr>
          </w:p>
        </w:tc>
        <w:tc>
          <w:tcPr>
            <w:tcW w:w="2127" w:type="dxa"/>
          </w:tcPr>
          <w:p w14:paraId="0ADE4202"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Невросензорно намаление на слуха</w:t>
            </w:r>
          </w:p>
        </w:tc>
        <w:tc>
          <w:tcPr>
            <w:tcW w:w="3969" w:type="dxa"/>
          </w:tcPr>
          <w:p w14:paraId="0B970A3E" w14:textId="77777777" w:rsidR="00BE0B19" w:rsidRPr="00AE47C6" w:rsidRDefault="00BE0B19" w:rsidP="00BE0B19">
            <w:pPr>
              <w:spacing w:after="0" w:line="360" w:lineRule="auto"/>
              <w:rPr>
                <w:rFonts w:ascii="Times New Roman" w:hAnsi="Times New Roman"/>
                <w:sz w:val="24"/>
                <w:szCs w:val="24"/>
              </w:rPr>
            </w:pPr>
          </w:p>
        </w:tc>
      </w:tr>
    </w:tbl>
    <w:p w14:paraId="45BFE84E" w14:textId="77777777" w:rsidR="00BE0B19" w:rsidRPr="00AE47C6" w:rsidRDefault="00BE0B19" w:rsidP="00BE0B19">
      <w:pPr>
        <w:spacing w:after="0" w:line="360" w:lineRule="auto"/>
        <w:rPr>
          <w:rFonts w:ascii="Times New Roman" w:eastAsia="SimSun" w:hAnsi="Times New Roman"/>
          <w:sz w:val="24"/>
          <w:szCs w:val="24"/>
        </w:rPr>
      </w:pPr>
    </w:p>
    <w:p w14:paraId="6E3FCA01"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Таблица 5.6.</w:t>
      </w:r>
      <w:r w:rsidRPr="00AE47C6">
        <w:rPr>
          <w:rFonts w:ascii="Times New Roman" w:eastAsia="SimSun" w:hAnsi="Times New Roman"/>
          <w:sz w:val="24"/>
          <w:szCs w:val="24"/>
        </w:rPr>
        <w:t xml:space="preserve"> </w:t>
      </w:r>
      <w:r w:rsidRPr="00AE47C6">
        <w:rPr>
          <w:rFonts w:ascii="Times New Roman" w:eastAsia="SimSun" w:hAnsi="Times New Roman"/>
          <w:b/>
          <w:sz w:val="24"/>
          <w:szCs w:val="24"/>
        </w:rPr>
        <w:t xml:space="preserve">Честота на най-често срещаните синдроми при болестта на </w:t>
      </w:r>
      <w:r w:rsidRPr="00AE47C6">
        <w:rPr>
          <w:rFonts w:ascii="Times New Roman" w:eastAsia="SimSun" w:hAnsi="Times New Roman"/>
          <w:b/>
          <w:bCs/>
          <w:sz w:val="24"/>
          <w:szCs w:val="24"/>
        </w:rPr>
        <w:t>Niemann-Pick тип 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6"/>
        <w:gridCol w:w="1843"/>
      </w:tblGrid>
      <w:tr w:rsidR="00BE0B19" w:rsidRPr="00AE47C6" w14:paraId="493B383F" w14:textId="77777777" w:rsidTr="00AD72E5">
        <w:tc>
          <w:tcPr>
            <w:tcW w:w="7196" w:type="dxa"/>
          </w:tcPr>
          <w:p w14:paraId="2035881E"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Симптоми при пациентите с болест на Niemann-Pick тип C</w:t>
            </w:r>
          </w:p>
        </w:tc>
        <w:tc>
          <w:tcPr>
            <w:tcW w:w="1843" w:type="dxa"/>
          </w:tcPr>
          <w:p w14:paraId="40B3B533"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r>
      <w:tr w:rsidR="00BE0B19" w:rsidRPr="00AE47C6" w14:paraId="76FF2552" w14:textId="77777777" w:rsidTr="00AD72E5">
        <w:tc>
          <w:tcPr>
            <w:tcW w:w="7196" w:type="dxa"/>
          </w:tcPr>
          <w:p w14:paraId="7FE9B71A"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Несръчност</w:t>
            </w:r>
          </w:p>
        </w:tc>
        <w:tc>
          <w:tcPr>
            <w:tcW w:w="1843" w:type="dxa"/>
          </w:tcPr>
          <w:p w14:paraId="44226811"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87</w:t>
            </w:r>
          </w:p>
        </w:tc>
      </w:tr>
      <w:tr w:rsidR="00BE0B19" w:rsidRPr="00AE47C6" w14:paraId="23D9A9E7" w14:textId="77777777" w:rsidTr="00AD72E5">
        <w:tc>
          <w:tcPr>
            <w:tcW w:w="7196" w:type="dxa"/>
          </w:tcPr>
          <w:p w14:paraId="3547B021"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Обучителни затруднения</w:t>
            </w:r>
          </w:p>
        </w:tc>
        <w:tc>
          <w:tcPr>
            <w:tcW w:w="1843" w:type="dxa"/>
          </w:tcPr>
          <w:p w14:paraId="1A3CA6DA"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87</w:t>
            </w:r>
          </w:p>
        </w:tc>
      </w:tr>
      <w:tr w:rsidR="00BE0B19" w:rsidRPr="00AE47C6" w14:paraId="00106376" w14:textId="77777777" w:rsidTr="00AD72E5">
        <w:tc>
          <w:tcPr>
            <w:tcW w:w="7196" w:type="dxa"/>
          </w:tcPr>
          <w:p w14:paraId="7057B8F0"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Атаксия</w:t>
            </w:r>
          </w:p>
        </w:tc>
        <w:tc>
          <w:tcPr>
            <w:tcW w:w="1843" w:type="dxa"/>
          </w:tcPr>
          <w:p w14:paraId="705ECDF7"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83</w:t>
            </w:r>
          </w:p>
        </w:tc>
      </w:tr>
      <w:tr w:rsidR="00BE0B19" w:rsidRPr="00AE47C6" w14:paraId="720356DF" w14:textId="77777777" w:rsidTr="00AD72E5">
        <w:tc>
          <w:tcPr>
            <w:tcW w:w="7196" w:type="dxa"/>
          </w:tcPr>
          <w:p w14:paraId="0FC45A8C"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Вертикална погледна парализа</w:t>
            </w:r>
          </w:p>
        </w:tc>
        <w:tc>
          <w:tcPr>
            <w:tcW w:w="1843" w:type="dxa"/>
          </w:tcPr>
          <w:p w14:paraId="7AD25492"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81</w:t>
            </w:r>
          </w:p>
        </w:tc>
      </w:tr>
      <w:tr w:rsidR="00BE0B19" w:rsidRPr="00AE47C6" w14:paraId="7A05AC1B" w14:textId="77777777" w:rsidTr="00AD72E5">
        <w:tc>
          <w:tcPr>
            <w:tcW w:w="7196" w:type="dxa"/>
          </w:tcPr>
          <w:p w14:paraId="05289E21"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Дисфагия</w:t>
            </w:r>
          </w:p>
        </w:tc>
        <w:tc>
          <w:tcPr>
            <w:tcW w:w="1843" w:type="dxa"/>
          </w:tcPr>
          <w:p w14:paraId="024707DF"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80</w:t>
            </w:r>
          </w:p>
        </w:tc>
      </w:tr>
      <w:tr w:rsidR="00BE0B19" w:rsidRPr="00AE47C6" w14:paraId="299BA270" w14:textId="77777777" w:rsidTr="00AD72E5">
        <w:tc>
          <w:tcPr>
            <w:tcW w:w="7196" w:type="dxa"/>
          </w:tcPr>
          <w:p w14:paraId="46A88D8F"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Дизартрия</w:t>
            </w:r>
          </w:p>
        </w:tc>
        <w:tc>
          <w:tcPr>
            <w:tcW w:w="1843" w:type="dxa"/>
          </w:tcPr>
          <w:p w14:paraId="4B4B7A32"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70</w:t>
            </w:r>
          </w:p>
        </w:tc>
      </w:tr>
      <w:tr w:rsidR="00BE0B19" w:rsidRPr="00AE47C6" w14:paraId="20BFB124" w14:textId="77777777" w:rsidTr="00AD72E5">
        <w:tc>
          <w:tcPr>
            <w:tcW w:w="7196" w:type="dxa"/>
          </w:tcPr>
          <w:p w14:paraId="52B36719"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Катаплексия при смях</w:t>
            </w:r>
          </w:p>
        </w:tc>
        <w:tc>
          <w:tcPr>
            <w:tcW w:w="1843" w:type="dxa"/>
          </w:tcPr>
          <w:p w14:paraId="4786FDB4"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52</w:t>
            </w:r>
          </w:p>
        </w:tc>
      </w:tr>
      <w:tr w:rsidR="00BE0B19" w:rsidRPr="00AE47C6" w14:paraId="457CA2D1" w14:textId="77777777" w:rsidTr="00AD72E5">
        <w:tc>
          <w:tcPr>
            <w:tcW w:w="7196" w:type="dxa"/>
          </w:tcPr>
          <w:p w14:paraId="74FB883E"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Епилепсия</w:t>
            </w:r>
          </w:p>
        </w:tc>
        <w:tc>
          <w:tcPr>
            <w:tcW w:w="1843" w:type="dxa"/>
          </w:tcPr>
          <w:p w14:paraId="70A6AE61"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52</w:t>
            </w:r>
          </w:p>
        </w:tc>
      </w:tr>
      <w:tr w:rsidR="00BE0B19" w:rsidRPr="00AE47C6" w14:paraId="3FB6FD3E" w14:textId="77777777" w:rsidTr="00AD72E5">
        <w:tc>
          <w:tcPr>
            <w:tcW w:w="7196" w:type="dxa"/>
          </w:tcPr>
          <w:p w14:paraId="597F1533"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Дихателни разстройства</w:t>
            </w:r>
          </w:p>
        </w:tc>
        <w:tc>
          <w:tcPr>
            <w:tcW w:w="1843" w:type="dxa"/>
          </w:tcPr>
          <w:p w14:paraId="7B5D273B"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52</w:t>
            </w:r>
          </w:p>
        </w:tc>
      </w:tr>
      <w:tr w:rsidR="00BE0B19" w:rsidRPr="00AE47C6" w14:paraId="5FF87C13" w14:textId="77777777" w:rsidTr="00AD72E5">
        <w:tc>
          <w:tcPr>
            <w:tcW w:w="7196" w:type="dxa"/>
          </w:tcPr>
          <w:p w14:paraId="6A1E0245"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Проблеми на съня</w:t>
            </w:r>
          </w:p>
        </w:tc>
        <w:tc>
          <w:tcPr>
            <w:tcW w:w="1843" w:type="dxa"/>
          </w:tcPr>
          <w:p w14:paraId="1C4A0D9A"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42</w:t>
            </w:r>
          </w:p>
        </w:tc>
      </w:tr>
      <w:tr w:rsidR="00BE0B19" w:rsidRPr="00AE47C6" w14:paraId="0415F1F4" w14:textId="77777777" w:rsidTr="00AD72E5">
        <w:tc>
          <w:tcPr>
            <w:tcW w:w="7196" w:type="dxa"/>
          </w:tcPr>
          <w:p w14:paraId="5ABCC868"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Психиатрични разстройства</w:t>
            </w:r>
          </w:p>
        </w:tc>
        <w:tc>
          <w:tcPr>
            <w:tcW w:w="1843" w:type="dxa"/>
          </w:tcPr>
          <w:p w14:paraId="17612004"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28</w:t>
            </w:r>
          </w:p>
        </w:tc>
      </w:tr>
      <w:tr w:rsidR="00BE0B19" w:rsidRPr="00AE47C6" w14:paraId="58D7C9D5" w14:textId="77777777" w:rsidTr="00AD72E5">
        <w:tc>
          <w:tcPr>
            <w:tcW w:w="7196" w:type="dxa"/>
          </w:tcPr>
          <w:p w14:paraId="58EFCF77"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Слухови проблеми</w:t>
            </w:r>
          </w:p>
        </w:tc>
        <w:tc>
          <w:tcPr>
            <w:tcW w:w="1843" w:type="dxa"/>
          </w:tcPr>
          <w:p w14:paraId="02F7006B"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15</w:t>
            </w:r>
          </w:p>
        </w:tc>
      </w:tr>
    </w:tbl>
    <w:p w14:paraId="6966DCBA" w14:textId="77777777" w:rsidR="00BE0B19" w:rsidRPr="00AE47C6" w:rsidRDefault="00BE0B19" w:rsidP="00BE0B19">
      <w:pPr>
        <w:spacing w:after="0" w:line="360" w:lineRule="auto"/>
        <w:rPr>
          <w:rFonts w:ascii="Times New Roman" w:eastAsia="SimSun" w:hAnsi="Times New Roman"/>
          <w:sz w:val="24"/>
          <w:szCs w:val="24"/>
        </w:rPr>
      </w:pPr>
    </w:p>
    <w:p w14:paraId="2A2EAF14"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b/>
          <w:bCs/>
          <w:sz w:val="24"/>
          <w:szCs w:val="24"/>
        </w:rPr>
        <w:t>Таблица 5.7. Прогресия на болестта на Niemann-Pick тип C (стадии на заболяването</w:t>
      </w:r>
      <w:r w:rsidRPr="00AE47C6">
        <w:rPr>
          <w:rFonts w:ascii="Times New Roman" w:eastAsia="SimSu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7671"/>
      </w:tblGrid>
      <w:tr w:rsidR="00BE0B19" w:rsidRPr="00AE47C6" w14:paraId="054FE8D0" w14:textId="77777777" w:rsidTr="00AD72E5">
        <w:tc>
          <w:tcPr>
            <w:tcW w:w="1368" w:type="dxa"/>
          </w:tcPr>
          <w:p w14:paraId="5BFF4E22"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Стадии</w:t>
            </w:r>
          </w:p>
        </w:tc>
        <w:tc>
          <w:tcPr>
            <w:tcW w:w="7671" w:type="dxa"/>
          </w:tcPr>
          <w:p w14:paraId="6C654D35"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Клиника</w:t>
            </w:r>
          </w:p>
        </w:tc>
      </w:tr>
      <w:tr w:rsidR="00BE0B19" w:rsidRPr="00AE47C6" w14:paraId="400EBD51" w14:textId="77777777" w:rsidTr="00AD72E5">
        <w:tc>
          <w:tcPr>
            <w:tcW w:w="1368" w:type="dxa"/>
          </w:tcPr>
          <w:p w14:paraId="65A31F18"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Стадий 0</w:t>
            </w:r>
          </w:p>
        </w:tc>
        <w:tc>
          <w:tcPr>
            <w:tcW w:w="7671" w:type="dxa"/>
          </w:tcPr>
          <w:p w14:paraId="3DECCA03"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Заболяването е диагностицирано биохимично, хистологично или молекулярно-генетично, но до момента няма увреда или симптоми, типични за болестта </w:t>
            </w:r>
          </w:p>
        </w:tc>
      </w:tr>
      <w:tr w:rsidR="00BE0B19" w:rsidRPr="00AE47C6" w14:paraId="4D530A92" w14:textId="77777777" w:rsidTr="00AD72E5">
        <w:tc>
          <w:tcPr>
            <w:tcW w:w="1368" w:type="dxa"/>
          </w:tcPr>
          <w:p w14:paraId="1081994E"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Стадий I</w:t>
            </w:r>
          </w:p>
          <w:p w14:paraId="56E306BF"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p>
        </w:tc>
        <w:tc>
          <w:tcPr>
            <w:tcW w:w="7671" w:type="dxa"/>
          </w:tcPr>
          <w:p w14:paraId="5E86BD2E"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Началните симптоми като дискретни двигателни нарушения или когнитивни нарушения се разкриват само при внимателен преглед </w:t>
            </w:r>
          </w:p>
          <w:p w14:paraId="721467D9"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 Рядко нестабилна походка, но пациентите могат да изкачват стълби и да ходят без подкрепа на дълги разстояния </w:t>
            </w:r>
          </w:p>
          <w:p w14:paraId="13E0DD61"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 Лека дистония или атаксия </w:t>
            </w:r>
          </w:p>
          <w:p w14:paraId="34999B4B"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 Сакадираните хоризонтални очни движения са забавени надолу </w:t>
            </w:r>
          </w:p>
          <w:p w14:paraId="03E769E9"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Вертикална супрануклеарна погледна парализа, не напълно изявена (само нагоре или надолу)</w:t>
            </w:r>
          </w:p>
          <w:p w14:paraId="5FD6C511"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Забавен говор, но пациентите провеждат диференциран разговор (правилна граматична реч, емоционална, абстрактна)</w:t>
            </w:r>
          </w:p>
        </w:tc>
      </w:tr>
      <w:tr w:rsidR="00BE0B19" w:rsidRPr="00AE47C6" w14:paraId="42BDC72C" w14:textId="77777777" w:rsidTr="00AD72E5">
        <w:trPr>
          <w:trHeight w:val="3612"/>
        </w:trPr>
        <w:tc>
          <w:tcPr>
            <w:tcW w:w="1368" w:type="dxa"/>
          </w:tcPr>
          <w:p w14:paraId="05C96460"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Стадий IІ</w:t>
            </w:r>
          </w:p>
          <w:p w14:paraId="1A1C687B"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p>
        </w:tc>
        <w:tc>
          <w:tcPr>
            <w:tcW w:w="7671" w:type="dxa"/>
          </w:tcPr>
          <w:p w14:paraId="4EE0F39A"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Изявен прогресиращ когнитивен дефицит, лесно забележими двигателни разстройства</w:t>
            </w:r>
          </w:p>
          <w:p w14:paraId="26EE2846"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Изявена нестабилност на походката, с проблеми в балансирането, на широка основа, но пациентите могат да ходят самостоятелно на кратки разстояния (над 100 м); нуждаят се от подкрепа при изкачване на стълби</w:t>
            </w:r>
          </w:p>
          <w:p w14:paraId="198BCA4B"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Атетозни движения, дистония или апраксия</w:t>
            </w:r>
          </w:p>
          <w:p w14:paraId="22DC4FF4"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Вертикална супрануклеарна погледна пареза</w:t>
            </w:r>
          </w:p>
          <w:p w14:paraId="78F3F9A9"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 Дизартрия; неясна, забавена, реч; разговор е възможен, но затруднения в артикулацията, проблеми в експресията (аграматизъм, редукция на броя думи) </w:t>
            </w:r>
          </w:p>
        </w:tc>
      </w:tr>
      <w:tr w:rsidR="00BE0B19" w:rsidRPr="00AE47C6" w14:paraId="6CE6F259" w14:textId="77777777" w:rsidTr="00AD72E5">
        <w:tc>
          <w:tcPr>
            <w:tcW w:w="1368" w:type="dxa"/>
          </w:tcPr>
          <w:p w14:paraId="058EC9B7"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Стадий IІІ</w:t>
            </w:r>
          </w:p>
          <w:p w14:paraId="51DD2614"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p>
        </w:tc>
        <w:tc>
          <w:tcPr>
            <w:tcW w:w="7671" w:type="dxa"/>
          </w:tcPr>
          <w:p w14:paraId="2C0ABABD"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Значителен когнитивен дефицит и моторна дисфункция, налагащи медицинско обгрижване</w:t>
            </w:r>
          </w:p>
          <w:p w14:paraId="32AAA699"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Походка само с помощ на кратки разстояния (няколко метра)</w:t>
            </w:r>
          </w:p>
          <w:p w14:paraId="57C60F6D"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 Необходимост от помощ при хранене, обличане и лична хигиена  </w:t>
            </w:r>
          </w:p>
          <w:p w14:paraId="644AAC40"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Инконтиненция</w:t>
            </w:r>
          </w:p>
          <w:p w14:paraId="1FBF036C"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 Трайна увреда поради дистония, атаксия или атетоза  </w:t>
            </w:r>
          </w:p>
          <w:p w14:paraId="7DF2F67C"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Силно ограничена реч - изречения  само от 1-2 думи; силно ограничена вербална и емоционална експресия, невъзможно абстрактно мислене</w:t>
            </w:r>
          </w:p>
        </w:tc>
      </w:tr>
      <w:tr w:rsidR="00BE0B19" w:rsidRPr="00AE47C6" w14:paraId="1ECB277C" w14:textId="77777777" w:rsidTr="00AD72E5">
        <w:tc>
          <w:tcPr>
            <w:tcW w:w="1368" w:type="dxa"/>
          </w:tcPr>
          <w:p w14:paraId="72EC318C"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Стадий IV</w:t>
            </w:r>
          </w:p>
          <w:p w14:paraId="6A35B361" w14:textId="77777777" w:rsidR="00BE0B19" w:rsidRPr="00AE47C6" w:rsidRDefault="00BE0B19" w:rsidP="00BE0B19">
            <w:pPr>
              <w:autoSpaceDE w:val="0"/>
              <w:autoSpaceDN w:val="0"/>
              <w:adjustRightInd w:val="0"/>
              <w:spacing w:after="0" w:line="360" w:lineRule="auto"/>
              <w:rPr>
                <w:rFonts w:ascii="Times New Roman" w:eastAsia="SimSun" w:hAnsi="Times New Roman"/>
                <w:b/>
                <w:bCs/>
                <w:sz w:val="24"/>
                <w:szCs w:val="24"/>
              </w:rPr>
            </w:pPr>
          </w:p>
        </w:tc>
        <w:tc>
          <w:tcPr>
            <w:tcW w:w="7671" w:type="dxa"/>
          </w:tcPr>
          <w:p w14:paraId="292F8341"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Тежък неврологичният дефицит с невъзможна походка и невъзможен говор; вегетативно състояние; </w:t>
            </w:r>
          </w:p>
        </w:tc>
      </w:tr>
    </w:tbl>
    <w:p w14:paraId="72B695D6" w14:textId="77777777" w:rsidR="00BE0B19" w:rsidRPr="00AE47C6" w:rsidRDefault="00BE0B19" w:rsidP="00BE0B19">
      <w:pPr>
        <w:spacing w:after="0" w:line="360" w:lineRule="auto"/>
        <w:ind w:firstLine="708"/>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При </w:t>
      </w:r>
      <w:r w:rsidRPr="00AE47C6">
        <w:rPr>
          <w:rFonts w:ascii="Times New Roman" w:eastAsia="SimSun" w:hAnsi="Times New Roman"/>
          <w:b/>
          <w:bCs/>
          <w:sz w:val="24"/>
          <w:szCs w:val="24"/>
          <w:lang w:eastAsia="bg-BG"/>
        </w:rPr>
        <w:t xml:space="preserve">ранната инфантилна форма </w:t>
      </w:r>
      <w:r w:rsidRPr="00AE47C6">
        <w:rPr>
          <w:rFonts w:ascii="Times New Roman" w:eastAsia="SimSun" w:hAnsi="Times New Roman"/>
          <w:sz w:val="24"/>
          <w:szCs w:val="24"/>
          <w:lang w:eastAsia="bg-BG"/>
        </w:rPr>
        <w:t xml:space="preserve">е възможна неонатална холестаза и протрахирана жълтеница, налице са спленомегалия или хепатоспленомегалия, мускулна хипотония и забавено моторно развитие, а при </w:t>
      </w:r>
      <w:r w:rsidRPr="00AE47C6">
        <w:rPr>
          <w:rFonts w:ascii="Times New Roman" w:eastAsia="SimSun" w:hAnsi="Times New Roman"/>
          <w:b/>
          <w:bCs/>
          <w:sz w:val="24"/>
          <w:szCs w:val="24"/>
          <w:lang w:eastAsia="bg-BG"/>
        </w:rPr>
        <w:t>късната инфантилна форма</w:t>
      </w:r>
      <w:r w:rsidRPr="00AE47C6">
        <w:rPr>
          <w:rFonts w:ascii="Times New Roman" w:eastAsia="SimSun" w:hAnsi="Times New Roman"/>
          <w:sz w:val="24"/>
          <w:szCs w:val="24"/>
          <w:lang w:eastAsia="bg-BG"/>
        </w:rPr>
        <w:t xml:space="preserve"> - промени в походката, забавено развитие на речта, редки изяви са катаплексията и епилепсията, много рядко и периферната невропатия.</w:t>
      </w:r>
    </w:p>
    <w:p w14:paraId="619F321E" w14:textId="77777777" w:rsidR="00BE0B19" w:rsidRPr="00AE47C6" w:rsidRDefault="00BE0B19" w:rsidP="00BE0B19">
      <w:pPr>
        <w:spacing w:after="0" w:line="360" w:lineRule="auto"/>
        <w:ind w:firstLine="708"/>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При </w:t>
      </w:r>
      <w:r w:rsidRPr="00AE47C6">
        <w:rPr>
          <w:rFonts w:ascii="Times New Roman" w:eastAsia="SimSun" w:hAnsi="Times New Roman"/>
          <w:b/>
          <w:bCs/>
          <w:sz w:val="24"/>
          <w:szCs w:val="24"/>
          <w:lang w:eastAsia="bg-BG"/>
        </w:rPr>
        <w:t xml:space="preserve">ювенилната форма </w:t>
      </w:r>
      <w:r w:rsidRPr="00AE47C6">
        <w:rPr>
          <w:rFonts w:ascii="Times New Roman" w:eastAsia="SimSun" w:hAnsi="Times New Roman"/>
          <w:sz w:val="24"/>
          <w:szCs w:val="24"/>
          <w:lang w:eastAsia="bg-BG"/>
        </w:rPr>
        <w:t>се комбинират атаксия, дистония, дизартрия, вертикална погледна парализа, епилептични припадъци, катаплексия, когнитивни нарушения, разстройства в експресивната реч, хиперкинетично разстройство, шизофренно-подобни психози.</w:t>
      </w:r>
    </w:p>
    <w:p w14:paraId="3352A102" w14:textId="77777777" w:rsidR="00BE0B19" w:rsidRPr="00AE47C6" w:rsidRDefault="00BE0B19" w:rsidP="00BE0B19">
      <w:pPr>
        <w:spacing w:after="0" w:line="360" w:lineRule="auto"/>
        <w:ind w:firstLine="708"/>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При</w:t>
      </w:r>
      <w:r w:rsidRPr="00AE47C6">
        <w:rPr>
          <w:rFonts w:ascii="Times New Roman" w:eastAsia="SimSun" w:hAnsi="Times New Roman"/>
          <w:b/>
          <w:bCs/>
          <w:sz w:val="24"/>
          <w:szCs w:val="24"/>
          <w:lang w:eastAsia="bg-BG"/>
        </w:rPr>
        <w:t xml:space="preserve"> възрастните</w:t>
      </w:r>
      <w:r w:rsidRPr="00AE47C6">
        <w:rPr>
          <w:rFonts w:ascii="Times New Roman" w:eastAsia="SimSun" w:hAnsi="Times New Roman"/>
          <w:sz w:val="24"/>
          <w:szCs w:val="24"/>
          <w:lang w:eastAsia="bg-BG"/>
        </w:rPr>
        <w:t xml:space="preserve"> водещи са атаксията, дистонията, дизартрията, вертикална погледна парализа, деменцията и психични разстройства (шизофренно-подобни психоорганични психози със зрителни халюцинации, когнитивен регрес и терапевтична резистентност до 25%). Прогнозата за прогресията на заболяването е свързана с клиничните му форми, като продължителността на живот варира в широки граници. Най-бързо прогресират ранните детски форми (ранните и късни инфантилни форми). Оценката чрез скалите за недееспособност също установява зависимост от възрастта при която е диагностицирано заболяването.</w:t>
      </w:r>
    </w:p>
    <w:p w14:paraId="03F7AA17" w14:textId="77777777" w:rsidR="00BE0B19" w:rsidRPr="00AE47C6" w:rsidRDefault="00BE0B19" w:rsidP="00BE0B19">
      <w:pPr>
        <w:spacing w:after="0" w:line="360" w:lineRule="auto"/>
        <w:ind w:firstLine="708"/>
        <w:jc w:val="both"/>
        <w:rPr>
          <w:rFonts w:ascii="Times New Roman" w:eastAsia="SimSun" w:hAnsi="Times New Roman"/>
          <w:b/>
          <w:sz w:val="24"/>
          <w:szCs w:val="24"/>
          <w:shd w:val="clear" w:color="auto" w:fill="FFFFFF"/>
          <w:lang w:eastAsia="bg-BG"/>
        </w:rPr>
      </w:pPr>
      <w:r w:rsidRPr="00AE47C6">
        <w:rPr>
          <w:rFonts w:ascii="Times New Roman" w:eastAsia="SimSun" w:hAnsi="Times New Roman"/>
          <w:b/>
          <w:sz w:val="24"/>
          <w:szCs w:val="24"/>
          <w:lang w:eastAsia="bg-BG"/>
        </w:rPr>
        <w:t xml:space="preserve">Диагностициране: </w:t>
      </w:r>
      <w:r w:rsidRPr="00AE47C6">
        <w:rPr>
          <w:rFonts w:ascii="Times New Roman" w:eastAsia="SimSun" w:hAnsi="Times New Roman"/>
          <w:sz w:val="24"/>
          <w:szCs w:val="24"/>
          <w:lang w:eastAsia="bg-BG"/>
        </w:rPr>
        <w:t>Актуалните препоръки за диагностицирането и лечението на NP-C предлагат и количествената оценка на констелацията от клинични симптоми, насочващи за диагностициране на заболяването с точкова скала (/</w:t>
      </w:r>
      <w:hyperlink r:id="rId39" w:history="1">
        <w:r w:rsidRPr="00AE47C6">
          <w:rPr>
            <w:rFonts w:ascii="Times New Roman" w:eastAsia="Calibri" w:hAnsi="Times New Roman"/>
            <w:sz w:val="24"/>
            <w:szCs w:val="24"/>
            <w:u w:val="single"/>
            <w:lang w:eastAsia="bg-BG"/>
          </w:rPr>
          <w:t>www.NPC-SI.com</w:t>
        </w:r>
      </w:hyperlink>
      <w:r w:rsidRPr="00AE47C6">
        <w:rPr>
          <w:rFonts w:ascii="Times New Roman" w:eastAsia="Calibri" w:hAnsi="Times New Roman"/>
          <w:sz w:val="24"/>
          <w:szCs w:val="24"/>
          <w:lang w:eastAsia="bg-BG"/>
        </w:rPr>
        <w:t>)</w:t>
      </w:r>
      <w:r w:rsidRPr="00AE47C6">
        <w:rPr>
          <w:rFonts w:ascii="Times New Roman" w:eastAsia="SimSun" w:hAnsi="Times New Roman"/>
          <w:sz w:val="24"/>
          <w:szCs w:val="24"/>
          <w:lang w:eastAsia="bg-BG"/>
        </w:rPr>
        <w:t>, съобразена с възрастта при изявата на заболяването</w:t>
      </w:r>
      <w:r w:rsidRPr="00AE47C6">
        <w:rPr>
          <w:rFonts w:ascii="Times New Roman" w:eastAsia="SimSun" w:hAnsi="Times New Roman"/>
          <w:b/>
          <w:bCs/>
          <w:sz w:val="24"/>
          <w:szCs w:val="24"/>
          <w:lang w:eastAsia="bg-BG"/>
        </w:rPr>
        <w:t xml:space="preserve">: </w:t>
      </w:r>
      <w:r w:rsidRPr="00AE47C6">
        <w:rPr>
          <w:rFonts w:ascii="Times New Roman" w:eastAsia="SimSun" w:hAnsi="Times New Roman"/>
          <w:sz w:val="24"/>
          <w:szCs w:val="24"/>
          <w:lang w:eastAsia="bg-BG"/>
        </w:rPr>
        <w:t xml:space="preserve">1. Оценка по </w:t>
      </w:r>
      <w:r w:rsidRPr="00AE47C6">
        <w:rPr>
          <w:rFonts w:ascii="Times New Roman" w:eastAsia="SimSun" w:hAnsi="Times New Roman"/>
          <w:i/>
          <w:iCs/>
          <w:sz w:val="24"/>
          <w:szCs w:val="24"/>
          <w:lang w:eastAsia="bg-BG"/>
        </w:rPr>
        <w:t>40 т.</w:t>
      </w:r>
      <w:r w:rsidRPr="00AE47C6">
        <w:rPr>
          <w:rFonts w:ascii="Times New Roman" w:eastAsia="SimSun" w:hAnsi="Times New Roman"/>
          <w:sz w:val="24"/>
          <w:szCs w:val="24"/>
          <w:lang w:eastAsia="bg-BG"/>
        </w:rPr>
        <w:t xml:space="preserve">- при </w:t>
      </w:r>
      <w:r w:rsidRPr="00AE47C6">
        <w:rPr>
          <w:rFonts w:ascii="Times New Roman" w:eastAsia="SimSun" w:hAnsi="Times New Roman"/>
          <w:i/>
          <w:iCs/>
          <w:sz w:val="24"/>
          <w:szCs w:val="24"/>
          <w:lang w:eastAsia="bg-BG"/>
        </w:rPr>
        <w:t>вертикална погледна парализа и катаплексия</w:t>
      </w:r>
      <w:r w:rsidRPr="00AE47C6">
        <w:rPr>
          <w:rFonts w:ascii="Times New Roman" w:eastAsia="SimSun" w:hAnsi="Times New Roman"/>
          <w:b/>
          <w:bCs/>
          <w:sz w:val="24"/>
          <w:szCs w:val="24"/>
          <w:lang w:eastAsia="bg-BG"/>
        </w:rPr>
        <w:t xml:space="preserve">; </w:t>
      </w:r>
      <w:r w:rsidRPr="00AE47C6">
        <w:rPr>
          <w:rFonts w:ascii="Times New Roman" w:eastAsia="SimSun" w:hAnsi="Times New Roman"/>
          <w:sz w:val="24"/>
          <w:szCs w:val="24"/>
          <w:lang w:eastAsia="bg-BG"/>
        </w:rPr>
        <w:t xml:space="preserve">2. Оценка по </w:t>
      </w:r>
      <w:r w:rsidRPr="00AE47C6">
        <w:rPr>
          <w:rFonts w:ascii="Times New Roman" w:eastAsia="SimSun" w:hAnsi="Times New Roman"/>
          <w:i/>
          <w:iCs/>
          <w:sz w:val="24"/>
          <w:szCs w:val="24"/>
          <w:lang w:eastAsia="bg-BG"/>
        </w:rPr>
        <w:t>20 т.</w:t>
      </w:r>
      <w:r w:rsidRPr="00AE47C6">
        <w:rPr>
          <w:rFonts w:ascii="Times New Roman" w:eastAsia="SimSun" w:hAnsi="Times New Roman"/>
          <w:sz w:val="24"/>
          <w:szCs w:val="24"/>
          <w:lang w:eastAsia="bg-BG"/>
        </w:rPr>
        <w:t xml:space="preserve">- при </w:t>
      </w:r>
      <w:r w:rsidRPr="00AE47C6">
        <w:rPr>
          <w:rFonts w:ascii="Times New Roman" w:eastAsia="SimSun" w:hAnsi="Times New Roman"/>
          <w:i/>
          <w:iCs/>
          <w:sz w:val="24"/>
          <w:szCs w:val="24"/>
          <w:lang w:eastAsia="bg-BG"/>
        </w:rPr>
        <w:t>пролонгирания неочакван неонатален иктер и спленомегалия и пресенилния когнитивен дефицит и/или деменция</w:t>
      </w:r>
      <w:r w:rsidRPr="00AE47C6">
        <w:rPr>
          <w:rFonts w:ascii="Times New Roman" w:eastAsia="SimSun" w:hAnsi="Times New Roman"/>
          <w:sz w:val="24"/>
          <w:szCs w:val="24"/>
          <w:lang w:eastAsia="bg-BG"/>
        </w:rPr>
        <w:t xml:space="preserve">; 3. Оценка по 10 т. при </w:t>
      </w:r>
      <w:r w:rsidRPr="00AE47C6">
        <w:rPr>
          <w:rFonts w:ascii="Times New Roman" w:eastAsia="SimSun" w:hAnsi="Times New Roman"/>
          <w:i/>
          <w:iCs/>
          <w:sz w:val="24"/>
          <w:szCs w:val="24"/>
          <w:lang w:eastAsia="bg-BG"/>
        </w:rPr>
        <w:t>атаксия, дроп атаки,  дизартрия и/или дисфагия, дистония и психози с делир, халюцинации</w:t>
      </w:r>
      <w:r w:rsidRPr="00AE47C6">
        <w:rPr>
          <w:rFonts w:ascii="Times New Roman" w:eastAsia="SimSun" w:hAnsi="Times New Roman"/>
          <w:sz w:val="24"/>
          <w:szCs w:val="24"/>
          <w:lang w:eastAsia="bg-BG"/>
        </w:rPr>
        <w:t xml:space="preserve"> и др.;  4. Оценка 5 т. при </w:t>
      </w:r>
      <w:r w:rsidRPr="00AE47C6">
        <w:rPr>
          <w:rFonts w:ascii="Times New Roman" w:eastAsia="SimSun" w:hAnsi="Times New Roman"/>
          <w:i/>
          <w:iCs/>
          <w:sz w:val="24"/>
          <w:szCs w:val="24"/>
          <w:lang w:eastAsia="bg-BG"/>
        </w:rPr>
        <w:t xml:space="preserve">придобит и прогресиращ спастицитет и психози; </w:t>
      </w:r>
      <w:r w:rsidRPr="00AE47C6">
        <w:rPr>
          <w:rFonts w:ascii="Times New Roman" w:eastAsia="SimSun" w:hAnsi="Times New Roman"/>
          <w:sz w:val="24"/>
          <w:szCs w:val="24"/>
          <w:lang w:eastAsia="bg-BG"/>
        </w:rPr>
        <w:t xml:space="preserve">5. Оценка по </w:t>
      </w:r>
      <w:r w:rsidRPr="00AE47C6">
        <w:rPr>
          <w:rFonts w:ascii="Times New Roman" w:eastAsia="SimSun" w:hAnsi="Times New Roman"/>
          <w:i/>
          <w:iCs/>
          <w:sz w:val="24"/>
          <w:szCs w:val="24"/>
          <w:lang w:eastAsia="bg-BG"/>
        </w:rPr>
        <w:t>1 т</w:t>
      </w:r>
      <w:r w:rsidRPr="00AE47C6">
        <w:rPr>
          <w:rFonts w:ascii="Times New Roman" w:eastAsia="SimSun" w:hAnsi="Times New Roman"/>
          <w:sz w:val="24"/>
          <w:szCs w:val="24"/>
          <w:lang w:eastAsia="bg-BG"/>
        </w:rPr>
        <w:t xml:space="preserve">. за </w:t>
      </w:r>
      <w:r w:rsidRPr="00AE47C6">
        <w:rPr>
          <w:rFonts w:ascii="Times New Roman" w:eastAsia="SimSun" w:hAnsi="Times New Roman"/>
          <w:i/>
          <w:iCs/>
          <w:sz w:val="24"/>
          <w:szCs w:val="24"/>
          <w:lang w:eastAsia="bg-BG"/>
        </w:rPr>
        <w:t>хипотония, забавено ранно развитие, парциални или генерализирани епилептични припадъци и миоклонус</w:t>
      </w:r>
      <w:r w:rsidRPr="00AE47C6">
        <w:rPr>
          <w:rFonts w:ascii="Times New Roman" w:eastAsia="SimSun" w:hAnsi="Times New Roman"/>
          <w:sz w:val="24"/>
          <w:szCs w:val="24"/>
          <w:lang w:eastAsia="bg-BG"/>
        </w:rPr>
        <w:t xml:space="preserve">. (Табл. 5.8).  </w:t>
      </w:r>
      <w:r w:rsidRPr="00AE47C6">
        <w:rPr>
          <w:rFonts w:ascii="Times New Roman" w:eastAsia="SimSun" w:hAnsi="Times New Roman"/>
          <w:b/>
          <w:sz w:val="24"/>
          <w:szCs w:val="24"/>
          <w:lang w:eastAsia="bg-BG"/>
        </w:rPr>
        <w:t xml:space="preserve">При оценка </w:t>
      </w:r>
      <w:r w:rsidRPr="00AE47C6">
        <w:rPr>
          <w:rFonts w:ascii="Times New Roman" w:eastAsia="SimSun" w:hAnsi="Times New Roman"/>
          <w:b/>
          <w:sz w:val="24"/>
          <w:szCs w:val="24"/>
          <w:shd w:val="clear" w:color="auto" w:fill="FFFFFF"/>
          <w:lang w:eastAsia="bg-BG"/>
        </w:rPr>
        <w:t>≥70 пациентите е необходимо да бъдат тестирани за NP-C.</w:t>
      </w:r>
    </w:p>
    <w:p w14:paraId="4F44D818"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shd w:val="clear" w:color="auto" w:fill="FFFFFF"/>
        </w:rPr>
        <w:t>Таблица 5.8</w:t>
      </w:r>
      <w:r w:rsidRPr="00AE47C6">
        <w:rPr>
          <w:rFonts w:ascii="Times New Roman" w:eastAsia="SimSun" w:hAnsi="Times New Roman"/>
          <w:sz w:val="24"/>
          <w:szCs w:val="24"/>
          <w:shd w:val="clear" w:color="auto" w:fill="FFFFFF"/>
        </w:rPr>
        <w:t xml:space="preserve">. </w:t>
      </w:r>
      <w:r w:rsidRPr="00AE47C6">
        <w:rPr>
          <w:rFonts w:ascii="Times New Roman" w:eastAsia="SimSun" w:hAnsi="Times New Roman"/>
          <w:b/>
          <w:sz w:val="24"/>
          <w:szCs w:val="24"/>
        </w:rPr>
        <w:t>Индекс на съмнение за болестта на Niemann Pick C.</w:t>
      </w:r>
    </w:p>
    <w:tbl>
      <w:tblPr>
        <w:tblStyle w:val="TableGrid2"/>
        <w:tblW w:w="0" w:type="auto"/>
        <w:tblLook w:val="04A0" w:firstRow="1" w:lastRow="0" w:firstColumn="1" w:lastColumn="0" w:noHBand="0" w:noVBand="1"/>
      </w:tblPr>
      <w:tblGrid>
        <w:gridCol w:w="2194"/>
        <w:gridCol w:w="2217"/>
        <w:gridCol w:w="2208"/>
        <w:gridCol w:w="2441"/>
      </w:tblGrid>
      <w:tr w:rsidR="00BE0B19" w:rsidRPr="00AE47C6" w14:paraId="1E4A1ED9" w14:textId="77777777" w:rsidTr="00AD72E5">
        <w:tc>
          <w:tcPr>
            <w:tcW w:w="2253" w:type="dxa"/>
          </w:tcPr>
          <w:p w14:paraId="1F230336"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Критерии</w:t>
            </w:r>
          </w:p>
        </w:tc>
        <w:tc>
          <w:tcPr>
            <w:tcW w:w="2263" w:type="dxa"/>
          </w:tcPr>
          <w:p w14:paraId="1D3EF713"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Висцерални</w:t>
            </w:r>
          </w:p>
        </w:tc>
        <w:tc>
          <w:tcPr>
            <w:tcW w:w="2259" w:type="dxa"/>
          </w:tcPr>
          <w:p w14:paraId="1399602F"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Неврологични</w:t>
            </w:r>
          </w:p>
        </w:tc>
        <w:tc>
          <w:tcPr>
            <w:tcW w:w="2513" w:type="dxa"/>
          </w:tcPr>
          <w:p w14:paraId="7E0B9B1A"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Психиатрични</w:t>
            </w:r>
          </w:p>
        </w:tc>
      </w:tr>
      <w:tr w:rsidR="00BE0B19" w:rsidRPr="00AE47C6" w14:paraId="52742866" w14:textId="77777777" w:rsidTr="00AD72E5">
        <w:tc>
          <w:tcPr>
            <w:tcW w:w="2253" w:type="dxa"/>
          </w:tcPr>
          <w:p w14:paraId="1C8E1B9D" w14:textId="77777777" w:rsidR="00BE0B19" w:rsidRPr="00AE47C6" w:rsidRDefault="00BE0B19" w:rsidP="00BE0B19">
            <w:pPr>
              <w:spacing w:after="0" w:line="360" w:lineRule="auto"/>
              <w:rPr>
                <w:rFonts w:ascii="Times New Roman" w:hAnsi="Times New Roman"/>
                <w:b/>
                <w:bCs/>
                <w:sz w:val="24"/>
                <w:szCs w:val="24"/>
                <w:lang w:eastAsia="bg-BG"/>
              </w:rPr>
            </w:pPr>
            <w:r w:rsidRPr="00AE47C6">
              <w:rPr>
                <w:rFonts w:ascii="Times New Roman" w:hAnsi="Times New Roman"/>
                <w:b/>
                <w:bCs/>
                <w:sz w:val="24"/>
                <w:szCs w:val="24"/>
                <w:lang w:eastAsia="bg-BG"/>
              </w:rPr>
              <w:t xml:space="preserve">Много силни -по  40 т. за всеки </w:t>
            </w:r>
          </w:p>
        </w:tc>
        <w:tc>
          <w:tcPr>
            <w:tcW w:w="2263" w:type="dxa"/>
            <w:vMerge w:val="restart"/>
          </w:tcPr>
          <w:p w14:paraId="12C61308"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 </w:t>
            </w:r>
          </w:p>
          <w:p w14:paraId="53D4C7D6"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 </w:t>
            </w:r>
          </w:p>
        </w:tc>
        <w:tc>
          <w:tcPr>
            <w:tcW w:w="2259" w:type="dxa"/>
          </w:tcPr>
          <w:p w14:paraId="250343D8"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Вертикална погледна парализа</w:t>
            </w:r>
          </w:p>
        </w:tc>
        <w:tc>
          <w:tcPr>
            <w:tcW w:w="2513" w:type="dxa"/>
            <w:vMerge w:val="restart"/>
          </w:tcPr>
          <w:p w14:paraId="094E8CEA"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 </w:t>
            </w:r>
          </w:p>
          <w:p w14:paraId="25809F83"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 </w:t>
            </w:r>
          </w:p>
        </w:tc>
      </w:tr>
      <w:tr w:rsidR="00BE0B19" w:rsidRPr="00AE47C6" w14:paraId="482B7217" w14:textId="77777777" w:rsidTr="00AD72E5">
        <w:tc>
          <w:tcPr>
            <w:tcW w:w="2253" w:type="dxa"/>
          </w:tcPr>
          <w:p w14:paraId="4D3EB9A7" w14:textId="77777777" w:rsidR="00BE0B19" w:rsidRPr="00AE47C6" w:rsidRDefault="00BE0B19" w:rsidP="00BE0B19">
            <w:pPr>
              <w:spacing w:after="0" w:line="360" w:lineRule="auto"/>
              <w:rPr>
                <w:rFonts w:ascii="Times New Roman" w:hAnsi="Times New Roman"/>
                <w:b/>
                <w:bCs/>
                <w:sz w:val="24"/>
                <w:szCs w:val="24"/>
                <w:lang w:eastAsia="bg-BG"/>
              </w:rPr>
            </w:pPr>
          </w:p>
        </w:tc>
        <w:tc>
          <w:tcPr>
            <w:tcW w:w="2263" w:type="dxa"/>
            <w:vMerge/>
          </w:tcPr>
          <w:p w14:paraId="7A652B62" w14:textId="77777777" w:rsidR="00BE0B19" w:rsidRPr="00AE47C6" w:rsidRDefault="00BE0B19" w:rsidP="00BE0B19">
            <w:pPr>
              <w:spacing w:after="0" w:line="360" w:lineRule="auto"/>
              <w:rPr>
                <w:rFonts w:ascii="Times New Roman" w:hAnsi="Times New Roman"/>
                <w:bCs/>
                <w:sz w:val="24"/>
                <w:szCs w:val="24"/>
                <w:lang w:eastAsia="bg-BG"/>
              </w:rPr>
            </w:pPr>
          </w:p>
        </w:tc>
        <w:tc>
          <w:tcPr>
            <w:tcW w:w="2259" w:type="dxa"/>
          </w:tcPr>
          <w:p w14:paraId="163E4823"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Катаплексия при смях</w:t>
            </w:r>
          </w:p>
        </w:tc>
        <w:tc>
          <w:tcPr>
            <w:tcW w:w="2513" w:type="dxa"/>
            <w:vMerge/>
          </w:tcPr>
          <w:p w14:paraId="6E62322A" w14:textId="77777777" w:rsidR="00BE0B19" w:rsidRPr="00AE47C6" w:rsidRDefault="00BE0B19" w:rsidP="00BE0B19">
            <w:pPr>
              <w:spacing w:after="0" w:line="360" w:lineRule="auto"/>
              <w:rPr>
                <w:rFonts w:ascii="Times New Roman" w:hAnsi="Times New Roman"/>
                <w:bCs/>
                <w:sz w:val="24"/>
                <w:szCs w:val="24"/>
                <w:lang w:eastAsia="bg-BG"/>
              </w:rPr>
            </w:pPr>
          </w:p>
        </w:tc>
      </w:tr>
      <w:tr w:rsidR="00BE0B19" w:rsidRPr="00AE47C6" w14:paraId="142854DC" w14:textId="77777777" w:rsidTr="00AD72E5">
        <w:tc>
          <w:tcPr>
            <w:tcW w:w="2253" w:type="dxa"/>
          </w:tcPr>
          <w:p w14:paraId="45C4A782" w14:textId="77777777" w:rsidR="00BE0B19" w:rsidRPr="00AE47C6" w:rsidRDefault="00BE0B19" w:rsidP="00BE0B19">
            <w:pPr>
              <w:spacing w:after="0" w:line="360" w:lineRule="auto"/>
              <w:rPr>
                <w:rFonts w:ascii="Times New Roman" w:hAnsi="Times New Roman"/>
                <w:b/>
                <w:bCs/>
                <w:sz w:val="24"/>
                <w:szCs w:val="24"/>
                <w:lang w:eastAsia="bg-BG"/>
              </w:rPr>
            </w:pPr>
            <w:r w:rsidRPr="00AE47C6">
              <w:rPr>
                <w:rFonts w:ascii="Times New Roman" w:hAnsi="Times New Roman"/>
                <w:b/>
                <w:bCs/>
                <w:sz w:val="24"/>
                <w:szCs w:val="24"/>
                <w:lang w:eastAsia="bg-BG"/>
              </w:rPr>
              <w:t>Силни- по 20 т. за всеки</w:t>
            </w:r>
          </w:p>
          <w:p w14:paraId="245B0730" w14:textId="77777777" w:rsidR="00BE0B19" w:rsidRPr="00AE47C6" w:rsidRDefault="00BE0B19" w:rsidP="00BE0B19">
            <w:pPr>
              <w:spacing w:after="0" w:line="360" w:lineRule="auto"/>
              <w:rPr>
                <w:rFonts w:ascii="Times New Roman" w:hAnsi="Times New Roman"/>
                <w:b/>
                <w:bCs/>
                <w:sz w:val="24"/>
                <w:szCs w:val="24"/>
                <w:lang w:eastAsia="bg-BG"/>
              </w:rPr>
            </w:pPr>
            <w:r w:rsidRPr="00AE47C6">
              <w:rPr>
                <w:rFonts w:ascii="Times New Roman" w:hAnsi="Times New Roman"/>
                <w:b/>
                <w:bCs/>
                <w:sz w:val="24"/>
                <w:szCs w:val="24"/>
                <w:lang w:eastAsia="bg-BG"/>
              </w:rPr>
              <w:t> </w:t>
            </w:r>
          </w:p>
        </w:tc>
        <w:tc>
          <w:tcPr>
            <w:tcW w:w="2263" w:type="dxa"/>
          </w:tcPr>
          <w:p w14:paraId="532F7190"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Пролонгиран неонатален неочакван иктер или холестаза</w:t>
            </w:r>
          </w:p>
        </w:tc>
        <w:tc>
          <w:tcPr>
            <w:tcW w:w="2259" w:type="dxa"/>
            <w:vMerge w:val="restart"/>
          </w:tcPr>
          <w:p w14:paraId="5E2472D5"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 </w:t>
            </w:r>
          </w:p>
          <w:p w14:paraId="37564732"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 </w:t>
            </w:r>
          </w:p>
        </w:tc>
        <w:tc>
          <w:tcPr>
            <w:tcW w:w="2513" w:type="dxa"/>
            <w:vMerge w:val="restart"/>
          </w:tcPr>
          <w:p w14:paraId="03F61FA3"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Когнитивен регрес или деменция</w:t>
            </w:r>
          </w:p>
        </w:tc>
      </w:tr>
      <w:tr w:rsidR="00BE0B19" w:rsidRPr="00AE47C6" w14:paraId="642C7C64" w14:textId="77777777" w:rsidTr="00AD72E5">
        <w:tc>
          <w:tcPr>
            <w:tcW w:w="2253" w:type="dxa"/>
          </w:tcPr>
          <w:p w14:paraId="6A4C2894" w14:textId="77777777" w:rsidR="00BE0B19" w:rsidRPr="00AE47C6" w:rsidRDefault="00BE0B19" w:rsidP="00BE0B19">
            <w:pPr>
              <w:spacing w:after="0" w:line="360" w:lineRule="auto"/>
              <w:rPr>
                <w:rFonts w:ascii="Times New Roman" w:hAnsi="Times New Roman"/>
                <w:b/>
                <w:bCs/>
                <w:sz w:val="24"/>
                <w:szCs w:val="24"/>
                <w:lang w:eastAsia="bg-BG"/>
              </w:rPr>
            </w:pPr>
          </w:p>
        </w:tc>
        <w:tc>
          <w:tcPr>
            <w:tcW w:w="2263" w:type="dxa"/>
          </w:tcPr>
          <w:p w14:paraId="06BD9980"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Изолирана спленомегалия</w:t>
            </w:r>
          </w:p>
        </w:tc>
        <w:tc>
          <w:tcPr>
            <w:tcW w:w="2259" w:type="dxa"/>
            <w:vMerge/>
          </w:tcPr>
          <w:p w14:paraId="32B66DE9" w14:textId="77777777" w:rsidR="00BE0B19" w:rsidRPr="00AE47C6" w:rsidRDefault="00BE0B19" w:rsidP="00BE0B19">
            <w:pPr>
              <w:spacing w:after="0" w:line="360" w:lineRule="auto"/>
              <w:rPr>
                <w:rFonts w:ascii="Times New Roman" w:hAnsi="Times New Roman"/>
                <w:bCs/>
                <w:sz w:val="24"/>
                <w:szCs w:val="24"/>
                <w:lang w:eastAsia="bg-BG"/>
              </w:rPr>
            </w:pPr>
          </w:p>
        </w:tc>
        <w:tc>
          <w:tcPr>
            <w:tcW w:w="2513" w:type="dxa"/>
            <w:vMerge/>
          </w:tcPr>
          <w:p w14:paraId="1BA35625" w14:textId="77777777" w:rsidR="00BE0B19" w:rsidRPr="00AE47C6" w:rsidRDefault="00BE0B19" w:rsidP="00BE0B19">
            <w:pPr>
              <w:spacing w:after="0" w:line="360" w:lineRule="auto"/>
              <w:rPr>
                <w:rFonts w:ascii="Times New Roman" w:hAnsi="Times New Roman"/>
                <w:bCs/>
                <w:sz w:val="24"/>
                <w:szCs w:val="24"/>
                <w:lang w:eastAsia="bg-BG"/>
              </w:rPr>
            </w:pPr>
          </w:p>
        </w:tc>
      </w:tr>
      <w:tr w:rsidR="00BE0B19" w:rsidRPr="00AE47C6" w14:paraId="2F9453A2" w14:textId="77777777" w:rsidTr="00AD72E5">
        <w:tc>
          <w:tcPr>
            <w:tcW w:w="2253" w:type="dxa"/>
          </w:tcPr>
          <w:p w14:paraId="19ACF5F3" w14:textId="77777777" w:rsidR="00BE0B19" w:rsidRPr="00AE47C6" w:rsidRDefault="00BE0B19" w:rsidP="00BE0B19">
            <w:pPr>
              <w:spacing w:after="0" w:line="360" w:lineRule="auto"/>
              <w:rPr>
                <w:rFonts w:ascii="Times New Roman" w:hAnsi="Times New Roman"/>
                <w:b/>
                <w:bCs/>
                <w:sz w:val="24"/>
                <w:szCs w:val="24"/>
                <w:lang w:eastAsia="bg-BG"/>
              </w:rPr>
            </w:pPr>
            <w:r w:rsidRPr="00AE47C6">
              <w:rPr>
                <w:rFonts w:ascii="Times New Roman" w:hAnsi="Times New Roman"/>
                <w:b/>
                <w:bCs/>
                <w:sz w:val="24"/>
                <w:szCs w:val="24"/>
                <w:lang w:eastAsia="bg-BG"/>
              </w:rPr>
              <w:t>Умерени- по 10 т. за всеки</w:t>
            </w:r>
          </w:p>
          <w:p w14:paraId="1B643B27" w14:textId="77777777" w:rsidR="00BE0B19" w:rsidRPr="00AE47C6" w:rsidRDefault="00BE0B19" w:rsidP="00BE0B19">
            <w:pPr>
              <w:spacing w:after="0" w:line="360" w:lineRule="auto"/>
              <w:rPr>
                <w:rFonts w:ascii="Times New Roman" w:hAnsi="Times New Roman"/>
                <w:b/>
                <w:bCs/>
                <w:sz w:val="24"/>
                <w:szCs w:val="24"/>
                <w:lang w:eastAsia="bg-BG"/>
              </w:rPr>
            </w:pPr>
            <w:r w:rsidRPr="00AE47C6">
              <w:rPr>
                <w:rFonts w:ascii="Times New Roman" w:hAnsi="Times New Roman"/>
                <w:b/>
                <w:bCs/>
                <w:sz w:val="24"/>
                <w:szCs w:val="24"/>
                <w:lang w:eastAsia="bg-BG"/>
              </w:rPr>
              <w:t> </w:t>
            </w:r>
          </w:p>
        </w:tc>
        <w:tc>
          <w:tcPr>
            <w:tcW w:w="2263" w:type="dxa"/>
            <w:vMerge w:val="restart"/>
          </w:tcPr>
          <w:p w14:paraId="6F3E12C5"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 </w:t>
            </w:r>
          </w:p>
          <w:p w14:paraId="3B62F3F9"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 </w:t>
            </w:r>
          </w:p>
          <w:p w14:paraId="5E365A37"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 </w:t>
            </w:r>
          </w:p>
        </w:tc>
        <w:tc>
          <w:tcPr>
            <w:tcW w:w="2259" w:type="dxa"/>
          </w:tcPr>
          <w:p w14:paraId="662FEA1D"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Атаксия, често падане (дроп атаки)</w:t>
            </w:r>
          </w:p>
        </w:tc>
        <w:tc>
          <w:tcPr>
            <w:tcW w:w="2513" w:type="dxa"/>
            <w:vMerge w:val="restart"/>
          </w:tcPr>
          <w:p w14:paraId="57353738"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 xml:space="preserve">Психиатрични синдроми - илюзии, халюцинации и или други </w:t>
            </w:r>
          </w:p>
        </w:tc>
      </w:tr>
      <w:tr w:rsidR="00BE0B19" w:rsidRPr="00AE47C6" w14:paraId="6587AB7D" w14:textId="77777777" w:rsidTr="00AD72E5">
        <w:tc>
          <w:tcPr>
            <w:tcW w:w="2253" w:type="dxa"/>
          </w:tcPr>
          <w:p w14:paraId="68594418" w14:textId="77777777" w:rsidR="00BE0B19" w:rsidRPr="00AE47C6" w:rsidRDefault="00BE0B19" w:rsidP="00BE0B19">
            <w:pPr>
              <w:spacing w:after="0" w:line="360" w:lineRule="auto"/>
              <w:rPr>
                <w:rFonts w:ascii="Times New Roman" w:hAnsi="Times New Roman"/>
                <w:b/>
                <w:bCs/>
                <w:sz w:val="24"/>
                <w:szCs w:val="24"/>
                <w:lang w:eastAsia="bg-BG"/>
              </w:rPr>
            </w:pPr>
          </w:p>
        </w:tc>
        <w:tc>
          <w:tcPr>
            <w:tcW w:w="2263" w:type="dxa"/>
            <w:vMerge/>
          </w:tcPr>
          <w:p w14:paraId="4396292E" w14:textId="77777777" w:rsidR="00BE0B19" w:rsidRPr="00AE47C6" w:rsidRDefault="00BE0B19" w:rsidP="00BE0B19">
            <w:pPr>
              <w:spacing w:after="0" w:line="360" w:lineRule="auto"/>
              <w:rPr>
                <w:rFonts w:ascii="Times New Roman" w:hAnsi="Times New Roman"/>
                <w:bCs/>
                <w:sz w:val="24"/>
                <w:szCs w:val="24"/>
                <w:lang w:eastAsia="bg-BG"/>
              </w:rPr>
            </w:pPr>
          </w:p>
        </w:tc>
        <w:tc>
          <w:tcPr>
            <w:tcW w:w="2259" w:type="dxa"/>
          </w:tcPr>
          <w:p w14:paraId="72B6A918"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Дизартрия и/или дисфагия</w:t>
            </w:r>
          </w:p>
        </w:tc>
        <w:tc>
          <w:tcPr>
            <w:tcW w:w="2513" w:type="dxa"/>
            <w:vMerge/>
          </w:tcPr>
          <w:p w14:paraId="6481E053" w14:textId="77777777" w:rsidR="00BE0B19" w:rsidRPr="00AE47C6" w:rsidRDefault="00BE0B19" w:rsidP="00BE0B19">
            <w:pPr>
              <w:spacing w:after="0" w:line="360" w:lineRule="auto"/>
              <w:rPr>
                <w:rFonts w:ascii="Times New Roman" w:hAnsi="Times New Roman"/>
                <w:bCs/>
                <w:sz w:val="24"/>
                <w:szCs w:val="24"/>
                <w:lang w:eastAsia="bg-BG"/>
              </w:rPr>
            </w:pPr>
          </w:p>
        </w:tc>
      </w:tr>
      <w:tr w:rsidR="00BE0B19" w:rsidRPr="00AE47C6" w14:paraId="2D6C1749" w14:textId="77777777" w:rsidTr="00AD72E5">
        <w:tc>
          <w:tcPr>
            <w:tcW w:w="2253" w:type="dxa"/>
          </w:tcPr>
          <w:p w14:paraId="20CAC45C" w14:textId="77777777" w:rsidR="00BE0B19" w:rsidRPr="00AE47C6" w:rsidRDefault="00BE0B19" w:rsidP="00BE0B19">
            <w:pPr>
              <w:spacing w:after="0" w:line="360" w:lineRule="auto"/>
              <w:rPr>
                <w:rFonts w:ascii="Times New Roman" w:hAnsi="Times New Roman"/>
                <w:b/>
                <w:bCs/>
                <w:sz w:val="24"/>
                <w:szCs w:val="24"/>
                <w:lang w:eastAsia="bg-BG"/>
              </w:rPr>
            </w:pPr>
          </w:p>
        </w:tc>
        <w:tc>
          <w:tcPr>
            <w:tcW w:w="2263" w:type="dxa"/>
            <w:vMerge/>
          </w:tcPr>
          <w:p w14:paraId="1DDBD11F" w14:textId="77777777" w:rsidR="00BE0B19" w:rsidRPr="00AE47C6" w:rsidRDefault="00BE0B19" w:rsidP="00BE0B19">
            <w:pPr>
              <w:spacing w:after="0" w:line="360" w:lineRule="auto"/>
              <w:rPr>
                <w:rFonts w:ascii="Times New Roman" w:hAnsi="Times New Roman"/>
                <w:bCs/>
                <w:sz w:val="24"/>
                <w:szCs w:val="24"/>
                <w:lang w:eastAsia="bg-BG"/>
              </w:rPr>
            </w:pPr>
          </w:p>
        </w:tc>
        <w:tc>
          <w:tcPr>
            <w:tcW w:w="2259" w:type="dxa"/>
          </w:tcPr>
          <w:p w14:paraId="14F2419F"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Дистонии</w:t>
            </w:r>
          </w:p>
        </w:tc>
        <w:tc>
          <w:tcPr>
            <w:tcW w:w="2513" w:type="dxa"/>
            <w:vMerge/>
          </w:tcPr>
          <w:p w14:paraId="2CCC1C72" w14:textId="77777777" w:rsidR="00BE0B19" w:rsidRPr="00AE47C6" w:rsidRDefault="00BE0B19" w:rsidP="00BE0B19">
            <w:pPr>
              <w:spacing w:after="0" w:line="360" w:lineRule="auto"/>
              <w:rPr>
                <w:rFonts w:ascii="Times New Roman" w:hAnsi="Times New Roman"/>
                <w:bCs/>
                <w:sz w:val="24"/>
                <w:szCs w:val="24"/>
                <w:lang w:eastAsia="bg-BG"/>
              </w:rPr>
            </w:pPr>
          </w:p>
        </w:tc>
      </w:tr>
      <w:tr w:rsidR="00BE0B19" w:rsidRPr="00AE47C6" w14:paraId="72EB241C" w14:textId="77777777" w:rsidTr="00AD72E5">
        <w:tc>
          <w:tcPr>
            <w:tcW w:w="2253" w:type="dxa"/>
            <w:vMerge w:val="restart"/>
          </w:tcPr>
          <w:p w14:paraId="26C60524" w14:textId="77777777" w:rsidR="00BE0B19" w:rsidRPr="00AE47C6" w:rsidRDefault="00BE0B19" w:rsidP="00BE0B19">
            <w:pPr>
              <w:spacing w:after="0" w:line="360" w:lineRule="auto"/>
              <w:rPr>
                <w:rFonts w:ascii="Times New Roman" w:hAnsi="Times New Roman"/>
                <w:b/>
                <w:bCs/>
                <w:sz w:val="24"/>
                <w:szCs w:val="24"/>
                <w:lang w:eastAsia="bg-BG"/>
              </w:rPr>
            </w:pPr>
            <w:r w:rsidRPr="00AE47C6">
              <w:rPr>
                <w:rFonts w:ascii="Times New Roman" w:hAnsi="Times New Roman"/>
                <w:b/>
                <w:bCs/>
                <w:sz w:val="24"/>
                <w:szCs w:val="24"/>
                <w:lang w:eastAsia="bg-BG"/>
              </w:rPr>
              <w:t>Слаби- по 5 т. за всеки</w:t>
            </w:r>
          </w:p>
          <w:p w14:paraId="15C003B5" w14:textId="77777777" w:rsidR="00BE0B19" w:rsidRPr="00AE47C6" w:rsidRDefault="00BE0B19" w:rsidP="00BE0B19">
            <w:pPr>
              <w:spacing w:after="0" w:line="360" w:lineRule="auto"/>
              <w:rPr>
                <w:rFonts w:ascii="Times New Roman" w:hAnsi="Times New Roman"/>
                <w:b/>
                <w:bCs/>
                <w:sz w:val="24"/>
                <w:szCs w:val="24"/>
                <w:lang w:eastAsia="bg-BG"/>
              </w:rPr>
            </w:pPr>
            <w:r w:rsidRPr="00AE47C6">
              <w:rPr>
                <w:rFonts w:ascii="Times New Roman" w:hAnsi="Times New Roman"/>
                <w:b/>
                <w:bCs/>
                <w:sz w:val="24"/>
                <w:szCs w:val="24"/>
                <w:lang w:eastAsia="bg-BG"/>
              </w:rPr>
              <w:t> </w:t>
            </w:r>
          </w:p>
        </w:tc>
        <w:tc>
          <w:tcPr>
            <w:tcW w:w="2263" w:type="dxa"/>
            <w:vMerge w:val="restart"/>
          </w:tcPr>
          <w:p w14:paraId="025AF121"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 </w:t>
            </w:r>
          </w:p>
          <w:p w14:paraId="75E11F34"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 </w:t>
            </w:r>
          </w:p>
        </w:tc>
        <w:tc>
          <w:tcPr>
            <w:tcW w:w="2259" w:type="dxa"/>
            <w:vMerge w:val="restart"/>
          </w:tcPr>
          <w:p w14:paraId="58771224"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Придобит и прогресиращ спастицитет</w:t>
            </w:r>
          </w:p>
        </w:tc>
        <w:tc>
          <w:tcPr>
            <w:tcW w:w="2513" w:type="dxa"/>
          </w:tcPr>
          <w:p w14:paraId="6AFFD068"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Резистентни на лечение психиатрични синдроми</w:t>
            </w:r>
          </w:p>
        </w:tc>
      </w:tr>
      <w:tr w:rsidR="00BE0B19" w:rsidRPr="00AE47C6" w14:paraId="3CCCA5A8" w14:textId="77777777" w:rsidTr="00AD72E5">
        <w:tc>
          <w:tcPr>
            <w:tcW w:w="2253" w:type="dxa"/>
            <w:vMerge/>
          </w:tcPr>
          <w:p w14:paraId="41D5299A" w14:textId="77777777" w:rsidR="00BE0B19" w:rsidRPr="00AE47C6" w:rsidRDefault="00BE0B19" w:rsidP="00BE0B19">
            <w:pPr>
              <w:spacing w:after="0" w:line="360" w:lineRule="auto"/>
              <w:rPr>
                <w:rFonts w:ascii="Times New Roman" w:hAnsi="Times New Roman"/>
                <w:b/>
                <w:bCs/>
                <w:sz w:val="24"/>
                <w:szCs w:val="24"/>
                <w:lang w:eastAsia="bg-BG"/>
              </w:rPr>
            </w:pPr>
          </w:p>
        </w:tc>
        <w:tc>
          <w:tcPr>
            <w:tcW w:w="2263" w:type="dxa"/>
            <w:vMerge/>
          </w:tcPr>
          <w:p w14:paraId="29A9D449" w14:textId="77777777" w:rsidR="00BE0B19" w:rsidRPr="00AE47C6" w:rsidRDefault="00BE0B19" w:rsidP="00BE0B19">
            <w:pPr>
              <w:spacing w:after="0" w:line="360" w:lineRule="auto"/>
              <w:rPr>
                <w:rFonts w:ascii="Times New Roman" w:hAnsi="Times New Roman"/>
                <w:bCs/>
                <w:sz w:val="24"/>
                <w:szCs w:val="24"/>
                <w:lang w:eastAsia="bg-BG"/>
              </w:rPr>
            </w:pPr>
          </w:p>
        </w:tc>
        <w:tc>
          <w:tcPr>
            <w:tcW w:w="2259" w:type="dxa"/>
            <w:vMerge/>
          </w:tcPr>
          <w:p w14:paraId="7341B81A" w14:textId="77777777" w:rsidR="00BE0B19" w:rsidRPr="00AE47C6" w:rsidRDefault="00BE0B19" w:rsidP="00BE0B19">
            <w:pPr>
              <w:spacing w:after="0" w:line="360" w:lineRule="auto"/>
              <w:rPr>
                <w:rFonts w:ascii="Times New Roman" w:hAnsi="Times New Roman"/>
                <w:bCs/>
                <w:sz w:val="24"/>
                <w:szCs w:val="24"/>
                <w:lang w:eastAsia="bg-BG"/>
              </w:rPr>
            </w:pPr>
          </w:p>
        </w:tc>
        <w:tc>
          <w:tcPr>
            <w:tcW w:w="2513" w:type="dxa"/>
          </w:tcPr>
          <w:p w14:paraId="3B40B781"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Психиатрични заболявания</w:t>
            </w:r>
          </w:p>
        </w:tc>
      </w:tr>
      <w:tr w:rsidR="00BE0B19" w:rsidRPr="00AE47C6" w14:paraId="3A3B23B3" w14:textId="77777777" w:rsidTr="00AD72E5">
        <w:tc>
          <w:tcPr>
            <w:tcW w:w="2253" w:type="dxa"/>
          </w:tcPr>
          <w:p w14:paraId="11FBF70D" w14:textId="77777777" w:rsidR="00BE0B19" w:rsidRPr="00AE47C6" w:rsidRDefault="00BE0B19" w:rsidP="00BE0B19">
            <w:pPr>
              <w:spacing w:after="0" w:line="360" w:lineRule="auto"/>
              <w:rPr>
                <w:rFonts w:ascii="Times New Roman" w:hAnsi="Times New Roman"/>
                <w:b/>
                <w:bCs/>
                <w:sz w:val="24"/>
                <w:szCs w:val="24"/>
                <w:lang w:eastAsia="bg-BG"/>
              </w:rPr>
            </w:pPr>
            <w:r w:rsidRPr="00AE47C6">
              <w:rPr>
                <w:rFonts w:ascii="Times New Roman" w:hAnsi="Times New Roman"/>
                <w:b/>
                <w:bCs/>
                <w:sz w:val="24"/>
                <w:szCs w:val="24"/>
                <w:lang w:eastAsia="bg-BG"/>
              </w:rPr>
              <w:t>По 1 т.</w:t>
            </w:r>
          </w:p>
        </w:tc>
        <w:tc>
          <w:tcPr>
            <w:tcW w:w="2263" w:type="dxa"/>
          </w:tcPr>
          <w:p w14:paraId="0A41591C"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Фетален хидропс</w:t>
            </w:r>
          </w:p>
        </w:tc>
        <w:tc>
          <w:tcPr>
            <w:tcW w:w="2259" w:type="dxa"/>
          </w:tcPr>
          <w:p w14:paraId="0804412C"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Хипотония</w:t>
            </w:r>
          </w:p>
        </w:tc>
        <w:tc>
          <w:tcPr>
            <w:tcW w:w="2513" w:type="dxa"/>
            <w:vMerge w:val="restart"/>
          </w:tcPr>
          <w:p w14:paraId="2644D8BA"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Поведенчески отклонения в детството и юношеството</w:t>
            </w:r>
          </w:p>
        </w:tc>
      </w:tr>
      <w:tr w:rsidR="00BE0B19" w:rsidRPr="00AE47C6" w14:paraId="3BB5FB56" w14:textId="77777777" w:rsidTr="00AD72E5">
        <w:tc>
          <w:tcPr>
            <w:tcW w:w="2253" w:type="dxa"/>
          </w:tcPr>
          <w:p w14:paraId="09D5527D" w14:textId="77777777" w:rsidR="00BE0B19" w:rsidRPr="00AE47C6" w:rsidRDefault="00BE0B19" w:rsidP="00BE0B19">
            <w:pPr>
              <w:spacing w:after="0" w:line="360" w:lineRule="auto"/>
              <w:rPr>
                <w:rFonts w:ascii="Times New Roman" w:hAnsi="Times New Roman"/>
                <w:b/>
                <w:bCs/>
                <w:sz w:val="24"/>
                <w:szCs w:val="24"/>
                <w:lang w:eastAsia="bg-BG"/>
              </w:rPr>
            </w:pPr>
          </w:p>
        </w:tc>
        <w:tc>
          <w:tcPr>
            <w:tcW w:w="2263" w:type="dxa"/>
            <w:vMerge w:val="restart"/>
          </w:tcPr>
          <w:p w14:paraId="57CA2B53"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Сиблинги с фетален асцит</w:t>
            </w:r>
          </w:p>
        </w:tc>
        <w:tc>
          <w:tcPr>
            <w:tcW w:w="2259" w:type="dxa"/>
          </w:tcPr>
          <w:p w14:paraId="01ECE58C"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Забавено развитие</w:t>
            </w:r>
          </w:p>
        </w:tc>
        <w:tc>
          <w:tcPr>
            <w:tcW w:w="2513" w:type="dxa"/>
            <w:vMerge/>
          </w:tcPr>
          <w:p w14:paraId="782EEFE4" w14:textId="77777777" w:rsidR="00BE0B19" w:rsidRPr="00AE47C6" w:rsidRDefault="00BE0B19" w:rsidP="00BE0B19">
            <w:pPr>
              <w:spacing w:after="0" w:line="360" w:lineRule="auto"/>
              <w:rPr>
                <w:rFonts w:ascii="Times New Roman" w:hAnsi="Times New Roman"/>
                <w:bCs/>
                <w:sz w:val="24"/>
                <w:szCs w:val="24"/>
                <w:lang w:eastAsia="bg-BG"/>
              </w:rPr>
            </w:pPr>
          </w:p>
        </w:tc>
      </w:tr>
      <w:tr w:rsidR="00BE0B19" w:rsidRPr="00AE47C6" w14:paraId="4156E010" w14:textId="77777777" w:rsidTr="00AD72E5">
        <w:tc>
          <w:tcPr>
            <w:tcW w:w="2253" w:type="dxa"/>
          </w:tcPr>
          <w:p w14:paraId="4F77E63C" w14:textId="77777777" w:rsidR="00BE0B19" w:rsidRPr="00AE47C6" w:rsidRDefault="00BE0B19" w:rsidP="00BE0B19">
            <w:pPr>
              <w:spacing w:after="0" w:line="360" w:lineRule="auto"/>
              <w:rPr>
                <w:rFonts w:ascii="Times New Roman" w:hAnsi="Times New Roman"/>
                <w:b/>
                <w:bCs/>
                <w:sz w:val="24"/>
                <w:szCs w:val="24"/>
                <w:lang w:eastAsia="bg-BG"/>
              </w:rPr>
            </w:pPr>
          </w:p>
        </w:tc>
        <w:tc>
          <w:tcPr>
            <w:tcW w:w="2263" w:type="dxa"/>
            <w:vMerge/>
          </w:tcPr>
          <w:p w14:paraId="45C87D63" w14:textId="77777777" w:rsidR="00BE0B19" w:rsidRPr="00AE47C6" w:rsidRDefault="00BE0B19" w:rsidP="00BE0B19">
            <w:pPr>
              <w:spacing w:after="0" w:line="360" w:lineRule="auto"/>
              <w:rPr>
                <w:rFonts w:ascii="Times New Roman" w:hAnsi="Times New Roman"/>
                <w:bCs/>
                <w:sz w:val="24"/>
                <w:szCs w:val="24"/>
                <w:lang w:eastAsia="bg-BG"/>
              </w:rPr>
            </w:pPr>
          </w:p>
        </w:tc>
        <w:tc>
          <w:tcPr>
            <w:tcW w:w="2259" w:type="dxa"/>
          </w:tcPr>
          <w:p w14:paraId="377F26E4"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Миоклонии</w:t>
            </w:r>
          </w:p>
        </w:tc>
        <w:tc>
          <w:tcPr>
            <w:tcW w:w="2513" w:type="dxa"/>
            <w:vMerge/>
          </w:tcPr>
          <w:p w14:paraId="2403D032" w14:textId="77777777" w:rsidR="00BE0B19" w:rsidRPr="00AE47C6" w:rsidRDefault="00BE0B19" w:rsidP="00BE0B19">
            <w:pPr>
              <w:spacing w:after="0" w:line="360" w:lineRule="auto"/>
              <w:rPr>
                <w:rFonts w:ascii="Times New Roman" w:hAnsi="Times New Roman"/>
                <w:bCs/>
                <w:sz w:val="24"/>
                <w:szCs w:val="24"/>
                <w:lang w:eastAsia="bg-BG"/>
              </w:rPr>
            </w:pPr>
          </w:p>
        </w:tc>
      </w:tr>
      <w:tr w:rsidR="00BE0B19" w:rsidRPr="00AE47C6" w14:paraId="1CABEAA4" w14:textId="77777777" w:rsidTr="00AD72E5">
        <w:tc>
          <w:tcPr>
            <w:tcW w:w="2253" w:type="dxa"/>
          </w:tcPr>
          <w:p w14:paraId="3CDE8DBF" w14:textId="77777777" w:rsidR="00BE0B19" w:rsidRPr="00AE47C6" w:rsidRDefault="00BE0B19" w:rsidP="00BE0B19">
            <w:pPr>
              <w:spacing w:after="0" w:line="360" w:lineRule="auto"/>
              <w:rPr>
                <w:rFonts w:ascii="Times New Roman" w:hAnsi="Times New Roman"/>
                <w:b/>
                <w:bCs/>
                <w:sz w:val="24"/>
                <w:szCs w:val="24"/>
                <w:lang w:eastAsia="bg-BG"/>
              </w:rPr>
            </w:pPr>
            <w:r w:rsidRPr="00AE47C6">
              <w:rPr>
                <w:rFonts w:ascii="Times New Roman" w:hAnsi="Times New Roman"/>
                <w:b/>
                <w:bCs/>
                <w:sz w:val="24"/>
                <w:szCs w:val="24"/>
                <w:lang w:eastAsia="bg-BG"/>
              </w:rPr>
              <w:t>По 1 т.</w:t>
            </w:r>
          </w:p>
        </w:tc>
        <w:tc>
          <w:tcPr>
            <w:tcW w:w="2263" w:type="dxa"/>
          </w:tcPr>
          <w:p w14:paraId="40F09A40"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Висцерални и неврологични- 40 т.</w:t>
            </w:r>
          </w:p>
          <w:p w14:paraId="695A5620"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Висцерални и психиатрични- 40 т.</w:t>
            </w:r>
          </w:p>
          <w:p w14:paraId="49A6F167"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Неврологични и психиатрични- 20 т.</w:t>
            </w:r>
          </w:p>
        </w:tc>
        <w:tc>
          <w:tcPr>
            <w:tcW w:w="2259" w:type="dxa"/>
          </w:tcPr>
          <w:p w14:paraId="2487C5DA" w14:textId="77777777" w:rsidR="00BE0B19" w:rsidRPr="00AE47C6" w:rsidRDefault="00BE0B19" w:rsidP="00BE0B19">
            <w:pPr>
              <w:spacing w:after="0" w:line="360" w:lineRule="auto"/>
              <w:rPr>
                <w:rFonts w:ascii="Times New Roman" w:hAnsi="Times New Roman"/>
                <w:bCs/>
                <w:sz w:val="24"/>
                <w:szCs w:val="24"/>
                <w:lang w:eastAsia="bg-BG"/>
              </w:rPr>
            </w:pPr>
          </w:p>
        </w:tc>
        <w:tc>
          <w:tcPr>
            <w:tcW w:w="2513" w:type="dxa"/>
          </w:tcPr>
          <w:p w14:paraId="07BDEFF9" w14:textId="77777777" w:rsidR="00BE0B19" w:rsidRPr="00AE47C6" w:rsidRDefault="00BE0B19" w:rsidP="00BE0B19">
            <w:pPr>
              <w:spacing w:after="0" w:line="360" w:lineRule="auto"/>
              <w:rPr>
                <w:rFonts w:ascii="Times New Roman" w:hAnsi="Times New Roman"/>
                <w:bCs/>
                <w:sz w:val="24"/>
                <w:szCs w:val="24"/>
                <w:lang w:eastAsia="bg-BG"/>
              </w:rPr>
            </w:pPr>
          </w:p>
        </w:tc>
      </w:tr>
      <w:tr w:rsidR="00BE0B19" w:rsidRPr="00AE47C6" w14:paraId="16F736CA" w14:textId="77777777" w:rsidTr="00AD72E5">
        <w:tc>
          <w:tcPr>
            <w:tcW w:w="2253" w:type="dxa"/>
          </w:tcPr>
          <w:p w14:paraId="0A555E7D" w14:textId="77777777" w:rsidR="00BE0B19" w:rsidRPr="00AE47C6" w:rsidRDefault="00BE0B19" w:rsidP="00BE0B19">
            <w:pPr>
              <w:spacing w:after="0" w:line="360" w:lineRule="auto"/>
              <w:rPr>
                <w:rFonts w:ascii="Times New Roman" w:hAnsi="Times New Roman"/>
                <w:b/>
                <w:bCs/>
                <w:sz w:val="24"/>
                <w:szCs w:val="24"/>
                <w:lang w:eastAsia="bg-BG"/>
              </w:rPr>
            </w:pPr>
            <w:r w:rsidRPr="00AE47C6">
              <w:rPr>
                <w:rFonts w:ascii="Times New Roman" w:hAnsi="Times New Roman"/>
                <w:b/>
                <w:bCs/>
                <w:sz w:val="24"/>
                <w:szCs w:val="24"/>
                <w:lang w:eastAsia="bg-BG"/>
              </w:rPr>
              <w:t>Комбинации</w:t>
            </w:r>
          </w:p>
        </w:tc>
        <w:tc>
          <w:tcPr>
            <w:tcW w:w="2263" w:type="dxa"/>
          </w:tcPr>
          <w:p w14:paraId="08168AC6"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Висцерални и неврологични- 40 т.</w:t>
            </w:r>
          </w:p>
          <w:p w14:paraId="63D68B98"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Висцерални и психиатрични- 40 т.</w:t>
            </w:r>
          </w:p>
          <w:p w14:paraId="38B632DE" w14:textId="77777777" w:rsidR="00BE0B19" w:rsidRPr="00AE47C6" w:rsidRDefault="00BE0B19" w:rsidP="00BE0B19">
            <w:pPr>
              <w:spacing w:after="0" w:line="360" w:lineRule="auto"/>
              <w:rPr>
                <w:rFonts w:ascii="Times New Roman" w:hAnsi="Times New Roman"/>
                <w:bCs/>
                <w:sz w:val="24"/>
                <w:szCs w:val="24"/>
                <w:lang w:eastAsia="bg-BG"/>
              </w:rPr>
            </w:pPr>
            <w:r w:rsidRPr="00AE47C6">
              <w:rPr>
                <w:rFonts w:ascii="Times New Roman" w:hAnsi="Times New Roman"/>
                <w:bCs/>
                <w:sz w:val="24"/>
                <w:szCs w:val="24"/>
                <w:lang w:eastAsia="bg-BG"/>
              </w:rPr>
              <w:t>Неврологични и психиатрични- 20 т.</w:t>
            </w:r>
          </w:p>
        </w:tc>
        <w:tc>
          <w:tcPr>
            <w:tcW w:w="2259" w:type="dxa"/>
          </w:tcPr>
          <w:p w14:paraId="40CA30A9"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2513" w:type="dxa"/>
          </w:tcPr>
          <w:p w14:paraId="27B99E36" w14:textId="77777777" w:rsidR="00BE0B19" w:rsidRPr="00AE47C6" w:rsidRDefault="00BE0B19" w:rsidP="00BE0B19">
            <w:pPr>
              <w:spacing w:after="0" w:line="360" w:lineRule="auto"/>
              <w:jc w:val="both"/>
              <w:rPr>
                <w:rFonts w:ascii="Times New Roman" w:hAnsi="Times New Roman"/>
                <w:sz w:val="24"/>
                <w:szCs w:val="24"/>
                <w:lang w:eastAsia="bg-BG"/>
              </w:rPr>
            </w:pPr>
          </w:p>
        </w:tc>
      </w:tr>
    </w:tbl>
    <w:p w14:paraId="24FDAD90" w14:textId="77777777" w:rsidR="00BE0B19" w:rsidRPr="00AE47C6" w:rsidRDefault="00BE0B19" w:rsidP="00BE0B19">
      <w:pPr>
        <w:spacing w:after="0" w:line="360" w:lineRule="auto"/>
        <w:ind w:firstLine="708"/>
        <w:jc w:val="both"/>
        <w:rPr>
          <w:rFonts w:ascii="Times New Roman" w:eastAsia="SimSun" w:hAnsi="Times New Roman"/>
          <w:b/>
          <w:sz w:val="24"/>
          <w:szCs w:val="24"/>
          <w:lang w:eastAsia="bg-BG"/>
        </w:rPr>
      </w:pPr>
      <w:r w:rsidRPr="00AE47C6">
        <w:rPr>
          <w:rFonts w:ascii="Times New Roman" w:eastAsia="SimSun" w:hAnsi="Times New Roman"/>
          <w:b/>
          <w:sz w:val="24"/>
          <w:szCs w:val="24"/>
          <w:lang w:eastAsia="bg-BG"/>
        </w:rPr>
        <w:t>Необходими изследвания</w:t>
      </w:r>
    </w:p>
    <w:p w14:paraId="32F84069" w14:textId="77777777" w:rsidR="00BE0B19" w:rsidRPr="00AE47C6" w:rsidRDefault="00BE0B19" w:rsidP="00BE0B19">
      <w:pPr>
        <w:spacing w:after="0" w:line="360" w:lineRule="auto"/>
        <w:ind w:firstLine="708"/>
        <w:jc w:val="both"/>
        <w:rPr>
          <w:rFonts w:ascii="Times New Roman" w:eastAsia="SimSun" w:hAnsi="Times New Roman"/>
          <w:sz w:val="24"/>
          <w:szCs w:val="24"/>
          <w:lang w:eastAsia="bg-BG"/>
        </w:rPr>
      </w:pPr>
      <w:r w:rsidRPr="00AE47C6">
        <w:rPr>
          <w:rFonts w:ascii="Times New Roman" w:eastAsia="SimSun" w:hAnsi="Times New Roman"/>
          <w:i/>
          <w:iCs/>
          <w:sz w:val="24"/>
          <w:szCs w:val="24"/>
          <w:lang w:eastAsia="bg-BG"/>
        </w:rPr>
        <w:t xml:space="preserve">Основни </w:t>
      </w:r>
      <w:r w:rsidRPr="00AE47C6">
        <w:rPr>
          <w:rFonts w:ascii="Times New Roman" w:eastAsia="SimSun" w:hAnsi="Times New Roman"/>
          <w:bCs/>
          <w:i/>
          <w:iCs/>
          <w:sz w:val="24"/>
          <w:szCs w:val="24"/>
          <w:lang w:eastAsia="bg-BG"/>
        </w:rPr>
        <w:t>изследвания</w:t>
      </w:r>
      <w:r w:rsidRPr="00AE47C6">
        <w:rPr>
          <w:rFonts w:ascii="Times New Roman" w:eastAsia="SimSun" w:hAnsi="Times New Roman"/>
          <w:i/>
          <w:iCs/>
          <w:sz w:val="24"/>
          <w:szCs w:val="24"/>
          <w:lang w:eastAsia="bg-BG"/>
        </w:rPr>
        <w:t xml:space="preserve"> при пациенти с клинична изява</w:t>
      </w:r>
      <w:r w:rsidRPr="00AE47C6">
        <w:rPr>
          <w:rFonts w:ascii="Times New Roman" w:eastAsia="SimSun" w:hAnsi="Times New Roman"/>
          <w:sz w:val="24"/>
          <w:szCs w:val="24"/>
          <w:lang w:eastAsia="bg-BG"/>
        </w:rPr>
        <w:t>, потвърждаващи диагнозата NP-C са:</w:t>
      </w:r>
    </w:p>
    <w:p w14:paraId="78CBC07A" w14:textId="77777777" w:rsidR="00BE0B19" w:rsidRPr="00AE47C6" w:rsidRDefault="00BE0B19" w:rsidP="00BE0B19">
      <w:pPr>
        <w:spacing w:after="0" w:line="360" w:lineRule="auto"/>
        <w:ind w:firstLine="708"/>
        <w:jc w:val="both"/>
        <w:rPr>
          <w:rFonts w:ascii="Times New Roman" w:eastAsia="SimSun" w:hAnsi="Times New Roman"/>
          <w:i/>
          <w:sz w:val="24"/>
          <w:szCs w:val="24"/>
          <w:lang w:eastAsia="bg-BG"/>
        </w:rPr>
      </w:pPr>
      <w:r w:rsidRPr="00AE47C6">
        <w:rPr>
          <w:rFonts w:ascii="Times New Roman" w:eastAsia="SimSun" w:hAnsi="Times New Roman"/>
          <w:sz w:val="24"/>
          <w:szCs w:val="24"/>
          <w:lang w:eastAsia="bg-BG"/>
        </w:rPr>
        <w:t xml:space="preserve">1. Начални изследвания - </w:t>
      </w:r>
      <w:r w:rsidRPr="00AE47C6">
        <w:rPr>
          <w:rFonts w:ascii="Times New Roman" w:eastAsia="SimSun" w:hAnsi="Times New Roman"/>
          <w:i/>
          <w:iCs/>
          <w:sz w:val="24"/>
          <w:szCs w:val="24"/>
          <w:lang w:eastAsia="bg-BG"/>
        </w:rPr>
        <w:t>повишената серумна хитотриозидаза</w:t>
      </w:r>
      <w:r w:rsidRPr="00AE47C6">
        <w:rPr>
          <w:rFonts w:ascii="Times New Roman" w:eastAsia="SimSun" w:hAnsi="Times New Roman"/>
          <w:i/>
          <w:sz w:val="24"/>
          <w:szCs w:val="24"/>
          <w:lang w:eastAsia="bg-BG"/>
        </w:rPr>
        <w:t xml:space="preserve"> (неспецифична), вакуолни клетки</w:t>
      </w:r>
      <w:r w:rsidRPr="00AE47C6">
        <w:rPr>
          <w:rFonts w:ascii="Times New Roman" w:eastAsia="SimSun" w:hAnsi="Times New Roman"/>
          <w:sz w:val="24"/>
          <w:szCs w:val="24"/>
          <w:lang w:eastAsia="bg-BG"/>
        </w:rPr>
        <w:t xml:space="preserve"> в костномозъчна или чернодробна биопсия; </w:t>
      </w:r>
      <w:r w:rsidRPr="00AE47C6">
        <w:rPr>
          <w:rFonts w:ascii="Times New Roman" w:eastAsia="SimSun" w:hAnsi="Times New Roman"/>
          <w:i/>
          <w:sz w:val="24"/>
          <w:szCs w:val="24"/>
          <w:lang w:eastAsia="bg-BG"/>
        </w:rPr>
        <w:t xml:space="preserve">изследване за плазмени оксистероли; </w:t>
      </w:r>
      <w:r w:rsidRPr="00AE47C6">
        <w:rPr>
          <w:rFonts w:ascii="Times New Roman" w:eastAsia="SimSun" w:hAnsi="Times New Roman"/>
          <w:bCs/>
          <w:i/>
          <w:sz w:val="24"/>
          <w:szCs w:val="24"/>
          <w:lang w:eastAsia="bg-BG"/>
        </w:rPr>
        <w:t>изследване на Lyso-sphingomyelin-50.</w:t>
      </w:r>
    </w:p>
    <w:p w14:paraId="3BA3FB56" w14:textId="77777777" w:rsidR="00BE0B19" w:rsidRPr="00AE47C6" w:rsidRDefault="00BE0B19" w:rsidP="00BE0B19">
      <w:pPr>
        <w:spacing w:after="0" w:line="360" w:lineRule="auto"/>
        <w:ind w:firstLine="708"/>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2. </w:t>
      </w:r>
      <w:r w:rsidRPr="00AE47C6">
        <w:rPr>
          <w:rFonts w:ascii="Times New Roman" w:eastAsia="SimSun" w:hAnsi="Times New Roman"/>
          <w:i/>
          <w:sz w:val="24"/>
          <w:szCs w:val="24"/>
          <w:lang w:eastAsia="bg-BG"/>
        </w:rPr>
        <w:t xml:space="preserve">Кожна биопсия и </w:t>
      </w:r>
      <w:r w:rsidRPr="00AE47C6">
        <w:rPr>
          <w:rFonts w:ascii="Times New Roman" w:eastAsia="SimSun" w:hAnsi="Times New Roman"/>
          <w:i/>
          <w:iCs/>
          <w:sz w:val="24"/>
          <w:szCs w:val="24"/>
          <w:lang w:eastAsia="bg-BG"/>
        </w:rPr>
        <w:t>филипиново оцветяване на култивирани фибробласти</w:t>
      </w:r>
      <w:r w:rsidRPr="00AE47C6">
        <w:rPr>
          <w:rFonts w:ascii="Times New Roman" w:eastAsia="SimSun" w:hAnsi="Times New Roman"/>
          <w:sz w:val="24"/>
          <w:szCs w:val="24"/>
          <w:lang w:eastAsia="bg-BG"/>
        </w:rPr>
        <w:t xml:space="preserve"> (позитивно в 80-85%, но нормален или леко повишено у хетерозиготни носители); </w:t>
      </w:r>
    </w:p>
    <w:p w14:paraId="1CEDE531" w14:textId="77777777" w:rsidR="00BE0B19" w:rsidRPr="00AE47C6" w:rsidRDefault="00BE0B19" w:rsidP="00BE0B19">
      <w:pPr>
        <w:spacing w:after="0" w:line="360" w:lineRule="auto"/>
        <w:ind w:firstLine="708"/>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3</w:t>
      </w:r>
      <w:r w:rsidRPr="00AE47C6">
        <w:rPr>
          <w:rFonts w:ascii="Times New Roman" w:eastAsia="SimSun" w:hAnsi="Times New Roman"/>
          <w:b/>
          <w:i/>
          <w:sz w:val="24"/>
          <w:szCs w:val="24"/>
          <w:lang w:eastAsia="bg-BG"/>
        </w:rPr>
        <w:t xml:space="preserve">. </w:t>
      </w:r>
      <w:r w:rsidRPr="00AE47C6">
        <w:rPr>
          <w:rFonts w:ascii="Times New Roman" w:eastAsia="SimSun" w:hAnsi="Times New Roman"/>
          <w:i/>
          <w:iCs/>
          <w:sz w:val="24"/>
          <w:szCs w:val="24"/>
          <w:lang w:eastAsia="bg-BG"/>
        </w:rPr>
        <w:t>Генетичните изследвания</w:t>
      </w:r>
      <w:r w:rsidRPr="00AE47C6">
        <w:rPr>
          <w:rFonts w:ascii="Times New Roman" w:eastAsia="SimSun" w:hAnsi="Times New Roman"/>
          <w:i/>
          <w:sz w:val="24"/>
          <w:szCs w:val="24"/>
          <w:lang w:eastAsia="bg-BG"/>
        </w:rPr>
        <w:t xml:space="preserve"> (мутации в гена в 18q11-q12 при 95% от случаите  или в NP2 гена в 14q24.3 при 5%)</w:t>
      </w:r>
      <w:r w:rsidRPr="00AE47C6">
        <w:rPr>
          <w:rFonts w:ascii="Times New Roman" w:eastAsia="SimSun" w:hAnsi="Times New Roman"/>
          <w:sz w:val="24"/>
          <w:szCs w:val="24"/>
          <w:lang w:eastAsia="bg-BG"/>
        </w:rPr>
        <w:t xml:space="preserve">. Доказват се и нови биомаркери, високоспецифични при NP-C - хемокин С при млади пациенти и плазмени оксистероли. Възможна е и </w:t>
      </w:r>
      <w:r w:rsidRPr="00AE47C6">
        <w:rPr>
          <w:rFonts w:ascii="Times New Roman" w:eastAsia="SimSun" w:hAnsi="Times New Roman"/>
          <w:i/>
          <w:iCs/>
          <w:sz w:val="24"/>
          <w:szCs w:val="24"/>
          <w:lang w:eastAsia="bg-BG"/>
        </w:rPr>
        <w:t>пренатална диагнос</w:t>
      </w:r>
      <w:r w:rsidRPr="00AE47C6">
        <w:rPr>
          <w:rFonts w:ascii="Times New Roman" w:eastAsia="SimSun" w:hAnsi="Times New Roman"/>
          <w:sz w:val="24"/>
          <w:szCs w:val="24"/>
          <w:lang w:eastAsia="bg-BG"/>
        </w:rPr>
        <w:t xml:space="preserve">тика на NP-C. </w:t>
      </w:r>
    </w:p>
    <w:p w14:paraId="6D7E3F32" w14:textId="77777777" w:rsidR="00BE0B19" w:rsidRPr="00AE47C6" w:rsidRDefault="00BE0B19" w:rsidP="00BE0B19">
      <w:pPr>
        <w:spacing w:after="0" w:line="360" w:lineRule="auto"/>
        <w:ind w:firstLine="708"/>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4. </w:t>
      </w:r>
      <w:r w:rsidRPr="00AE47C6">
        <w:rPr>
          <w:rFonts w:ascii="Times New Roman" w:eastAsia="SimSun" w:hAnsi="Times New Roman"/>
          <w:i/>
          <w:iCs/>
          <w:sz w:val="24"/>
          <w:szCs w:val="24"/>
          <w:lang w:eastAsia="bg-BG"/>
        </w:rPr>
        <w:t>Невроизобразяващи изследвания:</w:t>
      </w:r>
      <w:r w:rsidRPr="00AE47C6">
        <w:rPr>
          <w:rFonts w:ascii="Times New Roman" w:eastAsia="SimSun" w:hAnsi="Times New Roman"/>
          <w:i/>
          <w:sz w:val="24"/>
          <w:szCs w:val="24"/>
          <w:lang w:eastAsia="bg-BG"/>
        </w:rPr>
        <w:t xml:space="preserve"> МРТ</w:t>
      </w:r>
      <w:r w:rsidRPr="00AE47C6">
        <w:rPr>
          <w:rFonts w:ascii="Times New Roman" w:eastAsia="SimSun" w:hAnsi="Times New Roman"/>
          <w:sz w:val="24"/>
          <w:szCs w:val="24"/>
          <w:lang w:eastAsia="bg-BG"/>
        </w:rPr>
        <w:t xml:space="preserve"> разкрива прогресираща мозъчна атрофия у възрастните, при ранните инфантилни форми са възможни хиперинтензни лезии в бялото мозъчно вещество при Т2 измерване и засягането на hippocampus, thalamus, striatum, corpus callosum. Динамиката на промените могат да се проследяват с различни техники като diffusion tensor imaging, магнитнорезонансна спектроскопия, позитронно емисионна томография. </w:t>
      </w:r>
    </w:p>
    <w:p w14:paraId="1F4B5C6C" w14:textId="77777777" w:rsidR="00BE0B19" w:rsidRPr="00AE47C6" w:rsidRDefault="00BE0B19" w:rsidP="00BE0B19">
      <w:pPr>
        <w:autoSpaceDE w:val="0"/>
        <w:autoSpaceDN w:val="0"/>
        <w:adjustRightInd w:val="0"/>
        <w:spacing w:after="0" w:line="360" w:lineRule="auto"/>
        <w:ind w:firstLine="708"/>
        <w:jc w:val="both"/>
        <w:rPr>
          <w:rFonts w:ascii="Times New Roman" w:eastAsia="SimSun" w:hAnsi="Times New Roman"/>
          <w:sz w:val="24"/>
          <w:szCs w:val="24"/>
        </w:rPr>
      </w:pPr>
      <w:r w:rsidRPr="00AE47C6">
        <w:rPr>
          <w:rFonts w:ascii="Times New Roman" w:eastAsia="SimSun" w:hAnsi="Times New Roman"/>
          <w:b/>
          <w:bCs/>
          <w:iCs/>
          <w:sz w:val="24"/>
          <w:szCs w:val="24"/>
        </w:rPr>
        <w:t>Диференциална диагноза:</w:t>
      </w:r>
      <w:r w:rsidRPr="00AE47C6">
        <w:rPr>
          <w:rFonts w:ascii="Times New Roman" w:eastAsia="SimSun" w:hAnsi="Times New Roman"/>
          <w:b/>
          <w:bCs/>
          <w:i/>
          <w:iCs/>
          <w:sz w:val="24"/>
          <w:szCs w:val="24"/>
        </w:rPr>
        <w:t xml:space="preserve"> </w:t>
      </w:r>
      <w:r w:rsidRPr="00AE47C6">
        <w:rPr>
          <w:rFonts w:ascii="Times New Roman" w:eastAsia="SimSun" w:hAnsi="Times New Roman"/>
          <w:sz w:val="24"/>
          <w:szCs w:val="24"/>
        </w:rPr>
        <w:t xml:space="preserve">Диагностицирането на болестта на Niemann-Pick тип С, патогенетично свързана с нарушението на липидния транспорт и натрупване на холестерол и гликосфинголипиди в лизозомите, налага клинично, биохимично и генетично разграничаване от заболявания с прогресиращ неврологичен дефицит и психиатрична симптоматика в юношеска и зряла възраст, в някои случаи и със засягане на вътрешните органи - </w:t>
      </w:r>
      <w:r w:rsidRPr="00AE47C6">
        <w:rPr>
          <w:rFonts w:ascii="Times New Roman" w:eastAsia="SimSun" w:hAnsi="Times New Roman"/>
          <w:i/>
          <w:iCs/>
          <w:sz w:val="24"/>
          <w:szCs w:val="24"/>
        </w:rPr>
        <w:t>други болести с лизозомни натрупвания</w:t>
      </w:r>
      <w:r w:rsidRPr="00AE47C6">
        <w:rPr>
          <w:rFonts w:ascii="Times New Roman" w:eastAsia="SimSun" w:hAnsi="Times New Roman"/>
          <w:sz w:val="24"/>
          <w:szCs w:val="24"/>
        </w:rPr>
        <w:t xml:space="preserve"> (невролипидози, най чести от които са 10-те известни генетично идентифицирани типа невронни цероидлипофусцинози) и различни типове </w:t>
      </w:r>
      <w:r w:rsidRPr="00AE47C6">
        <w:rPr>
          <w:rFonts w:ascii="Times New Roman" w:eastAsia="SimSun" w:hAnsi="Times New Roman"/>
          <w:i/>
          <w:iCs/>
          <w:sz w:val="24"/>
          <w:szCs w:val="24"/>
        </w:rPr>
        <w:t xml:space="preserve">левкодистрофии </w:t>
      </w:r>
      <w:r w:rsidRPr="00AE47C6">
        <w:rPr>
          <w:rFonts w:ascii="Times New Roman" w:eastAsia="SimSun" w:hAnsi="Times New Roman"/>
          <w:iCs/>
          <w:sz w:val="24"/>
          <w:szCs w:val="24"/>
        </w:rPr>
        <w:t>(</w:t>
      </w:r>
      <w:r w:rsidRPr="00AE47C6">
        <w:rPr>
          <w:rFonts w:ascii="Times New Roman" w:eastAsia="SimSun" w:hAnsi="Times New Roman"/>
          <w:bCs/>
          <w:sz w:val="24"/>
          <w:szCs w:val="24"/>
        </w:rPr>
        <w:t>Табл. 5.9</w:t>
      </w:r>
      <w:r w:rsidRPr="00AE47C6">
        <w:rPr>
          <w:rFonts w:ascii="Times New Roman" w:eastAsia="SimSun" w:hAnsi="Times New Roman"/>
          <w:iCs/>
          <w:sz w:val="24"/>
          <w:szCs w:val="24"/>
        </w:rPr>
        <w:t>)</w:t>
      </w:r>
      <w:r w:rsidRPr="00AE47C6">
        <w:rPr>
          <w:rFonts w:ascii="Times New Roman" w:eastAsia="SimSun" w:hAnsi="Times New Roman"/>
          <w:sz w:val="24"/>
          <w:szCs w:val="24"/>
        </w:rPr>
        <w:t xml:space="preserve">. Клиниката налага и диференцирането от катаплексия и други често срещани заболявания в детството като епилепсия и разстройство в експресивната реч. При </w:t>
      </w:r>
      <w:r w:rsidRPr="00AE47C6">
        <w:rPr>
          <w:rFonts w:ascii="Times New Roman" w:eastAsia="SimSun" w:hAnsi="Times New Roman"/>
          <w:i/>
          <w:iCs/>
          <w:sz w:val="24"/>
          <w:szCs w:val="24"/>
        </w:rPr>
        <w:t>ранните инфантилни форми</w:t>
      </w:r>
      <w:r w:rsidRPr="00AE47C6">
        <w:rPr>
          <w:rFonts w:ascii="Times New Roman" w:eastAsia="SimSun" w:hAnsi="Times New Roman"/>
          <w:sz w:val="24"/>
          <w:szCs w:val="24"/>
        </w:rPr>
        <w:t xml:space="preserve"> при наличието на хепатоспленомегалия се обсъждат редица вирусни и автоимунни чернодробни заболявания. При </w:t>
      </w:r>
      <w:r w:rsidRPr="00AE47C6">
        <w:rPr>
          <w:rFonts w:ascii="Times New Roman" w:eastAsia="SimSun" w:hAnsi="Times New Roman"/>
          <w:i/>
          <w:iCs/>
          <w:sz w:val="24"/>
          <w:szCs w:val="24"/>
        </w:rPr>
        <w:t>късните инфантилни</w:t>
      </w:r>
      <w:r w:rsidRPr="00AE47C6">
        <w:rPr>
          <w:rFonts w:ascii="Times New Roman" w:eastAsia="SimSun" w:hAnsi="Times New Roman"/>
          <w:sz w:val="24"/>
          <w:szCs w:val="24"/>
        </w:rPr>
        <w:t xml:space="preserve"> и </w:t>
      </w:r>
      <w:r w:rsidRPr="00AE47C6">
        <w:rPr>
          <w:rFonts w:ascii="Times New Roman" w:eastAsia="SimSun" w:hAnsi="Times New Roman"/>
          <w:i/>
          <w:iCs/>
          <w:sz w:val="24"/>
          <w:szCs w:val="24"/>
        </w:rPr>
        <w:t xml:space="preserve">късните детски форми </w:t>
      </w:r>
      <w:r w:rsidRPr="00AE47C6">
        <w:rPr>
          <w:rFonts w:ascii="Times New Roman" w:eastAsia="SimSun" w:hAnsi="Times New Roman"/>
          <w:sz w:val="24"/>
          <w:szCs w:val="24"/>
        </w:rPr>
        <w:t xml:space="preserve">освен други болести с натрупване в лизозомите (най-често невроналните цероидлипофусцинози типове, левкодистрофиите и левкоенцефалопатиите, се обсъждат и разстройство в експресивната реч, обучителни затруднения, епилепсия и катаплексия. При </w:t>
      </w:r>
      <w:r w:rsidRPr="00AE47C6">
        <w:rPr>
          <w:rFonts w:ascii="Times New Roman" w:eastAsia="SimSun" w:hAnsi="Times New Roman"/>
          <w:i/>
          <w:iCs/>
          <w:sz w:val="24"/>
          <w:szCs w:val="24"/>
        </w:rPr>
        <w:t>ювенилните форми и при възрастните</w:t>
      </w:r>
      <w:r w:rsidRPr="00AE47C6">
        <w:rPr>
          <w:rFonts w:ascii="Times New Roman" w:eastAsia="SimSun" w:hAnsi="Times New Roman"/>
          <w:sz w:val="24"/>
          <w:szCs w:val="24"/>
        </w:rPr>
        <w:t xml:space="preserve"> с NP-C, протичащи с когнитивни нарушения, деменция и психо-органичните шизофреноподобни психози, диагностицирането на NP-C често се забавя от 2 до 10 г., обсъждат се редица дегенеративни заболявания като левкодистрофии, спиноцеребеларни атаксии, но важен клиничен симптом на заболяването е </w:t>
      </w:r>
      <w:r w:rsidRPr="00AE47C6">
        <w:rPr>
          <w:rFonts w:ascii="Times New Roman" w:eastAsia="SimSun" w:hAnsi="Times New Roman"/>
          <w:i/>
          <w:iCs/>
          <w:sz w:val="24"/>
          <w:szCs w:val="24"/>
        </w:rPr>
        <w:t>вертикалната супрануклеарна погледна парализа</w:t>
      </w:r>
      <w:r w:rsidRPr="00AE47C6">
        <w:rPr>
          <w:rFonts w:ascii="Times New Roman" w:eastAsia="SimSun" w:hAnsi="Times New Roman"/>
          <w:sz w:val="24"/>
          <w:szCs w:val="24"/>
        </w:rPr>
        <w:t>.</w:t>
      </w:r>
    </w:p>
    <w:p w14:paraId="29256D6F" w14:textId="77777777" w:rsidR="00BE0B19" w:rsidRPr="00AE47C6" w:rsidRDefault="00BE0B19" w:rsidP="00BE0B19">
      <w:pPr>
        <w:spacing w:after="0" w:line="360" w:lineRule="auto"/>
        <w:jc w:val="both"/>
        <w:rPr>
          <w:rFonts w:ascii="Times New Roman" w:eastAsia="SimSun" w:hAnsi="Times New Roman"/>
          <w:b/>
          <w:sz w:val="24"/>
          <w:szCs w:val="24"/>
          <w:lang w:eastAsia="bg-BG"/>
        </w:rPr>
      </w:pPr>
      <w:r w:rsidRPr="00AE47C6">
        <w:rPr>
          <w:rFonts w:ascii="Times New Roman" w:eastAsia="SimSun" w:hAnsi="Times New Roman"/>
          <w:b/>
          <w:bCs/>
          <w:sz w:val="24"/>
          <w:szCs w:val="24"/>
          <w:lang w:eastAsia="bg-BG"/>
        </w:rPr>
        <w:t>Таблица 5.9. Диагностициране на невролипидозите и някои левкодистрофии (инфантилни, детски, ювенилни и късни форми), обуславящи прогресираща неврологична, психиатрична симптоматика и деменция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2160"/>
        <w:gridCol w:w="1440"/>
        <w:gridCol w:w="1260"/>
        <w:gridCol w:w="1260"/>
        <w:gridCol w:w="1976"/>
      </w:tblGrid>
      <w:tr w:rsidR="00BE0B19" w:rsidRPr="00AE47C6" w14:paraId="63AB28B2" w14:textId="77777777" w:rsidTr="00AD72E5">
        <w:tc>
          <w:tcPr>
            <w:tcW w:w="1368" w:type="dxa"/>
          </w:tcPr>
          <w:p w14:paraId="1BE3F8C5"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Болест</w:t>
            </w:r>
          </w:p>
        </w:tc>
        <w:tc>
          <w:tcPr>
            <w:tcW w:w="2160" w:type="dxa"/>
          </w:tcPr>
          <w:p w14:paraId="13CB4EF2"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Клиника</w:t>
            </w:r>
          </w:p>
        </w:tc>
        <w:tc>
          <w:tcPr>
            <w:tcW w:w="1440" w:type="dxa"/>
          </w:tcPr>
          <w:p w14:paraId="79A06849"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Липидно натрупване</w:t>
            </w:r>
          </w:p>
        </w:tc>
        <w:tc>
          <w:tcPr>
            <w:tcW w:w="1260" w:type="dxa"/>
          </w:tcPr>
          <w:p w14:paraId="19CDB893"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Диагностични тестове/ биохимичен дефицит</w:t>
            </w:r>
          </w:p>
        </w:tc>
        <w:tc>
          <w:tcPr>
            <w:tcW w:w="1260" w:type="dxa"/>
          </w:tcPr>
          <w:p w14:paraId="042EA337"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Находки в урината</w:t>
            </w:r>
          </w:p>
        </w:tc>
        <w:tc>
          <w:tcPr>
            <w:tcW w:w="1976" w:type="dxa"/>
          </w:tcPr>
          <w:p w14:paraId="0C383738"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Генен дефект/локус</w:t>
            </w:r>
          </w:p>
        </w:tc>
      </w:tr>
      <w:tr w:rsidR="00BE0B19" w:rsidRPr="00AE47C6" w14:paraId="7AA8C440" w14:textId="77777777" w:rsidTr="00AD72E5">
        <w:tc>
          <w:tcPr>
            <w:tcW w:w="1368" w:type="dxa"/>
          </w:tcPr>
          <w:p w14:paraId="38452E33"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 xml:space="preserve">GM2 ганглиозидоза </w:t>
            </w:r>
          </w:p>
        </w:tc>
        <w:tc>
          <w:tcPr>
            <w:tcW w:w="2160" w:type="dxa"/>
          </w:tcPr>
          <w:p w14:paraId="510A25D4"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Мускулна слабост, епилепсия, атаксия, деменция</w:t>
            </w:r>
          </w:p>
        </w:tc>
        <w:tc>
          <w:tcPr>
            <w:tcW w:w="1440" w:type="dxa"/>
          </w:tcPr>
          <w:p w14:paraId="0D5A24EA"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GM2 ганглиозиди</w:t>
            </w:r>
          </w:p>
        </w:tc>
        <w:tc>
          <w:tcPr>
            <w:tcW w:w="1260" w:type="dxa"/>
          </w:tcPr>
          <w:p w14:paraId="5646D1E4"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Хексозаминидаза А и В</w:t>
            </w:r>
          </w:p>
        </w:tc>
        <w:tc>
          <w:tcPr>
            <w:tcW w:w="1260" w:type="dxa"/>
          </w:tcPr>
          <w:p w14:paraId="75EEEA19"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Олигозахариди</w:t>
            </w:r>
          </w:p>
        </w:tc>
        <w:tc>
          <w:tcPr>
            <w:tcW w:w="1976" w:type="dxa"/>
          </w:tcPr>
          <w:p w14:paraId="6997ABDA"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HEXA</w:t>
            </w:r>
            <w:hyperlink r:id="rId40" w:tooltip="Gene" w:history="1">
              <w:r w:rsidRPr="00AE47C6">
                <w:rPr>
                  <w:rFonts w:ascii="Times New Roman" w:eastAsia="SimSun" w:hAnsi="Times New Roman"/>
                  <w:sz w:val="24"/>
                  <w:szCs w:val="24"/>
                  <w:u w:val="single"/>
                </w:rPr>
                <w:t>в</w:t>
              </w:r>
            </w:hyperlink>
            <w:r w:rsidRPr="00AE47C6">
              <w:rPr>
                <w:rFonts w:ascii="Times New Roman" w:eastAsia="SimSun" w:hAnsi="Times New Roman"/>
                <w:sz w:val="24"/>
                <w:szCs w:val="24"/>
              </w:rPr>
              <w:t xml:space="preserve"> 15 хромозома, HEXBв 5 хромозома</w:t>
            </w:r>
          </w:p>
        </w:tc>
      </w:tr>
      <w:tr w:rsidR="00BE0B19" w:rsidRPr="00AE47C6" w14:paraId="73EE31E3" w14:textId="77777777" w:rsidTr="00AD72E5">
        <w:tc>
          <w:tcPr>
            <w:tcW w:w="1368" w:type="dxa"/>
          </w:tcPr>
          <w:p w14:paraId="377DC755"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Болест на Fabry</w:t>
            </w:r>
          </w:p>
        </w:tc>
        <w:tc>
          <w:tcPr>
            <w:tcW w:w="2160" w:type="dxa"/>
          </w:tcPr>
          <w:p w14:paraId="6F54D9EC"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Акропарестезии, бъбречна увреда, кардиомегалия, невропатия, атаксия, ангиокератоми, катаракта, оптична атрофия</w:t>
            </w:r>
          </w:p>
        </w:tc>
        <w:tc>
          <w:tcPr>
            <w:tcW w:w="1440" w:type="dxa"/>
          </w:tcPr>
          <w:p w14:paraId="25392EF8"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b/>
                <w:sz w:val="24"/>
                <w:szCs w:val="24"/>
              </w:rPr>
              <w:t>глоботриазилцерамид (Gb-3</w:t>
            </w:r>
            <w:r w:rsidRPr="00AE47C6">
              <w:rPr>
                <w:rFonts w:ascii="Times New Roman" w:eastAsia="SimSun" w:hAnsi="Times New Roman"/>
                <w:sz w:val="24"/>
                <w:szCs w:val="24"/>
              </w:rPr>
              <w:t xml:space="preserve">) и </w:t>
            </w:r>
            <w:r w:rsidRPr="00AE47C6">
              <w:rPr>
                <w:rFonts w:ascii="Times New Roman" w:eastAsia="SimSun" w:hAnsi="Times New Roman"/>
                <w:b/>
                <w:sz w:val="24"/>
                <w:szCs w:val="24"/>
              </w:rPr>
              <w:t>сфингозин -глоботриазилцерамид (Lyso-Gb-3</w:t>
            </w:r>
            <w:r w:rsidRPr="00AE47C6">
              <w:rPr>
                <w:rFonts w:ascii="Times New Roman" w:eastAsia="SimSun" w:hAnsi="Times New Roman"/>
                <w:sz w:val="24"/>
                <w:szCs w:val="24"/>
              </w:rPr>
              <w:t>)</w:t>
            </w:r>
          </w:p>
        </w:tc>
        <w:tc>
          <w:tcPr>
            <w:tcW w:w="1260" w:type="dxa"/>
          </w:tcPr>
          <w:p w14:paraId="1DCB99DE"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Алфа-галактозидаза</w:t>
            </w:r>
          </w:p>
        </w:tc>
        <w:tc>
          <w:tcPr>
            <w:tcW w:w="1260" w:type="dxa"/>
          </w:tcPr>
          <w:p w14:paraId="26DA8ED9"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Globotriaosylceramide (Gb-3), </w:t>
            </w:r>
          </w:p>
        </w:tc>
        <w:tc>
          <w:tcPr>
            <w:tcW w:w="1976" w:type="dxa"/>
          </w:tcPr>
          <w:p w14:paraId="29A6F353"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
                <w:sz w:val="24"/>
                <w:szCs w:val="24"/>
              </w:rPr>
              <w:t>GLA в Xq21.3-q22</w:t>
            </w:r>
          </w:p>
          <w:p w14:paraId="04D17E7D" w14:textId="77777777" w:rsidR="00BE0B19" w:rsidRPr="00AE47C6" w:rsidRDefault="00BE0B19" w:rsidP="00BE0B19">
            <w:pPr>
              <w:spacing w:after="0" w:line="360" w:lineRule="auto"/>
              <w:rPr>
                <w:rFonts w:ascii="Times New Roman" w:eastAsia="SimSun" w:hAnsi="Times New Roman"/>
                <w:b/>
                <w:bCs/>
                <w:sz w:val="24"/>
                <w:szCs w:val="24"/>
              </w:rPr>
            </w:pPr>
          </w:p>
        </w:tc>
      </w:tr>
      <w:tr w:rsidR="00BE0B19" w:rsidRPr="00AE47C6" w14:paraId="01A611FF" w14:textId="77777777" w:rsidTr="00AD72E5">
        <w:tc>
          <w:tcPr>
            <w:tcW w:w="1368" w:type="dxa"/>
          </w:tcPr>
          <w:p w14:paraId="13FCBF50"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Метахроматична левкодистрофия</w:t>
            </w:r>
          </w:p>
        </w:tc>
        <w:tc>
          <w:tcPr>
            <w:tcW w:w="2160" w:type="dxa"/>
          </w:tcPr>
          <w:p w14:paraId="62441EA0"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Спастична квадрипареза, амблиопия, епилепсия; </w:t>
            </w:r>
            <w:r w:rsidRPr="00AE47C6">
              <w:rPr>
                <w:rFonts w:ascii="Times New Roman" w:eastAsia="SimSun" w:hAnsi="Times New Roman"/>
                <w:b/>
                <w:sz w:val="24"/>
                <w:szCs w:val="24"/>
              </w:rPr>
              <w:t>При юноши и възрастни</w:t>
            </w:r>
            <w:r w:rsidRPr="00AE47C6">
              <w:rPr>
                <w:rFonts w:ascii="Times New Roman" w:eastAsia="SimSun" w:hAnsi="Times New Roman"/>
                <w:sz w:val="24"/>
                <w:szCs w:val="24"/>
              </w:rPr>
              <w:t>-  деменция, психични разстройства</w:t>
            </w:r>
          </w:p>
        </w:tc>
        <w:tc>
          <w:tcPr>
            <w:tcW w:w="1440" w:type="dxa"/>
          </w:tcPr>
          <w:p w14:paraId="6A57D3AA"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Сулфатиди</w:t>
            </w:r>
          </w:p>
        </w:tc>
        <w:tc>
          <w:tcPr>
            <w:tcW w:w="1260" w:type="dxa"/>
          </w:tcPr>
          <w:p w14:paraId="465FFE0B"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Арилсулфатаза А</w:t>
            </w:r>
          </w:p>
        </w:tc>
        <w:tc>
          <w:tcPr>
            <w:tcW w:w="1260" w:type="dxa"/>
          </w:tcPr>
          <w:p w14:paraId="6BA1CB4D"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Сулфатиди</w:t>
            </w:r>
          </w:p>
        </w:tc>
        <w:tc>
          <w:tcPr>
            <w:tcW w:w="1976" w:type="dxa"/>
          </w:tcPr>
          <w:p w14:paraId="39014AF9"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22q13.31</w:t>
            </w:r>
          </w:p>
        </w:tc>
      </w:tr>
      <w:tr w:rsidR="00BE0B19" w:rsidRPr="00AE47C6" w14:paraId="4B22B141" w14:textId="77777777" w:rsidTr="00AD72E5">
        <w:tc>
          <w:tcPr>
            <w:tcW w:w="1368" w:type="dxa"/>
          </w:tcPr>
          <w:p w14:paraId="5B0D0773"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Х-свързана адренолевкодистрофия</w:t>
            </w:r>
          </w:p>
        </w:tc>
        <w:tc>
          <w:tcPr>
            <w:tcW w:w="2160" w:type="dxa"/>
          </w:tcPr>
          <w:p w14:paraId="1DE3C03D"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Квадрипареза, амблиопия, амавроза; При юноши и възрастни- деменция, поведенчески увреди</w:t>
            </w:r>
          </w:p>
        </w:tc>
        <w:tc>
          <w:tcPr>
            <w:tcW w:w="1440" w:type="dxa"/>
          </w:tcPr>
          <w:p w14:paraId="4552B3F5"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Дълговерижни мастни киселини (VLCFA)</w:t>
            </w:r>
          </w:p>
        </w:tc>
        <w:tc>
          <w:tcPr>
            <w:tcW w:w="1260" w:type="dxa"/>
          </w:tcPr>
          <w:p w14:paraId="10CEA901"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bCs/>
                <w:sz w:val="24"/>
                <w:szCs w:val="24"/>
              </w:rPr>
              <w:t xml:space="preserve">Ко-синтетаза на дълговерижни мастни </w:t>
            </w:r>
          </w:p>
        </w:tc>
        <w:tc>
          <w:tcPr>
            <w:tcW w:w="1260" w:type="dxa"/>
          </w:tcPr>
          <w:p w14:paraId="63364D86" w14:textId="77777777" w:rsidR="00BE0B19" w:rsidRPr="00AE47C6" w:rsidRDefault="00BE0B19" w:rsidP="00BE0B19">
            <w:pPr>
              <w:spacing w:after="0" w:line="360" w:lineRule="auto"/>
              <w:rPr>
                <w:rFonts w:ascii="Times New Roman" w:eastAsia="SimSun" w:hAnsi="Times New Roman"/>
                <w:sz w:val="24"/>
                <w:szCs w:val="24"/>
              </w:rPr>
            </w:pPr>
          </w:p>
        </w:tc>
        <w:tc>
          <w:tcPr>
            <w:tcW w:w="1976" w:type="dxa"/>
          </w:tcPr>
          <w:p w14:paraId="3548F66E"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ABCD1, в </w:t>
            </w:r>
            <w:hyperlink r:id="rId41" w:tooltip="X chromosome" w:history="1">
              <w:r w:rsidRPr="00AE47C6">
                <w:rPr>
                  <w:rFonts w:ascii="Times New Roman" w:eastAsia="SimSun" w:hAnsi="Times New Roman"/>
                  <w:sz w:val="24"/>
                  <w:szCs w:val="24"/>
                  <w:u w:val="single"/>
                </w:rPr>
                <w:t>Xq28</w:t>
              </w:r>
            </w:hyperlink>
          </w:p>
        </w:tc>
      </w:tr>
      <w:tr w:rsidR="00BE0B19" w:rsidRPr="00AE47C6" w14:paraId="0348D93F" w14:textId="77777777" w:rsidTr="00AD72E5">
        <w:tc>
          <w:tcPr>
            <w:tcW w:w="1368" w:type="dxa"/>
          </w:tcPr>
          <w:p w14:paraId="0CF6D58C"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Болест на Niemann-Pick тип С</w:t>
            </w:r>
          </w:p>
        </w:tc>
        <w:tc>
          <w:tcPr>
            <w:tcW w:w="2160" w:type="dxa"/>
          </w:tcPr>
          <w:p w14:paraId="746B018C"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bCs/>
                <w:sz w:val="24"/>
                <w:szCs w:val="24"/>
              </w:rPr>
              <w:t>Деца</w:t>
            </w:r>
            <w:r w:rsidRPr="00AE47C6">
              <w:rPr>
                <w:rFonts w:ascii="Times New Roman" w:eastAsia="SimSun" w:hAnsi="Times New Roman"/>
                <w:sz w:val="24"/>
                <w:szCs w:val="24"/>
              </w:rPr>
              <w:t>- говорни и обучителни увреди, двигателен регрес, атаксия/дистония, вертикална погледна парализа; При юноши и  възрастни -  вертикална погледна парализа когнитивни нарушения, деменция, психози</w:t>
            </w:r>
          </w:p>
        </w:tc>
        <w:tc>
          <w:tcPr>
            <w:tcW w:w="1440" w:type="dxa"/>
          </w:tcPr>
          <w:p w14:paraId="48273FB6"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Ганглиозиди, холестерол, сфингомиелин</w:t>
            </w:r>
          </w:p>
        </w:tc>
        <w:tc>
          <w:tcPr>
            <w:tcW w:w="1260" w:type="dxa"/>
          </w:tcPr>
          <w:p w14:paraId="24C3F9AB"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Филипинов тест- натрупване на холестерол в лизозомите</w:t>
            </w:r>
          </w:p>
        </w:tc>
        <w:tc>
          <w:tcPr>
            <w:tcW w:w="1260" w:type="dxa"/>
          </w:tcPr>
          <w:p w14:paraId="0D4DD2B7"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w:t>
            </w:r>
          </w:p>
        </w:tc>
        <w:tc>
          <w:tcPr>
            <w:tcW w:w="1976" w:type="dxa"/>
          </w:tcPr>
          <w:p w14:paraId="7D9975CB"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NP1 в 18q11-q12; NP2 в 14q24.3</w:t>
            </w:r>
          </w:p>
        </w:tc>
      </w:tr>
      <w:tr w:rsidR="00BE0B19" w:rsidRPr="00AE47C6" w14:paraId="11CB1249" w14:textId="77777777" w:rsidTr="00AD72E5">
        <w:tc>
          <w:tcPr>
            <w:tcW w:w="1368" w:type="dxa"/>
          </w:tcPr>
          <w:p w14:paraId="1CC2F9F7"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 xml:space="preserve">Цероидлипофусцинози типове 1-14 </w:t>
            </w:r>
            <w:r w:rsidRPr="00AE47C6">
              <w:rPr>
                <w:rFonts w:ascii="Times New Roman" w:eastAsia="SimSun" w:hAnsi="Times New Roman"/>
                <w:sz w:val="24"/>
                <w:szCs w:val="24"/>
              </w:rPr>
              <w:t>(ранна и късна инфантилна, ювенилна и късна форми)</w:t>
            </w:r>
          </w:p>
        </w:tc>
        <w:tc>
          <w:tcPr>
            <w:tcW w:w="2160" w:type="dxa"/>
          </w:tcPr>
          <w:p w14:paraId="7EFC356C"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Деца (CLN типове 1-3, 5-10) - квадрипареза, церебеларна атаксия, амблиопия, миоклонична епилепсия, интелектуален регрес; При юноши и възрастни (Болест на Kufs,  CLN тип 4)- атаксия, деменция</w:t>
            </w:r>
          </w:p>
        </w:tc>
        <w:tc>
          <w:tcPr>
            <w:tcW w:w="1440" w:type="dxa"/>
          </w:tcPr>
          <w:p w14:paraId="2C9A6606"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Автофлуоресцентни натрупвания на цероид и липофусцин</w:t>
            </w:r>
          </w:p>
        </w:tc>
        <w:tc>
          <w:tcPr>
            <w:tcW w:w="1260" w:type="dxa"/>
          </w:tcPr>
          <w:p w14:paraId="3A48BC56"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Ензимен дефицит на PPT-1 за CLN1, TPP-1 за CLN2; генетични изследвания </w:t>
            </w:r>
          </w:p>
        </w:tc>
        <w:tc>
          <w:tcPr>
            <w:tcW w:w="1260" w:type="dxa"/>
          </w:tcPr>
          <w:p w14:paraId="136E0603" w14:textId="77777777" w:rsidR="00BE0B19" w:rsidRPr="00AE47C6" w:rsidRDefault="00BE0B19" w:rsidP="00BE0B19">
            <w:pPr>
              <w:spacing w:after="0" w:line="360" w:lineRule="auto"/>
              <w:rPr>
                <w:rFonts w:ascii="Times New Roman" w:eastAsia="SimSun" w:hAnsi="Times New Roman"/>
                <w:sz w:val="24"/>
                <w:szCs w:val="24"/>
              </w:rPr>
            </w:pPr>
          </w:p>
        </w:tc>
        <w:tc>
          <w:tcPr>
            <w:tcW w:w="1976" w:type="dxa"/>
          </w:tcPr>
          <w:p w14:paraId="7EE96199" w14:textId="77777777" w:rsidR="00BE0B19" w:rsidRPr="00AE47C6" w:rsidRDefault="00BE0B19" w:rsidP="00BE0B19">
            <w:pPr>
              <w:spacing w:after="0" w:line="360" w:lineRule="auto"/>
              <w:rPr>
                <w:rFonts w:ascii="Times New Roman" w:eastAsia="SimSun" w:hAnsi="Times New Roman"/>
                <w:i/>
                <w:sz w:val="24"/>
                <w:szCs w:val="24"/>
              </w:rPr>
            </w:pPr>
            <w:r w:rsidRPr="00AE47C6">
              <w:rPr>
                <w:rFonts w:ascii="Times New Roman" w:eastAsia="SimSun" w:hAnsi="Times New Roman"/>
                <w:i/>
                <w:sz w:val="24"/>
                <w:szCs w:val="24"/>
              </w:rPr>
              <w:t>PPT-1 за CLN1, TPP-1 за CLN2, CLN3 за, CLN6 и DNAJC5CLN4,, CLN5, CLN6 за CLN6, MFSD8 за CLN7, CLN8, CTSD за CLN510</w:t>
            </w:r>
          </w:p>
          <w:p w14:paraId="5A5239D8" w14:textId="77777777" w:rsidR="00BE0B19" w:rsidRPr="00AE47C6" w:rsidRDefault="00BE0B19" w:rsidP="00BE0B19">
            <w:pPr>
              <w:spacing w:after="0" w:line="360" w:lineRule="auto"/>
              <w:rPr>
                <w:rFonts w:ascii="Times New Roman" w:eastAsia="SimSun" w:hAnsi="Times New Roman"/>
                <w:i/>
                <w:iCs/>
                <w:sz w:val="24"/>
                <w:szCs w:val="24"/>
              </w:rPr>
            </w:pPr>
            <w:r w:rsidRPr="00AE47C6">
              <w:rPr>
                <w:rFonts w:ascii="Times New Roman" w:eastAsia="SimSun" w:hAnsi="Times New Roman"/>
                <w:i/>
                <w:iCs/>
                <w:sz w:val="24"/>
                <w:szCs w:val="24"/>
              </w:rPr>
              <w:t>CLN11/GRN</w:t>
            </w:r>
          </w:p>
          <w:p w14:paraId="1F81F8B3" w14:textId="77777777" w:rsidR="00BE0B19" w:rsidRPr="00AE47C6" w:rsidRDefault="00BE0B19" w:rsidP="00BE0B19">
            <w:pPr>
              <w:spacing w:after="0" w:line="360" w:lineRule="auto"/>
              <w:rPr>
                <w:rFonts w:ascii="Times New Roman" w:eastAsia="SimSun" w:hAnsi="Times New Roman"/>
                <w:i/>
                <w:iCs/>
                <w:sz w:val="24"/>
                <w:szCs w:val="24"/>
              </w:rPr>
            </w:pPr>
            <w:r w:rsidRPr="00AE47C6">
              <w:rPr>
                <w:rFonts w:ascii="Times New Roman" w:eastAsia="SimSun" w:hAnsi="Times New Roman"/>
                <w:i/>
                <w:iCs/>
                <w:sz w:val="24"/>
                <w:szCs w:val="24"/>
              </w:rPr>
              <w:t>CLN12/ATP13A2, CLN13/CTSF</w:t>
            </w:r>
          </w:p>
          <w:p w14:paraId="582EADB6"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iCs/>
                <w:sz w:val="24"/>
                <w:szCs w:val="24"/>
              </w:rPr>
              <w:t xml:space="preserve">CLN14/KCTD7, </w:t>
            </w:r>
            <w:hyperlink r:id="rId42" w:history="1">
              <w:r w:rsidRPr="00AE47C6">
                <w:rPr>
                  <w:rFonts w:ascii="Times New Roman" w:eastAsia="SimSun" w:hAnsi="Times New Roman"/>
                  <w:i/>
                  <w:sz w:val="24"/>
                  <w:szCs w:val="24"/>
                  <w:u w:val="single"/>
                </w:rPr>
                <w:t>SGSH</w:t>
              </w:r>
            </w:hyperlink>
            <w:r w:rsidRPr="00AE47C6">
              <w:rPr>
                <w:rFonts w:ascii="Times New Roman" w:eastAsia="SimSun" w:hAnsi="Times New Roman"/>
                <w:bCs/>
                <w:sz w:val="24"/>
                <w:szCs w:val="24"/>
              </w:rPr>
              <w:t> </w:t>
            </w:r>
          </w:p>
        </w:tc>
      </w:tr>
      <w:tr w:rsidR="00BE0B19" w:rsidRPr="00AE47C6" w14:paraId="449C8483" w14:textId="77777777" w:rsidTr="00AD72E5">
        <w:tc>
          <w:tcPr>
            <w:tcW w:w="1368" w:type="dxa"/>
          </w:tcPr>
          <w:p w14:paraId="368934F7"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Церебротендинозна  ксантоматоза</w:t>
            </w:r>
          </w:p>
        </w:tc>
        <w:tc>
          <w:tcPr>
            <w:tcW w:w="2160" w:type="dxa"/>
          </w:tcPr>
          <w:p w14:paraId="48C1B548"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Прогресивна малкомозъчна атаксия, ювенилна катаракта, хронична диария  </w:t>
            </w:r>
          </w:p>
        </w:tc>
        <w:tc>
          <w:tcPr>
            <w:tcW w:w="1440" w:type="dxa"/>
          </w:tcPr>
          <w:p w14:paraId="4A5464EC"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Холестерол</w:t>
            </w:r>
          </w:p>
        </w:tc>
        <w:tc>
          <w:tcPr>
            <w:tcW w:w="1260" w:type="dxa"/>
          </w:tcPr>
          <w:p w14:paraId="22B07C71" w14:textId="77777777" w:rsidR="00BE0B19" w:rsidRPr="00AE47C6" w:rsidRDefault="00BE0B19" w:rsidP="00BE0B19">
            <w:pPr>
              <w:spacing w:after="0" w:line="360" w:lineRule="auto"/>
              <w:rPr>
                <w:rFonts w:ascii="Times New Roman" w:eastAsia="SimSun" w:hAnsi="Times New Roman"/>
                <w:sz w:val="24"/>
                <w:szCs w:val="24"/>
              </w:rPr>
            </w:pPr>
          </w:p>
        </w:tc>
        <w:tc>
          <w:tcPr>
            <w:tcW w:w="1260" w:type="dxa"/>
          </w:tcPr>
          <w:p w14:paraId="67A2B232" w14:textId="77777777" w:rsidR="00BE0B19" w:rsidRPr="00AE47C6" w:rsidRDefault="00BE0B19" w:rsidP="00BE0B19">
            <w:pPr>
              <w:spacing w:after="0" w:line="360" w:lineRule="auto"/>
              <w:rPr>
                <w:rFonts w:ascii="Times New Roman" w:eastAsia="SimSun" w:hAnsi="Times New Roman"/>
                <w:sz w:val="24"/>
                <w:szCs w:val="24"/>
              </w:rPr>
            </w:pPr>
          </w:p>
        </w:tc>
        <w:tc>
          <w:tcPr>
            <w:tcW w:w="1976" w:type="dxa"/>
          </w:tcPr>
          <w:p w14:paraId="679B1C60" w14:textId="77777777" w:rsidR="00BE0B19" w:rsidRPr="00AE47C6" w:rsidRDefault="00C74E8C" w:rsidP="00BE0B19">
            <w:pPr>
              <w:spacing w:after="0" w:line="360" w:lineRule="auto"/>
              <w:rPr>
                <w:rFonts w:ascii="Times New Roman" w:eastAsia="SimSun" w:hAnsi="Times New Roman"/>
                <w:sz w:val="24"/>
                <w:szCs w:val="24"/>
              </w:rPr>
            </w:pPr>
            <w:hyperlink r:id="rId43" w:tooltip="CYP27A1" w:history="1">
              <w:r w:rsidR="00BE0B19" w:rsidRPr="00AE47C6">
                <w:rPr>
                  <w:rFonts w:ascii="Times New Roman" w:eastAsia="SimSun" w:hAnsi="Times New Roman"/>
                  <w:i/>
                  <w:sz w:val="24"/>
                  <w:szCs w:val="24"/>
                  <w:u w:val="single"/>
                </w:rPr>
                <w:t>CYP27A1</w:t>
              </w:r>
            </w:hyperlink>
            <w:r w:rsidR="00BE0B19" w:rsidRPr="00AE47C6">
              <w:rPr>
                <w:rFonts w:ascii="Times New Roman" w:eastAsia="SimSun" w:hAnsi="Times New Roman"/>
                <w:sz w:val="24"/>
                <w:szCs w:val="24"/>
              </w:rPr>
              <w:t xml:space="preserve"> в </w:t>
            </w:r>
            <w:hyperlink r:id="rId44" w:tooltip="Chromosome 2 (human)" w:history="1">
              <w:r w:rsidR="00BE0B19" w:rsidRPr="00AE47C6">
                <w:rPr>
                  <w:rFonts w:ascii="Times New Roman" w:eastAsia="SimSun" w:hAnsi="Times New Roman"/>
                  <w:sz w:val="24"/>
                  <w:szCs w:val="24"/>
                  <w:u w:val="single"/>
                </w:rPr>
                <w:t>2q33-qter</w:t>
              </w:r>
            </w:hyperlink>
          </w:p>
        </w:tc>
      </w:tr>
    </w:tbl>
    <w:p w14:paraId="4394762C" w14:textId="77777777" w:rsidR="00BE0B19" w:rsidRPr="00AE47C6" w:rsidRDefault="00BE0B19" w:rsidP="00BE0B19">
      <w:pPr>
        <w:spacing w:after="0" w:line="360" w:lineRule="auto"/>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Лечение:</w:t>
      </w:r>
    </w:p>
    <w:p w14:paraId="318654FF" w14:textId="77777777" w:rsidR="00BE0B19" w:rsidRPr="00AE47C6" w:rsidRDefault="00BE0B19" w:rsidP="00BE0B19">
      <w:pPr>
        <w:numPr>
          <w:ilvl w:val="0"/>
          <w:numId w:val="367"/>
        </w:numPr>
        <w:spacing w:after="0" w:line="360" w:lineRule="auto"/>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Патогенетичната терапия</w:t>
      </w:r>
      <w:r w:rsidRPr="00AE47C6">
        <w:rPr>
          <w:rFonts w:ascii="Times New Roman" w:eastAsia="SimSun" w:hAnsi="Times New Roman"/>
          <w:sz w:val="24"/>
          <w:szCs w:val="24"/>
          <w:lang w:eastAsia="bg-BG"/>
        </w:rPr>
        <w:t xml:space="preserve">, специфична за болестта, е субстрат-редуцираща и цели  инхибиране на синтеза на гликосфинголипидите. </w:t>
      </w:r>
      <w:r w:rsidRPr="00AE47C6">
        <w:rPr>
          <w:rFonts w:ascii="Times New Roman" w:eastAsia="SimSun" w:hAnsi="Times New Roman"/>
          <w:i/>
          <w:iCs/>
          <w:sz w:val="24"/>
          <w:szCs w:val="24"/>
          <w:lang w:eastAsia="bg-BG"/>
        </w:rPr>
        <w:t>Мiglustat (табл.100 мг),</w:t>
      </w:r>
      <w:r w:rsidRPr="00AE47C6">
        <w:rPr>
          <w:rFonts w:ascii="Times New Roman" w:eastAsia="SimSun" w:hAnsi="Times New Roman"/>
          <w:sz w:val="24"/>
          <w:szCs w:val="24"/>
          <w:lang w:eastAsia="bg-BG"/>
        </w:rPr>
        <w:t xml:space="preserve"> инхибитор на глюкоцерамид-синтетазата е доказал подобряване на състоянието поради стабилизиране на неврологичните синдроми в плацебо-контролирани изследвания у възрастни и деца и многоцентрови обсервационни изследвания. Дозирането е съобразено с телесното тегло (телесна повърхност в m</w:t>
      </w:r>
      <w:r w:rsidRPr="00AE47C6">
        <w:rPr>
          <w:rFonts w:ascii="Times New Roman" w:eastAsia="SimSun" w:hAnsi="Times New Roman"/>
          <w:sz w:val="24"/>
          <w:szCs w:val="24"/>
          <w:vertAlign w:val="superscript"/>
          <w:lang w:eastAsia="bg-BG"/>
        </w:rPr>
        <w:t>3</w:t>
      </w:r>
      <w:r w:rsidRPr="00AE47C6">
        <w:rPr>
          <w:rFonts w:ascii="Times New Roman" w:eastAsia="SimSun" w:hAnsi="Times New Roman"/>
          <w:sz w:val="24"/>
          <w:szCs w:val="24"/>
          <w:lang w:eastAsia="bg-BG"/>
        </w:rPr>
        <w:t xml:space="preserve">) и възможните странични гастроинтестинални реакции: </w:t>
      </w:r>
      <w:r w:rsidRPr="00AE47C6">
        <w:rPr>
          <w:rFonts w:ascii="Times New Roman" w:eastAsia="SimSun" w:hAnsi="Times New Roman"/>
          <w:bCs/>
          <w:sz w:val="24"/>
          <w:szCs w:val="24"/>
          <w:lang w:eastAsia="bg-BG"/>
        </w:rPr>
        <w:t>При пациенти под 12-годишна възраст - доза въз основа на телесната повърхност:&gt; 1,25 m2- 3х200 mg; &gt; 0,88 – 1,25 m2- 2х200 mg;&gt;0,73 – 0,88 m2- 3х100 mg ;&gt; 0,47 – 0,73 m2-2х100 mg;≤ 0,47 m2- 100 mg;</w:t>
      </w:r>
      <w:r w:rsidRPr="00AE47C6">
        <w:rPr>
          <w:rFonts w:ascii="Times New Roman" w:eastAsia="SimSun" w:hAnsi="Times New Roman"/>
          <w:sz w:val="24"/>
          <w:szCs w:val="24"/>
          <w:lang w:eastAsia="bg-BG"/>
        </w:rPr>
        <w:t xml:space="preserve"> </w:t>
      </w:r>
      <w:r w:rsidRPr="00AE47C6">
        <w:rPr>
          <w:rFonts w:ascii="Times New Roman" w:eastAsia="SimSun" w:hAnsi="Times New Roman"/>
          <w:bCs/>
          <w:sz w:val="24"/>
          <w:szCs w:val="24"/>
          <w:lang w:eastAsia="bg-BG"/>
        </w:rPr>
        <w:t>При юноши над 12 г. и възрастни препоръчана доза за лечението на 200 mg трикратно/дневно</w:t>
      </w:r>
      <w:r w:rsidRPr="00AE47C6">
        <w:rPr>
          <w:rFonts w:ascii="Times New Roman" w:eastAsia="SimSun" w:hAnsi="Times New Roman"/>
          <w:sz w:val="24"/>
          <w:szCs w:val="24"/>
          <w:lang w:eastAsia="bg-BG"/>
        </w:rPr>
        <w:t xml:space="preserve">. За оценка на ефикасността на </w:t>
      </w:r>
      <w:r w:rsidRPr="00AE47C6">
        <w:rPr>
          <w:rFonts w:ascii="Times New Roman" w:eastAsia="SimSun" w:hAnsi="Times New Roman"/>
          <w:i/>
          <w:iCs/>
          <w:sz w:val="24"/>
          <w:szCs w:val="24"/>
          <w:lang w:eastAsia="bg-BG"/>
        </w:rPr>
        <w:t>Мiglustat</w:t>
      </w:r>
      <w:r w:rsidRPr="00AE47C6">
        <w:rPr>
          <w:rFonts w:ascii="Times New Roman" w:eastAsia="SimSun" w:hAnsi="Times New Roman"/>
          <w:sz w:val="24"/>
          <w:szCs w:val="24"/>
          <w:lang w:eastAsia="bg-BG"/>
        </w:rPr>
        <w:t xml:space="preserve"> е необходимо лечение от 6 месеца до 1 г. </w:t>
      </w:r>
    </w:p>
    <w:p w14:paraId="09777A68" w14:textId="77777777" w:rsidR="00BE0B19" w:rsidRPr="00AE47C6" w:rsidRDefault="00BE0B19" w:rsidP="00BE0B19">
      <w:pPr>
        <w:numPr>
          <w:ilvl w:val="0"/>
          <w:numId w:val="368"/>
        </w:numPr>
        <w:spacing w:after="0" w:line="360" w:lineRule="auto"/>
        <w:jc w:val="both"/>
        <w:rPr>
          <w:rFonts w:ascii="Times New Roman" w:eastAsia="SimSun" w:hAnsi="Times New Roman"/>
          <w:b/>
          <w:sz w:val="24"/>
          <w:szCs w:val="24"/>
          <w:lang w:eastAsia="bg-BG"/>
        </w:rPr>
      </w:pPr>
      <w:r w:rsidRPr="00AE47C6">
        <w:rPr>
          <w:rFonts w:ascii="Times New Roman" w:eastAsia="SimSun" w:hAnsi="Times New Roman"/>
          <w:b/>
          <w:sz w:val="24"/>
          <w:szCs w:val="24"/>
          <w:lang w:eastAsia="bg-BG"/>
        </w:rPr>
        <w:t xml:space="preserve">Симптоматично лечение при </w:t>
      </w:r>
      <w:r w:rsidRPr="00AE47C6">
        <w:rPr>
          <w:rFonts w:ascii="Times New Roman" w:eastAsia="SimSun" w:hAnsi="Times New Roman"/>
          <w:b/>
          <w:bCs/>
          <w:sz w:val="24"/>
          <w:szCs w:val="24"/>
          <w:lang w:eastAsia="bg-BG"/>
        </w:rPr>
        <w:t>неврологичните прояви:</w:t>
      </w:r>
    </w:p>
    <w:p w14:paraId="479F8AFF" w14:textId="77777777" w:rsidR="00BE0B19" w:rsidRPr="00AE47C6" w:rsidRDefault="00BE0B19" w:rsidP="00BE0B19">
      <w:pPr>
        <w:numPr>
          <w:ilvl w:val="1"/>
          <w:numId w:val="368"/>
        </w:numPr>
        <w:spacing w:after="0" w:line="360" w:lineRule="auto"/>
        <w:jc w:val="both"/>
        <w:rPr>
          <w:rFonts w:ascii="Times New Roman" w:eastAsia="SimSun" w:hAnsi="Times New Roman"/>
          <w:b/>
          <w:sz w:val="24"/>
          <w:szCs w:val="24"/>
          <w:lang w:eastAsia="bg-BG"/>
        </w:rPr>
      </w:pPr>
      <w:r w:rsidRPr="00AE47C6">
        <w:rPr>
          <w:rFonts w:ascii="Times New Roman" w:eastAsia="SimSun" w:hAnsi="Times New Roman"/>
          <w:bCs/>
          <w:i/>
          <w:sz w:val="24"/>
          <w:szCs w:val="24"/>
          <w:lang w:eastAsia="bg-BG"/>
        </w:rPr>
        <w:t>Трициклични антидепресанти или ЦНС стимуланти</w:t>
      </w:r>
      <w:r w:rsidRPr="00AE47C6">
        <w:rPr>
          <w:rFonts w:ascii="Times New Roman" w:eastAsia="SimSun" w:hAnsi="Times New Roman"/>
          <w:b/>
          <w:bCs/>
          <w:sz w:val="24"/>
          <w:szCs w:val="24"/>
          <w:lang w:eastAsia="bg-BG"/>
        </w:rPr>
        <w:t xml:space="preserve"> </w:t>
      </w:r>
      <w:r w:rsidRPr="00AE47C6">
        <w:rPr>
          <w:rFonts w:ascii="Times New Roman" w:eastAsia="SimSun" w:hAnsi="Times New Roman"/>
          <w:bCs/>
          <w:sz w:val="24"/>
          <w:szCs w:val="24"/>
          <w:lang w:eastAsia="bg-BG"/>
        </w:rPr>
        <w:t>за контрол на катаплексията</w:t>
      </w:r>
    </w:p>
    <w:p w14:paraId="4EA440B6" w14:textId="77777777" w:rsidR="00BE0B19" w:rsidRPr="00AE47C6" w:rsidRDefault="00BE0B19" w:rsidP="00BE0B19">
      <w:pPr>
        <w:numPr>
          <w:ilvl w:val="1"/>
          <w:numId w:val="368"/>
        </w:numPr>
        <w:spacing w:after="0" w:line="360" w:lineRule="auto"/>
        <w:jc w:val="both"/>
        <w:rPr>
          <w:rFonts w:ascii="Times New Roman" w:eastAsia="SimSun" w:hAnsi="Times New Roman"/>
          <w:b/>
          <w:sz w:val="24"/>
          <w:szCs w:val="24"/>
          <w:lang w:eastAsia="bg-BG"/>
        </w:rPr>
      </w:pPr>
      <w:r w:rsidRPr="00AE47C6">
        <w:rPr>
          <w:rFonts w:ascii="Times New Roman" w:eastAsia="SimSun" w:hAnsi="Times New Roman"/>
          <w:bCs/>
          <w:i/>
          <w:sz w:val="24"/>
          <w:szCs w:val="24"/>
          <w:lang w:eastAsia="bg-BG"/>
        </w:rPr>
        <w:t xml:space="preserve">Антиконвулсанти </w:t>
      </w:r>
      <w:r w:rsidRPr="00AE47C6">
        <w:rPr>
          <w:rFonts w:ascii="Times New Roman" w:eastAsia="SimSun" w:hAnsi="Times New Roman"/>
          <w:bCs/>
          <w:sz w:val="24"/>
          <w:szCs w:val="24"/>
          <w:lang w:eastAsia="bg-BG"/>
        </w:rPr>
        <w:t>(Valproate, Lamotrigine и Levetiracetam). Carbamazepine, Oxcarbazepine, Vigabatrin се избягват, поради риска от индуциране на миоклонии, Phenytoin не се прилага, поради риск от влошаване на церебеларната симптоматика</w:t>
      </w:r>
    </w:p>
    <w:p w14:paraId="0E536B6C" w14:textId="77777777" w:rsidR="00BE0B19" w:rsidRPr="00AE47C6" w:rsidRDefault="00BE0B19" w:rsidP="00BE0B19">
      <w:pPr>
        <w:numPr>
          <w:ilvl w:val="1"/>
          <w:numId w:val="368"/>
        </w:numPr>
        <w:spacing w:after="0" w:line="360" w:lineRule="auto"/>
        <w:jc w:val="both"/>
        <w:rPr>
          <w:rFonts w:ascii="Times New Roman" w:eastAsia="SimSun" w:hAnsi="Times New Roman"/>
          <w:b/>
          <w:sz w:val="24"/>
          <w:szCs w:val="24"/>
          <w:lang w:eastAsia="bg-BG"/>
        </w:rPr>
      </w:pPr>
      <w:r w:rsidRPr="00AE47C6">
        <w:rPr>
          <w:rFonts w:ascii="Times New Roman" w:eastAsia="SimSun" w:hAnsi="Times New Roman"/>
          <w:bCs/>
          <w:sz w:val="24"/>
          <w:szCs w:val="24"/>
          <w:lang w:eastAsia="bg-BG"/>
        </w:rPr>
        <w:t>При дистония и тремор</w:t>
      </w:r>
      <w:r w:rsidRPr="00AE47C6">
        <w:rPr>
          <w:rFonts w:ascii="Times New Roman" w:eastAsia="SimSun" w:hAnsi="Times New Roman"/>
          <w:b/>
          <w:bCs/>
          <w:sz w:val="24"/>
          <w:szCs w:val="24"/>
          <w:lang w:eastAsia="bg-BG"/>
        </w:rPr>
        <w:t xml:space="preserve"> - </w:t>
      </w:r>
      <w:r w:rsidRPr="00AE47C6">
        <w:rPr>
          <w:rFonts w:ascii="Times New Roman" w:eastAsia="SimSun" w:hAnsi="Times New Roman"/>
          <w:bCs/>
          <w:i/>
          <w:sz w:val="24"/>
          <w:szCs w:val="24"/>
          <w:lang w:eastAsia="bg-BG"/>
        </w:rPr>
        <w:t>антихолинергични медикаменти, ботулинов токсин</w:t>
      </w:r>
    </w:p>
    <w:p w14:paraId="314CD7E4" w14:textId="77777777" w:rsidR="00BE0B19" w:rsidRPr="00AE47C6" w:rsidRDefault="00BE0B19" w:rsidP="00BE0B19">
      <w:pPr>
        <w:numPr>
          <w:ilvl w:val="1"/>
          <w:numId w:val="368"/>
        </w:numPr>
        <w:spacing w:after="0" w:line="360" w:lineRule="auto"/>
        <w:jc w:val="both"/>
        <w:rPr>
          <w:rFonts w:ascii="Times New Roman" w:eastAsia="SimSun" w:hAnsi="Times New Roman"/>
          <w:b/>
          <w:sz w:val="24"/>
          <w:szCs w:val="24"/>
          <w:lang w:eastAsia="bg-BG"/>
        </w:rPr>
      </w:pPr>
      <w:r w:rsidRPr="00AE47C6">
        <w:rPr>
          <w:rFonts w:ascii="Times New Roman" w:eastAsia="SimSun" w:hAnsi="Times New Roman"/>
          <w:bCs/>
          <w:sz w:val="24"/>
          <w:szCs w:val="24"/>
          <w:lang w:eastAsia="bg-BG"/>
        </w:rPr>
        <w:t>При инсомния</w:t>
      </w:r>
      <w:r w:rsidRPr="00AE47C6">
        <w:rPr>
          <w:rFonts w:ascii="Times New Roman" w:eastAsia="SimSun" w:hAnsi="Times New Roman"/>
          <w:b/>
          <w:bCs/>
          <w:sz w:val="24"/>
          <w:szCs w:val="24"/>
          <w:lang w:eastAsia="bg-BG"/>
        </w:rPr>
        <w:t xml:space="preserve"> - </w:t>
      </w:r>
      <w:r w:rsidRPr="00AE47C6">
        <w:rPr>
          <w:rFonts w:ascii="Times New Roman" w:eastAsia="SimSun" w:hAnsi="Times New Roman"/>
          <w:bCs/>
          <w:i/>
          <w:sz w:val="24"/>
          <w:szCs w:val="24"/>
          <w:lang w:eastAsia="bg-BG"/>
        </w:rPr>
        <w:t>Мелатонин</w:t>
      </w:r>
      <w:r w:rsidRPr="00AE47C6">
        <w:rPr>
          <w:rFonts w:ascii="Times New Roman" w:eastAsia="SimSun" w:hAnsi="Times New Roman"/>
          <w:b/>
          <w:bCs/>
          <w:sz w:val="24"/>
          <w:szCs w:val="24"/>
          <w:lang w:eastAsia="bg-BG"/>
        </w:rPr>
        <w:t xml:space="preserve"> </w:t>
      </w:r>
    </w:p>
    <w:p w14:paraId="6C030E82"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33" w:name="_Toc155651765"/>
      <w:bookmarkStart w:id="134" w:name="_Toc164075897"/>
      <w:r w:rsidRPr="00AE47C6">
        <w:rPr>
          <w:rFonts w:ascii="Times New Roman" w:eastAsia="SimSun" w:hAnsi="Times New Roman"/>
          <w:b/>
          <w:sz w:val="24"/>
          <w:szCs w:val="20"/>
          <w:lang w:eastAsia="ja-JP"/>
        </w:rPr>
        <w:t>5.1.4. Невронални цероидлипофусцинози</w:t>
      </w:r>
      <w:bookmarkEnd w:id="133"/>
      <w:bookmarkEnd w:id="134"/>
    </w:p>
    <w:p w14:paraId="4C50726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lang w:eastAsia="bg-BG"/>
        </w:rPr>
        <w:t>Невроналните цероидлипофусцинози са прогресиращи невродегенеративни заболявания с хистологична доказано натрупване на структури, съдържащи липидни пигменти в мозъчните неврони. Предават се АР с изключение на CLN4, която е с АД предаване.</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Невроналните цероидлипофусцинози са най-честите болести на натрупването със заболяемост от 0,56 / 100000 до 5 / 100000, като най-честа е инфантилната форма. </w:t>
      </w:r>
    </w:p>
    <w:p w14:paraId="4541F04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Описани са 15 генетично различни заболявания, които са групирани исторически според възрастта при началото на </w:t>
      </w:r>
      <w:r w:rsidRPr="00AE47C6">
        <w:rPr>
          <w:rFonts w:ascii="Times New Roman" w:eastAsia="SimSun" w:hAnsi="Times New Roman"/>
          <w:i/>
          <w:sz w:val="24"/>
          <w:szCs w:val="24"/>
        </w:rPr>
        <w:t>Ранна инфантилна</w:t>
      </w:r>
      <w:r w:rsidRPr="00AE47C6">
        <w:rPr>
          <w:rFonts w:ascii="Times New Roman" w:eastAsia="SimSun" w:hAnsi="Times New Roman"/>
          <w:bCs/>
          <w:i/>
          <w:kern w:val="24"/>
          <w:sz w:val="24"/>
          <w:szCs w:val="24"/>
        </w:rPr>
        <w:t xml:space="preserve"> форма</w:t>
      </w:r>
      <w:r w:rsidRPr="00AE47C6">
        <w:rPr>
          <w:rFonts w:ascii="Times New Roman" w:eastAsia="SimSun" w:hAnsi="Times New Roman"/>
          <w:bCs/>
          <w:kern w:val="24"/>
          <w:sz w:val="24"/>
          <w:szCs w:val="24"/>
        </w:rPr>
        <w:t xml:space="preserve"> на Santavuori с дефицит на </w:t>
      </w:r>
      <w:r w:rsidRPr="00AE47C6">
        <w:rPr>
          <w:rFonts w:ascii="Times New Roman" w:eastAsia="SimSun" w:hAnsi="Times New Roman"/>
          <w:sz w:val="24"/>
          <w:szCs w:val="24"/>
          <w:lang w:eastAsia="bg-BG"/>
        </w:rPr>
        <w:t>Palmitoyl protein thioesterase 1 (PPT1)</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Късна инфантилна форма</w:t>
      </w:r>
      <w:r w:rsidRPr="00AE47C6">
        <w:rPr>
          <w:rFonts w:ascii="Times New Roman" w:eastAsia="SimSun" w:hAnsi="Times New Roman"/>
          <w:sz w:val="24"/>
          <w:szCs w:val="24"/>
        </w:rPr>
        <w:t xml:space="preserve"> (</w:t>
      </w:r>
      <w:r w:rsidRPr="00AE47C6">
        <w:rPr>
          <w:rFonts w:ascii="Times New Roman" w:eastAsia="SimSun" w:hAnsi="Times New Roman"/>
          <w:bCs/>
          <w:kern w:val="24"/>
          <w:sz w:val="24"/>
          <w:szCs w:val="24"/>
        </w:rPr>
        <w:t xml:space="preserve">болест на Jansky-Bielschowsky с дефицит на </w:t>
      </w:r>
      <w:r w:rsidRPr="00AE47C6">
        <w:rPr>
          <w:rFonts w:ascii="Times New Roman" w:eastAsia="SimSun" w:hAnsi="Times New Roman"/>
          <w:sz w:val="24"/>
          <w:szCs w:val="24"/>
          <w:lang w:eastAsia="bg-BG"/>
        </w:rPr>
        <w:t>Tripeptidyl peptidase 1, TPP1)</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юношеска форма</w:t>
      </w:r>
      <w:r w:rsidRPr="00AE47C6">
        <w:rPr>
          <w:rFonts w:ascii="Times New Roman" w:eastAsia="SimSun" w:hAnsi="Times New Roman"/>
          <w:sz w:val="24"/>
          <w:szCs w:val="24"/>
        </w:rPr>
        <w:t xml:space="preserve"> (</w:t>
      </w:r>
      <w:r w:rsidRPr="00AE47C6">
        <w:rPr>
          <w:rFonts w:ascii="Times New Roman" w:eastAsia="SimSun" w:hAnsi="Times New Roman"/>
          <w:bCs/>
          <w:kern w:val="24"/>
          <w:sz w:val="24"/>
          <w:szCs w:val="24"/>
        </w:rPr>
        <w:t>болест на Batten или болест на Spielmeyer-Vogt- Sjögren</w:t>
      </w:r>
      <w:r w:rsidRPr="00AE47C6">
        <w:rPr>
          <w:rFonts w:ascii="Times New Roman" w:eastAsia="SimSun" w:hAnsi="Times New Roman"/>
          <w:sz w:val="24"/>
          <w:szCs w:val="24"/>
        </w:rPr>
        <w:t xml:space="preserve">) и </w:t>
      </w:r>
      <w:r w:rsidRPr="00AE47C6">
        <w:rPr>
          <w:rFonts w:ascii="Times New Roman" w:eastAsia="SimSun" w:hAnsi="Times New Roman"/>
          <w:i/>
          <w:sz w:val="24"/>
          <w:szCs w:val="24"/>
        </w:rPr>
        <w:t>при възрастни</w:t>
      </w:r>
      <w:r w:rsidRPr="00AE47C6">
        <w:rPr>
          <w:rFonts w:ascii="Times New Roman" w:eastAsia="SimSun" w:hAnsi="Times New Roman"/>
          <w:sz w:val="24"/>
          <w:szCs w:val="24"/>
        </w:rPr>
        <w:t>. Впоследствие при идентифицирането на 15 генетични типа е установено, че всеки от тях може да обуслови различно възрастово начало (</w:t>
      </w:r>
      <w:r w:rsidRPr="00AE47C6">
        <w:rPr>
          <w:rFonts w:ascii="Times New Roman" w:eastAsia="SimSun" w:hAnsi="Times New Roman"/>
          <w:b/>
          <w:sz w:val="24"/>
          <w:szCs w:val="24"/>
        </w:rPr>
        <w:t>Таблица 5.10</w:t>
      </w:r>
      <w:r w:rsidRPr="00AE47C6">
        <w:rPr>
          <w:rFonts w:ascii="Times New Roman" w:eastAsia="SimSun" w:hAnsi="Times New Roman"/>
          <w:sz w:val="24"/>
          <w:szCs w:val="24"/>
        </w:rPr>
        <w:t xml:space="preserve"> ). </w:t>
      </w:r>
    </w:p>
    <w:p w14:paraId="0DAA9361" w14:textId="77777777" w:rsidR="00BE0B19" w:rsidRPr="00AE47C6" w:rsidRDefault="00C74E8C" w:rsidP="00BE0B19">
      <w:pPr>
        <w:widowControl w:val="0"/>
        <w:numPr>
          <w:ilvl w:val="0"/>
          <w:numId w:val="368"/>
        </w:numPr>
        <w:adjustRightInd w:val="0"/>
        <w:spacing w:after="0" w:line="360" w:lineRule="auto"/>
        <w:contextualSpacing/>
        <w:jc w:val="both"/>
        <w:rPr>
          <w:rFonts w:ascii="Times New Roman" w:eastAsia="SimSun" w:hAnsi="Times New Roman"/>
          <w:bCs/>
          <w:iCs/>
          <w:sz w:val="24"/>
          <w:szCs w:val="24"/>
        </w:rPr>
      </w:pPr>
      <w:hyperlink r:id="rId45" w:history="1">
        <w:r w:rsidR="00BE0B19" w:rsidRPr="00AE47C6">
          <w:rPr>
            <w:rFonts w:ascii="Times New Roman" w:eastAsiaTheme="majorEastAsia" w:hAnsi="Times New Roman"/>
            <w:sz w:val="24"/>
            <w:szCs w:val="24"/>
            <w:u w:val="single"/>
          </w:rPr>
          <w:t>CLN1/PPT</w:t>
        </w:r>
      </w:hyperlink>
      <w:r w:rsidR="00BE0B19" w:rsidRPr="00AE47C6">
        <w:rPr>
          <w:rFonts w:ascii="Times New Roman" w:eastAsia="SimSun" w:hAnsi="Times New Roman"/>
          <w:bCs/>
          <w:iCs/>
          <w:sz w:val="24"/>
          <w:szCs w:val="24"/>
        </w:rPr>
        <w:t>- Мутации при NCL с начало в кърмаческа възраст или до възрастни</w:t>
      </w:r>
    </w:p>
    <w:p w14:paraId="63E4B8B1" w14:textId="77777777" w:rsidR="00BE0B19" w:rsidRPr="00AE47C6" w:rsidRDefault="00C74E8C" w:rsidP="00BE0B19">
      <w:pPr>
        <w:numPr>
          <w:ilvl w:val="0"/>
          <w:numId w:val="361"/>
        </w:numPr>
        <w:spacing w:after="0" w:line="360" w:lineRule="auto"/>
        <w:jc w:val="both"/>
        <w:rPr>
          <w:rFonts w:ascii="Times New Roman" w:eastAsia="SimSun" w:hAnsi="Times New Roman"/>
          <w:bCs/>
          <w:iCs/>
          <w:sz w:val="24"/>
          <w:szCs w:val="24"/>
        </w:rPr>
      </w:pPr>
      <w:hyperlink r:id="rId46" w:history="1">
        <w:r w:rsidR="00BE0B19" w:rsidRPr="00AE47C6">
          <w:rPr>
            <w:rFonts w:ascii="Times New Roman" w:eastAsiaTheme="majorEastAsia" w:hAnsi="Times New Roman"/>
            <w:sz w:val="24"/>
            <w:szCs w:val="24"/>
            <w:u w:val="single"/>
          </w:rPr>
          <w:t>CLN2/TPP1</w:t>
        </w:r>
      </w:hyperlink>
      <w:r w:rsidR="00BE0B19" w:rsidRPr="00AE47C6">
        <w:rPr>
          <w:rFonts w:ascii="Times New Roman" w:eastAsiaTheme="majorEastAsia" w:hAnsi="Times New Roman"/>
          <w:sz w:val="24"/>
          <w:szCs w:val="24"/>
          <w:u w:val="single"/>
        </w:rPr>
        <w:t>-</w:t>
      </w:r>
      <w:r w:rsidR="00BE0B19" w:rsidRPr="00AE47C6">
        <w:rPr>
          <w:rFonts w:ascii="Times New Roman" w:eastAsia="SimSun" w:hAnsi="Times New Roman"/>
          <w:bCs/>
          <w:iCs/>
          <w:sz w:val="24"/>
          <w:szCs w:val="24"/>
        </w:rPr>
        <w:t xml:space="preserve"> Мутации при NCL - късни инфантилни форми или по-късни форми</w:t>
      </w:r>
    </w:p>
    <w:p w14:paraId="588E50F1" w14:textId="77777777" w:rsidR="00BE0B19" w:rsidRPr="00AE47C6" w:rsidRDefault="00C74E8C" w:rsidP="00BE0B19">
      <w:pPr>
        <w:numPr>
          <w:ilvl w:val="0"/>
          <w:numId w:val="361"/>
        </w:numPr>
        <w:spacing w:after="0" w:line="360" w:lineRule="auto"/>
        <w:jc w:val="both"/>
        <w:rPr>
          <w:rFonts w:ascii="Times New Roman" w:eastAsia="SimSun" w:hAnsi="Times New Roman"/>
          <w:bCs/>
          <w:iCs/>
          <w:sz w:val="24"/>
          <w:szCs w:val="24"/>
        </w:rPr>
      </w:pPr>
      <w:hyperlink r:id="rId47" w:history="1">
        <w:r w:rsidR="00BE0B19" w:rsidRPr="00AE47C6">
          <w:rPr>
            <w:rFonts w:ascii="Times New Roman" w:eastAsiaTheme="majorEastAsia" w:hAnsi="Times New Roman"/>
            <w:sz w:val="24"/>
            <w:szCs w:val="24"/>
            <w:u w:val="single"/>
          </w:rPr>
          <w:t>CLN3</w:t>
        </w:r>
      </w:hyperlink>
      <w:r w:rsidR="00BE0B19" w:rsidRPr="00AE47C6">
        <w:rPr>
          <w:rFonts w:ascii="Times New Roman" w:eastAsia="SimSun" w:hAnsi="Times New Roman"/>
          <w:bCs/>
          <w:iCs/>
          <w:sz w:val="24"/>
          <w:szCs w:val="24"/>
        </w:rPr>
        <w:t> - Мутации при NCL с начало в  юношеска възраст, най-често с бавна прогресия</w:t>
      </w:r>
    </w:p>
    <w:p w14:paraId="66C403F1" w14:textId="77777777" w:rsidR="00BE0B19" w:rsidRPr="00AE47C6" w:rsidRDefault="00C74E8C" w:rsidP="00BE0B19">
      <w:pPr>
        <w:numPr>
          <w:ilvl w:val="0"/>
          <w:numId w:val="361"/>
        </w:numPr>
        <w:spacing w:after="0" w:line="360" w:lineRule="auto"/>
        <w:jc w:val="both"/>
        <w:rPr>
          <w:rFonts w:ascii="Times New Roman" w:eastAsia="SimSun" w:hAnsi="Times New Roman"/>
          <w:bCs/>
          <w:iCs/>
          <w:sz w:val="24"/>
          <w:szCs w:val="24"/>
        </w:rPr>
      </w:pPr>
      <w:hyperlink r:id="rId48" w:history="1">
        <w:r w:rsidR="00BE0B19" w:rsidRPr="00AE47C6">
          <w:rPr>
            <w:rFonts w:ascii="Times New Roman" w:eastAsiaTheme="majorEastAsia" w:hAnsi="Times New Roman"/>
            <w:sz w:val="24"/>
            <w:szCs w:val="24"/>
            <w:u w:val="single"/>
          </w:rPr>
          <w:t>CLN4/DNAJC5</w:t>
        </w:r>
      </w:hyperlink>
      <w:r w:rsidR="00BE0B19" w:rsidRPr="00AE47C6">
        <w:rPr>
          <w:rFonts w:ascii="Times New Roman" w:eastAsia="SimSun" w:hAnsi="Times New Roman"/>
          <w:bCs/>
          <w:iCs/>
          <w:sz w:val="24"/>
          <w:szCs w:val="24"/>
        </w:rPr>
        <w:t xml:space="preserve"> - 2 мутации при АД NCL с късно начало (болест на Parry)</w:t>
      </w:r>
    </w:p>
    <w:p w14:paraId="08D81EF4" w14:textId="77777777" w:rsidR="00BE0B19" w:rsidRPr="00AE47C6" w:rsidRDefault="00C74E8C" w:rsidP="00BE0B19">
      <w:pPr>
        <w:numPr>
          <w:ilvl w:val="0"/>
          <w:numId w:val="361"/>
        </w:numPr>
        <w:spacing w:after="0" w:line="360" w:lineRule="auto"/>
        <w:jc w:val="both"/>
        <w:rPr>
          <w:rFonts w:ascii="Times New Roman" w:eastAsia="SimSun" w:hAnsi="Times New Roman"/>
          <w:bCs/>
          <w:iCs/>
          <w:sz w:val="24"/>
          <w:szCs w:val="24"/>
        </w:rPr>
      </w:pPr>
      <w:hyperlink r:id="rId49" w:history="1">
        <w:r w:rsidR="00BE0B19" w:rsidRPr="00AE47C6">
          <w:rPr>
            <w:rFonts w:ascii="Times New Roman" w:eastAsiaTheme="majorEastAsia" w:hAnsi="Times New Roman"/>
            <w:sz w:val="24"/>
            <w:szCs w:val="24"/>
            <w:u w:val="single"/>
          </w:rPr>
          <w:t>CLN5</w:t>
        </w:r>
      </w:hyperlink>
      <w:r w:rsidR="00BE0B19" w:rsidRPr="00AE47C6">
        <w:rPr>
          <w:rFonts w:ascii="Times New Roman" w:eastAsia="SimSun" w:hAnsi="Times New Roman"/>
          <w:bCs/>
          <w:iCs/>
          <w:sz w:val="24"/>
          <w:szCs w:val="24"/>
        </w:rPr>
        <w:t xml:space="preserve"> - Мутации при NCL късни инфантилни форми или по-късни, при възрастни</w:t>
      </w:r>
    </w:p>
    <w:p w14:paraId="6628276B" w14:textId="77777777" w:rsidR="00BE0B19" w:rsidRPr="00AE47C6" w:rsidRDefault="00C74E8C" w:rsidP="00BE0B19">
      <w:pPr>
        <w:numPr>
          <w:ilvl w:val="0"/>
          <w:numId w:val="361"/>
        </w:numPr>
        <w:spacing w:after="0" w:line="360" w:lineRule="auto"/>
        <w:jc w:val="both"/>
        <w:rPr>
          <w:rFonts w:ascii="Times New Roman" w:eastAsia="SimSun" w:hAnsi="Times New Roman"/>
          <w:bCs/>
          <w:iCs/>
          <w:sz w:val="24"/>
          <w:szCs w:val="24"/>
        </w:rPr>
      </w:pPr>
      <w:hyperlink r:id="rId50" w:history="1">
        <w:r w:rsidR="00BE0B19" w:rsidRPr="00AE47C6">
          <w:rPr>
            <w:rFonts w:ascii="Times New Roman" w:eastAsiaTheme="majorEastAsia" w:hAnsi="Times New Roman"/>
            <w:sz w:val="24"/>
            <w:szCs w:val="24"/>
            <w:u w:val="single"/>
          </w:rPr>
          <w:t>CLN6</w:t>
        </w:r>
      </w:hyperlink>
      <w:r w:rsidR="00BE0B19" w:rsidRPr="00AE47C6">
        <w:rPr>
          <w:rFonts w:ascii="Times New Roman" w:eastAsia="SimSun" w:hAnsi="Times New Roman"/>
          <w:bCs/>
          <w:iCs/>
          <w:sz w:val="24"/>
          <w:szCs w:val="24"/>
        </w:rPr>
        <w:t xml:space="preserve"> - мутации при NCL – късна инфантилна форма или по-късни, вкл. болест на Kufs тип A</w:t>
      </w:r>
    </w:p>
    <w:p w14:paraId="2D7D173A" w14:textId="77777777" w:rsidR="00BE0B19" w:rsidRPr="00AE47C6" w:rsidRDefault="00C74E8C" w:rsidP="00BE0B19">
      <w:pPr>
        <w:numPr>
          <w:ilvl w:val="0"/>
          <w:numId w:val="361"/>
        </w:numPr>
        <w:spacing w:after="0" w:line="360" w:lineRule="auto"/>
        <w:jc w:val="both"/>
        <w:rPr>
          <w:rFonts w:ascii="Times New Roman" w:eastAsia="SimSun" w:hAnsi="Times New Roman"/>
          <w:bCs/>
          <w:iCs/>
          <w:sz w:val="24"/>
          <w:szCs w:val="24"/>
        </w:rPr>
      </w:pPr>
      <w:hyperlink r:id="rId51" w:history="1">
        <w:r w:rsidR="00BE0B19" w:rsidRPr="00AE47C6">
          <w:rPr>
            <w:rFonts w:ascii="Times New Roman" w:eastAsiaTheme="majorEastAsia" w:hAnsi="Times New Roman"/>
            <w:sz w:val="24"/>
            <w:szCs w:val="24"/>
            <w:u w:val="single"/>
          </w:rPr>
          <w:t>CLN7/MFSD8</w:t>
        </w:r>
      </w:hyperlink>
      <w:r w:rsidR="00BE0B19" w:rsidRPr="00AE47C6">
        <w:rPr>
          <w:rFonts w:ascii="Times New Roman" w:eastAsia="SimSun" w:hAnsi="Times New Roman"/>
          <w:bCs/>
          <w:iCs/>
          <w:sz w:val="24"/>
          <w:szCs w:val="24"/>
        </w:rPr>
        <w:t xml:space="preserve"> - мутации при NCL – късна инфантилна форма или по-късни форми</w:t>
      </w:r>
    </w:p>
    <w:p w14:paraId="32F0E05E" w14:textId="77777777" w:rsidR="00BE0B19" w:rsidRPr="00AE47C6" w:rsidRDefault="00C74E8C" w:rsidP="00BE0B19">
      <w:pPr>
        <w:numPr>
          <w:ilvl w:val="0"/>
          <w:numId w:val="361"/>
        </w:numPr>
        <w:spacing w:after="0" w:line="360" w:lineRule="auto"/>
        <w:jc w:val="both"/>
        <w:rPr>
          <w:rFonts w:ascii="Times New Roman" w:eastAsia="SimSun" w:hAnsi="Times New Roman"/>
          <w:bCs/>
          <w:iCs/>
          <w:sz w:val="24"/>
          <w:szCs w:val="24"/>
        </w:rPr>
      </w:pPr>
      <w:hyperlink r:id="rId52" w:history="1">
        <w:r w:rsidR="00BE0B19" w:rsidRPr="00AE47C6">
          <w:rPr>
            <w:rFonts w:ascii="Times New Roman" w:eastAsiaTheme="majorEastAsia" w:hAnsi="Times New Roman"/>
            <w:sz w:val="24"/>
            <w:szCs w:val="24"/>
            <w:u w:val="single"/>
          </w:rPr>
          <w:t>CLN8</w:t>
        </w:r>
      </w:hyperlink>
      <w:r w:rsidR="00BE0B19" w:rsidRPr="00AE47C6">
        <w:rPr>
          <w:rFonts w:ascii="Times New Roman" w:eastAsia="SimSun" w:hAnsi="Times New Roman"/>
          <w:bCs/>
          <w:iCs/>
          <w:sz w:val="24"/>
          <w:szCs w:val="24"/>
        </w:rPr>
        <w:t xml:space="preserve"> - мутации при NCL – късна инфантилна форма или различни заболявания, вкл. Северен епилептичен вариант </w:t>
      </w:r>
    </w:p>
    <w:p w14:paraId="5DDC36E3" w14:textId="77777777" w:rsidR="00BE0B19" w:rsidRPr="00AE47C6" w:rsidRDefault="00C74E8C" w:rsidP="00BE0B19">
      <w:pPr>
        <w:numPr>
          <w:ilvl w:val="0"/>
          <w:numId w:val="361"/>
        </w:numPr>
        <w:spacing w:after="0" w:line="360" w:lineRule="auto"/>
        <w:jc w:val="both"/>
        <w:rPr>
          <w:rFonts w:ascii="Times New Roman" w:eastAsia="SimSun" w:hAnsi="Times New Roman"/>
          <w:bCs/>
          <w:iCs/>
          <w:sz w:val="24"/>
          <w:szCs w:val="24"/>
        </w:rPr>
      </w:pPr>
      <w:hyperlink r:id="rId53" w:history="1">
        <w:r w:rsidR="00BE0B19" w:rsidRPr="00AE47C6">
          <w:rPr>
            <w:rFonts w:ascii="Times New Roman" w:eastAsiaTheme="majorEastAsia" w:hAnsi="Times New Roman"/>
            <w:sz w:val="24"/>
            <w:szCs w:val="24"/>
            <w:u w:val="single"/>
          </w:rPr>
          <w:t>CLN10/CTSD</w:t>
        </w:r>
      </w:hyperlink>
      <w:r w:rsidR="00BE0B19" w:rsidRPr="00AE47C6">
        <w:rPr>
          <w:rFonts w:ascii="Times New Roman" w:eastAsia="SimSun" w:hAnsi="Times New Roman"/>
          <w:bCs/>
          <w:iCs/>
          <w:sz w:val="24"/>
          <w:szCs w:val="24"/>
        </w:rPr>
        <w:t xml:space="preserve"> - мутации при NCL с начало след раждането, ранна възраст или по-късно</w:t>
      </w:r>
    </w:p>
    <w:p w14:paraId="643279E7" w14:textId="77777777" w:rsidR="00BE0B19" w:rsidRPr="00AE47C6" w:rsidRDefault="00C74E8C" w:rsidP="00BE0B19">
      <w:pPr>
        <w:numPr>
          <w:ilvl w:val="0"/>
          <w:numId w:val="361"/>
        </w:numPr>
        <w:spacing w:after="0" w:line="360" w:lineRule="auto"/>
        <w:jc w:val="both"/>
        <w:rPr>
          <w:rFonts w:ascii="Times New Roman" w:eastAsia="SimSun" w:hAnsi="Times New Roman"/>
          <w:bCs/>
          <w:iCs/>
          <w:sz w:val="24"/>
          <w:szCs w:val="24"/>
        </w:rPr>
      </w:pPr>
      <w:hyperlink r:id="rId54" w:history="1">
        <w:r w:rsidR="00BE0B19" w:rsidRPr="00AE47C6">
          <w:rPr>
            <w:rFonts w:ascii="Times New Roman" w:eastAsiaTheme="majorEastAsia" w:hAnsi="Times New Roman"/>
            <w:sz w:val="24"/>
            <w:szCs w:val="24"/>
            <w:u w:val="single"/>
          </w:rPr>
          <w:t>CLN11/GRN</w:t>
        </w:r>
      </w:hyperlink>
      <w:r w:rsidR="00BE0B19" w:rsidRPr="00AE47C6">
        <w:rPr>
          <w:rFonts w:ascii="Times New Roman" w:eastAsia="SimSun" w:hAnsi="Times New Roman"/>
          <w:bCs/>
          <w:iCs/>
          <w:sz w:val="24"/>
          <w:szCs w:val="24"/>
        </w:rPr>
        <w:t xml:space="preserve"> - мутации при NCL форма при възрастни</w:t>
      </w:r>
    </w:p>
    <w:p w14:paraId="7F7B9225" w14:textId="77777777" w:rsidR="00BE0B19" w:rsidRPr="00AE47C6" w:rsidRDefault="00C74E8C" w:rsidP="00BE0B19">
      <w:pPr>
        <w:numPr>
          <w:ilvl w:val="0"/>
          <w:numId w:val="361"/>
        </w:numPr>
        <w:spacing w:after="0" w:line="360" w:lineRule="auto"/>
        <w:jc w:val="both"/>
        <w:rPr>
          <w:rFonts w:ascii="Times New Roman" w:eastAsia="SimSun" w:hAnsi="Times New Roman"/>
          <w:bCs/>
          <w:iCs/>
          <w:sz w:val="24"/>
          <w:szCs w:val="24"/>
        </w:rPr>
      </w:pPr>
      <w:hyperlink r:id="rId55" w:history="1">
        <w:r w:rsidR="00BE0B19" w:rsidRPr="00AE47C6">
          <w:rPr>
            <w:rFonts w:ascii="Times New Roman" w:eastAsiaTheme="majorEastAsia" w:hAnsi="Times New Roman"/>
            <w:sz w:val="24"/>
            <w:szCs w:val="24"/>
            <w:u w:val="single"/>
          </w:rPr>
          <w:t>CLN12/ATP13A2</w:t>
        </w:r>
      </w:hyperlink>
      <w:r w:rsidR="00BE0B19" w:rsidRPr="00AE47C6">
        <w:rPr>
          <w:rFonts w:ascii="Times New Roman" w:eastAsia="SimSun" w:hAnsi="Times New Roman"/>
          <w:bCs/>
          <w:iCs/>
          <w:sz w:val="24"/>
          <w:szCs w:val="24"/>
        </w:rPr>
        <w:t xml:space="preserve"> - мутации при NCL - ювенилни форми </w:t>
      </w:r>
    </w:p>
    <w:p w14:paraId="42A27F9D" w14:textId="77777777" w:rsidR="00BE0B19" w:rsidRPr="00AE47C6" w:rsidRDefault="00C74E8C" w:rsidP="00BE0B19">
      <w:pPr>
        <w:numPr>
          <w:ilvl w:val="0"/>
          <w:numId w:val="361"/>
        </w:numPr>
        <w:spacing w:after="0" w:line="360" w:lineRule="auto"/>
        <w:jc w:val="both"/>
        <w:rPr>
          <w:rFonts w:ascii="Times New Roman" w:eastAsia="SimSun" w:hAnsi="Times New Roman"/>
          <w:bCs/>
          <w:iCs/>
          <w:sz w:val="24"/>
          <w:szCs w:val="24"/>
        </w:rPr>
      </w:pPr>
      <w:hyperlink r:id="rId56" w:history="1">
        <w:r w:rsidR="00BE0B19" w:rsidRPr="00AE47C6">
          <w:rPr>
            <w:rFonts w:ascii="Times New Roman" w:eastAsiaTheme="majorEastAsia" w:hAnsi="Times New Roman"/>
            <w:sz w:val="24"/>
            <w:szCs w:val="24"/>
            <w:u w:val="single"/>
          </w:rPr>
          <w:t>CLN13/CTSF</w:t>
        </w:r>
      </w:hyperlink>
      <w:r w:rsidR="00BE0B19" w:rsidRPr="00AE47C6">
        <w:rPr>
          <w:rFonts w:ascii="Times New Roman" w:eastAsia="SimSun" w:hAnsi="Times New Roman"/>
          <w:bCs/>
          <w:iCs/>
          <w:sz w:val="24"/>
          <w:szCs w:val="24"/>
        </w:rPr>
        <w:t xml:space="preserve"> - мутации при NCL - форми при възрастни вкл. болест на Kufs тип B</w:t>
      </w:r>
    </w:p>
    <w:p w14:paraId="6F0692B5" w14:textId="77777777" w:rsidR="00BE0B19" w:rsidRPr="00AE47C6" w:rsidRDefault="00C74E8C" w:rsidP="00BE0B19">
      <w:pPr>
        <w:numPr>
          <w:ilvl w:val="0"/>
          <w:numId w:val="361"/>
        </w:numPr>
        <w:spacing w:after="0" w:line="360" w:lineRule="auto"/>
        <w:jc w:val="both"/>
        <w:rPr>
          <w:rFonts w:ascii="Times New Roman" w:eastAsia="SimSun" w:hAnsi="Times New Roman"/>
          <w:bCs/>
          <w:iCs/>
          <w:sz w:val="24"/>
          <w:szCs w:val="24"/>
        </w:rPr>
      </w:pPr>
      <w:hyperlink r:id="rId57" w:history="1">
        <w:r w:rsidR="00BE0B19" w:rsidRPr="00AE47C6">
          <w:rPr>
            <w:rFonts w:ascii="Times New Roman" w:eastAsiaTheme="majorEastAsia" w:hAnsi="Times New Roman"/>
            <w:sz w:val="24"/>
            <w:szCs w:val="24"/>
            <w:u w:val="single"/>
          </w:rPr>
          <w:t>CLN14/KCTD7</w:t>
        </w:r>
      </w:hyperlink>
      <w:r w:rsidR="00BE0B19" w:rsidRPr="00AE47C6">
        <w:rPr>
          <w:rFonts w:ascii="Times New Roman" w:eastAsia="SimSun" w:hAnsi="Times New Roman"/>
          <w:bCs/>
          <w:iCs/>
          <w:sz w:val="24"/>
          <w:szCs w:val="24"/>
        </w:rPr>
        <w:t xml:space="preserve"> - мутации при NCL - инфантилни форми</w:t>
      </w:r>
    </w:p>
    <w:p w14:paraId="6A372070" w14:textId="77777777" w:rsidR="00BE0B19" w:rsidRPr="00AE47C6" w:rsidRDefault="00BE0B19" w:rsidP="00BE0B19">
      <w:pPr>
        <w:numPr>
          <w:ilvl w:val="0"/>
          <w:numId w:val="361"/>
        </w:numPr>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CLN9 - NCL с начало в кърмаческа възраст, но не CLN3</w:t>
      </w:r>
    </w:p>
    <w:p w14:paraId="5FE45E19" w14:textId="77777777" w:rsidR="00BE0B19" w:rsidRPr="00AE47C6" w:rsidRDefault="00C74E8C" w:rsidP="00BE0B19">
      <w:pPr>
        <w:numPr>
          <w:ilvl w:val="0"/>
          <w:numId w:val="361"/>
        </w:numPr>
        <w:spacing w:after="0" w:line="360" w:lineRule="auto"/>
        <w:jc w:val="both"/>
        <w:rPr>
          <w:rFonts w:ascii="Times New Roman" w:eastAsia="SimSun" w:hAnsi="Times New Roman"/>
          <w:bCs/>
          <w:iCs/>
          <w:sz w:val="24"/>
          <w:szCs w:val="24"/>
        </w:rPr>
      </w:pPr>
      <w:hyperlink r:id="rId58" w:history="1">
        <w:r w:rsidR="00BE0B19" w:rsidRPr="00AE47C6">
          <w:rPr>
            <w:rFonts w:ascii="Times New Roman" w:eastAsiaTheme="majorEastAsia" w:hAnsi="Times New Roman"/>
            <w:sz w:val="24"/>
            <w:szCs w:val="24"/>
            <w:u w:val="single"/>
          </w:rPr>
          <w:t>CLCN6</w:t>
        </w:r>
      </w:hyperlink>
      <w:r w:rsidR="00BE0B19" w:rsidRPr="00AE47C6">
        <w:rPr>
          <w:rFonts w:ascii="Times New Roman" w:eastAsia="SimSun" w:hAnsi="Times New Roman"/>
          <w:bCs/>
          <w:iCs/>
          <w:sz w:val="24"/>
          <w:szCs w:val="24"/>
        </w:rPr>
        <w:t xml:space="preserve"> - Мутации при 2 пациенти с NCL с късно начало</w:t>
      </w:r>
    </w:p>
    <w:p w14:paraId="56FAD71F" w14:textId="77777777" w:rsidR="00BE0B19" w:rsidRPr="00AE47C6" w:rsidRDefault="00C74E8C" w:rsidP="00BE0B19">
      <w:pPr>
        <w:numPr>
          <w:ilvl w:val="0"/>
          <w:numId w:val="361"/>
        </w:numPr>
        <w:spacing w:after="0" w:line="360" w:lineRule="auto"/>
        <w:jc w:val="both"/>
        <w:rPr>
          <w:rFonts w:ascii="Times New Roman" w:eastAsia="SimSun" w:hAnsi="Times New Roman"/>
          <w:bCs/>
          <w:iCs/>
          <w:sz w:val="24"/>
          <w:szCs w:val="24"/>
        </w:rPr>
      </w:pPr>
      <w:hyperlink r:id="rId59" w:history="1">
        <w:r w:rsidR="00BE0B19" w:rsidRPr="00AE47C6">
          <w:rPr>
            <w:rFonts w:ascii="Times New Roman" w:eastAsiaTheme="majorEastAsia" w:hAnsi="Times New Roman"/>
            <w:sz w:val="24"/>
            <w:szCs w:val="24"/>
            <w:u w:val="single"/>
          </w:rPr>
          <w:t>SGSH</w:t>
        </w:r>
      </w:hyperlink>
      <w:r w:rsidR="00BE0B19" w:rsidRPr="00AE47C6">
        <w:rPr>
          <w:rFonts w:ascii="Times New Roman" w:eastAsia="SimSun" w:hAnsi="Times New Roman"/>
          <w:bCs/>
          <w:iCs/>
          <w:sz w:val="24"/>
          <w:szCs w:val="24"/>
        </w:rPr>
        <w:t xml:space="preserve"> - 2 хетерозиготни мутации при 1 пациент с NCL с късно начало и други заболявания (MPSIIIA) </w:t>
      </w:r>
    </w:p>
    <w:p w14:paraId="701BABA2"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70944ADA" w14:textId="77777777" w:rsidR="00BE0B19" w:rsidRPr="00AE47C6" w:rsidRDefault="00BE0B19" w:rsidP="00BE0B19">
      <w:pPr>
        <w:spacing w:after="0" w:line="360" w:lineRule="auto"/>
        <w:ind w:firstLine="720"/>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Таблица 5.10.</w:t>
      </w:r>
      <w:r w:rsidRPr="00AE47C6">
        <w:rPr>
          <w:rFonts w:ascii="Times New Roman" w:eastAsia="SimSun" w:hAnsi="Times New Roman"/>
          <w:sz w:val="24"/>
          <w:szCs w:val="24"/>
          <w:lang w:eastAsia="bg-BG"/>
        </w:rPr>
        <w:t xml:space="preserve"> </w:t>
      </w:r>
      <w:r w:rsidRPr="00AE47C6">
        <w:rPr>
          <w:rFonts w:ascii="Times New Roman" w:eastAsia="SimSun" w:hAnsi="Times New Roman"/>
          <w:b/>
          <w:sz w:val="24"/>
          <w:szCs w:val="24"/>
          <w:lang w:eastAsia="bg-BG"/>
        </w:rPr>
        <w:t>Невронални цероидлипофусцинози, гени, фенотип и кодирани протеини</w:t>
      </w:r>
    </w:p>
    <w:tbl>
      <w:tblPr>
        <w:tblStyle w:val="TableGrid2"/>
        <w:tblW w:w="0" w:type="auto"/>
        <w:tblLook w:val="04A0" w:firstRow="1" w:lastRow="0" w:firstColumn="1" w:lastColumn="0" w:noHBand="0" w:noVBand="1"/>
      </w:tblPr>
      <w:tblGrid>
        <w:gridCol w:w="2265"/>
        <w:gridCol w:w="2264"/>
        <w:gridCol w:w="2266"/>
        <w:gridCol w:w="2265"/>
      </w:tblGrid>
      <w:tr w:rsidR="00BE0B19" w:rsidRPr="00AE47C6" w14:paraId="57802921" w14:textId="77777777" w:rsidTr="00AD72E5">
        <w:tc>
          <w:tcPr>
            <w:tcW w:w="2265" w:type="dxa"/>
          </w:tcPr>
          <w:p w14:paraId="040887B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Ген</w:t>
            </w:r>
          </w:p>
        </w:tc>
        <w:tc>
          <w:tcPr>
            <w:tcW w:w="2265" w:type="dxa"/>
          </w:tcPr>
          <w:p w14:paraId="564ADDA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Болест/фенотип</w:t>
            </w:r>
          </w:p>
        </w:tc>
        <w:tc>
          <w:tcPr>
            <w:tcW w:w="2266" w:type="dxa"/>
          </w:tcPr>
          <w:p w14:paraId="1125502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Друго име</w:t>
            </w:r>
          </w:p>
        </w:tc>
        <w:tc>
          <w:tcPr>
            <w:tcW w:w="2266" w:type="dxa"/>
          </w:tcPr>
          <w:p w14:paraId="5F80491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Кодиран протеин</w:t>
            </w:r>
          </w:p>
        </w:tc>
      </w:tr>
      <w:tr w:rsidR="00BE0B19" w:rsidRPr="00AE47C6" w14:paraId="03410106" w14:textId="77777777" w:rsidTr="00AD72E5">
        <w:tc>
          <w:tcPr>
            <w:tcW w:w="2265" w:type="dxa"/>
          </w:tcPr>
          <w:p w14:paraId="6AB6BEE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CLN1/PPT1</w:t>
            </w:r>
          </w:p>
        </w:tc>
        <w:tc>
          <w:tcPr>
            <w:tcW w:w="2265" w:type="dxa"/>
          </w:tcPr>
          <w:p w14:paraId="7FC6EE5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CLN1 инфантилна, но и късна инфантилна, ювенилна, при възрастни</w:t>
            </w:r>
          </w:p>
        </w:tc>
        <w:tc>
          <w:tcPr>
            <w:tcW w:w="2266" w:type="dxa"/>
          </w:tcPr>
          <w:p w14:paraId="0DB3AAC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Инфантилна форма</w:t>
            </w:r>
          </w:p>
        </w:tc>
        <w:tc>
          <w:tcPr>
            <w:tcW w:w="2266" w:type="dxa"/>
          </w:tcPr>
          <w:p w14:paraId="40AB35F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Palmitoyl protein thioesterase 1, PPT1</w:t>
            </w:r>
          </w:p>
        </w:tc>
      </w:tr>
      <w:tr w:rsidR="00BE0B19" w:rsidRPr="00AE47C6" w14:paraId="2BA2DC0D" w14:textId="77777777" w:rsidTr="00AD72E5">
        <w:tc>
          <w:tcPr>
            <w:tcW w:w="2265" w:type="dxa"/>
          </w:tcPr>
          <w:p w14:paraId="6FD0E59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CLN2/TPP1</w:t>
            </w:r>
          </w:p>
        </w:tc>
        <w:tc>
          <w:tcPr>
            <w:tcW w:w="2265" w:type="dxa"/>
          </w:tcPr>
          <w:p w14:paraId="3C03FA3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CLN2, късна инфантилна; ювенилна форма</w:t>
            </w:r>
          </w:p>
        </w:tc>
        <w:tc>
          <w:tcPr>
            <w:tcW w:w="2266" w:type="dxa"/>
          </w:tcPr>
          <w:p w14:paraId="7FA206C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Късна инфантилна форма</w:t>
            </w:r>
          </w:p>
        </w:tc>
        <w:tc>
          <w:tcPr>
            <w:tcW w:w="2266" w:type="dxa"/>
          </w:tcPr>
          <w:p w14:paraId="05EB36D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Tripeptidyl peptidase 1, TPP1</w:t>
            </w:r>
          </w:p>
        </w:tc>
      </w:tr>
      <w:tr w:rsidR="00BE0B19" w:rsidRPr="00AE47C6" w14:paraId="37EC74B4" w14:textId="77777777" w:rsidTr="00AD72E5">
        <w:tc>
          <w:tcPr>
            <w:tcW w:w="2265" w:type="dxa"/>
          </w:tcPr>
          <w:p w14:paraId="21E0965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CLN3</w:t>
            </w:r>
          </w:p>
        </w:tc>
        <w:tc>
          <w:tcPr>
            <w:tcW w:w="2265" w:type="dxa"/>
          </w:tcPr>
          <w:p w14:paraId="3FF3991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 xml:space="preserve">CLN3 </w:t>
            </w:r>
          </w:p>
        </w:tc>
        <w:tc>
          <w:tcPr>
            <w:tcW w:w="2266" w:type="dxa"/>
          </w:tcPr>
          <w:p w14:paraId="7F44BDE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Ювенилна</w:t>
            </w:r>
          </w:p>
        </w:tc>
        <w:tc>
          <w:tcPr>
            <w:tcW w:w="2266" w:type="dxa"/>
          </w:tcPr>
          <w:p w14:paraId="0B3629C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CLN3 transmembrane protein/Battenin</w:t>
            </w:r>
          </w:p>
        </w:tc>
      </w:tr>
      <w:tr w:rsidR="00BE0B19" w:rsidRPr="00AE47C6" w14:paraId="3ECC32D6" w14:textId="77777777" w:rsidTr="00AD72E5">
        <w:trPr>
          <w:trHeight w:val="708"/>
        </w:trPr>
        <w:tc>
          <w:tcPr>
            <w:tcW w:w="2265" w:type="dxa"/>
          </w:tcPr>
          <w:p w14:paraId="054601F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CLN4/DNAJC5</w:t>
            </w:r>
          </w:p>
        </w:tc>
        <w:tc>
          <w:tcPr>
            <w:tcW w:w="2265" w:type="dxa"/>
          </w:tcPr>
          <w:p w14:paraId="69C5719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 xml:space="preserve">CLN4 </w:t>
            </w:r>
          </w:p>
        </w:tc>
        <w:tc>
          <w:tcPr>
            <w:tcW w:w="2266" w:type="dxa"/>
          </w:tcPr>
          <w:p w14:paraId="56A45F9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Възрастни АД болест на Batten,</w:t>
            </w:r>
          </w:p>
          <w:p w14:paraId="7AF2F4B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Болест на Kuf</w:t>
            </w:r>
          </w:p>
          <w:p w14:paraId="55A430A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 xml:space="preserve">СLN- тип Parry </w:t>
            </w:r>
          </w:p>
        </w:tc>
        <w:tc>
          <w:tcPr>
            <w:tcW w:w="2266" w:type="dxa"/>
          </w:tcPr>
          <w:p w14:paraId="16EA8A6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Cysteine string protein α</w:t>
            </w:r>
          </w:p>
        </w:tc>
      </w:tr>
      <w:tr w:rsidR="00BE0B19" w:rsidRPr="00AE47C6" w14:paraId="31A265AF" w14:textId="77777777" w:rsidTr="00AD72E5">
        <w:tc>
          <w:tcPr>
            <w:tcW w:w="2265" w:type="dxa"/>
          </w:tcPr>
          <w:p w14:paraId="3AC7160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CLN5</w:t>
            </w:r>
          </w:p>
        </w:tc>
        <w:tc>
          <w:tcPr>
            <w:tcW w:w="2265" w:type="dxa"/>
          </w:tcPr>
          <w:p w14:paraId="02A5060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CLN5 - късна инфантилна форма; CLN5- ювенилна форма</w:t>
            </w:r>
          </w:p>
          <w:p w14:paraId="0FE4FB3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CLN5-при възрастни</w:t>
            </w:r>
          </w:p>
        </w:tc>
        <w:tc>
          <w:tcPr>
            <w:tcW w:w="2266" w:type="dxa"/>
          </w:tcPr>
          <w:p w14:paraId="5E85F0B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Финландски вариант, късна инфантилна</w:t>
            </w:r>
          </w:p>
        </w:tc>
        <w:tc>
          <w:tcPr>
            <w:tcW w:w="2266" w:type="dxa"/>
          </w:tcPr>
          <w:p w14:paraId="5371038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Ceroid-lipofuscinosis neuronal protein 5</w:t>
            </w:r>
          </w:p>
        </w:tc>
      </w:tr>
      <w:tr w:rsidR="00BE0B19" w:rsidRPr="00AE47C6" w14:paraId="641C580D" w14:textId="77777777" w:rsidTr="00AD72E5">
        <w:tc>
          <w:tcPr>
            <w:tcW w:w="2265" w:type="dxa"/>
          </w:tcPr>
          <w:p w14:paraId="3E23B12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CLN6</w:t>
            </w:r>
          </w:p>
        </w:tc>
        <w:tc>
          <w:tcPr>
            <w:tcW w:w="2265" w:type="dxa"/>
          </w:tcPr>
          <w:p w14:paraId="7A50296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CLN6 късна инфантилна форма; CLN6- ювенилна форма</w:t>
            </w:r>
          </w:p>
          <w:p w14:paraId="7051B83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CLN6-при възрастни</w:t>
            </w:r>
          </w:p>
        </w:tc>
        <w:tc>
          <w:tcPr>
            <w:tcW w:w="2266" w:type="dxa"/>
          </w:tcPr>
          <w:p w14:paraId="0A145D9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 xml:space="preserve">Ранен ювенилен или късен инфантилен вариант </w:t>
            </w:r>
          </w:p>
        </w:tc>
        <w:tc>
          <w:tcPr>
            <w:tcW w:w="2266" w:type="dxa"/>
          </w:tcPr>
          <w:p w14:paraId="4A56197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Ceroid-lipofuscinosis neuronal</w:t>
            </w:r>
            <w:r w:rsidRPr="00AE47C6">
              <w:rPr>
                <w:rFonts w:ascii="Times New Roman" w:hAnsi="Times New Roman"/>
                <w:sz w:val="24"/>
                <w:szCs w:val="24"/>
                <w:lang w:eastAsia="bg-BG"/>
              </w:rPr>
              <w:br/>
              <w:t>protein 6</w:t>
            </w:r>
          </w:p>
        </w:tc>
      </w:tr>
      <w:tr w:rsidR="00BE0B19" w:rsidRPr="00AE47C6" w14:paraId="5237DDE3" w14:textId="77777777" w:rsidTr="00AD72E5">
        <w:tc>
          <w:tcPr>
            <w:tcW w:w="2265" w:type="dxa"/>
          </w:tcPr>
          <w:p w14:paraId="2E6AD8C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CLN7/MFSD8</w:t>
            </w:r>
          </w:p>
        </w:tc>
        <w:tc>
          <w:tcPr>
            <w:tcW w:w="2265" w:type="dxa"/>
          </w:tcPr>
          <w:p w14:paraId="540BB71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CLN7, късна инфантилна</w:t>
            </w:r>
          </w:p>
        </w:tc>
        <w:tc>
          <w:tcPr>
            <w:tcW w:w="2266" w:type="dxa"/>
          </w:tcPr>
          <w:p w14:paraId="607AE06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Късен инфантилен вариант</w:t>
            </w:r>
          </w:p>
        </w:tc>
        <w:tc>
          <w:tcPr>
            <w:tcW w:w="2266" w:type="dxa"/>
          </w:tcPr>
          <w:p w14:paraId="6500292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Major facilitator superfamily domain-containing protein 8</w:t>
            </w:r>
          </w:p>
        </w:tc>
      </w:tr>
      <w:tr w:rsidR="00BE0B19" w:rsidRPr="00AE47C6" w14:paraId="3CAA798F" w14:textId="77777777" w:rsidTr="00AD72E5">
        <w:tc>
          <w:tcPr>
            <w:tcW w:w="2265" w:type="dxa"/>
          </w:tcPr>
          <w:p w14:paraId="44483F0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CLN8</w:t>
            </w:r>
          </w:p>
        </w:tc>
        <w:tc>
          <w:tcPr>
            <w:tcW w:w="2265" w:type="dxa"/>
          </w:tcPr>
          <w:p w14:paraId="22A7E40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 xml:space="preserve">CLN8- късна инфантилна </w:t>
            </w:r>
          </w:p>
        </w:tc>
        <w:tc>
          <w:tcPr>
            <w:tcW w:w="2266" w:type="dxa"/>
          </w:tcPr>
          <w:p w14:paraId="1DE31E7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Късен инфантилен вариант</w:t>
            </w:r>
          </w:p>
          <w:p w14:paraId="2D14406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EPMR (прогресивна епилепсия и умствена изостаналост)</w:t>
            </w:r>
          </w:p>
        </w:tc>
        <w:tc>
          <w:tcPr>
            <w:tcW w:w="2266" w:type="dxa"/>
          </w:tcPr>
          <w:p w14:paraId="7CF7775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Protein CLN8</w:t>
            </w:r>
          </w:p>
        </w:tc>
      </w:tr>
      <w:tr w:rsidR="00BE0B19" w:rsidRPr="00AE47C6" w14:paraId="3DA27FED" w14:textId="77777777" w:rsidTr="00AD72E5">
        <w:tc>
          <w:tcPr>
            <w:tcW w:w="2265" w:type="dxa"/>
          </w:tcPr>
          <w:p w14:paraId="73062FE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CLN10/CTSD</w:t>
            </w:r>
          </w:p>
        </w:tc>
        <w:tc>
          <w:tcPr>
            <w:tcW w:w="2265" w:type="dxa"/>
          </w:tcPr>
          <w:p w14:paraId="4F68794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CLN10, вродена</w:t>
            </w:r>
          </w:p>
          <w:p w14:paraId="7602446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CLN10 късна инфантилна форма; CLN10- ювенилна форма</w:t>
            </w:r>
          </w:p>
          <w:p w14:paraId="5008186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CLN10-при възрастни</w:t>
            </w:r>
          </w:p>
        </w:tc>
        <w:tc>
          <w:tcPr>
            <w:tcW w:w="2266" w:type="dxa"/>
          </w:tcPr>
          <w:p w14:paraId="619D561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Вродена, късна инфантилна, ювенилна, при възрастни</w:t>
            </w:r>
          </w:p>
        </w:tc>
        <w:tc>
          <w:tcPr>
            <w:tcW w:w="2266" w:type="dxa"/>
          </w:tcPr>
          <w:p w14:paraId="6BFC004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Cathepsin D</w:t>
            </w:r>
          </w:p>
        </w:tc>
      </w:tr>
      <w:tr w:rsidR="00BE0B19" w:rsidRPr="00AE47C6" w14:paraId="4CDE0C39" w14:textId="77777777" w:rsidTr="00AD72E5">
        <w:tc>
          <w:tcPr>
            <w:tcW w:w="2265" w:type="dxa"/>
          </w:tcPr>
          <w:p w14:paraId="1E12778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CLN11/GRN</w:t>
            </w:r>
          </w:p>
        </w:tc>
        <w:tc>
          <w:tcPr>
            <w:tcW w:w="2265" w:type="dxa"/>
          </w:tcPr>
          <w:p w14:paraId="457F192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CLN11, възрастни</w:t>
            </w:r>
          </w:p>
          <w:p w14:paraId="37F4DB1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p>
        </w:tc>
        <w:tc>
          <w:tcPr>
            <w:tcW w:w="2266" w:type="dxa"/>
          </w:tcPr>
          <w:p w14:paraId="4785C6B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Възрастни - хетерозиготна мутация</w:t>
            </w:r>
          </w:p>
          <w:p w14:paraId="7226222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Причинява фронтотемпорална деменция</w:t>
            </w:r>
          </w:p>
        </w:tc>
        <w:tc>
          <w:tcPr>
            <w:tcW w:w="2266" w:type="dxa"/>
          </w:tcPr>
          <w:p w14:paraId="3BF8A4F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Progranulin</w:t>
            </w:r>
          </w:p>
        </w:tc>
      </w:tr>
      <w:tr w:rsidR="00BE0B19" w:rsidRPr="00AE47C6" w14:paraId="4D2D4E81" w14:textId="77777777" w:rsidTr="00AD72E5">
        <w:tc>
          <w:tcPr>
            <w:tcW w:w="2265" w:type="dxa"/>
          </w:tcPr>
          <w:p w14:paraId="7D87B4C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CLN12/ATP13A2</w:t>
            </w:r>
          </w:p>
        </w:tc>
        <w:tc>
          <w:tcPr>
            <w:tcW w:w="2265" w:type="dxa"/>
          </w:tcPr>
          <w:p w14:paraId="5A2F40D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CLN12, юношеска</w:t>
            </w:r>
          </w:p>
        </w:tc>
        <w:tc>
          <w:tcPr>
            <w:tcW w:w="2266" w:type="dxa"/>
          </w:tcPr>
          <w:p w14:paraId="61D7260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CLN12 - юношеска</w:t>
            </w:r>
          </w:p>
          <w:p w14:paraId="15DB0E6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 xml:space="preserve"> (мутацията причинява и синдром на Kufor-Rakeb)</w:t>
            </w:r>
          </w:p>
        </w:tc>
        <w:tc>
          <w:tcPr>
            <w:tcW w:w="2266" w:type="dxa"/>
          </w:tcPr>
          <w:p w14:paraId="0FC329F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ATPase type 13A2</w:t>
            </w:r>
          </w:p>
        </w:tc>
      </w:tr>
      <w:tr w:rsidR="00BE0B19" w:rsidRPr="00AE47C6" w14:paraId="2A1857F7" w14:textId="77777777" w:rsidTr="00AD72E5">
        <w:tc>
          <w:tcPr>
            <w:tcW w:w="2265" w:type="dxa"/>
          </w:tcPr>
          <w:p w14:paraId="5E29950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CLN13/CTSF</w:t>
            </w:r>
          </w:p>
        </w:tc>
        <w:tc>
          <w:tcPr>
            <w:tcW w:w="2265" w:type="dxa"/>
          </w:tcPr>
          <w:p w14:paraId="7C4762D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CLN13, възрастни</w:t>
            </w:r>
          </w:p>
        </w:tc>
        <w:tc>
          <w:tcPr>
            <w:tcW w:w="2266" w:type="dxa"/>
          </w:tcPr>
          <w:p w14:paraId="59A8CE5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Болест на Kufs тип B- възрастни</w:t>
            </w:r>
          </w:p>
        </w:tc>
        <w:tc>
          <w:tcPr>
            <w:tcW w:w="2266" w:type="dxa"/>
          </w:tcPr>
          <w:p w14:paraId="3C01BF6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Cathepsin F</w:t>
            </w:r>
          </w:p>
        </w:tc>
      </w:tr>
      <w:tr w:rsidR="00BE0B19" w:rsidRPr="00AE47C6" w14:paraId="259E58A9" w14:textId="77777777" w:rsidTr="00AD72E5">
        <w:tc>
          <w:tcPr>
            <w:tcW w:w="2265" w:type="dxa"/>
          </w:tcPr>
          <w:p w14:paraId="02F3632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i/>
                <w:iCs/>
                <w:sz w:val="24"/>
                <w:szCs w:val="24"/>
                <w:lang w:eastAsia="bg-BG"/>
              </w:rPr>
              <w:t>CLN14/KCTD7</w:t>
            </w:r>
          </w:p>
        </w:tc>
        <w:tc>
          <w:tcPr>
            <w:tcW w:w="2265" w:type="dxa"/>
          </w:tcPr>
          <w:p w14:paraId="4E2F2FB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CLN14, инфантилна</w:t>
            </w:r>
          </w:p>
        </w:tc>
        <w:tc>
          <w:tcPr>
            <w:tcW w:w="2266" w:type="dxa"/>
          </w:tcPr>
          <w:p w14:paraId="0345B4C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CLN14 disease, infa</w:t>
            </w:r>
          </w:p>
        </w:tc>
        <w:tc>
          <w:tcPr>
            <w:tcW w:w="2266" w:type="dxa"/>
          </w:tcPr>
          <w:p w14:paraId="2435237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Potassium channel tetramerization domain containing protein 7</w:t>
            </w:r>
          </w:p>
        </w:tc>
      </w:tr>
    </w:tbl>
    <w:p w14:paraId="46BC205D" w14:textId="77777777" w:rsidR="00BE0B19" w:rsidRPr="00AE47C6" w:rsidRDefault="00BE0B19" w:rsidP="00BE0B19">
      <w:pPr>
        <w:widowControl w:val="0"/>
        <w:adjustRightInd w:val="0"/>
        <w:spacing w:after="0" w:line="360" w:lineRule="auto"/>
        <w:ind w:firstLine="720"/>
        <w:jc w:val="both"/>
        <w:rPr>
          <w:rFonts w:ascii="Times New Roman" w:eastAsia="SimSun" w:hAnsi="Times New Roman"/>
          <w:b/>
          <w:sz w:val="24"/>
          <w:szCs w:val="24"/>
        </w:rPr>
      </w:pPr>
    </w:p>
    <w:p w14:paraId="3A3268E0"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bg-BG"/>
        </w:rPr>
      </w:pPr>
      <w:r w:rsidRPr="00AE47C6">
        <w:rPr>
          <w:rFonts w:ascii="Times New Roman" w:eastAsia="SimSun" w:hAnsi="Times New Roman"/>
          <w:b/>
          <w:sz w:val="24"/>
          <w:szCs w:val="24"/>
        </w:rPr>
        <w:t xml:space="preserve">Невроналните цероидлипофусцинози </w:t>
      </w:r>
      <w:r w:rsidRPr="00AE47C6">
        <w:rPr>
          <w:rFonts w:ascii="Times New Roman" w:eastAsia="SimSun" w:hAnsi="Times New Roman"/>
          <w:sz w:val="24"/>
          <w:szCs w:val="24"/>
        </w:rPr>
        <w:t xml:space="preserve">има разнообразно възрастово начало (ранни или късни инфантилни, ювенилни или форми у възрастни), но се изявяват с комбинация от епилептични основно </w:t>
      </w:r>
      <w:r w:rsidRPr="00AE47C6">
        <w:rPr>
          <w:rFonts w:ascii="Times New Roman" w:eastAsia="SimSun" w:hAnsi="Times New Roman"/>
          <w:bCs/>
          <w:kern w:val="24"/>
          <w:sz w:val="24"/>
          <w:szCs w:val="24"/>
        </w:rPr>
        <w:t>миоклонии пристъпи, прогресираща централна квадрипареза, когнитивен регрес, деменция, атаксия, екстрапирамиден синдром, амблиопия и амавроза, глухота, а при възрастните са налице и психиатрични синдроми</w:t>
      </w:r>
      <w:r w:rsidRPr="00AE47C6">
        <w:rPr>
          <w:rFonts w:ascii="Times New Roman" w:eastAsia="SimSun" w:hAnsi="Times New Roman"/>
          <w:b/>
          <w:bCs/>
          <w:kern w:val="24"/>
          <w:sz w:val="24"/>
          <w:szCs w:val="24"/>
        </w:rPr>
        <w:t xml:space="preserve"> </w:t>
      </w:r>
      <w:r w:rsidRPr="00AE47C6">
        <w:rPr>
          <w:rFonts w:ascii="Times New Roman" w:eastAsia="SimSun" w:hAnsi="Times New Roman"/>
          <w:bCs/>
          <w:kern w:val="24"/>
          <w:sz w:val="24"/>
          <w:szCs w:val="24"/>
        </w:rPr>
        <w:t>(Табл. 5.11</w:t>
      </w:r>
      <w:r w:rsidRPr="00AE47C6">
        <w:rPr>
          <w:rFonts w:ascii="Times New Roman" w:eastAsia="SimSun" w:hAnsi="Times New Roman"/>
          <w:b/>
          <w:bCs/>
          <w:kern w:val="24"/>
          <w:sz w:val="24"/>
          <w:szCs w:val="24"/>
        </w:rPr>
        <w:t>.</w:t>
      </w:r>
      <w:r w:rsidRPr="00AE47C6">
        <w:rPr>
          <w:rFonts w:ascii="Times New Roman" w:eastAsia="SimSun" w:hAnsi="Times New Roman"/>
          <w:bCs/>
          <w:kern w:val="24"/>
          <w:sz w:val="24"/>
          <w:szCs w:val="24"/>
        </w:rPr>
        <w:t xml:space="preserve">). Най-честа е късната инфантилна цероидлипофусциноза </w:t>
      </w:r>
      <w:hyperlink r:id="rId60" w:history="1">
        <w:r w:rsidRPr="00AE47C6">
          <w:rPr>
            <w:rFonts w:ascii="Times New Roman" w:eastAsiaTheme="majorEastAsia" w:hAnsi="Times New Roman"/>
            <w:sz w:val="24"/>
            <w:szCs w:val="24"/>
            <w:u w:val="single"/>
          </w:rPr>
          <w:t>CLN2/TPP1</w:t>
        </w:r>
      </w:hyperlink>
      <w:r w:rsidRPr="00AE47C6">
        <w:rPr>
          <w:rFonts w:ascii="Times New Roman" w:eastAsia="SimSun" w:hAnsi="Times New Roman"/>
          <w:sz w:val="24"/>
          <w:szCs w:val="24"/>
          <w:lang w:eastAsia="bg-BG"/>
        </w:rPr>
        <w:t xml:space="preserve">, която започва около 2 г. възраст с начални епилептични пристъпи - генерализирани тонично-клонични, фокални, епилептични статуси, но преобладават миоклоничните.  Бързо прогресират атаксия, спастична квадрипареза, зрителни нарушения до слепота, когнитивен регрес, деменция. Преживяемостта е до юношеска възраст.  </w:t>
      </w:r>
    </w:p>
    <w:p w14:paraId="3AEE3217"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bCs/>
          <w:sz w:val="24"/>
          <w:szCs w:val="24"/>
        </w:rPr>
        <w:t>Табл. 5.11.</w:t>
      </w:r>
      <w:r w:rsidRPr="00AE47C6">
        <w:rPr>
          <w:rFonts w:ascii="Times New Roman" w:eastAsia="SimSun" w:hAnsi="Times New Roman"/>
          <w:bCs/>
          <w:sz w:val="24"/>
          <w:szCs w:val="24"/>
        </w:rPr>
        <w:t xml:space="preserve"> </w:t>
      </w:r>
      <w:r w:rsidRPr="00AE47C6">
        <w:rPr>
          <w:rFonts w:ascii="Times New Roman" w:eastAsia="SimSun" w:hAnsi="Times New Roman"/>
          <w:b/>
          <w:bCs/>
          <w:sz w:val="24"/>
          <w:szCs w:val="24"/>
        </w:rPr>
        <w:t>Форми и варианти на невроналните цероид липофусцинози - гени /локуси и клинична характеристика: 4 фенотипни,  15 генетични форми, 2018 г.</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1421"/>
        <w:gridCol w:w="1596"/>
        <w:gridCol w:w="1096"/>
        <w:gridCol w:w="993"/>
        <w:gridCol w:w="1134"/>
        <w:gridCol w:w="992"/>
        <w:gridCol w:w="2119"/>
      </w:tblGrid>
      <w:tr w:rsidR="00BE0B19" w:rsidRPr="00AE47C6" w14:paraId="35DD3812" w14:textId="77777777" w:rsidTr="00AD72E5">
        <w:trPr>
          <w:trHeight w:val="795"/>
        </w:trPr>
        <w:tc>
          <w:tcPr>
            <w:tcW w:w="3017" w:type="dxa"/>
            <w:gridSpan w:val="2"/>
            <w:shd w:val="clear" w:color="auto" w:fill="auto"/>
            <w:tcMar>
              <w:top w:w="72" w:type="dxa"/>
              <w:left w:w="144" w:type="dxa"/>
              <w:bottom w:w="72" w:type="dxa"/>
              <w:right w:w="144" w:type="dxa"/>
            </w:tcMar>
            <w:hideMark/>
          </w:tcPr>
          <w:p w14:paraId="5F047897"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Форми/ варианти на NCL</w:t>
            </w:r>
          </w:p>
        </w:tc>
        <w:tc>
          <w:tcPr>
            <w:tcW w:w="1096" w:type="dxa"/>
            <w:shd w:val="clear" w:color="auto" w:fill="auto"/>
            <w:tcMar>
              <w:top w:w="72" w:type="dxa"/>
              <w:left w:w="144" w:type="dxa"/>
              <w:bottom w:w="72" w:type="dxa"/>
              <w:right w:w="144" w:type="dxa"/>
            </w:tcMar>
            <w:hideMark/>
          </w:tcPr>
          <w:p w14:paraId="499329B2"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Ген</w:t>
            </w:r>
          </w:p>
        </w:tc>
        <w:tc>
          <w:tcPr>
            <w:tcW w:w="993" w:type="dxa"/>
            <w:shd w:val="clear" w:color="auto" w:fill="auto"/>
            <w:tcMar>
              <w:top w:w="72" w:type="dxa"/>
              <w:left w:w="144" w:type="dxa"/>
              <w:bottom w:w="72" w:type="dxa"/>
              <w:right w:w="144" w:type="dxa"/>
            </w:tcMar>
            <w:hideMark/>
          </w:tcPr>
          <w:p w14:paraId="2DB380A2"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Локус</w:t>
            </w:r>
          </w:p>
        </w:tc>
        <w:tc>
          <w:tcPr>
            <w:tcW w:w="1134" w:type="dxa"/>
            <w:shd w:val="clear" w:color="auto" w:fill="auto"/>
            <w:tcMar>
              <w:top w:w="72" w:type="dxa"/>
              <w:left w:w="144" w:type="dxa"/>
              <w:bottom w:w="72" w:type="dxa"/>
              <w:right w:w="144" w:type="dxa"/>
            </w:tcMar>
            <w:hideMark/>
          </w:tcPr>
          <w:p w14:paraId="5A5AA110"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Протеин</w:t>
            </w:r>
          </w:p>
        </w:tc>
        <w:tc>
          <w:tcPr>
            <w:tcW w:w="992" w:type="dxa"/>
            <w:shd w:val="clear" w:color="auto" w:fill="auto"/>
            <w:tcMar>
              <w:top w:w="72" w:type="dxa"/>
              <w:left w:w="144" w:type="dxa"/>
              <w:bottom w:w="72" w:type="dxa"/>
              <w:right w:w="144" w:type="dxa"/>
            </w:tcMar>
            <w:hideMark/>
          </w:tcPr>
          <w:p w14:paraId="61E1D753"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Възраст в началото</w:t>
            </w:r>
          </w:p>
        </w:tc>
        <w:tc>
          <w:tcPr>
            <w:tcW w:w="2119" w:type="dxa"/>
            <w:shd w:val="clear" w:color="auto" w:fill="auto"/>
            <w:tcMar>
              <w:top w:w="72" w:type="dxa"/>
              <w:left w:w="144" w:type="dxa"/>
              <w:bottom w:w="72" w:type="dxa"/>
              <w:right w:w="144" w:type="dxa"/>
            </w:tcMar>
            <w:hideMark/>
          </w:tcPr>
          <w:p w14:paraId="300E764D"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Клиника</w:t>
            </w:r>
          </w:p>
        </w:tc>
      </w:tr>
      <w:tr w:rsidR="00BE0B19" w:rsidRPr="00AE47C6" w14:paraId="1AF421B8" w14:textId="77777777" w:rsidTr="00AD72E5">
        <w:trPr>
          <w:trHeight w:val="1003"/>
        </w:trPr>
        <w:tc>
          <w:tcPr>
            <w:tcW w:w="3017" w:type="dxa"/>
            <w:gridSpan w:val="2"/>
            <w:shd w:val="clear" w:color="auto" w:fill="auto"/>
            <w:tcMar>
              <w:top w:w="72" w:type="dxa"/>
              <w:left w:w="144" w:type="dxa"/>
              <w:bottom w:w="72" w:type="dxa"/>
              <w:right w:w="144" w:type="dxa"/>
            </w:tcMar>
            <w:hideMark/>
          </w:tcPr>
          <w:p w14:paraId="02BCEB0D"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1. NCL 1 (PPT1- свързана NCL, ранна инфантилна форма на Santavuori)</w:t>
            </w:r>
          </w:p>
        </w:tc>
        <w:tc>
          <w:tcPr>
            <w:tcW w:w="1096" w:type="dxa"/>
            <w:shd w:val="clear" w:color="auto" w:fill="auto"/>
            <w:tcMar>
              <w:top w:w="72" w:type="dxa"/>
              <w:left w:w="144" w:type="dxa"/>
              <w:bottom w:w="72" w:type="dxa"/>
              <w:right w:w="144" w:type="dxa"/>
            </w:tcMar>
            <w:hideMark/>
          </w:tcPr>
          <w:p w14:paraId="24920367"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61" w:history="1">
              <w:r w:rsidR="00BE0B19" w:rsidRPr="00AE47C6">
                <w:rPr>
                  <w:rFonts w:ascii="Times New Roman" w:eastAsiaTheme="majorEastAsia" w:hAnsi="Times New Roman"/>
                  <w:kern w:val="24"/>
                  <w:sz w:val="24"/>
                  <w:szCs w:val="24"/>
                  <w:u w:val="single"/>
                  <w:lang w:eastAsia="bg-BG"/>
                </w:rPr>
                <w:t>PPT</w:t>
              </w:r>
            </w:hyperlink>
            <w:hyperlink r:id="rId62" w:history="1">
              <w:r w:rsidR="00BE0B19" w:rsidRPr="00AE47C6">
                <w:rPr>
                  <w:rFonts w:ascii="Times New Roman" w:eastAsiaTheme="majorEastAsia" w:hAnsi="Times New Roman"/>
                  <w:kern w:val="24"/>
                  <w:sz w:val="24"/>
                  <w:szCs w:val="24"/>
                  <w:u w:val="single"/>
                  <w:lang w:eastAsia="bg-BG"/>
                </w:rPr>
                <w:t>1</w:t>
              </w:r>
            </w:hyperlink>
          </w:p>
        </w:tc>
        <w:tc>
          <w:tcPr>
            <w:tcW w:w="993" w:type="dxa"/>
            <w:shd w:val="clear" w:color="auto" w:fill="auto"/>
            <w:tcMar>
              <w:top w:w="72" w:type="dxa"/>
              <w:left w:w="144" w:type="dxa"/>
              <w:bottom w:w="72" w:type="dxa"/>
              <w:right w:w="144" w:type="dxa"/>
            </w:tcMar>
            <w:hideMark/>
          </w:tcPr>
          <w:p w14:paraId="10994A4F"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1р32</w:t>
            </w:r>
          </w:p>
        </w:tc>
        <w:tc>
          <w:tcPr>
            <w:tcW w:w="1134" w:type="dxa"/>
            <w:shd w:val="clear" w:color="auto" w:fill="auto"/>
            <w:tcMar>
              <w:top w:w="72" w:type="dxa"/>
              <w:left w:w="144" w:type="dxa"/>
              <w:bottom w:w="72" w:type="dxa"/>
              <w:right w:w="144" w:type="dxa"/>
            </w:tcMar>
            <w:hideMark/>
          </w:tcPr>
          <w:p w14:paraId="63C4728B"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Палмитоил-протеин тиоестераза 1 (</w:t>
            </w:r>
            <w:hyperlink r:id="rId63" w:history="1">
              <w:r w:rsidRPr="00AE47C6">
                <w:rPr>
                  <w:rFonts w:ascii="Times New Roman" w:eastAsiaTheme="majorEastAsia" w:hAnsi="Times New Roman"/>
                  <w:kern w:val="24"/>
                  <w:sz w:val="24"/>
                  <w:szCs w:val="24"/>
                  <w:u w:val="single"/>
                  <w:lang w:eastAsia="bg-BG"/>
                </w:rPr>
                <w:t>PPT</w:t>
              </w:r>
            </w:hyperlink>
            <w:hyperlink r:id="rId64" w:history="1">
              <w:r w:rsidRPr="00AE47C6">
                <w:rPr>
                  <w:rFonts w:ascii="Times New Roman" w:eastAsiaTheme="majorEastAsia" w:hAnsi="Times New Roman"/>
                  <w:kern w:val="24"/>
                  <w:sz w:val="24"/>
                  <w:szCs w:val="24"/>
                  <w:u w:val="single"/>
                  <w:lang w:eastAsia="bg-BG"/>
                </w:rPr>
                <w:t>1</w:t>
              </w:r>
            </w:hyperlink>
            <w:r w:rsidRPr="00AE47C6">
              <w:rPr>
                <w:rFonts w:ascii="Times New Roman" w:eastAsia="SimSun" w:hAnsi="Times New Roman"/>
                <w:kern w:val="24"/>
                <w:sz w:val="24"/>
                <w:szCs w:val="24"/>
                <w:lang w:eastAsia="bg-BG"/>
              </w:rPr>
              <w:t>)</w:t>
            </w:r>
          </w:p>
        </w:tc>
        <w:tc>
          <w:tcPr>
            <w:tcW w:w="992" w:type="dxa"/>
            <w:shd w:val="clear" w:color="auto" w:fill="auto"/>
            <w:tcMar>
              <w:top w:w="72" w:type="dxa"/>
              <w:left w:w="144" w:type="dxa"/>
              <w:bottom w:w="72" w:type="dxa"/>
              <w:right w:w="144" w:type="dxa"/>
            </w:tcMar>
            <w:hideMark/>
          </w:tcPr>
          <w:p w14:paraId="026B2108"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6 месеца- 2 г.</w:t>
            </w:r>
          </w:p>
        </w:tc>
        <w:tc>
          <w:tcPr>
            <w:tcW w:w="2119" w:type="dxa"/>
            <w:shd w:val="clear" w:color="auto" w:fill="auto"/>
            <w:tcMar>
              <w:top w:w="72" w:type="dxa"/>
              <w:left w:w="144" w:type="dxa"/>
              <w:bottom w:w="72" w:type="dxa"/>
              <w:right w:w="144" w:type="dxa"/>
            </w:tcMar>
            <w:hideMark/>
          </w:tcPr>
          <w:p w14:paraId="62DEDDE9"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Когнитивен/ моторен регрес, амблиопия→ амавроза, епилептични миоклонични основно пристъпи</w:t>
            </w:r>
          </w:p>
        </w:tc>
      </w:tr>
      <w:tr w:rsidR="00BE0B19" w:rsidRPr="00AE47C6" w14:paraId="6065F097" w14:textId="77777777" w:rsidTr="00AD72E5">
        <w:trPr>
          <w:trHeight w:val="793"/>
        </w:trPr>
        <w:tc>
          <w:tcPr>
            <w:tcW w:w="1421" w:type="dxa"/>
            <w:vMerge w:val="restart"/>
            <w:shd w:val="clear" w:color="auto" w:fill="auto"/>
            <w:tcMar>
              <w:top w:w="72" w:type="dxa"/>
              <w:left w:w="144" w:type="dxa"/>
              <w:bottom w:w="72" w:type="dxa"/>
              <w:right w:w="144" w:type="dxa"/>
            </w:tcMar>
            <w:hideMark/>
          </w:tcPr>
          <w:p w14:paraId="22BE53CE"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 xml:space="preserve">2. </w:t>
            </w:r>
          </w:p>
          <w:p w14:paraId="7AA1D602" w14:textId="77777777" w:rsidR="00BE0B19" w:rsidRPr="00AE47C6" w:rsidRDefault="00BE0B19" w:rsidP="00BE0B19">
            <w:pPr>
              <w:kinsoku w:val="0"/>
              <w:overflowPunct w:val="0"/>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Късна инфантилна NCL</w:t>
            </w:r>
          </w:p>
        </w:tc>
        <w:tc>
          <w:tcPr>
            <w:tcW w:w="1596" w:type="dxa"/>
            <w:shd w:val="clear" w:color="auto" w:fill="auto"/>
            <w:tcMar>
              <w:top w:w="72" w:type="dxa"/>
              <w:left w:w="144" w:type="dxa"/>
              <w:bottom w:w="72" w:type="dxa"/>
              <w:right w:w="144" w:type="dxa"/>
            </w:tcMar>
            <w:hideMark/>
          </w:tcPr>
          <w:p w14:paraId="2D9BF234"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NCL 2 (TPP1- свързана NCL, класическа късна инфантилна форма, болест на Jansky-Bielschowsky)</w:t>
            </w:r>
          </w:p>
        </w:tc>
        <w:tc>
          <w:tcPr>
            <w:tcW w:w="1096" w:type="dxa"/>
            <w:shd w:val="clear" w:color="auto" w:fill="auto"/>
            <w:tcMar>
              <w:top w:w="72" w:type="dxa"/>
              <w:left w:w="144" w:type="dxa"/>
              <w:bottom w:w="72" w:type="dxa"/>
              <w:right w:w="144" w:type="dxa"/>
            </w:tcMar>
            <w:hideMark/>
          </w:tcPr>
          <w:p w14:paraId="52A788E2"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TPP1</w:t>
            </w:r>
          </w:p>
        </w:tc>
        <w:tc>
          <w:tcPr>
            <w:tcW w:w="993" w:type="dxa"/>
            <w:shd w:val="clear" w:color="auto" w:fill="auto"/>
            <w:tcMar>
              <w:top w:w="72" w:type="dxa"/>
              <w:left w:w="144" w:type="dxa"/>
              <w:bottom w:w="72" w:type="dxa"/>
              <w:right w:w="144" w:type="dxa"/>
            </w:tcMar>
            <w:hideMark/>
          </w:tcPr>
          <w:p w14:paraId="003B37B2"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65" w:history="1">
              <w:r w:rsidR="00BE0B19" w:rsidRPr="00AE47C6">
                <w:rPr>
                  <w:rFonts w:ascii="Times New Roman" w:eastAsiaTheme="majorEastAsia" w:hAnsi="Times New Roman"/>
                  <w:kern w:val="24"/>
                  <w:sz w:val="24"/>
                  <w:szCs w:val="24"/>
                  <w:u w:val="single"/>
                  <w:lang w:eastAsia="bg-BG"/>
                </w:rPr>
                <w:t>11p15.5</w:t>
              </w:r>
            </w:hyperlink>
          </w:p>
        </w:tc>
        <w:tc>
          <w:tcPr>
            <w:tcW w:w="1134" w:type="dxa"/>
            <w:shd w:val="clear" w:color="auto" w:fill="auto"/>
            <w:tcMar>
              <w:top w:w="72" w:type="dxa"/>
              <w:left w:w="144" w:type="dxa"/>
              <w:bottom w:w="72" w:type="dxa"/>
              <w:right w:w="144" w:type="dxa"/>
            </w:tcMar>
            <w:hideMark/>
          </w:tcPr>
          <w:p w14:paraId="7AD46939"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Трипептидил-пептидаза (ТРР1)</w:t>
            </w:r>
          </w:p>
        </w:tc>
        <w:tc>
          <w:tcPr>
            <w:tcW w:w="992" w:type="dxa"/>
            <w:shd w:val="clear" w:color="auto" w:fill="auto"/>
            <w:tcMar>
              <w:top w:w="72" w:type="dxa"/>
              <w:left w:w="144" w:type="dxa"/>
              <w:bottom w:w="72" w:type="dxa"/>
              <w:right w:w="144" w:type="dxa"/>
            </w:tcMar>
            <w:hideMark/>
          </w:tcPr>
          <w:p w14:paraId="41D5AD70"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2-4 г.</w:t>
            </w:r>
          </w:p>
        </w:tc>
        <w:tc>
          <w:tcPr>
            <w:tcW w:w="2119" w:type="dxa"/>
            <w:shd w:val="clear" w:color="auto" w:fill="auto"/>
            <w:tcMar>
              <w:top w:w="72" w:type="dxa"/>
              <w:left w:w="144" w:type="dxa"/>
              <w:bottom w:w="72" w:type="dxa"/>
              <w:right w:w="144" w:type="dxa"/>
            </w:tcMar>
            <w:hideMark/>
          </w:tcPr>
          <w:p w14:paraId="3D6B81F9"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Епилептични основно миоклонии пристъпи, моторен/когнитивен регрес, атаксия, екстрапирамиден синдром, амблиопия→ амавроза</w:t>
            </w:r>
          </w:p>
        </w:tc>
      </w:tr>
      <w:tr w:rsidR="00BE0B19" w:rsidRPr="00AE47C6" w14:paraId="0BD57E7C" w14:textId="77777777" w:rsidTr="00AD72E5">
        <w:trPr>
          <w:trHeight w:val="853"/>
        </w:trPr>
        <w:tc>
          <w:tcPr>
            <w:tcW w:w="1421" w:type="dxa"/>
            <w:vMerge/>
            <w:vAlign w:val="center"/>
            <w:hideMark/>
          </w:tcPr>
          <w:p w14:paraId="41CBC778" w14:textId="77777777" w:rsidR="00BE0B19" w:rsidRPr="00AE47C6" w:rsidRDefault="00BE0B19" w:rsidP="00BE0B19">
            <w:pPr>
              <w:spacing w:after="0" w:line="360" w:lineRule="auto"/>
              <w:rPr>
                <w:rFonts w:ascii="Times New Roman" w:eastAsia="SimSun" w:hAnsi="Times New Roman"/>
                <w:sz w:val="24"/>
                <w:szCs w:val="24"/>
              </w:rPr>
            </w:pPr>
          </w:p>
        </w:tc>
        <w:tc>
          <w:tcPr>
            <w:tcW w:w="1596" w:type="dxa"/>
            <w:shd w:val="clear" w:color="auto" w:fill="auto"/>
            <w:tcMar>
              <w:top w:w="72" w:type="dxa"/>
              <w:left w:w="144" w:type="dxa"/>
              <w:bottom w:w="72" w:type="dxa"/>
              <w:right w:w="144" w:type="dxa"/>
            </w:tcMar>
            <w:hideMark/>
          </w:tcPr>
          <w:p w14:paraId="41B00EAD"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CLN5-свързана NCL, финландски вариант на късната инфантилна форма)</w:t>
            </w:r>
          </w:p>
        </w:tc>
        <w:tc>
          <w:tcPr>
            <w:tcW w:w="1096" w:type="dxa"/>
            <w:shd w:val="clear" w:color="auto" w:fill="auto"/>
            <w:tcMar>
              <w:top w:w="72" w:type="dxa"/>
              <w:left w:w="144" w:type="dxa"/>
              <w:bottom w:w="72" w:type="dxa"/>
              <w:right w:w="144" w:type="dxa"/>
            </w:tcMar>
            <w:hideMark/>
          </w:tcPr>
          <w:p w14:paraId="1A2FD2A6"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66" w:history="1">
              <w:r w:rsidR="00BE0B19" w:rsidRPr="00AE47C6">
                <w:rPr>
                  <w:rFonts w:ascii="Times New Roman" w:eastAsiaTheme="majorEastAsia" w:hAnsi="Times New Roman"/>
                  <w:kern w:val="24"/>
                  <w:sz w:val="24"/>
                  <w:szCs w:val="24"/>
                  <w:u w:val="single"/>
                  <w:lang w:eastAsia="bg-BG"/>
                </w:rPr>
                <w:t>CLN</w:t>
              </w:r>
            </w:hyperlink>
            <w:hyperlink r:id="rId67" w:history="1">
              <w:r w:rsidR="00BE0B19" w:rsidRPr="00AE47C6">
                <w:rPr>
                  <w:rFonts w:ascii="Times New Roman" w:eastAsiaTheme="majorEastAsia" w:hAnsi="Times New Roman"/>
                  <w:kern w:val="24"/>
                  <w:sz w:val="24"/>
                  <w:szCs w:val="24"/>
                  <w:u w:val="single"/>
                  <w:lang w:eastAsia="bg-BG"/>
                </w:rPr>
                <w:t>5</w:t>
              </w:r>
            </w:hyperlink>
          </w:p>
        </w:tc>
        <w:tc>
          <w:tcPr>
            <w:tcW w:w="993" w:type="dxa"/>
            <w:shd w:val="clear" w:color="auto" w:fill="auto"/>
            <w:tcMar>
              <w:top w:w="72" w:type="dxa"/>
              <w:left w:w="144" w:type="dxa"/>
              <w:bottom w:w="72" w:type="dxa"/>
              <w:right w:w="144" w:type="dxa"/>
            </w:tcMar>
            <w:hideMark/>
          </w:tcPr>
          <w:p w14:paraId="37B0EEF1"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13q21.1-q32</w:t>
            </w:r>
          </w:p>
        </w:tc>
        <w:tc>
          <w:tcPr>
            <w:tcW w:w="1134" w:type="dxa"/>
            <w:shd w:val="clear" w:color="auto" w:fill="auto"/>
            <w:tcMar>
              <w:top w:w="72" w:type="dxa"/>
              <w:left w:w="144" w:type="dxa"/>
              <w:bottom w:w="72" w:type="dxa"/>
              <w:right w:w="144" w:type="dxa"/>
            </w:tcMar>
            <w:hideMark/>
          </w:tcPr>
          <w:p w14:paraId="19CB55B7"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CLN протеин 5</w:t>
            </w:r>
          </w:p>
        </w:tc>
        <w:tc>
          <w:tcPr>
            <w:tcW w:w="992" w:type="dxa"/>
            <w:shd w:val="clear" w:color="auto" w:fill="auto"/>
            <w:tcMar>
              <w:top w:w="72" w:type="dxa"/>
              <w:left w:w="144" w:type="dxa"/>
              <w:bottom w:w="72" w:type="dxa"/>
              <w:right w:w="144" w:type="dxa"/>
            </w:tcMar>
            <w:hideMark/>
          </w:tcPr>
          <w:p w14:paraId="28A40FDE"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 xml:space="preserve">4-7 г. </w:t>
            </w:r>
          </w:p>
        </w:tc>
        <w:tc>
          <w:tcPr>
            <w:tcW w:w="2119" w:type="dxa"/>
            <w:shd w:val="clear" w:color="auto" w:fill="auto"/>
            <w:tcMar>
              <w:top w:w="72" w:type="dxa"/>
              <w:left w:w="144" w:type="dxa"/>
              <w:bottom w:w="72" w:type="dxa"/>
              <w:right w:w="144" w:type="dxa"/>
            </w:tcMar>
            <w:hideMark/>
          </w:tcPr>
          <w:p w14:paraId="39018EF1"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Моторен/когнитивен регрес, епилептични припадъци, амблиопия→ амавроза</w:t>
            </w:r>
          </w:p>
        </w:tc>
      </w:tr>
      <w:tr w:rsidR="00BE0B19" w:rsidRPr="00AE47C6" w14:paraId="56B69CCC" w14:textId="77777777" w:rsidTr="00AD72E5">
        <w:trPr>
          <w:trHeight w:val="795"/>
        </w:trPr>
        <w:tc>
          <w:tcPr>
            <w:tcW w:w="1421" w:type="dxa"/>
            <w:vMerge/>
            <w:vAlign w:val="center"/>
            <w:hideMark/>
          </w:tcPr>
          <w:p w14:paraId="186200BD" w14:textId="77777777" w:rsidR="00BE0B19" w:rsidRPr="00AE47C6" w:rsidRDefault="00BE0B19" w:rsidP="00BE0B19">
            <w:pPr>
              <w:spacing w:after="0" w:line="360" w:lineRule="auto"/>
              <w:rPr>
                <w:rFonts w:ascii="Times New Roman" w:eastAsia="SimSun" w:hAnsi="Times New Roman"/>
                <w:sz w:val="24"/>
                <w:szCs w:val="24"/>
              </w:rPr>
            </w:pPr>
          </w:p>
        </w:tc>
        <w:tc>
          <w:tcPr>
            <w:tcW w:w="1596" w:type="dxa"/>
            <w:shd w:val="clear" w:color="auto" w:fill="auto"/>
            <w:tcMar>
              <w:top w:w="72" w:type="dxa"/>
              <w:left w:w="144" w:type="dxa"/>
              <w:bottom w:w="72" w:type="dxa"/>
              <w:right w:w="144" w:type="dxa"/>
            </w:tcMar>
            <w:hideMark/>
          </w:tcPr>
          <w:p w14:paraId="02C31427"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 xml:space="preserve">CLN6-свързана NCL (индийски вариант на късната инфантилна форма) </w:t>
            </w:r>
          </w:p>
        </w:tc>
        <w:tc>
          <w:tcPr>
            <w:tcW w:w="1096" w:type="dxa"/>
            <w:shd w:val="clear" w:color="auto" w:fill="auto"/>
            <w:tcMar>
              <w:top w:w="72" w:type="dxa"/>
              <w:left w:w="144" w:type="dxa"/>
              <w:bottom w:w="72" w:type="dxa"/>
              <w:right w:w="144" w:type="dxa"/>
            </w:tcMar>
            <w:hideMark/>
          </w:tcPr>
          <w:p w14:paraId="10E8C635"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68" w:history="1">
              <w:r w:rsidR="00BE0B19" w:rsidRPr="00AE47C6">
                <w:rPr>
                  <w:rFonts w:ascii="Times New Roman" w:eastAsiaTheme="majorEastAsia" w:hAnsi="Times New Roman"/>
                  <w:kern w:val="24"/>
                  <w:sz w:val="24"/>
                  <w:szCs w:val="24"/>
                  <w:u w:val="single"/>
                  <w:lang w:eastAsia="bg-BG"/>
                </w:rPr>
                <w:t>CLN</w:t>
              </w:r>
            </w:hyperlink>
            <w:hyperlink r:id="rId69" w:history="1">
              <w:r w:rsidR="00BE0B19" w:rsidRPr="00AE47C6">
                <w:rPr>
                  <w:rFonts w:ascii="Times New Roman" w:eastAsiaTheme="majorEastAsia" w:hAnsi="Times New Roman"/>
                  <w:kern w:val="24"/>
                  <w:sz w:val="24"/>
                  <w:szCs w:val="24"/>
                  <w:u w:val="single"/>
                  <w:lang w:eastAsia="bg-BG"/>
                </w:rPr>
                <w:t>6</w:t>
              </w:r>
            </w:hyperlink>
          </w:p>
        </w:tc>
        <w:tc>
          <w:tcPr>
            <w:tcW w:w="993" w:type="dxa"/>
            <w:shd w:val="clear" w:color="auto" w:fill="auto"/>
            <w:tcMar>
              <w:top w:w="72" w:type="dxa"/>
              <w:left w:w="144" w:type="dxa"/>
              <w:bottom w:w="72" w:type="dxa"/>
              <w:right w:w="144" w:type="dxa"/>
            </w:tcMar>
            <w:hideMark/>
          </w:tcPr>
          <w:p w14:paraId="4D088EE9"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70" w:history="1">
              <w:r w:rsidR="00BE0B19" w:rsidRPr="00AE47C6">
                <w:rPr>
                  <w:rFonts w:ascii="Times New Roman" w:eastAsiaTheme="majorEastAsia" w:hAnsi="Times New Roman"/>
                  <w:kern w:val="24"/>
                  <w:sz w:val="24"/>
                  <w:szCs w:val="24"/>
                  <w:u w:val="single"/>
                  <w:lang w:eastAsia="bg-BG"/>
                </w:rPr>
                <w:t>15q21-q23</w:t>
              </w:r>
            </w:hyperlink>
          </w:p>
        </w:tc>
        <w:tc>
          <w:tcPr>
            <w:tcW w:w="1134" w:type="dxa"/>
            <w:shd w:val="clear" w:color="auto" w:fill="auto"/>
            <w:tcMar>
              <w:top w:w="72" w:type="dxa"/>
              <w:left w:w="144" w:type="dxa"/>
              <w:bottom w:w="72" w:type="dxa"/>
              <w:right w:w="144" w:type="dxa"/>
            </w:tcMar>
            <w:hideMark/>
          </w:tcPr>
          <w:p w14:paraId="5C5F5F34"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71" w:history="1">
              <w:r w:rsidR="00BE0B19" w:rsidRPr="00AE47C6">
                <w:rPr>
                  <w:rFonts w:ascii="Times New Roman" w:eastAsiaTheme="majorEastAsia" w:hAnsi="Times New Roman"/>
                  <w:kern w:val="24"/>
                  <w:sz w:val="24"/>
                  <w:szCs w:val="24"/>
                  <w:u w:val="single"/>
                  <w:lang w:eastAsia="bg-BG"/>
                </w:rPr>
                <w:t>C</w:t>
              </w:r>
            </w:hyperlink>
            <w:hyperlink r:id="rId72" w:history="1">
              <w:r w:rsidR="00BE0B19" w:rsidRPr="00AE47C6">
                <w:rPr>
                  <w:rFonts w:ascii="Times New Roman" w:eastAsiaTheme="majorEastAsia" w:hAnsi="Times New Roman"/>
                  <w:kern w:val="24"/>
                  <w:sz w:val="24"/>
                  <w:szCs w:val="24"/>
                  <w:u w:val="single"/>
                  <w:lang w:eastAsia="bg-BG"/>
                </w:rPr>
                <w:t>LN</w:t>
              </w:r>
            </w:hyperlink>
            <w:hyperlink r:id="rId73" w:history="1">
              <w:r w:rsidR="00BE0B19" w:rsidRPr="00AE47C6">
                <w:rPr>
                  <w:rFonts w:ascii="Times New Roman" w:eastAsiaTheme="majorEastAsia" w:hAnsi="Times New Roman"/>
                  <w:kern w:val="24"/>
                  <w:sz w:val="24"/>
                  <w:szCs w:val="24"/>
                  <w:u w:val="single"/>
                  <w:lang w:eastAsia="bg-BG"/>
                </w:rPr>
                <w:t xml:space="preserve"> протеин 6</w:t>
              </w:r>
            </w:hyperlink>
          </w:p>
        </w:tc>
        <w:tc>
          <w:tcPr>
            <w:tcW w:w="992" w:type="dxa"/>
            <w:shd w:val="clear" w:color="auto" w:fill="auto"/>
            <w:tcMar>
              <w:top w:w="72" w:type="dxa"/>
              <w:left w:w="144" w:type="dxa"/>
              <w:bottom w:w="72" w:type="dxa"/>
              <w:right w:w="144" w:type="dxa"/>
            </w:tcMar>
            <w:hideMark/>
          </w:tcPr>
          <w:p w14:paraId="51D43092"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1.6 - 8 г.</w:t>
            </w:r>
          </w:p>
        </w:tc>
        <w:tc>
          <w:tcPr>
            <w:tcW w:w="2119" w:type="dxa"/>
            <w:shd w:val="clear" w:color="auto" w:fill="auto"/>
            <w:tcMar>
              <w:top w:w="72" w:type="dxa"/>
              <w:left w:w="144" w:type="dxa"/>
              <w:bottom w:w="72" w:type="dxa"/>
              <w:right w:w="144" w:type="dxa"/>
            </w:tcMar>
            <w:hideMark/>
          </w:tcPr>
          <w:p w14:paraId="54583358"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Амблиопия→ амавроза, епилептични пристъпи, атаксия, когнитивен и моторен регрес</w:t>
            </w:r>
          </w:p>
        </w:tc>
      </w:tr>
      <w:tr w:rsidR="00BE0B19" w:rsidRPr="00AE47C6" w14:paraId="00A0D1EB" w14:textId="77777777" w:rsidTr="00AD72E5">
        <w:trPr>
          <w:trHeight w:val="1037"/>
        </w:trPr>
        <w:tc>
          <w:tcPr>
            <w:tcW w:w="1421" w:type="dxa"/>
            <w:vMerge/>
            <w:vAlign w:val="center"/>
            <w:hideMark/>
          </w:tcPr>
          <w:p w14:paraId="36AA122E" w14:textId="77777777" w:rsidR="00BE0B19" w:rsidRPr="00AE47C6" w:rsidRDefault="00BE0B19" w:rsidP="00BE0B19">
            <w:pPr>
              <w:spacing w:after="0" w:line="360" w:lineRule="auto"/>
              <w:rPr>
                <w:rFonts w:ascii="Times New Roman" w:eastAsia="SimSun" w:hAnsi="Times New Roman"/>
                <w:sz w:val="24"/>
                <w:szCs w:val="24"/>
              </w:rPr>
            </w:pPr>
          </w:p>
        </w:tc>
        <w:tc>
          <w:tcPr>
            <w:tcW w:w="1596" w:type="dxa"/>
            <w:shd w:val="clear" w:color="auto" w:fill="auto"/>
            <w:tcMar>
              <w:top w:w="72" w:type="dxa"/>
              <w:left w:w="144" w:type="dxa"/>
              <w:bottom w:w="72" w:type="dxa"/>
              <w:right w:w="144" w:type="dxa"/>
            </w:tcMar>
            <w:hideMark/>
          </w:tcPr>
          <w:p w14:paraId="358840E9"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MFSD8- свързана NCL (цигански вариант на късната инфантилна форма)</w:t>
            </w:r>
          </w:p>
        </w:tc>
        <w:tc>
          <w:tcPr>
            <w:tcW w:w="1096" w:type="dxa"/>
            <w:shd w:val="clear" w:color="auto" w:fill="auto"/>
            <w:tcMar>
              <w:top w:w="72" w:type="dxa"/>
              <w:left w:w="144" w:type="dxa"/>
              <w:bottom w:w="72" w:type="dxa"/>
              <w:right w:w="144" w:type="dxa"/>
            </w:tcMar>
            <w:hideMark/>
          </w:tcPr>
          <w:p w14:paraId="472EE816"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74" w:history="1">
              <w:r w:rsidR="00BE0B19" w:rsidRPr="00AE47C6">
                <w:rPr>
                  <w:rFonts w:ascii="Times New Roman" w:eastAsiaTheme="majorEastAsia" w:hAnsi="Times New Roman"/>
                  <w:kern w:val="24"/>
                  <w:sz w:val="24"/>
                  <w:szCs w:val="24"/>
                  <w:u w:val="single"/>
                  <w:lang w:eastAsia="bg-BG"/>
                </w:rPr>
                <w:t>MFSD</w:t>
              </w:r>
            </w:hyperlink>
            <w:hyperlink r:id="rId75" w:history="1">
              <w:r w:rsidR="00BE0B19" w:rsidRPr="00AE47C6">
                <w:rPr>
                  <w:rFonts w:ascii="Times New Roman" w:eastAsiaTheme="majorEastAsia" w:hAnsi="Times New Roman"/>
                  <w:kern w:val="24"/>
                  <w:sz w:val="24"/>
                  <w:szCs w:val="24"/>
                  <w:u w:val="single"/>
                  <w:lang w:eastAsia="bg-BG"/>
                </w:rPr>
                <w:t>8</w:t>
              </w:r>
            </w:hyperlink>
          </w:p>
        </w:tc>
        <w:tc>
          <w:tcPr>
            <w:tcW w:w="993" w:type="dxa"/>
            <w:shd w:val="clear" w:color="auto" w:fill="auto"/>
            <w:tcMar>
              <w:top w:w="72" w:type="dxa"/>
              <w:left w:w="144" w:type="dxa"/>
              <w:bottom w:w="72" w:type="dxa"/>
              <w:right w:w="144" w:type="dxa"/>
            </w:tcMar>
            <w:hideMark/>
          </w:tcPr>
          <w:p w14:paraId="6D8A6BBB"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76" w:history="1">
              <w:r w:rsidR="00BE0B19" w:rsidRPr="00AE47C6">
                <w:rPr>
                  <w:rFonts w:ascii="Times New Roman" w:eastAsiaTheme="majorEastAsia" w:hAnsi="Times New Roman"/>
                  <w:kern w:val="24"/>
                  <w:sz w:val="24"/>
                  <w:szCs w:val="24"/>
                  <w:u w:val="single"/>
                  <w:lang w:eastAsia="bg-BG"/>
                </w:rPr>
                <w:t>4q28.1-q28.2</w:t>
              </w:r>
            </w:hyperlink>
          </w:p>
        </w:tc>
        <w:tc>
          <w:tcPr>
            <w:tcW w:w="1134" w:type="dxa"/>
            <w:shd w:val="clear" w:color="auto" w:fill="auto"/>
            <w:tcMar>
              <w:top w:w="72" w:type="dxa"/>
              <w:left w:w="144" w:type="dxa"/>
              <w:bottom w:w="72" w:type="dxa"/>
              <w:right w:w="144" w:type="dxa"/>
            </w:tcMar>
            <w:hideMark/>
          </w:tcPr>
          <w:p w14:paraId="7253D9AB"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Транспортен протеин 8</w:t>
            </w:r>
          </w:p>
        </w:tc>
        <w:tc>
          <w:tcPr>
            <w:tcW w:w="992" w:type="dxa"/>
            <w:shd w:val="clear" w:color="auto" w:fill="auto"/>
            <w:tcMar>
              <w:top w:w="72" w:type="dxa"/>
              <w:left w:w="144" w:type="dxa"/>
              <w:bottom w:w="72" w:type="dxa"/>
              <w:right w:w="144" w:type="dxa"/>
            </w:tcMar>
            <w:hideMark/>
          </w:tcPr>
          <w:p w14:paraId="15D27554"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3</w:t>
            </w:r>
          </w:p>
        </w:tc>
        <w:tc>
          <w:tcPr>
            <w:tcW w:w="2119" w:type="dxa"/>
            <w:shd w:val="clear" w:color="auto" w:fill="auto"/>
            <w:tcMar>
              <w:top w:w="72" w:type="dxa"/>
              <w:left w:w="144" w:type="dxa"/>
              <w:bottom w:w="72" w:type="dxa"/>
              <w:right w:w="144" w:type="dxa"/>
            </w:tcMar>
            <w:hideMark/>
          </w:tcPr>
          <w:p w14:paraId="45EBC2E6"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Амблиопия → амавроза, епилептични пристъпи,  миоклонии, когнитивен и моторен регрес</w:t>
            </w:r>
          </w:p>
        </w:tc>
      </w:tr>
      <w:tr w:rsidR="00BE0B19" w:rsidRPr="00AE47C6" w14:paraId="2AB12996" w14:textId="77777777" w:rsidTr="00AD72E5">
        <w:trPr>
          <w:trHeight w:val="791"/>
        </w:trPr>
        <w:tc>
          <w:tcPr>
            <w:tcW w:w="1421" w:type="dxa"/>
            <w:vMerge/>
            <w:vAlign w:val="center"/>
            <w:hideMark/>
          </w:tcPr>
          <w:p w14:paraId="34A1C81D" w14:textId="77777777" w:rsidR="00BE0B19" w:rsidRPr="00AE47C6" w:rsidRDefault="00BE0B19" w:rsidP="00BE0B19">
            <w:pPr>
              <w:spacing w:after="0" w:line="360" w:lineRule="auto"/>
              <w:rPr>
                <w:rFonts w:ascii="Times New Roman" w:eastAsia="SimSun" w:hAnsi="Times New Roman"/>
                <w:sz w:val="24"/>
                <w:szCs w:val="24"/>
              </w:rPr>
            </w:pPr>
          </w:p>
        </w:tc>
        <w:tc>
          <w:tcPr>
            <w:tcW w:w="1596" w:type="dxa"/>
            <w:shd w:val="clear" w:color="auto" w:fill="auto"/>
            <w:tcMar>
              <w:top w:w="72" w:type="dxa"/>
              <w:left w:w="144" w:type="dxa"/>
              <w:bottom w:w="72" w:type="dxa"/>
              <w:right w:w="144" w:type="dxa"/>
            </w:tcMar>
            <w:hideMark/>
          </w:tcPr>
          <w:p w14:paraId="3D86CCAA"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i/>
                <w:iCs/>
                <w:kern w:val="24"/>
                <w:sz w:val="24"/>
                <w:szCs w:val="24"/>
                <w:lang w:eastAsia="bg-BG"/>
              </w:rPr>
              <w:t>CLN8</w:t>
            </w:r>
            <w:r w:rsidRPr="00AE47C6">
              <w:rPr>
                <w:rFonts w:ascii="Times New Roman" w:eastAsia="SimSun" w:hAnsi="Times New Roman"/>
                <w:bCs/>
                <w:kern w:val="24"/>
                <w:sz w:val="24"/>
                <w:szCs w:val="24"/>
                <w:lang w:eastAsia="bg-BG"/>
              </w:rPr>
              <w:t>-свързана NCL (турски вариант на късната инфантилна форма)</w:t>
            </w:r>
          </w:p>
        </w:tc>
        <w:tc>
          <w:tcPr>
            <w:tcW w:w="1096" w:type="dxa"/>
            <w:shd w:val="clear" w:color="auto" w:fill="auto"/>
            <w:tcMar>
              <w:top w:w="72" w:type="dxa"/>
              <w:left w:w="144" w:type="dxa"/>
              <w:bottom w:w="72" w:type="dxa"/>
              <w:right w:w="144" w:type="dxa"/>
            </w:tcMar>
            <w:hideMark/>
          </w:tcPr>
          <w:p w14:paraId="776669B6"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77" w:history="1">
              <w:r w:rsidR="00BE0B19" w:rsidRPr="00AE47C6">
                <w:rPr>
                  <w:rFonts w:ascii="Times New Roman" w:eastAsiaTheme="majorEastAsia" w:hAnsi="Times New Roman"/>
                  <w:kern w:val="24"/>
                  <w:sz w:val="24"/>
                  <w:szCs w:val="24"/>
                  <w:u w:val="single"/>
                  <w:lang w:eastAsia="bg-BG"/>
                </w:rPr>
                <w:t>CLN</w:t>
              </w:r>
            </w:hyperlink>
            <w:hyperlink r:id="rId78" w:history="1">
              <w:r w:rsidR="00BE0B19" w:rsidRPr="00AE47C6">
                <w:rPr>
                  <w:rFonts w:ascii="Times New Roman" w:eastAsiaTheme="majorEastAsia" w:hAnsi="Times New Roman"/>
                  <w:kern w:val="24"/>
                  <w:sz w:val="24"/>
                  <w:szCs w:val="24"/>
                  <w:u w:val="single"/>
                  <w:lang w:eastAsia="bg-BG"/>
                </w:rPr>
                <w:t>8</w:t>
              </w:r>
            </w:hyperlink>
          </w:p>
        </w:tc>
        <w:tc>
          <w:tcPr>
            <w:tcW w:w="993" w:type="dxa"/>
            <w:shd w:val="clear" w:color="auto" w:fill="auto"/>
            <w:tcMar>
              <w:top w:w="72" w:type="dxa"/>
              <w:left w:w="144" w:type="dxa"/>
              <w:bottom w:w="72" w:type="dxa"/>
              <w:right w:w="144" w:type="dxa"/>
            </w:tcMar>
            <w:hideMark/>
          </w:tcPr>
          <w:p w14:paraId="2EF26C72"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79" w:history="1">
              <w:r w:rsidR="00BE0B19" w:rsidRPr="00AE47C6">
                <w:rPr>
                  <w:rFonts w:ascii="Times New Roman" w:eastAsiaTheme="majorEastAsia" w:hAnsi="Times New Roman"/>
                  <w:kern w:val="24"/>
                  <w:sz w:val="24"/>
                  <w:szCs w:val="24"/>
                  <w:u w:val="single"/>
                  <w:lang w:eastAsia="bg-BG"/>
                </w:rPr>
                <w:t>8p23</w:t>
              </w:r>
            </w:hyperlink>
          </w:p>
        </w:tc>
        <w:tc>
          <w:tcPr>
            <w:tcW w:w="1134" w:type="dxa"/>
            <w:shd w:val="clear" w:color="auto" w:fill="auto"/>
            <w:tcMar>
              <w:top w:w="72" w:type="dxa"/>
              <w:left w:w="144" w:type="dxa"/>
              <w:bottom w:w="72" w:type="dxa"/>
              <w:right w:w="144" w:type="dxa"/>
            </w:tcMar>
            <w:hideMark/>
          </w:tcPr>
          <w:p w14:paraId="253718AC"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80" w:history="1">
              <w:r w:rsidR="00BE0B19" w:rsidRPr="00AE47C6">
                <w:rPr>
                  <w:rFonts w:ascii="Times New Roman" w:eastAsiaTheme="majorEastAsia" w:hAnsi="Times New Roman"/>
                  <w:kern w:val="24"/>
                  <w:sz w:val="24"/>
                  <w:szCs w:val="24"/>
                  <w:u w:val="single"/>
                  <w:lang w:eastAsia="bg-BG"/>
                </w:rPr>
                <w:t>C</w:t>
              </w:r>
            </w:hyperlink>
            <w:hyperlink r:id="rId81" w:history="1">
              <w:r w:rsidR="00BE0B19" w:rsidRPr="00AE47C6">
                <w:rPr>
                  <w:rFonts w:ascii="Times New Roman" w:eastAsiaTheme="majorEastAsia" w:hAnsi="Times New Roman"/>
                  <w:kern w:val="24"/>
                  <w:sz w:val="24"/>
                  <w:szCs w:val="24"/>
                  <w:u w:val="single"/>
                  <w:lang w:eastAsia="bg-BG"/>
                </w:rPr>
                <w:t>LN</w:t>
              </w:r>
            </w:hyperlink>
            <w:hyperlink r:id="rId82" w:history="1">
              <w:r w:rsidR="00BE0B19" w:rsidRPr="00AE47C6">
                <w:rPr>
                  <w:rFonts w:ascii="Times New Roman" w:eastAsiaTheme="majorEastAsia" w:hAnsi="Times New Roman"/>
                  <w:kern w:val="24"/>
                  <w:sz w:val="24"/>
                  <w:szCs w:val="24"/>
                  <w:u w:val="single"/>
                  <w:lang w:eastAsia="bg-BG"/>
                </w:rPr>
                <w:t xml:space="preserve"> протеин </w:t>
              </w:r>
            </w:hyperlink>
            <w:hyperlink r:id="rId83" w:history="1">
              <w:r w:rsidR="00BE0B19" w:rsidRPr="00AE47C6">
                <w:rPr>
                  <w:rFonts w:ascii="Times New Roman" w:eastAsiaTheme="majorEastAsia" w:hAnsi="Times New Roman"/>
                  <w:kern w:val="24"/>
                  <w:sz w:val="24"/>
                  <w:szCs w:val="24"/>
                  <w:u w:val="single"/>
                  <w:lang w:eastAsia="bg-BG"/>
                </w:rPr>
                <w:t>8</w:t>
              </w:r>
            </w:hyperlink>
          </w:p>
        </w:tc>
        <w:tc>
          <w:tcPr>
            <w:tcW w:w="992" w:type="dxa"/>
            <w:shd w:val="clear" w:color="auto" w:fill="auto"/>
            <w:tcMar>
              <w:top w:w="72" w:type="dxa"/>
              <w:left w:w="144" w:type="dxa"/>
              <w:bottom w:w="72" w:type="dxa"/>
              <w:right w:w="144" w:type="dxa"/>
            </w:tcMar>
            <w:hideMark/>
          </w:tcPr>
          <w:p w14:paraId="4DBA4E5C"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 xml:space="preserve">2- 7.5 г. </w:t>
            </w:r>
          </w:p>
        </w:tc>
        <w:tc>
          <w:tcPr>
            <w:tcW w:w="2119" w:type="dxa"/>
            <w:shd w:val="clear" w:color="auto" w:fill="auto"/>
            <w:tcMar>
              <w:top w:w="72" w:type="dxa"/>
              <w:left w:w="144" w:type="dxa"/>
              <w:bottom w:w="72" w:type="dxa"/>
              <w:right w:w="144" w:type="dxa"/>
            </w:tcMar>
            <w:hideMark/>
          </w:tcPr>
          <w:p w14:paraId="7F5CEB05"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Епилептични припадъци, когнитивен регрес, понякога амблиопия</w:t>
            </w:r>
          </w:p>
        </w:tc>
      </w:tr>
      <w:tr w:rsidR="00BE0B19" w:rsidRPr="00AE47C6" w14:paraId="08831011" w14:textId="77777777" w:rsidTr="00AD72E5">
        <w:trPr>
          <w:trHeight w:val="758"/>
        </w:trPr>
        <w:tc>
          <w:tcPr>
            <w:tcW w:w="1421" w:type="dxa"/>
            <w:vMerge/>
            <w:vAlign w:val="center"/>
            <w:hideMark/>
          </w:tcPr>
          <w:p w14:paraId="69952240" w14:textId="77777777" w:rsidR="00BE0B19" w:rsidRPr="00AE47C6" w:rsidRDefault="00BE0B19" w:rsidP="00BE0B19">
            <w:pPr>
              <w:spacing w:after="0" w:line="360" w:lineRule="auto"/>
              <w:rPr>
                <w:rFonts w:ascii="Times New Roman" w:eastAsia="SimSun" w:hAnsi="Times New Roman"/>
                <w:sz w:val="24"/>
                <w:szCs w:val="24"/>
              </w:rPr>
            </w:pPr>
          </w:p>
        </w:tc>
        <w:tc>
          <w:tcPr>
            <w:tcW w:w="1596" w:type="dxa"/>
            <w:vMerge w:val="restart"/>
            <w:shd w:val="clear" w:color="auto" w:fill="auto"/>
            <w:tcMar>
              <w:top w:w="72" w:type="dxa"/>
              <w:left w:w="144" w:type="dxa"/>
              <w:bottom w:w="72" w:type="dxa"/>
              <w:right w:w="144" w:type="dxa"/>
            </w:tcMar>
            <w:hideMark/>
          </w:tcPr>
          <w:p w14:paraId="194FEB63"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Други варианти на късната инфантилнаNCL</w:t>
            </w:r>
          </w:p>
        </w:tc>
        <w:tc>
          <w:tcPr>
            <w:tcW w:w="1096" w:type="dxa"/>
            <w:shd w:val="clear" w:color="auto" w:fill="auto"/>
            <w:tcMar>
              <w:top w:w="72" w:type="dxa"/>
              <w:left w:w="144" w:type="dxa"/>
              <w:bottom w:w="72" w:type="dxa"/>
              <w:right w:w="144" w:type="dxa"/>
            </w:tcMar>
            <w:hideMark/>
          </w:tcPr>
          <w:p w14:paraId="2A05EB4A"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CTSD</w:t>
            </w:r>
          </w:p>
        </w:tc>
        <w:tc>
          <w:tcPr>
            <w:tcW w:w="993" w:type="dxa"/>
            <w:shd w:val="clear" w:color="auto" w:fill="auto"/>
            <w:tcMar>
              <w:top w:w="72" w:type="dxa"/>
              <w:left w:w="144" w:type="dxa"/>
              <w:bottom w:w="72" w:type="dxa"/>
              <w:right w:w="144" w:type="dxa"/>
            </w:tcMar>
            <w:hideMark/>
          </w:tcPr>
          <w:p w14:paraId="402043CF"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84" w:history="1">
              <w:r w:rsidR="00BE0B19" w:rsidRPr="00AE47C6">
                <w:rPr>
                  <w:rFonts w:ascii="Times New Roman" w:eastAsiaTheme="majorEastAsia" w:hAnsi="Times New Roman"/>
                  <w:kern w:val="24"/>
                  <w:sz w:val="24"/>
                  <w:szCs w:val="24"/>
                  <w:u w:val="single"/>
                  <w:lang w:eastAsia="bg-BG"/>
                </w:rPr>
                <w:t>11p15.5</w:t>
              </w:r>
            </w:hyperlink>
          </w:p>
        </w:tc>
        <w:tc>
          <w:tcPr>
            <w:tcW w:w="1134" w:type="dxa"/>
            <w:shd w:val="clear" w:color="auto" w:fill="auto"/>
            <w:tcMar>
              <w:top w:w="72" w:type="dxa"/>
              <w:left w:w="144" w:type="dxa"/>
              <w:bottom w:w="72" w:type="dxa"/>
              <w:right w:w="144" w:type="dxa"/>
            </w:tcMar>
            <w:hideMark/>
          </w:tcPr>
          <w:p w14:paraId="30D63271"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85" w:history="1">
              <w:r w:rsidR="00BE0B19" w:rsidRPr="00AE47C6">
                <w:rPr>
                  <w:rFonts w:ascii="Times New Roman" w:eastAsiaTheme="majorEastAsia" w:hAnsi="Times New Roman"/>
                  <w:kern w:val="24"/>
                  <w:sz w:val="24"/>
                  <w:szCs w:val="24"/>
                  <w:u w:val="single"/>
                  <w:lang w:eastAsia="bg-BG"/>
                </w:rPr>
                <w:t>Cathepsin D</w:t>
              </w:r>
            </w:hyperlink>
          </w:p>
        </w:tc>
        <w:tc>
          <w:tcPr>
            <w:tcW w:w="992" w:type="dxa"/>
            <w:shd w:val="clear" w:color="auto" w:fill="auto"/>
            <w:tcMar>
              <w:top w:w="72" w:type="dxa"/>
              <w:left w:w="144" w:type="dxa"/>
              <w:bottom w:w="72" w:type="dxa"/>
              <w:right w:w="144" w:type="dxa"/>
            </w:tcMar>
            <w:hideMark/>
          </w:tcPr>
          <w:p w14:paraId="2459F584"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 xml:space="preserve">3-7.5 г. </w:t>
            </w:r>
          </w:p>
        </w:tc>
        <w:tc>
          <w:tcPr>
            <w:tcW w:w="2119" w:type="dxa"/>
            <w:shd w:val="clear" w:color="auto" w:fill="auto"/>
            <w:tcMar>
              <w:top w:w="72" w:type="dxa"/>
              <w:left w:w="144" w:type="dxa"/>
              <w:bottom w:w="72" w:type="dxa"/>
              <w:right w:w="144" w:type="dxa"/>
            </w:tcMar>
            <w:hideMark/>
          </w:tcPr>
          <w:p w14:paraId="2A2C81FA"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 xml:space="preserve">Когнитивен и моторен регрес, епилептични припадъци, амблиопия → амавроза </w:t>
            </w:r>
          </w:p>
        </w:tc>
      </w:tr>
      <w:tr w:rsidR="00BE0B19" w:rsidRPr="00AE47C6" w14:paraId="39EDF9DD" w14:textId="77777777" w:rsidTr="00AD72E5">
        <w:trPr>
          <w:trHeight w:val="314"/>
        </w:trPr>
        <w:tc>
          <w:tcPr>
            <w:tcW w:w="1421" w:type="dxa"/>
            <w:vMerge/>
            <w:vAlign w:val="center"/>
            <w:hideMark/>
          </w:tcPr>
          <w:p w14:paraId="270C1127" w14:textId="77777777" w:rsidR="00BE0B19" w:rsidRPr="00AE47C6" w:rsidRDefault="00BE0B19" w:rsidP="00BE0B19">
            <w:pPr>
              <w:spacing w:after="0" w:line="360" w:lineRule="auto"/>
              <w:rPr>
                <w:rFonts w:ascii="Times New Roman" w:eastAsia="SimSun" w:hAnsi="Times New Roman"/>
                <w:sz w:val="24"/>
                <w:szCs w:val="24"/>
              </w:rPr>
            </w:pPr>
          </w:p>
        </w:tc>
        <w:tc>
          <w:tcPr>
            <w:tcW w:w="1596" w:type="dxa"/>
            <w:vMerge/>
            <w:vAlign w:val="center"/>
            <w:hideMark/>
          </w:tcPr>
          <w:p w14:paraId="14FAC8C2" w14:textId="77777777" w:rsidR="00BE0B19" w:rsidRPr="00AE47C6" w:rsidRDefault="00BE0B19" w:rsidP="00BE0B19">
            <w:pPr>
              <w:spacing w:after="0" w:line="360" w:lineRule="auto"/>
              <w:rPr>
                <w:rFonts w:ascii="Times New Roman" w:eastAsia="SimSun" w:hAnsi="Times New Roman"/>
                <w:sz w:val="24"/>
                <w:szCs w:val="24"/>
              </w:rPr>
            </w:pPr>
          </w:p>
        </w:tc>
        <w:tc>
          <w:tcPr>
            <w:tcW w:w="1096" w:type="dxa"/>
            <w:shd w:val="clear" w:color="auto" w:fill="auto"/>
            <w:tcMar>
              <w:top w:w="72" w:type="dxa"/>
              <w:left w:w="144" w:type="dxa"/>
              <w:bottom w:w="72" w:type="dxa"/>
              <w:right w:w="144" w:type="dxa"/>
            </w:tcMar>
            <w:hideMark/>
          </w:tcPr>
          <w:p w14:paraId="73F467CE"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i/>
                <w:iCs/>
                <w:kern w:val="24"/>
                <w:sz w:val="24"/>
                <w:szCs w:val="24"/>
                <w:lang w:eastAsia="bg-BG"/>
              </w:rPr>
              <w:t>PPT1</w:t>
            </w:r>
          </w:p>
        </w:tc>
        <w:tc>
          <w:tcPr>
            <w:tcW w:w="993" w:type="dxa"/>
            <w:shd w:val="clear" w:color="auto" w:fill="auto"/>
            <w:tcMar>
              <w:top w:w="72" w:type="dxa"/>
              <w:left w:w="144" w:type="dxa"/>
              <w:bottom w:w="72" w:type="dxa"/>
              <w:right w:w="144" w:type="dxa"/>
            </w:tcMar>
            <w:hideMark/>
          </w:tcPr>
          <w:p w14:paraId="023F45EC"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1р32</w:t>
            </w:r>
          </w:p>
        </w:tc>
        <w:tc>
          <w:tcPr>
            <w:tcW w:w="1134" w:type="dxa"/>
            <w:shd w:val="clear" w:color="auto" w:fill="auto"/>
            <w:tcMar>
              <w:top w:w="72" w:type="dxa"/>
              <w:left w:w="144" w:type="dxa"/>
              <w:bottom w:w="72" w:type="dxa"/>
              <w:right w:w="144" w:type="dxa"/>
            </w:tcMar>
            <w:hideMark/>
          </w:tcPr>
          <w:p w14:paraId="506A1A6B"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86" w:history="1">
              <w:r w:rsidR="00BE0B19" w:rsidRPr="00AE47C6">
                <w:rPr>
                  <w:rFonts w:ascii="Times New Roman" w:eastAsiaTheme="majorEastAsia" w:hAnsi="Times New Roman"/>
                  <w:kern w:val="24"/>
                  <w:sz w:val="24"/>
                  <w:szCs w:val="24"/>
                  <w:u w:val="single"/>
                  <w:lang w:eastAsia="bg-BG"/>
                </w:rPr>
                <w:t>PPT</w:t>
              </w:r>
            </w:hyperlink>
            <w:hyperlink r:id="rId87" w:history="1">
              <w:r w:rsidR="00BE0B19" w:rsidRPr="00AE47C6">
                <w:rPr>
                  <w:rFonts w:ascii="Times New Roman" w:eastAsiaTheme="majorEastAsia" w:hAnsi="Times New Roman"/>
                  <w:kern w:val="24"/>
                  <w:sz w:val="24"/>
                  <w:szCs w:val="24"/>
                  <w:u w:val="single"/>
                  <w:lang w:eastAsia="bg-BG"/>
                </w:rPr>
                <w:t>1</w:t>
              </w:r>
            </w:hyperlink>
          </w:p>
        </w:tc>
        <w:tc>
          <w:tcPr>
            <w:tcW w:w="992" w:type="dxa"/>
            <w:shd w:val="clear" w:color="auto" w:fill="auto"/>
            <w:tcMar>
              <w:top w:w="72" w:type="dxa"/>
              <w:left w:w="144" w:type="dxa"/>
              <w:bottom w:w="72" w:type="dxa"/>
              <w:right w:w="144" w:type="dxa"/>
            </w:tcMar>
            <w:hideMark/>
          </w:tcPr>
          <w:p w14:paraId="118450BF"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 xml:space="preserve">2-6 г. </w:t>
            </w:r>
          </w:p>
        </w:tc>
        <w:tc>
          <w:tcPr>
            <w:tcW w:w="2119" w:type="dxa"/>
            <w:shd w:val="clear" w:color="auto" w:fill="auto"/>
            <w:tcMar>
              <w:top w:w="72" w:type="dxa"/>
              <w:left w:w="144" w:type="dxa"/>
              <w:bottom w:w="72" w:type="dxa"/>
              <w:right w:w="144" w:type="dxa"/>
            </w:tcMar>
            <w:hideMark/>
          </w:tcPr>
          <w:p w14:paraId="1C1A59A6" w14:textId="77777777" w:rsidR="00BE0B19" w:rsidRPr="00AE47C6" w:rsidRDefault="00BE0B19" w:rsidP="00BE0B19">
            <w:pPr>
              <w:spacing w:after="0" w:line="360" w:lineRule="auto"/>
              <w:rPr>
                <w:rFonts w:ascii="Times New Roman" w:eastAsia="SimSun" w:hAnsi="Times New Roman"/>
                <w:sz w:val="24"/>
                <w:szCs w:val="24"/>
              </w:rPr>
            </w:pPr>
          </w:p>
        </w:tc>
      </w:tr>
      <w:tr w:rsidR="00BE0B19" w:rsidRPr="00AE47C6" w14:paraId="3772C921" w14:textId="77777777" w:rsidTr="00AD72E5">
        <w:tc>
          <w:tcPr>
            <w:tcW w:w="1421" w:type="dxa"/>
          </w:tcPr>
          <w:p w14:paraId="799774D7"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3. Ювенилна форма</w:t>
            </w:r>
          </w:p>
          <w:p w14:paraId="426A48FA"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(болест на Batten)</w:t>
            </w:r>
          </w:p>
        </w:tc>
        <w:tc>
          <w:tcPr>
            <w:tcW w:w="1596" w:type="dxa"/>
          </w:tcPr>
          <w:p w14:paraId="027E75D1"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NCL 3 (</w:t>
            </w:r>
            <w:r w:rsidRPr="00AE47C6">
              <w:rPr>
                <w:rFonts w:ascii="Times New Roman" w:eastAsia="SimSun" w:hAnsi="Times New Roman"/>
                <w:bCs/>
                <w:i/>
                <w:iCs/>
                <w:kern w:val="24"/>
                <w:sz w:val="24"/>
                <w:szCs w:val="24"/>
                <w:lang w:eastAsia="bg-BG"/>
              </w:rPr>
              <w:t>CLN3</w:t>
            </w:r>
            <w:r w:rsidRPr="00AE47C6">
              <w:rPr>
                <w:rFonts w:ascii="Times New Roman" w:eastAsia="SimSun" w:hAnsi="Times New Roman"/>
                <w:bCs/>
                <w:kern w:val="24"/>
                <w:sz w:val="24"/>
                <w:szCs w:val="24"/>
                <w:lang w:eastAsia="bg-BG"/>
              </w:rPr>
              <w:t>-свързана NCL, класическа ювенилна форма, болест на Batten или болест на Spielmeyer-Vogt-Sjögren)</w:t>
            </w:r>
          </w:p>
        </w:tc>
        <w:tc>
          <w:tcPr>
            <w:tcW w:w="1096" w:type="dxa"/>
            <w:shd w:val="clear" w:color="auto" w:fill="auto"/>
            <w:tcMar>
              <w:top w:w="72" w:type="dxa"/>
              <w:left w:w="144" w:type="dxa"/>
              <w:bottom w:w="72" w:type="dxa"/>
              <w:right w:w="144" w:type="dxa"/>
            </w:tcMar>
          </w:tcPr>
          <w:p w14:paraId="487A81FB"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88" w:history="1">
              <w:r w:rsidR="00BE0B19" w:rsidRPr="00AE47C6">
                <w:rPr>
                  <w:rFonts w:ascii="Times New Roman" w:eastAsiaTheme="majorEastAsia" w:hAnsi="Times New Roman"/>
                  <w:kern w:val="24"/>
                  <w:sz w:val="24"/>
                  <w:szCs w:val="24"/>
                  <w:u w:val="single"/>
                  <w:lang w:eastAsia="bg-BG"/>
                </w:rPr>
                <w:t>CLN</w:t>
              </w:r>
            </w:hyperlink>
            <w:hyperlink r:id="rId89" w:history="1">
              <w:r w:rsidR="00BE0B19" w:rsidRPr="00AE47C6">
                <w:rPr>
                  <w:rFonts w:ascii="Times New Roman" w:eastAsiaTheme="majorEastAsia" w:hAnsi="Times New Roman"/>
                  <w:kern w:val="24"/>
                  <w:sz w:val="24"/>
                  <w:szCs w:val="24"/>
                  <w:u w:val="single"/>
                  <w:lang w:eastAsia="bg-BG"/>
                </w:rPr>
                <w:t>3</w:t>
              </w:r>
            </w:hyperlink>
          </w:p>
        </w:tc>
        <w:tc>
          <w:tcPr>
            <w:tcW w:w="993" w:type="dxa"/>
            <w:shd w:val="clear" w:color="auto" w:fill="auto"/>
            <w:tcMar>
              <w:top w:w="72" w:type="dxa"/>
              <w:left w:w="144" w:type="dxa"/>
              <w:bottom w:w="72" w:type="dxa"/>
              <w:right w:w="144" w:type="dxa"/>
            </w:tcMar>
          </w:tcPr>
          <w:p w14:paraId="1ED956BA"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90" w:history="1">
              <w:r w:rsidR="00BE0B19" w:rsidRPr="00AE47C6">
                <w:rPr>
                  <w:rFonts w:ascii="Times New Roman" w:eastAsiaTheme="majorEastAsia" w:hAnsi="Times New Roman"/>
                  <w:kern w:val="24"/>
                  <w:sz w:val="24"/>
                  <w:szCs w:val="24"/>
                  <w:u w:val="single"/>
                  <w:lang w:eastAsia="bg-BG"/>
                </w:rPr>
                <w:t>16p12.1</w:t>
              </w:r>
            </w:hyperlink>
          </w:p>
        </w:tc>
        <w:tc>
          <w:tcPr>
            <w:tcW w:w="1134" w:type="dxa"/>
            <w:shd w:val="clear" w:color="auto" w:fill="auto"/>
            <w:tcMar>
              <w:top w:w="72" w:type="dxa"/>
              <w:left w:w="144" w:type="dxa"/>
              <w:bottom w:w="72" w:type="dxa"/>
              <w:right w:w="144" w:type="dxa"/>
            </w:tcMar>
          </w:tcPr>
          <w:p w14:paraId="12E0CE34"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91" w:history="1">
              <w:r w:rsidR="00BE0B19" w:rsidRPr="00AE47C6">
                <w:rPr>
                  <w:rFonts w:ascii="Times New Roman" w:eastAsiaTheme="majorEastAsia" w:hAnsi="Times New Roman"/>
                  <w:kern w:val="24"/>
                  <w:sz w:val="24"/>
                  <w:szCs w:val="24"/>
                  <w:u w:val="single"/>
                  <w:lang w:eastAsia="bg-BG"/>
                </w:rPr>
                <w:t>Battenin</w:t>
              </w:r>
            </w:hyperlink>
          </w:p>
        </w:tc>
        <w:tc>
          <w:tcPr>
            <w:tcW w:w="992" w:type="dxa"/>
            <w:shd w:val="clear" w:color="auto" w:fill="auto"/>
            <w:tcMar>
              <w:top w:w="72" w:type="dxa"/>
              <w:left w:w="144" w:type="dxa"/>
              <w:bottom w:w="72" w:type="dxa"/>
              <w:right w:w="144" w:type="dxa"/>
            </w:tcMar>
          </w:tcPr>
          <w:p w14:paraId="55534FF2"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 xml:space="preserve">4-10 г. </w:t>
            </w:r>
          </w:p>
        </w:tc>
        <w:tc>
          <w:tcPr>
            <w:tcW w:w="2119" w:type="dxa"/>
            <w:shd w:val="clear" w:color="auto" w:fill="auto"/>
            <w:tcMar>
              <w:top w:w="72" w:type="dxa"/>
              <w:left w:w="144" w:type="dxa"/>
              <w:bottom w:w="72" w:type="dxa"/>
              <w:right w:w="144" w:type="dxa"/>
            </w:tcMar>
          </w:tcPr>
          <w:p w14:paraId="782ED373"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eпилептични припадъци, когнитивен и моторен регрес, целебеларен синдром, амблиопия → амавроза</w:t>
            </w:r>
          </w:p>
        </w:tc>
      </w:tr>
      <w:tr w:rsidR="00BE0B19" w:rsidRPr="00AE47C6" w14:paraId="35886CD0" w14:textId="77777777" w:rsidTr="00AD72E5">
        <w:tc>
          <w:tcPr>
            <w:tcW w:w="1421" w:type="dxa"/>
            <w:vAlign w:val="center"/>
          </w:tcPr>
          <w:p w14:paraId="499AD59F" w14:textId="77777777" w:rsidR="00BE0B19" w:rsidRPr="00AE47C6" w:rsidRDefault="00BE0B19" w:rsidP="00BE0B19">
            <w:pPr>
              <w:spacing w:after="0" w:line="360" w:lineRule="auto"/>
              <w:rPr>
                <w:rFonts w:ascii="Times New Roman" w:eastAsia="SimSun" w:hAnsi="Times New Roman"/>
                <w:sz w:val="24"/>
                <w:szCs w:val="24"/>
              </w:rPr>
            </w:pPr>
          </w:p>
        </w:tc>
        <w:tc>
          <w:tcPr>
            <w:tcW w:w="1596" w:type="dxa"/>
          </w:tcPr>
          <w:p w14:paraId="54021E69"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Варианти на ювенилната NCL,</w:t>
            </w:r>
          </w:p>
        </w:tc>
        <w:tc>
          <w:tcPr>
            <w:tcW w:w="1096" w:type="dxa"/>
            <w:shd w:val="clear" w:color="auto" w:fill="auto"/>
            <w:tcMar>
              <w:top w:w="72" w:type="dxa"/>
              <w:left w:w="144" w:type="dxa"/>
              <w:bottom w:w="72" w:type="dxa"/>
              <w:right w:w="144" w:type="dxa"/>
            </w:tcMar>
          </w:tcPr>
          <w:p w14:paraId="70558054"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 xml:space="preserve">NCL 9 (неизвестен), </w:t>
            </w:r>
          </w:p>
          <w:p w14:paraId="1B28FCB8" w14:textId="77777777" w:rsidR="00BE0B19" w:rsidRPr="00AE47C6" w:rsidRDefault="00BE0B19" w:rsidP="00BE0B19">
            <w:pPr>
              <w:kinsoku w:val="0"/>
              <w:overflowPunct w:val="0"/>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i/>
                <w:iCs/>
                <w:kern w:val="24"/>
                <w:sz w:val="24"/>
                <w:szCs w:val="24"/>
                <w:lang w:eastAsia="bg-BG"/>
              </w:rPr>
              <w:t xml:space="preserve">PPT1, </w:t>
            </w:r>
            <w:r w:rsidRPr="00AE47C6">
              <w:rPr>
                <w:rFonts w:ascii="Times New Roman" w:eastAsia="SimSun" w:hAnsi="Times New Roman"/>
                <w:bCs/>
                <w:kern w:val="24"/>
                <w:sz w:val="24"/>
                <w:szCs w:val="24"/>
                <w:lang w:eastAsia="bg-BG"/>
              </w:rPr>
              <w:t>ТРР1</w:t>
            </w:r>
          </w:p>
        </w:tc>
        <w:tc>
          <w:tcPr>
            <w:tcW w:w="993" w:type="dxa"/>
            <w:shd w:val="clear" w:color="auto" w:fill="auto"/>
            <w:tcMar>
              <w:top w:w="72" w:type="dxa"/>
              <w:left w:w="144" w:type="dxa"/>
              <w:bottom w:w="72" w:type="dxa"/>
              <w:right w:w="144" w:type="dxa"/>
            </w:tcMar>
          </w:tcPr>
          <w:p w14:paraId="0E73EF65"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неизвестен</w:t>
            </w:r>
          </w:p>
        </w:tc>
        <w:tc>
          <w:tcPr>
            <w:tcW w:w="1134" w:type="dxa"/>
            <w:shd w:val="clear" w:color="auto" w:fill="auto"/>
            <w:tcMar>
              <w:top w:w="72" w:type="dxa"/>
              <w:left w:w="144" w:type="dxa"/>
              <w:bottom w:w="72" w:type="dxa"/>
              <w:right w:w="144" w:type="dxa"/>
            </w:tcMar>
          </w:tcPr>
          <w:p w14:paraId="10B3B349" w14:textId="77777777" w:rsidR="00BE0B19" w:rsidRPr="00AE47C6" w:rsidRDefault="00BE0B19" w:rsidP="00BE0B19">
            <w:pPr>
              <w:spacing w:after="0" w:line="360" w:lineRule="auto"/>
              <w:rPr>
                <w:rFonts w:ascii="Times New Roman" w:eastAsia="SimSun" w:hAnsi="Times New Roman"/>
                <w:sz w:val="24"/>
                <w:szCs w:val="24"/>
              </w:rPr>
            </w:pPr>
          </w:p>
        </w:tc>
        <w:tc>
          <w:tcPr>
            <w:tcW w:w="992" w:type="dxa"/>
            <w:shd w:val="clear" w:color="auto" w:fill="auto"/>
            <w:tcMar>
              <w:top w:w="72" w:type="dxa"/>
              <w:left w:w="144" w:type="dxa"/>
              <w:bottom w:w="72" w:type="dxa"/>
              <w:right w:w="144" w:type="dxa"/>
            </w:tcMar>
          </w:tcPr>
          <w:p w14:paraId="58F1B6D5"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4-10 г.</w:t>
            </w:r>
          </w:p>
        </w:tc>
        <w:tc>
          <w:tcPr>
            <w:tcW w:w="2119" w:type="dxa"/>
            <w:shd w:val="clear" w:color="auto" w:fill="auto"/>
            <w:tcMar>
              <w:top w:w="72" w:type="dxa"/>
              <w:left w:w="144" w:type="dxa"/>
              <w:bottom w:w="72" w:type="dxa"/>
              <w:right w:w="144" w:type="dxa"/>
            </w:tcMar>
          </w:tcPr>
          <w:p w14:paraId="4BFFF5E0"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Амблиопия → амавроза, атаксия, моторен/когнитивен дефицит, стегнатост</w:t>
            </w:r>
          </w:p>
        </w:tc>
      </w:tr>
      <w:tr w:rsidR="00BE0B19" w:rsidRPr="00AE47C6" w14:paraId="7F773755" w14:textId="77777777" w:rsidTr="00AD72E5">
        <w:tc>
          <w:tcPr>
            <w:tcW w:w="1421" w:type="dxa"/>
            <w:vAlign w:val="center"/>
          </w:tcPr>
          <w:p w14:paraId="4DC34A9E" w14:textId="77777777" w:rsidR="00BE0B19" w:rsidRPr="00AE47C6" w:rsidRDefault="00BE0B19" w:rsidP="00BE0B19">
            <w:pPr>
              <w:spacing w:after="0" w:line="360" w:lineRule="auto"/>
              <w:rPr>
                <w:rFonts w:ascii="Times New Roman" w:eastAsia="SimSun" w:hAnsi="Times New Roman"/>
                <w:sz w:val="24"/>
                <w:szCs w:val="24"/>
              </w:rPr>
            </w:pPr>
          </w:p>
        </w:tc>
        <w:tc>
          <w:tcPr>
            <w:tcW w:w="1596" w:type="dxa"/>
          </w:tcPr>
          <w:p w14:paraId="58126E2E"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 xml:space="preserve">Северен епилептичен вариант на </w:t>
            </w:r>
            <w:r w:rsidRPr="00AE47C6">
              <w:rPr>
                <w:rFonts w:ascii="Times New Roman" w:eastAsia="SimSun" w:hAnsi="Times New Roman"/>
                <w:kern w:val="24"/>
                <w:sz w:val="24"/>
                <w:szCs w:val="24"/>
                <w:lang w:eastAsia="bg-BG"/>
              </w:rPr>
              <w:t>NCL</w:t>
            </w:r>
          </w:p>
          <w:p w14:paraId="5619D24C" w14:textId="77777777" w:rsidR="00BE0B19" w:rsidRPr="00AE47C6" w:rsidRDefault="00BE0B19" w:rsidP="00BE0B19">
            <w:pPr>
              <w:kinsoku w:val="0"/>
              <w:overflowPunct w:val="0"/>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(прогресивна епилепсия с умствена изостаналост</w:t>
            </w:r>
          </w:p>
        </w:tc>
        <w:tc>
          <w:tcPr>
            <w:tcW w:w="1096" w:type="dxa"/>
            <w:shd w:val="clear" w:color="auto" w:fill="auto"/>
            <w:tcMar>
              <w:top w:w="72" w:type="dxa"/>
              <w:left w:w="144" w:type="dxa"/>
              <w:bottom w:w="72" w:type="dxa"/>
              <w:right w:w="144" w:type="dxa"/>
            </w:tcMar>
          </w:tcPr>
          <w:p w14:paraId="37A5838E"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92" w:history="1">
              <w:r w:rsidR="00BE0B19" w:rsidRPr="00AE47C6">
                <w:rPr>
                  <w:rFonts w:ascii="Times New Roman" w:eastAsiaTheme="majorEastAsia" w:hAnsi="Times New Roman"/>
                  <w:kern w:val="24"/>
                  <w:sz w:val="24"/>
                  <w:szCs w:val="24"/>
                  <w:u w:val="single"/>
                  <w:lang w:eastAsia="bg-BG"/>
                </w:rPr>
                <w:t>CLN</w:t>
              </w:r>
            </w:hyperlink>
            <w:hyperlink r:id="rId93" w:history="1">
              <w:r w:rsidR="00BE0B19" w:rsidRPr="00AE47C6">
                <w:rPr>
                  <w:rFonts w:ascii="Times New Roman" w:eastAsiaTheme="majorEastAsia" w:hAnsi="Times New Roman"/>
                  <w:kern w:val="24"/>
                  <w:sz w:val="24"/>
                  <w:szCs w:val="24"/>
                  <w:u w:val="single"/>
                  <w:lang w:eastAsia="bg-BG"/>
                </w:rPr>
                <w:t>8</w:t>
              </w:r>
            </w:hyperlink>
          </w:p>
        </w:tc>
        <w:tc>
          <w:tcPr>
            <w:tcW w:w="993" w:type="dxa"/>
            <w:shd w:val="clear" w:color="auto" w:fill="auto"/>
            <w:tcMar>
              <w:top w:w="72" w:type="dxa"/>
              <w:left w:w="144" w:type="dxa"/>
              <w:bottom w:w="72" w:type="dxa"/>
              <w:right w:w="144" w:type="dxa"/>
            </w:tcMar>
          </w:tcPr>
          <w:p w14:paraId="63B49F2C"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94" w:history="1">
              <w:r w:rsidR="00BE0B19" w:rsidRPr="00AE47C6">
                <w:rPr>
                  <w:rFonts w:ascii="Times New Roman" w:eastAsiaTheme="majorEastAsia" w:hAnsi="Times New Roman"/>
                  <w:kern w:val="24"/>
                  <w:sz w:val="24"/>
                  <w:szCs w:val="24"/>
                  <w:u w:val="single"/>
                  <w:lang w:eastAsia="bg-BG"/>
                </w:rPr>
                <w:t>8p23</w:t>
              </w:r>
            </w:hyperlink>
          </w:p>
        </w:tc>
        <w:tc>
          <w:tcPr>
            <w:tcW w:w="1134" w:type="dxa"/>
            <w:shd w:val="clear" w:color="auto" w:fill="auto"/>
            <w:tcMar>
              <w:top w:w="72" w:type="dxa"/>
              <w:left w:w="144" w:type="dxa"/>
              <w:bottom w:w="72" w:type="dxa"/>
              <w:right w:w="144" w:type="dxa"/>
            </w:tcMar>
          </w:tcPr>
          <w:p w14:paraId="234B4ADB"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95" w:history="1">
              <w:r w:rsidR="00BE0B19" w:rsidRPr="00AE47C6">
                <w:rPr>
                  <w:rFonts w:ascii="Times New Roman" w:eastAsiaTheme="majorEastAsia" w:hAnsi="Times New Roman"/>
                  <w:kern w:val="24"/>
                  <w:sz w:val="24"/>
                  <w:szCs w:val="24"/>
                  <w:u w:val="single"/>
                  <w:lang w:eastAsia="bg-BG"/>
                </w:rPr>
                <w:t>C</w:t>
              </w:r>
            </w:hyperlink>
            <w:hyperlink r:id="rId96" w:history="1">
              <w:r w:rsidR="00BE0B19" w:rsidRPr="00AE47C6">
                <w:rPr>
                  <w:rFonts w:ascii="Times New Roman" w:eastAsiaTheme="majorEastAsia" w:hAnsi="Times New Roman"/>
                  <w:kern w:val="24"/>
                  <w:sz w:val="24"/>
                  <w:szCs w:val="24"/>
                  <w:u w:val="single"/>
                  <w:lang w:eastAsia="bg-BG"/>
                </w:rPr>
                <w:t>LN</w:t>
              </w:r>
            </w:hyperlink>
            <w:hyperlink r:id="rId97" w:history="1">
              <w:r w:rsidR="00BE0B19" w:rsidRPr="00AE47C6">
                <w:rPr>
                  <w:rFonts w:ascii="Times New Roman" w:eastAsiaTheme="majorEastAsia" w:hAnsi="Times New Roman"/>
                  <w:kern w:val="24"/>
                  <w:sz w:val="24"/>
                  <w:szCs w:val="24"/>
                  <w:u w:val="single"/>
                  <w:lang w:eastAsia="bg-BG"/>
                </w:rPr>
                <w:t xml:space="preserve"> протеин </w:t>
              </w:r>
            </w:hyperlink>
            <w:hyperlink r:id="rId98" w:history="1">
              <w:r w:rsidR="00BE0B19" w:rsidRPr="00AE47C6">
                <w:rPr>
                  <w:rFonts w:ascii="Times New Roman" w:eastAsiaTheme="majorEastAsia" w:hAnsi="Times New Roman"/>
                  <w:kern w:val="24"/>
                  <w:sz w:val="24"/>
                  <w:szCs w:val="24"/>
                  <w:u w:val="single"/>
                  <w:lang w:eastAsia="bg-BG"/>
                </w:rPr>
                <w:t>8</w:t>
              </w:r>
            </w:hyperlink>
          </w:p>
        </w:tc>
        <w:tc>
          <w:tcPr>
            <w:tcW w:w="992" w:type="dxa"/>
            <w:shd w:val="clear" w:color="auto" w:fill="auto"/>
            <w:tcMar>
              <w:top w:w="72" w:type="dxa"/>
              <w:left w:w="144" w:type="dxa"/>
              <w:bottom w:w="72" w:type="dxa"/>
              <w:right w:w="144" w:type="dxa"/>
            </w:tcMar>
          </w:tcPr>
          <w:p w14:paraId="1A836E4E"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5-10 г.</w:t>
            </w:r>
          </w:p>
        </w:tc>
        <w:tc>
          <w:tcPr>
            <w:tcW w:w="2119" w:type="dxa"/>
            <w:shd w:val="clear" w:color="auto" w:fill="auto"/>
            <w:tcMar>
              <w:top w:w="72" w:type="dxa"/>
              <w:left w:w="144" w:type="dxa"/>
              <w:bottom w:w="72" w:type="dxa"/>
              <w:right w:w="144" w:type="dxa"/>
            </w:tcMar>
          </w:tcPr>
          <w:p w14:paraId="3F2B6966"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Епилептични припадъци, когнитивен регрес</w:t>
            </w:r>
          </w:p>
        </w:tc>
      </w:tr>
      <w:tr w:rsidR="00BE0B19" w:rsidRPr="00AE47C6" w14:paraId="693A7226" w14:textId="77777777" w:rsidTr="00AD72E5">
        <w:tc>
          <w:tcPr>
            <w:tcW w:w="1421" w:type="dxa"/>
          </w:tcPr>
          <w:p w14:paraId="1B92AA72"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4. Форма при възрастни  (болест на Kufs)</w:t>
            </w:r>
          </w:p>
        </w:tc>
        <w:tc>
          <w:tcPr>
            <w:tcW w:w="1596" w:type="dxa"/>
          </w:tcPr>
          <w:p w14:paraId="64A1A6E9"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 xml:space="preserve">Форма при възрастни  на </w:t>
            </w:r>
            <w:r w:rsidRPr="00AE47C6">
              <w:rPr>
                <w:rFonts w:ascii="Times New Roman" w:eastAsia="SimSun" w:hAnsi="Times New Roman"/>
                <w:kern w:val="24"/>
                <w:sz w:val="24"/>
                <w:szCs w:val="24"/>
                <w:lang w:eastAsia="bg-BG"/>
              </w:rPr>
              <w:t>Kufs (NCL4)</w:t>
            </w:r>
          </w:p>
        </w:tc>
        <w:tc>
          <w:tcPr>
            <w:tcW w:w="1096" w:type="dxa"/>
            <w:shd w:val="clear" w:color="auto" w:fill="auto"/>
            <w:tcMar>
              <w:top w:w="72" w:type="dxa"/>
              <w:left w:w="144" w:type="dxa"/>
              <w:bottom w:w="72" w:type="dxa"/>
              <w:right w:w="144" w:type="dxa"/>
            </w:tcMar>
          </w:tcPr>
          <w:p w14:paraId="288D2E22"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неизяснен генен дефект</w:t>
            </w:r>
          </w:p>
        </w:tc>
        <w:tc>
          <w:tcPr>
            <w:tcW w:w="993" w:type="dxa"/>
            <w:shd w:val="clear" w:color="auto" w:fill="auto"/>
            <w:tcMar>
              <w:top w:w="72" w:type="dxa"/>
              <w:left w:w="144" w:type="dxa"/>
              <w:bottom w:w="72" w:type="dxa"/>
              <w:right w:w="144" w:type="dxa"/>
            </w:tcMar>
          </w:tcPr>
          <w:p w14:paraId="4B2FA0FF" w14:textId="77777777" w:rsidR="00BE0B19" w:rsidRPr="00AE47C6" w:rsidRDefault="00BE0B19" w:rsidP="00BE0B19">
            <w:pPr>
              <w:spacing w:after="0" w:line="360" w:lineRule="auto"/>
              <w:rPr>
                <w:rFonts w:ascii="Times New Roman" w:eastAsia="SimSun" w:hAnsi="Times New Roman"/>
                <w:sz w:val="24"/>
                <w:szCs w:val="24"/>
              </w:rPr>
            </w:pPr>
          </w:p>
        </w:tc>
        <w:tc>
          <w:tcPr>
            <w:tcW w:w="1134" w:type="dxa"/>
            <w:shd w:val="clear" w:color="auto" w:fill="auto"/>
            <w:tcMar>
              <w:top w:w="72" w:type="dxa"/>
              <w:left w:w="144" w:type="dxa"/>
              <w:bottom w:w="72" w:type="dxa"/>
              <w:right w:w="144" w:type="dxa"/>
            </w:tcMar>
          </w:tcPr>
          <w:p w14:paraId="7D403DE2" w14:textId="77777777" w:rsidR="00BE0B19" w:rsidRPr="00AE47C6" w:rsidRDefault="00BE0B19" w:rsidP="00BE0B19">
            <w:pPr>
              <w:spacing w:after="0" w:line="360" w:lineRule="auto"/>
              <w:rPr>
                <w:rFonts w:ascii="Times New Roman" w:eastAsia="SimSun" w:hAnsi="Times New Roman"/>
                <w:sz w:val="24"/>
                <w:szCs w:val="24"/>
              </w:rPr>
            </w:pPr>
          </w:p>
        </w:tc>
        <w:tc>
          <w:tcPr>
            <w:tcW w:w="992" w:type="dxa"/>
            <w:shd w:val="clear" w:color="auto" w:fill="auto"/>
            <w:tcMar>
              <w:top w:w="72" w:type="dxa"/>
              <w:left w:w="144" w:type="dxa"/>
              <w:bottom w:w="72" w:type="dxa"/>
              <w:right w:w="144" w:type="dxa"/>
            </w:tcMar>
          </w:tcPr>
          <w:p w14:paraId="249312D8"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15-50 г.</w:t>
            </w:r>
          </w:p>
        </w:tc>
        <w:tc>
          <w:tcPr>
            <w:tcW w:w="2119" w:type="dxa"/>
            <w:shd w:val="clear" w:color="auto" w:fill="auto"/>
            <w:tcMar>
              <w:top w:w="72" w:type="dxa"/>
              <w:left w:w="144" w:type="dxa"/>
              <w:bottom w:w="72" w:type="dxa"/>
              <w:right w:w="144" w:type="dxa"/>
            </w:tcMar>
          </w:tcPr>
          <w:p w14:paraId="3946B92B"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Епилептични припадъци, моторен и когнитивен и моторен регрес, поведенчески отклонения, амблиопия → амавроза</w:t>
            </w:r>
          </w:p>
        </w:tc>
      </w:tr>
      <w:tr w:rsidR="00BE0B19" w:rsidRPr="00AE47C6" w14:paraId="4C0D0DBD" w14:textId="77777777" w:rsidTr="00AD72E5">
        <w:tc>
          <w:tcPr>
            <w:tcW w:w="1421" w:type="dxa"/>
            <w:vAlign w:val="center"/>
          </w:tcPr>
          <w:p w14:paraId="0239F93F" w14:textId="77777777" w:rsidR="00BE0B19" w:rsidRPr="00AE47C6" w:rsidRDefault="00BE0B19" w:rsidP="00BE0B19">
            <w:pPr>
              <w:spacing w:after="0" w:line="360" w:lineRule="auto"/>
              <w:rPr>
                <w:rFonts w:ascii="Times New Roman" w:eastAsia="SimSun" w:hAnsi="Times New Roman"/>
                <w:sz w:val="24"/>
                <w:szCs w:val="24"/>
              </w:rPr>
            </w:pPr>
          </w:p>
        </w:tc>
        <w:tc>
          <w:tcPr>
            <w:tcW w:w="1596" w:type="dxa"/>
          </w:tcPr>
          <w:p w14:paraId="051B8669"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Варианти на формата при възрастни</w:t>
            </w:r>
          </w:p>
        </w:tc>
        <w:tc>
          <w:tcPr>
            <w:tcW w:w="1096" w:type="dxa"/>
            <w:shd w:val="clear" w:color="auto" w:fill="auto"/>
            <w:tcMar>
              <w:top w:w="72" w:type="dxa"/>
              <w:left w:w="144" w:type="dxa"/>
              <w:bottom w:w="72" w:type="dxa"/>
              <w:right w:w="144" w:type="dxa"/>
            </w:tcMar>
          </w:tcPr>
          <w:p w14:paraId="0C00172F"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99" w:history="1">
              <w:r w:rsidR="00BE0B19" w:rsidRPr="00AE47C6">
                <w:rPr>
                  <w:rFonts w:ascii="Times New Roman" w:eastAsiaTheme="majorEastAsia" w:hAnsi="Times New Roman"/>
                  <w:kern w:val="24"/>
                  <w:sz w:val="24"/>
                  <w:szCs w:val="24"/>
                  <w:u w:val="single"/>
                  <w:lang w:eastAsia="bg-BG"/>
                </w:rPr>
                <w:t>CTSD</w:t>
              </w:r>
            </w:hyperlink>
            <w:r w:rsidR="00BE0B19" w:rsidRPr="00AE47C6">
              <w:rPr>
                <w:rFonts w:ascii="Times New Roman" w:eastAsia="SimSun" w:hAnsi="Times New Roman"/>
                <w:bCs/>
                <w:kern w:val="24"/>
                <w:sz w:val="24"/>
                <w:szCs w:val="24"/>
                <w:lang w:eastAsia="bg-BG"/>
              </w:rPr>
              <w:t>, PPT1, CLN3, CLN5</w:t>
            </w:r>
          </w:p>
        </w:tc>
        <w:tc>
          <w:tcPr>
            <w:tcW w:w="993" w:type="dxa"/>
            <w:shd w:val="clear" w:color="auto" w:fill="auto"/>
            <w:tcMar>
              <w:top w:w="72" w:type="dxa"/>
              <w:left w:w="144" w:type="dxa"/>
              <w:bottom w:w="72" w:type="dxa"/>
              <w:right w:w="144" w:type="dxa"/>
            </w:tcMar>
          </w:tcPr>
          <w:p w14:paraId="7A86108C"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100" w:history="1">
              <w:r w:rsidR="00BE0B19" w:rsidRPr="00AE47C6">
                <w:rPr>
                  <w:rFonts w:ascii="Times New Roman" w:eastAsiaTheme="majorEastAsia" w:hAnsi="Times New Roman"/>
                  <w:kern w:val="24"/>
                  <w:sz w:val="24"/>
                  <w:szCs w:val="24"/>
                  <w:u w:val="single"/>
                  <w:lang w:eastAsia="bg-BG"/>
                </w:rPr>
                <w:t>11p15.5</w:t>
              </w:r>
            </w:hyperlink>
            <w:r w:rsidR="00BE0B19" w:rsidRPr="00AE47C6">
              <w:rPr>
                <w:rFonts w:ascii="Times New Roman" w:eastAsia="SimSun" w:hAnsi="Times New Roman"/>
                <w:kern w:val="24"/>
                <w:sz w:val="24"/>
                <w:szCs w:val="24"/>
                <w:lang w:eastAsia="bg-BG"/>
              </w:rPr>
              <w:t xml:space="preserve">, 1р32, </w:t>
            </w:r>
            <w:hyperlink r:id="rId101" w:history="1">
              <w:r w:rsidR="00BE0B19" w:rsidRPr="00AE47C6">
                <w:rPr>
                  <w:rFonts w:ascii="Times New Roman" w:eastAsiaTheme="majorEastAsia" w:hAnsi="Times New Roman"/>
                  <w:kern w:val="24"/>
                  <w:sz w:val="24"/>
                  <w:szCs w:val="24"/>
                  <w:u w:val="single"/>
                  <w:lang w:eastAsia="bg-BG"/>
                </w:rPr>
                <w:t>16p12.1</w:t>
              </w:r>
            </w:hyperlink>
            <w:r w:rsidR="00BE0B19" w:rsidRPr="00AE47C6">
              <w:rPr>
                <w:rFonts w:ascii="Times New Roman" w:eastAsia="SimSun" w:hAnsi="Times New Roman"/>
                <w:kern w:val="24"/>
                <w:sz w:val="24"/>
                <w:szCs w:val="24"/>
                <w:lang w:eastAsia="bg-BG"/>
              </w:rPr>
              <w:t>, 13q21.1-q32</w:t>
            </w:r>
          </w:p>
        </w:tc>
        <w:tc>
          <w:tcPr>
            <w:tcW w:w="1134" w:type="dxa"/>
            <w:shd w:val="clear" w:color="auto" w:fill="auto"/>
            <w:tcMar>
              <w:top w:w="72" w:type="dxa"/>
              <w:left w:w="144" w:type="dxa"/>
              <w:bottom w:w="72" w:type="dxa"/>
              <w:right w:w="144" w:type="dxa"/>
            </w:tcMar>
          </w:tcPr>
          <w:p w14:paraId="0435BB6F" w14:textId="77777777" w:rsidR="00BE0B19" w:rsidRPr="00AE47C6" w:rsidRDefault="00C74E8C" w:rsidP="00BE0B19">
            <w:pPr>
              <w:spacing w:after="0" w:line="360" w:lineRule="auto"/>
              <w:textAlignment w:val="baseline"/>
              <w:rPr>
                <w:rFonts w:ascii="Times New Roman" w:eastAsia="SimSun" w:hAnsi="Times New Roman"/>
                <w:sz w:val="24"/>
                <w:szCs w:val="24"/>
                <w:lang w:eastAsia="bg-BG"/>
              </w:rPr>
            </w:pPr>
            <w:hyperlink r:id="rId102" w:history="1">
              <w:r w:rsidR="00BE0B19" w:rsidRPr="00AE47C6">
                <w:rPr>
                  <w:rFonts w:ascii="Times New Roman" w:eastAsiaTheme="majorEastAsia" w:hAnsi="Times New Roman"/>
                  <w:kern w:val="24"/>
                  <w:sz w:val="24"/>
                  <w:szCs w:val="24"/>
                  <w:u w:val="single"/>
                  <w:lang w:eastAsia="bg-BG"/>
                </w:rPr>
                <w:t>Cathepsin D</w:t>
              </w:r>
            </w:hyperlink>
            <w:r w:rsidR="00BE0B19" w:rsidRPr="00AE47C6">
              <w:rPr>
                <w:rFonts w:ascii="Times New Roman" w:eastAsia="SimSun" w:hAnsi="Times New Roman"/>
                <w:kern w:val="24"/>
                <w:sz w:val="24"/>
                <w:szCs w:val="24"/>
                <w:lang w:eastAsia="bg-BG"/>
              </w:rPr>
              <w:t xml:space="preserve">, PPT1, </w:t>
            </w:r>
            <w:hyperlink r:id="rId103" w:history="1">
              <w:r w:rsidR="00BE0B19" w:rsidRPr="00AE47C6">
                <w:rPr>
                  <w:rFonts w:ascii="Times New Roman" w:eastAsiaTheme="majorEastAsia" w:hAnsi="Times New Roman"/>
                  <w:kern w:val="24"/>
                  <w:sz w:val="24"/>
                  <w:szCs w:val="24"/>
                  <w:u w:val="single"/>
                  <w:lang w:eastAsia="bg-BG"/>
                </w:rPr>
                <w:t>Battenin</w:t>
              </w:r>
            </w:hyperlink>
            <w:r w:rsidR="00BE0B19" w:rsidRPr="00AE47C6">
              <w:rPr>
                <w:rFonts w:ascii="Times New Roman" w:eastAsia="SimSun" w:hAnsi="Times New Roman"/>
                <w:kern w:val="24"/>
                <w:sz w:val="24"/>
                <w:szCs w:val="24"/>
                <w:lang w:eastAsia="bg-BG"/>
              </w:rPr>
              <w:t>, CLN протеин 5</w:t>
            </w:r>
          </w:p>
        </w:tc>
        <w:tc>
          <w:tcPr>
            <w:tcW w:w="992" w:type="dxa"/>
            <w:shd w:val="clear" w:color="auto" w:fill="auto"/>
            <w:tcMar>
              <w:top w:w="72" w:type="dxa"/>
              <w:left w:w="144" w:type="dxa"/>
              <w:bottom w:w="72" w:type="dxa"/>
              <w:right w:w="144" w:type="dxa"/>
            </w:tcMar>
          </w:tcPr>
          <w:p w14:paraId="1C64458D"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15-50 г.</w:t>
            </w:r>
          </w:p>
        </w:tc>
        <w:tc>
          <w:tcPr>
            <w:tcW w:w="2119" w:type="dxa"/>
            <w:shd w:val="clear" w:color="auto" w:fill="auto"/>
            <w:tcMar>
              <w:top w:w="72" w:type="dxa"/>
              <w:left w:w="144" w:type="dxa"/>
              <w:bottom w:w="72" w:type="dxa"/>
              <w:right w:w="144" w:type="dxa"/>
            </w:tcMar>
          </w:tcPr>
          <w:p w14:paraId="4DCCFCDA" w14:textId="77777777" w:rsidR="00BE0B19" w:rsidRPr="00AE47C6" w:rsidRDefault="00BE0B19" w:rsidP="00BE0B19">
            <w:pPr>
              <w:spacing w:after="0" w:line="360" w:lineRule="auto"/>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Когнитивен и моторен регрес, епилептични пристъпи и поведенчески отклонения</w:t>
            </w:r>
          </w:p>
        </w:tc>
      </w:tr>
    </w:tbl>
    <w:p w14:paraId="2BD4DDA2"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20475EC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iCs/>
          <w:sz w:val="24"/>
          <w:szCs w:val="24"/>
        </w:rPr>
        <w:t xml:space="preserve">Изследвания: </w:t>
      </w:r>
      <w:r w:rsidRPr="00AE47C6">
        <w:rPr>
          <w:rFonts w:ascii="Times New Roman" w:eastAsia="SimSun" w:hAnsi="Times New Roman"/>
          <w:i/>
          <w:iCs/>
          <w:sz w:val="24"/>
          <w:szCs w:val="24"/>
        </w:rPr>
        <w:t>КТ и МРТ</w:t>
      </w:r>
      <w:r w:rsidRPr="00AE47C6">
        <w:rPr>
          <w:rFonts w:ascii="Times New Roman" w:eastAsia="SimSun" w:hAnsi="Times New Roman"/>
          <w:sz w:val="24"/>
          <w:szCs w:val="24"/>
        </w:rPr>
        <w:t xml:space="preserve"> показват прогресираща мозъчна и малкомозъчна атрофия в началото и с </w:t>
      </w:r>
      <w:r w:rsidRPr="00AE47C6">
        <w:rPr>
          <w:rFonts w:ascii="Times New Roman" w:eastAsia="SimSun" w:hAnsi="Times New Roman"/>
          <w:snapToGrid w:val="0"/>
          <w:sz w:val="24"/>
          <w:szCs w:val="24"/>
        </w:rPr>
        <w:t>Т2-хиперинтензитет на бялото вещество перивентрикулно</w:t>
      </w:r>
      <w:r w:rsidRPr="00AE47C6">
        <w:rPr>
          <w:rFonts w:ascii="Times New Roman" w:eastAsia="SimSun" w:hAnsi="Times New Roman"/>
          <w:sz w:val="24"/>
          <w:szCs w:val="24"/>
          <w:shd w:val="clear" w:color="auto" w:fill="FFFFFF"/>
        </w:rPr>
        <w:t xml:space="preserve">  T2, нисък сигнал в таламус и стриатум, изтънен corpus callosum. </w:t>
      </w:r>
      <w:r w:rsidRPr="00AE47C6">
        <w:rPr>
          <w:rFonts w:ascii="Times New Roman" w:eastAsia="SimSun" w:hAnsi="Times New Roman"/>
          <w:i/>
          <w:iCs/>
          <w:sz w:val="24"/>
          <w:szCs w:val="24"/>
        </w:rPr>
        <w:t xml:space="preserve">ЕЕГ: </w:t>
      </w:r>
      <w:r w:rsidRPr="00AE47C6">
        <w:rPr>
          <w:rFonts w:ascii="Times New Roman" w:eastAsia="SimSun" w:hAnsi="Times New Roman"/>
          <w:sz w:val="24"/>
          <w:szCs w:val="24"/>
        </w:rPr>
        <w:t xml:space="preserve">При ранната инфантилна форма основната активност не се потиска при отваряне на очите, сънните вретена изчезват между 1 и 2 годишната възраст, а около 3 г. амплитудите на вълните се снижават до изоелектричната линия. При късната инфантилна форма </w:t>
      </w:r>
      <w:r w:rsidRPr="00AE47C6">
        <w:rPr>
          <w:rFonts w:ascii="Times New Roman" w:eastAsia="SimSun" w:hAnsi="Times New Roman"/>
          <w:bCs/>
          <w:sz w:val="24"/>
          <w:szCs w:val="24"/>
        </w:rPr>
        <w:t xml:space="preserve">ЕЕГ е с високоамплитудни окципитални острия при фотостимулация с ниски честоти (1 - 2 Hz). </w:t>
      </w:r>
      <w:r w:rsidRPr="00AE47C6">
        <w:rPr>
          <w:rFonts w:ascii="Times New Roman" w:eastAsia="SimSun" w:hAnsi="Times New Roman"/>
          <w:i/>
          <w:iCs/>
          <w:sz w:val="24"/>
          <w:szCs w:val="24"/>
        </w:rPr>
        <w:t>Зрителните евокирани потенциали (ЗЕП) и ретинограмата</w:t>
      </w:r>
      <w:r w:rsidRPr="00AE47C6">
        <w:rPr>
          <w:rFonts w:ascii="Times New Roman" w:eastAsia="SimSun" w:hAnsi="Times New Roman"/>
          <w:sz w:val="24"/>
          <w:szCs w:val="24"/>
        </w:rPr>
        <w:t xml:space="preserve"> са абнормни с потискане до пълно изчезване на нормалните потенциали. При флаш-стимулация при късната инфантилна форма са налице гигантски ЗЕП. </w:t>
      </w:r>
      <w:r w:rsidRPr="00AE47C6">
        <w:rPr>
          <w:rFonts w:ascii="Times New Roman" w:eastAsia="SimSun" w:hAnsi="Times New Roman"/>
          <w:i/>
          <w:iCs/>
          <w:sz w:val="24"/>
          <w:szCs w:val="24"/>
        </w:rPr>
        <w:t xml:space="preserve">Ликворът </w:t>
      </w:r>
      <w:r w:rsidRPr="00AE47C6">
        <w:rPr>
          <w:rFonts w:ascii="Times New Roman" w:eastAsia="SimSun" w:hAnsi="Times New Roman"/>
          <w:sz w:val="24"/>
          <w:szCs w:val="24"/>
        </w:rPr>
        <w:t xml:space="preserve">е с нормални показатели. </w:t>
      </w:r>
      <w:r w:rsidRPr="00AE47C6">
        <w:rPr>
          <w:rFonts w:ascii="Times New Roman" w:eastAsia="SimSun" w:hAnsi="Times New Roman"/>
          <w:i/>
          <w:sz w:val="24"/>
          <w:szCs w:val="24"/>
        </w:rPr>
        <w:t>Ензимни изследвания:</w:t>
      </w:r>
      <w:r w:rsidRPr="00AE47C6">
        <w:rPr>
          <w:rFonts w:ascii="Times New Roman" w:eastAsia="SimSun" w:hAnsi="Times New Roman"/>
          <w:sz w:val="24"/>
          <w:szCs w:val="24"/>
        </w:rPr>
        <w:t xml:space="preserve"> При ранната инфантилна форма с начало под 2 г. има ензимен дефицит на </w:t>
      </w:r>
      <w:r w:rsidRPr="00AE47C6">
        <w:rPr>
          <w:rFonts w:ascii="Times New Roman" w:eastAsia="SimSun" w:hAnsi="Times New Roman"/>
          <w:i/>
          <w:iCs/>
          <w:sz w:val="24"/>
          <w:szCs w:val="24"/>
        </w:rPr>
        <w:t xml:space="preserve">PPT 1, </w:t>
      </w:r>
      <w:r w:rsidRPr="00AE47C6">
        <w:rPr>
          <w:rFonts w:ascii="Times New Roman" w:eastAsia="SimSun" w:hAnsi="Times New Roman"/>
          <w:iCs/>
          <w:sz w:val="24"/>
          <w:szCs w:val="24"/>
        </w:rPr>
        <w:t xml:space="preserve">в редки случаи </w:t>
      </w:r>
      <w:r w:rsidRPr="00AE47C6">
        <w:rPr>
          <w:rFonts w:ascii="Times New Roman" w:eastAsia="SimSun" w:hAnsi="Times New Roman"/>
          <w:i/>
          <w:iCs/>
          <w:sz w:val="24"/>
          <w:szCs w:val="24"/>
        </w:rPr>
        <w:t xml:space="preserve">на TPP1; </w:t>
      </w:r>
      <w:r w:rsidRPr="00AE47C6">
        <w:rPr>
          <w:rFonts w:ascii="Times New Roman" w:eastAsia="SimSun" w:hAnsi="Times New Roman"/>
          <w:iCs/>
          <w:sz w:val="24"/>
          <w:szCs w:val="24"/>
        </w:rPr>
        <w:t>при късната инфантилна</w:t>
      </w:r>
      <w:r w:rsidRPr="00AE47C6">
        <w:rPr>
          <w:rFonts w:ascii="Times New Roman" w:eastAsia="SimSun" w:hAnsi="Times New Roman"/>
          <w:i/>
          <w:iCs/>
          <w:sz w:val="24"/>
          <w:szCs w:val="24"/>
        </w:rPr>
        <w:t xml:space="preserve"> - </w:t>
      </w:r>
      <w:r w:rsidRPr="00AE47C6">
        <w:rPr>
          <w:rFonts w:ascii="Times New Roman" w:eastAsia="SimSun" w:hAnsi="Times New Roman"/>
          <w:iCs/>
          <w:sz w:val="24"/>
          <w:szCs w:val="24"/>
        </w:rPr>
        <w:t>на TPP1</w:t>
      </w:r>
      <w:r w:rsidRPr="00AE47C6">
        <w:rPr>
          <w:rFonts w:ascii="Times New Roman" w:eastAsia="SimSun" w:hAnsi="Times New Roman"/>
          <w:i/>
          <w:iCs/>
          <w:sz w:val="24"/>
          <w:szCs w:val="24"/>
        </w:rPr>
        <w:t>. Хистологичното изследване</w:t>
      </w:r>
      <w:r w:rsidRPr="00AE47C6">
        <w:rPr>
          <w:rFonts w:ascii="Times New Roman" w:eastAsia="SimSun" w:hAnsi="Times New Roman"/>
          <w:sz w:val="24"/>
          <w:szCs w:val="24"/>
        </w:rPr>
        <w:t xml:space="preserve"> на кожа, конюнктива или ректална мукоза показва наличие на автофлуоресценция, а</w:t>
      </w:r>
      <w:r w:rsidRPr="00AE47C6">
        <w:rPr>
          <w:rFonts w:ascii="Times New Roman" w:eastAsia="SimSun" w:hAnsi="Times New Roman"/>
          <w:i/>
          <w:iCs/>
          <w:sz w:val="24"/>
          <w:szCs w:val="24"/>
        </w:rPr>
        <w:t xml:space="preserve"> електронно–микроскопското изследване </w:t>
      </w:r>
      <w:r w:rsidRPr="00AE47C6">
        <w:rPr>
          <w:rFonts w:ascii="Times New Roman" w:eastAsia="SimSun" w:hAnsi="Times New Roman"/>
          <w:sz w:val="24"/>
          <w:szCs w:val="24"/>
        </w:rPr>
        <w:t xml:space="preserve">- грануларни осмофилни натрупвания в лизозомите. </w:t>
      </w:r>
    </w:p>
    <w:p w14:paraId="6D0ACFDA" w14:textId="77777777" w:rsidR="00BE0B19" w:rsidRPr="00AE47C6" w:rsidRDefault="00BE0B19" w:rsidP="00BE0B19">
      <w:pPr>
        <w:shd w:val="clear" w:color="auto" w:fill="FFFFFF"/>
        <w:spacing w:after="0" w:line="360" w:lineRule="auto"/>
        <w:rPr>
          <w:rFonts w:ascii="Times New Roman" w:eastAsia="SimSun" w:hAnsi="Times New Roman"/>
          <w:sz w:val="24"/>
          <w:szCs w:val="24"/>
        </w:rPr>
      </w:pPr>
      <w:r w:rsidRPr="00AE47C6">
        <w:rPr>
          <w:rFonts w:ascii="Times New Roman" w:eastAsia="SimSun" w:hAnsi="Times New Roman"/>
          <w:b/>
          <w:i/>
          <w:sz w:val="24"/>
          <w:szCs w:val="24"/>
        </w:rPr>
        <w:t>Алгоритъмът за диагнозата «невронална цероидлипофусциноза»</w:t>
      </w:r>
      <w:r w:rsidRPr="00AE47C6">
        <w:rPr>
          <w:rFonts w:ascii="Times New Roman" w:eastAsia="SimSun" w:hAnsi="Times New Roman"/>
          <w:sz w:val="24"/>
          <w:szCs w:val="24"/>
        </w:rPr>
        <w:t xml:space="preserve"> включва: </w:t>
      </w:r>
    </w:p>
    <w:p w14:paraId="52D4D1CF" w14:textId="77777777" w:rsidR="00BE0B19" w:rsidRPr="00AE47C6" w:rsidRDefault="00BE0B19" w:rsidP="00BE0B19">
      <w:pPr>
        <w:shd w:val="clear" w:color="auto" w:fill="FFFFFF"/>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1. </w:t>
      </w:r>
      <w:r w:rsidRPr="00AE47C6">
        <w:rPr>
          <w:rFonts w:ascii="Times New Roman" w:eastAsia="SimSun" w:hAnsi="Times New Roman"/>
          <w:i/>
          <w:sz w:val="24"/>
          <w:szCs w:val="24"/>
        </w:rPr>
        <w:t>При начало под 2 г -</w:t>
      </w:r>
      <w:r w:rsidRPr="00AE47C6">
        <w:rPr>
          <w:rFonts w:ascii="Times New Roman" w:eastAsia="SimSun" w:hAnsi="Times New Roman"/>
          <w:sz w:val="24"/>
          <w:szCs w:val="24"/>
        </w:rPr>
        <w:t xml:space="preserve"> изследване за </w:t>
      </w:r>
      <w:r w:rsidRPr="00AE47C6">
        <w:rPr>
          <w:rFonts w:ascii="Times New Roman" w:eastAsia="SimSun" w:hAnsi="Times New Roman"/>
          <w:i/>
          <w:sz w:val="24"/>
          <w:szCs w:val="24"/>
        </w:rPr>
        <w:t xml:space="preserve">дефицит на </w:t>
      </w:r>
      <w:r w:rsidRPr="00AE47C6">
        <w:rPr>
          <w:rFonts w:ascii="Times New Roman" w:eastAsia="SimSun" w:hAnsi="Times New Roman"/>
          <w:i/>
          <w:iCs/>
          <w:sz w:val="24"/>
          <w:szCs w:val="24"/>
        </w:rPr>
        <w:t xml:space="preserve">PPT 1 </w:t>
      </w:r>
      <w:r w:rsidRPr="00AE47C6">
        <w:rPr>
          <w:rFonts w:ascii="Times New Roman" w:eastAsia="SimSun" w:hAnsi="Times New Roman"/>
          <w:iCs/>
          <w:sz w:val="24"/>
          <w:szCs w:val="24"/>
        </w:rPr>
        <w:t>и на</w:t>
      </w:r>
      <w:r w:rsidRPr="00AE47C6">
        <w:rPr>
          <w:rFonts w:ascii="Times New Roman" w:eastAsia="SimSun" w:hAnsi="Times New Roman"/>
          <w:i/>
          <w:iCs/>
          <w:sz w:val="24"/>
          <w:szCs w:val="24"/>
        </w:rPr>
        <w:t xml:space="preserve"> TPP1 </w:t>
      </w:r>
      <w:r w:rsidRPr="00AE47C6">
        <w:rPr>
          <w:rFonts w:ascii="Times New Roman" w:eastAsia="SimSun" w:hAnsi="Times New Roman"/>
          <w:sz w:val="24"/>
          <w:szCs w:val="24"/>
        </w:rPr>
        <w:t>(възможен в редки случаи);</w:t>
      </w:r>
    </w:p>
    <w:p w14:paraId="4981D687" w14:textId="77777777" w:rsidR="00BE0B19" w:rsidRPr="00AE47C6" w:rsidRDefault="00BE0B19" w:rsidP="00BE0B19">
      <w:pPr>
        <w:shd w:val="clear" w:color="auto" w:fill="FFFFFF"/>
        <w:spacing w:after="0" w:line="360" w:lineRule="auto"/>
        <w:rPr>
          <w:rFonts w:ascii="Times New Roman" w:eastAsia="SimSun" w:hAnsi="Times New Roman"/>
          <w:i/>
          <w:iCs/>
          <w:sz w:val="24"/>
          <w:szCs w:val="24"/>
        </w:rPr>
      </w:pPr>
      <w:r w:rsidRPr="00AE47C6">
        <w:rPr>
          <w:rFonts w:ascii="Times New Roman" w:eastAsia="SimSun" w:hAnsi="Times New Roman"/>
          <w:i/>
          <w:iCs/>
          <w:sz w:val="24"/>
          <w:szCs w:val="24"/>
        </w:rPr>
        <w:t xml:space="preserve">2. </w:t>
      </w:r>
      <w:r w:rsidRPr="00AE47C6">
        <w:rPr>
          <w:rFonts w:ascii="Times New Roman" w:eastAsia="SimSun" w:hAnsi="Times New Roman"/>
          <w:iCs/>
          <w:sz w:val="24"/>
          <w:szCs w:val="24"/>
        </w:rPr>
        <w:t xml:space="preserve">При </w:t>
      </w:r>
      <w:r w:rsidRPr="00AE47C6">
        <w:rPr>
          <w:rFonts w:ascii="Times New Roman" w:eastAsia="SimSun" w:hAnsi="Times New Roman"/>
          <w:i/>
          <w:iCs/>
          <w:sz w:val="24"/>
          <w:szCs w:val="24"/>
        </w:rPr>
        <w:t>начало между 2 и 4 г</w:t>
      </w:r>
      <w:r w:rsidRPr="00AE47C6">
        <w:rPr>
          <w:rFonts w:ascii="Times New Roman" w:eastAsia="SimSun" w:hAnsi="Times New Roman"/>
          <w:iCs/>
          <w:sz w:val="24"/>
          <w:szCs w:val="24"/>
        </w:rPr>
        <w:t xml:space="preserve">. - </w:t>
      </w:r>
      <w:r w:rsidRPr="00AE47C6">
        <w:rPr>
          <w:rFonts w:ascii="Times New Roman" w:eastAsia="SimSun" w:hAnsi="Times New Roman"/>
          <w:sz w:val="24"/>
          <w:szCs w:val="24"/>
        </w:rPr>
        <w:t xml:space="preserve">изследване за </w:t>
      </w:r>
      <w:r w:rsidRPr="00AE47C6">
        <w:rPr>
          <w:rFonts w:ascii="Times New Roman" w:eastAsia="SimSun" w:hAnsi="Times New Roman"/>
          <w:i/>
          <w:iCs/>
          <w:sz w:val="24"/>
          <w:szCs w:val="24"/>
        </w:rPr>
        <w:t xml:space="preserve">дефицит на TPP </w:t>
      </w:r>
      <w:r w:rsidRPr="00AE47C6">
        <w:rPr>
          <w:rFonts w:ascii="Times New Roman" w:eastAsia="SimSun" w:hAnsi="Times New Roman"/>
          <w:iCs/>
          <w:sz w:val="24"/>
          <w:szCs w:val="24"/>
        </w:rPr>
        <w:t>и</w:t>
      </w:r>
      <w:r w:rsidRPr="00AE47C6">
        <w:rPr>
          <w:rFonts w:ascii="Times New Roman" w:eastAsia="SimSun" w:hAnsi="Times New Roman"/>
          <w:i/>
          <w:iCs/>
          <w:sz w:val="24"/>
          <w:szCs w:val="24"/>
        </w:rPr>
        <w:t xml:space="preserve"> на PPT 1</w:t>
      </w:r>
      <w:r w:rsidRPr="00AE47C6">
        <w:rPr>
          <w:rFonts w:ascii="Times New Roman" w:eastAsia="SimSun" w:hAnsi="Times New Roman"/>
          <w:sz w:val="24"/>
          <w:szCs w:val="24"/>
        </w:rPr>
        <w:t xml:space="preserve"> (възможен в редки случаи), </w:t>
      </w:r>
      <w:r w:rsidRPr="00AE47C6">
        <w:rPr>
          <w:rFonts w:ascii="Times New Roman" w:eastAsia="SimSun" w:hAnsi="Times New Roman"/>
          <w:iCs/>
          <w:sz w:val="24"/>
          <w:szCs w:val="24"/>
        </w:rPr>
        <w:t>а при нормални стойности на ензимите -</w:t>
      </w:r>
      <w:r w:rsidRPr="00AE47C6">
        <w:rPr>
          <w:rFonts w:ascii="Times New Roman" w:eastAsia="SimSun" w:hAnsi="Times New Roman"/>
          <w:i/>
          <w:iCs/>
          <w:sz w:val="24"/>
          <w:szCs w:val="24"/>
        </w:rPr>
        <w:t xml:space="preserve"> кожна биопсия с електронна микроскопия за </w:t>
      </w:r>
      <w:r w:rsidRPr="00AE47C6">
        <w:rPr>
          <w:rFonts w:ascii="Times New Roman" w:eastAsia="SimSun" w:hAnsi="Times New Roman"/>
          <w:sz w:val="24"/>
          <w:szCs w:val="24"/>
        </w:rPr>
        <w:t xml:space="preserve">установяване на натрупване в лизозомите и </w:t>
      </w:r>
      <w:r w:rsidRPr="00AE47C6">
        <w:rPr>
          <w:rFonts w:ascii="Times New Roman" w:eastAsia="SimSun" w:hAnsi="Times New Roman"/>
          <w:i/>
          <w:iCs/>
          <w:sz w:val="24"/>
          <w:szCs w:val="24"/>
        </w:rPr>
        <w:t xml:space="preserve">генетични изследвания за </w:t>
      </w:r>
      <w:r w:rsidRPr="00AE47C6">
        <w:rPr>
          <w:rFonts w:ascii="Times New Roman" w:eastAsia="SimSun" w:hAnsi="Times New Roman"/>
          <w:sz w:val="24"/>
          <w:szCs w:val="24"/>
        </w:rPr>
        <w:t>CLN5, CLN6 и CLN8</w:t>
      </w:r>
      <w:r w:rsidRPr="00AE47C6">
        <w:rPr>
          <w:rFonts w:ascii="Times New Roman" w:eastAsia="SimSun" w:hAnsi="Times New Roman"/>
          <w:i/>
          <w:iCs/>
          <w:sz w:val="24"/>
          <w:szCs w:val="24"/>
        </w:rPr>
        <w:t xml:space="preserve">; </w:t>
      </w:r>
    </w:p>
    <w:p w14:paraId="150FDB34" w14:textId="77777777" w:rsidR="00BE0B19" w:rsidRPr="00AE47C6" w:rsidRDefault="00BE0B19" w:rsidP="00BE0B19">
      <w:pPr>
        <w:shd w:val="clear" w:color="auto" w:fill="FFFFFF"/>
        <w:spacing w:after="0" w:line="360" w:lineRule="auto"/>
        <w:rPr>
          <w:rFonts w:ascii="Times New Roman" w:eastAsia="SimSun" w:hAnsi="Times New Roman"/>
          <w:i/>
          <w:iCs/>
          <w:sz w:val="24"/>
          <w:szCs w:val="24"/>
        </w:rPr>
      </w:pPr>
      <w:r w:rsidRPr="00AE47C6">
        <w:rPr>
          <w:rFonts w:ascii="Times New Roman" w:eastAsia="SimSun" w:hAnsi="Times New Roman"/>
          <w:i/>
          <w:iCs/>
          <w:sz w:val="24"/>
          <w:szCs w:val="24"/>
        </w:rPr>
        <w:t xml:space="preserve">3. При начало от 5 до 12 г. - </w:t>
      </w:r>
      <w:r w:rsidRPr="00AE47C6">
        <w:rPr>
          <w:rFonts w:ascii="Times New Roman" w:eastAsia="SimSun" w:hAnsi="Times New Roman"/>
          <w:iCs/>
          <w:sz w:val="24"/>
          <w:szCs w:val="24"/>
        </w:rPr>
        <w:t>при наличие на вакуолни лимфоцити -</w:t>
      </w:r>
      <w:r w:rsidRPr="00AE47C6">
        <w:rPr>
          <w:rFonts w:ascii="Times New Roman" w:eastAsia="SimSun" w:hAnsi="Times New Roman"/>
          <w:i/>
          <w:iCs/>
          <w:sz w:val="24"/>
          <w:szCs w:val="24"/>
        </w:rPr>
        <w:t xml:space="preserve"> генетични изследвания за </w:t>
      </w:r>
      <w:r w:rsidRPr="00AE47C6">
        <w:rPr>
          <w:rFonts w:ascii="Times New Roman" w:eastAsia="SimSun" w:hAnsi="Times New Roman"/>
          <w:sz w:val="24"/>
          <w:szCs w:val="24"/>
        </w:rPr>
        <w:t xml:space="preserve">CLN3 и изследване за </w:t>
      </w:r>
      <w:r w:rsidRPr="00AE47C6">
        <w:rPr>
          <w:rFonts w:ascii="Times New Roman" w:eastAsia="SimSun" w:hAnsi="Times New Roman"/>
          <w:i/>
          <w:iCs/>
          <w:sz w:val="24"/>
          <w:szCs w:val="24"/>
        </w:rPr>
        <w:t xml:space="preserve">ензимен дефицит на PPT 1 и TPP1 </w:t>
      </w:r>
      <w:r w:rsidRPr="00AE47C6">
        <w:rPr>
          <w:rFonts w:ascii="Times New Roman" w:eastAsia="SimSun" w:hAnsi="Times New Roman"/>
          <w:sz w:val="24"/>
          <w:szCs w:val="24"/>
        </w:rPr>
        <w:t xml:space="preserve">(възможен в редки случаи), а при липса </w:t>
      </w:r>
      <w:r w:rsidRPr="00AE47C6">
        <w:rPr>
          <w:rFonts w:ascii="Times New Roman" w:eastAsia="SimSun" w:hAnsi="Times New Roman"/>
          <w:i/>
          <w:iCs/>
          <w:sz w:val="24"/>
          <w:szCs w:val="24"/>
        </w:rPr>
        <w:t xml:space="preserve">- кожна биопсия с електронна микроскопия за натрупване в лизозомите; </w:t>
      </w:r>
    </w:p>
    <w:p w14:paraId="1C590B6C" w14:textId="77777777" w:rsidR="00BE0B19" w:rsidRPr="00AE47C6" w:rsidRDefault="00BE0B19" w:rsidP="00BE0B19">
      <w:pPr>
        <w:shd w:val="clear" w:color="auto" w:fill="FFFFFF"/>
        <w:spacing w:after="0" w:line="360" w:lineRule="auto"/>
        <w:rPr>
          <w:rFonts w:ascii="Times New Roman" w:eastAsia="SimSun" w:hAnsi="Times New Roman"/>
          <w:sz w:val="24"/>
          <w:szCs w:val="24"/>
          <w:lang w:eastAsia="bg-BG"/>
        </w:rPr>
      </w:pPr>
      <w:r w:rsidRPr="00AE47C6">
        <w:rPr>
          <w:rFonts w:ascii="Times New Roman" w:eastAsia="SimSun" w:hAnsi="Times New Roman"/>
          <w:i/>
          <w:iCs/>
          <w:sz w:val="24"/>
          <w:szCs w:val="24"/>
        </w:rPr>
        <w:t xml:space="preserve">4. При възрастни - кожна биопсия и електронна микроскопия за натрупване в лизозомите </w:t>
      </w:r>
      <w:r w:rsidRPr="00AE47C6">
        <w:rPr>
          <w:rFonts w:ascii="Times New Roman" w:eastAsia="SimSun" w:hAnsi="Times New Roman"/>
          <w:sz w:val="24"/>
          <w:szCs w:val="24"/>
        </w:rPr>
        <w:t xml:space="preserve">и </w:t>
      </w:r>
      <w:r w:rsidRPr="00AE47C6">
        <w:rPr>
          <w:rFonts w:ascii="Times New Roman" w:eastAsia="SimSun" w:hAnsi="Times New Roman"/>
          <w:i/>
          <w:iCs/>
          <w:sz w:val="24"/>
          <w:szCs w:val="24"/>
        </w:rPr>
        <w:t>генетични изследвания за CLN8</w:t>
      </w:r>
      <w:r w:rsidRPr="00AE47C6">
        <w:rPr>
          <w:rFonts w:ascii="Times New Roman" w:eastAsia="SimSun" w:hAnsi="Times New Roman"/>
          <w:sz w:val="24"/>
          <w:szCs w:val="24"/>
        </w:rPr>
        <w:t xml:space="preserve"> при финландци и турци</w:t>
      </w:r>
      <w:r w:rsidRPr="00AE47C6">
        <w:rPr>
          <w:rFonts w:ascii="Times New Roman" w:eastAsia="SimSun" w:hAnsi="Times New Roman"/>
          <w:i/>
          <w:iCs/>
          <w:sz w:val="24"/>
          <w:szCs w:val="24"/>
        </w:rPr>
        <w:t xml:space="preserve">. </w:t>
      </w:r>
    </w:p>
    <w:p w14:paraId="1F17E42F"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iCs/>
          <w:sz w:val="24"/>
          <w:szCs w:val="24"/>
        </w:rPr>
        <w:t>Лечение</w:t>
      </w:r>
      <w:r w:rsidRPr="00AE47C6">
        <w:rPr>
          <w:rFonts w:ascii="Times New Roman" w:eastAsia="SimSun" w:hAnsi="Times New Roman"/>
          <w:b/>
          <w:bCs/>
          <w:sz w:val="24"/>
          <w:szCs w:val="24"/>
        </w:rPr>
        <w:t xml:space="preserve">: </w:t>
      </w:r>
    </w:p>
    <w:p w14:paraId="7299B085" w14:textId="77777777" w:rsidR="00BE0B19" w:rsidRPr="00AE47C6" w:rsidRDefault="00BE0B19" w:rsidP="00BE0B19">
      <w:pPr>
        <w:widowControl w:val="0"/>
        <w:numPr>
          <w:ilvl w:val="0"/>
          <w:numId w:val="279"/>
        </w:numPr>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 xml:space="preserve">При </w:t>
      </w:r>
      <w:r w:rsidRPr="00AE47C6">
        <w:rPr>
          <w:rFonts w:ascii="Times New Roman" w:eastAsia="SimSun" w:hAnsi="Times New Roman"/>
          <w:bCs/>
          <w:i/>
          <w:sz w:val="24"/>
          <w:szCs w:val="24"/>
        </w:rPr>
        <w:t>Късна инфантилна цероидлипофусциноза (</w:t>
      </w:r>
      <w:r w:rsidRPr="00AE47C6">
        <w:rPr>
          <w:rFonts w:ascii="Times New Roman" w:eastAsia="SimSun" w:hAnsi="Times New Roman"/>
          <w:bCs/>
          <w:i/>
          <w:kern w:val="24"/>
          <w:sz w:val="24"/>
          <w:szCs w:val="24"/>
        </w:rPr>
        <w:t>NCL 2 или TPP1-свързана NCL)</w:t>
      </w:r>
      <w:r w:rsidRPr="00AE47C6">
        <w:rPr>
          <w:rFonts w:ascii="Times New Roman" w:eastAsia="SimSun" w:hAnsi="Times New Roman"/>
          <w:b/>
          <w:bCs/>
          <w:kern w:val="24"/>
          <w:sz w:val="24"/>
          <w:szCs w:val="24"/>
        </w:rPr>
        <w:t xml:space="preserve"> </w:t>
      </w:r>
      <w:r w:rsidRPr="00AE47C6">
        <w:rPr>
          <w:rFonts w:ascii="Times New Roman" w:eastAsia="SimSun" w:hAnsi="Times New Roman"/>
          <w:bCs/>
          <w:kern w:val="24"/>
          <w:sz w:val="24"/>
          <w:szCs w:val="24"/>
        </w:rPr>
        <w:t xml:space="preserve">с </w:t>
      </w:r>
      <w:r w:rsidRPr="00AE47C6">
        <w:rPr>
          <w:rFonts w:ascii="Times New Roman" w:eastAsia="SimSun" w:hAnsi="Times New Roman"/>
          <w:bCs/>
          <w:sz w:val="24"/>
          <w:szCs w:val="24"/>
        </w:rPr>
        <w:t>дефицит на CLN2 ген кодиращ лизозомния ензим  </w:t>
      </w:r>
      <w:hyperlink r:id="rId104" w:history="1">
        <w:r w:rsidRPr="00AE47C6">
          <w:rPr>
            <w:rFonts w:ascii="Times New Roman" w:eastAsia="SimSun" w:hAnsi="Times New Roman"/>
            <w:sz w:val="24"/>
            <w:szCs w:val="24"/>
            <w:u w:val="single"/>
          </w:rPr>
          <w:t>tripeptidyl peptidase I</w:t>
        </w:r>
      </w:hyperlink>
      <w:r w:rsidRPr="00AE47C6">
        <w:rPr>
          <w:rFonts w:ascii="Times New Roman" w:eastAsia="SimSun" w:hAnsi="Times New Roman"/>
          <w:bCs/>
          <w:sz w:val="24"/>
          <w:szCs w:val="24"/>
        </w:rPr>
        <w:t> (</w:t>
      </w:r>
      <w:hyperlink r:id="rId105" w:history="1">
        <w:r w:rsidRPr="00AE47C6">
          <w:rPr>
            <w:rFonts w:ascii="Times New Roman" w:eastAsia="SimSun" w:hAnsi="Times New Roman"/>
            <w:sz w:val="24"/>
            <w:szCs w:val="24"/>
            <w:u w:val="single"/>
          </w:rPr>
          <w:t>TPP1</w:t>
        </w:r>
      </w:hyperlink>
      <w:r w:rsidRPr="00AE47C6">
        <w:rPr>
          <w:rFonts w:ascii="Times New Roman" w:eastAsia="SimSun" w:hAnsi="Times New Roman"/>
          <w:bCs/>
          <w:sz w:val="24"/>
          <w:szCs w:val="24"/>
        </w:rPr>
        <w:t xml:space="preserve">) се провежда </w:t>
      </w:r>
      <w:r w:rsidRPr="00AE47C6">
        <w:rPr>
          <w:rFonts w:ascii="Times New Roman" w:eastAsia="SimSun" w:hAnsi="Times New Roman"/>
          <w:bCs/>
          <w:i/>
          <w:sz w:val="24"/>
          <w:szCs w:val="24"/>
        </w:rPr>
        <w:t xml:space="preserve">ензим заместваща терапия с </w:t>
      </w:r>
      <w:hyperlink r:id="rId106" w:history="1">
        <w:r w:rsidRPr="00AE47C6">
          <w:rPr>
            <w:rFonts w:ascii="Times New Roman" w:eastAsia="SimSun" w:hAnsi="Times New Roman"/>
            <w:i/>
            <w:sz w:val="24"/>
            <w:szCs w:val="24"/>
            <w:u w:val="single"/>
          </w:rPr>
          <w:t>cerliponase alfa</w:t>
        </w:r>
      </w:hyperlink>
      <w:r w:rsidRPr="00AE47C6">
        <w:rPr>
          <w:rFonts w:ascii="Times New Roman" w:eastAsia="SimSun" w:hAnsi="Times New Roman"/>
          <w:bCs/>
          <w:sz w:val="24"/>
          <w:szCs w:val="24"/>
        </w:rPr>
        <w:t>, който се въвежда с ликвора интравентрикулно през 7 дни чрез инфузия с хирургично поставен резервоар и катетър.</w:t>
      </w:r>
    </w:p>
    <w:p w14:paraId="0D15C92B" w14:textId="77777777" w:rsidR="00BE0B19" w:rsidRPr="00AE47C6" w:rsidRDefault="00BE0B19" w:rsidP="00BE0B19">
      <w:pPr>
        <w:spacing w:after="0" w:line="360" w:lineRule="auto"/>
        <w:ind w:firstLine="1004"/>
        <w:jc w:val="both"/>
        <w:rPr>
          <w:rFonts w:ascii="Times New Roman" w:eastAsia="SimSun" w:hAnsi="Times New Roman"/>
          <w:sz w:val="24"/>
          <w:szCs w:val="24"/>
        </w:rPr>
      </w:pPr>
    </w:p>
    <w:p w14:paraId="17D32B00"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В заключение: Диагностицирането на типа на болестите с натрупване в лизозомите с неврологичните прояви се основава на:</w:t>
      </w:r>
    </w:p>
    <w:p w14:paraId="1B255134" w14:textId="77777777" w:rsidR="00BE0B19" w:rsidRPr="00AE47C6" w:rsidRDefault="00BE0B19" w:rsidP="00BE0B19">
      <w:pPr>
        <w:numPr>
          <w:ilvl w:val="0"/>
          <w:numId w:val="18"/>
        </w:numPr>
        <w:tabs>
          <w:tab w:val="clear" w:pos="1428"/>
          <w:tab w:val="num" w:pos="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Cs/>
          <w:i/>
          <w:iCs/>
          <w:sz w:val="24"/>
          <w:szCs w:val="24"/>
        </w:rPr>
        <w:t>Клиничната картина</w:t>
      </w:r>
      <w:r w:rsidRPr="00AE47C6">
        <w:rPr>
          <w:rFonts w:ascii="Times New Roman" w:eastAsia="SimSun" w:hAnsi="Times New Roman"/>
          <w:sz w:val="24"/>
          <w:szCs w:val="24"/>
        </w:rPr>
        <w:t xml:space="preserve"> с прогресиращ квадрипаретичен, церебеларен, дементен синдром, слепота, характерни промени в макулата в някои случаи (тип “черешово петно”), епилептични припадъци, миоклонус и наличие на хепато-спленомегалия при болестта на Nieman–Pick и на Gaucher, наличие на бъбречна увреда при болестта на Fabry; кардиологично засягане – болест на Pompe, болестта на Fabry, някои мукополизахаридози.</w:t>
      </w:r>
    </w:p>
    <w:p w14:paraId="01A90632" w14:textId="77777777" w:rsidR="00BE0B19" w:rsidRPr="00AE47C6" w:rsidRDefault="00BE0B19" w:rsidP="00BE0B19">
      <w:pPr>
        <w:numPr>
          <w:ilvl w:val="0"/>
          <w:numId w:val="18"/>
        </w:numPr>
        <w:tabs>
          <w:tab w:val="clear" w:pos="1428"/>
          <w:tab w:val="num" w:pos="0"/>
        </w:tabs>
        <w:spacing w:after="0" w:line="360" w:lineRule="auto"/>
        <w:ind w:left="0" w:firstLine="0"/>
        <w:jc w:val="both"/>
        <w:rPr>
          <w:rFonts w:ascii="Times New Roman" w:eastAsia="SimSun" w:hAnsi="Times New Roman"/>
          <w:i/>
          <w:sz w:val="24"/>
          <w:szCs w:val="24"/>
        </w:rPr>
      </w:pPr>
      <w:r w:rsidRPr="00AE47C6">
        <w:rPr>
          <w:rFonts w:ascii="Times New Roman" w:eastAsia="SimSun" w:hAnsi="Times New Roman"/>
          <w:bCs/>
          <w:i/>
          <w:iCs/>
          <w:sz w:val="24"/>
          <w:szCs w:val="24"/>
        </w:rPr>
        <w:t>Установен ензимен дефицит</w:t>
      </w:r>
      <w:r w:rsidRPr="00AE47C6">
        <w:rPr>
          <w:rFonts w:ascii="Times New Roman" w:eastAsia="SimSun" w:hAnsi="Times New Roman"/>
          <w:bCs/>
          <w:sz w:val="24"/>
          <w:szCs w:val="24"/>
        </w:rPr>
        <w:t>:</w:t>
      </w:r>
      <w:r w:rsidRPr="00AE47C6">
        <w:rPr>
          <w:rFonts w:ascii="Times New Roman" w:eastAsia="SimSun" w:hAnsi="Times New Roman"/>
          <w:sz w:val="24"/>
          <w:szCs w:val="24"/>
        </w:rPr>
        <w:t xml:space="preserve"> на хексозаминидаза А при болест на Tay-Sachs; на сфингомиелиназа при болест на Nieman-Pick; на глюкоцереброзидаза при болест на Gaucher, на галактозидаза А при болест на Fabry; на палмитоил-протеин-тиоестераза 1 и трипептидил-пептидаза 1 при невронните цероид липофусцинози; дефицит на α-невроаминидаза или β-галактозидаза при сиалидози. </w:t>
      </w:r>
    </w:p>
    <w:p w14:paraId="4C5F5885" w14:textId="77777777" w:rsidR="00BE0B19" w:rsidRPr="00AE47C6" w:rsidRDefault="00BE0B19" w:rsidP="00BE0B19">
      <w:pPr>
        <w:numPr>
          <w:ilvl w:val="0"/>
          <w:numId w:val="18"/>
        </w:numPr>
        <w:tabs>
          <w:tab w:val="clear" w:pos="1428"/>
          <w:tab w:val="num" w:pos="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Cs/>
          <w:i/>
          <w:iCs/>
          <w:sz w:val="24"/>
          <w:szCs w:val="24"/>
        </w:rPr>
        <w:t xml:space="preserve">Невроизобразяващите изследвания (КТ и МРТ) </w:t>
      </w:r>
      <w:r w:rsidRPr="00AE47C6">
        <w:rPr>
          <w:rFonts w:ascii="Times New Roman" w:eastAsia="SimSun" w:hAnsi="Times New Roman"/>
          <w:sz w:val="24"/>
          <w:szCs w:val="24"/>
        </w:rPr>
        <w:t xml:space="preserve">визуализират прогресираща мозъчна атрофия. </w:t>
      </w:r>
    </w:p>
    <w:p w14:paraId="00D3D48B" w14:textId="77777777" w:rsidR="00BE0B19" w:rsidRPr="00AE47C6" w:rsidRDefault="00BE0B19" w:rsidP="00BE0B19">
      <w:pPr>
        <w:numPr>
          <w:ilvl w:val="0"/>
          <w:numId w:val="18"/>
        </w:numPr>
        <w:tabs>
          <w:tab w:val="clear" w:pos="1428"/>
          <w:tab w:val="num" w:pos="0"/>
        </w:tabs>
        <w:spacing w:after="0" w:line="360" w:lineRule="auto"/>
        <w:ind w:left="0" w:firstLine="0"/>
        <w:jc w:val="both"/>
        <w:rPr>
          <w:rFonts w:ascii="Times New Roman" w:eastAsia="SimSun" w:hAnsi="Times New Roman"/>
          <w:i/>
          <w:sz w:val="24"/>
          <w:szCs w:val="24"/>
        </w:rPr>
      </w:pPr>
      <w:r w:rsidRPr="00AE47C6">
        <w:rPr>
          <w:rFonts w:ascii="Times New Roman" w:eastAsia="SimSun" w:hAnsi="Times New Roman"/>
          <w:i/>
          <w:sz w:val="24"/>
          <w:szCs w:val="24"/>
        </w:rPr>
        <w:t xml:space="preserve">Генетични изследвания </w:t>
      </w:r>
      <w:r w:rsidRPr="00AE47C6">
        <w:rPr>
          <w:rFonts w:ascii="Times New Roman" w:eastAsia="SimSun" w:hAnsi="Times New Roman"/>
          <w:bCs/>
          <w:iCs/>
          <w:sz w:val="24"/>
          <w:szCs w:val="24"/>
        </w:rPr>
        <w:t>с доказване на характерни генни дефекти</w:t>
      </w:r>
    </w:p>
    <w:p w14:paraId="598D787D"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Диференциална диагноза - разграничават се от:</w:t>
      </w:r>
    </w:p>
    <w:p w14:paraId="235442C2" w14:textId="77777777" w:rsidR="00BE0B19" w:rsidRPr="00AE47C6" w:rsidRDefault="00BE0B19" w:rsidP="00BE0B19">
      <w:pPr>
        <w:numPr>
          <w:ilvl w:val="0"/>
          <w:numId w:val="366"/>
        </w:numPr>
        <w:spacing w:after="0" w:line="360" w:lineRule="auto"/>
        <w:jc w:val="both"/>
        <w:rPr>
          <w:rFonts w:ascii="Times New Roman" w:eastAsia="SimSun" w:hAnsi="Times New Roman"/>
          <w:sz w:val="24"/>
          <w:szCs w:val="24"/>
        </w:rPr>
      </w:pPr>
      <w:r w:rsidRPr="00AE47C6">
        <w:rPr>
          <w:rFonts w:ascii="Times New Roman" w:eastAsia="SimSun" w:hAnsi="Times New Roman"/>
          <w:bCs/>
          <w:i/>
          <w:iCs/>
          <w:sz w:val="24"/>
          <w:szCs w:val="24"/>
        </w:rPr>
        <w:t>Левкодистрофии</w:t>
      </w:r>
      <w:r w:rsidRPr="00AE47C6">
        <w:rPr>
          <w:rFonts w:ascii="Times New Roman" w:eastAsia="SimSun" w:hAnsi="Times New Roman"/>
          <w:sz w:val="24"/>
          <w:szCs w:val="24"/>
        </w:rPr>
        <w:t xml:space="preserve">. При част от тях има уточнен метаболитен дефект. МРТ находката е с обширни демиелинизации, специфична предимно окципитална при Х-свързаната адренолевкодистрофия или фронтална при болест на Alexander. Установява се и полиневропатен синдром при метахроматичната левкодистрофия и глобоидоклетъчната левкодистрофия тип Krabbe. </w:t>
      </w:r>
    </w:p>
    <w:p w14:paraId="7291C844" w14:textId="77777777" w:rsidR="00BE0B19" w:rsidRPr="00AE47C6" w:rsidRDefault="00BE0B19" w:rsidP="00BE0B19">
      <w:pPr>
        <w:numPr>
          <w:ilvl w:val="0"/>
          <w:numId w:val="366"/>
        </w:numPr>
        <w:spacing w:after="0" w:line="360" w:lineRule="auto"/>
        <w:jc w:val="both"/>
        <w:rPr>
          <w:rFonts w:ascii="Times New Roman" w:eastAsia="SimSun" w:hAnsi="Times New Roman"/>
          <w:bCs/>
          <w:sz w:val="24"/>
          <w:szCs w:val="24"/>
        </w:rPr>
      </w:pPr>
      <w:r w:rsidRPr="00AE47C6">
        <w:rPr>
          <w:rFonts w:ascii="Times New Roman" w:eastAsia="SimSun" w:hAnsi="Times New Roman"/>
          <w:bCs/>
          <w:i/>
          <w:iCs/>
          <w:sz w:val="24"/>
          <w:szCs w:val="24"/>
        </w:rPr>
        <w:t>Хронично-персистиращите невроинфекции</w:t>
      </w:r>
      <w:r w:rsidRPr="00AE47C6">
        <w:rPr>
          <w:rFonts w:ascii="Times New Roman" w:eastAsia="SimSun" w:hAnsi="Times New Roman"/>
          <w:sz w:val="24"/>
          <w:szCs w:val="24"/>
        </w:rPr>
        <w:t>. При субакутния склерозиращ паненцефалит (SSPE) и HIV енцефалопатията в ликворните изследвания има повишени интратекален синтез на Ig G и антитела срещу вирусния причинител.</w:t>
      </w:r>
    </w:p>
    <w:p w14:paraId="5DBCD6F5" w14:textId="77777777" w:rsidR="00BE0B19" w:rsidRPr="00AE47C6" w:rsidRDefault="00BE0B19" w:rsidP="00BE0B19">
      <w:pPr>
        <w:shd w:val="clear" w:color="auto" w:fill="FFFFFF"/>
        <w:spacing w:after="0" w:line="360" w:lineRule="auto"/>
        <w:rPr>
          <w:rFonts w:ascii="Times New Roman" w:eastAsia="SimSun" w:hAnsi="Times New Roman"/>
          <w:b/>
          <w:sz w:val="24"/>
          <w:szCs w:val="24"/>
          <w:lang w:eastAsia="bg-BG"/>
        </w:rPr>
      </w:pPr>
      <w:r w:rsidRPr="00AE47C6">
        <w:rPr>
          <w:rFonts w:ascii="Times New Roman" w:eastAsia="SimSun" w:hAnsi="Times New Roman"/>
          <w:b/>
          <w:sz w:val="24"/>
          <w:szCs w:val="24"/>
          <w:lang w:eastAsia="bg-BG"/>
        </w:rPr>
        <w:t>Лечение:</w:t>
      </w:r>
    </w:p>
    <w:p w14:paraId="308F5164" w14:textId="77777777" w:rsidR="00BE0B19" w:rsidRPr="00AE47C6" w:rsidRDefault="00BE0B19" w:rsidP="00BE0B19">
      <w:pPr>
        <w:shd w:val="clear" w:color="auto" w:fill="FFFFFF"/>
        <w:spacing w:after="0" w:line="360" w:lineRule="auto"/>
        <w:ind w:firstLine="708"/>
        <w:rPr>
          <w:rFonts w:ascii="Times New Roman" w:eastAsia="SimSun" w:hAnsi="Times New Roman"/>
          <w:sz w:val="24"/>
          <w:szCs w:val="24"/>
          <w:lang w:eastAsia="bg-BG"/>
        </w:rPr>
      </w:pPr>
      <w:r w:rsidRPr="00AE47C6">
        <w:rPr>
          <w:rFonts w:ascii="Times New Roman" w:eastAsia="SimSun" w:hAnsi="Times New Roman"/>
          <w:b/>
          <w:sz w:val="24"/>
          <w:szCs w:val="24"/>
          <w:lang w:eastAsia="bg-BG"/>
        </w:rPr>
        <w:t>Субстрат редуцираща терапия (СРТ) -</w:t>
      </w:r>
      <w:r w:rsidRPr="00AE47C6">
        <w:rPr>
          <w:rFonts w:ascii="Times New Roman" w:eastAsia="SimSun" w:hAnsi="Times New Roman"/>
          <w:sz w:val="24"/>
          <w:szCs w:val="24"/>
          <w:lang w:eastAsia="bg-BG"/>
        </w:rPr>
        <w:t xml:space="preserve"> </w:t>
      </w:r>
      <w:r w:rsidRPr="00AE47C6">
        <w:rPr>
          <w:rFonts w:ascii="Times New Roman" w:eastAsia="SimSun" w:hAnsi="Times New Roman"/>
          <w:i/>
          <w:sz w:val="24"/>
          <w:szCs w:val="24"/>
          <w:lang w:eastAsia="bg-BG"/>
        </w:rPr>
        <w:t>miglustat</w:t>
      </w:r>
      <w:r w:rsidRPr="00AE47C6">
        <w:rPr>
          <w:rFonts w:ascii="Times New Roman" w:eastAsia="SimSun" w:hAnsi="Times New Roman"/>
          <w:sz w:val="24"/>
          <w:szCs w:val="24"/>
          <w:lang w:eastAsia="bg-BG"/>
        </w:rPr>
        <w:t xml:space="preserve"> при болест на Nieman-Pick C на всяка възраст; </w:t>
      </w:r>
      <w:r w:rsidRPr="00AE47C6">
        <w:rPr>
          <w:rFonts w:ascii="Times New Roman" w:eastAsia="SimSun" w:hAnsi="Times New Roman"/>
          <w:i/>
          <w:sz w:val="24"/>
          <w:szCs w:val="24"/>
          <w:lang w:eastAsia="bg-BG"/>
        </w:rPr>
        <w:t>miglustat</w:t>
      </w:r>
      <w:r w:rsidRPr="00AE47C6">
        <w:rPr>
          <w:rFonts w:ascii="Times New Roman" w:eastAsia="SimSun" w:hAnsi="Times New Roman"/>
          <w:sz w:val="24"/>
          <w:szCs w:val="24"/>
          <w:lang w:eastAsia="bg-BG"/>
        </w:rPr>
        <w:t xml:space="preserve"> при болест на Gaucher - 1 тип над 18 г. и </w:t>
      </w:r>
      <w:r w:rsidRPr="00AE47C6">
        <w:rPr>
          <w:rFonts w:ascii="Times New Roman" w:eastAsia="SimSun" w:hAnsi="Times New Roman"/>
          <w:i/>
          <w:sz w:val="24"/>
          <w:szCs w:val="24"/>
          <w:lang w:eastAsia="bg-BG"/>
        </w:rPr>
        <w:t xml:space="preserve">eliglustat при </w:t>
      </w:r>
      <w:r w:rsidRPr="00AE47C6">
        <w:rPr>
          <w:rFonts w:ascii="Times New Roman" w:eastAsia="SimSun" w:hAnsi="Times New Roman"/>
          <w:sz w:val="24"/>
          <w:szCs w:val="24"/>
          <w:lang w:eastAsia="bg-BG"/>
        </w:rPr>
        <w:t xml:space="preserve">болест на Gaucher - 1 тип над 18 г. </w:t>
      </w:r>
    </w:p>
    <w:p w14:paraId="053241BF" w14:textId="77777777" w:rsidR="00BE0B19" w:rsidRPr="00AE47C6" w:rsidRDefault="00BE0B19" w:rsidP="00BE0B19">
      <w:pPr>
        <w:shd w:val="clear" w:color="auto" w:fill="FFFFFF"/>
        <w:spacing w:after="0" w:line="360" w:lineRule="auto"/>
        <w:ind w:firstLine="720"/>
        <w:rPr>
          <w:rFonts w:ascii="Times New Roman" w:eastAsia="SimSun" w:hAnsi="Times New Roman"/>
          <w:sz w:val="24"/>
          <w:szCs w:val="24"/>
        </w:rPr>
      </w:pPr>
      <w:r w:rsidRPr="00AE47C6">
        <w:rPr>
          <w:rFonts w:ascii="Times New Roman" w:eastAsia="SimSun" w:hAnsi="Times New Roman"/>
          <w:b/>
          <w:sz w:val="24"/>
          <w:szCs w:val="24"/>
          <w:lang w:eastAsia="bg-BG"/>
        </w:rPr>
        <w:t xml:space="preserve">Ензим-заместваща терапия (ЕЗТ): </w:t>
      </w:r>
      <w:r w:rsidRPr="00AE47C6">
        <w:rPr>
          <w:rFonts w:ascii="Times New Roman" w:eastAsia="SimSun" w:hAnsi="Times New Roman"/>
          <w:i/>
          <w:sz w:val="24"/>
          <w:szCs w:val="24"/>
          <w:lang w:eastAsia="bg-BG"/>
        </w:rPr>
        <w:t>Laronidase</w:t>
      </w:r>
      <w:r w:rsidRPr="00AE47C6">
        <w:rPr>
          <w:rFonts w:ascii="Times New Roman" w:eastAsia="SimSun" w:hAnsi="Times New Roman"/>
          <w:sz w:val="24"/>
          <w:szCs w:val="24"/>
          <w:lang w:eastAsia="bg-BG"/>
        </w:rPr>
        <w:t xml:space="preserve"> за MPS I и </w:t>
      </w:r>
      <w:r w:rsidRPr="00AE47C6">
        <w:rPr>
          <w:rFonts w:ascii="Times New Roman" w:eastAsia="SimSun" w:hAnsi="Times New Roman"/>
          <w:i/>
          <w:sz w:val="24"/>
          <w:szCs w:val="24"/>
          <w:lang w:eastAsia="bg-BG"/>
        </w:rPr>
        <w:t xml:space="preserve">Idursulfase </w:t>
      </w:r>
      <w:r w:rsidRPr="00AE47C6">
        <w:rPr>
          <w:rFonts w:ascii="Times New Roman" w:eastAsia="SimSun" w:hAnsi="Times New Roman"/>
          <w:sz w:val="24"/>
          <w:szCs w:val="24"/>
          <w:lang w:eastAsia="bg-BG"/>
        </w:rPr>
        <w:t xml:space="preserve">за  MPS II; </w:t>
      </w:r>
      <w:r w:rsidRPr="00AE47C6">
        <w:rPr>
          <w:rFonts w:ascii="Times New Roman" w:eastAsia="SimSun" w:hAnsi="Times New Roman"/>
          <w:i/>
          <w:sz w:val="24"/>
          <w:szCs w:val="24"/>
          <w:lang w:eastAsia="bg-BG"/>
        </w:rPr>
        <w:t>Elosulfase alfa</w:t>
      </w:r>
      <w:r w:rsidRPr="00AE47C6">
        <w:rPr>
          <w:rFonts w:ascii="Times New Roman" w:eastAsia="SimSun" w:hAnsi="Times New Roman"/>
          <w:sz w:val="24"/>
          <w:szCs w:val="24"/>
          <w:lang w:eastAsia="bg-BG"/>
        </w:rPr>
        <w:t xml:space="preserve"> при MPS IVA; </w:t>
      </w:r>
      <w:r w:rsidRPr="00AE47C6">
        <w:rPr>
          <w:rFonts w:ascii="Times New Roman" w:eastAsia="SimSun" w:hAnsi="Times New Roman"/>
          <w:i/>
          <w:sz w:val="24"/>
          <w:szCs w:val="24"/>
          <w:lang w:eastAsia="bg-BG"/>
        </w:rPr>
        <w:t>Galsulfase</w:t>
      </w:r>
      <w:r w:rsidRPr="00AE47C6">
        <w:rPr>
          <w:rFonts w:ascii="Times New Roman" w:eastAsia="SimSun" w:hAnsi="Times New Roman"/>
          <w:sz w:val="24"/>
          <w:szCs w:val="24"/>
          <w:lang w:eastAsia="bg-BG"/>
        </w:rPr>
        <w:t xml:space="preserve"> при MPS VI; </w:t>
      </w:r>
      <w:r w:rsidRPr="00AE47C6">
        <w:rPr>
          <w:rFonts w:ascii="Times New Roman" w:eastAsia="SimSun" w:hAnsi="Times New Roman"/>
          <w:i/>
          <w:sz w:val="24"/>
          <w:szCs w:val="24"/>
          <w:shd w:val="clear" w:color="auto" w:fill="FFFFFF"/>
        </w:rPr>
        <w:t>Vestronidase alfa</w:t>
      </w:r>
      <w:r w:rsidRPr="00AE47C6">
        <w:rPr>
          <w:rFonts w:ascii="Times New Roman" w:eastAsia="SimSun" w:hAnsi="Times New Roman"/>
          <w:sz w:val="24"/>
          <w:szCs w:val="24"/>
          <w:lang w:eastAsia="bg-BG"/>
        </w:rPr>
        <w:t xml:space="preserve"> при MPS VII; </w:t>
      </w:r>
      <w:r w:rsidRPr="00AE47C6">
        <w:rPr>
          <w:rFonts w:ascii="Times New Roman" w:eastAsia="SimSun" w:hAnsi="Times New Roman"/>
          <w:bCs/>
          <w:i/>
          <w:sz w:val="24"/>
          <w:szCs w:val="24"/>
        </w:rPr>
        <w:t>Аglucosidase alfa</w:t>
      </w:r>
      <w:r w:rsidRPr="00AE47C6">
        <w:rPr>
          <w:rFonts w:ascii="Times New Roman" w:eastAsia="SimSun" w:hAnsi="Times New Roman"/>
          <w:sz w:val="24"/>
          <w:szCs w:val="24"/>
          <w:lang w:eastAsia="bg-BG"/>
        </w:rPr>
        <w:t xml:space="preserve"> при болест на Pompe; </w:t>
      </w:r>
      <w:r w:rsidRPr="00AE47C6">
        <w:rPr>
          <w:rFonts w:ascii="Times New Roman" w:eastAsia="SimSun" w:hAnsi="Times New Roman"/>
          <w:i/>
          <w:sz w:val="24"/>
          <w:szCs w:val="24"/>
          <w:lang w:eastAsia="bg-BG"/>
        </w:rPr>
        <w:t>Imiglucerase  и Velaglucerase alfa</w:t>
      </w:r>
      <w:r w:rsidRPr="00AE47C6">
        <w:rPr>
          <w:rFonts w:ascii="Times New Roman" w:eastAsia="SimSun" w:hAnsi="Times New Roman"/>
          <w:sz w:val="24"/>
          <w:szCs w:val="24"/>
          <w:lang w:eastAsia="bg-BG"/>
        </w:rPr>
        <w:t xml:space="preserve"> - при болест на при болест на Gaucher- 1 тип</w:t>
      </w:r>
      <w:r w:rsidRPr="00AE47C6">
        <w:rPr>
          <w:rFonts w:ascii="Times New Roman" w:eastAsia="SimSun" w:hAnsi="Times New Roman"/>
          <w:i/>
          <w:sz w:val="24"/>
          <w:szCs w:val="24"/>
          <w:lang w:eastAsia="bg-BG"/>
        </w:rPr>
        <w:t>, а taliglucerase alfa над 18 г. - при болест на Gaucher 3 тип;</w:t>
      </w:r>
      <w:r w:rsidRPr="00AE47C6">
        <w:rPr>
          <w:rFonts w:ascii="Times New Roman" w:eastAsia="SimSun" w:hAnsi="Times New Roman"/>
          <w:sz w:val="24"/>
          <w:szCs w:val="24"/>
        </w:rPr>
        <w:t xml:space="preserve"> Agalsidase alfa и Agalsidase beta </w:t>
      </w:r>
      <w:r w:rsidRPr="00AE47C6">
        <w:rPr>
          <w:rFonts w:ascii="Times New Roman" w:eastAsia="SimSun" w:hAnsi="Times New Roman"/>
          <w:sz w:val="24"/>
          <w:szCs w:val="24"/>
          <w:lang w:eastAsia="bg-BG"/>
        </w:rPr>
        <w:t xml:space="preserve">при болест на Fabry; </w:t>
      </w:r>
      <w:hyperlink r:id="rId107" w:history="1">
        <w:r w:rsidRPr="00AE47C6">
          <w:rPr>
            <w:rFonts w:ascii="Times New Roman" w:eastAsia="SimSun" w:hAnsi="Times New Roman"/>
            <w:i/>
            <w:sz w:val="24"/>
            <w:szCs w:val="24"/>
            <w:u w:val="single"/>
          </w:rPr>
          <w:t>Cerliponase alfa</w:t>
        </w:r>
      </w:hyperlink>
      <w:r w:rsidRPr="00AE47C6">
        <w:rPr>
          <w:rFonts w:ascii="Times New Roman" w:eastAsia="SimSun" w:hAnsi="Times New Roman"/>
          <w:i/>
          <w:sz w:val="24"/>
          <w:szCs w:val="24"/>
          <w:u w:val="single"/>
        </w:rPr>
        <w:t xml:space="preserve"> </w:t>
      </w:r>
      <w:r w:rsidRPr="00AE47C6">
        <w:rPr>
          <w:rFonts w:ascii="Times New Roman" w:eastAsia="SimSun" w:hAnsi="Times New Roman"/>
          <w:iCs/>
          <w:sz w:val="24"/>
          <w:szCs w:val="24"/>
        </w:rPr>
        <w:t xml:space="preserve">- </w:t>
      </w:r>
      <w:r w:rsidRPr="00AE47C6">
        <w:rPr>
          <w:rFonts w:ascii="Times New Roman" w:eastAsia="SimSun" w:hAnsi="Times New Roman"/>
          <w:sz w:val="24"/>
          <w:szCs w:val="24"/>
          <w:lang w:eastAsia="bg-BG"/>
        </w:rPr>
        <w:t xml:space="preserve">при </w:t>
      </w:r>
      <w:r w:rsidRPr="00AE47C6">
        <w:rPr>
          <w:rFonts w:ascii="Times New Roman" w:eastAsia="SimSun" w:hAnsi="Times New Roman"/>
          <w:bCs/>
          <w:i/>
          <w:kern w:val="24"/>
          <w:sz w:val="24"/>
          <w:szCs w:val="24"/>
        </w:rPr>
        <w:t>CL 2 или TPP1- свързана NCL.</w:t>
      </w:r>
    </w:p>
    <w:p w14:paraId="7410FCBF" w14:textId="77777777" w:rsidR="00BE0B19" w:rsidRPr="00AE47C6" w:rsidRDefault="00BE0B19" w:rsidP="00BE0B19">
      <w:pPr>
        <w:shd w:val="clear" w:color="auto" w:fill="FFFFFF"/>
        <w:spacing w:after="0" w:line="360" w:lineRule="auto"/>
        <w:ind w:firstLine="708"/>
        <w:rPr>
          <w:rFonts w:ascii="Times New Roman" w:eastAsia="SimSun" w:hAnsi="Times New Roman"/>
          <w:sz w:val="24"/>
          <w:szCs w:val="24"/>
          <w:lang w:eastAsia="bg-BG"/>
        </w:rPr>
      </w:pPr>
      <w:r w:rsidRPr="00AE47C6">
        <w:rPr>
          <w:rFonts w:ascii="Times New Roman" w:eastAsia="SimSun" w:hAnsi="Times New Roman"/>
          <w:b/>
          <w:sz w:val="24"/>
          <w:szCs w:val="24"/>
          <w:lang w:eastAsia="bg-BG"/>
        </w:rPr>
        <w:t xml:space="preserve">Шаперони </w:t>
      </w:r>
      <w:r w:rsidRPr="00AE47C6">
        <w:rPr>
          <w:rFonts w:ascii="Times New Roman" w:eastAsia="SimSun" w:hAnsi="Times New Roman"/>
          <w:sz w:val="24"/>
          <w:szCs w:val="24"/>
          <w:lang w:eastAsia="bg-BG"/>
        </w:rPr>
        <w:t>-</w:t>
      </w:r>
      <w:r w:rsidRPr="00AE47C6">
        <w:rPr>
          <w:rFonts w:ascii="Times New Roman" w:eastAsia="SimSun" w:hAnsi="Times New Roman"/>
          <w:i/>
          <w:sz w:val="24"/>
          <w:szCs w:val="24"/>
        </w:rPr>
        <w:t xml:space="preserve"> Migalastat</w:t>
      </w:r>
      <w:r w:rsidRPr="00AE47C6">
        <w:rPr>
          <w:rFonts w:ascii="Times New Roman" w:eastAsia="SimSun" w:hAnsi="Times New Roman"/>
          <w:i/>
          <w:sz w:val="24"/>
          <w:szCs w:val="24"/>
          <w:lang w:eastAsia="bg-BG"/>
        </w:rPr>
        <w:t xml:space="preserve"> </w:t>
      </w:r>
      <w:r w:rsidRPr="00AE47C6">
        <w:rPr>
          <w:rFonts w:ascii="Times New Roman" w:eastAsia="SimSun" w:hAnsi="Times New Roman"/>
          <w:sz w:val="24"/>
          <w:szCs w:val="24"/>
          <w:lang w:eastAsia="bg-BG"/>
        </w:rPr>
        <w:t>при болест на Fabry над 18 г.</w:t>
      </w:r>
    </w:p>
    <w:p w14:paraId="4ABD2CB6" w14:textId="77777777" w:rsidR="00BE0B19" w:rsidRPr="00AE47C6" w:rsidRDefault="00BE0B19" w:rsidP="00BE0B19">
      <w:pPr>
        <w:shd w:val="clear" w:color="auto" w:fill="FFFFFF"/>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Други генни терапии - с вирусни вектори или нано-частици - в експериментален стадий.</w:t>
      </w:r>
    </w:p>
    <w:p w14:paraId="56692FBC" w14:textId="77777777" w:rsidR="00BE0B19" w:rsidRPr="00AE47C6" w:rsidRDefault="00BE0B19" w:rsidP="00BE0B19">
      <w:pPr>
        <w:shd w:val="clear" w:color="auto" w:fill="FFFFFF"/>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Хемопоетични стволови клетки - за мукополизахаридоза тип 1 в ранен стадий.</w:t>
      </w:r>
    </w:p>
    <w:p w14:paraId="1C593589" w14:textId="77777777" w:rsidR="00BE0B19" w:rsidRPr="00AE47C6" w:rsidRDefault="00BE0B19" w:rsidP="00BE0B19">
      <w:pPr>
        <w:shd w:val="clear" w:color="auto" w:fill="FFFFFF"/>
        <w:spacing w:after="0" w:line="360" w:lineRule="auto"/>
        <w:ind w:firstLine="708"/>
        <w:rPr>
          <w:rFonts w:ascii="Times New Roman" w:eastAsia="SimSun" w:hAnsi="Times New Roman"/>
          <w:sz w:val="24"/>
          <w:szCs w:val="24"/>
          <w:lang w:eastAsia="bg-BG"/>
        </w:rPr>
      </w:pPr>
      <w:r w:rsidRPr="00AE47C6">
        <w:rPr>
          <w:rFonts w:ascii="Times New Roman" w:eastAsia="SimSun" w:hAnsi="Times New Roman"/>
          <w:b/>
          <w:sz w:val="24"/>
          <w:szCs w:val="24"/>
        </w:rPr>
        <w:t xml:space="preserve">Симптоматично лечение според клиничните изяви: </w:t>
      </w:r>
    </w:p>
    <w:p w14:paraId="25679460" w14:textId="77777777" w:rsidR="00BE0B19" w:rsidRPr="00AE47C6" w:rsidRDefault="00BE0B19" w:rsidP="00BE0B19">
      <w:pPr>
        <w:widowControl w:val="0"/>
        <w:numPr>
          <w:ilvl w:val="0"/>
          <w:numId w:val="56"/>
        </w:numPr>
        <w:adjustRightInd w:val="0"/>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Антиепилептични медикаменти (виж Национален консенсус за диагностика и лечение на епилепсиите, 2023)</w:t>
      </w:r>
    </w:p>
    <w:p w14:paraId="11B3E4EB" w14:textId="77777777" w:rsidR="00BE0B19" w:rsidRPr="00AE47C6" w:rsidRDefault="00BE0B19" w:rsidP="00BE0B19">
      <w:pPr>
        <w:numPr>
          <w:ilvl w:val="0"/>
          <w:numId w:val="56"/>
        </w:numPr>
        <w:spacing w:after="0" w:line="360" w:lineRule="auto"/>
        <w:ind w:left="0" w:firstLine="0"/>
        <w:contextualSpacing/>
        <w:jc w:val="both"/>
        <w:rPr>
          <w:rFonts w:ascii="Times New Roman" w:eastAsia="SimSun" w:hAnsi="Times New Roman"/>
          <w:b/>
          <w:bCs/>
          <w:i/>
          <w:iCs/>
          <w:sz w:val="24"/>
          <w:szCs w:val="24"/>
        </w:rPr>
      </w:pPr>
      <w:r w:rsidRPr="00AE47C6">
        <w:rPr>
          <w:rFonts w:ascii="Times New Roman" w:eastAsia="SimSun" w:hAnsi="Times New Roman"/>
          <w:sz w:val="24"/>
          <w:szCs w:val="24"/>
        </w:rPr>
        <w:t>Миорелаксанти:</w:t>
      </w:r>
    </w:p>
    <w:p w14:paraId="3D61CE22" w14:textId="77777777" w:rsidR="00BE0B19" w:rsidRPr="00AE47C6" w:rsidRDefault="00BE0B19" w:rsidP="00BE0B19">
      <w:pPr>
        <w:numPr>
          <w:ilvl w:val="0"/>
          <w:numId w:val="389"/>
        </w:numPr>
        <w:tabs>
          <w:tab w:val="left" w:pos="1276"/>
        </w:tabs>
        <w:spacing w:after="0" w:line="360" w:lineRule="auto"/>
        <w:contextualSpacing/>
        <w:jc w:val="both"/>
        <w:rPr>
          <w:rFonts w:ascii="Times New Roman" w:eastAsia="SimSun" w:hAnsi="Times New Roman"/>
          <w:b/>
          <w:bCs/>
          <w:i/>
          <w:iCs/>
          <w:sz w:val="24"/>
          <w:szCs w:val="24"/>
        </w:rPr>
      </w:pPr>
      <w:r w:rsidRPr="00AE47C6">
        <w:rPr>
          <w:rFonts w:ascii="Times New Roman" w:eastAsia="SimSun" w:hAnsi="Times New Roman"/>
          <w:i/>
          <w:iCs/>
          <w:sz w:val="24"/>
          <w:szCs w:val="24"/>
        </w:rPr>
        <w:t>Baclofen</w:t>
      </w:r>
      <w:r w:rsidRPr="00AE47C6">
        <w:rPr>
          <w:rFonts w:ascii="Times New Roman" w:eastAsia="SimSun" w:hAnsi="Times New Roman"/>
          <w:sz w:val="24"/>
          <w:szCs w:val="24"/>
        </w:rPr>
        <w:t xml:space="preserve"> - 0,4 до 2 mg/kg с ниска начална доза в 3-4 приема и повишаване през 3 дни съобразно ефекта. При деца на 1-2 г. дозата е 10-20 mg/дневно, на 2-6 г. - 20-30 mg/дневно, 6-10 г. - 30-60 mg/дневно. </w:t>
      </w:r>
    </w:p>
    <w:p w14:paraId="6C2DC21E" w14:textId="77777777" w:rsidR="00BE0B19" w:rsidRPr="00AE47C6" w:rsidRDefault="00BE0B19" w:rsidP="00BE0B19">
      <w:pPr>
        <w:numPr>
          <w:ilvl w:val="0"/>
          <w:numId w:val="389"/>
        </w:numPr>
        <w:tabs>
          <w:tab w:val="left" w:pos="1276"/>
        </w:tabs>
        <w:spacing w:after="0" w:line="360" w:lineRule="auto"/>
        <w:contextualSpacing/>
        <w:jc w:val="both"/>
        <w:rPr>
          <w:rFonts w:ascii="Times New Roman" w:eastAsia="SimSun" w:hAnsi="Times New Roman"/>
          <w:b/>
          <w:bCs/>
          <w:i/>
          <w:iCs/>
          <w:sz w:val="24"/>
          <w:szCs w:val="24"/>
        </w:rPr>
      </w:pPr>
      <w:r w:rsidRPr="00AE47C6">
        <w:rPr>
          <w:rFonts w:ascii="Times New Roman" w:eastAsia="SimSun" w:hAnsi="Times New Roman"/>
          <w:i/>
          <w:iCs/>
          <w:sz w:val="24"/>
          <w:szCs w:val="24"/>
        </w:rPr>
        <w:t>Tetrazepam</w:t>
      </w:r>
      <w:r w:rsidRPr="00AE47C6">
        <w:rPr>
          <w:rFonts w:ascii="Times New Roman" w:eastAsia="SimSun" w:hAnsi="Times New Roman"/>
          <w:sz w:val="24"/>
          <w:szCs w:val="24"/>
        </w:rPr>
        <w:t xml:space="preserve"> - 50 mg/дневно, при възрастни до 150 mg/дневно</w:t>
      </w:r>
    </w:p>
    <w:p w14:paraId="327CFBF3" w14:textId="77777777" w:rsidR="00BE0B19" w:rsidRPr="00AE47C6" w:rsidRDefault="00BE0B19" w:rsidP="00BE0B19">
      <w:pPr>
        <w:numPr>
          <w:ilvl w:val="0"/>
          <w:numId w:val="389"/>
        </w:numPr>
        <w:tabs>
          <w:tab w:val="left" w:pos="1276"/>
        </w:tabs>
        <w:spacing w:after="0" w:line="360" w:lineRule="auto"/>
        <w:contextualSpacing/>
        <w:jc w:val="both"/>
        <w:rPr>
          <w:rFonts w:ascii="Times New Roman" w:eastAsia="SimSun" w:hAnsi="Times New Roman"/>
          <w:b/>
          <w:bCs/>
          <w:i/>
          <w:iCs/>
          <w:sz w:val="24"/>
          <w:szCs w:val="24"/>
        </w:rPr>
      </w:pPr>
      <w:r w:rsidRPr="00AE47C6">
        <w:rPr>
          <w:rFonts w:ascii="Times New Roman" w:eastAsia="SimSun" w:hAnsi="Times New Roman"/>
          <w:i/>
          <w:sz w:val="24"/>
          <w:szCs w:val="24"/>
        </w:rPr>
        <w:t>Botulinum Toxin</w:t>
      </w:r>
      <w:r w:rsidRPr="00AE47C6">
        <w:rPr>
          <w:rFonts w:ascii="Times New Roman" w:eastAsia="SimSun" w:hAnsi="Times New Roman"/>
          <w:i/>
          <w:iCs/>
          <w:sz w:val="24"/>
          <w:szCs w:val="24"/>
        </w:rPr>
        <w:t xml:space="preserve"> А</w:t>
      </w:r>
      <w:r w:rsidRPr="00AE47C6">
        <w:rPr>
          <w:rFonts w:ascii="Times New Roman" w:eastAsia="SimSun" w:hAnsi="Times New Roman"/>
          <w:iCs/>
          <w:sz w:val="24"/>
          <w:szCs w:val="24"/>
        </w:rPr>
        <w:t xml:space="preserve"> чрез локални апликации в спастичния мускул се </w:t>
      </w:r>
      <w:r w:rsidRPr="00AE47C6">
        <w:rPr>
          <w:rFonts w:ascii="Times New Roman" w:eastAsia="SimSun" w:hAnsi="Times New Roman"/>
          <w:sz w:val="24"/>
          <w:szCs w:val="24"/>
        </w:rPr>
        <w:t>редуцира рязко спастицитета за 4 до 8 месеца</w:t>
      </w:r>
    </w:p>
    <w:p w14:paraId="7FDA6746" w14:textId="77777777" w:rsidR="00BE0B19" w:rsidRPr="00AE47C6" w:rsidRDefault="00BE0B19" w:rsidP="00BE0B19">
      <w:pPr>
        <w:numPr>
          <w:ilvl w:val="0"/>
          <w:numId w:val="389"/>
        </w:numPr>
        <w:tabs>
          <w:tab w:val="left" w:pos="1276"/>
        </w:tabs>
        <w:spacing w:after="0" w:line="360" w:lineRule="auto"/>
        <w:contextualSpacing/>
        <w:jc w:val="both"/>
        <w:rPr>
          <w:rFonts w:ascii="Times New Roman" w:eastAsia="SimSun" w:hAnsi="Times New Roman"/>
          <w:b/>
          <w:bCs/>
          <w:i/>
          <w:iCs/>
          <w:sz w:val="24"/>
          <w:szCs w:val="24"/>
        </w:rPr>
      </w:pPr>
      <w:r w:rsidRPr="00AE47C6">
        <w:rPr>
          <w:rFonts w:ascii="Times New Roman" w:eastAsia="SimSun" w:hAnsi="Times New Roman"/>
          <w:i/>
          <w:iCs/>
          <w:sz w:val="24"/>
          <w:szCs w:val="24"/>
        </w:rPr>
        <w:t>Biperiden</w:t>
      </w:r>
      <w:r w:rsidRPr="00AE47C6">
        <w:rPr>
          <w:rFonts w:ascii="Times New Roman" w:eastAsia="SimSun" w:hAnsi="Times New Roman"/>
          <w:sz w:val="24"/>
          <w:szCs w:val="24"/>
        </w:rPr>
        <w:t xml:space="preserve"> - 0,5-1 mg/дневно за деца от 1 до 3 г., от 1 до 3 mg/дневно при деца от 3 до 15 г. </w:t>
      </w:r>
    </w:p>
    <w:p w14:paraId="78B8EC00" w14:textId="77777777" w:rsidR="00BE0B19" w:rsidRPr="00AE47C6" w:rsidRDefault="00BE0B19" w:rsidP="00BE0B19">
      <w:pPr>
        <w:numPr>
          <w:ilvl w:val="0"/>
          <w:numId w:val="68"/>
        </w:numPr>
        <w:spacing w:after="0" w:line="360" w:lineRule="auto"/>
        <w:ind w:left="0" w:firstLine="0"/>
        <w:jc w:val="both"/>
        <w:rPr>
          <w:rFonts w:ascii="Times New Roman" w:eastAsia="SimSun" w:hAnsi="Times New Roman"/>
          <w:b/>
          <w:bCs/>
          <w:sz w:val="24"/>
          <w:szCs w:val="24"/>
        </w:rPr>
      </w:pPr>
      <w:r w:rsidRPr="00AE47C6">
        <w:rPr>
          <w:rFonts w:ascii="Times New Roman" w:eastAsia="SimSun" w:hAnsi="Times New Roman"/>
          <w:b/>
          <w:bCs/>
          <w:sz w:val="24"/>
          <w:szCs w:val="24"/>
        </w:rPr>
        <w:t>Общи грижи</w:t>
      </w:r>
    </w:p>
    <w:p w14:paraId="6942BAB4"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135" w:name="_Toc155651766"/>
      <w:bookmarkStart w:id="136" w:name="_Toc164075898"/>
      <w:r w:rsidRPr="00AE47C6">
        <w:rPr>
          <w:rFonts w:ascii="Times New Roman" w:eastAsia="SimSun" w:hAnsi="Times New Roman"/>
          <w:b/>
          <w:sz w:val="24"/>
          <w:szCs w:val="24"/>
        </w:rPr>
        <w:t>5.2. Левкодистрофии и левкоенцефалопатии</w:t>
      </w:r>
      <w:bookmarkEnd w:id="135"/>
      <w:bookmarkEnd w:id="136"/>
    </w:p>
    <w:p w14:paraId="40016B39" w14:textId="77777777" w:rsidR="00BE0B19" w:rsidRPr="00AE47C6" w:rsidRDefault="00BE0B19" w:rsidP="00BE0B19">
      <w:pPr>
        <w:tabs>
          <w:tab w:val="num" w:pos="0"/>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bCs/>
          <w:sz w:val="24"/>
          <w:szCs w:val="24"/>
        </w:rPr>
        <w:tab/>
        <w:t>Левкодистрофиите и левкоенцефалопатиите са редки прогресиращи дегенеративни заболявания на нервната система с начало в детската възраст с нарушен миелинов синтез в централната нервна система (ЦНС), по-рядко и в периферните нерви с изяснен или все още неясен генен или метаболитен дефект. Включват широк кръг заболявания с начало в различни възрастови периоди на детството, с разнообразна клинична изява (</w:t>
      </w:r>
      <w:r w:rsidRPr="00AE47C6">
        <w:rPr>
          <w:rFonts w:ascii="Times New Roman" w:eastAsia="SimSun" w:hAnsi="Times New Roman"/>
          <w:sz w:val="24"/>
          <w:szCs w:val="24"/>
        </w:rPr>
        <w:t>Табл. 5.12).</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Патогенетично се разделят на заболявания на миелина свързани с хипомиелинизация, с демиелинизация, </w:t>
      </w:r>
      <w:r w:rsidRPr="00AE47C6">
        <w:rPr>
          <w:rFonts w:ascii="Times New Roman" w:eastAsia="SimSun" w:hAnsi="Times New Roman"/>
          <w:sz w:val="24"/>
          <w:szCs w:val="24"/>
          <w:lang w:eastAsia="bg-BG"/>
        </w:rPr>
        <w:t xml:space="preserve">миелинова вакуолизация, астроцитопатии, микроглиопатии и левковаскулопатии </w:t>
      </w:r>
      <w:r w:rsidRPr="00AE47C6">
        <w:rPr>
          <w:rFonts w:ascii="Times New Roman" w:eastAsia="SimSun" w:hAnsi="Times New Roman"/>
          <w:sz w:val="24"/>
          <w:szCs w:val="24"/>
        </w:rPr>
        <w:t xml:space="preserve">(Табл. 5.13.).  </w:t>
      </w:r>
    </w:p>
    <w:p w14:paraId="117B4FC3"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Табл. 5.12. Детски левкодистрофии и генетични левкоенцефалопатии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9"/>
        <w:gridCol w:w="972"/>
        <w:gridCol w:w="3766"/>
        <w:gridCol w:w="1865"/>
      </w:tblGrid>
      <w:tr w:rsidR="00BE0B19" w:rsidRPr="00AE47C6" w14:paraId="0DB0BA19" w14:textId="77777777" w:rsidTr="00AD72E5">
        <w:trPr>
          <w:trHeight w:val="166"/>
        </w:trPr>
        <w:tc>
          <w:tcPr>
            <w:tcW w:w="2628" w:type="dxa"/>
          </w:tcPr>
          <w:p w14:paraId="42AFAE74" w14:textId="77777777" w:rsidR="00BE0B19" w:rsidRPr="00AE47C6" w:rsidRDefault="00BE0B19" w:rsidP="00BE0B19">
            <w:pPr>
              <w:spacing w:after="0" w:line="360" w:lineRule="auto"/>
              <w:ind w:right="-108"/>
              <w:jc w:val="both"/>
              <w:rPr>
                <w:rFonts w:ascii="Times New Roman" w:eastAsia="SimSun" w:hAnsi="Times New Roman"/>
                <w:b/>
                <w:sz w:val="24"/>
                <w:szCs w:val="24"/>
              </w:rPr>
            </w:pPr>
            <w:r w:rsidRPr="00AE47C6">
              <w:rPr>
                <w:rFonts w:ascii="Times New Roman" w:eastAsia="SimSun" w:hAnsi="Times New Roman"/>
                <w:b/>
                <w:sz w:val="24"/>
                <w:szCs w:val="24"/>
              </w:rPr>
              <w:t>Левкодистрофия/</w:t>
            </w:r>
          </w:p>
          <w:p w14:paraId="68C45DF9" w14:textId="77777777" w:rsidR="00BE0B19" w:rsidRPr="00AE47C6" w:rsidRDefault="00BE0B19" w:rsidP="00BE0B19">
            <w:pPr>
              <w:spacing w:after="0" w:line="360" w:lineRule="auto"/>
              <w:ind w:right="-108"/>
              <w:jc w:val="both"/>
              <w:rPr>
                <w:rFonts w:ascii="Times New Roman" w:eastAsia="SimSun" w:hAnsi="Times New Roman"/>
                <w:b/>
                <w:sz w:val="24"/>
                <w:szCs w:val="24"/>
              </w:rPr>
            </w:pPr>
            <w:r w:rsidRPr="00AE47C6">
              <w:rPr>
                <w:rFonts w:ascii="Times New Roman" w:eastAsia="SimSun" w:hAnsi="Times New Roman"/>
                <w:b/>
                <w:sz w:val="24"/>
                <w:szCs w:val="24"/>
              </w:rPr>
              <w:t>Левкоенцефалопатия</w:t>
            </w:r>
          </w:p>
        </w:tc>
        <w:tc>
          <w:tcPr>
            <w:tcW w:w="1024" w:type="dxa"/>
          </w:tcPr>
          <w:p w14:paraId="5055FE63" w14:textId="77777777" w:rsidR="00BE0B19" w:rsidRPr="00AE47C6" w:rsidRDefault="00BE0B19" w:rsidP="00BE0B19">
            <w:pPr>
              <w:spacing w:after="0" w:line="360" w:lineRule="auto"/>
              <w:ind w:right="-136"/>
              <w:jc w:val="both"/>
              <w:rPr>
                <w:rFonts w:ascii="Times New Roman" w:eastAsia="SimSun" w:hAnsi="Times New Roman"/>
                <w:b/>
                <w:sz w:val="24"/>
                <w:szCs w:val="24"/>
              </w:rPr>
            </w:pPr>
            <w:r w:rsidRPr="00AE47C6">
              <w:rPr>
                <w:rFonts w:ascii="Times New Roman" w:eastAsia="SimSun" w:hAnsi="Times New Roman"/>
                <w:b/>
                <w:sz w:val="24"/>
                <w:szCs w:val="24"/>
              </w:rPr>
              <w:t>Генен дефект</w:t>
            </w:r>
          </w:p>
        </w:tc>
        <w:tc>
          <w:tcPr>
            <w:tcW w:w="4016" w:type="dxa"/>
          </w:tcPr>
          <w:p w14:paraId="0E0CE925"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Основни изяви</w:t>
            </w:r>
          </w:p>
        </w:tc>
        <w:tc>
          <w:tcPr>
            <w:tcW w:w="1980" w:type="dxa"/>
          </w:tcPr>
          <w:p w14:paraId="2058E75E" w14:textId="77777777" w:rsidR="00BE0B19" w:rsidRPr="00AE47C6" w:rsidRDefault="00BE0B19" w:rsidP="00BE0B19">
            <w:pPr>
              <w:spacing w:after="0" w:line="360" w:lineRule="auto"/>
              <w:ind w:right="-108"/>
              <w:jc w:val="both"/>
              <w:rPr>
                <w:rFonts w:ascii="Times New Roman" w:eastAsia="SimSun" w:hAnsi="Times New Roman"/>
                <w:b/>
                <w:sz w:val="24"/>
                <w:szCs w:val="24"/>
              </w:rPr>
            </w:pPr>
            <w:r w:rsidRPr="00AE47C6">
              <w:rPr>
                <w:rFonts w:ascii="Times New Roman" w:eastAsia="SimSun" w:hAnsi="Times New Roman"/>
                <w:b/>
                <w:sz w:val="24"/>
                <w:szCs w:val="24"/>
              </w:rPr>
              <w:t>Диагностичен тест</w:t>
            </w:r>
          </w:p>
        </w:tc>
      </w:tr>
      <w:tr w:rsidR="00BE0B19" w:rsidRPr="00AE47C6" w14:paraId="5881C14C" w14:textId="77777777" w:rsidTr="00AD72E5">
        <w:tc>
          <w:tcPr>
            <w:tcW w:w="2628" w:type="dxa"/>
          </w:tcPr>
          <w:p w14:paraId="4FE0065B"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Болест на Alexander</w:t>
            </w:r>
          </w:p>
        </w:tc>
        <w:tc>
          <w:tcPr>
            <w:tcW w:w="1024" w:type="dxa"/>
          </w:tcPr>
          <w:p w14:paraId="6060B084" w14:textId="77777777" w:rsidR="00BE0B19" w:rsidRPr="00AE47C6" w:rsidRDefault="00BE0B19" w:rsidP="00BE0B19">
            <w:pPr>
              <w:spacing w:after="0" w:line="360" w:lineRule="auto"/>
              <w:ind w:right="-136"/>
              <w:jc w:val="both"/>
              <w:rPr>
                <w:rFonts w:ascii="Times New Roman" w:eastAsia="SimSun" w:hAnsi="Times New Roman"/>
                <w:bCs/>
                <w:sz w:val="24"/>
                <w:szCs w:val="24"/>
              </w:rPr>
            </w:pPr>
            <w:r w:rsidRPr="00AE47C6">
              <w:rPr>
                <w:rFonts w:ascii="Times New Roman" w:eastAsia="SimSun" w:hAnsi="Times New Roman"/>
                <w:bCs/>
                <w:sz w:val="24"/>
                <w:szCs w:val="24"/>
              </w:rPr>
              <w:t>GFAP</w:t>
            </w:r>
          </w:p>
        </w:tc>
        <w:tc>
          <w:tcPr>
            <w:tcW w:w="4016" w:type="dxa"/>
          </w:tcPr>
          <w:p w14:paraId="7860A186"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Макроцефалия при инфантилните форми</w:t>
            </w:r>
          </w:p>
        </w:tc>
        <w:tc>
          <w:tcPr>
            <w:tcW w:w="1980" w:type="dxa"/>
          </w:tcPr>
          <w:p w14:paraId="2E218F43" w14:textId="77777777" w:rsidR="00BE0B19" w:rsidRPr="00AE47C6" w:rsidRDefault="00BE0B19" w:rsidP="00BE0B19">
            <w:pPr>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Молекулно-генетичен анализ (МГА)</w:t>
            </w:r>
          </w:p>
        </w:tc>
      </w:tr>
      <w:tr w:rsidR="00BE0B19" w:rsidRPr="00AE47C6" w14:paraId="0235A1EA" w14:textId="77777777" w:rsidTr="00AD72E5">
        <w:tc>
          <w:tcPr>
            <w:tcW w:w="2628" w:type="dxa"/>
          </w:tcPr>
          <w:p w14:paraId="04E17726"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Болест на Canavan</w:t>
            </w:r>
          </w:p>
        </w:tc>
        <w:tc>
          <w:tcPr>
            <w:tcW w:w="1024" w:type="dxa"/>
          </w:tcPr>
          <w:p w14:paraId="58A4ADEB" w14:textId="77777777" w:rsidR="00BE0B19" w:rsidRPr="00AE47C6" w:rsidRDefault="00BE0B19" w:rsidP="00BE0B19">
            <w:pPr>
              <w:spacing w:after="0" w:line="360" w:lineRule="auto"/>
              <w:ind w:right="-136"/>
              <w:jc w:val="both"/>
              <w:rPr>
                <w:rFonts w:ascii="Times New Roman" w:eastAsia="SimSun" w:hAnsi="Times New Roman"/>
                <w:bCs/>
                <w:sz w:val="24"/>
                <w:szCs w:val="24"/>
              </w:rPr>
            </w:pPr>
            <w:r w:rsidRPr="00AE47C6">
              <w:rPr>
                <w:rFonts w:ascii="Times New Roman" w:eastAsia="SimSun" w:hAnsi="Times New Roman"/>
                <w:bCs/>
                <w:sz w:val="24"/>
                <w:szCs w:val="24"/>
              </w:rPr>
              <w:t>ASPA</w:t>
            </w:r>
          </w:p>
        </w:tc>
        <w:tc>
          <w:tcPr>
            <w:tcW w:w="4016" w:type="dxa"/>
          </w:tcPr>
          <w:p w14:paraId="40B0E44B"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Макроцефалия при инфантилните форми</w:t>
            </w:r>
          </w:p>
        </w:tc>
        <w:tc>
          <w:tcPr>
            <w:tcW w:w="1980" w:type="dxa"/>
          </w:tcPr>
          <w:p w14:paraId="5D32D581" w14:textId="77777777" w:rsidR="00BE0B19" w:rsidRPr="00AE47C6" w:rsidRDefault="00BE0B19" w:rsidP="00BE0B19">
            <w:pPr>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NAAв серум, МГА</w:t>
            </w:r>
          </w:p>
        </w:tc>
      </w:tr>
      <w:tr w:rsidR="00BE0B19" w:rsidRPr="00AE47C6" w14:paraId="1654AD59" w14:textId="77777777" w:rsidTr="00AD72E5">
        <w:tc>
          <w:tcPr>
            <w:tcW w:w="2628" w:type="dxa"/>
          </w:tcPr>
          <w:p w14:paraId="5E913EA2"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Болест на Krabbe</w:t>
            </w:r>
          </w:p>
        </w:tc>
        <w:tc>
          <w:tcPr>
            <w:tcW w:w="1024" w:type="dxa"/>
          </w:tcPr>
          <w:p w14:paraId="051CC8A4" w14:textId="77777777" w:rsidR="00BE0B19" w:rsidRPr="00AE47C6" w:rsidRDefault="00BE0B19" w:rsidP="00BE0B19">
            <w:pPr>
              <w:spacing w:after="0" w:line="360" w:lineRule="auto"/>
              <w:ind w:right="-136"/>
              <w:jc w:val="both"/>
              <w:rPr>
                <w:rFonts w:ascii="Times New Roman" w:eastAsia="SimSun" w:hAnsi="Times New Roman"/>
                <w:bCs/>
                <w:sz w:val="24"/>
                <w:szCs w:val="24"/>
              </w:rPr>
            </w:pPr>
            <w:r w:rsidRPr="00AE47C6">
              <w:rPr>
                <w:rFonts w:ascii="Times New Roman" w:eastAsia="SimSun" w:hAnsi="Times New Roman"/>
                <w:bCs/>
                <w:i/>
                <w:iCs/>
                <w:sz w:val="24"/>
                <w:szCs w:val="24"/>
              </w:rPr>
              <w:t>GALC</w:t>
            </w:r>
          </w:p>
        </w:tc>
        <w:tc>
          <w:tcPr>
            <w:tcW w:w="4016" w:type="dxa"/>
          </w:tcPr>
          <w:p w14:paraId="3C49E264"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Бърз регрес при кърмачета, полиневропатия, бавна прогресия при юношеските форми</w:t>
            </w:r>
          </w:p>
        </w:tc>
        <w:tc>
          <w:tcPr>
            <w:tcW w:w="1980" w:type="dxa"/>
          </w:tcPr>
          <w:p w14:paraId="797EF39C" w14:textId="77777777" w:rsidR="00BE0B19" w:rsidRPr="00AE47C6" w:rsidRDefault="00BE0B19" w:rsidP="00BE0B19">
            <w:pPr>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 xml:space="preserve">Снижена </w:t>
            </w:r>
            <w:r w:rsidRPr="00AE47C6">
              <w:rPr>
                <w:rFonts w:ascii="Times New Roman" w:eastAsia="SimSun" w:hAnsi="Times New Roman"/>
                <w:bCs/>
                <w:i/>
                <w:iCs/>
                <w:sz w:val="24"/>
                <w:szCs w:val="24"/>
              </w:rPr>
              <w:t>β</w:t>
            </w:r>
            <w:r w:rsidRPr="00AE47C6">
              <w:rPr>
                <w:rFonts w:ascii="Times New Roman" w:eastAsia="SimSun" w:hAnsi="Times New Roman"/>
                <w:bCs/>
                <w:sz w:val="24"/>
                <w:szCs w:val="24"/>
              </w:rPr>
              <w:t>–галактоцереброзидаза</w:t>
            </w:r>
          </w:p>
        </w:tc>
      </w:tr>
      <w:tr w:rsidR="00BE0B19" w:rsidRPr="00AE47C6" w14:paraId="546FD36B" w14:textId="77777777" w:rsidTr="00AD72E5">
        <w:tc>
          <w:tcPr>
            <w:tcW w:w="2628" w:type="dxa"/>
          </w:tcPr>
          <w:p w14:paraId="498AE49B"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Метахроматична левкодистрофия</w:t>
            </w:r>
          </w:p>
        </w:tc>
        <w:tc>
          <w:tcPr>
            <w:tcW w:w="1024" w:type="dxa"/>
          </w:tcPr>
          <w:p w14:paraId="7070EDC4" w14:textId="77777777" w:rsidR="00BE0B19" w:rsidRPr="00AE47C6" w:rsidRDefault="00BE0B19" w:rsidP="00BE0B19">
            <w:pPr>
              <w:spacing w:after="0" w:line="360" w:lineRule="auto"/>
              <w:ind w:right="-136"/>
              <w:jc w:val="both"/>
              <w:rPr>
                <w:rFonts w:ascii="Times New Roman" w:eastAsia="SimSun" w:hAnsi="Times New Roman"/>
                <w:bCs/>
                <w:sz w:val="24"/>
                <w:szCs w:val="24"/>
              </w:rPr>
            </w:pPr>
            <w:r w:rsidRPr="00AE47C6">
              <w:rPr>
                <w:rFonts w:ascii="Times New Roman" w:eastAsia="SimSun" w:hAnsi="Times New Roman"/>
                <w:bCs/>
                <w:sz w:val="24"/>
                <w:szCs w:val="24"/>
              </w:rPr>
              <w:t>ARSA</w:t>
            </w:r>
          </w:p>
        </w:tc>
        <w:tc>
          <w:tcPr>
            <w:tcW w:w="4016" w:type="dxa"/>
          </w:tcPr>
          <w:p w14:paraId="375E61C7"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МРТ - левкоенцефалопатия, възможно и полиневропатия</w:t>
            </w:r>
          </w:p>
        </w:tc>
        <w:tc>
          <w:tcPr>
            <w:tcW w:w="1980" w:type="dxa"/>
          </w:tcPr>
          <w:p w14:paraId="3AD9E696" w14:textId="77777777" w:rsidR="00BE0B19" w:rsidRPr="00AE47C6" w:rsidRDefault="00BE0B19" w:rsidP="00BE0B19">
            <w:pPr>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 xml:space="preserve">Снижена арилсулфатаза, МГА </w:t>
            </w:r>
          </w:p>
        </w:tc>
      </w:tr>
      <w:tr w:rsidR="00BE0B19" w:rsidRPr="00AE47C6" w14:paraId="566EE750" w14:textId="77777777" w:rsidTr="00AD72E5">
        <w:tc>
          <w:tcPr>
            <w:tcW w:w="2628" w:type="dxa"/>
          </w:tcPr>
          <w:p w14:paraId="610EA24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sz w:val="24"/>
                <w:szCs w:val="24"/>
              </w:rPr>
              <w:t>Метахроматична левкодистрофия с множествен сулфатазен дефицит</w:t>
            </w:r>
          </w:p>
        </w:tc>
        <w:tc>
          <w:tcPr>
            <w:tcW w:w="1024" w:type="dxa"/>
          </w:tcPr>
          <w:p w14:paraId="0974B260" w14:textId="77777777" w:rsidR="00BE0B19" w:rsidRPr="00AE47C6" w:rsidRDefault="00BE0B19" w:rsidP="00BE0B19">
            <w:pPr>
              <w:spacing w:after="0" w:line="360" w:lineRule="auto"/>
              <w:ind w:right="-136"/>
              <w:jc w:val="both"/>
              <w:rPr>
                <w:rFonts w:ascii="Times New Roman" w:eastAsia="SimSun" w:hAnsi="Times New Roman"/>
                <w:bCs/>
                <w:sz w:val="24"/>
                <w:szCs w:val="24"/>
              </w:rPr>
            </w:pPr>
            <w:r w:rsidRPr="00AE47C6">
              <w:rPr>
                <w:rFonts w:ascii="Times New Roman" w:eastAsia="SimSun" w:hAnsi="Times New Roman"/>
                <w:bCs/>
                <w:sz w:val="24"/>
                <w:szCs w:val="24"/>
              </w:rPr>
              <w:t>SUMF1</w:t>
            </w:r>
          </w:p>
        </w:tc>
        <w:tc>
          <w:tcPr>
            <w:tcW w:w="4016" w:type="dxa"/>
          </w:tcPr>
          <w:p w14:paraId="5CEBB6E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Лицев дизморфизъм, ихтиоза, лимфоцитни гранули</w:t>
            </w:r>
          </w:p>
        </w:tc>
        <w:tc>
          <w:tcPr>
            <w:tcW w:w="1980" w:type="dxa"/>
          </w:tcPr>
          <w:p w14:paraId="59D4DEA9" w14:textId="77777777" w:rsidR="00BE0B19" w:rsidRPr="00AE47C6" w:rsidRDefault="00BE0B19" w:rsidP="00BE0B19">
            <w:pPr>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Сулфатази, МГА</w:t>
            </w:r>
          </w:p>
        </w:tc>
      </w:tr>
      <w:tr w:rsidR="00BE0B19" w:rsidRPr="00AE47C6" w14:paraId="4D32085E" w14:textId="77777777" w:rsidTr="00AD72E5">
        <w:tc>
          <w:tcPr>
            <w:tcW w:w="2628" w:type="dxa"/>
          </w:tcPr>
          <w:p w14:paraId="77ACD3CE"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X-свързана адренолевкодистрофия</w:t>
            </w:r>
          </w:p>
        </w:tc>
        <w:tc>
          <w:tcPr>
            <w:tcW w:w="1024" w:type="dxa"/>
          </w:tcPr>
          <w:p w14:paraId="3C468DAE" w14:textId="77777777" w:rsidR="00BE0B19" w:rsidRPr="00AE47C6" w:rsidRDefault="00BE0B19" w:rsidP="00BE0B19">
            <w:pPr>
              <w:spacing w:after="0" w:line="360" w:lineRule="auto"/>
              <w:ind w:right="-136"/>
              <w:jc w:val="both"/>
              <w:rPr>
                <w:rFonts w:ascii="Times New Roman" w:eastAsia="SimSun" w:hAnsi="Times New Roman"/>
                <w:bCs/>
                <w:sz w:val="24"/>
                <w:szCs w:val="24"/>
              </w:rPr>
            </w:pPr>
            <w:r w:rsidRPr="00AE47C6">
              <w:rPr>
                <w:rFonts w:ascii="Times New Roman" w:eastAsia="SimSun" w:hAnsi="Times New Roman"/>
                <w:bCs/>
                <w:sz w:val="24"/>
                <w:szCs w:val="24"/>
              </w:rPr>
              <w:t>ABCD 1</w:t>
            </w:r>
          </w:p>
        </w:tc>
        <w:tc>
          <w:tcPr>
            <w:tcW w:w="4016" w:type="dxa"/>
          </w:tcPr>
          <w:p w14:paraId="79B6322F"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Поведенчески разстройства у момчета, МРТ с левкодистрофия</w:t>
            </w:r>
          </w:p>
        </w:tc>
        <w:tc>
          <w:tcPr>
            <w:tcW w:w="1980" w:type="dxa"/>
          </w:tcPr>
          <w:p w14:paraId="5DB03D71" w14:textId="77777777" w:rsidR="00BE0B19" w:rsidRPr="00AE47C6" w:rsidRDefault="00BE0B19" w:rsidP="00BE0B19">
            <w:pPr>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Дълговерижни мастни киселини в кръв</w:t>
            </w:r>
          </w:p>
        </w:tc>
      </w:tr>
      <w:tr w:rsidR="00BE0B19" w:rsidRPr="00AE47C6" w14:paraId="270ABD04" w14:textId="77777777" w:rsidTr="00AD72E5">
        <w:tc>
          <w:tcPr>
            <w:tcW w:w="2628" w:type="dxa"/>
          </w:tcPr>
          <w:p w14:paraId="1377E2B5"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Болест на Pelizaeus–Merzbacher</w:t>
            </w:r>
          </w:p>
        </w:tc>
        <w:tc>
          <w:tcPr>
            <w:tcW w:w="1024" w:type="dxa"/>
          </w:tcPr>
          <w:p w14:paraId="7940E416" w14:textId="77777777" w:rsidR="00BE0B19" w:rsidRPr="00AE47C6" w:rsidRDefault="00BE0B19" w:rsidP="00BE0B19">
            <w:pPr>
              <w:spacing w:after="0" w:line="360" w:lineRule="auto"/>
              <w:ind w:right="-136"/>
              <w:jc w:val="both"/>
              <w:rPr>
                <w:rFonts w:ascii="Times New Roman" w:eastAsia="SimSun" w:hAnsi="Times New Roman"/>
                <w:bCs/>
                <w:sz w:val="24"/>
                <w:szCs w:val="24"/>
              </w:rPr>
            </w:pPr>
            <w:r w:rsidRPr="00AE47C6">
              <w:rPr>
                <w:rFonts w:ascii="Times New Roman" w:eastAsia="SimSun" w:hAnsi="Times New Roman"/>
                <w:bCs/>
                <w:iCs/>
                <w:sz w:val="24"/>
                <w:szCs w:val="24"/>
              </w:rPr>
              <w:t>PLP1</w:t>
            </w:r>
          </w:p>
        </w:tc>
        <w:tc>
          <w:tcPr>
            <w:tcW w:w="4016" w:type="dxa"/>
          </w:tcPr>
          <w:p w14:paraId="497B11E2"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Вроден преходен стридор, ранен нистагъм, хипомиелинизация</w:t>
            </w:r>
          </w:p>
        </w:tc>
        <w:tc>
          <w:tcPr>
            <w:tcW w:w="1980" w:type="dxa"/>
          </w:tcPr>
          <w:p w14:paraId="1169E88A" w14:textId="77777777" w:rsidR="00BE0B19" w:rsidRPr="00AE47C6" w:rsidRDefault="00BE0B19" w:rsidP="00BE0B19">
            <w:pPr>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МГА</w:t>
            </w:r>
          </w:p>
        </w:tc>
      </w:tr>
      <w:tr w:rsidR="00BE0B19" w:rsidRPr="00AE47C6" w14:paraId="7A473B31" w14:textId="77777777" w:rsidTr="00AD72E5">
        <w:tc>
          <w:tcPr>
            <w:tcW w:w="2628" w:type="dxa"/>
          </w:tcPr>
          <w:p w14:paraId="620215D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Pelizaeus–Merzbacher- подобни заболявания І и ІІ тип </w:t>
            </w:r>
          </w:p>
        </w:tc>
        <w:tc>
          <w:tcPr>
            <w:tcW w:w="1024" w:type="dxa"/>
          </w:tcPr>
          <w:p w14:paraId="050D060B" w14:textId="77777777" w:rsidR="00BE0B19" w:rsidRPr="00AE47C6" w:rsidRDefault="00BE0B19" w:rsidP="00BE0B19">
            <w:pPr>
              <w:spacing w:after="0" w:line="360" w:lineRule="auto"/>
              <w:ind w:right="-136"/>
              <w:jc w:val="both"/>
              <w:rPr>
                <w:rFonts w:ascii="Times New Roman" w:eastAsia="SimSun" w:hAnsi="Times New Roman"/>
                <w:bCs/>
                <w:iCs/>
                <w:sz w:val="24"/>
                <w:szCs w:val="24"/>
              </w:rPr>
            </w:pPr>
            <w:r w:rsidRPr="00AE47C6">
              <w:rPr>
                <w:rFonts w:ascii="Times New Roman" w:eastAsia="SimSun" w:hAnsi="Times New Roman"/>
                <w:bCs/>
                <w:iCs/>
                <w:sz w:val="24"/>
                <w:szCs w:val="24"/>
              </w:rPr>
              <w:t>GJС2,GJA12, AIMP1</w:t>
            </w:r>
          </w:p>
        </w:tc>
        <w:tc>
          <w:tcPr>
            <w:tcW w:w="4016" w:type="dxa"/>
          </w:tcPr>
          <w:p w14:paraId="5FAD902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Хипомиелинизация</w:t>
            </w:r>
          </w:p>
        </w:tc>
        <w:tc>
          <w:tcPr>
            <w:tcW w:w="1980" w:type="dxa"/>
          </w:tcPr>
          <w:p w14:paraId="20806FA1" w14:textId="77777777" w:rsidR="00BE0B19" w:rsidRPr="00AE47C6" w:rsidRDefault="00BE0B19" w:rsidP="00BE0B19">
            <w:pPr>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МГА</w:t>
            </w:r>
          </w:p>
        </w:tc>
      </w:tr>
      <w:tr w:rsidR="00BE0B19" w:rsidRPr="00AE47C6" w14:paraId="6094FC7C" w14:textId="77777777" w:rsidTr="00AD72E5">
        <w:tc>
          <w:tcPr>
            <w:tcW w:w="2628" w:type="dxa"/>
          </w:tcPr>
          <w:p w14:paraId="19B6C07D"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Синдром на Aicardi-Goutieres</w:t>
            </w:r>
          </w:p>
        </w:tc>
        <w:tc>
          <w:tcPr>
            <w:tcW w:w="1024" w:type="dxa"/>
          </w:tcPr>
          <w:p w14:paraId="13032E4A" w14:textId="77777777" w:rsidR="00BE0B19" w:rsidRPr="00AE47C6" w:rsidRDefault="00BE0B19" w:rsidP="00BE0B19">
            <w:pPr>
              <w:spacing w:after="0" w:line="360" w:lineRule="auto"/>
              <w:ind w:right="-136"/>
              <w:jc w:val="both"/>
              <w:rPr>
                <w:rFonts w:ascii="Times New Roman" w:eastAsia="SimSun" w:hAnsi="Times New Roman"/>
                <w:bCs/>
                <w:sz w:val="24"/>
                <w:szCs w:val="24"/>
              </w:rPr>
            </w:pPr>
            <w:r w:rsidRPr="00AE47C6">
              <w:rPr>
                <w:rFonts w:ascii="Times New Roman" w:eastAsia="SimSun" w:hAnsi="Times New Roman"/>
                <w:bCs/>
                <w:sz w:val="24"/>
                <w:szCs w:val="24"/>
              </w:rPr>
              <w:t>TREX1</w:t>
            </w:r>
          </w:p>
        </w:tc>
        <w:tc>
          <w:tcPr>
            <w:tcW w:w="4016" w:type="dxa"/>
          </w:tcPr>
          <w:p w14:paraId="7C138D2B"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Микроцефалия, СТ с мозъчни калцификати</w:t>
            </w:r>
          </w:p>
        </w:tc>
        <w:tc>
          <w:tcPr>
            <w:tcW w:w="1980" w:type="dxa"/>
          </w:tcPr>
          <w:p w14:paraId="151BA4FB" w14:textId="77777777" w:rsidR="00BE0B19" w:rsidRPr="00AE47C6" w:rsidRDefault="00BE0B19" w:rsidP="00BE0B19">
            <w:pPr>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МГА</w:t>
            </w:r>
          </w:p>
        </w:tc>
      </w:tr>
      <w:tr w:rsidR="00BE0B19" w:rsidRPr="00AE47C6" w14:paraId="620A9D73" w14:textId="77777777" w:rsidTr="00AD72E5">
        <w:tc>
          <w:tcPr>
            <w:tcW w:w="2628" w:type="dxa"/>
          </w:tcPr>
          <w:p w14:paraId="4EA70FF1"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Левкоенцефалопатия с калцификации и кисти</w:t>
            </w:r>
          </w:p>
        </w:tc>
        <w:tc>
          <w:tcPr>
            <w:tcW w:w="1024" w:type="dxa"/>
          </w:tcPr>
          <w:p w14:paraId="7A1B63CB" w14:textId="77777777" w:rsidR="00BE0B19" w:rsidRPr="00AE47C6" w:rsidRDefault="00BE0B19" w:rsidP="00BE0B19">
            <w:pPr>
              <w:spacing w:after="0" w:line="360" w:lineRule="auto"/>
              <w:ind w:right="-136"/>
              <w:jc w:val="both"/>
              <w:rPr>
                <w:rFonts w:ascii="Times New Roman" w:eastAsia="SimSun" w:hAnsi="Times New Roman"/>
                <w:bCs/>
                <w:sz w:val="24"/>
                <w:szCs w:val="24"/>
              </w:rPr>
            </w:pPr>
            <w:r w:rsidRPr="00AE47C6">
              <w:rPr>
                <w:rFonts w:ascii="Times New Roman" w:eastAsia="SimSun" w:hAnsi="Times New Roman"/>
                <w:bCs/>
                <w:sz w:val="24"/>
                <w:szCs w:val="24"/>
              </w:rPr>
              <w:t>-</w:t>
            </w:r>
          </w:p>
        </w:tc>
        <w:tc>
          <w:tcPr>
            <w:tcW w:w="4016" w:type="dxa"/>
          </w:tcPr>
          <w:p w14:paraId="07D05B62"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Ретинопатия, МРТ - кисти, СТ с мозъчни калцификати</w:t>
            </w:r>
          </w:p>
        </w:tc>
        <w:tc>
          <w:tcPr>
            <w:tcW w:w="1980" w:type="dxa"/>
          </w:tcPr>
          <w:p w14:paraId="5F4E8329" w14:textId="77777777" w:rsidR="00BE0B19" w:rsidRPr="00AE47C6" w:rsidRDefault="00BE0B19" w:rsidP="00BE0B19">
            <w:pPr>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w:t>
            </w:r>
          </w:p>
        </w:tc>
      </w:tr>
      <w:tr w:rsidR="00BE0B19" w:rsidRPr="00AE47C6" w14:paraId="0A0B8F6B" w14:textId="77777777" w:rsidTr="00AD72E5">
        <w:tc>
          <w:tcPr>
            <w:tcW w:w="2628" w:type="dxa"/>
          </w:tcPr>
          <w:p w14:paraId="4C4731A6"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Мегаленцефална кистична левкоенцефалопатия</w:t>
            </w:r>
          </w:p>
        </w:tc>
        <w:tc>
          <w:tcPr>
            <w:tcW w:w="1024" w:type="dxa"/>
          </w:tcPr>
          <w:p w14:paraId="62488438" w14:textId="77777777" w:rsidR="00BE0B19" w:rsidRPr="00AE47C6" w:rsidRDefault="00BE0B19" w:rsidP="00BE0B19">
            <w:pPr>
              <w:spacing w:after="0" w:line="360" w:lineRule="auto"/>
              <w:ind w:right="-136"/>
              <w:jc w:val="both"/>
              <w:rPr>
                <w:rFonts w:ascii="Times New Roman" w:eastAsia="SimSun" w:hAnsi="Times New Roman"/>
                <w:bCs/>
                <w:sz w:val="24"/>
                <w:szCs w:val="24"/>
              </w:rPr>
            </w:pPr>
            <w:r w:rsidRPr="00AE47C6">
              <w:rPr>
                <w:rFonts w:ascii="Times New Roman" w:eastAsia="SimSun" w:hAnsi="Times New Roman"/>
                <w:bCs/>
                <w:sz w:val="24"/>
                <w:szCs w:val="24"/>
              </w:rPr>
              <w:t>MLC1, глиален CAM</w:t>
            </w:r>
          </w:p>
        </w:tc>
        <w:tc>
          <w:tcPr>
            <w:tcW w:w="4016" w:type="dxa"/>
          </w:tcPr>
          <w:p w14:paraId="13054D2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Макроцефалия, кистични лезии, левкоенцефалопатия</w:t>
            </w:r>
          </w:p>
        </w:tc>
        <w:tc>
          <w:tcPr>
            <w:tcW w:w="1980" w:type="dxa"/>
          </w:tcPr>
          <w:p w14:paraId="4D6DD830" w14:textId="77777777" w:rsidR="00BE0B19" w:rsidRPr="00AE47C6" w:rsidRDefault="00BE0B19" w:rsidP="00BE0B19">
            <w:pPr>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МГА</w:t>
            </w:r>
          </w:p>
        </w:tc>
      </w:tr>
      <w:tr w:rsidR="00BE0B19" w:rsidRPr="00AE47C6" w14:paraId="1EAB6279" w14:textId="77777777" w:rsidTr="00AD72E5">
        <w:tc>
          <w:tcPr>
            <w:tcW w:w="2628" w:type="dxa"/>
          </w:tcPr>
          <w:p w14:paraId="7889B783"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Кистична левкоенцефалопатия без мегаленцефалия</w:t>
            </w:r>
          </w:p>
        </w:tc>
        <w:tc>
          <w:tcPr>
            <w:tcW w:w="1024" w:type="dxa"/>
          </w:tcPr>
          <w:p w14:paraId="56520CE8" w14:textId="77777777" w:rsidR="00BE0B19" w:rsidRPr="00AE47C6" w:rsidRDefault="00BE0B19" w:rsidP="00BE0B19">
            <w:pPr>
              <w:spacing w:after="0" w:line="360" w:lineRule="auto"/>
              <w:ind w:right="-136"/>
              <w:jc w:val="both"/>
              <w:rPr>
                <w:rFonts w:ascii="Times New Roman" w:eastAsia="SimSun" w:hAnsi="Times New Roman"/>
                <w:bCs/>
                <w:sz w:val="24"/>
                <w:szCs w:val="24"/>
              </w:rPr>
            </w:pPr>
            <w:r w:rsidRPr="00AE47C6">
              <w:rPr>
                <w:rFonts w:ascii="Times New Roman" w:eastAsia="SimSun" w:hAnsi="Times New Roman"/>
                <w:bCs/>
                <w:sz w:val="24"/>
                <w:szCs w:val="24"/>
              </w:rPr>
              <w:t>RNASET2</w:t>
            </w:r>
          </w:p>
        </w:tc>
        <w:tc>
          <w:tcPr>
            <w:tcW w:w="4016" w:type="dxa"/>
          </w:tcPr>
          <w:p w14:paraId="24C604E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МРТ - кистични лезии</w:t>
            </w:r>
          </w:p>
        </w:tc>
        <w:tc>
          <w:tcPr>
            <w:tcW w:w="1980" w:type="dxa"/>
          </w:tcPr>
          <w:p w14:paraId="5BB7364F" w14:textId="77777777" w:rsidR="00BE0B19" w:rsidRPr="00AE47C6" w:rsidRDefault="00BE0B19" w:rsidP="00BE0B19">
            <w:pPr>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МГА</w:t>
            </w:r>
          </w:p>
        </w:tc>
      </w:tr>
      <w:tr w:rsidR="00BE0B19" w:rsidRPr="00AE47C6" w14:paraId="35AE87E0" w14:textId="77777777" w:rsidTr="00AD72E5">
        <w:tc>
          <w:tcPr>
            <w:tcW w:w="2628" w:type="dxa"/>
          </w:tcPr>
          <w:p w14:paraId="2FED7368"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 Левкоенцефалопатия с изчезващо бяло вещество (Vanishing white matter disease)</w:t>
            </w:r>
          </w:p>
        </w:tc>
        <w:tc>
          <w:tcPr>
            <w:tcW w:w="1024" w:type="dxa"/>
          </w:tcPr>
          <w:p w14:paraId="43712024" w14:textId="77777777" w:rsidR="00BE0B19" w:rsidRPr="00AE47C6" w:rsidRDefault="00BE0B19" w:rsidP="00BE0B19">
            <w:pPr>
              <w:spacing w:after="0" w:line="360" w:lineRule="auto"/>
              <w:ind w:right="-136"/>
              <w:jc w:val="both"/>
              <w:rPr>
                <w:rFonts w:ascii="Times New Roman" w:eastAsia="SimSun" w:hAnsi="Times New Roman"/>
                <w:sz w:val="24"/>
                <w:szCs w:val="24"/>
                <w:shd w:val="clear" w:color="auto" w:fill="FFFFFF"/>
              </w:rPr>
            </w:pPr>
            <w:r w:rsidRPr="00AE47C6">
              <w:rPr>
                <w:rFonts w:ascii="Times New Roman" w:eastAsia="SimSun" w:hAnsi="Times New Roman"/>
                <w:sz w:val="24"/>
                <w:szCs w:val="24"/>
                <w:shd w:val="clear" w:color="auto" w:fill="FFFFFF"/>
              </w:rPr>
              <w:t>eIF2B</w:t>
            </w:r>
            <w:r w:rsidRPr="00AE47C6">
              <w:rPr>
                <w:rFonts w:ascii="Times New Roman" w:eastAsia="SimSun" w:hAnsi="Times New Roman"/>
                <w:bCs/>
                <w:sz w:val="24"/>
                <w:szCs w:val="24"/>
              </w:rPr>
              <w:t>1-5</w:t>
            </w:r>
          </w:p>
        </w:tc>
        <w:tc>
          <w:tcPr>
            <w:tcW w:w="4016" w:type="dxa"/>
          </w:tcPr>
          <w:p w14:paraId="65EAEA3B"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Влошаване, предизвикано от стрес или травма; МРТ левкоенцефалопатия; възможно и полиневропатия</w:t>
            </w:r>
          </w:p>
        </w:tc>
        <w:tc>
          <w:tcPr>
            <w:tcW w:w="1980" w:type="dxa"/>
          </w:tcPr>
          <w:p w14:paraId="0028BB85" w14:textId="77777777" w:rsidR="00BE0B19" w:rsidRPr="00AE47C6" w:rsidRDefault="00BE0B19" w:rsidP="00BE0B19">
            <w:pPr>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МГА</w:t>
            </w:r>
          </w:p>
        </w:tc>
      </w:tr>
      <w:tr w:rsidR="00BE0B19" w:rsidRPr="00AE47C6" w14:paraId="08FA2202" w14:textId="77777777" w:rsidTr="00AD72E5">
        <w:tc>
          <w:tcPr>
            <w:tcW w:w="2628" w:type="dxa"/>
          </w:tcPr>
          <w:p w14:paraId="039F7CD0"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Хипомиелинизация и атрофия на базалните ганглии и (H-ABC)</w:t>
            </w:r>
          </w:p>
        </w:tc>
        <w:tc>
          <w:tcPr>
            <w:tcW w:w="1024" w:type="dxa"/>
          </w:tcPr>
          <w:p w14:paraId="1883F0A9" w14:textId="77777777" w:rsidR="00BE0B19" w:rsidRPr="00AE47C6" w:rsidRDefault="00BE0B19" w:rsidP="00BE0B19">
            <w:pPr>
              <w:spacing w:after="0" w:line="360" w:lineRule="auto"/>
              <w:ind w:right="-136"/>
              <w:jc w:val="both"/>
              <w:rPr>
                <w:rFonts w:ascii="Times New Roman" w:eastAsia="SimSun" w:hAnsi="Times New Roman"/>
                <w:bCs/>
                <w:sz w:val="24"/>
                <w:szCs w:val="24"/>
              </w:rPr>
            </w:pPr>
            <w:r w:rsidRPr="00AE47C6">
              <w:rPr>
                <w:rFonts w:ascii="Times New Roman" w:eastAsia="SimSun" w:hAnsi="Times New Roman"/>
                <w:sz w:val="24"/>
                <w:szCs w:val="24"/>
                <w:shd w:val="clear" w:color="auto" w:fill="FFFFFF"/>
              </w:rPr>
              <w:t>TUBB4A</w:t>
            </w:r>
          </w:p>
        </w:tc>
        <w:tc>
          <w:tcPr>
            <w:tcW w:w="4016" w:type="dxa"/>
          </w:tcPr>
          <w:p w14:paraId="18B4469C"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МРТ</w:t>
            </w:r>
            <w:r w:rsidRPr="00AE47C6">
              <w:rPr>
                <w:rFonts w:ascii="Times New Roman" w:eastAsia="SimSun" w:hAnsi="Times New Roman"/>
                <w:sz w:val="24"/>
                <w:szCs w:val="24"/>
              </w:rPr>
              <w:t xml:space="preserve">: хипомиелинизация, </w:t>
            </w:r>
            <w:r w:rsidRPr="00AE47C6">
              <w:rPr>
                <w:rFonts w:ascii="Times New Roman" w:eastAsia="SimSun" w:hAnsi="Times New Roman"/>
                <w:bCs/>
                <w:sz w:val="24"/>
                <w:szCs w:val="24"/>
              </w:rPr>
              <w:t>атрофия на базалните ганглии и малкия мозък</w:t>
            </w:r>
          </w:p>
        </w:tc>
        <w:tc>
          <w:tcPr>
            <w:tcW w:w="1980" w:type="dxa"/>
          </w:tcPr>
          <w:p w14:paraId="57057F86" w14:textId="77777777" w:rsidR="00BE0B19" w:rsidRPr="00AE47C6" w:rsidRDefault="00BE0B19" w:rsidP="00BE0B19">
            <w:pPr>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w:t>
            </w:r>
          </w:p>
        </w:tc>
      </w:tr>
      <w:tr w:rsidR="00BE0B19" w:rsidRPr="00AE47C6" w14:paraId="254CA250" w14:textId="77777777" w:rsidTr="00AD72E5">
        <w:tc>
          <w:tcPr>
            <w:tcW w:w="2628" w:type="dxa"/>
          </w:tcPr>
          <w:p w14:paraId="7EF75088"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Левкоенцефалопатия със стволово и гръбначномозъчно засягане и повишен лактат</w:t>
            </w:r>
          </w:p>
        </w:tc>
        <w:tc>
          <w:tcPr>
            <w:tcW w:w="1024" w:type="dxa"/>
          </w:tcPr>
          <w:p w14:paraId="70D97F3E" w14:textId="77777777" w:rsidR="00BE0B19" w:rsidRPr="00AE47C6" w:rsidRDefault="00BE0B19" w:rsidP="00BE0B19">
            <w:pPr>
              <w:spacing w:after="0" w:line="360" w:lineRule="auto"/>
              <w:ind w:right="-136"/>
              <w:jc w:val="both"/>
              <w:rPr>
                <w:rFonts w:ascii="Times New Roman" w:eastAsia="SimSun" w:hAnsi="Times New Roman"/>
                <w:bCs/>
                <w:sz w:val="24"/>
                <w:szCs w:val="24"/>
              </w:rPr>
            </w:pPr>
            <w:r w:rsidRPr="00AE47C6">
              <w:rPr>
                <w:rFonts w:ascii="Times New Roman" w:eastAsia="SimSun" w:hAnsi="Times New Roman"/>
                <w:i/>
                <w:iCs/>
                <w:sz w:val="24"/>
                <w:szCs w:val="24"/>
              </w:rPr>
              <w:t>DARS2</w:t>
            </w:r>
          </w:p>
        </w:tc>
        <w:tc>
          <w:tcPr>
            <w:tcW w:w="4016" w:type="dxa"/>
          </w:tcPr>
          <w:p w14:paraId="62F367E1"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МРТ</w:t>
            </w:r>
            <w:r w:rsidRPr="00AE47C6">
              <w:rPr>
                <w:rFonts w:ascii="Times New Roman" w:eastAsia="SimSun" w:hAnsi="Times New Roman"/>
                <w:sz w:val="24"/>
                <w:szCs w:val="24"/>
              </w:rPr>
              <w:t>: характерна локализация на лезиите, повишен лактат при МР спектроскопия</w:t>
            </w:r>
          </w:p>
        </w:tc>
        <w:tc>
          <w:tcPr>
            <w:tcW w:w="1980" w:type="dxa"/>
          </w:tcPr>
          <w:p w14:paraId="2EE51468" w14:textId="77777777" w:rsidR="00BE0B19" w:rsidRPr="00AE47C6" w:rsidRDefault="00BE0B19" w:rsidP="00BE0B19">
            <w:pPr>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МГА</w:t>
            </w:r>
          </w:p>
        </w:tc>
      </w:tr>
      <w:tr w:rsidR="00BE0B19" w:rsidRPr="00AE47C6" w14:paraId="5A12A3D1" w14:textId="77777777" w:rsidTr="00AD72E5">
        <w:tc>
          <w:tcPr>
            <w:tcW w:w="2628" w:type="dxa"/>
          </w:tcPr>
          <w:p w14:paraId="07FBAA50"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Хипомиелинизация с тремор и атаксия</w:t>
            </w:r>
          </w:p>
        </w:tc>
        <w:tc>
          <w:tcPr>
            <w:tcW w:w="1024" w:type="dxa"/>
          </w:tcPr>
          <w:p w14:paraId="5CC16AF8" w14:textId="77777777" w:rsidR="00BE0B19" w:rsidRPr="00AE47C6" w:rsidRDefault="00BE0B19" w:rsidP="00BE0B19">
            <w:pPr>
              <w:spacing w:after="0" w:line="360" w:lineRule="auto"/>
              <w:ind w:right="-136"/>
              <w:jc w:val="both"/>
              <w:rPr>
                <w:rFonts w:ascii="Times New Roman" w:eastAsia="SimSun" w:hAnsi="Times New Roman"/>
                <w:bCs/>
                <w:sz w:val="24"/>
                <w:szCs w:val="24"/>
              </w:rPr>
            </w:pPr>
            <w:r w:rsidRPr="00AE47C6">
              <w:rPr>
                <w:rFonts w:ascii="Times New Roman" w:eastAsia="SimSun" w:hAnsi="Times New Roman"/>
                <w:bCs/>
                <w:sz w:val="24"/>
                <w:szCs w:val="24"/>
              </w:rPr>
              <w:t>-</w:t>
            </w:r>
          </w:p>
        </w:tc>
        <w:tc>
          <w:tcPr>
            <w:tcW w:w="4016" w:type="dxa"/>
          </w:tcPr>
          <w:p w14:paraId="033196D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Регрес между 1 и 5 г.</w:t>
            </w:r>
          </w:p>
        </w:tc>
        <w:tc>
          <w:tcPr>
            <w:tcW w:w="1980" w:type="dxa"/>
          </w:tcPr>
          <w:p w14:paraId="20759645" w14:textId="77777777" w:rsidR="00BE0B19" w:rsidRPr="00AE47C6" w:rsidRDefault="00BE0B19" w:rsidP="00BE0B19">
            <w:pPr>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w:t>
            </w:r>
          </w:p>
        </w:tc>
      </w:tr>
      <w:tr w:rsidR="00BE0B19" w:rsidRPr="00AE47C6" w14:paraId="5A8DD9EA" w14:textId="77777777" w:rsidTr="00AD72E5">
        <w:trPr>
          <w:trHeight w:val="459"/>
        </w:trPr>
        <w:tc>
          <w:tcPr>
            <w:tcW w:w="2628" w:type="dxa"/>
          </w:tcPr>
          <w:p w14:paraId="1823761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Хипомиелинизация с конгенитална катаракта</w:t>
            </w:r>
          </w:p>
        </w:tc>
        <w:tc>
          <w:tcPr>
            <w:tcW w:w="1024" w:type="dxa"/>
          </w:tcPr>
          <w:p w14:paraId="23766983" w14:textId="77777777" w:rsidR="00BE0B19" w:rsidRPr="00AE47C6" w:rsidRDefault="00BE0B19" w:rsidP="00BE0B19">
            <w:pPr>
              <w:spacing w:after="0" w:line="360" w:lineRule="auto"/>
              <w:ind w:right="-136"/>
              <w:jc w:val="both"/>
              <w:rPr>
                <w:rFonts w:ascii="Times New Roman" w:eastAsia="SimSun" w:hAnsi="Times New Roman"/>
                <w:bCs/>
                <w:sz w:val="24"/>
                <w:szCs w:val="24"/>
              </w:rPr>
            </w:pPr>
            <w:r w:rsidRPr="00AE47C6">
              <w:rPr>
                <w:rFonts w:ascii="Times New Roman" w:eastAsia="SimSun" w:hAnsi="Times New Roman"/>
                <w:i/>
                <w:iCs/>
                <w:sz w:val="24"/>
                <w:szCs w:val="24"/>
              </w:rPr>
              <w:t>FAM126A</w:t>
            </w:r>
          </w:p>
        </w:tc>
        <w:tc>
          <w:tcPr>
            <w:tcW w:w="4016" w:type="dxa"/>
          </w:tcPr>
          <w:p w14:paraId="10BA848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МРТ хипомиелинизация, катаракта и възможна невропатия</w:t>
            </w:r>
          </w:p>
        </w:tc>
        <w:tc>
          <w:tcPr>
            <w:tcW w:w="1980" w:type="dxa"/>
          </w:tcPr>
          <w:p w14:paraId="5E7C1DBE" w14:textId="77777777" w:rsidR="00BE0B19" w:rsidRPr="00AE47C6" w:rsidRDefault="00BE0B19" w:rsidP="00BE0B19">
            <w:pPr>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МГА</w:t>
            </w:r>
          </w:p>
        </w:tc>
      </w:tr>
      <w:tr w:rsidR="00BE0B19" w:rsidRPr="00AE47C6" w14:paraId="12FA010A" w14:textId="77777777" w:rsidTr="00AD72E5">
        <w:tc>
          <w:tcPr>
            <w:tcW w:w="2628" w:type="dxa"/>
          </w:tcPr>
          <w:p w14:paraId="0EEDC253"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Хипомиелинизация</w:t>
            </w:r>
            <w:r w:rsidRPr="00AE47C6">
              <w:rPr>
                <w:rFonts w:ascii="Times New Roman" w:eastAsia="SimSun" w:hAnsi="Times New Roman"/>
                <w:sz w:val="24"/>
                <w:szCs w:val="24"/>
              </w:rPr>
              <w:t>, хиподонтия, хипогонадотропен хипогонадизъм</w:t>
            </w:r>
          </w:p>
        </w:tc>
        <w:tc>
          <w:tcPr>
            <w:tcW w:w="1024" w:type="dxa"/>
          </w:tcPr>
          <w:p w14:paraId="5244953C" w14:textId="77777777" w:rsidR="00BE0B19" w:rsidRPr="00AE47C6" w:rsidRDefault="00BE0B19" w:rsidP="00BE0B19">
            <w:pPr>
              <w:spacing w:after="0" w:line="360" w:lineRule="auto"/>
              <w:ind w:right="-136"/>
              <w:jc w:val="both"/>
              <w:rPr>
                <w:rFonts w:ascii="Times New Roman" w:eastAsia="SimSun" w:hAnsi="Times New Roman"/>
                <w:i/>
                <w:iCs/>
                <w:sz w:val="24"/>
                <w:szCs w:val="24"/>
              </w:rPr>
            </w:pPr>
            <w:r w:rsidRPr="00AE47C6">
              <w:rPr>
                <w:rFonts w:ascii="Times New Roman" w:eastAsia="SimSun" w:hAnsi="Times New Roman"/>
                <w:sz w:val="24"/>
                <w:szCs w:val="24"/>
              </w:rPr>
              <w:t>612440</w:t>
            </w:r>
          </w:p>
        </w:tc>
        <w:tc>
          <w:tcPr>
            <w:tcW w:w="4016" w:type="dxa"/>
          </w:tcPr>
          <w:p w14:paraId="2C1E09A5"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Зъбни аномалии, късен пубертет, МРТ хипомиелинизация</w:t>
            </w:r>
          </w:p>
        </w:tc>
        <w:tc>
          <w:tcPr>
            <w:tcW w:w="1980" w:type="dxa"/>
          </w:tcPr>
          <w:p w14:paraId="1764D988" w14:textId="77777777" w:rsidR="00BE0B19" w:rsidRPr="00AE47C6" w:rsidRDefault="00BE0B19" w:rsidP="00BE0B19">
            <w:pPr>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Ендокринни изследвания</w:t>
            </w:r>
          </w:p>
        </w:tc>
      </w:tr>
      <w:tr w:rsidR="00BE0B19" w:rsidRPr="00AE47C6" w14:paraId="33863553" w14:textId="77777777" w:rsidTr="00AD72E5">
        <w:tc>
          <w:tcPr>
            <w:tcW w:w="2628" w:type="dxa"/>
          </w:tcPr>
          <w:p w14:paraId="1C068CD0"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Митохондриални болести</w:t>
            </w:r>
          </w:p>
        </w:tc>
        <w:tc>
          <w:tcPr>
            <w:tcW w:w="1024" w:type="dxa"/>
          </w:tcPr>
          <w:p w14:paraId="4254D989" w14:textId="77777777" w:rsidR="00BE0B19" w:rsidRPr="00AE47C6" w:rsidRDefault="00BE0B19" w:rsidP="00BE0B19">
            <w:pPr>
              <w:spacing w:after="0" w:line="360" w:lineRule="auto"/>
              <w:ind w:right="-136"/>
              <w:jc w:val="both"/>
              <w:rPr>
                <w:rFonts w:ascii="Times New Roman" w:eastAsia="SimSun" w:hAnsi="Times New Roman"/>
                <w:bCs/>
                <w:sz w:val="24"/>
                <w:szCs w:val="24"/>
              </w:rPr>
            </w:pPr>
            <w:r w:rsidRPr="00AE47C6">
              <w:rPr>
                <w:rFonts w:ascii="Times New Roman" w:eastAsia="SimSun" w:hAnsi="Times New Roman"/>
                <w:bCs/>
                <w:sz w:val="24"/>
                <w:szCs w:val="24"/>
              </w:rPr>
              <w:t>MIT</w:t>
            </w:r>
          </w:p>
        </w:tc>
        <w:tc>
          <w:tcPr>
            <w:tcW w:w="4016" w:type="dxa"/>
          </w:tcPr>
          <w:p w14:paraId="4C2A2BAB"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Голяма хетерогенна група болести, често с мултиорганни симптоми</w:t>
            </w:r>
          </w:p>
        </w:tc>
        <w:tc>
          <w:tcPr>
            <w:tcW w:w="1980" w:type="dxa"/>
          </w:tcPr>
          <w:p w14:paraId="08DA233B" w14:textId="77777777" w:rsidR="00BE0B19" w:rsidRPr="00AE47C6" w:rsidRDefault="00BE0B19" w:rsidP="00BE0B19">
            <w:pPr>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Ликворният лактат може да е повишен</w:t>
            </w:r>
          </w:p>
        </w:tc>
      </w:tr>
      <w:tr w:rsidR="00BE0B19" w:rsidRPr="00AE47C6" w14:paraId="1B502D6F" w14:textId="77777777" w:rsidTr="00AD72E5">
        <w:tc>
          <w:tcPr>
            <w:tcW w:w="2628" w:type="dxa"/>
          </w:tcPr>
          <w:p w14:paraId="3EB86F0B"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Сиалидоза</w:t>
            </w:r>
          </w:p>
        </w:tc>
        <w:tc>
          <w:tcPr>
            <w:tcW w:w="1024" w:type="dxa"/>
          </w:tcPr>
          <w:p w14:paraId="4488D42F" w14:textId="77777777" w:rsidR="00BE0B19" w:rsidRPr="00AE47C6" w:rsidRDefault="00BE0B19" w:rsidP="00BE0B19">
            <w:pPr>
              <w:spacing w:after="0" w:line="360" w:lineRule="auto"/>
              <w:ind w:right="-136"/>
              <w:jc w:val="both"/>
              <w:rPr>
                <w:rFonts w:ascii="Times New Roman" w:eastAsia="SimSun" w:hAnsi="Times New Roman"/>
                <w:bCs/>
                <w:sz w:val="24"/>
                <w:szCs w:val="24"/>
              </w:rPr>
            </w:pPr>
            <w:r w:rsidRPr="00AE47C6">
              <w:rPr>
                <w:rFonts w:ascii="Times New Roman" w:eastAsia="SimSun" w:hAnsi="Times New Roman"/>
                <w:bCs/>
                <w:sz w:val="24"/>
                <w:szCs w:val="24"/>
              </w:rPr>
              <w:t>SLC17A5</w:t>
            </w:r>
          </w:p>
        </w:tc>
        <w:tc>
          <w:tcPr>
            <w:tcW w:w="4016" w:type="dxa"/>
          </w:tcPr>
          <w:p w14:paraId="5040EB16"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Междинна форма между неонатална лизозомна болест, болест на Salla; МРТ - хипомиелинизация</w:t>
            </w:r>
          </w:p>
        </w:tc>
        <w:tc>
          <w:tcPr>
            <w:tcW w:w="1980" w:type="dxa"/>
          </w:tcPr>
          <w:p w14:paraId="658786ED" w14:textId="77777777" w:rsidR="00BE0B19" w:rsidRPr="00AE47C6" w:rsidRDefault="00BE0B19" w:rsidP="00BE0B19">
            <w:pPr>
              <w:spacing w:after="0" w:line="360" w:lineRule="auto"/>
              <w:ind w:right="-108"/>
              <w:jc w:val="both"/>
              <w:rPr>
                <w:rFonts w:ascii="Times New Roman" w:eastAsia="SimSun" w:hAnsi="Times New Roman"/>
                <w:bCs/>
                <w:sz w:val="24"/>
                <w:szCs w:val="24"/>
              </w:rPr>
            </w:pPr>
          </w:p>
        </w:tc>
      </w:tr>
      <w:tr w:rsidR="00BE0B19" w:rsidRPr="00AE47C6" w14:paraId="66EA155E" w14:textId="77777777" w:rsidTr="00AD72E5">
        <w:tc>
          <w:tcPr>
            <w:tcW w:w="2628" w:type="dxa"/>
          </w:tcPr>
          <w:p w14:paraId="6DEBAE0C"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Разстройства на органичните киселини</w:t>
            </w:r>
          </w:p>
        </w:tc>
        <w:tc>
          <w:tcPr>
            <w:tcW w:w="1024" w:type="dxa"/>
          </w:tcPr>
          <w:p w14:paraId="05810171" w14:textId="77777777" w:rsidR="00BE0B19" w:rsidRPr="00AE47C6" w:rsidRDefault="00BE0B19" w:rsidP="00BE0B19">
            <w:pPr>
              <w:spacing w:after="0" w:line="360" w:lineRule="auto"/>
              <w:ind w:right="-136"/>
              <w:jc w:val="both"/>
              <w:rPr>
                <w:rFonts w:ascii="Times New Roman" w:eastAsia="SimSun" w:hAnsi="Times New Roman"/>
                <w:bCs/>
                <w:sz w:val="24"/>
                <w:szCs w:val="24"/>
              </w:rPr>
            </w:pPr>
          </w:p>
        </w:tc>
        <w:tc>
          <w:tcPr>
            <w:tcW w:w="4016" w:type="dxa"/>
          </w:tcPr>
          <w:p w14:paraId="412101ED"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Голяма хетерогенна група заболявания, възможна макроцефалия</w:t>
            </w:r>
          </w:p>
        </w:tc>
        <w:tc>
          <w:tcPr>
            <w:tcW w:w="1980" w:type="dxa"/>
          </w:tcPr>
          <w:p w14:paraId="2A53AB94" w14:textId="77777777" w:rsidR="00BE0B19" w:rsidRPr="00AE47C6" w:rsidRDefault="00BE0B19" w:rsidP="00BE0B19">
            <w:pPr>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Органични киселини в урината</w:t>
            </w:r>
          </w:p>
        </w:tc>
      </w:tr>
      <w:tr w:rsidR="00BE0B19" w:rsidRPr="00AE47C6" w14:paraId="24F56A05" w14:textId="77777777" w:rsidTr="00AD72E5">
        <w:tc>
          <w:tcPr>
            <w:tcW w:w="2628" w:type="dxa"/>
          </w:tcPr>
          <w:p w14:paraId="3D42B7BA"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Глицинова левкоенцефалопатия</w:t>
            </w:r>
          </w:p>
        </w:tc>
        <w:tc>
          <w:tcPr>
            <w:tcW w:w="1024" w:type="dxa"/>
          </w:tcPr>
          <w:p w14:paraId="438F28B8" w14:textId="77777777" w:rsidR="00BE0B19" w:rsidRPr="00AE47C6" w:rsidRDefault="00BE0B19" w:rsidP="00BE0B19">
            <w:pPr>
              <w:spacing w:after="0" w:line="360" w:lineRule="auto"/>
              <w:ind w:right="-136"/>
              <w:jc w:val="both"/>
              <w:rPr>
                <w:rFonts w:ascii="Times New Roman" w:eastAsia="SimSun" w:hAnsi="Times New Roman"/>
                <w:bCs/>
                <w:sz w:val="24"/>
                <w:szCs w:val="24"/>
              </w:rPr>
            </w:pPr>
            <w:r w:rsidRPr="00AE47C6">
              <w:rPr>
                <w:rFonts w:ascii="Times New Roman" w:eastAsia="SimSun" w:hAnsi="Times New Roman"/>
                <w:bCs/>
                <w:sz w:val="24"/>
                <w:szCs w:val="24"/>
              </w:rPr>
              <w:t>-</w:t>
            </w:r>
          </w:p>
        </w:tc>
        <w:tc>
          <w:tcPr>
            <w:tcW w:w="4016" w:type="dxa"/>
          </w:tcPr>
          <w:p w14:paraId="661A05FD"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Бързо прогресираща вакуолна левкоенцефалопатия</w:t>
            </w:r>
          </w:p>
        </w:tc>
        <w:tc>
          <w:tcPr>
            <w:tcW w:w="1980" w:type="dxa"/>
          </w:tcPr>
          <w:p w14:paraId="0F64B160" w14:textId="77777777" w:rsidR="00BE0B19" w:rsidRPr="00AE47C6" w:rsidRDefault="00BE0B19" w:rsidP="00BE0B19">
            <w:pPr>
              <w:autoSpaceDE w:val="0"/>
              <w:autoSpaceDN w:val="0"/>
              <w:adjustRightInd w:val="0"/>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Ликворен глицин</w:t>
            </w:r>
          </w:p>
        </w:tc>
      </w:tr>
      <w:tr w:rsidR="00BE0B19" w:rsidRPr="00AE47C6" w14:paraId="32C51DC8" w14:textId="77777777" w:rsidTr="00AD72E5">
        <w:trPr>
          <w:trHeight w:val="491"/>
        </w:trPr>
        <w:tc>
          <w:tcPr>
            <w:tcW w:w="2628" w:type="dxa"/>
          </w:tcPr>
          <w:p w14:paraId="75F119DB"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Фолатен рецепторен дефект</w:t>
            </w:r>
          </w:p>
        </w:tc>
        <w:tc>
          <w:tcPr>
            <w:tcW w:w="1024" w:type="dxa"/>
          </w:tcPr>
          <w:p w14:paraId="3D79D0CF" w14:textId="77777777" w:rsidR="00BE0B19" w:rsidRPr="00AE47C6" w:rsidRDefault="00BE0B19" w:rsidP="00BE0B19">
            <w:pPr>
              <w:spacing w:after="0" w:line="360" w:lineRule="auto"/>
              <w:ind w:right="-136"/>
              <w:jc w:val="both"/>
              <w:rPr>
                <w:rFonts w:ascii="Times New Roman" w:eastAsia="SimSun" w:hAnsi="Times New Roman"/>
                <w:bCs/>
                <w:sz w:val="24"/>
                <w:szCs w:val="24"/>
              </w:rPr>
            </w:pPr>
            <w:r w:rsidRPr="00AE47C6">
              <w:rPr>
                <w:rFonts w:ascii="Times New Roman" w:eastAsia="SimSun" w:hAnsi="Times New Roman"/>
                <w:bCs/>
                <w:sz w:val="24"/>
                <w:szCs w:val="24"/>
              </w:rPr>
              <w:t>FOLRI1</w:t>
            </w:r>
          </w:p>
        </w:tc>
        <w:tc>
          <w:tcPr>
            <w:tcW w:w="4016" w:type="dxa"/>
          </w:tcPr>
          <w:p w14:paraId="054C5E8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МРТ - хипомиелинизация</w:t>
            </w:r>
          </w:p>
        </w:tc>
        <w:tc>
          <w:tcPr>
            <w:tcW w:w="1980" w:type="dxa"/>
          </w:tcPr>
          <w:p w14:paraId="5DD440C1" w14:textId="77777777" w:rsidR="00BE0B19" w:rsidRPr="00AE47C6" w:rsidRDefault="00BE0B19" w:rsidP="00BE0B19">
            <w:pPr>
              <w:autoSpaceDE w:val="0"/>
              <w:autoSpaceDN w:val="0"/>
              <w:adjustRightInd w:val="0"/>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Нисък фолат в ликвор</w:t>
            </w:r>
          </w:p>
        </w:tc>
      </w:tr>
      <w:tr w:rsidR="00BE0B19" w:rsidRPr="00AE47C6" w14:paraId="7D00C424" w14:textId="77777777" w:rsidTr="00AD72E5">
        <w:tc>
          <w:tcPr>
            <w:tcW w:w="2628" w:type="dxa"/>
          </w:tcPr>
          <w:p w14:paraId="4F144A30"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Фукозидоза</w:t>
            </w:r>
          </w:p>
        </w:tc>
        <w:tc>
          <w:tcPr>
            <w:tcW w:w="1024" w:type="dxa"/>
          </w:tcPr>
          <w:p w14:paraId="586EE6AF" w14:textId="77777777" w:rsidR="00BE0B19" w:rsidRPr="00AE47C6" w:rsidRDefault="00BE0B19" w:rsidP="00BE0B19">
            <w:pPr>
              <w:spacing w:after="0" w:line="360" w:lineRule="auto"/>
              <w:ind w:right="-136"/>
              <w:jc w:val="both"/>
              <w:rPr>
                <w:rFonts w:ascii="Times New Roman" w:eastAsia="SimSun" w:hAnsi="Times New Roman"/>
                <w:bCs/>
                <w:sz w:val="24"/>
                <w:szCs w:val="24"/>
              </w:rPr>
            </w:pPr>
            <w:r w:rsidRPr="00AE47C6">
              <w:rPr>
                <w:rFonts w:ascii="Times New Roman" w:eastAsia="SimSun" w:hAnsi="Times New Roman"/>
                <w:bCs/>
                <w:sz w:val="24"/>
                <w:szCs w:val="24"/>
              </w:rPr>
              <w:t>FUCA1</w:t>
            </w:r>
          </w:p>
        </w:tc>
        <w:tc>
          <w:tcPr>
            <w:tcW w:w="4016" w:type="dxa"/>
          </w:tcPr>
          <w:p w14:paraId="319499D9"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МРТ - хипомиелинизация</w:t>
            </w:r>
          </w:p>
        </w:tc>
        <w:tc>
          <w:tcPr>
            <w:tcW w:w="1980" w:type="dxa"/>
          </w:tcPr>
          <w:p w14:paraId="2CDEDE3E" w14:textId="77777777" w:rsidR="00BE0B19" w:rsidRPr="00AE47C6" w:rsidRDefault="00BE0B19" w:rsidP="00BE0B19">
            <w:pPr>
              <w:autoSpaceDE w:val="0"/>
              <w:autoSpaceDN w:val="0"/>
              <w:adjustRightInd w:val="0"/>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Фукозидаза</w:t>
            </w:r>
          </w:p>
        </w:tc>
      </w:tr>
      <w:tr w:rsidR="00BE0B19" w:rsidRPr="00AE47C6" w14:paraId="5E0E3825" w14:textId="77777777" w:rsidTr="00AD72E5">
        <w:tc>
          <w:tcPr>
            <w:tcW w:w="2628" w:type="dxa"/>
          </w:tcPr>
          <w:p w14:paraId="21718E31"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Церебрална АД артериопатия със субкортикални инфаркти и левкоенцефалопатия (CADASIL)</w:t>
            </w:r>
          </w:p>
        </w:tc>
        <w:tc>
          <w:tcPr>
            <w:tcW w:w="1024" w:type="dxa"/>
          </w:tcPr>
          <w:p w14:paraId="1C68C40C" w14:textId="77777777" w:rsidR="00BE0B19" w:rsidRPr="00AE47C6" w:rsidRDefault="00BE0B19" w:rsidP="00BE0B19">
            <w:pPr>
              <w:spacing w:after="0" w:line="360" w:lineRule="auto"/>
              <w:ind w:right="-136"/>
              <w:jc w:val="both"/>
              <w:rPr>
                <w:rFonts w:ascii="Times New Roman" w:eastAsia="SimSun" w:hAnsi="Times New Roman"/>
                <w:bCs/>
                <w:sz w:val="24"/>
                <w:szCs w:val="24"/>
              </w:rPr>
            </w:pPr>
            <w:r w:rsidRPr="00AE47C6">
              <w:rPr>
                <w:rFonts w:ascii="Times New Roman" w:eastAsia="SimSun" w:hAnsi="Times New Roman"/>
                <w:bCs/>
                <w:sz w:val="24"/>
                <w:szCs w:val="24"/>
              </w:rPr>
              <w:t>NOTCH3</w:t>
            </w:r>
          </w:p>
        </w:tc>
        <w:tc>
          <w:tcPr>
            <w:tcW w:w="4016" w:type="dxa"/>
          </w:tcPr>
          <w:p w14:paraId="7A35B674"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Доминантна фамилност или спорадични мозъчни кръвоизливи</w:t>
            </w:r>
          </w:p>
        </w:tc>
        <w:tc>
          <w:tcPr>
            <w:tcW w:w="1980" w:type="dxa"/>
          </w:tcPr>
          <w:p w14:paraId="79A585E2" w14:textId="77777777" w:rsidR="00BE0B19" w:rsidRPr="00AE47C6" w:rsidRDefault="00BE0B19" w:rsidP="00BE0B19">
            <w:pPr>
              <w:spacing w:after="0" w:line="360" w:lineRule="auto"/>
              <w:ind w:right="-108"/>
              <w:jc w:val="both"/>
              <w:rPr>
                <w:rFonts w:ascii="Times New Roman" w:eastAsia="SimSun" w:hAnsi="Times New Roman"/>
                <w:bCs/>
                <w:sz w:val="24"/>
                <w:szCs w:val="24"/>
              </w:rPr>
            </w:pPr>
            <w:r w:rsidRPr="00AE47C6">
              <w:rPr>
                <w:rFonts w:ascii="Times New Roman" w:eastAsia="SimSun" w:hAnsi="Times New Roman"/>
                <w:bCs/>
                <w:sz w:val="24"/>
                <w:szCs w:val="24"/>
              </w:rPr>
              <w:t>МГА</w:t>
            </w:r>
          </w:p>
        </w:tc>
      </w:tr>
    </w:tbl>
    <w:p w14:paraId="628CC5D2" w14:textId="77777777" w:rsidR="00BE0B19" w:rsidRPr="00AE47C6" w:rsidRDefault="00BE0B19" w:rsidP="00BE0B19">
      <w:pPr>
        <w:spacing w:after="0" w:line="360" w:lineRule="auto"/>
        <w:jc w:val="both"/>
        <w:rPr>
          <w:rFonts w:ascii="Times New Roman" w:eastAsia="SimSun" w:hAnsi="Times New Roman"/>
          <w:b/>
          <w:sz w:val="24"/>
          <w:szCs w:val="24"/>
        </w:rPr>
      </w:pPr>
    </w:p>
    <w:p w14:paraId="4D8DF616"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 xml:space="preserve">Таблица 5.13. </w:t>
      </w:r>
      <w:r w:rsidRPr="00AE47C6">
        <w:rPr>
          <w:rFonts w:ascii="Times New Roman" w:eastAsia="SimSun" w:hAnsi="Times New Roman"/>
          <w:bCs/>
          <w:sz w:val="24"/>
          <w:szCs w:val="24"/>
        </w:rPr>
        <w:t>Патогенетична класификация на заболяванията на бялото мозъчно вещество - левкодистрофии и левкоенцефалопатии</w:t>
      </w:r>
      <w:r w:rsidRPr="00AE47C6">
        <w:rPr>
          <w:rFonts w:ascii="Times New Roman" w:eastAsia="SimSun" w:hAnsi="Times New Roman"/>
          <w:b/>
          <w:bCs/>
          <w:sz w:val="24"/>
          <w:szCs w:val="24"/>
        </w:rPr>
        <w:t xml:space="preserve">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072"/>
      </w:tblGrid>
      <w:tr w:rsidR="00BE0B19" w:rsidRPr="00AE47C6" w14:paraId="1120E520" w14:textId="77777777" w:rsidTr="00AD72E5">
        <w:trPr>
          <w:trHeight w:val="277"/>
        </w:trPr>
        <w:tc>
          <w:tcPr>
            <w:tcW w:w="8500" w:type="dxa"/>
            <w:shd w:val="clear" w:color="auto" w:fill="FFFFFF"/>
            <w:tcMar>
              <w:top w:w="120" w:type="dxa"/>
              <w:left w:w="180" w:type="dxa"/>
              <w:bottom w:w="120" w:type="dxa"/>
              <w:right w:w="180" w:type="dxa"/>
            </w:tcMar>
            <w:hideMark/>
          </w:tcPr>
          <w:p w14:paraId="5A2679F0" w14:textId="77777777" w:rsidR="00BE0B19" w:rsidRPr="00AE47C6" w:rsidRDefault="00BE0B19" w:rsidP="00BE0B19">
            <w:pPr>
              <w:spacing w:after="0" w:line="360" w:lineRule="auto"/>
              <w:rPr>
                <w:rFonts w:ascii="Times New Roman" w:eastAsia="SimSun" w:hAnsi="Times New Roman"/>
                <w:b/>
                <w:sz w:val="24"/>
                <w:szCs w:val="24"/>
                <w:u w:val="single"/>
                <w:lang w:eastAsia="bg-BG"/>
              </w:rPr>
            </w:pPr>
            <w:r w:rsidRPr="00AE47C6">
              <w:rPr>
                <w:rFonts w:ascii="Times New Roman" w:eastAsia="SimSun" w:hAnsi="Times New Roman"/>
                <w:b/>
                <w:sz w:val="24"/>
                <w:szCs w:val="24"/>
                <w:u w:val="single"/>
                <w:lang w:eastAsia="bg-BG"/>
              </w:rPr>
              <w:t>Хипомиелинизация</w:t>
            </w:r>
          </w:p>
        </w:tc>
      </w:tr>
      <w:tr w:rsidR="00BE0B19" w:rsidRPr="00AE47C6" w14:paraId="2121DBFF" w14:textId="77777777" w:rsidTr="00AD72E5">
        <w:trPr>
          <w:trHeight w:val="107"/>
        </w:trPr>
        <w:tc>
          <w:tcPr>
            <w:tcW w:w="8500" w:type="dxa"/>
            <w:shd w:val="clear" w:color="auto" w:fill="FFFFFF"/>
            <w:tcMar>
              <w:top w:w="120" w:type="dxa"/>
              <w:left w:w="180" w:type="dxa"/>
              <w:bottom w:w="120" w:type="dxa"/>
              <w:right w:w="180" w:type="dxa"/>
            </w:tcMar>
            <w:hideMark/>
          </w:tcPr>
          <w:p w14:paraId="3602B68C"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a. Болест на Pelizaeus-Merzbacher</w:t>
            </w:r>
          </w:p>
        </w:tc>
      </w:tr>
      <w:tr w:rsidR="00BE0B19" w:rsidRPr="00AE47C6" w14:paraId="76DFED8B" w14:textId="77777777" w:rsidTr="00AD72E5">
        <w:tc>
          <w:tcPr>
            <w:tcW w:w="8500" w:type="dxa"/>
            <w:shd w:val="clear" w:color="auto" w:fill="FFFFFF"/>
            <w:tcMar>
              <w:top w:w="120" w:type="dxa"/>
              <w:left w:w="180" w:type="dxa"/>
              <w:bottom w:w="120" w:type="dxa"/>
              <w:right w:w="180" w:type="dxa"/>
            </w:tcMar>
            <w:hideMark/>
          </w:tcPr>
          <w:p w14:paraId="2B0195E3"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б. Периферна невропатия, централна хипомиелинизация, Waardenburg-Hirschsprung </w:t>
            </w:r>
          </w:p>
        </w:tc>
      </w:tr>
      <w:tr w:rsidR="00BE0B19" w:rsidRPr="00AE47C6" w14:paraId="75328F1A" w14:textId="77777777" w:rsidTr="00AD72E5">
        <w:tc>
          <w:tcPr>
            <w:tcW w:w="8500" w:type="dxa"/>
            <w:shd w:val="clear" w:color="auto" w:fill="FFFFFF"/>
            <w:tcMar>
              <w:top w:w="120" w:type="dxa"/>
              <w:left w:w="180" w:type="dxa"/>
              <w:bottom w:w="120" w:type="dxa"/>
              <w:right w:w="180" w:type="dxa"/>
            </w:tcMar>
            <w:hideMark/>
          </w:tcPr>
          <w:p w14:paraId="07A8E3A9"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в. Cx47-свързани Pelizaeus-Merzbacher-подобни заболявания </w:t>
            </w:r>
          </w:p>
        </w:tc>
      </w:tr>
      <w:tr w:rsidR="00BE0B19" w:rsidRPr="00AE47C6" w14:paraId="790B26D0" w14:textId="77777777" w:rsidTr="00AD72E5">
        <w:tc>
          <w:tcPr>
            <w:tcW w:w="8500" w:type="dxa"/>
            <w:shd w:val="clear" w:color="auto" w:fill="FFFFFF"/>
            <w:tcMar>
              <w:top w:w="120" w:type="dxa"/>
              <w:left w:w="180" w:type="dxa"/>
              <w:bottom w:w="120" w:type="dxa"/>
              <w:right w:w="180" w:type="dxa"/>
            </w:tcMar>
            <w:hideMark/>
          </w:tcPr>
          <w:p w14:paraId="2FA8C7F1"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г. Хипомиелинизация на ранно миелинизиращи се структури</w:t>
            </w:r>
          </w:p>
        </w:tc>
      </w:tr>
      <w:tr w:rsidR="00BE0B19" w:rsidRPr="00AE47C6" w14:paraId="271349C7" w14:textId="77777777" w:rsidTr="00AD72E5">
        <w:trPr>
          <w:trHeight w:val="444"/>
        </w:trPr>
        <w:tc>
          <w:tcPr>
            <w:tcW w:w="8500" w:type="dxa"/>
            <w:shd w:val="clear" w:color="auto" w:fill="FFFFFF"/>
            <w:tcMar>
              <w:top w:w="120" w:type="dxa"/>
              <w:left w:w="180" w:type="dxa"/>
              <w:bottom w:w="120" w:type="dxa"/>
              <w:right w:w="180" w:type="dxa"/>
            </w:tcMar>
            <w:hideMark/>
          </w:tcPr>
          <w:p w14:paraId="3BDCF798" w14:textId="77777777" w:rsidR="00BE0B19" w:rsidRPr="00AE47C6" w:rsidRDefault="00BE0B19" w:rsidP="00BE0B19">
            <w:pPr>
              <w:spacing w:after="0" w:line="360" w:lineRule="auto"/>
              <w:rPr>
                <w:rFonts w:ascii="Times New Roman" w:eastAsia="SimSun" w:hAnsi="Times New Roman"/>
                <w:b/>
                <w:sz w:val="24"/>
                <w:szCs w:val="24"/>
                <w:u w:val="single"/>
                <w:lang w:eastAsia="bg-BG"/>
              </w:rPr>
            </w:pPr>
            <w:r w:rsidRPr="00AE47C6">
              <w:rPr>
                <w:rFonts w:ascii="Times New Roman" w:eastAsia="SimSun" w:hAnsi="Times New Roman"/>
                <w:b/>
                <w:sz w:val="24"/>
                <w:szCs w:val="24"/>
                <w:u w:val="single"/>
                <w:lang w:eastAsia="bg-BG"/>
              </w:rPr>
              <w:t xml:space="preserve">Демиелинизация </w:t>
            </w:r>
          </w:p>
        </w:tc>
      </w:tr>
      <w:tr w:rsidR="00BE0B19" w:rsidRPr="00AE47C6" w14:paraId="2E12FA55" w14:textId="77777777" w:rsidTr="00AD72E5">
        <w:tc>
          <w:tcPr>
            <w:tcW w:w="8500" w:type="dxa"/>
            <w:shd w:val="clear" w:color="auto" w:fill="FFFFFF"/>
            <w:tcMar>
              <w:top w:w="120" w:type="dxa"/>
              <w:left w:w="180" w:type="dxa"/>
              <w:bottom w:w="120" w:type="dxa"/>
              <w:right w:w="180" w:type="dxa"/>
            </w:tcMar>
            <w:hideMark/>
          </w:tcPr>
          <w:p w14:paraId="2A021CAE"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a. Метахроматична левкодистрофия </w:t>
            </w:r>
          </w:p>
        </w:tc>
      </w:tr>
      <w:tr w:rsidR="00BE0B19" w:rsidRPr="00AE47C6" w14:paraId="713F39E8" w14:textId="77777777" w:rsidTr="00AD72E5">
        <w:tc>
          <w:tcPr>
            <w:tcW w:w="8500" w:type="dxa"/>
            <w:shd w:val="clear" w:color="auto" w:fill="FFFFFF"/>
            <w:tcMar>
              <w:top w:w="120" w:type="dxa"/>
              <w:left w:w="180" w:type="dxa"/>
              <w:bottom w:w="120" w:type="dxa"/>
              <w:right w:w="180" w:type="dxa"/>
            </w:tcMar>
            <w:hideMark/>
          </w:tcPr>
          <w:p w14:paraId="291A4E6B"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б. Множествен сулфатазен дефицит </w:t>
            </w:r>
          </w:p>
        </w:tc>
      </w:tr>
      <w:tr w:rsidR="00BE0B19" w:rsidRPr="00AE47C6" w14:paraId="2F87102D" w14:textId="77777777" w:rsidTr="00AD72E5">
        <w:tc>
          <w:tcPr>
            <w:tcW w:w="8500" w:type="dxa"/>
            <w:shd w:val="clear" w:color="auto" w:fill="FFFFFF"/>
            <w:tcMar>
              <w:top w:w="120" w:type="dxa"/>
              <w:left w:w="180" w:type="dxa"/>
              <w:bottom w:w="120" w:type="dxa"/>
              <w:right w:w="180" w:type="dxa"/>
            </w:tcMar>
            <w:hideMark/>
          </w:tcPr>
          <w:p w14:paraId="219D6DB9"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в. Глобоидоклетъчна левкодистрофия (Болест на Krabbe) </w:t>
            </w:r>
          </w:p>
        </w:tc>
      </w:tr>
      <w:tr w:rsidR="00BE0B19" w:rsidRPr="00AE47C6" w14:paraId="4D1D1EF8" w14:textId="77777777" w:rsidTr="00AD72E5">
        <w:tc>
          <w:tcPr>
            <w:tcW w:w="8500" w:type="dxa"/>
            <w:shd w:val="clear" w:color="auto" w:fill="FFFFFF"/>
            <w:tcMar>
              <w:top w:w="120" w:type="dxa"/>
              <w:left w:w="180" w:type="dxa"/>
              <w:bottom w:w="120" w:type="dxa"/>
              <w:right w:w="180" w:type="dxa"/>
            </w:tcMar>
            <w:hideMark/>
          </w:tcPr>
          <w:p w14:paraId="6B844A23"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г. X-свързана адренолевкодистрофия, мозъчни форми</w:t>
            </w:r>
          </w:p>
        </w:tc>
      </w:tr>
      <w:tr w:rsidR="00BE0B19" w:rsidRPr="00AE47C6" w14:paraId="56320319" w14:textId="77777777" w:rsidTr="00AD72E5">
        <w:tc>
          <w:tcPr>
            <w:tcW w:w="8500" w:type="dxa"/>
            <w:shd w:val="clear" w:color="auto" w:fill="FFFFFF"/>
            <w:tcMar>
              <w:top w:w="120" w:type="dxa"/>
              <w:left w:w="180" w:type="dxa"/>
              <w:bottom w:w="120" w:type="dxa"/>
              <w:right w:w="180" w:type="dxa"/>
            </w:tcMar>
            <w:hideMark/>
          </w:tcPr>
          <w:p w14:paraId="7139EC7A" w14:textId="77777777" w:rsidR="00BE0B19" w:rsidRPr="00AE47C6" w:rsidRDefault="00BE0B19" w:rsidP="00BE0B19">
            <w:pPr>
              <w:spacing w:after="0" w:line="360" w:lineRule="auto"/>
              <w:rPr>
                <w:rFonts w:ascii="Times New Roman" w:eastAsia="SimSun" w:hAnsi="Times New Roman"/>
                <w:b/>
                <w:sz w:val="24"/>
                <w:szCs w:val="24"/>
                <w:u w:val="single"/>
                <w:lang w:eastAsia="bg-BG"/>
              </w:rPr>
            </w:pPr>
            <w:r w:rsidRPr="00AE47C6">
              <w:rPr>
                <w:rFonts w:ascii="Times New Roman" w:eastAsia="SimSun" w:hAnsi="Times New Roman"/>
                <w:b/>
                <w:sz w:val="24"/>
                <w:szCs w:val="24"/>
                <w:u w:val="single"/>
                <w:lang w:eastAsia="bg-BG"/>
              </w:rPr>
              <w:t>Миелинова вакуолизация</w:t>
            </w:r>
          </w:p>
        </w:tc>
      </w:tr>
      <w:tr w:rsidR="00BE0B19" w:rsidRPr="00AE47C6" w14:paraId="3F312C2A" w14:textId="77777777" w:rsidTr="00AD72E5">
        <w:tc>
          <w:tcPr>
            <w:tcW w:w="8500" w:type="dxa"/>
            <w:shd w:val="clear" w:color="auto" w:fill="FFFFFF"/>
            <w:tcMar>
              <w:top w:w="120" w:type="dxa"/>
              <w:left w:w="180" w:type="dxa"/>
              <w:bottom w:w="120" w:type="dxa"/>
              <w:right w:w="180" w:type="dxa"/>
            </w:tcMar>
            <w:hideMark/>
          </w:tcPr>
          <w:p w14:paraId="57ADBCCF"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a. Митохондриални заболявания с левкоенцефалопатия </w:t>
            </w:r>
          </w:p>
        </w:tc>
      </w:tr>
      <w:tr w:rsidR="00BE0B19" w:rsidRPr="00AE47C6" w14:paraId="04CBEE17" w14:textId="77777777" w:rsidTr="00AD72E5">
        <w:tc>
          <w:tcPr>
            <w:tcW w:w="8500" w:type="dxa"/>
            <w:shd w:val="clear" w:color="auto" w:fill="FFFFFF"/>
            <w:tcMar>
              <w:top w:w="120" w:type="dxa"/>
              <w:left w:w="180" w:type="dxa"/>
              <w:bottom w:w="120" w:type="dxa"/>
              <w:right w:w="180" w:type="dxa"/>
            </w:tcMar>
            <w:hideMark/>
          </w:tcPr>
          <w:p w14:paraId="5C780E5D"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б. Фенилкетонурия</w:t>
            </w:r>
          </w:p>
        </w:tc>
      </w:tr>
      <w:tr w:rsidR="00BE0B19" w:rsidRPr="00AE47C6" w14:paraId="39761666" w14:textId="77777777" w:rsidTr="00AD72E5">
        <w:tc>
          <w:tcPr>
            <w:tcW w:w="8500" w:type="dxa"/>
            <w:shd w:val="clear" w:color="auto" w:fill="FFFFFF"/>
            <w:tcMar>
              <w:top w:w="120" w:type="dxa"/>
              <w:left w:w="180" w:type="dxa"/>
              <w:bottom w:w="120" w:type="dxa"/>
              <w:right w:w="180" w:type="dxa"/>
            </w:tcMar>
            <w:hideMark/>
          </w:tcPr>
          <w:p w14:paraId="1E7995D7"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в. Болест на Canavan</w:t>
            </w:r>
          </w:p>
        </w:tc>
      </w:tr>
      <w:tr w:rsidR="00BE0B19" w:rsidRPr="00AE47C6" w14:paraId="55019E8A" w14:textId="77777777" w:rsidTr="00AD72E5">
        <w:tc>
          <w:tcPr>
            <w:tcW w:w="8500" w:type="dxa"/>
            <w:shd w:val="clear" w:color="auto" w:fill="FFFFFF"/>
            <w:tcMar>
              <w:top w:w="120" w:type="dxa"/>
              <w:left w:w="180" w:type="dxa"/>
              <w:bottom w:w="120" w:type="dxa"/>
              <w:right w:w="180" w:type="dxa"/>
            </w:tcMar>
            <w:hideMark/>
          </w:tcPr>
          <w:p w14:paraId="024610DD"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г. Други нарушения на аминокиселинния метаболизъм </w:t>
            </w:r>
          </w:p>
        </w:tc>
      </w:tr>
      <w:tr w:rsidR="00BE0B19" w:rsidRPr="00AE47C6" w14:paraId="4232D3AF" w14:textId="77777777" w:rsidTr="00AD72E5">
        <w:tc>
          <w:tcPr>
            <w:tcW w:w="8500" w:type="dxa"/>
            <w:shd w:val="clear" w:color="auto" w:fill="FFFFFF"/>
            <w:tcMar>
              <w:top w:w="120" w:type="dxa"/>
              <w:left w:w="180" w:type="dxa"/>
              <w:bottom w:w="120" w:type="dxa"/>
              <w:right w:w="180" w:type="dxa"/>
            </w:tcMar>
            <w:hideMark/>
          </w:tcPr>
          <w:p w14:paraId="3A2BED13"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д. Cx32- свързана (X- свързана) болест на Charcot-Marie-Tooth </w:t>
            </w:r>
          </w:p>
        </w:tc>
      </w:tr>
      <w:tr w:rsidR="00BE0B19" w:rsidRPr="00AE47C6" w14:paraId="320BA377" w14:textId="77777777" w:rsidTr="00AD72E5">
        <w:tc>
          <w:tcPr>
            <w:tcW w:w="8500" w:type="dxa"/>
            <w:shd w:val="clear" w:color="auto" w:fill="FFFFFF"/>
            <w:tcMar>
              <w:top w:w="120" w:type="dxa"/>
              <w:left w:w="180" w:type="dxa"/>
              <w:bottom w:w="120" w:type="dxa"/>
              <w:right w:w="180" w:type="dxa"/>
            </w:tcMar>
            <w:hideMark/>
          </w:tcPr>
          <w:p w14:paraId="32EFBBFD" w14:textId="77777777" w:rsidR="00BE0B19" w:rsidRPr="00AE47C6" w:rsidRDefault="00BE0B19" w:rsidP="00BE0B19">
            <w:pPr>
              <w:spacing w:after="0" w:line="360" w:lineRule="auto"/>
              <w:rPr>
                <w:rFonts w:ascii="Times New Roman" w:eastAsia="SimSun" w:hAnsi="Times New Roman"/>
                <w:b/>
                <w:sz w:val="24"/>
                <w:szCs w:val="24"/>
                <w:u w:val="single"/>
                <w:lang w:eastAsia="bg-BG"/>
              </w:rPr>
            </w:pPr>
            <w:r w:rsidRPr="00AE47C6">
              <w:rPr>
                <w:rFonts w:ascii="Times New Roman" w:eastAsia="SimSun" w:hAnsi="Times New Roman"/>
                <w:b/>
                <w:sz w:val="24"/>
                <w:szCs w:val="24"/>
                <w:u w:val="single"/>
                <w:lang w:eastAsia="bg-BG"/>
              </w:rPr>
              <w:t>Астроцитопатии</w:t>
            </w:r>
          </w:p>
        </w:tc>
      </w:tr>
      <w:tr w:rsidR="00BE0B19" w:rsidRPr="00AE47C6" w14:paraId="011F43EF" w14:textId="77777777" w:rsidTr="00AD72E5">
        <w:tc>
          <w:tcPr>
            <w:tcW w:w="8500" w:type="dxa"/>
            <w:shd w:val="clear" w:color="auto" w:fill="FFFFFF"/>
            <w:tcMar>
              <w:top w:w="120" w:type="dxa"/>
              <w:left w:w="180" w:type="dxa"/>
              <w:bottom w:w="120" w:type="dxa"/>
              <w:right w:w="180" w:type="dxa"/>
            </w:tcMar>
            <w:hideMark/>
          </w:tcPr>
          <w:p w14:paraId="038ADBCF"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a. Болест на Alexander </w:t>
            </w:r>
          </w:p>
        </w:tc>
      </w:tr>
      <w:tr w:rsidR="00BE0B19" w:rsidRPr="00AE47C6" w14:paraId="20A0DE2D" w14:textId="77777777" w:rsidTr="00AD72E5">
        <w:tc>
          <w:tcPr>
            <w:tcW w:w="8500" w:type="dxa"/>
            <w:shd w:val="clear" w:color="auto" w:fill="FFFFFF"/>
            <w:tcMar>
              <w:top w:w="120" w:type="dxa"/>
              <w:left w:w="180" w:type="dxa"/>
              <w:bottom w:w="120" w:type="dxa"/>
              <w:right w:w="180" w:type="dxa"/>
            </w:tcMar>
            <w:hideMark/>
          </w:tcPr>
          <w:p w14:paraId="277DCFFD"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б. Мегаленцефална левкоенцефалопатия със сфероидни кисти </w:t>
            </w:r>
          </w:p>
        </w:tc>
      </w:tr>
      <w:tr w:rsidR="00BE0B19" w:rsidRPr="00AE47C6" w14:paraId="5B2399A2" w14:textId="77777777" w:rsidTr="00AD72E5">
        <w:trPr>
          <w:trHeight w:val="299"/>
        </w:trPr>
        <w:tc>
          <w:tcPr>
            <w:tcW w:w="8500" w:type="dxa"/>
            <w:shd w:val="clear" w:color="auto" w:fill="FFFFFF"/>
            <w:tcMar>
              <w:top w:w="120" w:type="dxa"/>
              <w:left w:w="180" w:type="dxa"/>
              <w:bottom w:w="120" w:type="dxa"/>
              <w:right w:w="180" w:type="dxa"/>
            </w:tcMar>
            <w:hideMark/>
          </w:tcPr>
          <w:p w14:paraId="56782B57"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 в. ClC-2-свързани заболявания </w:t>
            </w:r>
          </w:p>
        </w:tc>
      </w:tr>
      <w:tr w:rsidR="00BE0B19" w:rsidRPr="00AE47C6" w14:paraId="7B349779" w14:textId="77777777" w:rsidTr="00AD72E5">
        <w:trPr>
          <w:trHeight w:val="213"/>
        </w:trPr>
        <w:tc>
          <w:tcPr>
            <w:tcW w:w="8500" w:type="dxa"/>
            <w:shd w:val="clear" w:color="auto" w:fill="FFFFFF"/>
            <w:tcMar>
              <w:top w:w="120" w:type="dxa"/>
              <w:left w:w="180" w:type="dxa"/>
              <w:bottom w:w="120" w:type="dxa"/>
              <w:right w:w="180" w:type="dxa"/>
            </w:tcMar>
            <w:hideMark/>
          </w:tcPr>
          <w:p w14:paraId="7FC9C918" w14:textId="77777777" w:rsidR="00BE0B19" w:rsidRPr="00AE47C6" w:rsidRDefault="00BE0B19" w:rsidP="00BE0B19">
            <w:pPr>
              <w:spacing w:after="0" w:line="360" w:lineRule="auto"/>
              <w:ind w:left="34"/>
              <w:jc w:val="both"/>
              <w:rPr>
                <w:rFonts w:ascii="Times New Roman" w:eastAsia="SimSun" w:hAnsi="Times New Roman"/>
                <w:bCs/>
                <w:sz w:val="24"/>
                <w:szCs w:val="24"/>
              </w:rPr>
            </w:pPr>
            <w:r w:rsidRPr="00AE47C6">
              <w:rPr>
                <w:rFonts w:ascii="Times New Roman" w:eastAsia="SimSun" w:hAnsi="Times New Roman"/>
                <w:sz w:val="24"/>
                <w:szCs w:val="24"/>
                <w:lang w:eastAsia="bg-BG"/>
              </w:rPr>
              <w:t xml:space="preserve">г. </w:t>
            </w:r>
            <w:r w:rsidRPr="00AE47C6">
              <w:rPr>
                <w:rFonts w:ascii="Times New Roman" w:eastAsia="SimSun" w:hAnsi="Times New Roman"/>
                <w:bCs/>
                <w:sz w:val="24"/>
                <w:szCs w:val="24"/>
              </w:rPr>
              <w:t>Левкоенцефалопатия с изчезващо бяло вещество (Vanishing white matter disease)</w:t>
            </w:r>
          </w:p>
        </w:tc>
      </w:tr>
      <w:tr w:rsidR="00BE0B19" w:rsidRPr="00AE47C6" w14:paraId="4E2B1485" w14:textId="77777777" w:rsidTr="00AD72E5">
        <w:tc>
          <w:tcPr>
            <w:tcW w:w="8500" w:type="dxa"/>
            <w:shd w:val="clear" w:color="auto" w:fill="FFFFFF"/>
            <w:tcMar>
              <w:top w:w="120" w:type="dxa"/>
              <w:left w:w="180" w:type="dxa"/>
              <w:bottom w:w="120" w:type="dxa"/>
              <w:right w:w="180" w:type="dxa"/>
            </w:tcMar>
            <w:hideMark/>
          </w:tcPr>
          <w:p w14:paraId="2BA4039B"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д. Синдром на Aicardi-Goutières и варианти </w:t>
            </w:r>
          </w:p>
        </w:tc>
      </w:tr>
      <w:tr w:rsidR="00BE0B19" w:rsidRPr="00AE47C6" w14:paraId="6CDD90BA" w14:textId="77777777" w:rsidTr="00AD72E5">
        <w:tc>
          <w:tcPr>
            <w:tcW w:w="8500" w:type="dxa"/>
            <w:shd w:val="clear" w:color="auto" w:fill="FFFFFF"/>
            <w:tcMar>
              <w:top w:w="120" w:type="dxa"/>
              <w:left w:w="180" w:type="dxa"/>
              <w:bottom w:w="120" w:type="dxa"/>
              <w:right w:w="180" w:type="dxa"/>
            </w:tcMar>
            <w:hideMark/>
          </w:tcPr>
          <w:p w14:paraId="65BF0988"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е. Окуло-денто-дигитална дисплазия (Cx43)</w:t>
            </w:r>
          </w:p>
        </w:tc>
      </w:tr>
      <w:tr w:rsidR="00BE0B19" w:rsidRPr="00AE47C6" w14:paraId="05F0C170" w14:textId="77777777" w:rsidTr="00AD72E5">
        <w:tc>
          <w:tcPr>
            <w:tcW w:w="8500" w:type="dxa"/>
            <w:shd w:val="clear" w:color="auto" w:fill="FFFFFF"/>
            <w:tcMar>
              <w:top w:w="120" w:type="dxa"/>
              <w:left w:w="180" w:type="dxa"/>
              <w:bottom w:w="120" w:type="dxa"/>
              <w:right w:w="180" w:type="dxa"/>
            </w:tcMar>
            <w:hideMark/>
          </w:tcPr>
          <w:p w14:paraId="0B06261C" w14:textId="77777777" w:rsidR="00BE0B19" w:rsidRPr="00AE47C6" w:rsidRDefault="00BE0B19" w:rsidP="00BE0B19">
            <w:pPr>
              <w:spacing w:after="0" w:line="360" w:lineRule="auto"/>
              <w:rPr>
                <w:rFonts w:ascii="Times New Roman" w:eastAsia="SimSun" w:hAnsi="Times New Roman"/>
                <w:b/>
                <w:sz w:val="24"/>
                <w:szCs w:val="24"/>
                <w:u w:val="single"/>
                <w:lang w:eastAsia="bg-BG"/>
              </w:rPr>
            </w:pPr>
            <w:r w:rsidRPr="00AE47C6">
              <w:rPr>
                <w:rFonts w:ascii="Times New Roman" w:eastAsia="SimSun" w:hAnsi="Times New Roman"/>
                <w:b/>
                <w:sz w:val="24"/>
                <w:szCs w:val="24"/>
                <w:u w:val="single"/>
                <w:lang w:eastAsia="bg-BG"/>
              </w:rPr>
              <w:t>Левко-аксонопатии</w:t>
            </w:r>
          </w:p>
        </w:tc>
      </w:tr>
      <w:tr w:rsidR="00BE0B19" w:rsidRPr="00AE47C6" w14:paraId="3DE94418" w14:textId="77777777" w:rsidTr="00AD72E5">
        <w:tc>
          <w:tcPr>
            <w:tcW w:w="8500" w:type="dxa"/>
            <w:shd w:val="clear" w:color="auto" w:fill="FFFFFF"/>
            <w:tcMar>
              <w:top w:w="120" w:type="dxa"/>
              <w:left w:w="180" w:type="dxa"/>
              <w:bottom w:w="120" w:type="dxa"/>
              <w:right w:w="180" w:type="dxa"/>
            </w:tcMar>
            <w:hideMark/>
          </w:tcPr>
          <w:p w14:paraId="0039A12F"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a. Хипомиелинизация и атрофия на базалните ядра и церебелум- H-ABC </w:t>
            </w:r>
          </w:p>
        </w:tc>
      </w:tr>
      <w:tr w:rsidR="00BE0B19" w:rsidRPr="00AE47C6" w14:paraId="6D799D80" w14:textId="77777777" w:rsidTr="00AD72E5">
        <w:tc>
          <w:tcPr>
            <w:tcW w:w="8500" w:type="dxa"/>
            <w:shd w:val="clear" w:color="auto" w:fill="FFFFFF"/>
            <w:tcMar>
              <w:top w:w="120" w:type="dxa"/>
              <w:left w:w="180" w:type="dxa"/>
              <w:bottom w:w="120" w:type="dxa"/>
              <w:right w:w="180" w:type="dxa"/>
            </w:tcMar>
            <w:hideMark/>
          </w:tcPr>
          <w:p w14:paraId="38E61327"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б. Хипомиелинизация с конгенитална катаракта</w:t>
            </w:r>
          </w:p>
        </w:tc>
      </w:tr>
      <w:tr w:rsidR="00BE0B19" w:rsidRPr="00AE47C6" w14:paraId="1B42FB09" w14:textId="77777777" w:rsidTr="00AD72E5">
        <w:tc>
          <w:tcPr>
            <w:tcW w:w="8500" w:type="dxa"/>
            <w:shd w:val="clear" w:color="auto" w:fill="FFFFFF"/>
            <w:tcMar>
              <w:top w:w="120" w:type="dxa"/>
              <w:left w:w="180" w:type="dxa"/>
              <w:bottom w:w="120" w:type="dxa"/>
              <w:right w:w="180" w:type="dxa"/>
            </w:tcMar>
            <w:hideMark/>
          </w:tcPr>
          <w:p w14:paraId="6D9C2BA3"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в. Заболявания с ранно начало </w:t>
            </w:r>
          </w:p>
        </w:tc>
      </w:tr>
      <w:tr w:rsidR="00BE0B19" w:rsidRPr="00AE47C6" w14:paraId="28AC3520" w14:textId="77777777" w:rsidTr="00AD72E5">
        <w:tc>
          <w:tcPr>
            <w:tcW w:w="8500" w:type="dxa"/>
            <w:shd w:val="clear" w:color="auto" w:fill="FFFFFF"/>
            <w:tcMar>
              <w:top w:w="120" w:type="dxa"/>
              <w:left w:w="180" w:type="dxa"/>
              <w:bottom w:w="120" w:type="dxa"/>
              <w:right w:w="180" w:type="dxa"/>
            </w:tcMar>
            <w:hideMark/>
          </w:tcPr>
          <w:p w14:paraId="73A5549E"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  1. Ганглиозидози GM1 и GM2</w:t>
            </w:r>
          </w:p>
        </w:tc>
      </w:tr>
      <w:tr w:rsidR="00BE0B19" w:rsidRPr="00AE47C6" w14:paraId="287F6164" w14:textId="77777777" w:rsidTr="00AD72E5">
        <w:tc>
          <w:tcPr>
            <w:tcW w:w="8500" w:type="dxa"/>
            <w:shd w:val="clear" w:color="auto" w:fill="FFFFFF"/>
            <w:tcMar>
              <w:top w:w="120" w:type="dxa"/>
              <w:left w:w="180" w:type="dxa"/>
              <w:bottom w:w="120" w:type="dxa"/>
              <w:right w:w="180" w:type="dxa"/>
            </w:tcMar>
            <w:hideMark/>
          </w:tcPr>
          <w:p w14:paraId="717ECCB0"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  2. Инфантилна невронална цероидлипофусциноза</w:t>
            </w:r>
          </w:p>
        </w:tc>
      </w:tr>
      <w:tr w:rsidR="00BE0B19" w:rsidRPr="00AE47C6" w14:paraId="4B43ADEA" w14:textId="77777777" w:rsidTr="00AD72E5">
        <w:tc>
          <w:tcPr>
            <w:tcW w:w="8500" w:type="dxa"/>
            <w:shd w:val="clear" w:color="auto" w:fill="FFFFFF"/>
            <w:tcMar>
              <w:top w:w="120" w:type="dxa"/>
              <w:left w:w="180" w:type="dxa"/>
              <w:bottom w:w="120" w:type="dxa"/>
              <w:right w:w="180" w:type="dxa"/>
            </w:tcMar>
            <w:hideMark/>
          </w:tcPr>
          <w:p w14:paraId="39C81112"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  3. </w:t>
            </w:r>
            <w:r w:rsidRPr="00AE47C6">
              <w:rPr>
                <w:rFonts w:ascii="Times New Roman" w:eastAsia="SimSun" w:hAnsi="Times New Roman"/>
                <w:i/>
                <w:iCs/>
                <w:sz w:val="24"/>
                <w:szCs w:val="24"/>
                <w:lang w:eastAsia="bg-BG"/>
              </w:rPr>
              <w:t>AGC1</w:t>
            </w:r>
            <w:r w:rsidRPr="00AE47C6">
              <w:rPr>
                <w:rFonts w:ascii="Times New Roman" w:eastAsia="SimSun" w:hAnsi="Times New Roman"/>
                <w:sz w:val="24"/>
                <w:szCs w:val="24"/>
                <w:lang w:eastAsia="bg-BG"/>
              </w:rPr>
              <w:t xml:space="preserve">-свъзрани заболявания </w:t>
            </w:r>
          </w:p>
        </w:tc>
      </w:tr>
      <w:tr w:rsidR="00BE0B19" w:rsidRPr="00AE47C6" w14:paraId="3A276DC3" w14:textId="77777777" w:rsidTr="00AD72E5">
        <w:tc>
          <w:tcPr>
            <w:tcW w:w="8500" w:type="dxa"/>
            <w:shd w:val="clear" w:color="auto" w:fill="FFFFFF"/>
            <w:tcMar>
              <w:top w:w="120" w:type="dxa"/>
              <w:left w:w="180" w:type="dxa"/>
              <w:bottom w:w="120" w:type="dxa"/>
              <w:right w:w="180" w:type="dxa"/>
            </w:tcMar>
            <w:hideMark/>
          </w:tcPr>
          <w:p w14:paraId="7E73C3B2"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  4. </w:t>
            </w:r>
            <w:r w:rsidRPr="00AE47C6">
              <w:rPr>
                <w:rFonts w:ascii="Times New Roman" w:eastAsia="SimSun" w:hAnsi="Times New Roman"/>
                <w:i/>
                <w:iCs/>
                <w:sz w:val="24"/>
                <w:szCs w:val="24"/>
                <w:lang w:eastAsia="bg-BG"/>
              </w:rPr>
              <w:t>AIMP1</w:t>
            </w:r>
            <w:r w:rsidRPr="00AE47C6">
              <w:rPr>
                <w:rFonts w:ascii="Times New Roman" w:eastAsia="SimSun" w:hAnsi="Times New Roman"/>
                <w:sz w:val="24"/>
                <w:szCs w:val="24"/>
                <w:lang w:eastAsia="bg-BG"/>
              </w:rPr>
              <w:t>-свързани заболявания</w:t>
            </w:r>
          </w:p>
        </w:tc>
      </w:tr>
      <w:tr w:rsidR="00BE0B19" w:rsidRPr="00AE47C6" w14:paraId="50B3F66F" w14:textId="77777777" w:rsidTr="00AD72E5">
        <w:tc>
          <w:tcPr>
            <w:tcW w:w="8500" w:type="dxa"/>
            <w:shd w:val="clear" w:color="auto" w:fill="FFFFFF"/>
            <w:tcMar>
              <w:top w:w="120" w:type="dxa"/>
              <w:left w:w="180" w:type="dxa"/>
              <w:bottom w:w="120" w:type="dxa"/>
              <w:right w:w="180" w:type="dxa"/>
            </w:tcMar>
            <w:hideMark/>
          </w:tcPr>
          <w:p w14:paraId="15AAB379"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  5. </w:t>
            </w:r>
            <w:r w:rsidRPr="00AE47C6">
              <w:rPr>
                <w:rFonts w:ascii="Times New Roman" w:eastAsia="SimSun" w:hAnsi="Times New Roman"/>
                <w:i/>
                <w:iCs/>
                <w:sz w:val="24"/>
                <w:szCs w:val="24"/>
                <w:lang w:eastAsia="bg-BG"/>
              </w:rPr>
              <w:t>HSPD1</w:t>
            </w:r>
            <w:r w:rsidRPr="00AE47C6">
              <w:rPr>
                <w:rFonts w:ascii="Times New Roman" w:eastAsia="SimSun" w:hAnsi="Times New Roman"/>
                <w:sz w:val="24"/>
                <w:szCs w:val="24"/>
                <w:lang w:eastAsia="bg-BG"/>
              </w:rPr>
              <w:t>- свързани заболявания</w:t>
            </w:r>
          </w:p>
        </w:tc>
      </w:tr>
      <w:tr w:rsidR="00BE0B19" w:rsidRPr="00AE47C6" w14:paraId="180D1B17" w14:textId="77777777" w:rsidTr="00AD72E5">
        <w:tc>
          <w:tcPr>
            <w:tcW w:w="8500" w:type="dxa"/>
            <w:shd w:val="clear" w:color="auto" w:fill="FFFFFF"/>
            <w:tcMar>
              <w:top w:w="120" w:type="dxa"/>
              <w:left w:w="180" w:type="dxa"/>
              <w:bottom w:w="120" w:type="dxa"/>
              <w:right w:w="180" w:type="dxa"/>
            </w:tcMar>
            <w:hideMark/>
          </w:tcPr>
          <w:p w14:paraId="2301D31F"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г. Pol III-свързани левкодистрофии</w:t>
            </w:r>
          </w:p>
        </w:tc>
      </w:tr>
      <w:tr w:rsidR="00BE0B19" w:rsidRPr="00AE47C6" w14:paraId="0A3FDB5D" w14:textId="77777777" w:rsidTr="00AD72E5">
        <w:tc>
          <w:tcPr>
            <w:tcW w:w="8500" w:type="dxa"/>
            <w:shd w:val="clear" w:color="auto" w:fill="FFFFFF"/>
            <w:tcMar>
              <w:top w:w="120" w:type="dxa"/>
              <w:left w:w="180" w:type="dxa"/>
              <w:bottom w:w="120" w:type="dxa"/>
              <w:right w:w="180" w:type="dxa"/>
            </w:tcMar>
            <w:hideMark/>
          </w:tcPr>
          <w:p w14:paraId="49D4F821"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 д. Левкоенцефалопатия със засягане на мозъчния ствол и гръбначния мозък с висок лактат </w:t>
            </w:r>
          </w:p>
        </w:tc>
      </w:tr>
      <w:tr w:rsidR="00BE0B19" w:rsidRPr="00AE47C6" w14:paraId="7F4934AE" w14:textId="77777777" w:rsidTr="00AD72E5">
        <w:tc>
          <w:tcPr>
            <w:tcW w:w="8500" w:type="dxa"/>
            <w:shd w:val="clear" w:color="auto" w:fill="FFFFFF"/>
            <w:tcMar>
              <w:top w:w="120" w:type="dxa"/>
              <w:left w:w="180" w:type="dxa"/>
              <w:bottom w:w="120" w:type="dxa"/>
              <w:right w:w="180" w:type="dxa"/>
            </w:tcMar>
            <w:hideMark/>
          </w:tcPr>
          <w:p w14:paraId="4ECF3C4D"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 е. Хипомиелинизация със засягане на мозъчния ствол и гръбначния мозък и спастицитет</w:t>
            </w:r>
          </w:p>
        </w:tc>
      </w:tr>
      <w:tr w:rsidR="00BE0B19" w:rsidRPr="00AE47C6" w14:paraId="0AA88A28" w14:textId="77777777" w:rsidTr="00AD72E5">
        <w:tc>
          <w:tcPr>
            <w:tcW w:w="8500" w:type="dxa"/>
            <w:shd w:val="clear" w:color="auto" w:fill="FFFFFF"/>
            <w:tcMar>
              <w:top w:w="120" w:type="dxa"/>
              <w:left w:w="180" w:type="dxa"/>
              <w:bottom w:w="120" w:type="dxa"/>
              <w:right w:w="180" w:type="dxa"/>
            </w:tcMar>
            <w:hideMark/>
          </w:tcPr>
          <w:p w14:paraId="3676E7D4"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 ж. Аксонна невропатия</w:t>
            </w:r>
          </w:p>
        </w:tc>
      </w:tr>
      <w:tr w:rsidR="00BE0B19" w:rsidRPr="00AE47C6" w14:paraId="7C6E2062" w14:textId="77777777" w:rsidTr="00AD72E5">
        <w:tc>
          <w:tcPr>
            <w:tcW w:w="8500" w:type="dxa"/>
            <w:shd w:val="clear" w:color="auto" w:fill="FFFFFF"/>
            <w:tcMar>
              <w:top w:w="120" w:type="dxa"/>
              <w:left w:w="180" w:type="dxa"/>
              <w:bottom w:w="120" w:type="dxa"/>
              <w:right w:w="180" w:type="dxa"/>
            </w:tcMar>
            <w:hideMark/>
          </w:tcPr>
          <w:p w14:paraId="7EC8E7B6" w14:textId="77777777" w:rsidR="00BE0B19" w:rsidRPr="00AE47C6" w:rsidRDefault="00BE0B19" w:rsidP="00BE0B19">
            <w:pPr>
              <w:spacing w:after="0" w:line="360" w:lineRule="auto"/>
              <w:rPr>
                <w:rFonts w:ascii="Times New Roman" w:eastAsia="SimSun" w:hAnsi="Times New Roman"/>
                <w:b/>
                <w:sz w:val="24"/>
                <w:szCs w:val="24"/>
                <w:u w:val="single"/>
                <w:lang w:eastAsia="bg-BG"/>
              </w:rPr>
            </w:pPr>
            <w:r w:rsidRPr="00AE47C6">
              <w:rPr>
                <w:rFonts w:ascii="Times New Roman" w:eastAsia="SimSun" w:hAnsi="Times New Roman"/>
                <w:b/>
                <w:sz w:val="24"/>
                <w:szCs w:val="24"/>
                <w:u w:val="single"/>
                <w:lang w:eastAsia="bg-BG"/>
              </w:rPr>
              <w:t>Микроглиопатии</w:t>
            </w:r>
          </w:p>
        </w:tc>
      </w:tr>
      <w:tr w:rsidR="00BE0B19" w:rsidRPr="00AE47C6" w14:paraId="6ECA34E9" w14:textId="77777777" w:rsidTr="00AD72E5">
        <w:tc>
          <w:tcPr>
            <w:tcW w:w="8500" w:type="dxa"/>
            <w:shd w:val="clear" w:color="auto" w:fill="FFFFFF"/>
            <w:tcMar>
              <w:top w:w="120" w:type="dxa"/>
              <w:left w:w="180" w:type="dxa"/>
              <w:bottom w:w="120" w:type="dxa"/>
              <w:right w:w="180" w:type="dxa"/>
            </w:tcMar>
            <w:hideMark/>
          </w:tcPr>
          <w:p w14:paraId="27DD45C4" w14:textId="77777777" w:rsidR="00BE0B19" w:rsidRPr="00AE47C6" w:rsidRDefault="00BE0B19" w:rsidP="00BE0B19">
            <w:pPr>
              <w:numPr>
                <w:ilvl w:val="0"/>
                <w:numId w:val="390"/>
              </w:numPr>
              <w:spacing w:after="0" w:line="360" w:lineRule="auto"/>
              <w:contextualSpacing/>
              <w:rPr>
                <w:rFonts w:ascii="Times New Roman" w:eastAsia="SimSun" w:hAnsi="Times New Roman"/>
                <w:sz w:val="24"/>
                <w:szCs w:val="24"/>
                <w:lang w:eastAsia="bg-BG"/>
              </w:rPr>
            </w:pPr>
            <w:r w:rsidRPr="00AE47C6">
              <w:rPr>
                <w:rFonts w:ascii="Times New Roman" w:eastAsia="SimSun" w:hAnsi="Times New Roman"/>
                <w:i/>
                <w:iCs/>
                <w:sz w:val="24"/>
                <w:szCs w:val="24"/>
                <w:lang w:eastAsia="bg-BG"/>
              </w:rPr>
              <w:t>CSF1R</w:t>
            </w:r>
            <w:r w:rsidRPr="00AE47C6">
              <w:rPr>
                <w:rFonts w:ascii="Times New Roman" w:eastAsia="SimSun" w:hAnsi="Times New Roman"/>
                <w:sz w:val="24"/>
                <w:szCs w:val="24"/>
                <w:lang w:eastAsia="bg-BG"/>
              </w:rPr>
              <w:t xml:space="preserve">-свързани заболявания </w:t>
            </w:r>
          </w:p>
        </w:tc>
      </w:tr>
      <w:tr w:rsidR="00BE0B19" w:rsidRPr="00AE47C6" w14:paraId="26F72958" w14:textId="77777777" w:rsidTr="00AD72E5">
        <w:tc>
          <w:tcPr>
            <w:tcW w:w="8500" w:type="dxa"/>
            <w:shd w:val="clear" w:color="auto" w:fill="FFFFFF"/>
            <w:tcMar>
              <w:top w:w="120" w:type="dxa"/>
              <w:left w:w="180" w:type="dxa"/>
              <w:bottom w:w="120" w:type="dxa"/>
              <w:right w:w="180" w:type="dxa"/>
            </w:tcMar>
            <w:hideMark/>
          </w:tcPr>
          <w:p w14:paraId="5E5CBE23"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  1. Вродена дифузна левкоенцефалопатия със сфероиди</w:t>
            </w:r>
          </w:p>
        </w:tc>
      </w:tr>
      <w:tr w:rsidR="00BE0B19" w:rsidRPr="00AE47C6" w14:paraId="78F7F09E" w14:textId="77777777" w:rsidTr="00AD72E5">
        <w:tc>
          <w:tcPr>
            <w:tcW w:w="8500" w:type="dxa"/>
            <w:shd w:val="clear" w:color="auto" w:fill="FFFFFF"/>
            <w:tcMar>
              <w:top w:w="120" w:type="dxa"/>
              <w:left w:w="180" w:type="dxa"/>
              <w:bottom w:w="120" w:type="dxa"/>
              <w:right w:w="180" w:type="dxa"/>
            </w:tcMar>
            <w:hideMark/>
          </w:tcPr>
          <w:p w14:paraId="72F9ECA2"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  2. Пигментна ортохромна левкодистрофия </w:t>
            </w:r>
          </w:p>
        </w:tc>
      </w:tr>
      <w:tr w:rsidR="00BE0B19" w:rsidRPr="00AE47C6" w14:paraId="009B67B6" w14:textId="77777777" w:rsidTr="00AD72E5">
        <w:tc>
          <w:tcPr>
            <w:tcW w:w="8500" w:type="dxa"/>
            <w:shd w:val="clear" w:color="auto" w:fill="FFFFFF"/>
            <w:tcMar>
              <w:top w:w="120" w:type="dxa"/>
              <w:left w:w="180" w:type="dxa"/>
              <w:bottom w:w="120" w:type="dxa"/>
              <w:right w:w="180" w:type="dxa"/>
            </w:tcMar>
            <w:hideMark/>
          </w:tcPr>
          <w:p w14:paraId="5AD6E1A5"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б. Болест на Nasu-Hakola </w:t>
            </w:r>
          </w:p>
        </w:tc>
      </w:tr>
      <w:tr w:rsidR="00BE0B19" w:rsidRPr="00AE47C6" w14:paraId="77CD3472" w14:textId="77777777" w:rsidTr="00AD72E5">
        <w:tc>
          <w:tcPr>
            <w:tcW w:w="8500" w:type="dxa"/>
            <w:shd w:val="clear" w:color="auto" w:fill="FFFFFF"/>
            <w:tcMar>
              <w:top w:w="120" w:type="dxa"/>
              <w:left w:w="180" w:type="dxa"/>
              <w:bottom w:w="120" w:type="dxa"/>
              <w:right w:w="180" w:type="dxa"/>
            </w:tcMar>
            <w:hideMark/>
          </w:tcPr>
          <w:p w14:paraId="64E672C1" w14:textId="77777777" w:rsidR="00BE0B19" w:rsidRPr="00AE47C6" w:rsidRDefault="00BE0B19" w:rsidP="00BE0B19">
            <w:pPr>
              <w:spacing w:after="0" w:line="360" w:lineRule="auto"/>
              <w:rPr>
                <w:rFonts w:ascii="Times New Roman" w:eastAsia="SimSun" w:hAnsi="Times New Roman"/>
                <w:b/>
                <w:sz w:val="24"/>
                <w:szCs w:val="24"/>
                <w:u w:val="single"/>
                <w:lang w:eastAsia="bg-BG"/>
              </w:rPr>
            </w:pPr>
            <w:r w:rsidRPr="00AE47C6">
              <w:rPr>
                <w:rFonts w:ascii="Times New Roman" w:eastAsia="SimSun" w:hAnsi="Times New Roman"/>
                <w:b/>
                <w:sz w:val="24"/>
                <w:szCs w:val="24"/>
                <w:u w:val="single"/>
                <w:lang w:eastAsia="bg-BG"/>
              </w:rPr>
              <w:t>Левко-васкулопатии</w:t>
            </w:r>
          </w:p>
        </w:tc>
      </w:tr>
      <w:tr w:rsidR="00BE0B19" w:rsidRPr="00AE47C6" w14:paraId="479AF52E" w14:textId="77777777" w:rsidTr="00AD72E5">
        <w:tc>
          <w:tcPr>
            <w:tcW w:w="8500" w:type="dxa"/>
            <w:shd w:val="clear" w:color="auto" w:fill="FFFFFF"/>
            <w:tcMar>
              <w:top w:w="120" w:type="dxa"/>
              <w:left w:w="180" w:type="dxa"/>
              <w:bottom w:w="120" w:type="dxa"/>
              <w:right w:w="180" w:type="dxa"/>
            </w:tcMar>
            <w:hideMark/>
          </w:tcPr>
          <w:p w14:paraId="1661F905"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a. Мозъчна А-Д артериопатия с подкорови инфаркти и левкоенцефалопатия </w:t>
            </w:r>
          </w:p>
        </w:tc>
      </w:tr>
      <w:tr w:rsidR="00BE0B19" w:rsidRPr="00AE47C6" w14:paraId="4A3873F4" w14:textId="77777777" w:rsidTr="00AD72E5">
        <w:trPr>
          <w:trHeight w:val="184"/>
        </w:trPr>
        <w:tc>
          <w:tcPr>
            <w:tcW w:w="8500" w:type="dxa"/>
            <w:shd w:val="clear" w:color="auto" w:fill="FFFFFF"/>
            <w:tcMar>
              <w:top w:w="120" w:type="dxa"/>
              <w:left w:w="180" w:type="dxa"/>
              <w:bottom w:w="120" w:type="dxa"/>
              <w:right w:w="180" w:type="dxa"/>
            </w:tcMar>
            <w:hideMark/>
          </w:tcPr>
          <w:p w14:paraId="1EBCC0AD"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б. Мозъчна А-Р артериопатия с подкорови инфаркти и левкоенцефалопатия </w:t>
            </w:r>
          </w:p>
        </w:tc>
      </w:tr>
      <w:tr w:rsidR="00BE0B19" w:rsidRPr="00AE47C6" w14:paraId="1432D466" w14:textId="77777777" w:rsidTr="00AD72E5">
        <w:tc>
          <w:tcPr>
            <w:tcW w:w="8500" w:type="dxa"/>
            <w:shd w:val="clear" w:color="auto" w:fill="FFFFFF"/>
            <w:tcMar>
              <w:top w:w="120" w:type="dxa"/>
              <w:left w:w="180" w:type="dxa"/>
              <w:bottom w:w="120" w:type="dxa"/>
              <w:right w:w="180" w:type="dxa"/>
            </w:tcMar>
            <w:hideMark/>
          </w:tcPr>
          <w:p w14:paraId="72C53FF0"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в. Cathepsin A-свързана артериопатия с инсулти и левкоенцефалопатия </w:t>
            </w:r>
          </w:p>
        </w:tc>
      </w:tr>
      <w:tr w:rsidR="00BE0B19" w:rsidRPr="00AE47C6" w14:paraId="2B9BA202" w14:textId="77777777" w:rsidTr="00AD72E5">
        <w:tc>
          <w:tcPr>
            <w:tcW w:w="8500" w:type="dxa"/>
            <w:shd w:val="clear" w:color="auto" w:fill="FFFFFF"/>
            <w:tcMar>
              <w:top w:w="120" w:type="dxa"/>
              <w:left w:w="180" w:type="dxa"/>
              <w:bottom w:w="120" w:type="dxa"/>
              <w:right w:w="180" w:type="dxa"/>
            </w:tcMar>
            <w:hideMark/>
          </w:tcPr>
          <w:p w14:paraId="7D0B0A6B"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г. Мозъчна амилоидна ангиопатия </w:t>
            </w:r>
          </w:p>
        </w:tc>
      </w:tr>
      <w:tr w:rsidR="00BE0B19" w:rsidRPr="00AE47C6" w14:paraId="634598C3" w14:textId="77777777" w:rsidTr="00AD72E5">
        <w:trPr>
          <w:trHeight w:val="20"/>
        </w:trPr>
        <w:tc>
          <w:tcPr>
            <w:tcW w:w="8500" w:type="dxa"/>
            <w:shd w:val="clear" w:color="auto" w:fill="FFFFFF"/>
            <w:tcMar>
              <w:top w:w="120" w:type="dxa"/>
              <w:left w:w="180" w:type="dxa"/>
              <w:bottom w:w="120" w:type="dxa"/>
              <w:right w:w="180" w:type="dxa"/>
            </w:tcMar>
            <w:hideMark/>
          </w:tcPr>
          <w:p w14:paraId="0CA2F960" w14:textId="77777777" w:rsidR="00BE0B19" w:rsidRPr="00AE47C6" w:rsidRDefault="00BE0B19" w:rsidP="00BE0B19">
            <w:pPr>
              <w:spacing w:after="0" w:line="36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д. Левкоенцефалопатия с калцификати и кисти </w:t>
            </w:r>
          </w:p>
        </w:tc>
      </w:tr>
    </w:tbl>
    <w:p w14:paraId="00025639" w14:textId="77777777" w:rsidR="00BE0B19" w:rsidRPr="00AE47C6" w:rsidRDefault="00BE0B19" w:rsidP="00BE0B19">
      <w:pPr>
        <w:spacing w:after="0" w:line="360" w:lineRule="auto"/>
        <w:rPr>
          <w:rFonts w:ascii="Times New Roman" w:eastAsia="SimSun" w:hAnsi="Times New Roman"/>
          <w:b/>
          <w:bCs/>
          <w:sz w:val="24"/>
          <w:szCs w:val="24"/>
        </w:rPr>
      </w:pPr>
    </w:p>
    <w:p w14:paraId="74B272F7"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 xml:space="preserve">Диагностицирането на левкодистрофиите /левкоенцефалопатиите  включва: </w:t>
      </w:r>
    </w:p>
    <w:p w14:paraId="7CF158A7" w14:textId="77777777" w:rsidR="00BE0B19" w:rsidRPr="00AE47C6" w:rsidRDefault="00BE0B19" w:rsidP="00BE0B19">
      <w:pPr>
        <w:numPr>
          <w:ilvl w:val="0"/>
          <w:numId w:val="362"/>
        </w:numPr>
        <w:spacing w:after="0" w:line="360" w:lineRule="auto"/>
        <w:rPr>
          <w:rFonts w:ascii="Times New Roman" w:eastAsia="SimSun" w:hAnsi="Times New Roman"/>
          <w:sz w:val="24"/>
          <w:szCs w:val="24"/>
        </w:rPr>
      </w:pPr>
      <w:r w:rsidRPr="00AE47C6">
        <w:rPr>
          <w:rFonts w:ascii="Times New Roman" w:eastAsia="SimSun" w:hAnsi="Times New Roman"/>
          <w:b/>
          <w:bCs/>
          <w:i/>
          <w:sz w:val="24"/>
          <w:szCs w:val="24"/>
        </w:rPr>
        <w:t>MРТ,</w:t>
      </w:r>
      <w:r w:rsidRPr="00AE47C6">
        <w:rPr>
          <w:rFonts w:ascii="Times New Roman" w:eastAsia="SimSun" w:hAnsi="Times New Roman"/>
          <w:bCs/>
          <w:sz w:val="24"/>
          <w:szCs w:val="24"/>
        </w:rPr>
        <w:t xml:space="preserve"> която е основна за начална диагностика </w:t>
      </w:r>
    </w:p>
    <w:p w14:paraId="51E2EE16" w14:textId="77777777" w:rsidR="00BE0B19" w:rsidRPr="00AE47C6" w:rsidRDefault="00BE0B19" w:rsidP="00BE0B19">
      <w:pPr>
        <w:numPr>
          <w:ilvl w:val="0"/>
          <w:numId w:val="362"/>
        </w:numPr>
        <w:spacing w:after="0" w:line="360" w:lineRule="auto"/>
        <w:rPr>
          <w:rFonts w:ascii="Times New Roman" w:eastAsia="SimSun" w:hAnsi="Times New Roman"/>
          <w:sz w:val="24"/>
          <w:szCs w:val="24"/>
        </w:rPr>
      </w:pPr>
      <w:r w:rsidRPr="00AE47C6">
        <w:rPr>
          <w:rFonts w:ascii="Times New Roman" w:eastAsia="SimSun" w:hAnsi="Times New Roman"/>
          <w:b/>
          <w:bCs/>
          <w:i/>
          <w:sz w:val="24"/>
          <w:szCs w:val="24"/>
        </w:rPr>
        <w:t>При прогресираща енцефалопатия и МРТ данни за засягане на бялото вещество</w:t>
      </w:r>
      <w:r w:rsidRPr="00AE47C6">
        <w:rPr>
          <w:rFonts w:ascii="Times New Roman" w:eastAsia="SimSun" w:hAnsi="Times New Roman"/>
          <w:bCs/>
          <w:sz w:val="24"/>
          <w:szCs w:val="24"/>
        </w:rPr>
        <w:t xml:space="preserve"> се предприемат и: </w:t>
      </w:r>
    </w:p>
    <w:p w14:paraId="09D49FBB" w14:textId="77777777" w:rsidR="00BE0B19" w:rsidRPr="00AE47C6" w:rsidRDefault="00BE0B19" w:rsidP="00BE0B19">
      <w:pPr>
        <w:numPr>
          <w:ilvl w:val="1"/>
          <w:numId w:val="362"/>
        </w:numPr>
        <w:spacing w:after="0" w:line="360" w:lineRule="auto"/>
        <w:rPr>
          <w:rFonts w:ascii="Times New Roman" w:eastAsia="SimSun" w:hAnsi="Times New Roman"/>
          <w:sz w:val="24"/>
          <w:szCs w:val="24"/>
        </w:rPr>
      </w:pPr>
      <w:r w:rsidRPr="00AE47C6">
        <w:rPr>
          <w:rFonts w:ascii="Times New Roman" w:eastAsia="SimSun" w:hAnsi="Times New Roman"/>
          <w:b/>
          <w:bCs/>
          <w:i/>
          <w:sz w:val="24"/>
          <w:szCs w:val="24"/>
        </w:rPr>
        <w:t>Генетични изследвания</w:t>
      </w:r>
      <w:r w:rsidRPr="00AE47C6">
        <w:rPr>
          <w:rFonts w:ascii="Times New Roman" w:eastAsia="SimSun" w:hAnsi="Times New Roman"/>
          <w:bCs/>
          <w:sz w:val="24"/>
          <w:szCs w:val="24"/>
        </w:rPr>
        <w:t xml:space="preserve"> – NGS - цялостно геномно секвениране </w:t>
      </w:r>
      <w:r w:rsidRPr="00AE47C6">
        <w:rPr>
          <w:rFonts w:ascii="Times New Roman" w:eastAsia="SimSun" w:hAnsi="Times New Roman"/>
          <w:sz w:val="24"/>
          <w:szCs w:val="24"/>
        </w:rPr>
        <w:t xml:space="preserve">(WGS)  и </w:t>
      </w:r>
      <w:r w:rsidRPr="00AE47C6">
        <w:rPr>
          <w:rFonts w:ascii="Times New Roman" w:eastAsia="SimSun" w:hAnsi="Times New Roman"/>
          <w:bCs/>
          <w:sz w:val="24"/>
          <w:szCs w:val="24"/>
        </w:rPr>
        <w:t>цялостно екзомно секвениране (WES)</w:t>
      </w:r>
    </w:p>
    <w:p w14:paraId="3D008554" w14:textId="77777777" w:rsidR="00BE0B19" w:rsidRPr="00AE47C6" w:rsidRDefault="00BE0B19" w:rsidP="00BE0B19">
      <w:pPr>
        <w:numPr>
          <w:ilvl w:val="1"/>
          <w:numId w:val="362"/>
        </w:numPr>
        <w:spacing w:after="0" w:line="360" w:lineRule="auto"/>
        <w:rPr>
          <w:rFonts w:ascii="Times New Roman" w:eastAsia="SimSun" w:hAnsi="Times New Roman"/>
          <w:b/>
          <w:i/>
          <w:sz w:val="24"/>
          <w:szCs w:val="24"/>
        </w:rPr>
      </w:pPr>
      <w:r w:rsidRPr="00AE47C6">
        <w:rPr>
          <w:rFonts w:ascii="Times New Roman" w:eastAsia="SimSun" w:hAnsi="Times New Roman"/>
          <w:b/>
          <w:bCs/>
          <w:i/>
          <w:sz w:val="24"/>
          <w:szCs w:val="24"/>
        </w:rPr>
        <w:t>Ензимен дефицит/ натрупване</w:t>
      </w:r>
    </w:p>
    <w:p w14:paraId="5807AA6D" w14:textId="77777777" w:rsidR="00BE0B19" w:rsidRPr="00AE47C6" w:rsidRDefault="00BE0B19" w:rsidP="00BE0B19">
      <w:pPr>
        <w:numPr>
          <w:ilvl w:val="1"/>
          <w:numId w:val="362"/>
        </w:numPr>
        <w:spacing w:after="0" w:line="360" w:lineRule="auto"/>
        <w:rPr>
          <w:rFonts w:ascii="Times New Roman" w:eastAsia="SimSun" w:hAnsi="Times New Roman"/>
          <w:sz w:val="24"/>
          <w:szCs w:val="24"/>
        </w:rPr>
      </w:pPr>
      <w:r w:rsidRPr="00AE47C6">
        <w:rPr>
          <w:rFonts w:ascii="Times New Roman" w:eastAsia="SimSun" w:hAnsi="Times New Roman"/>
          <w:b/>
          <w:bCs/>
          <w:i/>
          <w:sz w:val="24"/>
          <w:szCs w:val="24"/>
        </w:rPr>
        <w:t>Хистопатология</w:t>
      </w:r>
      <w:r w:rsidRPr="00AE47C6">
        <w:rPr>
          <w:rFonts w:ascii="Times New Roman" w:eastAsia="SimSun" w:hAnsi="Times New Roman"/>
          <w:bCs/>
          <w:i/>
          <w:sz w:val="24"/>
          <w:szCs w:val="24"/>
        </w:rPr>
        <w:t xml:space="preserve"> </w:t>
      </w:r>
      <w:r w:rsidRPr="00AE47C6">
        <w:rPr>
          <w:rFonts w:ascii="Times New Roman" w:eastAsia="SimSun" w:hAnsi="Times New Roman"/>
          <w:sz w:val="24"/>
          <w:szCs w:val="24"/>
        </w:rPr>
        <w:t>(</w:t>
      </w:r>
      <w:r w:rsidRPr="00AE47C6">
        <w:rPr>
          <w:rFonts w:ascii="Times New Roman" w:eastAsia="SimSun" w:hAnsi="Times New Roman"/>
          <w:bCs/>
          <w:sz w:val="24"/>
          <w:szCs w:val="24"/>
        </w:rPr>
        <w:t>хипомиелинизация, демиелинизация, миелинови вакуоли, глиоза, кистична дегенерация,</w:t>
      </w:r>
      <w:r w:rsidRPr="00AE47C6">
        <w:rPr>
          <w:rFonts w:ascii="Times New Roman" w:eastAsia="SimSun" w:hAnsi="Times New Roman"/>
          <w:sz w:val="24"/>
          <w:szCs w:val="24"/>
        </w:rPr>
        <w:t xml:space="preserve"> л</w:t>
      </w:r>
      <w:r w:rsidRPr="00AE47C6">
        <w:rPr>
          <w:rFonts w:ascii="Times New Roman" w:eastAsia="SimSun" w:hAnsi="Times New Roman"/>
          <w:bCs/>
          <w:sz w:val="24"/>
          <w:szCs w:val="24"/>
        </w:rPr>
        <w:t>евкоаксонопатии, микроглиопатии, левковаскулопатии)</w:t>
      </w:r>
    </w:p>
    <w:p w14:paraId="3921F94E" w14:textId="77777777" w:rsidR="00BE0B19" w:rsidRPr="00AE47C6" w:rsidRDefault="00BE0B19" w:rsidP="00BE0B19">
      <w:pPr>
        <w:numPr>
          <w:ilvl w:val="1"/>
          <w:numId w:val="362"/>
        </w:numPr>
        <w:spacing w:after="0" w:line="360" w:lineRule="auto"/>
        <w:rPr>
          <w:rFonts w:ascii="Times New Roman" w:eastAsia="SimSun" w:hAnsi="Times New Roman"/>
          <w:sz w:val="24"/>
          <w:szCs w:val="24"/>
        </w:rPr>
      </w:pPr>
      <w:r w:rsidRPr="00AE47C6">
        <w:rPr>
          <w:rFonts w:ascii="Times New Roman" w:eastAsia="SimSun" w:hAnsi="Times New Roman"/>
          <w:b/>
          <w:bCs/>
          <w:i/>
          <w:sz w:val="24"/>
          <w:szCs w:val="24"/>
        </w:rPr>
        <w:t>Магнитно-резонансната спектроскопия (MРС</w:t>
      </w:r>
      <w:r w:rsidRPr="00AE47C6">
        <w:rPr>
          <w:rFonts w:ascii="Times New Roman" w:eastAsia="SimSun" w:hAnsi="Times New Roman"/>
          <w:bCs/>
          <w:sz w:val="24"/>
          <w:szCs w:val="24"/>
        </w:rPr>
        <w:t xml:space="preserve">) за </w:t>
      </w:r>
      <w:r w:rsidRPr="00AE47C6">
        <w:rPr>
          <w:rFonts w:ascii="Times New Roman" w:eastAsia="SimSun" w:hAnsi="Times New Roman"/>
          <w:sz w:val="24"/>
          <w:szCs w:val="24"/>
        </w:rPr>
        <w:t xml:space="preserve">разкриване </w:t>
      </w:r>
      <w:r w:rsidRPr="00AE47C6">
        <w:rPr>
          <w:rFonts w:ascii="Times New Roman" w:eastAsia="SimSun" w:hAnsi="Times New Roman"/>
          <w:bCs/>
          <w:sz w:val="24"/>
          <w:szCs w:val="24"/>
        </w:rPr>
        <w:t>метаболитни аномалии и проследяване на прогресията чрез данни за:</w:t>
      </w:r>
    </w:p>
    <w:p w14:paraId="6765F9C7" w14:textId="77777777" w:rsidR="00BE0B19" w:rsidRPr="00AE47C6" w:rsidRDefault="00BE0B19" w:rsidP="00BE0B19">
      <w:pPr>
        <w:numPr>
          <w:ilvl w:val="2"/>
          <w:numId w:val="362"/>
        </w:numPr>
        <w:spacing w:after="0" w:line="360" w:lineRule="auto"/>
        <w:rPr>
          <w:rFonts w:ascii="Times New Roman" w:eastAsia="SimSun" w:hAnsi="Times New Roman"/>
          <w:sz w:val="24"/>
          <w:szCs w:val="24"/>
        </w:rPr>
      </w:pPr>
      <w:r w:rsidRPr="00AE47C6">
        <w:rPr>
          <w:rFonts w:ascii="Times New Roman" w:eastAsia="SimSun" w:hAnsi="Times New Roman"/>
          <w:bCs/>
          <w:sz w:val="24"/>
          <w:szCs w:val="24"/>
        </w:rPr>
        <w:t xml:space="preserve">Активна демиелинизация: </w:t>
      </w:r>
    </w:p>
    <w:p w14:paraId="4E2C3C55" w14:textId="77777777" w:rsidR="00BE0B19" w:rsidRPr="00AE47C6" w:rsidRDefault="00BE0B19" w:rsidP="00BE0B19">
      <w:pPr>
        <w:numPr>
          <w:ilvl w:val="3"/>
          <w:numId w:val="362"/>
        </w:numPr>
        <w:spacing w:after="0" w:line="360" w:lineRule="auto"/>
        <w:rPr>
          <w:rFonts w:ascii="Times New Roman" w:eastAsia="SimSun" w:hAnsi="Times New Roman"/>
          <w:sz w:val="24"/>
          <w:szCs w:val="24"/>
        </w:rPr>
      </w:pPr>
      <w:r w:rsidRPr="00AE47C6">
        <w:rPr>
          <w:rFonts w:ascii="Times New Roman" w:eastAsia="SimSun" w:hAnsi="Times New Roman"/>
          <w:bCs/>
          <w:sz w:val="24"/>
          <w:szCs w:val="24"/>
        </w:rPr>
        <w:t>↑ Холин</w:t>
      </w:r>
    </w:p>
    <w:p w14:paraId="12135815" w14:textId="77777777" w:rsidR="00BE0B19" w:rsidRPr="00AE47C6" w:rsidRDefault="00BE0B19" w:rsidP="00BE0B19">
      <w:pPr>
        <w:numPr>
          <w:ilvl w:val="3"/>
          <w:numId w:val="362"/>
        </w:numPr>
        <w:spacing w:after="0" w:line="360" w:lineRule="auto"/>
        <w:rPr>
          <w:rFonts w:ascii="Times New Roman" w:eastAsia="SimSun" w:hAnsi="Times New Roman"/>
          <w:sz w:val="24"/>
          <w:szCs w:val="24"/>
        </w:rPr>
      </w:pPr>
      <w:r w:rsidRPr="00AE47C6">
        <w:rPr>
          <w:rFonts w:ascii="Times New Roman" w:eastAsia="SimSun" w:hAnsi="Times New Roman"/>
          <w:bCs/>
          <w:sz w:val="24"/>
          <w:szCs w:val="24"/>
        </w:rPr>
        <w:t>↑ Мастни киселини</w:t>
      </w:r>
    </w:p>
    <w:p w14:paraId="0B26D0E2" w14:textId="77777777" w:rsidR="00BE0B19" w:rsidRPr="00AE47C6" w:rsidRDefault="00BE0B19" w:rsidP="00BE0B19">
      <w:pPr>
        <w:numPr>
          <w:ilvl w:val="3"/>
          <w:numId w:val="362"/>
        </w:numPr>
        <w:spacing w:after="0" w:line="360" w:lineRule="auto"/>
        <w:rPr>
          <w:rFonts w:ascii="Times New Roman" w:eastAsia="SimSun" w:hAnsi="Times New Roman"/>
          <w:sz w:val="24"/>
          <w:szCs w:val="24"/>
        </w:rPr>
      </w:pPr>
      <w:r w:rsidRPr="00AE47C6">
        <w:rPr>
          <w:rFonts w:ascii="Times New Roman" w:eastAsia="SimSun" w:hAnsi="Times New Roman"/>
          <w:bCs/>
          <w:sz w:val="24"/>
          <w:szCs w:val="24"/>
        </w:rPr>
        <w:t>↑ Лактат</w:t>
      </w:r>
    </w:p>
    <w:p w14:paraId="6B282ADE" w14:textId="77777777" w:rsidR="00BE0B19" w:rsidRPr="00AE47C6" w:rsidRDefault="00BE0B19" w:rsidP="00BE0B19">
      <w:pPr>
        <w:numPr>
          <w:ilvl w:val="2"/>
          <w:numId w:val="362"/>
        </w:numPr>
        <w:spacing w:after="0" w:line="360" w:lineRule="auto"/>
        <w:rPr>
          <w:rFonts w:ascii="Times New Roman" w:eastAsia="SimSun" w:hAnsi="Times New Roman"/>
          <w:sz w:val="24"/>
          <w:szCs w:val="24"/>
        </w:rPr>
      </w:pPr>
      <w:r w:rsidRPr="00AE47C6">
        <w:rPr>
          <w:rFonts w:ascii="Times New Roman" w:eastAsia="SimSun" w:hAnsi="Times New Roman"/>
          <w:bCs/>
          <w:sz w:val="24"/>
          <w:szCs w:val="24"/>
        </w:rPr>
        <w:t>Хипомиелинизация: ↓ холин</w:t>
      </w:r>
    </w:p>
    <w:p w14:paraId="7F016C66" w14:textId="77777777" w:rsidR="00BE0B19" w:rsidRPr="00AE47C6" w:rsidRDefault="00BE0B19" w:rsidP="00BE0B19">
      <w:pPr>
        <w:numPr>
          <w:ilvl w:val="2"/>
          <w:numId w:val="362"/>
        </w:numPr>
        <w:spacing w:after="0" w:line="360" w:lineRule="auto"/>
        <w:rPr>
          <w:rFonts w:ascii="Times New Roman" w:eastAsia="SimSun" w:hAnsi="Times New Roman"/>
          <w:sz w:val="24"/>
          <w:szCs w:val="24"/>
        </w:rPr>
      </w:pPr>
      <w:r w:rsidRPr="00AE47C6">
        <w:rPr>
          <w:rFonts w:ascii="Times New Roman" w:eastAsia="SimSun" w:hAnsi="Times New Roman"/>
          <w:bCs/>
          <w:sz w:val="24"/>
          <w:szCs w:val="24"/>
        </w:rPr>
        <w:t>Невронална и аксонна дисфункция: ↓ N-acetyl aspartat</w:t>
      </w:r>
    </w:p>
    <w:p w14:paraId="74A878AB" w14:textId="77777777" w:rsidR="00BE0B19" w:rsidRPr="00AE47C6" w:rsidRDefault="00BE0B19" w:rsidP="00BE0B19">
      <w:pPr>
        <w:numPr>
          <w:ilvl w:val="2"/>
          <w:numId w:val="362"/>
        </w:numPr>
        <w:spacing w:after="0" w:line="360" w:lineRule="auto"/>
        <w:rPr>
          <w:rFonts w:ascii="Times New Roman" w:eastAsia="SimSun" w:hAnsi="Times New Roman"/>
          <w:sz w:val="24"/>
          <w:szCs w:val="24"/>
        </w:rPr>
      </w:pPr>
      <w:r w:rsidRPr="00AE47C6">
        <w:rPr>
          <w:rFonts w:ascii="Times New Roman" w:eastAsia="SimSun" w:hAnsi="Times New Roman"/>
          <w:bCs/>
          <w:sz w:val="24"/>
          <w:szCs w:val="24"/>
        </w:rPr>
        <w:t>Глиоза:  ↑ myoinositol, creatine, choline</w:t>
      </w:r>
    </w:p>
    <w:p w14:paraId="7E2A1C72" w14:textId="77777777" w:rsidR="00BE0B19" w:rsidRPr="00AE47C6" w:rsidRDefault="00BE0B19" w:rsidP="00BE0B19">
      <w:pPr>
        <w:spacing w:after="0" w:line="360" w:lineRule="auto"/>
        <w:ind w:firstLine="709"/>
        <w:jc w:val="both"/>
        <w:rPr>
          <w:rFonts w:ascii="Times New Roman" w:eastAsia="SimSun" w:hAnsi="Times New Roman"/>
          <w:b/>
          <w:i/>
          <w:iCs/>
          <w:sz w:val="24"/>
          <w:szCs w:val="24"/>
        </w:rPr>
      </w:pPr>
    </w:p>
    <w:p w14:paraId="30924A02"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Cs/>
          <w:sz w:val="24"/>
          <w:szCs w:val="24"/>
        </w:rPr>
        <w:t xml:space="preserve">Основното изследване за диагностицирането на левкодистрофиите и левкоенцефалопатиите е </w:t>
      </w:r>
      <w:r w:rsidRPr="00AE47C6">
        <w:rPr>
          <w:rFonts w:ascii="Times New Roman" w:eastAsia="SimSun" w:hAnsi="Times New Roman"/>
          <w:b/>
          <w:bCs/>
          <w:i/>
          <w:sz w:val="24"/>
          <w:szCs w:val="24"/>
        </w:rPr>
        <w:t>магнитнорезонансната томография (МРТ) на главния мозък</w:t>
      </w:r>
      <w:r w:rsidRPr="00AE47C6">
        <w:rPr>
          <w:rFonts w:ascii="Times New Roman" w:eastAsia="SimSun" w:hAnsi="Times New Roman"/>
          <w:bCs/>
          <w:sz w:val="24"/>
          <w:szCs w:val="24"/>
        </w:rPr>
        <w:t>. Визуализират се обширни лезии в бялото вещество, хипомиелинизация в Т2 измерването, а в някои случаи и кисти или калцификати, на базата на което левкодистрофиите и левкоенцефалопатиите могат да се разделят на 4 основни групи:</w:t>
      </w:r>
    </w:p>
    <w:p w14:paraId="772E0DA8"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lang w:eastAsia="bg-BG"/>
        </w:rPr>
      </w:pPr>
      <w:r w:rsidRPr="00AE47C6">
        <w:rPr>
          <w:rFonts w:ascii="Times New Roman" w:eastAsia="SimSun" w:hAnsi="Times New Roman"/>
          <w:bCs/>
          <w:sz w:val="24"/>
          <w:szCs w:val="24"/>
          <w:lang w:eastAsia="bg-BG"/>
        </w:rPr>
        <w:t xml:space="preserve">1. </w:t>
      </w:r>
      <w:r w:rsidRPr="00AE47C6">
        <w:rPr>
          <w:rFonts w:ascii="Times New Roman" w:eastAsia="SimSun" w:hAnsi="Times New Roman"/>
          <w:bCs/>
          <w:i/>
          <w:sz w:val="24"/>
          <w:szCs w:val="24"/>
          <w:lang w:eastAsia="bg-BG"/>
        </w:rPr>
        <w:t>Заболявания с обширни МРТ лезии:</w:t>
      </w:r>
      <w:r w:rsidRPr="00AE47C6">
        <w:rPr>
          <w:rFonts w:ascii="Times New Roman" w:eastAsia="SimSun" w:hAnsi="Times New Roman"/>
          <w:i/>
          <w:sz w:val="24"/>
          <w:szCs w:val="24"/>
          <w:lang w:eastAsia="bg-BG"/>
        </w:rPr>
        <w:t xml:space="preserve"> Болест</w:t>
      </w:r>
      <w:r w:rsidRPr="00AE47C6">
        <w:rPr>
          <w:rFonts w:ascii="Times New Roman" w:eastAsia="SimSun" w:hAnsi="Times New Roman"/>
          <w:sz w:val="24"/>
          <w:szCs w:val="24"/>
          <w:lang w:eastAsia="bg-BG"/>
        </w:rPr>
        <w:t xml:space="preserve"> на Alexander; Болест на Canavan; Глобоидоклетъчна левкодистрофия (тип Krabbe); X-свързана адренолевкодистрофия; Метахроматична левкодистрофия; Метахроматична левкодистрофия с множествен сулфатазен дефицит; Митохондриални болести.</w:t>
      </w:r>
    </w:p>
    <w:p w14:paraId="3CCEEB8E"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lang w:eastAsia="bg-BG"/>
        </w:rPr>
      </w:pPr>
      <w:r w:rsidRPr="00AE47C6">
        <w:rPr>
          <w:rFonts w:ascii="Times New Roman" w:eastAsia="SimSun" w:hAnsi="Times New Roman"/>
          <w:bCs/>
          <w:i/>
          <w:sz w:val="24"/>
          <w:szCs w:val="24"/>
          <w:lang w:eastAsia="bg-BG"/>
        </w:rPr>
        <w:t xml:space="preserve">2. Заболявания с МРТ лезии с кисти: </w:t>
      </w:r>
      <w:r w:rsidRPr="00AE47C6">
        <w:rPr>
          <w:rFonts w:ascii="Times New Roman" w:eastAsia="SimSun" w:hAnsi="Times New Roman"/>
          <w:sz w:val="24"/>
          <w:szCs w:val="24"/>
          <w:lang w:eastAsia="bg-BG"/>
        </w:rPr>
        <w:t xml:space="preserve">Мегаленцефална кистична левкоенцефалопатия; Кистична левкоенцефалопатия без мегаенцефалия; Левкоенцефалопатия с калцификати и кисти; Глицинова левкоенцефалопатия. </w:t>
      </w:r>
    </w:p>
    <w:p w14:paraId="692F746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lang w:eastAsia="bg-BG"/>
        </w:rPr>
      </w:pPr>
      <w:r w:rsidRPr="00AE47C6">
        <w:rPr>
          <w:rFonts w:ascii="Times New Roman" w:eastAsia="SimSun" w:hAnsi="Times New Roman"/>
          <w:bCs/>
          <w:sz w:val="24"/>
          <w:szCs w:val="24"/>
          <w:lang w:eastAsia="bg-BG"/>
        </w:rPr>
        <w:t>3</w:t>
      </w:r>
      <w:r w:rsidRPr="00AE47C6">
        <w:rPr>
          <w:rFonts w:ascii="Times New Roman" w:eastAsia="SimSun" w:hAnsi="Times New Roman"/>
          <w:bCs/>
          <w:i/>
          <w:sz w:val="24"/>
          <w:szCs w:val="24"/>
          <w:lang w:eastAsia="bg-BG"/>
        </w:rPr>
        <w:t>. Заболявания с хипомиелинизация</w:t>
      </w:r>
      <w:r w:rsidRPr="00AE47C6">
        <w:rPr>
          <w:rFonts w:ascii="Times New Roman" w:eastAsia="SimSun" w:hAnsi="Times New Roman"/>
          <w:bCs/>
          <w:sz w:val="24"/>
          <w:szCs w:val="24"/>
          <w:lang w:eastAsia="bg-BG"/>
        </w:rPr>
        <w:t xml:space="preserve">: </w:t>
      </w:r>
      <w:r w:rsidRPr="00AE47C6">
        <w:rPr>
          <w:rFonts w:ascii="Times New Roman" w:eastAsia="SimSun" w:hAnsi="Times New Roman"/>
          <w:sz w:val="24"/>
          <w:szCs w:val="24"/>
          <w:lang w:eastAsia="bg-BG"/>
        </w:rPr>
        <w:t xml:space="preserve">Болест на Pelizeaus–Merzbacher и Pelizeaus–Merzbacher-подобни заболявания; </w:t>
      </w:r>
      <w:r w:rsidRPr="00AE47C6">
        <w:rPr>
          <w:rFonts w:ascii="Times New Roman" w:eastAsia="SimSun" w:hAnsi="Times New Roman"/>
          <w:bCs/>
          <w:sz w:val="24"/>
          <w:szCs w:val="24"/>
        </w:rPr>
        <w:t>Хипомиелинизация и атрофия на базалните ганглии и малкия мозък (H-ABC); Хипомиелинизация и конгенитална катаракта</w:t>
      </w:r>
      <w:r w:rsidRPr="00AE47C6">
        <w:rPr>
          <w:rFonts w:ascii="Times New Roman" w:eastAsia="SimSun" w:hAnsi="Times New Roman"/>
          <w:sz w:val="24"/>
          <w:szCs w:val="24"/>
          <w:lang w:eastAsia="bg-BG"/>
        </w:rPr>
        <w:t xml:space="preserve">; Тремор-атаксия и централна хипомиелинизация; </w:t>
      </w:r>
      <w:r w:rsidRPr="00AE47C6">
        <w:rPr>
          <w:rFonts w:ascii="Times New Roman" w:eastAsia="SimSun" w:hAnsi="Times New Roman"/>
          <w:bCs/>
          <w:sz w:val="24"/>
          <w:szCs w:val="24"/>
        </w:rPr>
        <w:t>Хипомиелинизация</w:t>
      </w:r>
      <w:r w:rsidRPr="00AE47C6">
        <w:rPr>
          <w:rFonts w:ascii="Times New Roman" w:eastAsia="SimSun" w:hAnsi="Times New Roman"/>
          <w:sz w:val="24"/>
          <w:szCs w:val="24"/>
          <w:lang w:eastAsia="bg-BG"/>
        </w:rPr>
        <w:t xml:space="preserve">, хиподонтия, хипогонадотропен хипогонадизъм; </w:t>
      </w:r>
      <w:r w:rsidRPr="00AE47C6">
        <w:rPr>
          <w:rFonts w:ascii="Times New Roman" w:eastAsia="SimSun" w:hAnsi="Times New Roman"/>
          <w:bCs/>
          <w:sz w:val="24"/>
          <w:szCs w:val="24"/>
        </w:rPr>
        <w:t xml:space="preserve">Хипомиелинизация с </w:t>
      </w:r>
      <w:r w:rsidRPr="00AE47C6">
        <w:rPr>
          <w:rFonts w:ascii="Times New Roman" w:eastAsia="SimSun" w:hAnsi="Times New Roman"/>
          <w:sz w:val="24"/>
          <w:szCs w:val="24"/>
          <w:lang w:eastAsia="bg-BG"/>
        </w:rPr>
        <w:t>монокарбоксилат транспортер 8-дефицит; Фукозидоза; Фолат-рецепторен дефицит; Сиалидоза.</w:t>
      </w:r>
    </w:p>
    <w:p w14:paraId="5C92BBF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lang w:eastAsia="bg-BG"/>
        </w:rPr>
      </w:pPr>
      <w:r w:rsidRPr="00AE47C6">
        <w:rPr>
          <w:rFonts w:ascii="Times New Roman" w:eastAsia="SimSun" w:hAnsi="Times New Roman"/>
          <w:bCs/>
          <w:sz w:val="24"/>
          <w:szCs w:val="24"/>
          <w:lang w:eastAsia="bg-BG"/>
        </w:rPr>
        <w:t>4</w:t>
      </w:r>
      <w:r w:rsidRPr="00AE47C6">
        <w:rPr>
          <w:rFonts w:ascii="Times New Roman" w:eastAsia="SimSun" w:hAnsi="Times New Roman"/>
          <w:bCs/>
          <w:i/>
          <w:sz w:val="24"/>
          <w:szCs w:val="24"/>
          <w:lang w:eastAsia="bg-BG"/>
        </w:rPr>
        <w:t xml:space="preserve">. Заболявания с калцификати: </w:t>
      </w:r>
      <w:r w:rsidRPr="00AE47C6">
        <w:rPr>
          <w:rFonts w:ascii="Times New Roman" w:eastAsia="SimSun" w:hAnsi="Times New Roman"/>
          <w:sz w:val="24"/>
          <w:szCs w:val="24"/>
          <w:lang w:eastAsia="bg-BG"/>
        </w:rPr>
        <w:t>Синдром на Aicardi–Goutières; Левкоенцефалопатия с калцификати и кисти.</w:t>
      </w:r>
    </w:p>
    <w:p w14:paraId="746167A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Cs/>
          <w:sz w:val="24"/>
          <w:szCs w:val="24"/>
        </w:rPr>
        <w:t>Левкодистрофиите и левкоенцефалопатиите започват в ранната детска, детската, юношеската и младата възраст и според възрастта на началото на заболяването са описани ранни и късни инфантилни, детски, юношески и късни форми. За всеки период са установени преобладаващите форми на заболяванията (</w:t>
      </w:r>
      <w:r w:rsidRPr="00AE47C6">
        <w:rPr>
          <w:rFonts w:ascii="Times New Roman" w:eastAsia="SimSun" w:hAnsi="Times New Roman"/>
          <w:sz w:val="24"/>
          <w:szCs w:val="24"/>
        </w:rPr>
        <w:t>Табл. 5.14.).</w:t>
      </w:r>
    </w:p>
    <w:p w14:paraId="57D214E2"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sz w:val="24"/>
          <w:szCs w:val="24"/>
        </w:rPr>
        <w:t xml:space="preserve">Табл.5.14. </w:t>
      </w:r>
      <w:r w:rsidRPr="00AE47C6">
        <w:rPr>
          <w:rFonts w:ascii="Times New Roman" w:eastAsia="SimSun" w:hAnsi="Times New Roman"/>
          <w:sz w:val="24"/>
          <w:szCs w:val="24"/>
        </w:rPr>
        <w:t>Характерни форми на левкодистрофиите и левкоенцефалопатиите според възрастта на изява на симптомите</w:t>
      </w:r>
      <w:r w:rsidRPr="00AE47C6">
        <w:rPr>
          <w:rFonts w:ascii="Times New Roman" w:eastAsia="SimSun" w:hAnsi="Times New Roman"/>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6022"/>
      </w:tblGrid>
      <w:tr w:rsidR="00BE0B19" w:rsidRPr="00AE47C6" w14:paraId="24A8B51B" w14:textId="77777777" w:rsidTr="00AD72E5">
        <w:tc>
          <w:tcPr>
            <w:tcW w:w="3085" w:type="dxa"/>
          </w:tcPr>
          <w:p w14:paraId="31780A54"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Възраст при началото на симптомите</w:t>
            </w:r>
          </w:p>
        </w:tc>
        <w:tc>
          <w:tcPr>
            <w:tcW w:w="6127" w:type="dxa"/>
          </w:tcPr>
          <w:p w14:paraId="65310564"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Левкодистрофии и левкоенцефалопатии (според вероятната честота)</w:t>
            </w:r>
          </w:p>
        </w:tc>
      </w:tr>
      <w:tr w:rsidR="00BE0B19" w:rsidRPr="00AE47C6" w14:paraId="73531C4B" w14:textId="77777777" w:rsidTr="00AD72E5">
        <w:tc>
          <w:tcPr>
            <w:tcW w:w="3085" w:type="dxa"/>
          </w:tcPr>
          <w:p w14:paraId="7738963C"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Кърмаческа възраст (до 1 г.)</w:t>
            </w:r>
          </w:p>
        </w:tc>
        <w:tc>
          <w:tcPr>
            <w:tcW w:w="6127" w:type="dxa"/>
          </w:tcPr>
          <w:p w14:paraId="50E87C4C" w14:textId="77777777" w:rsidR="00BE0B19" w:rsidRPr="00AE47C6" w:rsidRDefault="00BE0B19" w:rsidP="00BE0B19">
            <w:pPr>
              <w:numPr>
                <w:ilvl w:val="0"/>
                <w:numId w:val="69"/>
              </w:numPr>
              <w:tabs>
                <w:tab w:val="clear" w:pos="720"/>
                <w:tab w:val="num" w:pos="252"/>
              </w:tabs>
              <w:spacing w:after="0" w:line="360" w:lineRule="auto"/>
              <w:ind w:left="0" w:firstLine="34"/>
              <w:jc w:val="both"/>
              <w:rPr>
                <w:rFonts w:ascii="Times New Roman" w:eastAsia="SimSun" w:hAnsi="Times New Roman"/>
                <w:bCs/>
                <w:sz w:val="24"/>
                <w:szCs w:val="24"/>
              </w:rPr>
            </w:pPr>
            <w:r w:rsidRPr="00AE47C6">
              <w:rPr>
                <w:rFonts w:ascii="Times New Roman" w:eastAsia="SimSun" w:hAnsi="Times New Roman"/>
                <w:bCs/>
                <w:sz w:val="24"/>
                <w:szCs w:val="24"/>
              </w:rPr>
              <w:t>Глобоидоклетъчна левкодистрофия (болест на Krabbe)</w:t>
            </w:r>
          </w:p>
          <w:p w14:paraId="01F55D3C" w14:textId="77777777" w:rsidR="00BE0B19" w:rsidRPr="00AE47C6" w:rsidRDefault="00BE0B19" w:rsidP="00BE0B19">
            <w:pPr>
              <w:numPr>
                <w:ilvl w:val="0"/>
                <w:numId w:val="69"/>
              </w:numPr>
              <w:tabs>
                <w:tab w:val="clear" w:pos="720"/>
                <w:tab w:val="num" w:pos="252"/>
              </w:tabs>
              <w:spacing w:after="0" w:line="360" w:lineRule="auto"/>
              <w:ind w:left="0" w:firstLine="34"/>
              <w:jc w:val="both"/>
              <w:rPr>
                <w:rFonts w:ascii="Times New Roman" w:eastAsia="SimSun" w:hAnsi="Times New Roman"/>
                <w:bCs/>
                <w:sz w:val="24"/>
                <w:szCs w:val="24"/>
              </w:rPr>
            </w:pPr>
            <w:r w:rsidRPr="00AE47C6">
              <w:rPr>
                <w:rFonts w:ascii="Times New Roman" w:eastAsia="SimSun" w:hAnsi="Times New Roman"/>
                <w:bCs/>
                <w:sz w:val="24"/>
                <w:szCs w:val="24"/>
              </w:rPr>
              <w:t>Болест на Canavan</w:t>
            </w:r>
          </w:p>
          <w:p w14:paraId="3D06704F" w14:textId="77777777" w:rsidR="00BE0B19" w:rsidRPr="00AE47C6" w:rsidRDefault="00BE0B19" w:rsidP="00BE0B19">
            <w:pPr>
              <w:numPr>
                <w:ilvl w:val="0"/>
                <w:numId w:val="69"/>
              </w:numPr>
              <w:tabs>
                <w:tab w:val="clear" w:pos="720"/>
                <w:tab w:val="num" w:pos="252"/>
              </w:tabs>
              <w:spacing w:after="0" w:line="360" w:lineRule="auto"/>
              <w:ind w:left="0" w:firstLine="34"/>
              <w:jc w:val="both"/>
              <w:rPr>
                <w:rFonts w:ascii="Times New Roman" w:eastAsia="SimSun" w:hAnsi="Times New Roman"/>
                <w:bCs/>
                <w:sz w:val="24"/>
                <w:szCs w:val="24"/>
              </w:rPr>
            </w:pPr>
            <w:r w:rsidRPr="00AE47C6">
              <w:rPr>
                <w:rFonts w:ascii="Times New Roman" w:eastAsia="SimSun" w:hAnsi="Times New Roman"/>
                <w:bCs/>
                <w:sz w:val="24"/>
                <w:szCs w:val="24"/>
              </w:rPr>
              <w:t>Левкоенцефалопатия с изчезващо бяло вещество (Vanishing white matter disease)</w:t>
            </w:r>
          </w:p>
          <w:p w14:paraId="3B0F524E" w14:textId="77777777" w:rsidR="00BE0B19" w:rsidRPr="00AE47C6" w:rsidRDefault="00BE0B19" w:rsidP="00BE0B19">
            <w:pPr>
              <w:numPr>
                <w:ilvl w:val="0"/>
                <w:numId w:val="69"/>
              </w:numPr>
              <w:tabs>
                <w:tab w:val="clear" w:pos="720"/>
                <w:tab w:val="num" w:pos="252"/>
              </w:tabs>
              <w:spacing w:after="0" w:line="360" w:lineRule="auto"/>
              <w:ind w:left="0" w:firstLine="34"/>
              <w:jc w:val="both"/>
              <w:rPr>
                <w:rFonts w:ascii="Times New Roman" w:eastAsia="SimSun" w:hAnsi="Times New Roman"/>
                <w:bCs/>
                <w:sz w:val="24"/>
                <w:szCs w:val="24"/>
              </w:rPr>
            </w:pPr>
            <w:r w:rsidRPr="00AE47C6">
              <w:rPr>
                <w:rFonts w:ascii="Times New Roman" w:eastAsia="SimSun" w:hAnsi="Times New Roman"/>
                <w:bCs/>
                <w:sz w:val="24"/>
                <w:szCs w:val="24"/>
              </w:rPr>
              <w:t>Мегаленцефална левкоенцефалопатия с кисти</w:t>
            </w:r>
          </w:p>
          <w:p w14:paraId="55D54F61" w14:textId="77777777" w:rsidR="00BE0B19" w:rsidRPr="00AE47C6" w:rsidRDefault="00BE0B19" w:rsidP="00BE0B19">
            <w:pPr>
              <w:numPr>
                <w:ilvl w:val="0"/>
                <w:numId w:val="69"/>
              </w:numPr>
              <w:tabs>
                <w:tab w:val="clear" w:pos="720"/>
                <w:tab w:val="num" w:pos="252"/>
              </w:tabs>
              <w:spacing w:after="0" w:line="360" w:lineRule="auto"/>
              <w:ind w:left="0" w:firstLine="34"/>
              <w:jc w:val="both"/>
              <w:rPr>
                <w:rFonts w:ascii="Times New Roman" w:eastAsia="SimSun" w:hAnsi="Times New Roman"/>
                <w:bCs/>
                <w:sz w:val="24"/>
                <w:szCs w:val="24"/>
              </w:rPr>
            </w:pPr>
            <w:r w:rsidRPr="00AE47C6">
              <w:rPr>
                <w:rFonts w:ascii="Times New Roman" w:eastAsia="SimSun" w:hAnsi="Times New Roman"/>
                <w:bCs/>
                <w:sz w:val="24"/>
                <w:szCs w:val="24"/>
              </w:rPr>
              <w:t>Синдром на Aicardi-Goutieres</w:t>
            </w:r>
          </w:p>
        </w:tc>
      </w:tr>
      <w:tr w:rsidR="00BE0B19" w:rsidRPr="00AE47C6" w14:paraId="3A93953B" w14:textId="77777777" w:rsidTr="00AD72E5">
        <w:tc>
          <w:tcPr>
            <w:tcW w:w="3085" w:type="dxa"/>
          </w:tcPr>
          <w:p w14:paraId="56716434"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Детска възраст - между 1 и 5 г.</w:t>
            </w:r>
          </w:p>
        </w:tc>
        <w:tc>
          <w:tcPr>
            <w:tcW w:w="6127" w:type="dxa"/>
          </w:tcPr>
          <w:p w14:paraId="571DFB93" w14:textId="77777777" w:rsidR="00BE0B19" w:rsidRPr="00AE47C6" w:rsidRDefault="00BE0B19" w:rsidP="00BE0B19">
            <w:pPr>
              <w:numPr>
                <w:ilvl w:val="0"/>
                <w:numId w:val="70"/>
              </w:numPr>
              <w:tabs>
                <w:tab w:val="clear" w:pos="720"/>
                <w:tab w:val="num" w:pos="252"/>
              </w:tabs>
              <w:spacing w:after="0" w:line="360" w:lineRule="auto"/>
              <w:ind w:left="0" w:firstLine="34"/>
              <w:jc w:val="both"/>
              <w:rPr>
                <w:rFonts w:ascii="Times New Roman" w:eastAsia="SimSun" w:hAnsi="Times New Roman"/>
                <w:bCs/>
                <w:sz w:val="24"/>
                <w:szCs w:val="24"/>
              </w:rPr>
            </w:pPr>
            <w:r w:rsidRPr="00AE47C6">
              <w:rPr>
                <w:rFonts w:ascii="Times New Roman" w:eastAsia="SimSun" w:hAnsi="Times New Roman"/>
                <w:bCs/>
                <w:sz w:val="24"/>
                <w:szCs w:val="24"/>
              </w:rPr>
              <w:t>Метахроматична левкодистрофия</w:t>
            </w:r>
          </w:p>
          <w:p w14:paraId="34492AB1" w14:textId="77777777" w:rsidR="00BE0B19" w:rsidRPr="00AE47C6" w:rsidRDefault="00BE0B19" w:rsidP="00BE0B19">
            <w:pPr>
              <w:numPr>
                <w:ilvl w:val="0"/>
                <w:numId w:val="70"/>
              </w:numPr>
              <w:tabs>
                <w:tab w:val="clear" w:pos="720"/>
                <w:tab w:val="num" w:pos="252"/>
              </w:tabs>
              <w:spacing w:after="0" w:line="360" w:lineRule="auto"/>
              <w:ind w:left="0" w:firstLine="34"/>
              <w:jc w:val="both"/>
              <w:rPr>
                <w:rFonts w:ascii="Times New Roman" w:eastAsia="SimSun" w:hAnsi="Times New Roman"/>
                <w:bCs/>
                <w:sz w:val="24"/>
                <w:szCs w:val="24"/>
              </w:rPr>
            </w:pPr>
            <w:r w:rsidRPr="00AE47C6">
              <w:rPr>
                <w:rFonts w:ascii="Times New Roman" w:eastAsia="SimSun" w:hAnsi="Times New Roman"/>
                <w:bCs/>
                <w:sz w:val="24"/>
                <w:szCs w:val="24"/>
              </w:rPr>
              <w:t>Болест на Alexander</w:t>
            </w:r>
          </w:p>
          <w:p w14:paraId="75F79E8A" w14:textId="77777777" w:rsidR="00BE0B19" w:rsidRPr="00AE47C6" w:rsidRDefault="00BE0B19" w:rsidP="00BE0B19">
            <w:pPr>
              <w:numPr>
                <w:ilvl w:val="0"/>
                <w:numId w:val="70"/>
              </w:numPr>
              <w:tabs>
                <w:tab w:val="clear" w:pos="720"/>
                <w:tab w:val="num" w:pos="252"/>
              </w:tabs>
              <w:spacing w:after="0" w:line="360" w:lineRule="auto"/>
              <w:ind w:left="0" w:firstLine="34"/>
              <w:jc w:val="both"/>
              <w:rPr>
                <w:rFonts w:ascii="Times New Roman" w:eastAsia="SimSun" w:hAnsi="Times New Roman"/>
                <w:bCs/>
                <w:sz w:val="24"/>
                <w:szCs w:val="24"/>
              </w:rPr>
            </w:pPr>
            <w:r w:rsidRPr="00AE47C6">
              <w:rPr>
                <w:rFonts w:ascii="Times New Roman" w:eastAsia="SimSun" w:hAnsi="Times New Roman"/>
                <w:bCs/>
                <w:sz w:val="24"/>
                <w:szCs w:val="24"/>
              </w:rPr>
              <w:t>Левкоенцефалопатия с изчезващо бяло вещество (Vanishing white matter disease)</w:t>
            </w:r>
          </w:p>
          <w:p w14:paraId="378A16F5" w14:textId="77777777" w:rsidR="00BE0B19" w:rsidRPr="00AE47C6" w:rsidRDefault="00BE0B19" w:rsidP="00BE0B19">
            <w:pPr>
              <w:numPr>
                <w:ilvl w:val="0"/>
                <w:numId w:val="70"/>
              </w:numPr>
              <w:tabs>
                <w:tab w:val="clear" w:pos="720"/>
                <w:tab w:val="num" w:pos="252"/>
              </w:tabs>
              <w:spacing w:after="0" w:line="360" w:lineRule="auto"/>
              <w:ind w:left="0" w:firstLine="34"/>
              <w:jc w:val="both"/>
              <w:rPr>
                <w:rFonts w:ascii="Times New Roman" w:eastAsia="SimSun" w:hAnsi="Times New Roman"/>
                <w:bCs/>
                <w:sz w:val="24"/>
                <w:szCs w:val="24"/>
              </w:rPr>
            </w:pPr>
            <w:r w:rsidRPr="00AE47C6">
              <w:rPr>
                <w:rFonts w:ascii="Times New Roman" w:eastAsia="SimSun" w:hAnsi="Times New Roman"/>
                <w:bCs/>
                <w:sz w:val="24"/>
                <w:szCs w:val="24"/>
              </w:rPr>
              <w:t>Мегаленцефална левкоенцефалопатия с кисти</w:t>
            </w:r>
          </w:p>
          <w:p w14:paraId="479F948A" w14:textId="77777777" w:rsidR="00BE0B19" w:rsidRPr="00AE47C6" w:rsidRDefault="00BE0B19" w:rsidP="00BE0B19">
            <w:pPr>
              <w:numPr>
                <w:ilvl w:val="0"/>
                <w:numId w:val="70"/>
              </w:numPr>
              <w:tabs>
                <w:tab w:val="clear" w:pos="720"/>
                <w:tab w:val="num" w:pos="252"/>
              </w:tabs>
              <w:spacing w:after="0" w:line="360" w:lineRule="auto"/>
              <w:ind w:left="0" w:firstLine="34"/>
              <w:jc w:val="both"/>
              <w:rPr>
                <w:rFonts w:ascii="Times New Roman" w:eastAsia="SimSun" w:hAnsi="Times New Roman"/>
                <w:bCs/>
                <w:sz w:val="24"/>
                <w:szCs w:val="24"/>
              </w:rPr>
            </w:pPr>
            <w:r w:rsidRPr="00AE47C6">
              <w:rPr>
                <w:rFonts w:ascii="Times New Roman" w:eastAsia="SimSun" w:hAnsi="Times New Roman"/>
                <w:bCs/>
                <w:sz w:val="24"/>
                <w:szCs w:val="24"/>
              </w:rPr>
              <w:t xml:space="preserve">Хипомиелинизация и атрофия на базалните ганглии и малкия мозък </w:t>
            </w:r>
          </w:p>
          <w:p w14:paraId="50123C50" w14:textId="77777777" w:rsidR="00BE0B19" w:rsidRPr="00AE47C6" w:rsidRDefault="00BE0B19" w:rsidP="00BE0B19">
            <w:pPr>
              <w:numPr>
                <w:ilvl w:val="0"/>
                <w:numId w:val="70"/>
              </w:numPr>
              <w:tabs>
                <w:tab w:val="clear" w:pos="720"/>
                <w:tab w:val="num" w:pos="252"/>
              </w:tabs>
              <w:spacing w:after="0" w:line="360" w:lineRule="auto"/>
              <w:ind w:left="0" w:firstLine="34"/>
              <w:jc w:val="both"/>
              <w:rPr>
                <w:rFonts w:ascii="Times New Roman" w:eastAsia="SimSun" w:hAnsi="Times New Roman"/>
                <w:bCs/>
                <w:sz w:val="24"/>
                <w:szCs w:val="24"/>
              </w:rPr>
            </w:pPr>
            <w:r w:rsidRPr="00AE47C6">
              <w:rPr>
                <w:rFonts w:ascii="Times New Roman" w:eastAsia="SimSun" w:hAnsi="Times New Roman"/>
                <w:bCs/>
                <w:sz w:val="24"/>
                <w:szCs w:val="24"/>
              </w:rPr>
              <w:t>Левкоенцефалопатия със стволово и гръбначномозъчно засягане и повишен лактат</w:t>
            </w:r>
          </w:p>
          <w:p w14:paraId="66A09C28" w14:textId="77777777" w:rsidR="00BE0B19" w:rsidRPr="00AE47C6" w:rsidRDefault="00BE0B19" w:rsidP="00BE0B19">
            <w:pPr>
              <w:numPr>
                <w:ilvl w:val="0"/>
                <w:numId w:val="70"/>
              </w:numPr>
              <w:tabs>
                <w:tab w:val="clear" w:pos="720"/>
                <w:tab w:val="num" w:pos="252"/>
              </w:tabs>
              <w:spacing w:after="0" w:line="360" w:lineRule="auto"/>
              <w:ind w:left="0" w:firstLine="34"/>
              <w:jc w:val="both"/>
              <w:rPr>
                <w:rFonts w:ascii="Times New Roman" w:eastAsia="SimSun" w:hAnsi="Times New Roman"/>
                <w:bCs/>
                <w:sz w:val="24"/>
                <w:szCs w:val="24"/>
              </w:rPr>
            </w:pPr>
            <w:r w:rsidRPr="00AE47C6">
              <w:rPr>
                <w:rFonts w:ascii="Times New Roman" w:eastAsia="SimSun" w:hAnsi="Times New Roman"/>
                <w:bCs/>
                <w:sz w:val="24"/>
                <w:szCs w:val="24"/>
              </w:rPr>
              <w:t>Гигантска аксонна невропатия тип І</w:t>
            </w:r>
          </w:p>
        </w:tc>
      </w:tr>
      <w:tr w:rsidR="00BE0B19" w:rsidRPr="00AE47C6" w14:paraId="2C2E24AF" w14:textId="77777777" w:rsidTr="00AD72E5">
        <w:tc>
          <w:tcPr>
            <w:tcW w:w="3085" w:type="dxa"/>
          </w:tcPr>
          <w:p w14:paraId="4AD0C516"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Юношеска възраст</w:t>
            </w:r>
          </w:p>
        </w:tc>
        <w:tc>
          <w:tcPr>
            <w:tcW w:w="6127" w:type="dxa"/>
          </w:tcPr>
          <w:p w14:paraId="4625AFDD" w14:textId="77777777" w:rsidR="00BE0B19" w:rsidRPr="00AE47C6" w:rsidRDefault="00BE0B19" w:rsidP="00BE0B19">
            <w:pPr>
              <w:numPr>
                <w:ilvl w:val="0"/>
                <w:numId w:val="70"/>
              </w:numPr>
              <w:tabs>
                <w:tab w:val="clear" w:pos="720"/>
                <w:tab w:val="num" w:pos="252"/>
              </w:tabs>
              <w:spacing w:after="0" w:line="360" w:lineRule="auto"/>
              <w:ind w:left="0" w:firstLine="34"/>
              <w:jc w:val="both"/>
              <w:rPr>
                <w:rFonts w:ascii="Times New Roman" w:eastAsia="SimSun" w:hAnsi="Times New Roman"/>
                <w:bCs/>
                <w:sz w:val="24"/>
                <w:szCs w:val="24"/>
              </w:rPr>
            </w:pPr>
            <w:r w:rsidRPr="00AE47C6">
              <w:rPr>
                <w:rFonts w:ascii="Times New Roman" w:eastAsia="SimSun" w:hAnsi="Times New Roman"/>
                <w:bCs/>
                <w:sz w:val="24"/>
                <w:szCs w:val="24"/>
              </w:rPr>
              <w:t>X-свързана адренолевкодистрофия</w:t>
            </w:r>
          </w:p>
          <w:p w14:paraId="2ED88714" w14:textId="77777777" w:rsidR="00BE0B19" w:rsidRPr="00AE47C6" w:rsidRDefault="00BE0B19" w:rsidP="00BE0B19">
            <w:pPr>
              <w:numPr>
                <w:ilvl w:val="0"/>
                <w:numId w:val="70"/>
              </w:numPr>
              <w:tabs>
                <w:tab w:val="clear" w:pos="720"/>
                <w:tab w:val="num" w:pos="252"/>
              </w:tabs>
              <w:spacing w:after="0" w:line="360" w:lineRule="auto"/>
              <w:ind w:left="0" w:firstLine="34"/>
              <w:jc w:val="both"/>
              <w:rPr>
                <w:rFonts w:ascii="Times New Roman" w:eastAsia="SimSun" w:hAnsi="Times New Roman"/>
                <w:bCs/>
                <w:sz w:val="24"/>
                <w:szCs w:val="24"/>
              </w:rPr>
            </w:pPr>
            <w:r w:rsidRPr="00AE47C6">
              <w:rPr>
                <w:rFonts w:ascii="Times New Roman" w:eastAsia="SimSun" w:hAnsi="Times New Roman"/>
                <w:bCs/>
                <w:sz w:val="24"/>
                <w:szCs w:val="24"/>
              </w:rPr>
              <w:t>Метахроматична левкодистрофия</w:t>
            </w:r>
          </w:p>
          <w:p w14:paraId="43C2E348" w14:textId="77777777" w:rsidR="00BE0B19" w:rsidRPr="00AE47C6" w:rsidRDefault="00BE0B19" w:rsidP="00BE0B19">
            <w:pPr>
              <w:numPr>
                <w:ilvl w:val="0"/>
                <w:numId w:val="70"/>
              </w:numPr>
              <w:tabs>
                <w:tab w:val="clear" w:pos="720"/>
                <w:tab w:val="num" w:pos="252"/>
              </w:tabs>
              <w:spacing w:after="0" w:line="360" w:lineRule="auto"/>
              <w:ind w:left="0" w:firstLine="34"/>
              <w:jc w:val="both"/>
              <w:rPr>
                <w:rFonts w:ascii="Times New Roman" w:eastAsia="SimSun" w:hAnsi="Times New Roman"/>
                <w:bCs/>
                <w:sz w:val="24"/>
                <w:szCs w:val="24"/>
              </w:rPr>
            </w:pPr>
            <w:r w:rsidRPr="00AE47C6">
              <w:rPr>
                <w:rFonts w:ascii="Times New Roman" w:eastAsia="SimSun" w:hAnsi="Times New Roman"/>
                <w:bCs/>
                <w:sz w:val="24"/>
                <w:szCs w:val="24"/>
              </w:rPr>
              <w:t>Левкоенцефалопатия с изчезващо бяло вещество (Vanishing white matter disease)</w:t>
            </w:r>
          </w:p>
          <w:p w14:paraId="269612E8" w14:textId="77777777" w:rsidR="00BE0B19" w:rsidRPr="00AE47C6" w:rsidRDefault="00BE0B19" w:rsidP="00BE0B19">
            <w:pPr>
              <w:numPr>
                <w:ilvl w:val="0"/>
                <w:numId w:val="70"/>
              </w:numPr>
              <w:tabs>
                <w:tab w:val="clear" w:pos="720"/>
                <w:tab w:val="num" w:pos="252"/>
              </w:tabs>
              <w:spacing w:after="0" w:line="360" w:lineRule="auto"/>
              <w:ind w:left="0" w:firstLine="34"/>
              <w:jc w:val="both"/>
              <w:rPr>
                <w:rFonts w:ascii="Times New Roman" w:eastAsia="SimSun" w:hAnsi="Times New Roman"/>
                <w:bCs/>
                <w:sz w:val="24"/>
                <w:szCs w:val="24"/>
              </w:rPr>
            </w:pPr>
            <w:r w:rsidRPr="00AE47C6">
              <w:rPr>
                <w:rFonts w:ascii="Times New Roman" w:eastAsia="SimSun" w:hAnsi="Times New Roman"/>
                <w:bCs/>
                <w:sz w:val="24"/>
                <w:szCs w:val="24"/>
              </w:rPr>
              <w:t>Мегаленцефална левкоенцефалопатия с кисти</w:t>
            </w:r>
          </w:p>
          <w:p w14:paraId="66600846" w14:textId="77777777" w:rsidR="00BE0B19" w:rsidRPr="00AE47C6" w:rsidRDefault="00BE0B19" w:rsidP="00BE0B19">
            <w:pPr>
              <w:numPr>
                <w:ilvl w:val="0"/>
                <w:numId w:val="70"/>
              </w:numPr>
              <w:tabs>
                <w:tab w:val="clear" w:pos="720"/>
                <w:tab w:val="num" w:pos="252"/>
              </w:tabs>
              <w:spacing w:after="0" w:line="360" w:lineRule="auto"/>
              <w:ind w:left="0" w:firstLine="34"/>
              <w:jc w:val="both"/>
              <w:rPr>
                <w:rFonts w:ascii="Times New Roman" w:eastAsia="SimSun" w:hAnsi="Times New Roman"/>
                <w:bCs/>
                <w:sz w:val="24"/>
                <w:szCs w:val="24"/>
              </w:rPr>
            </w:pPr>
            <w:r w:rsidRPr="00AE47C6">
              <w:rPr>
                <w:rFonts w:ascii="Times New Roman" w:eastAsia="SimSun" w:hAnsi="Times New Roman"/>
                <w:bCs/>
                <w:sz w:val="24"/>
                <w:szCs w:val="24"/>
              </w:rPr>
              <w:t>Болест на Alexander</w:t>
            </w:r>
          </w:p>
          <w:p w14:paraId="0D2A55E7" w14:textId="77777777" w:rsidR="00BE0B19" w:rsidRPr="00AE47C6" w:rsidRDefault="00BE0B19" w:rsidP="00BE0B19">
            <w:pPr>
              <w:numPr>
                <w:ilvl w:val="0"/>
                <w:numId w:val="70"/>
              </w:numPr>
              <w:tabs>
                <w:tab w:val="clear" w:pos="720"/>
                <w:tab w:val="num" w:pos="252"/>
              </w:tabs>
              <w:spacing w:after="0" w:line="360" w:lineRule="auto"/>
              <w:ind w:left="0" w:firstLine="34"/>
              <w:jc w:val="both"/>
              <w:rPr>
                <w:rFonts w:ascii="Times New Roman" w:eastAsia="SimSun" w:hAnsi="Times New Roman"/>
                <w:bCs/>
                <w:sz w:val="24"/>
                <w:szCs w:val="24"/>
              </w:rPr>
            </w:pPr>
            <w:r w:rsidRPr="00AE47C6">
              <w:rPr>
                <w:rFonts w:ascii="Times New Roman" w:eastAsia="SimSun" w:hAnsi="Times New Roman"/>
                <w:bCs/>
                <w:sz w:val="24"/>
                <w:szCs w:val="24"/>
              </w:rPr>
              <w:t>Левкоенцефалопатия със стволово и гръбначномозъчно засягане и повишен лактат</w:t>
            </w:r>
          </w:p>
        </w:tc>
      </w:tr>
      <w:tr w:rsidR="00BE0B19" w:rsidRPr="00AE47C6" w14:paraId="5766C0D8" w14:textId="77777777" w:rsidTr="00AD72E5">
        <w:tc>
          <w:tcPr>
            <w:tcW w:w="3085" w:type="dxa"/>
          </w:tcPr>
          <w:p w14:paraId="0142160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Юношеска и млада възраст</w:t>
            </w:r>
          </w:p>
        </w:tc>
        <w:tc>
          <w:tcPr>
            <w:tcW w:w="6127" w:type="dxa"/>
          </w:tcPr>
          <w:p w14:paraId="5F53FD2F" w14:textId="77777777" w:rsidR="00BE0B19" w:rsidRPr="00AE47C6" w:rsidRDefault="00BE0B19" w:rsidP="00BE0B19">
            <w:pPr>
              <w:numPr>
                <w:ilvl w:val="0"/>
                <w:numId w:val="70"/>
              </w:numPr>
              <w:tabs>
                <w:tab w:val="clear" w:pos="720"/>
                <w:tab w:val="num" w:pos="252"/>
              </w:tabs>
              <w:spacing w:after="0" w:line="360" w:lineRule="auto"/>
              <w:ind w:left="0" w:firstLine="34"/>
              <w:jc w:val="both"/>
              <w:rPr>
                <w:rFonts w:ascii="Times New Roman" w:eastAsia="SimSun" w:hAnsi="Times New Roman"/>
                <w:bCs/>
                <w:sz w:val="24"/>
                <w:szCs w:val="24"/>
              </w:rPr>
            </w:pPr>
            <w:r w:rsidRPr="00AE47C6">
              <w:rPr>
                <w:rFonts w:ascii="Times New Roman" w:eastAsia="SimSun" w:hAnsi="Times New Roman"/>
                <w:bCs/>
                <w:sz w:val="24"/>
                <w:szCs w:val="24"/>
              </w:rPr>
              <w:t>Метахроматична левкодистрофия</w:t>
            </w:r>
          </w:p>
          <w:p w14:paraId="3424CA78" w14:textId="77777777" w:rsidR="00BE0B19" w:rsidRPr="00AE47C6" w:rsidRDefault="00BE0B19" w:rsidP="00BE0B19">
            <w:pPr>
              <w:numPr>
                <w:ilvl w:val="0"/>
                <w:numId w:val="70"/>
              </w:numPr>
              <w:tabs>
                <w:tab w:val="clear" w:pos="720"/>
                <w:tab w:val="num" w:pos="252"/>
              </w:tabs>
              <w:spacing w:after="0" w:line="360" w:lineRule="auto"/>
              <w:ind w:left="0" w:firstLine="34"/>
              <w:jc w:val="both"/>
              <w:rPr>
                <w:rFonts w:ascii="Times New Roman" w:eastAsia="SimSun" w:hAnsi="Times New Roman"/>
                <w:bCs/>
                <w:sz w:val="24"/>
                <w:szCs w:val="24"/>
              </w:rPr>
            </w:pPr>
            <w:r w:rsidRPr="00AE47C6">
              <w:rPr>
                <w:rFonts w:ascii="Times New Roman" w:eastAsia="SimSun" w:hAnsi="Times New Roman"/>
                <w:bCs/>
                <w:sz w:val="24"/>
                <w:szCs w:val="24"/>
              </w:rPr>
              <w:t>Левкоенцефалопатия с изчезващо бяло вещество (Vanishing white matter disease)</w:t>
            </w:r>
          </w:p>
          <w:p w14:paraId="02782D19" w14:textId="77777777" w:rsidR="00BE0B19" w:rsidRPr="00AE47C6" w:rsidRDefault="00BE0B19" w:rsidP="00BE0B19">
            <w:pPr>
              <w:numPr>
                <w:ilvl w:val="0"/>
                <w:numId w:val="70"/>
              </w:numPr>
              <w:tabs>
                <w:tab w:val="clear" w:pos="720"/>
                <w:tab w:val="num" w:pos="252"/>
              </w:tabs>
              <w:spacing w:after="0" w:line="360" w:lineRule="auto"/>
              <w:ind w:left="0" w:firstLine="34"/>
              <w:jc w:val="both"/>
              <w:rPr>
                <w:rFonts w:ascii="Times New Roman" w:eastAsia="SimSun" w:hAnsi="Times New Roman"/>
                <w:bCs/>
                <w:sz w:val="24"/>
                <w:szCs w:val="24"/>
              </w:rPr>
            </w:pPr>
            <w:r w:rsidRPr="00AE47C6">
              <w:rPr>
                <w:rFonts w:ascii="Times New Roman" w:eastAsia="SimSun" w:hAnsi="Times New Roman"/>
                <w:bCs/>
                <w:sz w:val="24"/>
                <w:szCs w:val="24"/>
              </w:rPr>
              <w:t>Левкоенцефалопатия със стволово и гръбначномозъчно засягане и повишен лактат</w:t>
            </w:r>
          </w:p>
        </w:tc>
      </w:tr>
    </w:tbl>
    <w:p w14:paraId="1C00F11F" w14:textId="77777777" w:rsidR="00BE0B19" w:rsidRPr="00AE47C6" w:rsidRDefault="00BE0B19" w:rsidP="00BE0B19">
      <w:pPr>
        <w:tabs>
          <w:tab w:val="num" w:pos="0"/>
        </w:tabs>
        <w:spacing w:after="0" w:line="360" w:lineRule="auto"/>
        <w:contextualSpacing/>
        <w:jc w:val="both"/>
        <w:rPr>
          <w:rFonts w:ascii="Times New Roman" w:eastAsia="SimSun" w:hAnsi="Times New Roman"/>
          <w:b/>
          <w:sz w:val="24"/>
          <w:szCs w:val="24"/>
          <w:u w:val="single"/>
        </w:rPr>
      </w:pPr>
    </w:p>
    <w:p w14:paraId="6B2EE3C9" w14:textId="77777777" w:rsidR="00BE0B19" w:rsidRPr="00AE47C6" w:rsidRDefault="00BE0B19" w:rsidP="00BE0B19">
      <w:pPr>
        <w:tabs>
          <w:tab w:val="num" w:pos="0"/>
        </w:tabs>
        <w:spacing w:after="0" w:line="360" w:lineRule="auto"/>
        <w:ind w:left="-284" w:firstLine="720"/>
        <w:contextualSpacing/>
        <w:jc w:val="both"/>
        <w:rPr>
          <w:rFonts w:ascii="Times New Roman" w:eastAsia="SimSun" w:hAnsi="Times New Roman"/>
          <w:b/>
          <w:sz w:val="24"/>
          <w:szCs w:val="24"/>
        </w:rPr>
      </w:pPr>
      <w:r w:rsidRPr="00AE47C6">
        <w:rPr>
          <w:rFonts w:ascii="Times New Roman" w:eastAsia="SimSun" w:hAnsi="Times New Roman"/>
          <w:b/>
          <w:bCs/>
          <w:sz w:val="24"/>
          <w:szCs w:val="24"/>
        </w:rPr>
        <w:t xml:space="preserve">Левкодистрофиите </w:t>
      </w:r>
      <w:r w:rsidRPr="00AE47C6">
        <w:rPr>
          <w:rFonts w:ascii="Times New Roman" w:eastAsia="SimSun" w:hAnsi="Times New Roman"/>
          <w:sz w:val="24"/>
          <w:szCs w:val="24"/>
        </w:rPr>
        <w:t xml:space="preserve">са дегенеративни заболявания на бялото вещество на ЦНС (олигодендроцити и миелин), в някои случаи съчетани и с периферна демиелинизация. Причиняват се от генетично обусловена </w:t>
      </w:r>
      <w:r w:rsidRPr="00AE47C6">
        <w:rPr>
          <w:rFonts w:ascii="Times New Roman" w:eastAsia="SimSun" w:hAnsi="Times New Roman"/>
          <w:i/>
          <w:iCs/>
          <w:sz w:val="24"/>
          <w:szCs w:val="24"/>
        </w:rPr>
        <w:t>дисмиелинизация</w:t>
      </w:r>
      <w:r w:rsidRPr="00AE47C6">
        <w:rPr>
          <w:rFonts w:ascii="Times New Roman" w:eastAsia="SimSun" w:hAnsi="Times New Roman"/>
          <w:b/>
          <w:bCs/>
          <w:sz w:val="24"/>
          <w:szCs w:val="24"/>
        </w:rPr>
        <w:t>-</w:t>
      </w:r>
      <w:r w:rsidRPr="00AE47C6">
        <w:rPr>
          <w:rFonts w:ascii="Times New Roman" w:eastAsia="SimSun" w:hAnsi="Times New Roman"/>
          <w:i/>
          <w:iCs/>
          <w:sz w:val="24"/>
          <w:szCs w:val="24"/>
        </w:rPr>
        <w:t xml:space="preserve">хипомиелинизация </w:t>
      </w:r>
      <w:r w:rsidRPr="00AE47C6">
        <w:rPr>
          <w:rFonts w:ascii="Times New Roman" w:eastAsia="SimSun" w:hAnsi="Times New Roman"/>
          <w:sz w:val="24"/>
          <w:szCs w:val="24"/>
        </w:rPr>
        <w:t xml:space="preserve">(непълен миелинов синтез) или </w:t>
      </w:r>
      <w:r w:rsidRPr="00AE47C6">
        <w:rPr>
          <w:rFonts w:ascii="Times New Roman" w:eastAsia="SimSun" w:hAnsi="Times New Roman"/>
          <w:i/>
          <w:iCs/>
          <w:sz w:val="24"/>
          <w:szCs w:val="24"/>
        </w:rPr>
        <w:t>деструкция на миелина</w:t>
      </w:r>
      <w:r w:rsidRPr="00AE47C6">
        <w:rPr>
          <w:rFonts w:ascii="Times New Roman" w:eastAsia="SimSun" w:hAnsi="Times New Roman"/>
          <w:sz w:val="24"/>
          <w:szCs w:val="24"/>
        </w:rPr>
        <w:t xml:space="preserve">. Тук се включват болестта на Krabbe, метахроматичната левкодистрофия, Х-свързаната адренолевкодистрофия, болестта на Pelizeaus–Merzbacher, болестта на Alexander и болестта на Canavan. (Табл.5.15) Честотата им общо е около 25/100 000 население. </w:t>
      </w:r>
    </w:p>
    <w:p w14:paraId="00E598B3"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Табл. 5.15. Левкодистрофии - генни дефекти, ензимен дефицит, биохимични маркери, лабораторни изследвания и клинични особености </w:t>
      </w:r>
    </w:p>
    <w:tbl>
      <w:tblPr>
        <w:tblW w:w="8830"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77"/>
        <w:gridCol w:w="1441"/>
        <w:gridCol w:w="2371"/>
        <w:gridCol w:w="2441"/>
      </w:tblGrid>
      <w:tr w:rsidR="00BE0B19" w:rsidRPr="00AE47C6" w14:paraId="50EDF98B" w14:textId="77777777" w:rsidTr="00AD72E5">
        <w:trPr>
          <w:trHeight w:val="737"/>
          <w:tblCellSpacing w:w="0" w:type="dxa"/>
        </w:trPr>
        <w:tc>
          <w:tcPr>
            <w:tcW w:w="2577" w:type="dxa"/>
          </w:tcPr>
          <w:p w14:paraId="031FB61D" w14:textId="77777777" w:rsidR="00BE0B19" w:rsidRPr="00AE47C6" w:rsidRDefault="00BE0B19" w:rsidP="00BE0B19">
            <w:pPr>
              <w:spacing w:after="0" w:line="360" w:lineRule="auto"/>
              <w:ind w:left="180"/>
              <w:jc w:val="both"/>
              <w:rPr>
                <w:rFonts w:ascii="Times New Roman" w:eastAsia="SimSun" w:hAnsi="Times New Roman"/>
                <w:sz w:val="24"/>
                <w:szCs w:val="24"/>
              </w:rPr>
            </w:pPr>
            <w:r w:rsidRPr="00AE47C6">
              <w:rPr>
                <w:rFonts w:ascii="Times New Roman" w:eastAsia="SimSun" w:hAnsi="Times New Roman"/>
                <w:bCs/>
                <w:sz w:val="24"/>
                <w:szCs w:val="24"/>
              </w:rPr>
              <w:t>Болест</w:t>
            </w:r>
          </w:p>
        </w:tc>
        <w:tc>
          <w:tcPr>
            <w:tcW w:w="1441" w:type="dxa"/>
          </w:tcPr>
          <w:p w14:paraId="729A3B05" w14:textId="77777777" w:rsidR="00BE0B19" w:rsidRPr="00AE47C6" w:rsidRDefault="00BE0B19" w:rsidP="00BE0B19">
            <w:pPr>
              <w:spacing w:after="0" w:line="360" w:lineRule="auto"/>
              <w:ind w:left="202" w:right="75"/>
              <w:jc w:val="both"/>
              <w:rPr>
                <w:rFonts w:ascii="Times New Roman" w:eastAsia="SimSun" w:hAnsi="Times New Roman"/>
                <w:sz w:val="24"/>
                <w:szCs w:val="24"/>
              </w:rPr>
            </w:pPr>
            <w:r w:rsidRPr="00AE47C6">
              <w:rPr>
                <w:rFonts w:ascii="Times New Roman" w:eastAsia="SimSun" w:hAnsi="Times New Roman"/>
                <w:bCs/>
                <w:sz w:val="24"/>
                <w:szCs w:val="24"/>
              </w:rPr>
              <w:t>Предаване, ген/локус</w:t>
            </w:r>
          </w:p>
        </w:tc>
        <w:tc>
          <w:tcPr>
            <w:tcW w:w="2371" w:type="dxa"/>
          </w:tcPr>
          <w:p w14:paraId="21D714E8" w14:textId="77777777" w:rsidR="00BE0B19" w:rsidRPr="00AE47C6" w:rsidRDefault="00BE0B19" w:rsidP="00BE0B19">
            <w:pPr>
              <w:spacing w:after="0" w:line="360" w:lineRule="auto"/>
              <w:ind w:left="85" w:right="192"/>
              <w:jc w:val="both"/>
              <w:rPr>
                <w:rFonts w:ascii="Times New Roman" w:eastAsia="SimSun" w:hAnsi="Times New Roman"/>
                <w:sz w:val="24"/>
                <w:szCs w:val="24"/>
              </w:rPr>
            </w:pPr>
            <w:r w:rsidRPr="00AE47C6">
              <w:rPr>
                <w:rFonts w:ascii="Times New Roman" w:eastAsia="SimSun" w:hAnsi="Times New Roman"/>
                <w:bCs/>
                <w:sz w:val="24"/>
                <w:szCs w:val="24"/>
              </w:rPr>
              <w:t>Ензимен дефицит/биохимичен маркер</w:t>
            </w:r>
          </w:p>
        </w:tc>
        <w:tc>
          <w:tcPr>
            <w:tcW w:w="2441" w:type="dxa"/>
          </w:tcPr>
          <w:p w14:paraId="5349CA98" w14:textId="77777777" w:rsidR="00BE0B19" w:rsidRPr="00AE47C6" w:rsidRDefault="00BE0B19" w:rsidP="00BE0B19">
            <w:pPr>
              <w:spacing w:after="0" w:line="360" w:lineRule="auto"/>
              <w:ind w:left="148"/>
              <w:jc w:val="both"/>
              <w:rPr>
                <w:rFonts w:ascii="Times New Roman" w:eastAsia="SimSun" w:hAnsi="Times New Roman"/>
                <w:sz w:val="24"/>
                <w:szCs w:val="24"/>
              </w:rPr>
            </w:pPr>
            <w:r w:rsidRPr="00AE47C6">
              <w:rPr>
                <w:rFonts w:ascii="Times New Roman" w:eastAsia="SimSun" w:hAnsi="Times New Roman"/>
                <w:bCs/>
                <w:sz w:val="24"/>
                <w:szCs w:val="24"/>
              </w:rPr>
              <w:t>МРТ, ликвор, ЕМГ и клинични особености</w:t>
            </w:r>
          </w:p>
        </w:tc>
      </w:tr>
      <w:tr w:rsidR="00BE0B19" w:rsidRPr="00AE47C6" w14:paraId="50AC85F8" w14:textId="77777777" w:rsidTr="00AD72E5">
        <w:trPr>
          <w:trHeight w:val="1180"/>
          <w:tblCellSpacing w:w="0" w:type="dxa"/>
        </w:trPr>
        <w:tc>
          <w:tcPr>
            <w:tcW w:w="2577" w:type="dxa"/>
          </w:tcPr>
          <w:p w14:paraId="548B188B" w14:textId="77777777" w:rsidR="00BE0B19" w:rsidRPr="00AE47C6" w:rsidRDefault="00BE0B19" w:rsidP="00BE0B19">
            <w:pPr>
              <w:spacing w:after="0" w:line="360" w:lineRule="auto"/>
              <w:ind w:left="180"/>
              <w:jc w:val="both"/>
              <w:rPr>
                <w:rFonts w:ascii="Times New Roman" w:eastAsia="SimSun" w:hAnsi="Times New Roman"/>
                <w:sz w:val="24"/>
                <w:szCs w:val="24"/>
              </w:rPr>
            </w:pPr>
            <w:r w:rsidRPr="00AE47C6">
              <w:rPr>
                <w:rFonts w:ascii="Times New Roman" w:eastAsia="SimSun" w:hAnsi="Times New Roman"/>
                <w:bCs/>
                <w:sz w:val="24"/>
                <w:szCs w:val="24"/>
              </w:rPr>
              <w:t>Метахроматична левкодистрофия</w:t>
            </w:r>
          </w:p>
          <w:p w14:paraId="77397E89" w14:textId="77777777" w:rsidR="00BE0B19" w:rsidRPr="00AE47C6" w:rsidRDefault="00BE0B19" w:rsidP="00BE0B19">
            <w:pPr>
              <w:spacing w:after="0" w:line="360" w:lineRule="auto"/>
              <w:ind w:left="180"/>
              <w:jc w:val="both"/>
              <w:rPr>
                <w:rFonts w:ascii="Times New Roman" w:eastAsia="SimSun" w:hAnsi="Times New Roman"/>
                <w:sz w:val="24"/>
                <w:szCs w:val="24"/>
              </w:rPr>
            </w:pPr>
            <w:r w:rsidRPr="00AE47C6">
              <w:rPr>
                <w:rFonts w:ascii="Times New Roman" w:eastAsia="SimSun" w:hAnsi="Times New Roman"/>
                <w:bCs/>
                <w:sz w:val="24"/>
                <w:szCs w:val="24"/>
              </w:rPr>
              <w:t>(Лизозомна сфинголипидоза)</w:t>
            </w:r>
          </w:p>
        </w:tc>
        <w:tc>
          <w:tcPr>
            <w:tcW w:w="1441" w:type="dxa"/>
          </w:tcPr>
          <w:p w14:paraId="73B83924" w14:textId="77777777" w:rsidR="00BE0B19" w:rsidRPr="00AE47C6" w:rsidRDefault="00BE0B19" w:rsidP="00BE0B19">
            <w:pPr>
              <w:numPr>
                <w:ilvl w:val="0"/>
                <w:numId w:val="26"/>
              </w:numPr>
              <w:tabs>
                <w:tab w:val="clear" w:pos="922"/>
              </w:tabs>
              <w:spacing w:after="0" w:line="360" w:lineRule="auto"/>
              <w:ind w:left="262" w:right="75" w:hanging="262"/>
              <w:jc w:val="both"/>
              <w:rPr>
                <w:rFonts w:ascii="Times New Roman" w:eastAsia="SimSun" w:hAnsi="Times New Roman"/>
                <w:bCs/>
                <w:i/>
                <w:sz w:val="24"/>
                <w:szCs w:val="24"/>
              </w:rPr>
            </w:pPr>
            <w:r w:rsidRPr="00AE47C6">
              <w:rPr>
                <w:rFonts w:ascii="Times New Roman" w:eastAsia="SimSun" w:hAnsi="Times New Roman"/>
                <w:i/>
                <w:iCs/>
                <w:sz w:val="24"/>
                <w:szCs w:val="24"/>
              </w:rPr>
              <w:t xml:space="preserve">ARSA </w:t>
            </w:r>
            <w:r w:rsidRPr="00AE47C6">
              <w:rPr>
                <w:rFonts w:ascii="Times New Roman" w:eastAsia="SimSun" w:hAnsi="Times New Roman"/>
                <w:sz w:val="24"/>
                <w:szCs w:val="24"/>
              </w:rPr>
              <w:t>ген(22q13.31</w:t>
            </w:r>
            <w:r w:rsidRPr="00AE47C6">
              <w:rPr>
                <w:rFonts w:ascii="Times New Roman" w:eastAsia="SimSun" w:hAnsi="Times New Roman"/>
                <w:bCs/>
                <w:sz w:val="24"/>
                <w:szCs w:val="24"/>
              </w:rPr>
              <w:t>)</w:t>
            </w:r>
          </w:p>
          <w:p w14:paraId="7D74FF27" w14:textId="77777777" w:rsidR="00BE0B19" w:rsidRPr="00AE47C6" w:rsidRDefault="00BE0B19" w:rsidP="00BE0B19">
            <w:pPr>
              <w:numPr>
                <w:ilvl w:val="0"/>
                <w:numId w:val="26"/>
              </w:numPr>
              <w:tabs>
                <w:tab w:val="clear" w:pos="922"/>
              </w:tabs>
              <w:spacing w:after="0" w:line="360" w:lineRule="auto"/>
              <w:ind w:left="262" w:right="75" w:hanging="262"/>
              <w:jc w:val="both"/>
              <w:rPr>
                <w:rFonts w:ascii="Times New Roman" w:eastAsia="SimSun" w:hAnsi="Times New Roman"/>
                <w:sz w:val="24"/>
                <w:szCs w:val="24"/>
              </w:rPr>
            </w:pPr>
            <w:r w:rsidRPr="00AE47C6">
              <w:rPr>
                <w:rFonts w:ascii="Times New Roman" w:eastAsia="SimSun" w:hAnsi="Times New Roman"/>
                <w:i/>
                <w:iCs/>
                <w:sz w:val="24"/>
                <w:szCs w:val="24"/>
              </w:rPr>
              <w:t>PSAP ген (10q21-22)</w:t>
            </w:r>
          </w:p>
        </w:tc>
        <w:tc>
          <w:tcPr>
            <w:tcW w:w="2371" w:type="dxa"/>
          </w:tcPr>
          <w:p w14:paraId="0C6D7CB9" w14:textId="77777777" w:rsidR="00BE0B19" w:rsidRPr="00AE47C6" w:rsidRDefault="00BE0B19" w:rsidP="00BE0B19">
            <w:pPr>
              <w:numPr>
                <w:ilvl w:val="0"/>
                <w:numId w:val="25"/>
              </w:numPr>
              <w:tabs>
                <w:tab w:val="clear" w:pos="805"/>
                <w:tab w:val="num" w:pos="281"/>
                <w:tab w:val="left" w:pos="1710"/>
              </w:tabs>
              <w:spacing w:after="0" w:line="360" w:lineRule="auto"/>
              <w:ind w:left="281" w:right="192" w:hanging="180"/>
              <w:jc w:val="both"/>
              <w:rPr>
                <w:rFonts w:ascii="Times New Roman" w:eastAsia="SimSun" w:hAnsi="Times New Roman"/>
                <w:bCs/>
                <w:sz w:val="24"/>
                <w:szCs w:val="24"/>
              </w:rPr>
            </w:pPr>
            <w:r w:rsidRPr="00AE47C6">
              <w:rPr>
                <w:rFonts w:ascii="Times New Roman" w:eastAsia="SimSun" w:hAnsi="Times New Roman"/>
                <w:bCs/>
                <w:sz w:val="24"/>
                <w:szCs w:val="24"/>
              </w:rPr>
              <w:t xml:space="preserve">↓ Арилсулфатаза A </w:t>
            </w:r>
          </w:p>
          <w:p w14:paraId="5F567AEE" w14:textId="77777777" w:rsidR="00BE0B19" w:rsidRPr="00AE47C6" w:rsidRDefault="00BE0B19" w:rsidP="00BE0B19">
            <w:pPr>
              <w:numPr>
                <w:ilvl w:val="0"/>
                <w:numId w:val="25"/>
              </w:numPr>
              <w:tabs>
                <w:tab w:val="clear" w:pos="805"/>
                <w:tab w:val="num" w:pos="281"/>
                <w:tab w:val="left" w:pos="1710"/>
              </w:tabs>
              <w:spacing w:after="0" w:line="360" w:lineRule="auto"/>
              <w:ind w:left="281" w:right="192" w:hanging="180"/>
              <w:jc w:val="both"/>
              <w:rPr>
                <w:rFonts w:ascii="Times New Roman" w:eastAsia="SimSun" w:hAnsi="Times New Roman"/>
                <w:bCs/>
                <w:sz w:val="24"/>
                <w:szCs w:val="24"/>
              </w:rPr>
            </w:pPr>
            <w:r w:rsidRPr="00AE47C6">
              <w:rPr>
                <w:rFonts w:ascii="Times New Roman" w:eastAsia="SimSun" w:hAnsi="Times New Roman"/>
                <w:bCs/>
                <w:sz w:val="24"/>
                <w:szCs w:val="24"/>
              </w:rPr>
              <w:t>↓ Просапозин</w:t>
            </w:r>
          </w:p>
        </w:tc>
        <w:tc>
          <w:tcPr>
            <w:tcW w:w="2441" w:type="dxa"/>
          </w:tcPr>
          <w:p w14:paraId="13B6DF5F" w14:textId="77777777" w:rsidR="00BE0B19" w:rsidRPr="00AE47C6" w:rsidRDefault="00BE0B19" w:rsidP="00BE0B19">
            <w:pPr>
              <w:numPr>
                <w:ilvl w:val="0"/>
                <w:numId w:val="19"/>
              </w:numPr>
              <w:tabs>
                <w:tab w:val="clear" w:pos="720"/>
                <w:tab w:val="num" w:pos="328"/>
              </w:tabs>
              <w:spacing w:after="0" w:line="360" w:lineRule="auto"/>
              <w:ind w:left="328" w:hanging="180"/>
              <w:jc w:val="both"/>
              <w:rPr>
                <w:rFonts w:ascii="Times New Roman" w:eastAsia="SimSun" w:hAnsi="Times New Roman"/>
                <w:bCs/>
                <w:sz w:val="24"/>
                <w:szCs w:val="24"/>
              </w:rPr>
            </w:pPr>
            <w:r w:rsidRPr="00AE47C6">
              <w:rPr>
                <w:rFonts w:ascii="Times New Roman" w:eastAsia="SimSun" w:hAnsi="Times New Roman"/>
                <w:bCs/>
                <w:sz w:val="24"/>
                <w:szCs w:val="24"/>
              </w:rPr>
              <w:t>Обширна демиелинизация</w:t>
            </w:r>
          </w:p>
          <w:p w14:paraId="69A3E9FE" w14:textId="77777777" w:rsidR="00BE0B19" w:rsidRPr="00AE47C6" w:rsidRDefault="00BE0B19" w:rsidP="00BE0B19">
            <w:pPr>
              <w:numPr>
                <w:ilvl w:val="0"/>
                <w:numId w:val="19"/>
              </w:numPr>
              <w:tabs>
                <w:tab w:val="clear" w:pos="720"/>
                <w:tab w:val="num" w:pos="328"/>
              </w:tabs>
              <w:spacing w:after="0" w:line="360" w:lineRule="auto"/>
              <w:ind w:left="328" w:hanging="180"/>
              <w:jc w:val="both"/>
              <w:rPr>
                <w:rFonts w:ascii="Times New Roman" w:eastAsia="SimSun" w:hAnsi="Times New Roman"/>
                <w:sz w:val="24"/>
                <w:szCs w:val="24"/>
              </w:rPr>
            </w:pPr>
            <w:r w:rsidRPr="00AE47C6">
              <w:rPr>
                <w:rFonts w:ascii="Times New Roman" w:eastAsia="SimSun" w:hAnsi="Times New Roman"/>
                <w:bCs/>
                <w:sz w:val="24"/>
                <w:szCs w:val="24"/>
              </w:rPr>
              <w:t>Снижена арилсулфатаза A</w:t>
            </w:r>
          </w:p>
          <w:p w14:paraId="5054B51A" w14:textId="77777777" w:rsidR="00BE0B19" w:rsidRPr="00AE47C6" w:rsidRDefault="00BE0B19" w:rsidP="00BE0B19">
            <w:pPr>
              <w:numPr>
                <w:ilvl w:val="0"/>
                <w:numId w:val="19"/>
              </w:numPr>
              <w:tabs>
                <w:tab w:val="clear" w:pos="720"/>
                <w:tab w:val="num" w:pos="328"/>
              </w:tabs>
              <w:spacing w:after="0" w:line="360" w:lineRule="auto"/>
              <w:ind w:left="328" w:hanging="180"/>
              <w:jc w:val="both"/>
              <w:rPr>
                <w:rFonts w:ascii="Times New Roman" w:eastAsia="SimSun" w:hAnsi="Times New Roman"/>
                <w:bCs/>
                <w:sz w:val="24"/>
                <w:szCs w:val="24"/>
              </w:rPr>
            </w:pPr>
            <w:r w:rsidRPr="00AE47C6">
              <w:rPr>
                <w:rFonts w:ascii="Times New Roman" w:eastAsia="SimSun" w:hAnsi="Times New Roman"/>
                <w:bCs/>
                <w:sz w:val="24"/>
                <w:szCs w:val="24"/>
              </w:rPr>
              <w:t xml:space="preserve">↑ Ликворен протеин </w:t>
            </w:r>
            <w:r w:rsidRPr="00AE47C6">
              <w:rPr>
                <w:rFonts w:ascii="Times New Roman" w:eastAsia="SimSun" w:hAnsi="Times New Roman"/>
                <w:sz w:val="24"/>
                <w:szCs w:val="24"/>
              </w:rPr>
              <w:t>(0,7 - 4,5g/l).</w:t>
            </w:r>
          </w:p>
          <w:p w14:paraId="5CB47BA3" w14:textId="77777777" w:rsidR="00BE0B19" w:rsidRPr="00AE47C6" w:rsidRDefault="00BE0B19" w:rsidP="00BE0B19">
            <w:pPr>
              <w:numPr>
                <w:ilvl w:val="0"/>
                <w:numId w:val="19"/>
              </w:numPr>
              <w:tabs>
                <w:tab w:val="clear" w:pos="720"/>
                <w:tab w:val="num" w:pos="328"/>
              </w:tabs>
              <w:spacing w:after="0" w:line="360" w:lineRule="auto"/>
              <w:ind w:left="328" w:hanging="180"/>
              <w:jc w:val="both"/>
              <w:rPr>
                <w:rFonts w:ascii="Times New Roman" w:eastAsia="SimSun" w:hAnsi="Times New Roman"/>
                <w:sz w:val="24"/>
                <w:szCs w:val="24"/>
              </w:rPr>
            </w:pPr>
            <w:r w:rsidRPr="00AE47C6">
              <w:rPr>
                <w:rFonts w:ascii="Times New Roman" w:eastAsia="SimSun" w:hAnsi="Times New Roman"/>
                <w:bCs/>
                <w:sz w:val="24"/>
                <w:szCs w:val="24"/>
              </w:rPr>
              <w:t>Ретинна дегенерация</w:t>
            </w:r>
          </w:p>
          <w:p w14:paraId="12F80A36" w14:textId="77777777" w:rsidR="00BE0B19" w:rsidRPr="00AE47C6" w:rsidRDefault="00BE0B19" w:rsidP="00BE0B19">
            <w:pPr>
              <w:numPr>
                <w:ilvl w:val="0"/>
                <w:numId w:val="19"/>
              </w:numPr>
              <w:tabs>
                <w:tab w:val="clear" w:pos="720"/>
                <w:tab w:val="num" w:pos="328"/>
              </w:tabs>
              <w:spacing w:after="0" w:line="360" w:lineRule="auto"/>
              <w:ind w:left="328" w:hanging="180"/>
              <w:jc w:val="both"/>
              <w:rPr>
                <w:rFonts w:ascii="Times New Roman" w:eastAsia="SimSun" w:hAnsi="Times New Roman"/>
                <w:sz w:val="24"/>
                <w:szCs w:val="24"/>
              </w:rPr>
            </w:pPr>
            <w:r w:rsidRPr="00AE47C6">
              <w:rPr>
                <w:rFonts w:ascii="Times New Roman" w:eastAsia="SimSun" w:hAnsi="Times New Roman"/>
                <w:bCs/>
                <w:sz w:val="24"/>
                <w:szCs w:val="24"/>
              </w:rPr>
              <w:t>EМГ – удължена скорост на провеждане</w:t>
            </w:r>
          </w:p>
        </w:tc>
      </w:tr>
      <w:tr w:rsidR="00BE0B19" w:rsidRPr="00AE47C6" w14:paraId="54CBDE99" w14:textId="77777777" w:rsidTr="00AD72E5">
        <w:trPr>
          <w:trHeight w:val="1065"/>
          <w:tblCellSpacing w:w="0" w:type="dxa"/>
        </w:trPr>
        <w:tc>
          <w:tcPr>
            <w:tcW w:w="2577" w:type="dxa"/>
          </w:tcPr>
          <w:p w14:paraId="059C5875" w14:textId="77777777" w:rsidR="00BE0B19" w:rsidRPr="00AE47C6" w:rsidRDefault="00BE0B19" w:rsidP="00BE0B19">
            <w:pPr>
              <w:spacing w:after="0" w:line="360" w:lineRule="auto"/>
              <w:ind w:left="180"/>
              <w:jc w:val="both"/>
              <w:rPr>
                <w:rFonts w:ascii="Times New Roman" w:eastAsia="SimSun" w:hAnsi="Times New Roman"/>
                <w:sz w:val="24"/>
                <w:szCs w:val="24"/>
              </w:rPr>
            </w:pPr>
            <w:r w:rsidRPr="00AE47C6">
              <w:rPr>
                <w:rFonts w:ascii="Times New Roman" w:eastAsia="SimSun" w:hAnsi="Times New Roman"/>
                <w:bCs/>
                <w:sz w:val="24"/>
                <w:szCs w:val="24"/>
              </w:rPr>
              <w:t>Болест на Krabbe (Глобоидоклетъчна левкодистрофия)</w:t>
            </w:r>
          </w:p>
        </w:tc>
        <w:tc>
          <w:tcPr>
            <w:tcW w:w="1441" w:type="dxa"/>
          </w:tcPr>
          <w:p w14:paraId="59FA406B" w14:textId="77777777" w:rsidR="00BE0B19" w:rsidRPr="00AE47C6" w:rsidRDefault="00BE0B19" w:rsidP="00BE0B19">
            <w:pPr>
              <w:spacing w:after="0" w:line="360" w:lineRule="auto"/>
              <w:ind w:left="202" w:right="75"/>
              <w:jc w:val="both"/>
              <w:rPr>
                <w:rFonts w:ascii="Times New Roman" w:eastAsia="SimSun" w:hAnsi="Times New Roman"/>
                <w:bCs/>
                <w:sz w:val="24"/>
                <w:szCs w:val="24"/>
              </w:rPr>
            </w:pPr>
            <w:r w:rsidRPr="00AE47C6">
              <w:rPr>
                <w:rFonts w:ascii="Times New Roman" w:eastAsia="SimSun" w:hAnsi="Times New Roman"/>
                <w:bCs/>
                <w:sz w:val="24"/>
                <w:szCs w:val="24"/>
              </w:rPr>
              <w:t>AР</w:t>
            </w:r>
          </w:p>
          <w:p w14:paraId="70862062" w14:textId="77777777" w:rsidR="00BE0B19" w:rsidRPr="00AE47C6" w:rsidRDefault="00BE0B19" w:rsidP="00BE0B19">
            <w:pPr>
              <w:spacing w:after="0" w:line="360" w:lineRule="auto"/>
              <w:ind w:left="202" w:right="75"/>
              <w:jc w:val="both"/>
              <w:rPr>
                <w:rFonts w:ascii="Times New Roman" w:eastAsia="SimSun" w:hAnsi="Times New Roman"/>
                <w:sz w:val="24"/>
                <w:szCs w:val="24"/>
              </w:rPr>
            </w:pPr>
            <w:r w:rsidRPr="00AE47C6">
              <w:rPr>
                <w:rFonts w:ascii="Times New Roman" w:eastAsia="SimSun" w:hAnsi="Times New Roman"/>
                <w:i/>
                <w:iCs/>
                <w:sz w:val="24"/>
                <w:szCs w:val="24"/>
              </w:rPr>
              <w:t xml:space="preserve">GALC </w:t>
            </w:r>
            <w:r w:rsidRPr="00AE47C6">
              <w:rPr>
                <w:rFonts w:ascii="Times New Roman" w:eastAsia="SimSun" w:hAnsi="Times New Roman"/>
                <w:bCs/>
                <w:sz w:val="24"/>
                <w:szCs w:val="24"/>
              </w:rPr>
              <w:t>ген (</w:t>
            </w:r>
            <w:r w:rsidRPr="00AE47C6">
              <w:rPr>
                <w:rFonts w:ascii="Times New Roman" w:eastAsia="SimSun" w:hAnsi="Times New Roman"/>
                <w:sz w:val="24"/>
                <w:szCs w:val="24"/>
              </w:rPr>
              <w:t>14q31</w:t>
            </w:r>
            <w:r w:rsidRPr="00AE47C6">
              <w:rPr>
                <w:rFonts w:ascii="Times New Roman" w:eastAsia="SimSun" w:hAnsi="Times New Roman"/>
                <w:bCs/>
                <w:sz w:val="24"/>
                <w:szCs w:val="24"/>
              </w:rPr>
              <w:t xml:space="preserve">) </w:t>
            </w:r>
          </w:p>
        </w:tc>
        <w:tc>
          <w:tcPr>
            <w:tcW w:w="2371" w:type="dxa"/>
          </w:tcPr>
          <w:p w14:paraId="649555CC" w14:textId="77777777" w:rsidR="00BE0B19" w:rsidRPr="00AE47C6" w:rsidRDefault="00BE0B19" w:rsidP="00BE0B19">
            <w:pPr>
              <w:spacing w:after="0" w:line="360" w:lineRule="auto"/>
              <w:ind w:left="85" w:right="192"/>
              <w:jc w:val="both"/>
              <w:rPr>
                <w:rFonts w:ascii="Times New Roman" w:eastAsia="SimSun" w:hAnsi="Times New Roman"/>
                <w:bCs/>
                <w:sz w:val="24"/>
                <w:szCs w:val="24"/>
              </w:rPr>
            </w:pPr>
            <w:r w:rsidRPr="00AE47C6">
              <w:rPr>
                <w:rFonts w:ascii="Times New Roman" w:eastAsia="SimSun" w:hAnsi="Times New Roman"/>
                <w:bCs/>
                <w:sz w:val="24"/>
                <w:szCs w:val="24"/>
              </w:rPr>
              <w:t>↓</w:t>
            </w:r>
            <w:r w:rsidRPr="00AE47C6">
              <w:rPr>
                <w:rFonts w:ascii="Times New Roman" w:eastAsia="SimSun" w:hAnsi="Times New Roman"/>
                <w:bCs/>
                <w:i/>
                <w:iCs/>
                <w:sz w:val="24"/>
                <w:szCs w:val="24"/>
              </w:rPr>
              <w:t>β</w:t>
            </w:r>
            <w:r w:rsidRPr="00AE47C6">
              <w:rPr>
                <w:rFonts w:ascii="Times New Roman" w:eastAsia="SimSun" w:hAnsi="Times New Roman"/>
                <w:bCs/>
                <w:sz w:val="24"/>
                <w:szCs w:val="24"/>
              </w:rPr>
              <w:t xml:space="preserve"> –галактоцереброзидаза</w:t>
            </w:r>
          </w:p>
        </w:tc>
        <w:tc>
          <w:tcPr>
            <w:tcW w:w="2441" w:type="dxa"/>
          </w:tcPr>
          <w:p w14:paraId="5009593C" w14:textId="77777777" w:rsidR="00BE0B19" w:rsidRPr="00AE47C6" w:rsidRDefault="00BE0B19" w:rsidP="00BE0B19">
            <w:pPr>
              <w:numPr>
                <w:ilvl w:val="0"/>
                <w:numId w:val="19"/>
              </w:numPr>
              <w:tabs>
                <w:tab w:val="clear" w:pos="720"/>
                <w:tab w:val="num" w:pos="328"/>
              </w:tabs>
              <w:spacing w:after="0" w:line="360" w:lineRule="auto"/>
              <w:ind w:left="328" w:hanging="180"/>
              <w:jc w:val="both"/>
              <w:rPr>
                <w:rFonts w:ascii="Times New Roman" w:eastAsia="SimSun" w:hAnsi="Times New Roman"/>
                <w:bCs/>
                <w:sz w:val="24"/>
                <w:szCs w:val="24"/>
              </w:rPr>
            </w:pPr>
            <w:r w:rsidRPr="00AE47C6">
              <w:rPr>
                <w:rFonts w:ascii="Times New Roman" w:eastAsia="SimSun" w:hAnsi="Times New Roman"/>
                <w:bCs/>
                <w:sz w:val="24"/>
                <w:szCs w:val="24"/>
              </w:rPr>
              <w:t>Обширна демиелинизация</w:t>
            </w:r>
          </w:p>
          <w:p w14:paraId="11B142BE" w14:textId="77777777" w:rsidR="00BE0B19" w:rsidRPr="00AE47C6" w:rsidRDefault="00BE0B19" w:rsidP="00BE0B19">
            <w:pPr>
              <w:numPr>
                <w:ilvl w:val="0"/>
                <w:numId w:val="19"/>
              </w:numPr>
              <w:tabs>
                <w:tab w:val="clear" w:pos="720"/>
                <w:tab w:val="num" w:pos="328"/>
              </w:tabs>
              <w:spacing w:after="0" w:line="360" w:lineRule="auto"/>
              <w:ind w:left="328" w:hanging="180"/>
              <w:jc w:val="both"/>
              <w:rPr>
                <w:rFonts w:ascii="Times New Roman" w:eastAsia="SimSun" w:hAnsi="Times New Roman"/>
                <w:sz w:val="24"/>
                <w:szCs w:val="24"/>
              </w:rPr>
            </w:pPr>
            <w:r w:rsidRPr="00AE47C6">
              <w:rPr>
                <w:rFonts w:ascii="Times New Roman" w:eastAsia="SimSun" w:hAnsi="Times New Roman"/>
                <w:bCs/>
                <w:sz w:val="24"/>
                <w:szCs w:val="24"/>
              </w:rPr>
              <w:t xml:space="preserve">Снижена </w:t>
            </w:r>
            <w:r w:rsidRPr="00AE47C6">
              <w:rPr>
                <w:rFonts w:ascii="Times New Roman" w:eastAsia="SimSun" w:hAnsi="Times New Roman"/>
                <w:bCs/>
                <w:i/>
                <w:iCs/>
                <w:sz w:val="24"/>
                <w:szCs w:val="24"/>
              </w:rPr>
              <w:t>β</w:t>
            </w:r>
            <w:r w:rsidRPr="00AE47C6">
              <w:rPr>
                <w:rFonts w:ascii="Times New Roman" w:eastAsia="SimSun" w:hAnsi="Times New Roman"/>
                <w:bCs/>
                <w:sz w:val="24"/>
                <w:szCs w:val="24"/>
              </w:rPr>
              <w:t xml:space="preserve"> –галактоцереброзидаза </w:t>
            </w:r>
          </w:p>
          <w:p w14:paraId="585A34BC" w14:textId="77777777" w:rsidR="00BE0B19" w:rsidRPr="00AE47C6" w:rsidRDefault="00BE0B19" w:rsidP="00BE0B19">
            <w:pPr>
              <w:numPr>
                <w:ilvl w:val="0"/>
                <w:numId w:val="19"/>
              </w:numPr>
              <w:tabs>
                <w:tab w:val="clear" w:pos="720"/>
                <w:tab w:val="num" w:pos="328"/>
              </w:tabs>
              <w:spacing w:after="0" w:line="360" w:lineRule="auto"/>
              <w:ind w:left="328" w:hanging="180"/>
              <w:jc w:val="both"/>
              <w:rPr>
                <w:rFonts w:ascii="Times New Roman" w:eastAsia="SimSun" w:hAnsi="Times New Roman"/>
                <w:bCs/>
                <w:sz w:val="24"/>
                <w:szCs w:val="24"/>
              </w:rPr>
            </w:pPr>
            <w:r w:rsidRPr="00AE47C6">
              <w:rPr>
                <w:rFonts w:ascii="Times New Roman" w:eastAsia="SimSun" w:hAnsi="Times New Roman"/>
                <w:bCs/>
                <w:sz w:val="24"/>
                <w:szCs w:val="24"/>
              </w:rPr>
              <w:t xml:space="preserve">↑ Ликворен протеин </w:t>
            </w:r>
            <w:r w:rsidRPr="00AE47C6">
              <w:rPr>
                <w:rFonts w:ascii="Times New Roman" w:eastAsia="SimSun" w:hAnsi="Times New Roman"/>
                <w:sz w:val="24"/>
                <w:szCs w:val="24"/>
              </w:rPr>
              <w:t>(0,7 - 4,5g/l).</w:t>
            </w:r>
          </w:p>
          <w:p w14:paraId="17A5F59A" w14:textId="77777777" w:rsidR="00BE0B19" w:rsidRPr="00AE47C6" w:rsidRDefault="00BE0B19" w:rsidP="00BE0B19">
            <w:pPr>
              <w:numPr>
                <w:ilvl w:val="0"/>
                <w:numId w:val="19"/>
              </w:numPr>
              <w:tabs>
                <w:tab w:val="clear" w:pos="720"/>
                <w:tab w:val="num" w:pos="328"/>
              </w:tabs>
              <w:spacing w:after="0" w:line="360" w:lineRule="auto"/>
              <w:ind w:left="328" w:hanging="180"/>
              <w:jc w:val="both"/>
              <w:rPr>
                <w:rFonts w:ascii="Times New Roman" w:eastAsia="SimSun" w:hAnsi="Times New Roman"/>
                <w:sz w:val="24"/>
                <w:szCs w:val="24"/>
              </w:rPr>
            </w:pPr>
            <w:r w:rsidRPr="00AE47C6">
              <w:rPr>
                <w:rFonts w:ascii="Times New Roman" w:eastAsia="SimSun" w:hAnsi="Times New Roman"/>
                <w:bCs/>
                <w:sz w:val="24"/>
                <w:szCs w:val="24"/>
              </w:rPr>
              <w:t>EМГ – удължена скорост на провеждане</w:t>
            </w:r>
          </w:p>
        </w:tc>
      </w:tr>
      <w:tr w:rsidR="00BE0B19" w:rsidRPr="00AE47C6" w14:paraId="774A0469" w14:textId="77777777" w:rsidTr="00AD72E5">
        <w:trPr>
          <w:trHeight w:val="680"/>
          <w:tblCellSpacing w:w="0" w:type="dxa"/>
        </w:trPr>
        <w:tc>
          <w:tcPr>
            <w:tcW w:w="2577" w:type="dxa"/>
          </w:tcPr>
          <w:p w14:paraId="2C2782A1" w14:textId="77777777" w:rsidR="00BE0B19" w:rsidRPr="00AE47C6" w:rsidRDefault="00BE0B19" w:rsidP="00BE0B19">
            <w:pPr>
              <w:spacing w:after="0" w:line="360" w:lineRule="auto"/>
              <w:ind w:left="180"/>
              <w:jc w:val="both"/>
              <w:rPr>
                <w:rFonts w:ascii="Times New Roman" w:eastAsia="SimSun" w:hAnsi="Times New Roman"/>
                <w:sz w:val="24"/>
                <w:szCs w:val="24"/>
              </w:rPr>
            </w:pPr>
            <w:r w:rsidRPr="00AE47C6">
              <w:rPr>
                <w:rFonts w:ascii="Times New Roman" w:eastAsia="SimSun" w:hAnsi="Times New Roman"/>
                <w:bCs/>
                <w:sz w:val="24"/>
                <w:szCs w:val="24"/>
              </w:rPr>
              <w:t xml:space="preserve">X-свързана адренолевкодистрофия </w:t>
            </w:r>
          </w:p>
          <w:p w14:paraId="02CB1550" w14:textId="77777777" w:rsidR="00BE0B19" w:rsidRPr="00AE47C6" w:rsidRDefault="00BE0B19" w:rsidP="00BE0B19">
            <w:pPr>
              <w:spacing w:after="0" w:line="360" w:lineRule="auto"/>
              <w:ind w:left="180"/>
              <w:jc w:val="both"/>
              <w:rPr>
                <w:rFonts w:ascii="Times New Roman" w:eastAsia="SimSun" w:hAnsi="Times New Roman"/>
                <w:sz w:val="24"/>
                <w:szCs w:val="24"/>
              </w:rPr>
            </w:pPr>
            <w:r w:rsidRPr="00AE47C6">
              <w:rPr>
                <w:rFonts w:ascii="Times New Roman" w:eastAsia="SimSun" w:hAnsi="Times New Roman"/>
                <w:bCs/>
                <w:sz w:val="24"/>
                <w:szCs w:val="24"/>
              </w:rPr>
              <w:t>(пероксизомна болест)</w:t>
            </w:r>
          </w:p>
        </w:tc>
        <w:tc>
          <w:tcPr>
            <w:tcW w:w="1441" w:type="dxa"/>
          </w:tcPr>
          <w:p w14:paraId="43FD41BA" w14:textId="77777777" w:rsidR="00BE0B19" w:rsidRPr="00AE47C6" w:rsidRDefault="00BE0B19" w:rsidP="00BE0B19">
            <w:pPr>
              <w:spacing w:after="0" w:line="360" w:lineRule="auto"/>
              <w:ind w:left="202" w:right="75"/>
              <w:jc w:val="both"/>
              <w:rPr>
                <w:rFonts w:ascii="Times New Roman" w:eastAsia="SimSun" w:hAnsi="Times New Roman"/>
                <w:sz w:val="24"/>
                <w:szCs w:val="24"/>
              </w:rPr>
            </w:pPr>
            <w:r w:rsidRPr="00AE47C6">
              <w:rPr>
                <w:rFonts w:ascii="Times New Roman" w:eastAsia="SimSun" w:hAnsi="Times New Roman"/>
                <w:iCs/>
                <w:sz w:val="24"/>
                <w:szCs w:val="24"/>
              </w:rPr>
              <w:t>ABCD1</w:t>
            </w:r>
            <w:r w:rsidRPr="00AE47C6">
              <w:rPr>
                <w:rFonts w:ascii="Times New Roman" w:eastAsia="SimSun" w:hAnsi="Times New Roman"/>
                <w:sz w:val="24"/>
                <w:szCs w:val="24"/>
              </w:rPr>
              <w:t xml:space="preserve"> ген (</w:t>
            </w:r>
            <w:r w:rsidRPr="00AE47C6">
              <w:rPr>
                <w:rFonts w:ascii="Times New Roman" w:eastAsia="SimSun" w:hAnsi="Times New Roman"/>
                <w:bCs/>
                <w:sz w:val="24"/>
                <w:szCs w:val="24"/>
              </w:rPr>
              <w:t>Xq28)</w:t>
            </w:r>
          </w:p>
        </w:tc>
        <w:tc>
          <w:tcPr>
            <w:tcW w:w="2371" w:type="dxa"/>
          </w:tcPr>
          <w:p w14:paraId="65CF6818" w14:textId="77777777" w:rsidR="00BE0B19" w:rsidRPr="00AE47C6" w:rsidRDefault="00BE0B19" w:rsidP="00BE0B19">
            <w:pPr>
              <w:numPr>
                <w:ilvl w:val="0"/>
                <w:numId w:val="24"/>
              </w:numPr>
              <w:tabs>
                <w:tab w:val="clear" w:pos="805"/>
                <w:tab w:val="num" w:pos="265"/>
              </w:tabs>
              <w:spacing w:after="0" w:line="360" w:lineRule="auto"/>
              <w:ind w:left="265" w:right="192" w:hanging="180"/>
              <w:jc w:val="both"/>
              <w:rPr>
                <w:rFonts w:ascii="Times New Roman" w:eastAsia="SimSun" w:hAnsi="Times New Roman"/>
                <w:bCs/>
                <w:sz w:val="24"/>
                <w:szCs w:val="24"/>
              </w:rPr>
            </w:pPr>
            <w:r w:rsidRPr="00AE47C6">
              <w:rPr>
                <w:rFonts w:ascii="Times New Roman" w:eastAsia="SimSun" w:hAnsi="Times New Roman"/>
                <w:bCs/>
                <w:sz w:val="24"/>
                <w:szCs w:val="24"/>
              </w:rPr>
              <w:t xml:space="preserve">↓ ко-синтетаза на дълговерижни мастни киселини </w:t>
            </w:r>
          </w:p>
          <w:p w14:paraId="60D9444C" w14:textId="77777777" w:rsidR="00BE0B19" w:rsidRPr="00AE47C6" w:rsidRDefault="00BE0B19" w:rsidP="00BE0B19">
            <w:pPr>
              <w:numPr>
                <w:ilvl w:val="0"/>
                <w:numId w:val="24"/>
              </w:numPr>
              <w:tabs>
                <w:tab w:val="clear" w:pos="805"/>
                <w:tab w:val="num" w:pos="265"/>
              </w:tabs>
              <w:spacing w:after="0" w:line="360" w:lineRule="auto"/>
              <w:ind w:left="265" w:right="192" w:hanging="180"/>
              <w:jc w:val="both"/>
              <w:rPr>
                <w:rFonts w:ascii="Times New Roman" w:eastAsia="SimSun" w:hAnsi="Times New Roman"/>
                <w:bCs/>
                <w:sz w:val="24"/>
                <w:szCs w:val="24"/>
              </w:rPr>
            </w:pPr>
            <w:r w:rsidRPr="00AE47C6">
              <w:rPr>
                <w:rFonts w:ascii="Times New Roman" w:eastAsia="SimSun" w:hAnsi="Times New Roman"/>
                <w:bCs/>
                <w:sz w:val="24"/>
                <w:szCs w:val="24"/>
              </w:rPr>
              <w:t>↑ дълговерижни мастни киселини (C22-30)</w:t>
            </w:r>
          </w:p>
        </w:tc>
        <w:tc>
          <w:tcPr>
            <w:tcW w:w="2441" w:type="dxa"/>
          </w:tcPr>
          <w:p w14:paraId="0A1E00D0" w14:textId="77777777" w:rsidR="00BE0B19" w:rsidRPr="00AE47C6" w:rsidRDefault="00BE0B19" w:rsidP="00BE0B19">
            <w:pPr>
              <w:numPr>
                <w:ilvl w:val="0"/>
                <w:numId w:val="19"/>
              </w:numPr>
              <w:tabs>
                <w:tab w:val="clear" w:pos="720"/>
                <w:tab w:val="num" w:pos="328"/>
              </w:tabs>
              <w:spacing w:after="0" w:line="360" w:lineRule="auto"/>
              <w:ind w:left="328" w:hanging="180"/>
              <w:jc w:val="both"/>
              <w:rPr>
                <w:rFonts w:ascii="Times New Roman" w:eastAsia="SimSun" w:hAnsi="Times New Roman"/>
                <w:bCs/>
                <w:sz w:val="24"/>
                <w:szCs w:val="24"/>
              </w:rPr>
            </w:pPr>
            <w:r w:rsidRPr="00AE47C6">
              <w:rPr>
                <w:rFonts w:ascii="Times New Roman" w:eastAsia="SimSun" w:hAnsi="Times New Roman"/>
                <w:bCs/>
                <w:sz w:val="24"/>
                <w:szCs w:val="24"/>
              </w:rPr>
              <w:t>Обширна демиелинизация</w:t>
            </w:r>
          </w:p>
          <w:p w14:paraId="3C11DFF0" w14:textId="77777777" w:rsidR="00BE0B19" w:rsidRPr="00AE47C6" w:rsidRDefault="00BE0B19" w:rsidP="00BE0B19">
            <w:pPr>
              <w:numPr>
                <w:ilvl w:val="0"/>
                <w:numId w:val="19"/>
              </w:numPr>
              <w:tabs>
                <w:tab w:val="clear" w:pos="720"/>
                <w:tab w:val="num" w:pos="328"/>
              </w:tabs>
              <w:spacing w:after="0" w:line="360" w:lineRule="auto"/>
              <w:ind w:left="328" w:hanging="180"/>
              <w:jc w:val="both"/>
              <w:rPr>
                <w:rFonts w:ascii="Times New Roman" w:eastAsia="SimSun" w:hAnsi="Times New Roman"/>
                <w:bCs/>
                <w:sz w:val="24"/>
                <w:szCs w:val="24"/>
              </w:rPr>
            </w:pPr>
            <w:r w:rsidRPr="00AE47C6">
              <w:rPr>
                <w:rFonts w:ascii="Times New Roman" w:eastAsia="SimSun" w:hAnsi="Times New Roman"/>
                <w:bCs/>
                <w:sz w:val="24"/>
                <w:szCs w:val="24"/>
              </w:rPr>
              <w:t xml:space="preserve">↑ Ликворен протеин </w:t>
            </w:r>
            <w:r w:rsidRPr="00AE47C6">
              <w:rPr>
                <w:rFonts w:ascii="Times New Roman" w:eastAsia="SimSun" w:hAnsi="Times New Roman"/>
                <w:sz w:val="24"/>
                <w:szCs w:val="24"/>
              </w:rPr>
              <w:t>(0,7 - 4,5g/l).</w:t>
            </w:r>
          </w:p>
          <w:p w14:paraId="14C8D2C1" w14:textId="77777777" w:rsidR="00BE0B19" w:rsidRPr="00AE47C6" w:rsidRDefault="00BE0B19" w:rsidP="00BE0B19">
            <w:pPr>
              <w:numPr>
                <w:ilvl w:val="0"/>
                <w:numId w:val="19"/>
              </w:numPr>
              <w:tabs>
                <w:tab w:val="clear" w:pos="720"/>
                <w:tab w:val="num" w:pos="328"/>
              </w:tabs>
              <w:spacing w:after="0" w:line="360" w:lineRule="auto"/>
              <w:ind w:left="328" w:hanging="180"/>
              <w:jc w:val="both"/>
              <w:rPr>
                <w:rFonts w:ascii="Times New Roman" w:eastAsia="SimSun" w:hAnsi="Times New Roman"/>
                <w:sz w:val="24"/>
                <w:szCs w:val="24"/>
              </w:rPr>
            </w:pPr>
            <w:r w:rsidRPr="00AE47C6">
              <w:rPr>
                <w:rFonts w:ascii="Times New Roman" w:eastAsia="SimSun" w:hAnsi="Times New Roman"/>
                <w:iCs/>
                <w:sz w:val="24"/>
                <w:szCs w:val="24"/>
              </w:rPr>
              <w:t>ЕМГ</w:t>
            </w:r>
            <w:r w:rsidRPr="00AE47C6">
              <w:rPr>
                <w:rFonts w:ascii="Times New Roman" w:eastAsia="SimSun" w:hAnsi="Times New Roman"/>
                <w:sz w:val="24"/>
                <w:szCs w:val="24"/>
              </w:rPr>
              <w:t xml:space="preserve"> - данни за демиелинизираща полиневропатия</w:t>
            </w:r>
          </w:p>
        </w:tc>
      </w:tr>
      <w:tr w:rsidR="00BE0B19" w:rsidRPr="00AE47C6" w14:paraId="0A5B17D1" w14:textId="77777777" w:rsidTr="00AD72E5">
        <w:trPr>
          <w:trHeight w:val="768"/>
          <w:tblCellSpacing w:w="0" w:type="dxa"/>
        </w:trPr>
        <w:tc>
          <w:tcPr>
            <w:tcW w:w="2577" w:type="dxa"/>
          </w:tcPr>
          <w:p w14:paraId="6D98293A" w14:textId="77777777" w:rsidR="00BE0B19" w:rsidRPr="00AE47C6" w:rsidRDefault="00BE0B19" w:rsidP="00BE0B19">
            <w:pPr>
              <w:spacing w:after="0" w:line="360" w:lineRule="auto"/>
              <w:ind w:left="180"/>
              <w:jc w:val="both"/>
              <w:rPr>
                <w:rFonts w:ascii="Times New Roman" w:eastAsia="SimSun" w:hAnsi="Times New Roman"/>
                <w:sz w:val="24"/>
                <w:szCs w:val="24"/>
              </w:rPr>
            </w:pPr>
            <w:r w:rsidRPr="00AE47C6">
              <w:rPr>
                <w:rFonts w:ascii="Times New Roman" w:eastAsia="SimSun" w:hAnsi="Times New Roman"/>
                <w:bCs/>
                <w:sz w:val="24"/>
                <w:szCs w:val="24"/>
              </w:rPr>
              <w:t>Болест на Pelizaeus – Merzbacher</w:t>
            </w:r>
          </w:p>
        </w:tc>
        <w:tc>
          <w:tcPr>
            <w:tcW w:w="1441" w:type="dxa"/>
          </w:tcPr>
          <w:p w14:paraId="0172844B" w14:textId="77777777" w:rsidR="00BE0B19" w:rsidRPr="00AE47C6" w:rsidRDefault="00BE0B19" w:rsidP="00BE0B19">
            <w:pPr>
              <w:spacing w:after="0" w:line="360" w:lineRule="auto"/>
              <w:ind w:left="202" w:right="75"/>
              <w:jc w:val="both"/>
              <w:rPr>
                <w:rFonts w:ascii="Times New Roman" w:eastAsia="SimSun" w:hAnsi="Times New Roman"/>
                <w:sz w:val="24"/>
                <w:szCs w:val="24"/>
              </w:rPr>
            </w:pPr>
            <w:r w:rsidRPr="00AE47C6">
              <w:rPr>
                <w:rFonts w:ascii="Times New Roman" w:eastAsia="SimSun" w:hAnsi="Times New Roman"/>
                <w:iCs/>
                <w:sz w:val="24"/>
                <w:szCs w:val="24"/>
              </w:rPr>
              <w:t>PLP1</w:t>
            </w:r>
            <w:r w:rsidRPr="00AE47C6">
              <w:rPr>
                <w:rFonts w:ascii="Times New Roman" w:eastAsia="SimSun" w:hAnsi="Times New Roman"/>
                <w:sz w:val="24"/>
                <w:szCs w:val="24"/>
              </w:rPr>
              <w:t xml:space="preserve"> и </w:t>
            </w:r>
            <w:r w:rsidRPr="00AE47C6">
              <w:rPr>
                <w:rFonts w:ascii="Times New Roman" w:eastAsia="SimSun" w:hAnsi="Times New Roman"/>
                <w:iCs/>
                <w:sz w:val="24"/>
                <w:szCs w:val="24"/>
              </w:rPr>
              <w:t>GJA12</w:t>
            </w:r>
            <w:r w:rsidRPr="00AE47C6">
              <w:rPr>
                <w:rFonts w:ascii="Times New Roman" w:eastAsia="SimSun" w:hAnsi="Times New Roman"/>
                <w:bCs/>
                <w:sz w:val="24"/>
                <w:szCs w:val="24"/>
              </w:rPr>
              <w:t xml:space="preserve">(Хq21-q22) </w:t>
            </w:r>
          </w:p>
        </w:tc>
        <w:tc>
          <w:tcPr>
            <w:tcW w:w="2371" w:type="dxa"/>
          </w:tcPr>
          <w:p w14:paraId="2149EC38" w14:textId="77777777" w:rsidR="00BE0B19" w:rsidRPr="00AE47C6" w:rsidRDefault="00BE0B19" w:rsidP="00BE0B19">
            <w:pPr>
              <w:spacing w:after="0" w:line="360" w:lineRule="auto"/>
              <w:ind w:left="85" w:right="192"/>
              <w:jc w:val="both"/>
              <w:rPr>
                <w:rFonts w:ascii="Times New Roman" w:eastAsia="SimSun" w:hAnsi="Times New Roman"/>
                <w:bCs/>
                <w:sz w:val="24"/>
                <w:szCs w:val="24"/>
              </w:rPr>
            </w:pPr>
            <w:r w:rsidRPr="00AE47C6">
              <w:rPr>
                <w:rFonts w:ascii="Times New Roman" w:eastAsia="SimSun" w:hAnsi="Times New Roman"/>
                <w:bCs/>
                <w:sz w:val="24"/>
                <w:szCs w:val="24"/>
              </w:rPr>
              <w:t>Дефицитен синтез на  PLP1</w:t>
            </w:r>
          </w:p>
        </w:tc>
        <w:tc>
          <w:tcPr>
            <w:tcW w:w="2441" w:type="dxa"/>
          </w:tcPr>
          <w:p w14:paraId="2BF7D1F3" w14:textId="77777777" w:rsidR="00BE0B19" w:rsidRPr="00AE47C6" w:rsidRDefault="00BE0B19" w:rsidP="00BE0B19">
            <w:pPr>
              <w:numPr>
                <w:ilvl w:val="0"/>
                <w:numId w:val="20"/>
              </w:numPr>
              <w:tabs>
                <w:tab w:val="clear" w:pos="720"/>
                <w:tab w:val="num" w:pos="328"/>
              </w:tabs>
              <w:spacing w:after="0" w:line="360" w:lineRule="auto"/>
              <w:ind w:left="328" w:hanging="180"/>
              <w:jc w:val="both"/>
              <w:rPr>
                <w:rFonts w:ascii="Times New Roman" w:eastAsia="SimSun" w:hAnsi="Times New Roman"/>
                <w:bCs/>
                <w:sz w:val="24"/>
                <w:szCs w:val="24"/>
              </w:rPr>
            </w:pPr>
            <w:r w:rsidRPr="00AE47C6">
              <w:rPr>
                <w:rFonts w:ascii="Times New Roman" w:eastAsia="SimSun" w:hAnsi="Times New Roman"/>
                <w:bCs/>
                <w:sz w:val="24"/>
                <w:szCs w:val="24"/>
              </w:rPr>
              <w:t>Обширна подкорова демиелинизация</w:t>
            </w:r>
          </w:p>
          <w:p w14:paraId="5D3E1FB2" w14:textId="77777777" w:rsidR="00BE0B19" w:rsidRPr="00AE47C6" w:rsidRDefault="00BE0B19" w:rsidP="00BE0B19">
            <w:pPr>
              <w:numPr>
                <w:ilvl w:val="0"/>
                <w:numId w:val="20"/>
              </w:numPr>
              <w:tabs>
                <w:tab w:val="num" w:pos="328"/>
              </w:tabs>
              <w:spacing w:after="0" w:line="360" w:lineRule="auto"/>
              <w:ind w:left="328" w:hanging="180"/>
              <w:jc w:val="both"/>
              <w:rPr>
                <w:rFonts w:ascii="Times New Roman" w:eastAsia="SimSun" w:hAnsi="Times New Roman"/>
                <w:bCs/>
                <w:sz w:val="24"/>
                <w:szCs w:val="24"/>
              </w:rPr>
            </w:pPr>
            <w:r w:rsidRPr="00AE47C6">
              <w:rPr>
                <w:rFonts w:ascii="Times New Roman" w:eastAsia="SimSun" w:hAnsi="Times New Roman"/>
                <w:bCs/>
                <w:sz w:val="24"/>
                <w:szCs w:val="24"/>
              </w:rPr>
              <w:t xml:space="preserve">↑ Ликворен протеин </w:t>
            </w:r>
            <w:r w:rsidRPr="00AE47C6">
              <w:rPr>
                <w:rFonts w:ascii="Times New Roman" w:eastAsia="SimSun" w:hAnsi="Times New Roman"/>
                <w:sz w:val="24"/>
                <w:szCs w:val="24"/>
              </w:rPr>
              <w:t>(0,7 - 4,5g/l).</w:t>
            </w:r>
          </w:p>
          <w:p w14:paraId="3352CBA4" w14:textId="77777777" w:rsidR="00BE0B19" w:rsidRPr="00AE47C6" w:rsidRDefault="00BE0B19" w:rsidP="00BE0B19">
            <w:pPr>
              <w:numPr>
                <w:ilvl w:val="0"/>
                <w:numId w:val="20"/>
              </w:numPr>
              <w:tabs>
                <w:tab w:val="clear" w:pos="720"/>
                <w:tab w:val="num" w:pos="328"/>
              </w:tabs>
              <w:spacing w:after="0" w:line="360" w:lineRule="auto"/>
              <w:ind w:left="328" w:hanging="180"/>
              <w:jc w:val="both"/>
              <w:rPr>
                <w:rFonts w:ascii="Times New Roman" w:eastAsia="SimSun" w:hAnsi="Times New Roman"/>
                <w:bCs/>
                <w:sz w:val="24"/>
                <w:szCs w:val="24"/>
              </w:rPr>
            </w:pPr>
            <w:r w:rsidRPr="00AE47C6">
              <w:rPr>
                <w:rFonts w:ascii="Times New Roman" w:eastAsia="SimSun" w:hAnsi="Times New Roman"/>
                <w:iCs/>
                <w:sz w:val="24"/>
                <w:szCs w:val="24"/>
              </w:rPr>
              <w:t>ЕМГ</w:t>
            </w:r>
            <w:r w:rsidRPr="00AE47C6">
              <w:rPr>
                <w:rFonts w:ascii="Times New Roman" w:eastAsia="SimSun" w:hAnsi="Times New Roman"/>
                <w:sz w:val="24"/>
                <w:szCs w:val="24"/>
              </w:rPr>
              <w:t xml:space="preserve"> - данни за демиелинизираща полиневропатия</w:t>
            </w:r>
          </w:p>
        </w:tc>
      </w:tr>
      <w:tr w:rsidR="00BE0B19" w:rsidRPr="00AE47C6" w14:paraId="078D6B14" w14:textId="77777777" w:rsidTr="00AD72E5">
        <w:trPr>
          <w:trHeight w:val="652"/>
          <w:tblCellSpacing w:w="0" w:type="dxa"/>
        </w:trPr>
        <w:tc>
          <w:tcPr>
            <w:tcW w:w="2577" w:type="dxa"/>
          </w:tcPr>
          <w:p w14:paraId="63AD5A1B" w14:textId="77777777" w:rsidR="00BE0B19" w:rsidRPr="00AE47C6" w:rsidRDefault="00BE0B19" w:rsidP="00BE0B19">
            <w:pPr>
              <w:spacing w:after="0" w:line="360" w:lineRule="auto"/>
              <w:ind w:left="180"/>
              <w:jc w:val="both"/>
              <w:rPr>
                <w:rFonts w:ascii="Times New Roman" w:eastAsia="SimSun" w:hAnsi="Times New Roman"/>
                <w:sz w:val="24"/>
                <w:szCs w:val="24"/>
              </w:rPr>
            </w:pPr>
            <w:r w:rsidRPr="00AE47C6">
              <w:rPr>
                <w:rFonts w:ascii="Times New Roman" w:eastAsia="SimSun" w:hAnsi="Times New Roman"/>
                <w:bCs/>
                <w:sz w:val="24"/>
                <w:szCs w:val="24"/>
              </w:rPr>
              <w:t>Болест на Alexander</w:t>
            </w:r>
          </w:p>
        </w:tc>
        <w:tc>
          <w:tcPr>
            <w:tcW w:w="1441" w:type="dxa"/>
          </w:tcPr>
          <w:p w14:paraId="0C66ABF5" w14:textId="77777777" w:rsidR="00BE0B19" w:rsidRPr="00AE47C6" w:rsidRDefault="00BE0B19" w:rsidP="00BE0B19">
            <w:pPr>
              <w:spacing w:after="0" w:line="360" w:lineRule="auto"/>
              <w:ind w:left="202" w:right="75"/>
              <w:jc w:val="both"/>
              <w:rPr>
                <w:rFonts w:ascii="Times New Roman" w:eastAsia="SimSun" w:hAnsi="Times New Roman"/>
                <w:sz w:val="24"/>
                <w:szCs w:val="24"/>
              </w:rPr>
            </w:pPr>
            <w:r w:rsidRPr="00AE47C6">
              <w:rPr>
                <w:rFonts w:ascii="Times New Roman" w:eastAsia="SimSun" w:hAnsi="Times New Roman"/>
                <w:bCs/>
                <w:sz w:val="24"/>
                <w:szCs w:val="24"/>
              </w:rPr>
              <w:t>GFAP (17q21)</w:t>
            </w:r>
          </w:p>
        </w:tc>
        <w:tc>
          <w:tcPr>
            <w:tcW w:w="2371" w:type="dxa"/>
          </w:tcPr>
          <w:p w14:paraId="59DF89EE" w14:textId="77777777" w:rsidR="00BE0B19" w:rsidRPr="00AE47C6" w:rsidRDefault="00BE0B19" w:rsidP="00BE0B19">
            <w:pPr>
              <w:spacing w:after="0" w:line="360" w:lineRule="auto"/>
              <w:ind w:left="148"/>
              <w:jc w:val="both"/>
              <w:rPr>
                <w:rFonts w:ascii="Times New Roman" w:eastAsia="SimSun" w:hAnsi="Times New Roman"/>
                <w:bCs/>
                <w:sz w:val="24"/>
                <w:szCs w:val="24"/>
              </w:rPr>
            </w:pPr>
            <w:r w:rsidRPr="00AE47C6">
              <w:rPr>
                <w:rFonts w:ascii="Times New Roman" w:eastAsia="SimSun" w:hAnsi="Times New Roman"/>
                <w:bCs/>
                <w:sz w:val="24"/>
                <w:szCs w:val="24"/>
              </w:rPr>
              <w:t xml:space="preserve">GFAP, Розенталови фибри, ↑ Ликворен </w:t>
            </w:r>
            <w:r w:rsidRPr="00AE47C6">
              <w:rPr>
                <w:rFonts w:ascii="Times New Roman" w:eastAsia="SimSun" w:hAnsi="Times New Roman"/>
                <w:sz w:val="24"/>
                <w:szCs w:val="24"/>
              </w:rPr>
              <w:t>αβ-</w:t>
            </w:r>
            <w:r w:rsidRPr="00AE47C6">
              <w:rPr>
                <w:rFonts w:ascii="Times New Roman" w:eastAsia="SimSun" w:hAnsi="Times New Roman"/>
                <w:bCs/>
                <w:sz w:val="24"/>
                <w:szCs w:val="24"/>
              </w:rPr>
              <w:t>кристалин</w:t>
            </w:r>
          </w:p>
          <w:p w14:paraId="6FBB4494" w14:textId="77777777" w:rsidR="00BE0B19" w:rsidRPr="00AE47C6" w:rsidRDefault="00BE0B19" w:rsidP="00BE0B19">
            <w:pPr>
              <w:spacing w:after="0" w:line="360" w:lineRule="auto"/>
              <w:ind w:right="192"/>
              <w:jc w:val="both"/>
              <w:rPr>
                <w:rFonts w:ascii="Times New Roman" w:eastAsia="SimSun" w:hAnsi="Times New Roman"/>
                <w:bCs/>
                <w:sz w:val="24"/>
                <w:szCs w:val="24"/>
              </w:rPr>
            </w:pPr>
          </w:p>
        </w:tc>
        <w:tc>
          <w:tcPr>
            <w:tcW w:w="2441" w:type="dxa"/>
          </w:tcPr>
          <w:p w14:paraId="7E42C8CA" w14:textId="77777777" w:rsidR="00BE0B19" w:rsidRPr="00AE47C6" w:rsidRDefault="00BE0B19" w:rsidP="00BE0B19">
            <w:pPr>
              <w:numPr>
                <w:ilvl w:val="0"/>
                <w:numId w:val="21"/>
              </w:numPr>
              <w:tabs>
                <w:tab w:val="clear" w:pos="720"/>
                <w:tab w:val="num" w:pos="328"/>
              </w:tabs>
              <w:spacing w:after="0" w:line="360" w:lineRule="auto"/>
              <w:ind w:left="328" w:hanging="180"/>
              <w:jc w:val="both"/>
              <w:rPr>
                <w:rFonts w:ascii="Times New Roman" w:eastAsia="SimSun" w:hAnsi="Times New Roman"/>
                <w:bCs/>
                <w:sz w:val="24"/>
                <w:szCs w:val="24"/>
              </w:rPr>
            </w:pPr>
            <w:r w:rsidRPr="00AE47C6">
              <w:rPr>
                <w:rFonts w:ascii="Times New Roman" w:eastAsia="SimSun" w:hAnsi="Times New Roman"/>
                <w:bCs/>
                <w:sz w:val="24"/>
                <w:szCs w:val="24"/>
              </w:rPr>
              <w:t>Обширна фронтална демиелинизация</w:t>
            </w:r>
          </w:p>
          <w:p w14:paraId="631DE44B" w14:textId="77777777" w:rsidR="00BE0B19" w:rsidRPr="00AE47C6" w:rsidRDefault="00BE0B19" w:rsidP="00BE0B19">
            <w:pPr>
              <w:numPr>
                <w:ilvl w:val="0"/>
                <w:numId w:val="21"/>
              </w:numPr>
              <w:tabs>
                <w:tab w:val="clear" w:pos="720"/>
                <w:tab w:val="num" w:pos="328"/>
              </w:tabs>
              <w:spacing w:after="0" w:line="360" w:lineRule="auto"/>
              <w:ind w:left="328" w:hanging="180"/>
              <w:jc w:val="both"/>
              <w:rPr>
                <w:rFonts w:ascii="Times New Roman" w:eastAsia="SimSun" w:hAnsi="Times New Roman"/>
                <w:sz w:val="24"/>
                <w:szCs w:val="24"/>
              </w:rPr>
            </w:pPr>
            <w:r w:rsidRPr="00AE47C6">
              <w:rPr>
                <w:rFonts w:ascii="Times New Roman" w:eastAsia="SimSun" w:hAnsi="Times New Roman"/>
                <w:bCs/>
                <w:sz w:val="24"/>
                <w:szCs w:val="24"/>
              </w:rPr>
              <w:t xml:space="preserve">↑Ликворен </w:t>
            </w:r>
            <w:r w:rsidRPr="00AE47C6">
              <w:rPr>
                <w:rFonts w:ascii="Times New Roman" w:eastAsia="SimSun" w:hAnsi="Times New Roman"/>
                <w:sz w:val="24"/>
                <w:szCs w:val="24"/>
              </w:rPr>
              <w:t xml:space="preserve">β </w:t>
            </w:r>
            <w:r w:rsidRPr="00AE47C6">
              <w:rPr>
                <w:rFonts w:ascii="Times New Roman" w:eastAsia="SimSun" w:hAnsi="Times New Roman"/>
                <w:bCs/>
                <w:sz w:val="24"/>
                <w:szCs w:val="24"/>
              </w:rPr>
              <w:t>кристалин</w:t>
            </w:r>
          </w:p>
          <w:p w14:paraId="0CCBF547" w14:textId="77777777" w:rsidR="00BE0B19" w:rsidRPr="00AE47C6" w:rsidRDefault="00BE0B19" w:rsidP="00BE0B19">
            <w:pPr>
              <w:numPr>
                <w:ilvl w:val="0"/>
                <w:numId w:val="21"/>
              </w:numPr>
              <w:tabs>
                <w:tab w:val="clear" w:pos="720"/>
                <w:tab w:val="num" w:pos="328"/>
              </w:tabs>
              <w:spacing w:after="0" w:line="360" w:lineRule="auto"/>
              <w:ind w:left="328" w:hanging="180"/>
              <w:jc w:val="both"/>
              <w:rPr>
                <w:rFonts w:ascii="Times New Roman" w:eastAsia="SimSun" w:hAnsi="Times New Roman"/>
                <w:sz w:val="24"/>
                <w:szCs w:val="24"/>
              </w:rPr>
            </w:pPr>
            <w:r w:rsidRPr="00AE47C6">
              <w:rPr>
                <w:rFonts w:ascii="Times New Roman" w:eastAsia="SimSun" w:hAnsi="Times New Roman"/>
                <w:bCs/>
                <w:sz w:val="24"/>
                <w:szCs w:val="24"/>
              </w:rPr>
              <w:t>Макроцефалия</w:t>
            </w:r>
          </w:p>
        </w:tc>
      </w:tr>
      <w:tr w:rsidR="00BE0B19" w:rsidRPr="00AE47C6" w14:paraId="651CA671" w14:textId="77777777" w:rsidTr="00AD72E5">
        <w:trPr>
          <w:trHeight w:val="716"/>
          <w:tblCellSpacing w:w="0" w:type="dxa"/>
        </w:trPr>
        <w:tc>
          <w:tcPr>
            <w:tcW w:w="2577" w:type="dxa"/>
          </w:tcPr>
          <w:p w14:paraId="5751A047" w14:textId="77777777" w:rsidR="00BE0B19" w:rsidRPr="00AE47C6" w:rsidRDefault="00BE0B19" w:rsidP="00BE0B19">
            <w:pPr>
              <w:spacing w:after="0" w:line="360" w:lineRule="auto"/>
              <w:ind w:left="180"/>
              <w:jc w:val="both"/>
              <w:rPr>
                <w:rFonts w:ascii="Times New Roman" w:eastAsia="SimSun" w:hAnsi="Times New Roman"/>
                <w:sz w:val="24"/>
                <w:szCs w:val="24"/>
              </w:rPr>
            </w:pPr>
            <w:r w:rsidRPr="00AE47C6">
              <w:rPr>
                <w:rFonts w:ascii="Times New Roman" w:eastAsia="SimSun" w:hAnsi="Times New Roman"/>
                <w:bCs/>
                <w:sz w:val="24"/>
                <w:szCs w:val="24"/>
              </w:rPr>
              <w:t>Болест на Canavan</w:t>
            </w:r>
          </w:p>
        </w:tc>
        <w:tc>
          <w:tcPr>
            <w:tcW w:w="1441" w:type="dxa"/>
          </w:tcPr>
          <w:p w14:paraId="717E9E9A" w14:textId="77777777" w:rsidR="00BE0B19" w:rsidRPr="00AE47C6" w:rsidRDefault="00BE0B19" w:rsidP="00BE0B19">
            <w:pPr>
              <w:spacing w:after="0" w:line="360" w:lineRule="auto"/>
              <w:ind w:left="202" w:right="75"/>
              <w:jc w:val="both"/>
              <w:rPr>
                <w:rFonts w:ascii="Times New Roman" w:eastAsia="SimSun" w:hAnsi="Times New Roman"/>
                <w:sz w:val="24"/>
                <w:szCs w:val="24"/>
              </w:rPr>
            </w:pPr>
            <w:r w:rsidRPr="00AE47C6">
              <w:rPr>
                <w:rFonts w:ascii="Times New Roman" w:eastAsia="SimSun" w:hAnsi="Times New Roman"/>
                <w:bCs/>
                <w:sz w:val="24"/>
                <w:szCs w:val="24"/>
              </w:rPr>
              <w:t xml:space="preserve">AР; </w:t>
            </w:r>
            <w:hyperlink r:id="rId108" w:tooltip="ASPA (gene)" w:history="1">
              <w:r w:rsidRPr="00AE47C6">
                <w:rPr>
                  <w:rFonts w:ascii="Times New Roman" w:eastAsia="SimSun" w:hAnsi="Times New Roman"/>
                  <w:iCs/>
                  <w:sz w:val="24"/>
                  <w:szCs w:val="24"/>
                  <w:u w:val="single"/>
                </w:rPr>
                <w:t>ASPA</w:t>
              </w:r>
            </w:hyperlink>
            <w:r w:rsidRPr="00AE47C6">
              <w:rPr>
                <w:rFonts w:ascii="Times New Roman" w:eastAsia="SimSun" w:hAnsi="Times New Roman"/>
                <w:sz w:val="24"/>
                <w:szCs w:val="24"/>
              </w:rPr>
              <w:t xml:space="preserve"> (</w:t>
            </w:r>
            <w:r w:rsidRPr="00AE47C6">
              <w:rPr>
                <w:rFonts w:ascii="Times New Roman" w:eastAsia="SimSun" w:hAnsi="Times New Roman"/>
                <w:bCs/>
                <w:sz w:val="24"/>
                <w:szCs w:val="24"/>
              </w:rPr>
              <w:t>17 pter-p13)</w:t>
            </w:r>
          </w:p>
        </w:tc>
        <w:tc>
          <w:tcPr>
            <w:tcW w:w="2371" w:type="dxa"/>
          </w:tcPr>
          <w:p w14:paraId="21977FD8" w14:textId="77777777" w:rsidR="00BE0B19" w:rsidRPr="00AE47C6" w:rsidRDefault="00BE0B19" w:rsidP="00BE0B19">
            <w:pPr>
              <w:numPr>
                <w:ilvl w:val="0"/>
                <w:numId w:val="23"/>
              </w:numPr>
              <w:tabs>
                <w:tab w:val="clear" w:pos="805"/>
                <w:tab w:val="num" w:pos="265"/>
              </w:tabs>
              <w:spacing w:after="0" w:line="360" w:lineRule="auto"/>
              <w:ind w:left="265" w:right="192" w:hanging="180"/>
              <w:jc w:val="both"/>
              <w:rPr>
                <w:rFonts w:ascii="Times New Roman" w:eastAsia="SimSun" w:hAnsi="Times New Roman"/>
                <w:bCs/>
                <w:sz w:val="24"/>
                <w:szCs w:val="24"/>
              </w:rPr>
            </w:pPr>
            <w:r w:rsidRPr="00AE47C6">
              <w:rPr>
                <w:rFonts w:ascii="Times New Roman" w:eastAsia="SimSun" w:hAnsi="Times New Roman"/>
                <w:bCs/>
                <w:sz w:val="24"/>
                <w:szCs w:val="24"/>
              </w:rPr>
              <w:t>↓N-аспартоацилаза</w:t>
            </w:r>
          </w:p>
          <w:p w14:paraId="4C104BB9" w14:textId="77777777" w:rsidR="00BE0B19" w:rsidRPr="00AE47C6" w:rsidRDefault="00BE0B19" w:rsidP="00BE0B19">
            <w:pPr>
              <w:numPr>
                <w:ilvl w:val="0"/>
                <w:numId w:val="23"/>
              </w:numPr>
              <w:tabs>
                <w:tab w:val="clear" w:pos="805"/>
                <w:tab w:val="num" w:pos="265"/>
              </w:tabs>
              <w:spacing w:after="0" w:line="360" w:lineRule="auto"/>
              <w:ind w:left="265" w:right="192" w:hanging="180"/>
              <w:jc w:val="both"/>
              <w:rPr>
                <w:rFonts w:ascii="Times New Roman" w:eastAsia="SimSun" w:hAnsi="Times New Roman"/>
                <w:bCs/>
                <w:sz w:val="24"/>
                <w:szCs w:val="24"/>
              </w:rPr>
            </w:pPr>
            <w:r w:rsidRPr="00AE47C6">
              <w:rPr>
                <w:rFonts w:ascii="Times New Roman" w:eastAsia="SimSun" w:hAnsi="Times New Roman"/>
                <w:bCs/>
                <w:sz w:val="24"/>
                <w:szCs w:val="24"/>
              </w:rPr>
              <w:t>↑N-ацетиласпартат – кръв, урина, ликвор</w:t>
            </w:r>
          </w:p>
        </w:tc>
        <w:tc>
          <w:tcPr>
            <w:tcW w:w="2441" w:type="dxa"/>
          </w:tcPr>
          <w:p w14:paraId="2835D246" w14:textId="77777777" w:rsidR="00BE0B19" w:rsidRPr="00AE47C6" w:rsidRDefault="00BE0B19" w:rsidP="00BE0B19">
            <w:pPr>
              <w:numPr>
                <w:ilvl w:val="0"/>
                <w:numId w:val="22"/>
              </w:numPr>
              <w:tabs>
                <w:tab w:val="clear" w:pos="720"/>
                <w:tab w:val="num" w:pos="328"/>
              </w:tabs>
              <w:spacing w:after="0" w:line="360" w:lineRule="auto"/>
              <w:ind w:left="328" w:hanging="180"/>
              <w:jc w:val="both"/>
              <w:rPr>
                <w:rFonts w:ascii="Times New Roman" w:eastAsia="SimSun" w:hAnsi="Times New Roman"/>
                <w:sz w:val="24"/>
                <w:szCs w:val="24"/>
              </w:rPr>
            </w:pPr>
            <w:r w:rsidRPr="00AE47C6">
              <w:rPr>
                <w:rFonts w:ascii="Times New Roman" w:eastAsia="SimSun" w:hAnsi="Times New Roman"/>
                <w:bCs/>
                <w:sz w:val="24"/>
                <w:szCs w:val="24"/>
              </w:rPr>
              <w:t>Дифузна хипомиелинизация, оток, късна атрофия</w:t>
            </w:r>
          </w:p>
          <w:p w14:paraId="33D087A5" w14:textId="77777777" w:rsidR="00BE0B19" w:rsidRPr="00AE47C6" w:rsidRDefault="00BE0B19" w:rsidP="00BE0B19">
            <w:pPr>
              <w:numPr>
                <w:ilvl w:val="0"/>
                <w:numId w:val="22"/>
              </w:numPr>
              <w:tabs>
                <w:tab w:val="clear" w:pos="720"/>
                <w:tab w:val="num" w:pos="328"/>
              </w:tabs>
              <w:spacing w:after="0" w:line="360" w:lineRule="auto"/>
              <w:ind w:left="328" w:hanging="180"/>
              <w:jc w:val="both"/>
              <w:rPr>
                <w:rFonts w:ascii="Times New Roman" w:eastAsia="SimSun" w:hAnsi="Times New Roman"/>
                <w:sz w:val="24"/>
                <w:szCs w:val="24"/>
              </w:rPr>
            </w:pPr>
            <w:r w:rsidRPr="00AE47C6">
              <w:rPr>
                <w:rFonts w:ascii="Times New Roman" w:eastAsia="SimSun" w:hAnsi="Times New Roman"/>
                <w:bCs/>
                <w:sz w:val="24"/>
                <w:szCs w:val="24"/>
              </w:rPr>
              <w:t>Макроцефалия</w:t>
            </w:r>
          </w:p>
          <w:p w14:paraId="61F091F7" w14:textId="77777777" w:rsidR="00BE0B19" w:rsidRPr="00AE47C6" w:rsidRDefault="00BE0B19" w:rsidP="00BE0B19">
            <w:pPr>
              <w:spacing w:after="0" w:line="360" w:lineRule="auto"/>
              <w:jc w:val="both"/>
              <w:rPr>
                <w:rFonts w:ascii="Times New Roman" w:eastAsia="SimSun" w:hAnsi="Times New Roman"/>
                <w:sz w:val="24"/>
                <w:szCs w:val="24"/>
              </w:rPr>
            </w:pPr>
          </w:p>
        </w:tc>
      </w:tr>
    </w:tbl>
    <w:p w14:paraId="172A249B"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46CB02D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Общите </w:t>
      </w:r>
      <w:r w:rsidRPr="00AE47C6">
        <w:rPr>
          <w:rFonts w:ascii="Times New Roman" w:eastAsia="SimSun" w:hAnsi="Times New Roman"/>
          <w:bCs/>
          <w:sz w:val="24"/>
          <w:szCs w:val="24"/>
        </w:rPr>
        <w:t xml:space="preserve">клинични симптоми при левкодистрофиите </w:t>
      </w:r>
      <w:r w:rsidRPr="00AE47C6">
        <w:rPr>
          <w:rFonts w:ascii="Times New Roman" w:eastAsia="SimSun" w:hAnsi="Times New Roman"/>
          <w:sz w:val="24"/>
          <w:szCs w:val="24"/>
        </w:rPr>
        <w:t xml:space="preserve">са резултат от прогресираща увреда на кортикоспиналния, кортикобулбарния, церебеларните и зрителните пътища. Те се манифестират с прогресиращи зрителни нарушения (амблиопия и амавроза), деменция, пирамиден, церебеларен, екстрапирамиден и епилептичен синдром. С </w:t>
      </w:r>
      <w:r w:rsidRPr="00AE47C6">
        <w:rPr>
          <w:rFonts w:ascii="Times New Roman" w:eastAsia="SimSun" w:hAnsi="Times New Roman"/>
          <w:i/>
          <w:iCs/>
          <w:sz w:val="24"/>
          <w:szCs w:val="24"/>
        </w:rPr>
        <w:t xml:space="preserve">МРТ </w:t>
      </w:r>
      <w:r w:rsidRPr="00AE47C6">
        <w:rPr>
          <w:rFonts w:ascii="Times New Roman" w:eastAsia="SimSun" w:hAnsi="Times New Roman"/>
          <w:sz w:val="24"/>
          <w:szCs w:val="24"/>
        </w:rPr>
        <w:t>на главен мозък при Т</w:t>
      </w:r>
      <w:r w:rsidRPr="00AE47C6">
        <w:rPr>
          <w:rFonts w:ascii="Times New Roman" w:eastAsia="SimSun" w:hAnsi="Times New Roman"/>
          <w:sz w:val="24"/>
          <w:szCs w:val="24"/>
          <w:vertAlign w:val="subscript"/>
        </w:rPr>
        <w:t xml:space="preserve">2 </w:t>
      </w:r>
      <w:r w:rsidRPr="00AE47C6">
        <w:rPr>
          <w:rFonts w:ascii="Times New Roman" w:eastAsia="SimSun" w:hAnsi="Times New Roman"/>
          <w:sz w:val="24"/>
          <w:szCs w:val="24"/>
        </w:rPr>
        <w:t xml:space="preserve">измерване се визуализират обширни подкорови, най-често симетрични зони на демиелинизации, контрастиращи се с gadolinium. </w:t>
      </w:r>
      <w:r w:rsidRPr="00AE47C6">
        <w:rPr>
          <w:rFonts w:ascii="Times New Roman" w:eastAsia="SimSun" w:hAnsi="Times New Roman"/>
          <w:b/>
          <w:sz w:val="24"/>
          <w:szCs w:val="24"/>
        </w:rPr>
        <w:t>(Табл.5.15)</w:t>
      </w:r>
    </w:p>
    <w:p w14:paraId="75388BE1"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b/>
          <w:bCs/>
          <w:sz w:val="24"/>
          <w:szCs w:val="24"/>
        </w:rPr>
        <w:t xml:space="preserve">Левкоенцефалопатиите </w:t>
      </w:r>
      <w:r w:rsidRPr="00AE47C6">
        <w:rPr>
          <w:rFonts w:ascii="Times New Roman" w:eastAsia="SimSun" w:hAnsi="Times New Roman"/>
          <w:bCs/>
          <w:sz w:val="24"/>
          <w:szCs w:val="24"/>
        </w:rPr>
        <w:t>са по-нов клас редки генетични заболявания на бялото мозъчно вещество, клинично характеризиращи се с забавено развитие и неврологичен дефицит: които се диагностицират чрез MPT и генетични изследвания - next generation sequencing</w:t>
      </w:r>
      <w:r w:rsidRPr="00AE47C6">
        <w:rPr>
          <w:rFonts w:ascii="Times New Roman" w:eastAsia="SimSun" w:hAnsi="Times New Roman"/>
          <w:sz w:val="24"/>
          <w:szCs w:val="24"/>
        </w:rPr>
        <w:t>:</w:t>
      </w:r>
      <w:r w:rsidRPr="00AE47C6">
        <w:rPr>
          <w:rFonts w:ascii="Times New Roman" w:eastAsia="SimSun" w:hAnsi="Times New Roman"/>
          <w:bCs/>
          <w:sz w:val="24"/>
          <w:szCs w:val="24"/>
        </w:rPr>
        <w:t xml:space="preserve"> Левкоенцефалопатия с изчезващо бяло вещество (Vanishing white matter disease или детска атаксия с централна хипомиелинизация); Мегаленцефална левкоенцефалопатия със субкортикални кисти; Хипомиелинизация и атрофия на базалните ганглии и cerebellum (H-ABC); Левкоенцефалопатия със стволово и гръбначномозъчно засягане и повишен лактат, </w:t>
      </w:r>
      <w:r w:rsidRPr="00AE47C6">
        <w:rPr>
          <w:rFonts w:ascii="Times New Roman" w:eastAsia="SimSun" w:hAnsi="Times New Roman"/>
          <w:bCs/>
          <w:iCs/>
          <w:sz w:val="24"/>
          <w:szCs w:val="24"/>
        </w:rPr>
        <w:t xml:space="preserve">но са описани и случаи с нормален лактат </w:t>
      </w:r>
      <w:r w:rsidRPr="00AE47C6">
        <w:rPr>
          <w:rFonts w:ascii="Times New Roman" w:eastAsia="SimSun" w:hAnsi="Times New Roman"/>
          <w:bCs/>
          <w:sz w:val="24"/>
          <w:szCs w:val="24"/>
        </w:rPr>
        <w:t xml:space="preserve">(Табл.5.16.). </w:t>
      </w:r>
      <w:r w:rsidRPr="00AE47C6">
        <w:rPr>
          <w:rFonts w:ascii="Times New Roman" w:eastAsia="SimSun" w:hAnsi="Times New Roman"/>
          <w:sz w:val="24"/>
          <w:szCs w:val="24"/>
        </w:rPr>
        <w:t xml:space="preserve">Протичат със забавено нервно-психично развитие, бавно прогресираща квадрипареза и церебеларна атаксия, а е възможна и екстрапирамидна симптоматика (при </w:t>
      </w:r>
      <w:r w:rsidRPr="00AE47C6">
        <w:rPr>
          <w:rFonts w:ascii="Times New Roman" w:eastAsia="SimSun" w:hAnsi="Times New Roman"/>
          <w:bCs/>
          <w:i/>
          <w:sz w:val="24"/>
          <w:szCs w:val="24"/>
        </w:rPr>
        <w:t>H-ABC)</w:t>
      </w:r>
      <w:r w:rsidRPr="00AE47C6">
        <w:rPr>
          <w:rFonts w:ascii="Times New Roman" w:eastAsia="SimSun" w:hAnsi="Times New Roman"/>
          <w:sz w:val="24"/>
          <w:szCs w:val="24"/>
        </w:rPr>
        <w:t xml:space="preserve">. В МРТ е налице хипомиелинизация/ демиелинизация, в някои случаи и субкортикални кисти (при мегаленцефалната левкоенцефалопатия със субкортикални кисти). При магнитно-резонансната спектроскопия (МРС) се разкрива характерна патология - аксонопатия при </w:t>
      </w:r>
      <w:r w:rsidRPr="00AE47C6">
        <w:rPr>
          <w:rFonts w:ascii="Times New Roman" w:eastAsia="SimSun" w:hAnsi="Times New Roman"/>
          <w:bCs/>
          <w:i/>
          <w:sz w:val="24"/>
          <w:szCs w:val="24"/>
        </w:rPr>
        <w:t>детската атаксия с централна хипомиелинизация</w:t>
      </w:r>
      <w:r w:rsidRPr="00AE47C6">
        <w:rPr>
          <w:rFonts w:ascii="Times New Roman" w:eastAsia="SimSun" w:hAnsi="Times New Roman"/>
          <w:sz w:val="24"/>
          <w:szCs w:val="24"/>
        </w:rPr>
        <w:t>, глиоза (при H-ABC) или повишен лактат (при левкоенцефалопатията със стволово и гръбначномозъчно засягане).</w:t>
      </w:r>
    </w:p>
    <w:p w14:paraId="155B232A"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Табл.5.16. </w:t>
      </w:r>
      <w:r w:rsidRPr="00AE47C6">
        <w:rPr>
          <w:rFonts w:ascii="Times New Roman" w:eastAsia="SimSun" w:hAnsi="Times New Roman"/>
          <w:sz w:val="24"/>
          <w:szCs w:val="24"/>
        </w:rPr>
        <w:t>Клинична характеристика и МРТ/МРС при левкоенцефалопатиите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3"/>
        <w:gridCol w:w="1265"/>
        <w:gridCol w:w="1080"/>
        <w:gridCol w:w="1980"/>
        <w:gridCol w:w="2880"/>
      </w:tblGrid>
      <w:tr w:rsidR="00BE0B19" w:rsidRPr="00AE47C6" w14:paraId="3EDAB9CD" w14:textId="77777777" w:rsidTr="00AD72E5">
        <w:tc>
          <w:tcPr>
            <w:tcW w:w="2083" w:type="dxa"/>
          </w:tcPr>
          <w:p w14:paraId="6460AF70"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Болест</w:t>
            </w:r>
          </w:p>
        </w:tc>
        <w:tc>
          <w:tcPr>
            <w:tcW w:w="1265" w:type="dxa"/>
          </w:tcPr>
          <w:p w14:paraId="6C3749D4" w14:textId="77777777" w:rsidR="00BE0B19" w:rsidRPr="00AE47C6" w:rsidRDefault="00BE0B19" w:rsidP="00BE0B19">
            <w:pPr>
              <w:spacing w:after="0" w:line="360" w:lineRule="auto"/>
              <w:ind w:right="-288"/>
              <w:jc w:val="both"/>
              <w:rPr>
                <w:rFonts w:ascii="Times New Roman" w:eastAsia="SimSun" w:hAnsi="Times New Roman"/>
                <w:b/>
                <w:sz w:val="24"/>
                <w:szCs w:val="24"/>
              </w:rPr>
            </w:pPr>
            <w:r w:rsidRPr="00AE47C6">
              <w:rPr>
                <w:rFonts w:ascii="Times New Roman" w:eastAsia="SimSun" w:hAnsi="Times New Roman"/>
                <w:b/>
                <w:sz w:val="24"/>
                <w:szCs w:val="24"/>
              </w:rPr>
              <w:t xml:space="preserve">Предаване/ локус </w:t>
            </w:r>
          </w:p>
        </w:tc>
        <w:tc>
          <w:tcPr>
            <w:tcW w:w="1080" w:type="dxa"/>
          </w:tcPr>
          <w:p w14:paraId="20184AAB" w14:textId="77777777" w:rsidR="00BE0B19" w:rsidRPr="00AE47C6" w:rsidRDefault="00BE0B19" w:rsidP="00BE0B19">
            <w:pPr>
              <w:spacing w:after="0" w:line="360" w:lineRule="auto"/>
              <w:ind w:right="-108"/>
              <w:jc w:val="both"/>
              <w:rPr>
                <w:rFonts w:ascii="Times New Roman" w:eastAsia="SimSun" w:hAnsi="Times New Roman"/>
                <w:b/>
                <w:sz w:val="24"/>
                <w:szCs w:val="24"/>
              </w:rPr>
            </w:pPr>
            <w:r w:rsidRPr="00AE47C6">
              <w:rPr>
                <w:rFonts w:ascii="Times New Roman" w:eastAsia="SimSun" w:hAnsi="Times New Roman"/>
                <w:b/>
                <w:sz w:val="24"/>
                <w:szCs w:val="24"/>
              </w:rPr>
              <w:t xml:space="preserve">Генен дефект </w:t>
            </w:r>
          </w:p>
        </w:tc>
        <w:tc>
          <w:tcPr>
            <w:tcW w:w="1980" w:type="dxa"/>
          </w:tcPr>
          <w:p w14:paraId="5EF55750" w14:textId="77777777" w:rsidR="00BE0B19" w:rsidRPr="00AE47C6" w:rsidRDefault="00BE0B19" w:rsidP="00BE0B19">
            <w:pPr>
              <w:spacing w:after="0" w:line="360" w:lineRule="auto"/>
              <w:ind w:right="-288"/>
              <w:jc w:val="both"/>
              <w:rPr>
                <w:rFonts w:ascii="Times New Roman" w:eastAsia="SimSun" w:hAnsi="Times New Roman"/>
                <w:b/>
                <w:sz w:val="24"/>
                <w:szCs w:val="24"/>
              </w:rPr>
            </w:pPr>
            <w:r w:rsidRPr="00AE47C6">
              <w:rPr>
                <w:rFonts w:ascii="Times New Roman" w:eastAsia="SimSun" w:hAnsi="Times New Roman"/>
                <w:b/>
                <w:sz w:val="24"/>
                <w:szCs w:val="24"/>
              </w:rPr>
              <w:t>МРТ/МРС диагноза</w:t>
            </w:r>
          </w:p>
        </w:tc>
        <w:tc>
          <w:tcPr>
            <w:tcW w:w="2880" w:type="dxa"/>
          </w:tcPr>
          <w:p w14:paraId="05238610"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Клинична характеристика</w:t>
            </w:r>
          </w:p>
        </w:tc>
      </w:tr>
      <w:tr w:rsidR="00BE0B19" w:rsidRPr="00AE47C6" w14:paraId="1067CE3D" w14:textId="77777777" w:rsidTr="00AD72E5">
        <w:tc>
          <w:tcPr>
            <w:tcW w:w="2083" w:type="dxa"/>
          </w:tcPr>
          <w:p w14:paraId="6816CAD5"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“Vanishing white matter” disease (левкоенцефалопатия с изчезващо бяло мозъчно вещество, детска атаксия с централна хипомиелинизация) </w:t>
            </w:r>
          </w:p>
        </w:tc>
        <w:tc>
          <w:tcPr>
            <w:tcW w:w="1265" w:type="dxa"/>
          </w:tcPr>
          <w:p w14:paraId="4D7033A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АР, 12;14q24;1;2p23;3q27</w:t>
            </w:r>
          </w:p>
          <w:p w14:paraId="647A8B8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p>
        </w:tc>
        <w:tc>
          <w:tcPr>
            <w:tcW w:w="1080" w:type="dxa"/>
          </w:tcPr>
          <w:p w14:paraId="4C4859B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Еукариотен фактор</w:t>
            </w:r>
          </w:p>
          <w:p w14:paraId="0EA5C15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инхибиращ транслацията: </w:t>
            </w:r>
            <w:hyperlink r:id="rId109" w:tooltip="EIF2B1" w:history="1">
              <w:r w:rsidRPr="00AE47C6">
                <w:rPr>
                  <w:rFonts w:ascii="Times New Roman" w:eastAsia="SimSun" w:hAnsi="Times New Roman"/>
                  <w:bCs/>
                  <w:sz w:val="24"/>
                  <w:szCs w:val="24"/>
                </w:rPr>
                <w:t>EIF2B1</w:t>
              </w:r>
            </w:hyperlink>
            <w:r w:rsidRPr="00AE47C6">
              <w:rPr>
                <w:rFonts w:ascii="Times New Roman" w:eastAsia="SimSun" w:hAnsi="Times New Roman"/>
                <w:sz w:val="24"/>
                <w:szCs w:val="24"/>
              </w:rPr>
              <w:t>-</w:t>
            </w:r>
            <w:hyperlink r:id="rId110" w:tooltip="EIF2B5" w:history="1">
              <w:r w:rsidRPr="00AE47C6">
                <w:rPr>
                  <w:rFonts w:ascii="Times New Roman" w:eastAsia="SimSun" w:hAnsi="Times New Roman"/>
                  <w:bCs/>
                  <w:sz w:val="24"/>
                  <w:szCs w:val="24"/>
                </w:rPr>
                <w:t>EIF2B5</w:t>
              </w:r>
            </w:hyperlink>
          </w:p>
        </w:tc>
        <w:tc>
          <w:tcPr>
            <w:tcW w:w="1980" w:type="dxa"/>
          </w:tcPr>
          <w:p w14:paraId="07F782A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левкоенцефалопатия с избледняване на бялото вещество;</w:t>
            </w:r>
          </w:p>
          <w:p w14:paraId="3D5CC65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МРС - първична аксонопатия</w:t>
            </w:r>
          </w:p>
        </w:tc>
        <w:tc>
          <w:tcPr>
            <w:tcW w:w="2880" w:type="dxa"/>
          </w:tcPr>
          <w:p w14:paraId="2B30F65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Бавно прогресираща атаксия и пирамидна увреда оптична атрофия, епилепсия; епизоди от бързо влошаване при фебрилни заболявания, травми на главата </w:t>
            </w:r>
          </w:p>
        </w:tc>
      </w:tr>
      <w:tr w:rsidR="00BE0B19" w:rsidRPr="00AE47C6" w14:paraId="689D6E9A" w14:textId="77777777" w:rsidTr="00AD72E5">
        <w:tc>
          <w:tcPr>
            <w:tcW w:w="2083" w:type="dxa"/>
          </w:tcPr>
          <w:p w14:paraId="795FB114"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Мегаленцефална левкоенцефалопатия със субкортикални кисти </w:t>
            </w:r>
          </w:p>
        </w:tc>
        <w:tc>
          <w:tcPr>
            <w:tcW w:w="1265" w:type="dxa"/>
          </w:tcPr>
          <w:p w14:paraId="671951F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АР</w:t>
            </w:r>
          </w:p>
        </w:tc>
        <w:tc>
          <w:tcPr>
            <w:tcW w:w="1080" w:type="dxa"/>
          </w:tcPr>
          <w:p w14:paraId="51693FD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MCL 1 ген</w:t>
            </w:r>
          </w:p>
        </w:tc>
        <w:tc>
          <w:tcPr>
            <w:tcW w:w="1980" w:type="dxa"/>
          </w:tcPr>
          <w:p w14:paraId="4DC2611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МРТ: левкоенцефалопатия с обширни симетрични подкорови демиелинизации, субкортикални кисти  </w:t>
            </w:r>
          </w:p>
        </w:tc>
        <w:tc>
          <w:tcPr>
            <w:tcW w:w="2880" w:type="dxa"/>
          </w:tcPr>
          <w:p w14:paraId="351458B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Макроцефалия, прогресиращ спастицитет и атаксия  </w:t>
            </w:r>
          </w:p>
        </w:tc>
      </w:tr>
      <w:tr w:rsidR="00BE0B19" w:rsidRPr="00AE47C6" w14:paraId="367964F0" w14:textId="77777777" w:rsidTr="00AD72E5">
        <w:tc>
          <w:tcPr>
            <w:tcW w:w="2083" w:type="dxa"/>
          </w:tcPr>
          <w:p w14:paraId="7AA8F444"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Хипомиелинизация и атрофия на базалните ганглии и cerebellum (H-ABC)</w:t>
            </w:r>
          </w:p>
          <w:p w14:paraId="3EAFCB3D" w14:textId="77777777" w:rsidR="00BE0B19" w:rsidRPr="00AE47C6" w:rsidRDefault="00BE0B19" w:rsidP="00BE0B19">
            <w:pPr>
              <w:spacing w:after="0" w:line="360" w:lineRule="auto"/>
              <w:jc w:val="both"/>
              <w:rPr>
                <w:rFonts w:ascii="Times New Roman" w:eastAsia="SimSun" w:hAnsi="Times New Roman"/>
                <w:b/>
                <w:sz w:val="24"/>
                <w:szCs w:val="24"/>
              </w:rPr>
            </w:pPr>
          </w:p>
        </w:tc>
        <w:tc>
          <w:tcPr>
            <w:tcW w:w="1265" w:type="dxa"/>
          </w:tcPr>
          <w:p w14:paraId="7914CAC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АД</w:t>
            </w:r>
          </w:p>
        </w:tc>
        <w:tc>
          <w:tcPr>
            <w:tcW w:w="1080" w:type="dxa"/>
          </w:tcPr>
          <w:p w14:paraId="2DB462E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shd w:val="clear" w:color="auto" w:fill="FFFFFF"/>
              </w:rPr>
              <w:t>TUBB4A</w:t>
            </w:r>
          </w:p>
        </w:tc>
        <w:tc>
          <w:tcPr>
            <w:tcW w:w="1980" w:type="dxa"/>
          </w:tcPr>
          <w:p w14:paraId="7C420DE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МРТ проследяване: атрофия на бялото подкорово вещество, неостриатум  (putamen&gt;pallidum)</w:t>
            </w:r>
          </w:p>
          <w:p w14:paraId="0D1C51A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МРС проследяване: глиоза</w:t>
            </w:r>
          </w:p>
        </w:tc>
        <w:tc>
          <w:tcPr>
            <w:tcW w:w="2880" w:type="dxa"/>
          </w:tcPr>
          <w:p w14:paraId="12753B8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Нарушено ранно развитие, екстрапирамиден синдром (хореоатетоза, ригидност, дистония), атаксия, спастицитет. Различна степен на умствен дефицит </w:t>
            </w:r>
          </w:p>
        </w:tc>
      </w:tr>
      <w:tr w:rsidR="00BE0B19" w:rsidRPr="00AE47C6" w14:paraId="2170AB0E" w14:textId="77777777" w:rsidTr="00AD72E5">
        <w:tc>
          <w:tcPr>
            <w:tcW w:w="2083" w:type="dxa"/>
          </w:tcPr>
          <w:p w14:paraId="6A221C2F"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Левкоенцефалопатия със стволово и гръбначномозъчно засягане и повишен лактат</w:t>
            </w:r>
          </w:p>
        </w:tc>
        <w:tc>
          <w:tcPr>
            <w:tcW w:w="1265" w:type="dxa"/>
          </w:tcPr>
          <w:p w14:paraId="39A01E7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AР</w:t>
            </w:r>
          </w:p>
        </w:tc>
        <w:tc>
          <w:tcPr>
            <w:tcW w:w="1080" w:type="dxa"/>
          </w:tcPr>
          <w:p w14:paraId="4EBDFB4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sz w:val="24"/>
                <w:szCs w:val="24"/>
              </w:rPr>
            </w:pPr>
            <w:r w:rsidRPr="00AE47C6">
              <w:rPr>
                <w:rFonts w:ascii="Times New Roman" w:eastAsia="SimSun" w:hAnsi="Times New Roman"/>
                <w:sz w:val="24"/>
                <w:szCs w:val="24"/>
              </w:rPr>
              <w:t>DARS2 gene</w:t>
            </w:r>
          </w:p>
          <w:p w14:paraId="695D74C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p>
        </w:tc>
        <w:tc>
          <w:tcPr>
            <w:tcW w:w="1980" w:type="dxa"/>
          </w:tcPr>
          <w:p w14:paraId="415714D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МРТ: обширни симетрични подкорови демиелинизации, в corpus callosum, мозъчния ствол и гръбначния мозък</w:t>
            </w:r>
          </w:p>
          <w:p w14:paraId="44C8898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МРС: повишен лактат в областите с демиелинизация  </w:t>
            </w:r>
          </w:p>
        </w:tc>
        <w:tc>
          <w:tcPr>
            <w:tcW w:w="2880" w:type="dxa"/>
          </w:tcPr>
          <w:p w14:paraId="5C50C3B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Бавно прогресираща пирамидна, церебеларна и задностълбцова увреда </w:t>
            </w:r>
          </w:p>
        </w:tc>
      </w:tr>
    </w:tbl>
    <w:p w14:paraId="7A5F09AE" w14:textId="77777777" w:rsidR="00BE0B19" w:rsidRPr="00AE47C6" w:rsidRDefault="00BE0B19" w:rsidP="00BE0B19">
      <w:pPr>
        <w:spacing w:after="0" w:line="360" w:lineRule="auto"/>
        <w:jc w:val="both"/>
        <w:rPr>
          <w:rFonts w:ascii="Times New Roman" w:eastAsia="SimSun" w:hAnsi="Times New Roman"/>
          <w:sz w:val="24"/>
          <w:szCs w:val="24"/>
        </w:rPr>
      </w:pPr>
    </w:p>
    <w:p w14:paraId="2B0350FF"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
          <w:sz w:val="24"/>
          <w:szCs w:val="24"/>
        </w:rPr>
        <w:t xml:space="preserve">Диагностицирането </w:t>
      </w:r>
      <w:r w:rsidRPr="00AE47C6">
        <w:rPr>
          <w:rFonts w:ascii="Times New Roman" w:eastAsia="SimSun" w:hAnsi="Times New Roman"/>
          <w:sz w:val="24"/>
          <w:szCs w:val="24"/>
        </w:rPr>
        <w:t>на типа и клиничната форма на левкодистрофията</w:t>
      </w:r>
      <w:r w:rsidRPr="00AE47C6">
        <w:rPr>
          <w:rFonts w:ascii="Times New Roman" w:eastAsia="SimSun" w:hAnsi="Times New Roman"/>
          <w:bCs/>
          <w:sz w:val="24"/>
          <w:szCs w:val="24"/>
        </w:rPr>
        <w:t xml:space="preserve"> е на базата на: </w:t>
      </w:r>
    </w:p>
    <w:p w14:paraId="394718FC"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1. </w:t>
      </w:r>
      <w:r w:rsidRPr="00AE47C6">
        <w:rPr>
          <w:rFonts w:ascii="Times New Roman" w:eastAsia="SimSun" w:hAnsi="Times New Roman"/>
          <w:i/>
          <w:iCs/>
          <w:sz w:val="24"/>
          <w:szCs w:val="24"/>
        </w:rPr>
        <w:t>Клиничната картина</w:t>
      </w:r>
      <w:r w:rsidRPr="00AE47C6">
        <w:rPr>
          <w:rFonts w:ascii="Times New Roman" w:eastAsia="SimSun" w:hAnsi="Times New Roman"/>
          <w:sz w:val="24"/>
          <w:szCs w:val="24"/>
        </w:rPr>
        <w:t xml:space="preserve"> с прогресиращ неврологичен дефицит от засягане на пирамидните и церебеларни пътища, епилептични припадъци, оптична атрофия, липса на макулна дегенерация, периферна полиневропатия (в някои случаи); особености в симптоматиката – ранен нистагъм при болестта на Pelizeaus-Merzbacher, макроцефалия при болестта на Canavan и Alexander. </w:t>
      </w:r>
    </w:p>
    <w:p w14:paraId="779646EC" w14:textId="77777777" w:rsidR="00BE0B19" w:rsidRPr="00AE47C6" w:rsidRDefault="00BE0B19" w:rsidP="00BE0B19">
      <w:pPr>
        <w:spacing w:after="0" w:line="360" w:lineRule="auto"/>
        <w:ind w:firstLine="720"/>
        <w:contextualSpacing/>
        <w:jc w:val="both"/>
        <w:rPr>
          <w:rFonts w:ascii="Times New Roman" w:eastAsia="SimSun" w:hAnsi="Times New Roman"/>
          <w:bCs/>
          <w:sz w:val="24"/>
          <w:szCs w:val="24"/>
        </w:rPr>
      </w:pPr>
      <w:r w:rsidRPr="00AE47C6">
        <w:rPr>
          <w:rFonts w:ascii="Times New Roman" w:eastAsia="SimSun" w:hAnsi="Times New Roman"/>
          <w:bCs/>
          <w:sz w:val="24"/>
          <w:szCs w:val="24"/>
        </w:rPr>
        <w:t xml:space="preserve">2. </w:t>
      </w:r>
      <w:r w:rsidRPr="00AE47C6">
        <w:rPr>
          <w:rFonts w:ascii="Times New Roman" w:eastAsia="SimSun" w:hAnsi="Times New Roman"/>
          <w:bCs/>
          <w:i/>
          <w:iCs/>
          <w:sz w:val="24"/>
          <w:szCs w:val="24"/>
        </w:rPr>
        <w:t xml:space="preserve">Характерна локализация на демиелинизациите в МРТ </w:t>
      </w:r>
      <w:r w:rsidRPr="00AE47C6">
        <w:rPr>
          <w:rFonts w:ascii="Times New Roman" w:eastAsia="SimSun" w:hAnsi="Times New Roman"/>
          <w:bCs/>
          <w:sz w:val="24"/>
          <w:szCs w:val="24"/>
        </w:rPr>
        <w:t>(</w:t>
      </w:r>
      <w:r w:rsidRPr="00AE47C6">
        <w:rPr>
          <w:rFonts w:ascii="Times New Roman" w:eastAsia="SimSun" w:hAnsi="Times New Roman"/>
          <w:sz w:val="24"/>
          <w:szCs w:val="24"/>
        </w:rPr>
        <w:t>парието-окципитална - при Krabbe, фронтална - при Alexander</w:t>
      </w:r>
      <w:r w:rsidRPr="00AE47C6">
        <w:rPr>
          <w:rFonts w:ascii="Times New Roman" w:eastAsia="SimSun" w:hAnsi="Times New Roman"/>
          <w:bCs/>
          <w:sz w:val="24"/>
          <w:szCs w:val="24"/>
        </w:rPr>
        <w:t xml:space="preserve">) </w:t>
      </w:r>
    </w:p>
    <w:p w14:paraId="5B2BC198"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3. </w:t>
      </w:r>
      <w:r w:rsidRPr="00AE47C6">
        <w:rPr>
          <w:rFonts w:ascii="Times New Roman" w:eastAsia="SimSun" w:hAnsi="Times New Roman"/>
          <w:i/>
          <w:iCs/>
          <w:sz w:val="24"/>
          <w:szCs w:val="24"/>
        </w:rPr>
        <w:t>Откриване на определен биохимичен дефект</w:t>
      </w:r>
      <w:r w:rsidRPr="00AE47C6">
        <w:rPr>
          <w:rFonts w:ascii="Times New Roman" w:eastAsia="SimSun" w:hAnsi="Times New Roman"/>
          <w:sz w:val="24"/>
          <w:szCs w:val="24"/>
        </w:rPr>
        <w:t xml:space="preserve">: арилсулфатазен дефицит при метахроматичната левкодистрофия, дефицит на β-галактоцереброзидазата при болестта на Krabbe, увеличен N-acetylaspartat при болест на Canavan и високи стойности на дълговерижните мастни киселини при адренолевкодистрофията. </w:t>
      </w:r>
    </w:p>
    <w:p w14:paraId="38AED9C8"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4. </w:t>
      </w:r>
      <w:r w:rsidRPr="00AE47C6">
        <w:rPr>
          <w:rFonts w:ascii="Times New Roman" w:eastAsia="SimSun" w:hAnsi="Times New Roman"/>
          <w:i/>
          <w:sz w:val="24"/>
          <w:szCs w:val="24"/>
        </w:rPr>
        <w:t xml:space="preserve">Генетични изследвания </w:t>
      </w:r>
      <w:r w:rsidRPr="00AE47C6">
        <w:rPr>
          <w:rFonts w:ascii="Times New Roman" w:eastAsia="SimSun" w:hAnsi="Times New Roman"/>
          <w:iCs/>
          <w:sz w:val="24"/>
          <w:szCs w:val="24"/>
        </w:rPr>
        <w:t xml:space="preserve">за </w:t>
      </w:r>
      <w:r w:rsidRPr="00AE47C6">
        <w:rPr>
          <w:rFonts w:ascii="Times New Roman" w:eastAsia="SimSun" w:hAnsi="Times New Roman"/>
          <w:sz w:val="24"/>
          <w:szCs w:val="24"/>
        </w:rPr>
        <w:t>разкриване</w:t>
      </w:r>
      <w:r w:rsidRPr="00AE47C6">
        <w:rPr>
          <w:rFonts w:ascii="Times New Roman" w:eastAsia="SimSun" w:hAnsi="Times New Roman"/>
          <w:iCs/>
          <w:sz w:val="24"/>
          <w:szCs w:val="24"/>
        </w:rPr>
        <w:t xml:space="preserve"> на специфичен генен дефект</w:t>
      </w:r>
    </w:p>
    <w:p w14:paraId="26E5A746"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Диференциална диагноза. </w:t>
      </w:r>
      <w:r w:rsidRPr="00AE47C6">
        <w:rPr>
          <w:rFonts w:ascii="Times New Roman" w:eastAsia="SimSun" w:hAnsi="Times New Roman"/>
          <w:sz w:val="24"/>
          <w:szCs w:val="24"/>
        </w:rPr>
        <w:t xml:space="preserve">Левкодистрофиите се диференцират на базата на клиниката, изследвания и МРТ (Табл. </w:t>
      </w:r>
      <w:r w:rsidRPr="00AE47C6">
        <w:rPr>
          <w:rFonts w:ascii="Times New Roman" w:eastAsia="SimSun" w:hAnsi="Times New Roman"/>
          <w:bCs/>
          <w:sz w:val="24"/>
          <w:szCs w:val="24"/>
        </w:rPr>
        <w:t>5.17</w:t>
      </w:r>
      <w:r w:rsidRPr="00AE47C6">
        <w:rPr>
          <w:rFonts w:ascii="Times New Roman" w:eastAsia="SimSun" w:hAnsi="Times New Roman"/>
          <w:b/>
          <w:bCs/>
          <w:sz w:val="24"/>
          <w:szCs w:val="24"/>
        </w:rPr>
        <w:t>.</w:t>
      </w:r>
      <w:r w:rsidRPr="00AE47C6">
        <w:rPr>
          <w:rFonts w:ascii="Times New Roman" w:eastAsiaTheme="minorEastAsia" w:hAnsi="Times New Roman"/>
          <w:b/>
          <w:bCs/>
          <w:kern w:val="24"/>
          <w:sz w:val="24"/>
          <w:szCs w:val="24"/>
        </w:rPr>
        <w:t>)</w:t>
      </w:r>
      <w:r w:rsidRPr="00AE47C6">
        <w:rPr>
          <w:rFonts w:ascii="Times New Roman" w:eastAsia="SimSun" w:hAnsi="Times New Roman"/>
          <w:sz w:val="24"/>
          <w:szCs w:val="24"/>
        </w:rPr>
        <w:t xml:space="preserve"> от: </w:t>
      </w:r>
    </w:p>
    <w:p w14:paraId="534EE532" w14:textId="77777777" w:rsidR="00BE0B19" w:rsidRPr="00AE47C6" w:rsidRDefault="00BE0B19" w:rsidP="00BE0B19">
      <w:pPr>
        <w:numPr>
          <w:ilvl w:val="0"/>
          <w:numId w:val="55"/>
        </w:numPr>
        <w:spacing w:after="0" w:line="360" w:lineRule="auto"/>
        <w:ind w:left="0" w:hanging="426"/>
        <w:jc w:val="both"/>
        <w:rPr>
          <w:rFonts w:ascii="Times New Roman" w:eastAsia="SimSun" w:hAnsi="Times New Roman"/>
          <w:sz w:val="24"/>
          <w:szCs w:val="24"/>
        </w:rPr>
      </w:pPr>
      <w:r w:rsidRPr="00AE47C6">
        <w:rPr>
          <w:rFonts w:ascii="Times New Roman" w:eastAsia="SimSun" w:hAnsi="Times New Roman"/>
          <w:bCs/>
          <w:i/>
          <w:sz w:val="24"/>
          <w:szCs w:val="24"/>
        </w:rPr>
        <w:t>Левкоенцефалопатии</w:t>
      </w:r>
      <w:r w:rsidRPr="00AE47C6">
        <w:rPr>
          <w:rFonts w:ascii="Times New Roman" w:eastAsia="SimSun" w:hAnsi="Times New Roman"/>
          <w:i/>
          <w:sz w:val="24"/>
          <w:szCs w:val="24"/>
        </w:rPr>
        <w:t>.</w:t>
      </w:r>
      <w:r w:rsidRPr="00AE47C6">
        <w:rPr>
          <w:rFonts w:ascii="Times New Roman" w:eastAsia="SimSun" w:hAnsi="Times New Roman"/>
          <w:sz w:val="24"/>
          <w:szCs w:val="24"/>
        </w:rPr>
        <w:t xml:space="preserve"> По-бавно прогресиращи заболявания, без специфичния ензимен и генен дефект, характерни за левкодистрофиите.  </w:t>
      </w:r>
    </w:p>
    <w:p w14:paraId="14BB94EB" w14:textId="77777777" w:rsidR="00BE0B19" w:rsidRPr="00AE47C6" w:rsidRDefault="00BE0B19" w:rsidP="00BE0B19">
      <w:pPr>
        <w:numPr>
          <w:ilvl w:val="0"/>
          <w:numId w:val="55"/>
        </w:numPr>
        <w:spacing w:after="0" w:line="360" w:lineRule="auto"/>
        <w:ind w:left="0" w:hanging="426"/>
        <w:jc w:val="both"/>
        <w:rPr>
          <w:rFonts w:ascii="Times New Roman" w:eastAsia="SimSun" w:hAnsi="Times New Roman"/>
          <w:sz w:val="24"/>
          <w:szCs w:val="24"/>
        </w:rPr>
      </w:pPr>
      <w:r w:rsidRPr="00AE47C6">
        <w:rPr>
          <w:rFonts w:ascii="Times New Roman" w:eastAsia="SimSun" w:hAnsi="Times New Roman"/>
          <w:i/>
          <w:sz w:val="24"/>
          <w:szCs w:val="24"/>
        </w:rPr>
        <w:t>Невролипидози.</w:t>
      </w:r>
      <w:r w:rsidRPr="00AE47C6">
        <w:rPr>
          <w:rFonts w:ascii="Times New Roman" w:eastAsia="SimSun" w:hAnsi="Times New Roman"/>
          <w:sz w:val="24"/>
          <w:szCs w:val="24"/>
        </w:rPr>
        <w:t xml:space="preserve"> Характеризират се с ранна изява на миоклонус, епилептични припадъци, ретинална дегенерация, екстрапирамидни хиперкинези, хепатоспленомегалия (болест на Niemann-Pick и на Gaucher), макроцефалия при болестта на Tay–Sachs. Установяват се характерни лизозомни клетъчни включвания. МРТ и КТ визуализират дифузна мозъчна атрофия. Установява се характерен за отделните форми ензимен дефицит.</w:t>
      </w:r>
    </w:p>
    <w:p w14:paraId="7B4CC878" w14:textId="77777777" w:rsidR="00BE0B19" w:rsidRPr="00AE47C6" w:rsidRDefault="00BE0B19" w:rsidP="00BE0B19">
      <w:pPr>
        <w:numPr>
          <w:ilvl w:val="0"/>
          <w:numId w:val="55"/>
        </w:numPr>
        <w:spacing w:after="0" w:line="360" w:lineRule="auto"/>
        <w:ind w:left="0" w:hanging="426"/>
        <w:jc w:val="both"/>
        <w:rPr>
          <w:rFonts w:ascii="Times New Roman" w:eastAsia="SimSun" w:hAnsi="Times New Roman"/>
          <w:sz w:val="24"/>
          <w:szCs w:val="24"/>
        </w:rPr>
      </w:pPr>
      <w:r w:rsidRPr="00AE47C6">
        <w:rPr>
          <w:rFonts w:ascii="Times New Roman" w:eastAsia="SimSun" w:hAnsi="Times New Roman"/>
          <w:i/>
          <w:sz w:val="24"/>
          <w:szCs w:val="24"/>
        </w:rPr>
        <w:t>Детска церебрална парализа</w:t>
      </w:r>
      <w:r w:rsidRPr="00AE47C6">
        <w:rPr>
          <w:rFonts w:ascii="Times New Roman" w:eastAsia="SimSun" w:hAnsi="Times New Roman"/>
          <w:sz w:val="24"/>
          <w:szCs w:val="24"/>
        </w:rPr>
        <w:t xml:space="preserve">. </w:t>
      </w:r>
      <w:r w:rsidRPr="00AE47C6">
        <w:rPr>
          <w:rFonts w:ascii="Times New Roman" w:eastAsia="SimSun" w:hAnsi="Times New Roman"/>
          <w:bCs/>
          <w:sz w:val="24"/>
          <w:szCs w:val="24"/>
        </w:rPr>
        <w:t>Има</w:t>
      </w:r>
      <w:r w:rsidRPr="00AE47C6">
        <w:rPr>
          <w:rFonts w:ascii="Times New Roman" w:eastAsia="SimSun" w:hAnsi="Times New Roman"/>
          <w:sz w:val="24"/>
          <w:szCs w:val="24"/>
        </w:rPr>
        <w:t xml:space="preserve"> непрогресиращ двигателен и интелектуален дефицит с различна етиология (вродени мозъчни малформации, генен дефект, хипоксично-исхемична енцефалопатия, родов травматизъм).</w:t>
      </w:r>
    </w:p>
    <w:p w14:paraId="4BB3A046" w14:textId="77777777" w:rsidR="00BE0B19" w:rsidRPr="00AE47C6" w:rsidRDefault="00BE0B19" w:rsidP="00BE0B19">
      <w:pPr>
        <w:numPr>
          <w:ilvl w:val="0"/>
          <w:numId w:val="55"/>
        </w:numPr>
        <w:spacing w:after="0" w:line="360" w:lineRule="auto"/>
        <w:ind w:left="0" w:hanging="426"/>
        <w:jc w:val="both"/>
        <w:rPr>
          <w:rFonts w:ascii="Times New Roman" w:eastAsia="SimSun" w:hAnsi="Times New Roman"/>
          <w:sz w:val="24"/>
          <w:szCs w:val="24"/>
        </w:rPr>
      </w:pPr>
      <w:r w:rsidRPr="00AE47C6">
        <w:rPr>
          <w:rFonts w:ascii="Times New Roman" w:eastAsia="SimSun" w:hAnsi="Times New Roman"/>
          <w:i/>
          <w:sz w:val="24"/>
          <w:szCs w:val="24"/>
        </w:rPr>
        <w:t>Вродени инфекции на ЦНС</w:t>
      </w:r>
      <w:r w:rsidRPr="00AE47C6">
        <w:rPr>
          <w:rFonts w:ascii="Times New Roman" w:eastAsia="SimSun" w:hAnsi="Times New Roman"/>
          <w:sz w:val="24"/>
          <w:szCs w:val="24"/>
        </w:rPr>
        <w:t xml:space="preserve"> (цитомегаловирусна, херпес симплекс вирусна инфекция, вродена рубеола, токсоплазмоза). Диагностицират се по характерната клинична картина, КТ находка с калцификати и серологичните данни.</w:t>
      </w:r>
    </w:p>
    <w:p w14:paraId="451880DC" w14:textId="77777777" w:rsidR="00BE0B19" w:rsidRPr="00AE47C6" w:rsidRDefault="00BE0B19" w:rsidP="00BE0B19">
      <w:pPr>
        <w:numPr>
          <w:ilvl w:val="0"/>
          <w:numId w:val="55"/>
        </w:numPr>
        <w:spacing w:after="0" w:line="360" w:lineRule="auto"/>
        <w:ind w:left="0" w:hanging="426"/>
        <w:jc w:val="both"/>
        <w:rPr>
          <w:rFonts w:ascii="Times New Roman" w:eastAsia="SimSun" w:hAnsi="Times New Roman"/>
          <w:sz w:val="24"/>
          <w:szCs w:val="24"/>
        </w:rPr>
      </w:pPr>
      <w:r w:rsidRPr="00AE47C6">
        <w:rPr>
          <w:rFonts w:ascii="Times New Roman" w:eastAsia="SimSun" w:hAnsi="Times New Roman"/>
          <w:sz w:val="24"/>
          <w:szCs w:val="24"/>
        </w:rPr>
        <w:t>Подостри енцефалити (SSPE, HIV енцефалопатия). Доказва се вирусен причинител.</w:t>
      </w:r>
    </w:p>
    <w:p w14:paraId="5814532F" w14:textId="77777777" w:rsidR="00BE0B19" w:rsidRPr="00AE47C6" w:rsidRDefault="00BE0B19" w:rsidP="00BE0B19">
      <w:pPr>
        <w:numPr>
          <w:ilvl w:val="0"/>
          <w:numId w:val="55"/>
        </w:numPr>
        <w:spacing w:after="0" w:line="360" w:lineRule="auto"/>
        <w:ind w:left="0" w:hanging="426"/>
        <w:jc w:val="both"/>
        <w:rPr>
          <w:rFonts w:ascii="Times New Roman" w:eastAsia="SimSun" w:hAnsi="Times New Roman"/>
          <w:sz w:val="24"/>
          <w:szCs w:val="24"/>
        </w:rPr>
      </w:pPr>
      <w:r w:rsidRPr="00AE47C6">
        <w:rPr>
          <w:rFonts w:ascii="Times New Roman" w:eastAsia="SimSun" w:hAnsi="Times New Roman"/>
          <w:i/>
          <w:sz w:val="24"/>
          <w:szCs w:val="24"/>
        </w:rPr>
        <w:t>Митохондриални енцефаломиопатия</w:t>
      </w:r>
      <w:r w:rsidRPr="00AE47C6">
        <w:rPr>
          <w:rFonts w:ascii="Times New Roman" w:eastAsia="SimSun" w:hAnsi="Times New Roman"/>
          <w:sz w:val="24"/>
          <w:szCs w:val="24"/>
        </w:rPr>
        <w:t xml:space="preserve"> при вроден дефект в лактатния метаболизъм с прогресиращо мултисистемно засягане на ЦНС, периферните нерви и мускулите, зрението (пигментен ретинит) и слуха. Много характерна е прогресиращата външна офталмоплегия, полимиоклонусът, атаксията, високите стойности на лактат в серума и ликвора и мускулната биопсия с разкъсани червени влакна. </w:t>
      </w:r>
    </w:p>
    <w:p w14:paraId="1EC8150F" w14:textId="77777777" w:rsidR="00BE0B19" w:rsidRPr="00AE47C6" w:rsidRDefault="00BE0B19" w:rsidP="00BE0B19">
      <w:pPr>
        <w:numPr>
          <w:ilvl w:val="0"/>
          <w:numId w:val="55"/>
        </w:numPr>
        <w:spacing w:after="0" w:line="360" w:lineRule="auto"/>
        <w:ind w:left="0" w:hanging="426"/>
        <w:jc w:val="both"/>
        <w:rPr>
          <w:rFonts w:ascii="Times New Roman" w:eastAsia="SimSun" w:hAnsi="Times New Roman"/>
          <w:sz w:val="24"/>
          <w:szCs w:val="24"/>
        </w:rPr>
      </w:pPr>
      <w:r w:rsidRPr="00AE47C6">
        <w:rPr>
          <w:rFonts w:ascii="Times New Roman" w:eastAsia="SimSun" w:hAnsi="Times New Roman"/>
          <w:i/>
          <w:sz w:val="24"/>
          <w:szCs w:val="24"/>
        </w:rPr>
        <w:t>Епилептични енцефалопатии</w:t>
      </w:r>
      <w:r w:rsidRPr="00AE47C6">
        <w:rPr>
          <w:rFonts w:ascii="Times New Roman" w:eastAsia="SimSun" w:hAnsi="Times New Roman"/>
          <w:sz w:val="24"/>
          <w:szCs w:val="24"/>
        </w:rPr>
        <w:t>. Синдромите на West, Dravet и Lennox-Gastaut протичат с прогресиращ когнитивен и неврологичен дефицит.</w:t>
      </w:r>
    </w:p>
    <w:p w14:paraId="7CDC91E6" w14:textId="77777777" w:rsidR="00BE0B19" w:rsidRPr="00AE47C6" w:rsidRDefault="00BE0B19" w:rsidP="00BE0B19">
      <w:pPr>
        <w:spacing w:after="0" w:line="360" w:lineRule="auto"/>
        <w:rPr>
          <w:rFonts w:ascii="Times New Roman" w:eastAsia="SimSun" w:hAnsi="Times New Roman"/>
          <w:b/>
          <w:bCs/>
          <w:sz w:val="24"/>
          <w:szCs w:val="24"/>
        </w:rPr>
      </w:pPr>
    </w:p>
    <w:p w14:paraId="34D62043"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 xml:space="preserve">Таблица 5.17. Диференциална диагноза при МРТ данни за засягане на бялото мозъчно вещество при деца </w:t>
      </w:r>
    </w:p>
    <w:tbl>
      <w:tblPr>
        <w:tblStyle w:val="TableGrid1"/>
        <w:tblW w:w="8921" w:type="dxa"/>
        <w:tblLook w:val="04A0" w:firstRow="1" w:lastRow="0" w:firstColumn="1" w:lastColumn="0" w:noHBand="0" w:noVBand="1"/>
      </w:tblPr>
      <w:tblGrid>
        <w:gridCol w:w="4526"/>
        <w:gridCol w:w="4395"/>
      </w:tblGrid>
      <w:tr w:rsidR="00BE0B19" w:rsidRPr="00AE47C6" w14:paraId="375D211D" w14:textId="77777777" w:rsidTr="00AD72E5">
        <w:trPr>
          <w:trHeight w:val="323"/>
        </w:trPr>
        <w:tc>
          <w:tcPr>
            <w:tcW w:w="4526" w:type="dxa"/>
            <w:hideMark/>
          </w:tcPr>
          <w:p w14:paraId="15A07FFC" w14:textId="77777777" w:rsidR="00BE0B19" w:rsidRPr="00AE47C6" w:rsidRDefault="00BE0B19" w:rsidP="00BE0B19">
            <w:pPr>
              <w:spacing w:after="0" w:line="360" w:lineRule="auto"/>
              <w:rPr>
                <w:rFonts w:ascii="Times New Roman" w:hAnsi="Times New Roman" w:cs="Times New Roman"/>
                <w:sz w:val="24"/>
                <w:szCs w:val="24"/>
              </w:rPr>
            </w:pPr>
            <w:r w:rsidRPr="00AE47C6">
              <w:rPr>
                <w:rFonts w:ascii="Times New Roman" w:hAnsi="Times New Roman" w:cs="Times New Roman"/>
                <w:b/>
                <w:bCs/>
                <w:sz w:val="24"/>
                <w:szCs w:val="24"/>
              </w:rPr>
              <w:t>Левкодистрофии и левкоенцефалопатии в детската възраст</w:t>
            </w:r>
          </w:p>
        </w:tc>
        <w:tc>
          <w:tcPr>
            <w:tcW w:w="4395" w:type="dxa"/>
            <w:hideMark/>
          </w:tcPr>
          <w:p w14:paraId="495AB1A0" w14:textId="77777777" w:rsidR="00BE0B19" w:rsidRPr="00AE47C6" w:rsidRDefault="00BE0B19" w:rsidP="00BE0B19">
            <w:pPr>
              <w:spacing w:after="0" w:line="360" w:lineRule="auto"/>
              <w:rPr>
                <w:rFonts w:ascii="Times New Roman" w:hAnsi="Times New Roman" w:cs="Times New Roman"/>
                <w:sz w:val="24"/>
                <w:szCs w:val="24"/>
              </w:rPr>
            </w:pPr>
            <w:r w:rsidRPr="00AE47C6">
              <w:rPr>
                <w:rFonts w:ascii="Times New Roman" w:hAnsi="Times New Roman" w:cs="Times New Roman"/>
                <w:b/>
                <w:bCs/>
                <w:sz w:val="24"/>
                <w:szCs w:val="24"/>
              </w:rPr>
              <w:t>Диференциална диагноза</w:t>
            </w:r>
          </w:p>
        </w:tc>
      </w:tr>
      <w:tr w:rsidR="00BE0B19" w:rsidRPr="00AE47C6" w14:paraId="5E002E94" w14:textId="77777777" w:rsidTr="00AD72E5">
        <w:trPr>
          <w:trHeight w:val="541"/>
        </w:trPr>
        <w:tc>
          <w:tcPr>
            <w:tcW w:w="4526" w:type="dxa"/>
            <w:hideMark/>
          </w:tcPr>
          <w:p w14:paraId="0ACC3526" w14:textId="77777777" w:rsidR="00BE0B19" w:rsidRPr="00AE47C6" w:rsidRDefault="00BE0B19" w:rsidP="00BE0B19">
            <w:pPr>
              <w:numPr>
                <w:ilvl w:val="0"/>
                <w:numId w:val="363"/>
              </w:numPr>
              <w:spacing w:after="0" w:line="360" w:lineRule="auto"/>
              <w:rPr>
                <w:rFonts w:ascii="Times New Roman" w:hAnsi="Times New Roman" w:cs="Times New Roman"/>
                <w:sz w:val="24"/>
                <w:szCs w:val="24"/>
              </w:rPr>
            </w:pPr>
            <w:r w:rsidRPr="00AE47C6">
              <w:rPr>
                <w:rFonts w:ascii="Times New Roman" w:hAnsi="Times New Roman" w:cs="Times New Roman"/>
                <w:bCs/>
                <w:sz w:val="24"/>
                <w:szCs w:val="24"/>
              </w:rPr>
              <w:t>Детска Х-свързана адренолевкодистрофия с мозъчно засягане</w:t>
            </w:r>
          </w:p>
          <w:p w14:paraId="571F9D96" w14:textId="77777777" w:rsidR="00BE0B19" w:rsidRPr="00AE47C6" w:rsidRDefault="00BE0B19" w:rsidP="00BE0B19">
            <w:pPr>
              <w:numPr>
                <w:ilvl w:val="0"/>
                <w:numId w:val="363"/>
              </w:numPr>
              <w:spacing w:after="0" w:line="360" w:lineRule="auto"/>
              <w:rPr>
                <w:rFonts w:ascii="Times New Roman" w:hAnsi="Times New Roman" w:cs="Times New Roman"/>
                <w:sz w:val="24"/>
                <w:szCs w:val="24"/>
              </w:rPr>
            </w:pPr>
            <w:r w:rsidRPr="00AE47C6">
              <w:rPr>
                <w:rFonts w:ascii="Times New Roman" w:hAnsi="Times New Roman" w:cs="Times New Roman"/>
                <w:bCs/>
                <w:sz w:val="24"/>
                <w:szCs w:val="24"/>
              </w:rPr>
              <w:t>Vanishing matter disease</w:t>
            </w:r>
          </w:p>
          <w:p w14:paraId="72ED78D4" w14:textId="77777777" w:rsidR="00BE0B19" w:rsidRPr="00AE47C6" w:rsidRDefault="00BE0B19" w:rsidP="00BE0B19">
            <w:pPr>
              <w:numPr>
                <w:ilvl w:val="0"/>
                <w:numId w:val="363"/>
              </w:numPr>
              <w:spacing w:after="0" w:line="360" w:lineRule="auto"/>
              <w:rPr>
                <w:rFonts w:ascii="Times New Roman" w:hAnsi="Times New Roman" w:cs="Times New Roman"/>
                <w:sz w:val="24"/>
                <w:szCs w:val="24"/>
              </w:rPr>
            </w:pPr>
            <w:r w:rsidRPr="00AE47C6">
              <w:rPr>
                <w:rFonts w:ascii="Times New Roman" w:hAnsi="Times New Roman" w:cs="Times New Roman"/>
                <w:bCs/>
                <w:sz w:val="24"/>
                <w:szCs w:val="24"/>
              </w:rPr>
              <w:t>Метахроматична левкодистрофия</w:t>
            </w:r>
          </w:p>
          <w:p w14:paraId="1B414817" w14:textId="77777777" w:rsidR="00BE0B19" w:rsidRPr="00AE47C6" w:rsidRDefault="00BE0B19" w:rsidP="00BE0B19">
            <w:pPr>
              <w:numPr>
                <w:ilvl w:val="0"/>
                <w:numId w:val="363"/>
              </w:numPr>
              <w:spacing w:after="0" w:line="360" w:lineRule="auto"/>
              <w:rPr>
                <w:rFonts w:ascii="Times New Roman" w:hAnsi="Times New Roman" w:cs="Times New Roman"/>
                <w:sz w:val="24"/>
                <w:szCs w:val="24"/>
              </w:rPr>
            </w:pPr>
            <w:r w:rsidRPr="00AE47C6">
              <w:rPr>
                <w:rFonts w:ascii="Times New Roman" w:hAnsi="Times New Roman" w:cs="Times New Roman"/>
                <w:bCs/>
                <w:sz w:val="24"/>
                <w:szCs w:val="24"/>
              </w:rPr>
              <w:t>Глобоидоклетъчна левкодистрофия (Болест на Krabbe)</w:t>
            </w:r>
          </w:p>
          <w:p w14:paraId="32776390" w14:textId="77777777" w:rsidR="00BE0B19" w:rsidRPr="00AE47C6" w:rsidRDefault="00BE0B19" w:rsidP="00BE0B19">
            <w:pPr>
              <w:numPr>
                <w:ilvl w:val="0"/>
                <w:numId w:val="363"/>
              </w:numPr>
              <w:spacing w:after="0" w:line="360" w:lineRule="auto"/>
              <w:rPr>
                <w:rFonts w:ascii="Times New Roman" w:hAnsi="Times New Roman" w:cs="Times New Roman"/>
                <w:sz w:val="24"/>
                <w:szCs w:val="24"/>
              </w:rPr>
            </w:pPr>
            <w:r w:rsidRPr="00AE47C6">
              <w:rPr>
                <w:rFonts w:ascii="Times New Roman" w:hAnsi="Times New Roman" w:cs="Times New Roman"/>
                <w:bCs/>
                <w:sz w:val="24"/>
                <w:szCs w:val="24"/>
              </w:rPr>
              <w:t>Болест на Canavan</w:t>
            </w:r>
          </w:p>
          <w:p w14:paraId="2933508C" w14:textId="77777777" w:rsidR="00BE0B19" w:rsidRPr="00AE47C6" w:rsidRDefault="00BE0B19" w:rsidP="00BE0B19">
            <w:pPr>
              <w:numPr>
                <w:ilvl w:val="0"/>
                <w:numId w:val="363"/>
              </w:numPr>
              <w:spacing w:after="0" w:line="360" w:lineRule="auto"/>
              <w:rPr>
                <w:rFonts w:ascii="Times New Roman" w:hAnsi="Times New Roman" w:cs="Times New Roman"/>
                <w:sz w:val="24"/>
                <w:szCs w:val="24"/>
              </w:rPr>
            </w:pPr>
            <w:r w:rsidRPr="00AE47C6">
              <w:rPr>
                <w:rFonts w:ascii="Times New Roman" w:hAnsi="Times New Roman" w:cs="Times New Roman"/>
                <w:bCs/>
                <w:sz w:val="24"/>
                <w:szCs w:val="24"/>
              </w:rPr>
              <w:t>Болест на Alexander</w:t>
            </w:r>
          </w:p>
          <w:p w14:paraId="30A5DE68" w14:textId="77777777" w:rsidR="00BE0B19" w:rsidRPr="00AE47C6" w:rsidRDefault="00BE0B19" w:rsidP="00BE0B19">
            <w:pPr>
              <w:numPr>
                <w:ilvl w:val="0"/>
                <w:numId w:val="363"/>
              </w:numPr>
              <w:spacing w:after="0" w:line="360" w:lineRule="auto"/>
              <w:rPr>
                <w:rFonts w:ascii="Times New Roman" w:hAnsi="Times New Roman" w:cs="Times New Roman"/>
                <w:sz w:val="24"/>
                <w:szCs w:val="24"/>
              </w:rPr>
            </w:pPr>
            <w:r w:rsidRPr="00AE47C6">
              <w:rPr>
                <w:rFonts w:ascii="Times New Roman" w:hAnsi="Times New Roman" w:cs="Times New Roman"/>
                <w:bCs/>
                <w:sz w:val="24"/>
                <w:szCs w:val="24"/>
              </w:rPr>
              <w:t>Некласифицирани левкодистрофии</w:t>
            </w:r>
          </w:p>
        </w:tc>
        <w:tc>
          <w:tcPr>
            <w:tcW w:w="4395" w:type="dxa"/>
            <w:hideMark/>
          </w:tcPr>
          <w:p w14:paraId="6652038F" w14:textId="77777777" w:rsidR="00BE0B19" w:rsidRPr="00AE47C6" w:rsidRDefault="00BE0B19" w:rsidP="00BE0B19">
            <w:pPr>
              <w:numPr>
                <w:ilvl w:val="0"/>
                <w:numId w:val="363"/>
              </w:numPr>
              <w:spacing w:after="0" w:line="360" w:lineRule="auto"/>
              <w:rPr>
                <w:rFonts w:ascii="Times New Roman" w:hAnsi="Times New Roman" w:cs="Times New Roman"/>
                <w:sz w:val="24"/>
                <w:szCs w:val="24"/>
              </w:rPr>
            </w:pPr>
            <w:r w:rsidRPr="00AE47C6">
              <w:rPr>
                <w:rFonts w:ascii="Times New Roman" w:hAnsi="Times New Roman" w:cs="Times New Roman"/>
                <w:sz w:val="24"/>
                <w:szCs w:val="24"/>
              </w:rPr>
              <w:t xml:space="preserve">Първични възпаления на ЦНС </w:t>
            </w:r>
            <w:r w:rsidRPr="00AE47C6">
              <w:rPr>
                <w:rFonts w:ascii="Times New Roman" w:hAnsi="Times New Roman" w:cs="Times New Roman"/>
                <w:bCs/>
                <w:sz w:val="24"/>
                <w:szCs w:val="24"/>
              </w:rPr>
              <w:t>(остър дисеминиран енцефаломиелит (ADEM) и множествена склероза (MS))</w:t>
            </w:r>
          </w:p>
          <w:p w14:paraId="735F8599" w14:textId="77777777" w:rsidR="00BE0B19" w:rsidRPr="00AE47C6" w:rsidRDefault="00BE0B19" w:rsidP="00BE0B19">
            <w:pPr>
              <w:numPr>
                <w:ilvl w:val="0"/>
                <w:numId w:val="363"/>
              </w:numPr>
              <w:spacing w:after="0" w:line="360" w:lineRule="auto"/>
              <w:rPr>
                <w:rFonts w:ascii="Times New Roman" w:hAnsi="Times New Roman" w:cs="Times New Roman"/>
                <w:sz w:val="24"/>
                <w:szCs w:val="24"/>
              </w:rPr>
            </w:pPr>
            <w:r w:rsidRPr="00AE47C6">
              <w:rPr>
                <w:rFonts w:ascii="Times New Roman" w:hAnsi="Times New Roman" w:cs="Times New Roman"/>
                <w:bCs/>
                <w:sz w:val="24"/>
                <w:szCs w:val="24"/>
              </w:rPr>
              <w:t>Първични инфекции на ЦНС (енцефалити)</w:t>
            </w:r>
          </w:p>
          <w:p w14:paraId="32953A11" w14:textId="77777777" w:rsidR="00BE0B19" w:rsidRPr="00AE47C6" w:rsidRDefault="00BE0B19" w:rsidP="00BE0B19">
            <w:pPr>
              <w:numPr>
                <w:ilvl w:val="0"/>
                <w:numId w:val="363"/>
              </w:numPr>
              <w:spacing w:after="0" w:line="360" w:lineRule="auto"/>
              <w:rPr>
                <w:rFonts w:ascii="Times New Roman" w:hAnsi="Times New Roman" w:cs="Times New Roman"/>
                <w:sz w:val="24"/>
                <w:szCs w:val="24"/>
              </w:rPr>
            </w:pPr>
            <w:r w:rsidRPr="00AE47C6">
              <w:rPr>
                <w:rFonts w:ascii="Times New Roman" w:hAnsi="Times New Roman" w:cs="Times New Roman"/>
                <w:bCs/>
                <w:sz w:val="24"/>
                <w:szCs w:val="24"/>
              </w:rPr>
              <w:t xml:space="preserve">Токсични левкоенцефалопатии </w:t>
            </w:r>
            <w:r w:rsidRPr="00AE47C6">
              <w:rPr>
                <w:rFonts w:ascii="Times New Roman" w:hAnsi="Times New Roman" w:cs="Times New Roman"/>
                <w:sz w:val="24"/>
                <w:szCs w:val="24"/>
              </w:rPr>
              <w:t>(радиационни, химиотерапия, биологични терапии)</w:t>
            </w:r>
          </w:p>
          <w:p w14:paraId="21E15ED7" w14:textId="77777777" w:rsidR="00BE0B19" w:rsidRPr="00AE47C6" w:rsidRDefault="00BE0B19" w:rsidP="00BE0B19">
            <w:pPr>
              <w:numPr>
                <w:ilvl w:val="0"/>
                <w:numId w:val="363"/>
              </w:numPr>
              <w:spacing w:after="0" w:line="360" w:lineRule="auto"/>
              <w:rPr>
                <w:rFonts w:ascii="Times New Roman" w:hAnsi="Times New Roman" w:cs="Times New Roman"/>
                <w:sz w:val="24"/>
                <w:szCs w:val="24"/>
              </w:rPr>
            </w:pPr>
            <w:r w:rsidRPr="00AE47C6">
              <w:rPr>
                <w:rFonts w:ascii="Times New Roman" w:hAnsi="Times New Roman" w:cs="Times New Roman"/>
                <w:bCs/>
                <w:sz w:val="24"/>
                <w:szCs w:val="24"/>
              </w:rPr>
              <w:t>Първични увреди (хипоксично-исхемична енцефалопатия, перивентрикулна левкомалация</w:t>
            </w:r>
            <w:r w:rsidRPr="00AE47C6">
              <w:rPr>
                <w:rFonts w:ascii="Times New Roman" w:hAnsi="Times New Roman" w:cs="Times New Roman"/>
                <w:b/>
                <w:bCs/>
                <w:sz w:val="24"/>
                <w:szCs w:val="24"/>
              </w:rPr>
              <w:t>)</w:t>
            </w:r>
          </w:p>
        </w:tc>
      </w:tr>
    </w:tbl>
    <w:p w14:paraId="4807C0C0" w14:textId="77777777" w:rsidR="00BE0B19" w:rsidRPr="00AE47C6" w:rsidRDefault="00BE0B19" w:rsidP="00BE0B19">
      <w:pPr>
        <w:spacing w:after="0" w:line="360" w:lineRule="auto"/>
        <w:jc w:val="both"/>
        <w:rPr>
          <w:rFonts w:ascii="Times New Roman" w:eastAsia="SimSun" w:hAnsi="Times New Roman"/>
          <w:sz w:val="24"/>
          <w:szCs w:val="24"/>
        </w:rPr>
      </w:pPr>
    </w:p>
    <w:p w14:paraId="6C7A6F8C"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Лечение при левкодистрофиите и левкоенцефалопатиите: </w:t>
      </w:r>
    </w:p>
    <w:p w14:paraId="301639FB" w14:textId="77777777" w:rsidR="00BE0B19" w:rsidRPr="00AE47C6" w:rsidRDefault="00BE0B19" w:rsidP="00BE0B19">
      <w:pPr>
        <w:widowControl w:val="0"/>
        <w:adjustRightInd w:val="0"/>
        <w:spacing w:after="0" w:line="360" w:lineRule="auto"/>
        <w:jc w:val="both"/>
        <w:rPr>
          <w:rFonts w:ascii="Times New Roman" w:eastAsia="SimSun" w:hAnsi="Times New Roman"/>
          <w:b/>
          <w:i/>
          <w:sz w:val="24"/>
          <w:szCs w:val="24"/>
        </w:rPr>
      </w:pPr>
      <w:r w:rsidRPr="00AE47C6">
        <w:rPr>
          <w:rFonts w:ascii="Times New Roman" w:eastAsia="SimSun" w:hAnsi="Times New Roman"/>
          <w:b/>
          <w:i/>
          <w:sz w:val="24"/>
          <w:szCs w:val="24"/>
        </w:rPr>
        <w:t xml:space="preserve">Симптоматично лечение според клиничните изяви: </w:t>
      </w:r>
    </w:p>
    <w:p w14:paraId="5FBB3038" w14:textId="77777777" w:rsidR="00BE0B19" w:rsidRPr="00AE47C6" w:rsidRDefault="00BE0B19" w:rsidP="00BE0B19">
      <w:pPr>
        <w:widowControl w:val="0"/>
        <w:numPr>
          <w:ilvl w:val="0"/>
          <w:numId w:val="56"/>
        </w:numPr>
        <w:tabs>
          <w:tab w:val="left" w:pos="426"/>
        </w:tabs>
        <w:adjustRightInd w:val="0"/>
        <w:spacing w:after="0" w:line="360" w:lineRule="auto"/>
        <w:ind w:left="0" w:firstLine="0"/>
        <w:jc w:val="both"/>
        <w:rPr>
          <w:rFonts w:ascii="Times New Roman" w:eastAsia="SimSun" w:hAnsi="Times New Roman"/>
          <w:sz w:val="24"/>
          <w:szCs w:val="24"/>
        </w:rPr>
      </w:pPr>
      <w:r w:rsidRPr="00AE47C6">
        <w:rPr>
          <w:rFonts w:ascii="Times New Roman" w:eastAsia="SimSun" w:hAnsi="Times New Roman"/>
          <w:i/>
          <w:sz w:val="24"/>
          <w:szCs w:val="24"/>
        </w:rPr>
        <w:t>Антиепилептични медикаменти</w:t>
      </w:r>
      <w:r w:rsidRPr="00AE47C6">
        <w:rPr>
          <w:rFonts w:ascii="Times New Roman" w:eastAsia="SimSun" w:hAnsi="Times New Roman"/>
          <w:sz w:val="24"/>
          <w:szCs w:val="24"/>
        </w:rPr>
        <w:t xml:space="preserve"> (виж лечение на епилепсиите, Национален консенсус за диагностика и лечение на епилепсиите, 2019)</w:t>
      </w:r>
    </w:p>
    <w:p w14:paraId="2B35AC9C" w14:textId="77777777" w:rsidR="00BE0B19" w:rsidRPr="00AE47C6" w:rsidRDefault="00BE0B19" w:rsidP="00BE0B19">
      <w:pPr>
        <w:widowControl w:val="0"/>
        <w:numPr>
          <w:ilvl w:val="0"/>
          <w:numId w:val="56"/>
        </w:numPr>
        <w:tabs>
          <w:tab w:val="left" w:pos="426"/>
        </w:tabs>
        <w:adjustRightInd w:val="0"/>
        <w:spacing w:after="0" w:line="360" w:lineRule="auto"/>
        <w:ind w:left="0" w:firstLine="0"/>
        <w:jc w:val="both"/>
        <w:rPr>
          <w:rFonts w:ascii="Times New Roman" w:eastAsia="SimSun" w:hAnsi="Times New Roman"/>
          <w:sz w:val="24"/>
          <w:szCs w:val="24"/>
        </w:rPr>
      </w:pPr>
      <w:r w:rsidRPr="00AE47C6">
        <w:rPr>
          <w:rFonts w:ascii="Times New Roman" w:eastAsia="SimSun" w:hAnsi="Times New Roman"/>
          <w:i/>
          <w:sz w:val="24"/>
          <w:szCs w:val="24"/>
        </w:rPr>
        <w:t>Миорелаксанти</w:t>
      </w:r>
      <w:r w:rsidRPr="00AE47C6">
        <w:rPr>
          <w:rFonts w:ascii="Times New Roman" w:eastAsia="SimSun" w:hAnsi="Times New Roman"/>
          <w:sz w:val="24"/>
          <w:szCs w:val="24"/>
        </w:rPr>
        <w:t>:</w:t>
      </w:r>
    </w:p>
    <w:p w14:paraId="452BB576" w14:textId="77777777" w:rsidR="00BE0B19" w:rsidRPr="00AE47C6" w:rsidRDefault="00BE0B19" w:rsidP="00BE0B19">
      <w:pPr>
        <w:numPr>
          <w:ilvl w:val="0"/>
          <w:numId w:val="391"/>
        </w:numPr>
        <w:tabs>
          <w:tab w:val="left" w:pos="851"/>
        </w:tabs>
        <w:spacing w:after="0" w:line="360" w:lineRule="auto"/>
        <w:contextualSpacing/>
        <w:jc w:val="both"/>
        <w:rPr>
          <w:rFonts w:ascii="Times New Roman" w:eastAsia="SimSun" w:hAnsi="Times New Roman"/>
          <w:b/>
          <w:bCs/>
          <w:i/>
          <w:iCs/>
          <w:sz w:val="24"/>
          <w:szCs w:val="24"/>
        </w:rPr>
      </w:pPr>
      <w:r w:rsidRPr="00AE47C6">
        <w:rPr>
          <w:rFonts w:ascii="Times New Roman" w:eastAsia="SimSun" w:hAnsi="Times New Roman"/>
          <w:i/>
          <w:iCs/>
          <w:sz w:val="24"/>
          <w:szCs w:val="24"/>
        </w:rPr>
        <w:t xml:space="preserve"> Baclofen </w:t>
      </w:r>
      <w:r w:rsidRPr="00AE47C6">
        <w:rPr>
          <w:rFonts w:ascii="Times New Roman" w:eastAsia="SimSun" w:hAnsi="Times New Roman"/>
          <w:sz w:val="24"/>
          <w:szCs w:val="24"/>
        </w:rPr>
        <w:t xml:space="preserve">- 0,4 до 2 mg/kg с ниска начална доза в 3-4 приема и повишаване през 3 дни съобразно ефекта. При деца на 1-2 г. дозата е 10-20 mg/дневно, на 2-6 г. - 20-30 mg/дневно, 6-10 г. - 30-60 mg/дневно. </w:t>
      </w:r>
    </w:p>
    <w:p w14:paraId="38DD5313" w14:textId="77777777" w:rsidR="00BE0B19" w:rsidRPr="00AE47C6" w:rsidRDefault="00BE0B19" w:rsidP="00BE0B19">
      <w:pPr>
        <w:numPr>
          <w:ilvl w:val="0"/>
          <w:numId w:val="391"/>
        </w:numPr>
        <w:tabs>
          <w:tab w:val="left" w:pos="851"/>
        </w:tabs>
        <w:spacing w:after="0" w:line="360" w:lineRule="auto"/>
        <w:contextualSpacing/>
        <w:jc w:val="both"/>
        <w:rPr>
          <w:rFonts w:ascii="Times New Roman" w:eastAsia="SimSun" w:hAnsi="Times New Roman"/>
          <w:b/>
          <w:bCs/>
          <w:i/>
          <w:iCs/>
          <w:sz w:val="24"/>
          <w:szCs w:val="24"/>
        </w:rPr>
      </w:pPr>
      <w:r w:rsidRPr="00AE47C6">
        <w:rPr>
          <w:rFonts w:ascii="Times New Roman" w:eastAsia="SimSun" w:hAnsi="Times New Roman"/>
          <w:i/>
          <w:iCs/>
          <w:sz w:val="24"/>
          <w:szCs w:val="24"/>
        </w:rPr>
        <w:t xml:space="preserve"> Tetrazepam </w:t>
      </w:r>
      <w:r w:rsidRPr="00AE47C6">
        <w:rPr>
          <w:rFonts w:ascii="Times New Roman" w:eastAsia="SimSun" w:hAnsi="Times New Roman"/>
          <w:sz w:val="24"/>
          <w:szCs w:val="24"/>
        </w:rPr>
        <w:t>- 50 mg/дневно, при възрастни до 150 mg/дневно</w:t>
      </w:r>
    </w:p>
    <w:p w14:paraId="1DC8C643" w14:textId="77777777" w:rsidR="00BE0B19" w:rsidRPr="00AE47C6" w:rsidRDefault="00BE0B19" w:rsidP="00BE0B19">
      <w:pPr>
        <w:numPr>
          <w:ilvl w:val="0"/>
          <w:numId w:val="391"/>
        </w:numPr>
        <w:tabs>
          <w:tab w:val="left" w:pos="851"/>
        </w:tabs>
        <w:spacing w:after="0" w:line="360" w:lineRule="auto"/>
        <w:contextualSpacing/>
        <w:jc w:val="both"/>
        <w:rPr>
          <w:rFonts w:ascii="Times New Roman" w:eastAsia="SimSun" w:hAnsi="Times New Roman"/>
          <w:b/>
          <w:bCs/>
          <w:i/>
          <w:iCs/>
          <w:sz w:val="24"/>
          <w:szCs w:val="24"/>
        </w:rPr>
      </w:pPr>
      <w:r w:rsidRPr="00AE47C6">
        <w:rPr>
          <w:rFonts w:ascii="Times New Roman" w:eastAsia="SimSun" w:hAnsi="Times New Roman"/>
          <w:i/>
          <w:sz w:val="24"/>
          <w:szCs w:val="24"/>
        </w:rPr>
        <w:t xml:space="preserve"> Botulinum Toxin</w:t>
      </w:r>
      <w:r w:rsidRPr="00AE47C6">
        <w:rPr>
          <w:rFonts w:ascii="Times New Roman" w:eastAsia="SimSun" w:hAnsi="Times New Roman"/>
          <w:i/>
          <w:iCs/>
          <w:sz w:val="24"/>
          <w:szCs w:val="24"/>
        </w:rPr>
        <w:t xml:space="preserve"> А </w:t>
      </w:r>
      <w:r w:rsidRPr="00AE47C6">
        <w:rPr>
          <w:rFonts w:ascii="Times New Roman" w:eastAsia="SimSun" w:hAnsi="Times New Roman"/>
          <w:iCs/>
          <w:sz w:val="24"/>
          <w:szCs w:val="24"/>
        </w:rPr>
        <w:t xml:space="preserve">чрез локални апликации в спастичния мускул се </w:t>
      </w:r>
      <w:r w:rsidRPr="00AE47C6">
        <w:rPr>
          <w:rFonts w:ascii="Times New Roman" w:eastAsia="SimSun" w:hAnsi="Times New Roman"/>
          <w:sz w:val="24"/>
          <w:szCs w:val="24"/>
        </w:rPr>
        <w:t>редуцира рязко спастицитета за 4 до 8 месеца</w:t>
      </w:r>
    </w:p>
    <w:p w14:paraId="3A6AC152" w14:textId="77777777" w:rsidR="00BE0B19" w:rsidRPr="00AE47C6" w:rsidRDefault="00BE0B19" w:rsidP="00BE0B19">
      <w:pPr>
        <w:numPr>
          <w:ilvl w:val="0"/>
          <w:numId w:val="391"/>
        </w:numPr>
        <w:tabs>
          <w:tab w:val="left" w:pos="851"/>
        </w:tabs>
        <w:spacing w:after="0" w:line="360" w:lineRule="auto"/>
        <w:contextualSpacing/>
        <w:jc w:val="both"/>
        <w:rPr>
          <w:rFonts w:ascii="Times New Roman" w:eastAsia="SimSun" w:hAnsi="Times New Roman"/>
          <w:b/>
          <w:bCs/>
          <w:i/>
          <w:iCs/>
          <w:sz w:val="24"/>
          <w:szCs w:val="24"/>
        </w:rPr>
      </w:pPr>
      <w:r w:rsidRPr="00AE47C6">
        <w:rPr>
          <w:rFonts w:ascii="Times New Roman" w:eastAsia="SimSun" w:hAnsi="Times New Roman"/>
          <w:i/>
          <w:iCs/>
          <w:sz w:val="24"/>
          <w:szCs w:val="24"/>
        </w:rPr>
        <w:t xml:space="preserve"> Biperiden</w:t>
      </w:r>
      <w:r w:rsidRPr="00AE47C6">
        <w:rPr>
          <w:rFonts w:ascii="Times New Roman" w:eastAsia="SimSun" w:hAnsi="Times New Roman"/>
          <w:sz w:val="24"/>
          <w:szCs w:val="24"/>
        </w:rPr>
        <w:t xml:space="preserve"> - 0,5-1 mg/дневно за деца от 1 до 3 г., от 1 до 3 mg/дневно при деца от 3 до 15 г.</w:t>
      </w:r>
    </w:p>
    <w:p w14:paraId="2C873D7C" w14:textId="77777777" w:rsidR="00BE0B19" w:rsidRPr="00AE47C6" w:rsidRDefault="00BE0B19" w:rsidP="00BE0B19">
      <w:pPr>
        <w:numPr>
          <w:ilvl w:val="0"/>
          <w:numId w:val="392"/>
        </w:numPr>
        <w:tabs>
          <w:tab w:val="left" w:pos="851"/>
        </w:tabs>
        <w:spacing w:after="0" w:line="360" w:lineRule="auto"/>
        <w:contextualSpacing/>
        <w:jc w:val="both"/>
        <w:rPr>
          <w:rFonts w:ascii="Times New Roman" w:eastAsia="SimSun" w:hAnsi="Times New Roman"/>
          <w:b/>
          <w:bCs/>
          <w:i/>
          <w:iCs/>
          <w:sz w:val="24"/>
          <w:szCs w:val="24"/>
        </w:rPr>
      </w:pPr>
      <w:r w:rsidRPr="00AE47C6">
        <w:rPr>
          <w:rFonts w:ascii="Times New Roman" w:eastAsia="SimSun" w:hAnsi="Times New Roman"/>
          <w:i/>
          <w:sz w:val="24"/>
          <w:szCs w:val="24"/>
        </w:rPr>
        <w:t>Лечение на екстрапирамидния синдром</w:t>
      </w:r>
      <w:r w:rsidRPr="00AE47C6">
        <w:rPr>
          <w:rFonts w:ascii="Times New Roman" w:eastAsia="SimSun" w:hAnsi="Times New Roman"/>
          <w:sz w:val="24"/>
          <w:szCs w:val="24"/>
        </w:rPr>
        <w:t xml:space="preserve"> с леводопа медикаменти и допаминови агонисти</w:t>
      </w:r>
    </w:p>
    <w:p w14:paraId="5B4E7797" w14:textId="77777777" w:rsidR="00BE0B19" w:rsidRPr="00AE47C6" w:rsidRDefault="00BE0B19" w:rsidP="00BE0B19">
      <w:pPr>
        <w:widowControl w:val="0"/>
        <w:numPr>
          <w:ilvl w:val="0"/>
          <w:numId w:val="392"/>
        </w:numPr>
        <w:tabs>
          <w:tab w:val="left" w:pos="426"/>
        </w:tabs>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Витамини от група В, С</w:t>
      </w:r>
    </w:p>
    <w:p w14:paraId="6C4EC8E0" w14:textId="77777777" w:rsidR="00BE0B19" w:rsidRPr="00AE47C6" w:rsidRDefault="00BE0B19" w:rsidP="00BE0B19">
      <w:pPr>
        <w:widowControl w:val="0"/>
        <w:numPr>
          <w:ilvl w:val="0"/>
          <w:numId w:val="392"/>
        </w:numPr>
        <w:tabs>
          <w:tab w:val="left" w:pos="426"/>
        </w:tabs>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Водно-солева реанимация </w:t>
      </w:r>
    </w:p>
    <w:p w14:paraId="257D1E3B" w14:textId="77777777" w:rsidR="00BE0B19" w:rsidRPr="00AE47C6" w:rsidRDefault="00BE0B19" w:rsidP="00BE0B19">
      <w:pPr>
        <w:widowControl w:val="0"/>
        <w:numPr>
          <w:ilvl w:val="0"/>
          <w:numId w:val="392"/>
        </w:numPr>
        <w:tabs>
          <w:tab w:val="left" w:pos="426"/>
        </w:tabs>
        <w:adjustRightInd w:val="0"/>
        <w:spacing w:after="0" w:line="360" w:lineRule="auto"/>
        <w:contextualSpacing/>
        <w:jc w:val="both"/>
        <w:rPr>
          <w:rFonts w:ascii="Times New Roman" w:eastAsia="SimSun" w:hAnsi="Times New Roman"/>
          <w:sz w:val="24"/>
          <w:szCs w:val="24"/>
          <w:u w:val="single"/>
        </w:rPr>
      </w:pPr>
      <w:r w:rsidRPr="00AE47C6">
        <w:rPr>
          <w:rFonts w:ascii="Times New Roman" w:eastAsia="SimSun" w:hAnsi="Times New Roman"/>
          <w:sz w:val="24"/>
          <w:szCs w:val="24"/>
        </w:rPr>
        <w:t xml:space="preserve">Корекция на нарушенията на алкално-киселинното равновесие </w:t>
      </w:r>
    </w:p>
    <w:p w14:paraId="4BFD83CA" w14:textId="77777777" w:rsidR="00BE0B19" w:rsidRPr="00AE47C6" w:rsidRDefault="00BE0B19" w:rsidP="00BE0B19">
      <w:pPr>
        <w:widowControl w:val="0"/>
        <w:numPr>
          <w:ilvl w:val="0"/>
          <w:numId w:val="392"/>
        </w:numPr>
        <w:tabs>
          <w:tab w:val="left" w:pos="426"/>
        </w:tabs>
        <w:adjustRightInd w:val="0"/>
        <w:spacing w:after="0" w:line="360" w:lineRule="auto"/>
        <w:contextualSpacing/>
        <w:jc w:val="both"/>
        <w:rPr>
          <w:rFonts w:ascii="Times New Roman" w:eastAsia="SimSun" w:hAnsi="Times New Roman"/>
          <w:sz w:val="24"/>
          <w:szCs w:val="24"/>
          <w:u w:val="single"/>
        </w:rPr>
      </w:pPr>
      <w:r w:rsidRPr="00AE47C6">
        <w:rPr>
          <w:rFonts w:ascii="Times New Roman" w:eastAsia="SimSun" w:hAnsi="Times New Roman"/>
          <w:sz w:val="24"/>
          <w:szCs w:val="24"/>
        </w:rPr>
        <w:t xml:space="preserve">Лечение в интензивно отделение при необходимост </w:t>
      </w:r>
    </w:p>
    <w:p w14:paraId="57B5CBBA" w14:textId="77777777" w:rsidR="00BE0B19" w:rsidRPr="00AE47C6" w:rsidRDefault="00BE0B19" w:rsidP="00BE0B19">
      <w:pPr>
        <w:widowControl w:val="0"/>
        <w:numPr>
          <w:ilvl w:val="0"/>
          <w:numId w:val="392"/>
        </w:numPr>
        <w:tabs>
          <w:tab w:val="left" w:pos="426"/>
        </w:tabs>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b/>
          <w:bCs/>
          <w:i/>
          <w:sz w:val="24"/>
          <w:szCs w:val="24"/>
        </w:rPr>
        <w:t>Трансплантация на хемопоетични стволови клетки</w:t>
      </w:r>
      <w:r w:rsidRPr="00AE47C6">
        <w:rPr>
          <w:rFonts w:ascii="Times New Roman" w:eastAsia="SimSun" w:hAnsi="Times New Roman"/>
          <w:b/>
          <w:i/>
          <w:sz w:val="24"/>
          <w:szCs w:val="24"/>
        </w:rPr>
        <w:t xml:space="preserve"> за лечение на метахроматичната левкодистрофия, болестта на Krabbe</w:t>
      </w:r>
      <w:r w:rsidRPr="00AE47C6">
        <w:rPr>
          <w:rFonts w:ascii="Times New Roman" w:eastAsia="SimSun" w:hAnsi="Times New Roman"/>
          <w:i/>
          <w:sz w:val="24"/>
          <w:szCs w:val="24"/>
        </w:rPr>
        <w:t xml:space="preserve">, </w:t>
      </w:r>
      <w:r w:rsidRPr="00AE47C6">
        <w:rPr>
          <w:rFonts w:ascii="Times New Roman" w:eastAsia="SimSun" w:hAnsi="Times New Roman"/>
          <w:b/>
          <w:i/>
          <w:sz w:val="24"/>
          <w:szCs w:val="24"/>
        </w:rPr>
        <w:t xml:space="preserve">адренолевкодистрофията </w:t>
      </w:r>
      <w:r w:rsidRPr="00AE47C6">
        <w:rPr>
          <w:rFonts w:ascii="Times New Roman" w:eastAsia="SimSun" w:hAnsi="Times New Roman"/>
          <w:sz w:val="24"/>
          <w:szCs w:val="24"/>
        </w:rPr>
        <w:t xml:space="preserve">е в стадий на натрупване на </w:t>
      </w:r>
      <w:r w:rsidRPr="00AE47C6">
        <w:rPr>
          <w:rFonts w:ascii="Times New Roman" w:eastAsia="SimSun" w:hAnsi="Times New Roman"/>
          <w:bCs/>
          <w:sz w:val="24"/>
          <w:szCs w:val="24"/>
        </w:rPr>
        <w:t>опит</w:t>
      </w:r>
      <w:r w:rsidRPr="00AE47C6">
        <w:rPr>
          <w:rFonts w:ascii="Times New Roman" w:eastAsia="SimSun" w:hAnsi="Times New Roman"/>
          <w:sz w:val="24"/>
          <w:szCs w:val="24"/>
        </w:rPr>
        <w:t xml:space="preserve">, като се установяват резултати при </w:t>
      </w:r>
      <w:r w:rsidRPr="00AE47C6">
        <w:rPr>
          <w:rFonts w:ascii="Times New Roman" w:eastAsia="SimSun" w:hAnsi="Times New Roman"/>
          <w:bCs/>
          <w:sz w:val="24"/>
          <w:szCs w:val="24"/>
        </w:rPr>
        <w:t>начало на лечението преди или скоро след клинична изява на симптомите, но няма категорични изводи за дълготраен ефект.</w:t>
      </w:r>
    </w:p>
    <w:p w14:paraId="74557542" w14:textId="77777777" w:rsidR="00BE0B19" w:rsidRPr="00AE47C6" w:rsidRDefault="00BE0B19" w:rsidP="00BE0B19">
      <w:pPr>
        <w:widowControl w:val="0"/>
        <w:numPr>
          <w:ilvl w:val="0"/>
          <w:numId w:val="392"/>
        </w:numPr>
        <w:tabs>
          <w:tab w:val="left" w:pos="426"/>
        </w:tabs>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b/>
          <w:bCs/>
          <w:i/>
          <w:sz w:val="24"/>
          <w:szCs w:val="24"/>
        </w:rPr>
        <w:t xml:space="preserve">Ензим заместваща терапия </w:t>
      </w:r>
      <w:r w:rsidRPr="00AE47C6">
        <w:rPr>
          <w:rFonts w:ascii="Times New Roman" w:eastAsia="SimSun" w:hAnsi="Times New Roman"/>
          <w:bCs/>
          <w:sz w:val="24"/>
          <w:szCs w:val="24"/>
        </w:rPr>
        <w:t>при</w:t>
      </w:r>
      <w:r w:rsidRPr="00AE47C6">
        <w:rPr>
          <w:rFonts w:ascii="Times New Roman" w:eastAsia="SimSun" w:hAnsi="Times New Roman"/>
          <w:sz w:val="24"/>
          <w:szCs w:val="24"/>
        </w:rPr>
        <w:t xml:space="preserve"> пресимптоматичен стадий на метахроматична левкодистрофия е във фаза на клинични проучвания (1/2 фаза).</w:t>
      </w:r>
    </w:p>
    <w:p w14:paraId="0D806B40" w14:textId="77777777" w:rsidR="00BE0B19" w:rsidRPr="00AE47C6" w:rsidRDefault="00BE0B19" w:rsidP="00BE0B19">
      <w:pPr>
        <w:widowControl w:val="0"/>
        <w:numPr>
          <w:ilvl w:val="0"/>
          <w:numId w:val="392"/>
        </w:numPr>
        <w:tabs>
          <w:tab w:val="left" w:pos="426"/>
        </w:tabs>
        <w:adjustRightInd w:val="0"/>
        <w:spacing w:after="0" w:line="360" w:lineRule="auto"/>
        <w:ind w:left="786"/>
        <w:contextualSpacing/>
        <w:jc w:val="both"/>
        <w:rPr>
          <w:rFonts w:ascii="Times New Roman" w:eastAsia="SimSun" w:hAnsi="Times New Roman"/>
          <w:sz w:val="24"/>
          <w:szCs w:val="24"/>
        </w:rPr>
      </w:pPr>
      <w:r w:rsidRPr="00AE47C6">
        <w:rPr>
          <w:rFonts w:ascii="Times New Roman" w:eastAsia="SimSun" w:hAnsi="Times New Roman"/>
          <w:b/>
          <w:bCs/>
          <w:i/>
          <w:sz w:val="24"/>
          <w:szCs w:val="24"/>
        </w:rPr>
        <w:t>Генна терапия</w:t>
      </w:r>
      <w:r w:rsidRPr="00AE47C6">
        <w:rPr>
          <w:rFonts w:ascii="Times New Roman" w:eastAsia="SimSun" w:hAnsi="Times New Roman"/>
          <w:bCs/>
          <w:sz w:val="24"/>
          <w:szCs w:val="24"/>
        </w:rPr>
        <w:t>:</w:t>
      </w:r>
      <w:r w:rsidRPr="00AE47C6">
        <w:rPr>
          <w:rFonts w:ascii="Times New Roman" w:eastAsia="SimSun" w:hAnsi="Times New Roman"/>
          <w:b/>
          <w:bCs/>
          <w:i/>
          <w:sz w:val="24"/>
          <w:szCs w:val="24"/>
        </w:rPr>
        <w:t xml:space="preserve"> </w:t>
      </w:r>
      <w:r w:rsidRPr="00AE47C6">
        <w:rPr>
          <w:rFonts w:ascii="Times New Roman" w:eastAsia="SimSun" w:hAnsi="Times New Roman"/>
          <w:sz w:val="24"/>
          <w:szCs w:val="24"/>
        </w:rPr>
        <w:t xml:space="preserve">Съвременно лечение с генна терапия е „лекарство- сирак“ </w:t>
      </w:r>
      <w:r w:rsidRPr="00AE47C6">
        <w:rPr>
          <w:rFonts w:ascii="Times New Roman" w:eastAsia="SimSun" w:hAnsi="Times New Roman"/>
          <w:bCs/>
          <w:sz w:val="24"/>
          <w:szCs w:val="24"/>
        </w:rPr>
        <w:t xml:space="preserve">atidarsagene autotemcel - </w:t>
      </w:r>
      <w:r w:rsidRPr="00AE47C6">
        <w:rPr>
          <w:rFonts w:ascii="Times New Roman" w:eastAsia="SimSun" w:hAnsi="Times New Roman"/>
          <w:bCs/>
          <w:iCs/>
          <w:sz w:val="24"/>
          <w:szCs w:val="24"/>
        </w:rPr>
        <w:t>автоложна</w:t>
      </w:r>
      <w:r w:rsidRPr="00AE47C6">
        <w:rPr>
          <w:rFonts w:ascii="Times New Roman" w:eastAsia="SimSun" w:hAnsi="Times New Roman"/>
          <w:sz w:val="24"/>
          <w:szCs w:val="24"/>
        </w:rPr>
        <w:t xml:space="preserve">, обогатена с </w:t>
      </w:r>
      <w:r w:rsidRPr="00AE47C6">
        <w:rPr>
          <w:rFonts w:ascii="Times New Roman" w:eastAsia="SimSun" w:hAnsi="Times New Roman"/>
          <w:iCs/>
          <w:sz w:val="24"/>
          <w:szCs w:val="24"/>
        </w:rPr>
        <w:t>CD34+ клетки популация</w:t>
      </w:r>
      <w:r w:rsidRPr="00AE47C6">
        <w:rPr>
          <w:rFonts w:ascii="Times New Roman" w:eastAsia="SimSun" w:hAnsi="Times New Roman"/>
          <w:sz w:val="24"/>
          <w:szCs w:val="24"/>
        </w:rPr>
        <w:t xml:space="preserve">, която съдържа </w:t>
      </w:r>
      <w:r w:rsidRPr="00AE47C6">
        <w:rPr>
          <w:rFonts w:ascii="Times New Roman" w:eastAsia="SimSun" w:hAnsi="Times New Roman"/>
          <w:bCs/>
          <w:iCs/>
          <w:sz w:val="24"/>
          <w:szCs w:val="24"/>
        </w:rPr>
        <w:t>хемопоетични стволови и прогениторни клетки</w:t>
      </w:r>
      <w:r w:rsidRPr="00AE47C6">
        <w:rPr>
          <w:rFonts w:ascii="Times New Roman" w:eastAsia="SimSun" w:hAnsi="Times New Roman"/>
          <w:iCs/>
          <w:sz w:val="24"/>
          <w:szCs w:val="24"/>
        </w:rPr>
        <w:t>, трансдуцирани ex vivo чрез лентивирусен вектор, кодиращ гена на човешка арилсулфатаза А</w:t>
      </w:r>
      <w:r w:rsidRPr="00AE47C6">
        <w:rPr>
          <w:rFonts w:ascii="Times New Roman" w:eastAsia="SimSun" w:hAnsi="Times New Roman"/>
          <w:i/>
          <w:iCs/>
          <w:sz w:val="24"/>
          <w:szCs w:val="24"/>
        </w:rPr>
        <w:t>.</w:t>
      </w:r>
      <w:r w:rsidRPr="00AE47C6">
        <w:rPr>
          <w:rFonts w:ascii="Times New Roman" w:eastAsia="SimSun" w:hAnsi="Times New Roman"/>
          <w:sz w:val="24"/>
          <w:szCs w:val="24"/>
        </w:rPr>
        <w:t xml:space="preserve"> (EMA/689749/2020 EMEA/H/C/с индикации </w:t>
      </w:r>
      <w:r w:rsidRPr="00AE47C6">
        <w:rPr>
          <w:rFonts w:ascii="Times New Roman" w:eastAsia="SimSun" w:hAnsi="Times New Roman"/>
          <w:b/>
          <w:bCs/>
          <w:sz w:val="24"/>
          <w:szCs w:val="24"/>
        </w:rPr>
        <w:t>лечение на деца с метахроматична левкодистрофия</w:t>
      </w:r>
      <w:r w:rsidRPr="00AE47C6">
        <w:rPr>
          <w:rFonts w:ascii="Times New Roman" w:eastAsia="SimSun" w:hAnsi="Times New Roman"/>
          <w:sz w:val="24"/>
          <w:szCs w:val="24"/>
        </w:rPr>
        <w:t xml:space="preserve">, с мутация в ген, необходим за синтеза на ензима арилсулфатаза A (ARSA), който разгражда сулфатиди (12). Дефицитът на ARSA води до лизозомно натрупване на сулфатиди и увреждат нервната система с прогресираща централна парализа и влошаване на умственото състояние, а в крайна сметка водят до смърт. </w:t>
      </w:r>
      <w:r w:rsidRPr="00AE47C6">
        <w:rPr>
          <w:rFonts w:ascii="Times New Roman" w:eastAsia="SimSun" w:hAnsi="Times New Roman"/>
          <w:bCs/>
          <w:sz w:val="24"/>
          <w:szCs w:val="24"/>
          <w:lang w:val="en-US"/>
        </w:rPr>
        <w:t>A</w:t>
      </w:r>
      <w:r w:rsidRPr="00AE47C6">
        <w:rPr>
          <w:rFonts w:ascii="Times New Roman" w:eastAsia="SimSun" w:hAnsi="Times New Roman"/>
          <w:bCs/>
          <w:sz w:val="24"/>
          <w:szCs w:val="24"/>
        </w:rPr>
        <w:t>tidarsagene autotemcel</w:t>
      </w:r>
      <w:r w:rsidRPr="00AE47C6">
        <w:rPr>
          <w:rFonts w:ascii="Times New Roman" w:eastAsia="SimSun" w:hAnsi="Times New Roman"/>
          <w:sz w:val="24"/>
          <w:szCs w:val="24"/>
        </w:rPr>
        <w:t xml:space="preserve"> се използва при деца с МЛД, при които има мутация на гена ARSA. Индикациите са лечение са: 1. </w:t>
      </w:r>
      <w:r w:rsidRPr="00AE47C6">
        <w:rPr>
          <w:rFonts w:ascii="Times New Roman" w:eastAsia="SimSun" w:hAnsi="Times New Roman"/>
          <w:i/>
          <w:sz w:val="24"/>
          <w:szCs w:val="24"/>
        </w:rPr>
        <w:t xml:space="preserve">Деца с </w:t>
      </w:r>
      <w:r w:rsidRPr="00AE47C6">
        <w:rPr>
          <w:rFonts w:ascii="Times New Roman" w:eastAsia="SimSun" w:hAnsi="Times New Roman"/>
          <w:bCs/>
          <w:i/>
          <w:sz w:val="24"/>
          <w:szCs w:val="24"/>
        </w:rPr>
        <w:t>късна инфантилна или ранна ювенилна форма</w:t>
      </w:r>
      <w:r w:rsidRPr="00AE47C6">
        <w:rPr>
          <w:rFonts w:ascii="Times New Roman" w:eastAsia="SimSun" w:hAnsi="Times New Roman"/>
          <w:i/>
          <w:sz w:val="24"/>
          <w:szCs w:val="24"/>
        </w:rPr>
        <w:t xml:space="preserve"> на МЛД, </w:t>
      </w:r>
      <w:r w:rsidRPr="00AE47C6">
        <w:rPr>
          <w:rFonts w:ascii="Times New Roman" w:eastAsia="SimSun" w:hAnsi="Times New Roman"/>
          <w:bCs/>
          <w:i/>
          <w:sz w:val="24"/>
          <w:szCs w:val="24"/>
        </w:rPr>
        <w:t xml:space="preserve">които все още не са развили признаци или симптоми; 2. </w:t>
      </w:r>
      <w:r w:rsidRPr="00AE47C6">
        <w:rPr>
          <w:rFonts w:ascii="Times New Roman" w:eastAsia="SimSun" w:hAnsi="Times New Roman"/>
          <w:i/>
          <w:sz w:val="24"/>
          <w:szCs w:val="24"/>
        </w:rPr>
        <w:t xml:space="preserve">Деца с </w:t>
      </w:r>
      <w:r w:rsidRPr="00AE47C6">
        <w:rPr>
          <w:rFonts w:ascii="Times New Roman" w:eastAsia="SimSun" w:hAnsi="Times New Roman"/>
          <w:bCs/>
          <w:i/>
          <w:sz w:val="24"/>
          <w:szCs w:val="24"/>
        </w:rPr>
        <w:t>ранна ювенилна форма на МЛД, които имат начални симптоми, но продължават да имат способност да ходят самостоятелно и все още не се е развило влошаване на умственото състояние</w:t>
      </w:r>
      <w:r w:rsidRPr="00AE47C6">
        <w:rPr>
          <w:rFonts w:ascii="Times New Roman" w:eastAsia="SimSun" w:hAnsi="Times New Roman"/>
          <w:i/>
          <w:sz w:val="24"/>
          <w:szCs w:val="24"/>
        </w:rPr>
        <w:t xml:space="preserve">. </w:t>
      </w:r>
      <w:r w:rsidRPr="00AE47C6">
        <w:rPr>
          <w:rFonts w:ascii="Times New Roman" w:eastAsia="SimSun" w:hAnsi="Times New Roman"/>
          <w:bCs/>
          <w:sz w:val="24"/>
          <w:szCs w:val="24"/>
          <w:lang w:val="en-US"/>
        </w:rPr>
        <w:t>A</w:t>
      </w:r>
      <w:r w:rsidRPr="00AE47C6">
        <w:rPr>
          <w:rFonts w:ascii="Times New Roman" w:eastAsia="SimSun" w:hAnsi="Times New Roman"/>
          <w:bCs/>
          <w:sz w:val="24"/>
          <w:szCs w:val="24"/>
        </w:rPr>
        <w:t>tidarsagene autotemcel</w:t>
      </w:r>
      <w:r w:rsidRPr="00AE47C6">
        <w:rPr>
          <w:rFonts w:ascii="Times New Roman" w:eastAsia="SimSun" w:hAnsi="Times New Roman"/>
          <w:iCs/>
          <w:sz w:val="24"/>
          <w:szCs w:val="24"/>
        </w:rPr>
        <w:t xml:space="preserve"> се прилага под формата на инфузия с препоръчителната доза зависи от телесното тегло на пациента. Няколко дни преди лечението се прилага </w:t>
      </w:r>
      <w:r w:rsidRPr="00AE47C6">
        <w:rPr>
          <w:rFonts w:ascii="Times New Roman" w:eastAsia="SimSun" w:hAnsi="Times New Roman"/>
          <w:bCs/>
          <w:iCs/>
          <w:sz w:val="24"/>
          <w:szCs w:val="24"/>
        </w:rPr>
        <w:t>бусулфан</w:t>
      </w:r>
      <w:r w:rsidRPr="00AE47C6">
        <w:rPr>
          <w:rFonts w:ascii="Times New Roman" w:eastAsia="SimSun" w:hAnsi="Times New Roman"/>
          <w:iCs/>
          <w:sz w:val="24"/>
          <w:szCs w:val="24"/>
        </w:rPr>
        <w:t xml:space="preserve">, като т.нар. режим на кондициониране, за да се изчистят старите костномозъчни клетки, за да бъдат заменени с модифицираните клетки в </w:t>
      </w:r>
      <w:r w:rsidRPr="00AE47C6">
        <w:rPr>
          <w:rFonts w:ascii="Times New Roman" w:eastAsia="SimSun" w:hAnsi="Times New Roman"/>
          <w:bCs/>
          <w:sz w:val="24"/>
          <w:szCs w:val="24"/>
        </w:rPr>
        <w:t>atidarsagene autotemcel</w:t>
      </w:r>
      <w:r w:rsidRPr="00AE47C6">
        <w:rPr>
          <w:rFonts w:ascii="Times New Roman" w:eastAsia="SimSun" w:hAnsi="Times New Roman"/>
          <w:iCs/>
          <w:sz w:val="24"/>
          <w:szCs w:val="24"/>
        </w:rPr>
        <w:t xml:space="preserve">. На пациентите се прилагат също други лекарства, за да се намали рискът от реакции. </w:t>
      </w:r>
      <w:r w:rsidRPr="00AE47C6">
        <w:rPr>
          <w:rFonts w:ascii="Times New Roman" w:eastAsia="SimSun" w:hAnsi="Times New Roman"/>
          <w:bCs/>
          <w:sz w:val="24"/>
          <w:szCs w:val="24"/>
        </w:rPr>
        <w:t>При инфантилни форми на левкодистрофия пациентите имат напредък в двигателните функции, подобен на този при здрави лица при продължителност на наблюдението- 8 г. Активността на ARSA се увеличава при всички деца до нива над или в диапазона за здрави деца в рамките на 3 месеца след лечението</w:t>
      </w:r>
      <w:r w:rsidRPr="00AE47C6">
        <w:rPr>
          <w:rFonts w:ascii="Times New Roman" w:eastAsia="SimSun" w:hAnsi="Times New Roman"/>
          <w:sz w:val="24"/>
          <w:szCs w:val="24"/>
        </w:rPr>
        <w:t xml:space="preserve">. </w:t>
      </w:r>
    </w:p>
    <w:p w14:paraId="01F07524"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137" w:name="_Toc155651767"/>
      <w:bookmarkStart w:id="138" w:name="_Toc164075899"/>
      <w:r w:rsidRPr="00AE47C6">
        <w:rPr>
          <w:rFonts w:ascii="Times New Roman" w:eastAsia="SimSun" w:hAnsi="Times New Roman"/>
          <w:b/>
          <w:sz w:val="24"/>
          <w:szCs w:val="24"/>
        </w:rPr>
        <w:t>5.3. Церебеларни дегенеративни заболявания или атаксии (ЦДЗ, ЦДА)</w:t>
      </w:r>
      <w:bookmarkEnd w:id="137"/>
      <w:bookmarkEnd w:id="138"/>
    </w:p>
    <w:p w14:paraId="00CA85ED" w14:textId="77777777" w:rsidR="00BE0B19" w:rsidRPr="00AE47C6" w:rsidRDefault="00BE0B19" w:rsidP="00BE0B19">
      <w:pPr>
        <w:widowControl w:val="0"/>
        <w:adjustRightInd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Церебеларните дегенеративни заболявания или атаксии (ЦДЗ, ЦДА) са хетерогенна група от невродегенеративни заболявания. Те се характеризират с церебеларна дисфункция в резултат на изолирана дегенерация на церебелума, неговите аферентни и еферентни пътища и добавяне на неврологични прояви от увреждане на ретините, зрителните нерви, главния мозък, базалните ганглии, мозъчния ствол, гръбначния мозък и периферните нерви. </w:t>
      </w:r>
    </w:p>
    <w:p w14:paraId="74809024"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i/>
          <w:iCs/>
          <w:sz w:val="24"/>
          <w:szCs w:val="24"/>
        </w:rPr>
        <w:t>І. Хередитарните атаксии</w:t>
      </w:r>
      <w:r w:rsidRPr="00AE47C6">
        <w:rPr>
          <w:rFonts w:ascii="Times New Roman" w:eastAsia="SimSun" w:hAnsi="Times New Roman"/>
          <w:b/>
          <w:sz w:val="24"/>
          <w:szCs w:val="24"/>
        </w:rPr>
        <w:t xml:space="preserve">” </w:t>
      </w:r>
      <w:r w:rsidRPr="00AE47C6">
        <w:rPr>
          <w:rFonts w:ascii="Times New Roman" w:eastAsia="SimSun" w:hAnsi="Times New Roman"/>
          <w:b/>
          <w:i/>
          <w:sz w:val="24"/>
          <w:szCs w:val="24"/>
        </w:rPr>
        <w:t>с установен генетичен дефект</w:t>
      </w:r>
    </w:p>
    <w:p w14:paraId="0326AB03"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sz w:val="24"/>
          <w:szCs w:val="24"/>
          <w:u w:val="single"/>
        </w:rPr>
      </w:pPr>
      <w:r w:rsidRPr="00AE47C6">
        <w:rPr>
          <w:rFonts w:ascii="Times New Roman" w:eastAsia="SimSun" w:hAnsi="Times New Roman"/>
          <w:b/>
          <w:sz w:val="24"/>
          <w:szCs w:val="24"/>
          <w:u w:val="single"/>
        </w:rPr>
        <w:t>1. Автозомно-доминантни атаксии</w:t>
      </w:r>
    </w:p>
    <w:p w14:paraId="7D7B5526" w14:textId="77777777" w:rsidR="00BE0B19" w:rsidRPr="00AE47C6" w:rsidRDefault="00BE0B19" w:rsidP="00BE0B19">
      <w:pPr>
        <w:numPr>
          <w:ilvl w:val="0"/>
          <w:numId w:val="28"/>
        </w:numPr>
        <w:tabs>
          <w:tab w:val="clear" w:pos="720"/>
          <w:tab w:val="left" w:pos="426"/>
        </w:tabs>
        <w:autoSpaceDE w:val="0"/>
        <w:autoSpaceDN w:val="0"/>
        <w:adjustRightInd w:val="0"/>
        <w:spacing w:after="0" w:line="360" w:lineRule="auto"/>
        <w:ind w:left="0" w:firstLine="0"/>
        <w:jc w:val="both"/>
        <w:rPr>
          <w:rFonts w:ascii="Times New Roman" w:eastAsia="SimSun" w:hAnsi="Times New Roman"/>
          <w:sz w:val="24"/>
          <w:szCs w:val="24"/>
        </w:rPr>
      </w:pPr>
      <w:r w:rsidRPr="00AE47C6">
        <w:rPr>
          <w:rFonts w:ascii="Times New Roman" w:eastAsia="SimSun" w:hAnsi="Times New Roman"/>
          <w:i/>
          <w:sz w:val="24"/>
          <w:szCs w:val="24"/>
        </w:rPr>
        <w:t>АД спиноцеребеларни атаксии</w:t>
      </w:r>
      <w:r w:rsidRPr="00AE47C6">
        <w:rPr>
          <w:rFonts w:ascii="Times New Roman" w:eastAsia="SimSun" w:hAnsi="Times New Roman"/>
          <w:sz w:val="24"/>
          <w:szCs w:val="24"/>
        </w:rPr>
        <w:t xml:space="preserve"> (SCA) </w:t>
      </w:r>
    </w:p>
    <w:p w14:paraId="7F7E8272" w14:textId="77777777" w:rsidR="00BE0B19" w:rsidRPr="00AE47C6" w:rsidRDefault="00BE0B19" w:rsidP="00BE0B19">
      <w:pPr>
        <w:numPr>
          <w:ilvl w:val="0"/>
          <w:numId w:val="28"/>
        </w:numPr>
        <w:tabs>
          <w:tab w:val="clear" w:pos="720"/>
          <w:tab w:val="left" w:pos="426"/>
        </w:tabs>
        <w:autoSpaceDE w:val="0"/>
        <w:autoSpaceDN w:val="0"/>
        <w:adjustRightInd w:val="0"/>
        <w:spacing w:after="0" w:line="360" w:lineRule="auto"/>
        <w:ind w:left="0" w:firstLine="0"/>
        <w:jc w:val="both"/>
        <w:rPr>
          <w:rFonts w:ascii="Times New Roman" w:eastAsia="SimSun" w:hAnsi="Times New Roman"/>
          <w:sz w:val="24"/>
          <w:szCs w:val="24"/>
        </w:rPr>
      </w:pPr>
      <w:r w:rsidRPr="00AE47C6">
        <w:rPr>
          <w:rFonts w:ascii="Times New Roman" w:eastAsia="SimSun" w:hAnsi="Times New Roman"/>
          <w:i/>
          <w:sz w:val="24"/>
          <w:szCs w:val="24"/>
        </w:rPr>
        <w:t>Епизодични атаксии</w:t>
      </w:r>
      <w:r w:rsidRPr="00AE47C6">
        <w:rPr>
          <w:rFonts w:ascii="Times New Roman" w:eastAsia="SimSun" w:hAnsi="Times New Roman"/>
          <w:sz w:val="24"/>
          <w:szCs w:val="24"/>
        </w:rPr>
        <w:t xml:space="preserve"> - EA1-7)</w:t>
      </w:r>
    </w:p>
    <w:p w14:paraId="335F590F" w14:textId="77777777" w:rsidR="00BE0B19" w:rsidRPr="00AE47C6" w:rsidRDefault="00BE0B19" w:rsidP="00BE0B19">
      <w:pPr>
        <w:numPr>
          <w:ilvl w:val="0"/>
          <w:numId w:val="28"/>
        </w:numPr>
        <w:tabs>
          <w:tab w:val="clear" w:pos="720"/>
          <w:tab w:val="left" w:pos="426"/>
        </w:tabs>
        <w:autoSpaceDE w:val="0"/>
        <w:autoSpaceDN w:val="0"/>
        <w:adjustRightInd w:val="0"/>
        <w:spacing w:after="0" w:line="360" w:lineRule="auto"/>
        <w:ind w:left="0" w:firstLine="0"/>
        <w:jc w:val="both"/>
        <w:rPr>
          <w:rFonts w:ascii="Times New Roman" w:eastAsia="SimSun" w:hAnsi="Times New Roman"/>
          <w:sz w:val="24"/>
          <w:szCs w:val="24"/>
        </w:rPr>
      </w:pPr>
      <w:r w:rsidRPr="00AE47C6">
        <w:rPr>
          <w:rFonts w:ascii="Times New Roman" w:eastAsia="SimSun" w:hAnsi="Times New Roman"/>
          <w:i/>
          <w:sz w:val="24"/>
          <w:szCs w:val="24"/>
        </w:rPr>
        <w:t>АД митохондриални болести с атаксия -</w:t>
      </w:r>
      <w:r w:rsidRPr="00AE47C6">
        <w:rPr>
          <w:rFonts w:ascii="Times New Roman" w:eastAsia="SimSun" w:hAnsi="Times New Roman"/>
          <w:sz w:val="24"/>
          <w:szCs w:val="24"/>
        </w:rPr>
        <w:t xml:space="preserve"> Синдром на Leigh (LS), АД-оптична атрофия и глухота (ADOAD), AД-хронична прогресираща външна офталмоплегия плюс синдром (AD-CPEO +)</w:t>
      </w:r>
    </w:p>
    <w:p w14:paraId="6BE861D9"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
          <w:sz w:val="24"/>
          <w:szCs w:val="24"/>
          <w:u w:val="single"/>
        </w:rPr>
        <w:t>2. Автозомно-рецесивни а</w:t>
      </w:r>
      <w:r w:rsidRPr="00AE47C6">
        <w:rPr>
          <w:rFonts w:ascii="Times New Roman" w:eastAsia="SimSun" w:hAnsi="Times New Roman"/>
          <w:b/>
          <w:bCs/>
          <w:sz w:val="24"/>
          <w:szCs w:val="24"/>
          <w:u w:val="single"/>
        </w:rPr>
        <w:t>таксии</w:t>
      </w:r>
      <w:r w:rsidRPr="00AE47C6">
        <w:rPr>
          <w:rFonts w:ascii="Times New Roman" w:eastAsia="SimSun" w:hAnsi="Times New Roman"/>
          <w:sz w:val="24"/>
          <w:szCs w:val="24"/>
        </w:rPr>
        <w:t xml:space="preserve"> (при вродени</w:t>
      </w:r>
      <w:r w:rsidRPr="00AE47C6">
        <w:rPr>
          <w:rFonts w:ascii="Times New Roman" w:eastAsia="SimSun" w:hAnsi="Times New Roman"/>
          <w:bCs/>
          <w:sz w:val="24"/>
          <w:szCs w:val="24"/>
        </w:rPr>
        <w:t xml:space="preserve"> дефекти в развитието; при метаболитни дефекти; при нарушения в ДНК възстановяването; дегенеративни прогресиращи и асоциирани с други симптоми) </w:t>
      </w:r>
    </w:p>
    <w:p w14:paraId="4CFEB406" w14:textId="77777777" w:rsidR="00BE0B19" w:rsidRPr="00AE47C6" w:rsidRDefault="00BE0B19" w:rsidP="00BE0B19">
      <w:pPr>
        <w:numPr>
          <w:ilvl w:val="0"/>
          <w:numId w:val="29"/>
        </w:numPr>
        <w:tabs>
          <w:tab w:val="clear" w:pos="720"/>
          <w:tab w:val="left" w:pos="284"/>
        </w:tabs>
        <w:autoSpaceDE w:val="0"/>
        <w:autoSpaceDN w:val="0"/>
        <w:adjustRightInd w:val="0"/>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Friedreich фенотипно-подобни атаксии</w:t>
      </w:r>
    </w:p>
    <w:p w14:paraId="624D1D20" w14:textId="77777777" w:rsidR="00BE0B19" w:rsidRPr="00AE47C6" w:rsidRDefault="00BE0B19" w:rsidP="00BE0B19">
      <w:pPr>
        <w:numPr>
          <w:ilvl w:val="1"/>
          <w:numId w:val="29"/>
        </w:numPr>
        <w:tabs>
          <w:tab w:val="clear" w:pos="1440"/>
          <w:tab w:val="num" w:pos="851"/>
        </w:tabs>
        <w:autoSpaceDE w:val="0"/>
        <w:autoSpaceDN w:val="0"/>
        <w:adjustRightInd w:val="0"/>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Атаксия на Friedreich </w:t>
      </w:r>
    </w:p>
    <w:p w14:paraId="43633163" w14:textId="77777777" w:rsidR="00BE0B19" w:rsidRPr="00AE47C6" w:rsidRDefault="00BE0B19" w:rsidP="00BE0B19">
      <w:pPr>
        <w:numPr>
          <w:ilvl w:val="1"/>
          <w:numId w:val="29"/>
        </w:numPr>
        <w:tabs>
          <w:tab w:val="clear" w:pos="1440"/>
          <w:tab w:val="num" w:pos="851"/>
        </w:tabs>
        <w:autoSpaceDE w:val="0"/>
        <w:autoSpaceDN w:val="0"/>
        <w:adjustRightInd w:val="0"/>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Атаксия при дефицит на vitamin E </w:t>
      </w:r>
    </w:p>
    <w:p w14:paraId="4F6A77DC" w14:textId="77777777" w:rsidR="00BE0B19" w:rsidRPr="00AE47C6" w:rsidRDefault="00BE0B19" w:rsidP="00BE0B19">
      <w:pPr>
        <w:numPr>
          <w:ilvl w:val="1"/>
          <w:numId w:val="29"/>
        </w:numPr>
        <w:tabs>
          <w:tab w:val="clear" w:pos="1440"/>
          <w:tab w:val="num" w:pos="851"/>
        </w:tabs>
        <w:autoSpaceDE w:val="0"/>
        <w:autoSpaceDN w:val="0"/>
        <w:adjustRightInd w:val="0"/>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Cs/>
          <w:iCs/>
          <w:sz w:val="24"/>
          <w:szCs w:val="24"/>
        </w:rPr>
        <w:t xml:space="preserve">Abetalipoproteinemia </w:t>
      </w:r>
    </w:p>
    <w:p w14:paraId="4285050B" w14:textId="77777777" w:rsidR="00BE0B19" w:rsidRPr="00AE47C6" w:rsidRDefault="00BE0B19" w:rsidP="00BE0B19">
      <w:pPr>
        <w:numPr>
          <w:ilvl w:val="1"/>
          <w:numId w:val="29"/>
        </w:numPr>
        <w:tabs>
          <w:tab w:val="clear" w:pos="1440"/>
          <w:tab w:val="num" w:pos="851"/>
        </w:tabs>
        <w:autoSpaceDE w:val="0"/>
        <w:autoSpaceDN w:val="0"/>
        <w:adjustRightInd w:val="0"/>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Болест на Refsum </w:t>
      </w:r>
    </w:p>
    <w:p w14:paraId="041F53D6" w14:textId="77777777" w:rsidR="00BE0B19" w:rsidRPr="00AE47C6" w:rsidRDefault="00BE0B19" w:rsidP="00BE0B19">
      <w:pPr>
        <w:numPr>
          <w:ilvl w:val="0"/>
          <w:numId w:val="29"/>
        </w:numPr>
        <w:tabs>
          <w:tab w:val="clear" w:pos="720"/>
          <w:tab w:val="left" w:pos="426"/>
        </w:tabs>
        <w:autoSpaceDE w:val="0"/>
        <w:autoSpaceDN w:val="0"/>
        <w:adjustRightInd w:val="0"/>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Friedreich фенотипно-подобни атаксии с церебеларна атрофия </w:t>
      </w:r>
    </w:p>
    <w:p w14:paraId="40DFEE3E" w14:textId="77777777" w:rsidR="00BE0B19" w:rsidRPr="00AE47C6" w:rsidRDefault="00BE0B19" w:rsidP="00BE0B19">
      <w:pPr>
        <w:numPr>
          <w:ilvl w:val="1"/>
          <w:numId w:val="29"/>
        </w:numPr>
        <w:tabs>
          <w:tab w:val="clear" w:pos="1440"/>
          <w:tab w:val="left" w:pos="993"/>
        </w:tabs>
        <w:autoSpaceDE w:val="0"/>
        <w:autoSpaceDN w:val="0"/>
        <w:adjustRightInd w:val="0"/>
        <w:spacing w:after="0" w:line="360" w:lineRule="auto"/>
        <w:ind w:left="0" w:firstLine="567"/>
        <w:jc w:val="both"/>
        <w:rPr>
          <w:rFonts w:ascii="Times New Roman" w:eastAsia="SimSun" w:hAnsi="Times New Roman"/>
          <w:sz w:val="24"/>
          <w:szCs w:val="24"/>
        </w:rPr>
      </w:pPr>
      <w:r w:rsidRPr="00AE47C6">
        <w:rPr>
          <w:rFonts w:ascii="Times New Roman" w:eastAsia="SimSun" w:hAnsi="Times New Roman"/>
          <w:sz w:val="24"/>
          <w:szCs w:val="24"/>
        </w:rPr>
        <w:t>Болест на Tay-Sachs с късно начало</w:t>
      </w:r>
    </w:p>
    <w:p w14:paraId="69C38E86" w14:textId="77777777" w:rsidR="00BE0B19" w:rsidRPr="00AE47C6" w:rsidRDefault="00BE0B19" w:rsidP="00BE0B19">
      <w:pPr>
        <w:numPr>
          <w:ilvl w:val="1"/>
          <w:numId w:val="29"/>
        </w:numPr>
        <w:tabs>
          <w:tab w:val="clear" w:pos="1440"/>
          <w:tab w:val="left" w:pos="993"/>
        </w:tabs>
        <w:autoSpaceDE w:val="0"/>
        <w:autoSpaceDN w:val="0"/>
        <w:adjustRightInd w:val="0"/>
        <w:spacing w:after="0" w:line="360" w:lineRule="auto"/>
        <w:ind w:left="0" w:firstLine="567"/>
        <w:jc w:val="both"/>
        <w:rPr>
          <w:rFonts w:ascii="Times New Roman" w:eastAsia="SimSun" w:hAnsi="Times New Roman"/>
          <w:sz w:val="24"/>
          <w:szCs w:val="24"/>
        </w:rPr>
      </w:pPr>
      <w:r w:rsidRPr="00AE47C6">
        <w:rPr>
          <w:rFonts w:ascii="Times New Roman" w:eastAsia="SimSun" w:hAnsi="Times New Roman"/>
          <w:bCs/>
          <w:sz w:val="24"/>
          <w:szCs w:val="24"/>
        </w:rPr>
        <w:t>Церебротендинозна ксантоматоза</w:t>
      </w:r>
    </w:p>
    <w:p w14:paraId="0E3F87E5" w14:textId="77777777" w:rsidR="00BE0B19" w:rsidRPr="00AE47C6" w:rsidRDefault="00BE0B19" w:rsidP="00BE0B19">
      <w:pPr>
        <w:numPr>
          <w:ilvl w:val="1"/>
          <w:numId w:val="29"/>
        </w:numPr>
        <w:tabs>
          <w:tab w:val="clear" w:pos="1440"/>
          <w:tab w:val="left" w:pos="993"/>
        </w:tabs>
        <w:autoSpaceDE w:val="0"/>
        <w:autoSpaceDN w:val="0"/>
        <w:adjustRightInd w:val="0"/>
        <w:spacing w:after="0" w:line="360" w:lineRule="auto"/>
        <w:ind w:left="0" w:firstLine="567"/>
        <w:jc w:val="both"/>
        <w:rPr>
          <w:rFonts w:ascii="Times New Roman" w:eastAsia="SimSun" w:hAnsi="Times New Roman"/>
          <w:sz w:val="24"/>
          <w:szCs w:val="24"/>
        </w:rPr>
      </w:pPr>
      <w:r w:rsidRPr="00AE47C6">
        <w:rPr>
          <w:rFonts w:ascii="Times New Roman" w:eastAsia="SimSun" w:hAnsi="Times New Roman"/>
          <w:sz w:val="24"/>
          <w:szCs w:val="24"/>
        </w:rPr>
        <w:t>Спиноцеребеларна атаксия с аксонна невропатия</w:t>
      </w:r>
    </w:p>
    <w:p w14:paraId="364D0E2B" w14:textId="77777777" w:rsidR="00BE0B19" w:rsidRPr="00AE47C6" w:rsidRDefault="00BE0B19" w:rsidP="00BE0B19">
      <w:pPr>
        <w:numPr>
          <w:ilvl w:val="1"/>
          <w:numId w:val="29"/>
        </w:numPr>
        <w:tabs>
          <w:tab w:val="clear" w:pos="1440"/>
          <w:tab w:val="left" w:pos="993"/>
        </w:tabs>
        <w:autoSpaceDE w:val="0"/>
        <w:autoSpaceDN w:val="0"/>
        <w:adjustRightInd w:val="0"/>
        <w:spacing w:after="0" w:line="360" w:lineRule="auto"/>
        <w:ind w:left="0" w:firstLine="567"/>
        <w:jc w:val="both"/>
        <w:rPr>
          <w:rFonts w:ascii="Times New Roman" w:eastAsia="SimSun" w:hAnsi="Times New Roman"/>
          <w:sz w:val="24"/>
          <w:szCs w:val="24"/>
        </w:rPr>
      </w:pPr>
      <w:r w:rsidRPr="00AE47C6">
        <w:rPr>
          <w:rFonts w:ascii="Times New Roman" w:eastAsia="SimSun" w:hAnsi="Times New Roman"/>
          <w:sz w:val="24"/>
          <w:szCs w:val="24"/>
        </w:rPr>
        <w:t xml:space="preserve">AР митохондриални болести с атаксия: АР хронично прогресираща външна офталмоплегия (ARCPEO); сензорна атаксична невропатия, дизартрия и офталмоплегия ( SANDO); синдром на митохондриална рецесивна атаксия (MIRAS), ювенилна спиноцеребеларна атаксия и епилепсия (SCAE); Синдром на Alpers (AS); инфантилна спиноцеребеларна атаксия (IOSCA); Миоклонична епилепсия, миопатия и сензорна атаксия ( MEMSA); </w:t>
      </w:r>
      <w:r w:rsidRPr="00AE47C6">
        <w:rPr>
          <w:rFonts w:ascii="Times New Roman" w:eastAsia="SimSun" w:hAnsi="Times New Roman"/>
          <w:bCs/>
          <w:sz w:val="24"/>
          <w:szCs w:val="24"/>
        </w:rPr>
        <w:t>Спиноцеребеларна атаксия с дефицит на коензим Q10</w:t>
      </w:r>
      <w:r w:rsidRPr="00AE47C6">
        <w:rPr>
          <w:rFonts w:ascii="Times New Roman" w:eastAsia="SimSun" w:hAnsi="Times New Roman"/>
          <w:sz w:val="24"/>
          <w:szCs w:val="24"/>
        </w:rPr>
        <w:t>; дефицит на пируват-дехидрогеназния комплекс (PDC)</w:t>
      </w:r>
    </w:p>
    <w:p w14:paraId="45256761" w14:textId="77777777" w:rsidR="00BE0B19" w:rsidRPr="00AE47C6" w:rsidRDefault="00BE0B19" w:rsidP="00BE0B19">
      <w:pPr>
        <w:numPr>
          <w:ilvl w:val="0"/>
          <w:numId w:val="29"/>
        </w:numPr>
        <w:tabs>
          <w:tab w:val="clear" w:pos="720"/>
          <w:tab w:val="left" w:pos="284"/>
        </w:tabs>
        <w:autoSpaceDE w:val="0"/>
        <w:autoSpaceDN w:val="0"/>
        <w:adjustRightInd w:val="0"/>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Атаксии с ранно начало и церебеларна атрофия </w:t>
      </w:r>
    </w:p>
    <w:p w14:paraId="46FBD352" w14:textId="77777777" w:rsidR="00BE0B19" w:rsidRPr="00AE47C6" w:rsidRDefault="00BE0B19" w:rsidP="00BE0B19">
      <w:pPr>
        <w:numPr>
          <w:ilvl w:val="1"/>
          <w:numId w:val="29"/>
        </w:numPr>
        <w:tabs>
          <w:tab w:val="clear" w:pos="1440"/>
          <w:tab w:val="num" w:pos="851"/>
        </w:tabs>
        <w:autoSpaceDE w:val="0"/>
        <w:autoSpaceDN w:val="0"/>
        <w:adjustRightInd w:val="0"/>
        <w:spacing w:after="0" w:line="360" w:lineRule="auto"/>
        <w:ind w:left="0" w:firstLine="426"/>
        <w:jc w:val="both"/>
        <w:rPr>
          <w:rFonts w:ascii="Times New Roman" w:eastAsia="SimSun" w:hAnsi="Times New Roman"/>
          <w:sz w:val="24"/>
          <w:szCs w:val="24"/>
        </w:rPr>
      </w:pPr>
      <w:r w:rsidRPr="00AE47C6">
        <w:rPr>
          <w:rFonts w:ascii="Times New Roman" w:eastAsia="SimSun" w:hAnsi="Times New Roman"/>
          <w:sz w:val="24"/>
          <w:szCs w:val="24"/>
        </w:rPr>
        <w:t>Ataxia telangiectasia</w:t>
      </w:r>
    </w:p>
    <w:p w14:paraId="45E6DDE2" w14:textId="77777777" w:rsidR="00BE0B19" w:rsidRPr="00AE47C6" w:rsidRDefault="00BE0B19" w:rsidP="00BE0B19">
      <w:pPr>
        <w:numPr>
          <w:ilvl w:val="1"/>
          <w:numId w:val="29"/>
        </w:numPr>
        <w:tabs>
          <w:tab w:val="clear" w:pos="1440"/>
          <w:tab w:val="num" w:pos="851"/>
        </w:tabs>
        <w:autoSpaceDE w:val="0"/>
        <w:autoSpaceDN w:val="0"/>
        <w:adjustRightInd w:val="0"/>
        <w:spacing w:after="0" w:line="360" w:lineRule="auto"/>
        <w:ind w:left="0" w:firstLine="426"/>
        <w:jc w:val="both"/>
        <w:rPr>
          <w:rFonts w:ascii="Times New Roman" w:eastAsia="SimSun" w:hAnsi="Times New Roman"/>
          <w:sz w:val="24"/>
          <w:szCs w:val="24"/>
        </w:rPr>
      </w:pPr>
      <w:r w:rsidRPr="00AE47C6">
        <w:rPr>
          <w:rFonts w:ascii="Times New Roman" w:eastAsia="SimSun" w:hAnsi="Times New Roman"/>
          <w:sz w:val="24"/>
          <w:szCs w:val="24"/>
        </w:rPr>
        <w:t>Ataxia telangiectasia-подобен синдром</w:t>
      </w:r>
    </w:p>
    <w:p w14:paraId="44DB12EC" w14:textId="77777777" w:rsidR="00BE0B19" w:rsidRPr="00AE47C6" w:rsidRDefault="00BE0B19" w:rsidP="00BE0B19">
      <w:pPr>
        <w:numPr>
          <w:ilvl w:val="1"/>
          <w:numId w:val="29"/>
        </w:numPr>
        <w:tabs>
          <w:tab w:val="clear" w:pos="1440"/>
          <w:tab w:val="num" w:pos="851"/>
        </w:tabs>
        <w:autoSpaceDE w:val="0"/>
        <w:autoSpaceDN w:val="0"/>
        <w:adjustRightInd w:val="0"/>
        <w:spacing w:after="0" w:line="360" w:lineRule="auto"/>
        <w:ind w:left="0" w:firstLine="426"/>
        <w:jc w:val="both"/>
        <w:rPr>
          <w:rFonts w:ascii="Times New Roman" w:eastAsia="SimSun" w:hAnsi="Times New Roman"/>
          <w:sz w:val="24"/>
          <w:szCs w:val="24"/>
        </w:rPr>
      </w:pPr>
      <w:r w:rsidRPr="00AE47C6">
        <w:rPr>
          <w:rFonts w:ascii="Times New Roman" w:eastAsia="SimSun" w:hAnsi="Times New Roman"/>
          <w:sz w:val="24"/>
          <w:szCs w:val="24"/>
        </w:rPr>
        <w:t>Атаксия с околомоторна апраксия 1 (AOA1)</w:t>
      </w:r>
    </w:p>
    <w:p w14:paraId="2371D030" w14:textId="77777777" w:rsidR="00BE0B19" w:rsidRPr="00AE47C6" w:rsidRDefault="00BE0B19" w:rsidP="00BE0B19">
      <w:pPr>
        <w:numPr>
          <w:ilvl w:val="1"/>
          <w:numId w:val="29"/>
        </w:numPr>
        <w:tabs>
          <w:tab w:val="clear" w:pos="1440"/>
          <w:tab w:val="num" w:pos="851"/>
        </w:tabs>
        <w:autoSpaceDE w:val="0"/>
        <w:autoSpaceDN w:val="0"/>
        <w:adjustRightInd w:val="0"/>
        <w:spacing w:after="0" w:line="360" w:lineRule="auto"/>
        <w:ind w:left="0" w:firstLine="426"/>
        <w:jc w:val="both"/>
        <w:rPr>
          <w:rFonts w:ascii="Times New Roman" w:eastAsia="SimSun" w:hAnsi="Times New Roman"/>
          <w:sz w:val="24"/>
          <w:szCs w:val="24"/>
        </w:rPr>
      </w:pPr>
      <w:r w:rsidRPr="00AE47C6">
        <w:rPr>
          <w:rFonts w:ascii="Times New Roman" w:eastAsia="SimSun" w:hAnsi="Times New Roman"/>
          <w:sz w:val="24"/>
          <w:szCs w:val="24"/>
        </w:rPr>
        <w:t>Атаксия с околомоторна апраксия 2 (AOA2)</w:t>
      </w:r>
    </w:p>
    <w:p w14:paraId="604C7CDB" w14:textId="77777777" w:rsidR="00BE0B19" w:rsidRPr="00AE47C6" w:rsidRDefault="00BE0B19" w:rsidP="00BE0B19">
      <w:pPr>
        <w:numPr>
          <w:ilvl w:val="1"/>
          <w:numId w:val="29"/>
        </w:numPr>
        <w:tabs>
          <w:tab w:val="clear" w:pos="1440"/>
          <w:tab w:val="num" w:pos="851"/>
        </w:tabs>
        <w:autoSpaceDE w:val="0"/>
        <w:autoSpaceDN w:val="0"/>
        <w:adjustRightInd w:val="0"/>
        <w:spacing w:after="0" w:line="360" w:lineRule="auto"/>
        <w:ind w:left="0" w:firstLine="426"/>
        <w:jc w:val="both"/>
        <w:rPr>
          <w:rFonts w:ascii="Times New Roman" w:eastAsia="SimSun" w:hAnsi="Times New Roman"/>
          <w:sz w:val="24"/>
          <w:szCs w:val="24"/>
        </w:rPr>
      </w:pPr>
      <w:r w:rsidRPr="00AE47C6">
        <w:rPr>
          <w:rFonts w:ascii="Times New Roman" w:eastAsia="SimSun" w:hAnsi="Times New Roman"/>
          <w:bCs/>
          <w:sz w:val="24"/>
          <w:szCs w:val="24"/>
        </w:rPr>
        <w:t>Charlevoix-Saguenay спастична атаксия</w:t>
      </w:r>
    </w:p>
    <w:p w14:paraId="715EB8F8" w14:textId="77777777" w:rsidR="00BE0B19" w:rsidRPr="00AE47C6" w:rsidRDefault="00BE0B19" w:rsidP="00BE0B19">
      <w:pPr>
        <w:numPr>
          <w:ilvl w:val="1"/>
          <w:numId w:val="29"/>
        </w:numPr>
        <w:tabs>
          <w:tab w:val="clear" w:pos="1440"/>
          <w:tab w:val="num" w:pos="851"/>
        </w:tabs>
        <w:autoSpaceDE w:val="0"/>
        <w:autoSpaceDN w:val="0"/>
        <w:adjustRightInd w:val="0"/>
        <w:spacing w:after="0" w:line="360" w:lineRule="auto"/>
        <w:ind w:left="0" w:firstLine="426"/>
        <w:jc w:val="both"/>
        <w:rPr>
          <w:rFonts w:ascii="Times New Roman" w:eastAsia="SimSun" w:hAnsi="Times New Roman"/>
          <w:sz w:val="24"/>
          <w:szCs w:val="24"/>
        </w:rPr>
      </w:pPr>
      <w:r w:rsidRPr="00AE47C6">
        <w:rPr>
          <w:rFonts w:ascii="Times New Roman" w:eastAsia="SimSun" w:hAnsi="Times New Roman"/>
          <w:sz w:val="24"/>
          <w:szCs w:val="24"/>
        </w:rPr>
        <w:t>Cayman ataxia</w:t>
      </w:r>
    </w:p>
    <w:p w14:paraId="59EAF302" w14:textId="77777777" w:rsidR="00BE0B19" w:rsidRPr="00AE47C6" w:rsidRDefault="00BE0B19" w:rsidP="00BE0B19">
      <w:pPr>
        <w:numPr>
          <w:ilvl w:val="1"/>
          <w:numId w:val="29"/>
        </w:numPr>
        <w:tabs>
          <w:tab w:val="clear" w:pos="1440"/>
          <w:tab w:val="num" w:pos="851"/>
        </w:tabs>
        <w:autoSpaceDE w:val="0"/>
        <w:autoSpaceDN w:val="0"/>
        <w:adjustRightInd w:val="0"/>
        <w:spacing w:after="0" w:line="360" w:lineRule="auto"/>
        <w:ind w:left="0" w:firstLine="426"/>
        <w:jc w:val="both"/>
        <w:rPr>
          <w:rFonts w:ascii="Times New Roman" w:eastAsia="SimSun" w:hAnsi="Times New Roman"/>
          <w:sz w:val="24"/>
          <w:szCs w:val="24"/>
        </w:rPr>
      </w:pPr>
      <w:r w:rsidRPr="00AE47C6">
        <w:rPr>
          <w:rFonts w:ascii="Times New Roman" w:eastAsia="SimSun" w:hAnsi="Times New Roman"/>
          <w:sz w:val="24"/>
          <w:szCs w:val="24"/>
        </w:rPr>
        <w:t>Синдром на Marinesco-Sjogren</w:t>
      </w:r>
    </w:p>
    <w:p w14:paraId="257989BE"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sz w:val="24"/>
          <w:szCs w:val="24"/>
          <w:u w:val="single"/>
        </w:rPr>
      </w:pPr>
      <w:r w:rsidRPr="00AE47C6">
        <w:rPr>
          <w:rFonts w:ascii="Times New Roman" w:eastAsia="SimSun" w:hAnsi="Times New Roman"/>
          <w:b/>
          <w:sz w:val="24"/>
          <w:szCs w:val="24"/>
          <w:u w:val="single"/>
        </w:rPr>
        <w:t>3. X-свързани</w:t>
      </w:r>
    </w:p>
    <w:p w14:paraId="42A5F4B9" w14:textId="77777777" w:rsidR="00BE0B19" w:rsidRPr="00AE47C6" w:rsidRDefault="00BE0B19" w:rsidP="00BE0B19">
      <w:pPr>
        <w:numPr>
          <w:ilvl w:val="0"/>
          <w:numId w:val="30"/>
        </w:numPr>
        <w:tabs>
          <w:tab w:val="clear" w:pos="720"/>
        </w:tabs>
        <w:autoSpaceDE w:val="0"/>
        <w:autoSpaceDN w:val="0"/>
        <w:adjustRightInd w:val="0"/>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Синдром Х чуплива хромозома – тремор/атаксия </w:t>
      </w:r>
    </w:p>
    <w:p w14:paraId="73AA279C" w14:textId="77777777" w:rsidR="00BE0B19" w:rsidRPr="00AE47C6" w:rsidRDefault="00BE0B19" w:rsidP="00BE0B19">
      <w:pPr>
        <w:numPr>
          <w:ilvl w:val="0"/>
          <w:numId w:val="30"/>
        </w:numPr>
        <w:tabs>
          <w:tab w:val="clear" w:pos="720"/>
        </w:tabs>
        <w:autoSpaceDE w:val="0"/>
        <w:autoSpaceDN w:val="0"/>
        <w:adjustRightInd w:val="0"/>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X-свързани митохондриални болести и атаксия (XLSA/A)</w:t>
      </w:r>
    </w:p>
    <w:p w14:paraId="61BE73A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sz w:val="24"/>
          <w:szCs w:val="24"/>
          <w:u w:val="single"/>
        </w:rPr>
      </w:pPr>
      <w:r w:rsidRPr="00AE47C6">
        <w:rPr>
          <w:rFonts w:ascii="Times New Roman" w:eastAsia="SimSun" w:hAnsi="Times New Roman"/>
          <w:b/>
          <w:sz w:val="24"/>
          <w:szCs w:val="24"/>
          <w:u w:val="single"/>
        </w:rPr>
        <w:t xml:space="preserve">4. Хередоатаксии с майчино унаследяване </w:t>
      </w:r>
    </w:p>
    <w:p w14:paraId="62686BD1" w14:textId="77777777" w:rsidR="00BE0B19" w:rsidRPr="00AE47C6" w:rsidRDefault="00BE0B19" w:rsidP="00BE0B19">
      <w:pPr>
        <w:numPr>
          <w:ilvl w:val="0"/>
          <w:numId w:val="32"/>
        </w:numPr>
        <w:tabs>
          <w:tab w:val="clear" w:pos="720"/>
          <w:tab w:val="left" w:pos="426"/>
        </w:tabs>
        <w:autoSpaceDE w:val="0"/>
        <w:autoSpaceDN w:val="0"/>
        <w:adjustRightInd w:val="0"/>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Точкови мутации </w:t>
      </w:r>
    </w:p>
    <w:p w14:paraId="5AFD2510" w14:textId="77777777" w:rsidR="00BE0B19" w:rsidRPr="00AE47C6" w:rsidRDefault="00BE0B19" w:rsidP="00BE0B19">
      <w:pPr>
        <w:numPr>
          <w:ilvl w:val="1"/>
          <w:numId w:val="32"/>
        </w:numPr>
        <w:tabs>
          <w:tab w:val="clear" w:pos="1440"/>
          <w:tab w:val="left" w:pos="426"/>
          <w:tab w:val="left" w:pos="1134"/>
        </w:tabs>
        <w:autoSpaceDE w:val="0"/>
        <w:autoSpaceDN w:val="0"/>
        <w:adjustRightInd w:val="0"/>
        <w:spacing w:after="0" w:line="360" w:lineRule="auto"/>
        <w:ind w:left="0" w:hanging="567"/>
        <w:jc w:val="both"/>
        <w:rPr>
          <w:rFonts w:ascii="Times New Roman" w:eastAsia="SimSun" w:hAnsi="Times New Roman"/>
          <w:sz w:val="24"/>
          <w:szCs w:val="24"/>
        </w:rPr>
      </w:pPr>
      <w:r w:rsidRPr="00AE47C6">
        <w:rPr>
          <w:rFonts w:ascii="Times New Roman" w:eastAsia="SimSun" w:hAnsi="Times New Roman"/>
          <w:sz w:val="24"/>
          <w:szCs w:val="24"/>
        </w:rPr>
        <w:t xml:space="preserve">t-РНК или r-РНК гени - митохондриалната енцефаломиопатия с лактатна ацидоза и инсултоподобни епизоди (MELAS); миоклонична епилепсия с разкъсани червени влакна (MERRF); гени, кодиращи субединиците на дихателната верига - </w:t>
      </w:r>
      <w:r w:rsidRPr="00AE47C6">
        <w:rPr>
          <w:rFonts w:ascii="Times New Roman" w:eastAsia="SimSun" w:hAnsi="Times New Roman"/>
          <w:bCs/>
          <w:sz w:val="24"/>
          <w:szCs w:val="24"/>
        </w:rPr>
        <w:t xml:space="preserve">Леберова наследствена оптична невропатия </w:t>
      </w:r>
      <w:r w:rsidRPr="00AE47C6">
        <w:rPr>
          <w:rFonts w:ascii="Times New Roman" w:eastAsia="SimSun" w:hAnsi="Times New Roman"/>
          <w:sz w:val="24"/>
          <w:szCs w:val="24"/>
        </w:rPr>
        <w:t>(LHON); невропатия, атаксия и пигментен ретинит (NARP); Синдром на Leigh (LS); синдром на Leigh с майчино предаване (MILS)</w:t>
      </w:r>
    </w:p>
    <w:p w14:paraId="3C83C57B" w14:textId="77777777" w:rsidR="00BE0B19" w:rsidRPr="00AE47C6" w:rsidRDefault="00BE0B19" w:rsidP="00BE0B19">
      <w:pPr>
        <w:numPr>
          <w:ilvl w:val="0"/>
          <w:numId w:val="30"/>
        </w:numPr>
        <w:tabs>
          <w:tab w:val="left" w:pos="0"/>
        </w:tabs>
        <w:autoSpaceDE w:val="0"/>
        <w:autoSpaceDN w:val="0"/>
        <w:adjustRightInd w:val="0"/>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Единични, големи делеции/дупликации (спорадични) - Хронична прогресираща външна офталмоплегия (CPEO); синдром на Kearns-Sayre (KSS); синдром на Pearson (PS)</w:t>
      </w:r>
    </w:p>
    <w:p w14:paraId="263BE464"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ІІ. Спорадични атаксии</w:t>
      </w:r>
    </w:p>
    <w:p w14:paraId="62B58899" w14:textId="77777777" w:rsidR="00BE0B19" w:rsidRPr="00AE47C6" w:rsidRDefault="00BE0B19" w:rsidP="00BE0B19">
      <w:pPr>
        <w:numPr>
          <w:ilvl w:val="0"/>
          <w:numId w:val="31"/>
        </w:numPr>
        <w:tabs>
          <w:tab w:val="clear" w:pos="720"/>
          <w:tab w:val="num" w:pos="567"/>
        </w:tabs>
        <w:autoSpaceDE w:val="0"/>
        <w:autoSpaceDN w:val="0"/>
        <w:adjustRightInd w:val="0"/>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Церебеларна атаксия с късно начало</w:t>
      </w:r>
    </w:p>
    <w:p w14:paraId="69463F3B" w14:textId="77777777" w:rsidR="00BE0B19" w:rsidRPr="00AE47C6" w:rsidRDefault="00BE0B19" w:rsidP="00BE0B19">
      <w:pPr>
        <w:numPr>
          <w:ilvl w:val="0"/>
          <w:numId w:val="31"/>
        </w:numPr>
        <w:tabs>
          <w:tab w:val="clear" w:pos="720"/>
          <w:tab w:val="num" w:pos="567"/>
        </w:tabs>
        <w:autoSpaceDE w:val="0"/>
        <w:autoSpaceDN w:val="0"/>
        <w:adjustRightInd w:val="0"/>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Оливо-понто-церебеларна атрофия (OPCA)</w:t>
      </w:r>
    </w:p>
    <w:p w14:paraId="46F4989E" w14:textId="77777777" w:rsidR="00BE0B19" w:rsidRPr="00AE47C6" w:rsidRDefault="00BE0B19" w:rsidP="00BE0B19">
      <w:pPr>
        <w:numPr>
          <w:ilvl w:val="0"/>
          <w:numId w:val="31"/>
        </w:numPr>
        <w:tabs>
          <w:tab w:val="clear" w:pos="720"/>
          <w:tab w:val="num" w:pos="567"/>
        </w:tabs>
        <w:spacing w:after="0" w:line="360" w:lineRule="auto"/>
        <w:ind w:left="0" w:firstLine="0"/>
        <w:jc w:val="both"/>
        <w:rPr>
          <w:rFonts w:ascii="Times New Roman" w:eastAsia="SimSun" w:hAnsi="Times New Roman"/>
          <w:b/>
          <w:bCs/>
          <w:sz w:val="24"/>
          <w:szCs w:val="24"/>
          <w:u w:val="single"/>
        </w:rPr>
      </w:pPr>
      <w:r w:rsidRPr="00AE47C6">
        <w:rPr>
          <w:rFonts w:ascii="Times New Roman" w:eastAsia="SimSun" w:hAnsi="Times New Roman"/>
          <w:sz w:val="24"/>
          <w:szCs w:val="24"/>
        </w:rPr>
        <w:t xml:space="preserve">Церебеларен тип мултисистемна атрофия </w:t>
      </w:r>
    </w:p>
    <w:p w14:paraId="308FCB9A" w14:textId="77777777" w:rsidR="00BE0B19" w:rsidRPr="00AE47C6" w:rsidRDefault="00BE0B19" w:rsidP="00BE0B19">
      <w:pPr>
        <w:spacing w:after="0" w:line="360" w:lineRule="auto"/>
        <w:jc w:val="both"/>
        <w:rPr>
          <w:rFonts w:ascii="Times New Roman" w:eastAsia="SimSun" w:hAnsi="Times New Roman"/>
          <w:b/>
          <w:bCs/>
          <w:sz w:val="24"/>
          <w:szCs w:val="24"/>
        </w:rPr>
      </w:pPr>
    </w:p>
    <w:p w14:paraId="1782A37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Епидемиология.</w:t>
      </w:r>
      <w:r w:rsidRPr="00AE47C6">
        <w:rPr>
          <w:rFonts w:ascii="Times New Roman" w:eastAsia="SimSun" w:hAnsi="Times New Roman"/>
          <w:sz w:val="24"/>
          <w:szCs w:val="24"/>
        </w:rPr>
        <w:t xml:space="preserve"> Заболяемостта от ЦДА общо е около 6/100 000. Най-честа е идиопатичната церебеларна атаксия тип Dejerine-Thomas (8/100 000). Заболяемостта от АР атаксии е 2,2- 7/100 000, като на Фридрайховата атаксия е 0,6-2/100 000. Честотата на АД спиноцеребеларни атаксии е 1-5/100 000. В изолирани популации с кръвно родство заболяемостта на наследствените ЦДЗ нараства до 13-184/100 000. В България честотата на наследствените атаксии е 3.39/100 000, а на атаксията на Friedreich – 1,87/100 000. </w:t>
      </w:r>
    </w:p>
    <w:p w14:paraId="09C6FCBB"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bCs/>
          <w:sz w:val="24"/>
          <w:szCs w:val="24"/>
          <w:u w:val="single"/>
        </w:rPr>
        <w:t>Автозомно – рецесивни атаксии</w:t>
      </w:r>
      <w:r w:rsidRPr="00AE47C6">
        <w:rPr>
          <w:rFonts w:ascii="Times New Roman" w:eastAsia="SimSun" w:hAnsi="Times New Roman"/>
          <w:b/>
          <w:bCs/>
          <w:sz w:val="24"/>
          <w:szCs w:val="24"/>
        </w:rPr>
        <w:t xml:space="preserve"> (конгенитални, с известен метаболитен дефект, с </w:t>
      </w:r>
      <w:r w:rsidRPr="00AE47C6">
        <w:rPr>
          <w:rFonts w:ascii="Times New Roman" w:eastAsia="SimSun" w:hAnsi="Times New Roman"/>
          <w:b/>
          <w:sz w:val="24"/>
          <w:szCs w:val="24"/>
        </w:rPr>
        <w:t>нарушения в ДНК възстановяването,</w:t>
      </w:r>
      <w:r w:rsidRPr="00AE47C6">
        <w:rPr>
          <w:rFonts w:ascii="Times New Roman" w:eastAsia="SimSun" w:hAnsi="Times New Roman"/>
          <w:b/>
          <w:bCs/>
          <w:sz w:val="24"/>
          <w:szCs w:val="24"/>
        </w:rPr>
        <w:t xml:space="preserve"> дегенеративни)</w:t>
      </w:r>
      <w:r w:rsidRPr="00AE47C6">
        <w:rPr>
          <w:rFonts w:ascii="Times New Roman" w:eastAsia="SimSun" w:hAnsi="Times New Roman"/>
          <w:bCs/>
          <w:sz w:val="24"/>
          <w:szCs w:val="24"/>
        </w:rPr>
        <w:t>. Представляват генетично и фенотипно хетерогенна група от редки заболявания, ангажиращи едновременно ЦНС (малкия мозък, мозъчния ствол, гръбначния мозък и спиноцеребеларните пътища), периферната нервна система и други органи и системи. (</w:t>
      </w:r>
      <w:r w:rsidRPr="00AE47C6">
        <w:rPr>
          <w:rFonts w:ascii="Times New Roman" w:eastAsia="SimSun" w:hAnsi="Times New Roman"/>
          <w:b/>
          <w:bCs/>
          <w:sz w:val="24"/>
          <w:szCs w:val="24"/>
        </w:rPr>
        <w:t>Табл. 5.18</w:t>
      </w:r>
      <w:r w:rsidRPr="00AE47C6">
        <w:rPr>
          <w:rFonts w:ascii="Times New Roman" w:eastAsia="SimSun" w:hAnsi="Times New Roman"/>
          <w:bCs/>
          <w:sz w:val="24"/>
          <w:szCs w:val="24"/>
        </w:rPr>
        <w:t xml:space="preserve">) </w:t>
      </w:r>
      <w:r w:rsidRPr="00AE47C6">
        <w:rPr>
          <w:rFonts w:ascii="Times New Roman" w:eastAsia="SimSun" w:hAnsi="Times New Roman"/>
          <w:bCs/>
          <w:i/>
          <w:sz w:val="24"/>
          <w:szCs w:val="24"/>
        </w:rPr>
        <w:t>Типично за тях е ранното начало (преди 20-годишна възраст).</w:t>
      </w:r>
      <w:r w:rsidRPr="00AE47C6">
        <w:rPr>
          <w:rFonts w:ascii="Times New Roman" w:eastAsia="SimSun" w:hAnsi="Times New Roman"/>
          <w:bCs/>
          <w:sz w:val="24"/>
          <w:szCs w:val="24"/>
        </w:rPr>
        <w:t xml:space="preserve"> Протичат без прогресия, интермитентно или с прогресиращ ход.</w:t>
      </w:r>
    </w:p>
    <w:p w14:paraId="31DA5140"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Табл. 5.18. АР атаксии- генни дефекти/локуси </w:t>
      </w:r>
      <w:r w:rsidRPr="00AE47C6">
        <w:rPr>
          <w:rFonts w:ascii="Times New Roman" w:eastAsia="SimSun" w:hAnsi="Times New Roman"/>
          <w:sz w:val="24"/>
          <w:szCs w:val="24"/>
        </w:rPr>
        <w:t>(локусът се описва при неизвестен ген)</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2662"/>
        <w:gridCol w:w="1530"/>
        <w:gridCol w:w="2297"/>
        <w:gridCol w:w="1251"/>
      </w:tblGrid>
      <w:tr w:rsidR="00BE0B19" w:rsidRPr="00AE47C6" w14:paraId="14E4C64B" w14:textId="77777777" w:rsidTr="00AD72E5">
        <w:tc>
          <w:tcPr>
            <w:tcW w:w="1728" w:type="dxa"/>
            <w:shd w:val="clear" w:color="auto" w:fill="auto"/>
          </w:tcPr>
          <w:p w14:paraId="1F6BCA63" w14:textId="77777777" w:rsidR="00BE0B19" w:rsidRPr="00AE47C6" w:rsidRDefault="00BE0B19" w:rsidP="00BE0B19">
            <w:pPr>
              <w:spacing w:after="0" w:line="360" w:lineRule="auto"/>
              <w:rPr>
                <w:rFonts w:ascii="Times New Roman" w:eastAsia="SimSun" w:hAnsi="Times New Roman"/>
                <w:b/>
                <w:sz w:val="24"/>
                <w:szCs w:val="24"/>
              </w:rPr>
            </w:pPr>
          </w:p>
        </w:tc>
        <w:tc>
          <w:tcPr>
            <w:tcW w:w="2662" w:type="dxa"/>
            <w:shd w:val="clear" w:color="auto" w:fill="auto"/>
          </w:tcPr>
          <w:p w14:paraId="053FEC0B"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Заболяване</w:t>
            </w:r>
          </w:p>
        </w:tc>
        <w:tc>
          <w:tcPr>
            <w:tcW w:w="1530" w:type="dxa"/>
            <w:shd w:val="clear" w:color="auto" w:fill="auto"/>
          </w:tcPr>
          <w:p w14:paraId="004F1EB1"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Ген</w:t>
            </w:r>
          </w:p>
        </w:tc>
        <w:tc>
          <w:tcPr>
            <w:tcW w:w="2297" w:type="dxa"/>
            <w:shd w:val="clear" w:color="auto" w:fill="auto"/>
          </w:tcPr>
          <w:p w14:paraId="765924B8"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Клинични особености</w:t>
            </w:r>
          </w:p>
        </w:tc>
        <w:tc>
          <w:tcPr>
            <w:tcW w:w="1251" w:type="dxa"/>
          </w:tcPr>
          <w:p w14:paraId="54E29E6E"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Възраст в началото (г.)</w:t>
            </w:r>
          </w:p>
        </w:tc>
      </w:tr>
      <w:tr w:rsidR="00BE0B19" w:rsidRPr="00AE47C6" w14:paraId="00598620" w14:textId="77777777" w:rsidTr="00AD72E5">
        <w:tc>
          <w:tcPr>
            <w:tcW w:w="1728" w:type="dxa"/>
            <w:shd w:val="clear" w:color="auto" w:fill="auto"/>
          </w:tcPr>
          <w:p w14:paraId="2797E70A"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Конгенитални атаксии</w:t>
            </w:r>
          </w:p>
          <w:p w14:paraId="09874287" w14:textId="77777777" w:rsidR="00BE0B19" w:rsidRPr="00AE47C6" w:rsidRDefault="00BE0B19" w:rsidP="00BE0B19">
            <w:pPr>
              <w:spacing w:after="0" w:line="360" w:lineRule="auto"/>
              <w:rPr>
                <w:rFonts w:ascii="Times New Roman" w:eastAsia="SimSun" w:hAnsi="Times New Roman"/>
                <w:sz w:val="24"/>
                <w:szCs w:val="24"/>
              </w:rPr>
            </w:pPr>
          </w:p>
          <w:p w14:paraId="250FEAFE" w14:textId="77777777" w:rsidR="00BE0B19" w:rsidRPr="00AE47C6" w:rsidRDefault="00BE0B19" w:rsidP="00BE0B19">
            <w:pPr>
              <w:spacing w:after="0" w:line="360" w:lineRule="auto"/>
              <w:rPr>
                <w:rFonts w:ascii="Times New Roman" w:eastAsia="SimSun" w:hAnsi="Times New Roman"/>
                <w:sz w:val="24"/>
                <w:szCs w:val="24"/>
              </w:rPr>
            </w:pPr>
          </w:p>
          <w:p w14:paraId="6EB6E3B8" w14:textId="77777777" w:rsidR="00BE0B19" w:rsidRPr="00AE47C6" w:rsidRDefault="00BE0B19" w:rsidP="00BE0B19">
            <w:pPr>
              <w:spacing w:after="0" w:line="360" w:lineRule="auto"/>
              <w:jc w:val="center"/>
              <w:rPr>
                <w:rFonts w:ascii="Times New Roman" w:eastAsia="SimSun" w:hAnsi="Times New Roman"/>
                <w:sz w:val="24"/>
                <w:szCs w:val="24"/>
              </w:rPr>
            </w:pPr>
          </w:p>
        </w:tc>
        <w:tc>
          <w:tcPr>
            <w:tcW w:w="2662" w:type="dxa"/>
            <w:shd w:val="clear" w:color="auto" w:fill="auto"/>
          </w:tcPr>
          <w:p w14:paraId="794AF4B0"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Синдром на Joubert</w:t>
            </w:r>
          </w:p>
          <w:p w14:paraId="4B9A050A" w14:textId="77777777" w:rsidR="00BE0B19" w:rsidRPr="00AE47C6" w:rsidRDefault="00BE0B19" w:rsidP="00BE0B19">
            <w:pPr>
              <w:tabs>
                <w:tab w:val="left" w:pos="1701"/>
              </w:tabs>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JBTS1 </w:t>
            </w:r>
          </w:p>
          <w:p w14:paraId="6EC02945" w14:textId="77777777" w:rsidR="00BE0B19" w:rsidRPr="00AE47C6" w:rsidRDefault="00BE0B19" w:rsidP="00BE0B19">
            <w:pPr>
              <w:tabs>
                <w:tab w:val="left" w:pos="1701"/>
              </w:tabs>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JBTS2 </w:t>
            </w:r>
          </w:p>
          <w:p w14:paraId="5CFC37B2" w14:textId="77777777" w:rsidR="00BE0B19" w:rsidRPr="00AE47C6" w:rsidRDefault="00BE0B19" w:rsidP="00BE0B19">
            <w:pPr>
              <w:tabs>
                <w:tab w:val="left" w:pos="1701"/>
              </w:tabs>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JBTS3 </w:t>
            </w:r>
          </w:p>
          <w:p w14:paraId="52F19CC7" w14:textId="77777777" w:rsidR="00BE0B19" w:rsidRPr="00AE47C6" w:rsidRDefault="00BE0B19" w:rsidP="00BE0B19">
            <w:pPr>
              <w:tabs>
                <w:tab w:val="left" w:pos="1701"/>
              </w:tabs>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JBTS4 </w:t>
            </w:r>
          </w:p>
          <w:p w14:paraId="1A185477"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JBTS5 </w:t>
            </w:r>
          </w:p>
        </w:tc>
        <w:tc>
          <w:tcPr>
            <w:tcW w:w="1530" w:type="dxa"/>
            <w:shd w:val="clear" w:color="auto" w:fill="auto"/>
          </w:tcPr>
          <w:p w14:paraId="326D085D"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JBTS1</w:t>
            </w:r>
          </w:p>
          <w:p w14:paraId="1BE694EE"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CORS2 (JBTS2)</w:t>
            </w:r>
          </w:p>
          <w:p w14:paraId="77EC2A53"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AHI1 (</w:t>
            </w:r>
            <w:r w:rsidRPr="00AE47C6">
              <w:rPr>
                <w:rFonts w:ascii="Times New Roman" w:eastAsia="SimSun" w:hAnsi="Times New Roman"/>
                <w:i/>
                <w:iCs/>
                <w:sz w:val="24"/>
                <w:szCs w:val="24"/>
              </w:rPr>
              <w:t>AHI1</w:t>
            </w:r>
            <w:r w:rsidRPr="00AE47C6">
              <w:rPr>
                <w:rFonts w:ascii="Times New Roman" w:eastAsia="SimSun" w:hAnsi="Times New Roman"/>
                <w:i/>
                <w:sz w:val="24"/>
                <w:szCs w:val="24"/>
              </w:rPr>
              <w:t>)</w:t>
            </w:r>
          </w:p>
          <w:p w14:paraId="3A20B760"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w:t>
            </w:r>
            <w:r w:rsidRPr="00AE47C6">
              <w:rPr>
                <w:rFonts w:ascii="Times New Roman" w:eastAsia="SimSun" w:hAnsi="Times New Roman"/>
                <w:i/>
                <w:iCs/>
                <w:sz w:val="24"/>
                <w:szCs w:val="24"/>
              </w:rPr>
              <w:t>NPHP1</w:t>
            </w:r>
            <w:r w:rsidRPr="00AE47C6">
              <w:rPr>
                <w:rFonts w:ascii="Times New Roman" w:eastAsia="SimSun" w:hAnsi="Times New Roman"/>
                <w:i/>
                <w:sz w:val="24"/>
                <w:szCs w:val="24"/>
              </w:rPr>
              <w:t>)</w:t>
            </w:r>
          </w:p>
          <w:p w14:paraId="1427B638"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w:t>
            </w:r>
            <w:r w:rsidRPr="00AE47C6">
              <w:rPr>
                <w:rFonts w:ascii="Times New Roman" w:eastAsia="SimSun" w:hAnsi="Times New Roman"/>
                <w:i/>
                <w:iCs/>
                <w:sz w:val="24"/>
                <w:szCs w:val="24"/>
              </w:rPr>
              <w:t>CEP290 или NPHP6</w:t>
            </w:r>
            <w:r w:rsidRPr="00AE47C6">
              <w:rPr>
                <w:rFonts w:ascii="Times New Roman" w:eastAsia="SimSun" w:hAnsi="Times New Roman"/>
                <w:i/>
                <w:sz w:val="24"/>
                <w:szCs w:val="24"/>
              </w:rPr>
              <w:t>)</w:t>
            </w:r>
          </w:p>
        </w:tc>
        <w:tc>
          <w:tcPr>
            <w:tcW w:w="2297" w:type="dxa"/>
            <w:shd w:val="clear" w:color="auto" w:fill="auto"/>
          </w:tcPr>
          <w:p w14:paraId="52863BBD"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Неразвит vermis, епизодична хиперпнея и аритмично дишане, абнормни движения на очите и езика и умствена изостаналост</w:t>
            </w:r>
          </w:p>
        </w:tc>
        <w:tc>
          <w:tcPr>
            <w:tcW w:w="1251" w:type="dxa"/>
          </w:tcPr>
          <w:p w14:paraId="02AEA0C0"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Вродени</w:t>
            </w:r>
          </w:p>
        </w:tc>
      </w:tr>
      <w:tr w:rsidR="00BE0B19" w:rsidRPr="00AE47C6" w14:paraId="42DE8BB9" w14:textId="77777777" w:rsidTr="00AD72E5">
        <w:tc>
          <w:tcPr>
            <w:tcW w:w="1728" w:type="dxa"/>
            <w:vMerge w:val="restart"/>
            <w:shd w:val="clear" w:color="auto" w:fill="auto"/>
          </w:tcPr>
          <w:p w14:paraId="057B18BA"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Атаксии с известен метаболитен дефект</w:t>
            </w:r>
          </w:p>
        </w:tc>
        <w:tc>
          <w:tcPr>
            <w:tcW w:w="2662" w:type="dxa"/>
            <w:shd w:val="clear" w:color="auto" w:fill="auto"/>
          </w:tcPr>
          <w:p w14:paraId="5E704A4A"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Атаксия с дефицит на витамин Е</w:t>
            </w:r>
          </w:p>
        </w:tc>
        <w:tc>
          <w:tcPr>
            <w:tcW w:w="1530" w:type="dxa"/>
            <w:shd w:val="clear" w:color="auto" w:fill="auto"/>
          </w:tcPr>
          <w:p w14:paraId="14DEE7B7" w14:textId="77777777" w:rsidR="00BE0B19" w:rsidRPr="00AE47C6" w:rsidRDefault="00BE0B19" w:rsidP="00BE0B19">
            <w:pPr>
              <w:tabs>
                <w:tab w:val="left" w:pos="1701"/>
              </w:tabs>
              <w:spacing w:after="0" w:line="360" w:lineRule="auto"/>
              <w:rPr>
                <w:rFonts w:ascii="Times New Roman" w:eastAsia="SimSun" w:hAnsi="Times New Roman"/>
                <w:i/>
                <w:color w:val="003366"/>
                <w:sz w:val="24"/>
                <w:szCs w:val="24"/>
                <w:u w:val="single"/>
              </w:rPr>
            </w:pPr>
            <w:r w:rsidRPr="00AE47C6">
              <w:rPr>
                <w:rFonts w:ascii="Times New Roman" w:eastAsia="SimSun" w:hAnsi="Times New Roman"/>
                <w:i/>
                <w:sz w:val="24"/>
                <w:szCs w:val="24"/>
              </w:rPr>
              <w:t>TTRA</w:t>
            </w:r>
          </w:p>
        </w:tc>
        <w:tc>
          <w:tcPr>
            <w:tcW w:w="2297" w:type="dxa"/>
            <w:shd w:val="clear" w:color="auto" w:fill="auto"/>
          </w:tcPr>
          <w:p w14:paraId="466C0CAE"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Friedreich-подобна, титубация</w:t>
            </w:r>
          </w:p>
        </w:tc>
        <w:tc>
          <w:tcPr>
            <w:tcW w:w="1251" w:type="dxa"/>
          </w:tcPr>
          <w:p w14:paraId="3A2F47B4"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2-52 г</w:t>
            </w:r>
          </w:p>
        </w:tc>
      </w:tr>
      <w:tr w:rsidR="00BE0B19" w:rsidRPr="00AE47C6" w14:paraId="59E32221" w14:textId="77777777" w:rsidTr="00AD72E5">
        <w:tc>
          <w:tcPr>
            <w:tcW w:w="1728" w:type="dxa"/>
            <w:vMerge/>
            <w:shd w:val="clear" w:color="auto" w:fill="auto"/>
          </w:tcPr>
          <w:p w14:paraId="6EA30F0C"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00852D35"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Абеталипопротеинемия</w:t>
            </w:r>
          </w:p>
          <w:p w14:paraId="102408D3" w14:textId="77777777" w:rsidR="00BE0B19" w:rsidRPr="00AE47C6" w:rsidRDefault="00BE0B19" w:rsidP="00BE0B19">
            <w:pPr>
              <w:tabs>
                <w:tab w:val="left" w:pos="1701"/>
              </w:tabs>
              <w:spacing w:after="0" w:line="360" w:lineRule="auto"/>
              <w:rPr>
                <w:rFonts w:ascii="Times New Roman" w:eastAsia="SimSun" w:hAnsi="Times New Roman"/>
                <w:i/>
                <w:sz w:val="24"/>
                <w:szCs w:val="24"/>
              </w:rPr>
            </w:pPr>
          </w:p>
        </w:tc>
        <w:tc>
          <w:tcPr>
            <w:tcW w:w="1530" w:type="dxa"/>
            <w:shd w:val="clear" w:color="auto" w:fill="auto"/>
          </w:tcPr>
          <w:p w14:paraId="51732D77" w14:textId="77777777" w:rsidR="00BE0B19" w:rsidRPr="00AE47C6" w:rsidRDefault="00BE0B19" w:rsidP="00BE0B19">
            <w:pPr>
              <w:tabs>
                <w:tab w:val="left" w:pos="1701"/>
              </w:tabs>
              <w:autoSpaceDE w:val="0"/>
              <w:autoSpaceDN w:val="0"/>
              <w:adjustRightInd w:val="0"/>
              <w:spacing w:after="0" w:line="360" w:lineRule="auto"/>
              <w:rPr>
                <w:rFonts w:ascii="Times New Roman" w:eastAsia="SimSun" w:hAnsi="Times New Roman"/>
                <w:i/>
                <w:sz w:val="24"/>
                <w:szCs w:val="24"/>
              </w:rPr>
            </w:pPr>
            <w:r w:rsidRPr="00AE47C6">
              <w:rPr>
                <w:rFonts w:ascii="Times New Roman" w:eastAsia="SimSun" w:hAnsi="Times New Roman"/>
                <w:i/>
                <w:sz w:val="24"/>
                <w:szCs w:val="24"/>
              </w:rPr>
              <w:t>Microsomal triglyceride transfer protein</w:t>
            </w:r>
          </w:p>
        </w:tc>
        <w:tc>
          <w:tcPr>
            <w:tcW w:w="2297" w:type="dxa"/>
            <w:shd w:val="clear" w:color="auto" w:fill="auto"/>
          </w:tcPr>
          <w:p w14:paraId="4AA41704"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Акантоцитоза, хипохолестеролемия, прогресираща дегенерация на задните стълбци, полиневропатия, умствена изостаналост и пигментна дегенерация на ретината</w:t>
            </w:r>
          </w:p>
        </w:tc>
        <w:tc>
          <w:tcPr>
            <w:tcW w:w="1251" w:type="dxa"/>
          </w:tcPr>
          <w:p w14:paraId="1413E273"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След 10 г.</w:t>
            </w:r>
          </w:p>
        </w:tc>
      </w:tr>
      <w:tr w:rsidR="00BE0B19" w:rsidRPr="00AE47C6" w14:paraId="7D2175D4" w14:textId="77777777" w:rsidTr="00AD72E5">
        <w:tc>
          <w:tcPr>
            <w:tcW w:w="1728" w:type="dxa"/>
            <w:vMerge/>
            <w:shd w:val="clear" w:color="auto" w:fill="auto"/>
          </w:tcPr>
          <w:p w14:paraId="79A12959"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36BC219C" w14:textId="77777777" w:rsidR="00BE0B19" w:rsidRPr="00AE47C6" w:rsidRDefault="00BE0B19" w:rsidP="00BE0B19">
            <w:pPr>
              <w:tabs>
                <w:tab w:val="left" w:pos="1701"/>
              </w:tabs>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Болест на Refsum</w:t>
            </w:r>
          </w:p>
          <w:p w14:paraId="6A623543"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1530" w:type="dxa"/>
            <w:shd w:val="clear" w:color="auto" w:fill="auto"/>
          </w:tcPr>
          <w:p w14:paraId="54A23224" w14:textId="77777777" w:rsidR="00BE0B19" w:rsidRPr="00AE47C6" w:rsidRDefault="00BE0B19" w:rsidP="00BE0B19">
            <w:pPr>
              <w:tabs>
                <w:tab w:val="left" w:pos="1701"/>
              </w:tabs>
              <w:autoSpaceDE w:val="0"/>
              <w:autoSpaceDN w:val="0"/>
              <w:adjustRightInd w:val="0"/>
              <w:spacing w:after="0" w:line="360" w:lineRule="auto"/>
              <w:rPr>
                <w:rFonts w:ascii="Times New Roman" w:eastAsia="SimSun" w:hAnsi="Times New Roman"/>
                <w:i/>
                <w:sz w:val="24"/>
                <w:szCs w:val="24"/>
              </w:rPr>
            </w:pPr>
            <w:r w:rsidRPr="00AE47C6">
              <w:rPr>
                <w:rFonts w:ascii="Times New Roman" w:eastAsia="SimSun" w:hAnsi="Times New Roman"/>
                <w:i/>
                <w:iCs/>
                <w:sz w:val="24"/>
                <w:szCs w:val="24"/>
              </w:rPr>
              <w:t>PHYH</w:t>
            </w:r>
            <w:r w:rsidRPr="00AE47C6">
              <w:rPr>
                <w:rFonts w:ascii="Times New Roman" w:eastAsia="SimSun" w:hAnsi="Times New Roman"/>
                <w:i/>
                <w:sz w:val="24"/>
                <w:szCs w:val="24"/>
              </w:rPr>
              <w:t>)</w:t>
            </w:r>
          </w:p>
          <w:p w14:paraId="6D6A7102" w14:textId="77777777" w:rsidR="00BE0B19" w:rsidRPr="00AE47C6" w:rsidRDefault="00BE0B19" w:rsidP="00BE0B19">
            <w:pPr>
              <w:tabs>
                <w:tab w:val="left" w:pos="1701"/>
              </w:tabs>
              <w:autoSpaceDE w:val="0"/>
              <w:autoSpaceDN w:val="0"/>
              <w:adjustRightInd w:val="0"/>
              <w:spacing w:after="0" w:line="360" w:lineRule="auto"/>
              <w:rPr>
                <w:rFonts w:ascii="Times New Roman" w:eastAsia="SimSun" w:hAnsi="Times New Roman"/>
                <w:i/>
                <w:sz w:val="24"/>
                <w:szCs w:val="24"/>
              </w:rPr>
            </w:pPr>
            <w:r w:rsidRPr="00AE47C6">
              <w:rPr>
                <w:rFonts w:ascii="Times New Roman" w:eastAsia="SimSun" w:hAnsi="Times New Roman"/>
                <w:i/>
                <w:iCs/>
                <w:sz w:val="24"/>
                <w:szCs w:val="24"/>
              </w:rPr>
              <w:t>PEX7</w:t>
            </w:r>
          </w:p>
        </w:tc>
        <w:tc>
          <w:tcPr>
            <w:tcW w:w="2297" w:type="dxa"/>
            <w:shd w:val="clear" w:color="auto" w:fill="auto"/>
          </w:tcPr>
          <w:p w14:paraId="277E4314"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Полиневропатия, глухота, ретинопатия, ихтиоза</w:t>
            </w:r>
          </w:p>
        </w:tc>
        <w:tc>
          <w:tcPr>
            <w:tcW w:w="1251" w:type="dxa"/>
          </w:tcPr>
          <w:p w14:paraId="31E018BA" w14:textId="77777777" w:rsidR="00BE0B19" w:rsidRPr="00AE47C6" w:rsidRDefault="00BE0B19" w:rsidP="00BE0B19">
            <w:pPr>
              <w:tabs>
                <w:tab w:val="left" w:pos="1701"/>
              </w:tabs>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От кърмаческа до 50 г.</w:t>
            </w:r>
          </w:p>
        </w:tc>
      </w:tr>
      <w:tr w:rsidR="00BE0B19" w:rsidRPr="00AE47C6" w14:paraId="0C328C23" w14:textId="77777777" w:rsidTr="00AD72E5">
        <w:tc>
          <w:tcPr>
            <w:tcW w:w="1728" w:type="dxa"/>
            <w:vMerge/>
            <w:shd w:val="clear" w:color="auto" w:fill="auto"/>
          </w:tcPr>
          <w:p w14:paraId="07B23331"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5A6284F0"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Церебротендинозна ксантоматоза</w:t>
            </w:r>
          </w:p>
        </w:tc>
        <w:tc>
          <w:tcPr>
            <w:tcW w:w="1530" w:type="dxa"/>
            <w:shd w:val="clear" w:color="auto" w:fill="auto"/>
          </w:tcPr>
          <w:p w14:paraId="1092D67D"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CYP27</w:t>
            </w:r>
          </w:p>
        </w:tc>
        <w:tc>
          <w:tcPr>
            <w:tcW w:w="2297" w:type="dxa"/>
            <w:shd w:val="clear" w:color="auto" w:fill="auto"/>
          </w:tcPr>
          <w:p w14:paraId="6C3B3114"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Уплътнени сухожилия, дистония, когнитивен дефицит, левкоенцефалопатия, катаракта</w:t>
            </w:r>
          </w:p>
        </w:tc>
        <w:tc>
          <w:tcPr>
            <w:tcW w:w="1251" w:type="dxa"/>
          </w:tcPr>
          <w:p w14:paraId="35D6CAE5"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От кърмаческа до 16 г.</w:t>
            </w:r>
          </w:p>
        </w:tc>
      </w:tr>
      <w:tr w:rsidR="00BE0B19" w:rsidRPr="00AE47C6" w14:paraId="4F884C2D" w14:textId="77777777" w:rsidTr="00AD72E5">
        <w:tc>
          <w:tcPr>
            <w:tcW w:w="1728" w:type="dxa"/>
            <w:vMerge/>
            <w:shd w:val="clear" w:color="auto" w:fill="auto"/>
          </w:tcPr>
          <w:p w14:paraId="0A36BF22"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714F3977"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Метахроматична левкодистрофия</w:t>
            </w:r>
          </w:p>
        </w:tc>
        <w:tc>
          <w:tcPr>
            <w:tcW w:w="1530" w:type="dxa"/>
            <w:shd w:val="clear" w:color="auto" w:fill="auto"/>
          </w:tcPr>
          <w:p w14:paraId="075C7A54"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ARSA</w:t>
            </w:r>
          </w:p>
        </w:tc>
        <w:tc>
          <w:tcPr>
            <w:tcW w:w="2297" w:type="dxa"/>
            <w:shd w:val="clear" w:color="auto" w:fill="auto"/>
          </w:tcPr>
          <w:p w14:paraId="01CD91CE"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Спастичност, епилептични пристъпи</w:t>
            </w:r>
          </w:p>
        </w:tc>
        <w:tc>
          <w:tcPr>
            <w:tcW w:w="1251" w:type="dxa"/>
          </w:tcPr>
          <w:p w14:paraId="465F4289"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От кърмаческа възраст</w:t>
            </w:r>
          </w:p>
        </w:tc>
      </w:tr>
      <w:tr w:rsidR="00BE0B19" w:rsidRPr="00AE47C6" w14:paraId="6A8E5703" w14:textId="77777777" w:rsidTr="00AD72E5">
        <w:tc>
          <w:tcPr>
            <w:tcW w:w="1728" w:type="dxa"/>
            <w:vMerge/>
            <w:shd w:val="clear" w:color="auto" w:fill="auto"/>
          </w:tcPr>
          <w:p w14:paraId="3ADF32FD"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1FB3E92E"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Болест на Krabbe</w:t>
            </w:r>
          </w:p>
        </w:tc>
        <w:tc>
          <w:tcPr>
            <w:tcW w:w="1530" w:type="dxa"/>
            <w:shd w:val="clear" w:color="auto" w:fill="auto"/>
          </w:tcPr>
          <w:p w14:paraId="5405584F"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GALC</w:t>
            </w:r>
          </w:p>
        </w:tc>
        <w:tc>
          <w:tcPr>
            <w:tcW w:w="2297" w:type="dxa"/>
            <w:shd w:val="clear" w:color="auto" w:fill="auto"/>
          </w:tcPr>
          <w:p w14:paraId="6C19BD4A"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Спастичност, епилептични пристъпи</w:t>
            </w:r>
          </w:p>
        </w:tc>
        <w:tc>
          <w:tcPr>
            <w:tcW w:w="1251" w:type="dxa"/>
          </w:tcPr>
          <w:p w14:paraId="327FC3FC"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От кърмаческа възраст</w:t>
            </w:r>
          </w:p>
        </w:tc>
      </w:tr>
      <w:tr w:rsidR="00BE0B19" w:rsidRPr="00AE47C6" w14:paraId="3941E992" w14:textId="77777777" w:rsidTr="00AD72E5">
        <w:tc>
          <w:tcPr>
            <w:tcW w:w="1728" w:type="dxa"/>
            <w:vMerge/>
            <w:shd w:val="clear" w:color="auto" w:fill="auto"/>
          </w:tcPr>
          <w:p w14:paraId="71ACFE54"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14A5E078"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Niemann-Pick C</w:t>
            </w:r>
          </w:p>
        </w:tc>
        <w:tc>
          <w:tcPr>
            <w:tcW w:w="1530" w:type="dxa"/>
            <w:shd w:val="clear" w:color="auto" w:fill="auto"/>
          </w:tcPr>
          <w:p w14:paraId="3AA10A20"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NPC1</w:t>
            </w:r>
          </w:p>
        </w:tc>
        <w:tc>
          <w:tcPr>
            <w:tcW w:w="2297" w:type="dxa"/>
            <w:shd w:val="clear" w:color="auto" w:fill="auto"/>
          </w:tcPr>
          <w:p w14:paraId="4F0E3FBF"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Катаплексия, вертикална погледна пареза, деменция, спастична квадрипареза и епилептични припадъци, ретинална дегенерация</w:t>
            </w:r>
          </w:p>
        </w:tc>
        <w:tc>
          <w:tcPr>
            <w:tcW w:w="1251" w:type="dxa"/>
          </w:tcPr>
          <w:p w14:paraId="70B05F38"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От кърмаческа възраст; след 2 г.; при възрастни</w:t>
            </w:r>
          </w:p>
        </w:tc>
      </w:tr>
      <w:tr w:rsidR="00BE0B19" w:rsidRPr="00AE47C6" w14:paraId="371D2EFA" w14:textId="77777777" w:rsidTr="00AD72E5">
        <w:tc>
          <w:tcPr>
            <w:tcW w:w="1728" w:type="dxa"/>
            <w:vMerge/>
            <w:shd w:val="clear" w:color="auto" w:fill="auto"/>
          </w:tcPr>
          <w:p w14:paraId="30AA5431"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116CA097"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GM1 ганглиозидоза</w:t>
            </w:r>
          </w:p>
        </w:tc>
        <w:tc>
          <w:tcPr>
            <w:tcW w:w="1530" w:type="dxa"/>
            <w:shd w:val="clear" w:color="auto" w:fill="auto"/>
          </w:tcPr>
          <w:p w14:paraId="0F596A98"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GLB1</w:t>
            </w:r>
          </w:p>
        </w:tc>
        <w:tc>
          <w:tcPr>
            <w:tcW w:w="2297" w:type="dxa"/>
            <w:shd w:val="clear" w:color="auto" w:fill="auto"/>
          </w:tcPr>
          <w:p w14:paraId="745B035C"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Деменция, спастичност, дистония, епилептични припадъци, ретинална  дегенерация, спленомегалия</w:t>
            </w:r>
          </w:p>
        </w:tc>
        <w:tc>
          <w:tcPr>
            <w:tcW w:w="1251" w:type="dxa"/>
          </w:tcPr>
          <w:p w14:paraId="629CDED3"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Детска възраст</w:t>
            </w:r>
          </w:p>
        </w:tc>
      </w:tr>
      <w:tr w:rsidR="00BE0B19" w:rsidRPr="00AE47C6" w14:paraId="50D60231" w14:textId="77777777" w:rsidTr="00AD72E5">
        <w:tc>
          <w:tcPr>
            <w:tcW w:w="1728" w:type="dxa"/>
            <w:vMerge/>
            <w:shd w:val="clear" w:color="auto" w:fill="auto"/>
          </w:tcPr>
          <w:p w14:paraId="759FFCFE"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15B983C1"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Болест на Tay-Sachs (GM2-ганглиозидоза,</w:t>
            </w:r>
          </w:p>
          <w:p w14:paraId="090030C0"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хексаминидазен дефицит</w:t>
            </w:r>
          </w:p>
        </w:tc>
        <w:tc>
          <w:tcPr>
            <w:tcW w:w="1530" w:type="dxa"/>
            <w:shd w:val="clear" w:color="auto" w:fill="auto"/>
          </w:tcPr>
          <w:p w14:paraId="675ADA9D"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HEXA</w:t>
            </w:r>
          </w:p>
        </w:tc>
        <w:tc>
          <w:tcPr>
            <w:tcW w:w="2297" w:type="dxa"/>
            <w:shd w:val="clear" w:color="auto" w:fill="auto"/>
          </w:tcPr>
          <w:p w14:paraId="2381A0F6"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абнормна реакция при слухови, зрителни и тактилни стимули; забавено развитие , спастицитет, макроцефалия,</w:t>
            </w:r>
            <w:r w:rsidRPr="00AE47C6">
              <w:rPr>
                <w:rFonts w:ascii="Times New Roman" w:eastAsia="SimSun" w:hAnsi="Times New Roman"/>
                <w:i/>
                <w:iCs/>
                <w:sz w:val="24"/>
                <w:szCs w:val="24"/>
              </w:rPr>
              <w:t xml:space="preserve"> </w:t>
            </w:r>
            <w:r w:rsidRPr="00AE47C6">
              <w:rPr>
                <w:rFonts w:ascii="Times New Roman" w:eastAsia="SimSun" w:hAnsi="Times New Roman"/>
                <w:sz w:val="24"/>
                <w:szCs w:val="24"/>
              </w:rPr>
              <w:t>амаврозата</w:t>
            </w:r>
          </w:p>
        </w:tc>
        <w:tc>
          <w:tcPr>
            <w:tcW w:w="1251" w:type="dxa"/>
          </w:tcPr>
          <w:p w14:paraId="3F08D4BC"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Детска възраст</w:t>
            </w:r>
          </w:p>
        </w:tc>
      </w:tr>
      <w:tr w:rsidR="00BE0B19" w:rsidRPr="00AE47C6" w14:paraId="2A8DE54B" w14:textId="77777777" w:rsidTr="00AD72E5">
        <w:tc>
          <w:tcPr>
            <w:tcW w:w="1728" w:type="dxa"/>
            <w:vMerge/>
            <w:shd w:val="clear" w:color="auto" w:fill="auto"/>
          </w:tcPr>
          <w:p w14:paraId="3D1F0019"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695380F1"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Болест на Wilson</w:t>
            </w:r>
          </w:p>
        </w:tc>
        <w:tc>
          <w:tcPr>
            <w:tcW w:w="1530" w:type="dxa"/>
            <w:shd w:val="clear" w:color="auto" w:fill="auto"/>
          </w:tcPr>
          <w:p w14:paraId="438690CA"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ATP7B</w:t>
            </w:r>
          </w:p>
        </w:tc>
        <w:tc>
          <w:tcPr>
            <w:tcW w:w="2297" w:type="dxa"/>
            <w:shd w:val="clear" w:color="auto" w:fill="auto"/>
          </w:tcPr>
          <w:p w14:paraId="1C6D7D29"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Хепатомегалия</w:t>
            </w:r>
          </w:p>
        </w:tc>
        <w:tc>
          <w:tcPr>
            <w:tcW w:w="1251" w:type="dxa"/>
          </w:tcPr>
          <w:p w14:paraId="2F675753"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3-50 г.</w:t>
            </w:r>
          </w:p>
        </w:tc>
      </w:tr>
      <w:tr w:rsidR="00BE0B19" w:rsidRPr="00AE47C6" w14:paraId="6A05C5D1" w14:textId="77777777" w:rsidTr="00AD72E5">
        <w:tc>
          <w:tcPr>
            <w:tcW w:w="1728" w:type="dxa"/>
            <w:vMerge w:val="restart"/>
            <w:shd w:val="clear" w:color="auto" w:fill="auto"/>
          </w:tcPr>
          <w:p w14:paraId="20A2356E"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Атаксии, обусловени от нарушения в ДНК възстановяването</w:t>
            </w:r>
          </w:p>
        </w:tc>
        <w:tc>
          <w:tcPr>
            <w:tcW w:w="2662" w:type="dxa"/>
            <w:shd w:val="clear" w:color="auto" w:fill="auto"/>
          </w:tcPr>
          <w:p w14:paraId="09E885DF" w14:textId="77777777" w:rsidR="00BE0B19" w:rsidRPr="00AE47C6" w:rsidRDefault="00BE0B19" w:rsidP="00BE0B19">
            <w:pPr>
              <w:tabs>
                <w:tab w:val="left" w:pos="170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Ataxia telangiectasia </w:t>
            </w:r>
          </w:p>
        </w:tc>
        <w:tc>
          <w:tcPr>
            <w:tcW w:w="1530" w:type="dxa"/>
            <w:shd w:val="clear" w:color="auto" w:fill="auto"/>
          </w:tcPr>
          <w:p w14:paraId="3864655F"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ATM</w:t>
            </w:r>
          </w:p>
        </w:tc>
        <w:tc>
          <w:tcPr>
            <w:tcW w:w="2297" w:type="dxa"/>
            <w:shd w:val="clear" w:color="auto" w:fill="auto"/>
          </w:tcPr>
          <w:p w14:paraId="7E91D18A"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Телангиектазии, имунен дефицит, туморообразуване, повишен алфафетопротеин</w:t>
            </w:r>
          </w:p>
        </w:tc>
        <w:tc>
          <w:tcPr>
            <w:tcW w:w="1251" w:type="dxa"/>
          </w:tcPr>
          <w:p w14:paraId="3B2087C8"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2–22 г.</w:t>
            </w:r>
          </w:p>
        </w:tc>
      </w:tr>
      <w:tr w:rsidR="00BE0B19" w:rsidRPr="00AE47C6" w14:paraId="2706F90B" w14:textId="77777777" w:rsidTr="00AD72E5">
        <w:tc>
          <w:tcPr>
            <w:tcW w:w="1728" w:type="dxa"/>
            <w:vMerge/>
            <w:shd w:val="clear" w:color="auto" w:fill="auto"/>
          </w:tcPr>
          <w:p w14:paraId="7A82CBAC"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06CC8325" w14:textId="77777777" w:rsidR="00BE0B19" w:rsidRPr="00AE47C6" w:rsidRDefault="00BE0B19" w:rsidP="00BE0B19">
            <w:pPr>
              <w:tabs>
                <w:tab w:val="left" w:pos="170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Ataxia telangiectasia-подобен синдром (ATLD)</w:t>
            </w:r>
          </w:p>
        </w:tc>
        <w:tc>
          <w:tcPr>
            <w:tcW w:w="1530" w:type="dxa"/>
            <w:shd w:val="clear" w:color="auto" w:fill="auto"/>
          </w:tcPr>
          <w:p w14:paraId="6ECFC714"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iCs/>
                <w:sz w:val="24"/>
                <w:szCs w:val="24"/>
              </w:rPr>
              <w:t xml:space="preserve">MRE11A </w:t>
            </w:r>
          </w:p>
        </w:tc>
        <w:tc>
          <w:tcPr>
            <w:tcW w:w="2297" w:type="dxa"/>
            <w:shd w:val="clear" w:color="auto" w:fill="auto"/>
          </w:tcPr>
          <w:p w14:paraId="341543A7"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Окуломоторна апраксия, без телангиектазии</w:t>
            </w:r>
          </w:p>
        </w:tc>
        <w:tc>
          <w:tcPr>
            <w:tcW w:w="1251" w:type="dxa"/>
          </w:tcPr>
          <w:p w14:paraId="2ED11B09"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7–22 г.</w:t>
            </w:r>
          </w:p>
        </w:tc>
      </w:tr>
      <w:tr w:rsidR="00BE0B19" w:rsidRPr="00AE47C6" w14:paraId="7F0E1A7E" w14:textId="77777777" w:rsidTr="00AD72E5">
        <w:tc>
          <w:tcPr>
            <w:tcW w:w="1728" w:type="dxa"/>
            <w:vMerge/>
            <w:shd w:val="clear" w:color="auto" w:fill="auto"/>
          </w:tcPr>
          <w:p w14:paraId="518CED7E"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267FD417"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Атаксия окуломоторна апраксия 1 (АОА1)</w:t>
            </w:r>
          </w:p>
        </w:tc>
        <w:tc>
          <w:tcPr>
            <w:tcW w:w="1530" w:type="dxa"/>
            <w:shd w:val="clear" w:color="auto" w:fill="auto"/>
          </w:tcPr>
          <w:p w14:paraId="10F83D9E"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bCs/>
                <w:i/>
                <w:sz w:val="24"/>
                <w:szCs w:val="24"/>
              </w:rPr>
              <w:t>APTX /</w:t>
            </w:r>
            <w:r w:rsidRPr="00AE47C6">
              <w:rPr>
                <w:rFonts w:ascii="Times New Roman" w:eastAsia="SimSun" w:hAnsi="Times New Roman"/>
                <w:i/>
                <w:sz w:val="24"/>
                <w:szCs w:val="24"/>
              </w:rPr>
              <w:t>Apraxin</w:t>
            </w:r>
          </w:p>
          <w:p w14:paraId="1E607FE9" w14:textId="77777777" w:rsidR="00BE0B19" w:rsidRPr="00AE47C6" w:rsidRDefault="00BE0B19" w:rsidP="00BE0B19">
            <w:pPr>
              <w:tabs>
                <w:tab w:val="left" w:pos="1701"/>
              </w:tabs>
              <w:spacing w:after="0" w:line="360" w:lineRule="auto"/>
              <w:rPr>
                <w:rFonts w:ascii="Times New Roman" w:eastAsia="SimSun" w:hAnsi="Times New Roman"/>
                <w:i/>
                <w:iCs/>
                <w:sz w:val="24"/>
                <w:szCs w:val="24"/>
              </w:rPr>
            </w:pPr>
          </w:p>
        </w:tc>
        <w:tc>
          <w:tcPr>
            <w:tcW w:w="2297" w:type="dxa"/>
            <w:shd w:val="clear" w:color="auto" w:fill="auto"/>
          </w:tcPr>
          <w:p w14:paraId="7717D93F"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Окуломоторна апраксия, хореоатетоза, </w:t>
            </w:r>
          </w:p>
        </w:tc>
        <w:tc>
          <w:tcPr>
            <w:tcW w:w="1251" w:type="dxa"/>
          </w:tcPr>
          <w:p w14:paraId="68F62A4A"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2–16 г.</w:t>
            </w:r>
          </w:p>
          <w:p w14:paraId="46C14202" w14:textId="77777777" w:rsidR="00BE0B19" w:rsidRPr="00AE47C6" w:rsidRDefault="00BE0B19" w:rsidP="00BE0B19">
            <w:pPr>
              <w:tabs>
                <w:tab w:val="left" w:pos="1701"/>
              </w:tabs>
              <w:spacing w:after="0" w:line="360" w:lineRule="auto"/>
              <w:rPr>
                <w:rFonts w:ascii="Times New Roman" w:eastAsia="SimSun" w:hAnsi="Times New Roman"/>
                <w:sz w:val="24"/>
                <w:szCs w:val="24"/>
              </w:rPr>
            </w:pPr>
          </w:p>
        </w:tc>
      </w:tr>
      <w:tr w:rsidR="00BE0B19" w:rsidRPr="00AE47C6" w14:paraId="6BD2B216" w14:textId="77777777" w:rsidTr="00AD72E5">
        <w:tc>
          <w:tcPr>
            <w:tcW w:w="1728" w:type="dxa"/>
            <w:vMerge/>
            <w:shd w:val="clear" w:color="auto" w:fill="auto"/>
          </w:tcPr>
          <w:p w14:paraId="5B1B56D2"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42DEAAA7"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Атаксия окуломоторна апраксия 2 (АОА2=SCAR1)</w:t>
            </w:r>
          </w:p>
        </w:tc>
        <w:tc>
          <w:tcPr>
            <w:tcW w:w="1530" w:type="dxa"/>
            <w:shd w:val="clear" w:color="auto" w:fill="auto"/>
          </w:tcPr>
          <w:p w14:paraId="7345A5E0"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bCs/>
                <w:i/>
                <w:sz w:val="24"/>
                <w:szCs w:val="24"/>
              </w:rPr>
              <w:t>SETX</w:t>
            </w:r>
            <w:r w:rsidRPr="00AE47C6">
              <w:rPr>
                <w:rFonts w:ascii="Times New Roman" w:eastAsia="SimSun" w:hAnsi="Times New Roman"/>
                <w:b/>
                <w:bCs/>
                <w:i/>
                <w:sz w:val="24"/>
                <w:szCs w:val="24"/>
              </w:rPr>
              <w:t>/</w:t>
            </w:r>
            <w:r w:rsidRPr="00AE47C6">
              <w:rPr>
                <w:rFonts w:ascii="Times New Roman" w:eastAsia="SimSun" w:hAnsi="Times New Roman"/>
                <w:i/>
                <w:sz w:val="24"/>
                <w:szCs w:val="24"/>
              </w:rPr>
              <w:t>Senataxin</w:t>
            </w:r>
          </w:p>
          <w:p w14:paraId="51F98114" w14:textId="77777777" w:rsidR="00BE0B19" w:rsidRPr="00AE47C6" w:rsidRDefault="00BE0B19" w:rsidP="00BE0B19">
            <w:pPr>
              <w:tabs>
                <w:tab w:val="left" w:pos="1701"/>
              </w:tabs>
              <w:spacing w:after="0" w:line="360" w:lineRule="auto"/>
              <w:rPr>
                <w:rFonts w:ascii="Times New Roman" w:eastAsia="SimSun" w:hAnsi="Times New Roman"/>
                <w:i/>
                <w:iCs/>
                <w:sz w:val="24"/>
                <w:szCs w:val="24"/>
              </w:rPr>
            </w:pPr>
          </w:p>
        </w:tc>
        <w:tc>
          <w:tcPr>
            <w:tcW w:w="2297" w:type="dxa"/>
            <w:shd w:val="clear" w:color="auto" w:fill="auto"/>
          </w:tcPr>
          <w:p w14:paraId="6BD9BC19"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Окуломоторна апраксия, аксонна сензомоторна невропатия</w:t>
            </w:r>
          </w:p>
        </w:tc>
        <w:tc>
          <w:tcPr>
            <w:tcW w:w="1251" w:type="dxa"/>
          </w:tcPr>
          <w:p w14:paraId="1B11F123"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10–22</w:t>
            </w:r>
          </w:p>
          <w:p w14:paraId="1A5C8E7B" w14:textId="77777777" w:rsidR="00BE0B19" w:rsidRPr="00AE47C6" w:rsidRDefault="00BE0B19" w:rsidP="00BE0B19">
            <w:pPr>
              <w:tabs>
                <w:tab w:val="left" w:pos="1701"/>
              </w:tabs>
              <w:spacing w:after="0" w:line="360" w:lineRule="auto"/>
              <w:rPr>
                <w:rFonts w:ascii="Times New Roman" w:eastAsia="SimSun" w:hAnsi="Times New Roman"/>
                <w:sz w:val="24"/>
                <w:szCs w:val="24"/>
              </w:rPr>
            </w:pPr>
          </w:p>
        </w:tc>
      </w:tr>
      <w:tr w:rsidR="00BE0B19" w:rsidRPr="00AE47C6" w14:paraId="4BE438BD" w14:textId="77777777" w:rsidTr="00AD72E5">
        <w:tc>
          <w:tcPr>
            <w:tcW w:w="1728" w:type="dxa"/>
            <w:vMerge/>
            <w:shd w:val="clear" w:color="auto" w:fill="auto"/>
          </w:tcPr>
          <w:p w14:paraId="0D06F90C"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5F8CE8FF" w14:textId="77777777" w:rsidR="00BE0B19" w:rsidRPr="00AE47C6" w:rsidRDefault="00BE0B19" w:rsidP="00BE0B19">
            <w:pPr>
              <w:tabs>
                <w:tab w:val="left" w:pos="170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Атаксия окуломоторна апраксия 3 </w:t>
            </w:r>
            <w:r w:rsidRPr="00AE47C6">
              <w:rPr>
                <w:rFonts w:ascii="Times New Roman" w:eastAsia="SimSun" w:hAnsi="Times New Roman"/>
                <w:b/>
                <w:bCs/>
                <w:sz w:val="24"/>
                <w:szCs w:val="24"/>
              </w:rPr>
              <w:t>(</w:t>
            </w:r>
            <w:r w:rsidRPr="00AE47C6">
              <w:rPr>
                <w:rFonts w:ascii="Times New Roman" w:eastAsia="SimSun" w:hAnsi="Times New Roman"/>
                <w:sz w:val="24"/>
                <w:szCs w:val="24"/>
              </w:rPr>
              <w:t>AOA3)</w:t>
            </w:r>
          </w:p>
        </w:tc>
        <w:tc>
          <w:tcPr>
            <w:tcW w:w="1530" w:type="dxa"/>
            <w:shd w:val="clear" w:color="auto" w:fill="auto"/>
          </w:tcPr>
          <w:p w14:paraId="3BD35BD9"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bCs/>
                <w:i/>
                <w:sz w:val="24"/>
                <w:szCs w:val="24"/>
              </w:rPr>
              <w:t>PIK3R5</w:t>
            </w:r>
          </w:p>
          <w:p w14:paraId="36776C2C" w14:textId="77777777" w:rsidR="00BE0B19" w:rsidRPr="00AE47C6" w:rsidRDefault="00BE0B19" w:rsidP="00BE0B19">
            <w:pPr>
              <w:tabs>
                <w:tab w:val="left" w:pos="1701"/>
              </w:tabs>
              <w:spacing w:after="0" w:line="360" w:lineRule="auto"/>
              <w:rPr>
                <w:rFonts w:ascii="Times New Roman" w:eastAsia="SimSun" w:hAnsi="Times New Roman"/>
                <w:i/>
                <w:iCs/>
                <w:sz w:val="24"/>
                <w:szCs w:val="24"/>
              </w:rPr>
            </w:pPr>
          </w:p>
        </w:tc>
        <w:tc>
          <w:tcPr>
            <w:tcW w:w="2297" w:type="dxa"/>
            <w:shd w:val="clear" w:color="auto" w:fill="auto"/>
          </w:tcPr>
          <w:p w14:paraId="1E7DB3BF"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Дистония, окуломоторна апраксия</w:t>
            </w:r>
          </w:p>
        </w:tc>
        <w:tc>
          <w:tcPr>
            <w:tcW w:w="1251" w:type="dxa"/>
          </w:tcPr>
          <w:p w14:paraId="57655F1B"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14 г.</w:t>
            </w:r>
          </w:p>
          <w:p w14:paraId="66FE7BE7" w14:textId="77777777" w:rsidR="00BE0B19" w:rsidRPr="00AE47C6" w:rsidRDefault="00BE0B19" w:rsidP="00BE0B19">
            <w:pPr>
              <w:tabs>
                <w:tab w:val="left" w:pos="1701"/>
              </w:tabs>
              <w:spacing w:after="0" w:line="360" w:lineRule="auto"/>
              <w:rPr>
                <w:rFonts w:ascii="Times New Roman" w:eastAsia="SimSun" w:hAnsi="Times New Roman"/>
                <w:sz w:val="24"/>
                <w:szCs w:val="24"/>
              </w:rPr>
            </w:pPr>
          </w:p>
        </w:tc>
      </w:tr>
      <w:tr w:rsidR="00BE0B19" w:rsidRPr="00AE47C6" w14:paraId="4D4F625E" w14:textId="77777777" w:rsidTr="00AD72E5">
        <w:trPr>
          <w:trHeight w:val="801"/>
        </w:trPr>
        <w:tc>
          <w:tcPr>
            <w:tcW w:w="1728" w:type="dxa"/>
            <w:vMerge/>
            <w:shd w:val="clear" w:color="auto" w:fill="auto"/>
          </w:tcPr>
          <w:p w14:paraId="0D61931D"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73557AF3" w14:textId="77777777" w:rsidR="00BE0B19" w:rsidRPr="00AE47C6" w:rsidRDefault="00BE0B19" w:rsidP="00BE0B19">
            <w:pPr>
              <w:tabs>
                <w:tab w:val="left" w:pos="170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Атаксия окуломоторна апраксия 4 (AOA4</w:t>
            </w:r>
            <w:r w:rsidRPr="00AE47C6">
              <w:rPr>
                <w:rFonts w:ascii="Times New Roman" w:eastAsia="SimSun" w:hAnsi="Times New Roman"/>
                <w:b/>
                <w:bCs/>
                <w:sz w:val="24"/>
                <w:szCs w:val="24"/>
              </w:rPr>
              <w:t>)</w:t>
            </w:r>
          </w:p>
        </w:tc>
        <w:tc>
          <w:tcPr>
            <w:tcW w:w="1530" w:type="dxa"/>
            <w:shd w:val="clear" w:color="auto" w:fill="auto"/>
          </w:tcPr>
          <w:p w14:paraId="315ABE0E" w14:textId="77777777" w:rsidR="00BE0B19" w:rsidRPr="00AE47C6" w:rsidRDefault="00BE0B19" w:rsidP="00BE0B19">
            <w:pPr>
              <w:tabs>
                <w:tab w:val="left" w:pos="1701"/>
              </w:tabs>
              <w:spacing w:after="0" w:line="360" w:lineRule="auto"/>
              <w:rPr>
                <w:rFonts w:ascii="Times New Roman" w:eastAsia="SimSun" w:hAnsi="Times New Roman"/>
                <w:i/>
                <w:iCs/>
                <w:sz w:val="24"/>
                <w:szCs w:val="24"/>
              </w:rPr>
            </w:pPr>
            <w:r w:rsidRPr="00AE47C6">
              <w:rPr>
                <w:rFonts w:ascii="Times New Roman" w:eastAsia="SimSun" w:hAnsi="Times New Roman"/>
                <w:bCs/>
                <w:i/>
                <w:sz w:val="24"/>
                <w:szCs w:val="24"/>
              </w:rPr>
              <w:t>PNKP </w:t>
            </w:r>
          </w:p>
          <w:p w14:paraId="0139E9A5" w14:textId="77777777" w:rsidR="00BE0B19" w:rsidRPr="00AE47C6" w:rsidRDefault="00BE0B19" w:rsidP="00BE0B19">
            <w:pPr>
              <w:tabs>
                <w:tab w:val="left" w:pos="1701"/>
              </w:tabs>
              <w:spacing w:after="0" w:line="360" w:lineRule="auto"/>
              <w:rPr>
                <w:rFonts w:ascii="Times New Roman" w:eastAsia="SimSun" w:hAnsi="Times New Roman"/>
                <w:i/>
                <w:iCs/>
                <w:sz w:val="24"/>
                <w:szCs w:val="24"/>
              </w:rPr>
            </w:pPr>
          </w:p>
        </w:tc>
        <w:tc>
          <w:tcPr>
            <w:tcW w:w="2297" w:type="dxa"/>
            <w:shd w:val="clear" w:color="auto" w:fill="auto"/>
          </w:tcPr>
          <w:p w14:paraId="25C50827"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Дистония, окуломоторна апраксия, полиневропатия</w:t>
            </w:r>
          </w:p>
        </w:tc>
        <w:tc>
          <w:tcPr>
            <w:tcW w:w="1251" w:type="dxa"/>
          </w:tcPr>
          <w:p w14:paraId="12D69644"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4 г.</w:t>
            </w:r>
          </w:p>
        </w:tc>
      </w:tr>
      <w:tr w:rsidR="00BE0B19" w:rsidRPr="00AE47C6" w14:paraId="19434AD0" w14:textId="77777777" w:rsidTr="00AD72E5">
        <w:tc>
          <w:tcPr>
            <w:tcW w:w="1728" w:type="dxa"/>
            <w:vMerge/>
            <w:shd w:val="clear" w:color="auto" w:fill="auto"/>
          </w:tcPr>
          <w:p w14:paraId="797D800E"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5EA6A1C1"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Спиноцеребелерна атаксия с аксонна невропатия (SCAN 1)</w:t>
            </w:r>
          </w:p>
        </w:tc>
        <w:tc>
          <w:tcPr>
            <w:tcW w:w="1530" w:type="dxa"/>
            <w:shd w:val="clear" w:color="auto" w:fill="auto"/>
          </w:tcPr>
          <w:p w14:paraId="39984EF1"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Tyrosyl DNA phosphodiesterase 1</w:t>
            </w:r>
          </w:p>
        </w:tc>
        <w:tc>
          <w:tcPr>
            <w:tcW w:w="2297" w:type="dxa"/>
            <w:shd w:val="clear" w:color="auto" w:fill="auto"/>
          </w:tcPr>
          <w:p w14:paraId="2319479F"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Полиневропатия</w:t>
            </w:r>
          </w:p>
        </w:tc>
        <w:tc>
          <w:tcPr>
            <w:tcW w:w="1251" w:type="dxa"/>
          </w:tcPr>
          <w:p w14:paraId="1BDD70F6"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След 10 г.</w:t>
            </w:r>
          </w:p>
        </w:tc>
      </w:tr>
      <w:tr w:rsidR="00BE0B19" w:rsidRPr="00AE47C6" w14:paraId="2004E793" w14:textId="77777777" w:rsidTr="00AD72E5">
        <w:trPr>
          <w:trHeight w:val="2212"/>
        </w:trPr>
        <w:tc>
          <w:tcPr>
            <w:tcW w:w="1728" w:type="dxa"/>
            <w:vMerge/>
            <w:shd w:val="clear" w:color="auto" w:fill="auto"/>
          </w:tcPr>
          <w:p w14:paraId="4599BEF1"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363EF1ED"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Xeroderma Pigmentosum (XP)</w:t>
            </w:r>
          </w:p>
          <w:p w14:paraId="27D3EACA" w14:textId="77777777" w:rsidR="00BE0B19" w:rsidRPr="00AE47C6" w:rsidRDefault="00BE0B19" w:rsidP="00BE0B19">
            <w:pPr>
              <w:tabs>
                <w:tab w:val="left" w:pos="1701"/>
              </w:tabs>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XP група A </w:t>
            </w:r>
          </w:p>
          <w:p w14:paraId="07E30B1F" w14:textId="77777777" w:rsidR="00BE0B19" w:rsidRPr="00AE47C6" w:rsidRDefault="00BE0B19" w:rsidP="00BE0B19">
            <w:pPr>
              <w:tabs>
                <w:tab w:val="left" w:pos="1701"/>
              </w:tabs>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XP група В</w:t>
            </w:r>
          </w:p>
          <w:p w14:paraId="2C2E5F88" w14:textId="77777777" w:rsidR="00BE0B19" w:rsidRPr="00AE47C6" w:rsidRDefault="00BE0B19" w:rsidP="00BE0B19">
            <w:pPr>
              <w:tabs>
                <w:tab w:val="left" w:pos="1701"/>
              </w:tabs>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ХР група С </w:t>
            </w:r>
          </w:p>
          <w:p w14:paraId="0A13B1E3" w14:textId="77777777" w:rsidR="00BE0B19" w:rsidRPr="00AE47C6" w:rsidRDefault="00BE0B19" w:rsidP="00BE0B19">
            <w:pPr>
              <w:tabs>
                <w:tab w:val="left" w:pos="1701"/>
              </w:tabs>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XP група D </w:t>
            </w:r>
          </w:p>
          <w:p w14:paraId="309BFDE6" w14:textId="77777777" w:rsidR="00BE0B19" w:rsidRPr="00AE47C6" w:rsidRDefault="00BE0B19" w:rsidP="00BE0B19">
            <w:pPr>
              <w:tabs>
                <w:tab w:val="left" w:pos="1701"/>
              </w:tabs>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XP група E </w:t>
            </w:r>
          </w:p>
          <w:p w14:paraId="6B682F60" w14:textId="77777777" w:rsidR="00BE0B19" w:rsidRPr="00AE47C6" w:rsidRDefault="00BE0B19" w:rsidP="00BE0B19">
            <w:pPr>
              <w:tabs>
                <w:tab w:val="left" w:pos="1701"/>
              </w:tabs>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XP група F </w:t>
            </w:r>
          </w:p>
          <w:p w14:paraId="16EE7961" w14:textId="77777777" w:rsidR="00BE0B19" w:rsidRPr="00AE47C6" w:rsidRDefault="00BE0B19" w:rsidP="00BE0B19">
            <w:pPr>
              <w:tabs>
                <w:tab w:val="left" w:pos="1701"/>
              </w:tabs>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XP група G </w:t>
            </w:r>
          </w:p>
          <w:p w14:paraId="55B32952"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XP вариант с нормална ДНК репарация </w:t>
            </w:r>
          </w:p>
        </w:tc>
        <w:tc>
          <w:tcPr>
            <w:tcW w:w="1530" w:type="dxa"/>
            <w:shd w:val="clear" w:color="auto" w:fill="auto"/>
          </w:tcPr>
          <w:p w14:paraId="554519A3" w14:textId="77777777" w:rsidR="00BE0B19" w:rsidRPr="00AE47C6" w:rsidRDefault="00BE0B19" w:rsidP="00BE0B19">
            <w:pPr>
              <w:tabs>
                <w:tab w:val="left" w:pos="1701"/>
              </w:tabs>
              <w:spacing w:after="0" w:line="360" w:lineRule="auto"/>
              <w:rPr>
                <w:rFonts w:ascii="Times New Roman" w:eastAsia="SimSun" w:hAnsi="Times New Roman"/>
                <w:i/>
                <w:sz w:val="24"/>
                <w:szCs w:val="24"/>
              </w:rPr>
            </w:pPr>
          </w:p>
          <w:p w14:paraId="56F55CCD" w14:textId="77777777" w:rsidR="00BE0B19" w:rsidRPr="00AE47C6" w:rsidRDefault="00BE0B19" w:rsidP="00BE0B19">
            <w:pPr>
              <w:tabs>
                <w:tab w:val="left" w:pos="1701"/>
              </w:tabs>
              <w:spacing w:after="0" w:line="360" w:lineRule="auto"/>
              <w:rPr>
                <w:rFonts w:ascii="Times New Roman" w:eastAsia="SimSun" w:hAnsi="Times New Roman"/>
                <w:i/>
                <w:iCs/>
                <w:sz w:val="24"/>
                <w:szCs w:val="24"/>
              </w:rPr>
            </w:pPr>
          </w:p>
          <w:p w14:paraId="1DF61578"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iCs/>
                <w:sz w:val="24"/>
                <w:szCs w:val="24"/>
              </w:rPr>
              <w:t>XPA</w:t>
            </w:r>
          </w:p>
          <w:p w14:paraId="04A24CC7"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XPB/ERCC3</w:t>
            </w:r>
          </w:p>
          <w:p w14:paraId="616819E6"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XPC</w:t>
            </w:r>
          </w:p>
          <w:p w14:paraId="71B681D1"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XPD/ERCC2</w:t>
            </w:r>
          </w:p>
          <w:p w14:paraId="019F1309"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XPE (</w:t>
            </w:r>
            <w:r w:rsidRPr="00AE47C6">
              <w:rPr>
                <w:rFonts w:ascii="Times New Roman" w:eastAsia="SimSun" w:hAnsi="Times New Roman"/>
                <w:i/>
                <w:iCs/>
                <w:sz w:val="24"/>
                <w:szCs w:val="24"/>
              </w:rPr>
              <w:t>DDB2</w:t>
            </w:r>
            <w:r w:rsidRPr="00AE47C6">
              <w:rPr>
                <w:rFonts w:ascii="Times New Roman" w:eastAsia="SimSun" w:hAnsi="Times New Roman"/>
                <w:i/>
                <w:sz w:val="24"/>
                <w:szCs w:val="24"/>
              </w:rPr>
              <w:t>)</w:t>
            </w:r>
          </w:p>
          <w:p w14:paraId="4EA9E728"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XPF/ERCC4</w:t>
            </w:r>
          </w:p>
          <w:p w14:paraId="6715CDC9"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XPG/ERCC5</w:t>
            </w:r>
          </w:p>
          <w:p w14:paraId="4A847EAC"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POLH</w:t>
            </w:r>
          </w:p>
        </w:tc>
        <w:tc>
          <w:tcPr>
            <w:tcW w:w="2297" w:type="dxa"/>
            <w:shd w:val="clear" w:color="auto" w:fill="auto"/>
          </w:tcPr>
          <w:p w14:paraId="57FC607A"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Тежки изгаряния от слънце, ксеродерма, кожен рак, телангиектазии</w:t>
            </w:r>
          </w:p>
        </w:tc>
        <w:tc>
          <w:tcPr>
            <w:tcW w:w="1251" w:type="dxa"/>
          </w:tcPr>
          <w:p w14:paraId="080E19EA"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1-2 г.</w:t>
            </w:r>
          </w:p>
        </w:tc>
      </w:tr>
      <w:tr w:rsidR="00BE0B19" w:rsidRPr="00AE47C6" w14:paraId="70F67298" w14:textId="77777777" w:rsidTr="00AD72E5">
        <w:tc>
          <w:tcPr>
            <w:tcW w:w="1728" w:type="dxa"/>
            <w:vMerge/>
            <w:shd w:val="clear" w:color="auto" w:fill="auto"/>
          </w:tcPr>
          <w:p w14:paraId="7734A367"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396D9EAE"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Cockayne синдром</w:t>
            </w:r>
          </w:p>
        </w:tc>
        <w:tc>
          <w:tcPr>
            <w:tcW w:w="1530" w:type="dxa"/>
            <w:shd w:val="clear" w:color="auto" w:fill="auto"/>
          </w:tcPr>
          <w:p w14:paraId="3D6D4138"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SCN1,</w:t>
            </w:r>
            <w:r w:rsidRPr="00AE47C6">
              <w:rPr>
                <w:rFonts w:ascii="Times New Roman" w:eastAsia="SimSun" w:hAnsi="Times New Roman"/>
                <w:sz w:val="24"/>
                <w:szCs w:val="24"/>
              </w:rPr>
              <w:t xml:space="preserve"> </w:t>
            </w:r>
            <w:hyperlink r:id="rId111" w:history="1">
              <w:r w:rsidRPr="00AE47C6">
                <w:rPr>
                  <w:rFonts w:ascii="Times New Roman" w:eastAsia="SimSun" w:hAnsi="Times New Roman"/>
                  <w:i/>
                  <w:sz w:val="24"/>
                  <w:szCs w:val="24"/>
                  <w:shd w:val="clear" w:color="auto" w:fill="F8F9FA"/>
                </w:rPr>
                <w:t>ERCC8</w:t>
              </w:r>
            </w:hyperlink>
            <w:r w:rsidRPr="00AE47C6">
              <w:rPr>
                <w:rFonts w:ascii="Times New Roman" w:eastAsia="SimSun" w:hAnsi="Times New Roman"/>
                <w:i/>
                <w:sz w:val="24"/>
                <w:szCs w:val="24"/>
              </w:rPr>
              <w:t xml:space="preserve"> </w:t>
            </w:r>
            <w:hyperlink r:id="rId112" w:history="1">
              <w:r w:rsidRPr="00AE47C6">
                <w:rPr>
                  <w:rFonts w:ascii="Times New Roman" w:eastAsia="SimSun" w:hAnsi="Times New Roman"/>
                  <w:i/>
                  <w:sz w:val="24"/>
                  <w:szCs w:val="24"/>
                  <w:shd w:val="clear" w:color="auto" w:fill="F8F9FA"/>
                </w:rPr>
                <w:t>ERCC6</w:t>
              </w:r>
            </w:hyperlink>
          </w:p>
        </w:tc>
        <w:tc>
          <w:tcPr>
            <w:tcW w:w="2297" w:type="dxa"/>
            <w:shd w:val="clear" w:color="auto" w:fill="auto"/>
          </w:tcPr>
          <w:p w14:paraId="236BCA2D"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Микроцефалия, телангиектазии, глухота, умствена изостаналост,  кахексия, сколиоза</w:t>
            </w:r>
          </w:p>
        </w:tc>
        <w:tc>
          <w:tcPr>
            <w:tcW w:w="1251" w:type="dxa"/>
          </w:tcPr>
          <w:p w14:paraId="7937E91A"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кърмаческа възраст</w:t>
            </w:r>
          </w:p>
        </w:tc>
      </w:tr>
      <w:tr w:rsidR="00BE0B19" w:rsidRPr="00AE47C6" w14:paraId="30B9C038" w14:textId="77777777" w:rsidTr="00AD72E5">
        <w:tc>
          <w:tcPr>
            <w:tcW w:w="1728" w:type="dxa"/>
            <w:vMerge w:val="restart"/>
            <w:shd w:val="clear" w:color="auto" w:fill="auto"/>
          </w:tcPr>
          <w:p w14:paraId="39971DA4"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Дегенеративни атаксии</w:t>
            </w:r>
          </w:p>
          <w:p w14:paraId="7558F01F"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7000C367" w14:textId="77777777" w:rsidR="00BE0B19" w:rsidRPr="00AE47C6" w:rsidRDefault="00BE0B19" w:rsidP="00BE0B19">
            <w:pPr>
              <w:tabs>
                <w:tab w:val="left" w:pos="170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Болест на Friedreich </w:t>
            </w:r>
          </w:p>
        </w:tc>
        <w:tc>
          <w:tcPr>
            <w:tcW w:w="1530" w:type="dxa"/>
            <w:shd w:val="clear" w:color="auto" w:fill="auto"/>
          </w:tcPr>
          <w:p w14:paraId="68554738"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FXN /frataxin</w:t>
            </w:r>
          </w:p>
        </w:tc>
        <w:tc>
          <w:tcPr>
            <w:tcW w:w="2297" w:type="dxa"/>
            <w:shd w:val="clear" w:color="auto" w:fill="auto"/>
          </w:tcPr>
          <w:p w14:paraId="2A9A127A"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Хипорефлексия, Babinski+, нарушена сетивност</w:t>
            </w:r>
          </w:p>
        </w:tc>
        <w:tc>
          <w:tcPr>
            <w:tcW w:w="1251" w:type="dxa"/>
          </w:tcPr>
          <w:p w14:paraId="73C391B5"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2 – 48 г.</w:t>
            </w:r>
          </w:p>
        </w:tc>
      </w:tr>
      <w:tr w:rsidR="00BE0B19" w:rsidRPr="00AE47C6" w14:paraId="2866C4D2" w14:textId="77777777" w:rsidTr="00AD72E5">
        <w:tc>
          <w:tcPr>
            <w:tcW w:w="1728" w:type="dxa"/>
            <w:vMerge/>
            <w:shd w:val="clear" w:color="auto" w:fill="auto"/>
          </w:tcPr>
          <w:p w14:paraId="610FFABC"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3D12E8B2" w14:textId="77777777" w:rsidR="00BE0B19" w:rsidRPr="00AE47C6" w:rsidRDefault="00BE0B19" w:rsidP="00BE0B19">
            <w:pPr>
              <w:tabs>
                <w:tab w:val="left" w:pos="170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Синдром на Ramsay-Hunt</w:t>
            </w:r>
          </w:p>
        </w:tc>
        <w:tc>
          <w:tcPr>
            <w:tcW w:w="1530" w:type="dxa"/>
            <w:shd w:val="clear" w:color="auto" w:fill="auto"/>
          </w:tcPr>
          <w:p w14:paraId="1975CBCF"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GOSR2</w:t>
            </w:r>
          </w:p>
        </w:tc>
        <w:tc>
          <w:tcPr>
            <w:tcW w:w="2297" w:type="dxa"/>
            <w:shd w:val="clear" w:color="auto" w:fill="auto"/>
          </w:tcPr>
          <w:p w14:paraId="57188131"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Миоклонична епилепсия</w:t>
            </w:r>
          </w:p>
        </w:tc>
        <w:tc>
          <w:tcPr>
            <w:tcW w:w="1251" w:type="dxa"/>
          </w:tcPr>
          <w:p w14:paraId="62210918"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5-10 г.</w:t>
            </w:r>
          </w:p>
        </w:tc>
      </w:tr>
      <w:tr w:rsidR="00BE0B19" w:rsidRPr="00AE47C6" w14:paraId="7DA3008C" w14:textId="77777777" w:rsidTr="00AD72E5">
        <w:tc>
          <w:tcPr>
            <w:tcW w:w="1728" w:type="dxa"/>
            <w:vMerge/>
            <w:shd w:val="clear" w:color="auto" w:fill="auto"/>
          </w:tcPr>
          <w:p w14:paraId="099983BC"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615F75CC" w14:textId="77777777" w:rsidR="00BE0B19" w:rsidRPr="00AE47C6" w:rsidRDefault="00BE0B19" w:rsidP="00BE0B19">
            <w:pPr>
              <w:tabs>
                <w:tab w:val="left" w:pos="170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Спастична атаксия на Charlevoix-Saguenay </w:t>
            </w:r>
          </w:p>
        </w:tc>
        <w:tc>
          <w:tcPr>
            <w:tcW w:w="1530" w:type="dxa"/>
            <w:shd w:val="clear" w:color="auto" w:fill="auto"/>
          </w:tcPr>
          <w:p w14:paraId="2636FD49"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SACR</w:t>
            </w:r>
          </w:p>
        </w:tc>
        <w:tc>
          <w:tcPr>
            <w:tcW w:w="2297" w:type="dxa"/>
            <w:shd w:val="clear" w:color="auto" w:fill="auto"/>
          </w:tcPr>
          <w:p w14:paraId="269F9BC2"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Спастичност, полиневропатия</w:t>
            </w:r>
          </w:p>
        </w:tc>
        <w:tc>
          <w:tcPr>
            <w:tcW w:w="1251" w:type="dxa"/>
          </w:tcPr>
          <w:p w14:paraId="54272AD5"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1-10 г.</w:t>
            </w:r>
          </w:p>
        </w:tc>
      </w:tr>
      <w:tr w:rsidR="00BE0B19" w:rsidRPr="00AE47C6" w14:paraId="74B1006D" w14:textId="77777777" w:rsidTr="00AD72E5">
        <w:tc>
          <w:tcPr>
            <w:tcW w:w="1728" w:type="dxa"/>
            <w:vMerge/>
            <w:shd w:val="clear" w:color="auto" w:fill="auto"/>
          </w:tcPr>
          <w:p w14:paraId="7158EC86"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7B76BFA5" w14:textId="77777777" w:rsidR="00BE0B19" w:rsidRPr="00AE47C6" w:rsidRDefault="00BE0B19" w:rsidP="00BE0B19">
            <w:pPr>
              <w:tabs>
                <w:tab w:val="left" w:pos="170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Ранна церебеларна атаксия </w:t>
            </w:r>
          </w:p>
        </w:tc>
        <w:tc>
          <w:tcPr>
            <w:tcW w:w="1530" w:type="dxa"/>
            <w:shd w:val="clear" w:color="auto" w:fill="auto"/>
          </w:tcPr>
          <w:p w14:paraId="15A31D99"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MTCL1</w:t>
            </w:r>
          </w:p>
        </w:tc>
        <w:tc>
          <w:tcPr>
            <w:tcW w:w="2297" w:type="dxa"/>
            <w:shd w:val="clear" w:color="auto" w:fill="auto"/>
          </w:tcPr>
          <w:p w14:paraId="2DB3256A"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Умствена изостаналост, гърчове</w:t>
            </w:r>
          </w:p>
        </w:tc>
        <w:tc>
          <w:tcPr>
            <w:tcW w:w="1251" w:type="dxa"/>
          </w:tcPr>
          <w:p w14:paraId="4CAF1B24"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кърмаческа възраст</w:t>
            </w:r>
          </w:p>
        </w:tc>
      </w:tr>
      <w:tr w:rsidR="00BE0B19" w:rsidRPr="00AE47C6" w14:paraId="6E2DE721" w14:textId="77777777" w:rsidTr="00AD72E5">
        <w:tc>
          <w:tcPr>
            <w:tcW w:w="1728" w:type="dxa"/>
            <w:vMerge/>
            <w:shd w:val="clear" w:color="auto" w:fill="auto"/>
          </w:tcPr>
          <w:p w14:paraId="456A5952"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1BF18538"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Спиноцеребеларна атаксия с начало в кърмаческа възраст</w:t>
            </w:r>
          </w:p>
        </w:tc>
        <w:tc>
          <w:tcPr>
            <w:tcW w:w="1530" w:type="dxa"/>
            <w:shd w:val="clear" w:color="auto" w:fill="auto"/>
          </w:tcPr>
          <w:p w14:paraId="1B907470"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iCs/>
                <w:sz w:val="24"/>
                <w:szCs w:val="24"/>
              </w:rPr>
              <w:t xml:space="preserve">C10 </w:t>
            </w:r>
            <w:r w:rsidRPr="00AE47C6">
              <w:rPr>
                <w:rFonts w:ascii="Times New Roman" w:eastAsia="SimSun" w:hAnsi="Times New Roman"/>
                <w:iCs/>
                <w:sz w:val="24"/>
                <w:szCs w:val="24"/>
              </w:rPr>
              <w:t>или</w:t>
            </w:r>
            <w:r w:rsidRPr="00AE47C6">
              <w:rPr>
                <w:rFonts w:ascii="Times New Roman" w:eastAsia="SimSun" w:hAnsi="Times New Roman"/>
                <w:i/>
                <w:iCs/>
                <w:sz w:val="24"/>
                <w:szCs w:val="24"/>
              </w:rPr>
              <w:t xml:space="preserve"> f2</w:t>
            </w:r>
          </w:p>
        </w:tc>
        <w:tc>
          <w:tcPr>
            <w:tcW w:w="2297" w:type="dxa"/>
            <w:shd w:val="clear" w:color="auto" w:fill="auto"/>
          </w:tcPr>
          <w:p w14:paraId="0FCF9DEB"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Гърчове, дистония, оптична атрофия глухота, невропатия, офталмоплегия</w:t>
            </w:r>
          </w:p>
        </w:tc>
        <w:tc>
          <w:tcPr>
            <w:tcW w:w="1251" w:type="dxa"/>
          </w:tcPr>
          <w:p w14:paraId="2AEA00D0"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кърмаческа възраст</w:t>
            </w:r>
          </w:p>
        </w:tc>
      </w:tr>
      <w:tr w:rsidR="00BE0B19" w:rsidRPr="00AE47C6" w14:paraId="0906FFD9" w14:textId="77777777" w:rsidTr="00AD72E5">
        <w:tc>
          <w:tcPr>
            <w:tcW w:w="1728" w:type="dxa"/>
            <w:vMerge/>
            <w:shd w:val="clear" w:color="auto" w:fill="auto"/>
          </w:tcPr>
          <w:p w14:paraId="7208C656"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55ADBA11"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color w:val="2A2A2A"/>
                <w:sz w:val="24"/>
                <w:szCs w:val="24"/>
                <w:shd w:val="clear" w:color="auto" w:fill="EFF2F7"/>
              </w:rPr>
              <w:t>Инфантилна спиноцеребеларна атаксия  (IOSCA) </w:t>
            </w:r>
          </w:p>
        </w:tc>
        <w:tc>
          <w:tcPr>
            <w:tcW w:w="1530" w:type="dxa"/>
            <w:shd w:val="clear" w:color="auto" w:fill="auto"/>
          </w:tcPr>
          <w:p w14:paraId="04C7FC84" w14:textId="77777777" w:rsidR="00BE0B19" w:rsidRPr="00AE47C6" w:rsidRDefault="00BE0B19" w:rsidP="00BE0B19">
            <w:pPr>
              <w:tabs>
                <w:tab w:val="left" w:pos="1701"/>
              </w:tabs>
              <w:spacing w:after="0" w:line="360" w:lineRule="auto"/>
              <w:rPr>
                <w:rFonts w:ascii="Times New Roman" w:eastAsia="SimSun" w:hAnsi="Times New Roman"/>
                <w:i/>
                <w:iCs/>
                <w:sz w:val="24"/>
                <w:szCs w:val="24"/>
              </w:rPr>
            </w:pPr>
            <w:r w:rsidRPr="00AE47C6">
              <w:rPr>
                <w:rFonts w:ascii="Times New Roman" w:eastAsia="SimSun" w:hAnsi="Times New Roman"/>
                <w:i/>
                <w:color w:val="2A2A2A"/>
                <w:sz w:val="24"/>
                <w:szCs w:val="24"/>
                <w:bdr w:val="none" w:sz="0" w:space="0" w:color="auto" w:frame="1"/>
                <w:shd w:val="clear" w:color="auto" w:fill="EFF2F7"/>
              </w:rPr>
              <w:t>PEO1</w:t>
            </w:r>
          </w:p>
        </w:tc>
        <w:tc>
          <w:tcPr>
            <w:tcW w:w="2297" w:type="dxa"/>
            <w:shd w:val="clear" w:color="auto" w:fill="auto"/>
          </w:tcPr>
          <w:p w14:paraId="072EFB5F"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color w:val="2A2A2A"/>
                <w:sz w:val="24"/>
                <w:szCs w:val="24"/>
                <w:shd w:val="clear" w:color="auto" w:fill="FFFFFF"/>
              </w:rPr>
              <w:t xml:space="preserve">Мускулна хипотония, атетоза,  офталмоплегия, глухота, невропатия, епилептична енцефалопатия </w:t>
            </w:r>
          </w:p>
        </w:tc>
        <w:tc>
          <w:tcPr>
            <w:tcW w:w="1251" w:type="dxa"/>
          </w:tcPr>
          <w:p w14:paraId="306E0D75"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кърмаческа възраст</w:t>
            </w:r>
          </w:p>
        </w:tc>
      </w:tr>
      <w:tr w:rsidR="00BE0B19" w:rsidRPr="00AE47C6" w14:paraId="3C531B4D" w14:textId="77777777" w:rsidTr="00AD72E5">
        <w:tc>
          <w:tcPr>
            <w:tcW w:w="1728" w:type="dxa"/>
            <w:vMerge/>
            <w:shd w:val="clear" w:color="auto" w:fill="auto"/>
          </w:tcPr>
          <w:p w14:paraId="6C91E01A"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334F2F18"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Инфантилна церебеларно-ретинална дегенерация (ICRD)</w:t>
            </w:r>
          </w:p>
        </w:tc>
        <w:tc>
          <w:tcPr>
            <w:tcW w:w="1530" w:type="dxa"/>
            <w:shd w:val="clear" w:color="auto" w:fill="auto"/>
          </w:tcPr>
          <w:p w14:paraId="7FCE8A0D" w14:textId="77777777" w:rsidR="00BE0B19" w:rsidRPr="00AE47C6" w:rsidRDefault="00BE0B19" w:rsidP="00BE0B19">
            <w:pPr>
              <w:tabs>
                <w:tab w:val="left" w:pos="1701"/>
              </w:tabs>
              <w:spacing w:after="0" w:line="360" w:lineRule="auto"/>
              <w:rPr>
                <w:rFonts w:ascii="Times New Roman" w:eastAsia="SimSun" w:hAnsi="Times New Roman"/>
                <w:i/>
                <w:iCs/>
                <w:sz w:val="24"/>
                <w:szCs w:val="24"/>
              </w:rPr>
            </w:pPr>
            <w:r w:rsidRPr="00AE47C6">
              <w:rPr>
                <w:rFonts w:ascii="Times New Roman" w:eastAsia="SimSun" w:hAnsi="Times New Roman"/>
                <w:i/>
                <w:iCs/>
                <w:sz w:val="24"/>
                <w:szCs w:val="24"/>
              </w:rPr>
              <w:t>ACO2</w:t>
            </w:r>
          </w:p>
        </w:tc>
        <w:tc>
          <w:tcPr>
            <w:tcW w:w="2297" w:type="dxa"/>
            <w:shd w:val="clear" w:color="auto" w:fill="auto"/>
          </w:tcPr>
          <w:p w14:paraId="319308DD"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Хипотония, гърчове, умствена изостаналост, ретинопатия</w:t>
            </w:r>
          </w:p>
        </w:tc>
        <w:tc>
          <w:tcPr>
            <w:tcW w:w="1251" w:type="dxa"/>
          </w:tcPr>
          <w:p w14:paraId="70C7CEBD"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кърмаческа възраст</w:t>
            </w:r>
          </w:p>
        </w:tc>
      </w:tr>
      <w:tr w:rsidR="00BE0B19" w:rsidRPr="00AE47C6" w14:paraId="715DA992" w14:textId="77777777" w:rsidTr="00AD72E5">
        <w:tc>
          <w:tcPr>
            <w:tcW w:w="1728" w:type="dxa"/>
            <w:vMerge/>
            <w:shd w:val="clear" w:color="auto" w:fill="auto"/>
          </w:tcPr>
          <w:p w14:paraId="5B4B2F83"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6E6AACEC"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Ранна невродегенерация</w:t>
            </w:r>
          </w:p>
        </w:tc>
        <w:tc>
          <w:tcPr>
            <w:tcW w:w="1530" w:type="dxa"/>
            <w:shd w:val="clear" w:color="auto" w:fill="auto"/>
          </w:tcPr>
          <w:p w14:paraId="0D78CF00" w14:textId="77777777" w:rsidR="00BE0B19" w:rsidRPr="00AE47C6" w:rsidRDefault="00BE0B19" w:rsidP="00BE0B19">
            <w:pPr>
              <w:tabs>
                <w:tab w:val="left" w:pos="1701"/>
              </w:tabs>
              <w:spacing w:after="0" w:line="360" w:lineRule="auto"/>
              <w:rPr>
                <w:rFonts w:ascii="Times New Roman" w:eastAsia="SimSun" w:hAnsi="Times New Roman"/>
                <w:i/>
                <w:iCs/>
                <w:sz w:val="24"/>
                <w:szCs w:val="24"/>
              </w:rPr>
            </w:pPr>
            <w:r w:rsidRPr="00AE47C6">
              <w:rPr>
                <w:rFonts w:ascii="Times New Roman" w:eastAsia="SimSun" w:hAnsi="Times New Roman"/>
                <w:i/>
                <w:iCs/>
                <w:sz w:val="24"/>
                <w:szCs w:val="24"/>
              </w:rPr>
              <w:t>TXN2</w:t>
            </w:r>
          </w:p>
        </w:tc>
        <w:tc>
          <w:tcPr>
            <w:tcW w:w="2297" w:type="dxa"/>
            <w:shd w:val="clear" w:color="auto" w:fill="auto"/>
          </w:tcPr>
          <w:p w14:paraId="6EA9F0D0"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Периферна невропатия, оптична атрофия, дистония</w:t>
            </w:r>
          </w:p>
        </w:tc>
        <w:tc>
          <w:tcPr>
            <w:tcW w:w="1251" w:type="dxa"/>
          </w:tcPr>
          <w:p w14:paraId="08885626"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кърмаческа възраст</w:t>
            </w:r>
          </w:p>
        </w:tc>
      </w:tr>
      <w:tr w:rsidR="00BE0B19" w:rsidRPr="00AE47C6" w14:paraId="771B35FC" w14:textId="77777777" w:rsidTr="00AD72E5">
        <w:tc>
          <w:tcPr>
            <w:tcW w:w="1728" w:type="dxa"/>
            <w:vMerge/>
            <w:shd w:val="clear" w:color="auto" w:fill="auto"/>
          </w:tcPr>
          <w:p w14:paraId="313F47F7"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63B8A75E"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Панкреатична и церебеларна агенезия</w:t>
            </w:r>
          </w:p>
        </w:tc>
        <w:tc>
          <w:tcPr>
            <w:tcW w:w="1530" w:type="dxa"/>
            <w:shd w:val="clear" w:color="auto" w:fill="auto"/>
          </w:tcPr>
          <w:p w14:paraId="3DF9BCC8" w14:textId="77777777" w:rsidR="00BE0B19" w:rsidRPr="00AE47C6" w:rsidRDefault="00BE0B19" w:rsidP="00BE0B19">
            <w:pPr>
              <w:tabs>
                <w:tab w:val="left" w:pos="1701"/>
              </w:tabs>
              <w:spacing w:after="0" w:line="360" w:lineRule="auto"/>
              <w:rPr>
                <w:rFonts w:ascii="Times New Roman" w:eastAsia="SimSun" w:hAnsi="Times New Roman"/>
                <w:i/>
                <w:iCs/>
                <w:sz w:val="24"/>
                <w:szCs w:val="24"/>
              </w:rPr>
            </w:pPr>
            <w:r w:rsidRPr="00AE47C6">
              <w:rPr>
                <w:rFonts w:ascii="Times New Roman" w:eastAsia="SimSun" w:hAnsi="Times New Roman"/>
                <w:i/>
                <w:iCs/>
                <w:sz w:val="24"/>
                <w:szCs w:val="24"/>
              </w:rPr>
              <w:t>PTF1A</w:t>
            </w:r>
          </w:p>
        </w:tc>
        <w:tc>
          <w:tcPr>
            <w:tcW w:w="2297" w:type="dxa"/>
            <w:shd w:val="clear" w:color="auto" w:fill="auto"/>
          </w:tcPr>
          <w:p w14:paraId="30CC1342"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Неонатален диабет, церебеларна хипоплазия, лицев дизморфизъм</w:t>
            </w:r>
          </w:p>
        </w:tc>
        <w:tc>
          <w:tcPr>
            <w:tcW w:w="1251" w:type="dxa"/>
          </w:tcPr>
          <w:p w14:paraId="200B9336"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кърмаческа възраст</w:t>
            </w:r>
          </w:p>
        </w:tc>
      </w:tr>
      <w:tr w:rsidR="00BE0B19" w:rsidRPr="00AE47C6" w14:paraId="1A22033B" w14:textId="77777777" w:rsidTr="00AD72E5">
        <w:tc>
          <w:tcPr>
            <w:tcW w:w="1728" w:type="dxa"/>
            <w:vMerge/>
            <w:shd w:val="clear" w:color="auto" w:fill="auto"/>
          </w:tcPr>
          <w:p w14:paraId="69F30DAA"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2C601C2F"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Полиневропатия, глухота, пигментен ретинит и катаракта (PHART)</w:t>
            </w:r>
          </w:p>
        </w:tc>
        <w:tc>
          <w:tcPr>
            <w:tcW w:w="1530" w:type="dxa"/>
            <w:shd w:val="clear" w:color="auto" w:fill="auto"/>
          </w:tcPr>
          <w:p w14:paraId="7E26005A" w14:textId="77777777" w:rsidR="00BE0B19" w:rsidRPr="00AE47C6" w:rsidRDefault="00BE0B19" w:rsidP="00BE0B19">
            <w:pPr>
              <w:tabs>
                <w:tab w:val="left" w:pos="1701"/>
              </w:tabs>
              <w:spacing w:after="0" w:line="360" w:lineRule="auto"/>
              <w:rPr>
                <w:rFonts w:ascii="Times New Roman" w:eastAsia="SimSun" w:hAnsi="Times New Roman"/>
                <w:i/>
                <w:iCs/>
                <w:sz w:val="24"/>
                <w:szCs w:val="24"/>
              </w:rPr>
            </w:pPr>
            <w:r w:rsidRPr="00AE47C6">
              <w:rPr>
                <w:rFonts w:ascii="Times New Roman" w:eastAsia="SimSun" w:hAnsi="Times New Roman"/>
                <w:i/>
                <w:iCs/>
                <w:sz w:val="24"/>
                <w:szCs w:val="24"/>
              </w:rPr>
              <w:t>ABHD12</w:t>
            </w:r>
          </w:p>
        </w:tc>
        <w:tc>
          <w:tcPr>
            <w:tcW w:w="2297" w:type="dxa"/>
            <w:shd w:val="clear" w:color="auto" w:fill="auto"/>
          </w:tcPr>
          <w:p w14:paraId="12E86F44"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Полиневропатия, глухота, ретинопатия, катаракта</w:t>
            </w:r>
          </w:p>
        </w:tc>
        <w:tc>
          <w:tcPr>
            <w:tcW w:w="1251" w:type="dxa"/>
          </w:tcPr>
          <w:p w14:paraId="7A012CD6"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5-10 г.</w:t>
            </w:r>
          </w:p>
        </w:tc>
      </w:tr>
      <w:tr w:rsidR="00BE0B19" w:rsidRPr="00AE47C6" w14:paraId="3A9DAECB" w14:textId="77777777" w:rsidTr="00AD72E5">
        <w:tc>
          <w:tcPr>
            <w:tcW w:w="1728" w:type="dxa"/>
            <w:vMerge/>
            <w:shd w:val="clear" w:color="auto" w:fill="auto"/>
          </w:tcPr>
          <w:p w14:paraId="25E2C115"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07160385"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А-Р кардиомиопатия с атаксия</w:t>
            </w:r>
          </w:p>
        </w:tc>
        <w:tc>
          <w:tcPr>
            <w:tcW w:w="1530" w:type="dxa"/>
            <w:shd w:val="clear" w:color="auto" w:fill="auto"/>
          </w:tcPr>
          <w:p w14:paraId="7291C454" w14:textId="77777777" w:rsidR="00BE0B19" w:rsidRPr="00AE47C6" w:rsidRDefault="00BE0B19" w:rsidP="00BE0B19">
            <w:pPr>
              <w:tabs>
                <w:tab w:val="left" w:pos="1701"/>
              </w:tabs>
              <w:spacing w:after="0" w:line="360" w:lineRule="auto"/>
              <w:rPr>
                <w:rFonts w:ascii="Times New Roman" w:eastAsia="SimSun" w:hAnsi="Times New Roman"/>
                <w:i/>
                <w:iCs/>
                <w:sz w:val="24"/>
                <w:szCs w:val="24"/>
              </w:rPr>
            </w:pPr>
            <w:r w:rsidRPr="00AE47C6">
              <w:rPr>
                <w:rFonts w:ascii="Times New Roman" w:eastAsia="SimSun" w:hAnsi="Times New Roman"/>
                <w:i/>
                <w:iCs/>
                <w:sz w:val="24"/>
                <w:szCs w:val="24"/>
              </w:rPr>
              <w:t>TSFM</w:t>
            </w:r>
          </w:p>
        </w:tc>
        <w:tc>
          <w:tcPr>
            <w:tcW w:w="2297" w:type="dxa"/>
            <w:shd w:val="clear" w:color="auto" w:fill="auto"/>
          </w:tcPr>
          <w:p w14:paraId="5D25C180"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Кардиомиопатия, периферна невропатия, оптична атрофия, Leigh-подобен синдром</w:t>
            </w:r>
          </w:p>
        </w:tc>
        <w:tc>
          <w:tcPr>
            <w:tcW w:w="1251" w:type="dxa"/>
          </w:tcPr>
          <w:p w14:paraId="0C7D366D"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5-10 г.</w:t>
            </w:r>
          </w:p>
        </w:tc>
      </w:tr>
      <w:tr w:rsidR="00BE0B19" w:rsidRPr="00AE47C6" w14:paraId="73301902" w14:textId="77777777" w:rsidTr="00AD72E5">
        <w:tc>
          <w:tcPr>
            <w:tcW w:w="1728" w:type="dxa"/>
            <w:vMerge/>
            <w:shd w:val="clear" w:color="auto" w:fill="auto"/>
          </w:tcPr>
          <w:p w14:paraId="4E476841"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24775C88" w14:textId="77777777" w:rsidR="00BE0B19" w:rsidRPr="00AE47C6" w:rsidRDefault="00BE0B19" w:rsidP="00BE0B19">
            <w:pPr>
              <w:tabs>
                <w:tab w:val="left" w:pos="1701"/>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Детска атаксия</w:t>
            </w:r>
          </w:p>
        </w:tc>
        <w:tc>
          <w:tcPr>
            <w:tcW w:w="1530" w:type="dxa"/>
            <w:shd w:val="clear" w:color="auto" w:fill="auto"/>
          </w:tcPr>
          <w:p w14:paraId="12259BDC"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PCDH12</w:t>
            </w:r>
          </w:p>
        </w:tc>
        <w:tc>
          <w:tcPr>
            <w:tcW w:w="2297" w:type="dxa"/>
            <w:shd w:val="clear" w:color="auto" w:fill="auto"/>
          </w:tcPr>
          <w:p w14:paraId="47D90137"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Гърчове, дистония, ретинопатия</w:t>
            </w:r>
          </w:p>
        </w:tc>
        <w:tc>
          <w:tcPr>
            <w:tcW w:w="1251" w:type="dxa"/>
          </w:tcPr>
          <w:p w14:paraId="6B1080F5"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5-10 г.</w:t>
            </w:r>
          </w:p>
        </w:tc>
      </w:tr>
      <w:tr w:rsidR="00BE0B19" w:rsidRPr="00AE47C6" w14:paraId="4A0A60BB" w14:textId="77777777" w:rsidTr="00AD72E5">
        <w:tc>
          <w:tcPr>
            <w:tcW w:w="1728" w:type="dxa"/>
            <w:vMerge/>
            <w:shd w:val="clear" w:color="auto" w:fill="auto"/>
          </w:tcPr>
          <w:p w14:paraId="173C520C"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002454A1"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Синдром на Boucher-Neuhäuser</w:t>
            </w:r>
          </w:p>
        </w:tc>
        <w:tc>
          <w:tcPr>
            <w:tcW w:w="1530" w:type="dxa"/>
            <w:shd w:val="clear" w:color="auto" w:fill="auto"/>
          </w:tcPr>
          <w:p w14:paraId="0CCF55CB"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PNPL46</w:t>
            </w:r>
          </w:p>
        </w:tc>
        <w:tc>
          <w:tcPr>
            <w:tcW w:w="2297" w:type="dxa"/>
            <w:shd w:val="clear" w:color="auto" w:fill="auto"/>
          </w:tcPr>
          <w:p w14:paraId="091B1428"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Спастичност, късен пубертет, слепота</w:t>
            </w:r>
          </w:p>
        </w:tc>
        <w:tc>
          <w:tcPr>
            <w:tcW w:w="1251" w:type="dxa"/>
          </w:tcPr>
          <w:p w14:paraId="6EE1085A"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4-10 г.</w:t>
            </w:r>
          </w:p>
        </w:tc>
      </w:tr>
      <w:tr w:rsidR="00BE0B19" w:rsidRPr="00AE47C6" w14:paraId="2A4BBAAB" w14:textId="77777777" w:rsidTr="00AD72E5">
        <w:tc>
          <w:tcPr>
            <w:tcW w:w="1728" w:type="dxa"/>
            <w:vMerge/>
            <w:shd w:val="clear" w:color="auto" w:fill="auto"/>
          </w:tcPr>
          <w:p w14:paraId="0B2DB86F"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74092D46" w14:textId="77777777" w:rsidR="00BE0B19" w:rsidRPr="00AE47C6" w:rsidRDefault="00BE0B19" w:rsidP="00BE0B19">
            <w:pPr>
              <w:tabs>
                <w:tab w:val="left" w:pos="0"/>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 Синдром на Marinesco-Sjogren</w:t>
            </w:r>
          </w:p>
          <w:p w14:paraId="1F1AC40D" w14:textId="77777777" w:rsidR="00BE0B19" w:rsidRPr="00AE47C6" w:rsidRDefault="00BE0B19" w:rsidP="00BE0B19">
            <w:pPr>
              <w:numPr>
                <w:ilvl w:val="0"/>
                <w:numId w:val="33"/>
              </w:numPr>
              <w:tabs>
                <w:tab w:val="left" w:pos="459"/>
              </w:tabs>
              <w:spacing w:after="0" w:line="360" w:lineRule="auto"/>
              <w:ind w:left="142" w:firstLine="0"/>
              <w:contextualSpacing/>
              <w:rPr>
                <w:rFonts w:ascii="Times New Roman" w:eastAsia="SimSun" w:hAnsi="Times New Roman"/>
                <w:sz w:val="24"/>
                <w:szCs w:val="24"/>
              </w:rPr>
            </w:pPr>
            <w:r w:rsidRPr="00AE47C6">
              <w:rPr>
                <w:rFonts w:ascii="Times New Roman" w:eastAsia="SimSun" w:hAnsi="Times New Roman"/>
                <w:sz w:val="24"/>
                <w:szCs w:val="24"/>
              </w:rPr>
              <w:t>Класическа форма</w:t>
            </w:r>
          </w:p>
          <w:p w14:paraId="60DFF6AB" w14:textId="77777777" w:rsidR="00BE0B19" w:rsidRPr="00AE47C6" w:rsidRDefault="00BE0B19" w:rsidP="00BE0B19">
            <w:pPr>
              <w:numPr>
                <w:ilvl w:val="0"/>
                <w:numId w:val="33"/>
              </w:numPr>
              <w:tabs>
                <w:tab w:val="left" w:pos="459"/>
              </w:tabs>
              <w:spacing w:after="0" w:line="360" w:lineRule="auto"/>
              <w:ind w:left="142" w:firstLine="0"/>
              <w:contextualSpacing/>
              <w:rPr>
                <w:rFonts w:ascii="Times New Roman" w:eastAsia="SimSun" w:hAnsi="Times New Roman"/>
                <w:sz w:val="24"/>
                <w:szCs w:val="24"/>
              </w:rPr>
            </w:pPr>
            <w:r w:rsidRPr="00AE47C6">
              <w:rPr>
                <w:rFonts w:ascii="Times New Roman" w:eastAsia="SimSun" w:hAnsi="Times New Roman"/>
                <w:sz w:val="24"/>
                <w:szCs w:val="24"/>
              </w:rPr>
              <w:t>Съчетана с миоглобинурия</w:t>
            </w:r>
          </w:p>
        </w:tc>
        <w:tc>
          <w:tcPr>
            <w:tcW w:w="1530" w:type="dxa"/>
            <w:shd w:val="clear" w:color="auto" w:fill="auto"/>
          </w:tcPr>
          <w:p w14:paraId="0B06F70F" w14:textId="77777777" w:rsidR="00BE0B19" w:rsidRPr="00AE47C6" w:rsidRDefault="00BE0B19" w:rsidP="00BE0B19">
            <w:pPr>
              <w:tabs>
                <w:tab w:val="left" w:pos="1701"/>
              </w:tabs>
              <w:spacing w:after="0" w:line="360" w:lineRule="auto"/>
              <w:rPr>
                <w:rFonts w:ascii="Times New Roman" w:eastAsia="SimSun" w:hAnsi="Times New Roman"/>
                <w:i/>
                <w:sz w:val="24"/>
                <w:szCs w:val="24"/>
              </w:rPr>
            </w:pPr>
          </w:p>
          <w:p w14:paraId="2540B45F" w14:textId="77777777" w:rsidR="00BE0B19" w:rsidRPr="00AE47C6" w:rsidRDefault="00BE0B19" w:rsidP="00BE0B19">
            <w:pPr>
              <w:spacing w:after="0" w:line="360" w:lineRule="auto"/>
              <w:rPr>
                <w:rFonts w:ascii="Times New Roman" w:eastAsia="SimSun" w:hAnsi="Times New Roman"/>
                <w:i/>
                <w:sz w:val="24"/>
                <w:szCs w:val="24"/>
              </w:rPr>
            </w:pPr>
            <w:r w:rsidRPr="00AE47C6">
              <w:rPr>
                <w:rFonts w:ascii="Times New Roman" w:eastAsia="SimSun" w:hAnsi="Times New Roman"/>
                <w:i/>
                <w:sz w:val="24"/>
                <w:szCs w:val="24"/>
              </w:rPr>
              <w:t>SIL1</w:t>
            </w:r>
          </w:p>
        </w:tc>
        <w:tc>
          <w:tcPr>
            <w:tcW w:w="2297" w:type="dxa"/>
            <w:shd w:val="clear" w:color="auto" w:fill="auto"/>
          </w:tcPr>
          <w:p w14:paraId="3E5463A6"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Умствена изостаналост, катаракта, миопатия</w:t>
            </w:r>
          </w:p>
        </w:tc>
        <w:tc>
          <w:tcPr>
            <w:tcW w:w="1251" w:type="dxa"/>
          </w:tcPr>
          <w:p w14:paraId="467FA78E"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кърмаческа възраст</w:t>
            </w:r>
          </w:p>
        </w:tc>
      </w:tr>
      <w:tr w:rsidR="00BE0B19" w:rsidRPr="00AE47C6" w14:paraId="01C36A08" w14:textId="77777777" w:rsidTr="00AD72E5">
        <w:tc>
          <w:tcPr>
            <w:tcW w:w="1728" w:type="dxa"/>
            <w:vMerge/>
            <w:shd w:val="clear" w:color="auto" w:fill="auto"/>
          </w:tcPr>
          <w:p w14:paraId="364501EC"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10677F5F"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Митохондриална рецесивна атаксия (MIRAS)</w:t>
            </w:r>
          </w:p>
        </w:tc>
        <w:tc>
          <w:tcPr>
            <w:tcW w:w="1530" w:type="dxa"/>
            <w:shd w:val="clear" w:color="auto" w:fill="auto"/>
          </w:tcPr>
          <w:p w14:paraId="6D8E21AC"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iCs/>
                <w:sz w:val="24"/>
                <w:szCs w:val="24"/>
              </w:rPr>
              <w:t>POLG</w:t>
            </w:r>
          </w:p>
        </w:tc>
        <w:tc>
          <w:tcPr>
            <w:tcW w:w="2297" w:type="dxa"/>
            <w:shd w:val="clear" w:color="auto" w:fill="auto"/>
          </w:tcPr>
          <w:p w14:paraId="00AEAC3D"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color w:val="2A2A2A"/>
                <w:sz w:val="24"/>
                <w:szCs w:val="24"/>
                <w:shd w:val="clear" w:color="auto" w:fill="FFFFFF"/>
              </w:rPr>
              <w:t>Мускулна хипотония, дистония,  офталмоплегия, глухота, невропатия, епилептична енцефалопатия</w:t>
            </w:r>
          </w:p>
        </w:tc>
        <w:tc>
          <w:tcPr>
            <w:tcW w:w="1251" w:type="dxa"/>
          </w:tcPr>
          <w:p w14:paraId="4812513D" w14:textId="77777777" w:rsidR="00BE0B19" w:rsidRPr="00AE47C6" w:rsidRDefault="00BE0B19" w:rsidP="00BE0B19">
            <w:pPr>
              <w:tabs>
                <w:tab w:val="left" w:pos="1701"/>
              </w:tabs>
              <w:spacing w:after="0" w:line="360" w:lineRule="auto"/>
              <w:rPr>
                <w:rFonts w:ascii="Times New Roman" w:eastAsia="SimSun" w:hAnsi="Times New Roman"/>
                <w:bCs/>
                <w:sz w:val="24"/>
                <w:szCs w:val="24"/>
              </w:rPr>
            </w:pPr>
            <w:r w:rsidRPr="00AE47C6">
              <w:rPr>
                <w:rFonts w:ascii="Times New Roman" w:eastAsia="SimSun" w:hAnsi="Times New Roman"/>
                <w:sz w:val="24"/>
                <w:szCs w:val="24"/>
              </w:rPr>
              <w:t>5-14 г.</w:t>
            </w:r>
          </w:p>
        </w:tc>
      </w:tr>
      <w:tr w:rsidR="00BE0B19" w:rsidRPr="00AE47C6" w14:paraId="2F72A3EA" w14:textId="77777777" w:rsidTr="00AD72E5">
        <w:tc>
          <w:tcPr>
            <w:tcW w:w="1728" w:type="dxa"/>
            <w:vMerge/>
            <w:shd w:val="clear" w:color="auto" w:fill="auto"/>
          </w:tcPr>
          <w:p w14:paraId="40C75DD1"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3B66FB83"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Спиноцеребеларна атаксия с дефицит на коензим Q10</w:t>
            </w:r>
          </w:p>
        </w:tc>
        <w:tc>
          <w:tcPr>
            <w:tcW w:w="1530" w:type="dxa"/>
            <w:shd w:val="clear" w:color="auto" w:fill="auto"/>
          </w:tcPr>
          <w:p w14:paraId="78CBA03C"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color w:val="000000"/>
                <w:sz w:val="24"/>
                <w:szCs w:val="24"/>
                <w:shd w:val="clear" w:color="auto" w:fill="FFFFFF"/>
              </w:rPr>
              <w:t>ADCK3/CABC1/</w:t>
            </w:r>
            <w:r w:rsidRPr="00AE47C6">
              <w:rPr>
                <w:rFonts w:ascii="Times New Roman" w:eastAsia="SimSun" w:hAnsi="Times New Roman"/>
                <w:b/>
                <w:bCs/>
                <w:color w:val="000000"/>
                <w:sz w:val="24"/>
                <w:szCs w:val="24"/>
                <w:shd w:val="clear" w:color="auto" w:fill="FFFFFF"/>
              </w:rPr>
              <w:t xml:space="preserve"> </w:t>
            </w:r>
            <w:r w:rsidRPr="00AE47C6">
              <w:rPr>
                <w:rFonts w:ascii="Times New Roman" w:eastAsia="SimSun" w:hAnsi="Times New Roman"/>
                <w:i/>
                <w:color w:val="000000"/>
                <w:sz w:val="24"/>
                <w:szCs w:val="24"/>
                <w:shd w:val="clear" w:color="auto" w:fill="FFFFFF"/>
              </w:rPr>
              <w:t>APTX</w:t>
            </w:r>
            <w:r w:rsidRPr="00AE47C6">
              <w:rPr>
                <w:rFonts w:ascii="Times New Roman" w:eastAsia="SimSun" w:hAnsi="Times New Roman"/>
                <w:color w:val="000000"/>
                <w:sz w:val="24"/>
                <w:szCs w:val="24"/>
                <w:shd w:val="clear" w:color="auto" w:fill="FFFFFF"/>
              </w:rPr>
              <w:t> </w:t>
            </w:r>
          </w:p>
        </w:tc>
        <w:tc>
          <w:tcPr>
            <w:tcW w:w="2297" w:type="dxa"/>
            <w:shd w:val="clear" w:color="auto" w:fill="auto"/>
          </w:tcPr>
          <w:p w14:paraId="36CF2139"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color w:val="000000"/>
                <w:sz w:val="24"/>
                <w:szCs w:val="24"/>
                <w:shd w:val="clear" w:color="auto" w:fill="FFFFFF"/>
              </w:rPr>
              <w:t xml:space="preserve">Дистония, когнитивен регрес, интолеранс при физ. усилия </w:t>
            </w:r>
          </w:p>
        </w:tc>
        <w:tc>
          <w:tcPr>
            <w:tcW w:w="1251" w:type="dxa"/>
          </w:tcPr>
          <w:p w14:paraId="433A5243"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1-3 г.</w:t>
            </w:r>
          </w:p>
        </w:tc>
      </w:tr>
      <w:tr w:rsidR="00BE0B19" w:rsidRPr="00AE47C6" w14:paraId="43569594" w14:textId="77777777" w:rsidTr="00AD72E5">
        <w:tc>
          <w:tcPr>
            <w:tcW w:w="1728" w:type="dxa"/>
            <w:vMerge/>
            <w:shd w:val="clear" w:color="auto" w:fill="auto"/>
          </w:tcPr>
          <w:p w14:paraId="5C071E19"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181A99F9"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Задностълбцова атаксия и пигментен ретинит</w:t>
            </w:r>
          </w:p>
        </w:tc>
        <w:tc>
          <w:tcPr>
            <w:tcW w:w="1530" w:type="dxa"/>
            <w:shd w:val="clear" w:color="auto" w:fill="auto"/>
          </w:tcPr>
          <w:p w14:paraId="4F91A6B8"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AXPC1</w:t>
            </w:r>
          </w:p>
        </w:tc>
        <w:tc>
          <w:tcPr>
            <w:tcW w:w="2297" w:type="dxa"/>
            <w:shd w:val="clear" w:color="auto" w:fill="auto"/>
          </w:tcPr>
          <w:p w14:paraId="21B5C2B4" w14:textId="77777777" w:rsidR="00BE0B19" w:rsidRPr="00AE47C6" w:rsidRDefault="00BE0B19" w:rsidP="00BE0B19">
            <w:pPr>
              <w:tabs>
                <w:tab w:val="left" w:pos="1701"/>
              </w:tabs>
              <w:spacing w:after="0" w:line="360" w:lineRule="auto"/>
              <w:rPr>
                <w:rFonts w:ascii="Times New Roman" w:eastAsia="SimSun" w:hAnsi="Times New Roman"/>
                <w:sz w:val="24"/>
                <w:szCs w:val="24"/>
              </w:rPr>
            </w:pPr>
          </w:p>
        </w:tc>
        <w:tc>
          <w:tcPr>
            <w:tcW w:w="1251" w:type="dxa"/>
          </w:tcPr>
          <w:p w14:paraId="54FB2F68"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След 1 г.</w:t>
            </w:r>
          </w:p>
        </w:tc>
      </w:tr>
      <w:tr w:rsidR="00BE0B19" w:rsidRPr="00AE47C6" w14:paraId="441C8142" w14:textId="77777777" w:rsidTr="00AD72E5">
        <w:tc>
          <w:tcPr>
            <w:tcW w:w="1728" w:type="dxa"/>
            <w:vMerge/>
            <w:shd w:val="clear" w:color="auto" w:fill="auto"/>
          </w:tcPr>
          <w:p w14:paraId="6BB51EB6"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1E68250E"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Церебеларна атаксия с нистагъм и засягане на периферния двигателен неврон</w:t>
            </w:r>
          </w:p>
        </w:tc>
        <w:tc>
          <w:tcPr>
            <w:tcW w:w="1530" w:type="dxa"/>
            <w:shd w:val="clear" w:color="auto" w:fill="auto"/>
          </w:tcPr>
          <w:p w14:paraId="1C624428"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ANO10</w:t>
            </w:r>
          </w:p>
        </w:tc>
        <w:tc>
          <w:tcPr>
            <w:tcW w:w="2297" w:type="dxa"/>
            <w:shd w:val="clear" w:color="auto" w:fill="auto"/>
          </w:tcPr>
          <w:p w14:paraId="00DD839C" w14:textId="77777777" w:rsidR="00BE0B19" w:rsidRPr="00AE47C6" w:rsidRDefault="00BE0B19" w:rsidP="00BE0B19">
            <w:pPr>
              <w:tabs>
                <w:tab w:val="left" w:pos="1701"/>
              </w:tabs>
              <w:spacing w:after="0" w:line="360" w:lineRule="auto"/>
              <w:rPr>
                <w:rFonts w:ascii="Times New Roman" w:eastAsia="SimSun" w:hAnsi="Times New Roman"/>
                <w:sz w:val="24"/>
                <w:szCs w:val="24"/>
              </w:rPr>
            </w:pPr>
          </w:p>
        </w:tc>
        <w:tc>
          <w:tcPr>
            <w:tcW w:w="1251" w:type="dxa"/>
          </w:tcPr>
          <w:p w14:paraId="4D0E9950"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След 1 г.</w:t>
            </w:r>
          </w:p>
        </w:tc>
      </w:tr>
      <w:tr w:rsidR="00BE0B19" w:rsidRPr="00AE47C6" w14:paraId="58802A82" w14:textId="77777777" w:rsidTr="00AD72E5">
        <w:tc>
          <w:tcPr>
            <w:tcW w:w="1728" w:type="dxa"/>
            <w:shd w:val="clear" w:color="auto" w:fill="auto"/>
          </w:tcPr>
          <w:p w14:paraId="14979533"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16437F4D"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А-Р SCA 2</w:t>
            </w:r>
          </w:p>
        </w:tc>
        <w:tc>
          <w:tcPr>
            <w:tcW w:w="1530" w:type="dxa"/>
            <w:shd w:val="clear" w:color="auto" w:fill="auto"/>
          </w:tcPr>
          <w:p w14:paraId="3677622C"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PMPC4</w:t>
            </w:r>
          </w:p>
        </w:tc>
        <w:tc>
          <w:tcPr>
            <w:tcW w:w="2297" w:type="dxa"/>
            <w:shd w:val="clear" w:color="auto" w:fill="auto"/>
          </w:tcPr>
          <w:p w14:paraId="1CFE0A7A"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Когнитивен регрес, дистония, спастицитет</w:t>
            </w:r>
          </w:p>
        </w:tc>
        <w:tc>
          <w:tcPr>
            <w:tcW w:w="1251" w:type="dxa"/>
          </w:tcPr>
          <w:p w14:paraId="58E4B1A7"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След 1 г.</w:t>
            </w:r>
          </w:p>
        </w:tc>
      </w:tr>
      <w:tr w:rsidR="00BE0B19" w:rsidRPr="00AE47C6" w14:paraId="769D13C2" w14:textId="77777777" w:rsidTr="00AD72E5">
        <w:tc>
          <w:tcPr>
            <w:tcW w:w="1728" w:type="dxa"/>
            <w:shd w:val="clear" w:color="auto" w:fill="auto"/>
          </w:tcPr>
          <w:p w14:paraId="47EBAB12"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370EB652"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А-Р SCA 4</w:t>
            </w:r>
          </w:p>
        </w:tc>
        <w:tc>
          <w:tcPr>
            <w:tcW w:w="1530" w:type="dxa"/>
            <w:shd w:val="clear" w:color="auto" w:fill="auto"/>
          </w:tcPr>
          <w:p w14:paraId="4A752707"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EPS!3D</w:t>
            </w:r>
          </w:p>
        </w:tc>
        <w:tc>
          <w:tcPr>
            <w:tcW w:w="2297" w:type="dxa"/>
            <w:shd w:val="clear" w:color="auto" w:fill="auto"/>
          </w:tcPr>
          <w:p w14:paraId="0B671D13"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Спастицитет, хорея/дистония, митохондриален дефект</w:t>
            </w:r>
          </w:p>
        </w:tc>
        <w:tc>
          <w:tcPr>
            <w:tcW w:w="1251" w:type="dxa"/>
          </w:tcPr>
          <w:p w14:paraId="0DD31A1A" w14:textId="77777777" w:rsidR="00BE0B19" w:rsidRPr="00AE47C6" w:rsidRDefault="00BE0B19" w:rsidP="00BE0B19">
            <w:pPr>
              <w:tabs>
                <w:tab w:val="left" w:pos="1701"/>
              </w:tabs>
              <w:spacing w:after="0" w:line="360" w:lineRule="auto"/>
              <w:rPr>
                <w:rFonts w:ascii="Times New Roman" w:eastAsia="SimSun" w:hAnsi="Times New Roman"/>
                <w:sz w:val="24"/>
                <w:szCs w:val="24"/>
              </w:rPr>
            </w:pPr>
          </w:p>
        </w:tc>
      </w:tr>
      <w:tr w:rsidR="00BE0B19" w:rsidRPr="00AE47C6" w14:paraId="7EEFB1B6" w14:textId="77777777" w:rsidTr="00AD72E5">
        <w:tc>
          <w:tcPr>
            <w:tcW w:w="1728" w:type="dxa"/>
            <w:shd w:val="clear" w:color="auto" w:fill="auto"/>
          </w:tcPr>
          <w:p w14:paraId="030C0226" w14:textId="77777777" w:rsidR="00BE0B19" w:rsidRPr="00AE47C6" w:rsidRDefault="00BE0B19" w:rsidP="00BE0B19">
            <w:pPr>
              <w:tabs>
                <w:tab w:val="left" w:pos="1701"/>
              </w:tabs>
              <w:spacing w:after="0" w:line="360" w:lineRule="auto"/>
              <w:rPr>
                <w:rFonts w:ascii="Times New Roman" w:eastAsia="SimSun" w:hAnsi="Times New Roman"/>
                <w:sz w:val="24"/>
                <w:szCs w:val="24"/>
              </w:rPr>
            </w:pPr>
          </w:p>
        </w:tc>
        <w:tc>
          <w:tcPr>
            <w:tcW w:w="2662" w:type="dxa"/>
            <w:shd w:val="clear" w:color="auto" w:fill="auto"/>
          </w:tcPr>
          <w:p w14:paraId="7EBB2B44"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А-Р SCA 7</w:t>
            </w:r>
          </w:p>
        </w:tc>
        <w:tc>
          <w:tcPr>
            <w:tcW w:w="1530" w:type="dxa"/>
            <w:shd w:val="clear" w:color="auto" w:fill="auto"/>
          </w:tcPr>
          <w:p w14:paraId="6D77CA23"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TTP</w:t>
            </w:r>
          </w:p>
        </w:tc>
        <w:tc>
          <w:tcPr>
            <w:tcW w:w="2297" w:type="dxa"/>
            <w:shd w:val="clear" w:color="auto" w:fill="auto"/>
          </w:tcPr>
          <w:p w14:paraId="279289FE"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Късна инфантилна цероидлипофусциноза (CLN2)-умствена изостаналост, епилепсия, спастицитет</w:t>
            </w:r>
          </w:p>
        </w:tc>
        <w:tc>
          <w:tcPr>
            <w:tcW w:w="1251" w:type="dxa"/>
          </w:tcPr>
          <w:p w14:paraId="3BC490B1"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След 1-2 г.</w:t>
            </w:r>
          </w:p>
        </w:tc>
      </w:tr>
      <w:tr w:rsidR="00BE0B19" w:rsidRPr="00AE47C6" w14:paraId="22611660" w14:textId="77777777" w:rsidTr="00AD72E5">
        <w:tc>
          <w:tcPr>
            <w:tcW w:w="1728" w:type="dxa"/>
            <w:shd w:val="clear" w:color="auto" w:fill="auto"/>
          </w:tcPr>
          <w:p w14:paraId="4C818409"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1FB31CEC"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А-Р SCA 9</w:t>
            </w:r>
          </w:p>
        </w:tc>
        <w:tc>
          <w:tcPr>
            <w:tcW w:w="1530" w:type="dxa"/>
            <w:shd w:val="clear" w:color="auto" w:fill="auto"/>
          </w:tcPr>
          <w:p w14:paraId="3569406F"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COQ8A</w:t>
            </w:r>
          </w:p>
        </w:tc>
        <w:tc>
          <w:tcPr>
            <w:tcW w:w="2297" w:type="dxa"/>
            <w:shd w:val="clear" w:color="auto" w:fill="auto"/>
          </w:tcPr>
          <w:p w14:paraId="21D9ACBB"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Лека умствена изостаналост, гърчове, повишен лактат</w:t>
            </w:r>
          </w:p>
        </w:tc>
        <w:tc>
          <w:tcPr>
            <w:tcW w:w="1251" w:type="dxa"/>
          </w:tcPr>
          <w:p w14:paraId="36C44392"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След 1 г.</w:t>
            </w:r>
          </w:p>
        </w:tc>
      </w:tr>
      <w:tr w:rsidR="00BE0B19" w:rsidRPr="00AE47C6" w14:paraId="73D08EA3" w14:textId="77777777" w:rsidTr="00AD72E5">
        <w:tc>
          <w:tcPr>
            <w:tcW w:w="1728" w:type="dxa"/>
            <w:shd w:val="clear" w:color="auto" w:fill="auto"/>
          </w:tcPr>
          <w:p w14:paraId="01A42EA8"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129E84FA"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А-Р SCA 10</w:t>
            </w:r>
          </w:p>
        </w:tc>
        <w:tc>
          <w:tcPr>
            <w:tcW w:w="1530" w:type="dxa"/>
            <w:shd w:val="clear" w:color="auto" w:fill="auto"/>
          </w:tcPr>
          <w:p w14:paraId="66602929"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ANO10</w:t>
            </w:r>
          </w:p>
        </w:tc>
        <w:tc>
          <w:tcPr>
            <w:tcW w:w="2297" w:type="dxa"/>
            <w:shd w:val="clear" w:color="auto" w:fill="auto"/>
          </w:tcPr>
          <w:p w14:paraId="1217F409"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Спастичност, нистагъм, фасцикулации</w:t>
            </w:r>
          </w:p>
        </w:tc>
        <w:tc>
          <w:tcPr>
            <w:tcW w:w="1251" w:type="dxa"/>
          </w:tcPr>
          <w:p w14:paraId="3BF9A8E1"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След 1 г.</w:t>
            </w:r>
          </w:p>
        </w:tc>
      </w:tr>
      <w:tr w:rsidR="00BE0B19" w:rsidRPr="00AE47C6" w14:paraId="0008B127" w14:textId="77777777" w:rsidTr="00AD72E5">
        <w:tc>
          <w:tcPr>
            <w:tcW w:w="1728" w:type="dxa"/>
            <w:shd w:val="clear" w:color="auto" w:fill="auto"/>
          </w:tcPr>
          <w:p w14:paraId="22FCE752"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5B43020A"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А-Р SCA 11</w:t>
            </w:r>
          </w:p>
        </w:tc>
        <w:tc>
          <w:tcPr>
            <w:tcW w:w="1530" w:type="dxa"/>
            <w:shd w:val="clear" w:color="auto" w:fill="auto"/>
          </w:tcPr>
          <w:p w14:paraId="34B21DE3"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SYT14</w:t>
            </w:r>
          </w:p>
        </w:tc>
        <w:tc>
          <w:tcPr>
            <w:tcW w:w="2297" w:type="dxa"/>
            <w:shd w:val="clear" w:color="auto" w:fill="auto"/>
          </w:tcPr>
          <w:p w14:paraId="303168A7"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Умствена изостаналост</w:t>
            </w:r>
          </w:p>
        </w:tc>
        <w:tc>
          <w:tcPr>
            <w:tcW w:w="1251" w:type="dxa"/>
          </w:tcPr>
          <w:p w14:paraId="7288AAAD"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След 1 г.</w:t>
            </w:r>
          </w:p>
        </w:tc>
      </w:tr>
      <w:tr w:rsidR="00BE0B19" w:rsidRPr="00AE47C6" w14:paraId="1F93FCA7" w14:textId="77777777" w:rsidTr="00AD72E5">
        <w:tc>
          <w:tcPr>
            <w:tcW w:w="1728" w:type="dxa"/>
            <w:shd w:val="clear" w:color="auto" w:fill="auto"/>
          </w:tcPr>
          <w:p w14:paraId="6880D3D9"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314C0BE5"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А-Р SCA 12</w:t>
            </w:r>
          </w:p>
        </w:tc>
        <w:tc>
          <w:tcPr>
            <w:tcW w:w="1530" w:type="dxa"/>
            <w:shd w:val="clear" w:color="auto" w:fill="auto"/>
          </w:tcPr>
          <w:p w14:paraId="4D710C0F"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WWOX</w:t>
            </w:r>
          </w:p>
        </w:tc>
        <w:tc>
          <w:tcPr>
            <w:tcW w:w="2297" w:type="dxa"/>
            <w:shd w:val="clear" w:color="auto" w:fill="auto"/>
          </w:tcPr>
          <w:p w14:paraId="04E87A50"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Епилепсия, умствена изостаналост, спастицитет</w:t>
            </w:r>
          </w:p>
        </w:tc>
        <w:tc>
          <w:tcPr>
            <w:tcW w:w="1251" w:type="dxa"/>
          </w:tcPr>
          <w:p w14:paraId="65A900E3"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След 1 г.</w:t>
            </w:r>
          </w:p>
        </w:tc>
      </w:tr>
      <w:tr w:rsidR="00BE0B19" w:rsidRPr="00AE47C6" w14:paraId="443D1C6B" w14:textId="77777777" w:rsidTr="00AD72E5">
        <w:tc>
          <w:tcPr>
            <w:tcW w:w="1728" w:type="dxa"/>
            <w:shd w:val="clear" w:color="auto" w:fill="auto"/>
          </w:tcPr>
          <w:p w14:paraId="0B5053A2"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23A533D6"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А-Р SCA 13</w:t>
            </w:r>
          </w:p>
        </w:tc>
        <w:tc>
          <w:tcPr>
            <w:tcW w:w="1530" w:type="dxa"/>
            <w:shd w:val="clear" w:color="auto" w:fill="auto"/>
          </w:tcPr>
          <w:p w14:paraId="13C2653F"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GRM1</w:t>
            </w:r>
          </w:p>
        </w:tc>
        <w:tc>
          <w:tcPr>
            <w:tcW w:w="2297" w:type="dxa"/>
            <w:shd w:val="clear" w:color="auto" w:fill="auto"/>
          </w:tcPr>
          <w:p w14:paraId="23B2E6D3"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Забавено развитие, умствен дефицит, микроцефалия</w:t>
            </w:r>
          </w:p>
        </w:tc>
        <w:tc>
          <w:tcPr>
            <w:tcW w:w="1251" w:type="dxa"/>
          </w:tcPr>
          <w:p w14:paraId="214DE454"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След 1 г.</w:t>
            </w:r>
          </w:p>
        </w:tc>
      </w:tr>
      <w:tr w:rsidR="00BE0B19" w:rsidRPr="00AE47C6" w14:paraId="626B92E1" w14:textId="77777777" w:rsidTr="00AD72E5">
        <w:tc>
          <w:tcPr>
            <w:tcW w:w="1728" w:type="dxa"/>
            <w:shd w:val="clear" w:color="auto" w:fill="auto"/>
          </w:tcPr>
          <w:p w14:paraId="77780DA8"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53B0EF99"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А-Р SCA 14</w:t>
            </w:r>
          </w:p>
        </w:tc>
        <w:tc>
          <w:tcPr>
            <w:tcW w:w="1530" w:type="dxa"/>
            <w:shd w:val="clear" w:color="auto" w:fill="auto"/>
          </w:tcPr>
          <w:p w14:paraId="45E4AD4E"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SPTBN2</w:t>
            </w:r>
          </w:p>
        </w:tc>
        <w:tc>
          <w:tcPr>
            <w:tcW w:w="2297" w:type="dxa"/>
            <w:shd w:val="clear" w:color="auto" w:fill="auto"/>
          </w:tcPr>
          <w:p w14:paraId="70D95250"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Когнитивен дефицит</w:t>
            </w:r>
          </w:p>
        </w:tc>
        <w:tc>
          <w:tcPr>
            <w:tcW w:w="1251" w:type="dxa"/>
          </w:tcPr>
          <w:p w14:paraId="5C37C41E"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След 1 г.</w:t>
            </w:r>
          </w:p>
        </w:tc>
      </w:tr>
      <w:tr w:rsidR="00BE0B19" w:rsidRPr="00AE47C6" w14:paraId="5183E35E" w14:textId="77777777" w:rsidTr="00AD72E5">
        <w:tc>
          <w:tcPr>
            <w:tcW w:w="1728" w:type="dxa"/>
            <w:shd w:val="clear" w:color="auto" w:fill="auto"/>
          </w:tcPr>
          <w:p w14:paraId="53EEB5BA"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07BE814E"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А-Р SCA 15</w:t>
            </w:r>
          </w:p>
        </w:tc>
        <w:tc>
          <w:tcPr>
            <w:tcW w:w="1530" w:type="dxa"/>
            <w:shd w:val="clear" w:color="auto" w:fill="auto"/>
          </w:tcPr>
          <w:p w14:paraId="327353EB"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KIAA0226</w:t>
            </w:r>
          </w:p>
        </w:tc>
        <w:tc>
          <w:tcPr>
            <w:tcW w:w="2297" w:type="dxa"/>
            <w:shd w:val="clear" w:color="auto" w:fill="auto"/>
          </w:tcPr>
          <w:p w14:paraId="0D673C42"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Епилепсия, когнитивен дефицит </w:t>
            </w:r>
          </w:p>
        </w:tc>
        <w:tc>
          <w:tcPr>
            <w:tcW w:w="1251" w:type="dxa"/>
          </w:tcPr>
          <w:p w14:paraId="4C7F7A4E"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След 1 г.</w:t>
            </w:r>
          </w:p>
        </w:tc>
      </w:tr>
      <w:tr w:rsidR="00BE0B19" w:rsidRPr="00AE47C6" w14:paraId="2BC12778" w14:textId="77777777" w:rsidTr="00AD72E5">
        <w:tc>
          <w:tcPr>
            <w:tcW w:w="1728" w:type="dxa"/>
            <w:shd w:val="clear" w:color="auto" w:fill="auto"/>
          </w:tcPr>
          <w:p w14:paraId="4BB66F9B"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30E45AB6"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А-Р SCA 16</w:t>
            </w:r>
          </w:p>
        </w:tc>
        <w:tc>
          <w:tcPr>
            <w:tcW w:w="1530" w:type="dxa"/>
            <w:shd w:val="clear" w:color="auto" w:fill="auto"/>
          </w:tcPr>
          <w:p w14:paraId="4378C3F2"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STUB1</w:t>
            </w:r>
          </w:p>
        </w:tc>
        <w:tc>
          <w:tcPr>
            <w:tcW w:w="2297" w:type="dxa"/>
            <w:shd w:val="clear" w:color="auto" w:fill="auto"/>
          </w:tcPr>
          <w:p w14:paraId="0B01EDDD"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Полиневропатия, умствена изостаналост</w:t>
            </w:r>
          </w:p>
        </w:tc>
        <w:tc>
          <w:tcPr>
            <w:tcW w:w="1251" w:type="dxa"/>
          </w:tcPr>
          <w:p w14:paraId="640EEDAE"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След 10-12 г.</w:t>
            </w:r>
          </w:p>
        </w:tc>
      </w:tr>
      <w:tr w:rsidR="00BE0B19" w:rsidRPr="00AE47C6" w14:paraId="357EF467" w14:textId="77777777" w:rsidTr="00AD72E5">
        <w:tc>
          <w:tcPr>
            <w:tcW w:w="1728" w:type="dxa"/>
            <w:shd w:val="clear" w:color="auto" w:fill="auto"/>
          </w:tcPr>
          <w:p w14:paraId="2C13F8B7"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15396152"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А-Р SCA 18</w:t>
            </w:r>
          </w:p>
        </w:tc>
        <w:tc>
          <w:tcPr>
            <w:tcW w:w="1530" w:type="dxa"/>
            <w:shd w:val="clear" w:color="auto" w:fill="auto"/>
          </w:tcPr>
          <w:p w14:paraId="55573C49"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GRID2</w:t>
            </w:r>
          </w:p>
        </w:tc>
        <w:tc>
          <w:tcPr>
            <w:tcW w:w="2297" w:type="dxa"/>
            <w:shd w:val="clear" w:color="auto" w:fill="auto"/>
          </w:tcPr>
          <w:p w14:paraId="0EB0B0E3"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Забавено речево и когнитивно развитие, ретинопатия</w:t>
            </w:r>
          </w:p>
        </w:tc>
        <w:tc>
          <w:tcPr>
            <w:tcW w:w="1251" w:type="dxa"/>
          </w:tcPr>
          <w:p w14:paraId="2B7EAB50"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След 1 г.</w:t>
            </w:r>
          </w:p>
        </w:tc>
      </w:tr>
      <w:tr w:rsidR="00BE0B19" w:rsidRPr="00AE47C6" w14:paraId="4468B8B7" w14:textId="77777777" w:rsidTr="00AD72E5">
        <w:tc>
          <w:tcPr>
            <w:tcW w:w="1728" w:type="dxa"/>
            <w:shd w:val="clear" w:color="auto" w:fill="auto"/>
          </w:tcPr>
          <w:p w14:paraId="6272F32D"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6EE7E46E"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А-Р SCA 20</w:t>
            </w:r>
          </w:p>
        </w:tc>
        <w:tc>
          <w:tcPr>
            <w:tcW w:w="1530" w:type="dxa"/>
            <w:shd w:val="clear" w:color="auto" w:fill="auto"/>
          </w:tcPr>
          <w:p w14:paraId="51333D0E"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SNX14</w:t>
            </w:r>
          </w:p>
        </w:tc>
        <w:tc>
          <w:tcPr>
            <w:tcW w:w="2297" w:type="dxa"/>
            <w:shd w:val="clear" w:color="auto" w:fill="auto"/>
          </w:tcPr>
          <w:p w14:paraId="35BA2DE9"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Когнитивен дефицит, глухота, гърчове, сколиоза</w:t>
            </w:r>
          </w:p>
        </w:tc>
        <w:tc>
          <w:tcPr>
            <w:tcW w:w="1251" w:type="dxa"/>
          </w:tcPr>
          <w:p w14:paraId="428005BB"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След 1 г.</w:t>
            </w:r>
          </w:p>
        </w:tc>
      </w:tr>
      <w:tr w:rsidR="00BE0B19" w:rsidRPr="00AE47C6" w14:paraId="67380539" w14:textId="77777777" w:rsidTr="00AD72E5">
        <w:tc>
          <w:tcPr>
            <w:tcW w:w="1728" w:type="dxa"/>
            <w:shd w:val="clear" w:color="auto" w:fill="auto"/>
          </w:tcPr>
          <w:p w14:paraId="00831FE6"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416B5EBF"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sz w:val="24"/>
                <w:szCs w:val="24"/>
              </w:rPr>
              <w:t>А-Р SCA 23</w:t>
            </w:r>
          </w:p>
        </w:tc>
        <w:tc>
          <w:tcPr>
            <w:tcW w:w="1530" w:type="dxa"/>
            <w:shd w:val="clear" w:color="auto" w:fill="auto"/>
          </w:tcPr>
          <w:p w14:paraId="4F1E94F6"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TPD2</w:t>
            </w:r>
          </w:p>
        </w:tc>
        <w:tc>
          <w:tcPr>
            <w:tcW w:w="2297" w:type="dxa"/>
            <w:shd w:val="clear" w:color="auto" w:fill="auto"/>
          </w:tcPr>
          <w:p w14:paraId="634582EC"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Епилепсия, умствена изостаналост, микроцефалия</w:t>
            </w:r>
          </w:p>
        </w:tc>
        <w:tc>
          <w:tcPr>
            <w:tcW w:w="1251" w:type="dxa"/>
          </w:tcPr>
          <w:p w14:paraId="7CBC849A"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След 1 г.</w:t>
            </w:r>
          </w:p>
        </w:tc>
      </w:tr>
      <w:tr w:rsidR="00BE0B19" w:rsidRPr="00AE47C6" w14:paraId="62EAE942" w14:textId="77777777" w:rsidTr="00AD72E5">
        <w:trPr>
          <w:trHeight w:val="1545"/>
        </w:trPr>
        <w:tc>
          <w:tcPr>
            <w:tcW w:w="1728" w:type="dxa"/>
            <w:shd w:val="clear" w:color="auto" w:fill="auto"/>
          </w:tcPr>
          <w:p w14:paraId="6B2D5085"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4476DEF9"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r w:rsidRPr="00AE47C6">
              <w:rPr>
                <w:rFonts w:ascii="Times New Roman" w:eastAsia="SimSun" w:hAnsi="Times New Roman"/>
                <w:bCs/>
                <w:sz w:val="24"/>
                <w:szCs w:val="24"/>
              </w:rPr>
              <w:t>“Vanishing white matter” disease (детска атаксия с централна хипомиелинизация)</w:t>
            </w:r>
          </w:p>
        </w:tc>
        <w:tc>
          <w:tcPr>
            <w:tcW w:w="1530" w:type="dxa"/>
            <w:shd w:val="clear" w:color="auto" w:fill="auto"/>
          </w:tcPr>
          <w:p w14:paraId="1F54DC96" w14:textId="77777777" w:rsidR="00BE0B19" w:rsidRPr="00AE47C6" w:rsidRDefault="00BE0B19" w:rsidP="00BE0B19">
            <w:pPr>
              <w:autoSpaceDE w:val="0"/>
              <w:autoSpaceDN w:val="0"/>
              <w:adjustRightInd w:val="0"/>
              <w:spacing w:after="0" w:line="360" w:lineRule="auto"/>
              <w:rPr>
                <w:rFonts w:ascii="Times New Roman" w:eastAsia="SimSun" w:hAnsi="Times New Roman"/>
                <w:i/>
                <w:sz w:val="24"/>
                <w:szCs w:val="24"/>
              </w:rPr>
            </w:pPr>
            <w:r w:rsidRPr="00AE47C6">
              <w:rPr>
                <w:rFonts w:ascii="Times New Roman" w:eastAsia="SimSun" w:hAnsi="Times New Roman"/>
                <w:i/>
                <w:sz w:val="24"/>
                <w:szCs w:val="24"/>
              </w:rPr>
              <w:t>EIF2B1, B2, B3,</w:t>
            </w:r>
          </w:p>
          <w:p w14:paraId="159F3013" w14:textId="77777777" w:rsidR="00BE0B19" w:rsidRPr="00AE47C6" w:rsidRDefault="00BE0B19" w:rsidP="00BE0B19">
            <w:pPr>
              <w:tabs>
                <w:tab w:val="left" w:pos="1701"/>
              </w:tabs>
              <w:spacing w:after="0" w:line="360" w:lineRule="auto"/>
              <w:rPr>
                <w:rFonts w:ascii="Times New Roman" w:eastAsia="SimSun" w:hAnsi="Times New Roman"/>
                <w:i/>
                <w:sz w:val="24"/>
                <w:szCs w:val="24"/>
              </w:rPr>
            </w:pPr>
            <w:r w:rsidRPr="00AE47C6">
              <w:rPr>
                <w:rFonts w:ascii="Times New Roman" w:eastAsia="SimSun" w:hAnsi="Times New Roman"/>
                <w:i/>
                <w:sz w:val="24"/>
                <w:szCs w:val="24"/>
              </w:rPr>
              <w:t>B4, B5</w:t>
            </w:r>
          </w:p>
        </w:tc>
        <w:tc>
          <w:tcPr>
            <w:tcW w:w="2297" w:type="dxa"/>
            <w:shd w:val="clear" w:color="auto" w:fill="auto"/>
          </w:tcPr>
          <w:p w14:paraId="17040A9E" w14:textId="77777777" w:rsidR="00BE0B19" w:rsidRPr="00AE47C6" w:rsidRDefault="00BE0B19" w:rsidP="00BE0B19">
            <w:pPr>
              <w:tabs>
                <w:tab w:val="left" w:pos="1701"/>
              </w:tabs>
              <w:spacing w:after="0" w:line="360" w:lineRule="auto"/>
              <w:rPr>
                <w:rFonts w:ascii="Times New Roman" w:eastAsia="SimSun" w:hAnsi="Times New Roman"/>
                <w:sz w:val="24"/>
                <w:szCs w:val="24"/>
              </w:rPr>
            </w:pPr>
          </w:p>
        </w:tc>
        <w:tc>
          <w:tcPr>
            <w:tcW w:w="1251" w:type="dxa"/>
          </w:tcPr>
          <w:p w14:paraId="11180E57"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От детска възраст</w:t>
            </w:r>
          </w:p>
        </w:tc>
      </w:tr>
      <w:tr w:rsidR="00BE0B19" w:rsidRPr="00AE47C6" w14:paraId="5629F167" w14:textId="77777777" w:rsidTr="00AD72E5">
        <w:tc>
          <w:tcPr>
            <w:tcW w:w="1728" w:type="dxa"/>
            <w:shd w:val="clear" w:color="auto" w:fill="auto"/>
          </w:tcPr>
          <w:p w14:paraId="69037805"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45203900" w14:textId="77777777" w:rsidR="00BE0B19" w:rsidRPr="00AE47C6" w:rsidRDefault="00BE0B19" w:rsidP="00BE0B19">
            <w:pPr>
              <w:tabs>
                <w:tab w:val="left" w:pos="1701"/>
              </w:tabs>
              <w:spacing w:after="0" w:line="360" w:lineRule="auto"/>
              <w:ind w:left="142"/>
              <w:rPr>
                <w:rFonts w:ascii="Times New Roman" w:eastAsia="SimSun" w:hAnsi="Times New Roman"/>
                <w:bCs/>
                <w:sz w:val="24"/>
                <w:szCs w:val="24"/>
              </w:rPr>
            </w:pPr>
            <w:r w:rsidRPr="00AE47C6">
              <w:rPr>
                <w:rFonts w:ascii="Times New Roman" w:eastAsia="SimSun" w:hAnsi="Times New Roman"/>
                <w:bCs/>
                <w:sz w:val="24"/>
                <w:szCs w:val="24"/>
              </w:rPr>
              <w:t>Церебеларна атаксия, невропатия, вестибуларна арефлексия синдром CANVAS</w:t>
            </w:r>
          </w:p>
        </w:tc>
        <w:tc>
          <w:tcPr>
            <w:tcW w:w="1530" w:type="dxa"/>
            <w:shd w:val="clear" w:color="auto" w:fill="auto"/>
          </w:tcPr>
          <w:p w14:paraId="00377F09" w14:textId="77777777" w:rsidR="00BE0B19" w:rsidRPr="00AE47C6" w:rsidRDefault="00BE0B19" w:rsidP="00BE0B19">
            <w:pPr>
              <w:autoSpaceDE w:val="0"/>
              <w:autoSpaceDN w:val="0"/>
              <w:adjustRightInd w:val="0"/>
              <w:spacing w:after="0" w:line="360" w:lineRule="auto"/>
              <w:rPr>
                <w:rFonts w:ascii="Times New Roman" w:eastAsia="SimSun" w:hAnsi="Times New Roman"/>
                <w:i/>
                <w:sz w:val="24"/>
                <w:szCs w:val="24"/>
              </w:rPr>
            </w:pPr>
            <w:r w:rsidRPr="00AE47C6">
              <w:rPr>
                <w:rFonts w:ascii="Times New Roman" w:eastAsia="SimSun" w:hAnsi="Times New Roman"/>
                <w:i/>
                <w:sz w:val="24"/>
                <w:szCs w:val="24"/>
              </w:rPr>
              <w:t>RFC1</w:t>
            </w:r>
          </w:p>
        </w:tc>
        <w:tc>
          <w:tcPr>
            <w:tcW w:w="2297" w:type="dxa"/>
            <w:shd w:val="clear" w:color="auto" w:fill="auto"/>
          </w:tcPr>
          <w:p w14:paraId="6C111B10"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bCs/>
                <w:sz w:val="24"/>
                <w:szCs w:val="24"/>
              </w:rPr>
              <w:t>Полиневропатия, вестибуларна арефлексия</w:t>
            </w:r>
          </w:p>
        </w:tc>
        <w:tc>
          <w:tcPr>
            <w:tcW w:w="1251" w:type="dxa"/>
          </w:tcPr>
          <w:p w14:paraId="674827C0"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От по-късна възраст</w:t>
            </w:r>
          </w:p>
        </w:tc>
      </w:tr>
      <w:tr w:rsidR="00BE0B19" w:rsidRPr="00AE47C6" w14:paraId="2AF25101" w14:textId="77777777" w:rsidTr="00AD72E5">
        <w:tc>
          <w:tcPr>
            <w:tcW w:w="1728" w:type="dxa"/>
            <w:shd w:val="clear" w:color="auto" w:fill="auto"/>
          </w:tcPr>
          <w:p w14:paraId="221ED18A" w14:textId="77777777" w:rsidR="00BE0B19" w:rsidRPr="00AE47C6" w:rsidRDefault="00BE0B19" w:rsidP="00BE0B19">
            <w:pPr>
              <w:tabs>
                <w:tab w:val="left" w:pos="1701"/>
              </w:tabs>
              <w:spacing w:after="0" w:line="360" w:lineRule="auto"/>
              <w:ind w:left="142"/>
              <w:rPr>
                <w:rFonts w:ascii="Times New Roman" w:eastAsia="SimSun" w:hAnsi="Times New Roman"/>
                <w:sz w:val="24"/>
                <w:szCs w:val="24"/>
              </w:rPr>
            </w:pPr>
          </w:p>
        </w:tc>
        <w:tc>
          <w:tcPr>
            <w:tcW w:w="2662" w:type="dxa"/>
            <w:shd w:val="clear" w:color="auto" w:fill="auto"/>
          </w:tcPr>
          <w:p w14:paraId="13595BCD" w14:textId="77777777" w:rsidR="00BE0B19" w:rsidRPr="00AE47C6" w:rsidRDefault="00BE0B19" w:rsidP="00BE0B19">
            <w:pPr>
              <w:tabs>
                <w:tab w:val="left" w:pos="1701"/>
              </w:tabs>
              <w:spacing w:after="0" w:line="360" w:lineRule="auto"/>
              <w:ind w:left="142"/>
              <w:rPr>
                <w:rFonts w:ascii="Times New Roman" w:eastAsia="SimSun" w:hAnsi="Times New Roman"/>
                <w:bCs/>
                <w:sz w:val="24"/>
                <w:szCs w:val="24"/>
              </w:rPr>
            </w:pPr>
            <w:r w:rsidRPr="00AE47C6">
              <w:rPr>
                <w:rFonts w:ascii="Times New Roman" w:eastAsia="SimSun" w:hAnsi="Times New Roman"/>
                <w:bCs/>
                <w:sz w:val="24"/>
                <w:szCs w:val="24"/>
              </w:rPr>
              <w:t>Церебеларна атаксия</w:t>
            </w:r>
          </w:p>
        </w:tc>
        <w:tc>
          <w:tcPr>
            <w:tcW w:w="1530" w:type="dxa"/>
            <w:shd w:val="clear" w:color="auto" w:fill="auto"/>
          </w:tcPr>
          <w:p w14:paraId="66237195" w14:textId="77777777" w:rsidR="00BE0B19" w:rsidRPr="00AE47C6" w:rsidRDefault="00BE0B19" w:rsidP="00BE0B19">
            <w:pPr>
              <w:autoSpaceDE w:val="0"/>
              <w:autoSpaceDN w:val="0"/>
              <w:adjustRightInd w:val="0"/>
              <w:spacing w:after="0" w:line="360" w:lineRule="auto"/>
              <w:rPr>
                <w:rFonts w:ascii="Times New Roman" w:eastAsia="SimSun" w:hAnsi="Times New Roman"/>
                <w:i/>
                <w:sz w:val="24"/>
                <w:szCs w:val="24"/>
              </w:rPr>
            </w:pPr>
            <w:r w:rsidRPr="00AE47C6">
              <w:rPr>
                <w:rFonts w:ascii="Times New Roman" w:eastAsia="SimSun" w:hAnsi="Times New Roman"/>
                <w:i/>
                <w:sz w:val="24"/>
                <w:szCs w:val="24"/>
              </w:rPr>
              <w:t>GDAP2</w:t>
            </w:r>
          </w:p>
        </w:tc>
        <w:tc>
          <w:tcPr>
            <w:tcW w:w="2297" w:type="dxa"/>
            <w:shd w:val="clear" w:color="auto" w:fill="auto"/>
          </w:tcPr>
          <w:p w14:paraId="78C93E1D" w14:textId="77777777" w:rsidR="00BE0B19" w:rsidRPr="00AE47C6" w:rsidRDefault="00BE0B19" w:rsidP="00BE0B19">
            <w:pPr>
              <w:tabs>
                <w:tab w:val="left" w:pos="1701"/>
              </w:tabs>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Спастицитет, деменция</w:t>
            </w:r>
          </w:p>
        </w:tc>
        <w:tc>
          <w:tcPr>
            <w:tcW w:w="1251" w:type="dxa"/>
          </w:tcPr>
          <w:p w14:paraId="5B60C855" w14:textId="77777777" w:rsidR="00BE0B19" w:rsidRPr="00AE47C6" w:rsidRDefault="00BE0B19" w:rsidP="00BE0B19">
            <w:pPr>
              <w:tabs>
                <w:tab w:val="left" w:pos="1701"/>
              </w:tabs>
              <w:spacing w:after="0" w:line="360" w:lineRule="auto"/>
              <w:rPr>
                <w:rFonts w:ascii="Times New Roman" w:eastAsia="SimSun" w:hAnsi="Times New Roman"/>
                <w:sz w:val="24"/>
                <w:szCs w:val="24"/>
              </w:rPr>
            </w:pPr>
            <w:r w:rsidRPr="00AE47C6">
              <w:rPr>
                <w:rFonts w:ascii="Times New Roman" w:eastAsia="SimSun" w:hAnsi="Times New Roman"/>
                <w:sz w:val="24"/>
                <w:szCs w:val="24"/>
              </w:rPr>
              <w:t>От по-късна възраст</w:t>
            </w:r>
          </w:p>
        </w:tc>
      </w:tr>
    </w:tbl>
    <w:p w14:paraId="2D1A4AF6" w14:textId="77777777" w:rsidR="00BE0B19" w:rsidRPr="00AE47C6" w:rsidRDefault="00BE0B19" w:rsidP="00BE0B19">
      <w:pPr>
        <w:spacing w:after="0" w:line="360" w:lineRule="auto"/>
        <w:ind w:firstLine="709"/>
        <w:jc w:val="both"/>
        <w:rPr>
          <w:rFonts w:ascii="Times New Roman" w:eastAsia="SimSun" w:hAnsi="Times New Roman"/>
          <w:b/>
          <w:bCs/>
          <w:sz w:val="24"/>
          <w:szCs w:val="24"/>
        </w:rPr>
      </w:pPr>
    </w:p>
    <w:p w14:paraId="64BA90AA"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Автозомно-доминантни церебеларни дегенеративни атаксии.</w:t>
      </w:r>
    </w:p>
    <w:p w14:paraId="644CA6AB" w14:textId="77777777" w:rsidR="00BE0B19" w:rsidRPr="00AE47C6" w:rsidRDefault="00BE0B19" w:rsidP="00BE0B19">
      <w:pPr>
        <w:tabs>
          <w:tab w:val="left" w:pos="1800"/>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Автозомно-доминантните церебеларни дегенеративни атаксии са хетерогенна група наследствени заболявания, с клинично многообразие, начало най-често след 20 г. и честота 0.8 - 5/100,000. Изяснени са </w:t>
      </w:r>
      <w:r w:rsidRPr="00AE47C6">
        <w:rPr>
          <w:rFonts w:ascii="Times New Roman" w:eastAsia="SimSun" w:hAnsi="Times New Roman"/>
          <w:bCs/>
          <w:sz w:val="24"/>
          <w:szCs w:val="24"/>
        </w:rPr>
        <w:t xml:space="preserve">42 гена </w:t>
      </w:r>
      <w:r w:rsidRPr="00AE47C6">
        <w:rPr>
          <w:rFonts w:ascii="Times New Roman" w:eastAsia="SimSun" w:hAnsi="Times New Roman"/>
          <w:sz w:val="24"/>
          <w:szCs w:val="24"/>
        </w:rPr>
        <w:t xml:space="preserve">(SCA1-8, 10-15, 17-23, 25-36 и </w:t>
      </w:r>
      <w:r w:rsidRPr="00AE47C6">
        <w:rPr>
          <w:rFonts w:ascii="Times New Roman" w:eastAsia="SimSun" w:hAnsi="Times New Roman"/>
          <w:bCs/>
          <w:sz w:val="24"/>
          <w:szCs w:val="24"/>
        </w:rPr>
        <w:t xml:space="preserve">денто-рубро-палидо-Луйзиева атрофия DRPLA), при </w:t>
      </w:r>
      <w:r w:rsidRPr="00AE47C6">
        <w:rPr>
          <w:rFonts w:ascii="Times New Roman" w:eastAsia="SimSun" w:hAnsi="Times New Roman"/>
          <w:sz w:val="24"/>
          <w:szCs w:val="24"/>
        </w:rPr>
        <w:t>9 - само локуси в различни хромозоми, SCA9 е неясна  (Табл.</w:t>
      </w:r>
      <w:r w:rsidRPr="00AE47C6">
        <w:rPr>
          <w:rFonts w:ascii="Times New Roman" w:eastAsia="SimSun" w:hAnsi="Times New Roman"/>
          <w:bCs/>
          <w:sz w:val="24"/>
          <w:szCs w:val="24"/>
        </w:rPr>
        <w:t>5.19</w:t>
      </w:r>
      <w:r w:rsidRPr="00AE47C6">
        <w:rPr>
          <w:rFonts w:ascii="Times New Roman" w:eastAsia="SimSun" w:hAnsi="Times New Roman"/>
          <w:sz w:val="24"/>
          <w:szCs w:val="24"/>
        </w:rPr>
        <w:t>.). Мутациите са най-често повтарящи се екстремно триплети цитозин-аденин-гуанин (CAG), установени при SCA1, 2, 3, 6, 7, 17 и DRPLA. Налице са и други мутации: β-III Spectrin (SCA 5), TTBK2 (SCA11), PPP2R2B (SCA 12), ITPR1 (SCA 15 и 16), PDYN (SCA 23), FGF14 (SCA 27); каналопатии на Ca</w:t>
      </w:r>
      <w:r w:rsidRPr="00AE47C6">
        <w:rPr>
          <w:rFonts w:ascii="Times New Roman" w:eastAsia="SimSun" w:hAnsi="Times New Roman"/>
          <w:sz w:val="24"/>
          <w:szCs w:val="24"/>
          <w:vertAlign w:val="superscript"/>
        </w:rPr>
        <w:t>2+</w:t>
      </w:r>
      <w:r w:rsidRPr="00AE47C6">
        <w:rPr>
          <w:rFonts w:ascii="Times New Roman" w:eastAsia="SimSun" w:hAnsi="Times New Roman"/>
          <w:sz w:val="24"/>
          <w:szCs w:val="24"/>
        </w:rPr>
        <w:t xml:space="preserve"> волтажно-зависими йонните канали (CACNA1A/Cav2.1 при SCA6 и ЕА2, CACNB4/Cav2.1 при ED5), на К</w:t>
      </w:r>
      <w:r w:rsidRPr="00AE47C6">
        <w:rPr>
          <w:rFonts w:ascii="Times New Roman" w:eastAsia="SimSun" w:hAnsi="Times New Roman"/>
          <w:sz w:val="24"/>
          <w:szCs w:val="24"/>
          <w:vertAlign w:val="superscript"/>
        </w:rPr>
        <w:t>+</w:t>
      </w:r>
      <w:r w:rsidRPr="00AE47C6">
        <w:rPr>
          <w:rFonts w:ascii="Times New Roman" w:eastAsia="SimSun" w:hAnsi="Times New Roman"/>
          <w:sz w:val="24"/>
          <w:szCs w:val="24"/>
        </w:rPr>
        <w:t xml:space="preserve"> канали (Kv1.1 при EA 1 и KCNC3/Kv3.3 при SCA13), Na</w:t>
      </w:r>
      <w:r w:rsidRPr="00AE47C6">
        <w:rPr>
          <w:rFonts w:ascii="Times New Roman" w:eastAsia="SimSun" w:hAnsi="Times New Roman"/>
          <w:sz w:val="24"/>
          <w:szCs w:val="24"/>
          <w:vertAlign w:val="superscript"/>
        </w:rPr>
        <w:t>+</w:t>
      </w:r>
      <w:r w:rsidRPr="00AE47C6">
        <w:rPr>
          <w:rFonts w:ascii="Times New Roman" w:eastAsia="SimSun" w:hAnsi="Times New Roman"/>
          <w:sz w:val="24"/>
          <w:szCs w:val="24"/>
        </w:rPr>
        <w:t xml:space="preserve"> канали (SCN1A при SMEI), глутаматните рецептори (SCA5, DRPLA и EA 6) и точкови мутации. За АD SCA e характерна антиципацията.</w:t>
      </w:r>
    </w:p>
    <w:p w14:paraId="6BA2D0F3"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 xml:space="preserve">АД атаксиите се разделят според клиниката и невропатологията на 3 типа (Таблица </w:t>
      </w:r>
      <w:r w:rsidRPr="00AE47C6">
        <w:rPr>
          <w:rFonts w:ascii="Times New Roman" w:eastAsia="SimSun" w:hAnsi="Times New Roman"/>
          <w:bCs/>
          <w:sz w:val="24"/>
          <w:szCs w:val="24"/>
        </w:rPr>
        <w:t>5.20)</w:t>
      </w:r>
      <w:r w:rsidRPr="00AE47C6">
        <w:rPr>
          <w:rFonts w:ascii="Times New Roman" w:eastAsia="SimSun" w:hAnsi="Times New Roman"/>
          <w:sz w:val="24"/>
          <w:szCs w:val="24"/>
        </w:rPr>
        <w:t>:</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при</w:t>
      </w:r>
      <w:r w:rsidRPr="00AE47C6">
        <w:rPr>
          <w:rFonts w:ascii="Times New Roman" w:eastAsia="SimSun" w:hAnsi="Times New Roman"/>
          <w:b/>
          <w:sz w:val="24"/>
          <w:szCs w:val="24"/>
        </w:rPr>
        <w:t xml:space="preserve"> АД- SCA тип I</w:t>
      </w:r>
      <w:r w:rsidRPr="00AE47C6">
        <w:rPr>
          <w:rFonts w:ascii="Times New Roman" w:eastAsia="SimSun" w:hAnsi="Times New Roman"/>
          <w:sz w:val="24"/>
          <w:szCs w:val="24"/>
        </w:rPr>
        <w:t xml:space="preserve"> церебеларния  дегенеративен процес комбиниран с увреди на базалните ганглии, мозъчната кора, зрителните нерви, понто-медуларна система, спинални пътища и периферни нерви (SCA 1, 2, 3, 4, 8, 10, 12, 13, 17, 18, 19, 20, 21, 23, 24, 25, 27, 28, 35, 37 38, 40, 43, 43, 46, 47, 48, DRPLA, ADCADN, левкоенцефалопатия с хипомиелинизация, GRID-2, церебеларна атаксия с епилептична енцефалопатия); при </w:t>
      </w:r>
      <w:r w:rsidRPr="00AE47C6">
        <w:rPr>
          <w:rFonts w:ascii="Times New Roman" w:eastAsia="SimSun" w:hAnsi="Times New Roman"/>
          <w:b/>
          <w:sz w:val="24"/>
          <w:szCs w:val="24"/>
        </w:rPr>
        <w:t xml:space="preserve">А-Д- SCA тип II се </w:t>
      </w:r>
      <w:r w:rsidRPr="00AE47C6">
        <w:rPr>
          <w:rFonts w:ascii="Times New Roman" w:eastAsia="SimSun" w:hAnsi="Times New Roman"/>
          <w:sz w:val="24"/>
          <w:szCs w:val="24"/>
        </w:rPr>
        <w:t xml:space="preserve">съчетава с пигментна дегенерация на ретината (SCA 7); </w:t>
      </w:r>
      <w:r w:rsidRPr="00AE47C6">
        <w:rPr>
          <w:rFonts w:ascii="Times New Roman" w:eastAsia="SimSun" w:hAnsi="Times New Roman"/>
          <w:b/>
          <w:sz w:val="24"/>
          <w:szCs w:val="24"/>
        </w:rPr>
        <w:t>А-Д- SCA тип III</w:t>
      </w:r>
      <w:r w:rsidRPr="00AE47C6">
        <w:rPr>
          <w:rFonts w:ascii="Times New Roman" w:eastAsia="SimSun" w:hAnsi="Times New Roman"/>
          <w:sz w:val="24"/>
          <w:szCs w:val="24"/>
        </w:rPr>
        <w:t xml:space="preserve"> е т.нар. „чист церебеларен синдром” или церебело-оливарна атрофия тип Holmes (SCA 5, 6, 11, 14, 15, 16, 26, 41, чиста атаксия с С9 или f72 ген, бързо прогресираща атаксия)</w:t>
      </w:r>
      <w:r w:rsidRPr="00AE47C6">
        <w:rPr>
          <w:rFonts w:ascii="Times New Roman" w:eastAsia="SimSun" w:hAnsi="Times New Roman"/>
          <w:bCs/>
          <w:sz w:val="24"/>
          <w:szCs w:val="24"/>
        </w:rPr>
        <w:t>.</w:t>
      </w:r>
      <w:r w:rsidRPr="00AE47C6">
        <w:rPr>
          <w:rFonts w:ascii="Times New Roman" w:eastAsia="SimSun" w:hAnsi="Times New Roman"/>
          <w:sz w:val="24"/>
          <w:szCs w:val="24"/>
        </w:rPr>
        <w:t xml:space="preserve"> Основната клинична изява при всички AД SCA e атаксията и дизартрията. </w:t>
      </w:r>
      <w:r w:rsidRPr="00AE47C6">
        <w:rPr>
          <w:rFonts w:ascii="Times New Roman" w:eastAsia="SimSun" w:hAnsi="Times New Roman"/>
          <w:i/>
          <w:sz w:val="24"/>
          <w:szCs w:val="24"/>
        </w:rPr>
        <w:t>Полиневропатен синдром</w:t>
      </w:r>
      <w:r w:rsidRPr="00AE47C6">
        <w:rPr>
          <w:rFonts w:ascii="Times New Roman" w:eastAsia="SimSun" w:hAnsi="Times New Roman"/>
          <w:sz w:val="24"/>
          <w:szCs w:val="24"/>
        </w:rPr>
        <w:t xml:space="preserve"> се наблюдава при SCA1, 2, 3, 4, 7, 8, 12, 14, 27, 18, 25, 38,43 и 45; Прогресираща </w:t>
      </w:r>
      <w:r w:rsidRPr="00AE47C6">
        <w:rPr>
          <w:rFonts w:ascii="Times New Roman" w:eastAsia="SimSun" w:hAnsi="Times New Roman"/>
          <w:i/>
          <w:sz w:val="24"/>
          <w:szCs w:val="24"/>
        </w:rPr>
        <w:t>деменци</w:t>
      </w:r>
      <w:r w:rsidRPr="00AE47C6">
        <w:rPr>
          <w:rFonts w:ascii="Times New Roman" w:eastAsia="SimSun" w:hAnsi="Times New Roman"/>
          <w:sz w:val="24"/>
          <w:szCs w:val="24"/>
        </w:rPr>
        <w:t xml:space="preserve">я е налице при SCA2, 13, 17, 19, 21, 47, 48, церебеларна атрофия с епилептична енцефалопатия, </w:t>
      </w:r>
      <w:r w:rsidRPr="00AE47C6">
        <w:rPr>
          <w:rFonts w:ascii="Times New Roman" w:eastAsia="SimSun" w:hAnsi="Times New Roman"/>
          <w:i/>
          <w:sz w:val="24"/>
          <w:szCs w:val="24"/>
        </w:rPr>
        <w:t>психози</w:t>
      </w:r>
      <w:r w:rsidRPr="00AE47C6">
        <w:rPr>
          <w:rFonts w:ascii="Times New Roman" w:eastAsia="SimSun" w:hAnsi="Times New Roman"/>
          <w:sz w:val="24"/>
          <w:szCs w:val="24"/>
        </w:rPr>
        <w:t xml:space="preserve"> - при DRPLA, SCA3, 17, 27. </w:t>
      </w:r>
      <w:r w:rsidRPr="00AE47C6">
        <w:rPr>
          <w:rFonts w:ascii="Times New Roman" w:eastAsia="SimSun" w:hAnsi="Times New Roman"/>
          <w:i/>
          <w:sz w:val="24"/>
          <w:szCs w:val="24"/>
        </w:rPr>
        <w:t>Епилептичен синдром</w:t>
      </w:r>
      <w:r w:rsidRPr="00AE47C6">
        <w:rPr>
          <w:rFonts w:ascii="Times New Roman" w:eastAsia="SimSun" w:hAnsi="Times New Roman"/>
          <w:sz w:val="24"/>
          <w:szCs w:val="24"/>
        </w:rPr>
        <w:t xml:space="preserve"> е характерен за SCA10, 17, 47, 48, DRPLA и церебеларна атрофия с епилептична енцефалопатия (</w:t>
      </w:r>
      <w:r w:rsidRPr="00AE47C6">
        <w:rPr>
          <w:rFonts w:ascii="Times New Roman" w:eastAsia="SimSun" w:hAnsi="Times New Roman"/>
          <w:i/>
          <w:sz w:val="24"/>
          <w:szCs w:val="24"/>
        </w:rPr>
        <w:t>FGF12 ген</w:t>
      </w:r>
      <w:r w:rsidRPr="00AE47C6">
        <w:rPr>
          <w:rFonts w:ascii="Times New Roman" w:eastAsia="SimSun" w:hAnsi="Times New Roman"/>
          <w:sz w:val="24"/>
          <w:szCs w:val="24"/>
        </w:rPr>
        <w:t xml:space="preserve">) DRPLA; </w:t>
      </w:r>
      <w:r w:rsidRPr="00AE47C6">
        <w:rPr>
          <w:rFonts w:ascii="Times New Roman" w:eastAsia="SimSun" w:hAnsi="Times New Roman"/>
          <w:i/>
          <w:sz w:val="24"/>
          <w:szCs w:val="24"/>
        </w:rPr>
        <w:t>Хореичният синдром</w:t>
      </w:r>
      <w:r w:rsidRPr="00AE47C6">
        <w:rPr>
          <w:rFonts w:ascii="Times New Roman" w:eastAsia="SimSun" w:hAnsi="Times New Roman"/>
          <w:sz w:val="24"/>
          <w:szCs w:val="24"/>
        </w:rPr>
        <w:t xml:space="preserve"> е водещ при SCA17, DRPLA, левкоенцефалопатия с хипомиелинизация, </w:t>
      </w:r>
      <w:r w:rsidRPr="00AE47C6">
        <w:rPr>
          <w:rFonts w:ascii="Times New Roman" w:eastAsia="SimSun" w:hAnsi="Times New Roman"/>
          <w:i/>
          <w:sz w:val="24"/>
          <w:szCs w:val="24"/>
        </w:rPr>
        <w:t>треморът и паркинсонизмът</w:t>
      </w:r>
      <w:r w:rsidRPr="00AE47C6">
        <w:rPr>
          <w:rFonts w:ascii="Times New Roman" w:eastAsia="SimSun" w:hAnsi="Times New Roman"/>
          <w:sz w:val="24"/>
          <w:szCs w:val="24"/>
        </w:rPr>
        <w:t xml:space="preserve"> – при SCA3, 9, 12, 2, 21; </w:t>
      </w:r>
      <w:r w:rsidRPr="00AE47C6">
        <w:rPr>
          <w:rFonts w:ascii="Times New Roman" w:eastAsia="SimSun" w:hAnsi="Times New Roman"/>
          <w:i/>
          <w:sz w:val="24"/>
          <w:szCs w:val="24"/>
        </w:rPr>
        <w:t>Офталмопареза</w:t>
      </w:r>
      <w:r w:rsidRPr="00AE47C6">
        <w:rPr>
          <w:rFonts w:ascii="Times New Roman" w:eastAsia="SimSun" w:hAnsi="Times New Roman"/>
          <w:sz w:val="24"/>
          <w:szCs w:val="24"/>
        </w:rPr>
        <w:t xml:space="preserve"> се развива при SCA3, 2, 1 и 9, а </w:t>
      </w:r>
      <w:r w:rsidRPr="00AE47C6">
        <w:rPr>
          <w:rFonts w:ascii="Times New Roman" w:eastAsia="SimSun" w:hAnsi="Times New Roman"/>
          <w:i/>
          <w:sz w:val="24"/>
          <w:szCs w:val="24"/>
        </w:rPr>
        <w:t xml:space="preserve">бавни сакади </w:t>
      </w:r>
      <w:r w:rsidRPr="00AE47C6">
        <w:rPr>
          <w:rFonts w:ascii="Times New Roman" w:eastAsia="SimSun" w:hAnsi="Times New Roman"/>
          <w:sz w:val="24"/>
          <w:szCs w:val="24"/>
        </w:rPr>
        <w:t>- при SCA7, 1, 2, 3, 17 (Таблица 5.19, табл.</w:t>
      </w:r>
      <w:r w:rsidRPr="00AE47C6">
        <w:rPr>
          <w:rFonts w:ascii="Times New Roman" w:eastAsia="SimSun" w:hAnsi="Times New Roman"/>
          <w:bCs/>
          <w:sz w:val="24"/>
          <w:szCs w:val="24"/>
        </w:rPr>
        <w:t>5.20</w:t>
      </w:r>
      <w:r w:rsidRPr="00AE47C6">
        <w:rPr>
          <w:rFonts w:ascii="Times New Roman" w:eastAsia="SimSun" w:hAnsi="Times New Roman"/>
          <w:sz w:val="24"/>
          <w:szCs w:val="24"/>
        </w:rPr>
        <w:t>.). В зависимост от локализацията на дегенеративния процес при КТ/МРТ се визуализират оливо-понто-церебеларна атрофия (SCA 1, 2, 3, 7, 13 и DRPLA) или кортико-церебеларна атрофия (SCA 4, 6, 8, 10, 12, 14, 15, 16, 17, 18, 19, 21, 22, 25). (</w:t>
      </w:r>
      <w:r w:rsidRPr="00AE47C6">
        <w:rPr>
          <w:rFonts w:ascii="Times New Roman" w:eastAsia="SimSun" w:hAnsi="Times New Roman"/>
          <w:bCs/>
          <w:sz w:val="24"/>
          <w:szCs w:val="24"/>
        </w:rPr>
        <w:t>Табл. 5.19</w:t>
      </w:r>
      <w:r w:rsidRPr="00AE47C6">
        <w:rPr>
          <w:rFonts w:ascii="Times New Roman" w:eastAsia="SimSun" w:hAnsi="Times New Roman"/>
          <w:sz w:val="24"/>
          <w:szCs w:val="24"/>
        </w:rPr>
        <w:t>)</w:t>
      </w:r>
      <w:r w:rsidRPr="00AE47C6">
        <w:rPr>
          <w:rFonts w:ascii="Times New Roman" w:eastAsia="SimSun" w:hAnsi="Times New Roman"/>
          <w:b/>
          <w:sz w:val="24"/>
          <w:szCs w:val="24"/>
        </w:rPr>
        <w:t xml:space="preserve"> . </w:t>
      </w:r>
      <w:r w:rsidRPr="00AE47C6">
        <w:rPr>
          <w:rFonts w:ascii="Times New Roman" w:eastAsia="SimSun" w:hAnsi="Times New Roman"/>
          <w:sz w:val="24"/>
          <w:szCs w:val="24"/>
        </w:rPr>
        <w:t xml:space="preserve">Мутациите са най-често повтарящи се екстремно триплети цитозин-аденин-гуанин (CAG), установени при </w:t>
      </w:r>
      <w:hyperlink r:id="rId113" w:anchor="sca1#sca1" w:history="1">
        <w:r w:rsidRPr="00AE47C6">
          <w:rPr>
            <w:rFonts w:ascii="Times New Roman" w:eastAsia="SimSun" w:hAnsi="Times New Roman"/>
            <w:sz w:val="24"/>
            <w:szCs w:val="24"/>
          </w:rPr>
          <w:t>SCA1</w:t>
        </w:r>
      </w:hyperlink>
      <w:r w:rsidRPr="00AE47C6">
        <w:rPr>
          <w:rFonts w:ascii="Times New Roman" w:eastAsia="SimSun" w:hAnsi="Times New Roman"/>
          <w:sz w:val="24"/>
          <w:szCs w:val="24"/>
        </w:rPr>
        <w:t xml:space="preserve">, 2, </w:t>
      </w:r>
      <w:hyperlink r:id="rId114" w:anchor="mjd#mjd" w:history="1">
        <w:r w:rsidRPr="00AE47C6">
          <w:rPr>
            <w:rFonts w:ascii="Times New Roman" w:eastAsia="SimSun" w:hAnsi="Times New Roman"/>
            <w:sz w:val="24"/>
            <w:szCs w:val="24"/>
          </w:rPr>
          <w:t>3</w:t>
        </w:r>
      </w:hyperlink>
      <w:r w:rsidRPr="00AE47C6">
        <w:rPr>
          <w:rFonts w:ascii="Times New Roman" w:eastAsia="SimSun" w:hAnsi="Times New Roman"/>
          <w:sz w:val="24"/>
          <w:szCs w:val="24"/>
        </w:rPr>
        <w:t xml:space="preserve">, 6, 7, 17 и </w:t>
      </w:r>
      <w:hyperlink r:id="rId115" w:anchor="drpla#drpla" w:history="1">
        <w:r w:rsidRPr="00AE47C6">
          <w:rPr>
            <w:rFonts w:ascii="Times New Roman" w:eastAsia="SimSun" w:hAnsi="Times New Roman"/>
            <w:sz w:val="24"/>
            <w:szCs w:val="24"/>
          </w:rPr>
          <w:t>DRPLA</w:t>
        </w:r>
      </w:hyperlink>
      <w:r w:rsidRPr="00AE47C6">
        <w:rPr>
          <w:rFonts w:ascii="Times New Roman" w:eastAsia="SimSun" w:hAnsi="Times New Roman"/>
          <w:sz w:val="24"/>
          <w:szCs w:val="24"/>
        </w:rPr>
        <w:t>. Налице са и други мутации: β-III Spectrin (</w:t>
      </w:r>
      <w:hyperlink r:id="rId116" w:anchor="5#5" w:history="1">
        <w:r w:rsidRPr="00AE47C6">
          <w:rPr>
            <w:rFonts w:ascii="Times New Roman" w:eastAsia="SimSun" w:hAnsi="Times New Roman"/>
            <w:sz w:val="24"/>
            <w:szCs w:val="24"/>
          </w:rPr>
          <w:t>SCA 5</w:t>
        </w:r>
      </w:hyperlink>
      <w:r w:rsidRPr="00AE47C6">
        <w:rPr>
          <w:rFonts w:ascii="Times New Roman" w:eastAsia="SimSun" w:hAnsi="Times New Roman"/>
          <w:sz w:val="24"/>
          <w:szCs w:val="24"/>
        </w:rPr>
        <w:t>), TTBK2 (SCA11), PPP2R2B (</w:t>
      </w:r>
      <w:hyperlink r:id="rId117" w:anchor="sca12#sca12" w:history="1">
        <w:r w:rsidRPr="00AE47C6">
          <w:rPr>
            <w:rFonts w:ascii="Times New Roman" w:eastAsia="SimSun" w:hAnsi="Times New Roman"/>
            <w:sz w:val="24"/>
            <w:szCs w:val="24"/>
          </w:rPr>
          <w:t>SCA 12</w:t>
        </w:r>
      </w:hyperlink>
      <w:r w:rsidRPr="00AE47C6">
        <w:rPr>
          <w:rFonts w:ascii="Times New Roman" w:eastAsia="SimSun" w:hAnsi="Times New Roman"/>
          <w:sz w:val="24"/>
          <w:szCs w:val="24"/>
        </w:rPr>
        <w:t>), ITPR1 (</w:t>
      </w:r>
      <w:hyperlink r:id="rId118" w:anchor="sca15#sca15" w:history="1">
        <w:r w:rsidRPr="00AE47C6">
          <w:rPr>
            <w:rFonts w:ascii="Times New Roman" w:eastAsia="SimSun" w:hAnsi="Times New Roman"/>
            <w:sz w:val="24"/>
            <w:szCs w:val="24"/>
          </w:rPr>
          <w:t>SCA 15</w:t>
        </w:r>
      </w:hyperlink>
      <w:r w:rsidRPr="00AE47C6">
        <w:rPr>
          <w:rFonts w:ascii="Times New Roman" w:eastAsia="SimSun" w:hAnsi="Times New Roman"/>
          <w:sz w:val="24"/>
          <w:szCs w:val="24"/>
        </w:rPr>
        <w:t xml:space="preserve"> и </w:t>
      </w:r>
      <w:hyperlink r:id="rId119" w:anchor="sca16#sca16" w:history="1">
        <w:r w:rsidRPr="00AE47C6">
          <w:rPr>
            <w:rFonts w:ascii="Times New Roman" w:eastAsia="SimSun" w:hAnsi="Times New Roman"/>
            <w:sz w:val="24"/>
            <w:szCs w:val="24"/>
          </w:rPr>
          <w:t>16</w:t>
        </w:r>
      </w:hyperlink>
      <w:r w:rsidRPr="00AE47C6">
        <w:rPr>
          <w:rFonts w:ascii="Times New Roman" w:eastAsia="SimSun" w:hAnsi="Times New Roman"/>
          <w:sz w:val="24"/>
          <w:szCs w:val="24"/>
        </w:rPr>
        <w:t>), PDYN (</w:t>
      </w:r>
      <w:hyperlink r:id="rId120" w:anchor="sca23#sca23" w:history="1">
        <w:r w:rsidRPr="00AE47C6">
          <w:rPr>
            <w:rFonts w:ascii="Times New Roman" w:eastAsia="SimSun" w:hAnsi="Times New Roman"/>
            <w:sz w:val="24"/>
            <w:szCs w:val="24"/>
          </w:rPr>
          <w:t>SCA 23</w:t>
        </w:r>
      </w:hyperlink>
      <w:r w:rsidRPr="00AE47C6">
        <w:rPr>
          <w:rFonts w:ascii="Times New Roman" w:eastAsia="SimSun" w:hAnsi="Times New Roman"/>
          <w:sz w:val="24"/>
          <w:szCs w:val="24"/>
        </w:rPr>
        <w:t>), FGF14 (</w:t>
      </w:r>
      <w:hyperlink r:id="rId121" w:anchor="scafgf14#scafgf14" w:history="1">
        <w:r w:rsidRPr="00AE47C6">
          <w:rPr>
            <w:rFonts w:ascii="Times New Roman" w:eastAsia="SimSun" w:hAnsi="Times New Roman"/>
            <w:sz w:val="24"/>
            <w:szCs w:val="24"/>
          </w:rPr>
          <w:t>SCA 27</w:t>
        </w:r>
      </w:hyperlink>
      <w:r w:rsidRPr="00AE47C6">
        <w:rPr>
          <w:rFonts w:ascii="Times New Roman" w:eastAsia="SimSun" w:hAnsi="Times New Roman"/>
          <w:sz w:val="24"/>
          <w:szCs w:val="24"/>
        </w:rPr>
        <w:t>); каналопатии на Ca</w:t>
      </w:r>
      <w:r w:rsidRPr="00AE47C6">
        <w:rPr>
          <w:rFonts w:ascii="Times New Roman" w:eastAsia="SimSun" w:hAnsi="Times New Roman"/>
          <w:sz w:val="24"/>
          <w:szCs w:val="24"/>
          <w:vertAlign w:val="superscript"/>
        </w:rPr>
        <w:t>2+</w:t>
      </w:r>
      <w:r w:rsidRPr="00AE47C6">
        <w:rPr>
          <w:rFonts w:ascii="Times New Roman" w:eastAsia="SimSun" w:hAnsi="Times New Roman"/>
          <w:sz w:val="24"/>
          <w:szCs w:val="24"/>
        </w:rPr>
        <w:t xml:space="preserve"> волтажно-зависими йонните канали (CACNA1A/Cav2.1 при SCA6 и ЕА2, CACNB4/Cav2.1 при ED5), на К</w:t>
      </w:r>
      <w:r w:rsidRPr="00AE47C6">
        <w:rPr>
          <w:rFonts w:ascii="Times New Roman" w:eastAsia="SimSun" w:hAnsi="Times New Roman"/>
          <w:sz w:val="24"/>
          <w:szCs w:val="24"/>
          <w:vertAlign w:val="superscript"/>
        </w:rPr>
        <w:t>+</w:t>
      </w:r>
      <w:r w:rsidRPr="00AE47C6">
        <w:rPr>
          <w:rFonts w:ascii="Times New Roman" w:eastAsia="SimSun" w:hAnsi="Times New Roman"/>
          <w:sz w:val="24"/>
          <w:szCs w:val="24"/>
        </w:rPr>
        <w:t xml:space="preserve">  канали (/Kv1.1 при </w:t>
      </w:r>
      <w:hyperlink r:id="rId122" w:anchor="ea#ea" w:history="1">
        <w:r w:rsidRPr="00AE47C6">
          <w:rPr>
            <w:rFonts w:ascii="Times New Roman" w:eastAsia="SimSun" w:hAnsi="Times New Roman"/>
            <w:sz w:val="24"/>
            <w:szCs w:val="24"/>
          </w:rPr>
          <w:t>EA 1</w:t>
        </w:r>
      </w:hyperlink>
      <w:r w:rsidRPr="00AE47C6">
        <w:rPr>
          <w:rFonts w:ascii="Times New Roman" w:eastAsia="SimSun" w:hAnsi="Times New Roman"/>
          <w:sz w:val="24"/>
          <w:szCs w:val="24"/>
        </w:rPr>
        <w:t xml:space="preserve"> и KCNC3/Kv3.3 при SCA13), Na</w:t>
      </w:r>
      <w:r w:rsidRPr="00AE47C6">
        <w:rPr>
          <w:rFonts w:ascii="Times New Roman" w:eastAsia="SimSun" w:hAnsi="Times New Roman"/>
          <w:sz w:val="24"/>
          <w:szCs w:val="24"/>
          <w:vertAlign w:val="superscript"/>
        </w:rPr>
        <w:t>+</w:t>
      </w:r>
      <w:r w:rsidRPr="00AE47C6">
        <w:rPr>
          <w:rFonts w:ascii="Times New Roman" w:eastAsia="SimSun" w:hAnsi="Times New Roman"/>
          <w:sz w:val="24"/>
          <w:szCs w:val="24"/>
        </w:rPr>
        <w:t xml:space="preserve"> канали (SCN1A при SMEI), глутаматните рецептори (</w:t>
      </w:r>
      <w:hyperlink r:id="rId123" w:anchor="5#5" w:history="1">
        <w:r w:rsidRPr="00AE47C6">
          <w:rPr>
            <w:rFonts w:ascii="Times New Roman" w:eastAsia="SimSun" w:hAnsi="Times New Roman"/>
            <w:sz w:val="24"/>
            <w:szCs w:val="24"/>
          </w:rPr>
          <w:t>SCA5</w:t>
        </w:r>
      </w:hyperlink>
      <w:r w:rsidRPr="00AE47C6">
        <w:rPr>
          <w:rFonts w:ascii="Times New Roman" w:eastAsia="SimSun" w:hAnsi="Times New Roman"/>
          <w:sz w:val="24"/>
          <w:szCs w:val="24"/>
        </w:rPr>
        <w:t xml:space="preserve">, </w:t>
      </w:r>
      <w:hyperlink r:id="rId124" w:anchor="drpla#drpla" w:history="1">
        <w:r w:rsidRPr="00AE47C6">
          <w:rPr>
            <w:rFonts w:ascii="Times New Roman" w:eastAsia="SimSun" w:hAnsi="Times New Roman"/>
            <w:sz w:val="24"/>
            <w:szCs w:val="24"/>
          </w:rPr>
          <w:t>DRPLA</w:t>
        </w:r>
      </w:hyperlink>
      <w:r w:rsidRPr="00AE47C6">
        <w:rPr>
          <w:rFonts w:ascii="Times New Roman" w:eastAsia="SimSun" w:hAnsi="Times New Roman"/>
          <w:sz w:val="24"/>
          <w:szCs w:val="24"/>
        </w:rPr>
        <w:t xml:space="preserve"> и </w:t>
      </w:r>
      <w:hyperlink r:id="rId125" w:anchor="ea6#ea6" w:history="1">
        <w:r w:rsidRPr="00AE47C6">
          <w:rPr>
            <w:rFonts w:ascii="Times New Roman" w:eastAsia="SimSun" w:hAnsi="Times New Roman"/>
            <w:sz w:val="24"/>
            <w:szCs w:val="24"/>
          </w:rPr>
          <w:t>EA 6</w:t>
        </w:r>
      </w:hyperlink>
      <w:r w:rsidRPr="00AE47C6">
        <w:rPr>
          <w:rFonts w:ascii="Times New Roman" w:eastAsia="SimSun" w:hAnsi="Times New Roman"/>
          <w:sz w:val="24"/>
          <w:szCs w:val="24"/>
        </w:rPr>
        <w:t>), точкови мутации. За АD SCA e характерна антиципацията.</w:t>
      </w:r>
    </w:p>
    <w:p w14:paraId="26DF781A" w14:textId="77777777" w:rsidR="00AA547F" w:rsidRPr="00AE47C6" w:rsidRDefault="00AA547F" w:rsidP="00BE0B19">
      <w:pPr>
        <w:spacing w:after="0" w:line="360" w:lineRule="auto"/>
        <w:jc w:val="both"/>
        <w:rPr>
          <w:rFonts w:ascii="Times New Roman" w:eastAsia="SimSun" w:hAnsi="Times New Roman"/>
          <w:sz w:val="24"/>
          <w:szCs w:val="24"/>
        </w:rPr>
      </w:pPr>
    </w:p>
    <w:p w14:paraId="74A5C7EC" w14:textId="77777777" w:rsidR="00AA547F" w:rsidRPr="00AE47C6" w:rsidRDefault="00AA547F" w:rsidP="00BE0B19">
      <w:pPr>
        <w:spacing w:after="0" w:line="360" w:lineRule="auto"/>
        <w:jc w:val="both"/>
        <w:rPr>
          <w:rFonts w:ascii="Times New Roman" w:eastAsia="SimSun" w:hAnsi="Times New Roman"/>
          <w:sz w:val="24"/>
          <w:szCs w:val="24"/>
        </w:rPr>
      </w:pPr>
    </w:p>
    <w:p w14:paraId="5E78DC69" w14:textId="77777777" w:rsidR="00AA547F" w:rsidRPr="00AE47C6" w:rsidRDefault="00AA547F" w:rsidP="00BE0B19">
      <w:pPr>
        <w:spacing w:after="0" w:line="360" w:lineRule="auto"/>
        <w:jc w:val="both"/>
        <w:rPr>
          <w:rFonts w:ascii="Times New Roman" w:eastAsia="SimSun" w:hAnsi="Times New Roman"/>
          <w:b/>
          <w:sz w:val="24"/>
          <w:szCs w:val="24"/>
        </w:rPr>
      </w:pPr>
    </w:p>
    <w:p w14:paraId="3E0931F6" w14:textId="77777777" w:rsidR="00AA547F" w:rsidRPr="00AE47C6" w:rsidRDefault="00AA547F" w:rsidP="00BE0B19">
      <w:pPr>
        <w:spacing w:after="0" w:line="360" w:lineRule="auto"/>
        <w:jc w:val="both"/>
        <w:rPr>
          <w:rFonts w:ascii="Times New Roman" w:eastAsia="SimSun" w:hAnsi="Times New Roman"/>
          <w:b/>
          <w:sz w:val="24"/>
          <w:szCs w:val="24"/>
        </w:rPr>
      </w:pPr>
    </w:p>
    <w:p w14:paraId="696545ED" w14:textId="77777777" w:rsidR="00AA547F" w:rsidRPr="00AE47C6" w:rsidRDefault="00AA547F" w:rsidP="00BE0B19">
      <w:pPr>
        <w:spacing w:after="0" w:line="360" w:lineRule="auto"/>
        <w:jc w:val="both"/>
        <w:rPr>
          <w:rFonts w:ascii="Times New Roman" w:eastAsia="SimSun" w:hAnsi="Times New Roman"/>
          <w:b/>
          <w:sz w:val="24"/>
          <w:szCs w:val="24"/>
        </w:rPr>
      </w:pPr>
    </w:p>
    <w:p w14:paraId="6036EA85" w14:textId="01CE7B85"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Табл.5.19. АД Спиноцеребеларни атаксии - гени/локуси, мутация, клинична характеристика </w:t>
      </w:r>
      <w:r w:rsidRPr="00AE47C6">
        <w:rPr>
          <w:rFonts w:ascii="Times New Roman" w:eastAsia="SimSun" w:hAnsi="Times New Roman"/>
          <w:sz w:val="24"/>
          <w:szCs w:val="24"/>
        </w:rPr>
        <w:t>(локусът се описва при неизвестен ген)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2378"/>
        <w:gridCol w:w="2118"/>
        <w:gridCol w:w="3420"/>
        <w:gridCol w:w="1144"/>
      </w:tblGrid>
      <w:tr w:rsidR="00BE0B19" w:rsidRPr="00AE47C6" w14:paraId="1AFA3EEB" w14:textId="77777777" w:rsidTr="00AD72E5">
        <w:trPr>
          <w:trHeight w:val="45"/>
          <w:tblHeader/>
          <w:jc w:val="center"/>
        </w:trPr>
        <w:tc>
          <w:tcPr>
            <w:tcW w:w="2307" w:type="dxa"/>
            <w:vAlign w:val="center"/>
          </w:tcPr>
          <w:p w14:paraId="35CFCE0D"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 тип</w:t>
            </w:r>
          </w:p>
        </w:tc>
        <w:tc>
          <w:tcPr>
            <w:tcW w:w="1799" w:type="dxa"/>
            <w:vAlign w:val="center"/>
          </w:tcPr>
          <w:p w14:paraId="0020AB7B"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 xml:space="preserve">Ген/Локус/протеин </w:t>
            </w:r>
          </w:p>
        </w:tc>
        <w:tc>
          <w:tcPr>
            <w:tcW w:w="3801" w:type="dxa"/>
          </w:tcPr>
          <w:p w14:paraId="005F5099"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Клиника</w:t>
            </w:r>
          </w:p>
        </w:tc>
        <w:tc>
          <w:tcPr>
            <w:tcW w:w="1155" w:type="dxa"/>
          </w:tcPr>
          <w:p w14:paraId="63A3B8ED"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Възраст в началото (г.)</w:t>
            </w:r>
          </w:p>
        </w:tc>
      </w:tr>
      <w:tr w:rsidR="00BE0B19" w:rsidRPr="00AE47C6" w14:paraId="52DF8009" w14:textId="77777777" w:rsidTr="00AD72E5">
        <w:trPr>
          <w:jc w:val="center"/>
        </w:trPr>
        <w:tc>
          <w:tcPr>
            <w:tcW w:w="2307" w:type="dxa"/>
            <w:vAlign w:val="center"/>
          </w:tcPr>
          <w:p w14:paraId="0D4C81A2"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SCA1</w:t>
            </w:r>
          </w:p>
          <w:p w14:paraId="4B15E989"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sz w:val="24"/>
                <w:szCs w:val="24"/>
              </w:rPr>
              <w:t>(OPCA)</w:t>
            </w:r>
          </w:p>
        </w:tc>
        <w:tc>
          <w:tcPr>
            <w:tcW w:w="1799" w:type="dxa"/>
            <w:vAlign w:val="center"/>
          </w:tcPr>
          <w:p w14:paraId="22AD03C3"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sz w:val="24"/>
                <w:szCs w:val="24"/>
              </w:rPr>
              <w:t>ATXN1</w:t>
            </w:r>
            <w:r w:rsidRPr="00AE47C6">
              <w:rPr>
                <w:rFonts w:ascii="Times New Roman" w:eastAsia="SimSun" w:hAnsi="Times New Roman"/>
                <w:sz w:val="24"/>
                <w:szCs w:val="24"/>
              </w:rPr>
              <w:t>,  CAG повтаряне, Ataxin 1</w:t>
            </w:r>
          </w:p>
        </w:tc>
        <w:tc>
          <w:tcPr>
            <w:tcW w:w="3801" w:type="dxa"/>
          </w:tcPr>
          <w:p w14:paraId="62762542"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Пирамидна увреда, нистагъм, бавни сакади, полиневропатия, деменция, офталмопареза</w:t>
            </w:r>
          </w:p>
        </w:tc>
        <w:tc>
          <w:tcPr>
            <w:tcW w:w="1155" w:type="dxa"/>
          </w:tcPr>
          <w:p w14:paraId="69803183"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4-74</w:t>
            </w:r>
          </w:p>
          <w:p w14:paraId="75F854F0" w14:textId="77777777" w:rsidR="00BE0B19" w:rsidRPr="00AE47C6" w:rsidRDefault="00BE0B19" w:rsidP="00BE0B19">
            <w:pPr>
              <w:spacing w:after="0" w:line="360" w:lineRule="auto"/>
              <w:rPr>
                <w:rFonts w:ascii="Times New Roman" w:eastAsia="SimSun" w:hAnsi="Times New Roman"/>
                <w:sz w:val="24"/>
                <w:szCs w:val="24"/>
              </w:rPr>
            </w:pPr>
          </w:p>
        </w:tc>
      </w:tr>
      <w:tr w:rsidR="00BE0B19" w:rsidRPr="00AE47C6" w14:paraId="063BAC28" w14:textId="77777777" w:rsidTr="00AD72E5">
        <w:trPr>
          <w:jc w:val="center"/>
        </w:trPr>
        <w:tc>
          <w:tcPr>
            <w:tcW w:w="2307" w:type="dxa"/>
            <w:vAlign w:val="center"/>
          </w:tcPr>
          <w:p w14:paraId="633FB50E"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SCA2</w:t>
            </w:r>
          </w:p>
        </w:tc>
        <w:tc>
          <w:tcPr>
            <w:tcW w:w="1799" w:type="dxa"/>
            <w:vAlign w:val="center"/>
          </w:tcPr>
          <w:p w14:paraId="1E11C77C"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sz w:val="24"/>
                <w:szCs w:val="24"/>
              </w:rPr>
              <w:t>ATXN2</w:t>
            </w:r>
            <w:r w:rsidRPr="00AE47C6">
              <w:rPr>
                <w:rFonts w:ascii="Times New Roman" w:eastAsia="SimSun" w:hAnsi="Times New Roman"/>
                <w:sz w:val="24"/>
                <w:szCs w:val="24"/>
              </w:rPr>
              <w:t>, CAG повтаряне, Ataxin 2</w:t>
            </w:r>
          </w:p>
        </w:tc>
        <w:tc>
          <w:tcPr>
            <w:tcW w:w="3801" w:type="dxa"/>
          </w:tcPr>
          <w:p w14:paraId="2B1E9B04"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Бавни сакади, паркинсонизъм, полиневропатия, миоклонус, деменция, офталмопареза</w:t>
            </w:r>
          </w:p>
        </w:tc>
        <w:tc>
          <w:tcPr>
            <w:tcW w:w="1155" w:type="dxa"/>
          </w:tcPr>
          <w:p w14:paraId="502DC06B"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6-67</w:t>
            </w:r>
          </w:p>
        </w:tc>
      </w:tr>
      <w:tr w:rsidR="00BE0B19" w:rsidRPr="00AE47C6" w14:paraId="3D2B3343" w14:textId="77777777" w:rsidTr="00AD72E5">
        <w:trPr>
          <w:jc w:val="center"/>
        </w:trPr>
        <w:tc>
          <w:tcPr>
            <w:tcW w:w="2307" w:type="dxa"/>
            <w:vAlign w:val="center"/>
          </w:tcPr>
          <w:p w14:paraId="3A48217F"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SCA3</w:t>
            </w:r>
          </w:p>
          <w:p w14:paraId="7C39C9FE"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sz w:val="24"/>
                <w:szCs w:val="24"/>
              </w:rPr>
              <w:t>(болест на Machado-Joseph)</w:t>
            </w:r>
          </w:p>
        </w:tc>
        <w:tc>
          <w:tcPr>
            <w:tcW w:w="1799" w:type="dxa"/>
            <w:vAlign w:val="center"/>
          </w:tcPr>
          <w:p w14:paraId="500712B4"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sz w:val="24"/>
                <w:szCs w:val="24"/>
              </w:rPr>
              <w:t>ATXN3</w:t>
            </w:r>
            <w:r w:rsidRPr="00AE47C6">
              <w:rPr>
                <w:rFonts w:ascii="Times New Roman" w:eastAsia="SimSun" w:hAnsi="Times New Roman"/>
                <w:sz w:val="24"/>
                <w:szCs w:val="24"/>
              </w:rPr>
              <w:t>, CAG повтаряне, Ataxin 3</w:t>
            </w:r>
          </w:p>
        </w:tc>
        <w:tc>
          <w:tcPr>
            <w:tcW w:w="3801" w:type="dxa"/>
          </w:tcPr>
          <w:p w14:paraId="3A655FED"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Екстрапирамиден синдром, спастицитет, нистагъм, офталмопареза, полиневропатия </w:t>
            </w:r>
          </w:p>
        </w:tc>
        <w:tc>
          <w:tcPr>
            <w:tcW w:w="1155" w:type="dxa"/>
          </w:tcPr>
          <w:p w14:paraId="5E1DED73"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5-65</w:t>
            </w:r>
          </w:p>
        </w:tc>
      </w:tr>
      <w:tr w:rsidR="00BE0B19" w:rsidRPr="00AE47C6" w14:paraId="0ABA597B" w14:textId="77777777" w:rsidTr="00AD72E5">
        <w:trPr>
          <w:trHeight w:val="972"/>
          <w:jc w:val="center"/>
        </w:trPr>
        <w:tc>
          <w:tcPr>
            <w:tcW w:w="2307" w:type="dxa"/>
            <w:vAlign w:val="center"/>
          </w:tcPr>
          <w:p w14:paraId="3D5A6D0D"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SCA4</w:t>
            </w:r>
          </w:p>
        </w:tc>
        <w:tc>
          <w:tcPr>
            <w:tcW w:w="1799" w:type="dxa"/>
            <w:vAlign w:val="center"/>
          </w:tcPr>
          <w:p w14:paraId="51167226"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 16q22.1 / точкова мутация, Puratrophin-1</w:t>
            </w:r>
          </w:p>
        </w:tc>
        <w:tc>
          <w:tcPr>
            <w:tcW w:w="3801" w:type="dxa"/>
          </w:tcPr>
          <w:p w14:paraId="65260141"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Чист церебеларен синдром или и аксонна сензорна невропатия, глухота </w:t>
            </w:r>
          </w:p>
        </w:tc>
        <w:tc>
          <w:tcPr>
            <w:tcW w:w="1155" w:type="dxa"/>
          </w:tcPr>
          <w:p w14:paraId="7E0B1890"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19-72</w:t>
            </w:r>
          </w:p>
        </w:tc>
      </w:tr>
      <w:tr w:rsidR="00BE0B19" w:rsidRPr="00AE47C6" w14:paraId="0EDBD1E5" w14:textId="77777777" w:rsidTr="00AD72E5">
        <w:trPr>
          <w:jc w:val="center"/>
        </w:trPr>
        <w:tc>
          <w:tcPr>
            <w:tcW w:w="2307" w:type="dxa"/>
            <w:vAlign w:val="center"/>
          </w:tcPr>
          <w:p w14:paraId="2A077F41"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SCA5</w:t>
            </w:r>
          </w:p>
        </w:tc>
        <w:tc>
          <w:tcPr>
            <w:tcW w:w="1799" w:type="dxa"/>
            <w:vAlign w:val="center"/>
          </w:tcPr>
          <w:p w14:paraId="7CA9A399"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sz w:val="24"/>
                <w:szCs w:val="24"/>
              </w:rPr>
              <w:t>SPTBN2</w:t>
            </w:r>
            <w:r w:rsidRPr="00AE47C6">
              <w:rPr>
                <w:rFonts w:ascii="Times New Roman" w:eastAsia="SimSun" w:hAnsi="Times New Roman"/>
                <w:sz w:val="24"/>
                <w:szCs w:val="24"/>
              </w:rPr>
              <w:t>, Beta-III spectrin</w:t>
            </w:r>
          </w:p>
        </w:tc>
        <w:tc>
          <w:tcPr>
            <w:tcW w:w="3801" w:type="dxa"/>
          </w:tcPr>
          <w:p w14:paraId="12F60D43"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Чист церебеларен синдром, нистагъм, бавна прогресия</w:t>
            </w:r>
          </w:p>
        </w:tc>
        <w:tc>
          <w:tcPr>
            <w:tcW w:w="1155" w:type="dxa"/>
          </w:tcPr>
          <w:p w14:paraId="04676D61"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15-50</w:t>
            </w:r>
          </w:p>
        </w:tc>
      </w:tr>
      <w:tr w:rsidR="00BE0B19" w:rsidRPr="00AE47C6" w14:paraId="5CD5DF31" w14:textId="77777777" w:rsidTr="00AD72E5">
        <w:trPr>
          <w:trHeight w:val="924"/>
          <w:jc w:val="center"/>
        </w:trPr>
        <w:tc>
          <w:tcPr>
            <w:tcW w:w="2307" w:type="dxa"/>
            <w:vAlign w:val="center"/>
          </w:tcPr>
          <w:p w14:paraId="221005C0"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SCA6</w:t>
            </w:r>
          </w:p>
        </w:tc>
        <w:tc>
          <w:tcPr>
            <w:tcW w:w="1799" w:type="dxa"/>
            <w:vAlign w:val="center"/>
          </w:tcPr>
          <w:p w14:paraId="5BB95C22"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sz w:val="24"/>
                <w:szCs w:val="24"/>
              </w:rPr>
              <w:t>CACNAIA</w:t>
            </w:r>
            <w:r w:rsidRPr="00AE47C6">
              <w:rPr>
                <w:rFonts w:ascii="Times New Roman" w:eastAsia="SimSun" w:hAnsi="Times New Roman"/>
                <w:sz w:val="24"/>
                <w:szCs w:val="24"/>
              </w:rPr>
              <w:t>, CAG повтаряне</w:t>
            </w:r>
          </w:p>
        </w:tc>
        <w:tc>
          <w:tcPr>
            <w:tcW w:w="3801" w:type="dxa"/>
          </w:tcPr>
          <w:p w14:paraId="711065D5"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Чист церебеларен синдром, бавна прогресия, алел с EA2 (епизодична атаксия) и фамилната хемиплегична мигрена</w:t>
            </w:r>
          </w:p>
        </w:tc>
        <w:tc>
          <w:tcPr>
            <w:tcW w:w="1155" w:type="dxa"/>
          </w:tcPr>
          <w:p w14:paraId="1D1F8249"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19-77</w:t>
            </w:r>
          </w:p>
        </w:tc>
      </w:tr>
      <w:tr w:rsidR="00BE0B19" w:rsidRPr="00AE47C6" w14:paraId="0717EC96" w14:textId="77777777" w:rsidTr="00AD72E5">
        <w:trPr>
          <w:jc w:val="center"/>
        </w:trPr>
        <w:tc>
          <w:tcPr>
            <w:tcW w:w="2307" w:type="dxa"/>
            <w:vAlign w:val="center"/>
          </w:tcPr>
          <w:p w14:paraId="13E04F3E"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SCA7</w:t>
            </w:r>
          </w:p>
        </w:tc>
        <w:tc>
          <w:tcPr>
            <w:tcW w:w="1799" w:type="dxa"/>
            <w:vAlign w:val="center"/>
          </w:tcPr>
          <w:p w14:paraId="1F4CBB57"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sz w:val="24"/>
                <w:szCs w:val="24"/>
              </w:rPr>
              <w:t>ATXN7</w:t>
            </w:r>
            <w:r w:rsidRPr="00AE47C6">
              <w:rPr>
                <w:rFonts w:ascii="Times New Roman" w:eastAsia="SimSun" w:hAnsi="Times New Roman"/>
                <w:sz w:val="24"/>
                <w:szCs w:val="24"/>
              </w:rPr>
              <w:t>, CAG повтаряне - Ataxin 7</w:t>
            </w:r>
          </w:p>
        </w:tc>
        <w:tc>
          <w:tcPr>
            <w:tcW w:w="3801" w:type="dxa"/>
          </w:tcPr>
          <w:p w14:paraId="5DBBCCD3"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Пигментна ретинопатия, офталмоплегия, глухота, пирамидна увреда</w:t>
            </w:r>
          </w:p>
        </w:tc>
        <w:tc>
          <w:tcPr>
            <w:tcW w:w="1155" w:type="dxa"/>
          </w:tcPr>
          <w:p w14:paraId="08AD9ACA"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0.1-76</w:t>
            </w:r>
          </w:p>
        </w:tc>
      </w:tr>
      <w:tr w:rsidR="00BE0B19" w:rsidRPr="00AE47C6" w14:paraId="7DB4D564" w14:textId="77777777" w:rsidTr="00AD72E5">
        <w:trPr>
          <w:jc w:val="center"/>
        </w:trPr>
        <w:tc>
          <w:tcPr>
            <w:tcW w:w="2307" w:type="dxa"/>
            <w:vAlign w:val="center"/>
          </w:tcPr>
          <w:p w14:paraId="3BDBE89F"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SCA8</w:t>
            </w:r>
          </w:p>
        </w:tc>
        <w:tc>
          <w:tcPr>
            <w:tcW w:w="1799" w:type="dxa"/>
            <w:vAlign w:val="center"/>
          </w:tcPr>
          <w:p w14:paraId="7E77E317"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sz w:val="24"/>
                <w:szCs w:val="24"/>
              </w:rPr>
              <w:t>KLHL1AS</w:t>
            </w:r>
            <w:r w:rsidRPr="00AE47C6">
              <w:rPr>
                <w:rFonts w:ascii="Times New Roman" w:eastAsia="SimSun" w:hAnsi="Times New Roman"/>
                <w:sz w:val="24"/>
                <w:szCs w:val="24"/>
              </w:rPr>
              <w:t>, CTG повтаряне, Kelch-like 1</w:t>
            </w:r>
          </w:p>
        </w:tc>
        <w:tc>
          <w:tcPr>
            <w:tcW w:w="3801" w:type="dxa"/>
          </w:tcPr>
          <w:p w14:paraId="584FE68F"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Сензорна невропатия с бавна прогресия, понякога когнитивен регрес</w:t>
            </w:r>
          </w:p>
        </w:tc>
        <w:tc>
          <w:tcPr>
            <w:tcW w:w="1155" w:type="dxa"/>
          </w:tcPr>
          <w:p w14:paraId="0C4CE9DF"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0-70</w:t>
            </w:r>
          </w:p>
        </w:tc>
      </w:tr>
      <w:tr w:rsidR="00BE0B19" w:rsidRPr="00AE47C6" w14:paraId="33FF8292" w14:textId="77777777" w:rsidTr="00AD72E5">
        <w:trPr>
          <w:jc w:val="center"/>
        </w:trPr>
        <w:tc>
          <w:tcPr>
            <w:tcW w:w="2307" w:type="dxa"/>
            <w:vAlign w:val="center"/>
          </w:tcPr>
          <w:p w14:paraId="1D6B652D"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SCA9</w:t>
            </w:r>
          </w:p>
        </w:tc>
        <w:tc>
          <w:tcPr>
            <w:tcW w:w="1799" w:type="dxa"/>
            <w:vAlign w:val="center"/>
          </w:tcPr>
          <w:p w14:paraId="3C152EF6" w14:textId="77777777" w:rsidR="00BE0B19" w:rsidRPr="00AE47C6" w:rsidRDefault="00BE0B19" w:rsidP="00BE0B19">
            <w:pPr>
              <w:spacing w:after="0" w:line="360" w:lineRule="auto"/>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неизвестен</w:t>
            </w:r>
          </w:p>
        </w:tc>
        <w:tc>
          <w:tcPr>
            <w:tcW w:w="3801" w:type="dxa"/>
          </w:tcPr>
          <w:p w14:paraId="13B77560"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Атаксия, офталмоплегия</w:t>
            </w:r>
          </w:p>
        </w:tc>
        <w:tc>
          <w:tcPr>
            <w:tcW w:w="1155" w:type="dxa"/>
          </w:tcPr>
          <w:p w14:paraId="001EADD5" w14:textId="77777777" w:rsidR="00BE0B19" w:rsidRPr="00AE47C6" w:rsidRDefault="00BE0B19" w:rsidP="00BE0B19">
            <w:pPr>
              <w:spacing w:after="0" w:line="360" w:lineRule="auto"/>
              <w:rPr>
                <w:rFonts w:ascii="Times New Roman" w:eastAsia="SimSun" w:hAnsi="Times New Roman"/>
                <w:sz w:val="24"/>
                <w:szCs w:val="24"/>
              </w:rPr>
            </w:pPr>
          </w:p>
        </w:tc>
      </w:tr>
      <w:tr w:rsidR="00BE0B19" w:rsidRPr="00AE47C6" w14:paraId="1918454E" w14:textId="77777777" w:rsidTr="00AD72E5">
        <w:trPr>
          <w:jc w:val="center"/>
        </w:trPr>
        <w:tc>
          <w:tcPr>
            <w:tcW w:w="2307" w:type="dxa"/>
            <w:vAlign w:val="center"/>
          </w:tcPr>
          <w:p w14:paraId="6C40EBBC"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SCA10</w:t>
            </w:r>
          </w:p>
        </w:tc>
        <w:tc>
          <w:tcPr>
            <w:tcW w:w="1799" w:type="dxa"/>
            <w:vAlign w:val="center"/>
          </w:tcPr>
          <w:p w14:paraId="11A08B94"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ATXN10, ATTCT повтаряне, Ataxin 10</w:t>
            </w:r>
          </w:p>
        </w:tc>
        <w:tc>
          <w:tcPr>
            <w:tcW w:w="3801" w:type="dxa"/>
          </w:tcPr>
          <w:p w14:paraId="57175F0B"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Епилептични припадъци, пирамиден и екстрапирамиден , синдром</w:t>
            </w:r>
          </w:p>
        </w:tc>
        <w:tc>
          <w:tcPr>
            <w:tcW w:w="1155" w:type="dxa"/>
          </w:tcPr>
          <w:p w14:paraId="36A5FE44"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10-40</w:t>
            </w:r>
          </w:p>
        </w:tc>
      </w:tr>
      <w:tr w:rsidR="00BE0B19" w:rsidRPr="00AE47C6" w14:paraId="119365BA" w14:textId="77777777" w:rsidTr="00AD72E5">
        <w:trPr>
          <w:jc w:val="center"/>
        </w:trPr>
        <w:tc>
          <w:tcPr>
            <w:tcW w:w="2307" w:type="dxa"/>
            <w:vAlign w:val="center"/>
          </w:tcPr>
          <w:p w14:paraId="53278991"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SCA11</w:t>
            </w:r>
          </w:p>
        </w:tc>
        <w:tc>
          <w:tcPr>
            <w:tcW w:w="1799" w:type="dxa"/>
            <w:vAlign w:val="center"/>
          </w:tcPr>
          <w:p w14:paraId="2ED55D6A"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sz w:val="24"/>
                <w:szCs w:val="24"/>
              </w:rPr>
              <w:t>TTBK2</w:t>
            </w:r>
          </w:p>
        </w:tc>
        <w:tc>
          <w:tcPr>
            <w:tcW w:w="3801" w:type="dxa"/>
          </w:tcPr>
          <w:p w14:paraId="4A6D67E6"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Чист церебеларен синдром, бавна прогресия</w:t>
            </w:r>
          </w:p>
        </w:tc>
        <w:tc>
          <w:tcPr>
            <w:tcW w:w="1155" w:type="dxa"/>
          </w:tcPr>
          <w:p w14:paraId="6237CBD4"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17-33</w:t>
            </w:r>
          </w:p>
        </w:tc>
      </w:tr>
      <w:tr w:rsidR="00BE0B19" w:rsidRPr="00AE47C6" w14:paraId="7384FDCB" w14:textId="77777777" w:rsidTr="00AD72E5">
        <w:trPr>
          <w:jc w:val="center"/>
        </w:trPr>
        <w:tc>
          <w:tcPr>
            <w:tcW w:w="2307" w:type="dxa"/>
            <w:vAlign w:val="center"/>
          </w:tcPr>
          <w:p w14:paraId="5EB23EA6"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SCA12</w:t>
            </w:r>
          </w:p>
        </w:tc>
        <w:tc>
          <w:tcPr>
            <w:tcW w:w="1799" w:type="dxa"/>
            <w:vAlign w:val="center"/>
          </w:tcPr>
          <w:p w14:paraId="771A5B57"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sz w:val="24"/>
                <w:szCs w:val="24"/>
              </w:rPr>
              <w:t>PPP2R2B</w:t>
            </w:r>
            <w:r w:rsidRPr="00AE47C6">
              <w:rPr>
                <w:rFonts w:ascii="Times New Roman" w:eastAsia="SimSun" w:hAnsi="Times New Roman"/>
                <w:sz w:val="24"/>
                <w:szCs w:val="24"/>
              </w:rPr>
              <w:t>, CAG повтаряне</w:t>
            </w:r>
          </w:p>
        </w:tc>
        <w:tc>
          <w:tcPr>
            <w:tcW w:w="3801" w:type="dxa"/>
          </w:tcPr>
          <w:p w14:paraId="492F0E2B"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Тремор на ръцете и главата, паркинсонизъм, хиперрефлексия, деменция, полиневропатия</w:t>
            </w:r>
          </w:p>
        </w:tc>
        <w:tc>
          <w:tcPr>
            <w:tcW w:w="1155" w:type="dxa"/>
          </w:tcPr>
          <w:p w14:paraId="2D3F6150"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8-55</w:t>
            </w:r>
          </w:p>
        </w:tc>
      </w:tr>
      <w:tr w:rsidR="00BE0B19" w:rsidRPr="00AE47C6" w14:paraId="4DA43CBD" w14:textId="77777777" w:rsidTr="00AD72E5">
        <w:trPr>
          <w:jc w:val="center"/>
        </w:trPr>
        <w:tc>
          <w:tcPr>
            <w:tcW w:w="2307" w:type="dxa"/>
            <w:vAlign w:val="center"/>
          </w:tcPr>
          <w:p w14:paraId="50095CBE"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SCA13</w:t>
            </w:r>
          </w:p>
        </w:tc>
        <w:tc>
          <w:tcPr>
            <w:tcW w:w="1799" w:type="dxa"/>
            <w:vAlign w:val="center"/>
          </w:tcPr>
          <w:p w14:paraId="1237B294"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KCNC3</w:t>
            </w:r>
          </w:p>
        </w:tc>
        <w:tc>
          <w:tcPr>
            <w:tcW w:w="3801" w:type="dxa"/>
          </w:tcPr>
          <w:p w14:paraId="7DCA8B2A"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Забавено моторно развитие и умствена изостаналост</w:t>
            </w:r>
          </w:p>
        </w:tc>
        <w:tc>
          <w:tcPr>
            <w:tcW w:w="1155" w:type="dxa"/>
          </w:tcPr>
          <w:p w14:paraId="5E49BB53"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4-60</w:t>
            </w:r>
          </w:p>
        </w:tc>
      </w:tr>
      <w:tr w:rsidR="00BE0B19" w:rsidRPr="00AE47C6" w14:paraId="36DC517A" w14:textId="77777777" w:rsidTr="00AD72E5">
        <w:trPr>
          <w:jc w:val="center"/>
        </w:trPr>
        <w:tc>
          <w:tcPr>
            <w:tcW w:w="2307" w:type="dxa"/>
            <w:vAlign w:val="center"/>
          </w:tcPr>
          <w:p w14:paraId="30BAF37B"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SCA14</w:t>
            </w:r>
          </w:p>
        </w:tc>
        <w:tc>
          <w:tcPr>
            <w:tcW w:w="1799" w:type="dxa"/>
            <w:vAlign w:val="center"/>
          </w:tcPr>
          <w:p w14:paraId="0F1B80D7"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PRKCG </w:t>
            </w:r>
          </w:p>
        </w:tc>
        <w:tc>
          <w:tcPr>
            <w:tcW w:w="3801" w:type="dxa"/>
          </w:tcPr>
          <w:p w14:paraId="2D2A72B3"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Лицева миокимия, ранен миоклонус и фокална дистония, бавна прогресия</w:t>
            </w:r>
          </w:p>
        </w:tc>
        <w:tc>
          <w:tcPr>
            <w:tcW w:w="1155" w:type="dxa"/>
          </w:tcPr>
          <w:p w14:paraId="507F1884"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10-50</w:t>
            </w:r>
          </w:p>
        </w:tc>
      </w:tr>
      <w:tr w:rsidR="00BE0B19" w:rsidRPr="00AE47C6" w14:paraId="27EF2753" w14:textId="77777777" w:rsidTr="00AD72E5">
        <w:trPr>
          <w:jc w:val="center"/>
        </w:trPr>
        <w:tc>
          <w:tcPr>
            <w:tcW w:w="2307" w:type="dxa"/>
            <w:vAlign w:val="center"/>
          </w:tcPr>
          <w:p w14:paraId="3D2E80C6"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SCA15</w:t>
            </w:r>
          </w:p>
        </w:tc>
        <w:tc>
          <w:tcPr>
            <w:tcW w:w="1799" w:type="dxa"/>
            <w:vAlign w:val="center"/>
          </w:tcPr>
          <w:p w14:paraId="3C0F0266"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ITPR1</w:t>
            </w:r>
          </w:p>
        </w:tc>
        <w:tc>
          <w:tcPr>
            <w:tcW w:w="3801" w:type="dxa"/>
          </w:tcPr>
          <w:p w14:paraId="26DBCE0F"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Чист церебеларен синдром с бавна прогресия или и тремор на главата</w:t>
            </w:r>
          </w:p>
        </w:tc>
        <w:tc>
          <w:tcPr>
            <w:tcW w:w="1155" w:type="dxa"/>
          </w:tcPr>
          <w:p w14:paraId="597CE878"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10-66</w:t>
            </w:r>
          </w:p>
        </w:tc>
      </w:tr>
      <w:tr w:rsidR="00BE0B19" w:rsidRPr="00AE47C6" w14:paraId="7484386A" w14:textId="77777777" w:rsidTr="00AD72E5">
        <w:trPr>
          <w:trHeight w:val="438"/>
          <w:jc w:val="center"/>
        </w:trPr>
        <w:tc>
          <w:tcPr>
            <w:tcW w:w="2307" w:type="dxa"/>
            <w:vAlign w:val="center"/>
          </w:tcPr>
          <w:p w14:paraId="1CC46BED"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SCA16</w:t>
            </w:r>
          </w:p>
        </w:tc>
        <w:tc>
          <w:tcPr>
            <w:tcW w:w="1799" w:type="dxa"/>
            <w:vAlign w:val="center"/>
          </w:tcPr>
          <w:p w14:paraId="366D3598"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sz w:val="24"/>
                <w:szCs w:val="24"/>
              </w:rPr>
              <w:t>ITPR1</w:t>
            </w:r>
          </w:p>
        </w:tc>
        <w:tc>
          <w:tcPr>
            <w:tcW w:w="3801" w:type="dxa"/>
          </w:tcPr>
          <w:p w14:paraId="16ADE189"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Чист церебеларен синдром с бавна прогресия или и тремор на главата</w:t>
            </w:r>
          </w:p>
        </w:tc>
        <w:tc>
          <w:tcPr>
            <w:tcW w:w="1155" w:type="dxa"/>
          </w:tcPr>
          <w:p w14:paraId="27B20C07"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10-66</w:t>
            </w:r>
          </w:p>
        </w:tc>
      </w:tr>
      <w:tr w:rsidR="00BE0B19" w:rsidRPr="00AE47C6" w14:paraId="4354EF61" w14:textId="77777777" w:rsidTr="00AD72E5">
        <w:trPr>
          <w:jc w:val="center"/>
        </w:trPr>
        <w:tc>
          <w:tcPr>
            <w:tcW w:w="2307" w:type="dxa"/>
            <w:vAlign w:val="center"/>
          </w:tcPr>
          <w:p w14:paraId="0F752C7A"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SCA17</w:t>
            </w:r>
          </w:p>
        </w:tc>
        <w:tc>
          <w:tcPr>
            <w:tcW w:w="1799" w:type="dxa"/>
            <w:vAlign w:val="center"/>
          </w:tcPr>
          <w:p w14:paraId="1D380270"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TBP/ 6q27</w:t>
            </w:r>
          </w:p>
        </w:tc>
        <w:tc>
          <w:tcPr>
            <w:tcW w:w="3801" w:type="dxa"/>
          </w:tcPr>
          <w:p w14:paraId="08C24C6C"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Деменция, хорея, психоза, поведенчески отклонения, гърчове, пирамиден и екстрапирамиден синдром </w:t>
            </w:r>
          </w:p>
        </w:tc>
        <w:tc>
          <w:tcPr>
            <w:tcW w:w="1155" w:type="dxa"/>
          </w:tcPr>
          <w:p w14:paraId="20FA7486"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10-70</w:t>
            </w:r>
          </w:p>
        </w:tc>
      </w:tr>
      <w:tr w:rsidR="00BE0B19" w:rsidRPr="00AE47C6" w14:paraId="64C53303" w14:textId="77777777" w:rsidTr="00AD72E5">
        <w:trPr>
          <w:jc w:val="center"/>
        </w:trPr>
        <w:tc>
          <w:tcPr>
            <w:tcW w:w="2307" w:type="dxa"/>
            <w:vAlign w:val="center"/>
          </w:tcPr>
          <w:p w14:paraId="2C7026A5"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SCA18</w:t>
            </w:r>
          </w:p>
        </w:tc>
        <w:tc>
          <w:tcPr>
            <w:tcW w:w="1799" w:type="dxa"/>
            <w:vAlign w:val="center"/>
          </w:tcPr>
          <w:p w14:paraId="65874994"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7q31-q32</w:t>
            </w:r>
          </w:p>
        </w:tc>
        <w:tc>
          <w:tcPr>
            <w:tcW w:w="3801" w:type="dxa"/>
          </w:tcPr>
          <w:p w14:paraId="121E911A"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Ранна сензорна/аксонна невропатия</w:t>
            </w:r>
          </w:p>
        </w:tc>
        <w:tc>
          <w:tcPr>
            <w:tcW w:w="1155" w:type="dxa"/>
          </w:tcPr>
          <w:p w14:paraId="39B16039"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10-37</w:t>
            </w:r>
          </w:p>
        </w:tc>
      </w:tr>
      <w:tr w:rsidR="00BE0B19" w:rsidRPr="00AE47C6" w14:paraId="6A487C8C" w14:textId="77777777" w:rsidTr="00AD72E5">
        <w:trPr>
          <w:jc w:val="center"/>
        </w:trPr>
        <w:tc>
          <w:tcPr>
            <w:tcW w:w="2307" w:type="dxa"/>
            <w:vAlign w:val="center"/>
          </w:tcPr>
          <w:p w14:paraId="7C42DECA"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sz w:val="24"/>
                <w:szCs w:val="24"/>
              </w:rPr>
              <w:t>SCA19/22</w:t>
            </w:r>
          </w:p>
        </w:tc>
        <w:tc>
          <w:tcPr>
            <w:tcW w:w="1799" w:type="dxa"/>
            <w:vAlign w:val="center"/>
          </w:tcPr>
          <w:p w14:paraId="2C69F062"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 KCND3</w:t>
            </w:r>
          </w:p>
        </w:tc>
        <w:tc>
          <w:tcPr>
            <w:tcW w:w="3801" w:type="dxa"/>
          </w:tcPr>
          <w:p w14:paraId="7737A2F6" w14:textId="77777777" w:rsidR="00BE0B19" w:rsidRPr="00AE47C6" w:rsidRDefault="00BE0B19" w:rsidP="00BE0B19">
            <w:pPr>
              <w:tabs>
                <w:tab w:val="right" w:pos="3112"/>
              </w:tabs>
              <w:spacing w:after="0" w:line="360" w:lineRule="auto"/>
              <w:rPr>
                <w:rFonts w:ascii="Times New Roman" w:eastAsia="SimSun" w:hAnsi="Times New Roman"/>
                <w:sz w:val="24"/>
                <w:szCs w:val="24"/>
              </w:rPr>
            </w:pPr>
            <w:r w:rsidRPr="00AE47C6">
              <w:rPr>
                <w:rFonts w:ascii="Times New Roman" w:eastAsia="SimSun" w:hAnsi="Times New Roman"/>
                <w:sz w:val="24"/>
                <w:szCs w:val="24"/>
              </w:rPr>
              <w:t>Деменция, миоклонус, хиперрефлексия</w:t>
            </w:r>
            <w:r w:rsidRPr="00AE47C6">
              <w:rPr>
                <w:rFonts w:ascii="Times New Roman" w:eastAsia="SimSun" w:hAnsi="Times New Roman"/>
                <w:sz w:val="24"/>
                <w:szCs w:val="24"/>
              </w:rPr>
              <w:tab/>
            </w:r>
          </w:p>
        </w:tc>
        <w:tc>
          <w:tcPr>
            <w:tcW w:w="1155" w:type="dxa"/>
          </w:tcPr>
          <w:p w14:paraId="2C739C86"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20-45</w:t>
            </w:r>
          </w:p>
        </w:tc>
      </w:tr>
      <w:tr w:rsidR="00BE0B19" w:rsidRPr="00AE47C6" w14:paraId="2DF36D52" w14:textId="77777777" w:rsidTr="00AD72E5">
        <w:trPr>
          <w:jc w:val="center"/>
        </w:trPr>
        <w:tc>
          <w:tcPr>
            <w:tcW w:w="2307" w:type="dxa"/>
            <w:vAlign w:val="center"/>
          </w:tcPr>
          <w:p w14:paraId="79DEE5B7"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SCA20</w:t>
            </w:r>
          </w:p>
        </w:tc>
        <w:tc>
          <w:tcPr>
            <w:tcW w:w="1799" w:type="dxa"/>
            <w:vAlign w:val="center"/>
          </w:tcPr>
          <w:p w14:paraId="771F9C08"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11q12</w:t>
            </w:r>
          </w:p>
        </w:tc>
        <w:tc>
          <w:tcPr>
            <w:tcW w:w="3801" w:type="dxa"/>
          </w:tcPr>
          <w:p w14:paraId="12B1D72B" w14:textId="77777777" w:rsidR="00BE0B19" w:rsidRPr="00AE47C6" w:rsidRDefault="00BE0B19" w:rsidP="00BE0B19">
            <w:pPr>
              <w:tabs>
                <w:tab w:val="left" w:pos="2740"/>
              </w:tabs>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Дистония, брадикинезия, калцификати в nucl. dentatus, тремор </w:t>
            </w:r>
          </w:p>
        </w:tc>
        <w:tc>
          <w:tcPr>
            <w:tcW w:w="1155" w:type="dxa"/>
          </w:tcPr>
          <w:p w14:paraId="4B9854A0"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19-64</w:t>
            </w:r>
          </w:p>
        </w:tc>
      </w:tr>
      <w:tr w:rsidR="00BE0B19" w:rsidRPr="00AE47C6" w14:paraId="138518CB" w14:textId="77777777" w:rsidTr="00AD72E5">
        <w:trPr>
          <w:jc w:val="center"/>
        </w:trPr>
        <w:tc>
          <w:tcPr>
            <w:tcW w:w="2307" w:type="dxa"/>
            <w:vAlign w:val="center"/>
          </w:tcPr>
          <w:p w14:paraId="6EB5AB8B"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SCA21</w:t>
            </w:r>
          </w:p>
        </w:tc>
        <w:tc>
          <w:tcPr>
            <w:tcW w:w="1799" w:type="dxa"/>
            <w:vAlign w:val="center"/>
          </w:tcPr>
          <w:p w14:paraId="4A82DBA5"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TMEM2 40</w:t>
            </w:r>
          </w:p>
        </w:tc>
        <w:tc>
          <w:tcPr>
            <w:tcW w:w="3801" w:type="dxa"/>
          </w:tcPr>
          <w:p w14:paraId="1931355E"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Екстрапирамиден синдром, когнитивна увреда</w:t>
            </w:r>
          </w:p>
        </w:tc>
        <w:tc>
          <w:tcPr>
            <w:tcW w:w="1155" w:type="dxa"/>
          </w:tcPr>
          <w:p w14:paraId="0FD90442"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6-30</w:t>
            </w:r>
          </w:p>
        </w:tc>
      </w:tr>
      <w:tr w:rsidR="00BE0B19" w:rsidRPr="00AE47C6" w14:paraId="2629AEA2" w14:textId="77777777" w:rsidTr="00AD72E5">
        <w:trPr>
          <w:jc w:val="center"/>
        </w:trPr>
        <w:tc>
          <w:tcPr>
            <w:tcW w:w="2307" w:type="dxa"/>
            <w:vAlign w:val="center"/>
          </w:tcPr>
          <w:p w14:paraId="7414DBCA"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SCA22</w:t>
            </w:r>
            <w:r w:rsidRPr="00AE47C6">
              <w:rPr>
                <w:rFonts w:ascii="Times New Roman" w:eastAsia="SimSun" w:hAnsi="Times New Roman"/>
                <w:b/>
                <w:sz w:val="24"/>
                <w:szCs w:val="24"/>
                <w:vertAlign w:val="superscript"/>
              </w:rPr>
              <w:t>*</w:t>
            </w:r>
          </w:p>
        </w:tc>
        <w:tc>
          <w:tcPr>
            <w:tcW w:w="1799" w:type="dxa"/>
            <w:vAlign w:val="center"/>
          </w:tcPr>
          <w:p w14:paraId="5F40CF7D"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1p21-q23</w:t>
            </w:r>
          </w:p>
        </w:tc>
        <w:tc>
          <w:tcPr>
            <w:tcW w:w="3801" w:type="dxa"/>
          </w:tcPr>
          <w:p w14:paraId="5464D908"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Чист церебеларен синдром</w:t>
            </w:r>
          </w:p>
        </w:tc>
        <w:tc>
          <w:tcPr>
            <w:tcW w:w="1155" w:type="dxa"/>
          </w:tcPr>
          <w:p w14:paraId="3BE6F3F4"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10-46</w:t>
            </w:r>
          </w:p>
        </w:tc>
      </w:tr>
      <w:tr w:rsidR="00BE0B19" w:rsidRPr="00AE47C6" w14:paraId="6DB7A96E" w14:textId="77777777" w:rsidTr="00AD72E5">
        <w:trPr>
          <w:jc w:val="center"/>
        </w:trPr>
        <w:tc>
          <w:tcPr>
            <w:tcW w:w="2307" w:type="dxa"/>
            <w:vAlign w:val="center"/>
          </w:tcPr>
          <w:p w14:paraId="281D5246"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SCA23</w:t>
            </w:r>
          </w:p>
        </w:tc>
        <w:tc>
          <w:tcPr>
            <w:tcW w:w="1799" w:type="dxa"/>
            <w:vAlign w:val="center"/>
          </w:tcPr>
          <w:p w14:paraId="07E9FD9B"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sz w:val="24"/>
                <w:szCs w:val="24"/>
              </w:rPr>
              <w:t>PDYN</w:t>
            </w:r>
          </w:p>
        </w:tc>
        <w:tc>
          <w:tcPr>
            <w:tcW w:w="3801" w:type="dxa"/>
          </w:tcPr>
          <w:p w14:paraId="36B2E34C"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Чист церебеларен синдром или и сензорна и пирамидна увреда </w:t>
            </w:r>
          </w:p>
        </w:tc>
        <w:tc>
          <w:tcPr>
            <w:tcW w:w="1155" w:type="dxa"/>
          </w:tcPr>
          <w:p w14:paraId="07C6B919"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43-56</w:t>
            </w:r>
          </w:p>
        </w:tc>
      </w:tr>
      <w:tr w:rsidR="00BE0B19" w:rsidRPr="00AE47C6" w14:paraId="16E9F142" w14:textId="77777777" w:rsidTr="00AD72E5">
        <w:trPr>
          <w:jc w:val="center"/>
        </w:trPr>
        <w:tc>
          <w:tcPr>
            <w:tcW w:w="2307" w:type="dxa"/>
            <w:vAlign w:val="center"/>
          </w:tcPr>
          <w:p w14:paraId="39EBC763"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SCA24</w:t>
            </w:r>
          </w:p>
        </w:tc>
        <w:tc>
          <w:tcPr>
            <w:tcW w:w="1799" w:type="dxa"/>
            <w:vAlign w:val="center"/>
          </w:tcPr>
          <w:p w14:paraId="254D067F"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1p36</w:t>
            </w:r>
          </w:p>
        </w:tc>
        <w:tc>
          <w:tcPr>
            <w:tcW w:w="3801" w:type="dxa"/>
          </w:tcPr>
          <w:p w14:paraId="16FEEE56" w14:textId="77777777" w:rsidR="00BE0B19" w:rsidRPr="00AE47C6" w:rsidRDefault="00BE0B19" w:rsidP="00BE0B19">
            <w:pPr>
              <w:spacing w:after="0" w:line="360" w:lineRule="auto"/>
              <w:rPr>
                <w:rFonts w:ascii="Times New Roman" w:eastAsia="SimSun" w:hAnsi="Times New Roman"/>
                <w:sz w:val="24"/>
                <w:szCs w:val="24"/>
              </w:rPr>
            </w:pPr>
          </w:p>
        </w:tc>
        <w:tc>
          <w:tcPr>
            <w:tcW w:w="1155" w:type="dxa"/>
          </w:tcPr>
          <w:p w14:paraId="4D0A158F" w14:textId="77777777" w:rsidR="00BE0B19" w:rsidRPr="00AE47C6" w:rsidRDefault="00BE0B19" w:rsidP="00BE0B19">
            <w:pPr>
              <w:spacing w:after="0" w:line="360" w:lineRule="auto"/>
              <w:rPr>
                <w:rFonts w:ascii="Times New Roman" w:eastAsia="SimSun" w:hAnsi="Times New Roman"/>
                <w:sz w:val="24"/>
                <w:szCs w:val="24"/>
              </w:rPr>
            </w:pPr>
          </w:p>
        </w:tc>
      </w:tr>
      <w:tr w:rsidR="00BE0B19" w:rsidRPr="00AE47C6" w14:paraId="534C5870" w14:textId="77777777" w:rsidTr="00AD72E5">
        <w:trPr>
          <w:jc w:val="center"/>
        </w:trPr>
        <w:tc>
          <w:tcPr>
            <w:tcW w:w="2307" w:type="dxa"/>
            <w:vAlign w:val="center"/>
          </w:tcPr>
          <w:p w14:paraId="27D93071"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SCA25</w:t>
            </w:r>
          </w:p>
        </w:tc>
        <w:tc>
          <w:tcPr>
            <w:tcW w:w="1799" w:type="dxa"/>
            <w:vAlign w:val="center"/>
          </w:tcPr>
          <w:p w14:paraId="5224331F"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2p21-p15</w:t>
            </w:r>
          </w:p>
        </w:tc>
        <w:tc>
          <w:tcPr>
            <w:tcW w:w="3801" w:type="dxa"/>
          </w:tcPr>
          <w:p w14:paraId="51C9FE75"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Тежка сензорна невропатия, FA-подобна</w:t>
            </w:r>
          </w:p>
        </w:tc>
        <w:tc>
          <w:tcPr>
            <w:tcW w:w="1155" w:type="dxa"/>
          </w:tcPr>
          <w:p w14:paraId="4D33B24F"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1.5-39</w:t>
            </w:r>
          </w:p>
        </w:tc>
      </w:tr>
      <w:tr w:rsidR="00BE0B19" w:rsidRPr="00AE47C6" w14:paraId="3625CD62" w14:textId="77777777" w:rsidTr="00AD72E5">
        <w:trPr>
          <w:jc w:val="center"/>
        </w:trPr>
        <w:tc>
          <w:tcPr>
            <w:tcW w:w="2307" w:type="dxa"/>
            <w:vAlign w:val="center"/>
          </w:tcPr>
          <w:p w14:paraId="32E9B56D"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SCA26</w:t>
            </w:r>
          </w:p>
        </w:tc>
        <w:tc>
          <w:tcPr>
            <w:tcW w:w="1799" w:type="dxa"/>
            <w:vAlign w:val="center"/>
          </w:tcPr>
          <w:p w14:paraId="4AE1F049"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EEF2</w:t>
            </w:r>
          </w:p>
        </w:tc>
        <w:tc>
          <w:tcPr>
            <w:tcW w:w="3801" w:type="dxa"/>
          </w:tcPr>
          <w:p w14:paraId="58CC0A9E"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Чист церебеларен синдром с бавна прогресия</w:t>
            </w:r>
          </w:p>
        </w:tc>
        <w:tc>
          <w:tcPr>
            <w:tcW w:w="1155" w:type="dxa"/>
          </w:tcPr>
          <w:p w14:paraId="26C03108"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26-60</w:t>
            </w:r>
          </w:p>
        </w:tc>
      </w:tr>
      <w:tr w:rsidR="00BE0B19" w:rsidRPr="00AE47C6" w14:paraId="1F37AF45" w14:textId="77777777" w:rsidTr="00AD72E5">
        <w:trPr>
          <w:jc w:val="center"/>
        </w:trPr>
        <w:tc>
          <w:tcPr>
            <w:tcW w:w="2307" w:type="dxa"/>
            <w:vAlign w:val="center"/>
          </w:tcPr>
          <w:p w14:paraId="6344FB65"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SCA27</w:t>
            </w:r>
          </w:p>
        </w:tc>
        <w:tc>
          <w:tcPr>
            <w:tcW w:w="1799" w:type="dxa"/>
            <w:vAlign w:val="center"/>
          </w:tcPr>
          <w:p w14:paraId="686D46E1"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sz w:val="24"/>
                <w:szCs w:val="24"/>
              </w:rPr>
              <w:t>FGF14</w:t>
            </w:r>
          </w:p>
        </w:tc>
        <w:tc>
          <w:tcPr>
            <w:tcW w:w="3801" w:type="dxa"/>
          </w:tcPr>
          <w:p w14:paraId="434502E0"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Постурален тремор, дискинезия, деменция и поведенчески отклонения, бавна прогресия</w:t>
            </w:r>
          </w:p>
        </w:tc>
        <w:tc>
          <w:tcPr>
            <w:tcW w:w="1155" w:type="dxa"/>
          </w:tcPr>
          <w:p w14:paraId="498C1CBF"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12-40</w:t>
            </w:r>
          </w:p>
        </w:tc>
      </w:tr>
      <w:tr w:rsidR="00BE0B19" w:rsidRPr="00AE47C6" w14:paraId="0E29892B" w14:textId="77777777" w:rsidTr="00AD72E5">
        <w:trPr>
          <w:jc w:val="center"/>
        </w:trPr>
        <w:tc>
          <w:tcPr>
            <w:tcW w:w="2307" w:type="dxa"/>
            <w:vAlign w:val="center"/>
          </w:tcPr>
          <w:p w14:paraId="364BA26A"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SCA27</w:t>
            </w:r>
          </w:p>
        </w:tc>
        <w:tc>
          <w:tcPr>
            <w:tcW w:w="1799" w:type="dxa"/>
            <w:vAlign w:val="center"/>
          </w:tcPr>
          <w:p w14:paraId="0EA286C4"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sz w:val="24"/>
                <w:szCs w:val="24"/>
              </w:rPr>
              <w:t>FGF14</w:t>
            </w:r>
          </w:p>
        </w:tc>
        <w:tc>
          <w:tcPr>
            <w:tcW w:w="3801" w:type="dxa"/>
          </w:tcPr>
          <w:p w14:paraId="0C18C0E8"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Постурален тремор, дискинезия, деменция и поведенчески отклонения, бавна прогресия</w:t>
            </w:r>
          </w:p>
        </w:tc>
        <w:tc>
          <w:tcPr>
            <w:tcW w:w="1155" w:type="dxa"/>
          </w:tcPr>
          <w:p w14:paraId="2CAD447F"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12-40</w:t>
            </w:r>
          </w:p>
        </w:tc>
      </w:tr>
      <w:tr w:rsidR="00BE0B19" w:rsidRPr="00AE47C6" w14:paraId="119CB474" w14:textId="77777777" w:rsidTr="00AD72E5">
        <w:trPr>
          <w:jc w:val="center"/>
        </w:trPr>
        <w:tc>
          <w:tcPr>
            <w:tcW w:w="2307" w:type="dxa"/>
            <w:vAlign w:val="center"/>
          </w:tcPr>
          <w:p w14:paraId="6A7FDF9B"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SCA28</w:t>
            </w:r>
          </w:p>
        </w:tc>
        <w:tc>
          <w:tcPr>
            <w:tcW w:w="1799" w:type="dxa"/>
            <w:vAlign w:val="center"/>
          </w:tcPr>
          <w:p w14:paraId="46B224DC"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sz w:val="24"/>
                <w:szCs w:val="24"/>
              </w:rPr>
              <w:t>AFG3L2</w:t>
            </w:r>
          </w:p>
        </w:tc>
        <w:tc>
          <w:tcPr>
            <w:tcW w:w="3801" w:type="dxa"/>
          </w:tcPr>
          <w:p w14:paraId="3B3CE6CF"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Офталмопареза, нистагъм, птоза, бавна прогресия </w:t>
            </w:r>
          </w:p>
        </w:tc>
        <w:tc>
          <w:tcPr>
            <w:tcW w:w="1155" w:type="dxa"/>
          </w:tcPr>
          <w:p w14:paraId="2A6F79B4"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12-36</w:t>
            </w:r>
          </w:p>
        </w:tc>
      </w:tr>
      <w:tr w:rsidR="00BE0B19" w:rsidRPr="00AE47C6" w14:paraId="3831A854" w14:textId="77777777" w:rsidTr="00AD72E5">
        <w:trPr>
          <w:jc w:val="center"/>
        </w:trPr>
        <w:tc>
          <w:tcPr>
            <w:tcW w:w="2307" w:type="dxa"/>
            <w:vAlign w:val="center"/>
          </w:tcPr>
          <w:p w14:paraId="43C3733F"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SCA29</w:t>
            </w:r>
          </w:p>
        </w:tc>
        <w:tc>
          <w:tcPr>
            <w:tcW w:w="1799" w:type="dxa"/>
            <w:vAlign w:val="center"/>
          </w:tcPr>
          <w:p w14:paraId="3C291F10"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sz w:val="24"/>
                <w:szCs w:val="24"/>
              </w:rPr>
              <w:t>ITPR1</w:t>
            </w:r>
          </w:p>
        </w:tc>
        <w:tc>
          <w:tcPr>
            <w:tcW w:w="3801" w:type="dxa"/>
          </w:tcPr>
          <w:p w14:paraId="1099873A"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Непрогресираща, обучителни затруднения, вариабилен фенотип</w:t>
            </w:r>
          </w:p>
        </w:tc>
        <w:tc>
          <w:tcPr>
            <w:tcW w:w="1155" w:type="dxa"/>
          </w:tcPr>
          <w:p w14:paraId="6CE56A73"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вродена</w:t>
            </w:r>
          </w:p>
        </w:tc>
      </w:tr>
      <w:tr w:rsidR="00BE0B19" w:rsidRPr="00AE47C6" w14:paraId="68D11EEE" w14:textId="77777777" w:rsidTr="00AD72E5">
        <w:trPr>
          <w:jc w:val="center"/>
        </w:trPr>
        <w:tc>
          <w:tcPr>
            <w:tcW w:w="2307" w:type="dxa"/>
            <w:vAlign w:val="center"/>
          </w:tcPr>
          <w:p w14:paraId="64135D61"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SCA30</w:t>
            </w:r>
          </w:p>
        </w:tc>
        <w:tc>
          <w:tcPr>
            <w:tcW w:w="1799" w:type="dxa"/>
            <w:vAlign w:val="center"/>
          </w:tcPr>
          <w:p w14:paraId="55F23B49"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4q34.3-</w:t>
            </w:r>
          </w:p>
          <w:p w14:paraId="48D952AF"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q35.1</w:t>
            </w:r>
          </w:p>
        </w:tc>
        <w:tc>
          <w:tcPr>
            <w:tcW w:w="3801" w:type="dxa"/>
          </w:tcPr>
          <w:p w14:paraId="5445E461"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Бавно прогресираща атаксия ataxia, пирамидна увреда, нистагъм</w:t>
            </w:r>
          </w:p>
        </w:tc>
        <w:tc>
          <w:tcPr>
            <w:tcW w:w="1155" w:type="dxa"/>
          </w:tcPr>
          <w:p w14:paraId="18575128"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След 20</w:t>
            </w:r>
          </w:p>
        </w:tc>
      </w:tr>
      <w:tr w:rsidR="00BE0B19" w:rsidRPr="00AE47C6" w14:paraId="46B0DEF3" w14:textId="77777777" w:rsidTr="00AD72E5">
        <w:trPr>
          <w:jc w:val="center"/>
        </w:trPr>
        <w:tc>
          <w:tcPr>
            <w:tcW w:w="2307" w:type="dxa"/>
            <w:vAlign w:val="center"/>
          </w:tcPr>
          <w:p w14:paraId="399C8187"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SCA31</w:t>
            </w:r>
          </w:p>
        </w:tc>
        <w:tc>
          <w:tcPr>
            <w:tcW w:w="1799" w:type="dxa"/>
            <w:vAlign w:val="center"/>
          </w:tcPr>
          <w:p w14:paraId="4421F58E"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sz w:val="24"/>
                <w:szCs w:val="24"/>
              </w:rPr>
              <w:t>BEAN1</w:t>
            </w:r>
            <w:r w:rsidRPr="00AE47C6">
              <w:rPr>
                <w:rFonts w:ascii="Times New Roman" w:eastAsia="SimSun" w:hAnsi="Times New Roman"/>
                <w:sz w:val="24"/>
                <w:szCs w:val="24"/>
              </w:rPr>
              <w:t>, TGGAA повтаряне</w:t>
            </w:r>
          </w:p>
        </w:tc>
        <w:tc>
          <w:tcPr>
            <w:tcW w:w="3801" w:type="dxa"/>
          </w:tcPr>
          <w:p w14:paraId="65D6166F"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Чист церебеларен синдром</w:t>
            </w:r>
          </w:p>
        </w:tc>
        <w:tc>
          <w:tcPr>
            <w:tcW w:w="1155" w:type="dxa"/>
          </w:tcPr>
          <w:p w14:paraId="612795F6" w14:textId="77777777" w:rsidR="00BE0B19" w:rsidRPr="00AE47C6" w:rsidRDefault="00BE0B19" w:rsidP="00BE0B19">
            <w:pPr>
              <w:spacing w:after="0" w:line="360" w:lineRule="auto"/>
              <w:rPr>
                <w:rFonts w:ascii="Times New Roman" w:eastAsia="SimSun" w:hAnsi="Times New Roman"/>
                <w:sz w:val="24"/>
                <w:szCs w:val="24"/>
              </w:rPr>
            </w:pPr>
          </w:p>
        </w:tc>
      </w:tr>
      <w:tr w:rsidR="00BE0B19" w:rsidRPr="00AE47C6" w14:paraId="0AD48FA7" w14:textId="77777777" w:rsidTr="00AD72E5">
        <w:trPr>
          <w:jc w:val="center"/>
        </w:trPr>
        <w:tc>
          <w:tcPr>
            <w:tcW w:w="2307" w:type="dxa"/>
            <w:vAlign w:val="center"/>
          </w:tcPr>
          <w:p w14:paraId="0A65EF4A"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SCA32</w:t>
            </w:r>
          </w:p>
        </w:tc>
        <w:tc>
          <w:tcPr>
            <w:tcW w:w="1799" w:type="dxa"/>
            <w:vAlign w:val="center"/>
          </w:tcPr>
          <w:p w14:paraId="0399A9A7"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7q32</w:t>
            </w:r>
          </w:p>
        </w:tc>
        <w:tc>
          <w:tcPr>
            <w:tcW w:w="3801" w:type="dxa"/>
          </w:tcPr>
          <w:p w14:paraId="390E0EE3"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p>
        </w:tc>
        <w:tc>
          <w:tcPr>
            <w:tcW w:w="1155" w:type="dxa"/>
          </w:tcPr>
          <w:p w14:paraId="6B5DDC2D" w14:textId="77777777" w:rsidR="00BE0B19" w:rsidRPr="00AE47C6" w:rsidRDefault="00BE0B19" w:rsidP="00BE0B19">
            <w:pPr>
              <w:spacing w:after="0" w:line="360" w:lineRule="auto"/>
              <w:rPr>
                <w:rFonts w:ascii="Times New Roman" w:eastAsia="SimSun" w:hAnsi="Times New Roman"/>
                <w:sz w:val="24"/>
                <w:szCs w:val="24"/>
              </w:rPr>
            </w:pPr>
          </w:p>
        </w:tc>
      </w:tr>
      <w:tr w:rsidR="00BE0B19" w:rsidRPr="00AE47C6" w14:paraId="42EB9221" w14:textId="77777777" w:rsidTr="00AD72E5">
        <w:trPr>
          <w:jc w:val="center"/>
        </w:trPr>
        <w:tc>
          <w:tcPr>
            <w:tcW w:w="2307" w:type="dxa"/>
            <w:vAlign w:val="center"/>
          </w:tcPr>
          <w:p w14:paraId="1797C353"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SCA34</w:t>
            </w:r>
          </w:p>
        </w:tc>
        <w:tc>
          <w:tcPr>
            <w:tcW w:w="1799" w:type="dxa"/>
            <w:vAlign w:val="center"/>
          </w:tcPr>
          <w:p w14:paraId="342D0FD5" w14:textId="77777777" w:rsidR="00BE0B19" w:rsidRPr="00AE47C6" w:rsidRDefault="00BE0B19" w:rsidP="00BE0B19">
            <w:pPr>
              <w:spacing w:after="0" w:line="360" w:lineRule="auto"/>
              <w:rPr>
                <w:rFonts w:ascii="Times New Roman" w:eastAsia="SimSun" w:hAnsi="Times New Roman"/>
                <w:i/>
                <w:sz w:val="24"/>
                <w:szCs w:val="24"/>
              </w:rPr>
            </w:pPr>
            <w:r w:rsidRPr="00AE47C6">
              <w:rPr>
                <w:rFonts w:ascii="Times New Roman" w:eastAsia="SimSun" w:hAnsi="Times New Roman"/>
                <w:i/>
                <w:sz w:val="24"/>
                <w:szCs w:val="24"/>
              </w:rPr>
              <w:t>ELOVL4</w:t>
            </w:r>
          </w:p>
        </w:tc>
        <w:tc>
          <w:tcPr>
            <w:tcW w:w="3801" w:type="dxa"/>
          </w:tcPr>
          <w:p w14:paraId="3FC53F90"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И кожни промени</w:t>
            </w:r>
          </w:p>
        </w:tc>
        <w:tc>
          <w:tcPr>
            <w:tcW w:w="1155" w:type="dxa"/>
          </w:tcPr>
          <w:p w14:paraId="0D244158" w14:textId="77777777" w:rsidR="00BE0B19" w:rsidRPr="00AE47C6" w:rsidRDefault="00BE0B19" w:rsidP="00BE0B19">
            <w:pPr>
              <w:spacing w:after="0" w:line="360" w:lineRule="auto"/>
              <w:rPr>
                <w:rFonts w:ascii="Times New Roman" w:eastAsia="SimSun" w:hAnsi="Times New Roman"/>
                <w:sz w:val="24"/>
                <w:szCs w:val="24"/>
              </w:rPr>
            </w:pPr>
          </w:p>
        </w:tc>
      </w:tr>
      <w:tr w:rsidR="00BE0B19" w:rsidRPr="00AE47C6" w14:paraId="41774477" w14:textId="77777777" w:rsidTr="00AD72E5">
        <w:trPr>
          <w:jc w:val="center"/>
        </w:trPr>
        <w:tc>
          <w:tcPr>
            <w:tcW w:w="2307" w:type="dxa"/>
            <w:vAlign w:val="center"/>
          </w:tcPr>
          <w:p w14:paraId="6251C890"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SCA35</w:t>
            </w:r>
          </w:p>
        </w:tc>
        <w:tc>
          <w:tcPr>
            <w:tcW w:w="1799" w:type="dxa"/>
            <w:vAlign w:val="center"/>
          </w:tcPr>
          <w:p w14:paraId="76882E93"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sz w:val="24"/>
                <w:szCs w:val="24"/>
              </w:rPr>
              <w:t>TGM6</w:t>
            </w:r>
          </w:p>
        </w:tc>
        <w:tc>
          <w:tcPr>
            <w:tcW w:w="3801" w:type="dxa"/>
          </w:tcPr>
          <w:p w14:paraId="616FBDAE"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невропатия</w:t>
            </w:r>
          </w:p>
        </w:tc>
        <w:tc>
          <w:tcPr>
            <w:tcW w:w="1155" w:type="dxa"/>
          </w:tcPr>
          <w:p w14:paraId="16CC94DB" w14:textId="77777777" w:rsidR="00BE0B19" w:rsidRPr="00AE47C6" w:rsidRDefault="00BE0B19" w:rsidP="00BE0B19">
            <w:pPr>
              <w:spacing w:after="0" w:line="360" w:lineRule="auto"/>
              <w:rPr>
                <w:rFonts w:ascii="Times New Roman" w:eastAsia="SimSun" w:hAnsi="Times New Roman"/>
                <w:sz w:val="24"/>
                <w:szCs w:val="24"/>
              </w:rPr>
            </w:pPr>
          </w:p>
        </w:tc>
      </w:tr>
      <w:tr w:rsidR="00BE0B19" w:rsidRPr="00AE47C6" w14:paraId="3F2D3D0B" w14:textId="77777777" w:rsidTr="00AD72E5">
        <w:trPr>
          <w:jc w:val="center"/>
        </w:trPr>
        <w:tc>
          <w:tcPr>
            <w:tcW w:w="2307" w:type="dxa"/>
            <w:vAlign w:val="center"/>
          </w:tcPr>
          <w:p w14:paraId="178A57D5"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SCA36</w:t>
            </w:r>
          </w:p>
        </w:tc>
        <w:tc>
          <w:tcPr>
            <w:tcW w:w="1799" w:type="dxa"/>
            <w:vAlign w:val="center"/>
          </w:tcPr>
          <w:p w14:paraId="31584E9C"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sz w:val="24"/>
                <w:szCs w:val="24"/>
              </w:rPr>
              <w:t>NOP56</w:t>
            </w:r>
          </w:p>
        </w:tc>
        <w:tc>
          <w:tcPr>
            <w:tcW w:w="3801" w:type="dxa"/>
          </w:tcPr>
          <w:p w14:paraId="23CC9469" w14:textId="77777777" w:rsidR="00BE0B19" w:rsidRPr="00AE47C6" w:rsidRDefault="00BE0B19" w:rsidP="00BE0B19">
            <w:pPr>
              <w:autoSpaceDE w:val="0"/>
              <w:autoSpaceDN w:val="0"/>
              <w:adjustRightInd w:val="0"/>
              <w:spacing w:after="0" w:line="360" w:lineRule="auto"/>
              <w:rPr>
                <w:rFonts w:ascii="Times New Roman" w:eastAsia="SimSun" w:hAnsi="Times New Roman"/>
                <w:sz w:val="24"/>
                <w:szCs w:val="24"/>
              </w:rPr>
            </w:pPr>
            <w:r w:rsidRPr="00AE47C6">
              <w:rPr>
                <w:rFonts w:ascii="Times New Roman" w:eastAsia="SimSun" w:hAnsi="Times New Roman"/>
                <w:sz w:val="24"/>
                <w:szCs w:val="24"/>
              </w:rPr>
              <w:t>Фасцикулации, атрофия на езика, мускулна слабост, пирамидни белези</w:t>
            </w:r>
          </w:p>
        </w:tc>
        <w:tc>
          <w:tcPr>
            <w:tcW w:w="1155" w:type="dxa"/>
          </w:tcPr>
          <w:p w14:paraId="7A663C89"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Възрастни</w:t>
            </w:r>
          </w:p>
        </w:tc>
      </w:tr>
      <w:tr w:rsidR="00BE0B19" w:rsidRPr="00AE47C6" w14:paraId="6CA06C85" w14:textId="77777777" w:rsidTr="00AD72E5">
        <w:trPr>
          <w:jc w:val="center"/>
        </w:trPr>
        <w:tc>
          <w:tcPr>
            <w:tcW w:w="2307" w:type="dxa"/>
            <w:vAlign w:val="center"/>
          </w:tcPr>
          <w:p w14:paraId="458BB0C7" w14:textId="77777777" w:rsidR="00BE0B19" w:rsidRPr="00AE47C6" w:rsidRDefault="00C74E8C" w:rsidP="00BE0B19">
            <w:pPr>
              <w:spacing w:after="0" w:line="360" w:lineRule="auto"/>
              <w:rPr>
                <w:rFonts w:ascii="Times New Roman" w:eastAsia="SimSun" w:hAnsi="Times New Roman"/>
                <w:b/>
                <w:sz w:val="24"/>
                <w:szCs w:val="24"/>
              </w:rPr>
            </w:pPr>
            <w:hyperlink r:id="rId126" w:history="1">
              <w:r w:rsidR="00BE0B19" w:rsidRPr="00AE47C6">
                <w:rPr>
                  <w:rFonts w:ascii="Times New Roman" w:eastAsia="SimSun" w:hAnsi="Times New Roman"/>
                  <w:b/>
                  <w:sz w:val="24"/>
                  <w:szCs w:val="24"/>
                </w:rPr>
                <w:t>SCA37</w:t>
              </w:r>
            </w:hyperlink>
          </w:p>
        </w:tc>
        <w:tc>
          <w:tcPr>
            <w:tcW w:w="1799" w:type="dxa"/>
            <w:vAlign w:val="center"/>
          </w:tcPr>
          <w:p w14:paraId="1B099DB5"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1p32</w:t>
            </w:r>
          </w:p>
        </w:tc>
        <w:tc>
          <w:tcPr>
            <w:tcW w:w="3801" w:type="dxa"/>
            <w:vAlign w:val="center"/>
          </w:tcPr>
          <w:p w14:paraId="5AF3F34E"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Абнормни вертикални очни движения</w:t>
            </w:r>
          </w:p>
        </w:tc>
        <w:tc>
          <w:tcPr>
            <w:tcW w:w="1155" w:type="dxa"/>
          </w:tcPr>
          <w:p w14:paraId="5BC9ED46" w14:textId="77777777" w:rsidR="00BE0B19" w:rsidRPr="00AE47C6" w:rsidRDefault="00BE0B19" w:rsidP="00BE0B19">
            <w:pPr>
              <w:spacing w:after="0" w:line="360" w:lineRule="auto"/>
              <w:rPr>
                <w:rFonts w:ascii="Times New Roman" w:eastAsia="SimSun" w:hAnsi="Times New Roman"/>
                <w:sz w:val="24"/>
                <w:szCs w:val="24"/>
              </w:rPr>
            </w:pPr>
          </w:p>
        </w:tc>
      </w:tr>
      <w:tr w:rsidR="00BE0B19" w:rsidRPr="00AE47C6" w14:paraId="70437FA2" w14:textId="77777777" w:rsidTr="00AD72E5">
        <w:trPr>
          <w:jc w:val="center"/>
        </w:trPr>
        <w:tc>
          <w:tcPr>
            <w:tcW w:w="2307" w:type="dxa"/>
            <w:vAlign w:val="center"/>
          </w:tcPr>
          <w:p w14:paraId="61701F34" w14:textId="77777777" w:rsidR="00BE0B19" w:rsidRPr="00AE47C6" w:rsidRDefault="00C74E8C" w:rsidP="00BE0B19">
            <w:pPr>
              <w:spacing w:after="0" w:line="360" w:lineRule="auto"/>
              <w:rPr>
                <w:rFonts w:ascii="Times New Roman" w:eastAsia="SimSun" w:hAnsi="Times New Roman"/>
                <w:b/>
                <w:sz w:val="24"/>
                <w:szCs w:val="24"/>
              </w:rPr>
            </w:pPr>
            <w:hyperlink r:id="rId127" w:history="1">
              <w:r w:rsidR="00BE0B19" w:rsidRPr="00AE47C6">
                <w:rPr>
                  <w:rFonts w:ascii="Times New Roman" w:eastAsia="SimSun" w:hAnsi="Times New Roman"/>
                  <w:b/>
                  <w:sz w:val="24"/>
                  <w:szCs w:val="24"/>
                </w:rPr>
                <w:t>SCA38</w:t>
              </w:r>
            </w:hyperlink>
          </w:p>
        </w:tc>
        <w:tc>
          <w:tcPr>
            <w:tcW w:w="1799" w:type="dxa"/>
            <w:vAlign w:val="center"/>
          </w:tcPr>
          <w:p w14:paraId="2569F585"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iCs/>
                <w:sz w:val="24"/>
                <w:szCs w:val="24"/>
              </w:rPr>
              <w:t>ELOVL5</w:t>
            </w:r>
          </w:p>
        </w:tc>
        <w:tc>
          <w:tcPr>
            <w:tcW w:w="3801" w:type="dxa"/>
            <w:vAlign w:val="center"/>
          </w:tcPr>
          <w:p w14:paraId="6CFCAACF" w14:textId="77777777" w:rsidR="00BE0B19" w:rsidRPr="00AE47C6" w:rsidRDefault="00BE0B19" w:rsidP="00BE0B19">
            <w:pPr>
              <w:spacing w:after="0" w:line="360" w:lineRule="auto"/>
              <w:ind w:left="360"/>
              <w:rPr>
                <w:rFonts w:ascii="Times New Roman" w:eastAsia="SimSun" w:hAnsi="Times New Roman"/>
                <w:sz w:val="24"/>
                <w:szCs w:val="24"/>
              </w:rPr>
            </w:pPr>
            <w:r w:rsidRPr="00AE47C6">
              <w:rPr>
                <w:rFonts w:ascii="Times New Roman" w:eastAsia="SimSun" w:hAnsi="Times New Roman"/>
                <w:sz w:val="24"/>
                <w:szCs w:val="24"/>
              </w:rPr>
              <w:t>Аксонна невропатия</w:t>
            </w:r>
          </w:p>
        </w:tc>
        <w:tc>
          <w:tcPr>
            <w:tcW w:w="1155" w:type="dxa"/>
          </w:tcPr>
          <w:p w14:paraId="3431A995"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Възрастни</w:t>
            </w:r>
          </w:p>
        </w:tc>
      </w:tr>
      <w:tr w:rsidR="00BE0B19" w:rsidRPr="00AE47C6" w14:paraId="5159B6BC" w14:textId="77777777" w:rsidTr="00AD72E5">
        <w:trPr>
          <w:jc w:val="center"/>
        </w:trPr>
        <w:tc>
          <w:tcPr>
            <w:tcW w:w="2307" w:type="dxa"/>
            <w:vAlign w:val="center"/>
          </w:tcPr>
          <w:p w14:paraId="68846721"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SCA40</w:t>
            </w:r>
          </w:p>
        </w:tc>
        <w:tc>
          <w:tcPr>
            <w:tcW w:w="1799" w:type="dxa"/>
            <w:vAlign w:val="center"/>
          </w:tcPr>
          <w:p w14:paraId="3A7551CD"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iCs/>
                <w:sz w:val="24"/>
                <w:szCs w:val="24"/>
              </w:rPr>
              <w:t>CCDC88C</w:t>
            </w:r>
          </w:p>
        </w:tc>
        <w:tc>
          <w:tcPr>
            <w:tcW w:w="3801" w:type="dxa"/>
            <w:vAlign w:val="center"/>
          </w:tcPr>
          <w:p w14:paraId="41D00621" w14:textId="77777777" w:rsidR="00BE0B19" w:rsidRPr="00AE47C6" w:rsidRDefault="00BE0B19" w:rsidP="00BE0B19">
            <w:pPr>
              <w:spacing w:after="0" w:line="360" w:lineRule="auto"/>
              <w:ind w:left="360"/>
              <w:rPr>
                <w:rFonts w:ascii="Times New Roman" w:eastAsia="SimSun" w:hAnsi="Times New Roman"/>
                <w:sz w:val="24"/>
                <w:szCs w:val="24"/>
              </w:rPr>
            </w:pPr>
            <w:r w:rsidRPr="00AE47C6">
              <w:rPr>
                <w:rFonts w:ascii="Times New Roman" w:eastAsia="SimSun" w:hAnsi="Times New Roman"/>
                <w:sz w:val="24"/>
                <w:szCs w:val="24"/>
              </w:rPr>
              <w:t>Спастицитет</w:t>
            </w:r>
          </w:p>
        </w:tc>
        <w:tc>
          <w:tcPr>
            <w:tcW w:w="1155" w:type="dxa"/>
          </w:tcPr>
          <w:p w14:paraId="648805F7"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Възрастни</w:t>
            </w:r>
          </w:p>
        </w:tc>
      </w:tr>
      <w:tr w:rsidR="00BE0B19" w:rsidRPr="00AE47C6" w14:paraId="72EBFA9F" w14:textId="77777777" w:rsidTr="00AD72E5">
        <w:trPr>
          <w:jc w:val="center"/>
        </w:trPr>
        <w:tc>
          <w:tcPr>
            <w:tcW w:w="2307" w:type="dxa"/>
            <w:vAlign w:val="center"/>
          </w:tcPr>
          <w:p w14:paraId="79C43A9C"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SCA41</w:t>
            </w:r>
          </w:p>
        </w:tc>
        <w:tc>
          <w:tcPr>
            <w:tcW w:w="1799" w:type="dxa"/>
            <w:vAlign w:val="center"/>
          </w:tcPr>
          <w:p w14:paraId="78097D96"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iCs/>
                <w:sz w:val="24"/>
                <w:szCs w:val="24"/>
              </w:rPr>
              <w:t>TRPC3</w:t>
            </w:r>
          </w:p>
        </w:tc>
        <w:tc>
          <w:tcPr>
            <w:tcW w:w="3801" w:type="dxa"/>
            <w:vAlign w:val="center"/>
          </w:tcPr>
          <w:p w14:paraId="1F23DAB5" w14:textId="77777777" w:rsidR="00BE0B19" w:rsidRPr="00AE47C6" w:rsidRDefault="00BE0B19" w:rsidP="00BE0B19">
            <w:pPr>
              <w:spacing w:after="0" w:line="360" w:lineRule="auto"/>
              <w:ind w:left="360"/>
              <w:rPr>
                <w:rFonts w:ascii="Times New Roman" w:eastAsia="SimSun" w:hAnsi="Times New Roman"/>
                <w:sz w:val="24"/>
                <w:szCs w:val="24"/>
              </w:rPr>
            </w:pPr>
            <w:r w:rsidRPr="00AE47C6">
              <w:rPr>
                <w:rFonts w:ascii="Times New Roman" w:eastAsia="SimSun" w:hAnsi="Times New Roman"/>
                <w:sz w:val="24"/>
                <w:szCs w:val="24"/>
              </w:rPr>
              <w:t>Чиста атаксия</w:t>
            </w:r>
          </w:p>
        </w:tc>
        <w:tc>
          <w:tcPr>
            <w:tcW w:w="1155" w:type="dxa"/>
          </w:tcPr>
          <w:p w14:paraId="3D8A04EE"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Възрастни</w:t>
            </w:r>
          </w:p>
        </w:tc>
      </w:tr>
      <w:tr w:rsidR="00BE0B19" w:rsidRPr="00AE47C6" w14:paraId="252DCA98" w14:textId="77777777" w:rsidTr="00AD72E5">
        <w:trPr>
          <w:jc w:val="center"/>
        </w:trPr>
        <w:tc>
          <w:tcPr>
            <w:tcW w:w="2307" w:type="dxa"/>
            <w:vAlign w:val="center"/>
          </w:tcPr>
          <w:p w14:paraId="61FA8FA2"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SCA42</w:t>
            </w:r>
          </w:p>
        </w:tc>
        <w:tc>
          <w:tcPr>
            <w:tcW w:w="1799" w:type="dxa"/>
            <w:vAlign w:val="center"/>
          </w:tcPr>
          <w:p w14:paraId="64652D04"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iCs/>
                <w:sz w:val="24"/>
                <w:szCs w:val="24"/>
              </w:rPr>
              <w:t>CACNA1G</w:t>
            </w:r>
          </w:p>
        </w:tc>
        <w:tc>
          <w:tcPr>
            <w:tcW w:w="3801" w:type="dxa"/>
            <w:vAlign w:val="center"/>
          </w:tcPr>
          <w:p w14:paraId="187CD343" w14:textId="77777777" w:rsidR="00BE0B19" w:rsidRPr="00AE47C6" w:rsidRDefault="00BE0B19" w:rsidP="00BE0B19">
            <w:pPr>
              <w:spacing w:after="0" w:line="360" w:lineRule="auto"/>
              <w:ind w:left="360"/>
              <w:rPr>
                <w:rFonts w:ascii="Times New Roman" w:eastAsia="SimSun" w:hAnsi="Times New Roman"/>
                <w:sz w:val="24"/>
                <w:szCs w:val="24"/>
              </w:rPr>
            </w:pPr>
            <w:r w:rsidRPr="00AE47C6">
              <w:rPr>
                <w:rFonts w:ascii="Times New Roman" w:eastAsia="SimSun" w:hAnsi="Times New Roman"/>
                <w:sz w:val="24"/>
                <w:szCs w:val="24"/>
              </w:rPr>
              <w:t>Пирамидни белези</w:t>
            </w:r>
          </w:p>
        </w:tc>
        <w:tc>
          <w:tcPr>
            <w:tcW w:w="1155" w:type="dxa"/>
          </w:tcPr>
          <w:p w14:paraId="07C17EE5" w14:textId="77777777" w:rsidR="00BE0B19" w:rsidRPr="00AE47C6" w:rsidRDefault="00BE0B19" w:rsidP="00BE0B19">
            <w:pPr>
              <w:spacing w:after="0" w:line="360" w:lineRule="auto"/>
              <w:rPr>
                <w:rFonts w:ascii="Times New Roman" w:eastAsia="SimSun" w:hAnsi="Times New Roman"/>
                <w:sz w:val="24"/>
                <w:szCs w:val="24"/>
              </w:rPr>
            </w:pPr>
          </w:p>
        </w:tc>
      </w:tr>
      <w:tr w:rsidR="00BE0B19" w:rsidRPr="00AE47C6" w14:paraId="4C6CC647" w14:textId="77777777" w:rsidTr="00AD72E5">
        <w:trPr>
          <w:jc w:val="center"/>
        </w:trPr>
        <w:tc>
          <w:tcPr>
            <w:tcW w:w="2307" w:type="dxa"/>
            <w:vAlign w:val="center"/>
          </w:tcPr>
          <w:p w14:paraId="68C1F3EC"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SCA43</w:t>
            </w:r>
          </w:p>
        </w:tc>
        <w:tc>
          <w:tcPr>
            <w:tcW w:w="1799" w:type="dxa"/>
            <w:vAlign w:val="center"/>
          </w:tcPr>
          <w:p w14:paraId="73B7823E"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iCs/>
                <w:sz w:val="24"/>
                <w:szCs w:val="24"/>
              </w:rPr>
              <w:t>MME</w:t>
            </w:r>
          </w:p>
        </w:tc>
        <w:tc>
          <w:tcPr>
            <w:tcW w:w="3801" w:type="dxa"/>
            <w:vAlign w:val="center"/>
          </w:tcPr>
          <w:p w14:paraId="620C78BC" w14:textId="77777777" w:rsidR="00BE0B19" w:rsidRPr="00AE47C6" w:rsidRDefault="00BE0B19" w:rsidP="00BE0B19">
            <w:pPr>
              <w:spacing w:after="0" w:line="360" w:lineRule="auto"/>
              <w:ind w:left="360"/>
              <w:rPr>
                <w:rFonts w:ascii="Times New Roman" w:eastAsia="SimSun" w:hAnsi="Times New Roman"/>
                <w:sz w:val="24"/>
                <w:szCs w:val="24"/>
              </w:rPr>
            </w:pPr>
            <w:r w:rsidRPr="00AE47C6">
              <w:rPr>
                <w:rFonts w:ascii="Times New Roman" w:eastAsia="SimSun" w:hAnsi="Times New Roman"/>
                <w:sz w:val="24"/>
                <w:szCs w:val="24"/>
              </w:rPr>
              <w:t>Сензомоторна аксонна невропатия</w:t>
            </w:r>
          </w:p>
        </w:tc>
        <w:tc>
          <w:tcPr>
            <w:tcW w:w="1155" w:type="dxa"/>
          </w:tcPr>
          <w:p w14:paraId="1380BA03" w14:textId="77777777" w:rsidR="00BE0B19" w:rsidRPr="00AE47C6" w:rsidRDefault="00BE0B19" w:rsidP="00BE0B19">
            <w:pPr>
              <w:spacing w:after="0" w:line="360" w:lineRule="auto"/>
              <w:rPr>
                <w:rFonts w:ascii="Times New Roman" w:eastAsia="SimSun" w:hAnsi="Times New Roman"/>
                <w:sz w:val="24"/>
                <w:szCs w:val="24"/>
              </w:rPr>
            </w:pPr>
          </w:p>
        </w:tc>
      </w:tr>
      <w:tr w:rsidR="00BE0B19" w:rsidRPr="00AE47C6" w14:paraId="7A3802FD" w14:textId="77777777" w:rsidTr="00AD72E5">
        <w:trPr>
          <w:jc w:val="center"/>
        </w:trPr>
        <w:tc>
          <w:tcPr>
            <w:tcW w:w="2307" w:type="dxa"/>
            <w:vAlign w:val="center"/>
          </w:tcPr>
          <w:p w14:paraId="03FF6CAF"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SCA44</w:t>
            </w:r>
          </w:p>
        </w:tc>
        <w:tc>
          <w:tcPr>
            <w:tcW w:w="1799" w:type="dxa"/>
            <w:vAlign w:val="center"/>
          </w:tcPr>
          <w:p w14:paraId="78F935B6"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iCs/>
                <w:sz w:val="24"/>
                <w:szCs w:val="24"/>
              </w:rPr>
              <w:t>GRM1</w:t>
            </w:r>
          </w:p>
        </w:tc>
        <w:tc>
          <w:tcPr>
            <w:tcW w:w="3801" w:type="dxa"/>
            <w:vAlign w:val="center"/>
          </w:tcPr>
          <w:p w14:paraId="0B8E738B" w14:textId="77777777" w:rsidR="00BE0B19" w:rsidRPr="00AE47C6" w:rsidRDefault="00BE0B19" w:rsidP="00BE0B19">
            <w:pPr>
              <w:spacing w:after="0" w:line="360" w:lineRule="auto"/>
              <w:ind w:left="360"/>
              <w:rPr>
                <w:rFonts w:ascii="Times New Roman" w:eastAsia="SimSun" w:hAnsi="Times New Roman"/>
                <w:sz w:val="24"/>
                <w:szCs w:val="24"/>
              </w:rPr>
            </w:pPr>
            <w:r w:rsidRPr="00AE47C6">
              <w:rPr>
                <w:rFonts w:ascii="Times New Roman" w:eastAsia="SimSun" w:hAnsi="Times New Roman"/>
                <w:sz w:val="24"/>
                <w:szCs w:val="24"/>
              </w:rPr>
              <w:t>Спастицитет</w:t>
            </w:r>
          </w:p>
        </w:tc>
        <w:tc>
          <w:tcPr>
            <w:tcW w:w="1155" w:type="dxa"/>
          </w:tcPr>
          <w:p w14:paraId="72F348AD" w14:textId="77777777" w:rsidR="00BE0B19" w:rsidRPr="00AE47C6" w:rsidRDefault="00BE0B19" w:rsidP="00BE0B19">
            <w:pPr>
              <w:spacing w:after="0" w:line="360" w:lineRule="auto"/>
              <w:rPr>
                <w:rFonts w:ascii="Times New Roman" w:eastAsia="SimSun" w:hAnsi="Times New Roman"/>
                <w:sz w:val="24"/>
                <w:szCs w:val="24"/>
              </w:rPr>
            </w:pPr>
          </w:p>
        </w:tc>
      </w:tr>
      <w:tr w:rsidR="00BE0B19" w:rsidRPr="00AE47C6" w14:paraId="36DC0087" w14:textId="77777777" w:rsidTr="00AD72E5">
        <w:trPr>
          <w:jc w:val="center"/>
        </w:trPr>
        <w:tc>
          <w:tcPr>
            <w:tcW w:w="2307" w:type="dxa"/>
            <w:vAlign w:val="center"/>
          </w:tcPr>
          <w:p w14:paraId="51D7A4B6"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SCA45</w:t>
            </w:r>
          </w:p>
        </w:tc>
        <w:tc>
          <w:tcPr>
            <w:tcW w:w="1799" w:type="dxa"/>
            <w:vAlign w:val="center"/>
          </w:tcPr>
          <w:p w14:paraId="58D6BD3F"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iCs/>
                <w:sz w:val="24"/>
                <w:szCs w:val="24"/>
              </w:rPr>
              <w:t>FAT2</w:t>
            </w:r>
          </w:p>
        </w:tc>
        <w:tc>
          <w:tcPr>
            <w:tcW w:w="3801" w:type="dxa"/>
            <w:vAlign w:val="center"/>
          </w:tcPr>
          <w:p w14:paraId="4126FFA4" w14:textId="77777777" w:rsidR="00BE0B19" w:rsidRPr="00AE47C6" w:rsidRDefault="00BE0B19" w:rsidP="00BE0B19">
            <w:pPr>
              <w:spacing w:after="0" w:line="360" w:lineRule="auto"/>
              <w:ind w:left="360"/>
              <w:rPr>
                <w:rFonts w:ascii="Times New Roman" w:eastAsia="SimSun" w:hAnsi="Times New Roman"/>
                <w:sz w:val="24"/>
                <w:szCs w:val="24"/>
              </w:rPr>
            </w:pPr>
          </w:p>
        </w:tc>
        <w:tc>
          <w:tcPr>
            <w:tcW w:w="1155" w:type="dxa"/>
          </w:tcPr>
          <w:p w14:paraId="102A03AF"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Възрастни</w:t>
            </w:r>
          </w:p>
        </w:tc>
      </w:tr>
      <w:tr w:rsidR="00BE0B19" w:rsidRPr="00AE47C6" w14:paraId="7D14F86F" w14:textId="77777777" w:rsidTr="00AD72E5">
        <w:trPr>
          <w:jc w:val="center"/>
        </w:trPr>
        <w:tc>
          <w:tcPr>
            <w:tcW w:w="2307" w:type="dxa"/>
            <w:vAlign w:val="center"/>
          </w:tcPr>
          <w:p w14:paraId="310D1E79"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SCA46</w:t>
            </w:r>
          </w:p>
        </w:tc>
        <w:tc>
          <w:tcPr>
            <w:tcW w:w="1799" w:type="dxa"/>
            <w:vAlign w:val="center"/>
          </w:tcPr>
          <w:p w14:paraId="5F56E338"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iCs/>
                <w:sz w:val="24"/>
                <w:szCs w:val="24"/>
              </w:rPr>
              <w:t>PLD3</w:t>
            </w:r>
          </w:p>
        </w:tc>
        <w:tc>
          <w:tcPr>
            <w:tcW w:w="3801" w:type="dxa"/>
            <w:vAlign w:val="center"/>
          </w:tcPr>
          <w:p w14:paraId="2357BE53" w14:textId="77777777" w:rsidR="00BE0B19" w:rsidRPr="00AE47C6" w:rsidRDefault="00BE0B19" w:rsidP="00BE0B19">
            <w:pPr>
              <w:spacing w:after="0" w:line="360" w:lineRule="auto"/>
              <w:ind w:left="360"/>
              <w:rPr>
                <w:rFonts w:ascii="Times New Roman" w:eastAsia="SimSun" w:hAnsi="Times New Roman"/>
                <w:sz w:val="24"/>
                <w:szCs w:val="24"/>
              </w:rPr>
            </w:pPr>
            <w:r w:rsidRPr="00AE47C6">
              <w:rPr>
                <w:rFonts w:ascii="Times New Roman" w:eastAsia="SimSun" w:hAnsi="Times New Roman"/>
                <w:sz w:val="24"/>
                <w:szCs w:val="24"/>
              </w:rPr>
              <w:t>Сензорна невропатия, лека малкомозъчна атрофия</w:t>
            </w:r>
          </w:p>
        </w:tc>
        <w:tc>
          <w:tcPr>
            <w:tcW w:w="1155" w:type="dxa"/>
          </w:tcPr>
          <w:p w14:paraId="782D4DF7"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Възрастни</w:t>
            </w:r>
          </w:p>
        </w:tc>
      </w:tr>
      <w:tr w:rsidR="00BE0B19" w:rsidRPr="00AE47C6" w14:paraId="3EF11B74" w14:textId="77777777" w:rsidTr="00AD72E5">
        <w:trPr>
          <w:jc w:val="center"/>
        </w:trPr>
        <w:tc>
          <w:tcPr>
            <w:tcW w:w="2307" w:type="dxa"/>
            <w:vAlign w:val="center"/>
          </w:tcPr>
          <w:p w14:paraId="288BB655"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SCA47</w:t>
            </w:r>
          </w:p>
        </w:tc>
        <w:tc>
          <w:tcPr>
            <w:tcW w:w="1799" w:type="dxa"/>
            <w:vAlign w:val="center"/>
          </w:tcPr>
          <w:p w14:paraId="12DEA609"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iCs/>
                <w:sz w:val="24"/>
                <w:szCs w:val="24"/>
              </w:rPr>
              <w:t>PUM1</w:t>
            </w:r>
          </w:p>
        </w:tc>
        <w:tc>
          <w:tcPr>
            <w:tcW w:w="3801" w:type="dxa"/>
            <w:vAlign w:val="center"/>
          </w:tcPr>
          <w:p w14:paraId="029461DE"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Забавено развитие, умствен дефицит, епилептични пристъпи </w:t>
            </w:r>
          </w:p>
        </w:tc>
        <w:tc>
          <w:tcPr>
            <w:tcW w:w="1155" w:type="dxa"/>
          </w:tcPr>
          <w:p w14:paraId="117B36C7"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Ранно начало</w:t>
            </w:r>
          </w:p>
        </w:tc>
      </w:tr>
      <w:tr w:rsidR="00BE0B19" w:rsidRPr="00AE47C6" w14:paraId="1C500221" w14:textId="77777777" w:rsidTr="00AD72E5">
        <w:trPr>
          <w:jc w:val="center"/>
        </w:trPr>
        <w:tc>
          <w:tcPr>
            <w:tcW w:w="2307" w:type="dxa"/>
            <w:vAlign w:val="center"/>
          </w:tcPr>
          <w:p w14:paraId="42B71399"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SCA48</w:t>
            </w:r>
          </w:p>
        </w:tc>
        <w:tc>
          <w:tcPr>
            <w:tcW w:w="1799" w:type="dxa"/>
            <w:vAlign w:val="center"/>
          </w:tcPr>
          <w:p w14:paraId="0477A1FD"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iCs/>
                <w:sz w:val="24"/>
                <w:szCs w:val="24"/>
              </w:rPr>
              <w:t>STUB1</w:t>
            </w:r>
          </w:p>
        </w:tc>
        <w:tc>
          <w:tcPr>
            <w:tcW w:w="3801" w:type="dxa"/>
            <w:vAlign w:val="center"/>
          </w:tcPr>
          <w:p w14:paraId="7C8E0C5F"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Прогресиращ когнитивен дефицит, предшестващ атаксията </w:t>
            </w:r>
          </w:p>
        </w:tc>
        <w:tc>
          <w:tcPr>
            <w:tcW w:w="1155" w:type="dxa"/>
          </w:tcPr>
          <w:p w14:paraId="707D91D1"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Ранно начало</w:t>
            </w:r>
          </w:p>
        </w:tc>
      </w:tr>
      <w:tr w:rsidR="00BE0B19" w:rsidRPr="00AE47C6" w14:paraId="72D0AE2E" w14:textId="77777777" w:rsidTr="00AD72E5">
        <w:trPr>
          <w:jc w:val="center"/>
        </w:trPr>
        <w:tc>
          <w:tcPr>
            <w:tcW w:w="2307" w:type="dxa"/>
            <w:vAlign w:val="center"/>
          </w:tcPr>
          <w:p w14:paraId="446E6190" w14:textId="77777777" w:rsidR="00BE0B19" w:rsidRPr="00AE47C6" w:rsidRDefault="00C74E8C" w:rsidP="00BE0B19">
            <w:pPr>
              <w:spacing w:after="0" w:line="360" w:lineRule="auto"/>
              <w:rPr>
                <w:rFonts w:ascii="Times New Roman" w:eastAsia="SimSun" w:hAnsi="Times New Roman"/>
                <w:b/>
                <w:sz w:val="24"/>
                <w:szCs w:val="24"/>
              </w:rPr>
            </w:pPr>
            <w:hyperlink r:id="rId128" w:history="1">
              <w:r w:rsidR="00BE0B19" w:rsidRPr="00AE47C6">
                <w:rPr>
                  <w:rFonts w:ascii="Times New Roman" w:eastAsia="SimSun" w:hAnsi="Times New Roman"/>
                  <w:b/>
                  <w:sz w:val="24"/>
                  <w:szCs w:val="24"/>
                </w:rPr>
                <w:t>DRPLA</w:t>
              </w:r>
            </w:hyperlink>
          </w:p>
        </w:tc>
        <w:tc>
          <w:tcPr>
            <w:tcW w:w="1799" w:type="dxa"/>
            <w:vAlign w:val="center"/>
          </w:tcPr>
          <w:p w14:paraId="59A1A648"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iCs/>
                <w:sz w:val="24"/>
                <w:szCs w:val="24"/>
              </w:rPr>
              <w:t xml:space="preserve">ATN1, </w:t>
            </w:r>
            <w:r w:rsidRPr="00AE47C6">
              <w:rPr>
                <w:rFonts w:ascii="Times New Roman" w:eastAsia="SimSun" w:hAnsi="Times New Roman"/>
                <w:sz w:val="24"/>
                <w:szCs w:val="24"/>
              </w:rPr>
              <w:t>CAG повтаряне</w:t>
            </w:r>
          </w:p>
        </w:tc>
        <w:tc>
          <w:tcPr>
            <w:tcW w:w="3801" w:type="dxa"/>
            <w:vAlign w:val="center"/>
          </w:tcPr>
          <w:p w14:paraId="2974F13F"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Хорея, Епилептични припадъци, миоклонус деменция </w:t>
            </w:r>
          </w:p>
        </w:tc>
        <w:tc>
          <w:tcPr>
            <w:tcW w:w="1155" w:type="dxa"/>
          </w:tcPr>
          <w:p w14:paraId="0657D69B"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0-59</w:t>
            </w:r>
          </w:p>
        </w:tc>
      </w:tr>
      <w:tr w:rsidR="00BE0B19" w:rsidRPr="00AE47C6" w14:paraId="45B7573D" w14:textId="77777777" w:rsidTr="00AD72E5">
        <w:trPr>
          <w:jc w:val="center"/>
        </w:trPr>
        <w:tc>
          <w:tcPr>
            <w:tcW w:w="2307" w:type="dxa"/>
            <w:vAlign w:val="center"/>
          </w:tcPr>
          <w:p w14:paraId="4AB70B8D"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ADCADN</w:t>
            </w:r>
          </w:p>
        </w:tc>
        <w:tc>
          <w:tcPr>
            <w:tcW w:w="1799" w:type="dxa"/>
            <w:vAlign w:val="center"/>
          </w:tcPr>
          <w:p w14:paraId="6B430F57"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iCs/>
                <w:sz w:val="24"/>
                <w:szCs w:val="24"/>
              </w:rPr>
              <w:t>DNMT1</w:t>
            </w:r>
          </w:p>
        </w:tc>
        <w:tc>
          <w:tcPr>
            <w:tcW w:w="3801" w:type="dxa"/>
            <w:vAlign w:val="center"/>
          </w:tcPr>
          <w:p w14:paraId="06B064C2"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Глухота, сетивни нарушения, нарколепсия</w:t>
            </w:r>
          </w:p>
        </w:tc>
        <w:tc>
          <w:tcPr>
            <w:tcW w:w="1155" w:type="dxa"/>
          </w:tcPr>
          <w:p w14:paraId="38162C89" w14:textId="77777777" w:rsidR="00BE0B19" w:rsidRPr="00AE47C6" w:rsidRDefault="00BE0B19" w:rsidP="00BE0B19">
            <w:pPr>
              <w:spacing w:after="0" w:line="360" w:lineRule="auto"/>
              <w:rPr>
                <w:rFonts w:ascii="Times New Roman" w:eastAsia="SimSun" w:hAnsi="Times New Roman"/>
                <w:sz w:val="24"/>
                <w:szCs w:val="24"/>
              </w:rPr>
            </w:pPr>
          </w:p>
        </w:tc>
      </w:tr>
      <w:tr w:rsidR="00BE0B19" w:rsidRPr="00AE47C6" w14:paraId="42EFF761" w14:textId="77777777" w:rsidTr="00AD72E5">
        <w:trPr>
          <w:jc w:val="center"/>
        </w:trPr>
        <w:tc>
          <w:tcPr>
            <w:tcW w:w="2307" w:type="dxa"/>
            <w:vAlign w:val="center"/>
          </w:tcPr>
          <w:p w14:paraId="259AA657"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Левкоенцефалопатия  с хипомиелинизация</w:t>
            </w:r>
          </w:p>
        </w:tc>
        <w:tc>
          <w:tcPr>
            <w:tcW w:w="1799" w:type="dxa"/>
            <w:vAlign w:val="center"/>
          </w:tcPr>
          <w:p w14:paraId="38EC0FA7"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iCs/>
                <w:sz w:val="24"/>
                <w:szCs w:val="24"/>
              </w:rPr>
              <w:t>TUBB4A</w:t>
            </w:r>
          </w:p>
        </w:tc>
        <w:tc>
          <w:tcPr>
            <w:tcW w:w="3801" w:type="dxa"/>
            <w:vAlign w:val="center"/>
          </w:tcPr>
          <w:p w14:paraId="53214E69"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Хипомиелинизация, атрофия на базалните ядра, ригидност, дистония, хорея</w:t>
            </w:r>
          </w:p>
        </w:tc>
        <w:tc>
          <w:tcPr>
            <w:tcW w:w="1155" w:type="dxa"/>
          </w:tcPr>
          <w:p w14:paraId="3FC9FCB1"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Ранно начало</w:t>
            </w:r>
          </w:p>
        </w:tc>
      </w:tr>
      <w:tr w:rsidR="00BE0B19" w:rsidRPr="00AE47C6" w14:paraId="1747364D" w14:textId="77777777" w:rsidTr="00AD72E5">
        <w:trPr>
          <w:jc w:val="center"/>
        </w:trPr>
        <w:tc>
          <w:tcPr>
            <w:tcW w:w="2307" w:type="dxa"/>
            <w:vAlign w:val="center"/>
          </w:tcPr>
          <w:p w14:paraId="0AF21F5B"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i/>
                <w:iCs/>
                <w:sz w:val="24"/>
                <w:szCs w:val="24"/>
              </w:rPr>
              <w:t>GRID2</w:t>
            </w:r>
            <w:r w:rsidRPr="00AE47C6">
              <w:rPr>
                <w:rFonts w:ascii="Times New Roman" w:eastAsia="SimSun" w:hAnsi="Times New Roman"/>
                <w:b/>
                <w:sz w:val="24"/>
                <w:szCs w:val="24"/>
              </w:rPr>
              <w:t>-свързана спиноцеребеларна атаксия</w:t>
            </w:r>
          </w:p>
        </w:tc>
        <w:tc>
          <w:tcPr>
            <w:tcW w:w="1799" w:type="dxa"/>
            <w:vAlign w:val="center"/>
          </w:tcPr>
          <w:p w14:paraId="05A994BE"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iCs/>
                <w:sz w:val="24"/>
                <w:szCs w:val="24"/>
              </w:rPr>
              <w:t>GRID2</w:t>
            </w:r>
          </w:p>
        </w:tc>
        <w:tc>
          <w:tcPr>
            <w:tcW w:w="3801" w:type="dxa"/>
            <w:vAlign w:val="center"/>
          </w:tcPr>
          <w:p w14:paraId="55BBF6B8"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Когнитивни нарушения, абнормни очни движения, загуба на слух</w:t>
            </w:r>
          </w:p>
        </w:tc>
        <w:tc>
          <w:tcPr>
            <w:tcW w:w="1155" w:type="dxa"/>
          </w:tcPr>
          <w:p w14:paraId="26F4C571"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Ранно начало</w:t>
            </w:r>
          </w:p>
        </w:tc>
      </w:tr>
      <w:tr w:rsidR="00BE0B19" w:rsidRPr="00AE47C6" w14:paraId="77A77885" w14:textId="77777777" w:rsidTr="00AD72E5">
        <w:trPr>
          <w:jc w:val="center"/>
        </w:trPr>
        <w:tc>
          <w:tcPr>
            <w:tcW w:w="2307" w:type="dxa"/>
            <w:vAlign w:val="center"/>
          </w:tcPr>
          <w:p w14:paraId="21FAEEEF"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Чиста церебеларна атаксия</w:t>
            </w:r>
          </w:p>
        </w:tc>
        <w:tc>
          <w:tcPr>
            <w:tcW w:w="1799" w:type="dxa"/>
            <w:vAlign w:val="center"/>
          </w:tcPr>
          <w:p w14:paraId="32ACFAD3"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iCs/>
                <w:sz w:val="24"/>
                <w:szCs w:val="24"/>
              </w:rPr>
              <w:t>C9 или f72</w:t>
            </w:r>
            <w:r w:rsidRPr="00AE47C6">
              <w:rPr>
                <w:rFonts w:ascii="Times New Roman" w:eastAsia="SimSun" w:hAnsi="Times New Roman"/>
                <w:sz w:val="24"/>
                <w:szCs w:val="24"/>
              </w:rPr>
              <w:t> </w:t>
            </w:r>
          </w:p>
        </w:tc>
        <w:tc>
          <w:tcPr>
            <w:tcW w:w="3801" w:type="dxa"/>
            <w:vAlign w:val="center"/>
          </w:tcPr>
          <w:p w14:paraId="311F4CBE"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Чиста атаксия; Други членове на семейството – с фронтотемпорална деменция или мотоневронна болест </w:t>
            </w:r>
          </w:p>
        </w:tc>
        <w:tc>
          <w:tcPr>
            <w:tcW w:w="1155" w:type="dxa"/>
          </w:tcPr>
          <w:p w14:paraId="18CFD191" w14:textId="77777777" w:rsidR="00BE0B19" w:rsidRPr="00AE47C6" w:rsidRDefault="00BE0B19" w:rsidP="00BE0B19">
            <w:pPr>
              <w:spacing w:after="0" w:line="360" w:lineRule="auto"/>
              <w:rPr>
                <w:rFonts w:ascii="Times New Roman" w:eastAsia="SimSun" w:hAnsi="Times New Roman"/>
                <w:sz w:val="24"/>
                <w:szCs w:val="24"/>
              </w:rPr>
            </w:pPr>
          </w:p>
        </w:tc>
      </w:tr>
      <w:tr w:rsidR="00BE0B19" w:rsidRPr="00AE47C6" w14:paraId="373659AD" w14:textId="77777777" w:rsidTr="00AD72E5">
        <w:trPr>
          <w:jc w:val="center"/>
        </w:trPr>
        <w:tc>
          <w:tcPr>
            <w:tcW w:w="2307" w:type="dxa"/>
            <w:vAlign w:val="center"/>
          </w:tcPr>
          <w:p w14:paraId="6EC78624"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 xml:space="preserve">Церебеларна атрофия с епилептична енцефалопатия </w:t>
            </w:r>
          </w:p>
        </w:tc>
        <w:tc>
          <w:tcPr>
            <w:tcW w:w="1799" w:type="dxa"/>
            <w:vAlign w:val="center"/>
          </w:tcPr>
          <w:p w14:paraId="77720EC8"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iCs/>
                <w:sz w:val="24"/>
                <w:szCs w:val="24"/>
              </w:rPr>
              <w:t>FGF12</w:t>
            </w:r>
          </w:p>
        </w:tc>
        <w:tc>
          <w:tcPr>
            <w:tcW w:w="3801" w:type="dxa"/>
            <w:vAlign w:val="center"/>
          </w:tcPr>
          <w:p w14:paraId="6DAE0AA9"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Инфантилни спазми, умствен дефицит, микроцефалия</w:t>
            </w:r>
          </w:p>
        </w:tc>
        <w:tc>
          <w:tcPr>
            <w:tcW w:w="1155" w:type="dxa"/>
          </w:tcPr>
          <w:p w14:paraId="48DBE6E9"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Ранно начало</w:t>
            </w:r>
          </w:p>
        </w:tc>
      </w:tr>
      <w:tr w:rsidR="00BE0B19" w:rsidRPr="00AE47C6" w14:paraId="11DA78D3" w14:textId="77777777" w:rsidTr="00AD72E5">
        <w:trPr>
          <w:jc w:val="center"/>
        </w:trPr>
        <w:tc>
          <w:tcPr>
            <w:tcW w:w="2307" w:type="dxa"/>
            <w:vAlign w:val="center"/>
          </w:tcPr>
          <w:p w14:paraId="3B1B244E"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Бързо прогресираща атаксия</w:t>
            </w:r>
          </w:p>
        </w:tc>
        <w:tc>
          <w:tcPr>
            <w:tcW w:w="1799" w:type="dxa"/>
            <w:vAlign w:val="center"/>
          </w:tcPr>
          <w:p w14:paraId="1B4C91BD"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i/>
                <w:iCs/>
                <w:sz w:val="24"/>
                <w:szCs w:val="24"/>
              </w:rPr>
              <w:t>ATP1A3</w:t>
            </w:r>
          </w:p>
        </w:tc>
        <w:tc>
          <w:tcPr>
            <w:tcW w:w="3801" w:type="dxa"/>
            <w:vAlign w:val="center"/>
          </w:tcPr>
          <w:p w14:paraId="637FCB7C"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Малкомозъчна атрофия</w:t>
            </w:r>
          </w:p>
        </w:tc>
        <w:tc>
          <w:tcPr>
            <w:tcW w:w="1155" w:type="dxa"/>
          </w:tcPr>
          <w:p w14:paraId="38AE4D5B"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Ранно начало</w:t>
            </w:r>
          </w:p>
        </w:tc>
      </w:tr>
    </w:tbl>
    <w:p w14:paraId="0559E530" w14:textId="77777777" w:rsidR="00BE0B19" w:rsidRPr="00AE47C6" w:rsidRDefault="00BE0B19" w:rsidP="00BE0B19">
      <w:pPr>
        <w:spacing w:after="0" w:line="360" w:lineRule="auto"/>
        <w:jc w:val="both"/>
        <w:rPr>
          <w:rFonts w:ascii="Times New Roman" w:eastAsia="SimSun" w:hAnsi="Times New Roman"/>
          <w:sz w:val="24"/>
          <w:szCs w:val="24"/>
        </w:rPr>
      </w:pPr>
    </w:p>
    <w:p w14:paraId="64BA0E3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Табл.5.20. Синдроми и невропатология при AД спиноцеребеларните атаксии</w:t>
      </w:r>
      <w:r w:rsidRPr="00AE47C6">
        <w:rPr>
          <w:rFonts w:ascii="Times New Roman" w:eastAsia="SimSun" w:hAnsi="Times New Roman"/>
          <w:sz w:val="24"/>
          <w:szCs w:val="24"/>
        </w:rPr>
        <w:t xml:space="preserve">.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6"/>
        <w:gridCol w:w="2414"/>
        <w:gridCol w:w="2410"/>
        <w:gridCol w:w="3289"/>
      </w:tblGrid>
      <w:tr w:rsidR="00BE0B19" w:rsidRPr="00AE47C6" w14:paraId="73A12B45" w14:textId="77777777" w:rsidTr="00AD72E5">
        <w:tc>
          <w:tcPr>
            <w:tcW w:w="1096" w:type="dxa"/>
          </w:tcPr>
          <w:p w14:paraId="50BF7100"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АД-SCA</w:t>
            </w:r>
          </w:p>
        </w:tc>
        <w:tc>
          <w:tcPr>
            <w:tcW w:w="2414" w:type="dxa"/>
          </w:tcPr>
          <w:p w14:paraId="5B5EE8DC"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Клинична характеристика</w:t>
            </w:r>
          </w:p>
        </w:tc>
        <w:tc>
          <w:tcPr>
            <w:tcW w:w="2410" w:type="dxa"/>
          </w:tcPr>
          <w:p w14:paraId="63183449"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Невропатология</w:t>
            </w:r>
          </w:p>
        </w:tc>
        <w:tc>
          <w:tcPr>
            <w:tcW w:w="3289" w:type="dxa"/>
          </w:tcPr>
          <w:p w14:paraId="329AB1BB"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Видове според гените/локуси</w:t>
            </w:r>
          </w:p>
        </w:tc>
      </w:tr>
      <w:tr w:rsidR="00BE0B19" w:rsidRPr="00AE47C6" w14:paraId="59A336A9" w14:textId="77777777" w:rsidTr="00AD72E5">
        <w:tc>
          <w:tcPr>
            <w:tcW w:w="1096" w:type="dxa"/>
          </w:tcPr>
          <w:p w14:paraId="0905FC31"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АД-SCA I</w:t>
            </w:r>
          </w:p>
        </w:tc>
        <w:tc>
          <w:tcPr>
            <w:tcW w:w="2414" w:type="dxa"/>
          </w:tcPr>
          <w:p w14:paraId="45A89CAC"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Церебеларен синдром + други синдроми от ЦНС (офталмоплегия, пирамиден, екстрапирамиден синдром, деменция, невропатия</w:t>
            </w:r>
          </w:p>
        </w:tc>
        <w:tc>
          <w:tcPr>
            <w:tcW w:w="2410" w:type="dxa"/>
          </w:tcPr>
          <w:p w14:paraId="708F4727"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Дегенерация на малък мозък, базални ганглии, мозъчна кора, зрителни нерви, понтомедуларна система, спинални пътища, периферни нерви</w:t>
            </w:r>
          </w:p>
        </w:tc>
        <w:tc>
          <w:tcPr>
            <w:tcW w:w="3289" w:type="dxa"/>
          </w:tcPr>
          <w:p w14:paraId="43A986BF"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SCA1, 2, 3, 4, 8, 10, 12, 13, 17, 18, 19, 20, 21, 23, 24, 25, 27, 28, 35, 37 38, 40, 43, 44 ,46, 47, 48, DRPLA, ADCADN, левкоенцефалопатия с хипомиелинизация, GRID-2, церебеларна атаксия с епилептична енцефалопатия DRPLA</w:t>
            </w:r>
          </w:p>
        </w:tc>
      </w:tr>
      <w:tr w:rsidR="00BE0B19" w:rsidRPr="00AE47C6" w14:paraId="4FEBB46D" w14:textId="77777777" w:rsidTr="00AD72E5">
        <w:tc>
          <w:tcPr>
            <w:tcW w:w="1096" w:type="dxa"/>
          </w:tcPr>
          <w:p w14:paraId="6574D319"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АД-SCA II</w:t>
            </w:r>
          </w:p>
        </w:tc>
        <w:tc>
          <w:tcPr>
            <w:tcW w:w="2414" w:type="dxa"/>
          </w:tcPr>
          <w:p w14:paraId="4DD360E4"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Церебеларен синдром с пигментна ретинопатия </w:t>
            </w:r>
          </w:p>
        </w:tc>
        <w:tc>
          <w:tcPr>
            <w:tcW w:w="2410" w:type="dxa"/>
          </w:tcPr>
          <w:p w14:paraId="4138D981"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Церебеларна и пигментна ретинална дегенерация </w:t>
            </w:r>
          </w:p>
        </w:tc>
        <w:tc>
          <w:tcPr>
            <w:tcW w:w="3289" w:type="dxa"/>
          </w:tcPr>
          <w:p w14:paraId="3CFCF910"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SCA7</w:t>
            </w:r>
          </w:p>
        </w:tc>
      </w:tr>
      <w:tr w:rsidR="00BE0B19" w:rsidRPr="00AE47C6" w14:paraId="4A8C0EE4" w14:textId="77777777" w:rsidTr="00AD72E5">
        <w:tc>
          <w:tcPr>
            <w:tcW w:w="1096" w:type="dxa"/>
          </w:tcPr>
          <w:p w14:paraId="20759CBB"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АД-SCA III</w:t>
            </w:r>
          </w:p>
        </w:tc>
        <w:tc>
          <w:tcPr>
            <w:tcW w:w="2414" w:type="dxa"/>
          </w:tcPr>
          <w:p w14:paraId="5B0A7152"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Чист церебеларен синдром</w:t>
            </w:r>
          </w:p>
        </w:tc>
        <w:tc>
          <w:tcPr>
            <w:tcW w:w="2410" w:type="dxa"/>
          </w:tcPr>
          <w:p w14:paraId="3AAA4A41"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b/>
                <w:bCs/>
                <w:sz w:val="24"/>
                <w:szCs w:val="24"/>
              </w:rPr>
              <w:t>Церебеларна дегенерация</w:t>
            </w:r>
          </w:p>
        </w:tc>
        <w:tc>
          <w:tcPr>
            <w:tcW w:w="3289" w:type="dxa"/>
          </w:tcPr>
          <w:p w14:paraId="31EF75EF"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SCA 5, 6, 11, 14, 15, 16, 26q 41, чиста атаксия с С9 или f72 ген, бързо прогресираща атаксия</w:t>
            </w:r>
          </w:p>
        </w:tc>
      </w:tr>
    </w:tbl>
    <w:p w14:paraId="7A241C16" w14:textId="77777777" w:rsidR="00BE0B19" w:rsidRPr="00AE47C6" w:rsidRDefault="00BE0B19" w:rsidP="00BE0B19">
      <w:pPr>
        <w:spacing w:after="0" w:line="360" w:lineRule="auto"/>
        <w:jc w:val="both"/>
        <w:rPr>
          <w:rFonts w:ascii="Times New Roman" w:eastAsia="SimSun" w:hAnsi="Times New Roman"/>
          <w:sz w:val="24"/>
          <w:szCs w:val="24"/>
        </w:rPr>
      </w:pPr>
    </w:p>
    <w:p w14:paraId="56568156"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4FAC9822"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Диагноза, диференциална диагноза и лечение на ЦДЗ</w:t>
      </w:r>
    </w:p>
    <w:p w14:paraId="2B552CAA"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p>
    <w:p w14:paraId="7D9F473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 xml:space="preserve">Диагностицирането на ЦДЗ </w:t>
      </w:r>
      <w:r w:rsidRPr="00AE47C6">
        <w:rPr>
          <w:rFonts w:ascii="Times New Roman" w:eastAsia="SimSun" w:hAnsi="Times New Roman"/>
          <w:sz w:val="24"/>
          <w:szCs w:val="24"/>
        </w:rPr>
        <w:t xml:space="preserve">се базира на характеризиране на типа според възрастовото начало, клиничната характеристика, начина на унаследяване и генетичните изследвания при фамилните случаи, инвалидизацията, невроизобразяващите изследвания и ЕМГ. </w:t>
      </w:r>
      <w:r w:rsidRPr="00AE47C6">
        <w:rPr>
          <w:rFonts w:ascii="Times New Roman" w:eastAsia="SimSun" w:hAnsi="Times New Roman"/>
          <w:i/>
          <w:iCs/>
          <w:sz w:val="24"/>
          <w:szCs w:val="24"/>
        </w:rPr>
        <w:t>Невроизобразяващите изследвания</w:t>
      </w:r>
      <w:r w:rsidRPr="00AE47C6">
        <w:rPr>
          <w:rFonts w:ascii="Times New Roman" w:eastAsia="SimSun" w:hAnsi="Times New Roman"/>
          <w:sz w:val="24"/>
          <w:szCs w:val="24"/>
        </w:rPr>
        <w:t xml:space="preserve"> са важни за диагнозата и диференциалната диагноза на ЦДЗ. </w:t>
      </w:r>
      <w:r w:rsidRPr="00AE47C6">
        <w:rPr>
          <w:rFonts w:ascii="Times New Roman" w:eastAsia="SimSun" w:hAnsi="Times New Roman"/>
          <w:i/>
          <w:iCs/>
          <w:sz w:val="24"/>
          <w:szCs w:val="24"/>
        </w:rPr>
        <w:t xml:space="preserve">МРТ </w:t>
      </w:r>
      <w:r w:rsidRPr="00AE47C6">
        <w:rPr>
          <w:rFonts w:ascii="Times New Roman" w:eastAsia="SimSun" w:hAnsi="Times New Roman"/>
          <w:sz w:val="24"/>
          <w:szCs w:val="24"/>
        </w:rPr>
        <w:t xml:space="preserve">е по-информативна. Тя по-добре визуализира атрофичните промени в структурите на малкия мозък, pons, разширението на ІV вентрикул и атрофичните промени в гръбначния мозък при Фридрайховата атаксия, както и в други структури на главния мозък при церебро-церебеларните атрофии. </w:t>
      </w:r>
      <w:r w:rsidRPr="00AE47C6">
        <w:rPr>
          <w:rFonts w:ascii="Times New Roman" w:eastAsia="SimSun" w:hAnsi="Times New Roman"/>
          <w:i/>
          <w:iCs/>
          <w:sz w:val="24"/>
          <w:szCs w:val="24"/>
        </w:rPr>
        <w:t xml:space="preserve">РЕТ </w:t>
      </w:r>
      <w:r w:rsidRPr="00AE47C6">
        <w:rPr>
          <w:rFonts w:ascii="Times New Roman" w:eastAsia="SimSun" w:hAnsi="Times New Roman"/>
          <w:sz w:val="24"/>
          <w:szCs w:val="24"/>
        </w:rPr>
        <w:t xml:space="preserve">установява снижен метаболизъм в малкомозъчните хемисфери, вермиса, фронталните и префронтални области. ЕМГ разкрива перифернонервна увреда, ЕЕГ - епилептична активност при епилептичен синдром. </w:t>
      </w:r>
      <w:r w:rsidRPr="00AE47C6">
        <w:rPr>
          <w:rFonts w:ascii="Times New Roman" w:eastAsia="SimSun" w:hAnsi="Times New Roman"/>
          <w:i/>
          <w:sz w:val="24"/>
          <w:szCs w:val="24"/>
        </w:rPr>
        <w:t>Генетичните изследвания</w:t>
      </w:r>
      <w:r w:rsidRPr="00AE47C6">
        <w:rPr>
          <w:rFonts w:ascii="Times New Roman" w:eastAsia="SimSun" w:hAnsi="Times New Roman"/>
          <w:sz w:val="24"/>
          <w:szCs w:val="24"/>
        </w:rPr>
        <w:t xml:space="preserve"> доказват наличие на локуси, генни и метаболитни дефекти (Виж Таблици 5.18 и 5.19.)</w:t>
      </w:r>
    </w:p>
    <w:p w14:paraId="627B80BD" w14:textId="77777777" w:rsidR="00BE0B19" w:rsidRPr="00AE47C6" w:rsidRDefault="00BE0B19" w:rsidP="00BE0B19">
      <w:pPr>
        <w:numPr>
          <w:ilvl w:val="0"/>
          <w:numId w:val="36"/>
        </w:numPr>
        <w:tabs>
          <w:tab w:val="clear" w:pos="720"/>
          <w:tab w:val="num" w:pos="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Cs/>
          <w:sz w:val="24"/>
          <w:szCs w:val="24"/>
        </w:rPr>
        <w:t>Идиопатични церебеларни дегенеративни атаксии с късно начало</w:t>
      </w:r>
      <w:r w:rsidRPr="00AE47C6">
        <w:rPr>
          <w:rFonts w:ascii="Times New Roman" w:eastAsia="SimSun" w:hAnsi="Times New Roman"/>
          <w:sz w:val="24"/>
          <w:szCs w:val="24"/>
        </w:rPr>
        <w:t xml:space="preserve"> са спорадични церебеларни дегенеративни заболявания, при които не се разкрива генен дефект, а началото е между 3-то и 6-то десетилетие (тип Marie, Foix, Alajouanine и </w:t>
      </w:r>
      <w:r w:rsidRPr="00AE47C6">
        <w:rPr>
          <w:rFonts w:ascii="Times New Roman" w:eastAsia="SimSun" w:hAnsi="Times New Roman"/>
          <w:bCs/>
          <w:sz w:val="24"/>
          <w:szCs w:val="24"/>
        </w:rPr>
        <w:t>тип Dejerine – Thomas</w:t>
      </w:r>
      <w:r w:rsidRPr="00AE47C6">
        <w:rPr>
          <w:rFonts w:ascii="Times New Roman" w:eastAsia="SimSun" w:hAnsi="Times New Roman"/>
          <w:sz w:val="24"/>
          <w:szCs w:val="24"/>
        </w:rPr>
        <w:t xml:space="preserve"> (без автономна и с автономна недостатъчност) .</w:t>
      </w:r>
    </w:p>
    <w:p w14:paraId="3706AD66"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1636FA9F"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Диференциална диагноза на ХДЗ</w:t>
      </w:r>
    </w:p>
    <w:p w14:paraId="56397410"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b/>
          <w:bCs/>
          <w:sz w:val="24"/>
          <w:szCs w:val="24"/>
          <w:lang w:eastAsia="bg-BG"/>
        </w:rPr>
      </w:pPr>
    </w:p>
    <w:p w14:paraId="75265C8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При ранно начало се извършва отдиференциране от нехередитарните заболявания, протичащи с атаксия/церебеларен синдром:</w:t>
      </w:r>
    </w:p>
    <w:p w14:paraId="5BB8BBA0" w14:textId="77777777" w:rsidR="00BE0B19" w:rsidRPr="00AE47C6" w:rsidRDefault="00BE0B19" w:rsidP="00BE0B19">
      <w:pPr>
        <w:numPr>
          <w:ilvl w:val="0"/>
          <w:numId w:val="34"/>
        </w:numPr>
        <w:tabs>
          <w:tab w:val="clear" w:pos="720"/>
          <w:tab w:val="num" w:pos="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Cs/>
          <w:i/>
          <w:sz w:val="24"/>
          <w:szCs w:val="24"/>
        </w:rPr>
        <w:t xml:space="preserve">Малформации в развитието на малкия мозък и задна черепна ямка </w:t>
      </w:r>
      <w:r w:rsidRPr="00AE47C6">
        <w:rPr>
          <w:rFonts w:ascii="Times New Roman" w:eastAsia="SimSun" w:hAnsi="Times New Roman"/>
          <w:sz w:val="24"/>
          <w:szCs w:val="24"/>
        </w:rPr>
        <w:t xml:space="preserve">(Синдром на Dandy-Walker, Arnold Chiari, Joubert, сирингобулбия, платибазия и базиларна импресия). В тези случаи диагнозата се поставя чрез невроизобразяващи изследвания – МРТ на кранио-спинално ниво. </w:t>
      </w:r>
    </w:p>
    <w:p w14:paraId="5902CA75" w14:textId="77777777" w:rsidR="00BE0B19" w:rsidRPr="00AE47C6" w:rsidRDefault="00BE0B19" w:rsidP="00BE0B19">
      <w:pPr>
        <w:numPr>
          <w:ilvl w:val="0"/>
          <w:numId w:val="34"/>
        </w:numPr>
        <w:tabs>
          <w:tab w:val="clear" w:pos="720"/>
          <w:tab w:val="num" w:pos="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Cs/>
          <w:i/>
          <w:sz w:val="24"/>
          <w:szCs w:val="24"/>
        </w:rPr>
        <w:t>Персистиращи невроинфекции</w:t>
      </w:r>
      <w:r w:rsidRPr="00AE47C6">
        <w:rPr>
          <w:rFonts w:ascii="Times New Roman" w:eastAsia="SimSun" w:hAnsi="Times New Roman"/>
          <w:sz w:val="24"/>
          <w:szCs w:val="24"/>
        </w:rPr>
        <w:t xml:space="preserve"> с подостро протичане (SSPE, прогресиращ рубеолен паненцефалит, енцефалопатия при СПИН) с начален прогресиращ церебеларен синдром. Диагнозата се поставя чрез вирусологични и ликворни изследвания с доказване на интратекален синтез и ликворни антитела срещу персистиращите вирусни причинители.</w:t>
      </w:r>
    </w:p>
    <w:p w14:paraId="5B1DC278" w14:textId="77777777" w:rsidR="00BE0B19" w:rsidRPr="00AE47C6" w:rsidRDefault="00BE0B19" w:rsidP="00BE0B19">
      <w:pPr>
        <w:spacing w:after="0" w:line="360" w:lineRule="auto"/>
        <w:ind w:firstLine="851"/>
        <w:jc w:val="both"/>
        <w:rPr>
          <w:rFonts w:ascii="Times New Roman" w:eastAsia="SimSun" w:hAnsi="Times New Roman"/>
          <w:sz w:val="24"/>
          <w:szCs w:val="24"/>
        </w:rPr>
      </w:pPr>
      <w:r w:rsidRPr="00AE47C6">
        <w:rPr>
          <w:rFonts w:ascii="Times New Roman" w:eastAsia="SimSun" w:hAnsi="Times New Roman"/>
          <w:sz w:val="24"/>
          <w:szCs w:val="24"/>
        </w:rPr>
        <w:t>При прогресиращ ход се извършва диференциране от дегенеративни заболявания или дизметаболитни енцефалопатии, протичащи и с прогресиращ церебеларен синдром.</w:t>
      </w:r>
    </w:p>
    <w:p w14:paraId="1FBA58E0" w14:textId="77777777" w:rsidR="00BE0B19" w:rsidRPr="00AE47C6" w:rsidRDefault="00BE0B19" w:rsidP="00BE0B19">
      <w:pPr>
        <w:numPr>
          <w:ilvl w:val="0"/>
          <w:numId w:val="34"/>
        </w:numPr>
        <w:tabs>
          <w:tab w:val="clear" w:pos="720"/>
          <w:tab w:val="num" w:pos="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Cs/>
          <w:i/>
          <w:sz w:val="24"/>
          <w:szCs w:val="24"/>
        </w:rPr>
        <w:t xml:space="preserve">Невролипидози. </w:t>
      </w:r>
      <w:r w:rsidRPr="00AE47C6">
        <w:rPr>
          <w:rFonts w:ascii="Times New Roman" w:eastAsia="SimSun" w:hAnsi="Times New Roman"/>
          <w:sz w:val="24"/>
          <w:szCs w:val="24"/>
        </w:rPr>
        <w:t>Началният церебеларен синдром е съчетан с прогресиращи квадрипареза, деменция, полимиоклонус, епилептични припадъци, ретинална и макуларна дегенерация. Доказва се определен ензимен дефицит на лизозомните ензими, характерен за различните типове невролипидози (болест на Niemann - Pick, Gaucher, Tay-Sachs, цероидлипофусцинози, сиалидози) (Виж “Невролипидози и левкодистрофии”).</w:t>
      </w:r>
    </w:p>
    <w:p w14:paraId="4AF056B3" w14:textId="77777777" w:rsidR="00BE0B19" w:rsidRPr="00AE47C6" w:rsidRDefault="00BE0B19" w:rsidP="00BE0B19">
      <w:pPr>
        <w:numPr>
          <w:ilvl w:val="0"/>
          <w:numId w:val="34"/>
        </w:numPr>
        <w:tabs>
          <w:tab w:val="clear" w:pos="720"/>
          <w:tab w:val="num" w:pos="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Cs/>
          <w:i/>
          <w:sz w:val="24"/>
          <w:szCs w:val="24"/>
        </w:rPr>
        <w:t xml:space="preserve">Левкодистрофии. </w:t>
      </w:r>
      <w:r w:rsidRPr="00AE47C6">
        <w:rPr>
          <w:rFonts w:ascii="Times New Roman" w:eastAsia="SimSun" w:hAnsi="Times New Roman"/>
          <w:sz w:val="24"/>
          <w:szCs w:val="24"/>
        </w:rPr>
        <w:t>Прогресиращият церебеларен синдром е успореден с пирамидна увреда, прогресираща амавроза, полиневропатия при дефицит на арилсулфатаза (метахроматична левкодистрофия), β-галактоцереброзидаза (глобоидоклетъчна левкодистрофия тип Krabbe), натрупване на дълговерижни мастни киселини (адренолевкодистрофия) (Виж “Невролипидози и левкодистрофии”).</w:t>
      </w:r>
    </w:p>
    <w:p w14:paraId="013AFC41"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При късно начало диференциране на ЦДЗ от:</w:t>
      </w:r>
    </w:p>
    <w:p w14:paraId="4EEBFA51" w14:textId="77777777" w:rsidR="00BE0B19" w:rsidRPr="00AE47C6" w:rsidRDefault="00BE0B19" w:rsidP="00BE0B19">
      <w:pPr>
        <w:numPr>
          <w:ilvl w:val="0"/>
          <w:numId w:val="35"/>
        </w:numPr>
        <w:tabs>
          <w:tab w:val="clear" w:pos="720"/>
          <w:tab w:val="num" w:pos="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Cs/>
          <w:i/>
          <w:sz w:val="24"/>
          <w:szCs w:val="24"/>
        </w:rPr>
        <w:t xml:space="preserve">Неопластични заболявания, паранеопластична церебеларна дегенерация </w:t>
      </w:r>
      <w:r w:rsidRPr="00AE47C6">
        <w:rPr>
          <w:rFonts w:ascii="Times New Roman" w:eastAsia="SimSun" w:hAnsi="Times New Roman"/>
          <w:sz w:val="24"/>
          <w:szCs w:val="24"/>
        </w:rPr>
        <w:t>при болест на Hodgkin, у жени с карцином на гърдата или овариален карцином с образуване на антитела срещу клетките на Purkinje (anti-Yo; anti-Hu).</w:t>
      </w:r>
    </w:p>
    <w:p w14:paraId="4DEED1D0" w14:textId="77777777" w:rsidR="00BE0B19" w:rsidRPr="00AE47C6" w:rsidRDefault="00BE0B19" w:rsidP="00BE0B19">
      <w:pPr>
        <w:numPr>
          <w:ilvl w:val="0"/>
          <w:numId w:val="35"/>
        </w:numPr>
        <w:tabs>
          <w:tab w:val="clear" w:pos="720"/>
          <w:tab w:val="num" w:pos="0"/>
        </w:tabs>
        <w:spacing w:after="0" w:line="360" w:lineRule="auto"/>
        <w:ind w:left="0" w:firstLine="0"/>
        <w:jc w:val="both"/>
        <w:rPr>
          <w:rFonts w:ascii="Times New Roman" w:eastAsia="SimSun" w:hAnsi="Times New Roman"/>
          <w:bCs/>
          <w:sz w:val="24"/>
          <w:szCs w:val="24"/>
        </w:rPr>
      </w:pPr>
      <w:r w:rsidRPr="00AE47C6">
        <w:rPr>
          <w:rFonts w:ascii="Times New Roman" w:eastAsia="SimSun" w:hAnsi="Times New Roman"/>
          <w:bCs/>
          <w:i/>
          <w:sz w:val="24"/>
          <w:szCs w:val="24"/>
        </w:rPr>
        <w:t>Недоимъчни заболявания</w:t>
      </w:r>
      <w:r w:rsidRPr="00AE47C6">
        <w:rPr>
          <w:rFonts w:ascii="Times New Roman" w:eastAsia="SimSun" w:hAnsi="Times New Roman"/>
          <w:bCs/>
          <w:sz w:val="24"/>
          <w:szCs w:val="24"/>
        </w:rPr>
        <w:t xml:space="preserve"> – </w:t>
      </w:r>
      <w:r w:rsidRPr="00AE47C6">
        <w:rPr>
          <w:rFonts w:ascii="Times New Roman" w:eastAsia="SimSun" w:hAnsi="Times New Roman"/>
          <w:sz w:val="24"/>
          <w:szCs w:val="24"/>
        </w:rPr>
        <w:t>Vit. Е дефицит, Vit. В</w:t>
      </w:r>
      <w:r w:rsidRPr="00AE47C6">
        <w:rPr>
          <w:rFonts w:ascii="Times New Roman" w:eastAsia="SimSun" w:hAnsi="Times New Roman"/>
          <w:sz w:val="24"/>
          <w:szCs w:val="24"/>
          <w:vertAlign w:val="subscript"/>
        </w:rPr>
        <w:t>12</w:t>
      </w:r>
      <w:r w:rsidRPr="00AE47C6">
        <w:rPr>
          <w:rFonts w:ascii="Times New Roman" w:eastAsia="SimSun" w:hAnsi="Times New Roman"/>
          <w:sz w:val="24"/>
          <w:szCs w:val="24"/>
        </w:rPr>
        <w:t xml:space="preserve"> дефицит, фолиева киселина, биотидин.</w:t>
      </w:r>
    </w:p>
    <w:p w14:paraId="5DF3FC71" w14:textId="77777777" w:rsidR="00BE0B19" w:rsidRPr="00AE47C6" w:rsidRDefault="00BE0B19" w:rsidP="00BE0B19">
      <w:pPr>
        <w:numPr>
          <w:ilvl w:val="0"/>
          <w:numId w:val="35"/>
        </w:numPr>
        <w:tabs>
          <w:tab w:val="clear" w:pos="720"/>
          <w:tab w:val="num" w:pos="0"/>
        </w:tabs>
        <w:spacing w:after="0" w:line="360" w:lineRule="auto"/>
        <w:ind w:left="0" w:firstLine="0"/>
        <w:jc w:val="both"/>
        <w:rPr>
          <w:rFonts w:ascii="Times New Roman" w:eastAsia="SimSun" w:hAnsi="Times New Roman"/>
          <w:bCs/>
          <w:sz w:val="24"/>
          <w:szCs w:val="24"/>
        </w:rPr>
      </w:pPr>
      <w:r w:rsidRPr="00AE47C6">
        <w:rPr>
          <w:rFonts w:ascii="Times New Roman" w:eastAsia="SimSun" w:hAnsi="Times New Roman"/>
          <w:bCs/>
          <w:i/>
          <w:sz w:val="24"/>
          <w:szCs w:val="24"/>
        </w:rPr>
        <w:t xml:space="preserve">Токсични фактори </w:t>
      </w:r>
      <w:r w:rsidRPr="00AE47C6">
        <w:rPr>
          <w:rFonts w:ascii="Times New Roman" w:eastAsia="SimSun" w:hAnsi="Times New Roman"/>
          <w:i/>
          <w:sz w:val="24"/>
          <w:szCs w:val="24"/>
        </w:rPr>
        <w:t>(алкохолизъм</w:t>
      </w:r>
      <w:r w:rsidRPr="00AE47C6">
        <w:rPr>
          <w:rFonts w:ascii="Times New Roman" w:eastAsia="SimSun" w:hAnsi="Times New Roman"/>
          <w:sz w:val="24"/>
          <w:szCs w:val="24"/>
        </w:rPr>
        <w:t>, лекарствена злоупотреба).</w:t>
      </w:r>
    </w:p>
    <w:p w14:paraId="742859C2"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
          <w:bCs/>
        </w:rPr>
        <w:t>Лечение</w:t>
      </w:r>
      <w:r w:rsidRPr="00AE47C6">
        <w:rPr>
          <w:rFonts w:ascii="Times New Roman" w:eastAsia="SimSun" w:hAnsi="Times New Roman"/>
          <w:b/>
          <w:bCs/>
          <w:sz w:val="24"/>
          <w:szCs w:val="24"/>
        </w:rPr>
        <w:t xml:space="preserve">. </w:t>
      </w:r>
      <w:r w:rsidRPr="00AE47C6">
        <w:rPr>
          <w:rFonts w:ascii="Times New Roman" w:eastAsia="SimSun" w:hAnsi="Times New Roman"/>
          <w:bCs/>
          <w:sz w:val="24"/>
          <w:szCs w:val="24"/>
        </w:rPr>
        <w:t xml:space="preserve">При болестта на Friedreich FDA e регистрирала  omaveloxolone  50 mg- 3 капсули (150 mg)- еднократно/ дневно  (28.2.2023) за пациенти над 16 годишна възраст (14,15). </w:t>
      </w:r>
      <w:r w:rsidRPr="00AE47C6">
        <w:rPr>
          <w:rFonts w:ascii="Times New Roman" w:eastAsia="SimSun" w:hAnsi="Times New Roman"/>
          <w:sz w:val="24"/>
          <w:szCs w:val="24"/>
        </w:rPr>
        <w:t xml:space="preserve">С </w:t>
      </w:r>
      <w:r w:rsidRPr="00AE47C6">
        <w:rPr>
          <w:rFonts w:ascii="Times New Roman" w:eastAsia="SimSun" w:hAnsi="Times New Roman"/>
          <w:i/>
          <w:sz w:val="24"/>
          <w:szCs w:val="24"/>
        </w:rPr>
        <w:t>acetazolamide</w:t>
      </w:r>
      <w:r w:rsidRPr="00AE47C6">
        <w:rPr>
          <w:rFonts w:ascii="Times New Roman" w:eastAsia="SimSun" w:hAnsi="Times New Roman"/>
          <w:sz w:val="24"/>
          <w:szCs w:val="24"/>
        </w:rPr>
        <w:t xml:space="preserve"> се повлиява единствено периодичната церебеларна атаксия. Прилагат се </w:t>
      </w:r>
      <w:r w:rsidRPr="00AE47C6">
        <w:rPr>
          <w:rFonts w:ascii="Times New Roman" w:eastAsia="SimSun" w:hAnsi="Times New Roman"/>
          <w:i/>
          <w:sz w:val="24"/>
          <w:szCs w:val="24"/>
        </w:rPr>
        <w:t xml:space="preserve">vit. E </w:t>
      </w:r>
      <w:r w:rsidRPr="00AE47C6">
        <w:rPr>
          <w:rFonts w:ascii="Times New Roman" w:eastAsia="SimSun" w:hAnsi="Times New Roman"/>
          <w:sz w:val="24"/>
          <w:szCs w:val="24"/>
        </w:rPr>
        <w:t xml:space="preserve">при атаксия с дефицит на  vit. E (2100 IU/дневно). </w:t>
      </w:r>
      <w:r w:rsidRPr="00AE47C6">
        <w:rPr>
          <w:rFonts w:ascii="Times New Roman" w:eastAsia="SimSun" w:hAnsi="Times New Roman"/>
          <w:i/>
          <w:sz w:val="24"/>
          <w:szCs w:val="24"/>
        </w:rPr>
        <w:t>Coenzyme Q</w:t>
      </w:r>
      <w:r w:rsidRPr="00AE47C6">
        <w:rPr>
          <w:rFonts w:ascii="Times New Roman" w:eastAsia="SimSun" w:hAnsi="Times New Roman"/>
          <w:sz w:val="24"/>
          <w:szCs w:val="24"/>
        </w:rPr>
        <w:t xml:space="preserve"> (400 mg/дневно като антиоксидант е прилаган при малък брой болни) </w:t>
      </w:r>
      <w:r w:rsidRPr="00AE47C6">
        <w:rPr>
          <w:rFonts w:ascii="Times New Roman" w:eastAsia="SimSun" w:hAnsi="Times New Roman"/>
          <w:iCs/>
          <w:sz w:val="24"/>
          <w:szCs w:val="24"/>
        </w:rPr>
        <w:t xml:space="preserve">с АР-атаксии с установен </w:t>
      </w:r>
      <w:r w:rsidRPr="00AE47C6">
        <w:rPr>
          <w:rFonts w:ascii="Times New Roman" w:eastAsia="SimSun" w:hAnsi="Times New Roman"/>
          <w:sz w:val="24"/>
          <w:szCs w:val="24"/>
        </w:rPr>
        <w:t>CoQ</w:t>
      </w:r>
      <w:r w:rsidRPr="00AE47C6">
        <w:rPr>
          <w:rFonts w:ascii="Times New Roman" w:eastAsia="SimSun" w:hAnsi="Times New Roman"/>
          <w:sz w:val="24"/>
          <w:szCs w:val="24"/>
          <w:vertAlign w:val="subscript"/>
        </w:rPr>
        <w:t xml:space="preserve">10 </w:t>
      </w:r>
      <w:r w:rsidRPr="00AE47C6">
        <w:rPr>
          <w:rFonts w:ascii="Times New Roman" w:eastAsia="SimSun" w:hAnsi="Times New Roman"/>
          <w:iCs/>
          <w:sz w:val="24"/>
          <w:szCs w:val="24"/>
        </w:rPr>
        <w:t>дефицит</w:t>
      </w:r>
      <w:r w:rsidRPr="00AE47C6">
        <w:rPr>
          <w:rFonts w:ascii="Times New Roman" w:eastAsia="SimSun" w:hAnsi="Times New Roman"/>
          <w:sz w:val="24"/>
          <w:szCs w:val="24"/>
        </w:rPr>
        <w:t xml:space="preserve">, свързани с митохондриална дисфункция. </w:t>
      </w:r>
    </w:p>
    <w:p w14:paraId="4B085818" w14:textId="77777777" w:rsidR="00BE0B19" w:rsidRPr="00AE47C6" w:rsidRDefault="00BE0B19" w:rsidP="00BE0B19">
      <w:pPr>
        <w:spacing w:after="0" w:line="360" w:lineRule="auto"/>
        <w:ind w:firstLine="851"/>
        <w:jc w:val="both"/>
        <w:rPr>
          <w:rFonts w:ascii="Times New Roman" w:eastAsia="SimSun" w:hAnsi="Times New Roman"/>
          <w:sz w:val="24"/>
          <w:szCs w:val="24"/>
        </w:rPr>
      </w:pPr>
      <w:r w:rsidRPr="00AE47C6">
        <w:rPr>
          <w:rFonts w:ascii="Times New Roman" w:eastAsia="SimSun" w:hAnsi="Times New Roman"/>
          <w:sz w:val="24"/>
          <w:szCs w:val="24"/>
        </w:rPr>
        <w:t>С</w:t>
      </w:r>
      <w:r w:rsidRPr="00AE47C6">
        <w:rPr>
          <w:rFonts w:ascii="Times New Roman" w:eastAsia="SimSun" w:hAnsi="Times New Roman"/>
          <w:i/>
          <w:iCs/>
          <w:sz w:val="24"/>
          <w:szCs w:val="24"/>
        </w:rPr>
        <w:t>имптоматично лечение</w:t>
      </w:r>
      <w:r w:rsidRPr="00AE47C6">
        <w:rPr>
          <w:rFonts w:ascii="Times New Roman" w:eastAsia="SimSun" w:hAnsi="Times New Roman"/>
          <w:sz w:val="24"/>
          <w:szCs w:val="24"/>
        </w:rPr>
        <w:t xml:space="preserve"> на повишения мускулен тонус (baclofen), на епилептичния синдром, на миоклониите (</w:t>
      </w:r>
      <w:r w:rsidRPr="00AE47C6">
        <w:rPr>
          <w:rFonts w:ascii="Times New Roman" w:eastAsia="SimSun" w:hAnsi="Times New Roman"/>
          <w:i/>
          <w:sz w:val="24"/>
          <w:szCs w:val="24"/>
        </w:rPr>
        <w:t>valproate, clonazepam</w:t>
      </w:r>
      <w:r w:rsidRPr="00AE47C6">
        <w:rPr>
          <w:rFonts w:ascii="Times New Roman" w:eastAsia="SimSun" w:hAnsi="Times New Roman"/>
          <w:sz w:val="24"/>
          <w:szCs w:val="24"/>
        </w:rPr>
        <w:t xml:space="preserve">). </w:t>
      </w:r>
    </w:p>
    <w:p w14:paraId="1A286ADC" w14:textId="77777777" w:rsidR="00BE0B19" w:rsidRPr="00AE47C6" w:rsidRDefault="00BE0B19" w:rsidP="00BE0B19">
      <w:pPr>
        <w:spacing w:after="0" w:line="360" w:lineRule="auto"/>
        <w:ind w:firstLine="851"/>
        <w:jc w:val="both"/>
        <w:rPr>
          <w:rFonts w:ascii="Times New Roman" w:eastAsia="SimSun" w:hAnsi="Times New Roman"/>
          <w:sz w:val="24"/>
          <w:szCs w:val="24"/>
        </w:rPr>
      </w:pPr>
      <w:r w:rsidRPr="00AE47C6">
        <w:rPr>
          <w:rFonts w:ascii="Times New Roman" w:eastAsia="SimSun" w:hAnsi="Times New Roman"/>
          <w:sz w:val="24"/>
          <w:szCs w:val="24"/>
        </w:rPr>
        <w:t xml:space="preserve">Физикалната терапия има ограничени възможности. Болните се обучават в техники за стабилност и поддържане на максимална сигурност. </w:t>
      </w:r>
    </w:p>
    <w:p w14:paraId="1B98411B" w14:textId="77777777" w:rsidR="00BE0B19" w:rsidRPr="00AE47C6" w:rsidRDefault="00BE0B19" w:rsidP="00BE0B19">
      <w:pPr>
        <w:spacing w:after="0" w:line="360" w:lineRule="auto"/>
        <w:ind w:firstLine="851"/>
        <w:jc w:val="both"/>
        <w:rPr>
          <w:rFonts w:ascii="Times New Roman" w:eastAsia="SimSun" w:hAnsi="Times New Roman"/>
          <w:sz w:val="24"/>
          <w:szCs w:val="24"/>
        </w:rPr>
      </w:pPr>
      <w:r w:rsidRPr="00AE47C6">
        <w:rPr>
          <w:rFonts w:ascii="Times New Roman" w:eastAsia="SimSun" w:hAnsi="Times New Roman"/>
          <w:sz w:val="24"/>
          <w:szCs w:val="24"/>
        </w:rPr>
        <w:t xml:space="preserve">Ортопедично оперативно лечение се предприема при някои спинални деформации (атаксия на Friedreich) и деформации на стъпалата. </w:t>
      </w:r>
    </w:p>
    <w:p w14:paraId="3B0671B7" w14:textId="77777777" w:rsidR="00BE0B19" w:rsidRPr="00AE47C6" w:rsidRDefault="00BE0B19" w:rsidP="00BE0B19">
      <w:pPr>
        <w:keepNext/>
        <w:keepLines/>
        <w:pageBreakBefore/>
        <w:spacing w:before="480" w:after="480"/>
        <w:outlineLvl w:val="0"/>
        <w:rPr>
          <w:rFonts w:ascii="Times New Roman" w:eastAsia="SimSun" w:hAnsi="Times New Roman"/>
          <w:b/>
          <w:bCs/>
          <w:sz w:val="28"/>
          <w:szCs w:val="28"/>
        </w:rPr>
      </w:pPr>
      <w:bookmarkStart w:id="139" w:name="_Toc155651768"/>
      <w:bookmarkStart w:id="140" w:name="_Toc164075900"/>
      <w:r w:rsidRPr="00AE47C6">
        <w:rPr>
          <w:rFonts w:ascii="Times New Roman" w:eastAsia="SimSun" w:hAnsi="Times New Roman"/>
          <w:b/>
          <w:bCs/>
          <w:sz w:val="28"/>
          <w:szCs w:val="28"/>
        </w:rPr>
        <w:t>6. Невродегенеративни заболявания с двигателни нарушения</w:t>
      </w:r>
      <w:bookmarkEnd w:id="139"/>
      <w:bookmarkEnd w:id="140"/>
    </w:p>
    <w:p w14:paraId="0145493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Невродегенеративните заболявания са хронични, бавно прогресиращи, предизвикващи загуба на специфични неврони. Представляват хетерогенна група по отношение на типа нервни клетки, който се уврежда и по отношение на клиничните симптоми. Това, което ги обединява е ранимостта на определени нервни клетки, сходните патофизиологични механизми и терапевтични стратегии. В тази група освен невро- и хередодегенеративни двигателни нарушения, се включват и заболявания със сходни патофизиологични механизми, като атаксията на Friedreich, болестта на Alzheimer и амиотрофичната латерална склероза. Дегенеративно заболяване не е точен термин, защото не указва неговата етиология и патогенеза. С развитието на науката все повече заболявания ще отпадат от тази група с неизвестна етиология. </w:t>
      </w:r>
    </w:p>
    <w:p w14:paraId="5A1633E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Класифицират</w:t>
      </w:r>
      <w:r w:rsidRPr="00AE47C6">
        <w:rPr>
          <w:rFonts w:ascii="Times New Roman" w:eastAsia="SimSun" w:hAnsi="Times New Roman"/>
          <w:sz w:val="24"/>
          <w:szCs w:val="24"/>
        </w:rPr>
        <w:t xml:space="preserve"> се въз основа на преобладаващият клиничен синдром, тъй като етиологията и генетиката не са добре изяснени. Различават се следните групи: с двигателни нарушения, с преобладаваща деменция, с атаксия, с мускулна слабост и хипотрофия, с невропатия, със слепота и с глухота. </w:t>
      </w:r>
    </w:p>
    <w:p w14:paraId="20D2AB05"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i/>
          <w:color w:val="000000" w:themeColor="text1"/>
          <w:sz w:val="24"/>
          <w:szCs w:val="24"/>
        </w:rPr>
        <w:t xml:space="preserve">Двигателни нарушения </w:t>
      </w:r>
      <w:r w:rsidRPr="00AE47C6">
        <w:rPr>
          <w:rFonts w:ascii="Times New Roman" w:eastAsia="SimSun" w:hAnsi="Times New Roman"/>
          <w:color w:val="000000" w:themeColor="text1"/>
          <w:sz w:val="24"/>
          <w:szCs w:val="24"/>
        </w:rPr>
        <w:t xml:space="preserve">е термин, обозначаващ заболяванията, които се проявяват с абнормни или прекомерни движения, възникващи при пациенти, които са в съзнание. Двигателните нарушения се разделят на </w:t>
      </w:r>
      <w:r w:rsidRPr="00AE47C6">
        <w:rPr>
          <w:rFonts w:ascii="Times New Roman" w:eastAsia="SimSun" w:hAnsi="Times New Roman"/>
          <w:i/>
          <w:color w:val="000000" w:themeColor="text1"/>
          <w:sz w:val="24"/>
          <w:szCs w:val="24"/>
        </w:rPr>
        <w:t xml:space="preserve">хиперкинетични </w:t>
      </w:r>
      <w:r w:rsidRPr="00AE47C6">
        <w:rPr>
          <w:rFonts w:ascii="Times New Roman" w:eastAsia="SimSun" w:hAnsi="Times New Roman"/>
          <w:color w:val="000000" w:themeColor="text1"/>
          <w:sz w:val="24"/>
          <w:szCs w:val="24"/>
        </w:rPr>
        <w:t xml:space="preserve">и </w:t>
      </w:r>
      <w:r w:rsidRPr="00AE47C6">
        <w:rPr>
          <w:rFonts w:ascii="Times New Roman" w:eastAsia="SimSun" w:hAnsi="Times New Roman"/>
          <w:i/>
          <w:color w:val="000000" w:themeColor="text1"/>
          <w:sz w:val="24"/>
          <w:szCs w:val="24"/>
        </w:rPr>
        <w:t>хипокинетични</w:t>
      </w:r>
      <w:r w:rsidRPr="00AE47C6">
        <w:rPr>
          <w:rFonts w:ascii="Times New Roman" w:eastAsia="SimSun" w:hAnsi="Times New Roman"/>
          <w:color w:val="000000" w:themeColor="text1"/>
          <w:sz w:val="24"/>
          <w:szCs w:val="24"/>
        </w:rPr>
        <w:t>. Хиперкинетичните се проявяват с прекомерни движения, а хипокинетичните с бедност на движенията. Хипокинетичните двигателни нарушения се проявяват с Паркинсонов синдром. Хиперкинетичните двигателни нарушения се проявяват с тремор, дистония (дискинезия), хорея, тикове, миоклонии и мускулна хипотония. Треморът е симптом, който въпреки че е хиперкинетичен придружава и хипокинетичния Паркинсонов синдром и е част от неговата диференциална диагноза.</w:t>
      </w:r>
    </w:p>
    <w:p w14:paraId="4CF7AC4B"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141" w:name="_Toc155651769"/>
      <w:bookmarkStart w:id="142" w:name="_Toc164075901"/>
      <w:r w:rsidRPr="00AE47C6">
        <w:rPr>
          <w:rFonts w:ascii="Times New Roman" w:eastAsia="SimSun" w:hAnsi="Times New Roman"/>
          <w:b/>
          <w:sz w:val="24"/>
          <w:szCs w:val="24"/>
        </w:rPr>
        <w:t>6.1. Невродегенеративни заболявания с хипокинетични двигателни нарушения</w:t>
      </w:r>
      <w:bookmarkEnd w:id="141"/>
      <w:bookmarkEnd w:id="142"/>
    </w:p>
    <w:p w14:paraId="54998C0A"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43" w:name="_Toc155651770"/>
      <w:bookmarkStart w:id="144" w:name="_Toc164075902"/>
      <w:r w:rsidRPr="00AE47C6">
        <w:rPr>
          <w:rFonts w:ascii="Times New Roman" w:eastAsia="SimSun" w:hAnsi="Times New Roman"/>
          <w:b/>
          <w:sz w:val="24"/>
          <w:szCs w:val="20"/>
          <w:lang w:eastAsia="ja-JP"/>
        </w:rPr>
        <w:t>6.1.1. Паркинсонови синдроми</w:t>
      </w:r>
      <w:bookmarkEnd w:id="143"/>
      <w:bookmarkEnd w:id="144"/>
      <w:r w:rsidRPr="00AE47C6">
        <w:rPr>
          <w:rFonts w:ascii="Times New Roman" w:eastAsia="SimSun" w:hAnsi="Times New Roman"/>
          <w:b/>
          <w:sz w:val="24"/>
          <w:szCs w:val="20"/>
          <w:lang w:eastAsia="ja-JP"/>
        </w:rPr>
        <w:t xml:space="preserve"> </w:t>
      </w:r>
    </w:p>
    <w:p w14:paraId="219E50D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Паркинсоновият синдром се причинява от различни патологични процеси, увреждащи екстрапирамидната система. </w:t>
      </w:r>
    </w:p>
    <w:p w14:paraId="518F656D" w14:textId="77777777" w:rsidR="00BE0B19" w:rsidRPr="00AE47C6" w:rsidRDefault="00BE0B19" w:rsidP="00BE0B19">
      <w:pPr>
        <w:spacing w:after="0" w:line="360" w:lineRule="auto"/>
        <w:ind w:firstLine="709"/>
        <w:jc w:val="both"/>
        <w:rPr>
          <w:rFonts w:ascii="Times New Roman" w:eastAsia="SimSun" w:hAnsi="Times New Roman"/>
          <w:i/>
          <w:sz w:val="24"/>
          <w:szCs w:val="24"/>
        </w:rPr>
      </w:pPr>
      <w:r w:rsidRPr="00AE47C6">
        <w:rPr>
          <w:rFonts w:ascii="Times New Roman" w:eastAsia="SimSun" w:hAnsi="Times New Roman"/>
          <w:b/>
          <w:sz w:val="24"/>
          <w:szCs w:val="24"/>
        </w:rPr>
        <w:t xml:space="preserve">Класифицират </w:t>
      </w:r>
      <w:r w:rsidRPr="00AE47C6">
        <w:rPr>
          <w:rFonts w:ascii="Times New Roman" w:eastAsia="SimSun" w:hAnsi="Times New Roman"/>
          <w:sz w:val="24"/>
          <w:szCs w:val="24"/>
        </w:rPr>
        <w:t xml:space="preserve">се в четири основни групи, според етиологията. </w:t>
      </w:r>
    </w:p>
    <w:p w14:paraId="0532D7F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1. </w:t>
      </w:r>
      <w:r w:rsidRPr="00AE47C6">
        <w:rPr>
          <w:rFonts w:ascii="Times New Roman" w:eastAsia="SimSun" w:hAnsi="Times New Roman"/>
          <w:sz w:val="24"/>
          <w:szCs w:val="24"/>
        </w:rPr>
        <w:t xml:space="preserve">Първичния (идиопатичен) невродегенеративен синдром при Паркинсоновата болест. </w:t>
      </w:r>
    </w:p>
    <w:p w14:paraId="0A9428F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2.</w:t>
      </w:r>
      <w:r w:rsidRPr="00AE47C6">
        <w:rPr>
          <w:rFonts w:ascii="Times New Roman" w:eastAsia="SimSun" w:hAnsi="Times New Roman"/>
          <w:sz w:val="24"/>
          <w:szCs w:val="24"/>
        </w:rPr>
        <w:t xml:space="preserve"> Паркинсон-плюс синдроми: кортикобазална дегенерация, заболявания с преобладаваща деменция (болест на Alzheimer, болест на Pick, болест с дифузни телца на Lewy), синдромът паркинсонизъм-амиотрофична латерална склероза, множествена системна атрофия (стрионигрална дегенерация, синдром на Shy-Drager, оливопонтоцеребеларна атрофия), прогресивна палидална атрофия и прогресивна супрануклеарна парализа. </w:t>
      </w:r>
    </w:p>
    <w:p w14:paraId="70F4B72A" w14:textId="77777777" w:rsidR="00BE0B19" w:rsidRPr="00AE47C6" w:rsidRDefault="00BE0B19" w:rsidP="00BE0B19">
      <w:pPr>
        <w:spacing w:after="0" w:line="360" w:lineRule="auto"/>
        <w:ind w:firstLine="709"/>
        <w:jc w:val="both"/>
        <w:rPr>
          <w:rFonts w:ascii="Times New Roman" w:eastAsia="SimSun" w:hAnsi="Times New Roman"/>
          <w:i/>
          <w:sz w:val="24"/>
          <w:szCs w:val="24"/>
        </w:rPr>
      </w:pPr>
      <w:r w:rsidRPr="00AE47C6">
        <w:rPr>
          <w:rFonts w:ascii="Times New Roman" w:eastAsia="SimSun" w:hAnsi="Times New Roman"/>
          <w:i/>
          <w:sz w:val="24"/>
          <w:szCs w:val="24"/>
        </w:rPr>
        <w:t>3. В</w:t>
      </w:r>
      <w:r w:rsidRPr="00AE47C6">
        <w:rPr>
          <w:rFonts w:ascii="Times New Roman" w:eastAsia="SimSun" w:hAnsi="Times New Roman"/>
          <w:sz w:val="24"/>
          <w:szCs w:val="24"/>
        </w:rPr>
        <w:t xml:space="preserve">торичен паркинсонов синдром са различни възпалителни (енцефалит, СПИН, субакутен склерозиращ паненцефалит, болест на Creutzfeldt-Jakob, гъбични инфекции), метаболитни (хипокалциемия, хронична хепатоцеребрална дегенерация) и съдови заболявания (мултиинфарктни, болест на Binswanger), мозъчни тумори, хидроцефалия, травми, интоксикации (MPTP, въглероден окис, манган, цианид, метанол) и медикаментозно въздействие. </w:t>
      </w:r>
    </w:p>
    <w:p w14:paraId="7723B6D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4. </w:t>
      </w:r>
      <w:r w:rsidRPr="00AE47C6">
        <w:rPr>
          <w:rFonts w:ascii="Times New Roman" w:eastAsia="SimSun" w:hAnsi="Times New Roman"/>
          <w:sz w:val="24"/>
          <w:szCs w:val="24"/>
        </w:rPr>
        <w:t>Паркинсонов синдром при хередодегенеративни заболявания, като: цероидна липофусциноза, болест на Gerstmann-Straussler-Scheinker, болест на Hallervorden-Spatz, болест на Huntington, x-свързана дистония-паркинсонизъм, болест на Machado-Joseph, митохондриалните цитопатии със стриарна некроза, невроакантоцитоза, синдром на таламична деменция и болест на Wilson.</w:t>
      </w:r>
    </w:p>
    <w:p w14:paraId="302B898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Клинично</w:t>
      </w:r>
      <w:r w:rsidRPr="00AE47C6">
        <w:rPr>
          <w:rFonts w:ascii="Times New Roman" w:eastAsia="SimSun" w:hAnsi="Times New Roman"/>
          <w:sz w:val="24"/>
          <w:szCs w:val="24"/>
        </w:rPr>
        <w:t xml:space="preserve"> Паркинсоновият синдром се проявява с четири основни </w:t>
      </w:r>
      <w:r w:rsidRPr="00AE47C6">
        <w:rPr>
          <w:rFonts w:ascii="Times New Roman" w:eastAsia="SimSun" w:hAnsi="Times New Roman"/>
          <w:i/>
          <w:sz w:val="24"/>
          <w:szCs w:val="24"/>
        </w:rPr>
        <w:t>симптома: тремор в покой, брадикинезия, мускулна ригидност и нарушение на постуралните рефлекси.</w:t>
      </w:r>
      <w:r w:rsidRPr="00AE47C6">
        <w:rPr>
          <w:rFonts w:ascii="Times New Roman" w:eastAsia="SimSun" w:hAnsi="Times New Roman"/>
          <w:sz w:val="24"/>
          <w:szCs w:val="24"/>
        </w:rPr>
        <w:t xml:space="preserve"> Те са изразени в различна степен при всеки пациент в зависимост от заболяването, което причинява синдрома и фазата на развитието му. Докато за Паркинсоновата болест е характерна липсата на симптоми от увредата на други системи, в останалите случаи към основните се добавят и други симптоми, свързани с основната причина за синдрома. При групата на невродегенеративните заболявания се формират характерните Паркинсон-плюс синдроми. При хередодегенеративните заболявания на преден план излизат симптоми, характерни за заболяването.</w:t>
      </w:r>
    </w:p>
    <w:p w14:paraId="11475437" w14:textId="77777777" w:rsidR="00BE0B19" w:rsidRPr="00AE47C6" w:rsidRDefault="00BE0B19" w:rsidP="00BE0B19">
      <w:pPr>
        <w:spacing w:after="0" w:line="360" w:lineRule="auto"/>
        <w:ind w:firstLine="709"/>
        <w:jc w:val="both"/>
        <w:rPr>
          <w:rFonts w:ascii="Times New Roman" w:eastAsia="SimSun" w:hAnsi="Times New Roman"/>
          <w:b/>
          <w:sz w:val="24"/>
          <w:szCs w:val="24"/>
        </w:rPr>
      </w:pPr>
    </w:p>
    <w:p w14:paraId="78766B7D"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6.1.1.1. Невродегенеративни паркинсонови синдроми</w:t>
      </w:r>
    </w:p>
    <w:p w14:paraId="72068C6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В тази група се включват Паркинсоновата болест и паркинсон-плюс синдромите. </w:t>
      </w:r>
    </w:p>
    <w:p w14:paraId="0044235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Епидемиологията</w:t>
      </w:r>
      <w:r w:rsidRPr="00AE47C6">
        <w:rPr>
          <w:rFonts w:ascii="Times New Roman" w:eastAsia="SimSun" w:hAnsi="Times New Roman"/>
          <w:sz w:val="24"/>
          <w:szCs w:val="24"/>
        </w:rPr>
        <w:t xml:space="preserve"> на невродегенеративните паркинсонови синдроми не е достатъчно проучена. </w:t>
      </w:r>
      <w:r w:rsidRPr="00AE47C6">
        <w:rPr>
          <w:rFonts w:ascii="Times New Roman" w:eastAsia="SimSun" w:hAnsi="Times New Roman"/>
          <w:i/>
          <w:sz w:val="24"/>
          <w:szCs w:val="24"/>
        </w:rPr>
        <w:t>Болестта с дифузни телца на Lewy</w:t>
      </w:r>
      <w:r w:rsidRPr="00AE47C6">
        <w:rPr>
          <w:rFonts w:ascii="Times New Roman" w:eastAsia="SimSun" w:hAnsi="Times New Roman"/>
          <w:sz w:val="24"/>
          <w:szCs w:val="24"/>
        </w:rPr>
        <w:t xml:space="preserve"> е втората по честота деменция (20% от пациентите с деменция), след болестта на Alzheimer. Болестността от </w:t>
      </w:r>
      <w:r w:rsidRPr="00AE47C6">
        <w:rPr>
          <w:rFonts w:ascii="Times New Roman" w:eastAsia="SimSun" w:hAnsi="Times New Roman"/>
          <w:i/>
          <w:sz w:val="24"/>
          <w:szCs w:val="24"/>
        </w:rPr>
        <w:t>мултисистемната атрофия</w:t>
      </w:r>
      <w:r w:rsidRPr="00AE47C6">
        <w:rPr>
          <w:rFonts w:ascii="Times New Roman" w:eastAsia="SimSun" w:hAnsi="Times New Roman"/>
          <w:sz w:val="24"/>
          <w:szCs w:val="24"/>
        </w:rPr>
        <w:t xml:space="preserve"> е 4,5 на 100 000 души население, а заболяемостта е 0,6 на 100 000 души население. Малко по-често се засягат мъжете. </w:t>
      </w:r>
      <w:r w:rsidRPr="00AE47C6">
        <w:rPr>
          <w:rFonts w:ascii="Times New Roman" w:eastAsia="SimSun" w:hAnsi="Times New Roman"/>
          <w:i/>
          <w:sz w:val="24"/>
          <w:szCs w:val="24"/>
        </w:rPr>
        <w:t>Прогресивната супрануклеарна парализа</w:t>
      </w:r>
      <w:r w:rsidRPr="00AE47C6">
        <w:rPr>
          <w:rFonts w:ascii="Times New Roman" w:eastAsia="SimSun" w:hAnsi="Times New Roman"/>
          <w:sz w:val="24"/>
          <w:szCs w:val="24"/>
        </w:rPr>
        <w:t xml:space="preserve"> е честа форма на атипичен паркинсонов синдром. Болестността е от 1,5 до 5/100 000 население или около 1% от тази на Паркинсоновата болест, а заболяемостта е 1,1 на 100 000 население. Засяга два пъти по-често мъжете, отколкото жените. </w:t>
      </w:r>
      <w:r w:rsidRPr="00AE47C6">
        <w:rPr>
          <w:rFonts w:ascii="Times New Roman" w:eastAsia="SimSun" w:hAnsi="Times New Roman"/>
          <w:i/>
          <w:sz w:val="24"/>
          <w:szCs w:val="24"/>
        </w:rPr>
        <w:t>Болестта на Hallervorden-Spatz</w:t>
      </w:r>
      <w:r w:rsidRPr="00AE47C6">
        <w:rPr>
          <w:rFonts w:ascii="Times New Roman" w:eastAsia="SimSun" w:hAnsi="Times New Roman"/>
          <w:sz w:val="24"/>
          <w:szCs w:val="24"/>
        </w:rPr>
        <w:t xml:space="preserve"> и </w:t>
      </w:r>
      <w:r w:rsidRPr="00AE47C6">
        <w:rPr>
          <w:rFonts w:ascii="Times New Roman" w:eastAsia="SimSun" w:hAnsi="Times New Roman"/>
          <w:i/>
          <w:sz w:val="24"/>
          <w:szCs w:val="24"/>
        </w:rPr>
        <w:t>кортикобазалната дегенерация</w:t>
      </w:r>
      <w:r w:rsidRPr="00AE47C6">
        <w:rPr>
          <w:rFonts w:ascii="Times New Roman" w:eastAsia="SimSun" w:hAnsi="Times New Roman"/>
          <w:sz w:val="24"/>
          <w:szCs w:val="24"/>
        </w:rPr>
        <w:t xml:space="preserve"> са редки заболявания, тяхната болестност и заболяемост не са известни. </w:t>
      </w:r>
      <w:r w:rsidRPr="00AE47C6">
        <w:rPr>
          <w:rFonts w:ascii="Times New Roman" w:eastAsia="SimSun" w:hAnsi="Times New Roman"/>
          <w:i/>
          <w:sz w:val="24"/>
          <w:szCs w:val="24"/>
        </w:rPr>
        <w:t xml:space="preserve">Фронтотемпорална деменция с паркинсонизъм </w:t>
      </w:r>
      <w:r w:rsidRPr="00AE47C6">
        <w:rPr>
          <w:rFonts w:ascii="Times New Roman" w:eastAsia="SimSun" w:hAnsi="Times New Roman"/>
          <w:sz w:val="24"/>
          <w:szCs w:val="24"/>
        </w:rPr>
        <w:t xml:space="preserve">досега е установена само при 470 пациенти, от 62 фамилии. </w:t>
      </w:r>
    </w:p>
    <w:p w14:paraId="510D23D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Паркинсоновата болест</w:t>
      </w:r>
      <w:r w:rsidRPr="00AE47C6">
        <w:rPr>
          <w:rFonts w:ascii="Times New Roman" w:eastAsia="SimSun" w:hAnsi="Times New Roman"/>
          <w:sz w:val="24"/>
          <w:szCs w:val="24"/>
        </w:rPr>
        <w:t xml:space="preserve"> е най-честата причина (в 80%) за паркинсонов синдром. Засяга 0,15% от цялото население, за възрастта от 55 до 65 години </w:t>
      </w:r>
      <w:r w:rsidRPr="00AE47C6">
        <w:rPr>
          <w:rFonts w:ascii="Times New Roman" w:eastAsia="SimSun" w:hAnsi="Times New Roman"/>
          <w:i/>
          <w:sz w:val="24"/>
          <w:szCs w:val="24"/>
        </w:rPr>
        <w:t>болестността</w:t>
      </w:r>
      <w:r w:rsidRPr="00AE47C6">
        <w:rPr>
          <w:rFonts w:ascii="Times New Roman" w:eastAsia="SimSun" w:hAnsi="Times New Roman"/>
          <w:sz w:val="24"/>
          <w:szCs w:val="24"/>
        </w:rPr>
        <w:t xml:space="preserve"> нараства до 1%, за възрастовата група 65 – 80 години достига до 3%, а над 80 годишна възраст достига до 10%. Бялата раса боледува по-често от черната, жълтата и ромското население, което вероятно се дължи на генетични различия. Засяга 1,5 пъти по-често мъжете, отколкото жените. </w:t>
      </w:r>
      <w:r w:rsidRPr="00AE47C6">
        <w:rPr>
          <w:rFonts w:ascii="Times New Roman" w:eastAsia="SimSun" w:hAnsi="Times New Roman"/>
          <w:i/>
          <w:sz w:val="24"/>
          <w:szCs w:val="24"/>
        </w:rPr>
        <w:t>Заболяемостта</w:t>
      </w:r>
      <w:r w:rsidRPr="00AE47C6">
        <w:rPr>
          <w:rFonts w:ascii="Times New Roman" w:eastAsia="SimSun" w:hAnsi="Times New Roman"/>
          <w:sz w:val="24"/>
          <w:szCs w:val="24"/>
        </w:rPr>
        <w:t xml:space="preserve"> варира от 4,9 до 25,6 пациента на 100 000 души население. </w:t>
      </w:r>
    </w:p>
    <w:p w14:paraId="0025ABE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По-голямата физическа активност, тютюнопушенето и кофеинът предпазват от развитие на Паркинсонова болест и прогресивна супрануклеарна парализа. Физическата активност и никотинът активират допаминергичната система и повишават количеството на допамина в striatum. Кофеинът е неспецифичен антагонист на аденозиновите А</w:t>
      </w:r>
      <w:r w:rsidRPr="00AE47C6">
        <w:rPr>
          <w:rFonts w:ascii="Times New Roman" w:eastAsia="SimSun" w:hAnsi="Times New Roman"/>
          <w:sz w:val="24"/>
          <w:szCs w:val="24"/>
          <w:vertAlign w:val="subscript"/>
        </w:rPr>
        <w:t>2А</w:t>
      </w:r>
      <w:r w:rsidRPr="00AE47C6">
        <w:rPr>
          <w:rFonts w:ascii="Times New Roman" w:eastAsia="SimSun" w:hAnsi="Times New Roman"/>
          <w:sz w:val="24"/>
          <w:szCs w:val="24"/>
        </w:rPr>
        <w:t xml:space="preserve"> рецептори.</w:t>
      </w:r>
    </w:p>
    <w:p w14:paraId="4040A43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Патоморфологично </w:t>
      </w:r>
      <w:r w:rsidRPr="00AE47C6">
        <w:rPr>
          <w:rFonts w:ascii="Times New Roman" w:eastAsia="SimSun" w:hAnsi="Times New Roman"/>
          <w:sz w:val="24"/>
          <w:szCs w:val="24"/>
        </w:rPr>
        <w:t xml:space="preserve">някои невродегенеративни заболявания имат като обща характеристика интраневронни цитоплазматични филаментозни включвания от различни неразтворими протеини. Такива включвания са телцата на Lewy, състоящи се предимно от алфа синуклеин протеин, неврофибрилаторни кълба, състоящи се от абнормно хиперфосфорилирани тау протеини и интрануклеарните включвания съставени от хънтингтин протеин. Различните интраневронни включвания се състоят от различни протеини, но заболяванията имат общ патофизиологичен механизъм, представен от абнормни протеин-протеин взаимодействия, агрегация и депозиране на абнормни протеини, които са невротоксични и последващи невронни лезии. </w:t>
      </w:r>
    </w:p>
    <w:p w14:paraId="0AE9CAE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Етиологията</w:t>
      </w:r>
      <w:r w:rsidRPr="00AE47C6">
        <w:rPr>
          <w:rFonts w:ascii="Times New Roman" w:eastAsia="SimSun" w:hAnsi="Times New Roman"/>
          <w:sz w:val="24"/>
          <w:szCs w:val="24"/>
        </w:rPr>
        <w:t xml:space="preserve"> на </w:t>
      </w:r>
      <w:r w:rsidRPr="00AE47C6">
        <w:rPr>
          <w:rFonts w:ascii="Times New Roman" w:eastAsia="SimSun" w:hAnsi="Times New Roman"/>
          <w:i/>
          <w:sz w:val="24"/>
          <w:szCs w:val="24"/>
        </w:rPr>
        <w:t>мултисистемната атрофия, болестта с дифузни телца на Lewy, прогресивната супрануклеарна парализа и кортикобазалната дегенерация</w:t>
      </w:r>
      <w:r w:rsidRPr="00AE47C6">
        <w:rPr>
          <w:rFonts w:ascii="Times New Roman" w:eastAsia="SimSun" w:hAnsi="Times New Roman"/>
          <w:sz w:val="24"/>
          <w:szCs w:val="24"/>
        </w:rPr>
        <w:t xml:space="preserve"> не е известна. В повечето случаи се появяват спорадично, но са описани и фамилни случаи. </w:t>
      </w:r>
      <w:r w:rsidRPr="00AE47C6">
        <w:rPr>
          <w:rFonts w:ascii="Times New Roman" w:eastAsia="SimSun" w:hAnsi="Times New Roman"/>
          <w:i/>
          <w:sz w:val="24"/>
          <w:szCs w:val="24"/>
        </w:rPr>
        <w:t>Фронтотемпоралната деменция с паркинсонизъм</w:t>
      </w:r>
      <w:r w:rsidRPr="00AE47C6">
        <w:rPr>
          <w:rFonts w:ascii="Times New Roman" w:eastAsia="SimSun" w:hAnsi="Times New Roman"/>
          <w:sz w:val="24"/>
          <w:szCs w:val="24"/>
        </w:rPr>
        <w:t xml:space="preserve"> е с автозомно-доминантно унаследяване, свързано със 17q21-22 хромозома. </w:t>
      </w:r>
      <w:r w:rsidRPr="00AE47C6">
        <w:rPr>
          <w:rFonts w:ascii="Times New Roman" w:eastAsia="SimSun" w:hAnsi="Times New Roman"/>
          <w:i/>
          <w:sz w:val="24"/>
          <w:szCs w:val="24"/>
        </w:rPr>
        <w:t>Болестта на Hallervorden-Spatz</w:t>
      </w:r>
      <w:r w:rsidRPr="00AE47C6">
        <w:rPr>
          <w:rFonts w:ascii="Times New Roman" w:eastAsia="SimSun" w:hAnsi="Times New Roman"/>
          <w:sz w:val="24"/>
          <w:szCs w:val="24"/>
        </w:rPr>
        <w:t xml:space="preserve"> се унаследява по автозомно-рецесивен тип или възниква спорадично. Мутацията на гена за пантотенат киназа 2 (PANK2 ген) в хромозома 20р12.3-13, води до изчерпване на коензим А, поради дефектната му мембранна биосинтеза. Натрупва се цистеин, който нормално кондензира с фосфопантотената. Цистеинът формира комплекси с желязото и предизвика оксидативно увреждане на мозъка. В патогенезата участват феритинът и обменът на желязо.</w:t>
      </w:r>
    </w:p>
    <w:p w14:paraId="4618A7E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Етиологията на </w:t>
      </w:r>
      <w:r w:rsidRPr="00AE47C6">
        <w:rPr>
          <w:rFonts w:ascii="Times New Roman" w:eastAsia="SimSun" w:hAnsi="Times New Roman"/>
          <w:i/>
          <w:sz w:val="24"/>
          <w:szCs w:val="24"/>
        </w:rPr>
        <w:t>Паркинсоновата болест</w:t>
      </w:r>
      <w:r w:rsidRPr="00AE47C6">
        <w:rPr>
          <w:rFonts w:ascii="Times New Roman" w:eastAsia="SimSun" w:hAnsi="Times New Roman"/>
          <w:sz w:val="24"/>
          <w:szCs w:val="24"/>
        </w:rPr>
        <w:t xml:space="preserve"> е мултифакторна, поради взаимодействие между генетична предиспозиция, фактори от околната среда, токсичното въздействие на свободните радикали и възрастовия фактор. Не е изяснено кои фактори играят по-важната роля. </w:t>
      </w:r>
    </w:p>
    <w:p w14:paraId="3AEE090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1.</w:t>
      </w:r>
      <w:r w:rsidRPr="00AE47C6">
        <w:rPr>
          <w:rFonts w:ascii="Times New Roman" w:eastAsia="SimSun" w:hAnsi="Times New Roman"/>
          <w:i/>
          <w:sz w:val="24"/>
          <w:szCs w:val="24"/>
        </w:rPr>
        <w:tab/>
      </w:r>
      <w:r w:rsidRPr="00AE47C6">
        <w:rPr>
          <w:rFonts w:ascii="Times New Roman" w:eastAsia="SimSun" w:hAnsi="Times New Roman"/>
          <w:b/>
          <w:i/>
          <w:sz w:val="24"/>
          <w:szCs w:val="24"/>
        </w:rPr>
        <w:t>Генетични фактори</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При фамилна история за Паркинсонова болест, рискът минаващ от поколение на поколение е засилен около 10 до 20 пъти. При фамилии с автозомно-доминантен или рецесивен тип на унаследяване са установени 16 генни локуса в различни хромозоми, отговорни за 30% от пациентите с Паркинсонова болест. Генните локуси се означават с PARK от 1 до 16, като PARK 1, 3, 4, 5 и 8 се унаследяват по автозомно доминантен тип и някои от тях засягат α-синуклеин гена. Генетичните фактори са свързани с повишена продукция и нарушено почистване на абнормни протеини, които се натрупват в невроните и водят до невродегенерация. Независимо от генетичната и клинична хетерогенност на заболяването патогенетичният механизъм при всички установени генни мутации е свързан с нарушение в убиквитин протеозомният биохимичен път на разграждане на нежеланите клетъчни протеини. </w:t>
      </w:r>
    </w:p>
    <w:p w14:paraId="58DE4A8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α-синуклеин генът</w:t>
      </w:r>
      <w:r w:rsidRPr="00AE47C6">
        <w:rPr>
          <w:rFonts w:ascii="Times New Roman" w:eastAsia="SimSun" w:hAnsi="Times New Roman"/>
          <w:sz w:val="24"/>
          <w:szCs w:val="24"/>
        </w:rPr>
        <w:t xml:space="preserve"> локализиран в локус </w:t>
      </w:r>
      <w:r w:rsidRPr="00AE47C6">
        <w:rPr>
          <w:rFonts w:ascii="Times New Roman" w:eastAsia="SimSun" w:hAnsi="Times New Roman"/>
          <w:b/>
          <w:sz w:val="24"/>
          <w:szCs w:val="24"/>
        </w:rPr>
        <w:t>PARK1</w:t>
      </w:r>
      <w:r w:rsidRPr="00AE47C6">
        <w:rPr>
          <w:rFonts w:ascii="Times New Roman" w:eastAsia="SimSun" w:hAnsi="Times New Roman"/>
          <w:sz w:val="24"/>
          <w:szCs w:val="24"/>
        </w:rPr>
        <w:t xml:space="preserve"> на хромозома 4q21-22 е отговорен за кодирането на α-синуклеин протеин. Генните мутации водят до замяна на аминокиселини (А53Т) в протеина, при което се образуват протофибрили от α-синуклеин протеин в нервните клетки, които повишават чувствителността на клетките към невротоксичността на допамина. </w:t>
      </w:r>
    </w:p>
    <w:p w14:paraId="62DD30B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Паркин генът</w:t>
      </w:r>
      <w:r w:rsidRPr="00AE47C6">
        <w:rPr>
          <w:rFonts w:ascii="Times New Roman" w:eastAsia="SimSun" w:hAnsi="Times New Roman"/>
          <w:sz w:val="24"/>
          <w:szCs w:val="24"/>
        </w:rPr>
        <w:t xml:space="preserve"> в локус </w:t>
      </w:r>
      <w:r w:rsidRPr="00AE47C6">
        <w:rPr>
          <w:rFonts w:ascii="Times New Roman" w:eastAsia="SimSun" w:hAnsi="Times New Roman"/>
          <w:b/>
          <w:sz w:val="24"/>
          <w:szCs w:val="24"/>
        </w:rPr>
        <w:t>PARK2</w:t>
      </w:r>
      <w:r w:rsidRPr="00AE47C6">
        <w:rPr>
          <w:rFonts w:ascii="Times New Roman" w:eastAsia="SimSun" w:hAnsi="Times New Roman"/>
          <w:sz w:val="24"/>
          <w:szCs w:val="24"/>
        </w:rPr>
        <w:t xml:space="preserve"> на хромозома 6q25.2-q27 е отговорен за кодирането на ензима паркин (убиквитин протеин лигаза), участващ в разграждането на абнормните протеини от протеозомите. Генните мутации водят до загуба на активността на ензима поради което в клетките се натрупват невротоксични протеини и те загиват. Убиквитин е също основен компонент в телцата на Lewy. Този ген е отговорен за ювенилната автозомно-рецесивна Паркинсонова болест, при която не се установяват телца на Lewy. </w:t>
      </w:r>
    </w:p>
    <w:p w14:paraId="5AA203D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Предполага се и мутация на </w:t>
      </w:r>
      <w:r w:rsidRPr="00AE47C6">
        <w:rPr>
          <w:rFonts w:ascii="Times New Roman" w:eastAsia="SimSun" w:hAnsi="Times New Roman"/>
          <w:b/>
          <w:sz w:val="24"/>
          <w:szCs w:val="24"/>
        </w:rPr>
        <w:t>митохондриалната ДНК</w:t>
      </w:r>
      <w:r w:rsidRPr="00AE47C6">
        <w:rPr>
          <w:rFonts w:ascii="Times New Roman" w:eastAsia="SimSun" w:hAnsi="Times New Roman"/>
          <w:sz w:val="24"/>
          <w:szCs w:val="24"/>
        </w:rPr>
        <w:t xml:space="preserve">, която кодира някои от звената на комплекс 1. </w:t>
      </w:r>
    </w:p>
    <w:p w14:paraId="147A2D85"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2.</w:t>
      </w:r>
      <w:r w:rsidRPr="00AE47C6">
        <w:rPr>
          <w:rFonts w:ascii="Times New Roman" w:eastAsia="SimSun" w:hAnsi="Times New Roman"/>
          <w:b/>
          <w:sz w:val="24"/>
          <w:szCs w:val="24"/>
        </w:rPr>
        <w:tab/>
        <w:t>Токсичните агенти на околната среда</w:t>
      </w:r>
      <w:r w:rsidRPr="00AE47C6">
        <w:rPr>
          <w:rFonts w:ascii="Times New Roman" w:eastAsia="SimSun" w:hAnsi="Times New Roman"/>
          <w:sz w:val="24"/>
          <w:szCs w:val="24"/>
        </w:rPr>
        <w:t xml:space="preserve"> се обсъждат след откриването на токсичният агент МРТР (1-метил 4-фенил 1,2,3,6 тетрахидропиридин)</w:t>
      </w:r>
      <w:r w:rsidRPr="00AE47C6">
        <w:rPr>
          <w:rFonts w:ascii="Times New Roman" w:eastAsia="SimSun" w:hAnsi="Times New Roman"/>
          <w:b/>
          <w:sz w:val="24"/>
          <w:szCs w:val="24"/>
        </w:rPr>
        <w:t>.</w:t>
      </w:r>
      <w:r w:rsidRPr="00AE47C6">
        <w:rPr>
          <w:rFonts w:ascii="Times New Roman" w:eastAsia="SimSun" w:hAnsi="Times New Roman"/>
          <w:sz w:val="24"/>
          <w:szCs w:val="24"/>
        </w:rPr>
        <w:t xml:space="preserve"> МРТР се съдържа в синтетичния хероин и предизвиква селективна деструкция на допаминергичните меланин съдържащи клетки на компактната част на substantia nigra. Възможно е влиянието на генетичните фактори да повишава податливостта към някои невротоксини, както и алтернативно, генетичния дефект да генерира ендогенни невротоксини или да уврежда способността на организма да се справи с токсични субстанции, продукт на нормалния мозъчен метаболизъм.</w:t>
      </w:r>
    </w:p>
    <w:p w14:paraId="2E30F5B3"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3.</w:t>
      </w:r>
      <w:r w:rsidRPr="00AE47C6">
        <w:rPr>
          <w:rFonts w:ascii="Times New Roman" w:eastAsia="SimSun" w:hAnsi="Times New Roman"/>
          <w:b/>
          <w:sz w:val="24"/>
          <w:szCs w:val="24"/>
        </w:rPr>
        <w:tab/>
      </w:r>
      <w:r w:rsidRPr="00AE47C6">
        <w:rPr>
          <w:rFonts w:ascii="Times New Roman" w:eastAsia="SimSun" w:hAnsi="Times New Roman"/>
          <w:sz w:val="24"/>
          <w:szCs w:val="24"/>
        </w:rPr>
        <w:t xml:space="preserve">С </w:t>
      </w:r>
      <w:r w:rsidRPr="00AE47C6">
        <w:rPr>
          <w:rFonts w:ascii="Times New Roman" w:eastAsia="SimSun" w:hAnsi="Times New Roman"/>
          <w:b/>
          <w:sz w:val="24"/>
          <w:szCs w:val="24"/>
        </w:rPr>
        <w:t>възрастта</w:t>
      </w:r>
      <w:r w:rsidRPr="00AE47C6">
        <w:rPr>
          <w:rFonts w:ascii="Times New Roman" w:eastAsia="SimSun" w:hAnsi="Times New Roman"/>
          <w:sz w:val="24"/>
          <w:szCs w:val="24"/>
        </w:rPr>
        <w:t xml:space="preserve"> заболяемостта от Паркинсонова болест прогресивно нараства, в резултат от продължителното въздействие на екзогенни или ендогенни фактори. От друга страна, краткотрайното въздействие на токсини в млада възраст, може след дълъг период от време, като ефект на остаряване свързано с намаляване на количеството на нигралните клетки, да предизвика появата на Паркинсонова болест. </w:t>
      </w:r>
    </w:p>
    <w:p w14:paraId="274E983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Патогенезата </w:t>
      </w:r>
      <w:r w:rsidRPr="00AE47C6">
        <w:rPr>
          <w:rFonts w:ascii="Times New Roman" w:eastAsia="SimSun" w:hAnsi="Times New Roman"/>
          <w:sz w:val="24"/>
          <w:szCs w:val="24"/>
        </w:rPr>
        <w:t xml:space="preserve">е свързана с комплексни взаимодействия между няколко биохимични аномалии, като оксидативен стрес, дисфункция на митохондриалната респираторна верига, ексцитотоксичност и възпалителни промени. Те създават взаимно потенциращ се цикъл от събития, които в крайна сметка довеждат до невронна дисфункция и смърт вследствие на апоптоза. </w:t>
      </w:r>
    </w:p>
    <w:p w14:paraId="0D3234B3"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i/>
          <w:sz w:val="24"/>
          <w:szCs w:val="24"/>
        </w:rPr>
        <w:t>1.</w:t>
      </w:r>
      <w:r w:rsidRPr="00AE47C6">
        <w:rPr>
          <w:rFonts w:ascii="Times New Roman" w:eastAsia="SimSun" w:hAnsi="Times New Roman"/>
          <w:i/>
          <w:sz w:val="24"/>
          <w:szCs w:val="24"/>
        </w:rPr>
        <w:tab/>
        <w:t xml:space="preserve">Оксидативният стрес </w:t>
      </w:r>
      <w:r w:rsidRPr="00AE47C6">
        <w:rPr>
          <w:rFonts w:ascii="Times New Roman" w:eastAsia="SimSun" w:hAnsi="Times New Roman"/>
          <w:sz w:val="24"/>
          <w:szCs w:val="24"/>
        </w:rPr>
        <w:t xml:space="preserve">е състояние, при което генерирането на свободни радикали е патологично повишено и е по-голямо от това на антиоксидантите, вследствие на което се получава неконтролируема оксидация на липиди, протеини и ДНК. Повишена продукция на такива радикали се получава при токсични въздействия (паракват алоксан, менадион, МРТР) и нарушена фагоцитна активност на тъканите.  При Паркинсонова болест естествения антиоксидант глутатион в substantia nigra е намален с до 60%, поради повишение на ензима гама-глутамил транспептидаза, който го разгражда. Повишена е активността на митохондриалната супероксид дизмутаза и натрупването на желязо в микроглията и олигодендроцитите на substantia nigra pars compacta. Substantia nigra на болните е атакувана от оксирадикали. Това може да е първопричината за нигралната дегенерация или да е последствие от друго събитие, но дори и ако е последствие, свободните радикали предизвикват вторична ескалация на нигралната дегенерация. Допаминът също е източник на кислородни свободни радикали. Допаминергичните неврони са предразположени към оксидативен стрес, а наличието на мутантен алфа-синуклеин ги прави по-податливи към оксидативен стрес. Взаимодействието между алфа-синуклеинът и оксидативната увреда е важно звено в патофизиологията на заболяването. </w:t>
      </w:r>
    </w:p>
    <w:p w14:paraId="5A1C6BC7"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i/>
          <w:sz w:val="24"/>
          <w:szCs w:val="24"/>
        </w:rPr>
        <w:t>2.</w:t>
      </w:r>
      <w:r w:rsidRPr="00AE47C6">
        <w:rPr>
          <w:rFonts w:ascii="Times New Roman" w:eastAsia="SimSun" w:hAnsi="Times New Roman"/>
          <w:i/>
          <w:sz w:val="24"/>
          <w:szCs w:val="24"/>
        </w:rPr>
        <w:tab/>
        <w:t xml:space="preserve">Нарушенията в респираторните митохондриални функции </w:t>
      </w:r>
      <w:r w:rsidRPr="00AE47C6">
        <w:rPr>
          <w:rFonts w:ascii="Times New Roman" w:eastAsia="SimSun" w:hAnsi="Times New Roman"/>
          <w:sz w:val="24"/>
          <w:szCs w:val="24"/>
        </w:rPr>
        <w:t xml:space="preserve">може да предизвика деструкцията на substantia nigra. При пациенти с Паркинсонова болест се установява намаление на комплекс I от митохондриалната респираторна верига с 39% в substantia nigra. Това води до нарушение на митохондриалната респирация, намаляване на енергийното ниво в неврона и когато то спадне под определен минимум, настъпва клетъчна смърт. </w:t>
      </w:r>
    </w:p>
    <w:p w14:paraId="0F5F8657"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sz w:val="24"/>
          <w:szCs w:val="24"/>
        </w:rPr>
        <w:t>3.</w:t>
      </w:r>
      <w:r w:rsidRPr="00AE47C6">
        <w:rPr>
          <w:rFonts w:ascii="Times New Roman" w:eastAsia="SimSun" w:hAnsi="Times New Roman"/>
          <w:sz w:val="24"/>
          <w:szCs w:val="24"/>
        </w:rPr>
        <w:tab/>
        <w:t xml:space="preserve">Възможно е </w:t>
      </w:r>
      <w:r w:rsidRPr="00AE47C6">
        <w:rPr>
          <w:rFonts w:ascii="Times New Roman" w:eastAsia="SimSun" w:hAnsi="Times New Roman"/>
          <w:i/>
          <w:sz w:val="24"/>
          <w:szCs w:val="24"/>
        </w:rPr>
        <w:t>токсичното действие на вещества,</w:t>
      </w:r>
      <w:r w:rsidRPr="00AE47C6">
        <w:rPr>
          <w:rFonts w:ascii="Times New Roman" w:eastAsia="SimSun" w:hAnsi="Times New Roman"/>
          <w:sz w:val="24"/>
          <w:szCs w:val="24"/>
        </w:rPr>
        <w:t xml:space="preserve"> които са продукт на допаминовия метаболизъм. Глутаматът е възбуден невромедиатор в централната нервна система, който чрез ексцитотоксичен механизъм предизвиква клетъчна смърт и участва в етиопатогенезата на невродегенеративните заболявания. Субталамично ядро при Паркинсонова болест е освободено от нормалното потискане от външния globus pallidus, което води до неговата ексцесивна възбуда. То отделя повишено количество глутамат към ретикуларната и компактната част на substantia nigra и води до ексцесивна активация на NMDA глутаматните рецептори. Това довежда от една страна до формиране на токсични свободни радикали, които засилват прогресията на заболяването, а от друга до ексцитотоксично увреждане, клетъчна смърт и дегенерация на нигралните допаминергични неврони, което също засилва прогресията на заболяването. Свръхактивността на субталамичното ядро предизвиква смърт чрез апоптоза на допаминергичните неврони в компактната част на substantia nigra и допринася за прогресията на Паркинсоновата болест. Свръхактивността на субталамичното ядро предизвиква и ексцитотоксично увреждане на медиалния pallidum и педикуло-понтинното ядро, което води до възникване на недопаминергични симптоми: постурална нестабилност, говорни и автономни нарушения.</w:t>
      </w:r>
    </w:p>
    <w:p w14:paraId="5EB1714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Леводопа</w:t>
      </w:r>
      <w:r w:rsidRPr="00AE47C6">
        <w:rPr>
          <w:rFonts w:ascii="Times New Roman" w:eastAsia="SimSun" w:hAnsi="Times New Roman"/>
          <w:sz w:val="24"/>
          <w:szCs w:val="24"/>
        </w:rPr>
        <w:t xml:space="preserve"> е възможно да потенцира невродегенерацията и да засилва прогресията на заболяването, тъй като допаминовият метаболизъм засилва продуцирането на свободни хидроксилни радикали и намалява глутатиона, който е бездруго намален при пациенти с Паркинсонова болест. </w:t>
      </w:r>
    </w:p>
    <w:p w14:paraId="58546B91"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i/>
          <w:sz w:val="24"/>
          <w:szCs w:val="24"/>
        </w:rPr>
        <w:t>4.</w:t>
      </w:r>
      <w:r w:rsidRPr="00AE47C6">
        <w:rPr>
          <w:rFonts w:ascii="Times New Roman" w:eastAsia="SimSun" w:hAnsi="Times New Roman"/>
          <w:i/>
          <w:sz w:val="24"/>
          <w:szCs w:val="24"/>
        </w:rPr>
        <w:tab/>
        <w:t>Възпалението,</w:t>
      </w:r>
      <w:r w:rsidRPr="00AE47C6">
        <w:rPr>
          <w:rFonts w:ascii="Times New Roman" w:eastAsia="SimSun" w:hAnsi="Times New Roman"/>
          <w:sz w:val="24"/>
          <w:szCs w:val="24"/>
        </w:rPr>
        <w:t xml:space="preserve"> предизвикано от автоимунни механизми засилва увредата на substantia nigra. Микроглията в областта на substantia nigra се активира, без реактивна астроцитоза. Активираната микроглия продуцира инфламаторни цитотоксични цитокини, които засилват възпалителния процес в околната микроглия. Глиалните клетки отделят невротрофични фактори и участват в катаболизирането на допамина и свободните радикали. Увреждането на невроглията, която заобикаля допаминергичните неврони има значение за дегенеративния процес. </w:t>
      </w:r>
    </w:p>
    <w:p w14:paraId="39AF764A"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i/>
          <w:sz w:val="24"/>
          <w:szCs w:val="24"/>
        </w:rPr>
        <w:t>5.</w:t>
      </w:r>
      <w:r w:rsidRPr="00AE47C6">
        <w:rPr>
          <w:rFonts w:ascii="Times New Roman" w:eastAsia="SimSun" w:hAnsi="Times New Roman"/>
          <w:i/>
          <w:sz w:val="24"/>
          <w:szCs w:val="24"/>
        </w:rPr>
        <w:tab/>
        <w:t>Убиквитин протеозомната система</w:t>
      </w:r>
      <w:r w:rsidRPr="00AE47C6">
        <w:rPr>
          <w:rFonts w:ascii="Times New Roman" w:eastAsia="SimSun" w:hAnsi="Times New Roman"/>
          <w:sz w:val="24"/>
          <w:szCs w:val="24"/>
        </w:rPr>
        <w:t xml:space="preserve"> участва в патогенезата на заболяването. Поради нарушен капацитет на тази система да почиства нежеланите и неправилно нагънати протеини, настъпва протеолитичен стрес и смърт на засегнатите неврони с развитие на телца на Lewy. Нарушени са функциите на протеозомната и лизозомната почистващи системи. </w:t>
      </w:r>
    </w:p>
    <w:p w14:paraId="1B59BBD8"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6. Хипотезата за </w:t>
      </w:r>
      <w:r w:rsidRPr="00AE47C6">
        <w:rPr>
          <w:rFonts w:ascii="Times New Roman" w:eastAsia="SimSun" w:hAnsi="Times New Roman"/>
          <w:i/>
          <w:sz w:val="24"/>
          <w:szCs w:val="24"/>
        </w:rPr>
        <w:t>прионна болест</w:t>
      </w:r>
      <w:r w:rsidRPr="00AE47C6">
        <w:rPr>
          <w:rFonts w:ascii="Times New Roman" w:eastAsia="SimSun" w:hAnsi="Times New Roman"/>
          <w:sz w:val="24"/>
          <w:szCs w:val="24"/>
        </w:rPr>
        <w:t xml:space="preserve"> се базира на възможността алфа-синуклеин протеина да бъде прион, тъй като се пренася от засегнати към здрави неврони. Прионите са инфекциозни протеини, които разпространяват определени заболявания и могат да предизвикат невродегенерация. </w:t>
      </w:r>
    </w:p>
    <w:p w14:paraId="5C88017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Неврофармакологията</w:t>
      </w:r>
      <w:r w:rsidRPr="00AE47C6">
        <w:rPr>
          <w:rFonts w:ascii="Times New Roman" w:eastAsia="SimSun" w:hAnsi="Times New Roman"/>
          <w:sz w:val="24"/>
          <w:szCs w:val="24"/>
        </w:rPr>
        <w:t xml:space="preserve"> на Паркинсоновата болест се характеризира с намаляване на съдържанието на допамин в нигростриарните пътища и нивата на допаминовия транспортер, вследствие на намаляването на броя на невроните в substantia nigra. Намаляването на стриарния допамин (повече в putamen, отколкото в nucleus caudatus) с 57 – 80% и на допаминовия транспортер с 56% предизвиква двигателните симптоми. Поради намаленото съдържание на потискащият невромедиатор допамин (от substantia nigra към striatum) се нарушава балансът с възбудните невромедиатори ацетилхолин и глутамат (от мозъчната кора към striatum) на нивото на допаминергичните стриарни рецептори. С намаляването на количествата на допамина намаляват стимулацията на D</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 xml:space="preserve"> рецепторите, стимулиращия G протеин, отделянето на аденилат циклаза и съответно количествата на субстанция Р и динорфин. Намалената стимулация на D</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рецепторите води до намалено синтезиране на потискащ G протеин, повишено отделяне на аденилат циклаза и нарастване на количествата на енкефалин. Този невромедиаторен дисбаланс довежда до основните симптоми на синдрома. При допаминергичен дефицит активирането на D</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 xml:space="preserve"> рецепторите повишава нивата на субстанция Р, докато активирането на D</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рецепторите намалява нивата на енкефалин в индиректния път. </w:t>
      </w:r>
    </w:p>
    <w:p w14:paraId="68AD34A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Патофизиологията на хипо- и хиперкинетичните синдроми от базалните ганглии е свързана с балансът на активността между директния и индиректния път и последващата промяна в активността на изхода на базалните ганглии (вътрешния globus pallidum и substantia nigra pars reticulata). </w:t>
      </w:r>
    </w:p>
    <w:p w14:paraId="57CADA1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Клиничното протичане на невродегенеративните заболявания е относително типично,</w:t>
      </w:r>
      <w:r w:rsidRPr="00AE47C6">
        <w:rPr>
          <w:rFonts w:ascii="Times New Roman" w:eastAsia="SimSun" w:hAnsi="Times New Roman"/>
          <w:sz w:val="24"/>
          <w:szCs w:val="24"/>
        </w:rPr>
        <w:t xml:space="preserve"> което дава възможност за правилно поставяне на диагнозата.</w:t>
      </w:r>
    </w:p>
    <w:p w14:paraId="1C1E81C0" w14:textId="77777777" w:rsidR="00BE0B19" w:rsidRPr="00AE47C6" w:rsidRDefault="00BE0B19" w:rsidP="00BE0B19">
      <w:pPr>
        <w:spacing w:before="240" w:after="240" w:line="240" w:lineRule="auto"/>
        <w:outlineLvl w:val="4"/>
        <w:rPr>
          <w:rFonts w:ascii="Times New Roman" w:eastAsia="SimSun" w:hAnsi="Times New Roman"/>
          <w:b/>
          <w:bCs/>
          <w:iCs/>
          <w:sz w:val="24"/>
          <w:szCs w:val="26"/>
        </w:rPr>
      </w:pPr>
      <w:r w:rsidRPr="00AE47C6">
        <w:rPr>
          <w:rFonts w:ascii="Times New Roman" w:eastAsia="SimSun" w:hAnsi="Times New Roman"/>
          <w:b/>
          <w:bCs/>
          <w:iCs/>
          <w:sz w:val="24"/>
          <w:szCs w:val="26"/>
        </w:rPr>
        <w:t>6.1.1.1.1. Болест с дифузни телца на Lewy</w:t>
      </w:r>
    </w:p>
    <w:p w14:paraId="596455DA"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b/>
          <w:i/>
          <w:sz w:val="24"/>
          <w:szCs w:val="24"/>
        </w:rPr>
        <w:t xml:space="preserve">Болестта с дифузни телца на Lewy </w:t>
      </w:r>
      <w:r w:rsidRPr="00AE47C6">
        <w:rPr>
          <w:rFonts w:ascii="Times New Roman" w:eastAsia="SimSun" w:hAnsi="Times New Roman"/>
          <w:sz w:val="24"/>
          <w:szCs w:val="24"/>
        </w:rPr>
        <w:t xml:space="preserve">протича с широк спектър от клинични прояви, в резултат от развитието на патологичен процес в различни области на мозъка. При 50% от пациентите дебютира с </w:t>
      </w:r>
      <w:r w:rsidRPr="00AE47C6">
        <w:rPr>
          <w:rFonts w:ascii="Times New Roman" w:eastAsia="SimSun" w:hAnsi="Times New Roman"/>
          <w:i/>
          <w:sz w:val="24"/>
          <w:szCs w:val="24"/>
        </w:rPr>
        <w:t xml:space="preserve">деменция </w:t>
      </w:r>
      <w:r w:rsidRPr="00AE47C6">
        <w:rPr>
          <w:rFonts w:ascii="Times New Roman" w:eastAsia="SimSun" w:hAnsi="Times New Roman"/>
          <w:sz w:val="24"/>
          <w:szCs w:val="24"/>
        </w:rPr>
        <w:t xml:space="preserve">и не по-рано от 12 месеца от началото на заболяването се добавят паркинсоновите симптоми, докато при останалите пациенти е обратното. В ранните стадии на заболяването </w:t>
      </w:r>
      <w:r w:rsidRPr="00AE47C6">
        <w:rPr>
          <w:rFonts w:ascii="Times New Roman" w:eastAsia="SimSun" w:hAnsi="Times New Roman"/>
          <w:i/>
          <w:sz w:val="24"/>
          <w:szCs w:val="24"/>
        </w:rPr>
        <w:t>когнитивният дефицит</w:t>
      </w:r>
      <w:r w:rsidRPr="00AE47C6">
        <w:rPr>
          <w:rFonts w:ascii="Times New Roman" w:eastAsia="SimSun" w:hAnsi="Times New Roman"/>
          <w:sz w:val="24"/>
          <w:szCs w:val="24"/>
        </w:rPr>
        <w:t xml:space="preserve">. Флуктуациите в когнитивните функции, паметовите нарушения, вниманието и будността, могат да се придружават от сомнолентност, епизодичен делир, периодични добре оформени и детайлни зрителни халюцинации и паркинсонов синдром. Особено изразени са ограничението на вниманието, фронто-подкоровите умения и визуално-пространствената ориентация. Има белези на темпоро-париетално увреждане, като апраксия, афазия, агнозия и акалкулия. В хода на заболяването при 80% от пациентите се проявява </w:t>
      </w:r>
      <w:r w:rsidRPr="00AE47C6">
        <w:rPr>
          <w:rFonts w:ascii="Times New Roman" w:eastAsia="SimSun" w:hAnsi="Times New Roman"/>
          <w:i/>
          <w:sz w:val="24"/>
          <w:szCs w:val="24"/>
        </w:rPr>
        <w:t xml:space="preserve">паркинсонов синдром </w:t>
      </w:r>
      <w:r w:rsidRPr="00AE47C6">
        <w:rPr>
          <w:rFonts w:ascii="Times New Roman" w:eastAsia="SimSun" w:hAnsi="Times New Roman"/>
          <w:sz w:val="24"/>
          <w:szCs w:val="24"/>
        </w:rPr>
        <w:t xml:space="preserve">с мускулна ригидност, брадикинезия, постурални нарушения и слаб тремор в покой. Могат да се добавят чести падания, синкопи, преходна загуба на съзнание, систематизирани делюзии и халюцинации в другите модалности, депресия, REM-поведенческо нарушение и свръхчувствителност към невролептици. </w:t>
      </w:r>
    </w:p>
    <w:p w14:paraId="793E6163" w14:textId="77777777" w:rsidR="00BE0B19" w:rsidRPr="00AE47C6" w:rsidRDefault="00BE0B19" w:rsidP="00BE0B19">
      <w:pPr>
        <w:spacing w:before="240" w:after="240" w:line="240" w:lineRule="auto"/>
        <w:outlineLvl w:val="4"/>
        <w:rPr>
          <w:rFonts w:ascii="Times New Roman" w:eastAsia="SimSun" w:hAnsi="Times New Roman"/>
          <w:b/>
          <w:bCs/>
          <w:iCs/>
          <w:sz w:val="24"/>
          <w:szCs w:val="26"/>
        </w:rPr>
      </w:pPr>
      <w:r w:rsidRPr="00AE47C6">
        <w:rPr>
          <w:rFonts w:ascii="Times New Roman" w:eastAsia="SimSun" w:hAnsi="Times New Roman"/>
          <w:b/>
          <w:bCs/>
          <w:iCs/>
          <w:sz w:val="24"/>
          <w:szCs w:val="26"/>
        </w:rPr>
        <w:t xml:space="preserve">6.1.1.1.2. Мултисистемната атрофия </w:t>
      </w:r>
    </w:p>
    <w:p w14:paraId="692B00F5"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i/>
          <w:sz w:val="24"/>
          <w:szCs w:val="24"/>
        </w:rPr>
        <w:t>З</w:t>
      </w:r>
      <w:r w:rsidRPr="00AE47C6">
        <w:rPr>
          <w:rFonts w:ascii="Times New Roman" w:eastAsia="SimSun" w:hAnsi="Times New Roman"/>
          <w:sz w:val="24"/>
          <w:szCs w:val="24"/>
        </w:rPr>
        <w:t xml:space="preserve">апочва в по-млада възраст (средно 49 – 54 г.). Протича с комбинация от изразени в различна степен паркинсонов синдром, малкомозъчни, автономни и пирамидни нарушения. Само при около 30% от пациентите клиничната картина е напълно разгърната, със съчетание и на четирите синдрома. Автономни и пирамидни нарушения се установяват при почти всички пациенти, а въз основа на останалите двигателни симптоми се различават </w:t>
      </w:r>
      <w:r w:rsidRPr="00AE47C6">
        <w:rPr>
          <w:rFonts w:ascii="Times New Roman" w:eastAsia="SimSun" w:hAnsi="Times New Roman"/>
          <w:i/>
          <w:sz w:val="24"/>
          <w:szCs w:val="24"/>
        </w:rPr>
        <w:t>два основни клинични подтипа</w:t>
      </w:r>
      <w:r w:rsidRPr="00AE47C6">
        <w:rPr>
          <w:rFonts w:ascii="Times New Roman" w:eastAsia="SimSun" w:hAnsi="Times New Roman"/>
          <w:sz w:val="24"/>
          <w:szCs w:val="24"/>
        </w:rPr>
        <w:t xml:space="preserve">: стрионигрална дегенерация с предимно паркинсонов акинетично-ригиден синдром (80% от пациентите) и оливопонтоцеребеларна атрофия (20%), с предимно малкомозъчна атаксия. </w:t>
      </w:r>
    </w:p>
    <w:p w14:paraId="31D0A9B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Заболяването започва с асиметричен акинетично-ригиден </w:t>
      </w:r>
      <w:r w:rsidRPr="00AE47C6">
        <w:rPr>
          <w:rFonts w:ascii="Times New Roman" w:eastAsia="SimSun" w:hAnsi="Times New Roman"/>
          <w:i/>
          <w:sz w:val="24"/>
          <w:szCs w:val="24"/>
        </w:rPr>
        <w:t>паркинсонов синдром</w:t>
      </w:r>
      <w:r w:rsidRPr="00AE47C6">
        <w:rPr>
          <w:rFonts w:ascii="Times New Roman" w:eastAsia="SimSun" w:hAnsi="Times New Roman"/>
          <w:sz w:val="24"/>
          <w:szCs w:val="24"/>
        </w:rPr>
        <w:t xml:space="preserve"> при 50% от пациентите, но по-късно той е преобладаващият в клиничната картина при 90% от тях. При 2/3 от пациентите се установява едър постурален тремор, а при 1/3 от тях треморът е в покой. Често се установяват орофациална дистония, дизартрия и хипокинетична реч. Постуралната нестабилност се появява рано, но честите падания не са характерни за началото на заболяването, за разлика от прогресивната супрануклеарна парализа. Характерна е силно приведената напред поза, с допиране на брадичката към гърдите. Пациентите започват да използват инвалидна количка рано.</w:t>
      </w:r>
    </w:p>
    <w:p w14:paraId="2D0BD53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Малкомозъчните симптоми</w:t>
      </w:r>
      <w:r w:rsidRPr="00AE47C6">
        <w:rPr>
          <w:rFonts w:ascii="Times New Roman" w:eastAsia="SimSun" w:hAnsi="Times New Roman"/>
          <w:sz w:val="24"/>
          <w:szCs w:val="24"/>
        </w:rPr>
        <w:t xml:space="preserve"> се установяват в началото при 5% от болните, по-късно се развиват при 50%, но преобладават само при 20%. Проявява се с атаксия на походката, нестабилност и падания, но могат да се проявят атаксия на крайниците и речта, интенционен тремор, мускулна хипотония и нарушение на очните движения. </w:t>
      </w:r>
    </w:p>
    <w:p w14:paraId="39FF122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Автономните нарушения</w:t>
      </w:r>
      <w:r w:rsidRPr="00AE47C6">
        <w:rPr>
          <w:rFonts w:ascii="Times New Roman" w:eastAsia="SimSun" w:hAnsi="Times New Roman"/>
          <w:sz w:val="24"/>
          <w:szCs w:val="24"/>
        </w:rPr>
        <w:t xml:space="preserve"> са начален синдром при 41% от болните, но в по-късния стадии достигат до 97%. Най-честият симптом при мъжете е ранната импотентност (37%), а при жените уринарната инконтиненция или ретенция. Ортостатична хипотония има при 68% от болните, но синкопи се наблюдават едва при 15% от тях. При останалите пациенти преобладават замаяност, зрителни нарушения и сънливост. Могат да се проявят нарушения на гастроинтестиналния тракт (запек), респирацията (инспирационен стридор и сънна апнея поради булбарна пареза на ларингеалните мускули) и на терморегулацията.</w:t>
      </w:r>
    </w:p>
    <w:p w14:paraId="0968D32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Пирамидните белези</w:t>
      </w:r>
      <w:r w:rsidRPr="00AE47C6">
        <w:rPr>
          <w:rFonts w:ascii="Times New Roman" w:eastAsia="SimSun" w:hAnsi="Times New Roman"/>
          <w:sz w:val="24"/>
          <w:szCs w:val="24"/>
        </w:rPr>
        <w:t xml:space="preserve"> не са изразени и се установяват при 61% от болните, предимно при тези с паркинсонов синдром. Установяват се рефлекс на Babinski, белези на псевдобулбарна пареза и хиперрефлексия, без типични парези или спастична походка.</w:t>
      </w:r>
    </w:p>
    <w:p w14:paraId="1578C58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Допълнителните симптоми</w:t>
      </w:r>
      <w:r w:rsidRPr="00AE47C6">
        <w:rPr>
          <w:rFonts w:ascii="Times New Roman" w:eastAsia="SimSun" w:hAnsi="Times New Roman"/>
          <w:sz w:val="24"/>
          <w:szCs w:val="24"/>
        </w:rPr>
        <w:t xml:space="preserve"> включват дизартрия (атаксична, спастична и хипокинетична) и дизфагия, очни симптоми (анизокория, синдром на Horner, диплопия, нарушени погледни движения в хоризонтална или вертикална посока), дистония, сензомоторна аксонна невропатия, нарушения на съня (дневна сънливост, инсомния, аритмично дишане, сънна апнея, REM нарушения и респираторен стридор), когнитивни нарушения, депресия, чувствителни към стимули постурални и акционни миоклонии на пръстите, супрануклеарна офталмоплегия, обонятелни нарушения и болкови синдроми. </w:t>
      </w:r>
    </w:p>
    <w:p w14:paraId="553F71E9"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Прогресията е значително по-бърза от тази при Паркинсонова болест. Над 40% от болните са значително инвалидизирани 5 години след началото на заболяването. Средната продължителност на живота (около 6 години) е еднаква и при двата подтипа, но при пациентите с предимно паркинсонови симптоми инвалидизацията настъпва по-бързо.</w:t>
      </w:r>
      <w:r w:rsidRPr="00AE47C6">
        <w:rPr>
          <w:rFonts w:ascii="Times New Roman" w:eastAsia="SimSun" w:hAnsi="Times New Roman"/>
          <w:b/>
          <w:sz w:val="24"/>
          <w:szCs w:val="24"/>
          <w:u w:val="single"/>
        </w:rPr>
        <w:br/>
      </w:r>
      <w:r w:rsidRPr="00AE47C6">
        <w:rPr>
          <w:rFonts w:ascii="Times New Roman" w:eastAsia="SimSun" w:hAnsi="Times New Roman"/>
          <w:b/>
          <w:sz w:val="24"/>
          <w:szCs w:val="24"/>
        </w:rPr>
        <w:t>Лечение:</w:t>
      </w:r>
    </w:p>
    <w:p w14:paraId="7E01E09E" w14:textId="77777777" w:rsidR="00BE0B19" w:rsidRPr="00AE47C6" w:rsidRDefault="00BE0B19" w:rsidP="00BE0B19">
      <w:pPr>
        <w:widowControl w:val="0"/>
        <w:numPr>
          <w:ilvl w:val="0"/>
          <w:numId w:val="72"/>
        </w:numPr>
        <w:adjustRightInd w:val="0"/>
        <w:spacing w:after="0" w:line="360" w:lineRule="auto"/>
        <w:ind w:left="0" w:firstLine="284"/>
        <w:contextualSpacing/>
        <w:jc w:val="both"/>
        <w:rPr>
          <w:rFonts w:ascii="Times New Roman" w:eastAsia="SimSun" w:hAnsi="Times New Roman"/>
          <w:sz w:val="24"/>
          <w:szCs w:val="24"/>
        </w:rPr>
      </w:pPr>
      <w:r w:rsidRPr="00AE47C6">
        <w:rPr>
          <w:rFonts w:ascii="Times New Roman" w:eastAsia="SimSun" w:hAnsi="Times New Roman"/>
          <w:i/>
          <w:sz w:val="24"/>
          <w:szCs w:val="24"/>
        </w:rPr>
        <w:t>Леводопа</w:t>
      </w:r>
      <w:r w:rsidRPr="00AE47C6">
        <w:rPr>
          <w:rFonts w:ascii="Times New Roman" w:eastAsia="SimSun" w:hAnsi="Times New Roman"/>
          <w:sz w:val="24"/>
          <w:szCs w:val="24"/>
        </w:rPr>
        <w:t xml:space="preserve"> до 1-1,5 g дневно. </w:t>
      </w:r>
    </w:p>
    <w:p w14:paraId="2912F999" w14:textId="77777777" w:rsidR="00BE0B19" w:rsidRPr="00AE47C6" w:rsidRDefault="00BE0B19" w:rsidP="00BE0B19">
      <w:pPr>
        <w:widowControl w:val="0"/>
        <w:numPr>
          <w:ilvl w:val="0"/>
          <w:numId w:val="72"/>
        </w:numPr>
        <w:adjustRightInd w:val="0"/>
        <w:spacing w:after="0" w:line="360" w:lineRule="auto"/>
        <w:ind w:left="0" w:firstLine="284"/>
        <w:contextualSpacing/>
        <w:jc w:val="both"/>
        <w:rPr>
          <w:rFonts w:ascii="Times New Roman" w:eastAsia="SimSun" w:hAnsi="Times New Roman"/>
          <w:sz w:val="24"/>
          <w:szCs w:val="24"/>
        </w:rPr>
      </w:pPr>
      <w:r w:rsidRPr="00AE47C6">
        <w:rPr>
          <w:rFonts w:ascii="Times New Roman" w:eastAsia="SimSun" w:hAnsi="Times New Roman"/>
          <w:i/>
          <w:sz w:val="24"/>
          <w:szCs w:val="24"/>
        </w:rPr>
        <w:t>Антихолинергични средства</w:t>
      </w:r>
      <w:r w:rsidRPr="00AE47C6">
        <w:rPr>
          <w:rFonts w:ascii="Times New Roman" w:eastAsia="SimSun" w:hAnsi="Times New Roman"/>
          <w:sz w:val="24"/>
          <w:szCs w:val="24"/>
        </w:rPr>
        <w:t xml:space="preserve"> до 10-12 mg дневно в три приема</w:t>
      </w:r>
    </w:p>
    <w:p w14:paraId="57FE2125" w14:textId="77777777" w:rsidR="00BE0B19" w:rsidRPr="00AE47C6" w:rsidRDefault="00BE0B19" w:rsidP="00BE0B19">
      <w:pPr>
        <w:widowControl w:val="0"/>
        <w:numPr>
          <w:ilvl w:val="0"/>
          <w:numId w:val="72"/>
        </w:numPr>
        <w:adjustRightInd w:val="0"/>
        <w:spacing w:after="0" w:line="360" w:lineRule="auto"/>
        <w:ind w:left="0" w:firstLine="284"/>
        <w:contextualSpacing/>
        <w:jc w:val="both"/>
        <w:rPr>
          <w:rFonts w:ascii="Times New Roman" w:eastAsia="SimSun" w:hAnsi="Times New Roman"/>
          <w:sz w:val="24"/>
          <w:szCs w:val="24"/>
        </w:rPr>
      </w:pPr>
      <w:r w:rsidRPr="00AE47C6">
        <w:rPr>
          <w:rFonts w:ascii="Times New Roman" w:eastAsia="SimSun" w:hAnsi="Times New Roman"/>
          <w:i/>
          <w:sz w:val="24"/>
          <w:szCs w:val="24"/>
        </w:rPr>
        <w:t>Amantadine</w:t>
      </w:r>
      <w:r w:rsidRPr="00AE47C6">
        <w:rPr>
          <w:rFonts w:ascii="Times New Roman" w:eastAsia="SimSun" w:hAnsi="Times New Roman"/>
          <w:sz w:val="24"/>
          <w:szCs w:val="24"/>
        </w:rPr>
        <w:t xml:space="preserve"> 200-300 mg дневно </w:t>
      </w:r>
    </w:p>
    <w:p w14:paraId="4B4A7BFB" w14:textId="77777777" w:rsidR="00BE0B19" w:rsidRPr="00AE47C6" w:rsidRDefault="00BE0B19" w:rsidP="00BE0B19">
      <w:pPr>
        <w:widowControl w:val="0"/>
        <w:numPr>
          <w:ilvl w:val="0"/>
          <w:numId w:val="72"/>
        </w:numPr>
        <w:adjustRightInd w:val="0"/>
        <w:spacing w:after="0" w:line="360" w:lineRule="auto"/>
        <w:ind w:left="0" w:firstLine="284"/>
        <w:contextualSpacing/>
        <w:jc w:val="both"/>
        <w:rPr>
          <w:rFonts w:ascii="Times New Roman" w:eastAsia="SimSun" w:hAnsi="Times New Roman"/>
          <w:sz w:val="24"/>
          <w:szCs w:val="24"/>
        </w:rPr>
      </w:pPr>
      <w:r w:rsidRPr="00AE47C6">
        <w:rPr>
          <w:rFonts w:ascii="Times New Roman" w:eastAsia="SimSun" w:hAnsi="Times New Roman"/>
          <w:sz w:val="24"/>
          <w:szCs w:val="24"/>
        </w:rPr>
        <w:t>Лечението на автономните нарушения - ортостатичната хипотония и инконтиненцията</w:t>
      </w:r>
    </w:p>
    <w:p w14:paraId="03832979" w14:textId="77777777" w:rsidR="00BE0B19" w:rsidRPr="00AE47C6" w:rsidRDefault="00BE0B19" w:rsidP="00BE0B19">
      <w:pPr>
        <w:widowControl w:val="0"/>
        <w:numPr>
          <w:ilvl w:val="0"/>
          <w:numId w:val="72"/>
        </w:numPr>
        <w:adjustRightInd w:val="0"/>
        <w:spacing w:after="0" w:line="360" w:lineRule="auto"/>
        <w:ind w:left="0" w:firstLine="284"/>
        <w:contextualSpacing/>
        <w:jc w:val="both"/>
        <w:rPr>
          <w:rFonts w:ascii="Times New Roman" w:eastAsia="SimSun" w:hAnsi="Times New Roman"/>
          <w:sz w:val="24"/>
          <w:szCs w:val="24"/>
        </w:rPr>
      </w:pPr>
      <w:r w:rsidRPr="00AE47C6">
        <w:rPr>
          <w:rFonts w:ascii="Times New Roman" w:eastAsia="SimSun" w:hAnsi="Times New Roman"/>
          <w:i/>
          <w:sz w:val="24"/>
          <w:szCs w:val="24"/>
        </w:rPr>
        <w:t>Минералкортикостероиди</w:t>
      </w:r>
      <w:r w:rsidRPr="00AE47C6">
        <w:rPr>
          <w:rFonts w:ascii="Times New Roman" w:eastAsia="SimSun" w:hAnsi="Times New Roman"/>
          <w:sz w:val="24"/>
          <w:szCs w:val="24"/>
        </w:rPr>
        <w:t xml:space="preserve"> или </w:t>
      </w:r>
      <w:r w:rsidRPr="00AE47C6">
        <w:rPr>
          <w:rFonts w:ascii="Times New Roman" w:eastAsia="SimSun" w:hAnsi="Times New Roman"/>
          <w:i/>
          <w:sz w:val="24"/>
          <w:szCs w:val="24"/>
        </w:rPr>
        <w:t>НПВС</w:t>
      </w:r>
    </w:p>
    <w:p w14:paraId="59DABFE7" w14:textId="77777777" w:rsidR="00BE0B19" w:rsidRPr="00AE47C6" w:rsidRDefault="00BE0B19" w:rsidP="00BE0B19">
      <w:pPr>
        <w:widowControl w:val="0"/>
        <w:numPr>
          <w:ilvl w:val="0"/>
          <w:numId w:val="72"/>
        </w:numPr>
        <w:adjustRightInd w:val="0"/>
        <w:spacing w:after="0" w:line="360" w:lineRule="auto"/>
        <w:ind w:left="0" w:firstLine="284"/>
        <w:contextualSpacing/>
        <w:jc w:val="both"/>
        <w:rPr>
          <w:rFonts w:ascii="Times New Roman" w:eastAsia="SimSun" w:hAnsi="Times New Roman"/>
          <w:sz w:val="24"/>
          <w:szCs w:val="24"/>
        </w:rPr>
      </w:pPr>
      <w:r w:rsidRPr="00AE47C6">
        <w:rPr>
          <w:rFonts w:ascii="Times New Roman" w:eastAsia="SimSun" w:hAnsi="Times New Roman"/>
          <w:sz w:val="24"/>
          <w:szCs w:val="24"/>
        </w:rPr>
        <w:t>При чести позиви и инконтиненция на урина се прилагат антихолинергични средства.</w:t>
      </w:r>
    </w:p>
    <w:p w14:paraId="3800DC8E" w14:textId="77777777" w:rsidR="00BE0B19" w:rsidRPr="00AE47C6" w:rsidRDefault="00BE0B19" w:rsidP="00BE0B19">
      <w:pPr>
        <w:spacing w:before="240" w:after="240" w:line="240" w:lineRule="auto"/>
        <w:outlineLvl w:val="4"/>
        <w:rPr>
          <w:rFonts w:ascii="Times New Roman" w:eastAsia="SimSun" w:hAnsi="Times New Roman"/>
          <w:b/>
          <w:bCs/>
          <w:iCs/>
          <w:sz w:val="24"/>
          <w:szCs w:val="26"/>
        </w:rPr>
      </w:pPr>
      <w:r w:rsidRPr="00AE47C6">
        <w:rPr>
          <w:rFonts w:ascii="Times New Roman" w:eastAsia="SimSun" w:hAnsi="Times New Roman"/>
          <w:b/>
          <w:bCs/>
          <w:iCs/>
          <w:sz w:val="24"/>
          <w:szCs w:val="26"/>
        </w:rPr>
        <w:t xml:space="preserve">6.1.1.1.3. Болест на Hallervorden-Spatz </w:t>
      </w:r>
    </w:p>
    <w:p w14:paraId="141A130C"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В класическата форма започва около 3-4 годишна възраст, а атипичната форма – около 13-14 годишна възраст. Дебютира с нарушение на походката и постурални нарушения, вследствие на спастично повишен мускулен тонус, поради засягане на пирамидния път. Проявяват се </w:t>
      </w:r>
      <w:r w:rsidRPr="00AE47C6">
        <w:rPr>
          <w:rFonts w:ascii="Times New Roman" w:eastAsia="SimSun" w:hAnsi="Times New Roman"/>
          <w:i/>
          <w:sz w:val="24"/>
          <w:szCs w:val="24"/>
        </w:rPr>
        <w:t xml:space="preserve">дистония, дизартрия, хореоатетоза, ригидност, спастичност, ретинопатия и когнитивни нарушения. </w:t>
      </w:r>
      <w:r w:rsidRPr="00AE47C6">
        <w:rPr>
          <w:rFonts w:ascii="Times New Roman" w:eastAsia="SimSun" w:hAnsi="Times New Roman"/>
          <w:sz w:val="24"/>
          <w:szCs w:val="24"/>
        </w:rPr>
        <w:t xml:space="preserve">Атипичната форма на заболяването е с по-слабо изразени симптоми и по-бавна прогресия на екстрапирамидните симптоми. Рано се проявяват нарушения в речта. При някои пациенти се появяват епилептични припадъци, атрофия на зрителния нерв и retinitis pigmentosa. Характерни са деформациите на стъпалото и по-рядко кожни пигментации. Заболяването прогресира и неговата средна продължителност е 11 години. </w:t>
      </w:r>
    </w:p>
    <w:p w14:paraId="47597692" w14:textId="77777777" w:rsidR="00BE0B19" w:rsidRPr="00AE47C6" w:rsidRDefault="00BE0B19" w:rsidP="00BE0B19">
      <w:pPr>
        <w:spacing w:before="240" w:after="240" w:line="240" w:lineRule="auto"/>
        <w:outlineLvl w:val="4"/>
        <w:rPr>
          <w:rFonts w:ascii="Times New Roman" w:eastAsia="SimSun" w:hAnsi="Times New Roman"/>
          <w:b/>
          <w:bCs/>
          <w:iCs/>
          <w:sz w:val="24"/>
          <w:szCs w:val="26"/>
        </w:rPr>
      </w:pPr>
      <w:r w:rsidRPr="00AE47C6">
        <w:rPr>
          <w:rFonts w:ascii="Times New Roman" w:eastAsia="SimSun" w:hAnsi="Times New Roman"/>
          <w:b/>
          <w:bCs/>
          <w:iCs/>
          <w:sz w:val="24"/>
          <w:szCs w:val="26"/>
        </w:rPr>
        <w:t xml:space="preserve">6.1.1.1.4. Прогресивна супрануклеарна парализа (синдром на Steele-Richardson-Olszewski) </w:t>
      </w:r>
    </w:p>
    <w:p w14:paraId="4E269641"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bCs/>
          <w:iCs/>
          <w:sz w:val="24"/>
          <w:szCs w:val="24"/>
        </w:rPr>
        <w:t>З</w:t>
      </w:r>
      <w:r w:rsidRPr="00AE47C6">
        <w:rPr>
          <w:rFonts w:ascii="Times New Roman" w:eastAsia="SimSun" w:hAnsi="Times New Roman"/>
          <w:sz w:val="24"/>
          <w:szCs w:val="24"/>
        </w:rPr>
        <w:t>апочва средно на 58 години. Клиничната картина се характеризира със съчетаването на няколко синдрома – постурални нарушения, паркинсонов, псевдобулбарна парализа, супрануклеарна вертикална погледна пареза и деменция. По-рядко се установяват пирамидни и малкомозъчни симптоми. Всеки от тези синдроми се отличава с някои особености и съчетанието им определя характерните прояви на болестта.</w:t>
      </w:r>
    </w:p>
    <w:p w14:paraId="395F25F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Паркинсоновият синдром</w:t>
      </w:r>
      <w:r w:rsidRPr="00AE47C6">
        <w:rPr>
          <w:rFonts w:ascii="Times New Roman" w:eastAsia="SimSun" w:hAnsi="Times New Roman"/>
          <w:sz w:val="24"/>
          <w:szCs w:val="24"/>
        </w:rPr>
        <w:t xml:space="preserve"> се характеризира с двустранно симетрични брадикинезия, ригидност и постурални нарушения, статичният тремор се среща рядко (5-10%). Мускулната ригидност е по-изразена аксиално, в горната част на тялото и шийната мускулатура. Това предизвиква типично екстензионно положение на главата и изправена поза на тялото.</w:t>
      </w:r>
    </w:p>
    <w:p w14:paraId="123F385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Постуралните нарушения</w:t>
      </w:r>
      <w:r w:rsidRPr="00AE47C6">
        <w:rPr>
          <w:rFonts w:ascii="Times New Roman" w:eastAsia="SimSun" w:hAnsi="Times New Roman"/>
          <w:sz w:val="24"/>
          <w:szCs w:val="24"/>
        </w:rPr>
        <w:t xml:space="preserve"> са чести и характерни, проявяват се с нарушение на походката и падания назад и се срещат още през първата година от началото на заболяването при 90% от пациентите. При пациенти с Паркинсонова болест нарушенията на походката са начален симптом само при 11% от пациентите. Екстензираната назад глава и парезата на погледа надолу предразполагат към чести падания, особено при слизане по стълби.</w:t>
      </w:r>
    </w:p>
    <w:p w14:paraId="1E6208E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Вторият по честота начален симптом е </w:t>
      </w:r>
      <w:r w:rsidRPr="00AE47C6">
        <w:rPr>
          <w:rFonts w:ascii="Times New Roman" w:eastAsia="SimSun" w:hAnsi="Times New Roman"/>
          <w:i/>
          <w:sz w:val="24"/>
          <w:szCs w:val="24"/>
        </w:rPr>
        <w:t>фронтолимбична деменция</w:t>
      </w:r>
      <w:r w:rsidRPr="00AE47C6">
        <w:rPr>
          <w:rFonts w:ascii="Times New Roman" w:eastAsia="SimSun" w:hAnsi="Times New Roman"/>
          <w:sz w:val="24"/>
          <w:szCs w:val="24"/>
        </w:rPr>
        <w:t xml:space="preserve"> със затруднение в планирането на действията, паметови нарушения, апатия или възбудимост, експресивна дисфазия и апраксия на крайниците. Дизфункцията на фронталния лоб прогресира бързо. </w:t>
      </w:r>
    </w:p>
    <w:p w14:paraId="31FC337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Псевдобулбарния синдром, офталмопарезата и вертикалната погледна пареза</w:t>
      </w:r>
      <w:r w:rsidRPr="00AE47C6">
        <w:rPr>
          <w:rFonts w:ascii="Times New Roman" w:eastAsia="SimSun" w:hAnsi="Times New Roman"/>
          <w:sz w:val="24"/>
          <w:szCs w:val="24"/>
        </w:rPr>
        <w:t xml:space="preserve"> са елементи на </w:t>
      </w:r>
      <w:r w:rsidRPr="00AE47C6">
        <w:rPr>
          <w:rFonts w:ascii="Times New Roman" w:eastAsia="SimSun" w:hAnsi="Times New Roman"/>
          <w:i/>
          <w:sz w:val="24"/>
          <w:szCs w:val="24"/>
        </w:rPr>
        <w:t>супрануклеарната увреда</w:t>
      </w:r>
      <w:r w:rsidRPr="00AE47C6">
        <w:rPr>
          <w:rFonts w:ascii="Times New Roman" w:eastAsia="SimSun" w:hAnsi="Times New Roman"/>
          <w:sz w:val="24"/>
          <w:szCs w:val="24"/>
        </w:rPr>
        <w:t>. Вертикалната погледна пареза е най-отличителния симптом. Тя е изразена при поглед надолу, но не се появява в началото на заболяването, а средно след 4 години, което затруднява поставянето на диагнозата. При 50% от пациентите може да не се изяви в хода на заболяването. Един от първите симптоми е затруднение при четене, както и невъзможността за потискане на оптокинетичния нистагъм. Специфично е забавянето в отклоняването на погледа при подаване на команда от лекаря. Придружава се от хоризонтална погледна и псевдобулбарна пареза и симптоми от фронталния лоб. Често има спастична дизартрия, хипофония и дизфагия.</w:t>
      </w:r>
    </w:p>
    <w:p w14:paraId="334F939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По-рядко се описват пирамидни, малкомозъчни нарушения и фокални дистонии в горните крайници или блефароспазъм. Наличието на дистонии и апраксия (често апраксия на отварянето на клепачите), налага диференциална диагноза с кортикобазалната дегенерация. Нарушението на съня, с намаляване на REM стадия, както и дневната сънливост са чести симптоми на заболяването. </w:t>
      </w:r>
    </w:p>
    <w:p w14:paraId="0EDD80D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Заболяването прогресира, след около 8 години пациентите са приковани към инвалидна количка и след 2 до 12 години завършват със смъртен изход поради хипостатична пневмония или фрактура на бедрената кост след падане. </w:t>
      </w:r>
    </w:p>
    <w:p w14:paraId="62A3828D"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Лечение</w:t>
      </w:r>
    </w:p>
    <w:p w14:paraId="35D45701" w14:textId="77777777" w:rsidR="00BE0B19" w:rsidRPr="00AE47C6" w:rsidRDefault="00BE0B19" w:rsidP="00BE0B19">
      <w:pPr>
        <w:widowControl w:val="0"/>
        <w:numPr>
          <w:ilvl w:val="0"/>
          <w:numId w:val="71"/>
        </w:numPr>
        <w:adjustRightInd w:val="0"/>
        <w:spacing w:after="0" w:line="360" w:lineRule="auto"/>
        <w:ind w:left="0"/>
        <w:contextualSpacing/>
        <w:jc w:val="both"/>
        <w:rPr>
          <w:rFonts w:ascii="Times New Roman" w:eastAsia="SimSun" w:hAnsi="Times New Roman"/>
          <w:i/>
          <w:sz w:val="24"/>
          <w:szCs w:val="24"/>
        </w:rPr>
      </w:pPr>
      <w:r w:rsidRPr="00AE47C6">
        <w:rPr>
          <w:rFonts w:ascii="Times New Roman" w:eastAsia="SimSun" w:hAnsi="Times New Roman"/>
          <w:i/>
          <w:sz w:val="24"/>
          <w:szCs w:val="24"/>
        </w:rPr>
        <w:t>леводопа</w:t>
      </w:r>
    </w:p>
    <w:p w14:paraId="2E1A9DE7" w14:textId="77777777" w:rsidR="00BE0B19" w:rsidRPr="00AE47C6" w:rsidRDefault="00BE0B19" w:rsidP="00BE0B19">
      <w:pPr>
        <w:widowControl w:val="0"/>
        <w:numPr>
          <w:ilvl w:val="0"/>
          <w:numId w:val="71"/>
        </w:numPr>
        <w:adjustRightInd w:val="0"/>
        <w:spacing w:after="0" w:line="360" w:lineRule="auto"/>
        <w:ind w:left="0"/>
        <w:contextualSpacing/>
        <w:jc w:val="both"/>
        <w:rPr>
          <w:rFonts w:ascii="Times New Roman" w:eastAsia="SimSun" w:hAnsi="Times New Roman"/>
          <w:i/>
          <w:sz w:val="24"/>
          <w:szCs w:val="24"/>
        </w:rPr>
      </w:pPr>
      <w:r w:rsidRPr="00AE47C6">
        <w:rPr>
          <w:rFonts w:ascii="Times New Roman" w:eastAsia="SimSun" w:hAnsi="Times New Roman"/>
          <w:i/>
          <w:sz w:val="24"/>
          <w:szCs w:val="24"/>
        </w:rPr>
        <w:t>amantadine</w:t>
      </w:r>
    </w:p>
    <w:p w14:paraId="4E2866E8" w14:textId="77777777" w:rsidR="00BE0B19" w:rsidRPr="00AE47C6" w:rsidRDefault="00BE0B19" w:rsidP="00BE0B19">
      <w:pPr>
        <w:widowControl w:val="0"/>
        <w:numPr>
          <w:ilvl w:val="0"/>
          <w:numId w:val="71"/>
        </w:numPr>
        <w:adjustRightInd w:val="0"/>
        <w:spacing w:after="0" w:line="360" w:lineRule="auto"/>
        <w:ind w:left="0"/>
        <w:contextualSpacing/>
        <w:jc w:val="both"/>
        <w:rPr>
          <w:rFonts w:ascii="Times New Roman" w:eastAsia="SimSun" w:hAnsi="Times New Roman"/>
          <w:i/>
          <w:sz w:val="24"/>
          <w:szCs w:val="24"/>
        </w:rPr>
      </w:pPr>
      <w:r w:rsidRPr="00AE47C6">
        <w:rPr>
          <w:rFonts w:ascii="Times New Roman" w:eastAsia="SimSun" w:hAnsi="Times New Roman"/>
          <w:i/>
          <w:sz w:val="24"/>
          <w:szCs w:val="24"/>
        </w:rPr>
        <w:t xml:space="preserve">amitriptyline </w:t>
      </w:r>
    </w:p>
    <w:p w14:paraId="7F00B0C3" w14:textId="77777777" w:rsidR="00BE0B19" w:rsidRPr="00AE47C6" w:rsidRDefault="00BE0B19" w:rsidP="00BE0B19">
      <w:pPr>
        <w:spacing w:after="0" w:line="360" w:lineRule="auto"/>
        <w:ind w:firstLine="709"/>
        <w:jc w:val="both"/>
        <w:rPr>
          <w:rFonts w:ascii="Times New Roman" w:eastAsia="SimSun" w:hAnsi="Times New Roman"/>
          <w:sz w:val="24"/>
          <w:szCs w:val="24"/>
        </w:rPr>
      </w:pPr>
    </w:p>
    <w:p w14:paraId="588A2AEA" w14:textId="77777777" w:rsidR="00BE0B19" w:rsidRPr="00AE47C6" w:rsidRDefault="00BE0B19" w:rsidP="00BE0B19">
      <w:pPr>
        <w:spacing w:before="240" w:after="240" w:line="240" w:lineRule="auto"/>
        <w:outlineLvl w:val="4"/>
        <w:rPr>
          <w:rFonts w:ascii="Times New Roman" w:eastAsia="SimSun" w:hAnsi="Times New Roman"/>
          <w:b/>
          <w:bCs/>
          <w:iCs/>
          <w:sz w:val="24"/>
          <w:szCs w:val="26"/>
        </w:rPr>
      </w:pPr>
      <w:r w:rsidRPr="00AE47C6">
        <w:rPr>
          <w:rFonts w:ascii="Times New Roman" w:eastAsia="SimSun" w:hAnsi="Times New Roman"/>
          <w:b/>
          <w:bCs/>
          <w:iCs/>
          <w:sz w:val="24"/>
          <w:szCs w:val="26"/>
        </w:rPr>
        <w:t>6.1.1.1.5. Кортикобазална дегенерация</w:t>
      </w:r>
    </w:p>
    <w:p w14:paraId="479D396F"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sz w:val="24"/>
          <w:szCs w:val="24"/>
        </w:rPr>
        <w:t>Не се проявява със специфичен клиничен фенотип. Клиничните прояви са различни, а от друга страна пациенти с различна патоморфологична находка могат да проявят типични за кортикобазалната дегенерация симптоми. Поради тази причина напоследък се говори за синдром на кортикобазална дегенерация. Началото на заболяването е след 60 годишна възраст. Най-характерните клинични белези са необичайна комбинация от двигателни и перцептивни нарушения. Наличието на три или повече от основните симптоми подкрепят диагнозата.</w:t>
      </w:r>
    </w:p>
    <w:p w14:paraId="75B13CC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Двигателните нарушения</w:t>
      </w:r>
      <w:r w:rsidRPr="00AE47C6">
        <w:rPr>
          <w:rFonts w:ascii="Times New Roman" w:eastAsia="SimSun" w:hAnsi="Times New Roman"/>
          <w:sz w:val="24"/>
          <w:szCs w:val="24"/>
        </w:rPr>
        <w:t xml:space="preserve"> се представят от асиметричен паркинсонов акинетично-ригиден синдром, неповлияващ се от леводопа, фокални дистонии и миоклонии в крайниците и супрануклеарна вертикална погледна пареза. Дистониите се асиметрични и засягат едната ръка, като китката и предмишницата са във флексия, а ръката е аддуктирана в рамото. Пръстите се флексирани в метакарпофалангеалните стави, екстензирани или флексирани в дисталните и проксимални интерфалангеални стави. Тази фиксирана поза може да доведе до контрактури. При 40% от пациентите дистониите и особено контрактурите се придружават от силна болка. В някои случаи се добавят и хореоатетозни движения в засегнатия крайник или лицето. По-рядко се появяват дистонии на главата, шията, тялото, краката или пръстите на краката. Появява се тремор, който не е паркинсонов, а е постурален и акционен, с по висока честота (6-8 Hz) и неритмичен. Фокални, предимно акционни и зависими от стимули миоклонии се появяват по-късно в хода на заболяването. Често те се наслагват върху тремора на крайниците, придават му неритмичен характер и се засилват при движение. </w:t>
      </w:r>
    </w:p>
    <w:p w14:paraId="2B7575E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Перцептивните нарушения</w:t>
      </w:r>
      <w:r w:rsidRPr="00AE47C6">
        <w:rPr>
          <w:rFonts w:ascii="Times New Roman" w:eastAsia="SimSun" w:hAnsi="Times New Roman"/>
          <w:sz w:val="24"/>
          <w:szCs w:val="24"/>
        </w:rPr>
        <w:t xml:space="preserve"> се проявяват с корови сетивни нарушения от париеталния дял и апраксия. Типични са апраксията на крайниците (70% от пациентите), коровото нарушение на сетивността и невъзможността за познаване на предметите чрез опипване. В по-тежки случаи се развива симптома на чуждия крайник, при който той извършва произволни, привидно целенасочени движения. Характеризира се в невъзможност за познаване на крайника, като свой, ако не се използва зрението. </w:t>
      </w:r>
    </w:p>
    <w:p w14:paraId="543845F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Кинетичната апраксия</w:t>
      </w:r>
      <w:r w:rsidRPr="00AE47C6">
        <w:rPr>
          <w:rFonts w:ascii="Times New Roman" w:eastAsia="SimSun" w:hAnsi="Times New Roman"/>
          <w:sz w:val="24"/>
          <w:szCs w:val="24"/>
        </w:rPr>
        <w:t xml:space="preserve"> на крайника преобладава и пациентът не може да извършва фини движения на пръстите. По-рядко апраксията засяга тялото или орофациалната област. </w:t>
      </w:r>
    </w:p>
    <w:p w14:paraId="0DE170B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Нарушенията в </w:t>
      </w:r>
      <w:r w:rsidRPr="00AE47C6">
        <w:rPr>
          <w:rFonts w:ascii="Times New Roman" w:eastAsia="SimSun" w:hAnsi="Times New Roman"/>
          <w:i/>
          <w:sz w:val="24"/>
          <w:szCs w:val="24"/>
        </w:rPr>
        <w:t>очните движения</w:t>
      </w:r>
      <w:r w:rsidRPr="00AE47C6">
        <w:rPr>
          <w:rFonts w:ascii="Times New Roman" w:eastAsia="SimSun" w:hAnsi="Times New Roman"/>
          <w:sz w:val="24"/>
          <w:szCs w:val="24"/>
        </w:rPr>
        <w:t xml:space="preserve"> са проявяват със забавеност, а по-късно и невъзможност за извършване на хоризонтални сакадични движения при вербална команда.. </w:t>
      </w:r>
    </w:p>
    <w:p w14:paraId="1CAE281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Могат да се развият фронто-темпорални </w:t>
      </w:r>
      <w:r w:rsidRPr="00AE47C6">
        <w:rPr>
          <w:rFonts w:ascii="Times New Roman" w:eastAsia="SimSun" w:hAnsi="Times New Roman"/>
          <w:i/>
          <w:sz w:val="24"/>
          <w:szCs w:val="24"/>
        </w:rPr>
        <w:t>когнитивни</w:t>
      </w:r>
      <w:r w:rsidRPr="00AE47C6">
        <w:rPr>
          <w:rFonts w:ascii="Times New Roman" w:eastAsia="SimSun" w:hAnsi="Times New Roman"/>
          <w:sz w:val="24"/>
          <w:szCs w:val="24"/>
        </w:rPr>
        <w:t xml:space="preserve"> нарушения (до деменция), афазия и орална апраксия. Нарушенията на паметта са в резултат на прекъсване на подкорово-фронталните пътища. Много типична е фронто-подкоровата деменция, с нарушения на жестовете. Често се проявяват депресия, апатия, тревожност, ажитация, нарушения в речта, монотонен глас, дисфония, ехолалия или палилалия.</w:t>
      </w:r>
    </w:p>
    <w:p w14:paraId="6044239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Налице са и </w:t>
      </w:r>
      <w:r w:rsidRPr="00AE47C6">
        <w:rPr>
          <w:rFonts w:ascii="Times New Roman" w:eastAsia="SimSun" w:hAnsi="Times New Roman"/>
          <w:i/>
          <w:sz w:val="24"/>
          <w:szCs w:val="24"/>
        </w:rPr>
        <w:t>автономни симптоми</w:t>
      </w:r>
      <w:r w:rsidRPr="00AE47C6">
        <w:rPr>
          <w:rFonts w:ascii="Times New Roman" w:eastAsia="SimSun" w:hAnsi="Times New Roman"/>
          <w:sz w:val="24"/>
          <w:szCs w:val="24"/>
        </w:rPr>
        <w:t xml:space="preserve"> от страна на гастроинтестиналния тракт (хиперсаливация, дизфагия, гадене, запек), тазоворезервоарни нарушения (често и спешно уриниране) и ортостатична хипотония.</w:t>
      </w:r>
    </w:p>
    <w:p w14:paraId="311624A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По-рядко се появяват пирамидни белези, блефароспазъм, постурална нестабилност, затруднена походка, дизфагия и дизартрия. </w:t>
      </w:r>
    </w:p>
    <w:p w14:paraId="398921D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Заболяването е бавно прогресиращо, с продължителност от 6 до 8 години. Пациентите се инвалидизират и умират от аспирационна пневмония или уросепсис. </w:t>
      </w:r>
    </w:p>
    <w:p w14:paraId="5CE402A8" w14:textId="77777777" w:rsidR="00BE0B19" w:rsidRPr="00AE47C6" w:rsidRDefault="00BE0B19" w:rsidP="00BE0B19">
      <w:pPr>
        <w:spacing w:before="240" w:after="240" w:line="240" w:lineRule="auto"/>
        <w:outlineLvl w:val="4"/>
        <w:rPr>
          <w:rFonts w:ascii="Times New Roman" w:eastAsia="SimSun" w:hAnsi="Times New Roman"/>
          <w:b/>
          <w:bCs/>
          <w:iCs/>
          <w:sz w:val="24"/>
          <w:szCs w:val="26"/>
        </w:rPr>
      </w:pPr>
      <w:r w:rsidRPr="00AE47C6">
        <w:rPr>
          <w:rFonts w:ascii="Times New Roman" w:eastAsia="SimSun" w:hAnsi="Times New Roman"/>
          <w:b/>
          <w:bCs/>
          <w:iCs/>
          <w:sz w:val="24"/>
          <w:szCs w:val="26"/>
        </w:rPr>
        <w:t xml:space="preserve">6.1.1.1.6. Фронтотемпорална деменция с паркинсонизъм </w:t>
      </w:r>
    </w:p>
    <w:p w14:paraId="3246C0CC" w14:textId="77777777" w:rsidR="00BE0B19" w:rsidRPr="00AE47C6" w:rsidRDefault="00BE0B19" w:rsidP="00BE0B19">
      <w:pPr>
        <w:spacing w:after="0" w:line="360" w:lineRule="auto"/>
        <w:ind w:firstLine="426"/>
        <w:contextualSpacing/>
        <w:jc w:val="both"/>
        <w:rPr>
          <w:rFonts w:ascii="Times New Roman" w:eastAsia="SimSun" w:hAnsi="Times New Roman"/>
          <w:sz w:val="24"/>
          <w:szCs w:val="24"/>
        </w:rPr>
      </w:pPr>
      <w:r w:rsidRPr="00AE47C6">
        <w:rPr>
          <w:rFonts w:ascii="Times New Roman" w:eastAsia="SimSun" w:hAnsi="Times New Roman"/>
          <w:sz w:val="24"/>
          <w:szCs w:val="24"/>
        </w:rPr>
        <w:t>Проявява се между 45 и 65 годишна възраст. Фенотипните вариации са големи, както в различните фамилии, така и в отделните членове на една и съща фамилия. Клиничното протичане наподобява това на прогресивната супрануклеарна парализа и кортикобазалната дегенерация, но началото е в по-ранна възраст. Клинично се характеризира с фронтотемпорална деменция (поведенчески и когнитивни нарушения) и афазия, а само в някои случаи по-късно се проявява паркинсонов синдром, неповлияващ се от леводопа. Поведенческите нарушения се проявяват с хиперфагия, обсесивно поведение, нарушена социализация и психоза. Когнитивните нарушения включват нарушени екзекутивни функции, при относително запазена ориентация, зрително-пространствени функции и памет. Паркинсоновият синдром се представя с акинезия и ригидност, без тремор. Добавят се дистонии, спастично повишен мускулен тонус, супрануклеарна погледна парализа и понякога амиотрофия. Заболяването прогресира бързо, средната продължителност на живота е 8-9 години.</w:t>
      </w:r>
    </w:p>
    <w:p w14:paraId="5F5F1CD0" w14:textId="77777777" w:rsidR="00BE0B19" w:rsidRPr="00AE47C6" w:rsidRDefault="00BE0B19" w:rsidP="00BE0B19">
      <w:pPr>
        <w:spacing w:before="240" w:after="240" w:line="240" w:lineRule="auto"/>
        <w:outlineLvl w:val="4"/>
        <w:rPr>
          <w:rFonts w:ascii="Times New Roman" w:eastAsia="SimSun" w:hAnsi="Times New Roman"/>
          <w:b/>
          <w:bCs/>
          <w:iCs/>
          <w:sz w:val="24"/>
          <w:szCs w:val="26"/>
        </w:rPr>
      </w:pPr>
      <w:r w:rsidRPr="00AE47C6">
        <w:rPr>
          <w:rFonts w:ascii="Times New Roman" w:eastAsia="SimSun" w:hAnsi="Times New Roman"/>
          <w:b/>
          <w:bCs/>
          <w:iCs/>
          <w:sz w:val="24"/>
          <w:szCs w:val="26"/>
        </w:rPr>
        <w:t>6.1.1.1.7. Паркинсонова болест</w:t>
      </w:r>
    </w:p>
    <w:p w14:paraId="5EE1351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Паркинсоновата болест е хронично прогресиращо невродегенеративно заболяване. Причинява се от прогресивна дегенерация на допаминергичните неврони в substantia nigra. Причината не е известна, предполага се значението на наследствените фактори и на токсични вещества от околната среда. Намаляването на броя на тези неврони довежда до намаляване на съдържанието на допамин в нигростриарните пътища. Нарушава се балансът допамин/ацетилхолин и допамин/глутамат на нивото на допаминергичните стриарни рецептори. Невромедиаторният дисбаланс довежда до основните симптоми на Паркинсоновата болест. Няма сигурни данни, които биха дали възможност да се провежда профилактика на Паркинсоновата болест. Паркинсоновата болест засяга 0,15% от населението, като за възрастта от 55 до 65 години болестността нараства до 1%. Според епидемиологичните данни в България би трябвало да има около 12 000 болни. Пациентите, които са все още в трудоспособна възраст бързо се инвалидизират при неправилно проведено лечение. При правилно лечение те могат да останат трудоспособни поне през първите 5 години от началото на заболяването и да бъдат с леко изразена инвалидност през първите 10 години. Лечението още от началото на заболяването с медикаменти от групата на леводопа води до бързо изчерпване на терапевтичните възможности и ранна инвалидизация на пациента. След изчерпването на ефекта от леводопа болният навлиза във фазата на усложнената Паркинсонова болест, когато лечението е трудно, инвалидността е сериозна и пациентите са в тежест за семейството и обществото. Някои невропротективни медикаменти могат да забавят прогресията на заболяването, но прилагането им, за да бъде ефективно, трябва да започне рано. Това изисква ранно поставяне на диагнозата, което понякога е затруднено през първите години от началото на заболяването. Много често есенциалният тремор, който се среща 10 пъти по-често се диагностицира като Паркинсонова болест и пациентът дълго се лекува погрешно. </w:t>
      </w:r>
    </w:p>
    <w:p w14:paraId="00BDE7C2" w14:textId="77777777" w:rsidR="00BE0B19" w:rsidRPr="00AE47C6" w:rsidRDefault="00BE0B19" w:rsidP="00BE0B19">
      <w:pPr>
        <w:spacing w:after="0" w:line="360" w:lineRule="auto"/>
        <w:ind w:firstLine="426"/>
        <w:contextualSpacing/>
        <w:jc w:val="both"/>
        <w:rPr>
          <w:rFonts w:ascii="Times New Roman" w:eastAsia="SimSun" w:hAnsi="Times New Roman"/>
          <w:sz w:val="24"/>
          <w:szCs w:val="24"/>
        </w:rPr>
      </w:pPr>
      <w:r w:rsidRPr="00AE47C6">
        <w:rPr>
          <w:rFonts w:ascii="Times New Roman" w:eastAsia="SimSun" w:hAnsi="Times New Roman"/>
          <w:sz w:val="24"/>
          <w:szCs w:val="24"/>
        </w:rPr>
        <w:t>Паркинсоновата болест може да се появи в различна възраст и в различни клинични форми. Съобразно възрастта на началото на заболяването, клиничната форма, психичното състояние, клиничният ход и данните за наследственост се класифицира по следния начин:</w:t>
      </w:r>
    </w:p>
    <w:p w14:paraId="1070A664" w14:textId="77777777" w:rsidR="00BE0B19" w:rsidRPr="00AE47C6" w:rsidRDefault="00BE0B19" w:rsidP="00BE0B19">
      <w:pPr>
        <w:spacing w:after="0" w:line="360" w:lineRule="auto"/>
        <w:ind w:firstLine="426"/>
        <w:contextualSpacing/>
        <w:jc w:val="both"/>
        <w:rPr>
          <w:rFonts w:ascii="Times New Roman" w:eastAsia="SimSun" w:hAnsi="Times New Roman"/>
          <w:sz w:val="24"/>
          <w:szCs w:val="24"/>
        </w:rPr>
      </w:pPr>
      <w:r w:rsidRPr="00AE47C6">
        <w:rPr>
          <w:rFonts w:ascii="Times New Roman" w:eastAsia="SimSun" w:hAnsi="Times New Roman"/>
          <w:sz w:val="24"/>
          <w:szCs w:val="24"/>
        </w:rPr>
        <w:t>1.</w:t>
      </w:r>
      <w:r w:rsidRPr="00AE47C6">
        <w:rPr>
          <w:rFonts w:ascii="Times New Roman" w:eastAsia="SimSun" w:hAnsi="Times New Roman"/>
          <w:sz w:val="24"/>
          <w:szCs w:val="24"/>
        </w:rPr>
        <w:tab/>
        <w:t>Според началото на заболяването- ювенилна (под 20 г. възраст), с ранно начало (от 21 – 40 г. възраст) и с късно начало (над 40 г. възраст).</w:t>
      </w:r>
    </w:p>
    <w:p w14:paraId="4CAC048C" w14:textId="77777777" w:rsidR="00BE0B19" w:rsidRPr="00AE47C6" w:rsidRDefault="00BE0B19" w:rsidP="00BE0B19">
      <w:pPr>
        <w:spacing w:after="0" w:line="360" w:lineRule="auto"/>
        <w:ind w:firstLine="426"/>
        <w:contextualSpacing/>
        <w:jc w:val="both"/>
        <w:rPr>
          <w:rFonts w:ascii="Times New Roman" w:eastAsia="SimSun" w:hAnsi="Times New Roman"/>
          <w:sz w:val="24"/>
          <w:szCs w:val="24"/>
        </w:rPr>
      </w:pPr>
      <w:r w:rsidRPr="00AE47C6">
        <w:rPr>
          <w:rFonts w:ascii="Times New Roman" w:eastAsia="SimSun" w:hAnsi="Times New Roman"/>
          <w:sz w:val="24"/>
          <w:szCs w:val="24"/>
        </w:rPr>
        <w:t>2.</w:t>
      </w:r>
      <w:r w:rsidRPr="00AE47C6">
        <w:rPr>
          <w:rFonts w:ascii="Times New Roman" w:eastAsia="SimSun" w:hAnsi="Times New Roman"/>
          <w:sz w:val="24"/>
          <w:szCs w:val="24"/>
        </w:rPr>
        <w:tab/>
        <w:t>Според доминиращите двигателни нарушения - предимно треморна и акинетично - ригидна форма.</w:t>
      </w:r>
    </w:p>
    <w:p w14:paraId="7E37595E" w14:textId="77777777" w:rsidR="00BE0B19" w:rsidRPr="00AE47C6" w:rsidRDefault="00BE0B19" w:rsidP="00BE0B19">
      <w:pPr>
        <w:spacing w:after="0" w:line="360" w:lineRule="auto"/>
        <w:ind w:firstLine="426"/>
        <w:contextualSpacing/>
        <w:jc w:val="both"/>
        <w:rPr>
          <w:rFonts w:ascii="Times New Roman" w:eastAsia="SimSun" w:hAnsi="Times New Roman"/>
          <w:sz w:val="24"/>
          <w:szCs w:val="24"/>
        </w:rPr>
      </w:pPr>
      <w:r w:rsidRPr="00AE47C6">
        <w:rPr>
          <w:rFonts w:ascii="Times New Roman" w:eastAsia="SimSun" w:hAnsi="Times New Roman"/>
          <w:sz w:val="24"/>
          <w:szCs w:val="24"/>
        </w:rPr>
        <w:t>3.</w:t>
      </w:r>
      <w:r w:rsidRPr="00AE47C6">
        <w:rPr>
          <w:rFonts w:ascii="Times New Roman" w:eastAsia="SimSun" w:hAnsi="Times New Roman"/>
          <w:sz w:val="24"/>
          <w:szCs w:val="24"/>
        </w:rPr>
        <w:tab/>
        <w:t>Според психичното състояние - с или без деменция.</w:t>
      </w:r>
    </w:p>
    <w:p w14:paraId="2C6C5FE3" w14:textId="77777777" w:rsidR="00BE0B19" w:rsidRPr="00AE47C6" w:rsidRDefault="00BE0B19" w:rsidP="00BE0B19">
      <w:pPr>
        <w:spacing w:after="0" w:line="360" w:lineRule="auto"/>
        <w:ind w:firstLine="426"/>
        <w:contextualSpacing/>
        <w:jc w:val="both"/>
        <w:rPr>
          <w:rFonts w:ascii="Times New Roman" w:eastAsia="SimSun" w:hAnsi="Times New Roman"/>
          <w:sz w:val="24"/>
          <w:szCs w:val="24"/>
        </w:rPr>
      </w:pPr>
      <w:r w:rsidRPr="00AE47C6">
        <w:rPr>
          <w:rFonts w:ascii="Times New Roman" w:eastAsia="SimSun" w:hAnsi="Times New Roman"/>
          <w:sz w:val="24"/>
          <w:szCs w:val="24"/>
        </w:rPr>
        <w:t>4.</w:t>
      </w:r>
      <w:r w:rsidRPr="00AE47C6">
        <w:rPr>
          <w:rFonts w:ascii="Times New Roman" w:eastAsia="SimSun" w:hAnsi="Times New Roman"/>
          <w:sz w:val="24"/>
          <w:szCs w:val="24"/>
        </w:rPr>
        <w:tab/>
        <w:t>Според клиничното развитие- бавно прогресираща, с добро повлияване от леводопа или с по-бързо влошаване и поява на странични ефекти от леводопа терапията.</w:t>
      </w:r>
    </w:p>
    <w:p w14:paraId="54A7614E" w14:textId="77777777" w:rsidR="00BE0B19" w:rsidRPr="00AE47C6" w:rsidRDefault="00BE0B19" w:rsidP="00BE0B19">
      <w:pPr>
        <w:spacing w:after="0" w:line="360" w:lineRule="auto"/>
        <w:ind w:firstLine="426"/>
        <w:contextualSpacing/>
        <w:jc w:val="both"/>
        <w:rPr>
          <w:rFonts w:ascii="Times New Roman" w:eastAsia="SimSun" w:hAnsi="Times New Roman"/>
          <w:sz w:val="24"/>
          <w:szCs w:val="24"/>
        </w:rPr>
      </w:pPr>
      <w:r w:rsidRPr="00AE47C6">
        <w:rPr>
          <w:rFonts w:ascii="Times New Roman" w:eastAsia="SimSun" w:hAnsi="Times New Roman"/>
          <w:sz w:val="24"/>
          <w:szCs w:val="24"/>
        </w:rPr>
        <w:t>5.</w:t>
      </w:r>
      <w:r w:rsidRPr="00AE47C6">
        <w:rPr>
          <w:rFonts w:ascii="Times New Roman" w:eastAsia="SimSun" w:hAnsi="Times New Roman"/>
          <w:sz w:val="24"/>
          <w:szCs w:val="24"/>
        </w:rPr>
        <w:tab/>
        <w:t>Според данните за наследственост - спорадични и наследствени форми</w:t>
      </w:r>
    </w:p>
    <w:p w14:paraId="344CBF0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Началото на заболяването е постепенно и незабележимо. Появяват се неспецифични симптоми (продроми), като бърза уморяемост, неразположение, намалено обоняние и личностови промени. Двигателните симптоми се усещат от пациентите като слабост, затруднения при писане, леко нарушение на координацията, болки в рамото, в гърба, в мускулите и стегнатост на крайниците. </w:t>
      </w:r>
    </w:p>
    <w:p w14:paraId="7F48891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Паркинсоновата болест протича с двигателни, автономни и невропсихиатрични симптоми. В клиничното протичане се очертават две фази – ранна и късна, в зависимост от наличието на двигателни усложнения. В различните фази преобладават различни симптоми на заболяването.</w:t>
      </w:r>
    </w:p>
    <w:p w14:paraId="1CC1122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Под </w:t>
      </w:r>
      <w:r w:rsidRPr="00AE47C6">
        <w:rPr>
          <w:rFonts w:ascii="Times New Roman" w:eastAsia="SimSun" w:hAnsi="Times New Roman"/>
          <w:b/>
          <w:i/>
          <w:sz w:val="24"/>
          <w:szCs w:val="24"/>
        </w:rPr>
        <w:t>ранна Паркинсонова болест</w:t>
      </w:r>
      <w:r w:rsidRPr="00AE47C6">
        <w:rPr>
          <w:rFonts w:ascii="Times New Roman" w:eastAsia="SimSun" w:hAnsi="Times New Roman"/>
          <w:sz w:val="24"/>
          <w:szCs w:val="24"/>
        </w:rPr>
        <w:t xml:space="preserve"> се разбира периода от появата на заболяването до възникване на двигателните усложнения, средно 5 години. Заболяването най-често започва между 50 и 60 годишна възраст. Паркинсоновата болест с ранно начало се среща по-рядко (5 до 7% от всички пациенти) и още по рядък е ювенилния паркинсонизъм. </w:t>
      </w:r>
    </w:p>
    <w:p w14:paraId="35E1216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Двигателните симптоми</w:t>
      </w:r>
      <w:r w:rsidRPr="00AE47C6">
        <w:rPr>
          <w:rFonts w:ascii="Times New Roman" w:eastAsia="SimSun" w:hAnsi="Times New Roman"/>
          <w:sz w:val="24"/>
          <w:szCs w:val="24"/>
        </w:rPr>
        <w:t xml:space="preserve"> клинично се манифестират с класическата триада от </w:t>
      </w:r>
      <w:r w:rsidRPr="00AE47C6">
        <w:rPr>
          <w:rFonts w:ascii="Times New Roman" w:eastAsia="SimSun" w:hAnsi="Times New Roman"/>
          <w:i/>
          <w:sz w:val="24"/>
          <w:szCs w:val="24"/>
        </w:rPr>
        <w:t>брадикинезия, ригидност и тремор в покой</w:t>
      </w:r>
      <w:r w:rsidRPr="00AE47C6">
        <w:rPr>
          <w:rFonts w:ascii="Times New Roman" w:eastAsia="SimSun" w:hAnsi="Times New Roman"/>
          <w:sz w:val="24"/>
          <w:szCs w:val="24"/>
        </w:rPr>
        <w:t xml:space="preserve">, към която по-късно се добавят и </w:t>
      </w:r>
      <w:r w:rsidRPr="00AE47C6">
        <w:rPr>
          <w:rFonts w:ascii="Times New Roman" w:eastAsia="SimSun" w:hAnsi="Times New Roman"/>
          <w:i/>
          <w:sz w:val="24"/>
          <w:szCs w:val="24"/>
        </w:rPr>
        <w:t>постурални нарушения</w:t>
      </w:r>
      <w:r w:rsidRPr="00AE47C6">
        <w:rPr>
          <w:rFonts w:ascii="Times New Roman" w:eastAsia="SimSun" w:hAnsi="Times New Roman"/>
          <w:sz w:val="24"/>
          <w:szCs w:val="24"/>
        </w:rPr>
        <w:t xml:space="preserve">. Първоначално симптомите обхващат единия крайник, обикновено ръката, след 8 до 14 месеца обхващат и другия хомолатерален крайник. След 2 до 3 години от засягането на едната телесна половина, с прогресията на заболяването се засяга и другата ръка и по-късно се обхваща цялото тяло. Заболяването дебютира с един от симптомите на триадата, като с прогресията се добавят последователно и останалите, изразени в различна степен. </w:t>
      </w:r>
    </w:p>
    <w:p w14:paraId="18CA523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При Паркинсоновата болест с ранно начало</w:t>
      </w:r>
      <w:r w:rsidRPr="00AE47C6">
        <w:rPr>
          <w:rFonts w:ascii="Times New Roman" w:eastAsia="SimSun" w:hAnsi="Times New Roman"/>
          <w:sz w:val="24"/>
          <w:szCs w:val="24"/>
        </w:rPr>
        <w:t xml:space="preserve"> първият симптом при 14% от пациентите е дистония, най-често в долните крайници. След появата на паркинсоновите симптоми, дистонията продължава да бъде част от клиничната картина. Прогресията на заболяването е по-бавна, но пациентите развиват рано двигателни флуктуации и дискинезии. По-рядко се развиват когнитивни нарушения и психични усложнения от лечението. </w:t>
      </w:r>
    </w:p>
    <w:p w14:paraId="24C0E8D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Ювенилната Паркинсонова болест</w:t>
      </w:r>
      <w:r w:rsidRPr="00AE47C6">
        <w:rPr>
          <w:rFonts w:ascii="Times New Roman" w:eastAsia="SimSun" w:hAnsi="Times New Roman"/>
          <w:sz w:val="24"/>
          <w:szCs w:val="24"/>
        </w:rPr>
        <w:t xml:space="preserve"> е по-рядка форма на заболяването. Често има данни за фамилност и в клиничната картина преобладават дистониите.</w:t>
      </w:r>
    </w:p>
    <w:p w14:paraId="17B23AC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Паркинсоновата болест с начало в късна възраст</w:t>
      </w:r>
      <w:r w:rsidRPr="00AE47C6">
        <w:rPr>
          <w:rFonts w:ascii="Times New Roman" w:eastAsia="SimSun" w:hAnsi="Times New Roman"/>
          <w:sz w:val="24"/>
          <w:szCs w:val="24"/>
        </w:rPr>
        <w:t xml:space="preserve"> по-често започва като ригидно-акинетична форма, без тремор. По-бързо се нарушават ежедневните дейности на пациентите и по-често се наблюдава деменция. </w:t>
      </w:r>
    </w:p>
    <w:p w14:paraId="2B86C67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Еволюцията е бавно прогресираща, продължаваща 10 и повече години. Инвалидността приковава към леглото болните средно след 14 години. Тежестта на симптомите се засилва във времето, появяват се нови симптоми и се обхващат нови анатомични области. Изразеността на брадикинезията, ригидността и постуралната нестабилност нараства с 8-9% годишно, докато треморът почти не прогресира с времето. В хода на прогресията на заболяването възникват епизоди на замръзване, дизавтономии, падания и деменция. Прогресията е по-бърза през първите 4 - 8 години и по-бавна през следващите години от началото на заболяването. </w:t>
      </w:r>
    </w:p>
    <w:p w14:paraId="6C7927C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 Прогресията е бавна при начало на заболяването под 50 годишна възраст и когато първоначалният симптом е тремор. Прогресията е бърза при по-късно начало на заболяването, при преобладаващ ригидно-брадикинетичен синдром и при придружаваща деменция. Приложеното лечение определя времето за възникване на двигателни (двигателни флуктуации и дискинезии) и невропсихични усложнения от дълготрайната леводопа терапия. Тежестта на усложненията е по-голяма и тяхното начало е по-рано, когато болният е лекуван с високи дози леводопа. </w:t>
      </w:r>
    </w:p>
    <w:p w14:paraId="7EF73DD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Късната (усложнена) Паркинсонова болест</w:t>
      </w:r>
      <w:r w:rsidRPr="00AE47C6">
        <w:rPr>
          <w:rFonts w:ascii="Times New Roman" w:eastAsia="SimSun" w:hAnsi="Times New Roman"/>
          <w:sz w:val="24"/>
          <w:szCs w:val="24"/>
        </w:rPr>
        <w:t xml:space="preserve"> е втората фаза от развитието на заболяването. Първоначалният ефект от приложението на леводопа е продължителен. Повечето болни имат значително подобрение през деня, като почти не усещат влиянието на всяка единична доза. След прилагане на леводопа се наблюдават два вида клиничен терапевтичен отговор. </w:t>
      </w:r>
      <w:r w:rsidRPr="00AE47C6">
        <w:rPr>
          <w:rFonts w:ascii="Times New Roman" w:eastAsia="SimSun" w:hAnsi="Times New Roman"/>
          <w:i/>
          <w:sz w:val="24"/>
          <w:szCs w:val="24"/>
        </w:rPr>
        <w:t>Краткотрайният</w:t>
      </w:r>
      <w:r w:rsidRPr="00AE47C6">
        <w:rPr>
          <w:rFonts w:ascii="Times New Roman" w:eastAsia="SimSun" w:hAnsi="Times New Roman"/>
          <w:sz w:val="24"/>
          <w:szCs w:val="24"/>
        </w:rPr>
        <w:t xml:space="preserve"> терапевтичен отговор трае три и повече часа и се проявява с подобряване на двигателната активност след еднократен прием на леводопа. </w:t>
      </w:r>
      <w:r w:rsidRPr="00AE47C6">
        <w:rPr>
          <w:rFonts w:ascii="Times New Roman" w:eastAsia="SimSun" w:hAnsi="Times New Roman"/>
          <w:i/>
          <w:sz w:val="24"/>
          <w:szCs w:val="24"/>
        </w:rPr>
        <w:t>Дълготрайният</w:t>
      </w:r>
      <w:r w:rsidRPr="00AE47C6">
        <w:rPr>
          <w:rFonts w:ascii="Times New Roman" w:eastAsia="SimSun" w:hAnsi="Times New Roman"/>
          <w:sz w:val="24"/>
          <w:szCs w:val="24"/>
        </w:rPr>
        <w:t xml:space="preserve"> терапевтичен отговор продължава до 1 седмица и се проявява с постепенно подобряване с продължаване на лечението или с възвръщане на състоянието на пациента на нивото преди започване на лечението. Дълготрайният фармакодинамичен ефект, далеч надминаващ фармакокинетичния профил, се дължи на пресинаптичното съхранение на синтезирания от леводопа допамин и продължителният фармакодинамичен постсинаптичен ефект, които допринасят за по-дългия и гладък терапевтичен отговор. </w:t>
      </w:r>
    </w:p>
    <w:p w14:paraId="6E0BCDB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При продължителното лечение с леводопа, дълготрайният терапевтичен ефект постепенно изчезва, първоначалното добро повлияване от лечението се променя, ефектът от всяка доза леводопа става все по-кратък, докато се стигне до възникването на двигателните флуктуации. От този момент нататък при пациентите се наблюдава само краткотрайният терапевтичен ефект, при който клиничната ефективност се определя само от фармакокинетиката на леводопа. Клинично това се проявява с двигателни флуктуации, които се определят от характеристиката на краткотрайния терапевтичен отговор. Краткотрайният терапевтичен ефект се проявява с внезапно начало, силен, но краткотраен (от 15 минути до 3 часа) двигателен отговор и влошаване на симптомите под изходното ниво след изчерпване на ефекта. След 5 години от започване на лечението с леводопа 50% от болните развиват двигателни усложнения (двигателните флуктуации и дискинезии), след поемане на всяка единична доза от лекарството. До 10 години 80% развиват усложненията. В този момент пациентите навлизат във фазата на късната Паркинсонова болест, която се характеризира с възникване на различни усложнения, които постепенно прогресират и не се повлияват от леводопа терапия. Въпреки, че дискинезиите и флуктуациите са тясно свързани, неволевите движения могат да се появят по-рано от флуктуациите. Възникват и флуктуации в психичните и автономни симптоми.</w:t>
      </w:r>
    </w:p>
    <w:p w14:paraId="55DF243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Механизмите,</w:t>
      </w:r>
      <w:r w:rsidRPr="00AE47C6">
        <w:rPr>
          <w:rFonts w:ascii="Times New Roman" w:eastAsia="SimSun" w:hAnsi="Times New Roman"/>
          <w:sz w:val="24"/>
          <w:szCs w:val="24"/>
        </w:rPr>
        <w:t xml:space="preserve"> отговорни за възникване на двигателните усложнения са мултифакторни. Те се определят от тежестта (степента на нигралната дегенерация), формата (начало в по-млада възраст) на заболяването и продължителността на полуживота на допаминергичния медикамент, използван за лечение. Проявяват се предимно при лечение с леводопа и по-слабо при лечение с допаминови агонисти. Други рискови фактори са по-високите дневни дози и по-голямата продължителност на лечението с леводопа. </w:t>
      </w:r>
    </w:p>
    <w:p w14:paraId="6C7D4A3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Двигателните флуктуации и дискинезии имат обща етиопатогенеза, но се предизвикват от различни патофизиологични механизми. Докато двигателните флуктуации зависят предимно от прогресията на заболяването, дискинезиите се предизвикват от пулсионната стимулация на допаминергичните рецептори от медикаменти с кратък полуживот. В началото на заболяването, когато около 50 – 80% от нигростриарните допаминергични неврони са дегенерирали, флуктуациите в плазмената леводопа могат да бъдат буферирани от допаминните запаси в останалите все още не загинали допаминови нигростриарни неврони. С прогресиращата дегенерация на допаминергичните неврони, когато повече от 90% от тях не функционират, тази буферна способност намалява и нивата на стриарния допамин стават зависими от количествата внесена леводопа. Нарушава се складирането и регулирането на освобождаването на допамин, пропорционално на тежестта на заболяването. От този момент клиничният отговор започва да зависи директно от концентрацията на допамин в синапсите, тоест от плазмената концентрация на леводопа. </w:t>
      </w:r>
    </w:p>
    <w:p w14:paraId="1D95F47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Отначало има повече или по-малко линеарно повишаване на подобрението с покачване на дозата, но по-късно тази крива придобива сигмоиден вид - болният е или подвижен (в „on” период) или почти неподвижен (в „off” период) или между двете състояния, в зависимост от плазмената концентрация на леводопа и нивото на мозъчния допамин. Става невъзможно да се получи добър клиничен отговор към леводопа, защото когато пациента е в „on” фазата има дискинезии, а когато няма дискинезии е в тежка “off” фаза. В този стадий дозата на леводопа става критична, като ниски дози не водят до достатъчно плазмено ниво за преминаване в „on” фазата. По-високи дози, достигащи прага за подобрение на състоянието, също биха могли да не действат, поради намеса на странични фактори. Забавеното стомашно изпразване или богатата на протеини храна, нарушава абсорбцията и преминаването на леводопа в мозъка, което може да предизвика бързо превключване от „on” в „off” фазата. </w:t>
      </w:r>
    </w:p>
    <w:p w14:paraId="1CCFEE5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Двигателните флуктуации отначало имат формата на предвидим </w:t>
      </w:r>
      <w:r w:rsidRPr="00AE47C6">
        <w:rPr>
          <w:rFonts w:ascii="Times New Roman" w:eastAsia="SimSun" w:hAnsi="Times New Roman"/>
          <w:b/>
          <w:sz w:val="24"/>
          <w:szCs w:val="24"/>
        </w:rPr>
        <w:t>„ефект на изчерпване”</w:t>
      </w:r>
      <w:r w:rsidRPr="00AE47C6">
        <w:rPr>
          <w:rFonts w:ascii="Times New Roman" w:eastAsia="SimSun" w:hAnsi="Times New Roman"/>
          <w:sz w:val="24"/>
          <w:szCs w:val="24"/>
        </w:rPr>
        <w:t xml:space="preserve"> (wearing off), който се определя като флуктуация в двигателната активност, свързана с поемането на всяка доза леводопа. Получава се изчерпване на ефекта на лекарството преди поемането на следващата доза. Дневните двигателни флуктуации стават клинично изявени, когато терапевтичната активност на всяка доза леводопа е по-къса от 4 часа. Първоначално двигателните флуктуации се появяват в сутрешните (сутрешна акинезия) а по-късно и в следобедни часове,  през нощта (нощни акинезии), като пациентът се събужда от засилване на тремора или ригидността и брадикинезията, които му пречат да се обръща в леглото. Постепенно медикаментът започва да </w:t>
      </w:r>
      <w:r w:rsidRPr="00AE47C6">
        <w:rPr>
          <w:rFonts w:ascii="Times New Roman" w:eastAsia="SimSun" w:hAnsi="Times New Roman"/>
          <w:b/>
          <w:sz w:val="24"/>
          <w:szCs w:val="24"/>
        </w:rPr>
        <w:t>задейства по-бавно</w:t>
      </w:r>
      <w:r w:rsidRPr="00AE47C6">
        <w:rPr>
          <w:rFonts w:ascii="Times New Roman" w:eastAsia="SimSun" w:hAnsi="Times New Roman"/>
          <w:sz w:val="24"/>
          <w:szCs w:val="24"/>
        </w:rPr>
        <w:t xml:space="preserve"> (kick-in), така че изминава повече време след приема на дозата до повлияване на симптомите. Пациентите получават </w:t>
      </w:r>
      <w:r w:rsidRPr="00AE47C6">
        <w:rPr>
          <w:rFonts w:ascii="Times New Roman" w:eastAsia="SimSun" w:hAnsi="Times New Roman"/>
          <w:b/>
          <w:sz w:val="24"/>
          <w:szCs w:val="24"/>
        </w:rPr>
        <w:t>забавена</w:t>
      </w:r>
      <w:r w:rsidRPr="00AE47C6">
        <w:rPr>
          <w:rFonts w:ascii="Times New Roman" w:eastAsia="SimSun" w:hAnsi="Times New Roman"/>
          <w:sz w:val="24"/>
          <w:szCs w:val="24"/>
        </w:rPr>
        <w:t xml:space="preserve"> (delayed on), </w:t>
      </w:r>
      <w:r w:rsidRPr="00AE47C6">
        <w:rPr>
          <w:rFonts w:ascii="Times New Roman" w:eastAsia="SimSun" w:hAnsi="Times New Roman"/>
          <w:b/>
          <w:sz w:val="24"/>
          <w:szCs w:val="24"/>
        </w:rPr>
        <w:t>отслабена</w:t>
      </w:r>
      <w:r w:rsidRPr="00AE47C6">
        <w:rPr>
          <w:rFonts w:ascii="Times New Roman" w:eastAsia="SimSun" w:hAnsi="Times New Roman"/>
          <w:sz w:val="24"/>
          <w:szCs w:val="24"/>
        </w:rPr>
        <w:t xml:space="preserve"> (субоптимална) или </w:t>
      </w:r>
      <w:r w:rsidRPr="00AE47C6">
        <w:rPr>
          <w:rFonts w:ascii="Times New Roman" w:eastAsia="SimSun" w:hAnsi="Times New Roman"/>
          <w:b/>
          <w:sz w:val="24"/>
          <w:szCs w:val="24"/>
        </w:rPr>
        <w:t xml:space="preserve">липсваща </w:t>
      </w:r>
      <w:r w:rsidRPr="00AE47C6">
        <w:rPr>
          <w:rFonts w:ascii="Times New Roman" w:eastAsia="SimSun" w:hAnsi="Times New Roman"/>
          <w:sz w:val="24"/>
          <w:szCs w:val="24"/>
        </w:rPr>
        <w:t xml:space="preserve">(no on) двигателна реакция след поемане на единична доза леводопа. В началото на заболяването пациентът не усеща влиянието на приетата доза леводопа. По-късно клинично подобрение се появява около 45 до 90 минути след приемане на стандартните таблетки и 60 до 150 минути след приемане на такива със забавено освобождаване. Това забавяне в клиничната ефективност рефлектира забавената абсорбция на леводопа и преминаването през кръвно-мозъчната бариера. Епизодично се среща и състояние, когато не последва двигателен отговор след приема на леводопа (no on). </w:t>
      </w:r>
    </w:p>
    <w:p w14:paraId="6FF8590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С продължаване на лечението и напредване на заболяването, двигателните флуктуации стават внезапни, непредсказуеми и несвързани с времето на приемане и серумната концентрация на леводопа. Те се явяват по всяко време, като по-късно се оформя т.н. </w:t>
      </w:r>
      <w:r w:rsidRPr="00AE47C6">
        <w:rPr>
          <w:rFonts w:ascii="Times New Roman" w:eastAsia="SimSun" w:hAnsi="Times New Roman"/>
          <w:b/>
          <w:sz w:val="24"/>
          <w:szCs w:val="24"/>
        </w:rPr>
        <w:t>„феномен на включване и изключване”</w:t>
      </w:r>
      <w:r w:rsidRPr="00AE47C6">
        <w:rPr>
          <w:rFonts w:ascii="Times New Roman" w:eastAsia="SimSun" w:hAnsi="Times New Roman"/>
          <w:sz w:val="24"/>
          <w:szCs w:val="24"/>
        </w:rPr>
        <w:t xml:space="preserve"> (on-off феномен). Той се определя като внезапна, непредсказуема флуктуация в двигателната активност, настъпваща в рамките на секунди или минути, несвързана с времето на приемане на леводопа. Най-често преди да е дошло времето за изчерпване на дозата, внезапно, пациентът изпада в off период или по-рядко внезапно, без да приемал следваща доза леводопа, навлиза в on период. Под on период се разбира времето през което пациента има добро повлияване на симптомите от медикамента, а под off период – времето през което симптомите на заболяването се засилват, поради слаб ефект на медикамента. Обикновено през on периода пациентът има и силно изразени дискинезии. Периодите на липса на ефект от леводопа могат да достигнат до 50% от времето през деня, което е сериозна инвалидизация за болния. Тези двигателни флуктуации трудно се подават на контрол чрез медикаменти. </w:t>
      </w:r>
    </w:p>
    <w:p w14:paraId="257C22F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Понякога пациентите могат да останат за по-дълго време в off период и тогава се говори за </w:t>
      </w:r>
      <w:r w:rsidRPr="00AE47C6">
        <w:rPr>
          <w:rFonts w:ascii="Times New Roman" w:eastAsia="SimSun" w:hAnsi="Times New Roman"/>
          <w:b/>
          <w:sz w:val="24"/>
          <w:szCs w:val="24"/>
        </w:rPr>
        <w:t>акинетични кризи</w:t>
      </w:r>
      <w:r w:rsidRPr="00AE47C6">
        <w:rPr>
          <w:rFonts w:ascii="Times New Roman" w:eastAsia="SimSun" w:hAnsi="Times New Roman"/>
          <w:sz w:val="24"/>
          <w:szCs w:val="24"/>
        </w:rPr>
        <w:t xml:space="preserve">, които са изключително опасни. Те могат да възникнат поради интеркурентно заболяване, простуда, гастроинтестинални нарушения, травма, прием на невролептици, спиране на лечението, стрес, хирургична интервенция или без ясна причина. Характеризират се с внезапно начало, засилени до крайност паркинсонови симптоми и особено акинезия и афагия (нарушено гълтане) и преходна липса на ефект от антипаркинсоновото лечение. Появяват се и нарушения в температурната регулация. Продължителността на кризата е до няколко дни и може да завърши фатално. </w:t>
      </w:r>
    </w:p>
    <w:p w14:paraId="2655DA8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Феноменът на “замръзване”</w:t>
      </w:r>
      <w:r w:rsidRPr="00AE47C6">
        <w:rPr>
          <w:rFonts w:ascii="Times New Roman" w:eastAsia="SimSun" w:hAnsi="Times New Roman"/>
          <w:sz w:val="24"/>
          <w:szCs w:val="24"/>
        </w:rPr>
        <w:t xml:space="preserve"> (freezing) може да се появи при всеки двигателен акт, но има най-голямо значение когато ангажира ходенето. Постуралната нестабилност и феноменът на „замръзване” се наблюдават най-вече в „off” фазата, но при болни в по-напреднал стадии на заболяването се проявяват и по време на “on” фазата. Може да бъде свързан с недостатъчна или ексцесивна доза на леводопа, поради което е важно да се уточни времето на неговата поява спрямо приемът на леводопа. Епизодите на замръзване са преходни, продължават от няколко секунди до минути. Типичният феномен на замръзване се характеризира с внезапна неспособност да се вдигне крака при ходене – краката са залепнали за пода. </w:t>
      </w:r>
    </w:p>
    <w:p w14:paraId="46AC8E5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Kinesia paradoxa</w:t>
      </w:r>
      <w:r w:rsidRPr="00AE47C6">
        <w:rPr>
          <w:rFonts w:ascii="Times New Roman" w:eastAsia="SimSun" w:hAnsi="Times New Roman"/>
          <w:sz w:val="24"/>
          <w:szCs w:val="24"/>
        </w:rPr>
        <w:t xml:space="preserve"> е обратният феномен на замръзването при пациенти с късна форма на заболяването, лекувани дълго с допаминергична терапия. Възниква при необичайни обстоятелства и се манифестира с внезапни и краткотрайни периоди на добра подвижност, несвързани с терапията. </w:t>
      </w:r>
    </w:p>
    <w:p w14:paraId="64DD3C4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Двигателните флуктуации почти винаги са придружавани и от дискинезии и дистонии свързани или не, с приема на медикамента. По-често се наблюдават при по-млади пациенти. Те са по-изразени, когато флуктуациите стават непредсказуеми. Тежки дискинезии се наблюдават при „on-off” двигателните флуктуации. </w:t>
      </w:r>
    </w:p>
    <w:p w14:paraId="165F459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Дискинезиите </w:t>
      </w:r>
      <w:r w:rsidRPr="00AE47C6">
        <w:rPr>
          <w:rFonts w:ascii="Times New Roman" w:eastAsia="SimSun" w:hAnsi="Times New Roman"/>
          <w:sz w:val="24"/>
          <w:szCs w:val="24"/>
        </w:rPr>
        <w:t xml:space="preserve">варират по вид при различните болни, но са постоянни при един и същ болен. Най-често те са монофазни и хореиформени или двуфазни и дистонични, а по-рядко се проявяват като бализъм, миоклонии, акатизия или тикове. Дистоничните хиперкинези могат да бъдат както ранен симптом на нелекуваната Паркинсонова болест, така и симптом на недостатъчна терапия. За разлика от дистониите, хореичните дискинезии са проява единствено на лечението с леводопа. Хореичните хиперкинези са двустранни, но по изразени в по-засегнатата страна на тялото, по време на on фазата. Могат да еволюират в атетоза и дистония с прогресията на заболяването. Обикновено появата на дистонични дискинезии предшества появата на хореичните. </w:t>
      </w:r>
    </w:p>
    <w:p w14:paraId="5FFE8A9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Дискинезиите се появяват най-напред в пръстите или крака на по-засегнатата страна, сутрин, след събуждане от сън, когато пациента е в off период. Причината за това е по-ранната загуба на допаминергични неврони в зоната на дорзолатералния striatum, която отговаря соматотопично на крака. Могат да засегнат устните, шията и тялото. Могат да се появят цервикална дистония, дистонии на крайниците или блефароспазъм. Характерни при лечение с антихолинергични медикаменти са оро-фацио-лингвалните дискинезии. </w:t>
      </w:r>
    </w:p>
    <w:p w14:paraId="4318055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Въпреки че дискинезиите са инвалидизиращи за пациентите, обикновено те не се безпокоят от хореичните движения толкова, колкото техните близки. Повечето пациенти предпочитат да бъдат в on фаза с дискинезии, отколкото в off фаза без дискинезии. Предизвиканите от леводопа дискинезии се делят и според времето на тяхното появяване.</w:t>
      </w:r>
    </w:p>
    <w:p w14:paraId="0B92D5A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Най-често се среща т.н. </w:t>
      </w:r>
      <w:r w:rsidRPr="00AE47C6">
        <w:rPr>
          <w:rFonts w:ascii="Times New Roman" w:eastAsia="SimSun" w:hAnsi="Times New Roman"/>
          <w:b/>
          <w:sz w:val="24"/>
          <w:szCs w:val="24"/>
        </w:rPr>
        <w:t>„дискинезия в периода на пиковата доза”</w:t>
      </w:r>
      <w:r w:rsidRPr="00AE47C6">
        <w:rPr>
          <w:rFonts w:ascii="Times New Roman" w:eastAsia="SimSun" w:hAnsi="Times New Roman"/>
          <w:sz w:val="24"/>
          <w:szCs w:val="24"/>
        </w:rPr>
        <w:t xml:space="preserve"> (peak of dose), която се появява в „on” фазата, има хореичен, балистичен (в тялото и крайниците) или дистоничен (в краниоцервикалната област или в долните крайници) характер. Рядко засяга и респираторните мускули. Дискинезията е асиметрична и засяга по тежко или само, тази част на тялото, която е била засегната най-напред от заболяването. Появява се по време на максималния ефект на леводопа, когато плазмената леводопа и мозъчната допаминова концентрации са високи и са над прага на подобрение на двигателната активност. </w:t>
      </w:r>
    </w:p>
    <w:p w14:paraId="1B1BD7E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Може да се наблюдава и “</w:t>
      </w:r>
      <w:r w:rsidRPr="00AE47C6">
        <w:rPr>
          <w:rFonts w:ascii="Times New Roman" w:eastAsia="SimSun" w:hAnsi="Times New Roman"/>
          <w:b/>
          <w:sz w:val="24"/>
          <w:szCs w:val="24"/>
        </w:rPr>
        <w:t>дистония в периода на изчерпването”</w:t>
      </w:r>
      <w:r w:rsidRPr="00AE47C6">
        <w:rPr>
          <w:rFonts w:ascii="Times New Roman" w:eastAsia="SimSun" w:hAnsi="Times New Roman"/>
          <w:sz w:val="24"/>
          <w:szCs w:val="24"/>
        </w:rPr>
        <w:t xml:space="preserve"> на ефекта на единичната доза (off периода) през деня или сутрешната дистония при събуждането на болния, преди приема на първата сутрешна таблетка или през нощта. Появява се когато плазменото ниво на леводопа е ниско, като болезнена и мъчителна дистония. Дистонията е асиметрична, по-изразена на по-засегнатата страна и протича със стягане на подбедрицата, супинация и плантарна флексия на стъпалото и дорзална екстензия на палеца. Преминава спонтанно след 1 до 2 часа. </w:t>
      </w:r>
    </w:p>
    <w:p w14:paraId="1636065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С прогресирането на заболяването, по-рядко (при 15 – 20% от пациентите) се срещат по-сложните </w:t>
      </w:r>
      <w:r w:rsidRPr="00AE47C6">
        <w:rPr>
          <w:rFonts w:ascii="Times New Roman" w:eastAsia="SimSun" w:hAnsi="Times New Roman"/>
          <w:b/>
          <w:sz w:val="24"/>
          <w:szCs w:val="24"/>
        </w:rPr>
        <w:t>„двуфазни дискинезии”</w:t>
      </w:r>
      <w:r w:rsidRPr="00AE47C6">
        <w:rPr>
          <w:rFonts w:ascii="Times New Roman" w:eastAsia="SimSun" w:hAnsi="Times New Roman"/>
          <w:sz w:val="24"/>
          <w:szCs w:val="24"/>
        </w:rPr>
        <w:t xml:space="preserve">, които се появяват в началото и в края на on фазата. Появяват се, когато плазменото ниво на леводопа се покачва след приемане на единична доза. С достигане на праговата концентрация за поява на on фазата, дискинезията намалява или изчезва, за да се появи отново, когато плазменото ниво на лекарството намалява. Между двете дискинезии пациентът е в on фаза, без дискинезии. Двуфазната дискинезия е по-тежка и по-трудно се понася от болните, особено в началото на фазата. Дискинезиите в пиковата доза са асиметрични, с хореиформен характер и стереотипно засягане на долните крайници. В края на on фазата дискинезиите са бавни, по продължителни и с дистоничен характер. В някои случаи пациентите могат да имат дискинезии в единия крайник, а изразени паркинсонови симптоми в другия. </w:t>
      </w:r>
    </w:p>
    <w:p w14:paraId="319E208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Нощните миоклонии</w:t>
      </w:r>
      <w:r w:rsidRPr="00AE47C6">
        <w:rPr>
          <w:rFonts w:ascii="Times New Roman" w:eastAsia="SimSun" w:hAnsi="Times New Roman"/>
          <w:sz w:val="24"/>
          <w:szCs w:val="24"/>
        </w:rPr>
        <w:t xml:space="preserve"> се срещат по-рядко, през нощта, когато плазменото ниво на леводопа спадне.</w:t>
      </w:r>
    </w:p>
    <w:p w14:paraId="1A51DA1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В напредналите стадии на заболяването пациентът е непрекъснато в различни фази: или е в on фаза с дискинезии или е в off фаза с тежка акинезия.</w:t>
      </w:r>
    </w:p>
    <w:p w14:paraId="51288D6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Дизфункцията на автономната нервна система</w:t>
      </w:r>
      <w:r w:rsidRPr="00AE47C6">
        <w:rPr>
          <w:rFonts w:ascii="Times New Roman" w:eastAsia="SimSun" w:hAnsi="Times New Roman"/>
          <w:sz w:val="24"/>
          <w:szCs w:val="24"/>
        </w:rPr>
        <w:t xml:space="preserve"> (дизавтономии) е чест симптом (50 – 80% от пациентите). Автономните симптоми се проявяват клинично в началото на късната Паркинсонова болест. Появата им в началото на заболяването не е типично и предполага синдромът на Shy-Drager. Нарушенията се дължат на засягане на централните и периферни постганглионарни автономни структури. Обикновено са умерени и при малко пациенти са по-силно изразени. Могат да се появяват само по време на off периодите.</w:t>
      </w:r>
    </w:p>
    <w:p w14:paraId="1BC59B9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Уринарните нарушения</w:t>
      </w:r>
      <w:r w:rsidRPr="00AE47C6">
        <w:rPr>
          <w:rFonts w:ascii="Times New Roman" w:eastAsia="SimSun" w:hAnsi="Times New Roman"/>
          <w:sz w:val="24"/>
          <w:szCs w:val="24"/>
        </w:rPr>
        <w:t xml:space="preserve"> се манифестират с ноктурия, последвана от често уриниране, полакиурия, необходимост от спешно уриниране, инконтиненция на урина и затруднено уриниране. Те се дължат на хиперрефлексия или хипоактивност на детрузора, диссинергия на активността на детрузора и сфинктера и късна и непълна релаксация на мускулите на тазовото дъно. Значение имат и страничните ефекти от прилаганите антипаркинсонови медикаменти. </w:t>
      </w:r>
    </w:p>
    <w:p w14:paraId="06EE83F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Сексуалните нарушения</w:t>
      </w:r>
      <w:r w:rsidRPr="00AE47C6">
        <w:rPr>
          <w:rFonts w:ascii="Times New Roman" w:eastAsia="SimSun" w:hAnsi="Times New Roman"/>
          <w:sz w:val="24"/>
          <w:szCs w:val="24"/>
        </w:rPr>
        <w:t xml:space="preserve"> се проявяват с намалено либидо и нарушена ерекция или оргазъм. Често причината за намаляване на либидото е депресия. Хиперсексуалността може да бъде страничен ефект от лечението с високи дози леводопа и зависи от прилаганата доза. </w:t>
      </w:r>
    </w:p>
    <w:p w14:paraId="07485BB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Кардиоваскуларните симптоми</w:t>
      </w:r>
      <w:r w:rsidRPr="00AE47C6">
        <w:rPr>
          <w:rFonts w:ascii="Times New Roman" w:eastAsia="SimSun" w:hAnsi="Times New Roman"/>
          <w:sz w:val="24"/>
          <w:szCs w:val="24"/>
        </w:rPr>
        <w:t xml:space="preserve"> се наблюдават при 50% от пациентите и се проявяват със замаяност, виене на свят, гадене, преходно нарушение на зрението и рядко загуба на съзнание. </w:t>
      </w:r>
    </w:p>
    <w:p w14:paraId="7DF43B6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Ортостатичната хипотония</w:t>
      </w:r>
      <w:r w:rsidRPr="00AE47C6">
        <w:rPr>
          <w:rFonts w:ascii="Times New Roman" w:eastAsia="SimSun" w:hAnsi="Times New Roman"/>
          <w:sz w:val="24"/>
          <w:szCs w:val="24"/>
        </w:rPr>
        <w:t xml:space="preserve"> се проявява със замаяност, главоболие, чувство за нестабилност. Основна причина е намаленият симпатиков тонус и вазоконстрикцията. </w:t>
      </w:r>
    </w:p>
    <w:p w14:paraId="1D988F4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Нарушенията в терморегулацията</w:t>
      </w:r>
      <w:r w:rsidRPr="00AE47C6">
        <w:rPr>
          <w:rFonts w:ascii="Times New Roman" w:eastAsia="SimSun" w:hAnsi="Times New Roman"/>
          <w:sz w:val="24"/>
          <w:szCs w:val="24"/>
        </w:rPr>
        <w:t xml:space="preserve"> се дължат на дизрегулация на централните допаминергични системи. Наблюдава се ексцесивно изпотяване или абнормни усещания за студено и топло, както и хипотермия. </w:t>
      </w:r>
    </w:p>
    <w:p w14:paraId="00BE5A9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Сетивните нарушения</w:t>
      </w:r>
      <w:r w:rsidRPr="00AE47C6">
        <w:rPr>
          <w:rFonts w:ascii="Times New Roman" w:eastAsia="SimSun" w:hAnsi="Times New Roman"/>
          <w:sz w:val="24"/>
          <w:szCs w:val="24"/>
        </w:rPr>
        <w:t xml:space="preserve"> се срещат при 50% от пациентите. Изразяват се с болки, парестезии, дизестезии, усещане за студ или тръпнене и дълбоки болки, предимно в долните крайници, наподобяващи полиневрит. Свързани са с нарушената стриарна обработка на аферентацията, постъпваща от сензорни центрове в thalamus.</w:t>
      </w:r>
    </w:p>
    <w:p w14:paraId="21A4F4C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Гастроинтестиналните нарушения</w:t>
      </w:r>
      <w:r w:rsidRPr="00AE47C6">
        <w:rPr>
          <w:rFonts w:ascii="Times New Roman" w:eastAsia="SimSun" w:hAnsi="Times New Roman"/>
          <w:sz w:val="24"/>
          <w:szCs w:val="24"/>
        </w:rPr>
        <w:t xml:space="preserve"> се проявяват с дизфагия, забавена евакуация на стомашното съдържимо, удължен чревен пасаж и запек. </w:t>
      </w:r>
    </w:p>
    <w:p w14:paraId="504EF4B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Дизфагията</w:t>
      </w:r>
      <w:r w:rsidRPr="00AE47C6">
        <w:rPr>
          <w:rFonts w:ascii="Times New Roman" w:eastAsia="SimSun" w:hAnsi="Times New Roman"/>
          <w:sz w:val="24"/>
          <w:szCs w:val="24"/>
        </w:rPr>
        <w:t xml:space="preserve"> се среща при 40% от пациентите, в зависимост от тежестта на заболяването. Дължи се на засягане на орофарингеалните мускули и абнормен контрол на езика, което води до затруднение в избутването на храната към фаринкса. Често се наблюдава и нарушен мотилитет на езофага с аерофагия. Тези промени причиняват изтичане на слюнка от устата и аспирация на храна.</w:t>
      </w:r>
    </w:p>
    <w:p w14:paraId="000F234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Запекът</w:t>
      </w:r>
      <w:r w:rsidRPr="00AE47C6">
        <w:rPr>
          <w:rFonts w:ascii="Times New Roman" w:eastAsia="SimSun" w:hAnsi="Times New Roman"/>
          <w:sz w:val="24"/>
          <w:szCs w:val="24"/>
        </w:rPr>
        <w:t xml:space="preserve"> се дължи на нарушена контракция на мускулите на colon, дистонично нарушение в координираната контракция на rectum и релаксацията на аналния сфинктер. Значение има намалената физическа активност и начина на хранене.</w:t>
      </w:r>
    </w:p>
    <w:p w14:paraId="5FCA2B1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Себореята</w:t>
      </w:r>
      <w:r w:rsidRPr="00AE47C6">
        <w:rPr>
          <w:rFonts w:ascii="Times New Roman" w:eastAsia="SimSun" w:hAnsi="Times New Roman"/>
          <w:sz w:val="24"/>
          <w:szCs w:val="24"/>
        </w:rPr>
        <w:t>, засягаща главата, лицето и врата, както и блефарита са често срещани нарушения. Блефаритът се дължи на рядкото мигане и може да доведе до кератит.</w:t>
      </w:r>
    </w:p>
    <w:p w14:paraId="69E3332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Нарушенията на речта</w:t>
      </w:r>
      <w:r w:rsidRPr="00AE47C6">
        <w:rPr>
          <w:rFonts w:ascii="Times New Roman" w:eastAsia="SimSun" w:hAnsi="Times New Roman"/>
          <w:sz w:val="24"/>
          <w:szCs w:val="24"/>
        </w:rPr>
        <w:t xml:space="preserve"> се установяват при 90% от пациентите и се изразяват в намаляване на силата на гласа, до афония, дрезгав глас, нарушение на артикулацията на отделни звуци, намалена продължителност на говорене, намаляване на скоростта (темпът) и нарушена модулация на речта. Разбираемостта на речта се нарушава, поради нарушеното произнасяне на отделни звуци и преминаване от произнасяне на един към друг звук. Обичайният темп на речта може да се забави или да се забърза, така че отделни звукове и срички или дори цели думи се изпускат и стават неразбираеми. В някои случаи пациентите повтарят първата сричка на думата (палилалия). Мелодията на изреченията се нарушава и речта става монотонна. </w:t>
      </w:r>
    </w:p>
    <w:p w14:paraId="4C2EFA1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Мускулоскелетните деформации</w:t>
      </w:r>
      <w:r w:rsidRPr="00AE47C6">
        <w:rPr>
          <w:rFonts w:ascii="Times New Roman" w:eastAsia="SimSun" w:hAnsi="Times New Roman"/>
          <w:sz w:val="24"/>
          <w:szCs w:val="24"/>
        </w:rPr>
        <w:t xml:space="preserve"> често се наблюдават в късната фаза на Паркинсоновата болест. Ригидно повишения мускулен тонус може да доведе до гръбначни изкривявания. В началото се появява сколиоза с конкавитет противоположно на засегнатата страна. По-късно се добавя и кифоза. Персистиращите дистонии могат да доведат до т.н. стриарна ръка или крак. Ръката е в улнарна девиация, флексия в метакарпофалангеалните и дистални интерфалангеални стави и екстензия в проксималните интерфалангеални стави. Големият пръст на крака е в тонична екстензия, а останалите са извити като нокти на граблива птица. </w:t>
      </w:r>
    </w:p>
    <w:p w14:paraId="413D662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Паданията</w:t>
      </w:r>
      <w:r w:rsidRPr="00AE47C6">
        <w:rPr>
          <w:rFonts w:ascii="Times New Roman" w:eastAsia="SimSun" w:hAnsi="Times New Roman"/>
          <w:sz w:val="24"/>
          <w:szCs w:val="24"/>
        </w:rPr>
        <w:t xml:space="preserve"> могат да бъдат свързани с постуралната нестабилност, феномените на замръзване, дискинезиите и ортостатичната хипотония. При всеки пациент причината може да бъде различна и трябва да бъде установена.</w:t>
      </w:r>
    </w:p>
    <w:p w14:paraId="6B83B9A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Невропсихичните нарушения</w:t>
      </w:r>
      <w:r w:rsidRPr="00AE47C6">
        <w:rPr>
          <w:rFonts w:ascii="Times New Roman" w:eastAsia="SimSun" w:hAnsi="Times New Roman"/>
          <w:sz w:val="24"/>
          <w:szCs w:val="24"/>
        </w:rPr>
        <w:t xml:space="preserve"> се срещат при една трета от пациентите и могат да бъдат по-инвалидизиращи от двигателните нарушения. Те включват депресия, тревожност, брадифрения и леки паметови нарушения. Въпреки че заболяването може да започне с психични продроми, в ранните стадии не се наблюдават изразени психични симптоми. </w:t>
      </w:r>
    </w:p>
    <w:p w14:paraId="3777432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Когнитивните нарушения</w:t>
      </w:r>
      <w:r w:rsidRPr="00AE47C6">
        <w:rPr>
          <w:rFonts w:ascii="Times New Roman" w:eastAsia="SimSun" w:hAnsi="Times New Roman"/>
          <w:sz w:val="24"/>
          <w:szCs w:val="24"/>
        </w:rPr>
        <w:t xml:space="preserve"> се срещат при 19% от пациентите още в ранния стадии на заболяването. Включват предимно симптоми от челния дял, с нарушено планиране и внимание, забавена обработка на информацията (брадифрения), нарушени екзекутивни функции, паметови нарушения и неадекватно поведение. В ранните стадии се установяват леки когнитивни нарушения и брадифрения, която е когнитивен аналог на брадикинезията. Брадифренията се проявява със забавено мислене и отговаряне на въпроси.</w:t>
      </w:r>
    </w:p>
    <w:p w14:paraId="7558A54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Деменцията</w:t>
      </w:r>
      <w:r w:rsidRPr="00AE47C6">
        <w:rPr>
          <w:rFonts w:ascii="Times New Roman" w:eastAsia="SimSun" w:hAnsi="Times New Roman"/>
          <w:sz w:val="24"/>
          <w:szCs w:val="24"/>
        </w:rPr>
        <w:t xml:space="preserve"> се установява при 20 – 30% от пациентите, което я прави третата по честота деменция при възрастни. По-често се развива при пациенти в по-напреднала възраст и по-тежко протичащо заболяване, с преобладаващ акинетично-ригиден синдром, масковидна мимика, нарушения на походката, депресия като ранен симптом и слаб отговор към анти-паркинсоновите медикаменти или халюцинации предизвикани от леводопа. Обикновено се развива в късния стадии на заболяването, след петата година. Нарича се подкорова, въпреки че показва някои от симптомите на коровата деменция. Проявява се с брадифрения, нарушение на вниманието, поведенчески нарушения, психомоторно забавяне и депресия, умерени паметови нарушения и липса на афазия. Паметовите нарушения са най-чести при този тип деменция. Наличието на депресия е лош прогностичен белег, защото често се усложнява с конфузия и психоза, което ограничава антипаркинсоновата терапия. </w:t>
      </w:r>
    </w:p>
    <w:p w14:paraId="64CA959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Паметови нарушения, като следствие от лечението са почти винаги предизвикани от медикаменти с антихолинергично действие. Този ефект е много по-изразен при възрастните хора. Могат да се предизвикат и от amantadine и трициклични антидепресанти. </w:t>
      </w:r>
    </w:p>
    <w:p w14:paraId="4ADAF15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Психози, халюцинации и делир</w:t>
      </w:r>
      <w:r w:rsidRPr="00AE47C6">
        <w:rPr>
          <w:rFonts w:ascii="Times New Roman" w:eastAsia="SimSun" w:hAnsi="Times New Roman"/>
          <w:sz w:val="24"/>
          <w:szCs w:val="24"/>
        </w:rPr>
        <w:t xml:space="preserve"> възникват при 20 – 30% от пациентите спонтанно или под влияние на антипаркинсоновото лечение, анксиолитици, антидепресанти и седативни медикаменти. </w:t>
      </w:r>
      <w:r w:rsidRPr="00AE47C6">
        <w:rPr>
          <w:rFonts w:ascii="Times New Roman" w:eastAsia="SimSun" w:hAnsi="Times New Roman"/>
          <w:i/>
          <w:sz w:val="24"/>
          <w:szCs w:val="24"/>
        </w:rPr>
        <w:t>Психозата</w:t>
      </w:r>
      <w:r w:rsidRPr="00AE47C6">
        <w:rPr>
          <w:rFonts w:ascii="Times New Roman" w:eastAsia="SimSun" w:hAnsi="Times New Roman"/>
          <w:sz w:val="24"/>
          <w:szCs w:val="24"/>
        </w:rPr>
        <w:t xml:space="preserve"> включва халюцинации, делюзии, параноидности, ажитация и делир. Обикновено прогресира от синдром на неспокойните крака, през ярки сънища, нощни кошмари и халюцинации до параноидни делюзии, психоза и делири. Психозите предизвикани от медикаменти настъпват на фона на ясно и по-рядко помрачено съзнание, ажитираност и делир. Освен това се появяват мании и конфузии. </w:t>
      </w:r>
      <w:r w:rsidRPr="00AE47C6">
        <w:rPr>
          <w:rFonts w:ascii="Times New Roman" w:eastAsia="SimSun" w:hAnsi="Times New Roman"/>
          <w:i/>
          <w:sz w:val="24"/>
          <w:szCs w:val="24"/>
        </w:rPr>
        <w:t>Халюцинациите</w:t>
      </w:r>
      <w:r w:rsidRPr="00AE47C6">
        <w:rPr>
          <w:rFonts w:ascii="Times New Roman" w:eastAsia="SimSun" w:hAnsi="Times New Roman"/>
          <w:sz w:val="24"/>
          <w:szCs w:val="24"/>
        </w:rPr>
        <w:t xml:space="preserve"> се срещат при 15 – 20% от пациентите, но ако се включат и илюзиите и усещането на присъствие, тогава тяхната честота нараства до 40%. Те са по-чести при възрастните хора, при пациенти с по-голяма давност на заболяването, лекувани по-дълго време с леводопа и при тези с депресия или когнитивни нарушения. Веднъж получени те персистират и прогресират с времето. Предизвикват се от медикаменти, но персистират дълго след спирането на лечението. Могат да се провокират от много малка доза на всеки антипаркинсонов медикамент, особено в началото на неговото прилагане, но по принцип зависят от дозата. Всички антипаркинсонови медикаменти могат да предизвикат халюцинации, особено при пациенти с когнитивни нарушения. Използването на много различни антипаркинсонови медикаменти, както и комбинирането им с трициклични антидепресанти, инхибитори на обратния захват на серотонина или бензодиазепини, предразполага към халюцинации. Най-често се предизвикват от антихолинергични и допаминергични медикаменти (допаминови агонисти), selegiline и леводопа. Инфекциозно заболяване, травма и хирургична интервенция с анестезия често предизвикват халюцинации. Те са предимно зрителни, рядко слухови, тактилни или мирисни. Зрителните халюцинации са сложни, добре оформени, богати на детайли и цветове и включват познати и непознати хора, животни и предмети, но могат да бъдат странни и да включват изкривени лица на хора или животни. Продължават от няколко секунди до минути и могат да се появяват рядко или всеки ден и честотата им се променя. В началото са вечерни или нощни и не заплашителни, дори приятелски, често включват членове на семейството и домашните животни, дървета, цветя, постройки или митологични картини. Могат да се проявят само с краткотрайно усещане за присъствие на хора или животни. По-късно стават неприятни и заплашителни за пациента и могат да бъдат през целия ден. Слуховите халюцинации обикновено не са заплашващи и се проявяват с гласове или звуци, придружаващи зрителните. Когато халюцинациите не са плашещи за пациента, той свиква с тях и не ги споделя, защото се срамува. Когато обаче те са чести и плашещи, водят до ажитираност, агресия, негативизъм, подозрителност, хиперсексуалност, обърканост за време и място и могат да прераснат в параноидни делюзии. Халюцинациите могат да прераснат в делир с дезориентация, импулсивност, неадекватно поведение, нарушения на съня, вниманието и паметта. Делирът може да започне внезапно и да не се задълбочи повече или да настъпи постепенно и да продължи да се задълбочава.</w:t>
      </w:r>
    </w:p>
    <w:p w14:paraId="4C6A7F9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Делюзиите</w:t>
      </w:r>
      <w:r w:rsidRPr="00AE47C6">
        <w:rPr>
          <w:rFonts w:ascii="Times New Roman" w:eastAsia="SimSun" w:hAnsi="Times New Roman"/>
          <w:sz w:val="24"/>
          <w:szCs w:val="24"/>
        </w:rPr>
        <w:t xml:space="preserve"> се наблюдават при 5% от пациентите без деменция и при 15% от тези с деменция. По-рядко без наличие на зрителни халюцинации възникват параноидни идеи за преследване, за нелоялност на съпруга или открадване на пари и вещи от близки хора. </w:t>
      </w:r>
    </w:p>
    <w:p w14:paraId="2CAE630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Психозите, които са свързани с лечението могат да предизвикат тежка инвалидизация на пациентите, поради затруднението в дозирането на антипаркинсоновите медикаменти. </w:t>
      </w:r>
    </w:p>
    <w:p w14:paraId="391AF2B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Синдромът на допаминовата дисрегулация</w:t>
      </w:r>
      <w:r w:rsidRPr="00AE47C6">
        <w:rPr>
          <w:rFonts w:ascii="Times New Roman" w:eastAsia="SimSun" w:hAnsi="Times New Roman"/>
          <w:sz w:val="24"/>
          <w:szCs w:val="24"/>
        </w:rPr>
        <w:t xml:space="preserve"> се дължи на сетивни и поведенчески off феномени, които водят до пристрастяване към леводопа. Трудно се отдиференцира от дизфорията по време на off периодите. Към диагнозата може да насочи използването на необичайно високи дози леводопа и безконтролната промяна в лечебната схема, както и непрекъснатото желание за повишаване на дозата, независимо от доброто състояние на пациента и наличието на дискинезии. Проявява се с множество различни симптоми, като стереотипни движения, повтарящо се безцелно поведение (напр. разглобяване на електрически уреди), каквото се наблюдава при пристрастеност към кокаин или амфетамин. Наблюдава се непрекъснато търсене и складиране на лекарства, агресивно, раздразнително и друго асоциално поведение. </w:t>
      </w:r>
    </w:p>
    <w:p w14:paraId="59DD4BA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Поведенческите нарушения</w:t>
      </w:r>
      <w:r w:rsidRPr="00AE47C6">
        <w:rPr>
          <w:rFonts w:ascii="Times New Roman" w:eastAsia="SimSun" w:hAnsi="Times New Roman"/>
          <w:sz w:val="24"/>
          <w:szCs w:val="24"/>
        </w:rPr>
        <w:t xml:space="preserve"> се изразяват най-често в депресия, тревожност, панически разстройства и ажитираност. При някои пациенти нарушенията се наблюдават само през off периода. </w:t>
      </w:r>
    </w:p>
    <w:p w14:paraId="19AB962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Лека до умерена </w:t>
      </w:r>
      <w:r w:rsidRPr="00AE47C6">
        <w:rPr>
          <w:rFonts w:ascii="Times New Roman" w:eastAsia="SimSun" w:hAnsi="Times New Roman"/>
          <w:i/>
          <w:sz w:val="24"/>
          <w:szCs w:val="24"/>
        </w:rPr>
        <w:t>депресия</w:t>
      </w:r>
      <w:r w:rsidRPr="00AE47C6">
        <w:rPr>
          <w:rFonts w:ascii="Times New Roman" w:eastAsia="SimSun" w:hAnsi="Times New Roman"/>
          <w:sz w:val="24"/>
          <w:szCs w:val="24"/>
        </w:rPr>
        <w:t xml:space="preserve"> се наблюдава при 50 – 80% от пациентите. Тя може да бъде ендогенна – поради дефицит на моноамини (допамин и серотонин) или екзогенна поради съзнанието за хронично заболяване. Голяма депресия се среща само при 3 до 8% от пациентите, по-често при тези с деменция. Проявява се с апатия, паметови нарушения, ирационалност, песимизъм, психомоторно забавяне и суицидни идеи, без суицидно поведение. За разлика от идиопатичната депресия се наблюдава повече тревожност и тъга, без съществено чувство за вина и самообвинение. Когнитивните нарушения са по-силно изразени. При 45% от пациентите е налице само ахедония – загуба на възможността за изпитване на удоволствие. При някои пациенти се наблюдава синдром на апатия, пасивност, липса на мотивация и инициатива и намалена енергия, който не се придружават от тъга, чувство за безпомощност, разкаяние и вина и не се повлиява от антидепресанти. При част от пациентите без депресия има загуба на концентрация, умора, нарушения на съня и други. </w:t>
      </w:r>
    </w:p>
    <w:p w14:paraId="66AC9CF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Тревожността и паническите атаки</w:t>
      </w:r>
      <w:r w:rsidRPr="00AE47C6">
        <w:rPr>
          <w:rFonts w:ascii="Times New Roman" w:eastAsia="SimSun" w:hAnsi="Times New Roman"/>
          <w:sz w:val="24"/>
          <w:szCs w:val="24"/>
        </w:rPr>
        <w:t xml:space="preserve"> се срещат често. Около 40% от пациентите имат тревожност, самостоятелно или в комбинация с депресия. Паническите атаки се проявяват с разнообразни психични, автономни и соматични симптоми. Често се наблюдават различни фобии, като агорафобия и социална фобия. </w:t>
      </w:r>
    </w:p>
    <w:p w14:paraId="070E125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Ажитираността</w:t>
      </w:r>
      <w:r w:rsidRPr="00AE47C6">
        <w:rPr>
          <w:rFonts w:ascii="Times New Roman" w:eastAsia="SimSun" w:hAnsi="Times New Roman"/>
          <w:sz w:val="24"/>
          <w:szCs w:val="24"/>
        </w:rPr>
        <w:t xml:space="preserve"> се установява по-рядко и може да бъде предизвикана от антипаркинсоновата терапия. Характеризира се с неспокойствие, раздразнителност и дисфория и може да бъде част от тревожността. </w:t>
      </w:r>
    </w:p>
    <w:p w14:paraId="41E3257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Нарушенията на съня</w:t>
      </w:r>
      <w:r w:rsidRPr="00AE47C6">
        <w:rPr>
          <w:rFonts w:ascii="Times New Roman" w:eastAsia="SimSun" w:hAnsi="Times New Roman"/>
          <w:sz w:val="24"/>
          <w:szCs w:val="24"/>
        </w:rPr>
        <w:t xml:space="preserve"> се срещат при 75% от пациентите и могат да бъдат причинени както от самото заболяване, така и от деменцията, депресията, когнитивните нарушения, паническото разстройство, кошмарите, болките, затрудненията за обръщане в леглото поради феноменът на изчерпване, ноктурията, синдрома на неспокойните крака, акатизията и лечението с леводопа. Треморът и дискинезиите изчезват по време на сън, но нощните крампи и дистонии на крака могат да събудят пациента. Приемът на някои медикаменти (selegiline и допаминови агонисти) късно вечер нарушава съня. Нарушенията на съня могат да започнат още в началото на заболяването, но с неговата прогресия се засилват. </w:t>
      </w:r>
    </w:p>
    <w:p w14:paraId="4221427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Инсомнията </w:t>
      </w:r>
      <w:r w:rsidRPr="00AE47C6">
        <w:rPr>
          <w:rFonts w:ascii="Times New Roman" w:eastAsia="SimSun" w:hAnsi="Times New Roman"/>
          <w:sz w:val="24"/>
          <w:szCs w:val="24"/>
        </w:rPr>
        <w:t xml:space="preserve">се наблюдава при 98% от пациентите със затруднения в заспиването и поддържането на съня. Фрагментацията на съня е едно от най-ранните нарушения. Пациентите се будят много често (2 – 5 пъти) през нощта, наблюдава се и сомнамбулизъм. Намалено е общото време и ефикасността на съня. Нарушена е структурата на съня, особено фази 3 и 4 на REM съня. </w:t>
      </w:r>
    </w:p>
    <w:p w14:paraId="10FF88D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Дневната сънливост</w:t>
      </w:r>
      <w:r w:rsidRPr="00AE47C6">
        <w:rPr>
          <w:rFonts w:ascii="Times New Roman" w:eastAsia="SimSun" w:hAnsi="Times New Roman"/>
          <w:sz w:val="24"/>
          <w:szCs w:val="24"/>
        </w:rPr>
        <w:t xml:space="preserve"> се наблюдава при 30 до 50% от пациентите и представлява симптом на заболяването. Паркинсоновата болест предизвиква предразположение към дневна сънливост и сънни пристъпи, особено при пациенти с преморбидно по-силно изразена дневна сънливост. Може да се дължи на лечението с леводопа, допаминови агонисти, amantadine, СОМТ-инхибитори, антихолинергични медикаменти, депресия, деменция с нарушение на циркадния ритъм, използване на анксиолитици, ортостатичната хипотония или недоспиване през нощта. Повишената дневна сънливост може да доведе до безсъние през нощта. При 60% от пациентите се наблюдават сънни пристъпи, продължаващи от няколко секунди до минути, които се появяват по време на различни активности. При 3,8% от пациентите настъпват по време на шофиране, но обикновено не внезапно, а се предшестват в 85% от случаите от сънливост. Прилагането на всички групи антипаркинсонови медикаменти, включително и леводопа, допринася за възникване на сънни пристъпи. </w:t>
      </w:r>
    </w:p>
    <w:p w14:paraId="3631E0D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Нощните кошмари</w:t>
      </w:r>
      <w:r w:rsidRPr="00AE47C6">
        <w:rPr>
          <w:rFonts w:ascii="Times New Roman" w:eastAsia="SimSun" w:hAnsi="Times New Roman"/>
          <w:sz w:val="24"/>
          <w:szCs w:val="24"/>
        </w:rPr>
        <w:t xml:space="preserve"> или ярки сънища могат да бъдат идиопатични или да са причинени от деменция или медикаменти, най-често от допаминови агонисти или леводопа. Честата поява на тези нощни кошмари е предвестник за появата на психоза. </w:t>
      </w:r>
    </w:p>
    <w:p w14:paraId="328AB90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REM поведенческото нарушение на съня</w:t>
      </w:r>
      <w:r w:rsidRPr="00AE47C6">
        <w:rPr>
          <w:rFonts w:ascii="Times New Roman" w:eastAsia="SimSun" w:hAnsi="Times New Roman"/>
          <w:sz w:val="24"/>
          <w:szCs w:val="24"/>
        </w:rPr>
        <w:t xml:space="preserve"> е парасомния с комплексно нарушение на съня. Среща се при 50% от пациентите с Паркинсонова болест, но е много често при всички синуклеинопатии. По-често е при по-възрастни хора, при които е загубена физиологичната мускулна атония по време на парадоксалния сън, по-често при мъже. </w:t>
      </w:r>
    </w:p>
    <w:p w14:paraId="0EE8E1C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Характеризира се с краткотрайни епизоди от агресия, извършване на някакви привидно целенасочени бурни действия през нощта, като удряне с юмруци, ритане, викане, псуване, ставане на сън, ходене и сънуване на кошмари. Епизодите се проявяват през втората половина на нощта и са свързани с REM съня. Често се придружават от периодични движения на краката по време на сън. </w:t>
      </w:r>
    </w:p>
    <w:p w14:paraId="1729D3B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Заболяването протича в </w:t>
      </w:r>
      <w:r w:rsidRPr="00AE47C6">
        <w:rPr>
          <w:rFonts w:ascii="Times New Roman" w:eastAsia="SimSun" w:hAnsi="Times New Roman"/>
          <w:i/>
          <w:sz w:val="24"/>
          <w:szCs w:val="24"/>
        </w:rPr>
        <w:t>остра и хронична форма</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Острата форма</w:t>
      </w:r>
      <w:r w:rsidRPr="00AE47C6">
        <w:rPr>
          <w:rFonts w:ascii="Times New Roman" w:eastAsia="SimSun" w:hAnsi="Times New Roman"/>
          <w:sz w:val="24"/>
          <w:szCs w:val="24"/>
        </w:rPr>
        <w:t xml:space="preserve"> е свързана с ефекта от различни медикаменти, като трициклични антидепресанти, инхибитори на обратния захват на серотонина, МАО-инхибитори, selegiline, холинергични медикаменти или поради прекъсване на приемането на барбитурати, бензодиазепини, алкохол или meprobamate. Често се отключва от приема на кофеинови напитки. В тези случаи синдромът е преходен и изчезва след няколко дни. </w:t>
      </w:r>
      <w:r w:rsidRPr="00AE47C6">
        <w:rPr>
          <w:rFonts w:ascii="Times New Roman" w:eastAsia="SimSun" w:hAnsi="Times New Roman"/>
          <w:i/>
          <w:sz w:val="24"/>
          <w:szCs w:val="24"/>
        </w:rPr>
        <w:t>Хроничната форма</w:t>
      </w:r>
      <w:r w:rsidRPr="00AE47C6">
        <w:rPr>
          <w:rFonts w:ascii="Times New Roman" w:eastAsia="SimSun" w:hAnsi="Times New Roman"/>
          <w:sz w:val="24"/>
          <w:szCs w:val="24"/>
        </w:rPr>
        <w:t xml:space="preserve"> е идиопатично състояние при 25 до 60% от пациентите. Наблюдава се при 0,5% от населението и зачестява след 50 годишна възраст. Боледуват предимно (90%) мъже. Проявява се при различни синуклеинопатии свързани с допаминов дефицит (Паркинсонова болест, деменция с телца на Lewy, множествена системна атрофия) и често предшества тяхната клинична поява. Най-често се наблюдава при множествената системна атрофия (90%) и по-рядко при Паркинсонова болест (16%). Среща се и при множествена склероза, съдови енцефалопатии, стволови тумори, амиотрофична латерална склероза, синдромът на Guillain-Barre, митохондриалните енцефалопатии, нормотензивна хидроцефалия, субдурални хематоми, синдром на Tourette и нарколепсия. Често преди да се развие клинично синдрома, с години се наблюдават бурни сънища.</w:t>
      </w:r>
    </w:p>
    <w:p w14:paraId="3AAC50E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Синдромът на неспокойните крака</w:t>
      </w:r>
      <w:r w:rsidRPr="00AE47C6">
        <w:rPr>
          <w:rFonts w:ascii="Times New Roman" w:eastAsia="SimSun" w:hAnsi="Times New Roman"/>
          <w:sz w:val="24"/>
          <w:szCs w:val="24"/>
        </w:rPr>
        <w:t xml:space="preserve"> е сензомоторно нарушение, което се наблюдава при 5 до 10% от популацията. Заболяването е генетично детерминирано (в 90%) или вторично. Унаследяването е автозомно-доминантно, вследствие на увреждане на хромозома 12q. Основните вторични форми са вследствие на бременност, бъбречна недостатъчност, дефицит на желязо, периферна невропатия, засягаща малките нервни влакна, Паркинсонова болест (8 до 20% от пациентите), диабет, дисфункция на щитовидната жлеза, невропатия, уремия, ревматоиден артрит и прием на някои медикаменти като phenytoin, литий, трициклични антидепресанти и фенотиазини. Среща се по-често при нелекувани пациенти с Паркинсонова болест и като симптом при изчерпване на дозата. </w:t>
      </w:r>
    </w:p>
    <w:p w14:paraId="7FA8689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Патогенезата e свързана с допаминергична дисфункция в нигростриарната система и намален свързващ капацитет на D</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рецепторите. </w:t>
      </w:r>
    </w:p>
    <w:p w14:paraId="7AC124F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Клинично може да започне във всяка възраст, дори и в детската, но най-често се наблюдава при възрастни. Протича с два различни фенотипа. При първичната, наследствена форма началото на заболяването е в по-млада възраст (преди 45 години) и прогресията е по-бавна, но симптомите са по-тежко изразени. Протича хронично прогресиращо, с флуктуации в изразеността на симптомите, понякога с ремисии. При пациенти с вторична форма, началото на заболяването е след 45 годишна възраст, симптомите се засилват бързо и не се наблюдават ремисии. </w:t>
      </w:r>
    </w:p>
    <w:p w14:paraId="5EB34BD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Проявява се с четири основни симптома: необходимост от движение на краката, двигателно неспокойствие (движение на крайниците в будно състояние за преодоляване на дискомфорта), поява на симптомите или влошаване в покой, частично или временно облекчение при движение и влошаване на симптомите вечер или през нощта. Основните симптоми са парестезии и дизестезии симетрично в долните крайници в покой, най-често през нощта, които карат пациента да се движи за да ги потисне. Те са най-силно изразени в началото на съня, обикновено между 12 и 1 часа през нощта, а се облекчават през ранните сутрешни часове. През нощта пациентите имат и периодични движения на краката. През деня могат да имат същите движения, които се наричат дискинезии в будно състояние. Често се наблюдава и трудно заспиване. Симптомите са засилват от консумация на кофеинови напитки (антагонисти на аденозиновите рецептори), тютюнопушене, допаминови агонисти и антидепресанти. В началото симптомите се появяват непостоянно, по-късно зачестяват.</w:t>
      </w:r>
    </w:p>
    <w:p w14:paraId="1F70DDD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Диференциалната диагноза включва парестезиите при полиневропатии, които не се подобряват при движение и не настъпват само при покой. </w:t>
      </w:r>
    </w:p>
    <w:p w14:paraId="47FBEC3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Периодичните движения на краката по време на сън</w:t>
      </w:r>
      <w:r w:rsidRPr="00AE47C6">
        <w:rPr>
          <w:rFonts w:ascii="Times New Roman" w:eastAsia="SimSun" w:hAnsi="Times New Roman"/>
          <w:sz w:val="24"/>
          <w:szCs w:val="24"/>
        </w:rPr>
        <w:t xml:space="preserve"> се наблюдават при 80% от пациентите. Срещат се често и при пациенти в напреднала възраст, които не боледуват от Паркинсонова болест. Могат да се установят при различни неврологични заболявания, като синдрома на неспокойните крака, нарколепсия, сънна апнея синдром на Isaac, синдрома на скования човек, леводопа-зависима дистония, хорея на Huntington, амиотрофична латерална склероза, startle синдром, синдром на нарушено внимание и хиперактивност, миелопатии и полиневропатии. Считат се за патологичен феномен, само ако нарушават съня. Появяват се на равни интервали от време, засягат често само единия крак и са продължителни. Те са ритмични и стереотипни движения и включват екстензия на палеца (наподобява рефлекса на Babinski), придружена от флексия в глезенната, колянната и понякога в бедрената става, наподобяваща отдръпване на крайника. Засягат двата крака, по рядко ръцете и се появяват през фаза 1 и 2 на не-REM съня. Продължават около 6 s и се появяват на всеки 20 – 40 s. През нощта могат да се получат стотици неволеви движения, които водят до “микросъбуждания”, които се установяват само на ЕЕГ запис (краткотрайни залпове от алфа активност и К комплекси). </w:t>
      </w:r>
    </w:p>
    <w:p w14:paraId="26A26CD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Диференциалната диагноза включва миоклониите при заспиване.</w:t>
      </w:r>
    </w:p>
    <w:p w14:paraId="4035A8E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Нощната акатизия</w:t>
      </w:r>
      <w:r w:rsidRPr="00AE47C6">
        <w:rPr>
          <w:rFonts w:ascii="Times New Roman" w:eastAsia="SimSun" w:hAnsi="Times New Roman"/>
          <w:sz w:val="24"/>
          <w:szCs w:val="24"/>
        </w:rPr>
        <w:t xml:space="preserve"> е по-рядка при пациенти с Паркинсонова болест. За разлика от синдрома на неспокойните крака движенията не се предшестват от парестезии и не се облекчават от движение. Акатизията е усещане за вътрешно неспокойство и необходимост от движение, както и стереотипни движения. Засилва се от прилагане на леводопа, за разлика от синдрома на неспокойните крака. </w:t>
      </w:r>
    </w:p>
    <w:p w14:paraId="659C8B7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Умората</w:t>
      </w:r>
      <w:r w:rsidRPr="00AE47C6">
        <w:rPr>
          <w:rFonts w:ascii="Times New Roman" w:eastAsia="SimSun" w:hAnsi="Times New Roman"/>
          <w:sz w:val="24"/>
          <w:szCs w:val="24"/>
        </w:rPr>
        <w:t xml:space="preserve"> се наблюдава при 40 до 56% от пациентите и сериозно влошава тяхното качество на живот. Има данни, че тя е много ранен симптом и може да се появи до 12 години преди изявяването на първите двигателни симптоми на заболяването. Патогенезата вероятно е свързана с дисфункция на фронталния лоб, формиране на патологични цитокини в някои мозъчни области и допаминергична дисфункция на лимбичните структури. Не корелира с тежестта на заболяването, но се засилва с неговата прогресия и е свързана с депресията и нарушенията на съня. </w:t>
      </w:r>
    </w:p>
    <w:p w14:paraId="41A02CC0" w14:textId="77777777" w:rsidR="00BE0B19" w:rsidRPr="00AE47C6" w:rsidRDefault="00BE0B19" w:rsidP="00BE0B19">
      <w:pPr>
        <w:spacing w:after="0" w:line="360" w:lineRule="auto"/>
        <w:ind w:firstLine="709"/>
        <w:jc w:val="both"/>
        <w:rPr>
          <w:rFonts w:ascii="Times New Roman" w:eastAsia="SimSun" w:hAnsi="Times New Roman"/>
          <w:b/>
          <w:sz w:val="24"/>
          <w:szCs w:val="24"/>
          <w:u w:val="single"/>
        </w:rPr>
      </w:pPr>
      <w:r w:rsidRPr="00AE47C6">
        <w:rPr>
          <w:rFonts w:ascii="Times New Roman" w:eastAsia="SimSun" w:hAnsi="Times New Roman"/>
          <w:b/>
          <w:sz w:val="24"/>
          <w:szCs w:val="24"/>
          <w:u w:val="single"/>
        </w:rPr>
        <w:t>Диагностициране на Паркинсоновата болест</w:t>
      </w:r>
    </w:p>
    <w:p w14:paraId="38E1A2A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Ранната диагностика</w:t>
      </w:r>
      <w:r w:rsidRPr="00AE47C6">
        <w:rPr>
          <w:rFonts w:ascii="Times New Roman" w:eastAsia="SimSun" w:hAnsi="Times New Roman"/>
          <w:sz w:val="24"/>
          <w:szCs w:val="24"/>
        </w:rPr>
        <w:t xml:space="preserve"> е важна, поради наличието на медикаменти, за които има данни, че оказват невропротективно действие и забавят прогресията на заболяването. Ранната диагноза може да бъде поставена чрез задълбочена анамнеза, разпит на близките и неврологично изследване с установяване на основните паркинсонови симптоми: ригидност, брадикинезия и тремор в покой. За установяване на леко изразените симптоми се използват различни прийоми. </w:t>
      </w:r>
    </w:p>
    <w:p w14:paraId="4328F55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Брадикинезията</w:t>
      </w:r>
      <w:r w:rsidRPr="00AE47C6">
        <w:rPr>
          <w:rFonts w:ascii="Times New Roman" w:eastAsia="SimSun" w:hAnsi="Times New Roman"/>
          <w:sz w:val="24"/>
          <w:szCs w:val="24"/>
        </w:rPr>
        <w:t xml:space="preserve"> се изследва чрез наблюдение на походката, като болният се движи бързо с отпуснати ръце покрай тялото. Наблюдава се намалено движение (физиологична синкинезия) на болната ръка и походка с дребни крачки. Наблюдението показва забавеност при изпълнение на ежедневните движения – разкопчаване и закопчаване на копчета, завързване на връзки на обувки и др. Симптомът на Myerson е положителен – болният мига при всяко почукване върху glabella. </w:t>
      </w:r>
    </w:p>
    <w:p w14:paraId="155A132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Мускулният тонус</w:t>
      </w:r>
      <w:r w:rsidRPr="00AE47C6">
        <w:rPr>
          <w:rFonts w:ascii="Times New Roman" w:eastAsia="SimSun" w:hAnsi="Times New Roman"/>
          <w:sz w:val="24"/>
          <w:szCs w:val="24"/>
        </w:rPr>
        <w:t xml:space="preserve"> се засилва като болният държи тежък предмет в едната ръка или я стиска в юмрук, докато лекарят изследва тонуса в другата ръка (прийом на Noika-Froment). Сухожилните рефлекси може да са усилени на страната с повишен мускулен тонус. </w:t>
      </w:r>
    </w:p>
    <w:p w14:paraId="3B9DB09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Треморът</w:t>
      </w:r>
      <w:r w:rsidRPr="00AE47C6">
        <w:rPr>
          <w:rFonts w:ascii="Times New Roman" w:eastAsia="SimSun" w:hAnsi="Times New Roman"/>
          <w:sz w:val="24"/>
          <w:szCs w:val="24"/>
        </w:rPr>
        <w:t xml:space="preserve"> на ръката се засилва когато болният ходи или стиска в юмрук здравата ръка. </w:t>
      </w:r>
    </w:p>
    <w:p w14:paraId="2B8D2AA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Постуралните нарушения </w:t>
      </w:r>
      <w:r w:rsidRPr="00AE47C6">
        <w:rPr>
          <w:rFonts w:ascii="Times New Roman" w:eastAsia="SimSun" w:hAnsi="Times New Roman"/>
          <w:sz w:val="24"/>
          <w:szCs w:val="24"/>
        </w:rPr>
        <w:t xml:space="preserve">се диагностицират чрез наблюдение на походката. Болният, който ходи, се инструктира внезапно да се обърне и да тръгне в обратна посока, при което той губи равновесие. Полезен тест е лекарят да застане зад болният, който стои с прибрани крака (до нивото на раменете), като постави ръцете си на неговите рамене. Лекарят внезапно се опитва да изведе болният от равновесие чрез бутане напред, след което назад и встрани (като внимава болният да не падне). Здравият човек запазва равновесие, докато при постурални нарушения болния залита с дребни крачки (повече от две) в съответната посока и губи равновесие. При четири и повече крачки или липса на опит за запазване на баланса, когато пациентът не може да запази равновесие и пада, постуралните нарушения са тежко изразени. </w:t>
      </w:r>
    </w:p>
    <w:p w14:paraId="61AA750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Разработени са различни </w:t>
      </w:r>
      <w:r w:rsidRPr="00AE47C6">
        <w:rPr>
          <w:rFonts w:ascii="Times New Roman" w:eastAsia="SimSun" w:hAnsi="Times New Roman"/>
          <w:b/>
          <w:sz w:val="24"/>
          <w:szCs w:val="24"/>
        </w:rPr>
        <w:t>клинични критерии</w:t>
      </w:r>
      <w:r w:rsidRPr="00AE47C6">
        <w:rPr>
          <w:rFonts w:ascii="Times New Roman" w:eastAsia="SimSun" w:hAnsi="Times New Roman"/>
          <w:sz w:val="24"/>
          <w:szCs w:val="24"/>
        </w:rPr>
        <w:t xml:space="preserve">: за поставяне на диагнозата е необходимо поне два от трите основни симптома </w:t>
      </w:r>
      <w:r w:rsidRPr="00AE47C6">
        <w:rPr>
          <w:rFonts w:ascii="Times New Roman" w:eastAsia="SimSun" w:hAnsi="Times New Roman"/>
          <w:i/>
          <w:sz w:val="24"/>
          <w:szCs w:val="24"/>
        </w:rPr>
        <w:t>тремор, ригидност, брадикинезия</w:t>
      </w:r>
      <w:r w:rsidRPr="00AE47C6">
        <w:rPr>
          <w:rFonts w:ascii="Times New Roman" w:eastAsia="SimSun" w:hAnsi="Times New Roman"/>
          <w:sz w:val="24"/>
          <w:szCs w:val="24"/>
        </w:rPr>
        <w:t xml:space="preserve"> да бъдат налице, като се използват диагностичните категории възможна, вероятна и сигурна Паркинсонова болест. Постуралните нарушения не се приемат като основен симптом на Паркинсоновата болест, защото те могат да бъдат проява на нормалното остаряване и обикновено са последния симптом, който се появява при пациентите с Паркинсонова болест. Използването на клинични критерии повишава точността на диагнозата с 26%. </w:t>
      </w:r>
    </w:p>
    <w:p w14:paraId="6357788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Паркинсоновата болест се манифестира с </w:t>
      </w:r>
      <w:r w:rsidRPr="00AE47C6">
        <w:rPr>
          <w:rFonts w:ascii="Times New Roman" w:eastAsia="SimSun" w:hAnsi="Times New Roman"/>
          <w:i/>
          <w:sz w:val="24"/>
          <w:szCs w:val="24"/>
        </w:rPr>
        <w:t>класическата триада от тремор в покой, брадикинезия и ригидност</w:t>
      </w:r>
      <w:r w:rsidRPr="00AE47C6">
        <w:rPr>
          <w:rFonts w:ascii="Times New Roman" w:eastAsia="SimSun" w:hAnsi="Times New Roman"/>
          <w:sz w:val="24"/>
          <w:szCs w:val="24"/>
        </w:rPr>
        <w:t xml:space="preserve"> към която </w:t>
      </w:r>
      <w:r w:rsidRPr="00AE47C6">
        <w:rPr>
          <w:rFonts w:ascii="Times New Roman" w:eastAsia="SimSun" w:hAnsi="Times New Roman"/>
          <w:i/>
          <w:sz w:val="24"/>
          <w:szCs w:val="24"/>
        </w:rPr>
        <w:t>по-късно се добавят и постурални нарушения</w:t>
      </w:r>
      <w:r w:rsidRPr="00AE47C6">
        <w:rPr>
          <w:rFonts w:ascii="Times New Roman" w:eastAsia="SimSun" w:hAnsi="Times New Roman"/>
          <w:sz w:val="24"/>
          <w:szCs w:val="24"/>
        </w:rPr>
        <w:t>.</w:t>
      </w:r>
    </w:p>
    <w:p w14:paraId="2DB70891"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За поставяне на диагнозата трябва да се използват </w:t>
      </w:r>
      <w:r w:rsidRPr="00AE47C6">
        <w:rPr>
          <w:rFonts w:ascii="Times New Roman" w:eastAsia="SimSun" w:hAnsi="Times New Roman"/>
          <w:b/>
          <w:sz w:val="24"/>
          <w:szCs w:val="24"/>
        </w:rPr>
        <w:t>диагностичните категории</w:t>
      </w:r>
      <w:r w:rsidRPr="00AE47C6">
        <w:rPr>
          <w:rFonts w:ascii="Times New Roman" w:eastAsia="SimSun" w:hAnsi="Times New Roman"/>
          <w:sz w:val="24"/>
          <w:szCs w:val="24"/>
        </w:rPr>
        <w:t xml:space="preserve">: </w:t>
      </w:r>
    </w:p>
    <w:p w14:paraId="61D06762"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 </w:t>
      </w:r>
      <w:r w:rsidRPr="00AE47C6">
        <w:rPr>
          <w:rFonts w:ascii="Times New Roman" w:eastAsia="SimSun" w:hAnsi="Times New Roman"/>
          <w:b/>
          <w:sz w:val="24"/>
          <w:szCs w:val="24"/>
        </w:rPr>
        <w:t>Клинично сигурна</w:t>
      </w:r>
      <w:r w:rsidRPr="00AE47C6">
        <w:rPr>
          <w:rFonts w:ascii="Times New Roman" w:eastAsia="SimSun" w:hAnsi="Times New Roman"/>
          <w:sz w:val="24"/>
          <w:szCs w:val="24"/>
        </w:rPr>
        <w:t xml:space="preserve"> Паркинсонова болест се приема при наличие на 3 от основните симптоми (тремор в покой, брадикинезия, ригидност) или 2 от тях, ако са асиметрични. </w:t>
      </w:r>
    </w:p>
    <w:p w14:paraId="131B0A19"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 </w:t>
      </w:r>
      <w:r w:rsidRPr="00AE47C6">
        <w:rPr>
          <w:rFonts w:ascii="Times New Roman" w:eastAsia="SimSun" w:hAnsi="Times New Roman"/>
          <w:b/>
          <w:sz w:val="24"/>
          <w:szCs w:val="24"/>
        </w:rPr>
        <w:t>Клинично вероятна</w:t>
      </w:r>
      <w:r w:rsidRPr="00AE47C6">
        <w:rPr>
          <w:rFonts w:ascii="Times New Roman" w:eastAsia="SimSun" w:hAnsi="Times New Roman"/>
          <w:sz w:val="24"/>
          <w:szCs w:val="24"/>
        </w:rPr>
        <w:t xml:space="preserve"> болест се приема при наличие на 2 от основните симптоми или 1 от тях, ако е асиметричен.</w:t>
      </w:r>
    </w:p>
    <w:p w14:paraId="0F5F1F5A"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 </w:t>
      </w:r>
      <w:r w:rsidRPr="00AE47C6">
        <w:rPr>
          <w:rFonts w:ascii="Times New Roman" w:eastAsia="SimSun" w:hAnsi="Times New Roman"/>
          <w:b/>
          <w:sz w:val="24"/>
          <w:szCs w:val="24"/>
        </w:rPr>
        <w:t>Клинично възможна</w:t>
      </w:r>
      <w:r w:rsidRPr="00AE47C6">
        <w:rPr>
          <w:rFonts w:ascii="Times New Roman" w:eastAsia="SimSun" w:hAnsi="Times New Roman"/>
          <w:sz w:val="24"/>
          <w:szCs w:val="24"/>
        </w:rPr>
        <w:t xml:space="preserve"> Паркинсонова болест се приема при наличие на 1 от основните симптоми и постурални нарушения.</w:t>
      </w:r>
    </w:p>
    <w:p w14:paraId="4F4270F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Брадикинезията</w:t>
      </w:r>
      <w:r w:rsidRPr="00AE47C6">
        <w:rPr>
          <w:rFonts w:ascii="Times New Roman" w:eastAsia="SimSun" w:hAnsi="Times New Roman"/>
          <w:sz w:val="24"/>
          <w:szCs w:val="24"/>
        </w:rPr>
        <w:t xml:space="preserve"> е един от най-ранните симптоми. В ранните стадии се манифестира с </w:t>
      </w:r>
      <w:r w:rsidRPr="00AE47C6">
        <w:rPr>
          <w:rFonts w:ascii="Times New Roman" w:eastAsia="SimSun" w:hAnsi="Times New Roman"/>
          <w:i/>
          <w:sz w:val="24"/>
          <w:szCs w:val="24"/>
        </w:rPr>
        <w:t>нарушение на походката, позата, фините движения на ръцете, мимиката</w:t>
      </w:r>
      <w:r w:rsidRPr="00AE47C6">
        <w:rPr>
          <w:rFonts w:ascii="Times New Roman" w:eastAsia="SimSun" w:hAnsi="Times New Roman"/>
          <w:sz w:val="24"/>
          <w:szCs w:val="24"/>
        </w:rPr>
        <w:t xml:space="preserve"> (масковидно лице) и </w:t>
      </w:r>
      <w:r w:rsidRPr="00AE47C6">
        <w:rPr>
          <w:rFonts w:ascii="Times New Roman" w:eastAsia="SimSun" w:hAnsi="Times New Roman"/>
          <w:i/>
          <w:sz w:val="24"/>
          <w:szCs w:val="24"/>
        </w:rPr>
        <w:t xml:space="preserve">речта </w:t>
      </w:r>
      <w:r w:rsidRPr="00AE47C6">
        <w:rPr>
          <w:rFonts w:ascii="Times New Roman" w:eastAsia="SimSun" w:hAnsi="Times New Roman"/>
          <w:sz w:val="24"/>
          <w:szCs w:val="24"/>
        </w:rPr>
        <w:t>(тиха реч с намалена модулация и интонация). Изследва се чрез различни прийоми:</w:t>
      </w:r>
    </w:p>
    <w:p w14:paraId="42F5D46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w:t>
      </w:r>
      <w:r w:rsidRPr="00AE47C6">
        <w:rPr>
          <w:rFonts w:ascii="Times New Roman" w:eastAsia="SimSun" w:hAnsi="Times New Roman"/>
          <w:i/>
          <w:sz w:val="24"/>
          <w:szCs w:val="24"/>
        </w:rPr>
        <w:t>Наблюдение на походката</w:t>
      </w:r>
      <w:r w:rsidRPr="00AE47C6">
        <w:rPr>
          <w:rFonts w:ascii="Times New Roman" w:eastAsia="SimSun" w:hAnsi="Times New Roman"/>
          <w:sz w:val="24"/>
          <w:szCs w:val="24"/>
        </w:rPr>
        <w:t xml:space="preserve">, като пациентът се инструктира да се движи бързо с отпуснати ръце покрай тялото. Наблюдава се намалена физиологична синкинезия на болната ръка и походка с къси крачки. </w:t>
      </w:r>
    </w:p>
    <w:p w14:paraId="6BE2779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2. </w:t>
      </w:r>
      <w:r w:rsidRPr="00AE47C6">
        <w:rPr>
          <w:rFonts w:ascii="Times New Roman" w:eastAsia="SimSun" w:hAnsi="Times New Roman"/>
          <w:i/>
          <w:sz w:val="24"/>
          <w:szCs w:val="24"/>
        </w:rPr>
        <w:t>Наблюдение на походката, като пациентът се движи бос</w:t>
      </w:r>
      <w:r w:rsidRPr="00AE47C6">
        <w:rPr>
          <w:rFonts w:ascii="Times New Roman" w:eastAsia="SimSun" w:hAnsi="Times New Roman"/>
          <w:sz w:val="24"/>
          <w:szCs w:val="24"/>
        </w:rPr>
        <w:t>. Демонстрира се по-ясно намаленото движение на едната ръка и свиване на пръстите на болния крак към пода при стъпване. Болният поставя цялото стъпало на пода, вместо стъпалото да се огъва от петата към пръстите.</w:t>
      </w:r>
    </w:p>
    <w:p w14:paraId="6A12C59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3. </w:t>
      </w:r>
      <w:r w:rsidRPr="00AE47C6">
        <w:rPr>
          <w:rFonts w:ascii="Times New Roman" w:eastAsia="SimSun" w:hAnsi="Times New Roman"/>
          <w:i/>
          <w:sz w:val="24"/>
          <w:szCs w:val="24"/>
        </w:rPr>
        <w:t>Наблюдението на движенията</w:t>
      </w:r>
      <w:r w:rsidRPr="00AE47C6">
        <w:rPr>
          <w:rFonts w:ascii="Times New Roman" w:eastAsia="SimSun" w:hAnsi="Times New Roman"/>
          <w:sz w:val="24"/>
          <w:szCs w:val="24"/>
        </w:rPr>
        <w:t xml:space="preserve"> показва забавеност при изпълнение на ежедневните движения – разкопчаване и закопчаване на копчета, завързване на връзки на обувки и др. </w:t>
      </w:r>
    </w:p>
    <w:p w14:paraId="6D32A3F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4.  </w:t>
      </w:r>
      <w:r w:rsidRPr="00AE47C6">
        <w:rPr>
          <w:rFonts w:ascii="Times New Roman" w:eastAsia="SimSun" w:hAnsi="Times New Roman"/>
          <w:i/>
          <w:sz w:val="24"/>
          <w:szCs w:val="24"/>
        </w:rPr>
        <w:t>Жестовете</w:t>
      </w:r>
      <w:r w:rsidRPr="00AE47C6">
        <w:rPr>
          <w:rFonts w:ascii="Times New Roman" w:eastAsia="SimSun" w:hAnsi="Times New Roman"/>
          <w:sz w:val="24"/>
          <w:szCs w:val="24"/>
        </w:rPr>
        <w:t xml:space="preserve"> на пациента намаляват. </w:t>
      </w:r>
    </w:p>
    <w:p w14:paraId="4ACA305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5. При </w:t>
      </w:r>
      <w:r w:rsidRPr="00AE47C6">
        <w:rPr>
          <w:rFonts w:ascii="Times New Roman" w:eastAsia="SimSun" w:hAnsi="Times New Roman"/>
          <w:i/>
          <w:sz w:val="24"/>
          <w:szCs w:val="24"/>
        </w:rPr>
        <w:t>обръщане на пациента</w:t>
      </w:r>
      <w:r w:rsidRPr="00AE47C6">
        <w:rPr>
          <w:rFonts w:ascii="Times New Roman" w:eastAsia="SimSun" w:hAnsi="Times New Roman"/>
          <w:sz w:val="24"/>
          <w:szCs w:val="24"/>
        </w:rPr>
        <w:t xml:space="preserve"> в легнало положение на кушетката, той започва движението с краката, докато при здравите хора обръщането започва от ръцете. </w:t>
      </w:r>
    </w:p>
    <w:p w14:paraId="49ACAD1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6. При </w:t>
      </w:r>
      <w:r w:rsidRPr="00AE47C6">
        <w:rPr>
          <w:rFonts w:ascii="Times New Roman" w:eastAsia="SimSun" w:hAnsi="Times New Roman"/>
          <w:i/>
          <w:sz w:val="24"/>
          <w:szCs w:val="24"/>
        </w:rPr>
        <w:t>сядане</w:t>
      </w:r>
      <w:r w:rsidRPr="00AE47C6">
        <w:rPr>
          <w:rFonts w:ascii="Times New Roman" w:eastAsia="SimSun" w:hAnsi="Times New Roman"/>
          <w:sz w:val="24"/>
          <w:szCs w:val="24"/>
        </w:rPr>
        <w:t xml:space="preserve"> тялото не се навежда напред, така че пациентът като че ли пада до седнало положение. </w:t>
      </w:r>
    </w:p>
    <w:p w14:paraId="0079AD3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7. При </w:t>
      </w:r>
      <w:r w:rsidRPr="00AE47C6">
        <w:rPr>
          <w:rFonts w:ascii="Times New Roman" w:eastAsia="SimSun" w:hAnsi="Times New Roman"/>
          <w:i/>
          <w:sz w:val="24"/>
          <w:szCs w:val="24"/>
        </w:rPr>
        <w:t>пробата с накланяне на стола</w:t>
      </w:r>
      <w:r w:rsidRPr="00AE47C6">
        <w:rPr>
          <w:rFonts w:ascii="Times New Roman" w:eastAsia="SimSun" w:hAnsi="Times New Roman"/>
          <w:sz w:val="24"/>
          <w:szCs w:val="24"/>
        </w:rPr>
        <w:t xml:space="preserve"> лекарят застава зад стола, на който седи удобно облегнат пациента и без предупреждение го накланя назад. Пациентът се накланя заедно със стола, докато здравите хора запазват изправено положение на гърба, поради рефлекторна компенсация. </w:t>
      </w:r>
    </w:p>
    <w:p w14:paraId="56F5F61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8. </w:t>
      </w:r>
      <w:r w:rsidRPr="00AE47C6">
        <w:rPr>
          <w:rFonts w:ascii="Times New Roman" w:eastAsia="SimSun" w:hAnsi="Times New Roman"/>
          <w:i/>
          <w:sz w:val="24"/>
          <w:szCs w:val="24"/>
        </w:rPr>
        <w:t>Извършването на две действия едновременно</w:t>
      </w:r>
      <w:r w:rsidRPr="00AE47C6">
        <w:rPr>
          <w:rFonts w:ascii="Times New Roman" w:eastAsia="SimSun" w:hAnsi="Times New Roman"/>
          <w:sz w:val="24"/>
          <w:szCs w:val="24"/>
        </w:rPr>
        <w:t xml:space="preserve"> и на алтерниращи движения (диадохокинезис) е затруднено. Ако пациентът вдигне нагоре ръката си сгъната на 90</w:t>
      </w:r>
      <w:r w:rsidRPr="00AE47C6">
        <w:rPr>
          <w:rFonts w:ascii="Times New Roman" w:eastAsia="SimSun" w:hAnsi="Times New Roman"/>
          <w:sz w:val="24"/>
          <w:szCs w:val="24"/>
          <w:vertAlign w:val="superscript"/>
        </w:rPr>
        <w:t>0</w:t>
      </w:r>
      <w:r w:rsidRPr="00AE47C6">
        <w:rPr>
          <w:rFonts w:ascii="Times New Roman" w:eastAsia="SimSun" w:hAnsi="Times New Roman"/>
          <w:sz w:val="24"/>
          <w:szCs w:val="24"/>
        </w:rPr>
        <w:t xml:space="preserve"> в лакътя и имитира завиване на електрическа крушка, движението постепенно се забавя и става неравномерно.</w:t>
      </w:r>
    </w:p>
    <w:p w14:paraId="34EF6AB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9. </w:t>
      </w:r>
      <w:r w:rsidRPr="00AE47C6">
        <w:rPr>
          <w:rFonts w:ascii="Times New Roman" w:eastAsia="SimSun" w:hAnsi="Times New Roman"/>
          <w:i/>
          <w:sz w:val="24"/>
          <w:szCs w:val="24"/>
        </w:rPr>
        <w:t>Микрографията</w:t>
      </w:r>
      <w:r w:rsidRPr="00AE47C6">
        <w:rPr>
          <w:rFonts w:ascii="Times New Roman" w:eastAsia="SimSun" w:hAnsi="Times New Roman"/>
          <w:sz w:val="24"/>
          <w:szCs w:val="24"/>
        </w:rPr>
        <w:t xml:space="preserve"> се манифестира като пациентът пише цифрите от 1 до 9 на неразграфена хартия. Големината на цифрите намалява от 1 към 3 и нараства от 4 нататък.</w:t>
      </w:r>
    </w:p>
    <w:p w14:paraId="5FDCB10F"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10. </w:t>
      </w:r>
      <w:r w:rsidRPr="00AE47C6">
        <w:rPr>
          <w:rFonts w:ascii="Times New Roman" w:eastAsia="SimSun" w:hAnsi="Times New Roman"/>
          <w:b/>
          <w:i/>
          <w:sz w:val="24"/>
          <w:szCs w:val="24"/>
        </w:rPr>
        <w:t>Рядкото мигане</w:t>
      </w:r>
      <w:r w:rsidRPr="00AE47C6">
        <w:rPr>
          <w:rFonts w:ascii="Times New Roman" w:eastAsia="SimSun" w:hAnsi="Times New Roman"/>
          <w:b/>
          <w:sz w:val="24"/>
          <w:szCs w:val="24"/>
        </w:rPr>
        <w:t xml:space="preserve"> е ранен симптом. </w:t>
      </w:r>
    </w:p>
    <w:p w14:paraId="3081857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 xml:space="preserve">11. </w:t>
      </w:r>
      <w:r w:rsidRPr="00AE47C6">
        <w:rPr>
          <w:rFonts w:ascii="Times New Roman" w:eastAsia="SimSun" w:hAnsi="Times New Roman"/>
          <w:b/>
          <w:i/>
          <w:sz w:val="24"/>
          <w:szCs w:val="24"/>
        </w:rPr>
        <w:t>Симптомът на Meyerson</w:t>
      </w:r>
      <w:r w:rsidRPr="00AE47C6">
        <w:rPr>
          <w:rFonts w:ascii="Times New Roman" w:eastAsia="SimSun" w:hAnsi="Times New Roman"/>
          <w:b/>
          <w:sz w:val="24"/>
          <w:szCs w:val="24"/>
        </w:rPr>
        <w:t xml:space="preserve"> е положителен – при почукване върху носа или глабелата, болният мига всеки път, докато при здравия човек рефлексът бързо се изчерпва. </w:t>
      </w:r>
    </w:p>
    <w:p w14:paraId="73E9C0C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Мускулната ригидност</w:t>
      </w:r>
      <w:r w:rsidRPr="00AE47C6">
        <w:rPr>
          <w:rFonts w:ascii="Times New Roman" w:eastAsia="SimSun" w:hAnsi="Times New Roman"/>
          <w:sz w:val="24"/>
          <w:szCs w:val="24"/>
        </w:rPr>
        <w:t xml:space="preserve"> в ранните стадии се манифестира с повишен тонус предимно на проксималните мускулни групи на раменната и тазовата област. Когато изследването на тонуса не показва сигурни данни, се прилагат тестове за ранна диагноза:</w:t>
      </w:r>
    </w:p>
    <w:p w14:paraId="6994917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w:t>
      </w:r>
      <w:r w:rsidRPr="00AE47C6">
        <w:rPr>
          <w:rFonts w:ascii="Times New Roman" w:eastAsia="SimSun" w:hAnsi="Times New Roman"/>
          <w:i/>
          <w:sz w:val="24"/>
          <w:szCs w:val="24"/>
        </w:rPr>
        <w:t>Мускулният тонус</w:t>
      </w:r>
      <w:r w:rsidRPr="00AE47C6">
        <w:rPr>
          <w:rFonts w:ascii="Times New Roman" w:eastAsia="SimSun" w:hAnsi="Times New Roman"/>
          <w:sz w:val="24"/>
          <w:szCs w:val="24"/>
        </w:rPr>
        <w:t xml:space="preserve"> се засилва, когато пациентът държи тежък предмет в едната ръка или я стиска в юмрук, докато лекарят изследва тонуса в другата ръка. </w:t>
      </w:r>
    </w:p>
    <w:p w14:paraId="039E5F7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2. </w:t>
      </w:r>
      <w:r w:rsidRPr="00AE47C6">
        <w:rPr>
          <w:rFonts w:ascii="Times New Roman" w:eastAsia="SimSun" w:hAnsi="Times New Roman"/>
          <w:i/>
          <w:sz w:val="24"/>
          <w:szCs w:val="24"/>
        </w:rPr>
        <w:t>При тестът за люлеене на ръцете</w:t>
      </w:r>
      <w:r w:rsidRPr="00AE47C6">
        <w:rPr>
          <w:rFonts w:ascii="Times New Roman" w:eastAsia="SimSun" w:hAnsi="Times New Roman"/>
          <w:sz w:val="24"/>
          <w:szCs w:val="24"/>
        </w:rPr>
        <w:t xml:space="preserve"> лекарят застава зад изправения пациент и започва да движи с ръце неговите рамене, така че да се люлеят и ръцете. При мускулна ригидност съответната ръка не се люлее свободно, за разлика от здравата. </w:t>
      </w:r>
    </w:p>
    <w:p w14:paraId="6DC1707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3. </w:t>
      </w:r>
      <w:r w:rsidRPr="00AE47C6">
        <w:rPr>
          <w:rFonts w:ascii="Times New Roman" w:eastAsia="SimSun" w:hAnsi="Times New Roman"/>
          <w:i/>
          <w:sz w:val="24"/>
          <w:szCs w:val="24"/>
        </w:rPr>
        <w:t>Тестът за падане на главата</w:t>
      </w:r>
      <w:r w:rsidRPr="00AE47C6">
        <w:rPr>
          <w:rFonts w:ascii="Times New Roman" w:eastAsia="SimSun" w:hAnsi="Times New Roman"/>
          <w:sz w:val="24"/>
          <w:szCs w:val="24"/>
        </w:rPr>
        <w:t xml:space="preserve"> демонстрира наличието на ригидност на аксиалната мускулатура. Лекарят леко повдига с длан главата на легналия пациент и го инструктира да отпусне главата си напълно. След няколко секунди изтегля ръката си без предупреждение. При ригидно повишен мускулен тонус главата не пада към леглото или пада бавно с прекъснато движение, докато главата на здравия човек пада бързо.</w:t>
      </w:r>
    </w:p>
    <w:p w14:paraId="3105227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4. </w:t>
      </w:r>
      <w:r w:rsidRPr="00AE47C6">
        <w:rPr>
          <w:rFonts w:ascii="Times New Roman" w:eastAsia="SimSun" w:hAnsi="Times New Roman"/>
          <w:i/>
          <w:sz w:val="24"/>
          <w:szCs w:val="24"/>
        </w:rPr>
        <w:t>Позата</w:t>
      </w:r>
      <w:r w:rsidRPr="00AE47C6">
        <w:rPr>
          <w:rFonts w:ascii="Times New Roman" w:eastAsia="SimSun" w:hAnsi="Times New Roman"/>
          <w:sz w:val="24"/>
          <w:szCs w:val="24"/>
        </w:rPr>
        <w:t xml:space="preserve"> при пациенти с ригидно повишен мускулен тонус се променя, с навеждане на тялото и главата напред и флексия с пронация на ръцете, както и сгъване на коленете. </w:t>
      </w:r>
    </w:p>
    <w:p w14:paraId="2D08B60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5. </w:t>
      </w:r>
      <w:r w:rsidRPr="00AE47C6">
        <w:rPr>
          <w:rFonts w:ascii="Times New Roman" w:eastAsia="SimSun" w:hAnsi="Times New Roman"/>
          <w:i/>
          <w:sz w:val="24"/>
          <w:szCs w:val="24"/>
        </w:rPr>
        <w:t>Болки</w:t>
      </w:r>
      <w:r w:rsidRPr="00AE47C6">
        <w:rPr>
          <w:rFonts w:ascii="Times New Roman" w:eastAsia="SimSun" w:hAnsi="Times New Roman"/>
          <w:sz w:val="24"/>
          <w:szCs w:val="24"/>
        </w:rPr>
        <w:t xml:space="preserve"> в ставите, синдром рамо-ръка и лумбалгия възникват при пациенти с дълготрайно повишен мускулен тонус. </w:t>
      </w:r>
    </w:p>
    <w:p w14:paraId="423B1EB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6. </w:t>
      </w:r>
      <w:r w:rsidRPr="00AE47C6">
        <w:rPr>
          <w:rFonts w:ascii="Times New Roman" w:eastAsia="SimSun" w:hAnsi="Times New Roman"/>
          <w:i/>
          <w:sz w:val="24"/>
          <w:szCs w:val="24"/>
        </w:rPr>
        <w:t>Сухожилните рефлекси</w:t>
      </w:r>
      <w:r w:rsidRPr="00AE47C6">
        <w:rPr>
          <w:rFonts w:ascii="Times New Roman" w:eastAsia="SimSun" w:hAnsi="Times New Roman"/>
          <w:sz w:val="24"/>
          <w:szCs w:val="24"/>
        </w:rPr>
        <w:t xml:space="preserve"> на съответната страна са леко усилени поради повишеният мускулен тонус.</w:t>
      </w:r>
    </w:p>
    <w:p w14:paraId="7116A1A8" w14:textId="77777777" w:rsidR="00BE0B19" w:rsidRPr="00AE47C6" w:rsidRDefault="00BE0B19" w:rsidP="00BE0B19">
      <w:pPr>
        <w:spacing w:after="0" w:line="360" w:lineRule="auto"/>
        <w:ind w:firstLine="283"/>
        <w:jc w:val="both"/>
        <w:rPr>
          <w:rFonts w:ascii="Times New Roman" w:eastAsia="SimSun" w:hAnsi="Times New Roman"/>
          <w:sz w:val="24"/>
          <w:szCs w:val="24"/>
        </w:rPr>
      </w:pPr>
      <w:r w:rsidRPr="00AE47C6">
        <w:rPr>
          <w:rFonts w:ascii="Times New Roman" w:eastAsia="SimSun" w:hAnsi="Times New Roman"/>
          <w:b/>
          <w:sz w:val="24"/>
          <w:szCs w:val="24"/>
        </w:rPr>
        <w:t>Треморът в покой</w:t>
      </w:r>
      <w:r w:rsidRPr="00AE47C6">
        <w:rPr>
          <w:rFonts w:ascii="Times New Roman" w:eastAsia="SimSun" w:hAnsi="Times New Roman"/>
          <w:sz w:val="24"/>
          <w:szCs w:val="24"/>
        </w:rPr>
        <w:t xml:space="preserve"> е налице при 70% от пациентите, но не винаги се манифестира клинично още в началото на заболяването. Той се появява най-често в ръката при покой и изчезва при нейното движение. При заемане на нова поза на крайника отново се появява (отново появяващ се тремор) след латентен период от няколко секунди. Необходимо е да се отдиференцира треморът в покой (статичен) от постуралния тремор при протегнати пред тялото ръце, от кинетичният тремор, който се появява в началото на движението при изпълнение на носопоказалечната проба и от интенционният тремор, който се проявява с наближаване на целта. В напредналите стадии на заболяването към статичният тремор може да се добави и постурален, но винаги амплитудата на статичният е по-висока. Изключително рядко заболяването може да започне с постурален тремор. Използват се тестове за провокиране на тремора:</w:t>
      </w:r>
    </w:p>
    <w:p w14:paraId="0C448CF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При </w:t>
      </w:r>
      <w:r w:rsidRPr="00AE47C6">
        <w:rPr>
          <w:rFonts w:ascii="Times New Roman" w:eastAsia="SimSun" w:hAnsi="Times New Roman"/>
          <w:i/>
          <w:sz w:val="24"/>
          <w:szCs w:val="24"/>
        </w:rPr>
        <w:t>ходене</w:t>
      </w:r>
      <w:r w:rsidRPr="00AE47C6">
        <w:rPr>
          <w:rFonts w:ascii="Times New Roman" w:eastAsia="SimSun" w:hAnsi="Times New Roman"/>
          <w:sz w:val="24"/>
          <w:szCs w:val="24"/>
        </w:rPr>
        <w:t xml:space="preserve"> треморът на ръката се засилва. </w:t>
      </w:r>
    </w:p>
    <w:p w14:paraId="3CDFA40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2. При </w:t>
      </w:r>
      <w:r w:rsidRPr="00AE47C6">
        <w:rPr>
          <w:rFonts w:ascii="Times New Roman" w:eastAsia="SimSun" w:hAnsi="Times New Roman"/>
          <w:i/>
          <w:sz w:val="24"/>
          <w:szCs w:val="24"/>
        </w:rPr>
        <w:t>отвличане на вниманието</w:t>
      </w:r>
      <w:r w:rsidRPr="00AE47C6">
        <w:rPr>
          <w:rFonts w:ascii="Times New Roman" w:eastAsia="SimSun" w:hAnsi="Times New Roman"/>
          <w:sz w:val="24"/>
          <w:szCs w:val="24"/>
        </w:rPr>
        <w:t xml:space="preserve"> на пациента, когато той брои бавно в обратен ред от 20 към 1 треморът се засилва.  </w:t>
      </w:r>
    </w:p>
    <w:p w14:paraId="6AA4C6B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3. При </w:t>
      </w:r>
      <w:r w:rsidRPr="00AE47C6">
        <w:rPr>
          <w:rFonts w:ascii="Times New Roman" w:eastAsia="SimSun" w:hAnsi="Times New Roman"/>
          <w:i/>
          <w:sz w:val="24"/>
          <w:szCs w:val="24"/>
        </w:rPr>
        <w:t>стискане в юмрук</w:t>
      </w:r>
      <w:r w:rsidRPr="00AE47C6">
        <w:rPr>
          <w:rFonts w:ascii="Times New Roman" w:eastAsia="SimSun" w:hAnsi="Times New Roman"/>
          <w:sz w:val="24"/>
          <w:szCs w:val="24"/>
        </w:rPr>
        <w:t xml:space="preserve"> на здравата ръка статичният тремор се засилва.</w:t>
      </w:r>
    </w:p>
    <w:p w14:paraId="4E68EF7D" w14:textId="77777777" w:rsidR="00BE0B19" w:rsidRPr="00AE47C6" w:rsidRDefault="00BE0B19" w:rsidP="00BE0B19">
      <w:pPr>
        <w:spacing w:after="0" w:line="360" w:lineRule="auto"/>
        <w:ind w:firstLine="283"/>
        <w:jc w:val="both"/>
        <w:rPr>
          <w:rFonts w:ascii="Times New Roman" w:eastAsia="SimSun" w:hAnsi="Times New Roman"/>
          <w:sz w:val="24"/>
          <w:szCs w:val="24"/>
        </w:rPr>
      </w:pPr>
      <w:r w:rsidRPr="00AE47C6">
        <w:rPr>
          <w:rFonts w:ascii="Times New Roman" w:eastAsia="SimSun" w:hAnsi="Times New Roman"/>
          <w:b/>
          <w:sz w:val="24"/>
          <w:szCs w:val="24"/>
        </w:rPr>
        <w:t>Постуралните нарушения</w:t>
      </w:r>
      <w:r w:rsidRPr="00AE47C6">
        <w:rPr>
          <w:rFonts w:ascii="Times New Roman" w:eastAsia="SimSun" w:hAnsi="Times New Roman"/>
          <w:sz w:val="24"/>
          <w:szCs w:val="24"/>
        </w:rPr>
        <w:t xml:space="preserve"> рядко са начален симптом, а обикновено се появяват в по-напредналите стадии на заболяването. Те се диагностицират чрез наблюдение на походката. Прилагат се следните методи:</w:t>
      </w:r>
    </w:p>
    <w:p w14:paraId="2AB87C6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Пациентът, който ходи, се инструктира внезапно да се обърне и да тръгне в обратна посока, при което той губи равновесие. </w:t>
      </w:r>
    </w:p>
    <w:p w14:paraId="02896E2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Лекарят застава зад болния, който стои с прибрани крака, и поставя ръцете си на неговите рамене. Лекарят внезапно се опитва да изведе пациента (като внимава да не падне) от равновесие, чрез бутане напред, назад или встрани. Здравият човек запазва равновесие, докато при постурални нарушения пациентът залита с дребни крачки (повече от две) на съответната страна и губи равновесие.</w:t>
      </w:r>
    </w:p>
    <w:p w14:paraId="6D52EBB6" w14:textId="77777777" w:rsidR="00BE0B19" w:rsidRPr="00AE47C6" w:rsidRDefault="00BE0B19" w:rsidP="00BE0B19">
      <w:pPr>
        <w:spacing w:after="0" w:line="360" w:lineRule="auto"/>
        <w:ind w:firstLine="283"/>
        <w:jc w:val="both"/>
        <w:rPr>
          <w:rFonts w:ascii="Times New Roman" w:eastAsia="SimSun" w:hAnsi="Times New Roman"/>
          <w:sz w:val="24"/>
          <w:szCs w:val="24"/>
        </w:rPr>
      </w:pPr>
      <w:r w:rsidRPr="00AE47C6">
        <w:rPr>
          <w:rFonts w:ascii="Times New Roman" w:eastAsia="SimSun" w:hAnsi="Times New Roman"/>
          <w:b/>
          <w:sz w:val="24"/>
          <w:szCs w:val="24"/>
        </w:rPr>
        <w:t>Симптомите от страна на автономната нервна система</w:t>
      </w:r>
      <w:r w:rsidRPr="00AE47C6">
        <w:rPr>
          <w:rFonts w:ascii="Times New Roman" w:eastAsia="SimSun" w:hAnsi="Times New Roman"/>
          <w:sz w:val="24"/>
          <w:szCs w:val="24"/>
        </w:rPr>
        <w:t xml:space="preserve"> включват повишено изпотяване, пристъпи от изпотяване, повишена мастна секреция с омазняване на косата, себорея, повишено слюноотделяне, запек, смущения в уринирането (необходимост да уринират бързо поради повишена активност на детрузора), импотентност, нарушена регулация на кръвното налягане с тенденция към артериална и ортостатична хипотония. Последната може да се диагностицира с теста на Schellong. Тези симптоми много рядко се появяват в началото на заболяването и затова нямат съществена диагностична стойност. </w:t>
      </w:r>
    </w:p>
    <w:p w14:paraId="21298B66" w14:textId="77777777" w:rsidR="00BE0B19" w:rsidRPr="00AE47C6" w:rsidRDefault="00BE0B19" w:rsidP="00BE0B19">
      <w:pPr>
        <w:spacing w:after="0" w:line="360" w:lineRule="auto"/>
        <w:ind w:firstLine="283"/>
        <w:jc w:val="both"/>
        <w:rPr>
          <w:rFonts w:ascii="Times New Roman" w:eastAsia="SimSun" w:hAnsi="Times New Roman"/>
          <w:sz w:val="24"/>
          <w:szCs w:val="24"/>
        </w:rPr>
      </w:pPr>
      <w:r w:rsidRPr="00AE47C6">
        <w:rPr>
          <w:rFonts w:ascii="Times New Roman" w:eastAsia="SimSun" w:hAnsi="Times New Roman"/>
          <w:b/>
          <w:sz w:val="24"/>
          <w:szCs w:val="24"/>
        </w:rPr>
        <w:t>Психологичните симптоми</w:t>
      </w:r>
      <w:r w:rsidRPr="00AE47C6">
        <w:rPr>
          <w:rFonts w:ascii="Times New Roman" w:eastAsia="SimSun" w:hAnsi="Times New Roman"/>
          <w:sz w:val="24"/>
          <w:szCs w:val="24"/>
        </w:rPr>
        <w:t xml:space="preserve"> включват депресия, тревожност, брадифрения и леки паметови нарушения. При 50-80% от болните е налице депресия, поради допаминовия и норадренергичен дефицит. Депресията влошава сериозно качеството на живот на болните и трябва да бъде диагностицирана и лекувана. </w:t>
      </w:r>
    </w:p>
    <w:p w14:paraId="51D59036" w14:textId="77777777" w:rsidR="00BE0B19" w:rsidRPr="00AE47C6" w:rsidRDefault="00BE0B19" w:rsidP="00BE0B19">
      <w:pPr>
        <w:numPr>
          <w:ilvl w:val="0"/>
          <w:numId w:val="46"/>
        </w:numPr>
        <w:pBdr>
          <w:top w:val="single" w:sz="4" w:space="1" w:color="auto"/>
          <w:left w:val="single" w:sz="4" w:space="4" w:color="auto"/>
          <w:bottom w:val="single" w:sz="4" w:space="1" w:color="auto"/>
          <w:right w:val="single" w:sz="4" w:space="4" w:color="auto"/>
        </w:pBdr>
        <w:suppressAutoHyphen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За диагностициране на </w:t>
      </w:r>
      <w:r w:rsidRPr="00AE47C6">
        <w:rPr>
          <w:rFonts w:ascii="Times New Roman" w:eastAsia="SimSun" w:hAnsi="Times New Roman"/>
          <w:b/>
          <w:sz w:val="24"/>
          <w:szCs w:val="24"/>
        </w:rPr>
        <w:t xml:space="preserve">Паркинсоновата болест </w:t>
      </w:r>
      <w:r w:rsidRPr="00AE47C6">
        <w:rPr>
          <w:rFonts w:ascii="Times New Roman" w:eastAsia="SimSun" w:hAnsi="Times New Roman"/>
          <w:sz w:val="24"/>
          <w:szCs w:val="24"/>
        </w:rPr>
        <w:t xml:space="preserve">се използват описаните методи, и се установи наличието на </w:t>
      </w:r>
      <w:r w:rsidRPr="00AE47C6">
        <w:rPr>
          <w:rFonts w:ascii="Times New Roman" w:eastAsia="SimSun" w:hAnsi="Times New Roman"/>
          <w:b/>
          <w:sz w:val="24"/>
          <w:szCs w:val="24"/>
        </w:rPr>
        <w:t>един или повече от симптомите</w:t>
      </w:r>
      <w:r w:rsidRPr="00AE47C6">
        <w:rPr>
          <w:rFonts w:ascii="Times New Roman" w:eastAsia="SimSun" w:hAnsi="Times New Roman"/>
          <w:sz w:val="24"/>
          <w:szCs w:val="24"/>
        </w:rPr>
        <w:t xml:space="preserve">: </w:t>
      </w:r>
    </w:p>
    <w:p w14:paraId="090A3E63" w14:textId="77777777" w:rsidR="00BE0B19" w:rsidRPr="00AE47C6" w:rsidRDefault="00BE0B19" w:rsidP="00BE0B19">
      <w:pPr>
        <w:numPr>
          <w:ilvl w:val="0"/>
          <w:numId w:val="46"/>
        </w:numPr>
        <w:pBdr>
          <w:top w:val="single" w:sz="4" w:space="1" w:color="auto"/>
          <w:left w:val="single" w:sz="4" w:space="4" w:color="auto"/>
          <w:bottom w:val="single" w:sz="4" w:space="1" w:color="auto"/>
          <w:right w:val="single" w:sz="4" w:space="4" w:color="auto"/>
        </w:pBdr>
        <w:suppressAutoHyphen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Тремор в покой</w:t>
      </w:r>
    </w:p>
    <w:p w14:paraId="69081C7A" w14:textId="77777777" w:rsidR="00BE0B19" w:rsidRPr="00AE47C6" w:rsidRDefault="00BE0B19" w:rsidP="00BE0B19">
      <w:pPr>
        <w:numPr>
          <w:ilvl w:val="0"/>
          <w:numId w:val="283"/>
        </w:numPr>
        <w:pBdr>
          <w:top w:val="single" w:sz="4" w:space="1" w:color="auto"/>
          <w:left w:val="single" w:sz="4" w:space="4" w:color="auto"/>
          <w:bottom w:val="single" w:sz="4" w:space="1" w:color="auto"/>
          <w:right w:val="single" w:sz="4" w:space="4" w:color="auto"/>
        </w:pBdr>
        <w:suppressAutoHyphen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Брадикинезия</w:t>
      </w:r>
    </w:p>
    <w:p w14:paraId="77395D38" w14:textId="77777777" w:rsidR="00BE0B19" w:rsidRPr="00AE47C6" w:rsidRDefault="00BE0B19" w:rsidP="00BE0B19">
      <w:pPr>
        <w:numPr>
          <w:ilvl w:val="0"/>
          <w:numId w:val="45"/>
        </w:numPr>
        <w:pBdr>
          <w:top w:val="single" w:sz="4" w:space="1" w:color="auto"/>
          <w:left w:val="single" w:sz="4" w:space="4" w:color="auto"/>
          <w:bottom w:val="single" w:sz="4" w:space="1" w:color="auto"/>
          <w:right w:val="single" w:sz="4" w:space="4" w:color="auto"/>
        </w:pBdr>
        <w:tabs>
          <w:tab w:val="clear" w:pos="1365"/>
          <w:tab w:val="num" w:pos="360"/>
        </w:tabs>
        <w:suppressAutoHyphens/>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Ригидно повишен мускулен тонус</w:t>
      </w:r>
    </w:p>
    <w:p w14:paraId="6EBA1292" w14:textId="77777777" w:rsidR="00BE0B19" w:rsidRPr="00AE47C6" w:rsidRDefault="00BE0B19" w:rsidP="00BE0B19">
      <w:pPr>
        <w:numPr>
          <w:ilvl w:val="0"/>
          <w:numId w:val="134"/>
        </w:numPr>
        <w:pBdr>
          <w:top w:val="single" w:sz="4" w:space="1" w:color="auto"/>
          <w:left w:val="single" w:sz="4" w:space="4" w:color="auto"/>
          <w:bottom w:val="single" w:sz="4" w:space="1" w:color="auto"/>
          <w:right w:val="single" w:sz="4" w:space="4" w:color="auto"/>
        </w:pBdr>
        <w:tabs>
          <w:tab w:val="clear" w:pos="1211"/>
          <w:tab w:val="num" w:pos="360"/>
        </w:tabs>
        <w:suppressAutoHyphens/>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 xml:space="preserve">Постурални нарушения </w:t>
      </w:r>
    </w:p>
    <w:p w14:paraId="73675429" w14:textId="77777777" w:rsidR="00BE0B19" w:rsidRPr="00AE47C6" w:rsidRDefault="00BE0B19" w:rsidP="00BE0B19">
      <w:pPr>
        <w:suppressAutoHyphens/>
        <w:spacing w:after="0" w:line="360" w:lineRule="auto"/>
        <w:jc w:val="both"/>
        <w:rPr>
          <w:rFonts w:ascii="Times New Roman" w:eastAsia="SimSun" w:hAnsi="Times New Roman"/>
          <w:sz w:val="24"/>
          <w:szCs w:val="24"/>
        </w:rPr>
      </w:pPr>
    </w:p>
    <w:p w14:paraId="5E14A31A" w14:textId="77777777" w:rsidR="00BE0B19" w:rsidRPr="00AE47C6" w:rsidRDefault="00BE0B19" w:rsidP="00BE0B19">
      <w:pPr>
        <w:suppressAutoHyphens/>
        <w:spacing w:after="0" w:line="360" w:lineRule="auto"/>
        <w:jc w:val="both"/>
        <w:rPr>
          <w:rFonts w:ascii="Times New Roman" w:eastAsia="SimSun" w:hAnsi="Times New Roman"/>
          <w:b/>
          <w:sz w:val="24"/>
          <w:szCs w:val="24"/>
        </w:rPr>
      </w:pPr>
      <w:r w:rsidRPr="00AE47C6">
        <w:rPr>
          <w:rFonts w:ascii="Times New Roman" w:eastAsia="SimSun" w:hAnsi="Times New Roman"/>
          <w:sz w:val="24"/>
          <w:szCs w:val="24"/>
        </w:rPr>
        <w:t xml:space="preserve">Диагнозата се поставя при използване на </w:t>
      </w:r>
      <w:r w:rsidRPr="00AE47C6">
        <w:rPr>
          <w:rFonts w:ascii="Times New Roman" w:eastAsia="SimSun" w:hAnsi="Times New Roman"/>
          <w:b/>
          <w:sz w:val="24"/>
          <w:szCs w:val="24"/>
        </w:rPr>
        <w:t>диагностичните критерии и задължително се използват диагностични методи No 1, а при наличие на показания и диагностични методи No 2 до No 6</w:t>
      </w:r>
    </w:p>
    <w:p w14:paraId="58C2002C" w14:textId="77777777" w:rsidR="00BE0B19" w:rsidRPr="00AE47C6" w:rsidRDefault="00BE0B19" w:rsidP="00BE0B19">
      <w:pPr>
        <w:suppressAutoHyphens/>
        <w:spacing w:after="0" w:line="360" w:lineRule="auto"/>
        <w:jc w:val="both"/>
        <w:rPr>
          <w:rFonts w:ascii="Times New Roman" w:eastAsia="SimSun" w:hAnsi="Times New Roman"/>
          <w:b/>
          <w:sz w:val="24"/>
          <w:szCs w:val="24"/>
          <w:u w:val="single"/>
        </w:rPr>
      </w:pPr>
      <w:r w:rsidRPr="00AE47C6">
        <w:rPr>
          <w:rFonts w:ascii="Times New Roman" w:eastAsia="SimSun" w:hAnsi="Times New Roman"/>
          <w:b/>
          <w:sz w:val="24"/>
          <w:szCs w:val="24"/>
          <w:u w:val="single"/>
        </w:rPr>
        <w:t>Диагностични методи</w:t>
      </w:r>
    </w:p>
    <w:p w14:paraId="258D8F1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1. Прилагането на </w:t>
      </w:r>
      <w:r w:rsidRPr="00AE47C6">
        <w:rPr>
          <w:rFonts w:ascii="Times New Roman" w:eastAsia="SimSun" w:hAnsi="Times New Roman"/>
          <w:b/>
          <w:sz w:val="24"/>
          <w:szCs w:val="24"/>
        </w:rPr>
        <w:t>фармакологични диагностични проби</w:t>
      </w:r>
      <w:r w:rsidRPr="00AE47C6">
        <w:rPr>
          <w:rFonts w:ascii="Times New Roman" w:eastAsia="SimSun" w:hAnsi="Times New Roman"/>
          <w:sz w:val="24"/>
          <w:szCs w:val="24"/>
        </w:rPr>
        <w:t xml:space="preserve"> довежда до подобряване на симптомите, ако те се дължат на Паркинсонова болест.</w:t>
      </w:r>
    </w:p>
    <w:p w14:paraId="42B86AC2" w14:textId="77777777" w:rsidR="00BE0B19" w:rsidRPr="00AE47C6" w:rsidRDefault="00BE0B19" w:rsidP="00BE0B19">
      <w:pPr>
        <w:numPr>
          <w:ilvl w:val="0"/>
          <w:numId w:val="280"/>
        </w:numPr>
        <w:tabs>
          <w:tab w:val="num" w:pos="0"/>
          <w:tab w:val="left" w:pos="1080"/>
        </w:tabs>
        <w:suppressAutoHyphens/>
        <w:spacing w:after="0" w:line="360" w:lineRule="auto"/>
        <w:ind w:left="720" w:firstLine="0"/>
        <w:jc w:val="both"/>
        <w:rPr>
          <w:rFonts w:ascii="Times New Roman" w:eastAsia="SimSun" w:hAnsi="Times New Roman"/>
          <w:sz w:val="24"/>
          <w:szCs w:val="24"/>
        </w:rPr>
      </w:pPr>
      <w:r w:rsidRPr="00AE47C6">
        <w:rPr>
          <w:rFonts w:ascii="Times New Roman" w:eastAsia="SimSun" w:hAnsi="Times New Roman"/>
          <w:b/>
          <w:sz w:val="24"/>
          <w:szCs w:val="24"/>
        </w:rPr>
        <w:t xml:space="preserve">Тестът с дисперсната форма на леводопа се провежда </w:t>
      </w:r>
      <w:r w:rsidRPr="00AE47C6">
        <w:rPr>
          <w:rFonts w:ascii="Times New Roman" w:eastAsia="SimSun" w:hAnsi="Times New Roman"/>
          <w:sz w:val="24"/>
          <w:szCs w:val="24"/>
        </w:rPr>
        <w:t>с1 таблетка 125 mg от дисперсната форма на леводопа с benserazide, разтворена в около 100 ml вода. Дава бърз (след 15 минути) и отчетлив ефект, поради бързата резорбция на медикамента. Поради тези причини се предпочита пред теста със стандартната форма.</w:t>
      </w:r>
    </w:p>
    <w:p w14:paraId="37E46DCB" w14:textId="77777777" w:rsidR="00BE0B19" w:rsidRPr="00AE47C6" w:rsidRDefault="00BE0B19" w:rsidP="00BE0B19">
      <w:pPr>
        <w:numPr>
          <w:ilvl w:val="0"/>
          <w:numId w:val="280"/>
        </w:numPr>
        <w:tabs>
          <w:tab w:val="num" w:pos="0"/>
          <w:tab w:val="left" w:pos="1080"/>
        </w:tabs>
        <w:suppressAutoHyphens/>
        <w:spacing w:after="0" w:line="360" w:lineRule="auto"/>
        <w:ind w:left="720" w:firstLine="0"/>
        <w:jc w:val="both"/>
        <w:rPr>
          <w:rFonts w:ascii="Times New Roman" w:eastAsia="SimSun" w:hAnsi="Times New Roman"/>
          <w:sz w:val="24"/>
          <w:szCs w:val="24"/>
        </w:rPr>
      </w:pPr>
      <w:r w:rsidRPr="00AE47C6">
        <w:rPr>
          <w:rFonts w:ascii="Times New Roman" w:eastAsia="SimSun" w:hAnsi="Times New Roman"/>
          <w:b/>
          <w:sz w:val="24"/>
          <w:szCs w:val="24"/>
        </w:rPr>
        <w:t>Тест със стандартна форма на леводопа</w:t>
      </w:r>
      <w:r w:rsidRPr="00AE47C6">
        <w:rPr>
          <w:rFonts w:ascii="Times New Roman" w:eastAsia="SimSun" w:hAnsi="Times New Roman"/>
          <w:sz w:val="24"/>
          <w:szCs w:val="24"/>
        </w:rPr>
        <w:t xml:space="preserve"> се провежда с 1 таблетка от 250 mg леводопа. Поради бавната резорбция и бавното достигане на терапевтичната серумна концентрация на медикамента, ефектът настъпва след около 1 час и не е отчетлив. Това е сериозен недостатък на този тест. </w:t>
      </w:r>
    </w:p>
    <w:p w14:paraId="5154CC01" w14:textId="77777777" w:rsidR="00BE0B19" w:rsidRPr="00AE47C6" w:rsidRDefault="00BE0B19" w:rsidP="00BE0B19">
      <w:pPr>
        <w:numPr>
          <w:ilvl w:val="0"/>
          <w:numId w:val="284"/>
        </w:numPr>
        <w:tabs>
          <w:tab w:val="num" w:pos="0"/>
          <w:tab w:val="left" w:pos="1080"/>
        </w:tabs>
        <w:suppressAutoHyphens/>
        <w:spacing w:after="0" w:line="360" w:lineRule="auto"/>
        <w:ind w:left="720" w:firstLine="0"/>
        <w:jc w:val="both"/>
        <w:rPr>
          <w:rFonts w:ascii="Times New Roman" w:eastAsia="SimSun" w:hAnsi="Times New Roman"/>
          <w:sz w:val="24"/>
          <w:szCs w:val="24"/>
        </w:rPr>
      </w:pPr>
      <w:r w:rsidRPr="00AE47C6">
        <w:rPr>
          <w:rFonts w:ascii="Times New Roman" w:eastAsia="SimSun" w:hAnsi="Times New Roman"/>
          <w:b/>
          <w:sz w:val="24"/>
          <w:szCs w:val="24"/>
        </w:rPr>
        <w:t>Тестът с допаминовия агонист apomorphine</w:t>
      </w:r>
      <w:r w:rsidRPr="00AE47C6">
        <w:rPr>
          <w:rFonts w:ascii="Times New Roman" w:eastAsia="SimSun" w:hAnsi="Times New Roman"/>
          <w:sz w:val="24"/>
          <w:szCs w:val="24"/>
        </w:rPr>
        <w:t xml:space="preserve"> 3 mg приложен подкожно дава бърз и отчетлив ефект, но е свързан със странични ефекти като повръщане, поради което не се препоръчва.</w:t>
      </w:r>
    </w:p>
    <w:p w14:paraId="3D23123D" w14:textId="77777777" w:rsidR="00BE0B19" w:rsidRPr="00AE47C6" w:rsidRDefault="00BE0B19" w:rsidP="00BE0B19">
      <w:pPr>
        <w:numPr>
          <w:ilvl w:val="0"/>
          <w:numId w:val="282"/>
        </w:numPr>
        <w:tabs>
          <w:tab w:val="clear" w:pos="1429"/>
          <w:tab w:val="num" w:pos="0"/>
          <w:tab w:val="left" w:pos="1080"/>
        </w:tabs>
        <w:suppressAutoHyphens/>
        <w:spacing w:after="0" w:line="360" w:lineRule="auto"/>
        <w:ind w:left="720" w:firstLine="0"/>
        <w:jc w:val="both"/>
        <w:rPr>
          <w:rFonts w:ascii="Times New Roman" w:eastAsia="SimSun" w:hAnsi="Times New Roman"/>
          <w:sz w:val="24"/>
          <w:szCs w:val="24"/>
        </w:rPr>
      </w:pPr>
      <w:r w:rsidRPr="00AE47C6">
        <w:rPr>
          <w:rFonts w:ascii="Times New Roman" w:eastAsia="SimSun" w:hAnsi="Times New Roman"/>
          <w:b/>
          <w:sz w:val="24"/>
          <w:szCs w:val="24"/>
        </w:rPr>
        <w:t>Тестът с amantadine sulfat</w:t>
      </w:r>
      <w:r w:rsidRPr="00AE47C6">
        <w:rPr>
          <w:rFonts w:ascii="Times New Roman" w:eastAsia="SimSun" w:hAnsi="Times New Roman"/>
          <w:sz w:val="24"/>
          <w:szCs w:val="24"/>
        </w:rPr>
        <w:t xml:space="preserve"> половин инфузия 200 mg/500 ml приложена интравенозно за 1 час дава отчетлив ефект. Проблемът е, че теста отнема време и е необходимо помещение за прилагане на инфузията. </w:t>
      </w:r>
    </w:p>
    <w:p w14:paraId="057F79C4" w14:textId="77777777" w:rsidR="00BE0B19" w:rsidRPr="00AE47C6" w:rsidRDefault="00BE0B19" w:rsidP="00BE0B19">
      <w:pPr>
        <w:numPr>
          <w:ilvl w:val="0"/>
          <w:numId w:val="282"/>
        </w:numPr>
        <w:tabs>
          <w:tab w:val="clear" w:pos="1429"/>
          <w:tab w:val="num" w:pos="0"/>
          <w:tab w:val="left" w:pos="1080"/>
        </w:tabs>
        <w:suppressAutoHyphens/>
        <w:spacing w:after="0" w:line="360" w:lineRule="auto"/>
        <w:ind w:left="720" w:firstLine="0"/>
        <w:jc w:val="both"/>
        <w:rPr>
          <w:rFonts w:ascii="Times New Roman" w:eastAsia="SimSun" w:hAnsi="Times New Roman"/>
          <w:sz w:val="24"/>
          <w:szCs w:val="24"/>
        </w:rPr>
      </w:pPr>
      <w:r w:rsidRPr="00AE47C6">
        <w:rPr>
          <w:rFonts w:ascii="Times New Roman" w:eastAsia="SimSun" w:hAnsi="Times New Roman"/>
          <w:b/>
          <w:sz w:val="24"/>
          <w:szCs w:val="24"/>
        </w:rPr>
        <w:t>Липсата на ефект</w:t>
      </w:r>
      <w:r w:rsidRPr="00AE47C6">
        <w:rPr>
          <w:rFonts w:ascii="Times New Roman" w:eastAsia="SimSun" w:hAnsi="Times New Roman"/>
          <w:sz w:val="24"/>
          <w:szCs w:val="24"/>
        </w:rPr>
        <w:t xml:space="preserve"> от фармакологичните диагностични проби не отхвърля напълно диагнозата. В тези случаи се прилага поне двуседмично лечение с високи дози леводопа (1000 – 1500 mg дневно) и се преценява клинично неговата ефективност. </w:t>
      </w:r>
    </w:p>
    <w:p w14:paraId="066F123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2. Електромиографското изследване</w:t>
      </w:r>
      <w:r w:rsidRPr="00AE47C6">
        <w:rPr>
          <w:rFonts w:ascii="Times New Roman" w:eastAsia="SimSun" w:hAnsi="Times New Roman"/>
          <w:sz w:val="24"/>
          <w:szCs w:val="24"/>
        </w:rPr>
        <w:t xml:space="preserve"> (ЕМГ) може да се използва за ранна диагностика на Паркинсоновият тремор и отдиференциране от есенциалния и други видове тремор. Треморът има типична ЕМГ характеристика с честота 5-7 Hz и алтернираща активност в мускулите антагонисти. Пациента може да бъде насочен за това изследване от невролог, ако неврологичното изследване и прилагането на фармакологичните проби не са достатъчни за поставяне на диагнозата.</w:t>
      </w:r>
    </w:p>
    <w:p w14:paraId="6E1BBDA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3. Функционалните невроизобразяващи методи</w:t>
      </w:r>
      <w:r w:rsidRPr="00AE47C6">
        <w:rPr>
          <w:rFonts w:ascii="Times New Roman" w:eastAsia="SimSun" w:hAnsi="Times New Roman"/>
          <w:sz w:val="24"/>
          <w:szCs w:val="24"/>
        </w:rPr>
        <w:t xml:space="preserve"> дават информация за функцията на допаминергичните терминали, серотониновите клетки, норадренергичната и холинергична функция. Те включват позитронната емисионна томография (PET) и еднофотонната емисионна компютърна томография (SPECT). </w:t>
      </w:r>
    </w:p>
    <w:p w14:paraId="39475D1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SPECT</w:t>
      </w:r>
      <w:r w:rsidRPr="00AE47C6">
        <w:rPr>
          <w:rFonts w:ascii="Times New Roman" w:eastAsia="SimSun" w:hAnsi="Times New Roman"/>
          <w:sz w:val="24"/>
          <w:szCs w:val="24"/>
        </w:rPr>
        <w:t xml:space="preserve"> има по-малка пространствена резолюция в сравнение с РЕТ, но позволява по-точна оценка на невродегенеративния процес и се осъществява чрез стандартна гама камера с високо резолюционен колиматор. Радиолигандът [</w:t>
      </w:r>
      <w:r w:rsidRPr="00AE47C6">
        <w:rPr>
          <w:rFonts w:ascii="Times New Roman" w:eastAsia="SimSun" w:hAnsi="Times New Roman"/>
          <w:sz w:val="24"/>
          <w:szCs w:val="24"/>
          <w:vertAlign w:val="superscript"/>
        </w:rPr>
        <w:t>123</w:t>
      </w:r>
      <w:r w:rsidRPr="00AE47C6">
        <w:rPr>
          <w:rFonts w:ascii="Times New Roman" w:eastAsia="SimSun" w:hAnsi="Times New Roman"/>
          <w:sz w:val="24"/>
          <w:szCs w:val="24"/>
        </w:rPr>
        <w:t>I]-FP-CIT (Datscan) съдържа кокаиновият аналог ioflupane (</w:t>
      </w:r>
      <w:r w:rsidRPr="00AE47C6">
        <w:rPr>
          <w:rFonts w:ascii="Times New Roman" w:eastAsia="SimSun" w:hAnsi="Times New Roman"/>
          <w:sz w:val="24"/>
          <w:szCs w:val="24"/>
          <w:vertAlign w:val="superscript"/>
        </w:rPr>
        <w:t>123</w:t>
      </w:r>
      <w:r w:rsidRPr="00AE47C6">
        <w:rPr>
          <w:rFonts w:ascii="Times New Roman" w:eastAsia="SimSun" w:hAnsi="Times New Roman"/>
          <w:sz w:val="24"/>
          <w:szCs w:val="24"/>
        </w:rPr>
        <w:t xml:space="preserve">I), който се свързва селективно със стриарния допаминов транспортен протеин (DAT), в пресинаптичните мембрани на нигростриарните допаминергични терминали. Концентрацията на DAT корелира със стриарния допамин, тоест с пресинаптичната допаминергична система и функциониращите нигростриарни допаминергични неврони. Методът се използва рутинно за ранна диагностика на Паркинсоновата болест и отдиференциране от есенциален тремор. Чрез този метод не могат да се отдиференцират Паркинсоновата болест от множествена системна атрофия, прогресивна супрануклеарна парализа и кортикобазална дегенерация. Установяването на нормален образ не отхвърля категорично наличието на паркинсонов синдром и в тези случаи е необходимо след известно време изследването да се повтори. </w:t>
      </w:r>
    </w:p>
    <w:p w14:paraId="01CA7EB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За изследването трябва да се насочват пациенти с неясен тремор, без придружаващи брадикинезия или ригидност, с оглед отдиференциране на паркинсонов синдром от есенциален тремор. </w:t>
      </w:r>
    </w:p>
    <w:p w14:paraId="506CF48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4.  Консултация с психиатър</w:t>
      </w:r>
      <w:r w:rsidRPr="00AE47C6">
        <w:rPr>
          <w:rFonts w:ascii="Times New Roman" w:eastAsia="SimSun" w:hAnsi="Times New Roman"/>
          <w:sz w:val="24"/>
          <w:szCs w:val="24"/>
        </w:rPr>
        <w:t xml:space="preserve"> трябва да се проведе, ако въпреки приложеното лечение с антидепресанти, депресията не се повлиява.</w:t>
      </w:r>
    </w:p>
    <w:p w14:paraId="7EED86A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5. Невропсихологичните тестове</w:t>
      </w:r>
      <w:r w:rsidRPr="00AE47C6">
        <w:rPr>
          <w:rFonts w:ascii="Times New Roman" w:eastAsia="SimSun" w:hAnsi="Times New Roman"/>
          <w:sz w:val="24"/>
          <w:szCs w:val="24"/>
        </w:rPr>
        <w:t xml:space="preserve"> се прилагат за скринингова оценка на когнитивните функции и оценка на депресията.</w:t>
      </w:r>
    </w:p>
    <w:p w14:paraId="7954B56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6. Невроизобразяващи методи</w:t>
      </w:r>
      <w:r w:rsidRPr="00AE47C6">
        <w:rPr>
          <w:rFonts w:ascii="Times New Roman" w:eastAsia="SimSun" w:hAnsi="Times New Roman"/>
          <w:sz w:val="24"/>
          <w:szCs w:val="24"/>
        </w:rPr>
        <w:t xml:space="preserve"> компютърна томография (КТ) и магнитно-резонансна томография (МРТ) не се прилагат за диагностика на Паркинсоновата болест. Прилагат се при съмнение за мозъчен тумор, инсулт или паркинсон-плюс синдроми. Насочването за тези изследвания може да става само от невролог при наличие на достатъчно клинични данни пораждащи съмнения за някое от горепосочените заболявания.</w:t>
      </w:r>
    </w:p>
    <w:p w14:paraId="41C0E5F2" w14:textId="77777777" w:rsidR="00BE0B19" w:rsidRPr="00AE47C6" w:rsidRDefault="00BE0B19" w:rsidP="00BE0B19">
      <w:pPr>
        <w:spacing w:after="0" w:line="360" w:lineRule="auto"/>
        <w:ind w:firstLine="720"/>
        <w:jc w:val="both"/>
        <w:rPr>
          <w:rFonts w:ascii="Times New Roman" w:eastAsia="SimSun" w:hAnsi="Times New Roman"/>
          <w:sz w:val="24"/>
          <w:szCs w:val="24"/>
          <w:lang w:eastAsia="ja-JP"/>
        </w:rPr>
      </w:pPr>
      <w:r w:rsidRPr="00AE47C6">
        <w:rPr>
          <w:rFonts w:ascii="Times New Roman" w:eastAsia="SimSun" w:hAnsi="Times New Roman"/>
          <w:b/>
          <w:sz w:val="24"/>
          <w:szCs w:val="24"/>
        </w:rPr>
        <w:t xml:space="preserve">7. Транскраниалната </w:t>
      </w:r>
      <w:r w:rsidRPr="00AE47C6">
        <w:rPr>
          <w:rFonts w:ascii="Times New Roman" w:eastAsia="SimSun" w:hAnsi="Times New Roman"/>
          <w:b/>
          <w:sz w:val="24"/>
          <w:szCs w:val="24"/>
          <w:lang w:eastAsia="ja-JP"/>
        </w:rPr>
        <w:t>невросонография</w:t>
      </w:r>
      <w:r w:rsidRPr="00AE47C6">
        <w:rPr>
          <w:rFonts w:ascii="Times New Roman" w:eastAsia="SimSun" w:hAnsi="Times New Roman"/>
          <w:sz w:val="24"/>
          <w:szCs w:val="24"/>
          <w:lang w:eastAsia="ja-JP"/>
        </w:rPr>
        <w:t xml:space="preserve"> се прилага за отдиференциране на съдово обусловени паркинсонови синдроми. </w:t>
      </w:r>
      <w:r w:rsidRPr="00AE47C6">
        <w:rPr>
          <w:rFonts w:ascii="Times New Roman" w:eastAsia="SimSun" w:hAnsi="Times New Roman"/>
          <w:sz w:val="24"/>
          <w:szCs w:val="24"/>
        </w:rPr>
        <w:t>Съдовата етиология на паркинсоновият синдром е възможна само в около 3% от пациентите.</w:t>
      </w:r>
    </w:p>
    <w:p w14:paraId="20425C8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8. Лабораторните методи</w:t>
      </w:r>
      <w:r w:rsidRPr="00AE47C6">
        <w:rPr>
          <w:rFonts w:ascii="Times New Roman" w:eastAsia="SimSun" w:hAnsi="Times New Roman"/>
          <w:sz w:val="24"/>
          <w:szCs w:val="24"/>
        </w:rPr>
        <w:t xml:space="preserve"> за изследване на серум и урина не намират приложение за диагностика на заболяването. При пациентите със съмнение за болест на Wilson неврологът трябва да изследва концентрацията на мед в серума и урината и церулоплазминът в серума. </w:t>
      </w:r>
    </w:p>
    <w:p w14:paraId="2CE4FBF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9. Офталмологичното изследване</w:t>
      </w:r>
      <w:r w:rsidRPr="00AE47C6">
        <w:rPr>
          <w:rFonts w:ascii="Times New Roman" w:eastAsia="SimSun" w:hAnsi="Times New Roman"/>
          <w:sz w:val="24"/>
          <w:szCs w:val="24"/>
        </w:rPr>
        <w:t xml:space="preserve"> няма диагностична стойност, освен при съмнение за тумор или болест на Wilson. В тези случаи неврологът провежда консултация с офталмолог за оглед на очни дъна или съответно за търсене на пръстена на Kayser – Fleischer.</w:t>
      </w:r>
    </w:p>
    <w:p w14:paraId="67A3FB4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10. Автономните тестове</w:t>
      </w:r>
      <w:r w:rsidRPr="00AE47C6">
        <w:rPr>
          <w:rFonts w:ascii="Times New Roman" w:eastAsia="SimSun" w:hAnsi="Times New Roman"/>
          <w:sz w:val="24"/>
          <w:szCs w:val="24"/>
        </w:rPr>
        <w:t xml:space="preserve"> нямат диагностична стойност при Паркинсоновата болест. Те се прилагат за отдиференциране на някои паркинсон-плюс синдроми, като множествена системна атрофия. </w:t>
      </w:r>
    </w:p>
    <w:p w14:paraId="18EC32A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11. Електроенцефалографията </w:t>
      </w:r>
      <w:r w:rsidRPr="00AE47C6">
        <w:rPr>
          <w:rFonts w:ascii="Times New Roman" w:eastAsia="SimSun" w:hAnsi="Times New Roman"/>
          <w:sz w:val="24"/>
          <w:szCs w:val="24"/>
        </w:rPr>
        <w:t>не е метод за диагностика на Паркинсоновата болест.</w:t>
      </w:r>
    </w:p>
    <w:p w14:paraId="38610D29" w14:textId="77777777" w:rsidR="00BE0B19" w:rsidRPr="00AE47C6" w:rsidRDefault="00BE0B19" w:rsidP="00BE0B19">
      <w:pPr>
        <w:keepNext/>
        <w:keepLines/>
        <w:widowControl w:val="0"/>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Диференциална диагноза</w:t>
      </w:r>
    </w:p>
    <w:p w14:paraId="7E42B07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1.  </w:t>
      </w:r>
      <w:r w:rsidRPr="00AE47C6">
        <w:rPr>
          <w:rFonts w:ascii="Times New Roman" w:eastAsia="SimSun" w:hAnsi="Times New Roman"/>
          <w:b/>
          <w:sz w:val="24"/>
          <w:szCs w:val="24"/>
        </w:rPr>
        <w:t>Ранните неспецифични</w:t>
      </w:r>
      <w:r w:rsidRPr="00AE47C6">
        <w:rPr>
          <w:rFonts w:ascii="Times New Roman" w:eastAsia="SimSun" w:hAnsi="Times New Roman"/>
          <w:sz w:val="24"/>
          <w:szCs w:val="24"/>
        </w:rPr>
        <w:t xml:space="preserve"> паркинсонови симптоми често се приемат погрешно за преумора, депресия, деменция, хемипареза, синдром рамо-ръка, коксартроза или болест на Бехтерев.</w:t>
      </w:r>
    </w:p>
    <w:p w14:paraId="5F78A58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2. </w:t>
      </w:r>
      <w:r w:rsidRPr="00AE47C6">
        <w:rPr>
          <w:rFonts w:ascii="Times New Roman" w:eastAsia="SimSun" w:hAnsi="Times New Roman"/>
          <w:b/>
          <w:bCs/>
          <w:sz w:val="24"/>
          <w:szCs w:val="24"/>
        </w:rPr>
        <w:t>Есенциалният тр</w:t>
      </w:r>
      <w:r w:rsidRPr="00AE47C6">
        <w:rPr>
          <w:rFonts w:ascii="Times New Roman" w:eastAsia="SimSun" w:hAnsi="Times New Roman"/>
          <w:b/>
          <w:sz w:val="24"/>
          <w:szCs w:val="24"/>
        </w:rPr>
        <w:t>емор</w:t>
      </w:r>
      <w:r w:rsidRPr="00AE47C6">
        <w:rPr>
          <w:rFonts w:ascii="Times New Roman" w:eastAsia="SimSun" w:hAnsi="Times New Roman"/>
          <w:sz w:val="24"/>
          <w:szCs w:val="24"/>
        </w:rPr>
        <w:t xml:space="preserve"> е най-сериозният диференциално диагностичен проблем. Той може да бъде наследствен (фамилен), да се появи без данни за наследственост (спорадичен) или да възникне след 60 годишна възраст (сенилен). При всички случаи се касае за един и същ тремор, който се появява за първи път в рода поради генна мутация или възниква в късна възраст поради различната генна експресивност. Най-важна за диагнозата е внимателната анамнеза с изясняване на наличието на данни за родственици с тремор, независимо от възрастта на възникването му. Вторият важен факт от анамнезата е дали треморът се потиска за кратко време от прием на малки количества (до 100 g) концентриран алкохол, което е типично за 50% от пациентите с есенциален тремор. От клиничното изследване се намира тремор, който преобладава при протегнати пред тялото ръце (постурален), може да продължи при движение на ръката към носа (носопоказалечна проба) и да се засили при достигане на ръката до носа (интенционен). Тремор на ръката в покой може да се получи в напреднали стадии на заболяването, когато останалите видове тремор, са силно изразени. При всички случаи треморът в покой е с по-ниска амплитуда от останалите видове тремор. </w:t>
      </w:r>
    </w:p>
    <w:p w14:paraId="32727C2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Наличието на "феномен на зъбчатото колело" при изследване на мускулния тонус не е патогномонично за паркинсонов тремор, а може да се намери и при пациентите с есенциален тремор, защото част от тях несъзнателно стягат  мускулите на крайника си, за да потиснат амплитудата на тремора. Феноменът на зъбчатото колело се дължи на комбинация от тремор и повишен тонус на мускулите. </w:t>
      </w:r>
    </w:p>
    <w:p w14:paraId="6D122E7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Когато клиничното изследване и анамнестичните данни не са достатъчни за поставяне на диагнозата, се прилагат фармакологичните тестове за диагностика на Паркинсоновата болест. При отрицателен резултат се прилага лечение с primidone 250 mg вечер, като след 1 седмица се отчита клинично ефектът. Ако с тези методи не може да се постави диагнозата, болният се насочва от невролога за ЕМГ изследване на тремора и SPECT. </w:t>
      </w:r>
    </w:p>
    <w:p w14:paraId="6D8DC24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3.  </w:t>
      </w:r>
      <w:r w:rsidRPr="00AE47C6">
        <w:rPr>
          <w:rFonts w:ascii="Times New Roman" w:eastAsia="SimSun" w:hAnsi="Times New Roman"/>
          <w:b/>
          <w:sz w:val="24"/>
          <w:szCs w:val="24"/>
        </w:rPr>
        <w:t>Усиленият физиологичен тремор</w:t>
      </w:r>
      <w:r w:rsidRPr="00AE47C6">
        <w:rPr>
          <w:rFonts w:ascii="Times New Roman" w:eastAsia="SimSun" w:hAnsi="Times New Roman"/>
          <w:sz w:val="24"/>
          <w:szCs w:val="24"/>
        </w:rPr>
        <w:t>, който се проявява при протегнати пред тялото ръце, се дължи на депресия, тревожност, абстинентен синдром, някои интоксикации или тиреотоксикоза. Треморът трябва да се отдиференцира клинично по високата си честота (10-12 Hz), ниската амплитуда, засягането на двете ръце и специфичната поза в която се появява (при протегнати пред тялото ръце). При несигурност в диагнозата неврологът насочва пациента за ЕМГ изследване на тремора.</w:t>
      </w:r>
    </w:p>
    <w:p w14:paraId="7263146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4.  </w:t>
      </w:r>
      <w:r w:rsidRPr="00AE47C6">
        <w:rPr>
          <w:rFonts w:ascii="Times New Roman" w:eastAsia="SimSun" w:hAnsi="Times New Roman"/>
          <w:b/>
          <w:sz w:val="24"/>
          <w:szCs w:val="24"/>
        </w:rPr>
        <w:t>Треморът при малкомозъчна или рубрална увреда</w:t>
      </w:r>
      <w:r w:rsidRPr="00AE47C6">
        <w:rPr>
          <w:rFonts w:ascii="Times New Roman" w:eastAsia="SimSun" w:hAnsi="Times New Roman"/>
          <w:sz w:val="24"/>
          <w:szCs w:val="24"/>
        </w:rPr>
        <w:t xml:space="preserve"> вследствие на травма, интоксикация или множествена склероза се характеризира с преобладаващ интенционен тремор, но също така тремор при движение на крайника, при изпъване на ръцете пред тялото и при покой, които са с по-ниска амплитуда. Налице са и други клинични данни за засягане на рубралните и малкомозъчните структури, изразени най-често с координационни нарушения или алтерниращи стволови синдроми. При несигурност в диагнозата неврологът насочва пациента за ЕМГ изследване.</w:t>
      </w:r>
    </w:p>
    <w:p w14:paraId="5E12A1F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5. </w:t>
      </w:r>
      <w:r w:rsidRPr="00AE47C6">
        <w:rPr>
          <w:rFonts w:ascii="Times New Roman" w:eastAsia="SimSun" w:hAnsi="Times New Roman"/>
          <w:b/>
          <w:sz w:val="24"/>
          <w:szCs w:val="24"/>
        </w:rPr>
        <w:t>Дистоничният тремор</w:t>
      </w:r>
      <w:r w:rsidRPr="00AE47C6">
        <w:rPr>
          <w:rFonts w:ascii="Times New Roman" w:eastAsia="SimSun" w:hAnsi="Times New Roman"/>
          <w:sz w:val="24"/>
          <w:szCs w:val="24"/>
        </w:rPr>
        <w:t xml:space="preserve"> може да протече клинично неразличимо от паркинсоновия. Засяга ръцете и има добавени симптоми на дистония, като лека дистония на ръката, тремор при екстензия на палеца, тремор зависим от позицията на крайника, тремор на главата, дистония на гласа и липса на брадикинезия. С прогресията на заболяването не възникват паркинсонови симптоми.</w:t>
      </w:r>
    </w:p>
    <w:p w14:paraId="0BDB4B0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6.   </w:t>
      </w:r>
      <w:r w:rsidRPr="00AE47C6">
        <w:rPr>
          <w:rFonts w:ascii="Times New Roman" w:eastAsia="SimSun" w:hAnsi="Times New Roman"/>
          <w:b/>
          <w:sz w:val="24"/>
          <w:szCs w:val="24"/>
        </w:rPr>
        <w:t>Психогенният тремор</w:t>
      </w:r>
      <w:r w:rsidRPr="00AE47C6">
        <w:rPr>
          <w:rFonts w:ascii="Times New Roman" w:eastAsia="SimSun" w:hAnsi="Times New Roman"/>
          <w:sz w:val="24"/>
          <w:szCs w:val="24"/>
        </w:rPr>
        <w:t xml:space="preserve"> се характеризира с неравномерна честота и амплитуда и проява при различни положения на крайниците. Клиничната диагноза е трудна. Необходимо е неврологът да насочи пациента за ЕМГ изследване и SPECT.</w:t>
      </w:r>
    </w:p>
    <w:p w14:paraId="76DA396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7.  </w:t>
      </w:r>
      <w:r w:rsidRPr="00AE47C6">
        <w:rPr>
          <w:rFonts w:ascii="Times New Roman" w:eastAsia="SimSun" w:hAnsi="Times New Roman"/>
          <w:b/>
          <w:sz w:val="24"/>
          <w:szCs w:val="24"/>
        </w:rPr>
        <w:t xml:space="preserve">Мозъчен тумор или мозъчен инфаркт </w:t>
      </w:r>
      <w:r w:rsidRPr="00AE47C6">
        <w:rPr>
          <w:rFonts w:ascii="Times New Roman" w:eastAsia="SimSun" w:hAnsi="Times New Roman"/>
          <w:sz w:val="24"/>
          <w:szCs w:val="24"/>
        </w:rPr>
        <w:t>могат много рядко да предизвикат паркинсонови симптоми. Тези заболявания трябва да се подозират когато освен паркинсоновите симптоми са налице и симптоми на едностранна увреда на пирамидната система. Едностранно оживените сухожилни рефлекси, без други белези на увреда на пирамидната система се дължат на ригидно повишеният мускулен тонус и не бива да се приемат за пирамидни симптоми. При ясни белези на увреда на пирамидната система неврологът трябва да насочи пациента за КТ на главен мозък, която ако е негативна може да се последва от МРТ.</w:t>
      </w:r>
    </w:p>
    <w:p w14:paraId="2CD86FB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8.  </w:t>
      </w:r>
      <w:r w:rsidRPr="00AE47C6">
        <w:rPr>
          <w:rFonts w:ascii="Times New Roman" w:eastAsia="SimSun" w:hAnsi="Times New Roman"/>
          <w:b/>
          <w:sz w:val="24"/>
          <w:szCs w:val="24"/>
        </w:rPr>
        <w:t xml:space="preserve">Паркинсонизъм-плюс синдромите </w:t>
      </w:r>
      <w:r w:rsidRPr="00AE47C6">
        <w:rPr>
          <w:rFonts w:ascii="Times New Roman" w:eastAsia="SimSun" w:hAnsi="Times New Roman"/>
          <w:sz w:val="24"/>
          <w:szCs w:val="24"/>
        </w:rPr>
        <w:t>трябва да се подозират при наличието на паркинсонови симптоми и белези на двустранна пирамидна увреда, координационни нарушения и недостатъчност при отвеждане на очните ябълки във вертикална посока. Характерна е бързата прогресия на заболяването и неповлияване на паркинсоновите симптоми от препарати на леводопа. Необходимо е провеждането на фармакологичният тест с леводопа. При диагностични трудности неврологът насочва пациента за МРТ на главен мозък.</w:t>
      </w:r>
    </w:p>
    <w:p w14:paraId="0643B1B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9. При </w:t>
      </w:r>
      <w:r w:rsidRPr="00AE47C6">
        <w:rPr>
          <w:rFonts w:ascii="Times New Roman" w:eastAsia="SimSun" w:hAnsi="Times New Roman"/>
          <w:b/>
          <w:sz w:val="24"/>
          <w:szCs w:val="24"/>
        </w:rPr>
        <w:t>възрастни хора</w:t>
      </w:r>
      <w:r w:rsidRPr="00AE47C6">
        <w:rPr>
          <w:rFonts w:ascii="Times New Roman" w:eastAsia="SimSun" w:hAnsi="Times New Roman"/>
          <w:sz w:val="24"/>
          <w:szCs w:val="24"/>
        </w:rPr>
        <w:t xml:space="preserve"> (над 65 г.) се развиват нарушения в походката (паркинсонизъм в долни крайници), които наподобяват брадикинезията и постуралните нарушения на Паркинсоновата болест, но са свързани с процесите на стареене. Те не се повлияват от леводопа, което трябва да се установи чрез фармакологичния тест.</w:t>
      </w:r>
    </w:p>
    <w:p w14:paraId="6E050C8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10.  </w:t>
      </w:r>
      <w:r w:rsidRPr="00AE47C6">
        <w:rPr>
          <w:rFonts w:ascii="Times New Roman" w:eastAsia="SimSun" w:hAnsi="Times New Roman"/>
          <w:b/>
          <w:sz w:val="24"/>
          <w:szCs w:val="24"/>
        </w:rPr>
        <w:t xml:space="preserve">Болестта на Wilson </w:t>
      </w:r>
      <w:r w:rsidRPr="00AE47C6">
        <w:rPr>
          <w:rFonts w:ascii="Times New Roman" w:eastAsia="SimSun" w:hAnsi="Times New Roman"/>
          <w:sz w:val="24"/>
          <w:szCs w:val="24"/>
        </w:rPr>
        <w:t xml:space="preserve">и </w:t>
      </w:r>
      <w:r w:rsidRPr="00AE47C6">
        <w:rPr>
          <w:rFonts w:ascii="Times New Roman" w:eastAsia="SimSun" w:hAnsi="Times New Roman"/>
          <w:b/>
          <w:sz w:val="24"/>
          <w:szCs w:val="24"/>
        </w:rPr>
        <w:t>хепато-церебралната дегенерация</w:t>
      </w:r>
      <w:r w:rsidRPr="00AE47C6">
        <w:rPr>
          <w:rFonts w:ascii="Times New Roman" w:eastAsia="SimSun" w:hAnsi="Times New Roman"/>
          <w:sz w:val="24"/>
          <w:szCs w:val="24"/>
        </w:rPr>
        <w:t xml:space="preserve"> е необходимо да се изключат при симптоми на увреда на пирамидната и екстрапирамидната система (дискинезии, дистонии, хореични хиперкинези). За тази цел неврологът насочва пациента за лабораторно изследване на кръв и урина и консултация с офталмолог.</w:t>
      </w:r>
    </w:p>
    <w:p w14:paraId="52BE4B1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11. </w:t>
      </w:r>
      <w:r w:rsidRPr="00AE47C6">
        <w:rPr>
          <w:rFonts w:ascii="Times New Roman" w:eastAsia="SimSun" w:hAnsi="Times New Roman"/>
          <w:b/>
          <w:sz w:val="24"/>
          <w:szCs w:val="24"/>
        </w:rPr>
        <w:t>Невролептично индуцираният паркинсонизъм</w:t>
      </w:r>
      <w:r w:rsidRPr="00AE47C6">
        <w:rPr>
          <w:rFonts w:ascii="Times New Roman" w:eastAsia="SimSun" w:hAnsi="Times New Roman"/>
          <w:sz w:val="24"/>
          <w:szCs w:val="24"/>
        </w:rPr>
        <w:t xml:space="preserve"> също трябва да бъде изключен чрез внимателна анамнеза на провежданото лечение.</w:t>
      </w:r>
    </w:p>
    <w:p w14:paraId="6954A10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12. </w:t>
      </w:r>
      <w:r w:rsidRPr="00AE47C6">
        <w:rPr>
          <w:rFonts w:ascii="Times New Roman" w:eastAsia="SimSun" w:hAnsi="Times New Roman"/>
          <w:b/>
          <w:sz w:val="24"/>
          <w:szCs w:val="24"/>
        </w:rPr>
        <w:t>Пациентите без данни за допаминергичен дефицит</w:t>
      </w:r>
      <w:r w:rsidRPr="00AE47C6">
        <w:rPr>
          <w:rFonts w:ascii="Times New Roman" w:eastAsia="SimSun" w:hAnsi="Times New Roman"/>
          <w:sz w:val="24"/>
          <w:szCs w:val="24"/>
        </w:rPr>
        <w:t xml:space="preserve"> при DATSCAN изобразяване на пресинаптичните нигростриарни допаминергични транспортери са 20% от пациентите с вероятна диагноза Паркинсонова болест. В тази сборна група се включват пациенти с погрешно поставена диагноза, с дистоничен тремор и с Паркинсонова болест с преобладаващ тремор, при които в ранните стадии на заболяването DATSCAN е негативен.</w:t>
      </w:r>
    </w:p>
    <w:p w14:paraId="6EB26F4B"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u w:val="single"/>
        </w:rPr>
      </w:pPr>
      <w:r w:rsidRPr="00AE47C6">
        <w:rPr>
          <w:rFonts w:ascii="Times New Roman" w:eastAsia="SimSun" w:hAnsi="Times New Roman"/>
          <w:b/>
          <w:sz w:val="24"/>
          <w:szCs w:val="24"/>
          <w:u w:val="single"/>
        </w:rPr>
        <w:t>Лечение на Паркинсоновата болест</w:t>
      </w:r>
    </w:p>
    <w:p w14:paraId="4E6483B6" w14:textId="77777777" w:rsidR="00BE0B19" w:rsidRPr="00AE47C6" w:rsidRDefault="00BE0B19" w:rsidP="00BE0B19">
      <w:pPr>
        <w:widowControl w:val="0"/>
        <w:adjustRightInd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Симптоматично лечение</w:t>
      </w:r>
      <w:r w:rsidRPr="00AE47C6">
        <w:rPr>
          <w:rFonts w:ascii="Times New Roman" w:eastAsia="SimSun" w:hAnsi="Times New Roman"/>
          <w:sz w:val="24"/>
          <w:szCs w:val="24"/>
        </w:rPr>
        <w:t xml:space="preserve"> се назначава когато Паркинсоновата болест е диагностицирана като клинично сигурна, съобразно диагностичните критерии и пречи на ежедневната активност на болния. Лечението е </w:t>
      </w:r>
      <w:r w:rsidRPr="00AE47C6">
        <w:rPr>
          <w:rFonts w:ascii="Times New Roman" w:eastAsia="SimSun" w:hAnsi="Times New Roman"/>
          <w:i/>
          <w:sz w:val="24"/>
          <w:szCs w:val="24"/>
        </w:rPr>
        <w:t>симптоматично</w:t>
      </w:r>
      <w:r w:rsidRPr="00AE47C6">
        <w:rPr>
          <w:rFonts w:ascii="Times New Roman" w:eastAsia="SimSun" w:hAnsi="Times New Roman"/>
          <w:sz w:val="24"/>
          <w:szCs w:val="24"/>
        </w:rPr>
        <w:t xml:space="preserve"> – насочено към възстановяване на допамина, подобряване на ежедневната активност и качеството на живот, </w:t>
      </w:r>
      <w:r w:rsidRPr="00AE47C6">
        <w:rPr>
          <w:rFonts w:ascii="Times New Roman" w:eastAsia="SimSun" w:hAnsi="Times New Roman"/>
          <w:i/>
          <w:sz w:val="24"/>
          <w:szCs w:val="24"/>
        </w:rPr>
        <w:t>невропротективно</w:t>
      </w:r>
      <w:r w:rsidRPr="00AE47C6">
        <w:rPr>
          <w:rFonts w:ascii="Times New Roman" w:eastAsia="SimSun" w:hAnsi="Times New Roman"/>
          <w:sz w:val="24"/>
          <w:szCs w:val="24"/>
        </w:rPr>
        <w:t xml:space="preserve"> – въздействащо върху патофизиологичните механизми на болестта, с оглед забавяне на прогресията на заболяването и </w:t>
      </w:r>
      <w:r w:rsidRPr="00AE47C6">
        <w:rPr>
          <w:rFonts w:ascii="Times New Roman" w:eastAsia="SimSun" w:hAnsi="Times New Roman"/>
          <w:i/>
          <w:sz w:val="24"/>
          <w:szCs w:val="24"/>
        </w:rPr>
        <w:t>възстановително</w:t>
      </w:r>
      <w:r w:rsidRPr="00AE47C6">
        <w:rPr>
          <w:rFonts w:ascii="Times New Roman" w:eastAsia="SimSun" w:hAnsi="Times New Roman"/>
          <w:sz w:val="24"/>
          <w:szCs w:val="24"/>
        </w:rPr>
        <w:t xml:space="preserve"> – възстановяване на функцията чрез различни хирургични техники</w:t>
      </w:r>
    </w:p>
    <w:p w14:paraId="011DB384" w14:textId="77777777" w:rsidR="00BE0B19" w:rsidRPr="00AE47C6" w:rsidRDefault="00BE0B19" w:rsidP="00BE0B19">
      <w:pPr>
        <w:widowControl w:val="0"/>
        <w:adjustRightInd w:val="0"/>
        <w:spacing w:after="0" w:line="360" w:lineRule="auto"/>
        <w:ind w:firstLine="720"/>
        <w:jc w:val="both"/>
        <w:rPr>
          <w:rFonts w:ascii="Times New Roman" w:eastAsia="SimSun" w:hAnsi="Times New Roman"/>
          <w:i/>
          <w:sz w:val="24"/>
          <w:szCs w:val="24"/>
        </w:rPr>
      </w:pPr>
      <w:r w:rsidRPr="00AE47C6">
        <w:rPr>
          <w:rFonts w:ascii="Times New Roman" w:eastAsia="SimSun" w:hAnsi="Times New Roman"/>
          <w:sz w:val="24"/>
          <w:szCs w:val="24"/>
        </w:rPr>
        <w:t xml:space="preserve">Свързано е с медикаменти, които повишават синтеза на допамин в мозъка, стимулират постсинаптичните допаминови рецептори в стриатума, потискат обратното захващане на допамин в пресинаптичните структури и инхибират ензими, свързани с допаминовия метаболизъм (таблица 6.1, фигура 6.1.). Има данни, че леводопа препаратите засилват прогресията на заболяването. Съвременното лечение изисква прилагането на леводопа щадяща терапия, т.е. </w:t>
      </w:r>
      <w:r w:rsidRPr="00AE47C6">
        <w:rPr>
          <w:rFonts w:ascii="Times New Roman" w:eastAsia="SimSun" w:hAnsi="Times New Roman"/>
          <w:i/>
          <w:sz w:val="24"/>
          <w:szCs w:val="24"/>
        </w:rPr>
        <w:t xml:space="preserve">започва се лечение с други препарати, които повлияват паркинсоновите симптоми и когато техните възможности се изчерпат, започва добавяне на леводопа препарати в ниски дози. </w:t>
      </w:r>
    </w:p>
    <w:p w14:paraId="6B7C6C9F"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При навлизане на заболяването в по-напреднала фаза, включването на леводопа или допаминов агонист става необходимо. Монотерапията с допаминови агонисти има по-слаб симптоматичен ефект, но когато стане необходимо включването на допаминергична терапия, допаминовите агонисти трябва да бъдат първи. Включването на директни допаминови агонисти в началото на заболяването е придружено с по-малка честота на дискинезии и флуктуации. Алтернативен подход може да бъде включването на ниски дози леводопа в комбинация с допаминови агонисти.</w:t>
      </w:r>
    </w:p>
    <w:p w14:paraId="1F600D45" w14:textId="77777777" w:rsidR="00BE0B19" w:rsidRPr="00AE47C6" w:rsidRDefault="00BE0B19" w:rsidP="00BE0B19">
      <w:pPr>
        <w:widowControl w:val="0"/>
        <w:adjustRightInd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Основните симптоми на Паркинсоновата болест – ригидност и брадикинезия се повлияват добре от допаминергичната терапия, треморът не се повлиява много добре, а нарушенията на речта и гълтането, постуралната нестабилност и феномените на замръзване не се повлияват от терапията. Не се повлияват и невропсихичните, автономните и нарушенията на съня. </w:t>
      </w:r>
    </w:p>
    <w:p w14:paraId="42E9D8AC" w14:textId="77777777" w:rsidR="00BE0B19" w:rsidRPr="00AE47C6" w:rsidRDefault="00BE0B19" w:rsidP="00BE0B19">
      <w:pPr>
        <w:widowControl w:val="0"/>
        <w:adjustRightInd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В хода на болестта към двигателните смущения се прибавят и такива от страна на автономната нервна система и психиката, което разширява кръгът от използваните медикаменти и изисква съобразяване с лекарствените взаимодействия (Табл.6.2).</w:t>
      </w:r>
    </w:p>
    <w:p w14:paraId="202A18B3"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u w:val="single"/>
        </w:rPr>
      </w:pPr>
    </w:p>
    <w:p w14:paraId="0A02592E"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Таблица 6.1. Медикаменти за лечение на Паркинсонова болест</w:t>
      </w:r>
    </w:p>
    <w:tbl>
      <w:tblPr>
        <w:tblW w:w="9011" w:type="dxa"/>
        <w:jc w:val="center"/>
        <w:tblLayout w:type="fixed"/>
        <w:tblLook w:val="0000" w:firstRow="0" w:lastRow="0" w:firstColumn="0" w:lastColumn="0" w:noHBand="0" w:noVBand="0"/>
      </w:tblPr>
      <w:tblGrid>
        <w:gridCol w:w="3407"/>
        <w:gridCol w:w="2552"/>
        <w:gridCol w:w="1351"/>
        <w:gridCol w:w="1701"/>
      </w:tblGrid>
      <w:tr w:rsidR="00BE0B19" w:rsidRPr="00AE47C6" w14:paraId="66B709B3" w14:textId="77777777" w:rsidTr="00AD72E5">
        <w:trPr>
          <w:trHeight w:val="703"/>
          <w:jc w:val="center"/>
        </w:trPr>
        <w:tc>
          <w:tcPr>
            <w:tcW w:w="3407" w:type="dxa"/>
            <w:tcBorders>
              <w:top w:val="single" w:sz="4" w:space="0" w:color="000000"/>
              <w:left w:val="single" w:sz="4" w:space="0" w:color="000000"/>
              <w:bottom w:val="single" w:sz="4" w:space="0" w:color="000000"/>
            </w:tcBorders>
            <w:vAlign w:val="center"/>
          </w:tcPr>
          <w:p w14:paraId="1723FE7F"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Генерично наименование</w:t>
            </w:r>
          </w:p>
        </w:tc>
        <w:tc>
          <w:tcPr>
            <w:tcW w:w="2552" w:type="dxa"/>
            <w:tcBorders>
              <w:top w:val="single" w:sz="4" w:space="0" w:color="000000"/>
              <w:left w:val="single" w:sz="4" w:space="0" w:color="000000"/>
              <w:bottom w:val="single" w:sz="4" w:space="0" w:color="000000"/>
            </w:tcBorders>
          </w:tcPr>
          <w:p w14:paraId="5AE71E3C"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Опаковки</w:t>
            </w:r>
          </w:p>
          <w:p w14:paraId="6F7FC44D"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sz w:val="24"/>
                <w:szCs w:val="24"/>
              </w:rPr>
              <w:t>tabl. mg</w:t>
            </w:r>
          </w:p>
        </w:tc>
        <w:tc>
          <w:tcPr>
            <w:tcW w:w="1351" w:type="dxa"/>
            <w:tcBorders>
              <w:top w:val="single" w:sz="4" w:space="0" w:color="000000"/>
              <w:left w:val="single" w:sz="4" w:space="0" w:color="000000"/>
              <w:bottom w:val="single" w:sz="4" w:space="0" w:color="000000"/>
            </w:tcBorders>
          </w:tcPr>
          <w:p w14:paraId="139ABC61"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Средна доза</w:t>
            </w:r>
            <w:r w:rsidRPr="00AE47C6">
              <w:rPr>
                <w:rFonts w:ascii="Times New Roman" w:eastAsia="SimSun" w:hAnsi="Times New Roman"/>
                <w:sz w:val="24"/>
                <w:szCs w:val="24"/>
              </w:rPr>
              <w:t xml:space="preserve"> mg</w:t>
            </w:r>
          </w:p>
        </w:tc>
        <w:tc>
          <w:tcPr>
            <w:tcW w:w="1701" w:type="dxa"/>
            <w:tcBorders>
              <w:top w:val="single" w:sz="4" w:space="0" w:color="000000"/>
              <w:left w:val="single" w:sz="4" w:space="0" w:color="000000"/>
              <w:bottom w:val="single" w:sz="4" w:space="0" w:color="000000"/>
              <w:right w:val="single" w:sz="4" w:space="0" w:color="000000"/>
            </w:tcBorders>
          </w:tcPr>
          <w:p w14:paraId="32399933"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Максимална доза</w:t>
            </w:r>
            <w:r w:rsidRPr="00AE47C6">
              <w:rPr>
                <w:rFonts w:ascii="Times New Roman" w:eastAsia="SimSun" w:hAnsi="Times New Roman"/>
                <w:sz w:val="24"/>
                <w:szCs w:val="24"/>
              </w:rPr>
              <w:t xml:space="preserve"> mg</w:t>
            </w:r>
          </w:p>
        </w:tc>
      </w:tr>
      <w:tr w:rsidR="00BE0B19" w:rsidRPr="00AE47C6" w14:paraId="736E3418" w14:textId="77777777" w:rsidTr="00AD72E5">
        <w:trPr>
          <w:trHeight w:val="432"/>
          <w:jc w:val="center"/>
        </w:trPr>
        <w:tc>
          <w:tcPr>
            <w:tcW w:w="3407" w:type="dxa"/>
            <w:tcBorders>
              <w:top w:val="single" w:sz="4" w:space="0" w:color="000000"/>
              <w:left w:val="single" w:sz="4" w:space="0" w:color="000000"/>
              <w:bottom w:val="single" w:sz="4" w:space="0" w:color="000000"/>
            </w:tcBorders>
            <w:vAlign w:val="center"/>
          </w:tcPr>
          <w:p w14:paraId="16FBFF82" w14:textId="77777777" w:rsidR="00BE0B19" w:rsidRPr="00AE47C6" w:rsidRDefault="00BE0B19" w:rsidP="00BE0B19">
            <w:pPr>
              <w:widowControl w:val="0"/>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Levodopa/benserazide</w:t>
            </w:r>
          </w:p>
        </w:tc>
        <w:tc>
          <w:tcPr>
            <w:tcW w:w="2552" w:type="dxa"/>
            <w:tcBorders>
              <w:top w:val="single" w:sz="4" w:space="0" w:color="000000"/>
              <w:left w:val="single" w:sz="4" w:space="0" w:color="000000"/>
              <w:bottom w:val="single" w:sz="4" w:space="0" w:color="000000"/>
            </w:tcBorders>
            <w:vAlign w:val="center"/>
          </w:tcPr>
          <w:p w14:paraId="5C85CBC8"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tc>
        <w:tc>
          <w:tcPr>
            <w:tcW w:w="1351" w:type="dxa"/>
            <w:tcBorders>
              <w:top w:val="single" w:sz="4" w:space="0" w:color="000000"/>
              <w:left w:val="single" w:sz="4" w:space="0" w:color="000000"/>
              <w:bottom w:val="single" w:sz="4" w:space="0" w:color="000000"/>
            </w:tcBorders>
            <w:vAlign w:val="center"/>
          </w:tcPr>
          <w:p w14:paraId="13E7A248"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750</w:t>
            </w:r>
          </w:p>
        </w:tc>
        <w:tc>
          <w:tcPr>
            <w:tcW w:w="1701" w:type="dxa"/>
            <w:tcBorders>
              <w:top w:val="single" w:sz="4" w:space="0" w:color="000000"/>
              <w:left w:val="single" w:sz="4" w:space="0" w:color="000000"/>
              <w:bottom w:val="single" w:sz="4" w:space="0" w:color="000000"/>
              <w:right w:val="single" w:sz="4" w:space="0" w:color="000000"/>
            </w:tcBorders>
            <w:vAlign w:val="center"/>
          </w:tcPr>
          <w:p w14:paraId="384969D7"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1500</w:t>
            </w:r>
          </w:p>
        </w:tc>
      </w:tr>
      <w:tr w:rsidR="00BE0B19" w:rsidRPr="00AE47C6" w14:paraId="1F1333BC" w14:textId="77777777" w:rsidTr="00AD72E5">
        <w:trPr>
          <w:trHeight w:val="1276"/>
          <w:jc w:val="center"/>
        </w:trPr>
        <w:tc>
          <w:tcPr>
            <w:tcW w:w="3407" w:type="dxa"/>
            <w:tcBorders>
              <w:top w:val="single" w:sz="4" w:space="0" w:color="000000"/>
              <w:left w:val="single" w:sz="4" w:space="0" w:color="000000"/>
              <w:bottom w:val="single" w:sz="4" w:space="0" w:color="000000"/>
            </w:tcBorders>
            <w:vAlign w:val="center"/>
          </w:tcPr>
          <w:p w14:paraId="65D17880"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Стандартна форма</w:t>
            </w:r>
          </w:p>
          <w:p w14:paraId="3008A30A"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 контролирано действие</w:t>
            </w:r>
          </w:p>
          <w:p w14:paraId="5663769F"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Дисперсна форма</w:t>
            </w:r>
          </w:p>
        </w:tc>
        <w:tc>
          <w:tcPr>
            <w:tcW w:w="2552" w:type="dxa"/>
            <w:tcBorders>
              <w:top w:val="single" w:sz="4" w:space="0" w:color="000000"/>
              <w:left w:val="single" w:sz="4" w:space="0" w:color="000000"/>
              <w:bottom w:val="single" w:sz="4" w:space="0" w:color="000000"/>
            </w:tcBorders>
            <w:vAlign w:val="center"/>
          </w:tcPr>
          <w:p w14:paraId="40CA903F"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125, 250</w:t>
            </w:r>
          </w:p>
          <w:p w14:paraId="360C9C9A"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caps. 125</w:t>
            </w:r>
          </w:p>
          <w:p w14:paraId="1CE08003"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125</w:t>
            </w:r>
          </w:p>
        </w:tc>
        <w:tc>
          <w:tcPr>
            <w:tcW w:w="1351" w:type="dxa"/>
            <w:tcBorders>
              <w:top w:val="single" w:sz="4" w:space="0" w:color="000000"/>
              <w:left w:val="single" w:sz="4" w:space="0" w:color="000000"/>
              <w:bottom w:val="single" w:sz="4" w:space="0" w:color="000000"/>
            </w:tcBorders>
          </w:tcPr>
          <w:p w14:paraId="6B9BB22D"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4F0F664D"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1CD47EDA"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tc>
      </w:tr>
      <w:tr w:rsidR="00BE0B19" w:rsidRPr="00AE47C6" w14:paraId="2235C070" w14:textId="77777777" w:rsidTr="00AD72E5">
        <w:trPr>
          <w:trHeight w:val="454"/>
          <w:jc w:val="center"/>
        </w:trPr>
        <w:tc>
          <w:tcPr>
            <w:tcW w:w="3407" w:type="dxa"/>
            <w:tcBorders>
              <w:top w:val="single" w:sz="4" w:space="0" w:color="000000"/>
              <w:left w:val="single" w:sz="4" w:space="0" w:color="000000"/>
              <w:bottom w:val="single" w:sz="4" w:space="0" w:color="000000"/>
            </w:tcBorders>
            <w:vAlign w:val="center"/>
          </w:tcPr>
          <w:p w14:paraId="3EB4722A" w14:textId="77777777" w:rsidR="00BE0B19" w:rsidRPr="00AE47C6" w:rsidRDefault="00BE0B19" w:rsidP="00BE0B19">
            <w:pPr>
              <w:widowControl w:val="0"/>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Levodopa/carbidopa</w:t>
            </w:r>
          </w:p>
        </w:tc>
        <w:tc>
          <w:tcPr>
            <w:tcW w:w="2552" w:type="dxa"/>
            <w:tcBorders>
              <w:top w:val="single" w:sz="4" w:space="0" w:color="000000"/>
              <w:left w:val="single" w:sz="4" w:space="0" w:color="000000"/>
              <w:bottom w:val="single" w:sz="4" w:space="0" w:color="000000"/>
            </w:tcBorders>
            <w:vAlign w:val="center"/>
          </w:tcPr>
          <w:p w14:paraId="2B8C77F2"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tc>
        <w:tc>
          <w:tcPr>
            <w:tcW w:w="1351" w:type="dxa"/>
            <w:tcBorders>
              <w:top w:val="single" w:sz="4" w:space="0" w:color="000000"/>
              <w:left w:val="single" w:sz="4" w:space="0" w:color="000000"/>
              <w:bottom w:val="single" w:sz="4" w:space="0" w:color="000000"/>
            </w:tcBorders>
            <w:vAlign w:val="center"/>
          </w:tcPr>
          <w:p w14:paraId="46E24BB7"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750</w:t>
            </w:r>
          </w:p>
        </w:tc>
        <w:tc>
          <w:tcPr>
            <w:tcW w:w="1701" w:type="dxa"/>
            <w:tcBorders>
              <w:top w:val="single" w:sz="4" w:space="0" w:color="000000"/>
              <w:left w:val="single" w:sz="4" w:space="0" w:color="000000"/>
              <w:bottom w:val="single" w:sz="4" w:space="0" w:color="000000"/>
              <w:right w:val="single" w:sz="4" w:space="0" w:color="000000"/>
            </w:tcBorders>
            <w:vAlign w:val="center"/>
          </w:tcPr>
          <w:p w14:paraId="727F8C49"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1500</w:t>
            </w:r>
          </w:p>
        </w:tc>
      </w:tr>
      <w:tr w:rsidR="00BE0B19" w:rsidRPr="00AE47C6" w14:paraId="4DD4471D" w14:textId="77777777" w:rsidTr="00AD72E5">
        <w:trPr>
          <w:trHeight w:val="1563"/>
          <w:jc w:val="center"/>
        </w:trPr>
        <w:tc>
          <w:tcPr>
            <w:tcW w:w="3407" w:type="dxa"/>
            <w:tcBorders>
              <w:top w:val="single" w:sz="4" w:space="0" w:color="000000"/>
              <w:left w:val="single" w:sz="4" w:space="0" w:color="000000"/>
              <w:bottom w:val="single" w:sz="4" w:space="0" w:color="000000"/>
            </w:tcBorders>
            <w:vAlign w:val="center"/>
          </w:tcPr>
          <w:p w14:paraId="03243C2B"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Стандартна форма</w:t>
            </w:r>
          </w:p>
          <w:p w14:paraId="2024E8EF"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 контролирано действие</w:t>
            </w:r>
          </w:p>
          <w:p w14:paraId="4308CBDA"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Гел суспензия за дуоденално приложение</w:t>
            </w:r>
          </w:p>
        </w:tc>
        <w:tc>
          <w:tcPr>
            <w:tcW w:w="2552" w:type="dxa"/>
            <w:tcBorders>
              <w:top w:val="single" w:sz="4" w:space="0" w:color="000000"/>
              <w:left w:val="single" w:sz="4" w:space="0" w:color="000000"/>
              <w:bottom w:val="single" w:sz="4" w:space="0" w:color="000000"/>
            </w:tcBorders>
            <w:vAlign w:val="center"/>
          </w:tcPr>
          <w:p w14:paraId="43814F6C"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250</w:t>
            </w:r>
          </w:p>
          <w:p w14:paraId="52D0CB48"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250</w:t>
            </w:r>
          </w:p>
          <w:p w14:paraId="2F137C53"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касета 100 ml (2000 mg levodopa)</w:t>
            </w:r>
          </w:p>
        </w:tc>
        <w:tc>
          <w:tcPr>
            <w:tcW w:w="1351" w:type="dxa"/>
            <w:tcBorders>
              <w:top w:val="single" w:sz="4" w:space="0" w:color="000000"/>
              <w:left w:val="single" w:sz="4" w:space="0" w:color="000000"/>
              <w:bottom w:val="single" w:sz="4" w:space="0" w:color="000000"/>
            </w:tcBorders>
            <w:vAlign w:val="center"/>
          </w:tcPr>
          <w:p w14:paraId="19953699"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2000</w:t>
            </w:r>
          </w:p>
        </w:tc>
        <w:tc>
          <w:tcPr>
            <w:tcW w:w="1701" w:type="dxa"/>
            <w:tcBorders>
              <w:top w:val="single" w:sz="4" w:space="0" w:color="000000"/>
              <w:left w:val="single" w:sz="4" w:space="0" w:color="000000"/>
              <w:bottom w:val="single" w:sz="4" w:space="0" w:color="000000"/>
              <w:right w:val="single" w:sz="4" w:space="0" w:color="000000"/>
            </w:tcBorders>
            <w:vAlign w:val="center"/>
          </w:tcPr>
          <w:p w14:paraId="0C5C5923"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tc>
      </w:tr>
      <w:tr w:rsidR="00BE0B19" w:rsidRPr="00AE47C6" w14:paraId="5B119676" w14:textId="77777777" w:rsidTr="00AD72E5">
        <w:trPr>
          <w:trHeight w:val="419"/>
          <w:jc w:val="center"/>
        </w:trPr>
        <w:tc>
          <w:tcPr>
            <w:tcW w:w="3407" w:type="dxa"/>
            <w:tcBorders>
              <w:top w:val="single" w:sz="4" w:space="0" w:color="000000"/>
              <w:left w:val="single" w:sz="4" w:space="0" w:color="000000"/>
              <w:bottom w:val="single" w:sz="4" w:space="0" w:color="auto"/>
            </w:tcBorders>
            <w:vAlign w:val="center"/>
          </w:tcPr>
          <w:p w14:paraId="63B9149A" w14:textId="77777777" w:rsidR="00BE0B19" w:rsidRPr="00AE47C6" w:rsidRDefault="00BE0B19" w:rsidP="00BE0B19">
            <w:pPr>
              <w:widowControl w:val="0"/>
              <w:tabs>
                <w:tab w:val="num" w:pos="864"/>
              </w:tabs>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Pramipexole</w:t>
            </w:r>
          </w:p>
        </w:tc>
        <w:tc>
          <w:tcPr>
            <w:tcW w:w="2552" w:type="dxa"/>
            <w:tcBorders>
              <w:top w:val="single" w:sz="4" w:space="0" w:color="000000"/>
              <w:left w:val="single" w:sz="4" w:space="0" w:color="000000"/>
              <w:bottom w:val="single" w:sz="4" w:space="0" w:color="auto"/>
            </w:tcBorders>
            <w:vAlign w:val="center"/>
          </w:tcPr>
          <w:p w14:paraId="4E583575"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0,18 и 0,7</w:t>
            </w:r>
          </w:p>
        </w:tc>
        <w:tc>
          <w:tcPr>
            <w:tcW w:w="1351" w:type="dxa"/>
            <w:tcBorders>
              <w:top w:val="single" w:sz="4" w:space="0" w:color="000000"/>
              <w:left w:val="single" w:sz="4" w:space="0" w:color="000000"/>
              <w:bottom w:val="single" w:sz="4" w:space="0" w:color="auto"/>
            </w:tcBorders>
            <w:vAlign w:val="center"/>
          </w:tcPr>
          <w:p w14:paraId="2907975B"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1,5</w:t>
            </w:r>
          </w:p>
        </w:tc>
        <w:tc>
          <w:tcPr>
            <w:tcW w:w="1701" w:type="dxa"/>
            <w:tcBorders>
              <w:top w:val="single" w:sz="4" w:space="0" w:color="000000"/>
              <w:left w:val="single" w:sz="4" w:space="0" w:color="000000"/>
              <w:bottom w:val="single" w:sz="4" w:space="0" w:color="auto"/>
              <w:right w:val="single" w:sz="4" w:space="0" w:color="000000"/>
            </w:tcBorders>
            <w:vAlign w:val="center"/>
          </w:tcPr>
          <w:p w14:paraId="23464D56"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4,5</w:t>
            </w:r>
          </w:p>
        </w:tc>
      </w:tr>
      <w:tr w:rsidR="00BE0B19" w:rsidRPr="00AE47C6" w14:paraId="65331F1D" w14:textId="77777777" w:rsidTr="00AD72E5">
        <w:trPr>
          <w:trHeight w:val="412"/>
          <w:jc w:val="center"/>
        </w:trPr>
        <w:tc>
          <w:tcPr>
            <w:tcW w:w="3407" w:type="dxa"/>
            <w:tcBorders>
              <w:top w:val="single" w:sz="4" w:space="0" w:color="000000"/>
              <w:left w:val="single" w:sz="4" w:space="0" w:color="000000"/>
              <w:bottom w:val="single" w:sz="4" w:space="0" w:color="000000"/>
            </w:tcBorders>
            <w:vAlign w:val="center"/>
          </w:tcPr>
          <w:p w14:paraId="4CC60BE0" w14:textId="77777777" w:rsidR="00BE0B19" w:rsidRPr="00AE47C6" w:rsidRDefault="00BE0B19" w:rsidP="00BE0B19">
            <w:pPr>
              <w:widowControl w:val="0"/>
              <w:tabs>
                <w:tab w:val="num" w:pos="864"/>
              </w:tabs>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Ropinirolе</w:t>
            </w:r>
          </w:p>
        </w:tc>
        <w:tc>
          <w:tcPr>
            <w:tcW w:w="2552" w:type="dxa"/>
            <w:tcBorders>
              <w:top w:val="single" w:sz="4" w:space="0" w:color="000000"/>
              <w:left w:val="single" w:sz="4" w:space="0" w:color="000000"/>
              <w:bottom w:val="single" w:sz="4" w:space="0" w:color="000000"/>
            </w:tcBorders>
            <w:vAlign w:val="center"/>
          </w:tcPr>
          <w:p w14:paraId="64C27680"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0,25; 0,5; 1; 2</w:t>
            </w:r>
          </w:p>
          <w:p w14:paraId="1348FC72"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4; 8</w:t>
            </w:r>
          </w:p>
        </w:tc>
        <w:tc>
          <w:tcPr>
            <w:tcW w:w="1351" w:type="dxa"/>
            <w:tcBorders>
              <w:top w:val="single" w:sz="4" w:space="0" w:color="000000"/>
              <w:left w:val="single" w:sz="4" w:space="0" w:color="000000"/>
              <w:bottom w:val="single" w:sz="4" w:space="0" w:color="000000"/>
            </w:tcBorders>
            <w:vAlign w:val="center"/>
          </w:tcPr>
          <w:p w14:paraId="72096320"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9</w:t>
            </w:r>
          </w:p>
        </w:tc>
        <w:tc>
          <w:tcPr>
            <w:tcW w:w="1701" w:type="dxa"/>
            <w:tcBorders>
              <w:top w:val="single" w:sz="4" w:space="0" w:color="000000"/>
              <w:left w:val="single" w:sz="4" w:space="0" w:color="000000"/>
              <w:bottom w:val="single" w:sz="4" w:space="0" w:color="000000"/>
              <w:right w:val="single" w:sz="4" w:space="0" w:color="000000"/>
            </w:tcBorders>
            <w:vAlign w:val="center"/>
          </w:tcPr>
          <w:p w14:paraId="6D2CA7ED"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24</w:t>
            </w:r>
          </w:p>
        </w:tc>
      </w:tr>
      <w:tr w:rsidR="00BE0B19" w:rsidRPr="00AE47C6" w14:paraId="24B682A7" w14:textId="77777777" w:rsidTr="00AD72E5">
        <w:trPr>
          <w:trHeight w:val="190"/>
          <w:jc w:val="center"/>
        </w:trPr>
        <w:tc>
          <w:tcPr>
            <w:tcW w:w="3407" w:type="dxa"/>
            <w:tcBorders>
              <w:top w:val="single" w:sz="4" w:space="0" w:color="000000"/>
              <w:left w:val="single" w:sz="4" w:space="0" w:color="000000"/>
              <w:bottom w:val="single" w:sz="4" w:space="0" w:color="000000"/>
            </w:tcBorders>
          </w:tcPr>
          <w:p w14:paraId="753D8AA7" w14:textId="77777777" w:rsidR="00BE0B19" w:rsidRPr="00AE47C6" w:rsidRDefault="00BE0B19" w:rsidP="00BE0B19">
            <w:pPr>
              <w:widowControl w:val="0"/>
              <w:tabs>
                <w:tab w:val="num" w:pos="864"/>
              </w:tabs>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Rotigotine</w:t>
            </w:r>
          </w:p>
        </w:tc>
        <w:tc>
          <w:tcPr>
            <w:tcW w:w="2552" w:type="dxa"/>
            <w:tcBorders>
              <w:top w:val="single" w:sz="4" w:space="0" w:color="000000"/>
              <w:left w:val="single" w:sz="4" w:space="0" w:color="000000"/>
              <w:bottom w:val="single" w:sz="4" w:space="0" w:color="000000"/>
            </w:tcBorders>
            <w:vAlign w:val="center"/>
          </w:tcPr>
          <w:p w14:paraId="54FD10D1"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Трансдермален пластир 2-8 mg/24 ч.</w:t>
            </w:r>
          </w:p>
        </w:tc>
        <w:tc>
          <w:tcPr>
            <w:tcW w:w="1351" w:type="dxa"/>
            <w:tcBorders>
              <w:top w:val="single" w:sz="4" w:space="0" w:color="000000"/>
              <w:left w:val="single" w:sz="4" w:space="0" w:color="000000"/>
              <w:bottom w:val="single" w:sz="4" w:space="0" w:color="000000"/>
            </w:tcBorders>
            <w:vAlign w:val="center"/>
          </w:tcPr>
          <w:p w14:paraId="0B7B0E5A"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8 mg/24 ч.</w:t>
            </w:r>
          </w:p>
        </w:tc>
        <w:tc>
          <w:tcPr>
            <w:tcW w:w="1701" w:type="dxa"/>
            <w:tcBorders>
              <w:top w:val="single" w:sz="4" w:space="0" w:color="000000"/>
              <w:left w:val="single" w:sz="4" w:space="0" w:color="000000"/>
              <w:bottom w:val="single" w:sz="4" w:space="0" w:color="000000"/>
              <w:right w:val="single" w:sz="4" w:space="0" w:color="000000"/>
            </w:tcBorders>
            <w:vAlign w:val="center"/>
          </w:tcPr>
          <w:p w14:paraId="0AE23FCE"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16 mg/24 ч.</w:t>
            </w:r>
          </w:p>
        </w:tc>
      </w:tr>
      <w:tr w:rsidR="00BE0B19" w:rsidRPr="00AE47C6" w14:paraId="3BE7D56A" w14:textId="77777777" w:rsidTr="00AD72E5">
        <w:trPr>
          <w:trHeight w:val="506"/>
          <w:jc w:val="center"/>
        </w:trPr>
        <w:tc>
          <w:tcPr>
            <w:tcW w:w="3407" w:type="dxa"/>
            <w:tcBorders>
              <w:top w:val="single" w:sz="4" w:space="0" w:color="000000"/>
              <w:left w:val="single" w:sz="4" w:space="0" w:color="000000"/>
              <w:bottom w:val="single" w:sz="4" w:space="0" w:color="auto"/>
            </w:tcBorders>
          </w:tcPr>
          <w:p w14:paraId="08BEF8B8"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Apomorphine hydrochloride hemihydrate</w:t>
            </w:r>
          </w:p>
        </w:tc>
        <w:tc>
          <w:tcPr>
            <w:tcW w:w="2552" w:type="dxa"/>
            <w:tcBorders>
              <w:top w:val="single" w:sz="4" w:space="0" w:color="000000"/>
              <w:left w:val="single" w:sz="4" w:space="0" w:color="000000"/>
              <w:bottom w:val="single" w:sz="4" w:space="0" w:color="auto"/>
            </w:tcBorders>
            <w:vAlign w:val="center"/>
          </w:tcPr>
          <w:p w14:paraId="2158593A"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amp. 10 mg/ml</w:t>
            </w:r>
          </w:p>
        </w:tc>
        <w:tc>
          <w:tcPr>
            <w:tcW w:w="1351" w:type="dxa"/>
            <w:tcBorders>
              <w:top w:val="single" w:sz="4" w:space="0" w:color="000000"/>
              <w:left w:val="single" w:sz="4" w:space="0" w:color="000000"/>
              <w:bottom w:val="single" w:sz="4" w:space="0" w:color="auto"/>
            </w:tcBorders>
          </w:tcPr>
          <w:p w14:paraId="5563CA41"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tc>
        <w:tc>
          <w:tcPr>
            <w:tcW w:w="1701" w:type="dxa"/>
            <w:tcBorders>
              <w:top w:val="single" w:sz="4" w:space="0" w:color="000000"/>
              <w:left w:val="single" w:sz="4" w:space="0" w:color="000000"/>
              <w:bottom w:val="single" w:sz="4" w:space="0" w:color="auto"/>
              <w:right w:val="single" w:sz="4" w:space="0" w:color="000000"/>
            </w:tcBorders>
            <w:vAlign w:val="center"/>
          </w:tcPr>
          <w:p w14:paraId="705304B0"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100</w:t>
            </w:r>
          </w:p>
        </w:tc>
      </w:tr>
      <w:tr w:rsidR="00BE0B19" w:rsidRPr="00AE47C6" w14:paraId="36083BBE" w14:textId="77777777" w:rsidTr="00AD72E5">
        <w:trPr>
          <w:trHeight w:val="506"/>
          <w:jc w:val="center"/>
        </w:trPr>
        <w:tc>
          <w:tcPr>
            <w:tcW w:w="3407" w:type="dxa"/>
            <w:tcBorders>
              <w:top w:val="single" w:sz="4" w:space="0" w:color="000000"/>
              <w:left w:val="single" w:sz="4" w:space="0" w:color="000000"/>
              <w:bottom w:val="single" w:sz="4" w:space="0" w:color="auto"/>
            </w:tcBorders>
            <w:vAlign w:val="center"/>
          </w:tcPr>
          <w:p w14:paraId="47F3188D"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Entacapone</w:t>
            </w:r>
          </w:p>
        </w:tc>
        <w:tc>
          <w:tcPr>
            <w:tcW w:w="2552" w:type="dxa"/>
            <w:tcBorders>
              <w:top w:val="single" w:sz="4" w:space="0" w:color="000000"/>
              <w:left w:val="single" w:sz="4" w:space="0" w:color="000000"/>
              <w:bottom w:val="single" w:sz="4" w:space="0" w:color="auto"/>
            </w:tcBorders>
            <w:vAlign w:val="center"/>
          </w:tcPr>
          <w:p w14:paraId="5401B948"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200</w:t>
            </w:r>
          </w:p>
        </w:tc>
        <w:tc>
          <w:tcPr>
            <w:tcW w:w="1351" w:type="dxa"/>
            <w:tcBorders>
              <w:top w:val="single" w:sz="4" w:space="0" w:color="000000"/>
              <w:left w:val="single" w:sz="4" w:space="0" w:color="000000"/>
              <w:bottom w:val="single" w:sz="4" w:space="0" w:color="auto"/>
            </w:tcBorders>
            <w:vAlign w:val="center"/>
          </w:tcPr>
          <w:p w14:paraId="612DD3C0"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600</w:t>
            </w:r>
          </w:p>
        </w:tc>
        <w:tc>
          <w:tcPr>
            <w:tcW w:w="1701" w:type="dxa"/>
            <w:tcBorders>
              <w:top w:val="single" w:sz="4" w:space="0" w:color="000000"/>
              <w:left w:val="single" w:sz="4" w:space="0" w:color="000000"/>
              <w:bottom w:val="single" w:sz="4" w:space="0" w:color="auto"/>
              <w:right w:val="single" w:sz="4" w:space="0" w:color="000000"/>
            </w:tcBorders>
            <w:vAlign w:val="center"/>
          </w:tcPr>
          <w:p w14:paraId="3621495D"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800</w:t>
            </w:r>
          </w:p>
        </w:tc>
      </w:tr>
      <w:tr w:rsidR="00BE0B19" w:rsidRPr="00AE47C6" w14:paraId="3726CC99" w14:textId="77777777" w:rsidTr="00AD72E5">
        <w:trPr>
          <w:trHeight w:val="506"/>
          <w:jc w:val="center"/>
        </w:trPr>
        <w:tc>
          <w:tcPr>
            <w:tcW w:w="3407" w:type="dxa"/>
            <w:tcBorders>
              <w:top w:val="single" w:sz="4" w:space="0" w:color="000000"/>
              <w:left w:val="single" w:sz="4" w:space="0" w:color="000000"/>
              <w:bottom w:val="single" w:sz="4" w:space="0" w:color="auto"/>
            </w:tcBorders>
            <w:vAlign w:val="center"/>
          </w:tcPr>
          <w:p w14:paraId="74E8C262"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Opicapone</w:t>
            </w:r>
          </w:p>
        </w:tc>
        <w:tc>
          <w:tcPr>
            <w:tcW w:w="2552" w:type="dxa"/>
            <w:tcBorders>
              <w:top w:val="single" w:sz="4" w:space="0" w:color="000000"/>
              <w:left w:val="single" w:sz="4" w:space="0" w:color="000000"/>
              <w:bottom w:val="single" w:sz="4" w:space="0" w:color="auto"/>
            </w:tcBorders>
          </w:tcPr>
          <w:p w14:paraId="20762C0E"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50 mg</w:t>
            </w:r>
          </w:p>
        </w:tc>
        <w:tc>
          <w:tcPr>
            <w:tcW w:w="1351" w:type="dxa"/>
            <w:tcBorders>
              <w:top w:val="single" w:sz="4" w:space="0" w:color="000000"/>
              <w:left w:val="single" w:sz="4" w:space="0" w:color="000000"/>
              <w:bottom w:val="single" w:sz="4" w:space="0" w:color="auto"/>
            </w:tcBorders>
          </w:tcPr>
          <w:p w14:paraId="7084D1B3"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50 mg</w:t>
            </w:r>
          </w:p>
        </w:tc>
        <w:tc>
          <w:tcPr>
            <w:tcW w:w="1701" w:type="dxa"/>
            <w:tcBorders>
              <w:top w:val="single" w:sz="4" w:space="0" w:color="000000"/>
              <w:left w:val="single" w:sz="4" w:space="0" w:color="000000"/>
              <w:bottom w:val="single" w:sz="4" w:space="0" w:color="auto"/>
              <w:right w:val="single" w:sz="4" w:space="0" w:color="000000"/>
            </w:tcBorders>
            <w:vAlign w:val="center"/>
          </w:tcPr>
          <w:p w14:paraId="326DBE35"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tc>
      </w:tr>
      <w:tr w:rsidR="00BE0B19" w:rsidRPr="00AE47C6" w14:paraId="2C3179EA" w14:textId="77777777" w:rsidTr="00AD72E5">
        <w:trPr>
          <w:trHeight w:val="320"/>
          <w:jc w:val="center"/>
        </w:trPr>
        <w:tc>
          <w:tcPr>
            <w:tcW w:w="3407" w:type="dxa"/>
            <w:tcBorders>
              <w:top w:val="single" w:sz="4" w:space="0" w:color="auto"/>
              <w:left w:val="single" w:sz="4" w:space="0" w:color="000000"/>
              <w:bottom w:val="single" w:sz="4" w:space="0" w:color="000000"/>
            </w:tcBorders>
            <w:vAlign w:val="center"/>
          </w:tcPr>
          <w:p w14:paraId="6683DF26"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Levodopa/ carbidopa/entacapone</w:t>
            </w:r>
          </w:p>
        </w:tc>
        <w:tc>
          <w:tcPr>
            <w:tcW w:w="2552" w:type="dxa"/>
            <w:tcBorders>
              <w:top w:val="single" w:sz="4" w:space="0" w:color="auto"/>
              <w:left w:val="single" w:sz="4" w:space="0" w:color="000000"/>
              <w:bottom w:val="single" w:sz="4" w:space="0" w:color="000000"/>
            </w:tcBorders>
            <w:vAlign w:val="center"/>
          </w:tcPr>
          <w:p w14:paraId="6C149F47"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100/25/200, 150/37,5/200 200/50/200</w:t>
            </w:r>
          </w:p>
        </w:tc>
        <w:tc>
          <w:tcPr>
            <w:tcW w:w="1351" w:type="dxa"/>
            <w:tcBorders>
              <w:top w:val="single" w:sz="4" w:space="0" w:color="auto"/>
              <w:left w:val="single" w:sz="4" w:space="0" w:color="000000"/>
              <w:bottom w:val="single" w:sz="4" w:space="0" w:color="000000"/>
            </w:tcBorders>
          </w:tcPr>
          <w:p w14:paraId="6E2F44E7"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tc>
        <w:tc>
          <w:tcPr>
            <w:tcW w:w="1701" w:type="dxa"/>
            <w:tcBorders>
              <w:top w:val="single" w:sz="4" w:space="0" w:color="auto"/>
              <w:left w:val="single" w:sz="4" w:space="0" w:color="000000"/>
              <w:bottom w:val="single" w:sz="4" w:space="0" w:color="000000"/>
              <w:right w:val="single" w:sz="4" w:space="0" w:color="000000"/>
            </w:tcBorders>
          </w:tcPr>
          <w:p w14:paraId="26733127"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tc>
      </w:tr>
      <w:tr w:rsidR="00BE0B19" w:rsidRPr="00AE47C6" w14:paraId="3C5F7868" w14:textId="77777777" w:rsidTr="00AD72E5">
        <w:trPr>
          <w:trHeight w:val="618"/>
          <w:jc w:val="center"/>
        </w:trPr>
        <w:tc>
          <w:tcPr>
            <w:tcW w:w="3407" w:type="dxa"/>
            <w:tcBorders>
              <w:top w:val="single" w:sz="4" w:space="0" w:color="000000"/>
              <w:left w:val="single" w:sz="4" w:space="0" w:color="000000"/>
              <w:bottom w:val="single" w:sz="4" w:space="0" w:color="000000"/>
            </w:tcBorders>
            <w:vAlign w:val="center"/>
          </w:tcPr>
          <w:p w14:paraId="011ECA32" w14:textId="77777777" w:rsidR="00BE0B19" w:rsidRPr="00AE47C6" w:rsidRDefault="00BE0B19" w:rsidP="00BE0B19">
            <w:pPr>
              <w:widowControl w:val="0"/>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Selegiline</w:t>
            </w:r>
          </w:p>
        </w:tc>
        <w:tc>
          <w:tcPr>
            <w:tcW w:w="2552" w:type="dxa"/>
            <w:tcBorders>
              <w:top w:val="single" w:sz="4" w:space="0" w:color="000000"/>
              <w:left w:val="single" w:sz="4" w:space="0" w:color="000000"/>
              <w:bottom w:val="single" w:sz="4" w:space="0" w:color="000000"/>
            </w:tcBorders>
            <w:vAlign w:val="center"/>
          </w:tcPr>
          <w:p w14:paraId="153F9EE2"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w:t>
            </w:r>
          </w:p>
        </w:tc>
        <w:tc>
          <w:tcPr>
            <w:tcW w:w="1351" w:type="dxa"/>
            <w:tcBorders>
              <w:top w:val="single" w:sz="4" w:space="0" w:color="000000"/>
              <w:left w:val="single" w:sz="4" w:space="0" w:color="000000"/>
              <w:bottom w:val="single" w:sz="4" w:space="0" w:color="000000"/>
            </w:tcBorders>
            <w:vAlign w:val="center"/>
          </w:tcPr>
          <w:p w14:paraId="44BEF8DA"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10</w:t>
            </w:r>
          </w:p>
        </w:tc>
        <w:tc>
          <w:tcPr>
            <w:tcW w:w="1701" w:type="dxa"/>
            <w:tcBorders>
              <w:top w:val="single" w:sz="4" w:space="0" w:color="000000"/>
              <w:left w:val="single" w:sz="4" w:space="0" w:color="000000"/>
              <w:bottom w:val="single" w:sz="4" w:space="0" w:color="000000"/>
              <w:right w:val="single" w:sz="4" w:space="0" w:color="000000"/>
            </w:tcBorders>
            <w:vAlign w:val="center"/>
          </w:tcPr>
          <w:p w14:paraId="6D5DA3BD"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10</w:t>
            </w:r>
          </w:p>
        </w:tc>
      </w:tr>
      <w:tr w:rsidR="00BE0B19" w:rsidRPr="00AE47C6" w14:paraId="6471AC24" w14:textId="77777777" w:rsidTr="00AD72E5">
        <w:trPr>
          <w:trHeight w:val="397"/>
          <w:jc w:val="center"/>
        </w:trPr>
        <w:tc>
          <w:tcPr>
            <w:tcW w:w="3407" w:type="dxa"/>
            <w:tcBorders>
              <w:top w:val="single" w:sz="4" w:space="0" w:color="000000"/>
              <w:left w:val="single" w:sz="4" w:space="0" w:color="000000"/>
              <w:bottom w:val="single" w:sz="4" w:space="0" w:color="000000"/>
            </w:tcBorders>
            <w:vAlign w:val="center"/>
          </w:tcPr>
          <w:p w14:paraId="359AF33E" w14:textId="77777777" w:rsidR="00BE0B19" w:rsidRPr="00AE47C6" w:rsidRDefault="00BE0B19" w:rsidP="00BE0B19">
            <w:pPr>
              <w:widowControl w:val="0"/>
              <w:tabs>
                <w:tab w:val="num" w:pos="864"/>
              </w:tabs>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Rasagiline</w:t>
            </w:r>
          </w:p>
        </w:tc>
        <w:tc>
          <w:tcPr>
            <w:tcW w:w="2552" w:type="dxa"/>
            <w:tcBorders>
              <w:top w:val="single" w:sz="4" w:space="0" w:color="000000"/>
              <w:left w:val="single" w:sz="4" w:space="0" w:color="000000"/>
              <w:bottom w:val="single" w:sz="4" w:space="0" w:color="000000"/>
            </w:tcBorders>
            <w:vAlign w:val="center"/>
          </w:tcPr>
          <w:p w14:paraId="1472539D"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w:t>
            </w:r>
          </w:p>
        </w:tc>
        <w:tc>
          <w:tcPr>
            <w:tcW w:w="1351" w:type="dxa"/>
            <w:tcBorders>
              <w:top w:val="single" w:sz="4" w:space="0" w:color="000000"/>
              <w:left w:val="single" w:sz="4" w:space="0" w:color="000000"/>
              <w:bottom w:val="single" w:sz="4" w:space="0" w:color="000000"/>
            </w:tcBorders>
            <w:vAlign w:val="center"/>
          </w:tcPr>
          <w:p w14:paraId="00FE6975"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w:t>
            </w:r>
          </w:p>
        </w:tc>
        <w:tc>
          <w:tcPr>
            <w:tcW w:w="1701" w:type="dxa"/>
            <w:tcBorders>
              <w:top w:val="single" w:sz="4" w:space="0" w:color="000000"/>
              <w:left w:val="single" w:sz="4" w:space="0" w:color="000000"/>
              <w:bottom w:val="single" w:sz="4" w:space="0" w:color="000000"/>
              <w:right w:val="single" w:sz="4" w:space="0" w:color="000000"/>
            </w:tcBorders>
            <w:vAlign w:val="center"/>
          </w:tcPr>
          <w:p w14:paraId="3B20628E"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w:t>
            </w:r>
          </w:p>
        </w:tc>
      </w:tr>
      <w:tr w:rsidR="00BE0B19" w:rsidRPr="00AE47C6" w14:paraId="1290BF3E" w14:textId="77777777" w:rsidTr="00AD72E5">
        <w:trPr>
          <w:trHeight w:val="353"/>
          <w:jc w:val="center"/>
        </w:trPr>
        <w:tc>
          <w:tcPr>
            <w:tcW w:w="3407" w:type="dxa"/>
            <w:tcBorders>
              <w:top w:val="single" w:sz="4" w:space="0" w:color="000000"/>
              <w:left w:val="single" w:sz="4" w:space="0" w:color="000000"/>
              <w:bottom w:val="single" w:sz="4" w:space="0" w:color="000000"/>
            </w:tcBorders>
            <w:vAlign w:val="center"/>
          </w:tcPr>
          <w:p w14:paraId="77E5BC1D"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Amantadine hydrochloride</w:t>
            </w:r>
          </w:p>
        </w:tc>
        <w:tc>
          <w:tcPr>
            <w:tcW w:w="2552" w:type="dxa"/>
            <w:tcBorders>
              <w:top w:val="single" w:sz="4" w:space="0" w:color="000000"/>
              <w:left w:val="single" w:sz="4" w:space="0" w:color="000000"/>
              <w:bottom w:val="single" w:sz="4" w:space="0" w:color="000000"/>
            </w:tcBorders>
            <w:vAlign w:val="center"/>
          </w:tcPr>
          <w:p w14:paraId="436E98F9"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caps. 100</w:t>
            </w:r>
          </w:p>
        </w:tc>
        <w:tc>
          <w:tcPr>
            <w:tcW w:w="1351" w:type="dxa"/>
            <w:tcBorders>
              <w:top w:val="single" w:sz="4" w:space="0" w:color="000000"/>
              <w:left w:val="single" w:sz="4" w:space="0" w:color="000000"/>
              <w:bottom w:val="single" w:sz="4" w:space="0" w:color="000000"/>
            </w:tcBorders>
            <w:vAlign w:val="center"/>
          </w:tcPr>
          <w:p w14:paraId="04EF6CCA"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200</w:t>
            </w:r>
          </w:p>
        </w:tc>
        <w:tc>
          <w:tcPr>
            <w:tcW w:w="1701" w:type="dxa"/>
            <w:tcBorders>
              <w:top w:val="single" w:sz="4" w:space="0" w:color="000000"/>
              <w:left w:val="single" w:sz="4" w:space="0" w:color="000000"/>
              <w:bottom w:val="single" w:sz="4" w:space="0" w:color="000000"/>
              <w:right w:val="single" w:sz="4" w:space="0" w:color="000000"/>
            </w:tcBorders>
            <w:vAlign w:val="center"/>
          </w:tcPr>
          <w:p w14:paraId="702D3D2C"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300</w:t>
            </w:r>
          </w:p>
        </w:tc>
      </w:tr>
      <w:tr w:rsidR="00BE0B19" w:rsidRPr="00AE47C6" w14:paraId="096519DF" w14:textId="77777777" w:rsidTr="00AD72E5">
        <w:trPr>
          <w:trHeight w:val="897"/>
          <w:jc w:val="center"/>
        </w:trPr>
        <w:tc>
          <w:tcPr>
            <w:tcW w:w="3407" w:type="dxa"/>
            <w:tcBorders>
              <w:top w:val="single" w:sz="4" w:space="0" w:color="000000"/>
              <w:left w:val="single" w:sz="4" w:space="0" w:color="000000"/>
              <w:bottom w:val="single" w:sz="4" w:space="0" w:color="000000"/>
            </w:tcBorders>
            <w:vAlign w:val="center"/>
          </w:tcPr>
          <w:p w14:paraId="5605638C"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Amantadine sulfat</w:t>
            </w:r>
          </w:p>
        </w:tc>
        <w:tc>
          <w:tcPr>
            <w:tcW w:w="2552" w:type="dxa"/>
            <w:tcBorders>
              <w:top w:val="single" w:sz="4" w:space="0" w:color="000000"/>
              <w:left w:val="single" w:sz="4" w:space="0" w:color="000000"/>
              <w:bottom w:val="single" w:sz="4" w:space="0" w:color="000000"/>
            </w:tcBorders>
            <w:vAlign w:val="center"/>
          </w:tcPr>
          <w:p w14:paraId="27C8CA47"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Инф. 200 mg/500 ml</w:t>
            </w:r>
          </w:p>
          <w:p w14:paraId="5D04C628"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100 mg</w:t>
            </w:r>
          </w:p>
        </w:tc>
        <w:tc>
          <w:tcPr>
            <w:tcW w:w="1351" w:type="dxa"/>
            <w:tcBorders>
              <w:top w:val="single" w:sz="4" w:space="0" w:color="000000"/>
              <w:left w:val="single" w:sz="4" w:space="0" w:color="000000"/>
              <w:bottom w:val="single" w:sz="4" w:space="0" w:color="000000"/>
            </w:tcBorders>
            <w:vAlign w:val="center"/>
          </w:tcPr>
          <w:p w14:paraId="1B32C77F"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400</w:t>
            </w:r>
          </w:p>
          <w:p w14:paraId="061C1A3F"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300</w:t>
            </w:r>
          </w:p>
        </w:tc>
        <w:tc>
          <w:tcPr>
            <w:tcW w:w="1701" w:type="dxa"/>
            <w:tcBorders>
              <w:top w:val="single" w:sz="4" w:space="0" w:color="000000"/>
              <w:left w:val="single" w:sz="4" w:space="0" w:color="000000"/>
              <w:bottom w:val="single" w:sz="4" w:space="0" w:color="000000"/>
              <w:right w:val="single" w:sz="4" w:space="0" w:color="000000"/>
            </w:tcBorders>
            <w:vAlign w:val="center"/>
          </w:tcPr>
          <w:p w14:paraId="7F27A4D2"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600</w:t>
            </w:r>
          </w:p>
          <w:p w14:paraId="2EEB0680"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400</w:t>
            </w:r>
          </w:p>
        </w:tc>
      </w:tr>
      <w:tr w:rsidR="00BE0B19" w:rsidRPr="00AE47C6" w14:paraId="724DD719" w14:textId="77777777" w:rsidTr="00AD72E5">
        <w:trPr>
          <w:trHeight w:val="183"/>
          <w:jc w:val="center"/>
        </w:trPr>
        <w:tc>
          <w:tcPr>
            <w:tcW w:w="3407" w:type="dxa"/>
            <w:tcBorders>
              <w:top w:val="single" w:sz="4" w:space="0" w:color="000000"/>
              <w:left w:val="single" w:sz="4" w:space="0" w:color="000000"/>
              <w:bottom w:val="single" w:sz="4" w:space="0" w:color="000000"/>
            </w:tcBorders>
            <w:vAlign w:val="center"/>
          </w:tcPr>
          <w:p w14:paraId="069E2A6D"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Biperiden</w:t>
            </w:r>
          </w:p>
        </w:tc>
        <w:tc>
          <w:tcPr>
            <w:tcW w:w="2552" w:type="dxa"/>
            <w:tcBorders>
              <w:top w:val="single" w:sz="4" w:space="0" w:color="000000"/>
              <w:left w:val="single" w:sz="4" w:space="0" w:color="000000"/>
              <w:bottom w:val="single" w:sz="4" w:space="0" w:color="000000"/>
            </w:tcBorders>
            <w:vAlign w:val="center"/>
          </w:tcPr>
          <w:p w14:paraId="7CCE43BA"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w:t>
            </w:r>
          </w:p>
        </w:tc>
        <w:tc>
          <w:tcPr>
            <w:tcW w:w="1351" w:type="dxa"/>
            <w:tcBorders>
              <w:top w:val="single" w:sz="4" w:space="0" w:color="000000"/>
              <w:left w:val="single" w:sz="4" w:space="0" w:color="000000"/>
              <w:bottom w:val="single" w:sz="4" w:space="0" w:color="000000"/>
            </w:tcBorders>
            <w:vAlign w:val="center"/>
          </w:tcPr>
          <w:p w14:paraId="10093640"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w:t>
            </w:r>
          </w:p>
        </w:tc>
        <w:tc>
          <w:tcPr>
            <w:tcW w:w="1701" w:type="dxa"/>
            <w:tcBorders>
              <w:top w:val="single" w:sz="4" w:space="0" w:color="000000"/>
              <w:left w:val="single" w:sz="4" w:space="0" w:color="000000"/>
              <w:bottom w:val="single" w:sz="4" w:space="0" w:color="000000"/>
              <w:right w:val="single" w:sz="4" w:space="0" w:color="000000"/>
            </w:tcBorders>
            <w:vAlign w:val="center"/>
          </w:tcPr>
          <w:p w14:paraId="4C72FC82"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16</w:t>
            </w:r>
          </w:p>
        </w:tc>
      </w:tr>
      <w:tr w:rsidR="00BE0B19" w:rsidRPr="00AE47C6" w14:paraId="11775B78" w14:textId="77777777" w:rsidTr="00AD72E5">
        <w:trPr>
          <w:trHeight w:val="231"/>
          <w:jc w:val="center"/>
        </w:trPr>
        <w:tc>
          <w:tcPr>
            <w:tcW w:w="3407" w:type="dxa"/>
            <w:tcBorders>
              <w:top w:val="single" w:sz="4" w:space="0" w:color="000000"/>
              <w:left w:val="single" w:sz="4" w:space="0" w:color="000000"/>
              <w:bottom w:val="single" w:sz="4" w:space="0" w:color="000000"/>
            </w:tcBorders>
            <w:vAlign w:val="center"/>
          </w:tcPr>
          <w:p w14:paraId="2F41CC0D"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Trihexyphenidyl</w:t>
            </w:r>
          </w:p>
        </w:tc>
        <w:tc>
          <w:tcPr>
            <w:tcW w:w="2552" w:type="dxa"/>
            <w:tcBorders>
              <w:top w:val="single" w:sz="4" w:space="0" w:color="000000"/>
              <w:left w:val="single" w:sz="4" w:space="0" w:color="000000"/>
              <w:bottom w:val="single" w:sz="4" w:space="0" w:color="000000"/>
            </w:tcBorders>
            <w:vAlign w:val="center"/>
          </w:tcPr>
          <w:p w14:paraId="0A3DCCD8"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w:t>
            </w:r>
          </w:p>
        </w:tc>
        <w:tc>
          <w:tcPr>
            <w:tcW w:w="1351" w:type="dxa"/>
            <w:tcBorders>
              <w:top w:val="single" w:sz="4" w:space="0" w:color="000000"/>
              <w:left w:val="single" w:sz="4" w:space="0" w:color="000000"/>
              <w:bottom w:val="single" w:sz="4" w:space="0" w:color="000000"/>
            </w:tcBorders>
            <w:vAlign w:val="center"/>
          </w:tcPr>
          <w:p w14:paraId="7FE81DD5"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w:t>
            </w:r>
          </w:p>
        </w:tc>
        <w:tc>
          <w:tcPr>
            <w:tcW w:w="1701" w:type="dxa"/>
            <w:tcBorders>
              <w:top w:val="single" w:sz="4" w:space="0" w:color="000000"/>
              <w:left w:val="single" w:sz="4" w:space="0" w:color="000000"/>
              <w:bottom w:val="single" w:sz="4" w:space="0" w:color="000000"/>
              <w:right w:val="single" w:sz="4" w:space="0" w:color="000000"/>
            </w:tcBorders>
            <w:vAlign w:val="center"/>
          </w:tcPr>
          <w:p w14:paraId="06CD6A65"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15</w:t>
            </w:r>
          </w:p>
        </w:tc>
      </w:tr>
    </w:tbl>
    <w:p w14:paraId="2AFCB59B"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3BCFB8D3" w14:textId="77777777" w:rsidR="00BE0B19" w:rsidRPr="00AE47C6" w:rsidRDefault="00BE0B19" w:rsidP="00BE0B19">
      <w:pPr>
        <w:spacing w:after="0" w:line="360" w:lineRule="auto"/>
        <w:jc w:val="both"/>
        <w:rPr>
          <w:rFonts w:ascii="Times New Roman" w:eastAsia="SimSun" w:hAnsi="Times New Roman"/>
          <w:b/>
          <w:sz w:val="24"/>
          <w:szCs w:val="24"/>
          <w:u w:val="single"/>
        </w:rPr>
      </w:pPr>
      <w:r w:rsidRPr="00AE47C6">
        <w:rPr>
          <w:rFonts w:ascii="Times New Roman" w:eastAsia="SimSun" w:hAnsi="Times New Roman"/>
          <w:b/>
          <w:sz w:val="24"/>
          <w:szCs w:val="24"/>
          <w:u w:val="single"/>
        </w:rPr>
        <w:t>Първи избор</w:t>
      </w:r>
    </w:p>
    <w:p w14:paraId="2AF2555D" w14:textId="77777777" w:rsidR="00BE0B19" w:rsidRPr="00AE47C6" w:rsidRDefault="00BE0B19" w:rsidP="00BE0B19">
      <w:pPr>
        <w:numPr>
          <w:ilvl w:val="0"/>
          <w:numId w:val="39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 xml:space="preserve">Rasagiline </w:t>
      </w:r>
      <w:r w:rsidRPr="00AE47C6">
        <w:rPr>
          <w:rFonts w:ascii="Times New Roman" w:eastAsia="SimSun" w:hAnsi="Times New Roman"/>
          <w:sz w:val="24"/>
          <w:szCs w:val="24"/>
        </w:rPr>
        <w:t>1 mg дн.</w:t>
      </w:r>
    </w:p>
    <w:p w14:paraId="2DC19B0A" w14:textId="77777777" w:rsidR="00BE0B19" w:rsidRPr="00AE47C6" w:rsidRDefault="00BE0B19" w:rsidP="00BE0B19">
      <w:pPr>
        <w:numPr>
          <w:ilvl w:val="0"/>
          <w:numId w:val="39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Selegiline</w:t>
      </w:r>
      <w:r w:rsidRPr="00AE47C6">
        <w:rPr>
          <w:rFonts w:ascii="Times New Roman" w:eastAsia="SimSun" w:hAnsi="Times New Roman"/>
          <w:sz w:val="24"/>
          <w:szCs w:val="24"/>
        </w:rPr>
        <w:t xml:space="preserve"> 10  mg дн.</w:t>
      </w:r>
    </w:p>
    <w:p w14:paraId="7765A8B2" w14:textId="77777777" w:rsidR="00BE0B19" w:rsidRPr="00AE47C6" w:rsidRDefault="00BE0B19" w:rsidP="00BE0B19">
      <w:pPr>
        <w:numPr>
          <w:ilvl w:val="0"/>
          <w:numId w:val="39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 xml:space="preserve">Pramipexole </w:t>
      </w:r>
      <w:r w:rsidRPr="00AE47C6">
        <w:rPr>
          <w:rFonts w:ascii="Times New Roman" w:eastAsia="SimSun" w:hAnsi="Times New Roman"/>
          <w:sz w:val="24"/>
          <w:szCs w:val="24"/>
        </w:rPr>
        <w:t>1,5 до 4,5 mg дн.</w:t>
      </w:r>
    </w:p>
    <w:p w14:paraId="12059B3E" w14:textId="77777777" w:rsidR="00BE0B19" w:rsidRPr="00AE47C6" w:rsidRDefault="00BE0B19" w:rsidP="00BE0B19">
      <w:pPr>
        <w:numPr>
          <w:ilvl w:val="0"/>
          <w:numId w:val="39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Ropinirolе</w:t>
      </w:r>
      <w:r w:rsidRPr="00AE47C6">
        <w:rPr>
          <w:rFonts w:ascii="Times New Roman" w:eastAsia="SimSun" w:hAnsi="Times New Roman"/>
          <w:sz w:val="24"/>
          <w:szCs w:val="24"/>
        </w:rPr>
        <w:t xml:space="preserve"> 7,5 до 24 mg дн.</w:t>
      </w:r>
    </w:p>
    <w:p w14:paraId="7C21669F" w14:textId="77777777" w:rsidR="00BE0B19" w:rsidRPr="00AE47C6" w:rsidRDefault="00BE0B19" w:rsidP="00BE0B19">
      <w:pPr>
        <w:numPr>
          <w:ilvl w:val="0"/>
          <w:numId w:val="39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 xml:space="preserve">Rotigotine </w:t>
      </w:r>
      <w:r w:rsidRPr="00AE47C6">
        <w:rPr>
          <w:rFonts w:ascii="Times New Roman" w:eastAsia="SimSun" w:hAnsi="Times New Roman"/>
          <w:sz w:val="24"/>
          <w:szCs w:val="24"/>
        </w:rPr>
        <w:t>4 до 16 mg дн.</w:t>
      </w:r>
    </w:p>
    <w:p w14:paraId="286ADE72" w14:textId="77777777" w:rsidR="00BE0B19" w:rsidRPr="00AE47C6" w:rsidRDefault="00BE0B19" w:rsidP="00BE0B19">
      <w:pPr>
        <w:spacing w:after="0" w:line="360" w:lineRule="auto"/>
        <w:jc w:val="both"/>
        <w:rPr>
          <w:rFonts w:ascii="Times New Roman" w:eastAsia="SimSun" w:hAnsi="Times New Roman"/>
          <w:b/>
          <w:sz w:val="24"/>
          <w:szCs w:val="24"/>
          <w:u w:val="single"/>
        </w:rPr>
      </w:pPr>
      <w:r w:rsidRPr="00AE47C6">
        <w:rPr>
          <w:rFonts w:ascii="Times New Roman" w:eastAsia="SimSun" w:hAnsi="Times New Roman"/>
          <w:b/>
          <w:sz w:val="24"/>
          <w:szCs w:val="24"/>
          <w:u w:val="single"/>
        </w:rPr>
        <w:t>Втори избор</w:t>
      </w:r>
    </w:p>
    <w:p w14:paraId="26E4787C" w14:textId="77777777" w:rsidR="00BE0B19" w:rsidRPr="00AE47C6" w:rsidRDefault="00BE0B19" w:rsidP="00BE0B19">
      <w:pPr>
        <w:numPr>
          <w:ilvl w:val="0"/>
          <w:numId w:val="394"/>
        </w:numPr>
        <w:spacing w:after="0" w:line="360" w:lineRule="auto"/>
        <w:contextualSpacing/>
        <w:jc w:val="both"/>
        <w:rPr>
          <w:rFonts w:ascii="Times New Roman" w:eastAsia="SimSun" w:hAnsi="Times New Roman"/>
          <w:i/>
          <w:sz w:val="24"/>
          <w:szCs w:val="24"/>
        </w:rPr>
      </w:pPr>
      <w:r w:rsidRPr="00AE47C6">
        <w:rPr>
          <w:rFonts w:ascii="Times New Roman" w:eastAsia="SimSun" w:hAnsi="Times New Roman"/>
          <w:i/>
          <w:sz w:val="24"/>
          <w:szCs w:val="24"/>
        </w:rPr>
        <w:t>Леводопа медикаменти</w:t>
      </w:r>
    </w:p>
    <w:p w14:paraId="25EEE1F3" w14:textId="77777777" w:rsidR="00BE0B19" w:rsidRPr="00AE47C6" w:rsidRDefault="00BE0B19" w:rsidP="00BE0B19">
      <w:pPr>
        <w:numPr>
          <w:ilvl w:val="0"/>
          <w:numId w:val="39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 xml:space="preserve">Amantadine sulfate </w:t>
      </w:r>
      <w:r w:rsidRPr="00AE47C6">
        <w:rPr>
          <w:rFonts w:ascii="Times New Roman" w:eastAsia="SimSun" w:hAnsi="Times New Roman"/>
          <w:sz w:val="24"/>
          <w:szCs w:val="24"/>
        </w:rPr>
        <w:t>до 400 mg дн.</w:t>
      </w:r>
    </w:p>
    <w:p w14:paraId="585EE3E5" w14:textId="77777777" w:rsidR="00BE0B19" w:rsidRPr="00AE47C6" w:rsidRDefault="00BE0B19" w:rsidP="00BE0B19">
      <w:pPr>
        <w:numPr>
          <w:ilvl w:val="0"/>
          <w:numId w:val="39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Amantadine hydrochloride</w:t>
      </w:r>
      <w:r w:rsidRPr="00AE47C6">
        <w:rPr>
          <w:rFonts w:ascii="Times New Roman" w:eastAsia="SimSun" w:hAnsi="Times New Roman"/>
          <w:sz w:val="24"/>
          <w:szCs w:val="24"/>
        </w:rPr>
        <w:t xml:space="preserve"> до 400 mg дн.</w:t>
      </w:r>
    </w:p>
    <w:p w14:paraId="4B59A002" w14:textId="77777777" w:rsidR="00BE0B19" w:rsidRPr="00AE47C6" w:rsidRDefault="00BE0B19" w:rsidP="00BE0B19">
      <w:pPr>
        <w:numPr>
          <w:ilvl w:val="0"/>
          <w:numId w:val="39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Opicapone 50 mg-</w:t>
      </w:r>
      <w:r w:rsidRPr="00AE47C6">
        <w:rPr>
          <w:rFonts w:ascii="Times New Roman" w:eastAsia="SimSun" w:hAnsi="Times New Roman"/>
          <w:b/>
          <w:bCs/>
          <w:lang w:eastAsia="bg-BG"/>
        </w:rPr>
        <w:t xml:space="preserve"> </w:t>
      </w:r>
      <w:r w:rsidRPr="00AE47C6">
        <w:rPr>
          <w:rFonts w:ascii="Times New Roman" w:eastAsia="SimSun" w:hAnsi="Times New Roman"/>
          <w:bCs/>
          <w:sz w:val="24"/>
          <w:szCs w:val="24"/>
          <w:lang w:eastAsia="bg-BG"/>
        </w:rPr>
        <w:t>допълваща терапия при лечение с препарати, съдържащи леводопа/инхибитори на допа декарбоксилазата</w:t>
      </w:r>
    </w:p>
    <w:p w14:paraId="485C4212" w14:textId="77777777" w:rsidR="00BE0B19" w:rsidRPr="00AE47C6" w:rsidRDefault="00BE0B19" w:rsidP="00BE0B19">
      <w:pPr>
        <w:spacing w:after="0" w:line="360" w:lineRule="auto"/>
        <w:jc w:val="both"/>
        <w:rPr>
          <w:rFonts w:ascii="Times New Roman" w:eastAsia="SimSun" w:hAnsi="Times New Roman"/>
          <w:b/>
          <w:sz w:val="24"/>
          <w:szCs w:val="24"/>
          <w:u w:val="single"/>
        </w:rPr>
      </w:pPr>
      <w:r w:rsidRPr="00AE47C6">
        <w:rPr>
          <w:rFonts w:ascii="Times New Roman" w:eastAsia="SimSun" w:hAnsi="Times New Roman"/>
          <w:b/>
          <w:sz w:val="24"/>
          <w:szCs w:val="24"/>
          <w:u w:val="single"/>
        </w:rPr>
        <w:t>Трети избор</w:t>
      </w:r>
    </w:p>
    <w:p w14:paraId="165F821C" w14:textId="77777777" w:rsidR="00BE0B19" w:rsidRPr="00AE47C6" w:rsidRDefault="00BE0B19" w:rsidP="00BE0B19">
      <w:pPr>
        <w:numPr>
          <w:ilvl w:val="0"/>
          <w:numId w:val="39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Apomorphine hydrochloride hemihydrate</w:t>
      </w:r>
      <w:r w:rsidRPr="00AE47C6">
        <w:rPr>
          <w:rFonts w:ascii="Times New Roman" w:eastAsia="SimSun" w:hAnsi="Times New Roman"/>
          <w:sz w:val="24"/>
          <w:szCs w:val="24"/>
        </w:rPr>
        <w:t xml:space="preserve"> 10 mg/ml s.c. до 100 mg дн.</w:t>
      </w:r>
    </w:p>
    <w:p w14:paraId="690F3048" w14:textId="0FB58D04" w:rsidR="00BE0B19" w:rsidRPr="00AE47C6" w:rsidRDefault="00E57013" w:rsidP="00E57013">
      <w:pPr>
        <w:numPr>
          <w:ilvl w:val="0"/>
          <w:numId w:val="39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Levodopa/Carbidopa</w:t>
      </w:r>
      <w:r w:rsidR="00BE0B19" w:rsidRPr="00AE47C6">
        <w:rPr>
          <w:rFonts w:ascii="Times New Roman" w:eastAsia="SimSun" w:hAnsi="Times New Roman"/>
          <w:i/>
          <w:sz w:val="24"/>
          <w:szCs w:val="24"/>
        </w:rPr>
        <w:t xml:space="preserve"> </w:t>
      </w:r>
      <w:r w:rsidR="00BE0B19" w:rsidRPr="00AE47C6">
        <w:rPr>
          <w:rFonts w:ascii="Times New Roman" w:eastAsia="SimSun" w:hAnsi="Times New Roman"/>
          <w:sz w:val="24"/>
          <w:szCs w:val="24"/>
        </w:rPr>
        <w:t>100 ml (2000 mg levodopa/500 mg carbidopa)</w:t>
      </w:r>
    </w:p>
    <w:p w14:paraId="06BC1845" w14:textId="77777777" w:rsidR="00BE0B19" w:rsidRPr="00AE47C6" w:rsidRDefault="00BE0B19" w:rsidP="00BE0B19">
      <w:pPr>
        <w:spacing w:after="0" w:line="360" w:lineRule="auto"/>
        <w:jc w:val="both"/>
        <w:rPr>
          <w:rFonts w:ascii="Times New Roman" w:eastAsia="SimSun" w:hAnsi="Times New Roman"/>
          <w:b/>
          <w:sz w:val="24"/>
          <w:szCs w:val="24"/>
          <w:u w:val="single"/>
        </w:rPr>
      </w:pPr>
      <w:r w:rsidRPr="00AE47C6">
        <w:rPr>
          <w:rFonts w:ascii="Times New Roman" w:eastAsia="SimSun" w:hAnsi="Times New Roman"/>
          <w:b/>
          <w:sz w:val="24"/>
          <w:szCs w:val="24"/>
          <w:u w:val="single"/>
        </w:rPr>
        <w:t>Симптоматично лечение</w:t>
      </w:r>
    </w:p>
    <w:p w14:paraId="78FBC7EF" w14:textId="77777777" w:rsidR="00BE0B19" w:rsidRPr="00AE47C6" w:rsidRDefault="00BE0B19" w:rsidP="00BE0B19">
      <w:pPr>
        <w:numPr>
          <w:ilvl w:val="0"/>
          <w:numId w:val="396"/>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Clozapine</w:t>
      </w:r>
      <w:r w:rsidRPr="00AE47C6">
        <w:rPr>
          <w:rFonts w:ascii="Times New Roman" w:eastAsia="SimSun" w:hAnsi="Times New Roman"/>
          <w:sz w:val="24"/>
          <w:szCs w:val="24"/>
        </w:rPr>
        <w:t xml:space="preserve"> 12,5 – 75 mg дн.</w:t>
      </w:r>
    </w:p>
    <w:p w14:paraId="6E3216DB" w14:textId="77777777" w:rsidR="00BE0B19" w:rsidRPr="00AE47C6" w:rsidRDefault="00BE0B19" w:rsidP="00BE0B19">
      <w:pPr>
        <w:numPr>
          <w:ilvl w:val="0"/>
          <w:numId w:val="396"/>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Alprazolam</w:t>
      </w:r>
      <w:r w:rsidRPr="00AE47C6">
        <w:rPr>
          <w:rFonts w:ascii="Times New Roman" w:eastAsia="SimSun" w:hAnsi="Times New Roman"/>
          <w:sz w:val="24"/>
          <w:szCs w:val="24"/>
        </w:rPr>
        <w:t xml:space="preserve"> 0,5 – 1,0 mg дн.</w:t>
      </w:r>
    </w:p>
    <w:p w14:paraId="12A3B34B" w14:textId="77777777" w:rsidR="00BE0B19" w:rsidRPr="00AE47C6" w:rsidRDefault="00BE0B19" w:rsidP="00BE0B19">
      <w:pPr>
        <w:numPr>
          <w:ilvl w:val="0"/>
          <w:numId w:val="396"/>
        </w:numPr>
        <w:spacing w:after="0" w:line="360" w:lineRule="auto"/>
        <w:contextualSpacing/>
        <w:jc w:val="both"/>
        <w:rPr>
          <w:rFonts w:ascii="Times New Roman" w:eastAsia="SimSun" w:hAnsi="Times New Roman"/>
          <w:i/>
          <w:sz w:val="24"/>
          <w:szCs w:val="24"/>
        </w:rPr>
      </w:pPr>
      <w:r w:rsidRPr="00AE47C6">
        <w:rPr>
          <w:rFonts w:ascii="Times New Roman" w:eastAsia="SimSun" w:hAnsi="Times New Roman"/>
          <w:i/>
          <w:sz w:val="24"/>
          <w:szCs w:val="24"/>
        </w:rPr>
        <w:t>Антидепресанти от група SNRI</w:t>
      </w:r>
    </w:p>
    <w:p w14:paraId="2D21EEBB"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Таблица 6.2. Медикаменти за симптоматично лечение на Паркинсоновата болест</w:t>
      </w:r>
    </w:p>
    <w:tbl>
      <w:tblPr>
        <w:tblW w:w="9220" w:type="dxa"/>
        <w:jc w:val="center"/>
        <w:tblLayout w:type="fixed"/>
        <w:tblLook w:val="0000" w:firstRow="0" w:lastRow="0" w:firstColumn="0" w:lastColumn="0" w:noHBand="0" w:noVBand="0"/>
      </w:tblPr>
      <w:tblGrid>
        <w:gridCol w:w="2552"/>
        <w:gridCol w:w="1985"/>
        <w:gridCol w:w="1706"/>
        <w:gridCol w:w="1276"/>
        <w:gridCol w:w="1701"/>
      </w:tblGrid>
      <w:tr w:rsidR="00BE0B19" w:rsidRPr="00AE47C6" w14:paraId="575287CF" w14:textId="77777777" w:rsidTr="00AD72E5">
        <w:trPr>
          <w:jc w:val="center"/>
        </w:trPr>
        <w:tc>
          <w:tcPr>
            <w:tcW w:w="2552" w:type="dxa"/>
            <w:tcBorders>
              <w:top w:val="single" w:sz="4" w:space="0" w:color="000000"/>
              <w:left w:val="single" w:sz="4" w:space="0" w:color="000000"/>
              <w:bottom w:val="single" w:sz="4" w:space="0" w:color="000000"/>
            </w:tcBorders>
          </w:tcPr>
          <w:p w14:paraId="09D05567"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Симптом</w:t>
            </w:r>
          </w:p>
        </w:tc>
        <w:tc>
          <w:tcPr>
            <w:tcW w:w="1985" w:type="dxa"/>
            <w:tcBorders>
              <w:top w:val="single" w:sz="4" w:space="0" w:color="000000"/>
              <w:left w:val="single" w:sz="4" w:space="0" w:color="000000"/>
              <w:bottom w:val="single" w:sz="4" w:space="0" w:color="000000"/>
            </w:tcBorders>
          </w:tcPr>
          <w:p w14:paraId="1868FF40"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Генерично наименование</w:t>
            </w:r>
          </w:p>
        </w:tc>
        <w:tc>
          <w:tcPr>
            <w:tcW w:w="1706" w:type="dxa"/>
            <w:tcBorders>
              <w:top w:val="single" w:sz="4" w:space="0" w:color="000000"/>
              <w:left w:val="single" w:sz="4" w:space="0" w:color="000000"/>
              <w:bottom w:val="single" w:sz="4" w:space="0" w:color="000000"/>
            </w:tcBorders>
          </w:tcPr>
          <w:p w14:paraId="0F1501E2"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Опаковки</w:t>
            </w:r>
          </w:p>
          <w:p w14:paraId="33F60774"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sz w:val="24"/>
                <w:szCs w:val="24"/>
              </w:rPr>
              <w:t>tabl. mg</w:t>
            </w:r>
          </w:p>
        </w:tc>
        <w:tc>
          <w:tcPr>
            <w:tcW w:w="1276" w:type="dxa"/>
            <w:tcBorders>
              <w:top w:val="single" w:sz="4" w:space="0" w:color="000000"/>
              <w:left w:val="single" w:sz="4" w:space="0" w:color="000000"/>
              <w:bottom w:val="single" w:sz="4" w:space="0" w:color="000000"/>
            </w:tcBorders>
          </w:tcPr>
          <w:p w14:paraId="0088CA81"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Средна доза</w:t>
            </w:r>
            <w:r w:rsidRPr="00AE47C6">
              <w:rPr>
                <w:rFonts w:ascii="Times New Roman" w:eastAsia="SimSun" w:hAnsi="Times New Roman"/>
                <w:sz w:val="24"/>
                <w:szCs w:val="24"/>
              </w:rPr>
              <w:t xml:space="preserve"> mg</w:t>
            </w:r>
          </w:p>
        </w:tc>
        <w:tc>
          <w:tcPr>
            <w:tcW w:w="1701" w:type="dxa"/>
            <w:tcBorders>
              <w:top w:val="single" w:sz="4" w:space="0" w:color="000000"/>
              <w:left w:val="single" w:sz="4" w:space="0" w:color="000000"/>
              <w:bottom w:val="single" w:sz="4" w:space="0" w:color="000000"/>
              <w:right w:val="single" w:sz="4" w:space="0" w:color="000000"/>
            </w:tcBorders>
          </w:tcPr>
          <w:p w14:paraId="1ACD76C8"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Максимална доза</w:t>
            </w:r>
            <w:r w:rsidRPr="00AE47C6">
              <w:rPr>
                <w:rFonts w:ascii="Times New Roman" w:eastAsia="SimSun" w:hAnsi="Times New Roman"/>
                <w:sz w:val="24"/>
                <w:szCs w:val="24"/>
              </w:rPr>
              <w:t xml:space="preserve"> mg</w:t>
            </w:r>
          </w:p>
        </w:tc>
      </w:tr>
      <w:tr w:rsidR="00BE0B19" w:rsidRPr="00AE47C6" w14:paraId="27D68A80" w14:textId="77777777" w:rsidTr="00AD72E5">
        <w:trPr>
          <w:jc w:val="center"/>
        </w:trPr>
        <w:tc>
          <w:tcPr>
            <w:tcW w:w="2552" w:type="dxa"/>
            <w:tcBorders>
              <w:top w:val="single" w:sz="4" w:space="0" w:color="000000"/>
              <w:left w:val="single" w:sz="4" w:space="0" w:color="000000"/>
              <w:bottom w:val="single" w:sz="4" w:space="0" w:color="000000"/>
            </w:tcBorders>
            <w:vAlign w:val="center"/>
          </w:tcPr>
          <w:p w14:paraId="1430FB89"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Уринарни</w:t>
            </w:r>
          </w:p>
          <w:p w14:paraId="362E8525"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нарушения</w:t>
            </w:r>
          </w:p>
          <w:p w14:paraId="31B6B622"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Хиперфункция детрузора на пикочния мехур</w:t>
            </w:r>
          </w:p>
          <w:p w14:paraId="4975FA16"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Повишен тонус на външния сфинктер</w:t>
            </w:r>
          </w:p>
        </w:tc>
        <w:tc>
          <w:tcPr>
            <w:tcW w:w="1985" w:type="dxa"/>
            <w:tcBorders>
              <w:top w:val="single" w:sz="4" w:space="0" w:color="000000"/>
              <w:left w:val="single" w:sz="4" w:space="0" w:color="000000"/>
              <w:bottom w:val="single" w:sz="4" w:space="0" w:color="000000"/>
            </w:tcBorders>
            <w:vAlign w:val="center"/>
          </w:tcPr>
          <w:p w14:paraId="4E07FFA0"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23E66A9A"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599468BD"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2D830FD9"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Tolterodine</w:t>
            </w:r>
          </w:p>
          <w:p w14:paraId="1803D4F8"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660DFF77"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Baclofen</w:t>
            </w:r>
          </w:p>
        </w:tc>
        <w:tc>
          <w:tcPr>
            <w:tcW w:w="1706" w:type="dxa"/>
            <w:tcBorders>
              <w:top w:val="single" w:sz="4" w:space="0" w:color="000000"/>
              <w:left w:val="single" w:sz="4" w:space="0" w:color="000000"/>
              <w:bottom w:val="single" w:sz="4" w:space="0" w:color="000000"/>
            </w:tcBorders>
            <w:vAlign w:val="center"/>
          </w:tcPr>
          <w:p w14:paraId="420E5C1C"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3BF07CE2"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13F3B45C"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075AE120"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и 2</w:t>
            </w:r>
          </w:p>
          <w:p w14:paraId="447B48D7"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48A62D22"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10</w:t>
            </w:r>
          </w:p>
        </w:tc>
        <w:tc>
          <w:tcPr>
            <w:tcW w:w="1276" w:type="dxa"/>
            <w:tcBorders>
              <w:top w:val="single" w:sz="4" w:space="0" w:color="000000"/>
              <w:left w:val="single" w:sz="4" w:space="0" w:color="000000"/>
              <w:bottom w:val="single" w:sz="4" w:space="0" w:color="000000"/>
            </w:tcBorders>
            <w:vAlign w:val="center"/>
          </w:tcPr>
          <w:p w14:paraId="2A1E40B4"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65A4FA94"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052DDAA8"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4B2A1F2B"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w:t>
            </w:r>
          </w:p>
          <w:p w14:paraId="29FAA10B"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0F00F678"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30</w:t>
            </w:r>
          </w:p>
        </w:tc>
        <w:tc>
          <w:tcPr>
            <w:tcW w:w="1701" w:type="dxa"/>
            <w:tcBorders>
              <w:top w:val="single" w:sz="4" w:space="0" w:color="000000"/>
              <w:left w:val="single" w:sz="4" w:space="0" w:color="000000"/>
              <w:bottom w:val="single" w:sz="4" w:space="0" w:color="000000"/>
              <w:right w:val="single" w:sz="4" w:space="0" w:color="000000"/>
            </w:tcBorders>
            <w:vAlign w:val="center"/>
          </w:tcPr>
          <w:p w14:paraId="32FC1A68"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0C8DE632"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3AC4BA8C"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2835510C"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w:t>
            </w:r>
          </w:p>
          <w:p w14:paraId="2072F814"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75A3CC03"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60</w:t>
            </w:r>
          </w:p>
        </w:tc>
      </w:tr>
      <w:tr w:rsidR="00BE0B19" w:rsidRPr="00AE47C6" w14:paraId="4F1A50E7" w14:textId="77777777" w:rsidTr="00AD72E5">
        <w:trPr>
          <w:jc w:val="center"/>
        </w:trPr>
        <w:tc>
          <w:tcPr>
            <w:tcW w:w="2552" w:type="dxa"/>
            <w:tcBorders>
              <w:top w:val="single" w:sz="4" w:space="0" w:color="000000"/>
              <w:left w:val="single" w:sz="4" w:space="0" w:color="000000"/>
              <w:bottom w:val="single" w:sz="4" w:space="0" w:color="000000"/>
            </w:tcBorders>
            <w:vAlign w:val="center"/>
          </w:tcPr>
          <w:p w14:paraId="6C8C0A44" w14:textId="77777777" w:rsidR="00BE0B19" w:rsidRPr="00AE47C6" w:rsidRDefault="00BE0B19" w:rsidP="00BE0B19">
            <w:pPr>
              <w:widowControl w:val="0"/>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Инсомния</w:t>
            </w:r>
          </w:p>
        </w:tc>
        <w:tc>
          <w:tcPr>
            <w:tcW w:w="1985" w:type="dxa"/>
            <w:tcBorders>
              <w:top w:val="single" w:sz="4" w:space="0" w:color="000000"/>
              <w:left w:val="single" w:sz="4" w:space="0" w:color="000000"/>
              <w:bottom w:val="single" w:sz="4" w:space="0" w:color="000000"/>
            </w:tcBorders>
            <w:vAlign w:val="center"/>
          </w:tcPr>
          <w:p w14:paraId="5372D4A1"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Zolpidem</w:t>
            </w:r>
          </w:p>
          <w:p w14:paraId="7753FD20"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Zopiclone</w:t>
            </w:r>
          </w:p>
          <w:p w14:paraId="6C22B041"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Clonazepam</w:t>
            </w:r>
          </w:p>
          <w:p w14:paraId="09D0A2BB"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Amitriptyline</w:t>
            </w:r>
          </w:p>
          <w:p w14:paraId="23FF8FD1"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Mirtazapine</w:t>
            </w:r>
          </w:p>
        </w:tc>
        <w:tc>
          <w:tcPr>
            <w:tcW w:w="1706" w:type="dxa"/>
            <w:tcBorders>
              <w:top w:val="single" w:sz="4" w:space="0" w:color="000000"/>
              <w:left w:val="single" w:sz="4" w:space="0" w:color="000000"/>
              <w:bottom w:val="single" w:sz="4" w:space="0" w:color="000000"/>
            </w:tcBorders>
            <w:vAlign w:val="center"/>
          </w:tcPr>
          <w:p w14:paraId="1E3CFB07"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10</w:t>
            </w:r>
          </w:p>
          <w:p w14:paraId="2476F491"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7,5</w:t>
            </w:r>
          </w:p>
          <w:p w14:paraId="02911AEC"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0,25; 1; 2</w:t>
            </w:r>
          </w:p>
          <w:p w14:paraId="13C284B6"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25</w:t>
            </w:r>
          </w:p>
          <w:p w14:paraId="2869FDB5"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30 и 45</w:t>
            </w:r>
          </w:p>
        </w:tc>
        <w:tc>
          <w:tcPr>
            <w:tcW w:w="1276" w:type="dxa"/>
            <w:tcBorders>
              <w:top w:val="single" w:sz="4" w:space="0" w:color="000000"/>
              <w:left w:val="single" w:sz="4" w:space="0" w:color="000000"/>
              <w:bottom w:val="single" w:sz="4" w:space="0" w:color="000000"/>
            </w:tcBorders>
            <w:vAlign w:val="center"/>
          </w:tcPr>
          <w:p w14:paraId="0536CD18"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w:t>
            </w:r>
          </w:p>
          <w:p w14:paraId="2266B802"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7,5</w:t>
            </w:r>
          </w:p>
          <w:p w14:paraId="59ADF799"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w:t>
            </w:r>
          </w:p>
          <w:p w14:paraId="02007E61"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12,5</w:t>
            </w:r>
          </w:p>
          <w:p w14:paraId="67FD01E3"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30</w:t>
            </w:r>
          </w:p>
        </w:tc>
        <w:tc>
          <w:tcPr>
            <w:tcW w:w="1701" w:type="dxa"/>
            <w:tcBorders>
              <w:top w:val="single" w:sz="4" w:space="0" w:color="000000"/>
              <w:left w:val="single" w:sz="4" w:space="0" w:color="000000"/>
              <w:bottom w:val="single" w:sz="4" w:space="0" w:color="000000"/>
              <w:right w:val="single" w:sz="4" w:space="0" w:color="000000"/>
            </w:tcBorders>
            <w:vAlign w:val="center"/>
          </w:tcPr>
          <w:p w14:paraId="703E5993"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10</w:t>
            </w:r>
          </w:p>
          <w:p w14:paraId="22FF53C4"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7,5</w:t>
            </w:r>
          </w:p>
          <w:p w14:paraId="383D4751"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w:t>
            </w:r>
          </w:p>
          <w:p w14:paraId="21E5C259"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25</w:t>
            </w:r>
          </w:p>
          <w:p w14:paraId="065D9498"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60</w:t>
            </w:r>
          </w:p>
        </w:tc>
      </w:tr>
      <w:tr w:rsidR="00BE0B19" w:rsidRPr="00AE47C6" w14:paraId="493E0951" w14:textId="77777777" w:rsidTr="00AD72E5">
        <w:trPr>
          <w:jc w:val="center"/>
        </w:trPr>
        <w:tc>
          <w:tcPr>
            <w:tcW w:w="2552" w:type="dxa"/>
            <w:tcBorders>
              <w:top w:val="single" w:sz="4" w:space="0" w:color="000000"/>
              <w:left w:val="single" w:sz="4" w:space="0" w:color="000000"/>
              <w:bottom w:val="single" w:sz="4" w:space="0" w:color="000000"/>
            </w:tcBorders>
            <w:vAlign w:val="center"/>
          </w:tcPr>
          <w:p w14:paraId="3F9E84E9" w14:textId="77777777" w:rsidR="00BE0B19" w:rsidRPr="00AE47C6" w:rsidRDefault="00BE0B19" w:rsidP="00BE0B19">
            <w:pPr>
              <w:widowControl w:val="0"/>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Нощни кошмари</w:t>
            </w:r>
          </w:p>
          <w:p w14:paraId="3F5DB410" w14:textId="77777777" w:rsidR="00BE0B19" w:rsidRPr="00AE47C6" w:rsidRDefault="00BE0B19" w:rsidP="00BE0B19">
            <w:pPr>
              <w:widowControl w:val="0"/>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Халюцинации</w:t>
            </w:r>
          </w:p>
        </w:tc>
        <w:tc>
          <w:tcPr>
            <w:tcW w:w="1985" w:type="dxa"/>
            <w:tcBorders>
              <w:top w:val="single" w:sz="4" w:space="0" w:color="000000"/>
              <w:left w:val="single" w:sz="4" w:space="0" w:color="000000"/>
              <w:bottom w:val="single" w:sz="4" w:space="0" w:color="000000"/>
            </w:tcBorders>
            <w:vAlign w:val="center"/>
          </w:tcPr>
          <w:p w14:paraId="08D1A65A"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Clozapine</w:t>
            </w:r>
          </w:p>
        </w:tc>
        <w:tc>
          <w:tcPr>
            <w:tcW w:w="1706" w:type="dxa"/>
            <w:tcBorders>
              <w:top w:val="single" w:sz="4" w:space="0" w:color="000000"/>
              <w:left w:val="single" w:sz="4" w:space="0" w:color="000000"/>
              <w:bottom w:val="single" w:sz="4" w:space="0" w:color="000000"/>
            </w:tcBorders>
            <w:vAlign w:val="center"/>
          </w:tcPr>
          <w:p w14:paraId="6DE78AAE"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25; 100</w:t>
            </w:r>
          </w:p>
        </w:tc>
        <w:tc>
          <w:tcPr>
            <w:tcW w:w="1276" w:type="dxa"/>
            <w:tcBorders>
              <w:top w:val="single" w:sz="4" w:space="0" w:color="000000"/>
              <w:left w:val="single" w:sz="4" w:space="0" w:color="000000"/>
              <w:bottom w:val="single" w:sz="4" w:space="0" w:color="000000"/>
            </w:tcBorders>
            <w:vAlign w:val="center"/>
          </w:tcPr>
          <w:p w14:paraId="66C03A0F"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12,5</w:t>
            </w:r>
          </w:p>
          <w:p w14:paraId="77802D3C"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25</w:t>
            </w:r>
          </w:p>
        </w:tc>
        <w:tc>
          <w:tcPr>
            <w:tcW w:w="1701" w:type="dxa"/>
            <w:tcBorders>
              <w:top w:val="single" w:sz="4" w:space="0" w:color="000000"/>
              <w:left w:val="single" w:sz="4" w:space="0" w:color="000000"/>
              <w:bottom w:val="single" w:sz="4" w:space="0" w:color="000000"/>
              <w:right w:val="single" w:sz="4" w:space="0" w:color="000000"/>
            </w:tcBorders>
            <w:vAlign w:val="center"/>
          </w:tcPr>
          <w:p w14:paraId="0B544432"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25</w:t>
            </w:r>
          </w:p>
          <w:p w14:paraId="3AC8ED22"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75</w:t>
            </w:r>
          </w:p>
        </w:tc>
      </w:tr>
      <w:tr w:rsidR="00BE0B19" w:rsidRPr="00AE47C6" w14:paraId="136DEBEA" w14:textId="77777777" w:rsidTr="00AD72E5">
        <w:trPr>
          <w:jc w:val="center"/>
        </w:trPr>
        <w:tc>
          <w:tcPr>
            <w:tcW w:w="2552" w:type="dxa"/>
            <w:tcBorders>
              <w:top w:val="single" w:sz="4" w:space="0" w:color="000000"/>
              <w:left w:val="single" w:sz="4" w:space="0" w:color="000000"/>
              <w:bottom w:val="single" w:sz="4" w:space="0" w:color="000000"/>
            </w:tcBorders>
            <w:vAlign w:val="center"/>
          </w:tcPr>
          <w:p w14:paraId="6BF84BB4" w14:textId="77777777" w:rsidR="00BE0B19" w:rsidRPr="00AE47C6" w:rsidRDefault="00BE0B19" w:rsidP="00BE0B19">
            <w:pPr>
              <w:widowControl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Синдром на неспокойните крака</w:t>
            </w:r>
          </w:p>
        </w:tc>
        <w:tc>
          <w:tcPr>
            <w:tcW w:w="1985" w:type="dxa"/>
            <w:tcBorders>
              <w:top w:val="single" w:sz="4" w:space="0" w:color="000000"/>
              <w:left w:val="single" w:sz="4" w:space="0" w:color="000000"/>
              <w:bottom w:val="single" w:sz="4" w:space="0" w:color="000000"/>
            </w:tcBorders>
            <w:vAlign w:val="center"/>
          </w:tcPr>
          <w:p w14:paraId="2F7D2C15"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Clonazepam</w:t>
            </w:r>
          </w:p>
        </w:tc>
        <w:tc>
          <w:tcPr>
            <w:tcW w:w="1706" w:type="dxa"/>
            <w:tcBorders>
              <w:top w:val="single" w:sz="4" w:space="0" w:color="000000"/>
              <w:left w:val="single" w:sz="4" w:space="0" w:color="000000"/>
              <w:bottom w:val="single" w:sz="4" w:space="0" w:color="000000"/>
            </w:tcBorders>
            <w:vAlign w:val="center"/>
          </w:tcPr>
          <w:p w14:paraId="7010E67C"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0,25; 1; 2</w:t>
            </w:r>
          </w:p>
        </w:tc>
        <w:tc>
          <w:tcPr>
            <w:tcW w:w="1276" w:type="dxa"/>
            <w:tcBorders>
              <w:top w:val="single" w:sz="4" w:space="0" w:color="000000"/>
              <w:left w:val="single" w:sz="4" w:space="0" w:color="000000"/>
              <w:bottom w:val="single" w:sz="4" w:space="0" w:color="000000"/>
            </w:tcBorders>
            <w:vAlign w:val="center"/>
          </w:tcPr>
          <w:p w14:paraId="5367207A"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0,25</w:t>
            </w:r>
          </w:p>
        </w:tc>
        <w:tc>
          <w:tcPr>
            <w:tcW w:w="1701" w:type="dxa"/>
            <w:tcBorders>
              <w:top w:val="single" w:sz="4" w:space="0" w:color="000000"/>
              <w:left w:val="single" w:sz="4" w:space="0" w:color="000000"/>
              <w:bottom w:val="single" w:sz="4" w:space="0" w:color="000000"/>
              <w:right w:val="single" w:sz="4" w:space="0" w:color="000000"/>
            </w:tcBorders>
            <w:vAlign w:val="center"/>
          </w:tcPr>
          <w:p w14:paraId="3655C4DC"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w:t>
            </w:r>
          </w:p>
        </w:tc>
      </w:tr>
      <w:tr w:rsidR="00BE0B19" w:rsidRPr="00AE47C6" w14:paraId="799812FF" w14:textId="77777777" w:rsidTr="00AD72E5">
        <w:trPr>
          <w:trHeight w:val="547"/>
          <w:jc w:val="center"/>
        </w:trPr>
        <w:tc>
          <w:tcPr>
            <w:tcW w:w="2552" w:type="dxa"/>
            <w:tcBorders>
              <w:top w:val="single" w:sz="4" w:space="0" w:color="000000"/>
              <w:left w:val="single" w:sz="4" w:space="0" w:color="000000"/>
              <w:bottom w:val="single" w:sz="4" w:space="0" w:color="000000"/>
            </w:tcBorders>
            <w:vAlign w:val="center"/>
          </w:tcPr>
          <w:p w14:paraId="7B002820" w14:textId="77777777" w:rsidR="00BE0B19" w:rsidRPr="00AE47C6" w:rsidRDefault="00BE0B19" w:rsidP="00BE0B19">
            <w:pPr>
              <w:widowControl w:val="0"/>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Тревожност</w:t>
            </w:r>
          </w:p>
        </w:tc>
        <w:tc>
          <w:tcPr>
            <w:tcW w:w="1985" w:type="dxa"/>
            <w:tcBorders>
              <w:top w:val="single" w:sz="4" w:space="0" w:color="000000"/>
              <w:left w:val="single" w:sz="4" w:space="0" w:color="000000"/>
              <w:bottom w:val="single" w:sz="4" w:space="0" w:color="000000"/>
            </w:tcBorders>
            <w:vAlign w:val="center"/>
          </w:tcPr>
          <w:p w14:paraId="501055B3"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Alprazolam</w:t>
            </w:r>
          </w:p>
        </w:tc>
        <w:tc>
          <w:tcPr>
            <w:tcW w:w="1706" w:type="dxa"/>
            <w:tcBorders>
              <w:top w:val="single" w:sz="4" w:space="0" w:color="000000"/>
              <w:left w:val="single" w:sz="4" w:space="0" w:color="000000"/>
              <w:bottom w:val="single" w:sz="4" w:space="0" w:color="000000"/>
            </w:tcBorders>
            <w:vAlign w:val="center"/>
          </w:tcPr>
          <w:p w14:paraId="1DB49A75"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0,25; 0,5; 1</w:t>
            </w:r>
          </w:p>
        </w:tc>
        <w:tc>
          <w:tcPr>
            <w:tcW w:w="1276" w:type="dxa"/>
            <w:tcBorders>
              <w:top w:val="single" w:sz="4" w:space="0" w:color="000000"/>
              <w:left w:val="single" w:sz="4" w:space="0" w:color="000000"/>
              <w:bottom w:val="single" w:sz="4" w:space="0" w:color="000000"/>
            </w:tcBorders>
            <w:vAlign w:val="center"/>
          </w:tcPr>
          <w:p w14:paraId="34963998"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0,5</w:t>
            </w:r>
          </w:p>
        </w:tc>
        <w:tc>
          <w:tcPr>
            <w:tcW w:w="1701" w:type="dxa"/>
            <w:tcBorders>
              <w:top w:val="single" w:sz="4" w:space="0" w:color="000000"/>
              <w:left w:val="single" w:sz="4" w:space="0" w:color="000000"/>
              <w:bottom w:val="single" w:sz="4" w:space="0" w:color="000000"/>
              <w:right w:val="single" w:sz="4" w:space="0" w:color="000000"/>
            </w:tcBorders>
            <w:vAlign w:val="center"/>
          </w:tcPr>
          <w:p w14:paraId="022C53D0"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w:t>
            </w:r>
          </w:p>
        </w:tc>
      </w:tr>
      <w:tr w:rsidR="00BE0B19" w:rsidRPr="00AE47C6" w14:paraId="7D6571D7" w14:textId="77777777" w:rsidTr="00AD72E5">
        <w:trPr>
          <w:jc w:val="center"/>
        </w:trPr>
        <w:tc>
          <w:tcPr>
            <w:tcW w:w="2552" w:type="dxa"/>
            <w:tcBorders>
              <w:top w:val="single" w:sz="4" w:space="0" w:color="000000"/>
              <w:left w:val="single" w:sz="4" w:space="0" w:color="000000"/>
              <w:bottom w:val="single" w:sz="4" w:space="0" w:color="000000"/>
            </w:tcBorders>
            <w:vAlign w:val="center"/>
          </w:tcPr>
          <w:p w14:paraId="5A1DC8EF" w14:textId="77777777" w:rsidR="00BE0B19" w:rsidRPr="00AE47C6" w:rsidRDefault="00BE0B19" w:rsidP="00BE0B19">
            <w:pPr>
              <w:widowControl w:val="0"/>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Депресия</w:t>
            </w:r>
          </w:p>
        </w:tc>
        <w:tc>
          <w:tcPr>
            <w:tcW w:w="1985" w:type="dxa"/>
            <w:tcBorders>
              <w:top w:val="single" w:sz="4" w:space="0" w:color="000000"/>
              <w:left w:val="single" w:sz="4" w:space="0" w:color="000000"/>
              <w:bottom w:val="single" w:sz="4" w:space="0" w:color="000000"/>
            </w:tcBorders>
            <w:vAlign w:val="center"/>
          </w:tcPr>
          <w:p w14:paraId="43B252D0"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Amitriptyline</w:t>
            </w:r>
          </w:p>
          <w:p w14:paraId="2B1FD52C"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Venlafaxine</w:t>
            </w:r>
          </w:p>
          <w:p w14:paraId="7F41CA21"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Mirtazapine</w:t>
            </w:r>
          </w:p>
          <w:p w14:paraId="19F44954"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Duloxetine </w:t>
            </w:r>
          </w:p>
        </w:tc>
        <w:tc>
          <w:tcPr>
            <w:tcW w:w="1706" w:type="dxa"/>
            <w:tcBorders>
              <w:top w:val="single" w:sz="4" w:space="0" w:color="000000"/>
              <w:left w:val="single" w:sz="4" w:space="0" w:color="000000"/>
              <w:bottom w:val="single" w:sz="4" w:space="0" w:color="000000"/>
            </w:tcBorders>
            <w:vAlign w:val="center"/>
          </w:tcPr>
          <w:p w14:paraId="4BADE060"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25</w:t>
            </w:r>
          </w:p>
          <w:p w14:paraId="688599F1"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75 и 150</w:t>
            </w:r>
          </w:p>
          <w:p w14:paraId="686F8EEF"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30 и 45</w:t>
            </w:r>
          </w:p>
          <w:p w14:paraId="1ACB659B"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30 и 60</w:t>
            </w:r>
          </w:p>
        </w:tc>
        <w:tc>
          <w:tcPr>
            <w:tcW w:w="1276" w:type="dxa"/>
            <w:tcBorders>
              <w:top w:val="single" w:sz="4" w:space="0" w:color="000000"/>
              <w:left w:val="single" w:sz="4" w:space="0" w:color="000000"/>
              <w:bottom w:val="single" w:sz="4" w:space="0" w:color="000000"/>
            </w:tcBorders>
            <w:vAlign w:val="center"/>
          </w:tcPr>
          <w:p w14:paraId="0805ABAD"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25</w:t>
            </w:r>
          </w:p>
          <w:p w14:paraId="5C97C072"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150</w:t>
            </w:r>
          </w:p>
          <w:p w14:paraId="44BEC2E2"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30</w:t>
            </w:r>
          </w:p>
          <w:p w14:paraId="65474066"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30</w:t>
            </w:r>
          </w:p>
        </w:tc>
        <w:tc>
          <w:tcPr>
            <w:tcW w:w="1701" w:type="dxa"/>
            <w:tcBorders>
              <w:top w:val="single" w:sz="4" w:space="0" w:color="000000"/>
              <w:left w:val="single" w:sz="4" w:space="0" w:color="000000"/>
              <w:bottom w:val="single" w:sz="4" w:space="0" w:color="000000"/>
              <w:right w:val="single" w:sz="4" w:space="0" w:color="000000"/>
            </w:tcBorders>
            <w:vAlign w:val="center"/>
          </w:tcPr>
          <w:p w14:paraId="797E8342"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75</w:t>
            </w:r>
          </w:p>
          <w:p w14:paraId="057E8500"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300</w:t>
            </w:r>
          </w:p>
          <w:p w14:paraId="61C0F497"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60</w:t>
            </w:r>
          </w:p>
          <w:p w14:paraId="42742969"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60</w:t>
            </w:r>
          </w:p>
        </w:tc>
      </w:tr>
    </w:tbl>
    <w:p w14:paraId="37CD36FF"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56C3B212" w14:textId="77777777" w:rsidR="00BE0B19" w:rsidRPr="00AE47C6" w:rsidRDefault="00BE0B19" w:rsidP="00BE0B19">
      <w:pPr>
        <w:widowControl w:val="0"/>
        <w:adjustRightInd w:val="0"/>
        <w:spacing w:after="0" w:line="360" w:lineRule="auto"/>
        <w:jc w:val="both"/>
        <w:rPr>
          <w:rFonts w:ascii="Times New Roman" w:eastAsia="SimSun" w:hAnsi="Times New Roman"/>
          <w:sz w:val="24"/>
          <w:szCs w:val="24"/>
        </w:rPr>
      </w:pPr>
    </w:p>
    <w:p w14:paraId="2C9349C9" w14:textId="77777777" w:rsidR="00BE0B19" w:rsidRPr="00AE47C6" w:rsidRDefault="00BE0B19" w:rsidP="00BE0B19">
      <w:pPr>
        <w:keepNext/>
        <w:keepLines/>
        <w:widowControl w:val="0"/>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I. Ранна (неусложнена) Паркинсонова болест</w:t>
      </w:r>
    </w:p>
    <w:p w14:paraId="2982776B"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Лечение на Паркинсоновата болест се назначава от невролог, когато е диагностицирана като </w:t>
      </w:r>
      <w:r w:rsidRPr="00AE47C6">
        <w:rPr>
          <w:rFonts w:ascii="Times New Roman" w:eastAsia="SimSun" w:hAnsi="Times New Roman"/>
          <w:b/>
          <w:sz w:val="24"/>
          <w:szCs w:val="24"/>
        </w:rPr>
        <w:t>клинично сигурна</w:t>
      </w:r>
      <w:r w:rsidRPr="00AE47C6">
        <w:rPr>
          <w:rFonts w:ascii="Times New Roman" w:eastAsia="SimSun" w:hAnsi="Times New Roman"/>
          <w:sz w:val="24"/>
          <w:szCs w:val="24"/>
        </w:rPr>
        <w:t>, съобразно диагностичните критерии и пречи на ежедневната активност на пациента. В останалите случаи пациента се наблюдава от невролог на всеки 3 месеца, без да се провежда лечение.</w:t>
      </w:r>
    </w:p>
    <w:p w14:paraId="0D2BFDB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Ранната (неусложнена) Паркинсонова болест</w:t>
      </w:r>
      <w:r w:rsidRPr="00AE47C6">
        <w:rPr>
          <w:rFonts w:ascii="Times New Roman" w:eastAsia="SimSun" w:hAnsi="Times New Roman"/>
          <w:sz w:val="24"/>
          <w:szCs w:val="24"/>
        </w:rPr>
        <w:t xml:space="preserve"> се лекува с медикаменти, които имат невропротективно действие (MAO-В инхибитори и допаминови агонисти) и забавят прогресията на заболяването. (фигура 6.1., таблица 6.1.)</w:t>
      </w:r>
    </w:p>
    <w:p w14:paraId="6BB13802" w14:textId="77777777" w:rsidR="00BE0B19" w:rsidRPr="00AE47C6" w:rsidRDefault="00BE0B19" w:rsidP="00BE0B19">
      <w:pPr>
        <w:spacing w:after="0" w:line="360" w:lineRule="auto"/>
        <w:ind w:hanging="284"/>
        <w:jc w:val="both"/>
        <w:rPr>
          <w:rFonts w:ascii="Times New Roman" w:eastAsia="SimSun" w:hAnsi="Times New Roman"/>
          <w:sz w:val="24"/>
          <w:szCs w:val="24"/>
        </w:rPr>
      </w:pPr>
      <w:r w:rsidRPr="00AE47C6">
        <w:rPr>
          <w:rFonts w:ascii="Times New Roman" w:eastAsia="SimSun" w:hAnsi="Times New Roman"/>
          <w:noProof/>
          <w:sz w:val="24"/>
          <w:szCs w:val="24"/>
          <w:lang w:eastAsia="bg-BG"/>
        </w:rPr>
        <w:drawing>
          <wp:inline distT="0" distB="0" distL="0" distR="0" wp14:anchorId="19342EDD" wp14:editId="01F6A510">
            <wp:extent cx="5934075" cy="2276475"/>
            <wp:effectExtent l="19050" t="0" r="9525" b="0"/>
            <wp:docPr id="2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9"/>
                    <a:srcRect/>
                    <a:stretch>
                      <a:fillRect/>
                    </a:stretch>
                  </pic:blipFill>
                  <pic:spPr bwMode="auto">
                    <a:xfrm>
                      <a:off x="0" y="0"/>
                      <a:ext cx="5934075" cy="2276475"/>
                    </a:xfrm>
                    <a:prstGeom prst="rect">
                      <a:avLst/>
                    </a:prstGeom>
                    <a:noFill/>
                    <a:ln w="9525">
                      <a:noFill/>
                      <a:miter lim="800000"/>
                      <a:headEnd/>
                      <a:tailEnd/>
                    </a:ln>
                  </pic:spPr>
                </pic:pic>
              </a:graphicData>
            </a:graphic>
          </wp:inline>
        </w:drawing>
      </w:r>
    </w:p>
    <w:p w14:paraId="08BE9F76"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Фигура. 6.1</w:t>
      </w:r>
      <w:r w:rsidRPr="00AE47C6">
        <w:rPr>
          <w:rFonts w:ascii="Times New Roman" w:eastAsia="SimSun" w:hAnsi="Times New Roman"/>
          <w:b/>
          <w:bCs/>
          <w:sz w:val="24"/>
          <w:szCs w:val="24"/>
        </w:rPr>
        <w:t>. Алгоритъм за лечение на ранната Паркинсонова болест</w:t>
      </w:r>
    </w:p>
    <w:p w14:paraId="13F839B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След поставянето на сигурна диагноза не е необходимо да се започва веднага лечение, ако симптомите не смущават ежедневната активност на пациента. Преценката за това се прави чрез разпитване на пациента. Активността се смущава повече при засягане на доминантните крайници, наличие на брадикинезия и в случаите когато пациентът работи. По-слабо се засяга активността при наличие на тремор и мускулна ригидност, при засягане на субдоминантните крайници и когато пациента не работи. </w:t>
      </w:r>
    </w:p>
    <w:p w14:paraId="34CB4F7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Препаратите на леводопа доставят в мозъка допамин, като по този начин възстановяват стриарния дисбаланс допамин/ацетилхолин. Съвременното лечение изисква прилагането на леводопа щадяща терапия, поради данните, че леводопа препаратите засилват прогресията на заболяването. Започва се лечение с други препарати, които повлияват паркинсоновите симптоми и чак, когато техните възможности се изчерпат започва добавяне на леводопа препарати в ниски дози. Има данни, че някои от тези препарати (МАО-В инхибитори и допаминови агонисти) имат невропротективно действие и забавят прогресията на заболяването.</w:t>
      </w:r>
    </w:p>
    <w:p w14:paraId="76B4593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І. MAO-В инхибиторите</w:t>
      </w:r>
      <w:r w:rsidRPr="00AE47C6">
        <w:rPr>
          <w:rFonts w:ascii="Times New Roman" w:eastAsia="SimSun" w:hAnsi="Times New Roman"/>
          <w:sz w:val="24"/>
          <w:szCs w:val="24"/>
        </w:rPr>
        <w:t xml:space="preserve"> повишават съдържанието на допамина чрез потискане на моноаминооксидазата (МАО), която го разгражда. Лечението може да започне с медикамент от тази група, ако симптомите са леко изразени, предвид възможностите за забавяне на прогресията на заболяването. Блокират формирането на свободни радикали, образуващи се при оксидативния метаболизъм на допамина и имат антиапоптотичен ефект. Имат умерен симптоматичен ефект, който продължава до една година от началото на заболяването.</w:t>
      </w:r>
    </w:p>
    <w:p w14:paraId="7FCFED7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1. Rasagiline</w:t>
      </w:r>
      <w:r w:rsidRPr="00AE47C6">
        <w:rPr>
          <w:rFonts w:ascii="Times New Roman" w:eastAsia="SimSun" w:hAnsi="Times New Roman"/>
          <w:sz w:val="24"/>
          <w:szCs w:val="24"/>
        </w:rPr>
        <w:t xml:space="preserve"> е второ поколение, необратим, високо селективен МАО-В инхибитор. Не се метаболизира до амфетаминни съставки за разлика от selegiline. Прилага се еднократно дневно в доза 1 mg. Подобряват се ригидността, брадикинезията и тремора. Предпочита се пред selegiline поради по-сигурните данни за невропротекция и по-малкото странични ефекти.</w:t>
      </w:r>
    </w:p>
    <w:p w14:paraId="66D607E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2.   Selegiline</w:t>
      </w:r>
      <w:r w:rsidRPr="00AE47C6">
        <w:rPr>
          <w:rFonts w:ascii="Times New Roman" w:eastAsia="SimSun" w:hAnsi="Times New Roman"/>
          <w:sz w:val="24"/>
          <w:szCs w:val="24"/>
        </w:rPr>
        <w:t xml:space="preserve"> е първо поколение селективен, необратим MAO-В инхибитор. Може да се прилага като монотерапия в доза 10 mg дневно, но на практика не намира вече широко клинично приложение. </w:t>
      </w:r>
    </w:p>
    <w:p w14:paraId="3BFA3E1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ІІ. Допаминовите агонисти</w:t>
      </w:r>
      <w:r w:rsidRPr="00AE47C6">
        <w:rPr>
          <w:rFonts w:ascii="Times New Roman" w:eastAsia="SimSun" w:hAnsi="Times New Roman"/>
          <w:sz w:val="24"/>
          <w:szCs w:val="24"/>
        </w:rPr>
        <w:t xml:space="preserve"> се добавят към терапията при изчерпване на симптоматичният ефект от МАО-В инхибиторите. При пациенти с изразени паркинсонови симптоми в момента на поставяне на диагнозата, при млади и работещи пациенти и при такива с преобладаващ тремор се препоръчва терапията да започне веднага с допаминови агонисти. При пациенти с ранна Паркинсонова болест монотерапията с допаминови агонисти може да контролира симптомите в продължение на пет години. </w:t>
      </w:r>
    </w:p>
    <w:p w14:paraId="0A2D37B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Разделят се на ерготаминови (bromocriptine, pergolide и cabergoline) и неерготаминови (pramipexole, ropinirolе, apomorphine и rotigotine) допаминови агонисти. Неерготаминовите имат предимство пред ерготаминовите, защото нямат техните странични ефекти (гадене и повръщане). Най-сериозните странични ефекти, поради които тази група допаминови агонисти вече почти не се използва са белодробните инфилтрати, плевропулмоналната и ретроперитонеална фиброза. </w:t>
      </w:r>
    </w:p>
    <w:p w14:paraId="03BF8A9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Осъществяват ефекта си чрез стимулиране предимно на D</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и D</w:t>
      </w:r>
      <w:r w:rsidRPr="00AE47C6">
        <w:rPr>
          <w:rFonts w:ascii="Times New Roman" w:eastAsia="SimSun" w:hAnsi="Times New Roman"/>
          <w:sz w:val="24"/>
          <w:szCs w:val="24"/>
          <w:vertAlign w:val="subscript"/>
        </w:rPr>
        <w:t>3</w:t>
      </w:r>
      <w:r w:rsidRPr="00AE47C6">
        <w:rPr>
          <w:rFonts w:ascii="Times New Roman" w:eastAsia="SimSun" w:hAnsi="Times New Roman"/>
          <w:sz w:val="24"/>
          <w:szCs w:val="24"/>
        </w:rPr>
        <w:t>, без D</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 xml:space="preserve"> (което довежда до дискинезии при дълготраен прием) допаминергичните рецептори в striatum. Имат добър симптоматичен и невропротективен ефект, което забавя прогресията на заболяването и малко странични ефекти. Невропротективният ефект се осъществява чрез редуциране на свободните радикали, генерирани от допаминовия метаболизъм. Имат и директен антиоксидантен ефект, като редуцират азотно-оксидните радикали, не образуват свободни радикали и не предизвикват оксидативен стрес. </w:t>
      </w:r>
    </w:p>
    <w:p w14:paraId="6634F9FA" w14:textId="77777777" w:rsidR="00BE0B19" w:rsidRPr="00AE47C6" w:rsidRDefault="00BE0B19" w:rsidP="00BE0B19">
      <w:pPr>
        <w:spacing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1. Pramipexole</w:t>
      </w:r>
      <w:r w:rsidRPr="00AE47C6">
        <w:rPr>
          <w:rFonts w:ascii="Times New Roman" w:eastAsia="SimSun" w:hAnsi="Times New Roman"/>
          <w:sz w:val="24"/>
          <w:szCs w:val="24"/>
        </w:rPr>
        <w:t xml:space="preserve"> е неерготаминов допаминов агонист, който действа селективно на D</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и D</w:t>
      </w:r>
      <w:r w:rsidRPr="00AE47C6">
        <w:rPr>
          <w:rFonts w:ascii="Times New Roman" w:eastAsia="SimSun" w:hAnsi="Times New Roman"/>
          <w:sz w:val="24"/>
          <w:szCs w:val="24"/>
          <w:vertAlign w:val="subscript"/>
        </w:rPr>
        <w:t>3</w:t>
      </w:r>
      <w:r w:rsidRPr="00AE47C6">
        <w:rPr>
          <w:rFonts w:ascii="Times New Roman" w:eastAsia="SimSun" w:hAnsi="Times New Roman"/>
          <w:sz w:val="24"/>
          <w:szCs w:val="24"/>
        </w:rPr>
        <w:t xml:space="preserve"> рецепторите в доза до 4,5 mg сол (3,3 mg база) дневно, повлиява паркинсоновите симптоми и за разлика от другите допаминови агонисти има изразен ефект върху тремора в покой, който безпокои пациентите и трудно се повлиява от други медикаменти. Дозата се повишава бавно до достигане на желаният ефект с минималната ефективна доза. Титриращият период продължава 3-4 седмици. Могат да се използват и таблетки с удължено освобождаване до 3,15 mg дневно (еквивалентен на 4,5 mg сол стандартни таблетки).</w:t>
      </w:r>
    </w:p>
    <w:p w14:paraId="1966E95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2. Ropinirolе</w:t>
      </w:r>
      <w:r w:rsidRPr="00AE47C6">
        <w:rPr>
          <w:rFonts w:ascii="Times New Roman" w:eastAsia="SimSun" w:hAnsi="Times New Roman"/>
          <w:sz w:val="24"/>
          <w:szCs w:val="24"/>
        </w:rPr>
        <w:t xml:space="preserve"> е неерготаминов допаминов агонист с полуживот 6 до 8 часа, който активира D</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и D</w:t>
      </w:r>
      <w:r w:rsidRPr="00AE47C6">
        <w:rPr>
          <w:rFonts w:ascii="Times New Roman" w:eastAsia="SimSun" w:hAnsi="Times New Roman"/>
          <w:sz w:val="24"/>
          <w:szCs w:val="24"/>
          <w:vertAlign w:val="subscript"/>
        </w:rPr>
        <w:t>3</w:t>
      </w:r>
      <w:r w:rsidRPr="00AE47C6">
        <w:rPr>
          <w:rFonts w:ascii="Times New Roman" w:eastAsia="SimSun" w:hAnsi="Times New Roman"/>
          <w:sz w:val="24"/>
          <w:szCs w:val="24"/>
        </w:rPr>
        <w:t xml:space="preserve"> рецепторите и почти не действа върху недопаминовите рецептори. Прилага се в дневна доза от 7,5 до 24 mg (средно 9 mg) в стандартни или таблетки с удължено освобождаване. Поради слабата ефективност и множеството странични ефекти, почти не се използва в клиничната практика.</w:t>
      </w:r>
    </w:p>
    <w:p w14:paraId="1C11F88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3. Rotigotine</w:t>
      </w:r>
      <w:r w:rsidRPr="00AE47C6">
        <w:rPr>
          <w:rFonts w:ascii="Times New Roman" w:eastAsia="SimSun" w:hAnsi="Times New Roman"/>
          <w:sz w:val="24"/>
          <w:szCs w:val="24"/>
        </w:rPr>
        <w:t xml:space="preserve"> е неерготаминов допаминов агонист, който активира предимно D</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 xml:space="preserve"> и D</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рецепторите и се прилага в трансдермална система (силиконова лепенка), която се поставя върху кожата веднъж дневно. Предимствата на този начин на приложение са по-стабилните плазмени концентрации, еднократното дневно приложение и при пациенти с нарушения в гълтането. Приемът на храна и стомашната евакуация не оказват влияние върху плазмената концентрация на медикамента. Повлиява всички симптоми на заболяването в дневна доза от 4 до 16 mg. </w:t>
      </w:r>
    </w:p>
    <w:p w14:paraId="7877678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 xml:space="preserve">4. Apomorphine hydrochloride hemihydrate 10 mg/ml </w:t>
      </w:r>
      <w:r w:rsidRPr="00AE47C6">
        <w:rPr>
          <w:rFonts w:ascii="Times New Roman" w:eastAsia="SimSun" w:hAnsi="Times New Roman"/>
          <w:sz w:val="24"/>
          <w:szCs w:val="24"/>
        </w:rPr>
        <w:t>инжекционен разтвор е неерготаминов допаминов агонист, който активира предимно D</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 xml:space="preserve"> и D</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рецепторите. Прилага се подкожно при пациенти с късна Паркинсонова болест и изразени off периоди, без съществени дискинезии. Инжектира се по време на off периодите, като общата дневна доза не бива да надхвърля 100 mg. Ефектът настъпва средно след 10 минути и продължава около 1 час. Пациентът трябва да приема domperidone 10 mg 3 пъти дневно за потискане на страничните ефекти – гадене и повръщане. Ако пациентът се нуждае от повече от 10 инжекции дневно е по-добре да премине на непрекъсната подкожна инфузия чрез мини помпа, като дозата не бива да превишава 10 mg/час.</w:t>
      </w:r>
    </w:p>
    <w:p w14:paraId="17CB406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III. Леводопа медикаментите</w:t>
      </w:r>
      <w:r w:rsidRPr="00AE47C6">
        <w:rPr>
          <w:rFonts w:ascii="Times New Roman" w:eastAsia="SimSun" w:hAnsi="Times New Roman"/>
          <w:sz w:val="24"/>
          <w:szCs w:val="24"/>
        </w:rPr>
        <w:t xml:space="preserve"> се включват когато симптоматичният ефект от горните групи медикаменти се изчерпи. Прилаганата до този момент комбинация от МАО-В инхибитори и допаминов агонист може да бъде редуцирана или да остане непроменена, което ще намали необходимата доза от леводопа. </w:t>
      </w:r>
    </w:p>
    <w:p w14:paraId="6B73204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1. Стандартните леводопа</w:t>
      </w:r>
      <w:r w:rsidRPr="00AE47C6">
        <w:rPr>
          <w:rFonts w:ascii="Times New Roman" w:eastAsia="SimSun" w:hAnsi="Times New Roman"/>
          <w:sz w:val="24"/>
          <w:szCs w:val="24"/>
        </w:rPr>
        <w:t xml:space="preserve"> медикаменти се използват за продължаване на лечението. Прилагат се възможно най-ниските дози от медикамента, които повлияват достатъчно симптомите. Започва се от 3 пъти дневно по 62,5 mg, като дозата се повишава при нужда до 750 mg дневно. Желателно е тази доза да не се надхвърля, като ако тя не е достатъчна за повлияване на симптомите се включват допаминови агонисти, ако не са били включени до този момент.</w:t>
      </w:r>
    </w:p>
    <w:p w14:paraId="3AAB75E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2. Леводопа медикаментите с удължено действие</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levodopa/benserazide и levodopa/carbidopa</w:t>
      </w:r>
      <w:r w:rsidRPr="00AE47C6">
        <w:rPr>
          <w:rFonts w:ascii="Times New Roman" w:eastAsia="SimSun" w:hAnsi="Times New Roman"/>
          <w:sz w:val="24"/>
          <w:szCs w:val="24"/>
        </w:rPr>
        <w:t>) се предполагаше, че поддържат по-постоянна серумна концентрация (средно до 4 часа) и забавят прогресията на заболяването. Клиничната практика не потвърди предимствата им спрямо стандартните леводопа медикаменти, което се дължи на сложната им фармакокинетика. Във връзка с тези данни тяхното използване се препоръчва само при строго индивидуални индикации. Могат да се прилагат при нарушения на съня, поради трудна подвижност в леглото в доза 125 – 250 mg преди лягане.</w:t>
      </w:r>
    </w:p>
    <w:p w14:paraId="5ED7EF6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Поради по-ниската им бионаличност (50-70%), прилаганата доза трябва да бъде 30-50% по-висока от тази на стандартните леводопа медикаменти. Това довежда до нарастване на общото дневно количество приемана леводопа. Започва се с 3 пъти дневно по 125 mg. Задължително се прилагат възможно най-ниските дози от медикамента, които повлияват достатъчно симптомите. Желателно е дозата в началото да не надвишава 1000 mg, а по-късно може да достигне максимално до 1500 mg дневно. По-бавната абсорбция, довежда до по-бавно нарастване на пиковата плазмена концентрация на леводопа, което забавя клиничното подобрение. Ефектът от медикамента настъпва след около 1 час от приема му, поради което пациентите не усещат бързото подобрение, на което са свикнали при стандартните медикаменти. Това налага към първата сутрешна доза да бъде добавена и 125 mg стандартна или дисперсна форма на леводопа. </w:t>
      </w:r>
    </w:p>
    <w:p w14:paraId="1D08D26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ІV. Антихолинергичните медикаменти </w:t>
      </w:r>
      <w:r w:rsidRPr="00AE47C6">
        <w:rPr>
          <w:rFonts w:ascii="Times New Roman" w:eastAsia="SimSun" w:hAnsi="Times New Roman"/>
          <w:b/>
          <w:i/>
          <w:sz w:val="24"/>
          <w:szCs w:val="24"/>
        </w:rPr>
        <w:t>(</w:t>
      </w:r>
      <w:r w:rsidRPr="00AE47C6">
        <w:rPr>
          <w:rFonts w:ascii="Times New Roman" w:eastAsia="SimSun" w:hAnsi="Times New Roman"/>
          <w:i/>
          <w:sz w:val="24"/>
          <w:szCs w:val="24"/>
        </w:rPr>
        <w:t>biperiden до 4 mg дн. и trihexyphenidyl до 6 mg дн</w:t>
      </w:r>
      <w:r w:rsidRPr="00AE47C6">
        <w:rPr>
          <w:rFonts w:ascii="Times New Roman" w:eastAsia="SimSun" w:hAnsi="Times New Roman"/>
          <w:sz w:val="24"/>
          <w:szCs w:val="24"/>
        </w:rPr>
        <w:t>.) са исторически първите използвани за лечение на заболяването. Те нормализират на по-ниско ниво съотношението допамин/ацетилхолин, намалявайки нивото на ацетилхолина. Тази група медикаменти има недостатъци и тяхното прилагане е ограничено. Те са абсолютно контраиндицирани за приложение при пациенти над 65 годишна възраст, при данни за деменция и когнитивни нарушения, независимо от възрастта, при хипертрофия на простата жлеза и при глаукома. Дори и при млади хора могат да предизвикат промени в поведението и халюцинации. Имайки предвид, че най-често заболяването започва около 60 годишна възраст и при голям процент от пациентите се придружава от деменция, става ясно колко стеснен е техният диапазон на приложение. Освен това тези медикаменти, също както леводопа предизвикват двигателни флуктуации и дискинезии, подобни на късните дискинезии. Допуска се прилагането им само при пациенти под 65 годишна възраст с водещ симптом тремор в покой, защото те рядко развиват деменция. В тези случаи могат да се добавят към терапията за засилване на симптоматичният ефект. Преди започване на лечението е необходимо психологично изследване. Необходимо е внимателно проследяване за поява на халюцинации или прояви на деменция, които налагат спешно спиране на медикамента. При възникване на неясни промени в поведението или съмнения за когнитивни нарушения медикаментът се спира постепенно, за няколко дни, за да се избегне влошаването на Паркинсоновата болест.</w:t>
      </w:r>
    </w:p>
    <w:p w14:paraId="767CC74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V. Антидепресанти</w:t>
      </w:r>
      <w:r w:rsidRPr="00AE47C6">
        <w:rPr>
          <w:rFonts w:ascii="Times New Roman" w:eastAsia="SimSun" w:hAnsi="Times New Roman"/>
          <w:sz w:val="24"/>
          <w:szCs w:val="24"/>
        </w:rPr>
        <w:t xml:space="preserve"> се назначават от невролог при данни за депресия. Необходимо е пациента да бъде разпитан за симптоми на депресия и тревожност (лошо настроение, тъжни мисли, загуба на апетит, отслабване на тегло, тревожни сънища, напрегнатост, главоболие и др.). Започва се лечение с </w:t>
      </w:r>
      <w:r w:rsidRPr="00AE47C6">
        <w:rPr>
          <w:rFonts w:ascii="Times New Roman" w:eastAsia="SimSun" w:hAnsi="Times New Roman"/>
          <w:i/>
          <w:sz w:val="24"/>
          <w:szCs w:val="24"/>
        </w:rPr>
        <w:t>трициклични или други медикаменти от групата SNRI (серотонин-норадреналин реъптейк инхибитори)</w:t>
      </w:r>
      <w:r w:rsidRPr="00AE47C6">
        <w:rPr>
          <w:rFonts w:ascii="Times New Roman" w:eastAsia="SimSun" w:hAnsi="Times New Roman"/>
          <w:sz w:val="24"/>
          <w:szCs w:val="24"/>
        </w:rPr>
        <w:t xml:space="preserve">, за които пациента няма соматични противопоказания. </w:t>
      </w:r>
    </w:p>
    <w:p w14:paraId="2BF502E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Amitriptyline</w:t>
      </w:r>
      <w:r w:rsidRPr="00AE47C6">
        <w:rPr>
          <w:rFonts w:ascii="Times New Roman" w:eastAsia="SimSun" w:hAnsi="Times New Roman"/>
          <w:sz w:val="24"/>
          <w:szCs w:val="24"/>
        </w:rPr>
        <w:t xml:space="preserve"> до 75 mg дневно е относително добре поносим, оказва седативен ефект и повлиява безсънието. Предпочита се при ажитирани пациенти. Предвид множеството соматични противопоказания в тази възраст не се използва често.</w:t>
      </w:r>
    </w:p>
    <w:p w14:paraId="717CF5D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Venlafaxine</w:t>
      </w:r>
      <w:r w:rsidRPr="00AE47C6">
        <w:rPr>
          <w:rFonts w:ascii="Times New Roman" w:eastAsia="SimSun" w:hAnsi="Times New Roman"/>
          <w:sz w:val="24"/>
          <w:szCs w:val="24"/>
        </w:rPr>
        <w:t xml:space="preserve"> до 150 mg дневно потиска обратния захват на норадреналин и серотонин и е подходящ при пациенти с ортостатична хипотония, защото повишава кръвното налягане. </w:t>
      </w:r>
    </w:p>
    <w:p w14:paraId="61EF189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Duloxetine 30-60 mg дневно потиска обратния захват на норадреналин и серотонин и е подходящ при пациенти с депресивни симптоми.</w:t>
      </w:r>
    </w:p>
    <w:p w14:paraId="2C8FEFD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Mirtazapine</w:t>
      </w:r>
      <w:r w:rsidRPr="00AE47C6">
        <w:rPr>
          <w:rFonts w:ascii="Times New Roman" w:eastAsia="SimSun" w:hAnsi="Times New Roman"/>
          <w:sz w:val="24"/>
          <w:szCs w:val="24"/>
        </w:rPr>
        <w:t xml:space="preserve"> 30-60 mg дневно потиска обратния захват на норадреналин и серотонин и е подходящ при пациенти с нарушения на съня.</w:t>
      </w:r>
    </w:p>
    <w:p w14:paraId="28EFE1E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Селективните инхибитори на обратния захват на серотонина</w:t>
      </w:r>
      <w:r w:rsidRPr="00AE47C6">
        <w:rPr>
          <w:rFonts w:ascii="Times New Roman" w:eastAsia="SimSun" w:hAnsi="Times New Roman"/>
          <w:sz w:val="24"/>
          <w:szCs w:val="24"/>
        </w:rPr>
        <w:t xml:space="preserve"> (SSRI) засилват тремора и влошават другите паркинсонови симптоми. Повишават риска от възникване на серотонинов синдром при пациенти лекуващи се със selegiline. </w:t>
      </w:r>
    </w:p>
    <w:p w14:paraId="15BAC8A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Депресията се повлиява и от повишаване на дозите на антипаркинсоновата терапия. Pramipexole, ropinirolе и selegiline имат и антидепресивен ефект</w:t>
      </w:r>
    </w:p>
    <w:p w14:paraId="39B108D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VІ.</w:t>
      </w:r>
      <w:r w:rsidRPr="00AE47C6">
        <w:rPr>
          <w:rFonts w:ascii="Times New Roman" w:eastAsia="SimSun" w:hAnsi="Times New Roman"/>
          <w:sz w:val="24"/>
          <w:szCs w:val="24"/>
        </w:rPr>
        <w:t xml:space="preserve"> Препоръчва се </w:t>
      </w:r>
      <w:r w:rsidRPr="00AE47C6">
        <w:rPr>
          <w:rFonts w:ascii="Times New Roman" w:eastAsia="SimSun" w:hAnsi="Times New Roman"/>
          <w:b/>
          <w:sz w:val="24"/>
          <w:szCs w:val="24"/>
        </w:rPr>
        <w:t>двигателен режим</w:t>
      </w:r>
      <w:r w:rsidRPr="00AE47C6">
        <w:rPr>
          <w:rFonts w:ascii="Times New Roman" w:eastAsia="SimSun" w:hAnsi="Times New Roman"/>
          <w:sz w:val="24"/>
          <w:szCs w:val="24"/>
        </w:rPr>
        <w:t xml:space="preserve"> с умерено натоварване. Прилагането на физиотерапевтични процедури, иглотерапия, лазертерапия, мокса и диетичен режим нямат отношение към ранната Паркинсонова болест.</w:t>
      </w:r>
    </w:p>
    <w:p w14:paraId="57ADB75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Няма място</w:t>
      </w:r>
      <w:r w:rsidRPr="00AE47C6">
        <w:rPr>
          <w:rFonts w:ascii="Times New Roman" w:eastAsia="SimSun" w:hAnsi="Times New Roman"/>
          <w:sz w:val="24"/>
          <w:szCs w:val="24"/>
        </w:rPr>
        <w:t xml:space="preserve"> в лечението на заболяването прилагането на съдоразширяващи, антиагреганти и ноотропни медикаменти, както и миорелаксанти. </w:t>
      </w:r>
    </w:p>
    <w:p w14:paraId="3E6043A7"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0E10217B"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II. Късна (усложнена) Паркинсонова болест</w:t>
      </w:r>
    </w:p>
    <w:p w14:paraId="1BE12DE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След поставяне на диагнозата и започване на съответното лечение, симптомите се повлияват добре в продължение на различно дълъг период от време. Този период е индивидуален и зависи както от формата на заболяването, така и от провежданото лечение. Първоначалният клиничен ефект е продължителен (над 4 часа), въпреки краткият серумен полуживот на леводопа (60-90 минути) и пациентите не усещат влиянието на всяка единична доза. В този период, ако леводопа бъде спряна, е необходима 1 седмица, за да се върне състоянието на пациента до нивото преди започване на лечението. Дълготрайният фармакодинамичен ефект, далеч надминаващ фармакокинетичния профил се дължи на пресинаптичното съхранение на синтезирания от леводопа допамин и продължителният фармакодинамичен постсинаптичен ефект, които допринасят за по-дългия и гладък терапевтичен отговор. Постепенно ефектът от всяка доза леводопа става все по-кратък и първоначалното добро повлияване от лечението се променя. Пациентите получават двигателни флуктуации след поемане на всяка единична доза от лекарството. В този момент те навлизат в стадия на </w:t>
      </w:r>
      <w:r w:rsidRPr="00AE47C6">
        <w:rPr>
          <w:rFonts w:ascii="Times New Roman" w:eastAsia="SimSun" w:hAnsi="Times New Roman"/>
          <w:b/>
          <w:sz w:val="24"/>
          <w:szCs w:val="24"/>
        </w:rPr>
        <w:t>късната Паркинсонова болест</w:t>
      </w:r>
      <w:r w:rsidRPr="00AE47C6">
        <w:rPr>
          <w:rFonts w:ascii="Times New Roman" w:eastAsia="SimSun" w:hAnsi="Times New Roman"/>
          <w:sz w:val="24"/>
          <w:szCs w:val="24"/>
        </w:rPr>
        <w:t>, която се характеризира с възникване на различни усложнения. Веднъж възникнали, те постепенно прогресират и не се повлияват от леводопа терапия. (Фиг.6.2, Фиг.6.3 ).</w:t>
      </w:r>
    </w:p>
    <w:p w14:paraId="28AB8017" w14:textId="77777777" w:rsidR="00BE0B19" w:rsidRPr="00AE47C6" w:rsidRDefault="00BE0B19" w:rsidP="00BE0B19">
      <w:pPr>
        <w:spacing w:after="0" w:line="360" w:lineRule="auto"/>
        <w:ind w:left="357"/>
        <w:jc w:val="both"/>
        <w:rPr>
          <w:rFonts w:ascii="Times New Roman" w:eastAsia="SimSun" w:hAnsi="Times New Roman"/>
          <w:b/>
          <w:sz w:val="24"/>
          <w:szCs w:val="24"/>
        </w:rPr>
      </w:pPr>
      <w:r w:rsidRPr="00AE47C6">
        <w:rPr>
          <w:rFonts w:ascii="Times New Roman" w:eastAsia="SimSun" w:hAnsi="Times New Roman"/>
          <w:b/>
          <w:noProof/>
          <w:sz w:val="24"/>
          <w:szCs w:val="24"/>
          <w:lang w:eastAsia="bg-BG"/>
        </w:rPr>
        <w:drawing>
          <wp:inline distT="0" distB="0" distL="0" distR="0" wp14:anchorId="6E2702F1" wp14:editId="69A8D73B">
            <wp:extent cx="5857875" cy="2752725"/>
            <wp:effectExtent l="0" t="0" r="0" b="0"/>
            <wp:docPr id="31"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0" r:lo="rId131" r:qs="rId132" r:cs="rId133"/>
              </a:graphicData>
            </a:graphic>
          </wp:inline>
        </w:drawing>
      </w:r>
    </w:p>
    <w:p w14:paraId="565DC586" w14:textId="77777777" w:rsidR="00BE0B19" w:rsidRPr="00AE47C6" w:rsidRDefault="00BE0B19" w:rsidP="00BE0B19">
      <w:pPr>
        <w:spacing w:after="0" w:line="360" w:lineRule="auto"/>
        <w:ind w:left="357"/>
        <w:jc w:val="both"/>
        <w:rPr>
          <w:rFonts w:ascii="Times New Roman" w:eastAsia="SimSun" w:hAnsi="Times New Roman"/>
          <w:b/>
          <w:sz w:val="24"/>
          <w:szCs w:val="24"/>
        </w:rPr>
      </w:pPr>
      <w:r w:rsidRPr="00AE47C6">
        <w:rPr>
          <w:rFonts w:ascii="Times New Roman" w:eastAsia="SimSun" w:hAnsi="Times New Roman"/>
          <w:b/>
          <w:sz w:val="24"/>
          <w:szCs w:val="24"/>
        </w:rPr>
        <w:t>Фиг.6.2. Алгоритъм за лечение на късната Паркинсонова болест</w:t>
      </w:r>
    </w:p>
    <w:p w14:paraId="666F9758" w14:textId="77777777" w:rsidR="00BE0B19" w:rsidRPr="00AE47C6" w:rsidRDefault="00BE0B19" w:rsidP="00BE0B19">
      <w:pPr>
        <w:spacing w:after="0" w:line="360" w:lineRule="auto"/>
        <w:ind w:left="357"/>
        <w:jc w:val="both"/>
        <w:rPr>
          <w:rFonts w:ascii="Times New Roman" w:eastAsia="SimSun" w:hAnsi="Times New Roman"/>
          <w:sz w:val="24"/>
          <w:szCs w:val="24"/>
        </w:rPr>
      </w:pPr>
    </w:p>
    <w:p w14:paraId="620DF9DC" w14:textId="77777777" w:rsidR="00BE0B19" w:rsidRPr="00AE47C6" w:rsidRDefault="00BE0B19" w:rsidP="00BE0B19">
      <w:pPr>
        <w:spacing w:after="0" w:line="360" w:lineRule="auto"/>
        <w:ind w:left="357"/>
        <w:jc w:val="both"/>
        <w:rPr>
          <w:rFonts w:ascii="Times New Roman" w:eastAsia="SimSun" w:hAnsi="Times New Roman"/>
          <w:sz w:val="24"/>
          <w:szCs w:val="24"/>
        </w:rPr>
      </w:pPr>
      <w:r w:rsidRPr="00AE47C6">
        <w:rPr>
          <w:rFonts w:ascii="Times New Roman" w:eastAsia="SimSun" w:hAnsi="Times New Roman"/>
          <w:b/>
          <w:sz w:val="24"/>
          <w:szCs w:val="24"/>
        </w:rPr>
        <w:t xml:space="preserve">Усложненията се разделят на две големи категории </w:t>
      </w:r>
      <w:r w:rsidRPr="00AE47C6">
        <w:rPr>
          <w:rFonts w:ascii="Times New Roman" w:eastAsia="SimSun" w:hAnsi="Times New Roman"/>
          <w:sz w:val="24"/>
          <w:szCs w:val="24"/>
        </w:rPr>
        <w:t>(Фиг.6.3):</w:t>
      </w:r>
    </w:p>
    <w:p w14:paraId="4D376688" w14:textId="77777777" w:rsidR="00BE0B19" w:rsidRPr="00AE47C6" w:rsidRDefault="00BE0B19" w:rsidP="00BE0B19">
      <w:pPr>
        <w:spacing w:after="0" w:line="360" w:lineRule="auto"/>
        <w:ind w:left="357"/>
        <w:jc w:val="both"/>
        <w:rPr>
          <w:rFonts w:ascii="Times New Roman" w:eastAsia="SimSun" w:hAnsi="Times New Roman"/>
          <w:b/>
          <w:sz w:val="24"/>
          <w:szCs w:val="24"/>
        </w:rPr>
      </w:pPr>
      <w:r w:rsidRPr="00AE47C6">
        <w:rPr>
          <w:rFonts w:ascii="Times New Roman" w:eastAsia="SimSun" w:hAnsi="Times New Roman"/>
          <w:b/>
          <w:sz w:val="24"/>
          <w:szCs w:val="24"/>
        </w:rPr>
        <w:t>1. Усложнения свързани с прогресията на заболяването:</w:t>
      </w:r>
    </w:p>
    <w:p w14:paraId="616541AD" w14:textId="77777777" w:rsidR="00BE0B19" w:rsidRPr="00AE47C6" w:rsidRDefault="00BE0B19" w:rsidP="00BE0B19">
      <w:pPr>
        <w:spacing w:after="0" w:line="360" w:lineRule="auto"/>
        <w:ind w:left="357"/>
        <w:jc w:val="both"/>
        <w:rPr>
          <w:rFonts w:ascii="Times New Roman" w:eastAsia="SimSun" w:hAnsi="Times New Roman"/>
          <w:b/>
          <w:sz w:val="24"/>
          <w:szCs w:val="24"/>
        </w:rPr>
      </w:pPr>
      <w:r w:rsidRPr="00AE47C6">
        <w:rPr>
          <w:rFonts w:ascii="Times New Roman" w:eastAsia="SimSun" w:hAnsi="Times New Roman"/>
          <w:b/>
          <w:sz w:val="24"/>
          <w:szCs w:val="24"/>
        </w:rPr>
        <w:t>- епизоди на замръзване</w:t>
      </w:r>
    </w:p>
    <w:p w14:paraId="049574A0" w14:textId="77777777" w:rsidR="00BE0B19" w:rsidRPr="00AE47C6" w:rsidRDefault="00BE0B19" w:rsidP="00BE0B19">
      <w:pPr>
        <w:spacing w:after="0" w:line="360" w:lineRule="auto"/>
        <w:ind w:left="357"/>
        <w:jc w:val="both"/>
        <w:rPr>
          <w:rFonts w:ascii="Times New Roman" w:eastAsia="SimSun" w:hAnsi="Times New Roman"/>
          <w:b/>
          <w:sz w:val="24"/>
          <w:szCs w:val="24"/>
        </w:rPr>
      </w:pPr>
      <w:r w:rsidRPr="00AE47C6">
        <w:rPr>
          <w:rFonts w:ascii="Times New Roman" w:eastAsia="SimSun" w:hAnsi="Times New Roman"/>
          <w:b/>
          <w:sz w:val="24"/>
          <w:szCs w:val="24"/>
        </w:rPr>
        <w:t>- дизавтономии</w:t>
      </w:r>
    </w:p>
    <w:p w14:paraId="74A7CB61" w14:textId="77777777" w:rsidR="00BE0B19" w:rsidRPr="00AE47C6" w:rsidRDefault="00BE0B19" w:rsidP="00BE0B19">
      <w:pPr>
        <w:spacing w:after="0" w:line="360" w:lineRule="auto"/>
        <w:ind w:left="357"/>
        <w:jc w:val="both"/>
        <w:rPr>
          <w:rFonts w:ascii="Times New Roman" w:eastAsia="SimSun" w:hAnsi="Times New Roman"/>
          <w:b/>
          <w:sz w:val="24"/>
          <w:szCs w:val="24"/>
        </w:rPr>
      </w:pPr>
      <w:r w:rsidRPr="00AE47C6">
        <w:rPr>
          <w:rFonts w:ascii="Times New Roman" w:eastAsia="SimSun" w:hAnsi="Times New Roman"/>
          <w:b/>
          <w:sz w:val="24"/>
          <w:szCs w:val="24"/>
        </w:rPr>
        <w:t>- деменция</w:t>
      </w:r>
    </w:p>
    <w:p w14:paraId="64323D59" w14:textId="77777777" w:rsidR="00BE0B19" w:rsidRPr="00AE47C6" w:rsidRDefault="00BE0B19" w:rsidP="00BE0B19">
      <w:pPr>
        <w:spacing w:after="0" w:line="360" w:lineRule="auto"/>
        <w:ind w:left="357"/>
        <w:jc w:val="both"/>
        <w:rPr>
          <w:rFonts w:ascii="Times New Roman" w:eastAsia="SimSun" w:hAnsi="Times New Roman"/>
          <w:b/>
          <w:sz w:val="24"/>
          <w:szCs w:val="24"/>
        </w:rPr>
      </w:pPr>
      <w:r w:rsidRPr="00AE47C6">
        <w:rPr>
          <w:rFonts w:ascii="Times New Roman" w:eastAsia="SimSun" w:hAnsi="Times New Roman"/>
          <w:b/>
          <w:sz w:val="24"/>
          <w:szCs w:val="24"/>
        </w:rPr>
        <w:t>-  падания</w:t>
      </w:r>
    </w:p>
    <w:p w14:paraId="76687BEF" w14:textId="77777777" w:rsidR="00BE0B19" w:rsidRPr="00AE47C6" w:rsidRDefault="00BE0B19" w:rsidP="00BE0B19">
      <w:pPr>
        <w:spacing w:after="0" w:line="360" w:lineRule="auto"/>
        <w:ind w:left="357"/>
        <w:jc w:val="both"/>
        <w:rPr>
          <w:rFonts w:ascii="Times New Roman" w:eastAsia="SimSun" w:hAnsi="Times New Roman"/>
          <w:b/>
          <w:sz w:val="24"/>
          <w:szCs w:val="24"/>
        </w:rPr>
      </w:pPr>
      <w:r w:rsidRPr="00AE47C6">
        <w:rPr>
          <w:rFonts w:ascii="Times New Roman" w:eastAsia="SimSun" w:hAnsi="Times New Roman"/>
          <w:b/>
          <w:sz w:val="24"/>
          <w:szCs w:val="24"/>
        </w:rPr>
        <w:t>2. Усложнения от дълготрайната терапия с леводопа:</w:t>
      </w:r>
    </w:p>
    <w:p w14:paraId="216782A7" w14:textId="77777777" w:rsidR="00BE0B19" w:rsidRPr="00AE47C6" w:rsidRDefault="00BE0B19" w:rsidP="00BE0B19">
      <w:pPr>
        <w:spacing w:after="0" w:line="360" w:lineRule="auto"/>
        <w:ind w:left="357"/>
        <w:jc w:val="both"/>
        <w:rPr>
          <w:rFonts w:ascii="Times New Roman" w:eastAsia="SimSun" w:hAnsi="Times New Roman"/>
          <w:b/>
          <w:sz w:val="24"/>
          <w:szCs w:val="24"/>
        </w:rPr>
      </w:pPr>
      <w:r w:rsidRPr="00AE47C6">
        <w:rPr>
          <w:rFonts w:ascii="Times New Roman" w:eastAsia="SimSun" w:hAnsi="Times New Roman"/>
          <w:b/>
          <w:sz w:val="24"/>
          <w:szCs w:val="24"/>
        </w:rPr>
        <w:t xml:space="preserve">- </w:t>
      </w:r>
      <w:r w:rsidRPr="00AE47C6">
        <w:rPr>
          <w:rFonts w:ascii="Times New Roman" w:eastAsia="SimSun" w:hAnsi="Times New Roman"/>
          <w:b/>
          <w:i/>
          <w:sz w:val="24"/>
          <w:szCs w:val="24"/>
        </w:rPr>
        <w:t>двигателни:</w:t>
      </w:r>
      <w:r w:rsidRPr="00AE47C6">
        <w:rPr>
          <w:rFonts w:ascii="Times New Roman" w:eastAsia="SimSun" w:hAnsi="Times New Roman"/>
          <w:b/>
          <w:sz w:val="24"/>
          <w:szCs w:val="24"/>
        </w:rPr>
        <w:t xml:space="preserve"> двигателни флуктуации и дискинезии</w:t>
      </w:r>
    </w:p>
    <w:p w14:paraId="1B0BF9D7" w14:textId="77777777" w:rsidR="00BE0B19" w:rsidRPr="00AE47C6" w:rsidRDefault="00BE0B19" w:rsidP="00BE0B19">
      <w:pPr>
        <w:spacing w:after="0" w:line="360" w:lineRule="auto"/>
        <w:ind w:left="357"/>
        <w:jc w:val="both"/>
        <w:rPr>
          <w:rFonts w:ascii="Times New Roman" w:eastAsia="SimSun" w:hAnsi="Times New Roman"/>
          <w:b/>
          <w:i/>
          <w:sz w:val="24"/>
          <w:szCs w:val="24"/>
        </w:rPr>
      </w:pPr>
      <w:r w:rsidRPr="00AE47C6">
        <w:rPr>
          <w:rFonts w:ascii="Times New Roman" w:eastAsia="SimSun" w:hAnsi="Times New Roman"/>
          <w:b/>
          <w:sz w:val="24"/>
          <w:szCs w:val="24"/>
        </w:rPr>
        <w:t xml:space="preserve">- </w:t>
      </w:r>
      <w:r w:rsidRPr="00AE47C6">
        <w:rPr>
          <w:rFonts w:ascii="Times New Roman" w:eastAsia="SimSun" w:hAnsi="Times New Roman"/>
          <w:b/>
          <w:i/>
          <w:sz w:val="24"/>
          <w:szCs w:val="24"/>
        </w:rPr>
        <w:t>невропсихични</w:t>
      </w:r>
    </w:p>
    <w:p w14:paraId="357C7749"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noProof/>
          <w:sz w:val="24"/>
          <w:szCs w:val="24"/>
          <w:lang w:eastAsia="bg-BG"/>
        </w:rPr>
        <w:drawing>
          <wp:inline distT="0" distB="0" distL="0" distR="0" wp14:anchorId="0D55D0C6" wp14:editId="3036E358">
            <wp:extent cx="5850890" cy="6765290"/>
            <wp:effectExtent l="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850890" cy="6765290"/>
                    </a:xfrm>
                    <a:prstGeom prst="rect">
                      <a:avLst/>
                    </a:prstGeom>
                    <a:noFill/>
                    <a:ln>
                      <a:noFill/>
                    </a:ln>
                  </pic:spPr>
                </pic:pic>
              </a:graphicData>
            </a:graphic>
          </wp:inline>
        </w:drawing>
      </w:r>
    </w:p>
    <w:p w14:paraId="02F8FE9E" w14:textId="77777777" w:rsidR="00BE0B19" w:rsidRPr="00AE47C6" w:rsidRDefault="00BE0B19" w:rsidP="00BE0B19">
      <w:pPr>
        <w:spacing w:after="0" w:line="360" w:lineRule="auto"/>
        <w:ind w:left="357"/>
        <w:jc w:val="both"/>
        <w:rPr>
          <w:rFonts w:ascii="Times New Roman" w:eastAsia="SimSun" w:hAnsi="Times New Roman"/>
          <w:b/>
          <w:sz w:val="24"/>
          <w:szCs w:val="24"/>
        </w:rPr>
      </w:pPr>
      <w:r w:rsidRPr="00AE47C6">
        <w:rPr>
          <w:rFonts w:ascii="Times New Roman" w:eastAsia="SimSun" w:hAnsi="Times New Roman"/>
          <w:b/>
          <w:sz w:val="24"/>
          <w:szCs w:val="24"/>
        </w:rPr>
        <w:t>Фиг.6.3. Усложнения при късната Паркинсонова болест</w:t>
      </w:r>
    </w:p>
    <w:p w14:paraId="254CB7BC"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Формата на заболяването</w:t>
      </w:r>
      <w:r w:rsidRPr="00AE47C6">
        <w:rPr>
          <w:rFonts w:ascii="Times New Roman" w:eastAsia="SimSun" w:hAnsi="Times New Roman"/>
          <w:sz w:val="24"/>
          <w:szCs w:val="24"/>
        </w:rPr>
        <w:t xml:space="preserve"> определя индивидуалната скорост на неговата прогресия. Паркинсоновата болест е прогресиращо невродегенеративно заболяване, поради прогресивната загуба на нигростриарни неврони. Изразеността на симптомите нараства с 8-9% годишно. Прогресията е неравномерна, тя е по-бърза през първите 4 - 8 години и по-бавна през следващите години от началото на заболяването. Тя е бавна при начало на заболяването под 50 годишна възраст и когато първоначалният симптом е тремор. Бърза е при по-късно начало на заболяването, при преобладаващ ригидно-брадикинетичен синдром и при придружаваща деменция. </w:t>
      </w:r>
    </w:p>
    <w:p w14:paraId="0B3173F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Лечението</w:t>
      </w:r>
      <w:r w:rsidRPr="00AE47C6">
        <w:rPr>
          <w:rFonts w:ascii="Times New Roman" w:eastAsia="SimSun" w:hAnsi="Times New Roman"/>
          <w:sz w:val="24"/>
          <w:szCs w:val="24"/>
        </w:rPr>
        <w:t xml:space="preserve"> определя времето за възникване на усложнения от леводопа терапията. Тежестта на усложненията е по-голяма и тяхното начало е по-рано, когато пациента е лекуван с високи дози леводопа. Пулсионното освобождаване на леводопа и допамин в мозъка е причина за възникването на дискинезии и двигателни флуктуации. Обикновено след 5 годишно лечение с леводопа медикаменти 50% от болните развиват усложнения на Паркинсоновата болест, като до 10 години от започване на лечението 80% развиват усложненията. Освен двигателни флуктуации лечението с леводопа предизвиква оксидативен стрес и ускорява дегенерацията на невроните в substantia nigra, поради генериране на свободни радикали.</w:t>
      </w:r>
    </w:p>
    <w:p w14:paraId="033A1B28" w14:textId="77777777" w:rsidR="00BE0B19" w:rsidRPr="00AE47C6" w:rsidRDefault="00BE0B19" w:rsidP="00BE0B19">
      <w:pPr>
        <w:widowControl w:val="0"/>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 xml:space="preserve">За диагностициране на късната Паркинсонова болест </w:t>
      </w:r>
      <w:r w:rsidRPr="00AE47C6">
        <w:rPr>
          <w:rFonts w:ascii="Times New Roman" w:eastAsia="SimSun" w:hAnsi="Times New Roman"/>
          <w:sz w:val="24"/>
          <w:szCs w:val="24"/>
        </w:rPr>
        <w:t xml:space="preserve">трябва чрез целенасочена анамнеза да се установи продължителността на ефекта от единична доза леводопа, наличие на колебания в двигателната активност на пациента през денонощието и появата на дискинезии или дистонии, както и тяхната връзка с приема на медикаменти. Необходимо е също да се изясни времетраенето на намалената двигателна активност и/или дискинезиите и дистониите. </w:t>
      </w:r>
    </w:p>
    <w:p w14:paraId="673073E4" w14:textId="77777777" w:rsidR="00BE0B19" w:rsidRPr="00AE47C6" w:rsidRDefault="00BE0B19" w:rsidP="00BE0B19">
      <w:pPr>
        <w:widowControl w:val="0"/>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Необходимо е изясняване, че появата на дискинезии и дистонии не е свързана с предозиране на лечението с леводопа, като за тази цел внимателно и бавно намали прилаганите дози.</w:t>
      </w:r>
    </w:p>
    <w:p w14:paraId="48DAF208" w14:textId="77777777" w:rsidR="00BE0B19" w:rsidRPr="00AE47C6" w:rsidRDefault="00BE0B19" w:rsidP="00BE0B19">
      <w:pPr>
        <w:widowControl w:val="0"/>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Двигателни усложнения</w:t>
      </w:r>
    </w:p>
    <w:p w14:paraId="12840596"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Двигателни флуктуации и дискинезии. </w:t>
      </w:r>
      <w:r w:rsidRPr="00AE47C6">
        <w:rPr>
          <w:rFonts w:ascii="Times New Roman" w:eastAsia="SimSun" w:hAnsi="Times New Roman"/>
          <w:sz w:val="24"/>
          <w:szCs w:val="24"/>
        </w:rPr>
        <w:t xml:space="preserve">Най-чести са двигателните флуктуации и дискинезии. </w:t>
      </w:r>
    </w:p>
    <w:p w14:paraId="6DD6F57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Двигателните флуктуации</w:t>
      </w:r>
      <w:r w:rsidRPr="00AE47C6">
        <w:rPr>
          <w:rFonts w:ascii="Times New Roman" w:eastAsia="SimSun" w:hAnsi="Times New Roman"/>
          <w:sz w:val="24"/>
          <w:szCs w:val="24"/>
        </w:rPr>
        <w:t xml:space="preserve"> представляват нарушаване на “on” периодите (през които пациентите имат добър ефект от прилаганата терапия) от “off” периоди (през които медикаментозното повлияване на симптомите е субоптимално). Възникват чрез централните фармакокинетични и фармакодинамични механизми. Нигростриарната допаминергична система у здрави хора осигурява постоянното отделяне на медиатор към стриарните рецептори. Мозъчния допамин, синтезиран от екзогенната леводопа се получава от допа-декарбоксилазата в допаминергичните неврони на striatum, които имат малък капацитет да складират и освобождават медиатора. От друга страна складирането на леводопа е намалено при Паркинсонова болест пропорционално на тежестта на заболяването, поради което периодичното перорално приемане на леводопа предизвиква бързо покачване и намаляване на нейното ниво и пулсионна синтеза на допамин в мозъка. В началото на заболяването, когато 80% от нигростриарните допаминергични неврони са дегенерирали, това състояние може да бъде буферирано от допаминовите запаси в останалите нигростриарни неврони. С прогресивната загуба на нигрални неврони, когато повече от 90% от тях не функционират, тази буферна способност намалява. В резултат на това се получава пулсионно освобождаване на допамин към стриарните рецептори. При тези обстоятелства времетраенето на действието на леводопа намалява и вариациите в плазмената концентрация на леводопа предизвикват двигателни флуктуации. Леводопа медикаментите имат кратък полуживот, с бързо покачване и последващо спадане на плазмените леводопа концентрации. Този фармакодинамичен профил е донякъде причина за намалената ефективност и флуктуиращата двигателна активност. </w:t>
      </w:r>
    </w:p>
    <w:p w14:paraId="6A933230"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Промените в централните фармакодинамични механизми модифицират отговора на базалните ганглии към допамин. Прогресивната загуба на нигростриарни неврони води до денервационна свръхчувствителност на допаминовите рецептори. От друга страна пулсионното освобождаване на допамин уврежда рецепторите. Тези два фактора променят чувствителността на допаминовите рецептори, баланса между D</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 xml:space="preserve"> и D</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рецепторите  и постсинаптичните транслационни механизми. Също така те изменят и активността на стриарните неврони, носещи допаминови рецептори. Като резултат от въздействието на тези фактори настъпва промяна на централните фармакодинамични отговори към леводопа. Прагът, при който се получава клинично подобрение от леводопа остава относително непроменен, но този за поява на дискинезии прогресивно се снижава. По този начин дозата на леводопа, която подобрява паркинсоновата симптоматика, доближава дозата, която предизвиква абнормните неволеви движения. По-нататък кривата на подобрението, в зависимост от дозата на леводопа, се променя по характер. Отначало има линейно повишаване на подобрението с покачване на дозата, но по-късно тази крива придобива сигмоиден вид – болният е или подвижен (в "on" период) или почти неподвижен (в "off" период) или между двете състояния, в зависимост от плазмената концентрация на леводопа и нивото на мозъчния допамин.</w:t>
      </w:r>
    </w:p>
    <w:p w14:paraId="2BF94D8E"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В този стадий дозата на леводопа става критична, като ниски дози не водят до достатъчно плазмено ниво за преминаване в "on" фазата. По-високи дози, достигащи прага за подобрение на състоянието, също биха могли да не действат, поради намеса на странични фактори. Забавеното стомашно изпразване или богатата на протеини храна, нарушава абсорбцията и преминаването на леводопа в мозъка, което може да предизвика бързо превключване от "on" в "off" фазата.</w:t>
      </w:r>
    </w:p>
    <w:p w14:paraId="16210C9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Двигателните флуктуации отначало имат формата на </w:t>
      </w:r>
      <w:r w:rsidRPr="00AE47C6">
        <w:rPr>
          <w:rFonts w:ascii="Times New Roman" w:eastAsia="SimSun" w:hAnsi="Times New Roman"/>
          <w:i/>
          <w:sz w:val="24"/>
          <w:szCs w:val="24"/>
        </w:rPr>
        <w:t>"ефект на изчерпване"</w:t>
      </w:r>
      <w:r w:rsidRPr="00AE47C6">
        <w:rPr>
          <w:rFonts w:ascii="Times New Roman" w:eastAsia="SimSun" w:hAnsi="Times New Roman"/>
          <w:sz w:val="24"/>
          <w:szCs w:val="24"/>
        </w:rPr>
        <w:t xml:space="preserve"> ("wearing off") или “краткотраен отговор” който се определя като флуктуация в двигателната активност, свързана с поемането на всяка доза леводопа. Ефектът на медикамента се изчерпва преди поемането на следващата доза. Намалената двигателна активност в края на дозата корелира с ниските серумни нива на леводопа. Дневните двигателни флуктуации стават клинично изявени, когато терапевтичната активност на всяка доза леводопа е по-къса от 4 часа. Първоначално двигателните флуктуации се появяват в сутрешните и следобедни часове. Постепенно ефектът от единичната доза леводопа се скъсява толкова, че се доближава до времето на плазмения полуживот на медикамента.</w:t>
      </w:r>
    </w:p>
    <w:p w14:paraId="0CEBD133"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"Феноменът на включване и изключване"</w:t>
      </w:r>
      <w:r w:rsidRPr="00AE47C6">
        <w:rPr>
          <w:rFonts w:ascii="Times New Roman" w:eastAsia="SimSun" w:hAnsi="Times New Roman"/>
          <w:sz w:val="24"/>
          <w:szCs w:val="24"/>
        </w:rPr>
        <w:t xml:space="preserve"> ("on-off" феномен) или “непредвидими off периоди” се появяват по всяко време. С продължаване на лечението и напредване на заболяването, двигателните флуктуации стават внезапни, непредсказуеми и несвързани с времето на приемане и серумната концентрация на леводопа. Настъпват внезапно, траят от секунди до минути и се манифестират с тежко влошаване на паркинсоновата симптоматика. Периодите на липса на ефект от леводопа могат да достигнат до 50% от времето през деня, а по време на “on” периодите се наблюдават тежки дискинезии. </w:t>
      </w:r>
    </w:p>
    <w:p w14:paraId="4DC53FAF"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Акинетичните кризи</w:t>
      </w:r>
      <w:r w:rsidRPr="00AE47C6">
        <w:rPr>
          <w:rFonts w:ascii="Times New Roman" w:eastAsia="SimSun" w:hAnsi="Times New Roman"/>
          <w:sz w:val="24"/>
          <w:szCs w:val="24"/>
        </w:rPr>
        <w:t xml:space="preserve"> са изключително опасни и настъпват когато пациентите останат за по-дълго време в “off” период. Могат да възникнат поради интеркурентно заболяване, спиране на лечението или без ясна причина. Характеризират се със засилени до крайност паркинсонови симптоми и нарушено гълтане.</w:t>
      </w:r>
    </w:p>
    <w:p w14:paraId="2328F238"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Забавената </w:t>
      </w:r>
      <w:r w:rsidRPr="00AE47C6">
        <w:rPr>
          <w:rFonts w:ascii="Times New Roman" w:eastAsia="SimSun" w:hAnsi="Times New Roman"/>
          <w:i/>
          <w:sz w:val="24"/>
          <w:szCs w:val="24"/>
        </w:rPr>
        <w:t>("delayed on")</w:t>
      </w:r>
      <w:r w:rsidRPr="00AE47C6">
        <w:rPr>
          <w:rFonts w:ascii="Times New Roman" w:eastAsia="SimSun" w:hAnsi="Times New Roman"/>
          <w:sz w:val="24"/>
          <w:szCs w:val="24"/>
        </w:rPr>
        <w:t xml:space="preserve"> или отслабена до липсваща ("no-on") двигателна реакция след единична доза леводопа е свързана с нейната лоша абсорбция. Протеините в храната се разграждат до големи аминокиселини, които се конкурират с леводопа за абсорбция в червата и транспорт към мозъка. Това довежда до минимално, но достатъчно намаляване на стриарните допаминови нива, тъй като с напредването на заболяването възможността за складиране на допамин е много намалена или липсваща.</w:t>
      </w:r>
    </w:p>
    <w:p w14:paraId="74E1196B"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Двигателните флуктуации почти винаги се придружават от дискинезии и дистонии, свързани или не с приема на медикамента. </w:t>
      </w:r>
    </w:p>
    <w:p w14:paraId="7A991E38"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Дискинезиите</w:t>
      </w:r>
      <w:r w:rsidRPr="00AE47C6">
        <w:rPr>
          <w:rFonts w:ascii="Times New Roman" w:eastAsia="SimSun" w:hAnsi="Times New Roman"/>
          <w:sz w:val="24"/>
          <w:szCs w:val="24"/>
        </w:rPr>
        <w:t xml:space="preserve"> представляват абнормни неволеви движения, които са хореиформени или наподобяват дистония, тикове или миоклонус. Възникват поради промяната в постсинаптичната чувствителност и нарушения баланс между активността на D</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 xml:space="preserve"> и D</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допаминовите рецептори в striatum. Нарушеният баланс между потискащия невротрансмитер допамин и възбудния невротрансмитер глутамат в посока на относително високото ниво на глутамата, поради намаленото ниво на допамин, допринася за възникването на дискинезиите. Дискинезиите и флуктуациите са тясно свързани, но неволевите движения могат да се появят по-рано от флуктуациите. Трябва да се има предвид, че появата на дискинезии или дистонии може да бъде проява на предозиране на леводопа терапията. </w:t>
      </w:r>
    </w:p>
    <w:p w14:paraId="5F29506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Появяват се по-често при млади пациенти и са особено изразени през “on” периодите. Най-често са свързани с леводопа или антихолинергична терапия, но могат да се получат и при прилагане на всеки един антипаркинсонов медикамент, ако пациентът е бил лекуван преди това с леводопа. В началото се получават дистонии ангажиращи дисталните части на крайниците, а по-късно се появяват хореичните дискинезии. Могат да засегнат всяка част на тялото, но тези причинени от леводопа ангажират главата, врата, крайниците и респираторните мускули, докато тези от антихолинергичните медикаменти – орофациолингвалните мускули.</w:t>
      </w:r>
    </w:p>
    <w:p w14:paraId="4EFDE485"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"Дискинезията в периода на пиковата доза"</w:t>
      </w:r>
      <w:r w:rsidRPr="00AE47C6">
        <w:rPr>
          <w:rFonts w:ascii="Times New Roman" w:eastAsia="SimSun" w:hAnsi="Times New Roman"/>
          <w:sz w:val="24"/>
          <w:szCs w:val="24"/>
        </w:rPr>
        <w:t xml:space="preserve"> (peak dose) се появява най-често и най-рано. Има хореичен и по-рядко дистоничен характер. Появява се когато плазмената леводопа и мозъчната допаминова концентрации са високи и са над прага на подобрение на двигателната активност. При пациенти с напреднала Паркинсонова болест терапевтичният прозорец е стеснен, така че при прием на доза леводопа, която повлиява паркинсоновите симптоми се предизвикват и дискинезии.</w:t>
      </w:r>
    </w:p>
    <w:p w14:paraId="7D349422"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 xml:space="preserve">"Двуфазните </w:t>
      </w:r>
      <w:r w:rsidRPr="00AE47C6">
        <w:rPr>
          <w:rFonts w:ascii="Times New Roman" w:eastAsia="SimSun" w:hAnsi="Times New Roman"/>
          <w:sz w:val="24"/>
          <w:szCs w:val="24"/>
        </w:rPr>
        <w:t xml:space="preserve">(diphasic) </w:t>
      </w:r>
      <w:r w:rsidRPr="00AE47C6">
        <w:rPr>
          <w:rFonts w:ascii="Times New Roman" w:eastAsia="SimSun" w:hAnsi="Times New Roman"/>
          <w:i/>
          <w:sz w:val="24"/>
          <w:szCs w:val="24"/>
        </w:rPr>
        <w:t>дискинезии"</w:t>
      </w:r>
      <w:r w:rsidRPr="00AE47C6">
        <w:rPr>
          <w:rFonts w:ascii="Times New Roman" w:eastAsia="SimSun" w:hAnsi="Times New Roman"/>
          <w:sz w:val="24"/>
          <w:szCs w:val="24"/>
        </w:rPr>
        <w:t xml:space="preserve"> се срещат по-рядко. Появяват се по-късно в прогресията на заболяването, след като пациентите вече са имали дискинезия в периода на пиковата доза. Може да има хореичен или дистоничен характер и засяга предимно долните крайници. Тя е по-тежка и по-трудно се понася от пациентите. Появява се в началото и в края на "on" фазата. Появява се, когато плазменото ниво на леводопа се покачва след приемане на единична доза. С достигане на праговата концентрация за поява на "on" фазата дискинезията намалява или изчезва, за да се появи отново, когато плазменото ниво на лекарството намалява. </w:t>
      </w:r>
    </w:p>
    <w:p w14:paraId="6523EA0A"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Дистониите</w:t>
      </w:r>
      <w:r w:rsidRPr="00AE47C6">
        <w:rPr>
          <w:rFonts w:ascii="Times New Roman" w:eastAsia="SimSun" w:hAnsi="Times New Roman"/>
          <w:sz w:val="24"/>
          <w:szCs w:val="24"/>
        </w:rPr>
        <w:t xml:space="preserve"> се предизвикват от леводопа или от прогресията на заболяването. Проявяват се като болезнена и мъчителна дистония, обхващаща палеца на крака и по-рядко като блефароспазъм, цервикална или дистонии на крайниците. Възникват когато плазменото ниво на леводопа е ниско.</w:t>
      </w:r>
    </w:p>
    <w:p w14:paraId="2DD66E0E"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 xml:space="preserve">Сутрешната </w:t>
      </w:r>
      <w:r w:rsidRPr="00AE47C6">
        <w:rPr>
          <w:rFonts w:ascii="Times New Roman" w:eastAsia="SimSun" w:hAnsi="Times New Roman"/>
          <w:sz w:val="24"/>
          <w:szCs w:val="24"/>
        </w:rPr>
        <w:t xml:space="preserve">("early morning") </w:t>
      </w:r>
      <w:r w:rsidRPr="00AE47C6">
        <w:rPr>
          <w:rFonts w:ascii="Times New Roman" w:eastAsia="SimSun" w:hAnsi="Times New Roman"/>
          <w:i/>
          <w:sz w:val="24"/>
          <w:szCs w:val="24"/>
        </w:rPr>
        <w:t>дистония</w:t>
      </w:r>
      <w:r w:rsidRPr="00AE47C6">
        <w:rPr>
          <w:rFonts w:ascii="Times New Roman" w:eastAsia="SimSun" w:hAnsi="Times New Roman"/>
          <w:sz w:val="24"/>
          <w:szCs w:val="24"/>
        </w:rPr>
        <w:t xml:space="preserve"> се появява при събуждането на пациента, преди приема на първата сутрешна таблетка. Тя е характерен симптом и при нелекувани пациенти.</w:t>
      </w:r>
    </w:p>
    <w:p w14:paraId="1648E28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Дистонията в “off” периода</w:t>
      </w:r>
      <w:r w:rsidRPr="00AE47C6">
        <w:rPr>
          <w:rFonts w:ascii="Times New Roman" w:eastAsia="SimSun" w:hAnsi="Times New Roman"/>
          <w:sz w:val="24"/>
          <w:szCs w:val="24"/>
        </w:rPr>
        <w:t xml:space="preserve"> настъпва в периода на изчерпването на ефекта на единичната доза. </w:t>
      </w:r>
    </w:p>
    <w:p w14:paraId="052848C4"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Феноменът на “замръзване”</w:t>
      </w:r>
      <w:r w:rsidRPr="00AE47C6">
        <w:rPr>
          <w:rFonts w:ascii="Times New Roman" w:eastAsia="SimSun" w:hAnsi="Times New Roman"/>
          <w:sz w:val="24"/>
          <w:szCs w:val="24"/>
        </w:rPr>
        <w:t xml:space="preserve"> може да се появи при всеки двигателен акт, но има най-голямо значение когато ангажира ходенето. Може да бъде свързан с недостатъчна или ексцесивна доза на леводопа. При повечето пациенти не е зависим от терапията и се предполага, че не е допаминергично детерминиран феномен. Епизодите на замръзване са преходни, продължават от секунди до минути. Появяват се, когато пациентът започне да ходи (колебание на старта), когато сменя посоката при ходене (колебание на обръщането), преминава през тясно пространство (врата) или му се отвлича вниманието.</w:t>
      </w:r>
    </w:p>
    <w:p w14:paraId="757C3F3F"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p>
    <w:p w14:paraId="3A934EFF"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Дизавтономии</w:t>
      </w:r>
    </w:p>
    <w:p w14:paraId="404A50E6"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Дизфункцията на автономната нервна система е често усложнение. Нарушенията са умерени и рядко са изразени. Манифестират се като запек, уринарни, сексуални и сетивни нарушения, ортостатична хипотония, нарушена терморегулация, болки и дизфагия.</w:t>
      </w:r>
    </w:p>
    <w:p w14:paraId="7E0E4D3C"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Запекът </w:t>
      </w:r>
      <w:r w:rsidRPr="00AE47C6">
        <w:rPr>
          <w:rFonts w:ascii="Times New Roman" w:eastAsia="SimSun" w:hAnsi="Times New Roman"/>
          <w:sz w:val="24"/>
          <w:szCs w:val="24"/>
        </w:rPr>
        <w:t>се дължи на нарушена контракция на мускулите на colon, което води до забавен пасаж и дистонично нарушение в координираната контракция на rectum и релаксацията на аналния сфинктер.</w:t>
      </w:r>
    </w:p>
    <w:p w14:paraId="05B5F428"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Уринарните нарушения</w:t>
      </w:r>
      <w:r w:rsidRPr="00AE47C6">
        <w:rPr>
          <w:rFonts w:ascii="Times New Roman" w:eastAsia="SimSun" w:hAnsi="Times New Roman"/>
          <w:sz w:val="24"/>
          <w:szCs w:val="24"/>
        </w:rPr>
        <w:t xml:space="preserve"> най-често и най-рано се манифестират с ноктурия, последвана от често уриниране, необходимост от спешно уриниране и затруднено уриниране. Те се дължат на хиперрефлексия на детрузора и късна и непълна релаксация на мускулите на тазовото дъно.</w:t>
      </w:r>
    </w:p>
    <w:p w14:paraId="306451AA"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Сексуалните нарушения</w:t>
      </w:r>
      <w:r w:rsidRPr="00AE47C6">
        <w:rPr>
          <w:rFonts w:ascii="Times New Roman" w:eastAsia="SimSun" w:hAnsi="Times New Roman"/>
          <w:sz w:val="24"/>
          <w:szCs w:val="24"/>
        </w:rPr>
        <w:t xml:space="preserve"> се проявяват с импотентност при мъжете, поради нарушена ерекция. Често причината е депресия. Не е известно какви са сексуалните нарушения при жените. В някои случаи лечението с високи дози антипаркинсонови медикаменти предизвиква хиперсексуалност.</w:t>
      </w:r>
    </w:p>
    <w:p w14:paraId="139DA3E7"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Ортостатичната хипотония</w:t>
      </w:r>
      <w:r w:rsidRPr="00AE47C6">
        <w:rPr>
          <w:rFonts w:ascii="Times New Roman" w:eastAsia="SimSun" w:hAnsi="Times New Roman"/>
          <w:sz w:val="24"/>
          <w:szCs w:val="24"/>
        </w:rPr>
        <w:t xml:space="preserve"> се дължи на нарушения на периферната и централната автономна нервна система. Основна причина е намаленият симпатиков тонус и вазоконстрикцията. Поради ексцесивната ренална загуба на натрий и леката анемия е намален и съдовият обем. Загубата на натрий се дължи на намалено освобождаване на ренин и намалена ренална реабсорбция на натрий, а анемията се дължи на намалена ренална секреция на еритропоетин. Трябва да се има в предвид, че често са налице повишени стойности на кръвното налягане в легнало положение, което може да доведе до погрешно диагностициране на артериална хипертония.</w:t>
      </w:r>
    </w:p>
    <w:p w14:paraId="21A590CA"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Нарушенията в терморегулацията</w:t>
      </w:r>
      <w:r w:rsidRPr="00AE47C6">
        <w:rPr>
          <w:rFonts w:ascii="Times New Roman" w:eastAsia="SimSun" w:hAnsi="Times New Roman"/>
          <w:sz w:val="24"/>
          <w:szCs w:val="24"/>
        </w:rPr>
        <w:t xml:space="preserve"> при пациентите с напреднала Паркинсонова болест се дължат на дисрегулация на централните допаминергични системи. Най-често се наблюдава ексцесивно изпотяване, абнормни усещания за студено и топло и хипотермия. Често се появяват по време на двигателните флуктуации (“on” или “off” фазата).</w:t>
      </w:r>
    </w:p>
    <w:p w14:paraId="67B04DE0"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Сетивните нарушения</w:t>
      </w:r>
      <w:r w:rsidRPr="00AE47C6">
        <w:rPr>
          <w:rFonts w:ascii="Times New Roman" w:eastAsia="SimSun" w:hAnsi="Times New Roman"/>
          <w:sz w:val="24"/>
          <w:szCs w:val="24"/>
        </w:rPr>
        <w:t xml:space="preserve"> се срещат при 50% от пациентите. Изразяват се с болки, парестезии, дизестезии, усещане за студ или тръпнене и дълбоки болки, предимно в долните крайници, наподобяващи полиневрит. Често са свързани с “off” периодите.</w:t>
      </w:r>
    </w:p>
    <w:p w14:paraId="71A888ED"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Дизфагията </w:t>
      </w:r>
      <w:r w:rsidRPr="00AE47C6">
        <w:rPr>
          <w:rFonts w:ascii="Times New Roman" w:eastAsia="SimSun" w:hAnsi="Times New Roman"/>
          <w:sz w:val="24"/>
          <w:szCs w:val="24"/>
        </w:rPr>
        <w:t>се среща при 40% от пациентите, в зависимост от тежестта на заболяването. Наблюдава се предимно през “off” периодите и се дължи на засягане на орофарингеалните мускули и абнормен контрол на езика, което води до затруднение в избутването на храната към фаринкса. Често се наблюдава и нарушен мотилитет на езофага. Тези промени причиняват изтичане на слюнка от устата и аспирация на храна.</w:t>
      </w:r>
    </w:p>
    <w:p w14:paraId="6999E448"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Себореята</w:t>
      </w:r>
      <w:r w:rsidRPr="00AE47C6">
        <w:rPr>
          <w:rFonts w:ascii="Times New Roman" w:eastAsia="SimSun" w:hAnsi="Times New Roman"/>
          <w:sz w:val="24"/>
          <w:szCs w:val="24"/>
        </w:rPr>
        <w:t xml:space="preserve">, засягаща главата, лицето и врата, както и </w:t>
      </w:r>
      <w:r w:rsidRPr="00AE47C6">
        <w:rPr>
          <w:rFonts w:ascii="Times New Roman" w:eastAsia="SimSun" w:hAnsi="Times New Roman"/>
          <w:b/>
          <w:sz w:val="24"/>
          <w:szCs w:val="24"/>
        </w:rPr>
        <w:t>блефарита</w:t>
      </w:r>
      <w:r w:rsidRPr="00AE47C6">
        <w:rPr>
          <w:rFonts w:ascii="Times New Roman" w:eastAsia="SimSun" w:hAnsi="Times New Roman"/>
          <w:sz w:val="24"/>
          <w:szCs w:val="24"/>
        </w:rPr>
        <w:t xml:space="preserve"> са чести нарушения. Блефаритът се дължи на рядкото мигане и може да доведе до кератит.</w:t>
      </w:r>
    </w:p>
    <w:p w14:paraId="4FD7857B"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1A28AC08"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Падания</w:t>
      </w:r>
    </w:p>
    <w:p w14:paraId="255C7B69"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Паданията са свързани с постуралната нестабилност, феномените на замръзване, дискинезиите и ортостатичната хипотония. При ходене тежестта на тялото на пациента се измества напред, поради което той се опитва да го догони с бързи и къси стъпки, но не успява и често пада. При всеки конкретен пациент причината може да бъде различна и трябва да бъде установена.</w:t>
      </w:r>
    </w:p>
    <w:p w14:paraId="67F73014"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10FC4D4E" w14:textId="77777777" w:rsidR="00BE0B19" w:rsidRPr="00AE47C6" w:rsidRDefault="00BE0B19" w:rsidP="00BE0B19">
      <w:pPr>
        <w:tabs>
          <w:tab w:val="left" w:pos="720"/>
        </w:tabs>
        <w:suppressAutoHyphens/>
        <w:spacing w:after="0" w:line="360" w:lineRule="auto"/>
        <w:jc w:val="both"/>
        <w:rPr>
          <w:rFonts w:ascii="Times New Roman" w:eastAsia="SimSun" w:hAnsi="Times New Roman"/>
          <w:b/>
          <w:bCs/>
          <w:i/>
          <w:iCs/>
          <w:sz w:val="24"/>
          <w:szCs w:val="24"/>
          <w:lang w:eastAsia="bg-BG"/>
        </w:rPr>
      </w:pPr>
      <w:r w:rsidRPr="00AE47C6">
        <w:rPr>
          <w:rFonts w:ascii="Times New Roman" w:eastAsia="SimSun" w:hAnsi="Times New Roman"/>
          <w:b/>
          <w:bCs/>
          <w:i/>
          <w:iCs/>
          <w:sz w:val="24"/>
          <w:szCs w:val="24"/>
          <w:lang w:eastAsia="bg-BG"/>
        </w:rPr>
        <w:t>Невропсихични нарушения</w:t>
      </w:r>
    </w:p>
    <w:p w14:paraId="3A2E5B3D"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Срещат се при една трета от пациентите и могат да бъдат по-инвалидизиращи, отколкото двигателните нарушения.</w:t>
      </w:r>
    </w:p>
    <w:p w14:paraId="1F6F0BF4"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Когнитивните нарушения</w:t>
      </w:r>
      <w:r w:rsidRPr="00AE47C6">
        <w:rPr>
          <w:rFonts w:ascii="Times New Roman" w:eastAsia="SimSun" w:hAnsi="Times New Roman"/>
          <w:sz w:val="24"/>
          <w:szCs w:val="24"/>
        </w:rPr>
        <w:t xml:space="preserve"> със или без придружаваща деменция, се срещат при 19% от пациентите още в ранния стадии на заболяването. Включват забавена обработка на информацията (брадифрения), нарушени екзекутивни функции, паметови нарушения, нарушено внимание, неадекватно поведение.</w:t>
      </w:r>
    </w:p>
    <w:p w14:paraId="022A4C7D"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Деменцията</w:t>
      </w:r>
      <w:r w:rsidRPr="00AE47C6">
        <w:rPr>
          <w:rFonts w:ascii="Times New Roman" w:eastAsia="SimSun" w:hAnsi="Times New Roman"/>
          <w:sz w:val="24"/>
          <w:szCs w:val="24"/>
        </w:rPr>
        <w:t xml:space="preserve"> се намира при 30% от пациентите, обикновено в късния стадии на заболяването, след петата година.</w:t>
      </w:r>
    </w:p>
    <w:p w14:paraId="2BC4F768"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Халюцинации и делир</w:t>
      </w:r>
      <w:r w:rsidRPr="00AE47C6">
        <w:rPr>
          <w:rFonts w:ascii="Times New Roman" w:eastAsia="SimSun" w:hAnsi="Times New Roman"/>
          <w:sz w:val="24"/>
          <w:szCs w:val="24"/>
        </w:rPr>
        <w:t xml:space="preserve"> могат да възникнат при 20% от пациентите спонтанно или под влияние на антипаркинсоновото лечение, анксиолитици, антидепресанти и седативни медикаменти. Халюцинациите са по-чести при възрастните хора и при тези с когнитивни нарушения. Те се зрителни и рядко слухови. В началото са нощни и незаплашителни, докато по-късно са заплашителни за пациента. Халюцинациите могат да прераснат в делир с дезориентация, импулсивност, неадекватно поведение, нарушения на съня, вниманието и паметта. Делирът може да започне внезапно и да не се задълбочи повече или да настъпи постепенно и да продължи да се задълбочава.</w:t>
      </w:r>
    </w:p>
    <w:p w14:paraId="3E5419C4"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Поведенческите нарушения</w:t>
      </w:r>
      <w:r w:rsidRPr="00AE47C6">
        <w:rPr>
          <w:rFonts w:ascii="Times New Roman" w:eastAsia="SimSun" w:hAnsi="Times New Roman"/>
          <w:sz w:val="24"/>
          <w:szCs w:val="24"/>
        </w:rPr>
        <w:t xml:space="preserve"> се изразяват в тревожност, панически атаки, ажитираност и депресия. При някои пациенти се наблюдават само през “off” периода.</w:t>
      </w:r>
    </w:p>
    <w:p w14:paraId="3B6D3B89"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Депресията</w:t>
      </w:r>
      <w:r w:rsidRPr="00AE47C6">
        <w:rPr>
          <w:rFonts w:ascii="Times New Roman" w:eastAsia="SimSun" w:hAnsi="Times New Roman"/>
          <w:sz w:val="24"/>
          <w:szCs w:val="24"/>
        </w:rPr>
        <w:t xml:space="preserve"> се наблюдава при 40% от пациентите. Може да бъде ендогенна – поради дефицит на моноамини или екзогенна поради съзнанието за хронично заболяване и инвалидизация. При някои пациенти се наблюдава синдром на апатия, пасивност и намалена енергия, който не се придружава от тъга, чувство за безпомощност, разкаяние и вина и не се повлиява от антидепресанти.</w:t>
      </w:r>
    </w:p>
    <w:p w14:paraId="6891CD9C"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Тревожността и паническите атаки</w:t>
      </w:r>
      <w:r w:rsidRPr="00AE47C6">
        <w:rPr>
          <w:rFonts w:ascii="Times New Roman" w:eastAsia="SimSun" w:hAnsi="Times New Roman"/>
          <w:sz w:val="24"/>
          <w:szCs w:val="24"/>
        </w:rPr>
        <w:t xml:space="preserve"> се срещат често, в някои случаи само по време на “off” периодите. Около 40% от пациентите имат тревожност, самостоятелно или в комбинация с депресия. Тя може да бъде реакция към инвалидизиращото заболяване. Тревожността може да бъде и част от Паркинсоновата болест, вследствие на загубата на стволови допаминергични, норадренергични и серотонинергични неврони и денервация на субкортикално-кортикалните кръгове. Паническите атаки се проявяват с психични, автономни и соматични симптоми. </w:t>
      </w:r>
    </w:p>
    <w:p w14:paraId="3C89C784"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Ажитираността </w:t>
      </w:r>
      <w:r w:rsidRPr="00AE47C6">
        <w:rPr>
          <w:rFonts w:ascii="Times New Roman" w:eastAsia="SimSun" w:hAnsi="Times New Roman"/>
          <w:sz w:val="24"/>
          <w:szCs w:val="24"/>
        </w:rPr>
        <w:t>може да бъде предизвикана от антипаркинсоновата терапия или да бъде част от тревожността. Характеризира се с неспокойствие, раздразнителност и дисфория.</w:t>
      </w:r>
    </w:p>
    <w:p w14:paraId="0CB7F7BC"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Нарушенията на съня</w:t>
      </w:r>
      <w:r w:rsidRPr="00AE47C6">
        <w:rPr>
          <w:rFonts w:ascii="Times New Roman" w:eastAsia="SimSun" w:hAnsi="Times New Roman"/>
          <w:sz w:val="24"/>
          <w:szCs w:val="24"/>
        </w:rPr>
        <w:t xml:space="preserve"> се срещат при 75% от пациентите и могат да бъдат причинени от заболяването, депресията, когнитивните нарушения, кошмарите, болките, затрудненията за обръщане в леглото, ноктурията, синдрома на неспокойните крака и лечението с леводопа. С напредването на заболяването се нарушават много невротрансмитерни системи, като три от тях (допаминергични, серотонинергични и норадренергични) имат значение за нарушаването на съня.</w:t>
      </w:r>
    </w:p>
    <w:p w14:paraId="08A7A68A"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Инсомнията</w:t>
      </w:r>
      <w:r w:rsidRPr="00AE47C6">
        <w:rPr>
          <w:rFonts w:ascii="Times New Roman" w:eastAsia="SimSun" w:hAnsi="Times New Roman"/>
          <w:sz w:val="24"/>
          <w:szCs w:val="24"/>
        </w:rPr>
        <w:t xml:space="preserve"> се проявява със затруднения в заспиването и поддържането на съня.</w:t>
      </w:r>
    </w:p>
    <w:p w14:paraId="22ACBB4D"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Дневната сънливост</w:t>
      </w:r>
      <w:r w:rsidRPr="00AE47C6">
        <w:rPr>
          <w:rFonts w:ascii="Times New Roman" w:eastAsia="SimSun" w:hAnsi="Times New Roman"/>
          <w:sz w:val="24"/>
          <w:szCs w:val="24"/>
        </w:rPr>
        <w:t xml:space="preserve"> може да се дължи на лечението, на анксиолитици, депресия,  деменция с нарушение на циркадния ритъм или недоспиване през нощта.</w:t>
      </w:r>
    </w:p>
    <w:p w14:paraId="579A312B"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Нощните кошмари или ярки сънища</w:t>
      </w:r>
      <w:r w:rsidRPr="00AE47C6">
        <w:rPr>
          <w:rFonts w:ascii="Times New Roman" w:eastAsia="SimSun" w:hAnsi="Times New Roman"/>
          <w:sz w:val="24"/>
          <w:szCs w:val="24"/>
        </w:rPr>
        <w:t xml:space="preserve"> могат да бъдат идиопатични, да са причинени от деменция или медикаменти (допаминови агонисти или леводопа).</w:t>
      </w:r>
    </w:p>
    <w:p w14:paraId="515D214D"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REM поведенческото нарушение</w:t>
      </w:r>
      <w:r w:rsidRPr="00AE47C6">
        <w:rPr>
          <w:rFonts w:ascii="Times New Roman" w:eastAsia="SimSun" w:hAnsi="Times New Roman"/>
          <w:sz w:val="24"/>
          <w:szCs w:val="24"/>
        </w:rPr>
        <w:t xml:space="preserve"> се характеризира с агресия, извършване на привидно целенасочени действия през нощта, ставане на сън. Бурните движения могат да наранят пациента или неговия партньор. Дължи се на нарушено двигателно потискане по време на REM фазата на съня. </w:t>
      </w:r>
    </w:p>
    <w:p w14:paraId="7CD36946"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Синдромът на неспокойните крака</w:t>
      </w:r>
      <w:r w:rsidRPr="00AE47C6">
        <w:rPr>
          <w:rFonts w:ascii="Times New Roman" w:eastAsia="SimSun" w:hAnsi="Times New Roman"/>
          <w:sz w:val="24"/>
          <w:szCs w:val="24"/>
        </w:rPr>
        <w:t xml:space="preserve"> се среща често и се проявява с парестезии, болки, мускулни крампи и необходимост от движение. Симптомите се влошават в ранните часове на нощта и се подобряват след движение. При 50% от пациентите се наблюдават и периодични движения на краката през нощта. Те наподобяват рефлекса на Babinski, продължават около 6 s и се появяват на всеки 20-40 s. Могат сериозно да нарушат съня на пациента и на неговия партньор. Обикновено се дължат на недостатъчна терапия на Паркинсоновата болест.</w:t>
      </w:r>
    </w:p>
    <w:p w14:paraId="557AAE9F"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5E89DDE8"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Диференциална диагноза</w:t>
      </w:r>
    </w:p>
    <w:p w14:paraId="6A12E672"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Обикновено в стадия на усложнената Паркинсонова болест диференциалната диагноза е вече направена и диагнозата е сигурна. Трябва да се има в предвид, че някои пациенти, диагностицирани с Паркинсонова болест, по-късно развиват симптоми, характерни за множествена системна атрофия или прогресивна супрануклеарна парализа. Те могат да покажат повлияване от леводопа в началото на заболяването, докато по-късно този ефект изчезва. С оглед на диференциалната диагноза могат да бъдат приложени КТ или МРТ изследване на главен мозък, невропсихологични, невроофталмологични и неврофизиологични тестове.</w:t>
      </w:r>
    </w:p>
    <w:p w14:paraId="721F8318"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p>
    <w:p w14:paraId="3DF52E33"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Лечение на усложненията при късната Паркинсонова болест</w:t>
      </w:r>
    </w:p>
    <w:p w14:paraId="01FA256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Най-важна е </w:t>
      </w:r>
      <w:r w:rsidRPr="00AE47C6">
        <w:rPr>
          <w:rFonts w:ascii="Times New Roman" w:eastAsia="SimSun" w:hAnsi="Times New Roman"/>
          <w:b/>
          <w:sz w:val="24"/>
          <w:szCs w:val="24"/>
        </w:rPr>
        <w:t>профилактиката</w:t>
      </w:r>
      <w:r w:rsidRPr="00AE47C6">
        <w:rPr>
          <w:rFonts w:ascii="Times New Roman" w:eastAsia="SimSun" w:hAnsi="Times New Roman"/>
          <w:sz w:val="24"/>
          <w:szCs w:val="24"/>
        </w:rPr>
        <w:t xml:space="preserve"> на усложненията на Паркинсоновата болест, която се осъществява чрез ранно прилагане на леводопа щадяща терапия.</w:t>
      </w:r>
    </w:p>
    <w:p w14:paraId="7478E5AF"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През късната Паркинсонова болест монотерапията обикновено не е достатъчно ефективна. Комбинираното лечение дава възможност за намаляване на дозите на леводопа. При влошаване на симптомите поради недостатъчна доза се повишава внимателно дозата на използвания медикамент или се включва нова група медикаменти. Задължително се прилагат възможно най-ниските дози от медикамента, които повлияват достатъчно симптомите. Най-често резултатът е комбинирана терапия с леводопа и допаминов агонист, тоест ако пациентът е бил само на леводопа терапия се включва и допаминов агонист и обратното. Ако пациента се е лекувал с формите с контролирано освобождаване на леводопа, сега трябва да премине на стандартните форми. На по-късен етап, когато комбинацията от леводопа и допаминов агонист изчерпи своите възможности може да се добави и COMT инхибитор, който обаче слабо повлиява двигателните нарушения. Добавянето на МАО-В инхибитори и глутаматни антагонисти рядко подобрява контрола върху двигателните флуктуации. Amantadine повлиява дискинезиите.</w:t>
      </w:r>
    </w:p>
    <w:p w14:paraId="5D10568C"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p>
    <w:p w14:paraId="56D51FE2"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Лечение на двигателните флуктуации</w:t>
      </w:r>
    </w:p>
    <w:p w14:paraId="493517F0"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p>
    <w:p w14:paraId="14E42F2D"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I. Медикаменти</w:t>
      </w:r>
    </w:p>
    <w:p w14:paraId="10F294C9"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1. Дисперсната форма на леводопа </w:t>
      </w:r>
      <w:r w:rsidRPr="00AE47C6">
        <w:rPr>
          <w:rFonts w:ascii="Times New Roman" w:eastAsia="SimSun" w:hAnsi="Times New Roman"/>
          <w:sz w:val="24"/>
          <w:szCs w:val="24"/>
        </w:rPr>
        <w:t>(</w:t>
      </w:r>
      <w:r w:rsidRPr="00AE47C6">
        <w:rPr>
          <w:rFonts w:ascii="Times New Roman" w:eastAsia="SimSun" w:hAnsi="Times New Roman"/>
          <w:i/>
          <w:sz w:val="24"/>
          <w:szCs w:val="24"/>
        </w:rPr>
        <w:t>levodopa/benserazide</w:t>
      </w:r>
      <w:r w:rsidRPr="00AE47C6">
        <w:rPr>
          <w:rFonts w:ascii="Times New Roman" w:eastAsia="SimSun" w:hAnsi="Times New Roman"/>
          <w:sz w:val="24"/>
          <w:szCs w:val="24"/>
        </w:rPr>
        <w:t>) има предимството на бързия ефект (след 15 – 20 минути), поради бързото достигане на терапевтична плазмена концентрация. Подходяща е за повлияване на сутрешната акинезия, феномените на замръзване, акинетичните кризи и нарушенията в гълтането.</w:t>
      </w:r>
    </w:p>
    <w:p w14:paraId="4542A8C7"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2. Леводопа формите с контролирано освобождаване</w:t>
      </w:r>
      <w:r w:rsidRPr="00AE47C6">
        <w:rPr>
          <w:rFonts w:ascii="Times New Roman" w:eastAsia="SimSun" w:hAnsi="Times New Roman"/>
          <w:sz w:val="24"/>
          <w:szCs w:val="24"/>
        </w:rPr>
        <w:t xml:space="preserve"> не бива да се прилагат, освен при нощни акинезии. Оформянето на индивидуалната доза е доста по-трудно отколкото при стандартните форми, тъй като поради продължителното действие на медикамента, ефектите от последователните приеми се припокриват и плазмените концентрации на леводопа бавно нарастват. В резултат на това могат да се получат дискинезии в края на деня. </w:t>
      </w:r>
    </w:p>
    <w:p w14:paraId="2951B841"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3. Лечението с допаминов агонист</w:t>
      </w:r>
      <w:r w:rsidRPr="00AE47C6">
        <w:rPr>
          <w:rFonts w:ascii="Times New Roman" w:eastAsia="SimSun" w:hAnsi="Times New Roman"/>
          <w:sz w:val="24"/>
          <w:szCs w:val="24"/>
        </w:rPr>
        <w:t xml:space="preserve"> намалява усложненията на късната Паркинсонова болест. Те стимулират директно допаминовите рецептори и не изискват метаболитно преобразуване в активен продукт, за да осъществят фармакодинамичните си ефекти, поради което техният ефект не зависи от дегенериралите допаминергични неврони. Ефектът им не зависи от абсорбцията и транспорта към мозъка, защото за разлика от леводопа те не се конкурират с аминокиселините от храната. Повечето допаминови агонисти имат по-дълготраен ефект от леводопа, поради което осъществяват по-дълготрайна, а не пулсионна стимулация на допаминовите рецептори. Комбинираното лечение с допаминов агонист дава възможност да се намали дозата на леводопата с 30-40%. При пациенти с късна Паркинсонова болест допаминовите агонисти намаляват с около 30% “off” и удължават "on" периодите. </w:t>
      </w:r>
    </w:p>
    <w:p w14:paraId="3F1666E9"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4. COMT инхибиторите</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entacapone, opicapone</w:t>
      </w:r>
      <w:r w:rsidRPr="00AE47C6">
        <w:rPr>
          <w:rFonts w:ascii="Times New Roman" w:eastAsia="SimSun" w:hAnsi="Times New Roman"/>
          <w:sz w:val="24"/>
          <w:szCs w:val="24"/>
        </w:rPr>
        <w:t>) дават възможност да се увеличи бионаличността и трансфера на леводопа към мозъка. COMT метаболизира леводопата и допамина до 3-О-метилдопа и респективно до 3-метокситирамин в периферната и централна нервна система. COMT инхибиторите потискат COMT и периферния катаболизъм на леводопа до 3-О-метилдопа. Намалява формирането на 3-О-метилдопа, която се конкурира с леводопата за транспорт по пътя на големите неутрални мастни киселини в кръвообращението и мозъка. По този начин се повишава бионаличността на леводопа, без да нараства максималната плазмена концентрация. Тези ефекти са налице когато COMT инхибиторите се прилагат едновременно със стандартните или с контролирано освобождаване форми на леводопа. По този начин се избягват пиковите плазмени концентрации на леводопа, които водят до двигателни флуктуации. Прилагат се само едновременно с леводопа (200 mg с всяка доза) и често предизвикват дискинезии около 24 часа след прилагането на първата доза. Това налага намаляване на дозата на леводопа с около 30%. Медикаментът може да се приложи при пациенти с двигателни флуктуации, като намалява “off” периодите с 25 до 30%. Клиничната практика не показва добро повлияване на двигателните нарушения, а нарастването на дискинезиите води до влошаване на пациента.</w:t>
      </w:r>
      <w:r w:rsidRPr="00AE47C6">
        <w:rPr>
          <w:rFonts w:ascii="Times New Roman" w:eastAsia="SimSun" w:hAnsi="Times New Roman"/>
          <w:i/>
          <w:sz w:val="24"/>
          <w:szCs w:val="24"/>
        </w:rPr>
        <w:t xml:space="preserve"> Opicapone 50 mg </w:t>
      </w:r>
      <w:r w:rsidRPr="00AE47C6">
        <w:rPr>
          <w:rFonts w:ascii="Times New Roman" w:eastAsia="SimSun" w:hAnsi="Times New Roman"/>
          <w:sz w:val="24"/>
          <w:szCs w:val="24"/>
        </w:rPr>
        <w:t>се прилага също едновременно с леводопа.</w:t>
      </w:r>
    </w:p>
    <w:p w14:paraId="5976D58E"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5. Комбинираните леводопа препарати</w:t>
      </w:r>
      <w:r w:rsidRPr="00AE47C6">
        <w:rPr>
          <w:rFonts w:ascii="Times New Roman" w:eastAsia="SimSun" w:hAnsi="Times New Roman"/>
          <w:sz w:val="24"/>
          <w:szCs w:val="24"/>
        </w:rPr>
        <w:t xml:space="preserve"> с допа-декарбоксилазен инхибитор и СОМТ инхибитор в една таблетка са биоеквивалентни с отделният прием на трите съставки. Stalevo представлява комбинация от леводопа, carbidopa и entacapone в различни съотношения. Прилагат се филм-таблетки  в съотношение 100/25/200 mg, 150/37,5/200 mg или 200/50/200 mg. При пациенти вече лекуващи се с комбинацията от леводопа и СОМТ инхибитор, може да се премине на лечение със Stalevo, с оглед удобството за пациента. Тройната комбинация дава възможност за намаляване на използвания брой таблетки. Тя е подходяща при пациенти приемащи много и различни медикаменти и при такива с нарушение в гълтането. От друга страна такава тройна комбинация затруднява флексибилността на леводопа терапията. </w:t>
      </w:r>
    </w:p>
    <w:p w14:paraId="3EEB8B6B"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6. MAO-B инхибиторите </w:t>
      </w:r>
      <w:r w:rsidRPr="00AE47C6">
        <w:rPr>
          <w:rFonts w:ascii="Times New Roman" w:eastAsia="SimSun" w:hAnsi="Times New Roman"/>
          <w:sz w:val="24"/>
          <w:szCs w:val="24"/>
        </w:rPr>
        <w:t>рядко могат да имат ефект върху двигателните флуктуации и да удължат “on” периода.</w:t>
      </w:r>
    </w:p>
    <w:p w14:paraId="6D5051BF"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7. Антихолинергични медикаменти не се препоръчват</w:t>
      </w:r>
      <w:r w:rsidRPr="00AE47C6">
        <w:rPr>
          <w:rFonts w:ascii="Times New Roman" w:eastAsia="SimSun" w:hAnsi="Times New Roman"/>
          <w:sz w:val="24"/>
          <w:szCs w:val="24"/>
        </w:rPr>
        <w:t xml:space="preserve"> при пациенти с напреднала Паркинсонова болест, поради множеството им странични ефекти и напредналата възраст на пациентите. </w:t>
      </w:r>
    </w:p>
    <w:p w14:paraId="3D5D1056"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8.</w:t>
      </w:r>
      <w:r w:rsidRPr="00AE47C6">
        <w:rPr>
          <w:rFonts w:ascii="Times New Roman" w:eastAsia="SimSun" w:hAnsi="Times New Roman"/>
          <w:sz w:val="24"/>
          <w:szCs w:val="24"/>
        </w:rPr>
        <w:t xml:space="preserve"> Препоръчва се </w:t>
      </w:r>
      <w:r w:rsidRPr="00AE47C6">
        <w:rPr>
          <w:rFonts w:ascii="Times New Roman" w:eastAsia="SimSun" w:hAnsi="Times New Roman"/>
          <w:b/>
          <w:sz w:val="24"/>
          <w:szCs w:val="24"/>
        </w:rPr>
        <w:t>двигателен режим</w:t>
      </w:r>
      <w:r w:rsidRPr="00AE47C6">
        <w:rPr>
          <w:rFonts w:ascii="Times New Roman" w:eastAsia="SimSun" w:hAnsi="Times New Roman"/>
          <w:sz w:val="24"/>
          <w:szCs w:val="24"/>
        </w:rPr>
        <w:t xml:space="preserve"> с умерено натоварване. Прилагането на физиотерапевтични процедури и неврорехабилитация подобрява двигателната активност.</w:t>
      </w:r>
    </w:p>
    <w:p w14:paraId="36488823" w14:textId="77777777" w:rsidR="00BE0B19" w:rsidRPr="00AE47C6" w:rsidRDefault="00BE0B19" w:rsidP="00BE0B19">
      <w:pPr>
        <w:widowControl w:val="0"/>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II. Повлияване на отделните видове двигателни флуктуации</w:t>
      </w:r>
    </w:p>
    <w:p w14:paraId="179B78D7"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 </w:t>
      </w:r>
      <w:r w:rsidRPr="00AE47C6">
        <w:rPr>
          <w:rFonts w:ascii="Times New Roman" w:eastAsia="SimSun" w:hAnsi="Times New Roman"/>
          <w:b/>
          <w:sz w:val="24"/>
          <w:szCs w:val="24"/>
        </w:rPr>
        <w:t>феномен на изчерпване</w:t>
      </w:r>
      <w:r w:rsidRPr="00AE47C6">
        <w:rPr>
          <w:rFonts w:ascii="Times New Roman" w:eastAsia="SimSun" w:hAnsi="Times New Roman"/>
          <w:sz w:val="24"/>
          <w:szCs w:val="24"/>
        </w:rPr>
        <w:t xml:space="preserve"> (wearing off) първата възможност е да се намалят единичните дози на </w:t>
      </w:r>
      <w:r w:rsidRPr="00AE47C6">
        <w:rPr>
          <w:rFonts w:ascii="Times New Roman" w:eastAsia="SimSun" w:hAnsi="Times New Roman"/>
          <w:b/>
          <w:sz w:val="24"/>
          <w:szCs w:val="24"/>
        </w:rPr>
        <w:t>стандартната леводопа</w:t>
      </w:r>
      <w:r w:rsidRPr="00AE47C6">
        <w:rPr>
          <w:rFonts w:ascii="Times New Roman" w:eastAsia="SimSun" w:hAnsi="Times New Roman"/>
          <w:sz w:val="24"/>
          <w:szCs w:val="24"/>
        </w:rPr>
        <w:t xml:space="preserve"> и да се увеличи честотата на приемите. Тази тактика е добра в началото, но по-късно става неефективна. С малките дози се постига по-ниска плазмена концентрация на леводопа, която е под прага на двигателното подобрение. Дори и когато прагът е достигнат, по-малките дози и по-ниските плазмени концентрации водят до по-къс период на подобрение. Дневната доза може да достигне до 1500 mg.</w:t>
      </w:r>
    </w:p>
    <w:p w14:paraId="42778694"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Дистонията в периода на изчерпването</w:t>
      </w:r>
      <w:r w:rsidRPr="00AE47C6">
        <w:rPr>
          <w:rFonts w:ascii="Times New Roman" w:eastAsia="SimSun" w:hAnsi="Times New Roman"/>
          <w:sz w:val="24"/>
          <w:szCs w:val="24"/>
        </w:rPr>
        <w:t xml:space="preserve"> на ефекта на единичната доза се повлиява по същия начин, както и феномена на изчерпване на дозата.</w:t>
      </w:r>
    </w:p>
    <w:p w14:paraId="7E72B7A0"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Непредвидимият </w:t>
      </w:r>
      <w:r w:rsidRPr="00AE47C6">
        <w:rPr>
          <w:rFonts w:ascii="Times New Roman" w:eastAsia="SimSun" w:hAnsi="Times New Roman"/>
          <w:b/>
          <w:sz w:val="24"/>
          <w:szCs w:val="24"/>
        </w:rPr>
        <w:t>"феномен на включване и изключване"</w:t>
      </w:r>
      <w:r w:rsidRPr="00AE47C6">
        <w:rPr>
          <w:rFonts w:ascii="Times New Roman" w:eastAsia="SimSun" w:hAnsi="Times New Roman"/>
          <w:sz w:val="24"/>
          <w:szCs w:val="24"/>
        </w:rPr>
        <w:t xml:space="preserve"> се повлиява по същия начин както и феноменът на изчерпване на дозата, но лечението в тези случаи е много по-трудно. Не трябва да се прилагат формите на леводопа с контролирано освобождаване, защото те могат да засилят дискинезиите. Освен фракциониране на дозите стандартна леводопа, добавянето на допаминов агонист или COMT инхибитор може да подобри състоянието на пациента. Желателна е диета с преразпределение на протеините в храната, които трябва да се приемат предимно вечер.</w:t>
      </w:r>
    </w:p>
    <w:p w14:paraId="11FB697E"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Сутрешната дистония</w:t>
      </w:r>
      <w:r w:rsidRPr="00AE47C6">
        <w:rPr>
          <w:rFonts w:ascii="Times New Roman" w:eastAsia="SimSun" w:hAnsi="Times New Roman"/>
          <w:sz w:val="24"/>
          <w:szCs w:val="24"/>
        </w:rPr>
        <w:t xml:space="preserve"> се повлиява чрез включването на вечерна доза допаминов агонист. Сутрешната доза леводопа трябва да се взема още преди пациента да е станал от леглото. </w:t>
      </w:r>
    </w:p>
    <w:p w14:paraId="750ABDB1"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Липсата на отговор</w:t>
      </w:r>
      <w:r w:rsidRPr="00AE47C6">
        <w:rPr>
          <w:rFonts w:ascii="Times New Roman" w:eastAsia="SimSun" w:hAnsi="Times New Roman"/>
          <w:sz w:val="24"/>
          <w:szCs w:val="24"/>
        </w:rPr>
        <w:t xml:space="preserve"> или субоптималния отговор към единична доза леводопа се повлиява чрез повишаване на дозата, което обаче ще предизвика дискинезии. Протеиновата диета, вземането на леводопа 1 час преди хранене или на медикаменти повишаващи мотилитета на червата може да подобри състоянието на пациентите. </w:t>
      </w:r>
    </w:p>
    <w:p w14:paraId="381C34F9"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Акинетичните кризи</w:t>
      </w:r>
      <w:r w:rsidRPr="00AE47C6">
        <w:rPr>
          <w:rFonts w:ascii="Times New Roman" w:eastAsia="SimSun" w:hAnsi="Times New Roman"/>
          <w:sz w:val="24"/>
          <w:szCs w:val="24"/>
        </w:rPr>
        <w:t xml:space="preserve"> трябва да се лекуват бързо, защото ако пациентът не бъде изведен от тях, изходът може да бъде смъртен. Ако може да поема течности, веднага се дават </w:t>
      </w:r>
      <w:r w:rsidRPr="00AE47C6">
        <w:rPr>
          <w:rFonts w:ascii="Times New Roman" w:eastAsia="SimSun" w:hAnsi="Times New Roman"/>
          <w:i/>
          <w:sz w:val="24"/>
          <w:szCs w:val="24"/>
        </w:rPr>
        <w:t>125 mg от дисперсната форма на леводопа</w:t>
      </w:r>
      <w:r w:rsidRPr="00AE47C6">
        <w:rPr>
          <w:rFonts w:ascii="Times New Roman" w:eastAsia="SimSun" w:hAnsi="Times New Roman"/>
          <w:sz w:val="24"/>
          <w:szCs w:val="24"/>
        </w:rPr>
        <w:t>, разтворена в около 100 ml вода. При липса на ефект или при пълна невъзможност за гълтане, се започват б</w:t>
      </w:r>
      <w:r w:rsidRPr="00AE47C6">
        <w:rPr>
          <w:rFonts w:ascii="Times New Roman" w:eastAsia="SimSun" w:hAnsi="Times New Roman"/>
          <w:i/>
          <w:sz w:val="24"/>
          <w:szCs w:val="24"/>
        </w:rPr>
        <w:t>авни венозни инфузии на amantadine sulfate 200 mg/500 ml до 3 пъти дневно</w:t>
      </w:r>
      <w:r w:rsidRPr="00AE47C6">
        <w:rPr>
          <w:rFonts w:ascii="Times New Roman" w:eastAsia="SimSun" w:hAnsi="Times New Roman"/>
          <w:sz w:val="24"/>
          <w:szCs w:val="24"/>
        </w:rPr>
        <w:t>. След възстановяване на гълтането пациентът преминава на обичайната леводопа терапия, която може да се наложи да бъде повишена.</w:t>
      </w:r>
    </w:p>
    <w:p w14:paraId="2D291019"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Феноменът на “замръзване”</w:t>
      </w:r>
      <w:r w:rsidRPr="00AE47C6">
        <w:rPr>
          <w:rFonts w:ascii="Times New Roman" w:eastAsia="SimSun" w:hAnsi="Times New Roman"/>
          <w:sz w:val="24"/>
          <w:szCs w:val="24"/>
        </w:rPr>
        <w:t xml:space="preserve"> трудно се подава на лечение. Тъй като може да бъде свързан както с недостатъчност, така и с предозиране на терапията, трябва да се опита повишаване на дозата на леводопата или допаминовия агонист. Ако няма повлияване дозата се намалява. В случай, че няма ефект, трябва да се помогне на пациента да си изработи съзнателна двигателна програма, която да замести подсъзнателната автоматична. Пациентът трябва да се научи да прави първата стъпка към определена цел на пода или да я направи с изпънат крак, като че ли марширува. Различни визуални и слухови (музика) стимули също могат да помогнат на пациента да преодолее замръзването.</w:t>
      </w:r>
    </w:p>
    <w:p w14:paraId="1B5B482E"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p>
    <w:p w14:paraId="17ECCFED" w14:textId="384FF9F3" w:rsidR="00BE0B19" w:rsidRPr="00AE47C6" w:rsidRDefault="00A72642" w:rsidP="00A72642">
      <w:pPr>
        <w:tabs>
          <w:tab w:val="left" w:pos="720"/>
        </w:tabs>
        <w:suppressAutoHyphens/>
        <w:spacing w:after="0" w:line="360" w:lineRule="auto"/>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ab/>
      </w:r>
      <w:r w:rsidR="00BE0B19" w:rsidRPr="00AE47C6">
        <w:rPr>
          <w:rFonts w:ascii="Times New Roman" w:eastAsia="SimSun" w:hAnsi="Times New Roman"/>
          <w:b/>
          <w:bCs/>
          <w:sz w:val="24"/>
          <w:szCs w:val="24"/>
          <w:lang w:eastAsia="bg-BG"/>
        </w:rPr>
        <w:t>Лечение на дискинезиите</w:t>
      </w:r>
    </w:p>
    <w:p w14:paraId="72F167F3"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Подобно на двигателните флуктуации, дискинезиите представляват сериозен терапевтичен проблем.</w:t>
      </w:r>
    </w:p>
    <w:p w14:paraId="322DBF9A"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I. Глутаматните антагонисти</w:t>
      </w:r>
      <w:r w:rsidRPr="00AE47C6">
        <w:rPr>
          <w:rFonts w:ascii="Times New Roman" w:eastAsia="SimSun" w:hAnsi="Times New Roman"/>
          <w:sz w:val="24"/>
          <w:szCs w:val="24"/>
        </w:rPr>
        <w:t xml:space="preserve"> – </w:t>
      </w:r>
      <w:r w:rsidRPr="00AE47C6">
        <w:rPr>
          <w:rFonts w:ascii="Times New Roman" w:eastAsia="SimSun" w:hAnsi="Times New Roman"/>
          <w:i/>
          <w:sz w:val="24"/>
          <w:szCs w:val="24"/>
        </w:rPr>
        <w:t>амантадините (amantadine sulfat или amantadine hydrochlorid</w:t>
      </w:r>
      <w:r w:rsidRPr="00AE47C6">
        <w:rPr>
          <w:rFonts w:ascii="Times New Roman" w:eastAsia="SimSun" w:hAnsi="Times New Roman"/>
          <w:sz w:val="24"/>
          <w:szCs w:val="24"/>
        </w:rPr>
        <w:t xml:space="preserve">e) намаляват глутаматната трансмисия във вътрешната част на globus pallidum и повлияват дискинезиите. Осъществяват симптоматичният си ефект чрез нормализиране на съотношението допамин/глутамат, като намаляват нивото на глутамата. Няма данни за тяхната ефективност като монотерапия в ранната фаза на заболяването, но повлияват дискинезиите в късната фаза. </w:t>
      </w:r>
    </w:p>
    <w:p w14:paraId="201C473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1. Amantadine sulfate</w:t>
      </w:r>
      <w:r w:rsidRPr="00AE47C6">
        <w:rPr>
          <w:rFonts w:ascii="Times New Roman" w:eastAsia="SimSun" w:hAnsi="Times New Roman"/>
          <w:sz w:val="24"/>
          <w:szCs w:val="24"/>
        </w:rPr>
        <w:t xml:space="preserve"> се прилага в средна дневна доза 400 mg, но може да се прилага в по-високи дози (до 600 mg). Дозата се повишава през няколко дни със 100 mg до получаване на желания ефект, с минималната ефективна доза. При поява на странични ефекти спирането на лечението трябва да става постепенно.</w:t>
      </w:r>
    </w:p>
    <w:p w14:paraId="77E4113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2. Amantadine hydrochloride</w:t>
      </w:r>
      <w:r w:rsidRPr="00AE47C6">
        <w:rPr>
          <w:rFonts w:ascii="Times New Roman" w:eastAsia="SimSun" w:hAnsi="Times New Roman"/>
          <w:sz w:val="24"/>
          <w:szCs w:val="24"/>
        </w:rPr>
        <w:t xml:space="preserve"> се прилага в дневни дози 100 до 400 mg. </w:t>
      </w:r>
    </w:p>
    <w:p w14:paraId="03766DB0"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Дискинезиите по време на пиковата плазмена концентрация</w:t>
      </w:r>
      <w:r w:rsidRPr="00AE47C6">
        <w:rPr>
          <w:rFonts w:ascii="Times New Roman" w:eastAsia="SimSun" w:hAnsi="Times New Roman"/>
          <w:sz w:val="24"/>
          <w:szCs w:val="24"/>
        </w:rPr>
        <w:t xml:space="preserve"> се повлияват от намаляване на всяка единична доза леводопа. Терапевтичният прозорец при тези пациенти е твърде тесен и даже незначителното намаляване на леводопата води до влошаване на двигателната активност. Ако пациента се лекува с леводопа форми с контролирано освобождаване, превключването към стандартни форми повлиява дистониите. Намаляването на леводопа и включване на допаминови агонисти или повишаване на тяхната доза е полезно, особено ако дискинезиите имат дистоничен характер. Трябва да се спре прилагането на МАО-В инхибитори. </w:t>
      </w:r>
    </w:p>
    <w:p w14:paraId="715ABDA5"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Двуфазната дискинезия</w:t>
      </w:r>
      <w:r w:rsidRPr="00AE47C6">
        <w:rPr>
          <w:rFonts w:ascii="Times New Roman" w:eastAsia="SimSun" w:hAnsi="Times New Roman"/>
          <w:sz w:val="24"/>
          <w:szCs w:val="24"/>
        </w:rPr>
        <w:t xml:space="preserve"> може да бъде повлияна с повишаване честотата на приемите на леводопа или превключване от леводопа форми с контролирано освобождаване към стандартни. Може да се опита с повишаване на дозата на леводопа. При повишаване на честотата на приемите времето трябва да бъде избрано така, че отделните дози да се застъпват, за да се избегнат колебанията в плазмената концентрация. След застъпване на 4-5 дози дискинезиите се появяват отново, но този път в предвидимо време, което пациентът знае и може да прекара в къщи. Желателно е да се спре прилагането на МАО-В инхибитори. При неуспех се добавя допаминов агонист или глутаматни антагонисти. </w:t>
      </w:r>
    </w:p>
    <w:p w14:paraId="412A526F"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p>
    <w:p w14:paraId="0FA950F5" w14:textId="77777777" w:rsidR="00BE0B19" w:rsidRPr="00AE47C6" w:rsidRDefault="00BE0B19" w:rsidP="00BE0B19">
      <w:pPr>
        <w:widowControl w:val="0"/>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Лечението на двигателните усложнения се провежда в следния ред:</w:t>
      </w:r>
    </w:p>
    <w:p w14:paraId="6D93784E" w14:textId="77777777" w:rsidR="00BE0B19" w:rsidRPr="00AE47C6" w:rsidRDefault="00BE0B19" w:rsidP="00BE0B19">
      <w:pPr>
        <w:widowControl w:val="0"/>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1. Намаляване на единичните дози на стандартната леводопа (125 mg) и увеличаване на честотата на приемите до 5-6. </w:t>
      </w:r>
    </w:p>
    <w:p w14:paraId="4D7B361B" w14:textId="77777777" w:rsidR="00BE0B19" w:rsidRPr="00AE47C6" w:rsidRDefault="00BE0B19" w:rsidP="00BE0B19">
      <w:pPr>
        <w:widowControl w:val="0"/>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2. Замяна на леводопа с контролирано освобождаване със стандартните форми. </w:t>
      </w:r>
    </w:p>
    <w:p w14:paraId="0AD787B3" w14:textId="77777777" w:rsidR="00BE0B19" w:rsidRPr="00AE47C6" w:rsidRDefault="00BE0B19" w:rsidP="00BE0B19">
      <w:pPr>
        <w:widowControl w:val="0"/>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3. Преди нощният сън може да се назначи еднократно допаминов агонист или леводопа с контролирано освобождаване.</w:t>
      </w:r>
    </w:p>
    <w:p w14:paraId="097D81FF" w14:textId="77777777" w:rsidR="00BE0B19" w:rsidRPr="00AE47C6" w:rsidRDefault="00BE0B19" w:rsidP="00BE0B19">
      <w:pPr>
        <w:widowControl w:val="0"/>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4. Ако ефектът е незадоволителен, се започва комбинирано лечение с добавяне към леводопа терапията на:</w:t>
      </w:r>
    </w:p>
    <w:p w14:paraId="2EF0CE4F" w14:textId="77777777" w:rsidR="00BE0B19" w:rsidRPr="00AE47C6" w:rsidRDefault="00BE0B19" w:rsidP="00BE0B19">
      <w:pPr>
        <w:widowControl w:val="0"/>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неерготаминов допаминов агонист</w:t>
      </w:r>
    </w:p>
    <w:p w14:paraId="672768CA" w14:textId="77777777" w:rsidR="00BE0B19" w:rsidRPr="00AE47C6" w:rsidRDefault="00BE0B19" w:rsidP="00BE0B19">
      <w:pPr>
        <w:widowControl w:val="0"/>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СОМТ инхибитор</w:t>
      </w:r>
    </w:p>
    <w:p w14:paraId="6DEC0125" w14:textId="77777777" w:rsidR="00BE0B19" w:rsidRPr="00AE47C6" w:rsidRDefault="00BE0B19" w:rsidP="00BE0B19">
      <w:pPr>
        <w:widowControl w:val="0"/>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дисперсна форма на леводопа 125 mg при нужда, при акинезия, акинетични кризи, феномени на замръзване или нарушения в гълтането.</w:t>
      </w:r>
    </w:p>
    <w:p w14:paraId="11F4DAA3" w14:textId="77777777" w:rsidR="00BE0B19" w:rsidRPr="00AE47C6" w:rsidRDefault="00BE0B19" w:rsidP="00BE0B19">
      <w:pPr>
        <w:widowControl w:val="0"/>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 дисперсна форма на леводопа 125 mg вместо стандартен медикамент при ежедневна сутрешна акинезия. </w:t>
      </w:r>
    </w:p>
    <w:p w14:paraId="79744BCB" w14:textId="77777777" w:rsidR="00BE0B19" w:rsidRPr="00AE47C6" w:rsidRDefault="00BE0B19" w:rsidP="00BE0B19">
      <w:pPr>
        <w:widowControl w:val="0"/>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Глутаматни антагонисти при дискинезии или акинетични кризи (интравенозни инфузии).</w:t>
      </w:r>
    </w:p>
    <w:p w14:paraId="7D8CADDE" w14:textId="77777777" w:rsidR="00BE0B19" w:rsidRPr="00AE47C6" w:rsidRDefault="00BE0B19" w:rsidP="00BE0B19">
      <w:pPr>
        <w:widowControl w:val="0"/>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При недобро повлияване на дискинезиите и дистониите към терапията може да се добави baclofen до 60 mg дневно.</w:t>
      </w:r>
    </w:p>
    <w:p w14:paraId="18F7190F" w14:textId="77777777" w:rsidR="00BE0B19" w:rsidRPr="00AE47C6" w:rsidRDefault="00BE0B19" w:rsidP="00BE0B19">
      <w:pPr>
        <w:widowControl w:val="0"/>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MAO-B инхибитори с оглед повлияване на двигателните флуктуации и за удължаване на “on” периода.</w:t>
      </w:r>
    </w:p>
    <w:p w14:paraId="5A890E38"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при липса на достатъчен отговор към леводопа медикаменти се препоръчва прием на гладно и консумация на бедна на протеини храна.</w:t>
      </w:r>
    </w:p>
    <w:p w14:paraId="56F355E8"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5. Прилагането на антихолинергични медикаменти не се препоръчва.</w:t>
      </w:r>
    </w:p>
    <w:p w14:paraId="50337DC5"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6. Лечението на депресията продължава, както и през ранният стадии на заболяването. </w:t>
      </w:r>
    </w:p>
    <w:p w14:paraId="626CDC42"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7. Препоръчва се двигателен режим с умерени натоварвания.</w:t>
      </w:r>
    </w:p>
    <w:p w14:paraId="054ACD30"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21AE4B8F" w14:textId="6F349E5D" w:rsidR="00BE0B19" w:rsidRPr="00AE47C6" w:rsidRDefault="00BE0B19" w:rsidP="00BE0B19">
      <w:pPr>
        <w:widowControl w:val="0"/>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Терминален стадии на Паркинсонова болест</w:t>
      </w:r>
    </w:p>
    <w:p w14:paraId="36956B5E"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Независимо от провежданото лечение, инвалидността приковава към леглото пациентите средно след 14 години. Те са тежко инвалидизирани, защото или имат дискинезии или са акинетични и трудно се подават на контрол чрез медикаменти. Смъртният изход настъпва поради залежаването и последващите соматични усложнения. Една част от тези пациенти, при които заболяването е започнало в по-млада възраст са соматично здрави и все още сравнително млади.</w:t>
      </w:r>
    </w:p>
    <w:p w14:paraId="1D44B464" w14:textId="77777777" w:rsidR="00BE0B19" w:rsidRPr="00AE47C6" w:rsidRDefault="00BE0B19" w:rsidP="00BE0B19">
      <w:pPr>
        <w:widowControl w:val="0"/>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Лечение </w:t>
      </w:r>
    </w:p>
    <w:p w14:paraId="6FC91F7D" w14:textId="3EA9ADE6" w:rsidR="00BE0B19" w:rsidRPr="00AE47C6" w:rsidRDefault="00317181" w:rsidP="00BE0B19">
      <w:pPr>
        <w:widowControl w:val="0"/>
        <w:spacing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Съществуват четири</w:t>
      </w:r>
      <w:r w:rsidR="00BE0B19" w:rsidRPr="00AE47C6">
        <w:rPr>
          <w:rFonts w:ascii="Times New Roman" w:eastAsia="SimSun" w:hAnsi="Times New Roman"/>
          <w:sz w:val="24"/>
          <w:szCs w:val="24"/>
        </w:rPr>
        <w:t xml:space="preserve"> метода за подобряване на състоянието при пациенти с възникнали тежки двигателни усложнения и изчерпан отговор към перорална терапия – прилагане на интестинален гел levodopa, foslevodopa/foscarbidopa инфузионен разтвор,</w:t>
      </w:r>
      <w:r w:rsidR="00BE0B19" w:rsidRPr="00AE47C6">
        <w:rPr>
          <w:rFonts w:ascii="Times New Roman" w:eastAsia="SimSun" w:hAnsi="Times New Roman"/>
          <w:sz w:val="24"/>
          <w:szCs w:val="24"/>
          <w:highlight w:val="yellow"/>
        </w:rPr>
        <w:t xml:space="preserve"> </w:t>
      </w:r>
      <w:r w:rsidR="00BE0B19" w:rsidRPr="00AE47C6">
        <w:rPr>
          <w:rFonts w:ascii="Times New Roman" w:eastAsia="SimSun" w:hAnsi="Times New Roman"/>
          <w:sz w:val="24"/>
          <w:szCs w:val="24"/>
        </w:rPr>
        <w:t xml:space="preserve">apomorphine или дълбока мозъчна стимулация. Тези методи са свързани с различни устройства, които дозират подаването на медикаментите или стимулират определени мозъчни структури. Критериите за необходимост от асистирана с устройство терапия са прием на леводопа повече от 5 пъти на ден, наличие на off-периоди 2 часа дневно и на обезпокоителни дискинезии 1 час дневно. Четирите метода на лечение се прилагат когато всички други възможности са изчерпани и двигателните усложнения застрашават живота на пациентите. Не е задължително пациента да е приемал леводопа медикаменти с удължено освобождаване или с СОМТ инхибитори, антихолинергични медикаменти и СОМТ инхибитори. Изискват непрекъснат контрол и проследяване на състоянието на пациента в специализирани центрове. Допълнителните ползи от тези методи са подобряване на нощните нарушения в състоянието, намаляване на дневната сънливост и на риска от развитие на психози и поведенчески нарушения, намаляване на сутрешната акинезия. Недопаминергичните симптоми не се повлияват от нито един от трите метода, с изключение на тремора, който се повлиява слабо от субталамична дълбока мозъчна стимулация. </w:t>
      </w:r>
    </w:p>
    <w:p w14:paraId="11CA0356"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1. Дълбоката мозъчна стимулация</w:t>
      </w:r>
      <w:r w:rsidRPr="00AE47C6">
        <w:rPr>
          <w:rFonts w:ascii="Times New Roman" w:eastAsia="SimSun" w:hAnsi="Times New Roman"/>
          <w:sz w:val="24"/>
          <w:szCs w:val="24"/>
        </w:rPr>
        <w:t xml:space="preserve"> чрез имплантирани електроди в специфични зони на мозъка се прилага в най-късния стадии на Паркинсоновата болест. </w:t>
      </w:r>
      <w:r w:rsidRPr="00AE47C6">
        <w:rPr>
          <w:rFonts w:ascii="Times New Roman" w:eastAsia="SimSun" w:hAnsi="Times New Roman"/>
          <w:i/>
          <w:sz w:val="24"/>
          <w:szCs w:val="24"/>
        </w:rPr>
        <w:t>Субталамичната дълбока мозъчна стимулация</w:t>
      </w:r>
      <w:r w:rsidRPr="00AE47C6">
        <w:rPr>
          <w:rFonts w:ascii="Times New Roman" w:eastAsia="SimSun" w:hAnsi="Times New Roman"/>
          <w:sz w:val="24"/>
          <w:szCs w:val="24"/>
        </w:rPr>
        <w:t xml:space="preserve">, която се прилага най-често и </w:t>
      </w:r>
      <w:r w:rsidRPr="00AE47C6">
        <w:rPr>
          <w:rFonts w:ascii="Times New Roman" w:eastAsia="SimSun" w:hAnsi="Times New Roman"/>
          <w:i/>
          <w:sz w:val="24"/>
          <w:szCs w:val="24"/>
        </w:rPr>
        <w:t>стимулацията на globus pallidus internus</w:t>
      </w:r>
      <w:r w:rsidRPr="00AE47C6">
        <w:rPr>
          <w:rFonts w:ascii="Times New Roman" w:eastAsia="SimSun" w:hAnsi="Times New Roman"/>
          <w:sz w:val="24"/>
          <w:szCs w:val="24"/>
        </w:rPr>
        <w:t xml:space="preserve"> имитират ефекта на леводопа, като повлияват ригидността, брадикинезията, off-периодите и дизкинезиите. Двата вида стимулация има сходни ефекти, но стимулацията на nucleus subthalamicus има по-добър ефект върху паркинсоновите симптоми и позволява редуциране на приеманата перорално леводопа. Необходимостта от допълнително перорално прилагане на леводопа е по-голямо отколкото при лечение с apomorphine или дуоденална леводопа инфузия. Подобрението от лечението не е по-голямо отколкото по време на on-фазата при прием на леводопа, но с по-малко дизкинезии. Аксиалните паркинсонови симптоми, като дизартрия, постурална нестабилност и freezing феномените на походката не се повлияват. Ефекта от електростимулацията персистира до 5 години, след което настъпва адаптация и намаляване на ефекта. При едностранни симптоми се прилага контралатерална стимулация, но ефекта може да бъде двустранен. Двустранната дълбока мозъчна стимулация е по-ефективна, но дава повече странични ефекти. Стимулацията е с продължителност на импулса 60 ms и честота 130-180 Hz. Амплитудата на стимулацията (2 – 5 V) се увеличава бавно до получаване на оптимално съотношение между клинична ефективност и странични ефекти. </w:t>
      </w:r>
    </w:p>
    <w:p w14:paraId="0DEEB6B6"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Стимулация на nucleus ventralis intermedius на thalamus</w:t>
      </w:r>
      <w:r w:rsidRPr="00AE47C6">
        <w:rPr>
          <w:rFonts w:ascii="Times New Roman" w:eastAsia="SimSun" w:hAnsi="Times New Roman"/>
          <w:sz w:val="24"/>
          <w:szCs w:val="24"/>
        </w:rPr>
        <w:t>, която повлиява само тремора се прилага по-рядко.</w:t>
      </w:r>
    </w:p>
    <w:p w14:paraId="19E42E00"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Подходящи за лечение са пациенти на възраст до 65-70 години, без когнитивни и психични нарушения, с преобладаващи дизкинезии. Пациентите трябва да имат добър терапевтичен отговор към леводопа терапия, със слабо изразени аксиални симптоми. Подбора на пациентите трябва да се извършва от мултидисциплинарен екип, включващ невролог, неврохирург и клиничен психолог.</w:t>
      </w:r>
    </w:p>
    <w:p w14:paraId="61C56D38"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Сериозните усложнения са свързани с невропсихични и когнитивни нарушения (28%), инсулти (2%), вътремозъчно кървене (10%), постоперативни инфекции (1,6%), епилептични припадъци (2,4%), разместване на електродите (20%) и смъртност (до 5%) свързана с оперативната интервенция. Могат да възникнат и неврологични симптоми (дизартрия, диплопия, апраксия на отварянето на очите, фосфени, парестезии, мускулни контракции), свързани с електростимулация на съседни анатомични структури. При 8% от пациентите се наблюдава наддаване на тегло, което може да се нормализира след 2 години. Ограничение за по-нататъшния живот на пациента е невъзможността за прилагане на магнитни полета – магнитно резонансно изследване, транскраниална магнитна стимулация и физиотерапия. </w:t>
      </w:r>
    </w:p>
    <w:p w14:paraId="6DFBF886"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2. Apomorphine hydrochloride hemihydrate 10 mg/ml </w:t>
      </w:r>
      <w:r w:rsidRPr="00AE47C6">
        <w:rPr>
          <w:rFonts w:ascii="Times New Roman" w:eastAsia="SimSun" w:hAnsi="Times New Roman"/>
          <w:sz w:val="24"/>
          <w:szCs w:val="24"/>
        </w:rPr>
        <w:t xml:space="preserve">инжекционен разтвор под формата на непрекъсната подкожна инфузия чрез мини помпа е алтернатива на интестиналното приложение на леводопа. Ефективността му върху паркинсоновите симптоми е равна на тази на леводопа, защото той е най-потентния допаминов агонист. Намалява off-периодите и по-слабо дизкинезиите, повлиява апатията и настроението. За да се повлияят дизкинезиите трябва да се намали дневната доза на леводопа. Монотерапия може да се постигне само с много високи дози (над 100 mg дневно) apomorphine, което е свързано със сериозни странични ефекти. Инфузията започва с доза 1 mg/час, която се повишава с 0,5 mg/час всеки 2-4 часа в зависимост от поносимостта. </w:t>
      </w:r>
    </w:p>
    <w:p w14:paraId="767A1E31"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Подходящи са пациенти от всички възрастови групи, с преобладаващи дълги off-периоди, с близки хора, които се грижат за тях. Не са подходящи възрастни пациенти, с когнитивни нарушения, ортостатична хипотония, тежки системни заболявания (чернодробна, бъбречна или сърдечна недостатъчност) или анамнеза за допаминергична психоза.</w:t>
      </w:r>
    </w:p>
    <w:p w14:paraId="45E54532"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Страничните ефекти са гадене и повръщане (10%), поява на нодули (70%), сомнолентност и седация (23%), ортостатична хипотония (5%), бъбречно увреждане (6%) и позитивиране на теста на Coombs. При пациентите използващи 24 часа дневно apomorphine могат да се развият нарушения в контрола на импулсите (патологично хазартно или интернет влечение, компулсивно хранене), патологично либидо и остра параноя с опити за суицидитет.</w:t>
      </w:r>
    </w:p>
    <w:p w14:paraId="079C71B3" w14:textId="0F247EDD"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3. Интестиналния гел суспензия на levodopa-carbidopa</w:t>
      </w:r>
      <w:r w:rsidRPr="00AE47C6">
        <w:rPr>
          <w:rFonts w:ascii="Times New Roman" w:eastAsia="SimSun" w:hAnsi="Times New Roman"/>
          <w:sz w:val="24"/>
          <w:szCs w:val="24"/>
        </w:rPr>
        <w:t xml:space="preserve"> (20/5 mg/ml) се прилага чрез портативна помпа през постоянна сонда, поставена чрез перкутанна ендоскопска гастростома. Продължителната и постоянна инфузия на леводопа има за цел подаването на стабилна и оптимална доза според индивидуалния терапевтичен прозорец. Медикаментът се подава директно в дуоденума, избягвайки проблемите със стомашния пасаж и  конкуренцията с аминокиселините. Избягва се и пулсионното подаване на леводопа, която се дозира и подава непрекъснато от компютър. Ежедневно се използва по една касета от 100 ml (2000 mg levodopa/500 mg carbidopa). Предварително се тества повлияването на симптоматиката от суспензията, приложена чрез временна назодуоденална сонда. </w:t>
      </w:r>
    </w:p>
    <w:p w14:paraId="17C28E09"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Медикаментът, приложен като монотерапия, намалява off-периодите, времето с дизкинезии и двигателните флуктуации. Намаляването на off-периодите е подобно на това, което се получава при дълбока мозъчна стимулация и прилагане на apomorphine. Повлиява нощните симптоми, съня, умората, дневната сънливост, гастроинтестиналните, уринарни и сексуални нарушения. Намалява и риска от развитие на психоза и поведенчески нарушения.</w:t>
      </w:r>
    </w:p>
    <w:p w14:paraId="1DCFB6FA"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Подходящ е при пациенти от всички възрастови групи, с ясни “on-off” периоди, дълга продължителност на “off” периодите (над 2 часа), преобладаващи дизкинезии липса на ефект от перорална терапия.</w:t>
      </w:r>
    </w:p>
    <w:p w14:paraId="44AB6824"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Страничните ефекти настъпват през първите 2 седмици и са свързани с абдоминална болка (42%), гадене (28%), перитонит (2,8%), пневмоперитонеум, обструкция или разместване на катетъра и повреда на помпата. При 2,8% от пациентите се развива лека сензомоторна аксонна полиневропатия.</w:t>
      </w:r>
    </w:p>
    <w:p w14:paraId="7EC70650"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4.</w:t>
      </w:r>
      <w:r w:rsidRPr="00AE47C6">
        <w:rPr>
          <w:rFonts w:ascii="Times New Roman" w:eastAsia="SimSun" w:hAnsi="Times New Roman"/>
          <w:sz w:val="24"/>
          <w:szCs w:val="24"/>
        </w:rPr>
        <w:t xml:space="preserve"> </w:t>
      </w:r>
      <w:r w:rsidRPr="00AE47C6">
        <w:rPr>
          <w:rFonts w:ascii="Times New Roman" w:eastAsia="SimSun" w:hAnsi="Times New Roman"/>
          <w:b/>
          <w:bCs/>
          <w:sz w:val="24"/>
          <w:szCs w:val="24"/>
          <w:lang w:val="en-US"/>
        </w:rPr>
        <w:t>F</w:t>
      </w:r>
      <w:r w:rsidRPr="00AE47C6">
        <w:rPr>
          <w:rFonts w:ascii="Times New Roman" w:eastAsia="SimSun" w:hAnsi="Times New Roman"/>
          <w:b/>
          <w:bCs/>
          <w:sz w:val="24"/>
          <w:szCs w:val="24"/>
        </w:rPr>
        <w:t xml:space="preserve">oslevodopa/foscarbidopa – </w:t>
      </w:r>
      <w:r w:rsidRPr="00AE47C6">
        <w:rPr>
          <w:rFonts w:ascii="Times New Roman" w:eastAsia="SimSun" w:hAnsi="Times New Roman"/>
          <w:sz w:val="24"/>
          <w:szCs w:val="24"/>
        </w:rPr>
        <w:t xml:space="preserve">240 mg/ml + 12 mg/ml) инфузионен разтвор за непрекъсната подкожна инфузия, 24 в денонощието. Прилага се чрез помпата Vyafuser.  В 1 ml се съдържат 240 mg foslevodopa и 12 mg foscarbidopa, еквивалентни на приблизително 170 mg levodopa и 9 mg carbidopa. </w:t>
      </w:r>
    </w:p>
    <w:p w14:paraId="344A3814"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Продължителната и постоянна инфузия на леводопа има за цел подаването на стабилна и оптимална доза според индивидуалния терапевтичен прозорец. Началната скорост на инфузия на </w:t>
      </w:r>
      <w:r w:rsidRPr="00AE47C6">
        <w:rPr>
          <w:rFonts w:ascii="Times New Roman" w:eastAsia="SimSun" w:hAnsi="Times New Roman"/>
          <w:b/>
          <w:bCs/>
          <w:sz w:val="24"/>
          <w:szCs w:val="24"/>
          <w:lang w:val="en-US"/>
        </w:rPr>
        <w:t>f</w:t>
      </w:r>
      <w:r w:rsidRPr="00AE47C6">
        <w:rPr>
          <w:rFonts w:ascii="Times New Roman" w:eastAsia="SimSun" w:hAnsi="Times New Roman"/>
          <w:b/>
          <w:bCs/>
          <w:sz w:val="24"/>
          <w:szCs w:val="24"/>
        </w:rPr>
        <w:t>oslevodopa/foscarbidopa</w:t>
      </w:r>
      <w:r w:rsidRPr="00AE47C6">
        <w:rPr>
          <w:rFonts w:ascii="Times New Roman" w:eastAsia="SimSun" w:hAnsi="Times New Roman"/>
          <w:sz w:val="24"/>
          <w:szCs w:val="24"/>
        </w:rPr>
        <w:t xml:space="preserve"> се определя чрез преобразуване на досегашния дневен прием на леводопа в еквиваленти на леводопа (LE) и след това повишаване с оглед на 24-часово приложение. Дозата може да се коригира за постигане на клиничен отговор, който увеличава до максимум времето на on-периодите и свежда до минимум броя и продължителността на off-периодите. Максималната препоръчителна дневна доза на foslevodopa е 6 000 mg (или 25 ml от разтвора на ден, еквивалентно на приблизително 4 260 mg леводопа на ден).</w:t>
      </w:r>
    </w:p>
    <w:p w14:paraId="1E562B6A"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За бързо овладяване на симптомите при започване на терапия с foslevodopa/foscarbidopa (в off“ период), непосредствено преди започване на терапията може да се приложи натоварваща болус доза (също така и ако помпата е била изключена за повече от 3 часа).</w:t>
      </w:r>
    </w:p>
    <w:p w14:paraId="6ACC344F"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lang w:val="en-US"/>
        </w:rPr>
        <w:t>F</w:t>
      </w:r>
      <w:r w:rsidRPr="00AE47C6">
        <w:rPr>
          <w:rFonts w:ascii="Times New Roman" w:eastAsia="SimSun" w:hAnsi="Times New Roman"/>
          <w:sz w:val="24"/>
          <w:szCs w:val="24"/>
        </w:rPr>
        <w:t>oslevodopa/foscarbidopa заменя лекарствата, съдържащи леводопа, и инхибиторите на катехол-O-метил трансфераза (COMT). Ако е необходимо, могат да се приемат едновременно други класове лекарствени продукти за лечение на Паркинсонова болест.</w:t>
      </w:r>
    </w:p>
    <w:p w14:paraId="36FF9A62"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Най-честите нежелани реакции (≥ 10%) са събития на мястото на инфузията (еритем на мястото на инфузията, възел на мястото на инфузията, целулит на мястото на инфузията, оток на мястото на инфузията, болка на мястото на инфузията и реакция на мястото на инфузията), халюцинации, падане, тревожност и замайване.</w:t>
      </w:r>
    </w:p>
    <w:p w14:paraId="06D279CC"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line="360" w:lineRule="auto"/>
        <w:ind w:firstLine="720"/>
        <w:jc w:val="center"/>
        <w:rPr>
          <w:rFonts w:ascii="Times New Roman" w:eastAsia="SimSun" w:hAnsi="Times New Roman"/>
          <w:sz w:val="24"/>
          <w:szCs w:val="24"/>
        </w:rPr>
      </w:pPr>
      <w:r w:rsidRPr="00AE47C6">
        <w:rPr>
          <w:rFonts w:ascii="Times New Roman" w:eastAsia="SimSun" w:hAnsi="Times New Roman"/>
          <w:b/>
          <w:sz w:val="24"/>
          <w:szCs w:val="24"/>
        </w:rPr>
        <w:t>Лечението в терминалния стадии се провежда от невролог:</w:t>
      </w:r>
    </w:p>
    <w:p w14:paraId="53973291"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1. Дълбока мозъчна стимулация, levodopa интестинален гел, apomorphine</w:t>
      </w:r>
      <w:r w:rsidRPr="00AE47C6">
        <w:rPr>
          <w:rFonts w:ascii="Times New Roman" w:eastAsia="SimSun" w:hAnsi="Times New Roman"/>
          <w:b/>
          <w:i/>
          <w:sz w:val="24"/>
          <w:szCs w:val="24"/>
        </w:rPr>
        <w:t xml:space="preserve"> </w:t>
      </w:r>
      <w:r w:rsidRPr="00AE47C6">
        <w:rPr>
          <w:rFonts w:ascii="Times New Roman" w:eastAsia="SimSun" w:hAnsi="Times New Roman"/>
          <w:sz w:val="24"/>
          <w:szCs w:val="24"/>
        </w:rPr>
        <w:t>hydrochloride или foslevodopa/foscarbidopa инфузионен разтвор, се прилагат когато двигателните усложнения не могат да бъдат повлияни по друг начин.</w:t>
      </w:r>
    </w:p>
    <w:p w14:paraId="6A7BCC00"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2. Дълбоката мозъчна стимулация се предпочита като метод на лечение при пациенти на възраст до 65-70 години с преобладаващи дискинезии, но добър отговор към леводопа терапия и липса на когнитивни и психични нарушения. Подбора на пациентите трябва да се извършва от мултидисциплинарен екип, включващ невролог, неврохирург и клиничен психолог.</w:t>
      </w:r>
    </w:p>
    <w:p w14:paraId="2A4E0859"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3. Apomorphine се предпочита при пациенти с преобладаващи дълги off-периоди, ако нямат когнитивни нарушения.</w:t>
      </w:r>
    </w:p>
    <w:p w14:paraId="0EA30AD6"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4. Levodopa интестинален гел инфузия се предпочита при пациенти с ясни “on-off” периоди, дълга продължителност на “off” периодите (над 2 часа) и преобладаващи дискинезии.</w:t>
      </w:r>
    </w:p>
    <w:p w14:paraId="1FE378AE"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5. </w:t>
      </w:r>
      <w:r w:rsidRPr="00AE47C6">
        <w:rPr>
          <w:rFonts w:ascii="Times New Roman" w:eastAsia="SimSun" w:hAnsi="Times New Roman"/>
          <w:sz w:val="24"/>
          <w:szCs w:val="24"/>
          <w:lang w:val="en-US"/>
        </w:rPr>
        <w:t>F</w:t>
      </w:r>
      <w:r w:rsidRPr="00AE47C6">
        <w:rPr>
          <w:rFonts w:ascii="Times New Roman" w:eastAsia="SimSun" w:hAnsi="Times New Roman"/>
          <w:sz w:val="24"/>
          <w:szCs w:val="24"/>
        </w:rPr>
        <w:t>oslevodopa/foscarbidopa е подходящ за пациенти с тежки моторни флуктуации, при които пероралната терапия не повлиява ефективно симптомите.</w:t>
      </w:r>
    </w:p>
    <w:p w14:paraId="749962E1"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6. Четирите метода на лечение на лечение изискват непрекъснат контрол и проследяване на състоянието на пациента в специализирани центрове.</w:t>
      </w:r>
    </w:p>
    <w:p w14:paraId="3B73505E" w14:textId="77777777" w:rsidR="00BE0B19" w:rsidRPr="00AE47C6" w:rsidRDefault="00BE0B19" w:rsidP="00BE0B19">
      <w:pPr>
        <w:ind w:firstLine="720"/>
        <w:rPr>
          <w:rFonts w:ascii="Times New Roman" w:eastAsia="SimSun" w:hAnsi="Times New Roman"/>
          <w:sz w:val="24"/>
          <w:szCs w:val="24"/>
        </w:rPr>
      </w:pPr>
    </w:p>
    <w:p w14:paraId="51DEFF16"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Лечение на дизавтономиите</w:t>
      </w:r>
    </w:p>
    <w:p w14:paraId="72ECE022"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 хроничен </w:t>
      </w:r>
      <w:r w:rsidRPr="00AE47C6">
        <w:rPr>
          <w:rFonts w:ascii="Times New Roman" w:eastAsia="SimSun" w:hAnsi="Times New Roman"/>
          <w:b/>
          <w:sz w:val="24"/>
          <w:szCs w:val="24"/>
        </w:rPr>
        <w:t>запек</w:t>
      </w:r>
      <w:r w:rsidRPr="00AE47C6">
        <w:rPr>
          <w:rFonts w:ascii="Times New Roman" w:eastAsia="SimSun" w:hAnsi="Times New Roman"/>
          <w:sz w:val="24"/>
          <w:szCs w:val="24"/>
        </w:rPr>
        <w:t xml:space="preserve"> се препоръчва пациента да повиши физическата си активност, да употребява повече течности (поне 8 чаши вода дневно) и да увеличи количеството на зеленчуците и обема на приеманата храна. Веднъж седмично могат да се използват и лаксативи.</w:t>
      </w:r>
    </w:p>
    <w:p w14:paraId="045F5CD6"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Уринарните нарушения</w:t>
      </w:r>
      <w:r w:rsidRPr="00AE47C6">
        <w:rPr>
          <w:rFonts w:ascii="Times New Roman" w:eastAsia="SimSun" w:hAnsi="Times New Roman"/>
          <w:sz w:val="24"/>
          <w:szCs w:val="24"/>
        </w:rPr>
        <w:t xml:space="preserve"> вследствие на хиперфункция на детрузора на пикочния мехур се повлияват от tolterodine 2 до 4 mg дневно. Ако се дължат на повишен тонус на външния сфинктер се прилагат миорелаксанти (baclofen до 60 mg дневно). Намалява се приема на течности след вечеря. Необходима е консултация с уролог за изясняване на характера на уринарните нарушения. </w:t>
      </w:r>
    </w:p>
    <w:p w14:paraId="5979212F"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Сексуалните нарушения</w:t>
      </w:r>
      <w:r w:rsidRPr="00AE47C6">
        <w:rPr>
          <w:rFonts w:ascii="Times New Roman" w:eastAsia="SimSun" w:hAnsi="Times New Roman"/>
          <w:sz w:val="24"/>
          <w:szCs w:val="24"/>
        </w:rPr>
        <w:t xml:space="preserve"> ако се дължат на депресия се повлияват от антидепресанти. Не бива да се използват трициклични антидепресанти, SSRI и MAO-A инхибитори, които водят до импотентност. При тревожност добър ефект се постига с анксиолитици. Повишаването на дозите на антипаркинсоновата терапия може да подобри сексуалните нарушения.</w:t>
      </w:r>
    </w:p>
    <w:p w14:paraId="16FADEB2"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Ортостатичната хипотония</w:t>
      </w:r>
      <w:r w:rsidRPr="00AE47C6">
        <w:rPr>
          <w:rFonts w:ascii="Times New Roman" w:eastAsia="SimSun" w:hAnsi="Times New Roman"/>
          <w:sz w:val="24"/>
          <w:szCs w:val="24"/>
        </w:rPr>
        <w:t xml:space="preserve"> може да се подобри от приемане на по-солени храни, по-често приемане на по-малко количество храна и повдигане на горната част на леглото с 30-40</w:t>
      </w:r>
      <w:r w:rsidRPr="00AE47C6">
        <w:rPr>
          <w:rFonts w:ascii="Times New Roman" w:eastAsia="SimSun" w:hAnsi="Times New Roman"/>
          <w:sz w:val="24"/>
          <w:szCs w:val="24"/>
          <w:vertAlign w:val="superscript"/>
        </w:rPr>
        <w:t>0</w:t>
      </w:r>
      <w:r w:rsidRPr="00AE47C6">
        <w:rPr>
          <w:rFonts w:ascii="Times New Roman" w:eastAsia="SimSun" w:hAnsi="Times New Roman"/>
          <w:sz w:val="24"/>
          <w:szCs w:val="24"/>
        </w:rPr>
        <w:t>. В легнало положение се губи по-голямо количество натрий, поради намалено освобождаване на ренин. Domperidone 10 mg трикратно дневно може да предотврати появата на ортостатична хипотония и постпрандиален синдром.</w:t>
      </w:r>
    </w:p>
    <w:p w14:paraId="313E053E"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Нарушенията в терморегулацията</w:t>
      </w:r>
      <w:r w:rsidRPr="00AE47C6">
        <w:rPr>
          <w:rFonts w:ascii="Times New Roman" w:eastAsia="SimSun" w:hAnsi="Times New Roman"/>
          <w:sz w:val="24"/>
          <w:szCs w:val="24"/>
        </w:rPr>
        <w:t xml:space="preserve"> се повлияват от повишаване на дозите на леводопа или добавяне на допаминови агонисти, ако те се проявяват през “off” периода и от намаляване на дозите на антипаркинсоновото лечение, ако нарушенията се проявяват през “on” периода.</w:t>
      </w:r>
    </w:p>
    <w:p w14:paraId="335BE64E"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Сетивните нарушения</w:t>
      </w:r>
      <w:r w:rsidRPr="00AE47C6">
        <w:rPr>
          <w:rFonts w:ascii="Times New Roman" w:eastAsia="SimSun" w:hAnsi="Times New Roman"/>
          <w:sz w:val="24"/>
          <w:szCs w:val="24"/>
        </w:rPr>
        <w:t xml:space="preserve"> се повлияват от повишаване на дозите на леводопа или добавяне на допаминови агонисти, ако се проявяват през “off” периода.</w:t>
      </w:r>
    </w:p>
    <w:p w14:paraId="679EFC73"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Дизфагията</w:t>
      </w:r>
      <w:r w:rsidRPr="00AE47C6">
        <w:rPr>
          <w:rFonts w:ascii="Times New Roman" w:eastAsia="SimSun" w:hAnsi="Times New Roman"/>
          <w:sz w:val="24"/>
          <w:szCs w:val="24"/>
        </w:rPr>
        <w:t xml:space="preserve"> се повлияват от повишаване на дозите на антипаркинсоновото лечение.</w:t>
      </w:r>
    </w:p>
    <w:p w14:paraId="5947B7DE"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Себореята и блефаритът</w:t>
      </w:r>
      <w:r w:rsidRPr="00AE47C6">
        <w:rPr>
          <w:rFonts w:ascii="Times New Roman" w:eastAsia="SimSun" w:hAnsi="Times New Roman"/>
          <w:sz w:val="24"/>
          <w:szCs w:val="24"/>
        </w:rPr>
        <w:t xml:space="preserve"> се повлияват от локална апликация на стероидни кремове.</w:t>
      </w:r>
    </w:p>
    <w:p w14:paraId="2F65B5A9"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p>
    <w:p w14:paraId="6BF6F174"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Лечение на паданията</w:t>
      </w:r>
    </w:p>
    <w:p w14:paraId="7B99DFE8"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Лечението зависи от конкретната причина за паданията. Необходимо е да отстранят всички медикаменти, които предизвикват хипотония или засилват постуралната нестабилност. Често използването на инвалидна количка е единственото решение на проблема.</w:t>
      </w:r>
    </w:p>
    <w:p w14:paraId="592FAF5B"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p>
    <w:p w14:paraId="15671B71"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Лечение на невропсихичните усложнения</w:t>
      </w:r>
    </w:p>
    <w:p w14:paraId="2F946850"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 поява на </w:t>
      </w:r>
      <w:r w:rsidRPr="00AE47C6">
        <w:rPr>
          <w:rFonts w:ascii="Times New Roman" w:eastAsia="SimSun" w:hAnsi="Times New Roman"/>
          <w:b/>
          <w:sz w:val="24"/>
          <w:szCs w:val="24"/>
        </w:rPr>
        <w:t>халюцинации и делир</w:t>
      </w:r>
      <w:r w:rsidRPr="00AE47C6">
        <w:rPr>
          <w:rFonts w:ascii="Times New Roman" w:eastAsia="SimSun" w:hAnsi="Times New Roman"/>
          <w:sz w:val="24"/>
          <w:szCs w:val="24"/>
        </w:rPr>
        <w:t xml:space="preserve"> или обърканост на първо място се изключват всички миорелаксанти, трициклични антидепресанти, анксиолитици, седативни и антиспазмолитични медикаменти. Коригират се при нужда дехидратацията, електролитния дисбаланс, метаболитните нарушения и се лекува инфекцията, ако има такава. Ако няма ефект се преминава към изключване на антипаркинсоновите медикаменти, като се внимава да не се влоши драстично паркинсоновата симптоматика. При всички случаи пациента трябва да остане на стандартна леводопа, а препаратите с контролирано освобождаване да се спрат. Това не бива по никакъв повод да става внезапно, изключването става по групи медикаменти през 3-4 дни, като при липса на ефект се преминава към следващата група. Внезапното изключване може да доведе до малигнен невролептичен синдром. В случай, че тези мерки не са достатъчни е необходимо да се започне антипсихотична терапия с clozapine 12,5 mg преди лягане и дозата да се увеличи постепенно до 25 – 75 mg, в зависимост от ефекта. Медикаментът не блокира допаминовите рецептори и не влошава Паркинсоновата болест. Всяка седмица трябва да се изследва кръвната картина, тъй като агранулоцитозата е най-сериозното усложнение.</w:t>
      </w:r>
    </w:p>
    <w:p w14:paraId="6B72899F"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 изразени </w:t>
      </w:r>
      <w:r w:rsidRPr="00AE47C6">
        <w:rPr>
          <w:rFonts w:ascii="Times New Roman" w:eastAsia="SimSun" w:hAnsi="Times New Roman"/>
          <w:b/>
          <w:sz w:val="24"/>
          <w:szCs w:val="24"/>
        </w:rPr>
        <w:t>когнитивни нарушения и деменция</w:t>
      </w:r>
      <w:r w:rsidRPr="00AE47C6">
        <w:rPr>
          <w:rFonts w:ascii="Times New Roman" w:eastAsia="SimSun" w:hAnsi="Times New Roman"/>
          <w:sz w:val="24"/>
          <w:szCs w:val="24"/>
        </w:rPr>
        <w:t xml:space="preserve"> се редуцират всички трициклични антидепресанти, анксиолитици, седативни и антипаркинсонови медикаменти до възможния минимум. Необходима е консултация с невропсихолог.</w:t>
      </w:r>
    </w:p>
    <w:p w14:paraId="24167A52"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Депресията</w:t>
      </w:r>
      <w:r w:rsidRPr="00AE47C6">
        <w:rPr>
          <w:rFonts w:ascii="Times New Roman" w:eastAsia="SimSun" w:hAnsi="Times New Roman"/>
          <w:sz w:val="24"/>
          <w:szCs w:val="24"/>
        </w:rPr>
        <w:t xml:space="preserve"> в някои случаи се повлиява от повишаване на дозите на антипаркинсоновата терапия. Необходимо е и лечение с антидепресанти, като се предпочитат медикаменти от групата на SNRI (серотонин-норадреналин реъптейк инхибитори) и трициклични антидепресанти. </w:t>
      </w:r>
    </w:p>
    <w:p w14:paraId="0D5F6273" w14:textId="77777777" w:rsidR="00BE0B19" w:rsidRPr="00AE47C6" w:rsidRDefault="00BE0B19" w:rsidP="00BE0B19">
      <w:pPr>
        <w:widowControl w:val="0"/>
        <w:tabs>
          <w:tab w:val="left" w:pos="6379"/>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Тревожността и паническите атаки</w:t>
      </w:r>
      <w:r w:rsidRPr="00AE47C6">
        <w:rPr>
          <w:rFonts w:ascii="Times New Roman" w:eastAsia="SimSun" w:hAnsi="Times New Roman"/>
          <w:sz w:val="24"/>
          <w:szCs w:val="24"/>
        </w:rPr>
        <w:t xml:space="preserve"> се повлияват от кратко действащи анксиолитици (</w:t>
      </w:r>
      <w:r w:rsidRPr="00AE47C6">
        <w:rPr>
          <w:rFonts w:ascii="Times New Roman" w:eastAsia="SimSun" w:hAnsi="Times New Roman"/>
          <w:i/>
          <w:sz w:val="24"/>
          <w:szCs w:val="24"/>
        </w:rPr>
        <w:t>alprazolam 0,5 – 1,0 mg дневно</w:t>
      </w:r>
      <w:r w:rsidRPr="00AE47C6">
        <w:rPr>
          <w:rFonts w:ascii="Times New Roman" w:eastAsia="SimSun" w:hAnsi="Times New Roman"/>
          <w:sz w:val="24"/>
          <w:szCs w:val="24"/>
        </w:rPr>
        <w:t xml:space="preserve">) и трициклични антидепресанти. </w:t>
      </w:r>
    </w:p>
    <w:p w14:paraId="1F509445" w14:textId="77777777" w:rsidR="00BE0B19" w:rsidRPr="00AE47C6" w:rsidRDefault="00BE0B19" w:rsidP="00BE0B19">
      <w:pPr>
        <w:widowControl w:val="0"/>
        <w:spacing w:after="0" w:line="360" w:lineRule="auto"/>
        <w:ind w:firstLine="720"/>
        <w:jc w:val="both"/>
        <w:rPr>
          <w:rFonts w:ascii="Times New Roman" w:eastAsia="SimSun" w:hAnsi="Times New Roman"/>
          <w:i/>
          <w:sz w:val="24"/>
          <w:szCs w:val="24"/>
        </w:rPr>
      </w:pPr>
      <w:r w:rsidRPr="00AE47C6">
        <w:rPr>
          <w:rFonts w:ascii="Times New Roman" w:eastAsia="SimSun" w:hAnsi="Times New Roman"/>
          <w:b/>
          <w:sz w:val="24"/>
          <w:szCs w:val="24"/>
        </w:rPr>
        <w:t xml:space="preserve">Ажитираността </w:t>
      </w:r>
      <w:r w:rsidRPr="00AE47C6">
        <w:rPr>
          <w:rFonts w:ascii="Times New Roman" w:eastAsia="SimSun" w:hAnsi="Times New Roman"/>
          <w:sz w:val="24"/>
          <w:szCs w:val="24"/>
        </w:rPr>
        <w:t>се повлиява чрез редуциране на антипаркинсоновата терапия в същия ред, както при поява на халюцинации и лечение с анксиолитици (</w:t>
      </w:r>
      <w:r w:rsidRPr="00AE47C6">
        <w:rPr>
          <w:rFonts w:ascii="Times New Roman" w:eastAsia="SimSun" w:hAnsi="Times New Roman"/>
          <w:i/>
          <w:sz w:val="24"/>
          <w:szCs w:val="24"/>
        </w:rPr>
        <w:t>alprazolam 0,5 – 1,0 mg дневно).</w:t>
      </w:r>
    </w:p>
    <w:p w14:paraId="7154E146"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60531BD6"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Лечение на нарушенията на съня</w:t>
      </w:r>
    </w:p>
    <w:p w14:paraId="6F5FBFAC"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В случай, че </w:t>
      </w:r>
      <w:r w:rsidRPr="00AE47C6">
        <w:rPr>
          <w:rFonts w:ascii="Times New Roman" w:eastAsia="SimSun" w:hAnsi="Times New Roman"/>
          <w:b/>
          <w:sz w:val="24"/>
          <w:szCs w:val="24"/>
        </w:rPr>
        <w:t>инсомнията</w:t>
      </w:r>
      <w:r w:rsidRPr="00AE47C6">
        <w:rPr>
          <w:rFonts w:ascii="Times New Roman" w:eastAsia="SimSun" w:hAnsi="Times New Roman"/>
          <w:sz w:val="24"/>
          <w:szCs w:val="24"/>
        </w:rPr>
        <w:t xml:space="preserve"> е предизвикана от трудно обръщане в леглото, добавянето на леводопа с контролирано освобождаване преди лягане или включването на допаминов агонист решават проблема. Ако се дължи на антипаркинсоновото лечение трябва да се намали дозата на МАО-В инхибиторите, глутаматните антагонисти, допаминовите агонисти и накрая на леводопа. Ако нарушенията на съня са свързани с депресия се препоръчва трицикличен антидепресант (</w:t>
      </w:r>
      <w:r w:rsidRPr="00AE47C6">
        <w:rPr>
          <w:rFonts w:ascii="Times New Roman" w:eastAsia="SimSun" w:hAnsi="Times New Roman"/>
          <w:i/>
          <w:sz w:val="24"/>
          <w:szCs w:val="24"/>
        </w:rPr>
        <w:t>amitriptyline 25-75 mg</w:t>
      </w:r>
      <w:r w:rsidRPr="00AE47C6">
        <w:rPr>
          <w:rFonts w:ascii="Times New Roman" w:eastAsia="SimSun" w:hAnsi="Times New Roman"/>
          <w:sz w:val="24"/>
          <w:szCs w:val="24"/>
        </w:rPr>
        <w:t xml:space="preserve">) или mirtazapine 30-60 mg, а ако са свързани с тревожност се включва </w:t>
      </w:r>
      <w:r w:rsidRPr="00AE47C6">
        <w:rPr>
          <w:rFonts w:ascii="Times New Roman" w:eastAsia="SimSun" w:hAnsi="Times New Roman"/>
          <w:i/>
          <w:sz w:val="24"/>
          <w:szCs w:val="24"/>
        </w:rPr>
        <w:t>alprazolam 0,5 – 1,0 mg</w:t>
      </w:r>
      <w:r w:rsidRPr="00AE47C6">
        <w:rPr>
          <w:rFonts w:ascii="Times New Roman" w:eastAsia="SimSun" w:hAnsi="Times New Roman"/>
          <w:sz w:val="24"/>
          <w:szCs w:val="24"/>
        </w:rPr>
        <w:t xml:space="preserve"> или </w:t>
      </w:r>
      <w:r w:rsidRPr="00AE47C6">
        <w:rPr>
          <w:rFonts w:ascii="Times New Roman" w:eastAsia="SimSun" w:hAnsi="Times New Roman"/>
          <w:i/>
          <w:sz w:val="24"/>
          <w:szCs w:val="24"/>
        </w:rPr>
        <w:t>clonazepam до 2 mg</w:t>
      </w:r>
      <w:r w:rsidRPr="00AE47C6">
        <w:rPr>
          <w:rFonts w:ascii="Times New Roman" w:eastAsia="SimSun" w:hAnsi="Times New Roman"/>
          <w:sz w:val="24"/>
          <w:szCs w:val="24"/>
        </w:rPr>
        <w:t xml:space="preserve"> преди лягане. В останалите случаи се препоръчват кратко действащи хипнотици (</w:t>
      </w:r>
      <w:r w:rsidRPr="00AE47C6">
        <w:rPr>
          <w:rFonts w:ascii="Times New Roman" w:eastAsia="SimSun" w:hAnsi="Times New Roman"/>
          <w:i/>
          <w:sz w:val="24"/>
          <w:szCs w:val="24"/>
        </w:rPr>
        <w:t>zolpidem 5-10 mg</w:t>
      </w:r>
      <w:r w:rsidRPr="00AE47C6">
        <w:rPr>
          <w:rFonts w:ascii="Times New Roman" w:eastAsia="SimSun" w:hAnsi="Times New Roman"/>
          <w:sz w:val="24"/>
          <w:szCs w:val="24"/>
        </w:rPr>
        <w:t>) преди лягане.</w:t>
      </w:r>
    </w:p>
    <w:p w14:paraId="47492F02"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Дневната сънливост</w:t>
      </w:r>
      <w:r w:rsidRPr="00AE47C6">
        <w:rPr>
          <w:rFonts w:ascii="Times New Roman" w:eastAsia="SimSun" w:hAnsi="Times New Roman"/>
          <w:sz w:val="24"/>
          <w:szCs w:val="24"/>
        </w:rPr>
        <w:t xml:space="preserve"> ако се дължи на лечението, се повлиява, като пациентът премине от препарати с контролирано освобождаване на леводопа към стандартни. Ако се приемат анксиолитици, тяхната доза през деня трябва да се намали.</w:t>
      </w:r>
    </w:p>
    <w:p w14:paraId="5D9D2D93"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Нощните кошмари</w:t>
      </w:r>
      <w:r w:rsidRPr="00AE47C6">
        <w:rPr>
          <w:rFonts w:ascii="Times New Roman" w:eastAsia="SimSun" w:hAnsi="Times New Roman"/>
          <w:sz w:val="24"/>
          <w:szCs w:val="24"/>
        </w:rPr>
        <w:t xml:space="preserve"> се повлияват от намаляване на вечерната доза трицикличен антидепресант, допаминови агонисти и леводопа. При неповлияване се добавя антипсихотик (</w:t>
      </w:r>
      <w:r w:rsidRPr="00AE47C6">
        <w:rPr>
          <w:rFonts w:ascii="Times New Roman" w:eastAsia="SimSun" w:hAnsi="Times New Roman"/>
          <w:i/>
          <w:sz w:val="24"/>
          <w:szCs w:val="24"/>
        </w:rPr>
        <w:t>clozapine 12,5-25 mg</w:t>
      </w:r>
      <w:r w:rsidRPr="00AE47C6">
        <w:rPr>
          <w:rFonts w:ascii="Times New Roman" w:eastAsia="SimSun" w:hAnsi="Times New Roman"/>
          <w:sz w:val="24"/>
          <w:szCs w:val="24"/>
        </w:rPr>
        <w:t>) преди лягане.</w:t>
      </w:r>
    </w:p>
    <w:p w14:paraId="71EA5609"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REM поведенческото нарушение</w:t>
      </w:r>
      <w:r w:rsidRPr="00AE47C6">
        <w:rPr>
          <w:rFonts w:ascii="Times New Roman" w:eastAsia="SimSun" w:hAnsi="Times New Roman"/>
          <w:sz w:val="24"/>
          <w:szCs w:val="24"/>
        </w:rPr>
        <w:t xml:space="preserve"> се повлиява от clonazepam 0,25 до 1 mg преди лягане. Преустановява се лечението с трициклични антидепресанти и МАО-инхибитори.</w:t>
      </w:r>
    </w:p>
    <w:p w14:paraId="45F39E37"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Синдромът на неспокойните крака</w:t>
      </w:r>
      <w:r w:rsidRPr="00AE47C6">
        <w:rPr>
          <w:rFonts w:ascii="Times New Roman" w:eastAsia="SimSun" w:hAnsi="Times New Roman"/>
          <w:sz w:val="24"/>
          <w:szCs w:val="24"/>
        </w:rPr>
        <w:t xml:space="preserve"> се повлиява от повишаване на дозата и превключване към препарати на леводопа с контролирано освобождаване, както и от допаминови агонисти. Може да се добави clonazepam 0,25 до 1 g преди лягане.</w:t>
      </w:r>
    </w:p>
    <w:p w14:paraId="2E098311" w14:textId="77777777" w:rsidR="00BE0B19" w:rsidRPr="00AE47C6" w:rsidRDefault="00BE0B19" w:rsidP="00BE0B19">
      <w:pPr>
        <w:widowControl w:val="0"/>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Усложнения от лечението</w:t>
      </w:r>
    </w:p>
    <w:p w14:paraId="3DF5E9E9"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Синдромът паркинсонизъм-хиперпирексия</w:t>
      </w:r>
      <w:r w:rsidRPr="00AE47C6">
        <w:rPr>
          <w:rFonts w:ascii="Times New Roman" w:eastAsia="SimSun" w:hAnsi="Times New Roman"/>
          <w:sz w:val="24"/>
          <w:szCs w:val="24"/>
        </w:rPr>
        <w:t xml:space="preserve"> представлява вариант на невролептичния малигнен синдром.</w:t>
      </w:r>
    </w:p>
    <w:p w14:paraId="1E1B551B"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Етиологията</w:t>
      </w:r>
      <w:r w:rsidRPr="00AE47C6">
        <w:rPr>
          <w:rFonts w:ascii="Times New Roman" w:eastAsia="SimSun" w:hAnsi="Times New Roman"/>
          <w:sz w:val="24"/>
          <w:szCs w:val="24"/>
        </w:rPr>
        <w:t xml:space="preserve"> при пациенти с Паркинсонова болест е свързана с внезапно прекъсване на антипаркинсоновата терапия. </w:t>
      </w:r>
    </w:p>
    <w:p w14:paraId="199CAEE6"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Патогенезата</w:t>
      </w:r>
      <w:r w:rsidRPr="00AE47C6">
        <w:rPr>
          <w:rFonts w:ascii="Times New Roman" w:eastAsia="SimSun" w:hAnsi="Times New Roman"/>
          <w:sz w:val="24"/>
          <w:szCs w:val="24"/>
        </w:rPr>
        <w:t xml:space="preserve"> е свързана с функционален дефицит на допамин, поради тежко блокиране на допаминовите рецептори в striatum и в терморегулаторните и вазомоторни центрове в хипоталамуса. Това води до дезинхибиция на коровите и подкорови възбудни пътища. Могат да се засегнат също и норадреналина и серотонина. </w:t>
      </w:r>
    </w:p>
    <w:p w14:paraId="2AEE68F9"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Клинично</w:t>
      </w:r>
      <w:r w:rsidRPr="00AE47C6">
        <w:rPr>
          <w:rFonts w:ascii="Times New Roman" w:eastAsia="SimSun" w:hAnsi="Times New Roman"/>
          <w:sz w:val="24"/>
          <w:szCs w:val="24"/>
        </w:rPr>
        <w:t xml:space="preserve"> симптомите се развиват за 24 до 72 часа. Нарушения ментален статус и екстремната мускулна ригидност са често първите симптоми. Характеризира се с триадата от автономна дисфункция (висока температура, пребледняване, обилно изпотяване, нестабилно кръвно налягане, тахикардия, тахипнея, белодробна конгестия), промени в менталния статус и двигателни нарушения (акинезия, тремор, хореоатетоза, ригидност миоклонии или дистония). За разлика от серотониновия синдром настъпват брадикинезия, аксиална мускулна ригидност тип “оловна тръба”, която не преобладава в долните крайници, хипорефлексия и няма мехурни нарушения. Може да настъпи рабдомиолиза, електролитен дисбаланс и метаболитни нарушения, миоглобинурия, бъбречна и дихателна недостатъчност, респираторен дистрес синдром, белодробна емболия, миокарден инфаркт, нарушения в коагулацията, дисеминирана интраваскуларна коагулация, епилептични припадъци, шок. Съзнанието може да е нарушено до ступор или кома и изходът може да бъде смъртен. </w:t>
      </w:r>
    </w:p>
    <w:p w14:paraId="173DF3DF"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Лабораторните изследвания</w:t>
      </w:r>
      <w:r w:rsidRPr="00AE47C6">
        <w:rPr>
          <w:rFonts w:ascii="Times New Roman" w:eastAsia="SimSun" w:hAnsi="Times New Roman"/>
          <w:sz w:val="24"/>
          <w:szCs w:val="24"/>
        </w:rPr>
        <w:t xml:space="preserve"> показват левкоцитоза и повишени нива на креатин фосфокиназата и чернодробните ензими. Реактантите на острата фаза като албумин и серумните нива на желязото може да са намалени.</w:t>
      </w:r>
    </w:p>
    <w:p w14:paraId="3EC17C91"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Диференциалната диагноза</w:t>
      </w:r>
      <w:r w:rsidRPr="00AE47C6">
        <w:rPr>
          <w:rFonts w:ascii="Times New Roman" w:eastAsia="SimSun" w:hAnsi="Times New Roman"/>
          <w:sz w:val="24"/>
          <w:szCs w:val="24"/>
        </w:rPr>
        <w:t xml:space="preserve"> включва остри интоксикации (кокаин, амфетамини, екстази), метаболитни нарушения, енцефалит, менингит или субарахноиден кръвоизлив.</w:t>
      </w:r>
    </w:p>
    <w:p w14:paraId="1FD49640"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Лечението</w:t>
      </w:r>
      <w:r w:rsidRPr="00AE47C6">
        <w:rPr>
          <w:rFonts w:ascii="Times New Roman" w:eastAsia="SimSun" w:hAnsi="Times New Roman"/>
          <w:sz w:val="24"/>
          <w:szCs w:val="24"/>
        </w:rPr>
        <w:t xml:space="preserve"> изисква ранна диагноза и се провежда интензивно поради високата смъртност достигаща 20% от пациентите. Необходимо е възстановяване на антипаркинсоновата терапия. Прилага се интравенозна рехидратация и намаляване на телесната температура. Прилагат се бензодиазепини, methylprednisolone, bromocriptine (5 mg 4 пъти дневно до 50 mg), carbamazepine, amantadine или електроконвулсивна терапия. При по-тежки случаи и хипертермия се прилага dantrolene sodium (2-8 mg/kg 4 пъти дневно до 10 mg/kg на доза). </w:t>
      </w:r>
    </w:p>
    <w:p w14:paraId="3994EB58"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Синдромът на допаминовата дисрегулация</w:t>
      </w:r>
      <w:r w:rsidRPr="00AE47C6">
        <w:rPr>
          <w:rFonts w:ascii="Times New Roman" w:eastAsia="SimSun" w:hAnsi="Times New Roman"/>
          <w:sz w:val="24"/>
          <w:szCs w:val="24"/>
        </w:rPr>
        <w:t xml:space="preserve"> с нарушения на импулсния контрол е ятрогенно поведенческо нарушение свързано с ексцесивна стимулация на централната допаминергична система свързана с възнаграждение.  </w:t>
      </w:r>
    </w:p>
    <w:p w14:paraId="21155D7F"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 xml:space="preserve">Етиологията </w:t>
      </w:r>
      <w:r w:rsidRPr="00AE47C6">
        <w:rPr>
          <w:rFonts w:ascii="Times New Roman" w:eastAsia="SimSun" w:hAnsi="Times New Roman"/>
          <w:sz w:val="24"/>
          <w:szCs w:val="24"/>
        </w:rPr>
        <w:t xml:space="preserve">е свързана с пациенти с Паркинсонова болест и със синдрома на неспокойните крака, лекуващи се с pramipexole, ropinirolе, pergolide, bromocriptine и монотерапия с леводопа. </w:t>
      </w:r>
    </w:p>
    <w:p w14:paraId="4BB09266"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Клинично</w:t>
      </w:r>
      <w:r w:rsidRPr="00AE47C6">
        <w:rPr>
          <w:rFonts w:ascii="Times New Roman" w:eastAsia="SimSun" w:hAnsi="Times New Roman"/>
          <w:sz w:val="24"/>
          <w:szCs w:val="24"/>
        </w:rPr>
        <w:t xml:space="preserve"> протича с патологично залагане и пазаруване, пътуване, хиперфагия, компулсивно извършване на повтарящи се механични дейности и хиперсексуалност. </w:t>
      </w:r>
    </w:p>
    <w:p w14:paraId="4FED34E9"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Лечението</w:t>
      </w:r>
      <w:r w:rsidRPr="00AE47C6">
        <w:rPr>
          <w:rFonts w:ascii="Times New Roman" w:eastAsia="SimSun" w:hAnsi="Times New Roman"/>
          <w:sz w:val="24"/>
          <w:szCs w:val="24"/>
        </w:rPr>
        <w:t xml:space="preserve"> изисква корекция на антипаркинсоновата терапия.</w:t>
      </w:r>
    </w:p>
    <w:p w14:paraId="5A13B106"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Синдромът на компулсивно извършване на повтарящи се механични дейности</w:t>
      </w:r>
      <w:r w:rsidRPr="00AE47C6">
        <w:rPr>
          <w:rFonts w:ascii="Times New Roman" w:eastAsia="SimSun" w:hAnsi="Times New Roman"/>
          <w:sz w:val="24"/>
          <w:szCs w:val="24"/>
        </w:rPr>
        <w:t xml:space="preserve"> възниква при лечение с допаминергични медикаменти на пациенти с Паркинсонова болест и със синдрома на неспокойните крака. </w:t>
      </w:r>
    </w:p>
    <w:p w14:paraId="407B1FFA"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Клиничн</w:t>
      </w:r>
      <w:r w:rsidRPr="00AE47C6">
        <w:rPr>
          <w:rFonts w:ascii="Times New Roman" w:eastAsia="SimSun" w:hAnsi="Times New Roman"/>
          <w:sz w:val="24"/>
          <w:szCs w:val="24"/>
        </w:rPr>
        <w:t xml:space="preserve">о протича с извършване на автоматични стереотипни, безсмислени дейности, които пациента харесва или умее да извършва. Често се наблюдава боравене с технически средства (радиоапарати, машини), повтарящо се почистване на помещения или предмети, ексцесивно внимание към личната хигиена.  </w:t>
      </w:r>
    </w:p>
    <w:p w14:paraId="4E8689C5"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Лечението</w:t>
      </w:r>
      <w:r w:rsidRPr="00AE47C6">
        <w:rPr>
          <w:rFonts w:ascii="Times New Roman" w:eastAsia="SimSun" w:hAnsi="Times New Roman"/>
          <w:sz w:val="24"/>
          <w:szCs w:val="24"/>
        </w:rPr>
        <w:t xml:space="preserve"> изисква корекция на антипаркинсоновата терапия.</w:t>
      </w:r>
    </w:p>
    <w:p w14:paraId="1A601D24"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Проследяването на пациентите с Паркинсонова болест включва:</w:t>
      </w:r>
    </w:p>
    <w:p w14:paraId="744AA7FF"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Наблюдение за:</w:t>
      </w:r>
    </w:p>
    <w:p w14:paraId="6F1BCB22" w14:textId="77777777" w:rsidR="00BE0B19" w:rsidRPr="00AE47C6" w:rsidRDefault="00BE0B19" w:rsidP="00BE0B19">
      <w:pPr>
        <w:numPr>
          <w:ilvl w:val="0"/>
          <w:numId w:val="286"/>
        </w:numPr>
        <w:pBdr>
          <w:top w:val="single" w:sz="4" w:space="1" w:color="000000"/>
          <w:left w:val="single" w:sz="4" w:space="4" w:color="000000"/>
          <w:bottom w:val="single" w:sz="4" w:space="1" w:color="000000"/>
          <w:right w:val="single" w:sz="4" w:space="4" w:color="000000"/>
        </w:pBdr>
        <w:suppressAutoHyphen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Поява на халюцинации и обърканост</w:t>
      </w:r>
    </w:p>
    <w:p w14:paraId="184CCDF7" w14:textId="77777777" w:rsidR="00BE0B19" w:rsidRPr="00AE47C6" w:rsidRDefault="00BE0B19" w:rsidP="00BE0B19">
      <w:pPr>
        <w:numPr>
          <w:ilvl w:val="0"/>
          <w:numId w:val="286"/>
        </w:numPr>
        <w:pBdr>
          <w:top w:val="single" w:sz="4" w:space="1" w:color="000000"/>
          <w:left w:val="single" w:sz="4" w:space="4" w:color="000000"/>
          <w:bottom w:val="single" w:sz="4" w:space="1" w:color="000000"/>
          <w:right w:val="single" w:sz="4" w:space="4" w:color="000000"/>
        </w:pBdr>
        <w:suppressAutoHyphen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Влошаване на паркинсоновата симптоматика</w:t>
      </w:r>
    </w:p>
    <w:p w14:paraId="558644E3" w14:textId="77777777" w:rsidR="00BE0B19" w:rsidRPr="00AE47C6" w:rsidRDefault="00BE0B19" w:rsidP="00BE0B19">
      <w:pPr>
        <w:numPr>
          <w:ilvl w:val="0"/>
          <w:numId w:val="286"/>
        </w:numPr>
        <w:pBdr>
          <w:top w:val="single" w:sz="4" w:space="1" w:color="000000"/>
          <w:left w:val="single" w:sz="4" w:space="4" w:color="000000"/>
          <w:bottom w:val="single" w:sz="4" w:space="1" w:color="000000"/>
          <w:right w:val="single" w:sz="4" w:space="4" w:color="000000"/>
        </w:pBdr>
        <w:suppressAutoHyphens/>
        <w:spacing w:after="0" w:line="360" w:lineRule="auto"/>
        <w:jc w:val="both"/>
        <w:rPr>
          <w:rFonts w:ascii="Times New Roman" w:eastAsia="SimSun" w:hAnsi="Times New Roman"/>
          <w:b/>
          <w:bCs/>
          <w:i/>
          <w:iCs/>
          <w:sz w:val="24"/>
          <w:szCs w:val="24"/>
        </w:rPr>
      </w:pPr>
      <w:r w:rsidRPr="00AE47C6">
        <w:rPr>
          <w:rFonts w:ascii="Times New Roman" w:eastAsia="SimSun" w:hAnsi="Times New Roman"/>
          <w:sz w:val="24"/>
          <w:szCs w:val="24"/>
        </w:rPr>
        <w:t>Рязко влошаване на заболяването с нарушения на гълтането (акинетични кризи)</w:t>
      </w:r>
    </w:p>
    <w:p w14:paraId="1B0D8F3C" w14:textId="77777777" w:rsidR="00BE0B19" w:rsidRPr="00AE47C6" w:rsidRDefault="00BE0B19" w:rsidP="00BE0B19">
      <w:pPr>
        <w:numPr>
          <w:ilvl w:val="0"/>
          <w:numId w:val="286"/>
        </w:numPr>
        <w:pBdr>
          <w:top w:val="single" w:sz="4" w:space="1" w:color="000000"/>
          <w:left w:val="single" w:sz="4" w:space="4" w:color="000000"/>
          <w:bottom w:val="single" w:sz="4" w:space="1" w:color="000000"/>
          <w:right w:val="single" w:sz="4" w:space="4" w:color="000000"/>
        </w:pBdr>
        <w:suppressAutoHyphens/>
        <w:spacing w:after="0" w:line="360" w:lineRule="auto"/>
        <w:jc w:val="both"/>
        <w:rPr>
          <w:rFonts w:ascii="Times New Roman" w:eastAsia="SimSun" w:hAnsi="Times New Roman"/>
          <w:b/>
          <w:bCs/>
          <w:i/>
          <w:iCs/>
          <w:sz w:val="24"/>
          <w:szCs w:val="24"/>
        </w:rPr>
      </w:pPr>
      <w:r w:rsidRPr="00AE47C6">
        <w:rPr>
          <w:rFonts w:ascii="Times New Roman" w:eastAsia="SimSun" w:hAnsi="Times New Roman"/>
          <w:sz w:val="24"/>
          <w:szCs w:val="24"/>
        </w:rPr>
        <w:t>Поява на усложнения от лечението</w:t>
      </w:r>
    </w:p>
    <w:p w14:paraId="723CB14F" w14:textId="77777777" w:rsidR="00BE0B19" w:rsidRPr="00AE47C6" w:rsidRDefault="00BE0B19" w:rsidP="00BE0B19">
      <w:pPr>
        <w:numPr>
          <w:ilvl w:val="0"/>
          <w:numId w:val="286"/>
        </w:numPr>
        <w:pBdr>
          <w:top w:val="single" w:sz="4" w:space="1" w:color="000000"/>
          <w:left w:val="single" w:sz="4" w:space="4" w:color="000000"/>
          <w:bottom w:val="single" w:sz="4" w:space="1" w:color="000000"/>
          <w:right w:val="single" w:sz="4" w:space="4" w:color="000000"/>
        </w:pBdr>
        <w:suppressAutoHyphen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Соматичното състояние на пациента</w:t>
      </w:r>
    </w:p>
    <w:p w14:paraId="1D6B0C9A"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При поява на някои от тези симптоми пациентът се насочва за спешна консултация и преценка на лечението. По никакъв повод не бива да се препоръчват медикаментозни паузи. Не се допуска изписване на терапия без личен преглед на пациента.</w:t>
      </w:r>
    </w:p>
    <w:p w14:paraId="2ECF2ED0"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5D43A43F"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Пациентът се преглежда на всеки 3 месеца и при всяко влошаване за корекция на терапията. Да наблюдава за влошаване на двигателните функции и да прилага симптоматично лечение.</w:t>
      </w:r>
    </w:p>
    <w:p w14:paraId="0700F80E" w14:textId="77777777" w:rsidR="00BE0B19" w:rsidRPr="00AE47C6" w:rsidRDefault="00BE0B19" w:rsidP="00BE0B19">
      <w:pPr>
        <w:numPr>
          <w:ilvl w:val="0"/>
          <w:numId w:val="285"/>
        </w:numPr>
        <w:pBdr>
          <w:top w:val="single" w:sz="4" w:space="1" w:color="000000"/>
          <w:left w:val="single" w:sz="4" w:space="4" w:color="000000"/>
          <w:bottom w:val="single" w:sz="4" w:space="1" w:color="000000"/>
          <w:right w:val="single" w:sz="4" w:space="4" w:color="000000"/>
        </w:pBdr>
        <w:tabs>
          <w:tab w:val="clear" w:pos="1429"/>
          <w:tab w:val="num" w:pos="360"/>
        </w:tabs>
        <w:suppressAutoHyphens/>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 xml:space="preserve">Пациентите се хоспитализират в неврологично отделение при </w:t>
      </w:r>
      <w:r w:rsidRPr="00AE47C6">
        <w:rPr>
          <w:rFonts w:ascii="Times New Roman" w:eastAsia="SimSun" w:hAnsi="Times New Roman"/>
          <w:i/>
          <w:sz w:val="24"/>
          <w:szCs w:val="24"/>
        </w:rPr>
        <w:t>акинетична криза, влошаване на двигателните флуктуации и дискинезии и при наличие на други, застрашаващи симптоми</w:t>
      </w:r>
      <w:r w:rsidRPr="00AE47C6">
        <w:rPr>
          <w:rFonts w:ascii="Times New Roman" w:eastAsia="SimSun" w:hAnsi="Times New Roman"/>
          <w:sz w:val="24"/>
          <w:szCs w:val="24"/>
        </w:rPr>
        <w:t xml:space="preserve">, като </w:t>
      </w:r>
      <w:r w:rsidRPr="00AE47C6">
        <w:rPr>
          <w:rFonts w:ascii="Times New Roman" w:eastAsia="SimSun" w:hAnsi="Times New Roman"/>
          <w:i/>
          <w:sz w:val="24"/>
          <w:szCs w:val="24"/>
        </w:rPr>
        <w:t>синдрома паркинсонизъм-хиперпирексия</w:t>
      </w:r>
      <w:r w:rsidRPr="00AE47C6">
        <w:rPr>
          <w:rFonts w:ascii="Times New Roman" w:eastAsia="SimSun" w:hAnsi="Times New Roman"/>
          <w:sz w:val="24"/>
          <w:szCs w:val="24"/>
        </w:rPr>
        <w:t xml:space="preserve">. </w:t>
      </w:r>
    </w:p>
    <w:p w14:paraId="4B38EB88" w14:textId="77777777" w:rsidR="00BE0B19" w:rsidRPr="00AE47C6" w:rsidRDefault="00BE0B19" w:rsidP="00BE0B19">
      <w:pPr>
        <w:numPr>
          <w:ilvl w:val="0"/>
          <w:numId w:val="285"/>
        </w:numPr>
        <w:pBdr>
          <w:top w:val="single" w:sz="4" w:space="1" w:color="000000"/>
          <w:left w:val="single" w:sz="4" w:space="4" w:color="000000"/>
          <w:bottom w:val="single" w:sz="4" w:space="1" w:color="000000"/>
          <w:right w:val="single" w:sz="4" w:space="4" w:color="000000"/>
        </w:pBdr>
        <w:tabs>
          <w:tab w:val="clear" w:pos="1429"/>
          <w:tab w:val="num" w:pos="360"/>
        </w:tabs>
        <w:suppressAutoHyphens/>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При поява на халюцинации и обърканост се постъпва както при ранният стадии на заболяването</w:t>
      </w:r>
    </w:p>
    <w:p w14:paraId="61B08DF5" w14:textId="77777777" w:rsidR="00BE0B19" w:rsidRPr="00AE47C6" w:rsidRDefault="00BE0B19" w:rsidP="00BE0B19">
      <w:pPr>
        <w:numPr>
          <w:ilvl w:val="0"/>
          <w:numId w:val="285"/>
        </w:numPr>
        <w:pBdr>
          <w:top w:val="single" w:sz="4" w:space="1" w:color="000000"/>
          <w:left w:val="single" w:sz="4" w:space="4" w:color="000000"/>
          <w:bottom w:val="single" w:sz="4" w:space="1" w:color="000000"/>
          <w:right w:val="single" w:sz="4" w:space="4" w:color="000000"/>
        </w:pBdr>
        <w:tabs>
          <w:tab w:val="clear" w:pos="1429"/>
          <w:tab w:val="num" w:pos="360"/>
        </w:tabs>
        <w:suppressAutoHyphens/>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При влошаване на симптомите се повишава внимателно дозата</w:t>
      </w:r>
    </w:p>
    <w:p w14:paraId="4D42C9C4" w14:textId="77777777" w:rsidR="00BE0B19" w:rsidRPr="00AE47C6" w:rsidRDefault="00BE0B19" w:rsidP="00BE0B19">
      <w:pPr>
        <w:numPr>
          <w:ilvl w:val="0"/>
          <w:numId w:val="285"/>
        </w:numPr>
        <w:pBdr>
          <w:top w:val="single" w:sz="4" w:space="1" w:color="000000"/>
          <w:left w:val="single" w:sz="4" w:space="4" w:color="000000"/>
          <w:bottom w:val="single" w:sz="4" w:space="1" w:color="000000"/>
          <w:right w:val="single" w:sz="4" w:space="4" w:color="000000"/>
        </w:pBdr>
        <w:tabs>
          <w:tab w:val="clear" w:pos="1429"/>
          <w:tab w:val="num" w:pos="360"/>
        </w:tabs>
        <w:suppressAutoHyphens/>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 xml:space="preserve">При акинетична криза и синдрома паркинсонизъм-хиперпирексия се прилага спешно лечение. </w:t>
      </w:r>
    </w:p>
    <w:p w14:paraId="16435546" w14:textId="77777777" w:rsidR="00BE0B19" w:rsidRPr="00AE47C6" w:rsidRDefault="00BE0B19" w:rsidP="00BE0B19">
      <w:pPr>
        <w:spacing w:after="0" w:line="360" w:lineRule="auto"/>
        <w:ind w:firstLine="709"/>
        <w:jc w:val="both"/>
        <w:rPr>
          <w:rFonts w:ascii="Times New Roman" w:eastAsia="SimSun" w:hAnsi="Times New Roman"/>
          <w:b/>
          <w:sz w:val="24"/>
          <w:szCs w:val="24"/>
        </w:rPr>
      </w:pPr>
    </w:p>
    <w:p w14:paraId="302B1594"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6.1.1.2. Вторични паркинсонови синдроми с различна етиология</w:t>
      </w:r>
    </w:p>
    <w:p w14:paraId="7FE79C9D"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Паркинсонизъм може да възникне при различни </w:t>
      </w:r>
      <w:r w:rsidRPr="00AE47C6">
        <w:rPr>
          <w:rFonts w:ascii="Times New Roman" w:eastAsia="SimSun" w:hAnsi="Times New Roman"/>
          <w:i/>
          <w:sz w:val="24"/>
          <w:szCs w:val="24"/>
        </w:rPr>
        <w:t>системни заболявания</w:t>
      </w:r>
      <w:r w:rsidRPr="00AE47C6">
        <w:rPr>
          <w:rFonts w:ascii="Times New Roman" w:eastAsia="SimSun" w:hAnsi="Times New Roman"/>
          <w:sz w:val="24"/>
          <w:szCs w:val="24"/>
        </w:rPr>
        <w:t xml:space="preserve">: възпалителни, ендокринни, хематологични и имунни. </w:t>
      </w:r>
      <w:r w:rsidRPr="00AE47C6">
        <w:rPr>
          <w:rFonts w:ascii="Times New Roman" w:eastAsia="SimSun" w:hAnsi="Times New Roman"/>
          <w:i/>
          <w:sz w:val="24"/>
          <w:szCs w:val="24"/>
        </w:rPr>
        <w:t>Алкохолизмът</w:t>
      </w:r>
      <w:r w:rsidRPr="00AE47C6">
        <w:rPr>
          <w:rFonts w:ascii="Times New Roman" w:eastAsia="SimSun" w:hAnsi="Times New Roman"/>
          <w:sz w:val="24"/>
          <w:szCs w:val="24"/>
        </w:rPr>
        <w:t xml:space="preserve"> може да предизвика преходен паркинсонов синдром, няколко дни след остра интоксикация поради намалено освобождаване на допамин. Синдромът изчезва спонтанно след няколко седмици. </w:t>
      </w:r>
      <w:r w:rsidRPr="00AE47C6">
        <w:rPr>
          <w:rFonts w:ascii="Times New Roman" w:eastAsia="SimSun" w:hAnsi="Times New Roman"/>
          <w:i/>
          <w:sz w:val="24"/>
          <w:szCs w:val="24"/>
        </w:rPr>
        <w:t>Квашиоркор</w:t>
      </w:r>
      <w:r w:rsidRPr="00AE47C6">
        <w:rPr>
          <w:rFonts w:ascii="Times New Roman" w:eastAsia="SimSun" w:hAnsi="Times New Roman"/>
          <w:sz w:val="24"/>
          <w:szCs w:val="24"/>
        </w:rPr>
        <w:t xml:space="preserve"> представлява хранителен недостиг на калории и протеини и може да предизвика ригидност, брадикинезия и миоклонии. </w:t>
      </w:r>
      <w:r w:rsidRPr="00AE47C6">
        <w:rPr>
          <w:rFonts w:ascii="Times New Roman" w:eastAsia="SimSun" w:hAnsi="Times New Roman"/>
          <w:i/>
          <w:sz w:val="24"/>
          <w:szCs w:val="24"/>
        </w:rPr>
        <w:t>Хипербилирубинемията</w:t>
      </w:r>
      <w:r w:rsidRPr="00AE47C6">
        <w:rPr>
          <w:rFonts w:ascii="Times New Roman" w:eastAsia="SimSun" w:hAnsi="Times New Roman"/>
          <w:sz w:val="24"/>
          <w:szCs w:val="24"/>
        </w:rPr>
        <w:t xml:space="preserve"> в перинаталния период, ако не се лекува дълго време, уврежда базалните ганглии, особено globus pallidus и субталамичното ядро. В повечето случаи още преди 10 годишна възраст се развиват ригидност и тремор, придружени от хореоатетоза и дистония. </w:t>
      </w:r>
      <w:r w:rsidRPr="00AE47C6">
        <w:rPr>
          <w:rFonts w:ascii="Times New Roman" w:eastAsia="SimSun" w:hAnsi="Times New Roman"/>
          <w:i/>
          <w:sz w:val="24"/>
          <w:szCs w:val="24"/>
        </w:rPr>
        <w:t>Системният lupus erythematosus</w:t>
      </w:r>
      <w:r w:rsidRPr="00AE47C6">
        <w:rPr>
          <w:rFonts w:ascii="Times New Roman" w:eastAsia="SimSun" w:hAnsi="Times New Roman"/>
          <w:sz w:val="24"/>
          <w:szCs w:val="24"/>
        </w:rPr>
        <w:t xml:space="preserve"> при 2% от пациентите предизвиква двигателни нарушения, като най-честото е хореята. Може да предизвика паркинсонов синдром с ригидност, акинезия и тремор. </w:t>
      </w:r>
      <w:r w:rsidRPr="00AE47C6">
        <w:rPr>
          <w:rFonts w:ascii="Times New Roman" w:eastAsia="SimSun" w:hAnsi="Times New Roman"/>
          <w:i/>
          <w:sz w:val="24"/>
          <w:szCs w:val="24"/>
        </w:rPr>
        <w:t>Първичният антифосфолипиден синдром</w:t>
      </w:r>
      <w:r w:rsidRPr="00AE47C6">
        <w:rPr>
          <w:rFonts w:ascii="Times New Roman" w:eastAsia="SimSun" w:hAnsi="Times New Roman"/>
          <w:sz w:val="24"/>
          <w:szCs w:val="24"/>
        </w:rPr>
        <w:t xml:space="preserve"> по-рядко може да предизвика паркинсонов синдром вследствие на инфарциране на базалните ганглии или без наличие на съдови прояви. </w:t>
      </w:r>
      <w:r w:rsidRPr="00AE47C6">
        <w:rPr>
          <w:rFonts w:ascii="Times New Roman" w:eastAsia="SimSun" w:hAnsi="Times New Roman"/>
          <w:i/>
          <w:sz w:val="24"/>
          <w:szCs w:val="24"/>
        </w:rPr>
        <w:t>Синдромът на Sjogren</w:t>
      </w:r>
      <w:r w:rsidRPr="00AE47C6">
        <w:rPr>
          <w:rFonts w:ascii="Times New Roman" w:eastAsia="SimSun" w:hAnsi="Times New Roman"/>
          <w:sz w:val="24"/>
          <w:szCs w:val="24"/>
        </w:rPr>
        <w:t xml:space="preserve"> може да предизвика малкомозъчна дегенерация или паркинсонов синдром. </w:t>
      </w:r>
      <w:r w:rsidRPr="00AE47C6">
        <w:rPr>
          <w:rFonts w:ascii="Times New Roman" w:eastAsia="SimSun" w:hAnsi="Times New Roman"/>
          <w:i/>
          <w:sz w:val="24"/>
          <w:szCs w:val="24"/>
        </w:rPr>
        <w:t>Болестта на Behcet</w:t>
      </w:r>
      <w:r w:rsidRPr="00AE47C6">
        <w:rPr>
          <w:rFonts w:ascii="Times New Roman" w:eastAsia="SimSun" w:hAnsi="Times New Roman"/>
          <w:sz w:val="24"/>
          <w:szCs w:val="24"/>
        </w:rPr>
        <w:t xml:space="preserve"> може да предизвика хорея, дискинезии и паркинсонов синдром. </w:t>
      </w:r>
      <w:r w:rsidRPr="00AE47C6">
        <w:rPr>
          <w:rFonts w:ascii="Times New Roman" w:eastAsia="SimSun" w:hAnsi="Times New Roman"/>
          <w:i/>
          <w:sz w:val="24"/>
          <w:szCs w:val="24"/>
        </w:rPr>
        <w:t xml:space="preserve">Саркоидозата </w:t>
      </w:r>
      <w:r w:rsidRPr="00AE47C6">
        <w:rPr>
          <w:rFonts w:ascii="Times New Roman" w:eastAsia="SimSun" w:hAnsi="Times New Roman"/>
          <w:sz w:val="24"/>
          <w:szCs w:val="24"/>
        </w:rPr>
        <w:t xml:space="preserve">може да предизвика хорея, хемибализъм, паркинсонови синдроми и вертикална погледна пареза. </w:t>
      </w:r>
    </w:p>
    <w:p w14:paraId="737028A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Паркинсонов синдром с възпалителна етиология </w:t>
      </w:r>
      <w:r w:rsidRPr="00AE47C6">
        <w:rPr>
          <w:rFonts w:ascii="Times New Roman" w:eastAsia="SimSun" w:hAnsi="Times New Roman"/>
          <w:sz w:val="24"/>
          <w:szCs w:val="24"/>
        </w:rPr>
        <w:t xml:space="preserve">може да се предизвика при различни инфекциозни заболявания. През </w:t>
      </w:r>
      <w:r w:rsidRPr="00AE47C6">
        <w:rPr>
          <w:rFonts w:ascii="Times New Roman" w:eastAsia="SimSun" w:hAnsi="Times New Roman"/>
          <w:i/>
          <w:sz w:val="24"/>
          <w:szCs w:val="24"/>
        </w:rPr>
        <w:t>острата</w:t>
      </w:r>
      <w:r w:rsidRPr="00AE47C6">
        <w:rPr>
          <w:rFonts w:ascii="Times New Roman" w:eastAsia="SimSun" w:hAnsi="Times New Roman"/>
          <w:sz w:val="24"/>
          <w:szCs w:val="24"/>
        </w:rPr>
        <w:t xml:space="preserve"> фаза на различни енцефалити, особено на Японския енцефалит тип В и западния конски енцефалит могат да се развият преходни и непрогресиращи паркинсонови симптоми. По-рядко вирусът на Epstein-Barr, herpes simplex, varicella zoster, coxsackie B, полио, морбили, западно-Нилският и Централно-Европейският кърлежов енцефалит могат да предизвикат паркинсонов синдром. През </w:t>
      </w:r>
      <w:r w:rsidRPr="00AE47C6">
        <w:rPr>
          <w:rFonts w:ascii="Times New Roman" w:eastAsia="SimSun" w:hAnsi="Times New Roman"/>
          <w:i/>
          <w:sz w:val="24"/>
          <w:szCs w:val="24"/>
        </w:rPr>
        <w:t>хроничната</w:t>
      </w:r>
      <w:r w:rsidRPr="00AE47C6">
        <w:rPr>
          <w:rFonts w:ascii="Times New Roman" w:eastAsia="SimSun" w:hAnsi="Times New Roman"/>
          <w:sz w:val="24"/>
          <w:szCs w:val="24"/>
        </w:rPr>
        <w:t xml:space="preserve"> фаза на </w:t>
      </w:r>
      <w:r w:rsidRPr="00AE47C6">
        <w:rPr>
          <w:rFonts w:ascii="Times New Roman" w:eastAsia="SimSun" w:hAnsi="Times New Roman"/>
          <w:i/>
          <w:sz w:val="24"/>
          <w:szCs w:val="24"/>
        </w:rPr>
        <w:t>летаргичният енцефалит</w:t>
      </w:r>
      <w:r w:rsidRPr="00AE47C6">
        <w:rPr>
          <w:rFonts w:ascii="Times New Roman" w:eastAsia="SimSun" w:hAnsi="Times New Roman"/>
          <w:sz w:val="24"/>
          <w:szCs w:val="24"/>
        </w:rPr>
        <w:t xml:space="preserve"> (болест на von Economo), след 5 до 10 години от острата фаза, при 80% от пациентите се развива паркинсонов синдром. Отличава се с по-слабо проявен тремор, но по-изразена ригидност, ежедневни флуктуации в изразеността на двигателните симптоми и липса на изразена прогресия. При </w:t>
      </w:r>
      <w:r w:rsidRPr="00AE47C6">
        <w:rPr>
          <w:rFonts w:ascii="Times New Roman" w:eastAsia="SimSun" w:hAnsi="Times New Roman"/>
          <w:i/>
          <w:sz w:val="24"/>
          <w:szCs w:val="24"/>
        </w:rPr>
        <w:t>субакутният склерозиращ паненцефалит</w:t>
      </w:r>
      <w:r w:rsidRPr="00AE47C6">
        <w:rPr>
          <w:rFonts w:ascii="Times New Roman" w:eastAsia="SimSun" w:hAnsi="Times New Roman"/>
          <w:sz w:val="24"/>
          <w:szCs w:val="24"/>
        </w:rPr>
        <w:t xml:space="preserve"> се проявяват двигателни нарушения, понякога паркинсонови симптоми и периодични миоклонии. При пациенти с </w:t>
      </w:r>
      <w:r w:rsidRPr="00AE47C6">
        <w:rPr>
          <w:rFonts w:ascii="Times New Roman" w:eastAsia="SimSun" w:hAnsi="Times New Roman"/>
          <w:i/>
          <w:sz w:val="24"/>
          <w:szCs w:val="24"/>
        </w:rPr>
        <w:t>HIV-1</w:t>
      </w:r>
      <w:r w:rsidRPr="00AE47C6">
        <w:rPr>
          <w:rFonts w:ascii="Times New Roman" w:eastAsia="SimSun" w:hAnsi="Times New Roman"/>
          <w:sz w:val="24"/>
          <w:szCs w:val="24"/>
        </w:rPr>
        <w:t xml:space="preserve"> (човешки имунодефицитен вирус тип 1) инфекция или с развит </w:t>
      </w:r>
      <w:r w:rsidRPr="00AE47C6">
        <w:rPr>
          <w:rFonts w:ascii="Times New Roman" w:eastAsia="SimSun" w:hAnsi="Times New Roman"/>
          <w:i/>
          <w:sz w:val="24"/>
          <w:szCs w:val="24"/>
        </w:rPr>
        <w:t>СПИН</w:t>
      </w:r>
      <w:r w:rsidRPr="00AE47C6">
        <w:rPr>
          <w:rFonts w:ascii="Times New Roman" w:eastAsia="SimSun" w:hAnsi="Times New Roman"/>
          <w:sz w:val="24"/>
          <w:szCs w:val="24"/>
        </w:rPr>
        <w:t xml:space="preserve"> може да се прояви и Паркинсонов синдром. Синдромът е налице при тези, които са развили HIV енцефалопатия, пациенти приемали невролептици или вследствие на опортюнистични инфекции. По-често се установява субклиничен паркинсонов синдром, изразен с много леки двигателни нарушения, който е част от когнитивно-двигателния комплекс свързан с HIV-1. Треморът в покой и забавеността на движенията се развиват паралелно със забавеността в мисловния процес, свързана с HIV-1 деменцията. С прогресирането на деменцията се засилва и изразеността на двигателните нарушения, добавят се постурални нарушения и затруднения в походката. По-чести са хореичните синдроми, миоклонии и постуралния тремор. Много рядко паркинсоновият синдром може да се прояви в началото на HIV инфекцията. Клинично паркинсоновият синдром, изразен с брадикинезия, ригидност, нарушена походка, постурална нестабилност, хипомимия, хипофония и брадифрения се проявява само при 1% от пациентите. Пациентите със СПИН имат необичайна чувствителност към невролептици и много бързо развиват невролептичен паркинсонов синдром. Това се дължи на субклинична загуба на допаминергични неврони в стриатума. Сравнително рядко паркинсонов синдром може да възникне при </w:t>
      </w:r>
      <w:r w:rsidRPr="00AE47C6">
        <w:rPr>
          <w:rFonts w:ascii="Times New Roman" w:eastAsia="SimSun" w:hAnsi="Times New Roman"/>
          <w:i/>
          <w:sz w:val="24"/>
          <w:szCs w:val="24"/>
        </w:rPr>
        <w:t>прогресивната мултифокална енцефалопатия,</w:t>
      </w:r>
      <w:r w:rsidRPr="00AE47C6">
        <w:rPr>
          <w:rFonts w:ascii="Times New Roman" w:eastAsia="SimSun" w:hAnsi="Times New Roman"/>
          <w:sz w:val="24"/>
          <w:szCs w:val="24"/>
        </w:rPr>
        <w:t xml:space="preserve"> вследствие на фокални лезии на базалните ганглии от опортюнистични инфекции, токсоплазмоза или туберкулоза. Токсоплазмозата при пациенти с HIV инфекция може да предизвика и дистония, пароксизмални дискинезии, хорея, миоклонии, атетоза и хемибализъм, особено когато се локализира в базалните ганглии. </w:t>
      </w:r>
      <w:r w:rsidRPr="00AE47C6">
        <w:rPr>
          <w:rFonts w:ascii="Times New Roman" w:eastAsia="SimSun" w:hAnsi="Times New Roman"/>
          <w:i/>
          <w:sz w:val="24"/>
          <w:szCs w:val="24"/>
        </w:rPr>
        <w:t>Менинговаскуларният сифилис</w:t>
      </w:r>
      <w:r w:rsidRPr="00AE47C6">
        <w:rPr>
          <w:rFonts w:ascii="Times New Roman" w:eastAsia="SimSun" w:hAnsi="Times New Roman"/>
          <w:sz w:val="24"/>
          <w:szCs w:val="24"/>
        </w:rPr>
        <w:t xml:space="preserve"> засяга средния мозък, поради което рядко може да предизвика паркинсонов синдром. При 56% от пациентите с </w:t>
      </w:r>
      <w:r w:rsidRPr="00AE47C6">
        <w:rPr>
          <w:rFonts w:ascii="Times New Roman" w:eastAsia="SimSun" w:hAnsi="Times New Roman"/>
          <w:i/>
          <w:sz w:val="24"/>
          <w:szCs w:val="24"/>
        </w:rPr>
        <w:t>болестта на Creutzfeldt-Jakob</w:t>
      </w:r>
      <w:r w:rsidRPr="00AE47C6">
        <w:rPr>
          <w:rFonts w:ascii="Times New Roman" w:eastAsia="SimSun" w:hAnsi="Times New Roman"/>
          <w:sz w:val="24"/>
          <w:szCs w:val="24"/>
        </w:rPr>
        <w:t xml:space="preserve"> се развиват екстрапирамидни симптоми. В началото на заболяването рядко се наблюдава мускулна ригидност, но тя е много чест симптом в напредналите стадии. </w:t>
      </w:r>
      <w:r w:rsidRPr="00AE47C6">
        <w:rPr>
          <w:rFonts w:ascii="Times New Roman" w:eastAsia="SimSun" w:hAnsi="Times New Roman"/>
          <w:i/>
          <w:sz w:val="24"/>
          <w:szCs w:val="24"/>
        </w:rPr>
        <w:t xml:space="preserve">Гъбичните и паразитни инфекции, </w:t>
      </w:r>
      <w:r w:rsidRPr="00AE47C6">
        <w:rPr>
          <w:rFonts w:ascii="Times New Roman" w:eastAsia="SimSun" w:hAnsi="Times New Roman"/>
          <w:sz w:val="24"/>
          <w:szCs w:val="24"/>
        </w:rPr>
        <w:t xml:space="preserve">криптококови менингоенцефалити и криптококова грануломатоза, аспергилоза, mucor, nocardia asteroides, невроцистицеркоза и инфекция с mycoplasma pneumoniae рядко могат да предизвикат паркинсонов синдром. </w:t>
      </w:r>
    </w:p>
    <w:p w14:paraId="30D52F3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Паркинсонов синдром с интоксикационна етиология </w:t>
      </w:r>
      <w:r w:rsidRPr="00AE47C6">
        <w:rPr>
          <w:rFonts w:ascii="Times New Roman" w:eastAsia="SimSun" w:hAnsi="Times New Roman"/>
          <w:sz w:val="24"/>
          <w:szCs w:val="24"/>
        </w:rPr>
        <w:t xml:space="preserve">се предизвиква от различни токсини, като MPTP, манган, въглероден окис, цианид и метанол. MPTP е невротоксин, който селективно уврежда substantia nigra. Хроничната интоксикация с </w:t>
      </w:r>
      <w:r w:rsidRPr="00AE47C6">
        <w:rPr>
          <w:rFonts w:ascii="Times New Roman" w:eastAsia="SimSun" w:hAnsi="Times New Roman"/>
          <w:i/>
          <w:sz w:val="24"/>
          <w:szCs w:val="24"/>
        </w:rPr>
        <w:t>манган</w:t>
      </w:r>
      <w:r w:rsidRPr="00AE47C6">
        <w:rPr>
          <w:rFonts w:ascii="Times New Roman" w:eastAsia="SimSun" w:hAnsi="Times New Roman"/>
          <w:sz w:val="24"/>
          <w:szCs w:val="24"/>
        </w:rPr>
        <w:t xml:space="preserve"> се проявява след 1 – 2 години работа в тази среда, с прогресиращ брадикинетично-ригиден синдром без тремор, с нарушение предимно на походката и често с придружаваща дистония. </w:t>
      </w:r>
      <w:r w:rsidRPr="00AE47C6">
        <w:rPr>
          <w:rFonts w:ascii="Times New Roman" w:eastAsia="SimSun" w:hAnsi="Times New Roman"/>
          <w:i/>
          <w:sz w:val="24"/>
          <w:szCs w:val="24"/>
        </w:rPr>
        <w:t>Въглеродният окис</w:t>
      </w:r>
      <w:r w:rsidRPr="00AE47C6">
        <w:rPr>
          <w:rFonts w:ascii="Times New Roman" w:eastAsia="SimSun" w:hAnsi="Times New Roman"/>
          <w:sz w:val="24"/>
          <w:szCs w:val="24"/>
        </w:rPr>
        <w:t xml:space="preserve"> предизвиква остра интоксикация, а пациентите, които я преживеят, развиват паркинсонови синдром веднага или след светъл период от 4 до 26 седмици. Паркинсоновият синдром се манифестира с тремор, брадикинезия, ригидност и нарушение на походката и може да прогресира или да не прогресира, както и да се подобри спонтанно. Може да се появят дистонии, хорея, миоклонии и синдром на Tourette. </w:t>
      </w:r>
      <w:r w:rsidRPr="00AE47C6">
        <w:rPr>
          <w:rFonts w:ascii="Times New Roman" w:eastAsia="SimSun" w:hAnsi="Times New Roman"/>
          <w:i/>
          <w:sz w:val="24"/>
          <w:szCs w:val="24"/>
        </w:rPr>
        <w:t>Въглеродният дисулфид</w:t>
      </w:r>
      <w:r w:rsidRPr="00AE47C6">
        <w:rPr>
          <w:rFonts w:ascii="Times New Roman" w:eastAsia="SimSun" w:hAnsi="Times New Roman"/>
          <w:sz w:val="24"/>
          <w:szCs w:val="24"/>
        </w:rPr>
        <w:t xml:space="preserve"> води до енцефалопатия с когнитивни нарушения, полиневропатия, засягаща и краниалните нерви, паркинсонов синдром, дистония, хореоатетоза, малкомозъчни и пирамидни нарушения. Острата </w:t>
      </w:r>
      <w:r w:rsidRPr="00AE47C6">
        <w:rPr>
          <w:rFonts w:ascii="Times New Roman" w:eastAsia="SimSun" w:hAnsi="Times New Roman"/>
          <w:i/>
          <w:sz w:val="24"/>
          <w:szCs w:val="24"/>
        </w:rPr>
        <w:t>цианидна интоксикация</w:t>
      </w:r>
      <w:r w:rsidRPr="00AE47C6">
        <w:rPr>
          <w:rFonts w:ascii="Times New Roman" w:eastAsia="SimSun" w:hAnsi="Times New Roman"/>
          <w:sz w:val="24"/>
          <w:szCs w:val="24"/>
        </w:rPr>
        <w:t xml:space="preserve"> обикновено настъпва след вдишване на хидроцианиден пушек, след което за минути настъпва кома и 95% от пациентите умират. При тези, които излизат от комата след няколко дни се развива паркинсонов синдром с тремор, брадикинезия, ригидност и нарушение на походката. Интоксикацията с </w:t>
      </w:r>
      <w:r w:rsidRPr="00AE47C6">
        <w:rPr>
          <w:rFonts w:ascii="Times New Roman" w:eastAsia="SimSun" w:hAnsi="Times New Roman"/>
          <w:i/>
          <w:sz w:val="24"/>
          <w:szCs w:val="24"/>
        </w:rPr>
        <w:t>метанол</w:t>
      </w:r>
      <w:r w:rsidRPr="00AE47C6">
        <w:rPr>
          <w:rFonts w:ascii="Times New Roman" w:eastAsia="SimSun" w:hAnsi="Times New Roman"/>
          <w:sz w:val="24"/>
          <w:szCs w:val="24"/>
        </w:rPr>
        <w:t xml:space="preserve"> настъпва при консумацията на некачествени алкохолни напитки. Тези които преживяват острата интоксикация след няколко дни развиват паркинсонов синдром с тремор, ригидност, брадикинезия и постурални нарушения, понякога се добавя и дистония на крайниците. </w:t>
      </w:r>
    </w:p>
    <w:p w14:paraId="7D813DF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Паркинсонов синдром индуциран от медикаменти </w:t>
      </w:r>
      <w:r w:rsidRPr="00AE47C6">
        <w:rPr>
          <w:rFonts w:ascii="Times New Roman" w:eastAsia="SimSun" w:hAnsi="Times New Roman"/>
          <w:sz w:val="24"/>
          <w:szCs w:val="24"/>
        </w:rPr>
        <w:t xml:space="preserve">се предизвиква от употребата на медикаменти, които </w:t>
      </w:r>
      <w:r w:rsidRPr="00AE47C6">
        <w:rPr>
          <w:rFonts w:ascii="Times New Roman" w:eastAsia="SimSun" w:hAnsi="Times New Roman"/>
          <w:i/>
          <w:sz w:val="24"/>
          <w:szCs w:val="24"/>
        </w:rPr>
        <w:t>блокират допаминовите рецептори</w:t>
      </w:r>
      <w:r w:rsidRPr="00AE47C6">
        <w:rPr>
          <w:rFonts w:ascii="Times New Roman" w:eastAsia="SimSun" w:hAnsi="Times New Roman"/>
          <w:sz w:val="24"/>
          <w:szCs w:val="24"/>
        </w:rPr>
        <w:t xml:space="preserve"> (невролептици), изчерпват синаптичните резерви на допамина (reserpine) или както MPTP селективно увреждат допаминергичните нигростриарни пътища. Всички невролептици могат да предизвикат паркинсонов синдром, но някои от тях като clozapine – по-рядко. Около 40% от пациентите развиват паркинсонов синдром, като възрастните хора и жените са по-предразположени. Паркинсоновият синдром се характеризира с остро или подостро начало 1 – 3 месеца след започване на невролептичното лечение, като симптомите се появяват двустранно симетрично. Първият и единствен симптом е симетричната брадикинезия, към която по-късно може да се добави и мускулна ригидност. В някои случаи е налице тремор в покой и постурален тремор. Няколко седмици или месеца след прекъсване или редуциране на невролептичното лечение паркинсоновият синдром бавно изчезва. Лечението се състои в спиране на невролептика или замяната му с атипичен, антихолинергици (</w:t>
      </w:r>
      <w:r w:rsidRPr="00AE47C6">
        <w:rPr>
          <w:rFonts w:ascii="Times New Roman" w:eastAsia="SimSun" w:hAnsi="Times New Roman"/>
          <w:i/>
          <w:sz w:val="24"/>
          <w:szCs w:val="24"/>
        </w:rPr>
        <w:t>biperiden 4-8 mg, trihexyphenidyl 6-12 mg</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 xml:space="preserve">amantadine </w:t>
      </w:r>
      <w:r w:rsidRPr="00AE47C6">
        <w:rPr>
          <w:rFonts w:ascii="Times New Roman" w:eastAsia="SimSun" w:hAnsi="Times New Roman"/>
          <w:sz w:val="24"/>
          <w:szCs w:val="24"/>
        </w:rPr>
        <w:t>и дори електроконвулсивна терапия.</w:t>
      </w:r>
    </w:p>
    <w:p w14:paraId="62346AD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Блокерите на калциевите канали</w:t>
      </w:r>
      <w:r w:rsidRPr="00AE47C6">
        <w:rPr>
          <w:rFonts w:ascii="Times New Roman" w:eastAsia="SimSun" w:hAnsi="Times New Roman"/>
          <w:sz w:val="24"/>
          <w:szCs w:val="24"/>
        </w:rPr>
        <w:t xml:space="preserve"> flunarizine, cinnarizine и по-рядко nimodipine, могат да предизвикат паркинсонов синдром, особено при възрастни хора. Някои </w:t>
      </w:r>
      <w:r w:rsidRPr="00AE47C6">
        <w:rPr>
          <w:rFonts w:ascii="Times New Roman" w:eastAsia="SimSun" w:hAnsi="Times New Roman"/>
          <w:i/>
          <w:sz w:val="24"/>
          <w:szCs w:val="24"/>
        </w:rPr>
        <w:t>други медикаменти</w:t>
      </w:r>
      <w:r w:rsidRPr="00AE47C6">
        <w:rPr>
          <w:rFonts w:ascii="Times New Roman" w:eastAsia="SimSun" w:hAnsi="Times New Roman"/>
          <w:sz w:val="24"/>
          <w:szCs w:val="24"/>
        </w:rPr>
        <w:t xml:space="preserve"> като amiodarone, pyridostigmine и fluoxetine много рядко могат също да предизвикат паркинсонов синдром.</w:t>
      </w:r>
    </w:p>
    <w:p w14:paraId="0FF419E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Паркинсонизъм при невролептичен малигнен синдром</w:t>
      </w:r>
      <w:r w:rsidRPr="00AE47C6">
        <w:rPr>
          <w:rFonts w:ascii="Times New Roman" w:eastAsia="SimSun" w:hAnsi="Times New Roman"/>
          <w:sz w:val="24"/>
          <w:szCs w:val="24"/>
        </w:rPr>
        <w:t xml:space="preserve"> възниква при 1 на 1000 пациенти лекувани с невролептици. Невролептичния синдром възниква независимо от вида на невролептика (по-често при haloperidol, phenothiazine и olanzapine), по-често при мъже, при дехидратирани пациенти, при прегряване и при пациенти с органични мозъчни увреждания. По-често се появява при пациенти на комбинирана терапия с различни невролептици, депо-форми на невролептици или невролептик и литий. Невролептичният малигнен синдром е свързан с остър допаминов дефицит, предизвикан от спиране на лечението с допаминергични медикаменти при пациенти с Паркинсонова болест и от лечение с централно действащи допаминови блокери (невролептици). </w:t>
      </w:r>
    </w:p>
    <w:p w14:paraId="2293155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Основните симптоми са хиперрефлексия и паркинсонови симптоми, най-често тежка мускулна ригидност, поради което се нарича още синдром на паркинсонизъм-хиперпирексия. Напълно разгърнатия синдром включва симптоми на симпатикова свръхактивност (нестабилно кръвно налягане, диафореза), повишена серумна креатин киназа (до 60 000 U), миоглобинурия с последваща бъбречна недостатъчност, ступор и кома. Състоянието преминава за 1 – 2 седмици, ако лечението (bromocriptine 20 mg дн. или dantrolene sodium 3 mg i.v.) се започне веднага. При 15-30% от пациентите изходът е смъртен. </w:t>
      </w:r>
    </w:p>
    <w:p w14:paraId="7FA6F46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Паркинсонов синдром при увреждания на централната нервна система. Съдовият паркинсонизъм</w:t>
      </w:r>
      <w:r w:rsidRPr="00AE47C6">
        <w:rPr>
          <w:rFonts w:ascii="Times New Roman" w:eastAsia="SimSun" w:hAnsi="Times New Roman"/>
          <w:sz w:val="24"/>
          <w:szCs w:val="24"/>
        </w:rPr>
        <w:t xml:space="preserve"> е причина само за 3% от случаите с паркинсонов синдром. В типичните случаи започва внезапно, в по-късна възраст, прогресира бързо и в анамнезата са налице множество рискови фактори за съдово заболяване. При пациенти с хронична мозъчна исхемия и лакунарни исхемични лезии, засягащи подкоровото бяло мозъчно вещество, началото на заболяването е постепенно. Характеризира се със симетрични симптоми (едностранни при инфаркт в областта на базалните ганглии), от които най-ранният и изявеният е засягането на походката, с брадикинезия в долните крайници, изявени феномени на замръзване и малки крачки. Походката може да има едновременно елементи на паркинсонизъм и атаксия. Освен това налице е лека мускулна ригидност, много рядко тремор, псевдобулбарна пареза, пирамидни белези, деменция, емоционална инконтиненция, инконтиненция на урина и дизартрия. Заболяването прогресира стъпалообразно, след което се достига до плато без по-нататъшна прогресия и симптомите не се повлияват от леводопа. За поставяне на диагнозата е необходимо пациентът да има анамнеза за хипертония, прекарани мозъчни инфаркти, липидни нарушения, антикардиолипидни антитела и системна мозъчно-съдова болест. Съдовите лезии включват множество мозъчни лакуни засягащи базалните ганглии, васкулопатията на бялото мозъчно вещество по типа на болестта на Binswanger и дилатацията на периваскуларните пространства. През 1987 година беше създадена теорията за “паркинсонизъм в долната част на тялото” (lower body), като форма на атеросклеротичната мозъчно-съдова болест. Беше установено, че нарушението на походката, което прилича на старческа походка се изразява в апраксия на походката. Походката се характеризира с изразени затруднения при тръгване и обръщане, бавни и къси стъпки с провлачване на краката и стъпване на широка основа. Нарушено е равновесието и постуралните рефлекси, но са запазени синкинезиите на ръцете при ходене. Не се установява тремор и акинезия в горните крайници, тялото не е приведено напред. </w:t>
      </w:r>
    </w:p>
    <w:p w14:paraId="42FA59E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Травматичен паркинсонизъм</w:t>
      </w:r>
      <w:r w:rsidRPr="00AE47C6">
        <w:rPr>
          <w:rFonts w:ascii="Times New Roman" w:eastAsia="SimSun" w:hAnsi="Times New Roman"/>
          <w:sz w:val="24"/>
          <w:szCs w:val="24"/>
        </w:rPr>
        <w:t xml:space="preserve"> може да се развие след остра или хронична краниална травма. Ригидно-брадикинетичният синдром често е едностранен, треморът е различно изразен. По-късно обхваща и другата половина на тялото, добавят се нарушение на походката, постурална нестабилност, пирамидни белези, когнитивни нарушения и главоболие. По-рядко синдрома може да наподобява прогресивна супрануклеарна парализа или хемиатрофия-хемипаркинсонизъм.</w:t>
      </w:r>
    </w:p>
    <w:p w14:paraId="1956AD0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Хроничната краниална травма предизвиква бавно развиващ се паркинсонов синдром. Появяват се когнитивни и личностови нарушения, психоза, атаксия и дизартрия, поради което състоянието е известно под името dementia pugilistica. </w:t>
      </w:r>
    </w:p>
    <w:p w14:paraId="2D38F0C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Хидроцефалията с нормално налягане </w:t>
      </w:r>
      <w:r w:rsidRPr="00AE47C6">
        <w:rPr>
          <w:rFonts w:ascii="Times New Roman" w:eastAsia="SimSun" w:hAnsi="Times New Roman"/>
          <w:sz w:val="24"/>
          <w:szCs w:val="24"/>
        </w:rPr>
        <w:t xml:space="preserve">най-често предизвиква паркинсонизъм. Типично е нарушението на походката с атаксия, деменция, инконтиненция на урина и паркинсонов синдром с тремор, брадикинезия и мускулна ригидност. </w:t>
      </w:r>
      <w:r w:rsidRPr="00AE47C6">
        <w:rPr>
          <w:rFonts w:ascii="Times New Roman" w:eastAsia="SimSun" w:hAnsi="Times New Roman"/>
          <w:i/>
          <w:sz w:val="24"/>
          <w:szCs w:val="24"/>
        </w:rPr>
        <w:t>Екстравентрикулната хидроцефалия</w:t>
      </w:r>
      <w:r w:rsidRPr="00AE47C6">
        <w:rPr>
          <w:rFonts w:ascii="Times New Roman" w:eastAsia="SimSun" w:hAnsi="Times New Roman"/>
          <w:sz w:val="24"/>
          <w:szCs w:val="24"/>
        </w:rPr>
        <w:t xml:space="preserve">, предизвикана от други причини, извън хидроцефалията с нормално налягане, като краниална травма, субарахноиден и субдурален кръвоизлив може да предизвика паркинсонов синдром. Типично е нарушението на походката с малки крачки, към което се добавят ригидност, позиционна брадикинезия (по-слабо изразена в легнало положение) и рядко тремор в покой. Заболяването започва симетрично от долните крайници. </w:t>
      </w:r>
      <w:r w:rsidRPr="00AE47C6">
        <w:rPr>
          <w:rFonts w:ascii="Times New Roman" w:eastAsia="SimSun" w:hAnsi="Times New Roman"/>
          <w:i/>
          <w:sz w:val="24"/>
          <w:szCs w:val="24"/>
        </w:rPr>
        <w:t>Интравентрикулната обструктивна хидроцефалия</w:t>
      </w:r>
      <w:r w:rsidRPr="00AE47C6">
        <w:rPr>
          <w:rFonts w:ascii="Times New Roman" w:eastAsia="SimSun" w:hAnsi="Times New Roman"/>
          <w:sz w:val="24"/>
          <w:szCs w:val="24"/>
        </w:rPr>
        <w:t xml:space="preserve"> също предизвиква паркинсонов синдром. Тя се предизвиква от стеноза на акведукта, тумори в задна черепна ямка, краниална травма, енцефалити и болест на Paget. Клиничната картина не се различава от тази при екстравентрикулната хидроцефалия, предизвикана от други причини, извън хидроцефалията с нормално налягане. Състои се от комбинация от паркинсонови, пирамидни и малкомозъчни симптоми. </w:t>
      </w:r>
    </w:p>
    <w:p w14:paraId="7C792F0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Паркинсонизъм при структурни мозъчни лезии</w:t>
      </w:r>
      <w:r w:rsidRPr="00AE47C6">
        <w:rPr>
          <w:rFonts w:ascii="Times New Roman" w:eastAsia="SimSun" w:hAnsi="Times New Roman"/>
          <w:sz w:val="24"/>
          <w:szCs w:val="24"/>
        </w:rPr>
        <w:t xml:space="preserve"> най-често се предизвиква от мозъчни тумори. Паркинсоновият синдром се предизвиква или вследствие на директна компресия на базалните ганглии или вследствие на дисфункция на нигростриарния или кортико-стрио-палидо-таламо-кортикалния път. По-често причина за синдрома са тумори във фронталната, париетална и темпорална област, III вентрикул, мезенцефалона и thalamus, които компресират или засягат базалните ганглии или мезенцефалона. Глиомите и менингеомите са най-често срещаният вид тумори, по-рядко се наблюдават метастатични тумори, лимфоми и фибросаркоми. Субдуралният хематом, ако компресира базалните ганглии или мезенцефалона също може да предизвика паркинсонов синдром. Стриарен абсцес, мезенцефален туберкулом, съдови малформации и кисти в задна черепна ямка могат също да предизвикат паркинсонов синдром. </w:t>
      </w:r>
    </w:p>
    <w:p w14:paraId="500EC0C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Паркинсонизъм при калцификация на базалните ганглии и нарушение на калциевия метаболизъм </w:t>
      </w:r>
      <w:r w:rsidRPr="00AE47C6">
        <w:rPr>
          <w:rFonts w:ascii="Times New Roman" w:eastAsia="SimSun" w:hAnsi="Times New Roman"/>
          <w:sz w:val="24"/>
          <w:szCs w:val="24"/>
        </w:rPr>
        <w:t xml:space="preserve">се развива най-често при фамилната калцификация (болест на Fahr), хипопаратиреоидизъм и псевдохипопаратироидизъм. Установява се при 70% от пациентите с идиопатичен хипопаратиреоидизъм и при всички пациенти с псевдохипопаратироидизъм. Калцификацията на базалните ганглии се наблюдава най-често при хипопаратиреоидизъм. Тези пациенти сравнително рядко (25%) развиват клинични белези на паркинсонизъм, заедно с други белези на увреждане на централната нервна система. Вторичният хипопаратиреоидизъм по-рядко е свързан с калцификация на базалните ганглии, вероятно защото се предприема лечение преди тя да се развие. Ако не се предприеме лечение, паркинсоновият синдром бавно прогресира. </w:t>
      </w:r>
    </w:p>
    <w:p w14:paraId="6105FE2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Лечението</w:t>
      </w:r>
      <w:r w:rsidRPr="00AE47C6">
        <w:rPr>
          <w:rFonts w:ascii="Times New Roman" w:eastAsia="SimSun" w:hAnsi="Times New Roman"/>
          <w:sz w:val="24"/>
          <w:szCs w:val="24"/>
        </w:rPr>
        <w:t xml:space="preserve"> при вторичните паркинсонови синдроми е неефективно.</w:t>
      </w:r>
    </w:p>
    <w:p w14:paraId="3DF363E0"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 xml:space="preserve">6.1.1.3. Паркинсонизъм при хередодегенеративни и други заболявания </w:t>
      </w:r>
    </w:p>
    <w:p w14:paraId="3D4B5613"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b/>
          <w:i/>
          <w:sz w:val="24"/>
          <w:szCs w:val="24"/>
        </w:rPr>
        <w:t xml:space="preserve">Синдромът на скования човек </w:t>
      </w:r>
      <w:r w:rsidRPr="00AE47C6">
        <w:rPr>
          <w:rFonts w:ascii="Times New Roman" w:eastAsia="SimSun" w:hAnsi="Times New Roman"/>
          <w:sz w:val="24"/>
          <w:szCs w:val="24"/>
        </w:rPr>
        <w:t xml:space="preserve">е спорадично заболяване, което засяга малко по-често мъжете. </w:t>
      </w:r>
    </w:p>
    <w:p w14:paraId="0E31FE9B"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i/>
          <w:sz w:val="24"/>
          <w:szCs w:val="24"/>
        </w:rPr>
        <w:t>Етиологията</w:t>
      </w:r>
      <w:r w:rsidRPr="00AE47C6">
        <w:rPr>
          <w:rFonts w:ascii="Times New Roman" w:eastAsia="SimSun" w:hAnsi="Times New Roman"/>
          <w:sz w:val="24"/>
          <w:szCs w:val="24"/>
        </w:rPr>
        <w:t xml:space="preserve"> вероятно е автоимунна, защото са установени антитела срещу декарбоксилазата на глутаматната киселина (анти- GAD антитела). Този ензим е свързан със синтезата на гама-аминомаслената киселина (ГАМК). Неизвестен увреждащ стимул тригерира каскада от събития водещи до излагане на интрацелуларната декарбоксилаза на глутаматната киселина на действието на имунната система, която продуцира автоантитела срещу ензима и ГАМК-съдържащите неврони. Това предизвиква селективна увреда на ГАМК-ергичната супрасегментна потискаща трансмисия. </w:t>
      </w:r>
    </w:p>
    <w:p w14:paraId="2F0142C5"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i/>
          <w:sz w:val="24"/>
          <w:szCs w:val="24"/>
        </w:rPr>
        <w:t>Патогенезата</w:t>
      </w:r>
      <w:r w:rsidRPr="00AE47C6">
        <w:rPr>
          <w:rFonts w:ascii="Times New Roman" w:eastAsia="SimSun" w:hAnsi="Times New Roman"/>
          <w:sz w:val="24"/>
          <w:szCs w:val="24"/>
        </w:rPr>
        <w:t xml:space="preserve"> е свързана с нарушен супрасегментен контрол над гръбначно-мозъчните потискащи интерневрони, свързани с пресинаптичната IА инхибиция. Нарушен е балансът между десцендиращата катехоламинна възбудна и ГАМК-ергичната потискаща система, за сметка на свръхактивност на възбудната система. Това води до повишена мотоневронна активност и много засилен startle рефлекс и рефлексен отговор към екстероцептивни стимули. Не се установяват патоанатомични промени, което показва, че заболяването е свързано само с функционално нарушение. </w:t>
      </w:r>
    </w:p>
    <w:p w14:paraId="5E6B5DD3"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i/>
          <w:sz w:val="24"/>
          <w:szCs w:val="24"/>
        </w:rPr>
        <w:t>Клинично</w:t>
      </w:r>
      <w:r w:rsidRPr="00AE47C6">
        <w:rPr>
          <w:rFonts w:ascii="Times New Roman" w:eastAsia="SimSun" w:hAnsi="Times New Roman"/>
          <w:sz w:val="24"/>
          <w:szCs w:val="24"/>
        </w:rPr>
        <w:t xml:space="preserve"> началото на заболяването е между 30 и 60 годишна възраст, но по-рядко може да започне както на 7, така и 70 годишна възраст. В началото се появяват периодични болки и стягане симетрично в аксиалните мускули (шията, параспиналните и абдоминалните). След няколко седмици или месеци ригидността, стягането и сковаността в мускулите стават постоянни. По-късно се засягат проксималните мускулни групи симетрично и аксиалните мускули, без да се засягат дисталните и краниални мускули. Пациентите ходят бавно и трудно и не могат да се наведат. Позата се променя с типична лумбална хиперлордоза, която води до образуване на кожна гънка в тази област и персистира в легнало по гръб положение. Шията е в екстензия, движенията на гърба и бедрата са ограничени. Всеки опит за движение предизвиква продължителен и болезнен мускулен спазъм, придружен от постурална нестабилност и чести падания. Сковаността и ригидността флуктуират в рамките на деня и различните дни и изчезват по време на сън. Мускулите при палпация са твърди, походката на пациентите е бавна и внимателна, често има сухожилна хиперрефлексия. Получават се преходни, внезапни и тежки и болезнени спазми на засегнатите мускули, провокирани от различни тригерни фактори като шум, докосване, движение, пасивно разтягане на мускул, емоции, стрес или преумора. Спазмите продължават няколко минути и изчезват постепенно, ако тригерният фактор е отстранен. Често спазмите имат стереотипен двигателен патерн, изразен в краткотраен опистотонус, абдукция на краката и плантарна флексия на стъпалата. Описани са и фокални форми на заболяването под наименованието “синдром на скования крайник”. За поставяне на диагнозата се използват клинични критерии, типичната ЕМГ находка, наличие на антитела и придружаващо автоимунно ендокринно заболяване.</w:t>
      </w:r>
    </w:p>
    <w:p w14:paraId="57FB54D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Лечението </w:t>
      </w:r>
      <w:r w:rsidRPr="00AE47C6">
        <w:rPr>
          <w:rFonts w:ascii="Times New Roman" w:eastAsia="SimSun" w:hAnsi="Times New Roman"/>
          <w:sz w:val="24"/>
          <w:szCs w:val="24"/>
        </w:rPr>
        <w:t xml:space="preserve">се провежда с бензодиазепини (diazepam 10 – 100 mg дн.) или комбинация от clonazepam (4 – 6 mg дн.) и baclofen (до 100 mg дн.). </w:t>
      </w:r>
    </w:p>
    <w:p w14:paraId="5FF1EF1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Прогноза.</w:t>
      </w:r>
      <w:r w:rsidRPr="00AE47C6">
        <w:rPr>
          <w:rFonts w:ascii="Times New Roman" w:eastAsia="SimSun" w:hAnsi="Times New Roman"/>
          <w:sz w:val="24"/>
          <w:szCs w:val="24"/>
        </w:rPr>
        <w:t xml:space="preserve"> Заболяването бавно прогресира, смъртта настъпва от често срещаните придружаващи заболявания, най-вече инсулинозависм диабет, който се среща при 75% от пациентите. </w:t>
      </w:r>
    </w:p>
    <w:p w14:paraId="5F6DB698"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145" w:name="_Toc155651771"/>
      <w:bookmarkStart w:id="146" w:name="_Toc164075903"/>
      <w:r w:rsidRPr="00AE47C6">
        <w:rPr>
          <w:rFonts w:ascii="Times New Roman" w:eastAsia="SimSun" w:hAnsi="Times New Roman"/>
          <w:b/>
          <w:sz w:val="24"/>
          <w:szCs w:val="24"/>
        </w:rPr>
        <w:t>6.2. Невродегенеративни заболявания с хиперкинетични двигателни нарушения</w:t>
      </w:r>
      <w:bookmarkEnd w:id="145"/>
      <w:bookmarkEnd w:id="146"/>
    </w:p>
    <w:p w14:paraId="0F02C761"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Хиперкинетичните двигателни нарушения се проявяват с тремор, дистония (дискинезия), хорея, тикове, миоклонии и мускулна хипотония. Треморът е симптом, който въпреки че е хиперкинетичен придружава и хипокинетичния Паркинсонов синдром и е част от неговата диференциална диагноза.</w:t>
      </w:r>
    </w:p>
    <w:p w14:paraId="78A785C3" w14:textId="77777777" w:rsidR="00BE0B19" w:rsidRPr="00AE47C6" w:rsidRDefault="00BE0B19" w:rsidP="00BE0B19">
      <w:pPr>
        <w:suppressAutoHyphens/>
        <w:spacing w:after="0" w:line="360" w:lineRule="auto"/>
        <w:ind w:firstLine="360"/>
        <w:jc w:val="both"/>
        <w:rPr>
          <w:rFonts w:ascii="Times New Roman" w:eastAsia="SimSun" w:hAnsi="Times New Roman"/>
          <w:sz w:val="24"/>
          <w:szCs w:val="24"/>
        </w:rPr>
      </w:pPr>
      <w:r w:rsidRPr="00AE47C6">
        <w:rPr>
          <w:rFonts w:ascii="Times New Roman" w:eastAsia="SimSun" w:hAnsi="Times New Roman"/>
          <w:sz w:val="24"/>
          <w:szCs w:val="24"/>
        </w:rPr>
        <w:t>За диагностициране на хиперкинетичните двигателни нарушения трябва да се установи наличието на един или повече от симптомите:</w:t>
      </w:r>
    </w:p>
    <w:p w14:paraId="4DC38C84" w14:textId="77777777" w:rsidR="00BE0B19" w:rsidRPr="00AE47C6" w:rsidRDefault="00BE0B19" w:rsidP="00BE0B19">
      <w:pPr>
        <w:numPr>
          <w:ilvl w:val="0"/>
          <w:numId w:val="46"/>
        </w:numPr>
        <w:suppressAutoHyphen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Тремор</w:t>
      </w:r>
    </w:p>
    <w:p w14:paraId="61F27566" w14:textId="77777777" w:rsidR="00BE0B19" w:rsidRPr="00AE47C6" w:rsidRDefault="00BE0B19" w:rsidP="00BE0B19">
      <w:pPr>
        <w:numPr>
          <w:ilvl w:val="0"/>
          <w:numId w:val="283"/>
        </w:numPr>
        <w:suppressAutoHyphen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Дистония</w:t>
      </w:r>
    </w:p>
    <w:p w14:paraId="2D8EB4E7" w14:textId="77777777" w:rsidR="00BE0B19" w:rsidRPr="00AE47C6" w:rsidRDefault="00BE0B19" w:rsidP="00BE0B19">
      <w:pPr>
        <w:numPr>
          <w:ilvl w:val="0"/>
          <w:numId w:val="45"/>
        </w:numPr>
        <w:tabs>
          <w:tab w:val="clear" w:pos="1365"/>
          <w:tab w:val="num" w:pos="360"/>
        </w:tabs>
        <w:suppressAutoHyphens/>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 xml:space="preserve">Хорея </w:t>
      </w:r>
    </w:p>
    <w:p w14:paraId="56BEDC81" w14:textId="77777777" w:rsidR="00BE0B19" w:rsidRPr="00AE47C6" w:rsidRDefault="00BE0B19" w:rsidP="00BE0B19">
      <w:pPr>
        <w:numPr>
          <w:ilvl w:val="0"/>
          <w:numId w:val="134"/>
        </w:numPr>
        <w:tabs>
          <w:tab w:val="clear" w:pos="1211"/>
          <w:tab w:val="num" w:pos="360"/>
        </w:tabs>
        <w:suppressAutoHyphens/>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Тикове</w:t>
      </w:r>
    </w:p>
    <w:p w14:paraId="731E31DA" w14:textId="77777777" w:rsidR="00BE0B19" w:rsidRPr="00AE47C6" w:rsidRDefault="00BE0B19" w:rsidP="00BE0B19">
      <w:pPr>
        <w:numPr>
          <w:ilvl w:val="0"/>
          <w:numId w:val="134"/>
        </w:numPr>
        <w:tabs>
          <w:tab w:val="clear" w:pos="1211"/>
          <w:tab w:val="num" w:pos="360"/>
        </w:tabs>
        <w:suppressAutoHyphens/>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Миоклонии</w:t>
      </w:r>
    </w:p>
    <w:p w14:paraId="686B7519" w14:textId="77777777" w:rsidR="00BE0B19" w:rsidRPr="00AE47C6" w:rsidRDefault="00BE0B19" w:rsidP="00BE0B19">
      <w:pPr>
        <w:numPr>
          <w:ilvl w:val="0"/>
          <w:numId w:val="134"/>
        </w:numPr>
        <w:tabs>
          <w:tab w:val="clear" w:pos="1211"/>
          <w:tab w:val="num" w:pos="360"/>
        </w:tabs>
        <w:suppressAutoHyphens/>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Мускулна хипотония</w:t>
      </w:r>
    </w:p>
    <w:p w14:paraId="7D78387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След поставяне диагнозата на симптома следва етиологичното изясняване на заболяването в специализиран център за двигателни нарушения.</w:t>
      </w:r>
    </w:p>
    <w:p w14:paraId="081C0FA5"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47" w:name="_Toc155651772"/>
      <w:bookmarkStart w:id="148" w:name="_Toc164075904"/>
      <w:r w:rsidRPr="00AE47C6">
        <w:rPr>
          <w:rFonts w:ascii="Times New Roman" w:eastAsia="SimSun" w:hAnsi="Times New Roman"/>
          <w:b/>
          <w:bCs/>
          <w:sz w:val="24"/>
          <w:szCs w:val="20"/>
          <w:lang w:eastAsia="ja-JP"/>
        </w:rPr>
        <w:t>6.2.1.</w:t>
      </w:r>
      <w:r w:rsidRPr="00AE47C6">
        <w:rPr>
          <w:rFonts w:ascii="Times New Roman" w:eastAsia="SimSun" w:hAnsi="Times New Roman"/>
          <w:b/>
          <w:sz w:val="24"/>
          <w:szCs w:val="20"/>
          <w:lang w:eastAsia="ja-JP"/>
        </w:rPr>
        <w:t xml:space="preserve"> Дистонии</w:t>
      </w:r>
      <w:bookmarkEnd w:id="147"/>
      <w:bookmarkEnd w:id="148"/>
    </w:p>
    <w:p w14:paraId="3790E6B6"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Дистонията е двигателно нарушение, характеризиращо се с продължителни или интермитентни мускулни контракции, причиняващи абнормни, често пъти повтарящи се движения или пози, или и двете. Типично дистонните са еднотипни, с усукващ характер и могат да бъдат съпроводени от тремор. Дистонията често се предизвиква или влошава от волеви двигателни актове и се асоциира с абнормна мускулна активация. Два са основните типа тремор, които се срещат при дистонии - постурален, подобен на есенциалния тремор, и дистонен. Дистонният тремор е бърз, рязък, вариабилен по амплитуда и се влошава при специфични позиции на засегнатия крайник и/или при извършване на определеното движение.</w:t>
      </w:r>
    </w:p>
    <w:p w14:paraId="4CEFAFAE"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Болестността</w:t>
      </w:r>
      <w:r w:rsidRPr="00AE47C6">
        <w:rPr>
          <w:rFonts w:ascii="Times New Roman" w:eastAsia="SimSun" w:hAnsi="Times New Roman"/>
          <w:color w:val="000000" w:themeColor="text1"/>
          <w:sz w:val="24"/>
          <w:szCs w:val="24"/>
        </w:rPr>
        <w:t xml:space="preserve"> от първична дистония е около 225 на 100 000 души, като за възрастта над 50 години достига до 732 на 100 000 души население. Болестността от фокални дистонии е около 29,5 на 100 000, от цервикална дистония – 8,9 на 100 000 население, а от генерализирана дистония – 3,4 на 100 000 население. </w:t>
      </w:r>
    </w:p>
    <w:p w14:paraId="22337EB4"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 xml:space="preserve">Етиологията </w:t>
      </w:r>
      <w:r w:rsidRPr="00AE47C6">
        <w:rPr>
          <w:rFonts w:ascii="Times New Roman" w:eastAsia="SimSun" w:hAnsi="Times New Roman"/>
          <w:color w:val="000000" w:themeColor="text1"/>
          <w:sz w:val="24"/>
          <w:szCs w:val="24"/>
        </w:rPr>
        <w:t>е мултифакторна и представлява съчетание от генетичен фон, който има основно значение и тригерни фактори от околната среда. Наблюдават се както фамилни (10%), така и нефамилни случаи. Досега са идентифицирани 15 генни локуса от DYT1 до DYT15, локализирани в различни хромозоми и свързани с дистонии с различен фенотип. Класическата генерализирана идиопатична торзионна дистония с начало в детската възраст се унаследява по автозомно-доминантен път с намалена пенетрантност. Фокалните дистонии с начало в късна възраст, са генетично хетерогенни заболявания с автозомно-доминантно унаследяване и намалена пенетрантност (5%) (Табл. 6.3.)</w:t>
      </w:r>
    </w:p>
    <w:p w14:paraId="2C9086B9" w14:textId="77777777" w:rsidR="00BE0B19" w:rsidRPr="00AE47C6" w:rsidRDefault="00BE0B19" w:rsidP="00BE0B19">
      <w:pPr>
        <w:spacing w:after="0" w:line="360" w:lineRule="auto"/>
        <w:ind w:left="360" w:firstLine="720"/>
        <w:jc w:val="both"/>
        <w:rPr>
          <w:rFonts w:ascii="Times New Roman" w:eastAsia="SimSun" w:hAnsi="Times New Roman"/>
          <w:b/>
          <w:color w:val="000000" w:themeColor="text1"/>
          <w:sz w:val="24"/>
          <w:szCs w:val="24"/>
        </w:rPr>
      </w:pPr>
    </w:p>
    <w:tbl>
      <w:tblPr>
        <w:tblStyle w:val="TableGrid2"/>
        <w:tblW w:w="9219" w:type="dxa"/>
        <w:tblInd w:w="-5" w:type="dxa"/>
        <w:tblLayout w:type="fixed"/>
        <w:tblLook w:val="04A0" w:firstRow="1" w:lastRow="0" w:firstColumn="1" w:lastColumn="0" w:noHBand="0" w:noVBand="1"/>
      </w:tblPr>
      <w:tblGrid>
        <w:gridCol w:w="1985"/>
        <w:gridCol w:w="1422"/>
        <w:gridCol w:w="3510"/>
        <w:gridCol w:w="1310"/>
        <w:gridCol w:w="992"/>
      </w:tblGrid>
      <w:tr w:rsidR="00BE0B19" w:rsidRPr="00AE47C6" w14:paraId="28924035" w14:textId="77777777" w:rsidTr="00AD72E5">
        <w:tc>
          <w:tcPr>
            <w:tcW w:w="9219" w:type="dxa"/>
            <w:gridSpan w:val="5"/>
            <w:tcBorders>
              <w:top w:val="nil"/>
              <w:left w:val="nil"/>
              <w:bottom w:val="single" w:sz="4" w:space="0" w:color="auto"/>
              <w:right w:val="nil"/>
            </w:tcBorders>
          </w:tcPr>
          <w:p w14:paraId="3F8D3E0D" w14:textId="77777777" w:rsidR="00BE0B19" w:rsidRPr="00AE47C6" w:rsidRDefault="00BE0B19" w:rsidP="00BE0B19">
            <w:pPr>
              <w:spacing w:after="0" w:line="360" w:lineRule="auto"/>
              <w:jc w:val="both"/>
              <w:rPr>
                <w:rFonts w:ascii="Times New Roman" w:hAnsi="Times New Roman"/>
                <w:b/>
                <w:color w:val="000000" w:themeColor="text1"/>
                <w:sz w:val="24"/>
                <w:szCs w:val="24"/>
              </w:rPr>
            </w:pPr>
            <w:r w:rsidRPr="00AE47C6">
              <w:rPr>
                <w:rFonts w:ascii="Times New Roman" w:hAnsi="Times New Roman"/>
                <w:b/>
                <w:color w:val="000000" w:themeColor="text1"/>
                <w:sz w:val="24"/>
                <w:szCs w:val="24"/>
              </w:rPr>
              <w:t xml:space="preserve">Таблица 6.3. Генетична DYT класификация на дистонията </w:t>
            </w:r>
          </w:p>
        </w:tc>
      </w:tr>
      <w:tr w:rsidR="00BE0B19" w:rsidRPr="00AE47C6" w14:paraId="5F263277" w14:textId="77777777" w:rsidTr="00AD72E5">
        <w:tc>
          <w:tcPr>
            <w:tcW w:w="1985" w:type="dxa"/>
            <w:tcBorders>
              <w:top w:val="single" w:sz="4" w:space="0" w:color="auto"/>
            </w:tcBorders>
          </w:tcPr>
          <w:p w14:paraId="0DB5EFAC" w14:textId="77777777" w:rsidR="00BE0B19" w:rsidRPr="00AE47C6" w:rsidRDefault="00BE0B19" w:rsidP="00BE0B19">
            <w:pPr>
              <w:spacing w:after="0" w:line="360" w:lineRule="auto"/>
              <w:jc w:val="both"/>
              <w:rPr>
                <w:rFonts w:ascii="Times New Roman" w:hAnsi="Times New Roman"/>
                <w:b/>
                <w:color w:val="000000" w:themeColor="text1"/>
                <w:sz w:val="24"/>
                <w:szCs w:val="24"/>
              </w:rPr>
            </w:pPr>
            <w:r w:rsidRPr="00AE47C6">
              <w:rPr>
                <w:rFonts w:ascii="Times New Roman" w:hAnsi="Times New Roman"/>
                <w:b/>
                <w:color w:val="000000" w:themeColor="text1"/>
                <w:sz w:val="24"/>
                <w:szCs w:val="24"/>
              </w:rPr>
              <w:t>DYT номер и наименование</w:t>
            </w:r>
          </w:p>
        </w:tc>
        <w:tc>
          <w:tcPr>
            <w:tcW w:w="1422" w:type="dxa"/>
            <w:tcBorders>
              <w:top w:val="single" w:sz="4" w:space="0" w:color="auto"/>
            </w:tcBorders>
          </w:tcPr>
          <w:p w14:paraId="17B858BA" w14:textId="77777777" w:rsidR="00BE0B19" w:rsidRPr="00AE47C6" w:rsidRDefault="00BE0B19" w:rsidP="00BE0B19">
            <w:pPr>
              <w:spacing w:after="0" w:line="360" w:lineRule="auto"/>
              <w:jc w:val="both"/>
              <w:rPr>
                <w:rFonts w:ascii="Times New Roman" w:hAnsi="Times New Roman"/>
                <w:b/>
                <w:color w:val="000000" w:themeColor="text1"/>
                <w:sz w:val="24"/>
                <w:szCs w:val="24"/>
              </w:rPr>
            </w:pPr>
            <w:r w:rsidRPr="00AE47C6">
              <w:rPr>
                <w:rFonts w:ascii="Times New Roman" w:hAnsi="Times New Roman"/>
                <w:b/>
                <w:color w:val="000000" w:themeColor="text1"/>
                <w:sz w:val="24"/>
                <w:szCs w:val="24"/>
              </w:rPr>
              <w:t>унаследяване</w:t>
            </w:r>
          </w:p>
        </w:tc>
        <w:tc>
          <w:tcPr>
            <w:tcW w:w="3510" w:type="dxa"/>
            <w:tcBorders>
              <w:top w:val="single" w:sz="4" w:space="0" w:color="auto"/>
            </w:tcBorders>
          </w:tcPr>
          <w:p w14:paraId="163096BD" w14:textId="77777777" w:rsidR="00BE0B19" w:rsidRPr="00AE47C6" w:rsidRDefault="00BE0B19" w:rsidP="00BE0B19">
            <w:pPr>
              <w:spacing w:after="0" w:line="360" w:lineRule="auto"/>
              <w:jc w:val="both"/>
              <w:rPr>
                <w:rFonts w:ascii="Times New Roman" w:hAnsi="Times New Roman"/>
                <w:b/>
                <w:color w:val="000000" w:themeColor="text1"/>
                <w:sz w:val="24"/>
                <w:szCs w:val="24"/>
              </w:rPr>
            </w:pPr>
            <w:r w:rsidRPr="00AE47C6">
              <w:rPr>
                <w:rFonts w:ascii="Times New Roman" w:hAnsi="Times New Roman"/>
                <w:b/>
                <w:color w:val="000000" w:themeColor="text1"/>
                <w:sz w:val="24"/>
                <w:szCs w:val="24"/>
              </w:rPr>
              <w:t>Клинична характеристика</w:t>
            </w:r>
          </w:p>
        </w:tc>
        <w:tc>
          <w:tcPr>
            <w:tcW w:w="1310" w:type="dxa"/>
            <w:tcBorders>
              <w:top w:val="single" w:sz="4" w:space="0" w:color="auto"/>
            </w:tcBorders>
          </w:tcPr>
          <w:p w14:paraId="611388DB" w14:textId="77777777" w:rsidR="00BE0B19" w:rsidRPr="00AE47C6" w:rsidRDefault="00BE0B19" w:rsidP="00BE0B19">
            <w:pPr>
              <w:spacing w:after="0" w:line="360" w:lineRule="auto"/>
              <w:jc w:val="both"/>
              <w:rPr>
                <w:rFonts w:ascii="Times New Roman" w:hAnsi="Times New Roman"/>
                <w:b/>
                <w:color w:val="000000" w:themeColor="text1"/>
                <w:sz w:val="24"/>
                <w:szCs w:val="24"/>
              </w:rPr>
            </w:pPr>
            <w:r w:rsidRPr="00AE47C6">
              <w:rPr>
                <w:rFonts w:ascii="Times New Roman" w:hAnsi="Times New Roman"/>
                <w:b/>
                <w:color w:val="000000" w:themeColor="text1"/>
                <w:sz w:val="24"/>
                <w:szCs w:val="24"/>
              </w:rPr>
              <w:t>Ген</w:t>
            </w:r>
          </w:p>
        </w:tc>
        <w:tc>
          <w:tcPr>
            <w:tcW w:w="992" w:type="dxa"/>
            <w:tcBorders>
              <w:top w:val="single" w:sz="4" w:space="0" w:color="auto"/>
            </w:tcBorders>
          </w:tcPr>
          <w:p w14:paraId="45761C3D" w14:textId="77777777" w:rsidR="00BE0B19" w:rsidRPr="00AE47C6" w:rsidRDefault="00BE0B19" w:rsidP="00BE0B19">
            <w:pPr>
              <w:spacing w:after="0" w:line="360" w:lineRule="auto"/>
              <w:jc w:val="both"/>
              <w:rPr>
                <w:rFonts w:ascii="Times New Roman" w:hAnsi="Times New Roman"/>
                <w:b/>
                <w:color w:val="000000" w:themeColor="text1"/>
                <w:sz w:val="24"/>
                <w:szCs w:val="24"/>
              </w:rPr>
            </w:pPr>
            <w:r w:rsidRPr="00AE47C6">
              <w:rPr>
                <w:rFonts w:ascii="Times New Roman" w:hAnsi="Times New Roman"/>
                <w:b/>
                <w:color w:val="000000" w:themeColor="text1"/>
                <w:sz w:val="24"/>
                <w:szCs w:val="24"/>
              </w:rPr>
              <w:t>Налични тестове</w:t>
            </w:r>
          </w:p>
        </w:tc>
      </w:tr>
      <w:tr w:rsidR="00BE0B19" w:rsidRPr="00AE47C6" w14:paraId="1ED5F3B4" w14:textId="77777777" w:rsidTr="00AD72E5">
        <w:tc>
          <w:tcPr>
            <w:tcW w:w="1985" w:type="dxa"/>
          </w:tcPr>
          <w:p w14:paraId="576AE50F"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DYT1</w:t>
            </w:r>
          </w:p>
        </w:tc>
        <w:tc>
          <w:tcPr>
            <w:tcW w:w="1422" w:type="dxa"/>
          </w:tcPr>
          <w:p w14:paraId="3AE24485"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AD</w:t>
            </w:r>
          </w:p>
        </w:tc>
        <w:tc>
          <w:tcPr>
            <w:tcW w:w="3510" w:type="dxa"/>
          </w:tcPr>
          <w:p w14:paraId="156B7484"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Първична генерализирана дистония с ранно начало</w:t>
            </w:r>
          </w:p>
        </w:tc>
        <w:tc>
          <w:tcPr>
            <w:tcW w:w="1310" w:type="dxa"/>
          </w:tcPr>
          <w:p w14:paraId="5661A965"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DYT1</w:t>
            </w:r>
          </w:p>
        </w:tc>
        <w:tc>
          <w:tcPr>
            <w:tcW w:w="992" w:type="dxa"/>
          </w:tcPr>
          <w:p w14:paraId="7BAC5F6E"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Да</w:t>
            </w:r>
          </w:p>
        </w:tc>
      </w:tr>
      <w:tr w:rsidR="00BE0B19" w:rsidRPr="00AE47C6" w14:paraId="54073913" w14:textId="77777777" w:rsidTr="00AD72E5">
        <w:tc>
          <w:tcPr>
            <w:tcW w:w="1985" w:type="dxa"/>
          </w:tcPr>
          <w:p w14:paraId="10F2F3DF"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DYT2</w:t>
            </w:r>
          </w:p>
        </w:tc>
        <w:tc>
          <w:tcPr>
            <w:tcW w:w="1422" w:type="dxa"/>
          </w:tcPr>
          <w:p w14:paraId="53825D52"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AR</w:t>
            </w:r>
          </w:p>
        </w:tc>
        <w:tc>
          <w:tcPr>
            <w:tcW w:w="3510" w:type="dxa"/>
          </w:tcPr>
          <w:p w14:paraId="4B42EC2E"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Рецесивна първична дистония с ранно начало при испанска циганска фамилия</w:t>
            </w:r>
          </w:p>
        </w:tc>
        <w:tc>
          <w:tcPr>
            <w:tcW w:w="1310" w:type="dxa"/>
          </w:tcPr>
          <w:p w14:paraId="616B6EEF"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 xml:space="preserve">HPCA </w:t>
            </w:r>
          </w:p>
          <w:p w14:paraId="718BB8F0" w14:textId="77777777" w:rsidR="00BE0B19" w:rsidRPr="00AE47C6" w:rsidRDefault="00BE0B19" w:rsidP="00BE0B19">
            <w:pPr>
              <w:spacing w:after="0" w:line="360" w:lineRule="auto"/>
              <w:jc w:val="both"/>
              <w:rPr>
                <w:rFonts w:ascii="Times New Roman" w:hAnsi="Times New Roman"/>
                <w:b/>
                <w:color w:val="000000" w:themeColor="text1"/>
                <w:sz w:val="24"/>
                <w:szCs w:val="24"/>
              </w:rPr>
            </w:pPr>
          </w:p>
        </w:tc>
        <w:tc>
          <w:tcPr>
            <w:tcW w:w="992" w:type="dxa"/>
          </w:tcPr>
          <w:p w14:paraId="1842C188"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Не</w:t>
            </w:r>
          </w:p>
        </w:tc>
      </w:tr>
      <w:tr w:rsidR="00BE0B19" w:rsidRPr="00AE47C6" w14:paraId="3FD29B4E" w14:textId="77777777" w:rsidTr="00AD72E5">
        <w:tc>
          <w:tcPr>
            <w:tcW w:w="1985" w:type="dxa"/>
          </w:tcPr>
          <w:p w14:paraId="3425705C"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DYT3</w:t>
            </w:r>
          </w:p>
          <w:p w14:paraId="1B5446D3"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X-свързана дистония паркинсонизъм</w:t>
            </w:r>
          </w:p>
        </w:tc>
        <w:tc>
          <w:tcPr>
            <w:tcW w:w="1422" w:type="dxa"/>
          </w:tcPr>
          <w:p w14:paraId="0B2DD87C"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XR</w:t>
            </w:r>
          </w:p>
        </w:tc>
        <w:tc>
          <w:tcPr>
            <w:tcW w:w="3510" w:type="dxa"/>
          </w:tcPr>
          <w:p w14:paraId="78D6B9A0"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Дистония паркинсонизъм при филипински мъже</w:t>
            </w:r>
          </w:p>
        </w:tc>
        <w:tc>
          <w:tcPr>
            <w:tcW w:w="1310" w:type="dxa"/>
          </w:tcPr>
          <w:p w14:paraId="609C323F"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TAF1</w:t>
            </w:r>
          </w:p>
        </w:tc>
        <w:tc>
          <w:tcPr>
            <w:tcW w:w="992" w:type="dxa"/>
          </w:tcPr>
          <w:p w14:paraId="6340964B"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Да, с научна цел</w:t>
            </w:r>
          </w:p>
        </w:tc>
      </w:tr>
      <w:tr w:rsidR="00BE0B19" w:rsidRPr="00AE47C6" w14:paraId="64ADC436" w14:textId="77777777" w:rsidTr="00AD72E5">
        <w:tc>
          <w:tcPr>
            <w:tcW w:w="1985" w:type="dxa"/>
          </w:tcPr>
          <w:p w14:paraId="0D9CD3EF"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DYT4, шепнеща дистония</w:t>
            </w:r>
          </w:p>
        </w:tc>
        <w:tc>
          <w:tcPr>
            <w:tcW w:w="1422" w:type="dxa"/>
          </w:tcPr>
          <w:p w14:paraId="547B2E12"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AD</w:t>
            </w:r>
          </w:p>
        </w:tc>
        <w:tc>
          <w:tcPr>
            <w:tcW w:w="3510" w:type="dxa"/>
          </w:tcPr>
          <w:p w14:paraId="14A355DD"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Ларингеална дистония +/- крайник дистония при австралийско семейство</w:t>
            </w:r>
          </w:p>
        </w:tc>
        <w:tc>
          <w:tcPr>
            <w:tcW w:w="1310" w:type="dxa"/>
          </w:tcPr>
          <w:p w14:paraId="5921B349"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w:t>
            </w:r>
          </w:p>
        </w:tc>
        <w:tc>
          <w:tcPr>
            <w:tcW w:w="992" w:type="dxa"/>
          </w:tcPr>
          <w:p w14:paraId="7CE7D39A"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Не</w:t>
            </w:r>
          </w:p>
        </w:tc>
      </w:tr>
      <w:tr w:rsidR="00BE0B19" w:rsidRPr="00AE47C6" w14:paraId="699BABF4" w14:textId="77777777" w:rsidTr="00AD72E5">
        <w:tc>
          <w:tcPr>
            <w:tcW w:w="1985" w:type="dxa"/>
          </w:tcPr>
          <w:p w14:paraId="794D42D3"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DYT5</w:t>
            </w:r>
          </w:p>
          <w:p w14:paraId="2409987B"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Дистония, отговаряща на леводопа</w:t>
            </w:r>
          </w:p>
        </w:tc>
        <w:tc>
          <w:tcPr>
            <w:tcW w:w="1422" w:type="dxa"/>
          </w:tcPr>
          <w:p w14:paraId="1F2B7C07"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AD</w:t>
            </w:r>
          </w:p>
        </w:tc>
        <w:tc>
          <w:tcPr>
            <w:tcW w:w="3510" w:type="dxa"/>
          </w:tcPr>
          <w:p w14:paraId="6241EE1C"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Дистония паркинсонизъм, отговарящ на леводопа, с ранно начало</w:t>
            </w:r>
          </w:p>
        </w:tc>
        <w:tc>
          <w:tcPr>
            <w:tcW w:w="1310" w:type="dxa"/>
          </w:tcPr>
          <w:p w14:paraId="165892A6" w14:textId="77777777" w:rsidR="00BE0B19" w:rsidRPr="00AE47C6" w:rsidRDefault="00BE0B19" w:rsidP="00BE0B19">
            <w:pPr>
              <w:spacing w:after="0" w:line="360" w:lineRule="auto"/>
              <w:jc w:val="both"/>
              <w:rPr>
                <w:rFonts w:ascii="Times New Roman" w:hAnsi="Times New Roman"/>
                <w:i/>
                <w:color w:val="000000" w:themeColor="text1"/>
                <w:sz w:val="24"/>
                <w:szCs w:val="24"/>
              </w:rPr>
            </w:pPr>
            <w:r w:rsidRPr="00AE47C6">
              <w:rPr>
                <w:rFonts w:ascii="Times New Roman" w:hAnsi="Times New Roman"/>
                <w:i/>
                <w:color w:val="000000" w:themeColor="text1"/>
                <w:sz w:val="24"/>
                <w:szCs w:val="24"/>
              </w:rPr>
              <w:t>GTPCH1</w:t>
            </w:r>
          </w:p>
        </w:tc>
        <w:tc>
          <w:tcPr>
            <w:tcW w:w="992" w:type="dxa"/>
          </w:tcPr>
          <w:p w14:paraId="5EFEA20D"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Да</w:t>
            </w:r>
          </w:p>
        </w:tc>
      </w:tr>
      <w:tr w:rsidR="00BE0B19" w:rsidRPr="00AE47C6" w14:paraId="5A043760" w14:textId="77777777" w:rsidTr="00AD72E5">
        <w:tc>
          <w:tcPr>
            <w:tcW w:w="1985" w:type="dxa"/>
          </w:tcPr>
          <w:p w14:paraId="1420AAAD"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DYT6</w:t>
            </w:r>
          </w:p>
        </w:tc>
        <w:tc>
          <w:tcPr>
            <w:tcW w:w="1422" w:type="dxa"/>
          </w:tcPr>
          <w:p w14:paraId="44406C10"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AD</w:t>
            </w:r>
          </w:p>
        </w:tc>
        <w:tc>
          <w:tcPr>
            <w:tcW w:w="3510" w:type="dxa"/>
          </w:tcPr>
          <w:p w14:paraId="767E8B02"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Две Mennonite фамилии, с вариабилна изява на първична кранио-цервикална и крайник дистония</w:t>
            </w:r>
          </w:p>
        </w:tc>
        <w:tc>
          <w:tcPr>
            <w:tcW w:w="1310" w:type="dxa"/>
          </w:tcPr>
          <w:p w14:paraId="6FA7CCD3"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Свързана с 8p21-p22</w:t>
            </w:r>
          </w:p>
        </w:tc>
        <w:tc>
          <w:tcPr>
            <w:tcW w:w="992" w:type="dxa"/>
          </w:tcPr>
          <w:p w14:paraId="1369B9A9"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Не</w:t>
            </w:r>
          </w:p>
        </w:tc>
      </w:tr>
      <w:tr w:rsidR="00BE0B19" w:rsidRPr="00AE47C6" w14:paraId="602C57F5" w14:textId="77777777" w:rsidTr="00AD72E5">
        <w:tc>
          <w:tcPr>
            <w:tcW w:w="1985" w:type="dxa"/>
          </w:tcPr>
          <w:p w14:paraId="6ECD3371"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DYT7</w:t>
            </w:r>
          </w:p>
        </w:tc>
        <w:tc>
          <w:tcPr>
            <w:tcW w:w="1422" w:type="dxa"/>
          </w:tcPr>
          <w:p w14:paraId="513B6086"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AD</w:t>
            </w:r>
          </w:p>
        </w:tc>
        <w:tc>
          <w:tcPr>
            <w:tcW w:w="3510" w:type="dxa"/>
          </w:tcPr>
          <w:p w14:paraId="6DF2D2DD"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Немско семейство с първична кранио-цервикална дистония</w:t>
            </w:r>
          </w:p>
        </w:tc>
        <w:tc>
          <w:tcPr>
            <w:tcW w:w="1310" w:type="dxa"/>
          </w:tcPr>
          <w:p w14:paraId="17904E7D"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Свързана с 18p</w:t>
            </w:r>
          </w:p>
        </w:tc>
        <w:tc>
          <w:tcPr>
            <w:tcW w:w="992" w:type="dxa"/>
          </w:tcPr>
          <w:p w14:paraId="161FE1F6"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Не</w:t>
            </w:r>
          </w:p>
        </w:tc>
      </w:tr>
      <w:tr w:rsidR="00BE0B19" w:rsidRPr="00AE47C6" w14:paraId="0A474368" w14:textId="77777777" w:rsidTr="00AD72E5">
        <w:tc>
          <w:tcPr>
            <w:tcW w:w="1985" w:type="dxa"/>
          </w:tcPr>
          <w:p w14:paraId="203737AF"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DYT8, PNKD</w:t>
            </w:r>
          </w:p>
        </w:tc>
        <w:tc>
          <w:tcPr>
            <w:tcW w:w="1422" w:type="dxa"/>
          </w:tcPr>
          <w:p w14:paraId="015FFAB6"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AD</w:t>
            </w:r>
          </w:p>
        </w:tc>
        <w:tc>
          <w:tcPr>
            <w:tcW w:w="3510" w:type="dxa"/>
          </w:tcPr>
          <w:p w14:paraId="5A21CC31"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Пристъпи на дистония и хорея, усилващи се от прием на кафе, алкохол, умора</w:t>
            </w:r>
          </w:p>
        </w:tc>
        <w:tc>
          <w:tcPr>
            <w:tcW w:w="1310" w:type="dxa"/>
          </w:tcPr>
          <w:p w14:paraId="5DA356DB"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Миофибрило-генезен регулаторен-1 ген</w:t>
            </w:r>
          </w:p>
        </w:tc>
        <w:tc>
          <w:tcPr>
            <w:tcW w:w="992" w:type="dxa"/>
          </w:tcPr>
          <w:p w14:paraId="5E47F9CE"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Да, с научна цел</w:t>
            </w:r>
          </w:p>
        </w:tc>
      </w:tr>
      <w:tr w:rsidR="00BE0B19" w:rsidRPr="00AE47C6" w14:paraId="09920B37" w14:textId="77777777" w:rsidTr="00AD72E5">
        <w:tc>
          <w:tcPr>
            <w:tcW w:w="1985" w:type="dxa"/>
          </w:tcPr>
          <w:p w14:paraId="6AF1B203"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DYT9</w:t>
            </w:r>
          </w:p>
        </w:tc>
        <w:tc>
          <w:tcPr>
            <w:tcW w:w="1422" w:type="dxa"/>
          </w:tcPr>
          <w:p w14:paraId="554716FF"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AD</w:t>
            </w:r>
          </w:p>
        </w:tc>
        <w:tc>
          <w:tcPr>
            <w:tcW w:w="3510" w:type="dxa"/>
          </w:tcPr>
          <w:p w14:paraId="234A22DC"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Епизодична хорея и атаксия с прогресираща интериктална спастичност</w:t>
            </w:r>
          </w:p>
        </w:tc>
        <w:tc>
          <w:tcPr>
            <w:tcW w:w="1310" w:type="dxa"/>
          </w:tcPr>
          <w:p w14:paraId="6E280CD0"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Свързана с 1p</w:t>
            </w:r>
          </w:p>
        </w:tc>
        <w:tc>
          <w:tcPr>
            <w:tcW w:w="992" w:type="dxa"/>
          </w:tcPr>
          <w:p w14:paraId="11807EED"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Не</w:t>
            </w:r>
          </w:p>
        </w:tc>
      </w:tr>
      <w:tr w:rsidR="00BE0B19" w:rsidRPr="00AE47C6" w14:paraId="1B3BD7B7" w14:textId="77777777" w:rsidTr="00AD72E5">
        <w:tc>
          <w:tcPr>
            <w:tcW w:w="1985" w:type="dxa"/>
          </w:tcPr>
          <w:p w14:paraId="42C4EA89"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DYT10, PKD</w:t>
            </w:r>
          </w:p>
        </w:tc>
        <w:tc>
          <w:tcPr>
            <w:tcW w:w="1422" w:type="dxa"/>
          </w:tcPr>
          <w:p w14:paraId="17667465"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AD</w:t>
            </w:r>
          </w:p>
        </w:tc>
        <w:tc>
          <w:tcPr>
            <w:tcW w:w="3510" w:type="dxa"/>
          </w:tcPr>
          <w:p w14:paraId="508C0C60"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Епизоди на хорея и дистония, засилващи се при внезапно движение</w:t>
            </w:r>
          </w:p>
        </w:tc>
        <w:tc>
          <w:tcPr>
            <w:tcW w:w="1310" w:type="dxa"/>
          </w:tcPr>
          <w:p w14:paraId="27C395DE"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Свързани с центромерния регион на 16 хромозома</w:t>
            </w:r>
          </w:p>
        </w:tc>
        <w:tc>
          <w:tcPr>
            <w:tcW w:w="992" w:type="dxa"/>
          </w:tcPr>
          <w:p w14:paraId="15593B12"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Не</w:t>
            </w:r>
          </w:p>
        </w:tc>
      </w:tr>
      <w:tr w:rsidR="00BE0B19" w:rsidRPr="00AE47C6" w14:paraId="40C9340A" w14:textId="77777777" w:rsidTr="00AD72E5">
        <w:tc>
          <w:tcPr>
            <w:tcW w:w="1985" w:type="dxa"/>
          </w:tcPr>
          <w:p w14:paraId="61CF4778"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DYT11</w:t>
            </w:r>
          </w:p>
          <w:p w14:paraId="67F5A514"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Миоклонус дистония</w:t>
            </w:r>
          </w:p>
        </w:tc>
        <w:tc>
          <w:tcPr>
            <w:tcW w:w="1422" w:type="dxa"/>
          </w:tcPr>
          <w:p w14:paraId="55CACBFA"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AD</w:t>
            </w:r>
          </w:p>
        </w:tc>
        <w:tc>
          <w:tcPr>
            <w:tcW w:w="3510" w:type="dxa"/>
          </w:tcPr>
          <w:p w14:paraId="60001C3F"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Миоклонус и дистония</w:t>
            </w:r>
          </w:p>
        </w:tc>
        <w:tc>
          <w:tcPr>
            <w:tcW w:w="1310" w:type="dxa"/>
          </w:tcPr>
          <w:p w14:paraId="7F488256"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Епсилон саркогликан ген</w:t>
            </w:r>
          </w:p>
        </w:tc>
        <w:tc>
          <w:tcPr>
            <w:tcW w:w="992" w:type="dxa"/>
          </w:tcPr>
          <w:p w14:paraId="1BBD1B33"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Да</w:t>
            </w:r>
          </w:p>
        </w:tc>
      </w:tr>
      <w:tr w:rsidR="00BE0B19" w:rsidRPr="00AE47C6" w14:paraId="6028463A" w14:textId="77777777" w:rsidTr="00AD72E5">
        <w:tc>
          <w:tcPr>
            <w:tcW w:w="1985" w:type="dxa"/>
          </w:tcPr>
          <w:p w14:paraId="01DE4C89"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DYT12</w:t>
            </w:r>
          </w:p>
          <w:p w14:paraId="482AE2A2"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Бързо прогресиращ синдром на дистония паркинсонизъм</w:t>
            </w:r>
          </w:p>
        </w:tc>
        <w:tc>
          <w:tcPr>
            <w:tcW w:w="1422" w:type="dxa"/>
          </w:tcPr>
          <w:p w14:paraId="304549E8"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AD</w:t>
            </w:r>
          </w:p>
        </w:tc>
        <w:tc>
          <w:tcPr>
            <w:tcW w:w="3510" w:type="dxa"/>
          </w:tcPr>
          <w:p w14:paraId="6D3106B8"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Остро настъпваща дистония, след инфекция, физическо усилие</w:t>
            </w:r>
          </w:p>
        </w:tc>
        <w:tc>
          <w:tcPr>
            <w:tcW w:w="1310" w:type="dxa"/>
          </w:tcPr>
          <w:p w14:paraId="0CDBBEF4"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ATP1A3</w:t>
            </w:r>
          </w:p>
        </w:tc>
        <w:tc>
          <w:tcPr>
            <w:tcW w:w="992" w:type="dxa"/>
          </w:tcPr>
          <w:p w14:paraId="65393EBA"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Да, с научна цел</w:t>
            </w:r>
          </w:p>
        </w:tc>
      </w:tr>
      <w:tr w:rsidR="00BE0B19" w:rsidRPr="00AE47C6" w14:paraId="2133D78F" w14:textId="77777777" w:rsidTr="00AD72E5">
        <w:tc>
          <w:tcPr>
            <w:tcW w:w="1985" w:type="dxa"/>
          </w:tcPr>
          <w:p w14:paraId="041B050D"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DYT13</w:t>
            </w:r>
          </w:p>
        </w:tc>
        <w:tc>
          <w:tcPr>
            <w:tcW w:w="1422" w:type="dxa"/>
          </w:tcPr>
          <w:p w14:paraId="1B9D7F5E"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AD</w:t>
            </w:r>
          </w:p>
        </w:tc>
        <w:tc>
          <w:tcPr>
            <w:tcW w:w="3510" w:type="dxa"/>
          </w:tcPr>
          <w:p w14:paraId="042C031B"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Италианска фамилия с първична кранио-цервикална дистония</w:t>
            </w:r>
          </w:p>
        </w:tc>
        <w:tc>
          <w:tcPr>
            <w:tcW w:w="1310" w:type="dxa"/>
          </w:tcPr>
          <w:p w14:paraId="277FE100"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Свързана с 1p36.13-36.32</w:t>
            </w:r>
          </w:p>
        </w:tc>
        <w:tc>
          <w:tcPr>
            <w:tcW w:w="992" w:type="dxa"/>
          </w:tcPr>
          <w:p w14:paraId="6FE78DB2"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Не</w:t>
            </w:r>
          </w:p>
        </w:tc>
      </w:tr>
      <w:tr w:rsidR="00BE0B19" w:rsidRPr="00AE47C6" w14:paraId="14837D6D" w14:textId="77777777" w:rsidTr="00AD72E5">
        <w:tc>
          <w:tcPr>
            <w:tcW w:w="1985" w:type="dxa"/>
          </w:tcPr>
          <w:p w14:paraId="5CE14005"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DYT14</w:t>
            </w:r>
          </w:p>
        </w:tc>
        <w:tc>
          <w:tcPr>
            <w:tcW w:w="1422" w:type="dxa"/>
          </w:tcPr>
          <w:p w14:paraId="4861ED10"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w:t>
            </w:r>
          </w:p>
        </w:tc>
        <w:tc>
          <w:tcPr>
            <w:tcW w:w="3510" w:type="dxa"/>
          </w:tcPr>
          <w:p w14:paraId="6FD05235"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Леводопа-отговаряща дистония паркинсонизъм</w:t>
            </w:r>
          </w:p>
        </w:tc>
        <w:tc>
          <w:tcPr>
            <w:tcW w:w="1310" w:type="dxa"/>
          </w:tcPr>
          <w:p w14:paraId="25EE9B77"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Свързана с 14q13 извън региона за  GTRPCH1 гена</w:t>
            </w:r>
          </w:p>
        </w:tc>
        <w:tc>
          <w:tcPr>
            <w:tcW w:w="992" w:type="dxa"/>
          </w:tcPr>
          <w:p w14:paraId="4DCEE066"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Не</w:t>
            </w:r>
          </w:p>
        </w:tc>
      </w:tr>
      <w:tr w:rsidR="00BE0B19" w:rsidRPr="00AE47C6" w14:paraId="562645CE" w14:textId="77777777" w:rsidTr="00AD72E5">
        <w:tc>
          <w:tcPr>
            <w:tcW w:w="1985" w:type="dxa"/>
          </w:tcPr>
          <w:p w14:paraId="136F864F"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DYT15</w:t>
            </w:r>
          </w:p>
          <w:p w14:paraId="388031A8"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Миоклонус дистония</w:t>
            </w:r>
          </w:p>
        </w:tc>
        <w:tc>
          <w:tcPr>
            <w:tcW w:w="1422" w:type="dxa"/>
          </w:tcPr>
          <w:p w14:paraId="28FDD346"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AD</w:t>
            </w:r>
          </w:p>
        </w:tc>
        <w:tc>
          <w:tcPr>
            <w:tcW w:w="3510" w:type="dxa"/>
          </w:tcPr>
          <w:p w14:paraId="2C9EE4B8"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Миоклонус дистония</w:t>
            </w:r>
          </w:p>
        </w:tc>
        <w:tc>
          <w:tcPr>
            <w:tcW w:w="1310" w:type="dxa"/>
          </w:tcPr>
          <w:p w14:paraId="66B93AD6"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Свързана с 18p11</w:t>
            </w:r>
          </w:p>
        </w:tc>
        <w:tc>
          <w:tcPr>
            <w:tcW w:w="992" w:type="dxa"/>
          </w:tcPr>
          <w:p w14:paraId="6B131555"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Не</w:t>
            </w:r>
          </w:p>
        </w:tc>
      </w:tr>
      <w:tr w:rsidR="00BE0B19" w:rsidRPr="00AE47C6" w14:paraId="56F9C7A8" w14:textId="77777777" w:rsidTr="00AD72E5">
        <w:tc>
          <w:tcPr>
            <w:tcW w:w="9219" w:type="dxa"/>
            <w:gridSpan w:val="5"/>
          </w:tcPr>
          <w:p w14:paraId="1550C748"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AD, автозомно-доминантно; AR, автозомно-рецесивно; XR, X-свързана рецесивно; GTPCH1, гуанизин трифосфат циклохидролаза 1; PNKD, пароксизмална не-кинезигенна дискинезия; PKD, пароксизмална кинезигенна дискинезия</w:t>
            </w:r>
          </w:p>
        </w:tc>
      </w:tr>
    </w:tbl>
    <w:p w14:paraId="476D6234"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4A5D4D7D"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r w:rsidRPr="00AE47C6">
        <w:rPr>
          <w:rFonts w:ascii="Times New Roman" w:eastAsia="SimSun" w:hAnsi="Times New Roman"/>
          <w:b/>
          <w:bCs/>
          <w:sz w:val="24"/>
          <w:szCs w:val="24"/>
          <w:lang w:eastAsia="bg-BG"/>
        </w:rPr>
        <w:t>Патогенезата</w:t>
      </w:r>
      <w:r w:rsidRPr="00AE47C6">
        <w:rPr>
          <w:rFonts w:ascii="Times New Roman" w:eastAsia="SimSun" w:hAnsi="Times New Roman"/>
          <w:sz w:val="24"/>
          <w:szCs w:val="24"/>
          <w:lang w:eastAsia="bg-BG"/>
        </w:rPr>
        <w:t xml:space="preserve"> е свързана с </w:t>
      </w:r>
      <w:r w:rsidRPr="00AE47C6">
        <w:rPr>
          <w:rFonts w:ascii="Times New Roman" w:eastAsia="SimSun" w:hAnsi="Times New Roman"/>
          <w:iCs/>
          <w:sz w:val="24"/>
          <w:szCs w:val="24"/>
          <w:lang w:eastAsia="en-GB"/>
        </w:rPr>
        <w:t xml:space="preserve">нарушена интерневронна инхибиция на нива базални ганглии, кора, мозъчен ствол, гръбначен мозък. </w:t>
      </w:r>
      <w:r w:rsidRPr="00AE47C6">
        <w:rPr>
          <w:rFonts w:ascii="Times New Roman" w:eastAsia="SimSun" w:hAnsi="Times New Roman"/>
          <w:sz w:val="24"/>
          <w:szCs w:val="24"/>
          <w:lang w:eastAsia="bg-BG"/>
        </w:rPr>
        <w:t>Нарушена е инхибиторната активност както в моторните, така и в сензорните системи, с повишена пластичност на централната нервна система.</w:t>
      </w:r>
    </w:p>
    <w:p w14:paraId="7872A420"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Класификацията</w:t>
      </w:r>
      <w:r w:rsidRPr="00AE47C6">
        <w:rPr>
          <w:rFonts w:ascii="Times New Roman" w:eastAsia="SimSun" w:hAnsi="Times New Roman"/>
          <w:sz w:val="24"/>
          <w:szCs w:val="24"/>
          <w:lang w:eastAsia="bg-BG"/>
        </w:rPr>
        <w:t xml:space="preserve"> предполага мултидиагностичен подход и се извършва основно по две направления - клинични характеристики и етиология (Табл. 6.4.). Клиничната характеристика включва възрастта на изява на заболяването, анатомичното разпределение на симптоматиката, времеви аспекти и асоциирани характеристики. Въз основа на клиничните характеристики дистониите се подразделят на изолирана (преди наричана първична) и комбинирана дистония (вторични, дистония-плюс синдроми и хередодегенеративни). Според етиологията дистониите се подразделят на такива, вследствие на определена патология на нервната система, унаследени, придобити или идиопатични. </w:t>
      </w:r>
    </w:p>
    <w:p w14:paraId="610F5928" w14:textId="77777777" w:rsidR="00BE0B19" w:rsidRPr="00AE47C6" w:rsidRDefault="00BE0B19" w:rsidP="00BE0B19">
      <w:pPr>
        <w:spacing w:after="0" w:line="360" w:lineRule="auto"/>
        <w:jc w:val="both"/>
        <w:rPr>
          <w:rFonts w:ascii="Times New Roman" w:eastAsia="SimSun" w:hAnsi="Times New Roman"/>
          <w:b/>
          <w:color w:val="000000"/>
          <w:sz w:val="24"/>
          <w:szCs w:val="24"/>
          <w:lang w:eastAsia="bg-BG"/>
        </w:rPr>
      </w:pPr>
      <w:r w:rsidRPr="00AE47C6">
        <w:rPr>
          <w:rFonts w:ascii="Times New Roman" w:eastAsia="SimSun" w:hAnsi="Times New Roman"/>
          <w:b/>
          <w:color w:val="000000"/>
          <w:sz w:val="24"/>
          <w:szCs w:val="24"/>
          <w:lang w:eastAsia="bg-BG"/>
        </w:rPr>
        <w:t>Таблица 6.4. Класификация на дистониите</w:t>
      </w:r>
    </w:p>
    <w:tbl>
      <w:tblPr>
        <w:tblStyle w:val="TableGrid2"/>
        <w:tblW w:w="0" w:type="auto"/>
        <w:tblLook w:val="04A0" w:firstRow="1" w:lastRow="0" w:firstColumn="1" w:lastColumn="0" w:noHBand="0" w:noVBand="1"/>
      </w:tblPr>
      <w:tblGrid>
        <w:gridCol w:w="3193"/>
        <w:gridCol w:w="2061"/>
        <w:gridCol w:w="3806"/>
      </w:tblGrid>
      <w:tr w:rsidR="00BE0B19" w:rsidRPr="00AE47C6" w14:paraId="0A9D9758" w14:textId="77777777" w:rsidTr="00AD72E5">
        <w:tc>
          <w:tcPr>
            <w:tcW w:w="0" w:type="auto"/>
            <w:shd w:val="clear" w:color="auto" w:fill="auto"/>
            <w:hideMark/>
          </w:tcPr>
          <w:p w14:paraId="24DC4559" w14:textId="77777777" w:rsidR="00BE0B19" w:rsidRPr="00AE47C6" w:rsidRDefault="00BE0B19" w:rsidP="00BE0B19">
            <w:pPr>
              <w:spacing w:after="0" w:line="360" w:lineRule="auto"/>
              <w:jc w:val="both"/>
              <w:rPr>
                <w:rFonts w:ascii="Times New Roman" w:hAnsi="Times New Roman"/>
                <w:b/>
                <w:bCs/>
                <w:sz w:val="24"/>
                <w:szCs w:val="24"/>
                <w:lang w:eastAsia="bg-BG"/>
              </w:rPr>
            </w:pPr>
            <w:r w:rsidRPr="00AE47C6">
              <w:rPr>
                <w:rFonts w:ascii="Times New Roman" w:hAnsi="Times New Roman"/>
                <w:b/>
                <w:bCs/>
                <w:sz w:val="24"/>
                <w:szCs w:val="24"/>
                <w:lang w:eastAsia="bg-BG"/>
              </w:rPr>
              <w:t>Направления</w:t>
            </w:r>
          </w:p>
        </w:tc>
        <w:tc>
          <w:tcPr>
            <w:tcW w:w="0" w:type="auto"/>
            <w:shd w:val="clear" w:color="auto" w:fill="auto"/>
            <w:hideMark/>
          </w:tcPr>
          <w:p w14:paraId="315D3DCD" w14:textId="77777777" w:rsidR="00BE0B19" w:rsidRPr="00AE47C6" w:rsidRDefault="00BE0B19" w:rsidP="00BE0B19">
            <w:pPr>
              <w:spacing w:after="0" w:line="360" w:lineRule="auto"/>
              <w:jc w:val="both"/>
              <w:rPr>
                <w:rFonts w:ascii="Times New Roman" w:hAnsi="Times New Roman"/>
                <w:b/>
                <w:bCs/>
                <w:sz w:val="24"/>
                <w:szCs w:val="24"/>
                <w:lang w:eastAsia="bg-BG"/>
              </w:rPr>
            </w:pPr>
            <w:r w:rsidRPr="00AE47C6">
              <w:rPr>
                <w:rFonts w:ascii="Times New Roman" w:hAnsi="Times New Roman"/>
                <w:b/>
                <w:bCs/>
                <w:sz w:val="24"/>
                <w:szCs w:val="24"/>
                <w:lang w:eastAsia="bg-BG"/>
              </w:rPr>
              <w:t>Измерение на класификацията</w:t>
            </w:r>
          </w:p>
        </w:tc>
        <w:tc>
          <w:tcPr>
            <w:tcW w:w="0" w:type="auto"/>
            <w:shd w:val="clear" w:color="auto" w:fill="auto"/>
            <w:hideMark/>
          </w:tcPr>
          <w:p w14:paraId="6118AC79" w14:textId="77777777" w:rsidR="00BE0B19" w:rsidRPr="00AE47C6" w:rsidRDefault="00BE0B19" w:rsidP="00BE0B19">
            <w:pPr>
              <w:spacing w:after="0" w:line="360" w:lineRule="auto"/>
              <w:jc w:val="both"/>
              <w:rPr>
                <w:rFonts w:ascii="Times New Roman" w:hAnsi="Times New Roman"/>
                <w:b/>
                <w:bCs/>
                <w:sz w:val="24"/>
                <w:szCs w:val="24"/>
                <w:lang w:eastAsia="bg-BG"/>
              </w:rPr>
            </w:pPr>
            <w:r w:rsidRPr="00AE47C6">
              <w:rPr>
                <w:rFonts w:ascii="Times New Roman" w:hAnsi="Times New Roman"/>
                <w:b/>
                <w:bCs/>
                <w:sz w:val="24"/>
                <w:szCs w:val="24"/>
                <w:lang w:eastAsia="bg-BG"/>
              </w:rPr>
              <w:t>Подгрупи</w:t>
            </w:r>
          </w:p>
        </w:tc>
      </w:tr>
      <w:tr w:rsidR="00BE0B19" w:rsidRPr="00AE47C6" w14:paraId="1DF1B47A" w14:textId="77777777" w:rsidTr="00AD72E5">
        <w:tc>
          <w:tcPr>
            <w:tcW w:w="0" w:type="auto"/>
            <w:vMerge w:val="restart"/>
            <w:hideMark/>
          </w:tcPr>
          <w:p w14:paraId="5AC3C855" w14:textId="77777777" w:rsidR="00BE0B19" w:rsidRPr="00AE47C6" w:rsidRDefault="00BE0B19" w:rsidP="00BE0B19">
            <w:pPr>
              <w:spacing w:after="0" w:line="360" w:lineRule="auto"/>
              <w:jc w:val="both"/>
              <w:rPr>
                <w:rFonts w:ascii="Times New Roman" w:hAnsi="Times New Roman"/>
                <w:b/>
                <w:sz w:val="24"/>
                <w:szCs w:val="24"/>
                <w:lang w:eastAsia="bg-BG"/>
              </w:rPr>
            </w:pPr>
            <w:r w:rsidRPr="00AE47C6">
              <w:rPr>
                <w:rFonts w:ascii="Times New Roman" w:hAnsi="Times New Roman"/>
                <w:b/>
                <w:sz w:val="24"/>
                <w:szCs w:val="24"/>
                <w:lang w:eastAsia="bg-BG"/>
              </w:rPr>
              <w:t xml:space="preserve">Направление I: </w:t>
            </w:r>
          </w:p>
          <w:p w14:paraId="23E95C04" w14:textId="77777777" w:rsidR="00BE0B19" w:rsidRPr="00AE47C6" w:rsidRDefault="00BE0B19" w:rsidP="00BE0B19">
            <w:pPr>
              <w:spacing w:after="0" w:line="360" w:lineRule="auto"/>
              <w:jc w:val="both"/>
              <w:rPr>
                <w:rFonts w:ascii="Times New Roman" w:hAnsi="Times New Roman"/>
                <w:b/>
                <w:sz w:val="24"/>
                <w:szCs w:val="24"/>
                <w:lang w:eastAsia="bg-BG"/>
              </w:rPr>
            </w:pPr>
            <w:r w:rsidRPr="00AE47C6">
              <w:rPr>
                <w:rFonts w:ascii="Times New Roman" w:hAnsi="Times New Roman"/>
                <w:b/>
                <w:sz w:val="24"/>
                <w:szCs w:val="24"/>
                <w:lang w:eastAsia="bg-BG"/>
              </w:rPr>
              <w:t>Клинични характеристики</w:t>
            </w:r>
          </w:p>
        </w:tc>
        <w:tc>
          <w:tcPr>
            <w:tcW w:w="0" w:type="auto"/>
            <w:vMerge w:val="restart"/>
            <w:hideMark/>
          </w:tcPr>
          <w:p w14:paraId="4A7BD7F3"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Възраст на изява</w:t>
            </w:r>
          </w:p>
        </w:tc>
        <w:tc>
          <w:tcPr>
            <w:tcW w:w="0" w:type="auto"/>
            <w:hideMark/>
          </w:tcPr>
          <w:p w14:paraId="0C185E98"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Инфантилна (до 2 г.)</w:t>
            </w:r>
          </w:p>
        </w:tc>
      </w:tr>
      <w:tr w:rsidR="00BE0B19" w:rsidRPr="00AE47C6" w14:paraId="3F5E376F" w14:textId="77777777" w:rsidTr="00AD72E5">
        <w:tc>
          <w:tcPr>
            <w:tcW w:w="0" w:type="auto"/>
            <w:vMerge/>
            <w:hideMark/>
          </w:tcPr>
          <w:p w14:paraId="5CA57C31"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vMerge/>
            <w:hideMark/>
          </w:tcPr>
          <w:p w14:paraId="539A55C4"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hideMark/>
          </w:tcPr>
          <w:p w14:paraId="62D9249B"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В детска възраст (3–12 г.)</w:t>
            </w:r>
          </w:p>
        </w:tc>
      </w:tr>
      <w:tr w:rsidR="00BE0B19" w:rsidRPr="00AE47C6" w14:paraId="2E45FEFF" w14:textId="77777777" w:rsidTr="00AD72E5">
        <w:tc>
          <w:tcPr>
            <w:tcW w:w="0" w:type="auto"/>
            <w:vMerge/>
            <w:hideMark/>
          </w:tcPr>
          <w:p w14:paraId="1C817119"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vMerge/>
            <w:hideMark/>
          </w:tcPr>
          <w:p w14:paraId="2CDC8268"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hideMark/>
          </w:tcPr>
          <w:p w14:paraId="22839DB5"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При подрастващи (13–20 г.)</w:t>
            </w:r>
          </w:p>
        </w:tc>
      </w:tr>
      <w:tr w:rsidR="00BE0B19" w:rsidRPr="00AE47C6" w14:paraId="335F3315" w14:textId="77777777" w:rsidTr="00AD72E5">
        <w:tc>
          <w:tcPr>
            <w:tcW w:w="0" w:type="auto"/>
            <w:vMerge/>
            <w:hideMark/>
          </w:tcPr>
          <w:p w14:paraId="4E545919"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vMerge/>
            <w:hideMark/>
          </w:tcPr>
          <w:p w14:paraId="14EAF378"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hideMark/>
          </w:tcPr>
          <w:p w14:paraId="148AFED7"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В ранна възраст (21–40 г.)</w:t>
            </w:r>
          </w:p>
        </w:tc>
      </w:tr>
      <w:tr w:rsidR="00BE0B19" w:rsidRPr="00AE47C6" w14:paraId="57AF8FB9" w14:textId="77777777" w:rsidTr="00AD72E5">
        <w:tc>
          <w:tcPr>
            <w:tcW w:w="0" w:type="auto"/>
            <w:vMerge/>
            <w:hideMark/>
          </w:tcPr>
          <w:p w14:paraId="66377036"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vMerge/>
            <w:hideMark/>
          </w:tcPr>
          <w:p w14:paraId="77D8C1AC"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hideMark/>
          </w:tcPr>
          <w:p w14:paraId="518ADF91"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В късна възраст (над 40 г.)</w:t>
            </w:r>
          </w:p>
        </w:tc>
      </w:tr>
      <w:tr w:rsidR="00BE0B19" w:rsidRPr="00AE47C6" w14:paraId="3DCD9F17" w14:textId="77777777" w:rsidTr="00AD72E5">
        <w:tc>
          <w:tcPr>
            <w:tcW w:w="0" w:type="auto"/>
            <w:vMerge/>
            <w:hideMark/>
          </w:tcPr>
          <w:p w14:paraId="05298214"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vMerge w:val="restart"/>
            <w:hideMark/>
          </w:tcPr>
          <w:p w14:paraId="246FF2E3"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Анатомично разпределение</w:t>
            </w:r>
          </w:p>
        </w:tc>
        <w:tc>
          <w:tcPr>
            <w:tcW w:w="0" w:type="auto"/>
            <w:hideMark/>
          </w:tcPr>
          <w:p w14:paraId="75C5BC16"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Фокална (обхваща изолирана част на тялото, напр. ръка)</w:t>
            </w:r>
          </w:p>
        </w:tc>
      </w:tr>
      <w:tr w:rsidR="00BE0B19" w:rsidRPr="00AE47C6" w14:paraId="01C363AC" w14:textId="77777777" w:rsidTr="00AD72E5">
        <w:tc>
          <w:tcPr>
            <w:tcW w:w="0" w:type="auto"/>
            <w:vMerge/>
            <w:hideMark/>
          </w:tcPr>
          <w:p w14:paraId="145CFC04"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vMerge/>
            <w:hideMark/>
          </w:tcPr>
          <w:p w14:paraId="4E3CE3F1"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hideMark/>
          </w:tcPr>
          <w:p w14:paraId="11018120"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Сегментна (2 или повече съседни части на тялото, напр. ръка и шия)</w:t>
            </w:r>
          </w:p>
        </w:tc>
      </w:tr>
      <w:tr w:rsidR="00BE0B19" w:rsidRPr="00AE47C6" w14:paraId="4C08667D" w14:textId="77777777" w:rsidTr="00AD72E5">
        <w:tc>
          <w:tcPr>
            <w:tcW w:w="0" w:type="auto"/>
            <w:vMerge/>
            <w:hideMark/>
          </w:tcPr>
          <w:p w14:paraId="3FD3760E"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vMerge/>
            <w:hideMark/>
          </w:tcPr>
          <w:p w14:paraId="2E64D640"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hideMark/>
          </w:tcPr>
          <w:p w14:paraId="6D7C1397"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Мултифокална (2 или повече несъседни части на тялото)</w:t>
            </w:r>
          </w:p>
        </w:tc>
      </w:tr>
      <w:tr w:rsidR="00BE0B19" w:rsidRPr="00AE47C6" w14:paraId="7D429693" w14:textId="77777777" w:rsidTr="00AD72E5">
        <w:tc>
          <w:tcPr>
            <w:tcW w:w="0" w:type="auto"/>
            <w:vMerge/>
            <w:hideMark/>
          </w:tcPr>
          <w:p w14:paraId="7950B321"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vMerge/>
            <w:hideMark/>
          </w:tcPr>
          <w:p w14:paraId="27F50482"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hideMark/>
          </w:tcPr>
          <w:p w14:paraId="7DBAAB17"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Хемидистония (засяга едната половина на тялото)</w:t>
            </w:r>
          </w:p>
        </w:tc>
      </w:tr>
      <w:tr w:rsidR="00BE0B19" w:rsidRPr="00AE47C6" w14:paraId="3E97F555" w14:textId="77777777" w:rsidTr="00AD72E5">
        <w:tc>
          <w:tcPr>
            <w:tcW w:w="0" w:type="auto"/>
            <w:vMerge/>
            <w:hideMark/>
          </w:tcPr>
          <w:p w14:paraId="7E97841A"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vMerge/>
            <w:hideMark/>
          </w:tcPr>
          <w:p w14:paraId="15B3DFA5"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hideMark/>
          </w:tcPr>
          <w:p w14:paraId="30977CB5"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Генерализирана (торса плюс 2 други региона)</w:t>
            </w:r>
          </w:p>
        </w:tc>
      </w:tr>
      <w:tr w:rsidR="00BE0B19" w:rsidRPr="00AE47C6" w14:paraId="055A78B9" w14:textId="77777777" w:rsidTr="00AD72E5">
        <w:tc>
          <w:tcPr>
            <w:tcW w:w="0" w:type="auto"/>
            <w:vMerge/>
            <w:hideMark/>
          </w:tcPr>
          <w:p w14:paraId="66ABA5F4"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vMerge w:val="restart"/>
            <w:hideMark/>
          </w:tcPr>
          <w:p w14:paraId="620A66F1"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Времеви характеристики</w:t>
            </w:r>
          </w:p>
        </w:tc>
        <w:tc>
          <w:tcPr>
            <w:tcW w:w="0" w:type="auto"/>
            <w:hideMark/>
          </w:tcPr>
          <w:p w14:paraId="441C1B92"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Курс на заболяването (статичен или прогресиращ)</w:t>
            </w:r>
          </w:p>
        </w:tc>
      </w:tr>
      <w:tr w:rsidR="00BE0B19" w:rsidRPr="00AE47C6" w14:paraId="4377BEE4" w14:textId="77777777" w:rsidTr="00AD72E5">
        <w:trPr>
          <w:trHeight w:val="711"/>
        </w:trPr>
        <w:tc>
          <w:tcPr>
            <w:tcW w:w="0" w:type="auto"/>
            <w:vMerge/>
            <w:hideMark/>
          </w:tcPr>
          <w:p w14:paraId="7AD60C06"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vMerge/>
            <w:hideMark/>
          </w:tcPr>
          <w:p w14:paraId="00983294"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hideMark/>
          </w:tcPr>
          <w:p w14:paraId="69D8F68F"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Краткосрочни вариации (напр. персистираща, предизвикана от определено движение, с дневни флуктуации, пароксизмална)</w:t>
            </w:r>
          </w:p>
        </w:tc>
      </w:tr>
      <w:tr w:rsidR="00BE0B19" w:rsidRPr="00AE47C6" w14:paraId="0C0CB241" w14:textId="77777777" w:rsidTr="00AD72E5">
        <w:tc>
          <w:tcPr>
            <w:tcW w:w="0" w:type="auto"/>
            <w:vMerge/>
            <w:hideMark/>
          </w:tcPr>
          <w:p w14:paraId="63E30831"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vMerge w:val="restart"/>
            <w:hideMark/>
          </w:tcPr>
          <w:p w14:paraId="17BE3810"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Асоциирани характеристики</w:t>
            </w:r>
          </w:p>
        </w:tc>
        <w:tc>
          <w:tcPr>
            <w:tcW w:w="0" w:type="auto"/>
            <w:hideMark/>
          </w:tcPr>
          <w:p w14:paraId="777985BE"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Изолирана (с или без тремор)</w:t>
            </w:r>
          </w:p>
        </w:tc>
      </w:tr>
      <w:tr w:rsidR="00BE0B19" w:rsidRPr="00AE47C6" w14:paraId="2AA1D82D" w14:textId="77777777" w:rsidTr="00AD72E5">
        <w:tc>
          <w:tcPr>
            <w:tcW w:w="0" w:type="auto"/>
            <w:vMerge/>
            <w:hideMark/>
          </w:tcPr>
          <w:p w14:paraId="5E1F0E33"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vMerge/>
            <w:hideMark/>
          </w:tcPr>
          <w:p w14:paraId="6870A945" w14:textId="77777777" w:rsidR="00BE0B19" w:rsidRPr="00AE47C6" w:rsidRDefault="00BE0B19" w:rsidP="00BE0B19">
            <w:pPr>
              <w:spacing w:after="0" w:line="360" w:lineRule="auto"/>
              <w:jc w:val="both"/>
              <w:rPr>
                <w:rFonts w:ascii="Times New Roman" w:hAnsi="Times New Roman"/>
                <w:sz w:val="24"/>
                <w:szCs w:val="24"/>
                <w:lang w:eastAsia="bg-BG"/>
              </w:rPr>
            </w:pPr>
          </w:p>
        </w:tc>
        <w:tc>
          <w:tcPr>
            <w:tcW w:w="0" w:type="auto"/>
            <w:hideMark/>
          </w:tcPr>
          <w:p w14:paraId="451AA7BD"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sz w:val="24"/>
                <w:szCs w:val="24"/>
                <w:lang w:eastAsia="bg-BG"/>
              </w:rPr>
              <w:t>Комбинирана (с други неврологични или системни симптоми)</w:t>
            </w:r>
          </w:p>
        </w:tc>
      </w:tr>
      <w:tr w:rsidR="00BE0B19" w:rsidRPr="00AE47C6" w14:paraId="77D15097" w14:textId="77777777" w:rsidTr="00AD72E5">
        <w:tc>
          <w:tcPr>
            <w:tcW w:w="0" w:type="auto"/>
            <w:vMerge w:val="restart"/>
            <w:hideMark/>
          </w:tcPr>
          <w:p w14:paraId="1DEEFA03" w14:textId="77777777" w:rsidR="00BE0B19" w:rsidRPr="00AE47C6" w:rsidRDefault="00BE0B19" w:rsidP="00BE0B19">
            <w:pPr>
              <w:spacing w:after="0" w:line="360" w:lineRule="auto"/>
              <w:jc w:val="both"/>
              <w:rPr>
                <w:rFonts w:ascii="Times New Roman" w:hAnsi="Times New Roman"/>
                <w:b/>
                <w:color w:val="000000"/>
                <w:sz w:val="24"/>
                <w:szCs w:val="24"/>
                <w:lang w:eastAsia="bg-BG"/>
              </w:rPr>
            </w:pPr>
            <w:r w:rsidRPr="00AE47C6">
              <w:rPr>
                <w:rFonts w:ascii="Times New Roman" w:hAnsi="Times New Roman"/>
                <w:b/>
                <w:color w:val="000000"/>
                <w:sz w:val="24"/>
                <w:szCs w:val="24"/>
                <w:lang w:eastAsia="bg-BG"/>
              </w:rPr>
              <w:t>Направление II: Етиология</w:t>
            </w:r>
          </w:p>
        </w:tc>
        <w:tc>
          <w:tcPr>
            <w:tcW w:w="2019" w:type="dxa"/>
            <w:vMerge w:val="restart"/>
            <w:hideMark/>
          </w:tcPr>
          <w:p w14:paraId="73F9F963" w14:textId="77777777" w:rsidR="00BE0B19" w:rsidRPr="00AE47C6" w:rsidRDefault="00BE0B19" w:rsidP="00BE0B19">
            <w:pPr>
              <w:spacing w:after="0" w:line="360" w:lineRule="auto"/>
              <w:jc w:val="both"/>
              <w:rPr>
                <w:rFonts w:ascii="Times New Roman" w:hAnsi="Times New Roman"/>
                <w:color w:val="000000"/>
                <w:sz w:val="24"/>
                <w:szCs w:val="24"/>
                <w:lang w:eastAsia="bg-BG"/>
              </w:rPr>
            </w:pPr>
            <w:r w:rsidRPr="00AE47C6">
              <w:rPr>
                <w:rFonts w:ascii="Times New Roman" w:hAnsi="Times New Roman"/>
                <w:color w:val="000000"/>
                <w:sz w:val="24"/>
                <w:szCs w:val="24"/>
                <w:lang w:eastAsia="bg-BG"/>
              </w:rPr>
              <w:t>Патология на нервната система</w:t>
            </w:r>
          </w:p>
        </w:tc>
        <w:tc>
          <w:tcPr>
            <w:tcW w:w="3806" w:type="dxa"/>
            <w:hideMark/>
          </w:tcPr>
          <w:p w14:paraId="57E142ED" w14:textId="77777777" w:rsidR="00BE0B19" w:rsidRPr="00AE47C6" w:rsidRDefault="00BE0B19" w:rsidP="00BE0B19">
            <w:pPr>
              <w:spacing w:after="0" w:line="360" w:lineRule="auto"/>
              <w:jc w:val="both"/>
              <w:rPr>
                <w:rFonts w:ascii="Times New Roman" w:hAnsi="Times New Roman"/>
                <w:color w:val="000000"/>
                <w:sz w:val="24"/>
                <w:szCs w:val="24"/>
                <w:lang w:eastAsia="bg-BG"/>
              </w:rPr>
            </w:pPr>
            <w:r w:rsidRPr="00AE47C6">
              <w:rPr>
                <w:rFonts w:ascii="Times New Roman" w:hAnsi="Times New Roman"/>
                <w:sz w:val="24"/>
                <w:szCs w:val="24"/>
                <w:lang w:eastAsia="bg-BG"/>
              </w:rPr>
              <w:t>Дегенеративни</w:t>
            </w:r>
          </w:p>
        </w:tc>
      </w:tr>
      <w:tr w:rsidR="00BE0B19" w:rsidRPr="00AE47C6" w14:paraId="190C377A" w14:textId="77777777" w:rsidTr="00AD72E5">
        <w:tc>
          <w:tcPr>
            <w:tcW w:w="0" w:type="auto"/>
            <w:vMerge/>
            <w:hideMark/>
          </w:tcPr>
          <w:p w14:paraId="340DB089" w14:textId="77777777" w:rsidR="00BE0B19" w:rsidRPr="00AE47C6" w:rsidRDefault="00BE0B19" w:rsidP="00BE0B19">
            <w:pPr>
              <w:spacing w:after="0" w:line="360" w:lineRule="auto"/>
              <w:jc w:val="both"/>
              <w:rPr>
                <w:rFonts w:ascii="Times New Roman" w:hAnsi="Times New Roman"/>
                <w:color w:val="000000"/>
                <w:sz w:val="24"/>
                <w:szCs w:val="24"/>
                <w:lang w:eastAsia="bg-BG"/>
              </w:rPr>
            </w:pPr>
          </w:p>
        </w:tc>
        <w:tc>
          <w:tcPr>
            <w:tcW w:w="2019" w:type="dxa"/>
            <w:vMerge/>
            <w:hideMark/>
          </w:tcPr>
          <w:p w14:paraId="0C3A3F08" w14:textId="77777777" w:rsidR="00BE0B19" w:rsidRPr="00AE47C6" w:rsidRDefault="00BE0B19" w:rsidP="00BE0B19">
            <w:pPr>
              <w:spacing w:after="0" w:line="360" w:lineRule="auto"/>
              <w:jc w:val="both"/>
              <w:rPr>
                <w:rFonts w:ascii="Times New Roman" w:hAnsi="Times New Roman"/>
                <w:color w:val="000000"/>
                <w:sz w:val="24"/>
                <w:szCs w:val="24"/>
                <w:lang w:eastAsia="bg-BG"/>
              </w:rPr>
            </w:pPr>
          </w:p>
        </w:tc>
        <w:tc>
          <w:tcPr>
            <w:tcW w:w="3806" w:type="dxa"/>
            <w:hideMark/>
          </w:tcPr>
          <w:p w14:paraId="3190BF6B" w14:textId="77777777" w:rsidR="00BE0B19" w:rsidRPr="00AE47C6" w:rsidRDefault="00BE0B19" w:rsidP="00BE0B19">
            <w:pPr>
              <w:spacing w:after="0" w:line="360" w:lineRule="auto"/>
              <w:jc w:val="both"/>
              <w:rPr>
                <w:rFonts w:ascii="Times New Roman" w:hAnsi="Times New Roman"/>
                <w:color w:val="000000"/>
                <w:sz w:val="24"/>
                <w:szCs w:val="24"/>
                <w:lang w:eastAsia="bg-BG"/>
              </w:rPr>
            </w:pPr>
            <w:r w:rsidRPr="00AE47C6">
              <w:rPr>
                <w:rFonts w:ascii="Times New Roman" w:hAnsi="Times New Roman"/>
                <w:color w:val="000000"/>
                <w:sz w:val="24"/>
                <w:szCs w:val="24"/>
                <w:lang w:eastAsia="bg-BG"/>
              </w:rPr>
              <w:t>Структурни (напр. фокални перманентни лезии)</w:t>
            </w:r>
          </w:p>
        </w:tc>
      </w:tr>
      <w:tr w:rsidR="00BE0B19" w:rsidRPr="00AE47C6" w14:paraId="39C59A2D" w14:textId="77777777" w:rsidTr="00AD72E5">
        <w:tc>
          <w:tcPr>
            <w:tcW w:w="0" w:type="auto"/>
            <w:vMerge/>
            <w:hideMark/>
          </w:tcPr>
          <w:p w14:paraId="04B9015D" w14:textId="77777777" w:rsidR="00BE0B19" w:rsidRPr="00AE47C6" w:rsidRDefault="00BE0B19" w:rsidP="00BE0B19">
            <w:pPr>
              <w:spacing w:after="0" w:line="360" w:lineRule="auto"/>
              <w:jc w:val="both"/>
              <w:rPr>
                <w:rFonts w:ascii="Times New Roman" w:hAnsi="Times New Roman"/>
                <w:color w:val="000000"/>
                <w:sz w:val="24"/>
                <w:szCs w:val="24"/>
                <w:lang w:eastAsia="bg-BG"/>
              </w:rPr>
            </w:pPr>
          </w:p>
        </w:tc>
        <w:tc>
          <w:tcPr>
            <w:tcW w:w="2019" w:type="dxa"/>
            <w:vMerge/>
            <w:hideMark/>
          </w:tcPr>
          <w:p w14:paraId="48760F8C" w14:textId="77777777" w:rsidR="00BE0B19" w:rsidRPr="00AE47C6" w:rsidRDefault="00BE0B19" w:rsidP="00BE0B19">
            <w:pPr>
              <w:spacing w:after="0" w:line="360" w:lineRule="auto"/>
              <w:jc w:val="both"/>
              <w:rPr>
                <w:rFonts w:ascii="Times New Roman" w:hAnsi="Times New Roman"/>
                <w:color w:val="000000"/>
                <w:sz w:val="24"/>
                <w:szCs w:val="24"/>
                <w:lang w:eastAsia="bg-BG"/>
              </w:rPr>
            </w:pPr>
          </w:p>
        </w:tc>
        <w:tc>
          <w:tcPr>
            <w:tcW w:w="3806" w:type="dxa"/>
            <w:hideMark/>
          </w:tcPr>
          <w:p w14:paraId="743F41A0" w14:textId="77777777" w:rsidR="00BE0B19" w:rsidRPr="00AE47C6" w:rsidRDefault="00BE0B19" w:rsidP="00BE0B19">
            <w:pPr>
              <w:spacing w:after="0" w:line="360" w:lineRule="auto"/>
              <w:jc w:val="both"/>
              <w:rPr>
                <w:rFonts w:ascii="Times New Roman" w:hAnsi="Times New Roman"/>
                <w:color w:val="000000"/>
                <w:sz w:val="24"/>
                <w:szCs w:val="24"/>
                <w:lang w:eastAsia="bg-BG"/>
              </w:rPr>
            </w:pPr>
            <w:r w:rsidRPr="00AE47C6">
              <w:rPr>
                <w:rFonts w:ascii="Times New Roman" w:hAnsi="Times New Roman"/>
                <w:color w:val="000000"/>
                <w:sz w:val="24"/>
                <w:szCs w:val="24"/>
                <w:lang w:eastAsia="bg-BG"/>
              </w:rPr>
              <w:t>Без дегенеративна или структурна патология</w:t>
            </w:r>
          </w:p>
        </w:tc>
      </w:tr>
      <w:tr w:rsidR="00BE0B19" w:rsidRPr="00AE47C6" w14:paraId="3E33EE93" w14:textId="77777777" w:rsidTr="00AD72E5">
        <w:tc>
          <w:tcPr>
            <w:tcW w:w="0" w:type="auto"/>
            <w:vMerge/>
            <w:hideMark/>
          </w:tcPr>
          <w:p w14:paraId="6CB87E58" w14:textId="77777777" w:rsidR="00BE0B19" w:rsidRPr="00AE47C6" w:rsidRDefault="00BE0B19" w:rsidP="00BE0B19">
            <w:pPr>
              <w:spacing w:after="0" w:line="360" w:lineRule="auto"/>
              <w:jc w:val="both"/>
              <w:rPr>
                <w:rFonts w:ascii="Times New Roman" w:hAnsi="Times New Roman"/>
                <w:color w:val="000000"/>
                <w:sz w:val="24"/>
                <w:szCs w:val="24"/>
                <w:lang w:eastAsia="bg-BG"/>
              </w:rPr>
            </w:pPr>
          </w:p>
        </w:tc>
        <w:tc>
          <w:tcPr>
            <w:tcW w:w="2019" w:type="dxa"/>
            <w:vMerge w:val="restart"/>
            <w:hideMark/>
          </w:tcPr>
          <w:p w14:paraId="7CD3F98A" w14:textId="77777777" w:rsidR="00BE0B19" w:rsidRPr="00AE47C6" w:rsidRDefault="00BE0B19" w:rsidP="00BE0B19">
            <w:pPr>
              <w:spacing w:after="0" w:line="360" w:lineRule="auto"/>
              <w:jc w:val="both"/>
              <w:rPr>
                <w:rFonts w:ascii="Times New Roman" w:hAnsi="Times New Roman"/>
                <w:color w:val="000000"/>
                <w:sz w:val="24"/>
                <w:szCs w:val="24"/>
                <w:lang w:eastAsia="bg-BG"/>
              </w:rPr>
            </w:pPr>
            <w:r w:rsidRPr="00AE47C6">
              <w:rPr>
                <w:rFonts w:ascii="Times New Roman" w:hAnsi="Times New Roman"/>
                <w:color w:val="000000"/>
                <w:sz w:val="24"/>
                <w:szCs w:val="24"/>
                <w:lang w:eastAsia="bg-BG"/>
              </w:rPr>
              <w:t>Наследственост</w:t>
            </w:r>
          </w:p>
        </w:tc>
        <w:tc>
          <w:tcPr>
            <w:tcW w:w="3806" w:type="dxa"/>
            <w:hideMark/>
          </w:tcPr>
          <w:p w14:paraId="6B1921D6" w14:textId="77777777" w:rsidR="00BE0B19" w:rsidRPr="00AE47C6" w:rsidRDefault="00BE0B19" w:rsidP="00BE0B19">
            <w:pPr>
              <w:spacing w:after="0" w:line="360" w:lineRule="auto"/>
              <w:jc w:val="both"/>
              <w:rPr>
                <w:rFonts w:ascii="Times New Roman" w:hAnsi="Times New Roman"/>
                <w:color w:val="000000"/>
                <w:sz w:val="24"/>
                <w:szCs w:val="24"/>
                <w:lang w:eastAsia="bg-BG"/>
              </w:rPr>
            </w:pPr>
            <w:r w:rsidRPr="00AE47C6">
              <w:rPr>
                <w:rFonts w:ascii="Times New Roman" w:hAnsi="Times New Roman"/>
                <w:color w:val="000000"/>
                <w:sz w:val="24"/>
                <w:szCs w:val="24"/>
                <w:lang w:eastAsia="bg-BG"/>
              </w:rPr>
              <w:t>Унаследена (напр. свързана с пола, автозомно-доминантна, автозомно-рецесивна, митохондриална)</w:t>
            </w:r>
          </w:p>
        </w:tc>
      </w:tr>
      <w:tr w:rsidR="00BE0B19" w:rsidRPr="00AE47C6" w14:paraId="35F8C111" w14:textId="77777777" w:rsidTr="00AD72E5">
        <w:tc>
          <w:tcPr>
            <w:tcW w:w="0" w:type="auto"/>
            <w:vMerge/>
            <w:hideMark/>
          </w:tcPr>
          <w:p w14:paraId="69546387" w14:textId="77777777" w:rsidR="00BE0B19" w:rsidRPr="00AE47C6" w:rsidRDefault="00BE0B19" w:rsidP="00BE0B19">
            <w:pPr>
              <w:spacing w:after="0" w:line="360" w:lineRule="auto"/>
              <w:jc w:val="both"/>
              <w:rPr>
                <w:rFonts w:ascii="Times New Roman" w:hAnsi="Times New Roman"/>
                <w:color w:val="000000"/>
                <w:sz w:val="24"/>
                <w:szCs w:val="24"/>
                <w:lang w:eastAsia="bg-BG"/>
              </w:rPr>
            </w:pPr>
          </w:p>
        </w:tc>
        <w:tc>
          <w:tcPr>
            <w:tcW w:w="2019" w:type="dxa"/>
            <w:vMerge/>
            <w:hideMark/>
          </w:tcPr>
          <w:p w14:paraId="657B21FC" w14:textId="77777777" w:rsidR="00BE0B19" w:rsidRPr="00AE47C6" w:rsidRDefault="00BE0B19" w:rsidP="00BE0B19">
            <w:pPr>
              <w:spacing w:after="0" w:line="360" w:lineRule="auto"/>
              <w:jc w:val="both"/>
              <w:rPr>
                <w:rFonts w:ascii="Times New Roman" w:hAnsi="Times New Roman"/>
                <w:color w:val="000000"/>
                <w:sz w:val="24"/>
                <w:szCs w:val="24"/>
                <w:lang w:eastAsia="bg-BG"/>
              </w:rPr>
            </w:pPr>
          </w:p>
        </w:tc>
        <w:tc>
          <w:tcPr>
            <w:tcW w:w="3806" w:type="dxa"/>
            <w:hideMark/>
          </w:tcPr>
          <w:p w14:paraId="3FD3A89F" w14:textId="77777777" w:rsidR="00BE0B19" w:rsidRPr="00AE47C6" w:rsidRDefault="00BE0B19" w:rsidP="00BE0B19">
            <w:pPr>
              <w:spacing w:after="0" w:line="360" w:lineRule="auto"/>
              <w:jc w:val="both"/>
              <w:rPr>
                <w:rFonts w:ascii="Times New Roman" w:hAnsi="Times New Roman"/>
                <w:color w:val="000000"/>
                <w:sz w:val="24"/>
                <w:szCs w:val="24"/>
                <w:lang w:eastAsia="bg-BG"/>
              </w:rPr>
            </w:pPr>
            <w:r w:rsidRPr="00AE47C6">
              <w:rPr>
                <w:rFonts w:ascii="Times New Roman" w:hAnsi="Times New Roman"/>
                <w:color w:val="000000"/>
                <w:sz w:val="24"/>
                <w:szCs w:val="24"/>
                <w:lang w:eastAsia="bg-BG"/>
              </w:rPr>
              <w:t>Придобита (напр. мозъчно увреждане, лекарства/токсини, съдови, неопластични)</w:t>
            </w:r>
          </w:p>
        </w:tc>
      </w:tr>
      <w:tr w:rsidR="00BE0B19" w:rsidRPr="00AE47C6" w14:paraId="27D23EE2" w14:textId="77777777" w:rsidTr="00AD72E5">
        <w:tc>
          <w:tcPr>
            <w:tcW w:w="0" w:type="auto"/>
            <w:vMerge/>
            <w:hideMark/>
          </w:tcPr>
          <w:p w14:paraId="231372D5" w14:textId="77777777" w:rsidR="00BE0B19" w:rsidRPr="00AE47C6" w:rsidRDefault="00BE0B19" w:rsidP="00BE0B19">
            <w:pPr>
              <w:spacing w:after="0" w:line="360" w:lineRule="auto"/>
              <w:jc w:val="both"/>
              <w:rPr>
                <w:rFonts w:ascii="Times New Roman" w:hAnsi="Times New Roman"/>
                <w:color w:val="000000"/>
                <w:sz w:val="24"/>
                <w:szCs w:val="24"/>
                <w:lang w:eastAsia="bg-BG"/>
              </w:rPr>
            </w:pPr>
          </w:p>
        </w:tc>
        <w:tc>
          <w:tcPr>
            <w:tcW w:w="2019" w:type="dxa"/>
            <w:vMerge w:val="restart"/>
            <w:hideMark/>
          </w:tcPr>
          <w:p w14:paraId="3C291E0F" w14:textId="77777777" w:rsidR="00BE0B19" w:rsidRPr="00AE47C6" w:rsidRDefault="00BE0B19" w:rsidP="00BE0B19">
            <w:pPr>
              <w:spacing w:after="0" w:line="360" w:lineRule="auto"/>
              <w:jc w:val="both"/>
              <w:rPr>
                <w:rFonts w:ascii="Times New Roman" w:hAnsi="Times New Roman"/>
                <w:color w:val="000000"/>
                <w:sz w:val="24"/>
                <w:szCs w:val="24"/>
                <w:lang w:eastAsia="bg-BG"/>
              </w:rPr>
            </w:pPr>
            <w:r w:rsidRPr="00AE47C6">
              <w:rPr>
                <w:rFonts w:ascii="Times New Roman" w:hAnsi="Times New Roman"/>
                <w:color w:val="000000"/>
                <w:sz w:val="24"/>
                <w:szCs w:val="24"/>
                <w:lang w:eastAsia="bg-BG"/>
              </w:rPr>
              <w:t>Идиопатични</w:t>
            </w:r>
          </w:p>
        </w:tc>
        <w:tc>
          <w:tcPr>
            <w:tcW w:w="3806" w:type="dxa"/>
            <w:hideMark/>
          </w:tcPr>
          <w:p w14:paraId="107306A2" w14:textId="77777777" w:rsidR="00BE0B19" w:rsidRPr="00AE47C6" w:rsidRDefault="00BE0B19" w:rsidP="00BE0B19">
            <w:pPr>
              <w:spacing w:after="0" w:line="360" w:lineRule="auto"/>
              <w:jc w:val="both"/>
              <w:rPr>
                <w:rFonts w:ascii="Times New Roman" w:hAnsi="Times New Roman"/>
                <w:color w:val="000000"/>
                <w:sz w:val="24"/>
                <w:szCs w:val="24"/>
                <w:lang w:eastAsia="bg-BG"/>
              </w:rPr>
            </w:pPr>
            <w:r w:rsidRPr="00AE47C6">
              <w:rPr>
                <w:rFonts w:ascii="Times New Roman" w:hAnsi="Times New Roman"/>
                <w:color w:val="000000"/>
                <w:sz w:val="24"/>
                <w:szCs w:val="24"/>
                <w:lang w:eastAsia="bg-BG"/>
              </w:rPr>
              <w:t>Спорадични</w:t>
            </w:r>
          </w:p>
        </w:tc>
      </w:tr>
      <w:tr w:rsidR="00BE0B19" w:rsidRPr="00AE47C6" w14:paraId="10BE4159" w14:textId="77777777" w:rsidTr="00AD72E5">
        <w:tc>
          <w:tcPr>
            <w:tcW w:w="0" w:type="auto"/>
            <w:vMerge/>
            <w:hideMark/>
          </w:tcPr>
          <w:p w14:paraId="47C32943" w14:textId="77777777" w:rsidR="00BE0B19" w:rsidRPr="00AE47C6" w:rsidRDefault="00BE0B19" w:rsidP="00BE0B19">
            <w:pPr>
              <w:spacing w:after="0" w:line="360" w:lineRule="auto"/>
              <w:jc w:val="both"/>
              <w:rPr>
                <w:rFonts w:ascii="Times New Roman" w:hAnsi="Times New Roman"/>
                <w:color w:val="000000"/>
                <w:sz w:val="24"/>
                <w:szCs w:val="24"/>
                <w:lang w:eastAsia="bg-BG"/>
              </w:rPr>
            </w:pPr>
          </w:p>
        </w:tc>
        <w:tc>
          <w:tcPr>
            <w:tcW w:w="2019" w:type="dxa"/>
            <w:vMerge/>
            <w:hideMark/>
          </w:tcPr>
          <w:p w14:paraId="2512BBEB" w14:textId="77777777" w:rsidR="00BE0B19" w:rsidRPr="00AE47C6" w:rsidRDefault="00BE0B19" w:rsidP="00BE0B19">
            <w:pPr>
              <w:spacing w:after="0" w:line="360" w:lineRule="auto"/>
              <w:jc w:val="both"/>
              <w:rPr>
                <w:rFonts w:ascii="Times New Roman" w:hAnsi="Times New Roman"/>
                <w:color w:val="000000"/>
                <w:sz w:val="24"/>
                <w:szCs w:val="24"/>
                <w:lang w:eastAsia="bg-BG"/>
              </w:rPr>
            </w:pPr>
          </w:p>
        </w:tc>
        <w:tc>
          <w:tcPr>
            <w:tcW w:w="3806" w:type="dxa"/>
            <w:hideMark/>
          </w:tcPr>
          <w:p w14:paraId="5ABFF246" w14:textId="77777777" w:rsidR="00BE0B19" w:rsidRPr="00AE47C6" w:rsidRDefault="00BE0B19" w:rsidP="00BE0B19">
            <w:pPr>
              <w:spacing w:after="0" w:line="360" w:lineRule="auto"/>
              <w:jc w:val="both"/>
              <w:rPr>
                <w:rFonts w:ascii="Times New Roman" w:hAnsi="Times New Roman"/>
                <w:color w:val="000000"/>
                <w:sz w:val="24"/>
                <w:szCs w:val="24"/>
                <w:lang w:eastAsia="bg-BG"/>
              </w:rPr>
            </w:pPr>
            <w:r w:rsidRPr="00AE47C6">
              <w:rPr>
                <w:rFonts w:ascii="Times New Roman" w:hAnsi="Times New Roman"/>
                <w:color w:val="000000"/>
                <w:sz w:val="24"/>
                <w:szCs w:val="24"/>
                <w:lang w:eastAsia="bg-BG"/>
              </w:rPr>
              <w:t>Фамилни</w:t>
            </w:r>
          </w:p>
        </w:tc>
      </w:tr>
    </w:tbl>
    <w:p w14:paraId="6DDDA59B" w14:textId="77777777" w:rsidR="00BE0B19" w:rsidRPr="00AE47C6" w:rsidRDefault="00BE0B19" w:rsidP="00BE0B19">
      <w:pPr>
        <w:spacing w:after="0" w:line="360" w:lineRule="auto"/>
        <w:ind w:firstLine="720"/>
        <w:jc w:val="both"/>
        <w:rPr>
          <w:rFonts w:ascii="Times New Roman" w:eastAsia="SimSun" w:hAnsi="Times New Roman"/>
          <w:i/>
          <w:sz w:val="24"/>
          <w:szCs w:val="24"/>
        </w:rPr>
      </w:pPr>
    </w:p>
    <w:p w14:paraId="6B2726F0" w14:textId="77777777" w:rsidR="00BE0B19" w:rsidRPr="00AE47C6" w:rsidRDefault="00BE0B19" w:rsidP="00BE0B19">
      <w:pPr>
        <w:spacing w:after="0" w:line="360" w:lineRule="auto"/>
        <w:ind w:firstLine="720"/>
        <w:jc w:val="both"/>
        <w:rPr>
          <w:rFonts w:ascii="Times New Roman" w:eastAsiaTheme="majorEastAsia" w:hAnsi="Times New Roman"/>
          <w:bCs/>
          <w:sz w:val="24"/>
          <w:szCs w:val="24"/>
        </w:rPr>
      </w:pPr>
      <w:r w:rsidRPr="00AE47C6">
        <w:rPr>
          <w:rFonts w:ascii="Times New Roman" w:eastAsia="SimSun" w:hAnsi="Times New Roman"/>
          <w:i/>
          <w:sz w:val="24"/>
          <w:szCs w:val="24"/>
        </w:rPr>
        <w:t>Според асоциираните характеристики изолираната дистония</w:t>
      </w:r>
      <w:r w:rsidRPr="00AE47C6">
        <w:rPr>
          <w:rFonts w:ascii="Times New Roman" w:eastAsiaTheme="majorEastAsia" w:hAnsi="Times New Roman"/>
          <w:bCs/>
          <w:sz w:val="24"/>
          <w:szCs w:val="24"/>
        </w:rPr>
        <w:t xml:space="preserve"> (преди наричана първична) е тази форма, при която дистонията, с или без тремор</w:t>
      </w:r>
      <w:r w:rsidRPr="00AE47C6">
        <w:rPr>
          <w:rFonts w:ascii="Times New Roman" w:eastAsia="SimSun" w:hAnsi="Times New Roman"/>
          <w:sz w:val="24"/>
          <w:szCs w:val="24"/>
        </w:rPr>
        <w:t xml:space="preserve">, </w:t>
      </w:r>
      <w:r w:rsidRPr="00AE47C6">
        <w:rPr>
          <w:rFonts w:ascii="Times New Roman" w:eastAsiaTheme="majorEastAsia" w:hAnsi="Times New Roman"/>
          <w:bCs/>
          <w:sz w:val="24"/>
          <w:szCs w:val="24"/>
        </w:rPr>
        <w:t>е единствения</w:t>
      </w:r>
      <w:r w:rsidRPr="00AE47C6">
        <w:rPr>
          <w:rFonts w:ascii="Times New Roman" w:eastAsia="SimSun" w:hAnsi="Times New Roman"/>
          <w:sz w:val="24"/>
          <w:szCs w:val="24"/>
        </w:rPr>
        <w:t>т</w:t>
      </w:r>
      <w:r w:rsidRPr="00AE47C6">
        <w:rPr>
          <w:rFonts w:ascii="Times New Roman" w:eastAsiaTheme="majorEastAsia" w:hAnsi="Times New Roman"/>
          <w:bCs/>
          <w:sz w:val="24"/>
          <w:szCs w:val="24"/>
        </w:rPr>
        <w:t xml:space="preserve"> клиничен признак. Няма вторична причина, нито невродегенерация.</w:t>
      </w:r>
    </w:p>
    <w:p w14:paraId="580DBA4D" w14:textId="77777777" w:rsidR="00BE0B19" w:rsidRPr="00AE47C6" w:rsidRDefault="00BE0B19" w:rsidP="00BE0B19">
      <w:pPr>
        <w:spacing w:after="0" w:line="360" w:lineRule="auto"/>
        <w:ind w:firstLine="720"/>
        <w:jc w:val="both"/>
        <w:rPr>
          <w:rFonts w:ascii="Times New Roman" w:eastAsia="SimSun" w:hAnsi="Times New Roman"/>
          <w:bCs/>
          <w:i/>
          <w:color w:val="000000" w:themeColor="text1"/>
          <w:sz w:val="24"/>
          <w:szCs w:val="24"/>
        </w:rPr>
      </w:pPr>
      <w:r w:rsidRPr="00AE47C6">
        <w:rPr>
          <w:rFonts w:ascii="Times New Roman" w:eastAsia="SimSun" w:hAnsi="Times New Roman"/>
          <w:bCs/>
          <w:i/>
          <w:color w:val="000000" w:themeColor="text1"/>
          <w:sz w:val="24"/>
          <w:szCs w:val="24"/>
        </w:rPr>
        <w:t xml:space="preserve"> Комбинираната дистония</w:t>
      </w:r>
      <w:r w:rsidRPr="00AE47C6">
        <w:rPr>
          <w:rFonts w:ascii="Times New Roman" w:eastAsia="SimSun" w:hAnsi="Times New Roman"/>
          <w:bCs/>
          <w:color w:val="000000" w:themeColor="text1"/>
          <w:sz w:val="24"/>
          <w:szCs w:val="24"/>
        </w:rPr>
        <w:t xml:space="preserve"> обхваща няколко форми, в предишни класификации подразделяни като </w:t>
      </w:r>
      <w:r w:rsidRPr="00AE47C6">
        <w:rPr>
          <w:rFonts w:ascii="Times New Roman" w:eastAsia="SimSun" w:hAnsi="Times New Roman"/>
          <w:bCs/>
          <w:i/>
          <w:color w:val="000000" w:themeColor="text1"/>
          <w:sz w:val="24"/>
          <w:szCs w:val="24"/>
        </w:rPr>
        <w:t>дистония плюс синдроми (</w:t>
      </w:r>
      <w:r w:rsidRPr="00AE47C6">
        <w:rPr>
          <w:rFonts w:ascii="Times New Roman" w:eastAsia="SimSun" w:hAnsi="Times New Roman"/>
          <w:bCs/>
          <w:color w:val="000000" w:themeColor="text1"/>
          <w:sz w:val="24"/>
          <w:szCs w:val="24"/>
        </w:rPr>
        <w:t xml:space="preserve">други симптоми и белези могат да се появят с дистонията, но няма вторична причина, нито невродегенерация), </w:t>
      </w:r>
      <w:r w:rsidRPr="00AE47C6">
        <w:rPr>
          <w:rFonts w:ascii="Times New Roman" w:eastAsia="SimSun" w:hAnsi="Times New Roman"/>
          <w:bCs/>
          <w:i/>
          <w:color w:val="000000" w:themeColor="text1"/>
          <w:sz w:val="24"/>
          <w:szCs w:val="24"/>
        </w:rPr>
        <w:t>вторична дистония (</w:t>
      </w:r>
      <w:r w:rsidRPr="00AE47C6">
        <w:rPr>
          <w:rFonts w:ascii="Times New Roman" w:eastAsia="SimSun" w:hAnsi="Times New Roman"/>
          <w:bCs/>
          <w:color w:val="000000" w:themeColor="text1"/>
          <w:sz w:val="24"/>
          <w:szCs w:val="24"/>
        </w:rPr>
        <w:t xml:space="preserve">има ясна вторична причина за дистонията, напр. мозъчна травма, токсична нокса и др.), </w:t>
      </w:r>
      <w:r w:rsidRPr="00AE47C6">
        <w:rPr>
          <w:rFonts w:ascii="Times New Roman" w:eastAsia="SimSun" w:hAnsi="Times New Roman"/>
          <w:bCs/>
          <w:i/>
          <w:color w:val="000000" w:themeColor="text1"/>
          <w:sz w:val="24"/>
          <w:szCs w:val="24"/>
        </w:rPr>
        <w:t>наследствено-дегенеративна дистония (</w:t>
      </w:r>
      <w:r w:rsidRPr="00AE47C6">
        <w:rPr>
          <w:rFonts w:ascii="Times New Roman" w:eastAsia="SimSun" w:hAnsi="Times New Roman"/>
          <w:bCs/>
          <w:color w:val="000000" w:themeColor="text1"/>
          <w:sz w:val="24"/>
          <w:szCs w:val="24"/>
        </w:rPr>
        <w:t>дистонията е част от по-обширен невродегенеративен синдром).</w:t>
      </w:r>
    </w:p>
    <w:p w14:paraId="21B0F238" w14:textId="77777777" w:rsidR="00BE0B19" w:rsidRPr="00AE47C6" w:rsidRDefault="00BE0B19" w:rsidP="00BE0B19">
      <w:pPr>
        <w:spacing w:after="0" w:line="360" w:lineRule="auto"/>
        <w:ind w:firstLine="720"/>
        <w:jc w:val="both"/>
        <w:rPr>
          <w:rFonts w:ascii="Times New Roman" w:eastAsia="SimSun" w:hAnsi="Times New Roman"/>
          <w:bCs/>
          <w:color w:val="000000" w:themeColor="text1"/>
          <w:sz w:val="24"/>
          <w:szCs w:val="24"/>
        </w:rPr>
      </w:pPr>
      <w:r w:rsidRPr="00AE47C6">
        <w:rPr>
          <w:rFonts w:ascii="Times New Roman" w:eastAsia="SimSun" w:hAnsi="Times New Roman"/>
          <w:bCs/>
          <w:i/>
          <w:color w:val="000000" w:themeColor="text1"/>
          <w:sz w:val="24"/>
          <w:szCs w:val="24"/>
        </w:rPr>
        <w:t xml:space="preserve">При пароксизмалната дистония </w:t>
      </w:r>
      <w:r w:rsidRPr="00AE47C6">
        <w:rPr>
          <w:rFonts w:ascii="Times New Roman" w:eastAsia="SimSun" w:hAnsi="Times New Roman"/>
          <w:bCs/>
          <w:color w:val="000000" w:themeColor="text1"/>
          <w:sz w:val="24"/>
          <w:szCs w:val="24"/>
        </w:rPr>
        <w:t xml:space="preserve">се наблюдават епизодични пристъпи на дистония, често без никакви клинични симптоми между пристъпите. </w:t>
      </w:r>
      <w:r w:rsidRPr="00AE47C6">
        <w:rPr>
          <w:rFonts w:ascii="Times New Roman" w:eastAsia="SimSun" w:hAnsi="Times New Roman"/>
          <w:bCs/>
          <w:i/>
          <w:color w:val="000000" w:themeColor="text1"/>
          <w:sz w:val="24"/>
          <w:szCs w:val="24"/>
        </w:rPr>
        <w:t xml:space="preserve">Пароксизмалната дистония </w:t>
      </w:r>
      <w:r w:rsidRPr="00AE47C6">
        <w:rPr>
          <w:rFonts w:ascii="Times New Roman" w:eastAsia="SimSun" w:hAnsi="Times New Roman"/>
          <w:bCs/>
          <w:color w:val="000000" w:themeColor="text1"/>
          <w:sz w:val="24"/>
          <w:szCs w:val="24"/>
        </w:rPr>
        <w:t>може да бъде</w:t>
      </w:r>
      <w:r w:rsidRPr="00AE47C6">
        <w:rPr>
          <w:rFonts w:ascii="Times New Roman" w:eastAsia="SimSun" w:hAnsi="Times New Roman"/>
          <w:bCs/>
          <w:i/>
          <w:color w:val="000000" w:themeColor="text1"/>
          <w:sz w:val="24"/>
          <w:szCs w:val="24"/>
        </w:rPr>
        <w:t xml:space="preserve"> пароксизмална кинезигенна дискинезия, пароксизмална не-кинезигенна дискинезия или пароксизмална дистония, индуцирана от физическо усилие</w:t>
      </w:r>
    </w:p>
    <w:p w14:paraId="1C490472" w14:textId="77777777" w:rsidR="00BE0B19" w:rsidRPr="00AE47C6" w:rsidRDefault="00BE0B19" w:rsidP="00BE0B19">
      <w:pPr>
        <w:spacing w:after="0" w:line="360" w:lineRule="auto"/>
        <w:ind w:firstLine="720"/>
        <w:jc w:val="both"/>
        <w:rPr>
          <w:rFonts w:ascii="Times New Roman" w:eastAsia="SimSun" w:hAnsi="Times New Roman"/>
          <w:bCs/>
          <w:color w:val="000000" w:themeColor="text1"/>
          <w:sz w:val="24"/>
          <w:szCs w:val="24"/>
        </w:rPr>
      </w:pPr>
      <w:r w:rsidRPr="00AE47C6">
        <w:rPr>
          <w:rFonts w:ascii="Times New Roman" w:eastAsia="SimSun" w:hAnsi="Times New Roman"/>
          <w:bCs/>
          <w:i/>
          <w:color w:val="000000" w:themeColor="text1"/>
          <w:sz w:val="24"/>
          <w:szCs w:val="24"/>
        </w:rPr>
        <w:t>Психогенната дистония</w:t>
      </w:r>
      <w:r w:rsidRPr="00AE47C6">
        <w:rPr>
          <w:rFonts w:ascii="Times New Roman" w:eastAsia="SimSun" w:hAnsi="Times New Roman"/>
          <w:bCs/>
          <w:color w:val="000000" w:themeColor="text1"/>
          <w:sz w:val="24"/>
          <w:szCs w:val="24"/>
        </w:rPr>
        <w:t xml:space="preserve"> обикновено протича с фиксирани пози/позиции, с други белези, предполагащи психогенно двигателно нарушение. (Табл. 6.5.)</w:t>
      </w:r>
    </w:p>
    <w:tbl>
      <w:tblPr>
        <w:tblStyle w:val="TableGrid2"/>
        <w:tblW w:w="0" w:type="auto"/>
        <w:tblLook w:val="04A0" w:firstRow="1" w:lastRow="0" w:firstColumn="1" w:lastColumn="0" w:noHBand="0" w:noVBand="1"/>
      </w:tblPr>
      <w:tblGrid>
        <w:gridCol w:w="2940"/>
        <w:gridCol w:w="6130"/>
      </w:tblGrid>
      <w:tr w:rsidR="00BE0B19" w:rsidRPr="00AE47C6" w14:paraId="7ACD7EED" w14:textId="77777777" w:rsidTr="00AD72E5">
        <w:tc>
          <w:tcPr>
            <w:tcW w:w="9350" w:type="dxa"/>
            <w:gridSpan w:val="2"/>
            <w:tcBorders>
              <w:top w:val="nil"/>
              <w:left w:val="nil"/>
              <w:bottom w:val="single" w:sz="4" w:space="0" w:color="auto"/>
              <w:right w:val="nil"/>
            </w:tcBorders>
          </w:tcPr>
          <w:p w14:paraId="383C426F" w14:textId="77777777" w:rsidR="00BE0B19" w:rsidRPr="00AE47C6" w:rsidRDefault="00BE0B19" w:rsidP="00BE0B19">
            <w:pPr>
              <w:spacing w:after="0" w:line="360" w:lineRule="auto"/>
              <w:jc w:val="both"/>
              <w:rPr>
                <w:rFonts w:ascii="Times New Roman" w:hAnsi="Times New Roman"/>
                <w:b/>
                <w:bCs/>
                <w:color w:val="000000" w:themeColor="text1"/>
                <w:sz w:val="24"/>
                <w:szCs w:val="24"/>
              </w:rPr>
            </w:pPr>
            <w:r w:rsidRPr="00AE47C6">
              <w:rPr>
                <w:rFonts w:ascii="Times New Roman" w:hAnsi="Times New Roman"/>
                <w:b/>
                <w:bCs/>
                <w:color w:val="000000" w:themeColor="text1"/>
                <w:sz w:val="24"/>
                <w:szCs w:val="24"/>
              </w:rPr>
              <w:t>Таблица 6. 5. Дистонии според клиничните характеристики</w:t>
            </w:r>
          </w:p>
        </w:tc>
      </w:tr>
      <w:tr w:rsidR="00BE0B19" w:rsidRPr="00AE47C6" w14:paraId="39D21FC3" w14:textId="77777777" w:rsidTr="00AD72E5">
        <w:tc>
          <w:tcPr>
            <w:tcW w:w="3021" w:type="dxa"/>
            <w:tcBorders>
              <w:top w:val="single" w:sz="4" w:space="0" w:color="auto"/>
            </w:tcBorders>
          </w:tcPr>
          <w:p w14:paraId="388B4BCD"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Изолирана дистония</w:t>
            </w:r>
          </w:p>
        </w:tc>
        <w:tc>
          <w:tcPr>
            <w:tcW w:w="6329" w:type="dxa"/>
            <w:tcBorders>
              <w:top w:val="single" w:sz="4" w:space="0" w:color="auto"/>
            </w:tcBorders>
          </w:tcPr>
          <w:p w14:paraId="52E7BB22"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
                <w:bCs/>
                <w:color w:val="000000" w:themeColor="text1"/>
                <w:sz w:val="24"/>
                <w:szCs w:val="24"/>
              </w:rPr>
              <w:t xml:space="preserve">С начало в млада възраст: </w:t>
            </w:r>
            <w:r w:rsidRPr="00AE47C6">
              <w:rPr>
                <w:rFonts w:ascii="Times New Roman" w:hAnsi="Times New Roman"/>
                <w:bCs/>
                <w:i/>
                <w:color w:val="000000" w:themeColor="text1"/>
                <w:sz w:val="24"/>
                <w:szCs w:val="24"/>
              </w:rPr>
              <w:t>генерализирана</w:t>
            </w:r>
            <w:r w:rsidRPr="00AE47C6">
              <w:rPr>
                <w:rFonts w:ascii="Times New Roman" w:hAnsi="Times New Roman"/>
                <w:bCs/>
                <w:color w:val="000000" w:themeColor="text1"/>
                <w:sz w:val="24"/>
                <w:szCs w:val="24"/>
              </w:rPr>
              <w:t xml:space="preserve"> (първична торзионна или дистония на Oppenheim) </w:t>
            </w:r>
          </w:p>
          <w:p w14:paraId="1F02E204"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дължи се на мутации в DYT1 гена</w:t>
            </w:r>
          </w:p>
          <w:p w14:paraId="4CA5850D" w14:textId="77777777" w:rsidR="00BE0B19" w:rsidRPr="00AE47C6" w:rsidRDefault="00BE0B19" w:rsidP="00BE0B19">
            <w:pPr>
              <w:spacing w:after="0" w:line="360" w:lineRule="auto"/>
              <w:jc w:val="both"/>
              <w:rPr>
                <w:rFonts w:ascii="Times New Roman" w:hAnsi="Times New Roman"/>
                <w:b/>
                <w:bCs/>
                <w:color w:val="000000" w:themeColor="text1"/>
                <w:sz w:val="24"/>
                <w:szCs w:val="24"/>
              </w:rPr>
            </w:pPr>
            <w:r w:rsidRPr="00AE47C6">
              <w:rPr>
                <w:rFonts w:ascii="Times New Roman" w:hAnsi="Times New Roman"/>
                <w:b/>
                <w:bCs/>
                <w:color w:val="000000" w:themeColor="text1"/>
                <w:sz w:val="24"/>
                <w:szCs w:val="24"/>
              </w:rPr>
              <w:t xml:space="preserve">С начало в по-късна възраст: </w:t>
            </w:r>
            <w:r w:rsidRPr="00AE47C6">
              <w:rPr>
                <w:rFonts w:ascii="Times New Roman" w:hAnsi="Times New Roman"/>
                <w:bCs/>
                <w:i/>
                <w:color w:val="000000" w:themeColor="text1"/>
                <w:sz w:val="24"/>
                <w:szCs w:val="24"/>
              </w:rPr>
              <w:t>специфична</w:t>
            </w:r>
            <w:r w:rsidRPr="00AE47C6">
              <w:rPr>
                <w:rFonts w:ascii="Times New Roman" w:hAnsi="Times New Roman"/>
                <w:bCs/>
                <w:color w:val="000000" w:themeColor="text1"/>
                <w:sz w:val="24"/>
                <w:szCs w:val="24"/>
              </w:rPr>
              <w:t xml:space="preserve"> при извършване на определено действие (напр. графоспазъм, дистония на музиканта и др.)</w:t>
            </w:r>
          </w:p>
          <w:p w14:paraId="04EE1626"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i/>
                <w:color w:val="000000" w:themeColor="text1"/>
                <w:sz w:val="24"/>
                <w:szCs w:val="24"/>
              </w:rPr>
              <w:t>Фокална</w:t>
            </w:r>
            <w:r w:rsidRPr="00AE47C6">
              <w:rPr>
                <w:rFonts w:ascii="Times New Roman" w:hAnsi="Times New Roman"/>
                <w:bCs/>
                <w:color w:val="000000" w:themeColor="text1"/>
                <w:sz w:val="24"/>
                <w:szCs w:val="24"/>
              </w:rPr>
              <w:t xml:space="preserve"> (напр. оромандибуларна, тортиколис, блефароспазъм, дистонен тремор)</w:t>
            </w:r>
          </w:p>
          <w:p w14:paraId="3CD45BCA"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i/>
                <w:color w:val="000000" w:themeColor="text1"/>
                <w:sz w:val="24"/>
                <w:szCs w:val="24"/>
              </w:rPr>
              <w:t xml:space="preserve">Редки генетични </w:t>
            </w:r>
            <w:r w:rsidRPr="00AE47C6">
              <w:rPr>
                <w:rFonts w:ascii="Times New Roman" w:hAnsi="Times New Roman"/>
                <w:bCs/>
                <w:i/>
                <w:color w:val="000000"/>
                <w:sz w:val="24"/>
                <w:szCs w:val="24"/>
              </w:rPr>
              <w:t>идиопатични</w:t>
            </w:r>
            <w:r w:rsidRPr="00AE47C6">
              <w:rPr>
                <w:rFonts w:ascii="Times New Roman" w:hAnsi="Times New Roman"/>
                <w:bCs/>
                <w:i/>
                <w:color w:val="000000" w:themeColor="text1"/>
                <w:sz w:val="24"/>
                <w:szCs w:val="24"/>
              </w:rPr>
              <w:t xml:space="preserve"> дистонии</w:t>
            </w:r>
            <w:r w:rsidRPr="00AE47C6">
              <w:rPr>
                <w:rFonts w:ascii="Times New Roman" w:hAnsi="Times New Roman"/>
                <w:bCs/>
                <w:color w:val="000000" w:themeColor="text1"/>
                <w:sz w:val="24"/>
                <w:szCs w:val="24"/>
              </w:rPr>
              <w:t xml:space="preserve"> (напр. DYT6, DYT7, DYT13) </w:t>
            </w:r>
          </w:p>
        </w:tc>
      </w:tr>
      <w:tr w:rsidR="00BE0B19" w:rsidRPr="00AE47C6" w14:paraId="73D73394" w14:textId="77777777" w:rsidTr="00AD72E5">
        <w:tc>
          <w:tcPr>
            <w:tcW w:w="3021" w:type="dxa"/>
          </w:tcPr>
          <w:p w14:paraId="4D194B57"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Комбинирана дистония</w:t>
            </w:r>
          </w:p>
        </w:tc>
        <w:tc>
          <w:tcPr>
            <w:tcW w:w="6329" w:type="dxa"/>
          </w:tcPr>
          <w:p w14:paraId="5E6C17BA" w14:textId="77777777" w:rsidR="00BE0B19" w:rsidRPr="00AE47C6" w:rsidRDefault="00BE0B19" w:rsidP="00BE0B19">
            <w:pPr>
              <w:spacing w:after="0" w:line="360" w:lineRule="auto"/>
              <w:jc w:val="both"/>
              <w:rPr>
                <w:rFonts w:ascii="Times New Roman" w:hAnsi="Times New Roman"/>
                <w:b/>
                <w:bCs/>
                <w:color w:val="000000" w:themeColor="text1"/>
                <w:sz w:val="24"/>
                <w:szCs w:val="24"/>
              </w:rPr>
            </w:pPr>
          </w:p>
        </w:tc>
      </w:tr>
      <w:tr w:rsidR="00BE0B19" w:rsidRPr="00AE47C6" w14:paraId="77AD04B3" w14:textId="77777777" w:rsidTr="00AD72E5">
        <w:tc>
          <w:tcPr>
            <w:tcW w:w="3021" w:type="dxa"/>
          </w:tcPr>
          <w:p w14:paraId="21E29C05"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Дистония плюс синдроми</w:t>
            </w:r>
          </w:p>
        </w:tc>
        <w:tc>
          <w:tcPr>
            <w:tcW w:w="6329" w:type="dxa"/>
          </w:tcPr>
          <w:p w14:paraId="0D882AFC"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i/>
                <w:color w:val="000000" w:themeColor="text1"/>
                <w:sz w:val="24"/>
                <w:szCs w:val="24"/>
              </w:rPr>
              <w:t>Дистония отговаряща на леводопа</w:t>
            </w:r>
            <w:r w:rsidRPr="00AE47C6">
              <w:rPr>
                <w:rFonts w:ascii="Times New Roman" w:hAnsi="Times New Roman"/>
                <w:bCs/>
                <w:color w:val="000000" w:themeColor="text1"/>
                <w:sz w:val="24"/>
                <w:szCs w:val="24"/>
              </w:rPr>
              <w:t xml:space="preserve"> (DYT15) </w:t>
            </w:r>
          </w:p>
          <w:p w14:paraId="3BE5BDBE"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i/>
                <w:color w:val="000000" w:themeColor="text1"/>
                <w:sz w:val="24"/>
                <w:szCs w:val="24"/>
              </w:rPr>
              <w:t>Миоклонус дистония</w:t>
            </w:r>
            <w:r w:rsidRPr="00AE47C6">
              <w:rPr>
                <w:rFonts w:ascii="Times New Roman" w:hAnsi="Times New Roman"/>
                <w:bCs/>
                <w:color w:val="000000" w:themeColor="text1"/>
                <w:sz w:val="24"/>
                <w:szCs w:val="24"/>
              </w:rPr>
              <w:t xml:space="preserve"> (DYT 11)</w:t>
            </w:r>
          </w:p>
        </w:tc>
      </w:tr>
      <w:tr w:rsidR="00BE0B19" w:rsidRPr="00AE47C6" w14:paraId="5DD04390" w14:textId="77777777" w:rsidTr="00AD72E5">
        <w:tc>
          <w:tcPr>
            <w:tcW w:w="3021" w:type="dxa"/>
          </w:tcPr>
          <w:p w14:paraId="439A4FB2"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Вторична дистония</w:t>
            </w:r>
          </w:p>
        </w:tc>
        <w:tc>
          <w:tcPr>
            <w:tcW w:w="6329" w:type="dxa"/>
          </w:tcPr>
          <w:p w14:paraId="11F0457F"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 xml:space="preserve">вследствие на </w:t>
            </w:r>
            <w:r w:rsidRPr="00AE47C6">
              <w:rPr>
                <w:rFonts w:ascii="Times New Roman" w:hAnsi="Times New Roman"/>
                <w:bCs/>
                <w:i/>
                <w:color w:val="000000" w:themeColor="text1"/>
                <w:sz w:val="24"/>
                <w:szCs w:val="24"/>
              </w:rPr>
              <w:t>мозъчна увреда</w:t>
            </w:r>
            <w:r w:rsidRPr="00AE47C6">
              <w:rPr>
                <w:rFonts w:ascii="Times New Roman" w:hAnsi="Times New Roman"/>
                <w:bCs/>
                <w:color w:val="000000" w:themeColor="text1"/>
                <w:sz w:val="24"/>
                <w:szCs w:val="24"/>
              </w:rPr>
              <w:t xml:space="preserve"> (най-често putamen) </w:t>
            </w:r>
          </w:p>
          <w:p w14:paraId="49A6C6D8"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i/>
                <w:color w:val="000000" w:themeColor="text1"/>
                <w:sz w:val="24"/>
                <w:szCs w:val="24"/>
              </w:rPr>
              <w:t>Лекарства/токсични вещества</w:t>
            </w:r>
            <w:r w:rsidRPr="00AE47C6">
              <w:rPr>
                <w:rFonts w:ascii="Times New Roman" w:hAnsi="Times New Roman"/>
                <w:bCs/>
                <w:color w:val="000000" w:themeColor="text1"/>
                <w:sz w:val="24"/>
                <w:szCs w:val="24"/>
              </w:rPr>
              <w:t xml:space="preserve">: много лекарствени средства могат да причинят остро-настъпила дистония; блокери на допаминовите рецептори могат да причинят остра или късна дистония </w:t>
            </w:r>
          </w:p>
          <w:p w14:paraId="1E271EAB" w14:textId="77777777" w:rsidR="00BE0B19" w:rsidRPr="00AE47C6" w:rsidRDefault="00BE0B19" w:rsidP="00BE0B19">
            <w:pPr>
              <w:spacing w:after="0" w:line="360" w:lineRule="auto"/>
              <w:jc w:val="both"/>
              <w:rPr>
                <w:rFonts w:ascii="Times New Roman" w:hAnsi="Times New Roman"/>
                <w:bCs/>
                <w:i/>
                <w:color w:val="000000" w:themeColor="text1"/>
                <w:sz w:val="24"/>
                <w:szCs w:val="24"/>
              </w:rPr>
            </w:pPr>
            <w:r w:rsidRPr="00AE47C6">
              <w:rPr>
                <w:rFonts w:ascii="Times New Roman" w:hAnsi="Times New Roman"/>
                <w:bCs/>
                <w:i/>
                <w:color w:val="000000" w:themeColor="text1"/>
                <w:sz w:val="24"/>
                <w:szCs w:val="24"/>
              </w:rPr>
              <w:t>Постенцефалитна</w:t>
            </w:r>
          </w:p>
        </w:tc>
      </w:tr>
      <w:tr w:rsidR="00BE0B19" w:rsidRPr="00AE47C6" w14:paraId="5A5744E7" w14:textId="77777777" w:rsidTr="00AD72E5">
        <w:tc>
          <w:tcPr>
            <w:tcW w:w="3021" w:type="dxa"/>
          </w:tcPr>
          <w:p w14:paraId="19BCC30E"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Наследствено-дегенеративна дистония</w:t>
            </w:r>
          </w:p>
        </w:tc>
        <w:tc>
          <w:tcPr>
            <w:tcW w:w="6329" w:type="dxa"/>
          </w:tcPr>
          <w:p w14:paraId="7993BE75"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Болест на Parkinson</w:t>
            </w:r>
          </w:p>
          <w:p w14:paraId="33FE8E8F"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Кортико базална дегенерация (CBD)</w:t>
            </w:r>
          </w:p>
          <w:p w14:paraId="47AFC7C2"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Прогресивна супрануклеарна пареза (PSP)</w:t>
            </w:r>
          </w:p>
          <w:p w14:paraId="3D8F4614"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Множествена системна атрофия (MSA)</w:t>
            </w:r>
          </w:p>
          <w:p w14:paraId="3C80369F"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Хорея на Huntington</w:t>
            </w:r>
          </w:p>
          <w:p w14:paraId="1DBC44EF"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Болест на Wilson</w:t>
            </w:r>
          </w:p>
          <w:p w14:paraId="5AAD5020"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Спиноцеребеларна атаксии</w:t>
            </w:r>
          </w:p>
          <w:p w14:paraId="45E7CA85"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Синдром на желязно натрупване в мозъка (Neuronal brain iron accumulation syndrome/NBIAS, болест на Hallervorden-Spatz)</w:t>
            </w:r>
          </w:p>
          <w:p w14:paraId="6851238F"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Денторубропалидолуйзиева атрофия</w:t>
            </w:r>
          </w:p>
          <w:p w14:paraId="0BCE1D96"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Невроакантоцитоза</w:t>
            </w:r>
          </w:p>
          <w:p w14:paraId="7D51C7E6"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Х-свързана дистония-паркинсонизъм (Lubag)</w:t>
            </w:r>
          </w:p>
          <w:p w14:paraId="456EBC8A" w14:textId="77777777" w:rsidR="00BE0B19" w:rsidRPr="00AE47C6" w:rsidRDefault="00BE0B19" w:rsidP="00BE0B19">
            <w:pPr>
              <w:spacing w:after="0" w:line="360" w:lineRule="auto"/>
              <w:jc w:val="both"/>
              <w:rPr>
                <w:rFonts w:ascii="Times New Roman" w:hAnsi="Times New Roman"/>
                <w:b/>
                <w:bCs/>
                <w:color w:val="000000" w:themeColor="text1"/>
                <w:sz w:val="24"/>
                <w:szCs w:val="24"/>
              </w:rPr>
            </w:pPr>
            <w:r w:rsidRPr="00AE47C6">
              <w:rPr>
                <w:rFonts w:ascii="Times New Roman" w:hAnsi="Times New Roman"/>
                <w:bCs/>
                <w:color w:val="000000" w:themeColor="text1"/>
                <w:sz w:val="24"/>
                <w:szCs w:val="24"/>
              </w:rPr>
              <w:t>Бързо настъпващ дистония-паркинсонизъм синдром</w:t>
            </w:r>
          </w:p>
          <w:p w14:paraId="4443C8E2"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Mohr-Tranebjaerg синдром (глухота-дистония)</w:t>
            </w:r>
          </w:p>
          <w:p w14:paraId="777E5C44"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Метахроматична дистрофия</w:t>
            </w:r>
          </w:p>
          <w:p w14:paraId="45A6988F"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 xml:space="preserve">GM1/GM2 ганглиозидоза </w:t>
            </w:r>
          </w:p>
          <w:p w14:paraId="23378988"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 xml:space="preserve">Амино-ацидемии </w:t>
            </w:r>
          </w:p>
          <w:p w14:paraId="24A3E93F"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 xml:space="preserve">Niemann-Pick тип C </w:t>
            </w:r>
          </w:p>
          <w:p w14:paraId="3F37CA43" w14:textId="77777777" w:rsidR="00BE0B19" w:rsidRPr="00AE47C6" w:rsidRDefault="00BE0B19" w:rsidP="00BE0B19">
            <w:pPr>
              <w:spacing w:after="0" w:line="360" w:lineRule="auto"/>
              <w:jc w:val="both"/>
              <w:rPr>
                <w:rFonts w:ascii="Times New Roman" w:hAnsi="Times New Roman"/>
                <w:bCs/>
                <w:color w:val="000000" w:themeColor="text1"/>
                <w:sz w:val="24"/>
                <w:szCs w:val="24"/>
              </w:rPr>
            </w:pPr>
            <w:r w:rsidRPr="00AE47C6">
              <w:rPr>
                <w:rFonts w:ascii="Times New Roman" w:hAnsi="Times New Roman"/>
                <w:bCs/>
                <w:color w:val="000000" w:themeColor="text1"/>
                <w:sz w:val="24"/>
                <w:szCs w:val="24"/>
              </w:rPr>
              <w:t>Атаксия телеангиектазия</w:t>
            </w:r>
          </w:p>
        </w:tc>
      </w:tr>
    </w:tbl>
    <w:p w14:paraId="60FB4694"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Cs/>
          <w:sz w:val="24"/>
          <w:szCs w:val="24"/>
          <w:lang w:eastAsia="bg-BG"/>
        </w:rPr>
      </w:pPr>
    </w:p>
    <w:p w14:paraId="22CF94DA"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sz w:val="24"/>
          <w:szCs w:val="24"/>
          <w:lang w:eastAsia="bg-BG"/>
        </w:rPr>
        <w:t>Клинично абнормните движения са с различна скорост: бавни и усукващи, обикновено в дисталните мускулни групи (атетозни), по-бързи миоклонични (миоклонична дистония), мускулни спазми или да прогресират в дистонични пози. Независимо от това колко мускулни групи засяга, дистонията винаги преобладава в определени мускулни групи (Табл. 6.6). По този начин се получават движения в определена посока, които дори и за кратко завършват с определена поза: накланяне на главата, улнарна девиация, плантарна флексия, затваряне на очите и други. Дистонията започва от една част на тялото, но не е статичен феномен и може да остане фокална или да обхване и други части на тялото. Един от характерните симптоми е обхващането на съседни мускулни групи, например при цервикална дистония се засягат и горните крайници. Дистонията е свързана с усещане за мускулно напрежение и болка. Болката е по-силна при абнормните пози, отколкото при движенията. Дистоничните движения и пози се облекчават от определени волеви движения (geste antagoniste) или сетивни прийоми.</w:t>
      </w:r>
    </w:p>
    <w:tbl>
      <w:tblPr>
        <w:tblStyle w:val="TableGrid2"/>
        <w:tblW w:w="8964" w:type="dxa"/>
        <w:tblInd w:w="108" w:type="dxa"/>
        <w:tblLayout w:type="fixed"/>
        <w:tblLook w:val="04A0" w:firstRow="1" w:lastRow="0" w:firstColumn="1" w:lastColumn="0" w:noHBand="0" w:noVBand="1"/>
      </w:tblPr>
      <w:tblGrid>
        <w:gridCol w:w="2228"/>
        <w:gridCol w:w="2826"/>
        <w:gridCol w:w="2166"/>
        <w:gridCol w:w="1744"/>
      </w:tblGrid>
      <w:tr w:rsidR="00BE0B19" w:rsidRPr="00AE47C6" w14:paraId="3AE2CEFB" w14:textId="77777777" w:rsidTr="00AD72E5">
        <w:trPr>
          <w:trHeight w:val="400"/>
        </w:trPr>
        <w:tc>
          <w:tcPr>
            <w:tcW w:w="8964" w:type="dxa"/>
            <w:gridSpan w:val="4"/>
            <w:tcBorders>
              <w:top w:val="nil"/>
              <w:left w:val="nil"/>
              <w:bottom w:val="single" w:sz="4" w:space="0" w:color="auto"/>
              <w:right w:val="nil"/>
            </w:tcBorders>
          </w:tcPr>
          <w:p w14:paraId="108E370E" w14:textId="77777777" w:rsidR="00BE0B19" w:rsidRPr="00AE47C6" w:rsidRDefault="00BE0B19" w:rsidP="00BE0B19">
            <w:pPr>
              <w:spacing w:after="0" w:line="360" w:lineRule="auto"/>
              <w:jc w:val="both"/>
              <w:rPr>
                <w:rFonts w:ascii="Times New Roman" w:hAnsi="Times New Roman"/>
                <w:b/>
                <w:color w:val="000000" w:themeColor="text1"/>
                <w:sz w:val="24"/>
                <w:szCs w:val="24"/>
              </w:rPr>
            </w:pPr>
            <w:r w:rsidRPr="00AE47C6">
              <w:rPr>
                <w:rFonts w:ascii="Times New Roman" w:hAnsi="Times New Roman"/>
                <w:b/>
                <w:color w:val="000000" w:themeColor="text1"/>
                <w:sz w:val="24"/>
                <w:szCs w:val="24"/>
              </w:rPr>
              <w:t>Таблица 6. 6. Характеристики на изолираните (първичните) дистонии</w:t>
            </w:r>
          </w:p>
        </w:tc>
      </w:tr>
      <w:tr w:rsidR="00BE0B19" w:rsidRPr="00AE47C6" w14:paraId="1F48550F" w14:textId="77777777" w:rsidTr="00AD72E5">
        <w:trPr>
          <w:trHeight w:val="424"/>
        </w:trPr>
        <w:tc>
          <w:tcPr>
            <w:tcW w:w="2228" w:type="dxa"/>
            <w:tcBorders>
              <w:top w:val="single" w:sz="4" w:space="0" w:color="auto"/>
            </w:tcBorders>
          </w:tcPr>
          <w:p w14:paraId="2A2B442F"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Възраст на поява</w:t>
            </w:r>
          </w:p>
        </w:tc>
        <w:tc>
          <w:tcPr>
            <w:tcW w:w="2826" w:type="dxa"/>
            <w:tcBorders>
              <w:top w:val="single" w:sz="4" w:space="0" w:color="auto"/>
            </w:tcBorders>
          </w:tcPr>
          <w:p w14:paraId="58E3801C"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&lt;25 години</w:t>
            </w:r>
          </w:p>
        </w:tc>
        <w:tc>
          <w:tcPr>
            <w:tcW w:w="2166" w:type="dxa"/>
            <w:tcBorders>
              <w:top w:val="single" w:sz="4" w:space="0" w:color="auto"/>
            </w:tcBorders>
          </w:tcPr>
          <w:p w14:paraId="2AB6A57D"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25-45 години</w:t>
            </w:r>
          </w:p>
        </w:tc>
        <w:tc>
          <w:tcPr>
            <w:tcW w:w="1744" w:type="dxa"/>
            <w:tcBorders>
              <w:top w:val="single" w:sz="4" w:space="0" w:color="auto"/>
            </w:tcBorders>
          </w:tcPr>
          <w:p w14:paraId="3BF774CB"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&gt;45 години</w:t>
            </w:r>
          </w:p>
        </w:tc>
      </w:tr>
      <w:tr w:rsidR="00BE0B19" w:rsidRPr="00AE47C6" w14:paraId="7F63C727" w14:textId="77777777" w:rsidTr="00AD72E5">
        <w:trPr>
          <w:trHeight w:val="1997"/>
        </w:trPr>
        <w:tc>
          <w:tcPr>
            <w:tcW w:w="2228" w:type="dxa"/>
            <w:tcBorders>
              <w:bottom w:val="nil"/>
            </w:tcBorders>
          </w:tcPr>
          <w:p w14:paraId="34F3D49A"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Анатомично разпределение</w:t>
            </w:r>
          </w:p>
        </w:tc>
        <w:tc>
          <w:tcPr>
            <w:tcW w:w="2826" w:type="dxa"/>
            <w:tcBorders>
              <w:bottom w:val="nil"/>
            </w:tcBorders>
          </w:tcPr>
          <w:p w14:paraId="092FDB9C" w14:textId="77777777" w:rsidR="00BE0B19" w:rsidRPr="00AE47C6" w:rsidRDefault="00BE0B19" w:rsidP="00BE0B19">
            <w:pPr>
              <w:spacing w:after="0" w:line="360" w:lineRule="auto"/>
              <w:jc w:val="both"/>
              <w:rPr>
                <w:rFonts w:ascii="Times New Roman" w:hAnsi="Times New Roman"/>
                <w:b/>
                <w:color w:val="000000" w:themeColor="text1"/>
                <w:sz w:val="24"/>
                <w:szCs w:val="24"/>
              </w:rPr>
            </w:pPr>
            <w:r w:rsidRPr="00AE47C6">
              <w:rPr>
                <w:rFonts w:ascii="Times New Roman" w:hAnsi="Times New Roman"/>
                <w:b/>
                <w:color w:val="000000" w:themeColor="text1"/>
                <w:sz w:val="24"/>
                <w:szCs w:val="24"/>
              </w:rPr>
              <w:t>Генерализирана</w:t>
            </w:r>
          </w:p>
          <w:p w14:paraId="0C08A3FA"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Типично засягане на крайник, разпространява се към главата и шията</w:t>
            </w:r>
          </w:p>
        </w:tc>
        <w:tc>
          <w:tcPr>
            <w:tcW w:w="2166" w:type="dxa"/>
            <w:tcBorders>
              <w:bottom w:val="nil"/>
            </w:tcBorders>
          </w:tcPr>
          <w:p w14:paraId="4287590E" w14:textId="77777777" w:rsidR="00BE0B19" w:rsidRPr="00AE47C6" w:rsidRDefault="00BE0B19" w:rsidP="00BE0B19">
            <w:pPr>
              <w:spacing w:after="0" w:line="360" w:lineRule="auto"/>
              <w:jc w:val="both"/>
              <w:rPr>
                <w:rFonts w:ascii="Times New Roman" w:hAnsi="Times New Roman"/>
                <w:b/>
                <w:color w:val="000000" w:themeColor="text1"/>
                <w:sz w:val="24"/>
                <w:szCs w:val="24"/>
              </w:rPr>
            </w:pPr>
            <w:r w:rsidRPr="00AE47C6">
              <w:rPr>
                <w:rFonts w:ascii="Times New Roman" w:hAnsi="Times New Roman"/>
                <w:b/>
                <w:color w:val="000000" w:themeColor="text1"/>
                <w:sz w:val="24"/>
                <w:szCs w:val="24"/>
              </w:rPr>
              <w:t>Фокална</w:t>
            </w:r>
          </w:p>
          <w:p w14:paraId="5D704081"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Зависеща от определено движение (напр. графоспазъм)</w:t>
            </w:r>
          </w:p>
        </w:tc>
        <w:tc>
          <w:tcPr>
            <w:tcW w:w="1744" w:type="dxa"/>
            <w:tcBorders>
              <w:bottom w:val="nil"/>
            </w:tcBorders>
          </w:tcPr>
          <w:p w14:paraId="36678D93" w14:textId="77777777" w:rsidR="00BE0B19" w:rsidRPr="00AE47C6" w:rsidRDefault="00BE0B19" w:rsidP="00BE0B19">
            <w:pPr>
              <w:spacing w:after="0" w:line="360" w:lineRule="auto"/>
              <w:jc w:val="both"/>
              <w:rPr>
                <w:rFonts w:ascii="Times New Roman" w:hAnsi="Times New Roman"/>
                <w:b/>
                <w:color w:val="000000" w:themeColor="text1"/>
                <w:sz w:val="24"/>
                <w:szCs w:val="24"/>
              </w:rPr>
            </w:pPr>
            <w:r w:rsidRPr="00AE47C6">
              <w:rPr>
                <w:rFonts w:ascii="Times New Roman" w:hAnsi="Times New Roman"/>
                <w:b/>
                <w:color w:val="000000" w:themeColor="text1"/>
                <w:sz w:val="24"/>
                <w:szCs w:val="24"/>
              </w:rPr>
              <w:t>Фокална</w:t>
            </w:r>
          </w:p>
          <w:p w14:paraId="3DAF0BC8"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Глава и шия, почти никога не се обхващат краката</w:t>
            </w:r>
          </w:p>
        </w:tc>
      </w:tr>
      <w:tr w:rsidR="00BE0B19" w:rsidRPr="00AE47C6" w14:paraId="36D01A7E" w14:textId="77777777" w:rsidTr="00AD72E5">
        <w:trPr>
          <w:trHeight w:val="53"/>
        </w:trPr>
        <w:tc>
          <w:tcPr>
            <w:tcW w:w="2228" w:type="dxa"/>
            <w:tcBorders>
              <w:top w:val="nil"/>
            </w:tcBorders>
          </w:tcPr>
          <w:p w14:paraId="31DC18A8" w14:textId="77777777" w:rsidR="00BE0B19" w:rsidRPr="00AE47C6" w:rsidRDefault="00BE0B19" w:rsidP="00BE0B19">
            <w:pPr>
              <w:spacing w:after="0" w:line="360" w:lineRule="auto"/>
              <w:jc w:val="both"/>
              <w:rPr>
                <w:rFonts w:ascii="Times New Roman" w:hAnsi="Times New Roman"/>
                <w:color w:val="000000" w:themeColor="text1"/>
                <w:sz w:val="24"/>
                <w:szCs w:val="24"/>
              </w:rPr>
            </w:pPr>
          </w:p>
        </w:tc>
        <w:tc>
          <w:tcPr>
            <w:tcW w:w="2826" w:type="dxa"/>
            <w:tcBorders>
              <w:top w:val="nil"/>
            </w:tcBorders>
          </w:tcPr>
          <w:p w14:paraId="63AAB7AD" w14:textId="77777777" w:rsidR="00BE0B19" w:rsidRPr="00AE47C6" w:rsidRDefault="00BE0B19" w:rsidP="00BE0B19">
            <w:pPr>
              <w:spacing w:after="0" w:line="360" w:lineRule="auto"/>
              <w:jc w:val="both"/>
              <w:rPr>
                <w:rFonts w:ascii="Times New Roman" w:hAnsi="Times New Roman"/>
                <w:color w:val="000000" w:themeColor="text1"/>
                <w:sz w:val="24"/>
                <w:szCs w:val="24"/>
              </w:rPr>
            </w:pPr>
          </w:p>
        </w:tc>
        <w:tc>
          <w:tcPr>
            <w:tcW w:w="2166" w:type="dxa"/>
            <w:tcBorders>
              <w:top w:val="nil"/>
            </w:tcBorders>
          </w:tcPr>
          <w:p w14:paraId="27554F1A" w14:textId="77777777" w:rsidR="00BE0B19" w:rsidRPr="00AE47C6" w:rsidRDefault="00BE0B19" w:rsidP="00BE0B19">
            <w:pPr>
              <w:spacing w:after="0" w:line="360" w:lineRule="auto"/>
              <w:jc w:val="both"/>
              <w:rPr>
                <w:rFonts w:ascii="Times New Roman" w:hAnsi="Times New Roman"/>
                <w:color w:val="000000" w:themeColor="text1"/>
                <w:sz w:val="24"/>
                <w:szCs w:val="24"/>
              </w:rPr>
            </w:pPr>
          </w:p>
        </w:tc>
        <w:tc>
          <w:tcPr>
            <w:tcW w:w="1744" w:type="dxa"/>
            <w:tcBorders>
              <w:top w:val="nil"/>
            </w:tcBorders>
          </w:tcPr>
          <w:p w14:paraId="0EC85777" w14:textId="77777777" w:rsidR="00BE0B19" w:rsidRPr="00AE47C6" w:rsidRDefault="00BE0B19" w:rsidP="00BE0B19">
            <w:pPr>
              <w:spacing w:after="0" w:line="360" w:lineRule="auto"/>
              <w:jc w:val="both"/>
              <w:rPr>
                <w:rFonts w:ascii="Times New Roman" w:hAnsi="Times New Roman"/>
                <w:color w:val="000000" w:themeColor="text1"/>
                <w:sz w:val="24"/>
                <w:szCs w:val="24"/>
              </w:rPr>
            </w:pPr>
          </w:p>
        </w:tc>
      </w:tr>
    </w:tbl>
    <w:p w14:paraId="68951855"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3AD35670"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Диференциалната диагноза</w:t>
      </w:r>
      <w:r w:rsidRPr="00AE47C6">
        <w:rPr>
          <w:rFonts w:ascii="Times New Roman" w:eastAsia="SimSun" w:hAnsi="Times New Roman"/>
          <w:sz w:val="24"/>
          <w:szCs w:val="24"/>
          <w:lang w:eastAsia="bg-BG"/>
        </w:rPr>
        <w:t xml:space="preserve"> е насочена на първо място към отдиференциране на дистониите от други двигателни нарушения, като тикове и тремор. На второ място е необходимо да се отдиференцират първичните от вторичните дистонии. Това налага да се търсят други клинични симптоми и белези, съпътстващи дистонията. Подобни “синдромни асоциации” (напр. дистония и периферна невропатия, дистония и паркинсонизъм) могат да са много полезни в диференциално-диагностичен план. Данни от анамнезата, подсказващи симптоматична дистония, са прекаран енцефалит, интоксикация с медикаменти или токсини (манган и метанол), прием на невролептици, някои антиеметици и антивертигенозни средства или леводопа и перинатална аноксия.</w:t>
      </w:r>
    </w:p>
    <w:p w14:paraId="58A7CD32"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Има много причини за наследствено-дегенеративните дистонии и изследванията могат да са доста инвазивни и да отнемат продължителен период от време. </w:t>
      </w:r>
    </w:p>
    <w:p w14:paraId="3877CE15" w14:textId="77777777" w:rsidR="00BE0B19" w:rsidRPr="00AE47C6" w:rsidRDefault="00BE0B19" w:rsidP="00BE0B19">
      <w:pPr>
        <w:spacing w:after="0" w:line="360" w:lineRule="auto"/>
        <w:ind w:firstLine="720"/>
        <w:jc w:val="both"/>
        <w:rPr>
          <w:rFonts w:ascii="Times New Roman" w:eastAsiaTheme="minorHAnsi" w:hAnsi="Times New Roman"/>
          <w:b/>
          <w:color w:val="000000" w:themeColor="text1"/>
          <w:sz w:val="24"/>
          <w:szCs w:val="24"/>
        </w:rPr>
      </w:pPr>
      <w:r w:rsidRPr="00AE47C6">
        <w:rPr>
          <w:rFonts w:ascii="Times New Roman" w:eastAsiaTheme="minorHAnsi" w:hAnsi="Times New Roman"/>
          <w:color w:val="000000" w:themeColor="text1"/>
          <w:sz w:val="24"/>
          <w:szCs w:val="24"/>
        </w:rPr>
        <w:t>Диагнозата</w:t>
      </w:r>
      <w:r w:rsidRPr="00AE47C6">
        <w:rPr>
          <w:rFonts w:ascii="Times New Roman" w:eastAsiaTheme="minorHAnsi" w:hAnsi="Times New Roman"/>
          <w:b/>
          <w:color w:val="000000" w:themeColor="text1"/>
          <w:sz w:val="24"/>
          <w:szCs w:val="24"/>
        </w:rPr>
        <w:t xml:space="preserve"> може да се постави от специалист по двигателни нарушения чрез разпитване и наблюдение на пациента и използване на клинични тестове.</w:t>
      </w:r>
    </w:p>
    <w:p w14:paraId="6729CA14" w14:textId="77777777" w:rsidR="00BE0B19" w:rsidRPr="00AE47C6" w:rsidRDefault="00BE0B19" w:rsidP="00BE0B19">
      <w:pPr>
        <w:spacing w:after="0" w:line="360" w:lineRule="auto"/>
        <w:ind w:firstLine="720"/>
        <w:jc w:val="both"/>
        <w:rPr>
          <w:rFonts w:ascii="Times New Roman" w:eastAsia="SimSun" w:hAnsi="Times New Roman"/>
          <w:b/>
          <w:color w:val="000000" w:themeColor="text1"/>
          <w:sz w:val="24"/>
          <w:szCs w:val="24"/>
        </w:rPr>
      </w:pPr>
      <w:r w:rsidRPr="00AE47C6">
        <w:rPr>
          <w:rFonts w:ascii="Times New Roman" w:eastAsia="SimSun" w:hAnsi="Times New Roman"/>
          <w:b/>
          <w:sz w:val="24"/>
          <w:szCs w:val="24"/>
        </w:rPr>
        <w:t xml:space="preserve">1. Анамнеза </w:t>
      </w:r>
    </w:p>
    <w:p w14:paraId="493A41EC"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Мобилна или фиксирана е дистонията?</w:t>
      </w:r>
    </w:p>
    <w:p w14:paraId="5AFFE0B6"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Зависи ли е от определено движение или позиция?</w:t>
      </w:r>
    </w:p>
    <w:p w14:paraId="255C8820"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 Подобрява ли се от докосване или </w:t>
      </w:r>
      <w:r w:rsidRPr="00AE47C6">
        <w:rPr>
          <w:rFonts w:ascii="Times New Roman" w:eastAsia="SimSun" w:hAnsi="Times New Roman"/>
          <w:i/>
          <w:color w:val="000000" w:themeColor="text1"/>
          <w:sz w:val="24"/>
          <w:szCs w:val="24"/>
        </w:rPr>
        <w:t>geste antagoniste</w:t>
      </w:r>
      <w:r w:rsidRPr="00AE47C6">
        <w:rPr>
          <w:rFonts w:ascii="Times New Roman" w:eastAsia="SimSun" w:hAnsi="Times New Roman"/>
          <w:color w:val="000000" w:themeColor="text1"/>
          <w:sz w:val="24"/>
          <w:szCs w:val="24"/>
        </w:rPr>
        <w:t>?</w:t>
      </w:r>
    </w:p>
    <w:p w14:paraId="69DEFD94"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 Причинена от едновременна контракция на мускули агонисти и антагонисти (може да бъде палпирано от изследващия или записано с ЕМГ). </w:t>
      </w:r>
    </w:p>
    <w:p w14:paraId="2AB2FB52" w14:textId="77777777" w:rsidR="00BE0B19" w:rsidRPr="00AE47C6" w:rsidRDefault="00BE0B19" w:rsidP="00BE0B19">
      <w:pPr>
        <w:spacing w:after="0" w:line="360" w:lineRule="auto"/>
        <w:ind w:left="360"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Първична или вторична/дегенеративна дистония има пациентът? Най-важно е да се прецени дали освен дистония има и други симптоми и белези, различни от нея (напр. епилептични пристъпи, когнитивен дефицит, паркинсонизъм). Въпреки това, пациентите с вторична/дегенеративна дистония могат да имат клинична картина само на дистония. Първичните дистонии имат анатомично разпространение, което зависи от възрастта на поява. Ако пациентът има необичайна клинична картина за възрастта на поява, като например дистония на крака при възрастен пациент, в подобен случай трябва да се изключи вторична/дегенеративна дистония.</w:t>
      </w:r>
    </w:p>
    <w:p w14:paraId="2F60497D"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В тези случаи има други признаци, насочващи към това, че дистонията се дължи на вторична/дегенеративна причина:</w:t>
      </w:r>
    </w:p>
    <w:p w14:paraId="1BF00BF1" w14:textId="77777777" w:rsidR="00BE0B19" w:rsidRPr="00AE47C6" w:rsidRDefault="00BE0B19" w:rsidP="00BE0B19">
      <w:pPr>
        <w:numPr>
          <w:ilvl w:val="0"/>
          <w:numId w:val="135"/>
        </w:numPr>
        <w:spacing w:after="0" w:line="360" w:lineRule="auto"/>
        <w:contextualSpacing/>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абнормно раждане (перинатална анамнеза);</w:t>
      </w:r>
    </w:p>
    <w:p w14:paraId="6306D39F" w14:textId="77777777" w:rsidR="00BE0B19" w:rsidRPr="00AE47C6" w:rsidRDefault="00BE0B19" w:rsidP="00BE0B19">
      <w:pPr>
        <w:numPr>
          <w:ilvl w:val="0"/>
          <w:numId w:val="135"/>
        </w:numPr>
        <w:spacing w:after="0" w:line="360" w:lineRule="auto"/>
        <w:contextualSpacing/>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изоставане в развитието;</w:t>
      </w:r>
    </w:p>
    <w:p w14:paraId="17F16803" w14:textId="77777777" w:rsidR="00BE0B19" w:rsidRPr="00AE47C6" w:rsidRDefault="00BE0B19" w:rsidP="00BE0B19">
      <w:pPr>
        <w:numPr>
          <w:ilvl w:val="0"/>
          <w:numId w:val="135"/>
        </w:numPr>
        <w:spacing w:after="0" w:line="360" w:lineRule="auto"/>
        <w:contextualSpacing/>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излагане на лекарствени средства в миналото (блокери на допаминовите рецептори);</w:t>
      </w:r>
    </w:p>
    <w:p w14:paraId="232FE820" w14:textId="77777777" w:rsidR="00BE0B19" w:rsidRPr="00AE47C6" w:rsidRDefault="00BE0B19" w:rsidP="00BE0B19">
      <w:pPr>
        <w:numPr>
          <w:ilvl w:val="0"/>
          <w:numId w:val="135"/>
        </w:numPr>
        <w:spacing w:after="0" w:line="360" w:lineRule="auto"/>
        <w:contextualSpacing/>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продължителна прогресия на симптомите;</w:t>
      </w:r>
    </w:p>
    <w:p w14:paraId="7FE8CD77" w14:textId="77777777" w:rsidR="00BE0B19" w:rsidRPr="00AE47C6" w:rsidRDefault="00BE0B19" w:rsidP="00BE0B19">
      <w:pPr>
        <w:numPr>
          <w:ilvl w:val="0"/>
          <w:numId w:val="135"/>
        </w:numPr>
        <w:spacing w:after="0" w:line="360" w:lineRule="auto"/>
        <w:contextualSpacing/>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отявлено булбарно засягане от дистонията;</w:t>
      </w:r>
    </w:p>
    <w:p w14:paraId="211F5720" w14:textId="77777777" w:rsidR="00BE0B19" w:rsidRPr="00AE47C6" w:rsidRDefault="00BE0B19" w:rsidP="00BE0B19">
      <w:pPr>
        <w:numPr>
          <w:ilvl w:val="0"/>
          <w:numId w:val="135"/>
        </w:numPr>
        <w:spacing w:after="0" w:line="360" w:lineRule="auto"/>
        <w:contextualSpacing/>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необичайно разпространение на дистонията във връзка с възрастта на възникване;</w:t>
      </w:r>
    </w:p>
    <w:p w14:paraId="4A5E3B12" w14:textId="77777777" w:rsidR="00BE0B19" w:rsidRPr="00AE47C6" w:rsidRDefault="00BE0B19" w:rsidP="00BE0B19">
      <w:pPr>
        <w:numPr>
          <w:ilvl w:val="0"/>
          <w:numId w:val="135"/>
        </w:numPr>
        <w:spacing w:after="0" w:line="360" w:lineRule="auto"/>
        <w:contextualSpacing/>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необичайна характеристика на дистонията (напр. фиксирана дистония);</w:t>
      </w:r>
    </w:p>
    <w:p w14:paraId="1C0CF037" w14:textId="77777777" w:rsidR="00BE0B19" w:rsidRPr="00AE47C6" w:rsidRDefault="00BE0B19" w:rsidP="00BE0B19">
      <w:pPr>
        <w:numPr>
          <w:ilvl w:val="0"/>
          <w:numId w:val="135"/>
        </w:numPr>
        <w:spacing w:after="0" w:line="360" w:lineRule="auto"/>
        <w:contextualSpacing/>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хемидистония.</w:t>
      </w:r>
    </w:p>
    <w:p w14:paraId="37683D2E" w14:textId="77777777" w:rsidR="00BE0B19" w:rsidRPr="00AE47C6" w:rsidRDefault="00BE0B19" w:rsidP="00BE0B19">
      <w:pPr>
        <w:spacing w:after="0" w:line="360" w:lineRule="auto"/>
        <w:ind w:left="360"/>
        <w:jc w:val="both"/>
        <w:rPr>
          <w:rFonts w:ascii="Times New Roman" w:eastAsia="SimSun" w:hAnsi="Times New Roman"/>
          <w:b/>
          <w:color w:val="000000" w:themeColor="text1"/>
          <w:sz w:val="24"/>
          <w:szCs w:val="24"/>
        </w:rPr>
      </w:pPr>
      <w:r w:rsidRPr="00AE47C6">
        <w:rPr>
          <w:rFonts w:ascii="Times New Roman" w:eastAsia="SimSun" w:hAnsi="Times New Roman"/>
          <w:b/>
          <w:sz w:val="24"/>
          <w:szCs w:val="24"/>
        </w:rPr>
        <w:t>2. Изследване на неврологичния статус</w:t>
      </w:r>
    </w:p>
    <w:p w14:paraId="34FFE754"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Пациентът трябва да се наблюдава в покой, с изпънати пред тялото ръце и по време на бавна пронация/супинация на ръцете – за търсене на абнормна позиция и тремор. </w:t>
      </w:r>
    </w:p>
    <w:p w14:paraId="585A3E48"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Изследване на пациента по време на ходене (най-добре без обувки и с навити нагоре крачоли) – за търсене на абнормни пози на краката/ходилата.</w:t>
      </w:r>
    </w:p>
    <w:p w14:paraId="191435E9"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Наблюдаване на пациента по време на писане – да се търси абнормна поза на пишещата ръка, абнормно притискане на листа хартия от другата ръка, както и всякакви движения на ръката, която не пише (огледални движения).</w:t>
      </w:r>
    </w:p>
    <w:p w14:paraId="3764F8BF"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Трябва да се търсят други неврологични белези и синдроми: паркинсонизъм, миоклонус, пирамидни белези, ретинопатия, нарушения в очните движения, невропатия. Да се изследва пациента и за системна патология (напр. органомегалия).</w:t>
      </w:r>
    </w:p>
    <w:p w14:paraId="37A78DB4"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Диагностичният тест</w:t>
      </w:r>
      <w:r w:rsidRPr="00AE47C6">
        <w:rPr>
          <w:rFonts w:ascii="Times New Roman" w:eastAsia="SimSun" w:hAnsi="Times New Roman"/>
          <w:color w:val="000000" w:themeColor="text1"/>
          <w:sz w:val="24"/>
          <w:szCs w:val="24"/>
        </w:rPr>
        <w:t xml:space="preserve"> с леводопа трябва да се приложи при всички млади пациенти, за да се изключи възможността да се касае за дистония, повлияваща се от леводопа. Терапевтичната доза е 300-600 mg/дневно. Приема се поне 2 месеца, преди да се прецени ефективността. </w:t>
      </w:r>
    </w:p>
    <w:p w14:paraId="31F415D2"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Невроизобразяващите методи</w:t>
      </w:r>
      <w:r w:rsidRPr="00AE47C6">
        <w:rPr>
          <w:rFonts w:ascii="Times New Roman" w:eastAsia="SimSun" w:hAnsi="Times New Roman"/>
          <w:color w:val="000000" w:themeColor="text1"/>
          <w:sz w:val="24"/>
          <w:szCs w:val="24"/>
        </w:rPr>
        <w:t xml:space="preserve"> като компютърната томография и магнитно резонансната томография могат да бъдат от полза за отдиференциране на вторичните дистонии.</w:t>
      </w:r>
    </w:p>
    <w:p w14:paraId="7BF5F48C"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Генетичното изследване</w:t>
      </w:r>
      <w:r w:rsidRPr="00AE47C6">
        <w:rPr>
          <w:rFonts w:ascii="Times New Roman" w:eastAsia="SimSun" w:hAnsi="Times New Roman"/>
          <w:color w:val="000000" w:themeColor="text1"/>
          <w:sz w:val="24"/>
          <w:szCs w:val="24"/>
        </w:rPr>
        <w:t xml:space="preserve"> може да потвърди наличието на мутации в DYT ген. Наличието на мутации в гена не е достатъчно за поставяне на диагнозата дистония, при липса на клинични прояви, поради намалената пенетрантност (под 40%).</w:t>
      </w:r>
    </w:p>
    <w:p w14:paraId="25B3A834"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6.2.1.1. Първична (изолирана) дистония с ранно начало</w:t>
      </w:r>
    </w:p>
    <w:p w14:paraId="7848AAC7"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Позната е също като първична генерализирана торзионна дистония или дистония на Oppenheim. </w:t>
      </w:r>
    </w:p>
    <w:p w14:paraId="16CC96F9"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Около 50-60% от пациентите имат мутация в DYT1 гена на хромозома 9р.</w:t>
      </w:r>
    </w:p>
    <w:p w14:paraId="41C8798B"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 xml:space="preserve">DYT1 </w:t>
      </w:r>
      <w:r w:rsidRPr="00AE47C6">
        <w:rPr>
          <w:rFonts w:ascii="Times New Roman" w:eastAsia="SimSun" w:hAnsi="Times New Roman"/>
          <w:b/>
          <w:sz w:val="24"/>
          <w:szCs w:val="24"/>
        </w:rPr>
        <w:t>първичната</w:t>
      </w:r>
      <w:r w:rsidRPr="00AE47C6">
        <w:rPr>
          <w:rFonts w:ascii="Times New Roman" w:eastAsia="SimSun" w:hAnsi="Times New Roman"/>
          <w:b/>
          <w:color w:val="000000" w:themeColor="text1"/>
          <w:sz w:val="24"/>
          <w:szCs w:val="24"/>
        </w:rPr>
        <w:t xml:space="preserve"> дистония </w:t>
      </w:r>
      <w:r w:rsidRPr="00AE47C6">
        <w:rPr>
          <w:rFonts w:ascii="Times New Roman" w:eastAsia="SimSun" w:hAnsi="Times New Roman"/>
          <w:b/>
          <w:sz w:val="24"/>
          <w:szCs w:val="24"/>
        </w:rPr>
        <w:t>с ранно начало</w:t>
      </w:r>
      <w:r w:rsidRPr="00AE47C6">
        <w:rPr>
          <w:rFonts w:ascii="Times New Roman" w:eastAsia="SimSun" w:hAnsi="Times New Roman"/>
          <w:color w:val="000000" w:themeColor="text1"/>
          <w:sz w:val="24"/>
          <w:szCs w:val="24"/>
        </w:rPr>
        <w:t xml:space="preserve"> е резултат от GAG делеция в DYT1 (дистония 1) гена. Генът DYT1 кодира торзин А протеин, който има шаперон функция в клетката и се експресира във високо допаминергични области на мозъка. Мутацията на DYT1 гена настъпва във всички етнически групи, но има висока пенетрация при евреите Ескенази. </w:t>
      </w:r>
    </w:p>
    <w:p w14:paraId="42EB8DFB" w14:textId="77777777" w:rsidR="00BE0B19" w:rsidRPr="00AE47C6" w:rsidRDefault="00BE0B19" w:rsidP="00BE0B19">
      <w:pPr>
        <w:spacing w:after="0" w:line="360" w:lineRule="auto"/>
        <w:ind w:firstLine="720"/>
        <w:jc w:val="both"/>
        <w:rPr>
          <w:rFonts w:ascii="Times New Roman" w:eastAsia="SimSun" w:hAnsi="Times New Roman"/>
          <w:iCs/>
          <w:color w:val="000000" w:themeColor="text1"/>
          <w:sz w:val="24"/>
          <w:szCs w:val="24"/>
        </w:rPr>
      </w:pPr>
      <w:r w:rsidRPr="00AE47C6">
        <w:rPr>
          <w:rFonts w:ascii="Times New Roman" w:eastAsia="SimSun" w:hAnsi="Times New Roman"/>
          <w:iCs/>
          <w:color w:val="000000" w:themeColor="text1"/>
          <w:sz w:val="24"/>
          <w:szCs w:val="24"/>
        </w:rPr>
        <w:t xml:space="preserve">Унаследява се автозомно-доминантно, но има силно редуцирана пенетрантност: само 30% от носителите на мутацията развиват заболяването. Пенетрантността е възрастово обусловена; ако носител на мутацията достигне 25 год. възраст без да развие никакви симптоми, той вероятно няма да развие дистония до края на живота си. </w:t>
      </w:r>
    </w:p>
    <w:p w14:paraId="61B2B0C5"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sz w:val="24"/>
          <w:szCs w:val="24"/>
          <w:lang w:eastAsia="bg-BG"/>
        </w:rPr>
        <w:t xml:space="preserve">При </w:t>
      </w:r>
      <w:r w:rsidRPr="00AE47C6">
        <w:rPr>
          <w:rFonts w:ascii="Times New Roman" w:eastAsia="SimSun" w:hAnsi="Times New Roman"/>
          <w:b/>
          <w:bCs/>
          <w:sz w:val="24"/>
          <w:szCs w:val="24"/>
          <w:lang w:eastAsia="bg-BG"/>
        </w:rPr>
        <w:t>не-DYT1 първичната дистония с ранно начало пациентите</w:t>
      </w:r>
      <w:r w:rsidRPr="00AE47C6">
        <w:rPr>
          <w:rFonts w:ascii="Times New Roman" w:eastAsia="SimSun" w:hAnsi="Times New Roman"/>
          <w:sz w:val="24"/>
          <w:szCs w:val="24"/>
          <w:lang w:eastAsia="bg-BG"/>
        </w:rPr>
        <w:t xml:space="preserve"> са отрицателни за DYT1 мутация и трябва да се изключи вторична или дегенеративна дистония и да се търси или проследява развитието на нови симптоми във времето. </w:t>
      </w:r>
    </w:p>
    <w:p w14:paraId="1F346690"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Клинично</w:t>
      </w:r>
      <w:r w:rsidRPr="00AE47C6">
        <w:rPr>
          <w:rFonts w:ascii="Times New Roman" w:eastAsia="SimSun" w:hAnsi="Times New Roman"/>
          <w:color w:val="000000" w:themeColor="text1"/>
          <w:sz w:val="24"/>
          <w:szCs w:val="24"/>
        </w:rPr>
        <w:t xml:space="preserve"> началото на дистонията е в късното детство или ранно юношество. Началото от </w:t>
      </w:r>
      <w:r w:rsidRPr="00AE47C6">
        <w:rPr>
          <w:rFonts w:ascii="Times New Roman" w:eastAsia="SimSun" w:hAnsi="Times New Roman"/>
          <w:iCs/>
          <w:color w:val="000000" w:themeColor="text1"/>
          <w:sz w:val="24"/>
          <w:szCs w:val="24"/>
        </w:rPr>
        <w:t xml:space="preserve">дисталните части на </w:t>
      </w:r>
      <w:r w:rsidRPr="00AE47C6">
        <w:rPr>
          <w:rFonts w:ascii="Times New Roman" w:eastAsia="SimSun" w:hAnsi="Times New Roman"/>
          <w:color w:val="000000" w:themeColor="text1"/>
          <w:sz w:val="24"/>
          <w:szCs w:val="24"/>
        </w:rPr>
        <w:t xml:space="preserve">определен крайник е много типично. </w:t>
      </w:r>
      <w:r w:rsidRPr="00AE47C6">
        <w:rPr>
          <w:rFonts w:ascii="Times New Roman" w:eastAsia="SimSun" w:hAnsi="Times New Roman"/>
          <w:iCs/>
          <w:color w:val="000000" w:themeColor="text1"/>
          <w:sz w:val="24"/>
          <w:szCs w:val="24"/>
        </w:rPr>
        <w:t xml:space="preserve">Най-често започва от един долен, по-рядко от горен крайник. Прогресията на дистонията при начало от долен крайник е по-бърза (средно 4,7 години) в сравнение с тази с начало от горен крайник – средно 11,4 години. </w:t>
      </w:r>
      <w:r w:rsidRPr="00AE47C6">
        <w:rPr>
          <w:rFonts w:ascii="Times New Roman" w:eastAsia="SimSun" w:hAnsi="Times New Roman"/>
          <w:color w:val="000000" w:themeColor="text1"/>
          <w:sz w:val="24"/>
          <w:szCs w:val="24"/>
        </w:rPr>
        <w:t xml:space="preserve">В последствие дистонията се разпространява за месеци до 2 години, обикновено завършва с генерализирана дистония. Някои от пациентите могат да развият и фокални/сегментни симптоми. След това симптомите достигат плато и въпреки че могат да се задълбочават или намаляват, развитието на нови дистонни симптоми трябва да насочи към ревизия на диагнозата. Необичайно е засягането на краниални и булбарни структури от дистонията. </w:t>
      </w:r>
    </w:p>
    <w:p w14:paraId="384F527E" w14:textId="77777777" w:rsidR="00BE0B19" w:rsidRPr="00AE47C6" w:rsidRDefault="00BE0B19" w:rsidP="00BE0B19">
      <w:pPr>
        <w:spacing w:after="0" w:line="360" w:lineRule="auto"/>
        <w:ind w:firstLine="720"/>
        <w:jc w:val="both"/>
        <w:rPr>
          <w:rFonts w:ascii="Times New Roman" w:eastAsia="SimSun" w:hAnsi="Times New Roman"/>
          <w:iCs/>
          <w:color w:val="000000" w:themeColor="text1"/>
          <w:sz w:val="24"/>
          <w:szCs w:val="24"/>
        </w:rPr>
      </w:pPr>
      <w:r w:rsidRPr="00AE47C6">
        <w:rPr>
          <w:rFonts w:ascii="Times New Roman" w:eastAsia="SimSun" w:hAnsi="Times New Roman"/>
          <w:color w:val="000000" w:themeColor="text1"/>
          <w:sz w:val="24"/>
          <w:szCs w:val="24"/>
        </w:rPr>
        <w:t>При</w:t>
      </w:r>
      <w:r w:rsidRPr="00AE47C6">
        <w:rPr>
          <w:rFonts w:ascii="Times New Roman" w:eastAsia="SimSun" w:hAnsi="Times New Roman"/>
          <w:b/>
          <w:color w:val="000000" w:themeColor="text1"/>
          <w:sz w:val="24"/>
          <w:szCs w:val="24"/>
        </w:rPr>
        <w:t xml:space="preserve"> DYT1 </w:t>
      </w:r>
      <w:r w:rsidRPr="00AE47C6">
        <w:rPr>
          <w:rFonts w:ascii="Times New Roman" w:eastAsia="SimSun" w:hAnsi="Times New Roman"/>
          <w:iCs/>
          <w:color w:val="000000" w:themeColor="text1"/>
          <w:sz w:val="24"/>
          <w:szCs w:val="24"/>
        </w:rPr>
        <w:t xml:space="preserve">някои пациенти развиват тежка генерализирана дистония, но други могат да имат само лека фокална дистония на крайниците. Веднъж състоянието достигнало своето плато, по-нататъшна прогресия е необичайна. С течение на времето могат да се появят неврологични усложнения, в следствие на дистонните пози (сколиоза, периферно-нервна компресия, миелопатия, свързана със спондилозата). </w:t>
      </w:r>
    </w:p>
    <w:p w14:paraId="561C7DBE"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sz w:val="24"/>
          <w:szCs w:val="24"/>
        </w:rPr>
        <w:t xml:space="preserve">Не-DYT1 </w:t>
      </w:r>
      <w:r w:rsidRPr="00AE47C6">
        <w:rPr>
          <w:rFonts w:ascii="Times New Roman" w:eastAsia="SimSun" w:hAnsi="Times New Roman"/>
          <w:color w:val="000000" w:themeColor="text1"/>
          <w:sz w:val="24"/>
          <w:szCs w:val="24"/>
        </w:rPr>
        <w:t>протича с подобен клиничен фенотип и отговор към лечението, както при пациентите с DYT1 мутации.</w:t>
      </w:r>
    </w:p>
    <w:p w14:paraId="1E10D74A"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Диференциалната диагноза</w:t>
      </w:r>
      <w:r w:rsidRPr="00AE47C6">
        <w:rPr>
          <w:rFonts w:ascii="Times New Roman" w:eastAsia="SimSun" w:hAnsi="Times New Roman"/>
          <w:color w:val="000000" w:themeColor="text1"/>
          <w:sz w:val="24"/>
          <w:szCs w:val="24"/>
        </w:rPr>
        <w:t xml:space="preserve"> изисква на първо място да се изключи влияещата се от леводопа дистония. Някои дегенеративни форми на дистония могат да започнат в ранна възраст, като първата изява е дистония (болест на Wilson, NBIAS). </w:t>
      </w:r>
    </w:p>
    <w:p w14:paraId="071FEFA1"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Изследвания.</w:t>
      </w:r>
      <w:r w:rsidRPr="00AE47C6">
        <w:rPr>
          <w:rFonts w:ascii="Times New Roman" w:eastAsia="SimSun" w:hAnsi="Times New Roman"/>
          <w:color w:val="000000" w:themeColor="text1"/>
          <w:sz w:val="24"/>
          <w:szCs w:val="24"/>
        </w:rPr>
        <w:t xml:space="preserve"> Ако няма белези насочващи към вторична/дегенеративна дистония, е уместно да се проведат следните изследвания:</w:t>
      </w:r>
    </w:p>
    <w:p w14:paraId="6F389A60" w14:textId="77777777" w:rsidR="00BE0B19" w:rsidRPr="00AE47C6" w:rsidRDefault="00BE0B19" w:rsidP="00BE0B19">
      <w:pPr>
        <w:spacing w:after="0" w:line="360" w:lineRule="auto"/>
        <w:ind w:firstLine="720"/>
        <w:jc w:val="both"/>
        <w:rPr>
          <w:rFonts w:ascii="Times New Roman" w:eastAsia="SimSun" w:hAnsi="Times New Roman"/>
          <w:iCs/>
          <w:color w:val="000000" w:themeColor="text1"/>
          <w:sz w:val="24"/>
          <w:szCs w:val="24"/>
        </w:rPr>
      </w:pPr>
      <w:r w:rsidRPr="00AE47C6">
        <w:rPr>
          <w:rFonts w:ascii="Times New Roman" w:eastAsia="SimSun" w:hAnsi="Times New Roman"/>
          <w:color w:val="000000" w:themeColor="text1"/>
          <w:sz w:val="24"/>
          <w:szCs w:val="24"/>
        </w:rPr>
        <w:t>- Тестване на DYT1 гена.</w:t>
      </w:r>
      <w:r w:rsidRPr="00AE47C6">
        <w:rPr>
          <w:rFonts w:ascii="Times New Roman" w:eastAsia="SimSun" w:hAnsi="Times New Roman"/>
          <w:iCs/>
          <w:color w:val="000000" w:themeColor="text1"/>
          <w:sz w:val="24"/>
          <w:szCs w:val="24"/>
        </w:rPr>
        <w:t xml:space="preserve"> Генетичното изследване на DYT1 мутацията е достъпно и технически лесно изпълнимо.</w:t>
      </w:r>
    </w:p>
    <w:p w14:paraId="69873920"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 Мед, церулоплазмин, изследване за пръстен на Kayser-Fleischer </w:t>
      </w:r>
    </w:p>
    <w:p w14:paraId="03A78254"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МРТ на главен мозък</w:t>
      </w:r>
    </w:p>
    <w:p w14:paraId="4C3F941A"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Диагностично-терапевтичен тест с леводопа при всички млади пациенти.</w:t>
      </w:r>
    </w:p>
    <w:p w14:paraId="3E217D24" w14:textId="77777777" w:rsidR="00BE0B19" w:rsidRPr="00AE47C6" w:rsidRDefault="00BE0B19" w:rsidP="00BE0B19">
      <w:pPr>
        <w:spacing w:after="0" w:line="360" w:lineRule="auto"/>
        <w:jc w:val="both"/>
        <w:rPr>
          <w:rFonts w:ascii="Times New Roman" w:eastAsia="SimSun" w:hAnsi="Times New Roman"/>
          <w:b/>
          <w:color w:val="000000" w:themeColor="text1"/>
          <w:sz w:val="24"/>
          <w:szCs w:val="24"/>
        </w:rPr>
      </w:pPr>
    </w:p>
    <w:p w14:paraId="25CAA3CC" w14:textId="77777777" w:rsidR="00BE0B19" w:rsidRPr="00AE47C6" w:rsidRDefault="00BE0B19" w:rsidP="00BE0B19">
      <w:pPr>
        <w:spacing w:after="0" w:line="360" w:lineRule="auto"/>
        <w:jc w:val="both"/>
        <w:rPr>
          <w:rFonts w:ascii="Times New Roman" w:eastAsia="SimSun" w:hAnsi="Times New Roman"/>
          <w:b/>
          <w:color w:val="000000" w:themeColor="text1"/>
          <w:sz w:val="24"/>
          <w:szCs w:val="24"/>
        </w:rPr>
      </w:pPr>
      <w:r w:rsidRPr="00AE47C6">
        <w:rPr>
          <w:rFonts w:ascii="Times New Roman" w:eastAsia="SimSun" w:hAnsi="Times New Roman"/>
          <w:b/>
          <w:color w:val="000000" w:themeColor="text1"/>
          <w:sz w:val="24"/>
          <w:szCs w:val="24"/>
        </w:rPr>
        <w:t>Комбинирани дистонии</w:t>
      </w:r>
    </w:p>
    <w:p w14:paraId="69FA9B27" w14:textId="77777777" w:rsidR="00BE0B19" w:rsidRPr="00AE47C6" w:rsidRDefault="00BE0B19" w:rsidP="00BE0B19">
      <w:pPr>
        <w:spacing w:after="0" w:line="360" w:lineRule="auto"/>
        <w:jc w:val="both"/>
        <w:rPr>
          <w:rFonts w:ascii="Times New Roman" w:eastAsia="SimSun" w:hAnsi="Times New Roman"/>
          <w:b/>
          <w:color w:val="000000" w:themeColor="text1"/>
          <w:sz w:val="24"/>
          <w:szCs w:val="24"/>
        </w:rPr>
      </w:pPr>
    </w:p>
    <w:p w14:paraId="4E1F2366" w14:textId="77777777" w:rsidR="00BE0B19" w:rsidRPr="00AE47C6" w:rsidRDefault="00BE0B19" w:rsidP="00BE0B19">
      <w:pPr>
        <w:spacing w:after="0" w:line="360" w:lineRule="auto"/>
        <w:ind w:firstLine="720"/>
        <w:jc w:val="both"/>
        <w:rPr>
          <w:rFonts w:ascii="Times New Roman" w:eastAsia="SimSun" w:hAnsi="Times New Roman"/>
          <w:b/>
          <w:color w:val="000000" w:themeColor="text1"/>
          <w:sz w:val="24"/>
          <w:szCs w:val="24"/>
        </w:rPr>
      </w:pPr>
      <w:r w:rsidRPr="00AE47C6">
        <w:rPr>
          <w:rFonts w:ascii="Times New Roman" w:eastAsia="SimSun" w:hAnsi="Times New Roman"/>
          <w:b/>
          <w:sz w:val="24"/>
          <w:szCs w:val="24"/>
        </w:rPr>
        <w:t>Дистония-плюс синдроми</w:t>
      </w:r>
    </w:p>
    <w:p w14:paraId="1B9DE00A"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Описани са само 2 дистония-плюс синдрома: влияещата се от леводопа дистония и миоклонус дистонията. </w:t>
      </w:r>
    </w:p>
    <w:p w14:paraId="12A8AD43" w14:textId="77777777" w:rsidR="00BE0B19" w:rsidRPr="00AE47C6" w:rsidRDefault="00BE0B19" w:rsidP="00BE0B19">
      <w:pPr>
        <w:spacing w:after="0" w:line="360" w:lineRule="auto"/>
        <w:ind w:firstLine="720"/>
        <w:jc w:val="both"/>
        <w:rPr>
          <w:rFonts w:ascii="Times New Roman" w:eastAsia="SimSun" w:hAnsi="Times New Roman"/>
          <w:b/>
          <w:color w:val="000000" w:themeColor="text1"/>
          <w:sz w:val="24"/>
          <w:szCs w:val="24"/>
        </w:rPr>
      </w:pPr>
      <w:r w:rsidRPr="00AE47C6">
        <w:rPr>
          <w:rFonts w:ascii="Times New Roman" w:eastAsia="SimSun" w:hAnsi="Times New Roman"/>
          <w:b/>
          <w:sz w:val="24"/>
          <w:szCs w:val="24"/>
        </w:rPr>
        <w:t>Дистония, повлияваща се от леводопа</w:t>
      </w:r>
    </w:p>
    <w:p w14:paraId="6C0B9DB5"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Синдромът на Segawa (Dopa responsive dystonia/DRD) е напълно лечимо заболяване, което ако не се лекува, може да настъпи сериозна инвалидизация. </w:t>
      </w:r>
    </w:p>
    <w:p w14:paraId="14AE15B4"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Етиологията</w:t>
      </w:r>
      <w:r w:rsidRPr="00AE47C6">
        <w:rPr>
          <w:rFonts w:ascii="Times New Roman" w:eastAsia="SimSun" w:hAnsi="Times New Roman"/>
          <w:color w:val="000000" w:themeColor="text1"/>
          <w:sz w:val="24"/>
          <w:szCs w:val="24"/>
        </w:rPr>
        <w:t xml:space="preserve"> е свързана с мутации на гуанидин трифосфат циклохидролаза 1 гена на 14р хромозома (GTPCH1). Ензимът отговаря за лимитирането на една стъпка в продукцията на тетрахидобиоптерина (THB),  който от своя страна е важен ко-фактор в продукцията на допамин от тирамина. THB е необходим за превръщането на фенилаланин в тирамин. Възниква дефицит на централния допаминов синтез. Унаследява се автозомно-доминантно, с непълна пенетрантност.</w:t>
      </w:r>
    </w:p>
    <w:p w14:paraId="7583520F"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Болестността</w:t>
      </w:r>
      <w:r w:rsidRPr="00AE47C6">
        <w:rPr>
          <w:rFonts w:ascii="Times New Roman" w:eastAsia="SimSun" w:hAnsi="Times New Roman"/>
          <w:color w:val="000000" w:themeColor="text1"/>
          <w:sz w:val="24"/>
          <w:szCs w:val="24"/>
        </w:rPr>
        <w:t xml:space="preserve"> е 0,5 - 1 на 1 милион население, без етническа предилекция. Момичетата се засягат 4 пъти по-често от момчетата.</w:t>
      </w:r>
    </w:p>
    <w:p w14:paraId="49F00814"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Клинично</w:t>
      </w:r>
      <w:r w:rsidRPr="00AE47C6">
        <w:rPr>
          <w:rFonts w:ascii="Times New Roman" w:eastAsia="SimSun" w:hAnsi="Times New Roman"/>
          <w:color w:val="000000" w:themeColor="text1"/>
          <w:sz w:val="24"/>
          <w:szCs w:val="24"/>
        </w:rPr>
        <w:t xml:space="preserve"> се проявява между 2 и 5 годишна възраст с прогресираща дистония на долен крайник, често се добавят паркинсонизъм и спастичност. Честа е дневната вариабилност на симптомите, които се влошават в края на деня. Подобрението след сън се дължи на намаленото използване на допамин. Дистонията прогресира постепенно, засяга ръцете, аксиалната мускулатура със засилване на лумбалната лордоза, сколиоза и понякога тортиколис и ретроколис. В продължение на 4 – 5 години се засягат всички части на тялото. Клиничното протичане е много вариабилно. Някои пациенти имат непрогресираща дистония на ръката, появяваща се през двайсетте години, имитирайки графоспазъм. Повечето имат тежки симптоми с ранно начало с допълнителни белези от засягане на горен двигателен неврон (живи сухожилни рефлекси, спастичност, положителни рефлекси от групата на Babinski и Rossolimo), приличащи на детска церебрална парализа или болест на Strumpell. </w:t>
      </w:r>
    </w:p>
    <w:p w14:paraId="1872C035"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Диференциалната диагноза</w:t>
      </w:r>
      <w:r w:rsidRPr="00AE47C6">
        <w:rPr>
          <w:rFonts w:ascii="Times New Roman" w:eastAsia="SimSun" w:hAnsi="Times New Roman"/>
          <w:color w:val="000000" w:themeColor="text1"/>
          <w:sz w:val="24"/>
          <w:szCs w:val="24"/>
        </w:rPr>
        <w:t xml:space="preserve"> с генерализираната торзионна дистония е много важна предвид различната терапия. Трябва да се отдиференцира и от детската церебрална парализа. Паркинсоновата болест, настъпваща в млада възраст може да започне с дистония, отговаряща на леводопа. При младите пациенти с Паркинсонова болест лечението с леводопа трябва да се отложи във времето и затова е необходимо ясно разграничаване. </w:t>
      </w:r>
    </w:p>
    <w:p w14:paraId="05447C09"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bCs/>
          <w:sz w:val="24"/>
          <w:szCs w:val="24"/>
        </w:rPr>
        <w:t>Изследвания.</w:t>
      </w:r>
      <w:r w:rsidRPr="00AE47C6">
        <w:rPr>
          <w:rFonts w:ascii="Times New Roman" w:eastAsia="SimSun" w:hAnsi="Times New Roman"/>
          <w:color w:val="000000" w:themeColor="text1"/>
          <w:sz w:val="24"/>
          <w:szCs w:val="24"/>
        </w:rPr>
        <w:t xml:space="preserve"> Препоръчва се всички пациенти &lt;25 години с начало на дистония в млада възраст, да проведат </w:t>
      </w:r>
      <w:r w:rsidRPr="00AE47C6">
        <w:rPr>
          <w:rFonts w:ascii="Times New Roman" w:eastAsia="SimSun" w:hAnsi="Times New Roman"/>
          <w:i/>
          <w:color w:val="000000" w:themeColor="text1"/>
          <w:sz w:val="24"/>
          <w:szCs w:val="24"/>
        </w:rPr>
        <w:t>диагностичен тест с леводопа</w:t>
      </w:r>
      <w:r w:rsidRPr="00AE47C6">
        <w:rPr>
          <w:rFonts w:ascii="Times New Roman" w:eastAsia="SimSun" w:hAnsi="Times New Roman"/>
          <w:color w:val="000000" w:themeColor="text1"/>
          <w:sz w:val="24"/>
          <w:szCs w:val="24"/>
        </w:rPr>
        <w:t xml:space="preserve">. </w:t>
      </w:r>
    </w:p>
    <w:p w14:paraId="2F572363" w14:textId="77777777" w:rsidR="00BE0B19" w:rsidRPr="00AE47C6" w:rsidRDefault="00BE0B19" w:rsidP="00BE0B19">
      <w:pPr>
        <w:spacing w:after="0" w:line="360" w:lineRule="auto"/>
        <w:ind w:firstLine="720"/>
        <w:jc w:val="both"/>
        <w:rPr>
          <w:rFonts w:ascii="Times New Roman" w:eastAsia="SimSun" w:hAnsi="Times New Roman"/>
          <w:i/>
          <w:sz w:val="24"/>
          <w:szCs w:val="24"/>
          <w:u w:val="single"/>
        </w:rPr>
      </w:pPr>
      <w:r w:rsidRPr="00AE47C6">
        <w:rPr>
          <w:rFonts w:ascii="Times New Roman" w:eastAsia="SimSun" w:hAnsi="Times New Roman"/>
          <w:i/>
          <w:color w:val="000000" w:themeColor="text1"/>
          <w:sz w:val="24"/>
          <w:szCs w:val="24"/>
        </w:rPr>
        <w:t>Генетично изследване</w:t>
      </w:r>
      <w:r w:rsidRPr="00AE47C6">
        <w:rPr>
          <w:rFonts w:ascii="Times New Roman" w:eastAsia="SimSun" w:hAnsi="Times New Roman"/>
          <w:color w:val="000000" w:themeColor="text1"/>
          <w:sz w:val="24"/>
          <w:szCs w:val="24"/>
        </w:rPr>
        <w:t xml:space="preserve"> за мутации в гена GTPCH1 не може да се осъществи навсякъде. Генът е много голям и са описани много мутации, което прави изследването много трудно. </w:t>
      </w:r>
    </w:p>
    <w:p w14:paraId="3CF556B2" w14:textId="77777777" w:rsidR="00BE0B19" w:rsidRPr="00AE47C6" w:rsidRDefault="00BE0B19" w:rsidP="00BE0B19">
      <w:pPr>
        <w:spacing w:after="0" w:line="360" w:lineRule="auto"/>
        <w:ind w:firstLine="720"/>
        <w:jc w:val="both"/>
        <w:rPr>
          <w:rFonts w:ascii="Times New Roman" w:eastAsia="SimSun" w:hAnsi="Times New Roman"/>
          <w:b/>
          <w:i/>
          <w:color w:val="000000" w:themeColor="text1"/>
          <w:sz w:val="24"/>
          <w:szCs w:val="24"/>
        </w:rPr>
      </w:pPr>
      <w:r w:rsidRPr="00AE47C6">
        <w:rPr>
          <w:rFonts w:ascii="Times New Roman" w:eastAsia="SimSun" w:hAnsi="Times New Roman"/>
          <w:color w:val="000000" w:themeColor="text1"/>
          <w:sz w:val="24"/>
          <w:szCs w:val="24"/>
        </w:rPr>
        <w:t xml:space="preserve">При </w:t>
      </w:r>
      <w:r w:rsidRPr="00AE47C6">
        <w:rPr>
          <w:rFonts w:ascii="Times New Roman" w:eastAsia="SimSun" w:hAnsi="Times New Roman"/>
          <w:i/>
          <w:color w:val="000000" w:themeColor="text1"/>
          <w:sz w:val="24"/>
          <w:szCs w:val="24"/>
        </w:rPr>
        <w:t>теста с натоварване с фенилаланин</w:t>
      </w:r>
      <w:r w:rsidRPr="00AE47C6">
        <w:rPr>
          <w:rFonts w:ascii="Times New Roman" w:eastAsia="SimSun" w:hAnsi="Times New Roman"/>
          <w:color w:val="000000" w:themeColor="text1"/>
          <w:sz w:val="24"/>
          <w:szCs w:val="24"/>
        </w:rPr>
        <w:t xml:space="preserve">, доза от 100 mg/kg се приема през устата, като непосредствено след това на 1, 2, 4 и 6 час след приема се измерва нивото на фенилаланин. Високите нива след обременяването насочват към DRD. </w:t>
      </w:r>
    </w:p>
    <w:p w14:paraId="2B0BBA50"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i/>
          <w:color w:val="000000" w:themeColor="text1"/>
          <w:sz w:val="24"/>
          <w:szCs w:val="24"/>
        </w:rPr>
        <w:t>SPECT изследването</w:t>
      </w:r>
      <w:r w:rsidRPr="00AE47C6">
        <w:rPr>
          <w:rFonts w:ascii="Times New Roman" w:eastAsia="SimSun" w:hAnsi="Times New Roman"/>
          <w:color w:val="000000" w:themeColor="text1"/>
          <w:sz w:val="24"/>
          <w:szCs w:val="24"/>
        </w:rPr>
        <w:t xml:space="preserve"> (Datscan) е нормално при DRD и абнормно при Паркинсоновата болест.</w:t>
      </w:r>
    </w:p>
    <w:p w14:paraId="7BF76C1F" w14:textId="77777777" w:rsidR="00BE0B19" w:rsidRPr="00AE47C6" w:rsidRDefault="00BE0B19" w:rsidP="00BE0B19">
      <w:pPr>
        <w:spacing w:after="0" w:line="360" w:lineRule="auto"/>
        <w:ind w:firstLine="720"/>
        <w:jc w:val="both"/>
        <w:rPr>
          <w:rFonts w:ascii="Times New Roman" w:eastAsia="SimSun" w:hAnsi="Times New Roman"/>
          <w:b/>
          <w:color w:val="000000" w:themeColor="text1"/>
          <w:sz w:val="24"/>
          <w:szCs w:val="24"/>
        </w:rPr>
      </w:pPr>
      <w:r w:rsidRPr="00AE47C6">
        <w:rPr>
          <w:rFonts w:ascii="Times New Roman" w:eastAsia="SimSun" w:hAnsi="Times New Roman"/>
          <w:b/>
          <w:sz w:val="24"/>
          <w:szCs w:val="24"/>
        </w:rPr>
        <w:t xml:space="preserve">Миоклонус-дистония и есенциален миоклонус </w:t>
      </w:r>
    </w:p>
    <w:p w14:paraId="5DFBD207"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Представляват различни изяви на недегенеративни фамилни форми на миоклонус. </w:t>
      </w:r>
    </w:p>
    <w:p w14:paraId="20B53E9F"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Най-често се унаследява автозомно-доминантно. Около 30% от пациентите имат мутации в епсилон-саркогликан гена на 7q хромозома. Този ген показва “майчин импринтинг”, което значи, че децата които унаследяват дефекта от своята майка почти никога не развиват заболяването. </w:t>
      </w:r>
    </w:p>
    <w:p w14:paraId="643018B3"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Клинично</w:t>
      </w:r>
      <w:r w:rsidRPr="00AE47C6">
        <w:rPr>
          <w:rFonts w:ascii="Times New Roman" w:eastAsia="SimSun" w:hAnsi="Times New Roman"/>
          <w:color w:val="000000" w:themeColor="text1"/>
          <w:sz w:val="24"/>
          <w:szCs w:val="24"/>
        </w:rPr>
        <w:t xml:space="preserve"> възниква в ранното детство. Симптомите могат да са много леки и да не се установят веднага след тяхното начало. Клиничната картина обикновено се изразява в миоклонични потрепвания, засягащи главно врата и ръцете. Потрепванията са толкова бързи, че са описани още като “светкавични” или “тик-так” миоклонични потрепвания. Може да има и съпътстваща дистония на врата и ръцете, но обикновено е много лека, в сравнение с миоклонуса. Миоклонусът и дистонията обикновено се повлияват от алкохол. Някои пациенти могат да имат допълнителна психиатрична коморбидност, като обсесивно-компулсивно поведение, тревожност и депресия. </w:t>
      </w:r>
    </w:p>
    <w:p w14:paraId="24307B0C"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Изследвания.</w:t>
      </w:r>
      <w:r w:rsidRPr="00AE47C6">
        <w:rPr>
          <w:rFonts w:ascii="Times New Roman" w:eastAsia="SimSun" w:hAnsi="Times New Roman"/>
          <w:color w:val="000000" w:themeColor="text1"/>
          <w:sz w:val="24"/>
          <w:szCs w:val="24"/>
        </w:rPr>
        <w:t xml:space="preserve"> Миоклонусът е с подкоров произход и не се установяват електроенцефалографски абнормности, нито гигантски соматосензорни евокирани потенциали. Генетичното тестване е възможно само в някои центрове.</w:t>
      </w:r>
    </w:p>
    <w:p w14:paraId="72ED4409"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 </w:t>
      </w:r>
    </w:p>
    <w:p w14:paraId="135814D1" w14:textId="77777777" w:rsidR="00BE0B19" w:rsidRPr="00AE47C6" w:rsidRDefault="00BE0B19" w:rsidP="00BE0B19">
      <w:pPr>
        <w:spacing w:after="0" w:line="360" w:lineRule="auto"/>
        <w:ind w:firstLine="720"/>
        <w:jc w:val="both"/>
        <w:rPr>
          <w:rFonts w:ascii="Times New Roman" w:eastAsia="SimSun" w:hAnsi="Times New Roman"/>
          <w:b/>
          <w:color w:val="000000" w:themeColor="text1"/>
          <w:sz w:val="24"/>
          <w:szCs w:val="24"/>
        </w:rPr>
      </w:pPr>
      <w:r w:rsidRPr="00AE47C6">
        <w:rPr>
          <w:rFonts w:ascii="Times New Roman" w:eastAsia="SimSun" w:hAnsi="Times New Roman"/>
          <w:b/>
          <w:sz w:val="24"/>
          <w:szCs w:val="24"/>
        </w:rPr>
        <w:t>Status dystonicus</w:t>
      </w:r>
    </w:p>
    <w:p w14:paraId="35236008"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Представлява спешно неврологично състояние при пациент, със съществуваща дистония, който има остра и тежка екзацербация на дистонията. Предшества се от провокиращ фактор, като прекарана скоро инфекция или промяна в терапевтичната схема на лечение. Дистонните спазми могат да бъдат много тежки, често причиняващи булбарна и респираторна недостатъчност. Пациентите трябва да се хоспитализират по спешност в звено за интензивни грижи и постоянно наблюдение. В резултат на продължителните мускулни спазми могат да настъпят рабдомиолиза и последваща бъбречна недостатъчност. </w:t>
      </w:r>
    </w:p>
    <w:p w14:paraId="2927DF09" w14:textId="77777777" w:rsidR="00BE0B19" w:rsidRPr="00AE47C6" w:rsidRDefault="00BE0B19" w:rsidP="00BE0B19">
      <w:pPr>
        <w:spacing w:after="0" w:line="360" w:lineRule="auto"/>
        <w:ind w:firstLine="720"/>
        <w:jc w:val="both"/>
        <w:rPr>
          <w:rFonts w:ascii="Times New Roman" w:eastAsia="SimSun" w:hAnsi="Times New Roman"/>
          <w:b/>
          <w:color w:val="000000" w:themeColor="text1"/>
          <w:sz w:val="24"/>
          <w:szCs w:val="24"/>
        </w:rPr>
      </w:pPr>
    </w:p>
    <w:p w14:paraId="79A424B9"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6.2.1.2. Изолирани (първични) дистонии с късно начало: фокални и сегментни</w:t>
      </w:r>
    </w:p>
    <w:p w14:paraId="2921BFD9" w14:textId="77777777" w:rsidR="00BE0B19" w:rsidRPr="00AE47C6" w:rsidRDefault="00BE0B19" w:rsidP="00BE0B19">
      <w:pPr>
        <w:spacing w:after="0" w:line="360" w:lineRule="auto"/>
        <w:ind w:firstLine="720"/>
        <w:jc w:val="both"/>
        <w:rPr>
          <w:rFonts w:ascii="Times New Roman" w:eastAsia="SimSun" w:hAnsi="Times New Roman"/>
          <w:b/>
          <w:color w:val="000000" w:themeColor="text1"/>
          <w:sz w:val="24"/>
          <w:szCs w:val="24"/>
        </w:rPr>
      </w:pPr>
      <w:r w:rsidRPr="00AE47C6">
        <w:rPr>
          <w:rFonts w:ascii="Times New Roman" w:eastAsia="SimSun" w:hAnsi="Times New Roman"/>
          <w:b/>
          <w:color w:val="000000" w:themeColor="text1"/>
          <w:sz w:val="24"/>
          <w:szCs w:val="24"/>
        </w:rPr>
        <w:t>1. Сегментни дистонии</w:t>
      </w:r>
    </w:p>
    <w:p w14:paraId="0EC9BE61" w14:textId="77777777" w:rsidR="00BE0B19" w:rsidRPr="00AE47C6" w:rsidRDefault="00BE0B19" w:rsidP="00BE0B19">
      <w:pPr>
        <w:spacing w:after="0" w:line="360" w:lineRule="auto"/>
        <w:ind w:firstLine="720"/>
        <w:jc w:val="both"/>
        <w:rPr>
          <w:rFonts w:ascii="Times New Roman" w:eastAsia="SimSun" w:hAnsi="Times New Roman"/>
          <w:b/>
          <w:color w:val="000000" w:themeColor="text1"/>
          <w:sz w:val="24"/>
          <w:szCs w:val="24"/>
        </w:rPr>
      </w:pPr>
      <w:r w:rsidRPr="00AE47C6">
        <w:rPr>
          <w:rFonts w:ascii="Times New Roman" w:eastAsia="SimSun" w:hAnsi="Times New Roman"/>
          <w:b/>
          <w:color w:val="000000" w:themeColor="text1"/>
          <w:sz w:val="24"/>
          <w:szCs w:val="24"/>
        </w:rPr>
        <w:t>Краниални дистонии</w:t>
      </w:r>
    </w:p>
    <w:p w14:paraId="6C993AD8"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Краниалните дистонии обхващат лицето, устата и долната челюст и се проявяват като комбинация от различни фокални дистонии: блефароспазъм, лингвална, орофациална, орофациолингвална, оромандибуларна, цервикална дистония, дистонична дисфония и дисфагия. Могат да останат фокални или да прогресират в сегментни. </w:t>
      </w:r>
    </w:p>
    <w:p w14:paraId="4D7365BB" w14:textId="77777777" w:rsidR="00BE0B19" w:rsidRPr="00AE47C6" w:rsidRDefault="00BE0B19" w:rsidP="00BE0B19">
      <w:pPr>
        <w:spacing w:after="0" w:line="360" w:lineRule="auto"/>
        <w:ind w:firstLine="720"/>
        <w:jc w:val="both"/>
        <w:rPr>
          <w:rFonts w:ascii="Times New Roman" w:eastAsia="SimSun" w:hAnsi="Times New Roman"/>
          <w:b/>
          <w:color w:val="000000" w:themeColor="text1"/>
          <w:sz w:val="24"/>
          <w:szCs w:val="24"/>
        </w:rPr>
      </w:pPr>
      <w:r w:rsidRPr="00AE47C6">
        <w:rPr>
          <w:rFonts w:ascii="Times New Roman" w:eastAsia="SimSun" w:hAnsi="Times New Roman"/>
          <w:b/>
          <w:color w:val="000000" w:themeColor="text1"/>
          <w:sz w:val="24"/>
          <w:szCs w:val="24"/>
        </w:rPr>
        <w:t>Синдром на Meige</w:t>
      </w:r>
    </w:p>
    <w:p w14:paraId="5F129B1C"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Спорадичната поява на комбинацията от оро-мандибуларни дистонии и блефароспазъм се нарича краниална дистония или синдром на Meige. </w:t>
      </w:r>
    </w:p>
    <w:p w14:paraId="67D57BC1"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Това е най-честата форма на сегментна краниална дистония. </w:t>
      </w:r>
    </w:p>
    <w:p w14:paraId="03F97B40"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Блефароспазъма и оромандибуларната дистония, когато се появяват самостоятелно, са всъщност незавършени форми на синдрома на Meige. В някои случаи се добавя цервикална дистония, спазмодична дисфония, дистония на крайниците и тремор. </w:t>
      </w:r>
    </w:p>
    <w:p w14:paraId="14F9FB74"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Отдиференцирането на синдрома на Meige от фокалните краниални дистонии понякога е трудно.</w:t>
      </w:r>
    </w:p>
    <w:p w14:paraId="55304344" w14:textId="77777777" w:rsidR="00BE0B19" w:rsidRPr="00AE47C6" w:rsidRDefault="00BE0B19" w:rsidP="00BE0B19">
      <w:pPr>
        <w:spacing w:after="0" w:line="360" w:lineRule="auto"/>
        <w:ind w:firstLine="720"/>
        <w:jc w:val="both"/>
        <w:rPr>
          <w:rFonts w:ascii="Times New Roman" w:eastAsia="SimSun" w:hAnsi="Times New Roman"/>
          <w:b/>
          <w:color w:val="000000" w:themeColor="text1"/>
          <w:sz w:val="24"/>
          <w:szCs w:val="24"/>
        </w:rPr>
      </w:pPr>
      <w:r w:rsidRPr="00AE47C6">
        <w:rPr>
          <w:rFonts w:ascii="Times New Roman" w:eastAsia="SimSun" w:hAnsi="Times New Roman"/>
          <w:b/>
          <w:color w:val="000000" w:themeColor="text1"/>
          <w:sz w:val="24"/>
          <w:szCs w:val="24"/>
        </w:rPr>
        <w:t>Лицев хемиспазъм</w:t>
      </w:r>
    </w:p>
    <w:p w14:paraId="37917566"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Представлява хронично прогресираща форма на сегментна дистония. Напоследък не се приема за истинска дистония</w:t>
      </w:r>
    </w:p>
    <w:p w14:paraId="6251A0E5"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Засяга еднакво двата пола, най-често се проявява в средна възраст.</w:t>
      </w:r>
    </w:p>
    <w:p w14:paraId="70965F09"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Етиологично</w:t>
      </w:r>
      <w:r w:rsidRPr="00AE47C6">
        <w:rPr>
          <w:rFonts w:ascii="Times New Roman" w:eastAsia="SimSun" w:hAnsi="Times New Roman"/>
          <w:color w:val="000000" w:themeColor="text1"/>
          <w:sz w:val="24"/>
          <w:szCs w:val="24"/>
        </w:rPr>
        <w:t xml:space="preserve"> в много случаи се дължи на механично дразнене от абнормни кръвоносни съдове в областта на зоната на Obersteiner-Redlich на коренчетата на VII краниален нерв. По-рядко някои тумори, костни аномалии, болест на Paget, множествена склероза и периферно-стволова увреда на нерва са причина за заболяването. </w:t>
      </w:r>
    </w:p>
    <w:p w14:paraId="53C8C10C"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Патофизиологията</w:t>
      </w:r>
      <w:r w:rsidRPr="00AE47C6">
        <w:rPr>
          <w:rFonts w:ascii="Times New Roman" w:eastAsia="SimSun" w:hAnsi="Times New Roman"/>
          <w:color w:val="000000" w:themeColor="text1"/>
          <w:sz w:val="24"/>
          <w:szCs w:val="24"/>
        </w:rPr>
        <w:t xml:space="preserve"> е свързана с генериране на импулси от увредената зона, възбуждащи моторното ядро на нерва антидромно. </w:t>
      </w:r>
    </w:p>
    <w:p w14:paraId="57A2CF09"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Клинично</w:t>
      </w:r>
      <w:r w:rsidRPr="00AE47C6">
        <w:rPr>
          <w:rFonts w:ascii="Times New Roman" w:eastAsia="SimSun" w:hAnsi="Times New Roman"/>
          <w:color w:val="000000" w:themeColor="text1"/>
          <w:sz w:val="24"/>
          <w:szCs w:val="24"/>
        </w:rPr>
        <w:t xml:space="preserve"> започва само от клепачите (m. orbicularis oculi), но по-късно се засягат и другите лицеви мускули от същата страна. Характеризира се с внезапни, едностранни, синхронни, неволеви, епизодични спазми на мускулите инервирани от VII краниален нерв. Понякога спазъма може да бъде двустранен. Мускулната контракция може да премине за няколко секунди в тоничен спазъм. </w:t>
      </w:r>
    </w:p>
    <w:p w14:paraId="1BED78C5"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Диференциалната диагноза</w:t>
      </w:r>
      <w:r w:rsidRPr="00AE47C6">
        <w:rPr>
          <w:rFonts w:ascii="Times New Roman" w:eastAsia="SimSun" w:hAnsi="Times New Roman"/>
          <w:color w:val="000000" w:themeColor="text1"/>
          <w:sz w:val="24"/>
          <w:szCs w:val="24"/>
        </w:rPr>
        <w:t xml:space="preserve"> се прави с блефароспазъма, който предизвиква двустранно синхронни спазми на мускулите около окото. </w:t>
      </w:r>
    </w:p>
    <w:p w14:paraId="003ED1A5"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p>
    <w:p w14:paraId="04FD63A3" w14:textId="77777777" w:rsidR="00BE0B19" w:rsidRPr="00AE47C6" w:rsidRDefault="00BE0B19" w:rsidP="00BE0B19">
      <w:pPr>
        <w:spacing w:after="0" w:line="360" w:lineRule="auto"/>
        <w:ind w:firstLine="720"/>
        <w:jc w:val="both"/>
        <w:rPr>
          <w:rFonts w:ascii="Times New Roman" w:eastAsia="SimSun" w:hAnsi="Times New Roman"/>
          <w:b/>
          <w:color w:val="000000" w:themeColor="text1"/>
          <w:sz w:val="24"/>
          <w:szCs w:val="24"/>
        </w:rPr>
      </w:pPr>
      <w:r w:rsidRPr="00AE47C6">
        <w:rPr>
          <w:rFonts w:ascii="Times New Roman" w:eastAsia="SimSun" w:hAnsi="Times New Roman"/>
          <w:b/>
          <w:color w:val="000000" w:themeColor="text1"/>
          <w:sz w:val="24"/>
          <w:szCs w:val="24"/>
        </w:rPr>
        <w:t>2. Фокални дистонии</w:t>
      </w:r>
    </w:p>
    <w:p w14:paraId="07E41CA4" w14:textId="77777777" w:rsidR="00BE0B19" w:rsidRPr="00AE47C6" w:rsidRDefault="00BE0B19" w:rsidP="00BE0B19">
      <w:pPr>
        <w:spacing w:after="0" w:line="360" w:lineRule="auto"/>
        <w:ind w:firstLine="720"/>
        <w:jc w:val="both"/>
        <w:rPr>
          <w:rFonts w:ascii="Times New Roman" w:eastAsia="SimSun" w:hAnsi="Times New Roman"/>
          <w:b/>
          <w:color w:val="000000" w:themeColor="text1"/>
          <w:sz w:val="24"/>
          <w:szCs w:val="24"/>
        </w:rPr>
      </w:pPr>
      <w:r w:rsidRPr="00AE47C6">
        <w:rPr>
          <w:rFonts w:ascii="Times New Roman" w:eastAsia="SimSun" w:hAnsi="Times New Roman"/>
          <w:b/>
          <w:color w:val="000000" w:themeColor="text1"/>
          <w:sz w:val="24"/>
          <w:szCs w:val="24"/>
        </w:rPr>
        <w:t>Блефароспазъм</w:t>
      </w:r>
    </w:p>
    <w:p w14:paraId="552B78CF"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Идиопатичният блефароспазъм се характеризира с неволеви, преходни или постоянни, двустранно синхронни спазми на периорбиталните мускули. </w:t>
      </w:r>
    </w:p>
    <w:p w14:paraId="7FC67DD1"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Болестността</w:t>
      </w:r>
      <w:r w:rsidRPr="00AE47C6">
        <w:rPr>
          <w:rFonts w:ascii="Times New Roman" w:eastAsia="SimSun" w:hAnsi="Times New Roman"/>
          <w:color w:val="000000" w:themeColor="text1"/>
          <w:sz w:val="24"/>
          <w:szCs w:val="24"/>
        </w:rPr>
        <w:t xml:space="preserve"> варира между 13,3 и 30 на 100 000 души население. Засяга 2 пъти по-често жените. </w:t>
      </w:r>
    </w:p>
    <w:p w14:paraId="7CD5B08F"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Клинично</w:t>
      </w:r>
      <w:r w:rsidRPr="00AE47C6">
        <w:rPr>
          <w:rFonts w:ascii="Times New Roman" w:eastAsia="SimSun" w:hAnsi="Times New Roman"/>
          <w:color w:val="000000" w:themeColor="text1"/>
          <w:sz w:val="24"/>
          <w:szCs w:val="24"/>
        </w:rPr>
        <w:t xml:space="preserve"> започва около 50 – 60 годишна възраст. Често се предшества с години от по-често и силно мигане. При 40 – 60% от пациентите са налице фотофобия, сухост, дразнене, болка и дискомфорт на окото, свързани със синдрома на сухите очи, блефарит или конюнктивит. Те играят ролята на тригерни фактори при пациенти с предиспозиция към заболяването. При 20% от болните започва с едностранни спазми на мускулите около окото (mm. orbicularis oculi), което води до затваряне на клепачите. Те се засилват постепенно и след различно дълъг период от време обхващат двете очи. В началото спазмите имат клоничен, а по-късно тоничен характер. При някои пациенти през целия ход на заболяването преобладава клоничната форма (блефароклонус), с повтарящи се бързи спазми, затварящи очите, които наподобяват нормалното мигане. При други пациенти (есенциален или дистоничен блефароспазъм) преобладават продължителните мускулни спазми, които продължават секунди или минути. При някои пациенти в резултат на контракция на претарзалната част на m. orbicularis oculi, блефароспазъма наподобява апраксия на отварянето на клепачите. При тях очите са затворени, без видим спазъм и пациентите не могат да ги отворят.</w:t>
      </w:r>
    </w:p>
    <w:p w14:paraId="2CE3650C"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Мускулните спазми водят до затваряне на очите, невъзможност за тяхното отваряне и функционална слепота. Затрудняват се шофирането, четенето, гледането на телевизия, ходенето и всички социални и трудови активности. </w:t>
      </w:r>
    </w:p>
    <w:p w14:paraId="2AA84405"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Много пациенти си изработват собствени трикове за потискане на спазмите, като докосване или леко издърпване на клепачите, дъвчене, прозяване, смях, пеене, отваряне на устата или говорене. </w:t>
      </w:r>
    </w:p>
    <w:p w14:paraId="1446324F"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Често, през първите 5 години от началото на заболяването се обхващат и други лицеви мускули в кранио-цервикалната област (frontalis, platysma и risorius) или езика, гласните връзки, долната челюст и врата и се превръща в сегментна кранио-цервикална дистония. Най-често се развива синдром на Meige. Особено предразположени към разширяване на дистонията са жените, пациентите при които заболяването е започнало в по-късна възраст или които са имали предшестваща травма на главата. Често се добавя паркинсонизъм и постурален тремор с характеристиките на есенциалния. </w:t>
      </w:r>
    </w:p>
    <w:p w14:paraId="6404C6E8"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Диференциално-диагностично</w:t>
      </w:r>
      <w:r w:rsidRPr="00AE47C6">
        <w:rPr>
          <w:rFonts w:ascii="Times New Roman" w:eastAsia="SimSun" w:hAnsi="Times New Roman"/>
          <w:color w:val="000000" w:themeColor="text1"/>
          <w:sz w:val="24"/>
          <w:szCs w:val="24"/>
        </w:rPr>
        <w:t xml:space="preserve"> трябва да се отдиференцира от конюнктивит, който може да предизвика често мигане, поради което е необходима консултация с офталмолог. Синдромът на Sjogren води до сухи очи и затваряне на клепачите. Трябва да се отдиференцират птозата на клепача поради пареза на III краниален нерв, миастенията и синдромът на Horner (лезия на шийните симпатикови влакна). Апраксията на отварянето на клепачите при прогресивна супрануклеарна парализа, болест на Parkinson, на Wilson и на Huntington се изразява с невъзможност за волево отваряне на клепачите, поради нарушена контракция на леваторния мускул. Тиковете имитират блефароспазъм или лицев хемиспазъм и диференциалната диагноза е трудна, ако тиковете не обхващат и други части на тялото. Психогенният блефароспазъм се характеризира със стискане на клепачите, които непрекъснато потрепват. </w:t>
      </w:r>
    </w:p>
    <w:p w14:paraId="264F93B1"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Заболяването е хронично прогресиращо. Спонтанни частични или пълни ремисии се наблюдават рядко (13%), през първите 5 години и се последват след различно дълъг период от време от нов тласък на заболяването. </w:t>
      </w:r>
    </w:p>
    <w:p w14:paraId="55E1A5DF"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p>
    <w:p w14:paraId="4CA53B2C" w14:textId="77777777" w:rsidR="00BE0B19" w:rsidRPr="00AE47C6" w:rsidRDefault="00BE0B19" w:rsidP="00BE0B19">
      <w:pPr>
        <w:spacing w:after="0" w:line="360" w:lineRule="auto"/>
        <w:ind w:firstLine="720"/>
        <w:jc w:val="both"/>
        <w:rPr>
          <w:rFonts w:ascii="Times New Roman" w:eastAsia="SimSun" w:hAnsi="Times New Roman"/>
          <w:b/>
          <w:color w:val="000000" w:themeColor="text1"/>
          <w:sz w:val="24"/>
          <w:szCs w:val="24"/>
        </w:rPr>
      </w:pPr>
      <w:r w:rsidRPr="00AE47C6">
        <w:rPr>
          <w:rFonts w:ascii="Times New Roman" w:eastAsia="SimSun" w:hAnsi="Times New Roman"/>
          <w:b/>
          <w:color w:val="000000" w:themeColor="text1"/>
          <w:sz w:val="24"/>
          <w:szCs w:val="24"/>
        </w:rPr>
        <w:t>Оромандибуларна дистония</w:t>
      </w:r>
    </w:p>
    <w:p w14:paraId="79DBD4AF"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Рядко се среща изолирано, по-често се комбинира с блефароспазъм като синдром на Meige или с блефароспазъм и шийна дистония под наименованието кранио-цервикална дистония. </w:t>
      </w:r>
    </w:p>
    <w:p w14:paraId="017B2547"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Среща се по-често при жените.</w:t>
      </w:r>
    </w:p>
    <w:p w14:paraId="6C51D741"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Клинично</w:t>
      </w:r>
      <w:r w:rsidRPr="00AE47C6">
        <w:rPr>
          <w:rFonts w:ascii="Times New Roman" w:eastAsia="SimSun" w:hAnsi="Times New Roman"/>
          <w:color w:val="000000" w:themeColor="text1"/>
          <w:sz w:val="24"/>
          <w:szCs w:val="24"/>
        </w:rPr>
        <w:t xml:space="preserve"> започва между 40 и 70 годишна възраст. Засяга двустранно долните лицеви, дъвкателните и лингвалните мускули. Засягането на дъвкателните мускули може да предизвика всякаква комбинация от отваряне, затваряне, изместване встрани, навътре или навън на долната челюст. Тези движения довеждат до неволево стискане на зъбите, прехапване на езика, устните, бузите и затруднения при говорене и дъвчене. Спазъмът на мускулите затварящи долната челюст, заедно с контракциите на m. temporalis и m. masseter, могат да предизвикат тризмус и бруксизъм. Участието на долните лицеви мускули (орофациална дистония) довежда до гримасничене с участие на m. platysma и на устните. Участието на езика се изразява в движения навън, нагоре или встрани. Тези движения нарушават артикулацията, храненето и изговарянето на някои звукове. Засягането на съседните области е често и може да се добави дисфония или контракция на назалните мускули. Могат да се засегнат и фарингеалните мускули с поява на дизартрия, дисфагия, дисфония, затруднения в дишането и неволево издаване на звуци. Дистонията може да продължава непрекъснато, дори по време на сън или да бъде свързана само с определени действия – говорене, дъвчене. Някои сетивни трикове, като докосване по брадичката, дъвченето на дъвка или на клечка за зъби, говоренето или натиска в субменталната област облекчават дистонията. При някои пациенти обаче дистонията се провокира от говорене или дъвчене. Често може да се добави и есенциален тремор. </w:t>
      </w:r>
    </w:p>
    <w:p w14:paraId="1ABBB6E0"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Заболяването е много инвалидизиращо, защото предизвиква болки в челюстите, дизартрия и затруднения при дъвченето и храненето. </w:t>
      </w:r>
    </w:p>
    <w:p w14:paraId="2E6381B9"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Диференциалната диагноза</w:t>
      </w:r>
      <w:r w:rsidRPr="00AE47C6">
        <w:rPr>
          <w:rFonts w:ascii="Times New Roman" w:eastAsia="SimSun" w:hAnsi="Times New Roman"/>
          <w:color w:val="000000" w:themeColor="text1"/>
          <w:sz w:val="24"/>
          <w:szCs w:val="24"/>
        </w:rPr>
        <w:t xml:space="preserve"> включва тикове, бруксизъм, лицев хемиспазъм, тетанус, болест на Whipple и на Huntington, миотония и миастения. </w:t>
      </w:r>
    </w:p>
    <w:p w14:paraId="3A746196"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p>
    <w:p w14:paraId="1DD086FE" w14:textId="77777777" w:rsidR="00BE0B19" w:rsidRPr="00AE47C6" w:rsidRDefault="00BE0B19" w:rsidP="00BE0B19">
      <w:pPr>
        <w:spacing w:after="0" w:line="360" w:lineRule="auto"/>
        <w:ind w:firstLine="720"/>
        <w:jc w:val="both"/>
        <w:rPr>
          <w:rFonts w:ascii="Times New Roman" w:eastAsia="SimSun" w:hAnsi="Times New Roman"/>
          <w:b/>
          <w:color w:val="000000" w:themeColor="text1"/>
          <w:sz w:val="24"/>
          <w:szCs w:val="24"/>
        </w:rPr>
      </w:pPr>
      <w:r w:rsidRPr="00AE47C6">
        <w:rPr>
          <w:rFonts w:ascii="Times New Roman" w:eastAsia="SimSun" w:hAnsi="Times New Roman"/>
          <w:b/>
          <w:color w:val="000000" w:themeColor="text1"/>
          <w:sz w:val="24"/>
          <w:szCs w:val="24"/>
        </w:rPr>
        <w:t>Цервикална дистония (torticollis spastica)</w:t>
      </w:r>
    </w:p>
    <w:p w14:paraId="63D78D65"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Може да бъде самостоятелна проява или част от сегментна (цервико-брахиална или кранио-цервикална) или генерализирана дистония. </w:t>
      </w:r>
    </w:p>
    <w:p w14:paraId="5F5854B3"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Болестността</w:t>
      </w:r>
      <w:r w:rsidRPr="00AE47C6">
        <w:rPr>
          <w:rFonts w:ascii="Times New Roman" w:eastAsia="SimSun" w:hAnsi="Times New Roman"/>
          <w:color w:val="000000" w:themeColor="text1"/>
          <w:sz w:val="24"/>
          <w:szCs w:val="24"/>
        </w:rPr>
        <w:t xml:space="preserve"> е 30 пациента на 100 000 души население. Това е най-често срещаната фокална дистония. Среща се два пъти по-често при жените. </w:t>
      </w:r>
    </w:p>
    <w:p w14:paraId="5AB63E47"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Етиологично</w:t>
      </w:r>
      <w:r w:rsidRPr="00AE47C6">
        <w:rPr>
          <w:rFonts w:ascii="Times New Roman" w:eastAsia="SimSun" w:hAnsi="Times New Roman"/>
          <w:color w:val="000000" w:themeColor="text1"/>
          <w:sz w:val="24"/>
          <w:szCs w:val="24"/>
        </w:rPr>
        <w:t xml:space="preserve"> преобладава идиопатичната форма, а симптоматична дистония може да възникне след невролептично лечение. </w:t>
      </w:r>
    </w:p>
    <w:p w14:paraId="1C800F2C"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Клинично</w:t>
      </w:r>
      <w:r w:rsidRPr="00AE47C6">
        <w:rPr>
          <w:rFonts w:ascii="Times New Roman" w:eastAsia="SimSun" w:hAnsi="Times New Roman"/>
          <w:color w:val="000000" w:themeColor="text1"/>
          <w:sz w:val="24"/>
          <w:szCs w:val="24"/>
        </w:rPr>
        <w:t xml:space="preserve"> започва между 40 и 50 години, но може да се прояви във всяка възраст. Началото на заболяването е остро или подостро, със стягане или дърпане в областта на шията. Първите симптоми могат да бъдат болки в шията или тремор на главата. Постепенно се появява нарушение на позата на главата и рамото, поради клонични или тонични контракции на шийната мускулатура. </w:t>
      </w:r>
    </w:p>
    <w:p w14:paraId="77D2DB9B"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В движенията на главата и шията участват 20 чифтни мускула, които позволяват движения на главата в три посоки (флексия – екстензия, ротация и латерално навеждане). Засягат се много от мускулите на шията, в различни комбинации, поради което силата и посоката на движенията е различно изразена. Това обуславя и различните видове цервикална дистония. Най-често (при тортиколис) се засягат m. sternocleidomastoideus от едната страна и задните шийни мускули (m. splenius capitis) от другата, при което главата се извива латерално и накланя встрани към контралатералното рамо, което може да се повдигне и измести напред. Понякога се установява леко изразена дистония и в проксималните мускули на ръката. По-рядко главата може да бъде наведена напред (антероколис), назад (ретроколис) или встрани (латероколис) поради участие на други мускулни групи. Могат да участват много други шийни мускули като trapezius, levator scapulae и scalenus. </w:t>
      </w:r>
    </w:p>
    <w:p w14:paraId="6F3FB43B"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Изразеността на дистонията варира от лека до много тежка, когато болният не може да бъде погледнат в очите. Засилва се от стрес, напрежение, при определени пози и при ходене, намаляват при лежане и различни сетивни трикове, и изчезва по време на сън. </w:t>
      </w:r>
    </w:p>
    <w:p w14:paraId="79F21D10"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Особено характерно е наличието на изразена болка, поради участието на големи мускули в дистонията, както и множеството болкови рецептори локализирани в шийните мускули. Болката е по-силно изразена при пациенти с трайно фиксирано отклонение на главата. При дълготрайно заболяване се получават мускулна хипертрофия и контрактури, както и спондилозни промени в шийните прешлени и последващи радикуло-миелопатии, със силно изразена болка, ирадиираща към ръката. </w:t>
      </w:r>
    </w:p>
    <w:p w14:paraId="5851E2BA"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В развитието на заболяването при 30% от пациентите могат да се появят тремор на главата или ръцете, миоклонии, лицеви спазми, графоспазъм, дистонии на рамото, ръката или тялото, както и други форми на дистония. </w:t>
      </w:r>
    </w:p>
    <w:p w14:paraId="5873D368"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Заболяването прогресира по-бавно или по-бързо. В развитието си преминава през три етапа. Първият етап на бавна прогресия продължава 5 години, последван от втори петгодишен период на стациониране и трети период на леко подобрение. При 30% от пациентите дистонията може да прерасне в сегментна – обхващаща раменния пояс, ръката или оромандибуларната област. Заболяването е инвалидизиращо за пациентите и нарушава техните ежедневни активности, дори и да е леко изразено. </w:t>
      </w:r>
    </w:p>
    <w:p w14:paraId="6E8234D0"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Диференциалната диагноза</w:t>
      </w:r>
      <w:r w:rsidRPr="00AE47C6">
        <w:rPr>
          <w:rFonts w:ascii="Times New Roman" w:eastAsia="SimSun" w:hAnsi="Times New Roman"/>
          <w:color w:val="000000" w:themeColor="text1"/>
          <w:sz w:val="24"/>
          <w:szCs w:val="24"/>
        </w:rPr>
        <w:t xml:space="preserve"> се прави с увреждания на шийните прешлени (малформации, сублуксация на атланто-аксиалната става, шиен остеомиелит), мускули (фиброза) и дискове (дисков пролапс), предизвикващи механични затруднения в движението на шията. Често се срещат вродена контрактура на m. sternocleidomastoideus, малформация на Arnold-Chiari и на Klippel-Feil. Лезиите на VIII и XI краниални нерви, туморите в задната черепна ямка, както и лезиите в шийният отдел на гръбначния мозък могат да доведат до промяна на позата на главата и трябва да се имат в предвид в диференциалната диагноза. Необходимо е да се отдиференцира и треморът на шията, който не предизвиква отклонение на главата, а само ритмични осцилации. </w:t>
      </w:r>
    </w:p>
    <w:p w14:paraId="14310F51"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p>
    <w:p w14:paraId="392564BA" w14:textId="77777777" w:rsidR="00BE0B19" w:rsidRPr="00AE47C6" w:rsidRDefault="00BE0B19" w:rsidP="00BE0B19">
      <w:pPr>
        <w:spacing w:after="0" w:line="360" w:lineRule="auto"/>
        <w:ind w:firstLine="720"/>
        <w:jc w:val="both"/>
        <w:rPr>
          <w:rFonts w:ascii="Times New Roman" w:eastAsia="SimSun" w:hAnsi="Times New Roman"/>
          <w:b/>
          <w:color w:val="000000" w:themeColor="text1"/>
          <w:sz w:val="24"/>
          <w:szCs w:val="24"/>
        </w:rPr>
      </w:pPr>
      <w:r w:rsidRPr="00AE47C6">
        <w:rPr>
          <w:rFonts w:ascii="Times New Roman" w:eastAsia="SimSun" w:hAnsi="Times New Roman"/>
          <w:b/>
          <w:color w:val="000000" w:themeColor="text1"/>
          <w:sz w:val="24"/>
          <w:szCs w:val="24"/>
        </w:rPr>
        <w:t>Ларингеална (спазмодична, спастична) дисфония</w:t>
      </w:r>
    </w:p>
    <w:p w14:paraId="6A96064A"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Представлява идиопатично двигателно нарушение на гласните връзки. </w:t>
      </w:r>
    </w:p>
    <w:p w14:paraId="187C331B"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Засяга</w:t>
      </w:r>
      <w:r w:rsidRPr="00AE47C6">
        <w:rPr>
          <w:rFonts w:ascii="Times New Roman" w:eastAsia="SimSun" w:hAnsi="Times New Roman"/>
          <w:color w:val="000000" w:themeColor="text1"/>
          <w:sz w:val="24"/>
          <w:szCs w:val="24"/>
        </w:rPr>
        <w:t xml:space="preserve"> по-често жените. </w:t>
      </w:r>
    </w:p>
    <w:p w14:paraId="6FC14DB3"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Клинично</w:t>
      </w:r>
      <w:r w:rsidRPr="00AE47C6">
        <w:rPr>
          <w:rFonts w:ascii="Times New Roman" w:eastAsia="SimSun" w:hAnsi="Times New Roman"/>
          <w:color w:val="000000" w:themeColor="text1"/>
          <w:sz w:val="24"/>
          <w:szCs w:val="24"/>
        </w:rPr>
        <w:t xml:space="preserve"> началото на заболяването е между 30 и 50 годишна възраст. Започва постепенно, с нарушен контрол на силата и височината на гласа при стрес, които прогресират през следващите години. Не се установяват увреждания или ограничения в движението на гласните връзки извън говора и симптомите се засилват при продължително говорене. Заболяването е свързано с изпълнение на определени действия на ларинкса – нарушен е говора, слабо е нарушено шепненето и пеенето, но не се проявява при смях, плач и кашлица. Както и при другите фокални дистонии, някои сетивни трикове, като притискане на шията или корема с ръка, могат временно да облекчат дистонията. Проявява се с в две форми – аддукторна и абдукторна. Комбинирани форми се срещат рядко.</w:t>
      </w:r>
    </w:p>
    <w:p w14:paraId="65CEC363"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i/>
          <w:color w:val="000000" w:themeColor="text1"/>
          <w:sz w:val="24"/>
          <w:szCs w:val="24"/>
        </w:rPr>
        <w:t>Аддукторната форма</w:t>
      </w:r>
      <w:r w:rsidRPr="00AE47C6">
        <w:rPr>
          <w:rFonts w:ascii="Times New Roman" w:eastAsia="SimSun" w:hAnsi="Times New Roman"/>
          <w:color w:val="000000" w:themeColor="text1"/>
          <w:sz w:val="24"/>
          <w:szCs w:val="24"/>
        </w:rPr>
        <w:t xml:space="preserve"> се изразява в преходна и неритмична хипераддукция (затваряне) на гласните връзки в началото и по време на фонацията, особено при изговаряне на гласни звукове. Това довежда до затруднено преминаване на въздуха през гласните връзки и нарушаване на техните вибрации. </w:t>
      </w:r>
    </w:p>
    <w:p w14:paraId="482A9471"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Клинично се проявява с по-бавен и с по-голямо усилие говор, намаляване на силата на гласа, прекъсвания на гласа и периодично прегракване. Нарушена е гладкостта на речта, като възможността за пеене е относително запазена.</w:t>
      </w:r>
    </w:p>
    <w:p w14:paraId="248D86F9"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i/>
          <w:color w:val="000000" w:themeColor="text1"/>
          <w:sz w:val="24"/>
          <w:szCs w:val="24"/>
        </w:rPr>
        <w:t>Абдукторната форма</w:t>
      </w:r>
      <w:r w:rsidRPr="00AE47C6">
        <w:rPr>
          <w:rFonts w:ascii="Times New Roman" w:eastAsia="SimSun" w:hAnsi="Times New Roman"/>
          <w:color w:val="000000" w:themeColor="text1"/>
          <w:sz w:val="24"/>
          <w:szCs w:val="24"/>
        </w:rPr>
        <w:t xml:space="preserve"> е по-рядка и се характеризира с хиперабдукция (отваряне) на гласните връзки поради контракция на mm. cricoarytenoideus posterior, изразено предимно при изговаряне на безгласните звукове, което довежда до тяхното забавено изговаряне и промени във височината на тона. </w:t>
      </w:r>
    </w:p>
    <w:p w14:paraId="647FC2B7"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Болните говорят със задъхан, безсилен глас, поради нарушаване на координацията между дишането и говора. Гласът е с намалена сила, някои думи се произнасят шепнешком, с афоничен глас.</w:t>
      </w:r>
    </w:p>
    <w:p w14:paraId="145DD288"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Тремор на гласа може да се срещне при около 20% от пациентите с двете форми на заболяването и може да предшества появата на дистонията. </w:t>
      </w:r>
    </w:p>
    <w:p w14:paraId="6E625C08"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Заболяването прогресира през първите 1-2 години, след което се стабилизира и остава хронично. При 20-30% от пациентите дистонията може да обхване краниалната или цервикалната област. </w:t>
      </w:r>
    </w:p>
    <w:p w14:paraId="4E719AB0"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Диагнозата</w:t>
      </w:r>
      <w:r w:rsidRPr="00AE47C6">
        <w:rPr>
          <w:rFonts w:ascii="Times New Roman" w:eastAsia="SimSun" w:hAnsi="Times New Roman"/>
          <w:color w:val="000000" w:themeColor="text1"/>
          <w:sz w:val="24"/>
          <w:szCs w:val="24"/>
        </w:rPr>
        <w:t xml:space="preserve"> може да се постави след наблюдение чрез назоларингоскопия на движението на гласните връзки.</w:t>
      </w:r>
    </w:p>
    <w:p w14:paraId="77482E79"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Диференциалната диагноза</w:t>
      </w:r>
      <w:r w:rsidRPr="00AE47C6">
        <w:rPr>
          <w:rFonts w:ascii="Times New Roman" w:eastAsia="SimSun" w:hAnsi="Times New Roman"/>
          <w:color w:val="000000" w:themeColor="text1"/>
          <w:sz w:val="24"/>
          <w:szCs w:val="24"/>
        </w:rPr>
        <w:t xml:space="preserve"> включва структурни увреждания на ларинкса и гласните връзки, миастения, амиотрофична латерална склероза, церебеларна или паркинсонова дисфония, есенциален тремор на гласа. </w:t>
      </w:r>
    </w:p>
    <w:p w14:paraId="272BBE50" w14:textId="77777777" w:rsidR="00BE0B19" w:rsidRPr="00AE47C6" w:rsidRDefault="00BE0B19" w:rsidP="00BE0B19">
      <w:pPr>
        <w:spacing w:after="0" w:line="360" w:lineRule="auto"/>
        <w:ind w:firstLine="720"/>
        <w:jc w:val="both"/>
        <w:rPr>
          <w:rFonts w:ascii="Times New Roman" w:eastAsia="SimSun" w:hAnsi="Times New Roman"/>
          <w:b/>
          <w:color w:val="000000" w:themeColor="text1"/>
          <w:sz w:val="24"/>
          <w:szCs w:val="24"/>
        </w:rPr>
      </w:pPr>
      <w:r w:rsidRPr="00AE47C6">
        <w:rPr>
          <w:rFonts w:ascii="Times New Roman" w:eastAsia="SimSun" w:hAnsi="Times New Roman"/>
          <w:b/>
          <w:color w:val="000000" w:themeColor="text1"/>
          <w:sz w:val="24"/>
          <w:szCs w:val="24"/>
        </w:rPr>
        <w:t>Дистонии на крайниците</w:t>
      </w:r>
    </w:p>
    <w:p w14:paraId="5430BB55"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Характеризират се с неволеви преходни или постоянни контракции на мускулите довеждащи до усукване, повтарящи се движения или абнормни пози на крайниците. </w:t>
      </w:r>
    </w:p>
    <w:p w14:paraId="6C8F9587"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Класифицират се</w:t>
      </w:r>
      <w:r w:rsidRPr="00AE47C6">
        <w:rPr>
          <w:rFonts w:ascii="Times New Roman" w:eastAsia="SimSun" w:hAnsi="Times New Roman"/>
          <w:color w:val="000000" w:themeColor="text1"/>
          <w:sz w:val="24"/>
          <w:szCs w:val="24"/>
        </w:rPr>
        <w:t xml:space="preserve"> според областта която засягат като фокална – засягаща една става на крайника, сегментна – засягаща една става на крайника и прилежаща част от тялото, мултифокална – засягаща множество несъседни части на крайника, хемидистония – засягане на горен и долен крайник и генерализирана – засягаща няколко стави в четирите крайника. Дистониите на крайниците могат да се разделят на фиксирани и свързани с определена мускулна активност. </w:t>
      </w:r>
    </w:p>
    <w:p w14:paraId="5B683A3A"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i/>
          <w:color w:val="000000" w:themeColor="text1"/>
          <w:sz w:val="24"/>
          <w:szCs w:val="24"/>
        </w:rPr>
        <w:t>Фиксираните дистонии</w:t>
      </w:r>
      <w:r w:rsidRPr="00AE47C6">
        <w:rPr>
          <w:rFonts w:ascii="Times New Roman" w:eastAsia="SimSun" w:hAnsi="Times New Roman"/>
          <w:color w:val="000000" w:themeColor="text1"/>
          <w:sz w:val="24"/>
          <w:szCs w:val="24"/>
        </w:rPr>
        <w:t xml:space="preserve"> най-често са акционни, насложени върху извършващото се волево движение. Могат да засегнат всяка става на горните и долни крайници. По-често засягат дисталните стави на долните крайници – глезенната става с плантарна флексия и инверсия на стъпалото и флексия на пръстите. Ако започват в ранна възраст най-често са начало на генерализирана дистония. При поява след 20 годишна възраст е възможно да се дължат на структурна лезия на централната нервна система, паркинсонов синдром или начало на ранна Паркинсонова болест.</w:t>
      </w:r>
    </w:p>
    <w:p w14:paraId="488EA959"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i/>
          <w:color w:val="000000" w:themeColor="text1"/>
          <w:sz w:val="24"/>
          <w:szCs w:val="24"/>
        </w:rPr>
        <w:t>Клинично</w:t>
      </w:r>
      <w:r w:rsidRPr="00AE47C6">
        <w:rPr>
          <w:rFonts w:ascii="Times New Roman" w:eastAsia="SimSun" w:hAnsi="Times New Roman"/>
          <w:color w:val="000000" w:themeColor="text1"/>
          <w:sz w:val="24"/>
          <w:szCs w:val="24"/>
        </w:rPr>
        <w:t xml:space="preserve"> в началото на заболяването се проявяват предимно при опит за ходене и липсват в покой. Могат да се потиснат при тичане или ходене заднешком. Първоначалната еквиноварусна поза на стъпалото при ходене може да прерасне във фиксирана дистонична поза, която предизвиква плантарна флексия, екстензия в коленната става, екстензия, вътрешна ротация и абдукция в бедрената става. Фиксираните пози са по-характерни за долните крайници. </w:t>
      </w:r>
    </w:p>
    <w:p w14:paraId="240392DA"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При засягане на горните крайници се обхващат предимно дисталните отдели, но може да се обхване и раменната става едновременно с шията. Може да се получи флексия на китката, улнарна девиация, супинация, вътрешна ротация, елевация или абдукция на ръката. Често се комбинират с есенциален тремор или с други фокални дистонии – цервикална или блефароспазъм. </w:t>
      </w:r>
    </w:p>
    <w:p w14:paraId="38256EAB"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i/>
          <w:color w:val="000000" w:themeColor="text1"/>
          <w:sz w:val="24"/>
          <w:szCs w:val="24"/>
        </w:rPr>
        <w:t>Дистониите, свързани с определена мускулна активност</w:t>
      </w:r>
      <w:r w:rsidRPr="00AE47C6">
        <w:rPr>
          <w:rFonts w:ascii="Times New Roman" w:eastAsia="SimSun" w:hAnsi="Times New Roman"/>
          <w:color w:val="000000" w:themeColor="text1"/>
          <w:sz w:val="24"/>
          <w:szCs w:val="24"/>
        </w:rPr>
        <w:t xml:space="preserve"> (професионални дистонии) се характеризират с нарушаване на движенията свързани със специфична двигателна активност. Могат да се проявят при всяка професия, която изисква изпълнение на повтарящи се точни и сложно координирани движения. По-често се засягат горните крайници и флексорните мускулни групи при хора извършващи прецизни и често повтарящи се заучени движения. По-рядко се засягат долните крайници, защото те обикновено не се използват за прецизни и повтарящи се движения. В тази група дистонии се включват графоспазъма, професионалните дистонии, дистониите при музиканти и дистониите при спортисти. Те са фокални и акционни – дистоничната поза се суперпонира върху волевото движение, свързано с изпълнение на определено действие. </w:t>
      </w:r>
    </w:p>
    <w:p w14:paraId="0F1355D0"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i/>
          <w:color w:val="000000" w:themeColor="text1"/>
          <w:sz w:val="24"/>
          <w:szCs w:val="24"/>
        </w:rPr>
        <w:t xml:space="preserve">Клинично </w:t>
      </w:r>
      <w:r w:rsidRPr="00AE47C6">
        <w:rPr>
          <w:rFonts w:ascii="Times New Roman" w:eastAsia="SimSun" w:hAnsi="Times New Roman"/>
          <w:color w:val="000000" w:themeColor="text1"/>
          <w:sz w:val="24"/>
          <w:szCs w:val="24"/>
        </w:rPr>
        <w:t xml:space="preserve">заболяването започва постепенно, с чувство за стягане и дискомфорт в съответния крайник. Оплакванията постепенно се засилват и опитът за изпълнение на специфичното движение започва да предизвиква спазъм на мускулите, който затруднява неговото извършване. Всички останали движения се извършват без да предизвикват мускулен спазъм. В хода на развитие на тези прости крампи (обхващащи едно автоматизирано действие), могат да се появяват затруднения при извършване и на други действия – писане на ръка или на машина, свирене на различни музикални инструменти, закопчаване на копчета, работа с отвертка, отваряне на бутилки, употреба на нож и вилица и други. Болните се опитват да компенсират своята несръчност чрез включване на по-проксималните мускулни групи. Когато са налице мускулни крампи при извършване на няколко действия се говори за дистонични крампи, а при прогресиращо затруднение при извършване на все повече нови действия се говори за прогресиращи крампи. При някои пациенти с прогресията на заболяването дистонията персистира и когато крайникът е в покой. Могат да се добавят тремор, миоклонии и паркинсонови симптоми в същия крайник. </w:t>
      </w:r>
    </w:p>
    <w:p w14:paraId="73CFCF2C"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Графоспазмът</w:t>
      </w:r>
      <w:r w:rsidRPr="00AE47C6">
        <w:rPr>
          <w:rFonts w:ascii="Times New Roman" w:eastAsia="SimSun" w:hAnsi="Times New Roman"/>
          <w:color w:val="000000" w:themeColor="text1"/>
          <w:sz w:val="24"/>
          <w:szCs w:val="24"/>
        </w:rPr>
        <w:t xml:space="preserve"> е най-често срещаната професионална дистония. Проявява се още при вземане на писалката или след написване на няколко думи, в засилено стискане на писалката. Позата на пръстите и ръката е странна, с хиперфлексия на пръстите (най-често първите три) и хиперфлексия, хиперекстензия, пронация или супинация на китката, повдигане на лакътя и хипераддукция и повдигане на рамото. Това довежда до стягане, тежест и болки в ръката и нарушение на писането. Писането става трудно, неравномерно и с треперене. След написване на няколко думи писането става невъзможно. Може да възникне хиперекстензия на пръстите на ръката, която не позволява да се държи писалката. В опитите си да се справят с проблема пациентите включват проксималните мускулни групи на ръката в писането или започват да пишат с другата ръка. Това довежда до засягане от дистонията на проксималните мускулни групи, както и другият крайник. Някои пациенти успяват да пишат на черна дъска или стабилизират ръката със здравата или пишат с по-тънка писалка. Когато дистонията засяга само писането, тя се нарича “проста”. Ако се наруши и възможността за извършване на други дейности, като закопчаване на копчета, работа с отвертка, бръснене или свирене на музикален инструмент, дистонията се нарича “дистонична”. При 30% от пациентите може да се появи постурален симетричен тремор на ръцете или тремор при писане. </w:t>
      </w:r>
    </w:p>
    <w:p w14:paraId="064BB72F"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Ходът на заболяването може да бъде стационарен или прогресиращ. Дистонията прогресира от проста към дистонична при 30% от пациентите. При 15-25% от пациентите може да се засегне и другата ръка. Месеци или години след началото на заболяването дистонията може да обхване и съседни области. </w:t>
      </w:r>
    </w:p>
    <w:p w14:paraId="21BF44A4"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В </w:t>
      </w:r>
      <w:r w:rsidRPr="00AE47C6">
        <w:rPr>
          <w:rFonts w:ascii="Times New Roman" w:eastAsia="SimSun" w:hAnsi="Times New Roman"/>
          <w:i/>
          <w:color w:val="000000" w:themeColor="text1"/>
          <w:sz w:val="24"/>
          <w:szCs w:val="24"/>
        </w:rPr>
        <w:t>диференциално-диагностичен аспект</w:t>
      </w:r>
      <w:r w:rsidRPr="00AE47C6">
        <w:rPr>
          <w:rFonts w:ascii="Times New Roman" w:eastAsia="SimSun" w:hAnsi="Times New Roman"/>
          <w:color w:val="000000" w:themeColor="text1"/>
          <w:sz w:val="24"/>
          <w:szCs w:val="24"/>
        </w:rPr>
        <w:t xml:space="preserve"> трябва да се има в предвид, че графоспазъма може да бъде начало на идиопатична генерализирана торзионна дистония, Паркинсонова болест или прогресивна супрануклеарна парализа. </w:t>
      </w:r>
    </w:p>
    <w:p w14:paraId="41B914C1"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Дистонията при писане на машина или компютър се среща по-рядко от графоспазъма и обикновено започват от последните пръсти на ръката. </w:t>
      </w:r>
    </w:p>
    <w:p w14:paraId="745E0D65"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Другите професионални дистонии</w:t>
      </w:r>
      <w:r w:rsidRPr="00AE47C6">
        <w:rPr>
          <w:rFonts w:ascii="Times New Roman" w:eastAsia="SimSun" w:hAnsi="Times New Roman"/>
          <w:color w:val="000000" w:themeColor="text1"/>
          <w:sz w:val="24"/>
          <w:szCs w:val="24"/>
        </w:rPr>
        <w:t xml:space="preserve"> включват дистония при шивачи, часовникари, доячи, обущари, художници, точилари, танцьори, търговци и много други професии. При учители може да се появи ларингеална дистония. </w:t>
      </w:r>
    </w:p>
    <w:p w14:paraId="5734E15D"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Дистонията при музиканти</w:t>
      </w:r>
      <w:r w:rsidRPr="00AE47C6">
        <w:rPr>
          <w:rFonts w:ascii="Times New Roman" w:eastAsia="SimSun" w:hAnsi="Times New Roman"/>
          <w:color w:val="000000" w:themeColor="text1"/>
          <w:sz w:val="24"/>
          <w:szCs w:val="24"/>
        </w:rPr>
        <w:t xml:space="preserve"> е особено неблагоприятна за професионалната кариера на пациентите. Може да се появи при използване на всеки музикален инструмент, но по-често при пиано и клавишни инструменти. Може да се появи при свирене на китара и други струнни инструменти, тромпет, виолончело и други духови музикални инструменти. Музикантите, които с години репетират прецизни и сложни движения, за да постигнат професионален успех, са особено предразположени към заболяването. Среща се при 1 на всеки 200 музиканти, докато в популацията засяга 1 на всеки 3400 души население. Обикновено дистонията е фокална и непрогресираща. При музиканти използващи при свирене горните крайници започва от последните пръсти на ръката. При пианисти се наблюдава флексия предимно на IV и V пръст, при китаристи – флексия на III пръст, а при кларнетисти – екстензия на III пръст. При музиканти свирещи на духови инструменти може да се получи дистония на устните и шията. </w:t>
      </w:r>
    </w:p>
    <w:p w14:paraId="22B6886D"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 xml:space="preserve">Дистонията при спортистите </w:t>
      </w:r>
      <w:r w:rsidRPr="00AE47C6">
        <w:rPr>
          <w:rFonts w:ascii="Times New Roman" w:eastAsia="SimSun" w:hAnsi="Times New Roman"/>
          <w:color w:val="000000" w:themeColor="text1"/>
          <w:sz w:val="24"/>
          <w:szCs w:val="24"/>
        </w:rPr>
        <w:t xml:space="preserve">засяга различни спортни активности. Тя може да се прояви при игра на голф, тенис, билярд, боулинг, хвърляне на копие и други. По-рядко може да засегне долните крайници при колоездачи. Среща се при 28% от играчите на голф и е по-честа при тези, които са играли повече години. </w:t>
      </w:r>
    </w:p>
    <w:p w14:paraId="4F9C76B1"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i/>
          <w:color w:val="000000" w:themeColor="text1"/>
          <w:sz w:val="24"/>
          <w:szCs w:val="24"/>
        </w:rPr>
        <w:t>Диференциалната диагноза</w:t>
      </w:r>
      <w:r w:rsidRPr="00AE47C6">
        <w:rPr>
          <w:rFonts w:ascii="Times New Roman" w:eastAsia="SimSun" w:hAnsi="Times New Roman"/>
          <w:color w:val="000000" w:themeColor="text1"/>
          <w:sz w:val="24"/>
          <w:szCs w:val="24"/>
        </w:rPr>
        <w:t xml:space="preserve"> включва тендовагинити, синдром на карпалния канал, нарушението на почерка при пациенти с Паркинсонова болест и тремор с друга етиология.</w:t>
      </w:r>
    </w:p>
    <w:p w14:paraId="61F26197" w14:textId="77777777" w:rsidR="00BE0B19" w:rsidRPr="00AE47C6" w:rsidRDefault="00BE0B19" w:rsidP="00BE0B19">
      <w:pPr>
        <w:spacing w:after="0" w:line="360" w:lineRule="auto"/>
        <w:ind w:firstLine="720"/>
        <w:jc w:val="both"/>
        <w:rPr>
          <w:rFonts w:ascii="Times New Roman" w:eastAsia="SimSun" w:hAnsi="Times New Roman"/>
          <w:b/>
          <w:color w:val="000000" w:themeColor="text1"/>
          <w:sz w:val="24"/>
          <w:szCs w:val="24"/>
        </w:rPr>
      </w:pPr>
      <w:r w:rsidRPr="00AE47C6">
        <w:rPr>
          <w:rFonts w:ascii="Times New Roman" w:eastAsia="SimSun" w:hAnsi="Times New Roman"/>
          <w:b/>
          <w:color w:val="000000" w:themeColor="text1"/>
          <w:sz w:val="24"/>
          <w:szCs w:val="24"/>
        </w:rPr>
        <w:t>Аксиални дистонии</w:t>
      </w:r>
    </w:p>
    <w:p w14:paraId="2A96C82E"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Обхващат аксиалните мускули на тялото и водят до абнормни пози, по рядко – до абнормни движения. Включват сколиозата и камптокормията. </w:t>
      </w:r>
    </w:p>
    <w:p w14:paraId="758A5CE2"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Първичната сколиоза</w:t>
      </w:r>
      <w:r w:rsidRPr="00AE47C6">
        <w:rPr>
          <w:rFonts w:ascii="Times New Roman" w:eastAsia="SimSun" w:hAnsi="Times New Roman"/>
          <w:color w:val="000000" w:themeColor="text1"/>
          <w:sz w:val="24"/>
          <w:szCs w:val="24"/>
        </w:rPr>
        <w:t xml:space="preserve"> възниква в юношеската възраст в 80% от случаите и може да бъде наследствена. Не се проявява с дистонии в други анатомични области, но може да бъде само първа проява на първичната торзионна дистония. </w:t>
      </w:r>
    </w:p>
    <w:p w14:paraId="581A3194"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Дистоничната камптокормия</w:t>
      </w:r>
      <w:r w:rsidRPr="00AE47C6">
        <w:rPr>
          <w:rFonts w:ascii="Times New Roman" w:eastAsia="SimSun" w:hAnsi="Times New Roman"/>
          <w:color w:val="000000" w:themeColor="text1"/>
          <w:sz w:val="24"/>
          <w:szCs w:val="24"/>
        </w:rPr>
        <w:t xml:space="preserve"> е постурална дистония, която прогресивно навежда тялото напред и се проявява или засилва при изправен стоеж и ходене. Понякога дистонията е по-бърза и се обозначава с термина “дистония на кълвача”. С термина синдром на Pisa се обозначава прогресивното латерално навеждане на тялото при изправяне и ходене. </w:t>
      </w:r>
    </w:p>
    <w:p w14:paraId="7FECCEC2"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Сетивните трикове, които подобряват временно аксиалните дистонии включват подпиране на тялото към стена, притискане на шията или на бедрата. </w:t>
      </w:r>
    </w:p>
    <w:p w14:paraId="3AC4DA12"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p>
    <w:p w14:paraId="2CEEA61A"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 xml:space="preserve">Лечение на изолираните (първичните) дистонии </w:t>
      </w:r>
    </w:p>
    <w:p w14:paraId="5A670ACF"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p>
    <w:p w14:paraId="3E169F76"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Theme="majorEastAsia" w:hAnsi="Times New Roman"/>
          <w:b/>
          <w:bCs/>
          <w:iCs/>
          <w:sz w:val="24"/>
          <w:szCs w:val="24"/>
        </w:rPr>
        <w:t>1.</w:t>
      </w:r>
      <w:r w:rsidRPr="00AE47C6">
        <w:rPr>
          <w:rFonts w:ascii="Times New Roman" w:eastAsia="SimSun" w:hAnsi="Times New Roman"/>
          <w:b/>
          <w:sz w:val="24"/>
          <w:szCs w:val="24"/>
        </w:rPr>
        <w:t xml:space="preserve"> Генерализирани дистонии.</w:t>
      </w:r>
      <w:r w:rsidRPr="00AE47C6">
        <w:rPr>
          <w:rFonts w:ascii="Times New Roman" w:eastAsia="SimSun" w:hAnsi="Times New Roman"/>
          <w:i/>
          <w:sz w:val="24"/>
          <w:szCs w:val="24"/>
        </w:rPr>
        <w:t xml:space="preserve"> </w:t>
      </w:r>
      <w:r w:rsidRPr="00AE47C6">
        <w:rPr>
          <w:rFonts w:ascii="Times New Roman" w:eastAsia="SimSun" w:hAnsi="Times New Roman"/>
          <w:color w:val="000000" w:themeColor="text1"/>
          <w:sz w:val="24"/>
          <w:szCs w:val="24"/>
        </w:rPr>
        <w:t xml:space="preserve">За лечение на генерализирана дистония се използва фармакотерапия. Ботулиновият токсин има малка роля в лечението на генерализираната дистония. Изолирани части обхванати от дистонията, като доминантната ръка, могат да се третират с ботулинов токсин с оглед намаляване на инвалидизацията. </w:t>
      </w:r>
    </w:p>
    <w:p w14:paraId="04F039CD"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Лечението започва </w:t>
      </w:r>
      <w:r w:rsidRPr="00AE47C6">
        <w:rPr>
          <w:rFonts w:ascii="Times New Roman" w:eastAsia="SimSun" w:hAnsi="Times New Roman"/>
          <w:b/>
          <w:color w:val="000000" w:themeColor="text1"/>
          <w:sz w:val="24"/>
          <w:szCs w:val="24"/>
        </w:rPr>
        <w:t>с леводопа</w:t>
      </w:r>
      <w:r w:rsidRPr="00AE47C6">
        <w:rPr>
          <w:rFonts w:ascii="Times New Roman" w:eastAsia="SimSun" w:hAnsi="Times New Roman"/>
          <w:color w:val="000000" w:themeColor="text1"/>
          <w:sz w:val="24"/>
          <w:szCs w:val="24"/>
        </w:rPr>
        <w:t xml:space="preserve">, с оглед да се провери дали болният не от групата на леводопа повлияваща се дистония. Дозата се повишава постепенно поне до 4 пъти дневно по 250 mg. Освен това страничните ефекти (двигателни флуктуации и дискинезии) са най-малки и се явяват рядко и късно. </w:t>
      </w:r>
    </w:p>
    <w:p w14:paraId="0EE62F57"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Приема се, че леводопата не е ефективна, ако след 3 месечно лечение няма клинично повлияване.</w:t>
      </w:r>
    </w:p>
    <w:p w14:paraId="2FB2C31F"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i/>
          <w:iCs/>
          <w:sz w:val="24"/>
          <w:szCs w:val="24"/>
          <w:lang w:eastAsia="bg-BG"/>
        </w:rPr>
      </w:pPr>
      <w:r w:rsidRPr="00AE47C6">
        <w:rPr>
          <w:rFonts w:ascii="Times New Roman" w:eastAsia="SimSun" w:hAnsi="Times New Roman"/>
          <w:sz w:val="24"/>
          <w:szCs w:val="24"/>
          <w:lang w:eastAsia="bg-BG"/>
        </w:rPr>
        <w:t xml:space="preserve">Лечението на дистонията, повлияваща се от леводопа се провежда с леводопа. Обикновено се постига отличен дългосрочен контрол на симптомите и то с ниски дози (200-400 mg  леводопа дневно). Леводопа трябва да се въвежда постепенно. </w:t>
      </w:r>
    </w:p>
    <w:p w14:paraId="77F43DAC" w14:textId="77777777" w:rsidR="00BE0B19" w:rsidRPr="00AE47C6" w:rsidRDefault="00BE0B19" w:rsidP="00BE0B19">
      <w:pPr>
        <w:spacing w:after="0" w:line="360" w:lineRule="auto"/>
        <w:ind w:firstLine="720"/>
        <w:jc w:val="both"/>
        <w:rPr>
          <w:rFonts w:ascii="Times New Roman" w:eastAsiaTheme="minorHAnsi" w:hAnsi="Times New Roman"/>
          <w:color w:val="000000" w:themeColor="text1"/>
          <w:sz w:val="24"/>
          <w:szCs w:val="24"/>
        </w:rPr>
      </w:pPr>
      <w:r w:rsidRPr="00AE47C6">
        <w:rPr>
          <w:rFonts w:ascii="Times New Roman" w:eastAsiaTheme="minorHAnsi" w:hAnsi="Times New Roman"/>
          <w:i/>
          <w:color w:val="000000" w:themeColor="text1"/>
          <w:sz w:val="24"/>
          <w:szCs w:val="24"/>
        </w:rPr>
        <w:t>Допаминовите агонисти</w:t>
      </w:r>
      <w:r w:rsidRPr="00AE47C6">
        <w:rPr>
          <w:rFonts w:ascii="Times New Roman" w:eastAsiaTheme="minorHAnsi" w:hAnsi="Times New Roman"/>
          <w:color w:val="000000" w:themeColor="text1"/>
          <w:sz w:val="24"/>
          <w:szCs w:val="24"/>
        </w:rPr>
        <w:t xml:space="preserve"> също дават ефект при леводопа повлияващата се дистония.</w:t>
      </w:r>
    </w:p>
    <w:p w14:paraId="6FEEDF46"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Ако леводопа не е ефективна, пациентът трябва да започне лечение с trihexyphenidyl. </w:t>
      </w:r>
    </w:p>
    <w:p w14:paraId="39F880EF" w14:textId="77777777" w:rsidR="00BE0B19" w:rsidRPr="00AE47C6" w:rsidRDefault="00BE0B19" w:rsidP="00BE0B19">
      <w:pPr>
        <w:spacing w:after="0" w:line="360" w:lineRule="auto"/>
        <w:ind w:firstLine="720"/>
        <w:jc w:val="both"/>
        <w:rPr>
          <w:rFonts w:ascii="Times New Roman" w:eastAsiaTheme="minorHAnsi" w:hAnsi="Times New Roman"/>
          <w:color w:val="000000" w:themeColor="text1"/>
          <w:sz w:val="24"/>
          <w:szCs w:val="24"/>
        </w:rPr>
      </w:pPr>
      <w:r w:rsidRPr="00AE47C6">
        <w:rPr>
          <w:rFonts w:ascii="Times New Roman" w:eastAsiaTheme="minorHAnsi" w:hAnsi="Times New Roman"/>
          <w:b/>
          <w:color w:val="000000" w:themeColor="text1"/>
          <w:sz w:val="24"/>
          <w:szCs w:val="24"/>
        </w:rPr>
        <w:t>Антихолинергичните медикаменти</w:t>
      </w:r>
      <w:r w:rsidRPr="00AE47C6">
        <w:rPr>
          <w:rFonts w:ascii="Times New Roman" w:eastAsiaTheme="minorHAnsi" w:hAnsi="Times New Roman"/>
          <w:color w:val="000000" w:themeColor="text1"/>
          <w:sz w:val="24"/>
          <w:szCs w:val="24"/>
        </w:rPr>
        <w:t xml:space="preserve"> (trihexyphenidyl 12 mg дневно) са медикамент на втори избор, след леводопа. Във високи дози са ефективни при 20-40% от предимно по-младите пациенти. Дозите се повишават бавно от 2 mg дневно до максимално поносимите от пациента. Понякога е необходима дневна доза от 60-100 mg за постигане на ефект. Страничните ефекти са множество (халюцинации, паметови нарушения) и действието на медикаментите се изчерпва след около 1 година. </w:t>
      </w:r>
    </w:p>
    <w:p w14:paraId="0D771816" w14:textId="77777777" w:rsidR="00BE0B19" w:rsidRPr="00AE47C6" w:rsidRDefault="00BE0B19" w:rsidP="00BE0B19">
      <w:pPr>
        <w:spacing w:after="0" w:line="360" w:lineRule="auto"/>
        <w:ind w:firstLine="720"/>
        <w:jc w:val="both"/>
        <w:rPr>
          <w:rFonts w:ascii="Times New Roman" w:eastAsiaTheme="minorHAnsi" w:hAnsi="Times New Roman"/>
          <w:color w:val="000000" w:themeColor="text1"/>
          <w:sz w:val="24"/>
          <w:szCs w:val="24"/>
        </w:rPr>
      </w:pPr>
      <w:r w:rsidRPr="00AE47C6">
        <w:rPr>
          <w:rFonts w:ascii="Times New Roman" w:eastAsiaTheme="minorHAnsi" w:hAnsi="Times New Roman"/>
          <w:b/>
          <w:color w:val="000000" w:themeColor="text1"/>
          <w:sz w:val="24"/>
          <w:szCs w:val="24"/>
        </w:rPr>
        <w:t>Антидопаминергичните медикаменти</w:t>
      </w:r>
      <w:r w:rsidRPr="00AE47C6">
        <w:rPr>
          <w:rFonts w:ascii="Times New Roman" w:eastAsiaTheme="minorHAnsi" w:hAnsi="Times New Roman"/>
          <w:color w:val="000000" w:themeColor="text1"/>
          <w:sz w:val="24"/>
          <w:szCs w:val="24"/>
        </w:rPr>
        <w:t xml:space="preserve"> – блокери на допаминовите рецептори (haloperidol) и изчерпващи допаминовите депа медикаменти (tetrabenazine, reserpine) повлияват добре някои болни. Най-често използваните антидопаминергични медикаменти са фенотиазините, clozapine, haloperidol, risperidone и tetrabenazine. Използването на тази група медикаменти не се препоръчва поради множеството странични ефекти, включително и късни дискинезии. </w:t>
      </w:r>
    </w:p>
    <w:p w14:paraId="2CE3AD81" w14:textId="77777777" w:rsidR="00BE0B19" w:rsidRPr="00AE47C6" w:rsidRDefault="00BE0B19" w:rsidP="00BE0B19">
      <w:pPr>
        <w:spacing w:after="0" w:line="360" w:lineRule="auto"/>
        <w:ind w:firstLine="720"/>
        <w:jc w:val="both"/>
        <w:rPr>
          <w:rFonts w:ascii="Times New Roman" w:eastAsiaTheme="minorHAnsi" w:hAnsi="Times New Roman"/>
          <w:color w:val="000000" w:themeColor="text1"/>
          <w:sz w:val="24"/>
          <w:szCs w:val="24"/>
        </w:rPr>
      </w:pPr>
      <w:r w:rsidRPr="00AE47C6">
        <w:rPr>
          <w:rFonts w:ascii="Times New Roman" w:eastAsiaTheme="minorHAnsi" w:hAnsi="Times New Roman"/>
          <w:i/>
          <w:color w:val="000000" w:themeColor="text1"/>
          <w:sz w:val="24"/>
          <w:szCs w:val="24"/>
        </w:rPr>
        <w:t>Tetrabenazine</w:t>
      </w:r>
      <w:r w:rsidRPr="00AE47C6">
        <w:rPr>
          <w:rFonts w:ascii="Times New Roman" w:eastAsiaTheme="minorHAnsi" w:hAnsi="Times New Roman"/>
          <w:color w:val="000000" w:themeColor="text1"/>
          <w:sz w:val="24"/>
          <w:szCs w:val="24"/>
        </w:rPr>
        <w:t xml:space="preserve"> 100-200 mg дневно е ефективен при пациенти с късна дистония и има предимството, че не предизвиква късна дискинезия, но може да предизвика преходни остри дистонични реакции. </w:t>
      </w:r>
    </w:p>
    <w:p w14:paraId="3583F978" w14:textId="77777777" w:rsidR="00BE0B19" w:rsidRPr="00AE47C6" w:rsidRDefault="00BE0B19" w:rsidP="00BE0B19">
      <w:pPr>
        <w:spacing w:after="0" w:line="360" w:lineRule="auto"/>
        <w:ind w:firstLine="720"/>
        <w:jc w:val="both"/>
        <w:rPr>
          <w:rFonts w:ascii="Times New Roman" w:eastAsiaTheme="minorHAnsi" w:hAnsi="Times New Roman"/>
          <w:color w:val="000000" w:themeColor="text1"/>
          <w:sz w:val="24"/>
          <w:szCs w:val="24"/>
        </w:rPr>
      </w:pPr>
      <w:r w:rsidRPr="00AE47C6">
        <w:rPr>
          <w:rFonts w:ascii="Times New Roman" w:eastAsiaTheme="minorHAnsi" w:hAnsi="Times New Roman"/>
          <w:b/>
          <w:color w:val="000000" w:themeColor="text1"/>
          <w:sz w:val="24"/>
          <w:szCs w:val="24"/>
        </w:rPr>
        <w:t>Baclofen</w:t>
      </w:r>
      <w:r w:rsidRPr="00AE47C6">
        <w:rPr>
          <w:rFonts w:ascii="Times New Roman" w:eastAsiaTheme="minorHAnsi" w:hAnsi="Times New Roman"/>
          <w:color w:val="000000" w:themeColor="text1"/>
          <w:sz w:val="24"/>
          <w:szCs w:val="24"/>
        </w:rPr>
        <w:t xml:space="preserve"> е GABA</w:t>
      </w:r>
      <w:r w:rsidRPr="00AE47C6">
        <w:rPr>
          <w:rFonts w:ascii="Times New Roman" w:eastAsiaTheme="minorHAnsi" w:hAnsi="Times New Roman"/>
          <w:color w:val="000000" w:themeColor="text1"/>
          <w:sz w:val="24"/>
          <w:szCs w:val="24"/>
          <w:vertAlign w:val="subscript"/>
        </w:rPr>
        <w:t>B</w:t>
      </w:r>
      <w:r w:rsidRPr="00AE47C6">
        <w:rPr>
          <w:rFonts w:ascii="Times New Roman" w:eastAsiaTheme="minorHAnsi" w:hAnsi="Times New Roman"/>
          <w:color w:val="000000" w:themeColor="text1"/>
          <w:sz w:val="24"/>
          <w:szCs w:val="24"/>
        </w:rPr>
        <w:t>-рецепторен агонист има добър ефект при 20% от пациентите, особено при болни със сегментна краниална дистония. Baclofen в дневна доза 75 до 100 mg се прилага при</w:t>
      </w:r>
      <w:r w:rsidRPr="00AE47C6">
        <w:rPr>
          <w:rFonts w:ascii="Times New Roman" w:eastAsia="SimSun" w:hAnsi="Times New Roman"/>
          <w:sz w:val="24"/>
          <w:szCs w:val="24"/>
        </w:rPr>
        <w:t xml:space="preserve"> </w:t>
      </w:r>
      <w:r w:rsidRPr="00AE47C6">
        <w:rPr>
          <w:rFonts w:ascii="Times New Roman" w:eastAsiaTheme="minorHAnsi" w:hAnsi="Times New Roman"/>
          <w:color w:val="000000" w:themeColor="text1"/>
          <w:sz w:val="24"/>
          <w:szCs w:val="24"/>
        </w:rPr>
        <w:t xml:space="preserve">липса на ефект от антихолинергичните медикаменти или при непоносимост към тях. </w:t>
      </w:r>
    </w:p>
    <w:p w14:paraId="23062EA3" w14:textId="77777777" w:rsidR="00BE0B19" w:rsidRPr="00AE47C6" w:rsidRDefault="00BE0B19" w:rsidP="00BE0B19">
      <w:pPr>
        <w:spacing w:after="0" w:line="360" w:lineRule="auto"/>
        <w:ind w:firstLine="720"/>
        <w:jc w:val="both"/>
        <w:rPr>
          <w:rFonts w:ascii="Times New Roman" w:eastAsiaTheme="minorHAnsi" w:hAnsi="Times New Roman"/>
          <w:color w:val="000000" w:themeColor="text1"/>
          <w:sz w:val="24"/>
          <w:szCs w:val="24"/>
        </w:rPr>
      </w:pPr>
      <w:r w:rsidRPr="00AE47C6">
        <w:rPr>
          <w:rFonts w:ascii="Times New Roman" w:eastAsiaTheme="minorHAnsi" w:hAnsi="Times New Roman"/>
          <w:b/>
          <w:color w:val="000000" w:themeColor="text1"/>
          <w:sz w:val="24"/>
          <w:szCs w:val="24"/>
        </w:rPr>
        <w:t>Бензодиазепините</w:t>
      </w:r>
      <w:r w:rsidRPr="00AE47C6">
        <w:rPr>
          <w:rFonts w:ascii="Times New Roman" w:eastAsiaTheme="minorHAnsi" w:hAnsi="Times New Roman"/>
          <w:color w:val="000000" w:themeColor="text1"/>
          <w:sz w:val="24"/>
          <w:szCs w:val="24"/>
        </w:rPr>
        <w:t xml:space="preserve"> (clonazepam), carbamazepine и фенотиазиновите препарати понякога могат да дадат резултат, особено при лицевия хемиспазъм, блефароспазъма и синдрома на Meige. </w:t>
      </w:r>
    </w:p>
    <w:p w14:paraId="3F37E5FA" w14:textId="77777777" w:rsidR="00BE0B19" w:rsidRPr="00AE47C6" w:rsidRDefault="00BE0B19" w:rsidP="00BE0B19">
      <w:pPr>
        <w:spacing w:after="0" w:line="360" w:lineRule="auto"/>
        <w:ind w:firstLine="720"/>
        <w:jc w:val="both"/>
        <w:rPr>
          <w:rFonts w:ascii="Times New Roman" w:eastAsiaTheme="minorHAnsi" w:hAnsi="Times New Roman"/>
          <w:color w:val="000000" w:themeColor="text1"/>
          <w:sz w:val="24"/>
          <w:szCs w:val="24"/>
        </w:rPr>
      </w:pPr>
      <w:r w:rsidRPr="00AE47C6">
        <w:rPr>
          <w:rFonts w:ascii="Times New Roman" w:eastAsiaTheme="minorHAnsi" w:hAnsi="Times New Roman"/>
          <w:b/>
          <w:color w:val="000000" w:themeColor="text1"/>
          <w:sz w:val="24"/>
          <w:szCs w:val="24"/>
        </w:rPr>
        <w:t>Комбинираното лечение</w:t>
      </w:r>
      <w:r w:rsidRPr="00AE47C6">
        <w:rPr>
          <w:rFonts w:ascii="Times New Roman" w:eastAsiaTheme="minorHAnsi" w:hAnsi="Times New Roman"/>
          <w:color w:val="000000" w:themeColor="text1"/>
          <w:sz w:val="24"/>
          <w:szCs w:val="24"/>
        </w:rPr>
        <w:t xml:space="preserve"> включва тройни комбинации от медикамент изчерпващ допаминовите депа, допаминов рецепторен блокер и антихолинергичен медикамент или антихолинергични медикаменти и бензодиазепини. </w:t>
      </w:r>
    </w:p>
    <w:p w14:paraId="5E7E7B97"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sz w:val="24"/>
          <w:szCs w:val="24"/>
        </w:rPr>
        <w:t>Status dystonicus</w:t>
      </w:r>
      <w:r w:rsidRPr="00AE47C6">
        <w:rPr>
          <w:rFonts w:ascii="Times New Roman" w:eastAsia="SimSun" w:hAnsi="Times New Roman"/>
          <w:color w:val="000000" w:themeColor="text1"/>
          <w:sz w:val="24"/>
          <w:szCs w:val="24"/>
        </w:rPr>
        <w:t xml:space="preserve"> се лекува с бензодиазепини, антихолинергични средства, ботулинов токсин и дихателна реанимация. При някои пациенти спешната палидотомия или дълбока мозъчна стимулация са успешен метод на лечение. Повечето пациенти се възстановяват спонтанно само с поддържащо лечение. </w:t>
      </w:r>
    </w:p>
    <w:p w14:paraId="35582C8B"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Дълбоката мозъчна стимулация (DBS)</w:t>
      </w:r>
      <w:r w:rsidRPr="00AE47C6">
        <w:rPr>
          <w:rFonts w:ascii="Times New Roman" w:eastAsia="SimSun" w:hAnsi="Times New Roman"/>
          <w:color w:val="000000" w:themeColor="text1"/>
          <w:sz w:val="24"/>
          <w:szCs w:val="24"/>
        </w:rPr>
        <w:t xml:space="preserve"> на nucleus medialis на globus pallidus internus (GPi) може да има отличен и продължителен ефект при пациентите с първична дистония. Методът отдавна е заменил деструктивните неврохирургични операция, като палидо- и таламотомия. </w:t>
      </w:r>
    </w:p>
    <w:p w14:paraId="12B19E6D"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Репетитивната транскраниална магнитна стимулация</w:t>
      </w:r>
      <w:r w:rsidRPr="00AE47C6">
        <w:rPr>
          <w:rFonts w:ascii="Times New Roman" w:eastAsia="SimSun" w:hAnsi="Times New Roman"/>
          <w:color w:val="000000" w:themeColor="text1"/>
          <w:sz w:val="24"/>
          <w:szCs w:val="24"/>
        </w:rPr>
        <w:t xml:space="preserve"> (rTMS) на моторните корови зони се налага все по-широко като терапевтичен метод при повечето форми на генерализирана дистония, където терапевтичните възможности често са неефективни.</w:t>
      </w:r>
    </w:p>
    <w:p w14:paraId="43176B7A"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 xml:space="preserve">2. Фокалната и сегментната дистония и лицевия хемиспазъм </w:t>
      </w:r>
      <w:r w:rsidRPr="00AE47C6">
        <w:rPr>
          <w:rFonts w:ascii="Times New Roman" w:eastAsia="SimSun" w:hAnsi="Times New Roman"/>
          <w:color w:val="000000" w:themeColor="text1"/>
          <w:sz w:val="24"/>
          <w:szCs w:val="24"/>
        </w:rPr>
        <w:t xml:space="preserve">се лекуват с локално инжектиране на ботулинов токсин тип А в засегнатите мускули </w:t>
      </w:r>
      <w:r w:rsidRPr="00AE47C6">
        <w:rPr>
          <w:rFonts w:ascii="Times New Roman" w:eastAsia="SimSun" w:hAnsi="Times New Roman"/>
          <w:i/>
          <w:color w:val="000000" w:themeColor="text1"/>
          <w:sz w:val="24"/>
          <w:szCs w:val="24"/>
        </w:rPr>
        <w:t xml:space="preserve">abobotulinumtoxin A </w:t>
      </w:r>
      <w:r w:rsidRPr="00AE47C6">
        <w:rPr>
          <w:rFonts w:ascii="Times New Roman" w:eastAsia="SimSun" w:hAnsi="Times New Roman"/>
          <w:color w:val="000000" w:themeColor="text1"/>
          <w:sz w:val="24"/>
          <w:szCs w:val="24"/>
        </w:rPr>
        <w:t xml:space="preserve"> </w:t>
      </w:r>
      <w:r w:rsidRPr="00AE47C6">
        <w:rPr>
          <w:rFonts w:ascii="Times New Roman" w:eastAsia="SimSun" w:hAnsi="Times New Roman"/>
          <w:i/>
          <w:color w:val="000000" w:themeColor="text1"/>
          <w:sz w:val="24"/>
          <w:szCs w:val="24"/>
        </w:rPr>
        <w:t>– clostridium botulinum type A toxin-haemagglutinin complex</w:t>
      </w:r>
      <w:r w:rsidRPr="00AE47C6">
        <w:rPr>
          <w:rFonts w:ascii="Times New Roman" w:eastAsia="SimSun" w:hAnsi="Times New Roman"/>
          <w:color w:val="000000" w:themeColor="text1"/>
          <w:sz w:val="24"/>
          <w:szCs w:val="24"/>
        </w:rPr>
        <w:t xml:space="preserve">. Прилага се в шишенца от 300 U, </w:t>
      </w:r>
      <w:r w:rsidRPr="00AE47C6">
        <w:rPr>
          <w:rFonts w:ascii="Times New Roman" w:eastAsia="SimSun" w:hAnsi="Times New Roman"/>
          <w:i/>
          <w:color w:val="000000" w:themeColor="text1"/>
          <w:sz w:val="24"/>
          <w:szCs w:val="24"/>
        </w:rPr>
        <w:t>onabotulinumtoxinA</w:t>
      </w:r>
      <w:r w:rsidRPr="00AE47C6">
        <w:rPr>
          <w:rFonts w:ascii="Times New Roman" w:eastAsia="SimSun" w:hAnsi="Times New Roman"/>
          <w:color w:val="000000" w:themeColor="text1"/>
          <w:sz w:val="24"/>
          <w:szCs w:val="24"/>
        </w:rPr>
        <w:t xml:space="preserve">  в шишенца от 100 U</w:t>
      </w:r>
      <w:r w:rsidRPr="00AE47C6">
        <w:rPr>
          <w:rFonts w:ascii="Times New Roman" w:eastAsia="SimSun" w:hAnsi="Times New Roman"/>
          <w:b/>
          <w:sz w:val="24"/>
          <w:szCs w:val="24"/>
        </w:rPr>
        <w:t xml:space="preserve"> </w:t>
      </w:r>
      <w:r w:rsidRPr="00AE47C6">
        <w:rPr>
          <w:rFonts w:ascii="Times New Roman" w:eastAsia="SimSun" w:hAnsi="Times New Roman"/>
          <w:color w:val="000000" w:themeColor="text1"/>
          <w:sz w:val="24"/>
          <w:szCs w:val="24"/>
        </w:rPr>
        <w:t xml:space="preserve">или </w:t>
      </w:r>
      <w:r w:rsidRPr="00AE47C6">
        <w:rPr>
          <w:rFonts w:ascii="Times New Roman" w:eastAsia="SimSun" w:hAnsi="Times New Roman"/>
          <w:i/>
          <w:color w:val="000000" w:themeColor="text1"/>
          <w:sz w:val="24"/>
          <w:szCs w:val="24"/>
        </w:rPr>
        <w:t>incobotulinumtoxin A</w:t>
      </w:r>
      <w:r w:rsidRPr="00AE47C6">
        <w:rPr>
          <w:rFonts w:ascii="Times New Roman" w:eastAsia="SimSun" w:hAnsi="Times New Roman"/>
          <w:color w:val="000000" w:themeColor="text1"/>
          <w:sz w:val="24"/>
          <w:szCs w:val="24"/>
        </w:rPr>
        <w:t xml:space="preserve"> в шишенца от 100 U. Препоръчителните дози невротоксин са различни за различните симптоми и зависят от конкретно засегнатите мускули. Прилагат се </w:t>
      </w:r>
      <w:r w:rsidRPr="00AE47C6">
        <w:rPr>
          <w:rFonts w:ascii="Times New Roman" w:eastAsia="SimSun" w:hAnsi="Times New Roman"/>
          <w:i/>
          <w:color w:val="000000" w:themeColor="text1"/>
          <w:sz w:val="24"/>
          <w:szCs w:val="24"/>
        </w:rPr>
        <w:t>300-до 600 U abobotulinumtoxin A или 100 до 200 U onabotulinumtoxinA или incobotulinumtoxin A з</w:t>
      </w:r>
      <w:r w:rsidRPr="00AE47C6">
        <w:rPr>
          <w:rFonts w:ascii="Times New Roman" w:eastAsia="SimSun" w:hAnsi="Times New Roman"/>
          <w:color w:val="000000" w:themeColor="text1"/>
          <w:sz w:val="24"/>
          <w:szCs w:val="24"/>
        </w:rPr>
        <w:t xml:space="preserve">а една сесия. В клиничната практика най-често се използва приблизителното съотношение </w:t>
      </w:r>
      <w:r w:rsidRPr="00AE47C6">
        <w:rPr>
          <w:rFonts w:ascii="Times New Roman" w:eastAsia="SimSun" w:hAnsi="Times New Roman"/>
          <w:i/>
          <w:color w:val="000000" w:themeColor="text1"/>
          <w:sz w:val="24"/>
          <w:szCs w:val="24"/>
        </w:rPr>
        <w:t>abobotulinumtoxin A</w:t>
      </w:r>
      <w:r w:rsidRPr="00AE47C6">
        <w:rPr>
          <w:rFonts w:ascii="Times New Roman" w:eastAsia="SimSun" w:hAnsi="Times New Roman"/>
          <w:color w:val="000000" w:themeColor="text1"/>
          <w:sz w:val="24"/>
          <w:szCs w:val="24"/>
        </w:rPr>
        <w:t xml:space="preserve"> : </w:t>
      </w:r>
      <w:r w:rsidRPr="00AE47C6">
        <w:rPr>
          <w:rFonts w:ascii="Times New Roman" w:eastAsia="SimSun" w:hAnsi="Times New Roman"/>
          <w:i/>
          <w:color w:val="000000" w:themeColor="text1"/>
          <w:sz w:val="24"/>
          <w:szCs w:val="24"/>
        </w:rPr>
        <w:t>onabotulinumtoxinA</w:t>
      </w:r>
      <w:r w:rsidRPr="00AE47C6">
        <w:rPr>
          <w:rFonts w:ascii="Times New Roman" w:eastAsia="SimSun" w:hAnsi="Times New Roman"/>
          <w:color w:val="000000" w:themeColor="text1"/>
          <w:sz w:val="24"/>
          <w:szCs w:val="24"/>
        </w:rPr>
        <w:t xml:space="preserve"> : </w:t>
      </w:r>
      <w:r w:rsidRPr="00AE47C6">
        <w:rPr>
          <w:rFonts w:ascii="Times New Roman" w:eastAsia="SimSun" w:hAnsi="Times New Roman"/>
          <w:i/>
          <w:color w:val="000000" w:themeColor="text1"/>
          <w:sz w:val="24"/>
          <w:szCs w:val="24"/>
        </w:rPr>
        <w:t>incobotulinumtoxin A</w:t>
      </w:r>
      <w:r w:rsidRPr="00AE47C6">
        <w:rPr>
          <w:rFonts w:ascii="Times New Roman" w:eastAsia="SimSun" w:hAnsi="Times New Roman"/>
          <w:color w:val="000000" w:themeColor="text1"/>
          <w:sz w:val="24"/>
          <w:szCs w:val="24"/>
        </w:rPr>
        <w:t xml:space="preserve"> = 2,5 : 1 : 1</w:t>
      </w:r>
    </w:p>
    <w:p w14:paraId="748303C7"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Регистрираният в Китай ботулинов токсин съдържа говежди желатинов протеин, който има потенциала да тригерира имунни отговори и алергични реакции. Не бива да се подценява и риска от трансмисия на спонгиформена енцефалопатия (болестта “луда крава”).</w:t>
      </w:r>
    </w:p>
    <w:p w14:paraId="6134EF0A"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Най-честите бързо преходни странични ефекти са локална мускулна слабост при поставяне на по-висока доза или слабост на съседни мускули, поради дифузия на токсина.</w:t>
      </w:r>
      <w:r w:rsidRPr="00AE47C6">
        <w:rPr>
          <w:rFonts w:ascii="Times New Roman" w:eastAsia="SimSun" w:hAnsi="Times New Roman"/>
          <w:sz w:val="24"/>
          <w:szCs w:val="24"/>
        </w:rPr>
        <w:t xml:space="preserve"> </w:t>
      </w:r>
      <w:r w:rsidRPr="00AE47C6">
        <w:rPr>
          <w:rFonts w:ascii="Times New Roman" w:eastAsia="SimSun" w:hAnsi="Times New Roman"/>
          <w:color w:val="000000" w:themeColor="text1"/>
          <w:sz w:val="24"/>
          <w:szCs w:val="24"/>
        </w:rPr>
        <w:t>Потенциалните дългосрочни ефекти вследствие на честото прилагане на токсина включват образуване на неутрализиращи серумни антитела към ботулиновия токсин и клинична резистентност към последващо прилагане.</w:t>
      </w:r>
      <w:r w:rsidRPr="00AE47C6">
        <w:rPr>
          <w:rFonts w:ascii="Times New Roman" w:eastAsia="SimSun" w:hAnsi="Times New Roman"/>
          <w:sz w:val="24"/>
          <w:szCs w:val="24"/>
        </w:rPr>
        <w:t xml:space="preserve"> </w:t>
      </w:r>
      <w:r w:rsidRPr="00AE47C6">
        <w:rPr>
          <w:rFonts w:ascii="Times New Roman" w:eastAsia="SimSun" w:hAnsi="Times New Roman"/>
          <w:color w:val="000000" w:themeColor="text1"/>
          <w:sz w:val="24"/>
          <w:szCs w:val="24"/>
        </w:rPr>
        <w:t>Прилагането в тези случаи на ботулинов токсин тип В (rimabotulinumtoxin B) има клиничен ефект. За избягване на тези странични ефекти трябва да се използват минималните ефективни количества от токсина, не по-често от всеки 3 месеца.</w:t>
      </w:r>
    </w:p>
    <w:p w14:paraId="46C33550"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sz w:val="24"/>
          <w:szCs w:val="24"/>
        </w:rPr>
        <w:t xml:space="preserve">Таблица 6.7. </w:t>
      </w:r>
      <w:r w:rsidRPr="00AE47C6">
        <w:rPr>
          <w:rFonts w:ascii="Times New Roman" w:eastAsia="SimSun" w:hAnsi="Times New Roman"/>
          <w:sz w:val="24"/>
          <w:szCs w:val="24"/>
        </w:rPr>
        <w:t>Лечение на дистониите</w:t>
      </w:r>
    </w:p>
    <w:tbl>
      <w:tblPr>
        <w:tblStyle w:val="TableGrid2"/>
        <w:tblW w:w="4995" w:type="pct"/>
        <w:tblLook w:val="04A0" w:firstRow="1" w:lastRow="0" w:firstColumn="1" w:lastColumn="0" w:noHBand="0" w:noVBand="1"/>
      </w:tblPr>
      <w:tblGrid>
        <w:gridCol w:w="1517"/>
        <w:gridCol w:w="2094"/>
        <w:gridCol w:w="1519"/>
        <w:gridCol w:w="1808"/>
        <w:gridCol w:w="2113"/>
      </w:tblGrid>
      <w:tr w:rsidR="00BE0B19" w:rsidRPr="00AE47C6" w14:paraId="6B724249" w14:textId="77777777" w:rsidTr="00AD72E5">
        <w:tc>
          <w:tcPr>
            <w:tcW w:w="840" w:type="pct"/>
          </w:tcPr>
          <w:p w14:paraId="49E1205E" w14:textId="77777777" w:rsidR="00BE0B19" w:rsidRPr="00AE47C6" w:rsidRDefault="00BE0B19" w:rsidP="00BE0B19">
            <w:pPr>
              <w:spacing w:after="0" w:line="360" w:lineRule="auto"/>
              <w:jc w:val="center"/>
              <w:rPr>
                <w:rFonts w:ascii="Times New Roman" w:hAnsi="Times New Roman"/>
                <w:b/>
                <w:color w:val="000000" w:themeColor="text1"/>
                <w:sz w:val="24"/>
                <w:szCs w:val="24"/>
              </w:rPr>
            </w:pPr>
            <w:r w:rsidRPr="00AE47C6">
              <w:rPr>
                <w:rFonts w:ascii="Times New Roman" w:hAnsi="Times New Roman"/>
                <w:b/>
                <w:color w:val="000000" w:themeColor="text1"/>
                <w:sz w:val="24"/>
                <w:szCs w:val="24"/>
              </w:rPr>
              <w:t>Тежест на дистонията</w:t>
            </w:r>
          </w:p>
        </w:tc>
        <w:tc>
          <w:tcPr>
            <w:tcW w:w="1159" w:type="pct"/>
          </w:tcPr>
          <w:p w14:paraId="5CA39BF9" w14:textId="77777777" w:rsidR="00BE0B19" w:rsidRPr="00AE47C6" w:rsidRDefault="00BE0B19" w:rsidP="00BE0B19">
            <w:pPr>
              <w:spacing w:after="0" w:line="360" w:lineRule="auto"/>
              <w:jc w:val="center"/>
              <w:rPr>
                <w:rFonts w:ascii="Times New Roman" w:hAnsi="Times New Roman"/>
                <w:b/>
                <w:color w:val="000000" w:themeColor="text1"/>
                <w:sz w:val="24"/>
                <w:szCs w:val="24"/>
              </w:rPr>
            </w:pPr>
            <w:r w:rsidRPr="00AE47C6">
              <w:rPr>
                <w:rFonts w:ascii="Times New Roman" w:hAnsi="Times New Roman"/>
                <w:b/>
                <w:color w:val="000000" w:themeColor="text1"/>
                <w:sz w:val="24"/>
                <w:szCs w:val="24"/>
              </w:rPr>
              <w:t>Локализация на дистонията</w:t>
            </w:r>
          </w:p>
        </w:tc>
        <w:tc>
          <w:tcPr>
            <w:tcW w:w="841" w:type="pct"/>
          </w:tcPr>
          <w:p w14:paraId="0BA399E5" w14:textId="77777777" w:rsidR="00BE0B19" w:rsidRPr="00AE47C6" w:rsidRDefault="00BE0B19" w:rsidP="00BE0B19">
            <w:pPr>
              <w:spacing w:after="0" w:line="360" w:lineRule="auto"/>
              <w:jc w:val="center"/>
              <w:rPr>
                <w:rFonts w:ascii="Times New Roman" w:hAnsi="Times New Roman"/>
                <w:b/>
                <w:color w:val="000000" w:themeColor="text1"/>
                <w:sz w:val="24"/>
                <w:szCs w:val="24"/>
              </w:rPr>
            </w:pPr>
            <w:r w:rsidRPr="00AE47C6">
              <w:rPr>
                <w:rFonts w:ascii="Times New Roman" w:hAnsi="Times New Roman"/>
                <w:b/>
                <w:color w:val="000000" w:themeColor="text1"/>
                <w:sz w:val="24"/>
                <w:szCs w:val="24"/>
              </w:rPr>
              <w:t>Основно лечение</w:t>
            </w:r>
          </w:p>
        </w:tc>
        <w:tc>
          <w:tcPr>
            <w:tcW w:w="990" w:type="pct"/>
          </w:tcPr>
          <w:p w14:paraId="1E539207" w14:textId="77777777" w:rsidR="00BE0B19" w:rsidRPr="00AE47C6" w:rsidRDefault="00BE0B19" w:rsidP="00BE0B19">
            <w:pPr>
              <w:spacing w:after="0" w:line="360" w:lineRule="auto"/>
              <w:jc w:val="center"/>
              <w:rPr>
                <w:rFonts w:ascii="Times New Roman" w:hAnsi="Times New Roman"/>
                <w:b/>
                <w:color w:val="000000" w:themeColor="text1"/>
                <w:sz w:val="24"/>
                <w:szCs w:val="24"/>
              </w:rPr>
            </w:pPr>
            <w:r w:rsidRPr="00AE47C6">
              <w:rPr>
                <w:rFonts w:ascii="Times New Roman" w:hAnsi="Times New Roman"/>
                <w:b/>
                <w:color w:val="000000" w:themeColor="text1"/>
                <w:sz w:val="24"/>
                <w:szCs w:val="24"/>
              </w:rPr>
              <w:t>Допълнително лечение</w:t>
            </w:r>
          </w:p>
        </w:tc>
        <w:tc>
          <w:tcPr>
            <w:tcW w:w="1169" w:type="pct"/>
          </w:tcPr>
          <w:p w14:paraId="0715D3FD" w14:textId="77777777" w:rsidR="00BE0B19" w:rsidRPr="00AE47C6" w:rsidRDefault="00BE0B19" w:rsidP="00BE0B19">
            <w:pPr>
              <w:spacing w:after="0" w:line="360" w:lineRule="auto"/>
              <w:jc w:val="center"/>
              <w:rPr>
                <w:rFonts w:ascii="Times New Roman" w:hAnsi="Times New Roman"/>
                <w:b/>
                <w:color w:val="000000" w:themeColor="text1"/>
                <w:sz w:val="24"/>
                <w:szCs w:val="24"/>
              </w:rPr>
            </w:pPr>
            <w:r w:rsidRPr="00AE47C6">
              <w:rPr>
                <w:rFonts w:ascii="Times New Roman" w:hAnsi="Times New Roman"/>
                <w:b/>
                <w:color w:val="000000" w:themeColor="text1"/>
                <w:sz w:val="24"/>
                <w:szCs w:val="24"/>
              </w:rPr>
              <w:t>Коментари</w:t>
            </w:r>
          </w:p>
        </w:tc>
      </w:tr>
      <w:tr w:rsidR="00BE0B19" w:rsidRPr="00AE47C6" w14:paraId="6084A442" w14:textId="77777777" w:rsidTr="00AD72E5">
        <w:tc>
          <w:tcPr>
            <w:tcW w:w="840" w:type="pct"/>
          </w:tcPr>
          <w:p w14:paraId="1965DF43"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Лека</w:t>
            </w:r>
          </w:p>
        </w:tc>
        <w:tc>
          <w:tcPr>
            <w:tcW w:w="1159" w:type="pct"/>
          </w:tcPr>
          <w:p w14:paraId="7432C0D0"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Фокална</w:t>
            </w:r>
          </w:p>
        </w:tc>
        <w:tc>
          <w:tcPr>
            <w:tcW w:w="841" w:type="pct"/>
          </w:tcPr>
          <w:p w14:paraId="5A1BE399"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АТ/ без</w:t>
            </w:r>
          </w:p>
        </w:tc>
        <w:tc>
          <w:tcPr>
            <w:tcW w:w="990" w:type="pct"/>
          </w:tcPr>
          <w:p w14:paraId="7AF73E1E" w14:textId="77777777" w:rsidR="00BE0B19" w:rsidRPr="00AE47C6" w:rsidRDefault="00BE0B19" w:rsidP="00BE0B19">
            <w:pPr>
              <w:spacing w:after="0" w:line="360" w:lineRule="auto"/>
              <w:jc w:val="center"/>
              <w:rPr>
                <w:rFonts w:ascii="Times New Roman" w:hAnsi="Times New Roman"/>
                <w:color w:val="000000" w:themeColor="text1"/>
                <w:sz w:val="24"/>
                <w:szCs w:val="24"/>
              </w:rPr>
            </w:pPr>
            <w:r w:rsidRPr="00AE47C6">
              <w:rPr>
                <w:rFonts w:ascii="Times New Roman" w:hAnsi="Times New Roman"/>
                <w:color w:val="000000" w:themeColor="text1"/>
                <w:sz w:val="24"/>
                <w:szCs w:val="24"/>
              </w:rPr>
              <w:t>-</w:t>
            </w:r>
          </w:p>
        </w:tc>
        <w:tc>
          <w:tcPr>
            <w:tcW w:w="1169" w:type="pct"/>
            <w:vMerge w:val="restart"/>
          </w:tcPr>
          <w:p w14:paraId="7A17076C"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АТ или лечението се отлага</w:t>
            </w:r>
          </w:p>
        </w:tc>
      </w:tr>
      <w:tr w:rsidR="00BE0B19" w:rsidRPr="00AE47C6" w14:paraId="04DC5260" w14:textId="77777777" w:rsidTr="00AD72E5">
        <w:tc>
          <w:tcPr>
            <w:tcW w:w="840" w:type="pct"/>
          </w:tcPr>
          <w:p w14:paraId="5B9E52B7" w14:textId="77777777" w:rsidR="00BE0B19" w:rsidRPr="00AE47C6" w:rsidRDefault="00BE0B19" w:rsidP="00BE0B19">
            <w:pPr>
              <w:spacing w:after="0" w:line="360" w:lineRule="auto"/>
              <w:jc w:val="both"/>
              <w:rPr>
                <w:rFonts w:ascii="Times New Roman" w:hAnsi="Times New Roman"/>
                <w:color w:val="000000" w:themeColor="text1"/>
                <w:sz w:val="24"/>
                <w:szCs w:val="24"/>
              </w:rPr>
            </w:pPr>
          </w:p>
        </w:tc>
        <w:tc>
          <w:tcPr>
            <w:tcW w:w="1159" w:type="pct"/>
          </w:tcPr>
          <w:p w14:paraId="63D80F0B"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Разпространена</w:t>
            </w:r>
          </w:p>
        </w:tc>
        <w:tc>
          <w:tcPr>
            <w:tcW w:w="841" w:type="pct"/>
          </w:tcPr>
          <w:p w14:paraId="72C60DA8"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АТ/ без</w:t>
            </w:r>
          </w:p>
        </w:tc>
        <w:tc>
          <w:tcPr>
            <w:tcW w:w="990" w:type="pct"/>
          </w:tcPr>
          <w:p w14:paraId="3306DF1E" w14:textId="77777777" w:rsidR="00BE0B19" w:rsidRPr="00AE47C6" w:rsidRDefault="00BE0B19" w:rsidP="00BE0B19">
            <w:pPr>
              <w:spacing w:after="0" w:line="360" w:lineRule="auto"/>
              <w:jc w:val="center"/>
              <w:rPr>
                <w:rFonts w:ascii="Times New Roman" w:hAnsi="Times New Roman"/>
                <w:color w:val="000000" w:themeColor="text1"/>
                <w:sz w:val="24"/>
                <w:szCs w:val="24"/>
              </w:rPr>
            </w:pPr>
            <w:r w:rsidRPr="00AE47C6">
              <w:rPr>
                <w:rFonts w:ascii="Times New Roman" w:hAnsi="Times New Roman"/>
                <w:color w:val="000000" w:themeColor="text1"/>
                <w:sz w:val="24"/>
                <w:szCs w:val="24"/>
              </w:rPr>
              <w:t>-</w:t>
            </w:r>
          </w:p>
        </w:tc>
        <w:tc>
          <w:tcPr>
            <w:tcW w:w="1169" w:type="pct"/>
            <w:vMerge/>
          </w:tcPr>
          <w:p w14:paraId="29AA49C2" w14:textId="77777777" w:rsidR="00BE0B19" w:rsidRPr="00AE47C6" w:rsidRDefault="00BE0B19" w:rsidP="00BE0B19">
            <w:pPr>
              <w:spacing w:after="0" w:line="360" w:lineRule="auto"/>
              <w:jc w:val="both"/>
              <w:rPr>
                <w:rFonts w:ascii="Times New Roman" w:hAnsi="Times New Roman"/>
                <w:color w:val="000000" w:themeColor="text1"/>
                <w:sz w:val="24"/>
                <w:szCs w:val="24"/>
              </w:rPr>
            </w:pPr>
          </w:p>
        </w:tc>
      </w:tr>
      <w:tr w:rsidR="00BE0B19" w:rsidRPr="00AE47C6" w14:paraId="1C06E95F" w14:textId="77777777" w:rsidTr="00AD72E5">
        <w:tc>
          <w:tcPr>
            <w:tcW w:w="840" w:type="pct"/>
            <w:vMerge w:val="restart"/>
          </w:tcPr>
          <w:p w14:paraId="1350D783"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Умерено тежка</w:t>
            </w:r>
          </w:p>
        </w:tc>
        <w:tc>
          <w:tcPr>
            <w:tcW w:w="1159" w:type="pct"/>
          </w:tcPr>
          <w:p w14:paraId="1F687DA1"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 xml:space="preserve">Фокална </w:t>
            </w:r>
          </w:p>
        </w:tc>
        <w:tc>
          <w:tcPr>
            <w:tcW w:w="841" w:type="pct"/>
          </w:tcPr>
          <w:p w14:paraId="06A85672"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БТ</w:t>
            </w:r>
          </w:p>
        </w:tc>
        <w:tc>
          <w:tcPr>
            <w:tcW w:w="990" w:type="pct"/>
          </w:tcPr>
          <w:p w14:paraId="0308F570"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РТ (по избор)</w:t>
            </w:r>
          </w:p>
        </w:tc>
        <w:tc>
          <w:tcPr>
            <w:tcW w:w="1169" w:type="pct"/>
            <w:vMerge w:val="restart"/>
          </w:tcPr>
          <w:p w14:paraId="09BC68A3"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При антероколис и алтерниращ тортиколис - DBS</w:t>
            </w:r>
          </w:p>
        </w:tc>
      </w:tr>
      <w:tr w:rsidR="00BE0B19" w:rsidRPr="00AE47C6" w14:paraId="1202B9A8" w14:textId="77777777" w:rsidTr="00AD72E5">
        <w:tc>
          <w:tcPr>
            <w:tcW w:w="840" w:type="pct"/>
            <w:vMerge/>
          </w:tcPr>
          <w:p w14:paraId="503395CD" w14:textId="77777777" w:rsidR="00BE0B19" w:rsidRPr="00AE47C6" w:rsidRDefault="00BE0B19" w:rsidP="00BE0B19">
            <w:pPr>
              <w:spacing w:after="0" w:line="360" w:lineRule="auto"/>
              <w:jc w:val="both"/>
              <w:rPr>
                <w:rFonts w:ascii="Times New Roman" w:hAnsi="Times New Roman"/>
                <w:color w:val="000000" w:themeColor="text1"/>
                <w:sz w:val="24"/>
                <w:szCs w:val="24"/>
              </w:rPr>
            </w:pPr>
          </w:p>
        </w:tc>
        <w:tc>
          <w:tcPr>
            <w:tcW w:w="1159" w:type="pct"/>
          </w:tcPr>
          <w:p w14:paraId="6606C22F"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Разпространена</w:t>
            </w:r>
          </w:p>
        </w:tc>
        <w:tc>
          <w:tcPr>
            <w:tcW w:w="841" w:type="pct"/>
          </w:tcPr>
          <w:p w14:paraId="2C546C07"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БТ</w:t>
            </w:r>
          </w:p>
        </w:tc>
        <w:tc>
          <w:tcPr>
            <w:tcW w:w="990" w:type="pct"/>
          </w:tcPr>
          <w:p w14:paraId="3DC1120C"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РТ (по избор)</w:t>
            </w:r>
          </w:p>
        </w:tc>
        <w:tc>
          <w:tcPr>
            <w:tcW w:w="1169" w:type="pct"/>
            <w:vMerge/>
          </w:tcPr>
          <w:p w14:paraId="32DE3778" w14:textId="77777777" w:rsidR="00BE0B19" w:rsidRPr="00AE47C6" w:rsidRDefault="00BE0B19" w:rsidP="00BE0B19">
            <w:pPr>
              <w:spacing w:after="0" w:line="360" w:lineRule="auto"/>
              <w:jc w:val="both"/>
              <w:rPr>
                <w:rFonts w:ascii="Times New Roman" w:hAnsi="Times New Roman"/>
                <w:color w:val="000000" w:themeColor="text1"/>
                <w:sz w:val="24"/>
                <w:szCs w:val="24"/>
              </w:rPr>
            </w:pPr>
          </w:p>
        </w:tc>
      </w:tr>
      <w:tr w:rsidR="00BE0B19" w:rsidRPr="00AE47C6" w14:paraId="1E45AFA4" w14:textId="77777777" w:rsidTr="00AD72E5">
        <w:tc>
          <w:tcPr>
            <w:tcW w:w="840" w:type="pct"/>
            <w:vMerge w:val="restart"/>
          </w:tcPr>
          <w:p w14:paraId="0D992B51"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 xml:space="preserve">Тежка </w:t>
            </w:r>
          </w:p>
        </w:tc>
        <w:tc>
          <w:tcPr>
            <w:tcW w:w="1159" w:type="pct"/>
          </w:tcPr>
          <w:p w14:paraId="481F6844"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Фокална</w:t>
            </w:r>
          </w:p>
        </w:tc>
        <w:tc>
          <w:tcPr>
            <w:tcW w:w="841" w:type="pct"/>
          </w:tcPr>
          <w:p w14:paraId="77EFC820"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БТ</w:t>
            </w:r>
          </w:p>
        </w:tc>
        <w:tc>
          <w:tcPr>
            <w:tcW w:w="990" w:type="pct"/>
          </w:tcPr>
          <w:p w14:paraId="44DD6225"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 xml:space="preserve">РТ </w:t>
            </w:r>
          </w:p>
          <w:p w14:paraId="7C0AFC48"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АДС (по избор)</w:t>
            </w:r>
          </w:p>
          <w:p w14:paraId="4C7D4400"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АТ (по избор)</w:t>
            </w:r>
          </w:p>
        </w:tc>
        <w:tc>
          <w:tcPr>
            <w:tcW w:w="1169" w:type="pct"/>
          </w:tcPr>
          <w:p w14:paraId="7CA698ED"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При незадоволителен ефект от БТ -  DBS</w:t>
            </w:r>
          </w:p>
        </w:tc>
      </w:tr>
      <w:tr w:rsidR="00BE0B19" w:rsidRPr="00AE47C6" w14:paraId="5544A58C" w14:textId="77777777" w:rsidTr="00AD72E5">
        <w:trPr>
          <w:trHeight w:val="1068"/>
        </w:trPr>
        <w:tc>
          <w:tcPr>
            <w:tcW w:w="840" w:type="pct"/>
            <w:vMerge/>
          </w:tcPr>
          <w:p w14:paraId="726FDDA6" w14:textId="77777777" w:rsidR="00BE0B19" w:rsidRPr="00AE47C6" w:rsidRDefault="00BE0B19" w:rsidP="00BE0B19">
            <w:pPr>
              <w:spacing w:after="0" w:line="360" w:lineRule="auto"/>
              <w:jc w:val="both"/>
              <w:rPr>
                <w:rFonts w:ascii="Times New Roman" w:hAnsi="Times New Roman"/>
                <w:color w:val="000000" w:themeColor="text1"/>
                <w:sz w:val="24"/>
                <w:szCs w:val="24"/>
              </w:rPr>
            </w:pPr>
          </w:p>
        </w:tc>
        <w:tc>
          <w:tcPr>
            <w:tcW w:w="1159" w:type="pct"/>
            <w:vMerge w:val="restart"/>
          </w:tcPr>
          <w:p w14:paraId="4897168D"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 xml:space="preserve">Разпространена </w:t>
            </w:r>
          </w:p>
        </w:tc>
        <w:tc>
          <w:tcPr>
            <w:tcW w:w="841" w:type="pct"/>
          </w:tcPr>
          <w:p w14:paraId="6748F2C4"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БТ</w:t>
            </w:r>
          </w:p>
          <w:p w14:paraId="74963758" w14:textId="77777777" w:rsidR="00BE0B19" w:rsidRPr="00AE47C6" w:rsidRDefault="00BE0B19" w:rsidP="00BE0B19">
            <w:pPr>
              <w:spacing w:after="0" w:line="360" w:lineRule="auto"/>
              <w:jc w:val="both"/>
              <w:rPr>
                <w:rFonts w:ascii="Times New Roman" w:hAnsi="Times New Roman"/>
                <w:color w:val="000000" w:themeColor="text1"/>
                <w:sz w:val="24"/>
                <w:szCs w:val="24"/>
              </w:rPr>
            </w:pPr>
          </w:p>
          <w:p w14:paraId="41D62B9F" w14:textId="77777777" w:rsidR="00BE0B19" w:rsidRPr="00AE47C6" w:rsidRDefault="00BE0B19" w:rsidP="00BE0B19">
            <w:pPr>
              <w:spacing w:after="0" w:line="360" w:lineRule="auto"/>
              <w:jc w:val="both"/>
              <w:rPr>
                <w:rFonts w:ascii="Times New Roman" w:hAnsi="Times New Roman"/>
                <w:color w:val="000000" w:themeColor="text1"/>
                <w:sz w:val="24"/>
                <w:szCs w:val="24"/>
              </w:rPr>
            </w:pPr>
          </w:p>
        </w:tc>
        <w:tc>
          <w:tcPr>
            <w:tcW w:w="990" w:type="pct"/>
          </w:tcPr>
          <w:p w14:paraId="505447F4"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 xml:space="preserve">РТ </w:t>
            </w:r>
          </w:p>
          <w:p w14:paraId="4C5949A3"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АДС (по избор)</w:t>
            </w:r>
          </w:p>
          <w:p w14:paraId="186ABE92"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АТ (по избор)</w:t>
            </w:r>
          </w:p>
        </w:tc>
        <w:tc>
          <w:tcPr>
            <w:tcW w:w="1169" w:type="pct"/>
            <w:vMerge w:val="restart"/>
          </w:tcPr>
          <w:p w14:paraId="521D9E09"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БТ в началото или директно DBS</w:t>
            </w:r>
          </w:p>
        </w:tc>
      </w:tr>
      <w:tr w:rsidR="00BE0B19" w:rsidRPr="00AE47C6" w14:paraId="71404E43" w14:textId="77777777" w:rsidTr="00AD72E5">
        <w:trPr>
          <w:trHeight w:val="1815"/>
        </w:trPr>
        <w:tc>
          <w:tcPr>
            <w:tcW w:w="840" w:type="pct"/>
            <w:vMerge/>
          </w:tcPr>
          <w:p w14:paraId="458FC360" w14:textId="77777777" w:rsidR="00BE0B19" w:rsidRPr="00AE47C6" w:rsidRDefault="00BE0B19" w:rsidP="00BE0B19">
            <w:pPr>
              <w:spacing w:after="0" w:line="360" w:lineRule="auto"/>
              <w:jc w:val="both"/>
              <w:rPr>
                <w:rFonts w:ascii="Times New Roman" w:hAnsi="Times New Roman"/>
                <w:color w:val="000000" w:themeColor="text1"/>
                <w:sz w:val="24"/>
                <w:szCs w:val="24"/>
              </w:rPr>
            </w:pPr>
          </w:p>
        </w:tc>
        <w:tc>
          <w:tcPr>
            <w:tcW w:w="1159" w:type="pct"/>
            <w:vMerge/>
          </w:tcPr>
          <w:p w14:paraId="374719B6" w14:textId="77777777" w:rsidR="00BE0B19" w:rsidRPr="00AE47C6" w:rsidRDefault="00BE0B19" w:rsidP="00BE0B19">
            <w:pPr>
              <w:spacing w:after="0" w:line="360" w:lineRule="auto"/>
              <w:jc w:val="both"/>
              <w:rPr>
                <w:rFonts w:ascii="Times New Roman" w:hAnsi="Times New Roman"/>
                <w:color w:val="000000" w:themeColor="text1"/>
                <w:sz w:val="24"/>
                <w:szCs w:val="24"/>
              </w:rPr>
            </w:pPr>
          </w:p>
        </w:tc>
        <w:tc>
          <w:tcPr>
            <w:tcW w:w="841" w:type="pct"/>
          </w:tcPr>
          <w:p w14:paraId="3DB21ACF"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DBS</w:t>
            </w:r>
          </w:p>
        </w:tc>
        <w:tc>
          <w:tcPr>
            <w:tcW w:w="990" w:type="pct"/>
          </w:tcPr>
          <w:p w14:paraId="74BB39CF"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 xml:space="preserve">РТ </w:t>
            </w:r>
          </w:p>
          <w:p w14:paraId="4DA5A665"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БТ (по избор)</w:t>
            </w:r>
          </w:p>
          <w:p w14:paraId="66ED559E"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АДС (по избор)</w:t>
            </w:r>
          </w:p>
          <w:p w14:paraId="39FA81F0" w14:textId="77777777" w:rsidR="00BE0B19" w:rsidRPr="00AE47C6" w:rsidRDefault="00BE0B19" w:rsidP="00BE0B19">
            <w:pPr>
              <w:spacing w:after="0" w:line="360" w:lineRule="auto"/>
              <w:jc w:val="both"/>
              <w:rPr>
                <w:rFonts w:ascii="Times New Roman" w:hAnsi="Times New Roman"/>
                <w:color w:val="000000" w:themeColor="text1"/>
                <w:sz w:val="24"/>
                <w:szCs w:val="24"/>
              </w:rPr>
            </w:pPr>
            <w:r w:rsidRPr="00AE47C6">
              <w:rPr>
                <w:rFonts w:ascii="Times New Roman" w:hAnsi="Times New Roman"/>
                <w:color w:val="000000" w:themeColor="text1"/>
                <w:sz w:val="24"/>
                <w:szCs w:val="24"/>
              </w:rPr>
              <w:t>АТ (по избор)</w:t>
            </w:r>
          </w:p>
        </w:tc>
        <w:tc>
          <w:tcPr>
            <w:tcW w:w="1169" w:type="pct"/>
            <w:vMerge/>
          </w:tcPr>
          <w:p w14:paraId="5A57B179" w14:textId="77777777" w:rsidR="00BE0B19" w:rsidRPr="00AE47C6" w:rsidRDefault="00BE0B19" w:rsidP="00BE0B19">
            <w:pPr>
              <w:spacing w:after="0" w:line="360" w:lineRule="auto"/>
              <w:jc w:val="both"/>
              <w:rPr>
                <w:rFonts w:ascii="Times New Roman" w:hAnsi="Times New Roman"/>
                <w:color w:val="000000" w:themeColor="text1"/>
                <w:sz w:val="24"/>
                <w:szCs w:val="24"/>
              </w:rPr>
            </w:pPr>
          </w:p>
        </w:tc>
      </w:tr>
    </w:tbl>
    <w:tbl>
      <w:tblPr>
        <w:tblW w:w="4997"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55"/>
      </w:tblGrid>
      <w:tr w:rsidR="00BE0B19" w:rsidRPr="00AE47C6" w14:paraId="75548323" w14:textId="77777777" w:rsidTr="00AD72E5">
        <w:trPr>
          <w:trHeight w:val="435"/>
        </w:trPr>
        <w:tc>
          <w:tcPr>
            <w:tcW w:w="9345" w:type="dxa"/>
          </w:tcPr>
          <w:p w14:paraId="4B076257"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АТ - адювантна терапия (аналгетици, анксиолитици), АДС - антидистонни средства, БТ - ботулинов токсин, DBS - дълбока мозъчна стимулация, РТ - рехабилитационна терапия</w:t>
            </w:r>
          </w:p>
        </w:tc>
      </w:tr>
    </w:tbl>
    <w:p w14:paraId="4637C642"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p>
    <w:p w14:paraId="64BDA538"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left="283"/>
        <w:rPr>
          <w:rFonts w:ascii="Times New Roman" w:eastAsia="SimSun" w:hAnsi="Times New Roman"/>
          <w:sz w:val="24"/>
          <w:szCs w:val="24"/>
        </w:rPr>
      </w:pPr>
      <w:r w:rsidRPr="00AE47C6">
        <w:rPr>
          <w:rFonts w:ascii="Times New Roman" w:eastAsia="SimSun" w:hAnsi="Times New Roman"/>
          <w:b/>
          <w:sz w:val="24"/>
          <w:szCs w:val="24"/>
        </w:rPr>
        <w:t xml:space="preserve">Лечението с ботулинов токсин </w:t>
      </w:r>
      <w:r w:rsidRPr="00AE47C6">
        <w:rPr>
          <w:rFonts w:ascii="Times New Roman" w:eastAsia="SimSun" w:hAnsi="Times New Roman"/>
          <w:sz w:val="24"/>
          <w:szCs w:val="24"/>
        </w:rPr>
        <w:t xml:space="preserve">се провежда амбулаторно от обучен за целта невролог. </w:t>
      </w:r>
    </w:p>
    <w:p w14:paraId="5A784DFA"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p>
    <w:p w14:paraId="54545A98"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left="283"/>
        <w:jc w:val="center"/>
        <w:rPr>
          <w:rFonts w:ascii="Times New Roman" w:eastAsia="SimSun" w:hAnsi="Times New Roman"/>
          <w:b/>
          <w:color w:val="000000" w:themeColor="text1"/>
          <w:sz w:val="24"/>
          <w:szCs w:val="24"/>
        </w:rPr>
      </w:pPr>
      <w:r w:rsidRPr="00AE47C6">
        <w:rPr>
          <w:rFonts w:ascii="Times New Roman" w:eastAsia="SimSun" w:hAnsi="Times New Roman"/>
          <w:b/>
          <w:sz w:val="24"/>
          <w:szCs w:val="24"/>
        </w:rPr>
        <w:t xml:space="preserve">Критерии за лечение на фокални дистонии и лицев хемиспазъм с </w:t>
      </w:r>
      <w:r w:rsidRPr="00AE47C6">
        <w:rPr>
          <w:rFonts w:ascii="Times New Roman" w:eastAsia="SimSun" w:hAnsi="Times New Roman"/>
          <w:b/>
          <w:color w:val="000000" w:themeColor="text1"/>
          <w:sz w:val="24"/>
          <w:szCs w:val="24"/>
        </w:rPr>
        <w:t>abobotulinumtoxinA (clostridium botulinum type A toxin-haemagglutinin complex),</w:t>
      </w:r>
      <w:r w:rsidRPr="00AE47C6">
        <w:rPr>
          <w:rFonts w:ascii="Times New Roman" w:eastAsia="SimSun" w:hAnsi="Times New Roman"/>
          <w:color w:val="000000" w:themeColor="text1"/>
          <w:sz w:val="24"/>
          <w:szCs w:val="24"/>
        </w:rPr>
        <w:t xml:space="preserve"> </w:t>
      </w:r>
      <w:r w:rsidRPr="00AE47C6">
        <w:rPr>
          <w:rFonts w:ascii="Times New Roman" w:eastAsia="SimSun" w:hAnsi="Times New Roman"/>
          <w:b/>
          <w:color w:val="000000" w:themeColor="text1"/>
          <w:sz w:val="24"/>
          <w:szCs w:val="24"/>
        </w:rPr>
        <w:t>onabotulinumtoxinA или</w:t>
      </w:r>
      <w:r w:rsidRPr="00AE47C6">
        <w:rPr>
          <w:rFonts w:ascii="Times New Roman" w:eastAsia="SimSun" w:hAnsi="Times New Roman"/>
          <w:sz w:val="24"/>
          <w:szCs w:val="24"/>
        </w:rPr>
        <w:t xml:space="preserve"> </w:t>
      </w:r>
      <w:r w:rsidRPr="00AE47C6">
        <w:rPr>
          <w:rFonts w:ascii="Times New Roman" w:eastAsia="SimSun" w:hAnsi="Times New Roman"/>
          <w:b/>
          <w:sz w:val="24"/>
          <w:szCs w:val="24"/>
        </w:rPr>
        <w:t>incobotulinumtoxin A</w:t>
      </w:r>
    </w:p>
    <w:p w14:paraId="43244CD7"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left="283"/>
        <w:rPr>
          <w:rFonts w:ascii="Times New Roman" w:eastAsia="SimSun" w:hAnsi="Times New Roman"/>
          <w:b/>
          <w:sz w:val="24"/>
          <w:szCs w:val="24"/>
        </w:rPr>
      </w:pPr>
      <w:r w:rsidRPr="00AE47C6">
        <w:rPr>
          <w:rFonts w:ascii="Times New Roman" w:eastAsia="SimSun" w:hAnsi="Times New Roman"/>
          <w:b/>
          <w:sz w:val="24"/>
          <w:szCs w:val="24"/>
        </w:rPr>
        <w:t>I. Включващи:</w:t>
      </w:r>
    </w:p>
    <w:p w14:paraId="62A4A2DA" w14:textId="77777777" w:rsidR="00BE0B19" w:rsidRPr="00AE47C6" w:rsidRDefault="00BE0B19" w:rsidP="00BE0B19">
      <w:pPr>
        <w:numPr>
          <w:ilvl w:val="0"/>
          <w:numId w:val="121"/>
        </w:numPr>
        <w:pBdr>
          <w:top w:val="single" w:sz="4" w:space="1" w:color="000000"/>
          <w:left w:val="single" w:sz="4" w:space="4" w:color="000000"/>
          <w:bottom w:val="single" w:sz="4" w:space="1" w:color="000000"/>
          <w:right w:val="single" w:sz="4" w:space="4" w:color="000000"/>
        </w:pBdr>
        <w:suppressAutoHyphen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Диагноза фокална дистония или лицев хемиспазъм поставена в Университетска болница</w:t>
      </w:r>
    </w:p>
    <w:p w14:paraId="610881B9" w14:textId="77777777" w:rsidR="00BE0B19" w:rsidRPr="00AE47C6" w:rsidRDefault="00BE0B19" w:rsidP="00BE0B19">
      <w:pPr>
        <w:numPr>
          <w:ilvl w:val="0"/>
          <w:numId w:val="121"/>
        </w:numPr>
        <w:pBdr>
          <w:top w:val="single" w:sz="4" w:space="1" w:color="000000"/>
          <w:left w:val="single" w:sz="4" w:space="4" w:color="000000"/>
          <w:bottom w:val="single" w:sz="4" w:space="1" w:color="000000"/>
          <w:right w:val="single" w:sz="4" w:space="4" w:color="000000"/>
        </w:pBdr>
        <w:suppressAutoHyphen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Инжектира се от невролог обучен в поставянето на ботулинов токсин.</w:t>
      </w:r>
    </w:p>
    <w:p w14:paraId="1E659211" w14:textId="77777777" w:rsidR="00BE0B19" w:rsidRPr="00AE47C6" w:rsidRDefault="00BE0B19" w:rsidP="00BE0B19">
      <w:pPr>
        <w:numPr>
          <w:ilvl w:val="0"/>
          <w:numId w:val="121"/>
        </w:numPr>
        <w:pBdr>
          <w:top w:val="single" w:sz="4" w:space="1" w:color="000000"/>
          <w:left w:val="single" w:sz="4" w:space="4" w:color="000000"/>
          <w:bottom w:val="single" w:sz="4" w:space="1" w:color="000000"/>
          <w:right w:val="single" w:sz="4" w:space="4" w:color="000000"/>
        </w:pBdr>
        <w:suppressAutoHyphen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Инжектира се веднъж на всеки 3 месеца (4 пъти годишно), в минимално необходими дози (abobotulinumtoxinA 300-600 U или onabotulinumtoxinA и incobotulinumtoxinA 100- 200 U).</w:t>
      </w:r>
    </w:p>
    <w:p w14:paraId="39A15351" w14:textId="77777777" w:rsidR="00BE0B19" w:rsidRPr="00AE47C6" w:rsidRDefault="00BE0B19" w:rsidP="00BE0B19">
      <w:pPr>
        <w:numPr>
          <w:ilvl w:val="0"/>
          <w:numId w:val="121"/>
        </w:numPr>
        <w:pBdr>
          <w:top w:val="single" w:sz="4" w:space="1" w:color="000000"/>
          <w:left w:val="single" w:sz="4" w:space="4" w:color="000000"/>
          <w:bottom w:val="single" w:sz="4" w:space="1" w:color="000000"/>
          <w:right w:val="single" w:sz="4" w:space="4" w:color="000000"/>
        </w:pBdr>
        <w:suppressAutoHyphen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Ниските дози се прилагат при блефароспазъм и лицев хемиспазъм, а високите – при цервикална дистония. </w:t>
      </w:r>
    </w:p>
    <w:p w14:paraId="7D062CA7" w14:textId="77777777" w:rsidR="00BE0B19" w:rsidRPr="00AE47C6" w:rsidRDefault="00BE0B19" w:rsidP="00BE0B19">
      <w:pPr>
        <w:numPr>
          <w:ilvl w:val="0"/>
          <w:numId w:val="121"/>
        </w:numPr>
        <w:pBdr>
          <w:top w:val="single" w:sz="4" w:space="1" w:color="000000"/>
          <w:left w:val="single" w:sz="4" w:space="4" w:color="000000"/>
          <w:bottom w:val="single" w:sz="4" w:space="1" w:color="000000"/>
          <w:right w:val="single" w:sz="4" w:space="4" w:color="000000"/>
        </w:pBdr>
        <w:suppressAutoHyphen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На всеки 12 месеца се провежда контролен неврологичен преглед в Университетска болница с оглед установяване на промяна в патерна на дистонията.</w:t>
      </w:r>
    </w:p>
    <w:p w14:paraId="70EC07E3"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left="283"/>
        <w:rPr>
          <w:rFonts w:ascii="Times New Roman" w:eastAsia="SimSun" w:hAnsi="Times New Roman"/>
          <w:b/>
          <w:sz w:val="24"/>
          <w:szCs w:val="24"/>
        </w:rPr>
      </w:pPr>
      <w:r w:rsidRPr="00AE47C6">
        <w:rPr>
          <w:rFonts w:ascii="Times New Roman" w:eastAsia="SimSun" w:hAnsi="Times New Roman"/>
          <w:b/>
          <w:sz w:val="24"/>
          <w:szCs w:val="24"/>
        </w:rPr>
        <w:t xml:space="preserve">II. Изключващи: </w:t>
      </w:r>
    </w:p>
    <w:p w14:paraId="29F78E2C" w14:textId="77777777" w:rsidR="00BE0B19" w:rsidRPr="00AE47C6" w:rsidRDefault="00BE0B19" w:rsidP="00BE0B19">
      <w:pPr>
        <w:numPr>
          <w:ilvl w:val="0"/>
          <w:numId w:val="121"/>
        </w:numPr>
        <w:pBdr>
          <w:top w:val="single" w:sz="4" w:space="1" w:color="000000"/>
          <w:left w:val="single" w:sz="4" w:space="4" w:color="000000"/>
          <w:bottom w:val="single" w:sz="4" w:space="1" w:color="000000"/>
          <w:right w:val="single" w:sz="4" w:space="4" w:color="000000"/>
        </w:pBdr>
        <w:suppressAutoHyphen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Бременност</w:t>
      </w:r>
    </w:p>
    <w:p w14:paraId="1915E775" w14:textId="77777777" w:rsidR="00BE0B19" w:rsidRPr="00AE47C6" w:rsidRDefault="00BE0B19" w:rsidP="00BE0B19">
      <w:pPr>
        <w:numPr>
          <w:ilvl w:val="0"/>
          <w:numId w:val="121"/>
        </w:numPr>
        <w:pBdr>
          <w:top w:val="single" w:sz="4" w:space="1" w:color="000000"/>
          <w:left w:val="single" w:sz="4" w:space="4" w:color="000000"/>
          <w:bottom w:val="single" w:sz="4" w:space="1" w:color="000000"/>
          <w:right w:val="single" w:sz="4" w:space="4" w:color="000000"/>
        </w:pBdr>
        <w:suppressAutoHyphen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Тежко соматично заболяване</w:t>
      </w:r>
    </w:p>
    <w:p w14:paraId="785D3331" w14:textId="77777777" w:rsidR="00BE0B19" w:rsidRPr="00AE47C6" w:rsidRDefault="00BE0B19" w:rsidP="00BE0B19">
      <w:pPr>
        <w:pBdr>
          <w:top w:val="single" w:sz="4" w:space="1" w:color="000000"/>
          <w:left w:val="single" w:sz="4" w:space="4" w:color="000000"/>
          <w:bottom w:val="single" w:sz="4" w:space="1" w:color="000000"/>
          <w:right w:val="single" w:sz="4" w:space="4" w:color="000000"/>
        </w:pBdr>
        <w:spacing w:after="0" w:line="360" w:lineRule="auto"/>
        <w:ind w:left="283"/>
        <w:rPr>
          <w:rFonts w:ascii="Times New Roman" w:eastAsia="SimSun" w:hAnsi="Times New Roman"/>
          <w:b/>
          <w:sz w:val="24"/>
          <w:szCs w:val="24"/>
        </w:rPr>
      </w:pPr>
      <w:r w:rsidRPr="00AE47C6">
        <w:rPr>
          <w:rFonts w:ascii="Times New Roman" w:eastAsia="SimSun" w:hAnsi="Times New Roman"/>
          <w:b/>
          <w:sz w:val="24"/>
          <w:szCs w:val="24"/>
        </w:rPr>
        <w:t>III. Лечение не се прилага или ако е започнато се спира при:</w:t>
      </w:r>
    </w:p>
    <w:p w14:paraId="2A81C7C7" w14:textId="77777777" w:rsidR="00BE0B19" w:rsidRPr="00AE47C6" w:rsidRDefault="00BE0B19" w:rsidP="00BE0B19">
      <w:pPr>
        <w:numPr>
          <w:ilvl w:val="0"/>
          <w:numId w:val="121"/>
        </w:numPr>
        <w:pBdr>
          <w:top w:val="single" w:sz="4" w:space="1" w:color="000000"/>
          <w:left w:val="single" w:sz="4" w:space="4" w:color="000000"/>
          <w:bottom w:val="single" w:sz="4" w:space="1" w:color="000000"/>
          <w:right w:val="single" w:sz="4" w:space="4" w:color="000000"/>
        </w:pBdr>
        <w:suppressAutoHyphen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Забременяване на пациентка </w:t>
      </w:r>
    </w:p>
    <w:p w14:paraId="4FD9E333" w14:textId="77777777" w:rsidR="00BE0B19" w:rsidRPr="00AE47C6" w:rsidRDefault="00BE0B19" w:rsidP="00BE0B19">
      <w:pPr>
        <w:numPr>
          <w:ilvl w:val="0"/>
          <w:numId w:val="121"/>
        </w:numPr>
        <w:pBdr>
          <w:top w:val="single" w:sz="4" w:space="1" w:color="000000"/>
          <w:left w:val="single" w:sz="4" w:space="4" w:color="000000"/>
          <w:bottom w:val="single" w:sz="4" w:space="1" w:color="000000"/>
          <w:right w:val="single" w:sz="4" w:space="4" w:color="000000"/>
        </w:pBdr>
        <w:suppressAutoHyphen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Сериозни странични реакции от лечението</w:t>
      </w:r>
    </w:p>
    <w:p w14:paraId="74EE076C" w14:textId="77777777" w:rsidR="00BE0B19" w:rsidRPr="00AE47C6" w:rsidRDefault="00BE0B19" w:rsidP="00BE0B19">
      <w:pPr>
        <w:numPr>
          <w:ilvl w:val="0"/>
          <w:numId w:val="121"/>
        </w:numPr>
        <w:pBdr>
          <w:top w:val="single" w:sz="4" w:space="1" w:color="000000"/>
          <w:left w:val="single" w:sz="4" w:space="4" w:color="000000"/>
          <w:bottom w:val="single" w:sz="4" w:space="1" w:color="000000"/>
          <w:right w:val="single" w:sz="4" w:space="4" w:color="000000"/>
        </w:pBdr>
        <w:suppressAutoHyphen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Системно неспазване на лечебната схема от болния </w:t>
      </w:r>
    </w:p>
    <w:p w14:paraId="6A9FA9A7" w14:textId="77777777" w:rsidR="00BE0B19" w:rsidRPr="00AE47C6" w:rsidRDefault="00BE0B19" w:rsidP="00BE0B19">
      <w:pPr>
        <w:numPr>
          <w:ilvl w:val="0"/>
          <w:numId w:val="121"/>
        </w:numPr>
        <w:pBdr>
          <w:top w:val="single" w:sz="4" w:space="1" w:color="000000"/>
          <w:left w:val="single" w:sz="4" w:space="4" w:color="000000"/>
          <w:bottom w:val="single" w:sz="4" w:space="1" w:color="000000"/>
          <w:right w:val="single" w:sz="4" w:space="4" w:color="000000"/>
        </w:pBdr>
        <w:suppressAutoHyphen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Липса на клинична ефективност от лечението</w:t>
      </w:r>
    </w:p>
    <w:p w14:paraId="0A3C4968"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45D8D72C"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49" w:name="_Toc155651773"/>
      <w:bookmarkStart w:id="150" w:name="_Toc164075905"/>
      <w:r w:rsidRPr="00AE47C6">
        <w:rPr>
          <w:rFonts w:ascii="Times New Roman" w:eastAsia="SimSun" w:hAnsi="Times New Roman"/>
          <w:b/>
          <w:sz w:val="24"/>
          <w:szCs w:val="20"/>
          <w:lang w:eastAsia="ja-JP"/>
        </w:rPr>
        <w:t>6.2.2. Хорея</w:t>
      </w:r>
      <w:bookmarkEnd w:id="149"/>
      <w:bookmarkEnd w:id="150"/>
    </w:p>
    <w:p w14:paraId="2AC39C4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“Хорея” произлиза от гръцката дума </w:t>
      </w:r>
      <w:r w:rsidRPr="00AE47C6">
        <w:rPr>
          <w:rFonts w:ascii="Times New Roman" w:eastAsia="SimSun" w:hAnsi="Times New Roman"/>
          <w:i/>
          <w:sz w:val="24"/>
          <w:szCs w:val="24"/>
        </w:rPr>
        <w:t xml:space="preserve">horos </w:t>
      </w:r>
      <w:r w:rsidRPr="00AE47C6">
        <w:rPr>
          <w:rFonts w:ascii="Times New Roman" w:eastAsia="SimSun" w:hAnsi="Times New Roman"/>
          <w:sz w:val="24"/>
          <w:szCs w:val="24"/>
        </w:rPr>
        <w:t xml:space="preserve">– танц. </w:t>
      </w:r>
    </w:p>
    <w:p w14:paraId="2D4E71A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Представлява неволево, непрекъснато, бързо, разхвърляно, неритмично и безцелно движение, което се мести от една част на тялото към друга. Хората с хорея изглеждат неспокойни и нервни. </w:t>
      </w:r>
    </w:p>
    <w:p w14:paraId="356C1B05" w14:textId="77777777" w:rsidR="00BE0B19" w:rsidRPr="00AE47C6" w:rsidRDefault="00BE0B19" w:rsidP="00BE0B19">
      <w:pPr>
        <w:spacing w:after="0" w:line="360" w:lineRule="auto"/>
        <w:ind w:firstLine="720"/>
        <w:jc w:val="both"/>
        <w:rPr>
          <w:rFonts w:ascii="Times New Roman" w:eastAsia="SimSun" w:hAnsi="Times New Roman"/>
          <w:sz w:val="24"/>
          <w:szCs w:val="24"/>
        </w:rPr>
      </w:pPr>
      <w:bookmarkStart w:id="151" w:name="_Hlk73458811"/>
      <w:r w:rsidRPr="00AE47C6">
        <w:rPr>
          <w:rFonts w:ascii="Times New Roman" w:eastAsia="SimSun" w:hAnsi="Times New Roman"/>
          <w:color w:val="000000" w:themeColor="text1"/>
          <w:sz w:val="24"/>
          <w:szCs w:val="24"/>
        </w:rPr>
        <w:t xml:space="preserve">Хореята е генерализирана, локализирана само в една област (напр. в лицето) или засяга половината на тялото (hemichorea). </w:t>
      </w:r>
      <w:r w:rsidRPr="00AE47C6">
        <w:rPr>
          <w:rFonts w:ascii="Times New Roman" w:eastAsia="SimSun" w:hAnsi="Times New Roman"/>
          <w:sz w:val="24"/>
          <w:szCs w:val="24"/>
        </w:rPr>
        <w:t>Хемихорея и хемибализъм могат да се получат при всяко прекъсване на стрио-палидо-субталамо-палидарните връзки поради лезия на контралатералното субталамично ядро, putamen, външен pallidum, thalamus или corona radiata. Намаляването на потискащата еферентация към латералния pallidum и субталамичното ядро предизвиква освобождаване на външния сегмент на globus pallidus от потискащото въздействие на стриатума с последващо ексцесивно потискане на активността на субталамичното ядро, намалена активация на вътрешния сегмент на globus pallidus и намалена инхибиция на thalamus. В резултат на това се получава повишена корова възбуда и хореични хиперкинези.</w:t>
      </w:r>
    </w:p>
    <w:bookmarkEnd w:id="151"/>
    <w:p w14:paraId="0F555D7F"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Клинично</w:t>
      </w:r>
      <w:r w:rsidRPr="00AE47C6">
        <w:rPr>
          <w:rFonts w:ascii="Times New Roman" w:eastAsia="SimSun" w:hAnsi="Times New Roman"/>
          <w:color w:val="000000" w:themeColor="text1"/>
          <w:sz w:val="24"/>
          <w:szCs w:val="24"/>
        </w:rPr>
        <w:t xml:space="preserve"> тежестта на хореята варира от невъзможност за спокойно стоене и неловки движения, които имитират нервност, до бурни движения на крайниците и аксиалните мускули, които пречат на волевата активност. Движенията прескачат в различни части на тялото, раменете, коремните мускули, пръстите на ръцете и краката, главата, устните и челото, без тенденция за повторяемост в едни и същи мускулни групи. Често се наблюдава и феномен известен като паракинезия – включване на неволевите хореични движения във видимо целенасочени движения и жестове. Сами по себе си хореичните движения не са особено инвалидизиращи за пациентите и те могат да изпълняват добре всички свои ежедневни активности. По-често те се инвалидизират от придружаващите симптоми: брадикинезия, ригидност, дистония и постурална нестабилност.</w:t>
      </w:r>
    </w:p>
    <w:p w14:paraId="58F079F9"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Често мускулният тонус на крайниците е намален (хипотония), а сухожилните рефлекси са “скачащи”. Това се дължи на мускулната контракция, която възниква веднага след рефлексният отговор, поради разтягането на мускула.</w:t>
      </w:r>
    </w:p>
    <w:p w14:paraId="1C841F13"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b/>
          <w:color w:val="000000" w:themeColor="text1"/>
          <w:sz w:val="24"/>
          <w:szCs w:val="24"/>
        </w:rPr>
        <w:t>Диференциалната диагноза</w:t>
      </w:r>
      <w:r w:rsidRPr="00AE47C6">
        <w:rPr>
          <w:rFonts w:ascii="Times New Roman" w:eastAsia="SimSun" w:hAnsi="Times New Roman"/>
          <w:color w:val="000000" w:themeColor="text1"/>
          <w:sz w:val="24"/>
          <w:szCs w:val="24"/>
        </w:rPr>
        <w:t xml:space="preserve"> с тиковете, миоклонията и дистонията е на базата на основният белег на хореята – прехвърлянето на мускулната активност към различни мускулни групи, който я отличава от тях. Тиковете могат да се потиснат за дълго време, а миоклоничните движения са много бързи и не се разпространяват като вълна по засегнатата част, както хореята. </w:t>
      </w:r>
    </w:p>
    <w:p w14:paraId="13A8D8AC"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Хореоатетозата се използва като алтернативно понятие на хореята. Атетозните движения са дистални бавни и гърчоподобни. Редно е те да се определят като дистонни, а не като хореични. Напоследък се препоръчва това понятие да се избягва, тъй като бавните гърчоподобни движения могат да се наблюдават в рамките на дистонията и напълно се различават от хореята.</w:t>
      </w:r>
    </w:p>
    <w:p w14:paraId="4F8CFDE0"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sz w:val="24"/>
          <w:szCs w:val="24"/>
        </w:rPr>
        <w:t>Бализмът</w:t>
      </w:r>
      <w:r w:rsidRPr="00AE47C6">
        <w:rPr>
          <w:rFonts w:ascii="Times New Roman" w:eastAsia="SimSun" w:hAnsi="Times New Roman"/>
          <w:color w:val="000000" w:themeColor="text1"/>
          <w:sz w:val="24"/>
          <w:szCs w:val="24"/>
        </w:rPr>
        <w:t xml:space="preserve"> представлява тежко изразена проксимална хорея, при която пациентът има много силно изразени разхвърляни движения. Ако тези движения обхванат само един крайник, това се нарича монобализъм, ако се засегне само едната част на тялото, явлението се нарича хемибализъм. Етиологичната причината за хемибализъм обикновено е съдова. Открива се лезия в или много близо до контралатералното субталамично ядро. </w:t>
      </w:r>
    </w:p>
    <w:p w14:paraId="6EF44779"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6.2.2.1. Хорея на Huntington</w:t>
      </w:r>
    </w:p>
    <w:p w14:paraId="2C66E9A4"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Болестта е описана за първи път от George Huntington и носи неговото име. </w:t>
      </w:r>
    </w:p>
    <w:p w14:paraId="031DF5A6"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Характеризира се с прогресиращи поведенчески нарушения, деменция, както и двигателни нарушения, обикновено хорея. </w:t>
      </w:r>
    </w:p>
    <w:p w14:paraId="2F65963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color w:val="000000" w:themeColor="text1"/>
          <w:sz w:val="24"/>
          <w:szCs w:val="24"/>
        </w:rPr>
        <w:t>Болестността</w:t>
      </w:r>
      <w:r w:rsidRPr="00AE47C6">
        <w:rPr>
          <w:rFonts w:ascii="Times New Roman" w:eastAsia="SimSun" w:hAnsi="Times New Roman"/>
          <w:color w:val="000000" w:themeColor="text1"/>
          <w:sz w:val="24"/>
          <w:szCs w:val="24"/>
        </w:rPr>
        <w:t xml:space="preserve"> е 4 до 8 болни на 100 000 човека население. </w:t>
      </w:r>
      <w:r w:rsidRPr="00AE47C6">
        <w:rPr>
          <w:rFonts w:ascii="Times New Roman" w:eastAsia="SimSun" w:hAnsi="Times New Roman"/>
          <w:sz w:val="24"/>
          <w:szCs w:val="24"/>
        </w:rPr>
        <w:t>В някои популации в Шотландия и във Венецуела има по-висока болестност. Болестността е по-ниска сред японците, финландците и афроамериканците.</w:t>
      </w:r>
      <w:r w:rsidRPr="00AE47C6">
        <w:rPr>
          <w:rFonts w:ascii="Times New Roman" w:eastAsia="SimSun" w:hAnsi="Times New Roman"/>
          <w:color w:val="000000" w:themeColor="text1"/>
          <w:sz w:val="24"/>
          <w:szCs w:val="24"/>
        </w:rPr>
        <w:t xml:space="preserve"> Половете са засегнати в еднаква степен.</w:t>
      </w:r>
    </w:p>
    <w:p w14:paraId="67402BD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Етиологията</w:t>
      </w:r>
      <w:r w:rsidRPr="00AE47C6">
        <w:rPr>
          <w:rFonts w:ascii="Times New Roman" w:eastAsia="SimSun" w:hAnsi="Times New Roman"/>
          <w:sz w:val="24"/>
          <w:szCs w:val="24"/>
        </w:rPr>
        <w:t xml:space="preserve"> е свързана с мутация на ген IT15, локализиран в късото рамо на 4 хромозома. Генът кодира протеин съставен от повече от 3140 аминокиселини, наречен хънтингтин, чиято функция не е известна. Унаследява се автозомно-доминантно. </w:t>
      </w:r>
    </w:p>
    <w:p w14:paraId="23DFF8D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Патогенезата</w:t>
      </w:r>
      <w:r w:rsidRPr="00AE47C6">
        <w:rPr>
          <w:rFonts w:ascii="Times New Roman" w:eastAsia="SimSun" w:hAnsi="Times New Roman"/>
          <w:sz w:val="24"/>
          <w:szCs w:val="24"/>
        </w:rPr>
        <w:t xml:space="preserve"> е дегенеративна, свързана с преждевременна смърт на неврони в базалните ганглии вследствие на агрегация на мутантния хънтингтин протеин в цитоплазмата и ядрата на невроните. В ранните стадии на заболяването загиват предимно средните островърхи еферентни стриарни неврони (съдържащи ГАМК и енкефалин), свързани с проекции към външния сегмент на globus pallidus. Тази преференциална загуба на неврони води до нарушаване на баланса между директния и индиректния екстрапирамиден път и появата на хорея. По късно се засягат стриарните еференти към медиалния pallidum, което води до възникване на ригидност и дистония.</w:t>
      </w:r>
    </w:p>
    <w:p w14:paraId="6259CFA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Патоанатомично</w:t>
      </w:r>
      <w:r w:rsidRPr="00AE47C6">
        <w:rPr>
          <w:rFonts w:ascii="Times New Roman" w:eastAsia="SimSun" w:hAnsi="Times New Roman"/>
          <w:sz w:val="24"/>
          <w:szCs w:val="24"/>
        </w:rPr>
        <w:t xml:space="preserve"> се намират широко разпространени мозъчни лезии – фронтална и париетална корова атрофия, атрофия на nucleus caudatus, putamen и външния палидарен сегмент.</w:t>
      </w:r>
    </w:p>
    <w:p w14:paraId="2A80366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Клинично</w:t>
      </w:r>
      <w:r w:rsidRPr="00AE47C6">
        <w:rPr>
          <w:rFonts w:ascii="Times New Roman" w:eastAsia="SimSun" w:hAnsi="Times New Roman"/>
          <w:sz w:val="24"/>
          <w:szCs w:val="24"/>
        </w:rPr>
        <w:t xml:space="preserve"> възрастта на поява варира, като най-често заболяването се проявява в четвъртата декада. Ранното начало на болестта е рядко и може да се прояви повече с паркинсонизъм, отколкото с хорея (вариант на Westphal).</w:t>
      </w:r>
    </w:p>
    <w:p w14:paraId="13B4B7A3"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Заболяването е фенотипно хетерогенно, като може да започне с психични и поведенчески нарушения, неврологични симптоми или и двете.</w:t>
      </w:r>
    </w:p>
    <w:p w14:paraId="16F598FF"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Първоначалните психични и поведенчески симптоми се изявяват като липса на задръжки, с неприлично и неадекватно поведение в обществото, дезорганизация, апатия, депресия или параноя. Когнитивните функции обикновено са съхранени. По-късно се нарушават концентрацията и вниманието, както и възможностите за усвояване на нова информация. Започва упадък на интелекта, пациентите стават по-малко комуникативни и се отдръпват социално. Постепенно се развива деменция, която се характеризира като субкорова, поради преобладаването на брадифрения и на нарушения на вниманието при липса на коров дефицит, афазия, агнозия и апраксия. Екзекутивните функции – възможността за планиране и извършване на комплексни задачи са селективно увредени, поради увреда на фронтостриалните кръгове.</w:t>
      </w:r>
    </w:p>
    <w:p w14:paraId="66FB2BA0"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Първоначалните неврологични симптоми и белези са хорея с или без тикове, нарушение в походката и дискоординационни нарушения. Хореята и тиковете често засягат лицето, водещо до типичната бърза промяна на лицевата експресия при пациентите („гримасничене”). Винаги има затруднение при задържане на една поза, например изплезване на езика за по-дълго време. Походката е странна и по-увредена, отколкото може да се свърже със степента на хореята. Може да има хипотония, която по-късно се заменя с повишен мускулен тонус и засягане на горния двигателен неврон. С прогресията на заболяването, хореята се заменя с по-изразени дистонии и паркинсонов синдром.</w:t>
      </w:r>
    </w:p>
    <w:p w14:paraId="4CC593C8"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Супрануклеарната пареза на очедвигателните нерви е една от най-ранните прояви. Нарушенията на очните движения включват забавени хипометрични сакади, невъзможно задържане и „разсейване” на погледа и затруднение при инициацията на сакадите. Пациентите мигат или използват „махането” на главата, за да преместят погледа си от една точка на друга. </w:t>
      </w:r>
    </w:p>
    <w:p w14:paraId="52C346C2"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Нарушенията на съня са чести, изразени в дневна хиперсомнолентност, нощна инсомния, трудно заспиване, често събуждане и намален бавно-вълнов сън.</w:t>
      </w:r>
    </w:p>
    <w:p w14:paraId="287E57EB"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Диференциална диагноза</w:t>
      </w:r>
      <w:r w:rsidRPr="00AE47C6">
        <w:rPr>
          <w:rFonts w:ascii="Times New Roman" w:eastAsia="SimSun" w:hAnsi="Times New Roman"/>
          <w:sz w:val="24"/>
          <w:szCs w:val="24"/>
          <w:lang w:eastAsia="bg-BG"/>
        </w:rPr>
        <w:t xml:space="preserve"> се провежда с хънтингтоноподобните синдроми. Това са редки наследствени заболявания, които имат подобна на болестта на Huntington клинична картина.</w:t>
      </w:r>
    </w:p>
    <w:p w14:paraId="11FFAB3D" w14:textId="77777777" w:rsidR="00BE0B19" w:rsidRPr="00AE47C6" w:rsidRDefault="00BE0B19" w:rsidP="00BE0B19">
      <w:pPr>
        <w:numPr>
          <w:ilvl w:val="0"/>
          <w:numId w:val="120"/>
        </w:numPr>
        <w:spacing w:after="0" w:line="360" w:lineRule="auto"/>
        <w:ind w:firstLine="720"/>
        <w:contextualSpacing/>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HDL-1 – прионно заболяване с доминантно унаследяване, дължащо се на 192 base pair инсерция в кодиращия регион на гена на прионовия протеин.</w:t>
      </w:r>
    </w:p>
    <w:p w14:paraId="185906F9" w14:textId="77777777" w:rsidR="00BE0B19" w:rsidRPr="00AE47C6" w:rsidRDefault="00BE0B19" w:rsidP="00BE0B19">
      <w:pPr>
        <w:numPr>
          <w:ilvl w:val="0"/>
          <w:numId w:val="120"/>
        </w:numPr>
        <w:spacing w:after="0" w:line="360" w:lineRule="auto"/>
        <w:ind w:firstLine="720"/>
        <w:contextualSpacing/>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HDL-2 – автозомно-доминантно заболяване с подобна клинична характеристика, като болестта на Huntington, дължащо се на мутации в juctophillin-3 гена. Описано е само при афроамериканци. </w:t>
      </w:r>
    </w:p>
    <w:p w14:paraId="2A6D40B2" w14:textId="77777777" w:rsidR="00BE0B19" w:rsidRPr="00AE47C6" w:rsidRDefault="00BE0B19" w:rsidP="00BE0B19">
      <w:pPr>
        <w:numPr>
          <w:ilvl w:val="0"/>
          <w:numId w:val="120"/>
        </w:numPr>
        <w:spacing w:after="0" w:line="360" w:lineRule="auto"/>
        <w:ind w:firstLine="720"/>
        <w:contextualSpacing/>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 xml:space="preserve">HDL-3 – автозомно-рецесивно заболяване, свързано с хромозома 4p15.3. Пациентите са деца с хънтингтоноподобен фенотип. Генът, причина за заболяването все още не е известен. </w:t>
      </w:r>
    </w:p>
    <w:p w14:paraId="3C57B605" w14:textId="77777777" w:rsidR="00BE0B19" w:rsidRPr="00AE47C6" w:rsidRDefault="00BE0B19" w:rsidP="00BE0B19">
      <w:pPr>
        <w:numPr>
          <w:ilvl w:val="0"/>
          <w:numId w:val="120"/>
        </w:numPr>
        <w:spacing w:after="0" w:line="360" w:lineRule="auto"/>
        <w:ind w:firstLine="720"/>
        <w:contextualSpacing/>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HDL-4 е същото заболяване, като спиноцеребеларната атаксия тип 17 (SCA17), с автозомно-доминантно унаследяване и вариабилна презентация. Дължи се на удължени CAG повтори в TBP гена в 6 хромозома.</w:t>
      </w:r>
    </w:p>
    <w:p w14:paraId="0BEEB0FE" w14:textId="77777777" w:rsidR="00BE0B19" w:rsidRPr="00AE47C6" w:rsidRDefault="00BE0B19" w:rsidP="00BE0B19">
      <w:pPr>
        <w:shd w:val="clear" w:color="auto" w:fill="FFFFFF"/>
        <w:spacing w:after="0" w:line="360" w:lineRule="auto"/>
        <w:ind w:firstLine="720"/>
        <w:jc w:val="both"/>
        <w:rPr>
          <w:rFonts w:ascii="Times New Roman" w:eastAsia="SimSun" w:hAnsi="Times New Roman"/>
          <w:color w:val="000000"/>
          <w:sz w:val="24"/>
          <w:szCs w:val="24"/>
        </w:rPr>
      </w:pPr>
      <w:r w:rsidRPr="00AE47C6">
        <w:rPr>
          <w:rFonts w:ascii="Times New Roman" w:eastAsia="SimSun" w:hAnsi="Times New Roman"/>
          <w:color w:val="000000"/>
          <w:sz w:val="24"/>
          <w:szCs w:val="24"/>
        </w:rPr>
        <w:t>Необходимо е да се отдиференцират и други автозомно-доминантни хореични синдроми, като доброкачествената наследствена хорея и денторубропалидолуйзиева атрофия (DRPLA), други хореични синдроми с недоминантно унаследяване, като болест на Wilson, невроакантоцитоза и митохондриални заболявания, както и редица заболявания, протичащи с хореични симптоми. Глутеновата ентеропатия (целиакия) също може да протече с хорея и когнитивен упадък. Трябва да се имат в предвид и имунно, метаболитно, съдово, медикаментозно, инфекциозно и интоксикационно обусловени хореични синдроми.</w:t>
      </w:r>
    </w:p>
    <w:p w14:paraId="5F08A536"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color w:val="000000" w:themeColor="text1"/>
          <w:sz w:val="24"/>
          <w:szCs w:val="24"/>
        </w:rPr>
        <w:t>Диагнозата</w:t>
      </w:r>
      <w:r w:rsidRPr="00AE47C6">
        <w:rPr>
          <w:rFonts w:ascii="Times New Roman" w:eastAsia="SimSun" w:hAnsi="Times New Roman"/>
          <w:color w:val="000000" w:themeColor="text1"/>
          <w:sz w:val="24"/>
          <w:szCs w:val="24"/>
        </w:rPr>
        <w:t xml:space="preserve"> се поставя чрез генетично изследване. </w:t>
      </w:r>
      <w:r w:rsidRPr="00AE47C6">
        <w:rPr>
          <w:rFonts w:ascii="Times New Roman" w:eastAsia="SimSun" w:hAnsi="Times New Roman"/>
          <w:sz w:val="24"/>
          <w:szCs w:val="24"/>
        </w:rPr>
        <w:t xml:space="preserve">Наличието на гена huntingtin (с много повтори на CAG) не означава, че симптомите на пациента са причинени от болестта на Huntington, тъй като генът се открива през целия живот. </w:t>
      </w:r>
      <w:r w:rsidRPr="00AE47C6">
        <w:rPr>
          <w:rFonts w:ascii="Times New Roman" w:eastAsia="SimSun" w:hAnsi="Times New Roman"/>
          <w:bCs/>
          <w:sz w:val="24"/>
          <w:szCs w:val="24"/>
        </w:rPr>
        <w:t xml:space="preserve">Изследването на гена изисква вземане на кръв, но може да се използва и друга тъкан, като кожа, амниоцити (или клетки от хорионните вили) или аутопсионен материал. </w:t>
      </w:r>
    </w:p>
    <w:p w14:paraId="69B6F782" w14:textId="77777777" w:rsidR="00BE0B19" w:rsidRPr="00AE47C6" w:rsidRDefault="00BE0B19" w:rsidP="00BE0B19">
      <w:pPr>
        <w:spacing w:after="0" w:line="360" w:lineRule="auto"/>
        <w:ind w:firstLine="720"/>
        <w:jc w:val="both"/>
        <w:rPr>
          <w:rFonts w:ascii="Times New Roman" w:eastAsia="SimSun" w:hAnsi="Times New Roman"/>
          <w:color w:val="000000" w:themeColor="text1"/>
          <w:sz w:val="24"/>
          <w:szCs w:val="24"/>
        </w:rPr>
      </w:pPr>
      <w:r w:rsidRPr="00AE47C6">
        <w:rPr>
          <w:rFonts w:ascii="Times New Roman" w:eastAsia="SimSun" w:hAnsi="Times New Roman"/>
          <w:color w:val="000000" w:themeColor="text1"/>
          <w:sz w:val="24"/>
          <w:szCs w:val="24"/>
        </w:rPr>
        <w:t>Образните изследвания показват атрофия на nucleus caudatus и putamen. Измерването на бикаудалния диаметър (най-късото линейно разстояние между главите на двата nucl. caudatus) е лесен и реален маркер на заболяването.</w:t>
      </w:r>
    </w:p>
    <w:p w14:paraId="2B422FD6"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2531F704"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Форми на болестта на Huntington с ранно начало</w:t>
      </w:r>
    </w:p>
    <w:p w14:paraId="08DE18DE"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color w:val="000000"/>
          <w:sz w:val="24"/>
          <w:szCs w:val="24"/>
        </w:rPr>
        <w:t xml:space="preserve">Появата на заболяването преди 20 годишна възраст се класифицира като </w:t>
      </w:r>
      <w:r w:rsidRPr="00AE47C6">
        <w:rPr>
          <w:rFonts w:ascii="Times New Roman" w:eastAsia="SimSun" w:hAnsi="Times New Roman"/>
          <w:i/>
          <w:color w:val="000000"/>
          <w:sz w:val="24"/>
          <w:szCs w:val="24"/>
        </w:rPr>
        <w:t xml:space="preserve">ювенилна болест на </w:t>
      </w:r>
      <w:r w:rsidRPr="00AE47C6">
        <w:rPr>
          <w:rFonts w:ascii="Times New Roman" w:eastAsia="SimSun" w:hAnsi="Times New Roman"/>
          <w:sz w:val="24"/>
          <w:szCs w:val="24"/>
        </w:rPr>
        <w:t>Huntington</w:t>
      </w:r>
      <w:r w:rsidRPr="00AE47C6">
        <w:rPr>
          <w:rFonts w:ascii="Times New Roman" w:eastAsia="SimSun" w:hAnsi="Times New Roman"/>
          <w:color w:val="000000"/>
          <w:sz w:val="24"/>
          <w:szCs w:val="24"/>
        </w:rPr>
        <w:t xml:space="preserve">, а тази с начало преди 10 годишна възраст, като </w:t>
      </w:r>
      <w:r w:rsidRPr="00AE47C6">
        <w:rPr>
          <w:rFonts w:ascii="Times New Roman" w:eastAsia="SimSun" w:hAnsi="Times New Roman"/>
          <w:i/>
          <w:color w:val="000000"/>
          <w:sz w:val="24"/>
          <w:szCs w:val="24"/>
        </w:rPr>
        <w:t xml:space="preserve">болест на </w:t>
      </w:r>
      <w:r w:rsidRPr="00AE47C6">
        <w:rPr>
          <w:rFonts w:ascii="Times New Roman" w:eastAsia="SimSun" w:hAnsi="Times New Roman"/>
          <w:sz w:val="24"/>
          <w:szCs w:val="24"/>
        </w:rPr>
        <w:t>Huntington</w:t>
      </w:r>
      <w:r w:rsidRPr="00AE47C6">
        <w:rPr>
          <w:rFonts w:ascii="Times New Roman" w:eastAsia="SimSun" w:hAnsi="Times New Roman"/>
          <w:i/>
          <w:color w:val="000000"/>
          <w:sz w:val="24"/>
          <w:szCs w:val="24"/>
        </w:rPr>
        <w:t xml:space="preserve"> в детска възраст</w:t>
      </w:r>
      <w:r w:rsidRPr="00AE47C6">
        <w:rPr>
          <w:rFonts w:ascii="Times New Roman" w:eastAsia="SimSun" w:hAnsi="Times New Roman"/>
          <w:color w:val="000000"/>
          <w:sz w:val="24"/>
          <w:szCs w:val="24"/>
        </w:rPr>
        <w:t>. Колкото по-рано възникне заболяването, толкова по-кратка е преживяемостта. Обикновено е</w:t>
      </w:r>
      <w:r w:rsidRPr="00AE47C6">
        <w:rPr>
          <w:rFonts w:ascii="Times New Roman" w:eastAsia="SimSun" w:hAnsi="Times New Roman"/>
          <w:sz w:val="24"/>
          <w:szCs w:val="24"/>
        </w:rPr>
        <w:t xml:space="preserve"> по-малка от 15 години.</w:t>
      </w:r>
    </w:p>
    <w:p w14:paraId="4B6CA9E8" w14:textId="77777777" w:rsidR="00BE0B19" w:rsidRPr="00AE47C6" w:rsidRDefault="00BE0B19" w:rsidP="00BE0B19">
      <w:pPr>
        <w:shd w:val="clear" w:color="auto" w:fill="FFFFFF"/>
        <w:spacing w:after="0" w:line="360" w:lineRule="auto"/>
        <w:ind w:firstLine="720"/>
        <w:jc w:val="both"/>
        <w:rPr>
          <w:rFonts w:ascii="Times New Roman" w:eastAsia="SimSun" w:hAnsi="Times New Roman"/>
          <w:color w:val="000000"/>
          <w:sz w:val="24"/>
          <w:szCs w:val="24"/>
        </w:rPr>
      </w:pPr>
      <w:r w:rsidRPr="00AE47C6">
        <w:rPr>
          <w:rFonts w:ascii="Times New Roman" w:eastAsia="SimSun" w:hAnsi="Times New Roman"/>
          <w:color w:val="000000"/>
          <w:sz w:val="24"/>
          <w:szCs w:val="24"/>
        </w:rPr>
        <w:t>Най-често ювенилната форма се предава по бащина линия, поради нестабилността на дължината на CAG повторите по време на сперматогенезата, която се повишава, ако бащата има много повтори.</w:t>
      </w:r>
    </w:p>
    <w:p w14:paraId="22BEF80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color w:val="000000"/>
          <w:sz w:val="24"/>
          <w:szCs w:val="24"/>
        </w:rPr>
        <w:t>Клиничната характеристика</w:t>
      </w:r>
      <w:r w:rsidRPr="00AE47C6">
        <w:rPr>
          <w:rFonts w:ascii="Times New Roman" w:eastAsia="SimSun" w:hAnsi="Times New Roman"/>
          <w:color w:val="000000"/>
          <w:sz w:val="24"/>
          <w:szCs w:val="24"/>
        </w:rPr>
        <w:t xml:space="preserve"> на ювенилната форма се различава от тази при възрастните пациенти. </w:t>
      </w:r>
      <w:r w:rsidRPr="00AE47C6">
        <w:rPr>
          <w:rFonts w:ascii="Times New Roman" w:eastAsia="SimSun" w:hAnsi="Times New Roman"/>
          <w:sz w:val="24"/>
          <w:szCs w:val="24"/>
        </w:rPr>
        <w:t xml:space="preserve">Хореята, като клинична изява, е представена в много по-лека степен, като може да липсва изобщо. </w:t>
      </w:r>
    </w:p>
    <w:p w14:paraId="133E2114" w14:textId="77777777" w:rsidR="00BE0B19" w:rsidRPr="00AE47C6" w:rsidRDefault="00BE0B19" w:rsidP="00BE0B19">
      <w:pPr>
        <w:spacing w:after="0" w:line="360" w:lineRule="auto"/>
        <w:ind w:firstLine="720"/>
        <w:jc w:val="both"/>
        <w:rPr>
          <w:rFonts w:ascii="Times New Roman" w:eastAsia="SimSun" w:hAnsi="Times New Roman"/>
          <w:color w:val="000000"/>
          <w:sz w:val="24"/>
          <w:szCs w:val="24"/>
        </w:rPr>
      </w:pPr>
      <w:r w:rsidRPr="00AE47C6">
        <w:rPr>
          <w:rFonts w:ascii="Times New Roman" w:eastAsia="SimSun" w:hAnsi="Times New Roman"/>
          <w:sz w:val="24"/>
          <w:szCs w:val="24"/>
        </w:rPr>
        <w:t xml:space="preserve">Първоначалните симптоми включват нарушение във вниманието, поведението, несправяне с училището, дистония, брадикинезия и понякога тремор. </w:t>
      </w:r>
      <w:r w:rsidRPr="00AE47C6">
        <w:rPr>
          <w:rFonts w:ascii="Times New Roman" w:eastAsia="SimSun" w:hAnsi="Times New Roman"/>
          <w:color w:val="000000"/>
          <w:sz w:val="24"/>
          <w:szCs w:val="24"/>
        </w:rPr>
        <w:t>Речеви и езикови проблеми могат да възникнат още в началото на заболяването и да насочат към диагнозата. Когнитивните нарушения прогресират. По-късно възникват депресия, тревожност, обсесивност, дефицит на вниманието с хиперактивност (АDHD - attention deficit hyperactivity disorder), апатия, импулсивност и раздразнителност. С времето настъпва загуба на тегло, лоша хигиена и в късните фази на заболяването - аспирационна пневмония.</w:t>
      </w:r>
    </w:p>
    <w:p w14:paraId="5187AB6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Епилептичните пристъпи, които се срещат много рядко при възрастните пациенти, могат да се появят при ювенилната форма (30% от юношите с хорея на Huntington), както</w:t>
      </w:r>
      <w:r w:rsidRPr="00AE47C6">
        <w:rPr>
          <w:rFonts w:ascii="Times New Roman" w:eastAsia="SimSun" w:hAnsi="Times New Roman"/>
          <w:color w:val="000000"/>
          <w:sz w:val="24"/>
          <w:szCs w:val="24"/>
        </w:rPr>
        <w:t xml:space="preserve"> и психотични симптоми</w:t>
      </w:r>
      <w:r w:rsidRPr="00AE47C6">
        <w:rPr>
          <w:rFonts w:ascii="Times New Roman" w:eastAsia="SimSun" w:hAnsi="Times New Roman"/>
          <w:sz w:val="24"/>
          <w:szCs w:val="24"/>
        </w:rPr>
        <w:t xml:space="preserve">. </w:t>
      </w:r>
    </w:p>
    <w:p w14:paraId="5CC7253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color w:val="000000"/>
          <w:sz w:val="24"/>
          <w:szCs w:val="24"/>
        </w:rPr>
        <w:t xml:space="preserve">Много често в клиничната картина доминират малкомозъчни симптоми, ригидност, брадикинезия, дистонии с </w:t>
      </w:r>
      <w:r w:rsidRPr="00AE47C6">
        <w:rPr>
          <w:rFonts w:ascii="Times New Roman" w:eastAsia="SimSun" w:hAnsi="Times New Roman"/>
          <w:sz w:val="24"/>
          <w:szCs w:val="24"/>
        </w:rPr>
        <w:t xml:space="preserve">извиване, накланяне, извъртане на врата (torticollis), опистотонус, както и извиване на стъпалата. Дистониите са симптоми на заболяването или са резултат от невролептичното лечение. Ригидността и спастичността често се появяват още в началото на заболяването при децата. Тези симптоми могат да затруднят походката, да причинят падания, да обособят нуждата от използване на инвалиден стол. </w:t>
      </w:r>
    </w:p>
    <w:p w14:paraId="5EEAD165" w14:textId="77777777" w:rsidR="00BE0B19" w:rsidRPr="00AE47C6" w:rsidRDefault="00BE0B19" w:rsidP="00BE0B19">
      <w:pPr>
        <w:shd w:val="clear" w:color="auto" w:fill="FFFFFF"/>
        <w:spacing w:after="0" w:line="360" w:lineRule="auto"/>
        <w:ind w:firstLine="720"/>
        <w:jc w:val="both"/>
        <w:rPr>
          <w:rFonts w:ascii="Times New Roman" w:eastAsia="SimSun" w:hAnsi="Times New Roman"/>
          <w:color w:val="642A8F"/>
          <w:sz w:val="24"/>
          <w:szCs w:val="24"/>
          <w:u w:val="single"/>
        </w:rPr>
      </w:pPr>
      <w:r w:rsidRPr="00AE47C6">
        <w:rPr>
          <w:rFonts w:ascii="Times New Roman" w:eastAsia="SimSun" w:hAnsi="Times New Roman"/>
          <w:b/>
          <w:color w:val="000000"/>
          <w:sz w:val="24"/>
          <w:szCs w:val="24"/>
        </w:rPr>
        <w:t>Диагностичните критерии</w:t>
      </w:r>
      <w:r w:rsidRPr="00AE47C6">
        <w:rPr>
          <w:rFonts w:ascii="Times New Roman" w:eastAsia="SimSun" w:hAnsi="Times New Roman"/>
          <w:color w:val="000000"/>
          <w:sz w:val="24"/>
          <w:szCs w:val="24"/>
        </w:rPr>
        <w:t xml:space="preserve"> при начало в детска възраст (≤10 години) изискват фамилна анамнеза за болест на Huntington (обикновено бащата) и 2 или повече от следните:</w:t>
      </w:r>
    </w:p>
    <w:p w14:paraId="716FEE8C" w14:textId="77777777" w:rsidR="00BE0B19" w:rsidRPr="00AE47C6" w:rsidRDefault="00BE0B19" w:rsidP="00BE0B19">
      <w:pPr>
        <w:numPr>
          <w:ilvl w:val="0"/>
          <w:numId w:val="119"/>
        </w:numPr>
        <w:shd w:val="clear" w:color="auto" w:fill="FFFFFF"/>
        <w:spacing w:after="0" w:line="360" w:lineRule="auto"/>
        <w:jc w:val="both"/>
        <w:rPr>
          <w:rFonts w:ascii="Times New Roman" w:eastAsia="SimSun" w:hAnsi="Times New Roman"/>
          <w:color w:val="000000"/>
          <w:sz w:val="24"/>
          <w:szCs w:val="24"/>
        </w:rPr>
      </w:pPr>
      <w:r w:rsidRPr="00AE47C6">
        <w:rPr>
          <w:rFonts w:ascii="Times New Roman" w:eastAsia="SimSun" w:hAnsi="Times New Roman"/>
          <w:color w:val="000000"/>
          <w:sz w:val="24"/>
          <w:szCs w:val="24"/>
        </w:rPr>
        <w:t xml:space="preserve">Понижаване на успеха в училище </w:t>
      </w:r>
    </w:p>
    <w:p w14:paraId="6E1F6F69" w14:textId="77777777" w:rsidR="00BE0B19" w:rsidRPr="00AE47C6" w:rsidRDefault="00BE0B19" w:rsidP="00BE0B19">
      <w:pPr>
        <w:numPr>
          <w:ilvl w:val="0"/>
          <w:numId w:val="119"/>
        </w:numPr>
        <w:shd w:val="clear" w:color="auto" w:fill="FFFFFF"/>
        <w:spacing w:after="0" w:line="360" w:lineRule="auto"/>
        <w:jc w:val="both"/>
        <w:rPr>
          <w:rFonts w:ascii="Times New Roman" w:eastAsia="SimSun" w:hAnsi="Times New Roman"/>
          <w:color w:val="000000"/>
          <w:sz w:val="24"/>
          <w:szCs w:val="24"/>
        </w:rPr>
      </w:pPr>
      <w:r w:rsidRPr="00AE47C6">
        <w:rPr>
          <w:rFonts w:ascii="Times New Roman" w:eastAsia="SimSun" w:hAnsi="Times New Roman"/>
          <w:color w:val="000000"/>
          <w:sz w:val="24"/>
          <w:szCs w:val="24"/>
        </w:rPr>
        <w:t>Епилептични пристъпи</w:t>
      </w:r>
    </w:p>
    <w:p w14:paraId="47020768" w14:textId="77777777" w:rsidR="00BE0B19" w:rsidRPr="00AE47C6" w:rsidRDefault="00BE0B19" w:rsidP="00BE0B19">
      <w:pPr>
        <w:numPr>
          <w:ilvl w:val="0"/>
          <w:numId w:val="119"/>
        </w:numPr>
        <w:shd w:val="clear" w:color="auto" w:fill="FFFFFF"/>
        <w:spacing w:after="0" w:line="360" w:lineRule="auto"/>
        <w:jc w:val="both"/>
        <w:rPr>
          <w:rFonts w:ascii="Times New Roman" w:eastAsia="SimSun" w:hAnsi="Times New Roman"/>
          <w:color w:val="000000"/>
          <w:sz w:val="24"/>
          <w:szCs w:val="24"/>
        </w:rPr>
      </w:pPr>
      <w:r w:rsidRPr="00AE47C6">
        <w:rPr>
          <w:rFonts w:ascii="Times New Roman" w:eastAsia="SimSun" w:hAnsi="Times New Roman"/>
          <w:color w:val="000000"/>
          <w:sz w:val="24"/>
          <w:szCs w:val="24"/>
        </w:rPr>
        <w:t xml:space="preserve">Оро-двигателна дисфункция </w:t>
      </w:r>
    </w:p>
    <w:p w14:paraId="33E2E8CA" w14:textId="77777777" w:rsidR="00BE0B19" w:rsidRPr="00AE47C6" w:rsidRDefault="00BE0B19" w:rsidP="00BE0B19">
      <w:pPr>
        <w:numPr>
          <w:ilvl w:val="0"/>
          <w:numId w:val="119"/>
        </w:numPr>
        <w:shd w:val="clear" w:color="auto" w:fill="FFFFFF"/>
        <w:spacing w:after="0" w:line="360" w:lineRule="auto"/>
        <w:jc w:val="both"/>
        <w:rPr>
          <w:rFonts w:ascii="Times New Roman" w:eastAsia="SimSun" w:hAnsi="Times New Roman"/>
          <w:color w:val="000000"/>
          <w:sz w:val="24"/>
          <w:szCs w:val="24"/>
        </w:rPr>
      </w:pPr>
      <w:r w:rsidRPr="00AE47C6">
        <w:rPr>
          <w:rFonts w:ascii="Times New Roman" w:eastAsia="SimSun" w:hAnsi="Times New Roman"/>
          <w:color w:val="000000"/>
          <w:sz w:val="24"/>
          <w:szCs w:val="24"/>
        </w:rPr>
        <w:t>Ригидност</w:t>
      </w:r>
    </w:p>
    <w:p w14:paraId="23095637" w14:textId="77777777" w:rsidR="00BE0B19" w:rsidRPr="00AE47C6" w:rsidRDefault="00BE0B19" w:rsidP="00BE0B19">
      <w:pPr>
        <w:numPr>
          <w:ilvl w:val="0"/>
          <w:numId w:val="119"/>
        </w:numPr>
        <w:shd w:val="clear" w:color="auto" w:fill="FFFFFF"/>
        <w:spacing w:after="0" w:line="360" w:lineRule="auto"/>
        <w:jc w:val="both"/>
        <w:rPr>
          <w:rFonts w:ascii="Times New Roman" w:eastAsia="SimSun" w:hAnsi="Times New Roman"/>
          <w:color w:val="000000"/>
          <w:sz w:val="24"/>
          <w:szCs w:val="24"/>
        </w:rPr>
      </w:pPr>
      <w:r w:rsidRPr="00AE47C6">
        <w:rPr>
          <w:rFonts w:ascii="Times New Roman" w:eastAsia="SimSun" w:hAnsi="Times New Roman"/>
          <w:color w:val="000000"/>
          <w:sz w:val="24"/>
          <w:szCs w:val="24"/>
        </w:rPr>
        <w:t>Нарушение на походката</w:t>
      </w:r>
    </w:p>
    <w:p w14:paraId="383D44BD" w14:textId="77777777" w:rsidR="00BE0B19" w:rsidRPr="00AE47C6" w:rsidRDefault="00BE0B19" w:rsidP="00BE0B19">
      <w:pPr>
        <w:shd w:val="clear" w:color="auto" w:fill="FFFFFF"/>
        <w:spacing w:after="0" w:line="360" w:lineRule="auto"/>
        <w:ind w:firstLine="720"/>
        <w:jc w:val="both"/>
        <w:rPr>
          <w:rFonts w:ascii="Times New Roman" w:eastAsia="SimSun" w:hAnsi="Times New Roman"/>
          <w:color w:val="000000"/>
          <w:sz w:val="24"/>
          <w:szCs w:val="24"/>
        </w:rPr>
      </w:pPr>
      <w:r w:rsidRPr="00AE47C6">
        <w:rPr>
          <w:rFonts w:ascii="Times New Roman" w:eastAsia="SimSun" w:hAnsi="Times New Roman"/>
          <w:color w:val="000000"/>
          <w:sz w:val="24"/>
          <w:szCs w:val="24"/>
        </w:rPr>
        <w:t xml:space="preserve">Ходът на заболяването в млада възраст е бърз и прогресивен. Описани са три фази на болестта при деца. Начална фаза на поведенческо нарушение, проблеми в учението, нарушение в походката и лека хорея. По-бурна фаза с белези на ментална ретардация, ригидност, нарушения в речта и епилептични пристъпи. Терминална фаза, в която пациентите са приковани към легло, с мускулна хипотония и чести епилептични пристъпи. </w:t>
      </w:r>
    </w:p>
    <w:p w14:paraId="2182C873"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 xml:space="preserve">Изследвания </w:t>
      </w:r>
    </w:p>
    <w:p w14:paraId="3150A9B0"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i/>
          <w:iCs/>
          <w:sz w:val="24"/>
          <w:szCs w:val="24"/>
          <w:lang w:eastAsia="bg-BG"/>
        </w:rPr>
      </w:pPr>
      <w:r w:rsidRPr="00AE47C6">
        <w:rPr>
          <w:rFonts w:ascii="Times New Roman" w:eastAsia="SimSun" w:hAnsi="Times New Roman"/>
          <w:sz w:val="24"/>
          <w:szCs w:val="24"/>
          <w:lang w:eastAsia="bg-BG"/>
        </w:rPr>
        <w:t xml:space="preserve">При генетичния анализ, &gt;60 повтора на CAG предполага ювенилна болест на Huntington. </w:t>
      </w:r>
    </w:p>
    <w:p w14:paraId="7E8A8A78" w14:textId="77777777" w:rsidR="00BE0B19" w:rsidRPr="00AE47C6" w:rsidRDefault="00BE0B19" w:rsidP="00BE0B19">
      <w:pPr>
        <w:shd w:val="clear" w:color="auto" w:fill="FFFFFF"/>
        <w:spacing w:after="0" w:line="360" w:lineRule="auto"/>
        <w:ind w:firstLine="720"/>
        <w:jc w:val="both"/>
        <w:rPr>
          <w:rFonts w:ascii="Times New Roman" w:eastAsia="SimSun" w:hAnsi="Times New Roman"/>
          <w:color w:val="000000"/>
          <w:sz w:val="24"/>
          <w:szCs w:val="24"/>
        </w:rPr>
      </w:pPr>
      <w:r w:rsidRPr="00AE47C6">
        <w:rPr>
          <w:rFonts w:ascii="Times New Roman" w:eastAsia="SimSun" w:hAnsi="Times New Roman"/>
          <w:color w:val="000000"/>
          <w:sz w:val="24"/>
          <w:szCs w:val="24"/>
        </w:rPr>
        <w:t xml:space="preserve">МРТ находката се изразява в промени на обема на стриатумите и други мозъчни области, като таламус, хипоталамус, хипокампус, amygdala, малкия мозък, фронтална и инсуларна кора, както и атрофични изменения на nucleus caudatus и putamen. </w:t>
      </w:r>
    </w:p>
    <w:p w14:paraId="23EF0D04" w14:textId="77777777" w:rsidR="00BE0B19" w:rsidRPr="00AE47C6" w:rsidRDefault="00BE0B19" w:rsidP="00BE0B19">
      <w:pPr>
        <w:shd w:val="clear" w:color="auto" w:fill="FFFFFF"/>
        <w:spacing w:after="0" w:line="360" w:lineRule="auto"/>
        <w:ind w:firstLine="720"/>
        <w:jc w:val="both"/>
        <w:rPr>
          <w:rFonts w:ascii="Times New Roman" w:eastAsia="SimSun" w:hAnsi="Times New Roman"/>
          <w:color w:val="000000"/>
          <w:sz w:val="24"/>
          <w:szCs w:val="24"/>
        </w:rPr>
      </w:pPr>
      <w:r w:rsidRPr="00AE47C6">
        <w:rPr>
          <w:rFonts w:ascii="Times New Roman" w:eastAsia="SimSun" w:hAnsi="Times New Roman"/>
          <w:color w:val="000000"/>
          <w:sz w:val="24"/>
          <w:szCs w:val="24"/>
        </w:rPr>
        <w:t xml:space="preserve">PET е по-чувствителна и специфична методика за ювенилната форма, като може да отчете хипометаболизъм в n. caudatus и putamen, както и задните таламични ядра. </w:t>
      </w:r>
    </w:p>
    <w:p w14:paraId="24D309D4" w14:textId="77777777" w:rsidR="00BE0B19" w:rsidRPr="00AE47C6" w:rsidRDefault="00BE0B19" w:rsidP="00BE0B19">
      <w:pPr>
        <w:shd w:val="clear" w:color="auto" w:fill="FFFFFF"/>
        <w:spacing w:after="0" w:line="360" w:lineRule="auto"/>
        <w:ind w:firstLine="720"/>
        <w:jc w:val="both"/>
        <w:rPr>
          <w:rFonts w:ascii="Times New Roman" w:eastAsia="SimSun" w:hAnsi="Times New Roman"/>
          <w:color w:val="000000"/>
          <w:sz w:val="24"/>
          <w:szCs w:val="24"/>
        </w:rPr>
      </w:pPr>
      <w:r w:rsidRPr="00AE47C6">
        <w:rPr>
          <w:rFonts w:ascii="Times New Roman" w:eastAsia="SimSun" w:hAnsi="Times New Roman"/>
          <w:color w:val="000000"/>
          <w:sz w:val="24"/>
          <w:szCs w:val="24"/>
        </w:rPr>
        <w:t>Електроенцефалографията (ЕЕГ) при ювенилната форма показва пароксизмални явления.</w:t>
      </w:r>
    </w:p>
    <w:p w14:paraId="4F2CC668"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03C46D0F"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i/>
          <w:sz w:val="24"/>
          <w:szCs w:val="24"/>
          <w:lang w:eastAsia="bg-BG"/>
        </w:rPr>
      </w:pPr>
      <w:r w:rsidRPr="00AE47C6">
        <w:rPr>
          <w:rFonts w:ascii="Times New Roman" w:eastAsia="SimSun" w:hAnsi="Times New Roman"/>
          <w:b/>
          <w:bCs/>
          <w:sz w:val="24"/>
          <w:szCs w:val="24"/>
          <w:lang w:eastAsia="bg-BG"/>
        </w:rPr>
        <w:t>Лечение на хореята на Huntington</w:t>
      </w:r>
    </w:p>
    <w:p w14:paraId="219893CB"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Лечението е симптоматично, защото бавно прогресиращата дегенерация на базалните ганглии не може да бъде спряна.</w:t>
      </w:r>
    </w:p>
    <w:p w14:paraId="756AA730"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i/>
          <w:iCs/>
          <w:sz w:val="24"/>
          <w:szCs w:val="24"/>
          <w:lang w:eastAsia="bg-BG"/>
        </w:rPr>
      </w:pPr>
      <w:r w:rsidRPr="00AE47C6">
        <w:rPr>
          <w:rFonts w:ascii="Times New Roman" w:eastAsia="SimSun" w:hAnsi="Times New Roman"/>
          <w:b/>
          <w:bCs/>
          <w:sz w:val="24"/>
          <w:szCs w:val="24"/>
          <w:lang w:eastAsia="bg-BG"/>
        </w:rPr>
        <w:t>Допаминовите антагонисти</w:t>
      </w:r>
      <w:r w:rsidRPr="00AE47C6">
        <w:rPr>
          <w:rFonts w:ascii="Times New Roman" w:eastAsia="SimSun" w:hAnsi="Times New Roman"/>
          <w:sz w:val="24"/>
          <w:szCs w:val="24"/>
          <w:lang w:eastAsia="bg-BG"/>
        </w:rPr>
        <w:t xml:space="preserve"> (</w:t>
      </w:r>
      <w:r w:rsidRPr="00AE47C6">
        <w:rPr>
          <w:rFonts w:ascii="Times New Roman" w:eastAsia="SimSun" w:hAnsi="Times New Roman"/>
          <w:i/>
          <w:sz w:val="24"/>
          <w:szCs w:val="24"/>
          <w:lang w:eastAsia="bg-BG"/>
        </w:rPr>
        <w:t>haloperidol</w:t>
      </w:r>
      <w:r w:rsidRPr="00AE47C6">
        <w:rPr>
          <w:rFonts w:ascii="Times New Roman" w:eastAsia="SimSun" w:hAnsi="Times New Roman"/>
          <w:sz w:val="24"/>
          <w:szCs w:val="24"/>
          <w:lang w:eastAsia="bg-BG"/>
        </w:rPr>
        <w:t xml:space="preserve"> 2 до 10 mg дневно) и медикаментите изчерпващи допаминовите депа (reserpine, tetrabenazine) могат да потиснат за известно време хореята, но засилват ригидността, брадикинезията и депресията. Когато хореичните хиперкинези инвалидизират пациента, трябва да се започне лечение с минимални ефективни дози на невролептици. С времето изразеността на хореята намалява, което налага редуциране на дозите. </w:t>
      </w:r>
    </w:p>
    <w:p w14:paraId="179CD17A"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i/>
          <w:iCs/>
          <w:sz w:val="24"/>
          <w:szCs w:val="24"/>
          <w:lang w:eastAsia="bg-BG"/>
        </w:rPr>
      </w:pPr>
      <w:r w:rsidRPr="00AE47C6">
        <w:rPr>
          <w:rFonts w:ascii="Times New Roman" w:eastAsia="SimSun" w:hAnsi="Times New Roman"/>
          <w:i/>
          <w:sz w:val="24"/>
          <w:szCs w:val="24"/>
          <w:lang w:eastAsia="bg-BG"/>
        </w:rPr>
        <w:t xml:space="preserve">Tetrabenazine </w:t>
      </w:r>
      <w:r w:rsidRPr="00AE47C6">
        <w:rPr>
          <w:rFonts w:ascii="Times New Roman" w:eastAsia="SimSun" w:hAnsi="Times New Roman"/>
          <w:sz w:val="24"/>
          <w:szCs w:val="24"/>
          <w:lang w:eastAsia="bg-BG"/>
        </w:rPr>
        <w:t>100-200 mg дневно е медикамент на първи избор, защото не предизвиква късни дискинезии. Започва са с доза 12,5 mg два пъти дневно и дозата бавно се титрира с повишаване от 25 mg седмично. Основните странични ефекти са сънливост, обща слабост, депресия, Паркинсонови симптоми и остра акатизия, които се повлияват от намаляване на дозата.</w:t>
      </w:r>
    </w:p>
    <w:p w14:paraId="761D04AB"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i/>
          <w:iCs/>
          <w:sz w:val="24"/>
          <w:szCs w:val="24"/>
          <w:lang w:eastAsia="bg-BG"/>
        </w:rPr>
      </w:pPr>
      <w:r w:rsidRPr="00AE47C6">
        <w:rPr>
          <w:rFonts w:ascii="Times New Roman" w:eastAsia="SimSun" w:hAnsi="Times New Roman"/>
          <w:sz w:val="24"/>
          <w:szCs w:val="24"/>
          <w:lang w:eastAsia="bg-BG"/>
        </w:rPr>
        <w:t>Селективният D</w:t>
      </w:r>
      <w:r w:rsidRPr="00AE47C6">
        <w:rPr>
          <w:rFonts w:ascii="Times New Roman" w:eastAsia="SimSun" w:hAnsi="Times New Roman"/>
          <w:sz w:val="24"/>
          <w:szCs w:val="24"/>
          <w:vertAlign w:val="subscript"/>
          <w:lang w:eastAsia="bg-BG"/>
        </w:rPr>
        <w:t>4</w:t>
      </w:r>
      <w:r w:rsidRPr="00AE47C6">
        <w:rPr>
          <w:rFonts w:ascii="Times New Roman" w:eastAsia="SimSun" w:hAnsi="Times New Roman"/>
          <w:sz w:val="24"/>
          <w:szCs w:val="24"/>
          <w:lang w:eastAsia="bg-BG"/>
        </w:rPr>
        <w:t xml:space="preserve"> рецепторен антагонист </w:t>
      </w:r>
      <w:r w:rsidRPr="00AE47C6">
        <w:rPr>
          <w:rFonts w:ascii="Times New Roman" w:eastAsia="SimSun" w:hAnsi="Times New Roman"/>
          <w:i/>
          <w:sz w:val="24"/>
          <w:szCs w:val="24"/>
          <w:lang w:eastAsia="bg-BG"/>
        </w:rPr>
        <w:t>clozapine</w:t>
      </w:r>
      <w:r w:rsidRPr="00AE47C6">
        <w:rPr>
          <w:rFonts w:ascii="Times New Roman" w:eastAsia="SimSun" w:hAnsi="Times New Roman"/>
          <w:sz w:val="24"/>
          <w:szCs w:val="24"/>
          <w:lang w:eastAsia="bg-BG"/>
        </w:rPr>
        <w:t xml:space="preserve"> (50-200 mg дн.) е също ефективен при хореични хиперкинези. </w:t>
      </w:r>
    </w:p>
    <w:p w14:paraId="5248FBAC"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i/>
          <w:iCs/>
          <w:sz w:val="24"/>
          <w:szCs w:val="24"/>
          <w:lang w:eastAsia="bg-BG"/>
        </w:rPr>
      </w:pPr>
      <w:r w:rsidRPr="00AE47C6">
        <w:rPr>
          <w:rFonts w:ascii="Times New Roman" w:eastAsia="SimSun" w:hAnsi="Times New Roman"/>
          <w:sz w:val="24"/>
          <w:szCs w:val="24"/>
          <w:lang w:eastAsia="bg-BG"/>
        </w:rPr>
        <w:t xml:space="preserve">Фармакологичното повлияване на хореичния синдром не повлиява двигателния акт. Брадикинезията и ригидността се повлияват от леводопа или допаминови агонисти, но това може да доведе до засилване на хореята и дистонията, както и до провокиране на психоза и халюцинации. Дистонията не може да се повлияе медикаментозно. </w:t>
      </w:r>
    </w:p>
    <w:p w14:paraId="54EBD085"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i/>
          <w:iCs/>
          <w:sz w:val="24"/>
          <w:szCs w:val="24"/>
          <w:lang w:eastAsia="bg-BG"/>
        </w:rPr>
      </w:pPr>
      <w:r w:rsidRPr="00AE47C6">
        <w:rPr>
          <w:rFonts w:ascii="Times New Roman" w:eastAsia="SimSun" w:hAnsi="Times New Roman"/>
          <w:sz w:val="24"/>
          <w:szCs w:val="24"/>
          <w:lang w:eastAsia="bg-BG"/>
        </w:rPr>
        <w:t xml:space="preserve">По отношение на раздразнителността и импулсивността, комбинацията от haloperidol и lithium carbonate има по-добър ефект от монотерапията. Risperidone подобрява абнормните неволеви движения и психотичните прояви. </w:t>
      </w:r>
    </w:p>
    <w:p w14:paraId="75AB72C1"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i/>
          <w:iCs/>
          <w:sz w:val="24"/>
          <w:szCs w:val="24"/>
          <w:lang w:eastAsia="bg-BG"/>
        </w:rPr>
      </w:pPr>
      <w:r w:rsidRPr="00AE47C6">
        <w:rPr>
          <w:rFonts w:ascii="Times New Roman" w:eastAsia="SimSun" w:hAnsi="Times New Roman"/>
          <w:i/>
          <w:sz w:val="24"/>
          <w:szCs w:val="24"/>
          <w:lang w:eastAsia="bg-BG"/>
        </w:rPr>
        <w:t xml:space="preserve">Olanzapine </w:t>
      </w:r>
      <w:r w:rsidRPr="00AE47C6">
        <w:rPr>
          <w:rFonts w:ascii="Times New Roman" w:eastAsia="SimSun" w:hAnsi="Times New Roman"/>
          <w:sz w:val="24"/>
          <w:szCs w:val="24"/>
          <w:lang w:eastAsia="bg-BG"/>
        </w:rPr>
        <w:t xml:space="preserve">е алтернатива предимно за контрол на психичните прояви. </w:t>
      </w:r>
    </w:p>
    <w:p w14:paraId="4D5E3A4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Лечението на епилептичните пристъпи зависи от тяхната характеристика. При ювенилно начало на заболяването, миоклонична епилепсия или генерализирани пристъпи се започва лечение с </w:t>
      </w:r>
      <w:bookmarkStart w:id="152" w:name="OLE_LINK2"/>
      <w:r w:rsidRPr="00AE47C6">
        <w:rPr>
          <w:rFonts w:ascii="Times New Roman" w:eastAsia="SimSun" w:hAnsi="Times New Roman"/>
          <w:sz w:val="24"/>
          <w:szCs w:val="24"/>
        </w:rPr>
        <w:t>divalproex sodium</w:t>
      </w:r>
      <w:bookmarkEnd w:id="152"/>
      <w:r w:rsidRPr="00AE47C6">
        <w:rPr>
          <w:rFonts w:ascii="Times New Roman" w:eastAsia="SimSun" w:hAnsi="Times New Roman"/>
          <w:sz w:val="24"/>
          <w:szCs w:val="24"/>
        </w:rPr>
        <w:t xml:space="preserve">. </w:t>
      </w:r>
    </w:p>
    <w:p w14:paraId="32EF238B"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53" w:name="_Toc155651774"/>
      <w:bookmarkStart w:id="154" w:name="_Toc164075906"/>
      <w:r w:rsidRPr="00AE47C6">
        <w:rPr>
          <w:rFonts w:ascii="Times New Roman" w:eastAsia="SimSun" w:hAnsi="Times New Roman"/>
          <w:b/>
          <w:sz w:val="24"/>
          <w:szCs w:val="20"/>
          <w:lang w:eastAsia="ja-JP"/>
        </w:rPr>
        <w:t>6.2.3. Тикове</w:t>
      </w:r>
      <w:bookmarkEnd w:id="153"/>
      <w:bookmarkEnd w:id="154"/>
    </w:p>
    <w:p w14:paraId="1B334C3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Представляват внезапни, краткотрайни (около 100 ms), бързи, безцелни, неритмично повтарящи се стереотипни движения или звуци. Предхождат се от усещане за напрежение и необходимост за извършване на движението, което не може да се потисне волево за дълго и изчезва след извършване на движението.</w:t>
      </w:r>
    </w:p>
    <w:p w14:paraId="1A00713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Болестността</w:t>
      </w:r>
      <w:r w:rsidRPr="00AE47C6">
        <w:rPr>
          <w:rFonts w:ascii="Times New Roman" w:eastAsia="SimSun" w:hAnsi="Times New Roman"/>
          <w:sz w:val="24"/>
          <w:szCs w:val="24"/>
        </w:rPr>
        <w:t xml:space="preserve"> е най-висока в детската възраст, като достига до 20% от децата в училищна възраст. При повечето деца в тази възраст тиковете са преходни и изчезват спонтанно.</w:t>
      </w:r>
    </w:p>
    <w:p w14:paraId="1E050A0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Етиологията</w:t>
      </w:r>
      <w:r w:rsidRPr="00AE47C6">
        <w:rPr>
          <w:rFonts w:ascii="Times New Roman" w:eastAsia="SimSun" w:hAnsi="Times New Roman"/>
          <w:sz w:val="24"/>
          <w:szCs w:val="24"/>
        </w:rPr>
        <w:t xml:space="preserve"> на първичните (идиопатични) тикове е свързана с генетично предразположение. Вторичните (симптоматични) тикове са свързани с различни неврологични заболявания, като енцефалит, мозъчен инфаркт, мозъчна травма, въглеокисно отравяне, невроакантоцитоза и множество дегенеративни неврологични заболявания, увреждащи базалните ганглии. Различни медикаменти могат да предизвикат или да засилят тиковете. </w:t>
      </w:r>
    </w:p>
    <w:p w14:paraId="425E725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Патогенезата</w:t>
      </w:r>
      <w:r w:rsidRPr="00AE47C6">
        <w:rPr>
          <w:rFonts w:ascii="Times New Roman" w:eastAsia="SimSun" w:hAnsi="Times New Roman"/>
          <w:sz w:val="24"/>
          <w:szCs w:val="24"/>
        </w:rPr>
        <w:t xml:space="preserve"> е свързана с хиперфункцията на централните допаминергични пътища.</w:t>
      </w:r>
    </w:p>
    <w:p w14:paraId="3C55CF4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Класифицират се</w:t>
      </w:r>
      <w:r w:rsidRPr="00AE47C6">
        <w:rPr>
          <w:rFonts w:ascii="Times New Roman" w:eastAsia="SimSun" w:hAnsi="Times New Roman"/>
          <w:sz w:val="24"/>
          <w:szCs w:val="24"/>
        </w:rPr>
        <w:t xml:space="preserve"> според </w:t>
      </w:r>
      <w:r w:rsidRPr="00AE47C6">
        <w:rPr>
          <w:rFonts w:ascii="Times New Roman" w:eastAsia="SimSun" w:hAnsi="Times New Roman"/>
          <w:i/>
          <w:sz w:val="24"/>
          <w:szCs w:val="24"/>
        </w:rPr>
        <w:t>произхода</w:t>
      </w:r>
      <w:r w:rsidRPr="00AE47C6">
        <w:rPr>
          <w:rFonts w:ascii="Times New Roman" w:eastAsia="SimSun" w:hAnsi="Times New Roman"/>
          <w:sz w:val="24"/>
          <w:szCs w:val="24"/>
        </w:rPr>
        <w:t xml:space="preserve"> си на първични и вторични, според </w:t>
      </w:r>
      <w:r w:rsidRPr="00AE47C6">
        <w:rPr>
          <w:rFonts w:ascii="Times New Roman" w:eastAsia="SimSun" w:hAnsi="Times New Roman"/>
          <w:i/>
          <w:sz w:val="24"/>
          <w:szCs w:val="24"/>
        </w:rPr>
        <w:t>засегнатите</w:t>
      </w:r>
      <w:r w:rsidRPr="00AE47C6">
        <w:rPr>
          <w:rFonts w:ascii="Times New Roman" w:eastAsia="SimSun" w:hAnsi="Times New Roman"/>
          <w:sz w:val="24"/>
          <w:szCs w:val="24"/>
        </w:rPr>
        <w:t xml:space="preserve"> мускулни групи на моторни и вокални, а според </w:t>
      </w:r>
      <w:r w:rsidRPr="00AE47C6">
        <w:rPr>
          <w:rFonts w:ascii="Times New Roman" w:eastAsia="SimSun" w:hAnsi="Times New Roman"/>
          <w:i/>
          <w:sz w:val="24"/>
          <w:szCs w:val="24"/>
        </w:rPr>
        <w:t>сложността</w:t>
      </w:r>
      <w:r w:rsidRPr="00AE47C6">
        <w:rPr>
          <w:rFonts w:ascii="Times New Roman" w:eastAsia="SimSun" w:hAnsi="Times New Roman"/>
          <w:sz w:val="24"/>
          <w:szCs w:val="24"/>
        </w:rPr>
        <w:t xml:space="preserve"> – на прости и комплексни. Моторните тикове се подразделят на бързи (клонични) и дистонични (по-бавни). Простите моторни тикове представляват внезапни, краткотрайни, повтарящи се стереотипни движения на изолирани мускули. Комплексните моторни тикове се състоят от координирани мускулни контракции в различни мускулни групи, организирани в известен порядък, което довежда до комплексни серии от движения, които изглеждат целенасочени. Включват копропраксия (неприлични жестове) и ехопраксия (повтаряне на движения извършвани от други хора). </w:t>
      </w:r>
    </w:p>
    <w:p w14:paraId="42FE5FF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Вокалните тикове представляват звуци, предизвикани от движението на въздух през носа, устата или гърлото. Простите вокални тикове включват различни неартикулирани шумове и звуци като прочистване на гърлото, покашляне, сумтене. Комплексните вокални тикове имат лингвистично значение и се състоят от пълни или накъсани думи като ехолалия (повтаряне на думите на другите), палилалия (повтаряне на собствените думи) и копролалия (неприлични думи). </w:t>
      </w:r>
    </w:p>
    <w:p w14:paraId="33B459E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Първичните (идиопатични) тикове се разделят на преходни и хронични. Преходните тикове продължават повече от 1 месец, но по малко от 1 година и диагнозата се поставя ретроспективно след като изчезнат. </w:t>
      </w:r>
    </w:p>
    <w:p w14:paraId="28E9BE3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Клинично</w:t>
      </w:r>
      <w:r w:rsidRPr="00AE47C6">
        <w:rPr>
          <w:rFonts w:ascii="Times New Roman" w:eastAsia="SimSun" w:hAnsi="Times New Roman"/>
          <w:sz w:val="24"/>
          <w:szCs w:val="24"/>
        </w:rPr>
        <w:t xml:space="preserve"> тиковете имат внезапно начало. Могат да ангажират един мускул или множество мускулни групи. Тежестта на тиковете варира от едва забележими “невротични навици” до тежки и сложни. По същия начин тежестта на вокалните тикове варира от отделни звуци до думи и изречения. Тиковете се характеризират със зависимостта си от ситуацията – засилват се от някои медикаменти (предимно стимуланти), напрежение, болка, вълнение и умора, а по време на сън могат да изчезнат или да персистират. </w:t>
      </w:r>
    </w:p>
    <w:p w14:paraId="2A33593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Диференциално диагностично</w:t>
      </w:r>
      <w:r w:rsidRPr="00AE47C6">
        <w:rPr>
          <w:rFonts w:ascii="Times New Roman" w:eastAsia="SimSun" w:hAnsi="Times New Roman"/>
          <w:sz w:val="24"/>
          <w:szCs w:val="24"/>
        </w:rPr>
        <w:t xml:space="preserve"> тиковете трябва да се отграничат от другите бързи движения като хорея, миоклонии, късни дискинезии, леводопа индуцирани дискинезии, хиперекплексия, психогенните двигателни нарушения, натрапливостите, натрапливите ритуали, стереотипиите при психотични пациенти, акатизията, привични жестове и маниерничене. Тиковете се отграничават от другите хиперкинези по възможността за тяхното волево потискане, непостоянна изразеност във времето и персистирането по време на сън.</w:t>
      </w:r>
    </w:p>
    <w:p w14:paraId="0EF34C69"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6.2.3.1. Идиопатични моторни тикове</w:t>
      </w:r>
    </w:p>
    <w:p w14:paraId="26C7040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Етиологията</w:t>
      </w:r>
      <w:r w:rsidRPr="00AE47C6">
        <w:rPr>
          <w:rFonts w:ascii="Times New Roman" w:eastAsia="SimSun" w:hAnsi="Times New Roman"/>
          <w:sz w:val="24"/>
          <w:szCs w:val="24"/>
        </w:rPr>
        <w:t xml:space="preserve"> е свързана с наследствено предразположение. Често се срещат при пациенти от семейства, в които има болен от синдрома на Tourette. </w:t>
      </w:r>
    </w:p>
    <w:p w14:paraId="3BF3517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Засягат</w:t>
      </w:r>
      <w:r w:rsidRPr="00AE47C6">
        <w:rPr>
          <w:rFonts w:ascii="Times New Roman" w:eastAsia="SimSun" w:hAnsi="Times New Roman"/>
          <w:sz w:val="24"/>
          <w:szCs w:val="24"/>
        </w:rPr>
        <w:t xml:space="preserve"> три пъти по-често при момчета.</w:t>
      </w:r>
    </w:p>
    <w:p w14:paraId="008A48C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Клинично</w:t>
      </w:r>
      <w:r w:rsidRPr="00AE47C6">
        <w:rPr>
          <w:rFonts w:ascii="Times New Roman" w:eastAsia="SimSun" w:hAnsi="Times New Roman"/>
          <w:sz w:val="24"/>
          <w:szCs w:val="24"/>
        </w:rPr>
        <w:t xml:space="preserve"> се появяват за първи път в детската или ранната юношеска, най-често около 7 годишна възраст. Могат да се появят по изключение на 1 годишна или в напреднала, дори 70 годишна възраст. В зрялата възраст (след 21 години) рядко се появяват тикове, освен ако не са вторични. Тиковете се появят като изолиран феномен – остри преходни тикове. Преходни идиопатични тикове се срещат при много деца, но в повечето случаи те изчезват преди навлизането в зряла възраст. Тиковете започнали в детската възраст могат да не изчезнат, а да останат като хронични прости, комплексни или множествени тикове или отново да се появят по-късно. Хроничните тикове се различават от синдромът на Tourette по липсата на едновременна поява на моторни и вокални тикове. </w:t>
      </w:r>
    </w:p>
    <w:p w14:paraId="5416093A"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6.2.3.2 Синдром на Tourette</w:t>
      </w:r>
    </w:p>
    <w:p w14:paraId="6C6CCC3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През 1885 година George Gilles de la Tourette описва заболяване протичащо с моторни и вокални тикове, при някои пациенти с придружаващи ехофеномени и копролалия. </w:t>
      </w:r>
    </w:p>
    <w:p w14:paraId="24E4211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Засяга</w:t>
      </w:r>
      <w:r w:rsidRPr="00AE47C6">
        <w:rPr>
          <w:rFonts w:ascii="Times New Roman" w:eastAsia="SimSun" w:hAnsi="Times New Roman"/>
          <w:sz w:val="24"/>
          <w:szCs w:val="24"/>
        </w:rPr>
        <w:t xml:space="preserve"> до 1,6% от населението. Разпространено e сред всички раси и социално-икономически класи. Копролалията почти не се среща в Япония. Засяга 3 пъти по-често мъжете. </w:t>
      </w:r>
    </w:p>
    <w:p w14:paraId="5ED7578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Етиологията</w:t>
      </w:r>
      <w:r w:rsidRPr="00AE47C6">
        <w:rPr>
          <w:rFonts w:ascii="Times New Roman" w:eastAsia="SimSun" w:hAnsi="Times New Roman"/>
          <w:sz w:val="24"/>
          <w:szCs w:val="24"/>
        </w:rPr>
        <w:t xml:space="preserve"> все още не е известна. Предполага се, че е наследствено с автозомно-доминантен тип на унаследяване. Пенетрантността е непълна и зависи от пола, клиничната експресия е вариабилна и включва синдромът на Tourette, хроничните тикови разстройства и обсесивно-компулсивните разстройства. </w:t>
      </w:r>
    </w:p>
    <w:p w14:paraId="0646023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Според някои автори се предизвиква от автоимунен процес след инфекция с група A β-хемолитични стрептококи в детска възраст. Автоимунният механизъм взаимодейства с генетично детерминираната възприемчивост на индивида и предизвиква обсесивно-компулсивни разстройства. Въведен е термина педиатрични автоимунни невропсихиатрични разстройства асоциирани със стрептококова инфекция (PANDAS). </w:t>
      </w:r>
    </w:p>
    <w:p w14:paraId="46D054A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Патоанатомично</w:t>
      </w:r>
      <w:r w:rsidRPr="00AE47C6">
        <w:rPr>
          <w:rFonts w:ascii="Times New Roman" w:eastAsia="SimSun" w:hAnsi="Times New Roman"/>
          <w:sz w:val="24"/>
          <w:szCs w:val="24"/>
        </w:rPr>
        <w:t xml:space="preserve"> се намират увреждания на базалните ганглии и някои области на лимбичната система. Намерени са свръхактивност на допаминовите рецептори и нарушения на мезокортикалните допаминови проекции. Предполага се увреждане на стволовото тегментално периакведукталното сиво вещество, както и намаляване на динорфина в стриарните влакна към globus pallidus.</w:t>
      </w:r>
    </w:p>
    <w:p w14:paraId="414C152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Клинично</w:t>
      </w:r>
      <w:r w:rsidRPr="00AE47C6">
        <w:rPr>
          <w:rFonts w:ascii="Times New Roman" w:eastAsia="SimSun" w:hAnsi="Times New Roman"/>
          <w:sz w:val="24"/>
          <w:szCs w:val="24"/>
        </w:rPr>
        <w:t xml:space="preserve"> се проявява между 2 и 15 годишна възраст (средно 7 годишна възраст) и изразеността му се колебае във времето. Протича с тикове и поведенческо нарушение. Представя се с хетерогенна клинична картина с множество повтарящи се през денонощието двигателни и вокални тикове, натрапливости и ритуали, стереотипии, копролалия, копромимия, ехо-феномени (повтаряне на собствените думи и думите и движенията на другите), докосване на други хора, себеувреждащо поведение и невъзможност за запаметяване.</w:t>
      </w:r>
    </w:p>
    <w:p w14:paraId="1ED489D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Тиковете се появяват първоначално в горната част на тялото, най-често като лицеви тикове. Не изчезват по време на сън. По-рядко заболяването започва с вокални тикове. Копролалията не е задължителен симптом за поставяне на диагнозата. Повечето пациенти само мислено произнасят неприлични думи (ментална копролалия). Тиковете се променят по вид и се засилват и отслабват както през различните часове на деня, така и през различните дни. Има периоди продължаващи дни и седмици през които тиковете се влошават, последвани от периоди на подобрение. Движенията могат да наподобяват дистония, хорея и миоклонии. С прогресията на заболяването се добавят нови тикове, а старите променят своя тип и изразеност. Те достигат своя максимум около 10 годишна възраст и след няколко години могат силно да намалеят и дори да изчезнат. При други пациенти тиковете изчезват за няколко години, след което отново се появяват, а при някои персистират цял живот. При 5-8% от пациентите тиковете изчезват завинаги в юношеската възраст. </w:t>
      </w:r>
    </w:p>
    <w:p w14:paraId="5AB966B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Налице са нарушения на съня, сомнамбулизъм и нощни страхове.</w:t>
      </w:r>
    </w:p>
    <w:p w14:paraId="15A6FB6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Поведенческите нарушения предшестват появата на тикове. Най-чести (при 50%) са обсесивно-компулсивните разстройства. Типични са компулсивните проверки, броене, перфекционизъм и обсесивни тревоги и страхове. Наблюдава се и хиперактивно нарушение с дефицит на вниманието. Синдромът на Tourette има тясна клинична връзка с различни други поведенчески нарушения като панически атаки, фобии, депресии, мании, тревожност, заекване, затлъстяване и алкохолизъм. Често пациентите имат личностови особености като склонност към спор, отбранителност, негативизъм и импулсивност. По-рядко могат да се наблюдават себеувреждащо поведение, затруднения в четенето, писането и смятането, независимо от липсата на интелектуални нарушения. Може да се наблюдава и друго социално неприемливо поведение, като обиждане или повреждане на имуществото на околните и унизителни забележки. </w:t>
      </w:r>
    </w:p>
    <w:p w14:paraId="4207BF1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Диагнозата</w:t>
      </w:r>
      <w:r w:rsidRPr="00AE47C6">
        <w:rPr>
          <w:rFonts w:ascii="Times New Roman" w:eastAsia="SimSun" w:hAnsi="Times New Roman"/>
          <w:sz w:val="24"/>
          <w:szCs w:val="24"/>
        </w:rPr>
        <w:t xml:space="preserve"> се поставя въз основа на клинични критерии, които изискват наличието на множество моторни и един или повече вокални тикове, проявяващи се едновременно или поотделно през някакъв период от развитие на заболяването. Тиковете трябва да се появяват почти всеки ден или интермитентно за период над една година, по много пъти през деня (обикновено на пристъпи). През този период от време не бива да има повече от три последователни месеца без тикове. Заболяването трябва да предизвика дистрес и значимо нарушение на социалните, професионални и други функции. Началото на заболяването трябва да бъде под 18 годишна възраст. Заболяването не бива да бъде предизвикано от прием на субстанции (стимуланти) или друго заболяване (хорея на Huntington или поствирусен енцефалит). </w:t>
      </w:r>
    </w:p>
    <w:p w14:paraId="3E39B37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Диференциалната диагноза</w:t>
      </w:r>
      <w:r w:rsidRPr="00AE47C6">
        <w:rPr>
          <w:rFonts w:ascii="Times New Roman" w:eastAsia="SimSun" w:hAnsi="Times New Roman"/>
          <w:sz w:val="24"/>
          <w:szCs w:val="24"/>
        </w:rPr>
        <w:t xml:space="preserve"> с хроничните тикови разстройства се прави по наличието едновременно на моторни и вокални тикове. Преходните тикови разстройства продължават не повече от 1 година. Хроничните моторни и вокални, както и преходните тикови разстройства се приемат от повечето автори като клиничен вариант на по-тежкия синдром на Gilles de la Tourette.</w:t>
      </w:r>
    </w:p>
    <w:p w14:paraId="46A5955F"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59603481"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Лечение на тиковете</w:t>
      </w:r>
    </w:p>
    <w:p w14:paraId="5ACB0E4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Започва се с </w:t>
      </w:r>
      <w:r w:rsidRPr="00AE47C6">
        <w:rPr>
          <w:rFonts w:ascii="Times New Roman" w:eastAsia="SimSun" w:hAnsi="Times New Roman"/>
          <w:i/>
          <w:sz w:val="24"/>
          <w:szCs w:val="24"/>
        </w:rPr>
        <w:t>clonidine</w:t>
      </w:r>
      <w:r w:rsidRPr="00AE47C6">
        <w:rPr>
          <w:rFonts w:ascii="Times New Roman" w:eastAsia="SimSun" w:hAnsi="Times New Roman"/>
          <w:sz w:val="24"/>
          <w:szCs w:val="24"/>
        </w:rPr>
        <w:t xml:space="preserve"> 0,05 mg вечер и дозата се увеличава бавно до постигане на ефект. Повечето пациенти се повлияват добре от 3 пъти дневно по 1 таблетка от 0,1 mg. Трябва да се използва минималната ефективна доза. </w:t>
      </w:r>
    </w:p>
    <w:p w14:paraId="3AEFBCB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 липса на достатъчен ефект може да се добави </w:t>
      </w:r>
      <w:r w:rsidRPr="00AE47C6">
        <w:rPr>
          <w:rFonts w:ascii="Times New Roman" w:eastAsia="SimSun" w:hAnsi="Times New Roman"/>
          <w:b/>
          <w:sz w:val="24"/>
          <w:szCs w:val="24"/>
        </w:rPr>
        <w:t>невролептик</w:t>
      </w:r>
      <w:r w:rsidRPr="00AE47C6">
        <w:rPr>
          <w:rFonts w:ascii="Times New Roman" w:eastAsia="SimSun" w:hAnsi="Times New Roman"/>
          <w:sz w:val="24"/>
          <w:szCs w:val="24"/>
        </w:rPr>
        <w:t xml:space="preserve"> или при липса въобще на ефект да се премине само на терапия с невролептик. Прилагането на допаминови антагонисти и блокадата на допаминовите рецептори води до потискане на тиковете. </w:t>
      </w:r>
    </w:p>
    <w:p w14:paraId="1A26B8A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Haloperidol</w:t>
      </w:r>
      <w:r w:rsidRPr="00AE47C6">
        <w:rPr>
          <w:rFonts w:ascii="Times New Roman" w:eastAsia="SimSun" w:hAnsi="Times New Roman"/>
          <w:sz w:val="24"/>
          <w:szCs w:val="24"/>
        </w:rPr>
        <w:t xml:space="preserve"> се започва по 0,25 mg вечер и се повишава до получаване на ефект, който обикновено се постига с 2 mg вечер. </w:t>
      </w:r>
    </w:p>
    <w:p w14:paraId="5A86BD2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 липса на ефект могат да се опитат други невролептици, като </w:t>
      </w:r>
      <w:r w:rsidRPr="00AE47C6">
        <w:rPr>
          <w:rFonts w:ascii="Times New Roman" w:eastAsia="SimSun" w:hAnsi="Times New Roman"/>
          <w:i/>
          <w:sz w:val="24"/>
          <w:szCs w:val="24"/>
        </w:rPr>
        <w:t xml:space="preserve">risperidone </w:t>
      </w:r>
      <w:r w:rsidRPr="00AE47C6">
        <w:rPr>
          <w:rFonts w:ascii="Times New Roman" w:eastAsia="SimSun" w:hAnsi="Times New Roman"/>
          <w:sz w:val="24"/>
          <w:szCs w:val="24"/>
        </w:rPr>
        <w:t xml:space="preserve">0,25 – 16 mg, </w:t>
      </w:r>
      <w:r w:rsidRPr="00AE47C6">
        <w:rPr>
          <w:rFonts w:ascii="Times New Roman" w:eastAsia="SimSun" w:hAnsi="Times New Roman"/>
          <w:i/>
          <w:sz w:val="24"/>
          <w:szCs w:val="24"/>
        </w:rPr>
        <w:t xml:space="preserve">olanzapine </w:t>
      </w:r>
      <w:r w:rsidRPr="00AE47C6">
        <w:rPr>
          <w:rFonts w:ascii="Times New Roman" w:eastAsia="SimSun" w:hAnsi="Times New Roman"/>
          <w:sz w:val="24"/>
          <w:szCs w:val="24"/>
        </w:rPr>
        <w:t xml:space="preserve">2,5 – 15 mg, </w:t>
      </w:r>
      <w:r w:rsidRPr="00AE47C6">
        <w:rPr>
          <w:rFonts w:ascii="Times New Roman" w:eastAsia="SimSun" w:hAnsi="Times New Roman"/>
          <w:i/>
          <w:sz w:val="24"/>
          <w:szCs w:val="24"/>
        </w:rPr>
        <w:t xml:space="preserve">ziprasidone </w:t>
      </w:r>
      <w:r w:rsidRPr="00AE47C6">
        <w:rPr>
          <w:rFonts w:ascii="Times New Roman" w:eastAsia="SimSun" w:hAnsi="Times New Roman"/>
          <w:sz w:val="24"/>
          <w:szCs w:val="24"/>
        </w:rPr>
        <w:t xml:space="preserve">20 – 200 mg дневно, </w:t>
      </w:r>
      <w:r w:rsidRPr="00AE47C6">
        <w:rPr>
          <w:rFonts w:ascii="Times New Roman" w:eastAsia="SimSun" w:hAnsi="Times New Roman"/>
          <w:i/>
          <w:sz w:val="24"/>
          <w:szCs w:val="24"/>
        </w:rPr>
        <w:t>clozapine и</w:t>
      </w:r>
      <w:r w:rsidRPr="00AE47C6">
        <w:rPr>
          <w:rFonts w:ascii="Times New Roman" w:eastAsia="SimSun" w:hAnsi="Times New Roman"/>
          <w:sz w:val="24"/>
          <w:szCs w:val="24"/>
        </w:rPr>
        <w:t xml:space="preserve">ли </w:t>
      </w:r>
      <w:r w:rsidRPr="00AE47C6">
        <w:rPr>
          <w:rFonts w:ascii="Times New Roman" w:eastAsia="SimSun" w:hAnsi="Times New Roman"/>
          <w:i/>
          <w:sz w:val="24"/>
          <w:szCs w:val="24"/>
        </w:rPr>
        <w:t>tetrabenazine.</w:t>
      </w:r>
    </w:p>
    <w:p w14:paraId="7E135CE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Допаминовите агонисти</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pergolide 0,45 mg</w:t>
      </w:r>
      <w:r w:rsidRPr="00AE47C6">
        <w:rPr>
          <w:rFonts w:ascii="Times New Roman" w:eastAsia="SimSun" w:hAnsi="Times New Roman"/>
          <w:sz w:val="24"/>
          <w:szCs w:val="24"/>
        </w:rPr>
        <w:t xml:space="preserve"> дневно) повлияват тиковете. </w:t>
      </w:r>
    </w:p>
    <w:p w14:paraId="47DF0A2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Антагонистите на калциевите канали и clonazepam</w:t>
      </w:r>
      <w:r w:rsidRPr="00AE47C6">
        <w:rPr>
          <w:rFonts w:ascii="Times New Roman" w:eastAsia="SimSun" w:hAnsi="Times New Roman"/>
          <w:sz w:val="24"/>
          <w:szCs w:val="24"/>
        </w:rPr>
        <w:t xml:space="preserve"> са ефективни. </w:t>
      </w:r>
    </w:p>
    <w:p w14:paraId="5295D2C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Прилагането на </w:t>
      </w:r>
      <w:r w:rsidRPr="00AE47C6">
        <w:rPr>
          <w:rFonts w:ascii="Times New Roman" w:eastAsia="SimSun" w:hAnsi="Times New Roman"/>
          <w:b/>
          <w:sz w:val="24"/>
          <w:szCs w:val="24"/>
        </w:rPr>
        <w:t>ботулинов токсин</w:t>
      </w:r>
      <w:r w:rsidRPr="00AE47C6">
        <w:rPr>
          <w:rFonts w:ascii="Times New Roman" w:eastAsia="SimSun" w:hAnsi="Times New Roman"/>
          <w:sz w:val="24"/>
          <w:szCs w:val="24"/>
        </w:rPr>
        <w:t xml:space="preserve"> също е ефективно. </w:t>
      </w:r>
    </w:p>
    <w:p w14:paraId="58C4479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Сетивните и дистоничните тикове се подават по-трудно на лечение. </w:t>
      </w:r>
    </w:p>
    <w:p w14:paraId="7CFADB7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Хиперактивното нарушение с дефицит на вниманието се повлиява от clonidine, трициклични антидепресанти, инхибитори на обратния захват на серотонина и някои стимуланти. </w:t>
      </w:r>
    </w:p>
    <w:p w14:paraId="3EC186B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Обсесивно-компулсивните разстройства се повлияват добре от инхибитори на обратния захват на серотонина. </w:t>
      </w:r>
    </w:p>
    <w:p w14:paraId="215A26AC" w14:textId="77777777" w:rsidR="00BE0B19" w:rsidRPr="00AE47C6" w:rsidRDefault="00BE0B19" w:rsidP="00BE0B19">
      <w:pPr>
        <w:spacing w:after="0" w:line="360" w:lineRule="auto"/>
        <w:jc w:val="both"/>
        <w:rPr>
          <w:rFonts w:ascii="Times New Roman" w:eastAsia="SimSun" w:hAnsi="Times New Roman"/>
          <w:sz w:val="24"/>
          <w:szCs w:val="24"/>
        </w:rPr>
      </w:pPr>
    </w:p>
    <w:p w14:paraId="1A8A688E"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55" w:name="_Toc155651775"/>
      <w:bookmarkStart w:id="156" w:name="_Toc164075907"/>
      <w:r w:rsidRPr="00AE47C6">
        <w:rPr>
          <w:rFonts w:ascii="Times New Roman" w:eastAsia="SimSun" w:hAnsi="Times New Roman"/>
          <w:b/>
          <w:sz w:val="24"/>
          <w:szCs w:val="20"/>
          <w:lang w:eastAsia="ja-JP"/>
        </w:rPr>
        <w:t>6.2.4. Миоклонии</w:t>
      </w:r>
      <w:bookmarkEnd w:id="155"/>
      <w:bookmarkEnd w:id="156"/>
    </w:p>
    <w:p w14:paraId="4AD9E1C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Представляват внезапни, бързи, краткотрайни, неволеви, неритмични, единични или повтарящи се контракции на един или група мускули или само част от него, предизвикани от невронен залп. Миоклоничното движение се състои от единично мускулно съкращение, което може да се повтаря и да предизвика движение на крайника или тялото. </w:t>
      </w:r>
    </w:p>
    <w:p w14:paraId="23B7997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Болестността</w:t>
      </w:r>
      <w:r w:rsidRPr="00AE47C6">
        <w:rPr>
          <w:rFonts w:ascii="Times New Roman" w:eastAsia="SimSun" w:hAnsi="Times New Roman"/>
          <w:sz w:val="24"/>
          <w:szCs w:val="24"/>
        </w:rPr>
        <w:t xml:space="preserve"> е 8,6 на 100 000 души население, което показва, че миоклониите са често срещано двигателно нарушение.</w:t>
      </w:r>
    </w:p>
    <w:p w14:paraId="55871B9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Класифицират се</w:t>
      </w:r>
      <w:r w:rsidRPr="00AE47C6">
        <w:rPr>
          <w:rFonts w:ascii="Times New Roman" w:eastAsia="SimSun" w:hAnsi="Times New Roman"/>
          <w:sz w:val="24"/>
          <w:szCs w:val="24"/>
        </w:rPr>
        <w:t xml:space="preserve"> според клиничните прояви, етиологията и патофизиологията. </w:t>
      </w:r>
    </w:p>
    <w:p w14:paraId="3B3AFE0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Според </w:t>
      </w:r>
      <w:r w:rsidRPr="00AE47C6">
        <w:rPr>
          <w:rFonts w:ascii="Times New Roman" w:eastAsia="SimSun" w:hAnsi="Times New Roman"/>
          <w:i/>
          <w:sz w:val="24"/>
          <w:szCs w:val="24"/>
        </w:rPr>
        <w:t>клиничните прояви</w:t>
      </w:r>
      <w:r w:rsidRPr="00AE47C6">
        <w:rPr>
          <w:rFonts w:ascii="Times New Roman" w:eastAsia="SimSun" w:hAnsi="Times New Roman"/>
          <w:sz w:val="24"/>
          <w:szCs w:val="24"/>
        </w:rPr>
        <w:t xml:space="preserve"> те могат да възникват спонтанно, да бъдат индуцирани от волева мускулна активност (акционни) или от външна сензорна стимулация (рефлексни). В други случаи миоклониите могат да персистират почти непрекъснато. Акционните миоклонии (позитивни и негативни) са най-инвалидизиращото двигателно нарушение, защото често се повтарят в някакъв ритъм, което възпрепятства извършването и на най-елементарните движения. </w:t>
      </w:r>
    </w:p>
    <w:p w14:paraId="6130EC0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Според </w:t>
      </w:r>
      <w:r w:rsidRPr="00AE47C6">
        <w:rPr>
          <w:rFonts w:ascii="Times New Roman" w:eastAsia="SimSun" w:hAnsi="Times New Roman"/>
          <w:i/>
          <w:sz w:val="24"/>
          <w:szCs w:val="24"/>
        </w:rPr>
        <w:t>анатомичните области</w:t>
      </w:r>
      <w:r w:rsidRPr="00AE47C6">
        <w:rPr>
          <w:rFonts w:ascii="Times New Roman" w:eastAsia="SimSun" w:hAnsi="Times New Roman"/>
          <w:sz w:val="24"/>
          <w:szCs w:val="24"/>
        </w:rPr>
        <w:t xml:space="preserve">, които обхващат могат да бъдат фокални (засягащи няколко съседни мускула), генерализирани (засягащи повечето мускулни групи), мултифокални (засягащи много мускули, но с различен тип миоклонии) или сегментни. </w:t>
      </w:r>
    </w:p>
    <w:p w14:paraId="2CDC727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Етиологичната класификация</w:t>
      </w:r>
      <w:r w:rsidRPr="00AE47C6">
        <w:rPr>
          <w:rFonts w:ascii="Times New Roman" w:eastAsia="SimSun" w:hAnsi="Times New Roman"/>
          <w:sz w:val="24"/>
          <w:szCs w:val="24"/>
        </w:rPr>
        <w:t xml:space="preserve"> дава информация за основното заболяване, предизвикващо миоклониите, възможността за неговото лечение и прогнозата при пациента. Миоклониите според етиологията се класифицират като физиологични, есенциални или симптоматични (епилептични или поради друга причина). </w:t>
      </w:r>
    </w:p>
    <w:p w14:paraId="201FD42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Симптоматичните миоклонии се появяват при множество неврологични заболявания, засягащи главния, гръбначния мозък и периферните нерви. Етиологията на миоклониите включва почти всички възможни неврологични увреждания. Те не могат да служат самостоятелно за поставяне на диагнозата, но обикновено се придружават от други неврологични симптоми. Заболяванията, при които миоклониите са единствен или основен неврологичен симптом, са аноксията (синдром на Lance-Adams), травмите, интоксикацията с бисмут и метаболитните нарушения (бъбречна недостатъчност, хипонатриемия, хипокалиемия и др.). Дегенеративните заболявания с късно начало, като прогресивна супрануклеарна парализа, оливопонтоцеребеларна атрофия и хорея на Huntington, могат да се проявят с основен симптом акционни миоклонии. Рефлексните миоклонии са основен симптом при кортико-базалната дегенерация и оливопонтоцеребеларната атрофия, както и при някои фамилии с хореята на Huntington. Фокалните лезии на централната нервна система могат да предизвикат фокални или сегментни миоклонии. Много медикаменти могат да предизвикат миоклонии. </w:t>
      </w:r>
    </w:p>
    <w:p w14:paraId="001A103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Идиопатичната епилепсия може да се проявява основно с миоклонии. Типични примери са детската бенигнена миоклония, миоклоничните абсанси, ювенилната миоклонична епилепсия на Janz и фотосензитивните епилептични миоклонии. В тези случаи миоклониите са генерализирани, възникват спонтанно и се провокират от безсъние и алкохол, могат да бъдат тригерирани от зрителни стимули. Миоклонии могат да се появят при пациенти с генерализирана тонично-клонична епилепсия при прогресираща енцефалопатия (прогресираща миоклонична епилепсия). </w:t>
      </w:r>
    </w:p>
    <w:p w14:paraId="02EBFA9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Различните видове миоклонии могат да се комбинират при един и същ пациент и в една и съща анатомична област. Често рефлексните и акционни миоклонии се намират комбинирано или спонтанните миоклонии се засилват при движение, а фокалните могат да се генерализират. </w:t>
      </w:r>
    </w:p>
    <w:p w14:paraId="31F98E6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Патофизиологичната класификация</w:t>
      </w:r>
      <w:r w:rsidRPr="00AE47C6">
        <w:rPr>
          <w:rFonts w:ascii="Times New Roman" w:eastAsia="SimSun" w:hAnsi="Times New Roman"/>
          <w:sz w:val="24"/>
          <w:szCs w:val="24"/>
        </w:rPr>
        <w:t xml:space="preserve"> указва механизмите на възникване на миоклониите. Често миоклонии с различна етиология, генетика и прогноза попадат в една и съща патофизиологична група, защото имат еднакви патофизиологични механизми на възникване. Според локализацията на генератора в нервната система миоклониите се класифицират в три големи групи: корови, подкорови (стволови) и гръбначно-мозъчни. Патофизиологично миоклониите се разделят и на две големи групи: епилептични и неепилептични. </w:t>
      </w:r>
    </w:p>
    <w:p w14:paraId="4DD9174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Групата на епилептичните включва рефлексните миоклонии (корови, ретикуларни и генерализирани – първично генерализирани епилептични миоклонии и фотични корови рефлексни миоклонии). Групата на неепилептичните включва физиологичните, есенциалните, палаталните, гръбначно-мозъчните, периферните, нощните и психогенните миоклонии, както и усиленият startle рефлекс. Корови и епилептични миоклонии, както и подкорови и неепилептични миоклонии са взаимнозаменяеми термини. Ретикуларните рефлексни миоклонии от групата на епилептичните се отличават, тъй като те са със стволов произход, тоест те са в групата на подкоровите. </w:t>
      </w:r>
    </w:p>
    <w:p w14:paraId="1C5F64F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Според ритмичността на тяхната поява, миоклониите могат да бъдат ритмични или неритмични. Ритмичните миоклонии са почти винаги спонтанни, фокални или сегментни. Могат да персистират по време на сън и се повлияват малко от сензорни стимули. Честотата е различна, но обикновено е ниска – от 1 до 4 Hz. Най-често срещани са спиналните миоклонии. </w:t>
      </w:r>
    </w:p>
    <w:p w14:paraId="12B00E5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Според мускулната контракция миоклониите се подразделят на позитивни, които са свързани с мускулна контракция и негативни. Негативните представляват краткотрайно прекъсване на извършващото се мускулното съкращение, което може да предизвика нарушение на позата на крайниците. </w:t>
      </w:r>
    </w:p>
    <w:p w14:paraId="0722566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Патофизиологията</w:t>
      </w:r>
      <w:r w:rsidRPr="00AE47C6">
        <w:rPr>
          <w:rFonts w:ascii="Times New Roman" w:eastAsia="SimSun" w:hAnsi="Times New Roman"/>
          <w:sz w:val="24"/>
          <w:szCs w:val="24"/>
        </w:rPr>
        <w:t xml:space="preserve"> е свързана с абнормна активност на мотоневрони и интерневрони, поради повишена активност или намалена инхибиция.</w:t>
      </w:r>
    </w:p>
    <w:p w14:paraId="4B59758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Клинично</w:t>
      </w:r>
      <w:r w:rsidRPr="00AE47C6">
        <w:rPr>
          <w:rFonts w:ascii="Times New Roman" w:eastAsia="SimSun" w:hAnsi="Times New Roman"/>
          <w:sz w:val="24"/>
          <w:szCs w:val="24"/>
        </w:rPr>
        <w:t xml:space="preserve"> миоклониите могат да бъдат с различна амплитуда, от ниско амплитудни до високо амплитудни, които предизвикват движение на крайника.</w:t>
      </w:r>
    </w:p>
    <w:p w14:paraId="41FD7F4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Диференциалната диагноза</w:t>
      </w:r>
      <w:r w:rsidRPr="00AE47C6">
        <w:rPr>
          <w:rFonts w:ascii="Times New Roman" w:eastAsia="SimSun" w:hAnsi="Times New Roman"/>
          <w:sz w:val="24"/>
          <w:szCs w:val="24"/>
        </w:rPr>
        <w:t xml:space="preserve"> се прави с други двигателни нарушения като клонус, тикове, хорея, постурален тремор, дистония и лицев хемиспазъм.</w:t>
      </w:r>
    </w:p>
    <w:p w14:paraId="3509719C" w14:textId="77777777" w:rsidR="00BE0B19" w:rsidRPr="00AE47C6" w:rsidRDefault="00BE0B19" w:rsidP="00BE0B19">
      <w:pPr>
        <w:spacing w:after="0" w:line="360" w:lineRule="auto"/>
        <w:ind w:firstLine="720"/>
        <w:jc w:val="both"/>
        <w:rPr>
          <w:rFonts w:ascii="Times New Roman" w:eastAsia="SimSun" w:hAnsi="Times New Roman"/>
          <w:b/>
          <w:sz w:val="24"/>
          <w:szCs w:val="24"/>
        </w:rPr>
      </w:pPr>
    </w:p>
    <w:p w14:paraId="46582FD5"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Неепилептични миоклонии</w:t>
      </w:r>
    </w:p>
    <w:p w14:paraId="402FE72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Тази група миоклонии се включват към двигателните нарушения, за разлика от епилептичните миоклонии. Засягат проксималните мускулни групи, докато епилептичните засягат дисталните.</w:t>
      </w:r>
    </w:p>
    <w:p w14:paraId="08C2B44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Ф</w:t>
      </w:r>
      <w:r w:rsidRPr="00AE47C6">
        <w:rPr>
          <w:rFonts w:ascii="Times New Roman" w:eastAsia="SimSun" w:hAnsi="Times New Roman"/>
          <w:b/>
          <w:sz w:val="24"/>
          <w:szCs w:val="24"/>
        </w:rPr>
        <w:t>изиологичните миоклонии</w:t>
      </w:r>
      <w:r w:rsidRPr="00AE47C6">
        <w:rPr>
          <w:rFonts w:ascii="Times New Roman" w:eastAsia="SimSun" w:hAnsi="Times New Roman"/>
          <w:sz w:val="24"/>
          <w:szCs w:val="24"/>
        </w:rPr>
        <w:t xml:space="preserve"> се появяват при здрави хора в определени обстоятелства и не се дължат на патологични увреждания. Нощните миоклонии, които засягат краката и по-рядко се разпространяват към цялото тяло преди заспиване са най-типични.</w:t>
      </w:r>
    </w:p>
    <w:p w14:paraId="308AF91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Есенциалните (фамилни) миоклонии</w:t>
      </w:r>
      <w:r w:rsidRPr="00AE47C6">
        <w:rPr>
          <w:rFonts w:ascii="Times New Roman" w:eastAsia="SimSun" w:hAnsi="Times New Roman"/>
          <w:sz w:val="24"/>
          <w:szCs w:val="24"/>
        </w:rPr>
        <w:t xml:space="preserve"> са наследствени заболявания с автозомно-доминантно унаследяване и включват миоклонус-дистонията. Въпреки че миоклониите са основна клинична проява, често те се комбинират с дистонични пози и движения. Често се комбинират и с постурален тремор.</w:t>
      </w:r>
    </w:p>
    <w:p w14:paraId="5E828D0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Гръбначно-мозъчни миоклонии</w:t>
      </w:r>
      <w:r w:rsidRPr="00AE47C6">
        <w:rPr>
          <w:rFonts w:ascii="Times New Roman" w:eastAsia="SimSun" w:hAnsi="Times New Roman"/>
          <w:sz w:val="24"/>
          <w:szCs w:val="24"/>
        </w:rPr>
        <w:t xml:space="preserve"> са редки и възникват вследствие на лезии в ствола или гръбначния мозък и абнормни разряди в гръбначно-мозъчните неврони. Рядко са идиопатични, най-често се наблюдават при дисков пролапс, шийна миелопатия, включително и посттравматична, сирингомиелия, тумори, миелит, дегенеративни и демиелинизиращи заболявания, спинална анестезия и контрастно гръбначно мозъчно изследване. Миоклониите са спонтанни, ритмични, симетрични и фокални, обхващат малки миотоми и рядко са зависими от стимули.</w:t>
      </w:r>
    </w:p>
    <w:p w14:paraId="5169C6D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 xml:space="preserve">Проприоспиналните миоклонии </w:t>
      </w:r>
      <w:r w:rsidRPr="00AE47C6">
        <w:rPr>
          <w:rFonts w:ascii="Times New Roman" w:eastAsia="SimSun" w:hAnsi="Times New Roman"/>
          <w:sz w:val="24"/>
          <w:szCs w:val="24"/>
        </w:rPr>
        <w:t>засягат аксиалните флексионни и по-рядко екстензионни мускули на тялото и коремните мускули. Водят до повтаряща се симетрична флексия на шията, тялото, бедрата или коленете.</w:t>
      </w:r>
    </w:p>
    <w:p w14:paraId="61FE433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Периферните миоклонии</w:t>
      </w:r>
      <w:r w:rsidRPr="00AE47C6">
        <w:rPr>
          <w:rFonts w:ascii="Times New Roman" w:eastAsia="SimSun" w:hAnsi="Times New Roman"/>
          <w:sz w:val="24"/>
          <w:szCs w:val="24"/>
        </w:rPr>
        <w:t xml:space="preserve"> се наблюдават при лезии на гръбначно-мозъчните коренчета, плексуси или периферен нерв и атрофия на Sudeck.</w:t>
      </w:r>
    </w:p>
    <w:p w14:paraId="7266047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Лицевите миоклонии</w:t>
      </w:r>
      <w:r w:rsidRPr="00AE47C6">
        <w:rPr>
          <w:rFonts w:ascii="Times New Roman" w:eastAsia="SimSun" w:hAnsi="Times New Roman"/>
          <w:sz w:val="24"/>
          <w:szCs w:val="24"/>
        </w:rPr>
        <w:t xml:space="preserve"> могат да възникнат при здрави хора след преумора, злоупотреба с алкохол или тютюнопушене, при лицев хемиспазъм и след фокална увреда на мозъчния ствол.</w:t>
      </w:r>
    </w:p>
    <w:p w14:paraId="4EC59DB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Аксиалните миоклонии</w:t>
      </w:r>
      <w:r w:rsidRPr="00AE47C6">
        <w:rPr>
          <w:rFonts w:ascii="Times New Roman" w:eastAsia="SimSun" w:hAnsi="Times New Roman"/>
          <w:sz w:val="24"/>
          <w:szCs w:val="24"/>
        </w:rPr>
        <w:t xml:space="preserve"> на шията и тялото са сегментни и ритмични. Получават се при лезии на ствола, малформация на Arnold-Chiari и увреждания на горния цервикален отдел на гръбначния мозък.</w:t>
      </w:r>
    </w:p>
    <w:p w14:paraId="0E3FA17D"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3A22FA7F"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Лечение на миоклониите</w:t>
      </w:r>
    </w:p>
    <w:p w14:paraId="6AF0BBE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Гръбначно-мозъчните миоклонии нямат специфично лечение и трябва да се лекува основното заболяване. Известен ефект може да има от приложението на </w:t>
      </w:r>
      <w:r w:rsidRPr="00AE47C6">
        <w:rPr>
          <w:rFonts w:ascii="Times New Roman" w:eastAsia="SimSun" w:hAnsi="Times New Roman"/>
          <w:i/>
          <w:sz w:val="24"/>
          <w:szCs w:val="24"/>
        </w:rPr>
        <w:t>clonazepam,</w:t>
      </w:r>
      <w:r w:rsidRPr="00AE47C6">
        <w:rPr>
          <w:rFonts w:ascii="Times New Roman" w:eastAsia="SimSun" w:hAnsi="Times New Roman"/>
          <w:sz w:val="24"/>
          <w:szCs w:val="24"/>
        </w:rPr>
        <w:t xml:space="preserve"> глициновия инхибитор </w:t>
      </w:r>
      <w:r w:rsidRPr="00AE47C6">
        <w:rPr>
          <w:rFonts w:ascii="Times New Roman" w:eastAsia="SimSun" w:hAnsi="Times New Roman"/>
          <w:i/>
          <w:sz w:val="24"/>
          <w:szCs w:val="24"/>
        </w:rPr>
        <w:t>levetiracetam, carbamazepine и tetrabenazine</w:t>
      </w:r>
      <w:r w:rsidRPr="00AE47C6">
        <w:rPr>
          <w:rFonts w:ascii="Times New Roman" w:eastAsia="SimSun" w:hAnsi="Times New Roman"/>
          <w:sz w:val="24"/>
          <w:szCs w:val="24"/>
        </w:rPr>
        <w:t xml:space="preserve">. </w:t>
      </w:r>
    </w:p>
    <w:p w14:paraId="306601C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Нощните миоклонии, ако нарушават заспиването се повлияват от 1-3 mg clonazepam преди сън.</w:t>
      </w:r>
    </w:p>
    <w:p w14:paraId="545F4693" w14:textId="77777777" w:rsidR="00BE0B19" w:rsidRPr="00AE47C6" w:rsidRDefault="00BE0B19" w:rsidP="00BE0B19">
      <w:pPr>
        <w:keepNext/>
        <w:keepLines/>
        <w:pageBreakBefore/>
        <w:spacing w:before="480" w:after="480"/>
        <w:outlineLvl w:val="0"/>
        <w:rPr>
          <w:rFonts w:ascii="Times New Roman" w:eastAsia="SimSun" w:hAnsi="Times New Roman"/>
          <w:b/>
          <w:bCs/>
          <w:sz w:val="28"/>
          <w:szCs w:val="28"/>
        </w:rPr>
      </w:pPr>
      <w:bookmarkStart w:id="157" w:name="_Toc155651776"/>
      <w:bookmarkStart w:id="158" w:name="_Toc164075908"/>
      <w:r w:rsidRPr="00AE47C6">
        <w:rPr>
          <w:rFonts w:ascii="Times New Roman" w:eastAsia="SimSun" w:hAnsi="Times New Roman"/>
          <w:b/>
          <w:bCs/>
          <w:sz w:val="28"/>
          <w:szCs w:val="28"/>
        </w:rPr>
        <w:t>7. Деменции</w:t>
      </w:r>
      <w:bookmarkEnd w:id="157"/>
      <w:bookmarkEnd w:id="158"/>
    </w:p>
    <w:p w14:paraId="662344F9" w14:textId="77777777" w:rsidR="00BE0B19" w:rsidRPr="00AE47C6" w:rsidRDefault="00BE0B19" w:rsidP="00BE0B19">
      <w:pPr>
        <w:spacing w:after="0" w:line="360" w:lineRule="auto"/>
        <w:ind w:firstLine="709"/>
        <w:jc w:val="both"/>
        <w:rPr>
          <w:rFonts w:ascii="Times New Roman" w:eastAsia="SimSun" w:hAnsi="Times New Roman"/>
          <w:snapToGrid w:val="0"/>
          <w:sz w:val="24"/>
          <w:szCs w:val="24"/>
        </w:rPr>
      </w:pPr>
      <w:r w:rsidRPr="00AE47C6">
        <w:rPr>
          <w:rFonts w:ascii="Times New Roman" w:eastAsia="SimSun" w:hAnsi="Times New Roman"/>
          <w:b/>
          <w:iCs/>
          <w:snapToGrid w:val="0"/>
          <w:sz w:val="24"/>
          <w:szCs w:val="24"/>
        </w:rPr>
        <w:t>Определение.</w:t>
      </w:r>
      <w:r w:rsidRPr="00AE47C6">
        <w:rPr>
          <w:rFonts w:ascii="Times New Roman" w:eastAsia="SimSun" w:hAnsi="Times New Roman"/>
          <w:snapToGrid w:val="0"/>
          <w:sz w:val="24"/>
          <w:szCs w:val="24"/>
        </w:rPr>
        <w:t xml:space="preserve"> Деменцията е синдром, който се характеризира с упадък на множество когнитивни функции, достатъчно значим, за да наруши ежедневните дейности на болните и появяващ се при нормална степен на съзнание.</w:t>
      </w:r>
    </w:p>
    <w:p w14:paraId="721A00E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napToGrid w:val="0"/>
          <w:sz w:val="24"/>
          <w:szCs w:val="24"/>
        </w:rPr>
        <w:t>Епидемиология.</w:t>
      </w:r>
      <w:r w:rsidRPr="00AE47C6">
        <w:rPr>
          <w:rFonts w:ascii="Times New Roman" w:eastAsia="SimSun" w:hAnsi="Times New Roman"/>
          <w:snapToGrid w:val="0"/>
          <w:sz w:val="24"/>
          <w:szCs w:val="24"/>
        </w:rPr>
        <w:t xml:space="preserve"> Проучванията в областта на деменциите придобиват </w:t>
      </w:r>
      <w:r w:rsidRPr="00AE47C6">
        <w:rPr>
          <w:rFonts w:ascii="Times New Roman" w:eastAsia="SimSun" w:hAnsi="Times New Roman"/>
          <w:sz w:val="24"/>
          <w:szCs w:val="24"/>
        </w:rPr>
        <w:t xml:space="preserve">изключително значение, поради увеличаването на средната продължителност на живота на хората. Проведено през последните години проучване установява, че 24 милиона души страдат от деменция и че този брой ще се удвоява на всеки 20 години, до 42 милиона през 2020 и 81 милиона през 2040. Заболеваемостта нараства значително с възрастта, като се удвоява за всеки 5 години след 60 годишна възраст. </w:t>
      </w:r>
      <w:r w:rsidRPr="00AE47C6">
        <w:rPr>
          <w:rFonts w:ascii="Times New Roman" w:eastAsia="SimSun" w:hAnsi="Times New Roman"/>
          <w:snapToGrid w:val="0"/>
          <w:sz w:val="24"/>
          <w:szCs w:val="24"/>
        </w:rPr>
        <w:t>Болестта на Alzheimer</w:t>
      </w:r>
      <w:r w:rsidRPr="00AE47C6">
        <w:rPr>
          <w:rFonts w:ascii="Times New Roman" w:eastAsia="SimSun" w:hAnsi="Times New Roman"/>
          <w:sz w:val="24"/>
          <w:szCs w:val="24"/>
        </w:rPr>
        <w:t xml:space="preserve"> (БА) е причина за възникване на приблизително 55% от случаите на деменция в третата възраст. Следват съдовата деменция (СД), която е причина за 15% от деменциите, </w:t>
      </w:r>
      <w:r w:rsidRPr="00AE47C6">
        <w:rPr>
          <w:rFonts w:ascii="Times New Roman" w:eastAsia="SimSun" w:hAnsi="Times New Roman"/>
          <w:snapToGrid w:val="0"/>
          <w:sz w:val="24"/>
          <w:szCs w:val="24"/>
        </w:rPr>
        <w:t>болестта с дифузни телца на Lewy</w:t>
      </w:r>
      <w:r w:rsidRPr="00AE47C6">
        <w:rPr>
          <w:rFonts w:ascii="Times New Roman" w:eastAsia="SimSun" w:hAnsi="Times New Roman"/>
          <w:sz w:val="24"/>
          <w:szCs w:val="24"/>
        </w:rPr>
        <w:t xml:space="preserve"> (БДТЛ) (10%), фронто–темпоралната (ФТД) (10%) и подкоровите дегенеративни деменции (5%). Останалите форми представляват общо 5% от всички деменции.</w:t>
      </w:r>
    </w:p>
    <w:p w14:paraId="6AA1DF8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Епидемиологичните проучвания у нас установяват статистически достоверни резултати за болестността от деменция и леки когнитивни нарушения в извадка от българско градско население, равняващи се съответно на 7,2% и 6,7%, като болестността е 3,1% за БА, 2% за СД и 1,3% за СмД. Стойностите са съизмерими с установените в европейски и световни проучвания. Резултатите показват, че в България има около 90-100 000 болни страдащи от различни форми на деменция, а тези с БА са приблизително 60-70 000.</w:t>
      </w:r>
    </w:p>
    <w:p w14:paraId="5F094C0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napToGrid w:val="0"/>
          <w:sz w:val="24"/>
          <w:szCs w:val="24"/>
        </w:rPr>
        <w:t xml:space="preserve">Етиологията </w:t>
      </w:r>
      <w:r w:rsidRPr="00AE47C6">
        <w:rPr>
          <w:rFonts w:ascii="Times New Roman" w:eastAsia="SimSun" w:hAnsi="Times New Roman"/>
          <w:snapToGrid w:val="0"/>
          <w:sz w:val="24"/>
          <w:szCs w:val="24"/>
        </w:rPr>
        <w:t xml:space="preserve">е свързана с различни причини: съдови, инфекции, травма, интоксикации, както и генетични, метаболитни и неопластични заболявания. Този етиологичен подход не е достатъчно изчерпателен, поради липсата на ясно дефинирана причина за голям брой от деменциите, като например </w:t>
      </w:r>
      <w:r w:rsidRPr="00AE47C6">
        <w:rPr>
          <w:rFonts w:ascii="Times New Roman" w:eastAsia="SimSun" w:hAnsi="Times New Roman"/>
          <w:sz w:val="24"/>
          <w:szCs w:val="24"/>
        </w:rPr>
        <w:t>БА</w:t>
      </w:r>
      <w:r w:rsidRPr="00AE47C6">
        <w:rPr>
          <w:rFonts w:ascii="Times New Roman" w:eastAsia="SimSun" w:hAnsi="Times New Roman"/>
          <w:snapToGrid w:val="0"/>
          <w:sz w:val="24"/>
          <w:szCs w:val="24"/>
        </w:rPr>
        <w:t xml:space="preserve">. За класифицирането на тези заболявания е възприет терминът „дегенеративни”, въпреки липсата на ясна дефиниция за дегенеративно заболяване. Според едно от най–разпространените определения, дегенеративен означава, освен липса на етиология – прогресивен ход, необратимост на промените и липса на етиологично лечение. </w:t>
      </w:r>
      <w:r w:rsidRPr="00AE47C6">
        <w:rPr>
          <w:rFonts w:ascii="Times New Roman" w:eastAsia="SimSun" w:hAnsi="Times New Roman"/>
          <w:sz w:val="24"/>
          <w:szCs w:val="24"/>
        </w:rPr>
        <w:t xml:space="preserve">При невродегенеративните заболявания се идентифицират все повече нарушения в продукцията, агрегацията, метаболизма и разграждането на протеините. Нарушения в три протеина играят основна роля при повече от 90% от всички невродегенеративни заболявания: </w:t>
      </w:r>
      <w:r w:rsidRPr="00AE47C6">
        <w:rPr>
          <w:rFonts w:ascii="Times New Roman" w:eastAsia="SimSun" w:hAnsi="Times New Roman"/>
          <w:i/>
          <w:sz w:val="24"/>
          <w:szCs w:val="24"/>
        </w:rPr>
        <w:t xml:space="preserve">амилоид бета </w:t>
      </w:r>
      <w:r w:rsidRPr="00AE47C6">
        <w:rPr>
          <w:rFonts w:ascii="Times New Roman" w:eastAsia="SimSun" w:hAnsi="Times New Roman"/>
          <w:sz w:val="24"/>
          <w:szCs w:val="24"/>
        </w:rPr>
        <w:t xml:space="preserve">протеин, </w:t>
      </w:r>
      <w:r w:rsidRPr="00AE47C6">
        <w:rPr>
          <w:rFonts w:ascii="Times New Roman" w:eastAsia="SimSun" w:hAnsi="Times New Roman"/>
          <w:i/>
          <w:sz w:val="24"/>
          <w:szCs w:val="24"/>
        </w:rPr>
        <w:t xml:space="preserve">Тау </w:t>
      </w:r>
      <w:r w:rsidRPr="00AE47C6">
        <w:rPr>
          <w:rFonts w:ascii="Times New Roman" w:eastAsia="SimSun" w:hAnsi="Times New Roman"/>
          <w:sz w:val="24"/>
          <w:szCs w:val="24"/>
        </w:rPr>
        <w:t xml:space="preserve">протеин и </w:t>
      </w:r>
      <w:r w:rsidRPr="00AE47C6">
        <w:rPr>
          <w:rFonts w:ascii="Times New Roman" w:eastAsia="SimSun" w:hAnsi="Times New Roman"/>
          <w:i/>
          <w:sz w:val="24"/>
          <w:szCs w:val="24"/>
        </w:rPr>
        <w:t>алфа-синуклеин</w:t>
      </w:r>
      <w:r w:rsidRPr="00AE47C6">
        <w:rPr>
          <w:rFonts w:ascii="Times New Roman" w:eastAsia="SimSun" w:hAnsi="Times New Roman"/>
          <w:sz w:val="24"/>
          <w:szCs w:val="24"/>
        </w:rPr>
        <w:t>.</w:t>
      </w:r>
    </w:p>
    <w:p w14:paraId="02B6B0C4" w14:textId="77777777" w:rsidR="00BE0B19" w:rsidRPr="00AE47C6" w:rsidRDefault="00BE0B19" w:rsidP="00BE0B19">
      <w:pPr>
        <w:spacing w:after="0" w:line="360" w:lineRule="auto"/>
        <w:ind w:firstLine="709"/>
        <w:contextualSpacing/>
        <w:jc w:val="both"/>
        <w:rPr>
          <w:rFonts w:ascii="Times New Roman" w:eastAsia="SimSun" w:hAnsi="Times New Roman"/>
          <w:b/>
          <w:sz w:val="24"/>
          <w:szCs w:val="24"/>
        </w:rPr>
      </w:pPr>
    </w:p>
    <w:p w14:paraId="35A80B39" w14:textId="77777777" w:rsidR="00BE0B19" w:rsidRPr="00AE47C6" w:rsidRDefault="00BE0B19" w:rsidP="00BE0B19">
      <w:pPr>
        <w:spacing w:after="0" w:line="360" w:lineRule="auto"/>
        <w:ind w:firstLine="709"/>
        <w:contextualSpacing/>
        <w:jc w:val="both"/>
        <w:rPr>
          <w:rFonts w:ascii="Times New Roman" w:eastAsia="SimSun" w:hAnsi="Times New Roman"/>
          <w:b/>
          <w:snapToGrid w:val="0"/>
          <w:sz w:val="24"/>
          <w:szCs w:val="24"/>
        </w:rPr>
      </w:pPr>
      <w:r w:rsidRPr="00AE47C6">
        <w:rPr>
          <w:rFonts w:ascii="Times New Roman" w:eastAsia="SimSun" w:hAnsi="Times New Roman"/>
          <w:b/>
          <w:sz w:val="24"/>
          <w:szCs w:val="24"/>
        </w:rPr>
        <w:t>Класификация на деменциите:</w:t>
      </w:r>
    </w:p>
    <w:p w14:paraId="0AC35025" w14:textId="77777777" w:rsidR="00BE0B19" w:rsidRPr="00AE47C6" w:rsidRDefault="00BE0B19" w:rsidP="00BE0B19">
      <w:pPr>
        <w:spacing w:after="0" w:line="360" w:lineRule="auto"/>
        <w:ind w:firstLine="709"/>
        <w:contextualSpacing/>
        <w:jc w:val="both"/>
        <w:rPr>
          <w:rFonts w:ascii="Times New Roman" w:eastAsia="SimSun" w:hAnsi="Times New Roman"/>
          <w:b/>
          <w:i/>
          <w:snapToGrid w:val="0"/>
          <w:sz w:val="24"/>
          <w:szCs w:val="24"/>
        </w:rPr>
      </w:pPr>
      <w:r w:rsidRPr="00AE47C6">
        <w:rPr>
          <w:rFonts w:ascii="Times New Roman" w:eastAsia="SimSun" w:hAnsi="Times New Roman"/>
          <w:b/>
          <w:i/>
          <w:snapToGrid w:val="0"/>
          <w:sz w:val="24"/>
          <w:szCs w:val="24"/>
        </w:rPr>
        <w:t>Дегенеративни заболявания</w:t>
      </w:r>
    </w:p>
    <w:p w14:paraId="01E65C09" w14:textId="77777777" w:rsidR="00BE0B19" w:rsidRPr="00AE47C6" w:rsidRDefault="00BE0B19" w:rsidP="00BE0B19">
      <w:pPr>
        <w:spacing w:after="0" w:line="360" w:lineRule="auto"/>
        <w:ind w:firstLine="1430"/>
        <w:contextualSpacing/>
        <w:jc w:val="both"/>
        <w:rPr>
          <w:rFonts w:ascii="Times New Roman" w:eastAsia="SimSun" w:hAnsi="Times New Roman"/>
          <w:i/>
          <w:snapToGrid w:val="0"/>
          <w:sz w:val="24"/>
          <w:szCs w:val="24"/>
        </w:rPr>
      </w:pPr>
      <w:r w:rsidRPr="00AE47C6">
        <w:rPr>
          <w:rFonts w:ascii="Times New Roman" w:eastAsia="SimSun" w:hAnsi="Times New Roman"/>
          <w:i/>
          <w:snapToGrid w:val="0"/>
          <w:sz w:val="24"/>
          <w:szCs w:val="24"/>
        </w:rPr>
        <w:t xml:space="preserve">Корови дегенеративни заболявания </w:t>
      </w:r>
    </w:p>
    <w:p w14:paraId="7D656868" w14:textId="77777777" w:rsidR="00BE0B19" w:rsidRPr="00AE47C6" w:rsidRDefault="00BE0B19" w:rsidP="00BE0B19">
      <w:pPr>
        <w:spacing w:after="0" w:line="360" w:lineRule="auto"/>
        <w:ind w:firstLine="1430"/>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Болест на Alzheimer</w:t>
      </w:r>
    </w:p>
    <w:p w14:paraId="36636541" w14:textId="77777777" w:rsidR="00BE0B19" w:rsidRPr="00AE47C6" w:rsidRDefault="00BE0B19" w:rsidP="00BE0B19">
      <w:pPr>
        <w:spacing w:after="0" w:line="360" w:lineRule="auto"/>
        <w:ind w:firstLine="1430"/>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Фронто–темпорална деменция</w:t>
      </w:r>
    </w:p>
    <w:p w14:paraId="1E3048C1" w14:textId="77777777" w:rsidR="00BE0B19" w:rsidRPr="00AE47C6" w:rsidRDefault="00BE0B19" w:rsidP="00BE0B19">
      <w:pPr>
        <w:spacing w:after="0" w:line="360" w:lineRule="auto"/>
        <w:ind w:firstLine="1430"/>
        <w:contextualSpacing/>
        <w:jc w:val="both"/>
        <w:rPr>
          <w:rFonts w:ascii="Times New Roman" w:eastAsia="SimSun" w:hAnsi="Times New Roman"/>
          <w:sz w:val="24"/>
          <w:szCs w:val="24"/>
        </w:rPr>
      </w:pPr>
      <w:r w:rsidRPr="00AE47C6">
        <w:rPr>
          <w:rFonts w:ascii="Times New Roman" w:eastAsia="SimSun" w:hAnsi="Times New Roman"/>
          <w:sz w:val="24"/>
          <w:szCs w:val="24"/>
        </w:rPr>
        <w:t>Болест с дифузни телца на Lewy</w:t>
      </w:r>
    </w:p>
    <w:p w14:paraId="3D63DB4C" w14:textId="77777777" w:rsidR="00BE0B19" w:rsidRPr="00AE47C6" w:rsidRDefault="00BE0B19" w:rsidP="00BE0B19">
      <w:pPr>
        <w:spacing w:after="0" w:line="360" w:lineRule="auto"/>
        <w:ind w:firstLine="1430"/>
        <w:contextualSpacing/>
        <w:jc w:val="both"/>
        <w:rPr>
          <w:rFonts w:ascii="Times New Roman" w:eastAsia="SimSun" w:hAnsi="Times New Roman"/>
          <w:i/>
          <w:sz w:val="24"/>
          <w:szCs w:val="24"/>
        </w:rPr>
      </w:pPr>
      <w:r w:rsidRPr="00AE47C6">
        <w:rPr>
          <w:rFonts w:ascii="Times New Roman" w:eastAsia="SimSun" w:hAnsi="Times New Roman"/>
          <w:i/>
          <w:snapToGrid w:val="0"/>
          <w:sz w:val="24"/>
          <w:szCs w:val="24"/>
        </w:rPr>
        <w:t xml:space="preserve">Подкорови дегенеративни заболявания </w:t>
      </w:r>
    </w:p>
    <w:p w14:paraId="3AE0BB84" w14:textId="77777777" w:rsidR="00BE0B19" w:rsidRPr="00AE47C6" w:rsidRDefault="00BE0B19" w:rsidP="00BE0B19">
      <w:pPr>
        <w:spacing w:after="0" w:line="360" w:lineRule="auto"/>
        <w:ind w:firstLine="1430"/>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Болест на Parkinson</w:t>
      </w:r>
    </w:p>
    <w:p w14:paraId="5A8686AD" w14:textId="77777777" w:rsidR="00BE0B19" w:rsidRPr="00AE47C6" w:rsidRDefault="00BE0B19" w:rsidP="00BE0B19">
      <w:pPr>
        <w:spacing w:after="0" w:line="360" w:lineRule="auto"/>
        <w:ind w:firstLine="1430"/>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Болест на Huntington</w:t>
      </w:r>
    </w:p>
    <w:p w14:paraId="75E97EE0" w14:textId="77777777" w:rsidR="00BE0B19" w:rsidRPr="00AE47C6" w:rsidRDefault="00BE0B19" w:rsidP="00BE0B19">
      <w:pPr>
        <w:spacing w:after="0" w:line="360" w:lineRule="auto"/>
        <w:ind w:firstLine="1430"/>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Прогресивна супрануклеарна парализа</w:t>
      </w:r>
    </w:p>
    <w:p w14:paraId="19B54406" w14:textId="77777777" w:rsidR="00BE0B19" w:rsidRPr="00AE47C6" w:rsidRDefault="00BE0B19" w:rsidP="00BE0B19">
      <w:pPr>
        <w:spacing w:after="0" w:line="360" w:lineRule="auto"/>
        <w:ind w:firstLine="1430"/>
        <w:contextualSpacing/>
        <w:jc w:val="both"/>
        <w:rPr>
          <w:rFonts w:ascii="Times New Roman" w:eastAsia="SimSun" w:hAnsi="Times New Roman"/>
          <w:snapToGrid w:val="0"/>
          <w:sz w:val="24"/>
          <w:szCs w:val="24"/>
        </w:rPr>
      </w:pPr>
      <w:r w:rsidRPr="00AE47C6">
        <w:rPr>
          <w:rFonts w:ascii="Times New Roman" w:eastAsia="SimSun" w:hAnsi="Times New Roman"/>
          <w:sz w:val="24"/>
          <w:szCs w:val="24"/>
        </w:rPr>
        <w:t>Мултисистемна атрофия</w:t>
      </w:r>
    </w:p>
    <w:p w14:paraId="59FF5C57" w14:textId="77777777" w:rsidR="00BE0B19" w:rsidRPr="00AE47C6" w:rsidRDefault="00BE0B19" w:rsidP="00BE0B19">
      <w:pPr>
        <w:spacing w:after="0" w:line="360" w:lineRule="auto"/>
        <w:ind w:firstLine="1430"/>
        <w:contextualSpacing/>
        <w:jc w:val="both"/>
        <w:rPr>
          <w:rFonts w:ascii="Times New Roman" w:eastAsia="SimSun" w:hAnsi="Times New Roman"/>
          <w:sz w:val="24"/>
          <w:szCs w:val="24"/>
        </w:rPr>
      </w:pPr>
      <w:r w:rsidRPr="00AE47C6">
        <w:rPr>
          <w:rFonts w:ascii="Times New Roman" w:eastAsia="SimSun" w:hAnsi="Times New Roman"/>
          <w:sz w:val="24"/>
          <w:szCs w:val="24"/>
        </w:rPr>
        <w:t>Кортикобазална дегенерация</w:t>
      </w:r>
    </w:p>
    <w:p w14:paraId="34865E5B" w14:textId="77777777" w:rsidR="00BE0B19" w:rsidRPr="00AE47C6" w:rsidRDefault="00BE0B19" w:rsidP="00BE0B19">
      <w:pPr>
        <w:spacing w:after="0" w:line="360" w:lineRule="auto"/>
        <w:ind w:firstLine="709"/>
        <w:contextualSpacing/>
        <w:jc w:val="both"/>
        <w:rPr>
          <w:rFonts w:ascii="Times New Roman" w:eastAsia="SimSun" w:hAnsi="Times New Roman"/>
          <w:b/>
          <w:i/>
          <w:snapToGrid w:val="0"/>
          <w:sz w:val="24"/>
          <w:szCs w:val="24"/>
        </w:rPr>
      </w:pPr>
      <w:r w:rsidRPr="00AE47C6">
        <w:rPr>
          <w:rFonts w:ascii="Times New Roman" w:eastAsia="SimSun" w:hAnsi="Times New Roman"/>
          <w:b/>
          <w:i/>
          <w:snapToGrid w:val="0"/>
          <w:sz w:val="24"/>
          <w:szCs w:val="24"/>
        </w:rPr>
        <w:t>Съдови заболявания</w:t>
      </w:r>
    </w:p>
    <w:p w14:paraId="21DEA05A" w14:textId="77777777" w:rsidR="00BE0B19" w:rsidRPr="00AE47C6" w:rsidRDefault="00BE0B19" w:rsidP="00BE0B19">
      <w:pPr>
        <w:spacing w:after="0" w:line="360" w:lineRule="auto"/>
        <w:ind w:firstLine="1430"/>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Мултиинфарктна деменция</w:t>
      </w:r>
    </w:p>
    <w:p w14:paraId="74BA679F" w14:textId="77777777" w:rsidR="00BE0B19" w:rsidRPr="00AE47C6" w:rsidRDefault="00BE0B19" w:rsidP="00BE0B19">
      <w:pPr>
        <w:spacing w:after="0" w:line="360" w:lineRule="auto"/>
        <w:ind w:firstLine="1430"/>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 xml:space="preserve">Подкорова съдова деменция </w:t>
      </w:r>
    </w:p>
    <w:p w14:paraId="2E26312E" w14:textId="77777777" w:rsidR="00BE0B19" w:rsidRPr="00AE47C6" w:rsidRDefault="00BE0B19" w:rsidP="00BE0B19">
      <w:pPr>
        <w:spacing w:after="0" w:line="360" w:lineRule="auto"/>
        <w:ind w:firstLine="709"/>
        <w:contextualSpacing/>
        <w:jc w:val="both"/>
        <w:rPr>
          <w:rFonts w:ascii="Times New Roman" w:eastAsia="SimSun" w:hAnsi="Times New Roman"/>
          <w:b/>
          <w:i/>
          <w:sz w:val="24"/>
          <w:szCs w:val="24"/>
        </w:rPr>
      </w:pPr>
      <w:r w:rsidRPr="00AE47C6">
        <w:rPr>
          <w:rFonts w:ascii="Times New Roman" w:eastAsia="SimSun" w:hAnsi="Times New Roman"/>
          <w:b/>
          <w:i/>
          <w:sz w:val="24"/>
          <w:szCs w:val="24"/>
        </w:rPr>
        <w:t xml:space="preserve">Метаболитно/Ендокринни заболявания </w:t>
      </w:r>
    </w:p>
    <w:p w14:paraId="0A397347" w14:textId="77777777" w:rsidR="00BE0B19" w:rsidRPr="00AE47C6" w:rsidRDefault="00BE0B19" w:rsidP="00BE0B19">
      <w:pPr>
        <w:spacing w:after="0" w:line="360" w:lineRule="auto"/>
        <w:ind w:firstLine="1430"/>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Болест на Wilson</w:t>
      </w:r>
    </w:p>
    <w:p w14:paraId="59081BCB" w14:textId="77777777" w:rsidR="00BE0B19" w:rsidRPr="00AE47C6" w:rsidRDefault="00BE0B19" w:rsidP="00BE0B19">
      <w:pPr>
        <w:spacing w:after="0" w:line="360" w:lineRule="auto"/>
        <w:ind w:firstLine="1430"/>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Хипотиреоидизъм</w:t>
      </w:r>
    </w:p>
    <w:p w14:paraId="271F3302" w14:textId="77777777" w:rsidR="00BE0B19" w:rsidRPr="00AE47C6" w:rsidRDefault="00BE0B19" w:rsidP="00BE0B19">
      <w:pPr>
        <w:spacing w:after="0" w:line="360" w:lineRule="auto"/>
        <w:ind w:firstLine="1430"/>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Дефицит на витамин B</w:t>
      </w:r>
      <w:r w:rsidRPr="00AE47C6">
        <w:rPr>
          <w:rFonts w:ascii="Times New Roman" w:eastAsia="SimSun" w:hAnsi="Times New Roman"/>
          <w:snapToGrid w:val="0"/>
          <w:sz w:val="24"/>
          <w:szCs w:val="24"/>
          <w:vertAlign w:val="subscript"/>
        </w:rPr>
        <w:t>12</w:t>
      </w:r>
      <w:r w:rsidRPr="00AE47C6">
        <w:rPr>
          <w:rFonts w:ascii="Times New Roman" w:eastAsia="SimSun" w:hAnsi="Times New Roman"/>
          <w:snapToGrid w:val="0"/>
          <w:sz w:val="24"/>
          <w:szCs w:val="24"/>
        </w:rPr>
        <w:t xml:space="preserve"> или фолиева киселина</w:t>
      </w:r>
    </w:p>
    <w:p w14:paraId="72F49BA8" w14:textId="77777777" w:rsidR="00BE0B19" w:rsidRPr="00AE47C6" w:rsidRDefault="00BE0B19" w:rsidP="00BE0B19">
      <w:pPr>
        <w:spacing w:after="0" w:line="360" w:lineRule="auto"/>
        <w:ind w:firstLine="709"/>
        <w:contextualSpacing/>
        <w:jc w:val="both"/>
        <w:rPr>
          <w:rFonts w:ascii="Times New Roman" w:eastAsia="SimSun" w:hAnsi="Times New Roman"/>
          <w:i/>
        </w:rPr>
      </w:pPr>
      <w:r w:rsidRPr="00AE47C6">
        <w:rPr>
          <w:rFonts w:ascii="Times New Roman" w:eastAsia="SimSun" w:hAnsi="Times New Roman"/>
          <w:i/>
        </w:rPr>
        <w:tab/>
      </w:r>
      <w:r w:rsidRPr="00AE47C6">
        <w:rPr>
          <w:rFonts w:ascii="Times New Roman" w:eastAsia="SimSun" w:hAnsi="Times New Roman"/>
          <w:b/>
          <w:i/>
          <w:snapToGrid w:val="0"/>
          <w:sz w:val="24"/>
          <w:szCs w:val="24"/>
        </w:rPr>
        <w:t>Инфекции</w:t>
      </w:r>
      <w:r w:rsidRPr="00AE47C6">
        <w:rPr>
          <w:rFonts w:ascii="Times New Roman" w:eastAsia="SimSun" w:hAnsi="Times New Roman"/>
          <w:i/>
        </w:rPr>
        <w:t xml:space="preserve"> </w:t>
      </w:r>
    </w:p>
    <w:p w14:paraId="2D046442" w14:textId="77777777" w:rsidR="00BE0B19" w:rsidRPr="00AE47C6" w:rsidRDefault="00BE0B19" w:rsidP="00BE0B19">
      <w:pPr>
        <w:spacing w:after="0" w:line="360" w:lineRule="auto"/>
        <w:ind w:firstLine="1540"/>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Луес</w:t>
      </w:r>
    </w:p>
    <w:p w14:paraId="1C8704EE" w14:textId="77777777" w:rsidR="00BE0B19" w:rsidRPr="00AE47C6" w:rsidRDefault="00BE0B19" w:rsidP="00BE0B19">
      <w:pPr>
        <w:spacing w:after="0" w:line="360" w:lineRule="auto"/>
        <w:ind w:firstLine="1540"/>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СПИН–деменция комплекс</w:t>
      </w:r>
    </w:p>
    <w:p w14:paraId="02D4E6D9" w14:textId="77777777" w:rsidR="00BE0B19" w:rsidRPr="00AE47C6" w:rsidRDefault="00BE0B19" w:rsidP="00BE0B19">
      <w:pPr>
        <w:spacing w:after="0" w:line="360" w:lineRule="auto"/>
        <w:ind w:firstLine="1540"/>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Възможно трансмисивни заболявания (Kuru, болест на Creutzfeldt–Jakob)</w:t>
      </w:r>
    </w:p>
    <w:p w14:paraId="3CA8B1C7" w14:textId="77777777" w:rsidR="00BE0B19" w:rsidRPr="00AE47C6" w:rsidRDefault="00BE0B19" w:rsidP="00BE0B19">
      <w:pPr>
        <w:spacing w:after="0" w:line="360" w:lineRule="auto"/>
        <w:ind w:firstLine="709"/>
        <w:contextualSpacing/>
        <w:jc w:val="both"/>
        <w:rPr>
          <w:rFonts w:ascii="Times New Roman" w:eastAsia="SimSun" w:hAnsi="Times New Roman"/>
          <w:b/>
          <w:i/>
          <w:snapToGrid w:val="0"/>
          <w:sz w:val="24"/>
          <w:szCs w:val="24"/>
        </w:rPr>
      </w:pPr>
      <w:r w:rsidRPr="00AE47C6">
        <w:rPr>
          <w:rFonts w:ascii="Times New Roman" w:eastAsia="SimSun" w:hAnsi="Times New Roman"/>
          <w:b/>
          <w:i/>
          <w:snapToGrid w:val="0"/>
          <w:sz w:val="24"/>
          <w:szCs w:val="24"/>
        </w:rPr>
        <w:t>Токсични причини</w:t>
      </w:r>
    </w:p>
    <w:p w14:paraId="2EB8F9CF" w14:textId="77777777" w:rsidR="00BE0B19" w:rsidRPr="00AE47C6" w:rsidRDefault="00BE0B19" w:rsidP="00BE0B19">
      <w:pPr>
        <w:spacing w:after="0" w:line="360" w:lineRule="auto"/>
        <w:ind w:firstLine="1540"/>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Алкохол–свързани синдроми</w:t>
      </w:r>
    </w:p>
    <w:p w14:paraId="095454DE" w14:textId="77777777" w:rsidR="00BE0B19" w:rsidRPr="00AE47C6" w:rsidRDefault="00BE0B19" w:rsidP="00BE0B19">
      <w:pPr>
        <w:spacing w:after="0" w:line="360" w:lineRule="auto"/>
        <w:ind w:firstLine="1540"/>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Медикаменти и др.</w:t>
      </w:r>
    </w:p>
    <w:p w14:paraId="034873E3" w14:textId="77777777" w:rsidR="00BE0B19" w:rsidRPr="00AE47C6" w:rsidRDefault="00BE0B19" w:rsidP="00BE0B19">
      <w:pPr>
        <w:spacing w:after="0" w:line="360" w:lineRule="auto"/>
        <w:ind w:firstLine="709"/>
        <w:contextualSpacing/>
        <w:jc w:val="both"/>
        <w:rPr>
          <w:rFonts w:ascii="Times New Roman" w:eastAsia="SimSun" w:hAnsi="Times New Roman"/>
          <w:b/>
          <w:i/>
          <w:snapToGrid w:val="0"/>
          <w:sz w:val="24"/>
          <w:szCs w:val="24"/>
        </w:rPr>
      </w:pPr>
      <w:r w:rsidRPr="00AE47C6">
        <w:rPr>
          <w:rFonts w:ascii="Times New Roman" w:eastAsia="SimSun" w:hAnsi="Times New Roman"/>
          <w:b/>
          <w:i/>
          <w:snapToGrid w:val="0"/>
          <w:sz w:val="24"/>
          <w:szCs w:val="24"/>
        </w:rPr>
        <w:t>Други заболявания предизвикващи деменция</w:t>
      </w:r>
    </w:p>
    <w:p w14:paraId="0D927787" w14:textId="77777777" w:rsidR="00BE0B19" w:rsidRPr="00AE47C6" w:rsidRDefault="00BE0B19" w:rsidP="00BE0B19">
      <w:pPr>
        <w:spacing w:after="0" w:line="360" w:lineRule="auto"/>
        <w:ind w:firstLine="1540"/>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Множествена склероза</w:t>
      </w:r>
    </w:p>
    <w:p w14:paraId="47002207" w14:textId="77777777" w:rsidR="00BE0B19" w:rsidRPr="00AE47C6" w:rsidRDefault="00BE0B19" w:rsidP="00BE0B19">
      <w:pPr>
        <w:spacing w:after="0" w:line="360" w:lineRule="auto"/>
        <w:ind w:firstLine="1540"/>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Хидроцефалия с нормално налягане</w:t>
      </w:r>
    </w:p>
    <w:p w14:paraId="6B2648EC" w14:textId="77777777" w:rsidR="00BE0B19" w:rsidRPr="00AE47C6" w:rsidRDefault="00BE0B19" w:rsidP="00BE0B19">
      <w:pPr>
        <w:spacing w:after="0" w:line="360" w:lineRule="auto"/>
        <w:ind w:firstLine="1540"/>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Краниална травма</w:t>
      </w:r>
    </w:p>
    <w:p w14:paraId="36C87288" w14:textId="77777777" w:rsidR="00BE0B19" w:rsidRPr="00AE47C6" w:rsidRDefault="00BE0B19" w:rsidP="00BE0B19">
      <w:pPr>
        <w:spacing w:after="0" w:line="360" w:lineRule="auto"/>
        <w:ind w:firstLine="709"/>
        <w:contextualSpacing/>
        <w:jc w:val="both"/>
        <w:rPr>
          <w:rFonts w:ascii="Times New Roman" w:eastAsia="SimSun" w:hAnsi="Times New Roman"/>
          <w:b/>
          <w:i/>
          <w:snapToGrid w:val="0"/>
          <w:sz w:val="24"/>
          <w:szCs w:val="24"/>
        </w:rPr>
      </w:pPr>
      <w:r w:rsidRPr="00AE47C6">
        <w:rPr>
          <w:rFonts w:ascii="Times New Roman" w:eastAsia="SimSun" w:hAnsi="Times New Roman"/>
          <w:b/>
          <w:i/>
          <w:sz w:val="24"/>
          <w:szCs w:val="24"/>
        </w:rPr>
        <w:t>Деменция свързана с депресия (псевдодеменция)</w:t>
      </w:r>
    </w:p>
    <w:p w14:paraId="42DE9B5B" w14:textId="77777777" w:rsidR="00BE0B19" w:rsidRPr="00AE47C6" w:rsidRDefault="00BE0B19" w:rsidP="00BE0B19">
      <w:pPr>
        <w:spacing w:after="0" w:line="360" w:lineRule="auto"/>
        <w:ind w:firstLine="709"/>
        <w:jc w:val="both"/>
        <w:rPr>
          <w:rFonts w:ascii="Times New Roman" w:eastAsia="SimSun" w:hAnsi="Times New Roman"/>
          <w:b/>
          <w:sz w:val="24"/>
          <w:szCs w:val="24"/>
        </w:rPr>
      </w:pPr>
    </w:p>
    <w:p w14:paraId="70FAC4A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Изследвания.</w:t>
      </w:r>
      <w:r w:rsidRPr="00AE47C6">
        <w:rPr>
          <w:rFonts w:ascii="Times New Roman" w:eastAsia="SimSun" w:hAnsi="Times New Roman"/>
          <w:sz w:val="24"/>
          <w:szCs w:val="24"/>
        </w:rPr>
        <w:t xml:space="preserve"> Диагнозата на деменциите изисква обективна анамнеза, щателно неврологично, психиатрично и инструментално изследване. Правилната диагноза има значение за генетичните консултации при фамилните случаи и за избягване на рисковете за родствениците и медицинския персонал в случаите с трансмисивни заболявания. Необходимо е лонгитудинално наблюдение на болните с целенасочено провеждане на изследванията. Адекватното лечение при обратимите форми удължава живота и подобрява съществено неговото качество. </w:t>
      </w:r>
    </w:p>
    <w:p w14:paraId="5F5634C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Разграничаването на деменциите зависи от прецизността на обективната анамнеза, клиничното наблюдение и изследването на когнитивните функции с допълнителни методи, подкрепящи клиничното мислене. Точната диагноза има значение за отдиференциране на </w:t>
      </w:r>
      <w:r w:rsidRPr="00AE47C6">
        <w:rPr>
          <w:rFonts w:ascii="Times New Roman" w:eastAsia="SimSun" w:hAnsi="Times New Roman"/>
          <w:i/>
          <w:sz w:val="24"/>
          <w:szCs w:val="24"/>
        </w:rPr>
        <w:t xml:space="preserve">стабилните от прогресивните </w:t>
      </w:r>
      <w:r w:rsidRPr="00AE47C6">
        <w:rPr>
          <w:rFonts w:ascii="Times New Roman" w:eastAsia="SimSun" w:hAnsi="Times New Roman"/>
          <w:sz w:val="24"/>
          <w:szCs w:val="24"/>
        </w:rPr>
        <w:t xml:space="preserve">или на </w:t>
      </w:r>
      <w:r w:rsidRPr="00AE47C6">
        <w:rPr>
          <w:rFonts w:ascii="Times New Roman" w:eastAsia="SimSun" w:hAnsi="Times New Roman"/>
          <w:i/>
          <w:sz w:val="24"/>
          <w:szCs w:val="24"/>
        </w:rPr>
        <w:t>обратимите от необратимите форми.</w:t>
      </w:r>
    </w:p>
    <w:p w14:paraId="0933532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Невропсихологичните тестове</w:t>
      </w:r>
      <w:r w:rsidRPr="00AE47C6">
        <w:rPr>
          <w:rFonts w:ascii="Times New Roman" w:eastAsia="SimSun" w:hAnsi="Times New Roman"/>
          <w:sz w:val="24"/>
          <w:szCs w:val="24"/>
        </w:rPr>
        <w:t xml:space="preserve"> позволяват да се определи степента на когнитивния дефицит. Докато прилагането и интерпретацията на специфични психометрични методики за фина преценка на вида когнитивен дефицит изискват специална подготовка, то невролозите от здравната мрежа биха могли без особено затруднение да прилагат следните кратки скали*: </w:t>
      </w:r>
    </w:p>
    <w:p w14:paraId="1109634C" w14:textId="77777777" w:rsidR="00BE0B19" w:rsidRPr="00AE47C6" w:rsidRDefault="00BE0B19" w:rsidP="00BE0B19">
      <w:pPr>
        <w:numPr>
          <w:ilvl w:val="0"/>
          <w:numId w:val="106"/>
        </w:numPr>
        <w:tabs>
          <w:tab w:val="clear" w:pos="1080"/>
        </w:tabs>
        <w:spacing w:after="0" w:line="360" w:lineRule="auto"/>
        <w:ind w:left="0" w:hanging="283"/>
        <w:jc w:val="both"/>
        <w:rPr>
          <w:rFonts w:ascii="Times New Roman" w:eastAsia="SimSun" w:hAnsi="Times New Roman"/>
          <w:bCs/>
          <w:sz w:val="24"/>
          <w:szCs w:val="24"/>
        </w:rPr>
      </w:pPr>
      <w:r w:rsidRPr="00AE47C6">
        <w:rPr>
          <w:rFonts w:ascii="Times New Roman" w:eastAsia="SimSun" w:hAnsi="Times New Roman"/>
          <w:bCs/>
          <w:snapToGrid w:val="0"/>
          <w:sz w:val="24"/>
          <w:szCs w:val="24"/>
        </w:rPr>
        <w:t>Формални скали за обща когнитивна оценка</w:t>
      </w:r>
      <w:r w:rsidRPr="00AE47C6">
        <w:rPr>
          <w:rFonts w:ascii="Times New Roman" w:eastAsia="SimSun" w:hAnsi="Times New Roman"/>
          <w:bCs/>
          <w:sz w:val="24"/>
          <w:szCs w:val="24"/>
        </w:rPr>
        <w:t xml:space="preserve">, като Mini Mental State Examination (MMSE) (Folstein и съавт., 1975) или E-SAND (Fabrigoule и съавт., 1998) </w:t>
      </w:r>
    </w:p>
    <w:p w14:paraId="30331E92" w14:textId="77777777" w:rsidR="00BE0B19" w:rsidRPr="00AE47C6" w:rsidRDefault="00BE0B19" w:rsidP="00BE0B19">
      <w:pPr>
        <w:numPr>
          <w:ilvl w:val="0"/>
          <w:numId w:val="106"/>
        </w:numPr>
        <w:tabs>
          <w:tab w:val="clear" w:pos="1080"/>
        </w:tabs>
        <w:spacing w:after="0" w:line="360" w:lineRule="auto"/>
        <w:ind w:left="0" w:hanging="283"/>
        <w:jc w:val="both"/>
        <w:rPr>
          <w:rFonts w:ascii="Times New Roman" w:eastAsia="SimSun" w:hAnsi="Times New Roman"/>
          <w:bCs/>
          <w:snapToGrid w:val="0"/>
          <w:sz w:val="24"/>
          <w:szCs w:val="24"/>
        </w:rPr>
      </w:pPr>
      <w:r w:rsidRPr="00AE47C6">
        <w:rPr>
          <w:rFonts w:ascii="Times New Roman" w:eastAsia="SimSun" w:hAnsi="Times New Roman"/>
          <w:bCs/>
          <w:sz w:val="24"/>
          <w:szCs w:val="24"/>
        </w:rPr>
        <w:t xml:space="preserve">Скали за оценка и документиране на справянето с ежедневните дейности, като Blessed Dementia Scale (BDS) (Blessed и съавт., 1968) или Instrumental Activities of Daily Living (IADL) (Lawton и Brody, 1969). </w:t>
      </w:r>
    </w:p>
    <w:p w14:paraId="34289737" w14:textId="77777777" w:rsidR="00BE0B19" w:rsidRPr="00AE47C6" w:rsidRDefault="00BE0B19" w:rsidP="00BE0B19">
      <w:pPr>
        <w:numPr>
          <w:ilvl w:val="0"/>
          <w:numId w:val="106"/>
        </w:numPr>
        <w:tabs>
          <w:tab w:val="clear" w:pos="1080"/>
        </w:tabs>
        <w:spacing w:after="0" w:line="360" w:lineRule="auto"/>
        <w:ind w:left="0" w:hanging="283"/>
        <w:jc w:val="both"/>
        <w:rPr>
          <w:rFonts w:ascii="Times New Roman" w:eastAsia="SimSun" w:hAnsi="Times New Roman"/>
          <w:bCs/>
          <w:snapToGrid w:val="0"/>
          <w:sz w:val="24"/>
          <w:szCs w:val="24"/>
        </w:rPr>
      </w:pPr>
      <w:r w:rsidRPr="00AE47C6">
        <w:rPr>
          <w:rFonts w:ascii="Times New Roman" w:eastAsia="SimSun" w:hAnsi="Times New Roman"/>
          <w:bCs/>
          <w:sz w:val="24"/>
          <w:szCs w:val="24"/>
        </w:rPr>
        <w:t>Скали за оценка на депресивността като тази, предложена от Consortium to Establish a Registry for Alzheimer's Disease (CERAD, 1994).</w:t>
      </w:r>
    </w:p>
    <w:p w14:paraId="143DDA1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КТ и МРТ</w:t>
      </w:r>
      <w:r w:rsidRPr="00AE47C6">
        <w:rPr>
          <w:rFonts w:ascii="Times New Roman" w:eastAsia="SimSun" w:hAnsi="Times New Roman"/>
          <w:sz w:val="24"/>
          <w:szCs w:val="24"/>
        </w:rPr>
        <w:t xml:space="preserve"> при БА визуализират симетрична корова атрофия и разширение на вентрикулите, които са неспецифични. МРТ показва, че атрофията на хипокампалната и перихипокампалната области е най-ранният белег за начало на болестта. При СД локализацията на лезиите зависи от локализацията на преживените мозъчни инсулти. МРТ е по-чувствителна при диференциране на БА и СД, тъй като открива дори и малки инфаркти и лакуни при СД. Хиперинтензните промени в бялото мозъчно вещество, освен при БА се описват при болни със СД, смесена деменция и здрави възрастни лица. МР спектроскопия показва снижение на високоенергийния фосфатен метаболизъм в париеталната и окципиталната кора само при болни с БА.</w:t>
      </w:r>
    </w:p>
    <w:p w14:paraId="23E49EA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SPECT и РЕТ </w:t>
      </w:r>
      <w:r w:rsidRPr="00AE47C6">
        <w:rPr>
          <w:rFonts w:ascii="Times New Roman" w:eastAsia="SimSun" w:hAnsi="Times New Roman"/>
          <w:sz w:val="24"/>
          <w:szCs w:val="24"/>
        </w:rPr>
        <w:t>визуализират още в ранните стадии на БА симетрична редукция на МКТ и метаболизъм в париеталните и темпоралните дялове и промяна в разпределението и плътността на неврорецепторите в мозъка. При СД промените са най-често асиметрични, съответстват на нарушенията в мозъчното кръвообращение и понякога отразяват наличието на диасхизни феномени. Лонгитудиналното провеждане на невроизобразяващите изследвания, съчетано с невропсихологични тестове, има по-голямо значение за диагнозата и диференциалната диагноза на различните деменции.</w:t>
      </w:r>
    </w:p>
    <w:p w14:paraId="14A6BDD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Провеждат се изследвания на ликвор, кръвна картина и СУЕ, липиден профил, кръвна захар и урея, серумни концентрации на електролити, чернодробни и щитовидни функции, провеждане на специализирани тестове за медикаментозна интоксикация, сифилис, HIV-инфекция, дефицит на витамин В</w:t>
      </w:r>
      <w:r w:rsidRPr="00AE47C6">
        <w:rPr>
          <w:rFonts w:ascii="Times New Roman" w:eastAsia="SimSun" w:hAnsi="Times New Roman"/>
          <w:sz w:val="24"/>
          <w:szCs w:val="24"/>
          <w:vertAlign w:val="subscript"/>
        </w:rPr>
        <w:t>12</w:t>
      </w:r>
      <w:r w:rsidRPr="00AE47C6">
        <w:rPr>
          <w:rFonts w:ascii="Times New Roman" w:eastAsia="SimSun" w:hAnsi="Times New Roman"/>
          <w:sz w:val="24"/>
          <w:szCs w:val="24"/>
        </w:rPr>
        <w:t xml:space="preserve"> и фолиева киселина, определяне на нивата на медта и церулоплазмина, кортизола, концентрацията на тежки метали в урина или тъкани и други. </w:t>
      </w:r>
    </w:p>
    <w:p w14:paraId="5BCDA6C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Методите за изследване на периферни и ликворни маркери за БА са в развитие. Комбинацията от понижени ликворни нива на Aβ(1–42) и повишени нива на тотален Таu протеин са най-сензитивните ликворни маркери за отдиференциране на БА от нормалното стареене.</w:t>
      </w:r>
    </w:p>
    <w:p w14:paraId="7B846A5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Изследването на биомаркери претърпя много бурна еволюция. Многобройни проучвания на ликворните маркери демонстрират, че нивото на β-амилоид протеина  спада и нивото на тотален и фосфорилиран тау протеин се повишава няколко години преди началото на деменцията. По подобен начин, амилоидните образни проучвания показват, че амилоид се натрупва в мозъка няколко години преди началото на деменцията при БА. Данните за атрофията на МРТ, хипометаболизъм на FDG- PET и хипоперфузия на SPECT) показват промените преди поява на деменция, което съвпада или леко предхожда появата на когнитивните нарушения. Тези проучвания показват, че патологичният процес характерен за БА може да се идентифицира няколко години преди появата на болестта на Алцхаймер и дементната фаза на болестта на Алцхаймер представлява късен етап от биологичният процес. </w:t>
      </w:r>
    </w:p>
    <w:p w14:paraId="21F1BA4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За своевременното диагностициране на деменциите е необходим комплексен анализ на резултатите от клиничното и невропсихологичното изследване, лабораторните тестове и невроизобразяващите методи. Най-важният резултат от изследванията е отдиференцирането на деменциите, които подлежат на лечение. С откриването на СД в ранните й стадии се създават по-благоприятни възможности за профилактика и лечение в сравнение с тези при дегенеративните деменции.</w:t>
      </w:r>
    </w:p>
    <w:p w14:paraId="5184ABC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Cs/>
          <w:sz w:val="24"/>
          <w:szCs w:val="24"/>
        </w:rPr>
        <w:t xml:space="preserve">Въз основа на проучванията върху биомаркерите, новата концепция за БА определя заболяването като прогресираща болест, която започва с биологични промени в мозъка без придружаващи когнитивни нарушения, преминаваща във фаза на паметови нарушения с абнормни биомаркери характерни за БА и впоследствие към лека, умерена и тежка фаза на деменция. </w:t>
      </w:r>
    </w:p>
    <w:p w14:paraId="69BEFE02"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159" w:name="_Toc155651777"/>
      <w:bookmarkStart w:id="160" w:name="_Toc164075909"/>
      <w:r w:rsidRPr="00AE47C6">
        <w:rPr>
          <w:rFonts w:ascii="Times New Roman" w:eastAsia="SimSun" w:hAnsi="Times New Roman"/>
          <w:b/>
          <w:sz w:val="24"/>
          <w:szCs w:val="24"/>
        </w:rPr>
        <w:t>7.1. Болест на Alzheimer (БА)</w:t>
      </w:r>
      <w:bookmarkEnd w:id="159"/>
      <w:bookmarkEnd w:id="160"/>
    </w:p>
    <w:p w14:paraId="5F23713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iCs/>
          <w:sz w:val="24"/>
          <w:szCs w:val="24"/>
        </w:rPr>
        <w:t>Определение.</w:t>
      </w:r>
      <w:r w:rsidRPr="00AE47C6">
        <w:rPr>
          <w:rFonts w:ascii="Times New Roman" w:eastAsia="SimSun" w:hAnsi="Times New Roman"/>
          <w:sz w:val="24"/>
          <w:szCs w:val="24"/>
        </w:rPr>
        <w:t xml:space="preserve"> Дегенеративно заболяване на ЦНС, клинично характеризиращо се </w:t>
      </w:r>
      <w:r w:rsidRPr="00AE47C6">
        <w:rPr>
          <w:rFonts w:ascii="Times New Roman" w:eastAsia="SimSun" w:hAnsi="Times New Roman"/>
          <w:snapToGrid w:val="0"/>
          <w:sz w:val="24"/>
          <w:szCs w:val="24"/>
        </w:rPr>
        <w:t xml:space="preserve">с постепенно прогресираща </w:t>
      </w:r>
      <w:r w:rsidRPr="00AE47C6">
        <w:rPr>
          <w:rFonts w:ascii="Times New Roman" w:eastAsia="SimSun" w:hAnsi="Times New Roman"/>
          <w:sz w:val="24"/>
          <w:szCs w:val="24"/>
        </w:rPr>
        <w:t>деменция.</w:t>
      </w:r>
    </w:p>
    <w:p w14:paraId="6DBB005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 С молекулярно-генетичния анализ са идентифицирани генетичните дефекти при БА. За момента са открити мутации в ген за синтеза на Аmyloid Рrecursor Рrotein (APP), Presenilin 1 (PSEN1) и Presenilin 2 (PSEN2) при фамилни случаи на БА с ранно начало и автозомно-доминантен тип унаследяване. Тези мутации са причина за 30-50% от автозомно-доминантните случаи и около 0,5% от всички случаи с БА. Когато начина на унаследяване не е ясен или при спорадичните случаи на БА, ε4 алел на аполипопротеин ген (AпоE) се установява като основен рисков фактор при около 20-45% от случаите. </w:t>
      </w:r>
    </w:p>
    <w:p w14:paraId="3A087CF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Наследствените форми са много по-редки и с по-ранно начало, отколкото спорадичните форми на заболяването. Наследствените форми понякога са с атипичен фенотип.</w:t>
      </w:r>
    </w:p>
    <w:p w14:paraId="72AE0F1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Патоморфология и патогенеза</w:t>
      </w:r>
      <w:r w:rsidRPr="00AE47C6">
        <w:rPr>
          <w:rFonts w:ascii="Times New Roman" w:eastAsia="SimSun" w:hAnsi="Times New Roman"/>
          <w:i/>
          <w:iCs/>
          <w:sz w:val="24"/>
          <w:szCs w:val="24"/>
        </w:rPr>
        <w:t>.</w:t>
      </w:r>
      <w:r w:rsidRPr="00AE47C6">
        <w:rPr>
          <w:rFonts w:ascii="Times New Roman" w:eastAsia="SimSun" w:hAnsi="Times New Roman"/>
          <w:sz w:val="24"/>
          <w:szCs w:val="24"/>
        </w:rPr>
        <w:t xml:space="preserve"> От патоанатомична гледна точка БА се свързва главно с наличието на сенилни или амилоидни плаки, неврофибрилерни дегенерации и невронна загуба. </w:t>
      </w:r>
    </w:p>
    <w:p w14:paraId="1A8550D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Амилоидните плаки</w:t>
      </w:r>
      <w:r w:rsidRPr="00AE47C6">
        <w:rPr>
          <w:rFonts w:ascii="Times New Roman" w:eastAsia="SimSun" w:hAnsi="Times New Roman"/>
          <w:sz w:val="24"/>
          <w:szCs w:val="24"/>
        </w:rPr>
        <w:t xml:space="preserve"> са разположени екстрацелуларно. Те са съставени от амилоидна субстанция в средата и анормални невритни разраствания по периферията. Основна съставна част на амилоида е А4 протеин. Анормалното разграждане на </w:t>
      </w:r>
      <w:r w:rsidRPr="00AE47C6">
        <w:rPr>
          <w:rFonts w:ascii="Times New Roman" w:eastAsia="SimSun" w:hAnsi="Times New Roman"/>
          <w:i/>
          <w:iCs/>
          <w:sz w:val="24"/>
          <w:szCs w:val="24"/>
        </w:rPr>
        <w:t>Amyloid Precursor Protein</w:t>
      </w:r>
      <w:r w:rsidRPr="00AE47C6">
        <w:rPr>
          <w:rFonts w:ascii="Times New Roman" w:eastAsia="SimSun" w:hAnsi="Times New Roman"/>
          <w:sz w:val="24"/>
          <w:szCs w:val="24"/>
        </w:rPr>
        <w:t xml:space="preserve"> (APP)  води до образуването на A4, който участва в амилоидогенезата. </w:t>
      </w:r>
    </w:p>
    <w:p w14:paraId="077A917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 xml:space="preserve">Неврофибрилерните дегенерации </w:t>
      </w:r>
      <w:r w:rsidRPr="00AE47C6">
        <w:rPr>
          <w:rFonts w:ascii="Times New Roman" w:eastAsia="SimSun" w:hAnsi="Times New Roman"/>
          <w:sz w:val="24"/>
          <w:szCs w:val="24"/>
        </w:rPr>
        <w:t xml:space="preserve">са вътреклетъчни лезии, съставени от чифтове от спираловидни филаменти, които понякога изпълват целия неврон. С имуноцитохимични методи е установено, че чифтовете от спираловидни филаменти съдържат анормално фосфорилиран протеин Таu, който възпира нормалната полимеризация на микротубулите. Срещат се предимно в пирамидните клетки в неокортекса, хипокампа и енториналния кортекс, а така също и в някои подкорови структури като nucl. basalis Meynert (NbM), locus coeruleus, nuclei raphe и др. Разположени са предимно в структури, проектиращи се върху мозъчната кора и хипокампа. Броят на засегнатите от неврофибрилерни дегенерации неврони, а не този на сенилните плаки, корелира с давността и тежестта на дементния синдром. </w:t>
      </w:r>
    </w:p>
    <w:p w14:paraId="042C0BE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Амилоидните плаки и неврофибрилерните дегенерации са свързани с </w:t>
      </w:r>
      <w:r w:rsidRPr="00AE47C6">
        <w:rPr>
          <w:rFonts w:ascii="Times New Roman" w:eastAsia="SimSun" w:hAnsi="Times New Roman"/>
          <w:i/>
          <w:iCs/>
          <w:sz w:val="24"/>
          <w:szCs w:val="24"/>
        </w:rPr>
        <w:t xml:space="preserve">невронна загуба </w:t>
      </w:r>
      <w:r w:rsidRPr="00AE47C6">
        <w:rPr>
          <w:rFonts w:ascii="Times New Roman" w:eastAsia="SimSun" w:hAnsi="Times New Roman"/>
          <w:sz w:val="24"/>
          <w:szCs w:val="24"/>
        </w:rPr>
        <w:t>(предимно в неокортекса, хипокампа и енториналния кортекс и в някои подкорови структури като nucl. basalis Meynert (NbM), locus coeruleus, nuclei raphe), с увреда на дендритите, аксонните окончания и синапсите. Болестта е свързана и с дефицит в невротрансмитерните системи. В настоящия момент съществуват доказателства за увреда на холинергичната медиация. Доказано е значимо снижение в активността на холинацетилтрансферазата (ChAT) в хипокампа и мозъчната кора, значимо редуциране на синтезата на ацетилхолин (AСh) и на ацетилхолинестераза (AChE). Подчертано намален е броят на холинергичните неврони, разположени предимно фронто–базално (NbM) в главния мозък и проектиращи се върху хипокампа и асоциативната кора. Установено е намаляване броя на никотиновите при почти нормален брой на мускариновите холинергични рецептори.</w:t>
      </w:r>
    </w:p>
    <w:p w14:paraId="28D260A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Според привържениците на хипотезата за </w:t>
      </w:r>
      <w:r w:rsidRPr="00AE47C6">
        <w:rPr>
          <w:rFonts w:ascii="Times New Roman" w:eastAsia="SimSun" w:hAnsi="Times New Roman"/>
          <w:i/>
          <w:iCs/>
          <w:sz w:val="24"/>
          <w:szCs w:val="24"/>
        </w:rPr>
        <w:t>амилоидната каскада</w:t>
      </w:r>
      <w:r w:rsidRPr="00AE47C6">
        <w:rPr>
          <w:rFonts w:ascii="Times New Roman" w:eastAsia="SimSun" w:hAnsi="Times New Roman"/>
          <w:sz w:val="24"/>
          <w:szCs w:val="24"/>
        </w:rPr>
        <w:t xml:space="preserve"> в патогенезата на БА, вероятната последователност на промените започва с извънмерна продукция или нарушение в разграждането на АРР. Това довежда до отлагане на амилоид в екстрацелуларното пространство, формирайки преамилоидни отлагания. Те се организират в плаки, обхващайки прогресивно съседни нервни окончания и довеждат до аномалии в цитоскелета и неврофибрилерни дегенерации, а впоследствие и до невронна смърт. Това води до дегенерация на синапсите и до появата на симптомите. Според тази хипотеза увредата в дифузно проектиращите подкорови ядра е ретроградна и вторична спрямо коровите нарушения. </w:t>
      </w:r>
    </w:p>
    <w:p w14:paraId="29D3EE65" w14:textId="77777777" w:rsidR="00BE0B19" w:rsidRPr="00AE47C6" w:rsidRDefault="00BE0B19" w:rsidP="00BE0B19">
      <w:pPr>
        <w:spacing w:after="0" w:line="360" w:lineRule="auto"/>
        <w:ind w:firstLine="709"/>
        <w:jc w:val="both"/>
        <w:rPr>
          <w:rFonts w:ascii="Times New Roman" w:eastAsia="SimSun" w:hAnsi="Times New Roman"/>
          <w:snapToGrid w:val="0"/>
          <w:sz w:val="24"/>
          <w:szCs w:val="24"/>
        </w:rPr>
      </w:pPr>
      <w:r w:rsidRPr="00AE47C6">
        <w:rPr>
          <w:rFonts w:ascii="Times New Roman" w:eastAsia="SimSun" w:hAnsi="Times New Roman"/>
          <w:sz w:val="24"/>
          <w:szCs w:val="24"/>
        </w:rPr>
        <w:t xml:space="preserve">Според хипотезата за </w:t>
      </w:r>
      <w:r w:rsidRPr="00AE47C6">
        <w:rPr>
          <w:rFonts w:ascii="Times New Roman" w:eastAsia="SimSun" w:hAnsi="Times New Roman"/>
          <w:i/>
          <w:iCs/>
          <w:sz w:val="24"/>
          <w:szCs w:val="24"/>
        </w:rPr>
        <w:t>нарушения енергиен метаболизъм</w:t>
      </w:r>
      <w:r w:rsidRPr="00AE47C6">
        <w:rPr>
          <w:rFonts w:ascii="Times New Roman" w:eastAsia="SimSun" w:hAnsi="Times New Roman"/>
          <w:sz w:val="24"/>
          <w:szCs w:val="24"/>
        </w:rPr>
        <w:t xml:space="preserve">, промените започват вътреклетъчно с </w:t>
      </w:r>
      <w:r w:rsidRPr="00AE47C6">
        <w:rPr>
          <w:rFonts w:ascii="Times New Roman" w:eastAsia="SimSun" w:hAnsi="Times New Roman"/>
          <w:snapToGrid w:val="0"/>
          <w:sz w:val="24"/>
          <w:szCs w:val="24"/>
        </w:rPr>
        <w:t>дефект в митохондриите и нарушение на глюкозната обмяна, последвано от намалено образуване на ATP, нарушение на йонното мембранно равновесие, проникване на екстрацелуларен Ca</w:t>
      </w:r>
      <w:r w:rsidRPr="00AE47C6">
        <w:rPr>
          <w:rFonts w:ascii="Times New Roman" w:eastAsia="SimSun" w:hAnsi="Times New Roman"/>
          <w:snapToGrid w:val="0"/>
          <w:sz w:val="24"/>
          <w:szCs w:val="24"/>
          <w:vertAlign w:val="superscript"/>
        </w:rPr>
        <w:t>++</w:t>
      </w:r>
      <w:r w:rsidRPr="00AE47C6">
        <w:rPr>
          <w:rFonts w:ascii="Times New Roman" w:eastAsia="SimSun" w:hAnsi="Times New Roman"/>
          <w:snapToGrid w:val="0"/>
          <w:sz w:val="24"/>
          <w:szCs w:val="24"/>
        </w:rPr>
        <w:t xml:space="preserve"> в клетките, разрушаване на микротубулите, потискане на аксонния транспорт и смърт на невроните. </w:t>
      </w:r>
    </w:p>
    <w:p w14:paraId="426D63D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napToGrid w:val="0"/>
          <w:sz w:val="24"/>
          <w:szCs w:val="24"/>
        </w:rPr>
        <w:t xml:space="preserve">Известни са и хипотезите за невротрофичните и възпалителните промени, както и хипотезата поставяща алуминия в центъра на патогенетичните механизми, водещи до </w:t>
      </w:r>
      <w:r w:rsidRPr="00AE47C6">
        <w:rPr>
          <w:rFonts w:ascii="Times New Roman" w:eastAsia="SimSun" w:hAnsi="Times New Roman"/>
          <w:sz w:val="24"/>
          <w:szCs w:val="24"/>
        </w:rPr>
        <w:t>БА</w:t>
      </w:r>
      <w:r w:rsidRPr="00AE47C6">
        <w:rPr>
          <w:rFonts w:ascii="Times New Roman" w:eastAsia="SimSun" w:hAnsi="Times New Roman"/>
          <w:snapToGrid w:val="0"/>
          <w:sz w:val="24"/>
          <w:szCs w:val="24"/>
        </w:rPr>
        <w:t xml:space="preserve">. Никоя от тях обаче не е в състояние да обясни самостоятелно многообразието от анатомични, клетъчни и молекулярни промени. Понастоящем се приема, че </w:t>
      </w:r>
      <w:r w:rsidRPr="00AE47C6">
        <w:rPr>
          <w:rFonts w:ascii="Times New Roman" w:eastAsia="SimSun" w:hAnsi="Times New Roman"/>
          <w:sz w:val="24"/>
          <w:szCs w:val="24"/>
        </w:rPr>
        <w:t>БА</w:t>
      </w:r>
      <w:r w:rsidRPr="00AE47C6">
        <w:rPr>
          <w:rFonts w:ascii="Times New Roman" w:eastAsia="SimSun" w:hAnsi="Times New Roman"/>
          <w:snapToGrid w:val="0"/>
          <w:sz w:val="24"/>
          <w:szCs w:val="24"/>
        </w:rPr>
        <w:t xml:space="preserve"> е </w:t>
      </w:r>
      <w:r w:rsidRPr="00AE47C6">
        <w:rPr>
          <w:rFonts w:ascii="Times New Roman" w:eastAsia="SimSun" w:hAnsi="Times New Roman"/>
          <w:i/>
          <w:iCs/>
          <w:snapToGrid w:val="0"/>
          <w:sz w:val="24"/>
          <w:szCs w:val="24"/>
        </w:rPr>
        <w:t>полипатогенетично</w:t>
      </w:r>
      <w:r w:rsidRPr="00AE47C6">
        <w:rPr>
          <w:rFonts w:ascii="Times New Roman" w:eastAsia="SimSun" w:hAnsi="Times New Roman"/>
          <w:snapToGrid w:val="0"/>
          <w:sz w:val="24"/>
          <w:szCs w:val="24"/>
        </w:rPr>
        <w:t xml:space="preserve"> заболяване, при което комбинацията от различни механизми, в съчетание с разнообразни рискови фактори, допринася за появата на мозъчните лезии, които са в основата на клиничните прояви.</w:t>
      </w:r>
    </w:p>
    <w:p w14:paraId="799C366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Диагнозата</w:t>
      </w:r>
      <w:r w:rsidRPr="00AE47C6">
        <w:rPr>
          <w:rFonts w:ascii="Times New Roman" w:eastAsia="SimSun" w:hAnsi="Times New Roman"/>
          <w:sz w:val="24"/>
          <w:szCs w:val="24"/>
        </w:rPr>
        <w:t xml:space="preserve"> на дементния синдром е изключително клинична. Поради това особено важна роля играят подробните анамнестични данни и невропсихологичното изследване. Внимателно трябва да се прецени вида на когнитивното нарушение и отражението му върху ежедневните дейности. </w:t>
      </w:r>
      <w:r w:rsidRPr="00AE47C6">
        <w:rPr>
          <w:rFonts w:ascii="Times New Roman" w:eastAsia="SimSun" w:hAnsi="Times New Roman"/>
          <w:snapToGrid w:val="0"/>
          <w:sz w:val="24"/>
          <w:szCs w:val="24"/>
        </w:rPr>
        <w:t>Повечето от съществуващите критерии изискват засягане на няколко когнитивни функции (задължително включващи паметта), което да бъде клинично значимо по степен. Този подход дава възможност да бъдат разграничени дементните пациенти от тези с изолиран когнитивен дефицит (например изолираната афазия при МСБ), както и от когнитивния дефицит при нормалното стареене.</w:t>
      </w:r>
    </w:p>
    <w:p w14:paraId="78E0CF15" w14:textId="77777777" w:rsidR="00BE0B19" w:rsidRPr="00AE47C6" w:rsidRDefault="00BE0B19" w:rsidP="00BE0B19">
      <w:pPr>
        <w:spacing w:after="0" w:line="360" w:lineRule="auto"/>
        <w:ind w:firstLine="709"/>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В последните години, най–широко използваните критерии са тези, предложени от Американската Психиатрична Асоциация – Diagnostic and Statistical Manual for Mental Disorders (DSM–IV, 1994 г.). Тези критерии се отнасят до „Деменция от Алцхаймеров тип” като включват критериите за деменция (точки А, Б и В), към които са добавени някои специфики, касаещи БА.</w:t>
      </w:r>
    </w:p>
    <w:p w14:paraId="63755096" w14:textId="77777777" w:rsidR="00BE0B19" w:rsidRPr="00AE47C6" w:rsidRDefault="00BE0B19" w:rsidP="00BE0B19">
      <w:pPr>
        <w:spacing w:after="0" w:line="360" w:lineRule="auto"/>
        <w:ind w:firstLine="709"/>
        <w:jc w:val="both"/>
        <w:rPr>
          <w:rFonts w:ascii="Times New Roman" w:eastAsia="SimSun" w:hAnsi="Times New Roman"/>
          <w:b/>
          <w:bCs/>
          <w:snapToGrid w:val="0"/>
          <w:sz w:val="24"/>
          <w:szCs w:val="24"/>
        </w:rPr>
      </w:pPr>
    </w:p>
    <w:p w14:paraId="26A1835A"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DSM–IV критерии за деменция от Алцхаймеров тип</w:t>
      </w:r>
    </w:p>
    <w:p w14:paraId="1D38ED03"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p>
    <w:p w14:paraId="2BE95359" w14:textId="77777777" w:rsidR="00BE0B19" w:rsidRPr="00AE47C6" w:rsidRDefault="00BE0B19" w:rsidP="00BE0B19">
      <w:pPr>
        <w:spacing w:after="0" w:line="360" w:lineRule="auto"/>
        <w:ind w:firstLine="709"/>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A. Поява на множествен когнитивен дефицит, проявен чрез:</w:t>
      </w:r>
    </w:p>
    <w:p w14:paraId="312F4D35" w14:textId="77777777" w:rsidR="00BE0B19" w:rsidRPr="00AE47C6" w:rsidRDefault="00BE0B19" w:rsidP="00BE0B19">
      <w:pPr>
        <w:spacing w:after="0" w:line="360" w:lineRule="auto"/>
        <w:ind w:firstLine="709"/>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1.</w:t>
      </w:r>
      <w:r w:rsidRPr="00AE47C6">
        <w:rPr>
          <w:rFonts w:ascii="Times New Roman" w:eastAsia="SimSun" w:hAnsi="Times New Roman"/>
          <w:snapToGrid w:val="0"/>
          <w:sz w:val="24"/>
          <w:szCs w:val="24"/>
        </w:rPr>
        <w:tab/>
        <w:t>Паметово нарушение (неспособност за заучаване на нова информация и припомняне на предишно заучени знания);</w:t>
      </w:r>
    </w:p>
    <w:p w14:paraId="7EB1B5DA" w14:textId="77777777" w:rsidR="00BE0B19" w:rsidRPr="00AE47C6" w:rsidRDefault="00BE0B19" w:rsidP="00BE0B19">
      <w:pPr>
        <w:spacing w:after="0" w:line="360" w:lineRule="auto"/>
        <w:ind w:firstLine="709"/>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2.</w:t>
      </w:r>
      <w:r w:rsidRPr="00AE47C6">
        <w:rPr>
          <w:rFonts w:ascii="Times New Roman" w:eastAsia="SimSun" w:hAnsi="Times New Roman"/>
          <w:snapToGrid w:val="0"/>
          <w:sz w:val="24"/>
          <w:szCs w:val="24"/>
        </w:rPr>
        <w:tab/>
        <w:t>Поне едно от следните когнитивни нарушения:</w:t>
      </w:r>
    </w:p>
    <w:p w14:paraId="029A76F7" w14:textId="77777777" w:rsidR="00BE0B19" w:rsidRPr="00AE47C6" w:rsidRDefault="00BE0B19" w:rsidP="00BE0B19">
      <w:pPr>
        <w:spacing w:after="0" w:line="360" w:lineRule="auto"/>
        <w:ind w:firstLine="709"/>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 xml:space="preserve">a)  афазия (нарушение на речта); </w:t>
      </w:r>
    </w:p>
    <w:p w14:paraId="7AD2A47D" w14:textId="77777777" w:rsidR="00BE0B19" w:rsidRPr="00AE47C6" w:rsidRDefault="00BE0B19" w:rsidP="00BE0B19">
      <w:pPr>
        <w:spacing w:after="0" w:line="360" w:lineRule="auto"/>
        <w:ind w:firstLine="709"/>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б) апраксия (нарушение на двигателната дейност при съхранено разбиране на поставената задача и при липса на двигателен дефицит);</w:t>
      </w:r>
    </w:p>
    <w:p w14:paraId="7DFD498B" w14:textId="77777777" w:rsidR="00BE0B19" w:rsidRPr="00AE47C6" w:rsidRDefault="00BE0B19" w:rsidP="00BE0B19">
      <w:pPr>
        <w:spacing w:after="0" w:line="360" w:lineRule="auto"/>
        <w:ind w:firstLine="709"/>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в) агнозия (неспособност за разпознаване или идентифициране на обекти, при съхранени сензорни функции);</w:t>
      </w:r>
    </w:p>
    <w:p w14:paraId="78FB4D42" w14:textId="77777777" w:rsidR="00BE0B19" w:rsidRPr="00AE47C6" w:rsidRDefault="00BE0B19" w:rsidP="00BE0B19">
      <w:pPr>
        <w:spacing w:after="0" w:line="360" w:lineRule="auto"/>
        <w:ind w:firstLine="709"/>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г) нарушение на екзекутивните функции (т.е. нарушение в планирането, организирането на сложни двигателни и поведенчески програми, съблюдаването на последователността на етапите).</w:t>
      </w:r>
    </w:p>
    <w:p w14:paraId="5BCFCF3E" w14:textId="77777777" w:rsidR="00BE0B19" w:rsidRPr="00AE47C6" w:rsidRDefault="00BE0B19" w:rsidP="00BE0B19">
      <w:pPr>
        <w:spacing w:after="0" w:line="360" w:lineRule="auto"/>
        <w:ind w:firstLine="709"/>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Б. Ходът на заболяването се характеризира с постепенно прогресиращ когнитивен и функционален упадък.</w:t>
      </w:r>
    </w:p>
    <w:p w14:paraId="4E4E5783" w14:textId="77777777" w:rsidR="00BE0B19" w:rsidRPr="00AE47C6" w:rsidRDefault="00BE0B19" w:rsidP="00BE0B19">
      <w:pPr>
        <w:spacing w:after="0" w:line="360" w:lineRule="auto"/>
        <w:ind w:firstLine="709"/>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В. Когнитивният дефицит предизвиква значим упадък в социалните и професионални дейности, в сравнение с най-високото ниво на предишно функциониране.</w:t>
      </w:r>
    </w:p>
    <w:p w14:paraId="2E801C33" w14:textId="77777777" w:rsidR="00BE0B19" w:rsidRPr="00AE47C6" w:rsidRDefault="00BE0B19" w:rsidP="00BE0B19">
      <w:pPr>
        <w:spacing w:after="0" w:line="360" w:lineRule="auto"/>
        <w:ind w:firstLine="709"/>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 xml:space="preserve">Г. Когнитивният дефицит, установен в критериите А1 и А2, не се дължи на никоя от следните причини: </w:t>
      </w:r>
    </w:p>
    <w:p w14:paraId="03C6A1AE" w14:textId="77777777" w:rsidR="00BE0B19" w:rsidRPr="00AE47C6" w:rsidRDefault="00BE0B19" w:rsidP="00BE0B19">
      <w:pPr>
        <w:spacing w:after="0" w:line="360" w:lineRule="auto"/>
        <w:ind w:firstLine="709"/>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1.</w:t>
      </w:r>
      <w:r w:rsidRPr="00AE47C6">
        <w:rPr>
          <w:rFonts w:ascii="Times New Roman" w:eastAsia="SimSun" w:hAnsi="Times New Roman"/>
          <w:snapToGrid w:val="0"/>
          <w:sz w:val="24"/>
          <w:szCs w:val="24"/>
        </w:rPr>
        <w:tab/>
        <w:t xml:space="preserve">други увреди на ЦНС, които биха могли да предизвикат паметов и друг когнитивен дефицит (мозъчносъдова болест, болест на Parkinson и на Huntington, субдурален хематом и др.); </w:t>
      </w:r>
    </w:p>
    <w:p w14:paraId="763538D2" w14:textId="77777777" w:rsidR="00BE0B19" w:rsidRPr="00AE47C6" w:rsidRDefault="00BE0B19" w:rsidP="00BE0B19">
      <w:pPr>
        <w:spacing w:after="0" w:line="360" w:lineRule="auto"/>
        <w:ind w:firstLine="709"/>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2.</w:t>
      </w:r>
      <w:r w:rsidRPr="00AE47C6">
        <w:rPr>
          <w:rFonts w:ascii="Times New Roman" w:eastAsia="SimSun" w:hAnsi="Times New Roman"/>
          <w:snapToGrid w:val="0"/>
          <w:sz w:val="24"/>
          <w:szCs w:val="24"/>
        </w:rPr>
        <w:tab/>
        <w:t>други системни заболявания, които могат да предизвикат деменция (хипотиреоидизъм, дефицит на В</w:t>
      </w:r>
      <w:r w:rsidRPr="00AE47C6">
        <w:rPr>
          <w:rFonts w:ascii="Times New Roman" w:eastAsia="SimSun" w:hAnsi="Times New Roman"/>
          <w:snapToGrid w:val="0"/>
          <w:sz w:val="24"/>
          <w:szCs w:val="24"/>
          <w:vertAlign w:val="subscript"/>
        </w:rPr>
        <w:t>12</w:t>
      </w:r>
      <w:r w:rsidRPr="00AE47C6">
        <w:rPr>
          <w:rFonts w:ascii="Times New Roman" w:eastAsia="SimSun" w:hAnsi="Times New Roman"/>
          <w:snapToGrid w:val="0"/>
          <w:sz w:val="24"/>
          <w:szCs w:val="24"/>
        </w:rPr>
        <w:t xml:space="preserve"> или фолиева киселина, невросифилис и др.); </w:t>
      </w:r>
    </w:p>
    <w:p w14:paraId="72D1BB5C" w14:textId="77777777" w:rsidR="00BE0B19" w:rsidRPr="00AE47C6" w:rsidRDefault="00BE0B19" w:rsidP="00BE0B19">
      <w:pPr>
        <w:spacing w:after="0" w:line="360" w:lineRule="auto"/>
        <w:ind w:firstLine="709"/>
        <w:contextualSpacing/>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3.</w:t>
      </w:r>
      <w:r w:rsidRPr="00AE47C6">
        <w:rPr>
          <w:rFonts w:ascii="Times New Roman" w:eastAsia="SimSun" w:hAnsi="Times New Roman"/>
          <w:snapToGrid w:val="0"/>
          <w:sz w:val="24"/>
          <w:szCs w:val="24"/>
        </w:rPr>
        <w:tab/>
        <w:t xml:space="preserve">увреди, предизвикани от алкохол или други вещества. </w:t>
      </w:r>
    </w:p>
    <w:p w14:paraId="730DA7FD" w14:textId="77777777" w:rsidR="00BE0B19" w:rsidRPr="00AE47C6" w:rsidRDefault="00BE0B19" w:rsidP="00BE0B19">
      <w:pPr>
        <w:spacing w:after="0" w:line="360" w:lineRule="auto"/>
        <w:ind w:firstLine="709"/>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 xml:space="preserve">Д. Нарушенията не са резултат от развитието на делир. </w:t>
      </w:r>
    </w:p>
    <w:p w14:paraId="6DF28094" w14:textId="77777777" w:rsidR="00BE0B19" w:rsidRPr="00AE47C6" w:rsidRDefault="00BE0B19" w:rsidP="00BE0B19">
      <w:pPr>
        <w:spacing w:after="0" w:line="360" w:lineRule="auto"/>
        <w:ind w:firstLine="709"/>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Е. Нарушенията не биха могли да бъдат обяснени по-добре от някое от другите заболявания (голям депресивен епизод или шизофрения).</w:t>
      </w:r>
    </w:p>
    <w:p w14:paraId="0B3BAEB9" w14:textId="77777777" w:rsidR="00BE0B19" w:rsidRPr="00AE47C6" w:rsidRDefault="00BE0B19" w:rsidP="00BE0B19">
      <w:pPr>
        <w:spacing w:after="0" w:line="360" w:lineRule="auto"/>
        <w:ind w:firstLine="709"/>
        <w:jc w:val="both"/>
        <w:rPr>
          <w:rFonts w:ascii="Times New Roman" w:eastAsia="SimSun" w:hAnsi="Times New Roman"/>
          <w:b/>
          <w:bCs/>
          <w:snapToGrid w:val="0"/>
          <w:sz w:val="24"/>
          <w:szCs w:val="24"/>
        </w:rPr>
      </w:pPr>
      <w:r w:rsidRPr="00AE47C6">
        <w:rPr>
          <w:rFonts w:ascii="Times New Roman" w:eastAsia="SimSun" w:hAnsi="Times New Roman"/>
          <w:snapToGrid w:val="0"/>
          <w:sz w:val="24"/>
          <w:szCs w:val="24"/>
        </w:rPr>
        <w:t>Според NINCDS/ADRDA</w:t>
      </w:r>
      <w:r w:rsidRPr="00AE47C6">
        <w:rPr>
          <w:rFonts w:ascii="Times New Roman" w:eastAsia="SimSun" w:hAnsi="Times New Roman"/>
          <w:sz w:val="24"/>
          <w:szCs w:val="24"/>
        </w:rPr>
        <w:t xml:space="preserve"> диагностичните критерии диагнозата се поставя с различна степен на сигурност – вероятна, възможна или сигурна. </w:t>
      </w:r>
    </w:p>
    <w:p w14:paraId="0BAA938D" w14:textId="77777777" w:rsidR="00BE0B19" w:rsidRPr="00AE47C6" w:rsidRDefault="00BE0B19" w:rsidP="00BE0B19">
      <w:pPr>
        <w:spacing w:after="0" w:line="360" w:lineRule="auto"/>
        <w:ind w:firstLine="709"/>
        <w:jc w:val="both"/>
        <w:rPr>
          <w:rFonts w:ascii="Times New Roman" w:eastAsia="SimSun" w:hAnsi="Times New Roman"/>
          <w:snapToGrid w:val="0"/>
          <w:sz w:val="24"/>
          <w:szCs w:val="24"/>
        </w:rPr>
      </w:pPr>
      <w:r w:rsidRPr="00AE47C6">
        <w:rPr>
          <w:rFonts w:ascii="Times New Roman" w:eastAsia="SimSun" w:hAnsi="Times New Roman"/>
          <w:bCs/>
          <w:snapToGrid w:val="0"/>
          <w:sz w:val="24"/>
          <w:szCs w:val="24"/>
        </w:rPr>
        <w:t xml:space="preserve">Критериите за </w:t>
      </w:r>
      <w:r w:rsidRPr="00AE47C6">
        <w:rPr>
          <w:rFonts w:ascii="Times New Roman" w:eastAsia="SimSun" w:hAnsi="Times New Roman"/>
          <w:bCs/>
          <w:i/>
          <w:iCs/>
          <w:snapToGrid w:val="0"/>
          <w:sz w:val="24"/>
          <w:szCs w:val="24"/>
        </w:rPr>
        <w:t>вероятна БА включват:</w:t>
      </w:r>
      <w:r w:rsidRPr="00AE47C6">
        <w:rPr>
          <w:rFonts w:ascii="Times New Roman" w:eastAsia="SimSun" w:hAnsi="Times New Roman"/>
          <w:snapToGrid w:val="0"/>
          <w:sz w:val="24"/>
          <w:szCs w:val="24"/>
        </w:rPr>
        <w:t>1. Деменция установена въз основа на клиничните данни и документирана чрез формалните скали за обща когнитивна оценка (напр. MMSE); 2. Наличие на дефицит в поне две когнитивни сфери; 3. Прогресивно влошаване на паметовите и другите когнитивни функции; 4. Липса на нарушение в съзнанието; 5. Начало между 40 и 90 годишна възраст, най-често след 65; 6. Липса на други системни или мозъчни заболявания, които биха могли да предизвикат прогресивен паметов и друг когнитивен дефицит.</w:t>
      </w:r>
    </w:p>
    <w:p w14:paraId="29EB3F5F" w14:textId="77777777" w:rsidR="00BE0B19" w:rsidRPr="00AE47C6" w:rsidRDefault="00BE0B19" w:rsidP="00BE0B19">
      <w:pPr>
        <w:spacing w:after="0" w:line="360" w:lineRule="auto"/>
        <w:ind w:firstLine="709"/>
        <w:jc w:val="both"/>
        <w:rPr>
          <w:rFonts w:ascii="Times New Roman" w:eastAsia="SimSun" w:hAnsi="Times New Roman"/>
          <w:snapToGrid w:val="0"/>
          <w:sz w:val="24"/>
          <w:szCs w:val="24"/>
        </w:rPr>
      </w:pPr>
      <w:r w:rsidRPr="00AE47C6">
        <w:rPr>
          <w:rFonts w:ascii="Times New Roman" w:eastAsia="SimSun" w:hAnsi="Times New Roman"/>
          <w:bCs/>
          <w:snapToGrid w:val="0"/>
          <w:sz w:val="24"/>
          <w:szCs w:val="24"/>
        </w:rPr>
        <w:t xml:space="preserve">Диагнозата </w:t>
      </w:r>
      <w:r w:rsidRPr="00AE47C6">
        <w:rPr>
          <w:rFonts w:ascii="Times New Roman" w:eastAsia="SimSun" w:hAnsi="Times New Roman"/>
          <w:bCs/>
          <w:i/>
          <w:iCs/>
          <w:snapToGrid w:val="0"/>
          <w:sz w:val="24"/>
          <w:szCs w:val="24"/>
        </w:rPr>
        <w:t>вероятна БА е подкрепена от:</w:t>
      </w:r>
      <w:r w:rsidRPr="00AE47C6">
        <w:rPr>
          <w:rFonts w:ascii="Times New Roman" w:eastAsia="SimSun" w:hAnsi="Times New Roman"/>
          <w:bCs/>
          <w:snapToGrid w:val="0"/>
          <w:sz w:val="24"/>
          <w:szCs w:val="24"/>
        </w:rPr>
        <w:t xml:space="preserve"> п</w:t>
      </w:r>
      <w:r w:rsidRPr="00AE47C6">
        <w:rPr>
          <w:rFonts w:ascii="Times New Roman" w:eastAsia="SimSun" w:hAnsi="Times New Roman"/>
          <w:snapToGrid w:val="0"/>
          <w:sz w:val="24"/>
          <w:szCs w:val="24"/>
        </w:rPr>
        <w:t>рогресивно нарушение на специфични когнитивни функции като речта (афазия), двигателните умения (апраксия), и перцепцията (агнозия); нарушение в ежедневните дейности и поведението; фамилна анамнеза за подобни нарушения, особено ако са потвърдени патоанатомично; резултати от лабораторни изследвания: нормална лумбална пункция; нормална ЕЕГ или наличие на неспецифични промени, като увеличение на бавновълнова активност; наличие на мозъчна атрофия на КТ, с прогресия при контролните изследвания.</w:t>
      </w:r>
    </w:p>
    <w:p w14:paraId="40EAED5D" w14:textId="77777777" w:rsidR="00BE0B19" w:rsidRPr="00AE47C6" w:rsidRDefault="00BE0B19" w:rsidP="00BE0B19">
      <w:pPr>
        <w:spacing w:after="0" w:line="360" w:lineRule="auto"/>
        <w:ind w:firstLine="709"/>
        <w:jc w:val="both"/>
        <w:rPr>
          <w:rFonts w:ascii="Times New Roman" w:eastAsia="SimSun" w:hAnsi="Times New Roman"/>
          <w:snapToGrid w:val="0"/>
          <w:sz w:val="24"/>
          <w:szCs w:val="24"/>
        </w:rPr>
      </w:pPr>
      <w:r w:rsidRPr="00AE47C6">
        <w:rPr>
          <w:rFonts w:ascii="Times New Roman" w:eastAsia="SimSun" w:hAnsi="Times New Roman"/>
          <w:bCs/>
          <w:snapToGrid w:val="0"/>
          <w:sz w:val="24"/>
          <w:szCs w:val="24"/>
        </w:rPr>
        <w:t xml:space="preserve">Клинични белези в </w:t>
      </w:r>
      <w:r w:rsidRPr="00AE47C6">
        <w:rPr>
          <w:rFonts w:ascii="Times New Roman" w:eastAsia="SimSun" w:hAnsi="Times New Roman"/>
          <w:bCs/>
          <w:i/>
          <w:iCs/>
          <w:snapToGrid w:val="0"/>
          <w:sz w:val="24"/>
          <w:szCs w:val="24"/>
        </w:rPr>
        <w:t>съответствие с диагнозата вероятна БА</w:t>
      </w:r>
      <w:r w:rsidRPr="00AE47C6">
        <w:rPr>
          <w:rFonts w:ascii="Times New Roman" w:eastAsia="SimSun" w:hAnsi="Times New Roman"/>
          <w:bCs/>
          <w:snapToGrid w:val="0"/>
          <w:sz w:val="24"/>
          <w:szCs w:val="24"/>
        </w:rPr>
        <w:t>: н</w:t>
      </w:r>
      <w:r w:rsidRPr="00AE47C6">
        <w:rPr>
          <w:rFonts w:ascii="Times New Roman" w:eastAsia="SimSun" w:hAnsi="Times New Roman"/>
          <w:snapToGrid w:val="0"/>
          <w:sz w:val="24"/>
          <w:szCs w:val="24"/>
        </w:rPr>
        <w:t>аличие на плато в хода и прогресията на заболяването; придружаващи симптоми като депресия, безсъние, делир, илюзии, халюцинации, катастрофични реакции, сексуални разстройства, загуба на тегло; наличие, предимно в по-напреднал стадий, на неврологични симптоми: ригидно повишен мускулен тонус, миоклонии, нарушения в походката, епилептични пристъпи; КT нормална за възрастта.</w:t>
      </w:r>
    </w:p>
    <w:p w14:paraId="0FA0D810" w14:textId="77777777" w:rsidR="00BE0B19" w:rsidRPr="00AE47C6" w:rsidRDefault="00BE0B19" w:rsidP="00BE0B19">
      <w:pPr>
        <w:spacing w:after="0" w:line="360" w:lineRule="auto"/>
        <w:ind w:firstLine="709"/>
        <w:jc w:val="both"/>
        <w:rPr>
          <w:rFonts w:ascii="Times New Roman" w:eastAsia="SimSun" w:hAnsi="Times New Roman"/>
          <w:snapToGrid w:val="0"/>
          <w:sz w:val="24"/>
          <w:szCs w:val="24"/>
        </w:rPr>
      </w:pPr>
      <w:r w:rsidRPr="00AE47C6">
        <w:rPr>
          <w:rFonts w:ascii="Times New Roman" w:eastAsia="SimSun" w:hAnsi="Times New Roman"/>
          <w:bCs/>
          <w:snapToGrid w:val="0"/>
          <w:sz w:val="24"/>
          <w:szCs w:val="24"/>
        </w:rPr>
        <w:t xml:space="preserve">Симптоми, които правят диагнозата </w:t>
      </w:r>
      <w:r w:rsidRPr="00AE47C6">
        <w:rPr>
          <w:rFonts w:ascii="Times New Roman" w:eastAsia="SimSun" w:hAnsi="Times New Roman"/>
          <w:bCs/>
          <w:i/>
          <w:iCs/>
          <w:snapToGrid w:val="0"/>
          <w:sz w:val="24"/>
          <w:szCs w:val="24"/>
        </w:rPr>
        <w:t>вероятна БА несигурна и малко вероятна:</w:t>
      </w:r>
      <w:r w:rsidRPr="00AE47C6">
        <w:rPr>
          <w:rFonts w:ascii="Times New Roman" w:eastAsia="SimSun" w:hAnsi="Times New Roman"/>
          <w:bCs/>
          <w:snapToGrid w:val="0"/>
          <w:sz w:val="24"/>
          <w:szCs w:val="24"/>
        </w:rPr>
        <w:t xml:space="preserve"> о</w:t>
      </w:r>
      <w:r w:rsidRPr="00AE47C6">
        <w:rPr>
          <w:rFonts w:ascii="Times New Roman" w:eastAsia="SimSun" w:hAnsi="Times New Roman"/>
          <w:snapToGrid w:val="0"/>
          <w:sz w:val="24"/>
          <w:szCs w:val="24"/>
        </w:rPr>
        <w:t xml:space="preserve">стро, апоплектично начало; поява на огнищни неврологични симптоми (напр. хемипареза, нарушение в зрителните полета, координационни нарушения и др.) рано в хода на заболяването; епилептични припадъци или нарушения в походката в самото начало или рано в хода на заболяването. </w:t>
      </w:r>
    </w:p>
    <w:p w14:paraId="288D9809" w14:textId="77777777" w:rsidR="00BE0B19" w:rsidRPr="00AE47C6" w:rsidRDefault="00BE0B19" w:rsidP="00BE0B19">
      <w:pPr>
        <w:spacing w:after="0" w:line="360" w:lineRule="auto"/>
        <w:ind w:firstLine="709"/>
        <w:jc w:val="both"/>
        <w:rPr>
          <w:rFonts w:ascii="Times New Roman" w:eastAsia="SimSun" w:hAnsi="Times New Roman"/>
          <w:snapToGrid w:val="0"/>
          <w:sz w:val="24"/>
          <w:szCs w:val="24"/>
        </w:rPr>
      </w:pPr>
      <w:r w:rsidRPr="00AE47C6">
        <w:rPr>
          <w:rFonts w:ascii="Times New Roman" w:eastAsia="SimSun" w:hAnsi="Times New Roman"/>
          <w:bCs/>
          <w:snapToGrid w:val="0"/>
          <w:sz w:val="24"/>
          <w:szCs w:val="24"/>
        </w:rPr>
        <w:t xml:space="preserve">Клинична диагноза </w:t>
      </w:r>
      <w:r w:rsidRPr="00AE47C6">
        <w:rPr>
          <w:rFonts w:ascii="Times New Roman" w:eastAsia="SimSun" w:hAnsi="Times New Roman"/>
          <w:bCs/>
          <w:i/>
          <w:iCs/>
          <w:snapToGrid w:val="0"/>
          <w:sz w:val="24"/>
          <w:szCs w:val="24"/>
        </w:rPr>
        <w:t>възможна БА</w:t>
      </w:r>
      <w:r w:rsidRPr="00AE47C6">
        <w:rPr>
          <w:rFonts w:ascii="Times New Roman" w:eastAsia="SimSun" w:hAnsi="Times New Roman"/>
          <w:snapToGrid w:val="0"/>
          <w:sz w:val="24"/>
          <w:szCs w:val="24"/>
        </w:rPr>
        <w:t xml:space="preserve"> може да бъде поставена при</w:t>
      </w:r>
      <w:r w:rsidRPr="00AE47C6">
        <w:rPr>
          <w:rFonts w:ascii="Times New Roman" w:eastAsia="SimSun" w:hAnsi="Times New Roman"/>
          <w:bCs/>
          <w:snapToGrid w:val="0"/>
          <w:sz w:val="24"/>
          <w:szCs w:val="24"/>
        </w:rPr>
        <w:t xml:space="preserve">: </w:t>
      </w:r>
      <w:r w:rsidRPr="00AE47C6">
        <w:rPr>
          <w:rFonts w:ascii="Times New Roman" w:eastAsia="SimSun" w:hAnsi="Times New Roman"/>
          <w:snapToGrid w:val="0"/>
          <w:sz w:val="24"/>
          <w:szCs w:val="24"/>
        </w:rPr>
        <w:t xml:space="preserve">Наличие на дементен синдром, в отсъствие на друго неврологично, психиатрично или системно заболяване, достатъчно да предизвика деменция и при вариации в дебюта, клиничната картина или хода на заболяването; Наличие на второ системно или мозъчно заболяване достатъчно да предизвика деменция, но което не е причина за деменцията; 3. Научни проучвания, когато е налице изолиран, постепенно прогресиращ когнитивен дефицит при отсъствие на друга видима причина. </w:t>
      </w:r>
    </w:p>
    <w:p w14:paraId="5B0E49EA" w14:textId="77777777" w:rsidR="00BE0B19" w:rsidRPr="00AE47C6" w:rsidRDefault="00BE0B19" w:rsidP="00BE0B19">
      <w:pPr>
        <w:spacing w:after="0" w:line="360" w:lineRule="auto"/>
        <w:ind w:firstLine="709"/>
        <w:jc w:val="both"/>
        <w:rPr>
          <w:rFonts w:ascii="Times New Roman" w:eastAsia="SimSun" w:hAnsi="Times New Roman"/>
          <w:snapToGrid w:val="0"/>
          <w:sz w:val="24"/>
          <w:szCs w:val="24"/>
        </w:rPr>
      </w:pPr>
      <w:r w:rsidRPr="00AE47C6">
        <w:rPr>
          <w:rFonts w:ascii="Times New Roman" w:eastAsia="SimSun" w:hAnsi="Times New Roman"/>
          <w:bCs/>
          <w:snapToGrid w:val="0"/>
          <w:sz w:val="24"/>
          <w:szCs w:val="24"/>
        </w:rPr>
        <w:t xml:space="preserve">Критериите за </w:t>
      </w:r>
      <w:r w:rsidRPr="00AE47C6">
        <w:rPr>
          <w:rFonts w:ascii="Times New Roman" w:eastAsia="SimSun" w:hAnsi="Times New Roman"/>
          <w:bCs/>
          <w:i/>
          <w:iCs/>
          <w:snapToGrid w:val="0"/>
          <w:sz w:val="24"/>
          <w:szCs w:val="24"/>
        </w:rPr>
        <w:t>сигурна БА</w:t>
      </w:r>
      <w:r w:rsidRPr="00AE47C6">
        <w:rPr>
          <w:rFonts w:ascii="Times New Roman" w:eastAsia="SimSun" w:hAnsi="Times New Roman"/>
          <w:bCs/>
          <w:snapToGrid w:val="0"/>
          <w:sz w:val="24"/>
          <w:szCs w:val="24"/>
        </w:rPr>
        <w:t xml:space="preserve"> включват:</w:t>
      </w:r>
      <w:r w:rsidRPr="00AE47C6">
        <w:rPr>
          <w:rFonts w:ascii="Times New Roman" w:eastAsia="SimSun" w:hAnsi="Times New Roman"/>
          <w:snapToGrid w:val="0"/>
          <w:sz w:val="24"/>
          <w:szCs w:val="24"/>
        </w:rPr>
        <w:t xml:space="preserve"> клинични критерии за вероятна болест на Alzheimer и хистопатологично потвърждение получено чрез биопсия или аутопсия.</w:t>
      </w:r>
    </w:p>
    <w:p w14:paraId="4E367C22" w14:textId="77777777" w:rsidR="00BE0B19" w:rsidRPr="00AE47C6" w:rsidRDefault="00BE0B19" w:rsidP="00BE0B19">
      <w:pPr>
        <w:spacing w:after="0" w:line="360" w:lineRule="auto"/>
        <w:ind w:firstLine="709"/>
        <w:jc w:val="both"/>
        <w:rPr>
          <w:rFonts w:ascii="Times New Roman" w:eastAsia="SimSun" w:hAnsi="Times New Roman"/>
          <w:snapToGrid w:val="0"/>
          <w:sz w:val="24"/>
          <w:szCs w:val="24"/>
        </w:rPr>
      </w:pPr>
      <w:r w:rsidRPr="00AE47C6">
        <w:rPr>
          <w:rFonts w:ascii="Times New Roman" w:eastAsia="Shaker2Lancet-Regular" w:hAnsi="Times New Roman"/>
          <w:sz w:val="24"/>
          <w:szCs w:val="24"/>
          <w:lang w:eastAsia="bg-BG"/>
        </w:rPr>
        <w:t>Използваните в момента критерии за диагностика на БА не са ревизирани от около 25 години. Оттогава има значителен напредък в епидемиологичните, молекулярно-генетичните, клинико-патологичните проучвания и диагностичните маркери. В публикуваните неотдавна предложения</w:t>
      </w:r>
      <w:r w:rsidRPr="00AE47C6">
        <w:rPr>
          <w:rFonts w:ascii="Times New Roman" w:eastAsia="Shaker2Lancet-Regular" w:hAnsi="Times New Roman"/>
          <w:iCs/>
          <w:sz w:val="24"/>
          <w:szCs w:val="24"/>
          <w:lang w:eastAsia="bg-BG"/>
        </w:rPr>
        <w:t xml:space="preserve"> за ревизия на критериите за БА се цели идентифицирането на заболяването в по-ранни от досега възможните стадии на болестта</w:t>
      </w:r>
      <w:r w:rsidRPr="00AE47C6">
        <w:rPr>
          <w:rFonts w:ascii="Times New Roman" w:eastAsia="Shaker2Lancet-Regular" w:hAnsi="Times New Roman"/>
          <w:sz w:val="24"/>
          <w:szCs w:val="24"/>
          <w:lang w:eastAsia="bg-BG"/>
        </w:rPr>
        <w:t>. Предлагат се комбинация от маркери за по-ранна и по-голяма специфичност и сензитивност на диагнозата: данните от невроизобразяване (МРТ) за атрофия в областта на медиалния темпорален лоб, ликворните маркери (</w:t>
      </w:r>
      <w:r w:rsidRPr="00AE47C6">
        <w:rPr>
          <w:rFonts w:ascii="Times New Roman" w:eastAsia="SimSun" w:hAnsi="Times New Roman"/>
          <w:sz w:val="24"/>
          <w:szCs w:val="24"/>
          <w:lang w:eastAsia="bg-BG"/>
        </w:rPr>
        <w:t>понижени ликворни нива на Aβ(1–42) и повишени нива на тотален Таu</w:t>
      </w:r>
      <w:r w:rsidRPr="00AE47C6">
        <w:rPr>
          <w:rFonts w:ascii="Times New Roman" w:eastAsia="Shaker2Lancet-Regular" w:hAnsi="Times New Roman"/>
          <w:sz w:val="24"/>
          <w:szCs w:val="24"/>
          <w:lang w:eastAsia="bg-BG"/>
        </w:rPr>
        <w:t xml:space="preserve"> и сензитивни невропсихологични маркери за нарушения в епизодичната памет. </w:t>
      </w:r>
    </w:p>
    <w:p w14:paraId="1B45144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napToGrid w:val="0"/>
          <w:sz w:val="24"/>
          <w:szCs w:val="24"/>
        </w:rPr>
        <w:t xml:space="preserve">Клинична картина при БА. </w:t>
      </w:r>
      <w:r w:rsidRPr="00AE47C6">
        <w:rPr>
          <w:rFonts w:ascii="Times New Roman" w:eastAsia="SimSun" w:hAnsi="Times New Roman"/>
          <w:sz w:val="24"/>
          <w:szCs w:val="24"/>
        </w:rPr>
        <w:t>Това, което типично касае БА, е неусетното начало и постепенното, прогресивно влошаване. Заболяването дебютира обикновено след 50 годишна възраст. Друга характерна особеност в диагностичния алгоритъм е изключването на всички неврологични, психични и други заболявания, както и на алкохолна и медикаментозна злоупотреби, които могат да предизвикат подобен когнитивен дефицит. Използването на описаните критерии повишава значително надеждността на поставената диагноза БА от 50% на 85% за последните 15 години.</w:t>
      </w:r>
    </w:p>
    <w:p w14:paraId="4428695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Болестта на </w:t>
      </w:r>
      <w:r w:rsidRPr="00AE47C6">
        <w:rPr>
          <w:rFonts w:ascii="Times New Roman" w:eastAsia="SimSun" w:hAnsi="Times New Roman"/>
          <w:snapToGrid w:val="0"/>
          <w:sz w:val="24"/>
          <w:szCs w:val="24"/>
        </w:rPr>
        <w:t>Alzheimer</w:t>
      </w:r>
      <w:r w:rsidRPr="00AE47C6">
        <w:rPr>
          <w:rFonts w:ascii="Times New Roman" w:eastAsia="SimSun" w:hAnsi="Times New Roman"/>
          <w:sz w:val="24"/>
          <w:szCs w:val="24"/>
        </w:rPr>
        <w:t xml:space="preserve"> е необратимо и прогресиращо заболяване, което продължава средно 10 – 12 години от момента на диагнозата. Най–разпространеното описание, използвано от клиницистите, приема преминаването на болестта през три стадия: лек, умерен и тежък. </w:t>
      </w:r>
    </w:p>
    <w:p w14:paraId="5D5D541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Първият</w:t>
      </w:r>
      <w:r w:rsidRPr="00AE47C6">
        <w:rPr>
          <w:rFonts w:ascii="Times New Roman" w:eastAsia="SimSun" w:hAnsi="Times New Roman"/>
          <w:sz w:val="24"/>
          <w:szCs w:val="24"/>
        </w:rPr>
        <w:t xml:space="preserve"> е стадия на амнезията (1 – 3 г.). Проявява се предимно с нарушения в епизодичната памет за близки събития (нарушения в заучаването на нова информация), лека аномия </w:t>
      </w:r>
      <w:r w:rsidRPr="00AE47C6">
        <w:rPr>
          <w:rFonts w:ascii="Times New Roman" w:eastAsia="SimSun" w:hAnsi="Times New Roman"/>
          <w:snapToGrid w:val="0"/>
          <w:sz w:val="24"/>
          <w:szCs w:val="24"/>
        </w:rPr>
        <w:t>(затруднение при назоваването)</w:t>
      </w:r>
      <w:r w:rsidRPr="00AE47C6">
        <w:rPr>
          <w:rFonts w:ascii="Times New Roman" w:eastAsia="SimSun" w:hAnsi="Times New Roman"/>
          <w:sz w:val="24"/>
          <w:szCs w:val="24"/>
        </w:rPr>
        <w:t xml:space="preserve">, леко нарушени зрително – пространствени способности и екзекутивни функции (способност за абстракция и бърза превключваемост между различни умствени дейности), тревожност и депресия. </w:t>
      </w:r>
    </w:p>
    <w:p w14:paraId="606FE65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Вторият</w:t>
      </w:r>
      <w:r w:rsidRPr="00AE47C6">
        <w:rPr>
          <w:rFonts w:ascii="Times New Roman" w:eastAsia="SimSun" w:hAnsi="Times New Roman"/>
          <w:sz w:val="24"/>
          <w:szCs w:val="24"/>
        </w:rPr>
        <w:t xml:space="preserve"> е наречен умерен или дементен стадий (1 – 7 г.). Характеризира се със значим когнитивен упадък: наблюдава се нарушение на паметта за близки и далечни събития в съчетание с афазо – апраксо – агностичен синдром. Като следствие болният става все по–неспособен да живее самостоятелно. В поведенческо отношение се описват д</w:t>
      </w:r>
      <w:r w:rsidRPr="00AE47C6">
        <w:rPr>
          <w:rFonts w:ascii="Times New Roman" w:eastAsia="SimSun" w:hAnsi="Times New Roman"/>
          <w:snapToGrid w:val="0"/>
          <w:sz w:val="24"/>
          <w:szCs w:val="24"/>
        </w:rPr>
        <w:t>елюзии, ажитираност и обърканост.</w:t>
      </w:r>
    </w:p>
    <w:p w14:paraId="3FE5B98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Третият</w:t>
      </w:r>
      <w:r w:rsidRPr="00AE47C6">
        <w:rPr>
          <w:rFonts w:ascii="Times New Roman" w:eastAsia="SimSun" w:hAnsi="Times New Roman"/>
          <w:sz w:val="24"/>
          <w:szCs w:val="24"/>
        </w:rPr>
        <w:t xml:space="preserve"> стадий, наречен вегетативен (1 – 3 г.), се характеризира с пълната невъзможност на болния да се грижи сам за себе си, да общува, дори да се храни самостоятелно. При 40% от болните се наблюдава екстрапирамиден паркинсонов синдром. Паркинсонизмът е </w:t>
      </w:r>
      <w:r w:rsidRPr="00AE47C6">
        <w:rPr>
          <w:rFonts w:ascii="Times New Roman" w:eastAsia="SimSun" w:hAnsi="Times New Roman"/>
          <w:snapToGrid w:val="0"/>
          <w:sz w:val="24"/>
          <w:szCs w:val="24"/>
        </w:rPr>
        <w:t xml:space="preserve">спонтанен и е </w:t>
      </w:r>
      <w:r w:rsidRPr="00AE47C6">
        <w:rPr>
          <w:rFonts w:ascii="Times New Roman" w:eastAsia="SimSun" w:hAnsi="Times New Roman"/>
          <w:sz w:val="24"/>
          <w:szCs w:val="24"/>
        </w:rPr>
        <w:t>доминиран от ригидно променения тонус и брадикинезията, като треморът не е характерен симптом.</w:t>
      </w:r>
    </w:p>
    <w:p w14:paraId="6B0C5DC4" w14:textId="77777777" w:rsidR="00BE0B19" w:rsidRPr="00AE47C6" w:rsidRDefault="00BE0B19" w:rsidP="00BE0B19">
      <w:pPr>
        <w:spacing w:after="0" w:line="360" w:lineRule="auto"/>
        <w:ind w:firstLine="709"/>
        <w:jc w:val="both"/>
        <w:rPr>
          <w:rFonts w:ascii="Times New Roman" w:eastAsia="SimSun" w:hAnsi="Times New Roman"/>
          <w:sz w:val="24"/>
          <w:szCs w:val="24"/>
        </w:rPr>
      </w:pPr>
    </w:p>
    <w:p w14:paraId="54761898"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І. Ревизирани  NINCDS-ADRDA критерии </w:t>
      </w:r>
    </w:p>
    <w:p w14:paraId="519A6ABD"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bCs/>
          <w:i/>
          <w:iCs/>
          <w:sz w:val="24"/>
          <w:szCs w:val="24"/>
        </w:rPr>
      </w:pPr>
      <w:r w:rsidRPr="00AE47C6">
        <w:rPr>
          <w:rFonts w:ascii="Times New Roman" w:eastAsia="SimSun" w:hAnsi="Times New Roman"/>
          <w:b/>
          <w:bCs/>
          <w:i/>
          <w:sz w:val="24"/>
          <w:szCs w:val="24"/>
        </w:rPr>
        <w:t xml:space="preserve">(International Working Group, IWG критерии - </w:t>
      </w:r>
      <w:r w:rsidRPr="00AE47C6">
        <w:rPr>
          <w:rFonts w:ascii="Times New Roman" w:eastAsia="SimSun" w:hAnsi="Times New Roman"/>
          <w:b/>
          <w:bCs/>
          <w:i/>
          <w:iCs/>
          <w:sz w:val="24"/>
          <w:szCs w:val="24"/>
        </w:rPr>
        <w:t>Dubois et al., Lancet Neurol., 2007, 2010)</w:t>
      </w:r>
    </w:p>
    <w:p w14:paraId="2BFDC79A"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Dubois и колеги, от Международната Работна Група (IWG) разработиха нови клинико-биологични критерии за диагностика на БА. Новите критерии имат няколко важни аспекта: </w:t>
      </w:r>
    </w:p>
    <w:p w14:paraId="41DF2AD9"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а) дефинитивната диагноза може да се постави приживе и не е нужно хистологично потвърждение постмортем - направен е мост за преминаване от клинико-патологична парадигма към клинико-биологична парадигма; </w:t>
      </w:r>
    </w:p>
    <w:p w14:paraId="297BA0B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б ) поставянето на диагнозата БА може да се направи с по-голяма сигурност (96%) и не е нужно да се използва термина "вероятна БА"; </w:t>
      </w:r>
    </w:p>
    <w:p w14:paraId="06D29808"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в) другите заболявания могат да бъдат изключени с изследване на биомаркери (за разлика от лошите отрицателни прогностични стойности на по-старите критерии); </w:t>
      </w:r>
    </w:p>
    <w:p w14:paraId="581F19C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г) диагностицирането на БА може да се направи преди началото на деменция; </w:t>
      </w:r>
    </w:p>
    <w:p w14:paraId="3C2E0F2A"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д) идентификация на патологията на БА при рисковите лица за развитие на симптоматична БА, може да се проведе при асимптоматичните индивиди; </w:t>
      </w:r>
    </w:p>
    <w:p w14:paraId="4E08867D"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е) същият клинико-биологичен подход и същите критерии могат да бъдат използвани за диагностика на всички фази на симптоматичната БА, независимо от това дали е налице деменция; </w:t>
      </w:r>
    </w:p>
    <w:p w14:paraId="381C4725"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г) най-честият фенотип и типичното представяне на БА е хипокампален тип паметово нарушение с лошо кодиране и повече отговори при семантичното подпомагане; </w:t>
      </w:r>
    </w:p>
    <w:p w14:paraId="2FE23933"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з) няколко биомаркери могат да подкрепят наличието на патология на БА и да отговарят на критериите - </w:t>
      </w:r>
      <w:r w:rsidRPr="00AE47C6">
        <w:rPr>
          <w:rFonts w:ascii="Times New Roman" w:eastAsia="SimSun" w:hAnsi="Times New Roman"/>
          <w:i/>
          <w:sz w:val="24"/>
          <w:szCs w:val="24"/>
        </w:rPr>
        <w:t>патофизиологични</w:t>
      </w:r>
      <w:r w:rsidRPr="00AE47C6">
        <w:rPr>
          <w:rFonts w:ascii="Times New Roman" w:eastAsia="SimSun" w:hAnsi="Times New Roman"/>
          <w:sz w:val="24"/>
          <w:szCs w:val="24"/>
        </w:rPr>
        <w:t xml:space="preserve"> (амилоидна образна диагностика, ликворни изследвания за β-амилоид и тау протеини) и </w:t>
      </w:r>
      <w:r w:rsidRPr="00AE47C6">
        <w:rPr>
          <w:rFonts w:ascii="Times New Roman" w:eastAsia="SimSun" w:hAnsi="Times New Roman"/>
          <w:i/>
          <w:sz w:val="24"/>
          <w:szCs w:val="24"/>
        </w:rPr>
        <w:t>топографски</w:t>
      </w:r>
      <w:r w:rsidRPr="00AE47C6">
        <w:rPr>
          <w:rFonts w:ascii="Times New Roman" w:eastAsia="SimSun" w:hAnsi="Times New Roman"/>
          <w:sz w:val="24"/>
          <w:szCs w:val="24"/>
        </w:rPr>
        <w:t xml:space="preserve"> (МРТ, FDG-PET и SPECT) биомаркери. Наличие на положителен резултат от биомаркерите е рисков фактор за прогресия към БА в бъдеще.</w:t>
      </w:r>
    </w:p>
    <w:p w14:paraId="14B91C71"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bCs/>
          <w:sz w:val="24"/>
          <w:szCs w:val="24"/>
        </w:rPr>
      </w:pPr>
    </w:p>
    <w:p w14:paraId="1C84D665"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napToGrid w:val="0"/>
          <w:sz w:val="24"/>
          <w:szCs w:val="24"/>
          <w:lang w:eastAsia="bg-BG"/>
        </w:rPr>
      </w:pPr>
      <w:r w:rsidRPr="00AE47C6">
        <w:rPr>
          <w:rFonts w:ascii="Times New Roman" w:eastAsia="SimSun" w:hAnsi="Times New Roman"/>
          <w:b/>
          <w:bCs/>
          <w:sz w:val="24"/>
          <w:szCs w:val="24"/>
          <w:lang w:eastAsia="bg-BG"/>
        </w:rPr>
        <w:t xml:space="preserve">Принципи при </w:t>
      </w:r>
      <w:r w:rsidRPr="00AE47C6">
        <w:rPr>
          <w:rFonts w:ascii="Times New Roman" w:eastAsia="SimSun" w:hAnsi="Times New Roman"/>
          <w:b/>
          <w:bCs/>
          <w:snapToGrid w:val="0"/>
          <w:sz w:val="24"/>
          <w:szCs w:val="24"/>
          <w:lang w:eastAsia="bg-BG"/>
        </w:rPr>
        <w:t xml:space="preserve">ранната диагноза на БА </w:t>
      </w:r>
    </w:p>
    <w:p w14:paraId="2F21B523"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napToGrid w:val="0"/>
          <w:sz w:val="24"/>
          <w:szCs w:val="24"/>
          <w:lang w:eastAsia="bg-BG"/>
        </w:rPr>
      </w:pPr>
    </w:p>
    <w:p w14:paraId="3B2ECE6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Леко когнитивно нарушение – предементен стадий на БА </w:t>
      </w:r>
    </w:p>
    <w:p w14:paraId="0DB0A188" w14:textId="77777777" w:rsidR="00BE0B19" w:rsidRPr="00AE47C6" w:rsidRDefault="00BE0B19" w:rsidP="00BE0B19">
      <w:pPr>
        <w:spacing w:after="0" w:line="360" w:lineRule="auto"/>
        <w:jc w:val="both"/>
        <w:rPr>
          <w:rFonts w:ascii="Times New Roman" w:eastAsia="SimSun" w:hAnsi="Times New Roman"/>
          <w:sz w:val="24"/>
          <w:szCs w:val="24"/>
        </w:rPr>
      </w:pPr>
    </w:p>
    <w:p w14:paraId="4C3191A8" w14:textId="77777777" w:rsidR="00BE0B19" w:rsidRPr="00AE47C6" w:rsidRDefault="00BE0B19" w:rsidP="00BE0B19">
      <w:pPr>
        <w:spacing w:after="0" w:line="360" w:lineRule="auto"/>
        <w:ind w:firstLine="708"/>
        <w:jc w:val="both"/>
        <w:rPr>
          <w:rFonts w:ascii="Times New Roman" w:eastAsia="SimSun" w:hAnsi="Times New Roman"/>
          <w:snapToGrid w:val="0"/>
          <w:sz w:val="24"/>
          <w:szCs w:val="24"/>
        </w:rPr>
      </w:pPr>
      <w:r w:rsidRPr="00AE47C6">
        <w:rPr>
          <w:rFonts w:ascii="Times New Roman" w:eastAsia="SimSun" w:hAnsi="Times New Roman"/>
          <w:sz w:val="24"/>
          <w:szCs w:val="24"/>
        </w:rPr>
        <w:t>И</w:t>
      </w:r>
      <w:r w:rsidRPr="00AE47C6">
        <w:rPr>
          <w:rFonts w:ascii="Times New Roman" w:eastAsia="SimSun" w:hAnsi="Times New Roman"/>
          <w:snapToGrid w:val="0"/>
          <w:sz w:val="24"/>
          <w:szCs w:val="24"/>
        </w:rPr>
        <w:t>зползването на описания диагностичен алгоритъм дава възможност за сравнително лесно идентифициране на лицата, страдащи от деменция, особено когато дементния синдром е ясно проявен. За да може обаче да се постигне ефикасно лечение или да се говори за профилактично въздействие, то деменцията трябва да бъде разпозната максимално рано. При БА диагностичните проблеми се появяват именно в началните етапи, когато ранната деменция трябва да бъде разграничена от когнитивния дефицит при нормалното стареене</w:t>
      </w:r>
    </w:p>
    <w:p w14:paraId="24ADBD2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Проучванията в последните години свидетелстват за наличието на континиум на функциите между </w:t>
      </w:r>
      <w:r w:rsidRPr="00AE47C6">
        <w:rPr>
          <w:rFonts w:ascii="Times New Roman" w:eastAsia="SimSun" w:hAnsi="Times New Roman"/>
          <w:snapToGrid w:val="0"/>
          <w:sz w:val="24"/>
          <w:szCs w:val="24"/>
        </w:rPr>
        <w:t>нормалното стареене</w:t>
      </w:r>
      <w:r w:rsidRPr="00AE47C6">
        <w:rPr>
          <w:rFonts w:ascii="Times New Roman" w:eastAsia="SimSun" w:hAnsi="Times New Roman"/>
          <w:sz w:val="24"/>
          <w:szCs w:val="24"/>
        </w:rPr>
        <w:t xml:space="preserve"> и най–ранните признаци на БА. Това преходно състояние е означено като </w:t>
      </w:r>
      <w:r w:rsidRPr="00AE47C6">
        <w:rPr>
          <w:rFonts w:ascii="Times New Roman" w:eastAsia="SimSun" w:hAnsi="Times New Roman"/>
          <w:b/>
          <w:i/>
          <w:iCs/>
          <w:sz w:val="24"/>
          <w:szCs w:val="24"/>
        </w:rPr>
        <w:t>леко когнитивно нарушение- ЛКН</w:t>
      </w:r>
      <w:r w:rsidRPr="00AE47C6">
        <w:rPr>
          <w:rFonts w:ascii="Times New Roman" w:eastAsia="SimSun" w:hAnsi="Times New Roman"/>
          <w:sz w:val="24"/>
          <w:szCs w:val="24"/>
        </w:rPr>
        <w:t xml:space="preserve"> (mild cognitive impairment, MCI). Лекото когнитивно нарушение характеризира лица, които имат паметови нарушения, по–изразени от очакваните за съответната възраст, при съхранено общо когнитивно функциониране и нормални ежедневни дейност и поради това те не отговарят на диагностичните критерии за БА (виж приложение). </w:t>
      </w:r>
    </w:p>
    <w:p w14:paraId="383EB3A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Най-ясно проявен е дефицитът във вербалната епизодична памет, докато другите когнитивни функции (напр. реч, праксис и гнозис) изглеждат съхранени. Въз основа на данни от структурни изобразяващи изследвания на мозъка при болни с ЛКН се установява, че когнитивният дефицит е свързан с атрофични промени в медиалния темпорален мозъчен дял (енториналния кортекс и амигдало-хипокампалния комплекс). Когато се проследят лонгитудинално, те показват тенденция за прогресиране към клинично вероятна БА с честота 10-15% за една година. Този процент надхвърля неколкократно заболяемостта, наблюдавана при здрави възрастни лица в общата популация. </w:t>
      </w:r>
    </w:p>
    <w:p w14:paraId="587EB46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Проведените двойно-слепи, рандомизирани, плацебо-контролирани мултицентрови терапевтични проучвания при пациенти с </w:t>
      </w:r>
      <w:r w:rsidRPr="00AE47C6">
        <w:rPr>
          <w:rFonts w:ascii="Times New Roman" w:eastAsia="SimSun" w:hAnsi="Times New Roman"/>
          <w:iCs/>
          <w:sz w:val="24"/>
          <w:szCs w:val="24"/>
        </w:rPr>
        <w:t>ЛКН</w:t>
      </w:r>
      <w:r w:rsidRPr="00AE47C6">
        <w:rPr>
          <w:rFonts w:ascii="Times New Roman" w:eastAsia="SimSun" w:hAnsi="Times New Roman"/>
          <w:sz w:val="24"/>
          <w:szCs w:val="24"/>
        </w:rPr>
        <w:t xml:space="preserve"> показват значимо подобрение на когнитивните нарушения. В ход са няколко големи клинико-терапевтични изследвания в насока превенция на болестта с помощта на вече познати средства: AChE-инхибитори, ноотропни и невропротектори. Ранното им и правилно диагностициране и лечение би могло да забави прогресирането на когнитивните нарушения и да отсрочи появата на дементния синдром. </w:t>
      </w:r>
    </w:p>
    <w:p w14:paraId="0FDBD01A" w14:textId="77777777" w:rsidR="00BE0B19" w:rsidRPr="00AE47C6" w:rsidRDefault="00BE0B19" w:rsidP="00BE0B19">
      <w:pPr>
        <w:spacing w:after="0" w:line="360" w:lineRule="auto"/>
        <w:ind w:firstLine="709"/>
        <w:jc w:val="both"/>
        <w:rPr>
          <w:rFonts w:ascii="Times New Roman" w:eastAsia="SimSun" w:hAnsi="Times New Roman"/>
          <w:b/>
          <w:iCs/>
          <w:sz w:val="24"/>
          <w:szCs w:val="24"/>
        </w:rPr>
      </w:pPr>
    </w:p>
    <w:p w14:paraId="7ECB3282"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napToGrid w:val="0"/>
          <w:sz w:val="24"/>
          <w:szCs w:val="24"/>
          <w:lang w:eastAsia="bg-BG"/>
        </w:rPr>
      </w:pPr>
      <w:r w:rsidRPr="00AE47C6">
        <w:rPr>
          <w:rFonts w:ascii="Times New Roman" w:eastAsia="SimSun" w:hAnsi="Times New Roman"/>
          <w:b/>
          <w:bCs/>
          <w:sz w:val="24"/>
          <w:szCs w:val="24"/>
          <w:lang w:eastAsia="bg-BG"/>
        </w:rPr>
        <w:t xml:space="preserve">Принципи при </w:t>
      </w:r>
      <w:r w:rsidRPr="00AE47C6">
        <w:rPr>
          <w:rFonts w:ascii="Times New Roman" w:eastAsia="SimSun" w:hAnsi="Times New Roman"/>
          <w:b/>
          <w:bCs/>
          <w:snapToGrid w:val="0"/>
          <w:sz w:val="24"/>
          <w:szCs w:val="24"/>
          <w:lang w:eastAsia="bg-BG"/>
        </w:rPr>
        <w:t xml:space="preserve">ранната диагноза на БА </w:t>
      </w:r>
    </w:p>
    <w:p w14:paraId="545DA6D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(Леко когнитивно нарушение – предементен стадий на БА) </w:t>
      </w:r>
    </w:p>
    <w:p w14:paraId="27D6DC54" w14:textId="77777777" w:rsidR="00BE0B19" w:rsidRPr="00AE47C6" w:rsidRDefault="00BE0B19" w:rsidP="00BE0B19">
      <w:pPr>
        <w:spacing w:after="0" w:line="360" w:lineRule="auto"/>
        <w:ind w:firstLine="708"/>
        <w:jc w:val="both"/>
        <w:rPr>
          <w:rFonts w:ascii="Times New Roman" w:eastAsia="SimSun" w:hAnsi="Times New Roman"/>
          <w:snapToGrid w:val="0"/>
          <w:sz w:val="24"/>
          <w:szCs w:val="24"/>
        </w:rPr>
      </w:pPr>
      <w:r w:rsidRPr="00AE47C6">
        <w:rPr>
          <w:rFonts w:ascii="Times New Roman" w:eastAsia="SimSun" w:hAnsi="Times New Roman"/>
          <w:sz w:val="24"/>
          <w:szCs w:val="24"/>
        </w:rPr>
        <w:t>И</w:t>
      </w:r>
      <w:r w:rsidRPr="00AE47C6">
        <w:rPr>
          <w:rFonts w:ascii="Times New Roman" w:eastAsia="SimSun" w:hAnsi="Times New Roman"/>
          <w:snapToGrid w:val="0"/>
          <w:sz w:val="24"/>
          <w:szCs w:val="24"/>
        </w:rPr>
        <w:t>зползването на описания диагностичен алгоритъм дава възможност за сравнително лесно идентифициране на лицата, страдащи от деменция, особено когато дементния синдром е ясно проявен. За да може обаче да се постигне ефикасно лечение или да се говори за профилактично въздействие, то деменцията трябва да бъде разпозната максимално рано. При БА диагностичните проблеми се появяват именно в началните етапи, когато ранната деменция трябва да бъде разграничена от когнитивния дефицит при нормалното стареене</w:t>
      </w:r>
    </w:p>
    <w:p w14:paraId="78CF41E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Проучванията в последните години свидетелстват за наличието на континиум на функциите между </w:t>
      </w:r>
      <w:r w:rsidRPr="00AE47C6">
        <w:rPr>
          <w:rFonts w:ascii="Times New Roman" w:eastAsia="SimSun" w:hAnsi="Times New Roman"/>
          <w:snapToGrid w:val="0"/>
          <w:sz w:val="24"/>
          <w:szCs w:val="24"/>
        </w:rPr>
        <w:t>нормалното стареене</w:t>
      </w:r>
      <w:r w:rsidRPr="00AE47C6">
        <w:rPr>
          <w:rFonts w:ascii="Times New Roman" w:eastAsia="SimSun" w:hAnsi="Times New Roman"/>
          <w:sz w:val="24"/>
          <w:szCs w:val="24"/>
        </w:rPr>
        <w:t xml:space="preserve"> и най–ранните признаци на БА. Това преходно състояние е означено като </w:t>
      </w:r>
      <w:r w:rsidRPr="00AE47C6">
        <w:rPr>
          <w:rFonts w:ascii="Times New Roman" w:eastAsia="SimSun" w:hAnsi="Times New Roman"/>
          <w:b/>
          <w:i/>
          <w:iCs/>
          <w:sz w:val="24"/>
          <w:szCs w:val="24"/>
        </w:rPr>
        <w:t>леко когнитивно нарушение-ЛКН</w:t>
      </w:r>
      <w:r w:rsidRPr="00AE47C6">
        <w:rPr>
          <w:rFonts w:ascii="Times New Roman" w:eastAsia="SimSun" w:hAnsi="Times New Roman"/>
          <w:sz w:val="24"/>
          <w:szCs w:val="24"/>
        </w:rPr>
        <w:t xml:space="preserve"> (mild cognitive impairment, MCI). </w:t>
      </w:r>
    </w:p>
    <w:p w14:paraId="42202E62"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Критерии за ЛКН като клиничен и когнитивен синдром</w:t>
      </w:r>
    </w:p>
    <w:p w14:paraId="67A03BFE" w14:textId="77777777" w:rsidR="00BE0B19" w:rsidRPr="00AE47C6" w:rsidRDefault="00BE0B19" w:rsidP="00BE0B19">
      <w:pPr>
        <w:numPr>
          <w:ilvl w:val="0"/>
          <w:numId w:val="108"/>
        </w:numPr>
        <w:spacing w:after="0" w:line="360" w:lineRule="auto"/>
        <w:ind w:left="0"/>
        <w:jc w:val="both"/>
        <w:rPr>
          <w:rFonts w:ascii="Times New Roman" w:eastAsia="SimSun" w:hAnsi="Times New Roman"/>
          <w:sz w:val="24"/>
          <w:szCs w:val="24"/>
        </w:rPr>
      </w:pPr>
      <w:r w:rsidRPr="00AE47C6">
        <w:rPr>
          <w:rFonts w:ascii="Times New Roman" w:eastAsia="SimSun" w:hAnsi="Times New Roman"/>
          <w:i/>
          <w:sz w:val="24"/>
          <w:szCs w:val="24"/>
        </w:rPr>
        <w:t>Наличие на промяна в когнитивните функции</w:t>
      </w:r>
      <w:r w:rsidRPr="00AE47C6">
        <w:rPr>
          <w:rFonts w:ascii="Times New Roman" w:eastAsia="SimSun" w:hAnsi="Times New Roman"/>
          <w:sz w:val="24"/>
          <w:szCs w:val="24"/>
        </w:rPr>
        <w:t xml:space="preserve"> - трябва да има доказателства за промяна в когнитивните функции на пациента в сравнение с предишното ниво. </w:t>
      </w:r>
    </w:p>
    <w:p w14:paraId="092A69AD" w14:textId="77777777" w:rsidR="00BE0B19" w:rsidRPr="00AE47C6" w:rsidRDefault="00BE0B19" w:rsidP="00BE0B19">
      <w:pPr>
        <w:numPr>
          <w:ilvl w:val="0"/>
          <w:numId w:val="108"/>
        </w:numPr>
        <w:spacing w:after="0" w:line="360" w:lineRule="auto"/>
        <w:ind w:left="0"/>
        <w:jc w:val="both"/>
        <w:rPr>
          <w:rFonts w:ascii="Times New Roman" w:eastAsia="SimSun" w:hAnsi="Times New Roman"/>
          <w:sz w:val="24"/>
          <w:szCs w:val="24"/>
        </w:rPr>
      </w:pPr>
      <w:r w:rsidRPr="00AE47C6">
        <w:rPr>
          <w:rFonts w:ascii="Times New Roman" w:eastAsia="SimSun" w:hAnsi="Times New Roman"/>
          <w:i/>
          <w:sz w:val="24"/>
          <w:szCs w:val="24"/>
        </w:rPr>
        <w:t>Нарушение в една или повече когнитивни области</w:t>
      </w:r>
      <w:r w:rsidRPr="00AE47C6">
        <w:rPr>
          <w:rFonts w:ascii="Times New Roman" w:eastAsia="SimSun" w:hAnsi="Times New Roman"/>
          <w:sz w:val="24"/>
          <w:szCs w:val="24"/>
        </w:rPr>
        <w:t xml:space="preserve"> - трябва да има доказателства за по-ниски показатели в една или повече когнитивни сфери, като снижението е по-голямо отколкото се очаква за възрастта и образователния ценз на пациента.</w:t>
      </w:r>
    </w:p>
    <w:p w14:paraId="3B24C2A0" w14:textId="77777777" w:rsidR="00BE0B19" w:rsidRPr="00AE47C6" w:rsidRDefault="00BE0B19" w:rsidP="00BE0B19">
      <w:pPr>
        <w:numPr>
          <w:ilvl w:val="0"/>
          <w:numId w:val="107"/>
        </w:numPr>
        <w:spacing w:after="0" w:line="360" w:lineRule="auto"/>
        <w:ind w:left="0"/>
        <w:jc w:val="both"/>
        <w:rPr>
          <w:rFonts w:ascii="Times New Roman" w:eastAsia="SimSun" w:hAnsi="Times New Roman"/>
          <w:sz w:val="24"/>
          <w:szCs w:val="24"/>
        </w:rPr>
      </w:pPr>
      <w:r w:rsidRPr="00AE47C6">
        <w:rPr>
          <w:rFonts w:ascii="Times New Roman" w:eastAsia="SimSun" w:hAnsi="Times New Roman"/>
          <w:i/>
          <w:sz w:val="24"/>
          <w:szCs w:val="24"/>
        </w:rPr>
        <w:t>Съхранение на независимостта във функционалните способности</w:t>
      </w:r>
      <w:r w:rsidRPr="00AE47C6">
        <w:rPr>
          <w:rFonts w:ascii="Times New Roman" w:eastAsia="SimSun" w:hAnsi="Times New Roman"/>
          <w:sz w:val="24"/>
          <w:szCs w:val="24"/>
        </w:rPr>
        <w:t xml:space="preserve"> - Лица с ЛКН често имат леки проблеми при изпълнение на сложни функционални задачи, които по-рано са извършвали, като например плащането на сметки, подготовка на храна или пазаруване. </w:t>
      </w:r>
    </w:p>
    <w:p w14:paraId="0C4B577C" w14:textId="77777777" w:rsidR="00BE0B19" w:rsidRPr="00AE47C6" w:rsidRDefault="00BE0B19" w:rsidP="00BE0B19">
      <w:pPr>
        <w:numPr>
          <w:ilvl w:val="0"/>
          <w:numId w:val="107"/>
        </w:numPr>
        <w:spacing w:after="0" w:line="360" w:lineRule="auto"/>
        <w:ind w:left="0"/>
        <w:jc w:val="both"/>
        <w:rPr>
          <w:rFonts w:ascii="Times New Roman" w:eastAsia="SimSun" w:hAnsi="Times New Roman"/>
          <w:sz w:val="24"/>
          <w:szCs w:val="24"/>
        </w:rPr>
      </w:pPr>
      <w:r w:rsidRPr="00AE47C6">
        <w:rPr>
          <w:rFonts w:ascii="Times New Roman" w:eastAsia="SimSun" w:hAnsi="Times New Roman"/>
          <w:i/>
          <w:sz w:val="24"/>
          <w:szCs w:val="24"/>
        </w:rPr>
        <w:t>Липса на деменция</w:t>
      </w:r>
      <w:r w:rsidRPr="00AE47C6">
        <w:rPr>
          <w:rFonts w:ascii="Times New Roman" w:eastAsia="SimSun" w:hAnsi="Times New Roman"/>
          <w:sz w:val="24"/>
          <w:szCs w:val="24"/>
        </w:rPr>
        <w:t xml:space="preserve">. </w:t>
      </w:r>
    </w:p>
    <w:p w14:paraId="4167DDFA"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bCs/>
          <w:sz w:val="24"/>
          <w:szCs w:val="24"/>
        </w:rPr>
      </w:pPr>
    </w:p>
    <w:p w14:paraId="48BBA6E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i/>
          <w:sz w:val="24"/>
          <w:szCs w:val="24"/>
        </w:rPr>
      </w:pPr>
      <w:r w:rsidRPr="00AE47C6">
        <w:rPr>
          <w:rFonts w:ascii="Times New Roman" w:eastAsia="SimSun" w:hAnsi="Times New Roman"/>
          <w:b/>
          <w:bCs/>
          <w:sz w:val="24"/>
          <w:szCs w:val="24"/>
        </w:rPr>
        <w:t>Когнитивни характеристики на ЛКН</w:t>
      </w:r>
    </w:p>
    <w:p w14:paraId="61FF832D" w14:textId="77777777" w:rsidR="00BE0B19" w:rsidRPr="00AE47C6" w:rsidRDefault="00BE0B19" w:rsidP="00BE0B19">
      <w:pPr>
        <w:numPr>
          <w:ilvl w:val="0"/>
          <w:numId w:val="109"/>
        </w:numPr>
        <w:autoSpaceDE w:val="0"/>
        <w:autoSpaceDN w:val="0"/>
        <w:adjustRightInd w:val="0"/>
        <w:spacing w:after="0" w:line="360" w:lineRule="auto"/>
        <w:ind w:left="0"/>
        <w:jc w:val="both"/>
        <w:rPr>
          <w:rFonts w:ascii="Times New Roman" w:eastAsia="SimSun" w:hAnsi="Times New Roman"/>
          <w:sz w:val="24"/>
          <w:szCs w:val="24"/>
        </w:rPr>
      </w:pPr>
      <w:r w:rsidRPr="00AE47C6">
        <w:rPr>
          <w:rFonts w:ascii="Times New Roman" w:eastAsia="SimSun" w:hAnsi="Times New Roman"/>
          <w:i/>
          <w:sz w:val="24"/>
          <w:szCs w:val="24"/>
        </w:rPr>
        <w:t>Невропсихологичното изследване е оптимален инструмент за обективната оценка на степента на когнитивното нарушение.</w:t>
      </w:r>
      <w:r w:rsidRPr="00AE47C6">
        <w:rPr>
          <w:rFonts w:ascii="Times New Roman" w:eastAsia="SimSun" w:hAnsi="Times New Roman"/>
          <w:sz w:val="24"/>
          <w:szCs w:val="24"/>
        </w:rPr>
        <w:t xml:space="preserve"> Резултатите от когнитивните тестове за лица с ЛКН са обикновено от 1 до 1.5 стандартни отклонения под средната стойност за тяхната възраст и образование. При атипична клинична картина на БА има специфични клинични и невропсихологични профили, които също отразяват ЛКН-БА.</w:t>
      </w:r>
    </w:p>
    <w:p w14:paraId="22582E37" w14:textId="77777777" w:rsidR="00BE0B19" w:rsidRPr="00AE47C6" w:rsidRDefault="00BE0B19" w:rsidP="00BE0B19">
      <w:pPr>
        <w:numPr>
          <w:ilvl w:val="0"/>
          <w:numId w:val="109"/>
        </w:numPr>
        <w:autoSpaceDE w:val="0"/>
        <w:autoSpaceDN w:val="0"/>
        <w:adjustRightInd w:val="0"/>
        <w:spacing w:after="0" w:line="360" w:lineRule="auto"/>
        <w:ind w:left="0"/>
        <w:jc w:val="both"/>
        <w:rPr>
          <w:rFonts w:ascii="Times New Roman" w:eastAsia="SimSun" w:hAnsi="Times New Roman"/>
          <w:sz w:val="24"/>
          <w:szCs w:val="24"/>
        </w:rPr>
      </w:pPr>
      <w:r w:rsidRPr="00AE47C6">
        <w:rPr>
          <w:rFonts w:ascii="Times New Roman" w:eastAsia="SimSun" w:hAnsi="Times New Roman"/>
          <w:bCs/>
          <w:i/>
          <w:sz w:val="24"/>
          <w:szCs w:val="24"/>
        </w:rPr>
        <w:t>Проследяващи невропсихологични изследвания</w:t>
      </w:r>
      <w:r w:rsidRPr="00AE47C6">
        <w:rPr>
          <w:rFonts w:ascii="Times New Roman" w:eastAsia="SimSun" w:hAnsi="Times New Roman"/>
          <w:bCs/>
          <w:sz w:val="24"/>
          <w:szCs w:val="24"/>
        </w:rPr>
        <w:t>. Те м</w:t>
      </w:r>
      <w:r w:rsidRPr="00AE47C6">
        <w:rPr>
          <w:rFonts w:ascii="Times New Roman" w:eastAsia="SimSun" w:hAnsi="Times New Roman"/>
          <w:sz w:val="24"/>
          <w:szCs w:val="24"/>
        </w:rPr>
        <w:t>огат да дадат доказателство за постепенен спад в когнитивните функции и да предоставят допълнителна информация за това, че пациентът има "ЛКН-БА".</w:t>
      </w:r>
    </w:p>
    <w:p w14:paraId="2BF1B7CB"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p>
    <w:p w14:paraId="7324A8FB"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Етиология на клиничния синдром на ЛКН в съответствие с БА</w:t>
      </w:r>
    </w:p>
    <w:p w14:paraId="607394E6" w14:textId="77777777" w:rsidR="00BE0B19" w:rsidRPr="00AE47C6" w:rsidRDefault="00BE0B19" w:rsidP="00BE0B19">
      <w:pPr>
        <w:autoSpaceDE w:val="0"/>
        <w:autoSpaceDN w:val="0"/>
        <w:adjustRightInd w:val="0"/>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 xml:space="preserve">За да бъдат в сила основните клиничните критерии за ЛКН, е </w:t>
      </w:r>
      <w:r w:rsidRPr="00AE47C6">
        <w:rPr>
          <w:rFonts w:ascii="Times New Roman" w:eastAsia="SimSun" w:hAnsi="Times New Roman"/>
          <w:i/>
          <w:sz w:val="24"/>
          <w:szCs w:val="24"/>
        </w:rPr>
        <w:t>необходимо да се изключат  други  системни или мозъчни заболявания</w:t>
      </w:r>
      <w:r w:rsidRPr="00AE47C6">
        <w:rPr>
          <w:rFonts w:ascii="Times New Roman" w:eastAsia="SimSun" w:hAnsi="Times New Roman"/>
          <w:sz w:val="24"/>
          <w:szCs w:val="24"/>
        </w:rPr>
        <w:t>, които биха могли да предизвикат спад в когнитивните функции (съдови, травматични и др.). Целта на тази оценка е да се увеличи вероятността, че основното заболяване е невродегенеративно разстройство с характеристики съответстващи на БА. Тази диагностична стратегия е подобна на използваната при диагностициране на "деменция при БА". Това може да включва търсене на прояви за: (1) паркинсонизъм, включително изявени зрителни халюцинации и нарушение в бързите очни движения в съня, често наблюдавани при деменция с телца на Леви, (2) множествени съдови рискови фактори и/или наличието на обширна мозъчно-съдова болест от структурните мозъчни изобразявания, което е показателно за съдово когнитивно нарушение, (3) изявени поведенчески или езикови нарушения в началото на заболяването, което може да е белег на ФТЛД, или (4) много бърза прогресия на когнитивните нарушения за седмици или месеци, обикновено характерно за прионови заболявания, неоплазма или метаболитни заболявания. Трябва да се отбележи, че патологични характеристики на някои от тези заболявания могат да съществуват в комбинация с БА (например, дифузните телца на Леви и мозъчно-съдова болест), особено сред лица в напреднала възраст.</w:t>
      </w:r>
    </w:p>
    <w:p w14:paraId="4D24352A" w14:textId="77777777" w:rsidR="00BE0B19" w:rsidRPr="00AE47C6" w:rsidRDefault="00BE0B19" w:rsidP="00BE0B19">
      <w:pPr>
        <w:autoSpaceDE w:val="0"/>
        <w:autoSpaceDN w:val="0"/>
        <w:adjustRightInd w:val="0"/>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 xml:space="preserve">Биомаркерният модел за предклиничната фаза на БА има следните характеристики: </w:t>
      </w:r>
    </w:p>
    <w:p w14:paraId="01185E8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биомаркерите за натрупване на Аβ първи стават абнормни и се осъществява значително натрупване преди появата на клиничните симптоми. Латентната фаза между Аβ-натрупване и появата на клиничните симптоми може да бъде повече от десетилетие. В този биомаркерен модел натрупването на Аβ е необходимо, но не достатъчно, за да се предизвикат клинични симптоми на ЛКН и деменция; </w:t>
      </w:r>
    </w:p>
    <w:p w14:paraId="1EEF4BD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(2) биомаркери на синаптичната дисфункция, включително FDG-PET и функционален МРТ могат да показват промени много рано. Тежестта и промяната с течение на времето в тези синаптични маркери корелират с клинични симптоми по време на ЛКН и деменция при БА; </w:t>
      </w:r>
    </w:p>
    <w:p w14:paraId="5D3C648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(3) структурната МРТ показва промени малко по-късно, като маркер на загуба на неврони; MРТ показва тясна връзка с когнитивните функции през клиничните фази на ЛКН и деменция; </w:t>
      </w:r>
    </w:p>
    <w:p w14:paraId="70EA291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нито един от биомаркерите няма статична мярка и с течение на времето те показват нелинеарен курс със сигмоидна форма;</w:t>
      </w:r>
    </w:p>
    <w:p w14:paraId="6237FC0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анатомичната информация от образните биомаркери предоставя полезна информация за стадиране на болестта и топографията на отклоненията в изобразяването, свързани със заболяването, по характерен начин показва прогресията на заболяването .</w:t>
      </w:r>
    </w:p>
    <w:p w14:paraId="18CC5EE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Лечението</w:t>
      </w:r>
      <w:r w:rsidRPr="00AE47C6">
        <w:rPr>
          <w:rFonts w:ascii="Times New Roman" w:eastAsia="SimSun" w:hAnsi="Times New Roman"/>
          <w:sz w:val="24"/>
          <w:szCs w:val="24"/>
        </w:rPr>
        <w:t xml:space="preserve"> има за цел редуциране на симптомите и забавяне на прогресията. Холинергичната хипотеза в патогенезата на болестта поставя началото на редица терапевтични стратегии за повлияване на когнитивния дефицит. </w:t>
      </w:r>
    </w:p>
    <w:p w14:paraId="73618CE5" w14:textId="77777777" w:rsidR="00BE0B19" w:rsidRPr="00AE47C6" w:rsidRDefault="00BE0B19" w:rsidP="00BE0B19">
      <w:pPr>
        <w:spacing w:after="0" w:line="360" w:lineRule="auto"/>
        <w:ind w:firstLine="709"/>
        <w:jc w:val="both"/>
        <w:rPr>
          <w:rFonts w:ascii="Times New Roman" w:eastAsia="SimSun" w:hAnsi="Times New Roman"/>
          <w:i/>
          <w:sz w:val="24"/>
          <w:szCs w:val="24"/>
        </w:rPr>
      </w:pPr>
      <w:r w:rsidRPr="00AE47C6">
        <w:rPr>
          <w:rFonts w:ascii="Times New Roman" w:eastAsia="SimSun" w:hAnsi="Times New Roman"/>
          <w:sz w:val="24"/>
          <w:szCs w:val="24"/>
        </w:rPr>
        <w:t xml:space="preserve">При лечение на </w:t>
      </w:r>
      <w:r w:rsidRPr="00AE47C6">
        <w:rPr>
          <w:rFonts w:ascii="Times New Roman" w:eastAsia="SimSun" w:hAnsi="Times New Roman"/>
          <w:i/>
          <w:sz w:val="24"/>
          <w:szCs w:val="24"/>
        </w:rPr>
        <w:t>лека и умерена БА (вкл. предементна фаза с наличие на биомаркери):</w:t>
      </w:r>
    </w:p>
    <w:p w14:paraId="00672A4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Медикаменти на първи избор</w:t>
      </w:r>
      <w:r w:rsidRPr="00AE47C6">
        <w:rPr>
          <w:rFonts w:ascii="Times New Roman" w:eastAsia="SimSun" w:hAnsi="Times New Roman"/>
          <w:sz w:val="24"/>
          <w:szCs w:val="24"/>
        </w:rPr>
        <w:t xml:space="preserve"> - </w:t>
      </w:r>
      <w:r w:rsidRPr="00AE47C6">
        <w:rPr>
          <w:rFonts w:ascii="Times New Roman" w:eastAsia="SimSun" w:hAnsi="Times New Roman"/>
          <w:i/>
          <w:iCs/>
          <w:sz w:val="24"/>
          <w:szCs w:val="24"/>
        </w:rPr>
        <w:t>Инхибитори на ацетилхолинестеразата</w:t>
      </w:r>
      <w:r w:rsidRPr="00AE47C6">
        <w:rPr>
          <w:rFonts w:ascii="Times New Roman" w:eastAsia="SimSun" w:hAnsi="Times New Roman"/>
          <w:sz w:val="24"/>
          <w:szCs w:val="24"/>
        </w:rPr>
        <w:t xml:space="preserve"> (</w:t>
      </w:r>
      <w:r w:rsidRPr="00AE47C6">
        <w:rPr>
          <w:rFonts w:ascii="Times New Roman" w:eastAsia="SimSun" w:hAnsi="Times New Roman"/>
          <w:i/>
          <w:iCs/>
          <w:sz w:val="24"/>
          <w:szCs w:val="24"/>
        </w:rPr>
        <w:t>AСhE–инхибитори</w:t>
      </w:r>
      <w:r w:rsidRPr="00AE47C6">
        <w:rPr>
          <w:rFonts w:ascii="Times New Roman" w:eastAsia="SimSun" w:hAnsi="Times New Roman"/>
          <w:sz w:val="24"/>
          <w:szCs w:val="24"/>
        </w:rPr>
        <w:t xml:space="preserve">): </w:t>
      </w:r>
    </w:p>
    <w:p w14:paraId="10CC92E0" w14:textId="77777777" w:rsidR="00BE0B19" w:rsidRPr="00AE47C6" w:rsidRDefault="00BE0B19" w:rsidP="00BE0B19">
      <w:pPr>
        <w:numPr>
          <w:ilvl w:val="0"/>
          <w:numId w:val="400"/>
        </w:numPr>
        <w:spacing w:after="0" w:line="360" w:lineRule="auto"/>
        <w:jc w:val="both"/>
        <w:rPr>
          <w:rFonts w:ascii="Times New Roman" w:eastAsia="SimSun" w:hAnsi="Times New Roman"/>
          <w:sz w:val="24"/>
          <w:szCs w:val="24"/>
        </w:rPr>
      </w:pPr>
      <w:r w:rsidRPr="00AE47C6">
        <w:rPr>
          <w:rFonts w:ascii="Times New Roman" w:eastAsia="SimSun" w:hAnsi="Times New Roman"/>
          <w:i/>
          <w:iCs/>
          <w:sz w:val="24"/>
          <w:szCs w:val="24"/>
        </w:rPr>
        <w:t>donepezil</w:t>
      </w:r>
      <w:r w:rsidRPr="00AE47C6">
        <w:rPr>
          <w:rFonts w:ascii="Times New Roman" w:eastAsia="SimSun" w:hAnsi="Times New Roman"/>
          <w:sz w:val="24"/>
          <w:szCs w:val="24"/>
        </w:rPr>
        <w:t xml:space="preserve"> - 5-10 mg, в еднократен дневен прием</w:t>
      </w:r>
    </w:p>
    <w:p w14:paraId="132B42A4" w14:textId="77777777" w:rsidR="00BE0B19" w:rsidRPr="00AE47C6" w:rsidRDefault="00BE0B19" w:rsidP="00BE0B19">
      <w:pPr>
        <w:numPr>
          <w:ilvl w:val="0"/>
          <w:numId w:val="400"/>
        </w:numPr>
        <w:spacing w:after="0" w:line="360" w:lineRule="auto"/>
        <w:jc w:val="both"/>
        <w:rPr>
          <w:rFonts w:ascii="Times New Roman" w:eastAsia="SimSun" w:hAnsi="Times New Roman"/>
          <w:snapToGrid w:val="0"/>
          <w:sz w:val="24"/>
          <w:szCs w:val="24"/>
        </w:rPr>
      </w:pPr>
      <w:r w:rsidRPr="00AE47C6">
        <w:rPr>
          <w:rFonts w:ascii="Times New Roman" w:eastAsia="SimSun" w:hAnsi="Times New Roman"/>
          <w:i/>
          <w:iCs/>
          <w:snapToGrid w:val="0"/>
          <w:sz w:val="24"/>
          <w:szCs w:val="24"/>
        </w:rPr>
        <w:t>rivastigmine</w:t>
      </w:r>
      <w:r w:rsidRPr="00AE47C6">
        <w:rPr>
          <w:rFonts w:ascii="Times New Roman" w:eastAsia="SimSun" w:hAnsi="Times New Roman"/>
          <w:snapToGrid w:val="0"/>
          <w:sz w:val="24"/>
          <w:szCs w:val="24"/>
        </w:rPr>
        <w:t xml:space="preserve"> - 6 – 12 mg</w:t>
      </w:r>
      <w:r w:rsidRPr="00AE47C6">
        <w:rPr>
          <w:rFonts w:ascii="Times New Roman" w:eastAsia="SimSun" w:hAnsi="Times New Roman"/>
          <w:sz w:val="24"/>
          <w:szCs w:val="24"/>
        </w:rPr>
        <w:t>, в двукратен дневен прием</w:t>
      </w:r>
    </w:p>
    <w:p w14:paraId="7DA85650" w14:textId="77777777" w:rsidR="00BE0B19" w:rsidRPr="00AE47C6" w:rsidRDefault="00BE0B19" w:rsidP="00BE0B19">
      <w:pPr>
        <w:numPr>
          <w:ilvl w:val="0"/>
          <w:numId w:val="400"/>
        </w:numPr>
        <w:spacing w:after="0" w:line="360" w:lineRule="auto"/>
        <w:jc w:val="both"/>
        <w:rPr>
          <w:rFonts w:ascii="Times New Roman" w:eastAsia="SimSun" w:hAnsi="Times New Roman"/>
          <w:sz w:val="24"/>
          <w:szCs w:val="24"/>
        </w:rPr>
      </w:pPr>
      <w:r w:rsidRPr="00AE47C6">
        <w:rPr>
          <w:rFonts w:ascii="Times New Roman" w:eastAsia="SimSun" w:hAnsi="Times New Roman"/>
          <w:i/>
          <w:iCs/>
          <w:sz w:val="24"/>
          <w:szCs w:val="24"/>
        </w:rPr>
        <w:t>galantamine</w:t>
      </w:r>
      <w:r w:rsidRPr="00AE47C6">
        <w:rPr>
          <w:rFonts w:ascii="Times New Roman" w:eastAsia="SimSun" w:hAnsi="Times New Roman"/>
          <w:sz w:val="24"/>
          <w:szCs w:val="24"/>
        </w:rPr>
        <w:t xml:space="preserve"> - 6 – 20 mg, в еднократен или двукратен дневен прием.</w:t>
      </w:r>
    </w:p>
    <w:p w14:paraId="3E042B1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 Лечението води до значимо подобрение в когнитивните функции, поведението, глобалното функциониране и ежедневните дейности на болните, както и до забавяне прогресията на заболяването. </w:t>
      </w:r>
      <w:r w:rsidRPr="00AE47C6">
        <w:rPr>
          <w:rFonts w:ascii="Times New Roman" w:eastAsia="SimSun" w:hAnsi="Times New Roman"/>
          <w:bCs/>
          <w:sz w:val="24"/>
          <w:szCs w:val="24"/>
        </w:rPr>
        <w:t xml:space="preserve">Положителният лечебен ефект се обективизира и чрез </w:t>
      </w:r>
      <w:r w:rsidRPr="00AE47C6">
        <w:rPr>
          <w:rFonts w:ascii="Times New Roman" w:eastAsia="SimSun" w:hAnsi="Times New Roman"/>
          <w:sz w:val="24"/>
          <w:szCs w:val="24"/>
        </w:rPr>
        <w:t xml:space="preserve">значимо подобрение при тестовете за оценка на когнитивните функции и скалите, оценяващи качеството на изпълнение на ежедневните дейности. </w:t>
      </w:r>
    </w:p>
    <w:p w14:paraId="40F4D55C" w14:textId="77777777" w:rsidR="00BE0B19" w:rsidRPr="00AE47C6" w:rsidRDefault="00BE0B19" w:rsidP="00BE0B19">
      <w:pPr>
        <w:numPr>
          <w:ilvl w:val="1"/>
          <w:numId w:val="120"/>
        </w:numPr>
        <w:spacing w:after="0" w:line="360" w:lineRule="auto"/>
        <w:jc w:val="both"/>
        <w:rPr>
          <w:rFonts w:ascii="Times New Roman" w:eastAsia="SimSun" w:hAnsi="Times New Roman"/>
          <w:sz w:val="24"/>
          <w:szCs w:val="24"/>
        </w:rPr>
      </w:pPr>
      <w:r w:rsidRPr="00AE47C6">
        <w:rPr>
          <w:rFonts w:ascii="Times New Roman" w:eastAsia="SimSun" w:hAnsi="Times New Roman"/>
          <w:i/>
          <w:iCs/>
          <w:sz w:val="24"/>
          <w:szCs w:val="24"/>
        </w:rPr>
        <w:t xml:space="preserve">Антагонистът на N–methyl–D–aspartate (NMDA) рецепторите </w:t>
      </w:r>
      <w:r w:rsidRPr="00AE47C6">
        <w:rPr>
          <w:rFonts w:ascii="Times New Roman" w:eastAsia="SimSun" w:hAnsi="Times New Roman"/>
          <w:iCs/>
          <w:sz w:val="24"/>
          <w:szCs w:val="24"/>
        </w:rPr>
        <w:t>memantine</w:t>
      </w:r>
      <w:r w:rsidRPr="00AE47C6">
        <w:rPr>
          <w:rFonts w:ascii="Times New Roman" w:eastAsia="SimSun" w:hAnsi="Times New Roman"/>
          <w:sz w:val="24"/>
          <w:szCs w:val="24"/>
        </w:rPr>
        <w:t xml:space="preserve"> е със сравним ефект на този, отчитан с AСhE–инхибиторите. Прилага се при </w:t>
      </w:r>
      <w:r w:rsidRPr="00AE47C6">
        <w:rPr>
          <w:rFonts w:ascii="Times New Roman" w:eastAsia="SimSun" w:hAnsi="Times New Roman"/>
          <w:b/>
          <w:sz w:val="24"/>
          <w:szCs w:val="24"/>
        </w:rPr>
        <w:t>умерена и тежка степен на заболяването</w:t>
      </w:r>
      <w:r w:rsidRPr="00AE47C6">
        <w:rPr>
          <w:rFonts w:ascii="Times New Roman" w:eastAsia="SimSun" w:hAnsi="Times New Roman"/>
          <w:sz w:val="24"/>
          <w:szCs w:val="24"/>
        </w:rPr>
        <w:t xml:space="preserve"> в доза </w:t>
      </w:r>
      <w:r w:rsidRPr="00AE47C6">
        <w:rPr>
          <w:rFonts w:ascii="Times New Roman" w:eastAsia="SimSun" w:hAnsi="Times New Roman"/>
          <w:snapToGrid w:val="0"/>
          <w:sz w:val="24"/>
          <w:szCs w:val="24"/>
        </w:rPr>
        <w:t>10–20 mg</w:t>
      </w:r>
      <w:r w:rsidRPr="00AE47C6">
        <w:rPr>
          <w:rFonts w:ascii="Times New Roman" w:eastAsia="SimSun" w:hAnsi="Times New Roman"/>
          <w:sz w:val="24"/>
          <w:szCs w:val="24"/>
        </w:rPr>
        <w:t xml:space="preserve"> при двукратен дневен прием.</w:t>
      </w:r>
    </w:p>
    <w:p w14:paraId="0BAA0E6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Медикаменти на втори избор</w:t>
      </w:r>
      <w:r w:rsidRPr="00AE47C6">
        <w:rPr>
          <w:rFonts w:ascii="Times New Roman" w:eastAsia="SimSun" w:hAnsi="Times New Roman"/>
          <w:sz w:val="24"/>
          <w:szCs w:val="24"/>
        </w:rPr>
        <w:t xml:space="preserve"> - </w:t>
      </w:r>
      <w:r w:rsidRPr="00AE47C6">
        <w:rPr>
          <w:rFonts w:ascii="Times New Roman" w:eastAsia="SimSun" w:hAnsi="Times New Roman"/>
          <w:i/>
          <w:sz w:val="24"/>
          <w:szCs w:val="24"/>
        </w:rPr>
        <w:t>невропротектори и антиоксиданти</w:t>
      </w:r>
      <w:r w:rsidRPr="00AE47C6">
        <w:rPr>
          <w:rFonts w:ascii="Times New Roman" w:eastAsia="SimSun" w:hAnsi="Times New Roman"/>
          <w:sz w:val="24"/>
          <w:szCs w:val="24"/>
        </w:rPr>
        <w:t>:</w:t>
      </w:r>
    </w:p>
    <w:p w14:paraId="15F65E8E" w14:textId="77777777" w:rsidR="00BE0B19" w:rsidRPr="00AE47C6" w:rsidRDefault="00BE0B19" w:rsidP="00BE0B19">
      <w:pPr>
        <w:numPr>
          <w:ilvl w:val="0"/>
          <w:numId w:val="401"/>
        </w:numPr>
        <w:tabs>
          <w:tab w:val="num" w:pos="-3261"/>
          <w:tab w:val="num" w:pos="967"/>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i/>
          <w:sz w:val="24"/>
          <w:szCs w:val="24"/>
        </w:rPr>
        <w:t>Ginkgo biloba</w:t>
      </w:r>
      <w:r w:rsidRPr="00AE47C6">
        <w:rPr>
          <w:rFonts w:ascii="Times New Roman" w:eastAsia="SimSun" w:hAnsi="Times New Roman"/>
          <w:sz w:val="24"/>
          <w:szCs w:val="24"/>
        </w:rPr>
        <w:t xml:space="preserve"> – 120-240 mg дн. и </w:t>
      </w:r>
      <w:r w:rsidRPr="00AE47C6">
        <w:rPr>
          <w:rFonts w:ascii="Times New Roman" w:eastAsia="SimSun" w:hAnsi="Times New Roman"/>
          <w:i/>
          <w:sz w:val="24"/>
          <w:szCs w:val="24"/>
        </w:rPr>
        <w:t>alpha-tocopherol</w:t>
      </w:r>
      <w:r w:rsidRPr="00AE47C6">
        <w:rPr>
          <w:rFonts w:ascii="Times New Roman" w:eastAsia="SimSun" w:hAnsi="Times New Roman"/>
          <w:snapToGrid w:val="0"/>
          <w:sz w:val="24"/>
          <w:szCs w:val="24"/>
        </w:rPr>
        <w:t xml:space="preserve">– 100 </w:t>
      </w:r>
      <w:r w:rsidRPr="00AE47C6">
        <w:rPr>
          <w:rFonts w:ascii="Times New Roman" w:eastAsia="SimSun" w:hAnsi="Times New Roman"/>
          <w:sz w:val="24"/>
          <w:szCs w:val="24"/>
        </w:rPr>
        <w:t xml:space="preserve">mg дн. Назначаването на </w:t>
      </w:r>
      <w:r w:rsidRPr="00AE47C6">
        <w:rPr>
          <w:rFonts w:ascii="Times New Roman" w:eastAsia="SimSun" w:hAnsi="Times New Roman"/>
          <w:i/>
          <w:sz w:val="24"/>
          <w:szCs w:val="24"/>
        </w:rPr>
        <w:t>Vit. В</w:t>
      </w:r>
      <w:r w:rsidRPr="00AE47C6">
        <w:rPr>
          <w:rFonts w:ascii="Times New Roman" w:eastAsia="SimSun" w:hAnsi="Times New Roman"/>
          <w:i/>
          <w:sz w:val="24"/>
          <w:szCs w:val="24"/>
          <w:vertAlign w:val="subscript"/>
        </w:rPr>
        <w:t>12</w:t>
      </w:r>
      <w:r w:rsidRPr="00AE47C6">
        <w:rPr>
          <w:rFonts w:ascii="Times New Roman" w:eastAsia="SimSun" w:hAnsi="Times New Roman"/>
          <w:i/>
          <w:sz w:val="24"/>
          <w:szCs w:val="24"/>
        </w:rPr>
        <w:t xml:space="preserve"> и фолиева киселина </w:t>
      </w:r>
      <w:r w:rsidRPr="00AE47C6">
        <w:rPr>
          <w:rFonts w:ascii="Times New Roman" w:eastAsia="SimSun" w:hAnsi="Times New Roman"/>
          <w:sz w:val="24"/>
          <w:szCs w:val="24"/>
        </w:rPr>
        <w:t xml:space="preserve">при доказан недостиг също може да подобри състоянието на болните. </w:t>
      </w:r>
    </w:p>
    <w:p w14:paraId="279633B8" w14:textId="77777777" w:rsidR="00BE0B19" w:rsidRPr="00AE47C6" w:rsidRDefault="00BE0B19" w:rsidP="00BE0B19">
      <w:pPr>
        <w:tabs>
          <w:tab w:val="num" w:pos="-3261"/>
          <w:tab w:val="num" w:pos="967"/>
        </w:tabs>
        <w:spacing w:after="0" w:line="360" w:lineRule="auto"/>
        <w:jc w:val="both"/>
        <w:rPr>
          <w:rFonts w:ascii="Times New Roman" w:eastAsia="SimSun" w:hAnsi="Times New Roman"/>
          <w:sz w:val="24"/>
          <w:szCs w:val="24"/>
        </w:rPr>
      </w:pPr>
    </w:p>
    <w:p w14:paraId="484AF448" w14:textId="77777777" w:rsidR="00BE0B19" w:rsidRPr="00AE47C6" w:rsidRDefault="00BE0B19" w:rsidP="00BE0B19">
      <w:pPr>
        <w:spacing w:after="0" w:line="360" w:lineRule="auto"/>
        <w:ind w:firstLine="1004"/>
        <w:jc w:val="both"/>
        <w:textAlignment w:val="baseline"/>
        <w:rPr>
          <w:rFonts w:ascii="Times New Roman" w:eastAsia="SimSun" w:hAnsi="Times New Roman"/>
          <w:b/>
          <w:kern w:val="24"/>
          <w:sz w:val="24"/>
          <w:szCs w:val="24"/>
          <w:lang w:eastAsia="bg-BG"/>
        </w:rPr>
      </w:pPr>
      <w:r w:rsidRPr="00AE47C6">
        <w:rPr>
          <w:rFonts w:ascii="Times New Roman" w:eastAsia="SimSun" w:hAnsi="Times New Roman"/>
          <w:b/>
          <w:kern w:val="24"/>
          <w:sz w:val="24"/>
          <w:szCs w:val="24"/>
          <w:lang w:eastAsia="bg-BG"/>
        </w:rPr>
        <w:t>Комбинации от двете групи</w:t>
      </w:r>
    </w:p>
    <w:p w14:paraId="7E8A5135" w14:textId="77777777" w:rsidR="00BE0B19" w:rsidRPr="00AE47C6" w:rsidRDefault="00BE0B19" w:rsidP="00BE0B19">
      <w:pPr>
        <w:spacing w:after="0" w:line="360" w:lineRule="auto"/>
        <w:jc w:val="both"/>
        <w:rPr>
          <w:rFonts w:ascii="Times New Roman" w:eastAsia="SimSun" w:hAnsi="Times New Roman"/>
          <w:bCs/>
          <w:iCs/>
          <w:sz w:val="24"/>
          <w:szCs w:val="24"/>
          <w:lang w:eastAsia="ja-JP"/>
        </w:rPr>
      </w:pPr>
      <w:r w:rsidRPr="00AE47C6">
        <w:rPr>
          <w:rFonts w:ascii="Times New Roman" w:eastAsia="SimSun" w:hAnsi="Times New Roman"/>
          <w:b/>
          <w:bCs/>
          <w:iCs/>
          <w:sz w:val="24"/>
          <w:szCs w:val="24"/>
          <w:lang w:eastAsia="ja-JP"/>
        </w:rPr>
        <w:t>Лечение на Леко Когнитивно Нарушение</w:t>
      </w:r>
      <w:r w:rsidRPr="00AE47C6">
        <w:rPr>
          <w:rFonts w:ascii="Times New Roman" w:eastAsia="SimSun" w:hAnsi="Times New Roman"/>
          <w:bCs/>
          <w:iCs/>
          <w:sz w:val="24"/>
          <w:szCs w:val="24"/>
          <w:lang w:eastAsia="ja-JP"/>
        </w:rPr>
        <w:t xml:space="preserve"> (без наличие на биомаркери)</w:t>
      </w:r>
    </w:p>
    <w:p w14:paraId="1B5A6367" w14:textId="77777777" w:rsidR="00BE0B19" w:rsidRPr="00AE47C6" w:rsidRDefault="00BE0B19" w:rsidP="00BE0B19">
      <w:pPr>
        <w:numPr>
          <w:ilvl w:val="0"/>
          <w:numId w:val="402"/>
        </w:numPr>
        <w:spacing w:after="0" w:line="360" w:lineRule="auto"/>
        <w:jc w:val="both"/>
        <w:rPr>
          <w:rFonts w:ascii="Times New Roman" w:eastAsia="SimSun" w:hAnsi="Times New Roman"/>
          <w:bCs/>
          <w:sz w:val="24"/>
          <w:szCs w:val="24"/>
          <w:lang w:eastAsia="ja-JP"/>
        </w:rPr>
      </w:pPr>
      <w:r w:rsidRPr="00AE47C6">
        <w:rPr>
          <w:rFonts w:ascii="Times New Roman" w:eastAsia="SimSun" w:hAnsi="Times New Roman"/>
          <w:bCs/>
          <w:i/>
          <w:sz w:val="24"/>
          <w:szCs w:val="24"/>
          <w:lang w:eastAsia="ja-JP"/>
        </w:rPr>
        <w:t>Piracetam –</w:t>
      </w:r>
      <w:r w:rsidRPr="00AE47C6">
        <w:rPr>
          <w:rFonts w:ascii="Times New Roman" w:eastAsia="SimSun" w:hAnsi="Times New Roman"/>
          <w:bCs/>
          <w:sz w:val="24"/>
          <w:szCs w:val="24"/>
          <w:lang w:eastAsia="ja-JP"/>
        </w:rPr>
        <w:t xml:space="preserve"> 2.4-4.8 g дневно (ниво B)</w:t>
      </w:r>
    </w:p>
    <w:p w14:paraId="75A437B6" w14:textId="77777777" w:rsidR="00BE0B19" w:rsidRPr="00AE47C6" w:rsidRDefault="00BE0B19" w:rsidP="00BE0B19">
      <w:pPr>
        <w:numPr>
          <w:ilvl w:val="0"/>
          <w:numId w:val="402"/>
        </w:numPr>
        <w:tabs>
          <w:tab w:val="num" w:pos="967"/>
        </w:tabs>
        <w:spacing w:after="0" w:line="360" w:lineRule="auto"/>
        <w:jc w:val="both"/>
        <w:rPr>
          <w:rFonts w:ascii="Times New Roman" w:eastAsia="SimSun" w:hAnsi="Times New Roman"/>
          <w:bCs/>
          <w:sz w:val="24"/>
          <w:szCs w:val="24"/>
        </w:rPr>
      </w:pPr>
      <w:r w:rsidRPr="00AE47C6">
        <w:rPr>
          <w:rFonts w:ascii="Times New Roman" w:eastAsia="SimSun" w:hAnsi="Times New Roman"/>
          <w:bCs/>
          <w:i/>
          <w:sz w:val="24"/>
          <w:szCs w:val="24"/>
        </w:rPr>
        <w:t>Ginkgo biloba</w:t>
      </w:r>
      <w:r w:rsidRPr="00AE47C6">
        <w:rPr>
          <w:rFonts w:ascii="Times New Roman" w:eastAsia="SimSun" w:hAnsi="Times New Roman"/>
          <w:bCs/>
          <w:sz w:val="24"/>
          <w:szCs w:val="24"/>
        </w:rPr>
        <w:t xml:space="preserve"> (EGb 761) – 120-240 mg дневно (ниво B)</w:t>
      </w:r>
    </w:p>
    <w:p w14:paraId="37FA4464" w14:textId="77777777" w:rsidR="00BE0B19" w:rsidRPr="00AE47C6" w:rsidRDefault="00BE0B19" w:rsidP="00BE0B19">
      <w:pPr>
        <w:numPr>
          <w:ilvl w:val="0"/>
          <w:numId w:val="402"/>
        </w:numPr>
        <w:tabs>
          <w:tab w:val="num" w:pos="967"/>
        </w:tabs>
        <w:spacing w:after="0" w:line="360" w:lineRule="auto"/>
        <w:jc w:val="both"/>
        <w:rPr>
          <w:rFonts w:ascii="Times New Roman" w:eastAsia="SimSun" w:hAnsi="Times New Roman"/>
          <w:bCs/>
          <w:sz w:val="24"/>
          <w:szCs w:val="24"/>
        </w:rPr>
      </w:pPr>
      <w:r w:rsidRPr="00AE47C6">
        <w:rPr>
          <w:rFonts w:ascii="Times New Roman" w:eastAsia="SimSun" w:hAnsi="Times New Roman"/>
          <w:bCs/>
          <w:i/>
          <w:sz w:val="24"/>
          <w:szCs w:val="24"/>
        </w:rPr>
        <w:t>Alpha-tocopherol</w:t>
      </w:r>
      <w:r w:rsidRPr="00AE47C6">
        <w:rPr>
          <w:rFonts w:ascii="Times New Roman" w:eastAsia="SimSun" w:hAnsi="Times New Roman"/>
          <w:bCs/>
          <w:snapToGrid w:val="0"/>
          <w:sz w:val="24"/>
          <w:szCs w:val="24"/>
        </w:rPr>
        <w:t xml:space="preserve">(100 </w:t>
      </w:r>
      <w:r w:rsidRPr="00AE47C6">
        <w:rPr>
          <w:rFonts w:ascii="Times New Roman" w:eastAsia="SimSun" w:hAnsi="Times New Roman"/>
          <w:bCs/>
          <w:sz w:val="24"/>
          <w:szCs w:val="24"/>
        </w:rPr>
        <w:t>mg дневно) (ниво B).</w:t>
      </w:r>
      <w:r w:rsidRPr="00AE47C6">
        <w:rPr>
          <w:rFonts w:ascii="Times New Roman" w:eastAsia="SimSun" w:hAnsi="Times New Roman"/>
          <w:sz w:val="24"/>
          <w:szCs w:val="24"/>
        </w:rPr>
        <w:t xml:space="preserve"> Назначаването на Vit. В</w:t>
      </w:r>
      <w:r w:rsidRPr="00AE47C6">
        <w:rPr>
          <w:rFonts w:ascii="Times New Roman" w:eastAsia="SimSun" w:hAnsi="Times New Roman"/>
          <w:sz w:val="24"/>
          <w:szCs w:val="24"/>
          <w:vertAlign w:val="subscript"/>
        </w:rPr>
        <w:t>12</w:t>
      </w:r>
      <w:r w:rsidRPr="00AE47C6">
        <w:rPr>
          <w:rFonts w:ascii="Times New Roman" w:eastAsia="SimSun" w:hAnsi="Times New Roman"/>
          <w:sz w:val="24"/>
          <w:szCs w:val="24"/>
        </w:rPr>
        <w:t xml:space="preserve"> и фолиева киселина при доказан недостиг може да подобри състоянието на болните. </w:t>
      </w:r>
    </w:p>
    <w:p w14:paraId="171E9329" w14:textId="77777777" w:rsidR="00BE0B19" w:rsidRPr="00AE47C6" w:rsidRDefault="00BE0B19" w:rsidP="00BE0B19">
      <w:pPr>
        <w:numPr>
          <w:ilvl w:val="0"/>
          <w:numId w:val="402"/>
        </w:numPr>
        <w:tabs>
          <w:tab w:val="num" w:pos="967"/>
        </w:tabs>
        <w:spacing w:after="0" w:line="360" w:lineRule="auto"/>
        <w:jc w:val="both"/>
        <w:rPr>
          <w:rFonts w:ascii="Times New Roman" w:eastAsia="SimSun" w:hAnsi="Times New Roman"/>
          <w:bCs/>
          <w:snapToGrid w:val="0"/>
          <w:sz w:val="24"/>
          <w:szCs w:val="24"/>
        </w:rPr>
      </w:pPr>
      <w:r w:rsidRPr="00AE47C6">
        <w:rPr>
          <w:rFonts w:ascii="Times New Roman" w:eastAsia="SimSun" w:hAnsi="Times New Roman"/>
          <w:bCs/>
          <w:i/>
          <w:sz w:val="24"/>
          <w:szCs w:val="24"/>
        </w:rPr>
        <w:t>Омега 3 мастни киселини</w:t>
      </w:r>
      <w:r w:rsidRPr="00AE47C6">
        <w:rPr>
          <w:rFonts w:ascii="Times New Roman" w:eastAsia="SimSun" w:hAnsi="Times New Roman"/>
          <w:bCs/>
          <w:sz w:val="24"/>
          <w:szCs w:val="24"/>
        </w:rPr>
        <w:t xml:space="preserve"> (ниво B)</w:t>
      </w:r>
    </w:p>
    <w:p w14:paraId="0B0055C7" w14:textId="77777777" w:rsidR="00BE0B19" w:rsidRPr="00AE47C6" w:rsidRDefault="00BE0B19" w:rsidP="00BE0B19">
      <w:pPr>
        <w:spacing w:after="0" w:line="360" w:lineRule="auto"/>
        <w:jc w:val="both"/>
        <w:textAlignment w:val="baseline"/>
        <w:rPr>
          <w:rFonts w:ascii="Times New Roman" w:eastAsia="SimSun" w:hAnsi="Times New Roman"/>
          <w:b/>
          <w:kern w:val="24"/>
          <w:sz w:val="24"/>
          <w:szCs w:val="24"/>
          <w:lang w:eastAsia="bg-BG"/>
        </w:rPr>
      </w:pPr>
      <w:r w:rsidRPr="00AE47C6">
        <w:rPr>
          <w:rFonts w:ascii="Times New Roman" w:eastAsia="SimSun" w:hAnsi="Times New Roman"/>
          <w:b/>
          <w:kern w:val="24"/>
          <w:sz w:val="24"/>
          <w:szCs w:val="24"/>
          <w:lang w:eastAsia="bg-BG"/>
        </w:rPr>
        <w:t>Лечение на поведенческите нарушения (ажитираност, тревожност, депресия  др.)</w:t>
      </w:r>
    </w:p>
    <w:p w14:paraId="26E76A84" w14:textId="77777777" w:rsidR="00BE0B19" w:rsidRPr="00AE47C6" w:rsidRDefault="00BE0B19" w:rsidP="00BE0B19">
      <w:pPr>
        <w:spacing w:after="0" w:line="360" w:lineRule="auto"/>
        <w:jc w:val="both"/>
        <w:textAlignment w:val="baseline"/>
        <w:rPr>
          <w:rFonts w:ascii="Times New Roman" w:eastAsia="SimSun" w:hAnsi="Times New Roman"/>
          <w:b/>
          <w:i/>
          <w:kern w:val="24"/>
          <w:sz w:val="24"/>
          <w:szCs w:val="24"/>
          <w:lang w:eastAsia="bg-BG"/>
        </w:rPr>
      </w:pPr>
      <w:r w:rsidRPr="00AE47C6">
        <w:rPr>
          <w:rFonts w:ascii="Times New Roman" w:eastAsia="SimSun" w:hAnsi="Times New Roman"/>
          <w:b/>
          <w:i/>
          <w:kern w:val="24"/>
          <w:sz w:val="24"/>
          <w:szCs w:val="24"/>
          <w:lang w:eastAsia="bg-BG"/>
        </w:rPr>
        <w:t xml:space="preserve">Атипични невролептици </w:t>
      </w:r>
    </w:p>
    <w:p w14:paraId="16EE1EC6" w14:textId="77777777" w:rsidR="00BE0B19" w:rsidRPr="00AE47C6" w:rsidRDefault="00BE0B19" w:rsidP="00BE0B19">
      <w:pPr>
        <w:numPr>
          <w:ilvl w:val="0"/>
          <w:numId w:val="403"/>
        </w:numPr>
        <w:spacing w:after="0" w:line="360" w:lineRule="auto"/>
        <w:contextualSpacing/>
        <w:jc w:val="both"/>
        <w:textAlignment w:val="baseline"/>
        <w:rPr>
          <w:rFonts w:ascii="Times New Roman" w:eastAsia="SimSun" w:hAnsi="Times New Roman"/>
          <w:kern w:val="24"/>
          <w:sz w:val="24"/>
          <w:szCs w:val="24"/>
          <w:lang w:eastAsia="bg-BG"/>
        </w:rPr>
      </w:pPr>
      <w:r w:rsidRPr="00AE47C6">
        <w:rPr>
          <w:rFonts w:ascii="Times New Roman" w:eastAsia="SimSun" w:hAnsi="Times New Roman"/>
          <w:kern w:val="24"/>
          <w:sz w:val="24"/>
          <w:szCs w:val="24"/>
          <w:lang w:eastAsia="bg-BG"/>
        </w:rPr>
        <w:t>Quetiapine, amisulprid, Risperidone, Olanzapine</w:t>
      </w:r>
    </w:p>
    <w:p w14:paraId="481F5D15" w14:textId="77777777" w:rsidR="00BE0B19" w:rsidRPr="00AE47C6" w:rsidRDefault="00BE0B19" w:rsidP="00BE0B19">
      <w:pPr>
        <w:spacing w:after="0" w:line="360" w:lineRule="auto"/>
        <w:jc w:val="both"/>
        <w:textAlignment w:val="baseline"/>
        <w:rPr>
          <w:rFonts w:ascii="Times New Roman" w:eastAsia="SimSun" w:hAnsi="Times New Roman"/>
          <w:b/>
          <w:i/>
          <w:kern w:val="24"/>
          <w:sz w:val="24"/>
          <w:szCs w:val="24"/>
          <w:lang w:eastAsia="bg-BG"/>
        </w:rPr>
      </w:pPr>
      <w:r w:rsidRPr="00AE47C6">
        <w:rPr>
          <w:rFonts w:ascii="Times New Roman" w:eastAsia="SimSun" w:hAnsi="Times New Roman"/>
          <w:b/>
          <w:i/>
          <w:kern w:val="24"/>
          <w:sz w:val="24"/>
          <w:szCs w:val="24"/>
          <w:lang w:eastAsia="bg-BG"/>
        </w:rPr>
        <w:t>Конвенционални невролептици</w:t>
      </w:r>
    </w:p>
    <w:p w14:paraId="7642CF95" w14:textId="77777777" w:rsidR="00BE0B19" w:rsidRPr="00AE47C6" w:rsidRDefault="00BE0B19" w:rsidP="00BE0B19">
      <w:pPr>
        <w:numPr>
          <w:ilvl w:val="0"/>
          <w:numId w:val="403"/>
        </w:numPr>
        <w:spacing w:after="0" w:line="360" w:lineRule="auto"/>
        <w:contextualSpacing/>
        <w:jc w:val="both"/>
        <w:textAlignment w:val="baseline"/>
        <w:rPr>
          <w:rFonts w:ascii="Times New Roman" w:eastAsia="SimSun" w:hAnsi="Times New Roman"/>
          <w:i/>
          <w:kern w:val="24"/>
          <w:sz w:val="24"/>
          <w:szCs w:val="24"/>
          <w:lang w:eastAsia="bg-BG"/>
        </w:rPr>
      </w:pPr>
      <w:r w:rsidRPr="00AE47C6">
        <w:rPr>
          <w:rFonts w:ascii="Times New Roman" w:eastAsia="SimSun" w:hAnsi="Times New Roman"/>
          <w:i/>
          <w:kern w:val="24"/>
          <w:sz w:val="24"/>
          <w:szCs w:val="24"/>
          <w:lang w:eastAsia="bg-BG"/>
        </w:rPr>
        <w:t xml:space="preserve">Flupenthixol, Thioridazine, Haloperidol </w:t>
      </w:r>
    </w:p>
    <w:p w14:paraId="7C2288FA" w14:textId="77777777" w:rsidR="00BE0B19" w:rsidRPr="00AE47C6" w:rsidRDefault="00BE0B19" w:rsidP="00BE0B19">
      <w:pPr>
        <w:spacing w:after="0" w:line="360" w:lineRule="auto"/>
        <w:jc w:val="both"/>
        <w:textAlignment w:val="baseline"/>
        <w:rPr>
          <w:rFonts w:ascii="Times New Roman" w:eastAsia="SimSun" w:hAnsi="Times New Roman"/>
          <w:b/>
          <w:i/>
          <w:kern w:val="24"/>
          <w:sz w:val="24"/>
          <w:szCs w:val="24"/>
          <w:lang w:eastAsia="bg-BG"/>
        </w:rPr>
      </w:pPr>
      <w:r w:rsidRPr="00AE47C6">
        <w:rPr>
          <w:rFonts w:ascii="Times New Roman" w:eastAsia="SimSun" w:hAnsi="Times New Roman"/>
          <w:b/>
          <w:i/>
          <w:kern w:val="24"/>
          <w:sz w:val="24"/>
          <w:szCs w:val="24"/>
          <w:lang w:eastAsia="bg-BG"/>
        </w:rPr>
        <w:t>Антидепресанти (SSRI)</w:t>
      </w:r>
    </w:p>
    <w:p w14:paraId="53EDD6C8" w14:textId="77777777" w:rsidR="00BE0B19" w:rsidRPr="00AE47C6" w:rsidRDefault="00BE0B19" w:rsidP="00BE0B19">
      <w:pPr>
        <w:numPr>
          <w:ilvl w:val="0"/>
          <w:numId w:val="403"/>
        </w:numPr>
        <w:spacing w:after="0" w:line="360" w:lineRule="auto"/>
        <w:jc w:val="both"/>
        <w:rPr>
          <w:rFonts w:ascii="Times New Roman" w:eastAsia="SimSun" w:hAnsi="Times New Roman"/>
          <w:i/>
          <w:sz w:val="24"/>
          <w:szCs w:val="24"/>
          <w:lang w:eastAsia="ja-JP"/>
        </w:rPr>
      </w:pPr>
      <w:r w:rsidRPr="00AE47C6">
        <w:rPr>
          <w:rFonts w:ascii="Times New Roman" w:eastAsia="SimSun" w:hAnsi="Times New Roman"/>
          <w:i/>
          <w:sz w:val="24"/>
          <w:szCs w:val="24"/>
          <w:lang w:eastAsia="ja-JP"/>
        </w:rPr>
        <w:t>Fluoxetine, Sertraline, Fluvoxamine, Paroxetine, Mianserin</w:t>
      </w:r>
    </w:p>
    <w:p w14:paraId="66558926" w14:textId="77777777" w:rsidR="00BE0B19" w:rsidRPr="00AE47C6" w:rsidRDefault="00BE0B19" w:rsidP="00BE0B19">
      <w:pPr>
        <w:spacing w:after="0" w:line="360" w:lineRule="auto"/>
        <w:jc w:val="both"/>
        <w:rPr>
          <w:rFonts w:ascii="Times New Roman" w:eastAsia="SimSun" w:hAnsi="Times New Roman"/>
          <w:b/>
          <w:sz w:val="24"/>
          <w:szCs w:val="24"/>
          <w:lang w:eastAsia="ja-JP"/>
        </w:rPr>
      </w:pPr>
    </w:p>
    <w:p w14:paraId="7A7B767B" w14:textId="77777777" w:rsidR="00BE0B19" w:rsidRPr="00AE47C6" w:rsidRDefault="00BE0B19" w:rsidP="00BE0B19">
      <w:pPr>
        <w:spacing w:after="0" w:line="360" w:lineRule="auto"/>
        <w:jc w:val="both"/>
        <w:rPr>
          <w:rFonts w:ascii="Times New Roman" w:eastAsia="SimSun" w:hAnsi="Times New Roman"/>
          <w:b/>
          <w:sz w:val="24"/>
          <w:szCs w:val="24"/>
          <w:lang w:eastAsia="ja-JP"/>
        </w:rPr>
      </w:pPr>
      <w:r w:rsidRPr="00AE47C6">
        <w:rPr>
          <w:rFonts w:ascii="Times New Roman" w:eastAsia="SimSun" w:hAnsi="Times New Roman"/>
          <w:b/>
          <w:sz w:val="24"/>
          <w:szCs w:val="24"/>
          <w:lang w:eastAsia="ja-JP"/>
        </w:rPr>
        <w:t>Немедикаментозно лечение</w:t>
      </w:r>
    </w:p>
    <w:p w14:paraId="6D7D3A4D"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Когнитивна рехабилитация и стимулация, Физикална рехабилитация</w:t>
      </w:r>
    </w:p>
    <w:p w14:paraId="78329248" w14:textId="77777777" w:rsidR="00BE0B19" w:rsidRPr="00AE47C6" w:rsidRDefault="00BE0B19" w:rsidP="00BE0B19">
      <w:pPr>
        <w:spacing w:after="0" w:line="360" w:lineRule="auto"/>
        <w:jc w:val="both"/>
        <w:rPr>
          <w:rFonts w:ascii="Times New Roman" w:eastAsia="SimSun" w:hAnsi="Times New Roman"/>
          <w:b/>
          <w:sz w:val="24"/>
          <w:szCs w:val="24"/>
          <w:lang w:eastAsia="ja-JP"/>
        </w:rPr>
      </w:pPr>
      <w:r w:rsidRPr="00AE47C6">
        <w:rPr>
          <w:rFonts w:ascii="Times New Roman" w:eastAsia="SimSun" w:hAnsi="Times New Roman"/>
          <w:b/>
          <w:sz w:val="24"/>
          <w:szCs w:val="24"/>
          <w:lang w:eastAsia="ja-JP"/>
        </w:rPr>
        <w:t>Програма за подпомагане на семействата и обгрижващия персонал</w:t>
      </w:r>
    </w:p>
    <w:p w14:paraId="4722CD2A" w14:textId="18A875DA"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161" w:name="_Toc155651778"/>
      <w:bookmarkStart w:id="162" w:name="_Toc164075910"/>
      <w:r w:rsidRPr="00AE47C6">
        <w:rPr>
          <w:rFonts w:ascii="Times New Roman" w:eastAsia="SimSun" w:hAnsi="Times New Roman"/>
          <w:b/>
          <w:sz w:val="24"/>
          <w:szCs w:val="24"/>
        </w:rPr>
        <w:t>7.</w:t>
      </w:r>
      <w:r w:rsidRPr="00AE47C6">
        <w:rPr>
          <w:rFonts w:ascii="Times New Roman" w:eastAsia="SimSun" w:hAnsi="Times New Roman"/>
          <w:b/>
          <w:i/>
          <w:sz w:val="24"/>
          <w:szCs w:val="24"/>
        </w:rPr>
        <w:t xml:space="preserve">2. </w:t>
      </w:r>
      <w:r w:rsidRPr="00AE47C6">
        <w:rPr>
          <w:rFonts w:ascii="Times New Roman" w:eastAsia="SimSun" w:hAnsi="Times New Roman"/>
          <w:b/>
          <w:sz w:val="24"/>
          <w:szCs w:val="24"/>
        </w:rPr>
        <w:t>Съдова деменция</w:t>
      </w:r>
      <w:r w:rsidR="00701B4A" w:rsidRPr="00AE47C6">
        <w:rPr>
          <w:rFonts w:ascii="Times New Roman" w:eastAsia="SimSun" w:hAnsi="Times New Roman"/>
          <w:b/>
          <w:sz w:val="24"/>
          <w:szCs w:val="24"/>
          <w:lang w:val="en-US"/>
        </w:rPr>
        <w:t xml:space="preserve"> </w:t>
      </w:r>
      <w:r w:rsidRPr="00AE47C6">
        <w:rPr>
          <w:rFonts w:ascii="Times New Roman" w:eastAsia="SimSun" w:hAnsi="Times New Roman"/>
          <w:b/>
          <w:sz w:val="24"/>
          <w:szCs w:val="24"/>
        </w:rPr>
        <w:t>(СД)</w:t>
      </w:r>
      <w:bookmarkEnd w:id="161"/>
      <w:bookmarkEnd w:id="162"/>
      <w:r w:rsidRPr="00AE47C6">
        <w:rPr>
          <w:rFonts w:ascii="Times New Roman" w:eastAsia="SimSun" w:hAnsi="Times New Roman"/>
          <w:b/>
          <w:sz w:val="24"/>
          <w:szCs w:val="24"/>
        </w:rPr>
        <w:t xml:space="preserve"> </w:t>
      </w:r>
    </w:p>
    <w:p w14:paraId="1D25AB9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Съдовата деменция (СД) </w:t>
      </w:r>
      <w:r w:rsidRPr="00AE47C6">
        <w:rPr>
          <w:rFonts w:ascii="Times New Roman" w:eastAsia="SimSun" w:hAnsi="Times New Roman"/>
          <w:sz w:val="24"/>
          <w:szCs w:val="24"/>
        </w:rPr>
        <w:t>се характеризира с дементен синдром в съчетание</w:t>
      </w:r>
      <w:r w:rsidRPr="00AE47C6">
        <w:rPr>
          <w:rFonts w:ascii="Times New Roman" w:eastAsia="SimSun" w:hAnsi="Times New Roman"/>
          <w:b/>
          <w:sz w:val="24"/>
          <w:szCs w:val="24"/>
        </w:rPr>
        <w:t xml:space="preserve"> с</w:t>
      </w:r>
      <w:r w:rsidRPr="00AE47C6">
        <w:rPr>
          <w:rFonts w:ascii="Times New Roman" w:eastAsia="SimSun" w:hAnsi="Times New Roman"/>
          <w:sz w:val="24"/>
          <w:szCs w:val="24"/>
        </w:rPr>
        <w:t xml:space="preserve"> мозъчносъдова болест (МСБ) и наличие на взаимовръзка между тях. Основна роля за възникване на деменция имат исхемичните лезии на мозъка. Беше предложено понятието съдово когнитивно нарушение – СКН (Vascular Cognitive Impairment, VCI), за диагностициране на СД още в предементния стадий.</w:t>
      </w:r>
    </w:p>
    <w:p w14:paraId="49345F7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Епидемиология.</w:t>
      </w:r>
      <w:r w:rsidRPr="00AE47C6">
        <w:rPr>
          <w:rFonts w:ascii="Times New Roman" w:eastAsia="SimSun" w:hAnsi="Times New Roman"/>
          <w:sz w:val="24"/>
          <w:szCs w:val="24"/>
        </w:rPr>
        <w:t xml:space="preserve"> МСБ е втората по честота причина, след БА, за възникване на деменция при лицата от третата възраст. В последните години редица клинични и теоретични предпоставки предизвикват особен интерес около ранната диагноза на СД.</w:t>
      </w:r>
    </w:p>
    <w:p w14:paraId="793F97D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Честотата на съдовата деменция за различните страни се движи от 15 до 40% от всички видове деменции, като относителният дял нараства с увеличение на възрастта и зависи както от заболяемостта от исхемични мозъчни инсулти (ИМИ), така и от вида на използваните диагностични критерии. Предвид високата честота на ИМИ, в нашата страна може да се очаква по-висок брой случаи със СД, както и относително по-висок процент болни със смесена (СмД), за сметка на случаите с “чиста” БА.</w:t>
      </w:r>
    </w:p>
    <w:p w14:paraId="17B03E9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Болните със СД представляват 1% от населението между 60 и 69 години, 2,5% от населението между 70 и 79 години и 5% от населението над 80 годишна възраст.</w:t>
      </w:r>
    </w:p>
    <w:p w14:paraId="5F5DDE8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Етиологията </w:t>
      </w:r>
      <w:r w:rsidRPr="00AE47C6">
        <w:rPr>
          <w:rFonts w:ascii="Times New Roman" w:eastAsia="SimSun" w:hAnsi="Times New Roman"/>
          <w:sz w:val="24"/>
          <w:szCs w:val="24"/>
        </w:rPr>
        <w:t>на СД не се различава от тази на МСБ. От известните рискови фактори, особено значение имат артериалната хипертония, хиперлипопротеинемиите, захарният диабет, хиперхомоцистеинемията, васкулитите, сърдечните заболявания (предсърдното мъждене, клапните ендокардити, миокардният инфаркт), промените в реологичните свойства на кръвта, тютюнопушенето, полицитемията, и др. Рискът от развитие на СД се увеличава и от наличието на ортостатична хипотония. Сред рисковите фактори за възникване на СД важно място заемат напредналата възраст и ниското образование.</w:t>
      </w:r>
    </w:p>
    <w:p w14:paraId="2F2EB94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Съдовата деменция обхваща различни по вид, големина, брой и местоположение исхемични съдови нарушения. Основните патогенетични механизми за възникването й са: </w:t>
      </w:r>
    </w:p>
    <w:p w14:paraId="2E87E47E" w14:textId="77777777" w:rsidR="00BE0B19" w:rsidRPr="00AE47C6" w:rsidRDefault="00BE0B19" w:rsidP="00BE0B19">
      <w:pPr>
        <w:spacing w:after="0" w:line="360" w:lineRule="auto"/>
        <w:ind w:firstLine="709"/>
        <w:jc w:val="both"/>
        <w:rPr>
          <w:rFonts w:ascii="Times New Roman" w:eastAsia="SimSun" w:hAnsi="Times New Roman"/>
          <w:i/>
          <w:sz w:val="24"/>
          <w:szCs w:val="24"/>
        </w:rPr>
      </w:pPr>
      <w:r w:rsidRPr="00AE47C6">
        <w:rPr>
          <w:rFonts w:ascii="Times New Roman" w:eastAsia="SimSun" w:hAnsi="Times New Roman"/>
          <w:i/>
          <w:sz w:val="24"/>
          <w:szCs w:val="24"/>
        </w:rPr>
        <w:t xml:space="preserve">1. </w:t>
      </w:r>
      <w:r w:rsidRPr="00AE47C6">
        <w:rPr>
          <w:rFonts w:ascii="Times New Roman" w:eastAsia="SimSun" w:hAnsi="Times New Roman"/>
          <w:sz w:val="24"/>
          <w:szCs w:val="24"/>
        </w:rPr>
        <w:t>Мултиинфарктна деменция. Множествени обширни пълни мозъчни инфаркти, обичайно при обтурации на големите мозъчни артерии, включващи корови и подкорови области на мозъка.</w:t>
      </w:r>
    </w:p>
    <w:p w14:paraId="2E55729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2. Деменция при единични стратегически мозъчни инфаркти. Клинични синдроми, в резултат на малки, локализирани исхемични лезии във функционално важни корови и подкорови области. </w:t>
      </w:r>
    </w:p>
    <w:p w14:paraId="1F1ADDC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3. Болест на малките съдове с деменция. Исхемичните лезии, обусловени от хиалинна дегенерация на малките съдове могат да бъдат локализирани корово или подкорово, като последните включват лакуни и лезии на бялото мозъчно вещество известно с термина левкоарейоза. Деменциите в резултат от болест на малките съдове представляват 50% от всички съдови деменции. В някои случаи лезиите могат да се дължат и на амилоидна ангиопатия (както при БА), но тогава се наблюдават и микрохеморагии. Терминът “субкортикална исхемична СД” може да се дължи и на хередитарна болест на малките съдове, наречена “мозъчна автозомно доминантна артериопатия с подкорови инфаркти и левкоенцефалопатия (cerebral autosomal dominant arteriopathy with subcortical infarcts and leukoencephalopathy – CADASIL).</w:t>
      </w:r>
    </w:p>
    <w:p w14:paraId="64BA247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Клинична картина</w:t>
      </w:r>
      <w:r w:rsidRPr="00AE47C6">
        <w:rPr>
          <w:rFonts w:ascii="Times New Roman" w:eastAsia="SimSun" w:hAnsi="Times New Roman"/>
          <w:i/>
          <w:sz w:val="24"/>
          <w:szCs w:val="24"/>
        </w:rPr>
        <w:t>.</w:t>
      </w:r>
      <w:r w:rsidRPr="00AE47C6">
        <w:rPr>
          <w:rFonts w:ascii="Times New Roman" w:eastAsia="SimSun" w:hAnsi="Times New Roman"/>
          <w:sz w:val="24"/>
          <w:szCs w:val="24"/>
        </w:rPr>
        <w:t xml:space="preserve"> Съдовата деменция съчетава симптомите на деменция с разнообразните прояви на МСБ. Когнитивният дефицит се характеризира с водещи нарушения в екзекутивните функции, в съчетание с паметови нарушения предимно в свободното припомняне, следвани от дефицит в останалите когнитивни сфери (реч, праксис, или гнозис). Поведенческите нарушения включват депресия, личностови промени, емоционална лабилност и психомоторна забавеност.</w:t>
      </w:r>
    </w:p>
    <w:p w14:paraId="54157332"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i/>
          <w:iCs/>
          <w:sz w:val="24"/>
          <w:szCs w:val="24"/>
          <w:lang w:eastAsia="bg-BG"/>
        </w:rPr>
      </w:pPr>
      <w:r w:rsidRPr="00AE47C6">
        <w:rPr>
          <w:rFonts w:ascii="Times New Roman" w:eastAsia="SimSun" w:hAnsi="Times New Roman"/>
          <w:i/>
          <w:iCs/>
          <w:sz w:val="24"/>
          <w:szCs w:val="24"/>
          <w:lang w:eastAsia="bg-BG"/>
        </w:rPr>
        <w:t>Задължително е и наличието на неврологични белези и/или други неврологични симптоми (екстрапирамидни симптоми, псевдобулбарен синдром, нарушение в походката) и наличие на съответната за МСБ находка от конвенционалното невроизобразяващо изследване (КТ или МРТ).</w:t>
      </w:r>
    </w:p>
    <w:p w14:paraId="55F12512"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i/>
          <w:iCs/>
          <w:sz w:val="24"/>
          <w:szCs w:val="24"/>
          <w:lang w:eastAsia="bg-BG"/>
        </w:rPr>
      </w:pPr>
      <w:r w:rsidRPr="00AE47C6">
        <w:rPr>
          <w:rFonts w:ascii="Times New Roman" w:eastAsia="SimSun" w:hAnsi="Times New Roman"/>
          <w:sz w:val="24"/>
          <w:szCs w:val="24"/>
          <w:lang w:eastAsia="bg-BG"/>
        </w:rPr>
        <w:t xml:space="preserve">Диагнозата </w:t>
      </w:r>
      <w:r w:rsidRPr="00AE47C6">
        <w:rPr>
          <w:rFonts w:ascii="Times New Roman" w:eastAsia="SimSun" w:hAnsi="Times New Roman"/>
          <w:i/>
          <w:iCs/>
          <w:sz w:val="24"/>
          <w:szCs w:val="24"/>
          <w:lang w:eastAsia="bg-BG"/>
        </w:rPr>
        <w:t xml:space="preserve">се базира на две главни групи критерии. Първата, са критерии залегнали в основните диагностични ръководства, каквито са четвъртата редакция на Диагностичното и статистическо ръководство на умствените заболявания (DSM-IV) и Х редакция на Международната Класификация на Болестите (МКБ 10). </w:t>
      </w:r>
    </w:p>
    <w:p w14:paraId="1F281090"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i/>
          <w:sz w:val="24"/>
          <w:szCs w:val="24"/>
          <w:lang w:eastAsia="bg-BG"/>
        </w:rPr>
      </w:pPr>
      <w:r w:rsidRPr="00AE47C6">
        <w:rPr>
          <w:rFonts w:ascii="Times New Roman" w:eastAsia="SimSun" w:hAnsi="Times New Roman"/>
          <w:i/>
          <w:sz w:val="24"/>
          <w:szCs w:val="24"/>
          <w:lang w:eastAsia="bg-BG"/>
        </w:rPr>
        <w:t xml:space="preserve">Втората група критерии </w:t>
      </w:r>
      <w:r w:rsidRPr="00AE47C6">
        <w:rPr>
          <w:rFonts w:ascii="Times New Roman" w:eastAsia="SimSun" w:hAnsi="Times New Roman"/>
          <w:sz w:val="24"/>
          <w:szCs w:val="24"/>
          <w:lang w:eastAsia="bg-BG"/>
        </w:rPr>
        <w:t xml:space="preserve">са създадени на базата на първите са предложени от State of California Alzheimer's Disease Diagnostic and Treatment Centers (ADDTC) и от National Institute of Neurological Disorders and Stroke and the Association Internationale pour la Recherche et l'Enseignement en Neurosciences (NINDS-AIREN). Според тези критерии </w:t>
      </w:r>
      <w:r w:rsidRPr="00AE47C6">
        <w:rPr>
          <w:rFonts w:ascii="Times New Roman" w:eastAsia="SimSun" w:hAnsi="Times New Roman"/>
          <w:i/>
          <w:sz w:val="24"/>
          <w:szCs w:val="24"/>
          <w:lang w:eastAsia="bg-BG"/>
        </w:rPr>
        <w:t xml:space="preserve">клиничната диагноза би могла да бъде възможна или вероятна. Сигурна би могла да бъде единствено патоанатомично верифицираната диагноза. </w:t>
      </w:r>
    </w:p>
    <w:p w14:paraId="5F1022CD"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r w:rsidRPr="00AE47C6">
        <w:rPr>
          <w:rFonts w:ascii="Times New Roman" w:eastAsia="SimSun" w:hAnsi="Times New Roman"/>
          <w:i/>
          <w:sz w:val="24"/>
          <w:szCs w:val="24"/>
          <w:lang w:eastAsia="bg-BG"/>
        </w:rPr>
        <w:t xml:space="preserve">При NINDS-AIREN </w:t>
      </w:r>
      <w:r w:rsidRPr="00AE47C6">
        <w:rPr>
          <w:rFonts w:ascii="Times New Roman" w:eastAsia="SimSun" w:hAnsi="Times New Roman"/>
          <w:sz w:val="24"/>
          <w:szCs w:val="24"/>
          <w:lang w:eastAsia="bg-BG"/>
        </w:rPr>
        <w:t>критериите е необходимо когнитивните, неврологични и невроизобразяващи критерии да са свързани с 1 или повече от следващите условия – начало на деменцията в срок от 3 месеца след инсулта, внезапно влошаване на когнитивните функции и флуктуираща, стъпалообразна прогресия.</w:t>
      </w:r>
    </w:p>
    <w:p w14:paraId="0913FF0C"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r w:rsidRPr="00AE47C6">
        <w:rPr>
          <w:rFonts w:ascii="Times New Roman" w:eastAsia="SimSun" w:hAnsi="Times New Roman"/>
          <w:sz w:val="24"/>
          <w:szCs w:val="24"/>
          <w:lang w:eastAsia="bg-BG"/>
        </w:rPr>
        <w:t>Към клиничните симптоми потвърждаващи</w:t>
      </w:r>
      <w:r w:rsidRPr="00AE47C6">
        <w:rPr>
          <w:rFonts w:ascii="Times New Roman" w:eastAsia="SimSun" w:hAnsi="Times New Roman"/>
          <w:i/>
          <w:sz w:val="24"/>
          <w:szCs w:val="24"/>
          <w:lang w:eastAsia="bg-BG"/>
        </w:rPr>
        <w:t xml:space="preserve"> диагнозата вероятна СД </w:t>
      </w:r>
      <w:r w:rsidRPr="00AE47C6">
        <w:rPr>
          <w:rFonts w:ascii="Times New Roman" w:eastAsia="SimSun" w:hAnsi="Times New Roman"/>
          <w:sz w:val="24"/>
          <w:szCs w:val="24"/>
          <w:lang w:eastAsia="bg-BG"/>
        </w:rPr>
        <w:t xml:space="preserve">авторите включват: ранните нарушения в походката, анамнезата за нестабилност или чести непровокирани падания, ранната инконтиненция на урината, псевдобулбарните симптоми, личностовите промени и нарушенията в настроението. Характеристиките, които правят диагнозата вероятна съдова деменция несигурна или невъзможна, включват: ранно начало на паметов дефицит, прогресивно влошаване на паметта и други когнитивни функции; липса на огнищни неврологични белези; и липса на мозъчносъдови лезии на КТ и МРТ. </w:t>
      </w:r>
    </w:p>
    <w:p w14:paraId="5F2C2A67"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Наскоро експертите от работната група по СД към СЗО, предложи работен вариант на нови критерии за ранна диагноза на подкоровата СД (Съдово Когнитивно Нарушение, СКН). Нарушенията в екзекутивните функции са изведени на първо място в когнитивния дефицит при тези болни. Разработени са и неврорадиологични (CT и MРТ) критерии за оценка на мозъчните увреди (лакунарни мозъчни инфаркти и левкоарейоза) при деменция дължаща се на заболяване на малките мозъчни съдове. Отменено е изискването за съответствие между проявите на МСБ и началото на дементния синдром, което дава възможност за поставянето на диагнозата СД при болни, при които MРТ разкрива "тихи", подкорово разположени, лакунарни мозъчни инфаркти. </w:t>
      </w:r>
    </w:p>
    <w:p w14:paraId="3C63905A"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p>
    <w:p w14:paraId="52A5ABDA"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Съдово Когнитивно Нарушение” (СКН) </w:t>
      </w:r>
    </w:p>
    <w:p w14:paraId="38BEBE43"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b/>
          <w:i/>
          <w:sz w:val="24"/>
          <w:szCs w:val="24"/>
        </w:rPr>
        <w:t>ASA/AHA критерии (2011) за диагностика на СКН.</w:t>
      </w:r>
    </w:p>
    <w:p w14:paraId="0895D1AE"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На фона на разгледаното до сега, предложението за изместването на понятието „съдова деменция” към „съдово когнитивно нарушение” (СКН)  има обосновка. </w:t>
      </w:r>
    </w:p>
    <w:p w14:paraId="7699C2AB"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АHA / ASA съставиха работна група, която издаде консенсусна публикация озаглавена "Съдови приноси за когнитивни нарушения и деменция” през 2011 г. Тя предлага диагностични критерии за СКН, както и няколко препоръки по отношение на невроизобразяване и лечение на различните фази на този клиничен спектър.</w:t>
      </w:r>
    </w:p>
    <w:p w14:paraId="03CE1EC0"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Съобразно AHA / ASA критерии, СКН трябва да включва всички фази на когнитивните нарушения, свързани с мозъчно-съдова болест, от леки симптоми до изявена деменция: " СКН е синдром с клинични прояви на инсулт или субклинично съдово увреждане на мозъка и когнитивни нарушения, засягащи поне една когнитивна област”.</w:t>
      </w:r>
    </w:p>
    <w:p w14:paraId="157E4C59"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Този диагностичен подход има предимството, че не зависи от спецификата на мозъчно-съдовия процес (кардиоемболичен, атеросклеротичен, исхемичен и т.н.). Предложени са диагностични критерии за съдова деменция (вероятна и възможна) и за съдово ЛКН (вероятна, възможна и нестабилна). Въз основа на когнитивна оценка на най-малко четири когнитивни области (екзекутивни функции, памет, езикови и зрително-пространствени функции), диагнозата „деменция” изисква спад поне в 2 области, достатъчен за да наруши ежедневните дейности. </w:t>
      </w:r>
    </w:p>
    <w:p w14:paraId="2943A655"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Диагностичните критерии за </w:t>
      </w:r>
      <w:r w:rsidRPr="00AE47C6">
        <w:rPr>
          <w:rFonts w:ascii="Times New Roman" w:eastAsia="SimSun" w:hAnsi="Times New Roman"/>
          <w:b/>
          <w:i/>
          <w:sz w:val="24"/>
          <w:szCs w:val="24"/>
        </w:rPr>
        <w:t>вероятно и възможно съдово ЛКН</w:t>
      </w:r>
      <w:r w:rsidRPr="00AE47C6">
        <w:rPr>
          <w:rFonts w:ascii="Times New Roman" w:eastAsia="SimSun" w:hAnsi="Times New Roman"/>
          <w:sz w:val="24"/>
          <w:szCs w:val="24"/>
        </w:rPr>
        <w:t xml:space="preserve"> са паралелни с тези на вероятна и възможна съдова деменция, с изключение на това, че инструменталните ежедневните дейности трябва да бъдат нормални или само леко нарушени. Интересното е, че ASA / AHA въведе концепция на „нестабилно съдово ЛКН” за отчитане на лица, чието когнитивно нарушение може да се възстанови към нормално функциониране по време на проследяването.</w:t>
      </w:r>
    </w:p>
    <w:p w14:paraId="2350E6F8"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r w:rsidRPr="00AE47C6">
        <w:rPr>
          <w:rFonts w:ascii="Times New Roman" w:eastAsia="SimSun" w:hAnsi="Times New Roman"/>
          <w:sz w:val="24"/>
          <w:szCs w:val="24"/>
          <w:lang w:eastAsia="bg-BG"/>
        </w:rPr>
        <w:t>Диференциална диагноза се прави с БА, смесена деменция, нормотензивна хидроцефалия, тумор на челния дял, фронтотемпорална деменция и др.</w:t>
      </w:r>
    </w:p>
    <w:p w14:paraId="71B974A2"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r w:rsidRPr="00AE47C6">
        <w:rPr>
          <w:rFonts w:ascii="Times New Roman" w:eastAsia="SimSun" w:hAnsi="Times New Roman"/>
          <w:i/>
          <w:sz w:val="24"/>
          <w:szCs w:val="24"/>
          <w:lang w:eastAsia="bg-BG"/>
        </w:rPr>
        <w:t>Изследвания</w:t>
      </w:r>
      <w:r w:rsidRPr="00AE47C6">
        <w:rPr>
          <w:rFonts w:ascii="Times New Roman" w:eastAsia="SimSun" w:hAnsi="Times New Roman"/>
          <w:sz w:val="24"/>
          <w:szCs w:val="24"/>
          <w:lang w:eastAsia="bg-BG"/>
        </w:rPr>
        <w:t>. Анамнеза, соматичен и неврологичен статус, изследвания, доказващи наличието на МСБ. Наред с рутинните хематологични, биохимични, хемореологични и хормонални изследвания, трябва да се проведат КТ и/или МРТ на главния мозък, невросонографско изследване на магистралните артерии на главата и базалните мозъчни артерии. Невропсихологичните изследвания са задължителна част от диагностичния комплекс.</w:t>
      </w:r>
    </w:p>
    <w:p w14:paraId="72BC620F"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r w:rsidRPr="00AE47C6">
        <w:rPr>
          <w:rFonts w:ascii="Times New Roman" w:eastAsia="SimSun" w:hAnsi="Times New Roman"/>
          <w:b/>
          <w:bCs/>
          <w:sz w:val="24"/>
          <w:szCs w:val="24"/>
          <w:lang w:eastAsia="bg-BG"/>
        </w:rPr>
        <w:t>Лечението</w:t>
      </w:r>
      <w:r w:rsidRPr="00AE47C6">
        <w:rPr>
          <w:rFonts w:ascii="Times New Roman" w:eastAsia="SimSun" w:hAnsi="Times New Roman"/>
          <w:sz w:val="24"/>
          <w:szCs w:val="24"/>
          <w:lang w:eastAsia="bg-BG"/>
        </w:rPr>
        <w:t xml:space="preserve"> </w:t>
      </w:r>
      <w:r w:rsidRPr="00AE47C6">
        <w:rPr>
          <w:rFonts w:ascii="Times New Roman" w:eastAsia="SimSun" w:hAnsi="Times New Roman"/>
          <w:i/>
          <w:sz w:val="24"/>
          <w:szCs w:val="24"/>
          <w:lang w:eastAsia="bg-BG"/>
        </w:rPr>
        <w:t xml:space="preserve">е свързано с профилактиката и лечението на мозъчния инсулт (Виж “Мозъчносъдова болест”). </w:t>
      </w:r>
      <w:r w:rsidRPr="00AE47C6">
        <w:rPr>
          <w:rFonts w:ascii="Times New Roman" w:eastAsia="SimSun" w:hAnsi="Times New Roman"/>
          <w:sz w:val="24"/>
          <w:szCs w:val="24"/>
          <w:lang w:eastAsia="bg-BG"/>
        </w:rPr>
        <w:t xml:space="preserve">Повлияването на рисковите фактори е същото, както и при болните с МСБ без деменция. Провеждат се вторична профилактика и лечение с антихипертензивни, антиагреганти, антиоксидантни, невропротектори и антикоагулантни медикаменти. </w:t>
      </w:r>
    </w:p>
    <w:p w14:paraId="400AD95A" w14:textId="77777777" w:rsidR="00BE0B19" w:rsidRPr="00AE47C6" w:rsidRDefault="00BE0B19" w:rsidP="00BE0B19">
      <w:pPr>
        <w:numPr>
          <w:ilvl w:val="0"/>
          <w:numId w:val="403"/>
        </w:numPr>
        <w:tabs>
          <w:tab w:val="left" w:pos="720"/>
        </w:tabs>
        <w:suppressAutoHyphens/>
        <w:spacing w:after="0" w:line="360" w:lineRule="auto"/>
        <w:jc w:val="both"/>
        <w:rPr>
          <w:rFonts w:ascii="Times New Roman" w:eastAsia="SimSun" w:hAnsi="Times New Roman"/>
          <w:b/>
          <w:sz w:val="24"/>
          <w:szCs w:val="24"/>
          <w:lang w:eastAsia="bg-BG"/>
        </w:rPr>
      </w:pPr>
      <w:r w:rsidRPr="00AE47C6">
        <w:rPr>
          <w:rFonts w:ascii="Times New Roman" w:eastAsia="SimSun" w:hAnsi="Times New Roman"/>
          <w:i/>
          <w:sz w:val="24"/>
          <w:szCs w:val="24"/>
          <w:lang w:eastAsia="bg-BG"/>
        </w:rPr>
        <w:t xml:space="preserve">Екстракти на ginkgo Billoba </w:t>
      </w:r>
      <w:r w:rsidRPr="00AE47C6">
        <w:rPr>
          <w:rFonts w:ascii="Times New Roman" w:eastAsia="SimSun" w:hAnsi="Times New Roman"/>
          <w:sz w:val="24"/>
          <w:szCs w:val="24"/>
          <w:lang w:eastAsia="bg-BG"/>
        </w:rPr>
        <w:t>се прилагат в дневна доза 120 – 240 mg. Благоприятният ефект върху когнитивните функции се съчетава с много добър профил на безопасност.</w:t>
      </w:r>
    </w:p>
    <w:p w14:paraId="7B412DEE" w14:textId="77777777" w:rsidR="00BE0B19" w:rsidRPr="00AE47C6" w:rsidRDefault="00BE0B19" w:rsidP="00BE0B19">
      <w:pPr>
        <w:numPr>
          <w:ilvl w:val="0"/>
          <w:numId w:val="403"/>
        </w:numPr>
        <w:tabs>
          <w:tab w:val="left" w:pos="720"/>
        </w:tabs>
        <w:suppressAutoHyphens/>
        <w:spacing w:after="0" w:line="360" w:lineRule="auto"/>
        <w:jc w:val="both"/>
        <w:rPr>
          <w:rFonts w:ascii="Times New Roman" w:eastAsia="SimSun" w:hAnsi="Times New Roman"/>
          <w:bCs/>
          <w:sz w:val="24"/>
          <w:szCs w:val="24"/>
          <w:lang w:eastAsia="bg-BG"/>
        </w:rPr>
      </w:pPr>
      <w:r w:rsidRPr="00AE47C6">
        <w:rPr>
          <w:rFonts w:ascii="Times New Roman" w:eastAsia="SimSun" w:hAnsi="Times New Roman"/>
          <w:i/>
          <w:iCs/>
          <w:sz w:val="24"/>
          <w:szCs w:val="24"/>
          <w:lang w:eastAsia="bg-BG"/>
        </w:rPr>
        <w:t xml:space="preserve">Алкалоид </w:t>
      </w:r>
      <w:r w:rsidRPr="00AE47C6">
        <w:rPr>
          <w:rFonts w:ascii="Times New Roman" w:eastAsia="SimSun" w:hAnsi="Times New Roman"/>
          <w:sz w:val="24"/>
          <w:szCs w:val="24"/>
          <w:lang w:eastAsia="bg-BG"/>
        </w:rPr>
        <w:t>от</w:t>
      </w:r>
      <w:r w:rsidRPr="00AE47C6">
        <w:rPr>
          <w:rFonts w:ascii="Times New Roman" w:eastAsia="SimSun" w:hAnsi="Times New Roman"/>
          <w:i/>
          <w:iCs/>
          <w:sz w:val="24"/>
          <w:szCs w:val="24"/>
          <w:lang w:eastAsia="bg-BG"/>
        </w:rPr>
        <w:t xml:space="preserve"> Vinca minor</w:t>
      </w:r>
      <w:r w:rsidRPr="00AE47C6">
        <w:rPr>
          <w:rFonts w:ascii="Times New Roman" w:eastAsia="SimSun" w:hAnsi="Times New Roman"/>
          <w:sz w:val="24"/>
          <w:szCs w:val="24"/>
          <w:lang w:eastAsia="bg-BG"/>
        </w:rPr>
        <w:t xml:space="preserve"> в дневна доза 20-30 mg дневно (Vinpocetine) освен селективна церебрална вазодилатация и подобряване на реологичните свойства на кръвта, упражнява и изразен невропротективен ефект. Дълготрайните ефекти върху когнитивните функции дори превъзхождат тези на хидергина. С РЕТ е показано, че медикаментът подобрява екстракцията на глюкозата от невроните. </w:t>
      </w:r>
    </w:p>
    <w:p w14:paraId="0E8BF44E" w14:textId="77777777" w:rsidR="00BE0B19" w:rsidRPr="00AE47C6" w:rsidRDefault="00BE0B19" w:rsidP="00BE0B19">
      <w:pPr>
        <w:numPr>
          <w:ilvl w:val="0"/>
          <w:numId w:val="403"/>
        </w:numPr>
        <w:tabs>
          <w:tab w:val="left" w:pos="720"/>
        </w:tabs>
        <w:suppressAutoHyphens/>
        <w:spacing w:after="0" w:line="360" w:lineRule="auto"/>
        <w:jc w:val="both"/>
        <w:rPr>
          <w:rFonts w:ascii="Times New Roman" w:eastAsia="SimSun" w:hAnsi="Times New Roman"/>
          <w:b/>
          <w:sz w:val="24"/>
          <w:szCs w:val="24"/>
          <w:lang w:eastAsia="bg-BG"/>
        </w:rPr>
      </w:pPr>
      <w:r w:rsidRPr="00AE47C6">
        <w:rPr>
          <w:rFonts w:ascii="Times New Roman" w:eastAsia="SimSun" w:hAnsi="Times New Roman"/>
          <w:i/>
          <w:sz w:val="24"/>
          <w:szCs w:val="24"/>
          <w:lang w:eastAsia="bg-BG"/>
        </w:rPr>
        <w:t xml:space="preserve">Ерготаминовият дериват nicergoline в доза 30-60 mg дн. </w:t>
      </w:r>
      <w:r w:rsidRPr="00AE47C6">
        <w:rPr>
          <w:rFonts w:ascii="Times New Roman" w:eastAsia="SimSun" w:hAnsi="Times New Roman"/>
          <w:sz w:val="24"/>
          <w:szCs w:val="24"/>
          <w:lang w:eastAsia="bg-BG"/>
        </w:rPr>
        <w:t>има благоприятен ефект върху познавателните дейности, смущенията в настроението и поведението. Повлиява благоприятно нивото на бдителност, концентрационните функции и емоционалното състояние.</w:t>
      </w:r>
    </w:p>
    <w:p w14:paraId="2A281D18" w14:textId="77777777" w:rsidR="00BE0B19" w:rsidRPr="00AE47C6" w:rsidRDefault="00BE0B19" w:rsidP="00BE0B19">
      <w:pPr>
        <w:numPr>
          <w:ilvl w:val="0"/>
          <w:numId w:val="403"/>
        </w:numPr>
        <w:tabs>
          <w:tab w:val="left" w:pos="720"/>
        </w:tabs>
        <w:suppressAutoHyphens/>
        <w:spacing w:after="0" w:line="360" w:lineRule="auto"/>
        <w:jc w:val="both"/>
        <w:rPr>
          <w:rFonts w:ascii="Times New Roman" w:eastAsia="SimSun" w:hAnsi="Times New Roman"/>
          <w:b/>
          <w:sz w:val="24"/>
          <w:szCs w:val="24"/>
          <w:lang w:eastAsia="bg-BG"/>
        </w:rPr>
      </w:pPr>
      <w:r w:rsidRPr="00AE47C6">
        <w:rPr>
          <w:rFonts w:ascii="Times New Roman" w:eastAsia="SimSun" w:hAnsi="Times New Roman"/>
          <w:sz w:val="24"/>
          <w:szCs w:val="24"/>
          <w:lang w:eastAsia="bg-BG"/>
        </w:rPr>
        <w:t>Ноотропният</w:t>
      </w:r>
      <w:r w:rsidRPr="00AE47C6">
        <w:rPr>
          <w:rFonts w:ascii="Times New Roman" w:eastAsia="SimSun" w:hAnsi="Times New Roman"/>
          <w:i/>
          <w:sz w:val="24"/>
          <w:szCs w:val="24"/>
          <w:lang w:eastAsia="bg-BG"/>
        </w:rPr>
        <w:t xml:space="preserve"> медикамент piracetam– 2400 – 4800 mg </w:t>
      </w:r>
      <w:r w:rsidRPr="00AE47C6">
        <w:rPr>
          <w:rFonts w:ascii="Times New Roman" w:eastAsia="SimSun" w:hAnsi="Times New Roman"/>
          <w:sz w:val="24"/>
          <w:szCs w:val="24"/>
          <w:lang w:eastAsia="bg-BG"/>
        </w:rPr>
        <w:t xml:space="preserve">се прилага в комбинация с другите. </w:t>
      </w:r>
    </w:p>
    <w:p w14:paraId="5FF0E381" w14:textId="77777777" w:rsidR="00BE0B19" w:rsidRPr="00AE47C6" w:rsidRDefault="00BE0B19" w:rsidP="00BE0B19">
      <w:pPr>
        <w:numPr>
          <w:ilvl w:val="0"/>
          <w:numId w:val="403"/>
        </w:numPr>
        <w:tabs>
          <w:tab w:val="left" w:pos="720"/>
        </w:tabs>
        <w:suppressAutoHyphens/>
        <w:spacing w:after="0" w:line="360" w:lineRule="auto"/>
        <w:jc w:val="both"/>
        <w:rPr>
          <w:rFonts w:ascii="Times New Roman" w:eastAsia="SimSun" w:hAnsi="Times New Roman"/>
          <w:b/>
          <w:sz w:val="24"/>
          <w:szCs w:val="24"/>
          <w:lang w:eastAsia="bg-BG"/>
        </w:rPr>
      </w:pPr>
      <w:r w:rsidRPr="00AE47C6">
        <w:rPr>
          <w:rFonts w:ascii="Times New Roman" w:eastAsia="SimSun" w:hAnsi="Times New Roman"/>
          <w:sz w:val="24"/>
          <w:szCs w:val="24"/>
          <w:lang w:eastAsia="bg-BG"/>
        </w:rPr>
        <w:t>Ксантиновият</w:t>
      </w:r>
      <w:r w:rsidRPr="00AE47C6">
        <w:rPr>
          <w:rFonts w:ascii="Times New Roman" w:eastAsia="SimSun" w:hAnsi="Times New Roman"/>
          <w:i/>
          <w:sz w:val="24"/>
          <w:szCs w:val="24"/>
          <w:lang w:eastAsia="bg-BG"/>
        </w:rPr>
        <w:t xml:space="preserve"> дериват pentoxifylline– </w:t>
      </w:r>
      <w:r w:rsidRPr="00AE47C6">
        <w:rPr>
          <w:rFonts w:ascii="Times New Roman" w:eastAsia="SimSun" w:hAnsi="Times New Roman"/>
          <w:sz w:val="24"/>
          <w:szCs w:val="24"/>
          <w:lang w:eastAsia="bg-BG"/>
        </w:rPr>
        <w:t>800 до 1200 mg дн. подобрява субективните оплаквания, социалната изолация и общата дисфункция.</w:t>
      </w:r>
    </w:p>
    <w:p w14:paraId="3754B823" w14:textId="77777777" w:rsidR="00BE0B19" w:rsidRPr="00AE47C6" w:rsidRDefault="00BE0B19" w:rsidP="00BE0B19">
      <w:pPr>
        <w:numPr>
          <w:ilvl w:val="0"/>
          <w:numId w:val="403"/>
        </w:numPr>
        <w:tabs>
          <w:tab w:val="left" w:pos="720"/>
        </w:tabs>
        <w:suppressAutoHyphens/>
        <w:spacing w:after="0" w:line="360" w:lineRule="auto"/>
        <w:jc w:val="both"/>
        <w:rPr>
          <w:rFonts w:ascii="Times New Roman" w:eastAsia="SimSun" w:hAnsi="Times New Roman"/>
          <w:b/>
          <w:sz w:val="24"/>
          <w:szCs w:val="24"/>
          <w:lang w:eastAsia="bg-BG"/>
        </w:rPr>
      </w:pPr>
      <w:r w:rsidRPr="00AE47C6">
        <w:rPr>
          <w:rFonts w:ascii="Times New Roman" w:eastAsia="SimSun" w:hAnsi="Times New Roman"/>
          <w:i/>
          <w:sz w:val="24"/>
          <w:szCs w:val="24"/>
          <w:lang w:eastAsia="bg-BG"/>
        </w:rPr>
        <w:t xml:space="preserve">Селективният калциев антагонист nimodipine – 90 mg дн., </w:t>
      </w:r>
      <w:r w:rsidRPr="00AE47C6">
        <w:rPr>
          <w:rFonts w:ascii="Times New Roman" w:eastAsia="SimSun" w:hAnsi="Times New Roman"/>
          <w:sz w:val="24"/>
          <w:szCs w:val="24"/>
          <w:lang w:eastAsia="bg-BG"/>
        </w:rPr>
        <w:t xml:space="preserve">има протективно действие върху невроните, застрашени от мозъчна исхемия, оказва влияние върху паметовите нарушения, вниманието, емоционалната лабилност, депресията, страховите изживявания и нарушенията в съня. </w:t>
      </w:r>
    </w:p>
    <w:p w14:paraId="4828DC40" w14:textId="77777777" w:rsidR="00BE0B19" w:rsidRPr="00AE47C6" w:rsidRDefault="00BE0B19" w:rsidP="00BE0B19">
      <w:pPr>
        <w:numPr>
          <w:ilvl w:val="0"/>
          <w:numId w:val="403"/>
        </w:numPr>
        <w:tabs>
          <w:tab w:val="left" w:pos="720"/>
        </w:tabs>
        <w:suppressAutoHyphens/>
        <w:spacing w:after="0" w:line="360" w:lineRule="auto"/>
        <w:jc w:val="both"/>
        <w:rPr>
          <w:rFonts w:ascii="Times New Roman" w:eastAsia="SimSun" w:hAnsi="Times New Roman"/>
          <w:b/>
          <w:sz w:val="24"/>
          <w:szCs w:val="24"/>
          <w:lang w:eastAsia="bg-BG"/>
        </w:rPr>
      </w:pPr>
      <w:r w:rsidRPr="00AE47C6">
        <w:rPr>
          <w:rFonts w:ascii="Times New Roman" w:eastAsia="SimSun" w:hAnsi="Times New Roman"/>
          <w:i/>
          <w:sz w:val="24"/>
          <w:szCs w:val="24"/>
          <w:lang w:eastAsia="bg-BG"/>
        </w:rPr>
        <w:t xml:space="preserve">Ацетилхолинестеразните (AChE) инхибитори при съдова деменция в </w:t>
      </w:r>
      <w:r w:rsidRPr="00AE47C6">
        <w:rPr>
          <w:rFonts w:ascii="Times New Roman" w:eastAsia="SimSun" w:hAnsi="Times New Roman"/>
          <w:sz w:val="24"/>
          <w:szCs w:val="24"/>
          <w:lang w:eastAsia="bg-BG"/>
        </w:rPr>
        <w:t>резултат</w:t>
      </w:r>
      <w:r w:rsidRPr="00AE47C6">
        <w:rPr>
          <w:rFonts w:ascii="Times New Roman" w:eastAsia="SimSun" w:hAnsi="Times New Roman"/>
          <w:i/>
          <w:sz w:val="24"/>
          <w:szCs w:val="24"/>
          <w:lang w:eastAsia="bg-BG"/>
        </w:rPr>
        <w:t xml:space="preserve"> на болест на малките съдове: donepezil – 5-10 mg в еднократна дневна доза; rivastigmine– 6-12 mg на два приема; galanthamin – 20-30 mg.</w:t>
      </w:r>
    </w:p>
    <w:p w14:paraId="62964C4E" w14:textId="77777777" w:rsidR="00BE0B19" w:rsidRPr="00AE47C6" w:rsidRDefault="00BE0B19" w:rsidP="00BE0B19">
      <w:pPr>
        <w:numPr>
          <w:ilvl w:val="0"/>
          <w:numId w:val="403"/>
        </w:numPr>
        <w:tabs>
          <w:tab w:val="left" w:pos="720"/>
        </w:tabs>
        <w:suppressAutoHyphens/>
        <w:spacing w:after="0" w:line="360" w:lineRule="auto"/>
        <w:jc w:val="both"/>
        <w:rPr>
          <w:rFonts w:ascii="Times New Roman" w:eastAsia="SimSun" w:hAnsi="Times New Roman"/>
          <w:b/>
          <w:sz w:val="24"/>
          <w:szCs w:val="24"/>
          <w:lang w:eastAsia="bg-BG"/>
        </w:rPr>
      </w:pPr>
      <w:r w:rsidRPr="00AE47C6">
        <w:rPr>
          <w:rFonts w:ascii="Times New Roman" w:eastAsia="SimSun" w:hAnsi="Times New Roman"/>
          <w:i/>
          <w:sz w:val="24"/>
          <w:szCs w:val="24"/>
          <w:lang w:eastAsia="bg-BG"/>
        </w:rPr>
        <w:t xml:space="preserve">Лечението на психичните симптоми и промените в поведението трябва да </w:t>
      </w:r>
      <w:r w:rsidRPr="00AE47C6">
        <w:rPr>
          <w:rFonts w:ascii="Times New Roman" w:eastAsia="SimSun" w:hAnsi="Times New Roman"/>
          <w:sz w:val="24"/>
          <w:szCs w:val="24"/>
          <w:lang w:eastAsia="bg-BG"/>
        </w:rPr>
        <w:t xml:space="preserve">се провежда внимателно. Болните с дегенеративни деменции и СД често получават тежки странични явления или състояния на обърканост, ортостатична хипотония и др. при назначаване на антидепресанти, невролептици, бензодиазепини, антиконвулсанти и др. </w:t>
      </w:r>
    </w:p>
    <w:p w14:paraId="3AFA29FF" w14:textId="77777777" w:rsidR="00BE0B19" w:rsidRPr="00AE47C6" w:rsidRDefault="00BE0B19" w:rsidP="00BE0B19">
      <w:pPr>
        <w:numPr>
          <w:ilvl w:val="0"/>
          <w:numId w:val="403"/>
        </w:numPr>
        <w:tabs>
          <w:tab w:val="left" w:pos="720"/>
        </w:tabs>
        <w:suppressAutoHyphens/>
        <w:spacing w:after="0" w:line="360" w:lineRule="auto"/>
        <w:jc w:val="both"/>
        <w:rPr>
          <w:rFonts w:ascii="Times New Roman" w:eastAsia="SimSun" w:hAnsi="Times New Roman"/>
          <w:b/>
          <w:sz w:val="24"/>
          <w:szCs w:val="24"/>
          <w:lang w:eastAsia="bg-BG"/>
        </w:rPr>
      </w:pPr>
      <w:r w:rsidRPr="00AE47C6">
        <w:rPr>
          <w:rFonts w:ascii="Times New Roman" w:eastAsia="SimSun" w:hAnsi="Times New Roman"/>
          <w:i/>
          <w:sz w:val="24"/>
          <w:szCs w:val="24"/>
          <w:lang w:eastAsia="bg-BG"/>
        </w:rPr>
        <w:t>Назначаването на Vit. В</w:t>
      </w:r>
      <w:r w:rsidRPr="00AE47C6">
        <w:rPr>
          <w:rFonts w:ascii="Times New Roman" w:eastAsia="SimSun" w:hAnsi="Times New Roman"/>
          <w:i/>
          <w:sz w:val="24"/>
          <w:szCs w:val="24"/>
          <w:vertAlign w:val="subscript"/>
          <w:lang w:eastAsia="bg-BG"/>
        </w:rPr>
        <w:t>12</w:t>
      </w:r>
      <w:r w:rsidRPr="00AE47C6">
        <w:rPr>
          <w:rFonts w:ascii="Times New Roman" w:eastAsia="SimSun" w:hAnsi="Times New Roman"/>
          <w:i/>
          <w:sz w:val="24"/>
          <w:szCs w:val="24"/>
          <w:lang w:eastAsia="bg-BG"/>
        </w:rPr>
        <w:t xml:space="preserve"> и фолиева киселина при доказан недостиг може да </w:t>
      </w:r>
      <w:r w:rsidRPr="00AE47C6">
        <w:rPr>
          <w:rFonts w:ascii="Times New Roman" w:eastAsia="SimSun" w:hAnsi="Times New Roman"/>
          <w:sz w:val="24"/>
          <w:szCs w:val="24"/>
          <w:lang w:eastAsia="bg-BG"/>
        </w:rPr>
        <w:t>подобри</w:t>
      </w:r>
      <w:r w:rsidRPr="00AE47C6">
        <w:rPr>
          <w:rFonts w:ascii="Times New Roman" w:eastAsia="SimSun" w:hAnsi="Times New Roman"/>
          <w:i/>
          <w:sz w:val="24"/>
          <w:szCs w:val="24"/>
          <w:lang w:eastAsia="bg-BG"/>
        </w:rPr>
        <w:t xml:space="preserve"> състоянието на болните. </w:t>
      </w:r>
    </w:p>
    <w:p w14:paraId="2A29F76D"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r w:rsidRPr="00AE47C6">
        <w:rPr>
          <w:rFonts w:ascii="Times New Roman" w:eastAsia="SimSun" w:hAnsi="Times New Roman"/>
          <w:i/>
          <w:sz w:val="24"/>
          <w:szCs w:val="24"/>
          <w:lang w:eastAsia="bg-BG"/>
        </w:rPr>
        <w:t>Прогноза.</w:t>
      </w:r>
      <w:r w:rsidRPr="00AE47C6">
        <w:rPr>
          <w:rFonts w:ascii="Times New Roman" w:eastAsia="SimSun" w:hAnsi="Times New Roman"/>
          <w:sz w:val="24"/>
          <w:szCs w:val="24"/>
          <w:lang w:eastAsia="bg-BG"/>
        </w:rPr>
        <w:t xml:space="preserve"> Преживяемостта е около 5 години, която е по-ниска от тази при общата популация, както и при пациенти с БА. Най-чести причини за смърт са рецидивиращите инсулти, исхемичната болест на сърцето, бронхопневмонията и септицемията. </w:t>
      </w:r>
    </w:p>
    <w:p w14:paraId="2705D7A2"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163" w:name="_Toc155651779"/>
      <w:bookmarkStart w:id="164" w:name="_Toc164075911"/>
      <w:r w:rsidRPr="00AE47C6">
        <w:rPr>
          <w:rFonts w:ascii="Times New Roman" w:eastAsia="SimSun" w:hAnsi="Times New Roman"/>
          <w:b/>
          <w:sz w:val="24"/>
          <w:szCs w:val="24"/>
        </w:rPr>
        <w:t>7.3. Фронто–темпорална деменция (ФТД)</w:t>
      </w:r>
      <w:bookmarkEnd w:id="163"/>
      <w:bookmarkEnd w:id="164"/>
    </w:p>
    <w:p w14:paraId="262E1CD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i/>
          <w:iCs/>
          <w:sz w:val="24"/>
          <w:szCs w:val="24"/>
          <w:u w:val="single"/>
        </w:rPr>
        <w:t>Фронто–темпоралната деменция</w:t>
      </w:r>
      <w:r w:rsidRPr="00AE47C6">
        <w:rPr>
          <w:rFonts w:ascii="Times New Roman" w:eastAsia="SimSun" w:hAnsi="Times New Roman"/>
          <w:b/>
          <w:sz w:val="24"/>
          <w:szCs w:val="24"/>
          <w:u w:val="single"/>
        </w:rPr>
        <w:t xml:space="preserve"> (ФТД)</w:t>
      </w:r>
      <w:r w:rsidRPr="00AE47C6">
        <w:rPr>
          <w:rFonts w:ascii="Times New Roman" w:eastAsia="SimSun" w:hAnsi="Times New Roman"/>
          <w:sz w:val="24"/>
          <w:szCs w:val="24"/>
        </w:rPr>
        <w:t xml:space="preserve"> е втората по честота корова дегенеративна форма на деменция в третата възраст. Терминът фронтотемпорална лобарна дегенерация (ФТЛД) обхваща група прогресивни дегенеративни заболявания на мозъка, които са хетерогенни по отношение на етиология и невропатология, но споделят обща морфологична характеристика с атрофия на челния  и/или темпоралния кортекс. Клиничните синдроми на ФТЛД се характеризират с прогресивно нарушение в поведението или езиковите функции.</w:t>
      </w:r>
    </w:p>
    <w:p w14:paraId="52147C41" w14:textId="77777777" w:rsidR="00BE0B19" w:rsidRPr="00AE47C6" w:rsidRDefault="00BE0B19" w:rsidP="00BE0B19">
      <w:pPr>
        <w:spacing w:after="0" w:line="360" w:lineRule="auto"/>
        <w:ind w:firstLine="709"/>
        <w:jc w:val="both"/>
        <w:rPr>
          <w:rFonts w:ascii="Times New Roman" w:eastAsia="SimSun" w:hAnsi="Times New Roman"/>
          <w:sz w:val="24"/>
          <w:szCs w:val="24"/>
          <w:lang w:eastAsia="ja-JP" w:bidi="th-TH"/>
        </w:rPr>
      </w:pPr>
      <w:r w:rsidRPr="00AE47C6">
        <w:rPr>
          <w:rFonts w:ascii="Times New Roman" w:eastAsia="SimSun" w:hAnsi="Times New Roman"/>
          <w:sz w:val="24"/>
          <w:szCs w:val="24"/>
        </w:rPr>
        <w:t xml:space="preserve">Номенклатурата на ФТЛД остава непостоянна. ФТЛД се разглежда като основополагащ термин за клинико-патологичен комплекс, който включва два клинични синдрома и три основни невропатологични подтипове. </w:t>
      </w:r>
      <w:r w:rsidRPr="00AE47C6">
        <w:rPr>
          <w:rFonts w:ascii="Times New Roman" w:eastAsia="SimSun" w:hAnsi="Times New Roman"/>
          <w:sz w:val="24"/>
          <w:szCs w:val="24"/>
          <w:lang w:eastAsia="ja-JP" w:bidi="th-TH"/>
        </w:rPr>
        <w:t xml:space="preserve">Клиничните синдроми - поведенчески вариант на фронтотемпорална деменция (ФТД-П) и първична прогресивна афазия (ППА) - се отличават посредством най-ранните и преобладаващите симптоми. Невропатологичните подтипове се характеризират с абнормно натрупване на протеини -  </w:t>
      </w:r>
      <w:r w:rsidRPr="00AE47C6">
        <w:rPr>
          <w:rFonts w:ascii="Times New Roman" w:eastAsia="SimSun" w:hAnsi="Times New Roman"/>
          <w:sz w:val="24"/>
          <w:szCs w:val="24"/>
        </w:rPr>
        <w:t>microtubule-associated protein tau (MAPT), transactive response DNA-binding protein с молекулярно тегло 43 kDa (TDP-43) и fused in sarcoma protein (FUS).</w:t>
      </w:r>
    </w:p>
    <w:p w14:paraId="76EFACE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Патоморфология.</w:t>
      </w:r>
      <w:r w:rsidRPr="00AE47C6">
        <w:rPr>
          <w:rFonts w:ascii="Times New Roman" w:eastAsia="SimSun" w:hAnsi="Times New Roman"/>
          <w:sz w:val="24"/>
          <w:szCs w:val="24"/>
        </w:rPr>
        <w:t xml:space="preserve"> Фокална корова атрофия, засягаща предимно челните и темпорални дялове на главния мозък, при които хистологично се установяват балонирани неврони с характерни аргирофилни tau и ubiquitin позитивни </w:t>
      </w:r>
      <w:r w:rsidRPr="00AE47C6">
        <w:rPr>
          <w:rFonts w:ascii="Times New Roman" w:eastAsia="SimSun" w:hAnsi="Times New Roman"/>
          <w:iCs/>
          <w:sz w:val="24"/>
          <w:szCs w:val="24"/>
        </w:rPr>
        <w:t>вътреклетъчни включвания</w:t>
      </w:r>
      <w:r w:rsidRPr="00AE47C6">
        <w:rPr>
          <w:rFonts w:ascii="Times New Roman" w:eastAsia="SimSun" w:hAnsi="Times New Roman"/>
          <w:sz w:val="24"/>
          <w:szCs w:val="24"/>
        </w:rPr>
        <w:t xml:space="preserve">, </w:t>
      </w:r>
      <w:r w:rsidRPr="00AE47C6">
        <w:rPr>
          <w:rFonts w:ascii="Times New Roman" w:eastAsia="SimSun" w:hAnsi="Times New Roman"/>
          <w:iCs/>
          <w:sz w:val="24"/>
          <w:szCs w:val="24"/>
        </w:rPr>
        <w:t>невронна загуба</w:t>
      </w:r>
      <w:r w:rsidRPr="00AE47C6">
        <w:rPr>
          <w:rFonts w:ascii="Times New Roman" w:eastAsia="SimSun" w:hAnsi="Times New Roman"/>
          <w:sz w:val="24"/>
          <w:szCs w:val="24"/>
        </w:rPr>
        <w:t xml:space="preserve"> и </w:t>
      </w:r>
      <w:r w:rsidRPr="00AE47C6">
        <w:rPr>
          <w:rFonts w:ascii="Times New Roman" w:eastAsia="SimSun" w:hAnsi="Times New Roman"/>
          <w:iCs/>
          <w:sz w:val="24"/>
          <w:szCs w:val="24"/>
        </w:rPr>
        <w:t>астроглиоза</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ФТД</w:t>
      </w:r>
      <w:r w:rsidRPr="00AE47C6">
        <w:rPr>
          <w:rFonts w:ascii="Times New Roman" w:eastAsia="SimSun" w:hAnsi="Times New Roman"/>
          <w:i/>
          <w:iCs/>
          <w:sz w:val="24"/>
          <w:szCs w:val="24"/>
        </w:rPr>
        <w:t xml:space="preserve"> с два хистологични профила: Pick тип и фронто–темпорална дегенерация.</w:t>
      </w:r>
      <w:r w:rsidRPr="00AE47C6">
        <w:rPr>
          <w:rFonts w:ascii="Times New Roman" w:eastAsia="SimSun" w:hAnsi="Times New Roman"/>
          <w:sz w:val="24"/>
          <w:szCs w:val="24"/>
        </w:rPr>
        <w:t xml:space="preserve"> Предложени са  критерии за нова молекулярна патология, </w:t>
      </w:r>
      <w:r w:rsidRPr="00AE47C6">
        <w:rPr>
          <w:rFonts w:ascii="Times New Roman" w:eastAsia="SimSun" w:hAnsi="Times New Roman"/>
          <w:i/>
          <w:sz w:val="24"/>
          <w:szCs w:val="24"/>
        </w:rPr>
        <w:t xml:space="preserve">TDP-43 </w:t>
      </w:r>
      <w:r w:rsidRPr="00AE47C6">
        <w:rPr>
          <w:rFonts w:ascii="Times New Roman" w:eastAsia="SimSun" w:hAnsi="Times New Roman"/>
          <w:sz w:val="24"/>
          <w:szCs w:val="24"/>
        </w:rPr>
        <w:t>протеинопатия, установена като най-честата хистологична картина при ФТД и се причинява от различни мутации в различни гени. Най-често се наблюдава при спорадични и фамилни форми на ФТД с ubiquitin позитивни и tau негативни включвания (ФТД-U) с/без болест на двигателния неврон с мутациите в Progranulin ген (PGRN) и рядко във valosin-containing protein (VCP) ген при фамилни форми на ФТД-U</w:t>
      </w:r>
    </w:p>
    <w:p w14:paraId="63C89A84" w14:textId="77777777" w:rsidR="00BE0B19" w:rsidRPr="00AE47C6" w:rsidRDefault="00BE0B19" w:rsidP="00BE0B19">
      <w:pPr>
        <w:spacing w:after="0" w:line="360" w:lineRule="auto"/>
        <w:jc w:val="both"/>
        <w:rPr>
          <w:rFonts w:ascii="Times New Roman" w:eastAsia="SimSun" w:hAnsi="Times New Roman"/>
          <w:b/>
          <w:bCs/>
          <w:sz w:val="24"/>
          <w:szCs w:val="24"/>
          <w:lang w:eastAsia="ja-JP" w:bidi="th-TH"/>
        </w:rPr>
      </w:pPr>
    </w:p>
    <w:p w14:paraId="21DCA52D"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r w:rsidRPr="00AE47C6">
        <w:rPr>
          <w:rFonts w:ascii="Times New Roman" w:eastAsia="SimSun" w:hAnsi="Times New Roman"/>
          <w:b/>
          <w:bCs/>
          <w:sz w:val="24"/>
          <w:szCs w:val="24"/>
          <w:lang w:eastAsia="ja-JP" w:bidi="th-TH"/>
        </w:rPr>
        <w:t>Клинични подтипове</w:t>
      </w:r>
    </w:p>
    <w:p w14:paraId="28B9866B" w14:textId="77777777" w:rsidR="00BE0B19" w:rsidRPr="00AE47C6" w:rsidRDefault="00BE0B19" w:rsidP="00BE0B19">
      <w:pPr>
        <w:spacing w:after="0" w:line="360" w:lineRule="auto"/>
        <w:jc w:val="both"/>
        <w:rPr>
          <w:rFonts w:ascii="Times New Roman" w:eastAsia="SimSun" w:hAnsi="Times New Roman"/>
          <w:b/>
          <w:bCs/>
          <w:sz w:val="24"/>
          <w:szCs w:val="24"/>
          <w:lang w:eastAsia="ja-JP" w:bidi="th-TH"/>
        </w:rPr>
      </w:pPr>
      <w:r w:rsidRPr="00AE47C6">
        <w:rPr>
          <w:rFonts w:ascii="Times New Roman" w:eastAsia="SimSun" w:hAnsi="Times New Roman"/>
          <w:b/>
          <w:bCs/>
          <w:sz w:val="24"/>
          <w:szCs w:val="24"/>
          <w:lang w:eastAsia="ja-JP" w:bidi="th-TH"/>
        </w:rPr>
        <w:t>Поведенчески вариант на фронтотемпорална деменция (ФТД-П)</w:t>
      </w:r>
    </w:p>
    <w:p w14:paraId="70666CE4" w14:textId="77777777" w:rsidR="00BE0B19" w:rsidRPr="00AE47C6" w:rsidRDefault="00BE0B19" w:rsidP="00BE0B19">
      <w:pPr>
        <w:spacing w:after="0" w:line="360" w:lineRule="auto"/>
        <w:ind w:firstLine="720"/>
        <w:jc w:val="both"/>
        <w:rPr>
          <w:rFonts w:ascii="Times New Roman" w:eastAsia="SimSun" w:hAnsi="Times New Roman"/>
          <w:sz w:val="24"/>
          <w:szCs w:val="24"/>
          <w:lang w:eastAsia="ja-JP" w:bidi="th-TH"/>
        </w:rPr>
      </w:pPr>
      <w:r w:rsidRPr="00AE47C6">
        <w:rPr>
          <w:rFonts w:ascii="Times New Roman" w:eastAsia="SimSun" w:hAnsi="Times New Roman"/>
          <w:sz w:val="24"/>
          <w:szCs w:val="24"/>
          <w:lang w:eastAsia="ja-JP" w:bidi="th-TH"/>
        </w:rPr>
        <w:t xml:space="preserve">Най-честият клиничен синдром на ФТЛД е поведенческия вариант на фронтотемпорална деменция (ФТД-П). Атрофията обхваща предимно челния дял – засегнати са най-често мезофронталната, орбитофронталната и предната инсуларна кора, което води до прогресиращи личностови и поведенчески промени. </w:t>
      </w:r>
    </w:p>
    <w:p w14:paraId="246C659C" w14:textId="77777777" w:rsidR="00BE0B19" w:rsidRPr="00AE47C6" w:rsidRDefault="00BE0B19" w:rsidP="00BE0B19">
      <w:pPr>
        <w:spacing w:after="0" w:line="360" w:lineRule="auto"/>
        <w:ind w:firstLine="720"/>
        <w:jc w:val="both"/>
        <w:rPr>
          <w:rFonts w:ascii="Times New Roman" w:eastAsia="SimSun" w:hAnsi="Times New Roman"/>
          <w:sz w:val="24"/>
          <w:szCs w:val="24"/>
          <w:lang w:eastAsia="ja-JP" w:bidi="th-TH"/>
        </w:rPr>
      </w:pPr>
      <w:r w:rsidRPr="00AE47C6">
        <w:rPr>
          <w:rFonts w:ascii="Times New Roman" w:eastAsia="SimSun" w:hAnsi="Times New Roman"/>
          <w:sz w:val="24"/>
          <w:szCs w:val="24"/>
          <w:lang w:eastAsia="ja-JP" w:bidi="th-TH"/>
        </w:rPr>
        <w:t xml:space="preserve">От 1994 г. до сега са публикувани четири групи диагностични критерии за ФТД-П, които отразяват развитието на концепцията на заболяването. Най-новите, предложени от Международния Консорциум за ФТД-П критерии, определят три нива на диагностична сигурност и се отнасят до шест групи на поведенчески и когнитивни симптоми </w:t>
      </w:r>
    </w:p>
    <w:p w14:paraId="6D82D208"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p>
    <w:p w14:paraId="4EC07E3B" w14:textId="77777777" w:rsidR="00BE0B19" w:rsidRPr="00AE47C6" w:rsidRDefault="00BE0B19" w:rsidP="00BE0B19">
      <w:pPr>
        <w:spacing w:after="0" w:line="360" w:lineRule="auto"/>
        <w:rPr>
          <w:rFonts w:ascii="Times New Roman" w:eastAsia="SimSun" w:hAnsi="Times New Roman"/>
          <w:b/>
          <w:bCs/>
          <w:sz w:val="24"/>
          <w:szCs w:val="24"/>
          <w:lang w:eastAsia="ja-JP" w:bidi="th-TH"/>
        </w:rPr>
      </w:pPr>
      <w:r w:rsidRPr="00AE47C6">
        <w:rPr>
          <w:rFonts w:ascii="Times New Roman" w:eastAsia="SimSun" w:hAnsi="Times New Roman"/>
          <w:b/>
          <w:bCs/>
          <w:sz w:val="24"/>
          <w:szCs w:val="24"/>
          <w:lang w:eastAsia="ja-JP" w:bidi="th-TH"/>
        </w:rPr>
        <w:t>Диагностични  и изследователски критерии на ФТД-П (K. Rascovsky, et al., 2011)</w:t>
      </w:r>
    </w:p>
    <w:p w14:paraId="49B78B0E" w14:textId="77777777" w:rsidR="00BE0B19" w:rsidRPr="00AE47C6" w:rsidRDefault="00BE0B19" w:rsidP="00BE0B19">
      <w:pPr>
        <w:spacing w:after="0" w:line="360" w:lineRule="auto"/>
        <w:rPr>
          <w:rFonts w:ascii="Times New Roman" w:eastAsia="SimSun" w:hAnsi="Times New Roman"/>
          <w:sz w:val="24"/>
          <w:szCs w:val="24"/>
          <w:lang w:eastAsia="ja-JP" w:bidi="th-TH"/>
        </w:rPr>
      </w:pPr>
      <w:r w:rsidRPr="00AE47C6">
        <w:rPr>
          <w:rFonts w:ascii="Times New Roman" w:eastAsia="SimSun" w:hAnsi="Times New Roman"/>
          <w:b/>
          <w:bCs/>
          <w:sz w:val="24"/>
          <w:szCs w:val="24"/>
          <w:lang w:eastAsia="ja-JP" w:bidi="th-TH"/>
        </w:rPr>
        <w:t xml:space="preserve">Възможна ФТД-П: </w:t>
      </w:r>
      <w:r w:rsidRPr="00AE47C6">
        <w:rPr>
          <w:rFonts w:ascii="Times New Roman" w:eastAsia="SimSun" w:hAnsi="Times New Roman"/>
          <w:b/>
          <w:bCs/>
          <w:sz w:val="24"/>
          <w:szCs w:val="24"/>
          <w:lang w:eastAsia="ja-JP" w:bidi="th-TH"/>
        </w:rPr>
        <w:br/>
        <w:t>Наличие поне на три от следните поведенчески или когнитивни симптоми:</w:t>
      </w:r>
      <w:r w:rsidRPr="00AE47C6">
        <w:rPr>
          <w:rFonts w:ascii="Times New Roman" w:eastAsia="SimSun" w:hAnsi="Times New Roman"/>
          <w:b/>
          <w:bCs/>
          <w:sz w:val="24"/>
          <w:szCs w:val="24"/>
          <w:lang w:eastAsia="ja-JP" w:bidi="th-TH"/>
        </w:rPr>
        <w:br/>
        <w:t>1- Ранна поява на поведенческа дезинхибиция</w:t>
      </w:r>
      <w:r w:rsidRPr="00AE47C6">
        <w:rPr>
          <w:rFonts w:ascii="Times New Roman" w:eastAsia="SimSun" w:hAnsi="Times New Roman"/>
          <w:b/>
          <w:bCs/>
          <w:sz w:val="24"/>
          <w:szCs w:val="24"/>
          <w:u w:val="single"/>
          <w:lang w:eastAsia="ja-JP" w:bidi="th-TH"/>
        </w:rPr>
        <w:br/>
      </w:r>
      <w:r w:rsidRPr="00AE47C6">
        <w:rPr>
          <w:rFonts w:ascii="Times New Roman" w:eastAsia="SimSun" w:hAnsi="Times New Roman"/>
          <w:sz w:val="24"/>
          <w:szCs w:val="24"/>
          <w:lang w:eastAsia="ja-JP" w:bidi="th-TH"/>
        </w:rPr>
        <w:t>Социално неадекватно поведение</w:t>
      </w:r>
      <w:r w:rsidRPr="00AE47C6">
        <w:rPr>
          <w:rFonts w:ascii="Times New Roman" w:eastAsia="SimSun" w:hAnsi="Times New Roman"/>
          <w:sz w:val="24"/>
          <w:szCs w:val="24"/>
          <w:lang w:eastAsia="ja-JP" w:bidi="th-TH"/>
        </w:rPr>
        <w:br/>
        <w:t xml:space="preserve">         Загуба на маниери на благоприличие</w:t>
      </w:r>
      <w:r w:rsidRPr="00AE47C6">
        <w:rPr>
          <w:rFonts w:ascii="Times New Roman" w:eastAsia="SimSun" w:hAnsi="Times New Roman"/>
          <w:sz w:val="24"/>
          <w:szCs w:val="24"/>
          <w:lang w:eastAsia="ja-JP" w:bidi="th-TH"/>
        </w:rPr>
        <w:br/>
        <w:t xml:space="preserve">         Импулсивни и невнимателни действия</w:t>
      </w:r>
      <w:r w:rsidRPr="00AE47C6">
        <w:rPr>
          <w:rFonts w:ascii="Times New Roman" w:eastAsia="SimSun" w:hAnsi="Times New Roman"/>
          <w:sz w:val="24"/>
          <w:szCs w:val="24"/>
          <w:lang w:eastAsia="ja-JP" w:bidi="th-TH"/>
        </w:rPr>
        <w:br/>
      </w:r>
      <w:r w:rsidRPr="00AE47C6">
        <w:rPr>
          <w:rFonts w:ascii="Times New Roman" w:eastAsia="SimSun" w:hAnsi="Times New Roman"/>
          <w:b/>
          <w:bCs/>
          <w:sz w:val="24"/>
          <w:szCs w:val="24"/>
          <w:lang w:eastAsia="ja-JP" w:bidi="th-TH"/>
        </w:rPr>
        <w:t>2- Ранна поява на апатия или намалена инициативност</w:t>
      </w:r>
      <w:r w:rsidRPr="00AE47C6">
        <w:rPr>
          <w:rFonts w:ascii="Times New Roman" w:eastAsia="SimSun" w:hAnsi="Times New Roman"/>
          <w:b/>
          <w:bCs/>
          <w:sz w:val="24"/>
          <w:szCs w:val="24"/>
          <w:lang w:eastAsia="ja-JP" w:bidi="th-TH"/>
        </w:rPr>
        <w:br/>
        <w:t>3- Ранна загуба на емпатия</w:t>
      </w:r>
      <w:r w:rsidRPr="00AE47C6">
        <w:rPr>
          <w:rFonts w:ascii="Times New Roman" w:eastAsia="SimSun" w:hAnsi="Times New Roman"/>
          <w:b/>
          <w:bCs/>
          <w:sz w:val="24"/>
          <w:szCs w:val="24"/>
          <w:u w:val="single"/>
          <w:lang w:eastAsia="ja-JP" w:bidi="th-TH"/>
        </w:rPr>
        <w:br/>
      </w:r>
      <w:r w:rsidRPr="00AE47C6">
        <w:rPr>
          <w:rFonts w:ascii="Times New Roman" w:eastAsia="SimSun" w:hAnsi="Times New Roman"/>
          <w:sz w:val="24"/>
          <w:szCs w:val="24"/>
          <w:lang w:eastAsia="ja-JP" w:bidi="th-TH"/>
        </w:rPr>
        <w:t xml:space="preserve">        Снижен емоционален отговор към нуждите и чувствата на другите</w:t>
      </w:r>
      <w:r w:rsidRPr="00AE47C6">
        <w:rPr>
          <w:rFonts w:ascii="Times New Roman" w:eastAsia="SimSun" w:hAnsi="Times New Roman"/>
          <w:sz w:val="24"/>
          <w:szCs w:val="24"/>
          <w:lang w:eastAsia="ja-JP" w:bidi="th-TH"/>
        </w:rPr>
        <w:br/>
        <w:t xml:space="preserve">        Снижени социални интереси, обвързаност или лична ангажираност </w:t>
      </w:r>
      <w:r w:rsidRPr="00AE47C6">
        <w:rPr>
          <w:rFonts w:ascii="Times New Roman" w:eastAsia="SimSun" w:hAnsi="Times New Roman"/>
          <w:sz w:val="24"/>
          <w:szCs w:val="24"/>
          <w:lang w:eastAsia="ja-JP" w:bidi="th-TH"/>
        </w:rPr>
        <w:br/>
      </w:r>
      <w:r w:rsidRPr="00AE47C6">
        <w:rPr>
          <w:rFonts w:ascii="Times New Roman" w:eastAsia="SimSun" w:hAnsi="Times New Roman"/>
          <w:b/>
          <w:bCs/>
          <w:sz w:val="24"/>
          <w:szCs w:val="24"/>
          <w:lang w:eastAsia="ja-JP" w:bidi="th-TH"/>
        </w:rPr>
        <w:t>4- Ранна поява на персеверативно, стереотипно или компулсивно / ритуалистично поведение</w:t>
      </w:r>
      <w:r w:rsidRPr="00AE47C6">
        <w:rPr>
          <w:rFonts w:ascii="Times New Roman" w:eastAsia="SimSun" w:hAnsi="Times New Roman"/>
          <w:sz w:val="24"/>
          <w:szCs w:val="24"/>
          <w:lang w:eastAsia="ja-JP" w:bidi="th-TH"/>
        </w:rPr>
        <w:br/>
        <w:t xml:space="preserve">        Прости репетитивни движения</w:t>
      </w:r>
      <w:r w:rsidRPr="00AE47C6">
        <w:rPr>
          <w:rFonts w:ascii="Times New Roman" w:eastAsia="SimSun" w:hAnsi="Times New Roman"/>
          <w:sz w:val="24"/>
          <w:szCs w:val="24"/>
          <w:lang w:eastAsia="ja-JP" w:bidi="th-TH"/>
        </w:rPr>
        <w:br/>
        <w:t xml:space="preserve">        Компулсивни действия или ритуалистично поведение</w:t>
      </w:r>
      <w:r w:rsidRPr="00AE47C6">
        <w:rPr>
          <w:rFonts w:ascii="Times New Roman" w:eastAsia="SimSun" w:hAnsi="Times New Roman"/>
          <w:sz w:val="24"/>
          <w:szCs w:val="24"/>
          <w:lang w:eastAsia="ja-JP" w:bidi="th-TH"/>
        </w:rPr>
        <w:br/>
        <w:t>Стереотипност на речта</w:t>
      </w:r>
      <w:r w:rsidRPr="00AE47C6">
        <w:rPr>
          <w:rFonts w:ascii="Times New Roman" w:eastAsia="SimSun" w:hAnsi="Times New Roman"/>
          <w:sz w:val="24"/>
          <w:szCs w:val="24"/>
          <w:lang w:eastAsia="ja-JP" w:bidi="th-TH"/>
        </w:rPr>
        <w:br/>
      </w:r>
      <w:r w:rsidRPr="00AE47C6">
        <w:rPr>
          <w:rFonts w:ascii="Times New Roman" w:eastAsia="SimSun" w:hAnsi="Times New Roman"/>
          <w:b/>
          <w:bCs/>
          <w:sz w:val="24"/>
          <w:szCs w:val="24"/>
          <w:lang w:eastAsia="ja-JP" w:bidi="th-TH"/>
        </w:rPr>
        <w:t>5- Хипероралност или хранителни промени</w:t>
      </w:r>
      <w:r w:rsidRPr="00AE47C6">
        <w:rPr>
          <w:rFonts w:ascii="Times New Roman" w:eastAsia="SimSun" w:hAnsi="Times New Roman"/>
          <w:b/>
          <w:bCs/>
          <w:sz w:val="24"/>
          <w:szCs w:val="24"/>
          <w:lang w:eastAsia="ja-JP" w:bidi="th-TH"/>
        </w:rPr>
        <w:br/>
      </w:r>
      <w:r w:rsidRPr="00AE47C6">
        <w:rPr>
          <w:rFonts w:ascii="Times New Roman" w:eastAsia="SimSun" w:hAnsi="Times New Roman"/>
          <w:sz w:val="24"/>
          <w:szCs w:val="24"/>
          <w:lang w:eastAsia="ja-JP" w:bidi="th-TH"/>
        </w:rPr>
        <w:t xml:space="preserve">        Променени хранителни предпочитания</w:t>
      </w:r>
      <w:r w:rsidRPr="00AE47C6">
        <w:rPr>
          <w:rFonts w:ascii="Times New Roman" w:eastAsia="SimSun" w:hAnsi="Times New Roman"/>
          <w:sz w:val="24"/>
          <w:szCs w:val="24"/>
          <w:lang w:eastAsia="ja-JP" w:bidi="th-TH"/>
        </w:rPr>
        <w:br/>
        <w:t xml:space="preserve">        Склонност към преяждане, повишена консумация на алкохол или цигари</w:t>
      </w:r>
      <w:r w:rsidRPr="00AE47C6">
        <w:rPr>
          <w:rFonts w:ascii="Times New Roman" w:eastAsia="SimSun" w:hAnsi="Times New Roman"/>
          <w:sz w:val="24"/>
          <w:szCs w:val="24"/>
          <w:lang w:eastAsia="ja-JP" w:bidi="th-TH"/>
        </w:rPr>
        <w:br/>
      </w:r>
      <w:r w:rsidRPr="00AE47C6">
        <w:rPr>
          <w:rFonts w:ascii="Times New Roman" w:eastAsia="SimSun" w:hAnsi="Times New Roman"/>
          <w:b/>
          <w:bCs/>
          <w:sz w:val="24"/>
          <w:szCs w:val="24"/>
          <w:lang w:eastAsia="ja-JP" w:bidi="th-TH"/>
        </w:rPr>
        <w:t xml:space="preserve"> 6- Невропсихологичен профил:</w:t>
      </w:r>
      <w:r w:rsidRPr="00AE47C6">
        <w:rPr>
          <w:rFonts w:ascii="Times New Roman" w:eastAsia="SimSun" w:hAnsi="Times New Roman"/>
          <w:sz w:val="24"/>
          <w:szCs w:val="24"/>
          <w:u w:val="single"/>
          <w:lang w:eastAsia="ja-JP" w:bidi="th-TH"/>
        </w:rPr>
        <w:br/>
      </w:r>
      <w:r w:rsidRPr="00AE47C6">
        <w:rPr>
          <w:rFonts w:ascii="Times New Roman" w:eastAsia="SimSun" w:hAnsi="Times New Roman"/>
          <w:sz w:val="24"/>
          <w:szCs w:val="24"/>
          <w:lang w:eastAsia="ja-JP" w:bidi="th-TH"/>
        </w:rPr>
        <w:t xml:space="preserve">     Дисекзекутивен синдром/бедно генериране  </w:t>
      </w:r>
      <w:r w:rsidRPr="00AE47C6">
        <w:rPr>
          <w:rFonts w:ascii="Times New Roman" w:eastAsia="SimSun" w:hAnsi="Times New Roman"/>
          <w:sz w:val="24"/>
          <w:szCs w:val="24"/>
          <w:lang w:eastAsia="ja-JP" w:bidi="th-TH"/>
        </w:rPr>
        <w:br/>
        <w:t xml:space="preserve">     Сравнително съхранена епизодична памет  </w:t>
      </w:r>
      <w:r w:rsidRPr="00AE47C6">
        <w:rPr>
          <w:rFonts w:ascii="Times New Roman" w:eastAsia="SimSun" w:hAnsi="Times New Roman"/>
          <w:sz w:val="24"/>
          <w:szCs w:val="24"/>
          <w:lang w:eastAsia="ja-JP" w:bidi="th-TH"/>
        </w:rPr>
        <w:br/>
        <w:t xml:space="preserve">     Сравнително съхранени зрително-пространствени функции</w:t>
      </w:r>
    </w:p>
    <w:p w14:paraId="215E67F6" w14:textId="77777777" w:rsidR="00BE0B19" w:rsidRPr="00AE47C6" w:rsidRDefault="00BE0B19" w:rsidP="00BE0B19">
      <w:pPr>
        <w:spacing w:after="0" w:line="360" w:lineRule="auto"/>
        <w:rPr>
          <w:rFonts w:ascii="Times New Roman" w:eastAsia="SimSun" w:hAnsi="Times New Roman"/>
          <w:b/>
          <w:bCs/>
          <w:sz w:val="24"/>
          <w:szCs w:val="24"/>
          <w:lang w:eastAsia="ja-JP" w:bidi="th-TH"/>
        </w:rPr>
      </w:pPr>
    </w:p>
    <w:p w14:paraId="3DC713F8" w14:textId="77777777" w:rsidR="00BE0B19" w:rsidRPr="00AE47C6" w:rsidRDefault="00BE0B19" w:rsidP="00BE0B19">
      <w:pPr>
        <w:spacing w:after="0" w:line="360" w:lineRule="auto"/>
        <w:rPr>
          <w:rFonts w:ascii="Times New Roman" w:eastAsia="SimSun" w:hAnsi="Times New Roman"/>
          <w:sz w:val="24"/>
          <w:szCs w:val="24"/>
          <w:lang w:eastAsia="ja-JP" w:bidi="th-TH"/>
        </w:rPr>
      </w:pPr>
      <w:r w:rsidRPr="00AE47C6">
        <w:rPr>
          <w:rFonts w:ascii="Times New Roman" w:eastAsia="SimSun" w:hAnsi="Times New Roman"/>
          <w:b/>
          <w:bCs/>
          <w:sz w:val="24"/>
          <w:szCs w:val="24"/>
          <w:lang w:eastAsia="ja-JP" w:bidi="th-TH"/>
        </w:rPr>
        <w:t>Вероятна ФТД-П</w:t>
      </w:r>
      <w:r w:rsidRPr="00AE47C6">
        <w:rPr>
          <w:rFonts w:ascii="Times New Roman" w:eastAsia="SimSun" w:hAnsi="Times New Roman"/>
          <w:sz w:val="24"/>
          <w:szCs w:val="24"/>
          <w:lang w:eastAsia="ja-JP" w:bidi="th-TH"/>
        </w:rPr>
        <w:br/>
      </w:r>
      <w:r w:rsidRPr="00AE47C6">
        <w:rPr>
          <w:rFonts w:ascii="Times New Roman" w:eastAsia="SimSun" w:hAnsi="Times New Roman"/>
          <w:b/>
          <w:bCs/>
          <w:sz w:val="24"/>
          <w:szCs w:val="24"/>
          <w:lang w:eastAsia="ja-JP" w:bidi="th-TH"/>
        </w:rPr>
        <w:t>Критерии за възможна ФТД-П + следните 2 критерия:</w:t>
      </w:r>
      <w:r w:rsidRPr="00AE47C6">
        <w:rPr>
          <w:rFonts w:ascii="Times New Roman" w:eastAsia="SimSun" w:hAnsi="Times New Roman"/>
          <w:sz w:val="24"/>
          <w:szCs w:val="24"/>
          <w:lang w:eastAsia="ja-JP" w:bidi="th-TH"/>
        </w:rPr>
        <w:br/>
        <w:t xml:space="preserve">1- </w:t>
      </w:r>
      <w:r w:rsidRPr="00AE47C6">
        <w:rPr>
          <w:rFonts w:ascii="Times New Roman" w:eastAsia="SimSun" w:hAnsi="Times New Roman"/>
          <w:b/>
          <w:bCs/>
          <w:sz w:val="24"/>
          <w:szCs w:val="24"/>
          <w:lang w:eastAsia="ja-JP" w:bidi="th-TH"/>
        </w:rPr>
        <w:t>Проява на значителен функционален спад</w:t>
      </w:r>
      <w:r w:rsidRPr="00AE47C6">
        <w:rPr>
          <w:rFonts w:ascii="Times New Roman" w:eastAsia="SimSun" w:hAnsi="Times New Roman"/>
          <w:b/>
          <w:bCs/>
          <w:sz w:val="24"/>
          <w:szCs w:val="24"/>
          <w:lang w:eastAsia="ja-JP" w:bidi="th-TH"/>
        </w:rPr>
        <w:br/>
      </w:r>
      <w:r w:rsidRPr="00AE47C6">
        <w:rPr>
          <w:rFonts w:ascii="Times New Roman" w:eastAsia="SimSun" w:hAnsi="Times New Roman"/>
          <w:sz w:val="24"/>
          <w:szCs w:val="24"/>
          <w:lang w:eastAsia="ja-JP" w:bidi="th-TH"/>
        </w:rPr>
        <w:t xml:space="preserve">2- </w:t>
      </w:r>
      <w:r w:rsidRPr="00AE47C6">
        <w:rPr>
          <w:rFonts w:ascii="Times New Roman" w:eastAsia="SimSun" w:hAnsi="Times New Roman"/>
          <w:b/>
          <w:bCs/>
          <w:sz w:val="24"/>
          <w:szCs w:val="24"/>
          <w:lang w:eastAsia="ja-JP" w:bidi="th-TH"/>
        </w:rPr>
        <w:t>Невроизобразяващи изследвания отговарящи на ФТД-П</w:t>
      </w:r>
      <w:r w:rsidRPr="00AE47C6">
        <w:rPr>
          <w:rFonts w:ascii="Times New Roman" w:eastAsia="SimSun" w:hAnsi="Times New Roman"/>
          <w:sz w:val="24"/>
          <w:szCs w:val="24"/>
          <w:u w:val="single"/>
          <w:lang w:eastAsia="ja-JP" w:bidi="th-TH"/>
        </w:rPr>
        <w:br/>
      </w:r>
      <w:r w:rsidRPr="00AE47C6">
        <w:rPr>
          <w:rFonts w:ascii="Times New Roman" w:eastAsia="SimSun" w:hAnsi="Times New Roman"/>
          <w:sz w:val="24"/>
          <w:szCs w:val="24"/>
          <w:lang w:eastAsia="ja-JP" w:bidi="th-TH"/>
        </w:rPr>
        <w:t xml:space="preserve">      Фронтална и/или предна темпорална атрофия на КТ/МРТ</w:t>
      </w:r>
      <w:r w:rsidRPr="00AE47C6">
        <w:rPr>
          <w:rFonts w:ascii="Times New Roman" w:eastAsia="SimSun" w:hAnsi="Times New Roman"/>
          <w:sz w:val="24"/>
          <w:szCs w:val="24"/>
          <w:lang w:eastAsia="ja-JP" w:bidi="th-TH"/>
        </w:rPr>
        <w:br/>
        <w:t xml:space="preserve">      Фронтална и/или предна темпорална хипоперфузия или хипометаболизъм на PET/SPECT</w:t>
      </w:r>
    </w:p>
    <w:p w14:paraId="1955F580" w14:textId="77777777" w:rsidR="00BE0B19" w:rsidRPr="00AE47C6" w:rsidRDefault="00BE0B19" w:rsidP="00BE0B19">
      <w:pPr>
        <w:spacing w:after="0" w:line="360" w:lineRule="auto"/>
        <w:rPr>
          <w:rFonts w:ascii="Times New Roman" w:eastAsia="SimSun" w:hAnsi="Times New Roman"/>
          <w:sz w:val="24"/>
          <w:szCs w:val="24"/>
          <w:lang w:eastAsia="ja-JP" w:bidi="th-TH"/>
        </w:rPr>
      </w:pPr>
      <w:r w:rsidRPr="00AE47C6">
        <w:rPr>
          <w:rFonts w:ascii="Times New Roman" w:eastAsia="SimSun" w:hAnsi="Times New Roman"/>
          <w:b/>
          <w:bCs/>
          <w:sz w:val="24"/>
          <w:szCs w:val="24"/>
          <w:lang w:eastAsia="ja-JP" w:bidi="th-TH"/>
        </w:rPr>
        <w:t>ФТД-П с дефинитивна фронтотемпорална лобарна патология</w:t>
      </w:r>
      <w:r w:rsidRPr="00AE47C6">
        <w:rPr>
          <w:rFonts w:ascii="Times New Roman" w:eastAsia="SimSun" w:hAnsi="Times New Roman"/>
          <w:b/>
          <w:bCs/>
          <w:sz w:val="24"/>
          <w:szCs w:val="24"/>
          <w:lang w:eastAsia="ja-JP" w:bidi="th-TH"/>
        </w:rPr>
        <w:br/>
        <w:t>Възможна или вероятна ФТД + поне един от следните критерии:</w:t>
      </w:r>
      <w:r w:rsidRPr="00AE47C6">
        <w:rPr>
          <w:rFonts w:ascii="Times New Roman" w:eastAsia="SimSun" w:hAnsi="Times New Roman"/>
          <w:b/>
          <w:bCs/>
          <w:sz w:val="24"/>
          <w:szCs w:val="24"/>
          <w:lang w:eastAsia="ja-JP" w:bidi="th-TH"/>
        </w:rPr>
        <w:br/>
        <w:t>1- Хистопатологично потвърждение (биопсия или постмортем)</w:t>
      </w:r>
      <w:r w:rsidRPr="00AE47C6">
        <w:rPr>
          <w:rFonts w:ascii="Times New Roman" w:eastAsia="SimSun" w:hAnsi="Times New Roman"/>
          <w:b/>
          <w:bCs/>
          <w:sz w:val="24"/>
          <w:szCs w:val="24"/>
          <w:lang w:eastAsia="ja-JP" w:bidi="th-TH"/>
        </w:rPr>
        <w:br/>
      </w:r>
      <w:r w:rsidRPr="00AE47C6">
        <w:rPr>
          <w:rFonts w:ascii="Times New Roman" w:eastAsia="SimSun" w:hAnsi="Times New Roman"/>
          <w:sz w:val="24"/>
          <w:szCs w:val="24"/>
          <w:lang w:eastAsia="ja-JP" w:bidi="th-TH"/>
        </w:rPr>
        <w:t>Следните 3 главни молекулярни субгрупи:</w:t>
      </w:r>
      <w:r w:rsidRPr="00AE47C6">
        <w:rPr>
          <w:rFonts w:ascii="Times New Roman" w:eastAsia="SimSun" w:hAnsi="Times New Roman"/>
          <w:sz w:val="24"/>
          <w:szCs w:val="24"/>
          <w:lang w:eastAsia="ja-JP" w:bidi="th-TH"/>
        </w:rPr>
        <w:br/>
        <w:t xml:space="preserve">          FTLD- tau   (ФТД с tau inclusions)</w:t>
      </w:r>
      <w:r w:rsidRPr="00AE47C6">
        <w:rPr>
          <w:rFonts w:ascii="Times New Roman" w:eastAsia="SimSun" w:hAnsi="Times New Roman"/>
          <w:sz w:val="24"/>
          <w:szCs w:val="24"/>
          <w:lang w:eastAsia="ja-JP" w:bidi="th-TH"/>
        </w:rPr>
        <w:br/>
        <w:t xml:space="preserve">          FTLD- TDP (ФТД с TAR DNA-binding protein inclusions)</w:t>
      </w:r>
      <w:r w:rsidRPr="00AE47C6">
        <w:rPr>
          <w:rFonts w:ascii="Times New Roman" w:eastAsia="SimSun" w:hAnsi="Times New Roman"/>
          <w:sz w:val="24"/>
          <w:szCs w:val="24"/>
          <w:lang w:eastAsia="ja-JP" w:bidi="th-TH"/>
        </w:rPr>
        <w:br/>
        <w:t xml:space="preserve">          FTLD- FUS  (ФТД с immunoreactive for fused in sarcoma protein)</w:t>
      </w:r>
      <w:r w:rsidRPr="00AE47C6">
        <w:rPr>
          <w:rFonts w:ascii="Times New Roman" w:eastAsia="SimSun" w:hAnsi="Times New Roman"/>
          <w:sz w:val="24"/>
          <w:szCs w:val="24"/>
          <w:lang w:eastAsia="ja-JP" w:bidi="th-TH"/>
        </w:rPr>
        <w:br/>
      </w:r>
      <w:r w:rsidRPr="00AE47C6">
        <w:rPr>
          <w:rFonts w:ascii="Times New Roman" w:eastAsia="SimSun" w:hAnsi="Times New Roman"/>
          <w:b/>
          <w:bCs/>
          <w:sz w:val="24"/>
          <w:szCs w:val="24"/>
          <w:lang w:eastAsia="ja-JP" w:bidi="th-TH"/>
        </w:rPr>
        <w:t>2- Откриване на позната патогенна мутация</w:t>
      </w:r>
      <w:r w:rsidRPr="00AE47C6">
        <w:rPr>
          <w:rFonts w:ascii="Times New Roman" w:eastAsia="SimSun" w:hAnsi="Times New Roman"/>
          <w:sz w:val="24"/>
          <w:szCs w:val="24"/>
          <w:lang w:eastAsia="ja-JP" w:bidi="th-TH"/>
        </w:rPr>
        <w:br/>
        <w:t xml:space="preserve">           MAPT/CHMP2B/VCP/PGRN с автозомно-доминантно унаследяване</w:t>
      </w:r>
    </w:p>
    <w:p w14:paraId="11B7F244" w14:textId="77777777" w:rsidR="00BE0B19" w:rsidRPr="00AE47C6" w:rsidRDefault="00BE0B19" w:rsidP="00BE0B19">
      <w:pPr>
        <w:spacing w:after="0" w:line="360" w:lineRule="auto"/>
        <w:rPr>
          <w:rFonts w:ascii="Times New Roman" w:eastAsia="SimSun" w:hAnsi="Times New Roman"/>
          <w:sz w:val="24"/>
          <w:szCs w:val="24"/>
          <w:lang w:eastAsia="ja-JP" w:bidi="th-TH"/>
        </w:rPr>
      </w:pPr>
      <w:r w:rsidRPr="00AE47C6">
        <w:rPr>
          <w:rFonts w:ascii="Times New Roman" w:eastAsia="SimSun" w:hAnsi="Times New Roman"/>
          <w:b/>
          <w:bCs/>
          <w:sz w:val="24"/>
          <w:szCs w:val="24"/>
          <w:lang w:eastAsia="ja-JP" w:bidi="th-TH"/>
        </w:rPr>
        <w:t>Изключващи критерии за ФТД-П</w:t>
      </w:r>
      <w:r w:rsidRPr="00AE47C6">
        <w:rPr>
          <w:rFonts w:ascii="Times New Roman" w:eastAsia="SimSun" w:hAnsi="Times New Roman"/>
          <w:b/>
          <w:bCs/>
          <w:sz w:val="24"/>
          <w:szCs w:val="24"/>
          <w:lang w:eastAsia="ja-JP" w:bidi="th-TH"/>
        </w:rPr>
        <w:br/>
      </w:r>
      <w:r w:rsidRPr="00AE47C6">
        <w:rPr>
          <w:rFonts w:ascii="Times New Roman" w:eastAsia="SimSun" w:hAnsi="Times New Roman"/>
          <w:sz w:val="24"/>
          <w:szCs w:val="24"/>
          <w:lang w:eastAsia="ja-JP" w:bidi="th-TH"/>
        </w:rPr>
        <w:t>1- Профилът на дефицита да отговаря на друго недегенеративно системно заболяване или състояние</w:t>
      </w:r>
      <w:r w:rsidRPr="00AE47C6">
        <w:rPr>
          <w:rFonts w:ascii="Times New Roman" w:eastAsia="SimSun" w:hAnsi="Times New Roman"/>
          <w:sz w:val="24"/>
          <w:szCs w:val="24"/>
          <w:lang w:eastAsia="ja-JP" w:bidi="th-TH"/>
        </w:rPr>
        <w:br/>
        <w:t xml:space="preserve">        - Делир, мозъчно-съдова болест, церебеларни атаксии, травма, инфекции; хипотиреоидизъм, токсични причини и др.</w:t>
      </w:r>
    </w:p>
    <w:p w14:paraId="58D5C81C" w14:textId="77777777" w:rsidR="00BE0B19" w:rsidRPr="00AE47C6" w:rsidRDefault="00BE0B19" w:rsidP="00BE0B19">
      <w:pPr>
        <w:spacing w:after="0" w:line="360" w:lineRule="auto"/>
        <w:rPr>
          <w:rFonts w:ascii="Times New Roman" w:eastAsia="SimSun" w:hAnsi="Times New Roman"/>
          <w:sz w:val="24"/>
          <w:szCs w:val="24"/>
          <w:lang w:eastAsia="ja-JP" w:bidi="th-TH"/>
        </w:rPr>
      </w:pPr>
      <w:r w:rsidRPr="00AE47C6">
        <w:rPr>
          <w:rFonts w:ascii="Times New Roman" w:eastAsia="SimSun" w:hAnsi="Times New Roman"/>
          <w:sz w:val="24"/>
          <w:szCs w:val="24"/>
          <w:lang w:eastAsia="ja-JP" w:bidi="th-TH"/>
        </w:rPr>
        <w:t>2- Психиатрично заболяване</w:t>
      </w:r>
      <w:r w:rsidRPr="00AE47C6">
        <w:rPr>
          <w:rFonts w:ascii="Times New Roman" w:eastAsia="SimSun" w:hAnsi="Times New Roman"/>
          <w:sz w:val="24"/>
          <w:szCs w:val="24"/>
          <w:lang w:eastAsia="ja-JP" w:bidi="th-TH"/>
        </w:rPr>
        <w:br/>
        <w:t>3- Наличие на биомаркери, в подкрепа на болест на Алцхаймер(БА) или други невродегенеративни заболявания</w:t>
      </w:r>
      <w:r w:rsidRPr="00AE47C6">
        <w:rPr>
          <w:rFonts w:ascii="Times New Roman" w:eastAsia="SimSun" w:hAnsi="Times New Roman"/>
          <w:sz w:val="24"/>
          <w:szCs w:val="24"/>
          <w:lang w:eastAsia="ja-JP" w:bidi="th-TH"/>
        </w:rPr>
        <w:br/>
        <w:t xml:space="preserve">       - Патологични мутации – APP/PSN; сензитивни или специфични CSF маркери; PIB- невроизобразяване; </w:t>
      </w:r>
    </w:p>
    <w:p w14:paraId="1C6AB6DC" w14:textId="77777777" w:rsidR="00BE0B19" w:rsidRPr="00AE47C6" w:rsidRDefault="00BE0B19" w:rsidP="00BE0B19">
      <w:pPr>
        <w:spacing w:after="0" w:line="360" w:lineRule="auto"/>
        <w:rPr>
          <w:rFonts w:ascii="Times New Roman" w:eastAsia="SimSun" w:hAnsi="Times New Roman"/>
          <w:b/>
          <w:bCs/>
          <w:sz w:val="24"/>
          <w:szCs w:val="24"/>
          <w:lang w:eastAsia="ja-JP" w:bidi="th-TH"/>
        </w:rPr>
      </w:pPr>
    </w:p>
    <w:p w14:paraId="44F5E3D9" w14:textId="77777777" w:rsidR="00BE0B19" w:rsidRPr="00AE47C6" w:rsidRDefault="00BE0B19" w:rsidP="00BE0B19">
      <w:pPr>
        <w:spacing w:after="0" w:line="360" w:lineRule="auto"/>
        <w:jc w:val="both"/>
        <w:rPr>
          <w:rFonts w:ascii="Times New Roman" w:eastAsia="SimSun" w:hAnsi="Times New Roman"/>
          <w:b/>
          <w:bCs/>
          <w:sz w:val="24"/>
          <w:szCs w:val="24"/>
          <w:lang w:eastAsia="ja-JP" w:bidi="th-TH"/>
        </w:rPr>
      </w:pPr>
      <w:r w:rsidRPr="00AE47C6">
        <w:rPr>
          <w:rFonts w:ascii="Times New Roman" w:eastAsia="SimSun" w:hAnsi="Times New Roman"/>
          <w:b/>
          <w:bCs/>
          <w:sz w:val="24"/>
          <w:szCs w:val="24"/>
          <w:lang w:eastAsia="ja-JP" w:bidi="th-TH"/>
        </w:rPr>
        <w:t>Първична прогресивна афазия (ППА)</w:t>
      </w:r>
    </w:p>
    <w:p w14:paraId="2832D214" w14:textId="77777777" w:rsidR="00BE0B19" w:rsidRPr="00AE47C6" w:rsidRDefault="00BE0B19" w:rsidP="00BE0B19">
      <w:pPr>
        <w:spacing w:after="0" w:line="360" w:lineRule="auto"/>
        <w:ind w:firstLine="720"/>
        <w:jc w:val="both"/>
        <w:rPr>
          <w:rFonts w:ascii="Times New Roman" w:eastAsia="SimSun" w:hAnsi="Times New Roman"/>
          <w:b/>
          <w:bCs/>
          <w:sz w:val="24"/>
          <w:szCs w:val="24"/>
          <w:lang w:eastAsia="ja-JP" w:bidi="th-TH"/>
        </w:rPr>
      </w:pPr>
      <w:r w:rsidRPr="00AE47C6">
        <w:rPr>
          <w:rFonts w:ascii="Times New Roman" w:eastAsia="SimSun" w:hAnsi="Times New Roman"/>
          <w:sz w:val="24"/>
          <w:szCs w:val="24"/>
          <w:lang w:eastAsia="ja-JP" w:bidi="th-TH"/>
        </w:rPr>
        <w:t xml:space="preserve">Езиковите варианти на ФТЛД са обобщени под термина първична прогресивна афазия (ППА). Те включват семантичен вариант ППА (ППА-С), наричан също семантична деменция и нефлуентен вариант ППА (ППА-НФ), наричан също прогресивна нефлуентна афазия. </w:t>
      </w:r>
      <w:r w:rsidRPr="00AE47C6">
        <w:rPr>
          <w:rFonts w:ascii="Times New Roman" w:eastAsia="SimSun" w:hAnsi="Times New Roman"/>
          <w:sz w:val="24"/>
          <w:szCs w:val="24"/>
        </w:rPr>
        <w:t xml:space="preserve">Последните диагностични критерии предлагат трети подтип на ППА, който не отговаря на критериите за ППА-С и ППА-НФ и е наречен логопеничен вариант на ППА (ППА-Л). При ППА-Л атрофията засяга предимно задните кортикални участъци с асиметрична (повече вляво) темпоро-париетална атрофия. </w:t>
      </w:r>
    </w:p>
    <w:p w14:paraId="40B1FF5D" w14:textId="77777777" w:rsidR="00BE0B19" w:rsidRPr="00AE47C6" w:rsidRDefault="00BE0B19" w:rsidP="00BE0B19">
      <w:pPr>
        <w:spacing w:after="0" w:line="360" w:lineRule="auto"/>
        <w:jc w:val="both"/>
        <w:rPr>
          <w:rFonts w:ascii="Times New Roman" w:eastAsia="SimSun" w:hAnsi="Times New Roman"/>
          <w:b/>
          <w:bCs/>
          <w:sz w:val="24"/>
          <w:szCs w:val="24"/>
          <w:lang w:eastAsia="ja-JP" w:bidi="th-TH"/>
        </w:rPr>
      </w:pPr>
    </w:p>
    <w:p w14:paraId="079E722C" w14:textId="77777777" w:rsidR="00BE0B19" w:rsidRPr="00AE47C6" w:rsidRDefault="00BE0B19" w:rsidP="00BE0B19">
      <w:pPr>
        <w:spacing w:after="0" w:line="360" w:lineRule="auto"/>
        <w:jc w:val="both"/>
        <w:rPr>
          <w:rFonts w:ascii="Times New Roman" w:eastAsia="SimSun" w:hAnsi="Times New Roman"/>
          <w:b/>
          <w:bCs/>
          <w:sz w:val="24"/>
          <w:szCs w:val="24"/>
          <w:lang w:eastAsia="ja-JP" w:bidi="th-TH"/>
        </w:rPr>
      </w:pPr>
      <w:r w:rsidRPr="00AE47C6">
        <w:rPr>
          <w:rFonts w:ascii="Times New Roman" w:eastAsia="SimSun" w:hAnsi="Times New Roman"/>
          <w:b/>
          <w:bCs/>
          <w:sz w:val="24"/>
          <w:szCs w:val="24"/>
          <w:lang w:eastAsia="ja-JP" w:bidi="th-TH"/>
        </w:rPr>
        <w:t>Критерии за нефлуентен/аграматичен вариант на ППА-НФ (Gorno-Tempini, 2011)</w:t>
      </w:r>
    </w:p>
    <w:p w14:paraId="648EBE3A" w14:textId="77777777" w:rsidR="00BE0B19" w:rsidRPr="00AE47C6" w:rsidRDefault="00BE0B19" w:rsidP="00BE0B19">
      <w:pPr>
        <w:spacing w:after="0" w:line="360" w:lineRule="auto"/>
        <w:jc w:val="both"/>
        <w:rPr>
          <w:rFonts w:ascii="Times New Roman" w:eastAsia="SimSun" w:hAnsi="Times New Roman"/>
          <w:b/>
          <w:bCs/>
          <w:sz w:val="24"/>
          <w:szCs w:val="24"/>
          <w:lang w:eastAsia="ja-JP" w:bidi="th-TH"/>
        </w:rPr>
      </w:pPr>
      <w:r w:rsidRPr="00AE47C6">
        <w:rPr>
          <w:rFonts w:ascii="Times New Roman" w:eastAsia="SimSun" w:hAnsi="Times New Roman"/>
          <w:b/>
          <w:bCs/>
          <w:sz w:val="24"/>
          <w:szCs w:val="24"/>
          <w:lang w:eastAsia="ja-JP" w:bidi="th-TH"/>
        </w:rPr>
        <w:t>I- Клинична диагноза</w:t>
      </w:r>
    </w:p>
    <w:p w14:paraId="53249268" w14:textId="77777777" w:rsidR="00BE0B19" w:rsidRPr="00AE47C6" w:rsidRDefault="00BE0B19" w:rsidP="00BE0B19">
      <w:pPr>
        <w:spacing w:after="0" w:line="360" w:lineRule="auto"/>
        <w:jc w:val="both"/>
        <w:rPr>
          <w:rFonts w:ascii="Times New Roman" w:eastAsia="SimSun" w:hAnsi="Times New Roman"/>
          <w:b/>
          <w:bCs/>
          <w:sz w:val="24"/>
          <w:szCs w:val="24"/>
          <w:lang w:eastAsia="ja-JP" w:bidi="th-TH"/>
        </w:rPr>
      </w:pPr>
      <w:r w:rsidRPr="00AE47C6">
        <w:rPr>
          <w:rFonts w:ascii="Times New Roman" w:eastAsia="SimSun" w:hAnsi="Times New Roman"/>
          <w:b/>
          <w:bCs/>
          <w:sz w:val="24"/>
          <w:szCs w:val="24"/>
          <w:lang w:eastAsia="ja-JP" w:bidi="th-TH"/>
        </w:rPr>
        <w:t xml:space="preserve">     Поне един от следните основни критерии:</w:t>
      </w:r>
    </w:p>
    <w:p w14:paraId="3D1189BB"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r w:rsidRPr="00AE47C6">
        <w:rPr>
          <w:rFonts w:ascii="Times New Roman" w:eastAsia="SimSun" w:hAnsi="Times New Roman"/>
          <w:b/>
          <w:bCs/>
          <w:sz w:val="24"/>
          <w:szCs w:val="24"/>
          <w:lang w:eastAsia="ja-JP" w:bidi="th-TH"/>
        </w:rPr>
        <w:tab/>
      </w:r>
      <w:r w:rsidRPr="00AE47C6">
        <w:rPr>
          <w:rFonts w:ascii="Times New Roman" w:eastAsia="SimSun" w:hAnsi="Times New Roman"/>
          <w:sz w:val="24"/>
          <w:szCs w:val="24"/>
          <w:lang w:eastAsia="ja-JP" w:bidi="th-TH"/>
        </w:rPr>
        <w:t>1- Аграматизъм в езиковата продукция</w:t>
      </w:r>
    </w:p>
    <w:p w14:paraId="64DD9EA0"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r w:rsidRPr="00AE47C6">
        <w:rPr>
          <w:rFonts w:ascii="Times New Roman" w:eastAsia="SimSun" w:hAnsi="Times New Roman"/>
          <w:sz w:val="24"/>
          <w:szCs w:val="24"/>
          <w:lang w:eastAsia="ja-JP" w:bidi="th-TH"/>
        </w:rPr>
        <w:tab/>
        <w:t>2- Апраксия на речта</w:t>
      </w:r>
    </w:p>
    <w:p w14:paraId="251B5C35" w14:textId="77777777" w:rsidR="00BE0B19" w:rsidRPr="00AE47C6" w:rsidRDefault="00BE0B19" w:rsidP="00BE0B19">
      <w:pPr>
        <w:spacing w:after="0" w:line="360" w:lineRule="auto"/>
        <w:jc w:val="both"/>
        <w:rPr>
          <w:rFonts w:ascii="Times New Roman" w:eastAsia="SimSun" w:hAnsi="Times New Roman"/>
          <w:b/>
          <w:bCs/>
          <w:sz w:val="24"/>
          <w:szCs w:val="24"/>
          <w:lang w:eastAsia="ja-JP" w:bidi="th-TH"/>
        </w:rPr>
      </w:pPr>
      <w:r w:rsidRPr="00AE47C6">
        <w:rPr>
          <w:rFonts w:ascii="Times New Roman" w:eastAsia="SimSun" w:hAnsi="Times New Roman"/>
          <w:b/>
          <w:bCs/>
          <w:sz w:val="24"/>
          <w:szCs w:val="24"/>
          <w:lang w:eastAsia="ja-JP" w:bidi="th-TH"/>
        </w:rPr>
        <w:t xml:space="preserve">     Поне 2 от следните 3 допълнителни критерии:</w:t>
      </w:r>
    </w:p>
    <w:p w14:paraId="25AD2F4D"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r w:rsidRPr="00AE47C6">
        <w:rPr>
          <w:rFonts w:ascii="Times New Roman" w:eastAsia="SimSun" w:hAnsi="Times New Roman"/>
          <w:b/>
          <w:bCs/>
          <w:sz w:val="24"/>
          <w:szCs w:val="24"/>
          <w:lang w:eastAsia="ja-JP" w:bidi="th-TH"/>
        </w:rPr>
        <w:tab/>
      </w:r>
      <w:r w:rsidRPr="00AE47C6">
        <w:rPr>
          <w:rFonts w:ascii="Times New Roman" w:eastAsia="SimSun" w:hAnsi="Times New Roman"/>
          <w:sz w:val="24"/>
          <w:szCs w:val="24"/>
          <w:lang w:eastAsia="ja-JP" w:bidi="th-TH"/>
        </w:rPr>
        <w:t>1- Нарушено разбиране на синтактично комплексни изречения</w:t>
      </w:r>
    </w:p>
    <w:p w14:paraId="7FFC72D6"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r w:rsidRPr="00AE47C6">
        <w:rPr>
          <w:rFonts w:ascii="Times New Roman" w:eastAsia="SimSun" w:hAnsi="Times New Roman"/>
          <w:sz w:val="24"/>
          <w:szCs w:val="24"/>
          <w:lang w:eastAsia="ja-JP" w:bidi="th-TH"/>
        </w:rPr>
        <w:tab/>
        <w:t>2- Съхранено разбиране на отделни думи</w:t>
      </w:r>
    </w:p>
    <w:p w14:paraId="12CE8217"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r w:rsidRPr="00AE47C6">
        <w:rPr>
          <w:rFonts w:ascii="Times New Roman" w:eastAsia="SimSun" w:hAnsi="Times New Roman"/>
          <w:sz w:val="24"/>
          <w:szCs w:val="24"/>
          <w:lang w:eastAsia="ja-JP" w:bidi="th-TH"/>
        </w:rPr>
        <w:tab/>
        <w:t>3- Съхранено познаване на предметите</w:t>
      </w:r>
    </w:p>
    <w:p w14:paraId="17617A0F" w14:textId="77777777" w:rsidR="00BE0B19" w:rsidRPr="00AE47C6" w:rsidRDefault="00BE0B19" w:rsidP="00BE0B19">
      <w:pPr>
        <w:spacing w:after="0" w:line="360" w:lineRule="auto"/>
        <w:jc w:val="both"/>
        <w:rPr>
          <w:rFonts w:ascii="Times New Roman" w:eastAsia="SimSun" w:hAnsi="Times New Roman"/>
          <w:b/>
          <w:bCs/>
          <w:sz w:val="24"/>
          <w:szCs w:val="24"/>
          <w:lang w:eastAsia="ja-JP" w:bidi="th-TH"/>
        </w:rPr>
      </w:pPr>
      <w:r w:rsidRPr="00AE47C6">
        <w:rPr>
          <w:rFonts w:ascii="Times New Roman" w:eastAsia="SimSun" w:hAnsi="Times New Roman"/>
          <w:b/>
          <w:bCs/>
          <w:sz w:val="24"/>
          <w:szCs w:val="24"/>
          <w:lang w:eastAsia="ja-JP" w:bidi="th-TH"/>
        </w:rPr>
        <w:t xml:space="preserve">II- Подкрепящи невроизобразяващи критерии: </w:t>
      </w:r>
    </w:p>
    <w:p w14:paraId="119452CA" w14:textId="77777777" w:rsidR="00BE0B19" w:rsidRPr="00AE47C6" w:rsidRDefault="00BE0B19" w:rsidP="00BE0B19">
      <w:pPr>
        <w:spacing w:after="0" w:line="360" w:lineRule="auto"/>
        <w:jc w:val="both"/>
        <w:rPr>
          <w:rFonts w:ascii="Times New Roman" w:eastAsia="SimSun" w:hAnsi="Times New Roman"/>
          <w:b/>
          <w:bCs/>
          <w:sz w:val="24"/>
          <w:szCs w:val="24"/>
          <w:lang w:eastAsia="ja-JP" w:bidi="th-TH"/>
        </w:rPr>
      </w:pPr>
      <w:r w:rsidRPr="00AE47C6">
        <w:rPr>
          <w:rFonts w:ascii="Times New Roman" w:eastAsia="SimSun" w:hAnsi="Times New Roman"/>
          <w:b/>
          <w:bCs/>
          <w:sz w:val="24"/>
          <w:szCs w:val="24"/>
          <w:lang w:eastAsia="ja-JP" w:bidi="th-TH"/>
        </w:rPr>
        <w:t xml:space="preserve">     Клинична диагноза + един или повече от следните критерии       </w:t>
      </w:r>
    </w:p>
    <w:p w14:paraId="0238D1D9"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r w:rsidRPr="00AE47C6">
        <w:rPr>
          <w:rFonts w:ascii="Times New Roman" w:eastAsia="SimSun" w:hAnsi="Times New Roman"/>
          <w:b/>
          <w:bCs/>
          <w:sz w:val="24"/>
          <w:szCs w:val="24"/>
          <w:lang w:eastAsia="ja-JP" w:bidi="th-TH"/>
        </w:rPr>
        <w:tab/>
      </w:r>
      <w:r w:rsidRPr="00AE47C6">
        <w:rPr>
          <w:rFonts w:ascii="Times New Roman" w:eastAsia="SimSun" w:hAnsi="Times New Roman"/>
          <w:sz w:val="24"/>
          <w:szCs w:val="24"/>
          <w:lang w:eastAsia="ja-JP" w:bidi="th-TH"/>
        </w:rPr>
        <w:t xml:space="preserve">1- МРТ данни за задна фронто-инсуларна атрофия предимно вляво </w:t>
      </w:r>
    </w:p>
    <w:p w14:paraId="58D729BA"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r w:rsidRPr="00AE47C6">
        <w:rPr>
          <w:rFonts w:ascii="Times New Roman" w:eastAsia="SimSun" w:hAnsi="Times New Roman"/>
          <w:sz w:val="24"/>
          <w:szCs w:val="24"/>
          <w:lang w:eastAsia="ja-JP" w:bidi="th-TH"/>
        </w:rPr>
        <w:tab/>
        <w:t xml:space="preserve">2- Задна фронто-инсуларна хипоперфузия или хипометаболизъм на SPECT/PET предимно вляво </w:t>
      </w:r>
    </w:p>
    <w:p w14:paraId="5168B1BE" w14:textId="77777777" w:rsidR="00BE0B19" w:rsidRPr="00AE47C6" w:rsidRDefault="00BE0B19" w:rsidP="00BE0B19">
      <w:pPr>
        <w:spacing w:after="0" w:line="360" w:lineRule="auto"/>
        <w:jc w:val="both"/>
        <w:rPr>
          <w:rFonts w:ascii="Times New Roman" w:eastAsia="SimSun" w:hAnsi="Times New Roman"/>
          <w:b/>
          <w:bCs/>
          <w:sz w:val="24"/>
          <w:szCs w:val="24"/>
          <w:lang w:eastAsia="ja-JP" w:bidi="th-TH"/>
        </w:rPr>
      </w:pPr>
      <w:r w:rsidRPr="00AE47C6">
        <w:rPr>
          <w:rFonts w:ascii="Times New Roman" w:eastAsia="SimSun" w:hAnsi="Times New Roman"/>
          <w:b/>
          <w:bCs/>
          <w:sz w:val="24"/>
          <w:szCs w:val="24"/>
          <w:lang w:eastAsia="ja-JP" w:bidi="th-TH"/>
        </w:rPr>
        <w:t>III- Дефинитивна диагноза</w:t>
      </w:r>
    </w:p>
    <w:p w14:paraId="3877A974" w14:textId="77777777" w:rsidR="00BE0B19" w:rsidRPr="00AE47C6" w:rsidRDefault="00BE0B19" w:rsidP="00BE0B19">
      <w:pPr>
        <w:spacing w:after="0" w:line="360" w:lineRule="auto"/>
        <w:jc w:val="both"/>
        <w:rPr>
          <w:rFonts w:ascii="Times New Roman" w:eastAsia="SimSun" w:hAnsi="Times New Roman"/>
          <w:b/>
          <w:bCs/>
          <w:sz w:val="24"/>
          <w:szCs w:val="24"/>
          <w:lang w:eastAsia="ja-JP" w:bidi="th-TH"/>
        </w:rPr>
      </w:pPr>
    </w:p>
    <w:p w14:paraId="61ACA267" w14:textId="77777777" w:rsidR="00BE0B19" w:rsidRPr="00AE47C6" w:rsidRDefault="00BE0B19" w:rsidP="00BE0B19">
      <w:pPr>
        <w:spacing w:after="0" w:line="360" w:lineRule="auto"/>
        <w:jc w:val="both"/>
        <w:rPr>
          <w:rFonts w:ascii="Times New Roman" w:eastAsia="SimSun" w:hAnsi="Times New Roman"/>
          <w:b/>
          <w:bCs/>
          <w:sz w:val="24"/>
          <w:szCs w:val="24"/>
          <w:lang w:eastAsia="ja-JP" w:bidi="th-TH"/>
        </w:rPr>
      </w:pPr>
      <w:r w:rsidRPr="00AE47C6">
        <w:rPr>
          <w:rFonts w:ascii="Times New Roman" w:eastAsia="SimSun" w:hAnsi="Times New Roman"/>
          <w:b/>
          <w:bCs/>
          <w:sz w:val="24"/>
          <w:szCs w:val="24"/>
          <w:lang w:eastAsia="ja-JP" w:bidi="th-TH"/>
        </w:rPr>
        <w:t xml:space="preserve">Клинична диагноза + следните 2 критерия:       </w:t>
      </w:r>
    </w:p>
    <w:p w14:paraId="36DF2C66"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r w:rsidRPr="00AE47C6">
        <w:rPr>
          <w:rFonts w:ascii="Times New Roman" w:eastAsia="SimSun" w:hAnsi="Times New Roman"/>
          <w:b/>
          <w:bCs/>
          <w:sz w:val="24"/>
          <w:szCs w:val="24"/>
          <w:lang w:eastAsia="ja-JP" w:bidi="th-TH"/>
        </w:rPr>
        <w:tab/>
      </w:r>
      <w:r w:rsidRPr="00AE47C6">
        <w:rPr>
          <w:rFonts w:ascii="Times New Roman" w:eastAsia="SimSun" w:hAnsi="Times New Roman"/>
          <w:sz w:val="24"/>
          <w:szCs w:val="24"/>
          <w:lang w:eastAsia="ja-JP" w:bidi="th-TH"/>
        </w:rPr>
        <w:t xml:space="preserve">1- Хистопатологична проява на специфична невродегенеративна патология (FTLD-tau, FTLD-TDP, AD и др.) </w:t>
      </w:r>
    </w:p>
    <w:p w14:paraId="2AB71CDF"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r w:rsidRPr="00AE47C6">
        <w:rPr>
          <w:rFonts w:ascii="Times New Roman" w:eastAsia="SimSun" w:hAnsi="Times New Roman"/>
          <w:sz w:val="24"/>
          <w:szCs w:val="24"/>
          <w:lang w:eastAsia="ja-JP" w:bidi="th-TH"/>
        </w:rPr>
        <w:tab/>
        <w:t xml:space="preserve">2- Наличие на позната патологична мутация </w:t>
      </w:r>
    </w:p>
    <w:p w14:paraId="4DDB6C5B"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p>
    <w:p w14:paraId="75D8B4A0" w14:textId="77777777" w:rsidR="00BE0B19" w:rsidRPr="00AE47C6" w:rsidRDefault="00BE0B19" w:rsidP="00BE0B19">
      <w:pPr>
        <w:spacing w:after="0" w:line="360" w:lineRule="auto"/>
        <w:jc w:val="both"/>
        <w:rPr>
          <w:rFonts w:ascii="Times New Roman" w:eastAsia="SimSun" w:hAnsi="Times New Roman"/>
          <w:b/>
          <w:bCs/>
          <w:sz w:val="24"/>
          <w:szCs w:val="24"/>
          <w:lang w:eastAsia="ja-JP" w:bidi="th-TH"/>
        </w:rPr>
      </w:pPr>
      <w:r w:rsidRPr="00AE47C6">
        <w:rPr>
          <w:rFonts w:ascii="Times New Roman" w:eastAsia="SimSun" w:hAnsi="Times New Roman"/>
          <w:b/>
          <w:bCs/>
          <w:sz w:val="24"/>
          <w:szCs w:val="24"/>
          <w:lang w:eastAsia="ja-JP" w:bidi="th-TH"/>
        </w:rPr>
        <w:t>Критерии за семантичен вариант на ППА-С (Gorno-Tempini, 2011)</w:t>
      </w:r>
    </w:p>
    <w:p w14:paraId="1596489A" w14:textId="77777777" w:rsidR="00BE0B19" w:rsidRPr="00AE47C6" w:rsidRDefault="00BE0B19" w:rsidP="00BE0B19">
      <w:pPr>
        <w:spacing w:after="0" w:line="360" w:lineRule="auto"/>
        <w:jc w:val="both"/>
        <w:rPr>
          <w:rFonts w:ascii="Times New Roman" w:eastAsia="SimSun" w:hAnsi="Times New Roman"/>
          <w:b/>
          <w:bCs/>
          <w:sz w:val="24"/>
          <w:szCs w:val="24"/>
          <w:lang w:eastAsia="ja-JP" w:bidi="th-TH"/>
        </w:rPr>
      </w:pPr>
      <w:r w:rsidRPr="00AE47C6">
        <w:rPr>
          <w:rFonts w:ascii="Times New Roman" w:eastAsia="SimSun" w:hAnsi="Times New Roman"/>
          <w:b/>
          <w:bCs/>
          <w:sz w:val="24"/>
          <w:szCs w:val="24"/>
          <w:lang w:eastAsia="ja-JP" w:bidi="th-TH"/>
        </w:rPr>
        <w:t xml:space="preserve">I- Клинична диагноза  </w:t>
      </w:r>
    </w:p>
    <w:p w14:paraId="416BF3C4" w14:textId="77777777" w:rsidR="00BE0B19" w:rsidRPr="00AE47C6" w:rsidRDefault="00BE0B19" w:rsidP="00BE0B19">
      <w:pPr>
        <w:spacing w:after="0" w:line="360" w:lineRule="auto"/>
        <w:jc w:val="both"/>
        <w:rPr>
          <w:rFonts w:ascii="Times New Roman" w:eastAsia="SimSun" w:hAnsi="Times New Roman"/>
          <w:b/>
          <w:bCs/>
          <w:sz w:val="24"/>
          <w:szCs w:val="24"/>
          <w:lang w:eastAsia="ja-JP" w:bidi="th-TH"/>
        </w:rPr>
      </w:pPr>
      <w:r w:rsidRPr="00AE47C6">
        <w:rPr>
          <w:rFonts w:ascii="Times New Roman" w:eastAsia="SimSun" w:hAnsi="Times New Roman"/>
          <w:b/>
          <w:bCs/>
          <w:sz w:val="24"/>
          <w:szCs w:val="24"/>
          <w:lang w:eastAsia="ja-JP" w:bidi="th-TH"/>
        </w:rPr>
        <w:tab/>
        <w:t>Наличие на следните 2 основни критерии:</w:t>
      </w:r>
    </w:p>
    <w:p w14:paraId="65738C67"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r w:rsidRPr="00AE47C6">
        <w:rPr>
          <w:rFonts w:ascii="Times New Roman" w:eastAsia="SimSun" w:hAnsi="Times New Roman"/>
          <w:sz w:val="24"/>
          <w:szCs w:val="24"/>
          <w:lang w:eastAsia="ja-JP" w:bidi="th-TH"/>
        </w:rPr>
        <w:t xml:space="preserve">       1- Нарушено назоваване</w:t>
      </w:r>
    </w:p>
    <w:p w14:paraId="1CDE4255"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r w:rsidRPr="00AE47C6">
        <w:rPr>
          <w:rFonts w:ascii="Times New Roman" w:eastAsia="SimSun" w:hAnsi="Times New Roman"/>
          <w:sz w:val="24"/>
          <w:szCs w:val="24"/>
          <w:lang w:eastAsia="ja-JP" w:bidi="th-TH"/>
        </w:rPr>
        <w:t xml:space="preserve">       2- Нарушено разбиране на отделни думи</w:t>
      </w:r>
    </w:p>
    <w:p w14:paraId="15A37479" w14:textId="77777777" w:rsidR="00BE0B19" w:rsidRPr="00AE47C6" w:rsidRDefault="00BE0B19" w:rsidP="00BE0B19">
      <w:pPr>
        <w:spacing w:after="0" w:line="360" w:lineRule="auto"/>
        <w:jc w:val="both"/>
        <w:rPr>
          <w:rFonts w:ascii="Times New Roman" w:eastAsia="SimSun" w:hAnsi="Times New Roman"/>
          <w:b/>
          <w:bCs/>
          <w:sz w:val="24"/>
          <w:szCs w:val="24"/>
          <w:lang w:eastAsia="ja-JP" w:bidi="th-TH"/>
        </w:rPr>
      </w:pPr>
      <w:r w:rsidRPr="00AE47C6">
        <w:rPr>
          <w:rFonts w:ascii="Times New Roman" w:eastAsia="SimSun" w:hAnsi="Times New Roman"/>
          <w:b/>
          <w:bCs/>
          <w:sz w:val="24"/>
          <w:szCs w:val="24"/>
          <w:lang w:eastAsia="ja-JP" w:bidi="th-TH"/>
        </w:rPr>
        <w:tab/>
        <w:t>Поне 3 от следните 4 допълнителни критерии:</w:t>
      </w:r>
    </w:p>
    <w:p w14:paraId="3AB80546"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r w:rsidRPr="00AE47C6">
        <w:rPr>
          <w:rFonts w:ascii="Times New Roman" w:eastAsia="SimSun" w:hAnsi="Times New Roman"/>
          <w:sz w:val="24"/>
          <w:szCs w:val="24"/>
          <w:lang w:eastAsia="ja-JP" w:bidi="th-TH"/>
        </w:rPr>
        <w:t xml:space="preserve">       1-Нарушено познаване на предметите</w:t>
      </w:r>
    </w:p>
    <w:p w14:paraId="40AF1490"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r w:rsidRPr="00AE47C6">
        <w:rPr>
          <w:rFonts w:ascii="Times New Roman" w:eastAsia="SimSun" w:hAnsi="Times New Roman"/>
          <w:sz w:val="24"/>
          <w:szCs w:val="24"/>
          <w:lang w:eastAsia="ja-JP" w:bidi="th-TH"/>
        </w:rPr>
        <w:t xml:space="preserve">       2- Дислексия или дисграфия</w:t>
      </w:r>
    </w:p>
    <w:p w14:paraId="17B4B2C1"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r w:rsidRPr="00AE47C6">
        <w:rPr>
          <w:rFonts w:ascii="Times New Roman" w:eastAsia="SimSun" w:hAnsi="Times New Roman"/>
          <w:sz w:val="24"/>
          <w:szCs w:val="24"/>
          <w:lang w:eastAsia="ja-JP" w:bidi="th-TH"/>
        </w:rPr>
        <w:t xml:space="preserve">       3- Съхранено повтаряне</w:t>
      </w:r>
    </w:p>
    <w:p w14:paraId="0A3A52CF"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r w:rsidRPr="00AE47C6">
        <w:rPr>
          <w:rFonts w:ascii="Times New Roman" w:eastAsia="SimSun" w:hAnsi="Times New Roman"/>
          <w:sz w:val="24"/>
          <w:szCs w:val="24"/>
          <w:lang w:eastAsia="ja-JP" w:bidi="th-TH"/>
        </w:rPr>
        <w:t xml:space="preserve">       4- Съхранена речева продукция</w:t>
      </w:r>
    </w:p>
    <w:p w14:paraId="7A87879E" w14:textId="77777777" w:rsidR="00BE0B19" w:rsidRPr="00AE47C6" w:rsidRDefault="00BE0B19" w:rsidP="00BE0B19">
      <w:pPr>
        <w:spacing w:after="0" w:line="360" w:lineRule="auto"/>
        <w:jc w:val="both"/>
        <w:rPr>
          <w:rFonts w:ascii="Times New Roman" w:eastAsia="SimSun" w:hAnsi="Times New Roman"/>
          <w:b/>
          <w:bCs/>
          <w:sz w:val="24"/>
          <w:szCs w:val="24"/>
          <w:lang w:eastAsia="ja-JP" w:bidi="th-TH"/>
        </w:rPr>
      </w:pPr>
      <w:r w:rsidRPr="00AE47C6">
        <w:rPr>
          <w:rFonts w:ascii="Times New Roman" w:eastAsia="SimSun" w:hAnsi="Times New Roman"/>
          <w:b/>
          <w:bCs/>
          <w:sz w:val="24"/>
          <w:szCs w:val="24"/>
          <w:lang w:eastAsia="ja-JP" w:bidi="th-TH"/>
        </w:rPr>
        <w:t xml:space="preserve">II- Подкрепящи невроизобразяващи критерии: </w:t>
      </w:r>
    </w:p>
    <w:p w14:paraId="3C6AAFFC" w14:textId="77777777" w:rsidR="00BE0B19" w:rsidRPr="00AE47C6" w:rsidRDefault="00BE0B19" w:rsidP="00BE0B19">
      <w:pPr>
        <w:spacing w:after="0" w:line="360" w:lineRule="auto"/>
        <w:jc w:val="both"/>
        <w:rPr>
          <w:rFonts w:ascii="Times New Roman" w:eastAsia="SimSun" w:hAnsi="Times New Roman"/>
          <w:b/>
          <w:bCs/>
          <w:sz w:val="24"/>
          <w:szCs w:val="24"/>
          <w:lang w:eastAsia="ja-JP" w:bidi="th-TH"/>
        </w:rPr>
      </w:pPr>
      <w:r w:rsidRPr="00AE47C6">
        <w:rPr>
          <w:rFonts w:ascii="Times New Roman" w:eastAsia="SimSun" w:hAnsi="Times New Roman"/>
          <w:b/>
          <w:bCs/>
          <w:sz w:val="24"/>
          <w:szCs w:val="24"/>
          <w:lang w:eastAsia="ja-JP" w:bidi="th-TH"/>
        </w:rPr>
        <w:tab/>
        <w:t xml:space="preserve">Клинична диагноза + следните критерии       </w:t>
      </w:r>
    </w:p>
    <w:p w14:paraId="63EE2C7D"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r w:rsidRPr="00AE47C6">
        <w:rPr>
          <w:rFonts w:ascii="Times New Roman" w:eastAsia="SimSun" w:hAnsi="Times New Roman"/>
          <w:sz w:val="24"/>
          <w:szCs w:val="24"/>
          <w:lang w:eastAsia="ja-JP" w:bidi="th-TH"/>
        </w:rPr>
        <w:t xml:space="preserve">       1</w:t>
      </w:r>
      <w:r w:rsidRPr="00AE47C6">
        <w:rPr>
          <w:rFonts w:ascii="Times New Roman" w:eastAsia="SimSun" w:hAnsi="Times New Roman"/>
          <w:b/>
          <w:bCs/>
          <w:sz w:val="24"/>
          <w:szCs w:val="24"/>
          <w:lang w:eastAsia="ja-JP" w:bidi="th-TH"/>
        </w:rPr>
        <w:t xml:space="preserve"> - </w:t>
      </w:r>
      <w:r w:rsidRPr="00AE47C6">
        <w:rPr>
          <w:rFonts w:ascii="Times New Roman" w:eastAsia="SimSun" w:hAnsi="Times New Roman"/>
          <w:sz w:val="24"/>
          <w:szCs w:val="24"/>
          <w:lang w:eastAsia="ja-JP" w:bidi="th-TH"/>
        </w:rPr>
        <w:t xml:space="preserve">МРТ данни за предимно предна темпорална атрофия </w:t>
      </w:r>
    </w:p>
    <w:p w14:paraId="432D9E5D"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r w:rsidRPr="00AE47C6">
        <w:rPr>
          <w:rFonts w:ascii="Times New Roman" w:eastAsia="SimSun" w:hAnsi="Times New Roman"/>
          <w:sz w:val="24"/>
          <w:szCs w:val="24"/>
          <w:lang w:eastAsia="ja-JP" w:bidi="th-TH"/>
        </w:rPr>
        <w:t xml:space="preserve">       2 -Предимно предно темпорална хипоперфузия или хипометаболизъм на </w:t>
      </w:r>
      <w:r w:rsidRPr="00AE47C6">
        <w:rPr>
          <w:rFonts w:ascii="Times New Roman" w:eastAsia="SimSun" w:hAnsi="Times New Roman"/>
          <w:sz w:val="24"/>
          <w:szCs w:val="24"/>
          <w:lang w:eastAsia="ja-JP" w:bidi="th-TH"/>
        </w:rPr>
        <w:tab/>
        <w:t xml:space="preserve">SPECT/PET  </w:t>
      </w:r>
    </w:p>
    <w:p w14:paraId="48211F4A" w14:textId="77777777" w:rsidR="00BE0B19" w:rsidRPr="00AE47C6" w:rsidRDefault="00BE0B19" w:rsidP="00BE0B19">
      <w:pPr>
        <w:spacing w:after="0" w:line="360" w:lineRule="auto"/>
        <w:jc w:val="both"/>
        <w:rPr>
          <w:rFonts w:ascii="Times New Roman" w:eastAsia="SimSun" w:hAnsi="Times New Roman"/>
          <w:b/>
          <w:bCs/>
          <w:sz w:val="24"/>
          <w:szCs w:val="24"/>
          <w:lang w:eastAsia="ja-JP" w:bidi="th-TH"/>
        </w:rPr>
      </w:pPr>
      <w:r w:rsidRPr="00AE47C6">
        <w:rPr>
          <w:rFonts w:ascii="Times New Roman" w:eastAsia="SimSun" w:hAnsi="Times New Roman"/>
          <w:b/>
          <w:bCs/>
          <w:sz w:val="24"/>
          <w:szCs w:val="24"/>
          <w:lang w:eastAsia="ja-JP" w:bidi="th-TH"/>
        </w:rPr>
        <w:t>III- Дефинитивна диагноза</w:t>
      </w:r>
    </w:p>
    <w:p w14:paraId="39BA3AFE" w14:textId="77777777" w:rsidR="00BE0B19" w:rsidRPr="00AE47C6" w:rsidRDefault="00BE0B19" w:rsidP="00BE0B19">
      <w:pPr>
        <w:spacing w:after="0" w:line="360" w:lineRule="auto"/>
        <w:jc w:val="both"/>
        <w:rPr>
          <w:rFonts w:ascii="Times New Roman" w:eastAsia="SimSun" w:hAnsi="Times New Roman"/>
          <w:b/>
          <w:bCs/>
          <w:sz w:val="24"/>
          <w:szCs w:val="24"/>
          <w:lang w:eastAsia="ja-JP" w:bidi="th-TH"/>
        </w:rPr>
      </w:pPr>
      <w:r w:rsidRPr="00AE47C6">
        <w:rPr>
          <w:rFonts w:ascii="Times New Roman" w:eastAsia="SimSun" w:hAnsi="Times New Roman"/>
          <w:b/>
          <w:bCs/>
          <w:sz w:val="24"/>
          <w:szCs w:val="24"/>
          <w:lang w:eastAsia="ja-JP" w:bidi="th-TH"/>
        </w:rPr>
        <w:t xml:space="preserve">Клинична диагноза +  следните два критерия:       </w:t>
      </w:r>
    </w:p>
    <w:p w14:paraId="3875E556"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r w:rsidRPr="00AE47C6">
        <w:rPr>
          <w:rFonts w:ascii="Times New Roman" w:eastAsia="SimSun" w:hAnsi="Times New Roman"/>
          <w:sz w:val="24"/>
          <w:szCs w:val="24"/>
          <w:lang w:eastAsia="ja-JP" w:bidi="th-TH"/>
        </w:rPr>
        <w:t xml:space="preserve">1- Хистопатологична проява на специфична невродегенеративна патология (FTLD-tau, FTLD-TDP, AD и др.) </w:t>
      </w:r>
    </w:p>
    <w:p w14:paraId="1DEBDD86" w14:textId="77777777" w:rsidR="00BE0B19" w:rsidRPr="00AE47C6" w:rsidRDefault="00BE0B19" w:rsidP="00BE0B19">
      <w:pPr>
        <w:spacing w:after="0" w:line="360" w:lineRule="auto"/>
        <w:jc w:val="both"/>
        <w:rPr>
          <w:rFonts w:ascii="Times New Roman" w:eastAsia="SimSun" w:hAnsi="Times New Roman"/>
          <w:sz w:val="24"/>
          <w:szCs w:val="24"/>
          <w:lang w:eastAsia="ja-JP" w:bidi="th-TH"/>
        </w:rPr>
      </w:pPr>
      <w:r w:rsidRPr="00AE47C6">
        <w:rPr>
          <w:rFonts w:ascii="Times New Roman" w:eastAsia="SimSun" w:hAnsi="Times New Roman"/>
          <w:sz w:val="24"/>
          <w:szCs w:val="24"/>
          <w:lang w:eastAsia="ja-JP" w:bidi="th-TH"/>
        </w:rPr>
        <w:t xml:space="preserve">2- Наличие на позната патологична мутация </w:t>
      </w:r>
    </w:p>
    <w:p w14:paraId="7C9E29E1" w14:textId="77777777" w:rsidR="00BE0B19" w:rsidRPr="00AE47C6" w:rsidRDefault="00BE0B19" w:rsidP="00BE0B19">
      <w:pPr>
        <w:spacing w:after="0" w:line="360" w:lineRule="auto"/>
        <w:jc w:val="both"/>
        <w:rPr>
          <w:rFonts w:ascii="Times New Roman" w:eastAsia="SimSun" w:hAnsi="Times New Roman"/>
          <w:sz w:val="24"/>
          <w:szCs w:val="24"/>
        </w:rPr>
      </w:pPr>
    </w:p>
    <w:p w14:paraId="5AB99286"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Припокриване на ФТЛД с кортикобазална дегенерация (КБД), прогресивна супрануклеарна парализа (ПСП) и болест на двигателния неврон (БДН)</w:t>
      </w:r>
    </w:p>
    <w:p w14:paraId="1C370D3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Има значителни клинични и хистопатологични припокривания на ФТЛД със заболявания, протичащи с атипичен паркинсонизъм – кортикобазална дегенерация (КБД), прогресивна супрануклеарна парализа (ПСП) и болест на двигателния неврон (БДН). До 15% от пациентите с ФТЛД показват симптоми на ЛАС. Около 5 % от пациентите с ЛАС развиват пълния клиничен фенотип на ФТД-П, ППА-С или ППА-НФ.</w:t>
      </w:r>
    </w:p>
    <w:p w14:paraId="0702344C" w14:textId="77777777" w:rsidR="00BE0B19" w:rsidRPr="00AE47C6" w:rsidRDefault="00BE0B19" w:rsidP="00BE0B19">
      <w:pPr>
        <w:spacing w:after="0" w:line="360" w:lineRule="auto"/>
        <w:jc w:val="both"/>
        <w:rPr>
          <w:rFonts w:ascii="Times New Roman" w:eastAsia="SimSun" w:hAnsi="Times New Roman"/>
          <w:b/>
          <w:bCs/>
          <w:sz w:val="24"/>
          <w:szCs w:val="24"/>
        </w:rPr>
      </w:pPr>
    </w:p>
    <w:p w14:paraId="7A9D081F"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Изследвания</w:t>
      </w:r>
    </w:p>
    <w:p w14:paraId="754D762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Необходими са лабораторни, ликворни и невроизобразяващи изследвания за изключване на съдови, инфекциозни, възпалителни, неопластични/ паранеопластични и метаболитни заболявания, някои от които могат да бъдат лечими.</w:t>
      </w:r>
      <w:r w:rsidRPr="00AE47C6">
        <w:rPr>
          <w:rFonts w:ascii="Times New Roman" w:eastAsia="SimSun" w:hAnsi="Times New Roman"/>
          <w:sz w:val="24"/>
          <w:szCs w:val="24"/>
        </w:rPr>
        <w:br/>
        <w:t xml:space="preserve">Засега няма ликворни биомаркери, които да служат за директна диагноза на ФТЛД. Ликворните биомаркери за тау и бета-амилоид, специфични за БА, са полезни за отдиференциране на случаите с БА. </w:t>
      </w:r>
    </w:p>
    <w:p w14:paraId="37BAE820" w14:textId="77777777" w:rsidR="00BE0B19" w:rsidRPr="00AE47C6" w:rsidRDefault="00BE0B19" w:rsidP="00BE0B19">
      <w:pPr>
        <w:spacing w:after="0" w:line="360" w:lineRule="auto"/>
        <w:ind w:firstLine="709"/>
        <w:jc w:val="both"/>
        <w:rPr>
          <w:rFonts w:ascii="Times New Roman" w:eastAsia="SimSun" w:hAnsi="Times New Roman"/>
          <w:i/>
          <w:iCs/>
          <w:sz w:val="24"/>
          <w:szCs w:val="24"/>
        </w:rPr>
      </w:pPr>
    </w:p>
    <w:p w14:paraId="1867D664" w14:textId="77777777" w:rsidR="00BE0B19" w:rsidRPr="00AE47C6" w:rsidRDefault="00BE0B19" w:rsidP="00BE0B19">
      <w:pPr>
        <w:spacing w:after="0" w:line="360" w:lineRule="auto"/>
        <w:jc w:val="both"/>
        <w:rPr>
          <w:rFonts w:ascii="Times New Roman" w:eastAsia="SimSun" w:hAnsi="Times New Roman"/>
          <w:b/>
          <w:sz w:val="24"/>
          <w:szCs w:val="24"/>
          <w:lang w:eastAsia="ja-JP"/>
        </w:rPr>
      </w:pPr>
      <w:r w:rsidRPr="00AE47C6">
        <w:rPr>
          <w:rFonts w:ascii="Times New Roman" w:eastAsia="SimSun" w:hAnsi="Times New Roman"/>
          <w:b/>
          <w:sz w:val="24"/>
          <w:szCs w:val="24"/>
          <w:lang w:eastAsia="ja-JP"/>
        </w:rPr>
        <w:t>Лечение на други форми на деменция (ФТД, ПСП и КБД)</w:t>
      </w:r>
    </w:p>
    <w:p w14:paraId="629867BC" w14:textId="77777777" w:rsidR="00BE0B19" w:rsidRPr="00AE47C6" w:rsidRDefault="00BE0B19" w:rsidP="00BE0B19">
      <w:pPr>
        <w:spacing w:after="0" w:line="360" w:lineRule="auto"/>
        <w:jc w:val="both"/>
        <w:rPr>
          <w:rFonts w:ascii="Times New Roman" w:eastAsia="SimSun" w:hAnsi="Times New Roman"/>
          <w:sz w:val="24"/>
          <w:szCs w:val="24"/>
          <w:lang w:eastAsia="ja-JP"/>
        </w:rPr>
      </w:pPr>
      <w:r w:rsidRPr="00AE47C6">
        <w:rPr>
          <w:rFonts w:ascii="Times New Roman" w:eastAsia="SimSun" w:hAnsi="Times New Roman"/>
          <w:sz w:val="24"/>
          <w:szCs w:val="24"/>
          <w:lang w:eastAsia="ja-JP"/>
        </w:rPr>
        <w:t xml:space="preserve">Отчита се слаб, временен симптоматичен ефект върху когнитивните функции с инхибитори на ацетилхолинестеразата и </w:t>
      </w:r>
      <w:r w:rsidRPr="00AE47C6">
        <w:rPr>
          <w:rFonts w:ascii="Times New Roman" w:eastAsia="SimSun" w:hAnsi="Times New Roman"/>
          <w:snapToGrid w:val="0"/>
          <w:sz w:val="24"/>
          <w:szCs w:val="24"/>
        </w:rPr>
        <w:t>Memantine.</w:t>
      </w:r>
    </w:p>
    <w:p w14:paraId="0BD073FD" w14:textId="77777777" w:rsidR="00BE0B19" w:rsidRPr="00AE47C6" w:rsidRDefault="00BE0B19" w:rsidP="00BE0B19">
      <w:pPr>
        <w:numPr>
          <w:ilvl w:val="0"/>
          <w:numId w:val="110"/>
        </w:numPr>
        <w:tabs>
          <w:tab w:val="clear" w:pos="757"/>
        </w:tabs>
        <w:spacing w:after="0" w:line="360" w:lineRule="auto"/>
        <w:ind w:left="0" w:hanging="284"/>
        <w:jc w:val="both"/>
        <w:rPr>
          <w:rFonts w:ascii="Times New Roman" w:eastAsia="SimSun" w:hAnsi="Times New Roman"/>
          <w:b/>
          <w:sz w:val="24"/>
          <w:szCs w:val="24"/>
          <w:lang w:eastAsia="ja-JP"/>
        </w:rPr>
      </w:pPr>
      <w:r w:rsidRPr="00AE47C6">
        <w:rPr>
          <w:rFonts w:ascii="Times New Roman" w:eastAsia="SimSun" w:hAnsi="Times New Roman"/>
          <w:b/>
          <w:sz w:val="24"/>
          <w:szCs w:val="24"/>
          <w:lang w:eastAsia="ja-JP"/>
        </w:rPr>
        <w:t xml:space="preserve">Инхибитори на ацетилхолинестеразата </w:t>
      </w:r>
      <w:r w:rsidRPr="00AE47C6">
        <w:rPr>
          <w:rFonts w:ascii="Times New Roman" w:eastAsia="SimSun" w:hAnsi="Times New Roman"/>
          <w:sz w:val="24"/>
          <w:szCs w:val="24"/>
          <w:lang w:eastAsia="ja-JP"/>
        </w:rPr>
        <w:t>(лек, умерен и тежък стадий на деменция)</w:t>
      </w:r>
    </w:p>
    <w:p w14:paraId="56FE5879" w14:textId="77777777" w:rsidR="00BE0B19" w:rsidRPr="00AE47C6" w:rsidRDefault="00BE0B19" w:rsidP="00BE0B19">
      <w:pPr>
        <w:numPr>
          <w:ilvl w:val="0"/>
          <w:numId w:val="399"/>
        </w:numPr>
        <w:spacing w:after="0" w:line="360" w:lineRule="auto"/>
        <w:jc w:val="both"/>
        <w:rPr>
          <w:rFonts w:ascii="Times New Roman" w:eastAsia="SimSun" w:hAnsi="Times New Roman"/>
          <w:sz w:val="24"/>
          <w:szCs w:val="24"/>
          <w:lang w:eastAsia="ja-JP"/>
        </w:rPr>
      </w:pPr>
      <w:r w:rsidRPr="00AE47C6">
        <w:rPr>
          <w:rFonts w:ascii="Times New Roman" w:eastAsia="SimSun" w:hAnsi="Times New Roman"/>
          <w:i/>
          <w:sz w:val="24"/>
          <w:szCs w:val="24"/>
          <w:lang w:eastAsia="ja-JP"/>
        </w:rPr>
        <w:t xml:space="preserve">Donepezil </w:t>
      </w:r>
      <w:r w:rsidRPr="00AE47C6">
        <w:rPr>
          <w:rFonts w:ascii="Times New Roman" w:eastAsia="SimSun" w:hAnsi="Times New Roman"/>
          <w:i/>
          <w:snapToGrid w:val="0"/>
          <w:sz w:val="24"/>
          <w:szCs w:val="24"/>
        </w:rPr>
        <w:t>–</w:t>
      </w:r>
      <w:r w:rsidRPr="00AE47C6">
        <w:rPr>
          <w:rFonts w:ascii="Times New Roman" w:eastAsia="SimSun" w:hAnsi="Times New Roman"/>
          <w:i/>
          <w:sz w:val="24"/>
          <w:szCs w:val="24"/>
          <w:lang w:eastAsia="ja-JP"/>
        </w:rPr>
        <w:t xml:space="preserve"> 5</w:t>
      </w:r>
      <w:r w:rsidRPr="00AE47C6">
        <w:rPr>
          <w:rFonts w:ascii="Times New Roman" w:eastAsia="SimSun" w:hAnsi="Times New Roman"/>
          <w:sz w:val="24"/>
          <w:szCs w:val="24"/>
          <w:lang w:eastAsia="ja-JP"/>
        </w:rPr>
        <w:t>-10 mg дневно</w:t>
      </w:r>
    </w:p>
    <w:p w14:paraId="7694F032" w14:textId="77777777" w:rsidR="00BE0B19" w:rsidRPr="00AE47C6" w:rsidRDefault="00BE0B19" w:rsidP="00BE0B19">
      <w:pPr>
        <w:numPr>
          <w:ilvl w:val="0"/>
          <w:numId w:val="399"/>
        </w:numPr>
        <w:spacing w:after="0" w:line="360" w:lineRule="auto"/>
        <w:jc w:val="both"/>
        <w:rPr>
          <w:rFonts w:ascii="Times New Roman" w:eastAsia="SimSun" w:hAnsi="Times New Roman"/>
          <w:sz w:val="24"/>
          <w:szCs w:val="24"/>
          <w:lang w:eastAsia="ja-JP"/>
        </w:rPr>
      </w:pPr>
      <w:r w:rsidRPr="00AE47C6">
        <w:rPr>
          <w:rFonts w:ascii="Times New Roman" w:eastAsia="SimSun" w:hAnsi="Times New Roman"/>
          <w:i/>
          <w:snapToGrid w:val="0"/>
          <w:sz w:val="24"/>
          <w:szCs w:val="24"/>
        </w:rPr>
        <w:t>Rivastigmine (tabl.) –</w:t>
      </w:r>
      <w:r w:rsidRPr="00AE47C6">
        <w:rPr>
          <w:rFonts w:ascii="Times New Roman" w:eastAsia="SimSun" w:hAnsi="Times New Roman"/>
          <w:snapToGrid w:val="0"/>
          <w:sz w:val="24"/>
          <w:szCs w:val="24"/>
        </w:rPr>
        <w:t xml:space="preserve">6-12 </w:t>
      </w:r>
      <w:r w:rsidRPr="00AE47C6">
        <w:rPr>
          <w:rFonts w:ascii="Times New Roman" w:eastAsia="SimSun" w:hAnsi="Times New Roman"/>
          <w:sz w:val="24"/>
          <w:szCs w:val="24"/>
          <w:lang w:eastAsia="ja-JP"/>
        </w:rPr>
        <w:t>mg дневно</w:t>
      </w:r>
    </w:p>
    <w:p w14:paraId="4ACFB0FD" w14:textId="77777777" w:rsidR="00BE0B19" w:rsidRPr="00AE47C6" w:rsidRDefault="00BE0B19" w:rsidP="00BE0B19">
      <w:pPr>
        <w:numPr>
          <w:ilvl w:val="0"/>
          <w:numId w:val="399"/>
        </w:numPr>
        <w:spacing w:after="0" w:line="360" w:lineRule="auto"/>
        <w:jc w:val="both"/>
        <w:rPr>
          <w:rFonts w:ascii="Times New Roman" w:eastAsia="SimSun" w:hAnsi="Times New Roman"/>
          <w:sz w:val="24"/>
          <w:szCs w:val="24"/>
          <w:lang w:eastAsia="ja-JP"/>
        </w:rPr>
      </w:pPr>
      <w:r w:rsidRPr="00AE47C6">
        <w:rPr>
          <w:rFonts w:ascii="Times New Roman" w:eastAsia="SimSun" w:hAnsi="Times New Roman"/>
          <w:i/>
          <w:snapToGrid w:val="0"/>
          <w:sz w:val="24"/>
          <w:szCs w:val="24"/>
        </w:rPr>
        <w:t>Galantamine –</w:t>
      </w:r>
      <w:r w:rsidRPr="00AE47C6">
        <w:rPr>
          <w:rFonts w:ascii="Times New Roman" w:eastAsia="SimSun" w:hAnsi="Times New Roman"/>
          <w:sz w:val="24"/>
          <w:szCs w:val="24"/>
          <w:lang w:eastAsia="ja-JP"/>
        </w:rPr>
        <w:t xml:space="preserve">20-30 mg дневно </w:t>
      </w:r>
    </w:p>
    <w:p w14:paraId="1CC5B972" w14:textId="77777777" w:rsidR="00BE0B19" w:rsidRPr="00AE47C6" w:rsidRDefault="00BE0B19" w:rsidP="00BE0B19">
      <w:pPr>
        <w:tabs>
          <w:tab w:val="center" w:pos="4320"/>
          <w:tab w:val="right" w:pos="8640"/>
        </w:tabs>
        <w:spacing w:after="0" w:line="360" w:lineRule="auto"/>
        <w:jc w:val="both"/>
        <w:rPr>
          <w:rFonts w:ascii="Times New Roman" w:eastAsia="SimSun" w:hAnsi="Times New Roman"/>
          <w:sz w:val="24"/>
          <w:szCs w:val="24"/>
          <w:lang w:eastAsia="ja-JP"/>
        </w:rPr>
      </w:pPr>
    </w:p>
    <w:p w14:paraId="68681497" w14:textId="77777777" w:rsidR="00BE0B19" w:rsidRPr="00AE47C6" w:rsidRDefault="00BE0B19" w:rsidP="00BE0B19">
      <w:pPr>
        <w:spacing w:after="0" w:line="360" w:lineRule="auto"/>
        <w:jc w:val="both"/>
        <w:rPr>
          <w:rFonts w:ascii="Times New Roman" w:eastAsia="SimSun" w:hAnsi="Times New Roman"/>
          <w:b/>
          <w:sz w:val="24"/>
          <w:szCs w:val="24"/>
          <w:lang w:eastAsia="ja-JP"/>
        </w:rPr>
      </w:pPr>
      <w:r w:rsidRPr="00AE47C6">
        <w:rPr>
          <w:rFonts w:ascii="Times New Roman" w:eastAsia="SimSun" w:hAnsi="Times New Roman"/>
          <w:b/>
          <w:i/>
          <w:snapToGrid w:val="0"/>
          <w:sz w:val="24"/>
          <w:szCs w:val="24"/>
        </w:rPr>
        <w:t xml:space="preserve">Memantine </w:t>
      </w:r>
      <w:r w:rsidRPr="00AE47C6">
        <w:rPr>
          <w:rFonts w:ascii="Times New Roman" w:eastAsia="SimSun" w:hAnsi="Times New Roman"/>
          <w:b/>
          <w:snapToGrid w:val="0"/>
          <w:sz w:val="24"/>
          <w:szCs w:val="24"/>
        </w:rPr>
        <w:t xml:space="preserve">– </w:t>
      </w:r>
      <w:r w:rsidRPr="00AE47C6">
        <w:rPr>
          <w:rFonts w:ascii="Times New Roman" w:eastAsia="SimSun" w:hAnsi="Times New Roman"/>
          <w:snapToGrid w:val="0"/>
          <w:sz w:val="24"/>
          <w:szCs w:val="24"/>
        </w:rPr>
        <w:t>10-20</w:t>
      </w:r>
      <w:r w:rsidRPr="00AE47C6">
        <w:rPr>
          <w:rFonts w:ascii="Times New Roman" w:eastAsia="SimSun" w:hAnsi="Times New Roman"/>
          <w:sz w:val="24"/>
          <w:szCs w:val="24"/>
          <w:lang w:eastAsia="ja-JP"/>
        </w:rPr>
        <w:t xml:space="preserve">mg дневно (умерен и тежък стадий на деменция) </w:t>
      </w:r>
    </w:p>
    <w:p w14:paraId="7BEADE50" w14:textId="77777777" w:rsidR="00BE0B19" w:rsidRPr="00AE47C6" w:rsidRDefault="00BE0B19" w:rsidP="00BE0B19">
      <w:pPr>
        <w:spacing w:after="0" w:line="360" w:lineRule="auto"/>
        <w:jc w:val="both"/>
        <w:rPr>
          <w:rFonts w:ascii="Times New Roman" w:eastAsia="SimSun" w:hAnsi="Times New Roman"/>
          <w:b/>
          <w:sz w:val="24"/>
          <w:szCs w:val="24"/>
          <w:lang w:eastAsia="ja-JP"/>
        </w:rPr>
      </w:pPr>
    </w:p>
    <w:p w14:paraId="7C5F8DC2" w14:textId="396E9BC1" w:rsidR="00BE0B19" w:rsidRPr="00AE47C6" w:rsidRDefault="00BE0B19" w:rsidP="00BE0B19">
      <w:pPr>
        <w:spacing w:after="0" w:line="360" w:lineRule="auto"/>
        <w:jc w:val="both"/>
        <w:rPr>
          <w:rFonts w:ascii="Times New Roman" w:eastAsia="SimSun" w:hAnsi="Times New Roman"/>
          <w:b/>
          <w:sz w:val="24"/>
          <w:szCs w:val="24"/>
          <w:lang w:eastAsia="ja-JP"/>
        </w:rPr>
      </w:pPr>
      <w:r w:rsidRPr="00AE47C6">
        <w:rPr>
          <w:rFonts w:ascii="Times New Roman" w:eastAsia="SimSun" w:hAnsi="Times New Roman"/>
          <w:b/>
          <w:sz w:val="24"/>
          <w:szCs w:val="24"/>
          <w:lang w:eastAsia="ja-JP"/>
        </w:rPr>
        <w:t xml:space="preserve">Синдромологично и симптоматично лечение </w:t>
      </w:r>
    </w:p>
    <w:p w14:paraId="78CE3E7D" w14:textId="77777777" w:rsidR="00BE0B19" w:rsidRPr="00AE47C6" w:rsidRDefault="00BE0B19" w:rsidP="00BE0B19">
      <w:pPr>
        <w:tabs>
          <w:tab w:val="left" w:pos="720"/>
        </w:tabs>
        <w:spacing w:after="0" w:line="360" w:lineRule="auto"/>
        <w:jc w:val="both"/>
        <w:rPr>
          <w:rFonts w:ascii="Times New Roman" w:eastAsia="SimSun" w:hAnsi="Times New Roman"/>
          <w:sz w:val="24"/>
          <w:szCs w:val="24"/>
          <w:lang w:eastAsia="ja-JP"/>
        </w:rPr>
      </w:pPr>
      <w:r w:rsidRPr="00AE47C6">
        <w:rPr>
          <w:rFonts w:ascii="Times New Roman" w:eastAsia="SimSun" w:hAnsi="Times New Roman"/>
          <w:b/>
          <w:sz w:val="24"/>
          <w:szCs w:val="24"/>
          <w:lang w:eastAsia="ja-JP"/>
        </w:rPr>
        <w:t>Лечение на паркинсонизма</w:t>
      </w:r>
    </w:p>
    <w:p w14:paraId="1B403AB9" w14:textId="77777777" w:rsidR="00BE0B19" w:rsidRPr="00AE47C6" w:rsidRDefault="00BE0B19" w:rsidP="00BE0B19">
      <w:pPr>
        <w:tabs>
          <w:tab w:val="left" w:pos="720"/>
        </w:tabs>
        <w:spacing w:after="0" w:line="360" w:lineRule="auto"/>
        <w:jc w:val="both"/>
        <w:rPr>
          <w:rFonts w:ascii="Times New Roman" w:eastAsia="SimSun" w:hAnsi="Times New Roman"/>
          <w:sz w:val="24"/>
          <w:szCs w:val="24"/>
          <w:lang w:eastAsia="ja-JP"/>
        </w:rPr>
      </w:pPr>
      <w:r w:rsidRPr="00AE47C6">
        <w:rPr>
          <w:rFonts w:ascii="Times New Roman" w:eastAsia="SimSun" w:hAnsi="Times New Roman"/>
          <w:b/>
          <w:sz w:val="24"/>
          <w:szCs w:val="24"/>
          <w:lang w:eastAsia="ja-JP"/>
        </w:rPr>
        <w:t>Лечение на депресията</w:t>
      </w:r>
    </w:p>
    <w:p w14:paraId="0A1981AF" w14:textId="77777777" w:rsidR="00BE0B19" w:rsidRPr="00AE47C6" w:rsidRDefault="00BE0B19" w:rsidP="00BE0B19">
      <w:pPr>
        <w:tabs>
          <w:tab w:val="left" w:pos="-2160"/>
          <w:tab w:val="left" w:pos="720"/>
        </w:tabs>
        <w:spacing w:after="0" w:line="360" w:lineRule="auto"/>
        <w:jc w:val="both"/>
        <w:rPr>
          <w:rFonts w:ascii="Times New Roman" w:eastAsia="SimSun" w:hAnsi="Times New Roman"/>
          <w:b/>
          <w:sz w:val="24"/>
          <w:szCs w:val="24"/>
          <w:lang w:eastAsia="ja-JP"/>
        </w:rPr>
      </w:pPr>
      <w:r w:rsidRPr="00AE47C6">
        <w:rPr>
          <w:rFonts w:ascii="Times New Roman" w:eastAsia="SimSun" w:hAnsi="Times New Roman"/>
          <w:b/>
          <w:sz w:val="24"/>
          <w:szCs w:val="24"/>
          <w:lang w:eastAsia="ja-JP"/>
        </w:rPr>
        <w:t>Лечение на поведенческите нарушения</w:t>
      </w:r>
    </w:p>
    <w:p w14:paraId="0F90CC14" w14:textId="77777777" w:rsidR="00BE0B19" w:rsidRPr="00AE47C6" w:rsidRDefault="00BE0B19" w:rsidP="00BE0B19">
      <w:pPr>
        <w:spacing w:after="0" w:line="360" w:lineRule="auto"/>
        <w:jc w:val="both"/>
        <w:rPr>
          <w:rFonts w:ascii="Times New Roman" w:eastAsia="SimSun" w:hAnsi="Times New Roman"/>
          <w:sz w:val="24"/>
          <w:szCs w:val="24"/>
        </w:rPr>
      </w:pPr>
    </w:p>
    <w:p w14:paraId="40F1C2E7" w14:textId="054F257B" w:rsidR="00BE0B19" w:rsidRPr="00AE47C6" w:rsidRDefault="00701B4A" w:rsidP="00BE0B19">
      <w:pPr>
        <w:spacing w:after="0" w:line="360" w:lineRule="auto"/>
        <w:ind w:hanging="357"/>
        <w:jc w:val="both"/>
        <w:rPr>
          <w:rFonts w:ascii="Times New Roman" w:eastAsia="SimSun" w:hAnsi="Times New Roman"/>
          <w:b/>
          <w:sz w:val="24"/>
          <w:szCs w:val="24"/>
          <w:lang w:eastAsia="ja-JP"/>
        </w:rPr>
      </w:pPr>
      <w:r w:rsidRPr="00AE47C6">
        <w:rPr>
          <w:rFonts w:ascii="Times New Roman" w:eastAsia="SimSun" w:hAnsi="Times New Roman"/>
          <w:b/>
          <w:sz w:val="24"/>
          <w:szCs w:val="24"/>
          <w:lang w:eastAsia="ja-JP"/>
        </w:rPr>
        <w:t xml:space="preserve">      </w:t>
      </w:r>
      <w:r w:rsidR="00BE0B19" w:rsidRPr="00AE47C6">
        <w:rPr>
          <w:rFonts w:ascii="Times New Roman" w:eastAsia="SimSun" w:hAnsi="Times New Roman"/>
          <w:b/>
          <w:sz w:val="24"/>
          <w:szCs w:val="24"/>
          <w:lang w:eastAsia="ja-JP"/>
        </w:rPr>
        <w:t>Немедикаментозно лечение</w:t>
      </w:r>
    </w:p>
    <w:p w14:paraId="15CEF522"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Когнитивна рехабилитация и стимулация</w:t>
      </w:r>
    </w:p>
    <w:p w14:paraId="3F9ECB54"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Физикална рехабилитация</w:t>
      </w:r>
    </w:p>
    <w:p w14:paraId="49EB3546" w14:textId="77777777" w:rsidR="00BE0B19" w:rsidRPr="00AE47C6" w:rsidRDefault="00BE0B19" w:rsidP="00BE0B19">
      <w:pPr>
        <w:spacing w:after="0" w:line="360" w:lineRule="auto"/>
        <w:ind w:hanging="357"/>
        <w:jc w:val="both"/>
        <w:rPr>
          <w:rFonts w:ascii="Times New Roman" w:eastAsia="SimSun" w:hAnsi="Times New Roman"/>
          <w:b/>
          <w:sz w:val="24"/>
          <w:szCs w:val="24"/>
          <w:lang w:eastAsia="ja-JP"/>
        </w:rPr>
      </w:pPr>
    </w:p>
    <w:p w14:paraId="5F679D83"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165" w:name="_Toc155651780"/>
      <w:bookmarkStart w:id="166" w:name="_Toc164075912"/>
      <w:r w:rsidRPr="00AE47C6">
        <w:rPr>
          <w:rFonts w:ascii="Times New Roman" w:eastAsia="SimSun" w:hAnsi="Times New Roman"/>
          <w:b/>
          <w:sz w:val="24"/>
          <w:szCs w:val="24"/>
        </w:rPr>
        <w:t>7.4. Болест с дифузни телца на Lewy</w:t>
      </w:r>
      <w:bookmarkEnd w:id="165"/>
      <w:bookmarkEnd w:id="166"/>
    </w:p>
    <w:p w14:paraId="251297B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u w:val="single"/>
        </w:rPr>
        <w:t xml:space="preserve">Болестта с </w:t>
      </w:r>
      <w:r w:rsidRPr="00AE47C6">
        <w:rPr>
          <w:rFonts w:ascii="Times New Roman" w:eastAsia="SimSun" w:hAnsi="Times New Roman"/>
          <w:b/>
          <w:i/>
          <w:iCs/>
          <w:sz w:val="24"/>
          <w:szCs w:val="24"/>
          <w:u w:val="single"/>
        </w:rPr>
        <w:t xml:space="preserve">дифузни телца на Lewy </w:t>
      </w:r>
      <w:r w:rsidRPr="00AE47C6">
        <w:rPr>
          <w:rFonts w:ascii="Times New Roman" w:eastAsia="SimSun" w:hAnsi="Times New Roman"/>
          <w:sz w:val="24"/>
          <w:szCs w:val="24"/>
        </w:rPr>
        <w:t xml:space="preserve">съчетава дементен и паркинсонов синдром и заема междинно място между БА и ПБ. </w:t>
      </w:r>
    </w:p>
    <w:p w14:paraId="55520065"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45E60B24"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Критерии за клинична диагноза:</w:t>
      </w:r>
    </w:p>
    <w:p w14:paraId="254645DD"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1. За поставяне на диагнозата </w:t>
      </w:r>
      <w:r w:rsidRPr="00AE47C6">
        <w:rPr>
          <w:rFonts w:ascii="Times New Roman" w:eastAsia="SimSun" w:hAnsi="Times New Roman"/>
          <w:b/>
          <w:i/>
          <w:iCs/>
          <w:sz w:val="24"/>
          <w:szCs w:val="24"/>
        </w:rPr>
        <w:t>вероятна</w:t>
      </w:r>
      <w:r w:rsidRPr="00AE47C6">
        <w:rPr>
          <w:rFonts w:ascii="Times New Roman" w:eastAsia="SimSun" w:hAnsi="Times New Roman"/>
          <w:sz w:val="24"/>
          <w:szCs w:val="24"/>
        </w:rPr>
        <w:t xml:space="preserve"> болест с дифузни телца на Lewy са необходими </w:t>
      </w:r>
      <w:r w:rsidRPr="00AE47C6">
        <w:rPr>
          <w:rFonts w:ascii="Times New Roman" w:eastAsia="SimSun" w:hAnsi="Times New Roman"/>
          <w:i/>
          <w:sz w:val="24"/>
          <w:szCs w:val="24"/>
        </w:rPr>
        <w:t>два</w:t>
      </w:r>
      <w:r w:rsidRPr="00AE47C6">
        <w:rPr>
          <w:rFonts w:ascii="Times New Roman" w:eastAsia="SimSun" w:hAnsi="Times New Roman"/>
          <w:sz w:val="24"/>
          <w:szCs w:val="24"/>
        </w:rPr>
        <w:t xml:space="preserve"> от следните основни симптоми и </w:t>
      </w:r>
      <w:r w:rsidRPr="00AE47C6">
        <w:rPr>
          <w:rFonts w:ascii="Times New Roman" w:eastAsia="SimSun" w:hAnsi="Times New Roman"/>
          <w:i/>
          <w:sz w:val="24"/>
          <w:szCs w:val="24"/>
        </w:rPr>
        <w:t>един</w:t>
      </w:r>
      <w:r w:rsidRPr="00AE47C6">
        <w:rPr>
          <w:rFonts w:ascii="Times New Roman" w:eastAsia="SimSun" w:hAnsi="Times New Roman"/>
          <w:sz w:val="24"/>
          <w:szCs w:val="24"/>
        </w:rPr>
        <w:t xml:space="preserve"> за поставяне на диагнозата </w:t>
      </w:r>
      <w:r w:rsidRPr="00AE47C6">
        <w:rPr>
          <w:rFonts w:ascii="Times New Roman" w:eastAsia="SimSun" w:hAnsi="Times New Roman"/>
          <w:b/>
          <w:i/>
          <w:iCs/>
          <w:sz w:val="24"/>
          <w:szCs w:val="24"/>
        </w:rPr>
        <w:t>възможна</w:t>
      </w:r>
      <w:r w:rsidRPr="00AE47C6">
        <w:rPr>
          <w:rFonts w:ascii="Times New Roman" w:eastAsia="SimSun" w:hAnsi="Times New Roman"/>
          <w:sz w:val="24"/>
          <w:szCs w:val="24"/>
        </w:rPr>
        <w:t xml:space="preserve"> (DLB Consortium, 2005 год.):</w:t>
      </w:r>
    </w:p>
    <w:p w14:paraId="13F2E45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А) Флуктуация в когнитивното състояние с изразена променливост в сферата на вниманието;</w:t>
      </w:r>
    </w:p>
    <w:p w14:paraId="682E81C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Б) Повтарящи се зрителни халюцинации, които са добре оформени и детайлни;</w:t>
      </w:r>
    </w:p>
    <w:p w14:paraId="5B363EA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В) Симптоми на спонтанен паркинсонизъм.</w:t>
      </w:r>
    </w:p>
    <w:p w14:paraId="4B0F95AB"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sz w:val="24"/>
          <w:szCs w:val="24"/>
        </w:rPr>
        <w:t xml:space="preserve">Деменцията се проявява с нарушение в паметта, екзекутивните функции, речта и праксиса. За разлика от БА, при </w:t>
      </w:r>
      <w:r w:rsidRPr="00AE47C6">
        <w:rPr>
          <w:rFonts w:ascii="Times New Roman" w:eastAsia="SimSun" w:hAnsi="Times New Roman"/>
          <w:i/>
          <w:iCs/>
          <w:sz w:val="24"/>
          <w:szCs w:val="24"/>
        </w:rPr>
        <w:t>болестта с дифузни телца на Lewy</w:t>
      </w:r>
      <w:r w:rsidRPr="00AE47C6">
        <w:rPr>
          <w:rFonts w:ascii="Times New Roman" w:eastAsia="SimSun" w:hAnsi="Times New Roman"/>
          <w:sz w:val="24"/>
          <w:szCs w:val="24"/>
        </w:rPr>
        <w:t xml:space="preserve"> са налице по-изразени нарушения в разпределеното внимание, екзекутивните функции и вербалната флуидност. Възможно е спонтанно подобрение на симптоматиката, както и появата на “плато” в хода на заболяването за период от няколко месеца. Паркинсонизмът е </w:t>
      </w:r>
      <w:r w:rsidRPr="00AE47C6">
        <w:rPr>
          <w:rFonts w:ascii="Times New Roman" w:eastAsia="SimSun" w:hAnsi="Times New Roman"/>
          <w:snapToGrid w:val="0"/>
          <w:sz w:val="24"/>
          <w:szCs w:val="24"/>
        </w:rPr>
        <w:t xml:space="preserve">спонтанен и е </w:t>
      </w:r>
      <w:r w:rsidRPr="00AE47C6">
        <w:rPr>
          <w:rFonts w:ascii="Times New Roman" w:eastAsia="SimSun" w:hAnsi="Times New Roman"/>
          <w:sz w:val="24"/>
          <w:szCs w:val="24"/>
        </w:rPr>
        <w:t xml:space="preserve">доминиран от ригидно променения мускулен тонус и брадикинезията, треморът не е характерен симптом. </w:t>
      </w:r>
      <w:r w:rsidRPr="00AE47C6">
        <w:rPr>
          <w:rFonts w:ascii="Times New Roman" w:eastAsia="SimSun" w:hAnsi="Times New Roman"/>
          <w:snapToGrid w:val="0"/>
          <w:sz w:val="24"/>
          <w:szCs w:val="24"/>
        </w:rPr>
        <w:t xml:space="preserve">Халюцинациите са предимно зрителни с рекурентен характер. </w:t>
      </w:r>
    </w:p>
    <w:p w14:paraId="2FED8FA6" w14:textId="77777777" w:rsidR="00BE0B19" w:rsidRPr="00AE47C6" w:rsidRDefault="00BE0B19" w:rsidP="00BE0B19">
      <w:pPr>
        <w:tabs>
          <w:tab w:val="left" w:pos="560"/>
        </w:tabs>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ab/>
        <w:t xml:space="preserve"> Характерно за зрителните халюцинации е, че типично са добре организирани и системни, а за флуктуацията в когницията - че се съчетава с явни колебания във внимание и бодърстване. По отношение на спонтанния паркинсонизъм се приема, че той се развива след или до 1 година преди появата на деменция. </w:t>
      </w:r>
    </w:p>
    <w:p w14:paraId="47AC9491" w14:textId="77777777" w:rsidR="00BE0B19" w:rsidRPr="00AE47C6" w:rsidRDefault="00BE0B19" w:rsidP="00BE0B19">
      <w:pPr>
        <w:tabs>
          <w:tab w:val="left" w:pos="560"/>
        </w:tabs>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ab/>
      </w:r>
      <w:r w:rsidRPr="00AE47C6">
        <w:rPr>
          <w:rFonts w:ascii="Times New Roman" w:eastAsia="SimSun" w:hAnsi="Times New Roman"/>
          <w:sz w:val="24"/>
          <w:szCs w:val="24"/>
        </w:rPr>
        <w:t xml:space="preserve">В подкрепа на диагнозата са и наличието на </w:t>
      </w:r>
      <w:r w:rsidRPr="00AE47C6">
        <w:rPr>
          <w:rFonts w:ascii="Times New Roman" w:eastAsia="SimSun" w:hAnsi="Times New Roman"/>
          <w:bCs/>
          <w:sz w:val="24"/>
          <w:szCs w:val="24"/>
        </w:rPr>
        <w:t>REM sleep behavior disorder, тежка невролептична сензитивност и/или данни от PET/SPECT за нисък dopamine transporter uptake в базални ганглии.</w:t>
      </w:r>
    </w:p>
    <w:p w14:paraId="42CC6088" w14:textId="77777777" w:rsidR="00BE0B19" w:rsidRPr="00AE47C6" w:rsidRDefault="00BE0B19" w:rsidP="00BE0B19">
      <w:pPr>
        <w:tabs>
          <w:tab w:val="left" w:pos="56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Освен изброените симптоми при ДТЛ могат да се наблюдават също: повтарящи се падания, синкопи, транзиторнa загуба на съзнание, систематизирани налудности и халюцинации в други модалности,</w:t>
      </w:r>
      <w:r w:rsidRPr="00AE47C6">
        <w:rPr>
          <w:rFonts w:ascii="Times New Roman" w:eastAsia="SimSun" w:hAnsi="Times New Roman"/>
          <w:bCs/>
          <w:sz w:val="24"/>
          <w:szCs w:val="24"/>
        </w:rPr>
        <w:t xml:space="preserve"> тежки автономни нарушения и депресия. Също така се посочва, че редица други биомаркери (невроизобразяващи, ЕЕГ и др.) биха могли допълнително да допринесат за диференцирането на ДТЛ от другите дементни състояния и заболявания и на първо място от болест на Алцхаймер.</w:t>
      </w:r>
    </w:p>
    <w:p w14:paraId="35A023CA" w14:textId="77777777" w:rsidR="00BE0B19" w:rsidRPr="00AE47C6" w:rsidRDefault="00BE0B19" w:rsidP="00BE0B19">
      <w:pPr>
        <w:spacing w:after="0" w:line="360" w:lineRule="auto"/>
        <w:ind w:firstLine="709"/>
        <w:jc w:val="both"/>
        <w:rPr>
          <w:rFonts w:ascii="Times New Roman" w:eastAsia="SimSun" w:hAnsi="Times New Roman"/>
          <w:snapToGrid w:val="0"/>
          <w:sz w:val="24"/>
          <w:szCs w:val="24"/>
        </w:rPr>
      </w:pPr>
      <w:r w:rsidRPr="00AE47C6">
        <w:rPr>
          <w:rFonts w:ascii="Times New Roman" w:eastAsia="SimSun" w:hAnsi="Times New Roman"/>
          <w:i/>
          <w:iCs/>
          <w:snapToGrid w:val="0"/>
          <w:sz w:val="24"/>
          <w:szCs w:val="24"/>
        </w:rPr>
        <w:t>Лечение.</w:t>
      </w:r>
      <w:r w:rsidRPr="00AE47C6">
        <w:rPr>
          <w:rFonts w:ascii="Times New Roman" w:eastAsia="SimSun" w:hAnsi="Times New Roman"/>
          <w:snapToGrid w:val="0"/>
          <w:sz w:val="24"/>
          <w:szCs w:val="24"/>
        </w:rPr>
        <w:t xml:space="preserve"> Отчита се положителен ефект върху когнитивните нарушения (значимо по-добър, отколкото при болестта на Алцхаймер) с приложението на антихолинестеразни средства. </w:t>
      </w:r>
    </w:p>
    <w:p w14:paraId="5B89C2D0" w14:textId="0B004A56" w:rsidR="00BE0B19" w:rsidRPr="00AE47C6" w:rsidRDefault="00BE0B19" w:rsidP="00BE0B19">
      <w:pPr>
        <w:spacing w:after="0" w:line="360" w:lineRule="auto"/>
        <w:jc w:val="both"/>
        <w:rPr>
          <w:rFonts w:ascii="Times New Roman" w:eastAsia="SimSun" w:hAnsi="Times New Roman"/>
          <w:b/>
          <w:sz w:val="24"/>
          <w:szCs w:val="24"/>
          <w:lang w:eastAsia="ja-JP"/>
        </w:rPr>
      </w:pPr>
      <w:r w:rsidRPr="00AE47C6">
        <w:rPr>
          <w:rFonts w:ascii="Times New Roman" w:eastAsia="SimSun" w:hAnsi="Times New Roman"/>
          <w:b/>
          <w:sz w:val="24"/>
          <w:szCs w:val="24"/>
          <w:lang w:eastAsia="ja-JP"/>
        </w:rPr>
        <w:t>Лечение на когнитивните нарушения</w:t>
      </w:r>
    </w:p>
    <w:p w14:paraId="4F039BE0" w14:textId="77777777" w:rsidR="00BE0B19" w:rsidRPr="00AE47C6" w:rsidRDefault="00BE0B19" w:rsidP="00BE0B19">
      <w:pPr>
        <w:spacing w:after="0" w:line="360" w:lineRule="auto"/>
        <w:ind w:firstLine="709"/>
        <w:jc w:val="both"/>
        <w:rPr>
          <w:rFonts w:ascii="Times New Roman" w:eastAsia="SimSun" w:hAnsi="Times New Roman"/>
          <w:b/>
          <w:sz w:val="24"/>
          <w:szCs w:val="24"/>
          <w:lang w:eastAsia="ja-JP"/>
        </w:rPr>
      </w:pPr>
      <w:r w:rsidRPr="00AE47C6">
        <w:rPr>
          <w:rFonts w:ascii="Times New Roman" w:eastAsia="SimSun" w:hAnsi="Times New Roman"/>
          <w:b/>
          <w:sz w:val="24"/>
          <w:szCs w:val="24"/>
          <w:lang w:eastAsia="ja-JP"/>
        </w:rPr>
        <w:t xml:space="preserve">Инхибитори на ацетилхолинестеразата </w:t>
      </w:r>
    </w:p>
    <w:p w14:paraId="587FB2F2" w14:textId="77777777" w:rsidR="00BE0B19" w:rsidRPr="00AE47C6" w:rsidRDefault="00BE0B19" w:rsidP="00BE0B19">
      <w:pPr>
        <w:numPr>
          <w:ilvl w:val="0"/>
          <w:numId w:val="398"/>
        </w:numPr>
        <w:spacing w:after="0" w:line="360" w:lineRule="auto"/>
        <w:jc w:val="both"/>
        <w:rPr>
          <w:rFonts w:ascii="Times New Roman" w:eastAsia="SimSun" w:hAnsi="Times New Roman"/>
          <w:sz w:val="24"/>
          <w:szCs w:val="24"/>
          <w:lang w:eastAsia="ja-JP"/>
        </w:rPr>
      </w:pPr>
      <w:r w:rsidRPr="00AE47C6">
        <w:rPr>
          <w:rFonts w:ascii="Times New Roman" w:eastAsia="SimSun" w:hAnsi="Times New Roman"/>
          <w:i/>
          <w:snapToGrid w:val="0"/>
          <w:sz w:val="24"/>
          <w:szCs w:val="24"/>
        </w:rPr>
        <w:t>Rivastigmine  –</w:t>
      </w:r>
      <w:r w:rsidRPr="00AE47C6">
        <w:rPr>
          <w:rFonts w:ascii="Times New Roman" w:eastAsia="SimSun" w:hAnsi="Times New Roman"/>
          <w:snapToGrid w:val="0"/>
          <w:sz w:val="24"/>
          <w:szCs w:val="24"/>
        </w:rPr>
        <w:t xml:space="preserve">6-12 </w:t>
      </w:r>
      <w:r w:rsidRPr="00AE47C6">
        <w:rPr>
          <w:rFonts w:ascii="Times New Roman" w:eastAsia="SimSun" w:hAnsi="Times New Roman"/>
          <w:sz w:val="24"/>
          <w:szCs w:val="24"/>
          <w:lang w:eastAsia="ja-JP"/>
        </w:rPr>
        <w:t>mg дневно</w:t>
      </w:r>
    </w:p>
    <w:p w14:paraId="3600CE33" w14:textId="77777777" w:rsidR="00BE0B19" w:rsidRPr="00AE47C6" w:rsidRDefault="00BE0B19" w:rsidP="00BE0B19">
      <w:pPr>
        <w:numPr>
          <w:ilvl w:val="0"/>
          <w:numId w:val="398"/>
        </w:numPr>
        <w:spacing w:after="0" w:line="360" w:lineRule="auto"/>
        <w:jc w:val="both"/>
        <w:rPr>
          <w:rFonts w:ascii="Times New Roman" w:eastAsia="SimSun" w:hAnsi="Times New Roman"/>
          <w:snapToGrid w:val="0"/>
          <w:sz w:val="24"/>
          <w:szCs w:val="24"/>
        </w:rPr>
      </w:pPr>
      <w:r w:rsidRPr="00AE47C6">
        <w:rPr>
          <w:rFonts w:ascii="Times New Roman" w:eastAsia="SimSun" w:hAnsi="Times New Roman"/>
          <w:i/>
          <w:sz w:val="24"/>
          <w:szCs w:val="24"/>
          <w:lang w:eastAsia="ja-JP"/>
        </w:rPr>
        <w:t xml:space="preserve">Donepezil </w:t>
      </w:r>
      <w:r w:rsidRPr="00AE47C6">
        <w:rPr>
          <w:rFonts w:ascii="Times New Roman" w:eastAsia="SimSun" w:hAnsi="Times New Roman"/>
          <w:i/>
          <w:snapToGrid w:val="0"/>
          <w:sz w:val="24"/>
          <w:szCs w:val="24"/>
        </w:rPr>
        <w:t>–</w:t>
      </w:r>
      <w:r w:rsidRPr="00AE47C6">
        <w:rPr>
          <w:rFonts w:ascii="Times New Roman" w:eastAsia="SimSun" w:hAnsi="Times New Roman"/>
          <w:sz w:val="24"/>
          <w:szCs w:val="24"/>
          <w:lang w:eastAsia="ja-JP"/>
        </w:rPr>
        <w:t>5-10 mg дневно</w:t>
      </w:r>
    </w:p>
    <w:p w14:paraId="57F33DA9" w14:textId="77777777" w:rsidR="00BE0B19" w:rsidRPr="00AE47C6" w:rsidRDefault="00BE0B19" w:rsidP="00BE0B19">
      <w:pPr>
        <w:numPr>
          <w:ilvl w:val="0"/>
          <w:numId w:val="398"/>
        </w:numPr>
        <w:spacing w:after="0" w:line="360" w:lineRule="auto"/>
        <w:jc w:val="both"/>
        <w:rPr>
          <w:rFonts w:ascii="Times New Roman" w:eastAsia="SimSun" w:hAnsi="Times New Roman"/>
          <w:sz w:val="24"/>
          <w:szCs w:val="24"/>
          <w:lang w:eastAsia="ja-JP"/>
        </w:rPr>
      </w:pPr>
      <w:r w:rsidRPr="00AE47C6">
        <w:rPr>
          <w:rFonts w:ascii="Times New Roman" w:eastAsia="SimSun" w:hAnsi="Times New Roman"/>
          <w:i/>
          <w:snapToGrid w:val="0"/>
          <w:sz w:val="24"/>
          <w:szCs w:val="24"/>
        </w:rPr>
        <w:t>Galantamine –</w:t>
      </w:r>
      <w:r w:rsidRPr="00AE47C6">
        <w:rPr>
          <w:rFonts w:ascii="Times New Roman" w:eastAsia="SimSun" w:hAnsi="Times New Roman"/>
          <w:sz w:val="24"/>
          <w:szCs w:val="24"/>
          <w:lang w:eastAsia="ja-JP"/>
        </w:rPr>
        <w:t xml:space="preserve">20-30 mg дневно </w:t>
      </w:r>
    </w:p>
    <w:p w14:paraId="29917302" w14:textId="25307905"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167" w:name="_Toc155651781"/>
      <w:bookmarkStart w:id="168" w:name="_Toc164075913"/>
      <w:r w:rsidRPr="00AE47C6">
        <w:rPr>
          <w:rFonts w:ascii="Times New Roman" w:eastAsia="SimSun" w:hAnsi="Times New Roman"/>
          <w:b/>
          <w:sz w:val="24"/>
          <w:szCs w:val="24"/>
        </w:rPr>
        <w:t>7.5.</w:t>
      </w:r>
      <w:r w:rsidR="00701B4A" w:rsidRPr="00AE47C6">
        <w:rPr>
          <w:rFonts w:ascii="Times New Roman" w:eastAsia="SimSun" w:hAnsi="Times New Roman"/>
          <w:b/>
          <w:sz w:val="24"/>
          <w:szCs w:val="24"/>
          <w:lang w:val="en-US"/>
        </w:rPr>
        <w:t xml:space="preserve"> </w:t>
      </w:r>
      <w:r w:rsidRPr="00AE47C6">
        <w:rPr>
          <w:rFonts w:ascii="Times New Roman" w:eastAsia="SimSun" w:hAnsi="Times New Roman"/>
          <w:b/>
          <w:sz w:val="24"/>
          <w:szCs w:val="24"/>
        </w:rPr>
        <w:t>Деменция при Паркинсонова болест (ПБ)</w:t>
      </w:r>
      <w:bookmarkEnd w:id="167"/>
      <w:bookmarkEnd w:id="168"/>
    </w:p>
    <w:p w14:paraId="4BF5DBCF"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Принципи и критерии при диагностицирането на деменция при Паркинсонова болест:</w:t>
      </w:r>
    </w:p>
    <w:p w14:paraId="31FE640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i/>
          <w:sz w:val="24"/>
          <w:szCs w:val="24"/>
        </w:rPr>
        <w:t>Деменцията при</w:t>
      </w:r>
      <w:r w:rsidRPr="00AE47C6">
        <w:rPr>
          <w:rFonts w:ascii="Times New Roman" w:eastAsia="SimSun" w:hAnsi="Times New Roman"/>
          <w:b/>
          <w:i/>
          <w:sz w:val="24"/>
          <w:szCs w:val="24"/>
        </w:rPr>
        <w:t xml:space="preserve"> Паркинсонова болест</w:t>
      </w:r>
      <w:r w:rsidRPr="00AE47C6">
        <w:rPr>
          <w:rFonts w:ascii="Times New Roman" w:eastAsia="SimSun" w:hAnsi="Times New Roman"/>
          <w:b/>
          <w:bCs/>
          <w:i/>
          <w:sz w:val="24"/>
          <w:szCs w:val="24"/>
        </w:rPr>
        <w:t xml:space="preserve"> (ПБ) </w:t>
      </w:r>
      <w:r w:rsidRPr="00AE47C6">
        <w:rPr>
          <w:rFonts w:ascii="Times New Roman" w:eastAsia="SimSun" w:hAnsi="Times New Roman"/>
          <w:i/>
          <w:sz w:val="24"/>
          <w:szCs w:val="24"/>
        </w:rPr>
        <w:t>(</w:t>
      </w:r>
      <w:r w:rsidRPr="00AE47C6">
        <w:rPr>
          <w:rFonts w:ascii="Times New Roman" w:eastAsia="SimSun" w:hAnsi="Times New Roman"/>
          <w:sz w:val="24"/>
          <w:szCs w:val="24"/>
        </w:rPr>
        <w:t xml:space="preserve">Виж “6. Дегенеративни заболявания на нервната система”) може да бъде резултат от подкорова лезия, съчетание с БА или корова локализация на телцата на Lewy с невронна загуба или от комбинацията на трите възможности. В 65% от болните заболяването протича с картина на подкорова дисфункция. </w:t>
      </w:r>
    </w:p>
    <w:p w14:paraId="074F18A3" w14:textId="77777777" w:rsidR="00BE0B19" w:rsidRPr="00AE47C6" w:rsidRDefault="00BE0B19" w:rsidP="00BE0B19">
      <w:pPr>
        <w:autoSpaceDE w:val="0"/>
        <w:autoSpaceDN w:val="0"/>
        <w:adjustRightInd w:val="0"/>
        <w:spacing w:after="0" w:line="360" w:lineRule="auto"/>
        <w:jc w:val="both"/>
        <w:rPr>
          <w:rFonts w:ascii="Times New Roman" w:eastAsia="Times-Roman" w:hAnsi="Times New Roman"/>
          <w:sz w:val="24"/>
          <w:szCs w:val="24"/>
        </w:rPr>
      </w:pPr>
      <w:r w:rsidRPr="00AE47C6">
        <w:rPr>
          <w:rFonts w:ascii="Times New Roman" w:eastAsia="SimSun" w:hAnsi="Times New Roman"/>
          <w:sz w:val="24"/>
          <w:szCs w:val="24"/>
        </w:rPr>
        <w:t xml:space="preserve">Паркинсоновата болест (ПБ) често се асоциира с леки когнитивни нарушения и деменция, като средната болестност от деменцията при ПБ се оценява на 40%, а кумулативния риск достига до 80%. Средната продължителност на развитие на ПБ до появата на деменция е около 10 години, но е налице голяма вариабилност. Специфичните Movement Disorder Society (MDS) Task Force критерии (2007 г.)  за вероятна Паркинсонова болест с деменция (ПБ-Д) </w:t>
      </w:r>
      <w:r w:rsidRPr="00AE47C6">
        <w:rPr>
          <w:rFonts w:ascii="Times New Roman" w:eastAsia="Times-Roman" w:hAnsi="Times New Roman"/>
          <w:sz w:val="24"/>
          <w:szCs w:val="24"/>
        </w:rPr>
        <w:t xml:space="preserve">включват задължително развитието на деменцията в хода на разгърната ПБ. Следователно основна първа стъпка за диагнозата ПБ-Д е поставяне на диагнозата идиопатична ПБ преди развитието на дементните симптоми. Диагностицирането на деменцията трябва да се базира на наличието на дефицити в поне две от четирите основни когнитивни области (внимание, памет, екзекутивни и зрително-пространствени умения), установени чрез клиничното и невропсихологично изследване, като тези дефицити да оказват значим ефект върху ежедневното функциониране на пациента. </w:t>
      </w:r>
    </w:p>
    <w:p w14:paraId="0070E76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Times-Roman" w:hAnsi="Times New Roman"/>
          <w:sz w:val="24"/>
          <w:szCs w:val="24"/>
        </w:rPr>
        <w:t>За поставянето на диагнозата вероятна ПБ-Д е задължително наличието на т</w:t>
      </w:r>
      <w:r w:rsidRPr="00AE47C6">
        <w:rPr>
          <w:rFonts w:ascii="Times New Roman" w:eastAsia="SimSun" w:hAnsi="Times New Roman"/>
          <w:sz w:val="24"/>
          <w:szCs w:val="24"/>
        </w:rPr>
        <w:t xml:space="preserve">ипичен профил на когнитивни дефицити с водещи нарушения във внимание, екзекутивни функции, зрително-пространствени функции и нарушено свободно припомняне при обичайно подобрение при подпомагане. Наличие на поне един поведенчески симптом </w:t>
      </w:r>
      <w:r w:rsidRPr="00AE47C6">
        <w:rPr>
          <w:rFonts w:ascii="Times New Roman" w:eastAsia="Times-Roman" w:hAnsi="Times New Roman"/>
          <w:sz w:val="24"/>
          <w:szCs w:val="24"/>
        </w:rPr>
        <w:t>(апатия, депресия или тревожност, халюцинации, налудности, ексцесивна дневна сънливост) подкрепя диагнозата вероятна ПБ-Д, но липсата на поведенчески симптоми не изключва диагнозата. През последните години задълбочено се изследват редица други биомаркери (вкл. невроизобразяващи и ликворни), които биха могли да допринесат допълнително за възможно най-ранната диагноза и диференциална диагноза от другите дементни състояния и заболявания.</w:t>
      </w:r>
    </w:p>
    <w:p w14:paraId="066936A1" w14:textId="77777777" w:rsidR="00BE0B19" w:rsidRPr="00AE47C6" w:rsidRDefault="00BE0B19" w:rsidP="00BE0B19">
      <w:pPr>
        <w:spacing w:after="0" w:line="360" w:lineRule="auto"/>
        <w:ind w:firstLine="709"/>
        <w:jc w:val="both"/>
        <w:rPr>
          <w:rFonts w:ascii="Times New Roman" w:eastAsia="SimSun" w:hAnsi="Times New Roman"/>
          <w:snapToGrid w:val="0"/>
          <w:sz w:val="24"/>
          <w:szCs w:val="24"/>
        </w:rPr>
      </w:pPr>
      <w:r w:rsidRPr="00AE47C6">
        <w:rPr>
          <w:rFonts w:ascii="Times New Roman" w:eastAsia="SimSun" w:hAnsi="Times New Roman"/>
          <w:i/>
          <w:iCs/>
          <w:snapToGrid w:val="0"/>
          <w:sz w:val="24"/>
          <w:szCs w:val="24"/>
        </w:rPr>
        <w:t>Лечение.</w:t>
      </w:r>
      <w:r w:rsidRPr="00AE47C6">
        <w:rPr>
          <w:rFonts w:ascii="Times New Roman" w:eastAsia="SimSun" w:hAnsi="Times New Roman"/>
          <w:snapToGrid w:val="0"/>
          <w:sz w:val="24"/>
          <w:szCs w:val="24"/>
        </w:rPr>
        <w:t xml:space="preserve"> Отчита се положителен ефект върху когнитивните нарушения (значимо по-добър отколкото при болестта на Алцхаймер) с приложението на антихолинестеразни средства. </w:t>
      </w:r>
    </w:p>
    <w:p w14:paraId="0D616F6C" w14:textId="4AFC4264" w:rsidR="00BE0B19" w:rsidRPr="00AE47C6" w:rsidRDefault="00BE0B19" w:rsidP="00BE0B19">
      <w:pPr>
        <w:spacing w:after="0" w:line="360" w:lineRule="auto"/>
        <w:jc w:val="both"/>
        <w:rPr>
          <w:rFonts w:ascii="Times New Roman" w:eastAsia="SimSun" w:hAnsi="Times New Roman"/>
          <w:b/>
          <w:sz w:val="24"/>
          <w:szCs w:val="24"/>
          <w:lang w:eastAsia="ja-JP"/>
        </w:rPr>
      </w:pPr>
      <w:r w:rsidRPr="00AE47C6">
        <w:rPr>
          <w:rFonts w:ascii="Times New Roman" w:eastAsia="SimSun" w:hAnsi="Times New Roman"/>
          <w:b/>
          <w:sz w:val="24"/>
          <w:szCs w:val="24"/>
          <w:lang w:eastAsia="ja-JP"/>
        </w:rPr>
        <w:t>Лечение на когнитивните нарушения</w:t>
      </w:r>
    </w:p>
    <w:p w14:paraId="6DFC324B" w14:textId="77777777" w:rsidR="00BE0B19" w:rsidRPr="00AE47C6" w:rsidRDefault="00BE0B19" w:rsidP="00BE0B19">
      <w:pPr>
        <w:spacing w:after="0" w:line="360" w:lineRule="auto"/>
        <w:ind w:firstLine="709"/>
        <w:jc w:val="both"/>
        <w:rPr>
          <w:rFonts w:ascii="Times New Roman" w:eastAsia="SimSun" w:hAnsi="Times New Roman"/>
          <w:b/>
          <w:sz w:val="24"/>
          <w:szCs w:val="24"/>
          <w:lang w:eastAsia="ja-JP"/>
        </w:rPr>
      </w:pPr>
      <w:r w:rsidRPr="00AE47C6">
        <w:rPr>
          <w:rFonts w:ascii="Times New Roman" w:eastAsia="SimSun" w:hAnsi="Times New Roman"/>
          <w:b/>
          <w:sz w:val="24"/>
          <w:szCs w:val="24"/>
          <w:lang w:eastAsia="ja-JP"/>
        </w:rPr>
        <w:t xml:space="preserve">Инхибитори на ацетилхолинестеразата </w:t>
      </w:r>
    </w:p>
    <w:p w14:paraId="7F2260AF" w14:textId="77777777" w:rsidR="00BE0B19" w:rsidRPr="00AE47C6" w:rsidRDefault="00BE0B19" w:rsidP="00BE0B19">
      <w:pPr>
        <w:numPr>
          <w:ilvl w:val="0"/>
          <w:numId w:val="397"/>
        </w:numPr>
        <w:spacing w:after="0" w:line="360" w:lineRule="auto"/>
        <w:jc w:val="both"/>
        <w:rPr>
          <w:rFonts w:ascii="Times New Roman" w:eastAsia="SimSun" w:hAnsi="Times New Roman"/>
          <w:b/>
          <w:sz w:val="24"/>
          <w:szCs w:val="24"/>
          <w:lang w:eastAsia="ja-JP"/>
        </w:rPr>
      </w:pPr>
      <w:r w:rsidRPr="00AE47C6">
        <w:rPr>
          <w:rFonts w:ascii="Times New Roman" w:eastAsia="SimSun" w:hAnsi="Times New Roman"/>
          <w:i/>
          <w:snapToGrid w:val="0"/>
          <w:sz w:val="24"/>
          <w:szCs w:val="24"/>
        </w:rPr>
        <w:t>Rivastigmine</w:t>
      </w:r>
      <w:r w:rsidRPr="00AE47C6">
        <w:rPr>
          <w:rFonts w:ascii="Times New Roman" w:eastAsia="SimSun" w:hAnsi="Times New Roman"/>
          <w:b/>
          <w:snapToGrid w:val="0"/>
          <w:sz w:val="24"/>
          <w:szCs w:val="24"/>
        </w:rPr>
        <w:t>–</w:t>
      </w:r>
      <w:r w:rsidRPr="00AE47C6">
        <w:rPr>
          <w:rFonts w:ascii="Times New Roman" w:eastAsia="SimSun" w:hAnsi="Times New Roman"/>
          <w:snapToGrid w:val="0"/>
          <w:sz w:val="24"/>
          <w:szCs w:val="24"/>
        </w:rPr>
        <w:t xml:space="preserve">6-12 </w:t>
      </w:r>
      <w:r w:rsidRPr="00AE47C6">
        <w:rPr>
          <w:rFonts w:ascii="Times New Roman" w:eastAsia="SimSun" w:hAnsi="Times New Roman"/>
          <w:sz w:val="24"/>
          <w:szCs w:val="24"/>
          <w:lang w:eastAsia="ja-JP"/>
        </w:rPr>
        <w:t>mg дневно</w:t>
      </w:r>
    </w:p>
    <w:p w14:paraId="64E40C23" w14:textId="77777777" w:rsidR="00BE0B19" w:rsidRPr="00AE47C6" w:rsidRDefault="00BE0B19" w:rsidP="00BE0B19">
      <w:pPr>
        <w:numPr>
          <w:ilvl w:val="0"/>
          <w:numId w:val="397"/>
        </w:numPr>
        <w:spacing w:after="0" w:line="360" w:lineRule="auto"/>
        <w:jc w:val="both"/>
        <w:rPr>
          <w:rFonts w:ascii="Times New Roman" w:eastAsia="SimSun" w:hAnsi="Times New Roman"/>
          <w:snapToGrid w:val="0"/>
          <w:sz w:val="24"/>
          <w:szCs w:val="24"/>
        </w:rPr>
      </w:pPr>
      <w:r w:rsidRPr="00AE47C6">
        <w:rPr>
          <w:rFonts w:ascii="Times New Roman" w:eastAsia="SimSun" w:hAnsi="Times New Roman"/>
          <w:i/>
          <w:sz w:val="24"/>
          <w:szCs w:val="24"/>
          <w:lang w:eastAsia="ja-JP"/>
        </w:rPr>
        <w:t xml:space="preserve">Donepezil </w:t>
      </w:r>
      <w:r w:rsidRPr="00AE47C6">
        <w:rPr>
          <w:rFonts w:ascii="Times New Roman" w:eastAsia="SimSun" w:hAnsi="Times New Roman"/>
          <w:b/>
          <w:snapToGrid w:val="0"/>
          <w:sz w:val="24"/>
          <w:szCs w:val="24"/>
        </w:rPr>
        <w:t>–</w:t>
      </w:r>
      <w:r w:rsidRPr="00AE47C6">
        <w:rPr>
          <w:rFonts w:ascii="Times New Roman" w:eastAsia="SimSun" w:hAnsi="Times New Roman"/>
          <w:sz w:val="24"/>
          <w:szCs w:val="24"/>
          <w:lang w:eastAsia="ja-JP"/>
        </w:rPr>
        <w:t>5-10 mg дневно</w:t>
      </w:r>
    </w:p>
    <w:p w14:paraId="1BB29094" w14:textId="77777777" w:rsidR="00BE0B19" w:rsidRPr="00AE47C6" w:rsidRDefault="00BE0B19" w:rsidP="00BE0B19">
      <w:pPr>
        <w:numPr>
          <w:ilvl w:val="0"/>
          <w:numId w:val="397"/>
        </w:numPr>
        <w:spacing w:after="0" w:line="360" w:lineRule="auto"/>
        <w:jc w:val="both"/>
        <w:rPr>
          <w:rFonts w:ascii="Times New Roman" w:eastAsia="SimSun" w:hAnsi="Times New Roman"/>
          <w:sz w:val="24"/>
          <w:szCs w:val="24"/>
          <w:lang w:eastAsia="ja-JP"/>
        </w:rPr>
      </w:pPr>
      <w:r w:rsidRPr="00AE47C6">
        <w:rPr>
          <w:rFonts w:ascii="Times New Roman" w:eastAsia="SimSun" w:hAnsi="Times New Roman"/>
          <w:i/>
          <w:snapToGrid w:val="0"/>
          <w:sz w:val="24"/>
          <w:szCs w:val="24"/>
        </w:rPr>
        <w:t xml:space="preserve">Galantamine </w:t>
      </w:r>
      <w:r w:rsidRPr="00AE47C6">
        <w:rPr>
          <w:rFonts w:ascii="Times New Roman" w:eastAsia="SimSun" w:hAnsi="Times New Roman"/>
          <w:b/>
          <w:snapToGrid w:val="0"/>
          <w:sz w:val="24"/>
          <w:szCs w:val="24"/>
        </w:rPr>
        <w:t>–</w:t>
      </w:r>
      <w:r w:rsidRPr="00AE47C6">
        <w:rPr>
          <w:rFonts w:ascii="Times New Roman" w:eastAsia="SimSun" w:hAnsi="Times New Roman"/>
          <w:sz w:val="24"/>
          <w:szCs w:val="24"/>
          <w:lang w:eastAsia="ja-JP"/>
        </w:rPr>
        <w:t xml:space="preserve">20-30 mg дневно </w:t>
      </w:r>
    </w:p>
    <w:p w14:paraId="2C614CE4" w14:textId="77777777" w:rsidR="00BE0B19" w:rsidRPr="00AE47C6" w:rsidRDefault="00BE0B19" w:rsidP="00BE0B19">
      <w:pPr>
        <w:spacing w:after="0" w:line="360" w:lineRule="auto"/>
        <w:ind w:firstLine="851"/>
        <w:jc w:val="both"/>
        <w:rPr>
          <w:rFonts w:ascii="Times New Roman" w:eastAsia="SimSun" w:hAnsi="Times New Roman"/>
          <w:b/>
          <w:sz w:val="24"/>
          <w:szCs w:val="24"/>
        </w:rPr>
      </w:pPr>
    </w:p>
    <w:p w14:paraId="2BCF997A"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169" w:name="_Toc155651782"/>
      <w:bookmarkStart w:id="170" w:name="_Toc164075914"/>
      <w:r w:rsidRPr="00AE47C6">
        <w:rPr>
          <w:rFonts w:ascii="Times New Roman" w:eastAsia="SimSun" w:hAnsi="Times New Roman"/>
          <w:b/>
          <w:sz w:val="24"/>
          <w:szCs w:val="24"/>
        </w:rPr>
        <w:t>7.6. Прогресивната супрануклеарна парализа (ПCП)</w:t>
      </w:r>
      <w:bookmarkEnd w:id="169"/>
      <w:bookmarkEnd w:id="170"/>
    </w:p>
    <w:p w14:paraId="563F9E35"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61A53CA1"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(Виж “6. Дегенеративни заболявания на нервната система”). </w:t>
      </w:r>
    </w:p>
    <w:p w14:paraId="1B13E37A"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p>
    <w:p w14:paraId="650A83E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Cs/>
          <w:sz w:val="24"/>
          <w:szCs w:val="24"/>
        </w:rPr>
        <w:t>Прогресивната супрануклеарна парализа (ПCП)</w:t>
      </w:r>
      <w:r w:rsidRPr="00AE47C6">
        <w:rPr>
          <w:rFonts w:ascii="Times New Roman" w:eastAsia="SimSun" w:hAnsi="Times New Roman"/>
          <w:bCs/>
          <w:sz w:val="24"/>
          <w:szCs w:val="24"/>
        </w:rPr>
        <w:t xml:space="preserve"> e прогресивно дегенеративно заболяване. Болестността се изчислява на 6,4 на 100 000 души. Представлява 4% до 10% от всички случаи с паркинсонизъм. </w:t>
      </w:r>
    </w:p>
    <w:p w14:paraId="5F72304B" w14:textId="77777777" w:rsidR="00BE0B19" w:rsidRPr="00AE47C6" w:rsidRDefault="00BE0B19" w:rsidP="00BE0B19">
      <w:pPr>
        <w:autoSpaceDE w:val="0"/>
        <w:autoSpaceDN w:val="0"/>
        <w:adjustRightInd w:val="0"/>
        <w:spacing w:after="0" w:line="360" w:lineRule="auto"/>
        <w:ind w:firstLine="567"/>
        <w:jc w:val="both"/>
        <w:rPr>
          <w:rFonts w:ascii="Times New Roman" w:eastAsia="SimSun" w:hAnsi="Times New Roman"/>
          <w:sz w:val="24"/>
          <w:szCs w:val="24"/>
        </w:rPr>
      </w:pPr>
      <w:r w:rsidRPr="00AE47C6">
        <w:rPr>
          <w:rFonts w:ascii="Times New Roman" w:eastAsia="SimSun" w:hAnsi="Times New Roman"/>
          <w:sz w:val="24"/>
          <w:szCs w:val="24"/>
        </w:rPr>
        <w:t>В клиничната практика за диагностика на заболяване най-често се използват критериите, предложени от NINDS-SPSP през 1996 г. Голямо европейско клинико-патологично проучване от 2013 г. установява, че NINDS-SPSP критериите за вероятна ПСП са с най-голяма специфичност в сравнение с други критерии, докато комбинацията от критерии за възможна и вероятна ПСП се отличава с най-голяма сензитивност. За рутинната клинична практика, където високата сензитивност е от по-голямо значение, се препоръчва използването на комбинацията от критерии за възможна и вероятна ПСП съгласно NINDS-SPSP.</w:t>
      </w:r>
    </w:p>
    <w:p w14:paraId="3AB39A1E" w14:textId="77777777" w:rsidR="00BE0B19" w:rsidRPr="00AE47C6" w:rsidRDefault="00BE0B19" w:rsidP="00BE0B19">
      <w:pPr>
        <w:spacing w:after="0" w:line="360" w:lineRule="auto"/>
        <w:ind w:firstLine="709"/>
        <w:jc w:val="both"/>
        <w:rPr>
          <w:rFonts w:ascii="Times New Roman" w:eastAsia="Times-Roman" w:hAnsi="Times New Roman"/>
          <w:sz w:val="24"/>
          <w:szCs w:val="24"/>
        </w:rPr>
      </w:pPr>
      <w:r w:rsidRPr="00AE47C6">
        <w:rPr>
          <w:rFonts w:ascii="Times New Roman" w:eastAsia="SimSun" w:hAnsi="Times New Roman"/>
          <w:sz w:val="24"/>
          <w:szCs w:val="24"/>
        </w:rPr>
        <w:t xml:space="preserve">NINDS-SPSP критериите за вероятна/възможна ПСП включват развитие с начало след 40-годишна възраст на забавеност на вертикалните сакади или вертикална погледна пареза в съчетание с изразена постурална нестабилност с падания от първата година на заболяването. Характерни за заболяването са също развитието на симетричен паркинсонизъм (т.е. симетрична акинезия или ригидност, по-изразени проксимално от дистално), абнормна поза на тила (особено ретроколис), лош или липсващ отговор от Леводопа, ранна дизартрия, ранна дисфагия, ранна апатия и </w:t>
      </w:r>
      <w:r w:rsidRPr="00AE47C6">
        <w:rPr>
          <w:rFonts w:ascii="Times New Roman" w:eastAsia="SimSun" w:hAnsi="Times New Roman"/>
          <w:bCs/>
          <w:sz w:val="24"/>
          <w:szCs w:val="24"/>
        </w:rPr>
        <w:t>ранно начало на специфични фронтален тип когнитивни нарушения.</w:t>
      </w:r>
      <w:r w:rsidRPr="00AE47C6">
        <w:rPr>
          <w:rFonts w:ascii="Times New Roman" w:eastAsia="SimSun" w:hAnsi="Times New Roman"/>
          <w:sz w:val="24"/>
          <w:szCs w:val="24"/>
        </w:rPr>
        <w:t xml:space="preserve"> Подобно на другите заболявания и тук п</w:t>
      </w:r>
      <w:r w:rsidRPr="00AE47C6">
        <w:rPr>
          <w:rFonts w:ascii="Times New Roman" w:eastAsia="Times-Roman" w:hAnsi="Times New Roman"/>
          <w:sz w:val="24"/>
          <w:szCs w:val="24"/>
        </w:rPr>
        <w:t>рез последните години задълбочено се изследват редица други биомаркери (вкл. невроизобразяващи, ликворни и др.), които биха могли да допринесат допълнително за възможно най-ранната диагноза и диференциална диагноза от другите дементни състояния и заболявания.</w:t>
      </w:r>
    </w:p>
    <w:p w14:paraId="172C47D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Лечение.</w:t>
      </w:r>
      <w:r w:rsidRPr="00AE47C6">
        <w:rPr>
          <w:rFonts w:ascii="Times New Roman" w:eastAsia="SimSun" w:hAnsi="Times New Roman"/>
          <w:sz w:val="24"/>
          <w:szCs w:val="24"/>
        </w:rPr>
        <w:t xml:space="preserve"> Болните отговарят слабо и за кратко време на допаминергичната терапия. </w:t>
      </w:r>
    </w:p>
    <w:p w14:paraId="18CBEB61"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171" w:name="_Toc155651783"/>
      <w:bookmarkStart w:id="172" w:name="_Toc164075915"/>
      <w:r w:rsidRPr="00AE47C6">
        <w:rPr>
          <w:rFonts w:ascii="Times New Roman" w:eastAsia="SimSun" w:hAnsi="Times New Roman"/>
          <w:b/>
          <w:sz w:val="24"/>
          <w:szCs w:val="24"/>
        </w:rPr>
        <w:t>7.7. Кортикобазална дегенерация (КБД)</w:t>
      </w:r>
      <w:bookmarkEnd w:id="171"/>
      <w:bookmarkEnd w:id="172"/>
    </w:p>
    <w:p w14:paraId="6211A28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Кортикобазалната дегенерация (КБД)</w:t>
      </w:r>
      <w:r w:rsidRPr="00AE47C6">
        <w:rPr>
          <w:rFonts w:ascii="Times New Roman" w:eastAsia="SimSun" w:hAnsi="Times New Roman"/>
          <w:sz w:val="24"/>
          <w:szCs w:val="24"/>
        </w:rPr>
        <w:t xml:space="preserve"> е прогресивно невродегенеративно заболяване, което типично се представя с асиметричен паркинсонизъм и корови дисфункции. Редица проучвания сочат, че когнитивните нарушения са чест симптом при КБД, като деменцията може да е дори начален белег на заболяването.</w:t>
      </w:r>
      <w:r w:rsidRPr="00AE47C6">
        <w:rPr>
          <w:rFonts w:ascii="Times New Roman" w:eastAsia="SimSun" w:hAnsi="Times New Roman"/>
          <w:sz w:val="24"/>
          <w:szCs w:val="24"/>
        </w:rPr>
        <w:tab/>
      </w:r>
    </w:p>
    <w:p w14:paraId="59952162" w14:textId="77777777" w:rsidR="00BE0B19" w:rsidRPr="00AE47C6" w:rsidRDefault="00BE0B19" w:rsidP="00BE0B19">
      <w:pPr>
        <w:autoSpaceDE w:val="0"/>
        <w:autoSpaceDN w:val="0"/>
        <w:adjustRightInd w:val="0"/>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 xml:space="preserve">Съгласно настоящите международни критерии от 2013 г. диагнозата вероятна КБД включва подмолно начало и бавна и постепенна прогресия на оплаквания с давност от поне 1 година при пациент над 50-годишна възраст. Клиничната картина включва асиметрично представяне на поне 2 от следните симптоми: ригидност/акинезия, дистония или миоклония на крайник и поне 2 от следните: апраксия (оробукална или на крайник), кортикален сензорен дефицит или феномен на чуждия крайник). Клиничната картина би могла да включва поне 1 от горните симптоми в съчетание с дисекзекутивни нарушения, поведенчески/личностни промени, зрително-пространствени нарушения и/или специфични нарушения в речта. </w:t>
      </w:r>
    </w:p>
    <w:p w14:paraId="492E8E9C" w14:textId="77777777" w:rsidR="00BE0B19" w:rsidRPr="00AE47C6" w:rsidRDefault="00BE0B19" w:rsidP="00BE0B19">
      <w:pPr>
        <w:autoSpaceDE w:val="0"/>
        <w:autoSpaceDN w:val="0"/>
        <w:adjustRightInd w:val="0"/>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За изключващи критерии за заболяването се приемат наличието на класически 4-Hz ПБ тремор в покой, много добър и продължителен Леводопа отговор, наличие на халюцинации, дизавтономия, изразени малкомозъчни симптоми, засягане на централен и периферен мотоневрон и/или семантична първично прогресивна афазия в клиничната изява.</w:t>
      </w:r>
    </w:p>
    <w:p w14:paraId="1A21C0A1" w14:textId="77777777" w:rsidR="00BE0B19" w:rsidRPr="00AE47C6" w:rsidRDefault="00BE0B19" w:rsidP="00BE0B19">
      <w:pPr>
        <w:tabs>
          <w:tab w:val="num" w:pos="-241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Наличието на голямо разнообразие в клиничната картина на заболяването води обаче до значимо припокриване на изявата му с тези на другите по-горе споменати дегенеративни деменции. Това води от своя страна до относително ниска сензитивност и специфичност на критериите, базирани изцяло само на клиничните симптоми. През последните няколко години се обръща особено внимание на необходимостта от използване на допълнителни биомаркери (невроизобразяващи, ликворни) с оглед диференциране на КБД от другите деменции.</w:t>
      </w:r>
    </w:p>
    <w:p w14:paraId="1BE79EA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Лечение.</w:t>
      </w:r>
      <w:r w:rsidRPr="00AE47C6">
        <w:rPr>
          <w:rFonts w:ascii="Times New Roman" w:eastAsia="SimSun" w:hAnsi="Times New Roman"/>
          <w:sz w:val="24"/>
          <w:szCs w:val="24"/>
        </w:rPr>
        <w:t xml:space="preserve"> Болните отговарят слабо и за кратко време на допаминергичната терапия. </w:t>
      </w:r>
    </w:p>
    <w:p w14:paraId="1FBF49E9"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173" w:name="_Toc155651784"/>
      <w:bookmarkStart w:id="174" w:name="_Toc164075916"/>
      <w:r w:rsidRPr="00AE47C6">
        <w:rPr>
          <w:rFonts w:ascii="Times New Roman" w:eastAsia="SimSun" w:hAnsi="Times New Roman"/>
          <w:b/>
          <w:sz w:val="24"/>
          <w:szCs w:val="24"/>
        </w:rPr>
        <w:t>7.8. Деменция при болестта на Huntington.</w:t>
      </w:r>
      <w:bookmarkEnd w:id="173"/>
      <w:bookmarkEnd w:id="174"/>
      <w:r w:rsidRPr="00AE47C6">
        <w:rPr>
          <w:rFonts w:ascii="Times New Roman" w:eastAsia="SimSun" w:hAnsi="Times New Roman"/>
          <w:b/>
          <w:sz w:val="24"/>
          <w:szCs w:val="24"/>
        </w:rPr>
        <w:t xml:space="preserve"> </w:t>
      </w:r>
    </w:p>
    <w:p w14:paraId="08833B2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Затруднения в диагнозата възникват при липса на фамилна анамнеза и манифестиране на когнитивните и психичните нарушения преди хореиформените хиперкинези. С МРТ се установява атрофия на опашатото ядро. </w:t>
      </w:r>
    </w:p>
    <w:p w14:paraId="2D81E46C"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175" w:name="_Toc155651785"/>
      <w:bookmarkStart w:id="176" w:name="_Toc164075917"/>
      <w:r w:rsidRPr="00AE47C6">
        <w:rPr>
          <w:rFonts w:ascii="Times New Roman" w:eastAsia="SimSun" w:hAnsi="Times New Roman"/>
          <w:b/>
          <w:sz w:val="24"/>
          <w:szCs w:val="24"/>
        </w:rPr>
        <w:t>7.9. Деменция, свързана със злоупотреба на алкохол</w:t>
      </w:r>
      <w:bookmarkEnd w:id="175"/>
      <w:bookmarkEnd w:id="176"/>
    </w:p>
    <w:p w14:paraId="6B24CA1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Представлява 4-5% от всички деменции и се диагностицира при изключване на всички други причини. Рядко започва преди 35 годишна възраст. Диференциалната диагноза се затруднява от едновременното наличие на БА или СД. В полза на алкохолната деменция са КТ данни за частично отзвучаване на коровата атрофия и клиничното подобрение след няколко месечна абстиненция.</w:t>
      </w:r>
    </w:p>
    <w:p w14:paraId="7D6AB44A"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177" w:name="_Toc155651786"/>
      <w:bookmarkStart w:id="178" w:name="_Toc164075918"/>
      <w:r w:rsidRPr="00AE47C6">
        <w:rPr>
          <w:rFonts w:ascii="Times New Roman" w:eastAsia="SimSun" w:hAnsi="Times New Roman"/>
          <w:b/>
          <w:sz w:val="24"/>
          <w:szCs w:val="24"/>
        </w:rPr>
        <w:t>7.10. Трансмисивни деменции</w:t>
      </w:r>
      <w:bookmarkEnd w:id="177"/>
      <w:bookmarkEnd w:id="178"/>
      <w:r w:rsidRPr="00AE47C6">
        <w:rPr>
          <w:rFonts w:ascii="Times New Roman" w:eastAsia="SimSun" w:hAnsi="Times New Roman"/>
          <w:b/>
          <w:sz w:val="24"/>
          <w:szCs w:val="24"/>
        </w:rPr>
        <w:t xml:space="preserve"> </w:t>
      </w:r>
    </w:p>
    <w:p w14:paraId="0193818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 xml:space="preserve">Деменцията при СПИН </w:t>
      </w:r>
      <w:r w:rsidRPr="00AE47C6">
        <w:rPr>
          <w:rFonts w:ascii="Times New Roman" w:eastAsia="SimSun" w:hAnsi="Times New Roman"/>
          <w:sz w:val="24"/>
          <w:szCs w:val="24"/>
        </w:rPr>
        <w:t>обикновено протича с постепенна, бавна прогресия и по-рядко – с внезапно начало и бързо развитие. SPECT визуализира глобална редукция в натрупването на радионуклеида. Важно значение има доказването на HIV инфекцията.</w:t>
      </w:r>
    </w:p>
    <w:p w14:paraId="12DD019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Острата форма на </w:t>
      </w:r>
      <w:r w:rsidRPr="00AE47C6">
        <w:rPr>
          <w:rFonts w:ascii="Times New Roman" w:eastAsia="SimSun" w:hAnsi="Times New Roman"/>
          <w:b/>
          <w:i/>
          <w:sz w:val="24"/>
          <w:szCs w:val="24"/>
        </w:rPr>
        <w:t>болестта на Creutzfeldt-Jakob</w:t>
      </w:r>
      <w:r w:rsidRPr="00AE47C6">
        <w:rPr>
          <w:rFonts w:ascii="Times New Roman" w:eastAsia="SimSun" w:hAnsi="Times New Roman"/>
          <w:sz w:val="24"/>
          <w:szCs w:val="24"/>
        </w:rPr>
        <w:t xml:space="preserve"> с изразени когнитивни нарушения, ранни миоклонуси, малкомозъчни, пирамидни и екстрапирамидни симптоми, характерни промени в ЕЕГ и нормална КТ се разграничава лесно от БА, СД и СПИН.</w:t>
      </w:r>
    </w:p>
    <w:p w14:paraId="4393E19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 xml:space="preserve">Невросифилисът </w:t>
      </w:r>
      <w:r w:rsidRPr="00AE47C6">
        <w:rPr>
          <w:rFonts w:ascii="Times New Roman" w:eastAsia="SimSun" w:hAnsi="Times New Roman"/>
          <w:sz w:val="24"/>
          <w:szCs w:val="24"/>
        </w:rPr>
        <w:t>е причина за деменция изключително рядко (под 0,5% от всички деменции).</w:t>
      </w:r>
    </w:p>
    <w:p w14:paraId="1B4339D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i/>
          <w:sz w:val="24"/>
          <w:szCs w:val="24"/>
        </w:rPr>
        <w:t>Деменция при краниални травми.</w:t>
      </w:r>
      <w:r w:rsidRPr="00AE47C6">
        <w:rPr>
          <w:rFonts w:ascii="Times New Roman" w:eastAsia="SimSun" w:hAnsi="Times New Roman"/>
          <w:sz w:val="24"/>
          <w:szCs w:val="24"/>
        </w:rPr>
        <w:t xml:space="preserve"> Краниалната травма се приема като причина, когато началото на деменцията е свързано с нея. Изключение правят болните с хроничен субдурален хематом, които развиват прогресивен интелектуален дефицит. Деменцията при боксьори (dementia pugilistica) може да възникне дори и години след прекратяване на травмите. Съчетава се с огнищни неврологични симптоми.</w:t>
      </w:r>
    </w:p>
    <w:p w14:paraId="7D0F8BC7" w14:textId="77777777" w:rsidR="00BE0B19" w:rsidRPr="00AE47C6" w:rsidRDefault="00BE0B19" w:rsidP="00BE0B19">
      <w:pPr>
        <w:spacing w:after="0" w:line="360" w:lineRule="auto"/>
        <w:ind w:firstLine="709"/>
        <w:jc w:val="both"/>
        <w:rPr>
          <w:rFonts w:ascii="Times New Roman" w:eastAsia="SimSun" w:hAnsi="Times New Roman"/>
          <w:i/>
          <w:sz w:val="24"/>
          <w:szCs w:val="24"/>
        </w:rPr>
      </w:pPr>
      <w:r w:rsidRPr="00AE47C6">
        <w:rPr>
          <w:rFonts w:ascii="Times New Roman" w:eastAsia="SimSun" w:hAnsi="Times New Roman"/>
          <w:b/>
          <w:bCs/>
          <w:i/>
          <w:sz w:val="24"/>
          <w:szCs w:val="24"/>
        </w:rPr>
        <w:t>Деменция при множествена склероза.</w:t>
      </w:r>
      <w:r w:rsidRPr="00AE47C6">
        <w:rPr>
          <w:rFonts w:ascii="Times New Roman" w:eastAsia="SimSun" w:hAnsi="Times New Roman"/>
          <w:sz w:val="24"/>
          <w:szCs w:val="24"/>
        </w:rPr>
        <w:t xml:space="preserve"> Лекият интелектуален дефицит се свързва с локализацията и продължителността на заболяването. Трудности в диференциалната диагноза възникват в случаи с дементен синдром, включващ предимно психични симптоми. Младата възраст, типичните неврологични белези, визуализираните с МРТ плаки на демиелинизация и дифузната корова атрофия подкрепят диагнозата.</w:t>
      </w:r>
    </w:p>
    <w:p w14:paraId="58724FD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i/>
          <w:sz w:val="24"/>
          <w:szCs w:val="24"/>
        </w:rPr>
        <w:t>Деменцията при нормотензивна хидроцефалия</w:t>
      </w:r>
      <w:r w:rsidRPr="00AE47C6">
        <w:rPr>
          <w:rFonts w:ascii="Times New Roman" w:eastAsia="SimSun" w:hAnsi="Times New Roman"/>
          <w:sz w:val="24"/>
          <w:szCs w:val="24"/>
        </w:rPr>
        <w:t xml:space="preserve"> се отнася към потенциално обратимите</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Тя може да бъде идиопатична или вторична. Триадата от клинични симптоми – атаксия на походката, инконтиненция на урината и деменция с бързо начало при относително млади пациенти с анамнеза за краниална травма, менингит или субарахноиден кръвоизлив, улеснява диагнозата. Протичането е прогресивно, понякога с краткотрайни флуктуации. Може да се сгреши с деменция при БА или ПБ. КТ изобразява изразено разширение на вентрикулите с перивентрикулни хиподензни зони и минимална външна хидроцефалия.</w:t>
      </w:r>
    </w:p>
    <w:p w14:paraId="346E09B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i/>
          <w:sz w:val="24"/>
          <w:szCs w:val="24"/>
        </w:rPr>
        <w:t>Деменцията при хипотиреоидизъм</w:t>
      </w:r>
      <w:r w:rsidRPr="00AE47C6">
        <w:rPr>
          <w:rFonts w:ascii="Times New Roman" w:eastAsia="SimSun" w:hAnsi="Times New Roman"/>
          <w:sz w:val="24"/>
          <w:szCs w:val="24"/>
        </w:rPr>
        <w:t xml:space="preserve"> протича клинично със съчетание от намалена физическа активност и сънливост, паметови нарушения, мудност и микседем. Препоръчва се изследване на тироидните хормони. При съответно лечение е обратима.</w:t>
      </w:r>
    </w:p>
    <w:p w14:paraId="7C7812D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i/>
          <w:sz w:val="24"/>
          <w:szCs w:val="24"/>
        </w:rPr>
        <w:t>Деменция при дефицит на витамин В</w:t>
      </w:r>
      <w:r w:rsidRPr="00AE47C6">
        <w:rPr>
          <w:rFonts w:ascii="Times New Roman" w:eastAsia="SimSun" w:hAnsi="Times New Roman"/>
          <w:b/>
          <w:bCs/>
          <w:i/>
          <w:sz w:val="24"/>
          <w:szCs w:val="24"/>
          <w:vertAlign w:val="subscript"/>
        </w:rPr>
        <w:t>12</w:t>
      </w:r>
      <w:r w:rsidRPr="00AE47C6">
        <w:rPr>
          <w:rFonts w:ascii="Times New Roman" w:eastAsia="SimSun" w:hAnsi="Times New Roman"/>
          <w:b/>
          <w:bCs/>
          <w:i/>
          <w:sz w:val="24"/>
          <w:szCs w:val="24"/>
        </w:rPr>
        <w:t xml:space="preserve"> и фолиева киселина.</w:t>
      </w:r>
      <w:r w:rsidRPr="00AE47C6">
        <w:rPr>
          <w:rFonts w:ascii="Times New Roman" w:eastAsia="SimSun" w:hAnsi="Times New Roman"/>
          <w:sz w:val="24"/>
          <w:szCs w:val="24"/>
        </w:rPr>
        <w:t xml:space="preserve"> Дефицитът на вит. В</w:t>
      </w:r>
      <w:r w:rsidRPr="00AE47C6">
        <w:rPr>
          <w:rFonts w:ascii="Times New Roman" w:eastAsia="SimSun" w:hAnsi="Times New Roman"/>
          <w:sz w:val="24"/>
          <w:szCs w:val="24"/>
          <w:vertAlign w:val="subscript"/>
        </w:rPr>
        <w:t>12</w:t>
      </w:r>
      <w:r w:rsidRPr="00AE47C6">
        <w:rPr>
          <w:rFonts w:ascii="Times New Roman" w:eastAsia="SimSun" w:hAnsi="Times New Roman"/>
          <w:sz w:val="24"/>
          <w:szCs w:val="24"/>
        </w:rPr>
        <w:t xml:space="preserve"> се открива често при първична дегенеративна деменция. Въпреки липсата на доказателства за причинна връзка между витаминния дефицит и възникването на деменция, се препоръчват изследвания в тази насока.</w:t>
      </w:r>
    </w:p>
    <w:p w14:paraId="2578908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i/>
          <w:sz w:val="24"/>
          <w:szCs w:val="24"/>
        </w:rPr>
        <w:t xml:space="preserve">Деменциите при спиноцеребеларни дегенерации </w:t>
      </w:r>
      <w:r w:rsidRPr="00AE47C6">
        <w:rPr>
          <w:rFonts w:ascii="Times New Roman" w:eastAsia="SimSun" w:hAnsi="Times New Roman"/>
          <w:sz w:val="24"/>
          <w:szCs w:val="24"/>
        </w:rPr>
        <w:t>са спорадични или фамилни</w:t>
      </w:r>
      <w:r w:rsidRPr="00AE47C6">
        <w:rPr>
          <w:rFonts w:ascii="Times New Roman" w:eastAsia="SimSun" w:hAnsi="Times New Roman"/>
          <w:i/>
          <w:sz w:val="24"/>
          <w:szCs w:val="24"/>
        </w:rPr>
        <w:t>.</w:t>
      </w:r>
      <w:r w:rsidRPr="00AE47C6">
        <w:rPr>
          <w:rFonts w:ascii="Times New Roman" w:eastAsia="SimSun" w:hAnsi="Times New Roman"/>
          <w:sz w:val="24"/>
          <w:szCs w:val="24"/>
        </w:rPr>
        <w:t xml:space="preserve"> Редица идиопатични дегенеративни заболявания, които засягат малкия мозък и неговите връзки, съчетават симптоми от увреждане на екстрапирамидната и автономната нервна система с деменция. Затрудненията в диагнозата възникват при проява на деменцията у членове на фамилията без останалите симптоми на спиноцеребеларни дегенерации. </w:t>
      </w:r>
    </w:p>
    <w:p w14:paraId="1D4CBE8B" w14:textId="77777777" w:rsidR="00BE0B19" w:rsidRPr="00AE47C6" w:rsidRDefault="00BE0B19" w:rsidP="00BE0B19">
      <w:pPr>
        <w:spacing w:after="0" w:line="360" w:lineRule="auto"/>
        <w:ind w:firstLine="709"/>
        <w:jc w:val="both"/>
        <w:rPr>
          <w:rFonts w:ascii="Times New Roman" w:eastAsia="SimSun" w:hAnsi="Times New Roman"/>
          <w:sz w:val="24"/>
          <w:szCs w:val="24"/>
        </w:rPr>
      </w:pPr>
    </w:p>
    <w:p w14:paraId="2436A2E1" w14:textId="77777777" w:rsidR="00BE0B19" w:rsidRPr="00AE47C6" w:rsidRDefault="00BE0B19" w:rsidP="00BE0B19">
      <w:pPr>
        <w:keepNext/>
        <w:keepLines/>
        <w:pageBreakBefore/>
        <w:spacing w:before="480" w:after="480"/>
        <w:outlineLvl w:val="0"/>
        <w:rPr>
          <w:rFonts w:ascii="Times New Roman" w:eastAsia="SimSun" w:hAnsi="Times New Roman"/>
          <w:b/>
          <w:bCs/>
          <w:sz w:val="28"/>
          <w:szCs w:val="28"/>
        </w:rPr>
      </w:pPr>
      <w:bookmarkStart w:id="179" w:name="_Toc155651787"/>
      <w:bookmarkStart w:id="180" w:name="_Toc164075919"/>
      <w:r w:rsidRPr="00AE47C6">
        <w:rPr>
          <w:rFonts w:ascii="Times New Roman" w:eastAsia="SimSun" w:hAnsi="Times New Roman"/>
          <w:b/>
          <w:bCs/>
          <w:sz w:val="28"/>
          <w:szCs w:val="28"/>
        </w:rPr>
        <w:t>8. Заболявания на нервно-мускулното предаване</w:t>
      </w:r>
      <w:bookmarkEnd w:id="179"/>
      <w:bookmarkEnd w:id="180"/>
    </w:p>
    <w:p w14:paraId="5F13570C"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181" w:name="_Toc155651788"/>
      <w:bookmarkStart w:id="182" w:name="_Toc164075920"/>
      <w:r w:rsidRPr="00AE47C6">
        <w:rPr>
          <w:rFonts w:ascii="Times New Roman" w:eastAsia="SimSun" w:hAnsi="Times New Roman"/>
          <w:b/>
          <w:sz w:val="24"/>
          <w:szCs w:val="24"/>
        </w:rPr>
        <w:t>8.1. Myasthenia gravis (МГ)</w:t>
      </w:r>
      <w:bookmarkEnd w:id="181"/>
      <w:bookmarkEnd w:id="182"/>
    </w:p>
    <w:p w14:paraId="03FF41E0"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Myasthenia gravis е неврологично заболяване, което се среща рядко в общата практика и това затруднява неговата диагноза и лечение. Въпреки че има широко разпространено съгласие относно използването на много медикаменти за лечение на миастения, няма международно приет стандарт за това. Тъй като myasthenia gravis е хетерогенно заболяване, не съществува най-добър терапевтичен подход за всички пациенти. Малкото рандомизирани проучвания при тези пациенти имат ограничена обобщеност. Неконтролираните проучвания са с ограничена значимост. Настоящият консенсус е съобразен с международните препоръки и личния ни опит и има за цел да насочи клиницистите относно подхода за диагностика и лечение на myasthenia gravis.</w:t>
      </w:r>
    </w:p>
    <w:p w14:paraId="728EF20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Миастения гравис (МГ)</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е автоимунно заболяване, причинено от антитела против ацетилхолиновите рецептори (AChR), мускулно-специфичната тирозин киназа (MuSK) и други AChR-свързани протеини в постсинаптичната мембрана. Характеризира се с болестна уморяемост на напречно-набраздената мускулатура и мускулна слабост, поради нарушено предаване на нервните импулси на нивото на нервно-мускулния синапс.</w:t>
      </w:r>
    </w:p>
    <w:p w14:paraId="70E81DE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Cs/>
          <w:sz w:val="24"/>
          <w:szCs w:val="24"/>
        </w:rPr>
        <w:t>Болестността</w:t>
      </w:r>
      <w:r w:rsidRPr="00AE47C6">
        <w:rPr>
          <w:rFonts w:ascii="Times New Roman" w:eastAsia="SimSun" w:hAnsi="Times New Roman"/>
          <w:sz w:val="24"/>
          <w:szCs w:val="24"/>
        </w:rPr>
        <w:t xml:space="preserve"> е около 15-25/100 000, с годишна заболяемост от 1 на 100 000 население. Началото на заболяването при анти-AChR форма е бимодално – с ранен пик около 30 години и късен – около 70-80 години. В Европа повечето пациенти са с начало на оплакванията след 50 годишна възраст. При миастения с ранно начало отношението на жени към мъже е 3:1, докато при миастения с късно начало страдат по-често мъжете. Факторите на околната среда са все още слабо проучени. МГ с анти-MuSK антитела има географско различие в Европа с характерен южно-северен градиент – най-много случаи се наблюдават в Средиземноморието, а най-малко в Скандинавските страни. </w:t>
      </w:r>
    </w:p>
    <w:p w14:paraId="13D12B93"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b/>
          <w:bCs/>
          <w:sz w:val="24"/>
          <w:szCs w:val="24"/>
        </w:rPr>
        <w:t>Етиологията</w:t>
      </w:r>
      <w:r w:rsidRPr="00AE47C6">
        <w:rPr>
          <w:rFonts w:ascii="Times New Roman" w:eastAsia="SimSun" w:hAnsi="Times New Roman"/>
          <w:sz w:val="24"/>
          <w:szCs w:val="24"/>
        </w:rPr>
        <w:t xml:space="preserve"> е свързана с влиянието на генетични и фактори на околната среда. Доказателство за това е конкордантността от 35% при монозиготни и 5% при хетерозиготни близнаци за развитие на МГ. Открити са множество гени, включително HLA гени, отговорни за повишения риск за развитие на МГ. Докато някои от тях водят до различни автоимунни заболявания, други са по-специфични за МГ и определени типове МГ. Половите хормони също играят роля за предиспозицията към МГ. Те могат да обяснят и различното полово разпределение при миастения с ранно начало и миастения с късно начало и по-високото разпространение на заболяването сред млади жени и такива след раждане. Предполага се ролята на различни вируси, атакуващи тимуса. Някои имунотерапии против тумори, както и други автоимунни и ревматологични заболявания могат да индуцират myasthenia gravis.</w:t>
      </w:r>
    </w:p>
    <w:p w14:paraId="5A816078" w14:textId="77777777" w:rsidR="00BE0B19" w:rsidRPr="00AE47C6" w:rsidRDefault="00BE0B19" w:rsidP="00BE0B19">
      <w:pPr>
        <w:spacing w:after="0" w:line="360" w:lineRule="auto"/>
        <w:ind w:left="283" w:firstLine="708"/>
        <w:jc w:val="both"/>
        <w:rPr>
          <w:rFonts w:ascii="Times New Roman" w:eastAsia="SimSun" w:hAnsi="Times New Roman"/>
          <w:sz w:val="24"/>
          <w:szCs w:val="24"/>
        </w:rPr>
      </w:pPr>
      <w:r w:rsidRPr="00AE47C6">
        <w:rPr>
          <w:rFonts w:ascii="Times New Roman" w:eastAsia="SimSun" w:hAnsi="Times New Roman"/>
          <w:b/>
          <w:iCs/>
          <w:sz w:val="24"/>
          <w:szCs w:val="24"/>
        </w:rPr>
        <w:t>Патогенезата</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е с автоимунна, при участие на тимусната жлеза. Нарушението на нервно-мускулното предаване е свързано със значителна редукция на количеството на ацетилхолиновите рецептори в постсинаптичната мембрана на нервно-мускулния синапс. Увреждането се дължи на антитяло-медииран и комплемент-зависим автоимунен отговор с продукция на антитела. Последните могат да се разделят на две големи групи –  антитела към трансмембранни или външно-клетъчни протеини и към вътреклетъчни. Първата група антитела патологични за МГ директно (като анти-AChR антителата) или индиректно (като анти-MuSK антитела и анти-ниско-плътностен липопротеин рецептор-свързан протеин 4 (LPR4) антитела) засягат функцията на AChR в нервно-мускулния синапс, което води до нарушен йонен транспорт през мускулната мембрана и намалена мускулна контракция. Антитела към вътреклетъчните протеини (титин, рианодинови рецептори, кортактин) най-вероятно не са патологични за МГ, но могат да се използват като клиничен маркер за определяне на тежестта на заболяването, наличието на тимома или миопатия. Поради своята висока специфичност, последните не са застъпени в клиничната практика.</w:t>
      </w:r>
    </w:p>
    <w:p w14:paraId="305ED308" w14:textId="77777777" w:rsidR="00BE0B19" w:rsidRPr="00AE47C6" w:rsidRDefault="00BE0B19" w:rsidP="00BE0B19">
      <w:pPr>
        <w:spacing w:after="0" w:line="360" w:lineRule="auto"/>
        <w:ind w:firstLine="708"/>
        <w:jc w:val="both"/>
        <w:rPr>
          <w:rFonts w:ascii="Times New Roman" w:eastAsia="SimSun" w:hAnsi="Times New Roman"/>
          <w:b/>
          <w:bCs/>
          <w:i/>
          <w:iCs/>
          <w:sz w:val="24"/>
          <w:szCs w:val="24"/>
        </w:rPr>
      </w:pPr>
      <w:r w:rsidRPr="00AE47C6">
        <w:rPr>
          <w:rFonts w:ascii="Times New Roman" w:eastAsia="SimSun" w:hAnsi="Times New Roman"/>
          <w:b/>
          <w:iCs/>
          <w:sz w:val="24"/>
          <w:szCs w:val="24"/>
        </w:rPr>
        <w:t xml:space="preserve">Подгрупи на </w:t>
      </w:r>
      <w:r w:rsidRPr="00AE47C6">
        <w:rPr>
          <w:rFonts w:ascii="Times New Roman" w:eastAsia="SimSun" w:hAnsi="Times New Roman"/>
          <w:b/>
          <w:bCs/>
          <w:sz w:val="24"/>
          <w:szCs w:val="24"/>
        </w:rPr>
        <w:t>myasthenia gravis</w:t>
      </w:r>
    </w:p>
    <w:p w14:paraId="40D2A1EA" w14:textId="77777777" w:rsidR="00BE0B19" w:rsidRPr="00AE47C6" w:rsidRDefault="00BE0B19" w:rsidP="00BE0B19">
      <w:pPr>
        <w:spacing w:after="0" w:line="360" w:lineRule="auto"/>
        <w:ind w:firstLine="708"/>
        <w:jc w:val="both"/>
        <w:rPr>
          <w:rFonts w:ascii="Times New Roman" w:eastAsia="SimSun" w:hAnsi="Times New Roman"/>
          <w:b/>
          <w:bCs/>
          <w:i/>
          <w:iCs/>
          <w:sz w:val="24"/>
          <w:szCs w:val="24"/>
        </w:rPr>
      </w:pPr>
      <w:r w:rsidRPr="00AE47C6">
        <w:rPr>
          <w:rFonts w:ascii="Times New Roman" w:eastAsia="SimSun" w:hAnsi="Times New Roman"/>
          <w:b/>
          <w:bCs/>
          <w:i/>
          <w:iCs/>
          <w:sz w:val="24"/>
          <w:szCs w:val="24"/>
        </w:rPr>
        <w:t>Myasthenia gravis с ранно начало</w:t>
      </w:r>
    </w:p>
    <w:p w14:paraId="6B9A56D6"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 xml:space="preserve">Пациентите с тази форма наброяват около 20% от всички болни. Отношението на мъжете към жените е приблизително 3:1. Тази форма се асоциира с HLA-B8, DR3 и други автоимунни генни рискови локуси. При тях са налични анти-AChR антитела. Пациентите с тимома са изключени от тази група. Възможно е наличието на тимусна фоликуларна хиперплазия. </w:t>
      </w:r>
    </w:p>
    <w:p w14:paraId="1B023EDD"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Клинично първите симптоми възникват преди 50 годишна възраст. Характерна е генерализирана мускулна слабост, като цялата клинична картина се разгръща в първите три години на болестта. Характерна е и коморбидността с други автоимунни заболявания.</w:t>
      </w:r>
    </w:p>
    <w:p w14:paraId="40326626" w14:textId="77777777" w:rsidR="00BE0B19" w:rsidRPr="00AE47C6" w:rsidRDefault="00BE0B19" w:rsidP="00BE0B19">
      <w:pPr>
        <w:spacing w:after="0" w:line="360" w:lineRule="auto"/>
        <w:ind w:firstLine="708"/>
        <w:jc w:val="both"/>
        <w:rPr>
          <w:rFonts w:ascii="Times New Roman" w:eastAsia="SimSun" w:hAnsi="Times New Roman"/>
          <w:b/>
          <w:bCs/>
          <w:i/>
          <w:sz w:val="24"/>
          <w:szCs w:val="24"/>
        </w:rPr>
      </w:pPr>
      <w:r w:rsidRPr="00AE47C6">
        <w:rPr>
          <w:rFonts w:ascii="Times New Roman" w:eastAsia="SimSun" w:hAnsi="Times New Roman"/>
          <w:b/>
          <w:bCs/>
          <w:i/>
          <w:sz w:val="24"/>
          <w:szCs w:val="24"/>
        </w:rPr>
        <w:t>Миастения гравис с късно начало</w:t>
      </w:r>
    </w:p>
    <w:p w14:paraId="68858CAE"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Пациентите с тази форма представляват около 40% от всички болни. Налични са анти-AChR антитела. Заболяването е по-често при мъжете и показва слаба асоциация с някои HLA гени (B7, DR2). Рядко се среща тимусна патология, поради което пациентите не отговарят на тимектомия.</w:t>
      </w:r>
    </w:p>
    <w:p w14:paraId="6672D6FC"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 xml:space="preserve">Клинично първите симптоми настъпват след 50 годишна възраст. Характерна е генерализирана мускулна слабост, като цялата клинична картина се разгръща в първите три години на болестта. </w:t>
      </w:r>
    </w:p>
    <w:p w14:paraId="5EAE7157" w14:textId="77777777" w:rsidR="00BE0B19" w:rsidRPr="00AE47C6" w:rsidRDefault="00BE0B19" w:rsidP="00BE0B19">
      <w:pPr>
        <w:spacing w:after="0" w:line="360" w:lineRule="auto"/>
        <w:ind w:firstLine="708"/>
        <w:jc w:val="both"/>
        <w:rPr>
          <w:rFonts w:ascii="Times New Roman" w:eastAsia="SimSun" w:hAnsi="Times New Roman"/>
          <w:b/>
          <w:bCs/>
          <w:i/>
          <w:sz w:val="24"/>
          <w:szCs w:val="24"/>
        </w:rPr>
      </w:pPr>
      <w:r w:rsidRPr="00AE47C6">
        <w:rPr>
          <w:rFonts w:ascii="Times New Roman" w:eastAsia="SimSun" w:hAnsi="Times New Roman"/>
          <w:b/>
          <w:bCs/>
          <w:i/>
          <w:sz w:val="24"/>
          <w:szCs w:val="24"/>
        </w:rPr>
        <w:t>Миастения гравис, свързана с тимом</w:t>
      </w:r>
    </w:p>
    <w:p w14:paraId="653EF0BE"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Тази форма се приема за паранеопластично заболяване. Тимом се среща при 10-15% от пациентите с миастения гравис. Разпространен е при всички възрасти с еднакво разпределение по пол. Миастения гравис е най-често срещаното автоимунно заболяване, свързано с тимом. При 30% от пациентите с наличен тимом се развива миастения гравис. При почти всички болни се наблюдават анти-AChR антитела и генерализирана форма на заболяването.</w:t>
      </w:r>
    </w:p>
    <w:p w14:paraId="3AA69692" w14:textId="77777777" w:rsidR="00BE0B19" w:rsidRPr="00AE47C6" w:rsidRDefault="00BE0B19" w:rsidP="00BE0B19">
      <w:pPr>
        <w:spacing w:after="0" w:line="360" w:lineRule="auto"/>
        <w:ind w:firstLine="708"/>
        <w:jc w:val="both"/>
        <w:rPr>
          <w:rFonts w:ascii="Times New Roman" w:eastAsia="SimSun" w:hAnsi="Times New Roman"/>
          <w:b/>
          <w:bCs/>
          <w:i/>
          <w:sz w:val="24"/>
          <w:szCs w:val="24"/>
        </w:rPr>
      </w:pPr>
      <w:r w:rsidRPr="00AE47C6">
        <w:rPr>
          <w:rFonts w:ascii="Times New Roman" w:eastAsia="SimSun" w:hAnsi="Times New Roman"/>
          <w:b/>
          <w:bCs/>
          <w:i/>
          <w:sz w:val="24"/>
          <w:szCs w:val="24"/>
        </w:rPr>
        <w:t>Миастения гравис, асоциирана с анти-MuSK</w:t>
      </w:r>
    </w:p>
    <w:p w14:paraId="23EB27F2"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 xml:space="preserve">MuSK е протеин, който се експресира в постсинаптичната мускулна мембрана и участва в поддържането на функцията на AChR. Около 1-10% от пациентите с МГ имат анти-МuSK антитела. Рядко се наблюдават анти-MuSK и анти-AChR антитела при един и същи пациент. При тези пациенти не се наблюдава тимусна патология и съответно не са показани за тимектомия. </w:t>
      </w:r>
    </w:p>
    <w:p w14:paraId="0F683EA4"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 xml:space="preserve">Клинично пациентите показват засягане предимно на булбарните и краниални мускули. Около 1/3 от пациентите имат птоза и диплопия. В повече от 40% от пациентите се наблюдава като първи симптом булбарна слабост, като може да се установи още лицева, фарингеална и слабост на езика, заедно със слабост в шийната и дихателната мускулатура. Крайниците рядко са засегнати. </w:t>
      </w:r>
    </w:p>
    <w:p w14:paraId="2D37D73F" w14:textId="77777777" w:rsidR="00BE0B19" w:rsidRPr="00AE47C6" w:rsidRDefault="00BE0B19" w:rsidP="00BE0B19">
      <w:pPr>
        <w:spacing w:after="0" w:line="360" w:lineRule="auto"/>
        <w:ind w:firstLine="708"/>
        <w:jc w:val="both"/>
        <w:rPr>
          <w:rFonts w:ascii="Times New Roman" w:eastAsia="SimSun" w:hAnsi="Times New Roman"/>
          <w:b/>
          <w:bCs/>
          <w:i/>
          <w:sz w:val="24"/>
          <w:szCs w:val="24"/>
        </w:rPr>
      </w:pPr>
      <w:r w:rsidRPr="00AE47C6">
        <w:rPr>
          <w:rFonts w:ascii="Times New Roman" w:eastAsia="SimSun" w:hAnsi="Times New Roman"/>
          <w:b/>
          <w:bCs/>
          <w:i/>
          <w:sz w:val="24"/>
          <w:szCs w:val="24"/>
        </w:rPr>
        <w:t>Миастения гравис, асоциирана с анти-LRP4</w:t>
      </w:r>
    </w:p>
    <w:p w14:paraId="5249522B"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Среща се по-често при жените. LRP4 се експресира в постсинаптичната мускулна мембрана и представлява рецептор, благоприятстващ активирането на MuSK, който е необходим за поддържането на функцията на AChR. Антитела се установяват при 2-27% от пациентите, негативни за анти-AChR и анти-MuSK. Проучване установява анти-LRP4 антитела при 15% от пациентите с анти-MuSK, при 8% от пациенти с анти-AChR антитела и при 4% от пациенти с други невроимунни болести. При около 2/3 от пациентите тимусът е атрофичен и нормален за възрастта, но са докладвани и случаи с тимусна хиперплазия.</w:t>
      </w:r>
    </w:p>
    <w:p w14:paraId="61E223FF"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 xml:space="preserve">Клинично повечето от пациентите са с очна или генерализирана мускулна слабост. При около 20% се наблюдава само очна слабост. </w:t>
      </w:r>
    </w:p>
    <w:p w14:paraId="3B8BC873" w14:textId="77777777" w:rsidR="00BE0B19" w:rsidRPr="00AE47C6" w:rsidRDefault="00BE0B19" w:rsidP="00BE0B19">
      <w:pPr>
        <w:spacing w:after="0" w:line="360" w:lineRule="auto"/>
        <w:ind w:firstLine="708"/>
        <w:jc w:val="both"/>
        <w:rPr>
          <w:rFonts w:ascii="Times New Roman" w:eastAsia="SimSun" w:hAnsi="Times New Roman"/>
          <w:b/>
          <w:bCs/>
          <w:i/>
          <w:sz w:val="24"/>
          <w:szCs w:val="24"/>
        </w:rPr>
      </w:pPr>
      <w:r w:rsidRPr="00AE47C6">
        <w:rPr>
          <w:rFonts w:ascii="Times New Roman" w:eastAsia="SimSun" w:hAnsi="Times New Roman"/>
          <w:b/>
          <w:bCs/>
          <w:i/>
          <w:sz w:val="24"/>
          <w:szCs w:val="24"/>
        </w:rPr>
        <w:t>Антитяло-негативна генерализирана миастения гравис</w:t>
      </w:r>
    </w:p>
    <w:p w14:paraId="7C95C34F"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Представлява хетерогенна група, като някои пациенти имат антитела с нисък афинитет или с ниска концентрация, недоловима с настоящите имунни технологии. Някои пациенти могат да имат патологични антитела към неидентифицирани още антигени. При тези пациенти трябва да се изключат други заболявания, наподобяващи myasthenia gravis.</w:t>
      </w:r>
    </w:p>
    <w:p w14:paraId="18729E3F" w14:textId="77777777" w:rsidR="00BE0B19" w:rsidRPr="00AE47C6" w:rsidRDefault="00BE0B19" w:rsidP="00BE0B19">
      <w:pPr>
        <w:spacing w:after="0" w:line="360" w:lineRule="auto"/>
        <w:ind w:firstLine="708"/>
        <w:jc w:val="both"/>
        <w:rPr>
          <w:rFonts w:ascii="Times New Roman" w:eastAsia="SimSun" w:hAnsi="Times New Roman"/>
          <w:b/>
          <w:bCs/>
          <w:i/>
          <w:sz w:val="24"/>
          <w:szCs w:val="24"/>
        </w:rPr>
      </w:pPr>
      <w:r w:rsidRPr="00AE47C6">
        <w:rPr>
          <w:rFonts w:ascii="Times New Roman" w:eastAsia="SimSun" w:hAnsi="Times New Roman"/>
          <w:b/>
          <w:bCs/>
          <w:i/>
          <w:sz w:val="24"/>
          <w:szCs w:val="24"/>
        </w:rPr>
        <w:t>Очна миастения гравис</w:t>
      </w:r>
    </w:p>
    <w:p w14:paraId="002D83C6"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Среща се във всяка възраст, по-често при жените. При повече от половината пациенти се наблюдават анти-AChR антитела, докато анти-MuSK се срещат рядко.</w:t>
      </w:r>
    </w:p>
    <w:p w14:paraId="6D24EED6"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 xml:space="preserve">Клинично очната мускулна слабост е най-честият начален симптом, но само при 15% от пациентите засягането остава само в очите. При пациентите с изолирана очна форма е повишен рискът за развитие на генерализирана форма на заболяването. </w:t>
      </w:r>
    </w:p>
    <w:p w14:paraId="3CEB7284" w14:textId="77777777" w:rsidR="00BE0B19" w:rsidRPr="00AE47C6" w:rsidRDefault="00BE0B19" w:rsidP="00BE0B19">
      <w:pPr>
        <w:spacing w:after="0" w:line="360" w:lineRule="auto"/>
        <w:ind w:firstLine="708"/>
        <w:jc w:val="both"/>
        <w:rPr>
          <w:rFonts w:ascii="Times New Roman" w:eastAsia="SimSun" w:hAnsi="Times New Roman"/>
          <w:sz w:val="24"/>
          <w:szCs w:val="24"/>
        </w:rPr>
      </w:pPr>
    </w:p>
    <w:p w14:paraId="2F951409"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b/>
          <w:bCs/>
          <w:sz w:val="24"/>
          <w:szCs w:val="24"/>
        </w:rPr>
        <w:t>Тежестта на миастенията</w:t>
      </w:r>
      <w:r w:rsidRPr="00AE47C6">
        <w:rPr>
          <w:rFonts w:ascii="Times New Roman" w:eastAsia="SimSun" w:hAnsi="Times New Roman"/>
          <w:sz w:val="24"/>
          <w:szCs w:val="24"/>
        </w:rPr>
        <w:t xml:space="preserve"> се определя по добре познатата у нас скала на Ossermann, напоследък по-често се използва клиничната класификация на Американската фондация по МГ (табл. 8.1). </w:t>
      </w:r>
    </w:p>
    <w:p w14:paraId="052E6E32" w14:textId="77777777" w:rsidR="00BE0B19" w:rsidRPr="00AE47C6" w:rsidRDefault="00BE0B19" w:rsidP="00BE0B19">
      <w:pPr>
        <w:spacing w:after="0" w:line="360" w:lineRule="auto"/>
        <w:ind w:firstLine="708"/>
        <w:jc w:val="both"/>
        <w:rPr>
          <w:rFonts w:ascii="Times New Roman" w:eastAsia="SimSun" w:hAnsi="Times New Roman"/>
          <w:sz w:val="24"/>
          <w:szCs w:val="24"/>
        </w:rPr>
      </w:pPr>
    </w:p>
    <w:p w14:paraId="61462E3B"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b/>
          <w:sz w:val="24"/>
          <w:szCs w:val="24"/>
        </w:rPr>
        <w:t xml:space="preserve">Табл. 8.1. </w:t>
      </w:r>
      <w:r w:rsidRPr="00AE47C6">
        <w:rPr>
          <w:rFonts w:ascii="Times New Roman" w:eastAsia="SimSun" w:hAnsi="Times New Roman"/>
          <w:sz w:val="24"/>
          <w:szCs w:val="24"/>
        </w:rPr>
        <w:t>Клинична класификация на Американската фондация по миастения гравис (Myasthenia Gravis Foundation of America, MGFA Clinical Classification)</w:t>
      </w:r>
    </w:p>
    <w:tbl>
      <w:tblPr>
        <w:tblStyle w:val="TableGridLight1"/>
        <w:tblW w:w="0" w:type="auto"/>
        <w:tblLook w:val="04A0" w:firstRow="1" w:lastRow="0" w:firstColumn="1" w:lastColumn="0" w:noHBand="0" w:noVBand="1"/>
      </w:tblPr>
      <w:tblGrid>
        <w:gridCol w:w="8919"/>
      </w:tblGrid>
      <w:tr w:rsidR="00BE0B19" w:rsidRPr="00AE47C6" w14:paraId="30BE2705" w14:textId="77777777" w:rsidTr="00AD72E5">
        <w:tc>
          <w:tcPr>
            <w:tcW w:w="8919" w:type="dxa"/>
          </w:tcPr>
          <w:p w14:paraId="5C6884DE"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b/>
                <w:sz w:val="24"/>
                <w:szCs w:val="24"/>
              </w:rPr>
              <w:t>Клас I</w:t>
            </w:r>
            <w:r w:rsidRPr="00AE47C6">
              <w:rPr>
                <w:rFonts w:ascii="Times New Roman" w:hAnsi="Times New Roman" w:cs="Times New Roman"/>
                <w:sz w:val="24"/>
                <w:szCs w:val="24"/>
              </w:rPr>
              <w:t xml:space="preserve"> – Всякаква очна слабост</w:t>
            </w:r>
          </w:p>
        </w:tc>
      </w:tr>
      <w:tr w:rsidR="00BE0B19" w:rsidRPr="00AE47C6" w14:paraId="3257B010" w14:textId="77777777" w:rsidTr="00AD72E5">
        <w:tc>
          <w:tcPr>
            <w:tcW w:w="8919" w:type="dxa"/>
          </w:tcPr>
          <w:p w14:paraId="09EBB3A6"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b/>
                <w:sz w:val="24"/>
                <w:szCs w:val="24"/>
              </w:rPr>
              <w:t>Клас II</w:t>
            </w:r>
            <w:r w:rsidRPr="00AE47C6">
              <w:rPr>
                <w:rFonts w:ascii="Times New Roman" w:hAnsi="Times New Roman" w:cs="Times New Roman"/>
                <w:sz w:val="24"/>
                <w:szCs w:val="24"/>
              </w:rPr>
              <w:t xml:space="preserve"> – Лека генерализирана мускулна слабост. Може да е налична и очна мускулна слабост от всякаква тежест</w:t>
            </w:r>
          </w:p>
        </w:tc>
      </w:tr>
      <w:tr w:rsidR="00BE0B19" w:rsidRPr="00AE47C6" w14:paraId="433834DB" w14:textId="77777777" w:rsidTr="00AD72E5">
        <w:tc>
          <w:tcPr>
            <w:tcW w:w="8919" w:type="dxa"/>
          </w:tcPr>
          <w:p w14:paraId="690A1799"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b/>
                <w:sz w:val="24"/>
                <w:szCs w:val="24"/>
              </w:rPr>
              <w:t>Клас II a</w:t>
            </w:r>
            <w:r w:rsidRPr="00AE47C6">
              <w:rPr>
                <w:rFonts w:ascii="Times New Roman" w:hAnsi="Times New Roman" w:cs="Times New Roman"/>
                <w:sz w:val="24"/>
                <w:szCs w:val="24"/>
              </w:rPr>
              <w:t xml:space="preserve"> – Предимно са засегнати крайниците, аксиалната мускулатура или и двете. Може да са засегнати в по-малка степен орофарингеалната, дихателната мускулатура или и двете</w:t>
            </w:r>
          </w:p>
        </w:tc>
      </w:tr>
      <w:tr w:rsidR="00BE0B19" w:rsidRPr="00AE47C6" w14:paraId="508F10C6" w14:textId="77777777" w:rsidTr="00AD72E5">
        <w:tc>
          <w:tcPr>
            <w:tcW w:w="8919" w:type="dxa"/>
          </w:tcPr>
          <w:p w14:paraId="5E507B17"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b/>
                <w:sz w:val="24"/>
                <w:szCs w:val="24"/>
              </w:rPr>
              <w:t>Клас II б</w:t>
            </w:r>
            <w:r w:rsidRPr="00AE47C6">
              <w:rPr>
                <w:rFonts w:ascii="Times New Roman" w:hAnsi="Times New Roman" w:cs="Times New Roman"/>
                <w:sz w:val="24"/>
                <w:szCs w:val="24"/>
              </w:rPr>
              <w:t xml:space="preserve"> – Предимно са засегнати орофарингеалната, дихателната мускулатура или и двете. Може също да са засегнати в по-малка или еднаква степен аксиалната и мускулатурата на крайниците</w:t>
            </w:r>
          </w:p>
        </w:tc>
      </w:tr>
      <w:tr w:rsidR="00BE0B19" w:rsidRPr="00AE47C6" w14:paraId="1910D1A5" w14:textId="77777777" w:rsidTr="00AD72E5">
        <w:tc>
          <w:tcPr>
            <w:tcW w:w="8919" w:type="dxa"/>
          </w:tcPr>
          <w:p w14:paraId="1B835998"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b/>
                <w:sz w:val="24"/>
                <w:szCs w:val="24"/>
              </w:rPr>
              <w:t>Клас III</w:t>
            </w:r>
            <w:r w:rsidRPr="00AE47C6">
              <w:rPr>
                <w:rFonts w:ascii="Times New Roman" w:hAnsi="Times New Roman" w:cs="Times New Roman"/>
                <w:sz w:val="24"/>
                <w:szCs w:val="24"/>
              </w:rPr>
              <w:t xml:space="preserve"> – Средно-тежка мускулна слабост, засягаща друга освен очната мускулатура. Може също да е засегната очната мускулатура в различна степен</w:t>
            </w:r>
          </w:p>
        </w:tc>
      </w:tr>
      <w:tr w:rsidR="00BE0B19" w:rsidRPr="00AE47C6" w14:paraId="1052CACB" w14:textId="77777777" w:rsidTr="00AD72E5">
        <w:tc>
          <w:tcPr>
            <w:tcW w:w="8919" w:type="dxa"/>
          </w:tcPr>
          <w:p w14:paraId="35476DF9"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b/>
                <w:sz w:val="24"/>
                <w:szCs w:val="24"/>
              </w:rPr>
              <w:t>Клас III a</w:t>
            </w:r>
            <w:r w:rsidRPr="00AE47C6">
              <w:rPr>
                <w:rFonts w:ascii="Times New Roman" w:hAnsi="Times New Roman" w:cs="Times New Roman"/>
                <w:sz w:val="24"/>
                <w:szCs w:val="24"/>
              </w:rPr>
              <w:t xml:space="preserve"> – Преобладаващо засягане на мускулатурата на крайниците, аксиалната мускулатура или и двете. Може в по-малка степен да е засегната орофарингеалната, дихателната мускулатура или и двете.</w:t>
            </w:r>
          </w:p>
        </w:tc>
      </w:tr>
      <w:tr w:rsidR="00BE0B19" w:rsidRPr="00AE47C6" w14:paraId="06345C9E" w14:textId="77777777" w:rsidTr="00AD72E5">
        <w:tc>
          <w:tcPr>
            <w:tcW w:w="8919" w:type="dxa"/>
          </w:tcPr>
          <w:p w14:paraId="533A7F59"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b/>
                <w:sz w:val="24"/>
                <w:szCs w:val="24"/>
              </w:rPr>
              <w:t>Клас III б</w:t>
            </w:r>
            <w:r w:rsidRPr="00AE47C6">
              <w:rPr>
                <w:rFonts w:ascii="Times New Roman" w:hAnsi="Times New Roman" w:cs="Times New Roman"/>
                <w:sz w:val="24"/>
                <w:szCs w:val="24"/>
              </w:rPr>
              <w:t xml:space="preserve"> – Преобладаващо е засегната орофарингеалната, дихателната мускулатура или и двете. Може също да са засегнати в по-малка или еднаква степен аксиалната и мускулатурата на крайниците или и двете.</w:t>
            </w:r>
          </w:p>
        </w:tc>
      </w:tr>
      <w:tr w:rsidR="00BE0B19" w:rsidRPr="00AE47C6" w14:paraId="06CD74A6" w14:textId="77777777" w:rsidTr="00AD72E5">
        <w:tc>
          <w:tcPr>
            <w:tcW w:w="8919" w:type="dxa"/>
          </w:tcPr>
          <w:p w14:paraId="21D1C05D"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b/>
                <w:sz w:val="24"/>
                <w:szCs w:val="24"/>
              </w:rPr>
              <w:t>Клас IV</w:t>
            </w:r>
            <w:r w:rsidRPr="00AE47C6">
              <w:rPr>
                <w:rFonts w:ascii="Times New Roman" w:hAnsi="Times New Roman" w:cs="Times New Roman"/>
                <w:sz w:val="24"/>
                <w:szCs w:val="24"/>
              </w:rPr>
              <w:t xml:space="preserve"> – тежка мускулна слабост, засягаща друга освен очната мускулатура. Може също да е засегната очната мускулатура в различна степен</w:t>
            </w:r>
          </w:p>
        </w:tc>
      </w:tr>
      <w:tr w:rsidR="00BE0B19" w:rsidRPr="00AE47C6" w14:paraId="1D2CEA1E" w14:textId="77777777" w:rsidTr="00AD72E5">
        <w:tc>
          <w:tcPr>
            <w:tcW w:w="8919" w:type="dxa"/>
          </w:tcPr>
          <w:p w14:paraId="1300B503"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b/>
                <w:sz w:val="24"/>
                <w:szCs w:val="24"/>
              </w:rPr>
              <w:t>Клас IV a</w:t>
            </w:r>
            <w:r w:rsidRPr="00AE47C6">
              <w:rPr>
                <w:rFonts w:ascii="Times New Roman" w:hAnsi="Times New Roman" w:cs="Times New Roman"/>
                <w:sz w:val="24"/>
                <w:szCs w:val="24"/>
              </w:rPr>
              <w:t xml:space="preserve"> – Преобладаващо е засегната мускулатурата на крайниците, аксиалната мускулатура или и двете. Може в по-малка степен да е засегната орофарингеалната, дихателната мускулатура или и двете.</w:t>
            </w:r>
          </w:p>
        </w:tc>
      </w:tr>
      <w:tr w:rsidR="00BE0B19" w:rsidRPr="00AE47C6" w14:paraId="24957B02" w14:textId="77777777" w:rsidTr="00AD72E5">
        <w:tc>
          <w:tcPr>
            <w:tcW w:w="8919" w:type="dxa"/>
          </w:tcPr>
          <w:p w14:paraId="5F1E32F3"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b/>
                <w:sz w:val="24"/>
                <w:szCs w:val="24"/>
              </w:rPr>
              <w:t>Клас IV б</w:t>
            </w:r>
            <w:r w:rsidRPr="00AE47C6">
              <w:rPr>
                <w:rFonts w:ascii="Times New Roman" w:hAnsi="Times New Roman" w:cs="Times New Roman"/>
                <w:sz w:val="24"/>
                <w:szCs w:val="24"/>
              </w:rPr>
              <w:t xml:space="preserve"> – Преобладаващо е засегната орофарингеалната, дихателната мускулатура или и двете. Може също да са засегната в по-малка или еднаква степен аксиалната и мускулатурата на крайниците или и двете.</w:t>
            </w:r>
          </w:p>
        </w:tc>
      </w:tr>
      <w:tr w:rsidR="00BE0B19" w:rsidRPr="00AE47C6" w14:paraId="37254DA0" w14:textId="77777777" w:rsidTr="00AD72E5">
        <w:tc>
          <w:tcPr>
            <w:tcW w:w="8919" w:type="dxa"/>
          </w:tcPr>
          <w:p w14:paraId="159CB054"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b/>
                <w:sz w:val="24"/>
                <w:szCs w:val="24"/>
              </w:rPr>
              <w:t>Клас V</w:t>
            </w:r>
            <w:r w:rsidRPr="00AE47C6">
              <w:rPr>
                <w:rFonts w:ascii="Times New Roman" w:hAnsi="Times New Roman" w:cs="Times New Roman"/>
                <w:sz w:val="24"/>
                <w:szCs w:val="24"/>
              </w:rPr>
              <w:t xml:space="preserve"> – При извършена оро-трахеална интубация, с или без механична вентилация, с изключение на интубиране при рутинни постоперативни грижи. Използването на назо-гастрална сонда без интубация класифицира пациента в Клас IV б</w:t>
            </w:r>
          </w:p>
        </w:tc>
      </w:tr>
    </w:tbl>
    <w:p w14:paraId="2D1FB510" w14:textId="77777777" w:rsidR="00BE0B19" w:rsidRPr="00AE47C6" w:rsidRDefault="00BE0B19" w:rsidP="00BE0B19">
      <w:pPr>
        <w:spacing w:after="0" w:line="360" w:lineRule="auto"/>
        <w:jc w:val="both"/>
        <w:rPr>
          <w:rFonts w:ascii="Times New Roman" w:eastAsia="SimSun" w:hAnsi="Times New Roman"/>
          <w:sz w:val="24"/>
          <w:szCs w:val="24"/>
        </w:rPr>
      </w:pPr>
    </w:p>
    <w:p w14:paraId="3471FAA9" w14:textId="77777777" w:rsidR="00BE0B19" w:rsidRPr="00AE47C6" w:rsidRDefault="00BE0B19" w:rsidP="00BE0B19">
      <w:pPr>
        <w:spacing w:after="0" w:line="360" w:lineRule="auto"/>
        <w:ind w:firstLine="708"/>
        <w:jc w:val="both"/>
        <w:rPr>
          <w:rFonts w:ascii="Times New Roman" w:eastAsia="SimSun" w:hAnsi="Times New Roman"/>
          <w:b/>
          <w:sz w:val="24"/>
          <w:szCs w:val="24"/>
        </w:rPr>
      </w:pPr>
      <w:r w:rsidRPr="00AE47C6">
        <w:rPr>
          <w:rFonts w:ascii="Times New Roman" w:eastAsia="SimSun" w:hAnsi="Times New Roman"/>
          <w:b/>
          <w:sz w:val="24"/>
          <w:szCs w:val="24"/>
        </w:rPr>
        <w:t>Диагноза</w:t>
      </w:r>
    </w:p>
    <w:p w14:paraId="13A9E2B0" w14:textId="77777777" w:rsidR="00BE0B19" w:rsidRPr="00AE47C6" w:rsidRDefault="00BE0B19" w:rsidP="00BE0B19">
      <w:pPr>
        <w:spacing w:after="0" w:line="360" w:lineRule="auto"/>
        <w:ind w:firstLine="708"/>
        <w:jc w:val="both"/>
        <w:rPr>
          <w:rFonts w:ascii="Times New Roman" w:eastAsia="SimSun" w:hAnsi="Times New Roman"/>
          <w:color w:val="C4BC96" w:themeColor="background2" w:themeShade="BF"/>
          <w:sz w:val="24"/>
          <w:szCs w:val="24"/>
        </w:rPr>
      </w:pPr>
      <w:r w:rsidRPr="00AE47C6">
        <w:rPr>
          <w:rFonts w:ascii="Times New Roman" w:eastAsia="SimSun" w:hAnsi="Times New Roman"/>
          <w:i/>
          <w:sz w:val="24"/>
          <w:szCs w:val="24"/>
        </w:rPr>
        <w:t xml:space="preserve">Клинично </w:t>
      </w:r>
      <w:r w:rsidRPr="00AE47C6">
        <w:rPr>
          <w:rFonts w:ascii="Times New Roman" w:eastAsia="SimSun" w:hAnsi="Times New Roman"/>
          <w:iCs/>
          <w:sz w:val="24"/>
          <w:szCs w:val="24"/>
        </w:rPr>
        <w:t>о</w:t>
      </w:r>
      <w:r w:rsidRPr="00AE47C6">
        <w:rPr>
          <w:rFonts w:ascii="Times New Roman" w:eastAsia="SimSun" w:hAnsi="Times New Roman"/>
          <w:sz w:val="24"/>
          <w:szCs w:val="24"/>
        </w:rPr>
        <w:t>сновната проява е настъпването на бърза уморяемост на мускулите при активност, като най-често се засягат мускулите инервирани от краниалните нерви (КН), мускулите на трупа и проксималните мускули на крайниците. Външните очни мускули и леваторът на клепача се засягат най-често и в най-тежка степен. Характерно е, че се наблюдава в еднаква степен птоза на клепачите и нарушение в затварянето на очната цепка (m. orbicularis oculi), при запазени зенични реакции на светлина и акомодация и наличие на диплопия, дължаща се на преумора на различни мускулни групи. За откриване на очна форма на заболяването могат да се приложат и някои клинични тестове:</w:t>
      </w:r>
    </w:p>
    <w:p w14:paraId="776A43BD" w14:textId="77777777" w:rsidR="00BE0B19" w:rsidRPr="00AE47C6" w:rsidRDefault="00BE0B19" w:rsidP="00BE0B19">
      <w:pPr>
        <w:widowControl w:val="0"/>
        <w:numPr>
          <w:ilvl w:val="0"/>
          <w:numId w:val="370"/>
        </w:numPr>
        <w:suppressAutoHyphen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Засилване на позата (симптом на завесата) – влошаване на птозата в по-малко засегнатото око, при повдигане на клепача на по-засегнатото око</w:t>
      </w:r>
    </w:p>
    <w:p w14:paraId="42B5A6A4" w14:textId="77777777" w:rsidR="00BE0B19" w:rsidRPr="00AE47C6" w:rsidRDefault="00BE0B19" w:rsidP="00BE0B19">
      <w:pPr>
        <w:widowControl w:val="0"/>
        <w:numPr>
          <w:ilvl w:val="0"/>
          <w:numId w:val="370"/>
        </w:numPr>
        <w:suppressAutoHyphen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Тест с лед – подобряване с повече от 2 mm в птозата след 2 минутно приложение на лед върху орбитата/клепача</w:t>
      </w:r>
    </w:p>
    <w:p w14:paraId="4DC6BA84"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Мускулната уморяемост с намалена сила в лицевата и дъвкателната мускулатура затрудняват храненето и придават на лицето характерен хипомимичен вид, понякога с придържане на долната челюст поради невъзможно затваряне на устата. Нарушена е фонацията с носов, накъсан до невъзможен говор. В по-напредналите случаи е затруднено гълтането, често течностите излизат през носа на болните. Невъзможна е флексията на шията спонтанно и срещу съпротива и пациентите често запазват положението на главата като си помагат с ръка. В по-късни етапи са затруднени сресването на косата, храненето, говорът, изкачването по стълби и ставането от легло.</w:t>
      </w:r>
    </w:p>
    <w:p w14:paraId="5BEE4B18"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Друга характерна клинична особеност е засилването на симптомите в хода на деня поради преумора на определени мускулни групи – например на външните очни мускули при четене и гледане на телевизия, на мускулите на фонацията след по-продължителен разговор или на проксималните мускули на крайниците след физическа активност. Някои пациенти имат влошаване рано сутрин, което се свързва по-скоро с недостатъчна продължителност на ефекта на вечерната доза медикамент. В началото на заболяването и при по-леките му форми мускулната умора се преодолява сравнително бързо след покой.</w:t>
      </w:r>
    </w:p>
    <w:p w14:paraId="5FC3BC32"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Не се наблюдава промяна в рефлексната дейност, сетивната функция, както и на дейността на сърцето и на гладките мускули.</w:t>
      </w:r>
    </w:p>
    <w:p w14:paraId="7317BA4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Тестове с антихолинестеразните инхибитори </w:t>
      </w:r>
      <w:r w:rsidRPr="00AE47C6">
        <w:rPr>
          <w:rFonts w:ascii="Times New Roman" w:eastAsia="SimSun" w:hAnsi="Times New Roman"/>
          <w:sz w:val="24"/>
          <w:szCs w:val="24"/>
        </w:rPr>
        <w:t>(АХИ - neostigmine</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edrophonium) се провеждат след измерване на мускулната сила с динамометрия или на виталния капацитет преди и след приложение на съответния медикамент. Това тестуване може да се проведе със neostigmine, приложен интрамускулно (1,5 mg) или бавно венозно (0,5 mg). Подобрението следва да се отчете от 15-та минута до 2-ия час след апликацията. За предотвратяване на мускариновите ефекти е желателна премедикация с atropin. Отчитането на подобрението може да стане клинично, но е по-добре то да бъде потвърдено електромиографски. Негативният тест не изключва наличието на МГ, но е насочващ за търсене на друга причина за мускулната слабост. Поради наличие на нежелани реакции в практиката се използва тест с приема на 1 табл. pyridostigmine (60 mg) и отчитане на клинично подобрение след 45-60 мин.</w:t>
      </w:r>
    </w:p>
    <w:p w14:paraId="7051459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Титър на антителата </w:t>
      </w:r>
      <w:r w:rsidRPr="00AE47C6">
        <w:rPr>
          <w:rFonts w:ascii="Times New Roman" w:eastAsia="SimSun" w:hAnsi="Times New Roman"/>
          <w:sz w:val="24"/>
          <w:szCs w:val="24"/>
        </w:rPr>
        <w:t>трябва да се изследва при всички пациенти с клинична анамнеза, предполагаща МГ. При повечето пациенти се наблюдават анти-AChR антитела, а при негативен резултат се изследват анти-MuSK. Тъй като в началото антителата може да не се установят и да се позитивират в последствие, е необходимо при начален негативен резултат, изследването да се повтори след 6 месеца. Анти-AChR и анти-MuSK антитела са много специфични и в съчетание с подходящ клиничен преглед на практика поставят диагнозата myasthenia gravis. Точността на диагностика на анти-AChR чрез имунопреципитиращ метод (RIPA) варира между 97–99%. Много рядко могат да бъдат открити и при пациенти с латерална амиотрофична склероза и при такива с наличен тимом (тези пациентите са изложени на риск от развитие на МГ). Анти-MuSK антитела никога не са намирани извън МГ.</w:t>
      </w:r>
    </w:p>
    <w:p w14:paraId="78E8E84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Електромиографското тестуване</w:t>
      </w:r>
      <w:r w:rsidRPr="00AE47C6">
        <w:rPr>
          <w:rFonts w:ascii="Times New Roman" w:eastAsia="SimSun" w:hAnsi="Times New Roman"/>
          <w:sz w:val="24"/>
          <w:szCs w:val="24"/>
        </w:rPr>
        <w:t xml:space="preserve"> е най-често използваният метод за установяване на нарушения в нервно-мускулното предаване. Включва репетитивна нервна електростимулация (РНС) с ниски честоти (1-3-5 Hz) и отчитане на типичен декрементен отговор (спадане на амплитудата) на сумарния моторен акционен потенциал (СМАП). Н</w:t>
      </w:r>
      <w:r w:rsidRPr="00AE47C6">
        <w:rPr>
          <w:rFonts w:ascii="Times New Roman" w:eastAsia="SimSun" w:hAnsi="Times New Roman"/>
          <w:bCs/>
          <w:sz w:val="24"/>
          <w:szCs w:val="24"/>
        </w:rPr>
        <w:t xml:space="preserve">алице е положителен декремент в до 95% от случаите с генерализирана форма на миастения и при 40% от пациентите с очна форма. </w:t>
      </w:r>
      <w:r w:rsidRPr="00AE47C6">
        <w:rPr>
          <w:rFonts w:ascii="Times New Roman" w:eastAsia="SimSun" w:hAnsi="Times New Roman"/>
          <w:sz w:val="24"/>
          <w:szCs w:val="24"/>
        </w:rPr>
        <w:t>За положителен декремент (1:5) се приемат стойности над 10% спадане на амплитудата.</w:t>
      </w:r>
    </w:p>
    <w:p w14:paraId="1A2323C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Cs/>
          <w:sz w:val="24"/>
          <w:szCs w:val="24"/>
        </w:rPr>
        <w:t xml:space="preserve">По-чувствителен и специфичен метод </w:t>
      </w:r>
      <w:r w:rsidRPr="00AE47C6">
        <w:rPr>
          <w:rFonts w:ascii="Times New Roman" w:eastAsia="SimSun" w:hAnsi="Times New Roman"/>
          <w:sz w:val="24"/>
          <w:szCs w:val="24"/>
        </w:rPr>
        <w:t xml:space="preserve">за установяване на субклинични нарушения в нервно-мускулното предаване е </w:t>
      </w:r>
      <w:r w:rsidRPr="00AE47C6">
        <w:rPr>
          <w:rFonts w:ascii="Times New Roman" w:eastAsia="SimSun" w:hAnsi="Times New Roman"/>
          <w:bCs/>
          <w:sz w:val="24"/>
          <w:szCs w:val="24"/>
        </w:rPr>
        <w:t xml:space="preserve">ЕМГ </w:t>
      </w:r>
      <w:r w:rsidRPr="00AE47C6">
        <w:rPr>
          <w:rFonts w:ascii="Times New Roman" w:eastAsia="SimSun" w:hAnsi="Times New Roman"/>
          <w:sz w:val="24"/>
          <w:szCs w:val="24"/>
        </w:rPr>
        <w:t>на единично мускулно влакно (single-fiber). Този метод е п</w:t>
      </w:r>
      <w:r w:rsidRPr="00AE47C6">
        <w:rPr>
          <w:rFonts w:ascii="Times New Roman" w:eastAsia="SimSun" w:hAnsi="Times New Roman"/>
          <w:bCs/>
          <w:sz w:val="24"/>
          <w:szCs w:val="24"/>
        </w:rPr>
        <w:t xml:space="preserve">оложителен при 96% </w:t>
      </w:r>
      <w:r w:rsidRPr="00AE47C6">
        <w:rPr>
          <w:rFonts w:ascii="Times New Roman" w:eastAsia="SimSun" w:hAnsi="Times New Roman"/>
          <w:sz w:val="24"/>
          <w:szCs w:val="24"/>
        </w:rPr>
        <w:t xml:space="preserve">от пациентите с генерализирана форма на миастения и при 80% от случаите с очна форма. </w:t>
      </w:r>
      <w:r w:rsidRPr="00AE47C6">
        <w:rPr>
          <w:rFonts w:ascii="Times New Roman" w:eastAsia="SimSun" w:hAnsi="Times New Roman"/>
          <w:bCs/>
          <w:sz w:val="24"/>
          <w:szCs w:val="24"/>
        </w:rPr>
        <w:t xml:space="preserve">Оценява нервно-мускулният jitter. </w:t>
      </w:r>
      <w:r w:rsidRPr="00AE47C6">
        <w:rPr>
          <w:rFonts w:ascii="Times New Roman" w:eastAsia="SimSun" w:hAnsi="Times New Roman"/>
          <w:sz w:val="24"/>
          <w:szCs w:val="24"/>
        </w:rPr>
        <w:t xml:space="preserve">При миастения той е абнормно увеличен, дори и </w:t>
      </w:r>
      <w:r w:rsidRPr="00AE47C6">
        <w:rPr>
          <w:rFonts w:ascii="Times New Roman" w:eastAsia="SimSun" w:hAnsi="Times New Roman"/>
          <w:bCs/>
          <w:sz w:val="24"/>
          <w:szCs w:val="24"/>
        </w:rPr>
        <w:t xml:space="preserve">в клинично незасегнати мускулни групи, </w:t>
      </w:r>
      <w:r w:rsidRPr="00AE47C6">
        <w:rPr>
          <w:rFonts w:ascii="Times New Roman" w:eastAsia="SimSun" w:hAnsi="Times New Roman"/>
          <w:sz w:val="24"/>
          <w:szCs w:val="24"/>
        </w:rPr>
        <w:t xml:space="preserve">при които РНС не показва декремент. </w:t>
      </w:r>
    </w:p>
    <w:p w14:paraId="5120C0F1"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i/>
          <w:sz w:val="24"/>
          <w:szCs w:val="24"/>
        </w:rPr>
        <w:t>КТ на предния медиастинум</w:t>
      </w:r>
      <w:r w:rsidRPr="00AE47C6">
        <w:rPr>
          <w:rFonts w:ascii="Times New Roman" w:eastAsia="SimSun" w:hAnsi="Times New Roman"/>
          <w:sz w:val="24"/>
          <w:szCs w:val="24"/>
        </w:rPr>
        <w:t xml:space="preserve"> за установяване на тимом или хиперплазия на тимусната жлеза има съществено значение в диагностиката. Схематичният алгоритъмът за диагностика на МГ е представен на фиг. 8.1.</w:t>
      </w:r>
    </w:p>
    <w:p w14:paraId="7096BF1B" w14:textId="77777777" w:rsidR="00BE0B19" w:rsidRPr="00AE47C6" w:rsidRDefault="00BE0B19" w:rsidP="00BE0B19">
      <w:pPr>
        <w:spacing w:after="0" w:line="360" w:lineRule="auto"/>
        <w:jc w:val="both"/>
        <w:rPr>
          <w:rFonts w:ascii="Times New Roman" w:eastAsia="SimSun" w:hAnsi="Times New Roman"/>
          <w:sz w:val="24"/>
          <w:szCs w:val="24"/>
        </w:rPr>
      </w:pPr>
    </w:p>
    <w:p w14:paraId="622E5BA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w:drawing>
          <wp:inline distT="0" distB="0" distL="0" distR="0" wp14:anchorId="44BC6F46" wp14:editId="0C05B523">
            <wp:extent cx="5669915" cy="4206240"/>
            <wp:effectExtent l="0" t="0" r="6985" b="3810"/>
            <wp:docPr id="204" name="Picture 204" descr="D:\Neurology\Myastenia gravis\Screenshot 2021-02-27 07.38.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Neurology\Myastenia gravis\Screenshot 2021-02-27 07.38.24.pn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a:xfrm>
                      <a:off x="0" y="0"/>
                      <a:ext cx="5669915" cy="4206812"/>
                    </a:xfrm>
                    <a:prstGeom prst="rect">
                      <a:avLst/>
                    </a:prstGeom>
                    <a:noFill/>
                    <a:ln>
                      <a:noFill/>
                    </a:ln>
                  </pic:spPr>
                </pic:pic>
              </a:graphicData>
            </a:graphic>
          </wp:inline>
        </w:drawing>
      </w:r>
    </w:p>
    <w:p w14:paraId="277FF93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Фиг.8.1. Алгоритъм за диагностика на МГ</w:t>
      </w:r>
    </w:p>
    <w:p w14:paraId="7388154E" w14:textId="77777777" w:rsidR="00BE0B19" w:rsidRPr="00AE47C6" w:rsidRDefault="00BE0B19" w:rsidP="00BE0B19">
      <w:pPr>
        <w:suppressAutoHyphens/>
        <w:autoSpaceDN w:val="0"/>
        <w:spacing w:after="0" w:line="360" w:lineRule="auto"/>
        <w:textAlignment w:val="baseline"/>
        <w:rPr>
          <w:rFonts w:ascii="Times New Roman" w:eastAsia="SimSun" w:hAnsi="Times New Roman"/>
          <w:b/>
          <w:bCs/>
          <w:i/>
          <w:kern w:val="3"/>
          <w:sz w:val="24"/>
          <w:szCs w:val="24"/>
          <w:lang w:eastAsia="zh-CN" w:bidi="hi-IN"/>
        </w:rPr>
      </w:pPr>
    </w:p>
    <w:p w14:paraId="46A6543C" w14:textId="77777777" w:rsidR="00BE0B19" w:rsidRPr="00AE47C6" w:rsidRDefault="00BE0B19" w:rsidP="00BE0B19">
      <w:pPr>
        <w:suppressAutoHyphens/>
        <w:autoSpaceDN w:val="0"/>
        <w:spacing w:after="0" w:line="360" w:lineRule="auto"/>
        <w:textAlignment w:val="baseline"/>
        <w:rPr>
          <w:rFonts w:ascii="Times New Roman" w:eastAsia="SimSun" w:hAnsi="Times New Roman"/>
          <w:b/>
          <w:bCs/>
          <w:i/>
          <w:kern w:val="3"/>
          <w:sz w:val="24"/>
          <w:szCs w:val="24"/>
          <w:lang w:eastAsia="zh-CN" w:bidi="hi-IN"/>
        </w:rPr>
      </w:pPr>
    </w:p>
    <w:p w14:paraId="75FA6839" w14:textId="77777777" w:rsidR="00BE0B19" w:rsidRPr="00AE47C6" w:rsidRDefault="00BE0B19" w:rsidP="00BE0B19">
      <w:pPr>
        <w:suppressAutoHyphens/>
        <w:autoSpaceDN w:val="0"/>
        <w:spacing w:after="0" w:line="360" w:lineRule="auto"/>
        <w:ind w:firstLine="709"/>
        <w:textAlignment w:val="baseline"/>
        <w:rPr>
          <w:rFonts w:ascii="Times New Roman" w:eastAsia="SimSun" w:hAnsi="Times New Roman"/>
          <w:b/>
          <w:bCs/>
          <w:iCs/>
          <w:kern w:val="3"/>
          <w:sz w:val="24"/>
          <w:szCs w:val="24"/>
          <w:lang w:eastAsia="zh-CN" w:bidi="hi-IN"/>
        </w:rPr>
      </w:pPr>
      <w:r w:rsidRPr="00AE47C6">
        <w:rPr>
          <w:rFonts w:ascii="Times New Roman" w:eastAsia="SimSun" w:hAnsi="Times New Roman"/>
          <w:b/>
          <w:bCs/>
          <w:iCs/>
          <w:kern w:val="3"/>
          <w:sz w:val="24"/>
          <w:szCs w:val="24"/>
          <w:lang w:eastAsia="zh-CN" w:bidi="hi-IN"/>
        </w:rPr>
        <w:t>Диференциална диагноза</w:t>
      </w:r>
    </w:p>
    <w:p w14:paraId="227D3829" w14:textId="77777777" w:rsidR="00BE0B19" w:rsidRPr="00AE47C6" w:rsidRDefault="00BE0B19" w:rsidP="00BE0B19">
      <w:pPr>
        <w:suppressAutoHyphens/>
        <w:autoSpaceDN w:val="0"/>
        <w:spacing w:after="0" w:line="360" w:lineRule="auto"/>
        <w:ind w:firstLine="709"/>
        <w:jc w:val="both"/>
        <w:rPr>
          <w:rFonts w:ascii="Times New Roman" w:eastAsia="SimSun" w:hAnsi="Times New Roman"/>
          <w:kern w:val="3"/>
          <w:sz w:val="24"/>
          <w:szCs w:val="24"/>
          <w:lang w:eastAsia="zh-CN" w:bidi="hi-IN"/>
        </w:rPr>
      </w:pPr>
      <w:r w:rsidRPr="00AE47C6">
        <w:rPr>
          <w:rFonts w:ascii="Times New Roman" w:hAnsi="Times New Roman"/>
          <w:sz w:val="24"/>
          <w:szCs w:val="24"/>
        </w:rPr>
        <w:t>Диагнозата на МГ в някои случаи може да бъде много трудна, поради факта, че редица заболявания протичат със слабост на мускулите, инервирани от КН или на мускулите на тялото и крайниците. В хода на някои автоимунни заболявания може да се включи като съпътстващ процес и МГ, което затруднява поставянето на диагнозата – например при хипо- и хипертиреоидни състояния, лупус и др.</w:t>
      </w:r>
    </w:p>
    <w:p w14:paraId="38E054A3" w14:textId="77777777" w:rsidR="00BE0B19" w:rsidRPr="00AE47C6" w:rsidRDefault="00BE0B19" w:rsidP="00BE0B19">
      <w:pPr>
        <w:suppressAutoHyphens/>
        <w:autoSpaceDN w:val="0"/>
        <w:spacing w:after="0" w:line="360" w:lineRule="auto"/>
        <w:ind w:firstLine="709"/>
        <w:jc w:val="both"/>
        <w:rPr>
          <w:rFonts w:ascii="Times New Roman" w:eastAsia="SimSun" w:hAnsi="Times New Roman"/>
          <w:kern w:val="3"/>
          <w:sz w:val="24"/>
          <w:szCs w:val="24"/>
          <w:lang w:eastAsia="zh-CN" w:bidi="hi-IN"/>
        </w:rPr>
      </w:pPr>
      <w:r w:rsidRPr="00AE47C6">
        <w:rPr>
          <w:rFonts w:ascii="Times New Roman" w:hAnsi="Times New Roman"/>
          <w:sz w:val="24"/>
          <w:szCs w:val="24"/>
        </w:rPr>
        <w:t>Много често при очната форма на МГ се налага да се изключат други причини, водещи до подобни оплаквания – надядрени увреждания при различни заболявания (прогресираща надядрена външна офталмоплегия, спиноцеребеларна и оливо - церебеларни атрофии, процеси в горните отдели на мозъчния ствол с различна етиология), очна форма на мускулна дистрофия, множествена склероза, синдром на Guillain - Barre (окулофарингеален и Miller - Fisher вариант).</w:t>
      </w:r>
    </w:p>
    <w:p w14:paraId="111BBF98" w14:textId="77777777" w:rsidR="00BE0B19" w:rsidRPr="00AE47C6" w:rsidRDefault="00BE0B19" w:rsidP="00BE0B19">
      <w:pPr>
        <w:suppressAutoHyphens/>
        <w:autoSpaceDN w:val="0"/>
        <w:spacing w:after="0" w:line="360" w:lineRule="auto"/>
        <w:ind w:firstLine="709"/>
        <w:jc w:val="both"/>
        <w:rPr>
          <w:rFonts w:ascii="Times New Roman" w:eastAsia="SimSun" w:hAnsi="Times New Roman"/>
          <w:kern w:val="3"/>
          <w:sz w:val="24"/>
          <w:szCs w:val="24"/>
          <w:lang w:eastAsia="zh-CN" w:bidi="hi-IN"/>
        </w:rPr>
      </w:pPr>
      <w:r w:rsidRPr="00AE47C6">
        <w:rPr>
          <w:rFonts w:ascii="Times New Roman" w:hAnsi="Times New Roman"/>
          <w:sz w:val="24"/>
          <w:szCs w:val="24"/>
        </w:rPr>
        <w:t>При тежко, предимно булбарно миастенно засягане, е необходимо да се направи диференциална диагноза с процеси, които ангажират мозъчния ствол – туморни, съдови, амиотрофична латерална склероза и др.</w:t>
      </w:r>
    </w:p>
    <w:p w14:paraId="7091DD8B" w14:textId="77777777" w:rsidR="00BE0B19" w:rsidRPr="00AE47C6" w:rsidRDefault="00BE0B19" w:rsidP="00BE0B19">
      <w:pPr>
        <w:suppressAutoHyphens/>
        <w:autoSpaceDN w:val="0"/>
        <w:spacing w:after="0" w:line="360" w:lineRule="auto"/>
        <w:ind w:firstLine="709"/>
        <w:jc w:val="both"/>
        <w:rPr>
          <w:rFonts w:ascii="Times New Roman" w:eastAsia="SimSun" w:hAnsi="Times New Roman"/>
          <w:kern w:val="3"/>
          <w:sz w:val="24"/>
          <w:szCs w:val="24"/>
          <w:lang w:eastAsia="zh-CN" w:bidi="hi-IN"/>
        </w:rPr>
      </w:pPr>
      <w:r w:rsidRPr="00AE47C6">
        <w:rPr>
          <w:rFonts w:ascii="Times New Roman" w:hAnsi="Times New Roman"/>
          <w:sz w:val="24"/>
          <w:szCs w:val="24"/>
        </w:rPr>
        <w:t>Генерализираната слабост при МГ трудно се разграничава от подобна симптоматика при миопатии, полимиозити, хипертиреоидизъм, синдром на Guillain - Barre, порфиринова полиневропатия, хипер- и хипокалиемична периодична парализа. За правилно поставяне на диагнозата е необходимо да се обърне внимание на разликите в рефлексната дейност, сетивността, параклиниката и електрофизиологичната находка.</w:t>
      </w:r>
    </w:p>
    <w:p w14:paraId="26ED0799" w14:textId="77777777" w:rsidR="00BE0B19" w:rsidRPr="00AE47C6" w:rsidRDefault="00BE0B19" w:rsidP="00BE0B19">
      <w:pPr>
        <w:suppressAutoHyphens/>
        <w:autoSpaceDN w:val="0"/>
        <w:spacing w:after="0" w:line="360" w:lineRule="auto"/>
        <w:ind w:firstLine="709"/>
        <w:jc w:val="both"/>
        <w:rPr>
          <w:rFonts w:ascii="Times New Roman" w:eastAsia="SimSun" w:hAnsi="Times New Roman"/>
          <w:kern w:val="3"/>
          <w:sz w:val="24"/>
          <w:szCs w:val="24"/>
          <w:lang w:eastAsia="zh-CN" w:bidi="hi-IN"/>
        </w:rPr>
      </w:pPr>
      <w:r w:rsidRPr="00AE47C6">
        <w:rPr>
          <w:rFonts w:ascii="Times New Roman" w:hAnsi="Times New Roman"/>
          <w:sz w:val="24"/>
          <w:szCs w:val="24"/>
        </w:rPr>
        <w:t>Някои токсични увреждания на нервно-мускулното предаване или на периферните нерви могат да имитират миастения – дифтериен токсин, ботулинов токсин, инсектициди, антибиотици, ухапвания от змии и паяци, растителен D - tubocurarine</w:t>
      </w:r>
      <w:r w:rsidRPr="00AE47C6">
        <w:rPr>
          <w:rFonts w:ascii="Times New Roman" w:hAnsi="Times New Roman"/>
          <w:b/>
          <w:sz w:val="24"/>
          <w:szCs w:val="24"/>
        </w:rPr>
        <w:t xml:space="preserve"> </w:t>
      </w:r>
      <w:r w:rsidRPr="00AE47C6">
        <w:rPr>
          <w:rFonts w:ascii="Times New Roman" w:hAnsi="Times New Roman"/>
          <w:sz w:val="24"/>
          <w:szCs w:val="24"/>
        </w:rPr>
        <w:t>и др.</w:t>
      </w:r>
    </w:p>
    <w:p w14:paraId="6E4933D9" w14:textId="77777777" w:rsidR="00BE0B19" w:rsidRPr="00AE47C6" w:rsidRDefault="00BE0B19" w:rsidP="00BE0B19">
      <w:pPr>
        <w:suppressAutoHyphens/>
        <w:autoSpaceDN w:val="0"/>
        <w:spacing w:after="0" w:line="360" w:lineRule="auto"/>
        <w:ind w:firstLine="709"/>
        <w:jc w:val="both"/>
        <w:rPr>
          <w:rFonts w:ascii="Times New Roman" w:eastAsia="SimSun" w:hAnsi="Times New Roman"/>
          <w:kern w:val="3"/>
          <w:sz w:val="24"/>
          <w:szCs w:val="24"/>
          <w:lang w:eastAsia="zh-CN" w:bidi="hi-IN"/>
        </w:rPr>
      </w:pPr>
      <w:r w:rsidRPr="00AE47C6">
        <w:rPr>
          <w:rFonts w:ascii="Times New Roman" w:hAnsi="Times New Roman"/>
          <w:i/>
          <w:sz w:val="24"/>
          <w:szCs w:val="24"/>
        </w:rPr>
        <w:t>Фосфороорганичните вещества</w:t>
      </w:r>
      <w:r w:rsidRPr="00AE47C6">
        <w:rPr>
          <w:rFonts w:ascii="Times New Roman" w:hAnsi="Times New Roman"/>
          <w:sz w:val="24"/>
          <w:szCs w:val="24"/>
        </w:rPr>
        <w:t>, използвани като пестициди, инхибират необратимо ацетилхолинестеразата. Те се абсорбират през белия дроб, гастроинтестиналния тракт и кожата, след което предизвикват мускаринови и никотинови ефекти. При тежки отравяния настъпва депресия на дихателния център в продълговатия мозък. След острия токсичен период в следващите 24-96 часа се наблюдава прогресивна мускулна слабост, а по-късно се развива дистална аксонна полиневропатия, която е по-изразена за краката, отколкото за ръцете. Ефектите на всички фосфороорганични вещества с изключение на нервно-паралитичните газове са преходни.</w:t>
      </w:r>
    </w:p>
    <w:p w14:paraId="0956FFAD" w14:textId="77777777" w:rsidR="00BE0B19" w:rsidRPr="00AE47C6" w:rsidRDefault="00BE0B19" w:rsidP="00BE0B19">
      <w:pPr>
        <w:suppressAutoHyphens/>
        <w:autoSpaceDN w:val="0"/>
        <w:spacing w:after="0" w:line="360" w:lineRule="auto"/>
        <w:ind w:firstLine="709"/>
        <w:jc w:val="both"/>
        <w:rPr>
          <w:rFonts w:ascii="Times New Roman" w:eastAsia="SimSun" w:hAnsi="Times New Roman"/>
          <w:kern w:val="3"/>
          <w:sz w:val="24"/>
          <w:szCs w:val="24"/>
          <w:lang w:eastAsia="zh-CN" w:bidi="hi-IN"/>
        </w:rPr>
      </w:pPr>
      <w:r w:rsidRPr="00AE47C6">
        <w:rPr>
          <w:rFonts w:ascii="Times New Roman" w:hAnsi="Times New Roman"/>
          <w:sz w:val="24"/>
          <w:szCs w:val="24"/>
        </w:rPr>
        <w:t xml:space="preserve">При </w:t>
      </w:r>
      <w:r w:rsidRPr="00AE47C6">
        <w:rPr>
          <w:rFonts w:ascii="Times New Roman" w:hAnsi="Times New Roman"/>
          <w:i/>
          <w:sz w:val="24"/>
          <w:szCs w:val="24"/>
        </w:rPr>
        <w:t>синдрома на Lambert-Eaton</w:t>
      </w:r>
      <w:r w:rsidRPr="00AE47C6">
        <w:rPr>
          <w:rFonts w:ascii="Times New Roman" w:hAnsi="Times New Roman"/>
          <w:sz w:val="24"/>
          <w:szCs w:val="24"/>
        </w:rPr>
        <w:t xml:space="preserve"> също се наблюдава нарушение на невро-мускулното предаване и миастеноподобна картина, която има типични клинични и електрофизиологични разлики от МГ.</w:t>
      </w:r>
    </w:p>
    <w:p w14:paraId="699B3C6E" w14:textId="77777777" w:rsidR="00BE0B19" w:rsidRPr="00AE47C6" w:rsidRDefault="00BE0B19" w:rsidP="00BE0B19">
      <w:pPr>
        <w:spacing w:after="0" w:line="360" w:lineRule="auto"/>
        <w:jc w:val="both"/>
        <w:rPr>
          <w:rFonts w:ascii="Times New Roman" w:eastAsia="SimSun" w:hAnsi="Times New Roman"/>
          <w:b/>
          <w:i/>
          <w:sz w:val="24"/>
          <w:szCs w:val="24"/>
        </w:rPr>
      </w:pPr>
    </w:p>
    <w:p w14:paraId="036A24BA" w14:textId="77777777" w:rsidR="00BE0B19" w:rsidRPr="00AE47C6" w:rsidRDefault="00BE0B19" w:rsidP="00BE0B19">
      <w:pPr>
        <w:spacing w:after="0" w:line="360" w:lineRule="auto"/>
        <w:ind w:firstLine="708"/>
        <w:jc w:val="both"/>
        <w:rPr>
          <w:rFonts w:ascii="Times New Roman" w:eastAsia="SimSun" w:hAnsi="Times New Roman"/>
          <w:b/>
          <w:iCs/>
          <w:sz w:val="24"/>
          <w:szCs w:val="24"/>
        </w:rPr>
      </w:pPr>
      <w:r w:rsidRPr="00AE47C6">
        <w:rPr>
          <w:rFonts w:ascii="Times New Roman" w:eastAsia="SimSun" w:hAnsi="Times New Roman"/>
          <w:b/>
          <w:iCs/>
          <w:sz w:val="24"/>
          <w:szCs w:val="24"/>
        </w:rPr>
        <w:t>Лечение</w:t>
      </w:r>
    </w:p>
    <w:p w14:paraId="1A0FA21A"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Насочено е към постигане на задоволителен контрол на симптомите и минимизиране на риска от нежелани лекарствени реакции. Тази цел може да се постигне чрез индивидуален терапевтичен подход. МГ се третира съгласно сходни принципи, до голяма степен независимо от статуса на антителата. Лечебните стратегии могат да бъдат разделени на симптоматично лечение, което улеснява нервно-мускулното предаване и имуносупресивно лечение, насочено към подлежащия патологичен имунен отговор (фиг.  8. 2 и Табл. 8. 1).</w:t>
      </w:r>
    </w:p>
    <w:p w14:paraId="64CA9191" w14:textId="77777777" w:rsidR="00BE0B19" w:rsidRPr="00AE47C6" w:rsidRDefault="00BE0B19" w:rsidP="00BE0B19">
      <w:pPr>
        <w:spacing w:after="0" w:line="360" w:lineRule="auto"/>
        <w:jc w:val="both"/>
        <w:rPr>
          <w:rFonts w:ascii="Times New Roman" w:eastAsia="SimSun" w:hAnsi="Times New Roman"/>
          <w:iCs/>
          <w:sz w:val="24"/>
          <w:szCs w:val="24"/>
          <w:lang w:eastAsia="bg-BG"/>
        </w:rPr>
      </w:pPr>
    </w:p>
    <w:p w14:paraId="4A3F4483" w14:textId="77777777" w:rsidR="00BE0B19" w:rsidRPr="00AE47C6" w:rsidRDefault="00BE0B19" w:rsidP="00BE0B19">
      <w:pPr>
        <w:spacing w:after="0" w:line="360" w:lineRule="auto"/>
        <w:jc w:val="both"/>
        <w:rPr>
          <w:rFonts w:ascii="Times New Roman" w:eastAsia="SimSun" w:hAnsi="Times New Roman"/>
          <w:iCs/>
          <w:sz w:val="24"/>
          <w:szCs w:val="24"/>
          <w:lang w:eastAsia="bg-BG"/>
        </w:rPr>
      </w:pPr>
      <w:r w:rsidRPr="00AE47C6">
        <w:rPr>
          <w:rFonts w:ascii="Times New Roman" w:eastAsia="SimSun" w:hAnsi="Times New Roman"/>
          <w:i/>
          <w:noProof/>
          <w:sz w:val="24"/>
          <w:szCs w:val="24"/>
          <w:lang w:eastAsia="bg-BG"/>
        </w:rPr>
        <w:drawing>
          <wp:inline distT="0" distB="0" distL="0" distR="0" wp14:anchorId="5202B7FC" wp14:editId="4D592832">
            <wp:extent cx="4312920" cy="5503545"/>
            <wp:effectExtent l="0" t="0" r="0" b="1905"/>
            <wp:docPr id="205" name="Picture 205" descr="D:\Neurology\Myastenia gravis\Screenshot 2021-02-27 22.0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Neurology\Myastenia gravis\Screenshot 2021-02-27 22.02.50.png"/>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a:xfrm>
                      <a:off x="0" y="0"/>
                      <a:ext cx="4312920" cy="5503545"/>
                    </a:xfrm>
                    <a:prstGeom prst="rect">
                      <a:avLst/>
                    </a:prstGeom>
                    <a:noFill/>
                    <a:ln>
                      <a:noFill/>
                    </a:ln>
                  </pic:spPr>
                </pic:pic>
              </a:graphicData>
            </a:graphic>
          </wp:inline>
        </w:drawing>
      </w:r>
    </w:p>
    <w:p w14:paraId="78343173" w14:textId="77777777" w:rsidR="00BE0B19" w:rsidRPr="00AE47C6" w:rsidRDefault="00BE0B19" w:rsidP="00BE0B19">
      <w:pPr>
        <w:spacing w:after="0" w:line="360" w:lineRule="auto"/>
        <w:jc w:val="both"/>
        <w:rPr>
          <w:rFonts w:ascii="Times New Roman" w:eastAsia="SimSun" w:hAnsi="Times New Roman"/>
          <w:iCs/>
          <w:sz w:val="24"/>
          <w:szCs w:val="24"/>
          <w:lang w:eastAsia="bg-BG"/>
        </w:rPr>
      </w:pPr>
      <w:r w:rsidRPr="00AE47C6">
        <w:rPr>
          <w:rFonts w:ascii="Times New Roman" w:eastAsia="SimSun" w:hAnsi="Times New Roman"/>
          <w:iCs/>
          <w:sz w:val="24"/>
          <w:szCs w:val="24"/>
          <w:lang w:eastAsia="bg-BG"/>
        </w:rPr>
        <w:t>Фиг.8. 2 Алгоритъм за лечение на МГ</w:t>
      </w:r>
    </w:p>
    <w:p w14:paraId="0559FD25" w14:textId="77777777" w:rsidR="00BE0B19" w:rsidRPr="00AE47C6" w:rsidRDefault="00BE0B19" w:rsidP="00BE0B19">
      <w:pPr>
        <w:spacing w:after="0" w:line="360" w:lineRule="auto"/>
        <w:jc w:val="both"/>
        <w:rPr>
          <w:rFonts w:ascii="Times New Roman" w:eastAsia="SimSun" w:hAnsi="Times New Roman"/>
          <w:iCs/>
          <w:sz w:val="24"/>
          <w:szCs w:val="24"/>
          <w:lang w:eastAsia="bg-BG"/>
        </w:rPr>
      </w:pPr>
    </w:p>
    <w:p w14:paraId="68512B5D"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Таблица 8. 1. Алгоритъм за лечение на генерализирана и очна МГ </w:t>
      </w:r>
    </w:p>
    <w:p w14:paraId="0CF96E19" w14:textId="77777777" w:rsidR="00BE0B19" w:rsidRPr="00AE47C6" w:rsidRDefault="00BE0B19" w:rsidP="00BE0B19">
      <w:pPr>
        <w:spacing w:after="0" w:line="360" w:lineRule="auto"/>
        <w:jc w:val="both"/>
        <w:rPr>
          <w:rFonts w:ascii="Times New Roman" w:eastAsia="SimSun" w:hAnsi="Times New Roman"/>
          <w:sz w:val="24"/>
          <w:szCs w:val="24"/>
        </w:rPr>
      </w:pPr>
    </w:p>
    <w:tbl>
      <w:tblPr>
        <w:tblStyle w:val="TableGrid2"/>
        <w:tblW w:w="0" w:type="auto"/>
        <w:tblLook w:val="04A0" w:firstRow="1" w:lastRow="0" w:firstColumn="1" w:lastColumn="0" w:noHBand="0" w:noVBand="1"/>
      </w:tblPr>
      <w:tblGrid>
        <w:gridCol w:w="9060"/>
      </w:tblGrid>
      <w:tr w:rsidR="00BE0B19" w:rsidRPr="00AE47C6" w14:paraId="495A0484" w14:textId="77777777" w:rsidTr="00AD72E5">
        <w:tc>
          <w:tcPr>
            <w:tcW w:w="9062" w:type="dxa"/>
          </w:tcPr>
          <w:p w14:paraId="58016A5B"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sz w:val="24"/>
                <w:szCs w:val="24"/>
              </w:rPr>
              <w:t>Алгоритъм за лечение на генерализирана myasthenia gravis</w:t>
            </w:r>
          </w:p>
        </w:tc>
      </w:tr>
      <w:tr w:rsidR="00BE0B19" w:rsidRPr="00AE47C6" w14:paraId="58E88342" w14:textId="77777777" w:rsidTr="00AD72E5">
        <w:tc>
          <w:tcPr>
            <w:tcW w:w="9062" w:type="dxa"/>
          </w:tcPr>
          <w:p w14:paraId="1D6C2588" w14:textId="77777777" w:rsidR="00BE0B19" w:rsidRPr="00AE47C6" w:rsidRDefault="00BE0B19" w:rsidP="00BE0B19">
            <w:pPr>
              <w:numPr>
                <w:ilvl w:val="0"/>
                <w:numId w:val="371"/>
              </w:numPr>
              <w:spacing w:after="0" w:line="360" w:lineRule="auto"/>
              <w:jc w:val="both"/>
              <w:rPr>
                <w:rFonts w:ascii="Times New Roman" w:hAnsi="Times New Roman"/>
                <w:sz w:val="24"/>
                <w:szCs w:val="24"/>
              </w:rPr>
            </w:pPr>
            <w:r w:rsidRPr="00AE47C6">
              <w:rPr>
                <w:rFonts w:ascii="Times New Roman" w:hAnsi="Times New Roman"/>
                <w:sz w:val="24"/>
                <w:szCs w:val="24"/>
              </w:rPr>
              <w:t>Започване на лечение с pyridostigmine</w:t>
            </w:r>
          </w:p>
        </w:tc>
      </w:tr>
      <w:tr w:rsidR="00BE0B19" w:rsidRPr="00AE47C6" w14:paraId="093B0B26" w14:textId="77777777" w:rsidTr="00AD72E5">
        <w:tc>
          <w:tcPr>
            <w:tcW w:w="9062" w:type="dxa"/>
          </w:tcPr>
          <w:p w14:paraId="6B00654C" w14:textId="77777777" w:rsidR="00BE0B19" w:rsidRPr="00AE47C6" w:rsidRDefault="00BE0B19" w:rsidP="00BE0B19">
            <w:pPr>
              <w:numPr>
                <w:ilvl w:val="0"/>
                <w:numId w:val="371"/>
              </w:numPr>
              <w:spacing w:after="0" w:line="360" w:lineRule="auto"/>
              <w:jc w:val="both"/>
              <w:rPr>
                <w:rFonts w:ascii="Times New Roman" w:hAnsi="Times New Roman"/>
                <w:sz w:val="24"/>
                <w:szCs w:val="24"/>
              </w:rPr>
            </w:pPr>
            <w:r w:rsidRPr="00AE47C6">
              <w:rPr>
                <w:rFonts w:ascii="Times New Roman" w:hAnsi="Times New Roman"/>
                <w:sz w:val="24"/>
                <w:szCs w:val="24"/>
              </w:rPr>
              <w:t>При пациенти с анти-AChR антитела и на възраст под 50 години да се обмисли тимектомия.</w:t>
            </w:r>
          </w:p>
        </w:tc>
      </w:tr>
      <w:tr w:rsidR="00BE0B19" w:rsidRPr="00AE47C6" w14:paraId="394FD808" w14:textId="77777777" w:rsidTr="00AD72E5">
        <w:tc>
          <w:tcPr>
            <w:tcW w:w="9062" w:type="dxa"/>
          </w:tcPr>
          <w:p w14:paraId="39277211" w14:textId="77777777" w:rsidR="00BE0B19" w:rsidRPr="00AE47C6" w:rsidRDefault="00BE0B19" w:rsidP="00BE0B19">
            <w:pPr>
              <w:numPr>
                <w:ilvl w:val="0"/>
                <w:numId w:val="371"/>
              </w:numPr>
              <w:spacing w:after="0" w:line="360" w:lineRule="auto"/>
              <w:jc w:val="both"/>
              <w:rPr>
                <w:rFonts w:ascii="Times New Roman" w:hAnsi="Times New Roman"/>
                <w:sz w:val="24"/>
                <w:szCs w:val="24"/>
              </w:rPr>
            </w:pPr>
            <w:r w:rsidRPr="00AE47C6">
              <w:rPr>
                <w:rFonts w:ascii="Times New Roman" w:hAnsi="Times New Roman"/>
                <w:sz w:val="24"/>
                <w:szCs w:val="24"/>
              </w:rPr>
              <w:t>Ако симптомите не се овладеят с pyridostigmine се започва лечение с кортикостероиди.</w:t>
            </w:r>
          </w:p>
        </w:tc>
      </w:tr>
      <w:tr w:rsidR="00BE0B19" w:rsidRPr="00AE47C6" w14:paraId="207C1651" w14:textId="77777777" w:rsidTr="00AD72E5">
        <w:tc>
          <w:tcPr>
            <w:tcW w:w="9062" w:type="dxa"/>
          </w:tcPr>
          <w:p w14:paraId="471F8D49" w14:textId="77777777" w:rsidR="00BE0B19" w:rsidRPr="00AE47C6" w:rsidRDefault="00BE0B19" w:rsidP="00BE0B19">
            <w:pPr>
              <w:numPr>
                <w:ilvl w:val="0"/>
                <w:numId w:val="371"/>
              </w:numPr>
              <w:spacing w:after="0" w:line="360" w:lineRule="auto"/>
              <w:jc w:val="both"/>
              <w:rPr>
                <w:rFonts w:ascii="Times New Roman" w:hAnsi="Times New Roman"/>
                <w:sz w:val="24"/>
                <w:szCs w:val="24"/>
              </w:rPr>
            </w:pPr>
            <w:r w:rsidRPr="00AE47C6">
              <w:rPr>
                <w:rFonts w:ascii="Times New Roman" w:hAnsi="Times New Roman"/>
                <w:sz w:val="24"/>
                <w:szCs w:val="24"/>
              </w:rPr>
              <w:t>Ако симптомите се възвърнат при намаляване на дозата на кортикостероидите на 7,5 – 10 mg/дневно (15-20 mg при алтернираща схема) или повече, се започва и имуносупресивно лечение.</w:t>
            </w:r>
          </w:p>
        </w:tc>
      </w:tr>
      <w:tr w:rsidR="00BE0B19" w:rsidRPr="00AE47C6" w14:paraId="2EE8C273" w14:textId="77777777" w:rsidTr="00AD72E5">
        <w:tc>
          <w:tcPr>
            <w:tcW w:w="9062" w:type="dxa"/>
          </w:tcPr>
          <w:p w14:paraId="5370F160"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sz w:val="24"/>
                <w:szCs w:val="24"/>
              </w:rPr>
              <w:t>Алгоритъм за лечение на очна myasthenia gravis</w:t>
            </w:r>
          </w:p>
        </w:tc>
      </w:tr>
      <w:tr w:rsidR="00BE0B19" w:rsidRPr="00AE47C6" w14:paraId="5161E92A" w14:textId="77777777" w:rsidTr="00AD72E5">
        <w:tc>
          <w:tcPr>
            <w:tcW w:w="9062" w:type="dxa"/>
          </w:tcPr>
          <w:p w14:paraId="32786FB3" w14:textId="77777777" w:rsidR="00BE0B19" w:rsidRPr="00AE47C6" w:rsidRDefault="00BE0B19" w:rsidP="00BE0B19">
            <w:pPr>
              <w:numPr>
                <w:ilvl w:val="0"/>
                <w:numId w:val="372"/>
              </w:numPr>
              <w:spacing w:after="0" w:line="360" w:lineRule="auto"/>
              <w:jc w:val="both"/>
              <w:rPr>
                <w:rFonts w:ascii="Times New Roman" w:hAnsi="Times New Roman"/>
                <w:sz w:val="24"/>
                <w:szCs w:val="24"/>
              </w:rPr>
            </w:pPr>
            <w:r w:rsidRPr="00AE47C6">
              <w:rPr>
                <w:rFonts w:ascii="Times New Roman" w:hAnsi="Times New Roman"/>
                <w:sz w:val="24"/>
                <w:szCs w:val="24"/>
              </w:rPr>
              <w:t>Започване на лечение с pyridostigmine</w:t>
            </w:r>
          </w:p>
        </w:tc>
      </w:tr>
      <w:tr w:rsidR="00BE0B19" w:rsidRPr="00AE47C6" w14:paraId="4CF8034F" w14:textId="77777777" w:rsidTr="00AD72E5">
        <w:tc>
          <w:tcPr>
            <w:tcW w:w="9062" w:type="dxa"/>
          </w:tcPr>
          <w:p w14:paraId="343AC082" w14:textId="77777777" w:rsidR="00BE0B19" w:rsidRPr="00AE47C6" w:rsidRDefault="00BE0B19" w:rsidP="00BE0B19">
            <w:pPr>
              <w:numPr>
                <w:ilvl w:val="0"/>
                <w:numId w:val="372"/>
              </w:numPr>
              <w:spacing w:after="0" w:line="360" w:lineRule="auto"/>
              <w:jc w:val="both"/>
              <w:rPr>
                <w:rFonts w:ascii="Times New Roman" w:hAnsi="Times New Roman"/>
                <w:sz w:val="24"/>
                <w:szCs w:val="24"/>
              </w:rPr>
            </w:pPr>
            <w:r w:rsidRPr="00AE47C6">
              <w:rPr>
                <w:rFonts w:ascii="Times New Roman" w:hAnsi="Times New Roman"/>
                <w:sz w:val="24"/>
                <w:szCs w:val="24"/>
              </w:rPr>
              <w:t>Ако симптомите не се овладеят с pyridostigmine се започва лечение с кортикостероиди.</w:t>
            </w:r>
          </w:p>
        </w:tc>
      </w:tr>
      <w:tr w:rsidR="00BE0B19" w:rsidRPr="00AE47C6" w14:paraId="61A99C22" w14:textId="77777777" w:rsidTr="00AD72E5">
        <w:tc>
          <w:tcPr>
            <w:tcW w:w="9062" w:type="dxa"/>
          </w:tcPr>
          <w:p w14:paraId="61A3BD7F" w14:textId="77777777" w:rsidR="00BE0B19" w:rsidRPr="00AE47C6" w:rsidRDefault="00BE0B19" w:rsidP="00BE0B19">
            <w:pPr>
              <w:numPr>
                <w:ilvl w:val="0"/>
                <w:numId w:val="372"/>
              </w:numPr>
              <w:spacing w:after="0" w:line="360" w:lineRule="auto"/>
              <w:jc w:val="both"/>
              <w:rPr>
                <w:rFonts w:ascii="Times New Roman" w:hAnsi="Times New Roman"/>
                <w:sz w:val="24"/>
                <w:szCs w:val="24"/>
              </w:rPr>
            </w:pPr>
            <w:r w:rsidRPr="00AE47C6">
              <w:rPr>
                <w:rFonts w:ascii="Times New Roman" w:hAnsi="Times New Roman"/>
                <w:sz w:val="24"/>
                <w:szCs w:val="24"/>
              </w:rPr>
              <w:t>Ако симптомите се възвърнат при намаляване на дозата на кортикостероидите на 7,5 – 10 mg/дневно (15-20 mg при алтернираща схема) или повече, се започва и имуносупресивно лечение.</w:t>
            </w:r>
          </w:p>
        </w:tc>
      </w:tr>
      <w:tr w:rsidR="00BE0B19" w:rsidRPr="00AE47C6" w14:paraId="670FF61F" w14:textId="77777777" w:rsidTr="00AD72E5">
        <w:tc>
          <w:tcPr>
            <w:tcW w:w="9062" w:type="dxa"/>
          </w:tcPr>
          <w:p w14:paraId="42D7ACE0" w14:textId="77777777" w:rsidR="00BE0B19" w:rsidRPr="00AE47C6" w:rsidRDefault="00BE0B19" w:rsidP="00BE0B19">
            <w:pPr>
              <w:numPr>
                <w:ilvl w:val="0"/>
                <w:numId w:val="372"/>
              </w:numPr>
              <w:spacing w:after="0" w:line="360" w:lineRule="auto"/>
              <w:jc w:val="both"/>
              <w:rPr>
                <w:rFonts w:ascii="Times New Roman" w:hAnsi="Times New Roman"/>
                <w:sz w:val="24"/>
                <w:szCs w:val="24"/>
              </w:rPr>
            </w:pPr>
            <w:r w:rsidRPr="00AE47C6">
              <w:rPr>
                <w:rFonts w:ascii="Times New Roman" w:hAnsi="Times New Roman"/>
                <w:sz w:val="24"/>
                <w:szCs w:val="24"/>
              </w:rPr>
              <w:t>При пациенти с анти-AChR антитела и очна форма на МГ, които не отговарят адекватно на лечение с pyridostigmine и които са с контраиндикации за имуносупресивно лечение или са рефрактерни на такова лечение или го отказват, може да се приложи тимектомия.</w:t>
            </w:r>
          </w:p>
        </w:tc>
      </w:tr>
    </w:tbl>
    <w:p w14:paraId="6A6200EA" w14:textId="77777777" w:rsidR="00BE0B19" w:rsidRPr="00AE47C6" w:rsidRDefault="00BE0B19" w:rsidP="00BE0B19">
      <w:pPr>
        <w:spacing w:after="0" w:line="360" w:lineRule="auto"/>
        <w:jc w:val="both"/>
        <w:rPr>
          <w:rFonts w:ascii="Times New Roman" w:eastAsia="SimSun" w:hAnsi="Times New Roman"/>
          <w:b/>
          <w:i/>
          <w:iCs/>
          <w:sz w:val="24"/>
          <w:szCs w:val="24"/>
        </w:rPr>
      </w:pPr>
    </w:p>
    <w:p w14:paraId="4CCA024D" w14:textId="77777777" w:rsidR="00BE0B19" w:rsidRPr="00AE47C6" w:rsidRDefault="00BE0B19" w:rsidP="00BE0B19">
      <w:pPr>
        <w:spacing w:after="0" w:line="360" w:lineRule="auto"/>
        <w:ind w:firstLine="709"/>
        <w:jc w:val="both"/>
        <w:rPr>
          <w:rFonts w:ascii="Times New Roman" w:eastAsia="SimSun" w:hAnsi="Times New Roman"/>
          <w:b/>
          <w:i/>
          <w:iCs/>
          <w:sz w:val="24"/>
          <w:szCs w:val="24"/>
        </w:rPr>
      </w:pPr>
      <w:r w:rsidRPr="00AE47C6">
        <w:rPr>
          <w:rFonts w:ascii="Times New Roman" w:eastAsia="SimSun" w:hAnsi="Times New Roman"/>
          <w:b/>
          <w:i/>
          <w:iCs/>
          <w:sz w:val="24"/>
          <w:szCs w:val="24"/>
        </w:rPr>
        <w:t>Симптоматично лечение</w:t>
      </w:r>
    </w:p>
    <w:p w14:paraId="7CC7100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Антихолинестеразните средства</w:t>
      </w:r>
      <w:r w:rsidRPr="00AE47C6">
        <w:rPr>
          <w:rFonts w:ascii="Times New Roman" w:eastAsia="SimSun" w:hAnsi="Times New Roman"/>
          <w:sz w:val="24"/>
          <w:szCs w:val="24"/>
        </w:rPr>
        <w:t xml:space="preserve"> блокират обратимо ензима ацетилхолинестераза и забавят хидролизата на ацетихолина. Най-често в практиката се използва pyridostigmin</w:t>
      </w:r>
      <w:r w:rsidRPr="00AE47C6">
        <w:rPr>
          <w:rFonts w:ascii="Times New Roman" w:eastAsia="SimSun" w:hAnsi="Times New Roman"/>
          <w:sz w:val="24"/>
          <w:szCs w:val="24"/>
          <w:lang w:val="en-US"/>
        </w:rPr>
        <w:t>k</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Pyridostigmin</w:t>
      </w:r>
      <w:r w:rsidRPr="00AE47C6">
        <w:rPr>
          <w:rFonts w:ascii="Times New Roman" w:eastAsia="SimSun" w:hAnsi="Times New Roman"/>
          <w:b/>
          <w:i/>
          <w:sz w:val="24"/>
          <w:szCs w:val="24"/>
        </w:rPr>
        <w:t xml:space="preserve"> </w:t>
      </w:r>
      <w:r w:rsidRPr="00AE47C6">
        <w:rPr>
          <w:rFonts w:ascii="Times New Roman" w:eastAsia="SimSun" w:hAnsi="Times New Roman"/>
          <w:sz w:val="24"/>
          <w:szCs w:val="24"/>
        </w:rPr>
        <w:t>е средство на избор за симптоматично лечение на МГ особено в ранните етапи на заболяването и при леки, особено очни форми на МГ. Обичайната доза на pyridostigmin е 30 mg до 90 mg на 4-6 часа. Медикаментът се титрира до най-ниската ефективна доза. В началото на лечението и при по-леките форми може да се започне с 30 mg (1/2 табл.) 3-4 пъти дневно, след което може да се повиши до 60 mg (1 табл.) 4 пъти дневно и когато е необходимо до 90 mg 4-5 пъти дневно. Ефектът на медикамента започва след 20 минути с максимум на първия час и продължителност 3-4 часа. При недостатъчен ефект може да се увеличи еднократната доза или да се съкрати интервалът между приеманите дози. Максималната еднократна доза при по-големи интервали на прилагане е 180 mg. За вечерния прием е допустимо приложение на таблетни форми с контролирано освобождаване (не са налични в нашата страна). При повишаване на дозата съществува опасност от развитие на нежелани лекарствени реакции, от страна както на никотиновите, така и на мускариновите рецептори. Такива нежелани реакции рядко се появяват при дози под 300 mg/дневно. Най-честите мускаринови явления са чревен хипермотилитет (стомашни крампи, диария), увеличено слюноотделяне, повишена дихателна и гастроинтестинална секреция и брадикардия. Основните никотинови странични явления са мускулни фасцикулации и крампи. Холинергичните кризи с тежко клинично увреждане в днешно време са редки, поради ранното включване на имуносупресивна терапия, която намалява нуждата от високи дози на симптоматичното лечение. При пациенти с анти-MuSK МГ, антихолинестеразното лечение не се препоръчва, поради неефективност и повишен риск от поява на странични реакции.</w:t>
      </w:r>
    </w:p>
    <w:p w14:paraId="7BBE9E07" w14:textId="77777777" w:rsidR="00BE0B19" w:rsidRPr="00AE47C6" w:rsidRDefault="00BE0B19" w:rsidP="00BE0B19">
      <w:pPr>
        <w:spacing w:after="0" w:line="360" w:lineRule="auto"/>
        <w:ind w:firstLine="709"/>
        <w:jc w:val="both"/>
        <w:rPr>
          <w:rFonts w:ascii="Times New Roman" w:eastAsia="SimSun" w:hAnsi="Times New Roman"/>
          <w:sz w:val="24"/>
          <w:szCs w:val="24"/>
        </w:rPr>
      </w:pPr>
    </w:p>
    <w:p w14:paraId="5AC16974" w14:textId="77777777" w:rsidR="00BE0B19" w:rsidRPr="00AE47C6" w:rsidRDefault="00BE0B19" w:rsidP="00BE0B19">
      <w:pPr>
        <w:spacing w:after="0" w:line="360" w:lineRule="auto"/>
        <w:ind w:firstLine="708"/>
        <w:jc w:val="both"/>
        <w:rPr>
          <w:rFonts w:ascii="Times New Roman" w:eastAsia="SimSun" w:hAnsi="Times New Roman"/>
          <w:b/>
          <w:i/>
          <w:iCs/>
          <w:sz w:val="24"/>
          <w:szCs w:val="24"/>
        </w:rPr>
      </w:pPr>
      <w:r w:rsidRPr="00AE47C6">
        <w:rPr>
          <w:rFonts w:ascii="Times New Roman" w:eastAsia="SimSun" w:hAnsi="Times New Roman"/>
          <w:b/>
          <w:i/>
          <w:iCs/>
          <w:sz w:val="24"/>
          <w:szCs w:val="24"/>
        </w:rPr>
        <w:t>Имуносупресивно лечение</w:t>
      </w:r>
    </w:p>
    <w:p w14:paraId="48F76B2B"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Използва се при всички пациенти, при които не е постигнат задоволителен резултат от приложението на антихолинестеразно лечение. Кортикостероидите и azathioprine</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са лекарства на първи избор за имуносупресия при пациенти с МГ. При контраиндикации, нетолериране или недостатъчен контрол на заболяването при адекватни дози от тези медикаменти, могат да се приложат други имуносупресивни лекарства. Медикаменти на втора линия са cyclosporin А, methotrexate, mycophenolate mofetil, tacrolimus, rituximab, cyclophosphamide (приложение 2).</w:t>
      </w:r>
    </w:p>
    <w:p w14:paraId="56D73D4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Кортикостероидно (КС)</w:t>
      </w:r>
      <w:r w:rsidRPr="00AE47C6">
        <w:rPr>
          <w:rFonts w:ascii="Times New Roman" w:eastAsia="SimSun" w:hAnsi="Times New Roman"/>
          <w:sz w:val="24"/>
          <w:szCs w:val="24"/>
        </w:rPr>
        <w:t xml:space="preserve"> лечение се започва, когато ефектът от самостоятелното приложение на антихолинестеразни средства или комбинацията им с тимектомия е незадоволителен. Кортикостероидите имат действие върху имунната система посредством индуциране на Т-лимфоцитната апоптоза и потискане на транскрипцията на възпалителни цитокини. Проучвания са показали подобрение при кортикостероидно лечение на пациенти с очна форма на миастения. Има данни, че лечението на очна форма с КС намалява честотата на генерализирането на заболяването. Приложението на кортикостероиди може да става във възходящи или низходящи дозировки. В първия случай при генерализирана форма се започва с 10-20 mg prednisolone и дозата постепенно се покачва (10 mg седмично или по-бавно) до 60-80 mg еднократно дневно. При алтерниращия подход се редуват ден с пълна доза и ден с ниска доза (може да бъде по-ниска от основната или нулева). Максималната  доза се задържа до настъпване на ефект, траещ най-малко 2-3 месеца и постепенно се намалява за месеци до най-ниската ефективна доза. При очната форма дозата може да се покачва по-бързо (на 5 дни) и симптомите често се контролират от по-ниски максимални дози (50-60 mg). Намаляването на кортикостероидите става по-бавно от покачването им. Примерна схема за намаляване на кортикостероидното лечение е снижаване на дозата с 10 mg/месечно до 40 mg за алтерниращия ден, след което намаляване с 5 mg/месечно до 20 mg за алтерниращия ден, след което намаляване с 2,5 mg/месечно до 10 mg в алтерниращия ден. Под 10 mg в алтерниращия ден, намаляването се извършва с 1 mg/месечно, до достигане на поддържаща доза от 7-8 mg. Намаляването може да става алтерниращо с нулева или по-добре с редуване на по-висока и по-ниска доза. Ефектът от кортикостероидното лечение настъпва за около месец (4-16 седмици) и подобрение се установява при около 70-80% от пациентите. Високите начални парентерални дози methylprednisolone (100-120 mg urbason i.v.) могат да доведат до първоначално влошаване на симптоматиката и изискват мониториране в болнично заведение с възможност за дихателна реанимация. Обикновено се използват за критично болни пациенти в комбинация с други терапевтични методи (плазмафереза и/или имуноглобулини). В този случай след постигане на терапевтичен ефект, дозата също се намалява по начина указан по-горе. Необходимо е да се вземат под внимание и страничните ефекти на продължителното кортикостероидно лечение – акне, остеопороза, наддаване на тегло, повишаване на артериалното налягане, стомашно-чревни усложнения, развитие на диабет, миопатия, катаракта, глаукома, тревожност, депресия, безсъние, психози и др. Това налага системно ограничаване на въглехидратите и солта, както и приложение на антиацидни средства, използването на витамин D и бифосфонати при пациенти, получаващи продължително кортикостероиди. При пациенти със захарен диабет не се препоръчва алтерниращо лечение с кортикостероиди, а всекидневно поради по-добрия контрол на кръвната захар. </w:t>
      </w:r>
    </w:p>
    <w:p w14:paraId="1A564215"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Използването на имуносупресивни медикаменти, едновременно с кортикостероидите, се започва при кортикостероидни нежелани реакции, считани за значими от пациента или лекуващия лекар, при неадекватен отговор към кортикостероидното лечение или когато е невъзможно намаляване на кортикостероидното лечение, поради рецидив на симптомите (над 15-20 mg поддържащо кортикостероидно лечение се смята за индикация за започване на имуносупресивно лечение).</w:t>
      </w:r>
    </w:p>
    <w:p w14:paraId="7A31D413"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i/>
          <w:sz w:val="24"/>
          <w:szCs w:val="24"/>
        </w:rPr>
        <w:t xml:space="preserve">Azathioprine </w:t>
      </w:r>
      <w:r w:rsidRPr="00AE47C6">
        <w:rPr>
          <w:rFonts w:ascii="Times New Roman" w:eastAsia="SimSun" w:hAnsi="Times New Roman"/>
          <w:sz w:val="24"/>
          <w:szCs w:val="24"/>
        </w:rPr>
        <w:t>е пуринов аналог, който действа като пуринов антагонист и инхибира синтезата на ДНК и пролиферацията на клетките. Той се приема за имуносупресивно средство на първи избор при болни с МГ. Доказан е като стероид-щадящо лечение в рандомизирано проучване. Лечението с него се започва, когато КС не могат да се намалят в безопасни дози или едновременно с КС при пациенти с риск за странични реакции. Започва се с 50 mg (1 табл.) веднъж дневно, след което се покачва с 50 mg/седмично до достигане на нива от 2,5 mg/kg/дневно. Тази доза се подържа за 10-12 месеца, след което постепенно се намалява до 1 mg/kg/дневно. Началният терапевтичен отговор се наблюдава след 4-12 месеца от началото на лечението с максимален ефект след 6-24 месеца. Съществуват доказателства, че комбинацията от КС c azathioprine е по-ефективна, с по-дълги периоди на ремисия и с по-малко странични реакции в сравнение с монотерапия. Няколко проучвания са показали ефективност и намален риск от прогресия при лечение на очна форма на заболяването с azathioprine. Рязкото спиране на лечение с azathioprine</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може да доведе до поява или влошаване на миастенните симптоми, до развитие на миастенна криза, дори при пациенти с пълна или стабилна клинична ремисия. Някои пациенти могат да имат непоносимост към azathioprine, проявяващ се в първите 2 седмици на лечението с грипоподобни симптоми – температура, неразположение и повръщане. Нежеланите реакции се изразяват в левкопения, анемия, тромбоцитопения и хепатит, поради което е необходимо изследването на пълна кръвна картина и чернодробна функция преди започване на лечението, след което седмично за първите 4 седмици, на 3 месеца в първата година, след което на 6 месеца. Увеличението на чернодробните ензими се нормализира след намаляване на дозата, докато персистиращият хепатит или панкреатит са индикация за спиране на медикамента. Azathioprine</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трябва да се намали, когато левкоцитите спаднат под 4 х 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/L и да се спре при спадане под 3 х 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/L. При пациентите, започващи лечение с azathioprine е желателно изследване за генетичен вариант на ензима тиопурин С-метилтрансфераза (TPMT), който инактивира azathioprin. При генетично ниско ниво на ензима е възможна тежка миелосупресивна реакция, поради което тези пациенти не трябва да се лекуват с azathioprin. Някои пациенти, при дългосрочно лечение с azathioprin, развиват кожни хиперкератози и кожни тумори, което налага периодичната оценка на състоянието на кожата.</w:t>
      </w:r>
    </w:p>
    <w:p w14:paraId="64A1E2CC"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i/>
          <w:sz w:val="24"/>
          <w:szCs w:val="24"/>
        </w:rPr>
        <w:t xml:space="preserve">Cyclosporin </w:t>
      </w:r>
      <w:r w:rsidRPr="00AE47C6">
        <w:rPr>
          <w:rFonts w:ascii="Times New Roman" w:eastAsia="SimSun" w:hAnsi="Times New Roman"/>
          <w:sz w:val="24"/>
          <w:szCs w:val="24"/>
        </w:rPr>
        <w:t>е имуносупресивен агент, който потиска Т-клетъчната функция чрез инхибиране на калциневринната сигнализация. Ефикасността му при лечение на миастения гравис е потвърдена в малко рандомизирано проучване, но са необходими допълнителни по-мащабни изследвания. В проучване групата пациенти, лекувани със cyclosporin, е показала подобрение в мускулната сила и намаляване на титъра на анти-AChR антитела, в сравнение с контролна група пациенти. Лечението започва с дози от 3-5 mg/kg, разделени в два приема. Подобрение при лечение с Cyclosporin се наблюдава по-бързо – най-често в рамките на 4-8 седмици. След постигането му се започва намаляване на дозата до 2-2,5 mg/kg в двата отделни приема. Нежеланите реакции от лечението са повече, в сравнение с azathioprine. Те включват опортюнистични инфекции, миелосупресия, хипертрофия на венците, гастроинтестинални нарушения, нефротоксичност с хиперкалиемия и артериална хипертония. Някои специфични странични реакции са тремор, снижен  епилептичен праг и рядко възникването на обратима задна левкоенцефалопатия. Това, заедно с множеството взаимодействия с други лекарства, прави лечението с cyclosporin ограничено за малък брой пациенти с МГ, при неуспех на терапия с други лекарства. Желателен е периодичен контрол с изследване на левкоцитите, чернодробната и бъбречна функция.</w:t>
      </w:r>
    </w:p>
    <w:p w14:paraId="31869CBA"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i/>
          <w:sz w:val="24"/>
          <w:szCs w:val="24"/>
        </w:rPr>
        <w:t xml:space="preserve">Mycophenolate mofetil </w:t>
      </w:r>
      <w:r w:rsidRPr="00AE47C6">
        <w:rPr>
          <w:rFonts w:ascii="Times New Roman" w:eastAsia="SimSun" w:hAnsi="Times New Roman"/>
          <w:sz w:val="24"/>
          <w:szCs w:val="24"/>
        </w:rPr>
        <w:t>е имуносупресивен медикамент, който инхибира синтеза на пуриновите нуклеотиди и нарушава селективно пролиферацията на лимфоцитите. Две рандомизирани проучвания не са установили допълнителна полза на Mycophenolate mofetil като монотерапия спрямо prednisolone или като стероид-щадящ медикамент. Най-вероятно негативния резултат се дължи на дизайна на проучванията, тъй като множество по-малки други са го посочили като ефикасен при пациенти с миастения гравис, включително с терапевтично-резистентно протичане. Допуска се използването на медикамента при нетолериране или липса на отговор при лечение с azathioprine. Лечението започва с дози от 500 mg/дневно с покачване до 1,5-2 g/дневно.  Ефективност настъпва след 2-3 месеца, с максимална полза след 6-18 месеца. Едно проучване е установило, че Mycophenolate mofetil</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е ефективно стероид-щадящо средство и при дългогодишна терапия на очна форма на миастения гравис. При него поддържащата доза е била 1 g/дневно. Страничните реакции обикновено са леки и рядко могат да възникнат миелосупресия и хепатотоксичност. Желателно е проследяване на пълна кръвна картина при започване на лечението, след което седмично за четири седмици, след което два пъти месечно за два месеца, след което месечно за първата година и на всеки 6 месеца след това.</w:t>
      </w:r>
    </w:p>
    <w:p w14:paraId="143765A3"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i/>
          <w:sz w:val="24"/>
          <w:szCs w:val="24"/>
        </w:rPr>
        <w:t xml:space="preserve">Methotrexate </w:t>
      </w:r>
      <w:r w:rsidRPr="00AE47C6">
        <w:rPr>
          <w:rFonts w:ascii="Times New Roman" w:eastAsia="SimSun" w:hAnsi="Times New Roman"/>
          <w:sz w:val="24"/>
          <w:szCs w:val="24"/>
        </w:rPr>
        <w:t>е имуносупресор, който инхибира синтеза на ДНК, РНК и протеини и води до намаляване на пролиферацията на лимфоцитите. Въпреки че проучванията относно ефикасността на methotrexate</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при лечение на миастения са оскъдни, оралният methotrexate</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 xml:space="preserve">може да се приложи като стероид-щадяща терапия при пациенти с генерализирана миастения гравис, които не толерират или не отговарят на други стероид-щадящи медикаменти с по-добър клиничен профил. Лечение с дози 7,5-25 mg/седмично, в комбинация с фолиева киселина, е показало ефикасност като имуносупресивна терапия на втора линия за лечение на миастения. Поради по-малкото взаимодействия с други лекарства, </w:t>
      </w:r>
      <w:r w:rsidRPr="00AE47C6">
        <w:rPr>
          <w:rFonts w:ascii="Times New Roman" w:eastAsia="SimSun" w:hAnsi="Times New Roman"/>
          <w:iCs/>
          <w:sz w:val="24"/>
          <w:szCs w:val="24"/>
        </w:rPr>
        <w:t>methotrexate</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се предпочита пред cyclosporin при възрастни полиморбидни пациенти.</w:t>
      </w:r>
    </w:p>
    <w:p w14:paraId="2C42DE6E"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i/>
          <w:sz w:val="24"/>
          <w:szCs w:val="24"/>
        </w:rPr>
        <w:t xml:space="preserve">Cyclophosphamide </w:t>
      </w:r>
      <w:r w:rsidRPr="00AE47C6">
        <w:rPr>
          <w:rFonts w:ascii="Times New Roman" w:eastAsia="SimSun" w:hAnsi="Times New Roman"/>
          <w:sz w:val="24"/>
          <w:szCs w:val="24"/>
        </w:rPr>
        <w:t xml:space="preserve">е силен супресор на B-лимфоцитната активност и синтеза на антитела, а във високи дози има ефект и върху Т-лимфоцитите. Рандомизирано проучване е установило значимо подобрение в мускулната сила и използване на по-ниска доза кортикостероид при пациенти, приемащи двата медикамента, спрямо плацебо група, приемаща само кортикостероид. Венозното приложение на cyclophosphamide позволява намаляване на дозата на кортикостероидите, без влошаване в мускулната силна. Поради високия риск от токсичност, включващ супресия на костния мозък, опортюнистични инфекции, токсичност на пикочния мехур, риск от възникване на неоплазии, медикаментът се използва при пациенти с миастения гравис, които не толерират или не отговарят на терапия със стероиди плюс azathioprine, methotrexate, cyclosporin и mycophenolate mofetil. </w:t>
      </w:r>
    </w:p>
    <w:p w14:paraId="1C5BEEFD"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i/>
          <w:sz w:val="24"/>
          <w:szCs w:val="24"/>
        </w:rPr>
        <w:t xml:space="preserve">Tacrolimus </w:t>
      </w:r>
      <w:r w:rsidRPr="00AE47C6">
        <w:rPr>
          <w:rFonts w:ascii="Times New Roman" w:eastAsia="SimSun" w:hAnsi="Times New Roman"/>
          <w:sz w:val="24"/>
          <w:szCs w:val="24"/>
        </w:rPr>
        <w:t xml:space="preserve">инхибира пролиферацията на активираните Т-клетки, чрез калциневринната сигнализация (подобно на действието на cyclosporin). Няколко проучвания са установили клинична полза от медикамента (3-5 mg/дневно) при лечение на терапевтично-резистентна миастения гравис. Поради сходното си действие като cyclosporin, страничните лекарствени реакции също са сходни и са силно дозо-зависими. </w:t>
      </w:r>
      <w:r w:rsidRPr="00AE47C6">
        <w:rPr>
          <w:rFonts w:ascii="Times New Roman" w:eastAsia="SimSun" w:hAnsi="Times New Roman"/>
          <w:i/>
          <w:sz w:val="24"/>
          <w:szCs w:val="24"/>
        </w:rPr>
        <w:t xml:space="preserve">Tacrolimus </w:t>
      </w:r>
      <w:r w:rsidRPr="00AE47C6">
        <w:rPr>
          <w:rFonts w:ascii="Times New Roman" w:eastAsia="SimSun" w:hAnsi="Times New Roman"/>
          <w:sz w:val="24"/>
          <w:szCs w:val="24"/>
        </w:rPr>
        <w:t xml:space="preserve">е нефро- и невротоксичен и взаимодейства с множество други лекарства. </w:t>
      </w:r>
    </w:p>
    <w:p w14:paraId="0DEC2F43"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i/>
          <w:sz w:val="24"/>
          <w:szCs w:val="24"/>
        </w:rPr>
        <w:t xml:space="preserve">Rituximab </w:t>
      </w:r>
      <w:r w:rsidRPr="00AE47C6">
        <w:rPr>
          <w:rFonts w:ascii="Times New Roman" w:eastAsia="SimSun" w:hAnsi="Times New Roman"/>
          <w:sz w:val="24"/>
          <w:szCs w:val="24"/>
        </w:rPr>
        <w:t>е анти-СD20 моноклонално антитяло, което води до намаляване на B-лимфоцитите. Използва се при пациенти, които са резистентни на стандартна имуносупресия, в два режима – 375 mg/m</w:t>
      </w:r>
      <w:r w:rsidRPr="00AE47C6">
        <w:rPr>
          <w:rFonts w:ascii="Times New Roman" w:eastAsia="SimSun" w:hAnsi="Times New Roman"/>
          <w:sz w:val="24"/>
          <w:szCs w:val="24"/>
          <w:vertAlign w:val="superscript"/>
        </w:rPr>
        <w:t>2</w:t>
      </w:r>
      <w:r w:rsidRPr="00AE47C6">
        <w:rPr>
          <w:rFonts w:ascii="Times New Roman" w:eastAsia="SimSun" w:hAnsi="Times New Roman"/>
          <w:sz w:val="24"/>
          <w:szCs w:val="24"/>
        </w:rPr>
        <w:t xml:space="preserve">/седмично за четири последователни седмици или по 1 000 mg на първи и петнадесети ден. Повечето пациенти се нуждаят от повече от 1 курс на лечение. Поради липса на установен протокол решението за повторни курсове се взима на база на клиничното наблюдение и изследване на B-клетъчната субпопулация. Международните препоръки са в полза на започване на ранно лечение с </w:t>
      </w:r>
      <w:r w:rsidRPr="00AE47C6">
        <w:rPr>
          <w:rFonts w:ascii="Times New Roman" w:eastAsia="SimSun" w:hAnsi="Times New Roman"/>
          <w:i/>
          <w:sz w:val="24"/>
          <w:szCs w:val="24"/>
        </w:rPr>
        <w:t xml:space="preserve">Rituximab </w:t>
      </w:r>
      <w:r w:rsidRPr="00AE47C6">
        <w:rPr>
          <w:rFonts w:ascii="Times New Roman" w:eastAsia="SimSun" w:hAnsi="Times New Roman"/>
          <w:sz w:val="24"/>
          <w:szCs w:val="24"/>
        </w:rPr>
        <w:t xml:space="preserve">при пациенти с анти-MuSK антитела, които имат незадоволителен контрол след първоначалната имуносупресия. Ефикасността в проучвания при терапевтично резистентна анти-AChR миастения гравис е несигурна, но лечение с </w:t>
      </w:r>
      <w:r w:rsidRPr="00AE47C6">
        <w:rPr>
          <w:rFonts w:ascii="Times New Roman" w:eastAsia="SimSun" w:hAnsi="Times New Roman"/>
          <w:i/>
          <w:sz w:val="24"/>
          <w:szCs w:val="24"/>
        </w:rPr>
        <w:t xml:space="preserve">Rituximab </w:t>
      </w:r>
      <w:r w:rsidRPr="00AE47C6">
        <w:rPr>
          <w:rFonts w:ascii="Times New Roman" w:eastAsia="SimSun" w:hAnsi="Times New Roman"/>
          <w:sz w:val="24"/>
          <w:szCs w:val="24"/>
        </w:rPr>
        <w:t>се приема като опция ако други медикаменти не се толерират добре или не са достатъчно ефективни. Докладвани са три случая на прогресивна мултифокална левкоенцефалопатия при пациенти на лечение с Rituximab и предшестващо имуносупресивно лечение с други медикаменти.</w:t>
      </w:r>
    </w:p>
    <w:p w14:paraId="38DDDE87"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i/>
          <w:sz w:val="24"/>
          <w:szCs w:val="24"/>
        </w:rPr>
        <w:t xml:space="preserve">Eculizumab </w:t>
      </w:r>
      <w:r w:rsidRPr="00AE47C6">
        <w:rPr>
          <w:rFonts w:ascii="Times New Roman" w:eastAsia="SimSun" w:hAnsi="Times New Roman"/>
          <w:iCs/>
          <w:sz w:val="24"/>
          <w:szCs w:val="24"/>
        </w:rPr>
        <w:t>е</w:t>
      </w:r>
      <w:r w:rsidRPr="00AE47C6">
        <w:rPr>
          <w:rFonts w:ascii="Times New Roman" w:eastAsia="SimSun" w:hAnsi="Times New Roman"/>
          <w:i/>
          <w:sz w:val="24"/>
          <w:szCs w:val="24"/>
        </w:rPr>
        <w:t xml:space="preserve"> м</w:t>
      </w:r>
      <w:r w:rsidRPr="00AE47C6">
        <w:rPr>
          <w:rFonts w:ascii="Times New Roman" w:eastAsia="SimSun" w:hAnsi="Times New Roman"/>
          <w:sz w:val="24"/>
          <w:szCs w:val="24"/>
        </w:rPr>
        <w:t xml:space="preserve">оноклонално антитяло, което се свързва към протеин С5 и предотвратява активирането на комплимента. Рандомизирани проучвания са установили ползи при лечение на пациенти с терапевтично-резистентна миастения гравис. Препоръчва се започване на лечение с Eculizumab, при терапевтично резистентна, с налични анти-AChR антитела, генерализирана миастения гравис, след неуспех с други имуносупресивни медикаменти. Преди започване на лечението е желателно в не по-къс от двуседмичен период да се проведе ваксинация против менингококов менингит. Необходими са допълнителни проучвания за установяване на продължителността на терапията, необходима за достигане и поддържане на клинична ефективност, както и проучвания върху различна от терапевтично-резистентна миастения (напр. кризи на заболяването, като начален медикамент при терапевтично не-резистентна МГ). </w:t>
      </w:r>
    </w:p>
    <w:p w14:paraId="32AEBBEF" w14:textId="77777777" w:rsidR="00BE0B19" w:rsidRPr="00AE47C6" w:rsidRDefault="00BE0B19" w:rsidP="00BE0B19">
      <w:pPr>
        <w:spacing w:after="0" w:line="360" w:lineRule="auto"/>
        <w:ind w:firstLine="708"/>
        <w:jc w:val="both"/>
        <w:rPr>
          <w:rFonts w:ascii="Times New Roman" w:eastAsia="SimSun" w:hAnsi="Times New Roman"/>
          <w:sz w:val="24"/>
        </w:rPr>
      </w:pPr>
      <w:r w:rsidRPr="00AE47C6">
        <w:rPr>
          <w:rFonts w:ascii="Times New Roman" w:eastAsia="SimSun" w:hAnsi="Times New Roman"/>
          <w:sz w:val="24"/>
        </w:rPr>
        <w:t xml:space="preserve">Efgartigimod alfa е фрагмент на човешко </w:t>
      </w:r>
      <w:bookmarkStart w:id="183" w:name="_Hlk128995030"/>
      <w:r w:rsidRPr="00AE47C6">
        <w:rPr>
          <w:rFonts w:ascii="Times New Roman" w:eastAsia="SimSun" w:hAnsi="Times New Roman"/>
          <w:sz w:val="24"/>
        </w:rPr>
        <w:t>IgG1</w:t>
      </w:r>
      <w:bookmarkEnd w:id="183"/>
      <w:r w:rsidRPr="00AE47C6">
        <w:rPr>
          <w:rFonts w:ascii="Times New Roman" w:eastAsia="SimSun" w:hAnsi="Times New Roman"/>
          <w:sz w:val="24"/>
        </w:rPr>
        <w:t xml:space="preserve"> антитяло, създаден с повишен афинитет към неонаталния Fc рецептор (FcRn). Свързва се с FcRn, което води до намаляване на нивата на циркулиращия IgG, включително на патогенните IgG  автоантитела. Не повлиява нивата на останалите имуноглобулини (IgA, IgD, IgE или IgM) или на албумина. </w:t>
      </w:r>
    </w:p>
    <w:p w14:paraId="746C7FF6" w14:textId="77777777" w:rsidR="00BE0B19" w:rsidRPr="00AE47C6" w:rsidRDefault="00BE0B19" w:rsidP="00BE0B19">
      <w:pPr>
        <w:spacing w:after="0" w:line="360" w:lineRule="auto"/>
        <w:ind w:firstLine="708"/>
        <w:jc w:val="both"/>
        <w:rPr>
          <w:rFonts w:ascii="Times New Roman" w:eastAsia="SimSun" w:hAnsi="Times New Roman"/>
          <w:sz w:val="24"/>
        </w:rPr>
      </w:pPr>
      <w:r w:rsidRPr="00AE47C6">
        <w:rPr>
          <w:rFonts w:ascii="Times New Roman" w:eastAsia="SimSun" w:hAnsi="Times New Roman"/>
          <w:sz w:val="24"/>
        </w:rPr>
        <w:t>Разрешен от Европейската агенция по лекарствата през 2022 г. като допълваща терапия към стандартната терапия за лечение на възрастни пациенти с генерализирана myasthenia gravis, които са положителни за антитела срещу рецептори за ацетилхолин (AChR). Прилага се  като 1-часова интравенозна инфузия, на цикли от инфузии веднъж седмично в продължение на 4 седмици. Следващи цикли на лечение се прилагат съгласно клиничната оценка. Началото на отговора се наблюдава в рамките на 2 седмици след началната инфузия при 84% от пациентите. Най-често наблюдаваните нежелани реакции са инфекции на горните дихателни и на пикочните пътища.</w:t>
      </w:r>
    </w:p>
    <w:p w14:paraId="0175ECCB" w14:textId="77777777" w:rsidR="00BE0B19" w:rsidRPr="00AE47C6" w:rsidRDefault="00BE0B19" w:rsidP="00BE0B19">
      <w:pPr>
        <w:spacing w:after="0" w:line="360" w:lineRule="auto"/>
        <w:ind w:firstLine="708"/>
        <w:jc w:val="both"/>
        <w:rPr>
          <w:rFonts w:ascii="Times New Roman" w:eastAsia="SimSun" w:hAnsi="Times New Roman"/>
          <w:sz w:val="24"/>
        </w:rPr>
      </w:pPr>
      <w:r w:rsidRPr="00AE47C6">
        <w:rPr>
          <w:rFonts w:ascii="Times New Roman" w:eastAsia="SimSun" w:hAnsi="Times New Roman"/>
          <w:i/>
          <w:sz w:val="24"/>
          <w:szCs w:val="24"/>
        </w:rPr>
        <w:t xml:space="preserve">Тимектомия </w:t>
      </w:r>
      <w:r w:rsidRPr="00AE47C6">
        <w:rPr>
          <w:rFonts w:ascii="Times New Roman" w:eastAsia="SimSun" w:hAnsi="Times New Roman"/>
          <w:sz w:val="24"/>
          <w:szCs w:val="24"/>
        </w:rPr>
        <w:t xml:space="preserve">трябва да се приложи при почти всички пациенти с тимом. Всички пациенти на които им предстои тимектомия трябват да имат стабилен контрол на миастенните симптоми, постигнат периоперативно с правилно лечение. При пациенти с генерализирана МГ и налични анти-AChR антитела, на възраст между 18 и 50 години, тимектомията е желателно да се приложи в ранните етапи на заболяването, като се разчита на подобрение в клиничния изход и намаляване на нуждите от имуносупресивно лечение, както и нуждата от хоспитализация при екзацербация на заболяването. Ползите от тимектомия при пациенти над 50 годишна възраст и дългогодишна давност на заболяването е все още спорна. </w:t>
      </w:r>
      <w:r w:rsidRPr="00AE47C6">
        <w:rPr>
          <w:rFonts w:ascii="Times New Roman" w:eastAsia="SimSun" w:hAnsi="Times New Roman"/>
          <w:sz w:val="24"/>
        </w:rPr>
        <w:t xml:space="preserve">Въпреки липсата на рандомизирани проучвания, тимектомията може да се приложи при пациенти с генерализирана форма на миастения, без открити анти-AChR антитела, при липса на ефект от приложена имуносупресивна терапия. </w:t>
      </w:r>
    </w:p>
    <w:p w14:paraId="2409D4EE"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rPr>
        <w:t xml:space="preserve">Не се препоръчва тимектомия при очна форма на заболяването, освен при подбрани пациенти с анти-AChR антитела и липса на ефект от лечението с антихолинестеразни и имуносупресивни медикаменти. </w:t>
      </w:r>
      <w:r w:rsidRPr="00AE47C6">
        <w:rPr>
          <w:rFonts w:ascii="Times New Roman" w:eastAsia="SimSun" w:hAnsi="Times New Roman"/>
          <w:sz w:val="24"/>
          <w:szCs w:val="24"/>
        </w:rPr>
        <w:t xml:space="preserve">Някои проучвания са открили дългогодишна полза след тимектомия при пациенти с очна форма на миастения гравис и анти-AChR антитела, както и намаляване на честотата на генерализиране на заболяването. Въпреки това не се препоръчва тимектомия при очна форма на заболяването, освен при подбрани пациенти с терапевтично-резистентен ход. Данните от литературата сред пациенти с анти-MuSK МГ не са установили ползи от тимектомията, поради което тя не е подходяща за тях. Ретроспективно проучване е показало сходни резултати след тимектомия при 3-годишно проследяване при пациенти с анти-AChR антитела и при антитяло-негативни. Подобрение или ремисия след тимектомия са постигнати при 57% от антитяло-негативните и при 51% от анти-AChR позитивни пациенти. Въпреки липсата на рандомизирани проучвания, тимектомията може да се приложи при пациенти без открити антитела. </w:t>
      </w:r>
    </w:p>
    <w:p w14:paraId="283A763F" w14:textId="77777777" w:rsidR="00BE0B19" w:rsidRPr="00AE47C6" w:rsidRDefault="00BE0B19" w:rsidP="00BE0B19">
      <w:pPr>
        <w:spacing w:after="0" w:line="360" w:lineRule="auto"/>
        <w:ind w:firstLine="708"/>
        <w:jc w:val="both"/>
        <w:rPr>
          <w:rFonts w:ascii="Times New Roman" w:eastAsia="SimSun" w:hAnsi="Times New Roman"/>
          <w:sz w:val="24"/>
        </w:rPr>
      </w:pPr>
      <w:r w:rsidRPr="00AE47C6">
        <w:rPr>
          <w:rFonts w:ascii="Times New Roman" w:eastAsia="SimSun" w:hAnsi="Times New Roman"/>
          <w:sz w:val="24"/>
        </w:rPr>
        <w:t>Не се препоръчва тимектомия при пациенти с анти-LPR4 и анти-agrin антитела.</w:t>
      </w:r>
    </w:p>
    <w:p w14:paraId="65D70E50"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Трансстерналният достъп за тимектомия се използва широко, но в последно време по-малко инвазивните процедури като торакоскопска и роботизирана тимектомия, навлизат в клиничната практика. Препоръките са за използване на по-малко инвазивните техники, тъй като те са доказали сходни резултати с по-агресивните. Премахването на тимома се извършва с цел премахване на тумора и може да не доведе до подобрение на МГ. Цялата тимусна жлеза трябва да бъде отстранена заедно с тумора. По-нататъшното лечение на тимома зависи от хистологичната класификация и степента на хирургична ексцизия. Непълно резецираните тимоми трябва да се лекуват след операция с интердисциплинарен подход на лечение (лъчетерапия, химиотерапия). При пациенти в напреднала възраст или полиморбидни пациенти с тимома при подходящ клиничен статус може да се обмисли палиативна лъчетерапия. Малки тимоми могат да бъдат проследени без лечение, освен ако не се увеличат или не станат симптоматични.</w:t>
      </w:r>
    </w:p>
    <w:p w14:paraId="064CF6D5"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i/>
          <w:sz w:val="24"/>
          <w:szCs w:val="24"/>
        </w:rPr>
        <w:t xml:space="preserve">Поддържащи мерки. </w:t>
      </w:r>
      <w:r w:rsidRPr="00AE47C6">
        <w:rPr>
          <w:rFonts w:ascii="Times New Roman" w:eastAsia="SimSun" w:hAnsi="Times New Roman"/>
          <w:sz w:val="24"/>
          <w:szCs w:val="24"/>
        </w:rPr>
        <w:t xml:space="preserve">Въпреки липсата на убедителни доказателства в литературата, се предполага положителен ефект върху заболяването от редуциране на телесното тегло и модификация на дневната активност. Скорошно проучване е показало добър толеранс, подобрено качество на живот и подобрена мускулна сила при пациенти с лека степен на заболяването, подложени на контролирани тренировки сравнени с  такива, подложени само на стандартно лечение. Няколко доклада са посочили ползи от упражнения за дихателната мускулатура. Важно значение има и беседата с пациента върху естеството на заболяването, промените в начина на живот, възможните начини на лечение, както и възможните ефекти на приемани медикаменти и субстанции върху хода на миастенията (медикаменти, които могат да влошат МГ и алтернативни медикаменти - приложение 1).  </w:t>
      </w:r>
    </w:p>
    <w:p w14:paraId="51A60A6A"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i/>
          <w:sz w:val="24"/>
          <w:szCs w:val="24"/>
        </w:rPr>
        <w:t xml:space="preserve">Нови терапии. </w:t>
      </w:r>
      <w:r w:rsidRPr="00AE47C6">
        <w:rPr>
          <w:rFonts w:ascii="Times New Roman" w:eastAsia="SimSun" w:hAnsi="Times New Roman"/>
          <w:sz w:val="24"/>
          <w:szCs w:val="24"/>
        </w:rPr>
        <w:t>Въпреки че имуносупресивните агенти са ефективни при повечето пациенти с МГ, много от тях са свързани с дългосрочни странични ефекти, често непоносими за пациентите. От друга страна е необходимо дълго време, за да достигнат ефективност. С напредъка в транслационните изследвания и възможността за разработване на нови лекарства се достига до по-насочени терапевтични средства, които могат да променят бъдещето на лечението на МГ. Някои от изследваните в момента медикаменти включват инхибитори на терминалния комплемент C5, Fc рецепторни инхибитори, агенти за изчерпване на В клетките (анти CD19 и 20 и инхибитори на фактора за активиране на В-клетките), протеозомни инхибитори, терапии, базирани на цитокини и Т-клетки (химерна антигенна рецепторна Т-клетъчна терапия), приложение на подкожен имуноглобулин. Повечето от тези нови медикаменти имат предимства пред конвенционалното имуносупресивно лечение за МГ по отношение на по-бързото начало на действие, благоприятен профил на страничните ефекти и потенциала за трайна и дългосрочна ремисия.</w:t>
      </w:r>
    </w:p>
    <w:p w14:paraId="69EA77D2" w14:textId="77777777" w:rsidR="00BE0B19" w:rsidRPr="00AE47C6" w:rsidRDefault="00BE0B19" w:rsidP="00BE0B19">
      <w:pPr>
        <w:spacing w:after="0" w:line="360" w:lineRule="auto"/>
        <w:ind w:firstLine="708"/>
        <w:jc w:val="both"/>
        <w:rPr>
          <w:rFonts w:ascii="Times New Roman" w:eastAsia="SimSun" w:hAnsi="Times New Roman"/>
          <w:sz w:val="24"/>
          <w:szCs w:val="24"/>
        </w:rPr>
      </w:pPr>
    </w:p>
    <w:p w14:paraId="6303A208" w14:textId="77777777" w:rsidR="00BE0B19" w:rsidRPr="00AE47C6" w:rsidRDefault="00BE0B19" w:rsidP="00BE0B19">
      <w:pPr>
        <w:suppressAutoHyphens/>
        <w:autoSpaceDN w:val="0"/>
        <w:spacing w:after="0" w:line="360" w:lineRule="auto"/>
        <w:ind w:firstLine="708"/>
        <w:textAlignment w:val="baseline"/>
        <w:rPr>
          <w:rFonts w:ascii="Times New Roman" w:eastAsia="Lucida Sans Unicode" w:hAnsi="Times New Roman"/>
          <w:b/>
          <w:bCs/>
          <w:kern w:val="3"/>
          <w:sz w:val="24"/>
          <w:szCs w:val="24"/>
          <w:lang w:eastAsia="bg-BG" w:bidi="hi-IN"/>
        </w:rPr>
      </w:pPr>
      <w:r w:rsidRPr="00AE47C6">
        <w:rPr>
          <w:rFonts w:ascii="Times New Roman" w:eastAsia="Lucida Sans Unicode" w:hAnsi="Times New Roman"/>
          <w:b/>
          <w:bCs/>
          <w:kern w:val="3"/>
          <w:sz w:val="24"/>
          <w:szCs w:val="24"/>
          <w:lang w:eastAsia="bg-BG" w:bidi="hi-IN"/>
        </w:rPr>
        <w:t>Миастения гравис и бременност</w:t>
      </w:r>
    </w:p>
    <w:p w14:paraId="1D6BF895" w14:textId="77777777" w:rsidR="00BE0B19" w:rsidRPr="00AE47C6" w:rsidRDefault="00BE0B19" w:rsidP="00BE0B19">
      <w:pPr>
        <w:suppressAutoHyphens/>
        <w:autoSpaceDN w:val="0"/>
        <w:spacing w:after="0" w:line="360" w:lineRule="auto"/>
        <w:ind w:firstLine="709"/>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Научната литература е оскъдна и не може да даде основание за препоръки на базата на клинични проучвания. Счита се, че миастенията не се влошава по време на бременност, но по-често се наблюдават екзацербации след раждането. Миастения гравис се среща рядко, поради което липсва специфична информация за медикаментите по време на бременност. Много от данните са екстраполирани от проучвания за употреба на имуносупресанти при други автоимунни заболявания по време на бременност.</w:t>
      </w:r>
    </w:p>
    <w:p w14:paraId="522C2047" w14:textId="77777777" w:rsidR="00BE0B19" w:rsidRPr="00AE47C6" w:rsidRDefault="00BE0B19" w:rsidP="00BE0B19">
      <w:pPr>
        <w:suppressAutoHyphens/>
        <w:autoSpaceDN w:val="0"/>
        <w:spacing w:after="0" w:line="360" w:lineRule="auto"/>
        <w:ind w:firstLine="709"/>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i/>
          <w:iCs/>
          <w:kern w:val="3"/>
          <w:sz w:val="24"/>
          <w:szCs w:val="24"/>
          <w:lang w:eastAsia="zh-CN" w:bidi="hi-IN"/>
        </w:rPr>
        <w:t>Преди бременността</w:t>
      </w:r>
      <w:r w:rsidRPr="00AE47C6">
        <w:rPr>
          <w:rFonts w:ascii="Times New Roman" w:eastAsia="SimSun" w:hAnsi="Times New Roman"/>
          <w:kern w:val="3"/>
          <w:sz w:val="24"/>
          <w:szCs w:val="24"/>
          <w:lang w:eastAsia="zh-CN" w:bidi="hi-IN"/>
        </w:rPr>
        <w:t xml:space="preserve"> пациентките в детеродна възраст следва да се посъветват с лекуващия си невролог и да получат информация за лечението по време на бременност и възможните странични ефекти от него. Оптимално е бременността да бъде планирана при стабилизирана миастения. Ако се обсъжда тимектомия, правилно е тя да се проведе преди бременността. Трябва да се определи състоянието на щитовидната жлеза преди забременяването, като следва да се постигне еутироиден статус. Пациентките трябва да получат инструкции да не прекъсват действащата имуносупресивна терапия и pyridostigmine по време на бременност. При планиране на бременност е уместно да се избягват медикаментите с известен тератогенен ефект (methotrexate и mycophenolate mofetil). Ако те не могат да се спрат е уместно на жените да се даде информация относно риска за плода и необходимостта за контрацепция. </w:t>
      </w:r>
    </w:p>
    <w:p w14:paraId="01DF2DD2" w14:textId="77777777" w:rsidR="00BE0B19" w:rsidRPr="00AE47C6" w:rsidRDefault="00BE0B19" w:rsidP="00BE0B19">
      <w:pPr>
        <w:suppressAutoHyphens/>
        <w:autoSpaceDN w:val="0"/>
        <w:spacing w:after="0" w:line="360" w:lineRule="auto"/>
        <w:ind w:firstLine="709"/>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i/>
          <w:iCs/>
          <w:kern w:val="3"/>
          <w:sz w:val="24"/>
          <w:szCs w:val="24"/>
          <w:lang w:eastAsia="zh-CN" w:bidi="hi-IN"/>
        </w:rPr>
        <w:t>По време на бременността</w:t>
      </w:r>
      <w:r w:rsidRPr="00AE47C6">
        <w:rPr>
          <w:rFonts w:ascii="Times New Roman" w:eastAsia="SimSun" w:hAnsi="Times New Roman"/>
          <w:kern w:val="3"/>
          <w:sz w:val="24"/>
          <w:szCs w:val="24"/>
          <w:lang w:eastAsia="zh-CN" w:bidi="hi-IN"/>
        </w:rPr>
        <w:t xml:space="preserve"> лечението следва да се осъществява от интердисциплинарен екип включващ невролог, личен лекар, гинеколог и анестезиолог. Бременните със стабилна миастения най-често нямат влошавания по време на бременността и раждането. Пациентките трябва да бъдат информирани да не променят терапията си и че употребата на prednisolone, azathioprine, cyclosporine и pyridostigmine е безопасна за тях и за плода (табл. 8.2). Кортикостероидите са имуномодулиращо средство на избор. Желателно е при необходимост да се прилагат само през II и III триместър, в по-ниски дози. В Европа azathioprine се предписва широко на бременни и е некортикостероиден имуносупресор на избор. В САЩ същият медикамент се счита за високо рисков и не се прилага. Пациентките с непланирана бременност на лечение с methotrexate и mycophenolate mofetil трябва да знаят за тератогенния ефект на медикаментите и че не трябва те да се спират рязко поради риск от влошаване, без при това да може да бъде избегнат тератогенният им ефект. </w:t>
      </w:r>
    </w:p>
    <w:p w14:paraId="69ED8596" w14:textId="77777777" w:rsidR="00BE0B19" w:rsidRPr="00AE47C6" w:rsidRDefault="00BE0B19" w:rsidP="00BE0B19">
      <w:pPr>
        <w:suppressAutoHyphens/>
        <w:autoSpaceDN w:val="0"/>
        <w:spacing w:after="0" w:line="360" w:lineRule="auto"/>
        <w:ind w:firstLine="709"/>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 xml:space="preserve">Тироидната функция трябва да се проследи по време на ранната бременност, особено ако не е изследвана предварително. </w:t>
      </w:r>
    </w:p>
    <w:p w14:paraId="582AC374" w14:textId="77777777" w:rsidR="00BE0B19" w:rsidRPr="00AE47C6" w:rsidRDefault="00BE0B19" w:rsidP="00BE0B19">
      <w:pPr>
        <w:suppressAutoHyphens/>
        <w:autoSpaceDN w:val="0"/>
        <w:spacing w:after="0" w:line="360" w:lineRule="auto"/>
        <w:ind w:firstLine="709"/>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 xml:space="preserve">Бременните с МГ трябва внимателно да се проследяват за инфекции, особено на уринарния тракт и при наличие на такива, трябва веднага да се лекуват с антибиотици. Пациентките и лекуващия екип трябва да разполагат със списък за медикаментите, които могат да влошат myasthenia gravis. </w:t>
      </w:r>
    </w:p>
    <w:p w14:paraId="7B992290" w14:textId="77777777" w:rsidR="00BE0B19" w:rsidRPr="00AE47C6" w:rsidRDefault="00BE0B19" w:rsidP="00BE0B19">
      <w:pPr>
        <w:suppressAutoHyphens/>
        <w:autoSpaceDN w:val="0"/>
        <w:spacing w:after="0" w:line="360" w:lineRule="auto"/>
        <w:ind w:firstLine="709"/>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 xml:space="preserve"> Уместно е провеждане на скенер на плода на 12-та и 20-та гестационна седмица. След 24-та гестационна седмица трябва да се следят движенията на плода, а 2-4 седмици преди раждането да се установи размера на матката – за полихидрамнион и подвижност на фетуса. При пациентки с МГ рядко се среща като усложнение на плода артрогрипоза. При наличие на бременност с артрогрипоза трябва активно да се търси миастения у майката.</w:t>
      </w:r>
    </w:p>
    <w:p w14:paraId="3CCFDDF5" w14:textId="4A8BE2F9" w:rsidR="00BE0B19" w:rsidRPr="00AE47C6" w:rsidRDefault="00BE0B19" w:rsidP="00BE0B19">
      <w:pPr>
        <w:suppressAutoHyphens/>
        <w:autoSpaceDN w:val="0"/>
        <w:spacing w:after="0" w:line="360" w:lineRule="auto"/>
        <w:ind w:firstLine="709"/>
        <w:rPr>
          <w:rFonts w:ascii="Times New Roman" w:eastAsia="SimSun" w:hAnsi="Times New Roman"/>
          <w:sz w:val="24"/>
          <w:szCs w:val="24"/>
        </w:rPr>
      </w:pPr>
    </w:p>
    <w:p w14:paraId="738F52D4" w14:textId="5C699031" w:rsidR="00701B4A" w:rsidRPr="00AE47C6" w:rsidRDefault="00701B4A" w:rsidP="00BE0B19">
      <w:pPr>
        <w:suppressAutoHyphens/>
        <w:autoSpaceDN w:val="0"/>
        <w:spacing w:after="0" w:line="360" w:lineRule="auto"/>
        <w:ind w:firstLine="709"/>
        <w:rPr>
          <w:rFonts w:ascii="Times New Roman" w:eastAsia="SimSun" w:hAnsi="Times New Roman"/>
          <w:sz w:val="24"/>
          <w:szCs w:val="24"/>
        </w:rPr>
      </w:pPr>
    </w:p>
    <w:p w14:paraId="58CD8755" w14:textId="5FCDB86B" w:rsidR="00701B4A" w:rsidRPr="00AE47C6" w:rsidRDefault="00701B4A" w:rsidP="00BE0B19">
      <w:pPr>
        <w:suppressAutoHyphens/>
        <w:autoSpaceDN w:val="0"/>
        <w:spacing w:after="0" w:line="360" w:lineRule="auto"/>
        <w:ind w:firstLine="709"/>
        <w:rPr>
          <w:rFonts w:ascii="Times New Roman" w:eastAsia="SimSun" w:hAnsi="Times New Roman"/>
          <w:sz w:val="24"/>
          <w:szCs w:val="24"/>
        </w:rPr>
      </w:pPr>
    </w:p>
    <w:p w14:paraId="7228DA54" w14:textId="244CB337" w:rsidR="00701B4A" w:rsidRPr="00AE47C6" w:rsidRDefault="00701B4A" w:rsidP="00BE0B19">
      <w:pPr>
        <w:suppressAutoHyphens/>
        <w:autoSpaceDN w:val="0"/>
        <w:spacing w:after="0" w:line="360" w:lineRule="auto"/>
        <w:ind w:firstLine="709"/>
        <w:rPr>
          <w:rFonts w:ascii="Times New Roman" w:eastAsia="SimSun" w:hAnsi="Times New Roman"/>
          <w:sz w:val="24"/>
          <w:szCs w:val="24"/>
        </w:rPr>
      </w:pPr>
    </w:p>
    <w:p w14:paraId="2D8411A2" w14:textId="77777777" w:rsidR="00701B4A" w:rsidRPr="00AE47C6" w:rsidRDefault="00701B4A" w:rsidP="00BE0B19">
      <w:pPr>
        <w:suppressAutoHyphens/>
        <w:autoSpaceDN w:val="0"/>
        <w:spacing w:after="0" w:line="360" w:lineRule="auto"/>
        <w:ind w:firstLine="709"/>
        <w:rPr>
          <w:rFonts w:ascii="Times New Roman" w:eastAsia="SimSun" w:hAnsi="Times New Roman"/>
          <w:sz w:val="24"/>
          <w:szCs w:val="24"/>
        </w:rPr>
      </w:pPr>
    </w:p>
    <w:p w14:paraId="0D82CC5C" w14:textId="77777777" w:rsidR="00BE0B19" w:rsidRPr="00AE47C6" w:rsidRDefault="00BE0B19" w:rsidP="00BE0B19">
      <w:pPr>
        <w:suppressAutoHyphens/>
        <w:autoSpaceDN w:val="0"/>
        <w:spacing w:after="0" w:line="360" w:lineRule="auto"/>
        <w:ind w:firstLine="709"/>
        <w:rPr>
          <w:rFonts w:ascii="Times New Roman" w:eastAsia="SimSun" w:hAnsi="Times New Roman"/>
          <w:b/>
          <w:sz w:val="24"/>
          <w:szCs w:val="24"/>
        </w:rPr>
      </w:pPr>
      <w:r w:rsidRPr="00AE47C6">
        <w:rPr>
          <w:rFonts w:ascii="Times New Roman" w:eastAsia="SimSun" w:hAnsi="Times New Roman"/>
          <w:b/>
          <w:kern w:val="3"/>
          <w:sz w:val="24"/>
          <w:szCs w:val="24"/>
          <w:lang w:eastAsia="zh-CN" w:bidi="ar"/>
        </w:rPr>
        <w:t>Таблица 8.2.</w:t>
      </w:r>
      <w:r w:rsidRPr="00AE47C6">
        <w:rPr>
          <w:rFonts w:ascii="Times New Roman" w:eastAsia="SimSun" w:hAnsi="Times New Roman"/>
          <w:kern w:val="3"/>
          <w:sz w:val="24"/>
          <w:szCs w:val="24"/>
          <w:lang w:eastAsia="zh-CN" w:bidi="ar"/>
        </w:rPr>
        <w:t xml:space="preserve"> </w:t>
      </w:r>
      <w:r w:rsidRPr="00AE47C6">
        <w:rPr>
          <w:rFonts w:ascii="Times New Roman" w:eastAsia="SimSun" w:hAnsi="Times New Roman"/>
          <w:b/>
          <w:kern w:val="3"/>
          <w:sz w:val="24"/>
          <w:szCs w:val="24"/>
          <w:lang w:eastAsia="zh-CN" w:bidi="ar"/>
        </w:rPr>
        <w:t>Сигурност на медикаментите за лечение на МГ при бременност и кърмене</w:t>
      </w:r>
    </w:p>
    <w:p w14:paraId="6DE69C6B" w14:textId="77777777" w:rsidR="00BE0B19" w:rsidRPr="00AE47C6" w:rsidRDefault="00BE0B19" w:rsidP="00BE0B19">
      <w:pPr>
        <w:suppressAutoHyphens/>
        <w:autoSpaceDN w:val="0"/>
        <w:spacing w:after="0" w:line="360" w:lineRule="auto"/>
        <w:ind w:firstLine="709"/>
        <w:rPr>
          <w:rFonts w:ascii="Times New Roman" w:eastAsia="SimSun" w:hAnsi="Times New Roman"/>
          <w:sz w:val="24"/>
          <w:szCs w:val="24"/>
        </w:rPr>
      </w:pPr>
    </w:p>
    <w:tbl>
      <w:tblPr>
        <w:tblStyle w:val="a6"/>
        <w:tblW w:w="9918" w:type="dxa"/>
        <w:tblInd w:w="0" w:type="dxa"/>
        <w:tblCellMar>
          <w:left w:w="10" w:type="dxa"/>
          <w:right w:w="10" w:type="dxa"/>
        </w:tblCellMar>
        <w:tblLook w:val="04A0" w:firstRow="1" w:lastRow="0" w:firstColumn="1" w:lastColumn="0" w:noHBand="0" w:noVBand="1"/>
      </w:tblPr>
      <w:tblGrid>
        <w:gridCol w:w="1852"/>
        <w:gridCol w:w="2474"/>
        <w:gridCol w:w="2738"/>
        <w:gridCol w:w="1509"/>
        <w:gridCol w:w="1345"/>
      </w:tblGrid>
      <w:tr w:rsidR="00BE0B19" w:rsidRPr="00AE47C6" w14:paraId="1A80F556" w14:textId="77777777" w:rsidTr="00AD72E5">
        <w:tc>
          <w:tcPr>
            <w:tcW w:w="18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30B9B26"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Медикамент</w:t>
            </w:r>
          </w:p>
        </w:tc>
        <w:tc>
          <w:tcPr>
            <w:tcW w:w="257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F4BD866"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Нежелани реакции</w:t>
            </w:r>
          </w:p>
        </w:tc>
        <w:tc>
          <w:tcPr>
            <w:tcW w:w="287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BB9817F"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Забележка</w:t>
            </w:r>
          </w:p>
        </w:tc>
        <w:tc>
          <w:tcPr>
            <w:tcW w:w="15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6A9A0B4"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Употреба при бременност</w:t>
            </w:r>
          </w:p>
        </w:tc>
        <w:tc>
          <w:tcPr>
            <w:tcW w:w="108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48702BE"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Употреба при кърмене</w:t>
            </w:r>
          </w:p>
        </w:tc>
      </w:tr>
      <w:tr w:rsidR="00BE0B19" w:rsidRPr="00AE47C6" w14:paraId="703E2953" w14:textId="77777777" w:rsidTr="00AD72E5">
        <w:tc>
          <w:tcPr>
            <w:tcW w:w="18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050B490"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 xml:space="preserve">Pyridostigmine </w:t>
            </w:r>
          </w:p>
        </w:tc>
        <w:tc>
          <w:tcPr>
            <w:tcW w:w="257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32BEDBA"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Не са докладвани</w:t>
            </w:r>
          </w:p>
        </w:tc>
        <w:tc>
          <w:tcPr>
            <w:tcW w:w="287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74BC440"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Обичайна употреба. Могат да се обсъдят по-чести приеми.</w:t>
            </w:r>
          </w:p>
        </w:tc>
        <w:tc>
          <w:tcPr>
            <w:tcW w:w="15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0B49042"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Да</w:t>
            </w:r>
          </w:p>
        </w:tc>
        <w:tc>
          <w:tcPr>
            <w:tcW w:w="108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A0F18FB"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да</w:t>
            </w:r>
          </w:p>
        </w:tc>
      </w:tr>
      <w:tr w:rsidR="00BE0B19" w:rsidRPr="00AE47C6" w14:paraId="615122D4" w14:textId="77777777" w:rsidTr="00AD72E5">
        <w:tc>
          <w:tcPr>
            <w:tcW w:w="18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BC454AF"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 xml:space="preserve">Prednisolone </w:t>
            </w:r>
          </w:p>
        </w:tc>
        <w:tc>
          <w:tcPr>
            <w:tcW w:w="257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5F1770B"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Липсват убедителни данни за лицево-челюстни малформации. Повишен риск от гестационен диабет, хипертония и инфекции</w:t>
            </w:r>
          </w:p>
        </w:tc>
        <w:tc>
          <w:tcPr>
            <w:tcW w:w="287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B70C70D"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Употреба в минимални възможни дози. Активно търсене на гестационен диабет.</w:t>
            </w:r>
          </w:p>
        </w:tc>
        <w:tc>
          <w:tcPr>
            <w:tcW w:w="15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0910056"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Да</w:t>
            </w:r>
          </w:p>
        </w:tc>
        <w:tc>
          <w:tcPr>
            <w:tcW w:w="108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5C6A913"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да</w:t>
            </w:r>
          </w:p>
        </w:tc>
      </w:tr>
      <w:tr w:rsidR="00BE0B19" w:rsidRPr="00AE47C6" w14:paraId="26395CD7" w14:textId="77777777" w:rsidTr="00AD72E5">
        <w:tc>
          <w:tcPr>
            <w:tcW w:w="18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0B212A2"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 xml:space="preserve">Azathioprine </w:t>
            </w:r>
          </w:p>
        </w:tc>
        <w:tc>
          <w:tcPr>
            <w:tcW w:w="257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A818EBE"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Левкопения</w:t>
            </w:r>
          </w:p>
        </w:tc>
        <w:tc>
          <w:tcPr>
            <w:tcW w:w="287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74DEA36"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Обичайна употреба. Мониториране на левкоцити и чернодробни ензими</w:t>
            </w:r>
          </w:p>
        </w:tc>
        <w:tc>
          <w:tcPr>
            <w:tcW w:w="15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31F0118"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Да</w:t>
            </w:r>
          </w:p>
        </w:tc>
        <w:tc>
          <w:tcPr>
            <w:tcW w:w="108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779C9A3"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да</w:t>
            </w:r>
          </w:p>
        </w:tc>
      </w:tr>
      <w:tr w:rsidR="00BE0B19" w:rsidRPr="00AE47C6" w14:paraId="12573995" w14:textId="77777777" w:rsidTr="00AD72E5">
        <w:tc>
          <w:tcPr>
            <w:tcW w:w="18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1AB69CB"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Cyclosporine/</w:t>
            </w:r>
          </w:p>
          <w:p w14:paraId="28064160"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 xml:space="preserve">Tacrolimus </w:t>
            </w:r>
          </w:p>
        </w:tc>
        <w:tc>
          <w:tcPr>
            <w:tcW w:w="257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306D54C"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Повишен риск от гестационен диабет при такролимус</w:t>
            </w:r>
          </w:p>
        </w:tc>
        <w:tc>
          <w:tcPr>
            <w:tcW w:w="287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83191CA"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Обичайна употреба. Мониториране на левкоцити, чернодробни, креатинин и диабет.</w:t>
            </w:r>
          </w:p>
        </w:tc>
        <w:tc>
          <w:tcPr>
            <w:tcW w:w="15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0B2A94D"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Да</w:t>
            </w:r>
          </w:p>
        </w:tc>
        <w:tc>
          <w:tcPr>
            <w:tcW w:w="108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115F4A6"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да</w:t>
            </w:r>
          </w:p>
        </w:tc>
      </w:tr>
      <w:tr w:rsidR="00BE0B19" w:rsidRPr="00AE47C6" w14:paraId="290FF8BB" w14:textId="77777777" w:rsidTr="00AD72E5">
        <w:tc>
          <w:tcPr>
            <w:tcW w:w="18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748C23A" w14:textId="77777777" w:rsidR="00BE0B19" w:rsidRPr="00AE47C6" w:rsidRDefault="00BE0B19" w:rsidP="00BE0B19">
            <w:pPr>
              <w:suppressAutoHyphens/>
              <w:spacing w:after="0" w:line="360" w:lineRule="auto"/>
              <w:rPr>
                <w:rFonts w:ascii="Times New Roman" w:eastAsia="SimSun" w:hAnsi="Times New Roman" w:cs="Times New Roman"/>
                <w:sz w:val="24"/>
                <w:szCs w:val="24"/>
                <w:lang w:eastAsia="zh-CN" w:bidi="ar"/>
              </w:rPr>
            </w:pPr>
            <w:r w:rsidRPr="00AE47C6">
              <w:rPr>
                <w:rFonts w:ascii="Times New Roman" w:eastAsia="SimSun" w:hAnsi="Times New Roman" w:cs="Times New Roman"/>
                <w:sz w:val="24"/>
                <w:szCs w:val="24"/>
                <w:lang w:eastAsia="zh-CN" w:bidi="ar"/>
              </w:rPr>
              <w:t>Mycophenolate mofetil</w:t>
            </w:r>
          </w:p>
          <w:p w14:paraId="7D4FEE47" w14:textId="77777777" w:rsidR="00BE0B19" w:rsidRPr="00AE47C6" w:rsidRDefault="00BE0B19" w:rsidP="00BE0B19">
            <w:pPr>
              <w:suppressAutoHyphens/>
              <w:spacing w:after="0" w:line="360" w:lineRule="auto"/>
              <w:rPr>
                <w:rFonts w:ascii="Times New Roman" w:hAnsi="Times New Roman" w:cs="Times New Roman"/>
                <w:sz w:val="24"/>
                <w:szCs w:val="24"/>
              </w:rPr>
            </w:pPr>
          </w:p>
        </w:tc>
        <w:tc>
          <w:tcPr>
            <w:tcW w:w="257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E75175F"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Тератогенен  риск изчислен до 25%</w:t>
            </w:r>
          </w:p>
        </w:tc>
        <w:tc>
          <w:tcPr>
            <w:tcW w:w="287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D0E81D5"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Спиране на лечението и започване на друго по възможност преди бременността. Не се спира рязко при непланирана бременност.</w:t>
            </w:r>
          </w:p>
        </w:tc>
        <w:tc>
          <w:tcPr>
            <w:tcW w:w="15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097BEFD"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Не</w:t>
            </w:r>
          </w:p>
        </w:tc>
        <w:tc>
          <w:tcPr>
            <w:tcW w:w="108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886DE6E"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неизвестна</w:t>
            </w:r>
          </w:p>
        </w:tc>
      </w:tr>
      <w:tr w:rsidR="00BE0B19" w:rsidRPr="00AE47C6" w14:paraId="222768EF" w14:textId="77777777" w:rsidTr="00AD72E5">
        <w:tc>
          <w:tcPr>
            <w:tcW w:w="18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4C5DE72"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 xml:space="preserve">Methotrexate </w:t>
            </w:r>
          </w:p>
        </w:tc>
        <w:tc>
          <w:tcPr>
            <w:tcW w:w="257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5F3A451"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Тератогенен  риск изчислен до 15 - 20%</w:t>
            </w:r>
          </w:p>
        </w:tc>
        <w:tc>
          <w:tcPr>
            <w:tcW w:w="287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EF3764A"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Период на очистване преди бременност – 3 месеца. Не се спира рязко при непланирана бременност.</w:t>
            </w:r>
          </w:p>
        </w:tc>
        <w:tc>
          <w:tcPr>
            <w:tcW w:w="15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D0DDDEF"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Не</w:t>
            </w:r>
          </w:p>
        </w:tc>
        <w:tc>
          <w:tcPr>
            <w:tcW w:w="108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807E6A0"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не</w:t>
            </w:r>
          </w:p>
        </w:tc>
      </w:tr>
      <w:tr w:rsidR="00BE0B19" w:rsidRPr="00AE47C6" w14:paraId="712117BA" w14:textId="77777777" w:rsidTr="00AD72E5">
        <w:tc>
          <w:tcPr>
            <w:tcW w:w="18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CF16660"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Интравенозен имуноглобулин</w:t>
            </w:r>
          </w:p>
        </w:tc>
        <w:tc>
          <w:tcPr>
            <w:tcW w:w="257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3F14AA4"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Не са докладвани</w:t>
            </w:r>
          </w:p>
        </w:tc>
        <w:tc>
          <w:tcPr>
            <w:tcW w:w="287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AC94048" w14:textId="77777777" w:rsidR="00BE0B19" w:rsidRPr="00AE47C6" w:rsidRDefault="00BE0B19" w:rsidP="00BE0B19">
            <w:pPr>
              <w:suppressAutoHyphens/>
              <w:spacing w:after="0" w:line="360" w:lineRule="auto"/>
              <w:rPr>
                <w:rFonts w:ascii="Times New Roman" w:hAnsi="Times New Roman" w:cs="Times New Roman"/>
                <w:sz w:val="24"/>
                <w:szCs w:val="24"/>
              </w:rPr>
            </w:pPr>
          </w:p>
        </w:tc>
        <w:tc>
          <w:tcPr>
            <w:tcW w:w="152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5B3E7AB"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Да</w:t>
            </w:r>
          </w:p>
        </w:tc>
        <w:tc>
          <w:tcPr>
            <w:tcW w:w="108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1CB58FA" w14:textId="77777777" w:rsidR="00BE0B19" w:rsidRPr="00AE47C6" w:rsidRDefault="00BE0B19" w:rsidP="00BE0B19">
            <w:pPr>
              <w:suppressAutoHyphens/>
              <w:spacing w:after="0" w:line="360" w:lineRule="auto"/>
              <w:rPr>
                <w:rFonts w:ascii="Times New Roman" w:hAnsi="Times New Roman" w:cs="Times New Roman"/>
                <w:sz w:val="24"/>
                <w:szCs w:val="24"/>
              </w:rPr>
            </w:pPr>
            <w:r w:rsidRPr="00AE47C6">
              <w:rPr>
                <w:rFonts w:ascii="Times New Roman" w:eastAsia="SimSun" w:hAnsi="Times New Roman" w:cs="Times New Roman"/>
                <w:sz w:val="24"/>
                <w:szCs w:val="24"/>
                <w:lang w:eastAsia="zh-CN" w:bidi="ar"/>
              </w:rPr>
              <w:t>да</w:t>
            </w:r>
          </w:p>
        </w:tc>
      </w:tr>
    </w:tbl>
    <w:p w14:paraId="1D984185" w14:textId="77777777" w:rsidR="00BE0B19" w:rsidRPr="00AE47C6" w:rsidRDefault="00BE0B19" w:rsidP="00BE0B19">
      <w:pPr>
        <w:suppressAutoHyphens/>
        <w:autoSpaceDN w:val="0"/>
        <w:spacing w:after="0" w:line="360" w:lineRule="auto"/>
        <w:ind w:firstLine="709"/>
        <w:jc w:val="both"/>
        <w:textAlignment w:val="baseline"/>
        <w:rPr>
          <w:rFonts w:ascii="Times New Roman" w:eastAsia="SimSun" w:hAnsi="Times New Roman"/>
          <w:kern w:val="3"/>
          <w:sz w:val="24"/>
          <w:szCs w:val="24"/>
          <w:lang w:eastAsia="zh-CN" w:bidi="hi-IN"/>
        </w:rPr>
      </w:pPr>
    </w:p>
    <w:p w14:paraId="75165AF6" w14:textId="77777777" w:rsidR="00BE0B19" w:rsidRPr="00AE47C6" w:rsidRDefault="00BE0B19" w:rsidP="00BE0B19">
      <w:pPr>
        <w:suppressAutoHyphens/>
        <w:autoSpaceDN w:val="0"/>
        <w:spacing w:after="0" w:line="360" w:lineRule="auto"/>
        <w:ind w:firstLine="709"/>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 xml:space="preserve">За </w:t>
      </w:r>
      <w:r w:rsidRPr="00AE47C6">
        <w:rPr>
          <w:rFonts w:ascii="Times New Roman" w:eastAsia="SimSun" w:hAnsi="Times New Roman"/>
          <w:i/>
          <w:iCs/>
          <w:kern w:val="3"/>
          <w:sz w:val="24"/>
          <w:szCs w:val="24"/>
          <w:lang w:eastAsia="zh-CN" w:bidi="hi-IN"/>
        </w:rPr>
        <w:t>раждането</w:t>
      </w:r>
      <w:r w:rsidRPr="00AE47C6">
        <w:rPr>
          <w:rFonts w:ascii="Times New Roman" w:eastAsia="SimSun" w:hAnsi="Times New Roman"/>
          <w:kern w:val="3"/>
          <w:sz w:val="24"/>
          <w:szCs w:val="24"/>
          <w:lang w:eastAsia="zh-CN" w:bidi="hi-IN"/>
        </w:rPr>
        <w:t xml:space="preserve"> следва да се подсигурят подходящи условия с възможност за интензивни грижи за майката и бебето – гинеколог, анестезиолог, неонатолог, невролог на разположение. При жените със стабилна миастения трябва да се предпочете вагинално раждане. Цезарово сечение се предприема само по акушерски показания. Жените трябва да продължат приема на pyridostigmine по време на раждането. Пациентките, които приемат хронично стероиди (&gt;7,5 и &lt;15 mg), е уместно да получат за раждането стрес-доза кортикостероид. </w:t>
      </w:r>
    </w:p>
    <w:p w14:paraId="75AC92CA" w14:textId="77777777" w:rsidR="00BE0B19" w:rsidRPr="00AE47C6" w:rsidRDefault="00BE0B19" w:rsidP="00BE0B19">
      <w:pPr>
        <w:suppressAutoHyphens/>
        <w:autoSpaceDN w:val="0"/>
        <w:spacing w:after="0" w:line="360" w:lineRule="auto"/>
        <w:ind w:firstLine="709"/>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 xml:space="preserve">Много от анестетиците, които се приемат за противопоказани, могат да се употребяват без проблем при подходящо мониториране. Въпреки това, когато е възможно се предпочита епидурална/спинална, пред обща анестезия. Стандартна практика за обща анестезия е увод с thiopental или propofol, последвани от деполяризиращ мускулен релаксант за интубацията. Анестезията се поддържа с инхалационни анестетици и опиоиди. Пациентките са много чувствителни към недеполяризиращите мускулни релаксанти, които трябва да се прилагат в по-ниски дози и да се избягват по възможност. Трябва да се избягва употребата на магнезиев сулфат за профилактика на еклампсия. При наличие на еклампсия с гърчове, магнезиев сулфат следва да се прилага с повишено внимание и при наличие на условия за интубация и вентилация. </w:t>
      </w:r>
    </w:p>
    <w:p w14:paraId="7888404C" w14:textId="77777777" w:rsidR="00BE0B19" w:rsidRPr="00AE47C6" w:rsidRDefault="00BE0B19" w:rsidP="00BE0B19">
      <w:pPr>
        <w:suppressAutoHyphens/>
        <w:autoSpaceDN w:val="0"/>
        <w:spacing w:after="0" w:line="360" w:lineRule="auto"/>
        <w:ind w:firstLine="709"/>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 xml:space="preserve">При пациентки с миастения трябва винаги да се има предвид, че съществува възможност за </w:t>
      </w:r>
      <w:r w:rsidRPr="00AE47C6">
        <w:rPr>
          <w:rFonts w:ascii="Times New Roman" w:eastAsia="SimSun" w:hAnsi="Times New Roman"/>
          <w:i/>
          <w:iCs/>
          <w:kern w:val="3"/>
          <w:sz w:val="24"/>
          <w:szCs w:val="24"/>
          <w:lang w:eastAsia="zh-CN" w:bidi="hi-IN"/>
        </w:rPr>
        <w:t>преходна неонатална МГ</w:t>
      </w:r>
      <w:r w:rsidRPr="00AE47C6">
        <w:rPr>
          <w:rFonts w:ascii="Times New Roman" w:eastAsia="SimSun" w:hAnsi="Times New Roman"/>
          <w:kern w:val="3"/>
          <w:sz w:val="24"/>
          <w:szCs w:val="24"/>
          <w:lang w:eastAsia="zh-CN" w:bidi="hi-IN"/>
        </w:rPr>
        <w:t xml:space="preserve">, независимо от тежестта на заболяването на майката. Заболяването се характеризира с хипотония, мускулна слабост, булбарна и дихателна недостатъчност, поради което раждането трябва да се осъществява в клиники с възможност за неонатална ресусцитация.     </w:t>
      </w:r>
    </w:p>
    <w:p w14:paraId="1E1799A0" w14:textId="77777777" w:rsidR="00BE0B19" w:rsidRPr="00AE47C6" w:rsidRDefault="00BE0B19" w:rsidP="00BE0B19">
      <w:pPr>
        <w:suppressAutoHyphens/>
        <w:autoSpaceDN w:val="0"/>
        <w:spacing w:after="0" w:line="360" w:lineRule="auto"/>
        <w:ind w:firstLine="709"/>
        <w:jc w:val="both"/>
        <w:textAlignment w:val="baseline"/>
        <w:rPr>
          <w:rFonts w:ascii="Times New Roman" w:eastAsia="SimSun" w:hAnsi="Times New Roman"/>
          <w:i/>
          <w:iCs/>
          <w:kern w:val="3"/>
          <w:sz w:val="24"/>
          <w:szCs w:val="24"/>
          <w:lang w:eastAsia="zh-CN" w:bidi="hi-IN"/>
        </w:rPr>
      </w:pPr>
      <w:r w:rsidRPr="00AE47C6">
        <w:rPr>
          <w:rFonts w:ascii="Times New Roman" w:eastAsia="SimSun" w:hAnsi="Times New Roman"/>
          <w:i/>
          <w:iCs/>
          <w:kern w:val="3"/>
          <w:sz w:val="24"/>
          <w:szCs w:val="24"/>
          <w:lang w:eastAsia="zh-CN" w:bidi="hi-IN"/>
        </w:rPr>
        <w:t xml:space="preserve">След раждането. </w:t>
      </w:r>
    </w:p>
    <w:p w14:paraId="0A6D45E7" w14:textId="77777777" w:rsidR="00BE0B19" w:rsidRPr="00AE47C6" w:rsidRDefault="00BE0B19" w:rsidP="00BE0B19">
      <w:pPr>
        <w:suppressAutoHyphens/>
        <w:autoSpaceDN w:val="0"/>
        <w:spacing w:after="0" w:line="360" w:lineRule="auto"/>
        <w:ind w:firstLine="709"/>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i/>
          <w:iCs/>
          <w:kern w:val="3"/>
          <w:sz w:val="24"/>
          <w:szCs w:val="24"/>
          <w:lang w:eastAsia="zh-CN" w:bidi="hi-IN"/>
        </w:rPr>
        <w:t>Състоянието на майката</w:t>
      </w:r>
      <w:r w:rsidRPr="00AE47C6">
        <w:rPr>
          <w:rFonts w:ascii="Times New Roman" w:eastAsia="SimSun" w:hAnsi="Times New Roman"/>
          <w:kern w:val="3"/>
          <w:sz w:val="24"/>
          <w:szCs w:val="24"/>
          <w:lang w:eastAsia="zh-CN" w:bidi="hi-IN"/>
        </w:rPr>
        <w:t xml:space="preserve"> трябва внимателно да се проследява, тъй като след раждането може да настъпи влошаване, особено при хирургична интервенция или наличие на инфекция. При пациентки с МГ трябва да се насърчава кърменето, което не е противопоказано при прием на prednisolone, azathioprine и pyridostigmine. </w:t>
      </w:r>
    </w:p>
    <w:p w14:paraId="1D1F59EE" w14:textId="77777777" w:rsidR="00BE0B19" w:rsidRPr="00AE47C6" w:rsidRDefault="00BE0B19" w:rsidP="00BE0B19">
      <w:pPr>
        <w:suppressAutoHyphens/>
        <w:autoSpaceDN w:val="0"/>
        <w:spacing w:after="0" w:line="360" w:lineRule="auto"/>
        <w:ind w:firstLine="709"/>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i/>
          <w:iCs/>
          <w:kern w:val="3"/>
          <w:sz w:val="24"/>
          <w:szCs w:val="24"/>
          <w:lang w:eastAsia="zh-CN" w:bidi="hi-IN"/>
        </w:rPr>
        <w:t>Състоянието на детето</w:t>
      </w:r>
      <w:r w:rsidRPr="00AE47C6">
        <w:rPr>
          <w:rFonts w:ascii="Times New Roman" w:eastAsia="SimSun" w:hAnsi="Times New Roman"/>
          <w:kern w:val="3"/>
          <w:sz w:val="24"/>
          <w:szCs w:val="24"/>
          <w:lang w:eastAsia="zh-CN" w:bidi="hi-IN"/>
        </w:rPr>
        <w:t xml:space="preserve"> може да влоши часове до няколко дни след раждането, със симптомите на преходна неонатална миастения. Състоянието не корелира с тежестта на болестта на майката. Уместно е мониториране на бебето за булбарни и дихателни отклонения за около 2-3 дни. Най-внимателно следва да се проследяват децата на майките с MUSK форма на МГ, тъй като при тях се наблюдават най-сериозни нарушения. Честотата на неонатална миастения е между 9 и 30%. </w:t>
      </w:r>
    </w:p>
    <w:p w14:paraId="56C9BCFA" w14:textId="77777777" w:rsidR="00BE0B19" w:rsidRPr="00AE47C6" w:rsidRDefault="00BE0B19" w:rsidP="00BE0B19">
      <w:pPr>
        <w:suppressAutoHyphens/>
        <w:autoSpaceDN w:val="0"/>
        <w:spacing w:after="0" w:line="360" w:lineRule="auto"/>
        <w:ind w:firstLine="709"/>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Лечението на неонаталната миастения е поддържащо – назогастрална сонда за хранене и прием на pyridostigmine и адекватно поддържане на дишането. При по-тежки случаи може да се обсъди приложение на имуновенин. Трансфузионното лечение следва да се прилага само по изключение при много тежки случаи. Провеждането на ЕМГ изисква специални умения и е трудно приложимо, но остава единственият метод за диагностика в неонаталния период.</w:t>
      </w:r>
    </w:p>
    <w:p w14:paraId="1463A188" w14:textId="77777777" w:rsidR="00BE0B19" w:rsidRPr="00AE47C6" w:rsidRDefault="00BE0B19" w:rsidP="00BE0B19">
      <w:pPr>
        <w:suppressAutoHyphens/>
        <w:autoSpaceDN w:val="0"/>
        <w:spacing w:after="0" w:line="360" w:lineRule="auto"/>
        <w:ind w:firstLine="709"/>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 xml:space="preserve">Въпреки че неонаталната миастения като цяло е преходна, при бебета на майки с антитела към феталния ацетилхолинов рецептор, може да се развие продължителна миопатия с велофарингеална недостатъчност.   </w:t>
      </w:r>
    </w:p>
    <w:p w14:paraId="4D38A8A9" w14:textId="77777777" w:rsidR="00BE0B19" w:rsidRPr="00AE47C6" w:rsidRDefault="00BE0B19" w:rsidP="00BE0B19">
      <w:pPr>
        <w:suppressAutoHyphens/>
        <w:autoSpaceDN w:val="0"/>
        <w:spacing w:after="0" w:line="360" w:lineRule="auto"/>
        <w:ind w:firstLine="709"/>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i/>
          <w:iCs/>
          <w:kern w:val="3"/>
          <w:sz w:val="24"/>
          <w:szCs w:val="24"/>
          <w:lang w:eastAsia="zh-CN" w:bidi="hi-IN"/>
        </w:rPr>
        <w:t>Миастения в детска възраст</w:t>
      </w:r>
      <w:r w:rsidRPr="00AE47C6">
        <w:rPr>
          <w:rFonts w:ascii="Times New Roman" w:eastAsia="SimSun" w:hAnsi="Times New Roman"/>
          <w:kern w:val="3"/>
          <w:sz w:val="24"/>
          <w:szCs w:val="24"/>
          <w:lang w:eastAsia="zh-CN" w:bidi="hi-IN"/>
        </w:rPr>
        <w:t xml:space="preserve"> се среща рядко (10% от всички случаи), по-често при китайски деца, като в повечето случаи формата остава очна. Диагностичният процес протича като при възрастни, но серонегативните случаи са повече, което налага изследвания за антитела или за конгенитален миастенен синдром, независимо че последният не е бил открит след раждането. При деца също следва да се търси тимом, но той е много по-рядка патология в тази възраст. Спонтанната ремисия се среща по-често и трябва да бъде направен опит да се спести терапията с имуносупресанти, ако това е възможно. Възможни са късни малигнени усложнения при лечение с azathioprine. При деца с персистираща симптоматика въпреки оптимално медикаментозно лечение, може да обсъди тимектомия.</w:t>
      </w:r>
    </w:p>
    <w:p w14:paraId="11AB3576" w14:textId="77777777" w:rsidR="00BE0B19" w:rsidRPr="00AE47C6" w:rsidRDefault="00BE0B19" w:rsidP="00BE0B19">
      <w:pPr>
        <w:suppressAutoHyphens/>
        <w:autoSpaceDN w:val="0"/>
        <w:spacing w:after="0" w:line="360" w:lineRule="auto"/>
        <w:ind w:firstLine="709"/>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i/>
          <w:iCs/>
          <w:kern w:val="3"/>
          <w:sz w:val="24"/>
          <w:szCs w:val="24"/>
          <w:lang w:eastAsia="zh-CN" w:bidi="hi-IN"/>
        </w:rPr>
        <w:t>Конгениталните миастенни синдроми</w:t>
      </w:r>
      <w:r w:rsidRPr="00AE47C6">
        <w:rPr>
          <w:rFonts w:ascii="Times New Roman" w:eastAsia="SimSun" w:hAnsi="Times New Roman"/>
          <w:kern w:val="3"/>
          <w:sz w:val="24"/>
          <w:szCs w:val="24"/>
          <w:lang w:eastAsia="zh-CN" w:bidi="hi-IN"/>
        </w:rPr>
        <w:t xml:space="preserve"> са хетерогенна група от редки състояния, които се характеризират с миастенна симптоматика при раждане, в ранна детска възраст и по-късно. Типично се наблюдават птоза, офталмоплегия, булбарна дисфункция, стридор и по-рядко дихателна недостатъчност. Синдромът възниква поради различни мутации в гените свързани с протеините на ацетилхолиновия рецептор, не е имуномедииран и поради това не се повлиява от имуномодулиращо и супресивно лечение. Синдромът е труден за диагностика и е обект на дейността на високо специализирани центрове по невромускулни заболявания. Понякога конгениталния миастенен синдром се проявява по време на бременност и след раждане. Рискът за предаване на синдрома на плода е нисък, а пациентките се третират като такива с автоимунна миастения.</w:t>
      </w:r>
    </w:p>
    <w:p w14:paraId="702EB014" w14:textId="77777777" w:rsidR="00BE0B19" w:rsidRPr="00AE47C6" w:rsidRDefault="00BE0B19" w:rsidP="00BE0B19">
      <w:pPr>
        <w:spacing w:after="0" w:line="360" w:lineRule="auto"/>
        <w:jc w:val="both"/>
        <w:rPr>
          <w:rFonts w:ascii="Times New Roman" w:eastAsia="SimSun" w:hAnsi="Times New Roman"/>
          <w:sz w:val="24"/>
          <w:szCs w:val="24"/>
        </w:rPr>
      </w:pPr>
    </w:p>
    <w:p w14:paraId="4A25E2A8" w14:textId="77777777" w:rsidR="00BE0B19" w:rsidRPr="00AE47C6" w:rsidRDefault="00BE0B19" w:rsidP="00BE0B19">
      <w:pPr>
        <w:suppressAutoHyphens/>
        <w:autoSpaceDN w:val="0"/>
        <w:spacing w:after="0" w:line="360" w:lineRule="auto"/>
        <w:ind w:firstLine="709"/>
        <w:textAlignment w:val="baseline"/>
        <w:rPr>
          <w:rFonts w:ascii="Times New Roman" w:eastAsia="SimSun" w:hAnsi="Times New Roman"/>
          <w:b/>
          <w:bCs/>
          <w:kern w:val="3"/>
          <w:sz w:val="24"/>
          <w:szCs w:val="24"/>
          <w:lang w:eastAsia="zh-CN" w:bidi="hi-IN"/>
        </w:rPr>
      </w:pPr>
      <w:r w:rsidRPr="00AE47C6">
        <w:rPr>
          <w:rFonts w:ascii="Times New Roman" w:eastAsia="SimSun" w:hAnsi="Times New Roman"/>
          <w:b/>
          <w:bCs/>
          <w:kern w:val="3"/>
          <w:sz w:val="24"/>
          <w:szCs w:val="24"/>
          <w:lang w:eastAsia="zh-CN" w:bidi="hi-IN"/>
        </w:rPr>
        <w:t>Миастенна и холинергична криза</w:t>
      </w:r>
    </w:p>
    <w:p w14:paraId="2A751662" w14:textId="77777777" w:rsidR="00BE0B19" w:rsidRPr="00AE47C6" w:rsidRDefault="00BE0B19" w:rsidP="00BE0B19">
      <w:pPr>
        <w:suppressAutoHyphens/>
        <w:autoSpaceDN w:val="0"/>
        <w:spacing w:after="0" w:line="360" w:lineRule="auto"/>
        <w:ind w:firstLine="709"/>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b/>
          <w:bCs/>
          <w:i/>
          <w:iCs/>
          <w:kern w:val="3"/>
          <w:sz w:val="24"/>
          <w:szCs w:val="24"/>
          <w:lang w:eastAsia="zh-CN" w:bidi="hi-IN"/>
        </w:rPr>
        <w:t>Миастенната криза (МК)</w:t>
      </w:r>
      <w:r w:rsidRPr="00AE47C6">
        <w:rPr>
          <w:rFonts w:ascii="Times New Roman" w:eastAsia="SimSun" w:hAnsi="Times New Roman"/>
          <w:kern w:val="3"/>
          <w:sz w:val="24"/>
          <w:szCs w:val="24"/>
          <w:lang w:eastAsia="zh-CN" w:bidi="hi-IN"/>
        </w:rPr>
        <w:t xml:space="preserve"> е клинична диагноза дефинирана като развитие на дихателна недостатъчност и необходимост от неинвазивна или инвазивна вентилация при болни с МГ. МК настъпва при около 15-30% от болните с миастения, най-често в първите 2-3 години след поставяне на диагнозата. Много рядко може да бъде първа проява на заболяването. Винаги се установява физически и/или емоционален стрес като причина за възникване на кризата. При над 30% от кризите се касае за инфекция, най-често белодробна. На второ място се установяват аспирационни пневмонити при влошена булбарна функция и на фона на имуносупресия. Други причини водещи до криза са операции, бременност, употреба на медикаменти, висока температура, лош контрол на основното заболяване, емоционален дистрес. При пациенти с тежки форми на МГ, кризата може да се предизвика от грешки в лечението с кортикостероиди и ацетилхолинестеразни инхибитори. </w:t>
      </w:r>
    </w:p>
    <w:p w14:paraId="68E86EC9" w14:textId="77777777" w:rsidR="00BE0B19" w:rsidRPr="00AE47C6" w:rsidRDefault="00BE0B19" w:rsidP="00BE0B19">
      <w:pPr>
        <w:suppressAutoHyphens/>
        <w:autoSpaceDN w:val="0"/>
        <w:spacing w:after="0" w:line="360" w:lineRule="auto"/>
        <w:ind w:firstLine="709"/>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b/>
          <w:bCs/>
          <w:i/>
          <w:iCs/>
          <w:kern w:val="3"/>
          <w:sz w:val="24"/>
          <w:szCs w:val="24"/>
          <w:lang w:eastAsia="zh-CN" w:bidi="hi-IN"/>
        </w:rPr>
        <w:t>Заплашващата миастенна криза</w:t>
      </w:r>
      <w:r w:rsidRPr="00AE47C6">
        <w:rPr>
          <w:rFonts w:ascii="Times New Roman" w:eastAsia="SimSun" w:hAnsi="Times New Roman"/>
          <w:i/>
          <w:iCs/>
          <w:kern w:val="3"/>
          <w:sz w:val="24"/>
          <w:szCs w:val="24"/>
          <w:lang w:eastAsia="zh-CN" w:bidi="hi-IN"/>
        </w:rPr>
        <w:t xml:space="preserve"> </w:t>
      </w:r>
      <w:r w:rsidRPr="00AE47C6">
        <w:rPr>
          <w:rFonts w:ascii="Times New Roman" w:eastAsia="SimSun" w:hAnsi="Times New Roman"/>
          <w:kern w:val="3"/>
          <w:sz w:val="24"/>
          <w:szCs w:val="24"/>
          <w:lang w:eastAsia="zh-CN" w:bidi="hi-IN"/>
        </w:rPr>
        <w:t>се дефинира като бързо клинично влошаване на МГ, което би могло да доведе бързо (дни, седмици) до криза. „Червени флагове“ за заплашваща миастенна криза са:</w:t>
      </w:r>
    </w:p>
    <w:p w14:paraId="37EF1646" w14:textId="77777777" w:rsidR="00BE0B19" w:rsidRPr="00AE47C6" w:rsidRDefault="00BE0B19" w:rsidP="00BE0B19">
      <w:pPr>
        <w:numPr>
          <w:ilvl w:val="0"/>
          <w:numId w:val="373"/>
        </w:num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Фебрилно състояние с инфекция лекувана с антибиотици в предходните 2 седмици</w:t>
      </w:r>
    </w:p>
    <w:p w14:paraId="6A363B91" w14:textId="77777777" w:rsidR="00BE0B19" w:rsidRPr="00AE47C6" w:rsidRDefault="00BE0B19" w:rsidP="00BE0B19">
      <w:pPr>
        <w:numPr>
          <w:ilvl w:val="0"/>
          <w:numId w:val="373"/>
        </w:num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Обратна аспирация – излизане на храна и течности през носа</w:t>
      </w:r>
    </w:p>
    <w:p w14:paraId="3D981619" w14:textId="77777777" w:rsidR="00BE0B19" w:rsidRPr="00AE47C6" w:rsidRDefault="00BE0B19" w:rsidP="00BE0B19">
      <w:pPr>
        <w:numPr>
          <w:ilvl w:val="0"/>
          <w:numId w:val="373"/>
        </w:num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Затруднение в преглъщането – почистване на гърлото или кашляне при хранене</w:t>
      </w:r>
    </w:p>
    <w:p w14:paraId="0E94908E" w14:textId="77777777" w:rsidR="00BE0B19" w:rsidRPr="00AE47C6" w:rsidRDefault="00BE0B19" w:rsidP="00BE0B19">
      <w:pPr>
        <w:numPr>
          <w:ilvl w:val="0"/>
          <w:numId w:val="373"/>
        </w:num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Затруднено откашляне</w:t>
      </w:r>
    </w:p>
    <w:p w14:paraId="747A5865" w14:textId="77777777" w:rsidR="00BE0B19" w:rsidRPr="00AE47C6" w:rsidRDefault="00BE0B19" w:rsidP="00BE0B19">
      <w:pPr>
        <w:numPr>
          <w:ilvl w:val="0"/>
          <w:numId w:val="373"/>
        </w:num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Афонична дизартрия – отслабване на гласа при говорене и носов говор</w:t>
      </w:r>
    </w:p>
    <w:p w14:paraId="149E1F78" w14:textId="77777777" w:rsidR="00BE0B19" w:rsidRPr="00AE47C6" w:rsidRDefault="00BE0B19" w:rsidP="00BE0B19">
      <w:pPr>
        <w:numPr>
          <w:ilvl w:val="0"/>
          <w:numId w:val="373"/>
        </w:num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Увисване на главата напред – изразена слабост в екстензорите на шията</w:t>
      </w:r>
    </w:p>
    <w:p w14:paraId="1129ECFA" w14:textId="77777777" w:rsidR="00BE0B19" w:rsidRPr="00AE47C6" w:rsidRDefault="00BE0B19" w:rsidP="00BE0B19">
      <w:pPr>
        <w:numPr>
          <w:ilvl w:val="0"/>
          <w:numId w:val="373"/>
        </w:num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Увисване на долната челюст и новопоявила се лицева слабост</w:t>
      </w:r>
    </w:p>
    <w:p w14:paraId="1074F702" w14:textId="77777777" w:rsidR="00BE0B19" w:rsidRPr="00AE47C6" w:rsidRDefault="00BE0B19" w:rsidP="00BE0B19">
      <w:pPr>
        <w:numPr>
          <w:ilvl w:val="0"/>
          <w:numId w:val="373"/>
        </w:num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Промени в дихателните параметри – напр. витален капацитет под 20 ml/kg тегло</w:t>
      </w:r>
    </w:p>
    <w:p w14:paraId="7234C670" w14:textId="77777777" w:rsidR="00BE0B19" w:rsidRPr="00AE47C6" w:rsidRDefault="00BE0B19" w:rsidP="00BE0B19">
      <w:pPr>
        <w:suppressAutoHyphens/>
        <w:autoSpaceDN w:val="0"/>
        <w:spacing w:after="0" w:line="360" w:lineRule="auto"/>
        <w:ind w:firstLine="709"/>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b/>
          <w:bCs/>
          <w:i/>
          <w:iCs/>
          <w:kern w:val="3"/>
          <w:sz w:val="24"/>
          <w:szCs w:val="24"/>
          <w:lang w:eastAsia="zh-CN" w:bidi="hi-IN"/>
        </w:rPr>
        <w:t>Холинергична криза</w:t>
      </w:r>
      <w:r w:rsidRPr="00AE47C6">
        <w:rPr>
          <w:rFonts w:ascii="Times New Roman" w:eastAsia="SimSun" w:hAnsi="Times New Roman"/>
          <w:kern w:val="3"/>
          <w:sz w:val="24"/>
          <w:szCs w:val="24"/>
          <w:lang w:eastAsia="zh-CN" w:bidi="hi-IN"/>
        </w:rPr>
        <w:t xml:space="preserve"> може да се развие при предозиране на лечението с кортикостероиди и ацетилхолинестеразни инхибитори</w:t>
      </w:r>
      <w:r w:rsidRPr="00AE47C6">
        <w:rPr>
          <w:rFonts w:ascii="Times New Roman" w:eastAsia="SimSun" w:hAnsi="Times New Roman"/>
          <w:i/>
          <w:iCs/>
          <w:kern w:val="3"/>
          <w:sz w:val="24"/>
          <w:szCs w:val="24"/>
          <w:lang w:eastAsia="zh-CN" w:bidi="hi-IN"/>
        </w:rPr>
        <w:t>.</w:t>
      </w:r>
      <w:r w:rsidRPr="00AE47C6">
        <w:rPr>
          <w:rFonts w:ascii="Times New Roman" w:eastAsia="SimSun" w:hAnsi="Times New Roman"/>
          <w:kern w:val="3"/>
          <w:sz w:val="24"/>
          <w:szCs w:val="24"/>
          <w:lang w:eastAsia="zh-CN" w:bidi="hi-IN"/>
        </w:rPr>
        <w:t xml:space="preserve"> При нея мускулната слабост и дихателната декомпенсация са придружени от мускаринергични (миоза, брадикардия, диария, гадене, повишена саливация, зачервена и топла кожа) и никотинергични (крампи, фасцикулации) белези на предозиране.  Холинергичните кризи са много по-редки от миастенните и клинично не винаги се различават лесно. Повишената саливация, която е основен белег на холинергичната криза, трудно може да се отграничи от затрудненото преглъщане на секрети при МК. Неврологичната диференциална диагноза на кризите и други заболявания водещи до остра мускулна слабост са обобщени в таблица 8. 3.</w:t>
      </w:r>
    </w:p>
    <w:p w14:paraId="6DADB829" w14:textId="77777777" w:rsidR="00BE0B19" w:rsidRPr="00AE47C6" w:rsidRDefault="00BE0B19" w:rsidP="00BE0B19">
      <w:pPr>
        <w:suppressAutoHyphens/>
        <w:autoSpaceDN w:val="0"/>
        <w:spacing w:after="0" w:line="360" w:lineRule="auto"/>
        <w:jc w:val="both"/>
        <w:textAlignment w:val="baseline"/>
        <w:rPr>
          <w:rFonts w:ascii="Times New Roman" w:eastAsia="SimSun" w:hAnsi="Times New Roman"/>
          <w:kern w:val="3"/>
          <w:sz w:val="24"/>
          <w:szCs w:val="24"/>
          <w:lang w:eastAsia="zh-CN" w:bidi="hi-IN"/>
        </w:rPr>
      </w:pPr>
    </w:p>
    <w:p w14:paraId="3C7EF84D" w14:textId="77777777" w:rsidR="00BE0B19" w:rsidRPr="00AE47C6" w:rsidRDefault="00BE0B19" w:rsidP="00BE0B19">
      <w:pPr>
        <w:suppressAutoHyphens/>
        <w:autoSpaceDN w:val="0"/>
        <w:spacing w:after="0" w:line="360" w:lineRule="auto"/>
        <w:jc w:val="both"/>
        <w:textAlignment w:val="baseline"/>
        <w:rPr>
          <w:rFonts w:ascii="Times New Roman" w:eastAsia="SimSun" w:hAnsi="Times New Roman"/>
          <w:b/>
          <w:kern w:val="3"/>
          <w:sz w:val="24"/>
          <w:szCs w:val="24"/>
          <w:lang w:eastAsia="zh-CN" w:bidi="hi-IN"/>
        </w:rPr>
      </w:pPr>
      <w:r w:rsidRPr="00AE47C6">
        <w:rPr>
          <w:rFonts w:ascii="Times New Roman" w:eastAsia="SimSun" w:hAnsi="Times New Roman"/>
          <w:b/>
          <w:kern w:val="3"/>
          <w:sz w:val="24"/>
          <w:szCs w:val="24"/>
          <w:lang w:eastAsia="zh-CN" w:bidi="hi-IN"/>
        </w:rPr>
        <w:t>Таблица 8. 3. Диференциално диагностични белези на МК и остра мускулна слабост</w:t>
      </w:r>
    </w:p>
    <w:p w14:paraId="6E08821A"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p>
    <w:tbl>
      <w:tblPr>
        <w:tblW w:w="9067" w:type="dxa"/>
        <w:tblCellMar>
          <w:left w:w="10" w:type="dxa"/>
          <w:right w:w="10" w:type="dxa"/>
        </w:tblCellMar>
        <w:tblLook w:val="04A0" w:firstRow="1" w:lastRow="0" w:firstColumn="1" w:lastColumn="0" w:noHBand="0" w:noVBand="1"/>
      </w:tblPr>
      <w:tblGrid>
        <w:gridCol w:w="2490"/>
        <w:gridCol w:w="2490"/>
        <w:gridCol w:w="1819"/>
        <w:gridCol w:w="2268"/>
      </w:tblGrid>
      <w:tr w:rsidR="00BE0B19" w:rsidRPr="00AE47C6" w14:paraId="35A9E931" w14:textId="77777777" w:rsidTr="00AD72E5">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74215F" w14:textId="77777777" w:rsidR="00BE0B19" w:rsidRPr="00AE47C6" w:rsidRDefault="00BE0B19" w:rsidP="00BE0B19">
            <w:pPr>
              <w:suppressAutoHyphens/>
              <w:autoSpaceDN w:val="0"/>
              <w:spacing w:after="0" w:line="360" w:lineRule="auto"/>
              <w:jc w:val="center"/>
              <w:textAlignment w:val="baseline"/>
              <w:rPr>
                <w:rFonts w:ascii="Times New Roman" w:eastAsia="SimSun" w:hAnsi="Times New Roman"/>
                <w:b/>
                <w:bCs/>
                <w:kern w:val="3"/>
                <w:sz w:val="24"/>
                <w:szCs w:val="24"/>
                <w:lang w:eastAsia="zh-CN" w:bidi="hi-IN"/>
              </w:rPr>
            </w:pPr>
            <w:bookmarkStart w:id="184" w:name="_Hlk64983293"/>
            <w:r w:rsidRPr="00AE47C6">
              <w:rPr>
                <w:rFonts w:ascii="Times New Roman" w:eastAsia="SimSun" w:hAnsi="Times New Roman"/>
                <w:b/>
                <w:bCs/>
                <w:kern w:val="3"/>
                <w:sz w:val="24"/>
                <w:szCs w:val="24"/>
                <w:lang w:eastAsia="zh-CN" w:bidi="hi-IN"/>
              </w:rPr>
              <w:t>Клинична оценка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11228" w14:textId="77777777" w:rsidR="00BE0B19" w:rsidRPr="00AE47C6" w:rsidRDefault="00BE0B19" w:rsidP="00BE0B19">
            <w:pPr>
              <w:suppressAutoHyphens/>
              <w:autoSpaceDN w:val="0"/>
              <w:spacing w:after="0" w:line="360" w:lineRule="auto"/>
              <w:jc w:val="center"/>
              <w:textAlignment w:val="baseline"/>
              <w:rPr>
                <w:rFonts w:ascii="Times New Roman" w:eastAsia="SimSun" w:hAnsi="Times New Roman"/>
                <w:b/>
                <w:bCs/>
                <w:kern w:val="3"/>
                <w:sz w:val="24"/>
                <w:szCs w:val="24"/>
                <w:lang w:eastAsia="zh-CN" w:bidi="hi-IN"/>
              </w:rPr>
            </w:pPr>
            <w:r w:rsidRPr="00AE47C6">
              <w:rPr>
                <w:rFonts w:ascii="Times New Roman" w:eastAsia="SimSun" w:hAnsi="Times New Roman"/>
                <w:b/>
                <w:bCs/>
                <w:kern w:val="3"/>
                <w:sz w:val="24"/>
                <w:szCs w:val="24"/>
                <w:lang w:eastAsia="zh-CN" w:bidi="hi-IN"/>
              </w:rPr>
              <w:t>Миастенна криза</w:t>
            </w:r>
          </w:p>
        </w:tc>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2376F" w14:textId="77777777" w:rsidR="00BE0B19" w:rsidRPr="00AE47C6" w:rsidRDefault="00BE0B19" w:rsidP="00BE0B19">
            <w:pPr>
              <w:suppressAutoHyphens/>
              <w:autoSpaceDN w:val="0"/>
              <w:spacing w:after="0" w:line="360" w:lineRule="auto"/>
              <w:jc w:val="center"/>
              <w:textAlignment w:val="baseline"/>
              <w:rPr>
                <w:rFonts w:ascii="Times New Roman" w:eastAsia="SimSun" w:hAnsi="Times New Roman"/>
                <w:b/>
                <w:bCs/>
                <w:kern w:val="3"/>
                <w:sz w:val="24"/>
                <w:szCs w:val="24"/>
                <w:lang w:eastAsia="zh-CN" w:bidi="hi-IN"/>
              </w:rPr>
            </w:pPr>
            <w:r w:rsidRPr="00AE47C6">
              <w:rPr>
                <w:rFonts w:ascii="Times New Roman" w:eastAsia="SimSun" w:hAnsi="Times New Roman"/>
                <w:b/>
                <w:bCs/>
                <w:kern w:val="3"/>
                <w:sz w:val="24"/>
                <w:szCs w:val="24"/>
                <w:lang w:eastAsia="zh-CN" w:bidi="hi-IN"/>
              </w:rPr>
              <w:t>Холинергична криза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659249" w14:textId="77777777" w:rsidR="00BE0B19" w:rsidRPr="00AE47C6" w:rsidRDefault="00BE0B19" w:rsidP="00BE0B19">
            <w:pPr>
              <w:suppressAutoHyphens/>
              <w:autoSpaceDN w:val="0"/>
              <w:spacing w:after="0" w:line="360" w:lineRule="auto"/>
              <w:jc w:val="center"/>
              <w:textAlignment w:val="baseline"/>
              <w:rPr>
                <w:rFonts w:ascii="Times New Roman" w:eastAsia="SimSun" w:hAnsi="Times New Roman"/>
                <w:b/>
                <w:bCs/>
                <w:kern w:val="3"/>
                <w:sz w:val="24"/>
                <w:szCs w:val="24"/>
                <w:lang w:eastAsia="zh-CN" w:bidi="hi-IN"/>
              </w:rPr>
            </w:pPr>
            <w:r w:rsidRPr="00AE47C6">
              <w:rPr>
                <w:rFonts w:ascii="Times New Roman" w:eastAsia="SimSun" w:hAnsi="Times New Roman"/>
                <w:b/>
                <w:bCs/>
                <w:kern w:val="3"/>
                <w:sz w:val="24"/>
                <w:szCs w:val="24"/>
                <w:lang w:eastAsia="zh-CN" w:bidi="hi-IN"/>
              </w:rPr>
              <w:t>Синдром на Guillain-Barre</w:t>
            </w:r>
          </w:p>
        </w:tc>
      </w:tr>
      <w:tr w:rsidR="00BE0B19" w:rsidRPr="00AE47C6" w14:paraId="151DC63F" w14:textId="77777777" w:rsidTr="00AD72E5">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63BB24"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Външна офталмоплегия</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F32B6"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70%</w:t>
            </w:r>
          </w:p>
        </w:tc>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1959C3"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59263"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 xml:space="preserve">Само при вариант Miller-Fisher </w:t>
            </w:r>
          </w:p>
        </w:tc>
      </w:tr>
      <w:tr w:rsidR="00BE0B19" w:rsidRPr="00AE47C6" w14:paraId="48A7A32F" w14:textId="77777777" w:rsidTr="00AD72E5">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B100A"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Зеници</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32F78"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Нормални, реактивни</w:t>
            </w:r>
          </w:p>
        </w:tc>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0CE48"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Тесни, реактивни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68922"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Нормални, може да са нереактивни</w:t>
            </w:r>
          </w:p>
        </w:tc>
      </w:tr>
      <w:tr w:rsidR="00BE0B19" w:rsidRPr="00AE47C6" w14:paraId="3CCEC159" w14:textId="77777777" w:rsidTr="00AD72E5">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2C2700"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Птоза</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11E8A"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70-80%</w:t>
            </w:r>
          </w:p>
        </w:tc>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5D716C"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D4F52F"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r>
      <w:tr w:rsidR="00BE0B19" w:rsidRPr="00AE47C6" w14:paraId="45DB1C4B" w14:textId="77777777" w:rsidTr="00AD72E5">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DC52CA"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Мускулна слабост</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0F8F5"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100%</w:t>
            </w:r>
          </w:p>
        </w:tc>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3BA638"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49CAC"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r>
      <w:tr w:rsidR="00BE0B19" w:rsidRPr="00AE47C6" w14:paraId="443D2723" w14:textId="77777777" w:rsidTr="00AD72E5">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D950BA"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Фасцикулации по крайниците</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FA9D21"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не</w:t>
            </w:r>
          </w:p>
        </w:tc>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6ABF41"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37D6ED"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r>
      <w:tr w:rsidR="00BE0B19" w:rsidRPr="00AE47C6" w14:paraId="10E4DA27" w14:textId="77777777" w:rsidTr="00AD72E5">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13548F"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Коленен рефлекс</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9FF2E6"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3652A0"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C7B5A"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r>
      <w:tr w:rsidR="00BE0B19" w:rsidRPr="00AE47C6" w14:paraId="72CB8C41" w14:textId="77777777" w:rsidTr="00AD72E5">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91D553"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Рефлекс на Babinski</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B1A2C1"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D722C"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D1D455"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r>
      <w:tr w:rsidR="00BE0B19" w:rsidRPr="00AE47C6" w14:paraId="78BD309B" w14:textId="77777777" w:rsidTr="00AD72E5">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08F7B"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Сетивност</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D0A85"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норма</w:t>
            </w:r>
          </w:p>
        </w:tc>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969EE"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Норма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D1B298"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Понякога нарушена</w:t>
            </w:r>
          </w:p>
        </w:tc>
      </w:tr>
      <w:tr w:rsidR="00BE0B19" w:rsidRPr="00AE47C6" w14:paraId="2935841F" w14:textId="77777777" w:rsidTr="00AD72E5">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E9DC7"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Автономни симптоми</w:t>
            </w:r>
          </w:p>
        </w:tc>
        <w:tc>
          <w:tcPr>
            <w:tcW w:w="2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F78B53" w14:textId="77777777" w:rsidR="00BE0B19" w:rsidRPr="00AE47C6" w:rsidRDefault="00BE0B19" w:rsidP="00BE0B19">
            <w:pPr>
              <w:numPr>
                <w:ilvl w:val="0"/>
                <w:numId w:val="374"/>
              </w:num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1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8B331"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F0F93"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r>
    </w:tbl>
    <w:bookmarkEnd w:id="184"/>
    <w:p w14:paraId="051A6DB6"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*Пациентите с МК могат да имат автономни симптоми по други причини – тахикардия при сепсис, температура, хипоксия.</w:t>
      </w:r>
    </w:p>
    <w:p w14:paraId="61EF876D"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p>
    <w:tbl>
      <w:tblPr>
        <w:tblW w:w="9209" w:type="dxa"/>
        <w:tblCellMar>
          <w:left w:w="10" w:type="dxa"/>
          <w:right w:w="10" w:type="dxa"/>
        </w:tblCellMar>
        <w:tblLook w:val="04A0" w:firstRow="1" w:lastRow="0" w:firstColumn="1" w:lastColumn="0" w:noHBand="0" w:noVBand="1"/>
      </w:tblPr>
      <w:tblGrid>
        <w:gridCol w:w="2081"/>
        <w:gridCol w:w="1664"/>
        <w:gridCol w:w="1779"/>
        <w:gridCol w:w="2126"/>
        <w:gridCol w:w="1559"/>
      </w:tblGrid>
      <w:tr w:rsidR="00BE0B19" w:rsidRPr="00AE47C6" w14:paraId="093DC1E5" w14:textId="77777777" w:rsidTr="00AD72E5">
        <w:tc>
          <w:tcPr>
            <w:tcW w:w="2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2B5629" w14:textId="77777777" w:rsidR="00BE0B19" w:rsidRPr="00AE47C6" w:rsidRDefault="00BE0B19" w:rsidP="00BE0B19">
            <w:pPr>
              <w:suppressAutoHyphens/>
              <w:autoSpaceDN w:val="0"/>
              <w:spacing w:after="0" w:line="360" w:lineRule="auto"/>
              <w:jc w:val="center"/>
              <w:textAlignment w:val="baseline"/>
              <w:rPr>
                <w:rFonts w:ascii="Times New Roman" w:eastAsia="SimSun" w:hAnsi="Times New Roman"/>
                <w:b/>
                <w:bCs/>
                <w:kern w:val="3"/>
                <w:sz w:val="24"/>
                <w:szCs w:val="24"/>
                <w:lang w:eastAsia="zh-CN" w:bidi="hi-IN"/>
              </w:rPr>
            </w:pPr>
            <w:r w:rsidRPr="00AE47C6">
              <w:rPr>
                <w:rFonts w:ascii="Times New Roman" w:eastAsia="SimSun" w:hAnsi="Times New Roman"/>
                <w:b/>
                <w:bCs/>
                <w:kern w:val="3"/>
                <w:sz w:val="24"/>
                <w:szCs w:val="24"/>
                <w:lang w:eastAsia="zh-CN" w:bidi="hi-IN"/>
              </w:rPr>
              <w:t>Клинична оценка</w:t>
            </w: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953C82" w14:textId="77777777" w:rsidR="00BE0B19" w:rsidRPr="00AE47C6" w:rsidRDefault="00BE0B19" w:rsidP="00BE0B19">
            <w:pPr>
              <w:suppressAutoHyphens/>
              <w:autoSpaceDN w:val="0"/>
              <w:spacing w:after="0" w:line="360" w:lineRule="auto"/>
              <w:jc w:val="center"/>
              <w:textAlignment w:val="baseline"/>
              <w:rPr>
                <w:rFonts w:ascii="Times New Roman" w:eastAsia="SimSun" w:hAnsi="Times New Roman"/>
                <w:b/>
                <w:bCs/>
                <w:kern w:val="3"/>
                <w:sz w:val="24"/>
                <w:szCs w:val="24"/>
                <w:lang w:eastAsia="zh-CN" w:bidi="hi-IN"/>
              </w:rPr>
            </w:pPr>
            <w:r w:rsidRPr="00AE47C6">
              <w:rPr>
                <w:rFonts w:ascii="Times New Roman" w:eastAsia="SimSun" w:hAnsi="Times New Roman"/>
                <w:b/>
                <w:bCs/>
                <w:kern w:val="3"/>
                <w:sz w:val="24"/>
                <w:szCs w:val="24"/>
                <w:lang w:eastAsia="zh-CN" w:bidi="hi-IN"/>
              </w:rPr>
              <w:t>Полимиозит</w:t>
            </w:r>
          </w:p>
        </w:tc>
        <w:tc>
          <w:tcPr>
            <w:tcW w:w="17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F2A5B" w14:textId="77777777" w:rsidR="00BE0B19" w:rsidRPr="00AE47C6" w:rsidRDefault="00BE0B19" w:rsidP="00BE0B19">
            <w:pPr>
              <w:suppressAutoHyphens/>
              <w:autoSpaceDN w:val="0"/>
              <w:spacing w:after="0" w:line="360" w:lineRule="auto"/>
              <w:jc w:val="center"/>
              <w:textAlignment w:val="baseline"/>
              <w:rPr>
                <w:rFonts w:ascii="Times New Roman" w:eastAsia="SimSun" w:hAnsi="Times New Roman"/>
                <w:b/>
                <w:bCs/>
                <w:kern w:val="3"/>
                <w:sz w:val="24"/>
                <w:szCs w:val="24"/>
                <w:lang w:eastAsia="zh-CN" w:bidi="hi-IN"/>
              </w:rPr>
            </w:pPr>
            <w:r w:rsidRPr="00AE47C6">
              <w:rPr>
                <w:rFonts w:ascii="Times New Roman" w:eastAsia="SimSun" w:hAnsi="Times New Roman"/>
                <w:b/>
                <w:bCs/>
                <w:kern w:val="3"/>
                <w:sz w:val="24"/>
                <w:szCs w:val="24"/>
                <w:lang w:eastAsia="zh-CN" w:bidi="hi-IN"/>
              </w:rPr>
              <w:t>Ботулизъм</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8CACF" w14:textId="77777777" w:rsidR="00BE0B19" w:rsidRPr="00AE47C6" w:rsidRDefault="00BE0B19" w:rsidP="00BE0B19">
            <w:pPr>
              <w:suppressAutoHyphens/>
              <w:autoSpaceDN w:val="0"/>
              <w:spacing w:after="0" w:line="360" w:lineRule="auto"/>
              <w:jc w:val="center"/>
              <w:textAlignment w:val="baseline"/>
              <w:rPr>
                <w:rFonts w:ascii="Times New Roman" w:eastAsia="SimSun" w:hAnsi="Times New Roman"/>
                <w:b/>
                <w:bCs/>
                <w:kern w:val="3"/>
                <w:sz w:val="24"/>
                <w:szCs w:val="24"/>
                <w:lang w:eastAsia="zh-CN" w:bidi="hi-IN"/>
              </w:rPr>
            </w:pPr>
            <w:r w:rsidRPr="00AE47C6">
              <w:rPr>
                <w:rFonts w:ascii="Times New Roman" w:eastAsia="SimSun" w:hAnsi="Times New Roman"/>
                <w:b/>
                <w:bCs/>
                <w:kern w:val="3"/>
                <w:sz w:val="24"/>
                <w:szCs w:val="24"/>
                <w:lang w:eastAsia="zh-CN" w:bidi="hi-IN"/>
              </w:rPr>
              <w:t>Болести на двигателния неврон</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95AD1" w14:textId="77777777" w:rsidR="00BE0B19" w:rsidRPr="00AE47C6" w:rsidRDefault="00BE0B19" w:rsidP="00BE0B19">
            <w:pPr>
              <w:suppressAutoHyphens/>
              <w:autoSpaceDN w:val="0"/>
              <w:spacing w:after="0" w:line="360" w:lineRule="auto"/>
              <w:jc w:val="center"/>
              <w:textAlignment w:val="baseline"/>
              <w:rPr>
                <w:rFonts w:ascii="Times New Roman" w:eastAsia="SimSun" w:hAnsi="Times New Roman"/>
                <w:b/>
                <w:bCs/>
                <w:kern w:val="3"/>
                <w:sz w:val="24"/>
                <w:szCs w:val="24"/>
                <w:lang w:eastAsia="zh-CN" w:bidi="hi-IN"/>
              </w:rPr>
            </w:pPr>
            <w:r w:rsidRPr="00AE47C6">
              <w:rPr>
                <w:rFonts w:ascii="Times New Roman" w:eastAsia="SimSun" w:hAnsi="Times New Roman"/>
                <w:b/>
                <w:bCs/>
                <w:kern w:val="3"/>
                <w:sz w:val="24"/>
                <w:szCs w:val="24"/>
                <w:lang w:eastAsia="zh-CN" w:bidi="hi-IN"/>
              </w:rPr>
              <w:t>Болести на миелона</w:t>
            </w:r>
          </w:p>
        </w:tc>
      </w:tr>
      <w:tr w:rsidR="00BE0B19" w:rsidRPr="00AE47C6" w14:paraId="63B9B6ED" w14:textId="77777777" w:rsidTr="00AD72E5">
        <w:tc>
          <w:tcPr>
            <w:tcW w:w="2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4429FD"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Външна офталмоплегия</w:t>
            </w: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B8070"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4B2501"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74272"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CFA44"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r>
      <w:tr w:rsidR="00BE0B19" w:rsidRPr="00AE47C6" w14:paraId="69B0B448" w14:textId="77777777" w:rsidTr="00AD72E5">
        <w:tc>
          <w:tcPr>
            <w:tcW w:w="2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B9316"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Зеници</w:t>
            </w: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36AFE5"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Нормални, реактивни</w:t>
            </w:r>
          </w:p>
        </w:tc>
        <w:tc>
          <w:tcPr>
            <w:tcW w:w="17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6DC87"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Дилатирани, нереактивни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6F5F2"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Нормални, реактивни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602A7"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Тесни, реактивни</w:t>
            </w:r>
          </w:p>
        </w:tc>
      </w:tr>
      <w:tr w:rsidR="00BE0B19" w:rsidRPr="00AE47C6" w14:paraId="3D07F413" w14:textId="77777777" w:rsidTr="00AD72E5">
        <w:tc>
          <w:tcPr>
            <w:tcW w:w="2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011269"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Птоза</w:t>
            </w: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2C2155"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0795E4"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0E27C4"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85F2C"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r>
      <w:tr w:rsidR="00BE0B19" w:rsidRPr="00AE47C6" w14:paraId="22A12F83" w14:textId="77777777" w:rsidTr="00AD72E5">
        <w:tc>
          <w:tcPr>
            <w:tcW w:w="2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B559D"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Мускулна слабост</w:t>
            </w: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06AA3"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7B9C5"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EE8A24"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365D2C"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r>
      <w:tr w:rsidR="00BE0B19" w:rsidRPr="00AE47C6" w14:paraId="27BEDF88" w14:textId="77777777" w:rsidTr="00AD72E5">
        <w:tc>
          <w:tcPr>
            <w:tcW w:w="2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A875DB"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Фасцикулации по крайниците</w:t>
            </w: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BE0E0E"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2DEB1A"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1313D"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AE779"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r>
      <w:tr w:rsidR="00BE0B19" w:rsidRPr="00AE47C6" w14:paraId="7E1C832E" w14:textId="77777777" w:rsidTr="00AD72E5">
        <w:tc>
          <w:tcPr>
            <w:tcW w:w="2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21E53"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Коленен рефлекс</w:t>
            </w: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A23FA6"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0B9EA"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993474"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 или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7E15F1"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 или -</w:t>
            </w:r>
          </w:p>
        </w:tc>
      </w:tr>
      <w:tr w:rsidR="00BE0B19" w:rsidRPr="00AE47C6" w14:paraId="0B1395AC" w14:textId="77777777" w:rsidTr="00AD72E5">
        <w:tc>
          <w:tcPr>
            <w:tcW w:w="2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18A9A"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Рефлекс на Babinski</w:t>
            </w: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8EF868"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C8C0A"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548CD"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6D344"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r>
      <w:tr w:rsidR="00BE0B19" w:rsidRPr="00AE47C6" w14:paraId="6B828DBB" w14:textId="77777777" w:rsidTr="00AD72E5">
        <w:tc>
          <w:tcPr>
            <w:tcW w:w="2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1A348"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Сетивност</w:t>
            </w: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C1B2B0"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норма</w:t>
            </w:r>
          </w:p>
        </w:tc>
        <w:tc>
          <w:tcPr>
            <w:tcW w:w="17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0BFE2"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променена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E38E9"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Норма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A447E"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сетивно ниво</w:t>
            </w:r>
          </w:p>
        </w:tc>
      </w:tr>
      <w:tr w:rsidR="00BE0B19" w:rsidRPr="00AE47C6" w14:paraId="05663CAC" w14:textId="77777777" w:rsidTr="00AD72E5">
        <w:tc>
          <w:tcPr>
            <w:tcW w:w="20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437B9"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Автономни симптоми</w:t>
            </w:r>
          </w:p>
        </w:tc>
        <w:tc>
          <w:tcPr>
            <w:tcW w:w="1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5A6032" w14:textId="77777777" w:rsidR="00BE0B19" w:rsidRPr="00AE47C6" w:rsidRDefault="00BE0B19" w:rsidP="00BE0B19">
            <w:pPr>
              <w:suppressAutoHyphens/>
              <w:autoSpaceDN w:val="0"/>
              <w:spacing w:after="0" w:line="360" w:lineRule="auto"/>
              <w:ind w:left="720"/>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17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9032D"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BCB36"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5FA5BF"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r>
    </w:tbl>
    <w:p w14:paraId="3E32535F"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p>
    <w:p w14:paraId="2BB548E4" w14:textId="77777777" w:rsidR="00BE0B19" w:rsidRPr="00AE47C6" w:rsidRDefault="00BE0B19" w:rsidP="00BE0B19">
      <w:pPr>
        <w:suppressAutoHyphens/>
        <w:autoSpaceDN w:val="0"/>
        <w:spacing w:after="0" w:line="360" w:lineRule="auto"/>
        <w:ind w:firstLine="709"/>
        <w:textAlignment w:val="baseline"/>
        <w:rPr>
          <w:rFonts w:ascii="Times New Roman" w:eastAsia="SimSun" w:hAnsi="Times New Roman"/>
          <w:b/>
          <w:bCs/>
          <w:kern w:val="3"/>
          <w:sz w:val="24"/>
          <w:szCs w:val="24"/>
          <w:lang w:eastAsia="zh-CN" w:bidi="hi-IN"/>
        </w:rPr>
      </w:pPr>
      <w:r w:rsidRPr="00AE47C6">
        <w:rPr>
          <w:rFonts w:ascii="Times New Roman" w:eastAsia="SimSun" w:hAnsi="Times New Roman"/>
          <w:b/>
          <w:bCs/>
          <w:kern w:val="3"/>
          <w:sz w:val="24"/>
          <w:szCs w:val="24"/>
          <w:lang w:eastAsia="zh-CN" w:bidi="hi-IN"/>
        </w:rPr>
        <w:t>Лечение на кризите</w:t>
      </w:r>
    </w:p>
    <w:p w14:paraId="64BA2373" w14:textId="77777777" w:rsidR="00BE0B19" w:rsidRPr="00AE47C6" w:rsidRDefault="00BE0B19" w:rsidP="00BE0B19">
      <w:pPr>
        <w:suppressAutoHyphens/>
        <w:autoSpaceDN w:val="0"/>
        <w:spacing w:after="0" w:line="360" w:lineRule="auto"/>
        <w:ind w:firstLine="709"/>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При наличие на „червени флагове“ за заплашваща криза и динамично влошаване на симптомите пациентите трябва веднага да бъдат хоспитализирани в отделения или клиники за интензивни грижи. Трябва да се мониторират стриктно по отношение на гълтателната и дихателната функция:</w:t>
      </w:r>
    </w:p>
    <w:p w14:paraId="53EEDDB3" w14:textId="77777777" w:rsidR="00BE0B19" w:rsidRPr="00AE47C6" w:rsidRDefault="00BE0B19" w:rsidP="00BE0B19">
      <w:pPr>
        <w:numPr>
          <w:ilvl w:val="0"/>
          <w:numId w:val="375"/>
        </w:numPr>
        <w:suppressAutoHyphens/>
        <w:autoSpaceDN w:val="0"/>
        <w:spacing w:after="0" w:line="360" w:lineRule="auto"/>
        <w:ind w:left="284" w:firstLine="0"/>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При затруднения в гълтането – поставяне на назогастрална сонда за хранене и прием на медикаменти.</w:t>
      </w:r>
    </w:p>
    <w:p w14:paraId="0DBBFD96" w14:textId="77777777" w:rsidR="00BE0B19" w:rsidRPr="00AE47C6" w:rsidRDefault="00BE0B19" w:rsidP="00BE0B19">
      <w:pPr>
        <w:numPr>
          <w:ilvl w:val="0"/>
          <w:numId w:val="375"/>
        </w:numPr>
        <w:suppressAutoHyphens/>
        <w:autoSpaceDN w:val="0"/>
        <w:spacing w:after="0" w:line="360" w:lineRule="auto"/>
        <w:ind w:left="284" w:firstLine="0"/>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При липса на тежка дисфагия и начална дихателна декомпенсация може да се предприеме опит за неинвазивна вентилация, която може да спести инвазивната вентилация при голям брой болни.</w:t>
      </w:r>
    </w:p>
    <w:p w14:paraId="7FFC29FF" w14:textId="77777777" w:rsidR="00BE0B19" w:rsidRPr="00AE47C6" w:rsidRDefault="00BE0B19" w:rsidP="00BE0B19">
      <w:pPr>
        <w:numPr>
          <w:ilvl w:val="0"/>
          <w:numId w:val="375"/>
        </w:numPr>
        <w:suppressAutoHyphens/>
        <w:autoSpaceDN w:val="0"/>
        <w:spacing w:after="0" w:line="360" w:lineRule="auto"/>
        <w:ind w:left="284" w:firstLine="0"/>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Критериите за предприемане на интубация и изкуствена белодробна    вентилация са известни на специалистите по реанимация. Миастенната криза обаче е клинична диагноза. В случаите с myasthenia gravis данните от пулсоксиметрията и изследването на кръвните газове не са достатъчни за мониториране на болния и определяне на индикациите за интубация, тъй като спадането на кислородната сатурация и РaO</w:t>
      </w:r>
      <w:r w:rsidRPr="00AE47C6">
        <w:rPr>
          <w:rFonts w:ascii="Times New Roman" w:eastAsia="SimSun" w:hAnsi="Times New Roman"/>
          <w:kern w:val="3"/>
          <w:sz w:val="24"/>
          <w:szCs w:val="24"/>
          <w:vertAlign w:val="subscript"/>
          <w:lang w:eastAsia="zh-CN" w:bidi="hi-IN"/>
        </w:rPr>
        <w:t>2</w:t>
      </w:r>
      <w:r w:rsidRPr="00AE47C6">
        <w:rPr>
          <w:rFonts w:ascii="Times New Roman" w:eastAsia="SimSun" w:hAnsi="Times New Roman"/>
          <w:kern w:val="3"/>
          <w:sz w:val="24"/>
          <w:szCs w:val="24"/>
          <w:lang w:eastAsia="zh-CN" w:bidi="hi-IN"/>
        </w:rPr>
        <w:t>, както и покачването на РaCO</w:t>
      </w:r>
      <w:r w:rsidRPr="00AE47C6">
        <w:rPr>
          <w:rFonts w:ascii="Times New Roman" w:eastAsia="SimSun" w:hAnsi="Times New Roman"/>
          <w:kern w:val="3"/>
          <w:sz w:val="24"/>
          <w:szCs w:val="24"/>
          <w:vertAlign w:val="subscript"/>
          <w:lang w:eastAsia="zh-CN" w:bidi="hi-IN"/>
        </w:rPr>
        <w:t>2</w:t>
      </w:r>
      <w:r w:rsidRPr="00AE47C6">
        <w:rPr>
          <w:rFonts w:ascii="Times New Roman" w:eastAsia="SimSun" w:hAnsi="Times New Roman"/>
          <w:kern w:val="3"/>
          <w:sz w:val="24"/>
          <w:szCs w:val="24"/>
          <w:lang w:eastAsia="zh-CN" w:bidi="hi-IN"/>
        </w:rPr>
        <w:t>, настъпват късно в хода на развитие на кризата. Наличието на нормална сатурация и РaCO</w:t>
      </w:r>
      <w:r w:rsidRPr="00AE47C6">
        <w:rPr>
          <w:rFonts w:ascii="Times New Roman" w:eastAsia="SimSun" w:hAnsi="Times New Roman"/>
          <w:kern w:val="3"/>
          <w:sz w:val="24"/>
          <w:szCs w:val="24"/>
          <w:vertAlign w:val="subscript"/>
          <w:lang w:eastAsia="zh-CN" w:bidi="hi-IN"/>
        </w:rPr>
        <w:t>2</w:t>
      </w:r>
      <w:r w:rsidRPr="00AE47C6">
        <w:rPr>
          <w:rFonts w:ascii="Times New Roman" w:eastAsia="SimSun" w:hAnsi="Times New Roman"/>
          <w:kern w:val="3"/>
          <w:sz w:val="24"/>
          <w:szCs w:val="24"/>
          <w:lang w:eastAsia="zh-CN" w:bidi="hi-IN"/>
        </w:rPr>
        <w:t xml:space="preserve"> не изключва миастенна криза. Изследването на външните параметри на дишането (витален капацитет и отрицателна сила на вдишване) е препоръчително на всеки 2 часа, но е трудно клинично осъществимо в условията на спешност и препоръките са приети в практиката от проучвания при пациенти със синдром на Guillain-Barre. Поради липса на клинични проучвания при пациенти с МК тези критерии са широко приети в практиката (табл. 8.4). Практическо приложение намират някои по-лесни за употреба тестове, като тест на еднократното вдишване („single-breath test”). При еднократно вдишване пациентът се кара да брои, като нормалните стойности са до над 40. Друга възможност е да накараме пациентът да поеме дълбоко въздух и да задържи дъха си. Стойности под 10 секунди показват значително намален витален капацитет. Допълнителна информация ни дава влошаването на дихателната честота, дихателното усилие с участие на допълнителна дихателна мускулатура и принудително положение в леглото. Изследването на дишането, кардио-респираторното мониториране, неврологичните симптоми (очни движения, наличие на дисфония и дисфагия, слабост в шията и крайниците, фасцикулации) и автономната функция (тахи- и брадикардия, ритъмни нарушения, хипотония, хипертония, изпотяване) оформя крайната картина на миастенната криза.</w:t>
      </w:r>
    </w:p>
    <w:p w14:paraId="07E418EC" w14:textId="77777777" w:rsidR="00BE0B19" w:rsidRPr="00AE47C6" w:rsidRDefault="00BE0B19" w:rsidP="00BE0B19">
      <w:pPr>
        <w:numPr>
          <w:ilvl w:val="0"/>
          <w:numId w:val="375"/>
        </w:numPr>
        <w:suppressAutoHyphens/>
        <w:autoSpaceDN w:val="0"/>
        <w:spacing w:after="0" w:line="360" w:lineRule="auto"/>
        <w:ind w:left="284" w:firstLine="0"/>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 xml:space="preserve">При интубация при възможност се избягва допълнителна мускулна релаксация. В условията на криза трябва да се избягват деполяризиращите мускулни релаксанти, тъй като отговорът към тях е непредвидим. Дозите на не-деполяризиращите релаксанти се редуцират до най-малко ½ от обичайните. При пациенти с МК може да се използва будна седация с обезболяване с propofol, fentanyl, remifentanil, бензодиазепини, lidocaine или ketamine.  </w:t>
      </w:r>
    </w:p>
    <w:p w14:paraId="549CBDD2" w14:textId="77777777" w:rsidR="00BE0B19" w:rsidRPr="00AE47C6" w:rsidRDefault="00BE0B19" w:rsidP="00BE0B19">
      <w:pPr>
        <w:numPr>
          <w:ilvl w:val="0"/>
          <w:numId w:val="375"/>
        </w:numPr>
        <w:suppressAutoHyphens/>
        <w:autoSpaceDN w:val="0"/>
        <w:spacing w:after="0" w:line="360" w:lineRule="auto"/>
        <w:ind w:left="284" w:firstLine="0"/>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Режими на вентилация – подходящи са обдишване по налягане, ранно включване на асистирани режими по налягане, задължителни синхронизирани режими по обем.</w:t>
      </w:r>
    </w:p>
    <w:p w14:paraId="1C2B01F3" w14:textId="77777777" w:rsidR="00BE0B19" w:rsidRPr="00AE47C6" w:rsidRDefault="00BE0B19" w:rsidP="00BE0B19">
      <w:pPr>
        <w:numPr>
          <w:ilvl w:val="0"/>
          <w:numId w:val="375"/>
        </w:numPr>
        <w:suppressAutoHyphens/>
        <w:autoSpaceDN w:val="0"/>
        <w:spacing w:after="0" w:line="360" w:lineRule="auto"/>
        <w:ind w:left="284" w:firstLine="0"/>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Често използвани в интензивната терапия медикаменти, които могат да влошат миастенията са аминогликозиди, хинолони, макролиди, антиконвулсанти, бета-блокери, включително за локално приложение, антиаритмични, мускулни релаксанти, контрасти и др.</w:t>
      </w:r>
    </w:p>
    <w:p w14:paraId="38F686E4" w14:textId="77777777" w:rsidR="00BE0B19" w:rsidRPr="00AE47C6" w:rsidRDefault="00BE0B19" w:rsidP="00BE0B19">
      <w:pPr>
        <w:numPr>
          <w:ilvl w:val="0"/>
          <w:numId w:val="375"/>
        </w:numPr>
        <w:suppressAutoHyphens/>
        <w:autoSpaceDN w:val="0"/>
        <w:spacing w:after="0" w:line="360" w:lineRule="auto"/>
        <w:ind w:left="284" w:firstLine="0"/>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Екстубацията се извършва при стабилни параметри на външното дишане и задоволителна кашлична функция.</w:t>
      </w:r>
    </w:p>
    <w:p w14:paraId="64A1BAD5" w14:textId="77777777" w:rsidR="00BE0B19" w:rsidRPr="00AE47C6" w:rsidRDefault="00BE0B19" w:rsidP="00BE0B19">
      <w:pPr>
        <w:numPr>
          <w:ilvl w:val="0"/>
          <w:numId w:val="375"/>
        </w:numPr>
        <w:suppressAutoHyphens/>
        <w:autoSpaceDN w:val="0"/>
        <w:spacing w:after="0" w:line="360" w:lineRule="auto"/>
        <w:ind w:left="284" w:firstLine="0"/>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Ранна трахеотомия се предприема при очертаваща се продължителна криза.</w:t>
      </w:r>
    </w:p>
    <w:p w14:paraId="2B896DB3" w14:textId="77777777" w:rsidR="00BE0B19" w:rsidRPr="00AE47C6" w:rsidRDefault="00BE0B19" w:rsidP="00BE0B19">
      <w:pPr>
        <w:numPr>
          <w:ilvl w:val="0"/>
          <w:numId w:val="375"/>
        </w:numPr>
        <w:suppressAutoHyphens/>
        <w:autoSpaceDN w:val="0"/>
        <w:spacing w:after="0" w:line="360" w:lineRule="auto"/>
        <w:ind w:left="284" w:firstLine="0"/>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Необходимо е проследяване на дихателната функция – мониториране, рентгенография, наличие на делир на фона на белодробна вентилация.</w:t>
      </w:r>
    </w:p>
    <w:p w14:paraId="52422A38" w14:textId="77777777" w:rsidR="00BE0B19" w:rsidRPr="00AE47C6" w:rsidRDefault="00BE0B19" w:rsidP="00BE0B19">
      <w:pPr>
        <w:numPr>
          <w:ilvl w:val="0"/>
          <w:numId w:val="375"/>
        </w:numPr>
        <w:suppressAutoHyphens/>
        <w:autoSpaceDN w:val="0"/>
        <w:spacing w:after="0" w:line="360" w:lineRule="auto"/>
        <w:ind w:left="284" w:firstLine="0"/>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 xml:space="preserve">Лечение на съпътстващите усложнения – инфекции, електролитен дисбаланс, хипопротеинемия, съпътстващи заболявания, стрес, обездвижване, престой в интензивна клиника. </w:t>
      </w:r>
    </w:p>
    <w:p w14:paraId="4F5A770A"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p>
    <w:p w14:paraId="588301AC" w14:textId="77777777" w:rsidR="00BE0B19" w:rsidRPr="00AE47C6" w:rsidRDefault="00BE0B19" w:rsidP="00BE0B19">
      <w:pPr>
        <w:suppressAutoHyphens/>
        <w:autoSpaceDN w:val="0"/>
        <w:spacing w:after="0" w:line="360" w:lineRule="auto"/>
        <w:textAlignment w:val="baseline"/>
        <w:rPr>
          <w:rFonts w:ascii="Times New Roman" w:eastAsia="SimSun" w:hAnsi="Times New Roman"/>
          <w:b/>
          <w:kern w:val="3"/>
          <w:sz w:val="24"/>
          <w:szCs w:val="24"/>
          <w:lang w:eastAsia="zh-CN" w:bidi="hi-IN"/>
        </w:rPr>
      </w:pPr>
      <w:r w:rsidRPr="00AE47C6">
        <w:rPr>
          <w:rFonts w:ascii="Times New Roman" w:eastAsia="SimSun" w:hAnsi="Times New Roman"/>
          <w:b/>
          <w:kern w:val="3"/>
          <w:sz w:val="24"/>
          <w:szCs w:val="24"/>
          <w:lang w:eastAsia="zh-CN" w:bidi="hi-IN"/>
        </w:rPr>
        <w:t>Таблица 8.4.</w:t>
      </w:r>
      <w:r w:rsidRPr="00AE47C6">
        <w:rPr>
          <w:rFonts w:ascii="Times New Roman" w:eastAsia="SimSun" w:hAnsi="Times New Roman"/>
          <w:kern w:val="3"/>
          <w:sz w:val="24"/>
          <w:szCs w:val="24"/>
          <w:lang w:eastAsia="zh-CN" w:bidi="hi-IN"/>
        </w:rPr>
        <w:t xml:space="preserve"> </w:t>
      </w:r>
      <w:r w:rsidRPr="00AE47C6">
        <w:rPr>
          <w:rFonts w:ascii="Times New Roman" w:eastAsia="SimSun" w:hAnsi="Times New Roman"/>
          <w:b/>
          <w:kern w:val="3"/>
          <w:sz w:val="24"/>
          <w:szCs w:val="24"/>
          <w:lang w:eastAsia="zh-CN" w:bidi="hi-IN"/>
        </w:rPr>
        <w:t>Параметри показващи прага за вентилаторно подпомагане при МК</w:t>
      </w:r>
    </w:p>
    <w:tbl>
      <w:tblPr>
        <w:tblW w:w="9067" w:type="dxa"/>
        <w:tblLayout w:type="fixed"/>
        <w:tblCellMar>
          <w:left w:w="10" w:type="dxa"/>
          <w:right w:w="10" w:type="dxa"/>
        </w:tblCellMar>
        <w:tblLook w:val="04A0" w:firstRow="1" w:lastRow="0" w:firstColumn="1" w:lastColumn="0" w:noHBand="0" w:noVBand="1"/>
      </w:tblPr>
      <w:tblGrid>
        <w:gridCol w:w="2704"/>
        <w:gridCol w:w="2386"/>
        <w:gridCol w:w="1993"/>
        <w:gridCol w:w="1984"/>
      </w:tblGrid>
      <w:tr w:rsidR="00BE0B19" w:rsidRPr="00AE47C6" w14:paraId="4D0790AC" w14:textId="77777777" w:rsidTr="00AD72E5">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3FDC6" w14:textId="77777777" w:rsidR="00BE0B19" w:rsidRPr="00AE47C6" w:rsidRDefault="00BE0B19" w:rsidP="00BE0B19">
            <w:pPr>
              <w:suppressAutoHyphens/>
              <w:autoSpaceDN w:val="0"/>
              <w:spacing w:after="0" w:line="360" w:lineRule="auto"/>
              <w:textAlignment w:val="baseline"/>
              <w:rPr>
                <w:rFonts w:ascii="Times New Roman" w:eastAsia="SimSun" w:hAnsi="Times New Roman"/>
                <w:b/>
                <w:bCs/>
                <w:kern w:val="3"/>
                <w:sz w:val="24"/>
                <w:szCs w:val="24"/>
                <w:lang w:eastAsia="zh-CN" w:bidi="hi-IN"/>
              </w:rPr>
            </w:pPr>
            <w:r w:rsidRPr="00AE47C6">
              <w:rPr>
                <w:rFonts w:ascii="Times New Roman" w:eastAsia="SimSun" w:hAnsi="Times New Roman"/>
                <w:b/>
                <w:bCs/>
                <w:kern w:val="3"/>
                <w:sz w:val="24"/>
                <w:szCs w:val="24"/>
                <w:lang w:eastAsia="zh-CN" w:bidi="hi-IN"/>
              </w:rPr>
              <w:t>Критерий/тест</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8B6A0D" w14:textId="77777777" w:rsidR="00BE0B19" w:rsidRPr="00AE47C6" w:rsidRDefault="00BE0B19" w:rsidP="00BE0B19">
            <w:pPr>
              <w:suppressAutoHyphens/>
              <w:autoSpaceDN w:val="0"/>
              <w:spacing w:after="0" w:line="360" w:lineRule="auto"/>
              <w:textAlignment w:val="baseline"/>
              <w:rPr>
                <w:rFonts w:ascii="Times New Roman" w:eastAsia="SimSun" w:hAnsi="Times New Roman"/>
                <w:b/>
                <w:bCs/>
                <w:kern w:val="3"/>
                <w:sz w:val="24"/>
                <w:szCs w:val="24"/>
                <w:lang w:eastAsia="zh-CN" w:bidi="hi-IN"/>
              </w:rPr>
            </w:pPr>
            <w:r w:rsidRPr="00AE47C6">
              <w:rPr>
                <w:rFonts w:ascii="Times New Roman" w:eastAsia="SimSun" w:hAnsi="Times New Roman"/>
                <w:b/>
                <w:bCs/>
                <w:kern w:val="3"/>
                <w:sz w:val="24"/>
                <w:szCs w:val="24"/>
                <w:lang w:eastAsia="zh-CN" w:bidi="hi-IN"/>
              </w:rPr>
              <w:t>Норма</w:t>
            </w:r>
          </w:p>
        </w:tc>
        <w:tc>
          <w:tcPr>
            <w:tcW w:w="1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703562" w14:textId="77777777" w:rsidR="00BE0B19" w:rsidRPr="00AE47C6" w:rsidRDefault="00BE0B19" w:rsidP="00BE0B19">
            <w:pPr>
              <w:suppressAutoHyphens/>
              <w:autoSpaceDN w:val="0"/>
              <w:spacing w:after="0" w:line="360" w:lineRule="auto"/>
              <w:textAlignment w:val="baseline"/>
              <w:rPr>
                <w:rFonts w:ascii="Times New Roman" w:eastAsia="SimSun" w:hAnsi="Times New Roman"/>
                <w:b/>
                <w:bCs/>
                <w:kern w:val="3"/>
                <w:sz w:val="24"/>
                <w:szCs w:val="24"/>
                <w:lang w:eastAsia="zh-CN" w:bidi="hi-IN"/>
              </w:rPr>
            </w:pPr>
            <w:r w:rsidRPr="00AE47C6">
              <w:rPr>
                <w:rFonts w:ascii="Times New Roman" w:eastAsia="SimSun" w:hAnsi="Times New Roman"/>
                <w:b/>
                <w:bCs/>
                <w:kern w:val="3"/>
                <w:sz w:val="24"/>
                <w:szCs w:val="24"/>
                <w:lang w:eastAsia="zh-CN" w:bidi="hi-IN"/>
              </w:rPr>
              <w:t>Необходимост от интубация/вентилация</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CE770" w14:textId="77777777" w:rsidR="00BE0B19" w:rsidRPr="00AE47C6" w:rsidRDefault="00BE0B19" w:rsidP="00BE0B19">
            <w:pPr>
              <w:suppressAutoHyphens/>
              <w:autoSpaceDN w:val="0"/>
              <w:spacing w:after="0" w:line="360" w:lineRule="auto"/>
              <w:textAlignment w:val="baseline"/>
              <w:rPr>
                <w:rFonts w:ascii="Times New Roman" w:eastAsia="SimSun" w:hAnsi="Times New Roman"/>
                <w:b/>
                <w:bCs/>
                <w:kern w:val="3"/>
                <w:sz w:val="24"/>
                <w:szCs w:val="24"/>
                <w:lang w:eastAsia="zh-CN" w:bidi="hi-IN"/>
              </w:rPr>
            </w:pPr>
            <w:r w:rsidRPr="00AE47C6">
              <w:rPr>
                <w:rFonts w:ascii="Times New Roman" w:eastAsia="SimSun" w:hAnsi="Times New Roman"/>
                <w:b/>
                <w:bCs/>
                <w:kern w:val="3"/>
                <w:sz w:val="24"/>
                <w:szCs w:val="24"/>
                <w:lang w:eastAsia="zh-CN" w:bidi="hi-IN"/>
              </w:rPr>
              <w:t>Екстубация</w:t>
            </w:r>
          </w:p>
        </w:tc>
      </w:tr>
      <w:tr w:rsidR="00BE0B19" w:rsidRPr="00AE47C6" w14:paraId="12D2190F" w14:textId="77777777" w:rsidTr="00AD72E5">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60049"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Витален капацитет ml/kg телесно тегло</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85B647"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&gt;60 ml</w:t>
            </w:r>
          </w:p>
        </w:tc>
        <w:tc>
          <w:tcPr>
            <w:tcW w:w="1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E9FC1"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&lt;20 ml</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38069"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&gt;25 ml</w:t>
            </w:r>
          </w:p>
        </w:tc>
      </w:tr>
      <w:tr w:rsidR="00BE0B19" w:rsidRPr="00AE47C6" w14:paraId="17A81678" w14:textId="77777777" w:rsidTr="00AD72E5">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810EB"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Негативно налягане при вдишване см Н</w:t>
            </w:r>
            <w:r w:rsidRPr="00AE47C6">
              <w:rPr>
                <w:rFonts w:ascii="Times New Roman" w:eastAsia="SimSun" w:hAnsi="Times New Roman"/>
                <w:kern w:val="3"/>
                <w:sz w:val="24"/>
                <w:szCs w:val="24"/>
                <w:vertAlign w:val="subscript"/>
                <w:lang w:eastAsia="zh-CN" w:bidi="hi-IN"/>
              </w:rPr>
              <w:t>2</w:t>
            </w:r>
            <w:r w:rsidRPr="00AE47C6">
              <w:rPr>
                <w:rFonts w:ascii="Times New Roman" w:eastAsia="SimSun" w:hAnsi="Times New Roman"/>
                <w:kern w:val="3"/>
                <w:sz w:val="24"/>
                <w:szCs w:val="24"/>
                <w:lang w:eastAsia="zh-CN" w:bidi="hi-IN"/>
              </w:rPr>
              <w:t>О</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DD140"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&gt;60 cm</w:t>
            </w:r>
          </w:p>
        </w:tc>
        <w:tc>
          <w:tcPr>
            <w:tcW w:w="1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161D6"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&lt;20-30 cm</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F3238F"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&gt;40 cm</w:t>
            </w:r>
          </w:p>
        </w:tc>
      </w:tr>
      <w:tr w:rsidR="00BE0B19" w:rsidRPr="00AE47C6" w14:paraId="7F269BD0" w14:textId="77777777" w:rsidTr="00AD72E5">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72B444"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Позитивно налягане при издишване см Н</w:t>
            </w:r>
            <w:r w:rsidRPr="00AE47C6">
              <w:rPr>
                <w:rFonts w:ascii="Times New Roman" w:eastAsia="SimSun" w:hAnsi="Times New Roman"/>
                <w:kern w:val="3"/>
                <w:sz w:val="24"/>
                <w:szCs w:val="24"/>
                <w:vertAlign w:val="subscript"/>
                <w:lang w:eastAsia="zh-CN" w:bidi="hi-IN"/>
              </w:rPr>
              <w:t>2</w:t>
            </w:r>
            <w:r w:rsidRPr="00AE47C6">
              <w:rPr>
                <w:rFonts w:ascii="Times New Roman" w:eastAsia="SimSun" w:hAnsi="Times New Roman"/>
                <w:kern w:val="3"/>
                <w:sz w:val="24"/>
                <w:szCs w:val="24"/>
                <w:lang w:eastAsia="zh-CN" w:bidi="hi-IN"/>
              </w:rPr>
              <w:t>О</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A50CC"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&gt;100 cm</w:t>
            </w:r>
          </w:p>
        </w:tc>
        <w:tc>
          <w:tcPr>
            <w:tcW w:w="1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A6F84"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 xml:space="preserve">&lt;40 cm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14C06A"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&gt;50 cm</w:t>
            </w:r>
          </w:p>
        </w:tc>
      </w:tr>
      <w:tr w:rsidR="00BE0B19" w:rsidRPr="00AE47C6" w14:paraId="432AD496" w14:textId="77777777" w:rsidTr="00AD72E5">
        <w:tc>
          <w:tcPr>
            <w:tcW w:w="2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347DB1"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Тест на единичното вдишване - броене</w:t>
            </w:r>
          </w:p>
        </w:tc>
        <w:tc>
          <w:tcPr>
            <w:tcW w:w="2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69DFC"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 xml:space="preserve">До 40-50 </w:t>
            </w:r>
          </w:p>
        </w:tc>
        <w:tc>
          <w:tcPr>
            <w:tcW w:w="1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A7863D"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До 15-20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D5CD1E"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w:t>
            </w:r>
          </w:p>
        </w:tc>
      </w:tr>
    </w:tbl>
    <w:p w14:paraId="5D2A4C6B"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p>
    <w:p w14:paraId="3AC27B1D" w14:textId="77777777" w:rsidR="00BE0B19" w:rsidRPr="00AE47C6" w:rsidRDefault="00BE0B19" w:rsidP="00BE0B19">
      <w:pPr>
        <w:suppressAutoHyphens/>
        <w:autoSpaceDN w:val="0"/>
        <w:spacing w:after="0" w:line="360" w:lineRule="auto"/>
        <w:ind w:firstLine="708"/>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i/>
          <w:iCs/>
          <w:kern w:val="3"/>
          <w:sz w:val="24"/>
          <w:szCs w:val="24"/>
          <w:lang w:eastAsia="zh-CN" w:bidi="hi-IN"/>
        </w:rPr>
        <w:t>Лечението по време на МК</w:t>
      </w:r>
      <w:r w:rsidRPr="00AE47C6">
        <w:rPr>
          <w:rFonts w:ascii="Times New Roman" w:eastAsia="SimSun" w:hAnsi="Times New Roman"/>
          <w:kern w:val="3"/>
          <w:sz w:val="24"/>
          <w:szCs w:val="24"/>
          <w:lang w:eastAsia="zh-CN" w:bidi="hi-IN"/>
        </w:rPr>
        <w:t xml:space="preserve"> и при заплашваща МК е мултимодално и включва остра симптоматична и етиологична терапия, започване на дългосрочна имуносупресираща терапия и интензивно лечение (виж по-горе).</w:t>
      </w:r>
    </w:p>
    <w:p w14:paraId="51F9E3FF" w14:textId="77777777" w:rsidR="00BE0B19" w:rsidRPr="00AE47C6" w:rsidRDefault="00BE0B19" w:rsidP="00BE0B19">
      <w:pPr>
        <w:numPr>
          <w:ilvl w:val="0"/>
          <w:numId w:val="376"/>
        </w:numPr>
        <w:suppressAutoHyphens/>
        <w:autoSpaceDN w:val="0"/>
        <w:spacing w:after="0" w:line="360" w:lineRule="auto"/>
        <w:ind w:left="284" w:hanging="284"/>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i/>
          <w:iCs/>
          <w:kern w:val="3"/>
          <w:sz w:val="24"/>
          <w:szCs w:val="24"/>
          <w:lang w:eastAsia="zh-CN" w:bidi="hi-IN"/>
        </w:rPr>
        <w:t xml:space="preserve">Острата симптоматична терапия </w:t>
      </w:r>
      <w:r w:rsidRPr="00AE47C6">
        <w:rPr>
          <w:rFonts w:ascii="Times New Roman" w:eastAsia="SimSun" w:hAnsi="Times New Roman"/>
          <w:kern w:val="3"/>
          <w:sz w:val="24"/>
          <w:szCs w:val="24"/>
          <w:lang w:eastAsia="zh-CN" w:bidi="hi-IN"/>
        </w:rPr>
        <w:t xml:space="preserve">включва pyridostigmine табл. през устата или през сонда 3-6 пъти по 60-90 mg при максимална доза 540 mg дневно. Може да бъде заместен с венозен pyridostigmine в съотношение към пероралния като 1:30 (не е наличен у нас). Pyridostigmine може да бъде заместен с neostigmine ампули 0,5 mg 1 ml като пероралната доза от 360 mg pyridostigmine дневно се равнява на 4,5 mg дневно neostigmine венозно или мускулно. Повишената бронхиална секреция от приложението на парентералните форми може да бъде повлияна от 0,5 до 1 mg atropine подкожно. При пациенти, които вече са интубирани е уместно холинестеразната терапия да се спре за ден-два.  </w:t>
      </w:r>
    </w:p>
    <w:p w14:paraId="7AAC8D04" w14:textId="77777777" w:rsidR="00BE0B19" w:rsidRPr="00AE47C6" w:rsidRDefault="00BE0B19" w:rsidP="00BE0B19">
      <w:pPr>
        <w:numPr>
          <w:ilvl w:val="0"/>
          <w:numId w:val="376"/>
        </w:numPr>
        <w:suppressAutoHyphens/>
        <w:autoSpaceDN w:val="0"/>
        <w:spacing w:after="0" w:line="360" w:lineRule="auto"/>
        <w:ind w:left="284" w:hanging="284"/>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i/>
          <w:iCs/>
          <w:kern w:val="3"/>
          <w:sz w:val="24"/>
          <w:szCs w:val="24"/>
          <w:lang w:eastAsia="zh-CN" w:bidi="hi-IN"/>
        </w:rPr>
        <w:t>Острата етиологична терапия</w:t>
      </w:r>
      <w:r w:rsidRPr="00AE47C6">
        <w:rPr>
          <w:rFonts w:ascii="Times New Roman" w:eastAsia="SimSun" w:hAnsi="Times New Roman"/>
          <w:kern w:val="3"/>
          <w:sz w:val="24"/>
          <w:szCs w:val="24"/>
          <w:lang w:eastAsia="zh-CN" w:bidi="hi-IN"/>
        </w:rPr>
        <w:t xml:space="preserve"> на МК основното  е с плазмафереза и интравенозни имуноглобулини. Към момента липсва категоричен отговор кой от двата метода е по-ефективен, с лека тенденция за по-добър и по-бърз ефект от аферезата при наличие на повече рискове (сепсис, труден достъп) и трудности при нейното приложение. Ефектът и на двете лечения настъпва в рамките на дни до седмица, което дава възможност на другите имуномодулиращи терапии да започнат да действат (таблица 4). Курсът на лечение включва 5-6 плазмаферези или 0,4 g/kg/ден интравенозни имуноглобулини за 5 последователни дни. Лечението с имуноглобулини не е подходящо при бъбречна недостатъчност. При заплашваща криза дозата на имуноглобулините може да се редуцира до 1,5 – 2 mg/kg/ден за 2-3 дни.</w:t>
      </w:r>
    </w:p>
    <w:p w14:paraId="48AADB6C" w14:textId="77777777" w:rsidR="00BE0B19" w:rsidRPr="00AE47C6" w:rsidRDefault="00BE0B19" w:rsidP="00BE0B19">
      <w:pPr>
        <w:numPr>
          <w:ilvl w:val="0"/>
          <w:numId w:val="376"/>
        </w:numPr>
        <w:suppressAutoHyphens/>
        <w:autoSpaceDN w:val="0"/>
        <w:spacing w:after="0" w:line="360" w:lineRule="auto"/>
        <w:ind w:left="284" w:hanging="284"/>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i/>
          <w:iCs/>
          <w:kern w:val="3"/>
          <w:sz w:val="24"/>
          <w:szCs w:val="24"/>
          <w:lang w:eastAsia="zh-CN" w:bidi="hi-IN"/>
        </w:rPr>
        <w:t>Интравенозна пулс терапия с methylprednisolone</w:t>
      </w:r>
      <w:r w:rsidRPr="00AE47C6">
        <w:rPr>
          <w:rFonts w:ascii="Times New Roman" w:eastAsia="SimSun" w:hAnsi="Times New Roman"/>
          <w:kern w:val="3"/>
          <w:sz w:val="24"/>
          <w:szCs w:val="24"/>
          <w:lang w:eastAsia="zh-CN" w:bidi="hi-IN"/>
        </w:rPr>
        <w:t xml:space="preserve"> се цитира в някои проучвания. Дозата е 500–2000 mg/ден в продължение на 3-5 последователни дни, последвана от намаляване по различни схеми. Този режим на лечение може да доведе до преходно влошаване на миастенните симптоми, потенциално индуциращи миастенна криза поради директен мембранен ефект на кортикостероидите. Освен това острата стероидна миопатия може да допринесе за цялостното влошаване на клиниката в тази ситуация. Нямаме личен опит с този режим на лечение при МГ и считаме, че той би могъл да се използва само при явни миастенни кризи и в комбинация с плазмафереза, имуноадсорбция или интравенозна имуноглобулинова терапия в интензивно отделение.</w:t>
      </w:r>
    </w:p>
    <w:p w14:paraId="5DB09992" w14:textId="77777777" w:rsidR="00BE0B19" w:rsidRPr="00AE47C6" w:rsidRDefault="00BE0B19" w:rsidP="00BE0B19">
      <w:pPr>
        <w:numPr>
          <w:ilvl w:val="0"/>
          <w:numId w:val="376"/>
        </w:numPr>
        <w:suppressAutoHyphens/>
        <w:autoSpaceDN w:val="0"/>
        <w:spacing w:after="0" w:line="360" w:lineRule="auto"/>
        <w:ind w:left="284" w:hanging="284"/>
        <w:textAlignment w:val="baseline"/>
        <w:rPr>
          <w:rFonts w:ascii="Times New Roman" w:eastAsia="SimSun" w:hAnsi="Times New Roman"/>
          <w:i/>
          <w:iCs/>
          <w:kern w:val="3"/>
          <w:sz w:val="24"/>
          <w:szCs w:val="24"/>
          <w:lang w:eastAsia="zh-CN" w:bidi="hi-IN"/>
        </w:rPr>
      </w:pPr>
      <w:r w:rsidRPr="00AE47C6">
        <w:rPr>
          <w:rFonts w:ascii="Times New Roman" w:eastAsia="SimSun" w:hAnsi="Times New Roman"/>
          <w:i/>
          <w:iCs/>
          <w:kern w:val="3"/>
          <w:sz w:val="24"/>
          <w:szCs w:val="24"/>
          <w:lang w:eastAsia="zh-CN" w:bidi="hi-IN"/>
        </w:rPr>
        <w:t>Дългосрочна имуномодулираща терапия</w:t>
      </w:r>
    </w:p>
    <w:p w14:paraId="5B005FFD" w14:textId="77777777" w:rsidR="00BE0B19" w:rsidRPr="00AE47C6" w:rsidRDefault="00BE0B19" w:rsidP="00BE0B19">
      <w:pPr>
        <w:numPr>
          <w:ilvl w:val="0"/>
          <w:numId w:val="377"/>
        </w:numPr>
        <w:suppressAutoHyphens/>
        <w:autoSpaceDN w:val="0"/>
        <w:spacing w:after="0" w:line="360" w:lineRule="auto"/>
        <w:ind w:left="709" w:hanging="283"/>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 xml:space="preserve">Кортикостероиди – при започване на лечението, особено с по-високи дози може да се наблюдава първоначално влошаване на симптомите. Терапията условно се разделя на такава при влошаване без дихателна недостатъчност и при криза с изкуствена вентилация. В първия случай се предприема покачване на дозата със седмично увеличаване от 10 mg prednisolone (еквивалент на 2 табл. от другите кортикостероиди) до обща доза 60 mg ежедневно или алтерниращо. Намаляването на дозата става по-бавно на 2-3 седмици със задържане на някои дози, ако е необходимо. При криза и интубиран пациент лечението може да започне с високи дози кортикостероид – 100 mg prednisolone или 80-100 mg methylprednisolone, като дозата се намалява на 10-14 дни до 20-40 mg, а по-късно и на по-големи интервали. </w:t>
      </w:r>
    </w:p>
    <w:p w14:paraId="386F409B" w14:textId="77777777" w:rsidR="00BE0B19" w:rsidRPr="00AE47C6" w:rsidRDefault="00BE0B19" w:rsidP="00BE0B19">
      <w:pPr>
        <w:numPr>
          <w:ilvl w:val="0"/>
          <w:numId w:val="377"/>
        </w:numPr>
        <w:suppressAutoHyphens/>
        <w:autoSpaceDN w:val="0"/>
        <w:spacing w:after="0" w:line="360" w:lineRule="auto"/>
        <w:ind w:left="567" w:hanging="141"/>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 xml:space="preserve">Azathioprine – започва се с 50 mg седмично през първата седмица, 100 mg през втората и до 150 mg през третата седмица. Необходимо е изследване на лимфоцитите, левкоцитите и трансаминазите 6-8 седмици след началото на терапията и корекция или спиране на лечението при отклонения. При наличие на ТРМТ (тиопурин С-метилтрансфераза) дефицит алтернативно може да се използва mycophenolate mofetil. </w:t>
      </w:r>
    </w:p>
    <w:p w14:paraId="1F0E5007" w14:textId="77777777" w:rsidR="00BE0B19" w:rsidRPr="00AE47C6" w:rsidRDefault="00BE0B19" w:rsidP="00BE0B19">
      <w:pPr>
        <w:numPr>
          <w:ilvl w:val="0"/>
          <w:numId w:val="377"/>
        </w:numPr>
        <w:suppressAutoHyphens/>
        <w:autoSpaceDN w:val="0"/>
        <w:spacing w:after="0" w:line="360" w:lineRule="auto"/>
        <w:ind w:left="567" w:hanging="141"/>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Rituximab (няма одобрение за тази индикация) – в случай на неповлияваща се МК при оптимално лечение, може да се мисли за ескалираща терапия с rituximab 1 g двукратно през 14 дни, като дозата може да се повтори след 1 година или при покачване на CD19, както и при възвръщане на симптомите.</w:t>
      </w:r>
    </w:p>
    <w:p w14:paraId="0320EE98" w14:textId="77777777" w:rsidR="00BE0B19" w:rsidRPr="00AE47C6" w:rsidRDefault="00BE0B19" w:rsidP="00BE0B19">
      <w:pPr>
        <w:spacing w:after="0" w:line="360" w:lineRule="auto"/>
        <w:jc w:val="both"/>
        <w:rPr>
          <w:rFonts w:ascii="Times New Roman" w:eastAsia="SimSun" w:hAnsi="Times New Roman"/>
          <w:sz w:val="24"/>
          <w:szCs w:val="24"/>
        </w:rPr>
      </w:pPr>
    </w:p>
    <w:p w14:paraId="216DECBA" w14:textId="77777777" w:rsidR="00BE0B19" w:rsidRPr="00AE47C6" w:rsidRDefault="00BE0B19" w:rsidP="00BE0B19">
      <w:pPr>
        <w:suppressAutoHyphens/>
        <w:autoSpaceDN w:val="0"/>
        <w:spacing w:after="0" w:line="360" w:lineRule="auto"/>
        <w:textAlignment w:val="baseline"/>
        <w:rPr>
          <w:rFonts w:ascii="Times New Roman" w:eastAsia="SimSun" w:hAnsi="Times New Roman"/>
          <w:b/>
          <w:kern w:val="3"/>
          <w:sz w:val="24"/>
          <w:szCs w:val="24"/>
          <w:lang w:eastAsia="zh-CN" w:bidi="hi-IN"/>
        </w:rPr>
      </w:pPr>
      <w:r w:rsidRPr="00AE47C6">
        <w:rPr>
          <w:rFonts w:ascii="Times New Roman" w:eastAsia="SimSun" w:hAnsi="Times New Roman"/>
          <w:b/>
          <w:kern w:val="3"/>
          <w:sz w:val="24"/>
          <w:szCs w:val="24"/>
          <w:lang w:eastAsia="zh-CN" w:bidi="hi-IN"/>
        </w:rPr>
        <w:t>Таблица 8.5. Време до настъпване на ефекта на терапиите за миастения</w:t>
      </w:r>
    </w:p>
    <w:tbl>
      <w:tblPr>
        <w:tblW w:w="8926" w:type="dxa"/>
        <w:tblCellMar>
          <w:left w:w="10" w:type="dxa"/>
          <w:right w:w="10" w:type="dxa"/>
        </w:tblCellMar>
        <w:tblLook w:val="04A0" w:firstRow="1" w:lastRow="0" w:firstColumn="1" w:lastColumn="0" w:noHBand="0" w:noVBand="1"/>
      </w:tblPr>
      <w:tblGrid>
        <w:gridCol w:w="3964"/>
        <w:gridCol w:w="4962"/>
      </w:tblGrid>
      <w:tr w:rsidR="00BE0B19" w:rsidRPr="00AE47C6" w14:paraId="70B9DCA0" w14:textId="77777777" w:rsidTr="00AD72E5">
        <w:trPr>
          <w:trHeight w:val="494"/>
        </w:trPr>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F5532" w14:textId="77777777" w:rsidR="00BE0B19" w:rsidRPr="00AE47C6" w:rsidRDefault="00BE0B19" w:rsidP="00BE0B19">
            <w:pPr>
              <w:suppressAutoHyphens/>
              <w:autoSpaceDN w:val="0"/>
              <w:spacing w:after="0" w:line="360" w:lineRule="auto"/>
              <w:jc w:val="center"/>
              <w:textAlignment w:val="baseline"/>
              <w:rPr>
                <w:rFonts w:ascii="Times New Roman" w:eastAsia="SimSun" w:hAnsi="Times New Roman"/>
                <w:b/>
                <w:bCs/>
                <w:kern w:val="3"/>
                <w:sz w:val="24"/>
                <w:szCs w:val="24"/>
                <w:lang w:eastAsia="zh-CN" w:bidi="hi-IN"/>
              </w:rPr>
            </w:pPr>
            <w:r w:rsidRPr="00AE47C6">
              <w:rPr>
                <w:rFonts w:ascii="Times New Roman" w:eastAsia="SimSun" w:hAnsi="Times New Roman"/>
                <w:b/>
                <w:bCs/>
                <w:kern w:val="3"/>
                <w:sz w:val="24"/>
                <w:szCs w:val="24"/>
                <w:lang w:eastAsia="zh-CN" w:bidi="hi-IN"/>
              </w:rPr>
              <w:t>Вид терапия</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141D6D" w14:textId="77777777" w:rsidR="00BE0B19" w:rsidRPr="00AE47C6" w:rsidRDefault="00BE0B19" w:rsidP="00BE0B19">
            <w:pPr>
              <w:suppressAutoHyphens/>
              <w:autoSpaceDN w:val="0"/>
              <w:spacing w:after="0" w:line="360" w:lineRule="auto"/>
              <w:jc w:val="center"/>
              <w:textAlignment w:val="baseline"/>
              <w:rPr>
                <w:rFonts w:ascii="Times New Roman" w:eastAsia="SimSun" w:hAnsi="Times New Roman"/>
                <w:b/>
                <w:bCs/>
                <w:kern w:val="3"/>
                <w:sz w:val="24"/>
                <w:szCs w:val="24"/>
                <w:lang w:eastAsia="zh-CN" w:bidi="hi-IN"/>
              </w:rPr>
            </w:pPr>
            <w:r w:rsidRPr="00AE47C6">
              <w:rPr>
                <w:rFonts w:ascii="Times New Roman" w:eastAsia="SimSun" w:hAnsi="Times New Roman"/>
                <w:b/>
                <w:bCs/>
                <w:kern w:val="3"/>
                <w:sz w:val="24"/>
                <w:szCs w:val="24"/>
                <w:lang w:eastAsia="zh-CN" w:bidi="hi-IN"/>
              </w:rPr>
              <w:t>Време до ефект</w:t>
            </w:r>
          </w:p>
        </w:tc>
      </w:tr>
      <w:tr w:rsidR="00BE0B19" w:rsidRPr="00AE47C6" w14:paraId="7BC05B5F" w14:textId="77777777" w:rsidTr="00AD72E5">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51D40C"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Плазмафереза/имуноабсорбция</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4095D1"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Няколко дни</w:t>
            </w:r>
          </w:p>
        </w:tc>
      </w:tr>
      <w:tr w:rsidR="00BE0B19" w:rsidRPr="00AE47C6" w14:paraId="7597D2D6" w14:textId="77777777" w:rsidTr="00AD72E5">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7E53A9"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Интравенозни имуноглобулини</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5C2F86"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 xml:space="preserve">Няколко дни </w:t>
            </w:r>
          </w:p>
        </w:tc>
      </w:tr>
      <w:tr w:rsidR="00BE0B19" w:rsidRPr="00AE47C6" w14:paraId="593FDCBE" w14:textId="77777777" w:rsidTr="00AD72E5">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804D8F"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Кортикостероиди</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C3D7E"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Месец – възможно е първоначално влошаване</w:t>
            </w:r>
          </w:p>
        </w:tc>
      </w:tr>
      <w:tr w:rsidR="00BE0B19" w:rsidRPr="00AE47C6" w14:paraId="6E217560" w14:textId="77777777" w:rsidTr="00AD72E5">
        <w:tc>
          <w:tcPr>
            <w:tcW w:w="39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45A4A"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 xml:space="preserve">Azathioprine </w:t>
            </w:r>
          </w:p>
        </w:tc>
        <w:tc>
          <w:tcPr>
            <w:tcW w:w="4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8869F" w14:textId="77777777" w:rsidR="00BE0B19" w:rsidRPr="00AE47C6" w:rsidRDefault="00BE0B19" w:rsidP="00BE0B19">
            <w:pPr>
              <w:suppressAutoHyphens/>
              <w:autoSpaceDN w:val="0"/>
              <w:spacing w:after="0" w:line="360" w:lineRule="auto"/>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6-12 месеца</w:t>
            </w:r>
          </w:p>
        </w:tc>
      </w:tr>
    </w:tbl>
    <w:p w14:paraId="14A0DF23" w14:textId="77777777" w:rsidR="00BE0B19" w:rsidRPr="00AE47C6" w:rsidRDefault="00BE0B19" w:rsidP="00BE0B19">
      <w:pPr>
        <w:spacing w:after="0" w:line="360" w:lineRule="auto"/>
        <w:jc w:val="both"/>
        <w:rPr>
          <w:rFonts w:ascii="Times New Roman" w:eastAsia="SimSun" w:hAnsi="Times New Roman"/>
          <w:sz w:val="24"/>
          <w:szCs w:val="24"/>
        </w:rPr>
      </w:pPr>
    </w:p>
    <w:p w14:paraId="7A9CED8B" w14:textId="77777777" w:rsidR="00BE0B19" w:rsidRPr="00AE47C6" w:rsidRDefault="00BE0B19" w:rsidP="00BE0B19">
      <w:pPr>
        <w:suppressAutoHyphens/>
        <w:autoSpaceDN w:val="0"/>
        <w:spacing w:after="0" w:line="360" w:lineRule="auto"/>
        <w:textAlignment w:val="baseline"/>
        <w:rPr>
          <w:rFonts w:ascii="Times New Roman" w:eastAsia="SimSun" w:hAnsi="Times New Roman"/>
          <w:b/>
          <w:bCs/>
          <w:i/>
          <w:iCs/>
          <w:kern w:val="3"/>
          <w:sz w:val="24"/>
          <w:szCs w:val="24"/>
          <w:lang w:eastAsia="zh-CN" w:bidi="hi-IN"/>
        </w:rPr>
      </w:pPr>
    </w:p>
    <w:p w14:paraId="7151F7A9" w14:textId="77777777" w:rsidR="00BE0B19" w:rsidRPr="00AE47C6" w:rsidRDefault="00BE0B19" w:rsidP="00BE0B19">
      <w:pPr>
        <w:suppressAutoHyphens/>
        <w:autoSpaceDN w:val="0"/>
        <w:spacing w:after="0" w:line="360" w:lineRule="auto"/>
        <w:ind w:firstLine="720"/>
        <w:textAlignment w:val="baseline"/>
        <w:rPr>
          <w:rFonts w:ascii="Times New Roman" w:eastAsia="SimSun" w:hAnsi="Times New Roman"/>
          <w:kern w:val="3"/>
          <w:sz w:val="24"/>
          <w:szCs w:val="24"/>
          <w:lang w:eastAsia="zh-CN" w:bidi="hi-IN"/>
        </w:rPr>
      </w:pPr>
      <w:r w:rsidRPr="00AE47C6">
        <w:rPr>
          <w:rFonts w:ascii="Times New Roman" w:eastAsia="SimSun" w:hAnsi="Times New Roman"/>
          <w:b/>
          <w:bCs/>
          <w:kern w:val="3"/>
          <w:sz w:val="24"/>
          <w:szCs w:val="24"/>
          <w:lang w:eastAsia="zh-CN" w:bidi="hi-IN"/>
        </w:rPr>
        <w:t>Myasthenia gravis в условията на Covid 19</w:t>
      </w:r>
    </w:p>
    <w:p w14:paraId="70970C7F" w14:textId="77777777" w:rsidR="00BE0B19" w:rsidRPr="00AE47C6" w:rsidRDefault="00BE0B19" w:rsidP="00BE0B19">
      <w:pPr>
        <w:suppressAutoHyphens/>
        <w:autoSpaceDN w:val="0"/>
        <w:spacing w:after="0" w:line="360" w:lineRule="auto"/>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b/>
          <w:bCs/>
          <w:kern w:val="3"/>
          <w:sz w:val="24"/>
          <w:szCs w:val="24"/>
          <w:lang w:eastAsia="zh-CN" w:bidi="hi-IN"/>
        </w:rPr>
        <w:tab/>
      </w:r>
      <w:r w:rsidRPr="00AE47C6">
        <w:rPr>
          <w:rFonts w:ascii="Times New Roman" w:eastAsia="SimSun" w:hAnsi="Times New Roman"/>
          <w:kern w:val="3"/>
          <w:sz w:val="24"/>
          <w:szCs w:val="24"/>
          <w:lang w:eastAsia="zh-CN" w:bidi="hi-IN"/>
        </w:rPr>
        <w:t xml:space="preserve">Covid 19 е ново заболяване вследствие на коронавирус (SARS-CoV-2), предизвикващ тежък остър дихателен синдром. Симптомите са в различна степен на изразеност и включват температура, кашлица, диария, загуба на вкус и обоняние, дихателна декомпенсация. По настоящем почти всички страни по света са обхванати от заболяването и то е обявено за пандемия от СЗО. Към момента не съществуват данни как вирусът засяга болните с МГ и тези на имуносупресивно лечение. Теоретично пациентите с МГ често са на имуномодулираща и супресираща терапия и могат да развият слабост на дихателната мускулатура, което би довело до по-тежко протичане на инфекцията. </w:t>
      </w:r>
    </w:p>
    <w:p w14:paraId="6DC758F3" w14:textId="77777777" w:rsidR="00BE0B19" w:rsidRPr="00AE47C6" w:rsidRDefault="00BE0B19" w:rsidP="00BE0B19">
      <w:pPr>
        <w:suppressAutoHyphens/>
        <w:autoSpaceDN w:val="0"/>
        <w:spacing w:after="0" w:line="360" w:lineRule="auto"/>
        <w:ind w:firstLine="708"/>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Съществуват множество терапевтични препоръки за лечение на Covid 19, което води до объркване на практикуващите лекари. Липсват системни литературни данни за лечение на МГ и Covid 19, поради което най-разумно би било да се спазват националните препоръки за лечение и на двете заболявания.</w:t>
      </w:r>
    </w:p>
    <w:p w14:paraId="13AC4303" w14:textId="77777777" w:rsidR="00BE0B19" w:rsidRPr="00AE47C6" w:rsidRDefault="00BE0B19" w:rsidP="00BE0B19">
      <w:pPr>
        <w:suppressAutoHyphens/>
        <w:autoSpaceDN w:val="0"/>
        <w:spacing w:after="0" w:line="360" w:lineRule="auto"/>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ab/>
      </w:r>
      <w:r w:rsidRPr="00AE47C6">
        <w:rPr>
          <w:rFonts w:ascii="Times New Roman" w:eastAsia="SimSun" w:hAnsi="Times New Roman"/>
          <w:i/>
          <w:iCs/>
          <w:kern w:val="3"/>
          <w:sz w:val="24"/>
          <w:szCs w:val="24"/>
          <w:lang w:eastAsia="zh-CN" w:bidi="hi-IN"/>
        </w:rPr>
        <w:t>Лечение.</w:t>
      </w:r>
      <w:r w:rsidRPr="00AE47C6">
        <w:rPr>
          <w:rFonts w:ascii="Times New Roman" w:eastAsia="SimSun" w:hAnsi="Times New Roman"/>
          <w:kern w:val="3"/>
          <w:sz w:val="24"/>
          <w:szCs w:val="24"/>
          <w:lang w:eastAsia="zh-CN" w:bidi="hi-IN"/>
        </w:rPr>
        <w:t xml:space="preserve"> Пациентите с МГ следва да не прекъсват системното си лечение без препоръка от лекуващ лекар. Това се отнася в най-голяма степен за pyridostigmine. Ако са на имуносупресивно лечение, пациентите с МГ, трябва особено строго да спазват социална дистанция, вкл. градски транспорт и лекарски прегледи лице в лице, ако това е възможно. При спиране на имуносупресиращото лечение следва да се преценят много точно ползите и рисковете.</w:t>
      </w:r>
    </w:p>
    <w:p w14:paraId="529390BF" w14:textId="77777777" w:rsidR="00BE0B19" w:rsidRPr="00AE47C6" w:rsidRDefault="00BE0B19" w:rsidP="00BE0B19">
      <w:pPr>
        <w:suppressAutoHyphens/>
        <w:autoSpaceDN w:val="0"/>
        <w:spacing w:after="0" w:line="360" w:lineRule="auto"/>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ab/>
        <w:t>При провеждане на лечение с вливания на имуноглобулини и плазмафереза трябва да се прецени риска от заразяване при болнично лечение. Към момента липсват данни, че плазмаферезата и интравенозните имуноглобулини носят допълнителен риск за инфекция с Covid 19. По принцип тези лечения следва да се запазят за пациенти с остри влошавания и кризи. По изключение те могат да се провеждат и като поддържаща терапия, при наличие на противопоказания за друг вид лечение. Към момента липсват данни, че инхибирането на С5 фракцията на комплемента с eculizumab, може да доведе до по-чести инфекции и по лош изход при Covid 19.</w:t>
      </w:r>
    </w:p>
    <w:p w14:paraId="0224D43F" w14:textId="77777777" w:rsidR="00BE0B19" w:rsidRPr="00AE47C6" w:rsidRDefault="00BE0B19" w:rsidP="00BE0B19">
      <w:pPr>
        <w:suppressAutoHyphens/>
        <w:autoSpaceDN w:val="0"/>
        <w:spacing w:after="0" w:line="360" w:lineRule="auto"/>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ab/>
        <w:t xml:space="preserve">Особено внимание трябва да се обръща при необходимост от започване на В-клетъчна терапия (не е налична в нашата страна) и по възможност, при липса на риск от кризи, началото и следва да бъде отложено.   </w:t>
      </w:r>
    </w:p>
    <w:p w14:paraId="59EF14BB" w14:textId="77777777" w:rsidR="00BE0B19" w:rsidRPr="00AE47C6" w:rsidRDefault="00BE0B19" w:rsidP="00BE0B19">
      <w:pPr>
        <w:suppressAutoHyphens/>
        <w:autoSpaceDN w:val="0"/>
        <w:spacing w:after="0" w:line="360" w:lineRule="auto"/>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ab/>
        <w:t>Средствата за лечение на Covid 19 (chloroquine, azithromycin, антивирусни) са с недоказан ефект и най-често са в списъка на медикаментите, които влошават МГ.</w:t>
      </w:r>
    </w:p>
    <w:p w14:paraId="43FB2B58" w14:textId="77777777" w:rsidR="00BE0B19" w:rsidRPr="00AE47C6" w:rsidRDefault="00BE0B19" w:rsidP="00BE0B19">
      <w:pPr>
        <w:suppressAutoHyphens/>
        <w:autoSpaceDN w:val="0"/>
        <w:spacing w:after="0" w:line="360" w:lineRule="auto"/>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ab/>
      </w:r>
      <w:r w:rsidRPr="00AE47C6">
        <w:rPr>
          <w:rFonts w:ascii="Times New Roman" w:eastAsia="SimSun" w:hAnsi="Times New Roman"/>
          <w:i/>
          <w:iCs/>
          <w:kern w:val="3"/>
          <w:sz w:val="24"/>
          <w:szCs w:val="24"/>
          <w:lang w:eastAsia="zh-CN" w:bidi="hi-IN"/>
        </w:rPr>
        <w:t>Ваксинация</w:t>
      </w:r>
      <w:r w:rsidRPr="00AE47C6">
        <w:rPr>
          <w:rFonts w:ascii="Times New Roman" w:eastAsia="SimSun" w:hAnsi="Times New Roman"/>
          <w:kern w:val="3"/>
          <w:sz w:val="24"/>
          <w:szCs w:val="24"/>
          <w:lang w:eastAsia="zh-CN" w:bidi="hi-IN"/>
        </w:rPr>
        <w:t xml:space="preserve"> не бива да се извършва с живи ваксини. Според последните препоръки на MGFA (Американската фондация по миастения гравис) наличните към момента ваксини са безопасни за приложение. </w:t>
      </w:r>
    </w:p>
    <w:p w14:paraId="15BA9E8C" w14:textId="77777777" w:rsidR="00BE0B19" w:rsidRPr="00AE47C6" w:rsidRDefault="00BE0B19" w:rsidP="00BE0B19">
      <w:pPr>
        <w:suppressAutoHyphens/>
        <w:autoSpaceDN w:val="0"/>
        <w:spacing w:after="0" w:line="360" w:lineRule="auto"/>
        <w:jc w:val="both"/>
        <w:textAlignment w:val="baseline"/>
        <w:rPr>
          <w:rFonts w:ascii="Times New Roman" w:eastAsia="SimSun" w:hAnsi="Times New Roman"/>
          <w:kern w:val="3"/>
          <w:sz w:val="24"/>
          <w:szCs w:val="24"/>
          <w:lang w:eastAsia="zh-CN" w:bidi="hi-IN"/>
        </w:rPr>
      </w:pPr>
      <w:r w:rsidRPr="00AE47C6">
        <w:rPr>
          <w:rFonts w:ascii="Times New Roman" w:eastAsia="SimSun" w:hAnsi="Times New Roman"/>
          <w:kern w:val="3"/>
          <w:sz w:val="24"/>
          <w:szCs w:val="24"/>
          <w:lang w:eastAsia="zh-CN" w:bidi="hi-IN"/>
        </w:rPr>
        <w:tab/>
        <w:t>Ако пациентите с МГ, все пак се заразят с вируса, данните към момента сочат, че симптоматиката най-често е лека и трябва да се следват международните и национални препоръки за лечение на МГ.  Може да има необходимост за покачване на дозата на кортикостероидите. Ако пациентите са с тежка симптоматика, те трябва да бъдат хоспитализирани и при наличие на сепсис, имуносупресивната терапия може временно да се спре. Стандартното лечение с azathioprine и mycophenolate mofetil може да бъде продължено, тъй като ефектът от дозата е протрахиран и очистването от ефекта на медикамента би отнело много време при риск от загуба на трудно постигнатата с месеци имуносупресия. Внимателно трябва да се преценява намаляването или увеличаването на дозата на имуносупресантите.</w:t>
      </w:r>
    </w:p>
    <w:p w14:paraId="33611097"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185" w:name="_Toc155651789"/>
      <w:bookmarkStart w:id="186" w:name="_Toc164075921"/>
      <w:r w:rsidRPr="00AE47C6">
        <w:rPr>
          <w:rFonts w:ascii="Times New Roman" w:eastAsia="SimSun" w:hAnsi="Times New Roman"/>
          <w:b/>
          <w:sz w:val="24"/>
          <w:szCs w:val="24"/>
        </w:rPr>
        <w:t>8.2. Lambert-Eaton синдром (LE)</w:t>
      </w:r>
      <w:bookmarkEnd w:id="185"/>
      <w:bookmarkEnd w:id="186"/>
    </w:p>
    <w:p w14:paraId="2DC63F6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Етиопатогенеза</w:t>
      </w:r>
      <w:r w:rsidRPr="00AE47C6">
        <w:rPr>
          <w:rFonts w:ascii="Times New Roman" w:eastAsia="SimSun" w:hAnsi="Times New Roman"/>
          <w:b/>
          <w:sz w:val="24"/>
          <w:szCs w:val="24"/>
        </w:rPr>
        <w:t>.</w:t>
      </w:r>
      <w:r w:rsidRPr="00AE47C6">
        <w:rPr>
          <w:rFonts w:ascii="Times New Roman" w:eastAsia="SimSun" w:hAnsi="Times New Roman"/>
          <w:sz w:val="24"/>
          <w:szCs w:val="24"/>
        </w:rPr>
        <w:t xml:space="preserve"> Представлява миастеноподобно заболяване, което най-често е компонент от паранеопластичен процес при дребноклетъчен белодробен карцином (60% от случаите) и по-рядко при карцином на простатата, ректума, стомаха или при лимфом. При 1/3 от случаите не може са се установи първично туморно огнище. При тези болни най-често синдромът е асоцииран с някои автоимунни заболявания – системен еритематозен лупус, пернициозна анемия, заболявания на щитовидната жлеза и др. Патогенетично се касае за нарушение в пресинаптичното освобождаване на ацетилхолин, свързано с функцията на волтажно зависимите калциеви канали (намален брой), при нормална структура и дори повишен брой на постсинаптичните рецептори. Важна роля играят свързаните с неоплазмата антитела срещу туморните антигени, които показват кръстосана реактивност към антигенните детерминанти на нервното окончание. При пациентите със синдром на LE се установява и повишена честота на типичните за автоимунните заболявания хаплотипове – HLA-B8 и DR3. </w:t>
      </w:r>
    </w:p>
    <w:p w14:paraId="297A53D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 xml:space="preserve">Клинично </w:t>
      </w:r>
      <w:r w:rsidRPr="00AE47C6">
        <w:rPr>
          <w:rFonts w:ascii="Times New Roman" w:eastAsia="SimSun" w:hAnsi="Times New Roman"/>
          <w:sz w:val="24"/>
          <w:szCs w:val="24"/>
        </w:rPr>
        <w:t xml:space="preserve">началото на заболяването е бавно, като мъжете се засягат 5 пъти по-често от жените. За разлика от МГ, синдромът на LE започва с мускулна слабост в проксималните мускули на крайниците и в трупа, като едни от първите симптоми са затруднено изкачване по стълби, ставане от седнало положение и ходене. Птоза, диплопия и дисфагия се срещат рядко и то не като първоначални симптоми. Наблюдава се и отслабване или липса на сухожилните рефлекси, което някои автори свързват с наличието на карциноматозна полиневропатия. Могат да са налице и други симптоми на паранеопластичния процес - парестезии, болки по мускулите, сухота в устата, запек, нарушения в микцията и др. </w:t>
      </w:r>
    </w:p>
    <w:p w14:paraId="54F0272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Изследвания</w:t>
      </w:r>
      <w:r w:rsidRPr="00AE47C6">
        <w:rPr>
          <w:rFonts w:ascii="Times New Roman" w:eastAsia="SimSun" w:hAnsi="Times New Roman"/>
          <w:i/>
          <w:sz w:val="24"/>
          <w:szCs w:val="24"/>
        </w:rPr>
        <w:t>.</w:t>
      </w:r>
      <w:r w:rsidRPr="00AE47C6">
        <w:rPr>
          <w:rFonts w:ascii="Times New Roman" w:eastAsia="SimSun" w:hAnsi="Times New Roman"/>
          <w:sz w:val="24"/>
          <w:szCs w:val="24"/>
        </w:rPr>
        <w:t xml:space="preserve"> ЕМГ може да покаже ниска амплитуда на мускулните акционни потенциали при електростимулация с единични импулси и типично покачване на амплитудата при повтаряща се високочестотна стимулация (30 Hz). Необходими са специфични изследвания за установяване на основното заболяване, което е и предпоставка за осъществяване на адекватно лечение. Ако не се установи първичен туморен процес се налагат повторни изследвания след кратки интервали от време. Ходът на симптоматиката е свързан с хода на туморното заболяване и най-често е необратим.</w:t>
      </w:r>
    </w:p>
    <w:p w14:paraId="1C1A727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Лечение</w:t>
      </w:r>
      <w:r w:rsidRPr="00AE47C6">
        <w:rPr>
          <w:rFonts w:ascii="Times New Roman" w:eastAsia="SimSun" w:hAnsi="Times New Roman"/>
          <w:i/>
          <w:sz w:val="24"/>
          <w:szCs w:val="24"/>
        </w:rPr>
        <w:t>.</w:t>
      </w:r>
      <w:r w:rsidRPr="00AE47C6">
        <w:rPr>
          <w:rFonts w:ascii="Times New Roman" w:eastAsia="SimSun" w:hAnsi="Times New Roman"/>
          <w:sz w:val="24"/>
          <w:szCs w:val="24"/>
        </w:rPr>
        <w:t xml:space="preserve"> Антихолинестеразните средства подобряват мускулната слабост в по-малка степен, в сравнение с ефекта им при МГ. Някои автори постигат добър терапевтичен резултат с приложение на </w:t>
      </w:r>
      <w:r w:rsidRPr="00AE47C6">
        <w:rPr>
          <w:rFonts w:ascii="Times New Roman" w:eastAsia="SimSun" w:hAnsi="Times New Roman"/>
          <w:i/>
          <w:sz w:val="24"/>
          <w:szCs w:val="24"/>
        </w:rPr>
        <w:t>кортикостероиди, azathioprine или комбинация на тези препарати с интравенозни имуноглобулини</w:t>
      </w:r>
      <w:r w:rsidRPr="00AE47C6">
        <w:rPr>
          <w:rFonts w:ascii="Times New Roman" w:eastAsia="SimSun" w:hAnsi="Times New Roman"/>
          <w:sz w:val="24"/>
          <w:szCs w:val="24"/>
        </w:rPr>
        <w:t xml:space="preserve">. Специфичният блокер на калиевите йонни канали </w:t>
      </w:r>
      <w:r w:rsidRPr="00AE47C6">
        <w:rPr>
          <w:rFonts w:ascii="Times New Roman" w:eastAsia="SimSun" w:hAnsi="Times New Roman"/>
          <w:i/>
          <w:sz w:val="24"/>
          <w:szCs w:val="24"/>
        </w:rPr>
        <w:t xml:space="preserve">diaminopyridin </w:t>
      </w:r>
      <w:r w:rsidRPr="00AE47C6">
        <w:rPr>
          <w:rFonts w:ascii="Times New Roman" w:eastAsia="SimSun" w:hAnsi="Times New Roman"/>
          <w:sz w:val="24"/>
          <w:szCs w:val="24"/>
        </w:rPr>
        <w:t>е ефективен, но предизвиква значителни нежелани реакции (гърчове, делир), поради което приложението му е ограничено.</w:t>
      </w:r>
    </w:p>
    <w:p w14:paraId="3DA5DF4D"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187" w:name="_Toc155651790"/>
      <w:bookmarkStart w:id="188" w:name="_Toc164075922"/>
      <w:r w:rsidRPr="00AE47C6">
        <w:rPr>
          <w:rFonts w:ascii="Times New Roman" w:eastAsia="SimSun" w:hAnsi="Times New Roman"/>
          <w:b/>
          <w:sz w:val="24"/>
          <w:szCs w:val="24"/>
        </w:rPr>
        <w:t>8.3. Ботулизъм</w:t>
      </w:r>
      <w:bookmarkEnd w:id="187"/>
      <w:bookmarkEnd w:id="188"/>
    </w:p>
    <w:p w14:paraId="1F745CE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Етиопатогенеза.</w:t>
      </w:r>
      <w:r w:rsidRPr="00AE47C6">
        <w:rPr>
          <w:rFonts w:ascii="Times New Roman" w:eastAsia="SimSun" w:hAnsi="Times New Roman"/>
          <w:sz w:val="24"/>
          <w:szCs w:val="24"/>
        </w:rPr>
        <w:t xml:space="preserve"> Развива се в резултат на хранителен токсин – топлинно лабилният екзотоксин, произведен от спорите на Clostridium botulinum. Ботулиновият токсин се абсорбира в гастроинтестиналния тракт и се разпространява по кръвен път до всички холинергични синапси (мускаринови и никотинови), като намалява количеството на пресинаптично отделения ацетилхолин. </w:t>
      </w:r>
    </w:p>
    <w:p w14:paraId="4E1D9C4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Клинично </w:t>
      </w:r>
      <w:r w:rsidRPr="00AE47C6">
        <w:rPr>
          <w:rFonts w:ascii="Times New Roman" w:eastAsia="SimSun" w:hAnsi="Times New Roman"/>
          <w:sz w:val="24"/>
          <w:szCs w:val="24"/>
        </w:rPr>
        <w:t xml:space="preserve">симптомите се развиват 12 до 36 часа след прием на контаминирана храна, която най-често е домашно консервирана. Могат да се наблюдават продромални симптоми като гадене, повръщане и безапетитие. Първите симптоми са свързани със замъглено зрение, диплопия, птоза и страбизъм, които за разлика от МГ се придружават и от нереагиращи зеници. Постепенно се развива генерализирана мускулна слабост – лицева диплегия, дисфагия, дисфония с дрезгав глас, дизартрия, слабост в мускулите на трупа и крайниците и развитие на дихателна недостатъчност. Бързото развитие на тези симптоми за няколко дни и липсата на сухожилни рефлекси може да доведе до погрешно диагностициране на Guillain - Barre синдром. За разлика от него при ботулизма липсват сетивни нарушения, няма промени в лумбалния ликвор и автономните нарушения са водещи – лабилно артериално налягане, сухота в устата, констипация, нарушения в микцията, зенична ареактивност и др. </w:t>
      </w:r>
    </w:p>
    <w:p w14:paraId="61023C9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Изследвания</w:t>
      </w:r>
      <w:r w:rsidRPr="00AE47C6">
        <w:rPr>
          <w:rFonts w:ascii="Times New Roman" w:eastAsia="SimSun" w:hAnsi="Times New Roman"/>
          <w:sz w:val="24"/>
          <w:szCs w:val="24"/>
        </w:rPr>
        <w:t>. ЕМГ находката е сходна с тази при синдром на LE и различна от МГ. Диагнозата се поставя въз основа на анамнестичните данни и типичната клинична картина. В острия стадий на заболяването е трудно разграничаването от синдром на Guillain - Barre, стволов инсулт и миастения.</w:t>
      </w:r>
    </w:p>
    <w:p w14:paraId="2DDC62E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Лечението</w:t>
      </w:r>
      <w:r w:rsidRPr="00AE47C6">
        <w:rPr>
          <w:rFonts w:ascii="Times New Roman" w:eastAsia="SimSun" w:hAnsi="Times New Roman"/>
          <w:sz w:val="24"/>
          <w:szCs w:val="24"/>
        </w:rPr>
        <w:t xml:space="preserve"> включва приложение на ботулинов анатоксин след десенсибилизация, антибиотици, механична вентилация и интензивно лечение. Медикаментите, подобряващи нервно-мускулното предаване, имат слаб терапевтичен ефект. Увредата, причинена от ботулиновия токсин, е необратима и подобрението е резултат от способността на нервните окончания да формират нови синапси. Възстановяването е бавно, започва след седмици и може да продължи с месеци. Лечението с анатоксин повлиява слабо хода на заболяването и крайният резултат зависи в най-голяма степен от адекватните ИБВ и интензивна терапия. </w:t>
      </w:r>
    </w:p>
    <w:p w14:paraId="7ACAE1CD" w14:textId="77777777" w:rsidR="00BE0B19" w:rsidRPr="00AE47C6" w:rsidRDefault="00BE0B19" w:rsidP="00BE0B19">
      <w:pPr>
        <w:keepNext/>
        <w:keepLines/>
        <w:pageBreakBefore/>
        <w:spacing w:before="480" w:after="480"/>
        <w:outlineLvl w:val="0"/>
        <w:rPr>
          <w:rFonts w:ascii="Times New Roman" w:eastAsia="SimSun" w:hAnsi="Times New Roman"/>
          <w:b/>
          <w:bCs/>
          <w:sz w:val="28"/>
          <w:szCs w:val="28"/>
        </w:rPr>
      </w:pPr>
      <w:bookmarkStart w:id="189" w:name="_Toc155651791"/>
      <w:bookmarkStart w:id="190" w:name="_Toc164075923"/>
      <w:r w:rsidRPr="00AE47C6">
        <w:rPr>
          <w:rFonts w:ascii="Times New Roman" w:eastAsia="SimSun" w:hAnsi="Times New Roman"/>
          <w:b/>
          <w:bCs/>
          <w:sz w:val="28"/>
          <w:szCs w:val="28"/>
        </w:rPr>
        <w:t>9. Невро-мускулни заболявания</w:t>
      </w:r>
      <w:bookmarkEnd w:id="189"/>
      <w:bookmarkEnd w:id="190"/>
    </w:p>
    <w:p w14:paraId="544563EB" w14:textId="77777777" w:rsidR="00BE0B19" w:rsidRPr="00AE47C6" w:rsidRDefault="00BE0B19" w:rsidP="00BE0B19">
      <w:pPr>
        <w:widowControl w:val="0"/>
        <w:spacing w:after="0" w:line="360" w:lineRule="auto"/>
        <w:ind w:firstLine="720"/>
        <w:jc w:val="both"/>
        <w:rPr>
          <w:rFonts w:ascii="Times New Roman" w:eastAsia="SimSun" w:hAnsi="Times New Roman"/>
          <w:b/>
          <w:sz w:val="24"/>
          <w:szCs w:val="24"/>
        </w:rPr>
      </w:pPr>
      <w:r w:rsidRPr="00AE47C6">
        <w:rPr>
          <w:rFonts w:ascii="Times New Roman" w:eastAsia="SimSun" w:hAnsi="Times New Roman"/>
          <w:sz w:val="24"/>
          <w:szCs w:val="24"/>
        </w:rPr>
        <w:t xml:space="preserve">Наследствените невромускулни заболявания са редки, прогресиращи и инвалидизиращи заболявания със засягане на периферните нерви и мускулите. Те се дължат на генетични дефекти (мутации) в гени, кодиращи мускулни протеини или ензими, участващи в енергийния метаболизъм, както и на възпалителни и автоимунни процеси. Протичат с прогресираща слабост и атрофия на мускулите на крайниците в някои случаи и на паравертебралната и дихателна мускулатура рядко с хипертрофия. Разделят се на </w:t>
      </w:r>
      <w:r w:rsidRPr="00AE47C6">
        <w:rPr>
          <w:rFonts w:ascii="Times New Roman" w:eastAsia="SimSun" w:hAnsi="Times New Roman"/>
          <w:b/>
          <w:i/>
          <w:sz w:val="24"/>
          <w:szCs w:val="24"/>
        </w:rPr>
        <w:t>заболявания на мускулите</w:t>
      </w:r>
      <w:r w:rsidRPr="00AE47C6">
        <w:rPr>
          <w:rFonts w:ascii="Times New Roman" w:eastAsia="SimSun" w:hAnsi="Times New Roman"/>
          <w:sz w:val="24"/>
          <w:szCs w:val="24"/>
        </w:rPr>
        <w:t xml:space="preserve"> (вродени мускулни дистрофии и миопатии, прогресиращи мускулни дистрофии, миотонии, метаболитни); </w:t>
      </w:r>
      <w:r w:rsidRPr="00AE47C6">
        <w:rPr>
          <w:rFonts w:ascii="Times New Roman" w:eastAsia="SimSun" w:hAnsi="Times New Roman"/>
          <w:b/>
          <w:i/>
          <w:sz w:val="24"/>
          <w:szCs w:val="24"/>
        </w:rPr>
        <w:t xml:space="preserve">невропатии </w:t>
      </w:r>
      <w:r w:rsidRPr="00AE47C6">
        <w:rPr>
          <w:rFonts w:ascii="Times New Roman" w:eastAsia="SimSun" w:hAnsi="Times New Roman"/>
          <w:sz w:val="24"/>
          <w:szCs w:val="24"/>
        </w:rPr>
        <w:t xml:space="preserve">(наследствени); </w:t>
      </w:r>
      <w:r w:rsidRPr="00AE47C6">
        <w:rPr>
          <w:rFonts w:ascii="Times New Roman" w:eastAsia="SimSun" w:hAnsi="Times New Roman"/>
          <w:b/>
          <w:i/>
          <w:sz w:val="24"/>
          <w:szCs w:val="24"/>
        </w:rPr>
        <w:t>преднорогови заболявания</w:t>
      </w:r>
      <w:r w:rsidRPr="00AE47C6">
        <w:rPr>
          <w:rFonts w:ascii="Times New Roman" w:eastAsia="SimSun" w:hAnsi="Times New Roman"/>
          <w:sz w:val="24"/>
          <w:szCs w:val="24"/>
        </w:rPr>
        <w:t xml:space="preserve"> (спинални мускулни атрофии); </w:t>
      </w:r>
      <w:r w:rsidRPr="00AE47C6">
        <w:rPr>
          <w:rFonts w:ascii="Times New Roman" w:eastAsia="SimSun" w:hAnsi="Times New Roman"/>
          <w:b/>
          <w:i/>
          <w:sz w:val="24"/>
          <w:szCs w:val="24"/>
        </w:rPr>
        <w:t>болести с нарушено невромускулно предаване</w:t>
      </w:r>
      <w:r w:rsidRPr="00AE47C6">
        <w:rPr>
          <w:rFonts w:ascii="Times New Roman" w:eastAsia="SimSun" w:hAnsi="Times New Roman"/>
          <w:b/>
          <w:sz w:val="24"/>
          <w:szCs w:val="24"/>
        </w:rPr>
        <w:t>.</w:t>
      </w:r>
    </w:p>
    <w:p w14:paraId="0516FE53"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Епидемиология</w:t>
      </w:r>
      <w:r w:rsidRPr="00AE47C6">
        <w:rPr>
          <w:rFonts w:ascii="Times New Roman" w:eastAsia="SimSun" w:hAnsi="Times New Roman"/>
          <w:sz w:val="24"/>
          <w:szCs w:val="24"/>
        </w:rPr>
        <w:t>: Честота на невро-мускулните заболявания - 1 на 3000. През последните 20 г. са постигнати съществени успехи в изучаването на патогенезата и генетиката на невромускулните заболявания, като на много от тези заболявания гените са локализирани и характеризирани, а генните им продукти – идентифицирани и изучени. Възможно е установяването на предклиничния стадий на заболяването,</w:t>
      </w:r>
    </w:p>
    <w:p w14:paraId="5E27625C"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Диагностицират </w:t>
      </w:r>
      <w:r w:rsidRPr="00AE47C6">
        <w:rPr>
          <w:rFonts w:ascii="Times New Roman" w:eastAsia="SimSun" w:hAnsi="Times New Roman"/>
          <w:sz w:val="24"/>
          <w:szCs w:val="24"/>
        </w:rPr>
        <w:t>се на базата на прецизна анамнеза за начало на заболяването, локализацията на слабостта, наличието на други болни в семейството; клиничната характеристика; неврологичното изследване с установяване на вяло паретичен синдром с различна локализация и степен на изразеност, хипотрофии, със или без фибрилации; ЕМГ изследване за разкриване на миогенно, неврогенно, преднорогово увреждане или нарушено невромускулно предаване; биохимични изследвания за разкриване на увеличени стойности на креатинкиназа, АСАТ, АЛАТ, друг ензимен дефицит; генеалогични и молекулярно-генетични изследвания за определяне на генния дефект на заболяването. В хода на диагностичния процес се разграничава мускулно заболяване (вродена миопатия, мускулна дистрофия, миотонична дистрофия, обменна миопатия, възпалителна миопатия), невропатия (наследствена), преднорогово увреждане (различни типове спинална мускулна атрофия).</w:t>
      </w:r>
    </w:p>
    <w:p w14:paraId="27F543B5" w14:textId="77777777" w:rsidR="00BE0B19" w:rsidRPr="00AE47C6" w:rsidRDefault="00BE0B19" w:rsidP="00BE0B19">
      <w:pPr>
        <w:widowControl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Наследствените невромускулни заболявания следва да бъдат разграничени от придобити заболявания - възпалителни и инфекциозни миопатии, възпалителни, токсични и други полиневропатии, остри или хронични заболявания на периферния двигателен неврон и автоимунни миастении. </w:t>
      </w:r>
    </w:p>
    <w:p w14:paraId="073339E5" w14:textId="77777777" w:rsidR="00BE0B19" w:rsidRPr="00AE47C6" w:rsidRDefault="00BE0B19" w:rsidP="00BE0B19">
      <w:pPr>
        <w:spacing w:after="0" w:line="360" w:lineRule="auto"/>
        <w:ind w:firstLine="426"/>
        <w:jc w:val="both"/>
        <w:rPr>
          <w:rFonts w:ascii="Times New Roman" w:eastAsia="SimSun" w:hAnsi="Times New Roman"/>
          <w:sz w:val="24"/>
          <w:szCs w:val="24"/>
        </w:rPr>
      </w:pPr>
      <w:r w:rsidRPr="00AE47C6">
        <w:rPr>
          <w:rFonts w:ascii="Times New Roman" w:eastAsia="SimSun" w:hAnsi="Times New Roman"/>
          <w:b/>
          <w:sz w:val="24"/>
          <w:szCs w:val="24"/>
        </w:rPr>
        <w:t>Алгоритъмът за диагностика и проследяване на невромускулните заболявания включва</w:t>
      </w:r>
      <w:r w:rsidRPr="00AE47C6">
        <w:rPr>
          <w:rFonts w:ascii="Times New Roman" w:eastAsia="SimSun" w:hAnsi="Times New Roman"/>
          <w:sz w:val="24"/>
          <w:szCs w:val="24"/>
        </w:rPr>
        <w:t xml:space="preserve">: </w:t>
      </w:r>
    </w:p>
    <w:p w14:paraId="5340B013" w14:textId="77777777" w:rsidR="00BE0B19" w:rsidRPr="00AE47C6" w:rsidRDefault="00BE0B19" w:rsidP="00BE0B19">
      <w:pPr>
        <w:spacing w:after="0" w:line="360" w:lineRule="auto"/>
        <w:jc w:val="both"/>
        <w:rPr>
          <w:rFonts w:ascii="Times New Roman" w:eastAsia="SimSun" w:hAnsi="Times New Roman"/>
          <w:b/>
          <w:sz w:val="24"/>
          <w:szCs w:val="24"/>
          <w:u w:val="single"/>
        </w:rPr>
      </w:pPr>
      <w:r w:rsidRPr="00AE47C6">
        <w:rPr>
          <w:rFonts w:ascii="Times New Roman" w:eastAsia="SimSun" w:hAnsi="Times New Roman"/>
          <w:b/>
          <w:sz w:val="24"/>
          <w:szCs w:val="24"/>
          <w:u w:val="single"/>
        </w:rPr>
        <w:t>А. Диагностика на невромускулните заболявания</w:t>
      </w:r>
      <w:r w:rsidRPr="00AE47C6">
        <w:rPr>
          <w:rFonts w:ascii="Times New Roman" w:eastAsia="SimSun" w:hAnsi="Times New Roman"/>
          <w:b/>
          <w:sz w:val="24"/>
          <w:szCs w:val="24"/>
        </w:rPr>
        <w:t xml:space="preserve"> - </w:t>
      </w:r>
      <w:r w:rsidRPr="00AE47C6">
        <w:rPr>
          <w:rFonts w:ascii="Times New Roman" w:eastAsia="SimSun" w:hAnsi="Times New Roman"/>
          <w:bCs/>
          <w:sz w:val="24"/>
          <w:szCs w:val="24"/>
        </w:rPr>
        <w:t>комплексно изследване в специализирани клиники:</w:t>
      </w:r>
    </w:p>
    <w:p w14:paraId="73AFB758" w14:textId="77777777" w:rsidR="00BE0B19" w:rsidRPr="00AE47C6" w:rsidRDefault="00BE0B19" w:rsidP="00BE0B19">
      <w:pPr>
        <w:numPr>
          <w:ilvl w:val="1"/>
          <w:numId w:val="65"/>
        </w:numPr>
        <w:tabs>
          <w:tab w:val="clear" w:pos="1440"/>
          <w:tab w:val="num" w:pos="851"/>
        </w:tabs>
        <w:spacing w:after="0" w:line="360" w:lineRule="auto"/>
        <w:ind w:left="0" w:firstLine="142"/>
        <w:jc w:val="both"/>
        <w:rPr>
          <w:rFonts w:ascii="Times New Roman" w:eastAsia="SimSun" w:hAnsi="Times New Roman"/>
          <w:sz w:val="24"/>
          <w:szCs w:val="24"/>
        </w:rPr>
      </w:pPr>
      <w:r w:rsidRPr="00AE47C6">
        <w:rPr>
          <w:rFonts w:ascii="Times New Roman" w:eastAsia="SimSun" w:hAnsi="Times New Roman"/>
          <w:sz w:val="24"/>
          <w:szCs w:val="24"/>
        </w:rPr>
        <w:t xml:space="preserve">клинично изследване, изследвания на мускулни ензими (КФК) </w:t>
      </w:r>
    </w:p>
    <w:p w14:paraId="3719A122" w14:textId="77777777" w:rsidR="00BE0B19" w:rsidRPr="00AE47C6" w:rsidRDefault="00BE0B19" w:rsidP="00BE0B19">
      <w:pPr>
        <w:numPr>
          <w:ilvl w:val="1"/>
          <w:numId w:val="65"/>
        </w:numPr>
        <w:tabs>
          <w:tab w:val="clear" w:pos="1440"/>
          <w:tab w:val="num" w:pos="851"/>
        </w:tabs>
        <w:spacing w:after="0" w:line="360" w:lineRule="auto"/>
        <w:ind w:left="0" w:firstLine="142"/>
        <w:jc w:val="both"/>
        <w:rPr>
          <w:rFonts w:ascii="Times New Roman" w:eastAsia="SimSun" w:hAnsi="Times New Roman"/>
          <w:sz w:val="24"/>
          <w:szCs w:val="24"/>
        </w:rPr>
      </w:pPr>
      <w:r w:rsidRPr="00AE47C6">
        <w:rPr>
          <w:rFonts w:ascii="Times New Roman" w:eastAsia="SimSun" w:hAnsi="Times New Roman"/>
          <w:sz w:val="24"/>
          <w:szCs w:val="24"/>
        </w:rPr>
        <w:t xml:space="preserve">електрофизиологично изследване </w:t>
      </w:r>
    </w:p>
    <w:p w14:paraId="6D475A0F" w14:textId="77777777" w:rsidR="00BE0B19" w:rsidRPr="00AE47C6" w:rsidRDefault="00BE0B19" w:rsidP="00BE0B19">
      <w:pPr>
        <w:numPr>
          <w:ilvl w:val="1"/>
          <w:numId w:val="65"/>
        </w:numPr>
        <w:tabs>
          <w:tab w:val="clear" w:pos="1440"/>
          <w:tab w:val="num" w:pos="851"/>
        </w:tabs>
        <w:spacing w:after="0" w:line="360" w:lineRule="auto"/>
        <w:ind w:left="0" w:firstLine="142"/>
        <w:jc w:val="both"/>
        <w:rPr>
          <w:rFonts w:ascii="Times New Roman" w:eastAsia="SimSun" w:hAnsi="Times New Roman"/>
          <w:sz w:val="24"/>
          <w:szCs w:val="24"/>
        </w:rPr>
      </w:pPr>
      <w:r w:rsidRPr="00AE47C6">
        <w:rPr>
          <w:rFonts w:ascii="Times New Roman" w:eastAsia="SimSun" w:hAnsi="Times New Roman"/>
          <w:sz w:val="24"/>
          <w:szCs w:val="24"/>
        </w:rPr>
        <w:t xml:space="preserve">биопсия от мускул  </w:t>
      </w:r>
    </w:p>
    <w:p w14:paraId="6556E0F1" w14:textId="77777777" w:rsidR="00BE0B19" w:rsidRPr="00AE47C6" w:rsidRDefault="00BE0B19" w:rsidP="00BE0B19">
      <w:pPr>
        <w:numPr>
          <w:ilvl w:val="1"/>
          <w:numId w:val="65"/>
        </w:numPr>
        <w:tabs>
          <w:tab w:val="clear" w:pos="1440"/>
          <w:tab w:val="num" w:pos="851"/>
        </w:tabs>
        <w:spacing w:after="0" w:line="360" w:lineRule="auto"/>
        <w:ind w:left="0" w:firstLine="142"/>
        <w:jc w:val="both"/>
        <w:rPr>
          <w:rFonts w:ascii="Times New Roman" w:eastAsia="SimSun" w:hAnsi="Times New Roman"/>
          <w:sz w:val="24"/>
          <w:szCs w:val="24"/>
        </w:rPr>
      </w:pPr>
      <w:r w:rsidRPr="00AE47C6">
        <w:rPr>
          <w:rFonts w:ascii="Times New Roman" w:eastAsia="SimSun" w:hAnsi="Times New Roman"/>
          <w:sz w:val="24"/>
          <w:szCs w:val="24"/>
        </w:rPr>
        <w:t>ДНК анализ</w:t>
      </w:r>
    </w:p>
    <w:p w14:paraId="5100622E" w14:textId="77777777" w:rsidR="00BE0B19" w:rsidRPr="00AE47C6" w:rsidRDefault="00BE0B19" w:rsidP="00BE0B19">
      <w:pPr>
        <w:spacing w:after="0" w:line="360" w:lineRule="auto"/>
        <w:ind w:firstLine="142"/>
        <w:jc w:val="both"/>
        <w:rPr>
          <w:rFonts w:ascii="Times New Roman" w:eastAsia="SimSun" w:hAnsi="Times New Roman"/>
          <w:sz w:val="24"/>
          <w:szCs w:val="24"/>
        </w:rPr>
      </w:pPr>
      <w:r w:rsidRPr="00AE47C6">
        <w:rPr>
          <w:rFonts w:ascii="Times New Roman" w:eastAsia="SimSun" w:hAnsi="Times New Roman"/>
          <w:sz w:val="24"/>
          <w:szCs w:val="24"/>
        </w:rPr>
        <w:t>Етапи в диагностиката:</w:t>
      </w:r>
    </w:p>
    <w:p w14:paraId="16C35661"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І-ви етап</w:t>
      </w:r>
    </w:p>
    <w:p w14:paraId="5ED58EA5" w14:textId="77777777" w:rsidR="00BE0B19" w:rsidRPr="00AE47C6" w:rsidRDefault="00BE0B19" w:rsidP="00BE0B19">
      <w:pPr>
        <w:numPr>
          <w:ilvl w:val="0"/>
          <w:numId w:val="75"/>
        </w:numPr>
        <w:spacing w:after="0" w:line="360" w:lineRule="auto"/>
        <w:ind w:left="0" w:firstLine="0"/>
        <w:contextualSpacing/>
        <w:jc w:val="both"/>
        <w:rPr>
          <w:rFonts w:ascii="Times New Roman" w:eastAsia="SimSun" w:hAnsi="Times New Roman"/>
          <w:sz w:val="24"/>
          <w:szCs w:val="24"/>
        </w:rPr>
      </w:pPr>
      <w:r w:rsidRPr="00AE47C6">
        <w:rPr>
          <w:rFonts w:ascii="Times New Roman" w:eastAsia="SimSun" w:hAnsi="Times New Roman"/>
          <w:sz w:val="24"/>
          <w:szCs w:val="24"/>
        </w:rPr>
        <w:t>Анамнеза, соматичен и неврологичен статус</w:t>
      </w:r>
    </w:p>
    <w:p w14:paraId="41CE2DC0" w14:textId="77777777" w:rsidR="00BE0B19" w:rsidRPr="00AE47C6" w:rsidRDefault="00BE0B19" w:rsidP="00BE0B19">
      <w:pPr>
        <w:numPr>
          <w:ilvl w:val="0"/>
          <w:numId w:val="75"/>
        </w:numPr>
        <w:spacing w:after="0" w:line="360" w:lineRule="auto"/>
        <w:ind w:left="0" w:firstLine="0"/>
        <w:contextualSpacing/>
        <w:jc w:val="both"/>
        <w:rPr>
          <w:rFonts w:ascii="Times New Roman" w:eastAsia="SimSun" w:hAnsi="Times New Roman"/>
          <w:sz w:val="24"/>
          <w:szCs w:val="24"/>
        </w:rPr>
      </w:pPr>
      <w:r w:rsidRPr="00AE47C6">
        <w:rPr>
          <w:rFonts w:ascii="Times New Roman" w:eastAsia="SimSun" w:hAnsi="Times New Roman"/>
          <w:sz w:val="24"/>
          <w:szCs w:val="24"/>
        </w:rPr>
        <w:t>Генеалогичен анализ за определяне типа на унаследяване</w:t>
      </w:r>
    </w:p>
    <w:p w14:paraId="1DBE087A"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ІІ-ри етап</w:t>
      </w:r>
    </w:p>
    <w:p w14:paraId="1E57EF1D" w14:textId="77777777" w:rsidR="00BE0B19" w:rsidRPr="00AE47C6" w:rsidRDefault="00BE0B19" w:rsidP="00BE0B19">
      <w:pPr>
        <w:numPr>
          <w:ilvl w:val="0"/>
          <w:numId w:val="73"/>
        </w:numPr>
        <w:tabs>
          <w:tab w:val="left" w:pos="426"/>
        </w:tabs>
        <w:spacing w:after="0" w:line="360" w:lineRule="auto"/>
        <w:ind w:left="0" w:hanging="425"/>
        <w:contextualSpacing/>
        <w:jc w:val="both"/>
        <w:rPr>
          <w:rFonts w:ascii="Times New Roman" w:eastAsia="SimSun" w:hAnsi="Times New Roman"/>
          <w:sz w:val="24"/>
          <w:szCs w:val="24"/>
        </w:rPr>
      </w:pPr>
      <w:r w:rsidRPr="00AE47C6">
        <w:rPr>
          <w:rFonts w:ascii="Times New Roman" w:eastAsia="SimSun" w:hAnsi="Times New Roman"/>
          <w:sz w:val="24"/>
          <w:szCs w:val="24"/>
        </w:rPr>
        <w:t>Изследване на ПКК, биохимия, електролити, ензими, лизозомни ензими, метаболитен скрининг на серум и урина, лумбален ликвор, серумна и ликворна електрофореза, кръвно-газов анализ</w:t>
      </w:r>
    </w:p>
    <w:p w14:paraId="2E7CE741" w14:textId="77777777" w:rsidR="00BE0B19" w:rsidRPr="00AE47C6" w:rsidRDefault="00BE0B19" w:rsidP="00BE0B19">
      <w:pPr>
        <w:numPr>
          <w:ilvl w:val="0"/>
          <w:numId w:val="73"/>
        </w:numPr>
        <w:tabs>
          <w:tab w:val="left" w:pos="426"/>
        </w:tabs>
        <w:spacing w:after="0" w:line="360" w:lineRule="auto"/>
        <w:ind w:left="0" w:hanging="425"/>
        <w:contextualSpacing/>
        <w:jc w:val="both"/>
        <w:rPr>
          <w:rFonts w:ascii="Times New Roman" w:eastAsia="SimSun" w:hAnsi="Times New Roman"/>
          <w:sz w:val="24"/>
          <w:szCs w:val="24"/>
        </w:rPr>
      </w:pPr>
      <w:r w:rsidRPr="00AE47C6">
        <w:rPr>
          <w:rFonts w:ascii="Times New Roman" w:eastAsia="SimSun" w:hAnsi="Times New Roman"/>
          <w:sz w:val="24"/>
          <w:szCs w:val="24"/>
        </w:rPr>
        <w:t>Електрофизиологични изследвания: ЕНГ и ЕМГ, евокирани потенциали, ЕКГ</w:t>
      </w:r>
    </w:p>
    <w:p w14:paraId="08C0798A" w14:textId="77777777" w:rsidR="00BE0B19" w:rsidRPr="00AE47C6" w:rsidRDefault="00BE0B19" w:rsidP="00BE0B19">
      <w:pPr>
        <w:numPr>
          <w:ilvl w:val="0"/>
          <w:numId w:val="73"/>
        </w:numPr>
        <w:tabs>
          <w:tab w:val="left" w:pos="426"/>
        </w:tabs>
        <w:spacing w:after="0" w:line="360" w:lineRule="auto"/>
        <w:ind w:left="0" w:hanging="425"/>
        <w:contextualSpacing/>
        <w:jc w:val="both"/>
        <w:rPr>
          <w:rFonts w:ascii="Times New Roman" w:eastAsia="SimSun" w:hAnsi="Times New Roman"/>
          <w:sz w:val="24"/>
          <w:szCs w:val="24"/>
        </w:rPr>
      </w:pPr>
      <w:r w:rsidRPr="00AE47C6">
        <w:rPr>
          <w:rFonts w:ascii="Times New Roman" w:eastAsia="SimSun" w:hAnsi="Times New Roman"/>
          <w:sz w:val="24"/>
          <w:szCs w:val="24"/>
        </w:rPr>
        <w:t>Инструментални изследвания: КТ и МРТ на мускули и други органи и системи (КТ/МРТ на главен мозък при засягане на централна нервна система; КТ на корем при метаболитни невромускулни заболявания), ехография на мускули, ЕхоКГ, ехография на коремни органи, DEXA за костна плътност, функционално изследване на дишането, изследване на дишането по време на сън</w:t>
      </w:r>
    </w:p>
    <w:p w14:paraId="5B035D33"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ІІІ-ти етап</w:t>
      </w:r>
    </w:p>
    <w:p w14:paraId="2B1B64F7" w14:textId="77777777" w:rsidR="00BE0B19" w:rsidRPr="00AE47C6" w:rsidRDefault="00BE0B19" w:rsidP="00BE0B19">
      <w:pPr>
        <w:numPr>
          <w:ilvl w:val="0"/>
          <w:numId w:val="74"/>
        </w:numPr>
        <w:spacing w:after="0" w:line="360" w:lineRule="auto"/>
        <w:ind w:left="0" w:firstLine="0"/>
        <w:contextualSpacing/>
        <w:jc w:val="both"/>
        <w:rPr>
          <w:rFonts w:ascii="Times New Roman" w:eastAsia="SimSun" w:hAnsi="Times New Roman"/>
          <w:sz w:val="24"/>
          <w:szCs w:val="24"/>
        </w:rPr>
      </w:pPr>
      <w:r w:rsidRPr="00AE47C6">
        <w:rPr>
          <w:rFonts w:ascii="Times New Roman" w:eastAsia="SimSun" w:hAnsi="Times New Roman"/>
          <w:sz w:val="24"/>
          <w:szCs w:val="24"/>
        </w:rPr>
        <w:t>Невропатологични изследвания – хистологични, хистохимични, имунохистохимични и електронномикроскопски</w:t>
      </w:r>
    </w:p>
    <w:p w14:paraId="54FD1FBC" w14:textId="77777777" w:rsidR="00BE0B19" w:rsidRPr="00AE47C6" w:rsidRDefault="00BE0B19" w:rsidP="00BE0B19">
      <w:pPr>
        <w:numPr>
          <w:ilvl w:val="0"/>
          <w:numId w:val="74"/>
        </w:numPr>
        <w:spacing w:after="0" w:line="360" w:lineRule="auto"/>
        <w:ind w:left="0" w:firstLine="0"/>
        <w:contextualSpacing/>
        <w:jc w:val="both"/>
        <w:rPr>
          <w:rFonts w:ascii="Times New Roman" w:eastAsia="SimSun" w:hAnsi="Times New Roman"/>
          <w:sz w:val="24"/>
          <w:szCs w:val="24"/>
        </w:rPr>
      </w:pPr>
      <w:r w:rsidRPr="00AE47C6">
        <w:rPr>
          <w:rFonts w:ascii="Times New Roman" w:eastAsia="SimSun" w:hAnsi="Times New Roman"/>
          <w:sz w:val="24"/>
          <w:szCs w:val="24"/>
        </w:rPr>
        <w:t>Молекулярно-генетични изследвания</w:t>
      </w:r>
    </w:p>
    <w:p w14:paraId="0DB75E7E" w14:textId="77777777" w:rsidR="00BE0B19" w:rsidRPr="00AE47C6" w:rsidRDefault="00BE0B19" w:rsidP="00BE0B19">
      <w:pPr>
        <w:numPr>
          <w:ilvl w:val="0"/>
          <w:numId w:val="74"/>
        </w:numPr>
        <w:spacing w:after="0" w:line="360" w:lineRule="auto"/>
        <w:ind w:left="0" w:firstLine="0"/>
        <w:contextualSpacing/>
        <w:jc w:val="both"/>
        <w:rPr>
          <w:rFonts w:ascii="Times New Roman" w:eastAsia="SimSun" w:hAnsi="Times New Roman"/>
          <w:sz w:val="24"/>
          <w:szCs w:val="24"/>
        </w:rPr>
      </w:pPr>
      <w:r w:rsidRPr="00AE47C6">
        <w:rPr>
          <w:rFonts w:ascii="Times New Roman" w:eastAsia="SimSun" w:hAnsi="Times New Roman"/>
          <w:sz w:val="24"/>
          <w:szCs w:val="24"/>
        </w:rPr>
        <w:t>Генетично консултиране на засегнатите фамилии</w:t>
      </w:r>
    </w:p>
    <w:p w14:paraId="4EB0D08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След като диагнозата е потвърдена, пациентът и семейството му трябва да бъдат подробно запознати с очаквания ход на болестта и  какви проблеми могат да възникнат. След това трябва да се прецени какви са целите на пациента и семейството и да се направлява палиативната и рехабилитационна програма, която ще задоволи тези цели. </w:t>
      </w:r>
    </w:p>
    <w:p w14:paraId="703CB331" w14:textId="77777777" w:rsidR="00BE0B19" w:rsidRPr="00AE47C6" w:rsidRDefault="00BE0B19" w:rsidP="00BE0B19">
      <w:pPr>
        <w:spacing w:after="0" w:line="360" w:lineRule="auto"/>
        <w:jc w:val="both"/>
        <w:rPr>
          <w:rFonts w:ascii="Times New Roman" w:eastAsia="SimSun" w:hAnsi="Times New Roman"/>
          <w:b/>
          <w:sz w:val="24"/>
          <w:szCs w:val="24"/>
          <w:u w:val="single"/>
        </w:rPr>
      </w:pPr>
      <w:r w:rsidRPr="00AE47C6">
        <w:rPr>
          <w:rFonts w:ascii="Times New Roman" w:eastAsia="SimSun" w:hAnsi="Times New Roman"/>
          <w:b/>
          <w:bCs/>
          <w:sz w:val="24"/>
          <w:szCs w:val="24"/>
        </w:rPr>
        <w:t xml:space="preserve">Б. </w:t>
      </w:r>
      <w:r w:rsidRPr="00AE47C6">
        <w:rPr>
          <w:rFonts w:ascii="Times New Roman" w:eastAsia="SimSun" w:hAnsi="Times New Roman"/>
          <w:b/>
          <w:bCs/>
          <w:sz w:val="24"/>
          <w:szCs w:val="24"/>
          <w:u w:val="single"/>
        </w:rPr>
        <w:t xml:space="preserve">Терапия и проследяване </w:t>
      </w:r>
      <w:r w:rsidRPr="00AE47C6">
        <w:rPr>
          <w:rFonts w:ascii="Times New Roman" w:eastAsia="SimSun" w:hAnsi="Times New Roman"/>
          <w:b/>
          <w:sz w:val="24"/>
          <w:szCs w:val="24"/>
          <w:u w:val="single"/>
        </w:rPr>
        <w:t>на невромускулните заболявания</w:t>
      </w:r>
    </w:p>
    <w:p w14:paraId="63B34B12" w14:textId="77777777" w:rsidR="00BE0B19" w:rsidRPr="00AE47C6" w:rsidRDefault="00BE0B19" w:rsidP="00BE0B19">
      <w:pPr>
        <w:widowControl w:val="0"/>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 xml:space="preserve">Лечение </w:t>
      </w:r>
      <w:r w:rsidRPr="00AE47C6">
        <w:rPr>
          <w:rFonts w:ascii="Times New Roman" w:eastAsia="SimSun" w:hAnsi="Times New Roman"/>
          <w:sz w:val="24"/>
          <w:szCs w:val="24"/>
        </w:rPr>
        <w:t xml:space="preserve">- </w:t>
      </w:r>
      <w:r w:rsidRPr="00AE47C6">
        <w:rPr>
          <w:rFonts w:ascii="Times New Roman" w:eastAsia="SimSun" w:hAnsi="Times New Roman"/>
          <w:b/>
          <w:sz w:val="24"/>
          <w:szCs w:val="24"/>
        </w:rPr>
        <w:t>мултидисциплинарен подход</w:t>
      </w:r>
      <w:r w:rsidRPr="00AE47C6">
        <w:rPr>
          <w:rFonts w:ascii="Times New Roman" w:eastAsia="SimSun" w:hAnsi="Times New Roman"/>
          <w:sz w:val="24"/>
          <w:szCs w:val="24"/>
        </w:rPr>
        <w:t>, периодично проследяване на състоянието</w:t>
      </w:r>
    </w:p>
    <w:p w14:paraId="7053DD82" w14:textId="77777777" w:rsidR="00BE0B19" w:rsidRPr="00AE47C6" w:rsidRDefault="00BE0B19" w:rsidP="00BE0B19">
      <w:pPr>
        <w:numPr>
          <w:ilvl w:val="0"/>
          <w:numId w:val="76"/>
        </w:numPr>
        <w:tabs>
          <w:tab w:val="left" w:pos="567"/>
        </w:tabs>
        <w:spacing w:after="0" w:line="360" w:lineRule="auto"/>
        <w:ind w:left="0" w:firstLine="0"/>
        <w:contextualSpacing/>
        <w:jc w:val="both"/>
        <w:rPr>
          <w:rFonts w:ascii="Times New Roman" w:eastAsia="SimSun" w:hAnsi="Times New Roman"/>
          <w:sz w:val="24"/>
          <w:szCs w:val="24"/>
        </w:rPr>
      </w:pPr>
      <w:r w:rsidRPr="00AE47C6">
        <w:rPr>
          <w:rFonts w:ascii="Times New Roman" w:eastAsia="SimSun" w:hAnsi="Times New Roman"/>
          <w:b/>
          <w:sz w:val="24"/>
          <w:szCs w:val="24"/>
        </w:rPr>
        <w:t>Медикаментозно:</w:t>
      </w:r>
    </w:p>
    <w:p w14:paraId="5C65BA9D" w14:textId="77777777" w:rsidR="00BE0B19" w:rsidRPr="00AE47C6" w:rsidRDefault="00BE0B19" w:rsidP="00BE0B19">
      <w:pPr>
        <w:numPr>
          <w:ilvl w:val="1"/>
          <w:numId w:val="76"/>
        </w:numPr>
        <w:spacing w:after="0" w:line="360" w:lineRule="auto"/>
        <w:ind w:left="0" w:hanging="426"/>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 Преценка за хронично кортикостероидно лечение при мускулна дистрофия тип Дюшен</w:t>
      </w:r>
      <w:r w:rsidRPr="00AE47C6">
        <w:rPr>
          <w:rFonts w:ascii="Times New Roman" w:eastAsia="SimSun" w:hAnsi="Times New Roman"/>
          <w:sz w:val="24"/>
          <w:szCs w:val="24"/>
        </w:rPr>
        <w:t xml:space="preserve"> (и проследяване за странични ефекти)</w:t>
      </w:r>
    </w:p>
    <w:p w14:paraId="45B4F293" w14:textId="77777777" w:rsidR="00BE0B19" w:rsidRPr="00AE47C6" w:rsidRDefault="00BE0B19" w:rsidP="00BE0B19">
      <w:pPr>
        <w:widowControl w:val="0"/>
        <w:numPr>
          <w:ilvl w:val="1"/>
          <w:numId w:val="76"/>
        </w:numPr>
        <w:spacing w:after="0" w:line="360" w:lineRule="auto"/>
        <w:ind w:left="0" w:hanging="426"/>
        <w:jc w:val="both"/>
        <w:rPr>
          <w:rFonts w:ascii="Times New Roman" w:eastAsia="SimSun" w:hAnsi="Times New Roman"/>
          <w:sz w:val="24"/>
          <w:szCs w:val="24"/>
        </w:rPr>
      </w:pPr>
      <w:r w:rsidRPr="00AE47C6">
        <w:rPr>
          <w:rFonts w:ascii="Times New Roman" w:eastAsia="SimSun" w:hAnsi="Times New Roman"/>
          <w:b/>
          <w:sz w:val="24"/>
          <w:szCs w:val="24"/>
        </w:rPr>
        <w:t>Лечение на миотоничите дистрофии</w:t>
      </w:r>
      <w:r w:rsidRPr="00AE47C6">
        <w:rPr>
          <w:rFonts w:ascii="Times New Roman" w:eastAsia="SimSun" w:hAnsi="Times New Roman"/>
          <w:sz w:val="24"/>
          <w:szCs w:val="24"/>
        </w:rPr>
        <w:t xml:space="preserve"> – антиконвулсанти, карбоксамиди.</w:t>
      </w:r>
    </w:p>
    <w:p w14:paraId="49CACD90" w14:textId="77777777" w:rsidR="00BE0B19" w:rsidRPr="00AE47C6" w:rsidRDefault="00BE0B19" w:rsidP="00BE0B19">
      <w:pPr>
        <w:numPr>
          <w:ilvl w:val="1"/>
          <w:numId w:val="76"/>
        </w:numPr>
        <w:spacing w:after="0" w:line="360" w:lineRule="auto"/>
        <w:ind w:left="0" w:hanging="426"/>
        <w:contextualSpacing/>
        <w:jc w:val="both"/>
        <w:rPr>
          <w:rFonts w:ascii="Times New Roman" w:eastAsia="SimSun" w:hAnsi="Times New Roman"/>
          <w:b/>
          <w:sz w:val="24"/>
          <w:szCs w:val="24"/>
        </w:rPr>
      </w:pPr>
      <w:r w:rsidRPr="00AE47C6">
        <w:rPr>
          <w:rFonts w:ascii="Times New Roman" w:eastAsia="SimSun" w:hAnsi="Times New Roman"/>
          <w:b/>
          <w:sz w:val="24"/>
          <w:szCs w:val="24"/>
        </w:rPr>
        <w:t>Лечение на периодичните парализи</w:t>
      </w:r>
    </w:p>
    <w:p w14:paraId="043CF731" w14:textId="77777777" w:rsidR="00BE0B19" w:rsidRPr="00AE47C6" w:rsidRDefault="00BE0B19" w:rsidP="00BE0B19">
      <w:pPr>
        <w:numPr>
          <w:ilvl w:val="1"/>
          <w:numId w:val="76"/>
        </w:numPr>
        <w:spacing w:after="0" w:line="360" w:lineRule="auto"/>
        <w:ind w:left="0" w:hanging="426"/>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При </w:t>
      </w:r>
      <w:r w:rsidRPr="00AE47C6">
        <w:rPr>
          <w:rFonts w:ascii="Times New Roman" w:eastAsia="SimSun" w:hAnsi="Times New Roman"/>
          <w:b/>
          <w:sz w:val="24"/>
          <w:szCs w:val="24"/>
        </w:rPr>
        <w:t xml:space="preserve">болест на Pompe </w:t>
      </w:r>
      <w:r w:rsidRPr="00AE47C6">
        <w:rPr>
          <w:rFonts w:ascii="Times New Roman" w:eastAsia="SimSun" w:hAnsi="Times New Roman"/>
          <w:sz w:val="24"/>
          <w:szCs w:val="24"/>
        </w:rPr>
        <w:t xml:space="preserve">- </w:t>
      </w:r>
      <w:r w:rsidRPr="00AE47C6">
        <w:rPr>
          <w:rFonts w:ascii="Times New Roman" w:eastAsia="SimSun" w:hAnsi="Times New Roman"/>
          <w:b/>
          <w:bCs/>
          <w:sz w:val="24"/>
          <w:szCs w:val="24"/>
        </w:rPr>
        <w:t xml:space="preserve">патогенетична </w:t>
      </w:r>
      <w:r w:rsidRPr="00AE47C6">
        <w:rPr>
          <w:rFonts w:ascii="Times New Roman" w:eastAsia="SimSun" w:hAnsi="Times New Roman"/>
          <w:sz w:val="24"/>
          <w:szCs w:val="24"/>
        </w:rPr>
        <w:t xml:space="preserve">ензимозаместителна терапия с </w:t>
      </w:r>
      <w:r w:rsidRPr="00AE47C6">
        <w:rPr>
          <w:rFonts w:ascii="Times New Roman" w:eastAsia="SimSun" w:hAnsi="Times New Roman"/>
          <w:b/>
          <w:bCs/>
          <w:sz w:val="24"/>
          <w:szCs w:val="24"/>
        </w:rPr>
        <w:t>alglucosidase alfa</w:t>
      </w:r>
    </w:p>
    <w:p w14:paraId="31E3B92A" w14:textId="77777777" w:rsidR="00BE0B19" w:rsidRPr="00AE47C6" w:rsidRDefault="00BE0B19" w:rsidP="00BE0B19">
      <w:pPr>
        <w:numPr>
          <w:ilvl w:val="1"/>
          <w:numId w:val="76"/>
        </w:numPr>
        <w:spacing w:after="0" w:line="360" w:lineRule="auto"/>
        <w:ind w:left="0" w:hanging="426"/>
        <w:contextualSpacing/>
        <w:jc w:val="both"/>
        <w:rPr>
          <w:rFonts w:ascii="Times New Roman" w:eastAsia="SimSun" w:hAnsi="Times New Roman"/>
          <w:sz w:val="24"/>
          <w:szCs w:val="24"/>
        </w:rPr>
      </w:pPr>
      <w:r w:rsidRPr="00AE47C6">
        <w:rPr>
          <w:rFonts w:ascii="Times New Roman" w:eastAsia="SimSun" w:hAnsi="Times New Roman"/>
          <w:bCs/>
          <w:sz w:val="24"/>
          <w:szCs w:val="24"/>
        </w:rPr>
        <w:t>При</w:t>
      </w:r>
      <w:r w:rsidRPr="00AE47C6">
        <w:rPr>
          <w:rFonts w:ascii="Times New Roman" w:eastAsia="SimSun" w:hAnsi="Times New Roman"/>
          <w:b/>
          <w:bCs/>
          <w:sz w:val="24"/>
          <w:szCs w:val="24"/>
        </w:rPr>
        <w:t xml:space="preserve">  спиналната мускулна атрофия, свързана с 5 хромозома – nusinersen, onasemnogene abeparvovec или risdiplam </w:t>
      </w:r>
      <w:r w:rsidRPr="00AE47C6">
        <w:rPr>
          <w:rFonts w:ascii="Times New Roman" w:eastAsia="SimSun" w:hAnsi="Times New Roman"/>
          <w:bCs/>
          <w:sz w:val="24"/>
          <w:szCs w:val="24"/>
        </w:rPr>
        <w:t>при индикации</w:t>
      </w:r>
    </w:p>
    <w:p w14:paraId="08435A1A" w14:textId="77777777" w:rsidR="00BE0B19" w:rsidRPr="00AE47C6" w:rsidRDefault="00BE0B19" w:rsidP="00BE0B19">
      <w:pPr>
        <w:widowControl w:val="0"/>
        <w:numPr>
          <w:ilvl w:val="1"/>
          <w:numId w:val="76"/>
        </w:numPr>
        <w:spacing w:after="0" w:line="360" w:lineRule="auto"/>
        <w:ind w:left="0" w:hanging="426"/>
        <w:jc w:val="both"/>
        <w:rPr>
          <w:rFonts w:ascii="Times New Roman" w:eastAsia="SimSun" w:hAnsi="Times New Roman"/>
          <w:sz w:val="24"/>
          <w:szCs w:val="24"/>
        </w:rPr>
      </w:pPr>
      <w:r w:rsidRPr="00AE47C6">
        <w:rPr>
          <w:rFonts w:ascii="Times New Roman" w:eastAsia="SimSun" w:hAnsi="Times New Roman"/>
          <w:sz w:val="24"/>
          <w:szCs w:val="24"/>
        </w:rPr>
        <w:t xml:space="preserve">При </w:t>
      </w:r>
      <w:r w:rsidRPr="00AE47C6">
        <w:rPr>
          <w:rFonts w:ascii="Times New Roman" w:eastAsia="SimSun" w:hAnsi="Times New Roman"/>
          <w:b/>
          <w:sz w:val="24"/>
          <w:szCs w:val="24"/>
        </w:rPr>
        <w:t>периферните невропатии</w:t>
      </w:r>
      <w:r w:rsidRPr="00AE47C6">
        <w:rPr>
          <w:rFonts w:ascii="Times New Roman" w:eastAsia="SimSun" w:hAnsi="Times New Roman"/>
          <w:sz w:val="24"/>
          <w:szCs w:val="24"/>
        </w:rPr>
        <w:t xml:space="preserve"> - антихолинестеразна терапия по схема парентерално или комбинирано с физиотерапия. </w:t>
      </w:r>
    </w:p>
    <w:p w14:paraId="1AE442C2" w14:textId="77777777" w:rsidR="00BE0B19" w:rsidRPr="00AE47C6" w:rsidRDefault="00BE0B19" w:rsidP="00BE0B19">
      <w:pPr>
        <w:widowControl w:val="0"/>
        <w:numPr>
          <w:ilvl w:val="0"/>
          <w:numId w:val="76"/>
        </w:numPr>
        <w:tabs>
          <w:tab w:val="left" w:pos="567"/>
        </w:tabs>
        <w:spacing w:after="0" w:line="360" w:lineRule="auto"/>
        <w:ind w:left="0" w:firstLine="142"/>
        <w:jc w:val="both"/>
        <w:rPr>
          <w:rFonts w:ascii="Times New Roman" w:eastAsia="SimSun" w:hAnsi="Times New Roman"/>
          <w:sz w:val="24"/>
          <w:szCs w:val="24"/>
        </w:rPr>
      </w:pPr>
      <w:r w:rsidRPr="00AE47C6">
        <w:rPr>
          <w:rFonts w:ascii="Times New Roman" w:eastAsia="SimSun" w:hAnsi="Times New Roman"/>
          <w:sz w:val="24"/>
          <w:szCs w:val="24"/>
        </w:rPr>
        <w:t xml:space="preserve">Стимулираща терапия с витамини, хранителни добавки и анаболни средства. </w:t>
      </w:r>
    </w:p>
    <w:p w14:paraId="41E1BF81" w14:textId="77777777" w:rsidR="00BE0B19" w:rsidRPr="00AE47C6" w:rsidRDefault="00BE0B19" w:rsidP="00BE0B19">
      <w:pPr>
        <w:widowControl w:val="0"/>
        <w:numPr>
          <w:ilvl w:val="0"/>
          <w:numId w:val="76"/>
        </w:numPr>
        <w:tabs>
          <w:tab w:val="left" w:pos="567"/>
        </w:tabs>
        <w:spacing w:after="0" w:line="360" w:lineRule="auto"/>
        <w:ind w:left="0" w:firstLine="142"/>
        <w:jc w:val="both"/>
        <w:rPr>
          <w:rFonts w:ascii="Times New Roman" w:eastAsia="SimSun" w:hAnsi="Times New Roman"/>
          <w:sz w:val="24"/>
          <w:szCs w:val="24"/>
        </w:rPr>
      </w:pPr>
      <w:r w:rsidRPr="00AE47C6">
        <w:rPr>
          <w:rFonts w:ascii="Times New Roman" w:eastAsia="SimSun" w:hAnsi="Times New Roman"/>
          <w:sz w:val="24"/>
          <w:szCs w:val="24"/>
        </w:rPr>
        <w:t>Двигателна рехабилитация: за костно-мускулната система, прийоми за подпомагане на откашлянето, дихателна гимнастика.</w:t>
      </w:r>
      <w:r w:rsidRPr="00AE47C6">
        <w:rPr>
          <w:rFonts w:ascii="Times New Roman" w:eastAsia="SimSun" w:hAnsi="Times New Roman"/>
          <w:b/>
          <w:sz w:val="24"/>
          <w:szCs w:val="24"/>
        </w:rPr>
        <w:t xml:space="preserve"> Цел на рехабилитационните мероприятия </w:t>
      </w:r>
      <w:r w:rsidRPr="00AE47C6">
        <w:rPr>
          <w:rFonts w:ascii="Times New Roman" w:eastAsia="SimSun" w:hAnsi="Times New Roman"/>
          <w:sz w:val="24"/>
          <w:szCs w:val="24"/>
        </w:rPr>
        <w:t>- да се максимализира функционалният капацитет, да се удължи или поддържа независимо функциониране и подвижност, да се предотврати или потисне развитието на деформитети и сърдечно-белодробни нарушения и да се осигури достъп за пълно интегриране в обществото с добро качество на живот. Лечението е най-добре да се извършва от екип от лекари, физиотерапевти, работни терапевти, логопеди, социални работници, психолози и други. Лечението е целенасочено и многостранно.</w:t>
      </w:r>
    </w:p>
    <w:p w14:paraId="0C7C8618" w14:textId="77777777" w:rsidR="00BE0B19" w:rsidRPr="00AE47C6" w:rsidRDefault="00BE0B19" w:rsidP="00BE0B19">
      <w:pPr>
        <w:numPr>
          <w:ilvl w:val="0"/>
          <w:numId w:val="76"/>
        </w:numPr>
        <w:tabs>
          <w:tab w:val="left" w:pos="567"/>
        </w:tabs>
        <w:spacing w:after="0" w:line="360" w:lineRule="auto"/>
        <w:ind w:left="0" w:firstLine="142"/>
        <w:contextualSpacing/>
        <w:jc w:val="both"/>
        <w:rPr>
          <w:rFonts w:ascii="Times New Roman" w:eastAsia="SimSun" w:hAnsi="Times New Roman"/>
          <w:sz w:val="24"/>
          <w:szCs w:val="24"/>
        </w:rPr>
      </w:pPr>
      <w:r w:rsidRPr="00AE47C6">
        <w:rPr>
          <w:rFonts w:ascii="Times New Roman" w:eastAsia="SimSun" w:hAnsi="Times New Roman"/>
          <w:sz w:val="24"/>
          <w:szCs w:val="24"/>
        </w:rPr>
        <w:t>Ортезни средства (шини, колани, корсети, ортопедични обувки) и ортопедични корекции на контрактури и сколиоза</w:t>
      </w:r>
    </w:p>
    <w:p w14:paraId="2030EC1C" w14:textId="77777777" w:rsidR="00BE0B19" w:rsidRPr="00AE47C6" w:rsidRDefault="00BE0B19" w:rsidP="00BE0B19">
      <w:pPr>
        <w:numPr>
          <w:ilvl w:val="0"/>
          <w:numId w:val="76"/>
        </w:numPr>
        <w:tabs>
          <w:tab w:val="left" w:pos="567"/>
        </w:tabs>
        <w:spacing w:after="0" w:line="360" w:lineRule="auto"/>
        <w:ind w:left="0" w:firstLine="142"/>
        <w:contextualSpacing/>
        <w:jc w:val="both"/>
        <w:rPr>
          <w:rFonts w:ascii="Times New Roman" w:eastAsia="SimSun" w:hAnsi="Times New Roman"/>
          <w:b/>
          <w:bCs/>
          <w:i/>
          <w:sz w:val="24"/>
          <w:szCs w:val="24"/>
        </w:rPr>
      </w:pPr>
      <w:r w:rsidRPr="00AE47C6">
        <w:rPr>
          <w:rFonts w:ascii="Times New Roman" w:eastAsia="SimSun" w:hAnsi="Times New Roman"/>
          <w:b/>
          <w:sz w:val="24"/>
          <w:szCs w:val="24"/>
        </w:rPr>
        <w:t>Лечение на соматичните усложнения и при необходимост – интензивна терапия.</w:t>
      </w:r>
    </w:p>
    <w:p w14:paraId="0FDEBA27" w14:textId="77777777" w:rsidR="00BE0B19" w:rsidRPr="00AE47C6" w:rsidRDefault="00BE0B19" w:rsidP="00BE0B19">
      <w:pPr>
        <w:numPr>
          <w:ilvl w:val="1"/>
          <w:numId w:val="76"/>
        </w:numPr>
        <w:spacing w:after="0" w:line="360" w:lineRule="auto"/>
        <w:ind w:left="0" w:hanging="567"/>
        <w:contextualSpacing/>
        <w:jc w:val="both"/>
        <w:rPr>
          <w:rFonts w:ascii="Times New Roman" w:eastAsia="SimSun" w:hAnsi="Times New Roman"/>
          <w:sz w:val="24"/>
          <w:szCs w:val="24"/>
        </w:rPr>
      </w:pPr>
      <w:r w:rsidRPr="00AE47C6">
        <w:rPr>
          <w:rFonts w:ascii="Times New Roman" w:eastAsia="SimSun" w:hAnsi="Times New Roman"/>
          <w:sz w:val="24"/>
          <w:szCs w:val="24"/>
        </w:rPr>
        <w:t>- Дихателни грижи: редовни имунизации, преценка за подпомагане на дишането по време на сън, а след това и през деня (неинвазивна вентилация най-често с BiPAP при НМЗ), преценка за инвазивна вентилация с трахеостома</w:t>
      </w:r>
    </w:p>
    <w:p w14:paraId="6E9824AF" w14:textId="77777777" w:rsidR="00BE0B19" w:rsidRPr="00AE47C6" w:rsidRDefault="00BE0B19" w:rsidP="00BE0B19">
      <w:pPr>
        <w:numPr>
          <w:ilvl w:val="1"/>
          <w:numId w:val="76"/>
        </w:numPr>
        <w:spacing w:after="0" w:line="360" w:lineRule="auto"/>
        <w:ind w:left="0" w:hanging="567"/>
        <w:contextualSpacing/>
        <w:jc w:val="both"/>
        <w:rPr>
          <w:rFonts w:ascii="Times New Roman" w:eastAsia="SimSun" w:hAnsi="Times New Roman"/>
          <w:sz w:val="24"/>
          <w:szCs w:val="24"/>
        </w:rPr>
      </w:pPr>
      <w:r w:rsidRPr="00AE47C6">
        <w:rPr>
          <w:rFonts w:ascii="Times New Roman" w:eastAsia="SimSun" w:hAnsi="Times New Roman"/>
          <w:sz w:val="24"/>
          <w:szCs w:val="24"/>
        </w:rPr>
        <w:t>- Лечение на сърдечното засягане (ритъмно-проводни нарушения, кардиомиопатия): ACE инхибитори, бета-блокери, диуретици</w:t>
      </w:r>
    </w:p>
    <w:p w14:paraId="5DC44875" w14:textId="77777777" w:rsidR="00BE0B19" w:rsidRPr="00AE47C6" w:rsidRDefault="00BE0B19" w:rsidP="00BE0B19">
      <w:pPr>
        <w:numPr>
          <w:ilvl w:val="1"/>
          <w:numId w:val="76"/>
        </w:numPr>
        <w:spacing w:after="0" w:line="360" w:lineRule="auto"/>
        <w:ind w:left="0" w:hanging="567"/>
        <w:contextualSpacing/>
        <w:jc w:val="both"/>
        <w:rPr>
          <w:rFonts w:ascii="Times New Roman" w:eastAsia="SimSun" w:hAnsi="Times New Roman"/>
          <w:sz w:val="24"/>
          <w:szCs w:val="24"/>
        </w:rPr>
      </w:pPr>
      <w:r w:rsidRPr="00AE47C6">
        <w:rPr>
          <w:rFonts w:ascii="Times New Roman" w:eastAsia="SimSun" w:hAnsi="Times New Roman"/>
          <w:sz w:val="24"/>
          <w:szCs w:val="24"/>
        </w:rPr>
        <w:t>- Гастроинтестинални грижи: диета при поднормено или наднормено тегло, преценка за поставяне на перкутанна ентерална гастростома или йеуностома</w:t>
      </w:r>
    </w:p>
    <w:p w14:paraId="4E1C8625" w14:textId="77777777" w:rsidR="00BE0B19" w:rsidRPr="00AE47C6" w:rsidRDefault="00BE0B19" w:rsidP="00BE0B19">
      <w:pPr>
        <w:numPr>
          <w:ilvl w:val="1"/>
          <w:numId w:val="76"/>
        </w:numPr>
        <w:spacing w:after="0" w:line="360" w:lineRule="auto"/>
        <w:ind w:left="0" w:hanging="567"/>
        <w:contextualSpacing/>
        <w:jc w:val="both"/>
        <w:rPr>
          <w:rFonts w:ascii="Times New Roman" w:eastAsia="SimSun" w:hAnsi="Times New Roman"/>
          <w:sz w:val="24"/>
          <w:szCs w:val="24"/>
        </w:rPr>
      </w:pPr>
      <w:r w:rsidRPr="00AE47C6">
        <w:rPr>
          <w:rFonts w:ascii="Times New Roman" w:eastAsia="SimSun" w:hAnsi="Times New Roman"/>
          <w:sz w:val="24"/>
          <w:szCs w:val="24"/>
        </w:rPr>
        <w:t>- Ендокринни грижи: лечение за намалена костна плътност и при фрактури</w:t>
      </w:r>
      <w:r w:rsidRPr="00AE47C6">
        <w:rPr>
          <w:rFonts w:ascii="Times New Roman" w:eastAsia="SimSun" w:hAnsi="Times New Roman"/>
          <w:b/>
          <w:sz w:val="24"/>
          <w:szCs w:val="24"/>
        </w:rPr>
        <w:t>.</w:t>
      </w:r>
    </w:p>
    <w:p w14:paraId="37532AE2" w14:textId="77777777" w:rsidR="00BE0B19" w:rsidRPr="00AE47C6" w:rsidRDefault="00BE0B19" w:rsidP="00BE0B19">
      <w:pPr>
        <w:spacing w:after="0" w:line="360" w:lineRule="auto"/>
        <w:jc w:val="both"/>
        <w:rPr>
          <w:rFonts w:ascii="Times New Roman" w:eastAsia="SimSun" w:hAnsi="Times New Roman"/>
          <w:b/>
          <w:sz w:val="24"/>
          <w:szCs w:val="24"/>
          <w:u w:val="single"/>
        </w:rPr>
      </w:pPr>
      <w:r w:rsidRPr="00AE47C6">
        <w:rPr>
          <w:rFonts w:ascii="Times New Roman" w:eastAsia="SimSun" w:hAnsi="Times New Roman"/>
          <w:b/>
          <w:sz w:val="24"/>
          <w:szCs w:val="24"/>
          <w:u w:val="single"/>
        </w:rPr>
        <w:t>В. Профилактика на невромускулните заболявания</w:t>
      </w:r>
    </w:p>
    <w:p w14:paraId="0CA0FA18" w14:textId="77777777" w:rsidR="00BE0B19" w:rsidRPr="00AE47C6" w:rsidRDefault="00BE0B19" w:rsidP="00BE0B19">
      <w:pPr>
        <w:numPr>
          <w:ilvl w:val="0"/>
          <w:numId w:val="64"/>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Изясняване на генетичния дефект, отговорен за заболяването.</w:t>
      </w:r>
    </w:p>
    <w:p w14:paraId="16A723F8" w14:textId="77777777" w:rsidR="00BE0B19" w:rsidRPr="00AE47C6" w:rsidRDefault="00BE0B19" w:rsidP="00BE0B19">
      <w:pPr>
        <w:numPr>
          <w:ilvl w:val="0"/>
          <w:numId w:val="64"/>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Медико-генетично консултиране на засегнатото семейство.</w:t>
      </w:r>
    </w:p>
    <w:p w14:paraId="251B8BE1" w14:textId="77777777" w:rsidR="00BE0B19" w:rsidRPr="00AE47C6" w:rsidRDefault="00BE0B19" w:rsidP="00BE0B19">
      <w:pPr>
        <w:numPr>
          <w:ilvl w:val="0"/>
          <w:numId w:val="64"/>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Пренатална диагностика на бременностите в засегнатите семейства.</w:t>
      </w:r>
    </w:p>
    <w:p w14:paraId="2CD205B7" w14:textId="77777777" w:rsidR="00BE0B19" w:rsidRPr="00AE47C6" w:rsidRDefault="00BE0B19" w:rsidP="00BE0B19">
      <w:pPr>
        <w:numPr>
          <w:ilvl w:val="0"/>
          <w:numId w:val="64"/>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Провеждане на селективен скрининг за определени невро-мускулни заболявания във високо-рискови групи.</w:t>
      </w:r>
    </w:p>
    <w:p w14:paraId="10320231"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Г. </w:t>
      </w:r>
      <w:r w:rsidRPr="00AE47C6">
        <w:rPr>
          <w:rFonts w:ascii="Times New Roman" w:eastAsia="SimSun" w:hAnsi="Times New Roman"/>
          <w:b/>
          <w:sz w:val="24"/>
          <w:szCs w:val="24"/>
          <w:u w:val="single"/>
        </w:rPr>
        <w:t>Насочване към национални клинични регистри за невромускулни заболявания</w:t>
      </w:r>
      <w:r w:rsidRPr="00AE47C6">
        <w:rPr>
          <w:rFonts w:ascii="Times New Roman" w:eastAsia="SimSun" w:hAnsi="Times New Roman"/>
          <w:sz w:val="24"/>
          <w:szCs w:val="24"/>
        </w:rPr>
        <w:t xml:space="preserve"> и към пациентски организации</w:t>
      </w:r>
    </w:p>
    <w:p w14:paraId="698ADAEE" w14:textId="77777777" w:rsidR="00BE0B19" w:rsidRPr="00AE47C6" w:rsidRDefault="00BE0B19" w:rsidP="00BE0B19">
      <w:pPr>
        <w:widowControl w:val="0"/>
        <w:spacing w:after="0" w:line="360" w:lineRule="auto"/>
        <w:jc w:val="both"/>
        <w:rPr>
          <w:rFonts w:ascii="Times New Roman" w:eastAsia="SimSun" w:hAnsi="Times New Roman"/>
          <w:b/>
          <w:sz w:val="24"/>
          <w:szCs w:val="24"/>
        </w:rPr>
      </w:pPr>
    </w:p>
    <w:p w14:paraId="0EFDC118" w14:textId="77777777" w:rsidR="00BE0B19" w:rsidRPr="00AE47C6" w:rsidRDefault="00BE0B19" w:rsidP="00BE0B19">
      <w:pPr>
        <w:spacing w:after="0" w:line="360" w:lineRule="auto"/>
        <w:jc w:val="both"/>
        <w:rPr>
          <w:rFonts w:ascii="Times New Roman" w:eastAsia="SimSun" w:hAnsi="Times New Roman"/>
          <w:b/>
          <w:sz w:val="24"/>
          <w:szCs w:val="24"/>
          <w:u w:val="single"/>
        </w:rPr>
      </w:pPr>
      <w:r w:rsidRPr="00AE47C6">
        <w:rPr>
          <w:rFonts w:ascii="Times New Roman" w:eastAsia="SimSun" w:hAnsi="Times New Roman"/>
          <w:b/>
          <w:sz w:val="24"/>
          <w:szCs w:val="24"/>
          <w:u w:val="single"/>
        </w:rPr>
        <w:t>Клиника, диагностика и възможности за лечение при невромускулните заболявания</w:t>
      </w:r>
    </w:p>
    <w:p w14:paraId="37E56706"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191" w:name="_Toc155651792"/>
      <w:bookmarkStart w:id="192" w:name="_Toc164075924"/>
      <w:r w:rsidRPr="00AE47C6">
        <w:rPr>
          <w:rFonts w:ascii="Times New Roman" w:eastAsia="SimSun" w:hAnsi="Times New Roman"/>
          <w:b/>
          <w:sz w:val="24"/>
          <w:szCs w:val="24"/>
        </w:rPr>
        <w:t>9.1. Заболявания на мускулите: вродени мускулни дистрофии, вродени миопатии, прогресиращи мускулни дистрофии, метаболитни миопатии.</w:t>
      </w:r>
      <w:bookmarkEnd w:id="191"/>
      <w:bookmarkEnd w:id="192"/>
    </w:p>
    <w:p w14:paraId="76AE1895"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93" w:name="_Toc155651793"/>
      <w:bookmarkStart w:id="194" w:name="_Toc164075925"/>
      <w:r w:rsidRPr="00AE47C6">
        <w:rPr>
          <w:rFonts w:ascii="Times New Roman" w:eastAsia="SimSun" w:hAnsi="Times New Roman"/>
          <w:b/>
          <w:sz w:val="24"/>
          <w:szCs w:val="20"/>
          <w:lang w:eastAsia="ja-JP"/>
        </w:rPr>
        <w:t>9.1.1. Вродени мускулни дистрофии (ВМД)</w:t>
      </w:r>
      <w:bookmarkEnd w:id="193"/>
      <w:bookmarkEnd w:id="194"/>
    </w:p>
    <w:p w14:paraId="0FF2104E"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Представляват генетично и клинично хетерогенни наследствени миопатии с преобладаващ автозомно-рецесивен път на унаследяване, които се характеризират с проявяващи се от раждането или от ранно детство мускулна хипотония, забавено двигателно развитие, прогресиращата мускулна слабост, ставни контрактури и дистрофични промени при хистологично изследване на мускулите.</w:t>
      </w:r>
    </w:p>
    <w:p w14:paraId="546843B2"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Класифицират се в четири основни групи въз основа на молекулярно-генетичните, клиничните и биохимичните им особености:</w:t>
      </w:r>
    </w:p>
    <w:p w14:paraId="3EF9E8D1" w14:textId="77777777" w:rsidR="00BE0B19" w:rsidRPr="00AE47C6" w:rsidRDefault="00BE0B19" w:rsidP="00BE0B19">
      <w:pPr>
        <w:numPr>
          <w:ilvl w:val="0"/>
          <w:numId w:val="198"/>
        </w:numPr>
        <w:tabs>
          <w:tab w:val="left" w:pos="205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ВМД вследствие дефект на ламинин 2α, водещ до първично засягане на базалната мембрана (ВМД с мерозинов дефицит MDC1A)</w:t>
      </w:r>
    </w:p>
    <w:p w14:paraId="14657C03" w14:textId="77777777" w:rsidR="00BE0B19" w:rsidRPr="00AE47C6" w:rsidRDefault="00BE0B19" w:rsidP="00BE0B19">
      <w:pPr>
        <w:numPr>
          <w:ilvl w:val="0"/>
          <w:numId w:val="198"/>
        </w:numPr>
        <w:tabs>
          <w:tab w:val="left" w:pos="205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ВМД обусловени от абнормно гликозилиране на α-дистрогликана (Walker-Warburg, Fukuyama, ВМД Мускул-око-мозък)</w:t>
      </w:r>
    </w:p>
    <w:p w14:paraId="145329A7" w14:textId="77777777" w:rsidR="00BE0B19" w:rsidRPr="00AE47C6" w:rsidRDefault="00BE0B19" w:rsidP="00BE0B19">
      <w:pPr>
        <w:numPr>
          <w:ilvl w:val="0"/>
          <w:numId w:val="198"/>
        </w:numPr>
        <w:tabs>
          <w:tab w:val="left" w:pos="205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ВМД свързани с нарушения, водещи до тежки контрактури (ВМД с ригиден гръбнак, ВМД на Ullrich)</w:t>
      </w:r>
    </w:p>
    <w:p w14:paraId="5571A5BD" w14:textId="77777777" w:rsidR="00BE0B19" w:rsidRPr="00AE47C6" w:rsidRDefault="00BE0B19" w:rsidP="00BE0B19">
      <w:pPr>
        <w:numPr>
          <w:ilvl w:val="0"/>
          <w:numId w:val="198"/>
        </w:numPr>
        <w:tabs>
          <w:tab w:val="left" w:pos="205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ВМД поради първичен или вторичен дефицит на α-7-интегрин</w:t>
      </w:r>
    </w:p>
    <w:p w14:paraId="03F014BD"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Друга класификация разделя ВМД на две групи в зависимост от наличието или липсата на засягане на ЦНС</w:t>
      </w:r>
    </w:p>
    <w:p w14:paraId="2C58384E" w14:textId="77777777" w:rsidR="00BE0B19" w:rsidRPr="00AE47C6" w:rsidRDefault="00BE0B19" w:rsidP="00BE0B19">
      <w:pPr>
        <w:numPr>
          <w:ilvl w:val="0"/>
          <w:numId w:val="208"/>
        </w:numPr>
        <w:tabs>
          <w:tab w:val="left" w:pos="205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Чисти форми на ВМД, които се разделят на мерозин-позитивни и мерозин-негативни</w:t>
      </w:r>
    </w:p>
    <w:p w14:paraId="4F74D12A" w14:textId="77777777" w:rsidR="00BE0B19" w:rsidRPr="00AE47C6" w:rsidRDefault="00BE0B19" w:rsidP="00BE0B19">
      <w:pPr>
        <w:numPr>
          <w:ilvl w:val="0"/>
          <w:numId w:val="208"/>
        </w:numPr>
        <w:tabs>
          <w:tab w:val="left" w:pos="205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ВМД със засягане на ЦНС (синдром на Walker-Warburg, синдром на Fukuyama, ВМД Мускул-око-мозък)</w:t>
      </w:r>
    </w:p>
    <w:p w14:paraId="4F892760" w14:textId="77777777" w:rsidR="00BE0B19" w:rsidRPr="00AE47C6" w:rsidRDefault="00BE0B19" w:rsidP="00BE0B19">
      <w:pPr>
        <w:tabs>
          <w:tab w:val="left" w:pos="851"/>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Епидемиология. </w:t>
      </w:r>
      <w:r w:rsidRPr="00AE47C6">
        <w:rPr>
          <w:rFonts w:ascii="Times New Roman" w:eastAsia="SimSun" w:hAnsi="Times New Roman"/>
          <w:sz w:val="24"/>
          <w:szCs w:val="24"/>
        </w:rPr>
        <w:t>Най-често срещаните форми са ВМД с мерозинов дефицит и ВМД на Ullrich, въпреки че етническите и регионални различия по отношение на заболяемостта и болестността. MDC1A съставляват около 30 - 40% от случаите с ВМД в Европа и Бразилия, а ВМД на Ullrich – 9,4% от случаите на ВМД в Европа. В Япония ВМД на Fukuyama е със заболяемост 1/10 000 новородени, поради мутация с ефект на родоначалника. Във Финландия по аналогични причини болестността от ВМД тип Мускул-око-мозък е 1/ 50 000.</w:t>
      </w:r>
    </w:p>
    <w:p w14:paraId="5BB87606" w14:textId="77777777" w:rsidR="00BE0B19" w:rsidRPr="00AE47C6" w:rsidRDefault="00BE0B19" w:rsidP="00BE0B19">
      <w:pPr>
        <w:tabs>
          <w:tab w:val="left" w:pos="851"/>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Етиология.</w:t>
      </w:r>
      <w:r w:rsidRPr="00AE47C6">
        <w:rPr>
          <w:rFonts w:ascii="Times New Roman" w:eastAsia="SimSun" w:hAnsi="Times New Roman"/>
          <w:sz w:val="24"/>
          <w:szCs w:val="24"/>
        </w:rPr>
        <w:t xml:space="preserve"> През последните години се изясни наличието на множество гени и генни локуси, чиито мутации водят до изявата на вродени мускулни дистрофии (Табл. 9.1). </w:t>
      </w:r>
    </w:p>
    <w:p w14:paraId="4E94B073" w14:textId="77777777" w:rsidR="00BE0B19" w:rsidRPr="00AE47C6" w:rsidRDefault="00BE0B19" w:rsidP="00BE0B19">
      <w:pPr>
        <w:tabs>
          <w:tab w:val="left" w:pos="2055"/>
        </w:tabs>
        <w:spacing w:after="0" w:line="360" w:lineRule="auto"/>
        <w:ind w:left="360"/>
        <w:jc w:val="both"/>
        <w:rPr>
          <w:rFonts w:ascii="Times New Roman" w:eastAsia="SimSun" w:hAnsi="Times New Roman"/>
          <w:b/>
          <w:sz w:val="24"/>
          <w:szCs w:val="24"/>
        </w:rPr>
      </w:pPr>
      <w:r w:rsidRPr="00AE47C6">
        <w:rPr>
          <w:rFonts w:ascii="Times New Roman" w:eastAsia="SimSun" w:hAnsi="Times New Roman"/>
          <w:b/>
          <w:sz w:val="24"/>
          <w:szCs w:val="24"/>
        </w:rPr>
        <w:t xml:space="preserve">Таблица 9.1. Класификация на ВМД. </w:t>
      </w: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53"/>
        <w:gridCol w:w="4848"/>
      </w:tblGrid>
      <w:tr w:rsidR="00BE0B19" w:rsidRPr="00AE47C6" w14:paraId="1FFC4B95" w14:textId="77777777" w:rsidTr="00AD72E5">
        <w:tc>
          <w:tcPr>
            <w:tcW w:w="4253" w:type="dxa"/>
          </w:tcPr>
          <w:p w14:paraId="394217AD" w14:textId="77777777" w:rsidR="00BE0B19" w:rsidRPr="00AE47C6" w:rsidRDefault="00BE0B19" w:rsidP="00BE0B19">
            <w:pPr>
              <w:spacing w:after="0" w:line="360" w:lineRule="auto"/>
              <w:jc w:val="both"/>
              <w:rPr>
                <w:rFonts w:ascii="Times New Roman" w:eastAsia="Calibri" w:hAnsi="Times New Roman"/>
                <w:b/>
                <w:sz w:val="24"/>
                <w:szCs w:val="24"/>
              </w:rPr>
            </w:pPr>
            <w:r w:rsidRPr="00AE47C6">
              <w:rPr>
                <w:rFonts w:ascii="Times New Roman" w:eastAsia="Calibri" w:hAnsi="Times New Roman"/>
                <w:b/>
                <w:sz w:val="24"/>
                <w:szCs w:val="24"/>
              </w:rPr>
              <w:t>Вид на ВМД и начин на унаследяване</w:t>
            </w:r>
          </w:p>
        </w:tc>
        <w:tc>
          <w:tcPr>
            <w:tcW w:w="4848" w:type="dxa"/>
          </w:tcPr>
          <w:p w14:paraId="379310E7" w14:textId="77777777" w:rsidR="00BE0B19" w:rsidRPr="00AE47C6" w:rsidRDefault="00BE0B19" w:rsidP="00BE0B19">
            <w:pPr>
              <w:spacing w:after="0" w:line="360" w:lineRule="auto"/>
              <w:jc w:val="both"/>
              <w:rPr>
                <w:rFonts w:ascii="Times New Roman" w:eastAsia="Calibri" w:hAnsi="Times New Roman"/>
                <w:b/>
                <w:sz w:val="24"/>
                <w:szCs w:val="24"/>
              </w:rPr>
            </w:pPr>
            <w:r w:rsidRPr="00AE47C6">
              <w:rPr>
                <w:rFonts w:ascii="Times New Roman" w:eastAsia="Calibri" w:hAnsi="Times New Roman"/>
                <w:b/>
                <w:sz w:val="24"/>
                <w:szCs w:val="24"/>
              </w:rPr>
              <w:t>Мутантен ген/засегнат протеин</w:t>
            </w:r>
          </w:p>
        </w:tc>
      </w:tr>
      <w:tr w:rsidR="00BE0B19" w:rsidRPr="00AE47C6" w14:paraId="1974D9FA" w14:textId="77777777" w:rsidTr="00AD72E5">
        <w:tc>
          <w:tcPr>
            <w:tcW w:w="4253" w:type="dxa"/>
          </w:tcPr>
          <w:p w14:paraId="2CEC488E" w14:textId="77777777" w:rsidR="00BE0B19" w:rsidRPr="00AE47C6" w:rsidRDefault="00BE0B19" w:rsidP="00BE0B19">
            <w:pPr>
              <w:spacing w:after="0" w:line="360" w:lineRule="auto"/>
              <w:jc w:val="both"/>
              <w:rPr>
                <w:rFonts w:ascii="Times New Roman" w:eastAsia="Calibri" w:hAnsi="Times New Roman"/>
                <w:b/>
                <w:sz w:val="24"/>
                <w:szCs w:val="24"/>
                <w:u w:val="single"/>
              </w:rPr>
            </w:pPr>
            <w:r w:rsidRPr="00AE47C6">
              <w:rPr>
                <w:rFonts w:ascii="Times New Roman" w:eastAsia="Calibri" w:hAnsi="Times New Roman"/>
                <w:b/>
                <w:sz w:val="24"/>
                <w:szCs w:val="24"/>
                <w:u w:val="single"/>
              </w:rPr>
              <w:t>ВМД с мерозинов дефицит (АР)</w:t>
            </w:r>
          </w:p>
        </w:tc>
        <w:tc>
          <w:tcPr>
            <w:tcW w:w="4848" w:type="dxa"/>
          </w:tcPr>
          <w:p w14:paraId="7FA8369D" w14:textId="77777777" w:rsidR="00BE0B19" w:rsidRPr="00AE47C6" w:rsidRDefault="00BE0B19" w:rsidP="00BE0B19">
            <w:pPr>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LAMA2 (6q22-q23)</w:t>
            </w:r>
          </w:p>
          <w:p w14:paraId="73442CBA" w14:textId="77777777" w:rsidR="00BE0B19" w:rsidRPr="00AE47C6" w:rsidRDefault="00BE0B19" w:rsidP="00BE0B19">
            <w:pPr>
              <w:spacing w:after="0" w:line="360" w:lineRule="auto"/>
              <w:jc w:val="both"/>
              <w:rPr>
                <w:rFonts w:ascii="Times New Roman" w:eastAsia="Calibri" w:hAnsi="Times New Roman"/>
                <w:sz w:val="24"/>
                <w:szCs w:val="24"/>
              </w:rPr>
            </w:pPr>
            <w:r w:rsidRPr="00AE47C6">
              <w:rPr>
                <w:rFonts w:ascii="Times New Roman" w:eastAsia="Calibri" w:hAnsi="Times New Roman"/>
                <w:sz w:val="24"/>
                <w:szCs w:val="24"/>
                <w:lang w:eastAsia="bg-BG"/>
              </w:rPr>
              <w:t>Ламинин 2-α верига на мерозин</w:t>
            </w:r>
          </w:p>
        </w:tc>
      </w:tr>
      <w:tr w:rsidR="00BE0B19" w:rsidRPr="00AE47C6" w14:paraId="2C791B7E" w14:textId="77777777" w:rsidTr="00AD72E5">
        <w:tc>
          <w:tcPr>
            <w:tcW w:w="4253" w:type="dxa"/>
          </w:tcPr>
          <w:p w14:paraId="32DB0FC8" w14:textId="77777777" w:rsidR="00BE0B19" w:rsidRPr="00AE47C6" w:rsidRDefault="00BE0B19" w:rsidP="00BE0B19">
            <w:pPr>
              <w:spacing w:after="0" w:line="360" w:lineRule="auto"/>
              <w:jc w:val="both"/>
              <w:rPr>
                <w:rFonts w:ascii="Times New Roman" w:eastAsia="Calibri" w:hAnsi="Times New Roman"/>
                <w:b/>
                <w:sz w:val="24"/>
                <w:szCs w:val="24"/>
                <w:u w:val="single"/>
              </w:rPr>
            </w:pPr>
            <w:r w:rsidRPr="00AE47C6">
              <w:rPr>
                <w:rFonts w:ascii="Times New Roman" w:eastAsia="Calibri" w:hAnsi="Times New Roman"/>
                <w:b/>
                <w:sz w:val="24"/>
                <w:szCs w:val="24"/>
                <w:u w:val="single"/>
              </w:rPr>
              <w:t>ВМД с дефицит на мерозин (АР)</w:t>
            </w:r>
          </w:p>
        </w:tc>
        <w:tc>
          <w:tcPr>
            <w:tcW w:w="4848" w:type="dxa"/>
          </w:tcPr>
          <w:p w14:paraId="18F93BD5" w14:textId="77777777" w:rsidR="00BE0B19" w:rsidRPr="00AE47C6" w:rsidRDefault="00BE0B19" w:rsidP="00BE0B19">
            <w:pPr>
              <w:spacing w:after="0" w:line="360" w:lineRule="auto"/>
              <w:jc w:val="both"/>
              <w:rPr>
                <w:rFonts w:ascii="Times New Roman" w:eastAsia="Calibri" w:hAnsi="Times New Roman"/>
                <w:sz w:val="24"/>
                <w:szCs w:val="24"/>
              </w:rPr>
            </w:pPr>
            <w:r w:rsidRPr="00AE47C6">
              <w:rPr>
                <w:rFonts w:ascii="Times New Roman" w:eastAsia="Calibri" w:hAnsi="Times New Roman"/>
                <w:sz w:val="24"/>
                <w:szCs w:val="24"/>
              </w:rPr>
              <w:t>? – (1q42)</w:t>
            </w:r>
          </w:p>
        </w:tc>
      </w:tr>
      <w:tr w:rsidR="00BE0B19" w:rsidRPr="00AE47C6" w14:paraId="0AF4D8A7" w14:textId="77777777" w:rsidTr="00AD72E5">
        <w:tc>
          <w:tcPr>
            <w:tcW w:w="4253" w:type="dxa"/>
          </w:tcPr>
          <w:p w14:paraId="3D2084B2" w14:textId="77777777" w:rsidR="00BE0B19" w:rsidRPr="00AE47C6" w:rsidRDefault="00BE0B19" w:rsidP="00BE0B19">
            <w:pPr>
              <w:spacing w:after="0" w:line="360" w:lineRule="auto"/>
              <w:jc w:val="both"/>
              <w:rPr>
                <w:rFonts w:ascii="Times New Roman" w:eastAsia="Calibri" w:hAnsi="Times New Roman"/>
                <w:sz w:val="24"/>
                <w:szCs w:val="24"/>
              </w:rPr>
            </w:pPr>
            <w:r w:rsidRPr="00AE47C6">
              <w:rPr>
                <w:rFonts w:ascii="Times New Roman" w:eastAsia="Calibri" w:hAnsi="Times New Roman"/>
                <w:b/>
                <w:sz w:val="24"/>
                <w:szCs w:val="24"/>
                <w:u w:val="single"/>
              </w:rPr>
              <w:t>ВМД с нарушена гликозилация на α- дистрогликана 1С (АР)</w:t>
            </w:r>
          </w:p>
        </w:tc>
        <w:tc>
          <w:tcPr>
            <w:tcW w:w="4848" w:type="dxa"/>
          </w:tcPr>
          <w:p w14:paraId="238F64ED"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FKRP (19q13.33)</w:t>
            </w:r>
          </w:p>
          <w:p w14:paraId="4F1F9DC8" w14:textId="77777777" w:rsidR="00BE0B19" w:rsidRPr="00AE47C6" w:rsidRDefault="00BE0B19" w:rsidP="00BE0B19">
            <w:pPr>
              <w:spacing w:after="0" w:line="360" w:lineRule="auto"/>
              <w:jc w:val="both"/>
              <w:rPr>
                <w:rFonts w:ascii="Times New Roman" w:eastAsia="Calibri" w:hAnsi="Times New Roman"/>
                <w:sz w:val="24"/>
                <w:szCs w:val="24"/>
              </w:rPr>
            </w:pPr>
            <w:r w:rsidRPr="00AE47C6">
              <w:rPr>
                <w:rFonts w:ascii="Times New Roman" w:eastAsia="Calibri" w:hAnsi="Times New Roman"/>
                <w:sz w:val="24"/>
                <w:szCs w:val="24"/>
              </w:rPr>
              <w:t>fukutin свързан протеин</w:t>
            </w:r>
          </w:p>
        </w:tc>
      </w:tr>
      <w:tr w:rsidR="00BE0B19" w:rsidRPr="00AE47C6" w14:paraId="320E823B" w14:textId="77777777" w:rsidTr="00AD72E5">
        <w:tc>
          <w:tcPr>
            <w:tcW w:w="4253" w:type="dxa"/>
          </w:tcPr>
          <w:p w14:paraId="6E282DB8" w14:textId="77777777" w:rsidR="00BE0B19" w:rsidRPr="00AE47C6" w:rsidRDefault="00BE0B19" w:rsidP="00BE0B19">
            <w:pPr>
              <w:spacing w:after="0" w:line="360" w:lineRule="auto"/>
              <w:jc w:val="both"/>
              <w:rPr>
                <w:rFonts w:ascii="Times New Roman" w:eastAsia="Calibri" w:hAnsi="Times New Roman"/>
                <w:sz w:val="24"/>
                <w:szCs w:val="24"/>
              </w:rPr>
            </w:pPr>
            <w:r w:rsidRPr="00AE47C6">
              <w:rPr>
                <w:rFonts w:ascii="Times New Roman" w:eastAsia="Calibri" w:hAnsi="Times New Roman"/>
                <w:b/>
                <w:sz w:val="24"/>
                <w:szCs w:val="24"/>
                <w:u w:val="single"/>
              </w:rPr>
              <w:t>ВМД с нарушена гликозилация на α- дистрогликана 1D (АР)</w:t>
            </w:r>
          </w:p>
        </w:tc>
        <w:tc>
          <w:tcPr>
            <w:tcW w:w="4848" w:type="dxa"/>
          </w:tcPr>
          <w:p w14:paraId="166EEEBF"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LARGE(22q12.3–q13.1)</w:t>
            </w:r>
          </w:p>
          <w:p w14:paraId="38C9D574" w14:textId="77777777" w:rsidR="00BE0B19" w:rsidRPr="00AE47C6" w:rsidRDefault="00BE0B19" w:rsidP="00BE0B19">
            <w:pPr>
              <w:spacing w:after="0" w:line="360" w:lineRule="auto"/>
              <w:jc w:val="both"/>
              <w:rPr>
                <w:rFonts w:ascii="Times New Roman" w:eastAsia="Calibri" w:hAnsi="Times New Roman"/>
                <w:sz w:val="24"/>
                <w:szCs w:val="24"/>
              </w:rPr>
            </w:pPr>
          </w:p>
        </w:tc>
      </w:tr>
      <w:tr w:rsidR="00BE0B19" w:rsidRPr="00AE47C6" w14:paraId="45FF1DE2" w14:textId="77777777" w:rsidTr="00AD72E5">
        <w:tc>
          <w:tcPr>
            <w:tcW w:w="4253" w:type="dxa"/>
          </w:tcPr>
          <w:p w14:paraId="71A6E906" w14:textId="77777777" w:rsidR="00BE0B19" w:rsidRPr="00AE47C6" w:rsidRDefault="00BE0B19" w:rsidP="00BE0B19">
            <w:pPr>
              <w:spacing w:after="0" w:line="360" w:lineRule="auto"/>
              <w:jc w:val="both"/>
              <w:rPr>
                <w:rFonts w:ascii="Times New Roman" w:eastAsia="Calibri" w:hAnsi="Times New Roman"/>
                <w:b/>
                <w:sz w:val="24"/>
                <w:szCs w:val="24"/>
                <w:u w:val="single"/>
              </w:rPr>
            </w:pPr>
            <w:r w:rsidRPr="00AE47C6">
              <w:rPr>
                <w:rFonts w:ascii="Times New Roman" w:eastAsia="Calibri" w:hAnsi="Times New Roman"/>
                <w:b/>
                <w:sz w:val="24"/>
                <w:szCs w:val="24"/>
                <w:u w:val="single"/>
              </w:rPr>
              <w:t>Fukuyama ВМД – (AР)</w:t>
            </w:r>
          </w:p>
        </w:tc>
        <w:tc>
          <w:tcPr>
            <w:tcW w:w="4848" w:type="dxa"/>
          </w:tcPr>
          <w:p w14:paraId="2B4671FC"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FCMD (9q31–q33)</w:t>
            </w:r>
          </w:p>
          <w:p w14:paraId="488F8C1D" w14:textId="77777777" w:rsidR="00BE0B19" w:rsidRPr="00AE47C6" w:rsidRDefault="00BE0B19" w:rsidP="00BE0B19">
            <w:pPr>
              <w:spacing w:after="0" w:line="360" w:lineRule="auto"/>
              <w:jc w:val="both"/>
              <w:rPr>
                <w:rFonts w:ascii="Times New Roman" w:eastAsia="Calibri" w:hAnsi="Times New Roman"/>
                <w:sz w:val="24"/>
                <w:szCs w:val="24"/>
              </w:rPr>
            </w:pPr>
            <w:r w:rsidRPr="00AE47C6">
              <w:rPr>
                <w:rFonts w:ascii="Times New Roman" w:eastAsia="Calibri" w:hAnsi="Times New Roman"/>
                <w:sz w:val="24"/>
                <w:szCs w:val="24"/>
              </w:rPr>
              <w:t>Fukutin</w:t>
            </w:r>
          </w:p>
        </w:tc>
      </w:tr>
      <w:tr w:rsidR="00BE0B19" w:rsidRPr="00AE47C6" w14:paraId="3B168F56" w14:textId="77777777" w:rsidTr="00AD72E5">
        <w:tc>
          <w:tcPr>
            <w:tcW w:w="4253" w:type="dxa"/>
          </w:tcPr>
          <w:p w14:paraId="672A4FC6"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b/>
                <w:sz w:val="24"/>
                <w:szCs w:val="24"/>
                <w:u w:val="single"/>
                <w:lang w:eastAsia="bg-BG"/>
              </w:rPr>
            </w:pPr>
            <w:r w:rsidRPr="00AE47C6">
              <w:rPr>
                <w:rFonts w:ascii="Times New Roman" w:eastAsia="Calibri" w:hAnsi="Times New Roman"/>
                <w:b/>
                <w:sz w:val="24"/>
                <w:szCs w:val="24"/>
                <w:u w:val="single"/>
                <w:lang w:eastAsia="bg-BG"/>
              </w:rPr>
              <w:t>Walker-Warburg синдром – (AР)</w:t>
            </w:r>
          </w:p>
        </w:tc>
        <w:tc>
          <w:tcPr>
            <w:tcW w:w="4848" w:type="dxa"/>
          </w:tcPr>
          <w:p w14:paraId="5D43559D"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 xml:space="preserve">FCMD (9q31–q33) </w:t>
            </w:r>
            <w:r w:rsidRPr="00AE47C6">
              <w:rPr>
                <w:rFonts w:ascii="Times New Roman" w:eastAsia="Calibri" w:hAnsi="Times New Roman"/>
                <w:sz w:val="24"/>
                <w:szCs w:val="24"/>
              </w:rPr>
              <w:t>fukutin</w:t>
            </w:r>
          </w:p>
          <w:p w14:paraId="7B385D72"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POMT1 (9q34.1) протеин-О-манозилтрансфераза 1</w:t>
            </w:r>
          </w:p>
          <w:p w14:paraId="3C65D075"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POMT2 (14q24.3) протеин-О-манозилтрансфераза</w:t>
            </w:r>
          </w:p>
          <w:p w14:paraId="28FADDAA"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 xml:space="preserve">FKRP (19q13.33) </w:t>
            </w:r>
            <w:r w:rsidRPr="00AE47C6">
              <w:rPr>
                <w:rFonts w:ascii="Times New Roman" w:eastAsia="Calibri" w:hAnsi="Times New Roman"/>
                <w:sz w:val="24"/>
                <w:szCs w:val="24"/>
              </w:rPr>
              <w:t>fukutin</w:t>
            </w:r>
            <w:r w:rsidRPr="00AE47C6">
              <w:rPr>
                <w:rFonts w:ascii="Times New Roman" w:eastAsia="Calibri" w:hAnsi="Times New Roman"/>
                <w:sz w:val="24"/>
                <w:szCs w:val="24"/>
                <w:lang w:eastAsia="bg-BG"/>
              </w:rPr>
              <w:t xml:space="preserve"> свързан протеин</w:t>
            </w:r>
          </w:p>
        </w:tc>
      </w:tr>
      <w:tr w:rsidR="00BE0B19" w:rsidRPr="00AE47C6" w14:paraId="78B913B5" w14:textId="77777777" w:rsidTr="00AD72E5">
        <w:tc>
          <w:tcPr>
            <w:tcW w:w="4253" w:type="dxa"/>
          </w:tcPr>
          <w:p w14:paraId="6B85A224" w14:textId="77777777" w:rsidR="00BE0B19" w:rsidRPr="00AE47C6" w:rsidRDefault="00BE0B19" w:rsidP="00BE0B19">
            <w:pPr>
              <w:spacing w:after="0" w:line="360" w:lineRule="auto"/>
              <w:jc w:val="both"/>
              <w:rPr>
                <w:rFonts w:ascii="Times New Roman" w:eastAsia="Calibri" w:hAnsi="Times New Roman"/>
                <w:b/>
                <w:sz w:val="24"/>
                <w:szCs w:val="24"/>
                <w:u w:val="single"/>
              </w:rPr>
            </w:pPr>
            <w:r w:rsidRPr="00AE47C6">
              <w:rPr>
                <w:rFonts w:ascii="Times New Roman" w:eastAsia="Calibri" w:hAnsi="Times New Roman"/>
                <w:b/>
                <w:sz w:val="24"/>
                <w:szCs w:val="24"/>
                <w:u w:val="single"/>
              </w:rPr>
              <w:t>ВМД Мускул-око-мозък – (AР)</w:t>
            </w:r>
          </w:p>
        </w:tc>
        <w:tc>
          <w:tcPr>
            <w:tcW w:w="4848" w:type="dxa"/>
          </w:tcPr>
          <w:tbl>
            <w:tblPr>
              <w:tblW w:w="0" w:type="auto"/>
              <w:tblBorders>
                <w:top w:val="nil"/>
                <w:left w:val="nil"/>
                <w:bottom w:val="nil"/>
                <w:right w:val="nil"/>
              </w:tblBorders>
              <w:tblLook w:val="0000" w:firstRow="0" w:lastRow="0" w:firstColumn="0" w:lastColumn="0" w:noHBand="0" w:noVBand="0"/>
            </w:tblPr>
            <w:tblGrid>
              <w:gridCol w:w="3660"/>
            </w:tblGrid>
            <w:tr w:rsidR="00BE0B19" w:rsidRPr="00AE47C6" w14:paraId="1936CE4D" w14:textId="77777777" w:rsidTr="00AD72E5">
              <w:trPr>
                <w:trHeight w:val="586"/>
              </w:trPr>
              <w:tc>
                <w:tcPr>
                  <w:tcW w:w="3212" w:type="dxa"/>
                </w:tcPr>
                <w:p w14:paraId="00AA3F5C"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POMGNT1 (1p34.1)</w:t>
                  </w:r>
                </w:p>
                <w:p w14:paraId="1E4D5EB3"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O-свързана манозо-бета,2-N-ацетилглюкозаминилтрансфераза</w:t>
                  </w:r>
                </w:p>
              </w:tc>
            </w:tr>
            <w:tr w:rsidR="00BE0B19" w:rsidRPr="00AE47C6" w14:paraId="00220400" w14:textId="77777777" w:rsidTr="00AD72E5">
              <w:trPr>
                <w:trHeight w:val="786"/>
              </w:trPr>
              <w:tc>
                <w:tcPr>
                  <w:tcW w:w="3212" w:type="dxa"/>
                </w:tcPr>
                <w:p w14:paraId="669513B5"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 xml:space="preserve">FKRP (19q13.33) </w:t>
                  </w:r>
                  <w:r w:rsidRPr="00AE47C6">
                    <w:rPr>
                      <w:rFonts w:ascii="Times New Roman" w:eastAsia="Calibri" w:hAnsi="Times New Roman"/>
                      <w:sz w:val="24"/>
                      <w:szCs w:val="24"/>
                    </w:rPr>
                    <w:t>fukutin</w:t>
                  </w:r>
                  <w:r w:rsidRPr="00AE47C6">
                    <w:rPr>
                      <w:rFonts w:ascii="Times New Roman" w:eastAsia="Calibri" w:hAnsi="Times New Roman"/>
                      <w:sz w:val="24"/>
                      <w:szCs w:val="24"/>
                      <w:lang w:eastAsia="bg-BG"/>
                    </w:rPr>
                    <w:t xml:space="preserve"> свързан протеин</w:t>
                  </w:r>
                </w:p>
              </w:tc>
            </w:tr>
            <w:tr w:rsidR="00BE0B19" w:rsidRPr="00AE47C6" w14:paraId="059B1DA0" w14:textId="77777777" w:rsidTr="00AD72E5">
              <w:trPr>
                <w:trHeight w:val="386"/>
              </w:trPr>
              <w:tc>
                <w:tcPr>
                  <w:tcW w:w="3212" w:type="dxa"/>
                </w:tcPr>
                <w:p w14:paraId="34002BBF"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POMT2 (14q24.3) протеин-О-манозил трансфераза 2</w:t>
                  </w:r>
                </w:p>
              </w:tc>
            </w:tr>
          </w:tbl>
          <w:p w14:paraId="2ACC3FD2"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p>
        </w:tc>
      </w:tr>
      <w:tr w:rsidR="00BE0B19" w:rsidRPr="00AE47C6" w14:paraId="74549EEF" w14:textId="77777777" w:rsidTr="00AD72E5">
        <w:tc>
          <w:tcPr>
            <w:tcW w:w="4253" w:type="dxa"/>
          </w:tcPr>
          <w:p w14:paraId="6F35FE56" w14:textId="77777777" w:rsidR="00BE0B19" w:rsidRPr="00AE47C6" w:rsidRDefault="00BE0B19" w:rsidP="00BE0B19">
            <w:pPr>
              <w:spacing w:after="0" w:line="360" w:lineRule="auto"/>
              <w:jc w:val="both"/>
              <w:rPr>
                <w:rFonts w:ascii="Times New Roman" w:eastAsia="Calibri" w:hAnsi="Times New Roman"/>
                <w:b/>
                <w:sz w:val="24"/>
                <w:szCs w:val="24"/>
                <w:u w:val="single"/>
              </w:rPr>
            </w:pPr>
            <w:r w:rsidRPr="00AE47C6">
              <w:rPr>
                <w:rFonts w:ascii="Times New Roman" w:eastAsia="Calibri" w:hAnsi="Times New Roman"/>
                <w:b/>
                <w:sz w:val="24"/>
                <w:szCs w:val="24"/>
                <w:u w:val="single"/>
              </w:rPr>
              <w:t>ВМД с ригиден гръбнак - (АР)</w:t>
            </w:r>
          </w:p>
        </w:tc>
        <w:tc>
          <w:tcPr>
            <w:tcW w:w="4848" w:type="dxa"/>
          </w:tcPr>
          <w:p w14:paraId="056B258D"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SEPN1 (1p36.13)</w:t>
            </w:r>
          </w:p>
          <w:p w14:paraId="7A8C52E2"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selenoprotein N1</w:t>
            </w:r>
          </w:p>
        </w:tc>
      </w:tr>
      <w:tr w:rsidR="00BE0B19" w:rsidRPr="00AE47C6" w14:paraId="383DB562" w14:textId="77777777" w:rsidTr="00AD72E5">
        <w:tc>
          <w:tcPr>
            <w:tcW w:w="4253" w:type="dxa"/>
          </w:tcPr>
          <w:p w14:paraId="6D623A52" w14:textId="77777777" w:rsidR="00BE0B19" w:rsidRPr="00AE47C6" w:rsidRDefault="00BE0B19" w:rsidP="00BE0B19">
            <w:pPr>
              <w:spacing w:after="0" w:line="360" w:lineRule="auto"/>
              <w:jc w:val="both"/>
              <w:rPr>
                <w:rFonts w:ascii="Times New Roman" w:eastAsia="Calibri" w:hAnsi="Times New Roman"/>
                <w:b/>
                <w:sz w:val="24"/>
                <w:szCs w:val="24"/>
                <w:u w:val="single"/>
              </w:rPr>
            </w:pPr>
            <w:r w:rsidRPr="00AE47C6">
              <w:rPr>
                <w:rFonts w:ascii="Times New Roman" w:eastAsia="Calibri" w:hAnsi="Times New Roman"/>
                <w:b/>
                <w:sz w:val="24"/>
                <w:szCs w:val="24"/>
                <w:u w:val="single"/>
              </w:rPr>
              <w:t>Ullrich ВМД – (AР)</w:t>
            </w:r>
          </w:p>
        </w:tc>
        <w:tc>
          <w:tcPr>
            <w:tcW w:w="4848" w:type="dxa"/>
          </w:tcPr>
          <w:tbl>
            <w:tblPr>
              <w:tblW w:w="0" w:type="auto"/>
              <w:tblBorders>
                <w:top w:val="nil"/>
                <w:left w:val="nil"/>
                <w:bottom w:val="nil"/>
                <w:right w:val="nil"/>
              </w:tblBorders>
              <w:tblLook w:val="0000" w:firstRow="0" w:lastRow="0" w:firstColumn="0" w:lastColumn="0" w:noHBand="0" w:noVBand="0"/>
            </w:tblPr>
            <w:tblGrid>
              <w:gridCol w:w="3212"/>
            </w:tblGrid>
            <w:tr w:rsidR="00BE0B19" w:rsidRPr="00AE47C6" w14:paraId="6241D97E" w14:textId="77777777" w:rsidTr="00AD72E5">
              <w:trPr>
                <w:trHeight w:val="586"/>
              </w:trPr>
              <w:tc>
                <w:tcPr>
                  <w:tcW w:w="3212" w:type="dxa"/>
                </w:tcPr>
                <w:p w14:paraId="6C645399"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COL6A1 (21q22.3)</w:t>
                  </w:r>
                </w:p>
                <w:p w14:paraId="5FE7FF81"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 xml:space="preserve">Алфа 1 тип колаген VI </w:t>
                  </w:r>
                </w:p>
              </w:tc>
            </w:tr>
            <w:tr w:rsidR="00BE0B19" w:rsidRPr="00AE47C6" w14:paraId="4BA78934" w14:textId="77777777" w:rsidTr="00AD72E5">
              <w:trPr>
                <w:trHeight w:val="386"/>
              </w:trPr>
              <w:tc>
                <w:tcPr>
                  <w:tcW w:w="3212" w:type="dxa"/>
                </w:tcPr>
                <w:p w14:paraId="1341AA9E"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COL6A2 (21q22.3)</w:t>
                  </w:r>
                </w:p>
                <w:p w14:paraId="593B1BD4"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Алфа 2 тип колаген VI</w:t>
                  </w:r>
                </w:p>
              </w:tc>
            </w:tr>
            <w:tr w:rsidR="00BE0B19" w:rsidRPr="00AE47C6" w14:paraId="2194D30A" w14:textId="77777777" w:rsidTr="00AD72E5">
              <w:trPr>
                <w:trHeight w:val="386"/>
              </w:trPr>
              <w:tc>
                <w:tcPr>
                  <w:tcW w:w="3212" w:type="dxa"/>
                </w:tcPr>
                <w:p w14:paraId="75476D06"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COL6A3 (2q37)</w:t>
                  </w:r>
                </w:p>
                <w:p w14:paraId="502E76EA"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Алфа 3 тип колаген VI</w:t>
                  </w:r>
                </w:p>
              </w:tc>
            </w:tr>
          </w:tbl>
          <w:p w14:paraId="6570ECEA"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p>
        </w:tc>
      </w:tr>
      <w:tr w:rsidR="00BE0B19" w:rsidRPr="00AE47C6" w14:paraId="74AB49CE" w14:textId="77777777" w:rsidTr="00AD72E5">
        <w:tc>
          <w:tcPr>
            <w:tcW w:w="4253" w:type="dxa"/>
          </w:tcPr>
          <w:p w14:paraId="32644B6A" w14:textId="77777777" w:rsidR="00BE0B19" w:rsidRPr="00AE47C6" w:rsidRDefault="00BE0B19" w:rsidP="00BE0B19">
            <w:pPr>
              <w:spacing w:after="0" w:line="360" w:lineRule="auto"/>
              <w:jc w:val="both"/>
              <w:rPr>
                <w:rFonts w:ascii="Times New Roman" w:eastAsia="Calibri" w:hAnsi="Times New Roman"/>
                <w:b/>
                <w:sz w:val="24"/>
                <w:szCs w:val="24"/>
                <w:u w:val="single"/>
              </w:rPr>
            </w:pPr>
            <w:r w:rsidRPr="00AE47C6">
              <w:rPr>
                <w:rFonts w:ascii="Times New Roman" w:eastAsia="Calibri" w:hAnsi="Times New Roman"/>
                <w:b/>
                <w:sz w:val="24"/>
                <w:szCs w:val="24"/>
                <w:u w:val="single"/>
              </w:rPr>
              <w:t>Bethlem миопатия – (AД)</w:t>
            </w:r>
          </w:p>
        </w:tc>
        <w:tc>
          <w:tcPr>
            <w:tcW w:w="4848" w:type="dxa"/>
          </w:tcPr>
          <w:tbl>
            <w:tblPr>
              <w:tblW w:w="0" w:type="auto"/>
              <w:tblBorders>
                <w:top w:val="nil"/>
                <w:left w:val="nil"/>
                <w:bottom w:val="nil"/>
                <w:right w:val="nil"/>
              </w:tblBorders>
              <w:tblLook w:val="0000" w:firstRow="0" w:lastRow="0" w:firstColumn="0" w:lastColumn="0" w:noHBand="0" w:noVBand="0"/>
            </w:tblPr>
            <w:tblGrid>
              <w:gridCol w:w="3212"/>
            </w:tblGrid>
            <w:tr w:rsidR="00BE0B19" w:rsidRPr="00AE47C6" w14:paraId="7E4E0A71" w14:textId="77777777" w:rsidTr="00AD72E5">
              <w:trPr>
                <w:trHeight w:val="586"/>
              </w:trPr>
              <w:tc>
                <w:tcPr>
                  <w:tcW w:w="3212" w:type="dxa"/>
                </w:tcPr>
                <w:p w14:paraId="4CAE010A"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COL6A1 (21q22.3)</w:t>
                  </w:r>
                </w:p>
                <w:p w14:paraId="4A6ACD2D"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 xml:space="preserve">Алфа 1 тип колаген VI </w:t>
                  </w:r>
                </w:p>
              </w:tc>
            </w:tr>
            <w:tr w:rsidR="00BE0B19" w:rsidRPr="00AE47C6" w14:paraId="0CDCDF4B" w14:textId="77777777" w:rsidTr="00AD72E5">
              <w:trPr>
                <w:trHeight w:val="386"/>
              </w:trPr>
              <w:tc>
                <w:tcPr>
                  <w:tcW w:w="3212" w:type="dxa"/>
                </w:tcPr>
                <w:p w14:paraId="12F37BC0"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COL6A3 (2q37)</w:t>
                  </w:r>
                </w:p>
                <w:p w14:paraId="21DF4167"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Алфа 3 тип колаген VI</w:t>
                  </w:r>
                </w:p>
              </w:tc>
            </w:tr>
            <w:tr w:rsidR="00BE0B19" w:rsidRPr="00AE47C6" w14:paraId="580E2808" w14:textId="77777777" w:rsidTr="00AD72E5">
              <w:trPr>
                <w:trHeight w:val="386"/>
              </w:trPr>
              <w:tc>
                <w:tcPr>
                  <w:tcW w:w="3212" w:type="dxa"/>
                </w:tcPr>
                <w:p w14:paraId="106EEFAE"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COL6A2 (21q22.3)</w:t>
                  </w:r>
                </w:p>
                <w:p w14:paraId="0AED98DE"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Алфа 2 тип колаген VI</w:t>
                  </w:r>
                </w:p>
              </w:tc>
            </w:tr>
          </w:tbl>
          <w:p w14:paraId="32229B44" w14:textId="77777777" w:rsidR="00BE0B19" w:rsidRPr="00AE47C6" w:rsidRDefault="00BE0B19" w:rsidP="00BE0B19">
            <w:pPr>
              <w:spacing w:after="0" w:line="360" w:lineRule="auto"/>
              <w:jc w:val="both"/>
              <w:rPr>
                <w:rFonts w:ascii="Times New Roman" w:eastAsia="Calibri" w:hAnsi="Times New Roman"/>
                <w:sz w:val="24"/>
                <w:szCs w:val="24"/>
              </w:rPr>
            </w:pPr>
          </w:p>
        </w:tc>
      </w:tr>
      <w:tr w:rsidR="00BE0B19" w:rsidRPr="00AE47C6" w14:paraId="602EAAB0" w14:textId="77777777" w:rsidTr="00AD72E5">
        <w:tc>
          <w:tcPr>
            <w:tcW w:w="4253" w:type="dxa"/>
          </w:tcPr>
          <w:p w14:paraId="6A3B5653" w14:textId="77777777" w:rsidR="00BE0B19" w:rsidRPr="00AE47C6" w:rsidRDefault="00BE0B19" w:rsidP="00BE0B19">
            <w:pPr>
              <w:spacing w:after="0" w:line="360" w:lineRule="auto"/>
              <w:jc w:val="both"/>
              <w:rPr>
                <w:rFonts w:ascii="Times New Roman" w:eastAsia="Calibri" w:hAnsi="Times New Roman"/>
                <w:b/>
                <w:sz w:val="24"/>
                <w:szCs w:val="24"/>
                <w:u w:val="single"/>
              </w:rPr>
            </w:pPr>
            <w:r w:rsidRPr="00AE47C6">
              <w:rPr>
                <w:rFonts w:ascii="Times New Roman" w:eastAsia="Calibri" w:hAnsi="Times New Roman"/>
                <w:b/>
                <w:sz w:val="24"/>
                <w:szCs w:val="24"/>
                <w:u w:val="single"/>
              </w:rPr>
              <w:t>ВМД с дефицит на интегрин</w:t>
            </w:r>
          </w:p>
        </w:tc>
        <w:tc>
          <w:tcPr>
            <w:tcW w:w="4848" w:type="dxa"/>
          </w:tcPr>
          <w:p w14:paraId="016B9CFA" w14:textId="77777777" w:rsidR="00BE0B19" w:rsidRPr="00AE47C6" w:rsidRDefault="00BE0B19" w:rsidP="00BE0B19">
            <w:pPr>
              <w:autoSpaceDE w:val="0"/>
              <w:autoSpaceDN w:val="0"/>
              <w:adjustRightInd w:val="0"/>
              <w:spacing w:after="0" w:line="360" w:lineRule="auto"/>
              <w:jc w:val="both"/>
              <w:rPr>
                <w:rFonts w:ascii="Times New Roman" w:eastAsia="Calibri" w:hAnsi="Times New Roman"/>
                <w:sz w:val="24"/>
                <w:szCs w:val="24"/>
                <w:lang w:eastAsia="bg-BG"/>
              </w:rPr>
            </w:pPr>
            <w:r w:rsidRPr="00AE47C6">
              <w:rPr>
                <w:rFonts w:ascii="Times New Roman" w:eastAsia="Calibri" w:hAnsi="Times New Roman"/>
                <w:sz w:val="24"/>
                <w:szCs w:val="24"/>
                <w:lang w:eastAsia="bg-BG"/>
              </w:rPr>
              <w:t>ITGA7 (12q13)</w:t>
            </w:r>
          </w:p>
          <w:p w14:paraId="1871C8BD" w14:textId="77777777" w:rsidR="00BE0B19" w:rsidRPr="00AE47C6" w:rsidRDefault="00BE0B19" w:rsidP="00BE0B19">
            <w:pPr>
              <w:spacing w:after="0" w:line="360" w:lineRule="auto"/>
              <w:jc w:val="both"/>
              <w:rPr>
                <w:rFonts w:ascii="Times New Roman" w:eastAsia="Calibri" w:hAnsi="Times New Roman"/>
                <w:sz w:val="24"/>
                <w:szCs w:val="24"/>
              </w:rPr>
            </w:pPr>
            <w:r w:rsidRPr="00AE47C6">
              <w:rPr>
                <w:rFonts w:ascii="Times New Roman" w:eastAsia="Calibri" w:hAnsi="Times New Roman"/>
                <w:sz w:val="24"/>
                <w:szCs w:val="24"/>
              </w:rPr>
              <w:t>Интегрин алфа 7 прекурсор</w:t>
            </w:r>
          </w:p>
        </w:tc>
      </w:tr>
    </w:tbl>
    <w:p w14:paraId="795717D6" w14:textId="77777777" w:rsidR="00BE0B19" w:rsidRPr="00AE47C6" w:rsidRDefault="00BE0B19" w:rsidP="00BE0B19">
      <w:pPr>
        <w:tabs>
          <w:tab w:val="left" w:pos="2055"/>
        </w:tabs>
        <w:spacing w:after="0" w:line="360" w:lineRule="auto"/>
        <w:jc w:val="both"/>
        <w:rPr>
          <w:rFonts w:ascii="Times New Roman" w:eastAsia="SimSun" w:hAnsi="Times New Roman"/>
          <w:sz w:val="24"/>
          <w:szCs w:val="24"/>
        </w:rPr>
      </w:pPr>
    </w:p>
    <w:p w14:paraId="1D3A527F" w14:textId="77777777" w:rsidR="00BE0B19" w:rsidRPr="00AE47C6" w:rsidRDefault="00BE0B19" w:rsidP="00BE0B19">
      <w:pPr>
        <w:tabs>
          <w:tab w:val="left" w:pos="567"/>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По-голямата част от гените, обуславящи патогенезата на ВМД, са свързани с функцията на дистрофин-гликопротеин асоциирания комплекс на сарколемата, вследствие на което се установяват абнормности в екстрацелуларните матриксни протеини (колаген и мерозин) и гликозилиране на α-дистрогликана. Мерозиновият дефицит води до по-лесно увреждане на миофибрите и дистрофични промени в мускулите.</w:t>
      </w:r>
    </w:p>
    <w:p w14:paraId="617B9F63"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ab/>
        <w:t xml:space="preserve">Клинични прояви: </w:t>
      </w:r>
      <w:r w:rsidRPr="00AE47C6">
        <w:rPr>
          <w:rFonts w:ascii="Times New Roman" w:eastAsia="SimSun" w:hAnsi="Times New Roman"/>
          <w:sz w:val="24"/>
          <w:szCs w:val="24"/>
        </w:rPr>
        <w:t>Тежестта на засягане на мускулите варира в широки граници от тежка неонатална хипотония (floppy baby), съпроводена с дихателни и гълтателни смущения с ранен летален изход до умерено тежко забавяне в моторното развитие и лека до умерена мускулна слабост тип пояс-крайник, появяващи се в първите години от живота. Пациентите често са с множествени контрактури (артрогрипоза). Клиничният ход е бавно прогресиращ или липсва прогресия.</w:t>
      </w:r>
    </w:p>
    <w:p w14:paraId="5E9E7D38" w14:textId="77777777" w:rsidR="00BE0B19" w:rsidRPr="00AE47C6" w:rsidRDefault="00BE0B19" w:rsidP="00BE0B19">
      <w:pPr>
        <w:tabs>
          <w:tab w:val="left" w:pos="567"/>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ВМД с мерозинов дефицит</w:t>
      </w:r>
      <w:r w:rsidRPr="00AE47C6">
        <w:rPr>
          <w:rFonts w:ascii="Times New Roman" w:eastAsia="SimSun" w:hAnsi="Times New Roman"/>
          <w:sz w:val="24"/>
          <w:szCs w:val="24"/>
        </w:rPr>
        <w:t xml:space="preserve"> се дължи на мутации в Lamin α-2 гена (LAMA), локализиран в 6q2.</w:t>
      </w:r>
    </w:p>
    <w:p w14:paraId="0136A889" w14:textId="77777777" w:rsidR="00BE0B19" w:rsidRPr="00AE47C6" w:rsidRDefault="00BE0B19" w:rsidP="00BE0B19">
      <w:pPr>
        <w:tabs>
          <w:tab w:val="left" w:pos="567"/>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Тежката форма, дължаща се на пълна липса на мерозин, се характеризира с:</w:t>
      </w:r>
    </w:p>
    <w:p w14:paraId="28EC456C" w14:textId="77777777" w:rsidR="00BE0B19" w:rsidRPr="00AE47C6" w:rsidRDefault="00BE0B19" w:rsidP="00BE0B19">
      <w:pPr>
        <w:numPr>
          <w:ilvl w:val="0"/>
          <w:numId w:val="209"/>
        </w:numPr>
        <w:tabs>
          <w:tab w:val="left" w:pos="567"/>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Изразена мускулна слабост и атрофии</w:t>
      </w:r>
    </w:p>
    <w:p w14:paraId="0B2FF5D0" w14:textId="77777777" w:rsidR="00BE0B19" w:rsidRPr="00AE47C6" w:rsidRDefault="00BE0B19" w:rsidP="00BE0B19">
      <w:pPr>
        <w:numPr>
          <w:ilvl w:val="0"/>
          <w:numId w:val="209"/>
        </w:numPr>
        <w:tabs>
          <w:tab w:val="left" w:pos="567"/>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Ставни контрактури</w:t>
      </w:r>
    </w:p>
    <w:p w14:paraId="49F5E6AB" w14:textId="77777777" w:rsidR="00BE0B19" w:rsidRPr="00AE47C6" w:rsidRDefault="00BE0B19" w:rsidP="00BE0B19">
      <w:pPr>
        <w:numPr>
          <w:ilvl w:val="0"/>
          <w:numId w:val="209"/>
        </w:numPr>
        <w:tabs>
          <w:tab w:val="left" w:pos="567"/>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Невъзможност да се постигне самостоятелна походка</w:t>
      </w:r>
    </w:p>
    <w:p w14:paraId="799F15DB" w14:textId="77777777" w:rsidR="00BE0B19" w:rsidRPr="00AE47C6" w:rsidRDefault="00BE0B19" w:rsidP="00BE0B19">
      <w:pPr>
        <w:numPr>
          <w:ilvl w:val="0"/>
          <w:numId w:val="209"/>
        </w:numPr>
        <w:tabs>
          <w:tab w:val="left" w:pos="567"/>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Дизморфни белези (голяма глава, дълги и тесни лица, отворена уста, високо небце)</w:t>
      </w:r>
    </w:p>
    <w:p w14:paraId="67167216" w14:textId="77777777" w:rsidR="00BE0B19" w:rsidRPr="00AE47C6" w:rsidRDefault="00BE0B19" w:rsidP="00BE0B19">
      <w:pPr>
        <w:numPr>
          <w:ilvl w:val="0"/>
          <w:numId w:val="209"/>
        </w:numPr>
        <w:tabs>
          <w:tab w:val="left" w:pos="567"/>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Значително повишена креатин фосфокиназа в серума </w:t>
      </w:r>
    </w:p>
    <w:p w14:paraId="632395D3" w14:textId="77777777" w:rsidR="00BE0B19" w:rsidRPr="00AE47C6" w:rsidRDefault="00BE0B19" w:rsidP="00BE0B19">
      <w:pPr>
        <w:numPr>
          <w:ilvl w:val="0"/>
          <w:numId w:val="209"/>
        </w:numPr>
        <w:tabs>
          <w:tab w:val="left" w:pos="567"/>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Специфични обширни промени на бялото мозъчно вещество при МРТ – изследване</w:t>
      </w:r>
    </w:p>
    <w:p w14:paraId="6737A5B4" w14:textId="77777777" w:rsidR="00BE0B19" w:rsidRPr="00AE47C6" w:rsidRDefault="00BE0B19" w:rsidP="00BE0B19">
      <w:pPr>
        <w:tabs>
          <w:tab w:val="left" w:pos="567"/>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Леките клинични варианти се дължат на намалено количество на мерозин. Те протичат с:</w:t>
      </w:r>
    </w:p>
    <w:p w14:paraId="5CDCD35D" w14:textId="77777777" w:rsidR="00BE0B19" w:rsidRPr="00AE47C6" w:rsidRDefault="00BE0B19" w:rsidP="00BE0B19">
      <w:pPr>
        <w:numPr>
          <w:ilvl w:val="0"/>
          <w:numId w:val="210"/>
        </w:numPr>
        <w:tabs>
          <w:tab w:val="left" w:pos="567"/>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По-късно начало и бавна прогресия</w:t>
      </w:r>
    </w:p>
    <w:p w14:paraId="1EA582FC" w14:textId="77777777" w:rsidR="00BE0B19" w:rsidRPr="00AE47C6" w:rsidRDefault="00BE0B19" w:rsidP="00BE0B19">
      <w:pPr>
        <w:numPr>
          <w:ilvl w:val="0"/>
          <w:numId w:val="210"/>
        </w:numPr>
        <w:tabs>
          <w:tab w:val="left" w:pos="567"/>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Пациентите прохождат</w:t>
      </w:r>
    </w:p>
    <w:p w14:paraId="4E9EBC1D" w14:textId="77777777" w:rsidR="00BE0B19" w:rsidRPr="00AE47C6" w:rsidRDefault="00BE0B19" w:rsidP="00BE0B19">
      <w:pPr>
        <w:numPr>
          <w:ilvl w:val="0"/>
          <w:numId w:val="210"/>
        </w:numPr>
        <w:tabs>
          <w:tab w:val="left" w:pos="567"/>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Мускулна слабост по типа пояс-крайник</w:t>
      </w:r>
    </w:p>
    <w:p w14:paraId="3AA371B6" w14:textId="77777777" w:rsidR="00BE0B19" w:rsidRPr="00AE47C6" w:rsidRDefault="00BE0B19" w:rsidP="00BE0B19">
      <w:pPr>
        <w:numPr>
          <w:ilvl w:val="0"/>
          <w:numId w:val="210"/>
        </w:numPr>
        <w:tabs>
          <w:tab w:val="left" w:pos="567"/>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МРТ данни за конфлуиращи лезии в бялото мозъчно вещество </w:t>
      </w:r>
    </w:p>
    <w:p w14:paraId="2B4E306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Когнитивни нарушения, епилептични пристъпи и нарушения в невронната миграция се описват рядко при пациенти с ВМД с мерозинов дефицит.</w:t>
      </w:r>
    </w:p>
    <w:p w14:paraId="71A3BEB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ab/>
        <w:t xml:space="preserve">Колаген VI- свързани нарушения. </w:t>
      </w:r>
      <w:r w:rsidRPr="00AE47C6">
        <w:rPr>
          <w:rFonts w:ascii="Times New Roman" w:eastAsia="SimSun" w:hAnsi="Times New Roman"/>
          <w:sz w:val="24"/>
          <w:szCs w:val="24"/>
        </w:rPr>
        <w:t xml:space="preserve">Голямо разнообразие от мутации в един от трите колагенови гена COL6A1, COL6A2, COL6A3, кодиращи респективно α1, α2 и α3 веригите на колаген 6, причиняват два вида ВМД: </w:t>
      </w:r>
      <w:r w:rsidRPr="00AE47C6">
        <w:rPr>
          <w:rFonts w:ascii="Times New Roman" w:eastAsia="SimSun" w:hAnsi="Times New Roman"/>
          <w:i/>
          <w:sz w:val="24"/>
          <w:szCs w:val="24"/>
        </w:rPr>
        <w:t>тип Bethlem и тип Ullrich.</w:t>
      </w:r>
      <w:r w:rsidRPr="00AE47C6">
        <w:rPr>
          <w:rFonts w:ascii="Times New Roman" w:eastAsia="SimSun" w:hAnsi="Times New Roman"/>
          <w:sz w:val="24"/>
          <w:szCs w:val="24"/>
        </w:rPr>
        <w:t xml:space="preserve"> При тези заболявания са нарушени синтезата, структурата, секрецията или функцията на колаген 6. Това са заболявания, които се характеризират клинически с различна степен на тежест на мускулната слабост, хипотрофии, ставни контрактури, хлабави дистални стави и дихателна недостатъчност.</w:t>
      </w:r>
    </w:p>
    <w:p w14:paraId="31D8C13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Миопатията тип Bethlem</w:t>
      </w:r>
      <w:r w:rsidRPr="00AE47C6">
        <w:rPr>
          <w:rFonts w:ascii="Times New Roman" w:eastAsia="SimSun" w:hAnsi="Times New Roman"/>
          <w:sz w:val="24"/>
          <w:szCs w:val="24"/>
        </w:rPr>
        <w:t xml:space="preserve"> е наследствено заболяване с АД- тип на унаследяване, дължащо се на мутации на COL6A1, COL6A2 или COL6A3- гените. Характеризира се с бенигнен ход и бавна прогресия. </w:t>
      </w:r>
    </w:p>
    <w:p w14:paraId="6378EDC9" w14:textId="77777777" w:rsidR="00BE0B19" w:rsidRPr="00AE47C6" w:rsidRDefault="00BE0B19" w:rsidP="00BE0B19">
      <w:pPr>
        <w:numPr>
          <w:ilvl w:val="0"/>
          <w:numId w:val="211"/>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Клинично начало в неонаталния период, детската или юношеската възраст </w:t>
      </w:r>
    </w:p>
    <w:p w14:paraId="31472890" w14:textId="77777777" w:rsidR="00BE0B19" w:rsidRPr="00AE47C6" w:rsidRDefault="00BE0B19" w:rsidP="00BE0B19">
      <w:pPr>
        <w:numPr>
          <w:ilvl w:val="0"/>
          <w:numId w:val="211"/>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Бавно прогресираща проксимална и аксиална мускулна слабост</w:t>
      </w:r>
    </w:p>
    <w:p w14:paraId="11EBEF69" w14:textId="77777777" w:rsidR="00BE0B19" w:rsidRPr="00AE47C6" w:rsidRDefault="00BE0B19" w:rsidP="00BE0B19">
      <w:pPr>
        <w:numPr>
          <w:ilvl w:val="0"/>
          <w:numId w:val="211"/>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Ранни контрактури в областта на интерфалангеалните стави на ръцете лакътните и глезенните стави </w:t>
      </w:r>
    </w:p>
    <w:p w14:paraId="234C537B" w14:textId="77777777" w:rsidR="00BE0B19" w:rsidRPr="00AE47C6" w:rsidRDefault="00BE0B19" w:rsidP="00BE0B19">
      <w:pPr>
        <w:numPr>
          <w:ilvl w:val="0"/>
          <w:numId w:val="211"/>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Фоликуларна хиперкератоза и келоидни образувания</w:t>
      </w:r>
    </w:p>
    <w:p w14:paraId="422B6256"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i/>
          <w:sz w:val="24"/>
          <w:szCs w:val="24"/>
        </w:rPr>
        <w:t>Миопатията тип Ullrich</w:t>
      </w:r>
      <w:r w:rsidRPr="00AE47C6">
        <w:rPr>
          <w:rFonts w:ascii="Times New Roman" w:eastAsia="SimSun" w:hAnsi="Times New Roman"/>
          <w:sz w:val="24"/>
          <w:szCs w:val="24"/>
        </w:rPr>
        <w:t xml:space="preserve"> се дължи на АД или АР унаследени мутации в гените, кодиращи веригите на колаген VI. При тази миопатия клиниката е значително по-тежка, по-хомогенна в сравнение с ВМД тип Bethlem, като включва: </w:t>
      </w:r>
    </w:p>
    <w:p w14:paraId="1568501E" w14:textId="77777777" w:rsidR="00BE0B19" w:rsidRPr="00AE47C6" w:rsidRDefault="00BE0B19" w:rsidP="00BE0B19">
      <w:pPr>
        <w:numPr>
          <w:ilvl w:val="0"/>
          <w:numId w:val="217"/>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Мускулна слабост от раждането</w:t>
      </w:r>
    </w:p>
    <w:p w14:paraId="5DD63E54" w14:textId="77777777" w:rsidR="00BE0B19" w:rsidRPr="00AE47C6" w:rsidRDefault="00BE0B19" w:rsidP="00BE0B19">
      <w:pPr>
        <w:numPr>
          <w:ilvl w:val="0"/>
          <w:numId w:val="217"/>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Лицева слабост</w:t>
      </w:r>
    </w:p>
    <w:p w14:paraId="7F21F587" w14:textId="77777777" w:rsidR="00BE0B19" w:rsidRPr="00AE47C6" w:rsidRDefault="00BE0B19" w:rsidP="00BE0B19">
      <w:pPr>
        <w:numPr>
          <w:ilvl w:val="0"/>
          <w:numId w:val="217"/>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Тортиколис</w:t>
      </w:r>
    </w:p>
    <w:p w14:paraId="54D53427" w14:textId="77777777" w:rsidR="00BE0B19" w:rsidRPr="00AE47C6" w:rsidRDefault="00BE0B19" w:rsidP="00BE0B19">
      <w:pPr>
        <w:numPr>
          <w:ilvl w:val="0"/>
          <w:numId w:val="217"/>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Дислокация на бедрата</w:t>
      </w:r>
    </w:p>
    <w:p w14:paraId="123E9C9B" w14:textId="77777777" w:rsidR="00BE0B19" w:rsidRPr="00AE47C6" w:rsidRDefault="00BE0B19" w:rsidP="00BE0B19">
      <w:pPr>
        <w:numPr>
          <w:ilvl w:val="0"/>
          <w:numId w:val="217"/>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Контрактури на проксималните стави, хлабави дистални стави</w:t>
      </w:r>
    </w:p>
    <w:p w14:paraId="070A9106" w14:textId="77777777" w:rsidR="00BE0B19" w:rsidRPr="00AE47C6" w:rsidRDefault="00BE0B19" w:rsidP="00BE0B19">
      <w:pPr>
        <w:numPr>
          <w:ilvl w:val="0"/>
          <w:numId w:val="217"/>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Прогресираща сколиоза</w:t>
      </w:r>
    </w:p>
    <w:p w14:paraId="3B6A34D3" w14:textId="77777777" w:rsidR="00BE0B19" w:rsidRPr="00AE47C6" w:rsidRDefault="00BE0B19" w:rsidP="00BE0B19">
      <w:pPr>
        <w:numPr>
          <w:ilvl w:val="0"/>
          <w:numId w:val="217"/>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Дихателни нарушения, развиващи се до края на първата година</w:t>
      </w:r>
    </w:p>
    <w:p w14:paraId="74794B7B" w14:textId="77777777" w:rsidR="00BE0B19" w:rsidRPr="00AE47C6" w:rsidRDefault="00BE0B19" w:rsidP="00BE0B19">
      <w:pPr>
        <w:numPr>
          <w:ilvl w:val="0"/>
          <w:numId w:val="217"/>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Невъзможна самостоятелна походка</w:t>
      </w:r>
    </w:p>
    <w:p w14:paraId="6C519CCD" w14:textId="77777777" w:rsidR="00BE0B19" w:rsidRPr="00AE47C6" w:rsidRDefault="00BE0B19" w:rsidP="00BE0B19">
      <w:pPr>
        <w:numPr>
          <w:ilvl w:val="0"/>
          <w:numId w:val="217"/>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Нормален интелект </w:t>
      </w:r>
    </w:p>
    <w:p w14:paraId="11F94CB3" w14:textId="77777777" w:rsidR="00BE0B19" w:rsidRPr="00AE47C6" w:rsidRDefault="00BE0B19" w:rsidP="00BE0B19">
      <w:pPr>
        <w:numPr>
          <w:ilvl w:val="0"/>
          <w:numId w:val="217"/>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Фоликуларна хиперкератоза, папиларен обрив, хиперхидроза, </w:t>
      </w:r>
    </w:p>
    <w:p w14:paraId="24003BFB" w14:textId="77777777" w:rsidR="00BE0B19" w:rsidRPr="00AE47C6" w:rsidRDefault="00BE0B19" w:rsidP="00BE0B19">
      <w:pPr>
        <w:numPr>
          <w:ilvl w:val="0"/>
          <w:numId w:val="217"/>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Дизморфни белези (проминиращи уши, високо небце)</w:t>
      </w:r>
    </w:p>
    <w:p w14:paraId="3809D491" w14:textId="77777777" w:rsidR="00BE0B19" w:rsidRPr="00AE47C6" w:rsidRDefault="00BE0B19" w:rsidP="00BE0B19">
      <w:pPr>
        <w:numPr>
          <w:ilvl w:val="0"/>
          <w:numId w:val="217"/>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Раните заздравяват дефектно с формиране на келоиди.</w:t>
      </w:r>
    </w:p>
    <w:p w14:paraId="6C2C83FB" w14:textId="77777777" w:rsidR="00BE0B19" w:rsidRPr="00AE47C6" w:rsidRDefault="00BE0B19" w:rsidP="00BE0B19">
      <w:pPr>
        <w:tabs>
          <w:tab w:val="left" w:pos="709"/>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ab/>
        <w:t>ВМД, дължащи се на нарушена гликозилирането на α-дистрогликана</w:t>
      </w:r>
    </w:p>
    <w:p w14:paraId="02D03510" w14:textId="77777777" w:rsidR="00BE0B19" w:rsidRPr="00AE47C6" w:rsidRDefault="00BE0B19" w:rsidP="00BE0B19">
      <w:pPr>
        <w:tabs>
          <w:tab w:val="left" w:pos="205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Дефектите в гликозилирането на α-дистрогликана могат да се дължат на мутации в шест гена, кодиращи специфични и предполагаеми гликозилтрансферази: POMT1, POMT2, POMGnT, fukutin, FKRP, LARGE, като мутации в един и същи ген могат да обусловят различни варианти на ВМД. Тези мускулни дистрофии се унаследяват АР, като показват генетична и клинична хетерогенност от изолирано засягане на мускулите до ангажиране и на ЦНС и очите в различна степен.</w:t>
      </w:r>
    </w:p>
    <w:p w14:paraId="08906A7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i/>
          <w:sz w:val="24"/>
          <w:szCs w:val="24"/>
        </w:rPr>
        <w:t>ВМД тип Fukuyama</w:t>
      </w:r>
      <w:r w:rsidRPr="00AE47C6">
        <w:rPr>
          <w:rFonts w:ascii="Times New Roman" w:eastAsia="SimSun" w:hAnsi="Times New Roman"/>
          <w:sz w:val="24"/>
          <w:szCs w:val="24"/>
        </w:rPr>
        <w:t xml:space="preserve"> е най-често срещаната ВМД в Япония, поради мутация с ефект на родоначалника. Дължи се на мутации в гена, кодиращ fukutin, локализиран в 9q31-33. Фукутинът е гликозилтрансфераза, чиято функция и връзка с останалите гликозилиращи ензими, не е добре проучена. Налице са:</w:t>
      </w:r>
    </w:p>
    <w:p w14:paraId="27517EA0" w14:textId="77777777" w:rsidR="00BE0B19" w:rsidRPr="00AE47C6" w:rsidRDefault="00BE0B19" w:rsidP="00BE0B19">
      <w:pPr>
        <w:numPr>
          <w:ilvl w:val="0"/>
          <w:numId w:val="21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Редуцирани фетални движения и неонаталната асфиксия </w:t>
      </w:r>
    </w:p>
    <w:p w14:paraId="7C738259" w14:textId="77777777" w:rsidR="00BE0B19" w:rsidRPr="00AE47C6" w:rsidRDefault="00BE0B19" w:rsidP="00BE0B19">
      <w:pPr>
        <w:numPr>
          <w:ilvl w:val="0"/>
          <w:numId w:val="21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Генерализирана мускулна слабост и хипотония, с по-изразено засягане на проксималната мускулатура от ранна детска възраст</w:t>
      </w:r>
    </w:p>
    <w:p w14:paraId="765C972A" w14:textId="77777777" w:rsidR="00BE0B19" w:rsidRPr="00AE47C6" w:rsidRDefault="00BE0B19" w:rsidP="00BE0B19">
      <w:pPr>
        <w:numPr>
          <w:ilvl w:val="0"/>
          <w:numId w:val="21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Умствено изоставане и епилептични пристъпи (най-често генерализирани тонично-клонични)</w:t>
      </w:r>
    </w:p>
    <w:p w14:paraId="59200E08" w14:textId="77777777" w:rsidR="00BE0B19" w:rsidRPr="00AE47C6" w:rsidRDefault="00BE0B19" w:rsidP="00BE0B19">
      <w:pPr>
        <w:numPr>
          <w:ilvl w:val="0"/>
          <w:numId w:val="21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Хипертрофия на мускулите на езика, подбедриците и m. quadriceps,</w:t>
      </w:r>
    </w:p>
    <w:p w14:paraId="3DC738C6" w14:textId="77777777" w:rsidR="00BE0B19" w:rsidRPr="00AE47C6" w:rsidRDefault="00BE0B19" w:rsidP="00BE0B19">
      <w:pPr>
        <w:numPr>
          <w:ilvl w:val="0"/>
          <w:numId w:val="21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Дилатативна кардиомиопатия, най-често през втората декада от живота</w:t>
      </w:r>
    </w:p>
    <w:p w14:paraId="1ED9E50A" w14:textId="77777777" w:rsidR="00BE0B19" w:rsidRPr="00AE47C6" w:rsidRDefault="00BE0B19" w:rsidP="00BE0B19">
      <w:pPr>
        <w:numPr>
          <w:ilvl w:val="0"/>
          <w:numId w:val="21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Очното засягане включва дисплазия, стопяване, отлепване на ретината, понякога съпътствани от абнормни очни движения, страбизъм, миопия и микрофталмия</w:t>
      </w:r>
    </w:p>
    <w:p w14:paraId="283473B2" w14:textId="77777777" w:rsidR="00BE0B19" w:rsidRPr="00AE47C6" w:rsidRDefault="00BE0B19" w:rsidP="00BE0B19">
      <w:pPr>
        <w:numPr>
          <w:ilvl w:val="0"/>
          <w:numId w:val="21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Аномалии на ЦНС: мозъчна и малкомозъчна полимикрогирия, лисенцефалия/ пахигирия, разширени мозъчни вентрикули, хипоплазия на мозъчния ствол, фиброглиялна пролиферация на меките мозъчни обвивки, хидроцефалия, хипоплазия на кортикоспиналните пътища</w:t>
      </w:r>
    </w:p>
    <w:p w14:paraId="7F473CF1"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От невроизобразяващите изследвания се установяват аномалии в бялото мозъчно вещество, които намаляват с възрастта, абнормности в окципиталната кора, хипоплазия на моста и церебеларния vermis, малкомозъчни кисти. </w:t>
      </w:r>
    </w:p>
    <w:p w14:paraId="6AF9DC1D"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b/>
          <w:i/>
          <w:sz w:val="24"/>
          <w:szCs w:val="24"/>
        </w:rPr>
        <w:t>ВМД тип „Мускул-око-мозък”</w:t>
      </w:r>
      <w:r w:rsidRPr="00AE47C6">
        <w:rPr>
          <w:rFonts w:ascii="Times New Roman" w:eastAsia="SimSun" w:hAnsi="Times New Roman"/>
          <w:sz w:val="24"/>
          <w:szCs w:val="24"/>
        </w:rPr>
        <w:t xml:space="preserve"> е заболяване с АД тип на унаследяване, при което освен мускулно засягане се описват още очни и корови мозъчни аномалии. Обусловено е от мутации в POMGnT1 гена, локализиран в 1р34-р32, кодиращ гликозилтрансфераза. При тези пациенти се установява:</w:t>
      </w:r>
    </w:p>
    <w:p w14:paraId="0E7E3A67" w14:textId="77777777" w:rsidR="00BE0B19" w:rsidRPr="00AE47C6" w:rsidRDefault="00BE0B19" w:rsidP="00BE0B19">
      <w:pPr>
        <w:numPr>
          <w:ilvl w:val="0"/>
          <w:numId w:val="219"/>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Генерализирана мускулна слабост и хипотония, с преобладаващо проксимално засягане</w:t>
      </w:r>
    </w:p>
    <w:p w14:paraId="1B932A42" w14:textId="77777777" w:rsidR="00BE0B19" w:rsidRPr="00AE47C6" w:rsidRDefault="00BE0B19" w:rsidP="00BE0B19">
      <w:pPr>
        <w:numPr>
          <w:ilvl w:val="0"/>
          <w:numId w:val="219"/>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Умствено изоставане, епилептични пристъпи</w:t>
      </w:r>
    </w:p>
    <w:p w14:paraId="77C8D939" w14:textId="77777777" w:rsidR="00BE0B19" w:rsidRPr="00AE47C6" w:rsidRDefault="00BE0B19" w:rsidP="00BE0B19">
      <w:pPr>
        <w:numPr>
          <w:ilvl w:val="0"/>
          <w:numId w:val="219"/>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Конгенитални очни аномалии: миопия, глаукома, хипоплазия на зрителния нерв и ретината</w:t>
      </w:r>
    </w:p>
    <w:p w14:paraId="6F426933" w14:textId="77777777" w:rsidR="00BE0B19" w:rsidRPr="00AE47C6" w:rsidRDefault="00BE0B19" w:rsidP="00BE0B19">
      <w:pPr>
        <w:numPr>
          <w:ilvl w:val="0"/>
          <w:numId w:val="219"/>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Аномалии на ЦНС: лисенцефалия (пахигирия, агирия), полимикрогирия, плосък мозъчен ствол, церебеларна хипоплазия</w:t>
      </w:r>
    </w:p>
    <w:p w14:paraId="61CAAF5A" w14:textId="77777777" w:rsidR="00BE0B19" w:rsidRPr="00AE47C6" w:rsidRDefault="00BE0B19" w:rsidP="00BE0B19">
      <w:pPr>
        <w:numPr>
          <w:ilvl w:val="0"/>
          <w:numId w:val="219"/>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Други особености са хидроцефалия, дизморфен фациес (тясна основа на носа, микрогнатия, лицева хипоплазия). </w:t>
      </w:r>
    </w:p>
    <w:p w14:paraId="37B60A34"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b/>
          <w:i/>
          <w:sz w:val="24"/>
          <w:szCs w:val="24"/>
        </w:rPr>
        <w:t>Синдром на Walker-Warburg</w:t>
      </w:r>
      <w:r w:rsidRPr="00AE47C6">
        <w:rPr>
          <w:rFonts w:ascii="Times New Roman" w:eastAsia="SimSun" w:hAnsi="Times New Roman"/>
          <w:sz w:val="24"/>
          <w:szCs w:val="24"/>
        </w:rPr>
        <w:t xml:space="preserve"> е генетично и клинично хетерогенно заболяване с АР-тип на унаследяване. Дължи се на мутации по-често засягащи POMT1, POMT2, POMGnT-гените и по-рядко, fukutin, FKRP и LARGE. </w:t>
      </w:r>
    </w:p>
    <w:p w14:paraId="5DB2460E" w14:textId="77777777" w:rsidR="00BE0B19" w:rsidRPr="00AE47C6" w:rsidRDefault="00BE0B19" w:rsidP="00BE0B19">
      <w:pPr>
        <w:numPr>
          <w:ilvl w:val="0"/>
          <w:numId w:val="220"/>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Полихидрамнион и намалени фетални движения по време на бременността</w:t>
      </w:r>
    </w:p>
    <w:p w14:paraId="1B3666C6" w14:textId="77777777" w:rsidR="00BE0B19" w:rsidRPr="00AE47C6" w:rsidRDefault="00BE0B19" w:rsidP="00BE0B19">
      <w:pPr>
        <w:numPr>
          <w:ilvl w:val="0"/>
          <w:numId w:val="220"/>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Тежко засягане на мускулите, мозъка и очите с преживяемост до 2-3 години</w:t>
      </w:r>
    </w:p>
    <w:p w14:paraId="11116BAF" w14:textId="77777777" w:rsidR="00BE0B19" w:rsidRPr="00AE47C6" w:rsidRDefault="00BE0B19" w:rsidP="00BE0B19">
      <w:pPr>
        <w:numPr>
          <w:ilvl w:val="0"/>
          <w:numId w:val="220"/>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Тежка мускулна хипотония и слабост</w:t>
      </w:r>
    </w:p>
    <w:p w14:paraId="645CE36D" w14:textId="77777777" w:rsidR="00BE0B19" w:rsidRPr="00AE47C6" w:rsidRDefault="00BE0B19" w:rsidP="00BE0B19">
      <w:pPr>
        <w:numPr>
          <w:ilvl w:val="0"/>
          <w:numId w:val="220"/>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Умствено изоставане</w:t>
      </w:r>
    </w:p>
    <w:p w14:paraId="5A8DB80B" w14:textId="77777777" w:rsidR="00BE0B19" w:rsidRPr="00AE47C6" w:rsidRDefault="00BE0B19" w:rsidP="00BE0B19">
      <w:pPr>
        <w:numPr>
          <w:ilvl w:val="0"/>
          <w:numId w:val="220"/>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Засягане на ЦНС- лизенцефалия тип 2, обструктивна хидроцефалия, невронни хетеротопии, агенезия на corpus callosum, неразделяне на мозъчните хемисфери, лептоменингеални глио-мезодермални пролиферации, понтоцеребеларна хипоплазия с дилатация на IV мозъчен вентрикул, рядко окципитално енцефалоцеле и малформации тип Dandy-Walker, хипомиелинизация</w:t>
      </w:r>
    </w:p>
    <w:p w14:paraId="09DA69F9" w14:textId="77777777" w:rsidR="00BE0B19" w:rsidRPr="00AE47C6" w:rsidRDefault="00BE0B19" w:rsidP="00BE0B19">
      <w:pPr>
        <w:numPr>
          <w:ilvl w:val="0"/>
          <w:numId w:val="220"/>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Епилептични пристъпи</w:t>
      </w:r>
    </w:p>
    <w:p w14:paraId="1B201F1F" w14:textId="77777777" w:rsidR="00BE0B19" w:rsidRPr="00AE47C6" w:rsidRDefault="00BE0B19" w:rsidP="00BE0B19">
      <w:pPr>
        <w:numPr>
          <w:ilvl w:val="0"/>
          <w:numId w:val="220"/>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Очни аномалии - отлепване на ретината с последваща слепота, микрофталмия, буфталм, хипоплазия на зрителния нерв, колобома, и други ирисни малформации, конгенитална глаукома, катаракта, мегалокорнея</w:t>
      </w:r>
    </w:p>
    <w:p w14:paraId="3A569B70" w14:textId="77777777" w:rsidR="00BE0B19" w:rsidRPr="00AE47C6" w:rsidRDefault="00BE0B19" w:rsidP="00BE0B19">
      <w:pPr>
        <w:numPr>
          <w:ilvl w:val="0"/>
          <w:numId w:val="220"/>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Дизморфни белези като цепки на устните и небцето, проминиращи уши</w:t>
      </w:r>
    </w:p>
    <w:p w14:paraId="2795F3D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При тези пациенти палиативно се налага поставянето на назогастрална сонда, вентрикулоперитонеален шънт, хирургична корекция на енцефалоцелето.</w:t>
      </w:r>
    </w:p>
    <w:p w14:paraId="3EB8B5B5"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b/>
          <w:sz w:val="24"/>
          <w:szCs w:val="24"/>
        </w:rPr>
        <w:t xml:space="preserve">Вродена мускулна дистрофия тип 1 С </w:t>
      </w:r>
      <w:r w:rsidRPr="00AE47C6">
        <w:rPr>
          <w:rFonts w:ascii="Times New Roman" w:eastAsia="SimSun" w:hAnsi="Times New Roman"/>
          <w:sz w:val="24"/>
          <w:szCs w:val="24"/>
        </w:rPr>
        <w:t>е форма на ВМД, обусловена от мутации в FKRP - гена, които могат да причинят и мускулна дистрофия тип пояс-крайник. Тежестта на клиничната картина корелира с експресията на а-дистрогликана. Тези болни не прохождат и имат типични хипертрофии на мускулите на бедрата и подбедриците. Тази форма на заболяването е с прогресиращ ход, със засягане на дихателната мускулатура и сърцето през втората декада от живота. Установяват се високи стойности на КФК.</w:t>
      </w:r>
    </w:p>
    <w:p w14:paraId="4F1FAD7B"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b/>
          <w:sz w:val="24"/>
          <w:szCs w:val="24"/>
        </w:rPr>
        <w:t>Вродена мускулна дистрофия тип 1 D</w:t>
      </w:r>
      <w:r w:rsidRPr="00AE47C6">
        <w:rPr>
          <w:rFonts w:ascii="Times New Roman" w:eastAsia="SimSun" w:hAnsi="Times New Roman"/>
          <w:sz w:val="24"/>
          <w:szCs w:val="24"/>
        </w:rPr>
        <w:t xml:space="preserve"> се дължи на мутации в LARGE- гена и клинично се характеризира с изразена мускулна хипотония (floppy baby) и тежко умствено изоставане, обусловени от дефекти в невронната миграция.</w:t>
      </w:r>
    </w:p>
    <w:p w14:paraId="0D4F2187"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b/>
          <w:sz w:val="24"/>
          <w:szCs w:val="24"/>
        </w:rPr>
        <w:t xml:space="preserve">Вродената мускулна дистрофия с ригиден гръбнак. </w:t>
      </w:r>
      <w:r w:rsidRPr="00AE47C6">
        <w:rPr>
          <w:rFonts w:ascii="Times New Roman" w:eastAsia="SimSun" w:hAnsi="Times New Roman"/>
          <w:sz w:val="24"/>
          <w:szCs w:val="24"/>
        </w:rPr>
        <w:t>При засегнатите болни се откриват хомо- или хетерозиготни мутации в SEPN1-гена. Заболяването клинично се характеризира с:</w:t>
      </w:r>
    </w:p>
    <w:p w14:paraId="2FC5E35A" w14:textId="77777777" w:rsidR="00BE0B19" w:rsidRPr="00AE47C6" w:rsidRDefault="00BE0B19" w:rsidP="00BE0B19">
      <w:pPr>
        <w:numPr>
          <w:ilvl w:val="0"/>
          <w:numId w:val="221"/>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Ограничена флексия на гръбначния стълб </w:t>
      </w:r>
    </w:p>
    <w:p w14:paraId="55AFCD15" w14:textId="77777777" w:rsidR="00BE0B19" w:rsidRPr="00AE47C6" w:rsidRDefault="00BE0B19" w:rsidP="00BE0B19">
      <w:pPr>
        <w:numPr>
          <w:ilvl w:val="0"/>
          <w:numId w:val="221"/>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Прогресивно развиваща се сколиоза, редуцираща виталния капацитет и водеща до дихателна недостатъчност</w:t>
      </w:r>
    </w:p>
    <w:p w14:paraId="545B9337" w14:textId="77777777" w:rsidR="00BE0B19" w:rsidRPr="00AE47C6" w:rsidRDefault="00BE0B19" w:rsidP="00BE0B19">
      <w:pPr>
        <w:numPr>
          <w:ilvl w:val="0"/>
          <w:numId w:val="221"/>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Слабост на лицевата мускулатура, булбарна мускулна слабост</w:t>
      </w:r>
    </w:p>
    <w:p w14:paraId="582B9718" w14:textId="77777777" w:rsidR="00BE0B19" w:rsidRPr="00AE47C6" w:rsidRDefault="00BE0B19" w:rsidP="00BE0B19">
      <w:pPr>
        <w:numPr>
          <w:ilvl w:val="0"/>
          <w:numId w:val="221"/>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Ставни контрактури в областта на лактите и колената, scapulae alatae, pectus excavatus</w:t>
      </w:r>
    </w:p>
    <w:p w14:paraId="1B506610" w14:textId="77777777" w:rsidR="00BE0B19" w:rsidRPr="00AE47C6" w:rsidRDefault="00BE0B19" w:rsidP="00BE0B19">
      <w:pPr>
        <w:numPr>
          <w:ilvl w:val="0"/>
          <w:numId w:val="221"/>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Ограничено наддаване на тегло </w:t>
      </w:r>
    </w:p>
    <w:p w14:paraId="76682E54" w14:textId="77777777" w:rsidR="00BE0B19" w:rsidRPr="00AE47C6" w:rsidRDefault="00BE0B19" w:rsidP="00BE0B19">
      <w:pPr>
        <w:spacing w:after="0" w:line="360" w:lineRule="auto"/>
        <w:ind w:firstLine="708"/>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По-често се засягат аддукторите на бедрата, m. biceps femoris, m. sartorius, докато m. rectus femoris и m. gracilis остават сравнително съхранени. Въпреки тежката аксиална мускулна слабост и генерализираната мускулна атрофия, пациентите с това заболяване дълго време запазват способността за самостоятелна походка. </w:t>
      </w:r>
    </w:p>
    <w:p w14:paraId="15C64767"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Основна особеност на тази форма на заболяването е контрастът между сравнително запазената мускулна сила на крайниците и тежката мускулна слабост на аксиалната шийна и туловищна мускулатура. Прогнозата зависи от тежестта на ангажиране на дихателната мускулатура. При по-голямата част от пациентите сколиозата прогресира и става тежка в края на първото десетилетие. Дихателната недостатъчност налага сравнително ранното използване на неинвазивна вентилация с начало между 4 и 10-годишна възраст.</w:t>
      </w:r>
    </w:p>
    <w:p w14:paraId="72ADE9B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 xml:space="preserve">ВМД тип 1В </w:t>
      </w:r>
      <w:r w:rsidRPr="00AE47C6">
        <w:rPr>
          <w:rFonts w:ascii="Times New Roman" w:eastAsia="SimSun" w:hAnsi="Times New Roman"/>
          <w:sz w:val="24"/>
          <w:szCs w:val="24"/>
        </w:rPr>
        <w:t xml:space="preserve">се характеризира с генерализирана хипотония, забавено моторно развитие, проксимална мускулна слабост, с тежко засягане на шийната мускулатура и ранно развитие на дихателна недостатъчност. Невропсихичното развитие е в норма. </w:t>
      </w:r>
    </w:p>
    <w:p w14:paraId="14EB431C"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b/>
          <w:sz w:val="24"/>
          <w:szCs w:val="24"/>
        </w:rPr>
        <w:t>ВМД с дефицит на интегрин α-7</w:t>
      </w:r>
      <w:r w:rsidRPr="00AE47C6">
        <w:rPr>
          <w:rFonts w:ascii="Times New Roman" w:eastAsia="SimSun" w:hAnsi="Times New Roman"/>
          <w:sz w:val="24"/>
          <w:szCs w:val="24"/>
        </w:rPr>
        <w:t>. Клинично се характеризира със забавено моторно развитие като при вродена миопатия, ментална ретардация без промени в МРТ на главен мозък, вроден тортиколис.</w:t>
      </w:r>
    </w:p>
    <w:p w14:paraId="207A3CF3"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b/>
          <w:sz w:val="24"/>
          <w:szCs w:val="24"/>
        </w:rPr>
        <w:t>ВМД, дължащи се на мутации в LMNA- гена</w:t>
      </w:r>
      <w:r w:rsidRPr="00AE47C6">
        <w:rPr>
          <w:rFonts w:ascii="Times New Roman" w:eastAsia="SimSun" w:hAnsi="Times New Roman"/>
          <w:sz w:val="24"/>
          <w:szCs w:val="24"/>
        </w:rPr>
        <w:t xml:space="preserve">. Ламините са протеини, влизащи в състава на ядрената мембрана, които определят нейната форма и големина. Мутации в Lamin A/C- гена водят до различни невромускулни заболявания, вкл. мускулни дистрофии като АД форма на мускулна дистрофия тип Emery-Dreifuss, мускулна дистрофия тип пояс-крайник 1В, аксонна моторна и сензорна полиневропатия. Болните условно се разделят на две групи: първата са по-малки с тежка мускулна слабост и много слабо моторно развитие, а втората са по-големи с изразена слабост на шийната мускулатура при нормално ранно моторно развитие. Всички деца са с начална бързо прогресираща слабост на аксиалната мускулатура и последващата липса на прогресия. Дихателната недостатъчност се проявява клинически по-рано при първата група, но и при втората група е налице преди 8-годишна възраст. Четири от пациентите са със сърдечно засягане - аритмии. По-тежко са засегнати проксималните мускули на горни крайници и дисталните на горни. Рано се проявява ригиден гръбнак с торакална лордоза. </w:t>
      </w:r>
    </w:p>
    <w:p w14:paraId="0C80FD76"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Диагнозата се базира на следните изследвания:</w:t>
      </w:r>
    </w:p>
    <w:p w14:paraId="4B8860C6" w14:textId="77777777" w:rsidR="00BE0B19" w:rsidRPr="00AE47C6" w:rsidRDefault="00BE0B19" w:rsidP="00BE0B19">
      <w:pPr>
        <w:numPr>
          <w:ilvl w:val="0"/>
          <w:numId w:val="22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Клинични прояви за начало в неонаталния период или ранна детска възраст</w:t>
      </w:r>
    </w:p>
    <w:p w14:paraId="49F55BA7" w14:textId="77777777" w:rsidR="00BE0B19" w:rsidRPr="00AE47C6" w:rsidRDefault="00BE0B19" w:rsidP="00BE0B19">
      <w:pPr>
        <w:numPr>
          <w:ilvl w:val="0"/>
          <w:numId w:val="22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Наличие на други аномалии на очи, умствено изоставане, епилептични пристъпи</w:t>
      </w:r>
    </w:p>
    <w:p w14:paraId="64C9F9B2" w14:textId="77777777" w:rsidR="00BE0B19" w:rsidRPr="00AE47C6" w:rsidRDefault="00BE0B19" w:rsidP="00BE0B19">
      <w:pPr>
        <w:numPr>
          <w:ilvl w:val="0"/>
          <w:numId w:val="22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Повишени стойности на КФК</w:t>
      </w:r>
    </w:p>
    <w:p w14:paraId="337D0E50" w14:textId="77777777" w:rsidR="00BE0B19" w:rsidRPr="00AE47C6" w:rsidRDefault="00BE0B19" w:rsidP="00BE0B19">
      <w:pPr>
        <w:numPr>
          <w:ilvl w:val="0"/>
          <w:numId w:val="22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ЕМГ данни за миогенна увреда</w:t>
      </w:r>
    </w:p>
    <w:p w14:paraId="5F9AD513" w14:textId="77777777" w:rsidR="00BE0B19" w:rsidRPr="00AE47C6" w:rsidRDefault="00BE0B19" w:rsidP="00BE0B19">
      <w:pPr>
        <w:numPr>
          <w:ilvl w:val="0"/>
          <w:numId w:val="22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Хистологичното изследване на мускули </w:t>
      </w:r>
    </w:p>
    <w:p w14:paraId="51ED14B7" w14:textId="77777777" w:rsidR="00BE0B19" w:rsidRPr="00AE47C6" w:rsidRDefault="00BE0B19" w:rsidP="00BE0B19">
      <w:pPr>
        <w:numPr>
          <w:ilvl w:val="0"/>
          <w:numId w:val="22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МРТ на главен мозък</w:t>
      </w:r>
    </w:p>
    <w:p w14:paraId="0F409004" w14:textId="77777777" w:rsidR="00BE0B19" w:rsidRPr="00AE47C6" w:rsidRDefault="00BE0B19" w:rsidP="00BE0B19">
      <w:pPr>
        <w:numPr>
          <w:ilvl w:val="0"/>
          <w:numId w:val="22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Генетичното изследване</w:t>
      </w:r>
    </w:p>
    <w:p w14:paraId="3AE1B3A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Лечение</w:t>
      </w:r>
      <w:r w:rsidRPr="00AE47C6">
        <w:rPr>
          <w:rFonts w:ascii="Times New Roman" w:eastAsia="SimSun" w:hAnsi="Times New Roman"/>
          <w:sz w:val="24"/>
          <w:szCs w:val="24"/>
        </w:rPr>
        <w:t xml:space="preserve">. Въпреки големия брой терапевтични стратегии (основно в рамките на генна терапия), които се проучват по отношение на терапията на ВМД, на този етап утвърдени са палиативните грижи в зависимост от възрастта и състоянието на пациентите. За тази цел е необходим мултидисциплинарен екип, включващ невролози (лечение на епилептичните пристъпи), ортопеди (хирургично лечение на ставните контрактури и сколиоза), физиотерапевти, реаниматори (дихателна реанимация- неинвазивна и инвазивна, поставяне на назогастрална сонда). </w:t>
      </w:r>
    </w:p>
    <w:p w14:paraId="7FB520F2"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95" w:name="_Toc155651794"/>
      <w:bookmarkStart w:id="196" w:name="_Toc164075926"/>
      <w:r w:rsidRPr="00AE47C6">
        <w:rPr>
          <w:rFonts w:ascii="Times New Roman" w:eastAsia="SimSun" w:hAnsi="Times New Roman"/>
          <w:b/>
          <w:sz w:val="24"/>
          <w:szCs w:val="20"/>
          <w:lang w:eastAsia="ja-JP"/>
        </w:rPr>
        <w:t>9.1.2. Вродени миопатии</w:t>
      </w:r>
      <w:bookmarkEnd w:id="195"/>
      <w:bookmarkEnd w:id="196"/>
    </w:p>
    <w:p w14:paraId="62BDCE9C"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Група от наследствени мускулни заболявания, които се диагностицират на базата на структурни промени в мускулните влакна, видими след оцветяване на мускулния биопсичен материал с хистохимични методи. Класифицират се на следните видове:</w:t>
      </w:r>
    </w:p>
    <w:p w14:paraId="26AC29B0"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9.1.2.1. Миотубуларна/центронуклеарна миопатия</w:t>
      </w:r>
    </w:p>
    <w:p w14:paraId="35C817C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Изключително рядка форма, включваща обикновено тежката Х-свързана рецесивна форма с пре- или неонатално начало, автозомно-рецесивна форма с начало в ранна или по-късна детска възраст и сравнително леката автозомно-доминантна форма с късно начало. Характерна хистологична картина.</w:t>
      </w:r>
    </w:p>
    <w:p w14:paraId="584635F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i/>
          <w:sz w:val="24"/>
          <w:szCs w:val="24"/>
        </w:rPr>
        <w:t>Диагностични критерии за Х-свързаната форма</w:t>
      </w:r>
      <w:r w:rsidRPr="00AE47C6">
        <w:rPr>
          <w:rFonts w:ascii="Times New Roman" w:eastAsia="SimSun" w:hAnsi="Times New Roman"/>
          <w:sz w:val="24"/>
          <w:szCs w:val="24"/>
        </w:rPr>
        <w:t>:</w:t>
      </w:r>
    </w:p>
    <w:p w14:paraId="18922A4A" w14:textId="77777777" w:rsidR="00BE0B19" w:rsidRPr="00AE47C6" w:rsidRDefault="00BE0B19" w:rsidP="00BE0B19">
      <w:pPr>
        <w:numPr>
          <w:ilvl w:val="0"/>
          <w:numId w:val="22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Мъжки пол</w:t>
      </w:r>
    </w:p>
    <w:p w14:paraId="3A6D2AA1" w14:textId="77777777" w:rsidR="00BE0B19" w:rsidRPr="00AE47C6" w:rsidRDefault="00BE0B19" w:rsidP="00BE0B19">
      <w:pPr>
        <w:numPr>
          <w:ilvl w:val="0"/>
          <w:numId w:val="22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Перинатално начало</w:t>
      </w:r>
    </w:p>
    <w:p w14:paraId="090942DA" w14:textId="77777777" w:rsidR="00BE0B19" w:rsidRPr="00AE47C6" w:rsidRDefault="00BE0B19" w:rsidP="00BE0B19">
      <w:pPr>
        <w:numPr>
          <w:ilvl w:val="0"/>
          <w:numId w:val="22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Тежка генерализирана мускулна слабост и хипотония с дихателна недостатъчност и често фатален изход.</w:t>
      </w:r>
    </w:p>
    <w:p w14:paraId="435648F0" w14:textId="77777777" w:rsidR="00BE0B19" w:rsidRPr="00AE47C6" w:rsidRDefault="00BE0B19" w:rsidP="00BE0B19">
      <w:pPr>
        <w:numPr>
          <w:ilvl w:val="0"/>
          <w:numId w:val="22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Може да са налице: полихидрамнион, гълтателни нарушения, тънки ребра, контрактури на бедрени и коленни стави, офталмоплегия, голяма глава, издължено лице, тънки пръсти.</w:t>
      </w:r>
    </w:p>
    <w:p w14:paraId="6038EB50" w14:textId="77777777" w:rsidR="00BE0B19" w:rsidRPr="00AE47C6" w:rsidRDefault="00BE0B19" w:rsidP="00BE0B19">
      <w:pPr>
        <w:numPr>
          <w:ilvl w:val="0"/>
          <w:numId w:val="22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КФК нормална или леко повишена </w:t>
      </w:r>
    </w:p>
    <w:p w14:paraId="02A84AE3" w14:textId="77777777" w:rsidR="00BE0B19" w:rsidRPr="00AE47C6" w:rsidRDefault="00BE0B19" w:rsidP="00BE0B19">
      <w:pPr>
        <w:numPr>
          <w:ilvl w:val="0"/>
          <w:numId w:val="22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Скаченост с Xq28, МТМ1 генни мутации </w:t>
      </w:r>
    </w:p>
    <w:p w14:paraId="0D4D8C62"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Диагностични критерии за АР форма:</w:t>
      </w:r>
    </w:p>
    <w:p w14:paraId="730F3BA1" w14:textId="77777777" w:rsidR="00BE0B19" w:rsidRPr="00AE47C6" w:rsidRDefault="00BE0B19" w:rsidP="00BE0B19">
      <w:pPr>
        <w:numPr>
          <w:ilvl w:val="0"/>
          <w:numId w:val="22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Начало в ранна, по-късна детска възраст или при възрастни под 30 год.</w:t>
      </w:r>
    </w:p>
    <w:p w14:paraId="2A6F90E2" w14:textId="77777777" w:rsidR="00BE0B19" w:rsidRPr="00AE47C6" w:rsidRDefault="00BE0B19" w:rsidP="00BE0B19">
      <w:pPr>
        <w:numPr>
          <w:ilvl w:val="0"/>
          <w:numId w:val="22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При ранно начало може да е налице офталмоплегия</w:t>
      </w:r>
    </w:p>
    <w:p w14:paraId="1515ECF8" w14:textId="77777777" w:rsidR="00BE0B19" w:rsidRPr="00AE47C6" w:rsidRDefault="00BE0B19" w:rsidP="00BE0B19">
      <w:pPr>
        <w:numPr>
          <w:ilvl w:val="0"/>
          <w:numId w:val="22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Проксималната слабост е по-тежка от дисталната</w:t>
      </w:r>
    </w:p>
    <w:p w14:paraId="0530A8C9" w14:textId="77777777" w:rsidR="00BE0B19" w:rsidRPr="00AE47C6" w:rsidRDefault="00BE0B19" w:rsidP="00BE0B19">
      <w:pPr>
        <w:numPr>
          <w:ilvl w:val="0"/>
          <w:numId w:val="22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Лицева слабост</w:t>
      </w:r>
    </w:p>
    <w:p w14:paraId="36C7CD75" w14:textId="77777777" w:rsidR="00BE0B19" w:rsidRPr="00AE47C6" w:rsidRDefault="00BE0B19" w:rsidP="00BE0B19">
      <w:pPr>
        <w:numPr>
          <w:ilvl w:val="0"/>
          <w:numId w:val="22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Преживяват след ранния детски период</w:t>
      </w:r>
    </w:p>
    <w:p w14:paraId="2A21E25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i/>
          <w:sz w:val="24"/>
          <w:szCs w:val="24"/>
        </w:rPr>
        <w:t>Диагностични критерии за АД форма</w:t>
      </w:r>
      <w:r w:rsidRPr="00AE47C6">
        <w:rPr>
          <w:rFonts w:ascii="Times New Roman" w:eastAsia="SimSun" w:hAnsi="Times New Roman"/>
          <w:sz w:val="24"/>
          <w:szCs w:val="24"/>
        </w:rPr>
        <w:t>:</w:t>
      </w:r>
    </w:p>
    <w:p w14:paraId="70F3E49C" w14:textId="77777777" w:rsidR="00BE0B19" w:rsidRPr="00AE47C6" w:rsidRDefault="00BE0B19" w:rsidP="00BE0B19">
      <w:pPr>
        <w:numPr>
          <w:ilvl w:val="0"/>
          <w:numId w:val="2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Начало в късна детска възраст или зрелост</w:t>
      </w:r>
    </w:p>
    <w:p w14:paraId="579634CC" w14:textId="77777777" w:rsidR="00BE0B19" w:rsidRPr="00AE47C6" w:rsidRDefault="00BE0B19" w:rsidP="00BE0B19">
      <w:pPr>
        <w:numPr>
          <w:ilvl w:val="0"/>
          <w:numId w:val="2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Проксималната слабост е по-тежка от дисталната</w:t>
      </w:r>
    </w:p>
    <w:p w14:paraId="38746754" w14:textId="77777777" w:rsidR="00BE0B19" w:rsidRPr="00AE47C6" w:rsidRDefault="00BE0B19" w:rsidP="00BE0B19">
      <w:pPr>
        <w:numPr>
          <w:ilvl w:val="0"/>
          <w:numId w:val="2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Крампи в подбедриците</w:t>
      </w:r>
    </w:p>
    <w:p w14:paraId="64ACC699" w14:textId="77777777" w:rsidR="00BE0B19" w:rsidRPr="00AE47C6" w:rsidRDefault="00BE0B19" w:rsidP="00BE0B19">
      <w:pPr>
        <w:numPr>
          <w:ilvl w:val="0"/>
          <w:numId w:val="2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КФК нормална или леко повишена</w:t>
      </w:r>
    </w:p>
    <w:p w14:paraId="534BC78E" w14:textId="77777777" w:rsidR="00BE0B19" w:rsidRPr="00AE47C6" w:rsidRDefault="00BE0B19" w:rsidP="00BE0B19">
      <w:pPr>
        <w:numPr>
          <w:ilvl w:val="0"/>
          <w:numId w:val="2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При някои фамилии – офталмопареза, птоза, лицева слабост, дистална мускулна слабост, контрактури, ригиден гръбнак</w:t>
      </w:r>
    </w:p>
    <w:p w14:paraId="1D33629D" w14:textId="77777777" w:rsidR="00BE0B19" w:rsidRPr="00AE47C6" w:rsidRDefault="00BE0B19" w:rsidP="00BE0B19">
      <w:pPr>
        <w:numPr>
          <w:ilvl w:val="0"/>
          <w:numId w:val="22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При някои фамилии – скаченост с 12q21, MYF6 генна мутация</w:t>
      </w:r>
    </w:p>
    <w:p w14:paraId="575AD436" w14:textId="77777777" w:rsidR="00BE0B19" w:rsidRPr="00AE47C6" w:rsidRDefault="00BE0B19" w:rsidP="00BE0B19">
      <w:pPr>
        <w:spacing w:after="0" w:line="360" w:lineRule="auto"/>
        <w:jc w:val="both"/>
        <w:rPr>
          <w:rFonts w:ascii="Times New Roman" w:eastAsia="SimSun" w:hAnsi="Times New Roman"/>
          <w:sz w:val="24"/>
          <w:szCs w:val="24"/>
        </w:rPr>
      </w:pPr>
    </w:p>
    <w:p w14:paraId="528BF7C7"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9.1.2.2. Немалинова миопатия</w:t>
      </w:r>
    </w:p>
    <w:p w14:paraId="5EAD772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Невро-мускулно заболяване, характеризиращо се с мускулна слабост при наличието на немалинови телца (пръчици) в мускулните влакна при отсъствието на други известни състояния, понякога свързани с пръчици. Съществуват АД, АР и спорадични форми.</w:t>
      </w:r>
    </w:p>
    <w:p w14:paraId="3FC1795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i/>
          <w:sz w:val="24"/>
          <w:szCs w:val="24"/>
        </w:rPr>
        <w:t>Диагностични критерии</w:t>
      </w:r>
      <w:r w:rsidRPr="00AE47C6">
        <w:rPr>
          <w:rFonts w:ascii="Times New Roman" w:eastAsia="SimSun" w:hAnsi="Times New Roman"/>
          <w:sz w:val="24"/>
          <w:szCs w:val="24"/>
        </w:rPr>
        <w:t>:</w:t>
      </w:r>
    </w:p>
    <w:p w14:paraId="7C59252B" w14:textId="77777777" w:rsidR="00BE0B19" w:rsidRPr="00AE47C6" w:rsidRDefault="00BE0B19" w:rsidP="00BE0B19">
      <w:pPr>
        <w:numPr>
          <w:ilvl w:val="0"/>
          <w:numId w:val="226"/>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Началото е обикновено в ранно детство, но може и в по-късна детска възраст или в зрелостта.</w:t>
      </w:r>
    </w:p>
    <w:p w14:paraId="02F3DAA9" w14:textId="77777777" w:rsidR="00BE0B19" w:rsidRPr="00AE47C6" w:rsidRDefault="00BE0B19" w:rsidP="00BE0B19">
      <w:pPr>
        <w:numPr>
          <w:ilvl w:val="0"/>
          <w:numId w:val="226"/>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Мускулната слабост е най-тежка в лицето, флексорите на шията и проксималните мускули на крайниците, понякога може да има и дистално засягане. Често има дихателни нарушения, а при малките деца – гълтателни.</w:t>
      </w:r>
    </w:p>
    <w:p w14:paraId="60183892" w14:textId="77777777" w:rsidR="00BE0B19" w:rsidRPr="00AE47C6" w:rsidRDefault="00BE0B19" w:rsidP="00BE0B19">
      <w:pPr>
        <w:numPr>
          <w:ilvl w:val="0"/>
          <w:numId w:val="226"/>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При конгениталните форми - артрогрипоза</w:t>
      </w:r>
    </w:p>
    <w:p w14:paraId="1C3F1535" w14:textId="77777777" w:rsidR="00BE0B19" w:rsidRPr="00AE47C6" w:rsidRDefault="00BE0B19" w:rsidP="00BE0B19">
      <w:pPr>
        <w:numPr>
          <w:ilvl w:val="0"/>
          <w:numId w:val="226"/>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КФК е нормална или леко повишена</w:t>
      </w:r>
    </w:p>
    <w:p w14:paraId="3B1D4668" w14:textId="77777777" w:rsidR="00BE0B19" w:rsidRPr="00AE47C6" w:rsidRDefault="00BE0B19" w:rsidP="00BE0B19">
      <w:pPr>
        <w:numPr>
          <w:ilvl w:val="0"/>
          <w:numId w:val="226"/>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ЕМГ показва миопатни промени, но при някои по-възрастни в дисталните мускули – невропатни. ЕНГ е в норма.</w:t>
      </w:r>
    </w:p>
    <w:p w14:paraId="6D22C770" w14:textId="77777777" w:rsidR="00BE0B19" w:rsidRPr="00AE47C6" w:rsidRDefault="00BE0B19" w:rsidP="00BE0B19">
      <w:pPr>
        <w:numPr>
          <w:ilvl w:val="0"/>
          <w:numId w:val="226"/>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Известни са мутации в 10 гена </w:t>
      </w:r>
    </w:p>
    <w:p w14:paraId="6A4A14B6" w14:textId="77777777" w:rsidR="00BE0B19" w:rsidRPr="00AE47C6" w:rsidRDefault="00BE0B19" w:rsidP="00BE0B19">
      <w:pPr>
        <w:keepNext/>
        <w:spacing w:before="240" w:after="240" w:line="240" w:lineRule="auto"/>
        <w:outlineLvl w:val="3"/>
        <w:rPr>
          <w:rFonts w:ascii="Times New Roman" w:eastAsia="SimSun" w:hAnsi="Times New Roman"/>
          <w:b/>
          <w:bCs/>
          <w:sz w:val="24"/>
          <w:szCs w:val="28"/>
        </w:rPr>
      </w:pPr>
      <w:r w:rsidRPr="00AE47C6">
        <w:rPr>
          <w:rFonts w:ascii="Times New Roman" w:eastAsia="SimSun" w:hAnsi="Times New Roman"/>
          <w:b/>
          <w:bCs/>
          <w:sz w:val="24"/>
          <w:szCs w:val="28"/>
        </w:rPr>
        <w:t>9.1.2.3. “Central core” вродена миопатия</w:t>
      </w:r>
    </w:p>
    <w:p w14:paraId="3709823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Вродена миопатия с АД или АР унаследяване. Установяват се мутации в рианодиновия рецептор върху 19q13.1. Някои от мутациите водят до “Central core” вродена миопатия и склонност към малигнена хипертермия, а други само до малигнена хипертермия. Характерна хистологична картина.</w:t>
      </w:r>
    </w:p>
    <w:p w14:paraId="02D5CB6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i/>
          <w:sz w:val="24"/>
          <w:szCs w:val="24"/>
        </w:rPr>
        <w:t>Диагностични критерии</w:t>
      </w:r>
      <w:r w:rsidRPr="00AE47C6">
        <w:rPr>
          <w:rFonts w:ascii="Times New Roman" w:eastAsia="SimSun" w:hAnsi="Times New Roman"/>
          <w:sz w:val="24"/>
          <w:szCs w:val="24"/>
        </w:rPr>
        <w:t>:</w:t>
      </w:r>
    </w:p>
    <w:p w14:paraId="5EEA0510" w14:textId="77777777" w:rsidR="00BE0B19" w:rsidRPr="00AE47C6" w:rsidRDefault="00BE0B19" w:rsidP="00BE0B19">
      <w:pPr>
        <w:numPr>
          <w:ilvl w:val="0"/>
          <w:numId w:val="227"/>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Начало в ранно детство и по-рядко – в късна възраст</w:t>
      </w:r>
    </w:p>
    <w:p w14:paraId="52D1294E" w14:textId="77777777" w:rsidR="00BE0B19" w:rsidRPr="00AE47C6" w:rsidRDefault="00BE0B19" w:rsidP="00BE0B19">
      <w:pPr>
        <w:numPr>
          <w:ilvl w:val="0"/>
          <w:numId w:val="227"/>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Хипотония и забавено двигателно развитие</w:t>
      </w:r>
    </w:p>
    <w:p w14:paraId="3D2A74CC" w14:textId="77777777" w:rsidR="00BE0B19" w:rsidRPr="00AE47C6" w:rsidRDefault="00BE0B19" w:rsidP="00BE0B19">
      <w:pPr>
        <w:numPr>
          <w:ilvl w:val="0"/>
          <w:numId w:val="227"/>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Генерализирана мускулна слабост, повече проксимално и повече за долни крайници</w:t>
      </w:r>
    </w:p>
    <w:p w14:paraId="20CF7953" w14:textId="77777777" w:rsidR="00BE0B19" w:rsidRPr="00AE47C6" w:rsidRDefault="00BE0B19" w:rsidP="00BE0B19">
      <w:pPr>
        <w:numPr>
          <w:ilvl w:val="0"/>
          <w:numId w:val="227"/>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Може да се наблюдава слабост на лицеви мускули, стерноклеидомастоидеус и трапециус и скелетни аномалии</w:t>
      </w:r>
    </w:p>
    <w:p w14:paraId="526E1601" w14:textId="77777777" w:rsidR="00BE0B19" w:rsidRPr="00AE47C6" w:rsidRDefault="00BE0B19" w:rsidP="00BE0B19">
      <w:pPr>
        <w:numPr>
          <w:ilvl w:val="0"/>
          <w:numId w:val="227"/>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Непрогресиращ или бавно прогресиращ ход</w:t>
      </w:r>
    </w:p>
    <w:p w14:paraId="644F0EAF" w14:textId="77777777" w:rsidR="00BE0B19" w:rsidRPr="00AE47C6" w:rsidRDefault="00BE0B19" w:rsidP="00BE0B19">
      <w:pPr>
        <w:numPr>
          <w:ilvl w:val="0"/>
          <w:numId w:val="227"/>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КФК е нормална или леко повишена</w:t>
      </w:r>
    </w:p>
    <w:p w14:paraId="47F3461C" w14:textId="77777777" w:rsidR="00BE0B19" w:rsidRPr="00AE47C6" w:rsidRDefault="00BE0B19" w:rsidP="00BE0B19">
      <w:pPr>
        <w:numPr>
          <w:ilvl w:val="0"/>
          <w:numId w:val="227"/>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ЕМГ е миопатна или нормална</w:t>
      </w:r>
    </w:p>
    <w:p w14:paraId="5AD587A6" w14:textId="77777777" w:rsidR="00BE0B19" w:rsidRPr="00AE47C6" w:rsidRDefault="00BE0B19" w:rsidP="00BE0B19">
      <w:pPr>
        <w:numPr>
          <w:ilvl w:val="0"/>
          <w:numId w:val="227"/>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Риск от малигнена хипертермия при употреба на някои инхалационни наркотици и деполяризиращи релаксанти като сукцинилхолин</w:t>
      </w:r>
    </w:p>
    <w:p w14:paraId="4CC1BF3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Лечение:</w:t>
      </w:r>
      <w:r w:rsidRPr="00AE47C6">
        <w:rPr>
          <w:rFonts w:ascii="Times New Roman" w:eastAsia="SimSun" w:hAnsi="Times New Roman"/>
          <w:sz w:val="24"/>
          <w:szCs w:val="24"/>
        </w:rPr>
        <w:t xml:space="preserve"> Основно значение имат системната рехабилитация и приложението на ортези при необходимост.</w:t>
      </w:r>
    </w:p>
    <w:p w14:paraId="3FD1D855"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97" w:name="_Toc155651795"/>
      <w:bookmarkStart w:id="198" w:name="_Toc164075927"/>
      <w:r w:rsidRPr="00AE47C6">
        <w:rPr>
          <w:rFonts w:ascii="Times New Roman" w:eastAsia="SimSun" w:hAnsi="Times New Roman"/>
          <w:b/>
          <w:sz w:val="24"/>
          <w:szCs w:val="20"/>
          <w:lang w:eastAsia="ja-JP"/>
        </w:rPr>
        <w:t>9.1.3. Прогресивни мускулни дистрофии тип Duchenne/Becker</w:t>
      </w:r>
      <w:bookmarkEnd w:id="197"/>
      <w:bookmarkEnd w:id="198"/>
    </w:p>
    <w:p w14:paraId="7064FA8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Представляват наследствени заболявания, обусловени от мутации, засягащи дистрофиновия ген, локализиран в Х хромозомата, които се проявяват клинично с прогресираща мускулна слабост до тежка инвалидизация, кардиомиопатия, а в някои от случаите и с умствено изоставане и нанизъм. Различават се помежду си по началото, тежестта на клиничната симптоматика и скоростта на прогресия на заболяването.</w:t>
      </w:r>
    </w:p>
    <w:p w14:paraId="6CED3D4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Епидемиология: </w:t>
      </w:r>
      <w:r w:rsidRPr="00AE47C6">
        <w:rPr>
          <w:rFonts w:ascii="Times New Roman" w:eastAsia="SimSun" w:hAnsi="Times New Roman"/>
          <w:sz w:val="24"/>
          <w:szCs w:val="24"/>
        </w:rPr>
        <w:t>ПМД тип Duchenne се среща с честота 1 на 3500 живородени момчета. При 30% от тях мутацията възниква de novo. ПМД тип Becker се появява с честота 1 на 30 000 живородени момчета. При 50% мутациите са de novo.</w:t>
      </w:r>
    </w:p>
    <w:p w14:paraId="6455AED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Етиология</w:t>
      </w:r>
      <w:r w:rsidRPr="00AE47C6">
        <w:rPr>
          <w:rFonts w:ascii="Times New Roman" w:eastAsia="SimSun" w:hAnsi="Times New Roman"/>
          <w:sz w:val="24"/>
          <w:szCs w:val="24"/>
        </w:rPr>
        <w:t>: Дистрофиновият ген се намира на Х-хромозомата в локус Хр21 и е един от най-големите гени в човешкия геном. Разнообразни мутации са отговорни за ПМД тип Duchenne. Най-често това са:</w:t>
      </w:r>
    </w:p>
    <w:p w14:paraId="4620DE9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w:t>
      </w:r>
      <w:r w:rsidRPr="00AE47C6">
        <w:rPr>
          <w:rFonts w:ascii="Times New Roman" w:eastAsia="SimSun" w:hAnsi="Times New Roman"/>
          <w:sz w:val="24"/>
          <w:szCs w:val="24"/>
        </w:rPr>
        <w:tab/>
        <w:t>Делеции - около 60%</w:t>
      </w:r>
    </w:p>
    <w:p w14:paraId="7608566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w:t>
      </w:r>
      <w:r w:rsidRPr="00AE47C6">
        <w:rPr>
          <w:rFonts w:ascii="Times New Roman" w:eastAsia="SimSun" w:hAnsi="Times New Roman"/>
          <w:sz w:val="24"/>
          <w:szCs w:val="24"/>
        </w:rPr>
        <w:tab/>
        <w:t>Дупликации - около 10%. Концентрирани са главно в проксималната част на гена, около интрон 7.</w:t>
      </w:r>
    </w:p>
    <w:p w14:paraId="38E8219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w:t>
      </w:r>
      <w:r w:rsidRPr="00AE47C6">
        <w:rPr>
          <w:rFonts w:ascii="Times New Roman" w:eastAsia="SimSun" w:hAnsi="Times New Roman"/>
          <w:sz w:val="24"/>
          <w:szCs w:val="24"/>
        </w:rPr>
        <w:tab/>
        <w:t xml:space="preserve">Точкови мутации: еднонуклеотидни замени, инсерции, малки делеции и дупликации- около 30%. Точковите мутации могат да бъдат в splice site или в екзона (безсмислени). </w:t>
      </w:r>
    </w:p>
    <w:p w14:paraId="3C5E365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При пациенти с ПМД тип Becker 80% от мутациите, отговорни за болестта, са делеции в дистрофиновия ген.</w:t>
      </w:r>
    </w:p>
    <w:p w14:paraId="0556705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Патогенеза: </w:t>
      </w:r>
      <w:r w:rsidRPr="00AE47C6">
        <w:rPr>
          <w:rFonts w:ascii="Times New Roman" w:eastAsia="SimSun" w:hAnsi="Times New Roman"/>
          <w:sz w:val="24"/>
          <w:szCs w:val="24"/>
        </w:rPr>
        <w:t xml:space="preserve">Дистрофинът е протеин с молекулна маса от 427 kDa. В различните си изоформи се открива в мускулите, ретината, невроните на ЦНС. Дистрофинът е цитоскелетен протеин, намиращ се по вътрешната повърхност на сарколемата, като основен елемент от </w:t>
      </w:r>
      <w:r w:rsidRPr="00AE47C6">
        <w:rPr>
          <w:rFonts w:ascii="Times New Roman" w:eastAsia="SimSun" w:hAnsi="Times New Roman"/>
          <w:iCs/>
          <w:sz w:val="24"/>
          <w:szCs w:val="24"/>
        </w:rPr>
        <w:t xml:space="preserve">дистрофин-асоциирания гликопротеинов комплекс (ДАГК). ДАГК е </w:t>
      </w:r>
      <w:r w:rsidRPr="00AE47C6">
        <w:rPr>
          <w:rFonts w:ascii="Times New Roman" w:eastAsia="SimSun" w:hAnsi="Times New Roman"/>
          <w:sz w:val="24"/>
          <w:szCs w:val="24"/>
        </w:rPr>
        <w:t>сложна надмолекулна организация - мост между цитоскелета, сарколемата и базалната мембрана, който стабилизира сарколемата при мускулна контракция и предпазва миофибрилите от некроза.</w:t>
      </w:r>
    </w:p>
    <w:p w14:paraId="60203B7A" w14:textId="77777777" w:rsidR="00BE0B19" w:rsidRPr="00AE47C6" w:rsidRDefault="00BE0B19" w:rsidP="00BE0B19">
      <w:pPr>
        <w:spacing w:after="0" w:line="360" w:lineRule="auto"/>
        <w:ind w:firstLine="708"/>
        <w:jc w:val="both"/>
        <w:rPr>
          <w:rFonts w:ascii="Times New Roman" w:eastAsia="SimSun" w:hAnsi="Times New Roman"/>
          <w:b/>
          <w:sz w:val="24"/>
          <w:szCs w:val="24"/>
        </w:rPr>
      </w:pPr>
      <w:r w:rsidRPr="00AE47C6">
        <w:rPr>
          <w:rFonts w:ascii="Times New Roman" w:eastAsia="SimSun" w:hAnsi="Times New Roman"/>
          <w:b/>
          <w:sz w:val="24"/>
          <w:szCs w:val="24"/>
        </w:rPr>
        <w:t>Клинична картина на ПМД тип Duchenne</w:t>
      </w:r>
      <w:r w:rsidRPr="00AE47C6">
        <w:rPr>
          <w:rFonts w:ascii="Times New Roman" w:eastAsia="SimSun" w:hAnsi="Times New Roman"/>
          <w:sz w:val="24"/>
          <w:szCs w:val="24"/>
        </w:rPr>
        <w:t xml:space="preserve"> се проявява с:</w:t>
      </w:r>
    </w:p>
    <w:p w14:paraId="4F96A5EA" w14:textId="77777777" w:rsidR="00BE0B19" w:rsidRPr="00AE47C6" w:rsidRDefault="00BE0B19" w:rsidP="00BE0B19">
      <w:pPr>
        <w:numPr>
          <w:ilvl w:val="0"/>
          <w:numId w:val="22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Начало преди 5-годишна възраст, при някои от пациентите с данни за закъснение в прохождането и тромава походка още преди дебюта на болестта или глобално изоставане в НПР </w:t>
      </w:r>
    </w:p>
    <w:p w14:paraId="6167DFBE" w14:textId="77777777" w:rsidR="00BE0B19" w:rsidRPr="00AE47C6" w:rsidRDefault="00BE0B19" w:rsidP="00BE0B19">
      <w:pPr>
        <w:numPr>
          <w:ilvl w:val="0"/>
          <w:numId w:val="22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Прогресираща мускулна слабост, ангажираща предимно проксималната мускулатура първо на долните крайници, а в последствие и на горните крайници</w:t>
      </w:r>
    </w:p>
    <w:p w14:paraId="68FF5EC7" w14:textId="77777777" w:rsidR="00BE0B19" w:rsidRPr="00AE47C6" w:rsidRDefault="00BE0B19" w:rsidP="00BE0B19">
      <w:pPr>
        <w:numPr>
          <w:ilvl w:val="0"/>
          <w:numId w:val="22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Затруднено изкачване на стълби, чести падания, затруднено изправяне от клекнало положение или извършване на други движения, натоварващи мускулатурата на тазовия пояс (m. iliopsoas и глутеалната мускулатура) и проксималните мускули на долни крайници (m. quadriceps)</w:t>
      </w:r>
    </w:p>
    <w:p w14:paraId="27E3E192" w14:textId="77777777" w:rsidR="00BE0B19" w:rsidRPr="00AE47C6" w:rsidRDefault="00BE0B19" w:rsidP="00BE0B19">
      <w:pPr>
        <w:numPr>
          <w:ilvl w:val="0"/>
          <w:numId w:val="22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Феномен на Gowers (при изправяне на пациента от клекнало положение той се опира в бедрата си, катерещо се изправяне с помощта на ръцете)</w:t>
      </w:r>
    </w:p>
    <w:p w14:paraId="6C515961" w14:textId="77777777" w:rsidR="00BE0B19" w:rsidRPr="00AE47C6" w:rsidRDefault="00BE0B19" w:rsidP="00BE0B19">
      <w:pPr>
        <w:numPr>
          <w:ilvl w:val="0"/>
          <w:numId w:val="22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Клатушкаща се походка, впоследствие пациентите започват да ходят на пръсти, поради атрофия на претибиалната мускулатура </w:t>
      </w:r>
    </w:p>
    <w:p w14:paraId="07DED90D" w14:textId="77777777" w:rsidR="00BE0B19" w:rsidRPr="00AE47C6" w:rsidRDefault="00BE0B19" w:rsidP="00BE0B19">
      <w:pPr>
        <w:numPr>
          <w:ilvl w:val="0"/>
          <w:numId w:val="22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Псевдохипертрофия на m. triceps surae</w:t>
      </w:r>
    </w:p>
    <w:p w14:paraId="0B39701D" w14:textId="77777777" w:rsidR="00BE0B19" w:rsidRPr="00AE47C6" w:rsidRDefault="00BE0B19" w:rsidP="00BE0B19">
      <w:pPr>
        <w:numPr>
          <w:ilvl w:val="0"/>
          <w:numId w:val="22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Поясна хиперлордоза с изпъкване на корема</w:t>
      </w:r>
    </w:p>
    <w:p w14:paraId="358EB857" w14:textId="77777777" w:rsidR="00BE0B19" w:rsidRPr="00AE47C6" w:rsidRDefault="00BE0B19" w:rsidP="00BE0B19">
      <w:pPr>
        <w:numPr>
          <w:ilvl w:val="0"/>
          <w:numId w:val="22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Scapulae alatae </w:t>
      </w:r>
    </w:p>
    <w:p w14:paraId="3F42B719" w14:textId="77777777" w:rsidR="00BE0B19" w:rsidRPr="00AE47C6" w:rsidRDefault="00BE0B19" w:rsidP="00BE0B19">
      <w:pPr>
        <w:numPr>
          <w:ilvl w:val="0"/>
          <w:numId w:val="22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Ставни контрактури, с първоначално ангажиране на глезенните стави и ахилесовото сухожилие (pes equinovarus), а в последствие и коленни, лакътни, раменни, тазобедрени и интервертебрални стави. Развиват кифосколиоза</w:t>
      </w:r>
    </w:p>
    <w:p w14:paraId="7D771D95" w14:textId="77777777" w:rsidR="00BE0B19" w:rsidRPr="00AE47C6" w:rsidRDefault="00BE0B19" w:rsidP="00BE0B19">
      <w:pPr>
        <w:numPr>
          <w:ilvl w:val="0"/>
          <w:numId w:val="22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Загуба на самостоятелна походка преди 13 г. </w:t>
      </w:r>
    </w:p>
    <w:p w14:paraId="5DB6E5B9" w14:textId="77777777" w:rsidR="00BE0B19" w:rsidRPr="00AE47C6" w:rsidRDefault="00BE0B19" w:rsidP="00BE0B19">
      <w:pPr>
        <w:numPr>
          <w:ilvl w:val="0"/>
          <w:numId w:val="22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Дихателните нарушения са много типични при момчетата с ПМД тип Duchenne и се установяват скоро след загубата на самостоятелна походка. Кифосколиозата, слабостта на интеркосталните мускули и диафрагмата нарушават външното дишане. Развива се рестриктивен тип нарушение на дишането, като при 73% от пациентите непосредствена причина за летален изход е дихателната недостатъчност. Първоначалните клинични симптоми, следствие от хипоксемията и хиперкапнията, могат да са много леки, като редукция на телесната маса, лесна уморяемост, по-лоша успеваемост в училище и нарушения на съня. В последствие белодробните инфекции стават по-чести и по-трудно лечими. Ако развиващата се хиперкапния не бъде лекувана, се добавят главоболие, общо неразположение и рискът от смърт, поради остра дихателна недостатъчност, провокирана от интеркурентни инфекции, нараства значително. Пациентите са със снижен витален капацитет, чести пневмонии и развиват дихателна недостатъчност, което налага дихателно подпомагане в напредналите стадии на болестта.</w:t>
      </w:r>
    </w:p>
    <w:p w14:paraId="4C97C924" w14:textId="77777777" w:rsidR="00BE0B19" w:rsidRPr="00AE47C6" w:rsidRDefault="00BE0B19" w:rsidP="00BE0B19">
      <w:pPr>
        <w:numPr>
          <w:ilvl w:val="0"/>
          <w:numId w:val="22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Сърдечно засягане (кардиомиопатия) се установява при 50% до 80% от пациентите в хода на заболяването, като са налице кардиомегалия, персистираща тахикардия, ритъмни и проводни нарушения и остри миокардни инфаркти.</w:t>
      </w:r>
    </w:p>
    <w:p w14:paraId="760C493C" w14:textId="77777777" w:rsidR="00BE0B19" w:rsidRPr="00AE47C6" w:rsidRDefault="00BE0B19" w:rsidP="00BE0B19">
      <w:pPr>
        <w:numPr>
          <w:ilvl w:val="0"/>
          <w:numId w:val="22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Симптомите от дисфункция на гладката мускулатура са резултат от некроза на мускулните влакна, дегенерация на клетъчните им ядра и мастна инфилтрация. Стомашният хипомотилитет се манифестира с тежест, коремни болки и повръщане. При малка част от пациентите се установява малабсорбционен синдром с диария, мегаколон или мотилитетни смущения на хранопровода. Констипацията е резултат не само на ангажиране на гладката мускулатура на червата, но и на слабост на напречнонабраздената коремна мускулатура, което води до намаляване на интраабдоминалното налягане при дефекация.</w:t>
      </w:r>
    </w:p>
    <w:p w14:paraId="506276DC" w14:textId="77777777" w:rsidR="00BE0B19" w:rsidRPr="00AE47C6" w:rsidRDefault="00BE0B19" w:rsidP="00BE0B19">
      <w:pPr>
        <w:numPr>
          <w:ilvl w:val="0"/>
          <w:numId w:val="22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При голяма част от пациентите с ПМД тип Duchenne се установяват когнитивни нарушения с непрогресиращ характер. </w:t>
      </w:r>
    </w:p>
    <w:p w14:paraId="6C76BDB2" w14:textId="77777777" w:rsidR="00BE0B19" w:rsidRPr="00AE47C6" w:rsidRDefault="00BE0B19" w:rsidP="00BE0B19">
      <w:pPr>
        <w:spacing w:after="0" w:line="360" w:lineRule="auto"/>
        <w:ind w:firstLine="708"/>
        <w:jc w:val="both"/>
        <w:rPr>
          <w:rFonts w:ascii="Times New Roman" w:eastAsia="SimSun" w:hAnsi="Times New Roman"/>
          <w:b/>
          <w:sz w:val="24"/>
          <w:szCs w:val="24"/>
        </w:rPr>
      </w:pPr>
      <w:r w:rsidRPr="00AE47C6">
        <w:rPr>
          <w:rFonts w:ascii="Times New Roman" w:eastAsia="SimSun" w:hAnsi="Times New Roman"/>
          <w:b/>
          <w:sz w:val="24"/>
          <w:szCs w:val="24"/>
        </w:rPr>
        <w:t xml:space="preserve">Клиничната картина на ПМД тип Becker </w:t>
      </w:r>
      <w:r w:rsidRPr="00AE47C6">
        <w:rPr>
          <w:rFonts w:ascii="Times New Roman" w:eastAsia="SimSun" w:hAnsi="Times New Roman"/>
          <w:sz w:val="24"/>
          <w:szCs w:val="24"/>
        </w:rPr>
        <w:t>е сходна, но по-лека от колкото при ПМД тип Duchenne. Наличието на дистрофин в редуцирани количества или абнормен по структура обуславя по-късното начало и по-леката клинична картина при пациенти с ПМД тип Becker.</w:t>
      </w:r>
    </w:p>
    <w:p w14:paraId="22584576" w14:textId="77777777" w:rsidR="00BE0B19" w:rsidRPr="00AE47C6" w:rsidRDefault="00BE0B19" w:rsidP="00BE0B19">
      <w:pPr>
        <w:numPr>
          <w:ilvl w:val="0"/>
          <w:numId w:val="229"/>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Начало на заболяването е след 7-годишна възраст</w:t>
      </w:r>
    </w:p>
    <w:p w14:paraId="2F6D73A5" w14:textId="77777777" w:rsidR="00BE0B19" w:rsidRPr="00AE47C6" w:rsidRDefault="00BE0B19" w:rsidP="00BE0B19">
      <w:pPr>
        <w:numPr>
          <w:ilvl w:val="0"/>
          <w:numId w:val="229"/>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Постепенно развиваща се прогресивна мускулна слабост като проксималните мускули са по-тежко засегнати от дисталните, а долните крайници - по-рано от горните</w:t>
      </w:r>
    </w:p>
    <w:p w14:paraId="14FA4820" w14:textId="77777777" w:rsidR="00BE0B19" w:rsidRPr="00AE47C6" w:rsidRDefault="00BE0B19" w:rsidP="00BE0B19">
      <w:pPr>
        <w:numPr>
          <w:ilvl w:val="0"/>
          <w:numId w:val="229"/>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Псевдохипертрофия на подбедриците</w:t>
      </w:r>
    </w:p>
    <w:p w14:paraId="60ADBC87" w14:textId="77777777" w:rsidR="00BE0B19" w:rsidRPr="00AE47C6" w:rsidRDefault="00BE0B19" w:rsidP="00BE0B19">
      <w:pPr>
        <w:numPr>
          <w:ilvl w:val="0"/>
          <w:numId w:val="229"/>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Слабостта в m. quadriceps femoris може дълго време да бъде единствената изява на заболяването. </w:t>
      </w:r>
    </w:p>
    <w:p w14:paraId="04267D22" w14:textId="77777777" w:rsidR="00BE0B19" w:rsidRPr="00AE47C6" w:rsidRDefault="00BE0B19" w:rsidP="00BE0B19">
      <w:pPr>
        <w:numPr>
          <w:ilvl w:val="0"/>
          <w:numId w:val="229"/>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Болезнени крампи при физическо натоварване, съпроводени или не с миоглобинурия при някои болни</w:t>
      </w:r>
    </w:p>
    <w:p w14:paraId="539B3F04" w14:textId="77777777" w:rsidR="00BE0B19" w:rsidRPr="00AE47C6" w:rsidRDefault="00BE0B19" w:rsidP="00BE0B19">
      <w:pPr>
        <w:numPr>
          <w:ilvl w:val="0"/>
          <w:numId w:val="229"/>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Загуба на самостоятелна походка след 16-годишна възраст. Някои пациенти запазват способността си за самостоятелна походка и до 30-35 годишна възраст. При тези пациенти кардиомиопатиите и умственото изоставане са по-редки и по-леки.</w:t>
      </w:r>
    </w:p>
    <w:p w14:paraId="05CD691A" w14:textId="77777777" w:rsidR="00BE0B19" w:rsidRPr="00AE47C6" w:rsidRDefault="00BE0B19" w:rsidP="00BE0B19">
      <w:pPr>
        <w:numPr>
          <w:ilvl w:val="0"/>
          <w:numId w:val="229"/>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Сърдечно засягане може да се развие независимо от мускулната слабост</w:t>
      </w:r>
    </w:p>
    <w:p w14:paraId="3445CC75"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Диагнозата</w:t>
      </w:r>
      <w:r w:rsidRPr="00AE47C6">
        <w:rPr>
          <w:rFonts w:ascii="Times New Roman" w:eastAsia="SimSun" w:hAnsi="Times New Roman"/>
          <w:sz w:val="24"/>
          <w:szCs w:val="24"/>
        </w:rPr>
        <w:t xml:space="preserve"> се поставя въз основа на характерната клиника и параклинични изследвания. </w:t>
      </w:r>
    </w:p>
    <w:p w14:paraId="74C17F50" w14:textId="77777777" w:rsidR="00BE0B19" w:rsidRPr="00AE47C6" w:rsidRDefault="00BE0B19" w:rsidP="00BE0B19">
      <w:pPr>
        <w:numPr>
          <w:ilvl w:val="0"/>
          <w:numId w:val="231"/>
        </w:numPr>
        <w:spacing w:after="0" w:line="360" w:lineRule="auto"/>
        <w:ind w:left="709" w:hanging="425"/>
        <w:contextualSpacing/>
        <w:jc w:val="both"/>
        <w:rPr>
          <w:rFonts w:ascii="Times New Roman" w:eastAsia="SimSun" w:hAnsi="Times New Roman"/>
          <w:sz w:val="24"/>
          <w:szCs w:val="24"/>
        </w:rPr>
      </w:pPr>
      <w:r w:rsidRPr="00AE47C6">
        <w:rPr>
          <w:rFonts w:ascii="Times New Roman" w:eastAsia="SimSun" w:hAnsi="Times New Roman"/>
          <w:sz w:val="24"/>
          <w:szCs w:val="24"/>
        </w:rPr>
        <w:t>Съществуват различни скали за оценка и проследяване на прогресията на мускулната слабост при пациентите с дистрофинопатии и ефекта от провежданата терапия</w:t>
      </w:r>
    </w:p>
    <w:p w14:paraId="3E3E25F6" w14:textId="77777777" w:rsidR="00BE0B19" w:rsidRPr="00AE47C6" w:rsidRDefault="00BE0B19" w:rsidP="00BE0B19">
      <w:pPr>
        <w:numPr>
          <w:ilvl w:val="0"/>
          <w:numId w:val="230"/>
        </w:numPr>
        <w:tabs>
          <w:tab w:val="left" w:pos="1418"/>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Medical Research Council (MRC) скала за мануално мускулно тестуване </w:t>
      </w:r>
    </w:p>
    <w:p w14:paraId="7143189E" w14:textId="77777777" w:rsidR="00BE0B19" w:rsidRPr="00AE47C6" w:rsidRDefault="00BE0B19" w:rsidP="00BE0B19">
      <w:pPr>
        <w:numPr>
          <w:ilvl w:val="0"/>
          <w:numId w:val="230"/>
        </w:numPr>
        <w:tabs>
          <w:tab w:val="left" w:pos="1418"/>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The North Star Ambulatory Assessment </w:t>
      </w:r>
    </w:p>
    <w:p w14:paraId="361465D4" w14:textId="77777777" w:rsidR="00BE0B19" w:rsidRPr="00AE47C6" w:rsidRDefault="00BE0B19" w:rsidP="00BE0B19">
      <w:pPr>
        <w:numPr>
          <w:ilvl w:val="0"/>
          <w:numId w:val="230"/>
        </w:numPr>
        <w:tabs>
          <w:tab w:val="left" w:pos="1418"/>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Тест за 6 минутно ходене (6-minute walk test)</w:t>
      </w:r>
    </w:p>
    <w:p w14:paraId="47933661" w14:textId="77777777" w:rsidR="00BE0B19" w:rsidRPr="00AE47C6" w:rsidRDefault="00BE0B19" w:rsidP="00BE0B19">
      <w:pPr>
        <w:numPr>
          <w:ilvl w:val="0"/>
          <w:numId w:val="230"/>
        </w:numPr>
        <w:tabs>
          <w:tab w:val="left" w:pos="1418"/>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Тест за 10-метрово ходене (10 meter walk test)</w:t>
      </w:r>
    </w:p>
    <w:p w14:paraId="759A0233" w14:textId="77777777" w:rsidR="00BE0B19" w:rsidRPr="00AE47C6" w:rsidRDefault="00BE0B19" w:rsidP="00BE0B19">
      <w:pPr>
        <w:numPr>
          <w:ilvl w:val="0"/>
          <w:numId w:val="231"/>
        </w:numPr>
        <w:spacing w:after="0" w:line="360" w:lineRule="auto"/>
        <w:ind w:left="709" w:hanging="425"/>
        <w:contextualSpacing/>
        <w:jc w:val="both"/>
        <w:rPr>
          <w:rFonts w:ascii="Times New Roman" w:eastAsia="SimSun" w:hAnsi="Times New Roman"/>
          <w:sz w:val="24"/>
          <w:szCs w:val="24"/>
        </w:rPr>
      </w:pPr>
      <w:r w:rsidRPr="00AE47C6">
        <w:rPr>
          <w:rFonts w:ascii="Times New Roman" w:eastAsia="SimSun" w:hAnsi="Times New Roman"/>
          <w:sz w:val="24"/>
          <w:szCs w:val="24"/>
        </w:rPr>
        <w:t>Биохимичните изследвания са с данни за повишени стойности на КФК, АСАТ, АЛАТ и ЛДХ. При пациентите с ПМД тип Duchenne, КФК се повишава най-малко 10 пъти над нормата (най-често между 25 и 200 пъти), а при ПМД тип Becker - най-малко 5 пъти.</w:t>
      </w:r>
    </w:p>
    <w:p w14:paraId="30534C00" w14:textId="77777777" w:rsidR="00BE0B19" w:rsidRPr="00AE47C6" w:rsidRDefault="00BE0B19" w:rsidP="00BE0B19">
      <w:pPr>
        <w:numPr>
          <w:ilvl w:val="0"/>
          <w:numId w:val="231"/>
        </w:numPr>
        <w:spacing w:after="0" w:line="360" w:lineRule="auto"/>
        <w:ind w:left="709" w:hanging="425"/>
        <w:contextualSpacing/>
        <w:jc w:val="both"/>
        <w:rPr>
          <w:rFonts w:ascii="Times New Roman" w:eastAsia="SimSun" w:hAnsi="Times New Roman"/>
          <w:sz w:val="24"/>
          <w:szCs w:val="24"/>
        </w:rPr>
      </w:pPr>
      <w:r w:rsidRPr="00AE47C6">
        <w:rPr>
          <w:rFonts w:ascii="Times New Roman" w:eastAsia="SimSun" w:hAnsi="Times New Roman"/>
          <w:sz w:val="24"/>
          <w:szCs w:val="24"/>
        </w:rPr>
        <w:t>Електромиографията (ЕМГ)</w:t>
      </w:r>
    </w:p>
    <w:p w14:paraId="06975E04" w14:textId="77777777" w:rsidR="00BE0B19" w:rsidRPr="00AE47C6" w:rsidRDefault="00BE0B19" w:rsidP="00BE0B19">
      <w:pPr>
        <w:numPr>
          <w:ilvl w:val="0"/>
          <w:numId w:val="231"/>
        </w:numPr>
        <w:spacing w:after="0" w:line="360" w:lineRule="auto"/>
        <w:ind w:left="709" w:hanging="425"/>
        <w:contextualSpacing/>
        <w:jc w:val="both"/>
        <w:rPr>
          <w:rFonts w:ascii="Times New Roman" w:eastAsia="SimSun" w:hAnsi="Times New Roman"/>
          <w:sz w:val="24"/>
          <w:szCs w:val="24"/>
        </w:rPr>
      </w:pPr>
      <w:r w:rsidRPr="00AE47C6">
        <w:rPr>
          <w:rFonts w:ascii="Times New Roman" w:eastAsia="SimSun" w:hAnsi="Times New Roman"/>
          <w:sz w:val="24"/>
          <w:szCs w:val="24"/>
        </w:rPr>
        <w:t>Мускулна биопсия - с вариабилност в размерите на мускулните влакна (атрофични и хипертрофични), некротични и регенериращи влакна, ендо- и перимизиална фиброза, както и хиалинизирани мускулни влакна. Имунохистохимичното изследване и Western blot показват липса на дистрофин при ПМД тип Duchenne и редуциран при тип Becker.</w:t>
      </w:r>
    </w:p>
    <w:p w14:paraId="77FE73E6" w14:textId="77777777" w:rsidR="00BE0B19" w:rsidRPr="00AE47C6" w:rsidRDefault="00BE0B19" w:rsidP="00BE0B19">
      <w:pPr>
        <w:numPr>
          <w:ilvl w:val="0"/>
          <w:numId w:val="231"/>
        </w:numPr>
        <w:spacing w:after="0" w:line="360" w:lineRule="auto"/>
        <w:ind w:left="709" w:hanging="425"/>
        <w:contextualSpacing/>
        <w:jc w:val="both"/>
        <w:rPr>
          <w:rFonts w:ascii="Times New Roman" w:eastAsia="SimSun" w:hAnsi="Times New Roman"/>
          <w:sz w:val="24"/>
          <w:szCs w:val="24"/>
        </w:rPr>
      </w:pPr>
      <w:r w:rsidRPr="00AE47C6">
        <w:rPr>
          <w:rFonts w:ascii="Times New Roman" w:eastAsia="SimSun" w:hAnsi="Times New Roman"/>
          <w:sz w:val="24"/>
          <w:szCs w:val="24"/>
        </w:rPr>
        <w:t>ЕКГ и ЕхоКГ се препоръчва да се провеждат веднъж годишно</w:t>
      </w:r>
    </w:p>
    <w:p w14:paraId="77B14473" w14:textId="77777777" w:rsidR="00BE0B19" w:rsidRPr="00AE47C6" w:rsidRDefault="00BE0B19" w:rsidP="00BE0B19">
      <w:pPr>
        <w:numPr>
          <w:ilvl w:val="0"/>
          <w:numId w:val="231"/>
        </w:numPr>
        <w:spacing w:after="0" w:line="360" w:lineRule="auto"/>
        <w:ind w:left="709" w:hanging="425"/>
        <w:contextualSpacing/>
        <w:jc w:val="both"/>
        <w:rPr>
          <w:rFonts w:ascii="Times New Roman" w:eastAsia="SimSun" w:hAnsi="Times New Roman"/>
          <w:sz w:val="24"/>
          <w:szCs w:val="24"/>
        </w:rPr>
      </w:pPr>
      <w:r w:rsidRPr="00AE47C6">
        <w:rPr>
          <w:rFonts w:ascii="Times New Roman" w:eastAsia="SimSun" w:hAnsi="Times New Roman"/>
          <w:sz w:val="24"/>
          <w:szCs w:val="24"/>
        </w:rPr>
        <w:t>Функционално изследване на дишането се провежда веднъж в годината</w:t>
      </w:r>
    </w:p>
    <w:p w14:paraId="669BE064" w14:textId="77777777" w:rsidR="00BE0B19" w:rsidRPr="00AE47C6" w:rsidRDefault="00BE0B19" w:rsidP="00BE0B19">
      <w:pPr>
        <w:numPr>
          <w:ilvl w:val="0"/>
          <w:numId w:val="231"/>
        </w:numPr>
        <w:spacing w:after="0" w:line="360" w:lineRule="auto"/>
        <w:ind w:left="709" w:hanging="425"/>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Генетично изследване на болните и техните майки и сестри </w:t>
      </w:r>
    </w:p>
    <w:p w14:paraId="04FC5CD6" w14:textId="77777777" w:rsidR="00BE0B19" w:rsidRPr="00AE47C6" w:rsidRDefault="00BE0B19" w:rsidP="00BE0B19">
      <w:pPr>
        <w:numPr>
          <w:ilvl w:val="0"/>
          <w:numId w:val="231"/>
        </w:numPr>
        <w:spacing w:after="0" w:line="360" w:lineRule="auto"/>
        <w:ind w:left="709" w:hanging="425"/>
        <w:contextualSpacing/>
        <w:jc w:val="both"/>
        <w:rPr>
          <w:rFonts w:ascii="Times New Roman" w:eastAsia="SimSun" w:hAnsi="Times New Roman"/>
          <w:sz w:val="24"/>
          <w:szCs w:val="24"/>
        </w:rPr>
      </w:pPr>
      <w:r w:rsidRPr="00AE47C6">
        <w:rPr>
          <w:rFonts w:ascii="Times New Roman" w:eastAsia="SimSun" w:hAnsi="Times New Roman"/>
          <w:sz w:val="24"/>
          <w:szCs w:val="24"/>
        </w:rPr>
        <w:t>MLPA (multiplex ligation-dependent probe amplification) за откриване на делеции и дупликации</w:t>
      </w:r>
    </w:p>
    <w:p w14:paraId="60821E8F" w14:textId="77777777" w:rsidR="00BE0B19" w:rsidRPr="00AE47C6" w:rsidRDefault="00BE0B19" w:rsidP="00BE0B19">
      <w:pPr>
        <w:numPr>
          <w:ilvl w:val="0"/>
          <w:numId w:val="231"/>
        </w:numPr>
        <w:spacing w:after="0" w:line="360" w:lineRule="auto"/>
        <w:ind w:left="709" w:hanging="425"/>
        <w:contextualSpacing/>
        <w:jc w:val="both"/>
        <w:rPr>
          <w:rFonts w:ascii="Times New Roman" w:eastAsia="SimSun" w:hAnsi="Times New Roman"/>
          <w:sz w:val="24"/>
          <w:szCs w:val="24"/>
        </w:rPr>
      </w:pPr>
      <w:r w:rsidRPr="00AE47C6">
        <w:rPr>
          <w:rFonts w:ascii="Times New Roman" w:eastAsia="SimSun" w:hAnsi="Times New Roman"/>
          <w:sz w:val="24"/>
          <w:szCs w:val="24"/>
        </w:rPr>
        <w:t>Секвениране на дистрофиновия ген за детекция на малки делеции, инсерции, точкови и сплайсинг мутации, на които се падат около 35% от мутациите при ПМД тип Duchenne</w:t>
      </w:r>
    </w:p>
    <w:p w14:paraId="7ADB433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w:t>
      </w:r>
    </w:p>
    <w:p w14:paraId="48AE8B11"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b/>
          <w:sz w:val="24"/>
          <w:szCs w:val="24"/>
        </w:rPr>
        <w:t xml:space="preserve">Лечение и грижи при пациентите с дистрофинопатии. </w:t>
      </w:r>
      <w:r w:rsidRPr="00AE47C6">
        <w:rPr>
          <w:rFonts w:ascii="Times New Roman" w:eastAsia="SimSun" w:hAnsi="Times New Roman"/>
          <w:sz w:val="24"/>
          <w:szCs w:val="24"/>
        </w:rPr>
        <w:t>Основните цели на комплексната терапия, осъществявана от мултидисциплинарен екип от специалисти, при тези пациенти са удължаването на периода на запазена самостоятелна походка, отсрочване на усложненията, като ставни контрактури, сколиоза, дихателна недостатъчност, кардиомиопатия, нарушен гастроинтестинален мотилитет.</w:t>
      </w:r>
    </w:p>
    <w:p w14:paraId="6B19EF34"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В настоящия момент основно приложение намира терапията с кортикостероиди, АСЕ-инхибитори, β-блокери, ортопедичната хирургия, дихателната рехабилитация и физиотерапията, чрез които се цели подобряване на качеството на живот на пациентите.</w:t>
      </w:r>
    </w:p>
    <w:p w14:paraId="5CFA8A89"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i/>
          <w:sz w:val="24"/>
          <w:szCs w:val="24"/>
        </w:rPr>
        <w:t xml:space="preserve">Аtaluren </w:t>
      </w:r>
      <w:r w:rsidRPr="00AE47C6">
        <w:rPr>
          <w:rFonts w:ascii="Times New Roman" w:eastAsia="SimSun" w:hAnsi="Times New Roman"/>
          <w:sz w:val="24"/>
          <w:szCs w:val="24"/>
        </w:rPr>
        <w:t xml:space="preserve">е малка молекула, медикамент за перорално приложение, одобрен от European Medicines Agency за лечение на пациенти с nonsense мутации на възраст 2 години и повече, способни да ходят. Той действа на ниво рибозоми, за да осигури игнорирането на стоп кодона и синтеза на пълноверижен протеин. </w:t>
      </w:r>
      <w:r w:rsidRPr="00AE47C6">
        <w:rPr>
          <w:rFonts w:ascii="Times New Roman" w:eastAsia="SimSun" w:hAnsi="Times New Roman"/>
          <w:i/>
          <w:sz w:val="24"/>
          <w:szCs w:val="24"/>
        </w:rPr>
        <w:t>Аtaluren</w:t>
      </w:r>
      <w:r w:rsidRPr="00AE47C6">
        <w:rPr>
          <w:rFonts w:ascii="Times New Roman" w:eastAsia="SimSun" w:hAnsi="Times New Roman"/>
          <w:sz w:val="24"/>
          <w:szCs w:val="24"/>
        </w:rPr>
        <w:t xml:space="preserve">, гранули за орално приложение 125 мг и 250 мг се прилага в доза 40 mg/kg телесно тегло /дневно разпределена трикратно (10mg/kg телесно тегло сутрин, 10mg/kg телесно тегло по обед и 20 mg/kg телесно тегло вечер. Ефектът от лечението се проследява чрез провеждане на мануално мускулно тестуване (MRC скала) и функционално изследване на дишането. Установено е, че продължаването на лечението и след загуба на самостоятелна походка води да забавяне на прогресията на слабостта на дихателната мускулатура. Пациенти с nmDMD, способни да ходят или загубилите способността си да ходят, показват сходен профил на безопасност. Няма очевидни разлики в относителната бионаличност в стационарно състояние и клирънса поради загуба на способността за ходене. Не се изисква корекция на дозата при пациенти, загубили способност за ходене. По време на терапията се </w:t>
      </w:r>
      <w:r w:rsidRPr="00AE47C6">
        <w:rPr>
          <w:rFonts w:ascii="Times New Roman" w:eastAsia="SimSun" w:hAnsi="Times New Roman"/>
          <w:color w:val="000000" w:themeColor="text1"/>
          <w:sz w:val="24"/>
          <w:szCs w:val="24"/>
        </w:rPr>
        <w:t xml:space="preserve">проследяват АН, бъбречните, чернодробните </w:t>
      </w:r>
      <w:r w:rsidRPr="00AE47C6">
        <w:rPr>
          <w:rFonts w:ascii="Times New Roman" w:eastAsia="SimSun" w:hAnsi="Times New Roman"/>
          <w:sz w:val="24"/>
          <w:szCs w:val="24"/>
        </w:rPr>
        <w:t>функции и липидния профил.</w:t>
      </w:r>
    </w:p>
    <w:p w14:paraId="12A1924C"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i/>
          <w:sz w:val="24"/>
          <w:szCs w:val="24"/>
        </w:rPr>
        <w:t>Кортикостероиди (КС)</w:t>
      </w:r>
      <w:r w:rsidRPr="00AE47C6">
        <w:rPr>
          <w:rFonts w:ascii="Times New Roman" w:eastAsia="SimSun" w:hAnsi="Times New Roman"/>
          <w:sz w:val="24"/>
          <w:szCs w:val="24"/>
        </w:rPr>
        <w:t xml:space="preserve">. Prednisolone и Deflazacort са златен стандарт в лечението на мускулната слабост при дистрофинопатиите. Рrednisolone/Рrednisone се дозира 0,75 mg/kg/ден с максимална доза до 30 mg/ден, а Deflazacort – 0,9 mg/kg/ден с максимална доза до 36 mg/ден. Ежедневното им приложение или използването на алтерниращи схеми временно подобрява или забавя прогресията на мускулната дистрофия (6 месеца до 2 години), стабилизира мускулната сила и функция, намалява честотата на усложненията като сколиоза, подобрява дихателната функция и намалява честотата на сърдечните усложнения. Механизмите на действие на КС на клетъчно ниво, които водят до забавяне на прогресията на заболяването, остават неясни. Съществуват различни теории, проучени при експериментални модели на мишки. Кортикостероидната терапия се започва в стадия на „плато” на двигателните функции между 4 и 8 г., когато не се установява нито прогрес, нито регрес на двигателните умения. Ежедневният прием е с доказано по-добър ефект от алтерниращия. Продължаване на лечението с дози 0,3-0,6 mg/kg/ден след загуба на самостоятелна походка се препоръчва с цел да се запази мускулната сила на горните крайници, забави развитието на сколиоза, дихателна и сърдечна недостатъчност. След започване на терапията пациентът се проследява на всеки 3-6 месеца, за да се отчете ефекта от лечението, както и нежелани лекарствени реакции (НЛР), което дава възможност за корекция на дозата. Продължителната кортикостероидна терапия има много НЛР като наддаване на тегло, артериална хипертония, застойна сърдечна недостатъчност, язвена болест, чернодробна стеатоза, панкреатит, ятрогенен хиперкортицизъм с центрипетално затлъстяване, facies lunata, акне, хирзуитизъм, стероиден диабет, дислипидемия, хипокалиемия, метаболитна алкалоза, остеопороза с компресионни фрактури, конвулсии, бенигнена интракраниална хипертензия, емоционална лабилност и психози, катаракта и имуносупресия с рецидивиращи инфекции. Препоръчва се на всеки 3 месеца при пациентите на кортикостероидна терапия да се оценява мускулната функция, да се проследява телесната маса, артериалното налагане, дихателните капацитети. При поява на НЛР може да се намали дозата или да се премине към алтерниращи схеми с 15 дни прием, 15 дни почивка. </w:t>
      </w:r>
    </w:p>
    <w:p w14:paraId="5B762FFF"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 xml:space="preserve">Пациентите с ПМД Duchenne са с по-ниска костна плътност, дори преди да загубят способността за самостоятелна походка. Хроничната кортикостероидна терапия допълнително намалява костната плътност, което налага прием на калций (1000 mg/ден) и витамин D (400 Е/ден). Бифосфонати се препоръчват при деца с фрактури. Преди да се започне кортикостероидната терапията е важно детето да е имунизирано според имунизационния календар на страната и да има имунитет срещу варицела и туберкулоза. </w:t>
      </w:r>
    </w:p>
    <w:p w14:paraId="601C20ED"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При пациенти с ПМД тип Becker ефектът на терапия с кортикостероиди не е проучен, поради по-бавната прогресия и по-късната инвалидизация.</w:t>
      </w:r>
    </w:p>
    <w:p w14:paraId="32281564"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i/>
          <w:sz w:val="24"/>
          <w:szCs w:val="24"/>
        </w:rPr>
        <w:t>Медикаментозна терапия на кардиомиопатията</w:t>
      </w:r>
      <w:r w:rsidRPr="00AE47C6">
        <w:rPr>
          <w:rFonts w:ascii="Times New Roman" w:eastAsia="SimSun" w:hAnsi="Times New Roman"/>
          <w:sz w:val="24"/>
          <w:szCs w:val="24"/>
        </w:rPr>
        <w:t>. Кардиомиопатията е често усложнение при пациентите с дистрофинопатии. По-късната й изява в сравнение със засягането на скелетните мускули се обуславя от намалената физическа активност при пациентите, вследствие загубата на способността за самостоятелна походка. Сърдечното засягане е непосредствена причина за смърт при около 10% от тези пациенти.</w:t>
      </w:r>
    </w:p>
    <w:p w14:paraId="46C9696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Препоръчваните медикаменти за терапия на кардиомиопатията при пациенти с дистрофинопатия са: АСЕ-инхибитори (ангиотензин конвертиращ ензим) или ангиотензин-рецепторни блокери, бримкови диуретици, spironolactone и в допълнение неселективни ß-блокери в по-напредналите стадии на сърдечно засягане. Тя се прилага за забавяне на прогресията на сърдечното засягане и за подобряване прогнозата на пациенти с безсимптомна левокамерна хипертрофия. АСЕ-инхибиторите са доказали своята ефективност в превенцията на ремоделирането на стената на лява камера, разрастване на фиброза и ограничаването на левокамерната хипертрофия, което намалява риска от камерни аритмии и внезапна сърдечна смърт и увеличава продължителността на живота при пациентите с дистрофинопатии. Те се препоръчват като медикаменти на първи избор при пациенти с намалена фракция на изтласкване без клинични прояви.</w:t>
      </w:r>
    </w:p>
    <w:p w14:paraId="37DC9617"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i/>
          <w:sz w:val="24"/>
          <w:szCs w:val="24"/>
        </w:rPr>
        <w:t>Физиотерапията</w:t>
      </w:r>
      <w:r w:rsidRPr="00AE47C6">
        <w:rPr>
          <w:rFonts w:ascii="Times New Roman" w:eastAsia="SimSun" w:hAnsi="Times New Roman"/>
          <w:sz w:val="24"/>
          <w:szCs w:val="24"/>
        </w:rPr>
        <w:t xml:space="preserve"> е важен елемент от комплексното лечение на дистрофинопатиите. Прилага се във всеки един момент от прогресията на заболяването както при подвижни, така и при загубили способността си да ходят пациенти. Основите й цели са да забави намалението на мускулната сила и маса, да поддържа дихателните обеми, да профилактира развитието на ставните контрактури и да подобри качеството на живот на болните. Физиотерапия следва да се започне непосредствено след поставянето на диагнозата. Първоначален приоритет е превенцията на възникването на асиметрични контрактури на ахилесовите сухожилия, коленните и тазобедрените стави, като по този начин се намалява риска от последваща сколиоза. Пасивните разтягания и използването на глезенни ортези са основен момент от лечението в етап, когато пациентите са все още подвижни. Глезенните ортези се поставят нощем, защото затрудняват ходенето през деня. Приложението на гореописаните методи на разтягане следва да се извършва 4-5 дни в седмицата. Момчетата следва да се стимулират да практикуват подходящи физически упражнения и хидротерапия. Използването на колянно-глезенни ортези може да удължи във времето способността за самостоятелно ходене и стоене прав. Не рядко тяхната употреба се предшества от тендоелонгации на ахилесовите сухожилия.</w:t>
      </w:r>
    </w:p>
    <w:p w14:paraId="2476C0C1"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i/>
          <w:sz w:val="24"/>
          <w:szCs w:val="24"/>
        </w:rPr>
        <w:t>Ортопедична хирургия</w:t>
      </w:r>
      <w:r w:rsidRPr="00AE47C6">
        <w:rPr>
          <w:rFonts w:ascii="Times New Roman" w:eastAsia="SimSun" w:hAnsi="Times New Roman"/>
          <w:sz w:val="24"/>
          <w:szCs w:val="24"/>
        </w:rPr>
        <w:t>. Около 90% от момчетата с дистрофинопатия развиват клинично значима сколиоза. Подходящата профилактика срещу гръбначните изкривявания при тези пациенти трябва да започне преди да са изгубили способността си да се движат и включва физиотерапевтични процедури и подходяща поза, избягваща тазовата асиметрия. Веднъж появила се, сколиозата може да бъде коригирана хирургично. С най-добър ефект са тези интервенции, извършени на етап, когато гръбначният стълб е все още подвижен и ъгълът на Cobb е 20-40</w:t>
      </w:r>
      <w:r w:rsidRPr="00AE47C6">
        <w:rPr>
          <w:rFonts w:ascii="Times New Roman" w:eastAsia="SimSun" w:hAnsi="Times New Roman"/>
          <w:sz w:val="24"/>
          <w:szCs w:val="24"/>
          <w:vertAlign w:val="superscript"/>
        </w:rPr>
        <w:t>0</w:t>
      </w:r>
      <w:r w:rsidRPr="00AE47C6">
        <w:rPr>
          <w:rFonts w:ascii="Times New Roman" w:eastAsia="SimSun" w:hAnsi="Times New Roman"/>
          <w:sz w:val="24"/>
          <w:szCs w:val="24"/>
        </w:rPr>
        <w:t>. В тези по-ранни стадии на заболяването дихателната и сърдечната функции на тези болни са достатъчно съхранени, за да може организмът им да понесе оперативна интервенция. При пациенти, контраиндицирани за операции се използват съответни стабилизиращи колани и корсети. Тендоелонгациите на Ахилесовите сухожилия също имат значение за удължаване във времето на способността на тези болни да ходят самостоятелно.</w:t>
      </w:r>
    </w:p>
    <w:p w14:paraId="7ACD8221"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i/>
          <w:sz w:val="24"/>
          <w:szCs w:val="24"/>
        </w:rPr>
        <w:t>Поддържане на дихателните функции</w:t>
      </w:r>
      <w:r w:rsidRPr="00AE47C6">
        <w:rPr>
          <w:rFonts w:ascii="Times New Roman" w:eastAsia="SimSun" w:hAnsi="Times New Roman"/>
          <w:sz w:val="24"/>
          <w:szCs w:val="24"/>
        </w:rPr>
        <w:t>. Честите дихателни инфекции и прогресиращата дихателна недостатъчност в по-напредналите стадии на ПМД тип Duchenne налагат периодично мониториране на дихателните функции чрез спирометрия и измерване на кръвните газове, както и съответна терапия. Обезпокояващи симптоми, налагащи терапия са: белези на нощна хиповентилация (нарушения в съня, дневна умора, нарушена концентрация), намален апетит, SO2&lt;92%, ФВК&lt;60% от очаквания, чести дихателни инфекции. В по-ранните стадии добър ефект имат дихателната гимнастика и постуралният дренаж. (Фигури 9.1, 9.2)</w:t>
      </w:r>
    </w:p>
    <w:p w14:paraId="390619E9"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Честите дихателни инфекции изискват използването на пневмококова ваксина и ежегодно приложение на противогрипна ваксина, както и адекватна антибиотична терапия за лечение. Изкуствената вентилация с позитивно налягане най-често започва да се прилага около 17-годишна възраст. Основна индикация за приложението на неинвазивна нощна вентилация (ННВ) е установяването на клинично изявена нощна хиповентилация. В напредналите стадии на заболяването при установена дневна хиперкапния неинвазивната вентилация се прилага и през деня. Приложението на ННВ води до подобрение на качеството на съня, намаляване на дневната сънливост, забавяне на прогресията на дихателната слабост и подобряване качеството на живот. Емпирично е установено, че нощната вентилация (неинвазивна или инвазивна чрез трахеостомия) води до дългосрочна стабилизация на дихателните функции, редукция на дихателните инфекции и увеличение на продължителността на живота. С напредване на заболяването периодите на изкуствена вентилация в рамките на денонощието се удължават.</w:t>
      </w:r>
    </w:p>
    <w:p w14:paraId="3A1CC51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Кислородотерапията трябва да се прилага изключително внимателно, защото въпреки привидното подобрение на хипоксемията, може да маскира подлежащата причина, като ателектаза или хиповентилация и да засили хиперкапнията. При хипоксемия, обусловена от хиповентилация се препоръчва възстановяване и подобряване на проходимостта на дихателните пътища чрез мануални или механични методи. Препоръчват се и методи за подобряване на откашлянето – мануално, чрез Амбу или апарати за cough assist.</w:t>
      </w:r>
      <w:r w:rsidRPr="00AE47C6">
        <w:rPr>
          <w:rFonts w:ascii="Times New Roman" w:eastAsia="SimSun" w:hAnsi="Times New Roman"/>
          <w:sz w:val="24"/>
          <w:szCs w:val="24"/>
        </w:rPr>
        <w:tab/>
      </w:r>
    </w:p>
    <w:p w14:paraId="7CC25EE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18656" behindDoc="0" locked="0" layoutInCell="1" allowOverlap="1" wp14:anchorId="7067E459" wp14:editId="5CB01088">
                <wp:simplePos x="0" y="0"/>
                <wp:positionH relativeFrom="column">
                  <wp:posOffset>4366896</wp:posOffset>
                </wp:positionH>
                <wp:positionV relativeFrom="paragraph">
                  <wp:posOffset>188595</wp:posOffset>
                </wp:positionV>
                <wp:extent cx="1276350" cy="323850"/>
                <wp:effectExtent l="0" t="0" r="0" b="0"/>
                <wp:wrapNone/>
                <wp:docPr id="158"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6CD010" w14:textId="77777777" w:rsidR="00471742" w:rsidRPr="00616B05" w:rsidRDefault="00471742" w:rsidP="00BE0B19">
                            <w:pPr>
                              <w:jc w:val="center"/>
                              <w:rPr>
                                <w:rFonts w:ascii="Arial" w:hAnsi="Arial" w:cs="Arial"/>
                                <w:b/>
                                <w:sz w:val="20"/>
                                <w:szCs w:val="20"/>
                              </w:rPr>
                            </w:pPr>
                            <w:r w:rsidRPr="00616B05">
                              <w:rPr>
                                <w:rFonts w:ascii="Arial" w:hAnsi="Arial" w:cs="Arial"/>
                                <w:b/>
                                <w:sz w:val="20"/>
                                <w:szCs w:val="20"/>
                              </w:rPr>
                              <w:t>Честота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7E459" id="Text Box 115" o:spid="_x0000_s1111" type="#_x0000_t202" style="position:absolute;left:0;text-align:left;margin-left:343.85pt;margin-top:14.85pt;width:100.5pt;height:2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" stroked="f">
                <v:textbox>
                  <w:txbxContent>
                    <w:p w14:paraId="006CD010" w14:textId="77777777" w:rsidR="00471742" w:rsidRPr="00616B05" w:rsidRDefault="00471742" w:rsidP="00BE0B19">
                      <w:pPr>
                        <w:jc w:val="center"/>
                        <w:rPr>
                          <w:rFonts w:ascii="Arial" w:hAnsi="Arial" w:cs="Arial"/>
                          <w:b/>
                          <w:sz w:val="20"/>
                          <w:szCs w:val="20"/>
                        </w:rPr>
                      </w:pPr>
                      <w:r w:rsidRPr="00616B05">
                        <w:rPr>
                          <w:rFonts w:ascii="Arial" w:hAnsi="Arial" w:cs="Arial"/>
                          <w:b/>
                          <w:sz w:val="20"/>
                          <w:szCs w:val="20"/>
                        </w:rPr>
                        <w:t>Честота</w:t>
                      </w:r>
                    </w:p>
                  </w:txbxContent>
                </v:textbox>
              </v:shape>
            </w:pict>
          </mc:Fallback>
        </mc:AlternateContent>
      </w:r>
      <w:r w:rsidRPr="00AE47C6">
        <w:rPr>
          <w:rFonts w:ascii="Times New Roman" w:eastAsia="SimSun" w:hAnsi="Times New Roman"/>
          <w:b/>
          <w:sz w:val="24"/>
          <w:szCs w:val="24"/>
        </w:rPr>
        <w:t>ПМД тип Duchenne</w:t>
      </w:r>
    </w:p>
    <w:p w14:paraId="47BF58F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39136" behindDoc="0" locked="0" layoutInCell="1" allowOverlap="1" wp14:anchorId="69772851" wp14:editId="1B528F62">
                <wp:simplePos x="0" y="0"/>
                <wp:positionH relativeFrom="column">
                  <wp:posOffset>4205605</wp:posOffset>
                </wp:positionH>
                <wp:positionV relativeFrom="paragraph">
                  <wp:posOffset>5043805</wp:posOffset>
                </wp:positionV>
                <wp:extent cx="1524000" cy="533400"/>
                <wp:effectExtent l="0" t="0" r="0" b="0"/>
                <wp:wrapNone/>
                <wp:docPr id="177"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53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769E7F" w14:textId="77777777" w:rsidR="00471742" w:rsidRPr="007A5D9C" w:rsidRDefault="00471742" w:rsidP="00BE0B19">
                            <w:pPr>
                              <w:jc w:val="center"/>
                              <w:rPr>
                                <w:rFonts w:ascii="Arial" w:hAnsi="Arial" w:cs="Arial"/>
                                <w:b/>
                                <w:sz w:val="20"/>
                                <w:szCs w:val="20"/>
                              </w:rPr>
                            </w:pPr>
                            <w:r w:rsidRPr="007A5D9C">
                              <w:rPr>
                                <w:rFonts w:ascii="Arial" w:hAnsi="Arial" w:cs="Arial"/>
                                <w:b/>
                                <w:sz w:val="20"/>
                                <w:szCs w:val="20"/>
                              </w:rPr>
                              <w:t>Веднъж в годината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72851" id="Text Box 136" o:spid="_x0000_s1112" type="#_x0000_t202" style="position:absolute;left:0;text-align:left;margin-left:331.15pt;margin-top:397.15pt;width:120pt;height:42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" stroked="f">
                <v:textbox>
                  <w:txbxContent>
                    <w:p w14:paraId="69769E7F" w14:textId="77777777" w:rsidR="00471742" w:rsidRPr="007A5D9C" w:rsidRDefault="00471742" w:rsidP="00BE0B19">
                      <w:pPr>
                        <w:jc w:val="center"/>
                        <w:rPr>
                          <w:rFonts w:ascii="Arial" w:hAnsi="Arial" w:cs="Arial"/>
                          <w:b/>
                          <w:sz w:val="20"/>
                          <w:szCs w:val="20"/>
                        </w:rPr>
                      </w:pPr>
                      <w:r w:rsidRPr="007A5D9C">
                        <w:rPr>
                          <w:rFonts w:ascii="Arial" w:hAnsi="Arial" w:cs="Arial"/>
                          <w:b/>
                          <w:sz w:val="20"/>
                          <w:szCs w:val="20"/>
                        </w:rPr>
                        <w:t>Веднъж в годината</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35040" behindDoc="0" locked="0" layoutInCell="1" allowOverlap="1" wp14:anchorId="495361EA" wp14:editId="1EE03A82">
                <wp:simplePos x="0" y="0"/>
                <wp:positionH relativeFrom="column">
                  <wp:posOffset>4335780</wp:posOffset>
                </wp:positionH>
                <wp:positionV relativeFrom="paragraph">
                  <wp:posOffset>2510155</wp:posOffset>
                </wp:positionV>
                <wp:extent cx="1390650" cy="971550"/>
                <wp:effectExtent l="0" t="0" r="0" b="0"/>
                <wp:wrapNone/>
                <wp:docPr id="174"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971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AB602F" w14:textId="77777777" w:rsidR="00471742" w:rsidRPr="00EC34B0" w:rsidRDefault="00471742" w:rsidP="00BE0B19">
                            <w:pPr>
                              <w:rPr>
                                <w:rFonts w:ascii="Arial" w:hAnsi="Arial" w:cs="Arial"/>
                                <w:sz w:val="20"/>
                                <w:szCs w:val="20"/>
                              </w:rPr>
                            </w:pPr>
                            <w:r w:rsidRPr="00EC34B0">
                              <w:rPr>
                                <w:rFonts w:ascii="Arial" w:hAnsi="Arial" w:cs="Arial"/>
                                <w:sz w:val="20"/>
                                <w:szCs w:val="20"/>
                              </w:rPr>
                              <w:t>Веднъж на 6 мес.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5361EA" id="Text Box 132" o:spid="_x0000_s1113" type="#_x0000_t202" style="position:absolute;left:0;text-align:left;margin-left:341.4pt;margin-top:197.65pt;width:109.5pt;height:76.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" stroked="f">
                <v:textbox>
                  <w:txbxContent>
                    <w:p w14:paraId="06AB602F" w14:textId="77777777" w:rsidR="00471742" w:rsidRPr="00EC34B0" w:rsidRDefault="00471742" w:rsidP="00BE0B19">
                      <w:pPr>
                        <w:rPr>
                          <w:rFonts w:ascii="Arial" w:hAnsi="Arial" w:cs="Arial"/>
                          <w:sz w:val="20"/>
                          <w:szCs w:val="20"/>
                        </w:rPr>
                      </w:pPr>
                      <w:r w:rsidRPr="00EC34B0">
                        <w:rPr>
                          <w:rFonts w:ascii="Arial" w:hAnsi="Arial" w:cs="Arial"/>
                          <w:sz w:val="20"/>
                          <w:szCs w:val="20"/>
                        </w:rPr>
                        <w:t>Веднъж на 6 мес.</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22752" behindDoc="0" locked="0" layoutInCell="1" allowOverlap="1" wp14:anchorId="1B31414E" wp14:editId="4BA30A07">
                <wp:simplePos x="0" y="0"/>
                <wp:positionH relativeFrom="column">
                  <wp:posOffset>4278630</wp:posOffset>
                </wp:positionH>
                <wp:positionV relativeFrom="paragraph">
                  <wp:posOffset>652780</wp:posOffset>
                </wp:positionV>
                <wp:extent cx="1447800" cy="466725"/>
                <wp:effectExtent l="0" t="0" r="0" b="0"/>
                <wp:wrapNone/>
                <wp:docPr id="161"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95952E" w14:textId="77777777" w:rsidR="00471742" w:rsidRPr="00EC34B0" w:rsidRDefault="00471742" w:rsidP="00BE0B19">
                            <w:pPr>
                              <w:jc w:val="center"/>
                              <w:rPr>
                                <w:rFonts w:ascii="Times New Roman" w:hAnsi="Times New Roman"/>
                                <w:b/>
                                <w:sz w:val="20"/>
                                <w:szCs w:val="20"/>
                              </w:rPr>
                            </w:pPr>
                            <w:r w:rsidRPr="00EC34B0">
                              <w:rPr>
                                <w:rFonts w:ascii="Times New Roman" w:hAnsi="Times New Roman"/>
                                <w:b/>
                                <w:sz w:val="20"/>
                                <w:szCs w:val="20"/>
                              </w:rPr>
                              <w:t>Веднъж в годината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31414E" id="Text Box 119" o:spid="_x0000_s1114" type="#_x0000_t202" style="position:absolute;left:0;text-align:left;margin-left:336.9pt;margin-top:51.4pt;width:114pt;height:36.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" stroked="f">
                <v:textbox>
                  <w:txbxContent>
                    <w:p w14:paraId="7795952E" w14:textId="77777777" w:rsidR="00471742" w:rsidRPr="00EC34B0" w:rsidRDefault="00471742" w:rsidP="00BE0B19">
                      <w:pPr>
                        <w:jc w:val="center"/>
                        <w:rPr>
                          <w:rFonts w:ascii="Times New Roman" w:hAnsi="Times New Roman"/>
                          <w:b/>
                          <w:sz w:val="20"/>
                          <w:szCs w:val="20"/>
                        </w:rPr>
                      </w:pPr>
                      <w:r w:rsidRPr="00EC34B0">
                        <w:rPr>
                          <w:rFonts w:ascii="Times New Roman" w:hAnsi="Times New Roman"/>
                          <w:b/>
                          <w:sz w:val="20"/>
                          <w:szCs w:val="20"/>
                        </w:rPr>
                        <w:t>Веднъж в годината</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38112" behindDoc="0" locked="0" layoutInCell="1" allowOverlap="1" wp14:anchorId="48C48D54" wp14:editId="376EA0BD">
                <wp:simplePos x="0" y="0"/>
                <wp:positionH relativeFrom="column">
                  <wp:posOffset>1919605</wp:posOffset>
                </wp:positionH>
                <wp:positionV relativeFrom="paragraph">
                  <wp:posOffset>5043805</wp:posOffset>
                </wp:positionV>
                <wp:extent cx="2038350" cy="476250"/>
                <wp:effectExtent l="0" t="0" r="0" b="0"/>
                <wp:wrapNone/>
                <wp:docPr id="178"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476250"/>
                        </a:xfrm>
                        <a:prstGeom prst="rect">
                          <a:avLst/>
                        </a:prstGeom>
                        <a:solidFill>
                          <a:srgbClr val="FFFFFF"/>
                        </a:solidFill>
                        <a:ln w="9525">
                          <a:solidFill>
                            <a:srgbClr val="000000"/>
                          </a:solidFill>
                          <a:miter lim="800000"/>
                          <a:headEnd/>
                          <a:tailEnd/>
                        </a:ln>
                      </wps:spPr>
                      <wps:txbx>
                        <w:txbxContent>
                          <w:p w14:paraId="4089090F" w14:textId="77777777" w:rsidR="00471742" w:rsidRPr="007A5D9C" w:rsidRDefault="00471742" w:rsidP="00BE0B19">
                            <w:pPr>
                              <w:rPr>
                                <w:rFonts w:ascii="Arial" w:hAnsi="Arial" w:cs="Arial"/>
                                <w:b/>
                                <w:sz w:val="20"/>
                                <w:szCs w:val="20"/>
                              </w:rPr>
                            </w:pPr>
                            <w:r w:rsidRPr="007A5D9C">
                              <w:rPr>
                                <w:rFonts w:ascii="Arial" w:hAnsi="Arial" w:cs="Arial"/>
                                <w:b/>
                                <w:sz w:val="20"/>
                                <w:szCs w:val="20"/>
                              </w:rPr>
                              <w:t>Капнография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48D54" id="Text Box 135" o:spid="_x0000_s1115" type="#_x0000_t202" style="position:absolute;left:0;text-align:left;margin-left:151.15pt;margin-top:397.15pt;width:160.5pt;height:3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">
                <v:textbox>
                  <w:txbxContent>
                    <w:p w14:paraId="4089090F" w14:textId="77777777" w:rsidR="00471742" w:rsidRPr="007A5D9C" w:rsidRDefault="00471742" w:rsidP="00BE0B19">
                      <w:pPr>
                        <w:rPr>
                          <w:rFonts w:ascii="Arial" w:hAnsi="Arial" w:cs="Arial"/>
                          <w:b/>
                          <w:sz w:val="20"/>
                          <w:szCs w:val="20"/>
                        </w:rPr>
                      </w:pPr>
                      <w:r w:rsidRPr="007A5D9C">
                        <w:rPr>
                          <w:rFonts w:ascii="Arial" w:hAnsi="Arial" w:cs="Arial"/>
                          <w:b/>
                          <w:sz w:val="20"/>
                          <w:szCs w:val="20"/>
                        </w:rPr>
                        <w:t>Капнография</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37088" behindDoc="0" locked="0" layoutInCell="1" allowOverlap="1" wp14:anchorId="2A19489B" wp14:editId="270322E6">
                <wp:simplePos x="0" y="0"/>
                <wp:positionH relativeFrom="column">
                  <wp:posOffset>1519555</wp:posOffset>
                </wp:positionH>
                <wp:positionV relativeFrom="paragraph">
                  <wp:posOffset>5262880</wp:posOffset>
                </wp:positionV>
                <wp:extent cx="400050" cy="9525"/>
                <wp:effectExtent l="0" t="76200" r="0" b="66675"/>
                <wp:wrapNone/>
                <wp:docPr id="176"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005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4EA47A" id="AutoShape 134" o:spid="_x0000_s1026" type="#_x0000_t32" style="position:absolute;margin-left:119.65pt;margin-top:414.4pt;width:31.5pt;height:.75pt;flip: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">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36064" behindDoc="0" locked="0" layoutInCell="1" allowOverlap="1" wp14:anchorId="3E5E9B0F" wp14:editId="4E6F6F8E">
                <wp:simplePos x="0" y="0"/>
                <wp:positionH relativeFrom="column">
                  <wp:posOffset>-90170</wp:posOffset>
                </wp:positionH>
                <wp:positionV relativeFrom="paragraph">
                  <wp:posOffset>4262755</wp:posOffset>
                </wp:positionV>
                <wp:extent cx="1609725" cy="2009775"/>
                <wp:effectExtent l="0" t="0" r="9525" b="9525"/>
                <wp:wrapNone/>
                <wp:docPr id="175"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2009775"/>
                        </a:xfrm>
                        <a:prstGeom prst="rect">
                          <a:avLst/>
                        </a:prstGeom>
                        <a:solidFill>
                          <a:srgbClr val="FFFFFF"/>
                        </a:solidFill>
                        <a:ln w="9525">
                          <a:solidFill>
                            <a:srgbClr val="000000"/>
                          </a:solidFill>
                          <a:miter lim="800000"/>
                          <a:headEnd/>
                          <a:tailEnd/>
                        </a:ln>
                      </wps:spPr>
                      <wps:txbx>
                        <w:txbxContent>
                          <w:p w14:paraId="642D6E52" w14:textId="77777777" w:rsidR="00471742" w:rsidRPr="007A5D9C" w:rsidRDefault="00471742" w:rsidP="00BE0B19">
                            <w:pPr>
                              <w:spacing w:after="0" w:line="240" w:lineRule="auto"/>
                              <w:rPr>
                                <w:rFonts w:ascii="Arial" w:hAnsi="Arial" w:cs="Arial"/>
                                <w:b/>
                                <w:sz w:val="20"/>
                                <w:szCs w:val="20"/>
                              </w:rPr>
                            </w:pPr>
                            <w:r w:rsidRPr="007A5D9C">
                              <w:rPr>
                                <w:rFonts w:ascii="Arial" w:hAnsi="Arial" w:cs="Arial"/>
                                <w:b/>
                                <w:sz w:val="20"/>
                                <w:szCs w:val="20"/>
                              </w:rPr>
                              <w:t>Пациенти с невъзможна самостоятелна походка с някои от следните:</w:t>
                            </w:r>
                          </w:p>
                          <w:p w14:paraId="3DEE32E1" w14:textId="77777777" w:rsidR="00471742" w:rsidRPr="007A5D9C" w:rsidRDefault="00471742" w:rsidP="00BE0B19">
                            <w:pPr>
                              <w:numPr>
                                <w:ilvl w:val="0"/>
                                <w:numId w:val="212"/>
                              </w:numPr>
                              <w:spacing w:after="0" w:line="240" w:lineRule="auto"/>
                              <w:rPr>
                                <w:rFonts w:ascii="Arial" w:hAnsi="Arial" w:cs="Arial"/>
                                <w:b/>
                                <w:sz w:val="20"/>
                                <w:szCs w:val="20"/>
                              </w:rPr>
                            </w:pPr>
                            <w:r w:rsidRPr="007A5D9C">
                              <w:rPr>
                                <w:rFonts w:ascii="Arial" w:hAnsi="Arial" w:cs="Arial"/>
                                <w:b/>
                                <w:sz w:val="20"/>
                                <w:szCs w:val="20"/>
                              </w:rPr>
                              <w:t>Съмнение за хиповентилация</w:t>
                            </w:r>
                          </w:p>
                          <w:p w14:paraId="7622BB93" w14:textId="77777777" w:rsidR="00471742" w:rsidRPr="007A5D9C" w:rsidRDefault="00471742" w:rsidP="00BE0B19">
                            <w:pPr>
                              <w:numPr>
                                <w:ilvl w:val="0"/>
                                <w:numId w:val="212"/>
                              </w:numPr>
                              <w:spacing w:after="0" w:line="240" w:lineRule="auto"/>
                              <w:rPr>
                                <w:rFonts w:ascii="Arial" w:hAnsi="Arial" w:cs="Arial"/>
                                <w:b/>
                                <w:sz w:val="20"/>
                                <w:szCs w:val="20"/>
                              </w:rPr>
                            </w:pPr>
                            <w:r w:rsidRPr="007A5D9C">
                              <w:rPr>
                                <w:rFonts w:ascii="Arial" w:hAnsi="Arial" w:cs="Arial"/>
                                <w:b/>
                                <w:sz w:val="20"/>
                                <w:szCs w:val="20"/>
                              </w:rPr>
                              <w:t xml:space="preserve">ФВК &lt;50% </w:t>
                            </w:r>
                            <w:r>
                              <w:rPr>
                                <w:rFonts w:ascii="Arial" w:hAnsi="Arial" w:cs="Arial"/>
                                <w:b/>
                                <w:sz w:val="20"/>
                                <w:szCs w:val="20"/>
                              </w:rPr>
                              <w:t>от нормата</w:t>
                            </w:r>
                          </w:p>
                          <w:p w14:paraId="2D82EE70" w14:textId="77777777" w:rsidR="00471742" w:rsidRPr="007A5D9C" w:rsidRDefault="00471742" w:rsidP="00BE0B19">
                            <w:pPr>
                              <w:numPr>
                                <w:ilvl w:val="0"/>
                                <w:numId w:val="212"/>
                              </w:numPr>
                              <w:spacing w:after="0" w:line="240" w:lineRule="auto"/>
                              <w:rPr>
                                <w:rFonts w:ascii="Arial" w:hAnsi="Arial" w:cs="Arial"/>
                                <w:b/>
                                <w:sz w:val="20"/>
                                <w:szCs w:val="20"/>
                              </w:rPr>
                            </w:pPr>
                            <w:r w:rsidRPr="007A5D9C">
                              <w:rPr>
                                <w:rFonts w:ascii="Arial" w:hAnsi="Arial" w:cs="Arial"/>
                                <w:b/>
                                <w:sz w:val="20"/>
                                <w:szCs w:val="20"/>
                              </w:rPr>
                              <w:t>Изпол</w:t>
                            </w:r>
                            <w:r>
                              <w:rPr>
                                <w:rFonts w:ascii="Arial" w:hAnsi="Arial" w:cs="Arial"/>
                                <w:b/>
                                <w:sz w:val="20"/>
                                <w:szCs w:val="20"/>
                              </w:rPr>
                              <w:t>з</w:t>
                            </w:r>
                            <w:r w:rsidRPr="007A5D9C">
                              <w:rPr>
                                <w:rFonts w:ascii="Arial" w:hAnsi="Arial" w:cs="Arial"/>
                                <w:b/>
                                <w:sz w:val="20"/>
                                <w:szCs w:val="20"/>
                              </w:rPr>
                              <w:t>ване на изкуствена вентилация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5E9B0F" id="Text Box 133" o:spid="_x0000_s1116" type="#_x0000_t202" style="position:absolute;left:0;text-align:left;margin-left:-7.1pt;margin-top:335.65pt;width:126.75pt;height:158.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">
                <v:textbox>
                  <w:txbxContent>
                    <w:p w14:paraId="642D6E52" w14:textId="77777777" w:rsidR="00471742" w:rsidRPr="007A5D9C" w:rsidRDefault="00471742" w:rsidP="00BE0B19">
                      <w:pPr>
                        <w:spacing w:after="0" w:line="240" w:lineRule="auto"/>
                        <w:rPr>
                          <w:rFonts w:ascii="Arial" w:hAnsi="Arial" w:cs="Arial"/>
                          <w:b/>
                          <w:sz w:val="20"/>
                          <w:szCs w:val="20"/>
                        </w:rPr>
                      </w:pPr>
                      <w:r w:rsidRPr="007A5D9C">
                        <w:rPr>
                          <w:rFonts w:ascii="Arial" w:hAnsi="Arial" w:cs="Arial"/>
                          <w:b/>
                          <w:sz w:val="20"/>
                          <w:szCs w:val="20"/>
                        </w:rPr>
                        <w:t>Пациенти с невъзможна самостоятелна походка с някои от следните:</w:t>
                      </w:r>
                    </w:p>
                    <w:p w14:paraId="3DEE32E1" w14:textId="77777777" w:rsidR="00471742" w:rsidRPr="007A5D9C" w:rsidRDefault="00471742" w:rsidP="00BE0B19">
                      <w:pPr>
                        <w:numPr>
                          <w:ilvl w:val="0"/>
                          <w:numId w:val="212"/>
                        </w:numPr>
                        <w:spacing w:after="0" w:line="240" w:lineRule="auto"/>
                        <w:rPr>
                          <w:rFonts w:ascii="Arial" w:hAnsi="Arial" w:cs="Arial"/>
                          <w:b/>
                          <w:sz w:val="20"/>
                          <w:szCs w:val="20"/>
                        </w:rPr>
                      </w:pPr>
                      <w:r w:rsidRPr="007A5D9C">
                        <w:rPr>
                          <w:rFonts w:ascii="Arial" w:hAnsi="Arial" w:cs="Arial"/>
                          <w:b/>
                          <w:sz w:val="20"/>
                          <w:szCs w:val="20"/>
                        </w:rPr>
                        <w:t>Съмнение за хиповентилация</w:t>
                      </w:r>
                    </w:p>
                    <w:p w14:paraId="7622BB93" w14:textId="77777777" w:rsidR="00471742" w:rsidRPr="007A5D9C" w:rsidRDefault="00471742" w:rsidP="00BE0B19">
                      <w:pPr>
                        <w:numPr>
                          <w:ilvl w:val="0"/>
                          <w:numId w:val="212"/>
                        </w:numPr>
                        <w:spacing w:after="0" w:line="240" w:lineRule="auto"/>
                        <w:rPr>
                          <w:rFonts w:ascii="Arial" w:hAnsi="Arial" w:cs="Arial"/>
                          <w:b/>
                          <w:sz w:val="20"/>
                          <w:szCs w:val="20"/>
                        </w:rPr>
                      </w:pPr>
                      <w:r w:rsidRPr="007A5D9C">
                        <w:rPr>
                          <w:rFonts w:ascii="Arial" w:hAnsi="Arial" w:cs="Arial"/>
                          <w:b/>
                          <w:sz w:val="20"/>
                          <w:szCs w:val="20"/>
                        </w:rPr>
                        <w:t xml:space="preserve">ФВК &lt;50% </w:t>
                      </w:r>
                      <w:r>
                        <w:rPr>
                          <w:rFonts w:ascii="Arial" w:hAnsi="Arial" w:cs="Arial"/>
                          <w:b/>
                          <w:sz w:val="20"/>
                          <w:szCs w:val="20"/>
                        </w:rPr>
                        <w:t>от нормата</w:t>
                      </w:r>
                    </w:p>
                    <w:p w14:paraId="2D82EE70" w14:textId="77777777" w:rsidR="00471742" w:rsidRPr="007A5D9C" w:rsidRDefault="00471742" w:rsidP="00BE0B19">
                      <w:pPr>
                        <w:numPr>
                          <w:ilvl w:val="0"/>
                          <w:numId w:val="212"/>
                        </w:numPr>
                        <w:spacing w:after="0" w:line="240" w:lineRule="auto"/>
                        <w:rPr>
                          <w:rFonts w:ascii="Arial" w:hAnsi="Arial" w:cs="Arial"/>
                          <w:b/>
                          <w:sz w:val="20"/>
                          <w:szCs w:val="20"/>
                        </w:rPr>
                      </w:pPr>
                      <w:r w:rsidRPr="007A5D9C">
                        <w:rPr>
                          <w:rFonts w:ascii="Arial" w:hAnsi="Arial" w:cs="Arial"/>
                          <w:b/>
                          <w:sz w:val="20"/>
                          <w:szCs w:val="20"/>
                        </w:rPr>
                        <w:t>Изпол</w:t>
                      </w:r>
                      <w:r>
                        <w:rPr>
                          <w:rFonts w:ascii="Arial" w:hAnsi="Arial" w:cs="Arial"/>
                          <w:b/>
                          <w:sz w:val="20"/>
                          <w:szCs w:val="20"/>
                        </w:rPr>
                        <w:t>з</w:t>
                      </w:r>
                      <w:r w:rsidRPr="007A5D9C">
                        <w:rPr>
                          <w:rFonts w:ascii="Arial" w:hAnsi="Arial" w:cs="Arial"/>
                          <w:b/>
                          <w:sz w:val="20"/>
                          <w:szCs w:val="20"/>
                        </w:rPr>
                        <w:t>ване на изкуствена вентилация</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34016" behindDoc="0" locked="0" layoutInCell="1" allowOverlap="1" wp14:anchorId="24178403" wp14:editId="3530305F">
                <wp:simplePos x="0" y="0"/>
                <wp:positionH relativeFrom="column">
                  <wp:posOffset>2338705</wp:posOffset>
                </wp:positionH>
                <wp:positionV relativeFrom="paragraph">
                  <wp:posOffset>3138805</wp:posOffset>
                </wp:positionV>
                <wp:extent cx="1562100" cy="809625"/>
                <wp:effectExtent l="0" t="0" r="0" b="9525"/>
                <wp:wrapNone/>
                <wp:docPr id="173"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809625"/>
                        </a:xfrm>
                        <a:prstGeom prst="rect">
                          <a:avLst/>
                        </a:prstGeom>
                        <a:solidFill>
                          <a:srgbClr val="FFFFFF"/>
                        </a:solidFill>
                        <a:ln w="9525">
                          <a:solidFill>
                            <a:srgbClr val="000000"/>
                          </a:solidFill>
                          <a:miter lim="800000"/>
                          <a:headEnd/>
                          <a:tailEnd/>
                        </a:ln>
                      </wps:spPr>
                      <wps:txbx>
                        <w:txbxContent>
                          <w:p w14:paraId="1302183B" w14:textId="77777777" w:rsidR="00471742" w:rsidRPr="00EC34B0" w:rsidRDefault="00471742" w:rsidP="00BE0B19">
                            <w:pPr>
                              <w:rPr>
                                <w:rFonts w:ascii="Times New Roman" w:hAnsi="Times New Roman"/>
                                <w:b/>
                                <w:sz w:val="20"/>
                                <w:szCs w:val="20"/>
                              </w:rPr>
                            </w:pPr>
                            <w:r w:rsidRPr="00EC34B0">
                              <w:rPr>
                                <w:rFonts w:ascii="Times New Roman" w:hAnsi="Times New Roman"/>
                                <w:b/>
                                <w:sz w:val="20"/>
                                <w:szCs w:val="20"/>
                              </w:rPr>
                              <w:t>Максимални инспираторни и експираторни налягания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178403" id="Text Box 131" o:spid="_x0000_s1117" type="#_x0000_t202" style="position:absolute;left:0;text-align:left;margin-left:184.15pt;margin-top:247.15pt;width:123pt;height:63.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">
                <v:textbox>
                  <w:txbxContent>
                    <w:p w14:paraId="1302183B" w14:textId="77777777" w:rsidR="00471742" w:rsidRPr="00EC34B0" w:rsidRDefault="00471742" w:rsidP="00BE0B19">
                      <w:pPr>
                        <w:rPr>
                          <w:rFonts w:ascii="Times New Roman" w:hAnsi="Times New Roman"/>
                          <w:b/>
                          <w:sz w:val="20"/>
                          <w:szCs w:val="20"/>
                        </w:rPr>
                      </w:pPr>
                      <w:r w:rsidRPr="00EC34B0">
                        <w:rPr>
                          <w:rFonts w:ascii="Times New Roman" w:hAnsi="Times New Roman"/>
                          <w:b/>
                          <w:sz w:val="20"/>
                          <w:szCs w:val="20"/>
                        </w:rPr>
                        <w:t>Максимални инспираторни и експираторни налягания</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32992" behindDoc="0" locked="0" layoutInCell="1" allowOverlap="1" wp14:anchorId="14BC78B7" wp14:editId="1D6FD3E8">
                <wp:simplePos x="0" y="0"/>
                <wp:positionH relativeFrom="column">
                  <wp:posOffset>2338705</wp:posOffset>
                </wp:positionH>
                <wp:positionV relativeFrom="paragraph">
                  <wp:posOffset>2081530</wp:posOffset>
                </wp:positionV>
                <wp:extent cx="1562100" cy="419100"/>
                <wp:effectExtent l="0" t="0" r="0" b="0"/>
                <wp:wrapNone/>
                <wp:docPr id="172"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419100"/>
                        </a:xfrm>
                        <a:prstGeom prst="rect">
                          <a:avLst/>
                        </a:prstGeom>
                        <a:solidFill>
                          <a:srgbClr val="FFFFFF"/>
                        </a:solidFill>
                        <a:ln w="9525">
                          <a:solidFill>
                            <a:srgbClr val="000000"/>
                          </a:solidFill>
                          <a:miter lim="800000"/>
                          <a:headEnd/>
                          <a:tailEnd/>
                        </a:ln>
                      </wps:spPr>
                      <wps:txbx>
                        <w:txbxContent>
                          <w:p w14:paraId="5268453B" w14:textId="77777777" w:rsidR="00471742" w:rsidRPr="00EC34B0" w:rsidRDefault="00471742" w:rsidP="00BE0B19">
                            <w:pPr>
                              <w:rPr>
                                <w:rFonts w:ascii="Times New Roman" w:hAnsi="Times New Roman"/>
                                <w:b/>
                              </w:rPr>
                            </w:pPr>
                            <w:r w:rsidRPr="00EC34B0">
                              <w:rPr>
                                <w:rFonts w:ascii="Times New Roman" w:hAnsi="Times New Roman"/>
                                <w:b/>
                                <w:sz w:val="20"/>
                                <w:szCs w:val="20"/>
                              </w:rPr>
                              <w:t>ФВК в седнало</w:t>
                            </w:r>
                            <w:r w:rsidRPr="00EC34B0">
                              <w:rPr>
                                <w:rFonts w:ascii="Times New Roman" w:hAnsi="Times New Roman"/>
                                <w:b/>
                              </w:rPr>
                              <w:t xml:space="preserve"> положение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BC78B7" id="Text Box 130" o:spid="_x0000_s1118" type="#_x0000_t202" style="position:absolute;left:0;text-align:left;margin-left:184.15pt;margin-top:163.9pt;width:123pt;height:3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">
                <v:textbox>
                  <w:txbxContent>
                    <w:p w14:paraId="5268453B" w14:textId="77777777" w:rsidR="00471742" w:rsidRPr="00EC34B0" w:rsidRDefault="00471742" w:rsidP="00BE0B19">
                      <w:pPr>
                        <w:rPr>
                          <w:rFonts w:ascii="Times New Roman" w:hAnsi="Times New Roman"/>
                          <w:b/>
                        </w:rPr>
                      </w:pPr>
                      <w:r w:rsidRPr="00EC34B0">
                        <w:rPr>
                          <w:rFonts w:ascii="Times New Roman" w:hAnsi="Times New Roman"/>
                          <w:b/>
                          <w:sz w:val="20"/>
                          <w:szCs w:val="20"/>
                        </w:rPr>
                        <w:t>ФВК в седнало</w:t>
                      </w:r>
                      <w:r w:rsidRPr="00EC34B0">
                        <w:rPr>
                          <w:rFonts w:ascii="Times New Roman" w:hAnsi="Times New Roman"/>
                          <w:b/>
                        </w:rPr>
                        <w:t xml:space="preserve"> положение</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31968" behindDoc="0" locked="0" layoutInCell="1" allowOverlap="1" wp14:anchorId="6621336F" wp14:editId="22BF2675">
                <wp:simplePos x="0" y="0"/>
                <wp:positionH relativeFrom="column">
                  <wp:posOffset>2329180</wp:posOffset>
                </wp:positionH>
                <wp:positionV relativeFrom="paragraph">
                  <wp:posOffset>2729230</wp:posOffset>
                </wp:positionV>
                <wp:extent cx="1571625" cy="276225"/>
                <wp:effectExtent l="0" t="0" r="9525" b="9525"/>
                <wp:wrapNone/>
                <wp:docPr id="171"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276225"/>
                        </a:xfrm>
                        <a:prstGeom prst="rect">
                          <a:avLst/>
                        </a:prstGeom>
                        <a:solidFill>
                          <a:srgbClr val="FFFFFF"/>
                        </a:solidFill>
                        <a:ln w="9525">
                          <a:solidFill>
                            <a:srgbClr val="000000"/>
                          </a:solidFill>
                          <a:miter lim="800000"/>
                          <a:headEnd/>
                          <a:tailEnd/>
                        </a:ln>
                      </wps:spPr>
                      <wps:txbx>
                        <w:txbxContent>
                          <w:p w14:paraId="0534D250" w14:textId="77777777" w:rsidR="00471742" w:rsidRPr="00EC34B0" w:rsidRDefault="00471742" w:rsidP="00BE0B19">
                            <w:pPr>
                              <w:spacing w:after="0" w:line="240" w:lineRule="auto"/>
                              <w:rPr>
                                <w:rFonts w:ascii="Times New Roman" w:hAnsi="Times New Roman"/>
                                <w:b/>
                                <w:sz w:val="20"/>
                                <w:szCs w:val="20"/>
                                <w:lang w:eastAsia="bg-BG"/>
                              </w:rPr>
                            </w:pPr>
                            <w:r w:rsidRPr="00EC34B0">
                              <w:rPr>
                                <w:rFonts w:ascii="Times New Roman" w:hAnsi="Times New Roman"/>
                                <w:b/>
                                <w:sz w:val="20"/>
                                <w:szCs w:val="20"/>
                                <w:lang w:eastAsia="bg-BG"/>
                              </w:rPr>
                              <w:t>Peak cough flow</w:t>
                            </w:r>
                          </w:p>
                          <w:p w14:paraId="5674ED6D" w14:textId="77777777" w:rsidR="00471742" w:rsidRDefault="00471742" w:rsidP="00BE0B1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21336F" id="Text Box 129" o:spid="_x0000_s1119" type="#_x0000_t202" style="position:absolute;left:0;text-align:left;margin-left:183.4pt;margin-top:214.9pt;width:123.75pt;height:21.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">
                <v:textbox>
                  <w:txbxContent>
                    <w:p w14:paraId="0534D250" w14:textId="77777777" w:rsidR="00471742" w:rsidRPr="00EC34B0" w:rsidRDefault="00471742" w:rsidP="00BE0B19">
                      <w:pPr>
                        <w:spacing w:after="0" w:line="240" w:lineRule="auto"/>
                        <w:rPr>
                          <w:rFonts w:ascii="Times New Roman" w:hAnsi="Times New Roman"/>
                          <w:b/>
                          <w:sz w:val="20"/>
                          <w:szCs w:val="20"/>
                          <w:lang w:eastAsia="bg-BG"/>
                        </w:rPr>
                      </w:pPr>
                      <w:r w:rsidRPr="00EC34B0">
                        <w:rPr>
                          <w:rFonts w:ascii="Times New Roman" w:hAnsi="Times New Roman"/>
                          <w:b/>
                          <w:sz w:val="20"/>
                          <w:szCs w:val="20"/>
                          <w:lang w:eastAsia="bg-BG"/>
                        </w:rPr>
                        <w:t>Peak cough flow</w:t>
                      </w:r>
                    </w:p>
                    <w:p w14:paraId="5674ED6D" w14:textId="77777777" w:rsidR="00471742" w:rsidRDefault="00471742" w:rsidP="00BE0B19"/>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30944" behindDoc="0" locked="0" layoutInCell="1" allowOverlap="1" wp14:anchorId="1A331705" wp14:editId="3506DD5B">
                <wp:simplePos x="0" y="0"/>
                <wp:positionH relativeFrom="column">
                  <wp:posOffset>2329180</wp:posOffset>
                </wp:positionH>
                <wp:positionV relativeFrom="paragraph">
                  <wp:posOffset>1652905</wp:posOffset>
                </wp:positionV>
                <wp:extent cx="1571625" cy="276225"/>
                <wp:effectExtent l="0" t="0" r="9525" b="9525"/>
                <wp:wrapNone/>
                <wp:docPr id="170"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276225"/>
                        </a:xfrm>
                        <a:prstGeom prst="rect">
                          <a:avLst/>
                        </a:prstGeom>
                        <a:solidFill>
                          <a:srgbClr val="FFFFFF"/>
                        </a:solidFill>
                        <a:ln w="9525">
                          <a:solidFill>
                            <a:srgbClr val="000000"/>
                          </a:solidFill>
                          <a:miter lim="800000"/>
                          <a:headEnd/>
                          <a:tailEnd/>
                        </a:ln>
                      </wps:spPr>
                      <wps:txbx>
                        <w:txbxContent>
                          <w:p w14:paraId="5EC5486F" w14:textId="77777777" w:rsidR="00471742" w:rsidRPr="00EC34B0" w:rsidRDefault="00471742" w:rsidP="00BE0B19">
                            <w:pPr>
                              <w:rPr>
                                <w:rFonts w:ascii="Times New Roman" w:hAnsi="Times New Roman"/>
                                <w:b/>
                                <w:sz w:val="20"/>
                                <w:szCs w:val="20"/>
                              </w:rPr>
                            </w:pPr>
                            <w:r w:rsidRPr="00EC34B0">
                              <w:rPr>
                                <w:rFonts w:ascii="Times New Roman" w:hAnsi="Times New Roman"/>
                                <w:b/>
                                <w:sz w:val="20"/>
                                <w:szCs w:val="20"/>
                              </w:rPr>
                              <w:t>Кръвно-газов анализ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31705" id="Text Box 128" o:spid="_x0000_s1120" type="#_x0000_t202" style="position:absolute;left:0;text-align:left;margin-left:183.4pt;margin-top:130.15pt;width:123.75pt;height:21.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">
                <v:textbox>
                  <w:txbxContent>
                    <w:p w14:paraId="5EC5486F" w14:textId="77777777" w:rsidR="00471742" w:rsidRPr="00EC34B0" w:rsidRDefault="00471742" w:rsidP="00BE0B19">
                      <w:pPr>
                        <w:rPr>
                          <w:rFonts w:ascii="Times New Roman" w:hAnsi="Times New Roman"/>
                          <w:b/>
                          <w:sz w:val="20"/>
                          <w:szCs w:val="20"/>
                        </w:rPr>
                      </w:pPr>
                      <w:r w:rsidRPr="00EC34B0">
                        <w:rPr>
                          <w:rFonts w:ascii="Times New Roman" w:hAnsi="Times New Roman"/>
                          <w:b/>
                          <w:sz w:val="20"/>
                          <w:szCs w:val="20"/>
                        </w:rPr>
                        <w:t>Кръвно-газов анализ</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4294967293" distB="4294967293" distL="114300" distR="114300" simplePos="0" relativeHeight="251728896" behindDoc="0" locked="0" layoutInCell="1" allowOverlap="1" wp14:anchorId="6366AAEC" wp14:editId="74B808C8">
                <wp:simplePos x="0" y="0"/>
                <wp:positionH relativeFrom="column">
                  <wp:posOffset>1919605</wp:posOffset>
                </wp:positionH>
                <wp:positionV relativeFrom="paragraph">
                  <wp:posOffset>2824479</wp:posOffset>
                </wp:positionV>
                <wp:extent cx="419100" cy="0"/>
                <wp:effectExtent l="0" t="76200" r="0" b="76200"/>
                <wp:wrapNone/>
                <wp:docPr id="169"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85EC14" id="AutoShape 126" o:spid="_x0000_s1026" type="#_x0000_t32" style="position:absolute;margin-left:151.15pt;margin-top:222.4pt;width:33pt;height:0;z-index:2517288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">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4294967293" distB="4294967293" distL="114300" distR="114300" simplePos="0" relativeHeight="251727872" behindDoc="0" locked="0" layoutInCell="1" allowOverlap="1" wp14:anchorId="5335D3D2" wp14:editId="530C002C">
                <wp:simplePos x="0" y="0"/>
                <wp:positionH relativeFrom="column">
                  <wp:posOffset>1919605</wp:posOffset>
                </wp:positionH>
                <wp:positionV relativeFrom="paragraph">
                  <wp:posOffset>2300604</wp:posOffset>
                </wp:positionV>
                <wp:extent cx="419100" cy="0"/>
                <wp:effectExtent l="0" t="76200" r="0" b="76200"/>
                <wp:wrapNone/>
                <wp:docPr id="168"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927E82" id="AutoShape 125" o:spid="_x0000_s1026" type="#_x0000_t32" style="position:absolute;margin-left:151.15pt;margin-top:181.15pt;width:33pt;height:0;z-index:2517278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">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4294967293" distB="4294967293" distL="114300" distR="114300" simplePos="0" relativeHeight="251729920" behindDoc="0" locked="0" layoutInCell="1" allowOverlap="1" wp14:anchorId="0E6F6C82" wp14:editId="63A26681">
                <wp:simplePos x="0" y="0"/>
                <wp:positionH relativeFrom="column">
                  <wp:posOffset>1919605</wp:posOffset>
                </wp:positionH>
                <wp:positionV relativeFrom="paragraph">
                  <wp:posOffset>3319779</wp:posOffset>
                </wp:positionV>
                <wp:extent cx="419100" cy="0"/>
                <wp:effectExtent l="0" t="76200" r="0" b="76200"/>
                <wp:wrapNone/>
                <wp:docPr id="167"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A670A7" id="AutoShape 127" o:spid="_x0000_s1026" type="#_x0000_t32" style="position:absolute;margin-left:151.15pt;margin-top:261.4pt;width:33pt;height:0;z-index:25172992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og5NQIAAGA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">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297" distR="114297" simplePos="0" relativeHeight="251725824" behindDoc="0" locked="0" layoutInCell="1" allowOverlap="1" wp14:anchorId="6843544D" wp14:editId="7A060E52">
                <wp:simplePos x="0" y="0"/>
                <wp:positionH relativeFrom="column">
                  <wp:posOffset>1919604</wp:posOffset>
                </wp:positionH>
                <wp:positionV relativeFrom="paragraph">
                  <wp:posOffset>1824355</wp:posOffset>
                </wp:positionV>
                <wp:extent cx="0" cy="1495425"/>
                <wp:effectExtent l="0" t="0" r="0" b="9525"/>
                <wp:wrapNone/>
                <wp:docPr id="166" name="AutoShap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95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E7CCD1" id="AutoShape 123" o:spid="_x0000_s1026" type="#_x0000_t32" style="position:absolute;margin-left:151.15pt;margin-top:143.65pt;width:0;height:117.75pt;z-index:2517258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NVjHwIAAD8EAAAOAAAAZHJzL2Uyb0RvYy54bWysU8GO2yAQvVfqPyDuie2sky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"/>
            </w:pict>
          </mc:Fallback>
        </mc:AlternateContent>
      </w:r>
      <w:r w:rsidRPr="00AE47C6">
        <w:rPr>
          <w:rFonts w:ascii="Times New Roman" w:eastAsia="SimSun" w:hAnsi="Times New Roman"/>
          <w:noProof/>
          <w:sz w:val="24"/>
          <w:szCs w:val="24"/>
          <w:lang w:eastAsia="bg-BG"/>
        </w:rPr>
        <mc:AlternateContent>
          <mc:Choice Requires="wps">
            <w:drawing>
              <wp:anchor distT="4294967293" distB="4294967293" distL="114300" distR="114300" simplePos="0" relativeHeight="251726848" behindDoc="0" locked="0" layoutInCell="1" allowOverlap="1" wp14:anchorId="556065C3" wp14:editId="6E2CBAFC">
                <wp:simplePos x="0" y="0"/>
                <wp:positionH relativeFrom="column">
                  <wp:posOffset>1919605</wp:posOffset>
                </wp:positionH>
                <wp:positionV relativeFrom="paragraph">
                  <wp:posOffset>1824354</wp:posOffset>
                </wp:positionV>
                <wp:extent cx="419100" cy="0"/>
                <wp:effectExtent l="0" t="76200" r="0" b="76200"/>
                <wp:wrapNone/>
                <wp:docPr id="165" name="AutoShap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16F601" id="AutoShape 124" o:spid="_x0000_s1026" type="#_x0000_t32" style="position:absolute;margin-left:151.15pt;margin-top:143.65pt;width:33pt;height:0;z-index:2517268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">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4294967293" distB="4294967293" distL="114300" distR="114300" simplePos="0" relativeHeight="251724800" behindDoc="0" locked="0" layoutInCell="1" allowOverlap="1" wp14:anchorId="450E4AE2" wp14:editId="505BAB53">
                <wp:simplePos x="0" y="0"/>
                <wp:positionH relativeFrom="column">
                  <wp:posOffset>1576705</wp:posOffset>
                </wp:positionH>
                <wp:positionV relativeFrom="paragraph">
                  <wp:posOffset>2586354</wp:posOffset>
                </wp:positionV>
                <wp:extent cx="342900" cy="0"/>
                <wp:effectExtent l="0" t="0" r="0" b="0"/>
                <wp:wrapNone/>
                <wp:docPr id="164"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709B19" id="AutoShape 122" o:spid="_x0000_s1026" type="#_x0000_t32" style="position:absolute;margin-left:124.15pt;margin-top:203.65pt;width:27pt;height:0;z-index:2517248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DnLIAIAAD4EAAAOAAAAZHJzL2Uyb0RvYy54bWysU9uO2jAQfa/Uf7D8Drlso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"/>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23776" behindDoc="0" locked="0" layoutInCell="1" allowOverlap="1" wp14:anchorId="67C86638" wp14:editId="0E064EBC">
                <wp:simplePos x="0" y="0"/>
                <wp:positionH relativeFrom="column">
                  <wp:posOffset>-23495</wp:posOffset>
                </wp:positionH>
                <wp:positionV relativeFrom="paragraph">
                  <wp:posOffset>2243455</wp:posOffset>
                </wp:positionV>
                <wp:extent cx="1600200" cy="657225"/>
                <wp:effectExtent l="0" t="0" r="0" b="9525"/>
                <wp:wrapNone/>
                <wp:docPr id="163"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657225"/>
                        </a:xfrm>
                        <a:prstGeom prst="rect">
                          <a:avLst/>
                        </a:prstGeom>
                        <a:solidFill>
                          <a:srgbClr val="FFFFFF"/>
                        </a:solidFill>
                        <a:ln w="9525">
                          <a:solidFill>
                            <a:srgbClr val="000000"/>
                          </a:solidFill>
                          <a:miter lim="800000"/>
                          <a:headEnd/>
                          <a:tailEnd/>
                        </a:ln>
                      </wps:spPr>
                      <wps:txbx>
                        <w:txbxContent>
                          <w:p w14:paraId="5178C25C" w14:textId="77777777" w:rsidR="00471742" w:rsidRPr="00EC34B0" w:rsidRDefault="00471742" w:rsidP="00BE0B19">
                            <w:pPr>
                              <w:rPr>
                                <w:rFonts w:ascii="Times New Roman" w:hAnsi="Times New Roman"/>
                                <w:b/>
                                <w:sz w:val="20"/>
                                <w:szCs w:val="20"/>
                              </w:rPr>
                            </w:pPr>
                            <w:r w:rsidRPr="00EC34B0">
                              <w:rPr>
                                <w:rFonts w:ascii="Times New Roman" w:hAnsi="Times New Roman"/>
                                <w:b/>
                                <w:sz w:val="20"/>
                                <w:szCs w:val="20"/>
                              </w:rPr>
                              <w:t>Невъзможна самостоятелна походка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C86638" id="Text Box 120" o:spid="_x0000_s1121" type="#_x0000_t202" style="position:absolute;left:0;text-align:left;margin-left:-1.85pt;margin-top:176.65pt;width:126pt;height:51.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">
                <v:textbox>
                  <w:txbxContent>
                    <w:p w14:paraId="5178C25C" w14:textId="77777777" w:rsidR="00471742" w:rsidRPr="00EC34B0" w:rsidRDefault="00471742" w:rsidP="00BE0B19">
                      <w:pPr>
                        <w:rPr>
                          <w:rFonts w:ascii="Times New Roman" w:hAnsi="Times New Roman"/>
                          <w:b/>
                          <w:sz w:val="20"/>
                          <w:szCs w:val="20"/>
                        </w:rPr>
                      </w:pPr>
                      <w:r w:rsidRPr="00EC34B0">
                        <w:rPr>
                          <w:rFonts w:ascii="Times New Roman" w:hAnsi="Times New Roman"/>
                          <w:b/>
                          <w:sz w:val="20"/>
                          <w:szCs w:val="20"/>
                        </w:rPr>
                        <w:t>Невъзможна самостоятелна походка</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21728" behindDoc="0" locked="0" layoutInCell="1" allowOverlap="1" wp14:anchorId="2307345A" wp14:editId="6670210F">
                <wp:simplePos x="0" y="0"/>
                <wp:positionH relativeFrom="column">
                  <wp:posOffset>2024380</wp:posOffset>
                </wp:positionH>
                <wp:positionV relativeFrom="paragraph">
                  <wp:posOffset>500380</wp:posOffset>
                </wp:positionV>
                <wp:extent cx="1876425" cy="666750"/>
                <wp:effectExtent l="0" t="0" r="9525" b="0"/>
                <wp:wrapNone/>
                <wp:docPr id="162"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666750"/>
                        </a:xfrm>
                        <a:prstGeom prst="rect">
                          <a:avLst/>
                        </a:prstGeom>
                        <a:solidFill>
                          <a:srgbClr val="FFFFFF"/>
                        </a:solidFill>
                        <a:ln w="9525">
                          <a:solidFill>
                            <a:srgbClr val="000000"/>
                          </a:solidFill>
                          <a:miter lim="800000"/>
                          <a:headEnd/>
                          <a:tailEnd/>
                        </a:ln>
                      </wps:spPr>
                      <wps:txbx>
                        <w:txbxContent>
                          <w:p w14:paraId="20C51CD0" w14:textId="77777777" w:rsidR="00471742" w:rsidRPr="00EC34B0" w:rsidRDefault="00471742" w:rsidP="00BE0B19">
                            <w:pPr>
                              <w:rPr>
                                <w:rFonts w:ascii="Times New Roman" w:hAnsi="Times New Roman"/>
                                <w:b/>
                                <w:sz w:val="20"/>
                                <w:szCs w:val="20"/>
                              </w:rPr>
                            </w:pPr>
                            <w:r w:rsidRPr="00EC34B0">
                              <w:rPr>
                                <w:rFonts w:ascii="Times New Roman" w:hAnsi="Times New Roman"/>
                                <w:b/>
                                <w:sz w:val="20"/>
                                <w:szCs w:val="20"/>
                              </w:rPr>
                              <w:t>Изследване на ФВК в седнало положение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7345A" id="Text Box 118" o:spid="_x0000_s1122" type="#_x0000_t202" style="position:absolute;left:0;text-align:left;margin-left:159.4pt;margin-top:39.4pt;width:147.75pt;height:5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">
                <v:textbox>
                  <w:txbxContent>
                    <w:p w14:paraId="20C51CD0" w14:textId="77777777" w:rsidR="00471742" w:rsidRPr="00EC34B0" w:rsidRDefault="00471742" w:rsidP="00BE0B19">
                      <w:pPr>
                        <w:rPr>
                          <w:rFonts w:ascii="Times New Roman" w:hAnsi="Times New Roman"/>
                          <w:b/>
                          <w:sz w:val="20"/>
                          <w:szCs w:val="20"/>
                        </w:rPr>
                      </w:pPr>
                      <w:r w:rsidRPr="00EC34B0">
                        <w:rPr>
                          <w:rFonts w:ascii="Times New Roman" w:hAnsi="Times New Roman"/>
                          <w:b/>
                          <w:sz w:val="20"/>
                          <w:szCs w:val="20"/>
                        </w:rPr>
                        <w:t>Изследване на ФВК в седнало положение</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4294967293" distB="4294967293" distL="114300" distR="114300" simplePos="0" relativeHeight="251720704" behindDoc="0" locked="0" layoutInCell="1" allowOverlap="1" wp14:anchorId="76B11769" wp14:editId="02DC049E">
                <wp:simplePos x="0" y="0"/>
                <wp:positionH relativeFrom="column">
                  <wp:posOffset>1576705</wp:posOffset>
                </wp:positionH>
                <wp:positionV relativeFrom="paragraph">
                  <wp:posOffset>805179</wp:posOffset>
                </wp:positionV>
                <wp:extent cx="447675" cy="0"/>
                <wp:effectExtent l="0" t="76200" r="0" b="76200"/>
                <wp:wrapNone/>
                <wp:docPr id="160"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76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21921A" id="AutoShape 117" o:spid="_x0000_s1026" type="#_x0000_t32" style="position:absolute;margin-left:124.15pt;margin-top:63.4pt;width:35.25pt;height:0;z-index:251720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">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19680" behindDoc="0" locked="0" layoutInCell="1" allowOverlap="1" wp14:anchorId="4DA9E369" wp14:editId="09860DF7">
                <wp:simplePos x="0" y="0"/>
                <wp:positionH relativeFrom="column">
                  <wp:posOffset>-23495</wp:posOffset>
                </wp:positionH>
                <wp:positionV relativeFrom="paragraph">
                  <wp:posOffset>500380</wp:posOffset>
                </wp:positionV>
                <wp:extent cx="1600200" cy="666750"/>
                <wp:effectExtent l="0" t="0" r="0" b="0"/>
                <wp:wrapNone/>
                <wp:docPr id="159"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666750"/>
                        </a:xfrm>
                        <a:prstGeom prst="rect">
                          <a:avLst/>
                        </a:prstGeom>
                        <a:solidFill>
                          <a:srgbClr val="FFFFFF"/>
                        </a:solidFill>
                        <a:ln w="9525">
                          <a:solidFill>
                            <a:srgbClr val="000000"/>
                          </a:solidFill>
                          <a:miter lim="800000"/>
                          <a:headEnd/>
                          <a:tailEnd/>
                        </a:ln>
                      </wps:spPr>
                      <wps:txbx>
                        <w:txbxContent>
                          <w:p w14:paraId="44EF25CA" w14:textId="77777777" w:rsidR="00471742" w:rsidRPr="00EC34B0" w:rsidRDefault="00471742" w:rsidP="00BE0B19">
                            <w:pPr>
                              <w:spacing w:line="240" w:lineRule="auto"/>
                              <w:rPr>
                                <w:rFonts w:ascii="Times New Roman" w:hAnsi="Times New Roman"/>
                                <w:b/>
                                <w:sz w:val="20"/>
                                <w:szCs w:val="20"/>
                              </w:rPr>
                            </w:pPr>
                            <w:r w:rsidRPr="00EC34B0">
                              <w:rPr>
                                <w:rFonts w:ascii="Times New Roman" w:hAnsi="Times New Roman"/>
                                <w:b/>
                                <w:sz w:val="20"/>
                                <w:szCs w:val="20"/>
                              </w:rPr>
                              <w:t>Запазена самостоятелна походка и възраст над 6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A9E369" id="Text Box 116" o:spid="_x0000_s1123" type="#_x0000_t202" style="position:absolute;left:0;text-align:left;margin-left:-1.85pt;margin-top:39.4pt;width:126pt;height:5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">
                <v:textbox>
                  <w:txbxContent>
                    <w:p w14:paraId="44EF25CA" w14:textId="77777777" w:rsidR="00471742" w:rsidRPr="00EC34B0" w:rsidRDefault="00471742" w:rsidP="00BE0B19">
                      <w:pPr>
                        <w:spacing w:line="240" w:lineRule="auto"/>
                        <w:rPr>
                          <w:rFonts w:ascii="Times New Roman" w:hAnsi="Times New Roman"/>
                          <w:b/>
                          <w:sz w:val="20"/>
                          <w:szCs w:val="20"/>
                        </w:rPr>
                      </w:pPr>
                      <w:r w:rsidRPr="00EC34B0">
                        <w:rPr>
                          <w:rFonts w:ascii="Times New Roman" w:hAnsi="Times New Roman"/>
                          <w:b/>
                          <w:sz w:val="20"/>
                          <w:szCs w:val="20"/>
                        </w:rPr>
                        <w:t>Запазена самостоятелна походка и възраст над 6 г.</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17632" behindDoc="0" locked="0" layoutInCell="1" allowOverlap="1" wp14:anchorId="76D2668A" wp14:editId="00B4A39D">
                <wp:simplePos x="0" y="0"/>
                <wp:positionH relativeFrom="column">
                  <wp:posOffset>1919605</wp:posOffset>
                </wp:positionH>
                <wp:positionV relativeFrom="paragraph">
                  <wp:posOffset>-71120</wp:posOffset>
                </wp:positionV>
                <wp:extent cx="2447925" cy="400050"/>
                <wp:effectExtent l="0" t="0" r="0" b="0"/>
                <wp:wrapNone/>
                <wp:docPr id="157"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400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898223" w14:textId="77777777" w:rsidR="00471742" w:rsidRPr="00616B05" w:rsidRDefault="00471742" w:rsidP="00BE0B19">
                            <w:pPr>
                              <w:jc w:val="center"/>
                              <w:rPr>
                                <w:rFonts w:ascii="Arial" w:hAnsi="Arial" w:cs="Arial"/>
                                <w:b/>
                                <w:sz w:val="20"/>
                                <w:szCs w:val="20"/>
                              </w:rPr>
                            </w:pPr>
                            <w:r w:rsidRPr="00616B05">
                              <w:rPr>
                                <w:rFonts w:ascii="Arial" w:hAnsi="Arial" w:cs="Arial"/>
                                <w:b/>
                                <w:sz w:val="20"/>
                                <w:szCs w:val="20"/>
                              </w:rPr>
                              <w:t>Препоръчителни изследвания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2668A" id="Text Box 114" o:spid="_x0000_s1124" type="#_x0000_t202" style="position:absolute;left:0;text-align:left;margin-left:151.15pt;margin-top:-5.6pt;width:192.75pt;height:31.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" stroked="f">
                <v:textbox>
                  <w:txbxContent>
                    <w:p w14:paraId="25898223" w14:textId="77777777" w:rsidR="00471742" w:rsidRPr="00616B05" w:rsidRDefault="00471742" w:rsidP="00BE0B19">
                      <w:pPr>
                        <w:jc w:val="center"/>
                        <w:rPr>
                          <w:rFonts w:ascii="Arial" w:hAnsi="Arial" w:cs="Arial"/>
                          <w:b/>
                          <w:sz w:val="20"/>
                          <w:szCs w:val="20"/>
                        </w:rPr>
                      </w:pPr>
                      <w:r w:rsidRPr="00616B05">
                        <w:rPr>
                          <w:rFonts w:ascii="Arial" w:hAnsi="Arial" w:cs="Arial"/>
                          <w:b/>
                          <w:sz w:val="20"/>
                          <w:szCs w:val="20"/>
                        </w:rPr>
                        <w:t>Препоръчителни изследвания</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16608" behindDoc="0" locked="0" layoutInCell="1" allowOverlap="1" wp14:anchorId="2CF56BAB" wp14:editId="5E304A59">
                <wp:simplePos x="0" y="0"/>
                <wp:positionH relativeFrom="column">
                  <wp:posOffset>-90170</wp:posOffset>
                </wp:positionH>
                <wp:positionV relativeFrom="paragraph">
                  <wp:posOffset>-71120</wp:posOffset>
                </wp:positionV>
                <wp:extent cx="1762125" cy="323850"/>
                <wp:effectExtent l="0" t="0" r="0" b="0"/>
                <wp:wrapNone/>
                <wp:docPr id="156"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5244B2" w14:textId="77777777" w:rsidR="00471742" w:rsidRPr="00F735EE" w:rsidRDefault="00471742" w:rsidP="00BE0B19">
                            <w:pPr>
                              <w:jc w:val="center"/>
                              <w:rPr>
                                <w:rFonts w:ascii="Arial" w:hAnsi="Arial" w:cs="Arial"/>
                                <w:b/>
                                <w:sz w:val="20"/>
                                <w:szCs w:val="20"/>
                              </w:rPr>
                            </w:pPr>
                            <w:r w:rsidRPr="00F735EE">
                              <w:rPr>
                                <w:rFonts w:ascii="Arial" w:hAnsi="Arial" w:cs="Arial"/>
                                <w:b/>
                                <w:sz w:val="20"/>
                                <w:szCs w:val="20"/>
                              </w:rPr>
                              <w:t>Състояние на пациента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56BAB" id="Text Box 111" o:spid="_x0000_s1125" type="#_x0000_t202" style="position:absolute;left:0;text-align:left;margin-left:-7.1pt;margin-top:-5.6pt;width:138.75pt;height:25.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" stroked="f">
                <v:textbox>
                  <w:txbxContent>
                    <w:p w14:paraId="275244B2" w14:textId="77777777" w:rsidR="00471742" w:rsidRPr="00F735EE" w:rsidRDefault="00471742" w:rsidP="00BE0B19">
                      <w:pPr>
                        <w:jc w:val="center"/>
                        <w:rPr>
                          <w:rFonts w:ascii="Arial" w:hAnsi="Arial" w:cs="Arial"/>
                          <w:b/>
                          <w:sz w:val="20"/>
                          <w:szCs w:val="20"/>
                        </w:rPr>
                      </w:pPr>
                      <w:r w:rsidRPr="00F735EE">
                        <w:rPr>
                          <w:rFonts w:ascii="Arial" w:hAnsi="Arial" w:cs="Arial"/>
                          <w:b/>
                          <w:sz w:val="20"/>
                          <w:szCs w:val="20"/>
                        </w:rPr>
                        <w:t>Състояние на пациента</w:t>
                      </w:r>
                    </w:p>
                  </w:txbxContent>
                </v:textbox>
              </v:shape>
            </w:pict>
          </mc:Fallback>
        </mc:AlternateContent>
      </w:r>
      <w:r w:rsidRPr="00AE47C6">
        <w:rPr>
          <w:rFonts w:ascii="Times New Roman" w:eastAsia="SimSun" w:hAnsi="Times New Roman"/>
          <w:sz w:val="24"/>
          <w:szCs w:val="24"/>
        </w:rPr>
        <w:br w:type="page"/>
      </w:r>
      <w:r w:rsidRPr="00AE47C6">
        <w:rPr>
          <w:rFonts w:ascii="Times New Roman" w:eastAsia="SimSun" w:hAnsi="Times New Roman"/>
          <w:b/>
          <w:sz w:val="24"/>
          <w:szCs w:val="24"/>
        </w:rPr>
        <w:t xml:space="preserve">Фигура 9.1. </w:t>
      </w:r>
      <w:r w:rsidRPr="00AE47C6">
        <w:rPr>
          <w:rFonts w:ascii="Times New Roman" w:eastAsia="SimSun" w:hAnsi="Times New Roman"/>
          <w:sz w:val="24"/>
          <w:szCs w:val="24"/>
        </w:rPr>
        <w:t xml:space="preserve">Алгоритъм на проследяване на дихателните функции при пациенти с </w:t>
      </w:r>
    </w:p>
    <w:p w14:paraId="12C523F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ПМД тип Duchenne</w:t>
      </w:r>
    </w:p>
    <w:p w14:paraId="3000CC70" w14:textId="77777777" w:rsidR="00BE0B19" w:rsidRPr="00AE47C6" w:rsidRDefault="00BE0B19" w:rsidP="00BE0B19">
      <w:pPr>
        <w:spacing w:after="0" w:line="360" w:lineRule="auto"/>
        <w:jc w:val="both"/>
        <w:rPr>
          <w:rFonts w:ascii="Times New Roman" w:eastAsia="SimSun" w:hAnsi="Times New Roman"/>
          <w:sz w:val="24"/>
          <w:szCs w:val="24"/>
        </w:rPr>
      </w:pPr>
    </w:p>
    <w:p w14:paraId="29AFB024" w14:textId="77777777" w:rsidR="00BE0B19" w:rsidRPr="00AE47C6" w:rsidRDefault="00BE0B19" w:rsidP="00BE0B19">
      <w:pPr>
        <w:spacing w:after="0" w:line="360" w:lineRule="auto"/>
        <w:jc w:val="both"/>
        <w:rPr>
          <w:rFonts w:ascii="Times New Roman" w:eastAsia="SimSun" w:hAnsi="Times New Roman"/>
          <w:sz w:val="24"/>
          <w:szCs w:val="24"/>
        </w:rPr>
      </w:pPr>
    </w:p>
    <w:p w14:paraId="54052B8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40160" behindDoc="0" locked="0" layoutInCell="1" allowOverlap="1" wp14:anchorId="7DA12BC1" wp14:editId="2B189788">
                <wp:simplePos x="0" y="0"/>
                <wp:positionH relativeFrom="column">
                  <wp:posOffset>-33020</wp:posOffset>
                </wp:positionH>
                <wp:positionV relativeFrom="paragraph">
                  <wp:posOffset>19050</wp:posOffset>
                </wp:positionV>
                <wp:extent cx="4962525" cy="571500"/>
                <wp:effectExtent l="0" t="0" r="9525" b="0"/>
                <wp:wrapNone/>
                <wp:docPr id="155"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571500"/>
                        </a:xfrm>
                        <a:prstGeom prst="rect">
                          <a:avLst/>
                        </a:prstGeom>
                        <a:solidFill>
                          <a:srgbClr val="FFFFFF"/>
                        </a:solidFill>
                        <a:ln w="9525">
                          <a:solidFill>
                            <a:srgbClr val="000000"/>
                          </a:solidFill>
                          <a:miter lim="800000"/>
                          <a:headEnd/>
                          <a:tailEnd/>
                        </a:ln>
                      </wps:spPr>
                      <wps:txbx>
                        <w:txbxContent>
                          <w:p w14:paraId="1A221B30" w14:textId="77777777" w:rsidR="00471742" w:rsidRPr="00EC34B0" w:rsidRDefault="00471742" w:rsidP="00BE0B19">
                            <w:pPr>
                              <w:spacing w:after="0"/>
                              <w:rPr>
                                <w:rFonts w:ascii="Times New Roman" w:hAnsi="Times New Roman"/>
                                <w:b/>
                                <w:sz w:val="20"/>
                                <w:szCs w:val="20"/>
                              </w:rPr>
                            </w:pPr>
                            <w:r w:rsidRPr="00EC34B0">
                              <w:rPr>
                                <w:rFonts w:ascii="Times New Roman" w:hAnsi="Times New Roman"/>
                                <w:b/>
                                <w:sz w:val="20"/>
                                <w:szCs w:val="20"/>
                              </w:rPr>
                              <w:t xml:space="preserve">Стъпка 1: </w:t>
                            </w:r>
                          </w:p>
                          <w:p w14:paraId="2979AE98" w14:textId="77777777" w:rsidR="00471742" w:rsidRPr="00EC34B0" w:rsidRDefault="00471742" w:rsidP="00BE0B19">
                            <w:pPr>
                              <w:spacing w:after="0"/>
                              <w:rPr>
                                <w:rFonts w:ascii="Times New Roman" w:hAnsi="Times New Roman"/>
                                <w:sz w:val="20"/>
                                <w:szCs w:val="20"/>
                              </w:rPr>
                            </w:pPr>
                            <w:r w:rsidRPr="00EC34B0">
                              <w:rPr>
                                <w:rFonts w:ascii="Times New Roman" w:hAnsi="Times New Roman"/>
                                <w:sz w:val="20"/>
                                <w:szCs w:val="20"/>
                              </w:rPr>
                              <w:t xml:space="preserve">При ФВК &lt;40% използване на мануални техники или механичен инсуфлатор/ексуфлатор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12BC1" id="Text Box 138" o:spid="_x0000_s1126" type="#_x0000_t202" style="position:absolute;left:0;text-align:left;margin-left:-2.6pt;margin-top:1.5pt;width:390.75pt;height:4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">
                <v:textbox>
                  <w:txbxContent>
                    <w:p w14:paraId="1A221B30" w14:textId="77777777" w:rsidR="00471742" w:rsidRPr="00EC34B0" w:rsidRDefault="00471742" w:rsidP="00BE0B19">
                      <w:pPr>
                        <w:spacing w:after="0"/>
                        <w:rPr>
                          <w:rFonts w:ascii="Times New Roman" w:hAnsi="Times New Roman"/>
                          <w:b/>
                          <w:sz w:val="20"/>
                          <w:szCs w:val="20"/>
                        </w:rPr>
                      </w:pPr>
                      <w:r w:rsidRPr="00EC34B0">
                        <w:rPr>
                          <w:rFonts w:ascii="Times New Roman" w:hAnsi="Times New Roman"/>
                          <w:b/>
                          <w:sz w:val="20"/>
                          <w:szCs w:val="20"/>
                        </w:rPr>
                        <w:t xml:space="preserve">Стъпка 1: </w:t>
                      </w:r>
                    </w:p>
                    <w:p w14:paraId="2979AE98" w14:textId="77777777" w:rsidR="00471742" w:rsidRPr="00EC34B0" w:rsidRDefault="00471742" w:rsidP="00BE0B19">
                      <w:pPr>
                        <w:spacing w:after="0"/>
                        <w:rPr>
                          <w:rFonts w:ascii="Times New Roman" w:hAnsi="Times New Roman"/>
                          <w:sz w:val="20"/>
                          <w:szCs w:val="20"/>
                        </w:rPr>
                      </w:pPr>
                      <w:r w:rsidRPr="00EC34B0">
                        <w:rPr>
                          <w:rFonts w:ascii="Times New Roman" w:hAnsi="Times New Roman"/>
                          <w:sz w:val="20"/>
                          <w:szCs w:val="20"/>
                        </w:rPr>
                        <w:t xml:space="preserve">При ФВК &lt;40% използване на мануални техники или механичен инсуфлатор/ексуфлатор </w:t>
                      </w:r>
                    </w:p>
                  </w:txbxContent>
                </v:textbox>
              </v:shape>
            </w:pict>
          </mc:Fallback>
        </mc:AlternateContent>
      </w:r>
    </w:p>
    <w:p w14:paraId="656464DC" w14:textId="77777777" w:rsidR="00BE0B19" w:rsidRPr="00AE47C6" w:rsidRDefault="00BE0B19" w:rsidP="00BE0B19">
      <w:pPr>
        <w:spacing w:after="0" w:line="360" w:lineRule="auto"/>
        <w:jc w:val="both"/>
        <w:rPr>
          <w:rFonts w:ascii="Times New Roman" w:eastAsia="SimSun" w:hAnsi="Times New Roman"/>
          <w:sz w:val="24"/>
          <w:szCs w:val="24"/>
        </w:rPr>
      </w:pPr>
    </w:p>
    <w:p w14:paraId="577E454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41184" behindDoc="0" locked="0" layoutInCell="1" allowOverlap="1" wp14:anchorId="6979FF2A" wp14:editId="083EE865">
                <wp:simplePos x="0" y="0"/>
                <wp:positionH relativeFrom="column">
                  <wp:posOffset>-33020</wp:posOffset>
                </wp:positionH>
                <wp:positionV relativeFrom="paragraph">
                  <wp:posOffset>188595</wp:posOffset>
                </wp:positionV>
                <wp:extent cx="4962525" cy="971550"/>
                <wp:effectExtent l="0" t="0" r="9525" b="0"/>
                <wp:wrapNone/>
                <wp:docPr id="154"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971550"/>
                        </a:xfrm>
                        <a:prstGeom prst="rect">
                          <a:avLst/>
                        </a:prstGeom>
                        <a:solidFill>
                          <a:srgbClr val="FFFFFF"/>
                        </a:solidFill>
                        <a:ln w="9525">
                          <a:solidFill>
                            <a:srgbClr val="000000"/>
                          </a:solidFill>
                          <a:miter lim="800000"/>
                          <a:headEnd/>
                          <a:tailEnd/>
                        </a:ln>
                      </wps:spPr>
                      <wps:txbx>
                        <w:txbxContent>
                          <w:p w14:paraId="3C2BD2DD"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b/>
                                <w:sz w:val="20"/>
                                <w:szCs w:val="20"/>
                              </w:rPr>
                              <w:t>Стъпка 2</w:t>
                            </w:r>
                            <w:r w:rsidRPr="00EC34B0">
                              <w:rPr>
                                <w:rFonts w:ascii="Times New Roman" w:hAnsi="Times New Roman"/>
                                <w:sz w:val="20"/>
                                <w:szCs w:val="20"/>
                              </w:rPr>
                              <w:t xml:space="preserve">: мануални и механични техники за откашляне </w:t>
                            </w:r>
                          </w:p>
                          <w:p w14:paraId="7845335C"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 xml:space="preserve">Необходими при: </w:t>
                            </w:r>
                          </w:p>
                          <w:p w14:paraId="11D050C7"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•При дихателни инфекции и</w:t>
                            </w:r>
                            <w:r>
                              <w:rPr>
                                <w:rFonts w:ascii="Times New Roman" w:hAnsi="Times New Roman"/>
                                <w:sz w:val="20"/>
                                <w:szCs w:val="20"/>
                              </w:rPr>
                              <w:t xml:space="preserve"> </w:t>
                            </w:r>
                            <w:r w:rsidRPr="00EC34B0">
                              <w:rPr>
                                <w:rFonts w:ascii="Times New Roman" w:hAnsi="Times New Roman"/>
                                <w:sz w:val="20"/>
                                <w:szCs w:val="20"/>
                              </w:rPr>
                              <w:t xml:space="preserve">peak cough flow &lt;270 L/min* </w:t>
                            </w:r>
                          </w:p>
                          <w:p w14:paraId="7FB79B9C" w14:textId="77777777" w:rsidR="00471742" w:rsidRPr="00EC34B0" w:rsidRDefault="00471742" w:rsidP="00BE0B19">
                            <w:pPr>
                              <w:spacing w:after="0" w:line="240" w:lineRule="auto"/>
                              <w:rPr>
                                <w:rFonts w:ascii="Times New Roman" w:hAnsi="Times New Roman"/>
                                <w:sz w:val="20"/>
                                <w:szCs w:val="20"/>
                                <w:lang w:val="en-US"/>
                              </w:rPr>
                            </w:pPr>
                            <w:r w:rsidRPr="00EC34B0">
                              <w:rPr>
                                <w:rFonts w:ascii="Times New Roman" w:hAnsi="Times New Roman"/>
                                <w:sz w:val="20"/>
                                <w:szCs w:val="20"/>
                              </w:rPr>
                              <w:t>•Базов peak cough flow &lt;160 L/min или максимално експираторно налягане &lt;40 cm</w:t>
                            </w:r>
                            <w:r w:rsidRPr="00EC34B0">
                              <w:rPr>
                                <w:rFonts w:ascii="Times New Roman" w:hAnsi="Times New Roman"/>
                                <w:sz w:val="20"/>
                                <w:szCs w:val="20"/>
                                <w:lang w:val="en-US"/>
                              </w:rPr>
                              <w:t>H2O</w:t>
                            </w:r>
                          </w:p>
                          <w:p w14:paraId="41D9AE27"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•Базов FVC &lt;40% или &lt;1·25 L при възрастни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9FF2A" id="Text Box 140" o:spid="_x0000_s1127" type="#_x0000_t202" style="position:absolute;left:0;text-align:left;margin-left:-2.6pt;margin-top:14.85pt;width:390.75pt;height:76.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">
                <v:textbox>
                  <w:txbxContent>
                    <w:p w14:paraId="3C2BD2DD"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b/>
                          <w:sz w:val="20"/>
                          <w:szCs w:val="20"/>
                        </w:rPr>
                        <w:t>Стъпка 2</w:t>
                      </w:r>
                      <w:r w:rsidRPr="00EC34B0">
                        <w:rPr>
                          <w:rFonts w:ascii="Times New Roman" w:hAnsi="Times New Roman"/>
                          <w:sz w:val="20"/>
                          <w:szCs w:val="20"/>
                        </w:rPr>
                        <w:t xml:space="preserve">: мануални и механични техники за откашляне </w:t>
                      </w:r>
                    </w:p>
                    <w:p w14:paraId="7845335C"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 xml:space="preserve">Необходими при: </w:t>
                      </w:r>
                    </w:p>
                    <w:p w14:paraId="11D050C7"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•При дихателни инфекции и</w:t>
                      </w:r>
                      <w:r>
                        <w:rPr>
                          <w:rFonts w:ascii="Times New Roman" w:hAnsi="Times New Roman"/>
                          <w:sz w:val="20"/>
                          <w:szCs w:val="20"/>
                        </w:rPr>
                        <w:t xml:space="preserve"> </w:t>
                      </w:r>
                      <w:r w:rsidRPr="00EC34B0">
                        <w:rPr>
                          <w:rFonts w:ascii="Times New Roman" w:hAnsi="Times New Roman"/>
                          <w:sz w:val="20"/>
                          <w:szCs w:val="20"/>
                        </w:rPr>
                        <w:t xml:space="preserve">peak cough flow &lt;270 L/min* </w:t>
                      </w:r>
                    </w:p>
                    <w:p w14:paraId="7FB79B9C" w14:textId="77777777" w:rsidR="00471742" w:rsidRPr="00EC34B0" w:rsidRDefault="00471742" w:rsidP="00BE0B19">
                      <w:pPr>
                        <w:spacing w:after="0" w:line="240" w:lineRule="auto"/>
                        <w:rPr>
                          <w:rFonts w:ascii="Times New Roman" w:hAnsi="Times New Roman"/>
                          <w:sz w:val="20"/>
                          <w:szCs w:val="20"/>
                          <w:lang w:val="en-US"/>
                        </w:rPr>
                      </w:pPr>
                      <w:r w:rsidRPr="00EC34B0">
                        <w:rPr>
                          <w:rFonts w:ascii="Times New Roman" w:hAnsi="Times New Roman"/>
                          <w:sz w:val="20"/>
                          <w:szCs w:val="20"/>
                        </w:rPr>
                        <w:t>•Базов peak cough flow &lt;160 L/min или максимално експираторно налягане &lt;40 cm</w:t>
                      </w:r>
                      <w:r w:rsidRPr="00EC34B0">
                        <w:rPr>
                          <w:rFonts w:ascii="Times New Roman" w:hAnsi="Times New Roman"/>
                          <w:sz w:val="20"/>
                          <w:szCs w:val="20"/>
                          <w:lang w:val="en-US"/>
                        </w:rPr>
                        <w:t>H2O</w:t>
                      </w:r>
                    </w:p>
                    <w:p w14:paraId="41D9AE27"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•Базов FVC &lt;40% или &lt;1·25 L при възрастни</w:t>
                      </w:r>
                    </w:p>
                  </w:txbxContent>
                </v:textbox>
              </v:shape>
            </w:pict>
          </mc:Fallback>
        </mc:AlternateContent>
      </w:r>
    </w:p>
    <w:p w14:paraId="2235A511" w14:textId="77777777" w:rsidR="00BE0B19" w:rsidRPr="00AE47C6" w:rsidRDefault="00BE0B19" w:rsidP="00BE0B19">
      <w:pPr>
        <w:spacing w:after="0" w:line="360" w:lineRule="auto"/>
        <w:jc w:val="both"/>
        <w:rPr>
          <w:rFonts w:ascii="Times New Roman" w:eastAsia="SimSun" w:hAnsi="Times New Roman"/>
          <w:sz w:val="24"/>
          <w:szCs w:val="24"/>
        </w:rPr>
      </w:pPr>
    </w:p>
    <w:p w14:paraId="7F0A4DF2" w14:textId="77777777" w:rsidR="00BE0B19" w:rsidRPr="00AE47C6" w:rsidRDefault="00BE0B19" w:rsidP="00BE0B19">
      <w:pPr>
        <w:spacing w:after="0" w:line="360" w:lineRule="auto"/>
        <w:jc w:val="both"/>
        <w:rPr>
          <w:rFonts w:ascii="Times New Roman" w:eastAsia="SimSun" w:hAnsi="Times New Roman"/>
          <w:sz w:val="24"/>
          <w:szCs w:val="24"/>
        </w:rPr>
      </w:pPr>
    </w:p>
    <w:p w14:paraId="495D35C6" w14:textId="77777777" w:rsidR="00BE0B19" w:rsidRPr="00AE47C6" w:rsidRDefault="00BE0B19" w:rsidP="00BE0B19">
      <w:pPr>
        <w:spacing w:after="0" w:line="360" w:lineRule="auto"/>
        <w:jc w:val="both"/>
        <w:rPr>
          <w:rFonts w:ascii="Times New Roman" w:eastAsia="SimSun" w:hAnsi="Times New Roman"/>
          <w:sz w:val="24"/>
          <w:szCs w:val="24"/>
        </w:rPr>
      </w:pPr>
    </w:p>
    <w:p w14:paraId="17E4C65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42208" behindDoc="0" locked="0" layoutInCell="1" allowOverlap="1" wp14:anchorId="70662103" wp14:editId="190D6462">
                <wp:simplePos x="0" y="0"/>
                <wp:positionH relativeFrom="column">
                  <wp:posOffset>-33020</wp:posOffset>
                </wp:positionH>
                <wp:positionV relativeFrom="paragraph">
                  <wp:posOffset>177165</wp:posOffset>
                </wp:positionV>
                <wp:extent cx="4962525" cy="1419225"/>
                <wp:effectExtent l="0" t="0" r="9525" b="9525"/>
                <wp:wrapNone/>
                <wp:docPr id="153"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1419225"/>
                        </a:xfrm>
                        <a:prstGeom prst="rect">
                          <a:avLst/>
                        </a:prstGeom>
                        <a:solidFill>
                          <a:srgbClr val="FFFFFF"/>
                        </a:solidFill>
                        <a:ln w="9525">
                          <a:solidFill>
                            <a:srgbClr val="000000"/>
                          </a:solidFill>
                          <a:miter lim="800000"/>
                          <a:headEnd/>
                          <a:tailEnd/>
                        </a:ln>
                      </wps:spPr>
                      <wps:txbx>
                        <w:txbxContent>
                          <w:p w14:paraId="56FAD905"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b/>
                                <w:sz w:val="20"/>
                                <w:szCs w:val="20"/>
                              </w:rPr>
                              <w:t>Стъпка 3</w:t>
                            </w:r>
                            <w:r w:rsidRPr="00EC34B0">
                              <w:rPr>
                                <w:rFonts w:ascii="Times New Roman" w:hAnsi="Times New Roman"/>
                                <w:sz w:val="20"/>
                                <w:szCs w:val="20"/>
                              </w:rPr>
                              <w:t xml:space="preserve">: нощна хиповентилация </w:t>
                            </w:r>
                          </w:p>
                          <w:p w14:paraId="70648043"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•Прояви на хиповентилация (пациенти с ФВК &lt;30%)</w:t>
                            </w:r>
                          </w:p>
                          <w:p w14:paraId="5A99764F"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•Базисно SpO2 &lt;95% и/или CO2 &gt;45 mm Hg в будно състояние</w:t>
                            </w:r>
                          </w:p>
                          <w:p w14:paraId="4C5CAB29"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 xml:space="preserve">• Апнея/хипопнея индекс &gt;10 на час от полисомнография или 4 или повече епизода на спадане на SpO2 &lt;92% или спадане на SpO2 с 4% на час по време на сън </w:t>
                            </w:r>
                          </w:p>
                          <w:p w14:paraId="1A1F2468"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 xml:space="preserve">Техниките на подобряване на обема на белите дробове и възстановяване на проходимостта на дихателните пътища следва да предшестват неинвазивната вентилация.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62103" id="Text Box 142" o:spid="_x0000_s1128" type="#_x0000_t202" style="position:absolute;left:0;text-align:left;margin-left:-2.6pt;margin-top:13.95pt;width:390.75pt;height:111.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">
                <v:textbox>
                  <w:txbxContent>
                    <w:p w14:paraId="56FAD905"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b/>
                          <w:sz w:val="20"/>
                          <w:szCs w:val="20"/>
                        </w:rPr>
                        <w:t>Стъпка 3</w:t>
                      </w:r>
                      <w:r w:rsidRPr="00EC34B0">
                        <w:rPr>
                          <w:rFonts w:ascii="Times New Roman" w:hAnsi="Times New Roman"/>
                          <w:sz w:val="20"/>
                          <w:szCs w:val="20"/>
                        </w:rPr>
                        <w:t xml:space="preserve">: нощна хиповентилация </w:t>
                      </w:r>
                    </w:p>
                    <w:p w14:paraId="70648043"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•Прояви на хиповентилация (пациенти с ФВК &lt;30%)</w:t>
                      </w:r>
                    </w:p>
                    <w:p w14:paraId="5A99764F"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•Базисно SpO2 &lt;95% и/или CO2 &gt;45 mm Hg в будно състояние</w:t>
                      </w:r>
                    </w:p>
                    <w:p w14:paraId="4C5CAB29"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 xml:space="preserve">• Апнея/хипопнея индекс &gt;10 на час от полисомнография или 4 или повече епизода на спадане на SpO2 &lt;92% или спадане на SpO2 с 4% на час по време на сън </w:t>
                      </w:r>
                    </w:p>
                    <w:p w14:paraId="1A1F2468"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 xml:space="preserve">Техниките на подобряване на обема на белите дробове и възстановяване на проходимостта на дихателните пътища следва да предшестват неинвазивната вентилация. </w:t>
                      </w:r>
                    </w:p>
                  </w:txbxContent>
                </v:textbox>
              </v:shape>
            </w:pict>
          </mc:Fallback>
        </mc:AlternateContent>
      </w:r>
    </w:p>
    <w:p w14:paraId="3E990604" w14:textId="77777777" w:rsidR="00BE0B19" w:rsidRPr="00AE47C6" w:rsidRDefault="00BE0B19" w:rsidP="00BE0B19">
      <w:pPr>
        <w:spacing w:after="0" w:line="360" w:lineRule="auto"/>
        <w:jc w:val="both"/>
        <w:rPr>
          <w:rFonts w:ascii="Times New Roman" w:eastAsia="SimSun" w:hAnsi="Times New Roman"/>
          <w:sz w:val="24"/>
          <w:szCs w:val="24"/>
        </w:rPr>
      </w:pPr>
    </w:p>
    <w:p w14:paraId="0F889335" w14:textId="77777777" w:rsidR="00BE0B19" w:rsidRPr="00AE47C6" w:rsidRDefault="00BE0B19" w:rsidP="00BE0B19">
      <w:pPr>
        <w:spacing w:after="0" w:line="360" w:lineRule="auto"/>
        <w:jc w:val="both"/>
        <w:rPr>
          <w:rFonts w:ascii="Times New Roman" w:eastAsia="SimSun" w:hAnsi="Times New Roman"/>
          <w:sz w:val="24"/>
          <w:szCs w:val="24"/>
        </w:rPr>
      </w:pPr>
    </w:p>
    <w:p w14:paraId="0584243C" w14:textId="77777777" w:rsidR="00BE0B19" w:rsidRPr="00AE47C6" w:rsidRDefault="00BE0B19" w:rsidP="00BE0B19">
      <w:pPr>
        <w:spacing w:after="0" w:line="360" w:lineRule="auto"/>
        <w:jc w:val="both"/>
        <w:rPr>
          <w:rFonts w:ascii="Times New Roman" w:eastAsia="SimSun" w:hAnsi="Times New Roman"/>
          <w:sz w:val="24"/>
          <w:szCs w:val="24"/>
        </w:rPr>
      </w:pPr>
    </w:p>
    <w:p w14:paraId="396ECC51" w14:textId="77777777" w:rsidR="00BE0B19" w:rsidRPr="00AE47C6" w:rsidRDefault="00BE0B19" w:rsidP="00BE0B19">
      <w:pPr>
        <w:spacing w:after="0" w:line="360" w:lineRule="auto"/>
        <w:jc w:val="both"/>
        <w:rPr>
          <w:rFonts w:ascii="Times New Roman" w:eastAsia="SimSun" w:hAnsi="Times New Roman"/>
          <w:sz w:val="24"/>
          <w:szCs w:val="24"/>
        </w:rPr>
      </w:pPr>
    </w:p>
    <w:p w14:paraId="6AA113F1" w14:textId="77777777" w:rsidR="00BE0B19" w:rsidRPr="00AE47C6" w:rsidRDefault="00BE0B19" w:rsidP="00BE0B19">
      <w:pPr>
        <w:spacing w:after="0" w:line="360" w:lineRule="auto"/>
        <w:jc w:val="both"/>
        <w:rPr>
          <w:rFonts w:ascii="Times New Roman" w:eastAsia="SimSun" w:hAnsi="Times New Roman"/>
          <w:sz w:val="24"/>
          <w:szCs w:val="24"/>
        </w:rPr>
      </w:pPr>
    </w:p>
    <w:p w14:paraId="4087008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43232" behindDoc="0" locked="0" layoutInCell="1" allowOverlap="1" wp14:anchorId="31D0B37B" wp14:editId="2E825226">
                <wp:simplePos x="0" y="0"/>
                <wp:positionH relativeFrom="column">
                  <wp:posOffset>-33020</wp:posOffset>
                </wp:positionH>
                <wp:positionV relativeFrom="paragraph">
                  <wp:posOffset>25400</wp:posOffset>
                </wp:positionV>
                <wp:extent cx="4962525" cy="1885950"/>
                <wp:effectExtent l="0" t="0" r="9525" b="0"/>
                <wp:wrapNone/>
                <wp:docPr id="152"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1885950"/>
                        </a:xfrm>
                        <a:prstGeom prst="rect">
                          <a:avLst/>
                        </a:prstGeom>
                        <a:solidFill>
                          <a:srgbClr val="FFFFFF"/>
                        </a:solidFill>
                        <a:ln w="9525">
                          <a:solidFill>
                            <a:srgbClr val="000000"/>
                          </a:solidFill>
                          <a:miter lim="800000"/>
                          <a:headEnd/>
                          <a:tailEnd/>
                        </a:ln>
                      </wps:spPr>
                      <wps:txbx>
                        <w:txbxContent>
                          <w:p w14:paraId="37C45B76"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b/>
                              </w:rPr>
                              <w:t xml:space="preserve">Стъпка 4: </w:t>
                            </w:r>
                            <w:r w:rsidRPr="00EC34B0">
                              <w:rPr>
                                <w:rFonts w:ascii="Times New Roman" w:hAnsi="Times New Roman"/>
                                <w:sz w:val="20"/>
                                <w:szCs w:val="20"/>
                              </w:rPr>
                              <w:t xml:space="preserve">Дневна вентилация </w:t>
                            </w:r>
                          </w:p>
                          <w:p w14:paraId="02F581C2"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При пациенти на нощна вентилация, дневната се включва при горепосочените условия:</w:t>
                            </w:r>
                          </w:p>
                          <w:p w14:paraId="1F7F9252"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•Самостоятелно удължаване на периодите на нощна вентилация и в часовете на събуждане</w:t>
                            </w:r>
                          </w:p>
                          <w:p w14:paraId="7C1D1906"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 xml:space="preserve">• Нарушено преглъщане, всл. на диспнея, което се облекчава при вентилация </w:t>
                            </w:r>
                          </w:p>
                          <w:p w14:paraId="0355E5BB"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 Затруднен говор, всл. диспнея</w:t>
                            </w:r>
                          </w:p>
                          <w:p w14:paraId="115AF5CD"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 xml:space="preserve"> • Симптоми на хиповентилация с базисно SpO2 &lt;95% и/или CO2&gt;45 mm Hg в будно състояние</w:t>
                            </w:r>
                          </w:p>
                          <w:p w14:paraId="69947C28" w14:textId="77777777" w:rsidR="00471742" w:rsidRPr="00FC4A63" w:rsidRDefault="00471742" w:rsidP="00BE0B19">
                            <w:pPr>
                              <w:spacing w:after="0" w:line="240" w:lineRule="auto"/>
                              <w:rPr>
                                <w:rFonts w:ascii="Arial" w:hAnsi="Arial" w:cs="Arial"/>
                                <w:sz w:val="20"/>
                                <w:szCs w:val="20"/>
                              </w:rPr>
                            </w:pPr>
                            <w:r w:rsidRPr="00EC34B0">
                              <w:rPr>
                                <w:rFonts w:ascii="Times New Roman" w:hAnsi="Times New Roman"/>
                                <w:sz w:val="20"/>
                                <w:szCs w:val="20"/>
                              </w:rPr>
                              <w:t>Продължителното приложение на неинвазивна вентилация с подпомагане на откашлянето може да улесни ендотрахеалната екстубация при интубирани в хода на инфекция или оперативна интервенция пациенти</w:t>
                            </w:r>
                            <w:r w:rsidRPr="00FC4A63">
                              <w:rPr>
                                <w:rFonts w:ascii="Arial" w:hAnsi="Arial" w:cs="Arial"/>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0B37B" id="Text Box 144" o:spid="_x0000_s1129" type="#_x0000_t202" style="position:absolute;left:0;text-align:left;margin-left:-2.6pt;margin-top:2pt;width:390.75pt;height:148.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">
                <v:textbox>
                  <w:txbxContent>
                    <w:p w14:paraId="37C45B76"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b/>
                        </w:rPr>
                        <w:t xml:space="preserve">Стъпка 4: </w:t>
                      </w:r>
                      <w:r w:rsidRPr="00EC34B0">
                        <w:rPr>
                          <w:rFonts w:ascii="Times New Roman" w:hAnsi="Times New Roman"/>
                          <w:sz w:val="20"/>
                          <w:szCs w:val="20"/>
                        </w:rPr>
                        <w:t xml:space="preserve">Дневна вентилация </w:t>
                      </w:r>
                    </w:p>
                    <w:p w14:paraId="02F581C2"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При пациенти на нощна вентилация, дневната се включва при горепосочените условия:</w:t>
                      </w:r>
                    </w:p>
                    <w:p w14:paraId="1F7F9252"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•Самостоятелно удължаване на периодите на нощна вентилация и в часовете на събуждане</w:t>
                      </w:r>
                    </w:p>
                    <w:p w14:paraId="7C1D1906"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 xml:space="preserve">• Нарушено преглъщане, всл. на диспнея, което се облекчава при вентилация </w:t>
                      </w:r>
                    </w:p>
                    <w:p w14:paraId="0355E5BB"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 Затруднен говор, всл. диспнея</w:t>
                      </w:r>
                    </w:p>
                    <w:p w14:paraId="115AF5CD"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 xml:space="preserve"> • Симптоми на хиповентилация с базисно SpO2 &lt;95% и/или CO2&gt;45 mm Hg в будно състояние</w:t>
                      </w:r>
                    </w:p>
                    <w:p w14:paraId="69947C28" w14:textId="77777777" w:rsidR="00471742" w:rsidRPr="00FC4A63" w:rsidRDefault="00471742" w:rsidP="00BE0B19">
                      <w:pPr>
                        <w:spacing w:after="0" w:line="240" w:lineRule="auto"/>
                        <w:rPr>
                          <w:rFonts w:ascii="Arial" w:hAnsi="Arial" w:cs="Arial"/>
                          <w:sz w:val="20"/>
                          <w:szCs w:val="20"/>
                        </w:rPr>
                      </w:pPr>
                      <w:r w:rsidRPr="00EC34B0">
                        <w:rPr>
                          <w:rFonts w:ascii="Times New Roman" w:hAnsi="Times New Roman"/>
                          <w:sz w:val="20"/>
                          <w:szCs w:val="20"/>
                        </w:rPr>
                        <w:t>Продължителното приложение на неинвазивна вентилация с подпомагане на откашлянето може да улесни ендотрахеалната екстубация при интубирани в хода на инфекция или оперативна интервенция пациенти</w:t>
                      </w:r>
                      <w:r w:rsidRPr="00FC4A63">
                        <w:rPr>
                          <w:rFonts w:ascii="Arial" w:hAnsi="Arial" w:cs="Arial"/>
                          <w:sz w:val="20"/>
                          <w:szCs w:val="20"/>
                        </w:rPr>
                        <w:t xml:space="preserve">. </w:t>
                      </w:r>
                    </w:p>
                  </w:txbxContent>
                </v:textbox>
              </v:shape>
            </w:pict>
          </mc:Fallback>
        </mc:AlternateContent>
      </w:r>
    </w:p>
    <w:p w14:paraId="162D3908" w14:textId="77777777" w:rsidR="00BE0B19" w:rsidRPr="00AE47C6" w:rsidRDefault="00BE0B19" w:rsidP="00BE0B19">
      <w:pPr>
        <w:spacing w:after="0" w:line="360" w:lineRule="auto"/>
        <w:jc w:val="both"/>
        <w:rPr>
          <w:rFonts w:ascii="Times New Roman" w:eastAsia="SimSun" w:hAnsi="Times New Roman"/>
          <w:sz w:val="24"/>
          <w:szCs w:val="24"/>
        </w:rPr>
      </w:pPr>
    </w:p>
    <w:p w14:paraId="5FF19B88" w14:textId="77777777" w:rsidR="00BE0B19" w:rsidRPr="00AE47C6" w:rsidRDefault="00BE0B19" w:rsidP="00BE0B19">
      <w:pPr>
        <w:spacing w:after="0" w:line="360" w:lineRule="auto"/>
        <w:jc w:val="both"/>
        <w:rPr>
          <w:rFonts w:ascii="Times New Roman" w:eastAsia="SimSun" w:hAnsi="Times New Roman"/>
          <w:sz w:val="24"/>
          <w:szCs w:val="24"/>
        </w:rPr>
      </w:pPr>
    </w:p>
    <w:p w14:paraId="52E89004" w14:textId="77777777" w:rsidR="00BE0B19" w:rsidRPr="00AE47C6" w:rsidRDefault="00BE0B19" w:rsidP="00BE0B19">
      <w:pPr>
        <w:spacing w:after="0" w:line="360" w:lineRule="auto"/>
        <w:jc w:val="both"/>
        <w:rPr>
          <w:rFonts w:ascii="Times New Roman" w:eastAsia="SimSun" w:hAnsi="Times New Roman"/>
          <w:sz w:val="24"/>
          <w:szCs w:val="24"/>
        </w:rPr>
      </w:pPr>
    </w:p>
    <w:p w14:paraId="3EE9BA9A" w14:textId="77777777" w:rsidR="00BE0B19" w:rsidRPr="00AE47C6" w:rsidRDefault="00BE0B19" w:rsidP="00BE0B19">
      <w:pPr>
        <w:spacing w:after="0" w:line="360" w:lineRule="auto"/>
        <w:jc w:val="both"/>
        <w:rPr>
          <w:rFonts w:ascii="Times New Roman" w:eastAsia="SimSun" w:hAnsi="Times New Roman"/>
          <w:sz w:val="24"/>
          <w:szCs w:val="24"/>
        </w:rPr>
      </w:pPr>
    </w:p>
    <w:p w14:paraId="27A874EC" w14:textId="77777777" w:rsidR="00BE0B19" w:rsidRPr="00AE47C6" w:rsidRDefault="00BE0B19" w:rsidP="00BE0B19">
      <w:pPr>
        <w:tabs>
          <w:tab w:val="left" w:pos="282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p>
    <w:p w14:paraId="049A4673" w14:textId="77777777" w:rsidR="00BE0B19" w:rsidRPr="00AE47C6" w:rsidRDefault="00BE0B19" w:rsidP="00BE0B19">
      <w:pPr>
        <w:spacing w:after="0" w:line="360" w:lineRule="auto"/>
        <w:jc w:val="both"/>
        <w:rPr>
          <w:rFonts w:ascii="Times New Roman" w:eastAsia="SimSun" w:hAnsi="Times New Roman"/>
          <w:sz w:val="24"/>
          <w:szCs w:val="24"/>
        </w:rPr>
      </w:pPr>
    </w:p>
    <w:p w14:paraId="2D8D4C8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44256" behindDoc="0" locked="0" layoutInCell="1" allowOverlap="1" wp14:anchorId="589634D3" wp14:editId="15756543">
                <wp:simplePos x="0" y="0"/>
                <wp:positionH relativeFrom="column">
                  <wp:posOffset>-33020</wp:posOffset>
                </wp:positionH>
                <wp:positionV relativeFrom="paragraph">
                  <wp:posOffset>11430</wp:posOffset>
                </wp:positionV>
                <wp:extent cx="4962525" cy="1171575"/>
                <wp:effectExtent l="0" t="0" r="9525" b="9525"/>
                <wp:wrapNone/>
                <wp:docPr id="151"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1171575"/>
                        </a:xfrm>
                        <a:prstGeom prst="rect">
                          <a:avLst/>
                        </a:prstGeom>
                        <a:solidFill>
                          <a:srgbClr val="FFFFFF"/>
                        </a:solidFill>
                        <a:ln w="9525">
                          <a:solidFill>
                            <a:srgbClr val="000000"/>
                          </a:solidFill>
                          <a:miter lim="800000"/>
                          <a:headEnd/>
                          <a:tailEnd/>
                        </a:ln>
                      </wps:spPr>
                      <wps:txbx>
                        <w:txbxContent>
                          <w:p w14:paraId="006BFDB3"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b/>
                                <w:sz w:val="20"/>
                                <w:szCs w:val="20"/>
                              </w:rPr>
                              <w:t>Стъпка 5</w:t>
                            </w:r>
                            <w:r w:rsidRPr="00EC34B0">
                              <w:rPr>
                                <w:rFonts w:ascii="Times New Roman" w:hAnsi="Times New Roman"/>
                                <w:sz w:val="20"/>
                                <w:szCs w:val="20"/>
                              </w:rPr>
                              <w:t xml:space="preserve">: Трахеостома </w:t>
                            </w:r>
                          </w:p>
                          <w:p w14:paraId="49F07679"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•Ефектът от неинвазивната вентилация не е оптимален</w:t>
                            </w:r>
                          </w:p>
                          <w:p w14:paraId="28FDCD83"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 xml:space="preserve">•Три неуспешни опита за екстубация, въпреки употреба на оптимален режим на неинвазивна вентилация и откашляне </w:t>
                            </w:r>
                          </w:p>
                          <w:p w14:paraId="2BC1D975"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 Невъзможност на методите на неинвазивна вентилация и откашляне да профилактират аспирация и спадане на сатурацията под 95%, налагащо аспирация</w:t>
                            </w:r>
                          </w:p>
                          <w:p w14:paraId="46C02031" w14:textId="77777777" w:rsidR="00471742" w:rsidRDefault="00471742" w:rsidP="00BE0B1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9634D3" id="Text Box 145" o:spid="_x0000_s1130" type="#_x0000_t202" style="position:absolute;left:0;text-align:left;margin-left:-2.6pt;margin-top:.9pt;width:390.75pt;height:92.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">
                <v:textbox>
                  <w:txbxContent>
                    <w:p w14:paraId="006BFDB3"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b/>
                          <w:sz w:val="20"/>
                          <w:szCs w:val="20"/>
                        </w:rPr>
                        <w:t>Стъпка 5</w:t>
                      </w:r>
                      <w:r w:rsidRPr="00EC34B0">
                        <w:rPr>
                          <w:rFonts w:ascii="Times New Roman" w:hAnsi="Times New Roman"/>
                          <w:sz w:val="20"/>
                          <w:szCs w:val="20"/>
                        </w:rPr>
                        <w:t xml:space="preserve">: Трахеостома </w:t>
                      </w:r>
                    </w:p>
                    <w:p w14:paraId="49F07679"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•Ефектът от неинвазивната вентилация не е оптимален</w:t>
                      </w:r>
                    </w:p>
                    <w:p w14:paraId="28FDCD83"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 xml:space="preserve">•Три неуспешни опита за екстубация, въпреки употреба на оптимален режим на неинвазивна вентилация и откашляне </w:t>
                      </w:r>
                    </w:p>
                    <w:p w14:paraId="2BC1D975" w14:textId="77777777" w:rsidR="00471742" w:rsidRPr="00EC34B0" w:rsidRDefault="00471742" w:rsidP="00BE0B19">
                      <w:pPr>
                        <w:spacing w:after="0" w:line="240" w:lineRule="auto"/>
                        <w:rPr>
                          <w:rFonts w:ascii="Times New Roman" w:hAnsi="Times New Roman"/>
                          <w:sz w:val="20"/>
                          <w:szCs w:val="20"/>
                        </w:rPr>
                      </w:pPr>
                      <w:r w:rsidRPr="00EC34B0">
                        <w:rPr>
                          <w:rFonts w:ascii="Times New Roman" w:hAnsi="Times New Roman"/>
                          <w:sz w:val="20"/>
                          <w:szCs w:val="20"/>
                        </w:rPr>
                        <w:t>• Невъзможност на методите на неинвазивна вентилация и откашляне да профилактират аспирация и спадане на сатурацията под 95%, налагащо аспирация</w:t>
                      </w:r>
                    </w:p>
                    <w:p w14:paraId="46C02031" w14:textId="77777777" w:rsidR="00471742" w:rsidRDefault="00471742" w:rsidP="00BE0B19"/>
                  </w:txbxContent>
                </v:textbox>
              </v:shape>
            </w:pict>
          </mc:Fallback>
        </mc:AlternateContent>
      </w:r>
    </w:p>
    <w:p w14:paraId="20BE5521" w14:textId="77777777" w:rsidR="00BE0B19" w:rsidRPr="00AE47C6" w:rsidRDefault="00BE0B19" w:rsidP="00BE0B19">
      <w:pPr>
        <w:spacing w:after="0" w:line="360" w:lineRule="auto"/>
        <w:jc w:val="both"/>
        <w:rPr>
          <w:rFonts w:ascii="Times New Roman" w:eastAsia="SimSun" w:hAnsi="Times New Roman"/>
          <w:sz w:val="24"/>
          <w:szCs w:val="24"/>
        </w:rPr>
      </w:pPr>
    </w:p>
    <w:p w14:paraId="40D4844B" w14:textId="77777777" w:rsidR="00BE0B19" w:rsidRPr="00AE47C6" w:rsidRDefault="00BE0B19" w:rsidP="00BE0B19">
      <w:pPr>
        <w:spacing w:after="0" w:line="360" w:lineRule="auto"/>
        <w:jc w:val="both"/>
        <w:rPr>
          <w:rFonts w:ascii="Times New Roman" w:eastAsia="SimSun" w:hAnsi="Times New Roman"/>
          <w:sz w:val="24"/>
          <w:szCs w:val="24"/>
        </w:rPr>
      </w:pPr>
    </w:p>
    <w:p w14:paraId="33E3F8A7" w14:textId="77777777" w:rsidR="00BE0B19" w:rsidRPr="00AE47C6" w:rsidRDefault="00BE0B19" w:rsidP="00BE0B19">
      <w:pPr>
        <w:spacing w:after="0" w:line="360" w:lineRule="auto"/>
        <w:jc w:val="both"/>
        <w:rPr>
          <w:rFonts w:ascii="Times New Roman" w:eastAsia="SimSun" w:hAnsi="Times New Roman"/>
          <w:sz w:val="24"/>
          <w:szCs w:val="24"/>
        </w:rPr>
      </w:pPr>
    </w:p>
    <w:p w14:paraId="4BC6FC7A" w14:textId="77777777" w:rsidR="00BE0B19" w:rsidRPr="00AE47C6" w:rsidRDefault="00BE0B19" w:rsidP="00BE0B19">
      <w:pPr>
        <w:spacing w:after="0" w:line="360" w:lineRule="auto"/>
        <w:jc w:val="both"/>
        <w:rPr>
          <w:rFonts w:ascii="Times New Roman" w:eastAsia="SimSun" w:hAnsi="Times New Roman"/>
          <w:sz w:val="24"/>
          <w:szCs w:val="24"/>
        </w:rPr>
      </w:pPr>
    </w:p>
    <w:p w14:paraId="2BD0BE0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Фигура 9.2. Дихателни интервенции при пациенти с ПМД тип Duchenne</w:t>
      </w:r>
    </w:p>
    <w:p w14:paraId="02179127" w14:textId="77777777" w:rsidR="00BE0B19" w:rsidRPr="00AE47C6" w:rsidRDefault="00BE0B19" w:rsidP="00BE0B19">
      <w:pPr>
        <w:spacing w:after="0" w:line="360" w:lineRule="auto"/>
        <w:ind w:firstLine="708"/>
        <w:jc w:val="both"/>
        <w:rPr>
          <w:rFonts w:ascii="Times New Roman" w:eastAsia="SimSun" w:hAnsi="Times New Roman"/>
          <w:i/>
          <w:sz w:val="24"/>
          <w:szCs w:val="24"/>
        </w:rPr>
      </w:pPr>
    </w:p>
    <w:p w14:paraId="5D2840E2"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i/>
          <w:sz w:val="24"/>
          <w:szCs w:val="24"/>
        </w:rPr>
        <w:t xml:space="preserve">Хранене. </w:t>
      </w:r>
      <w:r w:rsidRPr="00AE47C6">
        <w:rPr>
          <w:rFonts w:ascii="Times New Roman" w:eastAsia="SimSun" w:hAnsi="Times New Roman"/>
          <w:sz w:val="24"/>
          <w:szCs w:val="24"/>
        </w:rPr>
        <w:t xml:space="preserve">Пациентите с ПМД тип Duchenne са с повишен риск от недохранване и obesitas, което налага оптимален контрол на приема на хранителни вещества, така че BMI да се подържа между 10 и 85 персентили. Хранителният режим следва да се оценява за прием на енергия, белтъци, течности, калций и витамин Д. Оценка на преглъщането следва да се извършва при загуба на тегло повече от 10%, удължаване периодите на хранене с повече от 30 мин., задавяния, аспирационна пневмония. Констипацията и гастроезофагеалният рефлукс са едни от най-честите гастроинтестинални усложнения при пациентите с ПМД тип Duchenne. В тези случаи се препоръчват лаксативи- лактулоза, полиетилен гликол или механични методи за очистване. За гастроезофагеалния рефлукс се прилагат - Н2 блокери, инхибитори на протонната помпа, прокинетици. </w:t>
      </w:r>
    </w:p>
    <w:p w14:paraId="6C4E156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Анестезия</w:t>
      </w:r>
      <w:r w:rsidRPr="00AE47C6">
        <w:rPr>
          <w:rFonts w:ascii="Times New Roman" w:eastAsia="SimSun" w:hAnsi="Times New Roman"/>
          <w:sz w:val="24"/>
          <w:szCs w:val="24"/>
        </w:rPr>
        <w:t>: При необходимост от обща анестезия следва да се има предвид повишения риск от подобно на малигнена хипертермия състояние при пациенти с дистрофинопатия и използване на инхалационни анестетици от групата на халотан и миорелаксанти от групата на сукцинилхолин. Силно се препоръчва обща венозна анестезия. Абсолютно противопоказани са деполяризиращи миорелаксанти като сукцинилхолин. Пациентите са под риск от потенциално фатална рабдомиолиза и хиперкалиемия при прилагане и на някои инхалаторни анестетици. Преди и след хирургични процедури са необходими консултации с кардиолог и пулмолог и анестезиологът трябва да е подготвен за възможна сърдечна и дихателна декомпенсация по време и след хирургичната интервенция.</w:t>
      </w:r>
    </w:p>
    <w:p w14:paraId="0A976E67"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199" w:name="_Toc155651796"/>
      <w:bookmarkStart w:id="200" w:name="_Toc164075928"/>
      <w:r w:rsidRPr="00AE47C6">
        <w:rPr>
          <w:rFonts w:ascii="Times New Roman" w:eastAsia="SimSun" w:hAnsi="Times New Roman"/>
          <w:b/>
          <w:sz w:val="24"/>
          <w:szCs w:val="20"/>
          <w:lang w:eastAsia="ja-JP"/>
        </w:rPr>
        <w:t>9.1.4. Прогресивни мускулни дистрофии тип пояс-крайник (Пояс-крайник мускулни дистрофии ПКМД)</w:t>
      </w:r>
      <w:bookmarkEnd w:id="199"/>
      <w:bookmarkEnd w:id="200"/>
    </w:p>
    <w:p w14:paraId="6E732D92" w14:textId="77777777" w:rsidR="00BE0B19" w:rsidRPr="00AE47C6" w:rsidRDefault="00BE0B19" w:rsidP="00BE0B19">
      <w:pPr>
        <w:tabs>
          <w:tab w:val="left" w:pos="567"/>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ПКМД са група от генетично хетерогенни мускулни дистрофии, които се унаследяват по автозомно-доминантен (АД) или автозомно-рецесивен (АР) начин, имат вариабилна възраст на начало - от детска до зряла и се характеризират с начална, преобладаваща и прогресираща слабост на мускулите на тазовия и раменния пояс. Всички болни са придобили самостоятелна походка в даден етап от живота си,  като за да се счита за нова форма дадена ПКМД, мутациите в съответен нов ген, трябва да се установяват в поне две несвързани помежду си семейства. Промените от хистологичното изследване на мускулите и изобразяващите техники са дистрофични. Дегенеративните промени на МРТ на мускули се определят като замяна на мускулната тъкан с мастна или съединителна на Т1 секвенциите, а дистрофичните хистологични промени включват некроза с регенерация и фибрози. КФК в серума трябва да е увеличена.</w:t>
      </w:r>
    </w:p>
    <w:p w14:paraId="53A8372B"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b/>
          <w:sz w:val="24"/>
          <w:szCs w:val="24"/>
        </w:rPr>
        <w:t>Болестността</w:t>
      </w:r>
      <w:r w:rsidRPr="00AE47C6">
        <w:rPr>
          <w:rFonts w:ascii="Times New Roman" w:eastAsia="SimSun" w:hAnsi="Times New Roman"/>
          <w:sz w:val="24"/>
          <w:szCs w:val="24"/>
        </w:rPr>
        <w:t xml:space="preserve"> на ПКМД се оценява на 1,63 на 100000 души население с вариация 0,56–5,75/100,000 в различните популации. </w:t>
      </w:r>
    </w:p>
    <w:p w14:paraId="775953A5"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ab/>
        <w:t xml:space="preserve">Класификация: </w:t>
      </w:r>
      <w:r w:rsidRPr="00AE47C6">
        <w:rPr>
          <w:rFonts w:ascii="Times New Roman" w:eastAsia="SimSun" w:hAnsi="Times New Roman"/>
          <w:sz w:val="24"/>
          <w:szCs w:val="24"/>
        </w:rPr>
        <w:t>На базата на старата класификация от 1995 г. формите на ПКМД се разделяха на АД тип 1 и АР тип 2, следвани от съответната буква, като поредност на идентифицираните в годините гени (таблица 3). На базата на развитие на молекулярно-генетичните изследвания броят на формите силно нарасна, което доведе до изчерпване на буквите на АР форми. Освен това се оказа, че част от формите могат да се класифицират в други групи заболявания - вродени миопатии, метаболитни миопатии и т.н., което наложи предложението за нова класификация пред 2018 г. Според нея с D се означават АД форми, а с R - АР, следвани от съответна цифра. С Х ще се обозначават Х-свързани форми, ако такива бъдат идентифицирани. На таблица 3 се представени формите според двете класификации и причините за отпадане на някои от тях при тази от 2018 г.</w:t>
      </w:r>
    </w:p>
    <w:p w14:paraId="38EAD7C7"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Етиология:</w:t>
      </w:r>
      <w:r w:rsidRPr="00AE47C6">
        <w:rPr>
          <w:rFonts w:ascii="Times New Roman" w:eastAsia="SimSun" w:hAnsi="Times New Roman"/>
          <w:sz w:val="24"/>
          <w:szCs w:val="24"/>
        </w:rPr>
        <w:t xml:space="preserve"> Различните форми на ПКМД са обусловени от мутации в различни гени, кодиращи протеини, които имат структурна функция или участват в метаболизма или сигналната трансдукция на мускулните клетки (Табл. 2).</w:t>
      </w:r>
    </w:p>
    <w:p w14:paraId="2464CA6E"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b/>
          <w:sz w:val="24"/>
          <w:szCs w:val="24"/>
        </w:rPr>
        <w:t xml:space="preserve">Таблица 9.2. </w:t>
      </w:r>
      <w:r w:rsidRPr="00AE47C6">
        <w:rPr>
          <w:rFonts w:ascii="Times New Roman" w:eastAsia="SimSun" w:hAnsi="Times New Roman"/>
          <w:sz w:val="24"/>
          <w:szCs w:val="24"/>
        </w:rPr>
        <w:t>Генетична класификация на ПКМД (1995 г. и 2018 г.)</w:t>
      </w:r>
    </w:p>
    <w:tbl>
      <w:tblPr>
        <w:tblStyle w:val="TableGrid2"/>
        <w:tblW w:w="9355" w:type="dxa"/>
        <w:tblLayout w:type="fixed"/>
        <w:tblLook w:val="04A0" w:firstRow="1" w:lastRow="0" w:firstColumn="1" w:lastColumn="0" w:noHBand="0" w:noVBand="1"/>
      </w:tblPr>
      <w:tblGrid>
        <w:gridCol w:w="1903"/>
        <w:gridCol w:w="2174"/>
        <w:gridCol w:w="1843"/>
        <w:gridCol w:w="1995"/>
        <w:gridCol w:w="1440"/>
      </w:tblGrid>
      <w:tr w:rsidR="00BE0B19" w:rsidRPr="00AE47C6" w14:paraId="516A5D82" w14:textId="77777777" w:rsidTr="00AD72E5">
        <w:trPr>
          <w:trHeight w:val="203"/>
        </w:trPr>
        <w:tc>
          <w:tcPr>
            <w:tcW w:w="1903" w:type="dxa"/>
          </w:tcPr>
          <w:p w14:paraId="49B6AF55"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Заболяване по класификацията от 1995 г.</w:t>
            </w:r>
          </w:p>
        </w:tc>
        <w:tc>
          <w:tcPr>
            <w:tcW w:w="2174" w:type="dxa"/>
          </w:tcPr>
          <w:p w14:paraId="007133C3"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Ген/локус/белтък</w:t>
            </w:r>
          </w:p>
        </w:tc>
        <w:tc>
          <w:tcPr>
            <w:tcW w:w="1843" w:type="dxa"/>
          </w:tcPr>
          <w:p w14:paraId="11DB7830"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Субгрупа</w:t>
            </w:r>
          </w:p>
        </w:tc>
        <w:tc>
          <w:tcPr>
            <w:tcW w:w="1995" w:type="dxa"/>
          </w:tcPr>
          <w:p w14:paraId="2B9E93B2"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Заболяване по класификацията от 2018 г.</w:t>
            </w:r>
          </w:p>
        </w:tc>
        <w:tc>
          <w:tcPr>
            <w:tcW w:w="1440" w:type="dxa"/>
          </w:tcPr>
          <w:p w14:paraId="7D94D2DD"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Причина за изключване от групата на ПКМД</w:t>
            </w:r>
          </w:p>
        </w:tc>
      </w:tr>
      <w:tr w:rsidR="00BE0B19" w:rsidRPr="00AE47C6" w14:paraId="7CDFDA96" w14:textId="77777777" w:rsidTr="00AD72E5">
        <w:trPr>
          <w:trHeight w:val="203"/>
        </w:trPr>
        <w:tc>
          <w:tcPr>
            <w:tcW w:w="1903" w:type="dxa"/>
          </w:tcPr>
          <w:p w14:paraId="78923823"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 xml:space="preserve">ПКМД1A </w:t>
            </w:r>
          </w:p>
        </w:tc>
        <w:tc>
          <w:tcPr>
            <w:tcW w:w="2174" w:type="dxa"/>
          </w:tcPr>
          <w:p w14:paraId="1C8096D8" w14:textId="77777777" w:rsidR="00BE0B19" w:rsidRPr="00AE47C6" w:rsidRDefault="00BE0B19" w:rsidP="00BE0B19">
            <w:pPr>
              <w:spacing w:after="0" w:line="360" w:lineRule="auto"/>
              <w:rPr>
                <w:rFonts w:ascii="Times New Roman" w:hAnsi="Times New Roman"/>
                <w:i/>
                <w:sz w:val="24"/>
                <w:szCs w:val="24"/>
              </w:rPr>
            </w:pPr>
            <w:r w:rsidRPr="00AE47C6">
              <w:rPr>
                <w:rFonts w:ascii="Times New Roman" w:hAnsi="Times New Roman"/>
                <w:i/>
                <w:sz w:val="24"/>
                <w:szCs w:val="24"/>
              </w:rPr>
              <w:t>MYOT/Myotilin</w:t>
            </w:r>
          </w:p>
        </w:tc>
        <w:tc>
          <w:tcPr>
            <w:tcW w:w="1843" w:type="dxa"/>
          </w:tcPr>
          <w:p w14:paraId="0C27A753"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Z-диск протеинопатии</w:t>
            </w:r>
          </w:p>
        </w:tc>
        <w:tc>
          <w:tcPr>
            <w:tcW w:w="1995" w:type="dxa"/>
          </w:tcPr>
          <w:p w14:paraId="684AE03C"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Миофибрилерни миопатии</w:t>
            </w:r>
          </w:p>
        </w:tc>
        <w:tc>
          <w:tcPr>
            <w:tcW w:w="1440" w:type="dxa"/>
          </w:tcPr>
          <w:p w14:paraId="1B8949C5"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Наличие на дистална слабост</w:t>
            </w:r>
          </w:p>
        </w:tc>
      </w:tr>
      <w:tr w:rsidR="00BE0B19" w:rsidRPr="00AE47C6" w14:paraId="5C4F5989" w14:textId="77777777" w:rsidTr="00AD72E5">
        <w:trPr>
          <w:trHeight w:val="203"/>
        </w:trPr>
        <w:tc>
          <w:tcPr>
            <w:tcW w:w="1903" w:type="dxa"/>
          </w:tcPr>
          <w:p w14:paraId="32D1AC65"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 xml:space="preserve">ПКМД1B </w:t>
            </w:r>
          </w:p>
        </w:tc>
        <w:tc>
          <w:tcPr>
            <w:tcW w:w="2174" w:type="dxa"/>
          </w:tcPr>
          <w:p w14:paraId="30CF7AEE" w14:textId="77777777" w:rsidR="00BE0B19" w:rsidRPr="00AE47C6" w:rsidRDefault="00BE0B19" w:rsidP="00BE0B19">
            <w:pPr>
              <w:spacing w:after="0" w:line="360" w:lineRule="auto"/>
              <w:rPr>
                <w:rFonts w:ascii="Times New Roman" w:hAnsi="Times New Roman"/>
                <w:i/>
                <w:sz w:val="24"/>
                <w:szCs w:val="24"/>
              </w:rPr>
            </w:pPr>
            <w:r w:rsidRPr="00AE47C6">
              <w:rPr>
                <w:rFonts w:ascii="Times New Roman" w:hAnsi="Times New Roman"/>
                <w:i/>
                <w:sz w:val="24"/>
                <w:szCs w:val="24"/>
              </w:rPr>
              <w:t xml:space="preserve">LMNA/Lamin A/C </w:t>
            </w:r>
          </w:p>
        </w:tc>
        <w:tc>
          <w:tcPr>
            <w:tcW w:w="1843" w:type="dxa"/>
          </w:tcPr>
          <w:p w14:paraId="22ABC6F1"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Заболявания на ядрената мембрана</w:t>
            </w:r>
          </w:p>
        </w:tc>
        <w:tc>
          <w:tcPr>
            <w:tcW w:w="1995" w:type="dxa"/>
          </w:tcPr>
          <w:p w14:paraId="32FBD428"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Emery-Dreifuss мускулна дистрофия (EDMD)</w:t>
            </w:r>
          </w:p>
        </w:tc>
        <w:tc>
          <w:tcPr>
            <w:tcW w:w="1440" w:type="dxa"/>
          </w:tcPr>
          <w:p w14:paraId="0206DCC0"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 xml:space="preserve">Сърдечни аритмии, отнесени към EDMD </w:t>
            </w:r>
          </w:p>
        </w:tc>
      </w:tr>
      <w:tr w:rsidR="00BE0B19" w:rsidRPr="00AE47C6" w14:paraId="73323918" w14:textId="77777777" w:rsidTr="00AD72E5">
        <w:trPr>
          <w:trHeight w:val="203"/>
        </w:trPr>
        <w:tc>
          <w:tcPr>
            <w:tcW w:w="1903" w:type="dxa"/>
          </w:tcPr>
          <w:p w14:paraId="6B2AC7EB"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 xml:space="preserve">ПКМД1C </w:t>
            </w:r>
          </w:p>
        </w:tc>
        <w:tc>
          <w:tcPr>
            <w:tcW w:w="2174" w:type="dxa"/>
          </w:tcPr>
          <w:p w14:paraId="63446978" w14:textId="77777777" w:rsidR="00BE0B19" w:rsidRPr="00AE47C6" w:rsidRDefault="00BE0B19" w:rsidP="00BE0B19">
            <w:pPr>
              <w:spacing w:after="0" w:line="360" w:lineRule="auto"/>
              <w:rPr>
                <w:rFonts w:ascii="Times New Roman" w:hAnsi="Times New Roman"/>
                <w:i/>
                <w:sz w:val="24"/>
                <w:szCs w:val="24"/>
              </w:rPr>
            </w:pPr>
            <w:r w:rsidRPr="00AE47C6">
              <w:rPr>
                <w:rFonts w:ascii="Times New Roman" w:hAnsi="Times New Roman"/>
                <w:i/>
                <w:sz w:val="24"/>
                <w:szCs w:val="24"/>
              </w:rPr>
              <w:t>CAV3/ Caveolin-3</w:t>
            </w:r>
          </w:p>
        </w:tc>
        <w:tc>
          <w:tcPr>
            <w:tcW w:w="1843" w:type="dxa"/>
          </w:tcPr>
          <w:p w14:paraId="528F1E66"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Кавеоло-асоциирани мускулни дистрофии</w:t>
            </w:r>
          </w:p>
        </w:tc>
        <w:tc>
          <w:tcPr>
            <w:tcW w:w="1995" w:type="dxa"/>
          </w:tcPr>
          <w:p w14:paraId="578E07EB"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Rippling muscle disease</w:t>
            </w:r>
          </w:p>
        </w:tc>
        <w:tc>
          <w:tcPr>
            <w:tcW w:w="1440" w:type="dxa"/>
          </w:tcPr>
          <w:p w14:paraId="7ED2AC8A"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rippling muscle disease, миалгии</w:t>
            </w:r>
          </w:p>
        </w:tc>
      </w:tr>
      <w:tr w:rsidR="00BE0B19" w:rsidRPr="00AE47C6" w14:paraId="4EF29439" w14:textId="77777777" w:rsidTr="00AD72E5">
        <w:trPr>
          <w:trHeight w:val="203"/>
        </w:trPr>
        <w:tc>
          <w:tcPr>
            <w:tcW w:w="1903" w:type="dxa"/>
          </w:tcPr>
          <w:p w14:paraId="68C53D6F"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ПКМД1D </w:t>
            </w:r>
          </w:p>
        </w:tc>
        <w:tc>
          <w:tcPr>
            <w:tcW w:w="2174" w:type="dxa"/>
          </w:tcPr>
          <w:p w14:paraId="71D2C4EE" w14:textId="77777777" w:rsidR="00BE0B19" w:rsidRPr="00AE47C6" w:rsidRDefault="00BE0B19" w:rsidP="00BE0B19">
            <w:pPr>
              <w:spacing w:after="0" w:line="360" w:lineRule="auto"/>
              <w:rPr>
                <w:rFonts w:ascii="Times New Roman" w:hAnsi="Times New Roman"/>
                <w:b/>
                <w:i/>
                <w:sz w:val="24"/>
                <w:szCs w:val="24"/>
              </w:rPr>
            </w:pPr>
            <w:r w:rsidRPr="00AE47C6">
              <w:rPr>
                <w:rFonts w:ascii="Times New Roman" w:hAnsi="Times New Roman"/>
                <w:b/>
                <w:i/>
                <w:sz w:val="24"/>
                <w:szCs w:val="24"/>
              </w:rPr>
              <w:t xml:space="preserve">DNAJB6/DNAJ/Hsp40 homolog, subfamily B, member 6  </w:t>
            </w:r>
          </w:p>
        </w:tc>
        <w:tc>
          <w:tcPr>
            <w:tcW w:w="1843" w:type="dxa"/>
          </w:tcPr>
          <w:p w14:paraId="3DD9D719"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Z-диск протеинопатии</w:t>
            </w:r>
          </w:p>
        </w:tc>
        <w:tc>
          <w:tcPr>
            <w:tcW w:w="1995" w:type="dxa"/>
          </w:tcPr>
          <w:p w14:paraId="691D9EA4"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D1 DNAJB6-related</w:t>
            </w:r>
          </w:p>
        </w:tc>
        <w:tc>
          <w:tcPr>
            <w:tcW w:w="1440" w:type="dxa"/>
          </w:tcPr>
          <w:p w14:paraId="305BDB23"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33851D44" w14:textId="77777777" w:rsidTr="00AD72E5">
        <w:trPr>
          <w:trHeight w:val="203"/>
        </w:trPr>
        <w:tc>
          <w:tcPr>
            <w:tcW w:w="1903" w:type="dxa"/>
          </w:tcPr>
          <w:p w14:paraId="4B2D25A0"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ПКМД1Е</w:t>
            </w:r>
          </w:p>
        </w:tc>
        <w:tc>
          <w:tcPr>
            <w:tcW w:w="2174" w:type="dxa"/>
          </w:tcPr>
          <w:p w14:paraId="1E093994" w14:textId="77777777" w:rsidR="00BE0B19" w:rsidRPr="00AE47C6" w:rsidRDefault="00BE0B19" w:rsidP="00BE0B19">
            <w:pPr>
              <w:spacing w:after="0" w:line="360" w:lineRule="auto"/>
              <w:rPr>
                <w:rFonts w:ascii="Times New Roman" w:hAnsi="Times New Roman"/>
                <w:i/>
                <w:sz w:val="24"/>
                <w:szCs w:val="24"/>
              </w:rPr>
            </w:pPr>
            <w:r w:rsidRPr="00AE47C6">
              <w:rPr>
                <w:rFonts w:ascii="Times New Roman" w:hAnsi="Times New Roman"/>
                <w:i/>
                <w:sz w:val="24"/>
                <w:szCs w:val="24"/>
              </w:rPr>
              <w:t>DES/</w:t>
            </w:r>
            <w:r w:rsidRPr="00AE47C6">
              <w:rPr>
                <w:rFonts w:ascii="Times New Roman" w:hAnsi="Times New Roman"/>
                <w:sz w:val="24"/>
                <w:szCs w:val="24"/>
              </w:rPr>
              <w:t>Desmin</w:t>
            </w:r>
          </w:p>
        </w:tc>
        <w:tc>
          <w:tcPr>
            <w:tcW w:w="1843" w:type="dxa"/>
          </w:tcPr>
          <w:p w14:paraId="62F29D0F"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_</w:t>
            </w:r>
          </w:p>
        </w:tc>
        <w:tc>
          <w:tcPr>
            <w:tcW w:w="1995" w:type="dxa"/>
          </w:tcPr>
          <w:p w14:paraId="10802E6E"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sz w:val="24"/>
                <w:szCs w:val="24"/>
              </w:rPr>
              <w:t>Миофибрилерни миопатии</w:t>
            </w:r>
          </w:p>
        </w:tc>
        <w:tc>
          <w:tcPr>
            <w:tcW w:w="1440" w:type="dxa"/>
          </w:tcPr>
          <w:p w14:paraId="2081ED9B"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sz w:val="24"/>
                <w:szCs w:val="24"/>
              </w:rPr>
              <w:t>Кардиомиопатия, дистална слабост</w:t>
            </w:r>
          </w:p>
        </w:tc>
      </w:tr>
      <w:tr w:rsidR="00BE0B19" w:rsidRPr="00AE47C6" w14:paraId="38123036" w14:textId="77777777" w:rsidTr="00AD72E5">
        <w:trPr>
          <w:trHeight w:val="203"/>
        </w:trPr>
        <w:tc>
          <w:tcPr>
            <w:tcW w:w="1903" w:type="dxa"/>
          </w:tcPr>
          <w:p w14:paraId="14C077E6"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ПКМД1F </w:t>
            </w:r>
          </w:p>
        </w:tc>
        <w:tc>
          <w:tcPr>
            <w:tcW w:w="2174" w:type="dxa"/>
          </w:tcPr>
          <w:p w14:paraId="36C45CE4" w14:textId="77777777" w:rsidR="00BE0B19" w:rsidRPr="00AE47C6" w:rsidRDefault="00BE0B19" w:rsidP="00BE0B19">
            <w:pPr>
              <w:spacing w:after="0" w:line="360" w:lineRule="auto"/>
              <w:rPr>
                <w:rFonts w:ascii="Times New Roman" w:hAnsi="Times New Roman"/>
                <w:b/>
                <w:i/>
                <w:sz w:val="24"/>
                <w:szCs w:val="24"/>
              </w:rPr>
            </w:pPr>
            <w:r w:rsidRPr="00AE47C6">
              <w:rPr>
                <w:rFonts w:ascii="Times New Roman" w:hAnsi="Times New Roman"/>
                <w:b/>
                <w:i/>
                <w:sz w:val="24"/>
                <w:szCs w:val="24"/>
              </w:rPr>
              <w:t>TNPO3/ Transportin-3</w:t>
            </w:r>
          </w:p>
        </w:tc>
        <w:tc>
          <w:tcPr>
            <w:tcW w:w="1843" w:type="dxa"/>
          </w:tcPr>
          <w:p w14:paraId="262C625C"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Заболявания на ядрената мембрана</w:t>
            </w:r>
          </w:p>
        </w:tc>
        <w:tc>
          <w:tcPr>
            <w:tcW w:w="1995" w:type="dxa"/>
          </w:tcPr>
          <w:p w14:paraId="0FC61A7F"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D2 TNP03- свързана</w:t>
            </w:r>
          </w:p>
        </w:tc>
        <w:tc>
          <w:tcPr>
            <w:tcW w:w="1440" w:type="dxa"/>
          </w:tcPr>
          <w:p w14:paraId="3DF34105"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5E55313D" w14:textId="77777777" w:rsidTr="00AD72E5">
        <w:trPr>
          <w:trHeight w:val="203"/>
        </w:trPr>
        <w:tc>
          <w:tcPr>
            <w:tcW w:w="1903" w:type="dxa"/>
          </w:tcPr>
          <w:p w14:paraId="2CD067D4"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ПКМД1G </w:t>
            </w:r>
          </w:p>
        </w:tc>
        <w:tc>
          <w:tcPr>
            <w:tcW w:w="2174" w:type="dxa"/>
          </w:tcPr>
          <w:p w14:paraId="522BEC2F" w14:textId="77777777" w:rsidR="00BE0B19" w:rsidRPr="00AE47C6" w:rsidRDefault="00BE0B19" w:rsidP="00BE0B19">
            <w:pPr>
              <w:spacing w:after="0" w:line="360" w:lineRule="auto"/>
              <w:rPr>
                <w:rFonts w:ascii="Times New Roman" w:hAnsi="Times New Roman"/>
                <w:b/>
                <w:i/>
                <w:sz w:val="24"/>
                <w:szCs w:val="24"/>
              </w:rPr>
            </w:pPr>
            <w:r w:rsidRPr="00AE47C6">
              <w:rPr>
                <w:rFonts w:ascii="Times New Roman" w:hAnsi="Times New Roman"/>
                <w:b/>
                <w:i/>
                <w:sz w:val="24"/>
                <w:szCs w:val="24"/>
              </w:rPr>
              <w:t>HNRNPDL/</w:t>
            </w:r>
            <w:r w:rsidRPr="00AE47C6">
              <w:rPr>
                <w:rFonts w:ascii="Times New Roman" w:hAnsi="Times New Roman"/>
                <w:b/>
                <w:sz w:val="24"/>
                <w:szCs w:val="24"/>
              </w:rPr>
              <w:t xml:space="preserve"> Heterogeneous ribonucleoprotein D-like protein</w:t>
            </w:r>
          </w:p>
        </w:tc>
        <w:tc>
          <w:tcPr>
            <w:tcW w:w="1843" w:type="dxa"/>
          </w:tcPr>
          <w:p w14:paraId="7A109B71"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w:t>
            </w:r>
          </w:p>
        </w:tc>
        <w:tc>
          <w:tcPr>
            <w:tcW w:w="1995" w:type="dxa"/>
          </w:tcPr>
          <w:p w14:paraId="6A282C1E"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D3 HNRNPDL-свързана</w:t>
            </w:r>
          </w:p>
        </w:tc>
        <w:tc>
          <w:tcPr>
            <w:tcW w:w="1440" w:type="dxa"/>
          </w:tcPr>
          <w:p w14:paraId="223174A9"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6CB83526" w14:textId="77777777" w:rsidTr="00AD72E5">
        <w:trPr>
          <w:trHeight w:val="203"/>
        </w:trPr>
        <w:tc>
          <w:tcPr>
            <w:tcW w:w="1903" w:type="dxa"/>
          </w:tcPr>
          <w:p w14:paraId="054ED3B2"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 xml:space="preserve">ПКМД1H </w:t>
            </w:r>
          </w:p>
        </w:tc>
        <w:tc>
          <w:tcPr>
            <w:tcW w:w="2174" w:type="dxa"/>
          </w:tcPr>
          <w:p w14:paraId="3C1C01AC"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 xml:space="preserve">3p23-p25.1/ Неизвестен </w:t>
            </w:r>
          </w:p>
        </w:tc>
        <w:tc>
          <w:tcPr>
            <w:tcW w:w="1843" w:type="dxa"/>
          </w:tcPr>
          <w:p w14:paraId="1978EB32"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w:t>
            </w:r>
          </w:p>
        </w:tc>
        <w:tc>
          <w:tcPr>
            <w:tcW w:w="1995" w:type="dxa"/>
          </w:tcPr>
          <w:p w14:paraId="4EE38A1F"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Не е потвърдена</w:t>
            </w:r>
          </w:p>
        </w:tc>
        <w:tc>
          <w:tcPr>
            <w:tcW w:w="1440" w:type="dxa"/>
          </w:tcPr>
          <w:p w14:paraId="0A36A081"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Погрешен линкидж</w:t>
            </w:r>
          </w:p>
        </w:tc>
      </w:tr>
      <w:tr w:rsidR="00BE0B19" w:rsidRPr="00AE47C6" w14:paraId="74922AB9" w14:textId="77777777" w:rsidTr="00AD72E5">
        <w:trPr>
          <w:trHeight w:val="203"/>
        </w:trPr>
        <w:tc>
          <w:tcPr>
            <w:tcW w:w="1903" w:type="dxa"/>
          </w:tcPr>
          <w:p w14:paraId="71DBED29"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ПКМД1I</w:t>
            </w:r>
          </w:p>
        </w:tc>
        <w:tc>
          <w:tcPr>
            <w:tcW w:w="2174" w:type="dxa"/>
          </w:tcPr>
          <w:p w14:paraId="1D262F90"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CAPN3/ Calpain-3  </w:t>
            </w:r>
          </w:p>
        </w:tc>
        <w:tc>
          <w:tcPr>
            <w:tcW w:w="1843" w:type="dxa"/>
          </w:tcPr>
          <w:p w14:paraId="5CFB6FEB"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Калпаинопатия</w:t>
            </w:r>
          </w:p>
        </w:tc>
        <w:tc>
          <w:tcPr>
            <w:tcW w:w="1995" w:type="dxa"/>
          </w:tcPr>
          <w:p w14:paraId="35016496"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D4 calpain3- свързана</w:t>
            </w:r>
          </w:p>
        </w:tc>
        <w:tc>
          <w:tcPr>
            <w:tcW w:w="1440" w:type="dxa"/>
          </w:tcPr>
          <w:p w14:paraId="117C9CA5"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51AFAEBE" w14:textId="77777777" w:rsidTr="00AD72E5">
        <w:trPr>
          <w:trHeight w:val="203"/>
        </w:trPr>
        <w:tc>
          <w:tcPr>
            <w:tcW w:w="1903" w:type="dxa"/>
          </w:tcPr>
          <w:p w14:paraId="267DF1AC"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ПКМД2A </w:t>
            </w:r>
          </w:p>
        </w:tc>
        <w:tc>
          <w:tcPr>
            <w:tcW w:w="2174" w:type="dxa"/>
          </w:tcPr>
          <w:p w14:paraId="48AD0DB4" w14:textId="77777777" w:rsidR="00BE0B19" w:rsidRPr="00AE47C6" w:rsidRDefault="00BE0B19" w:rsidP="00BE0B19">
            <w:pPr>
              <w:spacing w:after="0" w:line="360" w:lineRule="auto"/>
              <w:rPr>
                <w:rFonts w:ascii="Times New Roman" w:hAnsi="Times New Roman"/>
                <w:b/>
                <w:i/>
                <w:sz w:val="24"/>
                <w:szCs w:val="24"/>
              </w:rPr>
            </w:pPr>
            <w:r w:rsidRPr="00AE47C6">
              <w:rPr>
                <w:rFonts w:ascii="Times New Roman" w:hAnsi="Times New Roman"/>
                <w:b/>
                <w:i/>
                <w:sz w:val="24"/>
                <w:szCs w:val="24"/>
              </w:rPr>
              <w:t>CAPN3/</w:t>
            </w:r>
            <w:r w:rsidRPr="00AE47C6">
              <w:rPr>
                <w:rFonts w:ascii="Times New Roman" w:hAnsi="Times New Roman"/>
                <w:b/>
                <w:sz w:val="24"/>
                <w:szCs w:val="24"/>
              </w:rPr>
              <w:t xml:space="preserve"> Calpain-3 </w:t>
            </w:r>
          </w:p>
        </w:tc>
        <w:tc>
          <w:tcPr>
            <w:tcW w:w="1843" w:type="dxa"/>
          </w:tcPr>
          <w:p w14:paraId="31F39167"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Калпаинопатия</w:t>
            </w:r>
          </w:p>
        </w:tc>
        <w:tc>
          <w:tcPr>
            <w:tcW w:w="1995" w:type="dxa"/>
          </w:tcPr>
          <w:p w14:paraId="681DDC2E"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R1 calpain3- свързана</w:t>
            </w:r>
          </w:p>
        </w:tc>
        <w:tc>
          <w:tcPr>
            <w:tcW w:w="1440" w:type="dxa"/>
          </w:tcPr>
          <w:p w14:paraId="5C94C0A7"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2D56D229" w14:textId="77777777" w:rsidTr="00AD72E5">
        <w:trPr>
          <w:trHeight w:val="203"/>
        </w:trPr>
        <w:tc>
          <w:tcPr>
            <w:tcW w:w="1903" w:type="dxa"/>
          </w:tcPr>
          <w:p w14:paraId="5BCF9453"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ПКМД2B </w:t>
            </w:r>
          </w:p>
        </w:tc>
        <w:tc>
          <w:tcPr>
            <w:tcW w:w="2174" w:type="dxa"/>
          </w:tcPr>
          <w:p w14:paraId="457A242C" w14:textId="77777777" w:rsidR="00BE0B19" w:rsidRPr="00AE47C6" w:rsidRDefault="00BE0B19" w:rsidP="00BE0B19">
            <w:pPr>
              <w:spacing w:after="0" w:line="360" w:lineRule="auto"/>
              <w:rPr>
                <w:rFonts w:ascii="Times New Roman" w:hAnsi="Times New Roman"/>
                <w:b/>
                <w:i/>
                <w:sz w:val="24"/>
                <w:szCs w:val="24"/>
              </w:rPr>
            </w:pPr>
            <w:r w:rsidRPr="00AE47C6">
              <w:rPr>
                <w:rFonts w:ascii="Times New Roman" w:hAnsi="Times New Roman"/>
                <w:b/>
                <w:i/>
                <w:sz w:val="24"/>
                <w:szCs w:val="24"/>
              </w:rPr>
              <w:t>DYSF/ Dysferlin</w:t>
            </w:r>
          </w:p>
        </w:tc>
        <w:tc>
          <w:tcPr>
            <w:tcW w:w="1843" w:type="dxa"/>
          </w:tcPr>
          <w:p w14:paraId="79CA74A9"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Мускулни дистрофии с нарушено възстановяване на клетъчната мембрана</w:t>
            </w:r>
          </w:p>
        </w:tc>
        <w:tc>
          <w:tcPr>
            <w:tcW w:w="1995" w:type="dxa"/>
          </w:tcPr>
          <w:p w14:paraId="66EA7EF0"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R2 dysferlin- свързана</w:t>
            </w:r>
          </w:p>
        </w:tc>
        <w:tc>
          <w:tcPr>
            <w:tcW w:w="1440" w:type="dxa"/>
          </w:tcPr>
          <w:p w14:paraId="4D14ADA8"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3CD2592A" w14:textId="77777777" w:rsidTr="00AD72E5">
        <w:trPr>
          <w:trHeight w:val="203"/>
        </w:trPr>
        <w:tc>
          <w:tcPr>
            <w:tcW w:w="1903" w:type="dxa"/>
          </w:tcPr>
          <w:p w14:paraId="76C93759"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ПКМД2C </w:t>
            </w:r>
          </w:p>
        </w:tc>
        <w:tc>
          <w:tcPr>
            <w:tcW w:w="2174" w:type="dxa"/>
          </w:tcPr>
          <w:p w14:paraId="205D43F9" w14:textId="77777777" w:rsidR="00BE0B19" w:rsidRPr="00AE47C6" w:rsidRDefault="00BE0B19" w:rsidP="00BE0B19">
            <w:pPr>
              <w:spacing w:after="0" w:line="360" w:lineRule="auto"/>
              <w:rPr>
                <w:rFonts w:ascii="Times New Roman" w:hAnsi="Times New Roman"/>
                <w:b/>
                <w:i/>
                <w:sz w:val="24"/>
                <w:szCs w:val="24"/>
              </w:rPr>
            </w:pPr>
            <w:r w:rsidRPr="00AE47C6">
              <w:rPr>
                <w:rFonts w:ascii="Times New Roman" w:hAnsi="Times New Roman"/>
                <w:b/>
                <w:i/>
                <w:sz w:val="24"/>
                <w:szCs w:val="24"/>
              </w:rPr>
              <w:t>SGCG/ ɣ-sarcoglycan</w:t>
            </w:r>
          </w:p>
        </w:tc>
        <w:tc>
          <w:tcPr>
            <w:tcW w:w="1843" w:type="dxa"/>
          </w:tcPr>
          <w:p w14:paraId="35057E00"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Саркогликанопатии</w:t>
            </w:r>
          </w:p>
        </w:tc>
        <w:tc>
          <w:tcPr>
            <w:tcW w:w="1995" w:type="dxa"/>
          </w:tcPr>
          <w:p w14:paraId="2EBF97F9"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R5 ɣ -sarcoglycan- свързана</w:t>
            </w:r>
          </w:p>
        </w:tc>
        <w:tc>
          <w:tcPr>
            <w:tcW w:w="1440" w:type="dxa"/>
          </w:tcPr>
          <w:p w14:paraId="0735FA5C"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26A91246" w14:textId="77777777" w:rsidTr="00AD72E5">
        <w:trPr>
          <w:trHeight w:val="203"/>
        </w:trPr>
        <w:tc>
          <w:tcPr>
            <w:tcW w:w="1903" w:type="dxa"/>
          </w:tcPr>
          <w:p w14:paraId="6CB36D82"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ПКМД2D </w:t>
            </w:r>
          </w:p>
        </w:tc>
        <w:tc>
          <w:tcPr>
            <w:tcW w:w="2174" w:type="dxa"/>
          </w:tcPr>
          <w:p w14:paraId="3A7CF87B" w14:textId="77777777" w:rsidR="00BE0B19" w:rsidRPr="00AE47C6" w:rsidRDefault="00BE0B19" w:rsidP="00BE0B19">
            <w:pPr>
              <w:spacing w:after="0" w:line="360" w:lineRule="auto"/>
              <w:rPr>
                <w:rFonts w:ascii="Times New Roman" w:hAnsi="Times New Roman"/>
                <w:b/>
                <w:i/>
                <w:sz w:val="24"/>
                <w:szCs w:val="24"/>
              </w:rPr>
            </w:pPr>
            <w:r w:rsidRPr="00AE47C6">
              <w:rPr>
                <w:rFonts w:ascii="Times New Roman" w:hAnsi="Times New Roman"/>
                <w:b/>
                <w:i/>
                <w:sz w:val="24"/>
                <w:szCs w:val="24"/>
              </w:rPr>
              <w:t>SGCA/ a-sarcoglycan</w:t>
            </w:r>
          </w:p>
        </w:tc>
        <w:tc>
          <w:tcPr>
            <w:tcW w:w="1843" w:type="dxa"/>
          </w:tcPr>
          <w:p w14:paraId="67556205"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Саркогликанопатии</w:t>
            </w:r>
          </w:p>
        </w:tc>
        <w:tc>
          <w:tcPr>
            <w:tcW w:w="1995" w:type="dxa"/>
          </w:tcPr>
          <w:p w14:paraId="519E43C4"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R3 a –sarcoglycan- свързана</w:t>
            </w:r>
          </w:p>
        </w:tc>
        <w:tc>
          <w:tcPr>
            <w:tcW w:w="1440" w:type="dxa"/>
          </w:tcPr>
          <w:p w14:paraId="3F9A89E6"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018BFF9E" w14:textId="77777777" w:rsidTr="00AD72E5">
        <w:trPr>
          <w:trHeight w:val="203"/>
        </w:trPr>
        <w:tc>
          <w:tcPr>
            <w:tcW w:w="1903" w:type="dxa"/>
          </w:tcPr>
          <w:p w14:paraId="3F2ED97A"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ПКМД2E </w:t>
            </w:r>
          </w:p>
        </w:tc>
        <w:tc>
          <w:tcPr>
            <w:tcW w:w="2174" w:type="dxa"/>
          </w:tcPr>
          <w:p w14:paraId="0359F331" w14:textId="77777777" w:rsidR="00BE0B19" w:rsidRPr="00AE47C6" w:rsidRDefault="00BE0B19" w:rsidP="00BE0B19">
            <w:pPr>
              <w:spacing w:after="0" w:line="360" w:lineRule="auto"/>
              <w:rPr>
                <w:rFonts w:ascii="Times New Roman" w:hAnsi="Times New Roman"/>
                <w:b/>
                <w:i/>
                <w:sz w:val="24"/>
                <w:szCs w:val="24"/>
              </w:rPr>
            </w:pPr>
            <w:r w:rsidRPr="00AE47C6">
              <w:rPr>
                <w:rFonts w:ascii="Times New Roman" w:hAnsi="Times New Roman"/>
                <w:b/>
                <w:i/>
                <w:sz w:val="24"/>
                <w:szCs w:val="24"/>
              </w:rPr>
              <w:t>SGCB/ b-sarcoglycan</w:t>
            </w:r>
          </w:p>
        </w:tc>
        <w:tc>
          <w:tcPr>
            <w:tcW w:w="1843" w:type="dxa"/>
          </w:tcPr>
          <w:p w14:paraId="2CD3586C"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Саркогликанопатии</w:t>
            </w:r>
          </w:p>
        </w:tc>
        <w:tc>
          <w:tcPr>
            <w:tcW w:w="1995" w:type="dxa"/>
          </w:tcPr>
          <w:p w14:paraId="42F3F4DC"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R4 b-sarcoglycan- свързана</w:t>
            </w:r>
          </w:p>
        </w:tc>
        <w:tc>
          <w:tcPr>
            <w:tcW w:w="1440" w:type="dxa"/>
          </w:tcPr>
          <w:p w14:paraId="24057CA8"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0FC4678F" w14:textId="77777777" w:rsidTr="00AD72E5">
        <w:trPr>
          <w:trHeight w:val="203"/>
        </w:trPr>
        <w:tc>
          <w:tcPr>
            <w:tcW w:w="1903" w:type="dxa"/>
          </w:tcPr>
          <w:p w14:paraId="72DA07EB"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LGMD2F </w:t>
            </w:r>
          </w:p>
        </w:tc>
        <w:tc>
          <w:tcPr>
            <w:tcW w:w="2174" w:type="dxa"/>
          </w:tcPr>
          <w:p w14:paraId="316EB311" w14:textId="77777777" w:rsidR="00BE0B19" w:rsidRPr="00AE47C6" w:rsidRDefault="00BE0B19" w:rsidP="00BE0B19">
            <w:pPr>
              <w:spacing w:after="0" w:line="360" w:lineRule="auto"/>
              <w:rPr>
                <w:rFonts w:ascii="Times New Roman" w:hAnsi="Times New Roman"/>
                <w:b/>
                <w:i/>
                <w:sz w:val="24"/>
                <w:szCs w:val="24"/>
              </w:rPr>
            </w:pPr>
            <w:r w:rsidRPr="00AE47C6">
              <w:rPr>
                <w:rFonts w:ascii="Times New Roman" w:hAnsi="Times New Roman"/>
                <w:b/>
                <w:i/>
                <w:sz w:val="24"/>
                <w:szCs w:val="24"/>
              </w:rPr>
              <w:t>SGCD/ d-sarcoglycan</w:t>
            </w:r>
          </w:p>
        </w:tc>
        <w:tc>
          <w:tcPr>
            <w:tcW w:w="1843" w:type="dxa"/>
          </w:tcPr>
          <w:p w14:paraId="7ED85961"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Саркогликанопатии</w:t>
            </w:r>
          </w:p>
        </w:tc>
        <w:tc>
          <w:tcPr>
            <w:tcW w:w="1995" w:type="dxa"/>
          </w:tcPr>
          <w:p w14:paraId="4CE9E602"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R6 d –sarcoglycan- свързана</w:t>
            </w:r>
          </w:p>
        </w:tc>
        <w:tc>
          <w:tcPr>
            <w:tcW w:w="1440" w:type="dxa"/>
          </w:tcPr>
          <w:p w14:paraId="4429B9A9"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41BEAB12" w14:textId="77777777" w:rsidTr="00AD72E5">
        <w:trPr>
          <w:trHeight w:val="203"/>
        </w:trPr>
        <w:tc>
          <w:tcPr>
            <w:tcW w:w="1903" w:type="dxa"/>
          </w:tcPr>
          <w:p w14:paraId="7CC58048"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ПКМД2G </w:t>
            </w:r>
          </w:p>
        </w:tc>
        <w:tc>
          <w:tcPr>
            <w:tcW w:w="2174" w:type="dxa"/>
          </w:tcPr>
          <w:p w14:paraId="3FD75838" w14:textId="77777777" w:rsidR="00BE0B19" w:rsidRPr="00AE47C6" w:rsidRDefault="00BE0B19" w:rsidP="00BE0B19">
            <w:pPr>
              <w:spacing w:after="0" w:line="360" w:lineRule="auto"/>
              <w:rPr>
                <w:rFonts w:ascii="Times New Roman" w:hAnsi="Times New Roman"/>
                <w:b/>
                <w:i/>
                <w:sz w:val="24"/>
                <w:szCs w:val="24"/>
              </w:rPr>
            </w:pPr>
            <w:r w:rsidRPr="00AE47C6">
              <w:rPr>
                <w:rFonts w:ascii="Times New Roman" w:hAnsi="Times New Roman"/>
                <w:b/>
                <w:i/>
                <w:sz w:val="24"/>
                <w:szCs w:val="24"/>
              </w:rPr>
              <w:t xml:space="preserve"> TCAP/ Telethonin</w:t>
            </w:r>
          </w:p>
        </w:tc>
        <w:tc>
          <w:tcPr>
            <w:tcW w:w="1843" w:type="dxa"/>
          </w:tcPr>
          <w:p w14:paraId="4360452B"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Z-диск протеинопатии</w:t>
            </w:r>
          </w:p>
        </w:tc>
        <w:tc>
          <w:tcPr>
            <w:tcW w:w="1995" w:type="dxa"/>
          </w:tcPr>
          <w:p w14:paraId="5F4A60E1"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R7 telethonin- свързана</w:t>
            </w:r>
          </w:p>
        </w:tc>
        <w:tc>
          <w:tcPr>
            <w:tcW w:w="1440" w:type="dxa"/>
          </w:tcPr>
          <w:p w14:paraId="437384E9"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264170B6" w14:textId="77777777" w:rsidTr="00AD72E5">
        <w:trPr>
          <w:trHeight w:val="203"/>
        </w:trPr>
        <w:tc>
          <w:tcPr>
            <w:tcW w:w="1903" w:type="dxa"/>
          </w:tcPr>
          <w:p w14:paraId="4AB5B5DE"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ПКМД2H </w:t>
            </w:r>
          </w:p>
        </w:tc>
        <w:tc>
          <w:tcPr>
            <w:tcW w:w="2174" w:type="dxa"/>
          </w:tcPr>
          <w:p w14:paraId="380EE7CE" w14:textId="77777777" w:rsidR="00BE0B19" w:rsidRPr="00AE47C6" w:rsidRDefault="00BE0B19" w:rsidP="00BE0B19">
            <w:pPr>
              <w:spacing w:after="0" w:line="360" w:lineRule="auto"/>
              <w:rPr>
                <w:rFonts w:ascii="Times New Roman" w:hAnsi="Times New Roman"/>
                <w:b/>
                <w:i/>
                <w:sz w:val="24"/>
                <w:szCs w:val="24"/>
              </w:rPr>
            </w:pPr>
            <w:r w:rsidRPr="00AE47C6">
              <w:rPr>
                <w:rFonts w:ascii="Times New Roman" w:hAnsi="Times New Roman"/>
                <w:b/>
                <w:i/>
                <w:sz w:val="24"/>
                <w:szCs w:val="24"/>
              </w:rPr>
              <w:t>TRIM32/Tripartite motif containing-32</w:t>
            </w:r>
          </w:p>
        </w:tc>
        <w:tc>
          <w:tcPr>
            <w:tcW w:w="1843" w:type="dxa"/>
          </w:tcPr>
          <w:p w14:paraId="2EDFA1BA"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w:t>
            </w:r>
          </w:p>
        </w:tc>
        <w:tc>
          <w:tcPr>
            <w:tcW w:w="1995" w:type="dxa"/>
          </w:tcPr>
          <w:p w14:paraId="544C38E2"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R8 TRIM 32-свързани</w:t>
            </w:r>
          </w:p>
        </w:tc>
        <w:tc>
          <w:tcPr>
            <w:tcW w:w="1440" w:type="dxa"/>
          </w:tcPr>
          <w:p w14:paraId="0B2F078D"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055C33CB" w14:textId="77777777" w:rsidTr="00AD72E5">
        <w:trPr>
          <w:trHeight w:val="203"/>
        </w:trPr>
        <w:tc>
          <w:tcPr>
            <w:tcW w:w="1903" w:type="dxa"/>
          </w:tcPr>
          <w:p w14:paraId="378DAA58"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ПКМД2I </w:t>
            </w:r>
          </w:p>
        </w:tc>
        <w:tc>
          <w:tcPr>
            <w:tcW w:w="2174" w:type="dxa"/>
          </w:tcPr>
          <w:p w14:paraId="50CCBC99" w14:textId="77777777" w:rsidR="00BE0B19" w:rsidRPr="00AE47C6" w:rsidRDefault="00BE0B19" w:rsidP="00BE0B19">
            <w:pPr>
              <w:spacing w:after="0" w:line="360" w:lineRule="auto"/>
              <w:rPr>
                <w:rFonts w:ascii="Times New Roman" w:hAnsi="Times New Roman"/>
                <w:b/>
                <w:i/>
                <w:sz w:val="24"/>
                <w:szCs w:val="24"/>
              </w:rPr>
            </w:pPr>
            <w:r w:rsidRPr="00AE47C6">
              <w:rPr>
                <w:rFonts w:ascii="Times New Roman" w:hAnsi="Times New Roman"/>
                <w:b/>
                <w:i/>
                <w:sz w:val="24"/>
                <w:szCs w:val="24"/>
              </w:rPr>
              <w:t>FKRP/</w:t>
            </w:r>
            <w:r w:rsidRPr="00AE47C6">
              <w:rPr>
                <w:rFonts w:ascii="Times New Roman" w:hAnsi="Times New Roman"/>
                <w:b/>
                <w:sz w:val="24"/>
                <w:szCs w:val="24"/>
              </w:rPr>
              <w:t xml:space="preserve"> Fukutin-related protein</w:t>
            </w:r>
          </w:p>
        </w:tc>
        <w:tc>
          <w:tcPr>
            <w:tcW w:w="1843" w:type="dxa"/>
          </w:tcPr>
          <w:p w14:paraId="596C101F"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α-дистрогликанопатии</w:t>
            </w:r>
          </w:p>
        </w:tc>
        <w:tc>
          <w:tcPr>
            <w:tcW w:w="1995" w:type="dxa"/>
          </w:tcPr>
          <w:p w14:paraId="21B36D99"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R9 FKRP-свързани</w:t>
            </w:r>
          </w:p>
        </w:tc>
        <w:tc>
          <w:tcPr>
            <w:tcW w:w="1440" w:type="dxa"/>
          </w:tcPr>
          <w:p w14:paraId="7B80557A"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4C48CB7E" w14:textId="77777777" w:rsidTr="00AD72E5">
        <w:trPr>
          <w:trHeight w:val="203"/>
        </w:trPr>
        <w:tc>
          <w:tcPr>
            <w:tcW w:w="1903" w:type="dxa"/>
          </w:tcPr>
          <w:p w14:paraId="3D3B99A2"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ПКМД2J </w:t>
            </w:r>
          </w:p>
        </w:tc>
        <w:tc>
          <w:tcPr>
            <w:tcW w:w="2174" w:type="dxa"/>
          </w:tcPr>
          <w:p w14:paraId="3281C01B" w14:textId="77777777" w:rsidR="00BE0B19" w:rsidRPr="00AE47C6" w:rsidRDefault="00BE0B19" w:rsidP="00BE0B19">
            <w:pPr>
              <w:spacing w:after="0" w:line="360" w:lineRule="auto"/>
              <w:rPr>
                <w:rFonts w:ascii="Times New Roman" w:hAnsi="Times New Roman"/>
                <w:b/>
                <w:i/>
                <w:sz w:val="24"/>
                <w:szCs w:val="24"/>
              </w:rPr>
            </w:pPr>
            <w:r w:rsidRPr="00AE47C6">
              <w:rPr>
                <w:rFonts w:ascii="Times New Roman" w:hAnsi="Times New Roman"/>
                <w:b/>
                <w:i/>
                <w:sz w:val="24"/>
                <w:szCs w:val="24"/>
              </w:rPr>
              <w:t xml:space="preserve">TTN/ </w:t>
            </w:r>
            <w:r w:rsidRPr="00AE47C6">
              <w:rPr>
                <w:rFonts w:ascii="Times New Roman" w:hAnsi="Times New Roman"/>
                <w:b/>
                <w:sz w:val="24"/>
                <w:szCs w:val="24"/>
              </w:rPr>
              <w:t>Titin</w:t>
            </w:r>
          </w:p>
        </w:tc>
        <w:tc>
          <w:tcPr>
            <w:tcW w:w="1843" w:type="dxa"/>
          </w:tcPr>
          <w:p w14:paraId="36B3A6FF"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Z-диск протеинопатии</w:t>
            </w:r>
          </w:p>
        </w:tc>
        <w:tc>
          <w:tcPr>
            <w:tcW w:w="1995" w:type="dxa"/>
          </w:tcPr>
          <w:p w14:paraId="251A60A7"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R10 Titin- свързана</w:t>
            </w:r>
          </w:p>
        </w:tc>
        <w:tc>
          <w:tcPr>
            <w:tcW w:w="1440" w:type="dxa"/>
          </w:tcPr>
          <w:p w14:paraId="7FFA9C3D"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7513AD2C" w14:textId="77777777" w:rsidTr="00AD72E5">
        <w:trPr>
          <w:trHeight w:val="203"/>
        </w:trPr>
        <w:tc>
          <w:tcPr>
            <w:tcW w:w="1903" w:type="dxa"/>
          </w:tcPr>
          <w:p w14:paraId="1FB37A04"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ПКМД2K </w:t>
            </w:r>
          </w:p>
        </w:tc>
        <w:tc>
          <w:tcPr>
            <w:tcW w:w="2174" w:type="dxa"/>
          </w:tcPr>
          <w:p w14:paraId="435CABBE"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POMT1/ Protein-O-mannosyl transferase-1  </w:t>
            </w:r>
          </w:p>
        </w:tc>
        <w:tc>
          <w:tcPr>
            <w:tcW w:w="1843" w:type="dxa"/>
          </w:tcPr>
          <w:p w14:paraId="55356C04"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α-дистрогликанопатии</w:t>
            </w:r>
          </w:p>
        </w:tc>
        <w:tc>
          <w:tcPr>
            <w:tcW w:w="1995" w:type="dxa"/>
          </w:tcPr>
          <w:p w14:paraId="7D7DC70A"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R11 POMT1-свързана</w:t>
            </w:r>
          </w:p>
        </w:tc>
        <w:tc>
          <w:tcPr>
            <w:tcW w:w="1440" w:type="dxa"/>
          </w:tcPr>
          <w:p w14:paraId="5D49D8EC"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0B12D9BE" w14:textId="77777777" w:rsidTr="00AD72E5">
        <w:trPr>
          <w:trHeight w:val="203"/>
        </w:trPr>
        <w:tc>
          <w:tcPr>
            <w:tcW w:w="1903" w:type="dxa"/>
          </w:tcPr>
          <w:p w14:paraId="0EE77037"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ПКМД2L </w:t>
            </w:r>
          </w:p>
        </w:tc>
        <w:tc>
          <w:tcPr>
            <w:tcW w:w="2174" w:type="dxa"/>
          </w:tcPr>
          <w:p w14:paraId="5FC8B1F0"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ANO5/ Anoctamin-5</w:t>
            </w:r>
          </w:p>
        </w:tc>
        <w:tc>
          <w:tcPr>
            <w:tcW w:w="1843" w:type="dxa"/>
          </w:tcPr>
          <w:p w14:paraId="315F3ABA"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Мускулни дистрофии с нарушено възстановяване на клетъчната мембрана </w:t>
            </w:r>
          </w:p>
        </w:tc>
        <w:tc>
          <w:tcPr>
            <w:tcW w:w="1995" w:type="dxa"/>
          </w:tcPr>
          <w:p w14:paraId="2D5CB2AF"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R12 anoctamin5-</w:t>
            </w:r>
          </w:p>
          <w:p w14:paraId="583FB77E"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свързана</w:t>
            </w:r>
          </w:p>
        </w:tc>
        <w:tc>
          <w:tcPr>
            <w:tcW w:w="1440" w:type="dxa"/>
          </w:tcPr>
          <w:p w14:paraId="1F6F4766"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61216A22" w14:textId="77777777" w:rsidTr="00AD72E5">
        <w:trPr>
          <w:trHeight w:val="203"/>
        </w:trPr>
        <w:tc>
          <w:tcPr>
            <w:tcW w:w="1903" w:type="dxa"/>
          </w:tcPr>
          <w:p w14:paraId="6D37FEA6"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ПКМД2M </w:t>
            </w:r>
          </w:p>
        </w:tc>
        <w:tc>
          <w:tcPr>
            <w:tcW w:w="2174" w:type="dxa"/>
          </w:tcPr>
          <w:p w14:paraId="18312217"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FKTN/ Fukutin </w:t>
            </w:r>
          </w:p>
        </w:tc>
        <w:tc>
          <w:tcPr>
            <w:tcW w:w="1843" w:type="dxa"/>
          </w:tcPr>
          <w:p w14:paraId="2FF58288"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α-дистрогликанопатии</w:t>
            </w:r>
          </w:p>
        </w:tc>
        <w:tc>
          <w:tcPr>
            <w:tcW w:w="1995" w:type="dxa"/>
          </w:tcPr>
          <w:p w14:paraId="789D5B64"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R13 Fukutin-свързана</w:t>
            </w:r>
          </w:p>
        </w:tc>
        <w:tc>
          <w:tcPr>
            <w:tcW w:w="1440" w:type="dxa"/>
          </w:tcPr>
          <w:p w14:paraId="47C8102D"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2DC8B8F3" w14:textId="77777777" w:rsidTr="00AD72E5">
        <w:trPr>
          <w:trHeight w:val="203"/>
        </w:trPr>
        <w:tc>
          <w:tcPr>
            <w:tcW w:w="1903" w:type="dxa"/>
          </w:tcPr>
          <w:p w14:paraId="59F187BF"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ПКМД2N </w:t>
            </w:r>
          </w:p>
        </w:tc>
        <w:tc>
          <w:tcPr>
            <w:tcW w:w="2174" w:type="dxa"/>
          </w:tcPr>
          <w:p w14:paraId="21F18BB9"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POMT2/ Protein-O-mannosyl transferase-2  </w:t>
            </w:r>
          </w:p>
        </w:tc>
        <w:tc>
          <w:tcPr>
            <w:tcW w:w="1843" w:type="dxa"/>
          </w:tcPr>
          <w:p w14:paraId="4A89E9CF"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α-дистрогликанопатии</w:t>
            </w:r>
          </w:p>
        </w:tc>
        <w:tc>
          <w:tcPr>
            <w:tcW w:w="1995" w:type="dxa"/>
          </w:tcPr>
          <w:p w14:paraId="27DB8D7B"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R14 POMT2-свързана</w:t>
            </w:r>
          </w:p>
        </w:tc>
        <w:tc>
          <w:tcPr>
            <w:tcW w:w="1440" w:type="dxa"/>
          </w:tcPr>
          <w:p w14:paraId="2CCF7503"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0ED0618A" w14:textId="77777777" w:rsidTr="00AD72E5">
        <w:trPr>
          <w:trHeight w:val="203"/>
        </w:trPr>
        <w:tc>
          <w:tcPr>
            <w:tcW w:w="1903" w:type="dxa"/>
          </w:tcPr>
          <w:p w14:paraId="086C1959"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ПКМД2O </w:t>
            </w:r>
          </w:p>
        </w:tc>
        <w:tc>
          <w:tcPr>
            <w:tcW w:w="2174" w:type="dxa"/>
          </w:tcPr>
          <w:p w14:paraId="3615215B"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POMGNT1/ Protein-O-mannose b-1,2-N-acetylglucosaminyltransferase </w:t>
            </w:r>
          </w:p>
        </w:tc>
        <w:tc>
          <w:tcPr>
            <w:tcW w:w="1843" w:type="dxa"/>
          </w:tcPr>
          <w:p w14:paraId="63AD7879"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α-дистрогликанопатии</w:t>
            </w:r>
          </w:p>
        </w:tc>
        <w:tc>
          <w:tcPr>
            <w:tcW w:w="1995" w:type="dxa"/>
          </w:tcPr>
          <w:p w14:paraId="10F3A0B0"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R15 POMGnT1-</w:t>
            </w:r>
          </w:p>
          <w:p w14:paraId="6D683489"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свързана</w:t>
            </w:r>
          </w:p>
        </w:tc>
        <w:tc>
          <w:tcPr>
            <w:tcW w:w="1440" w:type="dxa"/>
          </w:tcPr>
          <w:p w14:paraId="51B4593D"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49A1117D" w14:textId="77777777" w:rsidTr="00AD72E5">
        <w:trPr>
          <w:trHeight w:val="203"/>
        </w:trPr>
        <w:tc>
          <w:tcPr>
            <w:tcW w:w="1903" w:type="dxa"/>
          </w:tcPr>
          <w:p w14:paraId="6B3A9F95"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ПКМД2P </w:t>
            </w:r>
          </w:p>
        </w:tc>
        <w:tc>
          <w:tcPr>
            <w:tcW w:w="2174" w:type="dxa"/>
          </w:tcPr>
          <w:p w14:paraId="4308F6AA"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DAG1/ Dystrophin-associated glycoprotein-1 (a-dystroglycan)</w:t>
            </w:r>
          </w:p>
        </w:tc>
        <w:tc>
          <w:tcPr>
            <w:tcW w:w="1843" w:type="dxa"/>
          </w:tcPr>
          <w:p w14:paraId="49EBA203"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α-дистрогликанопатии</w:t>
            </w:r>
          </w:p>
        </w:tc>
        <w:tc>
          <w:tcPr>
            <w:tcW w:w="1995" w:type="dxa"/>
          </w:tcPr>
          <w:p w14:paraId="6FB32727"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R16 а-dystroglycan- свързана</w:t>
            </w:r>
          </w:p>
        </w:tc>
        <w:tc>
          <w:tcPr>
            <w:tcW w:w="1440" w:type="dxa"/>
          </w:tcPr>
          <w:p w14:paraId="46F1E9BF"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757881A6" w14:textId="77777777" w:rsidTr="00AD72E5">
        <w:trPr>
          <w:trHeight w:val="203"/>
        </w:trPr>
        <w:tc>
          <w:tcPr>
            <w:tcW w:w="1903" w:type="dxa"/>
          </w:tcPr>
          <w:p w14:paraId="4328BEBA"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ПКМД2Q </w:t>
            </w:r>
          </w:p>
        </w:tc>
        <w:tc>
          <w:tcPr>
            <w:tcW w:w="2174" w:type="dxa"/>
          </w:tcPr>
          <w:p w14:paraId="0D29C901"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PLEC1/ Plectin </w:t>
            </w:r>
          </w:p>
        </w:tc>
        <w:tc>
          <w:tcPr>
            <w:tcW w:w="1843" w:type="dxa"/>
          </w:tcPr>
          <w:p w14:paraId="1710E044"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Z-дискпротеинопатии</w:t>
            </w:r>
          </w:p>
        </w:tc>
        <w:tc>
          <w:tcPr>
            <w:tcW w:w="1995" w:type="dxa"/>
          </w:tcPr>
          <w:p w14:paraId="7D784D51"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R17 plectin-свързана</w:t>
            </w:r>
          </w:p>
        </w:tc>
        <w:tc>
          <w:tcPr>
            <w:tcW w:w="1440" w:type="dxa"/>
          </w:tcPr>
          <w:p w14:paraId="0B3B1A9C"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3FB9A76D" w14:textId="77777777" w:rsidTr="00AD72E5">
        <w:trPr>
          <w:trHeight w:val="203"/>
        </w:trPr>
        <w:tc>
          <w:tcPr>
            <w:tcW w:w="1903" w:type="dxa"/>
          </w:tcPr>
          <w:p w14:paraId="2B12B93D"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 xml:space="preserve">ПКМД2R </w:t>
            </w:r>
          </w:p>
        </w:tc>
        <w:tc>
          <w:tcPr>
            <w:tcW w:w="2174" w:type="dxa"/>
          </w:tcPr>
          <w:p w14:paraId="08591D6C"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 xml:space="preserve">DES/ Desmin </w:t>
            </w:r>
          </w:p>
        </w:tc>
        <w:tc>
          <w:tcPr>
            <w:tcW w:w="1843" w:type="dxa"/>
          </w:tcPr>
          <w:p w14:paraId="5DCA7DEB"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Z-диск протеинопатии</w:t>
            </w:r>
          </w:p>
        </w:tc>
        <w:tc>
          <w:tcPr>
            <w:tcW w:w="1995" w:type="dxa"/>
          </w:tcPr>
          <w:p w14:paraId="3C4D775D"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Миофибрилерни миопатии</w:t>
            </w:r>
          </w:p>
        </w:tc>
        <w:tc>
          <w:tcPr>
            <w:tcW w:w="1440" w:type="dxa"/>
          </w:tcPr>
          <w:p w14:paraId="02E90035"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Дистална слабост</w:t>
            </w:r>
          </w:p>
        </w:tc>
      </w:tr>
      <w:tr w:rsidR="00BE0B19" w:rsidRPr="00AE47C6" w14:paraId="0406C43F" w14:textId="77777777" w:rsidTr="00AD72E5">
        <w:trPr>
          <w:trHeight w:val="203"/>
        </w:trPr>
        <w:tc>
          <w:tcPr>
            <w:tcW w:w="1903" w:type="dxa"/>
          </w:tcPr>
          <w:p w14:paraId="5058E6F4"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 2S </w:t>
            </w:r>
          </w:p>
        </w:tc>
        <w:tc>
          <w:tcPr>
            <w:tcW w:w="2174" w:type="dxa"/>
          </w:tcPr>
          <w:p w14:paraId="7DA0EDC3"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TRAPPC11/ Transport protein particle complex 11  </w:t>
            </w:r>
          </w:p>
        </w:tc>
        <w:tc>
          <w:tcPr>
            <w:tcW w:w="1843" w:type="dxa"/>
          </w:tcPr>
          <w:p w14:paraId="21CE4ADA"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α-дистрогликанопатии</w:t>
            </w:r>
          </w:p>
        </w:tc>
        <w:tc>
          <w:tcPr>
            <w:tcW w:w="1995" w:type="dxa"/>
          </w:tcPr>
          <w:p w14:paraId="021A4E2A"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R18 TRAPPC11- свързана</w:t>
            </w:r>
          </w:p>
        </w:tc>
        <w:tc>
          <w:tcPr>
            <w:tcW w:w="1440" w:type="dxa"/>
          </w:tcPr>
          <w:p w14:paraId="463540E1"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2ADE607C" w14:textId="77777777" w:rsidTr="00AD72E5">
        <w:trPr>
          <w:trHeight w:val="203"/>
        </w:trPr>
        <w:tc>
          <w:tcPr>
            <w:tcW w:w="1903" w:type="dxa"/>
          </w:tcPr>
          <w:p w14:paraId="12A35A77"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 2T </w:t>
            </w:r>
          </w:p>
        </w:tc>
        <w:tc>
          <w:tcPr>
            <w:tcW w:w="2174" w:type="dxa"/>
          </w:tcPr>
          <w:p w14:paraId="1FD235D7"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GMPPB/ GDP-mannose pyrophosphorylase B </w:t>
            </w:r>
          </w:p>
        </w:tc>
        <w:tc>
          <w:tcPr>
            <w:tcW w:w="1843" w:type="dxa"/>
          </w:tcPr>
          <w:p w14:paraId="5E682BD5"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α-дистрогликанопатии</w:t>
            </w:r>
          </w:p>
        </w:tc>
        <w:tc>
          <w:tcPr>
            <w:tcW w:w="1995" w:type="dxa"/>
          </w:tcPr>
          <w:p w14:paraId="5D666318"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R19 GMPPB-свързана</w:t>
            </w:r>
          </w:p>
        </w:tc>
        <w:tc>
          <w:tcPr>
            <w:tcW w:w="1440" w:type="dxa"/>
          </w:tcPr>
          <w:p w14:paraId="3BF46BF5" w14:textId="77777777" w:rsidR="00BE0B19" w:rsidRPr="00AE47C6" w:rsidRDefault="00BE0B19" w:rsidP="00BE0B19">
            <w:pPr>
              <w:spacing w:after="0" w:line="360" w:lineRule="auto"/>
              <w:rPr>
                <w:rFonts w:ascii="Times New Roman" w:hAnsi="Times New Roman"/>
                <w:sz w:val="24"/>
                <w:szCs w:val="24"/>
              </w:rPr>
            </w:pPr>
          </w:p>
        </w:tc>
      </w:tr>
      <w:tr w:rsidR="00BE0B19" w:rsidRPr="00AE47C6" w14:paraId="420594C0" w14:textId="77777777" w:rsidTr="00AD72E5">
        <w:trPr>
          <w:trHeight w:val="203"/>
        </w:trPr>
        <w:tc>
          <w:tcPr>
            <w:tcW w:w="1903" w:type="dxa"/>
          </w:tcPr>
          <w:p w14:paraId="30283DA7"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 2U </w:t>
            </w:r>
          </w:p>
        </w:tc>
        <w:tc>
          <w:tcPr>
            <w:tcW w:w="2174" w:type="dxa"/>
          </w:tcPr>
          <w:p w14:paraId="12D209E2"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ISPD/ Isoprenoid synthase domain–containing protein </w:t>
            </w:r>
          </w:p>
        </w:tc>
        <w:tc>
          <w:tcPr>
            <w:tcW w:w="1843" w:type="dxa"/>
          </w:tcPr>
          <w:p w14:paraId="1ED1F141"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α-дистрогликанопатии</w:t>
            </w:r>
          </w:p>
        </w:tc>
        <w:tc>
          <w:tcPr>
            <w:tcW w:w="1995" w:type="dxa"/>
          </w:tcPr>
          <w:p w14:paraId="77210F65"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R20 ISPD-свързана</w:t>
            </w:r>
          </w:p>
        </w:tc>
        <w:tc>
          <w:tcPr>
            <w:tcW w:w="1440" w:type="dxa"/>
          </w:tcPr>
          <w:p w14:paraId="4A588C27"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4961648B" w14:textId="77777777" w:rsidTr="00AD72E5">
        <w:trPr>
          <w:trHeight w:val="203"/>
        </w:trPr>
        <w:tc>
          <w:tcPr>
            <w:tcW w:w="1903" w:type="dxa"/>
          </w:tcPr>
          <w:p w14:paraId="6B2868C2"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 xml:space="preserve">ПКМД 2V </w:t>
            </w:r>
          </w:p>
        </w:tc>
        <w:tc>
          <w:tcPr>
            <w:tcW w:w="2174" w:type="dxa"/>
          </w:tcPr>
          <w:p w14:paraId="0847C09C"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 xml:space="preserve">GAA/ a-1,4-glucosidase </w:t>
            </w:r>
          </w:p>
        </w:tc>
        <w:tc>
          <w:tcPr>
            <w:tcW w:w="1843" w:type="dxa"/>
          </w:tcPr>
          <w:p w14:paraId="43B4C3F7"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w:t>
            </w:r>
          </w:p>
        </w:tc>
        <w:tc>
          <w:tcPr>
            <w:tcW w:w="1995" w:type="dxa"/>
          </w:tcPr>
          <w:p w14:paraId="08CEA36A"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 xml:space="preserve">Болест на Pompe </w:t>
            </w:r>
          </w:p>
        </w:tc>
        <w:tc>
          <w:tcPr>
            <w:tcW w:w="1440" w:type="dxa"/>
          </w:tcPr>
          <w:p w14:paraId="7A5FD453"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Метаболитна миопатия</w:t>
            </w:r>
          </w:p>
        </w:tc>
      </w:tr>
      <w:tr w:rsidR="00BE0B19" w:rsidRPr="00AE47C6" w14:paraId="0A0DF48C" w14:textId="77777777" w:rsidTr="00AD72E5">
        <w:trPr>
          <w:trHeight w:val="203"/>
        </w:trPr>
        <w:tc>
          <w:tcPr>
            <w:tcW w:w="1903" w:type="dxa"/>
          </w:tcPr>
          <w:p w14:paraId="385B1405"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 xml:space="preserve">ПКМД2W </w:t>
            </w:r>
          </w:p>
        </w:tc>
        <w:tc>
          <w:tcPr>
            <w:tcW w:w="2174" w:type="dxa"/>
          </w:tcPr>
          <w:p w14:paraId="191BD065"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 xml:space="preserve">LIMS2/ LIM и senescent cell antigen like domains 2  </w:t>
            </w:r>
          </w:p>
        </w:tc>
        <w:tc>
          <w:tcPr>
            <w:tcW w:w="1843" w:type="dxa"/>
          </w:tcPr>
          <w:p w14:paraId="5B167E98"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w:t>
            </w:r>
          </w:p>
        </w:tc>
        <w:tc>
          <w:tcPr>
            <w:tcW w:w="1995" w:type="dxa"/>
          </w:tcPr>
          <w:p w14:paraId="09036723"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PINCH-2 свързана миопатия</w:t>
            </w:r>
          </w:p>
        </w:tc>
        <w:tc>
          <w:tcPr>
            <w:tcW w:w="1440" w:type="dxa"/>
          </w:tcPr>
          <w:p w14:paraId="62985BFD"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При 1 семейство</w:t>
            </w:r>
          </w:p>
        </w:tc>
      </w:tr>
      <w:tr w:rsidR="00BE0B19" w:rsidRPr="00AE47C6" w14:paraId="35B722A8" w14:textId="77777777" w:rsidTr="00AD72E5">
        <w:trPr>
          <w:trHeight w:val="203"/>
        </w:trPr>
        <w:tc>
          <w:tcPr>
            <w:tcW w:w="1903" w:type="dxa"/>
          </w:tcPr>
          <w:p w14:paraId="546B4718"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 xml:space="preserve">ПКМД2X </w:t>
            </w:r>
          </w:p>
        </w:tc>
        <w:tc>
          <w:tcPr>
            <w:tcW w:w="2174" w:type="dxa"/>
          </w:tcPr>
          <w:p w14:paraId="32935250"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 xml:space="preserve">POPDC1/ Popeye domain–containing protein 1 Nuclear envelopathies </w:t>
            </w:r>
          </w:p>
        </w:tc>
        <w:tc>
          <w:tcPr>
            <w:tcW w:w="1843" w:type="dxa"/>
          </w:tcPr>
          <w:p w14:paraId="58C9A4CC"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Заболявания на ядрената мембрана</w:t>
            </w:r>
          </w:p>
        </w:tc>
        <w:tc>
          <w:tcPr>
            <w:tcW w:w="1995" w:type="dxa"/>
          </w:tcPr>
          <w:p w14:paraId="4AC408DD"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BVES- свързана миопатия</w:t>
            </w:r>
          </w:p>
        </w:tc>
        <w:tc>
          <w:tcPr>
            <w:tcW w:w="1440" w:type="dxa"/>
          </w:tcPr>
          <w:p w14:paraId="5D94EF8F"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При 1 семейство</w:t>
            </w:r>
          </w:p>
        </w:tc>
      </w:tr>
      <w:tr w:rsidR="00BE0B19" w:rsidRPr="00AE47C6" w14:paraId="0EED9632" w14:textId="77777777" w:rsidTr="00AD72E5">
        <w:trPr>
          <w:trHeight w:val="203"/>
        </w:trPr>
        <w:tc>
          <w:tcPr>
            <w:tcW w:w="1903" w:type="dxa"/>
          </w:tcPr>
          <w:p w14:paraId="4DB95B7A"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 xml:space="preserve">ПКМД2Y </w:t>
            </w:r>
          </w:p>
        </w:tc>
        <w:tc>
          <w:tcPr>
            <w:tcW w:w="2174" w:type="dxa"/>
          </w:tcPr>
          <w:p w14:paraId="5AF725FE"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 xml:space="preserve">TOR1AIP1/ Torsin-A interacting protein 1 или lamin-associated protein 1  </w:t>
            </w:r>
          </w:p>
        </w:tc>
        <w:tc>
          <w:tcPr>
            <w:tcW w:w="1843" w:type="dxa"/>
          </w:tcPr>
          <w:p w14:paraId="567976D6"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Заболявания на ядрената мембрана</w:t>
            </w:r>
          </w:p>
        </w:tc>
        <w:tc>
          <w:tcPr>
            <w:tcW w:w="1995" w:type="dxa"/>
          </w:tcPr>
          <w:p w14:paraId="0CD0C95C"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TOR1AIP1- свързана миопатия</w:t>
            </w:r>
          </w:p>
        </w:tc>
        <w:tc>
          <w:tcPr>
            <w:tcW w:w="1440" w:type="dxa"/>
          </w:tcPr>
          <w:p w14:paraId="40C98B30"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При 1 семейство</w:t>
            </w:r>
          </w:p>
        </w:tc>
      </w:tr>
      <w:tr w:rsidR="00BE0B19" w:rsidRPr="00AE47C6" w14:paraId="6C6BFBA0" w14:textId="77777777" w:rsidTr="00AD72E5">
        <w:trPr>
          <w:trHeight w:val="203"/>
        </w:trPr>
        <w:tc>
          <w:tcPr>
            <w:tcW w:w="1903" w:type="dxa"/>
          </w:tcPr>
          <w:p w14:paraId="4BA7A2E7"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ПКМД2Z </w:t>
            </w:r>
          </w:p>
        </w:tc>
        <w:tc>
          <w:tcPr>
            <w:tcW w:w="2174" w:type="dxa"/>
          </w:tcPr>
          <w:p w14:paraId="79214E3B"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 xml:space="preserve">POGLUT1/ Protein O-glucosyltransferase 1  </w:t>
            </w:r>
          </w:p>
        </w:tc>
        <w:tc>
          <w:tcPr>
            <w:tcW w:w="1843" w:type="dxa"/>
          </w:tcPr>
          <w:p w14:paraId="0DC3373B"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α-дистрогликанопатии</w:t>
            </w:r>
          </w:p>
        </w:tc>
        <w:tc>
          <w:tcPr>
            <w:tcW w:w="1995" w:type="dxa"/>
          </w:tcPr>
          <w:p w14:paraId="152A8769"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R21 POGLUT1-свързана</w:t>
            </w:r>
          </w:p>
        </w:tc>
        <w:tc>
          <w:tcPr>
            <w:tcW w:w="1440" w:type="dxa"/>
          </w:tcPr>
          <w:p w14:paraId="1B998ABB"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4183435F" w14:textId="77777777" w:rsidTr="00AD72E5">
        <w:trPr>
          <w:trHeight w:val="203"/>
        </w:trPr>
        <w:tc>
          <w:tcPr>
            <w:tcW w:w="1903" w:type="dxa"/>
          </w:tcPr>
          <w:p w14:paraId="05A12536"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Bethlem</w:t>
            </w:r>
          </w:p>
          <w:p w14:paraId="121D344E"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миопатия- АР</w:t>
            </w:r>
          </w:p>
        </w:tc>
        <w:tc>
          <w:tcPr>
            <w:tcW w:w="2174" w:type="dxa"/>
          </w:tcPr>
          <w:p w14:paraId="056C43D8"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COL6A1,</w:t>
            </w:r>
          </w:p>
          <w:p w14:paraId="25736F17"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COL6A2,</w:t>
            </w:r>
          </w:p>
          <w:p w14:paraId="587992FB"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COL6A3</w:t>
            </w:r>
          </w:p>
        </w:tc>
        <w:tc>
          <w:tcPr>
            <w:tcW w:w="1843" w:type="dxa"/>
          </w:tcPr>
          <w:p w14:paraId="4B0887EA" w14:textId="77777777" w:rsidR="00BE0B19" w:rsidRPr="00AE47C6" w:rsidRDefault="00BE0B19" w:rsidP="00BE0B19">
            <w:pPr>
              <w:spacing w:after="0" w:line="360" w:lineRule="auto"/>
              <w:rPr>
                <w:rFonts w:ascii="Times New Roman" w:hAnsi="Times New Roman"/>
                <w:b/>
                <w:sz w:val="24"/>
                <w:szCs w:val="24"/>
              </w:rPr>
            </w:pPr>
          </w:p>
        </w:tc>
        <w:tc>
          <w:tcPr>
            <w:tcW w:w="1995" w:type="dxa"/>
          </w:tcPr>
          <w:p w14:paraId="215308F5"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R22 collagen 6-свързана</w:t>
            </w:r>
          </w:p>
        </w:tc>
        <w:tc>
          <w:tcPr>
            <w:tcW w:w="1440" w:type="dxa"/>
          </w:tcPr>
          <w:p w14:paraId="098B5688"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30EFA69E" w14:textId="77777777" w:rsidTr="00AD72E5">
        <w:trPr>
          <w:trHeight w:val="1000"/>
        </w:trPr>
        <w:tc>
          <w:tcPr>
            <w:tcW w:w="1903" w:type="dxa"/>
          </w:tcPr>
          <w:p w14:paraId="63BC748B"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Bethlem</w:t>
            </w:r>
          </w:p>
          <w:p w14:paraId="4FCFDAF4"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миопатия- АД</w:t>
            </w:r>
          </w:p>
        </w:tc>
        <w:tc>
          <w:tcPr>
            <w:tcW w:w="2174" w:type="dxa"/>
          </w:tcPr>
          <w:p w14:paraId="740F900A"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COL6A1,</w:t>
            </w:r>
          </w:p>
          <w:p w14:paraId="1415C1D4"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COL6A2,</w:t>
            </w:r>
          </w:p>
          <w:p w14:paraId="21B98E9A"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COL6A3</w:t>
            </w:r>
          </w:p>
        </w:tc>
        <w:tc>
          <w:tcPr>
            <w:tcW w:w="1843" w:type="dxa"/>
          </w:tcPr>
          <w:p w14:paraId="66A06057" w14:textId="77777777" w:rsidR="00BE0B19" w:rsidRPr="00AE47C6" w:rsidRDefault="00BE0B19" w:rsidP="00BE0B19">
            <w:pPr>
              <w:spacing w:after="0" w:line="360" w:lineRule="auto"/>
              <w:rPr>
                <w:rFonts w:ascii="Times New Roman" w:hAnsi="Times New Roman"/>
                <w:b/>
                <w:sz w:val="24"/>
                <w:szCs w:val="24"/>
              </w:rPr>
            </w:pPr>
          </w:p>
        </w:tc>
        <w:tc>
          <w:tcPr>
            <w:tcW w:w="1995" w:type="dxa"/>
          </w:tcPr>
          <w:p w14:paraId="319CE4DD"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D5 collagen 6-свързана</w:t>
            </w:r>
          </w:p>
        </w:tc>
        <w:tc>
          <w:tcPr>
            <w:tcW w:w="1440" w:type="dxa"/>
          </w:tcPr>
          <w:p w14:paraId="6B04C467"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5A601E44" w14:textId="77777777" w:rsidTr="00AD72E5">
        <w:trPr>
          <w:trHeight w:val="203"/>
        </w:trPr>
        <w:tc>
          <w:tcPr>
            <w:tcW w:w="1903" w:type="dxa"/>
          </w:tcPr>
          <w:p w14:paraId="74D7D755"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Laminin α2-</w:t>
            </w:r>
          </w:p>
          <w:p w14:paraId="176CD337"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свързана мускулна дистрофия</w:t>
            </w:r>
          </w:p>
        </w:tc>
        <w:tc>
          <w:tcPr>
            <w:tcW w:w="2174" w:type="dxa"/>
          </w:tcPr>
          <w:p w14:paraId="44EF97DB"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LAMA2</w:t>
            </w:r>
          </w:p>
        </w:tc>
        <w:tc>
          <w:tcPr>
            <w:tcW w:w="1843" w:type="dxa"/>
          </w:tcPr>
          <w:p w14:paraId="36A19336" w14:textId="77777777" w:rsidR="00BE0B19" w:rsidRPr="00AE47C6" w:rsidRDefault="00BE0B19" w:rsidP="00BE0B19">
            <w:pPr>
              <w:spacing w:after="0" w:line="360" w:lineRule="auto"/>
              <w:rPr>
                <w:rFonts w:ascii="Times New Roman" w:hAnsi="Times New Roman"/>
                <w:b/>
                <w:sz w:val="24"/>
                <w:szCs w:val="24"/>
              </w:rPr>
            </w:pPr>
          </w:p>
        </w:tc>
        <w:tc>
          <w:tcPr>
            <w:tcW w:w="1995" w:type="dxa"/>
          </w:tcPr>
          <w:p w14:paraId="6F99529C"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R23 laminin α2-свързана</w:t>
            </w:r>
          </w:p>
        </w:tc>
        <w:tc>
          <w:tcPr>
            <w:tcW w:w="1440" w:type="dxa"/>
          </w:tcPr>
          <w:p w14:paraId="68031C43" w14:textId="77777777" w:rsidR="00BE0B19" w:rsidRPr="00AE47C6" w:rsidRDefault="00BE0B19" w:rsidP="00BE0B19">
            <w:pPr>
              <w:spacing w:after="0" w:line="360" w:lineRule="auto"/>
              <w:rPr>
                <w:rFonts w:ascii="Times New Roman" w:hAnsi="Times New Roman"/>
                <w:b/>
                <w:sz w:val="24"/>
                <w:szCs w:val="24"/>
              </w:rPr>
            </w:pPr>
          </w:p>
        </w:tc>
      </w:tr>
      <w:tr w:rsidR="00BE0B19" w:rsidRPr="00AE47C6" w14:paraId="2ECEFE5A" w14:textId="77777777" w:rsidTr="00AD72E5">
        <w:trPr>
          <w:trHeight w:val="1246"/>
        </w:trPr>
        <w:tc>
          <w:tcPr>
            <w:tcW w:w="1903" w:type="dxa"/>
          </w:tcPr>
          <w:p w14:paraId="3475EE12"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POMGNT2-</w:t>
            </w:r>
          </w:p>
          <w:p w14:paraId="2B3AFA70"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Свързана мускулна дистрофия</w:t>
            </w:r>
          </w:p>
        </w:tc>
        <w:tc>
          <w:tcPr>
            <w:tcW w:w="2174" w:type="dxa"/>
          </w:tcPr>
          <w:p w14:paraId="10A6629F"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POMGNT</w:t>
            </w:r>
          </w:p>
          <w:p w14:paraId="5A222F9F"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2</w:t>
            </w:r>
          </w:p>
        </w:tc>
        <w:tc>
          <w:tcPr>
            <w:tcW w:w="1843" w:type="dxa"/>
          </w:tcPr>
          <w:p w14:paraId="6C89DA00" w14:textId="77777777" w:rsidR="00BE0B19" w:rsidRPr="00AE47C6" w:rsidRDefault="00BE0B19" w:rsidP="00BE0B19">
            <w:pPr>
              <w:spacing w:after="0" w:line="360" w:lineRule="auto"/>
              <w:rPr>
                <w:rFonts w:ascii="Times New Roman" w:hAnsi="Times New Roman"/>
                <w:b/>
                <w:sz w:val="24"/>
                <w:szCs w:val="24"/>
              </w:rPr>
            </w:pPr>
          </w:p>
        </w:tc>
        <w:tc>
          <w:tcPr>
            <w:tcW w:w="1995" w:type="dxa"/>
          </w:tcPr>
          <w:p w14:paraId="7F7D19C6"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ПКМД R24 POMGNT2-</w:t>
            </w:r>
          </w:p>
          <w:p w14:paraId="7D52B0CB" w14:textId="77777777" w:rsidR="00BE0B19" w:rsidRPr="00AE47C6" w:rsidRDefault="00BE0B19" w:rsidP="00BE0B19">
            <w:pPr>
              <w:spacing w:after="0" w:line="360" w:lineRule="auto"/>
              <w:rPr>
                <w:rFonts w:ascii="Times New Roman" w:hAnsi="Times New Roman"/>
                <w:b/>
                <w:sz w:val="24"/>
                <w:szCs w:val="24"/>
              </w:rPr>
            </w:pPr>
            <w:r w:rsidRPr="00AE47C6">
              <w:rPr>
                <w:rFonts w:ascii="Times New Roman" w:hAnsi="Times New Roman"/>
                <w:b/>
                <w:sz w:val="24"/>
                <w:szCs w:val="24"/>
              </w:rPr>
              <w:t>свързана</w:t>
            </w:r>
          </w:p>
        </w:tc>
        <w:tc>
          <w:tcPr>
            <w:tcW w:w="1440" w:type="dxa"/>
          </w:tcPr>
          <w:p w14:paraId="6855634A" w14:textId="77777777" w:rsidR="00BE0B19" w:rsidRPr="00AE47C6" w:rsidRDefault="00BE0B19" w:rsidP="00BE0B19">
            <w:pPr>
              <w:spacing w:after="0" w:line="360" w:lineRule="auto"/>
              <w:rPr>
                <w:rFonts w:ascii="Times New Roman" w:hAnsi="Times New Roman"/>
                <w:b/>
                <w:sz w:val="24"/>
                <w:szCs w:val="24"/>
              </w:rPr>
            </w:pPr>
          </w:p>
        </w:tc>
      </w:tr>
    </w:tbl>
    <w:p w14:paraId="56008ED2" w14:textId="77777777" w:rsidR="00BE0B19" w:rsidRPr="00AE47C6" w:rsidRDefault="00BE0B19" w:rsidP="00BE0B19">
      <w:pPr>
        <w:spacing w:after="0" w:line="360" w:lineRule="auto"/>
        <w:rPr>
          <w:rFonts w:ascii="Times New Roman" w:eastAsia="SimSun" w:hAnsi="Times New Roman"/>
          <w:sz w:val="24"/>
          <w:szCs w:val="24"/>
        </w:rPr>
      </w:pPr>
    </w:p>
    <w:p w14:paraId="6E73FD1B" w14:textId="77777777" w:rsidR="00BE0B19" w:rsidRPr="00AE47C6" w:rsidRDefault="00BE0B19" w:rsidP="00BE0B19">
      <w:pPr>
        <w:tabs>
          <w:tab w:val="left" w:pos="567"/>
        </w:tabs>
        <w:spacing w:after="0" w:line="360" w:lineRule="auto"/>
        <w:jc w:val="both"/>
        <w:rPr>
          <w:rFonts w:ascii="Times New Roman" w:eastAsia="SimSun" w:hAnsi="Times New Roman"/>
          <w:sz w:val="24"/>
          <w:szCs w:val="24"/>
        </w:rPr>
      </w:pPr>
    </w:p>
    <w:p w14:paraId="72C1E772"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b/>
          <w:sz w:val="24"/>
          <w:szCs w:val="24"/>
        </w:rPr>
        <w:t>Патогенеза</w:t>
      </w:r>
      <w:r w:rsidRPr="00AE47C6">
        <w:rPr>
          <w:rFonts w:ascii="Times New Roman" w:eastAsia="SimSun" w:hAnsi="Times New Roman"/>
          <w:sz w:val="24"/>
          <w:szCs w:val="24"/>
        </w:rPr>
        <w:t>: На основание на патогенетичните механизми, които водят до мускулното увреждане се разграничават следните субгрупи на ПКМД:</w:t>
      </w:r>
    </w:p>
    <w:p w14:paraId="13D8FD53"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i/>
          <w:sz w:val="24"/>
          <w:szCs w:val="24"/>
          <w:u w:val="single"/>
        </w:rPr>
        <w:t>α-дистрогликанопатии</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α-дистрогликанът е гликозилиран сарколемен гликопротеин с основополагаща роля в поддържането на сарколемната цялост чрез осигуряване на връзка между дистрофин-асоциирания гликопротеинов комплекс и екстрацелуларните структури. При тази подгрупа ПКМД е налице абнормно гликозилиране на α-дистрогликана с намалена имунореактивност в мускулните биопсии. α-дистрогликанопатиите са следствие от мутации в гена, кодиращ самия протеин или мутации в гени, кодиращи протеини, участващи в неговото гликозилиране (таблица 9.3). α-дистрогликанопатиите включват 10 форми ПКМД. Те имат широк клиничен спектър със засягане на мускулите, очите и мозъка, вариращи от тежкия мускул-око-мозък синдром или синдром на Walker–Warburg през умерено тежка вродена мускулна дистрофия с дефект в невронната миграция до леката ПКМД с или без интелектуален дефицит и дискретни мозъчни аномалии.</w:t>
      </w:r>
    </w:p>
    <w:p w14:paraId="067B04D7"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i/>
          <w:sz w:val="24"/>
          <w:szCs w:val="24"/>
          <w:u w:val="single"/>
        </w:rPr>
        <w:t>Калпаинопатия</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CAPN3 кодира мускулно-специфична калций-активирана неутрална протеаза calpain-3, която се свързва с титина и дисферлина и има основна роля в саркомерното ремоделиране. Въпреки че калпаинопатиите са с рецесивно унаследяване, в последните години се описват и доминантни форми.</w:t>
      </w:r>
    </w:p>
    <w:p w14:paraId="38755B9C"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i/>
          <w:sz w:val="24"/>
          <w:szCs w:val="24"/>
          <w:u w:val="single"/>
        </w:rPr>
        <w:t>Кавеолинопатии</w:t>
      </w:r>
      <w:r w:rsidRPr="00AE47C6">
        <w:rPr>
          <w:rFonts w:ascii="Times New Roman" w:eastAsia="SimSun" w:hAnsi="Times New Roman"/>
          <w:i/>
          <w:sz w:val="24"/>
          <w:szCs w:val="24"/>
        </w:rPr>
        <w:t>:</w:t>
      </w:r>
      <w:r w:rsidRPr="00AE47C6">
        <w:rPr>
          <w:rFonts w:ascii="Times New Roman" w:eastAsia="SimSun" w:hAnsi="Times New Roman"/>
          <w:sz w:val="24"/>
          <w:szCs w:val="24"/>
        </w:rPr>
        <w:t xml:space="preserve"> Кавеолите са малки инвагинации в клетъчната мембрана на различни видове клетки, вкл. мускулните, които имат основна роля за поддържане на сарколемната цялост, регулацията на транспорта на везикули и сигналната трансдукция. Кавеолите са изградени от два основни вида протеини - кавеолини и кавини, нарушената функция на които, води до дегенерация на мускулните влакна. Те са отделени от групата на ПКМД в класификацията от 2018 г.</w:t>
      </w:r>
    </w:p>
    <w:p w14:paraId="09484FA9"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i/>
          <w:sz w:val="24"/>
          <w:szCs w:val="24"/>
          <w:u w:val="single"/>
        </w:rPr>
        <w:t>Мускулни дистрофии с нарушено възстановяване на клетъчната мембрана</w:t>
      </w:r>
      <w:r w:rsidRPr="00AE47C6">
        <w:rPr>
          <w:rFonts w:ascii="Times New Roman" w:eastAsia="SimSun" w:hAnsi="Times New Roman"/>
          <w:i/>
          <w:sz w:val="24"/>
          <w:szCs w:val="24"/>
        </w:rPr>
        <w:t>:</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Към тази група се отнасят дисферлинопатията и аноктаминопатия-5. Dysferlin има значение за сливането на везикули при възстановяването на клетъчната мембрана, подобна функция макар и не напълно изяснена се предполага, че има аnoctamin-5.</w:t>
      </w:r>
    </w:p>
    <w:p w14:paraId="3624ADA8"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i/>
          <w:sz w:val="24"/>
          <w:szCs w:val="24"/>
          <w:u w:val="single"/>
        </w:rPr>
        <w:t>Заболяванията на ядрената мембрана</w:t>
      </w:r>
      <w:r w:rsidRPr="00AE47C6">
        <w:rPr>
          <w:rFonts w:ascii="Times New Roman" w:eastAsia="SimSun" w:hAnsi="Times New Roman"/>
          <w:sz w:val="24"/>
          <w:szCs w:val="24"/>
        </w:rPr>
        <w:t xml:space="preserve"> се дължат на мутации в гени, кодиращи протеини, изграждащи тази мембрана. Класически фенотип при тази група е този на Emery Dreifuss мускулната дистрофия. Към тази група ПКМД отнасяме формите с нарушена функция на lamin A/C (</w:t>
      </w:r>
      <w:r w:rsidRPr="00AE47C6">
        <w:rPr>
          <w:rFonts w:ascii="Times New Roman" w:eastAsia="SimSun" w:hAnsi="Times New Roman"/>
          <w:i/>
          <w:sz w:val="24"/>
          <w:szCs w:val="24"/>
        </w:rPr>
        <w:t>LMNA</w:t>
      </w:r>
      <w:r w:rsidRPr="00AE47C6">
        <w:rPr>
          <w:rFonts w:ascii="Times New Roman" w:eastAsia="SimSun" w:hAnsi="Times New Roman"/>
          <w:sz w:val="24"/>
          <w:szCs w:val="24"/>
        </w:rPr>
        <w:t>, ПКМД1B), transportin 3(</w:t>
      </w:r>
      <w:r w:rsidRPr="00AE47C6">
        <w:rPr>
          <w:rFonts w:ascii="Times New Roman" w:eastAsia="SimSun" w:hAnsi="Times New Roman"/>
          <w:i/>
          <w:sz w:val="24"/>
          <w:szCs w:val="24"/>
        </w:rPr>
        <w:t>TNPO3</w:t>
      </w:r>
      <w:r w:rsidRPr="00AE47C6">
        <w:rPr>
          <w:rFonts w:ascii="Times New Roman" w:eastAsia="SimSun" w:hAnsi="Times New Roman"/>
          <w:sz w:val="24"/>
          <w:szCs w:val="24"/>
        </w:rPr>
        <w:t>, ПКМД1F), Popeye domain–containing protein1 (POPDC1, ПКМД2X) и lamina-associated polypeptide 1B (</w:t>
      </w:r>
      <w:r w:rsidRPr="00AE47C6">
        <w:rPr>
          <w:rFonts w:ascii="Times New Roman" w:eastAsia="SimSun" w:hAnsi="Times New Roman"/>
          <w:i/>
          <w:sz w:val="24"/>
          <w:szCs w:val="24"/>
        </w:rPr>
        <w:t>LAP1B</w:t>
      </w:r>
      <w:r w:rsidRPr="00AE47C6">
        <w:rPr>
          <w:rFonts w:ascii="Times New Roman" w:eastAsia="SimSun" w:hAnsi="Times New Roman"/>
          <w:sz w:val="24"/>
          <w:szCs w:val="24"/>
        </w:rPr>
        <w:t>, LGMD2Y). POPDC1 се експресира не само в ядрената мембрана, но и в сарколемата и t-тубулите.</w:t>
      </w:r>
    </w:p>
    <w:p w14:paraId="3826E6C4" w14:textId="77777777" w:rsidR="00BE0B19" w:rsidRPr="00AE47C6" w:rsidRDefault="00BE0B19" w:rsidP="00BE0B19">
      <w:p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i/>
          <w:sz w:val="24"/>
          <w:szCs w:val="24"/>
          <w:u w:val="single"/>
        </w:rPr>
        <w:t>Саркогликанопатии</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 xml:space="preserve">Саркогликановият субкомплекс е елемент на дистрофин-асоциирания гликопротеинов комплекс, състоящ се от четири елемента (α-, β-, ɣ-, and ɗ-sarcoglycan), които участват в сарколемния интегритет. </w:t>
      </w:r>
    </w:p>
    <w:p w14:paraId="476FB3C9" w14:textId="77777777" w:rsidR="00BE0B19" w:rsidRPr="00AE47C6" w:rsidRDefault="00BE0B19" w:rsidP="00BE0B19">
      <w:pPr>
        <w:spacing w:after="0" w:line="360" w:lineRule="auto"/>
        <w:ind w:firstLine="709"/>
        <w:contextualSpacing/>
        <w:jc w:val="both"/>
        <w:rPr>
          <w:rFonts w:ascii="Times New Roman" w:eastAsia="SimSun" w:hAnsi="Times New Roman"/>
          <w:i/>
          <w:sz w:val="24"/>
          <w:szCs w:val="24"/>
          <w:u w:val="single"/>
        </w:rPr>
      </w:pPr>
      <w:r w:rsidRPr="00AE47C6">
        <w:rPr>
          <w:rFonts w:ascii="Times New Roman" w:eastAsia="SimSun" w:hAnsi="Times New Roman"/>
          <w:i/>
          <w:sz w:val="24"/>
          <w:szCs w:val="24"/>
          <w:u w:val="single"/>
        </w:rPr>
        <w:t>Z-дискпротеинопатии</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 xml:space="preserve">Z-дискът е структура за свързване на тънките филаменти, която определя границите на саркомера. Мутациите в гените, кодиращи протеини от Z-диска водят да т.нар. миофибрилерни миопатии, характеризиращи се със саркоплазмени агрегати от миофибрилерни деградационни продукти. </w:t>
      </w:r>
    </w:p>
    <w:p w14:paraId="235103E8" w14:textId="77777777" w:rsidR="00BE0B19" w:rsidRPr="00AE47C6" w:rsidRDefault="00BE0B19" w:rsidP="00BE0B19">
      <w:pPr>
        <w:spacing w:after="0" w:line="360" w:lineRule="auto"/>
        <w:ind w:firstLine="708"/>
        <w:jc w:val="both"/>
        <w:rPr>
          <w:rFonts w:ascii="Times New Roman" w:eastAsia="SimSun" w:hAnsi="Times New Roman"/>
          <w:b/>
          <w:sz w:val="24"/>
          <w:szCs w:val="24"/>
        </w:rPr>
      </w:pPr>
      <w:r w:rsidRPr="00AE47C6">
        <w:rPr>
          <w:rFonts w:ascii="Times New Roman" w:eastAsia="SimSun" w:hAnsi="Times New Roman"/>
          <w:b/>
          <w:sz w:val="24"/>
          <w:szCs w:val="24"/>
        </w:rPr>
        <w:t xml:space="preserve">Клинични характеристики: </w:t>
      </w:r>
      <w:r w:rsidRPr="00AE47C6">
        <w:rPr>
          <w:rFonts w:ascii="Times New Roman" w:eastAsia="SimSun" w:hAnsi="Times New Roman"/>
          <w:sz w:val="24"/>
          <w:szCs w:val="24"/>
        </w:rPr>
        <w:t>При пациентите с ПКМД е налице мускулна слабост, засягаща първоначално мускулите на тазовия и раменния пояс и проксималните мускули на крайниците със затруднено изкачване на стълби, изправяне от клекнало положение и промяна на походката - „клатушкаща“. При различните форми се наблюдават специфични особености по отношение на възрастта на начало, скоростта на прогресия, възрастта на загуба на самостоятелна походка, наличието на рабдомиолиза, асоциирани белези като сърдечно и дихателно засягане. (таблица 9.4.)</w:t>
      </w:r>
    </w:p>
    <w:p w14:paraId="760FA59B"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u w:val="single"/>
        </w:rPr>
        <w:t>α-дистрогликанопатии</w:t>
      </w:r>
      <w:r w:rsidRPr="00AE47C6">
        <w:rPr>
          <w:rFonts w:ascii="Times New Roman" w:eastAsia="SimSun" w:hAnsi="Times New Roman"/>
          <w:sz w:val="24"/>
          <w:szCs w:val="24"/>
        </w:rPr>
        <w:t xml:space="preserve">: Мускулна псевдохипертрофия, сърдечно засягане и различни по тежест когнитивни нарушения са типични при пациентите с ПКМД2 α-дистрогликанопатии. Рабдомиолиза може да се установи при болни с мутации в FKRP-гена (ПКМД2I; ПКМД R9) и GMPPB-гена (ПКМД2T; ПКМД R19), докато мутациите в TRAPPC11 обуславят допълнителни прояви на хиперкинетични двигателни нарушения и хепатостеатоза. </w:t>
      </w:r>
    </w:p>
    <w:p w14:paraId="515132B4"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u w:val="single"/>
        </w:rPr>
        <w:t>Калпаинопатия</w:t>
      </w:r>
      <w:r w:rsidRPr="00AE47C6">
        <w:rPr>
          <w:rFonts w:ascii="Times New Roman" w:eastAsia="SimSun" w:hAnsi="Times New Roman"/>
          <w:sz w:val="24"/>
          <w:szCs w:val="24"/>
        </w:rPr>
        <w:t xml:space="preserve">: АР калпаинопатия се характеризира с ранно засягане на аддукторите и екстензорите в ТЗБС и флексорите в колянната става. Налице са криловидни лопатки, възможно е лека лицева слабост и ранни ставни контрактури. В някои случаи се описва рабдомиолиза при физическо натоварване. Сърдечното засягане не е типично, а рестриктивен тип дихателни нарушения са налице при около 20% от болните, но в редки случаи налагат неинвазивна вентилация. </w:t>
      </w:r>
    </w:p>
    <w:p w14:paraId="331305EC"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u w:val="single"/>
        </w:rPr>
        <w:t>Кавеолинопатии</w:t>
      </w:r>
      <w:r w:rsidRPr="00AE47C6">
        <w:rPr>
          <w:rFonts w:ascii="Times New Roman" w:eastAsia="SimSun" w:hAnsi="Times New Roman"/>
          <w:sz w:val="24"/>
          <w:szCs w:val="24"/>
        </w:rPr>
        <w:t>: Мутации в гена, кодиращ сaveolin-3, обуславят развитието на ПКМД1C, rippling muscle disease, асимптомно повишена КФК, дистална миопатия и кардиомиопатия. При тези пациенти са налице болезнени мускулни крампи, „вълноподобни“ движения на мускулите, които могат да се провокират и при перкусия. Тези феномени не се асоциират с ЕМГ активност. По новата класификация (2018 г.), те са отделени от ПКМД.</w:t>
      </w:r>
    </w:p>
    <w:p w14:paraId="7BD7031A"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u w:val="single"/>
        </w:rPr>
        <w:t>Мускулни дистрофии с нарушено възстановяване на клетъчната мембрана</w:t>
      </w:r>
      <w:r w:rsidRPr="00AE47C6">
        <w:rPr>
          <w:rFonts w:ascii="Times New Roman" w:eastAsia="SimSun" w:hAnsi="Times New Roman"/>
          <w:sz w:val="24"/>
          <w:szCs w:val="24"/>
        </w:rPr>
        <w:t xml:space="preserve">: При ПКМД2B, (ПКМД R2) и ПКМД2L, (ПКМД R12)  е типично наличието на асиметрична атрофия m. quadriceps femoris и m. biceps brachii. И при двете форми нарушеният толеранс при физически натоварвания и рабдомиолизата могат да предшестват мускулната слабост. Жените са с по-лек клиничен фенотип. Кардио-пулмоналното засягане не е типично. </w:t>
      </w:r>
    </w:p>
    <w:p w14:paraId="029EEA85"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u w:val="single"/>
        </w:rPr>
        <w:t>Заболяванията на ядрената мембрана</w:t>
      </w:r>
      <w:r w:rsidRPr="00AE47C6">
        <w:rPr>
          <w:rFonts w:ascii="Times New Roman" w:eastAsia="SimSun" w:hAnsi="Times New Roman"/>
          <w:sz w:val="24"/>
          <w:szCs w:val="24"/>
        </w:rPr>
        <w:t xml:space="preserve">: При всички тези форми, с изкл. на ПКМД1F мускулната слабост се асоциира с кардиомиопатия и ритъмни и проводни нарушения, налагащи поставянето на постоянен електрокардиостимулатор. </w:t>
      </w:r>
    </w:p>
    <w:p w14:paraId="25979D5A"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u w:val="single"/>
        </w:rPr>
        <w:t>Саркогликанопатии</w:t>
      </w:r>
      <w:r w:rsidRPr="00AE47C6">
        <w:rPr>
          <w:rFonts w:ascii="Times New Roman" w:eastAsia="SimSun" w:hAnsi="Times New Roman"/>
          <w:sz w:val="24"/>
          <w:szCs w:val="24"/>
        </w:rPr>
        <w:t xml:space="preserve">: Повечето пациенти със саркогликанопатии са с Дюшен-подобен фенотип или по-лек подобен на ПМД тип Бекер. Налице е нарушен толеранс към физически натоварвания и епизоди на рабдомиолиза. Сърдечните и дихателните нарушения са типични. </w:t>
      </w:r>
    </w:p>
    <w:p w14:paraId="447C3F8B"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u w:val="single"/>
        </w:rPr>
        <w:t>Z-диск протеинопатии</w:t>
      </w:r>
      <w:r w:rsidRPr="00AE47C6">
        <w:rPr>
          <w:rFonts w:ascii="Times New Roman" w:eastAsia="SimSun" w:hAnsi="Times New Roman"/>
          <w:sz w:val="24"/>
          <w:szCs w:val="24"/>
        </w:rPr>
        <w:t>: При тези форми е налице изразено клинично разнообразие по отношение на мускулната слабост - тип пояс-крайник, дистална, скапуло-перонеална или аксиална. Периферната невропатия и кардиомиопатията са налице при около 20% от болните. Дихателната недостатъчност в ранните фази е типична при мутациите в TTN гена. При ПКМД2G са типични засягането на проксимални и дистални мускули на долните крайници и сърдечно засягане. При ПКМД2Q (ПКМД R17) мускулната слабост се асоциира с epidermolysis bullosa.</w:t>
      </w:r>
    </w:p>
    <w:p w14:paraId="6D9E8AAA" w14:textId="77777777" w:rsidR="00BE0B19" w:rsidRPr="00AE47C6" w:rsidRDefault="00BE0B19" w:rsidP="00BE0B19">
      <w:pPr>
        <w:spacing w:after="0" w:line="360" w:lineRule="auto"/>
        <w:jc w:val="both"/>
        <w:rPr>
          <w:rFonts w:ascii="Times New Roman" w:eastAsia="SimSun" w:hAnsi="Times New Roman"/>
          <w:i/>
          <w:sz w:val="24"/>
          <w:szCs w:val="24"/>
          <w:u w:val="single"/>
        </w:rPr>
      </w:pPr>
    </w:p>
    <w:p w14:paraId="763A8D6C"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Таблица 9.3. Сравнително представяне на основните характеристики на АД и АР форми на ПКМД.</w:t>
      </w:r>
    </w:p>
    <w:tbl>
      <w:tblPr>
        <w:tblStyle w:val="TableGrid2"/>
        <w:tblW w:w="0" w:type="auto"/>
        <w:tblLook w:val="04A0" w:firstRow="1" w:lastRow="0" w:firstColumn="1" w:lastColumn="0" w:noHBand="0" w:noVBand="1"/>
      </w:tblPr>
      <w:tblGrid>
        <w:gridCol w:w="3222"/>
        <w:gridCol w:w="3046"/>
        <w:gridCol w:w="2792"/>
      </w:tblGrid>
      <w:tr w:rsidR="00BE0B19" w:rsidRPr="00AE47C6" w14:paraId="305D210B" w14:textId="77777777" w:rsidTr="00AD72E5">
        <w:tc>
          <w:tcPr>
            <w:tcW w:w="3227" w:type="dxa"/>
          </w:tcPr>
          <w:p w14:paraId="3F505734"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Характеристики</w:t>
            </w:r>
          </w:p>
        </w:tc>
        <w:tc>
          <w:tcPr>
            <w:tcW w:w="3118" w:type="dxa"/>
          </w:tcPr>
          <w:p w14:paraId="082E402F"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ПКМД1/D</w:t>
            </w:r>
          </w:p>
        </w:tc>
        <w:tc>
          <w:tcPr>
            <w:tcW w:w="2867" w:type="dxa"/>
          </w:tcPr>
          <w:p w14:paraId="7160F9D4"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ПКМД2/R</w:t>
            </w:r>
          </w:p>
        </w:tc>
      </w:tr>
      <w:tr w:rsidR="00BE0B19" w:rsidRPr="00AE47C6" w14:paraId="1214C275" w14:textId="77777777" w:rsidTr="00AD72E5">
        <w:tc>
          <w:tcPr>
            <w:tcW w:w="3227" w:type="dxa"/>
          </w:tcPr>
          <w:p w14:paraId="7FC9738A"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Начин на унаследяване</w:t>
            </w:r>
          </w:p>
        </w:tc>
        <w:tc>
          <w:tcPr>
            <w:tcW w:w="3118" w:type="dxa"/>
          </w:tcPr>
          <w:p w14:paraId="6E627F73"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АД</w:t>
            </w:r>
          </w:p>
        </w:tc>
        <w:tc>
          <w:tcPr>
            <w:tcW w:w="2867" w:type="dxa"/>
          </w:tcPr>
          <w:p w14:paraId="53C0449B"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АР</w:t>
            </w:r>
          </w:p>
        </w:tc>
      </w:tr>
      <w:tr w:rsidR="00BE0B19" w:rsidRPr="00AE47C6" w14:paraId="6FD30FAD" w14:textId="77777777" w:rsidTr="00AD72E5">
        <w:tc>
          <w:tcPr>
            <w:tcW w:w="3227" w:type="dxa"/>
          </w:tcPr>
          <w:p w14:paraId="4174B54E"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Подтипове</w:t>
            </w:r>
          </w:p>
        </w:tc>
        <w:tc>
          <w:tcPr>
            <w:tcW w:w="3118" w:type="dxa"/>
          </w:tcPr>
          <w:p w14:paraId="355C5105"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1A–1H</w:t>
            </w:r>
          </w:p>
        </w:tc>
        <w:tc>
          <w:tcPr>
            <w:tcW w:w="2867" w:type="dxa"/>
          </w:tcPr>
          <w:p w14:paraId="319D04EF"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2A–2Z</w:t>
            </w:r>
          </w:p>
        </w:tc>
      </w:tr>
      <w:tr w:rsidR="00BE0B19" w:rsidRPr="00AE47C6" w14:paraId="66948B81" w14:textId="77777777" w:rsidTr="00AD72E5">
        <w:tc>
          <w:tcPr>
            <w:tcW w:w="3227" w:type="dxa"/>
          </w:tcPr>
          <w:p w14:paraId="0F0D4B4C"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Типична възраст на начало</w:t>
            </w:r>
          </w:p>
        </w:tc>
        <w:tc>
          <w:tcPr>
            <w:tcW w:w="3118" w:type="dxa"/>
          </w:tcPr>
          <w:p w14:paraId="0C0E685F"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Юношеска до късна зряла възраст</w:t>
            </w:r>
          </w:p>
          <w:p w14:paraId="1FC6BC1C"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ПКМД1D/D1 може да имат начало в детска възраст</w:t>
            </w:r>
          </w:p>
        </w:tc>
        <w:tc>
          <w:tcPr>
            <w:tcW w:w="2867" w:type="dxa"/>
          </w:tcPr>
          <w:p w14:paraId="262B4F79"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Детска до зряла възраст</w:t>
            </w:r>
          </w:p>
        </w:tc>
      </w:tr>
      <w:tr w:rsidR="00BE0B19" w:rsidRPr="00AE47C6" w14:paraId="5FA49830" w14:textId="77777777" w:rsidTr="00AD72E5">
        <w:tc>
          <w:tcPr>
            <w:tcW w:w="3227" w:type="dxa"/>
          </w:tcPr>
          <w:p w14:paraId="6BB8B6B1"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Слабост в крайниците</w:t>
            </w:r>
          </w:p>
        </w:tc>
        <w:tc>
          <w:tcPr>
            <w:tcW w:w="3118" w:type="dxa"/>
          </w:tcPr>
          <w:p w14:paraId="2845948C"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Лека</w:t>
            </w:r>
          </w:p>
        </w:tc>
        <w:tc>
          <w:tcPr>
            <w:tcW w:w="2867" w:type="dxa"/>
          </w:tcPr>
          <w:p w14:paraId="1060763C"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Умерена до тежка</w:t>
            </w:r>
          </w:p>
        </w:tc>
      </w:tr>
      <w:tr w:rsidR="00BE0B19" w:rsidRPr="00AE47C6" w14:paraId="1BD68DD6" w14:textId="77777777" w:rsidTr="00AD72E5">
        <w:tc>
          <w:tcPr>
            <w:tcW w:w="3227" w:type="dxa"/>
          </w:tcPr>
          <w:p w14:paraId="486F52B6"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КФК в серум</w:t>
            </w:r>
          </w:p>
        </w:tc>
        <w:tc>
          <w:tcPr>
            <w:tcW w:w="3118" w:type="dxa"/>
          </w:tcPr>
          <w:p w14:paraId="71C4F1D2"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Нормална до леко повишена, с изкл. ПКМД 1С, където КФК е силно повишена</w:t>
            </w:r>
          </w:p>
        </w:tc>
        <w:tc>
          <w:tcPr>
            <w:tcW w:w="2867" w:type="dxa"/>
          </w:tcPr>
          <w:p w14:paraId="2B7E0019"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От леко до силно повишена</w:t>
            </w:r>
          </w:p>
        </w:tc>
      </w:tr>
      <w:tr w:rsidR="00BE0B19" w:rsidRPr="00AE47C6" w14:paraId="109198C3" w14:textId="77777777" w:rsidTr="00AD72E5">
        <w:tc>
          <w:tcPr>
            <w:tcW w:w="3227" w:type="dxa"/>
          </w:tcPr>
          <w:p w14:paraId="110BFA8D"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Намален толеранс към физически натоварвания/рабдомиолиза</w:t>
            </w:r>
          </w:p>
        </w:tc>
        <w:tc>
          <w:tcPr>
            <w:tcW w:w="3118" w:type="dxa"/>
          </w:tcPr>
          <w:p w14:paraId="1397A25B" w14:textId="77777777" w:rsidR="00BE0B19" w:rsidRPr="00AE47C6" w:rsidRDefault="00BE0B19" w:rsidP="00BE0B19">
            <w:pPr>
              <w:spacing w:after="0" w:line="360" w:lineRule="auto"/>
              <w:rPr>
                <w:rFonts w:ascii="Times New Roman" w:hAnsi="Times New Roman"/>
                <w:sz w:val="24"/>
                <w:szCs w:val="24"/>
              </w:rPr>
            </w:pPr>
          </w:p>
        </w:tc>
        <w:tc>
          <w:tcPr>
            <w:tcW w:w="2867" w:type="dxa"/>
          </w:tcPr>
          <w:p w14:paraId="3B3C3A33" w14:textId="77777777" w:rsidR="00BE0B19" w:rsidRPr="00AE47C6" w:rsidRDefault="00BE0B19" w:rsidP="00BE0B19">
            <w:pPr>
              <w:spacing w:after="0" w:line="360" w:lineRule="auto"/>
              <w:rPr>
                <w:rFonts w:ascii="Times New Roman" w:hAnsi="Times New Roman"/>
                <w:sz w:val="24"/>
                <w:szCs w:val="24"/>
              </w:rPr>
            </w:pPr>
            <w:r w:rsidRPr="00AE47C6">
              <w:rPr>
                <w:rFonts w:ascii="Times New Roman" w:hAnsi="Times New Roman"/>
                <w:sz w:val="24"/>
                <w:szCs w:val="24"/>
              </w:rPr>
              <w:t>2A (R1), 2B–2E (R2-R4), 2I (R9), 2L (R12) и 2T (R19)</w:t>
            </w:r>
          </w:p>
        </w:tc>
      </w:tr>
    </w:tbl>
    <w:p w14:paraId="3C9E2956"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b/>
          <w:sz w:val="24"/>
          <w:szCs w:val="24"/>
        </w:rPr>
        <w:t xml:space="preserve">Диагноза: </w:t>
      </w:r>
      <w:r w:rsidRPr="00AE47C6">
        <w:rPr>
          <w:rFonts w:ascii="Times New Roman" w:eastAsia="SimSun" w:hAnsi="Times New Roman"/>
          <w:sz w:val="24"/>
          <w:szCs w:val="24"/>
        </w:rPr>
        <w:t>Основните етапи при поставяне на диагнозата включват</w:t>
      </w:r>
      <w:r w:rsidRPr="00AE47C6">
        <w:rPr>
          <w:rFonts w:ascii="Times New Roman" w:eastAsia="SimSun" w:hAnsi="Times New Roman"/>
          <w:sz w:val="24"/>
          <w:szCs w:val="24"/>
        </w:rPr>
        <w:tab/>
        <w:t>(таблица 9.3., фиг.3.):</w:t>
      </w:r>
    </w:p>
    <w:p w14:paraId="1AA4A06F" w14:textId="77777777" w:rsidR="00BE0B19" w:rsidRPr="00AE47C6" w:rsidRDefault="00BE0B19" w:rsidP="00BE0B19">
      <w:pPr>
        <w:numPr>
          <w:ilvl w:val="0"/>
          <w:numId w:val="23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Определяне на характеристиките на мускулно засягане - пояс-крайник, хумероперонеална, дистална слабост</w:t>
      </w:r>
    </w:p>
    <w:p w14:paraId="38AB9426" w14:textId="77777777" w:rsidR="00BE0B19" w:rsidRPr="00AE47C6" w:rsidRDefault="00BE0B19" w:rsidP="00BE0B19">
      <w:pPr>
        <w:numPr>
          <w:ilvl w:val="0"/>
          <w:numId w:val="23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Определяне на типа на унаследяване</w:t>
      </w:r>
    </w:p>
    <w:p w14:paraId="295F36C5" w14:textId="77777777" w:rsidR="00BE0B19" w:rsidRPr="00AE47C6" w:rsidRDefault="00BE0B19" w:rsidP="00BE0B19">
      <w:pPr>
        <w:numPr>
          <w:ilvl w:val="0"/>
          <w:numId w:val="23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Изясняване на принадлежността към етнически или религиозни малцинства</w:t>
      </w:r>
    </w:p>
    <w:p w14:paraId="44C4E98D" w14:textId="77777777" w:rsidR="00BE0B19" w:rsidRPr="00AE47C6" w:rsidRDefault="00BE0B19" w:rsidP="00BE0B19">
      <w:pPr>
        <w:numPr>
          <w:ilvl w:val="0"/>
          <w:numId w:val="23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Изследване на КФК в серум</w:t>
      </w:r>
    </w:p>
    <w:p w14:paraId="514092B9" w14:textId="77777777" w:rsidR="00BE0B19" w:rsidRPr="00AE47C6" w:rsidRDefault="00BE0B19" w:rsidP="00BE0B19">
      <w:pPr>
        <w:numPr>
          <w:ilvl w:val="0"/>
          <w:numId w:val="23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ЕМГ</w:t>
      </w:r>
    </w:p>
    <w:p w14:paraId="3549AE81" w14:textId="77777777" w:rsidR="00BE0B19" w:rsidRPr="00AE47C6" w:rsidRDefault="00BE0B19" w:rsidP="00BE0B19">
      <w:pPr>
        <w:numPr>
          <w:ilvl w:val="0"/>
          <w:numId w:val="23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Оценка на сърдечния статус - ЕКГ, ехоКГ</w:t>
      </w:r>
    </w:p>
    <w:p w14:paraId="66B868E5" w14:textId="77777777" w:rsidR="00BE0B19" w:rsidRPr="00AE47C6" w:rsidRDefault="00BE0B19" w:rsidP="00BE0B19">
      <w:pPr>
        <w:numPr>
          <w:ilvl w:val="0"/>
          <w:numId w:val="23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Оценка на вентилаторните показатели</w:t>
      </w:r>
    </w:p>
    <w:p w14:paraId="4B9D17D2" w14:textId="77777777" w:rsidR="00BE0B19" w:rsidRPr="00AE47C6" w:rsidRDefault="00BE0B19" w:rsidP="00BE0B19">
      <w:pPr>
        <w:numPr>
          <w:ilvl w:val="0"/>
          <w:numId w:val="23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МРТ на мускулите</w:t>
      </w:r>
    </w:p>
    <w:p w14:paraId="64A7AC14" w14:textId="77777777" w:rsidR="00BE0B19" w:rsidRPr="00AE47C6" w:rsidRDefault="00BE0B19" w:rsidP="00BE0B19">
      <w:pPr>
        <w:numPr>
          <w:ilvl w:val="0"/>
          <w:numId w:val="23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Мускулна биопсия</w:t>
      </w:r>
    </w:p>
    <w:p w14:paraId="0F815E79" w14:textId="77777777" w:rsidR="00BE0B19" w:rsidRPr="00AE47C6" w:rsidRDefault="00BE0B19" w:rsidP="00BE0B19">
      <w:pPr>
        <w:numPr>
          <w:ilvl w:val="0"/>
          <w:numId w:val="23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Молекулярно-генетично изследване - за мутации в конкретен ген, секвениране на екзома или генома.</w:t>
      </w:r>
    </w:p>
    <w:p w14:paraId="71120E50" w14:textId="77777777" w:rsidR="00BE0B19" w:rsidRPr="00AE47C6" w:rsidRDefault="00BE0B19" w:rsidP="00BE0B19">
      <w:pPr>
        <w:spacing w:after="0" w:line="360" w:lineRule="auto"/>
        <w:jc w:val="both"/>
        <w:rPr>
          <w:rFonts w:ascii="Times New Roman" w:eastAsia="SimSun" w:hAnsi="Times New Roman"/>
          <w:b/>
          <w:sz w:val="24"/>
          <w:szCs w:val="24"/>
        </w:rPr>
      </w:pPr>
    </w:p>
    <w:p w14:paraId="5CBC0268" w14:textId="77777777" w:rsidR="00BE0B19" w:rsidRPr="00AE47C6" w:rsidRDefault="00BE0B19" w:rsidP="00BE0B19">
      <w:pPr>
        <w:spacing w:after="0" w:line="360" w:lineRule="auto"/>
        <w:ind w:firstLine="708"/>
        <w:jc w:val="both"/>
        <w:rPr>
          <w:rFonts w:ascii="Times New Roman" w:eastAsia="SimSun" w:hAnsi="Times New Roman"/>
          <w:b/>
          <w:sz w:val="24"/>
          <w:szCs w:val="24"/>
        </w:rPr>
      </w:pPr>
      <w:r w:rsidRPr="00AE47C6">
        <w:rPr>
          <w:rFonts w:ascii="Times New Roman" w:eastAsia="SimSun" w:hAnsi="Times New Roman"/>
          <w:b/>
          <w:sz w:val="24"/>
          <w:szCs w:val="24"/>
        </w:rPr>
        <w:t>МРТ на мускули:</w:t>
      </w:r>
    </w:p>
    <w:p w14:paraId="33B526A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При ПКМД1А m. gluteus maximus е по-леко засегнат в сравнение с m. gluteus medius et minimus. В областта на бедрата най-засегнати са m. adductor major, m. biceps и m. semimembranosus при относително съхранен m. semitendinosus. В областта на подбедриците се установява атрофия на m. gastrocnemius medialis, m. soleus, m. tibialis anterior и posterior при относително съхранени mm. peronei. </w:t>
      </w:r>
    </w:p>
    <w:p w14:paraId="47978F9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При ПКМД1В изразена мастна дегенерация е налице при трункусната мускулатура - m. </w:t>
      </w:r>
      <w:r w:rsidRPr="00AE47C6">
        <w:rPr>
          <w:rFonts w:ascii="Times New Roman" w:eastAsia="SimSun" w:hAnsi="Times New Roman"/>
          <w:iCs/>
          <w:sz w:val="24"/>
          <w:szCs w:val="24"/>
        </w:rPr>
        <w:t>mul</w:t>
      </w:r>
      <w:r w:rsidRPr="00AE47C6">
        <w:rPr>
          <w:rFonts w:ascii="Times New Roman" w:eastAsia="SimSun" w:hAnsi="Times New Roman"/>
          <w:iCs/>
          <w:sz w:val="24"/>
          <w:szCs w:val="24"/>
        </w:rPr>
        <w:softHyphen/>
        <w:t xml:space="preserve">tifidus </w:t>
      </w:r>
      <w:r w:rsidRPr="00AE47C6">
        <w:rPr>
          <w:rFonts w:ascii="Times New Roman" w:eastAsia="SimSun" w:hAnsi="Times New Roman"/>
          <w:sz w:val="24"/>
          <w:szCs w:val="24"/>
        </w:rPr>
        <w:t xml:space="preserve">и m. </w:t>
      </w:r>
      <w:r w:rsidRPr="00AE47C6">
        <w:rPr>
          <w:rFonts w:ascii="Times New Roman" w:eastAsia="SimSun" w:hAnsi="Times New Roman"/>
          <w:iCs/>
          <w:sz w:val="24"/>
          <w:szCs w:val="24"/>
        </w:rPr>
        <w:t xml:space="preserve">longissimus, а в областта на бедрата - </w:t>
      </w:r>
      <w:r w:rsidRPr="00AE47C6">
        <w:rPr>
          <w:rFonts w:ascii="Times New Roman" w:eastAsia="SimSun" w:hAnsi="Times New Roman"/>
          <w:sz w:val="24"/>
          <w:szCs w:val="24"/>
        </w:rPr>
        <w:t>m. adductor magnus, m. semimembranosus, m. biceps femoris, mm. vasti lateralis и medialis, при относително съхранен m. rectus femoris. В областта на подбедриците m. gastrocnemius e силно атрофичен.</w:t>
      </w:r>
    </w:p>
    <w:p w14:paraId="1C6D121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При ПКМД1Е най-тежко са засегнати m. semitendinosus, m. gracilis, m. sartorius, m. peroneus и задната мускулатура на подбедриците.</w:t>
      </w:r>
    </w:p>
    <w:p w14:paraId="1F5BBB9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При ПКМД2А паравертебралните мускули се засягат в ранните фази на заболяването. В областта на бедрата най-рано атрофични промени се откриват в аддукторите и m. semimembranosus. Характерна особеност е ранното ангажиране на m. gastrocnemius medialis и m. soleus. </w:t>
      </w:r>
    </w:p>
    <w:p w14:paraId="1D389BC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При ПКМД2В m. g</w:t>
      </w:r>
      <w:r w:rsidRPr="00AE47C6">
        <w:rPr>
          <w:rFonts w:ascii="Times New Roman" w:eastAsia="SimSun" w:hAnsi="Times New Roman"/>
          <w:iCs/>
          <w:sz w:val="24"/>
          <w:szCs w:val="24"/>
        </w:rPr>
        <w:t xml:space="preserve">luteus minimus се засяга рано. Една от първите наблюдавани промени е миоедема в областта на мускулите аддуктори на бедрата </w:t>
      </w:r>
      <w:r w:rsidRPr="00AE47C6">
        <w:rPr>
          <w:rFonts w:ascii="Times New Roman" w:eastAsia="SimSun" w:hAnsi="Times New Roman"/>
          <w:sz w:val="24"/>
          <w:szCs w:val="24"/>
        </w:rPr>
        <w:t>и m. gastrocnemius med.</w:t>
      </w:r>
    </w:p>
    <w:p w14:paraId="1FBBCCF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При ПКМД2I mm. </w:t>
      </w:r>
      <w:r w:rsidRPr="00AE47C6">
        <w:rPr>
          <w:rFonts w:ascii="Times New Roman" w:eastAsia="SimSun" w:hAnsi="Times New Roman"/>
          <w:iCs/>
          <w:sz w:val="24"/>
          <w:szCs w:val="24"/>
        </w:rPr>
        <w:t>glutei са едни от първите, които се засягат в хода на заболяването. В областта на бедрата, задната мускулатура е най-силно ангажирана, най-вече - m. biceps femoris</w:t>
      </w:r>
      <w:r w:rsidRPr="00AE47C6">
        <w:rPr>
          <w:rFonts w:ascii="Times New Roman" w:eastAsia="SimSun" w:hAnsi="Times New Roman"/>
          <w:sz w:val="24"/>
          <w:szCs w:val="24"/>
        </w:rPr>
        <w:t xml:space="preserve">, m. </w:t>
      </w:r>
      <w:r w:rsidRPr="00AE47C6">
        <w:rPr>
          <w:rFonts w:ascii="Times New Roman" w:eastAsia="SimSun" w:hAnsi="Times New Roman"/>
          <w:iCs/>
          <w:sz w:val="24"/>
          <w:szCs w:val="24"/>
        </w:rPr>
        <w:t>sem</w:t>
      </w:r>
      <w:r w:rsidRPr="00AE47C6">
        <w:rPr>
          <w:rFonts w:ascii="Times New Roman" w:eastAsia="SimSun" w:hAnsi="Times New Roman"/>
          <w:iCs/>
          <w:sz w:val="24"/>
          <w:szCs w:val="24"/>
        </w:rPr>
        <w:softHyphen/>
        <w:t xml:space="preserve">itendinosus и </w:t>
      </w:r>
      <w:r w:rsidRPr="00AE47C6">
        <w:rPr>
          <w:rFonts w:ascii="Times New Roman" w:eastAsia="SimSun" w:hAnsi="Times New Roman"/>
          <w:sz w:val="24"/>
          <w:szCs w:val="24"/>
        </w:rPr>
        <w:t xml:space="preserve">m. </w:t>
      </w:r>
      <w:r w:rsidRPr="00AE47C6">
        <w:rPr>
          <w:rFonts w:ascii="Times New Roman" w:eastAsia="SimSun" w:hAnsi="Times New Roman"/>
          <w:iCs/>
          <w:sz w:val="24"/>
          <w:szCs w:val="24"/>
        </w:rPr>
        <w:t xml:space="preserve">semimembranosus. В областта на подбедриците ранни атрофични промени се откриват в </w:t>
      </w:r>
      <w:r w:rsidRPr="00AE47C6">
        <w:rPr>
          <w:rFonts w:ascii="Times New Roman" w:eastAsia="SimSun" w:hAnsi="Times New Roman"/>
          <w:sz w:val="24"/>
          <w:szCs w:val="24"/>
        </w:rPr>
        <w:t xml:space="preserve">m. </w:t>
      </w:r>
      <w:r w:rsidRPr="00AE47C6">
        <w:rPr>
          <w:rFonts w:ascii="Times New Roman" w:eastAsia="SimSun" w:hAnsi="Times New Roman"/>
          <w:iCs/>
          <w:sz w:val="24"/>
          <w:szCs w:val="24"/>
        </w:rPr>
        <w:t xml:space="preserve">gastrocnemius и </w:t>
      </w:r>
      <w:r w:rsidRPr="00AE47C6">
        <w:rPr>
          <w:rFonts w:ascii="Times New Roman" w:eastAsia="SimSun" w:hAnsi="Times New Roman"/>
          <w:sz w:val="24"/>
          <w:szCs w:val="24"/>
        </w:rPr>
        <w:t xml:space="preserve">m. </w:t>
      </w:r>
      <w:r w:rsidRPr="00AE47C6">
        <w:rPr>
          <w:rFonts w:ascii="Times New Roman" w:eastAsia="SimSun" w:hAnsi="Times New Roman"/>
          <w:iCs/>
          <w:sz w:val="24"/>
          <w:szCs w:val="24"/>
        </w:rPr>
        <w:t>soleus.</w:t>
      </w:r>
    </w:p>
    <w:p w14:paraId="02B2429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При ПКМД2J се </w:t>
      </w:r>
      <w:r w:rsidRPr="00AE47C6">
        <w:rPr>
          <w:rFonts w:ascii="Times New Roman" w:eastAsia="SimSun" w:hAnsi="Times New Roman"/>
          <w:iCs/>
          <w:sz w:val="24"/>
          <w:szCs w:val="24"/>
        </w:rPr>
        <w:t>установява</w:t>
      </w:r>
      <w:r w:rsidRPr="00AE47C6">
        <w:rPr>
          <w:rFonts w:ascii="Times New Roman" w:eastAsia="SimSun" w:hAnsi="Times New Roman"/>
          <w:sz w:val="24"/>
          <w:szCs w:val="24"/>
        </w:rPr>
        <w:t xml:space="preserve"> ранно и тежко засягане на m. tibialis ant.</w:t>
      </w:r>
    </w:p>
    <w:p w14:paraId="0BB1A38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При ПКМД2L се установява ранно засягане на задната бедрена мускулатура. На </w:t>
      </w:r>
      <w:r w:rsidRPr="00AE47C6">
        <w:rPr>
          <w:rFonts w:ascii="Times New Roman" w:eastAsia="SimSun" w:hAnsi="Times New Roman"/>
          <w:iCs/>
          <w:sz w:val="24"/>
          <w:szCs w:val="24"/>
        </w:rPr>
        <w:t xml:space="preserve">m. semitendinosus, при относителна съхраненост на </w:t>
      </w:r>
      <w:r w:rsidRPr="00AE47C6">
        <w:rPr>
          <w:rFonts w:ascii="Times New Roman" w:eastAsia="SimSun" w:hAnsi="Times New Roman"/>
          <w:sz w:val="24"/>
          <w:szCs w:val="24"/>
        </w:rPr>
        <w:t xml:space="preserve">m. </w:t>
      </w:r>
      <w:r w:rsidRPr="00AE47C6">
        <w:rPr>
          <w:rFonts w:ascii="Times New Roman" w:eastAsia="SimSun" w:hAnsi="Times New Roman"/>
          <w:iCs/>
          <w:sz w:val="24"/>
          <w:szCs w:val="24"/>
        </w:rPr>
        <w:t xml:space="preserve">sartorius, m. gracilis и </w:t>
      </w:r>
      <w:r w:rsidRPr="00AE47C6">
        <w:rPr>
          <w:rFonts w:ascii="Times New Roman" w:eastAsia="SimSun" w:hAnsi="Times New Roman"/>
          <w:sz w:val="24"/>
          <w:szCs w:val="24"/>
        </w:rPr>
        <w:t xml:space="preserve">m. </w:t>
      </w:r>
      <w:r w:rsidRPr="00AE47C6">
        <w:rPr>
          <w:rFonts w:ascii="Times New Roman" w:eastAsia="SimSun" w:hAnsi="Times New Roman"/>
          <w:iCs/>
          <w:sz w:val="24"/>
          <w:szCs w:val="24"/>
        </w:rPr>
        <w:t xml:space="preserve">rectus femoris. В областта на подбедриците m. soleus, m. gastrocnemius medialis </w:t>
      </w:r>
      <w:r w:rsidRPr="00AE47C6">
        <w:rPr>
          <w:rFonts w:ascii="Times New Roman" w:eastAsia="SimSun" w:hAnsi="Times New Roman"/>
          <w:sz w:val="24"/>
          <w:szCs w:val="24"/>
        </w:rPr>
        <w:t>са засягат рано.</w:t>
      </w:r>
    </w:p>
    <w:p w14:paraId="38DB318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При саркогликанопатиите </w:t>
      </w:r>
      <w:r w:rsidRPr="00AE47C6">
        <w:rPr>
          <w:rFonts w:ascii="Times New Roman" w:eastAsia="SimSun" w:hAnsi="Times New Roman"/>
          <w:iCs/>
          <w:sz w:val="24"/>
          <w:szCs w:val="24"/>
        </w:rPr>
        <w:t>аддукторите</w:t>
      </w:r>
      <w:r w:rsidRPr="00AE47C6">
        <w:rPr>
          <w:rFonts w:ascii="Times New Roman" w:eastAsia="SimSun" w:hAnsi="Times New Roman"/>
          <w:sz w:val="24"/>
          <w:szCs w:val="24"/>
        </w:rPr>
        <w:t xml:space="preserve"> на бедрата, глутеалните мускули са най-рано и тежко засегнати при относително съхранени дистални мускули на подбедриците и дистални части на m. quadriceps femoris.</w:t>
      </w:r>
    </w:p>
    <w:p w14:paraId="4C07334A" w14:textId="77777777" w:rsidR="00BE0B19" w:rsidRPr="00AE47C6" w:rsidRDefault="00BE0B19" w:rsidP="00BE0B19">
      <w:pPr>
        <w:spacing w:after="0" w:line="360" w:lineRule="auto"/>
        <w:ind w:firstLine="709"/>
        <w:jc w:val="both"/>
        <w:rPr>
          <w:rFonts w:ascii="Times New Roman" w:eastAsia="SimSun" w:hAnsi="Times New Roman"/>
          <w:i/>
          <w:sz w:val="24"/>
          <w:szCs w:val="24"/>
          <w:u w:val="single"/>
        </w:rPr>
      </w:pPr>
      <w:r w:rsidRPr="00AE47C6">
        <w:rPr>
          <w:rFonts w:ascii="Times New Roman" w:eastAsia="SimSun" w:hAnsi="Times New Roman"/>
          <w:sz w:val="24"/>
          <w:szCs w:val="24"/>
        </w:rPr>
        <w:t>При ПКМД 2Z в областта на бедрената мускулатура се установява дегенерация отвътре навън.</w:t>
      </w:r>
    </w:p>
    <w:p w14:paraId="4B477E17" w14:textId="77777777" w:rsidR="00BE0B19" w:rsidRPr="00AE47C6" w:rsidRDefault="00BE0B19" w:rsidP="00BE0B19">
      <w:pPr>
        <w:spacing w:after="0" w:line="360" w:lineRule="auto"/>
        <w:ind w:firstLine="708"/>
        <w:jc w:val="both"/>
        <w:rPr>
          <w:rFonts w:ascii="Times New Roman" w:eastAsia="SimSun" w:hAnsi="Times New Roman"/>
          <w:b/>
          <w:sz w:val="24"/>
          <w:szCs w:val="24"/>
        </w:rPr>
      </w:pPr>
      <w:r w:rsidRPr="00AE47C6">
        <w:rPr>
          <w:rFonts w:ascii="Times New Roman" w:eastAsia="SimSun" w:hAnsi="Times New Roman"/>
          <w:b/>
          <w:sz w:val="24"/>
          <w:szCs w:val="24"/>
        </w:rPr>
        <w:t>Особености от мускулната биопсия:</w:t>
      </w:r>
    </w:p>
    <w:p w14:paraId="10BD1AE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Мускулната биопсия е с данни за дистрофични промени. При някои форми може да се установят и други специфични особености. При калпаинопатията в мускулната биопсия може да са налице еозинофилни инфилтрати, без еозинофилия в кръвта. Лобулираните мускулни влакна се установяват в по-напредналите стадии на заболяването. При ПКМД2B и ПКМД2L се откриват интерстициални и васкуларни амилоидни отлагания в скелетните мускули без системни такива. Rimmed вакуолите са типични при transportinopathy-3.</w:t>
      </w:r>
    </w:p>
    <w:p w14:paraId="41BD4AD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При саркогликанопатиите наред с дистрофичните промени са налице и изразени еозинофилни инфилтрати. </w:t>
      </w:r>
    </w:p>
    <w:p w14:paraId="15ECBB74"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sz w:val="24"/>
          <w:szCs w:val="24"/>
        </w:rPr>
        <w:t>При имунохистохимично изследване се установява намалена до липсваща експресия на определен протеин, обусловени от мутации в съответния ген.</w:t>
      </w:r>
    </w:p>
    <w:p w14:paraId="35DFFE19" w14:textId="77777777" w:rsidR="00BE0B19" w:rsidRPr="00AE47C6" w:rsidRDefault="00BE0B19" w:rsidP="00BE0B19">
      <w:pPr>
        <w:spacing w:after="0" w:line="360" w:lineRule="auto"/>
        <w:ind w:firstLine="708"/>
        <w:jc w:val="both"/>
        <w:rPr>
          <w:rFonts w:ascii="Times New Roman" w:eastAsia="SimSun" w:hAnsi="Times New Roman"/>
          <w:b/>
          <w:sz w:val="24"/>
          <w:szCs w:val="24"/>
        </w:rPr>
      </w:pPr>
      <w:r w:rsidRPr="00AE47C6">
        <w:rPr>
          <w:rFonts w:ascii="Times New Roman" w:eastAsia="SimSun" w:hAnsi="Times New Roman"/>
          <w:b/>
          <w:sz w:val="24"/>
          <w:szCs w:val="24"/>
        </w:rPr>
        <w:t>Лечение и грижи</w:t>
      </w:r>
    </w:p>
    <w:p w14:paraId="6D23DE5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u w:val="single"/>
        </w:rPr>
        <w:t>Кардиологично лечение</w:t>
      </w:r>
      <w:r w:rsidRPr="00AE47C6">
        <w:rPr>
          <w:rFonts w:ascii="Times New Roman" w:eastAsia="SimSun" w:hAnsi="Times New Roman"/>
          <w:sz w:val="24"/>
          <w:szCs w:val="24"/>
        </w:rPr>
        <w:t>: Пациентите с ПКМД с известно кардиологично засягане и тези, при които липсва генетична верификация се насочват за кардиологична оценка - ЕКГ, ехоКГ. При тези с анамнеза за синкопи, аритмии се препоръчва провеждане на холтер ЕКГ. В зависимост от резултата кардиолог преценява необходимостта от поставяне на постоянен кардиостимулатор и приложението на АСЕ-инхибитори, бета-блокери и диуретици.</w:t>
      </w:r>
    </w:p>
    <w:p w14:paraId="1414D67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u w:val="single"/>
        </w:rPr>
        <w:t>Дисфагия</w:t>
      </w:r>
      <w:r w:rsidRPr="00AE47C6">
        <w:rPr>
          <w:rFonts w:ascii="Times New Roman" w:eastAsia="SimSun" w:hAnsi="Times New Roman"/>
          <w:sz w:val="24"/>
          <w:szCs w:val="24"/>
        </w:rPr>
        <w:t xml:space="preserve">: При дисфагия, загуба на тегло, пациентът се насочва към гастроентеролог за оценка на риска за аспирация, обучение в техники за преглъщане и преценка на необходимостта от поставяне на гастро- или йеюностома. </w:t>
      </w:r>
    </w:p>
    <w:p w14:paraId="7E73813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u w:val="single"/>
        </w:rPr>
        <w:t>Белодробни усложнения</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Предвид факта, че пациентите с НМЗ може да нямат типичните симптоми на дихателна недостатъчност, като диспнея, при всички болни се препоръчва ежегодна оценка на вентилаторните показатели чрез спирометрия в изправено и легнало положение. Пулмолог/анестезиолог преценява необходимостта от дихателно подпомагане чрез инвазивна или неинвазивна вентилация.</w:t>
      </w:r>
    </w:p>
    <w:p w14:paraId="30303454" w14:textId="77777777" w:rsidR="00BE0B19" w:rsidRPr="00AE47C6" w:rsidRDefault="00BE0B19" w:rsidP="00BE0B19">
      <w:pPr>
        <w:spacing w:after="0" w:line="360" w:lineRule="auto"/>
        <w:ind w:firstLine="709"/>
        <w:jc w:val="both"/>
        <w:rPr>
          <w:rFonts w:ascii="Times New Roman" w:eastAsia="SimSun" w:hAnsi="Times New Roman"/>
          <w:i/>
          <w:sz w:val="24"/>
          <w:szCs w:val="24"/>
          <w:u w:val="single"/>
        </w:rPr>
      </w:pPr>
      <w:r w:rsidRPr="00AE47C6">
        <w:rPr>
          <w:rFonts w:ascii="Times New Roman" w:eastAsia="SimSun" w:hAnsi="Times New Roman"/>
          <w:i/>
          <w:sz w:val="24"/>
          <w:szCs w:val="24"/>
          <w:u w:val="single"/>
        </w:rPr>
        <w:t>Сколиоза</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 xml:space="preserve">необходимо е ежегодно проследяване на сколиозата чрез провеждане на рентгенографии. При необходимост пациентите се насочва за провеждане на ортопедични операции с цел да се подържа позата, подвижността, да се подържа кардиопулмоналната функция и да се подобри качеството на живот. </w:t>
      </w:r>
    </w:p>
    <w:p w14:paraId="44545A59" w14:textId="77777777" w:rsidR="00BE0B19" w:rsidRPr="00AE47C6" w:rsidRDefault="00BE0B19" w:rsidP="00BE0B19">
      <w:pPr>
        <w:spacing w:after="0" w:line="360" w:lineRule="auto"/>
        <w:ind w:firstLine="709"/>
        <w:jc w:val="both"/>
        <w:rPr>
          <w:rFonts w:ascii="Times New Roman" w:eastAsia="SimSun" w:hAnsi="Times New Roman"/>
          <w:color w:val="000000" w:themeColor="text1"/>
          <w:sz w:val="24"/>
          <w:szCs w:val="24"/>
        </w:rPr>
      </w:pPr>
      <w:r w:rsidRPr="00AE47C6">
        <w:rPr>
          <w:rFonts w:ascii="Times New Roman" w:eastAsia="SimSun" w:hAnsi="Times New Roman"/>
          <w:i/>
          <w:color w:val="000000" w:themeColor="text1"/>
          <w:sz w:val="24"/>
          <w:szCs w:val="24"/>
          <w:u w:val="single"/>
        </w:rPr>
        <w:t>Рехабилитация</w:t>
      </w:r>
      <w:r w:rsidRPr="00AE47C6">
        <w:rPr>
          <w:rFonts w:ascii="Times New Roman" w:eastAsia="SimSun" w:hAnsi="Times New Roman"/>
          <w:i/>
          <w:color w:val="000000" w:themeColor="text1"/>
          <w:sz w:val="24"/>
          <w:szCs w:val="24"/>
        </w:rPr>
        <w:t xml:space="preserve"> - </w:t>
      </w:r>
      <w:r w:rsidRPr="00AE47C6">
        <w:rPr>
          <w:rFonts w:ascii="Times New Roman" w:eastAsia="SimSun" w:hAnsi="Times New Roman"/>
          <w:color w:val="000000" w:themeColor="text1"/>
          <w:sz w:val="24"/>
          <w:szCs w:val="24"/>
        </w:rPr>
        <w:t>системно се провежда от рехабилитатор с опит в областта на НМЗ</w:t>
      </w:r>
    </w:p>
    <w:p w14:paraId="731AEE62" w14:textId="77777777" w:rsidR="00BE0B19" w:rsidRPr="00AE47C6" w:rsidRDefault="00BE0B19" w:rsidP="00BE0B19">
      <w:pPr>
        <w:spacing w:after="0" w:line="360" w:lineRule="auto"/>
        <w:ind w:firstLine="708"/>
        <w:jc w:val="both"/>
        <w:rPr>
          <w:rFonts w:ascii="Times New Roman" w:eastAsia="SimSun" w:hAnsi="Times New Roman"/>
          <w:bCs/>
          <w:color w:val="000000" w:themeColor="text1"/>
          <w:sz w:val="24"/>
          <w:szCs w:val="24"/>
        </w:rPr>
      </w:pPr>
      <w:r w:rsidRPr="00AE47C6">
        <w:rPr>
          <w:rFonts w:ascii="Times New Roman" w:eastAsia="SimSun" w:hAnsi="Times New Roman"/>
          <w:color w:val="000000" w:themeColor="text1"/>
          <w:sz w:val="24"/>
          <w:szCs w:val="24"/>
        </w:rPr>
        <w:t xml:space="preserve">До момента в България най-често диагностицираните форми са </w:t>
      </w:r>
      <w:r w:rsidRPr="00AE47C6">
        <w:rPr>
          <w:rFonts w:ascii="Times New Roman" w:eastAsia="SimSun" w:hAnsi="Times New Roman"/>
          <w:sz w:val="24"/>
          <w:szCs w:val="24"/>
        </w:rPr>
        <w:t>ПКМД2А/R1</w:t>
      </w:r>
      <w:r w:rsidRPr="00AE47C6">
        <w:rPr>
          <w:rFonts w:ascii="Times New Roman" w:eastAsia="SimSun" w:hAnsi="Times New Roman"/>
          <w:color w:val="000000" w:themeColor="text1"/>
          <w:sz w:val="24"/>
          <w:szCs w:val="24"/>
        </w:rPr>
        <w:t xml:space="preserve">– калпаинопатията, с мутации в екзони 4 и 7 на гена. Сред ромската популация се установява тип </w:t>
      </w:r>
      <w:r w:rsidRPr="00AE47C6">
        <w:rPr>
          <w:rFonts w:ascii="Times New Roman" w:eastAsia="SimSun" w:hAnsi="Times New Roman"/>
          <w:sz w:val="24"/>
          <w:szCs w:val="24"/>
        </w:rPr>
        <w:t>2С/R5</w:t>
      </w:r>
      <w:r w:rsidRPr="00AE47C6">
        <w:rPr>
          <w:rFonts w:ascii="Times New Roman" w:eastAsia="SimSun" w:hAnsi="Times New Roman"/>
          <w:color w:val="000000" w:themeColor="text1"/>
          <w:sz w:val="24"/>
          <w:szCs w:val="24"/>
        </w:rPr>
        <w:t xml:space="preserve">с мутация с ефект на родоначалника С283Y в хомозиготно състояние, с фенотип близък до този при ПМД тип Duchenne. Сред българомохамедани най-честата форма е </w:t>
      </w:r>
      <w:r w:rsidRPr="00AE47C6">
        <w:rPr>
          <w:rFonts w:ascii="Times New Roman" w:eastAsia="SimSun" w:hAnsi="Times New Roman"/>
          <w:sz w:val="24"/>
          <w:szCs w:val="24"/>
        </w:rPr>
        <w:t>2G/R7</w:t>
      </w:r>
      <w:r w:rsidRPr="00AE47C6">
        <w:rPr>
          <w:rFonts w:ascii="Times New Roman" w:eastAsia="SimSun" w:hAnsi="Times New Roman"/>
          <w:color w:val="000000" w:themeColor="text1"/>
          <w:sz w:val="24"/>
          <w:szCs w:val="24"/>
        </w:rPr>
        <w:t xml:space="preserve">, обусловена от хомозиготната мутация </w:t>
      </w:r>
      <w:r w:rsidRPr="00AE47C6">
        <w:rPr>
          <w:rFonts w:ascii="Times New Roman" w:eastAsia="SimSun" w:hAnsi="Times New Roman"/>
          <w:bCs/>
          <w:color w:val="000000" w:themeColor="text1"/>
          <w:sz w:val="24"/>
          <w:szCs w:val="24"/>
        </w:rPr>
        <w:t xml:space="preserve">p.Trp25X в </w:t>
      </w:r>
      <w:r w:rsidRPr="00AE47C6">
        <w:rPr>
          <w:rFonts w:ascii="Times New Roman" w:eastAsia="SimSun" w:hAnsi="Times New Roman"/>
          <w:bCs/>
          <w:i/>
          <w:color w:val="000000" w:themeColor="text1"/>
          <w:sz w:val="24"/>
          <w:szCs w:val="24"/>
        </w:rPr>
        <w:t>ТСАР</w:t>
      </w:r>
      <w:r w:rsidRPr="00AE47C6">
        <w:rPr>
          <w:rFonts w:ascii="Times New Roman" w:eastAsia="SimSun" w:hAnsi="Times New Roman"/>
          <w:bCs/>
          <w:color w:val="000000" w:themeColor="text1"/>
          <w:sz w:val="24"/>
          <w:szCs w:val="24"/>
        </w:rPr>
        <w:t xml:space="preserve">. </w:t>
      </w:r>
      <w:bookmarkStart w:id="201" w:name="_Hlk155642092"/>
    </w:p>
    <w:p w14:paraId="6B380E93" w14:textId="77777777" w:rsidR="00BE0B19" w:rsidRPr="00AE47C6" w:rsidRDefault="00BE0B19" w:rsidP="00BE0B19">
      <w:pPr>
        <w:spacing w:after="0" w:line="360" w:lineRule="auto"/>
        <w:jc w:val="both"/>
        <w:rPr>
          <w:rFonts w:ascii="Times New Roman" w:eastAsia="SimSun" w:hAnsi="Times New Roman"/>
          <w:b/>
          <w:bCs/>
          <w:sz w:val="24"/>
          <w:szCs w:val="24"/>
        </w:rPr>
        <w:sectPr w:rsidR="00BE0B19" w:rsidRPr="00AE47C6" w:rsidSect="00AD72E5">
          <w:headerReference w:type="default" r:id="rId138"/>
          <w:pgSz w:w="11906" w:h="16838"/>
          <w:pgMar w:top="1418" w:right="1418" w:bottom="1418" w:left="1418" w:header="709" w:footer="709" w:gutter="0"/>
          <w:pgNumType w:start="1"/>
          <w:cols w:space="708"/>
          <w:docGrid w:linePitch="360"/>
        </w:sectPr>
      </w:pPr>
      <w:r w:rsidRPr="00AE47C6">
        <w:rPr>
          <w:rFonts w:ascii="Times New Roman" w:eastAsia="SimSun" w:hAnsi="Times New Roman"/>
          <w:b/>
          <w:bCs/>
          <w:sz w:val="24"/>
          <w:szCs w:val="24"/>
        </w:rPr>
        <w:br w:type="page"/>
      </w:r>
      <w:bookmarkEnd w:id="201"/>
    </w:p>
    <w:p w14:paraId="609409AC"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noProof/>
          <w:lang w:eastAsia="bg-BG"/>
        </w:rPr>
        <w:drawing>
          <wp:inline distT="0" distB="0" distL="0" distR="0" wp14:anchorId="53BA7050" wp14:editId="32739703">
            <wp:extent cx="5759450" cy="3799205"/>
            <wp:effectExtent l="0" t="0" r="0" b="0"/>
            <wp:docPr id="282436558"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36558" name="Picture 1" descr="A diagram of a company&#10;&#10;Description automatically generated"/>
                    <pic:cNvPicPr/>
                  </pic:nvPicPr>
                  <pic:blipFill>
                    <a:blip r:embed="rId139"/>
                    <a:stretch>
                      <a:fillRect/>
                    </a:stretch>
                  </pic:blipFill>
                  <pic:spPr>
                    <a:xfrm>
                      <a:off x="0" y="0"/>
                      <a:ext cx="5759450" cy="3799205"/>
                    </a:xfrm>
                    <a:prstGeom prst="rect">
                      <a:avLst/>
                    </a:prstGeom>
                  </pic:spPr>
                </pic:pic>
              </a:graphicData>
            </a:graphic>
          </wp:inline>
        </w:drawing>
      </w:r>
    </w:p>
    <w:p w14:paraId="2A43F775"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Фигура 9.3. Диагностичен алгоритъм при пациенти с пояс-крайник мускулни дистрофии</w:t>
      </w:r>
    </w:p>
    <w:p w14:paraId="0C791388" w14:textId="77777777" w:rsidR="00BE0B19" w:rsidRPr="00AE47C6" w:rsidRDefault="00BE0B19" w:rsidP="00BE0B19">
      <w:pPr>
        <w:tabs>
          <w:tab w:val="left" w:pos="8265"/>
        </w:tabs>
        <w:spacing w:after="0" w:line="360" w:lineRule="auto"/>
        <w:jc w:val="both"/>
        <w:rPr>
          <w:rFonts w:ascii="Times New Roman" w:eastAsia="SimSun" w:hAnsi="Times New Roman"/>
          <w:b/>
          <w:sz w:val="24"/>
          <w:szCs w:val="24"/>
        </w:rPr>
      </w:pPr>
    </w:p>
    <w:p w14:paraId="1BEEFB96"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202" w:name="_Toc155651797"/>
      <w:bookmarkStart w:id="203" w:name="_Toc164075929"/>
      <w:r w:rsidRPr="00AE47C6">
        <w:rPr>
          <w:rFonts w:ascii="Times New Roman" w:eastAsia="SimSun" w:hAnsi="Times New Roman"/>
          <w:b/>
          <w:sz w:val="24"/>
          <w:szCs w:val="20"/>
          <w:lang w:eastAsia="ja-JP"/>
        </w:rPr>
        <w:t>9.1.5. Фациоскапулохумерална дистрофия (ФСХД)</w:t>
      </w:r>
      <w:bookmarkEnd w:id="202"/>
      <w:bookmarkEnd w:id="203"/>
      <w:r w:rsidRPr="00AE47C6">
        <w:rPr>
          <w:rFonts w:ascii="Times New Roman" w:eastAsia="SimSun" w:hAnsi="Times New Roman"/>
          <w:b/>
          <w:sz w:val="24"/>
          <w:szCs w:val="20"/>
          <w:lang w:eastAsia="ja-JP"/>
        </w:rPr>
        <w:tab/>
      </w:r>
    </w:p>
    <w:p w14:paraId="3A365F4B"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Това е третата по честота миопатия след ПМД тип Duchenne и миотоничната дистрофия тип Steinert. Тя е автозомно-доминантно заболяване.</w:t>
      </w:r>
    </w:p>
    <w:p w14:paraId="52F283C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Етиология и патогенеза</w:t>
      </w:r>
      <w:r w:rsidRPr="00AE47C6">
        <w:rPr>
          <w:rFonts w:ascii="Times New Roman" w:eastAsia="SimSun" w:hAnsi="Times New Roman"/>
          <w:sz w:val="24"/>
          <w:szCs w:val="24"/>
        </w:rPr>
        <w:t xml:space="preserve">. Заболяването е картирано върху дългото рамо на 4-та хромозома – 4q35, където е локализиран </w:t>
      </w:r>
      <w:r w:rsidRPr="00AE47C6">
        <w:rPr>
          <w:rFonts w:ascii="Times New Roman" w:eastAsia="SimSun" w:hAnsi="Times New Roman"/>
          <w:i/>
          <w:sz w:val="24"/>
          <w:szCs w:val="24"/>
        </w:rPr>
        <w:t>DUX4</w:t>
      </w:r>
      <w:r w:rsidRPr="00AE47C6">
        <w:rPr>
          <w:rFonts w:ascii="Times New Roman" w:eastAsia="SimSun" w:hAnsi="Times New Roman"/>
          <w:sz w:val="24"/>
          <w:szCs w:val="24"/>
        </w:rPr>
        <w:t xml:space="preserve">-гена в областта на макросателитните повтори D4Z4. Те в норма са между 11 и 100. При пациентите фрагментите са по-малки от 35 kb, a броят на повторите е от 1 до 10. Намалената дължина на D4Z4 води до хроматинова релаксация и супресия активността на DUX4 при 95% от болните. При около 5%, т.нар. ФСХД 2 са без намален фрагмент и се установява мутация в </w:t>
      </w:r>
      <w:r w:rsidRPr="00AE47C6">
        <w:rPr>
          <w:rFonts w:ascii="Times New Roman" w:eastAsia="SimSun" w:hAnsi="Times New Roman"/>
          <w:i/>
          <w:sz w:val="24"/>
          <w:szCs w:val="24"/>
        </w:rPr>
        <w:t>SMCHD1</w:t>
      </w:r>
      <w:r w:rsidRPr="00AE47C6">
        <w:rPr>
          <w:rFonts w:ascii="Times New Roman" w:eastAsia="SimSun" w:hAnsi="Times New Roman"/>
          <w:sz w:val="24"/>
          <w:szCs w:val="24"/>
        </w:rPr>
        <w:t>, която води до хроматинова релаксация на D4Z4. При пациентите с най-големи известни делеции се развива конгенитална ФСХД. Когато размерът на оставащия ДНК фрагмент е 10-13 kb, началото е между 1 и 16 годишна възраст. При средно големи делеции (16 kb размер на оставащия фрагмент ) - между 8 и 22 години. При малки делеции и размер на оставащия фрагмент 35 kb началото е 15-23 години. Част от индивидите, носители на генетичния дефект, са с асимптомно или субклинично протичане.</w:t>
      </w:r>
    </w:p>
    <w:p w14:paraId="3CB57634" w14:textId="77777777" w:rsidR="00BE0B19" w:rsidRPr="00AE47C6" w:rsidRDefault="00BE0B19" w:rsidP="00BE0B19">
      <w:pPr>
        <w:tabs>
          <w:tab w:val="left" w:pos="567"/>
        </w:tabs>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ab/>
        <w:t>Клинична картина</w:t>
      </w:r>
      <w:r w:rsidRPr="00AE47C6">
        <w:rPr>
          <w:rFonts w:ascii="Times New Roman" w:eastAsia="SimSun" w:hAnsi="Times New Roman"/>
          <w:sz w:val="24"/>
          <w:szCs w:val="24"/>
        </w:rPr>
        <w:t xml:space="preserve">. ФСХД протича в шест стадия: </w:t>
      </w:r>
    </w:p>
    <w:p w14:paraId="188482BB" w14:textId="77777777" w:rsidR="00BE0B19" w:rsidRPr="00AE47C6" w:rsidRDefault="00BE0B19" w:rsidP="00BE0B19">
      <w:pPr>
        <w:tabs>
          <w:tab w:val="left" w:pos="567"/>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ab/>
        <w:t>І - засягане на лицевите мускули</w:t>
      </w:r>
    </w:p>
    <w:p w14:paraId="2E98119B" w14:textId="77777777" w:rsidR="00BE0B19" w:rsidRPr="00AE47C6" w:rsidRDefault="00BE0B19" w:rsidP="00BE0B19">
      <w:pPr>
        <w:tabs>
          <w:tab w:val="left" w:pos="0"/>
          <w:tab w:val="left" w:pos="567"/>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Първоначалната мускулна слабост засяга лицевите мускули, особено mm. orbicularis oculi, zygomatici и orbicularis oris. Характерно за болестта е съхраняването на: mm. masseter, temporalis и външните очни мускули. В по-късните стадии, клепачите не се допират, като част от склерата остава видима. При усмихване, устните ъгли се придвижват напречно. Засягането на лицевата мускулатура често е асиметрично и води до необичаен изглед на пациентите. С прогресиране на болестта, лицето губи нормалните си гънки и придобива безизразен вид.</w:t>
      </w:r>
    </w:p>
    <w:p w14:paraId="1AE840B3" w14:textId="77777777" w:rsidR="00BE0B19" w:rsidRPr="00AE47C6" w:rsidRDefault="00BE0B19" w:rsidP="00BE0B19">
      <w:pPr>
        <w:tabs>
          <w:tab w:val="left" w:pos="567"/>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ab/>
        <w:t>ІІ - засягане на мускулите на раменния пояс</w:t>
      </w:r>
    </w:p>
    <w:p w14:paraId="5B06E140" w14:textId="77777777" w:rsidR="00BE0B19" w:rsidRPr="00AE47C6" w:rsidRDefault="00BE0B19" w:rsidP="00BE0B19">
      <w:pPr>
        <w:tabs>
          <w:tab w:val="left" w:pos="567"/>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 xml:space="preserve">В началото на болестта е характерна слабост на мускулите, фиксиращи лопатката. Ангажират се m. latissimus dorsi, pars ascendens на m. trapezius, mm. rhomboidei и m. serratus ant. “Криловидните лопатки” могат да се наблюдават, но в покой могат и да липсват. При абдукция и особено при отвеждане на ръцете напред, наличието им става по-видимо. Засягането на m. pectoralis major, особено неговата стернокостална глава, води до характерно продължение напред и нагоре на аксиларните гънки и плосък изглед на предната гръдна стена. </w:t>
      </w:r>
    </w:p>
    <w:p w14:paraId="31FC465E" w14:textId="77777777" w:rsidR="00BE0B19" w:rsidRPr="00AE47C6" w:rsidRDefault="00BE0B19" w:rsidP="00BE0B19">
      <w:pPr>
        <w:tabs>
          <w:tab w:val="left" w:pos="567"/>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ab/>
        <w:t>ІІІ – засягане на екстензорите на стъпалото. M. tibialis anterior е особено тежко засегнат с развитие на степажна походка</w:t>
      </w:r>
    </w:p>
    <w:p w14:paraId="36245020" w14:textId="77777777" w:rsidR="00BE0B19" w:rsidRPr="00AE47C6" w:rsidRDefault="00BE0B19" w:rsidP="00BE0B19">
      <w:pPr>
        <w:tabs>
          <w:tab w:val="left" w:pos="567"/>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ab/>
        <w:t>ІV - засягане на тазовия пояс</w:t>
      </w:r>
    </w:p>
    <w:p w14:paraId="2A22BC82" w14:textId="77777777" w:rsidR="00BE0B19" w:rsidRPr="00AE47C6" w:rsidRDefault="00BE0B19" w:rsidP="00BE0B19">
      <w:pPr>
        <w:tabs>
          <w:tab w:val="left" w:pos="567"/>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ab/>
        <w:t>V - нарушена способност за изкачване на стълби</w:t>
      </w:r>
    </w:p>
    <w:p w14:paraId="11A69BC0" w14:textId="77777777" w:rsidR="00BE0B19" w:rsidRPr="00AE47C6" w:rsidRDefault="00BE0B19" w:rsidP="00BE0B19">
      <w:pPr>
        <w:tabs>
          <w:tab w:val="left" w:pos="567"/>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ab/>
        <w:t>VІ - загуба на самостоятелна походка.</w:t>
      </w:r>
    </w:p>
    <w:p w14:paraId="3FB1C40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При ФСХД могат да се наблюдават също:</w:t>
      </w:r>
    </w:p>
    <w:p w14:paraId="21BA31FD" w14:textId="77777777" w:rsidR="00BE0B19" w:rsidRPr="00AE47C6" w:rsidRDefault="00BE0B19" w:rsidP="00BE0B19">
      <w:pPr>
        <w:numPr>
          <w:ilvl w:val="0"/>
          <w:numId w:val="233"/>
        </w:numPr>
        <w:tabs>
          <w:tab w:val="left" w:pos="826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Леки сърдечни проводникови нарушения в 5% от пациентите (предсърдни тахиаритмии)</w:t>
      </w:r>
    </w:p>
    <w:p w14:paraId="7F1C6A88" w14:textId="77777777" w:rsidR="00BE0B19" w:rsidRPr="00AE47C6" w:rsidRDefault="00BE0B19" w:rsidP="00BE0B19">
      <w:pPr>
        <w:numPr>
          <w:ilvl w:val="0"/>
          <w:numId w:val="233"/>
        </w:numPr>
        <w:tabs>
          <w:tab w:val="left" w:pos="826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Невросензорно намаление до пълна загуба на слуха </w:t>
      </w:r>
    </w:p>
    <w:p w14:paraId="002FE962" w14:textId="77777777" w:rsidR="00BE0B19" w:rsidRPr="00AE47C6" w:rsidRDefault="00BE0B19" w:rsidP="00BE0B19">
      <w:pPr>
        <w:numPr>
          <w:ilvl w:val="0"/>
          <w:numId w:val="233"/>
        </w:numPr>
        <w:tabs>
          <w:tab w:val="left" w:pos="826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Съдови промени в ретината </w:t>
      </w:r>
    </w:p>
    <w:p w14:paraId="4918FF63" w14:textId="77777777" w:rsidR="00BE0B19" w:rsidRPr="00AE47C6" w:rsidRDefault="00BE0B19" w:rsidP="00BE0B19">
      <w:pPr>
        <w:numPr>
          <w:ilvl w:val="0"/>
          <w:numId w:val="233"/>
        </w:numPr>
        <w:tabs>
          <w:tab w:val="left" w:pos="826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Епилепсия</w:t>
      </w:r>
    </w:p>
    <w:p w14:paraId="5F0A47F0" w14:textId="77777777" w:rsidR="00BE0B19" w:rsidRPr="00AE47C6" w:rsidRDefault="00BE0B19" w:rsidP="00BE0B19">
      <w:pPr>
        <w:numPr>
          <w:ilvl w:val="0"/>
          <w:numId w:val="233"/>
        </w:numPr>
        <w:tabs>
          <w:tab w:val="left" w:pos="826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Умствена изостаналост</w:t>
      </w:r>
    </w:p>
    <w:p w14:paraId="2876BBA6" w14:textId="77777777" w:rsidR="00BE0B19" w:rsidRPr="00AE47C6" w:rsidRDefault="00BE0B19" w:rsidP="00BE0B19">
      <w:pPr>
        <w:numPr>
          <w:ilvl w:val="0"/>
          <w:numId w:val="233"/>
        </w:numPr>
        <w:tabs>
          <w:tab w:val="left" w:pos="826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Психотични прояви</w:t>
      </w:r>
    </w:p>
    <w:p w14:paraId="6E0993A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ab/>
        <w:t>Диагноза</w:t>
      </w:r>
      <w:r w:rsidRPr="00AE47C6">
        <w:rPr>
          <w:rFonts w:ascii="Times New Roman" w:eastAsia="SimSun" w:hAnsi="Times New Roman"/>
          <w:sz w:val="24"/>
          <w:szCs w:val="24"/>
        </w:rPr>
        <w:t xml:space="preserve">. Диагностичните критерии включват: </w:t>
      </w:r>
    </w:p>
    <w:p w14:paraId="0071C73C" w14:textId="77777777" w:rsidR="00BE0B19" w:rsidRPr="00AE47C6" w:rsidRDefault="00BE0B19" w:rsidP="00BE0B19">
      <w:pPr>
        <w:numPr>
          <w:ilvl w:val="0"/>
          <w:numId w:val="23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Първоначално засягане мускулите на лицето и раменния пояс, при съхранени външни очни мускули, фарингеални мускули и мускули на езика; </w:t>
      </w:r>
    </w:p>
    <w:p w14:paraId="27F4F562" w14:textId="77777777" w:rsidR="00BE0B19" w:rsidRPr="00AE47C6" w:rsidRDefault="00BE0B19" w:rsidP="00BE0B19">
      <w:pPr>
        <w:numPr>
          <w:ilvl w:val="0"/>
          <w:numId w:val="23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Лицева слабост се установява при повече от 50% от засегнатите членове на фамилиите; </w:t>
      </w:r>
    </w:p>
    <w:p w14:paraId="7B7666FF" w14:textId="77777777" w:rsidR="00BE0B19" w:rsidRPr="00AE47C6" w:rsidRDefault="00BE0B19" w:rsidP="00BE0B19">
      <w:pPr>
        <w:numPr>
          <w:ilvl w:val="0"/>
          <w:numId w:val="23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АД тип на унаследяване при фамилните случаи; </w:t>
      </w:r>
    </w:p>
    <w:p w14:paraId="085A4B66" w14:textId="77777777" w:rsidR="00BE0B19" w:rsidRPr="00AE47C6" w:rsidRDefault="00BE0B19" w:rsidP="00BE0B19">
      <w:pPr>
        <w:numPr>
          <w:ilvl w:val="0"/>
          <w:numId w:val="23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Данни за миогенни увреди от ЕМГ и мускулната биопсия. </w:t>
      </w:r>
    </w:p>
    <w:p w14:paraId="0B0B4294" w14:textId="77777777" w:rsidR="00BE0B19" w:rsidRPr="00AE47C6" w:rsidRDefault="00BE0B19" w:rsidP="00BE0B19">
      <w:pPr>
        <w:numPr>
          <w:ilvl w:val="0"/>
          <w:numId w:val="234"/>
        </w:numPr>
        <w:tabs>
          <w:tab w:val="left" w:pos="826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КФК са леко повишени - до 5 пъти над нормата. </w:t>
      </w:r>
    </w:p>
    <w:p w14:paraId="4A05D5EC" w14:textId="77777777" w:rsidR="00BE0B19" w:rsidRPr="00AE47C6" w:rsidRDefault="00BE0B19" w:rsidP="00BE0B19">
      <w:pPr>
        <w:numPr>
          <w:ilvl w:val="0"/>
          <w:numId w:val="234"/>
        </w:numPr>
        <w:tabs>
          <w:tab w:val="left" w:pos="826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Молекулярният анализ с данни за мутации DUX4- гена или SMCHD1 гена</w:t>
      </w:r>
    </w:p>
    <w:p w14:paraId="5CEC9460"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ab/>
        <w:t>Лечение и профилактика</w:t>
      </w:r>
      <w:r w:rsidRPr="00AE47C6">
        <w:rPr>
          <w:rFonts w:ascii="Times New Roman" w:eastAsia="SimSun" w:hAnsi="Times New Roman"/>
          <w:sz w:val="24"/>
          <w:szCs w:val="24"/>
        </w:rPr>
        <w:t xml:space="preserve">. Лечението е симптоматично чрез физиотерапия, кардиопротективни медикаменти. </w:t>
      </w:r>
    </w:p>
    <w:p w14:paraId="7B051850"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p>
    <w:p w14:paraId="0D82B56B" w14:textId="77777777" w:rsidR="00BE0B19" w:rsidRPr="00AE47C6" w:rsidRDefault="00BE0B19" w:rsidP="00701B4A">
      <w:pPr>
        <w:pStyle w:val="Heading3"/>
        <w:rPr>
          <w:rFonts w:ascii="Times New Roman" w:eastAsia="SimSun" w:hAnsi="Times New Roman"/>
          <w:szCs w:val="24"/>
        </w:rPr>
      </w:pPr>
      <w:bookmarkStart w:id="204" w:name="_Toc164075930"/>
      <w:r w:rsidRPr="00AE47C6">
        <w:rPr>
          <w:rFonts w:ascii="Times New Roman" w:eastAsia="SimSun" w:hAnsi="Times New Roman"/>
        </w:rPr>
        <w:t>9.1.6. Еmery-Dreifuss мускулна дистрофия</w:t>
      </w:r>
      <w:bookmarkEnd w:id="204"/>
    </w:p>
    <w:p w14:paraId="6A768330"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Представлява наследствена миопатия със специфичен фенотип и два типа на унаследяване: Х-рецесивен и автозомно-доминантен. </w:t>
      </w:r>
    </w:p>
    <w:p w14:paraId="5F93C6EA" w14:textId="77777777" w:rsidR="00BE0B19" w:rsidRPr="00AE47C6" w:rsidRDefault="00BE0B19" w:rsidP="00BE0B19">
      <w:pPr>
        <w:tabs>
          <w:tab w:val="left" w:pos="851"/>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Етиология</w:t>
      </w:r>
      <w:r w:rsidRPr="00AE47C6">
        <w:rPr>
          <w:rFonts w:ascii="Times New Roman" w:eastAsia="SimSun" w:hAnsi="Times New Roman"/>
          <w:sz w:val="24"/>
          <w:szCs w:val="24"/>
        </w:rPr>
        <w:t xml:space="preserve">. Причинява се от мутации в три различни гена: емеринов </w:t>
      </w:r>
      <w:r w:rsidRPr="00AE47C6">
        <w:rPr>
          <w:rFonts w:ascii="Times New Roman" w:eastAsia="SimSun" w:hAnsi="Times New Roman"/>
          <w:i/>
          <w:sz w:val="24"/>
          <w:szCs w:val="24"/>
        </w:rPr>
        <w:t>EMD</w:t>
      </w:r>
      <w:r w:rsidRPr="00AE47C6">
        <w:rPr>
          <w:rFonts w:ascii="Times New Roman" w:eastAsia="SimSun" w:hAnsi="Times New Roman"/>
          <w:sz w:val="24"/>
          <w:szCs w:val="24"/>
        </w:rPr>
        <w:t xml:space="preserve"> ген, намиращ се върху Xq28 хромозома, </w:t>
      </w:r>
      <w:r w:rsidRPr="00AE47C6">
        <w:rPr>
          <w:rFonts w:ascii="Times New Roman" w:eastAsia="SimSun" w:hAnsi="Times New Roman"/>
          <w:i/>
          <w:sz w:val="24"/>
          <w:szCs w:val="24"/>
        </w:rPr>
        <w:t>FHL1</w:t>
      </w:r>
      <w:r w:rsidRPr="00AE47C6">
        <w:rPr>
          <w:rFonts w:ascii="Times New Roman" w:eastAsia="SimSun" w:hAnsi="Times New Roman"/>
          <w:sz w:val="24"/>
          <w:szCs w:val="24"/>
        </w:rPr>
        <w:t xml:space="preserve"> върху </w:t>
      </w:r>
      <w:r w:rsidRPr="00AE47C6">
        <w:rPr>
          <w:rFonts w:ascii="Times New Roman" w:eastAsia="SimSun" w:hAnsi="Times New Roman"/>
          <w:sz w:val="24"/>
          <w:szCs w:val="24"/>
          <w:u w:val="single"/>
        </w:rPr>
        <w:t>Xq26.3</w:t>
      </w:r>
      <w:r w:rsidRPr="00AE47C6">
        <w:rPr>
          <w:rFonts w:ascii="Times New Roman" w:eastAsia="SimSun" w:hAnsi="Times New Roman"/>
          <w:sz w:val="24"/>
          <w:szCs w:val="24"/>
        </w:rPr>
        <w:t xml:space="preserve">и ламинов </w:t>
      </w:r>
      <w:r w:rsidRPr="00AE47C6">
        <w:rPr>
          <w:rFonts w:ascii="Times New Roman" w:eastAsia="SimSun" w:hAnsi="Times New Roman"/>
          <w:i/>
          <w:sz w:val="24"/>
          <w:szCs w:val="24"/>
        </w:rPr>
        <w:t>LMNA</w:t>
      </w:r>
      <w:r w:rsidRPr="00AE47C6">
        <w:rPr>
          <w:rFonts w:ascii="Times New Roman" w:eastAsia="SimSun" w:hAnsi="Times New Roman"/>
          <w:sz w:val="24"/>
          <w:szCs w:val="24"/>
        </w:rPr>
        <w:t xml:space="preserve"> ген, намиращ се върху 1q21 хромозома. Мутациите в EMD и FHL1 се унаследяват по Х-рецесивен начин, а мутациите в ламиновия ген – по автозомно-доминантен начин.</w:t>
      </w:r>
    </w:p>
    <w:p w14:paraId="4342F039" w14:textId="77777777" w:rsidR="00BE0B19" w:rsidRPr="00AE47C6" w:rsidRDefault="00BE0B19" w:rsidP="00BE0B19">
      <w:pPr>
        <w:tabs>
          <w:tab w:val="left" w:pos="851"/>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Патогенеза</w:t>
      </w:r>
      <w:r w:rsidRPr="00AE47C6">
        <w:rPr>
          <w:rFonts w:ascii="Times New Roman" w:eastAsia="SimSun" w:hAnsi="Times New Roman"/>
          <w:sz w:val="24"/>
          <w:szCs w:val="24"/>
        </w:rPr>
        <w:t>. Генетичните дефекти в емериновия ген водят до липса на ядрения белтък емерин, а дефектите в ламиновия ген – до липса на друг ядрен белтък ламин А/С. Двата ядрени белтъка са в общ комплекс и независимо от това кой от двата белтъка е дефицитен, клиничният фенотип е един и същ. FHL1 в своите три изоформи е експресиран в ядрото и цитоплазмата.</w:t>
      </w:r>
    </w:p>
    <w:p w14:paraId="7A06A62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Клинична картина</w:t>
      </w:r>
      <w:r w:rsidRPr="00AE47C6">
        <w:rPr>
          <w:rFonts w:ascii="Times New Roman" w:eastAsia="SimSun" w:hAnsi="Times New Roman"/>
          <w:sz w:val="24"/>
          <w:szCs w:val="24"/>
        </w:rPr>
        <w:t xml:space="preserve">. </w:t>
      </w:r>
    </w:p>
    <w:p w14:paraId="6C211223" w14:textId="77777777" w:rsidR="00BE0B19" w:rsidRPr="00AE47C6" w:rsidRDefault="00BE0B19" w:rsidP="00BE0B19">
      <w:pPr>
        <w:numPr>
          <w:ilvl w:val="0"/>
          <w:numId w:val="23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Начало в детска възраст</w:t>
      </w:r>
    </w:p>
    <w:p w14:paraId="4BC1BF2D" w14:textId="77777777" w:rsidR="00BE0B19" w:rsidRPr="00AE47C6" w:rsidRDefault="00BE0B19" w:rsidP="00BE0B19">
      <w:pPr>
        <w:numPr>
          <w:ilvl w:val="0"/>
          <w:numId w:val="23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Ранни контрактури на глезенните, лакътните стави и гръбначния стълб</w:t>
      </w:r>
    </w:p>
    <w:p w14:paraId="62D001EE" w14:textId="77777777" w:rsidR="00BE0B19" w:rsidRPr="00AE47C6" w:rsidRDefault="00BE0B19" w:rsidP="00BE0B19">
      <w:pPr>
        <w:numPr>
          <w:ilvl w:val="0"/>
          <w:numId w:val="23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Прогресираща мускулна слабост с преобладаващо засягане на мускулатурата на мишниците и перонеалната мускулатура приблизително симетрична</w:t>
      </w:r>
    </w:p>
    <w:p w14:paraId="60E6E678" w14:textId="77777777" w:rsidR="00BE0B19" w:rsidRPr="00AE47C6" w:rsidRDefault="00BE0B19" w:rsidP="00BE0B19">
      <w:pPr>
        <w:numPr>
          <w:ilvl w:val="0"/>
          <w:numId w:val="23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По-късна слабост в раменния, тазовия пояс и бедрената мускулатура. </w:t>
      </w:r>
    </w:p>
    <w:p w14:paraId="15246FB9" w14:textId="77777777" w:rsidR="00BE0B19" w:rsidRPr="00AE47C6" w:rsidRDefault="00BE0B19" w:rsidP="00BE0B19">
      <w:pPr>
        <w:numPr>
          <w:ilvl w:val="0"/>
          <w:numId w:val="23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Сърдечни проводни нарушения и/или данни за кардиомиопатия преди 30 год. възраст</w:t>
      </w:r>
    </w:p>
    <w:p w14:paraId="31DED5C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ab/>
        <w:t xml:space="preserve">Диагнозата </w:t>
      </w:r>
      <w:r w:rsidRPr="00AE47C6">
        <w:rPr>
          <w:rFonts w:ascii="Times New Roman" w:eastAsia="SimSun" w:hAnsi="Times New Roman"/>
          <w:sz w:val="24"/>
          <w:szCs w:val="24"/>
        </w:rPr>
        <w:t>се основава на клиничната триада: ранни контрактури, бавнопрогресираща хумероперонеална мускулна слабост и развитие на кардиомиопатия. За верифицирането и типизирането на заболяването е важно изследването на мускулна биопсия и молекулярно-генетично изследване. Биохимичното изследване открива умерено повишена или нормална КФК. ЕМГ показва миогенни промени. Провеждането на ЕКГ и ехокардиография е важно с оглед оценката на сърдечния статус на болните. Имунохистохимичното изследване установява дефицит на мускулните белтъци емерин или ламин A/C. Генеалогичният анализ показва Х-рецесивен или автозомно-доминантен тип на унаследяване. Молекулярно-генетичният анализ открива мутации в един от трите гена.</w:t>
      </w:r>
    </w:p>
    <w:p w14:paraId="4CBC6818"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ab/>
        <w:t>Лечение и профилактика</w:t>
      </w:r>
      <w:r w:rsidRPr="00AE47C6">
        <w:rPr>
          <w:rFonts w:ascii="Times New Roman" w:eastAsia="SimSun" w:hAnsi="Times New Roman"/>
          <w:sz w:val="24"/>
          <w:szCs w:val="24"/>
        </w:rPr>
        <w:t xml:space="preserve">. Лечението е симптоматично, насочено предимно за подобряване сърдечните функции на пациентите. При някои от тях се налага поставянето на pacemaker. </w:t>
      </w:r>
    </w:p>
    <w:p w14:paraId="72F24605"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205" w:name="_Toc155651798"/>
      <w:bookmarkStart w:id="206" w:name="_Toc164075931"/>
      <w:r w:rsidRPr="00AE47C6">
        <w:rPr>
          <w:rFonts w:ascii="Times New Roman" w:eastAsia="SimSun" w:hAnsi="Times New Roman"/>
          <w:b/>
          <w:sz w:val="24"/>
          <w:szCs w:val="20"/>
          <w:lang w:eastAsia="ja-JP"/>
        </w:rPr>
        <w:t>9.1.7. Метаболитни миопатии</w:t>
      </w:r>
      <w:bookmarkEnd w:id="205"/>
      <w:bookmarkEnd w:id="206"/>
    </w:p>
    <w:p w14:paraId="53751DD5"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Тази група от заболявания се характеризира с нарушения в биохимичните процеси, свързани с участието на АТФ и се проявяват с мускулна уморяемост, слабост, повишен мускулен тонус при натоварване и болки. </w:t>
      </w:r>
    </w:p>
    <w:p w14:paraId="4F06637F"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Класификация</w:t>
      </w:r>
      <w:r w:rsidRPr="00AE47C6">
        <w:rPr>
          <w:rFonts w:ascii="Times New Roman" w:eastAsia="SimSun" w:hAnsi="Times New Roman"/>
          <w:sz w:val="24"/>
          <w:szCs w:val="24"/>
        </w:rPr>
        <w:t xml:space="preserve">. Разделят се на три основни групи: </w:t>
      </w:r>
    </w:p>
    <w:p w14:paraId="4323E74A" w14:textId="77777777" w:rsidR="00BE0B19" w:rsidRPr="00AE47C6" w:rsidRDefault="00BE0B19" w:rsidP="00BE0B19">
      <w:pPr>
        <w:numPr>
          <w:ilvl w:val="0"/>
          <w:numId w:val="239"/>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Нарушения на въглехидратната обмяна</w:t>
      </w:r>
    </w:p>
    <w:p w14:paraId="536CC7CA" w14:textId="77777777" w:rsidR="00BE0B19" w:rsidRPr="00AE47C6" w:rsidRDefault="00BE0B19" w:rsidP="00BE0B19">
      <w:pPr>
        <w:numPr>
          <w:ilvl w:val="0"/>
          <w:numId w:val="239"/>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Нарушения на липидната обмяна</w:t>
      </w:r>
    </w:p>
    <w:p w14:paraId="0F397C48" w14:textId="77777777" w:rsidR="00BE0B19" w:rsidRPr="00AE47C6" w:rsidRDefault="00BE0B19" w:rsidP="00BE0B19">
      <w:pPr>
        <w:numPr>
          <w:ilvl w:val="0"/>
          <w:numId w:val="239"/>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Митохондриални миопатии</w:t>
      </w:r>
    </w:p>
    <w:p w14:paraId="2B619F37"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5B25B847"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i/>
          <w:iCs/>
          <w:sz w:val="24"/>
          <w:szCs w:val="24"/>
          <w:lang w:eastAsia="bg-BG"/>
        </w:rPr>
      </w:pPr>
      <w:r w:rsidRPr="00AE47C6">
        <w:rPr>
          <w:rFonts w:ascii="Times New Roman" w:eastAsia="SimSun" w:hAnsi="Times New Roman"/>
          <w:b/>
          <w:bCs/>
          <w:i/>
          <w:iCs/>
          <w:sz w:val="24"/>
          <w:szCs w:val="24"/>
          <w:lang w:eastAsia="bg-BG"/>
        </w:rPr>
        <w:t>Нарушения на въглехидратната обмяна – мускулни гликогенози</w:t>
      </w:r>
    </w:p>
    <w:p w14:paraId="511B5794"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Най-общо мускулните гликогенози се делят на два основни вида: А/ причиняващи нарушена толерантност при физически упражнения и Б/ причиняващи постоянна мускулна слабост.</w:t>
      </w:r>
    </w:p>
    <w:p w14:paraId="20FBB62A" w14:textId="77777777" w:rsidR="00BE0B19" w:rsidRPr="00AE47C6" w:rsidRDefault="00BE0B19" w:rsidP="00BE0B19">
      <w:pPr>
        <w:tabs>
          <w:tab w:val="left" w:pos="709"/>
        </w:tabs>
        <w:spacing w:after="0" w:line="360" w:lineRule="auto"/>
        <w:ind w:left="1080"/>
        <w:contextualSpacing/>
        <w:jc w:val="both"/>
        <w:rPr>
          <w:rFonts w:ascii="Times New Roman" w:eastAsia="SimSun" w:hAnsi="Times New Roman"/>
          <w:b/>
          <w:i/>
          <w:sz w:val="24"/>
          <w:szCs w:val="24"/>
        </w:rPr>
      </w:pPr>
    </w:p>
    <w:p w14:paraId="73882439"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i/>
          <w:iCs/>
          <w:sz w:val="24"/>
          <w:szCs w:val="24"/>
          <w:lang w:eastAsia="bg-BG"/>
        </w:rPr>
      </w:pPr>
      <w:r w:rsidRPr="00AE47C6">
        <w:rPr>
          <w:rFonts w:ascii="Times New Roman" w:eastAsia="SimSun" w:hAnsi="Times New Roman"/>
          <w:b/>
          <w:bCs/>
          <w:i/>
          <w:iCs/>
          <w:sz w:val="24"/>
          <w:szCs w:val="24"/>
          <w:lang w:eastAsia="bg-BG"/>
        </w:rPr>
        <w:t>Мускулни гликогенози, причиняващи нарушена толерантност при физически упражнения</w:t>
      </w:r>
    </w:p>
    <w:p w14:paraId="48E29D09"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ab/>
        <w:t>Клинична картина</w:t>
      </w:r>
      <w:r w:rsidRPr="00AE47C6">
        <w:rPr>
          <w:rFonts w:ascii="Times New Roman" w:eastAsia="SimSun" w:hAnsi="Times New Roman"/>
          <w:sz w:val="24"/>
          <w:szCs w:val="24"/>
        </w:rPr>
        <w:t>. Обикновенно възникват след интензивни физически упражнения. Най-честите признаци са мускулни болки, бърза уморяемост, “втвърдяване на мускулите”, крампи и миоглобинурия. Дължат се на различни специфични мускулни ензимни дефекти:</w:t>
      </w:r>
    </w:p>
    <w:p w14:paraId="38AF45B3"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w:t>
      </w:r>
      <w:r w:rsidRPr="00AE47C6">
        <w:rPr>
          <w:rFonts w:ascii="Times New Roman" w:eastAsia="SimSun" w:hAnsi="Times New Roman"/>
          <w:sz w:val="24"/>
          <w:szCs w:val="24"/>
        </w:rPr>
        <w:tab/>
        <w:t>Фосфорилаза В киназа</w:t>
      </w:r>
    </w:p>
    <w:p w14:paraId="3711BF4A"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Х-свързана: Хq12</w:t>
      </w:r>
    </w:p>
    <w:p w14:paraId="3EE45CDD"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Рецесивна: 16q12</w:t>
      </w:r>
    </w:p>
    <w:p w14:paraId="59CB621A"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w:t>
      </w:r>
      <w:r w:rsidRPr="00AE47C6">
        <w:rPr>
          <w:rFonts w:ascii="Times New Roman" w:eastAsia="SimSun" w:hAnsi="Times New Roman"/>
          <w:sz w:val="24"/>
          <w:szCs w:val="24"/>
        </w:rPr>
        <w:tab/>
        <w:t>Фосфорилаза /Болест на McArdle/ - 11q13</w:t>
      </w:r>
    </w:p>
    <w:p w14:paraId="6A7F54C9"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w:t>
      </w:r>
      <w:r w:rsidRPr="00AE47C6">
        <w:rPr>
          <w:rFonts w:ascii="Times New Roman" w:eastAsia="SimSun" w:hAnsi="Times New Roman"/>
          <w:sz w:val="24"/>
          <w:szCs w:val="24"/>
        </w:rPr>
        <w:tab/>
        <w:t>Фосфофруктокиназа /Болест на Tarui/ : 1сеn-q32</w:t>
      </w:r>
    </w:p>
    <w:p w14:paraId="31E49EF4"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w:t>
      </w:r>
      <w:r w:rsidRPr="00AE47C6">
        <w:rPr>
          <w:rFonts w:ascii="Times New Roman" w:eastAsia="SimSun" w:hAnsi="Times New Roman"/>
          <w:sz w:val="24"/>
          <w:szCs w:val="24"/>
        </w:rPr>
        <w:tab/>
        <w:t>Фосфоглицерат киназа - Xq13</w:t>
      </w:r>
    </w:p>
    <w:p w14:paraId="2AB2BAC1"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w:t>
      </w:r>
      <w:r w:rsidRPr="00AE47C6">
        <w:rPr>
          <w:rFonts w:ascii="Times New Roman" w:eastAsia="SimSun" w:hAnsi="Times New Roman"/>
          <w:sz w:val="24"/>
          <w:szCs w:val="24"/>
        </w:rPr>
        <w:tab/>
        <w:t>Фосфоглицерат мутаза – 7р12</w:t>
      </w:r>
    </w:p>
    <w:p w14:paraId="25B335DD"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w:t>
      </w:r>
      <w:r w:rsidRPr="00AE47C6">
        <w:rPr>
          <w:rFonts w:ascii="Times New Roman" w:eastAsia="SimSun" w:hAnsi="Times New Roman"/>
          <w:sz w:val="24"/>
          <w:szCs w:val="24"/>
        </w:rPr>
        <w:tab/>
        <w:t>Β-енолаза – 17pter</w:t>
      </w:r>
    </w:p>
    <w:p w14:paraId="67261827"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w:t>
      </w:r>
      <w:r w:rsidRPr="00AE47C6">
        <w:rPr>
          <w:rFonts w:ascii="Times New Roman" w:eastAsia="SimSun" w:hAnsi="Times New Roman"/>
          <w:sz w:val="24"/>
          <w:szCs w:val="24"/>
        </w:rPr>
        <w:tab/>
        <w:t>Лактатдехидрогеназа – 11р15</w:t>
      </w:r>
    </w:p>
    <w:p w14:paraId="3B798B33" w14:textId="77777777" w:rsidR="00BE0B19" w:rsidRPr="00AE47C6" w:rsidRDefault="00BE0B19" w:rsidP="00BE0B19">
      <w:pPr>
        <w:tabs>
          <w:tab w:val="left" w:pos="709"/>
        </w:tabs>
        <w:spacing w:after="0" w:line="360" w:lineRule="auto"/>
        <w:ind w:left="1080"/>
        <w:contextualSpacing/>
        <w:jc w:val="both"/>
        <w:rPr>
          <w:rFonts w:ascii="Times New Roman" w:eastAsia="SimSun" w:hAnsi="Times New Roman"/>
          <w:b/>
          <w:i/>
          <w:sz w:val="24"/>
          <w:szCs w:val="24"/>
        </w:rPr>
      </w:pPr>
      <w:r w:rsidRPr="00AE47C6">
        <w:rPr>
          <w:rFonts w:ascii="Times New Roman" w:eastAsia="SimSun" w:hAnsi="Times New Roman"/>
          <w:b/>
          <w:i/>
          <w:sz w:val="24"/>
          <w:szCs w:val="24"/>
        </w:rPr>
        <w:br/>
        <w:t>Мускулни гликогенози, причиняващи постоянна мускулна слабост:</w:t>
      </w:r>
    </w:p>
    <w:p w14:paraId="40DE071B"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Клинична картина</w:t>
      </w:r>
      <w:r w:rsidRPr="00AE47C6">
        <w:rPr>
          <w:rFonts w:ascii="Times New Roman" w:eastAsia="SimSun" w:hAnsi="Times New Roman"/>
          <w:sz w:val="24"/>
          <w:szCs w:val="24"/>
        </w:rPr>
        <w:t>. Установява се хипотония и постоянна мускулна слабост. Сухожилните рефлекси са отслабени. Често се придружават от сърдечни нарушения: кардиомегалия, застойна сърдечна недостатъчност, аритмия или дихателни нарушения. Обикновенно се дължат на генерализирани ензимни дефекти. Степента на ензимната активност корелира с възрастта на началото и тежестта на заболяването.</w:t>
      </w:r>
    </w:p>
    <w:p w14:paraId="20C38003"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w:t>
      </w:r>
      <w:r w:rsidRPr="00AE47C6">
        <w:rPr>
          <w:rFonts w:ascii="Times New Roman" w:eastAsia="SimSun" w:hAnsi="Times New Roman"/>
          <w:sz w:val="24"/>
          <w:szCs w:val="24"/>
        </w:rPr>
        <w:tab/>
        <w:t>Дефицит на алфа глюкозидаза /гликогеноза тип 2; болест на Pompe/: 17q23</w:t>
      </w:r>
    </w:p>
    <w:p w14:paraId="0712A778"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w:t>
      </w:r>
      <w:r w:rsidRPr="00AE47C6">
        <w:rPr>
          <w:rFonts w:ascii="Times New Roman" w:eastAsia="SimSun" w:hAnsi="Times New Roman"/>
          <w:sz w:val="24"/>
          <w:szCs w:val="24"/>
        </w:rPr>
        <w:tab/>
        <w:t>Алдолаза А: 16q22</w:t>
      </w:r>
    </w:p>
    <w:p w14:paraId="71AF58CB"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w:t>
      </w:r>
      <w:r w:rsidRPr="00AE47C6">
        <w:rPr>
          <w:rFonts w:ascii="Times New Roman" w:eastAsia="SimSun" w:hAnsi="Times New Roman"/>
          <w:sz w:val="24"/>
          <w:szCs w:val="24"/>
        </w:rPr>
        <w:tab/>
        <w:t>Амило-1,6 глюкозидаза /гликогеноза тип 3/: 1р21</w:t>
      </w:r>
    </w:p>
    <w:p w14:paraId="6EEE5868"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w:t>
      </w:r>
      <w:r w:rsidRPr="00AE47C6">
        <w:rPr>
          <w:rFonts w:ascii="Times New Roman" w:eastAsia="SimSun" w:hAnsi="Times New Roman"/>
          <w:sz w:val="24"/>
          <w:szCs w:val="24"/>
        </w:rPr>
        <w:tab/>
        <w:t>Lamp 2: Xq24</w:t>
      </w:r>
    </w:p>
    <w:p w14:paraId="48C286F1"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p>
    <w:p w14:paraId="69BF9A73" w14:textId="77777777" w:rsidR="00BE0B19" w:rsidRPr="00AE47C6" w:rsidRDefault="00BE0B19" w:rsidP="00BE0B19">
      <w:pPr>
        <w:tabs>
          <w:tab w:val="left" w:pos="709"/>
        </w:tabs>
        <w:spacing w:after="0" w:line="360" w:lineRule="auto"/>
        <w:jc w:val="both"/>
        <w:rPr>
          <w:rFonts w:ascii="Times New Roman" w:eastAsia="SimSun" w:hAnsi="Times New Roman"/>
          <w:b/>
          <w:i/>
          <w:sz w:val="24"/>
          <w:szCs w:val="24"/>
        </w:rPr>
      </w:pPr>
      <w:r w:rsidRPr="00AE47C6">
        <w:rPr>
          <w:rFonts w:ascii="Times New Roman" w:eastAsia="SimSun" w:hAnsi="Times New Roman"/>
          <w:b/>
          <w:sz w:val="24"/>
          <w:szCs w:val="24"/>
        </w:rPr>
        <w:tab/>
      </w:r>
      <w:r w:rsidRPr="00AE47C6">
        <w:rPr>
          <w:rFonts w:ascii="Times New Roman" w:eastAsia="SimSun" w:hAnsi="Times New Roman"/>
          <w:b/>
          <w:i/>
          <w:sz w:val="24"/>
          <w:szCs w:val="24"/>
        </w:rPr>
        <w:t xml:space="preserve">Болест на Pompe </w:t>
      </w:r>
      <w:r w:rsidRPr="00AE47C6">
        <w:rPr>
          <w:rFonts w:ascii="Times New Roman" w:eastAsia="SimSun" w:hAnsi="Times New Roman"/>
          <w:sz w:val="24"/>
          <w:szCs w:val="24"/>
        </w:rPr>
        <w:t>(20,21)</w:t>
      </w:r>
    </w:p>
    <w:p w14:paraId="769511E1"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Наречена е още гликогеноза тип II или дефицит на кисела малтаза. Рядко метаболитно, мултисистемно, лизозомно заболяване с автозомно-рецесивен тип на унаследяване. </w:t>
      </w:r>
    </w:p>
    <w:p w14:paraId="4FDBD85A"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Епидемиология. Честотата на заболяването варира в различните популации от 1 на 40000 до 1 на 300000. В Южен Китай и Тайван честотата й достига до 0,5-1% от общата популация, поради което се провежда и масов неонатален скрининг. В България до този момент са диагностицирани 8 болни с късна форма. </w:t>
      </w:r>
    </w:p>
    <w:p w14:paraId="4007D906"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Етиология и патогенеза</w:t>
      </w:r>
      <w:r w:rsidRPr="00AE47C6">
        <w:rPr>
          <w:rFonts w:ascii="Times New Roman" w:eastAsia="SimSun" w:hAnsi="Times New Roman"/>
          <w:sz w:val="24"/>
          <w:szCs w:val="24"/>
        </w:rPr>
        <w:t xml:space="preserve">. Болестта е резултат от мутации в ген, локализиран върху 17q25, кодиращ ензима кисела алфа-глюкозидаза (GAA), който метаболизира лизозомния гликоген до глюкоза. Намалената или липсваща активност на този ензим води до натрупване на гликоген в лизозомите на мускулните клетки на скелетните мускули, сърцето и гладките мускули и в по-малка степен в други тъкани и органи с последваща структурна дезорганизация и клетъчна дисфункция в различни тъкани. </w:t>
      </w:r>
    </w:p>
    <w:p w14:paraId="081D9D57"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Клинична картина</w:t>
      </w:r>
      <w:r w:rsidRPr="00AE47C6">
        <w:rPr>
          <w:rFonts w:ascii="Times New Roman" w:eastAsia="SimSun" w:hAnsi="Times New Roman"/>
          <w:sz w:val="24"/>
          <w:szCs w:val="24"/>
        </w:rPr>
        <w:t>. Установява се клинично разнообразие по отношение на възрастта на начало, скоростта на прогресия и тежестта на органно засягане, корелиращи с дефицита на ензима кисела алфа-глюкозидаза. Описват се следните форми: класическа и некласическа инфантилна, с начало в ранна детска възраст, ювенилна и с начало в зряла възраст.</w:t>
      </w:r>
    </w:p>
    <w:p w14:paraId="7329C421"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Класическата инфантилна форма на болестта на Pompe е най-тежка. Характеризира се с:</w:t>
      </w:r>
    </w:p>
    <w:p w14:paraId="245628AA" w14:textId="77777777" w:rsidR="00BE0B19" w:rsidRPr="00AE47C6" w:rsidRDefault="00BE0B19" w:rsidP="00BE0B19">
      <w:pPr>
        <w:numPr>
          <w:ilvl w:val="0"/>
          <w:numId w:val="235"/>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Генерализирана мускулна хипотония – „синдром на вялото бебе”</w:t>
      </w:r>
    </w:p>
    <w:p w14:paraId="1862D335" w14:textId="77777777" w:rsidR="00BE0B19" w:rsidRPr="00AE47C6" w:rsidRDefault="00BE0B19" w:rsidP="00BE0B19">
      <w:pPr>
        <w:numPr>
          <w:ilvl w:val="0"/>
          <w:numId w:val="235"/>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Забавено моторно развитие и бързо прогресираща мускулна слабост. </w:t>
      </w:r>
    </w:p>
    <w:p w14:paraId="224D5CBE" w14:textId="77777777" w:rsidR="00BE0B19" w:rsidRPr="00AE47C6" w:rsidRDefault="00BE0B19" w:rsidP="00BE0B19">
      <w:pPr>
        <w:numPr>
          <w:ilvl w:val="0"/>
          <w:numId w:val="235"/>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Засягане на сърцето в рамките на хипертрофична кардиомиопатия, кардиомегалия, обструкция на изходящия тракт на лявата камера и сърдечна недостатъчност</w:t>
      </w:r>
    </w:p>
    <w:p w14:paraId="0CEB9940" w14:textId="77777777" w:rsidR="00BE0B19" w:rsidRPr="00AE47C6" w:rsidRDefault="00BE0B19" w:rsidP="00BE0B19">
      <w:pPr>
        <w:numPr>
          <w:ilvl w:val="0"/>
          <w:numId w:val="235"/>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Чести дихателни инфекции, дихателната недостатъчност и нарушеното дишане по време на сън</w:t>
      </w:r>
    </w:p>
    <w:p w14:paraId="4562F6E1" w14:textId="77777777" w:rsidR="00BE0B19" w:rsidRPr="00AE47C6" w:rsidRDefault="00BE0B19" w:rsidP="00BE0B19">
      <w:pPr>
        <w:numPr>
          <w:ilvl w:val="0"/>
          <w:numId w:val="235"/>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Затруднено хранене</w:t>
      </w:r>
    </w:p>
    <w:p w14:paraId="00A5EC49" w14:textId="77777777" w:rsidR="00BE0B19" w:rsidRPr="00AE47C6" w:rsidRDefault="00BE0B19" w:rsidP="00BE0B19">
      <w:pPr>
        <w:numPr>
          <w:ilvl w:val="0"/>
          <w:numId w:val="235"/>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Други признаци, които могат да се открият са макроглосия и миопатен фациес, тремор, мускулни спазми, умствено изоставане, нарушение на слуха, дължащо се на отлагане на гликоген в сензорните клетки на кохлеата.</w:t>
      </w:r>
    </w:p>
    <w:p w14:paraId="78665820"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Тези прояви се развиват най-често през втория месец, средно 1,6 мес. (0-6,8). Пациентите обикновено се диагностицират до 5-я месец. Леталният изход настъпва до 7-я месец. Много малък процент преживяват до 1- годишна възраст.</w:t>
      </w:r>
    </w:p>
    <w:p w14:paraId="094FB8E5"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Пациентите с некласическата инфантилна форма на болестта на Pompe имат по-лек фенотип, с начало на симптомите около 5-месечна възраст, по-лека кардиомиопатия и по-дълга преживяемост, средно 19 месеца.</w:t>
      </w:r>
    </w:p>
    <w:p w14:paraId="5274CC2F"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 xml:space="preserve">Формите с късно начало - в детска, юношеска или по време на зрелостта са хетерогенни по възраст на начало и тежест на протичане с прогресиращо ангажиране на скелетните и дихателните мускули. Симптомите и признаците в началото на заболяването могат да се класифицират като: </w:t>
      </w:r>
    </w:p>
    <w:p w14:paraId="65C9FA3E" w14:textId="77777777" w:rsidR="00BE0B19" w:rsidRPr="00AE47C6" w:rsidRDefault="00BE0B19" w:rsidP="00BE0B19">
      <w:pPr>
        <w:numPr>
          <w:ilvl w:val="0"/>
          <w:numId w:val="236"/>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Пояс-крайник мускулна слабост, аксиална мускулна слабост</w:t>
      </w:r>
    </w:p>
    <w:p w14:paraId="10920E31" w14:textId="77777777" w:rsidR="00BE0B19" w:rsidRPr="00AE47C6" w:rsidRDefault="00BE0B19" w:rsidP="00BE0B19">
      <w:pPr>
        <w:numPr>
          <w:ilvl w:val="0"/>
          <w:numId w:val="236"/>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Затруднения при бягане, изкачване на стълби, изправяне от легнало положение</w:t>
      </w:r>
    </w:p>
    <w:p w14:paraId="4E373655" w14:textId="77777777" w:rsidR="00BE0B19" w:rsidRPr="00AE47C6" w:rsidRDefault="00BE0B19" w:rsidP="00BE0B19">
      <w:pPr>
        <w:numPr>
          <w:ilvl w:val="0"/>
          <w:numId w:val="236"/>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Миопатна походка</w:t>
      </w:r>
    </w:p>
    <w:p w14:paraId="372C2E20" w14:textId="77777777" w:rsidR="00BE0B19" w:rsidRPr="00AE47C6" w:rsidRDefault="00BE0B19" w:rsidP="00BE0B19">
      <w:pPr>
        <w:numPr>
          <w:ilvl w:val="0"/>
          <w:numId w:val="236"/>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Миалгии и асимптоматично покачване на КФК</w:t>
      </w:r>
    </w:p>
    <w:p w14:paraId="34F253E6" w14:textId="77777777" w:rsidR="00BE0B19" w:rsidRPr="00AE47C6" w:rsidRDefault="00BE0B19" w:rsidP="00BE0B19">
      <w:pPr>
        <w:numPr>
          <w:ilvl w:val="0"/>
          <w:numId w:val="236"/>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Дихателните нарушения - рестриктивен тип</w:t>
      </w:r>
    </w:p>
    <w:p w14:paraId="4F8962F7" w14:textId="77777777" w:rsidR="00BE0B19" w:rsidRPr="00AE47C6" w:rsidRDefault="00BE0B19" w:rsidP="00BE0B19">
      <w:pPr>
        <w:numPr>
          <w:ilvl w:val="0"/>
          <w:numId w:val="236"/>
        </w:numPr>
        <w:tabs>
          <w:tab w:val="left" w:pos="709"/>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Някои пациенти развиват изразена скованост на гръбнака, известна като “ригиден гръбнак” и наподобяват клиничната картина на вродена миопатия. Засягането на сърцето и при късната форма е много по-рядко, като се установяват ритъмни и проводни нарушения. При няколко пациенти са описани и аневризми на базиларната артерия, вследствие на отлагане на гликоген в гладките мускули на кръвоносните съдове.</w:t>
      </w:r>
    </w:p>
    <w:p w14:paraId="64A67159"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ab/>
        <w:t>Диагнозата</w:t>
      </w:r>
      <w:r w:rsidRPr="00AE47C6">
        <w:rPr>
          <w:rFonts w:ascii="Times New Roman" w:eastAsia="SimSun" w:hAnsi="Times New Roman"/>
          <w:sz w:val="24"/>
          <w:szCs w:val="24"/>
        </w:rPr>
        <w:t xml:space="preserve"> се основава на клинични, биохимични, хистологични и генетични изследвания</w:t>
      </w:r>
    </w:p>
    <w:p w14:paraId="60575871"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Изследвания.</w:t>
      </w:r>
      <w:r w:rsidRPr="00AE47C6">
        <w:rPr>
          <w:rFonts w:ascii="Times New Roman" w:eastAsia="SimSun" w:hAnsi="Times New Roman"/>
          <w:sz w:val="24"/>
          <w:szCs w:val="24"/>
        </w:rPr>
        <w:t xml:space="preserve"> ЕМГ е с данни за миогенна увреда. Установяват се повишени стойности на креатин фосфокиназа (КФК), аспартат аминотрансфераза (ASAT), аланин аминотрансфераза (ALAT), лактат дехидрогеназа (ЛДХ). При инфантилната форма рентгенографията е с данни за изразена кардиомегалия, а ЕхоКГ се доказва хипертрофична кардиомиопатия. Функционално изследване на дишането (ФИД), оксиметрия и капнография, полисомнография за оценяване тежестта на дихателните нарушения.</w:t>
      </w:r>
    </w:p>
    <w:p w14:paraId="11E8E396"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Заболяването се потвърждава с доказването на дефицит на алфа-глюкозидаза в суха капка кръв на филтърна бланка, в култивирани фибробласти и мускулна биопсия и се верифицира генетично с цел последваща пренатална диагностика в засегнатите семейства. Хистологичното изследване на мускул с имунохистохимия и електронна микроскопия е допълващ метод, особено при трудни случаи с клинична изява на неясна пояс-крайник мускулна дистрофия у възрастни. Хистологичното изследване на мускули установява ограничена дегенерация на миоцитите с по-тежко засягане на І тип мускулни влакна, както и гликогенно натрупване, под формата на PAS (Periodic Acid Schiff) - позитивни вакуоли. Електронно-микроскопското изследване установява гликоген в цитоплазмата и аутофагични вакуоли.</w:t>
      </w:r>
    </w:p>
    <w:p w14:paraId="2E6FA0A0"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ab/>
      </w:r>
      <w:r w:rsidRPr="00AE47C6">
        <w:rPr>
          <w:rFonts w:ascii="Times New Roman" w:eastAsia="SimSun" w:hAnsi="Times New Roman"/>
          <w:b/>
          <w:bCs/>
          <w:sz w:val="24"/>
          <w:szCs w:val="24"/>
          <w:u w:val="single"/>
        </w:rPr>
        <w:t>Лечението на болестта на Pompe</w:t>
      </w:r>
      <w:r w:rsidRPr="00AE47C6">
        <w:rPr>
          <w:rFonts w:ascii="Times New Roman" w:eastAsia="SimSun" w:hAnsi="Times New Roman"/>
          <w:b/>
          <w:bCs/>
          <w:sz w:val="24"/>
          <w:szCs w:val="24"/>
        </w:rPr>
        <w:t xml:space="preserve"> </w:t>
      </w:r>
      <w:r w:rsidRPr="00AE47C6">
        <w:rPr>
          <w:rFonts w:ascii="Times New Roman" w:eastAsia="SimSun" w:hAnsi="Times New Roman"/>
          <w:bCs/>
          <w:sz w:val="24"/>
          <w:szCs w:val="24"/>
        </w:rPr>
        <w:t xml:space="preserve">е комплексно: </w:t>
      </w:r>
      <w:r w:rsidRPr="00AE47C6">
        <w:rPr>
          <w:rFonts w:ascii="Times New Roman" w:eastAsia="SimSun" w:hAnsi="Times New Roman"/>
          <w:bCs/>
          <w:i/>
          <w:sz w:val="24"/>
          <w:szCs w:val="24"/>
        </w:rPr>
        <w:t>медикаментозно ензим-заместващо</w:t>
      </w:r>
      <w:r w:rsidRPr="00AE47C6">
        <w:rPr>
          <w:rFonts w:ascii="Times New Roman" w:eastAsia="SimSun" w:hAnsi="Times New Roman"/>
          <w:i/>
          <w:sz w:val="24"/>
          <w:szCs w:val="24"/>
        </w:rPr>
        <w:t xml:space="preserve"> лечение и симптоматично лечение</w:t>
      </w:r>
      <w:r w:rsidRPr="00AE47C6">
        <w:rPr>
          <w:rFonts w:ascii="Times New Roman" w:eastAsia="SimSun" w:hAnsi="Times New Roman"/>
          <w:sz w:val="24"/>
          <w:szCs w:val="24"/>
        </w:rPr>
        <w:t>- кардиологично лечение; лечение на белодробното възпаление и дихателни грижи (при обструктивна сънна апнея назален C-PAP, при нощна хиповентилация Bi-PAP, О2-през нощта или постоянно при хипоксия); умерена рехабилитация; общи социални и психологични грижи; генетично консултиране, пренатална диагностика и скрининг.</w:t>
      </w:r>
      <w:r w:rsidRPr="00AE47C6">
        <w:rPr>
          <w:rFonts w:ascii="Times New Roman" w:eastAsia="SimSun" w:hAnsi="Times New Roman"/>
          <w:bCs/>
          <w:iCs/>
          <w:sz w:val="24"/>
          <w:szCs w:val="24"/>
        </w:rPr>
        <w:t xml:space="preserve"> Няма сигурни данни за терапевтичен ефект от субстрат- редуциращи терапии</w:t>
      </w:r>
      <w:r w:rsidRPr="00AE47C6">
        <w:rPr>
          <w:rFonts w:ascii="Times New Roman" w:eastAsia="SimSun" w:hAnsi="Times New Roman"/>
          <w:sz w:val="24"/>
          <w:szCs w:val="24"/>
        </w:rPr>
        <w:t>, генната терапия с вирусни вектори и трансплантация на хемопоетични стволови клетки.</w:t>
      </w:r>
    </w:p>
    <w:p w14:paraId="0B71D745" w14:textId="77777777" w:rsidR="00BE0B19" w:rsidRPr="00AE47C6" w:rsidRDefault="00BE0B19" w:rsidP="00BE0B19">
      <w:pPr>
        <w:spacing w:after="0" w:line="360" w:lineRule="auto"/>
        <w:ind w:firstLine="709"/>
        <w:jc w:val="both"/>
        <w:rPr>
          <w:rFonts w:ascii="Times New Roman" w:eastAsia="SimSun" w:hAnsi="Times New Roman"/>
          <w:iCs/>
          <w:sz w:val="24"/>
          <w:szCs w:val="24"/>
        </w:rPr>
      </w:pPr>
      <w:r w:rsidRPr="00AE47C6">
        <w:rPr>
          <w:rFonts w:ascii="Times New Roman" w:eastAsia="SimSun" w:hAnsi="Times New Roman"/>
          <w:bCs/>
          <w:i/>
          <w:sz w:val="24"/>
          <w:szCs w:val="24"/>
        </w:rPr>
        <w:t xml:space="preserve">Лечение чрез ЕЗТ с </w:t>
      </w:r>
      <w:r w:rsidRPr="00AE47C6">
        <w:rPr>
          <w:rFonts w:ascii="Times New Roman" w:eastAsia="SimSun" w:hAnsi="Times New Roman"/>
          <w:i/>
          <w:sz w:val="24"/>
          <w:szCs w:val="24"/>
        </w:rPr>
        <w:t xml:space="preserve">alglucosidase alfa </w:t>
      </w:r>
      <w:r w:rsidRPr="00AE47C6">
        <w:rPr>
          <w:rFonts w:ascii="Times New Roman" w:eastAsia="SimSun" w:hAnsi="Times New Roman"/>
          <w:iCs/>
          <w:sz w:val="24"/>
          <w:szCs w:val="24"/>
        </w:rPr>
        <w:t xml:space="preserve">и </w:t>
      </w:r>
      <w:r w:rsidRPr="00AE47C6">
        <w:rPr>
          <w:rFonts w:ascii="Times New Roman" w:eastAsia="SimSun" w:hAnsi="Times New Roman"/>
          <w:i/>
          <w:sz w:val="24"/>
          <w:szCs w:val="24"/>
        </w:rPr>
        <w:t>аvalglucosidase alfa</w:t>
      </w:r>
      <w:r w:rsidRPr="00AE47C6">
        <w:rPr>
          <w:rFonts w:ascii="Times New Roman" w:eastAsia="SimSun" w:hAnsi="Times New Roman"/>
          <w:iCs/>
          <w:sz w:val="24"/>
          <w:szCs w:val="24"/>
        </w:rPr>
        <w:t xml:space="preserve">: </w:t>
      </w:r>
    </w:p>
    <w:p w14:paraId="295C2DF0" w14:textId="77777777" w:rsidR="00BE0B19" w:rsidRPr="00AE47C6" w:rsidRDefault="00BE0B19" w:rsidP="00BE0B19">
      <w:pPr>
        <w:numPr>
          <w:ilvl w:val="0"/>
          <w:numId w:val="422"/>
        </w:numPr>
        <w:spacing w:after="0" w:line="360" w:lineRule="auto"/>
        <w:contextualSpacing/>
        <w:jc w:val="both"/>
        <w:rPr>
          <w:rFonts w:ascii="Times New Roman" w:eastAsia="SimSun" w:hAnsi="Times New Roman"/>
          <w:b/>
          <w:bCs/>
          <w:i/>
          <w:sz w:val="24"/>
          <w:szCs w:val="24"/>
        </w:rPr>
      </w:pPr>
      <w:r w:rsidRPr="00AE47C6">
        <w:rPr>
          <w:rFonts w:ascii="Times New Roman" w:eastAsia="SimSun" w:hAnsi="Times New Roman"/>
          <w:b/>
          <w:bCs/>
          <w:i/>
          <w:sz w:val="24"/>
          <w:szCs w:val="24"/>
        </w:rPr>
        <w:t>alglucosidase alfa</w:t>
      </w:r>
      <w:r w:rsidRPr="00AE47C6">
        <w:rPr>
          <w:rFonts w:ascii="Times New Roman" w:eastAsia="SimSun" w:hAnsi="Times New Roman"/>
          <w:iCs/>
          <w:sz w:val="24"/>
          <w:szCs w:val="24"/>
        </w:rPr>
        <w:t xml:space="preserve"> е</w:t>
      </w:r>
      <w:r w:rsidRPr="00AE47C6">
        <w:rPr>
          <w:rFonts w:ascii="Times New Roman" w:eastAsia="SimSun" w:hAnsi="Times New Roman"/>
          <w:i/>
          <w:sz w:val="24"/>
          <w:szCs w:val="24"/>
        </w:rPr>
        <w:t xml:space="preserve"> </w:t>
      </w:r>
      <w:r w:rsidRPr="00AE47C6">
        <w:rPr>
          <w:rFonts w:ascii="Times New Roman" w:eastAsia="SimSun" w:hAnsi="Times New Roman"/>
          <w:bCs/>
          <w:sz w:val="24"/>
          <w:szCs w:val="24"/>
        </w:rPr>
        <w:t xml:space="preserve">одобренa за </w:t>
      </w:r>
      <w:r w:rsidRPr="00AE47C6">
        <w:rPr>
          <w:rFonts w:ascii="Times New Roman" w:eastAsia="SimSun" w:hAnsi="Times New Roman"/>
          <w:sz w:val="24"/>
          <w:szCs w:val="24"/>
        </w:rPr>
        <w:t xml:space="preserve">всички форми в Европа и САЩ. ЕЗТ с </w:t>
      </w:r>
      <w:r w:rsidRPr="00AE47C6">
        <w:rPr>
          <w:rFonts w:ascii="Times New Roman" w:eastAsia="SimSun" w:hAnsi="Times New Roman"/>
          <w:bCs/>
          <w:sz w:val="24"/>
          <w:szCs w:val="24"/>
        </w:rPr>
        <w:t>Аglucosidase alfa</w:t>
      </w:r>
      <w:r w:rsidRPr="00AE47C6">
        <w:rPr>
          <w:rFonts w:ascii="Times New Roman" w:eastAsia="SimSun" w:hAnsi="Times New Roman"/>
          <w:sz w:val="24"/>
          <w:szCs w:val="24"/>
        </w:rPr>
        <w:t xml:space="preserve"> се започва в ранния стадий преди настъпване на необратими тъканни промени. Прилага се чрез интравенозни инфузии през две седмици в препоръчителна доза 20 мг/кг телесно тегло. Публикувани са резултатите, вкл. от </w:t>
      </w:r>
      <w:r w:rsidRPr="00AE47C6">
        <w:rPr>
          <w:rFonts w:ascii="Times New Roman" w:eastAsia="SimSun" w:hAnsi="Times New Roman"/>
          <w:iCs/>
          <w:sz w:val="24"/>
          <w:szCs w:val="24"/>
        </w:rPr>
        <w:t>двойно слепи, плацебо контролирани мултицентрови изследвания</w:t>
      </w:r>
      <w:r w:rsidRPr="00AE47C6">
        <w:rPr>
          <w:rFonts w:ascii="Times New Roman" w:eastAsia="SimSun" w:hAnsi="Times New Roman"/>
          <w:sz w:val="24"/>
          <w:szCs w:val="24"/>
        </w:rPr>
        <w:t xml:space="preserve"> от </w:t>
      </w:r>
      <w:r w:rsidRPr="00AE47C6">
        <w:rPr>
          <w:rFonts w:ascii="Times New Roman" w:eastAsia="SimSun" w:hAnsi="Times New Roman"/>
          <w:bCs/>
          <w:sz w:val="24"/>
          <w:szCs w:val="24"/>
        </w:rPr>
        <w:t xml:space="preserve">ЕЗТ с Аglucosidase alfa </w:t>
      </w:r>
      <w:r w:rsidRPr="00AE47C6">
        <w:rPr>
          <w:rFonts w:ascii="Times New Roman" w:eastAsia="SimSun" w:hAnsi="Times New Roman"/>
          <w:iCs/>
          <w:sz w:val="24"/>
          <w:szCs w:val="24"/>
        </w:rPr>
        <w:t xml:space="preserve">при различните форми на болестта на Pompe, които доказват ефекта за стабилизиране и забавянето на развитието на основните синдроми- кардиомиопатията при инфантилните форми и миопатията и дихателните нарушения при инфантилните и късни форми и </w:t>
      </w:r>
      <w:r w:rsidRPr="00AE47C6">
        <w:rPr>
          <w:rFonts w:ascii="Times New Roman" w:eastAsia="SimSun" w:hAnsi="Times New Roman"/>
          <w:sz w:val="24"/>
          <w:szCs w:val="24"/>
        </w:rPr>
        <w:t xml:space="preserve">отсрочва необходимостта от дихателни грижи особено при рано започнато лечение. </w:t>
      </w:r>
      <w:r w:rsidRPr="00AE47C6">
        <w:rPr>
          <w:rFonts w:ascii="Times New Roman" w:eastAsia="SimSun" w:hAnsi="Times New Roman"/>
          <w:bCs/>
          <w:iCs/>
          <w:sz w:val="24"/>
          <w:szCs w:val="24"/>
        </w:rPr>
        <w:t xml:space="preserve">При </w:t>
      </w:r>
      <w:r w:rsidRPr="00AE47C6">
        <w:rPr>
          <w:rFonts w:ascii="Times New Roman" w:eastAsia="SimSun" w:hAnsi="Times New Roman"/>
          <w:bCs/>
          <w:i/>
          <w:iCs/>
          <w:sz w:val="24"/>
          <w:szCs w:val="24"/>
        </w:rPr>
        <w:t>инфантилните форми</w:t>
      </w:r>
      <w:r w:rsidRPr="00AE47C6">
        <w:rPr>
          <w:rFonts w:ascii="Times New Roman" w:eastAsia="SimSun" w:hAnsi="Times New Roman"/>
          <w:bCs/>
          <w:iCs/>
          <w:sz w:val="24"/>
          <w:szCs w:val="24"/>
        </w:rPr>
        <w:t xml:space="preserve"> най-добри резултати се постигат при начало на лечението преди 6 месечна възраст. </w:t>
      </w:r>
      <w:r w:rsidRPr="00AE47C6">
        <w:rPr>
          <w:rFonts w:ascii="Times New Roman" w:eastAsia="SimSun" w:hAnsi="Times New Roman"/>
          <w:iCs/>
          <w:sz w:val="24"/>
          <w:szCs w:val="24"/>
        </w:rPr>
        <w:t xml:space="preserve">При </w:t>
      </w:r>
      <w:r w:rsidRPr="00AE47C6">
        <w:rPr>
          <w:rFonts w:ascii="Times New Roman" w:eastAsia="SimSun" w:hAnsi="Times New Roman"/>
          <w:i/>
          <w:iCs/>
          <w:sz w:val="24"/>
          <w:szCs w:val="24"/>
        </w:rPr>
        <w:t>късната форма</w:t>
      </w:r>
      <w:r w:rsidRPr="00AE47C6">
        <w:rPr>
          <w:rFonts w:ascii="Times New Roman" w:eastAsia="SimSun" w:hAnsi="Times New Roman"/>
          <w:iCs/>
          <w:sz w:val="24"/>
          <w:szCs w:val="24"/>
        </w:rPr>
        <w:t xml:space="preserve"> на болестта на Pompe се установява </w:t>
      </w:r>
      <w:r w:rsidRPr="00AE47C6">
        <w:rPr>
          <w:rFonts w:ascii="Times New Roman" w:eastAsia="SimSun" w:hAnsi="Times New Roman"/>
          <w:bCs/>
          <w:iCs/>
          <w:sz w:val="24"/>
          <w:szCs w:val="24"/>
        </w:rPr>
        <w:t>подобрява функциите на напречнонабраздените мускули и сърдечната функция</w:t>
      </w:r>
      <w:r w:rsidRPr="00AE47C6">
        <w:rPr>
          <w:rFonts w:ascii="Times New Roman" w:eastAsia="SimSun" w:hAnsi="Times New Roman"/>
          <w:iCs/>
          <w:sz w:val="24"/>
          <w:szCs w:val="24"/>
        </w:rPr>
        <w:t xml:space="preserve">, </w:t>
      </w:r>
      <w:r w:rsidRPr="00AE47C6">
        <w:rPr>
          <w:rFonts w:ascii="Times New Roman" w:eastAsia="SimSun" w:hAnsi="Times New Roman"/>
          <w:bCs/>
          <w:iCs/>
          <w:sz w:val="24"/>
          <w:szCs w:val="24"/>
        </w:rPr>
        <w:t>стабилизира и повишаване на дихателните обеми</w:t>
      </w:r>
      <w:r w:rsidRPr="00AE47C6">
        <w:rPr>
          <w:rFonts w:ascii="Times New Roman" w:eastAsia="SimSun" w:hAnsi="Times New Roman"/>
          <w:iCs/>
          <w:sz w:val="24"/>
          <w:szCs w:val="24"/>
        </w:rPr>
        <w:t xml:space="preserve"> с </w:t>
      </w:r>
      <w:r w:rsidRPr="00AE47C6">
        <w:rPr>
          <w:rFonts w:ascii="Times New Roman" w:eastAsia="SimSun" w:hAnsi="Times New Roman"/>
          <w:bCs/>
          <w:iCs/>
          <w:sz w:val="24"/>
          <w:szCs w:val="24"/>
        </w:rPr>
        <w:t xml:space="preserve">по-добър ефект също при ранно начало на терапията. Лечението променя естествения ход на заболяването, тъй като при нелекуваните рискът от загуба на самостоятелна походка нараства с 13% всяка година, а рискът от дихателна недостатъчност, налагаща вентилация нараства с 8% всяка година; при лекуваните болни е подобрена или стабилизирана двигателна активност и функционално подобрение в ежедневните дейности, постига се стабилизиране и намаляване на необходимостта от дихателен апарат и се снижава рискът от летален изход с 59%. В мащабно изследване при 438 пациента, описани в 22 публикации (19 от тях - клинични проучвания), проследени средно 45. 7 месеца е анализиран дълготрайният ефект от алфа глюкозидазата. </w:t>
      </w:r>
      <w:r w:rsidRPr="00AE47C6">
        <w:rPr>
          <w:rFonts w:ascii="Times New Roman" w:eastAsia="SimSun" w:hAnsi="Times New Roman"/>
          <w:iCs/>
          <w:sz w:val="24"/>
          <w:szCs w:val="24"/>
        </w:rPr>
        <w:t xml:space="preserve">Оценени са </w:t>
      </w:r>
      <w:r w:rsidRPr="00AE47C6">
        <w:rPr>
          <w:rFonts w:ascii="Times New Roman" w:eastAsia="SimSun" w:hAnsi="Times New Roman"/>
          <w:bCs/>
          <w:iCs/>
          <w:sz w:val="24"/>
          <w:szCs w:val="24"/>
        </w:rPr>
        <w:t>преживяемост, моторни и респираторни функци</w:t>
      </w:r>
      <w:r w:rsidRPr="00AE47C6">
        <w:rPr>
          <w:rFonts w:ascii="Times New Roman" w:eastAsia="SimSun" w:hAnsi="Times New Roman"/>
          <w:iCs/>
          <w:sz w:val="24"/>
          <w:szCs w:val="24"/>
        </w:rPr>
        <w:t xml:space="preserve">и (смъртност, % FVC и тест 6MWT) при лекуваните и нелекувани пациенти, Установено е, че лекуваните с alglucosidase alfa пациенти имат </w:t>
      </w:r>
      <w:r w:rsidRPr="00AE47C6">
        <w:rPr>
          <w:rFonts w:ascii="Times New Roman" w:eastAsia="SimSun" w:hAnsi="Times New Roman"/>
          <w:bCs/>
          <w:iCs/>
          <w:sz w:val="24"/>
          <w:szCs w:val="24"/>
        </w:rPr>
        <w:t>5 пъти по-ниска смъртност</w:t>
      </w:r>
      <w:r w:rsidRPr="00AE47C6">
        <w:rPr>
          <w:rFonts w:ascii="Times New Roman" w:eastAsia="SimSun" w:hAnsi="Times New Roman"/>
          <w:iCs/>
          <w:sz w:val="24"/>
          <w:szCs w:val="24"/>
        </w:rPr>
        <w:t xml:space="preserve">; </w:t>
      </w:r>
      <w:r w:rsidRPr="00AE47C6">
        <w:rPr>
          <w:rFonts w:ascii="Times New Roman" w:eastAsia="SimSun" w:hAnsi="Times New Roman"/>
          <w:bCs/>
          <w:iCs/>
          <w:sz w:val="24"/>
          <w:szCs w:val="24"/>
        </w:rPr>
        <w:t>% FVC бързо се повишава с 1.4% след 2 месеца</w:t>
      </w:r>
      <w:r w:rsidRPr="00AE47C6">
        <w:rPr>
          <w:rFonts w:ascii="Times New Roman" w:eastAsia="SimSun" w:hAnsi="Times New Roman"/>
          <w:iCs/>
          <w:sz w:val="24"/>
          <w:szCs w:val="24"/>
        </w:rPr>
        <w:t xml:space="preserve">, с бавен регрес към изходното за 3 г. При нелекуваните пациенти понижаване с 2.3% за 12 мес. и с 6.2% след 48 месеца. При </w:t>
      </w:r>
      <w:r w:rsidRPr="00AE47C6">
        <w:rPr>
          <w:rFonts w:ascii="Times New Roman" w:eastAsia="SimSun" w:hAnsi="Times New Roman"/>
          <w:bCs/>
          <w:iCs/>
          <w:sz w:val="24"/>
          <w:szCs w:val="24"/>
        </w:rPr>
        <w:t xml:space="preserve">теста с 6 минутно ходене (6MWT) най-значимо е подобрението в първите 20 месеца с повишаване с 50 м над базовата </w:t>
      </w:r>
      <w:r w:rsidRPr="00AE47C6">
        <w:rPr>
          <w:rFonts w:ascii="Times New Roman" w:eastAsia="SimSun" w:hAnsi="Times New Roman"/>
          <w:iCs/>
          <w:sz w:val="24"/>
          <w:szCs w:val="24"/>
        </w:rPr>
        <w:t>стойност</w:t>
      </w:r>
      <w:r w:rsidRPr="00AE47C6">
        <w:rPr>
          <w:rFonts w:ascii="Times New Roman" w:eastAsia="SimSun" w:hAnsi="Times New Roman"/>
          <w:bCs/>
          <w:iCs/>
          <w:sz w:val="24"/>
          <w:szCs w:val="24"/>
        </w:rPr>
        <w:t xml:space="preserve"> стабилизация във времето. </w:t>
      </w:r>
      <w:r w:rsidRPr="00AE47C6">
        <w:rPr>
          <w:rFonts w:ascii="Times New Roman" w:eastAsia="SimSun" w:hAnsi="Times New Roman"/>
          <w:iCs/>
          <w:sz w:val="24"/>
          <w:szCs w:val="24"/>
        </w:rPr>
        <w:t xml:space="preserve">Нелекуваните пациенти нямат подобрение 6MWT. Изводът от проучването е, че </w:t>
      </w:r>
      <w:r w:rsidRPr="00AE47C6">
        <w:rPr>
          <w:rFonts w:ascii="Times New Roman" w:eastAsia="SimSun" w:hAnsi="Times New Roman"/>
          <w:bCs/>
          <w:iCs/>
          <w:sz w:val="24"/>
          <w:szCs w:val="24"/>
        </w:rPr>
        <w:t>Alglucosidasealfa подобрява преживяемостта, възможността за обслужване и респираторните функции</w:t>
      </w:r>
      <w:r w:rsidRPr="00AE47C6">
        <w:rPr>
          <w:rFonts w:ascii="Times New Roman" w:eastAsia="SimSun" w:hAnsi="Times New Roman"/>
          <w:iCs/>
          <w:sz w:val="24"/>
          <w:szCs w:val="24"/>
        </w:rPr>
        <w:t>. Подобни са изводите при проследяване на деца.</w:t>
      </w:r>
      <w:r w:rsidRPr="00AE47C6">
        <w:rPr>
          <w:rFonts w:ascii="Times New Roman" w:eastAsia="SimSun" w:hAnsi="Times New Roman"/>
          <w:b/>
          <w:bCs/>
          <w:i/>
          <w:sz w:val="24"/>
          <w:szCs w:val="24"/>
        </w:rPr>
        <w:t xml:space="preserve"> </w:t>
      </w:r>
    </w:p>
    <w:p w14:paraId="505B08AF" w14:textId="77777777" w:rsidR="00BE0B19" w:rsidRPr="00AE47C6" w:rsidRDefault="00BE0B19" w:rsidP="00BE0B19">
      <w:pPr>
        <w:numPr>
          <w:ilvl w:val="0"/>
          <w:numId w:val="422"/>
        </w:numPr>
        <w:spacing w:line="360" w:lineRule="auto"/>
        <w:ind w:hanging="357"/>
        <w:contextualSpacing/>
        <w:jc w:val="both"/>
        <w:rPr>
          <w:rFonts w:ascii="Times New Roman" w:eastAsia="SimSun" w:hAnsi="Times New Roman"/>
          <w:bCs/>
          <w:sz w:val="24"/>
          <w:szCs w:val="24"/>
        </w:rPr>
      </w:pPr>
      <w:r w:rsidRPr="00AE47C6">
        <w:rPr>
          <w:rFonts w:ascii="Times New Roman" w:eastAsia="SimSun" w:hAnsi="Times New Roman"/>
          <w:b/>
          <w:bCs/>
          <w:i/>
          <w:sz w:val="24"/>
          <w:szCs w:val="24"/>
        </w:rPr>
        <w:t>аvalglucosidase alfa</w:t>
      </w:r>
      <w:r w:rsidRPr="00AE47C6">
        <w:rPr>
          <w:rFonts w:ascii="Times New Roman" w:eastAsia="SimSun" w:hAnsi="Times New Roman"/>
          <w:i/>
          <w:sz w:val="24"/>
          <w:szCs w:val="24"/>
        </w:rPr>
        <w:t xml:space="preserve"> </w:t>
      </w:r>
      <w:r w:rsidRPr="00AE47C6">
        <w:rPr>
          <w:rFonts w:ascii="Times New Roman" w:eastAsia="SimSun" w:hAnsi="Times New Roman"/>
          <w:iCs/>
          <w:sz w:val="24"/>
          <w:szCs w:val="24"/>
        </w:rPr>
        <w:t>е</w:t>
      </w:r>
      <w:r w:rsidRPr="00AE47C6">
        <w:rPr>
          <w:rFonts w:ascii="Times New Roman" w:eastAsia="SimSun" w:hAnsi="Times New Roman"/>
          <w:i/>
          <w:sz w:val="24"/>
          <w:szCs w:val="24"/>
        </w:rPr>
        <w:t xml:space="preserve"> </w:t>
      </w:r>
      <w:r w:rsidRPr="00AE47C6">
        <w:rPr>
          <w:rFonts w:ascii="Times New Roman" w:eastAsia="SimSun" w:hAnsi="Times New Roman"/>
          <w:bCs/>
          <w:sz w:val="24"/>
          <w:szCs w:val="24"/>
        </w:rPr>
        <w:t xml:space="preserve">одобренa за </w:t>
      </w:r>
      <w:r w:rsidRPr="00AE47C6">
        <w:rPr>
          <w:rFonts w:ascii="Times New Roman" w:eastAsia="SimSun" w:hAnsi="Times New Roman"/>
          <w:sz w:val="24"/>
          <w:szCs w:val="24"/>
        </w:rPr>
        <w:t xml:space="preserve">всички форми в Европа и САЩ. Аvalglucosidase alfa е рекомбинантна човешка кисела α-глюкозидаза (rhGAA), която осигурява екзогенен източник на GAA. Препоръчителната доза аvalglucosidase alfa е 20 mg/kg телесно тегло, прилагана веднъж на всеки 2 седмици. При пациенти с инфантилна форма на болестта на Pompe (IOPD), които нямат подобрение или имат недостатъчен отговор по отношение на сърдечната, дихателната и/или двигателната функция, докато получават 20 mg/kg, трябва да се обмисли увеличаване на дозата до 40 mg/kg през седмица, при липса на съображения, свързани с безопасността (напр. тежка свръхчувствителност, анафилактични реакции или риск от претоварване с течности).  Аvalglucosidase alfa е модификация на </w:t>
      </w:r>
      <w:r w:rsidRPr="00AE47C6">
        <w:rPr>
          <w:rFonts w:ascii="Times New Roman" w:eastAsia="SimSun" w:hAnsi="Times New Roman"/>
          <w:iCs/>
          <w:sz w:val="24"/>
          <w:szCs w:val="24"/>
        </w:rPr>
        <w:t>alglucosidase alfa</w:t>
      </w:r>
      <w:r w:rsidRPr="00AE47C6">
        <w:rPr>
          <w:rFonts w:ascii="Times New Roman" w:eastAsia="SimSun" w:hAnsi="Times New Roman"/>
          <w:sz w:val="24"/>
          <w:szCs w:val="24"/>
        </w:rPr>
        <w:t xml:space="preserve">, при която приблизително 7 хексаманозни структури, всяка от които съдържа 2 терминални края маноза-6-фосфат (bis-М6Р), са конюгирани с окислени остатъци на сиалова киселина върху </w:t>
      </w:r>
      <w:r w:rsidRPr="00AE47C6">
        <w:rPr>
          <w:rFonts w:ascii="Times New Roman" w:eastAsia="SimSun" w:hAnsi="Times New Roman"/>
          <w:iCs/>
          <w:sz w:val="24"/>
          <w:szCs w:val="24"/>
        </w:rPr>
        <w:t>alglucosidase alfa</w:t>
      </w:r>
      <w:r w:rsidRPr="00AE47C6">
        <w:rPr>
          <w:rFonts w:ascii="Times New Roman" w:eastAsia="SimSun" w:hAnsi="Times New Roman"/>
          <w:sz w:val="24"/>
          <w:szCs w:val="24"/>
        </w:rPr>
        <w:t xml:space="preserve">. Аvalglucosidase alfa има 15-кратно увеличение на маноза-6-фосфат (M6P) участъците, в сравнение с </w:t>
      </w:r>
      <w:r w:rsidRPr="00AE47C6">
        <w:rPr>
          <w:rFonts w:ascii="Times New Roman" w:eastAsia="SimSun" w:hAnsi="Times New Roman"/>
          <w:iCs/>
          <w:sz w:val="24"/>
          <w:szCs w:val="24"/>
        </w:rPr>
        <w:t>alglucosidase alfa</w:t>
      </w:r>
      <w:r w:rsidRPr="00AE47C6">
        <w:rPr>
          <w:rFonts w:ascii="Times New Roman" w:eastAsia="SimSun" w:hAnsi="Times New Roman"/>
          <w:sz w:val="24"/>
          <w:szCs w:val="24"/>
        </w:rPr>
        <w:t xml:space="preserve">. Установено е, че свързването с M6P рецепторите на клетъчната повърхност се осъществява чрез въглехидратни групи върху молекулата на GAA, след което се интернализира и транспортира в лизозомите, където претърпява протеолитично разцепване, водещо до повишена ензимна активност за разграждане на гликогена. Повишеният афинитет към  M6P-рецепторите, резултира в клинично значими предимства по отношение на тежестта на заболяването в сравнение с алглюкозидаза алфа, използвана като компаратор в COMET - основното проучване фаза 3. Клиничното проучване при пациенти с LOPD (EFC14028/COMET), сравняващо ефикасността и безопасността на </w:t>
      </w:r>
      <w:r w:rsidRPr="00AE47C6">
        <w:rPr>
          <w:rFonts w:ascii="Times New Roman" w:eastAsia="SimSun" w:hAnsi="Times New Roman"/>
          <w:i/>
          <w:sz w:val="24"/>
          <w:szCs w:val="24"/>
        </w:rPr>
        <w:t>avalglucosidase alfa</w:t>
      </w:r>
      <w:r w:rsidRPr="00AE47C6">
        <w:rPr>
          <w:rFonts w:ascii="Times New Roman" w:eastAsia="SimSun" w:hAnsi="Times New Roman"/>
          <w:sz w:val="24"/>
          <w:szCs w:val="24"/>
        </w:rPr>
        <w:t xml:space="preserve"> и </w:t>
      </w:r>
      <w:r w:rsidRPr="00AE47C6">
        <w:rPr>
          <w:rFonts w:ascii="Times New Roman" w:eastAsia="SimSun" w:hAnsi="Times New Roman"/>
          <w:iCs/>
          <w:sz w:val="24"/>
          <w:szCs w:val="24"/>
        </w:rPr>
        <w:t>alglucosidase alfa</w:t>
      </w:r>
      <w:r w:rsidRPr="00AE47C6">
        <w:rPr>
          <w:rFonts w:ascii="Times New Roman" w:eastAsia="SimSun" w:hAnsi="Times New Roman"/>
          <w:sz w:val="24"/>
          <w:szCs w:val="24"/>
        </w:rPr>
        <w:t xml:space="preserve">, включващо открита, дългосрочна фаза на проследяване до 5 години за всички пациенти, постига статистическа неинфериорност по отношение на промяната във ФВК % прогнозна стойност в изправено положение от изходното ниво, числено подобрение в 6-минутен тест с ходене, 6MWT при </w:t>
      </w:r>
      <w:r w:rsidRPr="00AE47C6">
        <w:rPr>
          <w:rFonts w:ascii="Times New Roman" w:eastAsia="SimSun" w:hAnsi="Times New Roman"/>
          <w:i/>
          <w:sz w:val="24"/>
          <w:szCs w:val="24"/>
        </w:rPr>
        <w:t>avalglucosidase alfa</w:t>
      </w:r>
      <w:r w:rsidRPr="00AE47C6">
        <w:rPr>
          <w:rFonts w:ascii="Times New Roman" w:eastAsia="SimSun" w:hAnsi="Times New Roman"/>
          <w:sz w:val="24"/>
          <w:szCs w:val="24"/>
        </w:rPr>
        <w:t xml:space="preserve"> в сравнение с </w:t>
      </w:r>
      <w:r w:rsidRPr="00AE47C6">
        <w:rPr>
          <w:rFonts w:ascii="Times New Roman" w:eastAsia="SimSun" w:hAnsi="Times New Roman"/>
          <w:iCs/>
          <w:sz w:val="24"/>
          <w:szCs w:val="24"/>
        </w:rPr>
        <w:t>alglucosidase alfa</w:t>
      </w:r>
      <w:r w:rsidRPr="00AE47C6">
        <w:rPr>
          <w:rFonts w:ascii="Times New Roman" w:eastAsia="SimSun" w:hAnsi="Times New Roman"/>
          <w:sz w:val="24"/>
          <w:szCs w:val="24"/>
        </w:rPr>
        <w:t xml:space="preserve">. Демонстрира се запазване на ефекта по време на продължителното лечение с </w:t>
      </w:r>
      <w:r w:rsidRPr="00AE47C6">
        <w:rPr>
          <w:rFonts w:ascii="Times New Roman" w:eastAsia="SimSun" w:hAnsi="Times New Roman"/>
          <w:i/>
          <w:sz w:val="24"/>
          <w:szCs w:val="24"/>
        </w:rPr>
        <w:t>аvalglucosidase alfa</w:t>
      </w:r>
      <w:r w:rsidRPr="00AE47C6">
        <w:rPr>
          <w:rFonts w:ascii="Times New Roman" w:eastAsia="SimSun" w:hAnsi="Times New Roman"/>
          <w:sz w:val="24"/>
          <w:szCs w:val="24"/>
        </w:rPr>
        <w:t xml:space="preserve"> 20 mg/kg през седмица до 6 години при пациенти с LOPD по отношение на ФВК % прогнозна стойност и 6MWT. Клиничното проучване при пациенти с IOPD (ACT14132/mini-COMET), е многоетапно, фаза 2, открито, многоцентрово, многонационално кохортно проучване с многократно приложение на възходяща доза </w:t>
      </w:r>
      <w:r w:rsidRPr="00AE47C6">
        <w:rPr>
          <w:rFonts w:ascii="Times New Roman" w:eastAsia="SimSun" w:hAnsi="Times New Roman"/>
          <w:i/>
          <w:sz w:val="24"/>
          <w:szCs w:val="24"/>
        </w:rPr>
        <w:t>аvalglucosidase alfa</w:t>
      </w:r>
      <w:r w:rsidRPr="00AE47C6">
        <w:rPr>
          <w:rFonts w:ascii="Times New Roman" w:eastAsia="SimSun" w:hAnsi="Times New Roman"/>
          <w:sz w:val="24"/>
          <w:szCs w:val="24"/>
        </w:rPr>
        <w:t xml:space="preserve"> при педиатрични пациенти с IOPD (на възраст 1-12 години), които показват клинично влошаване или неоптимален клиничен отговор по време на лечение с </w:t>
      </w:r>
      <w:r w:rsidRPr="00AE47C6">
        <w:rPr>
          <w:rFonts w:ascii="Times New Roman" w:eastAsia="SimSun" w:hAnsi="Times New Roman"/>
          <w:iCs/>
          <w:sz w:val="24"/>
          <w:szCs w:val="24"/>
        </w:rPr>
        <w:t>alglucosidase alfa</w:t>
      </w:r>
      <w:r w:rsidRPr="00AE47C6">
        <w:rPr>
          <w:rFonts w:ascii="Times New Roman" w:eastAsia="SimSun" w:hAnsi="Times New Roman"/>
          <w:sz w:val="24"/>
          <w:szCs w:val="24"/>
        </w:rPr>
        <w:t xml:space="preserve">. При педиатрични пациенти с IOPD (&lt;18-годишна възраст), лекувани с </w:t>
      </w:r>
      <w:r w:rsidRPr="00AE47C6">
        <w:rPr>
          <w:rFonts w:ascii="Times New Roman" w:eastAsia="SimSun" w:hAnsi="Times New Roman"/>
          <w:i/>
          <w:sz w:val="24"/>
          <w:szCs w:val="24"/>
        </w:rPr>
        <w:t>аvalglucosidase alfa</w:t>
      </w:r>
      <w:r w:rsidRPr="00AE47C6">
        <w:rPr>
          <w:rFonts w:ascii="Times New Roman" w:eastAsia="SimSun" w:hAnsi="Times New Roman"/>
          <w:sz w:val="24"/>
          <w:szCs w:val="24"/>
        </w:rPr>
        <w:t xml:space="preserve"> в доза  40 mg/kg през седмица, които са показали клинично влошаване (кохорта 2) или неоптимален клиничен отговор (кохорта 3), докато са провеждали лечение с </w:t>
      </w:r>
      <w:r w:rsidRPr="00AE47C6">
        <w:rPr>
          <w:rFonts w:ascii="Times New Roman" w:eastAsia="SimSun" w:hAnsi="Times New Roman"/>
          <w:iCs/>
          <w:sz w:val="24"/>
          <w:szCs w:val="24"/>
        </w:rPr>
        <w:t>alglucosidase alfa</w:t>
      </w:r>
      <w:r w:rsidRPr="00AE47C6">
        <w:rPr>
          <w:rFonts w:ascii="Times New Roman" w:eastAsia="SimSun" w:hAnsi="Times New Roman"/>
          <w:sz w:val="24"/>
          <w:szCs w:val="24"/>
        </w:rPr>
        <w:t xml:space="preserve">, средната процентна (SD) промяна в хексозните тетразахариди в урината спрямо изходното ниво е съответно -40,97% (16,72) и -37,48% (17,16), след 6 месеца. При пациенти, които преди това са имали влошаване, лекувани с </w:t>
      </w:r>
      <w:r w:rsidRPr="00AE47C6">
        <w:rPr>
          <w:rFonts w:ascii="Times New Roman" w:eastAsia="SimSun" w:hAnsi="Times New Roman"/>
          <w:i/>
          <w:sz w:val="24"/>
          <w:szCs w:val="24"/>
        </w:rPr>
        <w:t>аvalglucosidase alfa</w:t>
      </w:r>
      <w:r w:rsidRPr="00AE47C6">
        <w:rPr>
          <w:rFonts w:ascii="Times New Roman" w:eastAsia="SimSun" w:hAnsi="Times New Roman"/>
          <w:sz w:val="24"/>
          <w:szCs w:val="24"/>
        </w:rPr>
        <w:t xml:space="preserve"> в доза 20 mg/kg през седмица, средната (SD) процентна промяна е 0,34% (42,09). При пациентите с IOPD, които преди това са имали клинично влошаване с </w:t>
      </w:r>
      <w:r w:rsidRPr="00AE47C6">
        <w:rPr>
          <w:rFonts w:ascii="Times New Roman" w:eastAsia="SimSun" w:hAnsi="Times New Roman"/>
          <w:iCs/>
          <w:sz w:val="24"/>
          <w:szCs w:val="24"/>
        </w:rPr>
        <w:t>alglucosidase alfa</w:t>
      </w:r>
      <w:r w:rsidRPr="00AE47C6">
        <w:rPr>
          <w:rFonts w:ascii="Times New Roman" w:eastAsia="SimSun" w:hAnsi="Times New Roman"/>
          <w:sz w:val="24"/>
          <w:szCs w:val="24"/>
        </w:rPr>
        <w:t xml:space="preserve">, ефикасността върху специфичните показатели на клинично влошаване, включително двигателна функция, сърдечна маса на лявата камера и измервания на позицията на клепачите се запазва в продължение на 2 години. </w:t>
      </w:r>
    </w:p>
    <w:p w14:paraId="4F68F9C4" w14:textId="77777777" w:rsidR="00BE0B19" w:rsidRPr="00AE47C6" w:rsidRDefault="00BE0B19" w:rsidP="00BE0B19">
      <w:pPr>
        <w:spacing w:line="360" w:lineRule="auto"/>
        <w:ind w:firstLine="708"/>
        <w:rPr>
          <w:rFonts w:ascii="Times New Roman" w:eastAsia="SimSun" w:hAnsi="Times New Roman"/>
          <w:bCs/>
          <w:sz w:val="24"/>
          <w:szCs w:val="24"/>
        </w:rPr>
      </w:pPr>
      <w:r w:rsidRPr="00AE47C6">
        <w:rPr>
          <w:rFonts w:ascii="Times New Roman" w:eastAsia="SimSun" w:hAnsi="Times New Roman"/>
          <w:bCs/>
          <w:sz w:val="24"/>
          <w:szCs w:val="24"/>
        </w:rPr>
        <w:t>Приети са консенсуси за ензим-заместващо лечение на базата на над 10 г. проследяване на пациентите, вкл. и в България, като ЕЗТ е при клинична изява (</w:t>
      </w:r>
      <w:r w:rsidRPr="00AE47C6">
        <w:rPr>
          <w:rFonts w:ascii="Times New Roman" w:eastAsia="SimSun" w:hAnsi="Times New Roman"/>
          <w:bCs/>
          <w:i/>
          <w:iCs/>
          <w:sz w:val="24"/>
          <w:szCs w:val="24"/>
        </w:rPr>
        <w:t>Таблица 9.4</w:t>
      </w:r>
      <w:r w:rsidRPr="00AE47C6">
        <w:rPr>
          <w:rFonts w:ascii="Times New Roman" w:eastAsia="SimSun" w:hAnsi="Times New Roman"/>
          <w:bCs/>
          <w:sz w:val="24"/>
          <w:szCs w:val="24"/>
        </w:rPr>
        <w:t xml:space="preserve">). </w:t>
      </w:r>
    </w:p>
    <w:p w14:paraId="0942A607" w14:textId="77777777" w:rsidR="00BE0B19" w:rsidRPr="00AE47C6" w:rsidRDefault="00BE0B19" w:rsidP="00BE0B19">
      <w:pPr>
        <w:spacing w:after="0" w:line="360" w:lineRule="auto"/>
        <w:ind w:firstLine="709"/>
        <w:contextualSpacing/>
        <w:rPr>
          <w:rFonts w:ascii="Times New Roman" w:eastAsia="SimSun" w:hAnsi="Times New Roman"/>
          <w:bCs/>
          <w:sz w:val="16"/>
          <w:szCs w:val="16"/>
        </w:rPr>
      </w:pPr>
      <w:r w:rsidRPr="00AE47C6">
        <w:rPr>
          <w:rFonts w:ascii="Times New Roman" w:eastAsia="SimSun" w:hAnsi="Times New Roman"/>
          <w:b/>
          <w:bCs/>
          <w:sz w:val="24"/>
          <w:szCs w:val="24"/>
        </w:rPr>
        <w:t>Препоръките за лечение на болестта на Pompe включват:</w:t>
      </w:r>
    </w:p>
    <w:p w14:paraId="5CE81B81" w14:textId="77777777" w:rsidR="00BE0B19" w:rsidRPr="00AE47C6" w:rsidRDefault="00BE0B19" w:rsidP="00BE0B19">
      <w:pPr>
        <w:spacing w:after="0" w:line="360" w:lineRule="auto"/>
        <w:ind w:firstLine="709"/>
        <w:contextualSpacing/>
        <w:jc w:val="both"/>
        <w:rPr>
          <w:rFonts w:ascii="Times New Roman" w:eastAsia="SimSun" w:hAnsi="Times New Roman"/>
          <w:b/>
          <w:bCs/>
          <w:sz w:val="24"/>
          <w:szCs w:val="24"/>
        </w:rPr>
      </w:pPr>
      <w:r w:rsidRPr="00AE47C6">
        <w:rPr>
          <w:rFonts w:ascii="Times New Roman" w:eastAsia="SimSun" w:hAnsi="Times New Roman"/>
          <w:b/>
          <w:bCs/>
          <w:sz w:val="24"/>
          <w:szCs w:val="24"/>
        </w:rPr>
        <w:t>1. При инфантилна форма на болестта на Pompe - ЕЗТ в доза 20 mg/kg през 14 дни.</w:t>
      </w:r>
    </w:p>
    <w:p w14:paraId="4F741035" w14:textId="77777777" w:rsidR="00BE0B19" w:rsidRPr="00AE47C6" w:rsidRDefault="00BE0B19" w:rsidP="00BE0B19">
      <w:pPr>
        <w:numPr>
          <w:ilvl w:val="0"/>
          <w:numId w:val="423"/>
        </w:numPr>
        <w:spacing w:after="0" w:line="360" w:lineRule="auto"/>
        <w:contextualSpacing/>
        <w:jc w:val="both"/>
        <w:rPr>
          <w:rFonts w:ascii="Times New Roman" w:eastAsia="SimSun" w:hAnsi="Times New Roman"/>
          <w:bCs/>
          <w:sz w:val="24"/>
          <w:szCs w:val="24"/>
        </w:rPr>
      </w:pPr>
      <w:r w:rsidRPr="00AE47C6">
        <w:rPr>
          <w:rFonts w:ascii="Times New Roman" w:eastAsia="SimSun" w:hAnsi="Times New Roman"/>
          <w:bCs/>
          <w:sz w:val="24"/>
          <w:szCs w:val="24"/>
        </w:rPr>
        <w:t>Преди ЕЗТ се определя CRIM (кръстосано реактивен имунен материал) се включва ITI (immune tolerance induction) в терапевтичния план. Лечението се провежда  в център с опит за лечение на инфантилна форма на болестта на Pompe.</w:t>
      </w:r>
    </w:p>
    <w:p w14:paraId="329EB41F" w14:textId="77777777" w:rsidR="00BE0B19" w:rsidRPr="00AE47C6" w:rsidRDefault="00BE0B19" w:rsidP="00BE0B19">
      <w:pPr>
        <w:numPr>
          <w:ilvl w:val="0"/>
          <w:numId w:val="423"/>
        </w:numPr>
        <w:spacing w:after="0" w:line="360" w:lineRule="auto"/>
        <w:contextualSpacing/>
        <w:jc w:val="both"/>
        <w:rPr>
          <w:rFonts w:ascii="Times New Roman" w:eastAsia="SimSun" w:hAnsi="Times New Roman"/>
          <w:bCs/>
          <w:sz w:val="24"/>
          <w:szCs w:val="24"/>
        </w:rPr>
      </w:pPr>
      <w:r w:rsidRPr="00AE47C6">
        <w:rPr>
          <w:rFonts w:ascii="Times New Roman" w:eastAsia="SimSun" w:hAnsi="Times New Roman"/>
          <w:bCs/>
          <w:sz w:val="24"/>
          <w:szCs w:val="24"/>
        </w:rPr>
        <w:t>След диагностицирането преди започване на ЕЗТ  - оценка на дишането и при необходимост - неинвазивно подпомагане.</w:t>
      </w:r>
    </w:p>
    <w:p w14:paraId="0D70CE33" w14:textId="77777777" w:rsidR="00BE0B19" w:rsidRPr="00AE47C6" w:rsidRDefault="00BE0B19" w:rsidP="00BE0B19">
      <w:pPr>
        <w:numPr>
          <w:ilvl w:val="0"/>
          <w:numId w:val="423"/>
        </w:numPr>
        <w:spacing w:after="0" w:line="360" w:lineRule="auto"/>
        <w:contextualSpacing/>
        <w:jc w:val="both"/>
        <w:rPr>
          <w:rFonts w:ascii="Times New Roman" w:eastAsia="SimSun" w:hAnsi="Times New Roman"/>
          <w:bCs/>
          <w:sz w:val="24"/>
          <w:szCs w:val="24"/>
        </w:rPr>
      </w:pPr>
      <w:r w:rsidRPr="00AE47C6">
        <w:rPr>
          <w:rFonts w:ascii="Times New Roman" w:eastAsia="SimSun" w:hAnsi="Times New Roman"/>
          <w:bCs/>
          <w:sz w:val="24"/>
          <w:szCs w:val="24"/>
        </w:rPr>
        <w:t>оценка за трудности в дъвкането е приложение на методи за адекватно хранене и ръст.</w:t>
      </w:r>
    </w:p>
    <w:p w14:paraId="3BA33233" w14:textId="77777777" w:rsidR="00BE0B19" w:rsidRPr="00AE47C6" w:rsidRDefault="00BE0B19" w:rsidP="00BE0B19">
      <w:pPr>
        <w:spacing w:after="0" w:line="360" w:lineRule="auto"/>
        <w:ind w:firstLine="709"/>
        <w:contextualSpacing/>
        <w:jc w:val="both"/>
        <w:rPr>
          <w:rFonts w:ascii="Times New Roman" w:eastAsia="SimSun" w:hAnsi="Times New Roman"/>
          <w:b/>
          <w:bCs/>
          <w:sz w:val="24"/>
          <w:szCs w:val="24"/>
        </w:rPr>
      </w:pPr>
      <w:r w:rsidRPr="00AE47C6">
        <w:rPr>
          <w:rFonts w:ascii="Times New Roman" w:eastAsia="SimSun" w:hAnsi="Times New Roman"/>
          <w:b/>
          <w:bCs/>
          <w:sz w:val="24"/>
          <w:szCs w:val="24"/>
        </w:rPr>
        <w:t xml:space="preserve">2. При късна форма на болестта на Pompe: </w:t>
      </w:r>
    </w:p>
    <w:p w14:paraId="7EC9A6CA" w14:textId="77777777" w:rsidR="00BE0B19" w:rsidRPr="00AE47C6" w:rsidRDefault="00BE0B19" w:rsidP="00BE0B19">
      <w:pPr>
        <w:spacing w:after="0" w:line="360" w:lineRule="auto"/>
        <w:ind w:firstLine="709"/>
        <w:contextualSpacing/>
        <w:jc w:val="both"/>
        <w:rPr>
          <w:rFonts w:ascii="Times New Roman" w:eastAsia="SimSun" w:hAnsi="Times New Roman"/>
          <w:bCs/>
          <w:sz w:val="24"/>
          <w:szCs w:val="24"/>
        </w:rPr>
      </w:pPr>
      <w:r w:rsidRPr="00AE47C6">
        <w:rPr>
          <w:rFonts w:ascii="Times New Roman" w:eastAsia="SimSun" w:hAnsi="Times New Roman"/>
          <w:b/>
          <w:bCs/>
          <w:sz w:val="24"/>
          <w:szCs w:val="24"/>
        </w:rPr>
        <w:t xml:space="preserve">-  </w:t>
      </w:r>
      <w:r w:rsidRPr="00AE47C6">
        <w:rPr>
          <w:rFonts w:ascii="Times New Roman" w:eastAsia="SimSun" w:hAnsi="Times New Roman"/>
          <w:bCs/>
          <w:sz w:val="24"/>
          <w:szCs w:val="24"/>
        </w:rPr>
        <w:t xml:space="preserve">ЕЗТ в доза  20 mg/kg през 14 дни при пациенти, които се движат, не се вентилират в будност и не са с дихателно подпомагане в сън. </w:t>
      </w:r>
    </w:p>
    <w:p w14:paraId="1910928A" w14:textId="77777777" w:rsidR="00BE0B19" w:rsidRPr="00AE47C6" w:rsidRDefault="00BE0B19" w:rsidP="00BE0B19">
      <w:pPr>
        <w:numPr>
          <w:ilvl w:val="0"/>
          <w:numId w:val="424"/>
        </w:numPr>
        <w:spacing w:after="0" w:line="360" w:lineRule="auto"/>
        <w:contextualSpacing/>
        <w:jc w:val="both"/>
        <w:rPr>
          <w:rFonts w:ascii="Times New Roman" w:eastAsia="SimSun" w:hAnsi="Times New Roman"/>
          <w:bCs/>
          <w:sz w:val="24"/>
          <w:szCs w:val="24"/>
        </w:rPr>
      </w:pPr>
      <w:r w:rsidRPr="00AE47C6">
        <w:rPr>
          <w:rFonts w:ascii="Times New Roman" w:eastAsia="SimSun" w:hAnsi="Times New Roman"/>
          <w:bCs/>
          <w:sz w:val="24"/>
          <w:szCs w:val="24"/>
        </w:rPr>
        <w:t>ЕЗТ в доза  20 mg/kg през 14 дни, при  инвалидизирани пациенти с дихателно подпомагане в будност и в сън, при подобрение на функционалния статус чрез тестуване; преценка за прекъсване, при липса на ефект</w:t>
      </w:r>
    </w:p>
    <w:p w14:paraId="2BD2750D" w14:textId="77777777" w:rsidR="00BE0B19" w:rsidRPr="00AE47C6" w:rsidRDefault="00BE0B19" w:rsidP="00BE0B19">
      <w:pPr>
        <w:spacing w:after="0" w:line="360" w:lineRule="auto"/>
        <w:ind w:firstLine="709"/>
        <w:contextualSpacing/>
        <w:jc w:val="both"/>
        <w:rPr>
          <w:rFonts w:ascii="Times New Roman" w:eastAsia="SimSun" w:hAnsi="Times New Roman"/>
          <w:b/>
          <w:bCs/>
          <w:sz w:val="24"/>
          <w:szCs w:val="24"/>
        </w:rPr>
      </w:pPr>
      <w:r w:rsidRPr="00AE47C6">
        <w:rPr>
          <w:rFonts w:ascii="Times New Roman" w:eastAsia="SimSun" w:hAnsi="Times New Roman"/>
          <w:b/>
          <w:bCs/>
          <w:sz w:val="24"/>
          <w:szCs w:val="24"/>
        </w:rPr>
        <w:t xml:space="preserve">3. Пациенти с късна форма на болестта на Pompe се мониторират за дихателни усложнения чрез функционална оценка на дишането регулярно </w:t>
      </w:r>
    </w:p>
    <w:p w14:paraId="43E1410C" w14:textId="77777777" w:rsidR="00BE0B19" w:rsidRPr="00AE47C6" w:rsidRDefault="00BE0B19" w:rsidP="00BE0B19">
      <w:pPr>
        <w:numPr>
          <w:ilvl w:val="0"/>
          <w:numId w:val="419"/>
        </w:numPr>
        <w:tabs>
          <w:tab w:val="clear" w:pos="720"/>
          <w:tab w:val="num" w:pos="0"/>
        </w:tabs>
        <w:autoSpaceDE w:val="0"/>
        <w:autoSpaceDN w:val="0"/>
        <w:adjustRightInd w:val="0"/>
        <w:spacing w:after="0" w:line="360" w:lineRule="auto"/>
        <w:ind w:left="0" w:firstLine="709"/>
        <w:jc w:val="both"/>
        <w:rPr>
          <w:rFonts w:ascii="Times New Roman" w:eastAsia="SimSun" w:hAnsi="Times New Roman"/>
          <w:bCs/>
          <w:iCs/>
          <w:sz w:val="24"/>
          <w:szCs w:val="24"/>
        </w:rPr>
      </w:pPr>
      <w:r w:rsidRPr="00AE47C6">
        <w:rPr>
          <w:rFonts w:ascii="Times New Roman" w:eastAsia="SimSun" w:hAnsi="Times New Roman"/>
          <w:b/>
          <w:bCs/>
          <w:iCs/>
          <w:sz w:val="24"/>
          <w:szCs w:val="24"/>
        </w:rPr>
        <w:t>Пациенти с късна форма на болестта на Pompe с лош отговор</w:t>
      </w:r>
      <w:r w:rsidRPr="00AE47C6">
        <w:rPr>
          <w:rFonts w:ascii="Times New Roman" w:eastAsia="SimSun" w:hAnsi="Times New Roman"/>
          <w:bCs/>
          <w:iCs/>
          <w:sz w:val="24"/>
          <w:szCs w:val="24"/>
        </w:rPr>
        <w:t xml:space="preserve"> от ЕЗТ за месеци/години се оценяват за </w:t>
      </w:r>
      <w:r w:rsidRPr="00AE47C6">
        <w:rPr>
          <w:rFonts w:ascii="Times New Roman" w:eastAsia="SimSun" w:hAnsi="Times New Roman"/>
          <w:b/>
          <w:bCs/>
          <w:iCs/>
          <w:sz w:val="24"/>
          <w:szCs w:val="24"/>
        </w:rPr>
        <w:t xml:space="preserve">наличие на антитела </w:t>
      </w:r>
      <w:r w:rsidRPr="00AE47C6">
        <w:rPr>
          <w:rFonts w:ascii="Times New Roman" w:eastAsia="SimSun" w:hAnsi="Times New Roman"/>
          <w:bCs/>
          <w:iCs/>
          <w:sz w:val="24"/>
          <w:szCs w:val="24"/>
        </w:rPr>
        <w:t xml:space="preserve">(HSAT- high sustained antibody titres) и ако съществуват- опит за лечение за понижаване </w:t>
      </w:r>
    </w:p>
    <w:p w14:paraId="33895495" w14:textId="77777777" w:rsidR="00BE0B19" w:rsidRPr="00AE47C6" w:rsidRDefault="00BE0B19" w:rsidP="00BE0B19">
      <w:pPr>
        <w:numPr>
          <w:ilvl w:val="0"/>
          <w:numId w:val="419"/>
        </w:numPr>
        <w:tabs>
          <w:tab w:val="clear" w:pos="720"/>
          <w:tab w:val="num" w:pos="0"/>
        </w:tabs>
        <w:autoSpaceDE w:val="0"/>
        <w:autoSpaceDN w:val="0"/>
        <w:adjustRightInd w:val="0"/>
        <w:spacing w:after="0" w:line="360" w:lineRule="auto"/>
        <w:ind w:left="0" w:firstLine="709"/>
        <w:jc w:val="both"/>
        <w:rPr>
          <w:rFonts w:ascii="Times New Roman" w:eastAsia="SimSun" w:hAnsi="Times New Roman"/>
          <w:bCs/>
          <w:iCs/>
          <w:sz w:val="24"/>
          <w:szCs w:val="24"/>
        </w:rPr>
      </w:pPr>
      <w:r w:rsidRPr="00AE47C6">
        <w:rPr>
          <w:rFonts w:ascii="Times New Roman" w:eastAsia="SimSun" w:hAnsi="Times New Roman"/>
          <w:bCs/>
          <w:iCs/>
          <w:sz w:val="24"/>
          <w:szCs w:val="24"/>
        </w:rPr>
        <w:t xml:space="preserve">Пациенти с късна форма на болестта на Pompe трябва да са на </w:t>
      </w:r>
      <w:r w:rsidRPr="00AE47C6">
        <w:rPr>
          <w:rFonts w:ascii="Times New Roman" w:eastAsia="SimSun" w:hAnsi="Times New Roman"/>
          <w:b/>
          <w:bCs/>
          <w:iCs/>
          <w:sz w:val="24"/>
          <w:szCs w:val="24"/>
        </w:rPr>
        <w:t xml:space="preserve">диета с адекватно протеини и енергия </w:t>
      </w:r>
    </w:p>
    <w:p w14:paraId="367EAF32" w14:textId="77777777" w:rsidR="00BE0B19" w:rsidRPr="00AE47C6" w:rsidRDefault="00BE0B19" w:rsidP="00BE0B19">
      <w:pPr>
        <w:numPr>
          <w:ilvl w:val="0"/>
          <w:numId w:val="419"/>
        </w:numPr>
        <w:tabs>
          <w:tab w:val="clear" w:pos="720"/>
          <w:tab w:val="num" w:pos="0"/>
        </w:tabs>
        <w:autoSpaceDE w:val="0"/>
        <w:autoSpaceDN w:val="0"/>
        <w:adjustRightInd w:val="0"/>
        <w:spacing w:after="0" w:line="360" w:lineRule="auto"/>
        <w:ind w:left="0" w:firstLine="709"/>
        <w:jc w:val="both"/>
        <w:rPr>
          <w:rFonts w:ascii="Times New Roman" w:eastAsia="SimSun" w:hAnsi="Times New Roman"/>
          <w:bCs/>
          <w:iCs/>
          <w:sz w:val="24"/>
          <w:szCs w:val="24"/>
        </w:rPr>
      </w:pPr>
      <w:r w:rsidRPr="00AE47C6">
        <w:rPr>
          <w:rFonts w:ascii="Times New Roman" w:eastAsia="SimSun" w:hAnsi="Times New Roman"/>
          <w:b/>
          <w:bCs/>
          <w:iCs/>
          <w:sz w:val="24"/>
          <w:szCs w:val="24"/>
        </w:rPr>
        <w:t>Vitamin D оценка и прибавяне за ниво поне 75 nmol/L.</w:t>
      </w:r>
    </w:p>
    <w:p w14:paraId="3513ED8D" w14:textId="77777777" w:rsidR="00BE0B19" w:rsidRPr="00AE47C6" w:rsidRDefault="00BE0B19" w:rsidP="00BE0B19">
      <w:pPr>
        <w:numPr>
          <w:ilvl w:val="0"/>
          <w:numId w:val="419"/>
        </w:numPr>
        <w:tabs>
          <w:tab w:val="clear" w:pos="720"/>
          <w:tab w:val="num" w:pos="0"/>
        </w:tabs>
        <w:autoSpaceDE w:val="0"/>
        <w:autoSpaceDN w:val="0"/>
        <w:adjustRightInd w:val="0"/>
        <w:spacing w:after="0" w:line="360" w:lineRule="auto"/>
        <w:ind w:left="0" w:firstLine="709"/>
        <w:jc w:val="both"/>
        <w:rPr>
          <w:rFonts w:ascii="Times New Roman" w:eastAsia="SimSun" w:hAnsi="Times New Roman"/>
          <w:bCs/>
          <w:iCs/>
          <w:sz w:val="24"/>
          <w:szCs w:val="24"/>
        </w:rPr>
      </w:pPr>
      <w:r w:rsidRPr="00AE47C6">
        <w:rPr>
          <w:rFonts w:ascii="Times New Roman" w:eastAsia="SimSun" w:hAnsi="Times New Roman"/>
          <w:bCs/>
          <w:iCs/>
          <w:sz w:val="24"/>
          <w:szCs w:val="24"/>
        </w:rPr>
        <w:t xml:space="preserve">Пациенти с късна форма на болестта на Pompe – </w:t>
      </w:r>
      <w:r w:rsidRPr="00AE47C6">
        <w:rPr>
          <w:rFonts w:ascii="Times New Roman" w:eastAsia="SimSun" w:hAnsi="Times New Roman"/>
          <w:b/>
          <w:bCs/>
          <w:iCs/>
          <w:sz w:val="24"/>
          <w:szCs w:val="24"/>
        </w:rPr>
        <w:t xml:space="preserve">индивидуални упражнения </w:t>
      </w:r>
    </w:p>
    <w:p w14:paraId="588D12A3" w14:textId="77777777" w:rsidR="00BE0B19" w:rsidRPr="00AE47C6" w:rsidRDefault="00BE0B19" w:rsidP="00BE0B19">
      <w:pPr>
        <w:numPr>
          <w:ilvl w:val="0"/>
          <w:numId w:val="419"/>
        </w:numPr>
        <w:tabs>
          <w:tab w:val="clear" w:pos="720"/>
          <w:tab w:val="num" w:pos="0"/>
        </w:tabs>
        <w:autoSpaceDE w:val="0"/>
        <w:autoSpaceDN w:val="0"/>
        <w:adjustRightInd w:val="0"/>
        <w:spacing w:after="0" w:line="360" w:lineRule="auto"/>
        <w:ind w:left="0" w:firstLine="709"/>
        <w:jc w:val="both"/>
        <w:rPr>
          <w:rFonts w:ascii="Times New Roman" w:eastAsia="SimSun" w:hAnsi="Times New Roman"/>
          <w:bCs/>
          <w:iCs/>
          <w:sz w:val="24"/>
          <w:szCs w:val="24"/>
        </w:rPr>
      </w:pPr>
      <w:r w:rsidRPr="00AE47C6">
        <w:rPr>
          <w:rFonts w:ascii="Times New Roman" w:eastAsia="SimSun" w:hAnsi="Times New Roman"/>
          <w:bCs/>
          <w:iCs/>
          <w:sz w:val="24"/>
          <w:szCs w:val="24"/>
        </w:rPr>
        <w:t xml:space="preserve">Периодична оценка на QoLi  и /или моторни функции </w:t>
      </w:r>
    </w:p>
    <w:p w14:paraId="3710DDF1" w14:textId="77777777" w:rsidR="00BE0B19" w:rsidRPr="00AE47C6" w:rsidRDefault="00BE0B19" w:rsidP="00BE0B19">
      <w:pPr>
        <w:numPr>
          <w:ilvl w:val="0"/>
          <w:numId w:val="419"/>
        </w:numPr>
        <w:tabs>
          <w:tab w:val="clear" w:pos="720"/>
          <w:tab w:val="num" w:pos="0"/>
        </w:tabs>
        <w:autoSpaceDE w:val="0"/>
        <w:autoSpaceDN w:val="0"/>
        <w:adjustRightInd w:val="0"/>
        <w:spacing w:after="0" w:line="360" w:lineRule="auto"/>
        <w:ind w:left="0" w:firstLine="709"/>
        <w:jc w:val="both"/>
        <w:rPr>
          <w:rFonts w:ascii="Times New Roman" w:eastAsia="SimSun" w:hAnsi="Times New Roman"/>
          <w:bCs/>
          <w:iCs/>
          <w:sz w:val="24"/>
          <w:szCs w:val="24"/>
        </w:rPr>
      </w:pPr>
      <w:r w:rsidRPr="00AE47C6">
        <w:rPr>
          <w:rFonts w:ascii="Times New Roman" w:eastAsia="SimSun" w:hAnsi="Times New Roman"/>
          <w:b/>
          <w:bCs/>
          <w:iCs/>
          <w:sz w:val="24"/>
          <w:szCs w:val="24"/>
        </w:rPr>
        <w:t xml:space="preserve">При липса на ефект  при оценка </w:t>
      </w:r>
      <w:r w:rsidRPr="00AE47C6">
        <w:rPr>
          <w:rFonts w:ascii="Times New Roman" w:eastAsia="SimSun" w:hAnsi="Times New Roman"/>
          <w:bCs/>
          <w:iCs/>
          <w:sz w:val="24"/>
          <w:szCs w:val="24"/>
        </w:rPr>
        <w:t xml:space="preserve">– преустановяване на ЕЗТ и преминаване към подкрепящи и грижи и палиативни действия  </w:t>
      </w:r>
    </w:p>
    <w:p w14:paraId="1D1F4184" w14:textId="77777777" w:rsidR="00BE0B19" w:rsidRPr="00AE47C6" w:rsidRDefault="00BE0B19" w:rsidP="00BE0B19">
      <w:pPr>
        <w:spacing w:after="0" w:line="360" w:lineRule="auto"/>
        <w:ind w:firstLine="709"/>
        <w:contextualSpacing/>
        <w:jc w:val="both"/>
        <w:rPr>
          <w:rFonts w:ascii="Times New Roman" w:eastAsia="SimSun" w:hAnsi="Times New Roman"/>
          <w:b/>
          <w:bCs/>
          <w:sz w:val="24"/>
          <w:szCs w:val="24"/>
        </w:rPr>
      </w:pPr>
    </w:p>
    <w:p w14:paraId="53212C0F" w14:textId="77777777" w:rsidR="00BE0B19" w:rsidRPr="00AE47C6" w:rsidRDefault="00BE0B19" w:rsidP="00BE0B19">
      <w:pPr>
        <w:spacing w:after="0" w:line="360" w:lineRule="auto"/>
        <w:ind w:firstLine="709"/>
        <w:contextualSpacing/>
        <w:rPr>
          <w:rFonts w:ascii="Times New Roman" w:eastAsia="SimSun" w:hAnsi="Times New Roman"/>
          <w:b/>
          <w:bCs/>
          <w:sz w:val="24"/>
          <w:szCs w:val="24"/>
        </w:rPr>
      </w:pPr>
      <w:r w:rsidRPr="00AE47C6">
        <w:rPr>
          <w:rFonts w:ascii="Times New Roman" w:eastAsia="SimSun" w:hAnsi="Times New Roman"/>
          <w:b/>
          <w:iCs/>
          <w:sz w:val="24"/>
          <w:szCs w:val="24"/>
        </w:rPr>
        <w:t>Таблица 9.4</w:t>
      </w:r>
      <w:r w:rsidRPr="00AE47C6">
        <w:rPr>
          <w:rFonts w:ascii="Times New Roman" w:eastAsia="SimSun" w:hAnsi="Times New Roman"/>
          <w:b/>
          <w:sz w:val="24"/>
          <w:szCs w:val="24"/>
        </w:rPr>
        <w:t xml:space="preserve">. </w:t>
      </w:r>
      <w:r w:rsidRPr="00AE47C6">
        <w:rPr>
          <w:rFonts w:ascii="Times New Roman" w:eastAsia="SimSun" w:hAnsi="Times New Roman"/>
          <w:b/>
          <w:bCs/>
          <w:sz w:val="24"/>
          <w:szCs w:val="24"/>
        </w:rPr>
        <w:t>Препоръки за ЕЗТ според стадия и тежестта при късната форма на болестта на Pompe</w:t>
      </w:r>
    </w:p>
    <w:tbl>
      <w:tblPr>
        <w:tblStyle w:val="TableGrid2"/>
        <w:tblW w:w="0" w:type="auto"/>
        <w:tblLook w:val="04A0" w:firstRow="1" w:lastRow="0" w:firstColumn="1" w:lastColumn="0" w:noHBand="0" w:noVBand="1"/>
      </w:tblPr>
      <w:tblGrid>
        <w:gridCol w:w="3606"/>
        <w:gridCol w:w="5454"/>
      </w:tblGrid>
      <w:tr w:rsidR="00BE0B19" w:rsidRPr="00AE47C6" w14:paraId="7BACBADF" w14:textId="77777777" w:rsidTr="00AD72E5">
        <w:tc>
          <w:tcPr>
            <w:tcW w:w="3652" w:type="dxa"/>
          </w:tcPr>
          <w:p w14:paraId="3AA423C0" w14:textId="77777777" w:rsidR="00BE0B19" w:rsidRPr="00AE47C6" w:rsidRDefault="00BE0B19" w:rsidP="00BE0B19">
            <w:pPr>
              <w:spacing w:line="360" w:lineRule="auto"/>
              <w:contextualSpacing/>
              <w:jc w:val="both"/>
              <w:rPr>
                <w:rFonts w:ascii="Times New Roman" w:hAnsi="Times New Roman"/>
                <w:b/>
                <w:bCs/>
                <w:sz w:val="24"/>
                <w:szCs w:val="24"/>
              </w:rPr>
            </w:pPr>
            <w:r w:rsidRPr="00AE47C6">
              <w:rPr>
                <w:rFonts w:ascii="Times New Roman" w:hAnsi="Times New Roman"/>
                <w:b/>
                <w:bCs/>
                <w:sz w:val="24"/>
                <w:szCs w:val="24"/>
              </w:rPr>
              <w:t>Състояние</w:t>
            </w:r>
          </w:p>
        </w:tc>
        <w:tc>
          <w:tcPr>
            <w:tcW w:w="5560" w:type="dxa"/>
          </w:tcPr>
          <w:p w14:paraId="45FC5098" w14:textId="77777777" w:rsidR="00BE0B19" w:rsidRPr="00AE47C6" w:rsidRDefault="00BE0B19" w:rsidP="00BE0B19">
            <w:pPr>
              <w:spacing w:line="360" w:lineRule="auto"/>
              <w:contextualSpacing/>
              <w:jc w:val="both"/>
              <w:rPr>
                <w:rFonts w:ascii="Times New Roman" w:hAnsi="Times New Roman"/>
                <w:b/>
                <w:bCs/>
                <w:sz w:val="24"/>
                <w:szCs w:val="24"/>
              </w:rPr>
            </w:pPr>
            <w:r w:rsidRPr="00AE47C6">
              <w:rPr>
                <w:rFonts w:ascii="Times New Roman" w:hAnsi="Times New Roman"/>
                <w:b/>
                <w:bCs/>
                <w:sz w:val="24"/>
                <w:szCs w:val="24"/>
              </w:rPr>
              <w:t>Препоръка</w:t>
            </w:r>
          </w:p>
        </w:tc>
      </w:tr>
      <w:tr w:rsidR="00BE0B19" w:rsidRPr="00AE47C6" w14:paraId="7782842C" w14:textId="77777777" w:rsidTr="00AD72E5">
        <w:tc>
          <w:tcPr>
            <w:tcW w:w="3652" w:type="dxa"/>
          </w:tcPr>
          <w:p w14:paraId="2C89ED2E" w14:textId="77777777" w:rsidR="00BE0B19" w:rsidRPr="00AE47C6" w:rsidRDefault="00BE0B19" w:rsidP="00BE0B19">
            <w:pPr>
              <w:spacing w:line="360" w:lineRule="auto"/>
              <w:contextualSpacing/>
              <w:jc w:val="both"/>
              <w:rPr>
                <w:rFonts w:ascii="Times New Roman" w:hAnsi="Times New Roman"/>
                <w:b/>
                <w:bCs/>
                <w:sz w:val="24"/>
                <w:szCs w:val="24"/>
              </w:rPr>
            </w:pPr>
            <w:r w:rsidRPr="00AE47C6">
              <w:rPr>
                <w:rFonts w:ascii="Times New Roman" w:hAnsi="Times New Roman"/>
                <w:b/>
                <w:bCs/>
                <w:sz w:val="24"/>
                <w:szCs w:val="24"/>
              </w:rPr>
              <w:t>Асимптомни пациенти без обективни нарушения (носители)</w:t>
            </w:r>
          </w:p>
        </w:tc>
        <w:tc>
          <w:tcPr>
            <w:tcW w:w="5560" w:type="dxa"/>
          </w:tcPr>
          <w:p w14:paraId="425CD467" w14:textId="77777777" w:rsidR="00BE0B19" w:rsidRPr="00AE47C6" w:rsidRDefault="00BE0B19" w:rsidP="00BE0B19">
            <w:pPr>
              <w:numPr>
                <w:ilvl w:val="0"/>
                <w:numId w:val="420"/>
              </w:numPr>
              <w:spacing w:after="0" w:line="360" w:lineRule="auto"/>
              <w:ind w:firstLine="0"/>
              <w:contextualSpacing/>
              <w:jc w:val="both"/>
              <w:rPr>
                <w:rFonts w:ascii="Times New Roman" w:hAnsi="Times New Roman"/>
                <w:bCs/>
                <w:sz w:val="24"/>
                <w:szCs w:val="24"/>
              </w:rPr>
            </w:pPr>
            <w:r w:rsidRPr="00AE47C6">
              <w:rPr>
                <w:rFonts w:ascii="Times New Roman" w:hAnsi="Times New Roman"/>
                <w:bCs/>
                <w:sz w:val="24"/>
                <w:szCs w:val="24"/>
              </w:rPr>
              <w:t>Проследяват на 1 г., вкл. с неврологичен статус, мануално мускулно тестиране, функционална оценка на дишането, ЕКГ, оценка на дейностите в ежедневния живот.</w:t>
            </w:r>
          </w:p>
          <w:p w14:paraId="7E4D5353" w14:textId="77777777" w:rsidR="00BE0B19" w:rsidRPr="00AE47C6" w:rsidRDefault="00BE0B19" w:rsidP="00BE0B19">
            <w:pPr>
              <w:numPr>
                <w:ilvl w:val="0"/>
                <w:numId w:val="420"/>
              </w:numPr>
              <w:spacing w:after="0" w:line="360" w:lineRule="auto"/>
              <w:ind w:firstLine="0"/>
              <w:contextualSpacing/>
              <w:jc w:val="both"/>
              <w:rPr>
                <w:rFonts w:ascii="Times New Roman" w:hAnsi="Times New Roman"/>
                <w:bCs/>
                <w:sz w:val="24"/>
                <w:szCs w:val="24"/>
              </w:rPr>
            </w:pPr>
            <w:r w:rsidRPr="00AE47C6">
              <w:rPr>
                <w:rFonts w:ascii="Times New Roman" w:hAnsi="Times New Roman"/>
                <w:bCs/>
                <w:sz w:val="24"/>
                <w:szCs w:val="24"/>
              </w:rPr>
              <w:t>ЕЗТ се започва при изява на клинични симптоми</w:t>
            </w:r>
          </w:p>
        </w:tc>
      </w:tr>
      <w:tr w:rsidR="00BE0B19" w:rsidRPr="00AE47C6" w14:paraId="57F35E3B" w14:textId="77777777" w:rsidTr="00AD72E5">
        <w:tc>
          <w:tcPr>
            <w:tcW w:w="3652" w:type="dxa"/>
          </w:tcPr>
          <w:p w14:paraId="651570E9" w14:textId="77777777" w:rsidR="00BE0B19" w:rsidRPr="00AE47C6" w:rsidRDefault="00BE0B19" w:rsidP="00BE0B19">
            <w:pPr>
              <w:spacing w:line="360" w:lineRule="auto"/>
              <w:contextualSpacing/>
              <w:jc w:val="both"/>
              <w:rPr>
                <w:rFonts w:ascii="Times New Roman" w:hAnsi="Times New Roman"/>
                <w:b/>
                <w:bCs/>
                <w:sz w:val="24"/>
                <w:szCs w:val="24"/>
              </w:rPr>
            </w:pPr>
            <w:r w:rsidRPr="00AE47C6">
              <w:rPr>
                <w:rFonts w:ascii="Times New Roman" w:hAnsi="Times New Roman"/>
                <w:b/>
                <w:bCs/>
                <w:sz w:val="24"/>
                <w:szCs w:val="24"/>
              </w:rPr>
              <w:t>Асимптомни пациенти с обективни нарушения</w:t>
            </w:r>
          </w:p>
        </w:tc>
        <w:tc>
          <w:tcPr>
            <w:tcW w:w="5560" w:type="dxa"/>
          </w:tcPr>
          <w:p w14:paraId="02998E43" w14:textId="77777777" w:rsidR="00BE0B19" w:rsidRPr="00AE47C6" w:rsidRDefault="00BE0B19" w:rsidP="00BE0B19">
            <w:pPr>
              <w:spacing w:line="360" w:lineRule="auto"/>
              <w:contextualSpacing/>
              <w:jc w:val="both"/>
              <w:rPr>
                <w:rFonts w:ascii="Times New Roman" w:hAnsi="Times New Roman"/>
                <w:bCs/>
                <w:sz w:val="24"/>
                <w:szCs w:val="24"/>
              </w:rPr>
            </w:pPr>
            <w:r w:rsidRPr="00AE47C6">
              <w:rPr>
                <w:rFonts w:ascii="Times New Roman" w:hAnsi="Times New Roman"/>
                <w:bCs/>
                <w:sz w:val="24"/>
                <w:szCs w:val="24"/>
              </w:rPr>
              <w:t>ЕЗТ се започва незабавно при изява на клинични симптоми: отклонения в мануалното мускулно тестиране или промяна във функциите на дишането- намаляване на FVС в легнало положение</w:t>
            </w:r>
          </w:p>
        </w:tc>
      </w:tr>
      <w:tr w:rsidR="00BE0B19" w:rsidRPr="00AE47C6" w14:paraId="568E2B2A" w14:textId="77777777" w:rsidTr="00AD72E5">
        <w:tc>
          <w:tcPr>
            <w:tcW w:w="3652" w:type="dxa"/>
          </w:tcPr>
          <w:p w14:paraId="2E72D8A0" w14:textId="77777777" w:rsidR="00BE0B19" w:rsidRPr="00AE47C6" w:rsidRDefault="00BE0B19" w:rsidP="00BE0B19">
            <w:pPr>
              <w:spacing w:line="360" w:lineRule="auto"/>
              <w:contextualSpacing/>
              <w:jc w:val="both"/>
              <w:rPr>
                <w:rFonts w:ascii="Times New Roman" w:hAnsi="Times New Roman"/>
                <w:b/>
                <w:bCs/>
                <w:sz w:val="24"/>
                <w:szCs w:val="24"/>
              </w:rPr>
            </w:pPr>
            <w:r w:rsidRPr="00AE47C6">
              <w:rPr>
                <w:rFonts w:ascii="Times New Roman" w:hAnsi="Times New Roman"/>
                <w:b/>
                <w:bCs/>
                <w:sz w:val="24"/>
                <w:szCs w:val="24"/>
              </w:rPr>
              <w:t>Симптомни пациенти</w:t>
            </w:r>
          </w:p>
        </w:tc>
        <w:tc>
          <w:tcPr>
            <w:tcW w:w="5560" w:type="dxa"/>
          </w:tcPr>
          <w:p w14:paraId="06ED3EC8" w14:textId="77777777" w:rsidR="00BE0B19" w:rsidRPr="00AE47C6" w:rsidRDefault="00BE0B19" w:rsidP="00BE0B19">
            <w:pPr>
              <w:spacing w:line="360" w:lineRule="auto"/>
              <w:contextualSpacing/>
              <w:jc w:val="both"/>
              <w:rPr>
                <w:rFonts w:ascii="Times New Roman" w:hAnsi="Times New Roman"/>
                <w:bCs/>
                <w:sz w:val="24"/>
                <w:szCs w:val="24"/>
              </w:rPr>
            </w:pPr>
            <w:r w:rsidRPr="00AE47C6">
              <w:rPr>
                <w:rFonts w:ascii="Times New Roman" w:hAnsi="Times New Roman"/>
                <w:bCs/>
                <w:sz w:val="24"/>
                <w:szCs w:val="24"/>
              </w:rPr>
              <w:t>ЕЗТ се започва незабавно</w:t>
            </w:r>
          </w:p>
        </w:tc>
      </w:tr>
      <w:tr w:rsidR="00BE0B19" w:rsidRPr="00AE47C6" w14:paraId="53C7082E" w14:textId="77777777" w:rsidTr="00AD72E5">
        <w:tc>
          <w:tcPr>
            <w:tcW w:w="3652" w:type="dxa"/>
          </w:tcPr>
          <w:p w14:paraId="271AC00D" w14:textId="77777777" w:rsidR="00BE0B19" w:rsidRPr="00AE47C6" w:rsidRDefault="00BE0B19" w:rsidP="00BE0B19">
            <w:pPr>
              <w:spacing w:line="360" w:lineRule="auto"/>
              <w:contextualSpacing/>
              <w:jc w:val="both"/>
              <w:rPr>
                <w:rFonts w:ascii="Times New Roman" w:hAnsi="Times New Roman"/>
                <w:b/>
                <w:bCs/>
                <w:sz w:val="24"/>
                <w:szCs w:val="24"/>
              </w:rPr>
            </w:pPr>
            <w:r w:rsidRPr="00AE47C6">
              <w:rPr>
                <w:rFonts w:ascii="Times New Roman" w:hAnsi="Times New Roman"/>
                <w:b/>
                <w:bCs/>
                <w:sz w:val="24"/>
                <w:szCs w:val="24"/>
              </w:rPr>
              <w:t>Пациенти с тежки симптоми</w:t>
            </w:r>
          </w:p>
        </w:tc>
        <w:tc>
          <w:tcPr>
            <w:tcW w:w="5560" w:type="dxa"/>
          </w:tcPr>
          <w:p w14:paraId="48468BBD" w14:textId="77777777" w:rsidR="00BE0B19" w:rsidRPr="00AE47C6" w:rsidRDefault="00BE0B19" w:rsidP="00BE0B19">
            <w:pPr>
              <w:spacing w:line="360" w:lineRule="auto"/>
              <w:contextualSpacing/>
              <w:jc w:val="both"/>
              <w:rPr>
                <w:rFonts w:ascii="Times New Roman" w:hAnsi="Times New Roman"/>
                <w:bCs/>
                <w:sz w:val="24"/>
                <w:szCs w:val="24"/>
              </w:rPr>
            </w:pPr>
            <w:r w:rsidRPr="00AE47C6">
              <w:rPr>
                <w:rFonts w:ascii="Times New Roman" w:hAnsi="Times New Roman"/>
                <w:bCs/>
                <w:sz w:val="24"/>
                <w:szCs w:val="24"/>
              </w:rPr>
              <w:t>При пациенти на инвалидна количка и на денонощна изкуствена белодробна вентилация</w:t>
            </w:r>
          </w:p>
          <w:p w14:paraId="556BA368" w14:textId="77777777" w:rsidR="00BE0B19" w:rsidRPr="00AE47C6" w:rsidRDefault="00BE0B19" w:rsidP="00BE0B19">
            <w:pPr>
              <w:numPr>
                <w:ilvl w:val="0"/>
                <w:numId w:val="421"/>
              </w:numPr>
              <w:spacing w:after="0" w:line="360" w:lineRule="auto"/>
              <w:ind w:firstLine="0"/>
              <w:contextualSpacing/>
              <w:jc w:val="both"/>
              <w:rPr>
                <w:rFonts w:ascii="Times New Roman" w:hAnsi="Times New Roman"/>
                <w:bCs/>
                <w:sz w:val="24"/>
                <w:szCs w:val="24"/>
              </w:rPr>
            </w:pPr>
            <w:r w:rsidRPr="00AE47C6">
              <w:rPr>
                <w:rFonts w:ascii="Times New Roman" w:hAnsi="Times New Roman"/>
                <w:bCs/>
                <w:sz w:val="24"/>
                <w:szCs w:val="24"/>
              </w:rPr>
              <w:t>ЕЗТ се провежда 1 г. и се оценява отговора към лечението</w:t>
            </w:r>
          </w:p>
          <w:p w14:paraId="1D68AD24" w14:textId="77777777" w:rsidR="00BE0B19" w:rsidRPr="00AE47C6" w:rsidRDefault="00BE0B19" w:rsidP="00BE0B19">
            <w:pPr>
              <w:numPr>
                <w:ilvl w:val="0"/>
                <w:numId w:val="421"/>
              </w:numPr>
              <w:spacing w:after="0" w:line="360" w:lineRule="auto"/>
              <w:ind w:firstLine="0"/>
              <w:contextualSpacing/>
              <w:jc w:val="both"/>
              <w:rPr>
                <w:rFonts w:ascii="Times New Roman" w:hAnsi="Times New Roman"/>
                <w:bCs/>
                <w:sz w:val="24"/>
                <w:szCs w:val="24"/>
              </w:rPr>
            </w:pPr>
            <w:r w:rsidRPr="00AE47C6">
              <w:rPr>
                <w:rFonts w:ascii="Times New Roman" w:hAnsi="Times New Roman"/>
                <w:bCs/>
                <w:sz w:val="24"/>
                <w:szCs w:val="24"/>
              </w:rPr>
              <w:t>Лечението продължава ако клиничната прогресия се забави и се стабилизира състоянието</w:t>
            </w:r>
          </w:p>
        </w:tc>
      </w:tr>
      <w:tr w:rsidR="00BE0B19" w:rsidRPr="00AE47C6" w14:paraId="09D7809D" w14:textId="77777777" w:rsidTr="00AD72E5">
        <w:tc>
          <w:tcPr>
            <w:tcW w:w="3652" w:type="dxa"/>
          </w:tcPr>
          <w:p w14:paraId="1591BF34" w14:textId="77777777" w:rsidR="00BE0B19" w:rsidRPr="00AE47C6" w:rsidRDefault="00BE0B19" w:rsidP="00BE0B19">
            <w:pPr>
              <w:spacing w:line="360" w:lineRule="auto"/>
              <w:contextualSpacing/>
              <w:jc w:val="both"/>
              <w:rPr>
                <w:rFonts w:ascii="Times New Roman" w:hAnsi="Times New Roman"/>
                <w:b/>
                <w:bCs/>
                <w:sz w:val="24"/>
                <w:szCs w:val="24"/>
              </w:rPr>
            </w:pPr>
            <w:r w:rsidRPr="00AE47C6">
              <w:rPr>
                <w:rFonts w:ascii="Times New Roman" w:hAnsi="Times New Roman"/>
                <w:b/>
                <w:bCs/>
                <w:sz w:val="24"/>
                <w:szCs w:val="24"/>
              </w:rPr>
              <w:t>Продължителност на ЕЗТ</w:t>
            </w:r>
          </w:p>
        </w:tc>
        <w:tc>
          <w:tcPr>
            <w:tcW w:w="5560" w:type="dxa"/>
          </w:tcPr>
          <w:p w14:paraId="1360F659" w14:textId="77777777" w:rsidR="00BE0B19" w:rsidRPr="00AE47C6" w:rsidRDefault="00BE0B19" w:rsidP="00BE0B19">
            <w:pPr>
              <w:spacing w:line="360" w:lineRule="auto"/>
              <w:contextualSpacing/>
              <w:jc w:val="both"/>
              <w:rPr>
                <w:rFonts w:ascii="Times New Roman" w:hAnsi="Times New Roman"/>
                <w:bCs/>
                <w:sz w:val="24"/>
                <w:szCs w:val="24"/>
              </w:rPr>
            </w:pPr>
            <w:r w:rsidRPr="00AE47C6">
              <w:rPr>
                <w:rFonts w:ascii="Times New Roman" w:hAnsi="Times New Roman"/>
                <w:bCs/>
                <w:sz w:val="24"/>
                <w:szCs w:val="24"/>
              </w:rPr>
              <w:t xml:space="preserve">Лечението е дългосрочно; Оценява се ефекта от лечението най-малко след 1 г. </w:t>
            </w:r>
          </w:p>
        </w:tc>
      </w:tr>
      <w:tr w:rsidR="00BE0B19" w:rsidRPr="00AE47C6" w14:paraId="63ED95AC" w14:textId="77777777" w:rsidTr="00AD72E5">
        <w:tc>
          <w:tcPr>
            <w:tcW w:w="3652" w:type="dxa"/>
          </w:tcPr>
          <w:p w14:paraId="2B6DB711" w14:textId="77777777" w:rsidR="00BE0B19" w:rsidRPr="00AE47C6" w:rsidRDefault="00BE0B19" w:rsidP="00BE0B19">
            <w:pPr>
              <w:spacing w:line="360" w:lineRule="auto"/>
              <w:contextualSpacing/>
              <w:jc w:val="both"/>
              <w:rPr>
                <w:rFonts w:ascii="Times New Roman" w:hAnsi="Times New Roman"/>
                <w:b/>
                <w:bCs/>
                <w:sz w:val="24"/>
                <w:szCs w:val="24"/>
              </w:rPr>
            </w:pPr>
            <w:r w:rsidRPr="00AE47C6">
              <w:rPr>
                <w:rFonts w:ascii="Times New Roman" w:hAnsi="Times New Roman"/>
                <w:b/>
                <w:bCs/>
                <w:sz w:val="24"/>
                <w:szCs w:val="24"/>
              </w:rPr>
              <w:t>Проследяване</w:t>
            </w:r>
          </w:p>
        </w:tc>
        <w:tc>
          <w:tcPr>
            <w:tcW w:w="5560" w:type="dxa"/>
          </w:tcPr>
          <w:p w14:paraId="2B14CB36" w14:textId="77777777" w:rsidR="00BE0B19" w:rsidRPr="00AE47C6" w:rsidRDefault="00BE0B19" w:rsidP="00BE0B19">
            <w:pPr>
              <w:spacing w:line="360" w:lineRule="auto"/>
              <w:contextualSpacing/>
              <w:jc w:val="both"/>
              <w:rPr>
                <w:rFonts w:ascii="Times New Roman" w:hAnsi="Times New Roman"/>
                <w:bCs/>
                <w:sz w:val="24"/>
                <w:szCs w:val="24"/>
              </w:rPr>
            </w:pPr>
            <w:r w:rsidRPr="00AE47C6">
              <w:rPr>
                <w:rFonts w:ascii="Times New Roman" w:hAnsi="Times New Roman"/>
                <w:b/>
                <w:bCs/>
                <w:sz w:val="24"/>
                <w:szCs w:val="24"/>
              </w:rPr>
              <w:t>Симптомни пациенти</w:t>
            </w:r>
            <w:r w:rsidRPr="00AE47C6">
              <w:rPr>
                <w:rFonts w:ascii="Times New Roman" w:hAnsi="Times New Roman"/>
                <w:bCs/>
                <w:sz w:val="24"/>
                <w:szCs w:val="24"/>
              </w:rPr>
              <w:t>: Пациентите се проследяват на всеки 6 месеца, вкл. с неврологичен статус, мануално мускулно тестиране, функционална оценка на дишането, ЕКГ, оценка на дейностите в ежедневния живот</w:t>
            </w:r>
          </w:p>
          <w:p w14:paraId="57C4ADC2" w14:textId="77777777" w:rsidR="00BE0B19" w:rsidRPr="00AE47C6" w:rsidRDefault="00BE0B19" w:rsidP="00BE0B19">
            <w:pPr>
              <w:spacing w:line="360" w:lineRule="auto"/>
              <w:contextualSpacing/>
              <w:jc w:val="both"/>
              <w:rPr>
                <w:rFonts w:ascii="Times New Roman" w:hAnsi="Times New Roman"/>
                <w:bCs/>
                <w:sz w:val="24"/>
                <w:szCs w:val="24"/>
              </w:rPr>
            </w:pPr>
            <w:r w:rsidRPr="00AE47C6">
              <w:rPr>
                <w:rFonts w:ascii="Times New Roman" w:hAnsi="Times New Roman"/>
                <w:b/>
                <w:bCs/>
                <w:sz w:val="24"/>
                <w:szCs w:val="24"/>
              </w:rPr>
              <w:t>Асимптомни носители</w:t>
            </w:r>
            <w:r w:rsidRPr="00AE47C6">
              <w:rPr>
                <w:rFonts w:ascii="Times New Roman" w:hAnsi="Times New Roman"/>
                <w:bCs/>
                <w:sz w:val="24"/>
                <w:szCs w:val="24"/>
              </w:rPr>
              <w:t xml:space="preserve"> на болестта на Pompe: </w:t>
            </w:r>
          </w:p>
          <w:p w14:paraId="2F4ACED5" w14:textId="77777777" w:rsidR="00BE0B19" w:rsidRPr="00AE47C6" w:rsidRDefault="00BE0B19" w:rsidP="00BE0B19">
            <w:pPr>
              <w:spacing w:line="360" w:lineRule="auto"/>
              <w:contextualSpacing/>
              <w:jc w:val="both"/>
              <w:rPr>
                <w:rFonts w:ascii="Times New Roman" w:hAnsi="Times New Roman"/>
                <w:bCs/>
                <w:sz w:val="24"/>
                <w:szCs w:val="24"/>
              </w:rPr>
            </w:pPr>
            <w:r w:rsidRPr="00AE47C6">
              <w:rPr>
                <w:rFonts w:ascii="Times New Roman" w:hAnsi="Times New Roman"/>
                <w:bCs/>
                <w:sz w:val="24"/>
                <w:szCs w:val="24"/>
              </w:rPr>
              <w:t>проследяват на 1 г., вкл. с неврологичен статус, мануално мускулно тестиране, функционална оценка на дишането, ЕКГ, оценка на дейностите в ежедневния живот</w:t>
            </w:r>
          </w:p>
        </w:tc>
      </w:tr>
    </w:tbl>
    <w:p w14:paraId="2C93CE96" w14:textId="77777777" w:rsidR="00BE0B19" w:rsidRPr="00AE47C6" w:rsidRDefault="00BE0B19" w:rsidP="00BE0B19">
      <w:pPr>
        <w:spacing w:after="0" w:line="360" w:lineRule="auto"/>
        <w:ind w:firstLine="709"/>
        <w:contextualSpacing/>
        <w:jc w:val="both"/>
        <w:rPr>
          <w:rFonts w:ascii="Times New Roman" w:eastAsia="SimSun" w:hAnsi="Times New Roman"/>
          <w:bCs/>
          <w:sz w:val="24"/>
          <w:szCs w:val="24"/>
        </w:rPr>
      </w:pPr>
    </w:p>
    <w:p w14:paraId="3D6927EF" w14:textId="77777777" w:rsidR="00BE0B19" w:rsidRPr="00AE47C6" w:rsidRDefault="00BE0B19" w:rsidP="00BE0B19">
      <w:pPr>
        <w:tabs>
          <w:tab w:val="left" w:pos="709"/>
        </w:tabs>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ab/>
      </w:r>
    </w:p>
    <w:p w14:paraId="062DD4B1" w14:textId="77777777" w:rsidR="00BE0B19" w:rsidRPr="00AE47C6" w:rsidRDefault="00BE0B19" w:rsidP="00BE0B19">
      <w:pPr>
        <w:tabs>
          <w:tab w:val="left" w:pos="709"/>
        </w:tabs>
        <w:spacing w:after="0" w:line="360" w:lineRule="auto"/>
        <w:ind w:left="1080"/>
        <w:contextualSpacing/>
        <w:jc w:val="both"/>
        <w:rPr>
          <w:rFonts w:ascii="Times New Roman" w:eastAsia="SimSun" w:hAnsi="Times New Roman"/>
          <w:b/>
          <w:i/>
          <w:sz w:val="24"/>
          <w:szCs w:val="24"/>
        </w:rPr>
      </w:pPr>
      <w:r w:rsidRPr="00AE47C6">
        <w:rPr>
          <w:rFonts w:ascii="Times New Roman" w:eastAsia="SimSun" w:hAnsi="Times New Roman"/>
          <w:b/>
          <w:i/>
          <w:sz w:val="24"/>
          <w:szCs w:val="24"/>
        </w:rPr>
        <w:t>Нарушения на липидната обмяна – липидни миопатии</w:t>
      </w:r>
    </w:p>
    <w:p w14:paraId="27454E1D"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Липидните миопатии се дължат на генетични дефекти, водещи до липидни биохимични нарушения в мускулите. Повечето от тях са свързани с метаболизма на карнитина. Карнитинът е важен компонент в мастната обмяна – пренася мастни киселини с дълги вериги през митохондриалната мембрана. Той се приема с храната, освен това се синтезира в черния дроб и бъбреците, транспортира се и участва в мускулното съкращение (90 % от карнитина се намира в мускулите).</w:t>
      </w:r>
    </w:p>
    <w:p w14:paraId="28D270C6"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Класификация.</w:t>
      </w:r>
      <w:r w:rsidRPr="00AE47C6">
        <w:rPr>
          <w:rFonts w:ascii="Times New Roman" w:eastAsia="SimSun" w:hAnsi="Times New Roman"/>
          <w:sz w:val="24"/>
          <w:szCs w:val="24"/>
        </w:rPr>
        <w:t xml:space="preserve"> Най-общо се разделят на две групи: липидни миопатии с нарушена толерантност при физически натоварвания, крампи, миоглобинурия и липидни миопатии с постоянна мускулна слабост. </w:t>
      </w:r>
    </w:p>
    <w:p w14:paraId="2C3D2549"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p>
    <w:p w14:paraId="40CC34B1" w14:textId="77777777" w:rsidR="00BE0B19" w:rsidRPr="00AE47C6" w:rsidRDefault="00BE0B19" w:rsidP="00BE0B19">
      <w:pPr>
        <w:tabs>
          <w:tab w:val="left" w:pos="709"/>
        </w:tabs>
        <w:spacing w:after="0" w:line="360" w:lineRule="auto"/>
        <w:ind w:left="1080"/>
        <w:contextualSpacing/>
        <w:jc w:val="both"/>
        <w:rPr>
          <w:rFonts w:ascii="Times New Roman" w:eastAsia="SimSun" w:hAnsi="Times New Roman"/>
          <w:b/>
          <w:i/>
          <w:sz w:val="24"/>
          <w:szCs w:val="24"/>
        </w:rPr>
      </w:pPr>
      <w:r w:rsidRPr="00AE47C6">
        <w:rPr>
          <w:rFonts w:ascii="Times New Roman" w:eastAsia="SimSun" w:hAnsi="Times New Roman"/>
          <w:b/>
          <w:i/>
          <w:sz w:val="24"/>
          <w:szCs w:val="24"/>
        </w:rPr>
        <w:t xml:space="preserve">Липидни миопатии с нарушена толерантност при физически натоварвания. </w:t>
      </w:r>
    </w:p>
    <w:p w14:paraId="750E359A" w14:textId="77777777" w:rsidR="00BE0B19" w:rsidRPr="00AE47C6" w:rsidRDefault="00BE0B19" w:rsidP="00BE0B19">
      <w:pPr>
        <w:tabs>
          <w:tab w:val="left" w:pos="709"/>
        </w:tabs>
        <w:spacing w:after="0" w:line="360" w:lineRule="auto"/>
        <w:ind w:left="704"/>
        <w:jc w:val="both"/>
        <w:rPr>
          <w:rFonts w:ascii="Times New Roman" w:eastAsia="SimSun" w:hAnsi="Times New Roman"/>
          <w:i/>
          <w:sz w:val="24"/>
          <w:szCs w:val="24"/>
        </w:rPr>
      </w:pPr>
      <w:r w:rsidRPr="00AE47C6">
        <w:rPr>
          <w:rFonts w:ascii="Times New Roman" w:eastAsia="SimSun" w:hAnsi="Times New Roman"/>
          <w:sz w:val="24"/>
          <w:szCs w:val="24"/>
        </w:rPr>
        <w:t>Представляват липидни миопатии с дефектен транспорт на карнитин.</w:t>
      </w:r>
    </w:p>
    <w:p w14:paraId="3D2B43D7"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ab/>
        <w:t>Етиология</w:t>
      </w:r>
      <w:r w:rsidRPr="00AE47C6">
        <w:rPr>
          <w:rFonts w:ascii="Times New Roman" w:eastAsia="SimSun" w:hAnsi="Times New Roman"/>
          <w:sz w:val="24"/>
          <w:szCs w:val="24"/>
        </w:rPr>
        <w:t>. Най-често се дължи на карнитин-палмитоил трансфераза ІІ дефицит, причинен от мутации в CPT2 гена, локализиран върху 1р32 хромозома. Описани са, както автозомно-рецесивни, така и автозомно-доминантни форми. Това е най-честата причина за рецидивираща миоглобинурия.</w:t>
      </w:r>
    </w:p>
    <w:p w14:paraId="3FD6625A"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ab/>
        <w:t>Клинична картина</w:t>
      </w:r>
      <w:r w:rsidRPr="00AE47C6">
        <w:rPr>
          <w:rFonts w:ascii="Times New Roman" w:eastAsia="SimSun" w:hAnsi="Times New Roman"/>
          <w:sz w:val="24"/>
          <w:szCs w:val="24"/>
        </w:rPr>
        <w:t xml:space="preserve">. Началото на заболяването варира от юношеска до зряла възраст. Характерно е възникването на рабдомиолиза след дейност, изискващи оксидиране на мастните киселини (продължителни упражнения, излагане на студ, подлагане на диета, бедна на въглехидрати и богата на мазнини, инфекции, лечение с валпроати). Появяват се мускулна слабост и миалгии. </w:t>
      </w:r>
    </w:p>
    <w:p w14:paraId="1E87E8F8"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Изследвания</w:t>
      </w:r>
      <w:r w:rsidRPr="00AE47C6">
        <w:rPr>
          <w:rFonts w:ascii="Times New Roman" w:eastAsia="SimSun" w:hAnsi="Times New Roman"/>
          <w:sz w:val="24"/>
          <w:szCs w:val="24"/>
        </w:rPr>
        <w:t xml:space="preserve">. Серумната КФК е нормална или леко увеличена между епизодите, и е висока по време на рабдомиолизата. Активността на ензима карнитин-палмитоил трансфераза ІІ е понижена до 80-90 % от нормата. </w:t>
      </w:r>
    </w:p>
    <w:p w14:paraId="5F013680"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Лечението</w:t>
      </w:r>
      <w:r w:rsidRPr="00AE47C6">
        <w:rPr>
          <w:rFonts w:ascii="Times New Roman" w:eastAsia="SimSun" w:hAnsi="Times New Roman"/>
          <w:sz w:val="24"/>
          <w:szCs w:val="24"/>
        </w:rPr>
        <w:t xml:space="preserve"> е с чести хранения, с богата на въглехидрати и бедна на мазнини храна. Необходимо е да се избягват по-големи физически натоварвания. </w:t>
      </w:r>
    </w:p>
    <w:p w14:paraId="4C94C67C"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p>
    <w:p w14:paraId="028F51CD" w14:textId="77777777" w:rsidR="00BE0B19" w:rsidRPr="00AE47C6" w:rsidRDefault="00BE0B19" w:rsidP="00BE0B19">
      <w:pPr>
        <w:tabs>
          <w:tab w:val="left" w:pos="709"/>
        </w:tabs>
        <w:spacing w:after="0" w:line="360" w:lineRule="auto"/>
        <w:ind w:left="1080"/>
        <w:contextualSpacing/>
        <w:jc w:val="both"/>
        <w:rPr>
          <w:rFonts w:ascii="Times New Roman" w:eastAsia="SimSun" w:hAnsi="Times New Roman"/>
          <w:sz w:val="24"/>
          <w:szCs w:val="24"/>
        </w:rPr>
      </w:pPr>
      <w:r w:rsidRPr="00AE47C6">
        <w:rPr>
          <w:rFonts w:ascii="Times New Roman" w:eastAsia="SimSun" w:hAnsi="Times New Roman"/>
          <w:b/>
          <w:i/>
          <w:sz w:val="24"/>
          <w:szCs w:val="24"/>
        </w:rPr>
        <w:t>Липидни миопатии с постоянна мускулна слабост</w:t>
      </w:r>
      <w:r w:rsidRPr="00AE47C6">
        <w:rPr>
          <w:rFonts w:ascii="Times New Roman" w:eastAsia="SimSun" w:hAnsi="Times New Roman"/>
          <w:sz w:val="24"/>
          <w:szCs w:val="24"/>
        </w:rPr>
        <w:t xml:space="preserve">. </w:t>
      </w:r>
    </w:p>
    <w:p w14:paraId="4F41D547" w14:textId="77777777" w:rsidR="00BE0B19" w:rsidRPr="00AE47C6" w:rsidRDefault="00BE0B19" w:rsidP="00BE0B19">
      <w:pPr>
        <w:tabs>
          <w:tab w:val="left" w:pos="709"/>
        </w:tabs>
        <w:spacing w:after="0" w:line="360" w:lineRule="auto"/>
        <w:ind w:left="704"/>
        <w:jc w:val="both"/>
        <w:rPr>
          <w:rFonts w:ascii="Times New Roman" w:eastAsia="SimSun" w:hAnsi="Times New Roman"/>
          <w:sz w:val="24"/>
          <w:szCs w:val="24"/>
        </w:rPr>
      </w:pPr>
      <w:r w:rsidRPr="00AE47C6">
        <w:rPr>
          <w:rFonts w:ascii="Times New Roman" w:eastAsia="SimSun" w:hAnsi="Times New Roman"/>
          <w:sz w:val="24"/>
          <w:szCs w:val="24"/>
        </w:rPr>
        <w:t>Представляват липидни миопатии, при които липсва карнитин.</w:t>
      </w:r>
    </w:p>
    <w:p w14:paraId="2B9FDA4A"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ab/>
        <w:t>Етиология</w:t>
      </w:r>
      <w:r w:rsidRPr="00AE47C6">
        <w:rPr>
          <w:rFonts w:ascii="Times New Roman" w:eastAsia="SimSun" w:hAnsi="Times New Roman"/>
          <w:sz w:val="24"/>
          <w:szCs w:val="24"/>
        </w:rPr>
        <w:t>. Дължат се най-често на дефицит на ензима ацил-коА дехидрогеназа, причинен от мутации в различни гени.</w:t>
      </w:r>
    </w:p>
    <w:p w14:paraId="2E861D07"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ab/>
        <w:t>Клинична картина</w:t>
      </w:r>
      <w:r w:rsidRPr="00AE47C6">
        <w:rPr>
          <w:rFonts w:ascii="Times New Roman" w:eastAsia="SimSun" w:hAnsi="Times New Roman"/>
          <w:sz w:val="24"/>
          <w:szCs w:val="24"/>
        </w:rPr>
        <w:t xml:space="preserve">. Началото обикновенно е в детството или в ранната зрялост. Характеризира се с развитието на симетрична проксимална слабост. Може да е налице и лицева слабост. Липсват болки и рабдомиолиза. При някои пациенти се развиват кардиомиопатия и застойна сърдечна недостатъчност. Прогресията е бавна. </w:t>
      </w:r>
    </w:p>
    <w:p w14:paraId="6A146EB5"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Изследвания</w:t>
      </w:r>
      <w:r w:rsidRPr="00AE47C6">
        <w:rPr>
          <w:rFonts w:ascii="Times New Roman" w:eastAsia="SimSun" w:hAnsi="Times New Roman"/>
          <w:sz w:val="24"/>
          <w:szCs w:val="24"/>
        </w:rPr>
        <w:t xml:space="preserve">. Серумната КФК е умерено повишена. ЕМГ показва миогенни промени. Мускулната биопсия установява ниски нива на карнитин. </w:t>
      </w:r>
    </w:p>
    <w:p w14:paraId="2CE7F570"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Лечението</w:t>
      </w:r>
      <w:r w:rsidRPr="00AE47C6">
        <w:rPr>
          <w:rFonts w:ascii="Times New Roman" w:eastAsia="SimSun" w:hAnsi="Times New Roman"/>
          <w:sz w:val="24"/>
          <w:szCs w:val="24"/>
        </w:rPr>
        <w:t xml:space="preserve"> е с диета, бедна на масти, L-carnitine, 2-4 g/дневно, Riboflavin, 5-20 mg/дневно.</w:t>
      </w:r>
    </w:p>
    <w:p w14:paraId="59BFA1CD"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p>
    <w:p w14:paraId="27AF26B1" w14:textId="77777777" w:rsidR="00BE0B19" w:rsidRPr="00AE47C6" w:rsidRDefault="00BE0B19" w:rsidP="00BE0B19">
      <w:pPr>
        <w:tabs>
          <w:tab w:val="left" w:pos="709"/>
        </w:tabs>
        <w:spacing w:after="0" w:line="360" w:lineRule="auto"/>
        <w:ind w:left="1080"/>
        <w:contextualSpacing/>
        <w:jc w:val="both"/>
        <w:rPr>
          <w:rFonts w:ascii="Times New Roman" w:eastAsia="SimSun" w:hAnsi="Times New Roman"/>
          <w:b/>
          <w:i/>
          <w:sz w:val="24"/>
          <w:szCs w:val="24"/>
        </w:rPr>
      </w:pPr>
      <w:r w:rsidRPr="00AE47C6">
        <w:rPr>
          <w:rFonts w:ascii="Times New Roman" w:eastAsia="SimSun" w:hAnsi="Times New Roman"/>
          <w:b/>
          <w:i/>
          <w:sz w:val="24"/>
          <w:szCs w:val="24"/>
        </w:rPr>
        <w:t>Митохондриални миопатии</w:t>
      </w:r>
    </w:p>
    <w:p w14:paraId="056C1963"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Крайните метаболити на мастната и въглехидратната обмяна участват в цикъла на трикарбоновата киселина, а краят на оксидацията включва дихателните вериги в митохондриите. При митохондриални дефекти възниква нарушена митохондриална оксидация. Това води до включване в обмяната и на анаеробни механизми с повишаване на серумните нива на лактата и пирувата.</w:t>
      </w:r>
    </w:p>
    <w:p w14:paraId="1F16B093"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Класификация.</w:t>
      </w:r>
      <w:r w:rsidRPr="00AE47C6">
        <w:rPr>
          <w:rFonts w:ascii="Times New Roman" w:eastAsia="SimSun" w:hAnsi="Times New Roman"/>
          <w:sz w:val="24"/>
          <w:szCs w:val="24"/>
        </w:rPr>
        <w:t xml:space="preserve"> Разграничават се различни клинични фенотипове: синдром на Kearns-Sayre, конгенитална мускулна дистрофия с митохондриални структурни промени, прогресираща външна офталмоплегия, енцефаломиопатии, кардиомиопатии и др. </w:t>
      </w:r>
    </w:p>
    <w:p w14:paraId="4480C76D"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Етиология.</w:t>
      </w:r>
      <w:r w:rsidRPr="00AE47C6">
        <w:rPr>
          <w:rFonts w:ascii="Times New Roman" w:eastAsia="SimSun" w:hAnsi="Times New Roman"/>
          <w:sz w:val="24"/>
          <w:szCs w:val="24"/>
        </w:rPr>
        <w:t xml:space="preserve"> Причиняват се от различни мутации в митохондриалния геном.</w:t>
      </w:r>
    </w:p>
    <w:p w14:paraId="1B6F7A24"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Клинична картина</w:t>
      </w:r>
      <w:r w:rsidRPr="00AE47C6">
        <w:rPr>
          <w:rFonts w:ascii="Times New Roman" w:eastAsia="SimSun" w:hAnsi="Times New Roman"/>
          <w:sz w:val="24"/>
          <w:szCs w:val="24"/>
        </w:rPr>
        <w:t xml:space="preserve">. Началото е в детска възраст, с постепенно засилване на симптоматиката. Освен прогресираща мускулна слабост, пациентите могат да имат и редица други признаци: птоза на клепачите, сърдечни нарушения, глухота, ендокринни нарушения (хипопаратиреоидизъм, дизменорея), ментална ретардация и др. </w:t>
      </w:r>
    </w:p>
    <w:p w14:paraId="1EAD6CE1"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Диагнозата</w:t>
      </w:r>
      <w:r w:rsidRPr="00AE47C6">
        <w:rPr>
          <w:rFonts w:ascii="Times New Roman" w:eastAsia="SimSun" w:hAnsi="Times New Roman"/>
          <w:sz w:val="24"/>
          <w:szCs w:val="24"/>
        </w:rPr>
        <w:t xml:space="preserve"> се основава на провеждането на клинични, биохимични, хистологични и молекулярно-генетични изследвания.</w:t>
      </w:r>
    </w:p>
    <w:p w14:paraId="7E36B73F"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Изследвания.</w:t>
      </w:r>
      <w:r w:rsidRPr="00AE47C6">
        <w:rPr>
          <w:rFonts w:ascii="Times New Roman" w:eastAsia="SimSun" w:hAnsi="Times New Roman"/>
          <w:sz w:val="24"/>
          <w:szCs w:val="24"/>
        </w:rPr>
        <w:t xml:space="preserve"> Установяват се повишени серумни стойности на лактат и пируват. ЕМГ показва миогенни промени. Мускулната биопсия демонстрира характерните парцаливи червени влакна. Хистохимичните изследвания установяват различните нарушения на окислителното фосфорилиране. Молекулярният анализ открива различни мутации в митохондриалната ДНК. </w:t>
      </w:r>
    </w:p>
    <w:p w14:paraId="1420DEFB"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Лечение</w:t>
      </w:r>
      <w:r w:rsidRPr="00AE47C6">
        <w:rPr>
          <w:rFonts w:ascii="Times New Roman" w:eastAsia="SimSun" w:hAnsi="Times New Roman"/>
          <w:sz w:val="24"/>
          <w:szCs w:val="24"/>
        </w:rPr>
        <w:t xml:space="preserve"> – Creatine 2 х 10 g/дневно, витамини, рехабилитация</w:t>
      </w:r>
    </w:p>
    <w:p w14:paraId="4C16F6A9"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207" w:name="_Toc155651799"/>
      <w:bookmarkStart w:id="208" w:name="_Toc164075932"/>
      <w:r w:rsidRPr="00AE47C6">
        <w:rPr>
          <w:rFonts w:ascii="Times New Roman" w:eastAsia="SimSun" w:hAnsi="Times New Roman"/>
          <w:b/>
          <w:sz w:val="24"/>
          <w:szCs w:val="20"/>
          <w:lang w:eastAsia="ja-JP"/>
        </w:rPr>
        <w:t>9.1.8. Дистални миопатии</w:t>
      </w:r>
      <w:bookmarkEnd w:id="207"/>
      <w:bookmarkEnd w:id="208"/>
      <w:r w:rsidRPr="00AE47C6">
        <w:rPr>
          <w:rFonts w:ascii="Times New Roman" w:eastAsia="SimSun" w:hAnsi="Times New Roman"/>
          <w:b/>
          <w:sz w:val="24"/>
          <w:szCs w:val="20"/>
          <w:lang w:eastAsia="ja-JP"/>
        </w:rPr>
        <w:tab/>
      </w:r>
    </w:p>
    <w:p w14:paraId="28018311"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Представляват клинически и генетично хетерогенна група от заболявания, при които първоначално и предилекционно се засягат дисталните мускули на ръцете и/или краката. </w:t>
      </w:r>
    </w:p>
    <w:p w14:paraId="5D0DFC90"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Класификацията</w:t>
      </w:r>
      <w:r w:rsidRPr="00AE47C6">
        <w:rPr>
          <w:rFonts w:ascii="Times New Roman" w:eastAsia="SimSun" w:hAnsi="Times New Roman"/>
          <w:sz w:val="24"/>
          <w:szCs w:val="24"/>
        </w:rPr>
        <w:t xml:space="preserve"> се основава на клинични, хистологични, имунохистохимични и молекулярно-генетични критерии. Отдиференцирани са над 15 различни форми на дистални миопатии (табл. 9.5).</w:t>
      </w:r>
    </w:p>
    <w:p w14:paraId="7C9F14E6"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p>
    <w:p w14:paraId="7DF1ADAB" w14:textId="77777777" w:rsidR="00BE0B19" w:rsidRPr="00AE47C6" w:rsidRDefault="00BE0B19" w:rsidP="00BE0B19">
      <w:pPr>
        <w:tabs>
          <w:tab w:val="left" w:pos="709"/>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Таблица 9.5. Видове дистални миопатии и клинични характеристики</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577"/>
        <w:gridCol w:w="1400"/>
        <w:gridCol w:w="1480"/>
        <w:gridCol w:w="1318"/>
        <w:gridCol w:w="10"/>
        <w:gridCol w:w="2437"/>
        <w:gridCol w:w="15"/>
      </w:tblGrid>
      <w:tr w:rsidR="00BE0B19" w:rsidRPr="00AE47C6" w14:paraId="621FF022" w14:textId="77777777" w:rsidTr="00AD72E5">
        <w:tc>
          <w:tcPr>
            <w:tcW w:w="1951" w:type="dxa"/>
            <w:tcBorders>
              <w:top w:val="single" w:sz="4" w:space="0" w:color="auto"/>
              <w:left w:val="single" w:sz="4" w:space="0" w:color="auto"/>
              <w:bottom w:val="single" w:sz="4" w:space="0" w:color="auto"/>
              <w:right w:val="single" w:sz="4" w:space="0" w:color="auto"/>
            </w:tcBorders>
            <w:shd w:val="clear" w:color="auto" w:fill="auto"/>
          </w:tcPr>
          <w:p w14:paraId="3BA06B8A"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Вид на дисталната миопатия</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144A4EB3"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Тип на унаследяване</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01B9DA0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Ген/Локус</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51EE36CD"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Ранно засягане</w:t>
            </w:r>
          </w:p>
        </w:tc>
        <w:tc>
          <w:tcPr>
            <w:tcW w:w="1328" w:type="dxa"/>
            <w:gridSpan w:val="2"/>
            <w:tcBorders>
              <w:top w:val="single" w:sz="4" w:space="0" w:color="auto"/>
              <w:left w:val="single" w:sz="4" w:space="0" w:color="auto"/>
              <w:bottom w:val="single" w:sz="4" w:space="0" w:color="auto"/>
              <w:right w:val="single" w:sz="4" w:space="0" w:color="auto"/>
            </w:tcBorders>
            <w:shd w:val="clear" w:color="auto" w:fill="auto"/>
          </w:tcPr>
          <w:p w14:paraId="3AB944C5"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Стойности на КФК</w:t>
            </w:r>
          </w:p>
        </w:tc>
        <w:tc>
          <w:tcPr>
            <w:tcW w:w="2452" w:type="dxa"/>
            <w:gridSpan w:val="2"/>
            <w:tcBorders>
              <w:top w:val="single" w:sz="4" w:space="0" w:color="auto"/>
              <w:left w:val="single" w:sz="4" w:space="0" w:color="auto"/>
              <w:bottom w:val="single" w:sz="4" w:space="0" w:color="auto"/>
              <w:right w:val="single" w:sz="4" w:space="0" w:color="auto"/>
            </w:tcBorders>
            <w:shd w:val="clear" w:color="auto" w:fill="auto"/>
          </w:tcPr>
          <w:p w14:paraId="7090126E"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Находки от мускулната биопсия</w:t>
            </w:r>
          </w:p>
        </w:tc>
      </w:tr>
      <w:tr w:rsidR="00BE0B19" w:rsidRPr="00AE47C6" w14:paraId="3B18A18C"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7E4C3106"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 xml:space="preserve"> тип Wellander</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4C01A9DE"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Автозомно-доминантен</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76DE78B2"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TIA1/2р13</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4FC936B4"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sym w:font="Symbol" w:char="003E"/>
            </w:r>
            <w:r w:rsidRPr="00AE47C6">
              <w:rPr>
                <w:rFonts w:ascii="Times New Roman" w:eastAsia="SimSun" w:hAnsi="Times New Roman"/>
                <w:bCs/>
                <w:sz w:val="24"/>
                <w:szCs w:val="24"/>
                <w:lang w:eastAsia="zh-CN"/>
              </w:rPr>
              <w:t xml:space="preserve"> 40 г., екстензори на ръцете</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54482E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Нормални или леко повишени</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605F1795"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Миопатни ± вакуоли</w:t>
            </w:r>
          </w:p>
        </w:tc>
      </w:tr>
      <w:tr w:rsidR="00BE0B19" w:rsidRPr="00AE47C6" w14:paraId="294B75F4"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3AFA395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Тибиална мускулна атрофия, Udd, /финландска/</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2C76DBBB"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Автозомно-доминантен</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66D86AF3"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TTN/</w:t>
            </w:r>
          </w:p>
          <w:p w14:paraId="178BDA33"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2q31</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6B3E9BE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40-50 г., предните дистални мускули на краката</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BF01B20"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Нормални или леко повишени</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254D809B"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Миопатни, вакуоли</w:t>
            </w:r>
          </w:p>
        </w:tc>
      </w:tr>
      <w:tr w:rsidR="00BE0B19" w:rsidRPr="00AE47C6" w14:paraId="0F30B676"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4EF8DB98"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Тип Gowers-Laying</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3C0D3AC6"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Автозомно-доминантен</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62948EA0"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MYH7, 14q11</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78308203"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1.5 – 25 г., предните дистални мускули на краката</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7F8B0E3"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Повишени – до 3 пъти над нормата</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1AA6E1CA"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Леки миопатни, вакуоли</w:t>
            </w:r>
          </w:p>
        </w:tc>
      </w:tr>
      <w:tr w:rsidR="00BE0B19" w:rsidRPr="00AE47C6" w14:paraId="11D1CDE2"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5AD4898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KLHL9-свързана дистална миопатия</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26AE11B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Автозомно-доминантен</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7EEB2A8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KLHL9</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1ECB064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8-16 г., предни дистални мускули на краката</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DBBF90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1.5-14</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5F4C6BD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Миопатни</w:t>
            </w:r>
          </w:p>
        </w:tc>
      </w:tr>
      <w:tr w:rsidR="00BE0B19" w:rsidRPr="00AE47C6" w14:paraId="1BDB7F3F"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38D4021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Дистална ABD-филаминопатия</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3861D00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Автозомно-доминантен</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1B77616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7q32.1/ FLNC</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4DE1A99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Дистални мускули на ръцете</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65336CD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Нормални или леко повишени</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00E2E79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Групирани атрофични влакна</w:t>
            </w:r>
          </w:p>
        </w:tc>
      </w:tr>
      <w:tr w:rsidR="00BE0B19" w:rsidRPr="00AE47C6" w14:paraId="14337C3E"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4EAD633D"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Дистална дистрофия + rimmed vacuoles</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6CC4E7D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Автозомно-доминантен</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58FF5954"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19p13.3</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5712E220"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10-50 г., дисталните мускули на краката</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A79D413"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 xml:space="preserve">Нормални или леко повишени </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7EC98656"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Миопатни, вакуоли</w:t>
            </w:r>
          </w:p>
        </w:tc>
      </w:tr>
      <w:tr w:rsidR="00BE0B19" w:rsidRPr="00AE47C6" w14:paraId="6CB92084"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163218B0"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Окулофарингеална дистална</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1AE9DA54"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Автозомно-доминантен</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18697972"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2164D558"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40 г., , екстраокуларни</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4595D06"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3 пъти по-високи</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635270AA"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Миопатни, вакуоли</w:t>
            </w:r>
          </w:p>
        </w:tc>
      </w:tr>
      <w:tr w:rsidR="00BE0B19" w:rsidRPr="00AE47C6" w14:paraId="585C6C46"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15216456"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Дистална миопатия с гласова и фарингеална слабост</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3D12FECD"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Автозомно-доминантен</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1CC5C3DC"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MATR3/5q31</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69F78A0A"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35-57 г., дистални мускулни, гласни връзки</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877878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Нормални или повишени до 8 пъти</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7C976DCE"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Миопатни, вакуоли</w:t>
            </w:r>
          </w:p>
        </w:tc>
      </w:tr>
      <w:tr w:rsidR="00BE0B19" w:rsidRPr="00AE47C6" w14:paraId="3C5F3E59"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6CB29DC2"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Миопатия + болестта на Paget и деменция</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1B5AFDA3"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Автозомно-доминантен</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0CC107E5"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i/>
                <w:sz w:val="24"/>
                <w:szCs w:val="24"/>
                <w:lang w:eastAsia="zh-CN"/>
              </w:rPr>
              <w:t>VCP</w:t>
            </w:r>
            <w:r w:rsidRPr="00AE47C6">
              <w:rPr>
                <w:rFonts w:ascii="Times New Roman" w:eastAsia="SimSun" w:hAnsi="Times New Roman"/>
                <w:bCs/>
                <w:sz w:val="24"/>
                <w:szCs w:val="24"/>
                <w:lang w:eastAsia="zh-CN"/>
              </w:rPr>
              <w:t>/9р13</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6458A013"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20-40 г., проксимални и дистални мускули на краката</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701E87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Нормални или леко повишени</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5F402F30"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Миопатни, вакуоли</w:t>
            </w:r>
          </w:p>
        </w:tc>
      </w:tr>
      <w:tr w:rsidR="00BE0B19" w:rsidRPr="00AE47C6" w14:paraId="28CAAD52"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2CE7A41D"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Миопатия + болестта на Paget</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4D8FC6D3"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Автозомно-доминантен</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1FCB61C6"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5872A997"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35-42 г., дистални мускули на краката; скапуларни</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1E0FCB1"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Нормални или високи</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6F4AEF4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Миопатни</w:t>
            </w:r>
          </w:p>
        </w:tc>
      </w:tr>
      <w:tr w:rsidR="00BE0B19" w:rsidRPr="00AE47C6" w14:paraId="77F6883A"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0267E88D" w14:textId="77777777" w:rsidR="00BE0B19" w:rsidRPr="00AE47C6" w:rsidRDefault="00BE0B19" w:rsidP="00BE0B19">
            <w:pPr>
              <w:spacing w:after="0" w:line="360" w:lineRule="auto"/>
              <w:jc w:val="both"/>
              <w:rPr>
                <w:rFonts w:ascii="Times New Roman" w:eastAsia="SimSun" w:hAnsi="Times New Roman"/>
                <w:bCs/>
                <w:sz w:val="24"/>
                <w:szCs w:val="24"/>
                <w:lang w:eastAsia="zh-CN"/>
              </w:rPr>
            </w:pPr>
            <w:r w:rsidRPr="00AE47C6">
              <w:rPr>
                <w:rFonts w:ascii="Times New Roman" w:eastAsia="SimSun" w:hAnsi="Times New Roman"/>
                <w:bCs/>
                <w:sz w:val="24"/>
                <w:szCs w:val="24"/>
                <w:lang w:eastAsia="zh-CN"/>
              </w:rPr>
              <w:t>Миопатия с цитоплазматич</w:t>
            </w:r>
          </w:p>
          <w:p w14:paraId="675120D1"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ни телца</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2E64E997"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Автозомно-доминантен</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70621367"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7D8F568B"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40-50 г., ръце</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EF803B6"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Нормални или леко повишени</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0BB348A5"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Миофибрилерни включвания</w:t>
            </w:r>
          </w:p>
        </w:tc>
      </w:tr>
      <w:tr w:rsidR="00BE0B19" w:rsidRPr="00AE47C6" w14:paraId="0BB2687C"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47D5124E"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 xml:space="preserve">Наследствена миопатия с телца на включвания + ранна дихателна недостатъчност </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542C1047"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Автозомно-доминантен</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39795ABF"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6q27</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7F9B1AE3"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32-75 г., дистални мускули, дихателна мускулатура</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7C637DEF"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Нормални или леко повишени</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0FE32340"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Миопатни,</w:t>
            </w:r>
          </w:p>
          <w:p w14:paraId="17CC179C"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Еозинофилни включвания, вакуоли</w:t>
            </w:r>
          </w:p>
        </w:tc>
      </w:tr>
      <w:tr w:rsidR="00BE0B19" w:rsidRPr="00AE47C6" w14:paraId="706CE75D"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565F01FC"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Дистална миопатия със запазване на предните дистални мускули</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15DC0F72"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Автозомно-доминантен</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3649354C"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318E76E2"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0-30 г., дистални мускули на крака и ръце</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1738083"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Нормални или леко повишени</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0715F537"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Вариращи по размер влакна, няма вакуоли</w:t>
            </w:r>
          </w:p>
        </w:tc>
      </w:tr>
      <w:tr w:rsidR="00BE0B19" w:rsidRPr="00AE47C6" w14:paraId="5B87599A"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1CF4D75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Дистална миопатия с pes cavus и арефлексия</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77F5141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Автозомно-доминантен </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100FC19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19p13</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4783A48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15-50 г., дистални мускули на долните крайници, дисфония, дисфагия</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204C095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2-6 пъти</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200E315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Дистрофични, вакуоли</w:t>
            </w:r>
          </w:p>
        </w:tc>
      </w:tr>
      <w:tr w:rsidR="00BE0B19" w:rsidRPr="00AE47C6" w14:paraId="6F0839D1"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72854CF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Нова финландска дистална миопатия (MPD3)</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7EE6D91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Автозомно-доминантен </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7923A2F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8p22-q11 and 12q13-q22</w:t>
            </w:r>
          </w:p>
          <w:p w14:paraId="672FECEB" w14:textId="77777777" w:rsidR="00BE0B19" w:rsidRPr="00AE47C6" w:rsidRDefault="00BE0B19" w:rsidP="00BE0B19">
            <w:pPr>
              <w:spacing w:after="0" w:line="360" w:lineRule="auto"/>
              <w:jc w:val="both"/>
              <w:rPr>
                <w:rFonts w:ascii="Times New Roman" w:eastAsia="SimSun" w:hAnsi="Times New Roman"/>
                <w:sz w:val="24"/>
                <w:szCs w:val="24"/>
              </w:rPr>
            </w:pP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34A0D1B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Над 30 г., ръце и предна мускулатура на подбедриците</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1899DA8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1-4 пъти</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61615BB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Дистрофични, вакуоли, еозинофилни включвания</w:t>
            </w:r>
          </w:p>
        </w:tc>
      </w:tr>
      <w:tr w:rsidR="00BE0B19" w:rsidRPr="00AE47C6" w14:paraId="6E274126"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299F0BED"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Дезмин</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55994675"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Автозомно-доминантен или рецесивен</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7430DBA7"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DES/2q35</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11679E1E"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20-40 г., краката</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F298F88"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Леко повишени</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08743BD0"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Миопатни, повишен дезмин</w:t>
            </w:r>
          </w:p>
        </w:tc>
      </w:tr>
      <w:tr w:rsidR="00BE0B19" w:rsidRPr="00AE47C6" w14:paraId="4C26B881"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72FB3D8C"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sym w:font="Symbol" w:char="0061"/>
            </w:r>
            <w:r w:rsidRPr="00AE47C6">
              <w:rPr>
                <w:rFonts w:ascii="Times New Roman" w:eastAsia="SimSun" w:hAnsi="Times New Roman"/>
                <w:bCs/>
                <w:sz w:val="24"/>
                <w:szCs w:val="24"/>
                <w:lang w:eastAsia="zh-CN"/>
              </w:rPr>
              <w:t>В-кристалин</w:t>
            </w:r>
            <w:r w:rsidRPr="00AE47C6">
              <w:rPr>
                <w:rFonts w:ascii="Times New Roman" w:eastAsia="SimSun" w:hAnsi="Times New Roman"/>
                <w:bCs/>
                <w:sz w:val="24"/>
                <w:szCs w:val="24"/>
              </w:rPr>
              <w:t>опатия</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2B750FAF"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Автозомно-доминантен</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44E76EBC"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CRYAB/11q22</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7D900B0B"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Зряла възраст, краката</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1A04A2A7"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Леко повишени</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3EE0ABAC"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Миопатни, повишен дезмин</w:t>
            </w:r>
          </w:p>
        </w:tc>
      </w:tr>
      <w:tr w:rsidR="00BE0B19" w:rsidRPr="00AE47C6" w14:paraId="57887C82"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0481109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Миофибрилерна + кардиомиопатия</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666667FD"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Автозомно-доминантен</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01B04DC6"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10q22.3</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63A457E1"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20-60 г., дистални мускули</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2CC405D"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Нормални или леко повишени</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60CDF04C"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Миопатни, миофибрилерни</w:t>
            </w:r>
          </w:p>
        </w:tc>
      </w:tr>
      <w:tr w:rsidR="00BE0B19" w:rsidRPr="00AE47C6" w14:paraId="35B66A62"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2A1D6C75"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Скапулоперонеална</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45D68731"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Автозомно-доминантен</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520D2F9A"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12q13.3</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5EE807C0"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20-58 г., краката</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67E44AB"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От 1.5 до 10 пъти по-високи</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351D0786"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Миопатни, фокални дезминови включвания</w:t>
            </w:r>
          </w:p>
        </w:tc>
      </w:tr>
      <w:tr w:rsidR="00BE0B19" w:rsidRPr="00AE47C6" w14:paraId="6D225E41"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321C0F1D"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Тип Марксбъри-Григ</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797C9962"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Автозомно-доминантен</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3C153A3D"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LDB3/10q22.3-q23.2</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156816E5"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 xml:space="preserve">44-73 г. </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54315C6"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От нормални до 6 пъти по-високи</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09A72AD2"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lang w:eastAsia="zh-CN"/>
              </w:rPr>
              <w:t>Миопатни, дезминови включвания, малки вакуоли</w:t>
            </w:r>
          </w:p>
        </w:tc>
      </w:tr>
      <w:tr w:rsidR="00BE0B19" w:rsidRPr="00AE47C6" w14:paraId="50F4BAB6"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5A86C4A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Тип Miyoshi</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7F32D07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Автозомно-рецесивен</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5B74865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DYSF, 2р13</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20520C6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20-50 г., задните дистални мускули на краката</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06B179C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Повишени - от 10 до 50 пъти</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61994B9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Миопатни. Липсват вакуоли</w:t>
            </w:r>
          </w:p>
        </w:tc>
      </w:tr>
      <w:tr w:rsidR="00BE0B19" w:rsidRPr="00AE47C6" w14:paraId="559967C7"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57ABCB6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GNE миопатия /Тип Nonaka, АР наследствена миопатия с телца на включвания/</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74A829B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Автозомно-рецесивен</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7254CA0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GNE/9p12-p11</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39D8A26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20-40 г., предните дистални мускули на краката</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46DB141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Повишени – до 5 пъти над нормата</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5D9FC6C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Миопатни, вакуоли</w:t>
            </w:r>
          </w:p>
        </w:tc>
      </w:tr>
      <w:tr w:rsidR="00BE0B19" w:rsidRPr="00AE47C6" w14:paraId="46981B1C"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792F32E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NEB-свързана дистална миопатия</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22C1B50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Автозомно-рецесивен</w:t>
            </w: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7C4B461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NEB/ 3p22.1</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6ECC5A5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Детска възраст, предна тибиална мускулатура, екстензори на пръстите</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30B3673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Нормална, леко повишена</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6D8C9E0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Атрофични влакна, nemaline rods</w:t>
            </w:r>
          </w:p>
        </w:tc>
      </w:tr>
      <w:tr w:rsidR="00BE0B19" w:rsidRPr="00AE47C6" w14:paraId="0F0C33DB" w14:textId="77777777" w:rsidTr="00AD72E5">
        <w:trPr>
          <w:gridAfter w:val="1"/>
          <w:wAfter w:w="15" w:type="dxa"/>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5454D89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Дистална аноктаминопатия</w:t>
            </w:r>
          </w:p>
        </w:tc>
        <w:tc>
          <w:tcPr>
            <w:tcW w:w="1577" w:type="dxa"/>
            <w:tcBorders>
              <w:top w:val="single" w:sz="4" w:space="0" w:color="auto"/>
              <w:left w:val="single" w:sz="4" w:space="0" w:color="auto"/>
              <w:bottom w:val="single" w:sz="4" w:space="0" w:color="auto"/>
              <w:right w:val="single" w:sz="4" w:space="0" w:color="auto"/>
            </w:tcBorders>
            <w:shd w:val="clear" w:color="auto" w:fill="auto"/>
          </w:tcPr>
          <w:p w14:paraId="5606D7E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Автозомно-рецесивен </w:t>
            </w:r>
          </w:p>
          <w:p w14:paraId="5F957CBA" w14:textId="77777777" w:rsidR="00BE0B19" w:rsidRPr="00AE47C6" w:rsidRDefault="00BE0B19" w:rsidP="00BE0B19">
            <w:pPr>
              <w:spacing w:after="0" w:line="360" w:lineRule="auto"/>
              <w:jc w:val="both"/>
              <w:rPr>
                <w:rFonts w:ascii="Times New Roman" w:eastAsia="SimSun" w:hAnsi="Times New Roman"/>
                <w:sz w:val="24"/>
                <w:szCs w:val="24"/>
              </w:rPr>
            </w:pPr>
          </w:p>
        </w:tc>
        <w:tc>
          <w:tcPr>
            <w:tcW w:w="1400" w:type="dxa"/>
            <w:tcBorders>
              <w:top w:val="single" w:sz="4" w:space="0" w:color="auto"/>
              <w:left w:val="single" w:sz="4" w:space="0" w:color="auto"/>
              <w:bottom w:val="single" w:sz="4" w:space="0" w:color="auto"/>
              <w:right w:val="single" w:sz="4" w:space="0" w:color="auto"/>
            </w:tcBorders>
            <w:shd w:val="clear" w:color="auto" w:fill="auto"/>
          </w:tcPr>
          <w:p w14:paraId="04DED42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ANO5/ </w:t>
            </w:r>
            <w:r w:rsidRPr="00AE47C6">
              <w:rPr>
                <w:rFonts w:ascii="Times New Roman" w:eastAsia="SimSun" w:hAnsi="Times New Roman"/>
                <w:sz w:val="24"/>
                <w:szCs w:val="24"/>
                <w:u w:val="single"/>
              </w:rPr>
              <w:t>11p14.3</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737E655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Асиметрично ангажиране на подбедриците</w:t>
            </w:r>
          </w:p>
        </w:tc>
        <w:tc>
          <w:tcPr>
            <w:tcW w:w="1318" w:type="dxa"/>
            <w:tcBorders>
              <w:top w:val="single" w:sz="4" w:space="0" w:color="auto"/>
              <w:left w:val="single" w:sz="4" w:space="0" w:color="auto"/>
              <w:bottom w:val="single" w:sz="4" w:space="0" w:color="auto"/>
              <w:right w:val="single" w:sz="4" w:space="0" w:color="auto"/>
            </w:tcBorders>
            <w:shd w:val="clear" w:color="auto" w:fill="auto"/>
          </w:tcPr>
          <w:p w14:paraId="53028DC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Над 10 пъти</w:t>
            </w:r>
          </w:p>
        </w:tc>
        <w:tc>
          <w:tcPr>
            <w:tcW w:w="2447" w:type="dxa"/>
            <w:gridSpan w:val="2"/>
            <w:tcBorders>
              <w:top w:val="single" w:sz="4" w:space="0" w:color="auto"/>
              <w:left w:val="single" w:sz="4" w:space="0" w:color="auto"/>
              <w:bottom w:val="single" w:sz="4" w:space="0" w:color="auto"/>
              <w:right w:val="single" w:sz="4" w:space="0" w:color="auto"/>
            </w:tcBorders>
            <w:shd w:val="clear" w:color="auto" w:fill="auto"/>
          </w:tcPr>
          <w:p w14:paraId="2405D6B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Неспецифични промени</w:t>
            </w:r>
          </w:p>
        </w:tc>
      </w:tr>
    </w:tbl>
    <w:p w14:paraId="622E238F"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p>
    <w:p w14:paraId="1F171E56"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В България при ромски пациенти е диагностицирана GNE миопатията, вследствие хомозиготна мутация с ефект на родоначалника p.Ile587Thr в киназния домейн на GNE гена. При българските пациенти заболяването започва в третото десетилетие, но в редки случаи и значително по-рано. Дисталната слабост в долните крайници е водещ начален симптом при по-голямата част от засегнатите, като само при малка група в началото се установява дистална слабост в ръцете. М. quadriceps femoris и дихателните мускули остават слабо засегнати дори в напредналите стадии на болестта. При проследяване на пациентите с GNE – миопатия, самостоятелната походка се губи средно за 10,34 ± 4,31 г. от началото на заболяването. В сравнение с други кохорти пациенти с това заболяване в нашата група е налице висока честота на сърдечното засягане. Установява се изразена интер- и интра- фамилна вариация по отношение на клиничния ход и тежестта на заболяването, предполагаща влиянието на гени модификатори и фактори на околната среда.</w:t>
      </w:r>
    </w:p>
    <w:p w14:paraId="54F3869C"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209" w:name="_Toc155651800"/>
      <w:bookmarkStart w:id="210" w:name="_Toc164075933"/>
      <w:r w:rsidRPr="00AE47C6">
        <w:rPr>
          <w:rFonts w:ascii="Times New Roman" w:eastAsia="SimSun" w:hAnsi="Times New Roman"/>
          <w:b/>
          <w:sz w:val="24"/>
          <w:szCs w:val="20"/>
          <w:lang w:eastAsia="ja-JP"/>
        </w:rPr>
        <w:t>9.1.9. Миотонии и миотонични дистрофии</w:t>
      </w:r>
      <w:bookmarkEnd w:id="209"/>
      <w:bookmarkEnd w:id="210"/>
    </w:p>
    <w:p w14:paraId="1D7FDF72" w14:textId="77777777" w:rsidR="00BE0B19" w:rsidRPr="00AE47C6" w:rsidRDefault="00BE0B19" w:rsidP="00BE0B19">
      <w:pPr>
        <w:tabs>
          <w:tab w:val="left" w:pos="709"/>
          <w:tab w:val="left" w:pos="826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 xml:space="preserve">Това са заболявания, обединени в обща група поради наличие на миотоничен феномен – затруднена релаксация след силно мускулно съкращение. Той е симптом на дистрофични и недистрофични миотонични заболявания. </w:t>
      </w:r>
    </w:p>
    <w:p w14:paraId="4DABEAE9"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Миотоничните дистрофии тип 1 (болест на Steinert) и тип 2 (PROMM) са генетични мултисистемни заболявания с автозомно-доминантен тип на унаследяване и непълна пенетрантност, които се характеризират клинично с миотонични феномени (затруднена релаксация след силно мускулно съкращение), прогресираща мускулна слабост и атрофия, катаракта, кардиомиопатия, гонадна атрофия и когнитивни нарушения. При болестта на Steinert (МД 1) по-типична е слабостта на дисталните мускули, докато при PROMM (МД 2) клиничната картина е по-лека и се засягат преобладаващо проксималните мускули. По отношение на възрастта на началото и тежестта на клиничните симптоми се наблюдават изразени интер- и интра- фамилни вариации.</w:t>
      </w:r>
    </w:p>
    <w:p w14:paraId="575FC5F5"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p>
    <w:p w14:paraId="103A35A1" w14:textId="77777777" w:rsidR="00BE0B19" w:rsidRPr="00AE47C6" w:rsidRDefault="00BE0B19" w:rsidP="00BE0B19">
      <w:pPr>
        <w:tabs>
          <w:tab w:val="left" w:pos="709"/>
        </w:tabs>
        <w:spacing w:after="0" w:line="360" w:lineRule="auto"/>
        <w:ind w:left="1080"/>
        <w:contextualSpacing/>
        <w:jc w:val="both"/>
        <w:rPr>
          <w:rFonts w:ascii="Times New Roman" w:eastAsia="SimSun" w:hAnsi="Times New Roman"/>
          <w:sz w:val="24"/>
          <w:szCs w:val="24"/>
        </w:rPr>
      </w:pPr>
      <w:r w:rsidRPr="00AE47C6">
        <w:rPr>
          <w:rFonts w:ascii="Times New Roman" w:eastAsia="SimSun" w:hAnsi="Times New Roman"/>
          <w:b/>
          <w:sz w:val="24"/>
          <w:szCs w:val="24"/>
        </w:rPr>
        <w:t>Миотоничната дистрофия (Болест на Steinert)</w:t>
      </w:r>
      <w:r w:rsidRPr="00AE47C6">
        <w:rPr>
          <w:rFonts w:ascii="Times New Roman" w:eastAsia="SimSun" w:hAnsi="Times New Roman"/>
          <w:sz w:val="24"/>
          <w:szCs w:val="24"/>
        </w:rPr>
        <w:t xml:space="preserve"> е автозомно-доминантно заболяване с непълна пенетрантност.</w:t>
      </w:r>
    </w:p>
    <w:p w14:paraId="24280B00" w14:textId="77777777" w:rsidR="00BE0B19" w:rsidRPr="00AE47C6" w:rsidRDefault="00BE0B19" w:rsidP="00BE0B19">
      <w:pPr>
        <w:tabs>
          <w:tab w:val="left" w:pos="709"/>
          <w:tab w:val="left" w:pos="826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Класификация</w:t>
      </w:r>
      <w:r w:rsidRPr="00AE47C6">
        <w:rPr>
          <w:rFonts w:ascii="Times New Roman" w:eastAsia="SimSun" w:hAnsi="Times New Roman"/>
          <w:sz w:val="24"/>
          <w:szCs w:val="24"/>
        </w:rPr>
        <w:t>. Разграничават се четири основни форми според началото на заболяването и тежестта на симптоматиката: конгенитална миотонична дистрофия, миотонична дистрофия на ранното детство, класическа миотонична дистрофия и лека форма.</w:t>
      </w:r>
    </w:p>
    <w:p w14:paraId="2F3ACA9B" w14:textId="77777777" w:rsidR="00BE0B19" w:rsidRPr="00AE47C6" w:rsidRDefault="00BE0B19" w:rsidP="00BE0B19">
      <w:pPr>
        <w:tabs>
          <w:tab w:val="left" w:pos="567"/>
          <w:tab w:val="left" w:pos="8265"/>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Епидемиология</w:t>
      </w:r>
      <w:r w:rsidRPr="00AE47C6">
        <w:rPr>
          <w:rFonts w:ascii="Times New Roman" w:eastAsia="SimSun" w:hAnsi="Times New Roman"/>
          <w:sz w:val="24"/>
          <w:szCs w:val="24"/>
        </w:rPr>
        <w:t>. Болестта на Steinert е най-често срещаната форма на мускулна дистрофия при възрастни. Честотата й в общата популация варира от 1/100 000 в някои области на Япония до 1/10 000 в Ирландия, а поради ефекта на родоначалника в Канада (Квебек) честотата й достига до 1/530.</w:t>
      </w:r>
    </w:p>
    <w:p w14:paraId="7D7B5A59" w14:textId="77777777" w:rsidR="00BE0B19" w:rsidRPr="00AE47C6" w:rsidRDefault="00BE0B19" w:rsidP="00BE0B19">
      <w:pPr>
        <w:tabs>
          <w:tab w:val="left" w:pos="567"/>
          <w:tab w:val="left" w:pos="8265"/>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Етиология.</w:t>
      </w:r>
      <w:r w:rsidRPr="00AE47C6">
        <w:rPr>
          <w:rFonts w:ascii="Times New Roman" w:eastAsia="SimSun" w:hAnsi="Times New Roman"/>
          <w:sz w:val="24"/>
          <w:szCs w:val="24"/>
        </w:rPr>
        <w:t xml:space="preserve"> Причинява се от динамични мутации - амплификация на тринуклеотидни (CTG) повторения в DMPK гена, локализиран върху 19q13.3 хромозома. </w:t>
      </w:r>
    </w:p>
    <w:p w14:paraId="0045F176" w14:textId="77777777" w:rsidR="00BE0B19" w:rsidRPr="00AE47C6" w:rsidRDefault="00BE0B19" w:rsidP="00BE0B19">
      <w:pPr>
        <w:tabs>
          <w:tab w:val="left" w:pos="567"/>
          <w:tab w:val="left" w:pos="8265"/>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Патогенеза</w:t>
      </w:r>
      <w:r w:rsidRPr="00AE47C6">
        <w:rPr>
          <w:rFonts w:ascii="Times New Roman" w:eastAsia="SimSun" w:hAnsi="Times New Roman"/>
          <w:sz w:val="24"/>
          <w:szCs w:val="24"/>
        </w:rPr>
        <w:t xml:space="preserve">. Началото и тежестта на заболяването зависят от броя на амплифицираните повторения. Колкото по-голям е той, толкова по-рано започва и по-тежко протича заболяването. Установена е и полово-диференцирана експресия на гена. Заболяването е по-тежко, ако се унаследява от майката. </w:t>
      </w:r>
    </w:p>
    <w:p w14:paraId="164CE95A" w14:textId="77777777" w:rsidR="00BE0B19" w:rsidRPr="00AE47C6" w:rsidRDefault="00BE0B19" w:rsidP="00BE0B19">
      <w:pPr>
        <w:tabs>
          <w:tab w:val="left" w:pos="567"/>
          <w:tab w:val="left" w:pos="8265"/>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Клинична картина</w:t>
      </w:r>
      <w:r w:rsidRPr="00AE47C6">
        <w:rPr>
          <w:rFonts w:ascii="Times New Roman" w:eastAsia="SimSun" w:hAnsi="Times New Roman"/>
          <w:sz w:val="24"/>
          <w:szCs w:val="24"/>
        </w:rPr>
        <w:t>. Началото на заболяването и клиничните прояви имат широка вариабилност в зависимост от формата.</w:t>
      </w:r>
    </w:p>
    <w:p w14:paraId="1FA0DEFE" w14:textId="77777777" w:rsidR="00BE0B19" w:rsidRPr="00AE47C6" w:rsidRDefault="00BE0B19" w:rsidP="00BE0B19">
      <w:pPr>
        <w:tabs>
          <w:tab w:val="left" w:pos="567"/>
          <w:tab w:val="left" w:pos="8265"/>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Конгенитална миотонична дистрофия</w:t>
      </w:r>
      <w:r w:rsidRPr="00AE47C6">
        <w:rPr>
          <w:rFonts w:ascii="Times New Roman" w:eastAsia="SimSun" w:hAnsi="Times New Roman"/>
          <w:sz w:val="24"/>
          <w:szCs w:val="24"/>
        </w:rPr>
        <w:t xml:space="preserve"> се наблюдава по-често при новородените на майки с миотонична дистрофия. Характеризира се с генерализирана и тежка мускулна слабост от раждането, хипотония, затруднения при сучене и гълтане, дихателна недостатъчност. Липсва клинично миотония, но често може да се установи с ЕМГ. Мускулната хипотония и двигателната слабост може да се подобрят с годините, но по-късно се развиват симптомите на класическата форма. До 11 год. възраст се появява и клинически миотоничен феномен. Умственото изоставане с непрогресиращ характер е много характерно за конгениталната форма.</w:t>
      </w:r>
    </w:p>
    <w:p w14:paraId="79976814" w14:textId="77777777" w:rsidR="00BE0B19" w:rsidRPr="00AE47C6" w:rsidRDefault="00BE0B19" w:rsidP="00BE0B19">
      <w:pPr>
        <w:tabs>
          <w:tab w:val="left" w:pos="8265"/>
        </w:tabs>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i/>
          <w:sz w:val="24"/>
          <w:szCs w:val="24"/>
        </w:rPr>
        <w:t>Миотоничната дистрофия на ранното детство</w:t>
      </w:r>
      <w:r w:rsidRPr="00AE47C6">
        <w:rPr>
          <w:rFonts w:ascii="Times New Roman" w:eastAsia="SimSun" w:hAnsi="Times New Roman"/>
          <w:sz w:val="24"/>
          <w:szCs w:val="24"/>
        </w:rPr>
        <w:t xml:space="preserve"> обикновенно започва между 5 и 10 г. Развива се генерализирана слабост, засягаща особено лицето и дисталните части на крайниците. Установява се и ментална ретардация.</w:t>
      </w:r>
    </w:p>
    <w:p w14:paraId="4080C752" w14:textId="77777777" w:rsidR="00BE0B19" w:rsidRPr="00AE47C6" w:rsidRDefault="00BE0B19" w:rsidP="00BE0B19">
      <w:pPr>
        <w:tabs>
          <w:tab w:val="left" w:pos="8265"/>
        </w:tabs>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i/>
          <w:sz w:val="24"/>
          <w:szCs w:val="24"/>
        </w:rPr>
        <w:t>Класическа миотонична дистрофия.</w:t>
      </w:r>
      <w:r w:rsidRPr="00AE47C6">
        <w:rPr>
          <w:rFonts w:ascii="Times New Roman" w:eastAsia="SimSun" w:hAnsi="Times New Roman"/>
          <w:sz w:val="24"/>
          <w:szCs w:val="24"/>
        </w:rPr>
        <w:t xml:space="preserve"> Установява се изразен миотоничен феномен, както и слабост на следните мускули: m. orbicularis oculi, фарингеалните мускули, дистални мускули на крайниците. Характерна e атрофията на дъвкателните мускули. При прогресиране на заболяването се развива по-генерализирано мускулно засягане, но то никога не е тежко за проксималните мускули на крайниците и туловищната мускулатура. Други признаци на заболяването са катаракта, кардиомиопатия, ендокринни нарушения, стерилитет, когнитивен дефицит с нарушение в екзекутивните и езиковите функции, вниманието, зрителната перцепция и паметта. </w:t>
      </w:r>
    </w:p>
    <w:p w14:paraId="276B589A" w14:textId="77777777" w:rsidR="00BE0B19" w:rsidRPr="00AE47C6" w:rsidRDefault="00BE0B19" w:rsidP="00BE0B19">
      <w:pPr>
        <w:tabs>
          <w:tab w:val="left" w:pos="8265"/>
        </w:tabs>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sz w:val="24"/>
          <w:szCs w:val="24"/>
        </w:rPr>
        <w:t>Леката форма се характеризира клинически с катаракта, фронтално оплешивяване, минимален до липсващ мускулен дефицит или захарен диабет.</w:t>
      </w:r>
    </w:p>
    <w:p w14:paraId="5C32CE2E" w14:textId="77777777" w:rsidR="00BE0B19" w:rsidRPr="00AE47C6" w:rsidRDefault="00BE0B19" w:rsidP="00BE0B19">
      <w:pPr>
        <w:tabs>
          <w:tab w:val="left" w:pos="709"/>
          <w:tab w:val="left" w:pos="8265"/>
        </w:tabs>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Диагнозата</w:t>
      </w:r>
      <w:r w:rsidRPr="00AE47C6">
        <w:rPr>
          <w:rFonts w:ascii="Times New Roman" w:eastAsia="SimSun" w:hAnsi="Times New Roman"/>
          <w:sz w:val="24"/>
          <w:szCs w:val="24"/>
        </w:rPr>
        <w:t xml:space="preserve"> се основава на клинични, ЕМГ и генетични изследвания. </w:t>
      </w:r>
    </w:p>
    <w:p w14:paraId="241CAA6E" w14:textId="77777777" w:rsidR="00BE0B19" w:rsidRPr="00AE47C6" w:rsidRDefault="00BE0B19" w:rsidP="00BE0B19">
      <w:pPr>
        <w:tabs>
          <w:tab w:val="left" w:pos="8265"/>
        </w:tabs>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Изследвания. КФК е леко повишена. ЕМГ показва миотонични феномени и миогенни промени в няколко мускула. Невропсихологичното изследване може да установи степента на когнитивното нарушение. Молекулярно-генетичното изследване открива амплификация на тринуклеотидни повторения. </w:t>
      </w:r>
    </w:p>
    <w:p w14:paraId="7AC31121"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Лечение и профилактика</w:t>
      </w:r>
      <w:r w:rsidRPr="00AE47C6">
        <w:rPr>
          <w:rFonts w:ascii="Times New Roman" w:eastAsia="SimSun" w:hAnsi="Times New Roman"/>
          <w:sz w:val="24"/>
          <w:szCs w:val="24"/>
        </w:rPr>
        <w:t xml:space="preserve">. Провежда се лечение за миотонията с Procainamid 500-1000 mg/дневно, 3-4 пъти/дневно, Chininе 500-600 mg/12 ч., Phenytoin 300-400 mg/дневно, Mexiletine 200 mg/8 ч., Carbamazepin, 600 mg/дневно. Важно значение имат проследяването на кардиологичния статус и дихателните капацитети, както и периодичната физиотерапия. При необходимост се прилагат кардиопротективни медикаменти, а при проводни нарушения, може да си постави и пейсмейкър. При силно намалени витални капацитети инвазивна и неинвазивна вентилация може да бъде прилагана. Във връзка с установената антиципация при заболяването (във всяко следващо поколение започва по-рано и протича по-тежко), е препоръчително провеждането на пренатална диагностика в засегнатите фамилии. </w:t>
      </w:r>
    </w:p>
    <w:p w14:paraId="287510A8"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p>
    <w:p w14:paraId="2E0CC5A3" w14:textId="77777777" w:rsidR="00BE0B19" w:rsidRPr="00AE47C6" w:rsidRDefault="00BE0B19" w:rsidP="00BE0B19">
      <w:pPr>
        <w:tabs>
          <w:tab w:val="left" w:pos="8265"/>
        </w:tabs>
        <w:spacing w:after="0" w:line="360" w:lineRule="auto"/>
        <w:ind w:left="1080"/>
        <w:contextualSpacing/>
        <w:jc w:val="both"/>
        <w:rPr>
          <w:rFonts w:ascii="Times New Roman" w:eastAsia="SimSun" w:hAnsi="Times New Roman"/>
          <w:b/>
          <w:sz w:val="24"/>
          <w:szCs w:val="24"/>
        </w:rPr>
      </w:pPr>
      <w:r w:rsidRPr="00AE47C6">
        <w:rPr>
          <w:rFonts w:ascii="Times New Roman" w:eastAsia="SimSun" w:hAnsi="Times New Roman"/>
          <w:b/>
          <w:sz w:val="24"/>
          <w:szCs w:val="24"/>
        </w:rPr>
        <w:t>PROMM – Проксималната миотонична миопатия</w:t>
      </w:r>
      <w:r w:rsidRPr="00AE47C6">
        <w:rPr>
          <w:rFonts w:ascii="Times New Roman" w:eastAsia="SimSun" w:hAnsi="Times New Roman"/>
          <w:sz w:val="24"/>
          <w:szCs w:val="24"/>
        </w:rPr>
        <w:t xml:space="preserve"> представлява автозомно-доминантно заболяване.</w:t>
      </w:r>
    </w:p>
    <w:p w14:paraId="3B06D86E"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Причинява се от транскрибирана, но нетранслирана експанзия на CCTG- нуклеотидни повтори в интрон 1 на ZNF9 (Zinc Finger protein 9) гена. Липсва корелация между размера на амплификацията и възрастта на началото на заболяването и тежестта на клиничната картина. </w:t>
      </w:r>
    </w:p>
    <w:p w14:paraId="10A9C21D"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Клиничната картина</w:t>
      </w:r>
      <w:r w:rsidRPr="00AE47C6">
        <w:rPr>
          <w:rFonts w:ascii="Times New Roman" w:eastAsia="SimSun" w:hAnsi="Times New Roman"/>
          <w:sz w:val="24"/>
          <w:szCs w:val="24"/>
        </w:rPr>
        <w:t xml:space="preserve"> е подобна на тази при миотонична дистрофия, но обикновено е по-лека. Наблюдават се проксимална и дистална мускулна слабост, миотония, сърдечно засягане, катаракта. Не е описана конгенитална форма.</w:t>
      </w:r>
    </w:p>
    <w:p w14:paraId="5B889751"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Диференциалната диагноза</w:t>
      </w:r>
      <w:r w:rsidRPr="00AE47C6">
        <w:rPr>
          <w:rFonts w:ascii="Times New Roman" w:eastAsia="SimSun" w:hAnsi="Times New Roman"/>
          <w:sz w:val="24"/>
          <w:szCs w:val="24"/>
        </w:rPr>
        <w:t xml:space="preserve"> с класическата миотонична дистрофия не винаги е лесна. При проксималната миотонична дистрофия са характерни по-изразени мускулни болки, проксимална слабост на бедрените мускули и по-леки когнитивни нарушения.</w:t>
      </w:r>
    </w:p>
    <w:p w14:paraId="2221F4E4" w14:textId="77777777" w:rsidR="00BE0B19" w:rsidRPr="00AE47C6" w:rsidRDefault="00BE0B19" w:rsidP="00BE0B19">
      <w:pPr>
        <w:tabs>
          <w:tab w:val="left" w:pos="8265"/>
        </w:tabs>
        <w:spacing w:after="0" w:line="360" w:lineRule="auto"/>
        <w:jc w:val="both"/>
        <w:rPr>
          <w:rFonts w:ascii="Times New Roman" w:eastAsia="SimSun" w:hAnsi="Times New Roman"/>
          <w:sz w:val="24"/>
          <w:szCs w:val="24"/>
        </w:rPr>
      </w:pPr>
    </w:p>
    <w:p w14:paraId="0BBC88FA" w14:textId="77777777" w:rsidR="00BE0B19" w:rsidRPr="00AE47C6" w:rsidRDefault="00BE0B19" w:rsidP="00BE0B19">
      <w:pPr>
        <w:tabs>
          <w:tab w:val="left" w:pos="8265"/>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Недистрофичните миотонии </w:t>
      </w:r>
      <w:r w:rsidRPr="00AE47C6">
        <w:rPr>
          <w:rFonts w:ascii="Times New Roman" w:eastAsia="SimSun" w:hAnsi="Times New Roman"/>
          <w:sz w:val="24"/>
          <w:szCs w:val="24"/>
        </w:rPr>
        <w:t>спадат към групата на каналопатиите.</w:t>
      </w:r>
    </w:p>
    <w:p w14:paraId="5ADF907F" w14:textId="77777777" w:rsidR="00BE0B19" w:rsidRPr="00AE47C6" w:rsidRDefault="00BE0B19" w:rsidP="00BE0B19">
      <w:pPr>
        <w:tabs>
          <w:tab w:val="left" w:pos="8265"/>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Наследствените нарушения на йонните канали (каналопатиите) са група от заболявания, причинени от мутации в гени, кодиращи йонни канали. Миотонията е симптом, който може да е налице и при натриеви и при хлорни каналопатии. Хлорните каналопатии включват доминантната Myotonia congenita (Thomsen) и рецесивна генерализирана миотония (Becker). </w:t>
      </w:r>
    </w:p>
    <w:p w14:paraId="4DB74262" w14:textId="77777777" w:rsidR="00BE0B19" w:rsidRPr="00AE47C6" w:rsidRDefault="00BE0B19" w:rsidP="00BE0B19">
      <w:pPr>
        <w:tabs>
          <w:tab w:val="left" w:pos="993"/>
        </w:tabs>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Конгениталната миопатия тип Thomsen</w:t>
      </w:r>
      <w:r w:rsidRPr="00AE47C6">
        <w:rPr>
          <w:rFonts w:ascii="Times New Roman" w:eastAsia="SimSun" w:hAnsi="Times New Roman"/>
          <w:sz w:val="24"/>
          <w:szCs w:val="24"/>
        </w:rPr>
        <w:t xml:space="preserve"> е автозомно-доминантно заболяване със 100% пенетрантност. Причинява се от алелни мутации в гена за мускулните хлорни канали. Заболяването може да започне от раждането до ранно детство. Клиничните признаци са стегнатост на мускулатурата, особено след почивка. Мускулната функция се подобрява при продължителни упражнения. Заболяването не прогресира. Въпреки, че пациентите често съобщават за засилване на миотонията от студено, това не се доказва от обективното измерване на мускулните релаксационни времена. </w:t>
      </w:r>
    </w:p>
    <w:p w14:paraId="0A7A992C" w14:textId="77777777" w:rsidR="00BE0B19" w:rsidRPr="00AE47C6" w:rsidRDefault="00BE0B19" w:rsidP="00BE0B19">
      <w:pPr>
        <w:tabs>
          <w:tab w:val="left" w:pos="993"/>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Диагнозата</w:t>
      </w:r>
      <w:r w:rsidRPr="00AE47C6">
        <w:rPr>
          <w:rFonts w:ascii="Times New Roman" w:eastAsia="SimSun" w:hAnsi="Times New Roman"/>
          <w:sz w:val="24"/>
          <w:szCs w:val="24"/>
        </w:rPr>
        <w:t xml:space="preserve"> се основава на клинични, ЕМГ и резултат от молекулярно-генетичното изследване.</w:t>
      </w:r>
    </w:p>
    <w:p w14:paraId="1C52F238" w14:textId="77777777" w:rsidR="00BE0B19" w:rsidRPr="00AE47C6" w:rsidRDefault="00BE0B19" w:rsidP="00BE0B19">
      <w:pPr>
        <w:tabs>
          <w:tab w:val="left" w:pos="993"/>
        </w:tabs>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Генерализираната миотония тип Becker</w:t>
      </w:r>
      <w:r w:rsidRPr="00AE47C6">
        <w:rPr>
          <w:rFonts w:ascii="Times New Roman" w:eastAsia="SimSun" w:hAnsi="Times New Roman"/>
          <w:sz w:val="24"/>
          <w:szCs w:val="24"/>
        </w:rPr>
        <w:t xml:space="preserve"> е автозомно-рецесивно заболяване. Причинява се от мутации в гена, кодиращ хлорните мускулни канали. Заболяването обикновенно започва в първото, значително по-рядко - във второто или третото десетилетие. Клинични признаци са стегнатост на мускулатурата, особено след почивка, но при продължителни упражнения мускулната функция се подобрява. При някои пациенти е налице значителна, преходна слабост след почивка, която се подобрява няколко минути след извършване на упражнения. Слабостта е по-изразена в горните крайници, а миотонията - в долните. В много случаи е налице хипертрофия на бедрата и подбедриците. Оплакванията обикновено са прогресиращи няколко години след появата, а след това са без промяна.</w:t>
      </w:r>
    </w:p>
    <w:p w14:paraId="352321E4" w14:textId="77777777" w:rsidR="00BE0B19" w:rsidRPr="00AE47C6" w:rsidRDefault="00BE0B19" w:rsidP="00BE0B19">
      <w:pPr>
        <w:tabs>
          <w:tab w:val="left" w:pos="8265"/>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Диагнозата</w:t>
      </w:r>
      <w:r w:rsidRPr="00AE47C6">
        <w:rPr>
          <w:rFonts w:ascii="Times New Roman" w:eastAsia="SimSun" w:hAnsi="Times New Roman"/>
          <w:sz w:val="24"/>
          <w:szCs w:val="24"/>
        </w:rPr>
        <w:t xml:space="preserve"> се основава на клинични, ЕМГ и генетични данни.</w:t>
      </w:r>
    </w:p>
    <w:p w14:paraId="1FD7EF9D" w14:textId="77777777" w:rsidR="00BE0B19" w:rsidRPr="00AE47C6" w:rsidRDefault="00BE0B19" w:rsidP="00BE0B19">
      <w:pPr>
        <w:tabs>
          <w:tab w:val="left" w:pos="993"/>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Лечението</w:t>
      </w:r>
      <w:r w:rsidRPr="00AE47C6">
        <w:rPr>
          <w:rFonts w:ascii="Times New Roman" w:eastAsia="SimSun" w:hAnsi="Times New Roman"/>
          <w:sz w:val="24"/>
          <w:szCs w:val="24"/>
        </w:rPr>
        <w:t xml:space="preserve"> е с мембранни стабилизатори като Procainamid 500-1000 mg/дневно, 3-4 пъти/дневно, Chininе 500-600 mg/12 ч., Phenytoin 300-400 mg/дневно, Mexiletine 200 mg/8 ч., и др. Препоръчва се избягване на физическо обременяване, излагане на студ, деполяризиращи миорелаксанти.</w:t>
      </w:r>
    </w:p>
    <w:p w14:paraId="3A100DF6" w14:textId="77777777" w:rsidR="00BE0B19" w:rsidRPr="00AE47C6" w:rsidRDefault="00BE0B19" w:rsidP="00BE0B19">
      <w:pPr>
        <w:tabs>
          <w:tab w:val="left" w:pos="993"/>
        </w:tabs>
        <w:spacing w:after="0" w:line="360" w:lineRule="auto"/>
        <w:ind w:firstLine="709"/>
        <w:jc w:val="both"/>
        <w:rPr>
          <w:rFonts w:ascii="Times New Roman" w:eastAsia="SimSun" w:hAnsi="Times New Roman"/>
          <w:sz w:val="24"/>
          <w:szCs w:val="24"/>
        </w:rPr>
      </w:pPr>
    </w:p>
    <w:p w14:paraId="14F46B7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Конгениталната парамиотония</w:t>
      </w:r>
      <w:r w:rsidRPr="00AE47C6">
        <w:rPr>
          <w:rFonts w:ascii="Times New Roman" w:eastAsia="SimSun" w:hAnsi="Times New Roman"/>
          <w:sz w:val="24"/>
          <w:szCs w:val="24"/>
        </w:rPr>
        <w:t xml:space="preserve"> е автозомно-доминантно заболяване със 100 % пенетрантност. Причинява се от мутации в гена, кодиращ натриевите канали. Началото на заболяването е от раждането. Клиничните признаци са миотония, задълбочаваща се от неколкократни съкращения (парадоксална миотония). При много фамилии парамиотонията, която значително се влошава при извършване на упражнения на студено, може да бъде последвана от слабост. Възстановяването от слабостта може да продължи няколко часа. При някои фамилии е налице миотония, зависима от студ и упражнения, но без слабост. Те често се диагностицират погрешно като myotonia congenita. Съществуват фамилии с класическите симптоми на конгенитална парамиотония, съчетани с епизоди от хиперПП. Не се наблюдава перманентна слабост. </w:t>
      </w:r>
    </w:p>
    <w:p w14:paraId="7FCC5B1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Лечението </w:t>
      </w:r>
      <w:r w:rsidRPr="00AE47C6">
        <w:rPr>
          <w:rFonts w:ascii="Times New Roman" w:eastAsia="SimSun" w:hAnsi="Times New Roman"/>
          <w:sz w:val="24"/>
          <w:szCs w:val="24"/>
        </w:rPr>
        <w:t>е с антиаритмични медикаменти като mexiletine. Преди началото на антимиотоничната терапия с mexiletine се препоръчва изследване на сърдечния статус и изследване на серумните му концентрации поради тесния му терапевтичен спектър. При парамиотоничната хиперПП комбинираното използване на mexiletine и hydrochlorothiazide може да предотврати спазмите и слабостта, индуцирани от студ и спонтанните атаки на хиперкалиемична периодична парализа.</w:t>
      </w:r>
    </w:p>
    <w:p w14:paraId="5DCEB860"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211" w:name="_Toc155651801"/>
      <w:bookmarkStart w:id="212" w:name="_Toc164075934"/>
      <w:r w:rsidRPr="00AE47C6">
        <w:rPr>
          <w:rFonts w:ascii="Times New Roman" w:eastAsia="SimSun" w:hAnsi="Times New Roman"/>
          <w:b/>
          <w:sz w:val="24"/>
          <w:szCs w:val="20"/>
          <w:lang w:eastAsia="ja-JP"/>
        </w:rPr>
        <w:t>9.1.10. Периодични парализи</w:t>
      </w:r>
      <w:bookmarkEnd w:id="211"/>
      <w:bookmarkEnd w:id="212"/>
    </w:p>
    <w:p w14:paraId="5E841802" w14:textId="77777777" w:rsidR="00BE0B19" w:rsidRPr="00AE47C6" w:rsidRDefault="00BE0B19" w:rsidP="00BE0B19">
      <w:pPr>
        <w:spacing w:after="0" w:line="360" w:lineRule="auto"/>
        <w:ind w:firstLine="360"/>
        <w:contextualSpacing/>
        <w:jc w:val="both"/>
        <w:rPr>
          <w:rFonts w:ascii="Times New Roman" w:eastAsia="SimSun" w:hAnsi="Times New Roman"/>
          <w:sz w:val="24"/>
          <w:szCs w:val="24"/>
        </w:rPr>
      </w:pPr>
      <w:r w:rsidRPr="00AE47C6">
        <w:rPr>
          <w:rFonts w:ascii="Times New Roman" w:eastAsia="SimSun" w:hAnsi="Times New Roman"/>
          <w:sz w:val="24"/>
          <w:szCs w:val="24"/>
        </w:rPr>
        <w:t>Тези заболявания се отнасят съм групата на каналопатии, при които се наблюдават периоди на преходна мускулна слабост. Натриевите каналопатии включват хиперкалиемична периодична парализа (хиперПП), нормокалиемична периодична парализа (нормоПП), конгениталната парамиотония (КП) и калий-зависимата миотония (КЗМ). Хипокалиемичната периодична парализа, единственото заболяване в тази група, което не е свързано с миотония, е калциева каналопатия.</w:t>
      </w:r>
    </w:p>
    <w:p w14:paraId="0C99FC77" w14:textId="77777777" w:rsidR="00BE0B19" w:rsidRPr="00AE47C6" w:rsidRDefault="00BE0B19" w:rsidP="00BE0B19">
      <w:pPr>
        <w:tabs>
          <w:tab w:val="left" w:pos="851"/>
        </w:tabs>
        <w:spacing w:after="0" w:line="360" w:lineRule="auto"/>
        <w:ind w:firstLine="851"/>
        <w:jc w:val="both"/>
        <w:rPr>
          <w:rFonts w:ascii="Times New Roman" w:eastAsia="SimSun" w:hAnsi="Times New Roman"/>
          <w:b/>
          <w:sz w:val="24"/>
          <w:szCs w:val="24"/>
        </w:rPr>
      </w:pPr>
    </w:p>
    <w:p w14:paraId="0A771EC0" w14:textId="77777777" w:rsidR="00BE0B19" w:rsidRPr="00AE47C6" w:rsidRDefault="00BE0B19" w:rsidP="00BE0B19">
      <w:pPr>
        <w:tabs>
          <w:tab w:val="left" w:pos="851"/>
        </w:tabs>
        <w:spacing w:after="0" w:line="360" w:lineRule="auto"/>
        <w:ind w:firstLine="851"/>
        <w:jc w:val="both"/>
        <w:rPr>
          <w:rFonts w:ascii="Times New Roman" w:eastAsia="SimSun" w:hAnsi="Times New Roman"/>
          <w:sz w:val="24"/>
          <w:szCs w:val="24"/>
        </w:rPr>
      </w:pPr>
      <w:r w:rsidRPr="00AE47C6">
        <w:rPr>
          <w:rFonts w:ascii="Times New Roman" w:eastAsia="SimSun" w:hAnsi="Times New Roman"/>
          <w:b/>
          <w:sz w:val="24"/>
          <w:szCs w:val="24"/>
        </w:rPr>
        <w:t>Хиперкалиемичната периодична</w:t>
      </w:r>
      <w:r w:rsidRPr="00AE47C6">
        <w:rPr>
          <w:rFonts w:ascii="Times New Roman" w:eastAsia="SimSun" w:hAnsi="Times New Roman"/>
          <w:sz w:val="24"/>
          <w:szCs w:val="24"/>
        </w:rPr>
        <w:t xml:space="preserve"> парализа е автозомно-доминантно заболяване с пълна пенетрантност. Причинява се от мутации в гена, кодиращ натриевите канали. Началото на заболяването е от ранно детство до второ десетилетие. Тежестта му е много вариабилна. Клиничните признаци са епизоди на слабост, обикновено сутрин, продължаващи от 10 min. до около 1 час, много рядко до 1-2 дни. При някои пациенти честотата на епизодите е много рядка, а други имат епизоди на генерализирана слабост почти всеки ден. По време на пристъпите нивото на серумния К е на или над горната граница. Провокиращи тестове за епизодите на слабост са почивка след упражнения, гладуване или орален прием на К. Някои пациенти имат винаги леки признаци на миотония преди или в началото на епизодите. Други показват признаци на парамиотония, а при трети, миотоничните признаци отсъстват. В края на паралитичния епизод серумните нива на К могат да паднат под нормата. Пациентите, изследвани по това време, могат да се диагностицират погрешно като хипоПП. </w:t>
      </w:r>
    </w:p>
    <w:p w14:paraId="16E36419" w14:textId="77777777" w:rsidR="00BE0B19" w:rsidRPr="00AE47C6" w:rsidRDefault="00BE0B19" w:rsidP="00BE0B19">
      <w:pPr>
        <w:tabs>
          <w:tab w:val="left" w:pos="851"/>
        </w:tabs>
        <w:spacing w:after="0" w:line="360" w:lineRule="auto"/>
        <w:ind w:firstLine="851"/>
        <w:jc w:val="both"/>
        <w:rPr>
          <w:rFonts w:ascii="Times New Roman" w:eastAsia="SimSun" w:hAnsi="Times New Roman"/>
          <w:sz w:val="24"/>
          <w:szCs w:val="24"/>
        </w:rPr>
      </w:pPr>
      <w:r w:rsidRPr="00AE47C6">
        <w:rPr>
          <w:rFonts w:ascii="Times New Roman" w:eastAsia="SimSun" w:hAnsi="Times New Roman"/>
          <w:i/>
          <w:sz w:val="24"/>
          <w:szCs w:val="24"/>
        </w:rPr>
        <w:t>Лечението</w:t>
      </w:r>
      <w:r w:rsidRPr="00AE47C6">
        <w:rPr>
          <w:rFonts w:ascii="Times New Roman" w:eastAsia="SimSun" w:hAnsi="Times New Roman"/>
          <w:sz w:val="24"/>
          <w:szCs w:val="24"/>
        </w:rPr>
        <w:t xml:space="preserve"> на по-тежките пристъпи е с интравенозно приложение на 10% Glucosae, Insulin, Calcium gluconicum и инхалации със Salbutamol. Профилактиката е избягване на гладуване и храни богати на калий, увеличение на солта, acetazolamide и калий-губещи диуретици.</w:t>
      </w:r>
    </w:p>
    <w:p w14:paraId="2C83DD56" w14:textId="77777777" w:rsidR="00BE0B19" w:rsidRPr="00AE47C6" w:rsidRDefault="00BE0B19" w:rsidP="00BE0B19">
      <w:pPr>
        <w:tabs>
          <w:tab w:val="left" w:pos="851"/>
        </w:tabs>
        <w:spacing w:after="0" w:line="360" w:lineRule="auto"/>
        <w:ind w:firstLine="851"/>
        <w:jc w:val="both"/>
        <w:rPr>
          <w:rFonts w:ascii="Times New Roman" w:eastAsia="SimSun" w:hAnsi="Times New Roman"/>
          <w:sz w:val="24"/>
          <w:szCs w:val="24"/>
        </w:rPr>
      </w:pPr>
      <w:r w:rsidRPr="00AE47C6">
        <w:rPr>
          <w:rFonts w:ascii="Times New Roman" w:eastAsia="SimSun" w:hAnsi="Times New Roman"/>
          <w:b/>
          <w:sz w:val="24"/>
          <w:szCs w:val="24"/>
        </w:rPr>
        <w:t xml:space="preserve">Нормокалиемична периодична парализа. </w:t>
      </w:r>
      <w:r w:rsidRPr="00AE47C6">
        <w:rPr>
          <w:rFonts w:ascii="Times New Roman" w:eastAsia="SimSun" w:hAnsi="Times New Roman"/>
          <w:sz w:val="24"/>
          <w:szCs w:val="24"/>
        </w:rPr>
        <w:t>Описани са малък брой фамилии. Епизодите могат да продължат няколко дни без повишаване концентрацията на серумните К. При една от засегнатите фамилии е доказана мутация в гена, кодиращ натриевите канали. Мутации в същия локус при други фамилии причиняват хиперПП. Това дава основание на някои автори да смятат, че нормокалиемичната периодична парализа е вариант на хиперПП.</w:t>
      </w:r>
    </w:p>
    <w:p w14:paraId="59CF064E" w14:textId="77777777" w:rsidR="00BE0B19" w:rsidRPr="00AE47C6" w:rsidRDefault="00BE0B19" w:rsidP="00BE0B19">
      <w:pPr>
        <w:tabs>
          <w:tab w:val="left" w:pos="8265"/>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Калий-зависимата миотония</w:t>
      </w:r>
      <w:r w:rsidRPr="00AE47C6">
        <w:rPr>
          <w:rFonts w:ascii="Times New Roman" w:eastAsia="SimSun" w:hAnsi="Times New Roman"/>
          <w:sz w:val="24"/>
          <w:szCs w:val="24"/>
        </w:rPr>
        <w:t xml:space="preserve"> (КЗМ) е автозомно-доминантно заболяване. Причинява се от мутации в гена, кодиращ натриевите канали. До сега са описани пет различни мутации. Клинична картина. Може да протича като флуктуираща или перманентна миотония. </w:t>
      </w:r>
    </w:p>
    <w:p w14:paraId="7631C4E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i/>
          <w:sz w:val="24"/>
          <w:szCs w:val="24"/>
        </w:rPr>
        <w:t xml:space="preserve">Флуктуиращата миотония </w:t>
      </w:r>
      <w:r w:rsidRPr="00AE47C6">
        <w:rPr>
          <w:rFonts w:ascii="Times New Roman" w:eastAsia="SimSun" w:hAnsi="Times New Roman"/>
          <w:sz w:val="24"/>
          <w:szCs w:val="24"/>
        </w:rPr>
        <w:t>варира в различните дни и се провокира от физически упражнения. Инфузията на калий засилва миотонията, но не причинява слабост, както при хиперПП. Други деполяризиращи агенти (напр. suxamethonium) също могат да предизвикат или да засилят миотонията с проява на тежки дихателни нарушения по време на обща анестезия, ако пациентът и анестезиологът не знаят за заболяването. Дори и при отсъствие на клинична миотония, латентната може да се верифицира при ЕМГ. При ацетазоламид-зависимата форма, описвана също като атипична myotonia congenita, миотонията може също да флуктуира, и при упражнения да се провокира мускулна болка.</w:t>
      </w:r>
    </w:p>
    <w:p w14:paraId="6E5C1208"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i/>
          <w:sz w:val="24"/>
          <w:szCs w:val="24"/>
        </w:rPr>
        <w:t>Перманентната миотония</w:t>
      </w:r>
      <w:r w:rsidRPr="00AE47C6">
        <w:rPr>
          <w:rFonts w:ascii="Times New Roman" w:eastAsia="SimSun" w:hAnsi="Times New Roman"/>
          <w:sz w:val="24"/>
          <w:szCs w:val="24"/>
        </w:rPr>
        <w:t xml:space="preserve"> се проявява с персистираща генерализирана миотония и мускулна хипертрофия, особено в областта на шията и рамената. Епизодите на тежка миотония на торакалните мускули могат да бъдат животозастрашаващи поради нарушената дихателна дейност, особено при деца. Тъй като миотонията е тежка и се засилва от деполяризиращи агенти, никога не трябва да се прилага калий като диагностично средство. </w:t>
      </w:r>
    </w:p>
    <w:p w14:paraId="5D2CB29E" w14:textId="77777777" w:rsidR="00BE0B19" w:rsidRPr="00AE47C6" w:rsidRDefault="00BE0B19" w:rsidP="00BE0B19">
      <w:pPr>
        <w:tabs>
          <w:tab w:val="left" w:pos="851"/>
        </w:tabs>
        <w:spacing w:after="0" w:line="360" w:lineRule="auto"/>
        <w:ind w:firstLine="851"/>
        <w:jc w:val="both"/>
        <w:rPr>
          <w:rFonts w:ascii="Times New Roman" w:eastAsia="SimSun" w:hAnsi="Times New Roman"/>
          <w:sz w:val="24"/>
          <w:szCs w:val="24"/>
        </w:rPr>
      </w:pPr>
      <w:r w:rsidRPr="00AE47C6">
        <w:rPr>
          <w:rFonts w:ascii="Times New Roman" w:eastAsia="SimSun" w:hAnsi="Times New Roman"/>
          <w:b/>
          <w:sz w:val="24"/>
          <w:szCs w:val="24"/>
        </w:rPr>
        <w:t>Хипокалиемична периодична парализа</w:t>
      </w:r>
      <w:r w:rsidRPr="00AE47C6">
        <w:rPr>
          <w:rFonts w:ascii="Times New Roman" w:eastAsia="SimSun" w:hAnsi="Times New Roman"/>
          <w:sz w:val="24"/>
          <w:szCs w:val="24"/>
        </w:rPr>
        <w:t xml:space="preserve"> е автозомно-доминанто заболяване с намалена пенетрантност при жените. Съотношението мъже/жени е 3-4 : 1. Две мутации в гена (CACLN 1 A3), кодиращ 1 субединицата на L-тип калциевия канал (DHP рецептор) причиняват клиничната картина при повече от 50% от фамилиите. Началото на заболяването при тежките случаи е в ранното детство, като в 60% то е преди 16 годишна възраст. Леките случаи са с късно начало (в трето десетилетие). Проявява се с епизоди на слабост, обикновено във втората половина на нощта или в ранна утрин. Първоначално те са редки, но след няколко месеца или години зачестяват, понякога са ежедневни. Слабостта може да варира по тежест от лека временна слабост на изолирана мускулна група до генерализирана парализа. Обикновено силата постепенно се възстановява в рамките на деня. Понякога слабостта продължава два до три дни. Провокиращи фактори за нощен епизод често са усилената физическа активност или приемането на богата на въглехидрати храна в предхождащия ден. Леката физическа активност обаче може понякога да предотврати или отсрочи леките епизоди. По време на тежките епизоди серумният калий намалява и може да предизвика синусова брадикардия и ЕКГ признаци на хипокалиемия. Липсва, както клинична, така и електрична миотония. Независимо от тежестта и честотата на паралитичните епизоди, 30% от пациентите развиват прогресивна проксимална миопатия с перманентна остатъчна слабост.</w:t>
      </w:r>
    </w:p>
    <w:p w14:paraId="16CD3F07"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Лечението</w:t>
      </w:r>
      <w:r w:rsidRPr="00AE47C6">
        <w:rPr>
          <w:rFonts w:ascii="Times New Roman" w:eastAsia="SimSun" w:hAnsi="Times New Roman"/>
          <w:sz w:val="24"/>
          <w:szCs w:val="24"/>
        </w:rPr>
        <w:t xml:space="preserve"> на по-леките пристъпи е с перорално приемане на Kalnormin 1 g., а при тежки – i.v. Kalium chloride, 0,3 – 0,5 % разтвор в 5% Glucose. Провежда се мониториране на ЕКГ и серумния калий. Профилактика – Acetazolamide, в доза 125-250 mg, 1-3 пъти дневно, калий-съхраняващи диуретици, бета блокери.</w:t>
      </w:r>
    </w:p>
    <w:p w14:paraId="5AF7AB09" w14:textId="77777777" w:rsidR="00BE0B19" w:rsidRPr="00AE47C6" w:rsidRDefault="00BE0B19" w:rsidP="00BE0B19">
      <w:pPr>
        <w:tabs>
          <w:tab w:val="left" w:pos="567"/>
        </w:tabs>
        <w:spacing w:after="0" w:line="360" w:lineRule="auto"/>
        <w:jc w:val="both"/>
        <w:rPr>
          <w:rFonts w:ascii="Times New Roman" w:eastAsia="SimSun" w:hAnsi="Times New Roman"/>
          <w:b/>
          <w:i/>
          <w:sz w:val="24"/>
          <w:szCs w:val="24"/>
        </w:rPr>
      </w:pPr>
      <w:r w:rsidRPr="00AE47C6">
        <w:rPr>
          <w:rFonts w:ascii="Times New Roman" w:eastAsia="SimSun" w:hAnsi="Times New Roman"/>
          <w:b/>
          <w:sz w:val="24"/>
          <w:szCs w:val="24"/>
        </w:rPr>
        <w:tab/>
      </w:r>
      <w:r w:rsidRPr="00AE47C6">
        <w:rPr>
          <w:rFonts w:ascii="Times New Roman" w:eastAsia="SimSun" w:hAnsi="Times New Roman"/>
          <w:b/>
          <w:i/>
          <w:sz w:val="24"/>
          <w:szCs w:val="24"/>
        </w:rPr>
        <w:t>Общата анестезия при пациенти с някои мускулни заболявания може да доведе до усложнения, наподобяващи малигнена хипертермия. При миотониите и периодичните парализи succinylcholine и други деполяризиращи миорелаксанти могат да предизвикат силна миотонична реакция в отделни мускули (напр. m. masseter, по-рядко дихателни и други скелетни мускули). Миотонията може да се задълбочи и от прилагане на калий и антихолинестеразни медикаменти, както и при бременност и хипотирeоидизъм. За лечение се използват Mexiletine, 200 mg/8 ч., Lidocaine 50-100 ml 0,5% разтвор и техни производни. При прогресираща криза от малигнена хипертермия или при тежка миотонична реакция се прилага Dantrolene.</w:t>
      </w:r>
    </w:p>
    <w:p w14:paraId="6A695AA6"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213" w:name="_Toc155651802"/>
      <w:bookmarkStart w:id="214" w:name="_Toc164075935"/>
      <w:r w:rsidRPr="00AE47C6">
        <w:rPr>
          <w:rFonts w:ascii="Times New Roman" w:eastAsia="SimSun" w:hAnsi="Times New Roman"/>
          <w:b/>
          <w:sz w:val="24"/>
          <w:szCs w:val="24"/>
        </w:rPr>
        <w:t>9.2. Заболявания на периферния двигателен неврон. Спинална мускулна атрофия (СМА)</w:t>
      </w:r>
      <w:bookmarkEnd w:id="213"/>
      <w:bookmarkEnd w:id="214"/>
    </w:p>
    <w:p w14:paraId="66C77F1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 xml:space="preserve">Спиналната мускулна атрофия представляват голяма група генетични заболявания, характеризиращи се с дегенерация на периферните алфа мотоневрони в предните рога на гръбначния мозък и двигателните ядра на краниалните нерви, водещи до прогресираща мускулна слабост и атрофии. </w:t>
      </w:r>
      <w:r w:rsidRPr="00AE47C6">
        <w:rPr>
          <w:rFonts w:ascii="Times New Roman" w:eastAsia="SimSun" w:hAnsi="Times New Roman"/>
          <w:i/>
          <w:sz w:val="24"/>
          <w:szCs w:val="24"/>
        </w:rPr>
        <w:t>Средната болестност</w:t>
      </w:r>
      <w:r w:rsidRPr="00AE47C6">
        <w:rPr>
          <w:rFonts w:ascii="Times New Roman" w:eastAsia="SimSun" w:hAnsi="Times New Roman"/>
          <w:sz w:val="24"/>
          <w:szCs w:val="24"/>
        </w:rPr>
        <w:t xml:space="preserve"> за света е 1-2/ 100 000, като в Централна и Източна Европа болестността и заболяемостта е по-висока от Западна Европа, най-</w:t>
      </w:r>
      <w:r w:rsidRPr="00AE47C6">
        <w:rPr>
          <w:rFonts w:ascii="Times New Roman" w:eastAsia="SimSun" w:hAnsi="Times New Roman"/>
          <w:bCs/>
          <w:sz w:val="24"/>
          <w:szCs w:val="24"/>
        </w:rPr>
        <w:t>висока</w:t>
      </w:r>
      <w:r w:rsidRPr="00AE47C6">
        <w:rPr>
          <w:rFonts w:ascii="Times New Roman" w:eastAsia="SimSun" w:hAnsi="Times New Roman"/>
          <w:sz w:val="24"/>
          <w:szCs w:val="24"/>
        </w:rPr>
        <w:t xml:space="preserve"> е в Словакия (заболяемост - 1 случай на 5631 (18 на 100,000) живородени от всички типове</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Най-честата форма на СМА е АР заболяване, обусловено от мутации в гена, кодиращ протеина - survival motor neuron 1 (SMN1), локализиран върху 5q11.2-q13.3. При около 96% от болните е налице делеция на екзони 7 и 8 от </w:t>
      </w:r>
      <w:r w:rsidRPr="00AE47C6">
        <w:rPr>
          <w:rFonts w:ascii="Times New Roman" w:eastAsia="SimSun" w:hAnsi="Times New Roman"/>
          <w:i/>
          <w:sz w:val="24"/>
          <w:szCs w:val="24"/>
        </w:rPr>
        <w:t>SMN1</w:t>
      </w:r>
      <w:r w:rsidRPr="00AE47C6">
        <w:rPr>
          <w:rFonts w:ascii="Times New Roman" w:eastAsia="SimSun" w:hAnsi="Times New Roman"/>
          <w:sz w:val="24"/>
          <w:szCs w:val="24"/>
        </w:rPr>
        <w:t xml:space="preserve">- гена, в по-редки случаи само на екзон 7. В 3 - 4% от случаите се установява друга мутация в комбинация с типичната делеция. SMN локусът върху 5 хромозома съдържа и </w:t>
      </w:r>
      <w:r w:rsidRPr="00AE47C6">
        <w:rPr>
          <w:rFonts w:ascii="Times New Roman" w:eastAsia="SimSun" w:hAnsi="Times New Roman"/>
          <w:i/>
          <w:sz w:val="24"/>
          <w:szCs w:val="24"/>
        </w:rPr>
        <w:t>SMN2</w:t>
      </w:r>
      <w:r w:rsidRPr="00AE47C6">
        <w:rPr>
          <w:rFonts w:ascii="Times New Roman" w:eastAsia="SimSun" w:hAnsi="Times New Roman"/>
          <w:sz w:val="24"/>
          <w:szCs w:val="24"/>
        </w:rPr>
        <w:t xml:space="preserve"> ген, който е близък по структура до </w:t>
      </w:r>
      <w:r w:rsidRPr="00AE47C6">
        <w:rPr>
          <w:rFonts w:ascii="Times New Roman" w:eastAsia="SimSun" w:hAnsi="Times New Roman"/>
          <w:i/>
          <w:sz w:val="24"/>
          <w:szCs w:val="24"/>
        </w:rPr>
        <w:t>SMN1</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SMN2</w:t>
      </w:r>
      <w:r w:rsidRPr="00AE47C6">
        <w:rPr>
          <w:rFonts w:ascii="Times New Roman" w:eastAsia="SimSun" w:hAnsi="Times New Roman"/>
          <w:sz w:val="24"/>
          <w:szCs w:val="24"/>
        </w:rPr>
        <w:t xml:space="preserve"> е интактен при всички пациенти със СМА, като броят на копията варира от 1 до 4 и може да определи тежестта на заболяването. SMN1 кодира основното количество от пълноверижния SMN протеин, докато 90% от SMN2 иРНК не включва екзон 7, вследствие на което се синтезира бързо разграждащ се SMN протеин.</w:t>
      </w:r>
    </w:p>
    <w:p w14:paraId="0E63D866"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Патогенеза</w:t>
      </w:r>
      <w:r w:rsidRPr="00AE47C6">
        <w:rPr>
          <w:rFonts w:ascii="Times New Roman" w:eastAsia="SimSun" w:hAnsi="Times New Roman"/>
          <w:sz w:val="24"/>
          <w:szCs w:val="24"/>
        </w:rPr>
        <w:t>: SMN протеинът е от особена важност за нормалното функциониране на алфа мотоневроните.</w:t>
      </w:r>
    </w:p>
    <w:p w14:paraId="27716D44" w14:textId="77777777" w:rsidR="00BE0B19" w:rsidRPr="00AE47C6" w:rsidRDefault="00BE0B19" w:rsidP="00BE0B19">
      <w:pPr>
        <w:tabs>
          <w:tab w:val="left" w:pos="709"/>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Класифицира се в следните форми на базата на достигнатите моторни функции:</w:t>
      </w:r>
    </w:p>
    <w:p w14:paraId="4579839F" w14:textId="77777777" w:rsidR="00BE0B19" w:rsidRPr="00AE47C6" w:rsidRDefault="00BE0B19" w:rsidP="00BE0B19">
      <w:pPr>
        <w:numPr>
          <w:ilvl w:val="0"/>
          <w:numId w:val="200"/>
        </w:numPr>
        <w:tabs>
          <w:tab w:val="left" w:pos="826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СМА тип 1, при която децата не могат да седят без опора</w:t>
      </w:r>
    </w:p>
    <w:p w14:paraId="61BB5442" w14:textId="77777777" w:rsidR="00BE0B19" w:rsidRPr="00AE47C6" w:rsidRDefault="00BE0B19" w:rsidP="00BE0B19">
      <w:pPr>
        <w:numPr>
          <w:ilvl w:val="0"/>
          <w:numId w:val="200"/>
        </w:numPr>
        <w:tabs>
          <w:tab w:val="left" w:pos="826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СМА тип 2, при която децата могат да седят, но не могат да ходят</w:t>
      </w:r>
    </w:p>
    <w:p w14:paraId="6A9C5E96" w14:textId="77777777" w:rsidR="00BE0B19" w:rsidRPr="00AE47C6" w:rsidRDefault="00BE0B19" w:rsidP="00BE0B19">
      <w:pPr>
        <w:numPr>
          <w:ilvl w:val="0"/>
          <w:numId w:val="200"/>
        </w:numPr>
        <w:tabs>
          <w:tab w:val="left" w:pos="826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СМА тип 3, при която пациентите могат да ходят</w:t>
      </w:r>
    </w:p>
    <w:p w14:paraId="0BE58EF1" w14:textId="77777777" w:rsidR="00BE0B19" w:rsidRPr="00AE47C6" w:rsidRDefault="00BE0B19" w:rsidP="00BE0B19">
      <w:pPr>
        <w:numPr>
          <w:ilvl w:val="0"/>
          <w:numId w:val="200"/>
        </w:numPr>
        <w:tabs>
          <w:tab w:val="left" w:pos="826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СМА тип 4 с начало в зрялата възраст</w:t>
      </w:r>
    </w:p>
    <w:p w14:paraId="00A95CFE" w14:textId="77777777" w:rsidR="00BE0B19" w:rsidRPr="00AE47C6" w:rsidRDefault="00BE0B19" w:rsidP="00BE0B19">
      <w:pPr>
        <w:tabs>
          <w:tab w:val="left" w:pos="709"/>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ab/>
        <w:t>Клинични характеристики.</w:t>
      </w:r>
      <w:r w:rsidRPr="00AE47C6">
        <w:rPr>
          <w:rFonts w:ascii="Times New Roman" w:eastAsia="SimSun" w:hAnsi="Times New Roman"/>
          <w:sz w:val="24"/>
          <w:szCs w:val="24"/>
        </w:rPr>
        <w:t xml:space="preserve"> Основните симптоми на заболяването включват мускулна хипотония, прогресираща проксимална мускулна слабост, по-изразена в долните крайници, булбарна слабост в по-напредналите фази на заболяването. Налице е слабост на междуребрените дихателни мускули при относителна съхраненост на диафрагмата, което води до „камбаноподобна“ форма на гръдния кош и парадоксално дишане. При формата с начало в детска възраст са налице мускулна хипотония и слабост при по-леко проявени булбарно и дихателно засягане.</w:t>
      </w:r>
    </w:p>
    <w:p w14:paraId="7C611A8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ab/>
        <w:t>Диагнозата</w:t>
      </w:r>
      <w:r w:rsidRPr="00AE47C6">
        <w:rPr>
          <w:rFonts w:ascii="Times New Roman" w:eastAsia="SimSun" w:hAnsi="Times New Roman"/>
          <w:sz w:val="24"/>
          <w:szCs w:val="24"/>
        </w:rPr>
        <w:t xml:space="preserve"> се базира на:</w:t>
      </w:r>
    </w:p>
    <w:p w14:paraId="34442F06" w14:textId="77777777" w:rsidR="00BE0B19" w:rsidRPr="00AE47C6" w:rsidRDefault="00BE0B19" w:rsidP="00BE0B19">
      <w:pPr>
        <w:numPr>
          <w:ilvl w:val="0"/>
          <w:numId w:val="199"/>
        </w:numPr>
        <w:tabs>
          <w:tab w:val="left" w:pos="826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Клиничните характеристики</w:t>
      </w:r>
    </w:p>
    <w:p w14:paraId="36CCC72E" w14:textId="77777777" w:rsidR="00BE0B19" w:rsidRPr="00AE47C6" w:rsidRDefault="00BE0B19" w:rsidP="00BE0B19">
      <w:pPr>
        <w:numPr>
          <w:ilvl w:val="0"/>
          <w:numId w:val="199"/>
        </w:numPr>
        <w:tabs>
          <w:tab w:val="left" w:pos="826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ЕМГ изследването с данни за преднорогова увреда</w:t>
      </w:r>
    </w:p>
    <w:p w14:paraId="69020CEB" w14:textId="77777777" w:rsidR="00BE0B19" w:rsidRPr="00AE47C6" w:rsidRDefault="00BE0B19" w:rsidP="00BE0B19">
      <w:pPr>
        <w:numPr>
          <w:ilvl w:val="0"/>
          <w:numId w:val="199"/>
        </w:numPr>
        <w:tabs>
          <w:tab w:val="left" w:pos="826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КФК варира от нормална до леко повишена</w:t>
      </w:r>
    </w:p>
    <w:p w14:paraId="0EB69214" w14:textId="77777777" w:rsidR="00BE0B19" w:rsidRPr="00AE47C6" w:rsidRDefault="00BE0B19" w:rsidP="00BE0B19">
      <w:pPr>
        <w:numPr>
          <w:ilvl w:val="0"/>
          <w:numId w:val="199"/>
        </w:numPr>
        <w:tabs>
          <w:tab w:val="left" w:pos="826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Окончателната диагноза се поставя чрез молекулярно-генетично изследване (фиг. 9.4). Златен стандарт при генетичната верификация е количествената оценка на SMN1 и SMN2, чрез multiplex ligation dependent (MLPA) или количествена полимеразна верижна реакция или чрез секвениране от ново поколение (NGS), (фигура 9.4).</w:t>
      </w:r>
    </w:p>
    <w:p w14:paraId="0D0EC2AA" w14:textId="77777777" w:rsidR="00BE0B19" w:rsidRPr="00AE47C6" w:rsidRDefault="00BE0B19" w:rsidP="00BE0B19">
      <w:pPr>
        <w:spacing w:after="0" w:line="360" w:lineRule="auto"/>
        <w:rPr>
          <w:rFonts w:ascii="Times New Roman" w:eastAsia="SimSun" w:hAnsi="Times New Roman"/>
          <w:sz w:val="24"/>
          <w:szCs w:val="24"/>
        </w:rPr>
        <w:sectPr w:rsidR="00BE0B19" w:rsidRPr="00AE47C6" w:rsidSect="00636D0C">
          <w:pgSz w:w="11906" w:h="16838"/>
          <w:pgMar w:top="1418" w:right="1418" w:bottom="1418" w:left="1418" w:header="709" w:footer="709" w:gutter="0"/>
          <w:cols w:space="708"/>
          <w:docGrid w:linePitch="360"/>
        </w:sectPr>
      </w:pPr>
      <w:r w:rsidRPr="00AE47C6">
        <w:rPr>
          <w:rFonts w:ascii="Times New Roman" w:eastAsia="SimSun" w:hAnsi="Times New Roman"/>
          <w:sz w:val="24"/>
          <w:szCs w:val="24"/>
        </w:rPr>
        <w:tab/>
        <w:t xml:space="preserve">Броят на SMN2 копията определя тежестта на заболяването в повечето случаи, макар че съществуват и изключения. Болните със СМА тип 1 имат 2 SMN2 копия, тези със СМА тип 2 - 3, тези със СМА тип 3 - 4, а при болните със СМА тип 4 SMN2 копията са от 4 до 6. </w:t>
      </w:r>
    </w:p>
    <w:p w14:paraId="0A4EAC7B" w14:textId="77777777" w:rsidR="00BE0B19" w:rsidRPr="00AE47C6" w:rsidRDefault="00BE0B19" w:rsidP="00BE0B19">
      <w:pPr>
        <w:tabs>
          <w:tab w:val="left" w:pos="8265"/>
        </w:tabs>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696128" behindDoc="0" locked="0" layoutInCell="1" allowOverlap="1" wp14:anchorId="177521CA" wp14:editId="039DF1BE">
                <wp:simplePos x="0" y="0"/>
                <wp:positionH relativeFrom="column">
                  <wp:posOffset>4633595</wp:posOffset>
                </wp:positionH>
                <wp:positionV relativeFrom="paragraph">
                  <wp:posOffset>3957320</wp:posOffset>
                </wp:positionV>
                <wp:extent cx="1200150" cy="666750"/>
                <wp:effectExtent l="0" t="0" r="0" b="0"/>
                <wp:wrapNone/>
                <wp:docPr id="103"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666750"/>
                        </a:xfrm>
                        <a:prstGeom prst="rect">
                          <a:avLst/>
                        </a:prstGeom>
                        <a:solidFill>
                          <a:srgbClr val="FFFFFF"/>
                        </a:solidFill>
                        <a:ln w="9525">
                          <a:solidFill>
                            <a:srgbClr val="000000"/>
                          </a:solidFill>
                          <a:miter lim="800000"/>
                          <a:headEnd/>
                          <a:tailEnd/>
                        </a:ln>
                      </wps:spPr>
                      <wps:txbx>
                        <w:txbxContent>
                          <w:p w14:paraId="539FC49A" w14:textId="77777777" w:rsidR="00471742" w:rsidRPr="00411DE0" w:rsidRDefault="00471742" w:rsidP="00BE0B19">
                            <w:pPr>
                              <w:jc w:val="center"/>
                              <w:rPr>
                                <w:rFonts w:ascii="Arial" w:hAnsi="Arial" w:cs="Arial"/>
                                <w:sz w:val="20"/>
                                <w:szCs w:val="20"/>
                              </w:rPr>
                            </w:pPr>
                            <w:r w:rsidRPr="00411DE0">
                              <w:rPr>
                                <w:rFonts w:ascii="Arial" w:hAnsi="Arial" w:cs="Arial"/>
                                <w:sz w:val="20"/>
                                <w:szCs w:val="20"/>
                              </w:rPr>
                              <w:t>Включване в потенциални терапии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7521CA" id="Text Box 89" o:spid="_x0000_s1131" type="#_x0000_t202" style="position:absolute;left:0;text-align:left;margin-left:364.85pt;margin-top:311.6pt;width:94.5pt;height:5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">
                <v:textbox>
                  <w:txbxContent>
                    <w:p w14:paraId="539FC49A" w14:textId="77777777" w:rsidR="00471742" w:rsidRPr="00411DE0" w:rsidRDefault="00471742" w:rsidP="00BE0B19">
                      <w:pPr>
                        <w:jc w:val="center"/>
                        <w:rPr>
                          <w:rFonts w:ascii="Arial" w:hAnsi="Arial" w:cs="Arial"/>
                          <w:sz w:val="20"/>
                          <w:szCs w:val="20"/>
                        </w:rPr>
                      </w:pPr>
                      <w:r w:rsidRPr="00411DE0">
                        <w:rPr>
                          <w:rFonts w:ascii="Arial" w:hAnsi="Arial" w:cs="Arial"/>
                          <w:sz w:val="20"/>
                          <w:szCs w:val="20"/>
                        </w:rPr>
                        <w:t>Включване в потенциални терапии</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94080" behindDoc="0" locked="0" layoutInCell="1" allowOverlap="1" wp14:anchorId="5D4FB1B5" wp14:editId="5561429F">
                <wp:simplePos x="0" y="0"/>
                <wp:positionH relativeFrom="column">
                  <wp:posOffset>4214495</wp:posOffset>
                </wp:positionH>
                <wp:positionV relativeFrom="paragraph">
                  <wp:posOffset>3833495</wp:posOffset>
                </wp:positionV>
                <wp:extent cx="419100" cy="295275"/>
                <wp:effectExtent l="0" t="0" r="57150" b="28575"/>
                <wp:wrapNone/>
                <wp:docPr id="102"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29527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9D0951" id="AutoShape 87" o:spid="_x0000_s1026" type="#_x0000_t32" style="position:absolute;margin-left:331.85pt;margin-top:301.85pt;width:33pt;height:23.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" strokeweight="1.5pt">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95104" behindDoc="0" locked="0" layoutInCell="1" allowOverlap="1" wp14:anchorId="0F45ADC0" wp14:editId="7F274602">
                <wp:simplePos x="0" y="0"/>
                <wp:positionH relativeFrom="column">
                  <wp:posOffset>4633595</wp:posOffset>
                </wp:positionH>
                <wp:positionV relativeFrom="paragraph">
                  <wp:posOffset>3176270</wp:posOffset>
                </wp:positionV>
                <wp:extent cx="1200150" cy="657225"/>
                <wp:effectExtent l="0" t="0" r="0" b="9525"/>
                <wp:wrapNone/>
                <wp:docPr id="101"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657225"/>
                        </a:xfrm>
                        <a:prstGeom prst="rect">
                          <a:avLst/>
                        </a:prstGeom>
                        <a:solidFill>
                          <a:srgbClr val="FFFFFF"/>
                        </a:solidFill>
                        <a:ln w="9525">
                          <a:solidFill>
                            <a:srgbClr val="000000"/>
                          </a:solidFill>
                          <a:miter lim="800000"/>
                          <a:headEnd/>
                          <a:tailEnd/>
                        </a:ln>
                      </wps:spPr>
                      <wps:txbx>
                        <w:txbxContent>
                          <w:p w14:paraId="334628C1" w14:textId="77777777" w:rsidR="00471742" w:rsidRPr="00411DE0" w:rsidRDefault="00471742" w:rsidP="00BE0B19">
                            <w:pPr>
                              <w:jc w:val="center"/>
                              <w:rPr>
                                <w:rFonts w:ascii="Arial" w:hAnsi="Arial" w:cs="Arial"/>
                                <w:sz w:val="20"/>
                                <w:szCs w:val="20"/>
                              </w:rPr>
                            </w:pPr>
                            <w:r w:rsidRPr="00411DE0">
                              <w:rPr>
                                <w:rFonts w:ascii="Arial" w:hAnsi="Arial" w:cs="Arial"/>
                                <w:sz w:val="20"/>
                                <w:szCs w:val="20"/>
                              </w:rPr>
                              <w:t>Прогнозиране на тежестта на СМА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5ADC0" id="Text Box 88" o:spid="_x0000_s1132" type="#_x0000_t202" style="position:absolute;left:0;text-align:left;margin-left:364.85pt;margin-top:250.1pt;width:94.5pt;height:51.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">
                <v:textbox>
                  <w:txbxContent>
                    <w:p w14:paraId="334628C1" w14:textId="77777777" w:rsidR="00471742" w:rsidRPr="00411DE0" w:rsidRDefault="00471742" w:rsidP="00BE0B19">
                      <w:pPr>
                        <w:jc w:val="center"/>
                        <w:rPr>
                          <w:rFonts w:ascii="Arial" w:hAnsi="Arial" w:cs="Arial"/>
                          <w:sz w:val="20"/>
                          <w:szCs w:val="20"/>
                        </w:rPr>
                      </w:pPr>
                      <w:r w:rsidRPr="00411DE0">
                        <w:rPr>
                          <w:rFonts w:ascii="Arial" w:hAnsi="Arial" w:cs="Arial"/>
                          <w:sz w:val="20"/>
                          <w:szCs w:val="20"/>
                        </w:rPr>
                        <w:t>Прогнозиране на тежестта на СМА</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93056" behindDoc="0" locked="0" layoutInCell="1" allowOverlap="1" wp14:anchorId="20B5C1D3" wp14:editId="77D9824F">
                <wp:simplePos x="0" y="0"/>
                <wp:positionH relativeFrom="column">
                  <wp:posOffset>4214495</wp:posOffset>
                </wp:positionH>
                <wp:positionV relativeFrom="paragraph">
                  <wp:posOffset>3538220</wp:posOffset>
                </wp:positionV>
                <wp:extent cx="419100" cy="295275"/>
                <wp:effectExtent l="0" t="38100" r="38100" b="9525"/>
                <wp:wrapNone/>
                <wp:docPr id="100"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19100" cy="29527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FA1546" id="AutoShape 86" o:spid="_x0000_s1026" type="#_x0000_t32" style="position:absolute;margin-left:331.85pt;margin-top:278.6pt;width:33pt;height:23.2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" strokeweight="1.5pt">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92032" behindDoc="0" locked="0" layoutInCell="1" allowOverlap="1" wp14:anchorId="6E68F58D" wp14:editId="4BA10EF1">
                <wp:simplePos x="0" y="0"/>
                <wp:positionH relativeFrom="column">
                  <wp:posOffset>7291070</wp:posOffset>
                </wp:positionH>
                <wp:positionV relativeFrom="paragraph">
                  <wp:posOffset>5938520</wp:posOffset>
                </wp:positionV>
                <wp:extent cx="1838325" cy="438150"/>
                <wp:effectExtent l="0" t="0" r="9525" b="0"/>
                <wp:wrapNone/>
                <wp:docPr id="99"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438150"/>
                        </a:xfrm>
                        <a:prstGeom prst="rect">
                          <a:avLst/>
                        </a:prstGeom>
                        <a:solidFill>
                          <a:srgbClr val="FFFFFF"/>
                        </a:solidFill>
                        <a:ln w="9525">
                          <a:solidFill>
                            <a:srgbClr val="000000"/>
                          </a:solidFill>
                          <a:miter lim="800000"/>
                          <a:headEnd/>
                          <a:tailEnd/>
                        </a:ln>
                      </wps:spPr>
                      <wps:txbx>
                        <w:txbxContent>
                          <w:p w14:paraId="259641AA" w14:textId="77777777" w:rsidR="00471742" w:rsidRPr="00411DE0" w:rsidRDefault="00471742" w:rsidP="00BE0B19">
                            <w:pPr>
                              <w:jc w:val="center"/>
                              <w:rPr>
                                <w:rFonts w:ascii="Arial" w:hAnsi="Arial" w:cs="Arial"/>
                                <w:sz w:val="20"/>
                                <w:szCs w:val="20"/>
                              </w:rPr>
                            </w:pPr>
                            <w:r w:rsidRPr="00411DE0">
                              <w:rPr>
                                <w:rFonts w:ascii="Arial" w:hAnsi="Arial" w:cs="Arial"/>
                                <w:sz w:val="20"/>
                                <w:szCs w:val="20"/>
                              </w:rPr>
                              <w:t>Генни панели, екзомно секвениране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68F58D" id="Text Box 85" o:spid="_x0000_s1133" type="#_x0000_t202" style="position:absolute;left:0;text-align:left;margin-left:574.1pt;margin-top:467.6pt;width:144.75pt;height:3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">
                <v:textbox>
                  <w:txbxContent>
                    <w:p w14:paraId="259641AA" w14:textId="77777777" w:rsidR="00471742" w:rsidRPr="00411DE0" w:rsidRDefault="00471742" w:rsidP="00BE0B19">
                      <w:pPr>
                        <w:jc w:val="center"/>
                        <w:rPr>
                          <w:rFonts w:ascii="Arial" w:hAnsi="Arial" w:cs="Arial"/>
                          <w:sz w:val="20"/>
                          <w:szCs w:val="20"/>
                        </w:rPr>
                      </w:pPr>
                      <w:r w:rsidRPr="00411DE0">
                        <w:rPr>
                          <w:rFonts w:ascii="Arial" w:hAnsi="Arial" w:cs="Arial"/>
                          <w:sz w:val="20"/>
                          <w:szCs w:val="20"/>
                        </w:rPr>
                        <w:t>Генни панели, екзомно секвениране</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88960" behindDoc="0" locked="0" layoutInCell="1" allowOverlap="1" wp14:anchorId="7CC722F7" wp14:editId="7E9561C0">
                <wp:simplePos x="0" y="0"/>
                <wp:positionH relativeFrom="column">
                  <wp:posOffset>5644515</wp:posOffset>
                </wp:positionH>
                <wp:positionV relativeFrom="paragraph">
                  <wp:posOffset>2680970</wp:posOffset>
                </wp:positionV>
                <wp:extent cx="1808480" cy="1447800"/>
                <wp:effectExtent l="0" t="0" r="58420" b="38100"/>
                <wp:wrapNone/>
                <wp:docPr id="98"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8480" cy="14478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14144F" id="AutoShape 81" o:spid="_x0000_s1026" type="#_x0000_t32" style="position:absolute;margin-left:444.45pt;margin-top:211.1pt;width:142.4pt;height:11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" strokeweight="1.5pt">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87936" behindDoc="0" locked="0" layoutInCell="1" allowOverlap="1" wp14:anchorId="43D4050D" wp14:editId="37D298C4">
                <wp:simplePos x="0" y="0"/>
                <wp:positionH relativeFrom="column">
                  <wp:posOffset>4892040</wp:posOffset>
                </wp:positionH>
                <wp:positionV relativeFrom="paragraph">
                  <wp:posOffset>2490470</wp:posOffset>
                </wp:positionV>
                <wp:extent cx="751205" cy="295275"/>
                <wp:effectExtent l="0" t="0" r="0" b="9525"/>
                <wp:wrapNone/>
                <wp:docPr id="97"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205" cy="295275"/>
                        </a:xfrm>
                        <a:prstGeom prst="rect">
                          <a:avLst/>
                        </a:prstGeom>
                        <a:solidFill>
                          <a:srgbClr val="FFFFFF"/>
                        </a:solidFill>
                        <a:ln w="9525">
                          <a:solidFill>
                            <a:srgbClr val="000000"/>
                          </a:solidFill>
                          <a:miter lim="800000"/>
                          <a:headEnd/>
                          <a:tailEnd/>
                        </a:ln>
                      </wps:spPr>
                      <wps:txbx>
                        <w:txbxContent>
                          <w:p w14:paraId="1061F086" w14:textId="77777777" w:rsidR="00471742" w:rsidRPr="00411DE0" w:rsidRDefault="00471742" w:rsidP="00BE0B19">
                            <w:pPr>
                              <w:jc w:val="center"/>
                              <w:rPr>
                                <w:rFonts w:ascii="Arial" w:hAnsi="Arial" w:cs="Arial"/>
                                <w:sz w:val="20"/>
                                <w:szCs w:val="20"/>
                              </w:rPr>
                            </w:pPr>
                            <w:r w:rsidRPr="00411DE0">
                              <w:rPr>
                                <w:rFonts w:ascii="Arial" w:hAnsi="Arial" w:cs="Arial"/>
                                <w:sz w:val="20"/>
                                <w:szCs w:val="20"/>
                              </w:rPr>
                              <w:t>2 копия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D4050D" id="Text Box 80" o:spid="_x0000_s1134" type="#_x0000_t202" style="position:absolute;left:0;text-align:left;margin-left:385.2pt;margin-top:196.1pt;width:59.15pt;height:23.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">
                <v:textbox>
                  <w:txbxContent>
                    <w:p w14:paraId="1061F086" w14:textId="77777777" w:rsidR="00471742" w:rsidRPr="00411DE0" w:rsidRDefault="00471742" w:rsidP="00BE0B19">
                      <w:pPr>
                        <w:jc w:val="center"/>
                        <w:rPr>
                          <w:rFonts w:ascii="Arial" w:hAnsi="Arial" w:cs="Arial"/>
                          <w:sz w:val="20"/>
                          <w:szCs w:val="20"/>
                        </w:rPr>
                      </w:pPr>
                      <w:r w:rsidRPr="00411DE0">
                        <w:rPr>
                          <w:rFonts w:ascii="Arial" w:hAnsi="Arial" w:cs="Arial"/>
                          <w:sz w:val="20"/>
                          <w:szCs w:val="20"/>
                        </w:rPr>
                        <w:t>2 копия</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85888" behindDoc="0" locked="0" layoutInCell="1" allowOverlap="1" wp14:anchorId="253B7743" wp14:editId="755B19EE">
                <wp:simplePos x="0" y="0"/>
                <wp:positionH relativeFrom="column">
                  <wp:posOffset>8014970</wp:posOffset>
                </wp:positionH>
                <wp:positionV relativeFrom="paragraph">
                  <wp:posOffset>3185795</wp:posOffset>
                </wp:positionV>
                <wp:extent cx="635" cy="942975"/>
                <wp:effectExtent l="76200" t="0" r="56515" b="28575"/>
                <wp:wrapNone/>
                <wp:docPr id="96"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94297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C587C9" id="AutoShape 78" o:spid="_x0000_s1026" type="#_x0000_t32" style="position:absolute;margin-left:631.1pt;margin-top:250.85pt;width:.05pt;height:74.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s7mNwIAAGE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" strokeweight="1.5pt">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86912" behindDoc="0" locked="0" layoutInCell="1" allowOverlap="1" wp14:anchorId="42FEC270" wp14:editId="427609A5">
                <wp:simplePos x="0" y="0"/>
                <wp:positionH relativeFrom="column">
                  <wp:posOffset>7452995</wp:posOffset>
                </wp:positionH>
                <wp:positionV relativeFrom="paragraph">
                  <wp:posOffset>4128770</wp:posOffset>
                </wp:positionV>
                <wp:extent cx="1295400" cy="838200"/>
                <wp:effectExtent l="0" t="0" r="0" b="0"/>
                <wp:wrapNone/>
                <wp:docPr id="95"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838200"/>
                        </a:xfrm>
                        <a:prstGeom prst="rect">
                          <a:avLst/>
                        </a:prstGeom>
                        <a:solidFill>
                          <a:srgbClr val="FFFFFF"/>
                        </a:solidFill>
                        <a:ln w="9525">
                          <a:solidFill>
                            <a:srgbClr val="000000"/>
                          </a:solidFill>
                          <a:miter lim="800000"/>
                          <a:headEnd/>
                          <a:tailEnd/>
                        </a:ln>
                      </wps:spPr>
                      <wps:txbx>
                        <w:txbxContent>
                          <w:p w14:paraId="18550F63" w14:textId="77777777" w:rsidR="00471742" w:rsidRPr="00411DE0" w:rsidRDefault="00471742" w:rsidP="00BE0B19">
                            <w:pPr>
                              <w:jc w:val="center"/>
                              <w:rPr>
                                <w:rFonts w:ascii="Arial" w:hAnsi="Arial" w:cs="Arial"/>
                                <w:sz w:val="20"/>
                                <w:szCs w:val="20"/>
                              </w:rPr>
                            </w:pPr>
                            <w:r w:rsidRPr="00411DE0">
                              <w:rPr>
                                <w:rFonts w:ascii="Arial" w:hAnsi="Arial" w:cs="Arial"/>
                                <w:sz w:val="20"/>
                                <w:szCs w:val="20"/>
                              </w:rPr>
                              <w:t>Друг тип СМА или невромускулно заболяване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EC270" id="Text Box 79" o:spid="_x0000_s1135" type="#_x0000_t202" style="position:absolute;left:0;text-align:left;margin-left:586.85pt;margin-top:325.1pt;width:102pt;height:6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">
                <v:textbox>
                  <w:txbxContent>
                    <w:p w14:paraId="18550F63" w14:textId="77777777" w:rsidR="00471742" w:rsidRPr="00411DE0" w:rsidRDefault="00471742" w:rsidP="00BE0B19">
                      <w:pPr>
                        <w:jc w:val="center"/>
                        <w:rPr>
                          <w:rFonts w:ascii="Arial" w:hAnsi="Arial" w:cs="Arial"/>
                          <w:sz w:val="20"/>
                          <w:szCs w:val="20"/>
                        </w:rPr>
                      </w:pPr>
                      <w:r w:rsidRPr="00411DE0">
                        <w:rPr>
                          <w:rFonts w:ascii="Arial" w:hAnsi="Arial" w:cs="Arial"/>
                          <w:sz w:val="20"/>
                          <w:szCs w:val="20"/>
                        </w:rPr>
                        <w:t>Друг тип СМА или невромускулно заболяване</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84864" behindDoc="0" locked="0" layoutInCell="1" allowOverlap="1" wp14:anchorId="455CD94E" wp14:editId="1609616D">
                <wp:simplePos x="0" y="0"/>
                <wp:positionH relativeFrom="column">
                  <wp:posOffset>7576820</wp:posOffset>
                </wp:positionH>
                <wp:positionV relativeFrom="paragraph">
                  <wp:posOffset>2680970</wp:posOffset>
                </wp:positionV>
                <wp:extent cx="771525" cy="504825"/>
                <wp:effectExtent l="0" t="0" r="9525" b="9525"/>
                <wp:wrapNone/>
                <wp:docPr id="94"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504825"/>
                        </a:xfrm>
                        <a:prstGeom prst="rect">
                          <a:avLst/>
                        </a:prstGeom>
                        <a:solidFill>
                          <a:srgbClr val="FFFFFF"/>
                        </a:solidFill>
                        <a:ln w="9525">
                          <a:solidFill>
                            <a:srgbClr val="000000"/>
                          </a:solidFill>
                          <a:miter lim="800000"/>
                          <a:headEnd/>
                          <a:tailEnd/>
                        </a:ln>
                      </wps:spPr>
                      <wps:txbx>
                        <w:txbxContent>
                          <w:p w14:paraId="123C001D" w14:textId="77777777" w:rsidR="00471742" w:rsidRPr="00411DE0" w:rsidRDefault="00471742" w:rsidP="00BE0B19">
                            <w:pPr>
                              <w:jc w:val="center"/>
                              <w:rPr>
                                <w:rFonts w:ascii="Arial" w:hAnsi="Arial" w:cs="Arial"/>
                                <w:sz w:val="20"/>
                                <w:szCs w:val="20"/>
                              </w:rPr>
                            </w:pPr>
                            <w:r w:rsidRPr="00411DE0">
                              <w:rPr>
                                <w:rFonts w:ascii="Arial" w:hAnsi="Arial" w:cs="Arial"/>
                                <w:sz w:val="20"/>
                                <w:szCs w:val="20"/>
                              </w:rPr>
                              <w:t>Без мутация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5CD94E" id="Text Box 77" o:spid="_x0000_s1136" type="#_x0000_t202" style="position:absolute;left:0;text-align:left;margin-left:596.6pt;margin-top:211.1pt;width:60.75pt;height:3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">
                <v:textbox>
                  <w:txbxContent>
                    <w:p w14:paraId="123C001D" w14:textId="77777777" w:rsidR="00471742" w:rsidRPr="00411DE0" w:rsidRDefault="00471742" w:rsidP="00BE0B19">
                      <w:pPr>
                        <w:jc w:val="center"/>
                        <w:rPr>
                          <w:rFonts w:ascii="Arial" w:hAnsi="Arial" w:cs="Arial"/>
                          <w:sz w:val="20"/>
                          <w:szCs w:val="20"/>
                        </w:rPr>
                      </w:pPr>
                      <w:r w:rsidRPr="00411DE0">
                        <w:rPr>
                          <w:rFonts w:ascii="Arial" w:hAnsi="Arial" w:cs="Arial"/>
                          <w:sz w:val="20"/>
                          <w:szCs w:val="20"/>
                        </w:rPr>
                        <w:t>Без мутация</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83840" behindDoc="0" locked="0" layoutInCell="1" allowOverlap="1" wp14:anchorId="00EB4F25" wp14:editId="5E47E8ED">
                <wp:simplePos x="0" y="0"/>
                <wp:positionH relativeFrom="column">
                  <wp:posOffset>7071995</wp:posOffset>
                </wp:positionH>
                <wp:positionV relativeFrom="paragraph">
                  <wp:posOffset>2442845</wp:posOffset>
                </wp:positionV>
                <wp:extent cx="504825" cy="342900"/>
                <wp:effectExtent l="0" t="0" r="28575" b="38100"/>
                <wp:wrapNone/>
                <wp:docPr id="93"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3429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D6E1B6" id="AutoShape 76" o:spid="_x0000_s1026" type="#_x0000_t32" style="position:absolute;margin-left:556.85pt;margin-top:192.35pt;width:39.75pt;height:2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HItOwIAAGQ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" strokeweight="1.5pt">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70528" behindDoc="0" locked="0" layoutInCell="1" allowOverlap="1" wp14:anchorId="07BFA591" wp14:editId="5E3F65F8">
                <wp:simplePos x="0" y="0"/>
                <wp:positionH relativeFrom="column">
                  <wp:posOffset>4415790</wp:posOffset>
                </wp:positionH>
                <wp:positionV relativeFrom="paragraph">
                  <wp:posOffset>1604645</wp:posOffset>
                </wp:positionV>
                <wp:extent cx="1270" cy="1000125"/>
                <wp:effectExtent l="0" t="0" r="17780" b="9525"/>
                <wp:wrapNone/>
                <wp:docPr id="92"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10001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4FCFEA" id="AutoShape 61" o:spid="_x0000_s1026" type="#_x0000_t32" style="position:absolute;margin-left:347.7pt;margin-top:126.35pt;width:.1pt;height:7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" strokeweight="1.5pt"/>
            </w:pict>
          </mc:Fallback>
        </mc:AlternateContent>
      </w:r>
      <w:r w:rsidRPr="00AE47C6">
        <w:rPr>
          <w:rFonts w:ascii="Times New Roman" w:eastAsia="SimSun" w:hAnsi="Times New Roman"/>
          <w:noProof/>
          <w:sz w:val="24"/>
          <w:szCs w:val="24"/>
          <w:lang w:eastAsia="bg-BG"/>
        </w:rPr>
        <mc:AlternateContent>
          <mc:Choice Requires="wps">
            <w:drawing>
              <wp:anchor distT="4294967293" distB="4294967293" distL="114300" distR="114300" simplePos="0" relativeHeight="251682816" behindDoc="0" locked="0" layoutInCell="1" allowOverlap="1" wp14:anchorId="4137C112" wp14:editId="12F6B18C">
                <wp:simplePos x="0" y="0"/>
                <wp:positionH relativeFrom="column">
                  <wp:posOffset>4414520</wp:posOffset>
                </wp:positionH>
                <wp:positionV relativeFrom="paragraph">
                  <wp:posOffset>2604769</wp:posOffset>
                </wp:positionV>
                <wp:extent cx="477520" cy="0"/>
                <wp:effectExtent l="0" t="76200" r="0" b="76200"/>
                <wp:wrapNone/>
                <wp:docPr id="91"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52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54C2BA" id="AutoShape 75" o:spid="_x0000_s1026" type="#_x0000_t32" style="position:absolute;margin-left:347.6pt;margin-top:205.1pt;width:37.6pt;height:0;z-index:2516828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JQ4NAIAAF8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" strokeweight="1.5pt">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81792" behindDoc="0" locked="0" layoutInCell="1" allowOverlap="1" wp14:anchorId="1D0611D1" wp14:editId="0CE63D1F">
                <wp:simplePos x="0" y="0"/>
                <wp:positionH relativeFrom="column">
                  <wp:posOffset>7691120</wp:posOffset>
                </wp:positionH>
                <wp:positionV relativeFrom="paragraph">
                  <wp:posOffset>1604645</wp:posOffset>
                </wp:positionV>
                <wp:extent cx="323850" cy="438150"/>
                <wp:effectExtent l="38100" t="38100" r="0" b="0"/>
                <wp:wrapNone/>
                <wp:docPr id="90"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23850" cy="43815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A6B35E" id="AutoShape 74" o:spid="_x0000_s1026" type="#_x0000_t32" style="position:absolute;margin-left:605.6pt;margin-top:126.35pt;width:25.5pt;height:34.5pt;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" strokeweight="1.5pt">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80768" behindDoc="0" locked="0" layoutInCell="1" allowOverlap="1" wp14:anchorId="77C37898" wp14:editId="20F6511D">
                <wp:simplePos x="0" y="0"/>
                <wp:positionH relativeFrom="column">
                  <wp:posOffset>7576820</wp:posOffset>
                </wp:positionH>
                <wp:positionV relativeFrom="paragraph">
                  <wp:posOffset>2042795</wp:posOffset>
                </wp:positionV>
                <wp:extent cx="771525" cy="400050"/>
                <wp:effectExtent l="0" t="0" r="9525" b="0"/>
                <wp:wrapNone/>
                <wp:docPr id="89"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400050"/>
                        </a:xfrm>
                        <a:prstGeom prst="rect">
                          <a:avLst/>
                        </a:prstGeom>
                        <a:solidFill>
                          <a:srgbClr val="FFFFFF"/>
                        </a:solidFill>
                        <a:ln w="9525">
                          <a:solidFill>
                            <a:srgbClr val="000000"/>
                          </a:solidFill>
                          <a:miter lim="800000"/>
                          <a:headEnd/>
                          <a:tailEnd/>
                        </a:ln>
                      </wps:spPr>
                      <wps:txbx>
                        <w:txbxContent>
                          <w:p w14:paraId="22DD2663" w14:textId="77777777" w:rsidR="00471742" w:rsidRPr="00411DE0" w:rsidRDefault="00471742" w:rsidP="00BE0B19">
                            <w:pPr>
                              <w:jc w:val="center"/>
                              <w:rPr>
                                <w:rFonts w:ascii="Arial" w:hAnsi="Arial" w:cs="Arial"/>
                                <w:sz w:val="20"/>
                                <w:szCs w:val="20"/>
                              </w:rPr>
                            </w:pPr>
                            <w:r w:rsidRPr="00411DE0">
                              <w:rPr>
                                <w:rFonts w:ascii="Arial" w:hAnsi="Arial" w:cs="Arial"/>
                                <w:sz w:val="20"/>
                                <w:szCs w:val="20"/>
                              </w:rPr>
                              <w:t>Мутация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37898" id="Text Box 72" o:spid="_x0000_s1137" type="#_x0000_t202" style="position:absolute;left:0;text-align:left;margin-left:596.6pt;margin-top:160.85pt;width:60.75pt;height:3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">
                <v:textbox>
                  <w:txbxContent>
                    <w:p w14:paraId="22DD2663" w14:textId="77777777" w:rsidR="00471742" w:rsidRPr="00411DE0" w:rsidRDefault="00471742" w:rsidP="00BE0B19">
                      <w:pPr>
                        <w:jc w:val="center"/>
                        <w:rPr>
                          <w:rFonts w:ascii="Arial" w:hAnsi="Arial" w:cs="Arial"/>
                          <w:sz w:val="20"/>
                          <w:szCs w:val="20"/>
                        </w:rPr>
                      </w:pPr>
                      <w:r w:rsidRPr="00411DE0">
                        <w:rPr>
                          <w:rFonts w:ascii="Arial" w:hAnsi="Arial" w:cs="Arial"/>
                          <w:sz w:val="20"/>
                          <w:szCs w:val="20"/>
                        </w:rPr>
                        <w:t>Мутация</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4294967293" distB="4294967293" distL="114300" distR="114300" simplePos="0" relativeHeight="251679744" behindDoc="0" locked="0" layoutInCell="1" allowOverlap="1" wp14:anchorId="24927C9C" wp14:editId="22C3338E">
                <wp:simplePos x="0" y="0"/>
                <wp:positionH relativeFrom="column">
                  <wp:posOffset>7233920</wp:posOffset>
                </wp:positionH>
                <wp:positionV relativeFrom="paragraph">
                  <wp:posOffset>2214244</wp:posOffset>
                </wp:positionV>
                <wp:extent cx="342900" cy="0"/>
                <wp:effectExtent l="0" t="76200" r="0" b="76200"/>
                <wp:wrapNone/>
                <wp:docPr id="88"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074830" id="AutoShape 71" o:spid="_x0000_s1026" type="#_x0000_t32" style="position:absolute;margin-left:569.6pt;margin-top:174.35pt;width:27pt;height:0;z-index:2516797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" strokeweight="1.5pt">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78720" behindDoc="0" locked="0" layoutInCell="1" allowOverlap="1" wp14:anchorId="359DA1FB" wp14:editId="7B5BFA63">
                <wp:simplePos x="0" y="0"/>
                <wp:positionH relativeFrom="column">
                  <wp:posOffset>5976620</wp:posOffset>
                </wp:positionH>
                <wp:positionV relativeFrom="paragraph">
                  <wp:posOffset>2042795</wp:posOffset>
                </wp:positionV>
                <wp:extent cx="1257300" cy="400050"/>
                <wp:effectExtent l="0" t="0" r="0" b="0"/>
                <wp:wrapNone/>
                <wp:docPr id="87"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00050"/>
                        </a:xfrm>
                        <a:prstGeom prst="rect">
                          <a:avLst/>
                        </a:prstGeom>
                        <a:solidFill>
                          <a:srgbClr val="FFFFFF"/>
                        </a:solidFill>
                        <a:ln w="9525">
                          <a:solidFill>
                            <a:srgbClr val="000000"/>
                          </a:solidFill>
                          <a:miter lim="800000"/>
                          <a:headEnd/>
                          <a:tailEnd/>
                        </a:ln>
                      </wps:spPr>
                      <wps:txbx>
                        <w:txbxContent>
                          <w:p w14:paraId="1916733E" w14:textId="77777777" w:rsidR="00471742" w:rsidRPr="00411DE0" w:rsidRDefault="00471742" w:rsidP="00BE0B19">
                            <w:pPr>
                              <w:jc w:val="center"/>
                              <w:rPr>
                                <w:rFonts w:ascii="Arial" w:hAnsi="Arial" w:cs="Arial"/>
                                <w:sz w:val="20"/>
                                <w:szCs w:val="20"/>
                                <w:lang w:val="en-US"/>
                              </w:rPr>
                            </w:pPr>
                            <w:r w:rsidRPr="00411DE0">
                              <w:rPr>
                                <w:rFonts w:ascii="Arial" w:hAnsi="Arial" w:cs="Arial"/>
                                <w:sz w:val="20"/>
                                <w:szCs w:val="20"/>
                              </w:rPr>
                              <w:t xml:space="preserve">Секвениране на </w:t>
                            </w:r>
                            <w:r w:rsidRPr="00411DE0">
                              <w:rPr>
                                <w:rFonts w:ascii="Arial" w:hAnsi="Arial" w:cs="Arial"/>
                                <w:i/>
                                <w:sz w:val="20"/>
                                <w:szCs w:val="20"/>
                                <w:lang w:val="en-US"/>
                              </w:rPr>
                              <w:t>SMN1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9DA1FB" id="Text Box 69" o:spid="_x0000_s1138" type="#_x0000_t202" style="position:absolute;left:0;text-align:left;margin-left:470.6pt;margin-top:160.85pt;width:99pt;height:3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">
                <v:textbox>
                  <w:txbxContent>
                    <w:p w14:paraId="1916733E" w14:textId="77777777" w:rsidR="00471742" w:rsidRPr="00411DE0" w:rsidRDefault="00471742" w:rsidP="00BE0B19">
                      <w:pPr>
                        <w:jc w:val="center"/>
                        <w:rPr>
                          <w:rFonts w:ascii="Arial" w:hAnsi="Arial" w:cs="Arial"/>
                          <w:sz w:val="20"/>
                          <w:szCs w:val="20"/>
                          <w:lang w:val="en-US"/>
                        </w:rPr>
                      </w:pPr>
                      <w:r w:rsidRPr="00411DE0">
                        <w:rPr>
                          <w:rFonts w:ascii="Arial" w:hAnsi="Arial" w:cs="Arial"/>
                          <w:sz w:val="20"/>
                          <w:szCs w:val="20"/>
                        </w:rPr>
                        <w:t xml:space="preserve">Секвениране на </w:t>
                      </w:r>
                      <w:r w:rsidRPr="00411DE0">
                        <w:rPr>
                          <w:rFonts w:ascii="Arial" w:hAnsi="Arial" w:cs="Arial"/>
                          <w:i/>
                          <w:sz w:val="20"/>
                          <w:szCs w:val="20"/>
                          <w:lang w:val="en-US"/>
                        </w:rPr>
                        <w:t>SMN1</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4294967293" distB="4294967293" distL="114300" distR="114300" simplePos="0" relativeHeight="251677696" behindDoc="0" locked="0" layoutInCell="1" allowOverlap="1" wp14:anchorId="12A1B0DD" wp14:editId="600ABC5D">
                <wp:simplePos x="0" y="0"/>
                <wp:positionH relativeFrom="column">
                  <wp:posOffset>5644515</wp:posOffset>
                </wp:positionH>
                <wp:positionV relativeFrom="paragraph">
                  <wp:posOffset>2157094</wp:posOffset>
                </wp:positionV>
                <wp:extent cx="332105" cy="0"/>
                <wp:effectExtent l="0" t="76200" r="0" b="76200"/>
                <wp:wrapNone/>
                <wp:docPr id="86"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105"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32691E" id="AutoShape 68" o:spid="_x0000_s1026" type="#_x0000_t32" style="position:absolute;margin-left:444.45pt;margin-top:169.85pt;width:26.15pt;height:0;z-index:25167769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CtfNQIAAF8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" strokeweight="1.5pt">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76672" behindDoc="0" locked="0" layoutInCell="1" allowOverlap="1" wp14:anchorId="16E930D3" wp14:editId="0B02DDDB">
                <wp:simplePos x="0" y="0"/>
                <wp:positionH relativeFrom="column">
                  <wp:posOffset>4892040</wp:posOffset>
                </wp:positionH>
                <wp:positionV relativeFrom="paragraph">
                  <wp:posOffset>1995170</wp:posOffset>
                </wp:positionV>
                <wp:extent cx="751205" cy="295275"/>
                <wp:effectExtent l="0" t="0" r="0" b="9525"/>
                <wp:wrapNone/>
                <wp:docPr id="8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205" cy="295275"/>
                        </a:xfrm>
                        <a:prstGeom prst="rect">
                          <a:avLst/>
                        </a:prstGeom>
                        <a:solidFill>
                          <a:srgbClr val="FFFFFF"/>
                        </a:solidFill>
                        <a:ln w="9525">
                          <a:solidFill>
                            <a:srgbClr val="000000"/>
                          </a:solidFill>
                          <a:miter lim="800000"/>
                          <a:headEnd/>
                          <a:tailEnd/>
                        </a:ln>
                      </wps:spPr>
                      <wps:txbx>
                        <w:txbxContent>
                          <w:p w14:paraId="0D4FCBBF" w14:textId="77777777" w:rsidR="00471742" w:rsidRPr="00411DE0" w:rsidRDefault="00471742" w:rsidP="00BE0B19">
                            <w:pPr>
                              <w:rPr>
                                <w:rFonts w:ascii="Arial" w:hAnsi="Arial" w:cs="Arial"/>
                                <w:sz w:val="20"/>
                                <w:szCs w:val="20"/>
                              </w:rPr>
                            </w:pPr>
                            <w:r w:rsidRPr="00411DE0">
                              <w:rPr>
                                <w:rFonts w:ascii="Arial" w:hAnsi="Arial" w:cs="Arial"/>
                                <w:sz w:val="20"/>
                                <w:szCs w:val="20"/>
                              </w:rPr>
                              <w:t>1 копие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930D3" id="Text Box 67" o:spid="_x0000_s1139" type="#_x0000_t202" style="position:absolute;left:0;text-align:left;margin-left:385.2pt;margin-top:157.1pt;width:59.15pt;height:23.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">
                <v:textbox>
                  <w:txbxContent>
                    <w:p w14:paraId="0D4FCBBF" w14:textId="77777777" w:rsidR="00471742" w:rsidRPr="00411DE0" w:rsidRDefault="00471742" w:rsidP="00BE0B19">
                      <w:pPr>
                        <w:rPr>
                          <w:rFonts w:ascii="Arial" w:hAnsi="Arial" w:cs="Arial"/>
                          <w:sz w:val="20"/>
                          <w:szCs w:val="20"/>
                        </w:rPr>
                      </w:pPr>
                      <w:r w:rsidRPr="00411DE0">
                        <w:rPr>
                          <w:rFonts w:ascii="Arial" w:hAnsi="Arial" w:cs="Arial"/>
                          <w:sz w:val="20"/>
                          <w:szCs w:val="20"/>
                        </w:rPr>
                        <w:t>1 копие</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4294967293" distB="4294967293" distL="114300" distR="114300" simplePos="0" relativeHeight="251675648" behindDoc="0" locked="0" layoutInCell="1" allowOverlap="1" wp14:anchorId="0805CDD0" wp14:editId="61B56154">
                <wp:simplePos x="0" y="0"/>
                <wp:positionH relativeFrom="column">
                  <wp:posOffset>4414520</wp:posOffset>
                </wp:positionH>
                <wp:positionV relativeFrom="paragraph">
                  <wp:posOffset>2090419</wp:posOffset>
                </wp:positionV>
                <wp:extent cx="477520" cy="0"/>
                <wp:effectExtent l="0" t="76200" r="0" b="76200"/>
                <wp:wrapNone/>
                <wp:docPr id="84"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52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874C37" id="AutoShape 66" o:spid="_x0000_s1026" type="#_x0000_t32" style="position:absolute;margin-left:347.6pt;margin-top:164.6pt;width:37.6pt;height:0;z-index:25167564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RpYNAIAAF8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" strokeweight="1.5pt">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74624" behindDoc="0" locked="0" layoutInCell="1" allowOverlap="1" wp14:anchorId="0663B946" wp14:editId="3AC7592B">
                <wp:simplePos x="0" y="0"/>
                <wp:positionH relativeFrom="column">
                  <wp:posOffset>5976620</wp:posOffset>
                </wp:positionH>
                <wp:positionV relativeFrom="paragraph">
                  <wp:posOffset>1347470</wp:posOffset>
                </wp:positionV>
                <wp:extent cx="1714500" cy="485775"/>
                <wp:effectExtent l="0" t="0" r="0" b="9525"/>
                <wp:wrapNone/>
                <wp:docPr id="83"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85775"/>
                        </a:xfrm>
                        <a:prstGeom prst="rect">
                          <a:avLst/>
                        </a:prstGeom>
                        <a:solidFill>
                          <a:srgbClr val="FFFFFF"/>
                        </a:solidFill>
                        <a:ln w="9525">
                          <a:solidFill>
                            <a:srgbClr val="000000"/>
                          </a:solidFill>
                          <a:miter lim="800000"/>
                          <a:headEnd/>
                          <a:tailEnd/>
                        </a:ln>
                      </wps:spPr>
                      <wps:txbx>
                        <w:txbxContent>
                          <w:p w14:paraId="49481708" w14:textId="77777777" w:rsidR="00471742" w:rsidRPr="00411DE0" w:rsidRDefault="00471742" w:rsidP="00BE0B19">
                            <w:pPr>
                              <w:jc w:val="center"/>
                              <w:rPr>
                                <w:rFonts w:ascii="Arial" w:hAnsi="Arial" w:cs="Arial"/>
                                <w:sz w:val="20"/>
                                <w:szCs w:val="20"/>
                              </w:rPr>
                            </w:pPr>
                            <w:r w:rsidRPr="00411DE0">
                              <w:rPr>
                                <w:rFonts w:ascii="Arial" w:hAnsi="Arial" w:cs="Arial"/>
                                <w:sz w:val="20"/>
                                <w:szCs w:val="20"/>
                              </w:rPr>
                              <w:t>Генетично потвърдена диагноза 5</w:t>
                            </w:r>
                            <w:r w:rsidRPr="00411DE0">
                              <w:rPr>
                                <w:rFonts w:ascii="Arial" w:hAnsi="Arial" w:cs="Arial"/>
                                <w:sz w:val="20"/>
                                <w:szCs w:val="20"/>
                                <w:lang w:val="en-US"/>
                              </w:rPr>
                              <w:t xml:space="preserve">q </w:t>
                            </w:r>
                            <w:r w:rsidRPr="00411DE0">
                              <w:rPr>
                                <w:rFonts w:ascii="Arial" w:hAnsi="Arial" w:cs="Arial"/>
                                <w:sz w:val="20"/>
                                <w:szCs w:val="20"/>
                              </w:rPr>
                              <w:t>СМА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3B946" id="Text Box 65" o:spid="_x0000_s1140" type="#_x0000_t202" style="position:absolute;left:0;text-align:left;margin-left:470.6pt;margin-top:106.1pt;width:135pt;height:38.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">
                <v:textbox>
                  <w:txbxContent>
                    <w:p w14:paraId="49481708" w14:textId="77777777" w:rsidR="00471742" w:rsidRPr="00411DE0" w:rsidRDefault="00471742" w:rsidP="00BE0B19">
                      <w:pPr>
                        <w:jc w:val="center"/>
                        <w:rPr>
                          <w:rFonts w:ascii="Arial" w:hAnsi="Arial" w:cs="Arial"/>
                          <w:sz w:val="20"/>
                          <w:szCs w:val="20"/>
                        </w:rPr>
                      </w:pPr>
                      <w:r w:rsidRPr="00411DE0">
                        <w:rPr>
                          <w:rFonts w:ascii="Arial" w:hAnsi="Arial" w:cs="Arial"/>
                          <w:sz w:val="20"/>
                          <w:szCs w:val="20"/>
                        </w:rPr>
                        <w:t>Генетично потвърдена диагноза 5</w:t>
                      </w:r>
                      <w:r w:rsidRPr="00411DE0">
                        <w:rPr>
                          <w:rFonts w:ascii="Arial" w:hAnsi="Arial" w:cs="Arial"/>
                          <w:sz w:val="20"/>
                          <w:szCs w:val="20"/>
                          <w:lang w:val="en-US"/>
                        </w:rPr>
                        <w:t xml:space="preserve">q </w:t>
                      </w:r>
                      <w:r w:rsidRPr="00411DE0">
                        <w:rPr>
                          <w:rFonts w:ascii="Arial" w:hAnsi="Arial" w:cs="Arial"/>
                          <w:sz w:val="20"/>
                          <w:szCs w:val="20"/>
                        </w:rPr>
                        <w:t>СМА</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4294967293" distB="4294967293" distL="114300" distR="114300" simplePos="0" relativeHeight="251673600" behindDoc="0" locked="0" layoutInCell="1" allowOverlap="1" wp14:anchorId="0CB49CF1" wp14:editId="07F5869F">
                <wp:simplePos x="0" y="0"/>
                <wp:positionH relativeFrom="column">
                  <wp:posOffset>5643245</wp:posOffset>
                </wp:positionH>
                <wp:positionV relativeFrom="paragraph">
                  <wp:posOffset>1604644</wp:posOffset>
                </wp:positionV>
                <wp:extent cx="333375" cy="0"/>
                <wp:effectExtent l="0" t="76200" r="0" b="76200"/>
                <wp:wrapNone/>
                <wp:docPr id="82"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18A421" id="AutoShape 64" o:spid="_x0000_s1026" type="#_x0000_t32" style="position:absolute;margin-left:444.35pt;margin-top:126.35pt;width:26.25pt;height:0;z-index:2516736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" strokeweight="1.5pt">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72576" behindDoc="0" locked="0" layoutInCell="1" allowOverlap="1" wp14:anchorId="713A36A9" wp14:editId="614FD460">
                <wp:simplePos x="0" y="0"/>
                <wp:positionH relativeFrom="column">
                  <wp:posOffset>4892040</wp:posOffset>
                </wp:positionH>
                <wp:positionV relativeFrom="paragraph">
                  <wp:posOffset>1433195</wp:posOffset>
                </wp:positionV>
                <wp:extent cx="752475" cy="304800"/>
                <wp:effectExtent l="0" t="0" r="9525" b="0"/>
                <wp:wrapNone/>
                <wp:docPr id="8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304800"/>
                        </a:xfrm>
                        <a:prstGeom prst="rect">
                          <a:avLst/>
                        </a:prstGeom>
                        <a:solidFill>
                          <a:srgbClr val="FFFFFF"/>
                        </a:solidFill>
                        <a:ln w="9525">
                          <a:solidFill>
                            <a:srgbClr val="000000"/>
                          </a:solidFill>
                          <a:miter lim="800000"/>
                          <a:headEnd/>
                          <a:tailEnd/>
                        </a:ln>
                      </wps:spPr>
                      <wps:txbx>
                        <w:txbxContent>
                          <w:p w14:paraId="6DA87408" w14:textId="77777777" w:rsidR="00471742" w:rsidRPr="00411DE0" w:rsidRDefault="00471742" w:rsidP="00BE0B19">
                            <w:pPr>
                              <w:jc w:val="center"/>
                              <w:rPr>
                                <w:rFonts w:ascii="Arial" w:hAnsi="Arial" w:cs="Arial"/>
                                <w:sz w:val="20"/>
                                <w:szCs w:val="20"/>
                              </w:rPr>
                            </w:pPr>
                            <w:r w:rsidRPr="00411DE0">
                              <w:rPr>
                                <w:rFonts w:ascii="Arial" w:hAnsi="Arial" w:cs="Arial"/>
                                <w:sz w:val="20"/>
                                <w:szCs w:val="20"/>
                                <w:lang w:val="en-US"/>
                              </w:rPr>
                              <w:t xml:space="preserve">0 </w:t>
                            </w:r>
                            <w:r w:rsidRPr="00411DE0">
                              <w:rPr>
                                <w:rFonts w:ascii="Arial" w:hAnsi="Arial" w:cs="Arial"/>
                                <w:sz w:val="20"/>
                                <w:szCs w:val="20"/>
                              </w:rPr>
                              <w:t>копия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A36A9" id="Text Box 63" o:spid="_x0000_s1141" type="#_x0000_t202" style="position:absolute;left:0;text-align:left;margin-left:385.2pt;margin-top:112.85pt;width:59.25pt;height: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">
                <v:textbox>
                  <w:txbxContent>
                    <w:p w14:paraId="6DA87408" w14:textId="77777777" w:rsidR="00471742" w:rsidRPr="00411DE0" w:rsidRDefault="00471742" w:rsidP="00BE0B19">
                      <w:pPr>
                        <w:jc w:val="center"/>
                        <w:rPr>
                          <w:rFonts w:ascii="Arial" w:hAnsi="Arial" w:cs="Arial"/>
                          <w:sz w:val="20"/>
                          <w:szCs w:val="20"/>
                        </w:rPr>
                      </w:pPr>
                      <w:r w:rsidRPr="00411DE0">
                        <w:rPr>
                          <w:rFonts w:ascii="Arial" w:hAnsi="Arial" w:cs="Arial"/>
                          <w:sz w:val="20"/>
                          <w:szCs w:val="20"/>
                          <w:lang w:val="en-US"/>
                        </w:rPr>
                        <w:t xml:space="preserve">0 </w:t>
                      </w:r>
                      <w:r w:rsidRPr="00411DE0">
                        <w:rPr>
                          <w:rFonts w:ascii="Arial" w:hAnsi="Arial" w:cs="Arial"/>
                          <w:sz w:val="20"/>
                          <w:szCs w:val="20"/>
                        </w:rPr>
                        <w:t>копия</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71552" behindDoc="0" locked="0" layoutInCell="1" allowOverlap="1" wp14:anchorId="4E933EC4" wp14:editId="01DBC185">
                <wp:simplePos x="0" y="0"/>
                <wp:positionH relativeFrom="column">
                  <wp:posOffset>4415790</wp:posOffset>
                </wp:positionH>
                <wp:positionV relativeFrom="paragraph">
                  <wp:posOffset>1604645</wp:posOffset>
                </wp:positionV>
                <wp:extent cx="476250" cy="635"/>
                <wp:effectExtent l="0" t="76200" r="0" b="75565"/>
                <wp:wrapNone/>
                <wp:docPr id="80"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0" cy="63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4AFB5F" id="AutoShape 62" o:spid="_x0000_s1026" type="#_x0000_t32" style="position:absolute;margin-left:347.7pt;margin-top:126.35pt;width:37.5pt;height:.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" strokeweight="1.5pt">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4294967293" distB="4294967293" distL="114300" distR="114300" simplePos="0" relativeHeight="251669504" behindDoc="0" locked="0" layoutInCell="1" allowOverlap="1" wp14:anchorId="669BB666" wp14:editId="7EB151E7">
                <wp:simplePos x="0" y="0"/>
                <wp:positionH relativeFrom="column">
                  <wp:posOffset>4148455</wp:posOffset>
                </wp:positionH>
                <wp:positionV relativeFrom="paragraph">
                  <wp:posOffset>2090419</wp:posOffset>
                </wp:positionV>
                <wp:extent cx="266700" cy="0"/>
                <wp:effectExtent l="0" t="0" r="0" b="0"/>
                <wp:wrapNone/>
                <wp:docPr id="79"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CC3CB3" id="AutoShape 60" o:spid="_x0000_s1026" type="#_x0000_t32" style="position:absolute;margin-left:326.65pt;margin-top:164.6pt;width:21pt;height:0;z-index:2516695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" strokeweight="1.5pt"/>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67456" behindDoc="0" locked="0" layoutInCell="1" allowOverlap="1" wp14:anchorId="739FFC82" wp14:editId="5BA6EF27">
                <wp:simplePos x="0" y="0"/>
                <wp:positionH relativeFrom="column">
                  <wp:posOffset>3557905</wp:posOffset>
                </wp:positionH>
                <wp:positionV relativeFrom="paragraph">
                  <wp:posOffset>1995170</wp:posOffset>
                </wp:positionV>
                <wp:extent cx="590550" cy="219075"/>
                <wp:effectExtent l="0" t="0" r="0" b="9525"/>
                <wp:wrapNone/>
                <wp:docPr id="7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219075"/>
                        </a:xfrm>
                        <a:prstGeom prst="rect">
                          <a:avLst/>
                        </a:prstGeom>
                        <a:solidFill>
                          <a:srgbClr val="FFFFFF"/>
                        </a:solidFill>
                        <a:ln w="9525">
                          <a:solidFill>
                            <a:srgbClr val="000000"/>
                          </a:solidFill>
                          <a:miter lim="800000"/>
                          <a:headEnd/>
                          <a:tailEnd/>
                        </a:ln>
                      </wps:spPr>
                      <wps:txbx>
                        <w:txbxContent>
                          <w:p w14:paraId="727846D9" w14:textId="77777777" w:rsidR="00471742" w:rsidRPr="00411DE0" w:rsidRDefault="00471742" w:rsidP="00BE0B19">
                            <w:pPr>
                              <w:jc w:val="center"/>
                              <w:rPr>
                                <w:rFonts w:ascii="Arial" w:hAnsi="Arial" w:cs="Arial"/>
                                <w:i/>
                                <w:sz w:val="20"/>
                                <w:szCs w:val="20"/>
                                <w:lang w:val="en-US"/>
                              </w:rPr>
                            </w:pPr>
                            <w:r w:rsidRPr="00411DE0">
                              <w:rPr>
                                <w:rFonts w:ascii="Arial" w:hAnsi="Arial" w:cs="Arial"/>
                                <w:i/>
                                <w:sz w:val="20"/>
                                <w:szCs w:val="20"/>
                                <w:lang w:val="en-US"/>
                              </w:rPr>
                              <w:t>SMN1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FFC82" id="Text Box 58" o:spid="_x0000_s1142" type="#_x0000_t202" style="position:absolute;left:0;text-align:left;margin-left:280.15pt;margin-top:157.1pt;width:46.5pt;height:17.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">
                <v:textbox>
                  <w:txbxContent>
                    <w:p w14:paraId="727846D9" w14:textId="77777777" w:rsidR="00471742" w:rsidRPr="00411DE0" w:rsidRDefault="00471742" w:rsidP="00BE0B19">
                      <w:pPr>
                        <w:jc w:val="center"/>
                        <w:rPr>
                          <w:rFonts w:ascii="Arial" w:hAnsi="Arial" w:cs="Arial"/>
                          <w:i/>
                          <w:sz w:val="20"/>
                          <w:szCs w:val="20"/>
                          <w:lang w:val="en-US"/>
                        </w:rPr>
                      </w:pPr>
                      <w:r w:rsidRPr="00411DE0">
                        <w:rPr>
                          <w:rFonts w:ascii="Arial" w:hAnsi="Arial" w:cs="Arial"/>
                          <w:i/>
                          <w:sz w:val="20"/>
                          <w:szCs w:val="20"/>
                          <w:lang w:val="en-US"/>
                        </w:rPr>
                        <w:t>SMN1</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297" distR="114297" simplePos="0" relativeHeight="251663360" behindDoc="0" locked="0" layoutInCell="1" allowOverlap="1" wp14:anchorId="2E31829C" wp14:editId="3C6C738A">
                <wp:simplePos x="0" y="0"/>
                <wp:positionH relativeFrom="column">
                  <wp:posOffset>3100069</wp:posOffset>
                </wp:positionH>
                <wp:positionV relativeFrom="paragraph">
                  <wp:posOffset>2090420</wp:posOffset>
                </wp:positionV>
                <wp:extent cx="0" cy="1743075"/>
                <wp:effectExtent l="0" t="0" r="0" b="9525"/>
                <wp:wrapNone/>
                <wp:docPr id="77"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43075"/>
                        </a:xfrm>
                        <a:prstGeom prst="straightConnector1">
                          <a:avLst/>
                        </a:prstGeom>
                        <a:noFill/>
                        <a:ln w="19050">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419F83" id="AutoShape 54" o:spid="_x0000_s1026" type="#_x0000_t32" style="position:absolute;margin-left:244.1pt;margin-top:164.6pt;width:0;height:137.25pt;z-index:2516633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" strokeweight="1.5pt"/>
            </w:pict>
          </mc:Fallback>
        </mc:AlternateContent>
      </w:r>
      <w:r w:rsidRPr="00AE47C6">
        <w:rPr>
          <w:rFonts w:ascii="Times New Roman" w:eastAsia="SimSun" w:hAnsi="Times New Roman"/>
          <w:noProof/>
          <w:sz w:val="24"/>
          <w:szCs w:val="24"/>
          <w:lang w:eastAsia="bg-BG"/>
        </w:rPr>
        <mc:AlternateContent>
          <mc:Choice Requires="wps">
            <w:drawing>
              <wp:anchor distT="4294967293" distB="4294967293" distL="114300" distR="114300" simplePos="0" relativeHeight="251664384" behindDoc="0" locked="0" layoutInCell="1" allowOverlap="1" wp14:anchorId="279938F2" wp14:editId="3C2A5E27">
                <wp:simplePos x="0" y="0"/>
                <wp:positionH relativeFrom="column">
                  <wp:posOffset>3100070</wp:posOffset>
                </wp:positionH>
                <wp:positionV relativeFrom="paragraph">
                  <wp:posOffset>2090419</wp:posOffset>
                </wp:positionV>
                <wp:extent cx="457835" cy="0"/>
                <wp:effectExtent l="0" t="76200" r="0" b="76200"/>
                <wp:wrapNone/>
                <wp:docPr id="76"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835" cy="0"/>
                        </a:xfrm>
                        <a:prstGeom prst="straightConnector1">
                          <a:avLst/>
                        </a:prstGeom>
                        <a:noFill/>
                        <a:ln w="19050">
                          <a:solidFill>
                            <a:sysClr val="windowText" lastClr="000000">
                              <a:lumMod val="100000"/>
                              <a:lumOff val="0"/>
                            </a:sys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46D71B" id="AutoShape 55" o:spid="_x0000_s1026" type="#_x0000_t32" style="position:absolute;margin-left:244.1pt;margin-top:164.6pt;width:36.05pt;height:0;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" strokeweight="1.5pt">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68480" behindDoc="0" locked="0" layoutInCell="1" allowOverlap="1" wp14:anchorId="406AC786" wp14:editId="5B7532D9">
                <wp:simplePos x="0" y="0"/>
                <wp:positionH relativeFrom="column">
                  <wp:posOffset>3557270</wp:posOffset>
                </wp:positionH>
                <wp:positionV relativeFrom="paragraph">
                  <wp:posOffset>3719195</wp:posOffset>
                </wp:positionV>
                <wp:extent cx="657225" cy="238125"/>
                <wp:effectExtent l="0" t="0" r="9525" b="9525"/>
                <wp:wrapNone/>
                <wp:docPr id="75"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238125"/>
                        </a:xfrm>
                        <a:prstGeom prst="rect">
                          <a:avLst/>
                        </a:prstGeom>
                        <a:solidFill>
                          <a:srgbClr val="FFFFFF"/>
                        </a:solidFill>
                        <a:ln w="9525">
                          <a:solidFill>
                            <a:srgbClr val="000000"/>
                          </a:solidFill>
                          <a:miter lim="800000"/>
                          <a:headEnd/>
                          <a:tailEnd/>
                        </a:ln>
                      </wps:spPr>
                      <wps:txbx>
                        <w:txbxContent>
                          <w:p w14:paraId="0B42DB10" w14:textId="77777777" w:rsidR="00471742" w:rsidRPr="00411DE0" w:rsidRDefault="00471742" w:rsidP="00BE0B19">
                            <w:pPr>
                              <w:jc w:val="center"/>
                              <w:rPr>
                                <w:rFonts w:ascii="Arial" w:hAnsi="Arial" w:cs="Arial"/>
                                <w:i/>
                                <w:sz w:val="20"/>
                                <w:szCs w:val="20"/>
                                <w:lang w:val="en-US"/>
                              </w:rPr>
                            </w:pPr>
                            <w:r w:rsidRPr="00411DE0">
                              <w:rPr>
                                <w:rFonts w:ascii="Arial" w:hAnsi="Arial" w:cs="Arial"/>
                                <w:i/>
                                <w:sz w:val="20"/>
                                <w:szCs w:val="20"/>
                                <w:lang w:val="en-US"/>
                              </w:rPr>
                              <w:t>SMN2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AC786" id="Text Box 59" o:spid="_x0000_s1143" type="#_x0000_t202" style="position:absolute;left:0;text-align:left;margin-left:280.1pt;margin-top:292.85pt;width:51.75pt;height:18.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">
                <v:textbox>
                  <w:txbxContent>
                    <w:p w14:paraId="0B42DB10" w14:textId="77777777" w:rsidR="00471742" w:rsidRPr="00411DE0" w:rsidRDefault="00471742" w:rsidP="00BE0B19">
                      <w:pPr>
                        <w:jc w:val="center"/>
                        <w:rPr>
                          <w:rFonts w:ascii="Arial" w:hAnsi="Arial" w:cs="Arial"/>
                          <w:i/>
                          <w:sz w:val="20"/>
                          <w:szCs w:val="20"/>
                          <w:lang w:val="en-US"/>
                        </w:rPr>
                      </w:pPr>
                      <w:r w:rsidRPr="00411DE0">
                        <w:rPr>
                          <w:rFonts w:ascii="Arial" w:hAnsi="Arial" w:cs="Arial"/>
                          <w:i/>
                          <w:sz w:val="20"/>
                          <w:szCs w:val="20"/>
                          <w:lang w:val="en-US"/>
                        </w:rPr>
                        <w:t>SMN2</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4294967293" distB="4294967293" distL="114300" distR="114300" simplePos="0" relativeHeight="251665408" behindDoc="0" locked="0" layoutInCell="1" allowOverlap="1" wp14:anchorId="3A2CA080" wp14:editId="5D161707">
                <wp:simplePos x="0" y="0"/>
                <wp:positionH relativeFrom="column">
                  <wp:posOffset>3100070</wp:posOffset>
                </wp:positionH>
                <wp:positionV relativeFrom="paragraph">
                  <wp:posOffset>3833494</wp:posOffset>
                </wp:positionV>
                <wp:extent cx="457200" cy="0"/>
                <wp:effectExtent l="0" t="76200" r="0" b="76200"/>
                <wp:wrapNone/>
                <wp:docPr id="74"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E25B10" id="AutoShape 56" o:spid="_x0000_s1026" type="#_x0000_t32" style="position:absolute;margin-left:244.1pt;margin-top:301.85pt;width:36pt;height:0;z-index:2516654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qaTNAIAAF8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" strokeweight="1.5pt">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66432" behindDoc="0" locked="0" layoutInCell="1" allowOverlap="1" wp14:anchorId="337E6127" wp14:editId="1261E771">
                <wp:simplePos x="0" y="0"/>
                <wp:positionH relativeFrom="column">
                  <wp:posOffset>2633345</wp:posOffset>
                </wp:positionH>
                <wp:positionV relativeFrom="paragraph">
                  <wp:posOffset>2090420</wp:posOffset>
                </wp:positionV>
                <wp:extent cx="361315" cy="809625"/>
                <wp:effectExtent l="0" t="0" r="0" b="0"/>
                <wp:wrapNone/>
                <wp:docPr id="73"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 cy="809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DA9B67" w14:textId="77777777" w:rsidR="00471742" w:rsidRPr="00651BB2" w:rsidRDefault="00471742" w:rsidP="00BE0B19">
                            <w:pPr>
                              <w:rPr>
                                <w:rFonts w:ascii="Arial" w:hAnsi="Arial" w:cs="Arial"/>
                                <w:b/>
                                <w:sz w:val="20"/>
                                <w:szCs w:val="20"/>
                                <w:lang w:val="en-US"/>
                              </w:rPr>
                            </w:pPr>
                            <w:r w:rsidRPr="00651BB2">
                              <w:rPr>
                                <w:rFonts w:ascii="Arial" w:hAnsi="Arial" w:cs="Arial"/>
                                <w:b/>
                                <w:sz w:val="20"/>
                                <w:szCs w:val="20"/>
                                <w:lang w:val="en-US"/>
                              </w:rPr>
                              <w:t>MLPA/PCR</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E6127" id="Text Box 57" o:spid="_x0000_s1144" type="#_x0000_t202" style="position:absolute;left:0;text-align:left;margin-left:207.35pt;margin-top:164.6pt;width:28.45pt;height:6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" stroked="f">
                <v:textbox style="layout-flow:vertical">
                  <w:txbxContent>
                    <w:p w14:paraId="1EDA9B67" w14:textId="77777777" w:rsidR="00471742" w:rsidRPr="00651BB2" w:rsidRDefault="00471742" w:rsidP="00BE0B19">
                      <w:pPr>
                        <w:rPr>
                          <w:rFonts w:ascii="Arial" w:hAnsi="Arial" w:cs="Arial"/>
                          <w:b/>
                          <w:sz w:val="20"/>
                          <w:szCs w:val="20"/>
                          <w:lang w:val="en-US"/>
                        </w:rPr>
                      </w:pPr>
                      <w:r w:rsidRPr="00651BB2">
                        <w:rPr>
                          <w:rFonts w:ascii="Arial" w:hAnsi="Arial" w:cs="Arial"/>
                          <w:b/>
                          <w:sz w:val="20"/>
                          <w:szCs w:val="20"/>
                          <w:lang w:val="en-US"/>
                        </w:rPr>
                        <w:t>MLPA/PCR</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62336" behindDoc="0" locked="0" layoutInCell="1" allowOverlap="1" wp14:anchorId="50F89E76" wp14:editId="6CE3E87C">
                <wp:simplePos x="0" y="0"/>
                <wp:positionH relativeFrom="column">
                  <wp:posOffset>2566670</wp:posOffset>
                </wp:positionH>
                <wp:positionV relativeFrom="paragraph">
                  <wp:posOffset>2966720</wp:posOffset>
                </wp:positionV>
                <wp:extent cx="533400" cy="635"/>
                <wp:effectExtent l="0" t="0" r="0" b="18415"/>
                <wp:wrapNone/>
                <wp:docPr id="72"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C3010C" id="AutoShape 53" o:spid="_x0000_s1026" type="#_x0000_t32" style="position:absolute;margin-left:202.1pt;margin-top:233.6pt;width:42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" strokeweight="1.5pt"/>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61312" behindDoc="0" locked="0" layoutInCell="1" allowOverlap="1" wp14:anchorId="7E5AD228" wp14:editId="7D3D4522">
                <wp:simplePos x="0" y="0"/>
                <wp:positionH relativeFrom="column">
                  <wp:posOffset>1385570</wp:posOffset>
                </wp:positionH>
                <wp:positionV relativeFrom="paragraph">
                  <wp:posOffset>2604770</wp:posOffset>
                </wp:positionV>
                <wp:extent cx="1181100" cy="790575"/>
                <wp:effectExtent l="0" t="0" r="0" b="9525"/>
                <wp:wrapNone/>
                <wp:docPr id="7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790575"/>
                        </a:xfrm>
                        <a:prstGeom prst="rect">
                          <a:avLst/>
                        </a:prstGeom>
                        <a:solidFill>
                          <a:srgbClr val="FFFFFF"/>
                        </a:solidFill>
                        <a:ln w="9525">
                          <a:solidFill>
                            <a:srgbClr val="000000"/>
                          </a:solidFill>
                          <a:miter lim="800000"/>
                          <a:headEnd/>
                          <a:tailEnd/>
                        </a:ln>
                      </wps:spPr>
                      <wps:txbx>
                        <w:txbxContent>
                          <w:p w14:paraId="438886CC" w14:textId="77777777" w:rsidR="00471742" w:rsidRPr="00122400" w:rsidRDefault="00471742" w:rsidP="00BE0B19">
                            <w:pPr>
                              <w:jc w:val="center"/>
                              <w:rPr>
                                <w:rFonts w:ascii="Arial" w:hAnsi="Arial" w:cs="Arial"/>
                                <w:b/>
                                <w:sz w:val="20"/>
                                <w:szCs w:val="20"/>
                              </w:rPr>
                            </w:pPr>
                            <w:r w:rsidRPr="00122400">
                              <w:rPr>
                                <w:rFonts w:ascii="Arial" w:hAnsi="Arial" w:cs="Arial"/>
                                <w:b/>
                                <w:sz w:val="20"/>
                                <w:szCs w:val="20"/>
                              </w:rPr>
                              <w:t xml:space="preserve">Генетично изследване за делеции в </w:t>
                            </w:r>
                            <w:r w:rsidRPr="00122400">
                              <w:rPr>
                                <w:rFonts w:ascii="Arial" w:hAnsi="Arial" w:cs="Arial"/>
                                <w:b/>
                                <w:sz w:val="20"/>
                                <w:szCs w:val="20"/>
                                <w:lang w:val="en-US"/>
                              </w:rPr>
                              <w:t xml:space="preserve">SMN1 </w:t>
                            </w:r>
                            <w:r w:rsidRPr="00122400">
                              <w:rPr>
                                <w:rFonts w:ascii="Arial" w:hAnsi="Arial" w:cs="Arial"/>
                                <w:b/>
                                <w:sz w:val="20"/>
                                <w:szCs w:val="20"/>
                              </w:rPr>
                              <w:t>гена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5AD228" id="Text Box 52" o:spid="_x0000_s1145" type="#_x0000_t202" style="position:absolute;left:0;text-align:left;margin-left:109.1pt;margin-top:205.1pt;width:93pt;height:6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">
                <v:textbox>
                  <w:txbxContent>
                    <w:p w14:paraId="438886CC" w14:textId="77777777" w:rsidR="00471742" w:rsidRPr="00122400" w:rsidRDefault="00471742" w:rsidP="00BE0B19">
                      <w:pPr>
                        <w:jc w:val="center"/>
                        <w:rPr>
                          <w:rFonts w:ascii="Arial" w:hAnsi="Arial" w:cs="Arial"/>
                          <w:b/>
                          <w:sz w:val="20"/>
                          <w:szCs w:val="20"/>
                        </w:rPr>
                      </w:pPr>
                      <w:r w:rsidRPr="00122400">
                        <w:rPr>
                          <w:rFonts w:ascii="Arial" w:hAnsi="Arial" w:cs="Arial"/>
                          <w:b/>
                          <w:sz w:val="20"/>
                          <w:szCs w:val="20"/>
                        </w:rPr>
                        <w:t xml:space="preserve">Генетично изследване за делеции в </w:t>
                      </w:r>
                      <w:r w:rsidRPr="00122400">
                        <w:rPr>
                          <w:rFonts w:ascii="Arial" w:hAnsi="Arial" w:cs="Arial"/>
                          <w:b/>
                          <w:sz w:val="20"/>
                          <w:szCs w:val="20"/>
                          <w:lang w:val="en-US"/>
                        </w:rPr>
                        <w:t xml:space="preserve">SMN1 </w:t>
                      </w:r>
                      <w:r w:rsidRPr="00122400">
                        <w:rPr>
                          <w:rFonts w:ascii="Arial" w:hAnsi="Arial" w:cs="Arial"/>
                          <w:b/>
                          <w:sz w:val="20"/>
                          <w:szCs w:val="20"/>
                        </w:rPr>
                        <w:t>гена</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4294967293" distB="4294967293" distL="114300" distR="114300" simplePos="0" relativeHeight="251660288" behindDoc="0" locked="0" layoutInCell="1" allowOverlap="1" wp14:anchorId="32922C41" wp14:editId="2CB879AE">
                <wp:simplePos x="0" y="0"/>
                <wp:positionH relativeFrom="column">
                  <wp:posOffset>1071245</wp:posOffset>
                </wp:positionH>
                <wp:positionV relativeFrom="paragraph">
                  <wp:posOffset>2966719</wp:posOffset>
                </wp:positionV>
                <wp:extent cx="314325" cy="0"/>
                <wp:effectExtent l="0" t="76200" r="0" b="76200"/>
                <wp:wrapNone/>
                <wp:docPr id="70"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C598AF" id="AutoShape 51" o:spid="_x0000_s1026" type="#_x0000_t32" style="position:absolute;margin-left:84.35pt;margin-top:233.6pt;width:24.75pt;height:0;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" strokeweight="1.5pt">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59264" behindDoc="0" locked="0" layoutInCell="1" allowOverlap="1" wp14:anchorId="3C20C74D" wp14:editId="508AAC90">
                <wp:simplePos x="0" y="0"/>
                <wp:positionH relativeFrom="column">
                  <wp:posOffset>23495</wp:posOffset>
                </wp:positionH>
                <wp:positionV relativeFrom="paragraph">
                  <wp:posOffset>2680970</wp:posOffset>
                </wp:positionV>
                <wp:extent cx="1047750" cy="561975"/>
                <wp:effectExtent l="0" t="0" r="0" b="9525"/>
                <wp:wrapNone/>
                <wp:docPr id="67"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561975"/>
                        </a:xfrm>
                        <a:prstGeom prst="rect">
                          <a:avLst/>
                        </a:prstGeom>
                        <a:solidFill>
                          <a:srgbClr val="FFFFFF"/>
                        </a:solidFill>
                        <a:ln w="9525">
                          <a:solidFill>
                            <a:srgbClr val="000000"/>
                          </a:solidFill>
                          <a:miter lim="800000"/>
                          <a:headEnd/>
                          <a:tailEnd/>
                        </a:ln>
                      </wps:spPr>
                      <wps:txbx>
                        <w:txbxContent>
                          <w:p w14:paraId="67A82BC7" w14:textId="77777777" w:rsidR="00471742" w:rsidRPr="002755D8" w:rsidRDefault="00471742" w:rsidP="00BE0B19">
                            <w:pPr>
                              <w:jc w:val="center"/>
                              <w:rPr>
                                <w:rFonts w:ascii="Arial" w:hAnsi="Arial" w:cs="Arial"/>
                                <w:b/>
                                <w:sz w:val="20"/>
                                <w:szCs w:val="20"/>
                              </w:rPr>
                            </w:pPr>
                            <w:r w:rsidRPr="002755D8">
                              <w:rPr>
                                <w:rFonts w:ascii="Arial" w:hAnsi="Arial" w:cs="Arial"/>
                                <w:b/>
                                <w:sz w:val="20"/>
                                <w:szCs w:val="20"/>
                              </w:rPr>
                              <w:t>Клинично съмнение за СМА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20C74D" id="Text Box 50" o:spid="_x0000_s1146" type="#_x0000_t202" style="position:absolute;left:0;text-align:left;margin-left:1.85pt;margin-top:211.1pt;width:82.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">
                <v:textbox>
                  <w:txbxContent>
                    <w:p w14:paraId="67A82BC7" w14:textId="77777777" w:rsidR="00471742" w:rsidRPr="002755D8" w:rsidRDefault="00471742" w:rsidP="00BE0B19">
                      <w:pPr>
                        <w:jc w:val="center"/>
                        <w:rPr>
                          <w:rFonts w:ascii="Arial" w:hAnsi="Arial" w:cs="Arial"/>
                          <w:b/>
                          <w:sz w:val="20"/>
                          <w:szCs w:val="20"/>
                        </w:rPr>
                      </w:pPr>
                      <w:r w:rsidRPr="002755D8">
                        <w:rPr>
                          <w:rFonts w:ascii="Arial" w:hAnsi="Arial" w:cs="Arial"/>
                          <w:b/>
                          <w:sz w:val="20"/>
                          <w:szCs w:val="20"/>
                        </w:rPr>
                        <w:t>Клинично съмнение за СМА</w:t>
                      </w:r>
                    </w:p>
                  </w:txbxContent>
                </v:textbox>
              </v:shape>
            </w:pict>
          </mc:Fallback>
        </mc:AlternateContent>
      </w:r>
    </w:p>
    <w:p w14:paraId="073BB16B" w14:textId="77777777" w:rsidR="00BE0B19" w:rsidRPr="00AE47C6" w:rsidRDefault="00BE0B19" w:rsidP="00BE0B19">
      <w:pPr>
        <w:spacing w:after="0" w:line="360" w:lineRule="auto"/>
        <w:jc w:val="both"/>
        <w:rPr>
          <w:rFonts w:ascii="Times New Roman" w:eastAsia="SimSun" w:hAnsi="Times New Roman"/>
          <w:sz w:val="24"/>
          <w:szCs w:val="24"/>
        </w:rPr>
      </w:pPr>
    </w:p>
    <w:p w14:paraId="18121B55" w14:textId="77777777" w:rsidR="00BE0B19" w:rsidRPr="00AE47C6" w:rsidRDefault="00BE0B19" w:rsidP="00BE0B19">
      <w:pPr>
        <w:spacing w:after="0" w:line="360" w:lineRule="auto"/>
        <w:jc w:val="both"/>
        <w:rPr>
          <w:rFonts w:ascii="Times New Roman" w:eastAsia="SimSun" w:hAnsi="Times New Roman"/>
          <w:sz w:val="24"/>
          <w:szCs w:val="24"/>
        </w:rPr>
      </w:pPr>
    </w:p>
    <w:p w14:paraId="09AF4DF8" w14:textId="77777777" w:rsidR="00BE0B19" w:rsidRPr="00AE47C6" w:rsidRDefault="00BE0B19" w:rsidP="00BE0B19">
      <w:pPr>
        <w:spacing w:after="0" w:line="360" w:lineRule="auto"/>
        <w:jc w:val="both"/>
        <w:rPr>
          <w:rFonts w:ascii="Times New Roman" w:eastAsia="SimSun" w:hAnsi="Times New Roman"/>
          <w:sz w:val="24"/>
          <w:szCs w:val="24"/>
        </w:rPr>
      </w:pPr>
    </w:p>
    <w:p w14:paraId="254EDE8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691008" behindDoc="0" locked="0" layoutInCell="1" allowOverlap="1" wp14:anchorId="730AF71C" wp14:editId="06B6F578">
                <wp:simplePos x="0" y="0"/>
                <wp:positionH relativeFrom="column">
                  <wp:posOffset>6662420</wp:posOffset>
                </wp:positionH>
                <wp:positionV relativeFrom="paragraph">
                  <wp:posOffset>1794510</wp:posOffset>
                </wp:positionV>
                <wp:extent cx="2628900" cy="266700"/>
                <wp:effectExtent l="0" t="0" r="0" b="0"/>
                <wp:wrapNone/>
                <wp:docPr id="69"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266700"/>
                        </a:xfrm>
                        <a:prstGeom prst="rect">
                          <a:avLst/>
                        </a:prstGeom>
                        <a:solidFill>
                          <a:srgbClr val="FFFFFF"/>
                        </a:solidFill>
                        <a:ln w="9525">
                          <a:solidFill>
                            <a:srgbClr val="000000"/>
                          </a:solidFill>
                          <a:miter lim="800000"/>
                          <a:headEnd/>
                          <a:tailEnd/>
                        </a:ln>
                      </wps:spPr>
                      <wps:txbx>
                        <w:txbxContent>
                          <w:p w14:paraId="39A4722C" w14:textId="77777777" w:rsidR="00471742" w:rsidRPr="00745855" w:rsidRDefault="00471742" w:rsidP="00BE0B19">
                            <w:pPr>
                              <w:jc w:val="center"/>
                              <w:rPr>
                                <w:rFonts w:ascii="Arial" w:hAnsi="Arial" w:cs="Arial"/>
                                <w:sz w:val="20"/>
                                <w:szCs w:val="20"/>
                              </w:rPr>
                            </w:pPr>
                            <w:r w:rsidRPr="00411DE0">
                              <w:rPr>
                                <w:rFonts w:ascii="Arial" w:hAnsi="Arial" w:cs="Arial"/>
                                <w:sz w:val="20"/>
                                <w:szCs w:val="20"/>
                              </w:rPr>
                              <w:t>ЕНГ, ЕМГ</w:t>
                            </w:r>
                            <w:r>
                              <w:rPr>
                                <w:rFonts w:ascii="Arial" w:hAnsi="Arial" w:cs="Arial"/>
                                <w:sz w:val="20"/>
                                <w:szCs w:val="20"/>
                                <w:lang w:val="en-US"/>
                              </w:rPr>
                              <w:t>,</w:t>
                            </w:r>
                            <w:r>
                              <w:rPr>
                                <w:rFonts w:ascii="Arial" w:hAnsi="Arial" w:cs="Arial"/>
                                <w:sz w:val="20"/>
                                <w:szCs w:val="20"/>
                              </w:rPr>
                              <w:t xml:space="preserve"> други генетично изследвания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0AF71C" id="Text Box 83" o:spid="_x0000_s1147" type="#_x0000_t202" style="position:absolute;left:0;text-align:left;margin-left:524.6pt;margin-top:141.3pt;width:207pt;height:2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">
                <v:textbox>
                  <w:txbxContent>
                    <w:p w14:paraId="39A4722C" w14:textId="77777777" w:rsidR="00471742" w:rsidRPr="00745855" w:rsidRDefault="00471742" w:rsidP="00BE0B19">
                      <w:pPr>
                        <w:jc w:val="center"/>
                        <w:rPr>
                          <w:rFonts w:ascii="Arial" w:hAnsi="Arial" w:cs="Arial"/>
                          <w:sz w:val="20"/>
                          <w:szCs w:val="20"/>
                        </w:rPr>
                      </w:pPr>
                      <w:r w:rsidRPr="00411DE0">
                        <w:rPr>
                          <w:rFonts w:ascii="Arial" w:hAnsi="Arial" w:cs="Arial"/>
                          <w:sz w:val="20"/>
                          <w:szCs w:val="20"/>
                        </w:rPr>
                        <w:t>ЕНГ, ЕМГ</w:t>
                      </w:r>
                      <w:r>
                        <w:rPr>
                          <w:rFonts w:ascii="Arial" w:hAnsi="Arial" w:cs="Arial"/>
                          <w:sz w:val="20"/>
                          <w:szCs w:val="20"/>
                          <w:lang w:val="en-US"/>
                        </w:rPr>
                        <w:t>,</w:t>
                      </w:r>
                      <w:r>
                        <w:rPr>
                          <w:rFonts w:ascii="Arial" w:hAnsi="Arial" w:cs="Arial"/>
                          <w:sz w:val="20"/>
                          <w:szCs w:val="20"/>
                        </w:rPr>
                        <w:t xml:space="preserve"> други генетично изследвания</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297" distR="114297" simplePos="0" relativeHeight="251689984" behindDoc="0" locked="0" layoutInCell="1" allowOverlap="1" wp14:anchorId="33F3BFA8" wp14:editId="290C5950">
                <wp:simplePos x="0" y="0"/>
                <wp:positionH relativeFrom="column">
                  <wp:posOffset>8110219</wp:posOffset>
                </wp:positionH>
                <wp:positionV relativeFrom="paragraph">
                  <wp:posOffset>1546860</wp:posOffset>
                </wp:positionV>
                <wp:extent cx="0" cy="247650"/>
                <wp:effectExtent l="76200" t="0" r="38100" b="38100"/>
                <wp:wrapNone/>
                <wp:docPr id="68"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010282" id="AutoShape 82" o:spid="_x0000_s1026" type="#_x0000_t32" style="position:absolute;margin-left:638.6pt;margin-top:121.8pt;width:0;height:19.5pt;z-index:25168998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" strokeweight="1.5pt">
                <v:stroke endarrow="block"/>
              </v:shape>
            </w:pict>
          </mc:Fallback>
        </mc:AlternateContent>
      </w:r>
    </w:p>
    <w:p w14:paraId="5DBB2300" w14:textId="77777777" w:rsidR="00BE0B19" w:rsidRPr="00AE47C6" w:rsidRDefault="00BE0B19" w:rsidP="00BE0B19">
      <w:pPr>
        <w:spacing w:after="0" w:line="360" w:lineRule="auto"/>
        <w:jc w:val="both"/>
        <w:rPr>
          <w:rFonts w:ascii="Times New Roman" w:eastAsia="SimSun" w:hAnsi="Times New Roman"/>
          <w:sz w:val="24"/>
          <w:szCs w:val="24"/>
        </w:rPr>
        <w:sectPr w:rsidR="00BE0B19" w:rsidRPr="00AE47C6" w:rsidSect="00636D0C">
          <w:pgSz w:w="16838" w:h="11906" w:orient="landscape"/>
          <w:pgMar w:top="1418" w:right="1418" w:bottom="1418" w:left="1418" w:header="709" w:footer="709" w:gutter="0"/>
          <w:cols w:space="708"/>
          <w:docGrid w:linePitch="360"/>
        </w:sectPr>
      </w:pPr>
    </w:p>
    <w:p w14:paraId="6F3AA7EA"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ab/>
        <w:t>Фигура 9.4. Диагностичен алгоритъм за пациенти със СМА.</w:t>
      </w:r>
    </w:p>
    <w:p w14:paraId="3848B1F2" w14:textId="77777777" w:rsidR="00BE0B19" w:rsidRPr="00AE47C6" w:rsidRDefault="00BE0B19" w:rsidP="00BE0B19">
      <w:pPr>
        <w:spacing w:after="0" w:line="360" w:lineRule="auto"/>
        <w:jc w:val="both"/>
        <w:rPr>
          <w:rFonts w:ascii="Times New Roman" w:eastAsia="SimSun" w:hAnsi="Times New Roman"/>
          <w:sz w:val="24"/>
          <w:szCs w:val="24"/>
        </w:rPr>
      </w:pPr>
    </w:p>
    <w:p w14:paraId="57DF6728" w14:textId="77777777" w:rsidR="00BE0B19" w:rsidRPr="00AE47C6" w:rsidRDefault="00BE0B19" w:rsidP="00BE0B19">
      <w:pPr>
        <w:spacing w:after="0" w:line="360" w:lineRule="auto"/>
        <w:ind w:firstLine="708"/>
        <w:jc w:val="both"/>
        <w:rPr>
          <w:rFonts w:ascii="Times New Roman" w:eastAsia="SimSun" w:hAnsi="Times New Roman"/>
          <w:b/>
          <w:sz w:val="24"/>
          <w:szCs w:val="24"/>
        </w:rPr>
      </w:pPr>
      <w:r w:rsidRPr="00AE47C6">
        <w:rPr>
          <w:rFonts w:ascii="Times New Roman" w:eastAsia="SimSun" w:hAnsi="Times New Roman"/>
          <w:b/>
          <w:sz w:val="24"/>
          <w:szCs w:val="24"/>
        </w:rPr>
        <w:t>Лечението и проследяването на пациентите със СМА</w:t>
      </w:r>
      <w:r w:rsidRPr="00AE47C6">
        <w:rPr>
          <w:rFonts w:ascii="Times New Roman" w:eastAsia="SimSun" w:hAnsi="Times New Roman"/>
          <w:sz w:val="24"/>
          <w:szCs w:val="24"/>
        </w:rPr>
        <w:t xml:space="preserve"> изисква мултидисциплинарен подход.</w:t>
      </w:r>
    </w:p>
    <w:p w14:paraId="308545FE"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b/>
          <w:sz w:val="24"/>
          <w:szCs w:val="24"/>
        </w:rPr>
        <w:t>Неврологът</w:t>
      </w:r>
      <w:r w:rsidRPr="00AE47C6">
        <w:rPr>
          <w:rFonts w:ascii="Times New Roman" w:eastAsia="SimSun" w:hAnsi="Times New Roman"/>
          <w:sz w:val="24"/>
          <w:szCs w:val="24"/>
        </w:rPr>
        <w:t xml:space="preserve"> оценява мускулната сила, наличието на ставни контрактури на всеки 6 мес. </w:t>
      </w:r>
    </w:p>
    <w:p w14:paraId="03DB00A9"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i/>
          <w:sz w:val="24"/>
          <w:szCs w:val="24"/>
        </w:rPr>
        <w:t xml:space="preserve">Onasemnogene abeparvovec </w:t>
      </w:r>
      <w:r w:rsidRPr="00AE47C6">
        <w:rPr>
          <w:rFonts w:ascii="Times New Roman" w:eastAsia="SimSun" w:hAnsi="Times New Roman"/>
          <w:sz w:val="24"/>
          <w:szCs w:val="24"/>
        </w:rPr>
        <w:t xml:space="preserve">е първият медикамент за генна терапия на 5q спинална мускулна атрофия, при който се използва адено-асоцииран вирусен вектор серотип 9 (AAV9) за въвеждане на функционално копие на </w:t>
      </w:r>
      <w:r w:rsidRPr="00AE47C6">
        <w:rPr>
          <w:rFonts w:ascii="Times New Roman" w:eastAsia="SimSun" w:hAnsi="Times New Roman"/>
          <w:i/>
          <w:sz w:val="24"/>
          <w:szCs w:val="24"/>
        </w:rPr>
        <w:t xml:space="preserve">SMN1 </w:t>
      </w:r>
      <w:r w:rsidRPr="00AE47C6">
        <w:rPr>
          <w:rFonts w:ascii="Times New Roman" w:eastAsia="SimSun" w:hAnsi="Times New Roman"/>
          <w:sz w:val="24"/>
          <w:szCs w:val="24"/>
        </w:rPr>
        <w:t xml:space="preserve">гена в мотоневроните. AAV9 преминава кръвномозъчната бариера. Регистриран е от FDA (Food and drug agency) на 24.05.2019 и от ЕМА (European Medicines Agency) на 18.5.2020 г. Показан е за пациенти със СМА с биалелна мутация в гена </w:t>
      </w:r>
      <w:r w:rsidRPr="00AE47C6">
        <w:rPr>
          <w:rFonts w:ascii="Times New Roman" w:eastAsia="SimSun" w:hAnsi="Times New Roman"/>
          <w:i/>
          <w:sz w:val="24"/>
          <w:szCs w:val="24"/>
        </w:rPr>
        <w:t xml:space="preserve">SMN1 </w:t>
      </w:r>
      <w:r w:rsidRPr="00AE47C6">
        <w:rPr>
          <w:rFonts w:ascii="Times New Roman" w:eastAsia="SimSun" w:hAnsi="Times New Roman"/>
          <w:sz w:val="24"/>
          <w:szCs w:val="24"/>
        </w:rPr>
        <w:t xml:space="preserve">и клинична диагноза СМА тип 1, или пациенти с 5qСМА с биалелна мутация в гена </w:t>
      </w:r>
      <w:r w:rsidRPr="00AE47C6">
        <w:rPr>
          <w:rFonts w:ascii="Times New Roman" w:eastAsia="SimSun" w:hAnsi="Times New Roman"/>
          <w:i/>
          <w:sz w:val="24"/>
          <w:szCs w:val="24"/>
        </w:rPr>
        <w:t>SMN1</w:t>
      </w:r>
      <w:r w:rsidRPr="00AE47C6">
        <w:rPr>
          <w:rFonts w:ascii="Times New Roman" w:eastAsia="SimSun" w:hAnsi="Times New Roman"/>
          <w:sz w:val="24"/>
          <w:szCs w:val="24"/>
        </w:rPr>
        <w:t xml:space="preserve"> и до 3 копия на гена SMN2.</w:t>
      </w:r>
    </w:p>
    <w:p w14:paraId="03B50FA4"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 xml:space="preserve">Препоръчителната доза на </w:t>
      </w:r>
      <w:r w:rsidRPr="00AE47C6">
        <w:rPr>
          <w:rFonts w:ascii="Times New Roman" w:eastAsia="SimSun" w:hAnsi="Times New Roman"/>
          <w:i/>
          <w:sz w:val="24"/>
          <w:szCs w:val="24"/>
        </w:rPr>
        <w:t>Onasemnogene abeparvovec</w:t>
      </w:r>
      <w:r w:rsidRPr="00AE47C6">
        <w:rPr>
          <w:rFonts w:ascii="Times New Roman" w:eastAsia="SimSun" w:hAnsi="Times New Roman"/>
          <w:sz w:val="24"/>
          <w:szCs w:val="24"/>
        </w:rPr>
        <w:t xml:space="preserve"> е 1.1 × 10</w:t>
      </w:r>
      <w:r w:rsidRPr="00AE47C6">
        <w:rPr>
          <w:rFonts w:ascii="Times New Roman" w:eastAsia="SimSun" w:hAnsi="Times New Roman"/>
          <w:sz w:val="24"/>
          <w:szCs w:val="24"/>
          <w:vertAlign w:val="superscript"/>
        </w:rPr>
        <w:t xml:space="preserve">14 </w:t>
      </w:r>
      <w:r w:rsidRPr="00AE47C6">
        <w:rPr>
          <w:rFonts w:ascii="Times New Roman" w:eastAsia="SimSun" w:hAnsi="Times New Roman"/>
          <w:sz w:val="24"/>
          <w:szCs w:val="24"/>
        </w:rPr>
        <w:t xml:space="preserve">векторни геноми (vg) на kg тегло, еднократно в живота венозно. </w:t>
      </w:r>
    </w:p>
    <w:p w14:paraId="5425BB8D"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Преди приложението на медикамента следва да се изследват:</w:t>
      </w:r>
    </w:p>
    <w:p w14:paraId="4698FA2C" w14:textId="77777777" w:rsidR="00BE0B19" w:rsidRPr="00AE47C6" w:rsidRDefault="00BE0B19" w:rsidP="00BE0B19">
      <w:pPr>
        <w:numPr>
          <w:ilvl w:val="1"/>
          <w:numId w:val="40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AAV9 (анти-аденовирусни антитела)</w:t>
      </w:r>
    </w:p>
    <w:p w14:paraId="75C23DAD" w14:textId="77777777" w:rsidR="00BE0B19" w:rsidRPr="00AE47C6" w:rsidRDefault="00BE0B19" w:rsidP="00BE0B19">
      <w:pPr>
        <w:numPr>
          <w:ilvl w:val="1"/>
          <w:numId w:val="404"/>
        </w:numPr>
        <w:spacing w:after="0" w:line="360" w:lineRule="auto"/>
        <w:contextualSpacing/>
        <w:rPr>
          <w:rFonts w:ascii="Times New Roman" w:eastAsia="SimSun" w:hAnsi="Times New Roman"/>
          <w:sz w:val="24"/>
          <w:szCs w:val="24"/>
        </w:rPr>
      </w:pPr>
      <w:r w:rsidRPr="00AE47C6">
        <w:rPr>
          <w:rFonts w:ascii="Times New Roman" w:eastAsia="SimSun" w:hAnsi="Times New Roman"/>
          <w:sz w:val="24"/>
          <w:szCs w:val="24"/>
        </w:rPr>
        <w:t>ПКК</w:t>
      </w:r>
    </w:p>
    <w:p w14:paraId="37C511EE" w14:textId="77777777" w:rsidR="00BE0B19" w:rsidRPr="00AE47C6" w:rsidRDefault="00BE0B19" w:rsidP="00BE0B19">
      <w:pPr>
        <w:numPr>
          <w:ilvl w:val="1"/>
          <w:numId w:val="40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чернодробна функция: аланин аминотрансфераза (ALT), аспартат аминотрансфераза (AST) и общ билирубин</w:t>
      </w:r>
    </w:p>
    <w:p w14:paraId="1E4DA983" w14:textId="77777777" w:rsidR="00BE0B19" w:rsidRPr="00AE47C6" w:rsidRDefault="00BE0B19" w:rsidP="00BE0B19">
      <w:pPr>
        <w:numPr>
          <w:ilvl w:val="1"/>
          <w:numId w:val="40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Креатинин</w:t>
      </w:r>
    </w:p>
    <w:p w14:paraId="246CB619" w14:textId="77777777" w:rsidR="00BE0B19" w:rsidRPr="00AE47C6" w:rsidRDefault="00BE0B19" w:rsidP="00BE0B19">
      <w:pPr>
        <w:numPr>
          <w:ilvl w:val="1"/>
          <w:numId w:val="40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тропонин-I</w:t>
      </w:r>
    </w:p>
    <w:p w14:paraId="799296B3"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Медикаментът се прилага еднократно, веднъж в живота, като венозна инфузия за 60 мин. Възможна е имунна реакция срещу вирусния капсид, която да доведе до повишаване на чернодробните трансаминази, troponin I или тромбоцитопения. Това налага имуномодулация с кортикостероиди – в денят преди инфузията се започва системно приложение в доза еквивалентна 1 mg/kg/ден  prednisolone, което продължава 1 мес. На 30 ден след апликацията се проследяват чернодробните функции. В случай че са нормални дозата на кортикостероида се намалява 0,5 mg/kg/ден - 2 седмици и 0,25 mg/kg/ден - 2 седмици, след което се спира. При повишени трансаминази се продължава приложението на кортикостероиди, като дозата им се преценява спрямо динамиката на трансаминазите.</w:t>
      </w:r>
    </w:p>
    <w:p w14:paraId="07AC4505"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Броят на тромбоцитите и чернодробните показатели се оценяват всяка седмица през първия месец и веднъж на две седмици през втория и третия месец.</w:t>
      </w:r>
    </w:p>
    <w:p w14:paraId="76E08B2F"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Противопоказан е при свръхчувствителност на пациента към активното вещество или към някое от помощните вещества.</w:t>
      </w:r>
    </w:p>
    <w:p w14:paraId="1F487706"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 xml:space="preserve">Ефектът от лечението се проследява чрез CHOP-INTEND скалата при пациентите със СМА тип 1 и Hammersmith Functional Motor Scale Expanded (HFMSE) скалата при СМА тип 2. </w:t>
      </w:r>
    </w:p>
    <w:p w14:paraId="3A0AD8DA" w14:textId="77777777" w:rsidR="00BE0B19" w:rsidRPr="00AE47C6" w:rsidRDefault="00BE0B19" w:rsidP="00BE0B19">
      <w:pPr>
        <w:spacing w:after="0" w:line="360" w:lineRule="auto"/>
        <w:ind w:firstLine="708"/>
        <w:jc w:val="both"/>
        <w:rPr>
          <w:rFonts w:ascii="Times New Roman" w:eastAsia="SimSun" w:hAnsi="Times New Roman"/>
          <w:sz w:val="24"/>
          <w:szCs w:val="24"/>
        </w:rPr>
      </w:pPr>
    </w:p>
    <w:p w14:paraId="4D2DFB7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left="360"/>
        <w:jc w:val="center"/>
        <w:rPr>
          <w:rFonts w:ascii="Times New Roman" w:eastAsia="SimSun" w:hAnsi="Times New Roman"/>
          <w:b/>
          <w:sz w:val="24"/>
          <w:szCs w:val="24"/>
        </w:rPr>
      </w:pPr>
      <w:r w:rsidRPr="00AE47C6">
        <w:rPr>
          <w:rFonts w:ascii="Times New Roman" w:eastAsia="SimSun" w:hAnsi="Times New Roman"/>
          <w:b/>
          <w:sz w:val="24"/>
          <w:szCs w:val="24"/>
        </w:rPr>
        <w:t>Включващи критерии за започване на терапия с Onasemnogene abeparvovec:</w:t>
      </w:r>
    </w:p>
    <w:p w14:paraId="7814B6A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left="360"/>
        <w:jc w:val="center"/>
        <w:rPr>
          <w:rFonts w:ascii="Times New Roman" w:eastAsia="SimSun" w:hAnsi="Times New Roman"/>
          <w:b/>
          <w:sz w:val="24"/>
          <w:szCs w:val="24"/>
        </w:rPr>
      </w:pPr>
    </w:p>
    <w:p w14:paraId="4DB02E3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left="360"/>
        <w:rPr>
          <w:rFonts w:ascii="Times New Roman" w:eastAsia="SimSun" w:hAnsi="Times New Roman"/>
          <w:sz w:val="24"/>
          <w:szCs w:val="24"/>
        </w:rPr>
      </w:pPr>
      <w:r w:rsidRPr="00AE47C6">
        <w:rPr>
          <w:rFonts w:ascii="Times New Roman" w:eastAsia="SimSun" w:hAnsi="Times New Roman"/>
          <w:sz w:val="24"/>
          <w:szCs w:val="24"/>
        </w:rPr>
        <w:t>1/ Генетично доказана 5q СМА, вследствие мутации в SMN1- гена</w:t>
      </w:r>
    </w:p>
    <w:p w14:paraId="7AEAA08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Клинична диагноза СМА тип 1 или</w:t>
      </w:r>
    </w:p>
    <w:p w14:paraId="161CD74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Пациенти с 5q СМА с биалелна мутация в гена SMN1 и до 3 копия на гена SMN2</w:t>
      </w:r>
    </w:p>
    <w:p w14:paraId="6B7C5573"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2700"/>
        </w:tabs>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2/ Възраст до 2 г. или</w:t>
      </w:r>
    </w:p>
    <w:p w14:paraId="1BE70AA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Телесна маса до 21 kg</w:t>
      </w:r>
    </w:p>
    <w:p w14:paraId="098F5AB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Пациенти, при които се прилагат стандартите за грижи при СМА</w:t>
      </w:r>
    </w:p>
    <w:p w14:paraId="5B97057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left="360"/>
        <w:jc w:val="center"/>
        <w:rPr>
          <w:rFonts w:ascii="Times New Roman" w:eastAsia="SimSun" w:hAnsi="Times New Roman"/>
          <w:b/>
          <w:sz w:val="24"/>
          <w:szCs w:val="24"/>
        </w:rPr>
      </w:pPr>
    </w:p>
    <w:p w14:paraId="4BB9F69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left="360"/>
        <w:jc w:val="center"/>
        <w:rPr>
          <w:rFonts w:ascii="Times New Roman" w:eastAsia="SimSun" w:hAnsi="Times New Roman"/>
          <w:b/>
          <w:sz w:val="24"/>
          <w:szCs w:val="24"/>
        </w:rPr>
      </w:pPr>
      <w:r w:rsidRPr="00AE47C6">
        <w:rPr>
          <w:rFonts w:ascii="Times New Roman" w:eastAsia="SimSun" w:hAnsi="Times New Roman"/>
          <w:b/>
          <w:sz w:val="24"/>
          <w:szCs w:val="24"/>
        </w:rPr>
        <w:t>Изключващи критерии:</w:t>
      </w:r>
    </w:p>
    <w:p w14:paraId="3836779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left="360"/>
        <w:jc w:val="center"/>
        <w:rPr>
          <w:rFonts w:ascii="Times New Roman" w:eastAsia="SimSun" w:hAnsi="Times New Roman"/>
          <w:b/>
          <w:sz w:val="24"/>
          <w:szCs w:val="24"/>
        </w:rPr>
      </w:pPr>
    </w:p>
    <w:p w14:paraId="1C97C40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Свръхчувствителност на пациента към активното вещество или към някое от помощните вещества.</w:t>
      </w:r>
    </w:p>
    <w:p w14:paraId="05486CB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Наличие на анти-AAV9 антитела в титър над 1:50. Ако титърът им е над 1:50, изследването се повтаря отново след 2 седмици и ако се е нормализирал, пациентът може да бъде лекуван.</w:t>
      </w:r>
    </w:p>
    <w:p w14:paraId="4680052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left="360"/>
        <w:jc w:val="both"/>
        <w:rPr>
          <w:rFonts w:ascii="Times New Roman" w:eastAsia="SimSun" w:hAnsi="Times New Roman"/>
          <w:sz w:val="24"/>
          <w:szCs w:val="24"/>
        </w:rPr>
      </w:pPr>
    </w:p>
    <w:p w14:paraId="385233A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Пациенти с нарушена чернодробна функция – трансаминази повече от 3 пъти над нормата</w:t>
      </w:r>
    </w:p>
    <w:p w14:paraId="44949E5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Пациенти с тромбоцитопения</w:t>
      </w:r>
    </w:p>
    <w:p w14:paraId="148BD93C" w14:textId="77777777" w:rsidR="00BE0B19" w:rsidRPr="00AE47C6" w:rsidRDefault="00BE0B19" w:rsidP="00BE0B19">
      <w:pPr>
        <w:spacing w:after="0" w:line="360" w:lineRule="auto"/>
        <w:jc w:val="both"/>
        <w:rPr>
          <w:rFonts w:ascii="Times New Roman" w:eastAsia="SimSun" w:hAnsi="Times New Roman"/>
          <w:i/>
          <w:sz w:val="24"/>
          <w:szCs w:val="24"/>
        </w:rPr>
      </w:pPr>
    </w:p>
    <w:p w14:paraId="541993E9"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i/>
          <w:sz w:val="24"/>
          <w:szCs w:val="24"/>
        </w:rPr>
        <w:t xml:space="preserve">Nusinersen </w:t>
      </w:r>
      <w:r w:rsidRPr="00AE47C6">
        <w:rPr>
          <w:rFonts w:ascii="Times New Roman" w:eastAsia="SimSun" w:hAnsi="Times New Roman"/>
          <w:sz w:val="24"/>
          <w:szCs w:val="24"/>
        </w:rPr>
        <w:t xml:space="preserve">е модифициран антисенс олигонуклеотид, който се свързва с интрона, следващ екзон 7 в пре-информационната РНК на </w:t>
      </w:r>
      <w:r w:rsidRPr="00AE47C6">
        <w:rPr>
          <w:rFonts w:ascii="Times New Roman" w:eastAsia="SimSun" w:hAnsi="Times New Roman"/>
          <w:i/>
          <w:sz w:val="24"/>
          <w:szCs w:val="24"/>
        </w:rPr>
        <w:t>SMN2</w:t>
      </w:r>
      <w:r w:rsidRPr="00AE47C6">
        <w:rPr>
          <w:rFonts w:ascii="Times New Roman" w:eastAsia="SimSun" w:hAnsi="Times New Roman"/>
          <w:sz w:val="24"/>
          <w:szCs w:val="24"/>
        </w:rPr>
        <w:t>. По този начин модулира сплайсинга на иРНК, за да включи екзон 7 и за да се синтезира по-голямо количество пълноверижен SMN протеин. Това е първият медикамент, одобрен за лечение на всички форми на 5q СМА (през декември 2016 от FDA - Food and drug agency и през май 2017 от ЕМА- European medicines agency). Препоръчителната доза на медикамента е 12 mg (всеки флакон е 5 ml/12 mg), приложени интратекално. Терапията започва с четири натоварващи дози - три през 14 дни и четвъртата 30 дни след третата. След това поддържащите дози се прилагат през четири месеца. При предсимптоматично започнато лечение при болни със СМА тип се наблюдава двигателно развитие, близко до това на здрави деца. При другите клинични проучвания децата на терапия постигат статистически значимо подобрение на двигателните функции. Наблюдава се статистически значимо повишена преживяемост на пациентите със СМА тип 1. Медикаментът е одобрен за всички форми на заболяването и всички възрасти и вече са налице данни за ефективност и безопасност при пациенти над 18 г.</w:t>
      </w:r>
    </w:p>
    <w:p w14:paraId="744C2590"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Най-честите нежелани лекарствени реакции са инфекции на горните и долните дихателни пътища, констипация, белодробни ателектази, протеинурия, както и главоболие, гадене и болка в лумбалната област, свързани със самата процедура.</w:t>
      </w:r>
    </w:p>
    <w:p w14:paraId="2849EFF0" w14:textId="77777777" w:rsidR="00BE0B19" w:rsidRPr="00AE47C6" w:rsidRDefault="00BE0B19" w:rsidP="00BE0B19">
      <w:pPr>
        <w:spacing w:after="0" w:line="360" w:lineRule="auto"/>
        <w:ind w:firstLine="708"/>
        <w:jc w:val="both"/>
        <w:rPr>
          <w:rFonts w:ascii="Times New Roman" w:eastAsia="SimSun" w:hAnsi="Times New Roman"/>
          <w:sz w:val="24"/>
          <w:szCs w:val="24"/>
        </w:rPr>
      </w:pPr>
    </w:p>
    <w:p w14:paraId="37868FF2"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75"/>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Включващи критерии за започване на терапия с Nusinersen</w:t>
      </w:r>
    </w:p>
    <w:p w14:paraId="404D14E0" w14:textId="77777777" w:rsidR="00BE0B19" w:rsidRPr="00AE47C6" w:rsidRDefault="00BE0B19" w:rsidP="00BE0B19">
      <w:pPr>
        <w:numPr>
          <w:ilvl w:val="0"/>
          <w:numId w:val="202"/>
        </w:numPr>
        <w:pBdr>
          <w:top w:val="single" w:sz="4" w:space="1" w:color="auto"/>
          <w:left w:val="single" w:sz="4" w:space="4" w:color="auto"/>
          <w:bottom w:val="single" w:sz="4" w:space="1" w:color="auto"/>
          <w:right w:val="single" w:sz="4" w:space="4" w:color="auto"/>
        </w:pBdr>
        <w:tabs>
          <w:tab w:val="left" w:pos="97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Генетично доказан 5q СМА, вследствие мутации в </w:t>
      </w:r>
      <w:r w:rsidRPr="00AE47C6">
        <w:rPr>
          <w:rFonts w:ascii="Times New Roman" w:eastAsia="SimSun" w:hAnsi="Times New Roman"/>
          <w:i/>
          <w:sz w:val="24"/>
          <w:szCs w:val="24"/>
        </w:rPr>
        <w:t>SMN1</w:t>
      </w:r>
      <w:r w:rsidRPr="00AE47C6">
        <w:rPr>
          <w:rFonts w:ascii="Times New Roman" w:eastAsia="SimSun" w:hAnsi="Times New Roman"/>
          <w:sz w:val="24"/>
          <w:szCs w:val="24"/>
        </w:rPr>
        <w:t>- гена</w:t>
      </w:r>
    </w:p>
    <w:p w14:paraId="6826A6AC" w14:textId="77777777" w:rsidR="00BE0B19" w:rsidRPr="00AE47C6" w:rsidRDefault="00BE0B19" w:rsidP="00BE0B19">
      <w:pPr>
        <w:numPr>
          <w:ilvl w:val="0"/>
          <w:numId w:val="202"/>
        </w:numPr>
        <w:pBdr>
          <w:top w:val="single" w:sz="4" w:space="1" w:color="auto"/>
          <w:left w:val="single" w:sz="4" w:space="4" w:color="auto"/>
          <w:bottom w:val="single" w:sz="4" w:space="1" w:color="auto"/>
          <w:right w:val="single" w:sz="4" w:space="4" w:color="auto"/>
        </w:pBdr>
        <w:tabs>
          <w:tab w:val="left" w:pos="97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Пациенти, при които се прилагат стандартите за грижи при СМА</w:t>
      </w:r>
    </w:p>
    <w:p w14:paraId="2DD4F166" w14:textId="77777777" w:rsidR="00BE0B19" w:rsidRPr="00AE47C6" w:rsidRDefault="00BE0B19" w:rsidP="00BE0B19">
      <w:pPr>
        <w:numPr>
          <w:ilvl w:val="0"/>
          <w:numId w:val="202"/>
        </w:numPr>
        <w:pBdr>
          <w:top w:val="single" w:sz="4" w:space="1" w:color="auto"/>
          <w:left w:val="single" w:sz="4" w:space="4" w:color="auto"/>
          <w:bottom w:val="single" w:sz="4" w:space="1" w:color="auto"/>
          <w:right w:val="single" w:sz="4" w:space="4" w:color="auto"/>
        </w:pBdr>
        <w:tabs>
          <w:tab w:val="left" w:pos="97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При отделните форми на СМА се изискват в допълнение:</w:t>
      </w:r>
    </w:p>
    <w:p w14:paraId="5D3D9285"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75"/>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Пациенти със СMA тип 1</w:t>
      </w:r>
    </w:p>
    <w:p w14:paraId="1E2AE890" w14:textId="77777777" w:rsidR="00BE0B19" w:rsidRPr="00AE47C6" w:rsidRDefault="00BE0B19" w:rsidP="00BE0B19">
      <w:pPr>
        <w:numPr>
          <w:ilvl w:val="0"/>
          <w:numId w:val="202"/>
        </w:numPr>
        <w:pBdr>
          <w:top w:val="single" w:sz="4" w:space="1" w:color="auto"/>
          <w:left w:val="single" w:sz="4" w:space="4" w:color="auto"/>
          <w:bottom w:val="single" w:sz="4" w:space="1" w:color="auto"/>
          <w:right w:val="single" w:sz="4" w:space="4" w:color="auto"/>
        </w:pBdr>
        <w:tabs>
          <w:tab w:val="left" w:pos="97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Пациентът е бил без симптоми за СМА на възраст 1 седмица.</w:t>
      </w:r>
    </w:p>
    <w:p w14:paraId="6F289388" w14:textId="77777777" w:rsidR="00BE0B19" w:rsidRPr="00AE47C6" w:rsidRDefault="00BE0B19" w:rsidP="00BE0B19">
      <w:pPr>
        <w:numPr>
          <w:ilvl w:val="0"/>
          <w:numId w:val="202"/>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Пациентът трябва да има поне 2 копия на гена SMN 2.</w:t>
      </w:r>
    </w:p>
    <w:p w14:paraId="02B0C398" w14:textId="77777777" w:rsidR="00BE0B19" w:rsidRPr="00AE47C6" w:rsidRDefault="00BE0B19" w:rsidP="00BE0B19">
      <w:pPr>
        <w:numPr>
          <w:ilvl w:val="0"/>
          <w:numId w:val="202"/>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Пациентът трябва да има SAO</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&gt; 95% без нужда от асистирано дишане (включително и с CPAP - постоянно положително въздушно налягане) или от допълнителен кислород. </w:t>
      </w:r>
    </w:p>
    <w:p w14:paraId="524C4302"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SimSun" w:hAnsi="Times New Roman"/>
          <w:b/>
          <w:sz w:val="24"/>
          <w:szCs w:val="24"/>
          <w:u w:val="single"/>
        </w:rPr>
      </w:pPr>
    </w:p>
    <w:p w14:paraId="52B384AF"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Пациенти със СMA тип 2</w:t>
      </w:r>
    </w:p>
    <w:p w14:paraId="4BF62010" w14:textId="77777777" w:rsidR="00BE0B19" w:rsidRPr="00AE47C6" w:rsidRDefault="00BE0B19" w:rsidP="00BE0B19">
      <w:pPr>
        <w:numPr>
          <w:ilvl w:val="0"/>
          <w:numId w:val="203"/>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Пациентът има поне 2 копия на SMN 2 гена.</w:t>
      </w:r>
    </w:p>
    <w:p w14:paraId="3C38F4A2" w14:textId="77777777" w:rsidR="00BE0B19" w:rsidRPr="00AE47C6" w:rsidRDefault="00BE0B19" w:rsidP="00BE0B19">
      <w:pPr>
        <w:numPr>
          <w:ilvl w:val="0"/>
          <w:numId w:val="203"/>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Пациентът не е зависим от асистирана вентилация или кислород - SAO2 &gt; 96%</w:t>
      </w:r>
    </w:p>
    <w:p w14:paraId="700DB720"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SimSun" w:hAnsi="Times New Roman"/>
          <w:sz w:val="24"/>
          <w:szCs w:val="24"/>
        </w:rPr>
      </w:pPr>
    </w:p>
    <w:p w14:paraId="59374361"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Пациенти със СMA тип 3</w:t>
      </w:r>
    </w:p>
    <w:p w14:paraId="3820CAB6"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w:t>
      </w:r>
      <w:r w:rsidRPr="00AE47C6">
        <w:rPr>
          <w:rFonts w:ascii="Times New Roman" w:eastAsia="SimSun" w:hAnsi="Times New Roman"/>
          <w:b/>
          <w:sz w:val="24"/>
          <w:szCs w:val="24"/>
        </w:rPr>
        <w:tab/>
      </w:r>
      <w:r w:rsidRPr="00AE47C6">
        <w:rPr>
          <w:rFonts w:ascii="Times New Roman" w:eastAsia="SimSun" w:hAnsi="Times New Roman"/>
          <w:sz w:val="24"/>
          <w:szCs w:val="24"/>
        </w:rPr>
        <w:t>Пациентът има поне 2 копия на SMN 2 гена.</w:t>
      </w:r>
    </w:p>
    <w:p w14:paraId="5D0D863A"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w:t>
      </w:r>
      <w:r w:rsidRPr="00AE47C6">
        <w:rPr>
          <w:rFonts w:ascii="Times New Roman" w:eastAsia="SimSun" w:hAnsi="Times New Roman"/>
          <w:sz w:val="24"/>
          <w:szCs w:val="24"/>
        </w:rPr>
        <w:tab/>
        <w:t>Пациентът не е зависим от асистирана вентилация или кислород - SAO2 &gt; 96%</w:t>
      </w:r>
    </w:p>
    <w:p w14:paraId="6AE33E4D"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SimSun" w:hAnsi="Times New Roman"/>
          <w:sz w:val="24"/>
          <w:szCs w:val="24"/>
        </w:rPr>
      </w:pPr>
    </w:p>
    <w:p w14:paraId="2ADA0B02"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75"/>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Изключващи критерии за започване на терапия с Nusinersen</w:t>
      </w:r>
    </w:p>
    <w:p w14:paraId="09E50919" w14:textId="77777777" w:rsidR="00BE0B19" w:rsidRPr="00AE47C6" w:rsidRDefault="00BE0B19" w:rsidP="00BE0B19">
      <w:pPr>
        <w:numPr>
          <w:ilvl w:val="0"/>
          <w:numId w:val="204"/>
        </w:numPr>
        <w:pBdr>
          <w:top w:val="single" w:sz="4" w:space="1" w:color="auto"/>
          <w:left w:val="single" w:sz="4" w:space="4" w:color="auto"/>
          <w:bottom w:val="single" w:sz="4" w:space="1" w:color="auto"/>
          <w:right w:val="single" w:sz="4" w:space="4" w:color="auto"/>
        </w:pBdr>
        <w:tabs>
          <w:tab w:val="left" w:pos="97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Анамнеза за заболяване на централната или периферната нервна система, което би затруднило интратекалното приложение</w:t>
      </w:r>
    </w:p>
    <w:p w14:paraId="329AAE7E" w14:textId="77777777" w:rsidR="00BE0B19" w:rsidRPr="00AE47C6" w:rsidRDefault="00BE0B19" w:rsidP="00BE0B19">
      <w:pPr>
        <w:numPr>
          <w:ilvl w:val="0"/>
          <w:numId w:val="204"/>
        </w:numPr>
        <w:pBdr>
          <w:top w:val="single" w:sz="4" w:space="1" w:color="auto"/>
          <w:left w:val="single" w:sz="4" w:space="4" w:color="auto"/>
          <w:bottom w:val="single" w:sz="4" w:space="1" w:color="auto"/>
          <w:right w:val="single" w:sz="4" w:space="4" w:color="auto"/>
        </w:pBdr>
        <w:tabs>
          <w:tab w:val="left" w:pos="97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Тежка сколиоза, която би затруднила интратекалното приложение на медикамента</w:t>
      </w:r>
    </w:p>
    <w:p w14:paraId="7324EA44" w14:textId="77777777" w:rsidR="00BE0B19" w:rsidRPr="00AE47C6" w:rsidRDefault="00BE0B19" w:rsidP="00BE0B19">
      <w:pPr>
        <w:numPr>
          <w:ilvl w:val="0"/>
          <w:numId w:val="204"/>
        </w:numPr>
        <w:pBdr>
          <w:top w:val="single" w:sz="4" w:space="1" w:color="auto"/>
          <w:left w:val="single" w:sz="4" w:space="4" w:color="auto"/>
          <w:bottom w:val="single" w:sz="4" w:space="1" w:color="auto"/>
          <w:right w:val="single" w:sz="4" w:space="4" w:color="auto"/>
        </w:pBdr>
        <w:tabs>
          <w:tab w:val="left" w:pos="97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Анамнеза за имплантиран шънт</w:t>
      </w:r>
    </w:p>
    <w:p w14:paraId="6A3C3261" w14:textId="77777777" w:rsidR="00BE0B19" w:rsidRPr="00AE47C6" w:rsidRDefault="00BE0B19" w:rsidP="00BE0B19">
      <w:pPr>
        <w:numPr>
          <w:ilvl w:val="0"/>
          <w:numId w:val="204"/>
        </w:numPr>
        <w:pBdr>
          <w:top w:val="single" w:sz="4" w:space="1" w:color="auto"/>
          <w:left w:val="single" w:sz="4" w:space="4" w:color="auto"/>
          <w:bottom w:val="single" w:sz="4" w:space="1" w:color="auto"/>
          <w:right w:val="single" w:sz="4" w:space="4" w:color="auto"/>
        </w:pBdr>
        <w:tabs>
          <w:tab w:val="left" w:pos="97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Участие в клинично проучване за СMA</w:t>
      </w:r>
    </w:p>
    <w:p w14:paraId="2265A0DC" w14:textId="77777777" w:rsidR="00BE0B19" w:rsidRPr="00AE47C6" w:rsidRDefault="00BE0B19" w:rsidP="00BE0B19">
      <w:pPr>
        <w:numPr>
          <w:ilvl w:val="0"/>
          <w:numId w:val="204"/>
        </w:numPr>
        <w:pBdr>
          <w:top w:val="single" w:sz="4" w:space="1" w:color="auto"/>
          <w:left w:val="single" w:sz="4" w:space="4" w:color="auto"/>
          <w:bottom w:val="single" w:sz="4" w:space="1" w:color="auto"/>
          <w:right w:val="single" w:sz="4" w:space="4" w:color="auto"/>
        </w:pBdr>
        <w:tabs>
          <w:tab w:val="left" w:pos="97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Нарушение в кръвосъсирването, което би направило приложението на медикамента опасно за болния</w:t>
      </w:r>
    </w:p>
    <w:p w14:paraId="2FD8E7CC"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75"/>
        </w:tabs>
        <w:spacing w:after="0" w:line="360" w:lineRule="auto"/>
        <w:contextualSpacing/>
        <w:jc w:val="both"/>
        <w:rPr>
          <w:rFonts w:ascii="Times New Roman" w:eastAsia="SimSun" w:hAnsi="Times New Roman"/>
          <w:sz w:val="24"/>
          <w:szCs w:val="24"/>
        </w:rPr>
      </w:pPr>
    </w:p>
    <w:p w14:paraId="2F4148B7"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SimSun" w:hAnsi="Times New Roman"/>
          <w:b/>
          <w:i/>
          <w:sz w:val="24"/>
          <w:szCs w:val="24"/>
        </w:rPr>
      </w:pPr>
      <w:r w:rsidRPr="00AE47C6">
        <w:rPr>
          <w:rFonts w:ascii="Times New Roman" w:eastAsia="SimSun" w:hAnsi="Times New Roman"/>
          <w:b/>
          <w:i/>
          <w:sz w:val="24"/>
          <w:szCs w:val="24"/>
        </w:rPr>
        <w:t>Критерии за оценка на ефекта от лечението и продължаване на лечението:</w:t>
      </w:r>
    </w:p>
    <w:p w14:paraId="768F5285" w14:textId="77777777" w:rsidR="00BE0B19" w:rsidRPr="00AE47C6" w:rsidRDefault="00BE0B19" w:rsidP="00BE0B19">
      <w:pPr>
        <w:numPr>
          <w:ilvl w:val="0"/>
          <w:numId w:val="206"/>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360"/>
        <w:contextualSpacing/>
        <w:jc w:val="both"/>
        <w:rPr>
          <w:rFonts w:ascii="Times New Roman" w:eastAsia="SimSun" w:hAnsi="Times New Roman"/>
          <w:sz w:val="24"/>
          <w:szCs w:val="24"/>
        </w:rPr>
      </w:pPr>
      <w:r w:rsidRPr="00AE47C6">
        <w:rPr>
          <w:rFonts w:ascii="Times New Roman" w:eastAsia="SimSun" w:hAnsi="Times New Roman"/>
          <w:sz w:val="24"/>
          <w:szCs w:val="24"/>
        </w:rPr>
        <w:t>3 месеца след шестата и преди седмата доза и след това на всеки 6 месеца, ако лечението продължава.</w:t>
      </w:r>
    </w:p>
    <w:p w14:paraId="735DA170" w14:textId="77777777" w:rsidR="00BE0B19" w:rsidRPr="00AE47C6" w:rsidRDefault="00BE0B19" w:rsidP="00BE0B19">
      <w:pPr>
        <w:numPr>
          <w:ilvl w:val="0"/>
          <w:numId w:val="205"/>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Пациентът не трябва да се влошава по никой от следните параметри: </w:t>
      </w:r>
    </w:p>
    <w:p w14:paraId="6A073FE5" w14:textId="77777777" w:rsidR="00BE0B19" w:rsidRPr="00AE47C6" w:rsidRDefault="00BE0B19" w:rsidP="00BE0B19">
      <w:pPr>
        <w:numPr>
          <w:ilvl w:val="0"/>
          <w:numId w:val="207"/>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Обща двигателна функция, измерена по скалата за моторно-двигателни функции на Hammersmith Functional Motor Scale Expanded (HFMSE).</w:t>
      </w:r>
    </w:p>
    <w:p w14:paraId="332B17E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При пациентите със СMA тип 1</w:t>
      </w:r>
      <w:r w:rsidRPr="00AE47C6">
        <w:rPr>
          <w:rFonts w:ascii="Times New Roman" w:eastAsia="SimSun" w:hAnsi="Times New Roman"/>
          <w:sz w:val="24"/>
          <w:szCs w:val="24"/>
        </w:rPr>
        <w:t xml:space="preserve"> оценката на двигателните функции се извършва по скали:</w:t>
      </w:r>
    </w:p>
    <w:p w14:paraId="17418983" w14:textId="77777777" w:rsidR="00BE0B19" w:rsidRPr="00AE47C6" w:rsidRDefault="00BE0B19" w:rsidP="00BE0B19">
      <w:pPr>
        <w:numPr>
          <w:ilvl w:val="0"/>
          <w:numId w:val="201"/>
        </w:numPr>
        <w:pBdr>
          <w:top w:val="single" w:sz="4" w:space="1" w:color="auto"/>
          <w:left w:val="single" w:sz="4" w:space="4" w:color="auto"/>
          <w:bottom w:val="single" w:sz="4" w:space="1" w:color="auto"/>
          <w:right w:val="single" w:sz="4" w:space="4" w:color="auto"/>
        </w:pBd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Children’s Hospital of Philadelphia Infant Test of Neuromuscular Disorders (CHOP INTEND) </w:t>
      </w:r>
    </w:p>
    <w:p w14:paraId="484512B9" w14:textId="77777777" w:rsidR="00BE0B19" w:rsidRPr="00AE47C6" w:rsidRDefault="00BE0B19" w:rsidP="00BE0B19">
      <w:pPr>
        <w:numPr>
          <w:ilvl w:val="0"/>
          <w:numId w:val="201"/>
        </w:numPr>
        <w:pBdr>
          <w:top w:val="single" w:sz="4" w:space="1" w:color="auto"/>
          <w:left w:val="single" w:sz="4" w:space="4" w:color="auto"/>
          <w:bottom w:val="single" w:sz="4" w:space="1" w:color="auto"/>
          <w:right w:val="single" w:sz="4" w:space="4" w:color="auto"/>
        </w:pBd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Hammersmith Infant Neurological Examination (HINE)</w:t>
      </w:r>
    </w:p>
    <w:p w14:paraId="1CEC1C8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 xml:space="preserve">При пациентите със СMA тип 2 </w:t>
      </w:r>
      <w:r w:rsidRPr="00AE47C6">
        <w:rPr>
          <w:rFonts w:ascii="Times New Roman" w:eastAsia="SimSun" w:hAnsi="Times New Roman"/>
          <w:sz w:val="24"/>
          <w:szCs w:val="24"/>
        </w:rPr>
        <w:t>оценката на двигателните функции се извършва чрез:</w:t>
      </w:r>
    </w:p>
    <w:p w14:paraId="290F07F0" w14:textId="77777777" w:rsidR="00BE0B19" w:rsidRPr="00AE47C6" w:rsidRDefault="00BE0B19" w:rsidP="00BE0B19">
      <w:pPr>
        <w:numPr>
          <w:ilvl w:val="0"/>
          <w:numId w:val="201"/>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Hammersmith Functional Motor Scale Expanded (HFMSE) score</w:t>
      </w:r>
    </w:p>
    <w:p w14:paraId="40B05210" w14:textId="77777777" w:rsidR="00BE0B19" w:rsidRPr="00AE47C6" w:rsidRDefault="00BE0B19" w:rsidP="00BE0B19">
      <w:pPr>
        <w:numPr>
          <w:ilvl w:val="0"/>
          <w:numId w:val="201"/>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Revised Upper Limb (RULM)</w:t>
      </w:r>
    </w:p>
    <w:p w14:paraId="4748FB6A" w14:textId="77777777" w:rsidR="00BE0B19" w:rsidRPr="00AE47C6" w:rsidRDefault="00BE0B19" w:rsidP="00BE0B19">
      <w:pPr>
        <w:numPr>
          <w:ilvl w:val="0"/>
          <w:numId w:val="201"/>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contextualSpacing/>
        <w:rPr>
          <w:rFonts w:ascii="Times New Roman" w:eastAsia="SimSun" w:hAnsi="Times New Roman"/>
          <w:sz w:val="24"/>
          <w:szCs w:val="24"/>
        </w:rPr>
      </w:pPr>
      <w:r w:rsidRPr="00AE47C6">
        <w:rPr>
          <w:rFonts w:ascii="Times New Roman" w:eastAsia="SimSun" w:hAnsi="Times New Roman"/>
          <w:sz w:val="24"/>
          <w:szCs w:val="24"/>
        </w:rPr>
        <w:t>Мануално мускулно тестуване (MRC скала)</w:t>
      </w:r>
    </w:p>
    <w:p w14:paraId="55E1F5E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При пациентите със СMA тип 3</w:t>
      </w:r>
      <w:r w:rsidRPr="00AE47C6">
        <w:rPr>
          <w:rFonts w:ascii="Times New Roman" w:eastAsia="SimSun" w:hAnsi="Times New Roman"/>
          <w:sz w:val="24"/>
          <w:szCs w:val="24"/>
        </w:rPr>
        <w:t xml:space="preserve"> оценката на двигателните функции се извършва чрез:</w:t>
      </w:r>
    </w:p>
    <w:p w14:paraId="58A3D4C5" w14:textId="77777777" w:rsidR="00BE0B19" w:rsidRPr="00AE47C6" w:rsidRDefault="00BE0B19" w:rsidP="00BE0B19">
      <w:pPr>
        <w:numPr>
          <w:ilvl w:val="0"/>
          <w:numId w:val="201"/>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Hammersmith Functional Motor Scale Expanded (HFMSE) score</w:t>
      </w:r>
    </w:p>
    <w:p w14:paraId="20265D57" w14:textId="77777777" w:rsidR="00BE0B19" w:rsidRPr="00AE47C6" w:rsidRDefault="00BE0B19" w:rsidP="00BE0B19">
      <w:pPr>
        <w:numPr>
          <w:ilvl w:val="0"/>
          <w:numId w:val="201"/>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Revised Upper Limb (RULM)</w:t>
      </w:r>
    </w:p>
    <w:p w14:paraId="7AD788ED" w14:textId="77777777" w:rsidR="00BE0B19" w:rsidRPr="00AE47C6" w:rsidRDefault="00BE0B19" w:rsidP="00BE0B19">
      <w:pPr>
        <w:numPr>
          <w:ilvl w:val="0"/>
          <w:numId w:val="201"/>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contextualSpacing/>
        <w:rPr>
          <w:rFonts w:ascii="Times New Roman" w:eastAsia="SimSun" w:hAnsi="Times New Roman"/>
          <w:sz w:val="24"/>
          <w:szCs w:val="24"/>
        </w:rPr>
      </w:pPr>
      <w:r w:rsidRPr="00AE47C6">
        <w:rPr>
          <w:rFonts w:ascii="Times New Roman" w:eastAsia="SimSun" w:hAnsi="Times New Roman"/>
          <w:sz w:val="24"/>
          <w:szCs w:val="24"/>
        </w:rPr>
        <w:t>Мануално мускулно тестуване (MRC скала)</w:t>
      </w:r>
    </w:p>
    <w:p w14:paraId="39ACE063" w14:textId="77777777" w:rsidR="00BE0B19" w:rsidRPr="00AE47C6" w:rsidRDefault="00BE0B19" w:rsidP="00BE0B19">
      <w:pPr>
        <w:numPr>
          <w:ilvl w:val="0"/>
          <w:numId w:val="201"/>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6 Minutes walking test (6MWT) - при запазена самостоятелно походка</w:t>
      </w:r>
    </w:p>
    <w:p w14:paraId="38290C35"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rPr>
          <w:rFonts w:ascii="Times New Roman" w:eastAsia="SimSun" w:hAnsi="Times New Roman"/>
          <w:sz w:val="24"/>
          <w:szCs w:val="24"/>
        </w:rPr>
      </w:pPr>
    </w:p>
    <w:p w14:paraId="19C629B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2. Респираторна функция, оценена чрез спирометрия, оценка на PAO2 и PACO2 за период от време без допълнително подаване на кислород. </w:t>
      </w:r>
    </w:p>
    <w:p w14:paraId="623B30D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За изпълнението на тези тестове е необходимо предварително обучение.</w:t>
      </w:r>
    </w:p>
    <w:p w14:paraId="13CE70E5"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Необходими условия за приложение на медикамента в лечебно заведение:</w:t>
      </w:r>
    </w:p>
    <w:p w14:paraId="71CDB62A" w14:textId="77777777" w:rsidR="00BE0B19" w:rsidRPr="00AE47C6" w:rsidRDefault="00BE0B19" w:rsidP="00BE0B19">
      <w:pPr>
        <w:numPr>
          <w:ilvl w:val="1"/>
          <w:numId w:val="356"/>
        </w:numPr>
        <w:spacing w:after="0" w:line="360" w:lineRule="auto"/>
        <w:ind w:left="426" w:hanging="426"/>
        <w:contextualSpacing/>
        <w:jc w:val="both"/>
        <w:rPr>
          <w:rFonts w:ascii="Times New Roman" w:eastAsia="SimSun" w:hAnsi="Times New Roman"/>
          <w:sz w:val="24"/>
          <w:szCs w:val="24"/>
        </w:rPr>
      </w:pPr>
      <w:r w:rsidRPr="00AE47C6">
        <w:rPr>
          <w:rFonts w:ascii="Times New Roman" w:eastAsia="SimSun" w:hAnsi="Times New Roman"/>
          <w:sz w:val="24"/>
          <w:szCs w:val="24"/>
        </w:rPr>
        <w:t>Помещение за приложение</w:t>
      </w:r>
    </w:p>
    <w:p w14:paraId="7BD25334" w14:textId="77777777" w:rsidR="00BE0B19" w:rsidRPr="00AE47C6" w:rsidRDefault="00BE0B19" w:rsidP="00BE0B19">
      <w:pPr>
        <w:numPr>
          <w:ilvl w:val="1"/>
          <w:numId w:val="356"/>
        </w:numPr>
        <w:spacing w:after="0" w:line="360" w:lineRule="auto"/>
        <w:ind w:left="426" w:hanging="426"/>
        <w:contextualSpacing/>
        <w:jc w:val="both"/>
        <w:rPr>
          <w:rFonts w:ascii="Times New Roman" w:eastAsia="SimSun" w:hAnsi="Times New Roman"/>
          <w:sz w:val="24"/>
          <w:szCs w:val="24"/>
        </w:rPr>
      </w:pPr>
      <w:r w:rsidRPr="00AE47C6">
        <w:rPr>
          <w:rFonts w:ascii="Times New Roman" w:eastAsia="SimSun" w:hAnsi="Times New Roman"/>
          <w:sz w:val="24"/>
          <w:szCs w:val="24"/>
        </w:rPr>
        <w:t>Протоколи за интратекално приложение</w:t>
      </w:r>
    </w:p>
    <w:p w14:paraId="4ECEEC19" w14:textId="77777777" w:rsidR="00BE0B19" w:rsidRPr="00AE47C6" w:rsidRDefault="00BE0B19" w:rsidP="00BE0B19">
      <w:pPr>
        <w:numPr>
          <w:ilvl w:val="1"/>
          <w:numId w:val="356"/>
        </w:numPr>
        <w:spacing w:after="0" w:line="360" w:lineRule="auto"/>
        <w:ind w:left="426" w:hanging="426"/>
        <w:contextualSpacing/>
        <w:jc w:val="both"/>
        <w:rPr>
          <w:rFonts w:ascii="Times New Roman" w:eastAsia="SimSun" w:hAnsi="Times New Roman"/>
          <w:sz w:val="24"/>
          <w:szCs w:val="24"/>
        </w:rPr>
      </w:pPr>
      <w:r w:rsidRPr="00AE47C6">
        <w:rPr>
          <w:rFonts w:ascii="Times New Roman" w:eastAsia="SimSun" w:hAnsi="Times New Roman"/>
          <w:sz w:val="24"/>
          <w:szCs w:val="24"/>
        </w:rPr>
        <w:t>Помещение за проследяване след интратекалното приложение</w:t>
      </w:r>
    </w:p>
    <w:p w14:paraId="73445ECF" w14:textId="77777777" w:rsidR="00BE0B19" w:rsidRPr="00AE47C6" w:rsidRDefault="00BE0B19" w:rsidP="00BE0B19">
      <w:pPr>
        <w:numPr>
          <w:ilvl w:val="1"/>
          <w:numId w:val="356"/>
        </w:numPr>
        <w:spacing w:after="0" w:line="360" w:lineRule="auto"/>
        <w:ind w:left="426" w:hanging="426"/>
        <w:contextualSpacing/>
        <w:jc w:val="both"/>
        <w:rPr>
          <w:rFonts w:ascii="Times New Roman" w:eastAsia="SimSun" w:hAnsi="Times New Roman"/>
          <w:sz w:val="24"/>
          <w:szCs w:val="24"/>
        </w:rPr>
      </w:pPr>
      <w:r w:rsidRPr="00AE47C6">
        <w:rPr>
          <w:rFonts w:ascii="Times New Roman" w:eastAsia="SimSun" w:hAnsi="Times New Roman"/>
          <w:sz w:val="24"/>
          <w:szCs w:val="24"/>
        </w:rPr>
        <w:t>Персонал с опит в интратекални манипулации, диагностика и проследяване на пациенти със СМА</w:t>
      </w:r>
    </w:p>
    <w:p w14:paraId="20F62256" w14:textId="77777777" w:rsidR="00BE0B19" w:rsidRPr="00AE47C6" w:rsidRDefault="00BE0B19" w:rsidP="00BE0B19">
      <w:pPr>
        <w:numPr>
          <w:ilvl w:val="1"/>
          <w:numId w:val="356"/>
        </w:numPr>
        <w:spacing w:after="0" w:line="360" w:lineRule="auto"/>
        <w:ind w:left="426" w:hanging="426"/>
        <w:contextualSpacing/>
        <w:jc w:val="both"/>
        <w:rPr>
          <w:rFonts w:ascii="Times New Roman" w:eastAsia="SimSun" w:hAnsi="Times New Roman"/>
          <w:sz w:val="24"/>
          <w:szCs w:val="24"/>
        </w:rPr>
      </w:pPr>
      <w:r w:rsidRPr="00AE47C6">
        <w:rPr>
          <w:rFonts w:ascii="Times New Roman" w:eastAsia="SimSun" w:hAnsi="Times New Roman"/>
          <w:sz w:val="24"/>
          <w:szCs w:val="24"/>
        </w:rPr>
        <w:t>Условия и персонал за приложение на анестезия при необходимост</w:t>
      </w:r>
    </w:p>
    <w:p w14:paraId="1D900FE4" w14:textId="77777777" w:rsidR="00BE0B19" w:rsidRPr="00AE47C6" w:rsidRDefault="00BE0B19" w:rsidP="00BE0B19">
      <w:pPr>
        <w:numPr>
          <w:ilvl w:val="1"/>
          <w:numId w:val="356"/>
        </w:numPr>
        <w:spacing w:after="0" w:line="360" w:lineRule="auto"/>
        <w:ind w:left="426" w:hanging="426"/>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Условия за реанимация при необходимост </w:t>
      </w:r>
    </w:p>
    <w:p w14:paraId="3ABE5EB7" w14:textId="77777777" w:rsidR="00BE0B19" w:rsidRPr="00AE47C6" w:rsidRDefault="00BE0B19" w:rsidP="00BE0B19">
      <w:pPr>
        <w:spacing w:after="0" w:line="360" w:lineRule="auto"/>
        <w:ind w:firstLine="709"/>
        <w:jc w:val="both"/>
        <w:rPr>
          <w:rFonts w:ascii="Times New Roman" w:eastAsia="SimSun" w:hAnsi="Times New Roman"/>
          <w:sz w:val="24"/>
          <w:szCs w:val="24"/>
        </w:rPr>
      </w:pPr>
    </w:p>
    <w:p w14:paraId="344477DC"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Необходими специалисти за подготовка на пациента, извършване на процедурата и проследяване на пациента:</w:t>
      </w:r>
    </w:p>
    <w:p w14:paraId="41B7038C" w14:textId="77777777" w:rsidR="00BE0B19" w:rsidRPr="00AE47C6" w:rsidRDefault="00BE0B19" w:rsidP="00BE0B19">
      <w:pPr>
        <w:numPr>
          <w:ilvl w:val="1"/>
          <w:numId w:val="357"/>
        </w:numPr>
        <w:spacing w:after="0" w:line="360" w:lineRule="auto"/>
        <w:ind w:left="426" w:hanging="426"/>
        <w:contextualSpacing/>
        <w:jc w:val="both"/>
        <w:rPr>
          <w:rFonts w:ascii="Times New Roman" w:eastAsia="SimSun" w:hAnsi="Times New Roman"/>
          <w:sz w:val="24"/>
          <w:szCs w:val="24"/>
        </w:rPr>
      </w:pPr>
      <w:r w:rsidRPr="00AE47C6">
        <w:rPr>
          <w:rFonts w:ascii="Times New Roman" w:eastAsia="SimSun" w:hAnsi="Times New Roman"/>
          <w:sz w:val="24"/>
          <w:szCs w:val="24"/>
        </w:rPr>
        <w:t>Невролог</w:t>
      </w:r>
    </w:p>
    <w:p w14:paraId="250FD66C" w14:textId="77777777" w:rsidR="00BE0B19" w:rsidRPr="00AE47C6" w:rsidRDefault="00BE0B19" w:rsidP="00BE0B19">
      <w:pPr>
        <w:numPr>
          <w:ilvl w:val="1"/>
          <w:numId w:val="357"/>
        </w:numPr>
        <w:spacing w:after="0" w:line="360" w:lineRule="auto"/>
        <w:ind w:left="426" w:hanging="426"/>
        <w:contextualSpacing/>
        <w:jc w:val="both"/>
        <w:rPr>
          <w:rFonts w:ascii="Times New Roman" w:eastAsia="SimSun" w:hAnsi="Times New Roman"/>
          <w:sz w:val="24"/>
          <w:szCs w:val="24"/>
        </w:rPr>
      </w:pPr>
      <w:r w:rsidRPr="00AE47C6">
        <w:rPr>
          <w:rFonts w:ascii="Times New Roman" w:eastAsia="SimSun" w:hAnsi="Times New Roman"/>
          <w:sz w:val="24"/>
          <w:szCs w:val="24"/>
        </w:rPr>
        <w:t>Пулмолог</w:t>
      </w:r>
    </w:p>
    <w:p w14:paraId="6BA1A86D" w14:textId="77777777" w:rsidR="00BE0B19" w:rsidRPr="00AE47C6" w:rsidRDefault="00BE0B19" w:rsidP="00BE0B19">
      <w:pPr>
        <w:numPr>
          <w:ilvl w:val="1"/>
          <w:numId w:val="357"/>
        </w:numPr>
        <w:spacing w:after="0" w:line="360" w:lineRule="auto"/>
        <w:ind w:left="426" w:hanging="426"/>
        <w:contextualSpacing/>
        <w:jc w:val="both"/>
        <w:rPr>
          <w:rFonts w:ascii="Times New Roman" w:eastAsia="SimSun" w:hAnsi="Times New Roman"/>
          <w:sz w:val="24"/>
          <w:szCs w:val="24"/>
        </w:rPr>
      </w:pPr>
      <w:r w:rsidRPr="00AE47C6">
        <w:rPr>
          <w:rFonts w:ascii="Times New Roman" w:eastAsia="SimSun" w:hAnsi="Times New Roman"/>
          <w:sz w:val="24"/>
          <w:szCs w:val="24"/>
        </w:rPr>
        <w:t>Кардиолог</w:t>
      </w:r>
    </w:p>
    <w:p w14:paraId="33C74A78" w14:textId="77777777" w:rsidR="00BE0B19" w:rsidRPr="00AE47C6" w:rsidRDefault="00BE0B19" w:rsidP="00BE0B19">
      <w:pPr>
        <w:numPr>
          <w:ilvl w:val="1"/>
          <w:numId w:val="357"/>
        </w:numPr>
        <w:spacing w:after="0" w:line="360" w:lineRule="auto"/>
        <w:ind w:left="426" w:hanging="426"/>
        <w:contextualSpacing/>
        <w:jc w:val="both"/>
        <w:rPr>
          <w:rFonts w:ascii="Times New Roman" w:eastAsia="SimSun" w:hAnsi="Times New Roman"/>
          <w:sz w:val="24"/>
          <w:szCs w:val="24"/>
        </w:rPr>
      </w:pPr>
      <w:r w:rsidRPr="00AE47C6">
        <w:rPr>
          <w:rFonts w:ascii="Times New Roman" w:eastAsia="SimSun" w:hAnsi="Times New Roman"/>
          <w:sz w:val="24"/>
          <w:szCs w:val="24"/>
        </w:rPr>
        <w:t>Анестезиолог</w:t>
      </w:r>
    </w:p>
    <w:p w14:paraId="7F80B495" w14:textId="77777777" w:rsidR="00BE0B19" w:rsidRPr="00AE47C6" w:rsidRDefault="00BE0B19" w:rsidP="00BE0B19">
      <w:pPr>
        <w:numPr>
          <w:ilvl w:val="1"/>
          <w:numId w:val="357"/>
        </w:numPr>
        <w:spacing w:after="0" w:line="360" w:lineRule="auto"/>
        <w:ind w:left="426" w:hanging="426"/>
        <w:contextualSpacing/>
        <w:jc w:val="both"/>
        <w:rPr>
          <w:rFonts w:ascii="Times New Roman" w:eastAsia="SimSun" w:hAnsi="Times New Roman"/>
          <w:sz w:val="24"/>
          <w:szCs w:val="24"/>
        </w:rPr>
      </w:pPr>
      <w:r w:rsidRPr="00AE47C6">
        <w:rPr>
          <w:rFonts w:ascii="Times New Roman" w:eastAsia="SimSun" w:hAnsi="Times New Roman"/>
          <w:sz w:val="24"/>
          <w:szCs w:val="24"/>
        </w:rPr>
        <w:t>Физиотерапевт</w:t>
      </w:r>
    </w:p>
    <w:p w14:paraId="079CB3EA" w14:textId="77777777" w:rsidR="00BE0B19" w:rsidRPr="00AE47C6" w:rsidRDefault="00BE0B19" w:rsidP="00BE0B19">
      <w:pPr>
        <w:numPr>
          <w:ilvl w:val="1"/>
          <w:numId w:val="357"/>
        </w:numPr>
        <w:spacing w:after="0" w:line="360" w:lineRule="auto"/>
        <w:ind w:left="426" w:hanging="426"/>
        <w:contextualSpacing/>
        <w:jc w:val="both"/>
        <w:rPr>
          <w:rFonts w:ascii="Times New Roman" w:eastAsia="SimSun" w:hAnsi="Times New Roman"/>
          <w:sz w:val="24"/>
          <w:szCs w:val="24"/>
        </w:rPr>
      </w:pPr>
      <w:r w:rsidRPr="00AE47C6">
        <w:rPr>
          <w:rFonts w:ascii="Times New Roman" w:eastAsia="SimSun" w:hAnsi="Times New Roman"/>
          <w:sz w:val="24"/>
          <w:szCs w:val="24"/>
        </w:rPr>
        <w:t>Медицинска сестра</w:t>
      </w:r>
    </w:p>
    <w:p w14:paraId="21AECE2F" w14:textId="77777777" w:rsidR="00BE0B19" w:rsidRPr="00AE47C6" w:rsidRDefault="00BE0B19" w:rsidP="00BE0B19">
      <w:pPr>
        <w:numPr>
          <w:ilvl w:val="1"/>
          <w:numId w:val="357"/>
        </w:numPr>
        <w:spacing w:after="0" w:line="360" w:lineRule="auto"/>
        <w:ind w:left="426" w:hanging="426"/>
        <w:contextualSpacing/>
        <w:jc w:val="both"/>
        <w:rPr>
          <w:rFonts w:ascii="Times New Roman" w:eastAsia="SimSun" w:hAnsi="Times New Roman"/>
          <w:sz w:val="24"/>
          <w:szCs w:val="24"/>
        </w:rPr>
      </w:pPr>
      <w:r w:rsidRPr="00AE47C6">
        <w:rPr>
          <w:rFonts w:ascii="Times New Roman" w:eastAsia="SimSun" w:hAnsi="Times New Roman"/>
          <w:sz w:val="24"/>
          <w:szCs w:val="24"/>
        </w:rPr>
        <w:t>При необходимост- радиолог</w:t>
      </w:r>
    </w:p>
    <w:p w14:paraId="4A28A110" w14:textId="77777777" w:rsidR="00BE0B19" w:rsidRPr="00AE47C6" w:rsidRDefault="00BE0B19" w:rsidP="00BE0B19">
      <w:pPr>
        <w:spacing w:after="0" w:line="360" w:lineRule="auto"/>
        <w:jc w:val="both"/>
        <w:rPr>
          <w:rFonts w:ascii="Times New Roman" w:eastAsia="SimSun" w:hAnsi="Times New Roman"/>
          <w:sz w:val="24"/>
          <w:szCs w:val="24"/>
        </w:rPr>
      </w:pPr>
    </w:p>
    <w:p w14:paraId="13B7C14D"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Продължителност на престоя в болнично заведение - 48 ч.</w:t>
      </w:r>
    </w:p>
    <w:p w14:paraId="0B7F5C53" w14:textId="77777777" w:rsidR="00BE0B19" w:rsidRPr="00AE47C6" w:rsidRDefault="00BE0B19" w:rsidP="00BE0B19">
      <w:pPr>
        <w:numPr>
          <w:ilvl w:val="0"/>
          <w:numId w:val="359"/>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В деня преди апликацията на Nusinersen:</w:t>
      </w:r>
    </w:p>
    <w:p w14:paraId="30059C38" w14:textId="77777777" w:rsidR="00BE0B19" w:rsidRPr="00AE47C6" w:rsidRDefault="00BE0B19" w:rsidP="00BE0B19">
      <w:pPr>
        <w:numPr>
          <w:ilvl w:val="0"/>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Оценка на ПКК, коагулация, урея, креатинин</w:t>
      </w:r>
    </w:p>
    <w:p w14:paraId="6246CF6E" w14:textId="77777777" w:rsidR="00BE0B19" w:rsidRPr="00AE47C6" w:rsidRDefault="00BE0B19" w:rsidP="00BE0B19">
      <w:pPr>
        <w:numPr>
          <w:ilvl w:val="0"/>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Консултация с анестезиолог (ако се предвижда провеждане на манипулацията с анестезия)</w:t>
      </w:r>
    </w:p>
    <w:p w14:paraId="5190ACEA" w14:textId="77777777" w:rsidR="00BE0B19" w:rsidRPr="00AE47C6" w:rsidRDefault="00BE0B19" w:rsidP="00BE0B19">
      <w:pPr>
        <w:numPr>
          <w:ilvl w:val="0"/>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Изследване за свръхчувствителност от локални анестетици (ако се предвижда локална анестезия)</w:t>
      </w:r>
    </w:p>
    <w:p w14:paraId="364673CF" w14:textId="77777777" w:rsidR="00BE0B19" w:rsidRPr="00AE47C6" w:rsidRDefault="00BE0B19" w:rsidP="00BE0B19">
      <w:pPr>
        <w:numPr>
          <w:ilvl w:val="0"/>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Оценка на моторната функция (преди първата апликация, 3 мес. след шестата доза и впоследствие на всеки 6 мес.)</w:t>
      </w:r>
    </w:p>
    <w:p w14:paraId="47D5AE21" w14:textId="77777777" w:rsidR="00BE0B19" w:rsidRPr="00AE47C6" w:rsidRDefault="00BE0B19" w:rsidP="00BE0B19">
      <w:pPr>
        <w:spacing w:after="0" w:line="360" w:lineRule="auto"/>
        <w:ind w:firstLine="709"/>
        <w:jc w:val="both"/>
        <w:rPr>
          <w:rFonts w:ascii="Times New Roman" w:eastAsia="SimSun" w:hAnsi="Times New Roman"/>
          <w:sz w:val="24"/>
          <w:szCs w:val="24"/>
        </w:rPr>
      </w:pPr>
    </w:p>
    <w:p w14:paraId="6B861156" w14:textId="77777777" w:rsidR="00BE0B19" w:rsidRPr="00AE47C6" w:rsidRDefault="00BE0B19" w:rsidP="00BE0B19">
      <w:pPr>
        <w:numPr>
          <w:ilvl w:val="0"/>
          <w:numId w:val="358"/>
        </w:numPr>
        <w:spacing w:after="0" w:line="360" w:lineRule="auto"/>
        <w:ind w:left="426" w:hanging="426"/>
        <w:contextualSpacing/>
        <w:jc w:val="both"/>
        <w:rPr>
          <w:rFonts w:ascii="Times New Roman" w:eastAsia="SimSun" w:hAnsi="Times New Roman"/>
          <w:sz w:val="24"/>
          <w:szCs w:val="24"/>
        </w:rPr>
      </w:pPr>
      <w:r w:rsidRPr="00AE47C6">
        <w:rPr>
          <w:rFonts w:ascii="Times New Roman" w:eastAsia="SimSun" w:hAnsi="Times New Roman"/>
          <w:sz w:val="24"/>
          <w:szCs w:val="24"/>
        </w:rPr>
        <w:t>В деня на апликацията на Nusinersen</w:t>
      </w:r>
    </w:p>
    <w:p w14:paraId="1153F8EC" w14:textId="77777777" w:rsidR="00BE0B19" w:rsidRPr="00AE47C6" w:rsidRDefault="00BE0B19" w:rsidP="00BE0B19">
      <w:pPr>
        <w:numPr>
          <w:ilvl w:val="0"/>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Получаване на лекарството от болничната аптека.</w:t>
      </w:r>
    </w:p>
    <w:p w14:paraId="5D811FC5" w14:textId="77777777" w:rsidR="00BE0B19" w:rsidRPr="00AE47C6" w:rsidRDefault="00BE0B19" w:rsidP="00BE0B19">
      <w:pPr>
        <w:numPr>
          <w:ilvl w:val="0"/>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Попълване на необходимите документи (медицинско досие на пациента, схема на терапия и назначение на Nusinersen).</w:t>
      </w:r>
    </w:p>
    <w:p w14:paraId="3DAC9E96" w14:textId="77777777" w:rsidR="00BE0B19" w:rsidRPr="00AE47C6" w:rsidRDefault="00BE0B19" w:rsidP="00BE0B19">
      <w:pPr>
        <w:numPr>
          <w:ilvl w:val="0"/>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Оценка на антропометрични показатели – височина и тегло.</w:t>
      </w:r>
    </w:p>
    <w:p w14:paraId="224CA80D" w14:textId="77777777" w:rsidR="00BE0B19" w:rsidRPr="00AE47C6" w:rsidRDefault="00BE0B19" w:rsidP="00BE0B19">
      <w:pPr>
        <w:numPr>
          <w:ilvl w:val="0"/>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При необходимост и преценка на лекуващия лекар може да се приложи: </w:t>
      </w:r>
    </w:p>
    <w:p w14:paraId="71D7C01B" w14:textId="77777777" w:rsidR="00BE0B19" w:rsidRPr="00AE47C6" w:rsidRDefault="00BE0B19" w:rsidP="00BE0B19">
      <w:pPr>
        <w:numPr>
          <w:ilvl w:val="1"/>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Локална анестезия с:</w:t>
      </w:r>
    </w:p>
    <w:p w14:paraId="7CF1AD49" w14:textId="77777777" w:rsidR="00BE0B19" w:rsidRPr="00AE47C6" w:rsidRDefault="00BE0B19" w:rsidP="00BE0B19">
      <w:pPr>
        <w:numPr>
          <w:ilvl w:val="2"/>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Lidocain - крем</w:t>
      </w:r>
    </w:p>
    <w:p w14:paraId="5E91D5DC" w14:textId="77777777" w:rsidR="00BE0B19" w:rsidRPr="00AE47C6" w:rsidRDefault="00BE0B19" w:rsidP="00BE0B19">
      <w:pPr>
        <w:numPr>
          <w:ilvl w:val="2"/>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Lidocain инжекционен разтвор 20 mg/ml - 10 ml (локална инфилтрационна анестезия, след скарификационна проба).</w:t>
      </w:r>
    </w:p>
    <w:p w14:paraId="1BC63B01" w14:textId="77777777" w:rsidR="00BE0B19" w:rsidRPr="00AE47C6" w:rsidRDefault="00BE0B19" w:rsidP="00BE0B19">
      <w:pPr>
        <w:numPr>
          <w:ilvl w:val="1"/>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Обща анестезия след предварителна консултация от анестезиолог, пулмолог и кардиолог с Ketamine, Midazolam или Kalinox (компресиран медицински газ 50%/50% - азотен оксид N</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O, кислород O</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w:t>
      </w:r>
    </w:p>
    <w:p w14:paraId="1ED2664A" w14:textId="77777777" w:rsidR="00BE0B19" w:rsidRPr="00AE47C6" w:rsidRDefault="00BE0B19" w:rsidP="00BE0B19">
      <w:pPr>
        <w:numPr>
          <w:ilvl w:val="0"/>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Приложение на медикамента:</w:t>
      </w:r>
    </w:p>
    <w:p w14:paraId="08AADEF5" w14:textId="77777777" w:rsidR="00BE0B19" w:rsidRPr="00AE47C6" w:rsidRDefault="00BE0B19" w:rsidP="00BE0B19">
      <w:pPr>
        <w:numPr>
          <w:ilvl w:val="1"/>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1-ва апликация (Ден 0): пациентът трябва да не е приемал храна 2 часа преди инжекцията и профилът на коагулация трябва да е в норма (оценява се от лекар).</w:t>
      </w:r>
    </w:p>
    <w:p w14:paraId="1E3807B7" w14:textId="77777777" w:rsidR="00BE0B19" w:rsidRPr="00AE47C6" w:rsidRDefault="00BE0B19" w:rsidP="00BE0B19">
      <w:pPr>
        <w:numPr>
          <w:ilvl w:val="1"/>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Следващи апликации: на празен стомах 1 час преди инжектирането. </w:t>
      </w:r>
    </w:p>
    <w:p w14:paraId="668CBF7C" w14:textId="77777777" w:rsidR="00BE0B19" w:rsidRPr="00AE47C6" w:rsidRDefault="00BE0B19" w:rsidP="00BE0B19">
      <w:pPr>
        <w:numPr>
          <w:ilvl w:val="1"/>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Флаконът Nusinersen се изважда от хладилника поне 30 минути преди апликацията.</w:t>
      </w:r>
    </w:p>
    <w:p w14:paraId="409AE73E" w14:textId="77777777" w:rsidR="00BE0B19" w:rsidRPr="00AE47C6" w:rsidRDefault="00BE0B19" w:rsidP="00BE0B19">
      <w:pPr>
        <w:numPr>
          <w:ilvl w:val="1"/>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След изтеглянето в спринцовката на Nusinersen, лекарството трябва да се съхранява на тъмно, ако апликацията не се прави веднага (годно до 6 ч.). </w:t>
      </w:r>
    </w:p>
    <w:p w14:paraId="11A5FE48" w14:textId="77777777" w:rsidR="00BE0B19" w:rsidRPr="00AE47C6" w:rsidRDefault="00BE0B19" w:rsidP="00BE0B19">
      <w:pPr>
        <w:numPr>
          <w:ilvl w:val="1"/>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Подготвяне на операционна количка с необходимото оборудване на лумбална пункция (ЛП): </w:t>
      </w:r>
    </w:p>
    <w:p w14:paraId="2818D1F2" w14:textId="77777777" w:rsidR="00BE0B19" w:rsidRPr="00AE47C6" w:rsidRDefault="00BE0B19" w:rsidP="00BE0B19">
      <w:pPr>
        <w:numPr>
          <w:ilvl w:val="2"/>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Спринцовки за i.v. (интравенозни инжекции), (3 броя) от 10 ml, трикомпонентни</w:t>
      </w:r>
    </w:p>
    <w:p w14:paraId="5B3AF6D2" w14:textId="77777777" w:rsidR="00BE0B19" w:rsidRPr="00AE47C6" w:rsidRDefault="00BE0B19" w:rsidP="00BE0B19">
      <w:pPr>
        <w:numPr>
          <w:ilvl w:val="2"/>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Две черни игли за лумбална пункция (22 G 0.7 x 38 mm от 22 G 0.7 x 90 mm).</w:t>
      </w:r>
    </w:p>
    <w:p w14:paraId="001BC231" w14:textId="77777777" w:rsidR="00BE0B19" w:rsidRPr="00AE47C6" w:rsidRDefault="00BE0B19" w:rsidP="00BE0B19">
      <w:pPr>
        <w:numPr>
          <w:ilvl w:val="2"/>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Стерилни компреси x 8 стерилни превръзки (2 пакета), Opsite, постоперативни (6.5 x 5 cm) </w:t>
      </w:r>
    </w:p>
    <w:p w14:paraId="43F5747E" w14:textId="77777777" w:rsidR="00BE0B19" w:rsidRPr="00AE47C6" w:rsidRDefault="00BE0B19" w:rsidP="00BE0B19">
      <w:pPr>
        <w:numPr>
          <w:ilvl w:val="2"/>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Три 2 ml епруветки за ликвор.</w:t>
      </w:r>
    </w:p>
    <w:p w14:paraId="3A82E370" w14:textId="77777777" w:rsidR="00BE0B19" w:rsidRPr="00AE47C6" w:rsidRDefault="00BE0B19" w:rsidP="00BE0B19">
      <w:pPr>
        <w:numPr>
          <w:ilvl w:val="2"/>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Стерилни ръкавици, престилки, маски, операционни чаршафи без прорези.</w:t>
      </w:r>
    </w:p>
    <w:p w14:paraId="4A5C037F" w14:textId="77777777" w:rsidR="00BE0B19" w:rsidRPr="00AE47C6" w:rsidRDefault="00BE0B19" w:rsidP="00BE0B19">
      <w:pPr>
        <w:numPr>
          <w:ilvl w:val="2"/>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Дезинфектант.</w:t>
      </w:r>
    </w:p>
    <w:p w14:paraId="46FF07BD" w14:textId="77777777" w:rsidR="00BE0B19" w:rsidRPr="00AE47C6" w:rsidRDefault="00BE0B19" w:rsidP="00BE0B19">
      <w:pPr>
        <w:numPr>
          <w:ilvl w:val="1"/>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Флаконът не се разклаща.</w:t>
      </w:r>
    </w:p>
    <w:p w14:paraId="40D8A704" w14:textId="77777777" w:rsidR="00BE0B19" w:rsidRPr="00AE47C6" w:rsidRDefault="00BE0B19" w:rsidP="00BE0B19">
      <w:pPr>
        <w:numPr>
          <w:ilvl w:val="1"/>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Изтегленото количество ликвор чрез ЛП е идентично с това на Nusinersen за една процедура (5 ml). Изтегленото количество ликвор се разпределя в трите епруветки, които трябва веднага да бъдат означени и прибрани за съхранение при температура -80°C.</w:t>
      </w:r>
    </w:p>
    <w:p w14:paraId="528C179F" w14:textId="77777777" w:rsidR="00BE0B19" w:rsidRPr="00AE47C6" w:rsidRDefault="00BE0B19" w:rsidP="00BE0B19">
      <w:pPr>
        <w:numPr>
          <w:ilvl w:val="1"/>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Nusinersen трябва да се инфузира бавно за 2-3 минути.</w:t>
      </w:r>
    </w:p>
    <w:p w14:paraId="6373206D" w14:textId="77777777" w:rsidR="00BE0B19" w:rsidRPr="00AE47C6" w:rsidRDefault="00BE0B19" w:rsidP="00BE0B19">
      <w:pPr>
        <w:numPr>
          <w:ilvl w:val="1"/>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Пациентът трябва да е в легнало на една страна (антидекубитално) положение за 1 час след манипулацията. </w:t>
      </w:r>
    </w:p>
    <w:p w14:paraId="52AFE47E" w14:textId="77777777" w:rsidR="00BE0B19" w:rsidRPr="00AE47C6" w:rsidRDefault="00BE0B19" w:rsidP="00BE0B19">
      <w:pPr>
        <w:numPr>
          <w:ilvl w:val="1"/>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Осигуряване на апаратура за мониторинг на кардио-респираторните функции (при нужда).</w:t>
      </w:r>
    </w:p>
    <w:p w14:paraId="40DD8905" w14:textId="77777777" w:rsidR="00BE0B19" w:rsidRPr="00AE47C6" w:rsidRDefault="00BE0B19" w:rsidP="00BE0B19">
      <w:pPr>
        <w:numPr>
          <w:ilvl w:val="1"/>
          <w:numId w:val="360"/>
        </w:numPr>
        <w:spacing w:after="0" w:line="360" w:lineRule="auto"/>
        <w:ind w:left="1276" w:hanging="709"/>
        <w:contextualSpacing/>
        <w:jc w:val="both"/>
        <w:rPr>
          <w:rFonts w:ascii="Times New Roman" w:eastAsia="SimSun" w:hAnsi="Times New Roman"/>
          <w:sz w:val="24"/>
          <w:szCs w:val="24"/>
        </w:rPr>
      </w:pPr>
      <w:r w:rsidRPr="00AE47C6">
        <w:rPr>
          <w:rFonts w:ascii="Times New Roman" w:eastAsia="SimSun" w:hAnsi="Times New Roman"/>
          <w:sz w:val="24"/>
          <w:szCs w:val="24"/>
        </w:rPr>
        <w:t>Наблюдение на пациента след процедурата.</w:t>
      </w:r>
    </w:p>
    <w:p w14:paraId="0DDE5717" w14:textId="77777777" w:rsidR="00BE0B19" w:rsidRPr="00AE47C6" w:rsidRDefault="00BE0B19" w:rsidP="00BE0B19">
      <w:pPr>
        <w:numPr>
          <w:ilvl w:val="1"/>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Проверка на показателите на: час 0/ час 1/ час 2 (T °/дишане/пулс/сатурация/RR) при първата процедура, а при следващите само на час 1.</w:t>
      </w:r>
    </w:p>
    <w:p w14:paraId="25BFD1C4" w14:textId="77777777" w:rsidR="00BE0B19" w:rsidRPr="00AE47C6" w:rsidRDefault="00BE0B19" w:rsidP="00BE0B19">
      <w:pPr>
        <w:numPr>
          <w:ilvl w:val="1"/>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Позволено е храненето след първия час, ако пациентът е добре.</w:t>
      </w:r>
    </w:p>
    <w:p w14:paraId="4ADF1FD3" w14:textId="77777777" w:rsidR="00BE0B19" w:rsidRPr="00AE47C6" w:rsidRDefault="00BE0B19" w:rsidP="00BE0B19">
      <w:pPr>
        <w:numPr>
          <w:ilvl w:val="1"/>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Наблюдение за пост-пункционен синдром</w:t>
      </w:r>
    </w:p>
    <w:p w14:paraId="6CD4B066" w14:textId="77777777" w:rsidR="00BE0B19" w:rsidRPr="00AE47C6" w:rsidRDefault="00BE0B19" w:rsidP="00BE0B19">
      <w:pPr>
        <w:numPr>
          <w:ilvl w:val="1"/>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Наблюдение на мястото на инжекцията за локални реакции.</w:t>
      </w:r>
    </w:p>
    <w:p w14:paraId="36803596" w14:textId="77777777" w:rsidR="00BE0B19" w:rsidRPr="00AE47C6" w:rsidRDefault="00BE0B19" w:rsidP="00BE0B19">
      <w:pPr>
        <w:numPr>
          <w:ilvl w:val="1"/>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Общо състояние: температура, повръщане</w:t>
      </w:r>
    </w:p>
    <w:p w14:paraId="6F949122" w14:textId="77777777" w:rsidR="00BE0B19" w:rsidRPr="00AE47C6" w:rsidRDefault="00BE0B19" w:rsidP="00BE0B19">
      <w:pPr>
        <w:numPr>
          <w:ilvl w:val="1"/>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Лекарят разрешава изписването на пациента след преценка на състоянието му. Пациентът може да напусне клиниката след апликацията не по-рано от 2 часа при първа процедура или 1 час при следващите процедури, ако е приел храна, течности и се чувства добре. </w:t>
      </w:r>
    </w:p>
    <w:p w14:paraId="3190B6CB" w14:textId="77777777" w:rsidR="00BE0B19" w:rsidRPr="00AE47C6" w:rsidRDefault="00BE0B19" w:rsidP="00BE0B19">
      <w:pPr>
        <w:numPr>
          <w:ilvl w:val="1"/>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Подготвяне на медицинската документация на пациента</w:t>
      </w:r>
    </w:p>
    <w:p w14:paraId="17C163E3" w14:textId="77777777" w:rsidR="00BE0B19" w:rsidRPr="00AE47C6" w:rsidRDefault="00BE0B19" w:rsidP="00BE0B19">
      <w:pPr>
        <w:numPr>
          <w:ilvl w:val="1"/>
          <w:numId w:val="358"/>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Връщане на празния флакон и неговата опаковка на болничната аптека. Не се изхвърля. </w:t>
      </w:r>
    </w:p>
    <w:p w14:paraId="7121C2A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Лечението с Nusinersen се провежда:</w:t>
      </w:r>
    </w:p>
    <w:p w14:paraId="37352336" w14:textId="77777777" w:rsidR="00BE0B19" w:rsidRPr="00AE47C6" w:rsidRDefault="00BE0B19" w:rsidP="00BE0B19">
      <w:pPr>
        <w:numPr>
          <w:ilvl w:val="0"/>
          <w:numId w:val="20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За пациентите на възраст от 0 до 3 г. в Клиниката по детска неврология в УСБАЛДБ „проф. д-р Иван Митев” в гр. София и Клиниката по педиатрия и генетични заболявания в УМБАЛ „Св. Георги” в гр. Пловдив</w:t>
      </w:r>
    </w:p>
    <w:p w14:paraId="0C949E6B" w14:textId="77777777" w:rsidR="00BE0B19" w:rsidRPr="00AE47C6" w:rsidRDefault="00BE0B19" w:rsidP="00BE0B19">
      <w:pPr>
        <w:numPr>
          <w:ilvl w:val="0"/>
          <w:numId w:val="20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За пациенти на възраст от 3 до 18 г. в Клиниката по нервни болести на УМБАЛ „Александровска”, Клиника по нервни болести за деца на УСБАЛНП „Св. Наум” и Клиниката по детска неврология в УСБАЛДБ „проф. д-р Иван Митев” в гр. София и Клиниката по педиатрия и генетични заболявания в УМБАЛ „Св. Георги” в гр. Пловдив</w:t>
      </w:r>
    </w:p>
    <w:p w14:paraId="3C8E3382" w14:textId="77777777" w:rsidR="00BE0B19" w:rsidRPr="00AE47C6" w:rsidRDefault="00BE0B19" w:rsidP="00BE0B19">
      <w:pPr>
        <w:numPr>
          <w:ilvl w:val="0"/>
          <w:numId w:val="205"/>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За пациенти над 18 г. в Клиниката по нервни болести на УМБАЛ „Александровска” и в УСБАЛНП „Св. Наум”.</w:t>
      </w:r>
    </w:p>
    <w:p w14:paraId="365AC464"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i/>
          <w:sz w:val="24"/>
          <w:szCs w:val="24"/>
        </w:rPr>
        <w:t>Risdiplam</w:t>
      </w:r>
      <w:r w:rsidRPr="00AE47C6">
        <w:rPr>
          <w:rFonts w:ascii="Times New Roman" w:eastAsia="SimSun" w:hAnsi="Times New Roman"/>
          <w:sz w:val="24"/>
          <w:szCs w:val="24"/>
        </w:rPr>
        <w:t xml:space="preserve"> е медикамент за перорално приложение, който модифицира РНК сплайсинга на SMN2, с последващо включване на екзон 7 в иРНК, като по този начин се продуцира пълноверижен и функционален SMN протеин. Медикаментът преминава кръвно-мозъчната бариера и се разпределя както в ЦНС, така и в другите тъкани на организма.</w:t>
      </w:r>
    </w:p>
    <w:p w14:paraId="532CF2B7"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Показан е за пациенти с всички типове на 5q СМА над 2-месечна възраст. Дозира се съобразно телесната маса - 0,2 mg/kg/ден за деца между 2 мес. и 2 г., 0.25 mg/kg/ден за пациенти над 2 г. и телесна маса &lt; 20 kg, и 5 mg на ден при болни ≥ 2 г. и телесна маса ≥ 20 kg.</w:t>
      </w:r>
    </w:p>
    <w:p w14:paraId="7E682DC5"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Най-честите нежелани лекарствени реакции са кожни обриви, разязвявания на лигавиците на устната кухина, гадене, диария, повишаване на температурата, артралгии.</w:t>
      </w:r>
    </w:p>
    <w:p w14:paraId="7DB0CFDB"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75"/>
        </w:tabs>
        <w:spacing w:after="0" w:line="360" w:lineRule="auto"/>
        <w:jc w:val="center"/>
        <w:rPr>
          <w:rFonts w:ascii="Times New Roman" w:eastAsia="SimSun" w:hAnsi="Times New Roman"/>
          <w:b/>
          <w:sz w:val="24"/>
          <w:szCs w:val="24"/>
        </w:rPr>
      </w:pPr>
      <w:r w:rsidRPr="00AE47C6">
        <w:rPr>
          <w:rFonts w:ascii="Times New Roman" w:eastAsia="SimSun" w:hAnsi="Times New Roman"/>
          <w:b/>
          <w:sz w:val="24"/>
          <w:szCs w:val="24"/>
        </w:rPr>
        <w:t xml:space="preserve">Включващи критерии за започване на терапия с Risdiplam </w:t>
      </w:r>
    </w:p>
    <w:p w14:paraId="0322F6FA" w14:textId="77777777" w:rsidR="00BE0B19" w:rsidRPr="00AE47C6" w:rsidRDefault="00BE0B19" w:rsidP="00BE0B19">
      <w:pPr>
        <w:numPr>
          <w:ilvl w:val="0"/>
          <w:numId w:val="202"/>
        </w:numPr>
        <w:pBdr>
          <w:top w:val="single" w:sz="4" w:space="1" w:color="auto"/>
          <w:left w:val="single" w:sz="4" w:space="4" w:color="auto"/>
          <w:bottom w:val="single" w:sz="4" w:space="1" w:color="auto"/>
          <w:right w:val="single" w:sz="4" w:space="4" w:color="auto"/>
        </w:pBdr>
        <w:tabs>
          <w:tab w:val="left" w:pos="97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Генетично доказана 5q СМА, вследствие мутации в SMN1- гена</w:t>
      </w:r>
    </w:p>
    <w:p w14:paraId="6F699661" w14:textId="77777777" w:rsidR="00BE0B19" w:rsidRPr="00AE47C6" w:rsidRDefault="00BE0B19" w:rsidP="00BE0B19">
      <w:pPr>
        <w:numPr>
          <w:ilvl w:val="0"/>
          <w:numId w:val="202"/>
        </w:numPr>
        <w:pBdr>
          <w:top w:val="single" w:sz="4" w:space="1" w:color="auto"/>
          <w:left w:val="single" w:sz="4" w:space="4" w:color="auto"/>
          <w:bottom w:val="single" w:sz="4" w:space="1" w:color="auto"/>
          <w:right w:val="single" w:sz="4" w:space="4" w:color="auto"/>
        </w:pBdr>
        <w:tabs>
          <w:tab w:val="left" w:pos="97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Пациенти, при които се прилагат стандартите за грижи при СМА</w:t>
      </w:r>
    </w:p>
    <w:p w14:paraId="40BB04F8" w14:textId="77777777" w:rsidR="00BE0B19" w:rsidRPr="00AE47C6" w:rsidRDefault="00BE0B19" w:rsidP="00BE0B19">
      <w:pPr>
        <w:numPr>
          <w:ilvl w:val="0"/>
          <w:numId w:val="202"/>
        </w:numPr>
        <w:pBdr>
          <w:top w:val="single" w:sz="4" w:space="1" w:color="auto"/>
          <w:left w:val="single" w:sz="4" w:space="4" w:color="auto"/>
          <w:bottom w:val="single" w:sz="4" w:space="1" w:color="auto"/>
          <w:right w:val="single" w:sz="4" w:space="4" w:color="auto"/>
        </w:pBdr>
        <w:tabs>
          <w:tab w:val="left" w:pos="97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При отделните форми на СМА се изискват в допълнение:</w:t>
      </w:r>
    </w:p>
    <w:p w14:paraId="61BA8711"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75"/>
        </w:tabs>
        <w:spacing w:after="0" w:line="360" w:lineRule="auto"/>
        <w:jc w:val="center"/>
        <w:rPr>
          <w:rFonts w:ascii="Times New Roman" w:eastAsia="SimSun" w:hAnsi="Times New Roman"/>
          <w:b/>
          <w:sz w:val="24"/>
          <w:szCs w:val="24"/>
        </w:rPr>
      </w:pPr>
    </w:p>
    <w:p w14:paraId="4BDC835F"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75"/>
        </w:tabs>
        <w:spacing w:after="0" w:line="360" w:lineRule="auto"/>
        <w:jc w:val="center"/>
        <w:rPr>
          <w:rFonts w:ascii="Times New Roman" w:eastAsia="SimSun" w:hAnsi="Times New Roman"/>
          <w:b/>
          <w:sz w:val="24"/>
          <w:szCs w:val="24"/>
        </w:rPr>
      </w:pPr>
      <w:r w:rsidRPr="00AE47C6">
        <w:rPr>
          <w:rFonts w:ascii="Times New Roman" w:eastAsia="SimSun" w:hAnsi="Times New Roman"/>
          <w:b/>
          <w:sz w:val="24"/>
          <w:szCs w:val="24"/>
        </w:rPr>
        <w:t>При пациенти със СMA тип 1</w:t>
      </w:r>
    </w:p>
    <w:p w14:paraId="65A8B870" w14:textId="77777777" w:rsidR="00BE0B19" w:rsidRPr="00AE47C6" w:rsidRDefault="00BE0B19" w:rsidP="00BE0B19">
      <w:pPr>
        <w:numPr>
          <w:ilvl w:val="0"/>
          <w:numId w:val="202"/>
        </w:numPr>
        <w:pBdr>
          <w:top w:val="single" w:sz="4" w:space="1" w:color="auto"/>
          <w:left w:val="single" w:sz="4" w:space="4" w:color="auto"/>
          <w:bottom w:val="single" w:sz="4" w:space="1" w:color="auto"/>
          <w:right w:val="single" w:sz="4" w:space="4" w:color="auto"/>
        </w:pBdr>
        <w:tabs>
          <w:tab w:val="left" w:pos="975"/>
        </w:tabs>
        <w:spacing w:after="0" w:line="360" w:lineRule="auto"/>
        <w:contextualSpacing/>
        <w:jc w:val="both"/>
        <w:rPr>
          <w:rFonts w:ascii="Times New Roman" w:eastAsia="SimSun" w:hAnsi="Times New Roman"/>
          <w:sz w:val="24"/>
          <w:szCs w:val="24"/>
        </w:rPr>
      </w:pPr>
      <w:r w:rsidRPr="00AE47C6">
        <w:rPr>
          <w:rFonts w:ascii="Times New Roman" w:eastAsia="SimSun" w:hAnsi="Times New Roman"/>
          <w:color w:val="222222"/>
          <w:sz w:val="24"/>
          <w:szCs w:val="24"/>
        </w:rPr>
        <w:t>Пациентът да е на възраст по-голяма от 2 мес.</w:t>
      </w:r>
    </w:p>
    <w:p w14:paraId="14B8943B" w14:textId="77777777" w:rsidR="00BE0B19" w:rsidRPr="00AE47C6" w:rsidRDefault="00BE0B19" w:rsidP="00BE0B19">
      <w:pPr>
        <w:numPr>
          <w:ilvl w:val="0"/>
          <w:numId w:val="202"/>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SimSun" w:hAnsi="Times New Roman"/>
          <w:color w:val="222222"/>
          <w:sz w:val="24"/>
          <w:szCs w:val="24"/>
        </w:rPr>
      </w:pPr>
      <w:r w:rsidRPr="00AE47C6">
        <w:rPr>
          <w:rFonts w:ascii="Times New Roman" w:eastAsia="SimSun" w:hAnsi="Times New Roman"/>
          <w:color w:val="222222"/>
          <w:sz w:val="24"/>
          <w:szCs w:val="24"/>
        </w:rPr>
        <w:t>Пациентът трябва да има поне 2 копия на гена SMN 2.</w:t>
      </w:r>
    </w:p>
    <w:p w14:paraId="081B525C" w14:textId="77777777" w:rsidR="00BE0B19" w:rsidRPr="00AE47C6" w:rsidRDefault="00BE0B19" w:rsidP="00BE0B19">
      <w:pPr>
        <w:numPr>
          <w:ilvl w:val="0"/>
          <w:numId w:val="202"/>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jc w:val="both"/>
        <w:rPr>
          <w:rFonts w:ascii="Times New Roman" w:eastAsia="SimSun" w:hAnsi="Times New Roman"/>
          <w:color w:val="222222"/>
          <w:sz w:val="24"/>
          <w:szCs w:val="24"/>
        </w:rPr>
      </w:pPr>
      <w:r w:rsidRPr="00AE47C6">
        <w:rPr>
          <w:rFonts w:ascii="Times New Roman" w:eastAsia="SimSun" w:hAnsi="Times New Roman"/>
          <w:color w:val="222222"/>
          <w:sz w:val="24"/>
          <w:szCs w:val="24"/>
        </w:rPr>
        <w:t>Пациентът трябва да има SAO</w:t>
      </w:r>
      <w:r w:rsidRPr="00AE47C6">
        <w:rPr>
          <w:rFonts w:ascii="Times New Roman" w:eastAsia="SimSun" w:hAnsi="Times New Roman"/>
          <w:color w:val="222222"/>
          <w:sz w:val="24"/>
          <w:szCs w:val="24"/>
          <w:vertAlign w:val="subscript"/>
        </w:rPr>
        <w:t>2</w:t>
      </w:r>
      <w:r w:rsidRPr="00AE47C6">
        <w:rPr>
          <w:rFonts w:ascii="Times New Roman" w:eastAsia="SimSun" w:hAnsi="Times New Roman"/>
          <w:color w:val="222222"/>
          <w:sz w:val="24"/>
          <w:szCs w:val="24"/>
        </w:rPr>
        <w:t xml:space="preserve">&gt; 95% без нужда от асистирано дишане (включително и с CPAP - постоянно положително въздушно налягане) или от допълнителен кислород. </w:t>
      </w:r>
    </w:p>
    <w:p w14:paraId="1B334C5F"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SimSun" w:hAnsi="Times New Roman"/>
          <w:b/>
          <w:color w:val="222222"/>
          <w:sz w:val="24"/>
          <w:szCs w:val="24"/>
          <w:u w:val="single"/>
        </w:rPr>
      </w:pPr>
    </w:p>
    <w:p w14:paraId="1A058DCA"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SimSun" w:hAnsi="Times New Roman"/>
          <w:b/>
          <w:color w:val="222222"/>
          <w:sz w:val="24"/>
          <w:szCs w:val="24"/>
        </w:rPr>
      </w:pPr>
      <w:r w:rsidRPr="00AE47C6">
        <w:rPr>
          <w:rFonts w:ascii="Times New Roman" w:eastAsia="SimSun" w:hAnsi="Times New Roman"/>
          <w:b/>
          <w:color w:val="222222"/>
          <w:sz w:val="24"/>
          <w:szCs w:val="24"/>
        </w:rPr>
        <w:t>При пациенти със СMA тип 2</w:t>
      </w:r>
    </w:p>
    <w:p w14:paraId="621D377A" w14:textId="77777777" w:rsidR="00BE0B19" w:rsidRPr="00AE47C6" w:rsidRDefault="00BE0B19" w:rsidP="00BE0B19">
      <w:pPr>
        <w:numPr>
          <w:ilvl w:val="0"/>
          <w:numId w:val="203"/>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rPr>
          <w:rFonts w:ascii="Times New Roman" w:eastAsia="SimSun" w:hAnsi="Times New Roman"/>
          <w:color w:val="222222"/>
          <w:sz w:val="24"/>
          <w:szCs w:val="24"/>
        </w:rPr>
      </w:pPr>
      <w:r w:rsidRPr="00AE47C6">
        <w:rPr>
          <w:rFonts w:ascii="Times New Roman" w:eastAsia="SimSun" w:hAnsi="Times New Roman"/>
          <w:color w:val="222222"/>
          <w:sz w:val="24"/>
          <w:szCs w:val="24"/>
        </w:rPr>
        <w:t>Пациентът има поне 2 копия на SMN 2 гена.</w:t>
      </w:r>
    </w:p>
    <w:p w14:paraId="15E62CE6" w14:textId="77777777" w:rsidR="00BE0B19" w:rsidRPr="00AE47C6" w:rsidRDefault="00BE0B19" w:rsidP="00BE0B19">
      <w:pPr>
        <w:numPr>
          <w:ilvl w:val="0"/>
          <w:numId w:val="203"/>
        </w:num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contextualSpacing/>
        <w:rPr>
          <w:rFonts w:ascii="Times New Roman" w:eastAsia="SimSun" w:hAnsi="Times New Roman"/>
          <w:color w:val="222222"/>
          <w:sz w:val="24"/>
          <w:szCs w:val="24"/>
        </w:rPr>
      </w:pPr>
      <w:r w:rsidRPr="00AE47C6">
        <w:rPr>
          <w:rFonts w:ascii="Times New Roman" w:eastAsia="SimSun" w:hAnsi="Times New Roman"/>
          <w:color w:val="222222"/>
          <w:sz w:val="24"/>
          <w:szCs w:val="24"/>
        </w:rPr>
        <w:t>Пациентът не е зависим от асистирана вентилация или кислород - SAO2 &gt; 96%</w:t>
      </w:r>
    </w:p>
    <w:p w14:paraId="3A552469"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SimSun" w:hAnsi="Times New Roman"/>
          <w:color w:val="222222"/>
          <w:sz w:val="24"/>
          <w:szCs w:val="24"/>
        </w:rPr>
      </w:pPr>
    </w:p>
    <w:p w14:paraId="6F62941A"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SimSun" w:hAnsi="Times New Roman"/>
          <w:b/>
          <w:color w:val="222222"/>
          <w:sz w:val="24"/>
          <w:szCs w:val="24"/>
        </w:rPr>
      </w:pPr>
      <w:r w:rsidRPr="00AE47C6">
        <w:rPr>
          <w:rFonts w:ascii="Times New Roman" w:eastAsia="SimSun" w:hAnsi="Times New Roman"/>
          <w:b/>
          <w:color w:val="222222"/>
          <w:sz w:val="24"/>
          <w:szCs w:val="24"/>
        </w:rPr>
        <w:t>При пациенти със СMA тип 3</w:t>
      </w:r>
    </w:p>
    <w:p w14:paraId="33D89FFC"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SimSun" w:hAnsi="Times New Roman"/>
          <w:color w:val="222222"/>
          <w:sz w:val="24"/>
          <w:szCs w:val="24"/>
        </w:rPr>
      </w:pPr>
      <w:r w:rsidRPr="00AE47C6">
        <w:rPr>
          <w:rFonts w:ascii="Times New Roman" w:eastAsia="SimSun" w:hAnsi="Times New Roman"/>
          <w:b/>
          <w:color w:val="222222"/>
          <w:sz w:val="24"/>
          <w:szCs w:val="24"/>
        </w:rPr>
        <w:t>•</w:t>
      </w:r>
      <w:r w:rsidRPr="00AE47C6">
        <w:rPr>
          <w:rFonts w:ascii="Times New Roman" w:eastAsia="SimSun" w:hAnsi="Times New Roman"/>
          <w:b/>
          <w:color w:val="222222"/>
          <w:sz w:val="24"/>
          <w:szCs w:val="24"/>
        </w:rPr>
        <w:tab/>
      </w:r>
      <w:r w:rsidRPr="00AE47C6">
        <w:rPr>
          <w:rFonts w:ascii="Times New Roman" w:eastAsia="SimSun" w:hAnsi="Times New Roman"/>
          <w:color w:val="222222"/>
          <w:sz w:val="24"/>
          <w:szCs w:val="24"/>
        </w:rPr>
        <w:t>Пациентът има поне 2 копия на SMN 2 гена.</w:t>
      </w:r>
    </w:p>
    <w:p w14:paraId="187E47D0"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SimSun" w:hAnsi="Times New Roman"/>
          <w:color w:val="222222"/>
          <w:sz w:val="24"/>
          <w:szCs w:val="24"/>
        </w:rPr>
      </w:pPr>
      <w:r w:rsidRPr="00AE47C6">
        <w:rPr>
          <w:rFonts w:ascii="Times New Roman" w:eastAsia="SimSun" w:hAnsi="Times New Roman"/>
          <w:color w:val="222222"/>
          <w:sz w:val="24"/>
          <w:szCs w:val="24"/>
        </w:rPr>
        <w:t>•</w:t>
      </w:r>
      <w:r w:rsidRPr="00AE47C6">
        <w:rPr>
          <w:rFonts w:ascii="Times New Roman" w:eastAsia="SimSun" w:hAnsi="Times New Roman"/>
          <w:color w:val="222222"/>
          <w:sz w:val="24"/>
          <w:szCs w:val="24"/>
        </w:rPr>
        <w:tab/>
        <w:t>Пациентът не е зависим от асистирана вентилация или кислород - SAO2 &gt; 96%</w:t>
      </w:r>
    </w:p>
    <w:p w14:paraId="3F95B20E"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SimSun" w:hAnsi="Times New Roman"/>
          <w:color w:val="222222"/>
          <w:sz w:val="24"/>
          <w:szCs w:val="24"/>
        </w:rPr>
      </w:pPr>
    </w:p>
    <w:p w14:paraId="6CDCA577"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75"/>
        </w:tabs>
        <w:spacing w:after="0" w:line="360" w:lineRule="auto"/>
        <w:jc w:val="center"/>
        <w:rPr>
          <w:rFonts w:ascii="Times New Roman" w:eastAsia="SimSun" w:hAnsi="Times New Roman"/>
          <w:b/>
          <w:sz w:val="24"/>
          <w:szCs w:val="24"/>
        </w:rPr>
      </w:pPr>
      <w:r w:rsidRPr="00AE47C6">
        <w:rPr>
          <w:rFonts w:ascii="Times New Roman" w:eastAsia="SimSun" w:hAnsi="Times New Roman"/>
          <w:b/>
          <w:sz w:val="24"/>
          <w:szCs w:val="24"/>
        </w:rPr>
        <w:t>Изключващи критерии за започване на терапия с Risdiplam</w:t>
      </w:r>
    </w:p>
    <w:p w14:paraId="67C4B306" w14:textId="77777777" w:rsidR="00BE0B19" w:rsidRPr="00AE47C6" w:rsidRDefault="00BE0B19" w:rsidP="00BE0B19">
      <w:pPr>
        <w:numPr>
          <w:ilvl w:val="0"/>
          <w:numId w:val="204"/>
        </w:numPr>
        <w:pBdr>
          <w:top w:val="single" w:sz="4" w:space="1" w:color="auto"/>
          <w:left w:val="single" w:sz="4" w:space="4" w:color="auto"/>
          <w:bottom w:val="single" w:sz="4" w:space="1" w:color="auto"/>
          <w:right w:val="single" w:sz="4" w:space="4" w:color="auto"/>
        </w:pBdr>
        <w:tabs>
          <w:tab w:val="left" w:pos="975"/>
        </w:tabs>
        <w:spacing w:after="0" w:line="360" w:lineRule="auto"/>
        <w:contextualSpacing/>
        <w:rPr>
          <w:rFonts w:ascii="Times New Roman" w:eastAsia="SimSun" w:hAnsi="Times New Roman"/>
          <w:sz w:val="24"/>
          <w:szCs w:val="24"/>
        </w:rPr>
      </w:pPr>
      <w:r w:rsidRPr="00AE47C6">
        <w:rPr>
          <w:rFonts w:ascii="Times New Roman" w:eastAsia="SimSun" w:hAnsi="Times New Roman"/>
          <w:sz w:val="24"/>
          <w:szCs w:val="24"/>
        </w:rPr>
        <w:t>Алергия към активната субстанция или някои от помощните вещества</w:t>
      </w:r>
    </w:p>
    <w:p w14:paraId="0014E37F" w14:textId="77777777" w:rsidR="00BE0B19" w:rsidRPr="00AE47C6" w:rsidRDefault="00BE0B19" w:rsidP="00BE0B19">
      <w:pPr>
        <w:numPr>
          <w:ilvl w:val="0"/>
          <w:numId w:val="204"/>
        </w:numPr>
        <w:pBdr>
          <w:top w:val="single" w:sz="4" w:space="1" w:color="auto"/>
          <w:left w:val="single" w:sz="4" w:space="4" w:color="auto"/>
          <w:bottom w:val="single" w:sz="4" w:space="1" w:color="auto"/>
          <w:right w:val="single" w:sz="4" w:space="4" w:color="auto"/>
        </w:pBdr>
        <w:tabs>
          <w:tab w:val="left" w:pos="975"/>
        </w:tabs>
        <w:spacing w:after="0" w:line="360" w:lineRule="auto"/>
        <w:contextualSpacing/>
        <w:rPr>
          <w:rFonts w:ascii="Times New Roman" w:eastAsia="SimSun" w:hAnsi="Times New Roman"/>
          <w:sz w:val="24"/>
          <w:szCs w:val="24"/>
        </w:rPr>
      </w:pPr>
      <w:r w:rsidRPr="00AE47C6">
        <w:rPr>
          <w:rFonts w:ascii="Times New Roman" w:eastAsia="SimSun" w:hAnsi="Times New Roman"/>
          <w:sz w:val="24"/>
          <w:szCs w:val="24"/>
        </w:rPr>
        <w:t xml:space="preserve">Наличие на неконтролирани и нелекувани гастроинтестинални, чернодробни, ендокринни или сърдечносъдови заболявания </w:t>
      </w:r>
    </w:p>
    <w:p w14:paraId="3C682B58" w14:textId="77777777" w:rsidR="00BE0B19" w:rsidRPr="00AE47C6" w:rsidRDefault="00BE0B19" w:rsidP="00BE0B19">
      <w:pPr>
        <w:numPr>
          <w:ilvl w:val="0"/>
          <w:numId w:val="204"/>
        </w:numPr>
        <w:pBdr>
          <w:top w:val="single" w:sz="4" w:space="1" w:color="auto"/>
          <w:left w:val="single" w:sz="4" w:space="4" w:color="auto"/>
          <w:bottom w:val="single" w:sz="4" w:space="1" w:color="auto"/>
          <w:right w:val="single" w:sz="4" w:space="4" w:color="auto"/>
        </w:pBdr>
        <w:tabs>
          <w:tab w:val="left" w:pos="975"/>
        </w:tabs>
        <w:spacing w:after="0" w:line="360" w:lineRule="auto"/>
        <w:contextualSpacing/>
        <w:rPr>
          <w:rFonts w:ascii="Times New Roman" w:eastAsia="SimSun" w:hAnsi="Times New Roman"/>
          <w:sz w:val="24"/>
          <w:szCs w:val="24"/>
        </w:rPr>
      </w:pPr>
      <w:r w:rsidRPr="00AE47C6">
        <w:rPr>
          <w:rFonts w:ascii="Times New Roman" w:eastAsia="SimSun" w:hAnsi="Times New Roman"/>
          <w:sz w:val="24"/>
          <w:szCs w:val="24"/>
        </w:rPr>
        <w:t>Наличие на клинично значими ЕКГ промени</w:t>
      </w:r>
    </w:p>
    <w:p w14:paraId="0353AF42" w14:textId="77777777" w:rsidR="00BE0B19" w:rsidRPr="00AE47C6" w:rsidRDefault="00BE0B19" w:rsidP="00BE0B19">
      <w:pPr>
        <w:numPr>
          <w:ilvl w:val="0"/>
          <w:numId w:val="204"/>
        </w:numPr>
        <w:pBdr>
          <w:top w:val="single" w:sz="4" w:space="1" w:color="auto"/>
          <w:left w:val="single" w:sz="4" w:space="4" w:color="auto"/>
          <w:bottom w:val="single" w:sz="4" w:space="1" w:color="auto"/>
          <w:right w:val="single" w:sz="4" w:space="4" w:color="auto"/>
        </w:pBdr>
        <w:tabs>
          <w:tab w:val="left" w:pos="975"/>
        </w:tabs>
        <w:spacing w:after="0" w:line="360" w:lineRule="auto"/>
        <w:contextualSpacing/>
        <w:rPr>
          <w:rFonts w:ascii="Times New Roman" w:eastAsia="SimSun" w:hAnsi="Times New Roman"/>
          <w:sz w:val="24"/>
          <w:szCs w:val="24"/>
        </w:rPr>
      </w:pPr>
      <w:r w:rsidRPr="00AE47C6">
        <w:rPr>
          <w:rFonts w:ascii="Times New Roman" w:eastAsia="SimSun" w:hAnsi="Times New Roman"/>
          <w:sz w:val="24"/>
          <w:szCs w:val="24"/>
        </w:rPr>
        <w:t>Участие в клинично проучване за СMA</w:t>
      </w:r>
    </w:p>
    <w:p w14:paraId="3C772163"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75"/>
        </w:tabs>
        <w:spacing w:after="0" w:line="360" w:lineRule="auto"/>
        <w:contextualSpacing/>
        <w:rPr>
          <w:rFonts w:ascii="Times New Roman" w:eastAsia="SimSun" w:hAnsi="Times New Roman"/>
          <w:sz w:val="24"/>
          <w:szCs w:val="24"/>
        </w:rPr>
      </w:pPr>
    </w:p>
    <w:p w14:paraId="4148A577"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SimSun" w:hAnsi="Times New Roman"/>
          <w:b/>
          <w:color w:val="222222"/>
          <w:sz w:val="24"/>
          <w:szCs w:val="24"/>
        </w:rPr>
      </w:pPr>
      <w:r w:rsidRPr="00AE47C6">
        <w:rPr>
          <w:rFonts w:ascii="Times New Roman" w:eastAsia="SimSun" w:hAnsi="Times New Roman"/>
          <w:b/>
          <w:color w:val="222222"/>
          <w:sz w:val="24"/>
          <w:szCs w:val="24"/>
        </w:rPr>
        <w:t xml:space="preserve">Критерии за </w:t>
      </w:r>
      <w:r w:rsidRPr="00AE47C6">
        <w:rPr>
          <w:rFonts w:ascii="Times New Roman" w:eastAsia="SimSun" w:hAnsi="Times New Roman"/>
          <w:b/>
          <w:sz w:val="24"/>
          <w:szCs w:val="24"/>
        </w:rPr>
        <w:t>оценка на ефекта от лечението</w:t>
      </w:r>
      <w:r w:rsidRPr="00AE47C6">
        <w:rPr>
          <w:rFonts w:ascii="Times New Roman" w:eastAsia="SimSun" w:hAnsi="Times New Roman"/>
          <w:b/>
          <w:color w:val="222222"/>
          <w:sz w:val="24"/>
          <w:szCs w:val="24"/>
        </w:rPr>
        <w:t xml:space="preserve"> и продължаване на лечението преди началото на терапията и на всеки 6 мес. след това:</w:t>
      </w:r>
    </w:p>
    <w:p w14:paraId="1B00903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При пациентите със СMA тип 1</w:t>
      </w:r>
      <w:r w:rsidRPr="00AE47C6">
        <w:rPr>
          <w:rFonts w:ascii="Times New Roman" w:eastAsia="SimSun" w:hAnsi="Times New Roman"/>
          <w:sz w:val="24"/>
          <w:szCs w:val="24"/>
        </w:rPr>
        <w:t xml:space="preserve"> оценката на двигателните функции се извършва по скали:</w:t>
      </w:r>
    </w:p>
    <w:p w14:paraId="7FA83FA0" w14:textId="77777777" w:rsidR="00BE0B19" w:rsidRPr="00AE47C6" w:rsidRDefault="00BE0B19" w:rsidP="00BE0B19">
      <w:pPr>
        <w:numPr>
          <w:ilvl w:val="0"/>
          <w:numId w:val="201"/>
        </w:numPr>
        <w:pBdr>
          <w:top w:val="single" w:sz="4" w:space="1" w:color="auto"/>
          <w:left w:val="single" w:sz="4" w:space="4" w:color="auto"/>
          <w:bottom w:val="single" w:sz="4" w:space="1" w:color="auto"/>
          <w:right w:val="single" w:sz="4" w:space="4" w:color="auto"/>
        </w:pBdr>
        <w:spacing w:after="0" w:line="360" w:lineRule="auto"/>
        <w:contextualSpacing/>
        <w:rPr>
          <w:rFonts w:ascii="Times New Roman" w:eastAsia="SimSun" w:hAnsi="Times New Roman"/>
          <w:sz w:val="24"/>
          <w:szCs w:val="24"/>
        </w:rPr>
      </w:pPr>
      <w:r w:rsidRPr="00AE47C6">
        <w:rPr>
          <w:rFonts w:ascii="Times New Roman" w:eastAsia="SimSun" w:hAnsi="Times New Roman"/>
          <w:sz w:val="24"/>
          <w:szCs w:val="24"/>
        </w:rPr>
        <w:t xml:space="preserve">Children’s Hospital of Philadelphia Infant Test of Neuromuscular Disorders (CHOP INTEND) </w:t>
      </w:r>
    </w:p>
    <w:p w14:paraId="749DD42F" w14:textId="77777777" w:rsidR="00BE0B19" w:rsidRPr="00AE47C6" w:rsidRDefault="00BE0B19" w:rsidP="00BE0B19">
      <w:pPr>
        <w:numPr>
          <w:ilvl w:val="0"/>
          <w:numId w:val="201"/>
        </w:numPr>
        <w:pBdr>
          <w:top w:val="single" w:sz="4" w:space="1" w:color="auto"/>
          <w:left w:val="single" w:sz="4" w:space="4" w:color="auto"/>
          <w:bottom w:val="single" w:sz="4" w:space="1" w:color="auto"/>
          <w:right w:val="single" w:sz="4" w:space="4" w:color="auto"/>
        </w:pBdr>
        <w:spacing w:after="0" w:line="360" w:lineRule="auto"/>
        <w:contextualSpacing/>
        <w:rPr>
          <w:rFonts w:ascii="Times New Roman" w:eastAsia="SimSun" w:hAnsi="Times New Roman"/>
          <w:sz w:val="24"/>
          <w:szCs w:val="24"/>
        </w:rPr>
      </w:pPr>
      <w:r w:rsidRPr="00AE47C6">
        <w:rPr>
          <w:rFonts w:ascii="Times New Roman" w:eastAsia="SimSun" w:hAnsi="Times New Roman"/>
          <w:sz w:val="24"/>
          <w:szCs w:val="24"/>
        </w:rPr>
        <w:t>Hammersmith Infant Neurological Examination (HINE)</w:t>
      </w:r>
    </w:p>
    <w:p w14:paraId="65E2010A" w14:textId="77777777" w:rsidR="00BE0B19" w:rsidRPr="00AE47C6" w:rsidRDefault="00BE0B19" w:rsidP="00BE0B19">
      <w:pPr>
        <w:numPr>
          <w:ilvl w:val="0"/>
          <w:numId w:val="201"/>
        </w:numPr>
        <w:pBdr>
          <w:top w:val="single" w:sz="4" w:space="1" w:color="auto"/>
          <w:left w:val="single" w:sz="4" w:space="4" w:color="auto"/>
          <w:bottom w:val="single" w:sz="4" w:space="1" w:color="auto"/>
          <w:right w:val="single" w:sz="4" w:space="4" w:color="auto"/>
        </w:pBdr>
        <w:spacing w:after="0" w:line="360" w:lineRule="auto"/>
        <w:contextualSpacing/>
        <w:rPr>
          <w:rFonts w:ascii="Times New Roman" w:eastAsia="SimSun" w:hAnsi="Times New Roman"/>
          <w:sz w:val="24"/>
          <w:szCs w:val="24"/>
        </w:rPr>
      </w:pPr>
      <w:r w:rsidRPr="00AE47C6">
        <w:rPr>
          <w:rFonts w:ascii="Times New Roman" w:eastAsia="SimSun" w:hAnsi="Times New Roman"/>
          <w:sz w:val="24"/>
          <w:szCs w:val="24"/>
        </w:rPr>
        <w:t>Bayley Scales of Infant and Toddler Development Third Edition (BSID-III)</w:t>
      </w:r>
    </w:p>
    <w:p w14:paraId="2A4EC11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 xml:space="preserve">При пациентите със СMA тип 2 </w:t>
      </w:r>
      <w:r w:rsidRPr="00AE47C6">
        <w:rPr>
          <w:rFonts w:ascii="Times New Roman" w:eastAsia="SimSun" w:hAnsi="Times New Roman"/>
          <w:sz w:val="24"/>
          <w:szCs w:val="24"/>
        </w:rPr>
        <w:t>оценката на двигателните функции се извършва чрез:</w:t>
      </w:r>
    </w:p>
    <w:p w14:paraId="2A533F44" w14:textId="77777777" w:rsidR="00BE0B19" w:rsidRPr="00AE47C6" w:rsidRDefault="00BE0B19" w:rsidP="00BE0B19">
      <w:pPr>
        <w:numPr>
          <w:ilvl w:val="0"/>
          <w:numId w:val="201"/>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contextualSpacing/>
        <w:rPr>
          <w:rFonts w:ascii="Times New Roman" w:eastAsia="SimSun" w:hAnsi="Times New Roman"/>
          <w:sz w:val="24"/>
          <w:szCs w:val="24"/>
        </w:rPr>
      </w:pPr>
      <w:r w:rsidRPr="00AE47C6">
        <w:rPr>
          <w:rFonts w:ascii="Times New Roman" w:eastAsia="SimSun" w:hAnsi="Times New Roman"/>
          <w:sz w:val="24"/>
          <w:szCs w:val="24"/>
        </w:rPr>
        <w:t>Hammersmith Functional Motor Scale Expanded (HFMSE) score</w:t>
      </w:r>
    </w:p>
    <w:p w14:paraId="56AEE35A" w14:textId="77777777" w:rsidR="00BE0B19" w:rsidRPr="00AE47C6" w:rsidRDefault="00BE0B19" w:rsidP="00BE0B19">
      <w:pPr>
        <w:numPr>
          <w:ilvl w:val="0"/>
          <w:numId w:val="201"/>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contextualSpacing/>
        <w:rPr>
          <w:rFonts w:ascii="Times New Roman" w:eastAsia="SimSun" w:hAnsi="Times New Roman"/>
          <w:sz w:val="24"/>
          <w:szCs w:val="24"/>
        </w:rPr>
      </w:pPr>
      <w:r w:rsidRPr="00AE47C6">
        <w:rPr>
          <w:rFonts w:ascii="Times New Roman" w:eastAsia="SimSun" w:hAnsi="Times New Roman"/>
          <w:sz w:val="24"/>
          <w:szCs w:val="24"/>
        </w:rPr>
        <w:t>Revised Upper Limb (RULM)</w:t>
      </w:r>
    </w:p>
    <w:p w14:paraId="0E54D0C2" w14:textId="77777777" w:rsidR="00BE0B19" w:rsidRPr="00AE47C6" w:rsidRDefault="00BE0B19" w:rsidP="00BE0B19">
      <w:pPr>
        <w:numPr>
          <w:ilvl w:val="0"/>
          <w:numId w:val="201"/>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contextualSpacing/>
        <w:rPr>
          <w:rFonts w:ascii="Times New Roman" w:eastAsia="SimSun" w:hAnsi="Times New Roman"/>
          <w:sz w:val="24"/>
          <w:szCs w:val="24"/>
        </w:rPr>
      </w:pPr>
      <w:r w:rsidRPr="00AE47C6">
        <w:rPr>
          <w:rFonts w:ascii="Times New Roman" w:eastAsia="SimSun" w:hAnsi="Times New Roman"/>
          <w:sz w:val="24"/>
          <w:szCs w:val="24"/>
        </w:rPr>
        <w:t>Мануално мускулно тестуване (MRC скала)</w:t>
      </w:r>
    </w:p>
    <w:p w14:paraId="66D96CE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При пациентите със СMA тип 3</w:t>
      </w:r>
      <w:r w:rsidRPr="00AE47C6">
        <w:rPr>
          <w:rFonts w:ascii="Times New Roman" w:eastAsia="SimSun" w:hAnsi="Times New Roman"/>
          <w:sz w:val="24"/>
          <w:szCs w:val="24"/>
        </w:rPr>
        <w:t xml:space="preserve"> оценката на двигателните функции се извършва чрез:</w:t>
      </w:r>
    </w:p>
    <w:p w14:paraId="3E32DBBD" w14:textId="77777777" w:rsidR="00BE0B19" w:rsidRPr="00AE47C6" w:rsidRDefault="00BE0B19" w:rsidP="00BE0B19">
      <w:pPr>
        <w:numPr>
          <w:ilvl w:val="0"/>
          <w:numId w:val="201"/>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contextualSpacing/>
        <w:rPr>
          <w:rFonts w:ascii="Times New Roman" w:eastAsia="SimSun" w:hAnsi="Times New Roman"/>
          <w:sz w:val="24"/>
          <w:szCs w:val="24"/>
        </w:rPr>
      </w:pPr>
      <w:r w:rsidRPr="00AE47C6">
        <w:rPr>
          <w:rFonts w:ascii="Times New Roman" w:eastAsia="SimSun" w:hAnsi="Times New Roman"/>
          <w:sz w:val="24"/>
          <w:szCs w:val="24"/>
        </w:rPr>
        <w:t>Hammersmith Functional Motor Scale Expanded (HFMSE) score</w:t>
      </w:r>
    </w:p>
    <w:p w14:paraId="4024BFFF" w14:textId="77777777" w:rsidR="00BE0B19" w:rsidRPr="00AE47C6" w:rsidRDefault="00BE0B19" w:rsidP="00BE0B19">
      <w:pPr>
        <w:numPr>
          <w:ilvl w:val="0"/>
          <w:numId w:val="201"/>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contextualSpacing/>
        <w:rPr>
          <w:rFonts w:ascii="Times New Roman" w:eastAsia="SimSun" w:hAnsi="Times New Roman"/>
          <w:sz w:val="24"/>
          <w:szCs w:val="24"/>
        </w:rPr>
      </w:pPr>
      <w:r w:rsidRPr="00AE47C6">
        <w:rPr>
          <w:rFonts w:ascii="Times New Roman" w:eastAsia="SimSun" w:hAnsi="Times New Roman"/>
          <w:sz w:val="24"/>
          <w:szCs w:val="24"/>
        </w:rPr>
        <w:t>Revised Upper Limb (RULM)</w:t>
      </w:r>
    </w:p>
    <w:p w14:paraId="5CE66769" w14:textId="77777777" w:rsidR="00BE0B19" w:rsidRPr="00AE47C6" w:rsidRDefault="00BE0B19" w:rsidP="00BE0B19">
      <w:pPr>
        <w:numPr>
          <w:ilvl w:val="0"/>
          <w:numId w:val="201"/>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contextualSpacing/>
        <w:rPr>
          <w:rFonts w:ascii="Times New Roman" w:eastAsia="SimSun" w:hAnsi="Times New Roman"/>
          <w:sz w:val="24"/>
          <w:szCs w:val="24"/>
        </w:rPr>
      </w:pPr>
      <w:r w:rsidRPr="00AE47C6">
        <w:rPr>
          <w:rFonts w:ascii="Times New Roman" w:eastAsia="SimSun" w:hAnsi="Times New Roman"/>
          <w:sz w:val="24"/>
          <w:szCs w:val="24"/>
        </w:rPr>
        <w:t>Мануално мускулно тестуване (MМТ скала)</w:t>
      </w:r>
    </w:p>
    <w:p w14:paraId="0E1A15D1" w14:textId="77777777" w:rsidR="00BE0B19" w:rsidRPr="00AE47C6" w:rsidRDefault="00BE0B19" w:rsidP="00BE0B19">
      <w:pPr>
        <w:numPr>
          <w:ilvl w:val="0"/>
          <w:numId w:val="201"/>
        </w:num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contextualSpacing/>
        <w:rPr>
          <w:rFonts w:ascii="Times New Roman" w:eastAsia="SimSun" w:hAnsi="Times New Roman"/>
          <w:sz w:val="24"/>
          <w:szCs w:val="24"/>
        </w:rPr>
      </w:pPr>
      <w:r w:rsidRPr="00AE47C6">
        <w:rPr>
          <w:rFonts w:ascii="Times New Roman" w:eastAsia="SimSun" w:hAnsi="Times New Roman"/>
          <w:sz w:val="24"/>
          <w:szCs w:val="24"/>
        </w:rPr>
        <w:t>6 Minutes Walking Test (6MWT)- при запазена самостоятелно походка</w:t>
      </w:r>
    </w:p>
    <w:p w14:paraId="19C3B145" w14:textId="77777777" w:rsidR="00BE0B19" w:rsidRPr="00AE47C6" w:rsidRDefault="00BE0B19" w:rsidP="00BE0B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rPr>
          <w:rFonts w:ascii="Times New Roman" w:eastAsia="SimSun" w:hAnsi="Times New Roman"/>
          <w:sz w:val="24"/>
          <w:szCs w:val="24"/>
        </w:rPr>
      </w:pPr>
    </w:p>
    <w:p w14:paraId="03745C5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09"/>
        <w:jc w:val="both"/>
        <w:rPr>
          <w:rFonts w:ascii="Times New Roman" w:eastAsia="SimSun" w:hAnsi="Times New Roman"/>
          <w:sz w:val="24"/>
          <w:szCs w:val="24"/>
        </w:rPr>
      </w:pPr>
      <w:r w:rsidRPr="00AE47C6">
        <w:rPr>
          <w:rFonts w:ascii="Times New Roman" w:eastAsia="SimSun" w:hAnsi="Times New Roman"/>
          <w:color w:val="222222"/>
          <w:sz w:val="24"/>
          <w:szCs w:val="24"/>
        </w:rPr>
        <w:t xml:space="preserve">2.  Респираторна функция, оценена чрез спирометрия, оценка на PAO2 и PACO2 за период от време без допълнително подаване на кислород. </w:t>
      </w:r>
    </w:p>
    <w:p w14:paraId="220738E5" w14:textId="77777777" w:rsidR="00BE0B19" w:rsidRPr="00AE47C6" w:rsidRDefault="00BE0B19" w:rsidP="00BE0B19">
      <w:pPr>
        <w:spacing w:after="0" w:line="360" w:lineRule="auto"/>
        <w:ind w:firstLine="708"/>
        <w:jc w:val="both"/>
        <w:rPr>
          <w:rFonts w:ascii="Times New Roman" w:eastAsia="SimSun" w:hAnsi="Times New Roman"/>
          <w:sz w:val="24"/>
          <w:szCs w:val="24"/>
        </w:rPr>
      </w:pPr>
    </w:p>
    <w:p w14:paraId="0A1E6104" w14:textId="77777777" w:rsidR="00BE0B19" w:rsidRPr="00AE47C6" w:rsidRDefault="00BE0B19" w:rsidP="00BE0B19">
      <w:pPr>
        <w:spacing w:after="0" w:line="360" w:lineRule="auto"/>
        <w:jc w:val="both"/>
        <w:rPr>
          <w:rFonts w:ascii="Times New Roman" w:eastAsia="SimSun" w:hAnsi="Times New Roman"/>
          <w:sz w:val="24"/>
          <w:szCs w:val="24"/>
        </w:rPr>
      </w:pPr>
    </w:p>
    <w:p w14:paraId="4A7C964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Физиотерапия - </w:t>
      </w:r>
      <w:r w:rsidRPr="00AE47C6">
        <w:rPr>
          <w:rFonts w:ascii="Times New Roman" w:eastAsia="SimSun" w:hAnsi="Times New Roman"/>
          <w:sz w:val="24"/>
          <w:szCs w:val="24"/>
        </w:rPr>
        <w:t xml:space="preserve">при различните форми от особено значение са следните упражнения: разтягане (вкл. чрез използване на шини и ортези), позициониране, двигателни упражнения, дихателна гимнастика. Те са съобразени с формата и тежестта на СМА и се извършват под контрола на физиотерапевт с опит в областта на НМЗ. </w:t>
      </w:r>
    </w:p>
    <w:p w14:paraId="289E8BCC"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Ортопедични интервенции.</w:t>
      </w:r>
      <w:r w:rsidRPr="00AE47C6">
        <w:rPr>
          <w:rFonts w:ascii="Times New Roman" w:eastAsia="SimSun" w:hAnsi="Times New Roman"/>
          <w:sz w:val="24"/>
          <w:szCs w:val="24"/>
        </w:rPr>
        <w:t xml:space="preserve"> При пациентите със СМА тип 1 и 2 сколиозата над 20° трябва да се проследява на всеки 6 мес. преди достигане на костна зрелост и ежегодно след това. Използването на спинални шини се препоръчва при хипотонични деца със сколиоза над 20°, при които има дълъг период до достигане на костната зрелост. Към ортопедична хирургия пациентът се насочва в случаите, когато ъгълът на Cobb ≥50° или нараства с ≥10° на година. Оценяват се и допълнителни фактори като влошаване на дихателните функции, изразена кифоза, нарушен баланс на тялото. Оценката на вентилаторните капацитети е от основно значение преди и след оперативната интервенция. При болните на възраст 8-10 г. се имплантират стабилизатори, позволяващи костен растеж. При пациентите над 12 г. се извършва спинална фузия.</w:t>
      </w:r>
    </w:p>
    <w:p w14:paraId="6565CEB3" w14:textId="77777777" w:rsidR="00BE0B19" w:rsidRPr="00AE47C6" w:rsidRDefault="00BE0B19" w:rsidP="00BE0B19">
      <w:pPr>
        <w:tabs>
          <w:tab w:val="left" w:pos="1065"/>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Едностранна или двустранна корекция на тазобедрените стави и ставните контрактури се извършва при пациенти с изразени болки. </w:t>
      </w:r>
    </w:p>
    <w:p w14:paraId="0DB78EB5" w14:textId="77777777" w:rsidR="00BE0B19" w:rsidRPr="00AE47C6" w:rsidRDefault="00BE0B19" w:rsidP="00BE0B19">
      <w:pPr>
        <w:tabs>
          <w:tab w:val="left" w:pos="1065"/>
        </w:tabs>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Лечение на гастроинтестиналните и гълтателните нарушения.</w:t>
      </w:r>
      <w:r w:rsidRPr="00AE47C6">
        <w:rPr>
          <w:rFonts w:ascii="Times New Roman" w:eastAsia="SimSun" w:hAnsi="Times New Roman"/>
          <w:sz w:val="24"/>
          <w:szCs w:val="24"/>
        </w:rPr>
        <w:t xml:space="preserve"> При всички форми на СМА е важна преценката за наличие на гастроезофагеален рефлукс, констипация, забавено стомашно изпразване или повръщане.</w:t>
      </w:r>
    </w:p>
    <w:p w14:paraId="55EA7BE3" w14:textId="77777777" w:rsidR="00BE0B19" w:rsidRPr="00AE47C6" w:rsidRDefault="00BE0B19" w:rsidP="00BE0B19">
      <w:pPr>
        <w:tabs>
          <w:tab w:val="left" w:pos="1065"/>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При пациентите със СМА тип 1 булбарната слабост с дисфагия и контрактурите на масетерите са типични. Налага се временно поставяне на назогастрална (НГС) или назойеюнна сонда до поставянето на постоянна гастростома. Диетолог преценява необходимите количества хранителни вещества, течности и електролити, които трябва да се приемат за оптимален растеж.</w:t>
      </w:r>
    </w:p>
    <w:p w14:paraId="1F9F8DE8" w14:textId="77777777" w:rsidR="00BE0B19" w:rsidRPr="00AE47C6" w:rsidRDefault="00BE0B19" w:rsidP="00BE0B19">
      <w:pPr>
        <w:tabs>
          <w:tab w:val="left" w:pos="1065"/>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При пациентите със СМА тип 2 гълтателните нарушения са чести и налагат използването на НГС за подпомагане на набавянето на необходимите количества хранителни вещества. Тези болни, както и пациентите със СМА тип 3, загубили самостоятелна походка са с повишен риск от затлъстяване, предвид ограничените движения. В тези случаи те се насочват към диетолог за оптимален хранителен режим. Важно е прецизиране на приема на витамин Д за превенция на остеопения и остеопороза.</w:t>
      </w:r>
    </w:p>
    <w:p w14:paraId="4713B9F9" w14:textId="77777777" w:rsidR="00BE0B19" w:rsidRPr="00AE47C6" w:rsidRDefault="00BE0B19" w:rsidP="00BE0B19">
      <w:pPr>
        <w:tabs>
          <w:tab w:val="left" w:pos="1065"/>
        </w:tabs>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Дихателни грижи.</w:t>
      </w:r>
      <w:r w:rsidRPr="00AE47C6">
        <w:rPr>
          <w:rFonts w:ascii="Times New Roman" w:eastAsia="SimSun" w:hAnsi="Times New Roman"/>
          <w:sz w:val="24"/>
          <w:szCs w:val="24"/>
        </w:rPr>
        <w:t xml:space="preserve"> Дихателните нарушения са типични при пациентите със СМА.</w:t>
      </w:r>
    </w:p>
    <w:p w14:paraId="5AD2643D" w14:textId="77777777" w:rsidR="00BE0B19" w:rsidRPr="00AE47C6" w:rsidRDefault="00BE0B19" w:rsidP="00BE0B19">
      <w:pPr>
        <w:tabs>
          <w:tab w:val="left" w:pos="1065"/>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При СМА тип 1 от особена важност е провеждането на оксиметрия и капнография на всеки 3 месеца, като оценката по време на сън е по-обективна. При установяване на хиповентилация е важно да се осигури оптимална проходимост на дихателните пътища- мануално и чрез механични методи - Cough Assist</w:t>
      </w:r>
      <w:r w:rsidRPr="00AE47C6">
        <w:rPr>
          <w:rFonts w:ascii="Times New Roman" w:eastAsia="SimSun" w:hAnsi="Times New Roman"/>
          <w:sz w:val="24"/>
          <w:szCs w:val="24"/>
          <w:vertAlign w:val="superscript"/>
        </w:rPr>
        <w:t>®</w:t>
      </w:r>
      <w:r w:rsidRPr="00AE47C6">
        <w:rPr>
          <w:rFonts w:ascii="Times New Roman" w:eastAsia="SimSun" w:hAnsi="Times New Roman"/>
          <w:sz w:val="24"/>
          <w:szCs w:val="24"/>
        </w:rPr>
        <w:t xml:space="preserve"> или VitalCough</w:t>
      </w:r>
      <w:r w:rsidRPr="00AE47C6">
        <w:rPr>
          <w:rFonts w:ascii="Times New Roman" w:eastAsia="SimSun" w:hAnsi="Times New Roman"/>
          <w:sz w:val="24"/>
          <w:szCs w:val="24"/>
          <w:vertAlign w:val="superscript"/>
        </w:rPr>
        <w:t>®</w:t>
      </w:r>
      <w:r w:rsidRPr="00AE47C6">
        <w:rPr>
          <w:rFonts w:ascii="Times New Roman" w:eastAsia="SimSun" w:hAnsi="Times New Roman"/>
          <w:sz w:val="24"/>
          <w:szCs w:val="24"/>
        </w:rPr>
        <w:t>. В началото налягането на инсуфлация и ексуфлация следва да се повишава бавно 30 – 40 cm H</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O позитивно или негативно налягане. Неинвазивната вентилация с позитивно налягане трябва да се използва при всички симптоматични деца със СМА преди изява на симптомите на дихателна недостатъчност. Преценката на режима на вентилация се преценява от анестезиолог-реаниматор с опит в областта на НМЗ. Инвазивна вентилация се прилага при недостатъчен ефект от неинвазивната вентилация.</w:t>
      </w:r>
    </w:p>
    <w:p w14:paraId="545C6FBF" w14:textId="77777777" w:rsidR="00BE0B19" w:rsidRPr="00AE47C6" w:rsidRDefault="00BE0B19" w:rsidP="00BE0B19">
      <w:pPr>
        <w:tabs>
          <w:tab w:val="left" w:pos="1065"/>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Бронходилататори се прилагат при съмнение за астма. Муколитици не се прилагат за дълъг период от време.</w:t>
      </w:r>
    </w:p>
    <w:p w14:paraId="7937C854" w14:textId="77777777" w:rsidR="00BE0B19" w:rsidRPr="00AE47C6" w:rsidRDefault="00BE0B19" w:rsidP="00BE0B19">
      <w:pPr>
        <w:tabs>
          <w:tab w:val="left" w:pos="1065"/>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При пациентите със СМА тип 2 и 3 спирометрия се препоръчва на всеки 6 мес., а при съмнение за нощна хиповентилация се препоръчва провеждането на полисомнографско изследване.</w:t>
      </w:r>
    </w:p>
    <w:p w14:paraId="6C0D2577" w14:textId="77777777" w:rsidR="00BE0B19" w:rsidRPr="00AE47C6" w:rsidRDefault="00BE0B19" w:rsidP="00BE0B19">
      <w:pPr>
        <w:tabs>
          <w:tab w:val="left" w:pos="1065"/>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При пациентите с неефективно откашляне поддържането на проходимостта на дихателните пътища чрез мануални или апаратни методи, аналогични на тези на СМА тип 1 е от особено значение. При установяване на дихателна недостатъчност се препоръчва bilevel неинвазивна вентилация. Въпреки че при пациентите със СМА тип 2 и 3 рядко се налага, ако са налице белези на дихателна недостатъчност и липса на ефект от неинвазивната вентилация се прибягва към инвазивна.</w:t>
      </w:r>
    </w:p>
    <w:p w14:paraId="4F63363F" w14:textId="77777777" w:rsidR="00BE0B19" w:rsidRPr="00AE47C6" w:rsidRDefault="00BE0B19" w:rsidP="00BE0B19">
      <w:pPr>
        <w:tabs>
          <w:tab w:val="left" w:pos="1065"/>
        </w:tabs>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На фигура 9.5. е представен алгоритъм за проследяване и дихателни грижи при пациенти със СМА.</w:t>
      </w:r>
    </w:p>
    <w:p w14:paraId="2C24FE02" w14:textId="77777777" w:rsidR="00BE0B19" w:rsidRPr="00AE47C6" w:rsidRDefault="00BE0B19" w:rsidP="00BE0B19">
      <w:pPr>
        <w:spacing w:after="0" w:line="360" w:lineRule="auto"/>
        <w:jc w:val="both"/>
        <w:rPr>
          <w:rFonts w:ascii="Times New Roman" w:eastAsia="SimSun" w:hAnsi="Times New Roman"/>
          <w:sz w:val="24"/>
          <w:szCs w:val="24"/>
        </w:rPr>
      </w:pPr>
    </w:p>
    <w:p w14:paraId="22315484" w14:textId="77777777" w:rsidR="00BE0B19" w:rsidRPr="00AE47C6" w:rsidRDefault="00BE0B19" w:rsidP="00BE0B19">
      <w:pPr>
        <w:tabs>
          <w:tab w:val="left" w:pos="6885"/>
        </w:tabs>
        <w:autoSpaceDE w:val="0"/>
        <w:autoSpaceDN w:val="0"/>
        <w:adjustRightInd w:val="0"/>
        <w:spacing w:after="0" w:line="360" w:lineRule="auto"/>
        <w:jc w:val="both"/>
        <w:rPr>
          <w:rFonts w:ascii="Times New Roman" w:eastAsia="SimSun" w:hAnsi="Times New Roman"/>
          <w:b/>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14560" behindDoc="0" locked="0" layoutInCell="1" allowOverlap="1" wp14:anchorId="59CB1E43" wp14:editId="6054E620">
                <wp:simplePos x="0" y="0"/>
                <wp:positionH relativeFrom="column">
                  <wp:posOffset>3871595</wp:posOffset>
                </wp:positionH>
                <wp:positionV relativeFrom="paragraph">
                  <wp:posOffset>271145</wp:posOffset>
                </wp:positionV>
                <wp:extent cx="2581275" cy="2339340"/>
                <wp:effectExtent l="0" t="0" r="0" b="0"/>
                <wp:wrapNone/>
                <wp:docPr id="66"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2339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BCC5A4" w14:textId="77777777" w:rsidR="00471742" w:rsidRPr="00E44F3E" w:rsidRDefault="00471742" w:rsidP="00BE0B19">
                            <w:pPr>
                              <w:spacing w:line="240" w:lineRule="auto"/>
                              <w:rPr>
                                <w:rFonts w:ascii="Arial" w:hAnsi="Arial" w:cs="Arial"/>
                                <w:b/>
                                <w:sz w:val="20"/>
                                <w:szCs w:val="20"/>
                              </w:rPr>
                            </w:pPr>
                            <w:r w:rsidRPr="00E44F3E">
                              <w:rPr>
                                <w:rFonts w:ascii="Arial" w:hAnsi="Arial" w:cs="Arial"/>
                                <w:b/>
                                <w:sz w:val="20"/>
                                <w:szCs w:val="20"/>
                              </w:rPr>
                              <w:t xml:space="preserve">Физикално изследване, оценка на вентилаторните показатели, </w:t>
                            </w:r>
                            <w:r w:rsidRPr="00E44F3E">
                              <w:rPr>
                                <w:rFonts w:ascii="Arial" w:hAnsi="Arial" w:cs="Arial"/>
                                <w:b/>
                                <w:sz w:val="20"/>
                                <w:szCs w:val="20"/>
                                <w:lang w:val="en-US"/>
                              </w:rPr>
                              <w:t>peak cough flow</w:t>
                            </w:r>
                            <w:r w:rsidRPr="00E44F3E">
                              <w:rPr>
                                <w:rFonts w:ascii="Arial" w:hAnsi="Arial" w:cs="Arial"/>
                                <w:b/>
                                <w:sz w:val="20"/>
                                <w:szCs w:val="20"/>
                              </w:rPr>
                              <w:t>, сила на дихателните мускули</w:t>
                            </w:r>
                          </w:p>
                          <w:p w14:paraId="08F7259C" w14:textId="77777777" w:rsidR="00471742" w:rsidRPr="00E44F3E" w:rsidRDefault="00471742" w:rsidP="00BE0B19">
                            <w:pPr>
                              <w:spacing w:line="240" w:lineRule="auto"/>
                              <w:rPr>
                                <w:rFonts w:ascii="Arial" w:hAnsi="Arial" w:cs="Arial"/>
                                <w:b/>
                                <w:sz w:val="20"/>
                                <w:szCs w:val="20"/>
                              </w:rPr>
                            </w:pPr>
                            <w:r w:rsidRPr="00E44F3E">
                              <w:rPr>
                                <w:rFonts w:ascii="Arial" w:hAnsi="Arial" w:cs="Arial"/>
                                <w:b/>
                                <w:sz w:val="20"/>
                                <w:szCs w:val="20"/>
                              </w:rPr>
                              <w:t>Рентгенография на бял дроб, полисомнография, оценка на преглъщането</w:t>
                            </w:r>
                          </w:p>
                          <w:p w14:paraId="0C6A7D0F" w14:textId="77777777" w:rsidR="00471742" w:rsidRPr="00E44F3E" w:rsidRDefault="00471742" w:rsidP="00BE0B19">
                            <w:pPr>
                              <w:spacing w:line="240" w:lineRule="auto"/>
                              <w:rPr>
                                <w:rFonts w:ascii="Arial" w:hAnsi="Arial" w:cs="Arial"/>
                                <w:b/>
                                <w:sz w:val="20"/>
                                <w:szCs w:val="20"/>
                              </w:rPr>
                            </w:pPr>
                            <w:r w:rsidRPr="00E44F3E">
                              <w:rPr>
                                <w:rFonts w:ascii="Arial" w:hAnsi="Arial" w:cs="Arial"/>
                                <w:b/>
                                <w:sz w:val="20"/>
                                <w:szCs w:val="20"/>
                              </w:rPr>
                              <w:t>Профилактика: противогрипна ваксина и пневмококова ваксина</w:t>
                            </w:r>
                          </w:p>
                          <w:p w14:paraId="6C4C6271" w14:textId="77777777" w:rsidR="00471742" w:rsidRPr="00E44F3E" w:rsidRDefault="00471742" w:rsidP="00BE0B19">
                            <w:pPr>
                              <w:spacing w:line="240" w:lineRule="auto"/>
                              <w:rPr>
                                <w:rFonts w:ascii="Arial" w:hAnsi="Arial" w:cs="Arial"/>
                                <w:b/>
                                <w:sz w:val="20"/>
                                <w:szCs w:val="20"/>
                              </w:rPr>
                            </w:pPr>
                            <w:r w:rsidRPr="00E44F3E">
                              <w:rPr>
                                <w:rFonts w:ascii="Arial" w:hAnsi="Arial" w:cs="Arial"/>
                                <w:b/>
                                <w:sz w:val="20"/>
                                <w:szCs w:val="20"/>
                              </w:rPr>
                              <w:t>Интервенции: физиотерапия, сough аssist, бронходилататори</w:t>
                            </w:r>
                          </w:p>
                          <w:p w14:paraId="49697985" w14:textId="77777777" w:rsidR="00471742" w:rsidRPr="00D755FB" w:rsidRDefault="00471742" w:rsidP="00BE0B19">
                            <w:pPr>
                              <w:rPr>
                                <w:rFonts w:ascii="Arial" w:hAnsi="Arial" w:cs="Arial"/>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B1E43" id="Text Box 108" o:spid="_x0000_s1148" type="#_x0000_t202" style="position:absolute;left:0;text-align:left;margin-left:304.85pt;margin-top:21.35pt;width:203.25pt;height:184.2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xCyigIAABs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" stroked="f">
                <v:textbox>
                  <w:txbxContent>
                    <w:p w14:paraId="74BCC5A4" w14:textId="77777777" w:rsidR="00471742" w:rsidRPr="00E44F3E" w:rsidRDefault="00471742" w:rsidP="00BE0B19">
                      <w:pPr>
                        <w:spacing w:line="240" w:lineRule="auto"/>
                        <w:rPr>
                          <w:rFonts w:ascii="Arial" w:hAnsi="Arial" w:cs="Arial"/>
                          <w:b/>
                          <w:sz w:val="20"/>
                          <w:szCs w:val="20"/>
                        </w:rPr>
                      </w:pPr>
                      <w:r w:rsidRPr="00E44F3E">
                        <w:rPr>
                          <w:rFonts w:ascii="Arial" w:hAnsi="Arial" w:cs="Arial"/>
                          <w:b/>
                          <w:sz w:val="20"/>
                          <w:szCs w:val="20"/>
                        </w:rPr>
                        <w:t xml:space="preserve">Физикално изследване, оценка на вентилаторните показатели, </w:t>
                      </w:r>
                      <w:r w:rsidRPr="00E44F3E">
                        <w:rPr>
                          <w:rFonts w:ascii="Arial" w:hAnsi="Arial" w:cs="Arial"/>
                          <w:b/>
                          <w:sz w:val="20"/>
                          <w:szCs w:val="20"/>
                          <w:lang w:val="en-US"/>
                        </w:rPr>
                        <w:t>peak cough flow</w:t>
                      </w:r>
                      <w:r w:rsidRPr="00E44F3E">
                        <w:rPr>
                          <w:rFonts w:ascii="Arial" w:hAnsi="Arial" w:cs="Arial"/>
                          <w:b/>
                          <w:sz w:val="20"/>
                          <w:szCs w:val="20"/>
                        </w:rPr>
                        <w:t>, сила на дихателните мускули</w:t>
                      </w:r>
                    </w:p>
                    <w:p w14:paraId="08F7259C" w14:textId="77777777" w:rsidR="00471742" w:rsidRPr="00E44F3E" w:rsidRDefault="00471742" w:rsidP="00BE0B19">
                      <w:pPr>
                        <w:spacing w:line="240" w:lineRule="auto"/>
                        <w:rPr>
                          <w:rFonts w:ascii="Arial" w:hAnsi="Arial" w:cs="Arial"/>
                          <w:b/>
                          <w:sz w:val="20"/>
                          <w:szCs w:val="20"/>
                        </w:rPr>
                      </w:pPr>
                      <w:r w:rsidRPr="00E44F3E">
                        <w:rPr>
                          <w:rFonts w:ascii="Arial" w:hAnsi="Arial" w:cs="Arial"/>
                          <w:b/>
                          <w:sz w:val="20"/>
                          <w:szCs w:val="20"/>
                        </w:rPr>
                        <w:t>Рентгенография на бял дроб, полисомнография, оценка на преглъщането</w:t>
                      </w:r>
                    </w:p>
                    <w:p w14:paraId="0C6A7D0F" w14:textId="77777777" w:rsidR="00471742" w:rsidRPr="00E44F3E" w:rsidRDefault="00471742" w:rsidP="00BE0B19">
                      <w:pPr>
                        <w:spacing w:line="240" w:lineRule="auto"/>
                        <w:rPr>
                          <w:rFonts w:ascii="Arial" w:hAnsi="Arial" w:cs="Arial"/>
                          <w:b/>
                          <w:sz w:val="20"/>
                          <w:szCs w:val="20"/>
                        </w:rPr>
                      </w:pPr>
                      <w:r w:rsidRPr="00E44F3E">
                        <w:rPr>
                          <w:rFonts w:ascii="Arial" w:hAnsi="Arial" w:cs="Arial"/>
                          <w:b/>
                          <w:sz w:val="20"/>
                          <w:szCs w:val="20"/>
                        </w:rPr>
                        <w:t>Профилактика: противогрипна ваксина и пневмококова ваксина</w:t>
                      </w:r>
                    </w:p>
                    <w:p w14:paraId="6C4C6271" w14:textId="77777777" w:rsidR="00471742" w:rsidRPr="00E44F3E" w:rsidRDefault="00471742" w:rsidP="00BE0B19">
                      <w:pPr>
                        <w:spacing w:line="240" w:lineRule="auto"/>
                        <w:rPr>
                          <w:rFonts w:ascii="Arial" w:hAnsi="Arial" w:cs="Arial"/>
                          <w:b/>
                          <w:sz w:val="20"/>
                          <w:szCs w:val="20"/>
                        </w:rPr>
                      </w:pPr>
                      <w:r w:rsidRPr="00E44F3E">
                        <w:rPr>
                          <w:rFonts w:ascii="Arial" w:hAnsi="Arial" w:cs="Arial"/>
                          <w:b/>
                          <w:sz w:val="20"/>
                          <w:szCs w:val="20"/>
                        </w:rPr>
                        <w:t>Интервенции: физиотерапия, сough аssist, бронходилататори</w:t>
                      </w:r>
                    </w:p>
                    <w:p w14:paraId="49697985" w14:textId="77777777" w:rsidR="00471742" w:rsidRPr="00D755FB" w:rsidRDefault="00471742" w:rsidP="00BE0B19">
                      <w:pPr>
                        <w:rPr>
                          <w:rFonts w:ascii="Arial" w:hAnsi="Arial" w:cs="Arial"/>
                          <w:b/>
                          <w:sz w:val="20"/>
                          <w:szCs w:val="20"/>
                        </w:rPr>
                      </w:pPr>
                    </w:p>
                  </w:txbxContent>
                </v:textbox>
              </v:shape>
            </w:pict>
          </mc:Fallback>
        </mc:AlternateContent>
      </w:r>
      <w:r w:rsidRPr="00AE47C6">
        <w:rPr>
          <w:rFonts w:ascii="Times New Roman" w:eastAsia="SimSun" w:hAnsi="Times New Roman"/>
          <w:sz w:val="24"/>
          <w:szCs w:val="24"/>
        </w:rPr>
        <w:tab/>
      </w:r>
      <w:r w:rsidRPr="00AE47C6">
        <w:rPr>
          <w:rFonts w:ascii="Times New Roman" w:eastAsia="SimSun" w:hAnsi="Times New Roman"/>
          <w:b/>
          <w:sz w:val="24"/>
          <w:szCs w:val="24"/>
        </w:rPr>
        <w:t>Изследвания</w:t>
      </w:r>
    </w:p>
    <w:p w14:paraId="598411DC" w14:textId="77777777" w:rsidR="00BE0B19" w:rsidRPr="00AE47C6" w:rsidRDefault="00BE0B19" w:rsidP="00BE0B19">
      <w:pPr>
        <w:tabs>
          <w:tab w:val="left" w:pos="6885"/>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p>
    <w:p w14:paraId="3AAE10D2" w14:textId="77777777" w:rsidR="00BE0B19" w:rsidRPr="00AE47C6" w:rsidRDefault="00BE0B19" w:rsidP="00BE0B19">
      <w:pPr>
        <w:tabs>
          <w:tab w:val="left" w:pos="6810"/>
        </w:tabs>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15584" behindDoc="0" locked="0" layoutInCell="1" allowOverlap="1" wp14:anchorId="340D4825" wp14:editId="7C958A34">
                <wp:simplePos x="0" y="0"/>
                <wp:positionH relativeFrom="column">
                  <wp:posOffset>4909820</wp:posOffset>
                </wp:positionH>
                <wp:positionV relativeFrom="paragraph">
                  <wp:posOffset>2118995</wp:posOffset>
                </wp:positionV>
                <wp:extent cx="1466850" cy="1223010"/>
                <wp:effectExtent l="0" t="0" r="0" b="0"/>
                <wp:wrapNone/>
                <wp:docPr id="65"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223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67AF84" w14:textId="77777777" w:rsidR="00471742" w:rsidRPr="00E44F3E" w:rsidRDefault="00471742" w:rsidP="00BE0B19">
                            <w:pPr>
                              <w:rPr>
                                <w:rFonts w:ascii="Arial" w:hAnsi="Arial" w:cs="Arial"/>
                                <w:b/>
                                <w:sz w:val="20"/>
                                <w:szCs w:val="20"/>
                              </w:rPr>
                            </w:pPr>
                            <w:r w:rsidRPr="00E44F3E">
                              <w:rPr>
                                <w:rFonts w:ascii="Arial" w:hAnsi="Arial" w:cs="Arial"/>
                                <w:b/>
                                <w:sz w:val="20"/>
                                <w:szCs w:val="20"/>
                              </w:rPr>
                              <w:t>Неинвазивна вентилация в комбинация с сough аssist и перкутанна гастростома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D4825" id="Text Box 109" o:spid="_x0000_s1149" type="#_x0000_t202" style="position:absolute;left:0;text-align:left;margin-left:386.6pt;margin-top:166.85pt;width:115.5pt;height:96.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" stroked="f">
                <v:textbox>
                  <w:txbxContent>
                    <w:p w14:paraId="6E67AF84" w14:textId="77777777" w:rsidR="00471742" w:rsidRPr="00E44F3E" w:rsidRDefault="00471742" w:rsidP="00BE0B19">
                      <w:pPr>
                        <w:rPr>
                          <w:rFonts w:ascii="Arial" w:hAnsi="Arial" w:cs="Arial"/>
                          <w:b/>
                          <w:sz w:val="20"/>
                          <w:szCs w:val="20"/>
                        </w:rPr>
                      </w:pPr>
                      <w:r w:rsidRPr="00E44F3E">
                        <w:rPr>
                          <w:rFonts w:ascii="Arial" w:hAnsi="Arial" w:cs="Arial"/>
                          <w:b/>
                          <w:sz w:val="20"/>
                          <w:szCs w:val="20"/>
                        </w:rPr>
                        <w:t>Неинвазивна вентилация в комбинация с сough аssist и перкутанна гастростома</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13536" behindDoc="0" locked="0" layoutInCell="1" allowOverlap="1" wp14:anchorId="0FE3FA22" wp14:editId="37FFACF7">
                <wp:simplePos x="0" y="0"/>
                <wp:positionH relativeFrom="column">
                  <wp:posOffset>547370</wp:posOffset>
                </wp:positionH>
                <wp:positionV relativeFrom="paragraph">
                  <wp:posOffset>3471545</wp:posOffset>
                </wp:positionV>
                <wp:extent cx="2171700" cy="628650"/>
                <wp:effectExtent l="0" t="0" r="0" b="0"/>
                <wp:wrapNone/>
                <wp:docPr id="64"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28650"/>
                        </a:xfrm>
                        <a:prstGeom prst="rect">
                          <a:avLst/>
                        </a:prstGeom>
                        <a:solidFill>
                          <a:srgbClr val="FFFFFF"/>
                        </a:solidFill>
                        <a:ln w="9525">
                          <a:solidFill>
                            <a:srgbClr val="000000"/>
                          </a:solidFill>
                          <a:miter lim="800000"/>
                          <a:headEnd/>
                          <a:tailEnd/>
                        </a:ln>
                      </wps:spPr>
                      <wps:txbx>
                        <w:txbxContent>
                          <w:p w14:paraId="1AC550BE" w14:textId="77777777" w:rsidR="00471742" w:rsidRDefault="00471742" w:rsidP="00BE0B19">
                            <w:pPr>
                              <w:spacing w:after="0"/>
                              <w:jc w:val="center"/>
                              <w:rPr>
                                <w:b/>
                              </w:rPr>
                            </w:pPr>
                            <w:r w:rsidRPr="006C006E">
                              <w:rPr>
                                <w:b/>
                              </w:rPr>
                              <w:t>Дихателни нарушения в будно състояние</w:t>
                            </w:r>
                          </w:p>
                          <w:p w14:paraId="1EB7512F" w14:textId="77777777" w:rsidR="00471742" w:rsidRDefault="00471742" w:rsidP="00BE0B19">
                            <w:pPr>
                              <w:spacing w:after="0"/>
                              <w:jc w:val="center"/>
                              <w:rPr>
                                <w:b/>
                              </w:rPr>
                            </w:pPr>
                            <w:r w:rsidRPr="006C006E">
                              <w:rPr>
                                <w:b/>
                              </w:rPr>
                              <w:t>FVC&lt;</w:t>
                            </w:r>
                            <w:r>
                              <w:rPr>
                                <w:b/>
                              </w:rPr>
                              <w:t>2</w:t>
                            </w:r>
                            <w:r w:rsidRPr="006C006E">
                              <w:rPr>
                                <w:b/>
                              </w:rPr>
                              <w:t>0%</w:t>
                            </w:r>
                          </w:p>
                          <w:p w14:paraId="79B2287A" w14:textId="77777777" w:rsidR="00471742" w:rsidRPr="006C006E" w:rsidRDefault="00471742" w:rsidP="00BE0B19">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E3FA22" id="Text Box 107" o:spid="_x0000_s1150" type="#_x0000_t202" style="position:absolute;left:0;text-align:left;margin-left:43.1pt;margin-top:273.35pt;width:171pt;height:49.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">
                <v:textbox>
                  <w:txbxContent>
                    <w:p w14:paraId="1AC550BE" w14:textId="77777777" w:rsidR="00471742" w:rsidRDefault="00471742" w:rsidP="00BE0B19">
                      <w:pPr>
                        <w:spacing w:after="0"/>
                        <w:jc w:val="center"/>
                        <w:rPr>
                          <w:b/>
                        </w:rPr>
                      </w:pPr>
                      <w:r w:rsidRPr="006C006E">
                        <w:rPr>
                          <w:b/>
                        </w:rPr>
                        <w:t>Дихателни нарушения в будно състояние</w:t>
                      </w:r>
                    </w:p>
                    <w:p w14:paraId="1EB7512F" w14:textId="77777777" w:rsidR="00471742" w:rsidRDefault="00471742" w:rsidP="00BE0B19">
                      <w:pPr>
                        <w:spacing w:after="0"/>
                        <w:jc w:val="center"/>
                        <w:rPr>
                          <w:b/>
                        </w:rPr>
                      </w:pPr>
                      <w:r w:rsidRPr="006C006E">
                        <w:rPr>
                          <w:b/>
                        </w:rPr>
                        <w:t>FVC&lt;</w:t>
                      </w:r>
                      <w:r>
                        <w:rPr>
                          <w:b/>
                        </w:rPr>
                        <w:t>2</w:t>
                      </w:r>
                      <w:r w:rsidRPr="006C006E">
                        <w:rPr>
                          <w:b/>
                        </w:rPr>
                        <w:t>0%</w:t>
                      </w:r>
                    </w:p>
                    <w:p w14:paraId="79B2287A" w14:textId="77777777" w:rsidR="00471742" w:rsidRPr="006C006E" w:rsidRDefault="00471742" w:rsidP="00BE0B19">
                      <w:pPr>
                        <w:jc w:val="center"/>
                        <w:rPr>
                          <w:b/>
                        </w:rPr>
                      </w:pP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297" distR="114297" simplePos="0" relativeHeight="251712512" behindDoc="0" locked="0" layoutInCell="1" allowOverlap="1" wp14:anchorId="669B4590" wp14:editId="6DC88A3D">
                <wp:simplePos x="0" y="0"/>
                <wp:positionH relativeFrom="column">
                  <wp:posOffset>1737994</wp:posOffset>
                </wp:positionH>
                <wp:positionV relativeFrom="paragraph">
                  <wp:posOffset>2871470</wp:posOffset>
                </wp:positionV>
                <wp:extent cx="0" cy="600075"/>
                <wp:effectExtent l="76200" t="0" r="38100" b="28575"/>
                <wp:wrapNone/>
                <wp:docPr id="63"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0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C31CBC" id="AutoShape 106" o:spid="_x0000_s1026" type="#_x0000_t32" style="position:absolute;margin-left:136.85pt;margin-top:226.1pt;width:0;height:47.25pt;z-index:25171251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7U7NAIAAF8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">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11488" behindDoc="0" locked="0" layoutInCell="1" allowOverlap="1" wp14:anchorId="416C39B3" wp14:editId="6FEE6576">
                <wp:simplePos x="0" y="0"/>
                <wp:positionH relativeFrom="column">
                  <wp:posOffset>1214120</wp:posOffset>
                </wp:positionH>
                <wp:positionV relativeFrom="paragraph">
                  <wp:posOffset>1890395</wp:posOffset>
                </wp:positionV>
                <wp:extent cx="419100" cy="695325"/>
                <wp:effectExtent l="38100" t="38100" r="0" b="9525"/>
                <wp:wrapNone/>
                <wp:docPr id="62"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19100" cy="695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D3C2FC" id="AutoShape 105" o:spid="_x0000_s1026" type="#_x0000_t32" style="position:absolute;margin-left:95.6pt;margin-top:148.85pt;width:33pt;height:54.75pt;flip:x 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">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4294967293" distB="4294967293" distL="114300" distR="114300" simplePos="0" relativeHeight="251710464" behindDoc="0" locked="0" layoutInCell="1" allowOverlap="1" wp14:anchorId="27B74D1D" wp14:editId="3E162515">
                <wp:simplePos x="0" y="0"/>
                <wp:positionH relativeFrom="column">
                  <wp:posOffset>1214120</wp:posOffset>
                </wp:positionH>
                <wp:positionV relativeFrom="paragraph">
                  <wp:posOffset>2728594</wp:posOffset>
                </wp:positionV>
                <wp:extent cx="371475" cy="0"/>
                <wp:effectExtent l="38100" t="76200" r="0" b="76200"/>
                <wp:wrapNone/>
                <wp:docPr id="61"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14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31C918" id="AutoShape 104" o:spid="_x0000_s1026" type="#_x0000_t32" style="position:absolute;margin-left:95.6pt;margin-top:214.85pt;width:29.25pt;height:0;flip:x;z-index:2517104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">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09440" behindDoc="0" locked="0" layoutInCell="1" allowOverlap="1" wp14:anchorId="72995E68" wp14:editId="00C7BC70">
                <wp:simplePos x="0" y="0"/>
                <wp:positionH relativeFrom="column">
                  <wp:posOffset>2404745</wp:posOffset>
                </wp:positionH>
                <wp:positionV relativeFrom="paragraph">
                  <wp:posOffset>2052320</wp:posOffset>
                </wp:positionV>
                <wp:extent cx="19050" cy="533400"/>
                <wp:effectExtent l="57150" t="0" r="38100" b="38100"/>
                <wp:wrapNone/>
                <wp:docPr id="60"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 cy="533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741A02" id="AutoShape 103" o:spid="_x0000_s1026" type="#_x0000_t32" style="position:absolute;margin-left:189.35pt;margin-top:161.6pt;width:1.5pt;height:4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">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07392" behindDoc="0" locked="0" layoutInCell="1" allowOverlap="1" wp14:anchorId="0994C385" wp14:editId="2B1D8CF3">
                <wp:simplePos x="0" y="0"/>
                <wp:positionH relativeFrom="column">
                  <wp:posOffset>2595245</wp:posOffset>
                </wp:positionH>
                <wp:positionV relativeFrom="paragraph">
                  <wp:posOffset>2118995</wp:posOffset>
                </wp:positionV>
                <wp:extent cx="2133600" cy="238125"/>
                <wp:effectExtent l="0" t="0" r="0" b="9525"/>
                <wp:wrapNone/>
                <wp:docPr id="59"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38125"/>
                        </a:xfrm>
                        <a:prstGeom prst="rect">
                          <a:avLst/>
                        </a:prstGeom>
                        <a:solidFill>
                          <a:srgbClr val="FFFFFF"/>
                        </a:solidFill>
                        <a:ln w="9525">
                          <a:solidFill>
                            <a:srgbClr val="000000"/>
                          </a:solidFill>
                          <a:miter lim="800000"/>
                          <a:headEnd/>
                          <a:tailEnd/>
                        </a:ln>
                      </wps:spPr>
                      <wps:txbx>
                        <w:txbxContent>
                          <w:p w14:paraId="42C7B732" w14:textId="77777777" w:rsidR="00471742" w:rsidRPr="00BC26A3" w:rsidRDefault="00471742" w:rsidP="00BE0B19">
                            <w:pPr>
                              <w:jc w:val="center"/>
                              <w:rPr>
                                <w:rFonts w:ascii="Arial" w:hAnsi="Arial" w:cs="Arial"/>
                                <w:b/>
                                <w:sz w:val="20"/>
                                <w:szCs w:val="20"/>
                              </w:rPr>
                            </w:pPr>
                            <w:r w:rsidRPr="00BC26A3">
                              <w:rPr>
                                <w:rFonts w:ascii="Arial" w:hAnsi="Arial" w:cs="Arial"/>
                                <w:b/>
                                <w:sz w:val="20"/>
                                <w:szCs w:val="20"/>
                              </w:rPr>
                              <w:t>Гълтателни нарушения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94C385" id="Text Box 101" o:spid="_x0000_s1151" type="#_x0000_t202" style="position:absolute;left:0;text-align:left;margin-left:204.35pt;margin-top:166.85pt;width:168pt;height:18.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">
                <v:textbox>
                  <w:txbxContent>
                    <w:p w14:paraId="42C7B732" w14:textId="77777777" w:rsidR="00471742" w:rsidRPr="00BC26A3" w:rsidRDefault="00471742" w:rsidP="00BE0B19">
                      <w:pPr>
                        <w:jc w:val="center"/>
                        <w:rPr>
                          <w:rFonts w:ascii="Arial" w:hAnsi="Arial" w:cs="Arial"/>
                          <w:b/>
                          <w:sz w:val="20"/>
                          <w:szCs w:val="20"/>
                        </w:rPr>
                      </w:pPr>
                      <w:r w:rsidRPr="00BC26A3">
                        <w:rPr>
                          <w:rFonts w:ascii="Arial" w:hAnsi="Arial" w:cs="Arial"/>
                          <w:b/>
                          <w:sz w:val="20"/>
                          <w:szCs w:val="20"/>
                        </w:rPr>
                        <w:t>Гълтателни нарушения</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08416" behindDoc="0" locked="0" layoutInCell="1" allowOverlap="1" wp14:anchorId="27B51E22" wp14:editId="6A51C3FF">
                <wp:simplePos x="0" y="0"/>
                <wp:positionH relativeFrom="column">
                  <wp:posOffset>1585595</wp:posOffset>
                </wp:positionH>
                <wp:positionV relativeFrom="paragraph">
                  <wp:posOffset>2585720</wp:posOffset>
                </wp:positionV>
                <wp:extent cx="1809750" cy="285750"/>
                <wp:effectExtent l="0" t="0" r="0" b="0"/>
                <wp:wrapNone/>
                <wp:docPr id="58"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285750"/>
                        </a:xfrm>
                        <a:prstGeom prst="rect">
                          <a:avLst/>
                        </a:prstGeom>
                        <a:solidFill>
                          <a:srgbClr val="FFFFFF"/>
                        </a:solidFill>
                        <a:ln w="9525">
                          <a:solidFill>
                            <a:srgbClr val="000000"/>
                          </a:solidFill>
                          <a:miter lim="800000"/>
                          <a:headEnd/>
                          <a:tailEnd/>
                        </a:ln>
                      </wps:spPr>
                      <wps:txbx>
                        <w:txbxContent>
                          <w:p w14:paraId="02CBE225" w14:textId="77777777" w:rsidR="00471742" w:rsidRPr="00493614" w:rsidRDefault="00471742" w:rsidP="00BE0B19">
                            <w:pPr>
                              <w:jc w:val="center"/>
                              <w:rPr>
                                <w:rFonts w:ascii="Arial" w:hAnsi="Arial" w:cs="Arial"/>
                                <w:b/>
                                <w:sz w:val="20"/>
                                <w:szCs w:val="20"/>
                              </w:rPr>
                            </w:pPr>
                            <w:r w:rsidRPr="00493614">
                              <w:rPr>
                                <w:rFonts w:ascii="Arial" w:hAnsi="Arial" w:cs="Arial"/>
                                <w:b/>
                                <w:sz w:val="20"/>
                                <w:szCs w:val="20"/>
                              </w:rPr>
                              <w:t>Дихателни инфекции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51E22" id="Text Box 102" o:spid="_x0000_s1152" type="#_x0000_t202" style="position:absolute;left:0;text-align:left;margin-left:124.85pt;margin-top:203.6pt;width:142.5pt;height:2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">
                <v:textbox>
                  <w:txbxContent>
                    <w:p w14:paraId="02CBE225" w14:textId="77777777" w:rsidR="00471742" w:rsidRPr="00493614" w:rsidRDefault="00471742" w:rsidP="00BE0B19">
                      <w:pPr>
                        <w:jc w:val="center"/>
                        <w:rPr>
                          <w:rFonts w:ascii="Arial" w:hAnsi="Arial" w:cs="Arial"/>
                          <w:b/>
                          <w:sz w:val="20"/>
                          <w:szCs w:val="20"/>
                        </w:rPr>
                      </w:pPr>
                      <w:r w:rsidRPr="00493614">
                        <w:rPr>
                          <w:rFonts w:ascii="Arial" w:hAnsi="Arial" w:cs="Arial"/>
                          <w:b/>
                          <w:sz w:val="20"/>
                          <w:szCs w:val="20"/>
                        </w:rPr>
                        <w:t>Дихателни инфекции</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06368" behindDoc="0" locked="0" layoutInCell="1" allowOverlap="1" wp14:anchorId="5DD8F453" wp14:editId="6721FED9">
                <wp:simplePos x="0" y="0"/>
                <wp:positionH relativeFrom="column">
                  <wp:posOffset>3442970</wp:posOffset>
                </wp:positionH>
                <wp:positionV relativeFrom="paragraph">
                  <wp:posOffset>871220</wp:posOffset>
                </wp:positionV>
                <wp:extent cx="9525" cy="1247775"/>
                <wp:effectExtent l="76200" t="0" r="47625" b="28575"/>
                <wp:wrapNone/>
                <wp:docPr id="57"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247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BD14F4" id="AutoShape 100" o:spid="_x0000_s1026" type="#_x0000_t32" style="position:absolute;margin-left:271.1pt;margin-top:68.6pt;width:.75pt;height:98.2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">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99200" behindDoc="0" locked="0" layoutInCell="1" allowOverlap="1" wp14:anchorId="1E3ABDD9" wp14:editId="4E9200B4">
                <wp:simplePos x="0" y="0"/>
                <wp:positionH relativeFrom="column">
                  <wp:posOffset>42545</wp:posOffset>
                </wp:positionH>
                <wp:positionV relativeFrom="paragraph">
                  <wp:posOffset>433070</wp:posOffset>
                </wp:positionV>
                <wp:extent cx="3495675" cy="438150"/>
                <wp:effectExtent l="0" t="0" r="9525" b="0"/>
                <wp:wrapNone/>
                <wp:docPr id="56"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438150"/>
                        </a:xfrm>
                        <a:prstGeom prst="rect">
                          <a:avLst/>
                        </a:prstGeom>
                        <a:solidFill>
                          <a:srgbClr val="FFFFFF"/>
                        </a:solidFill>
                        <a:ln w="9525">
                          <a:solidFill>
                            <a:srgbClr val="000000"/>
                          </a:solidFill>
                          <a:miter lim="800000"/>
                          <a:headEnd/>
                          <a:tailEnd/>
                        </a:ln>
                      </wps:spPr>
                      <wps:txbx>
                        <w:txbxContent>
                          <w:p w14:paraId="62AF44E9" w14:textId="77777777" w:rsidR="00471742" w:rsidRPr="005749A6" w:rsidRDefault="00471742" w:rsidP="00BE0B19">
                            <w:pPr>
                              <w:jc w:val="center"/>
                              <w:rPr>
                                <w:rFonts w:ascii="Arial" w:hAnsi="Arial" w:cs="Arial"/>
                                <w:b/>
                                <w:sz w:val="20"/>
                                <w:szCs w:val="20"/>
                              </w:rPr>
                            </w:pPr>
                            <w:r w:rsidRPr="005749A6">
                              <w:rPr>
                                <w:rFonts w:ascii="Arial" w:hAnsi="Arial" w:cs="Arial"/>
                                <w:b/>
                                <w:sz w:val="20"/>
                                <w:szCs w:val="20"/>
                              </w:rPr>
                              <w:t>Инспираторна, експираторна, булбарна слабост, сколиоза, абнормности на гръдната стена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3ABDD9" id="Text Box 93" o:spid="_x0000_s1153" type="#_x0000_t202" style="position:absolute;left:0;text-align:left;margin-left:3.35pt;margin-top:34.1pt;width:275.25pt;height:3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">
                <v:textbox>
                  <w:txbxContent>
                    <w:p w14:paraId="62AF44E9" w14:textId="77777777" w:rsidR="00471742" w:rsidRPr="005749A6" w:rsidRDefault="00471742" w:rsidP="00BE0B19">
                      <w:pPr>
                        <w:jc w:val="center"/>
                        <w:rPr>
                          <w:rFonts w:ascii="Arial" w:hAnsi="Arial" w:cs="Arial"/>
                          <w:b/>
                          <w:sz w:val="20"/>
                          <w:szCs w:val="20"/>
                        </w:rPr>
                      </w:pPr>
                      <w:r w:rsidRPr="005749A6">
                        <w:rPr>
                          <w:rFonts w:ascii="Arial" w:hAnsi="Arial" w:cs="Arial"/>
                          <w:b/>
                          <w:sz w:val="20"/>
                          <w:szCs w:val="20"/>
                        </w:rPr>
                        <w:t>Инспираторна, експираторна, булбарна слабост, сколиоза, абнормности на гръдната стена</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04320" behindDoc="0" locked="0" layoutInCell="1" allowOverlap="1" wp14:anchorId="5231CF2F" wp14:editId="5BE61716">
                <wp:simplePos x="0" y="0"/>
                <wp:positionH relativeFrom="column">
                  <wp:posOffset>-386080</wp:posOffset>
                </wp:positionH>
                <wp:positionV relativeFrom="paragraph">
                  <wp:posOffset>2280920</wp:posOffset>
                </wp:positionV>
                <wp:extent cx="1600200" cy="866775"/>
                <wp:effectExtent l="0" t="0" r="0" b="9525"/>
                <wp:wrapNone/>
                <wp:docPr id="55"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866775"/>
                        </a:xfrm>
                        <a:prstGeom prst="rect">
                          <a:avLst/>
                        </a:prstGeom>
                        <a:solidFill>
                          <a:srgbClr val="FFFFFF"/>
                        </a:solidFill>
                        <a:ln w="9525">
                          <a:solidFill>
                            <a:srgbClr val="000000"/>
                          </a:solidFill>
                          <a:miter lim="800000"/>
                          <a:headEnd/>
                          <a:tailEnd/>
                        </a:ln>
                      </wps:spPr>
                      <wps:txbx>
                        <w:txbxContent>
                          <w:p w14:paraId="78F38392" w14:textId="77777777" w:rsidR="00471742" w:rsidRPr="005749A6" w:rsidRDefault="00471742" w:rsidP="00BE0B19">
                            <w:pPr>
                              <w:spacing w:after="0"/>
                              <w:jc w:val="center"/>
                              <w:rPr>
                                <w:b/>
                              </w:rPr>
                            </w:pPr>
                            <w:r w:rsidRPr="005749A6">
                              <w:rPr>
                                <w:b/>
                              </w:rPr>
                              <w:t>Дихателни нарушения</w:t>
                            </w:r>
                            <w:r>
                              <w:rPr>
                                <w:b/>
                              </w:rPr>
                              <w:t xml:space="preserve"> </w:t>
                            </w:r>
                            <w:r w:rsidRPr="005749A6">
                              <w:rPr>
                                <w:b/>
                              </w:rPr>
                              <w:t xml:space="preserve">по време на </w:t>
                            </w:r>
                            <w:r w:rsidRPr="005749A6">
                              <w:rPr>
                                <w:b/>
                                <w:lang w:val="en-US"/>
                              </w:rPr>
                              <w:t>REM</w:t>
                            </w:r>
                            <w:r>
                              <w:rPr>
                                <w:b/>
                              </w:rPr>
                              <w:t xml:space="preserve"> и</w:t>
                            </w:r>
                            <w:r>
                              <w:rPr>
                                <w:b/>
                                <w:lang w:val="en-US"/>
                              </w:rPr>
                              <w:t xml:space="preserve"> NREM </w:t>
                            </w:r>
                            <w:r w:rsidRPr="005749A6">
                              <w:rPr>
                                <w:b/>
                              </w:rPr>
                              <w:t>съня</w:t>
                            </w:r>
                          </w:p>
                          <w:p w14:paraId="310B8295" w14:textId="77777777" w:rsidR="00471742" w:rsidRPr="005749A6" w:rsidRDefault="00471742" w:rsidP="00BE0B19">
                            <w:pPr>
                              <w:spacing w:after="0"/>
                              <w:jc w:val="center"/>
                              <w:rPr>
                                <w:b/>
                                <w:lang w:val="en-US"/>
                              </w:rPr>
                            </w:pPr>
                            <w:r w:rsidRPr="005749A6">
                              <w:rPr>
                                <w:b/>
                                <w:lang w:val="en-US"/>
                              </w:rPr>
                              <w:t>FVC&lt;</w:t>
                            </w:r>
                            <w:r>
                              <w:rPr>
                                <w:b/>
                              </w:rPr>
                              <w:t>4</w:t>
                            </w:r>
                            <w:r w:rsidRPr="005749A6">
                              <w:rPr>
                                <w:b/>
                                <w:lang w:val="en-US"/>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1CF2F" id="Text Box 98" o:spid="_x0000_s1154" type="#_x0000_t202" style="position:absolute;left:0;text-align:left;margin-left:-30.4pt;margin-top:179.6pt;width:126pt;height:68.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">
                <v:textbox>
                  <w:txbxContent>
                    <w:p w14:paraId="78F38392" w14:textId="77777777" w:rsidR="00471742" w:rsidRPr="005749A6" w:rsidRDefault="00471742" w:rsidP="00BE0B19">
                      <w:pPr>
                        <w:spacing w:after="0"/>
                        <w:jc w:val="center"/>
                        <w:rPr>
                          <w:b/>
                        </w:rPr>
                      </w:pPr>
                      <w:r w:rsidRPr="005749A6">
                        <w:rPr>
                          <w:b/>
                        </w:rPr>
                        <w:t>Дихателни нарушения</w:t>
                      </w:r>
                      <w:r>
                        <w:rPr>
                          <w:b/>
                        </w:rPr>
                        <w:t xml:space="preserve"> </w:t>
                      </w:r>
                      <w:r w:rsidRPr="005749A6">
                        <w:rPr>
                          <w:b/>
                        </w:rPr>
                        <w:t xml:space="preserve">по време на </w:t>
                      </w:r>
                      <w:r w:rsidRPr="005749A6">
                        <w:rPr>
                          <w:b/>
                          <w:lang w:val="en-US"/>
                        </w:rPr>
                        <w:t>REM</w:t>
                      </w:r>
                      <w:r>
                        <w:rPr>
                          <w:b/>
                        </w:rPr>
                        <w:t xml:space="preserve"> и</w:t>
                      </w:r>
                      <w:r>
                        <w:rPr>
                          <w:b/>
                          <w:lang w:val="en-US"/>
                        </w:rPr>
                        <w:t xml:space="preserve"> NREM </w:t>
                      </w:r>
                      <w:r w:rsidRPr="005749A6">
                        <w:rPr>
                          <w:b/>
                        </w:rPr>
                        <w:t>съня</w:t>
                      </w:r>
                    </w:p>
                    <w:p w14:paraId="310B8295" w14:textId="77777777" w:rsidR="00471742" w:rsidRPr="005749A6" w:rsidRDefault="00471742" w:rsidP="00BE0B19">
                      <w:pPr>
                        <w:spacing w:after="0"/>
                        <w:jc w:val="center"/>
                        <w:rPr>
                          <w:b/>
                          <w:lang w:val="en-US"/>
                        </w:rPr>
                      </w:pPr>
                      <w:r w:rsidRPr="005749A6">
                        <w:rPr>
                          <w:b/>
                          <w:lang w:val="en-US"/>
                        </w:rPr>
                        <w:t>FVC&lt;</w:t>
                      </w:r>
                      <w:r>
                        <w:rPr>
                          <w:b/>
                        </w:rPr>
                        <w:t>4</w:t>
                      </w:r>
                      <w:r w:rsidRPr="005749A6">
                        <w:rPr>
                          <w:b/>
                          <w:lang w:val="en-US"/>
                        </w:rPr>
                        <w:t>0%</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297" distR="114297" simplePos="0" relativeHeight="251705344" behindDoc="0" locked="0" layoutInCell="1" allowOverlap="1" wp14:anchorId="25109F1B" wp14:editId="09B488CF">
                <wp:simplePos x="0" y="0"/>
                <wp:positionH relativeFrom="column">
                  <wp:posOffset>404494</wp:posOffset>
                </wp:positionH>
                <wp:positionV relativeFrom="paragraph">
                  <wp:posOffset>1890395</wp:posOffset>
                </wp:positionV>
                <wp:extent cx="0" cy="390525"/>
                <wp:effectExtent l="76200" t="0" r="38100" b="28575"/>
                <wp:wrapNone/>
                <wp:docPr id="54"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39215F" id="AutoShape 99" o:spid="_x0000_s1026" type="#_x0000_t32" style="position:absolute;margin-left:31.85pt;margin-top:148.85pt;width:0;height:30.75pt;z-index:2517053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">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02272" behindDoc="0" locked="0" layoutInCell="1" allowOverlap="1" wp14:anchorId="6DF110F0" wp14:editId="5423B9AD">
                <wp:simplePos x="0" y="0"/>
                <wp:positionH relativeFrom="column">
                  <wp:posOffset>1785620</wp:posOffset>
                </wp:positionH>
                <wp:positionV relativeFrom="paragraph">
                  <wp:posOffset>1214120</wp:posOffset>
                </wp:positionV>
                <wp:extent cx="1381125" cy="838200"/>
                <wp:effectExtent l="0" t="0" r="9525" b="0"/>
                <wp:wrapNone/>
                <wp:docPr id="53"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838200"/>
                        </a:xfrm>
                        <a:prstGeom prst="rect">
                          <a:avLst/>
                        </a:prstGeom>
                        <a:solidFill>
                          <a:srgbClr val="FFFFFF"/>
                        </a:solidFill>
                        <a:ln w="9525">
                          <a:solidFill>
                            <a:srgbClr val="000000"/>
                          </a:solidFill>
                          <a:miter lim="800000"/>
                          <a:headEnd/>
                          <a:tailEnd/>
                        </a:ln>
                      </wps:spPr>
                      <wps:txbx>
                        <w:txbxContent>
                          <w:p w14:paraId="219D626D" w14:textId="77777777" w:rsidR="00471742" w:rsidRPr="005749A6" w:rsidRDefault="00471742" w:rsidP="00BE0B19">
                            <w:pPr>
                              <w:jc w:val="center"/>
                              <w:rPr>
                                <w:b/>
                                <w:lang w:val="en-US"/>
                              </w:rPr>
                            </w:pPr>
                            <w:r w:rsidRPr="005749A6">
                              <w:rPr>
                                <w:b/>
                              </w:rPr>
                              <w:t>Неефективно откашляне</w:t>
                            </w:r>
                            <w:r w:rsidRPr="005749A6">
                              <w:rPr>
                                <w:b/>
                                <w:lang w:val="en-US"/>
                              </w:rPr>
                              <w:t xml:space="preserve"> peak cough flow&lt;270/min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110F0" id="Text Box 96" o:spid="_x0000_s1155" type="#_x0000_t202" style="position:absolute;left:0;text-align:left;margin-left:140.6pt;margin-top:95.6pt;width:108.75pt;height:6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">
                <v:textbox>
                  <w:txbxContent>
                    <w:p w14:paraId="219D626D" w14:textId="77777777" w:rsidR="00471742" w:rsidRPr="005749A6" w:rsidRDefault="00471742" w:rsidP="00BE0B19">
                      <w:pPr>
                        <w:jc w:val="center"/>
                        <w:rPr>
                          <w:b/>
                          <w:lang w:val="en-US"/>
                        </w:rPr>
                      </w:pPr>
                      <w:r w:rsidRPr="005749A6">
                        <w:rPr>
                          <w:b/>
                        </w:rPr>
                        <w:t>Неефективно откашляне</w:t>
                      </w:r>
                      <w:r w:rsidRPr="005749A6">
                        <w:rPr>
                          <w:b/>
                          <w:lang w:val="en-US"/>
                        </w:rPr>
                        <w:t xml:space="preserve"> peak cough flow&lt;270/min</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03296" behindDoc="0" locked="0" layoutInCell="1" allowOverlap="1" wp14:anchorId="799710AA" wp14:editId="33673C66">
                <wp:simplePos x="0" y="0"/>
                <wp:positionH relativeFrom="column">
                  <wp:posOffset>-386080</wp:posOffset>
                </wp:positionH>
                <wp:positionV relativeFrom="paragraph">
                  <wp:posOffset>1214120</wp:posOffset>
                </wp:positionV>
                <wp:extent cx="1600200" cy="647700"/>
                <wp:effectExtent l="0" t="0" r="0" b="0"/>
                <wp:wrapNone/>
                <wp:docPr id="52"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647700"/>
                        </a:xfrm>
                        <a:prstGeom prst="rect">
                          <a:avLst/>
                        </a:prstGeom>
                        <a:solidFill>
                          <a:srgbClr val="FFFFFF"/>
                        </a:solidFill>
                        <a:ln w="9525">
                          <a:solidFill>
                            <a:srgbClr val="000000"/>
                          </a:solidFill>
                          <a:miter lim="800000"/>
                          <a:headEnd/>
                          <a:tailEnd/>
                        </a:ln>
                      </wps:spPr>
                      <wps:txbx>
                        <w:txbxContent>
                          <w:p w14:paraId="2DD5B056" w14:textId="77777777" w:rsidR="00471742" w:rsidRPr="005749A6" w:rsidRDefault="00471742" w:rsidP="00BE0B19">
                            <w:pPr>
                              <w:spacing w:after="0"/>
                              <w:jc w:val="center"/>
                              <w:rPr>
                                <w:b/>
                              </w:rPr>
                            </w:pPr>
                            <w:r w:rsidRPr="005749A6">
                              <w:rPr>
                                <w:b/>
                              </w:rPr>
                              <w:t>Дихателни нарушения</w:t>
                            </w:r>
                            <w:r>
                              <w:rPr>
                                <w:b/>
                              </w:rPr>
                              <w:t xml:space="preserve"> </w:t>
                            </w:r>
                            <w:r w:rsidRPr="005749A6">
                              <w:rPr>
                                <w:b/>
                              </w:rPr>
                              <w:t xml:space="preserve">по време на </w:t>
                            </w:r>
                            <w:r w:rsidRPr="005749A6">
                              <w:rPr>
                                <w:b/>
                                <w:lang w:val="en-US"/>
                              </w:rPr>
                              <w:t>REM</w:t>
                            </w:r>
                            <w:r w:rsidRPr="005749A6">
                              <w:rPr>
                                <w:b/>
                              </w:rPr>
                              <w:t xml:space="preserve"> съня</w:t>
                            </w:r>
                          </w:p>
                          <w:p w14:paraId="79DAAAAE" w14:textId="77777777" w:rsidR="00471742" w:rsidRPr="005749A6" w:rsidRDefault="00471742" w:rsidP="00BE0B19">
                            <w:pPr>
                              <w:spacing w:after="0"/>
                              <w:jc w:val="center"/>
                              <w:rPr>
                                <w:b/>
                                <w:lang w:val="en-US"/>
                              </w:rPr>
                            </w:pPr>
                            <w:r w:rsidRPr="005749A6">
                              <w:rPr>
                                <w:b/>
                                <w:lang w:val="en-US"/>
                              </w:rPr>
                              <w:t>FVC&lt;60%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710AA" id="Text Box 97" o:spid="_x0000_s1156" type="#_x0000_t202" style="position:absolute;left:0;text-align:left;margin-left:-30.4pt;margin-top:95.6pt;width:126pt;height:5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">
                <v:textbox>
                  <w:txbxContent>
                    <w:p w14:paraId="2DD5B056" w14:textId="77777777" w:rsidR="00471742" w:rsidRPr="005749A6" w:rsidRDefault="00471742" w:rsidP="00BE0B19">
                      <w:pPr>
                        <w:spacing w:after="0"/>
                        <w:jc w:val="center"/>
                        <w:rPr>
                          <w:b/>
                        </w:rPr>
                      </w:pPr>
                      <w:r w:rsidRPr="005749A6">
                        <w:rPr>
                          <w:b/>
                        </w:rPr>
                        <w:t>Дихателни нарушения</w:t>
                      </w:r>
                      <w:r>
                        <w:rPr>
                          <w:b/>
                        </w:rPr>
                        <w:t xml:space="preserve"> </w:t>
                      </w:r>
                      <w:r w:rsidRPr="005749A6">
                        <w:rPr>
                          <w:b/>
                        </w:rPr>
                        <w:t xml:space="preserve">по време на </w:t>
                      </w:r>
                      <w:r w:rsidRPr="005749A6">
                        <w:rPr>
                          <w:b/>
                          <w:lang w:val="en-US"/>
                        </w:rPr>
                        <w:t>REM</w:t>
                      </w:r>
                      <w:r w:rsidRPr="005749A6">
                        <w:rPr>
                          <w:b/>
                        </w:rPr>
                        <w:t xml:space="preserve"> съня</w:t>
                      </w:r>
                    </w:p>
                    <w:p w14:paraId="79DAAAAE" w14:textId="77777777" w:rsidR="00471742" w:rsidRPr="005749A6" w:rsidRDefault="00471742" w:rsidP="00BE0B19">
                      <w:pPr>
                        <w:spacing w:after="0"/>
                        <w:jc w:val="center"/>
                        <w:rPr>
                          <w:b/>
                          <w:lang w:val="en-US"/>
                        </w:rPr>
                      </w:pPr>
                      <w:r w:rsidRPr="005749A6">
                        <w:rPr>
                          <w:b/>
                          <w:lang w:val="en-US"/>
                        </w:rPr>
                        <w:t>FVC&lt;60%</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01248" behindDoc="0" locked="0" layoutInCell="1" allowOverlap="1" wp14:anchorId="1A84EB99" wp14:editId="784F1E8D">
                <wp:simplePos x="0" y="0"/>
                <wp:positionH relativeFrom="column">
                  <wp:posOffset>1785620</wp:posOffset>
                </wp:positionH>
                <wp:positionV relativeFrom="paragraph">
                  <wp:posOffset>871220</wp:posOffset>
                </wp:positionV>
                <wp:extent cx="495300" cy="342900"/>
                <wp:effectExtent l="0" t="0" r="38100" b="38100"/>
                <wp:wrapNone/>
                <wp:docPr id="51"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FC0B30" id="AutoShape 95" o:spid="_x0000_s1026" type="#_x0000_t32" style="position:absolute;margin-left:140.6pt;margin-top:68.6pt;width:39pt;height:2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">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00224" behindDoc="0" locked="0" layoutInCell="1" allowOverlap="1" wp14:anchorId="0E53FC7D" wp14:editId="470A053A">
                <wp:simplePos x="0" y="0"/>
                <wp:positionH relativeFrom="column">
                  <wp:posOffset>404495</wp:posOffset>
                </wp:positionH>
                <wp:positionV relativeFrom="paragraph">
                  <wp:posOffset>871220</wp:posOffset>
                </wp:positionV>
                <wp:extent cx="495300" cy="342900"/>
                <wp:effectExtent l="38100" t="0" r="0" b="38100"/>
                <wp:wrapNone/>
                <wp:docPr id="50"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FF863D" id="AutoShape 94" o:spid="_x0000_s1026" type="#_x0000_t32" style="position:absolute;margin-left:31.85pt;margin-top:68.6pt;width:39pt;height:27pt;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">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297" distR="114297" simplePos="0" relativeHeight="251698176" behindDoc="0" locked="0" layoutInCell="1" allowOverlap="1" wp14:anchorId="6677564A" wp14:editId="0B363505">
                <wp:simplePos x="0" y="0"/>
                <wp:positionH relativeFrom="column">
                  <wp:posOffset>1033144</wp:posOffset>
                </wp:positionH>
                <wp:positionV relativeFrom="paragraph">
                  <wp:posOffset>213995</wp:posOffset>
                </wp:positionV>
                <wp:extent cx="0" cy="219075"/>
                <wp:effectExtent l="76200" t="0" r="38100" b="28575"/>
                <wp:wrapNone/>
                <wp:docPr id="49"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5C4BEC" id="AutoShape 92" o:spid="_x0000_s1026" type="#_x0000_t32" style="position:absolute;margin-left:81.35pt;margin-top:16.85pt;width:0;height:17.25pt;z-index:2516981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">
                <v:stroke endarrow="block"/>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697152" behindDoc="0" locked="0" layoutInCell="1" allowOverlap="1" wp14:anchorId="399CB604" wp14:editId="4BFF8FF1">
                <wp:simplePos x="0" y="0"/>
                <wp:positionH relativeFrom="column">
                  <wp:posOffset>42545</wp:posOffset>
                </wp:positionH>
                <wp:positionV relativeFrom="paragraph">
                  <wp:posOffset>-62230</wp:posOffset>
                </wp:positionV>
                <wp:extent cx="1952625" cy="276225"/>
                <wp:effectExtent l="0" t="0" r="9525" b="9525"/>
                <wp:wrapNone/>
                <wp:docPr id="48"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276225"/>
                        </a:xfrm>
                        <a:prstGeom prst="rect">
                          <a:avLst/>
                        </a:prstGeom>
                        <a:solidFill>
                          <a:srgbClr val="FFFFFF"/>
                        </a:solidFill>
                        <a:ln w="9525">
                          <a:solidFill>
                            <a:srgbClr val="000000"/>
                          </a:solidFill>
                          <a:miter lim="800000"/>
                          <a:headEnd/>
                          <a:tailEnd/>
                        </a:ln>
                      </wps:spPr>
                      <wps:txbx>
                        <w:txbxContent>
                          <w:p w14:paraId="54D2D470" w14:textId="77777777" w:rsidR="00471742" w:rsidRPr="005749A6" w:rsidRDefault="00471742" w:rsidP="00BE0B19">
                            <w:pPr>
                              <w:jc w:val="center"/>
                              <w:rPr>
                                <w:rFonts w:ascii="Arial" w:hAnsi="Arial" w:cs="Arial"/>
                                <w:b/>
                                <w:sz w:val="20"/>
                                <w:szCs w:val="20"/>
                              </w:rPr>
                            </w:pPr>
                            <w:r w:rsidRPr="005749A6">
                              <w:rPr>
                                <w:rFonts w:ascii="Arial" w:hAnsi="Arial" w:cs="Arial"/>
                                <w:b/>
                                <w:sz w:val="20"/>
                                <w:szCs w:val="20"/>
                              </w:rPr>
                              <w:t>Клинична оценка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CB604" id="Text Box 91" o:spid="_x0000_s1157" type="#_x0000_t202" style="position:absolute;left:0;text-align:left;margin-left:3.35pt;margin-top:-4.9pt;width:153.75pt;height:21.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">
                <v:textbox>
                  <w:txbxContent>
                    <w:p w14:paraId="54D2D470" w14:textId="77777777" w:rsidR="00471742" w:rsidRPr="005749A6" w:rsidRDefault="00471742" w:rsidP="00BE0B19">
                      <w:pPr>
                        <w:jc w:val="center"/>
                        <w:rPr>
                          <w:rFonts w:ascii="Arial" w:hAnsi="Arial" w:cs="Arial"/>
                          <w:b/>
                          <w:sz w:val="20"/>
                          <w:szCs w:val="20"/>
                        </w:rPr>
                      </w:pPr>
                      <w:r w:rsidRPr="005749A6">
                        <w:rPr>
                          <w:rFonts w:ascii="Arial" w:hAnsi="Arial" w:cs="Arial"/>
                          <w:b/>
                          <w:sz w:val="20"/>
                          <w:szCs w:val="20"/>
                        </w:rPr>
                        <w:t>Клинична оценка</w:t>
                      </w:r>
                    </w:p>
                  </w:txbxContent>
                </v:textbox>
              </v:shape>
            </w:pict>
          </mc:Fallback>
        </mc:AlternateContent>
      </w:r>
      <w:r w:rsidRPr="00AE47C6">
        <w:rPr>
          <w:rFonts w:ascii="Times New Roman" w:eastAsia="SimSun" w:hAnsi="Times New Roman"/>
          <w:sz w:val="24"/>
          <w:szCs w:val="24"/>
        </w:rPr>
        <w:tab/>
      </w:r>
    </w:p>
    <w:p w14:paraId="42C81158" w14:textId="77777777" w:rsidR="00BE0B19" w:rsidRPr="00AE47C6" w:rsidRDefault="00BE0B19" w:rsidP="00BE0B19">
      <w:pPr>
        <w:spacing w:after="0" w:line="360" w:lineRule="auto"/>
        <w:jc w:val="both"/>
        <w:rPr>
          <w:rFonts w:ascii="Times New Roman" w:eastAsia="SimSun" w:hAnsi="Times New Roman"/>
          <w:sz w:val="24"/>
          <w:szCs w:val="24"/>
        </w:rPr>
      </w:pPr>
    </w:p>
    <w:p w14:paraId="104E3AA2" w14:textId="77777777" w:rsidR="00BE0B19" w:rsidRPr="00AE47C6" w:rsidRDefault="00BE0B19" w:rsidP="00BE0B19">
      <w:pPr>
        <w:spacing w:after="0" w:line="360" w:lineRule="auto"/>
        <w:jc w:val="both"/>
        <w:rPr>
          <w:rFonts w:ascii="Times New Roman" w:eastAsia="SimSun" w:hAnsi="Times New Roman"/>
          <w:sz w:val="24"/>
          <w:szCs w:val="24"/>
        </w:rPr>
      </w:pPr>
    </w:p>
    <w:p w14:paraId="242C0E47" w14:textId="77777777" w:rsidR="00BE0B19" w:rsidRPr="00AE47C6" w:rsidRDefault="00BE0B19" w:rsidP="00BE0B19">
      <w:pPr>
        <w:spacing w:after="0" w:line="360" w:lineRule="auto"/>
        <w:jc w:val="both"/>
        <w:rPr>
          <w:rFonts w:ascii="Times New Roman" w:eastAsia="SimSun" w:hAnsi="Times New Roman"/>
          <w:sz w:val="24"/>
          <w:szCs w:val="24"/>
        </w:rPr>
      </w:pPr>
    </w:p>
    <w:p w14:paraId="492C80D3" w14:textId="77777777" w:rsidR="00BE0B19" w:rsidRPr="00AE47C6" w:rsidRDefault="00BE0B19" w:rsidP="00BE0B19">
      <w:pPr>
        <w:spacing w:after="0" w:line="360" w:lineRule="auto"/>
        <w:jc w:val="both"/>
        <w:rPr>
          <w:rFonts w:ascii="Times New Roman" w:eastAsia="SimSun" w:hAnsi="Times New Roman"/>
          <w:sz w:val="24"/>
          <w:szCs w:val="24"/>
        </w:rPr>
      </w:pPr>
    </w:p>
    <w:p w14:paraId="4B56FFFC" w14:textId="77777777" w:rsidR="00BE0B19" w:rsidRPr="00AE47C6" w:rsidRDefault="00BE0B19" w:rsidP="00BE0B19">
      <w:pPr>
        <w:spacing w:after="0" w:line="360" w:lineRule="auto"/>
        <w:jc w:val="both"/>
        <w:rPr>
          <w:rFonts w:ascii="Times New Roman" w:eastAsia="SimSun" w:hAnsi="Times New Roman"/>
          <w:sz w:val="24"/>
          <w:szCs w:val="24"/>
        </w:rPr>
      </w:pPr>
    </w:p>
    <w:p w14:paraId="63A73E83" w14:textId="77777777" w:rsidR="00BE0B19" w:rsidRPr="00AE47C6" w:rsidRDefault="00BE0B19" w:rsidP="00BE0B19">
      <w:pPr>
        <w:spacing w:after="0" w:line="360" w:lineRule="auto"/>
        <w:jc w:val="both"/>
        <w:rPr>
          <w:rFonts w:ascii="Times New Roman" w:eastAsia="SimSun" w:hAnsi="Times New Roman"/>
          <w:sz w:val="24"/>
          <w:szCs w:val="24"/>
        </w:rPr>
      </w:pPr>
    </w:p>
    <w:p w14:paraId="22160ADF" w14:textId="77777777" w:rsidR="00BE0B19" w:rsidRPr="00AE47C6" w:rsidRDefault="00BE0B19" w:rsidP="00BE0B19">
      <w:pPr>
        <w:spacing w:after="0" w:line="360" w:lineRule="auto"/>
        <w:jc w:val="both"/>
        <w:rPr>
          <w:rFonts w:ascii="Times New Roman" w:eastAsia="SimSun" w:hAnsi="Times New Roman"/>
          <w:sz w:val="24"/>
          <w:szCs w:val="24"/>
        </w:rPr>
      </w:pPr>
    </w:p>
    <w:p w14:paraId="42ABDA56" w14:textId="77777777" w:rsidR="00BE0B19" w:rsidRPr="00AE47C6" w:rsidRDefault="00BE0B19" w:rsidP="00BE0B19">
      <w:pPr>
        <w:spacing w:after="0" w:line="360" w:lineRule="auto"/>
        <w:jc w:val="both"/>
        <w:rPr>
          <w:rFonts w:ascii="Times New Roman" w:eastAsia="SimSun" w:hAnsi="Times New Roman"/>
          <w:sz w:val="24"/>
          <w:szCs w:val="24"/>
        </w:rPr>
      </w:pPr>
    </w:p>
    <w:p w14:paraId="55E40077" w14:textId="77777777" w:rsidR="00BE0B19" w:rsidRPr="00AE47C6" w:rsidRDefault="00BE0B19" w:rsidP="00BE0B19">
      <w:pPr>
        <w:spacing w:after="0" w:line="360" w:lineRule="auto"/>
        <w:jc w:val="both"/>
        <w:rPr>
          <w:rFonts w:ascii="Times New Roman" w:eastAsia="SimSun" w:hAnsi="Times New Roman"/>
          <w:sz w:val="24"/>
          <w:szCs w:val="24"/>
        </w:rPr>
      </w:pPr>
    </w:p>
    <w:p w14:paraId="26F2AC4D" w14:textId="77777777" w:rsidR="00BE0B19" w:rsidRPr="00AE47C6" w:rsidRDefault="00BE0B19" w:rsidP="00BE0B19">
      <w:pPr>
        <w:spacing w:after="0" w:line="360" w:lineRule="auto"/>
        <w:jc w:val="both"/>
        <w:rPr>
          <w:rFonts w:ascii="Times New Roman" w:eastAsia="SimSun" w:hAnsi="Times New Roman"/>
          <w:sz w:val="24"/>
          <w:szCs w:val="24"/>
        </w:rPr>
      </w:pPr>
    </w:p>
    <w:p w14:paraId="46C8BBFF" w14:textId="77777777" w:rsidR="00BE0B19" w:rsidRPr="00AE47C6" w:rsidRDefault="00BE0B19" w:rsidP="00BE0B19">
      <w:pPr>
        <w:spacing w:after="0" w:line="360" w:lineRule="auto"/>
        <w:jc w:val="both"/>
        <w:rPr>
          <w:rFonts w:ascii="Times New Roman" w:eastAsia="SimSun" w:hAnsi="Times New Roman"/>
          <w:sz w:val="24"/>
          <w:szCs w:val="24"/>
        </w:rPr>
      </w:pPr>
    </w:p>
    <w:p w14:paraId="1DE0FE0E" w14:textId="77777777" w:rsidR="00BE0B19" w:rsidRPr="00AE47C6" w:rsidRDefault="00BE0B19" w:rsidP="00BE0B19">
      <w:pPr>
        <w:spacing w:after="0" w:line="360" w:lineRule="auto"/>
        <w:jc w:val="both"/>
        <w:rPr>
          <w:rFonts w:ascii="Times New Roman" w:eastAsia="SimSun" w:hAnsi="Times New Roman"/>
          <w:sz w:val="24"/>
          <w:szCs w:val="24"/>
        </w:rPr>
      </w:pPr>
    </w:p>
    <w:p w14:paraId="5B7F1F73" w14:textId="77777777" w:rsidR="00BE0B19" w:rsidRPr="00AE47C6" w:rsidRDefault="00BE0B19" w:rsidP="00BE0B19">
      <w:pPr>
        <w:spacing w:after="0" w:line="360" w:lineRule="auto"/>
        <w:jc w:val="both"/>
        <w:rPr>
          <w:rFonts w:ascii="Times New Roman" w:eastAsia="SimSun" w:hAnsi="Times New Roman"/>
          <w:sz w:val="24"/>
          <w:szCs w:val="24"/>
        </w:rPr>
      </w:pPr>
    </w:p>
    <w:p w14:paraId="36E659BE" w14:textId="77777777" w:rsidR="00BE0B19" w:rsidRPr="00AE47C6" w:rsidRDefault="00BE0B19" w:rsidP="00BE0B19">
      <w:pPr>
        <w:spacing w:after="0" w:line="360" w:lineRule="auto"/>
        <w:jc w:val="both"/>
        <w:rPr>
          <w:rFonts w:ascii="Times New Roman" w:eastAsia="SimSun" w:hAnsi="Times New Roman"/>
          <w:sz w:val="24"/>
          <w:szCs w:val="24"/>
        </w:rPr>
      </w:pPr>
    </w:p>
    <w:p w14:paraId="3E0D9521" w14:textId="77777777" w:rsidR="00BE0B19" w:rsidRPr="00AE47C6" w:rsidRDefault="00BE0B19" w:rsidP="00BE0B19">
      <w:pPr>
        <w:spacing w:after="0" w:line="360" w:lineRule="auto"/>
        <w:jc w:val="both"/>
        <w:rPr>
          <w:rFonts w:ascii="Times New Roman" w:eastAsia="SimSun" w:hAnsi="Times New Roman"/>
          <w:sz w:val="24"/>
          <w:szCs w:val="24"/>
        </w:rPr>
      </w:pPr>
    </w:p>
    <w:p w14:paraId="2A1EFB4A" w14:textId="77777777" w:rsidR="00BE0B19" w:rsidRPr="00AE47C6" w:rsidRDefault="00BE0B19" w:rsidP="00BE0B19">
      <w:pPr>
        <w:spacing w:after="0" w:line="360" w:lineRule="auto"/>
        <w:jc w:val="both"/>
        <w:rPr>
          <w:rFonts w:ascii="Times New Roman" w:eastAsia="SimSun" w:hAnsi="Times New Roman"/>
          <w:sz w:val="24"/>
          <w:szCs w:val="24"/>
        </w:rPr>
      </w:pPr>
    </w:p>
    <w:p w14:paraId="019B19BB" w14:textId="77777777" w:rsidR="00BE0B19" w:rsidRPr="00AE47C6" w:rsidRDefault="00BE0B19" w:rsidP="00BE0B19">
      <w:pPr>
        <w:spacing w:after="0" w:line="360" w:lineRule="auto"/>
        <w:jc w:val="both"/>
        <w:rPr>
          <w:rFonts w:ascii="Times New Roman" w:eastAsia="SimSun" w:hAnsi="Times New Roman"/>
          <w:sz w:val="24"/>
          <w:szCs w:val="24"/>
        </w:rPr>
      </w:pPr>
    </w:p>
    <w:p w14:paraId="3636D83A" w14:textId="77777777" w:rsidR="00BE0B19" w:rsidRPr="00AE47C6" w:rsidRDefault="00BE0B19" w:rsidP="00BE0B19">
      <w:pPr>
        <w:spacing w:after="0" w:line="360" w:lineRule="auto"/>
        <w:jc w:val="both"/>
        <w:rPr>
          <w:rFonts w:ascii="Times New Roman" w:eastAsia="SimSun" w:hAnsi="Times New Roman"/>
          <w:sz w:val="24"/>
          <w:szCs w:val="24"/>
        </w:rPr>
      </w:pPr>
    </w:p>
    <w:p w14:paraId="7111F2E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Фигура 9.5</w:t>
      </w:r>
      <w:r w:rsidRPr="00AE47C6">
        <w:rPr>
          <w:rFonts w:ascii="Times New Roman" w:eastAsia="SimSun" w:hAnsi="Times New Roman"/>
          <w:sz w:val="24"/>
          <w:szCs w:val="24"/>
        </w:rPr>
        <w:t>. Клиничен алгоритъм за диагностика и дихателни грижи при пациенти със СМА.</w:t>
      </w:r>
    </w:p>
    <w:p w14:paraId="589F5D74" w14:textId="77777777" w:rsidR="00BE0B19" w:rsidRPr="00AE47C6" w:rsidRDefault="00BE0B19" w:rsidP="00BE0B19">
      <w:pPr>
        <w:spacing w:after="0" w:line="360" w:lineRule="auto"/>
        <w:jc w:val="both"/>
        <w:rPr>
          <w:rFonts w:ascii="Times New Roman" w:eastAsia="SimSun" w:hAnsi="Times New Roman"/>
          <w:sz w:val="24"/>
          <w:szCs w:val="24"/>
        </w:rPr>
      </w:pPr>
    </w:p>
    <w:p w14:paraId="74D12280"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Спешни състояния при пациенти със СМА</w:t>
      </w:r>
    </w:p>
    <w:p w14:paraId="16256FE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Рекурентни инфекции могат да влошат състоянието на болните със СМА и да наложат спешна хоспитализация с последващо възстановяване проходимостта на дихателните пътища, неинвазивна или инвазивна вентилация и кислородотерапия. Кислородната суплементация не бива да се прилага емпирично без мониториране на обмена на CO</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и не трябва да се прилага като алтернатива на вентилацията с позитивно налягане. В зависимост от състоянието на болния се прилагат антибиотици, парентерално хранене, възстановяване на водно-електролитния баланс.</w:t>
      </w:r>
    </w:p>
    <w:p w14:paraId="3542BDD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На таблица 9.6 са представени редки форми на проксимална не5q СМА, които влизат в диференциалната диагноза на спиналните мускулни атрофии.</w:t>
      </w:r>
    </w:p>
    <w:p w14:paraId="5C7ADC64"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Таблица 9.6. Генетични причини и клинични характеристики на не5q спинални мускулни атрофии.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1270"/>
        <w:gridCol w:w="1113"/>
        <w:gridCol w:w="2515"/>
        <w:gridCol w:w="3260"/>
      </w:tblGrid>
      <w:tr w:rsidR="00BE0B19" w:rsidRPr="00AE47C6" w14:paraId="597A3E49" w14:textId="77777777" w:rsidTr="00AD72E5">
        <w:trPr>
          <w:trHeight w:val="574"/>
        </w:trPr>
        <w:tc>
          <w:tcPr>
            <w:tcW w:w="1589" w:type="dxa"/>
            <w:tcBorders>
              <w:top w:val="single" w:sz="4" w:space="0" w:color="auto"/>
              <w:left w:val="single" w:sz="4" w:space="0" w:color="auto"/>
              <w:bottom w:val="single" w:sz="4" w:space="0" w:color="auto"/>
              <w:right w:val="single" w:sz="4" w:space="0" w:color="auto"/>
            </w:tcBorders>
            <w:vAlign w:val="center"/>
            <w:hideMark/>
          </w:tcPr>
          <w:p w14:paraId="7065D3FF"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(OMIM)</w:t>
            </w:r>
          </w:p>
        </w:tc>
        <w:tc>
          <w:tcPr>
            <w:tcW w:w="1270" w:type="dxa"/>
            <w:tcBorders>
              <w:top w:val="single" w:sz="4" w:space="0" w:color="auto"/>
              <w:left w:val="single" w:sz="4" w:space="0" w:color="auto"/>
              <w:bottom w:val="single" w:sz="4" w:space="0" w:color="auto"/>
              <w:right w:val="single" w:sz="4" w:space="0" w:color="auto"/>
            </w:tcBorders>
            <w:vAlign w:val="center"/>
            <w:hideMark/>
          </w:tcPr>
          <w:p w14:paraId="0D82DE84"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Ген</w:t>
            </w:r>
          </w:p>
        </w:tc>
        <w:tc>
          <w:tcPr>
            <w:tcW w:w="1113" w:type="dxa"/>
            <w:tcBorders>
              <w:top w:val="single" w:sz="4" w:space="0" w:color="auto"/>
              <w:left w:val="single" w:sz="4" w:space="0" w:color="auto"/>
              <w:bottom w:val="single" w:sz="4" w:space="0" w:color="auto"/>
              <w:right w:val="single" w:sz="4" w:space="0" w:color="auto"/>
            </w:tcBorders>
            <w:vAlign w:val="center"/>
            <w:hideMark/>
          </w:tcPr>
          <w:p w14:paraId="709F319C"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Локус</w:t>
            </w:r>
          </w:p>
        </w:tc>
        <w:tc>
          <w:tcPr>
            <w:tcW w:w="2515" w:type="dxa"/>
            <w:tcBorders>
              <w:top w:val="single" w:sz="4" w:space="0" w:color="auto"/>
              <w:left w:val="single" w:sz="4" w:space="0" w:color="auto"/>
              <w:bottom w:val="single" w:sz="4" w:space="0" w:color="auto"/>
              <w:right w:val="single" w:sz="4" w:space="0" w:color="auto"/>
            </w:tcBorders>
            <w:vAlign w:val="center"/>
            <w:hideMark/>
          </w:tcPr>
          <w:p w14:paraId="263F2EB3" w14:textId="77777777" w:rsidR="00BE0B19" w:rsidRPr="00AE47C6" w:rsidRDefault="00BE0B19" w:rsidP="00BE0B19">
            <w:pPr>
              <w:spacing w:after="0" w:line="360" w:lineRule="auto"/>
              <w:ind w:firstLine="139"/>
              <w:jc w:val="both"/>
              <w:rPr>
                <w:rFonts w:ascii="Times New Roman" w:eastAsia="SimSun" w:hAnsi="Times New Roman"/>
                <w:b/>
                <w:sz w:val="24"/>
                <w:szCs w:val="24"/>
              </w:rPr>
            </w:pPr>
            <w:r w:rsidRPr="00AE47C6">
              <w:rPr>
                <w:rFonts w:ascii="Times New Roman" w:eastAsia="SimSun" w:hAnsi="Times New Roman"/>
                <w:b/>
                <w:sz w:val="24"/>
                <w:szCs w:val="24"/>
              </w:rPr>
              <w:t>Фенотип</w:t>
            </w:r>
          </w:p>
        </w:tc>
        <w:tc>
          <w:tcPr>
            <w:tcW w:w="3260" w:type="dxa"/>
            <w:tcBorders>
              <w:top w:val="single" w:sz="4" w:space="0" w:color="auto"/>
              <w:left w:val="single" w:sz="4" w:space="0" w:color="auto"/>
              <w:bottom w:val="single" w:sz="4" w:space="0" w:color="auto"/>
              <w:right w:val="single" w:sz="4" w:space="0" w:color="auto"/>
            </w:tcBorders>
            <w:hideMark/>
          </w:tcPr>
          <w:p w14:paraId="60EF5AC6" w14:textId="77777777" w:rsidR="00BE0B19" w:rsidRPr="00AE47C6" w:rsidRDefault="00BE0B19" w:rsidP="00BE0B19">
            <w:pPr>
              <w:spacing w:after="0" w:line="360" w:lineRule="auto"/>
              <w:ind w:firstLine="34"/>
              <w:jc w:val="both"/>
              <w:rPr>
                <w:rFonts w:ascii="Times New Roman" w:eastAsia="SimSun" w:hAnsi="Times New Roman"/>
                <w:b/>
                <w:sz w:val="24"/>
                <w:szCs w:val="24"/>
              </w:rPr>
            </w:pPr>
            <w:r w:rsidRPr="00AE47C6">
              <w:rPr>
                <w:rFonts w:ascii="Times New Roman" w:eastAsia="SimSun" w:hAnsi="Times New Roman"/>
                <w:b/>
                <w:sz w:val="24"/>
                <w:szCs w:val="24"/>
              </w:rPr>
              <w:t>Клинични симптоми</w:t>
            </w:r>
          </w:p>
        </w:tc>
      </w:tr>
      <w:tr w:rsidR="00BE0B19" w:rsidRPr="00AE47C6" w14:paraId="63707C16" w14:textId="77777777" w:rsidTr="00AD72E5">
        <w:trPr>
          <w:trHeight w:val="297"/>
        </w:trPr>
        <w:tc>
          <w:tcPr>
            <w:tcW w:w="6487" w:type="dxa"/>
            <w:gridSpan w:val="4"/>
            <w:tcBorders>
              <w:top w:val="single" w:sz="4" w:space="0" w:color="auto"/>
              <w:left w:val="single" w:sz="4" w:space="0" w:color="auto"/>
              <w:bottom w:val="single" w:sz="4" w:space="0" w:color="auto"/>
              <w:right w:val="single" w:sz="4" w:space="0" w:color="auto"/>
            </w:tcBorders>
            <w:vAlign w:val="center"/>
            <w:hideMark/>
          </w:tcPr>
          <w:p w14:paraId="41B466FD" w14:textId="77777777" w:rsidR="00BE0B19" w:rsidRPr="00AE47C6" w:rsidRDefault="00BE0B19" w:rsidP="00BE0B19">
            <w:pPr>
              <w:spacing w:after="0" w:line="360" w:lineRule="auto"/>
              <w:ind w:firstLine="139"/>
              <w:jc w:val="both"/>
              <w:rPr>
                <w:rFonts w:ascii="Times New Roman" w:eastAsia="SimSun" w:hAnsi="Times New Roman"/>
                <w:b/>
                <w:i/>
                <w:sz w:val="24"/>
                <w:szCs w:val="24"/>
              </w:rPr>
            </w:pPr>
            <w:r w:rsidRPr="00AE47C6">
              <w:rPr>
                <w:rFonts w:ascii="Times New Roman" w:eastAsia="SimSun" w:hAnsi="Times New Roman"/>
                <w:b/>
                <w:sz w:val="24"/>
                <w:szCs w:val="24"/>
              </w:rPr>
              <w:t>АВТОЗОМНО-ДОМИНАНТНИ</w:t>
            </w:r>
          </w:p>
        </w:tc>
        <w:tc>
          <w:tcPr>
            <w:tcW w:w="3260" w:type="dxa"/>
            <w:tcBorders>
              <w:top w:val="single" w:sz="4" w:space="0" w:color="auto"/>
              <w:left w:val="single" w:sz="4" w:space="0" w:color="auto"/>
              <w:bottom w:val="single" w:sz="4" w:space="0" w:color="auto"/>
              <w:right w:val="single" w:sz="4" w:space="0" w:color="auto"/>
            </w:tcBorders>
            <w:vAlign w:val="center"/>
          </w:tcPr>
          <w:p w14:paraId="40DFC40A" w14:textId="77777777" w:rsidR="00BE0B19" w:rsidRPr="00AE47C6" w:rsidRDefault="00BE0B19" w:rsidP="00BE0B19">
            <w:pPr>
              <w:spacing w:after="0" w:line="360" w:lineRule="auto"/>
              <w:ind w:firstLine="34"/>
              <w:jc w:val="both"/>
              <w:rPr>
                <w:rFonts w:ascii="Times New Roman" w:eastAsia="SimSun" w:hAnsi="Times New Roman"/>
                <w:b/>
                <w:i/>
                <w:sz w:val="24"/>
                <w:szCs w:val="24"/>
              </w:rPr>
            </w:pPr>
          </w:p>
        </w:tc>
      </w:tr>
      <w:tr w:rsidR="00BE0B19" w:rsidRPr="00AE47C6" w14:paraId="7F78D7FE" w14:textId="77777777" w:rsidTr="00AD72E5">
        <w:trPr>
          <w:trHeight w:val="297"/>
        </w:trPr>
        <w:tc>
          <w:tcPr>
            <w:tcW w:w="6487" w:type="dxa"/>
            <w:gridSpan w:val="4"/>
            <w:tcBorders>
              <w:top w:val="single" w:sz="4" w:space="0" w:color="auto"/>
              <w:left w:val="single" w:sz="4" w:space="0" w:color="auto"/>
              <w:bottom w:val="single" w:sz="4" w:space="0" w:color="auto"/>
              <w:right w:val="single" w:sz="4" w:space="0" w:color="auto"/>
            </w:tcBorders>
            <w:vAlign w:val="center"/>
            <w:hideMark/>
          </w:tcPr>
          <w:p w14:paraId="6D554AA1" w14:textId="77777777" w:rsidR="00BE0B19" w:rsidRPr="00AE47C6" w:rsidRDefault="00BE0B19" w:rsidP="00BE0B19">
            <w:pPr>
              <w:spacing w:after="0" w:line="360" w:lineRule="auto"/>
              <w:ind w:firstLine="139"/>
              <w:jc w:val="both"/>
              <w:rPr>
                <w:rFonts w:ascii="Times New Roman" w:eastAsia="SimSun" w:hAnsi="Times New Roman"/>
                <w:b/>
                <w:i/>
                <w:sz w:val="24"/>
                <w:szCs w:val="24"/>
              </w:rPr>
            </w:pPr>
            <w:r w:rsidRPr="00AE47C6">
              <w:rPr>
                <w:rFonts w:ascii="Times New Roman" w:eastAsia="SimSun" w:hAnsi="Times New Roman"/>
                <w:b/>
                <w:i/>
                <w:sz w:val="24"/>
                <w:szCs w:val="24"/>
              </w:rPr>
              <w:t>Ранно начало</w:t>
            </w:r>
          </w:p>
        </w:tc>
        <w:tc>
          <w:tcPr>
            <w:tcW w:w="3260" w:type="dxa"/>
            <w:tcBorders>
              <w:top w:val="single" w:sz="4" w:space="0" w:color="auto"/>
              <w:left w:val="single" w:sz="4" w:space="0" w:color="auto"/>
              <w:bottom w:val="single" w:sz="4" w:space="0" w:color="auto"/>
              <w:right w:val="single" w:sz="4" w:space="0" w:color="auto"/>
            </w:tcBorders>
            <w:vAlign w:val="center"/>
          </w:tcPr>
          <w:p w14:paraId="7C1CFF3E" w14:textId="77777777" w:rsidR="00BE0B19" w:rsidRPr="00AE47C6" w:rsidRDefault="00BE0B19" w:rsidP="00BE0B19">
            <w:pPr>
              <w:spacing w:after="0" w:line="360" w:lineRule="auto"/>
              <w:ind w:firstLine="34"/>
              <w:jc w:val="both"/>
              <w:rPr>
                <w:rFonts w:ascii="Times New Roman" w:eastAsia="SimSun" w:hAnsi="Times New Roman"/>
                <w:b/>
                <w:i/>
                <w:sz w:val="24"/>
                <w:szCs w:val="24"/>
              </w:rPr>
            </w:pPr>
          </w:p>
        </w:tc>
      </w:tr>
      <w:tr w:rsidR="00BE0B19" w:rsidRPr="00AE47C6" w14:paraId="7AF0CCE4" w14:textId="77777777" w:rsidTr="00AD72E5">
        <w:trPr>
          <w:trHeight w:val="297"/>
        </w:trPr>
        <w:tc>
          <w:tcPr>
            <w:tcW w:w="1589" w:type="dxa"/>
            <w:tcBorders>
              <w:top w:val="single" w:sz="4" w:space="0" w:color="auto"/>
              <w:left w:val="single" w:sz="4" w:space="0" w:color="auto"/>
              <w:bottom w:val="single" w:sz="4" w:space="0" w:color="auto"/>
              <w:right w:val="single" w:sz="4" w:space="0" w:color="auto"/>
            </w:tcBorders>
            <w:vAlign w:val="center"/>
            <w:hideMark/>
          </w:tcPr>
          <w:p w14:paraId="5A032FD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 (181405)</w:t>
            </w:r>
          </w:p>
        </w:tc>
        <w:tc>
          <w:tcPr>
            <w:tcW w:w="1270" w:type="dxa"/>
            <w:tcBorders>
              <w:top w:val="single" w:sz="4" w:space="0" w:color="auto"/>
              <w:left w:val="single" w:sz="4" w:space="0" w:color="auto"/>
              <w:bottom w:val="single" w:sz="4" w:space="0" w:color="auto"/>
              <w:right w:val="single" w:sz="4" w:space="0" w:color="auto"/>
            </w:tcBorders>
            <w:vAlign w:val="center"/>
            <w:hideMark/>
          </w:tcPr>
          <w:p w14:paraId="474E7191"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TRPV4</w:t>
            </w:r>
          </w:p>
        </w:tc>
        <w:tc>
          <w:tcPr>
            <w:tcW w:w="1113" w:type="dxa"/>
            <w:tcBorders>
              <w:top w:val="single" w:sz="4" w:space="0" w:color="auto"/>
              <w:left w:val="single" w:sz="4" w:space="0" w:color="auto"/>
              <w:bottom w:val="single" w:sz="4" w:space="0" w:color="auto"/>
              <w:right w:val="single" w:sz="4" w:space="0" w:color="auto"/>
            </w:tcBorders>
            <w:vAlign w:val="center"/>
            <w:hideMark/>
          </w:tcPr>
          <w:p w14:paraId="27679F3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12q24.11</w:t>
            </w:r>
          </w:p>
        </w:tc>
        <w:tc>
          <w:tcPr>
            <w:tcW w:w="2515" w:type="dxa"/>
            <w:tcBorders>
              <w:top w:val="single" w:sz="4" w:space="0" w:color="auto"/>
              <w:left w:val="single" w:sz="4" w:space="0" w:color="auto"/>
              <w:bottom w:val="single" w:sz="4" w:space="0" w:color="auto"/>
              <w:right w:val="single" w:sz="4" w:space="0" w:color="auto"/>
            </w:tcBorders>
            <w:vAlign w:val="center"/>
            <w:hideMark/>
          </w:tcPr>
          <w:p w14:paraId="4D52FAA2" w14:textId="77777777" w:rsidR="00BE0B19" w:rsidRPr="00AE47C6" w:rsidRDefault="00BE0B19" w:rsidP="00BE0B19">
            <w:pPr>
              <w:spacing w:after="0" w:line="360" w:lineRule="auto"/>
              <w:ind w:firstLine="139"/>
              <w:jc w:val="both"/>
              <w:rPr>
                <w:rFonts w:ascii="Times New Roman" w:eastAsia="SimSun" w:hAnsi="Times New Roman"/>
                <w:sz w:val="24"/>
                <w:szCs w:val="24"/>
              </w:rPr>
            </w:pPr>
            <w:r w:rsidRPr="00AE47C6">
              <w:rPr>
                <w:rFonts w:ascii="Times New Roman" w:eastAsia="SimSun" w:hAnsi="Times New Roman"/>
                <w:sz w:val="24"/>
                <w:szCs w:val="24"/>
              </w:rPr>
              <w:t>Скапулоперонеална СМА</w:t>
            </w:r>
          </w:p>
        </w:tc>
        <w:tc>
          <w:tcPr>
            <w:tcW w:w="3260" w:type="dxa"/>
            <w:tcBorders>
              <w:top w:val="single" w:sz="4" w:space="0" w:color="auto"/>
              <w:left w:val="single" w:sz="4" w:space="0" w:color="auto"/>
              <w:bottom w:val="single" w:sz="4" w:space="0" w:color="auto"/>
              <w:right w:val="single" w:sz="4" w:space="0" w:color="auto"/>
            </w:tcBorders>
            <w:hideMark/>
          </w:tcPr>
          <w:p w14:paraId="0365FEE8" w14:textId="77777777" w:rsidR="00BE0B19" w:rsidRPr="00AE47C6" w:rsidRDefault="00BE0B19" w:rsidP="00BE0B19">
            <w:pPr>
              <w:spacing w:after="0" w:line="360" w:lineRule="auto"/>
              <w:ind w:firstLine="34"/>
              <w:jc w:val="both"/>
              <w:rPr>
                <w:rFonts w:ascii="Times New Roman" w:eastAsia="SimSun" w:hAnsi="Times New Roman"/>
                <w:sz w:val="24"/>
                <w:szCs w:val="24"/>
              </w:rPr>
            </w:pPr>
            <w:r w:rsidRPr="00AE47C6">
              <w:rPr>
                <w:rFonts w:ascii="Times New Roman" w:eastAsia="SimSun" w:hAnsi="Times New Roman"/>
                <w:sz w:val="24"/>
                <w:szCs w:val="24"/>
              </w:rPr>
              <w:t>Прогресираща скапулоперонеална мускулна слабост и ларингеална парализа</w:t>
            </w:r>
          </w:p>
        </w:tc>
      </w:tr>
      <w:tr w:rsidR="00BE0B19" w:rsidRPr="00AE47C6" w14:paraId="406435B7" w14:textId="77777777" w:rsidTr="00AD72E5">
        <w:trPr>
          <w:trHeight w:val="297"/>
        </w:trPr>
        <w:tc>
          <w:tcPr>
            <w:tcW w:w="1589" w:type="dxa"/>
            <w:tcBorders>
              <w:top w:val="single" w:sz="4" w:space="0" w:color="auto"/>
              <w:left w:val="single" w:sz="4" w:space="0" w:color="auto"/>
              <w:bottom w:val="single" w:sz="4" w:space="0" w:color="auto"/>
              <w:right w:val="single" w:sz="4" w:space="0" w:color="auto"/>
            </w:tcBorders>
            <w:vAlign w:val="center"/>
            <w:hideMark/>
          </w:tcPr>
          <w:p w14:paraId="02F1330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 (158600)</w:t>
            </w:r>
          </w:p>
        </w:tc>
        <w:tc>
          <w:tcPr>
            <w:tcW w:w="1270" w:type="dxa"/>
            <w:tcBorders>
              <w:top w:val="single" w:sz="4" w:space="0" w:color="auto"/>
              <w:left w:val="single" w:sz="4" w:space="0" w:color="auto"/>
              <w:bottom w:val="single" w:sz="4" w:space="0" w:color="auto"/>
              <w:right w:val="single" w:sz="4" w:space="0" w:color="auto"/>
            </w:tcBorders>
            <w:vAlign w:val="center"/>
            <w:hideMark/>
          </w:tcPr>
          <w:p w14:paraId="7A3F521B"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DYNC1H1</w:t>
            </w:r>
          </w:p>
        </w:tc>
        <w:tc>
          <w:tcPr>
            <w:tcW w:w="1113" w:type="dxa"/>
            <w:tcBorders>
              <w:top w:val="single" w:sz="4" w:space="0" w:color="auto"/>
              <w:left w:val="single" w:sz="4" w:space="0" w:color="auto"/>
              <w:bottom w:val="single" w:sz="4" w:space="0" w:color="auto"/>
              <w:right w:val="single" w:sz="4" w:space="0" w:color="auto"/>
            </w:tcBorders>
            <w:vAlign w:val="center"/>
            <w:hideMark/>
          </w:tcPr>
          <w:p w14:paraId="6A3DC95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14q32.31</w:t>
            </w:r>
          </w:p>
        </w:tc>
        <w:tc>
          <w:tcPr>
            <w:tcW w:w="2515" w:type="dxa"/>
            <w:tcBorders>
              <w:top w:val="single" w:sz="4" w:space="0" w:color="auto"/>
              <w:left w:val="single" w:sz="4" w:space="0" w:color="auto"/>
              <w:bottom w:val="single" w:sz="4" w:space="0" w:color="auto"/>
              <w:right w:val="single" w:sz="4" w:space="0" w:color="auto"/>
            </w:tcBorders>
            <w:vAlign w:val="center"/>
            <w:hideMark/>
          </w:tcPr>
          <w:p w14:paraId="5F624FB2" w14:textId="77777777" w:rsidR="00BE0B19" w:rsidRPr="00AE47C6" w:rsidRDefault="00BE0B19" w:rsidP="00BE0B19">
            <w:pPr>
              <w:spacing w:after="0" w:line="360" w:lineRule="auto"/>
              <w:ind w:firstLine="139"/>
              <w:jc w:val="both"/>
              <w:rPr>
                <w:rFonts w:ascii="Times New Roman" w:eastAsia="SimSun" w:hAnsi="Times New Roman"/>
                <w:sz w:val="24"/>
                <w:szCs w:val="24"/>
              </w:rPr>
            </w:pPr>
            <w:r w:rsidRPr="00AE47C6">
              <w:rPr>
                <w:rFonts w:ascii="Times New Roman" w:eastAsia="SimSun" w:hAnsi="Times New Roman"/>
                <w:sz w:val="24"/>
                <w:szCs w:val="24"/>
              </w:rPr>
              <w:t>СМА със засягане на долните крайници-1</w:t>
            </w:r>
          </w:p>
        </w:tc>
        <w:tc>
          <w:tcPr>
            <w:tcW w:w="3260" w:type="dxa"/>
            <w:tcBorders>
              <w:top w:val="single" w:sz="4" w:space="0" w:color="auto"/>
              <w:left w:val="single" w:sz="4" w:space="0" w:color="auto"/>
              <w:bottom w:val="single" w:sz="4" w:space="0" w:color="auto"/>
              <w:right w:val="single" w:sz="4" w:space="0" w:color="auto"/>
            </w:tcBorders>
            <w:hideMark/>
          </w:tcPr>
          <w:p w14:paraId="59983CE0" w14:textId="77777777" w:rsidR="00BE0B19" w:rsidRPr="00AE47C6" w:rsidRDefault="00BE0B19" w:rsidP="00BE0B19">
            <w:pPr>
              <w:spacing w:after="0" w:line="360" w:lineRule="auto"/>
              <w:ind w:firstLine="34"/>
              <w:jc w:val="both"/>
              <w:rPr>
                <w:rFonts w:ascii="Times New Roman" w:eastAsia="SimSun" w:hAnsi="Times New Roman"/>
                <w:sz w:val="24"/>
                <w:szCs w:val="24"/>
              </w:rPr>
            </w:pPr>
            <w:r w:rsidRPr="00AE47C6">
              <w:rPr>
                <w:rFonts w:ascii="Times New Roman" w:eastAsia="SimSun" w:hAnsi="Times New Roman"/>
                <w:sz w:val="24"/>
                <w:szCs w:val="24"/>
              </w:rPr>
              <w:t>Проксимална мускулна слабост в долни крайници</w:t>
            </w:r>
          </w:p>
        </w:tc>
      </w:tr>
      <w:tr w:rsidR="00BE0B19" w:rsidRPr="00AE47C6" w14:paraId="1C792B75" w14:textId="77777777" w:rsidTr="00AD72E5">
        <w:trPr>
          <w:trHeight w:val="297"/>
        </w:trPr>
        <w:tc>
          <w:tcPr>
            <w:tcW w:w="1589" w:type="dxa"/>
            <w:tcBorders>
              <w:top w:val="single" w:sz="4" w:space="0" w:color="auto"/>
              <w:left w:val="single" w:sz="4" w:space="0" w:color="auto"/>
              <w:bottom w:val="single" w:sz="4" w:space="0" w:color="auto"/>
              <w:right w:val="single" w:sz="4" w:space="0" w:color="auto"/>
            </w:tcBorders>
            <w:vAlign w:val="center"/>
            <w:hideMark/>
          </w:tcPr>
          <w:p w14:paraId="5F6D8D3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 (615290)</w:t>
            </w:r>
          </w:p>
        </w:tc>
        <w:tc>
          <w:tcPr>
            <w:tcW w:w="1270" w:type="dxa"/>
            <w:tcBorders>
              <w:top w:val="single" w:sz="4" w:space="0" w:color="auto"/>
              <w:left w:val="single" w:sz="4" w:space="0" w:color="auto"/>
              <w:bottom w:val="single" w:sz="4" w:space="0" w:color="auto"/>
              <w:right w:val="single" w:sz="4" w:space="0" w:color="auto"/>
            </w:tcBorders>
            <w:vAlign w:val="center"/>
            <w:hideMark/>
          </w:tcPr>
          <w:p w14:paraId="08D03C3F"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BICD2</w:t>
            </w:r>
          </w:p>
        </w:tc>
        <w:tc>
          <w:tcPr>
            <w:tcW w:w="1113" w:type="dxa"/>
            <w:tcBorders>
              <w:top w:val="single" w:sz="4" w:space="0" w:color="auto"/>
              <w:left w:val="single" w:sz="4" w:space="0" w:color="auto"/>
              <w:bottom w:val="single" w:sz="4" w:space="0" w:color="auto"/>
              <w:right w:val="single" w:sz="4" w:space="0" w:color="auto"/>
            </w:tcBorders>
            <w:vAlign w:val="center"/>
            <w:hideMark/>
          </w:tcPr>
          <w:p w14:paraId="37A4039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9q22.31</w:t>
            </w:r>
          </w:p>
        </w:tc>
        <w:tc>
          <w:tcPr>
            <w:tcW w:w="2515" w:type="dxa"/>
            <w:tcBorders>
              <w:top w:val="single" w:sz="4" w:space="0" w:color="auto"/>
              <w:left w:val="single" w:sz="4" w:space="0" w:color="auto"/>
              <w:bottom w:val="single" w:sz="4" w:space="0" w:color="auto"/>
              <w:right w:val="single" w:sz="4" w:space="0" w:color="auto"/>
            </w:tcBorders>
            <w:vAlign w:val="center"/>
            <w:hideMark/>
          </w:tcPr>
          <w:p w14:paraId="2A2BB039" w14:textId="77777777" w:rsidR="00BE0B19" w:rsidRPr="00AE47C6" w:rsidRDefault="00BE0B19" w:rsidP="00BE0B19">
            <w:pPr>
              <w:spacing w:after="0" w:line="360" w:lineRule="auto"/>
              <w:ind w:firstLine="139"/>
              <w:jc w:val="both"/>
              <w:rPr>
                <w:rFonts w:ascii="Times New Roman" w:eastAsia="SimSun" w:hAnsi="Times New Roman"/>
                <w:sz w:val="24"/>
                <w:szCs w:val="24"/>
              </w:rPr>
            </w:pPr>
            <w:r w:rsidRPr="00AE47C6">
              <w:rPr>
                <w:rFonts w:ascii="Times New Roman" w:eastAsia="SimSun" w:hAnsi="Times New Roman"/>
                <w:sz w:val="24"/>
                <w:szCs w:val="24"/>
              </w:rPr>
              <w:t>СМА със засягане на долните крайници -2</w:t>
            </w:r>
          </w:p>
        </w:tc>
        <w:tc>
          <w:tcPr>
            <w:tcW w:w="3260" w:type="dxa"/>
            <w:tcBorders>
              <w:top w:val="single" w:sz="4" w:space="0" w:color="auto"/>
              <w:left w:val="single" w:sz="4" w:space="0" w:color="auto"/>
              <w:bottom w:val="single" w:sz="4" w:space="0" w:color="auto"/>
              <w:right w:val="single" w:sz="4" w:space="0" w:color="auto"/>
            </w:tcBorders>
            <w:hideMark/>
          </w:tcPr>
          <w:p w14:paraId="69143CCB" w14:textId="77777777" w:rsidR="00BE0B19" w:rsidRPr="00AE47C6" w:rsidRDefault="00BE0B19" w:rsidP="00BE0B19">
            <w:pPr>
              <w:spacing w:after="0" w:line="360" w:lineRule="auto"/>
              <w:ind w:firstLine="34"/>
              <w:jc w:val="both"/>
              <w:rPr>
                <w:rFonts w:ascii="Times New Roman" w:eastAsia="SimSun" w:hAnsi="Times New Roman"/>
                <w:sz w:val="24"/>
                <w:szCs w:val="24"/>
              </w:rPr>
            </w:pPr>
            <w:r w:rsidRPr="00AE47C6">
              <w:rPr>
                <w:rFonts w:ascii="Times New Roman" w:eastAsia="SimSun" w:hAnsi="Times New Roman"/>
                <w:sz w:val="24"/>
                <w:szCs w:val="24"/>
              </w:rPr>
              <w:t>Проксимална мускулна слабост в долни крайници</w:t>
            </w:r>
          </w:p>
          <w:p w14:paraId="486D1987" w14:textId="77777777" w:rsidR="00BE0B19" w:rsidRPr="00AE47C6" w:rsidRDefault="00BE0B19" w:rsidP="00BE0B19">
            <w:pPr>
              <w:spacing w:after="0" w:line="360" w:lineRule="auto"/>
              <w:ind w:firstLine="34"/>
              <w:jc w:val="both"/>
              <w:rPr>
                <w:rFonts w:ascii="Times New Roman" w:eastAsia="SimSun" w:hAnsi="Times New Roman"/>
                <w:sz w:val="24"/>
                <w:szCs w:val="24"/>
              </w:rPr>
            </w:pPr>
            <w:r w:rsidRPr="00AE47C6">
              <w:rPr>
                <w:rFonts w:ascii="Times New Roman" w:eastAsia="SimSun" w:hAnsi="Times New Roman"/>
                <w:sz w:val="24"/>
                <w:szCs w:val="24"/>
              </w:rPr>
              <w:t>Вродени ставни контрактури, засягане на централния двигателен неврон</w:t>
            </w:r>
          </w:p>
        </w:tc>
      </w:tr>
      <w:tr w:rsidR="00BE0B19" w:rsidRPr="00AE47C6" w14:paraId="6FCC316B" w14:textId="77777777" w:rsidTr="00AD72E5">
        <w:trPr>
          <w:trHeight w:val="297"/>
        </w:trPr>
        <w:tc>
          <w:tcPr>
            <w:tcW w:w="6487" w:type="dxa"/>
            <w:gridSpan w:val="4"/>
            <w:tcBorders>
              <w:top w:val="single" w:sz="4" w:space="0" w:color="auto"/>
              <w:left w:val="single" w:sz="4" w:space="0" w:color="auto"/>
              <w:bottom w:val="single" w:sz="4" w:space="0" w:color="auto"/>
              <w:right w:val="single" w:sz="4" w:space="0" w:color="auto"/>
            </w:tcBorders>
            <w:vAlign w:val="center"/>
            <w:hideMark/>
          </w:tcPr>
          <w:p w14:paraId="6F84F20E" w14:textId="77777777" w:rsidR="00BE0B19" w:rsidRPr="00AE47C6" w:rsidRDefault="00BE0B19" w:rsidP="00BE0B19">
            <w:pPr>
              <w:spacing w:after="0" w:line="360" w:lineRule="auto"/>
              <w:ind w:firstLine="139"/>
              <w:jc w:val="both"/>
              <w:rPr>
                <w:rFonts w:ascii="Times New Roman" w:eastAsia="SimSun" w:hAnsi="Times New Roman"/>
                <w:sz w:val="24"/>
                <w:szCs w:val="24"/>
              </w:rPr>
            </w:pPr>
            <w:r w:rsidRPr="00AE47C6">
              <w:rPr>
                <w:rFonts w:ascii="Times New Roman" w:eastAsia="SimSun" w:hAnsi="Times New Roman"/>
                <w:b/>
                <w:i/>
                <w:sz w:val="24"/>
                <w:szCs w:val="24"/>
              </w:rPr>
              <w:t>Късно начало</w:t>
            </w:r>
          </w:p>
        </w:tc>
        <w:tc>
          <w:tcPr>
            <w:tcW w:w="3260" w:type="dxa"/>
            <w:tcBorders>
              <w:top w:val="single" w:sz="4" w:space="0" w:color="auto"/>
              <w:left w:val="single" w:sz="4" w:space="0" w:color="auto"/>
              <w:bottom w:val="single" w:sz="4" w:space="0" w:color="auto"/>
              <w:right w:val="single" w:sz="4" w:space="0" w:color="auto"/>
            </w:tcBorders>
          </w:tcPr>
          <w:p w14:paraId="5A46F906" w14:textId="77777777" w:rsidR="00BE0B19" w:rsidRPr="00AE47C6" w:rsidRDefault="00BE0B19" w:rsidP="00BE0B19">
            <w:pPr>
              <w:spacing w:after="0" w:line="360" w:lineRule="auto"/>
              <w:ind w:firstLine="34"/>
              <w:jc w:val="both"/>
              <w:rPr>
                <w:rFonts w:ascii="Times New Roman" w:eastAsia="SimSun" w:hAnsi="Times New Roman"/>
                <w:sz w:val="24"/>
                <w:szCs w:val="24"/>
              </w:rPr>
            </w:pPr>
          </w:p>
        </w:tc>
      </w:tr>
      <w:tr w:rsidR="00BE0B19" w:rsidRPr="00AE47C6" w14:paraId="02CEED10" w14:textId="77777777" w:rsidTr="00AD72E5">
        <w:trPr>
          <w:trHeight w:val="297"/>
        </w:trPr>
        <w:tc>
          <w:tcPr>
            <w:tcW w:w="1589" w:type="dxa"/>
            <w:tcBorders>
              <w:top w:val="single" w:sz="4" w:space="0" w:color="auto"/>
              <w:left w:val="single" w:sz="4" w:space="0" w:color="auto"/>
              <w:bottom w:val="single" w:sz="4" w:space="0" w:color="auto"/>
              <w:right w:val="single" w:sz="4" w:space="0" w:color="auto"/>
            </w:tcBorders>
            <w:vAlign w:val="center"/>
            <w:hideMark/>
          </w:tcPr>
          <w:p w14:paraId="0790D8B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 (182980)</w:t>
            </w:r>
          </w:p>
        </w:tc>
        <w:tc>
          <w:tcPr>
            <w:tcW w:w="1270" w:type="dxa"/>
            <w:tcBorders>
              <w:top w:val="single" w:sz="4" w:space="0" w:color="auto"/>
              <w:left w:val="single" w:sz="4" w:space="0" w:color="auto"/>
              <w:bottom w:val="single" w:sz="4" w:space="0" w:color="auto"/>
              <w:right w:val="single" w:sz="4" w:space="0" w:color="auto"/>
            </w:tcBorders>
            <w:vAlign w:val="center"/>
            <w:hideMark/>
          </w:tcPr>
          <w:p w14:paraId="5AD60432"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VAPB</w:t>
            </w:r>
          </w:p>
        </w:tc>
        <w:tc>
          <w:tcPr>
            <w:tcW w:w="1113" w:type="dxa"/>
            <w:tcBorders>
              <w:top w:val="single" w:sz="4" w:space="0" w:color="auto"/>
              <w:left w:val="single" w:sz="4" w:space="0" w:color="auto"/>
              <w:bottom w:val="single" w:sz="4" w:space="0" w:color="auto"/>
              <w:right w:val="single" w:sz="4" w:space="0" w:color="auto"/>
            </w:tcBorders>
            <w:vAlign w:val="center"/>
            <w:hideMark/>
          </w:tcPr>
          <w:p w14:paraId="5F6BE2B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20q13.32</w:t>
            </w:r>
          </w:p>
        </w:tc>
        <w:tc>
          <w:tcPr>
            <w:tcW w:w="2515" w:type="dxa"/>
            <w:tcBorders>
              <w:top w:val="single" w:sz="4" w:space="0" w:color="auto"/>
              <w:left w:val="single" w:sz="4" w:space="0" w:color="auto"/>
              <w:bottom w:val="single" w:sz="4" w:space="0" w:color="auto"/>
              <w:right w:val="single" w:sz="4" w:space="0" w:color="auto"/>
            </w:tcBorders>
            <w:vAlign w:val="center"/>
            <w:hideMark/>
          </w:tcPr>
          <w:p w14:paraId="48E50CD9" w14:textId="77777777" w:rsidR="00BE0B19" w:rsidRPr="00AE47C6" w:rsidRDefault="00BE0B19" w:rsidP="00BE0B19">
            <w:pPr>
              <w:spacing w:after="0" w:line="360" w:lineRule="auto"/>
              <w:ind w:firstLine="139"/>
              <w:jc w:val="both"/>
              <w:rPr>
                <w:rFonts w:ascii="Times New Roman" w:eastAsia="SimSun" w:hAnsi="Times New Roman"/>
                <w:sz w:val="24"/>
                <w:szCs w:val="24"/>
              </w:rPr>
            </w:pPr>
            <w:r w:rsidRPr="00AE47C6">
              <w:rPr>
                <w:rFonts w:ascii="Times New Roman" w:eastAsia="SimSun" w:hAnsi="Times New Roman"/>
                <w:sz w:val="24"/>
                <w:szCs w:val="24"/>
              </w:rPr>
              <w:t>СМА с късно начало, тип Finkel</w:t>
            </w:r>
          </w:p>
        </w:tc>
        <w:tc>
          <w:tcPr>
            <w:tcW w:w="3260" w:type="dxa"/>
            <w:tcBorders>
              <w:top w:val="single" w:sz="4" w:space="0" w:color="auto"/>
              <w:left w:val="single" w:sz="4" w:space="0" w:color="auto"/>
              <w:bottom w:val="single" w:sz="4" w:space="0" w:color="auto"/>
              <w:right w:val="single" w:sz="4" w:space="0" w:color="auto"/>
            </w:tcBorders>
            <w:hideMark/>
          </w:tcPr>
          <w:p w14:paraId="162ACB88" w14:textId="77777777" w:rsidR="00BE0B19" w:rsidRPr="00AE47C6" w:rsidRDefault="00BE0B19" w:rsidP="00BE0B19">
            <w:pPr>
              <w:spacing w:after="0" w:line="360" w:lineRule="auto"/>
              <w:ind w:firstLine="34"/>
              <w:jc w:val="both"/>
              <w:rPr>
                <w:rFonts w:ascii="Times New Roman" w:eastAsia="SimSun" w:hAnsi="Times New Roman"/>
                <w:sz w:val="24"/>
                <w:szCs w:val="24"/>
              </w:rPr>
            </w:pPr>
            <w:r w:rsidRPr="00AE47C6">
              <w:rPr>
                <w:rFonts w:ascii="Times New Roman" w:eastAsia="SimSun" w:hAnsi="Times New Roman"/>
                <w:sz w:val="24"/>
                <w:szCs w:val="24"/>
              </w:rPr>
              <w:t>Проксимална мускулна слабост, мускулни крампи и фасцикулации</w:t>
            </w:r>
          </w:p>
        </w:tc>
      </w:tr>
      <w:tr w:rsidR="00BE0B19" w:rsidRPr="00AE47C6" w14:paraId="189E2582" w14:textId="77777777" w:rsidTr="00AD72E5">
        <w:trPr>
          <w:trHeight w:val="297"/>
        </w:trPr>
        <w:tc>
          <w:tcPr>
            <w:tcW w:w="1589" w:type="dxa"/>
            <w:tcBorders>
              <w:top w:val="single" w:sz="4" w:space="0" w:color="auto"/>
              <w:left w:val="single" w:sz="4" w:space="0" w:color="auto"/>
              <w:bottom w:val="single" w:sz="4" w:space="0" w:color="auto"/>
              <w:right w:val="single" w:sz="4" w:space="0" w:color="auto"/>
            </w:tcBorders>
            <w:vAlign w:val="center"/>
            <w:hideMark/>
          </w:tcPr>
          <w:p w14:paraId="57692B5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 (615048)</w:t>
            </w:r>
          </w:p>
        </w:tc>
        <w:tc>
          <w:tcPr>
            <w:tcW w:w="1270" w:type="dxa"/>
            <w:tcBorders>
              <w:top w:val="single" w:sz="4" w:space="0" w:color="auto"/>
              <w:left w:val="single" w:sz="4" w:space="0" w:color="auto"/>
              <w:bottom w:val="single" w:sz="4" w:space="0" w:color="auto"/>
              <w:right w:val="single" w:sz="4" w:space="0" w:color="auto"/>
            </w:tcBorders>
            <w:vAlign w:val="center"/>
            <w:hideMark/>
          </w:tcPr>
          <w:p w14:paraId="78AFBE95" w14:textId="77777777" w:rsidR="00BE0B19" w:rsidRPr="00AE47C6" w:rsidRDefault="00BE0B19" w:rsidP="00BE0B19">
            <w:pPr>
              <w:spacing w:after="0" w:line="360" w:lineRule="auto"/>
              <w:ind w:firstLine="709"/>
              <w:jc w:val="both"/>
              <w:rPr>
                <w:rFonts w:ascii="Times New Roman" w:eastAsia="SimSun" w:hAnsi="Times New Roman"/>
                <w:i/>
                <w:sz w:val="24"/>
                <w:szCs w:val="24"/>
              </w:rPr>
            </w:pPr>
            <w:r w:rsidRPr="00AE47C6">
              <w:rPr>
                <w:rFonts w:ascii="Times New Roman" w:eastAsia="SimSun" w:hAnsi="Times New Roman"/>
                <w:i/>
                <w:sz w:val="24"/>
                <w:szCs w:val="24"/>
              </w:rPr>
              <w:t>-</w:t>
            </w:r>
          </w:p>
        </w:tc>
        <w:tc>
          <w:tcPr>
            <w:tcW w:w="1113" w:type="dxa"/>
            <w:tcBorders>
              <w:top w:val="single" w:sz="4" w:space="0" w:color="auto"/>
              <w:left w:val="single" w:sz="4" w:space="0" w:color="auto"/>
              <w:bottom w:val="single" w:sz="4" w:space="0" w:color="auto"/>
              <w:right w:val="single" w:sz="4" w:space="0" w:color="auto"/>
            </w:tcBorders>
            <w:vAlign w:val="center"/>
            <w:hideMark/>
          </w:tcPr>
          <w:p w14:paraId="092F4A2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22q11.2-q13.2</w:t>
            </w:r>
          </w:p>
        </w:tc>
        <w:tc>
          <w:tcPr>
            <w:tcW w:w="2515" w:type="dxa"/>
            <w:tcBorders>
              <w:top w:val="single" w:sz="4" w:space="0" w:color="auto"/>
              <w:left w:val="single" w:sz="4" w:space="0" w:color="auto"/>
              <w:bottom w:val="single" w:sz="4" w:space="0" w:color="auto"/>
              <w:right w:val="single" w:sz="4" w:space="0" w:color="auto"/>
            </w:tcBorders>
            <w:vAlign w:val="center"/>
            <w:hideMark/>
          </w:tcPr>
          <w:p w14:paraId="763C5C8F" w14:textId="77777777" w:rsidR="00BE0B19" w:rsidRPr="00AE47C6" w:rsidRDefault="00BE0B19" w:rsidP="00BE0B19">
            <w:pPr>
              <w:spacing w:after="0" w:line="360" w:lineRule="auto"/>
              <w:ind w:firstLine="139"/>
              <w:jc w:val="both"/>
              <w:rPr>
                <w:rFonts w:ascii="Times New Roman" w:eastAsia="SimSun" w:hAnsi="Times New Roman"/>
                <w:sz w:val="24"/>
                <w:szCs w:val="24"/>
              </w:rPr>
            </w:pPr>
            <w:r w:rsidRPr="00AE47C6">
              <w:rPr>
                <w:rFonts w:ascii="Times New Roman" w:eastAsia="SimSun" w:hAnsi="Times New Roman"/>
                <w:sz w:val="24"/>
                <w:szCs w:val="24"/>
              </w:rPr>
              <w:t>СМА, тип Jokela</w:t>
            </w:r>
          </w:p>
        </w:tc>
        <w:tc>
          <w:tcPr>
            <w:tcW w:w="3260" w:type="dxa"/>
            <w:tcBorders>
              <w:top w:val="single" w:sz="4" w:space="0" w:color="auto"/>
              <w:left w:val="single" w:sz="4" w:space="0" w:color="auto"/>
              <w:bottom w:val="single" w:sz="4" w:space="0" w:color="auto"/>
              <w:right w:val="single" w:sz="4" w:space="0" w:color="auto"/>
            </w:tcBorders>
            <w:hideMark/>
          </w:tcPr>
          <w:p w14:paraId="04B7C21A" w14:textId="77777777" w:rsidR="00BE0B19" w:rsidRPr="00AE47C6" w:rsidRDefault="00BE0B19" w:rsidP="00BE0B19">
            <w:pPr>
              <w:spacing w:after="0" w:line="360" w:lineRule="auto"/>
              <w:ind w:firstLine="34"/>
              <w:jc w:val="both"/>
              <w:rPr>
                <w:rFonts w:ascii="Times New Roman" w:eastAsia="SimSun" w:hAnsi="Times New Roman"/>
                <w:sz w:val="24"/>
                <w:szCs w:val="24"/>
              </w:rPr>
            </w:pPr>
            <w:r w:rsidRPr="00AE47C6">
              <w:rPr>
                <w:rFonts w:ascii="Times New Roman" w:eastAsia="SimSun" w:hAnsi="Times New Roman"/>
                <w:sz w:val="24"/>
                <w:szCs w:val="24"/>
              </w:rPr>
              <w:t>Проксимална мускулна слабост, мускулни крампи и фасцикулации</w:t>
            </w:r>
          </w:p>
        </w:tc>
      </w:tr>
      <w:tr w:rsidR="00BE0B19" w:rsidRPr="00AE47C6" w14:paraId="2358C79A" w14:textId="77777777" w:rsidTr="00AD72E5">
        <w:trPr>
          <w:trHeight w:val="297"/>
        </w:trPr>
        <w:tc>
          <w:tcPr>
            <w:tcW w:w="1589" w:type="dxa"/>
            <w:tcBorders>
              <w:top w:val="single" w:sz="4" w:space="0" w:color="auto"/>
              <w:left w:val="single" w:sz="4" w:space="0" w:color="auto"/>
              <w:bottom w:val="single" w:sz="4" w:space="0" w:color="auto"/>
              <w:right w:val="single" w:sz="4" w:space="0" w:color="auto"/>
            </w:tcBorders>
            <w:vAlign w:val="center"/>
            <w:hideMark/>
          </w:tcPr>
          <w:p w14:paraId="0611995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 (604484)</w:t>
            </w:r>
          </w:p>
        </w:tc>
        <w:tc>
          <w:tcPr>
            <w:tcW w:w="1270" w:type="dxa"/>
            <w:tcBorders>
              <w:top w:val="single" w:sz="4" w:space="0" w:color="auto"/>
              <w:left w:val="single" w:sz="4" w:space="0" w:color="auto"/>
              <w:bottom w:val="single" w:sz="4" w:space="0" w:color="auto"/>
              <w:right w:val="single" w:sz="4" w:space="0" w:color="auto"/>
            </w:tcBorders>
            <w:vAlign w:val="center"/>
            <w:hideMark/>
          </w:tcPr>
          <w:p w14:paraId="6C34390E"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TFG</w:t>
            </w:r>
          </w:p>
        </w:tc>
        <w:tc>
          <w:tcPr>
            <w:tcW w:w="1113" w:type="dxa"/>
            <w:tcBorders>
              <w:top w:val="single" w:sz="4" w:space="0" w:color="auto"/>
              <w:left w:val="single" w:sz="4" w:space="0" w:color="auto"/>
              <w:bottom w:val="single" w:sz="4" w:space="0" w:color="auto"/>
              <w:right w:val="single" w:sz="4" w:space="0" w:color="auto"/>
            </w:tcBorders>
            <w:vAlign w:val="center"/>
            <w:hideMark/>
          </w:tcPr>
          <w:p w14:paraId="2A7DAC7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3q12.2</w:t>
            </w:r>
          </w:p>
        </w:tc>
        <w:tc>
          <w:tcPr>
            <w:tcW w:w="2515" w:type="dxa"/>
            <w:tcBorders>
              <w:top w:val="single" w:sz="4" w:space="0" w:color="auto"/>
              <w:left w:val="single" w:sz="4" w:space="0" w:color="auto"/>
              <w:bottom w:val="single" w:sz="4" w:space="0" w:color="auto"/>
              <w:right w:val="single" w:sz="4" w:space="0" w:color="auto"/>
            </w:tcBorders>
            <w:vAlign w:val="center"/>
            <w:hideMark/>
          </w:tcPr>
          <w:p w14:paraId="324F58E2" w14:textId="77777777" w:rsidR="00BE0B19" w:rsidRPr="00AE47C6" w:rsidRDefault="00BE0B19" w:rsidP="00BE0B19">
            <w:pPr>
              <w:spacing w:after="0" w:line="360" w:lineRule="auto"/>
              <w:ind w:firstLine="139"/>
              <w:jc w:val="both"/>
              <w:rPr>
                <w:rFonts w:ascii="Times New Roman" w:eastAsia="SimSun" w:hAnsi="Times New Roman"/>
                <w:sz w:val="24"/>
                <w:szCs w:val="24"/>
              </w:rPr>
            </w:pPr>
            <w:r w:rsidRPr="00AE47C6">
              <w:rPr>
                <w:rFonts w:ascii="Times New Roman" w:eastAsia="SimSun" w:hAnsi="Times New Roman"/>
                <w:sz w:val="24"/>
                <w:szCs w:val="24"/>
              </w:rPr>
              <w:t>СМА, тип Okinawa</w:t>
            </w:r>
          </w:p>
        </w:tc>
        <w:tc>
          <w:tcPr>
            <w:tcW w:w="3260" w:type="dxa"/>
            <w:tcBorders>
              <w:top w:val="single" w:sz="4" w:space="0" w:color="auto"/>
              <w:left w:val="single" w:sz="4" w:space="0" w:color="auto"/>
              <w:bottom w:val="single" w:sz="4" w:space="0" w:color="auto"/>
              <w:right w:val="single" w:sz="4" w:space="0" w:color="auto"/>
            </w:tcBorders>
            <w:hideMark/>
          </w:tcPr>
          <w:p w14:paraId="29119A4A" w14:textId="77777777" w:rsidR="00BE0B19" w:rsidRPr="00AE47C6" w:rsidRDefault="00BE0B19" w:rsidP="00BE0B19">
            <w:pPr>
              <w:spacing w:after="0" w:line="360" w:lineRule="auto"/>
              <w:ind w:firstLine="34"/>
              <w:jc w:val="both"/>
              <w:rPr>
                <w:rFonts w:ascii="Times New Roman" w:eastAsia="SimSun" w:hAnsi="Times New Roman"/>
                <w:sz w:val="24"/>
                <w:szCs w:val="24"/>
              </w:rPr>
            </w:pPr>
            <w:r w:rsidRPr="00AE47C6">
              <w:rPr>
                <w:rFonts w:ascii="Times New Roman" w:eastAsia="SimSun" w:hAnsi="Times New Roman"/>
                <w:sz w:val="24"/>
                <w:szCs w:val="24"/>
              </w:rPr>
              <w:t>Леки сетивни нарушения, болезнени мускулни крампи, миотония, дисфагия</w:t>
            </w:r>
          </w:p>
        </w:tc>
      </w:tr>
      <w:tr w:rsidR="00BE0B19" w:rsidRPr="00AE47C6" w14:paraId="027CC467" w14:textId="77777777" w:rsidTr="00AD72E5">
        <w:trPr>
          <w:trHeight w:val="297"/>
        </w:trPr>
        <w:tc>
          <w:tcPr>
            <w:tcW w:w="1589" w:type="dxa"/>
            <w:tcBorders>
              <w:top w:val="single" w:sz="4" w:space="0" w:color="auto"/>
              <w:left w:val="single" w:sz="4" w:space="0" w:color="auto"/>
              <w:bottom w:val="single" w:sz="4" w:space="0" w:color="auto"/>
              <w:right w:val="single" w:sz="4" w:space="0" w:color="auto"/>
            </w:tcBorders>
            <w:vAlign w:val="center"/>
            <w:hideMark/>
          </w:tcPr>
          <w:p w14:paraId="1FEE13B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 (159001)</w:t>
            </w:r>
          </w:p>
        </w:tc>
        <w:tc>
          <w:tcPr>
            <w:tcW w:w="1270" w:type="dxa"/>
            <w:tcBorders>
              <w:top w:val="single" w:sz="4" w:space="0" w:color="auto"/>
              <w:left w:val="single" w:sz="4" w:space="0" w:color="auto"/>
              <w:bottom w:val="single" w:sz="4" w:space="0" w:color="auto"/>
              <w:right w:val="single" w:sz="4" w:space="0" w:color="auto"/>
            </w:tcBorders>
            <w:vAlign w:val="center"/>
            <w:hideMark/>
          </w:tcPr>
          <w:p w14:paraId="0B7668B6" w14:textId="77777777" w:rsidR="00BE0B19" w:rsidRPr="00AE47C6" w:rsidRDefault="00BE0B19" w:rsidP="00BE0B19">
            <w:pPr>
              <w:spacing w:after="0" w:line="360" w:lineRule="auto"/>
              <w:ind w:firstLine="709"/>
              <w:jc w:val="both"/>
              <w:rPr>
                <w:rFonts w:ascii="Times New Roman" w:eastAsia="SimSun" w:hAnsi="Times New Roman"/>
                <w:i/>
                <w:sz w:val="24"/>
                <w:szCs w:val="24"/>
              </w:rPr>
            </w:pPr>
            <w:r w:rsidRPr="00AE47C6">
              <w:rPr>
                <w:rFonts w:ascii="Times New Roman" w:eastAsia="SimSun" w:hAnsi="Times New Roman"/>
                <w:i/>
                <w:sz w:val="24"/>
                <w:szCs w:val="24"/>
              </w:rPr>
              <w:t>LMNA</w:t>
            </w:r>
          </w:p>
        </w:tc>
        <w:tc>
          <w:tcPr>
            <w:tcW w:w="1113" w:type="dxa"/>
            <w:tcBorders>
              <w:top w:val="single" w:sz="4" w:space="0" w:color="auto"/>
              <w:left w:val="single" w:sz="4" w:space="0" w:color="auto"/>
              <w:bottom w:val="single" w:sz="4" w:space="0" w:color="auto"/>
              <w:right w:val="single" w:sz="4" w:space="0" w:color="auto"/>
            </w:tcBorders>
            <w:vAlign w:val="center"/>
            <w:hideMark/>
          </w:tcPr>
          <w:p w14:paraId="589BC7D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1q22</w:t>
            </w:r>
          </w:p>
        </w:tc>
        <w:tc>
          <w:tcPr>
            <w:tcW w:w="2515" w:type="dxa"/>
            <w:tcBorders>
              <w:top w:val="single" w:sz="4" w:space="0" w:color="auto"/>
              <w:left w:val="single" w:sz="4" w:space="0" w:color="auto"/>
              <w:bottom w:val="single" w:sz="4" w:space="0" w:color="auto"/>
              <w:right w:val="single" w:sz="4" w:space="0" w:color="auto"/>
            </w:tcBorders>
            <w:vAlign w:val="center"/>
            <w:hideMark/>
          </w:tcPr>
          <w:p w14:paraId="6B4D4B27" w14:textId="77777777" w:rsidR="00BE0B19" w:rsidRPr="00AE47C6" w:rsidRDefault="00BE0B19" w:rsidP="00BE0B19">
            <w:pPr>
              <w:spacing w:after="0" w:line="360" w:lineRule="auto"/>
              <w:ind w:firstLine="139"/>
              <w:jc w:val="both"/>
              <w:rPr>
                <w:rFonts w:ascii="Times New Roman" w:eastAsia="SimSun" w:hAnsi="Times New Roman"/>
                <w:sz w:val="24"/>
                <w:szCs w:val="24"/>
              </w:rPr>
            </w:pPr>
            <w:r w:rsidRPr="00AE47C6">
              <w:rPr>
                <w:rFonts w:ascii="Times New Roman" w:eastAsia="SimSun" w:hAnsi="Times New Roman"/>
                <w:sz w:val="24"/>
                <w:szCs w:val="24"/>
              </w:rPr>
              <w:t>СМА със сърдечно засягане</w:t>
            </w:r>
          </w:p>
        </w:tc>
        <w:tc>
          <w:tcPr>
            <w:tcW w:w="3260" w:type="dxa"/>
            <w:tcBorders>
              <w:top w:val="single" w:sz="4" w:space="0" w:color="auto"/>
              <w:left w:val="single" w:sz="4" w:space="0" w:color="auto"/>
              <w:bottom w:val="single" w:sz="4" w:space="0" w:color="auto"/>
              <w:right w:val="single" w:sz="4" w:space="0" w:color="auto"/>
            </w:tcBorders>
            <w:hideMark/>
          </w:tcPr>
          <w:p w14:paraId="0F491A25" w14:textId="77777777" w:rsidR="00BE0B19" w:rsidRPr="00AE47C6" w:rsidRDefault="00BE0B19" w:rsidP="00BE0B19">
            <w:pPr>
              <w:spacing w:after="0" w:line="360" w:lineRule="auto"/>
              <w:ind w:firstLine="34"/>
              <w:jc w:val="both"/>
              <w:rPr>
                <w:rFonts w:ascii="Times New Roman" w:eastAsia="SimSun" w:hAnsi="Times New Roman"/>
                <w:sz w:val="24"/>
                <w:szCs w:val="24"/>
              </w:rPr>
            </w:pPr>
            <w:r w:rsidRPr="00AE47C6">
              <w:rPr>
                <w:rFonts w:ascii="Times New Roman" w:eastAsia="SimSun" w:hAnsi="Times New Roman"/>
                <w:sz w:val="24"/>
                <w:szCs w:val="24"/>
              </w:rPr>
              <w:t>Прогресивна мускулна слабост и кардиомиопатия</w:t>
            </w:r>
          </w:p>
        </w:tc>
      </w:tr>
      <w:tr w:rsidR="00BE0B19" w:rsidRPr="00AE47C6" w14:paraId="51F2EDA1" w14:textId="77777777" w:rsidTr="00AD72E5">
        <w:trPr>
          <w:trHeight w:val="297"/>
        </w:trPr>
        <w:tc>
          <w:tcPr>
            <w:tcW w:w="1589" w:type="dxa"/>
            <w:tcBorders>
              <w:top w:val="single" w:sz="4" w:space="0" w:color="auto"/>
              <w:left w:val="single" w:sz="4" w:space="0" w:color="auto"/>
              <w:bottom w:val="single" w:sz="4" w:space="0" w:color="auto"/>
              <w:right w:val="single" w:sz="4" w:space="0" w:color="auto"/>
            </w:tcBorders>
            <w:vAlign w:val="center"/>
            <w:hideMark/>
          </w:tcPr>
          <w:p w14:paraId="0787576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(602433)</w:t>
            </w:r>
          </w:p>
        </w:tc>
        <w:tc>
          <w:tcPr>
            <w:tcW w:w="1270" w:type="dxa"/>
            <w:tcBorders>
              <w:top w:val="single" w:sz="4" w:space="0" w:color="auto"/>
              <w:left w:val="single" w:sz="4" w:space="0" w:color="auto"/>
              <w:bottom w:val="single" w:sz="4" w:space="0" w:color="auto"/>
              <w:right w:val="single" w:sz="4" w:space="0" w:color="auto"/>
            </w:tcBorders>
            <w:vAlign w:val="center"/>
            <w:hideMark/>
          </w:tcPr>
          <w:p w14:paraId="6E317FF5"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SETX</w:t>
            </w:r>
          </w:p>
        </w:tc>
        <w:tc>
          <w:tcPr>
            <w:tcW w:w="1113" w:type="dxa"/>
            <w:tcBorders>
              <w:top w:val="single" w:sz="4" w:space="0" w:color="auto"/>
              <w:left w:val="single" w:sz="4" w:space="0" w:color="auto"/>
              <w:bottom w:val="single" w:sz="4" w:space="0" w:color="auto"/>
              <w:right w:val="single" w:sz="4" w:space="0" w:color="auto"/>
            </w:tcBorders>
            <w:vAlign w:val="center"/>
            <w:hideMark/>
          </w:tcPr>
          <w:p w14:paraId="7C06D3E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9q34</w:t>
            </w:r>
          </w:p>
        </w:tc>
        <w:tc>
          <w:tcPr>
            <w:tcW w:w="2515" w:type="dxa"/>
            <w:tcBorders>
              <w:top w:val="single" w:sz="4" w:space="0" w:color="auto"/>
              <w:left w:val="single" w:sz="4" w:space="0" w:color="auto"/>
              <w:bottom w:val="single" w:sz="4" w:space="0" w:color="auto"/>
              <w:right w:val="single" w:sz="4" w:space="0" w:color="auto"/>
            </w:tcBorders>
            <w:vAlign w:val="center"/>
            <w:hideMark/>
          </w:tcPr>
          <w:p w14:paraId="2CFC23DB" w14:textId="77777777" w:rsidR="00BE0B19" w:rsidRPr="00AE47C6" w:rsidRDefault="00BE0B19" w:rsidP="00BE0B19">
            <w:pPr>
              <w:spacing w:after="0" w:line="360" w:lineRule="auto"/>
              <w:ind w:firstLine="139"/>
              <w:jc w:val="both"/>
              <w:rPr>
                <w:rFonts w:ascii="Times New Roman" w:eastAsia="SimSun" w:hAnsi="Times New Roman"/>
                <w:sz w:val="24"/>
                <w:szCs w:val="24"/>
              </w:rPr>
            </w:pPr>
            <w:r w:rsidRPr="00AE47C6">
              <w:rPr>
                <w:rFonts w:ascii="Times New Roman" w:eastAsia="SimSun" w:hAnsi="Times New Roman"/>
                <w:sz w:val="24"/>
                <w:szCs w:val="24"/>
              </w:rPr>
              <w:t>Късна СМА с пирамидни белези</w:t>
            </w:r>
          </w:p>
        </w:tc>
        <w:tc>
          <w:tcPr>
            <w:tcW w:w="3260" w:type="dxa"/>
            <w:tcBorders>
              <w:top w:val="single" w:sz="4" w:space="0" w:color="auto"/>
              <w:left w:val="single" w:sz="4" w:space="0" w:color="auto"/>
              <w:bottom w:val="single" w:sz="4" w:space="0" w:color="auto"/>
              <w:right w:val="single" w:sz="4" w:space="0" w:color="auto"/>
            </w:tcBorders>
            <w:hideMark/>
          </w:tcPr>
          <w:p w14:paraId="5FF8416D" w14:textId="77777777" w:rsidR="00BE0B19" w:rsidRPr="00AE47C6" w:rsidRDefault="00BE0B19" w:rsidP="00BE0B19">
            <w:pPr>
              <w:spacing w:after="0" w:line="360" w:lineRule="auto"/>
              <w:ind w:firstLine="34"/>
              <w:jc w:val="both"/>
              <w:rPr>
                <w:rFonts w:ascii="Times New Roman" w:eastAsia="SimSun" w:hAnsi="Times New Roman"/>
                <w:sz w:val="24"/>
                <w:szCs w:val="24"/>
              </w:rPr>
            </w:pPr>
            <w:r w:rsidRPr="00AE47C6">
              <w:rPr>
                <w:rFonts w:ascii="Times New Roman" w:eastAsia="SimSun" w:hAnsi="Times New Roman"/>
                <w:sz w:val="24"/>
                <w:szCs w:val="24"/>
              </w:rPr>
              <w:t>Проксимална и дистална мускулна слабост, тремор на ръцете, живи сухожилно-надкостни рефлекси</w:t>
            </w:r>
          </w:p>
        </w:tc>
      </w:tr>
      <w:tr w:rsidR="00BE0B19" w:rsidRPr="00AE47C6" w14:paraId="1501839E" w14:textId="77777777" w:rsidTr="00AD72E5">
        <w:trPr>
          <w:trHeight w:val="297"/>
        </w:trPr>
        <w:tc>
          <w:tcPr>
            <w:tcW w:w="6487" w:type="dxa"/>
            <w:gridSpan w:val="4"/>
            <w:tcBorders>
              <w:top w:val="single" w:sz="4" w:space="0" w:color="auto"/>
              <w:left w:val="single" w:sz="4" w:space="0" w:color="auto"/>
              <w:bottom w:val="single" w:sz="4" w:space="0" w:color="auto"/>
              <w:right w:val="single" w:sz="4" w:space="0" w:color="auto"/>
            </w:tcBorders>
            <w:vAlign w:val="center"/>
            <w:hideMark/>
          </w:tcPr>
          <w:p w14:paraId="6F931D11" w14:textId="77777777" w:rsidR="00BE0B19" w:rsidRPr="00AE47C6" w:rsidRDefault="00BE0B19" w:rsidP="00BE0B19">
            <w:pPr>
              <w:spacing w:after="0" w:line="360" w:lineRule="auto"/>
              <w:ind w:firstLine="139"/>
              <w:jc w:val="both"/>
              <w:rPr>
                <w:rFonts w:ascii="Times New Roman" w:eastAsia="SimSun" w:hAnsi="Times New Roman"/>
                <w:b/>
                <w:sz w:val="24"/>
                <w:szCs w:val="24"/>
              </w:rPr>
            </w:pPr>
            <w:r w:rsidRPr="00AE47C6">
              <w:rPr>
                <w:rFonts w:ascii="Times New Roman" w:eastAsia="SimSun" w:hAnsi="Times New Roman"/>
                <w:b/>
                <w:sz w:val="24"/>
                <w:szCs w:val="24"/>
              </w:rPr>
              <w:t>АВТОЗОМНО-РЕЦЕСИВНИ</w:t>
            </w:r>
          </w:p>
        </w:tc>
        <w:tc>
          <w:tcPr>
            <w:tcW w:w="3260" w:type="dxa"/>
            <w:tcBorders>
              <w:top w:val="single" w:sz="4" w:space="0" w:color="auto"/>
              <w:left w:val="single" w:sz="4" w:space="0" w:color="auto"/>
              <w:bottom w:val="single" w:sz="4" w:space="0" w:color="auto"/>
              <w:right w:val="single" w:sz="4" w:space="0" w:color="auto"/>
            </w:tcBorders>
          </w:tcPr>
          <w:p w14:paraId="79CEFE5F" w14:textId="77777777" w:rsidR="00BE0B19" w:rsidRPr="00AE47C6" w:rsidRDefault="00BE0B19" w:rsidP="00BE0B19">
            <w:pPr>
              <w:spacing w:after="0" w:line="360" w:lineRule="auto"/>
              <w:ind w:firstLine="34"/>
              <w:jc w:val="both"/>
              <w:rPr>
                <w:rFonts w:ascii="Times New Roman" w:eastAsia="SimSun" w:hAnsi="Times New Roman"/>
                <w:b/>
                <w:i/>
                <w:sz w:val="24"/>
                <w:szCs w:val="24"/>
              </w:rPr>
            </w:pPr>
          </w:p>
        </w:tc>
      </w:tr>
      <w:tr w:rsidR="00BE0B19" w:rsidRPr="00AE47C6" w14:paraId="5402EDA6" w14:textId="77777777" w:rsidTr="00AD72E5">
        <w:trPr>
          <w:trHeight w:val="297"/>
        </w:trPr>
        <w:tc>
          <w:tcPr>
            <w:tcW w:w="6487" w:type="dxa"/>
            <w:gridSpan w:val="4"/>
            <w:tcBorders>
              <w:top w:val="single" w:sz="4" w:space="0" w:color="auto"/>
              <w:left w:val="single" w:sz="4" w:space="0" w:color="auto"/>
              <w:bottom w:val="single" w:sz="4" w:space="0" w:color="auto"/>
              <w:right w:val="single" w:sz="4" w:space="0" w:color="auto"/>
            </w:tcBorders>
            <w:vAlign w:val="center"/>
            <w:hideMark/>
          </w:tcPr>
          <w:p w14:paraId="7622F6AC" w14:textId="77777777" w:rsidR="00BE0B19" w:rsidRPr="00AE47C6" w:rsidRDefault="00BE0B19" w:rsidP="00BE0B19">
            <w:pPr>
              <w:spacing w:after="0" w:line="360" w:lineRule="auto"/>
              <w:ind w:firstLine="139"/>
              <w:jc w:val="both"/>
              <w:rPr>
                <w:rFonts w:ascii="Times New Roman" w:eastAsia="SimSun" w:hAnsi="Times New Roman"/>
                <w:b/>
                <w:i/>
                <w:sz w:val="24"/>
                <w:szCs w:val="24"/>
              </w:rPr>
            </w:pPr>
            <w:r w:rsidRPr="00AE47C6">
              <w:rPr>
                <w:rFonts w:ascii="Times New Roman" w:eastAsia="SimSun" w:hAnsi="Times New Roman"/>
                <w:b/>
                <w:i/>
                <w:sz w:val="24"/>
                <w:szCs w:val="24"/>
              </w:rPr>
              <w:t>Ранно начало</w:t>
            </w:r>
          </w:p>
        </w:tc>
        <w:tc>
          <w:tcPr>
            <w:tcW w:w="3260" w:type="dxa"/>
            <w:tcBorders>
              <w:top w:val="single" w:sz="4" w:space="0" w:color="auto"/>
              <w:left w:val="single" w:sz="4" w:space="0" w:color="auto"/>
              <w:bottom w:val="single" w:sz="4" w:space="0" w:color="auto"/>
              <w:right w:val="single" w:sz="4" w:space="0" w:color="auto"/>
            </w:tcBorders>
          </w:tcPr>
          <w:p w14:paraId="365E201E" w14:textId="77777777" w:rsidR="00BE0B19" w:rsidRPr="00AE47C6" w:rsidRDefault="00BE0B19" w:rsidP="00BE0B19">
            <w:pPr>
              <w:spacing w:after="0" w:line="360" w:lineRule="auto"/>
              <w:ind w:firstLine="34"/>
              <w:jc w:val="both"/>
              <w:rPr>
                <w:rFonts w:ascii="Times New Roman" w:eastAsia="SimSun" w:hAnsi="Times New Roman"/>
                <w:b/>
                <w:i/>
                <w:sz w:val="24"/>
                <w:szCs w:val="24"/>
              </w:rPr>
            </w:pPr>
          </w:p>
        </w:tc>
      </w:tr>
      <w:tr w:rsidR="00BE0B19" w:rsidRPr="00AE47C6" w14:paraId="7BDB4423" w14:textId="77777777" w:rsidTr="00AD72E5">
        <w:trPr>
          <w:trHeight w:val="297"/>
        </w:trPr>
        <w:tc>
          <w:tcPr>
            <w:tcW w:w="1589" w:type="dxa"/>
            <w:tcBorders>
              <w:top w:val="single" w:sz="4" w:space="0" w:color="auto"/>
              <w:left w:val="single" w:sz="4" w:space="0" w:color="auto"/>
              <w:bottom w:val="single" w:sz="4" w:space="0" w:color="auto"/>
              <w:right w:val="single" w:sz="4" w:space="0" w:color="auto"/>
            </w:tcBorders>
            <w:vAlign w:val="center"/>
            <w:hideMark/>
          </w:tcPr>
          <w:p w14:paraId="0F63CF7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 (159950)</w:t>
            </w:r>
          </w:p>
        </w:tc>
        <w:tc>
          <w:tcPr>
            <w:tcW w:w="1270" w:type="dxa"/>
            <w:tcBorders>
              <w:top w:val="single" w:sz="4" w:space="0" w:color="auto"/>
              <w:left w:val="single" w:sz="4" w:space="0" w:color="auto"/>
              <w:bottom w:val="single" w:sz="4" w:space="0" w:color="auto"/>
              <w:right w:val="single" w:sz="4" w:space="0" w:color="auto"/>
            </w:tcBorders>
            <w:vAlign w:val="center"/>
            <w:hideMark/>
          </w:tcPr>
          <w:p w14:paraId="031B2A74"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ASAH1</w:t>
            </w:r>
          </w:p>
        </w:tc>
        <w:tc>
          <w:tcPr>
            <w:tcW w:w="1113" w:type="dxa"/>
            <w:tcBorders>
              <w:top w:val="single" w:sz="4" w:space="0" w:color="auto"/>
              <w:left w:val="single" w:sz="4" w:space="0" w:color="auto"/>
              <w:bottom w:val="single" w:sz="4" w:space="0" w:color="auto"/>
              <w:right w:val="single" w:sz="4" w:space="0" w:color="auto"/>
            </w:tcBorders>
            <w:vAlign w:val="center"/>
            <w:hideMark/>
          </w:tcPr>
          <w:p w14:paraId="4438614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8p22</w:t>
            </w:r>
          </w:p>
        </w:tc>
        <w:tc>
          <w:tcPr>
            <w:tcW w:w="2515" w:type="dxa"/>
            <w:tcBorders>
              <w:top w:val="single" w:sz="4" w:space="0" w:color="auto"/>
              <w:left w:val="single" w:sz="4" w:space="0" w:color="auto"/>
              <w:bottom w:val="single" w:sz="4" w:space="0" w:color="auto"/>
              <w:right w:val="single" w:sz="4" w:space="0" w:color="auto"/>
            </w:tcBorders>
            <w:vAlign w:val="center"/>
            <w:hideMark/>
          </w:tcPr>
          <w:p w14:paraId="41F8E964" w14:textId="77777777" w:rsidR="00BE0B19" w:rsidRPr="00AE47C6" w:rsidRDefault="00BE0B19" w:rsidP="00BE0B19">
            <w:pPr>
              <w:spacing w:after="0" w:line="360" w:lineRule="auto"/>
              <w:ind w:firstLine="139"/>
              <w:jc w:val="both"/>
              <w:rPr>
                <w:rFonts w:ascii="Times New Roman" w:eastAsia="SimSun" w:hAnsi="Times New Roman"/>
                <w:sz w:val="24"/>
                <w:szCs w:val="24"/>
              </w:rPr>
            </w:pPr>
            <w:r w:rsidRPr="00AE47C6">
              <w:rPr>
                <w:rFonts w:ascii="Times New Roman" w:eastAsia="SimSun" w:hAnsi="Times New Roman"/>
                <w:sz w:val="24"/>
                <w:szCs w:val="24"/>
              </w:rPr>
              <w:t>СМА с прогресивна миоклонична епилепсия</w:t>
            </w:r>
          </w:p>
        </w:tc>
        <w:tc>
          <w:tcPr>
            <w:tcW w:w="3260" w:type="dxa"/>
            <w:tcBorders>
              <w:top w:val="single" w:sz="4" w:space="0" w:color="auto"/>
              <w:left w:val="single" w:sz="4" w:space="0" w:color="auto"/>
              <w:bottom w:val="single" w:sz="4" w:space="0" w:color="auto"/>
              <w:right w:val="single" w:sz="4" w:space="0" w:color="auto"/>
            </w:tcBorders>
            <w:hideMark/>
          </w:tcPr>
          <w:p w14:paraId="051E70D5" w14:textId="77777777" w:rsidR="00BE0B19" w:rsidRPr="00AE47C6" w:rsidRDefault="00BE0B19" w:rsidP="00BE0B19">
            <w:pPr>
              <w:spacing w:after="0" w:line="360" w:lineRule="auto"/>
              <w:ind w:firstLine="34"/>
              <w:jc w:val="both"/>
              <w:rPr>
                <w:rFonts w:ascii="Times New Roman" w:eastAsia="SimSun" w:hAnsi="Times New Roman"/>
                <w:sz w:val="24"/>
                <w:szCs w:val="24"/>
              </w:rPr>
            </w:pPr>
            <w:r w:rsidRPr="00AE47C6">
              <w:rPr>
                <w:rFonts w:ascii="Times New Roman" w:eastAsia="SimSun" w:hAnsi="Times New Roman"/>
                <w:sz w:val="24"/>
                <w:szCs w:val="24"/>
              </w:rPr>
              <w:t>Рефрактерна на терапия миоклонично епилепсия, дисфагия, дихателна слабост</w:t>
            </w:r>
          </w:p>
        </w:tc>
      </w:tr>
      <w:tr w:rsidR="00BE0B19" w:rsidRPr="00AE47C6" w14:paraId="37D95212" w14:textId="77777777" w:rsidTr="00AD72E5">
        <w:trPr>
          <w:trHeight w:val="297"/>
        </w:trPr>
        <w:tc>
          <w:tcPr>
            <w:tcW w:w="1589" w:type="dxa"/>
            <w:tcBorders>
              <w:top w:val="single" w:sz="4" w:space="0" w:color="auto"/>
              <w:left w:val="single" w:sz="4" w:space="0" w:color="auto"/>
              <w:bottom w:val="single" w:sz="4" w:space="0" w:color="auto"/>
              <w:right w:val="single" w:sz="4" w:space="0" w:color="auto"/>
            </w:tcBorders>
            <w:vAlign w:val="center"/>
            <w:hideMark/>
          </w:tcPr>
          <w:p w14:paraId="25D1EBB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 (607596)</w:t>
            </w:r>
          </w:p>
        </w:tc>
        <w:tc>
          <w:tcPr>
            <w:tcW w:w="1270" w:type="dxa"/>
            <w:tcBorders>
              <w:top w:val="single" w:sz="4" w:space="0" w:color="auto"/>
              <w:left w:val="single" w:sz="4" w:space="0" w:color="auto"/>
              <w:bottom w:val="single" w:sz="4" w:space="0" w:color="auto"/>
              <w:right w:val="single" w:sz="4" w:space="0" w:color="auto"/>
            </w:tcBorders>
            <w:vAlign w:val="center"/>
            <w:hideMark/>
          </w:tcPr>
          <w:p w14:paraId="014CFF8A"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VRK1</w:t>
            </w:r>
          </w:p>
        </w:tc>
        <w:tc>
          <w:tcPr>
            <w:tcW w:w="1113" w:type="dxa"/>
            <w:tcBorders>
              <w:top w:val="single" w:sz="4" w:space="0" w:color="auto"/>
              <w:left w:val="single" w:sz="4" w:space="0" w:color="auto"/>
              <w:bottom w:val="single" w:sz="4" w:space="0" w:color="auto"/>
              <w:right w:val="single" w:sz="4" w:space="0" w:color="auto"/>
            </w:tcBorders>
            <w:vAlign w:val="center"/>
            <w:hideMark/>
          </w:tcPr>
          <w:p w14:paraId="01F3F0C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14q32.2</w:t>
            </w:r>
          </w:p>
        </w:tc>
        <w:tc>
          <w:tcPr>
            <w:tcW w:w="2515" w:type="dxa"/>
            <w:tcBorders>
              <w:top w:val="single" w:sz="4" w:space="0" w:color="auto"/>
              <w:left w:val="single" w:sz="4" w:space="0" w:color="auto"/>
              <w:bottom w:val="single" w:sz="4" w:space="0" w:color="auto"/>
              <w:right w:val="single" w:sz="4" w:space="0" w:color="auto"/>
            </w:tcBorders>
            <w:vAlign w:val="center"/>
            <w:hideMark/>
          </w:tcPr>
          <w:p w14:paraId="0667E89F" w14:textId="77777777" w:rsidR="00BE0B19" w:rsidRPr="00AE47C6" w:rsidRDefault="00BE0B19" w:rsidP="00BE0B19">
            <w:pPr>
              <w:spacing w:after="0" w:line="360" w:lineRule="auto"/>
              <w:ind w:firstLine="139"/>
              <w:jc w:val="both"/>
              <w:rPr>
                <w:rFonts w:ascii="Times New Roman" w:eastAsia="SimSun" w:hAnsi="Times New Roman"/>
                <w:sz w:val="24"/>
                <w:szCs w:val="24"/>
              </w:rPr>
            </w:pPr>
            <w:r w:rsidRPr="00AE47C6">
              <w:rPr>
                <w:rFonts w:ascii="Times New Roman" w:eastAsia="SimSun" w:hAnsi="Times New Roman"/>
                <w:sz w:val="24"/>
                <w:szCs w:val="24"/>
              </w:rPr>
              <w:t>Понтоцеребеларна хипоплазия с инфантилна СМА</w:t>
            </w:r>
          </w:p>
        </w:tc>
        <w:tc>
          <w:tcPr>
            <w:tcW w:w="3260" w:type="dxa"/>
            <w:tcBorders>
              <w:top w:val="single" w:sz="4" w:space="0" w:color="auto"/>
              <w:left w:val="single" w:sz="4" w:space="0" w:color="auto"/>
              <w:bottom w:val="single" w:sz="4" w:space="0" w:color="auto"/>
              <w:right w:val="single" w:sz="4" w:space="0" w:color="auto"/>
            </w:tcBorders>
            <w:hideMark/>
          </w:tcPr>
          <w:p w14:paraId="5B53C5D5" w14:textId="77777777" w:rsidR="00BE0B19" w:rsidRPr="00AE47C6" w:rsidRDefault="00BE0B19" w:rsidP="00BE0B19">
            <w:pPr>
              <w:spacing w:after="0" w:line="360" w:lineRule="auto"/>
              <w:ind w:firstLine="34"/>
              <w:jc w:val="both"/>
              <w:rPr>
                <w:rFonts w:ascii="Times New Roman" w:eastAsia="SimSun" w:hAnsi="Times New Roman"/>
                <w:sz w:val="24"/>
                <w:szCs w:val="24"/>
              </w:rPr>
            </w:pPr>
            <w:r w:rsidRPr="00AE47C6">
              <w:rPr>
                <w:rFonts w:ascii="Times New Roman" w:eastAsia="SimSun" w:hAnsi="Times New Roman"/>
                <w:sz w:val="24"/>
                <w:szCs w:val="24"/>
              </w:rPr>
              <w:t>Понтоцеребеларна хипоплазия, микроцефалия, умствена изостаналост</w:t>
            </w:r>
          </w:p>
        </w:tc>
      </w:tr>
      <w:tr w:rsidR="00BE0B19" w:rsidRPr="00AE47C6" w14:paraId="18881ACD" w14:textId="77777777" w:rsidTr="00AD72E5">
        <w:trPr>
          <w:trHeight w:val="297"/>
        </w:trPr>
        <w:tc>
          <w:tcPr>
            <w:tcW w:w="1589" w:type="dxa"/>
            <w:tcBorders>
              <w:top w:val="single" w:sz="4" w:space="0" w:color="auto"/>
              <w:left w:val="single" w:sz="4" w:space="0" w:color="auto"/>
              <w:bottom w:val="single" w:sz="4" w:space="0" w:color="auto"/>
              <w:right w:val="single" w:sz="4" w:space="0" w:color="auto"/>
            </w:tcBorders>
            <w:vAlign w:val="center"/>
            <w:hideMark/>
          </w:tcPr>
          <w:p w14:paraId="272E472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 (614678)</w:t>
            </w:r>
          </w:p>
        </w:tc>
        <w:tc>
          <w:tcPr>
            <w:tcW w:w="1270" w:type="dxa"/>
            <w:tcBorders>
              <w:top w:val="single" w:sz="4" w:space="0" w:color="auto"/>
              <w:left w:val="single" w:sz="4" w:space="0" w:color="auto"/>
              <w:bottom w:val="single" w:sz="4" w:space="0" w:color="auto"/>
              <w:right w:val="single" w:sz="4" w:space="0" w:color="auto"/>
            </w:tcBorders>
            <w:vAlign w:val="center"/>
            <w:hideMark/>
          </w:tcPr>
          <w:p w14:paraId="356D132A"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EXOSC3</w:t>
            </w:r>
          </w:p>
        </w:tc>
        <w:tc>
          <w:tcPr>
            <w:tcW w:w="1113" w:type="dxa"/>
            <w:tcBorders>
              <w:top w:val="single" w:sz="4" w:space="0" w:color="auto"/>
              <w:left w:val="single" w:sz="4" w:space="0" w:color="auto"/>
              <w:bottom w:val="single" w:sz="4" w:space="0" w:color="auto"/>
              <w:right w:val="single" w:sz="4" w:space="0" w:color="auto"/>
            </w:tcBorders>
            <w:vAlign w:val="center"/>
            <w:hideMark/>
          </w:tcPr>
          <w:p w14:paraId="3485043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9p13.2</w:t>
            </w:r>
          </w:p>
        </w:tc>
        <w:tc>
          <w:tcPr>
            <w:tcW w:w="2515" w:type="dxa"/>
            <w:tcBorders>
              <w:top w:val="single" w:sz="4" w:space="0" w:color="auto"/>
              <w:left w:val="single" w:sz="4" w:space="0" w:color="auto"/>
              <w:bottom w:val="single" w:sz="4" w:space="0" w:color="auto"/>
              <w:right w:val="single" w:sz="4" w:space="0" w:color="auto"/>
            </w:tcBorders>
            <w:vAlign w:val="center"/>
            <w:hideMark/>
          </w:tcPr>
          <w:p w14:paraId="6E001A55" w14:textId="77777777" w:rsidR="00BE0B19" w:rsidRPr="00AE47C6" w:rsidRDefault="00BE0B19" w:rsidP="00BE0B19">
            <w:pPr>
              <w:spacing w:after="0" w:line="360" w:lineRule="auto"/>
              <w:ind w:firstLine="139"/>
              <w:jc w:val="both"/>
              <w:rPr>
                <w:rFonts w:ascii="Times New Roman" w:eastAsia="SimSun" w:hAnsi="Times New Roman"/>
                <w:sz w:val="24"/>
                <w:szCs w:val="24"/>
              </w:rPr>
            </w:pPr>
            <w:r w:rsidRPr="00AE47C6">
              <w:rPr>
                <w:rFonts w:ascii="Times New Roman" w:eastAsia="SimSun" w:hAnsi="Times New Roman"/>
                <w:sz w:val="24"/>
                <w:szCs w:val="24"/>
              </w:rPr>
              <w:t>Понтоцеребеларна хипоплазия с инфантилна СМА</w:t>
            </w:r>
          </w:p>
        </w:tc>
        <w:tc>
          <w:tcPr>
            <w:tcW w:w="3260" w:type="dxa"/>
            <w:tcBorders>
              <w:top w:val="single" w:sz="4" w:space="0" w:color="auto"/>
              <w:left w:val="single" w:sz="4" w:space="0" w:color="auto"/>
              <w:bottom w:val="single" w:sz="4" w:space="0" w:color="auto"/>
              <w:right w:val="single" w:sz="4" w:space="0" w:color="auto"/>
            </w:tcBorders>
            <w:hideMark/>
          </w:tcPr>
          <w:p w14:paraId="14FF12FC" w14:textId="77777777" w:rsidR="00BE0B19" w:rsidRPr="00AE47C6" w:rsidRDefault="00BE0B19" w:rsidP="00BE0B19">
            <w:pPr>
              <w:spacing w:after="0" w:line="360" w:lineRule="auto"/>
              <w:ind w:firstLine="34"/>
              <w:jc w:val="both"/>
              <w:rPr>
                <w:rFonts w:ascii="Times New Roman" w:eastAsia="SimSun" w:hAnsi="Times New Roman"/>
                <w:sz w:val="24"/>
                <w:szCs w:val="24"/>
              </w:rPr>
            </w:pPr>
            <w:r w:rsidRPr="00AE47C6">
              <w:rPr>
                <w:rFonts w:ascii="Times New Roman" w:eastAsia="SimSun" w:hAnsi="Times New Roman"/>
                <w:sz w:val="24"/>
                <w:szCs w:val="24"/>
              </w:rPr>
              <w:t>Понтоцеребеларна хипоплазия, микроцефалия, умствена изостаналост</w:t>
            </w:r>
          </w:p>
        </w:tc>
      </w:tr>
      <w:tr w:rsidR="00BE0B19" w:rsidRPr="00AE47C6" w14:paraId="45F0371D" w14:textId="77777777" w:rsidTr="00AD72E5">
        <w:trPr>
          <w:trHeight w:val="297"/>
        </w:trPr>
        <w:tc>
          <w:tcPr>
            <w:tcW w:w="1589" w:type="dxa"/>
            <w:tcBorders>
              <w:top w:val="single" w:sz="4" w:space="0" w:color="auto"/>
              <w:left w:val="single" w:sz="4" w:space="0" w:color="auto"/>
              <w:bottom w:val="single" w:sz="4" w:space="0" w:color="auto"/>
              <w:right w:val="single" w:sz="4" w:space="0" w:color="auto"/>
            </w:tcBorders>
            <w:vAlign w:val="center"/>
            <w:hideMark/>
          </w:tcPr>
          <w:p w14:paraId="3878E85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(611890)</w:t>
            </w:r>
          </w:p>
        </w:tc>
        <w:tc>
          <w:tcPr>
            <w:tcW w:w="1270" w:type="dxa"/>
            <w:tcBorders>
              <w:top w:val="single" w:sz="4" w:space="0" w:color="auto"/>
              <w:left w:val="single" w:sz="4" w:space="0" w:color="auto"/>
              <w:bottom w:val="single" w:sz="4" w:space="0" w:color="auto"/>
              <w:right w:val="single" w:sz="4" w:space="0" w:color="auto"/>
            </w:tcBorders>
            <w:vAlign w:val="center"/>
            <w:hideMark/>
          </w:tcPr>
          <w:p w14:paraId="117712FA"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GLE1</w:t>
            </w:r>
          </w:p>
        </w:tc>
        <w:tc>
          <w:tcPr>
            <w:tcW w:w="1113" w:type="dxa"/>
            <w:tcBorders>
              <w:top w:val="single" w:sz="4" w:space="0" w:color="auto"/>
              <w:left w:val="single" w:sz="4" w:space="0" w:color="auto"/>
              <w:bottom w:val="single" w:sz="4" w:space="0" w:color="auto"/>
              <w:right w:val="single" w:sz="4" w:space="0" w:color="auto"/>
            </w:tcBorders>
            <w:hideMark/>
          </w:tcPr>
          <w:p w14:paraId="201FB67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9q34.11 </w:t>
            </w:r>
          </w:p>
        </w:tc>
        <w:tc>
          <w:tcPr>
            <w:tcW w:w="2515" w:type="dxa"/>
            <w:tcBorders>
              <w:top w:val="single" w:sz="4" w:space="0" w:color="auto"/>
              <w:left w:val="single" w:sz="4" w:space="0" w:color="auto"/>
              <w:bottom w:val="single" w:sz="4" w:space="0" w:color="auto"/>
              <w:right w:val="single" w:sz="4" w:space="0" w:color="auto"/>
            </w:tcBorders>
            <w:vAlign w:val="center"/>
            <w:hideMark/>
          </w:tcPr>
          <w:p w14:paraId="7BA7F587" w14:textId="77777777" w:rsidR="00BE0B19" w:rsidRPr="00AE47C6" w:rsidRDefault="00BE0B19" w:rsidP="00BE0B19">
            <w:pPr>
              <w:spacing w:after="0" w:line="360" w:lineRule="auto"/>
              <w:ind w:firstLine="139"/>
              <w:jc w:val="both"/>
              <w:rPr>
                <w:rFonts w:ascii="Times New Roman" w:eastAsia="SimSun" w:hAnsi="Times New Roman"/>
                <w:sz w:val="24"/>
                <w:szCs w:val="24"/>
              </w:rPr>
            </w:pPr>
            <w:r w:rsidRPr="00AE47C6">
              <w:rPr>
                <w:rFonts w:ascii="Times New Roman" w:eastAsia="SimSun" w:hAnsi="Times New Roman"/>
                <w:sz w:val="24"/>
                <w:szCs w:val="24"/>
              </w:rPr>
              <w:t>Артрогрипоза със засягане на периферния двигателен неврон</w:t>
            </w:r>
          </w:p>
        </w:tc>
        <w:tc>
          <w:tcPr>
            <w:tcW w:w="3260" w:type="dxa"/>
            <w:tcBorders>
              <w:top w:val="single" w:sz="4" w:space="0" w:color="auto"/>
              <w:left w:val="single" w:sz="4" w:space="0" w:color="auto"/>
              <w:bottom w:val="single" w:sz="4" w:space="0" w:color="auto"/>
              <w:right w:val="single" w:sz="4" w:space="0" w:color="auto"/>
            </w:tcBorders>
          </w:tcPr>
          <w:p w14:paraId="7583375F" w14:textId="77777777" w:rsidR="00BE0B19" w:rsidRPr="00AE47C6" w:rsidRDefault="00BE0B19" w:rsidP="00BE0B19">
            <w:pPr>
              <w:spacing w:after="0" w:line="360" w:lineRule="auto"/>
              <w:ind w:firstLine="34"/>
              <w:jc w:val="both"/>
              <w:rPr>
                <w:rFonts w:ascii="Times New Roman" w:eastAsia="SimSun" w:hAnsi="Times New Roman"/>
                <w:sz w:val="24"/>
                <w:szCs w:val="24"/>
              </w:rPr>
            </w:pPr>
          </w:p>
        </w:tc>
      </w:tr>
      <w:tr w:rsidR="00BE0B19" w:rsidRPr="00AE47C6" w14:paraId="04ED9131" w14:textId="77777777" w:rsidTr="00AD72E5">
        <w:trPr>
          <w:trHeight w:val="297"/>
        </w:trPr>
        <w:tc>
          <w:tcPr>
            <w:tcW w:w="1589" w:type="dxa"/>
            <w:tcBorders>
              <w:top w:val="single" w:sz="4" w:space="0" w:color="auto"/>
              <w:left w:val="single" w:sz="4" w:space="0" w:color="auto"/>
              <w:bottom w:val="single" w:sz="4" w:space="0" w:color="auto"/>
              <w:right w:val="single" w:sz="4" w:space="0" w:color="auto"/>
            </w:tcBorders>
            <w:vAlign w:val="center"/>
            <w:hideMark/>
          </w:tcPr>
          <w:p w14:paraId="2B7F3A4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(614707)</w:t>
            </w:r>
          </w:p>
        </w:tc>
        <w:tc>
          <w:tcPr>
            <w:tcW w:w="1270" w:type="dxa"/>
            <w:tcBorders>
              <w:top w:val="single" w:sz="4" w:space="0" w:color="auto"/>
              <w:left w:val="single" w:sz="4" w:space="0" w:color="auto"/>
              <w:bottom w:val="single" w:sz="4" w:space="0" w:color="auto"/>
              <w:right w:val="single" w:sz="4" w:space="0" w:color="auto"/>
            </w:tcBorders>
            <w:vAlign w:val="center"/>
            <w:hideMark/>
          </w:tcPr>
          <w:p w14:paraId="4AEAF74D"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SLC52A3, SLC52A2</w:t>
            </w:r>
          </w:p>
        </w:tc>
        <w:tc>
          <w:tcPr>
            <w:tcW w:w="1113" w:type="dxa"/>
            <w:tcBorders>
              <w:top w:val="single" w:sz="4" w:space="0" w:color="auto"/>
              <w:left w:val="single" w:sz="4" w:space="0" w:color="auto"/>
              <w:bottom w:val="single" w:sz="4" w:space="0" w:color="auto"/>
              <w:right w:val="single" w:sz="4" w:space="0" w:color="auto"/>
            </w:tcBorders>
            <w:vAlign w:val="center"/>
          </w:tcPr>
          <w:p w14:paraId="331E3272" w14:textId="77777777" w:rsidR="00BE0B19" w:rsidRPr="00AE47C6" w:rsidRDefault="00BE0B19" w:rsidP="00BE0B19">
            <w:pPr>
              <w:spacing w:after="0" w:line="360" w:lineRule="auto"/>
              <w:ind w:firstLine="709"/>
              <w:jc w:val="both"/>
              <w:rPr>
                <w:rFonts w:ascii="Times New Roman" w:eastAsia="SimSun" w:hAnsi="Times New Roman"/>
                <w:sz w:val="24"/>
                <w:szCs w:val="24"/>
              </w:rPr>
            </w:pPr>
          </w:p>
        </w:tc>
        <w:tc>
          <w:tcPr>
            <w:tcW w:w="2515" w:type="dxa"/>
            <w:tcBorders>
              <w:top w:val="single" w:sz="4" w:space="0" w:color="auto"/>
              <w:left w:val="single" w:sz="4" w:space="0" w:color="auto"/>
              <w:bottom w:val="single" w:sz="4" w:space="0" w:color="auto"/>
              <w:right w:val="single" w:sz="4" w:space="0" w:color="auto"/>
            </w:tcBorders>
            <w:vAlign w:val="center"/>
          </w:tcPr>
          <w:p w14:paraId="2882015A" w14:textId="77777777" w:rsidR="00BE0B19" w:rsidRPr="00AE47C6" w:rsidRDefault="00BE0B19" w:rsidP="00BE0B19">
            <w:pPr>
              <w:spacing w:after="0" w:line="360" w:lineRule="auto"/>
              <w:ind w:firstLine="139"/>
              <w:jc w:val="both"/>
              <w:rPr>
                <w:rFonts w:ascii="Times New Roman" w:eastAsia="SimSun" w:hAnsi="Times New Roman"/>
                <w:sz w:val="24"/>
                <w:szCs w:val="24"/>
              </w:rPr>
            </w:pPr>
            <w:r w:rsidRPr="00AE47C6">
              <w:rPr>
                <w:rFonts w:ascii="Times New Roman" w:eastAsia="SimSun" w:hAnsi="Times New Roman"/>
                <w:sz w:val="24"/>
                <w:szCs w:val="24"/>
              </w:rPr>
              <w:t>Brown-Vialetto-Van Laere синдром</w:t>
            </w:r>
          </w:p>
          <w:p w14:paraId="1E7AAD8B" w14:textId="77777777" w:rsidR="00BE0B19" w:rsidRPr="00AE47C6" w:rsidRDefault="00BE0B19" w:rsidP="00BE0B19">
            <w:pPr>
              <w:spacing w:after="0" w:line="360" w:lineRule="auto"/>
              <w:ind w:firstLine="139"/>
              <w:jc w:val="both"/>
              <w:rPr>
                <w:rFonts w:ascii="Times New Roman" w:eastAsia="SimSun" w:hAnsi="Times New Roman"/>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14:paraId="63606AC9" w14:textId="77777777" w:rsidR="00BE0B19" w:rsidRPr="00AE47C6" w:rsidRDefault="00BE0B19" w:rsidP="00BE0B19">
            <w:pPr>
              <w:spacing w:after="0" w:line="360" w:lineRule="auto"/>
              <w:ind w:firstLine="34"/>
              <w:jc w:val="both"/>
              <w:rPr>
                <w:rFonts w:ascii="Times New Roman" w:eastAsia="SimSun" w:hAnsi="Times New Roman"/>
                <w:sz w:val="24"/>
                <w:szCs w:val="24"/>
              </w:rPr>
            </w:pPr>
            <w:r w:rsidRPr="00AE47C6">
              <w:rPr>
                <w:rFonts w:ascii="Times New Roman" w:eastAsia="SimSun" w:hAnsi="Times New Roman"/>
                <w:sz w:val="24"/>
                <w:szCs w:val="24"/>
              </w:rPr>
              <w:t>Понтобулбарно засягане и невросензорна глухота</w:t>
            </w:r>
          </w:p>
        </w:tc>
      </w:tr>
      <w:tr w:rsidR="00BE0B19" w:rsidRPr="00AE47C6" w14:paraId="60F5DE52" w14:textId="77777777" w:rsidTr="00AD72E5">
        <w:trPr>
          <w:trHeight w:val="297"/>
        </w:trPr>
        <w:tc>
          <w:tcPr>
            <w:tcW w:w="6487" w:type="dxa"/>
            <w:gridSpan w:val="4"/>
            <w:tcBorders>
              <w:top w:val="single" w:sz="4" w:space="0" w:color="auto"/>
              <w:left w:val="single" w:sz="4" w:space="0" w:color="auto"/>
              <w:bottom w:val="single" w:sz="4" w:space="0" w:color="auto"/>
              <w:right w:val="single" w:sz="4" w:space="0" w:color="auto"/>
            </w:tcBorders>
            <w:vAlign w:val="center"/>
            <w:hideMark/>
          </w:tcPr>
          <w:p w14:paraId="28E7B50E" w14:textId="77777777" w:rsidR="00BE0B19" w:rsidRPr="00AE47C6" w:rsidRDefault="00BE0B19" w:rsidP="00BE0B19">
            <w:pPr>
              <w:spacing w:after="0" w:line="360" w:lineRule="auto"/>
              <w:ind w:firstLine="139"/>
              <w:jc w:val="both"/>
              <w:rPr>
                <w:rFonts w:ascii="Times New Roman" w:eastAsia="SimSun" w:hAnsi="Times New Roman"/>
                <w:sz w:val="24"/>
                <w:szCs w:val="24"/>
              </w:rPr>
            </w:pPr>
            <w:r w:rsidRPr="00AE47C6">
              <w:rPr>
                <w:rFonts w:ascii="Times New Roman" w:eastAsia="SimSun" w:hAnsi="Times New Roman"/>
                <w:b/>
                <w:i/>
                <w:sz w:val="24"/>
                <w:szCs w:val="24"/>
              </w:rPr>
              <w:t>Късно начало</w:t>
            </w:r>
          </w:p>
        </w:tc>
        <w:tc>
          <w:tcPr>
            <w:tcW w:w="3260" w:type="dxa"/>
            <w:tcBorders>
              <w:top w:val="single" w:sz="4" w:space="0" w:color="auto"/>
              <w:left w:val="single" w:sz="4" w:space="0" w:color="auto"/>
              <w:bottom w:val="single" w:sz="4" w:space="0" w:color="auto"/>
              <w:right w:val="single" w:sz="4" w:space="0" w:color="auto"/>
            </w:tcBorders>
          </w:tcPr>
          <w:p w14:paraId="5C19B306" w14:textId="77777777" w:rsidR="00BE0B19" w:rsidRPr="00AE47C6" w:rsidRDefault="00BE0B19" w:rsidP="00BE0B19">
            <w:pPr>
              <w:spacing w:after="0" w:line="360" w:lineRule="auto"/>
              <w:ind w:firstLine="34"/>
              <w:jc w:val="both"/>
              <w:rPr>
                <w:rFonts w:ascii="Times New Roman" w:eastAsia="SimSun" w:hAnsi="Times New Roman"/>
                <w:sz w:val="24"/>
                <w:szCs w:val="24"/>
              </w:rPr>
            </w:pPr>
          </w:p>
        </w:tc>
      </w:tr>
      <w:tr w:rsidR="00BE0B19" w:rsidRPr="00AE47C6" w14:paraId="2B9C61AA" w14:textId="77777777" w:rsidTr="00AD72E5">
        <w:trPr>
          <w:trHeight w:val="297"/>
        </w:trPr>
        <w:tc>
          <w:tcPr>
            <w:tcW w:w="1589" w:type="dxa"/>
            <w:tcBorders>
              <w:top w:val="single" w:sz="4" w:space="0" w:color="auto"/>
              <w:left w:val="single" w:sz="4" w:space="0" w:color="auto"/>
              <w:bottom w:val="single" w:sz="4" w:space="0" w:color="auto"/>
              <w:right w:val="single" w:sz="4" w:space="0" w:color="auto"/>
            </w:tcBorders>
            <w:vAlign w:val="center"/>
            <w:hideMark/>
          </w:tcPr>
          <w:p w14:paraId="535ED44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XXXX</w:t>
            </w:r>
          </w:p>
        </w:tc>
        <w:tc>
          <w:tcPr>
            <w:tcW w:w="1270" w:type="dxa"/>
            <w:tcBorders>
              <w:top w:val="single" w:sz="4" w:space="0" w:color="auto"/>
              <w:left w:val="single" w:sz="4" w:space="0" w:color="auto"/>
              <w:bottom w:val="single" w:sz="4" w:space="0" w:color="auto"/>
              <w:right w:val="single" w:sz="4" w:space="0" w:color="auto"/>
            </w:tcBorders>
            <w:vAlign w:val="center"/>
            <w:hideMark/>
          </w:tcPr>
          <w:p w14:paraId="780224CB"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HEXB</w:t>
            </w:r>
          </w:p>
        </w:tc>
        <w:tc>
          <w:tcPr>
            <w:tcW w:w="1113" w:type="dxa"/>
            <w:tcBorders>
              <w:top w:val="single" w:sz="4" w:space="0" w:color="auto"/>
              <w:left w:val="single" w:sz="4" w:space="0" w:color="auto"/>
              <w:bottom w:val="single" w:sz="4" w:space="0" w:color="auto"/>
              <w:right w:val="single" w:sz="4" w:space="0" w:color="auto"/>
            </w:tcBorders>
            <w:vAlign w:val="center"/>
            <w:hideMark/>
          </w:tcPr>
          <w:p w14:paraId="054A75C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5q13.3</w:t>
            </w:r>
          </w:p>
        </w:tc>
        <w:tc>
          <w:tcPr>
            <w:tcW w:w="2515" w:type="dxa"/>
            <w:tcBorders>
              <w:top w:val="single" w:sz="4" w:space="0" w:color="auto"/>
              <w:left w:val="single" w:sz="4" w:space="0" w:color="auto"/>
              <w:bottom w:val="single" w:sz="4" w:space="0" w:color="auto"/>
              <w:right w:val="single" w:sz="4" w:space="0" w:color="auto"/>
            </w:tcBorders>
            <w:vAlign w:val="center"/>
            <w:hideMark/>
          </w:tcPr>
          <w:p w14:paraId="1494709E" w14:textId="77777777" w:rsidR="00BE0B19" w:rsidRPr="00AE47C6" w:rsidRDefault="00BE0B19" w:rsidP="00BE0B19">
            <w:pPr>
              <w:spacing w:after="0" w:line="360" w:lineRule="auto"/>
              <w:ind w:firstLine="139"/>
              <w:jc w:val="both"/>
              <w:rPr>
                <w:rFonts w:ascii="Times New Roman" w:eastAsia="SimSun" w:hAnsi="Times New Roman"/>
                <w:sz w:val="24"/>
                <w:szCs w:val="24"/>
              </w:rPr>
            </w:pPr>
            <w:r w:rsidRPr="00AE47C6">
              <w:rPr>
                <w:rFonts w:ascii="Times New Roman" w:eastAsia="SimSun" w:hAnsi="Times New Roman"/>
                <w:sz w:val="24"/>
                <w:szCs w:val="24"/>
              </w:rPr>
              <w:t>СМА</w:t>
            </w:r>
          </w:p>
        </w:tc>
        <w:tc>
          <w:tcPr>
            <w:tcW w:w="3260" w:type="dxa"/>
            <w:tcBorders>
              <w:top w:val="single" w:sz="4" w:space="0" w:color="auto"/>
              <w:left w:val="single" w:sz="4" w:space="0" w:color="auto"/>
              <w:bottom w:val="single" w:sz="4" w:space="0" w:color="auto"/>
              <w:right w:val="single" w:sz="4" w:space="0" w:color="auto"/>
            </w:tcBorders>
            <w:hideMark/>
          </w:tcPr>
          <w:p w14:paraId="1DB10869" w14:textId="77777777" w:rsidR="00BE0B19" w:rsidRPr="00AE47C6" w:rsidRDefault="00BE0B19" w:rsidP="00BE0B19">
            <w:pPr>
              <w:spacing w:after="0" w:line="360" w:lineRule="auto"/>
              <w:ind w:firstLine="34"/>
              <w:jc w:val="both"/>
              <w:rPr>
                <w:rFonts w:ascii="Times New Roman" w:eastAsia="SimSun" w:hAnsi="Times New Roman"/>
                <w:sz w:val="24"/>
                <w:szCs w:val="24"/>
              </w:rPr>
            </w:pPr>
            <w:r w:rsidRPr="00AE47C6">
              <w:rPr>
                <w:rFonts w:ascii="Times New Roman" w:eastAsia="SimSun" w:hAnsi="Times New Roman"/>
                <w:sz w:val="24"/>
                <w:szCs w:val="24"/>
              </w:rPr>
              <w:t>Проксимална мускулна слабост в долни крайници</w:t>
            </w:r>
          </w:p>
        </w:tc>
      </w:tr>
      <w:tr w:rsidR="00BE0B19" w:rsidRPr="00AE47C6" w14:paraId="3AAE24E1" w14:textId="77777777" w:rsidTr="00AD72E5">
        <w:trPr>
          <w:trHeight w:val="297"/>
        </w:trPr>
        <w:tc>
          <w:tcPr>
            <w:tcW w:w="6487" w:type="dxa"/>
            <w:gridSpan w:val="4"/>
            <w:tcBorders>
              <w:top w:val="single" w:sz="4" w:space="0" w:color="auto"/>
              <w:left w:val="single" w:sz="4" w:space="0" w:color="auto"/>
              <w:bottom w:val="single" w:sz="4" w:space="0" w:color="auto"/>
              <w:right w:val="single" w:sz="4" w:space="0" w:color="auto"/>
            </w:tcBorders>
            <w:vAlign w:val="center"/>
            <w:hideMark/>
          </w:tcPr>
          <w:p w14:paraId="295B6F1B" w14:textId="77777777" w:rsidR="00BE0B19" w:rsidRPr="00AE47C6" w:rsidRDefault="00BE0B19" w:rsidP="00BE0B19">
            <w:pPr>
              <w:spacing w:after="0" w:line="360" w:lineRule="auto"/>
              <w:ind w:firstLine="139"/>
              <w:jc w:val="both"/>
              <w:rPr>
                <w:rFonts w:ascii="Times New Roman" w:eastAsia="SimSun" w:hAnsi="Times New Roman"/>
                <w:b/>
                <w:i/>
                <w:sz w:val="24"/>
                <w:szCs w:val="24"/>
              </w:rPr>
            </w:pPr>
            <w:r w:rsidRPr="00AE47C6">
              <w:rPr>
                <w:rFonts w:ascii="Times New Roman" w:eastAsia="SimSun" w:hAnsi="Times New Roman"/>
                <w:b/>
                <w:i/>
                <w:sz w:val="24"/>
                <w:szCs w:val="24"/>
              </w:rPr>
              <w:t>X-СВЪРЗАНИ</w:t>
            </w:r>
          </w:p>
        </w:tc>
        <w:tc>
          <w:tcPr>
            <w:tcW w:w="3260" w:type="dxa"/>
            <w:tcBorders>
              <w:top w:val="single" w:sz="4" w:space="0" w:color="auto"/>
              <w:left w:val="single" w:sz="4" w:space="0" w:color="auto"/>
              <w:bottom w:val="single" w:sz="4" w:space="0" w:color="auto"/>
              <w:right w:val="single" w:sz="4" w:space="0" w:color="auto"/>
            </w:tcBorders>
          </w:tcPr>
          <w:p w14:paraId="33C22910" w14:textId="77777777" w:rsidR="00BE0B19" w:rsidRPr="00AE47C6" w:rsidRDefault="00BE0B19" w:rsidP="00BE0B19">
            <w:pPr>
              <w:spacing w:after="0" w:line="360" w:lineRule="auto"/>
              <w:ind w:firstLine="34"/>
              <w:jc w:val="both"/>
              <w:rPr>
                <w:rFonts w:ascii="Times New Roman" w:eastAsia="SimSun" w:hAnsi="Times New Roman"/>
                <w:b/>
                <w:i/>
                <w:sz w:val="24"/>
                <w:szCs w:val="24"/>
              </w:rPr>
            </w:pPr>
          </w:p>
        </w:tc>
      </w:tr>
      <w:tr w:rsidR="00BE0B19" w:rsidRPr="00AE47C6" w14:paraId="1BC05B79" w14:textId="77777777" w:rsidTr="00AD72E5">
        <w:trPr>
          <w:trHeight w:val="297"/>
        </w:trPr>
        <w:tc>
          <w:tcPr>
            <w:tcW w:w="6487" w:type="dxa"/>
            <w:gridSpan w:val="4"/>
            <w:tcBorders>
              <w:top w:val="single" w:sz="4" w:space="0" w:color="auto"/>
              <w:left w:val="single" w:sz="4" w:space="0" w:color="auto"/>
              <w:bottom w:val="single" w:sz="4" w:space="0" w:color="auto"/>
              <w:right w:val="single" w:sz="4" w:space="0" w:color="auto"/>
            </w:tcBorders>
            <w:vAlign w:val="center"/>
            <w:hideMark/>
          </w:tcPr>
          <w:p w14:paraId="45C98BF4" w14:textId="77777777" w:rsidR="00BE0B19" w:rsidRPr="00AE47C6" w:rsidRDefault="00BE0B19" w:rsidP="00BE0B19">
            <w:pPr>
              <w:spacing w:after="0" w:line="360" w:lineRule="auto"/>
              <w:ind w:firstLine="139"/>
              <w:jc w:val="both"/>
              <w:rPr>
                <w:rFonts w:ascii="Times New Roman" w:eastAsia="SimSun" w:hAnsi="Times New Roman"/>
                <w:b/>
                <w:i/>
                <w:sz w:val="24"/>
                <w:szCs w:val="24"/>
              </w:rPr>
            </w:pPr>
            <w:r w:rsidRPr="00AE47C6">
              <w:rPr>
                <w:rFonts w:ascii="Times New Roman" w:eastAsia="SimSun" w:hAnsi="Times New Roman"/>
                <w:b/>
                <w:i/>
                <w:sz w:val="24"/>
                <w:szCs w:val="24"/>
              </w:rPr>
              <w:t>Ранно начало</w:t>
            </w:r>
          </w:p>
        </w:tc>
        <w:tc>
          <w:tcPr>
            <w:tcW w:w="3260" w:type="dxa"/>
            <w:tcBorders>
              <w:top w:val="single" w:sz="4" w:space="0" w:color="auto"/>
              <w:left w:val="single" w:sz="4" w:space="0" w:color="auto"/>
              <w:bottom w:val="single" w:sz="4" w:space="0" w:color="auto"/>
              <w:right w:val="single" w:sz="4" w:space="0" w:color="auto"/>
            </w:tcBorders>
          </w:tcPr>
          <w:p w14:paraId="600ADCAA" w14:textId="77777777" w:rsidR="00BE0B19" w:rsidRPr="00AE47C6" w:rsidRDefault="00BE0B19" w:rsidP="00BE0B19">
            <w:pPr>
              <w:spacing w:after="0" w:line="360" w:lineRule="auto"/>
              <w:ind w:firstLine="34"/>
              <w:jc w:val="both"/>
              <w:rPr>
                <w:rFonts w:ascii="Times New Roman" w:eastAsia="SimSun" w:hAnsi="Times New Roman"/>
                <w:b/>
                <w:i/>
                <w:sz w:val="24"/>
                <w:szCs w:val="24"/>
              </w:rPr>
            </w:pPr>
          </w:p>
        </w:tc>
      </w:tr>
      <w:tr w:rsidR="00BE0B19" w:rsidRPr="00AE47C6" w14:paraId="65ECA784" w14:textId="77777777" w:rsidTr="00AD72E5">
        <w:trPr>
          <w:trHeight w:val="297"/>
        </w:trPr>
        <w:tc>
          <w:tcPr>
            <w:tcW w:w="1589" w:type="dxa"/>
            <w:tcBorders>
              <w:top w:val="single" w:sz="4" w:space="0" w:color="auto"/>
              <w:left w:val="single" w:sz="4" w:space="0" w:color="auto"/>
              <w:bottom w:val="single" w:sz="4" w:space="0" w:color="auto"/>
              <w:right w:val="single" w:sz="4" w:space="0" w:color="auto"/>
            </w:tcBorders>
            <w:vAlign w:val="center"/>
            <w:hideMark/>
          </w:tcPr>
          <w:p w14:paraId="3D81F22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 (301830)</w:t>
            </w:r>
          </w:p>
        </w:tc>
        <w:tc>
          <w:tcPr>
            <w:tcW w:w="1270" w:type="dxa"/>
            <w:tcBorders>
              <w:top w:val="single" w:sz="4" w:space="0" w:color="auto"/>
              <w:left w:val="single" w:sz="4" w:space="0" w:color="auto"/>
              <w:bottom w:val="single" w:sz="4" w:space="0" w:color="auto"/>
              <w:right w:val="single" w:sz="4" w:space="0" w:color="auto"/>
            </w:tcBorders>
            <w:vAlign w:val="center"/>
            <w:hideMark/>
          </w:tcPr>
          <w:p w14:paraId="3D335054"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UBA1</w:t>
            </w:r>
          </w:p>
        </w:tc>
        <w:tc>
          <w:tcPr>
            <w:tcW w:w="1113" w:type="dxa"/>
            <w:tcBorders>
              <w:top w:val="single" w:sz="4" w:space="0" w:color="auto"/>
              <w:left w:val="single" w:sz="4" w:space="0" w:color="auto"/>
              <w:bottom w:val="single" w:sz="4" w:space="0" w:color="auto"/>
              <w:right w:val="single" w:sz="4" w:space="0" w:color="auto"/>
            </w:tcBorders>
            <w:vAlign w:val="center"/>
            <w:hideMark/>
          </w:tcPr>
          <w:p w14:paraId="749D8D0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Xp11.23</w:t>
            </w:r>
          </w:p>
        </w:tc>
        <w:tc>
          <w:tcPr>
            <w:tcW w:w="2515" w:type="dxa"/>
            <w:tcBorders>
              <w:top w:val="single" w:sz="4" w:space="0" w:color="auto"/>
              <w:left w:val="single" w:sz="4" w:space="0" w:color="auto"/>
              <w:bottom w:val="single" w:sz="4" w:space="0" w:color="auto"/>
              <w:right w:val="single" w:sz="4" w:space="0" w:color="auto"/>
            </w:tcBorders>
            <w:vAlign w:val="center"/>
            <w:hideMark/>
          </w:tcPr>
          <w:p w14:paraId="5B37BEDF" w14:textId="77777777" w:rsidR="00BE0B19" w:rsidRPr="00AE47C6" w:rsidRDefault="00BE0B19" w:rsidP="00BE0B19">
            <w:pPr>
              <w:spacing w:after="0" w:line="360" w:lineRule="auto"/>
              <w:ind w:firstLine="139"/>
              <w:jc w:val="both"/>
              <w:rPr>
                <w:rFonts w:ascii="Times New Roman" w:eastAsia="SimSun" w:hAnsi="Times New Roman"/>
                <w:sz w:val="24"/>
                <w:szCs w:val="24"/>
              </w:rPr>
            </w:pPr>
            <w:r w:rsidRPr="00AE47C6">
              <w:rPr>
                <w:rFonts w:ascii="Times New Roman" w:eastAsia="SimSun" w:hAnsi="Times New Roman"/>
                <w:sz w:val="24"/>
                <w:szCs w:val="24"/>
              </w:rPr>
              <w:t>Летална инфантилна СМА с артрогрипоза</w:t>
            </w:r>
          </w:p>
        </w:tc>
        <w:tc>
          <w:tcPr>
            <w:tcW w:w="3260" w:type="dxa"/>
            <w:tcBorders>
              <w:top w:val="single" w:sz="4" w:space="0" w:color="auto"/>
              <w:left w:val="single" w:sz="4" w:space="0" w:color="auto"/>
              <w:bottom w:val="single" w:sz="4" w:space="0" w:color="auto"/>
              <w:right w:val="single" w:sz="4" w:space="0" w:color="auto"/>
            </w:tcBorders>
            <w:hideMark/>
          </w:tcPr>
          <w:p w14:paraId="04A26AED" w14:textId="77777777" w:rsidR="00BE0B19" w:rsidRPr="00AE47C6" w:rsidRDefault="00BE0B19" w:rsidP="00BE0B19">
            <w:pPr>
              <w:spacing w:after="0" w:line="360" w:lineRule="auto"/>
              <w:ind w:firstLine="34"/>
              <w:jc w:val="both"/>
              <w:rPr>
                <w:rFonts w:ascii="Times New Roman" w:eastAsia="SimSun" w:hAnsi="Times New Roman"/>
                <w:sz w:val="24"/>
                <w:szCs w:val="24"/>
              </w:rPr>
            </w:pPr>
            <w:r w:rsidRPr="00AE47C6">
              <w:rPr>
                <w:rFonts w:ascii="Times New Roman" w:eastAsia="SimSun" w:hAnsi="Times New Roman"/>
                <w:sz w:val="24"/>
                <w:szCs w:val="24"/>
              </w:rPr>
              <w:t xml:space="preserve">Хипотония, арефлексия, дизморфични белези, ставни контрактури </w:t>
            </w:r>
          </w:p>
        </w:tc>
      </w:tr>
      <w:tr w:rsidR="00BE0B19" w:rsidRPr="00AE47C6" w14:paraId="0219329C" w14:textId="77777777" w:rsidTr="00AD72E5">
        <w:trPr>
          <w:trHeight w:val="297"/>
        </w:trPr>
        <w:tc>
          <w:tcPr>
            <w:tcW w:w="6487" w:type="dxa"/>
            <w:gridSpan w:val="4"/>
            <w:tcBorders>
              <w:top w:val="single" w:sz="4" w:space="0" w:color="auto"/>
              <w:left w:val="single" w:sz="4" w:space="0" w:color="auto"/>
              <w:bottom w:val="single" w:sz="4" w:space="0" w:color="auto"/>
              <w:right w:val="single" w:sz="4" w:space="0" w:color="auto"/>
            </w:tcBorders>
            <w:vAlign w:val="center"/>
            <w:hideMark/>
          </w:tcPr>
          <w:p w14:paraId="42E34D3E" w14:textId="77777777" w:rsidR="00BE0B19" w:rsidRPr="00AE47C6" w:rsidRDefault="00BE0B19" w:rsidP="00BE0B19">
            <w:pPr>
              <w:spacing w:after="0" w:line="360" w:lineRule="auto"/>
              <w:ind w:firstLine="139"/>
              <w:jc w:val="both"/>
              <w:rPr>
                <w:rFonts w:ascii="Times New Roman" w:eastAsia="SimSun" w:hAnsi="Times New Roman"/>
                <w:sz w:val="24"/>
                <w:szCs w:val="24"/>
              </w:rPr>
            </w:pPr>
            <w:r w:rsidRPr="00AE47C6">
              <w:rPr>
                <w:rFonts w:ascii="Times New Roman" w:eastAsia="SimSun" w:hAnsi="Times New Roman"/>
                <w:b/>
                <w:i/>
                <w:sz w:val="24"/>
                <w:szCs w:val="24"/>
              </w:rPr>
              <w:t>Късно начало</w:t>
            </w:r>
          </w:p>
        </w:tc>
        <w:tc>
          <w:tcPr>
            <w:tcW w:w="3260" w:type="dxa"/>
            <w:tcBorders>
              <w:top w:val="single" w:sz="4" w:space="0" w:color="auto"/>
              <w:left w:val="single" w:sz="4" w:space="0" w:color="auto"/>
              <w:bottom w:val="single" w:sz="4" w:space="0" w:color="auto"/>
              <w:right w:val="single" w:sz="4" w:space="0" w:color="auto"/>
            </w:tcBorders>
          </w:tcPr>
          <w:p w14:paraId="251718A5" w14:textId="77777777" w:rsidR="00BE0B19" w:rsidRPr="00AE47C6" w:rsidRDefault="00BE0B19" w:rsidP="00BE0B19">
            <w:pPr>
              <w:spacing w:after="0" w:line="360" w:lineRule="auto"/>
              <w:ind w:firstLine="34"/>
              <w:jc w:val="both"/>
              <w:rPr>
                <w:rFonts w:ascii="Times New Roman" w:eastAsia="SimSun" w:hAnsi="Times New Roman"/>
                <w:sz w:val="24"/>
                <w:szCs w:val="24"/>
              </w:rPr>
            </w:pPr>
          </w:p>
        </w:tc>
      </w:tr>
      <w:tr w:rsidR="00BE0B19" w:rsidRPr="00AE47C6" w14:paraId="160DE935" w14:textId="77777777" w:rsidTr="00AD72E5">
        <w:trPr>
          <w:trHeight w:val="297"/>
        </w:trPr>
        <w:tc>
          <w:tcPr>
            <w:tcW w:w="1589" w:type="dxa"/>
            <w:tcBorders>
              <w:top w:val="single" w:sz="4" w:space="0" w:color="auto"/>
              <w:left w:val="single" w:sz="4" w:space="0" w:color="auto"/>
              <w:bottom w:val="single" w:sz="4" w:space="0" w:color="auto"/>
              <w:right w:val="single" w:sz="4" w:space="0" w:color="auto"/>
            </w:tcBorders>
            <w:vAlign w:val="center"/>
            <w:hideMark/>
          </w:tcPr>
          <w:p w14:paraId="1BB734C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 (313200)</w:t>
            </w:r>
          </w:p>
        </w:tc>
        <w:tc>
          <w:tcPr>
            <w:tcW w:w="1270" w:type="dxa"/>
            <w:tcBorders>
              <w:top w:val="single" w:sz="4" w:space="0" w:color="auto"/>
              <w:left w:val="single" w:sz="4" w:space="0" w:color="auto"/>
              <w:bottom w:val="single" w:sz="4" w:space="0" w:color="auto"/>
              <w:right w:val="single" w:sz="4" w:space="0" w:color="auto"/>
            </w:tcBorders>
            <w:vAlign w:val="center"/>
            <w:hideMark/>
          </w:tcPr>
          <w:p w14:paraId="5E70B9A5"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AR</w:t>
            </w:r>
          </w:p>
        </w:tc>
        <w:tc>
          <w:tcPr>
            <w:tcW w:w="1113" w:type="dxa"/>
            <w:tcBorders>
              <w:top w:val="single" w:sz="4" w:space="0" w:color="auto"/>
              <w:left w:val="single" w:sz="4" w:space="0" w:color="auto"/>
              <w:bottom w:val="single" w:sz="4" w:space="0" w:color="auto"/>
              <w:right w:val="single" w:sz="4" w:space="0" w:color="auto"/>
            </w:tcBorders>
            <w:vAlign w:val="center"/>
            <w:hideMark/>
          </w:tcPr>
          <w:p w14:paraId="258EC96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Xq12</w:t>
            </w:r>
          </w:p>
        </w:tc>
        <w:tc>
          <w:tcPr>
            <w:tcW w:w="2515" w:type="dxa"/>
            <w:tcBorders>
              <w:top w:val="single" w:sz="4" w:space="0" w:color="auto"/>
              <w:left w:val="single" w:sz="4" w:space="0" w:color="auto"/>
              <w:bottom w:val="single" w:sz="4" w:space="0" w:color="auto"/>
              <w:right w:val="single" w:sz="4" w:space="0" w:color="auto"/>
            </w:tcBorders>
            <w:vAlign w:val="center"/>
            <w:hideMark/>
          </w:tcPr>
          <w:p w14:paraId="71D0714A" w14:textId="77777777" w:rsidR="00BE0B19" w:rsidRPr="00AE47C6" w:rsidRDefault="00BE0B19" w:rsidP="00BE0B19">
            <w:pPr>
              <w:spacing w:after="0" w:line="360" w:lineRule="auto"/>
              <w:ind w:firstLine="139"/>
              <w:jc w:val="both"/>
              <w:rPr>
                <w:rFonts w:ascii="Times New Roman" w:eastAsia="SimSun" w:hAnsi="Times New Roman"/>
                <w:sz w:val="24"/>
                <w:szCs w:val="24"/>
              </w:rPr>
            </w:pPr>
            <w:r w:rsidRPr="00AE47C6">
              <w:rPr>
                <w:rFonts w:ascii="Times New Roman" w:eastAsia="SimSun" w:hAnsi="Times New Roman"/>
                <w:sz w:val="24"/>
                <w:szCs w:val="24"/>
              </w:rPr>
              <w:t xml:space="preserve">Булбоспинална СМА, болест на Kennedy </w:t>
            </w:r>
          </w:p>
        </w:tc>
        <w:tc>
          <w:tcPr>
            <w:tcW w:w="3260" w:type="dxa"/>
            <w:tcBorders>
              <w:top w:val="single" w:sz="4" w:space="0" w:color="auto"/>
              <w:left w:val="single" w:sz="4" w:space="0" w:color="auto"/>
              <w:bottom w:val="single" w:sz="4" w:space="0" w:color="auto"/>
              <w:right w:val="single" w:sz="4" w:space="0" w:color="auto"/>
            </w:tcBorders>
            <w:hideMark/>
          </w:tcPr>
          <w:p w14:paraId="64972907" w14:textId="77777777" w:rsidR="00BE0B19" w:rsidRPr="00AE47C6" w:rsidRDefault="00BE0B19" w:rsidP="00BE0B19">
            <w:pPr>
              <w:spacing w:after="0" w:line="360" w:lineRule="auto"/>
              <w:ind w:firstLine="34"/>
              <w:jc w:val="both"/>
              <w:rPr>
                <w:rFonts w:ascii="Times New Roman" w:eastAsia="SimSun" w:hAnsi="Times New Roman"/>
                <w:sz w:val="24"/>
                <w:szCs w:val="24"/>
              </w:rPr>
            </w:pPr>
            <w:r w:rsidRPr="00AE47C6">
              <w:rPr>
                <w:rFonts w:ascii="Times New Roman" w:eastAsia="SimSun" w:hAnsi="Times New Roman"/>
                <w:sz w:val="24"/>
                <w:szCs w:val="24"/>
              </w:rPr>
              <w:t>Проксимална и булбарна мускулна слабост, ендокринни нарушения</w:t>
            </w:r>
          </w:p>
        </w:tc>
      </w:tr>
    </w:tbl>
    <w:p w14:paraId="6F67374D"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215" w:name="_Toc155651803"/>
      <w:bookmarkStart w:id="216" w:name="_Toc164075936"/>
      <w:r w:rsidRPr="00AE47C6">
        <w:rPr>
          <w:rFonts w:ascii="Times New Roman" w:eastAsia="SimSun" w:hAnsi="Times New Roman"/>
          <w:b/>
          <w:sz w:val="24"/>
          <w:szCs w:val="24"/>
        </w:rPr>
        <w:t>9.3. Вродени заболявания на невро-мускулното предаване</w:t>
      </w:r>
      <w:bookmarkEnd w:id="215"/>
      <w:bookmarkEnd w:id="216"/>
    </w:p>
    <w:p w14:paraId="65C1753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Вродените миастенни синдроми</w:t>
      </w:r>
      <w:r w:rsidRPr="00AE47C6">
        <w:rPr>
          <w:rFonts w:ascii="Times New Roman" w:eastAsia="SimSun" w:hAnsi="Times New Roman"/>
          <w:sz w:val="24"/>
          <w:szCs w:val="24"/>
        </w:rPr>
        <w:t xml:space="preserve"> са група от наследствени вродени заболявания, засягащи невро-мускулното предаване.</w:t>
      </w:r>
    </w:p>
    <w:p w14:paraId="49BA9CB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До момента са описани 32 гени, мутации в които водят до конгенитални миастенни синдроми. Установяването на точния молекулярен дефект е от изключително значение не само за генетичното консултиране, но и за лечението на тези пациенти.</w:t>
      </w:r>
    </w:p>
    <w:p w14:paraId="171AFB3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Класифицират се на пресинаптични, синаптични асоциирани с базалната ламина и постсинаптични в зависимост от локализацията на дефектния протеин в невромускулния синапс. </w:t>
      </w:r>
    </w:p>
    <w:p w14:paraId="0125161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Клинично се проявяват с абнормна мускулна уморяемост и индуцирана от натоварване мускулна слабост, птоза, офталмопареза, булбарни и дихателни нарушения. Заболяването дебютира обикновено при раждането, в кърмаческа или ранна детска възраст, но е описано и по-късно начало при някои пациенти. Нарушението в невромускулното предаване се демонстрира от патологичния декремент при репетитивна стимулация и увеличения jitter при ЕМГ на единично мускулно влакно. Не се установяват антитела срещу ацетилхолиновия рецептор, както и anti-MuSK антитела. </w:t>
      </w:r>
    </w:p>
    <w:p w14:paraId="06CC924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Имуносупресивната терапия е без ефект. Ацетилхолинестеразните инхибитори имат вариабилен ефект при различните форми.</w:t>
      </w:r>
    </w:p>
    <w:p w14:paraId="71134F54" w14:textId="77777777" w:rsidR="00BE0B19" w:rsidRPr="00AE47C6" w:rsidRDefault="00BE0B19" w:rsidP="00BE0B19">
      <w:pPr>
        <w:spacing w:after="0" w:line="360" w:lineRule="auto"/>
        <w:ind w:firstLine="709"/>
        <w:jc w:val="both"/>
        <w:rPr>
          <w:rFonts w:ascii="Times New Roman" w:eastAsia="SimSun" w:hAnsi="Times New Roman"/>
          <w:sz w:val="24"/>
          <w:szCs w:val="24"/>
        </w:rPr>
      </w:pPr>
    </w:p>
    <w:p w14:paraId="0CD74A0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br w:type="page"/>
      </w:r>
    </w:p>
    <w:p w14:paraId="3A40D8F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 xml:space="preserve">Таблица 9.7. </w:t>
      </w:r>
      <w:r w:rsidRPr="00AE47C6">
        <w:rPr>
          <w:rFonts w:ascii="Times New Roman" w:eastAsia="SimSun" w:hAnsi="Times New Roman"/>
          <w:sz w:val="24"/>
          <w:szCs w:val="24"/>
        </w:rPr>
        <w:t>Конгенитални миастенни синдроми, гени, мутации, в които водят до конгенитални миастенни синдроми /КМС/:</w:t>
      </w:r>
    </w:p>
    <w:p w14:paraId="64D092C9" w14:textId="77777777" w:rsidR="00BE0B19" w:rsidRPr="00AE47C6" w:rsidRDefault="00BE0B19" w:rsidP="00BE0B19">
      <w:pPr>
        <w:spacing w:after="0" w:line="360" w:lineRule="auto"/>
        <w:jc w:val="both"/>
        <w:rPr>
          <w:rFonts w:ascii="Times New Roman" w:eastAsia="SimSun" w:hAnsi="Times New Roman"/>
          <w:sz w:val="24"/>
          <w:szCs w:val="24"/>
        </w:rPr>
      </w:pPr>
    </w:p>
    <w:p w14:paraId="309C0A0E" w14:textId="77777777" w:rsidR="00BE0B19" w:rsidRPr="00AE47C6" w:rsidRDefault="00BE0B19" w:rsidP="00BE0B19">
      <w:pPr>
        <w:numPr>
          <w:ilvl w:val="0"/>
          <w:numId w:val="428"/>
        </w:numPr>
        <w:contextualSpacing/>
        <w:rPr>
          <w:rFonts w:ascii="Times New Roman" w:eastAsia="SimSun" w:hAnsi="Times New Roman"/>
        </w:rPr>
      </w:pPr>
      <w:r w:rsidRPr="00AE47C6">
        <w:rPr>
          <w:rFonts w:ascii="Times New Roman" w:eastAsia="SimSun" w:hAnsi="Times New Roman"/>
          <w:b/>
          <w:sz w:val="24"/>
          <w:szCs w:val="24"/>
        </w:rPr>
        <w:t>Вид КМС</w:t>
      </w:r>
    </w:p>
    <w:p w14:paraId="6D3A772D" w14:textId="77777777" w:rsidR="00BE0B19" w:rsidRPr="00AE47C6" w:rsidRDefault="00BE0B19" w:rsidP="00BE0B19">
      <w:pPr>
        <w:numPr>
          <w:ilvl w:val="0"/>
          <w:numId w:val="428"/>
        </w:numPr>
        <w:contextualSpacing/>
        <w:rPr>
          <w:rFonts w:ascii="Times New Roman" w:eastAsia="SimSun" w:hAnsi="Times New Roman"/>
        </w:rPr>
      </w:pPr>
      <w:r w:rsidRPr="00AE47C6">
        <w:rPr>
          <w:rFonts w:ascii="Times New Roman" w:eastAsia="SimSun" w:hAnsi="Times New Roman"/>
          <w:b/>
          <w:sz w:val="24"/>
          <w:szCs w:val="24"/>
        </w:rPr>
        <w:t>Ген</w:t>
      </w:r>
    </w:p>
    <w:p w14:paraId="76FAED1C" w14:textId="77777777" w:rsidR="00BE0B19" w:rsidRPr="00AE47C6" w:rsidRDefault="00BE0B19" w:rsidP="00BE0B19">
      <w:pPr>
        <w:numPr>
          <w:ilvl w:val="0"/>
          <w:numId w:val="428"/>
        </w:numPr>
        <w:contextualSpacing/>
        <w:rPr>
          <w:rFonts w:ascii="Times New Roman" w:eastAsia="SimSun" w:hAnsi="Times New Roman"/>
        </w:rPr>
      </w:pPr>
      <w:r w:rsidRPr="00AE47C6">
        <w:rPr>
          <w:rFonts w:ascii="Times New Roman" w:eastAsia="SimSun" w:hAnsi="Times New Roman"/>
          <w:b/>
          <w:sz w:val="24"/>
          <w:szCs w:val="24"/>
        </w:rPr>
        <w:t>Начало</w:t>
      </w:r>
    </w:p>
    <w:p w14:paraId="13673D71" w14:textId="77777777" w:rsidR="00BE0B19" w:rsidRPr="00AE47C6" w:rsidRDefault="00BE0B19" w:rsidP="00BE0B19">
      <w:pPr>
        <w:numPr>
          <w:ilvl w:val="0"/>
          <w:numId w:val="428"/>
        </w:numPr>
        <w:contextualSpacing/>
        <w:rPr>
          <w:rFonts w:ascii="Times New Roman" w:eastAsia="SimSun" w:hAnsi="Times New Roman"/>
        </w:rPr>
      </w:pPr>
      <w:r w:rsidRPr="00AE47C6">
        <w:rPr>
          <w:rFonts w:ascii="Times New Roman" w:eastAsia="SimSun" w:hAnsi="Times New Roman"/>
          <w:b/>
          <w:sz w:val="24"/>
          <w:szCs w:val="24"/>
        </w:rPr>
        <w:t>Начални прояви</w:t>
      </w:r>
    </w:p>
    <w:p w14:paraId="7AACCBAC" w14:textId="77777777" w:rsidR="00BE0B19" w:rsidRPr="00AE47C6" w:rsidRDefault="00BE0B19" w:rsidP="00BE0B19">
      <w:pPr>
        <w:numPr>
          <w:ilvl w:val="0"/>
          <w:numId w:val="428"/>
        </w:numPr>
        <w:contextualSpacing/>
        <w:rPr>
          <w:rFonts w:ascii="Times New Roman" w:eastAsia="SimSun" w:hAnsi="Times New Roman"/>
        </w:rPr>
      </w:pPr>
      <w:r w:rsidRPr="00AE47C6">
        <w:rPr>
          <w:rFonts w:ascii="Times New Roman" w:eastAsia="SimSun" w:hAnsi="Times New Roman"/>
          <w:b/>
          <w:sz w:val="24"/>
          <w:szCs w:val="24"/>
        </w:rPr>
        <w:t>Конгенитални контрактури, дизморфичен фациес</w:t>
      </w:r>
    </w:p>
    <w:p w14:paraId="520E8B75" w14:textId="77777777" w:rsidR="00BE0B19" w:rsidRPr="00AE47C6" w:rsidRDefault="00BE0B19" w:rsidP="00BE0B19">
      <w:pPr>
        <w:numPr>
          <w:ilvl w:val="0"/>
          <w:numId w:val="428"/>
        </w:numPr>
        <w:contextualSpacing/>
        <w:rPr>
          <w:rFonts w:ascii="Times New Roman" w:eastAsia="SimSun" w:hAnsi="Times New Roman"/>
        </w:rPr>
      </w:pPr>
      <w:r w:rsidRPr="00AE47C6">
        <w:rPr>
          <w:rFonts w:ascii="Times New Roman" w:eastAsia="SimSun" w:hAnsi="Times New Roman"/>
          <w:b/>
          <w:sz w:val="24"/>
          <w:szCs w:val="24"/>
        </w:rPr>
        <w:t>Птоза/офталмопареза</w:t>
      </w:r>
    </w:p>
    <w:p w14:paraId="1308D8A8" w14:textId="77777777" w:rsidR="00BE0B19" w:rsidRPr="00AE47C6" w:rsidRDefault="00BE0B19" w:rsidP="00BE0B19">
      <w:pPr>
        <w:numPr>
          <w:ilvl w:val="0"/>
          <w:numId w:val="428"/>
        </w:numPr>
        <w:contextualSpacing/>
        <w:rPr>
          <w:rFonts w:ascii="Times New Roman" w:eastAsia="SimSun" w:hAnsi="Times New Roman"/>
        </w:rPr>
      </w:pPr>
      <w:r w:rsidRPr="00AE47C6">
        <w:rPr>
          <w:rFonts w:ascii="Times New Roman" w:eastAsia="SimSun" w:hAnsi="Times New Roman"/>
          <w:b/>
          <w:sz w:val="24"/>
          <w:szCs w:val="24"/>
        </w:rPr>
        <w:t>Лицева и булбарна слабост</w:t>
      </w:r>
    </w:p>
    <w:p w14:paraId="556C4DA4" w14:textId="77777777" w:rsidR="00BE0B19" w:rsidRPr="00AE47C6" w:rsidRDefault="00BE0B19" w:rsidP="00BE0B19">
      <w:pPr>
        <w:numPr>
          <w:ilvl w:val="0"/>
          <w:numId w:val="428"/>
        </w:numPr>
        <w:contextualSpacing/>
        <w:rPr>
          <w:rFonts w:ascii="Times New Roman" w:eastAsia="SimSun" w:hAnsi="Times New Roman"/>
        </w:rPr>
      </w:pPr>
      <w:r w:rsidRPr="00AE47C6">
        <w:rPr>
          <w:rFonts w:ascii="Times New Roman" w:eastAsia="SimSun" w:hAnsi="Times New Roman"/>
          <w:b/>
          <w:sz w:val="24"/>
          <w:szCs w:val="24"/>
        </w:rPr>
        <w:t>Слабост в крайниците, аксиална слабост и сколиоза</w:t>
      </w:r>
    </w:p>
    <w:p w14:paraId="36EB77A7" w14:textId="77777777" w:rsidR="00BE0B19" w:rsidRPr="00AE47C6" w:rsidRDefault="00BE0B19" w:rsidP="00BE0B19">
      <w:pPr>
        <w:numPr>
          <w:ilvl w:val="0"/>
          <w:numId w:val="428"/>
        </w:numPr>
        <w:contextualSpacing/>
        <w:rPr>
          <w:rFonts w:ascii="Times New Roman" w:eastAsia="SimSun" w:hAnsi="Times New Roman"/>
        </w:rPr>
      </w:pPr>
      <w:r w:rsidRPr="00AE47C6">
        <w:rPr>
          <w:rFonts w:ascii="Times New Roman" w:eastAsia="SimSun" w:hAnsi="Times New Roman"/>
          <w:b/>
          <w:sz w:val="24"/>
          <w:szCs w:val="24"/>
        </w:rPr>
        <w:t>Респираторни кризи</w:t>
      </w:r>
    </w:p>
    <w:p w14:paraId="025A0ACD" w14:textId="77777777" w:rsidR="00BE0B19" w:rsidRPr="00AE47C6" w:rsidRDefault="00BE0B19" w:rsidP="00BE0B19">
      <w:pPr>
        <w:numPr>
          <w:ilvl w:val="0"/>
          <w:numId w:val="428"/>
        </w:numPr>
        <w:contextualSpacing/>
        <w:rPr>
          <w:rFonts w:ascii="Times New Roman" w:eastAsia="SimSun" w:hAnsi="Times New Roman"/>
        </w:rPr>
      </w:pPr>
      <w:r w:rsidRPr="00AE47C6">
        <w:rPr>
          <w:rFonts w:ascii="Times New Roman" w:eastAsia="SimSun" w:hAnsi="Times New Roman"/>
          <w:b/>
          <w:sz w:val="24"/>
          <w:szCs w:val="24"/>
        </w:rPr>
        <w:t>Ефект от антиацетил-холинестеразна терапия</w:t>
      </w:r>
    </w:p>
    <w:p w14:paraId="535D18BD" w14:textId="77777777" w:rsidR="00BE0B19" w:rsidRPr="00AE47C6" w:rsidRDefault="00BE0B19" w:rsidP="00BE0B19">
      <w:pPr>
        <w:spacing w:after="0" w:line="360" w:lineRule="auto"/>
        <w:jc w:val="both"/>
        <w:rPr>
          <w:rFonts w:ascii="Times New Roman" w:eastAsia="SimSun" w:hAnsi="Times New Roman"/>
          <w:b/>
          <w:sz w:val="24"/>
          <w:szCs w:val="24"/>
        </w:rPr>
      </w:pPr>
    </w:p>
    <w:tbl>
      <w:tblPr>
        <w:tblStyle w:val="TableGrid1"/>
        <w:tblW w:w="9072" w:type="dxa"/>
        <w:tblLayout w:type="fixed"/>
        <w:tblCellMar>
          <w:left w:w="57" w:type="dxa"/>
          <w:right w:w="57" w:type="dxa"/>
        </w:tblCellMar>
        <w:tblLook w:val="04A0" w:firstRow="1" w:lastRow="0" w:firstColumn="1" w:lastColumn="0" w:noHBand="0" w:noVBand="1"/>
      </w:tblPr>
      <w:tblGrid>
        <w:gridCol w:w="1381"/>
        <w:gridCol w:w="981"/>
        <w:gridCol w:w="606"/>
        <w:gridCol w:w="1397"/>
        <w:gridCol w:w="280"/>
        <w:gridCol w:w="490"/>
        <w:gridCol w:w="374"/>
        <w:gridCol w:w="1536"/>
        <w:gridCol w:w="723"/>
        <w:gridCol w:w="1304"/>
      </w:tblGrid>
      <w:tr w:rsidR="00BE0B19" w:rsidRPr="00AE47C6" w14:paraId="5EBB749F" w14:textId="77777777" w:rsidTr="00AD72E5">
        <w:trPr>
          <w:cantSplit/>
          <w:trHeight w:val="411"/>
        </w:trPr>
        <w:tc>
          <w:tcPr>
            <w:tcW w:w="1654" w:type="dxa"/>
          </w:tcPr>
          <w:p w14:paraId="358AE254" w14:textId="77777777" w:rsidR="00BE0B19" w:rsidRPr="00AE47C6" w:rsidRDefault="00BE0B19" w:rsidP="00BE0B19">
            <w:pPr>
              <w:spacing w:after="0" w:line="240" w:lineRule="auto"/>
              <w:contextualSpacing/>
              <w:jc w:val="both"/>
              <w:rPr>
                <w:rFonts w:ascii="Times New Roman" w:hAnsi="Times New Roman" w:cs="Times New Roman"/>
                <w:b/>
                <w:bCs/>
                <w:sz w:val="20"/>
                <w:szCs w:val="20"/>
              </w:rPr>
            </w:pPr>
            <w:r w:rsidRPr="00AE47C6">
              <w:rPr>
                <w:rFonts w:ascii="Times New Roman" w:hAnsi="Times New Roman" w:cs="Times New Roman"/>
                <w:b/>
                <w:bCs/>
                <w:sz w:val="20"/>
                <w:szCs w:val="20"/>
              </w:rPr>
              <w:t>1</w:t>
            </w:r>
          </w:p>
        </w:tc>
        <w:tc>
          <w:tcPr>
            <w:tcW w:w="1165" w:type="dxa"/>
          </w:tcPr>
          <w:p w14:paraId="2C198EED" w14:textId="77777777" w:rsidR="00BE0B19" w:rsidRPr="00AE47C6" w:rsidRDefault="00BE0B19" w:rsidP="00BE0B19">
            <w:pPr>
              <w:spacing w:after="0" w:line="240" w:lineRule="auto"/>
              <w:contextualSpacing/>
              <w:jc w:val="both"/>
              <w:rPr>
                <w:rFonts w:ascii="Times New Roman" w:hAnsi="Times New Roman" w:cs="Times New Roman"/>
                <w:b/>
                <w:bCs/>
                <w:sz w:val="20"/>
                <w:szCs w:val="20"/>
              </w:rPr>
            </w:pPr>
            <w:r w:rsidRPr="00AE47C6">
              <w:rPr>
                <w:rFonts w:ascii="Times New Roman" w:hAnsi="Times New Roman" w:cs="Times New Roman"/>
                <w:b/>
                <w:bCs/>
                <w:sz w:val="20"/>
                <w:szCs w:val="20"/>
              </w:rPr>
              <w:t>2</w:t>
            </w:r>
          </w:p>
        </w:tc>
        <w:tc>
          <w:tcPr>
            <w:tcW w:w="709" w:type="dxa"/>
          </w:tcPr>
          <w:p w14:paraId="6B8CEED7" w14:textId="77777777" w:rsidR="00BE0B19" w:rsidRPr="00AE47C6" w:rsidRDefault="00BE0B19" w:rsidP="00BE0B19">
            <w:pPr>
              <w:spacing w:after="0" w:line="240" w:lineRule="auto"/>
              <w:contextualSpacing/>
              <w:jc w:val="both"/>
              <w:rPr>
                <w:rFonts w:ascii="Times New Roman" w:hAnsi="Times New Roman" w:cs="Times New Roman"/>
                <w:b/>
                <w:bCs/>
                <w:sz w:val="20"/>
                <w:szCs w:val="20"/>
              </w:rPr>
            </w:pPr>
            <w:r w:rsidRPr="00AE47C6">
              <w:rPr>
                <w:rFonts w:ascii="Times New Roman" w:hAnsi="Times New Roman" w:cs="Times New Roman"/>
                <w:b/>
                <w:bCs/>
                <w:sz w:val="20"/>
                <w:szCs w:val="20"/>
              </w:rPr>
              <w:t>3</w:t>
            </w:r>
          </w:p>
        </w:tc>
        <w:tc>
          <w:tcPr>
            <w:tcW w:w="1672" w:type="dxa"/>
          </w:tcPr>
          <w:p w14:paraId="18B398A8" w14:textId="77777777" w:rsidR="00BE0B19" w:rsidRPr="00AE47C6" w:rsidRDefault="00BE0B19" w:rsidP="00BE0B19">
            <w:pPr>
              <w:spacing w:after="0" w:line="240" w:lineRule="auto"/>
              <w:contextualSpacing/>
              <w:jc w:val="both"/>
              <w:rPr>
                <w:rFonts w:ascii="Times New Roman" w:hAnsi="Times New Roman" w:cs="Times New Roman"/>
                <w:b/>
                <w:bCs/>
                <w:sz w:val="20"/>
                <w:szCs w:val="20"/>
              </w:rPr>
            </w:pPr>
            <w:r w:rsidRPr="00AE47C6">
              <w:rPr>
                <w:rFonts w:ascii="Times New Roman" w:hAnsi="Times New Roman" w:cs="Times New Roman"/>
                <w:b/>
                <w:bCs/>
                <w:sz w:val="20"/>
                <w:szCs w:val="20"/>
              </w:rPr>
              <w:t>4</w:t>
            </w:r>
          </w:p>
        </w:tc>
        <w:tc>
          <w:tcPr>
            <w:tcW w:w="312" w:type="dxa"/>
          </w:tcPr>
          <w:p w14:paraId="3CF423E6" w14:textId="77777777" w:rsidR="00BE0B19" w:rsidRPr="00AE47C6" w:rsidRDefault="00BE0B19" w:rsidP="00BE0B19">
            <w:pPr>
              <w:spacing w:after="0" w:line="240" w:lineRule="auto"/>
              <w:jc w:val="both"/>
              <w:rPr>
                <w:rFonts w:ascii="Times New Roman" w:hAnsi="Times New Roman" w:cs="Times New Roman"/>
                <w:b/>
                <w:bCs/>
                <w:sz w:val="20"/>
                <w:szCs w:val="20"/>
              </w:rPr>
            </w:pPr>
            <w:r w:rsidRPr="00AE47C6">
              <w:rPr>
                <w:rFonts w:ascii="Times New Roman" w:hAnsi="Times New Roman" w:cs="Times New Roman"/>
                <w:b/>
                <w:bCs/>
                <w:sz w:val="20"/>
                <w:szCs w:val="20"/>
              </w:rPr>
              <w:t>5</w:t>
            </w:r>
          </w:p>
        </w:tc>
        <w:tc>
          <w:tcPr>
            <w:tcW w:w="567" w:type="dxa"/>
          </w:tcPr>
          <w:p w14:paraId="7D11F13D" w14:textId="77777777" w:rsidR="00BE0B19" w:rsidRPr="00AE47C6" w:rsidRDefault="00BE0B19" w:rsidP="00BE0B19">
            <w:pPr>
              <w:spacing w:after="0" w:line="240" w:lineRule="auto"/>
              <w:jc w:val="both"/>
              <w:rPr>
                <w:rFonts w:ascii="Times New Roman" w:hAnsi="Times New Roman" w:cs="Times New Roman"/>
                <w:b/>
                <w:bCs/>
                <w:sz w:val="20"/>
                <w:szCs w:val="20"/>
              </w:rPr>
            </w:pPr>
            <w:r w:rsidRPr="00AE47C6">
              <w:rPr>
                <w:rFonts w:ascii="Times New Roman" w:hAnsi="Times New Roman" w:cs="Times New Roman"/>
                <w:b/>
                <w:bCs/>
                <w:sz w:val="20"/>
                <w:szCs w:val="20"/>
              </w:rPr>
              <w:t>6</w:t>
            </w:r>
          </w:p>
        </w:tc>
        <w:tc>
          <w:tcPr>
            <w:tcW w:w="426" w:type="dxa"/>
          </w:tcPr>
          <w:p w14:paraId="3460A453" w14:textId="77777777" w:rsidR="00BE0B19" w:rsidRPr="00AE47C6" w:rsidRDefault="00BE0B19" w:rsidP="00BE0B19">
            <w:pPr>
              <w:spacing w:after="0" w:line="240" w:lineRule="auto"/>
              <w:jc w:val="both"/>
              <w:rPr>
                <w:rFonts w:ascii="Times New Roman" w:hAnsi="Times New Roman" w:cs="Times New Roman"/>
                <w:b/>
                <w:bCs/>
                <w:sz w:val="20"/>
                <w:szCs w:val="20"/>
              </w:rPr>
            </w:pPr>
            <w:r w:rsidRPr="00AE47C6">
              <w:rPr>
                <w:rFonts w:ascii="Times New Roman" w:hAnsi="Times New Roman" w:cs="Times New Roman"/>
                <w:b/>
                <w:bCs/>
                <w:sz w:val="20"/>
                <w:szCs w:val="20"/>
              </w:rPr>
              <w:t>7</w:t>
            </w:r>
          </w:p>
        </w:tc>
        <w:tc>
          <w:tcPr>
            <w:tcW w:w="1842" w:type="dxa"/>
          </w:tcPr>
          <w:p w14:paraId="7A8CE508" w14:textId="77777777" w:rsidR="00BE0B19" w:rsidRPr="00AE47C6" w:rsidRDefault="00BE0B19" w:rsidP="00BE0B19">
            <w:pPr>
              <w:spacing w:after="0" w:line="240" w:lineRule="auto"/>
              <w:jc w:val="both"/>
              <w:rPr>
                <w:rFonts w:ascii="Times New Roman" w:hAnsi="Times New Roman" w:cs="Times New Roman"/>
                <w:b/>
                <w:bCs/>
                <w:sz w:val="20"/>
                <w:szCs w:val="20"/>
              </w:rPr>
            </w:pPr>
            <w:r w:rsidRPr="00AE47C6">
              <w:rPr>
                <w:rFonts w:ascii="Times New Roman" w:hAnsi="Times New Roman" w:cs="Times New Roman"/>
                <w:b/>
                <w:bCs/>
                <w:sz w:val="20"/>
                <w:szCs w:val="20"/>
              </w:rPr>
              <w:t>8</w:t>
            </w:r>
          </w:p>
        </w:tc>
        <w:tc>
          <w:tcPr>
            <w:tcW w:w="851" w:type="dxa"/>
          </w:tcPr>
          <w:p w14:paraId="0A3B5ECB" w14:textId="77777777" w:rsidR="00BE0B19" w:rsidRPr="00AE47C6" w:rsidRDefault="00BE0B19" w:rsidP="00BE0B19">
            <w:pPr>
              <w:spacing w:after="0" w:line="240" w:lineRule="auto"/>
              <w:jc w:val="both"/>
              <w:rPr>
                <w:rFonts w:ascii="Times New Roman" w:hAnsi="Times New Roman" w:cs="Times New Roman"/>
                <w:b/>
                <w:bCs/>
                <w:sz w:val="20"/>
                <w:szCs w:val="20"/>
              </w:rPr>
            </w:pPr>
            <w:r w:rsidRPr="00AE47C6">
              <w:rPr>
                <w:rFonts w:ascii="Times New Roman" w:hAnsi="Times New Roman" w:cs="Times New Roman"/>
                <w:b/>
                <w:bCs/>
                <w:sz w:val="20"/>
                <w:szCs w:val="20"/>
              </w:rPr>
              <w:t>9</w:t>
            </w:r>
          </w:p>
        </w:tc>
        <w:tc>
          <w:tcPr>
            <w:tcW w:w="1559" w:type="dxa"/>
          </w:tcPr>
          <w:p w14:paraId="22B04107" w14:textId="77777777" w:rsidR="00BE0B19" w:rsidRPr="00AE47C6" w:rsidRDefault="00BE0B19" w:rsidP="00BE0B19">
            <w:pPr>
              <w:spacing w:after="0" w:line="240" w:lineRule="auto"/>
              <w:jc w:val="both"/>
              <w:rPr>
                <w:rFonts w:ascii="Times New Roman" w:hAnsi="Times New Roman" w:cs="Times New Roman"/>
                <w:b/>
                <w:bCs/>
                <w:sz w:val="20"/>
                <w:szCs w:val="20"/>
              </w:rPr>
            </w:pPr>
            <w:r w:rsidRPr="00AE47C6">
              <w:rPr>
                <w:rFonts w:ascii="Times New Roman" w:hAnsi="Times New Roman" w:cs="Times New Roman"/>
                <w:b/>
                <w:bCs/>
                <w:sz w:val="20"/>
                <w:szCs w:val="20"/>
              </w:rPr>
              <w:t>10</w:t>
            </w:r>
          </w:p>
        </w:tc>
      </w:tr>
      <w:tr w:rsidR="00BE0B19" w:rsidRPr="00AE47C6" w14:paraId="3AFC925C" w14:textId="77777777" w:rsidTr="00AD72E5">
        <w:tc>
          <w:tcPr>
            <w:tcW w:w="10757" w:type="dxa"/>
            <w:gridSpan w:val="10"/>
          </w:tcPr>
          <w:p w14:paraId="5875D1C0" w14:textId="77777777" w:rsidR="00BE0B19" w:rsidRPr="00AE47C6" w:rsidRDefault="00BE0B19" w:rsidP="00BE0B19">
            <w:pPr>
              <w:spacing w:after="0" w:line="360" w:lineRule="auto"/>
              <w:jc w:val="both"/>
              <w:rPr>
                <w:rFonts w:ascii="Times New Roman" w:hAnsi="Times New Roman" w:cs="Times New Roman"/>
                <w:b/>
                <w:sz w:val="20"/>
                <w:szCs w:val="20"/>
              </w:rPr>
            </w:pPr>
            <w:r w:rsidRPr="00AE47C6">
              <w:rPr>
                <w:rFonts w:ascii="Times New Roman" w:hAnsi="Times New Roman" w:cs="Times New Roman"/>
                <w:b/>
                <w:sz w:val="20"/>
                <w:szCs w:val="20"/>
              </w:rPr>
              <w:t>Пресинаптични</w:t>
            </w:r>
          </w:p>
        </w:tc>
      </w:tr>
      <w:tr w:rsidR="00BE0B19" w:rsidRPr="00AE47C6" w14:paraId="55439F9B" w14:textId="77777777" w:rsidTr="00AD72E5">
        <w:tc>
          <w:tcPr>
            <w:tcW w:w="1654" w:type="dxa"/>
          </w:tcPr>
          <w:p w14:paraId="0687A493"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 xml:space="preserve">Choline O-Acetyltransferase </w:t>
            </w:r>
          </w:p>
        </w:tc>
        <w:tc>
          <w:tcPr>
            <w:tcW w:w="1165" w:type="dxa"/>
          </w:tcPr>
          <w:p w14:paraId="1CC14404"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CHAT</w:t>
            </w:r>
          </w:p>
        </w:tc>
        <w:tc>
          <w:tcPr>
            <w:tcW w:w="709" w:type="dxa"/>
          </w:tcPr>
          <w:p w14:paraId="3D5B122A" w14:textId="77777777" w:rsidR="00BE0B19" w:rsidRPr="00AE47C6" w:rsidRDefault="00BE0B19" w:rsidP="00BE0B19">
            <w:pPr>
              <w:numPr>
                <w:ilvl w:val="1"/>
                <w:numId w:val="0"/>
              </w:num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г.</w:t>
            </w:r>
          </w:p>
        </w:tc>
        <w:tc>
          <w:tcPr>
            <w:tcW w:w="1672" w:type="dxa"/>
          </w:tcPr>
          <w:p w14:paraId="69D49E63"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Хипотония, апнеи</w:t>
            </w:r>
          </w:p>
        </w:tc>
        <w:tc>
          <w:tcPr>
            <w:tcW w:w="312" w:type="dxa"/>
          </w:tcPr>
          <w:p w14:paraId="1CCD2099"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04683EE4"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2E4151DF"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1AEEB5D3"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Генерализирана индуцирана от натоварване слабост</w:t>
            </w:r>
          </w:p>
        </w:tc>
        <w:tc>
          <w:tcPr>
            <w:tcW w:w="851" w:type="dxa"/>
          </w:tcPr>
          <w:p w14:paraId="52C22303"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559" w:type="dxa"/>
          </w:tcPr>
          <w:p w14:paraId="7CC60F3D"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Значим</w:t>
            </w:r>
          </w:p>
        </w:tc>
      </w:tr>
      <w:tr w:rsidR="00BE0B19" w:rsidRPr="00AE47C6" w14:paraId="781794B2" w14:textId="77777777" w:rsidTr="00AD72E5">
        <w:tc>
          <w:tcPr>
            <w:tcW w:w="1654" w:type="dxa"/>
          </w:tcPr>
          <w:p w14:paraId="1E4ECE4F"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 xml:space="preserve">Unconventional myosin 9 </w:t>
            </w:r>
          </w:p>
        </w:tc>
        <w:tc>
          <w:tcPr>
            <w:tcW w:w="1165" w:type="dxa"/>
          </w:tcPr>
          <w:p w14:paraId="504D6DBC"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MYO9A</w:t>
            </w:r>
          </w:p>
        </w:tc>
        <w:tc>
          <w:tcPr>
            <w:tcW w:w="709" w:type="dxa"/>
          </w:tcPr>
          <w:p w14:paraId="4577B89D"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0-1 г.</w:t>
            </w:r>
          </w:p>
        </w:tc>
        <w:tc>
          <w:tcPr>
            <w:tcW w:w="1672" w:type="dxa"/>
          </w:tcPr>
          <w:p w14:paraId="1CF2276B"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Птоза хипотония, дихателна и булбарна слабост</w:t>
            </w:r>
          </w:p>
        </w:tc>
        <w:tc>
          <w:tcPr>
            <w:tcW w:w="312" w:type="dxa"/>
          </w:tcPr>
          <w:p w14:paraId="10DEF92F"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550A3439"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038258BC"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3A92D899"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Мускулна хипотония</w:t>
            </w:r>
          </w:p>
        </w:tc>
        <w:tc>
          <w:tcPr>
            <w:tcW w:w="851" w:type="dxa"/>
          </w:tcPr>
          <w:p w14:paraId="2E8C372E"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559" w:type="dxa"/>
          </w:tcPr>
          <w:p w14:paraId="542DB222"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Значим</w:t>
            </w:r>
          </w:p>
        </w:tc>
      </w:tr>
      <w:tr w:rsidR="00BE0B19" w:rsidRPr="00AE47C6" w14:paraId="59152880" w14:textId="77777777" w:rsidTr="00AD72E5">
        <w:tc>
          <w:tcPr>
            <w:tcW w:w="1654" w:type="dxa"/>
          </w:tcPr>
          <w:p w14:paraId="3BB06268"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 xml:space="preserve">PREPL </w:t>
            </w:r>
          </w:p>
        </w:tc>
        <w:tc>
          <w:tcPr>
            <w:tcW w:w="1165" w:type="dxa"/>
          </w:tcPr>
          <w:p w14:paraId="78BBFF6D"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PREPL</w:t>
            </w:r>
          </w:p>
        </w:tc>
        <w:tc>
          <w:tcPr>
            <w:tcW w:w="709" w:type="dxa"/>
          </w:tcPr>
          <w:p w14:paraId="5F42FC05"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0-1 г.</w:t>
            </w:r>
          </w:p>
        </w:tc>
        <w:tc>
          <w:tcPr>
            <w:tcW w:w="1672" w:type="dxa"/>
          </w:tcPr>
          <w:p w14:paraId="27CB3CBC"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Хипотония и затруднено преглъщане</w:t>
            </w:r>
          </w:p>
        </w:tc>
        <w:tc>
          <w:tcPr>
            <w:tcW w:w="312" w:type="dxa"/>
          </w:tcPr>
          <w:p w14:paraId="3AE5C7DF"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1C318C1B"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33D8B656"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1BD7C282"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Мускулна хипотония</w:t>
            </w:r>
          </w:p>
        </w:tc>
        <w:tc>
          <w:tcPr>
            <w:tcW w:w="851" w:type="dxa"/>
          </w:tcPr>
          <w:p w14:paraId="3F4DB0B8"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Няма данни</w:t>
            </w:r>
          </w:p>
        </w:tc>
        <w:tc>
          <w:tcPr>
            <w:tcW w:w="1559" w:type="dxa"/>
          </w:tcPr>
          <w:p w14:paraId="2281653A"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Значим</w:t>
            </w:r>
          </w:p>
        </w:tc>
      </w:tr>
      <w:tr w:rsidR="00BE0B19" w:rsidRPr="00AE47C6" w14:paraId="717E74C2" w14:textId="77777777" w:rsidTr="00AD72E5">
        <w:tc>
          <w:tcPr>
            <w:tcW w:w="1654" w:type="dxa"/>
          </w:tcPr>
          <w:p w14:paraId="1BBFACD0"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 xml:space="preserve">Vesicular ACh transporter (VAChT) </w:t>
            </w:r>
          </w:p>
        </w:tc>
        <w:tc>
          <w:tcPr>
            <w:tcW w:w="1165" w:type="dxa"/>
          </w:tcPr>
          <w:p w14:paraId="23557A23"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SLC18A3</w:t>
            </w:r>
          </w:p>
        </w:tc>
        <w:tc>
          <w:tcPr>
            <w:tcW w:w="709" w:type="dxa"/>
          </w:tcPr>
          <w:p w14:paraId="213B4AA3"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0-1 г.</w:t>
            </w:r>
          </w:p>
        </w:tc>
        <w:tc>
          <w:tcPr>
            <w:tcW w:w="1672" w:type="dxa"/>
          </w:tcPr>
          <w:p w14:paraId="7AAB1259"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Епизодична апнея</w:t>
            </w:r>
          </w:p>
        </w:tc>
        <w:tc>
          <w:tcPr>
            <w:tcW w:w="312" w:type="dxa"/>
          </w:tcPr>
          <w:p w14:paraId="0FEBD6F2"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65A1CA11"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0AD1EB4F"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323CF637"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Генерализирана индуцирана от натоварване слабост</w:t>
            </w:r>
          </w:p>
        </w:tc>
        <w:tc>
          <w:tcPr>
            <w:tcW w:w="851" w:type="dxa"/>
          </w:tcPr>
          <w:p w14:paraId="67BE5E84"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Няма данни</w:t>
            </w:r>
          </w:p>
        </w:tc>
        <w:tc>
          <w:tcPr>
            <w:tcW w:w="1559" w:type="dxa"/>
          </w:tcPr>
          <w:p w14:paraId="0D3CD32F"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Значим</w:t>
            </w:r>
          </w:p>
        </w:tc>
      </w:tr>
      <w:tr w:rsidR="00BE0B19" w:rsidRPr="00AE47C6" w14:paraId="7A433736" w14:textId="77777777" w:rsidTr="00AD72E5">
        <w:tc>
          <w:tcPr>
            <w:tcW w:w="1654" w:type="dxa"/>
          </w:tcPr>
          <w:p w14:paraId="1B5229A5"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 xml:space="preserve">High-affinity choline transporter 1 (ChT) </w:t>
            </w:r>
          </w:p>
        </w:tc>
        <w:tc>
          <w:tcPr>
            <w:tcW w:w="1165" w:type="dxa"/>
          </w:tcPr>
          <w:p w14:paraId="3A145976"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SLC5A7</w:t>
            </w:r>
          </w:p>
        </w:tc>
        <w:tc>
          <w:tcPr>
            <w:tcW w:w="709" w:type="dxa"/>
          </w:tcPr>
          <w:p w14:paraId="39B8D863"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0-5 г.</w:t>
            </w:r>
          </w:p>
        </w:tc>
        <w:tc>
          <w:tcPr>
            <w:tcW w:w="1672" w:type="dxa"/>
          </w:tcPr>
          <w:p w14:paraId="0352239D"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Епизодична апнея, птоза и офталмопареза</w:t>
            </w:r>
          </w:p>
        </w:tc>
        <w:tc>
          <w:tcPr>
            <w:tcW w:w="312" w:type="dxa"/>
          </w:tcPr>
          <w:p w14:paraId="012CE2C1"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3203B9BE"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53F97E44"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256DD201"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Прогресираща мускулна слабост</w:t>
            </w:r>
          </w:p>
        </w:tc>
        <w:tc>
          <w:tcPr>
            <w:tcW w:w="851" w:type="dxa"/>
          </w:tcPr>
          <w:p w14:paraId="011E43B0"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1559" w:type="dxa"/>
          </w:tcPr>
          <w:p w14:paraId="011769D1"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Значим</w:t>
            </w:r>
          </w:p>
        </w:tc>
      </w:tr>
      <w:tr w:rsidR="00BE0B19" w:rsidRPr="00AE47C6" w14:paraId="7DD9ADF4" w14:textId="77777777" w:rsidTr="00AD72E5">
        <w:tc>
          <w:tcPr>
            <w:tcW w:w="1654" w:type="dxa"/>
          </w:tcPr>
          <w:p w14:paraId="7FAA1878"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 xml:space="preserve">Synaptosome Associated Protein 25 </w:t>
            </w:r>
          </w:p>
        </w:tc>
        <w:tc>
          <w:tcPr>
            <w:tcW w:w="1165" w:type="dxa"/>
          </w:tcPr>
          <w:p w14:paraId="3B79C33B"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SNAP25B</w:t>
            </w:r>
          </w:p>
        </w:tc>
        <w:tc>
          <w:tcPr>
            <w:tcW w:w="709" w:type="dxa"/>
          </w:tcPr>
          <w:p w14:paraId="49439037"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0-1 г.</w:t>
            </w:r>
          </w:p>
        </w:tc>
        <w:tc>
          <w:tcPr>
            <w:tcW w:w="1672" w:type="dxa"/>
          </w:tcPr>
          <w:p w14:paraId="40006965"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Конгенитални контрактури, дихателни нарушения</w:t>
            </w:r>
          </w:p>
        </w:tc>
        <w:tc>
          <w:tcPr>
            <w:tcW w:w="312" w:type="dxa"/>
          </w:tcPr>
          <w:p w14:paraId="6AD8123E"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7E40CA75"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16A3E71D"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28E5F9B6"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Прогресираща мускулна слабост</w:t>
            </w:r>
          </w:p>
        </w:tc>
        <w:tc>
          <w:tcPr>
            <w:tcW w:w="851" w:type="dxa"/>
          </w:tcPr>
          <w:p w14:paraId="19A97B1C"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1559" w:type="dxa"/>
          </w:tcPr>
          <w:p w14:paraId="15E4994C"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Значим</w:t>
            </w:r>
          </w:p>
        </w:tc>
      </w:tr>
      <w:tr w:rsidR="00BE0B19" w:rsidRPr="00AE47C6" w14:paraId="73DF4BC8" w14:textId="77777777" w:rsidTr="00AD72E5">
        <w:tc>
          <w:tcPr>
            <w:tcW w:w="1654" w:type="dxa"/>
          </w:tcPr>
          <w:p w14:paraId="22F3766F"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 xml:space="preserve">Synaptotagmin 2 </w:t>
            </w:r>
          </w:p>
        </w:tc>
        <w:tc>
          <w:tcPr>
            <w:tcW w:w="1165" w:type="dxa"/>
          </w:tcPr>
          <w:p w14:paraId="71133F7C"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SYT2</w:t>
            </w:r>
          </w:p>
        </w:tc>
        <w:tc>
          <w:tcPr>
            <w:tcW w:w="709" w:type="dxa"/>
          </w:tcPr>
          <w:p w14:paraId="0A777CF9"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Детска възраст</w:t>
            </w:r>
          </w:p>
        </w:tc>
        <w:tc>
          <w:tcPr>
            <w:tcW w:w="1672" w:type="dxa"/>
          </w:tcPr>
          <w:p w14:paraId="250218ED"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Проксимална и дистална слабост в крайниците, деформитети на ходилата</w:t>
            </w:r>
          </w:p>
        </w:tc>
        <w:tc>
          <w:tcPr>
            <w:tcW w:w="312" w:type="dxa"/>
          </w:tcPr>
          <w:p w14:paraId="5C8305FA"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29892568"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0D6CDB9A"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24316E1A"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Прогресираща мускулна слабост</w:t>
            </w:r>
          </w:p>
        </w:tc>
        <w:tc>
          <w:tcPr>
            <w:tcW w:w="851" w:type="dxa"/>
          </w:tcPr>
          <w:p w14:paraId="1759960B"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1559" w:type="dxa"/>
          </w:tcPr>
          <w:p w14:paraId="62DDD91E"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Значим</w:t>
            </w:r>
          </w:p>
        </w:tc>
      </w:tr>
      <w:tr w:rsidR="00BE0B19" w:rsidRPr="00AE47C6" w14:paraId="510D0FCD" w14:textId="77777777" w:rsidTr="00AD72E5">
        <w:tc>
          <w:tcPr>
            <w:tcW w:w="1654" w:type="dxa"/>
          </w:tcPr>
          <w:p w14:paraId="586B2979"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 xml:space="preserve">MUNC13-1 </w:t>
            </w:r>
          </w:p>
        </w:tc>
        <w:tc>
          <w:tcPr>
            <w:tcW w:w="1165" w:type="dxa"/>
          </w:tcPr>
          <w:p w14:paraId="2222DD80"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UNC13-1</w:t>
            </w:r>
          </w:p>
        </w:tc>
        <w:tc>
          <w:tcPr>
            <w:tcW w:w="709" w:type="dxa"/>
          </w:tcPr>
          <w:p w14:paraId="2E984979"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0 г.</w:t>
            </w:r>
          </w:p>
        </w:tc>
        <w:tc>
          <w:tcPr>
            <w:tcW w:w="1672" w:type="dxa"/>
          </w:tcPr>
          <w:p w14:paraId="234775DC"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Тежка хипотония и дихателна недостатъчност</w:t>
            </w:r>
          </w:p>
        </w:tc>
        <w:tc>
          <w:tcPr>
            <w:tcW w:w="312" w:type="dxa"/>
          </w:tcPr>
          <w:p w14:paraId="078136AB"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031AE503"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39D061FB"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0A4BB561"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Прогресираща мускулна слабост</w:t>
            </w:r>
          </w:p>
        </w:tc>
        <w:tc>
          <w:tcPr>
            <w:tcW w:w="851" w:type="dxa"/>
          </w:tcPr>
          <w:p w14:paraId="1579F088"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1559" w:type="dxa"/>
          </w:tcPr>
          <w:p w14:paraId="020D3DEB"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 xml:space="preserve">Липса на </w:t>
            </w:r>
            <w:r w:rsidRPr="00AE47C6">
              <w:rPr>
                <w:rFonts w:ascii="Times New Roman" w:hAnsi="Times New Roman" w:cs="Times New Roman"/>
                <w:sz w:val="20"/>
                <w:szCs w:val="20"/>
              </w:rPr>
              <w:br/>
              <w:t>ефект</w:t>
            </w:r>
          </w:p>
        </w:tc>
      </w:tr>
      <w:tr w:rsidR="00BE0B19" w:rsidRPr="00AE47C6" w14:paraId="348567A4" w14:textId="77777777" w:rsidTr="00AD72E5">
        <w:tc>
          <w:tcPr>
            <w:tcW w:w="1654" w:type="dxa"/>
          </w:tcPr>
          <w:p w14:paraId="7D24047D"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 xml:space="preserve">Synaptobrevin 1 </w:t>
            </w:r>
          </w:p>
        </w:tc>
        <w:tc>
          <w:tcPr>
            <w:tcW w:w="1165" w:type="dxa"/>
          </w:tcPr>
          <w:p w14:paraId="69CD1828"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VAMP1</w:t>
            </w:r>
          </w:p>
        </w:tc>
        <w:tc>
          <w:tcPr>
            <w:tcW w:w="709" w:type="dxa"/>
          </w:tcPr>
          <w:p w14:paraId="7C24B455"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0-1 г.</w:t>
            </w:r>
          </w:p>
        </w:tc>
        <w:tc>
          <w:tcPr>
            <w:tcW w:w="1672" w:type="dxa"/>
          </w:tcPr>
          <w:p w14:paraId="2727201C"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Хипотония, мускулна слабост, гълтателни нарушения</w:t>
            </w:r>
          </w:p>
        </w:tc>
        <w:tc>
          <w:tcPr>
            <w:tcW w:w="312" w:type="dxa"/>
          </w:tcPr>
          <w:p w14:paraId="23079622"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75176686"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1DC50A28"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2B237487"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Мускулна хипотония</w:t>
            </w:r>
          </w:p>
        </w:tc>
        <w:tc>
          <w:tcPr>
            <w:tcW w:w="851" w:type="dxa"/>
          </w:tcPr>
          <w:p w14:paraId="0A3A2A46"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w:t>
            </w:r>
          </w:p>
        </w:tc>
        <w:tc>
          <w:tcPr>
            <w:tcW w:w="1559" w:type="dxa"/>
          </w:tcPr>
          <w:p w14:paraId="747480FD" w14:textId="77777777" w:rsidR="00BE0B19" w:rsidRPr="00AE47C6" w:rsidRDefault="00BE0B19" w:rsidP="00BE0B19">
            <w:pPr>
              <w:spacing w:after="0" w:line="240" w:lineRule="auto"/>
              <w:contextualSpacing/>
              <w:rPr>
                <w:rFonts w:ascii="Times New Roman" w:hAnsi="Times New Roman" w:cs="Times New Roman"/>
                <w:sz w:val="20"/>
                <w:szCs w:val="20"/>
              </w:rPr>
            </w:pPr>
            <w:r w:rsidRPr="00AE47C6">
              <w:rPr>
                <w:rFonts w:ascii="Times New Roman" w:hAnsi="Times New Roman" w:cs="Times New Roman"/>
                <w:sz w:val="20"/>
                <w:szCs w:val="20"/>
              </w:rPr>
              <w:t>Значим</w:t>
            </w:r>
          </w:p>
        </w:tc>
      </w:tr>
      <w:tr w:rsidR="00BE0B19" w:rsidRPr="00AE47C6" w14:paraId="17815FFF" w14:textId="77777777" w:rsidTr="00AD72E5">
        <w:tc>
          <w:tcPr>
            <w:tcW w:w="10757" w:type="dxa"/>
            <w:gridSpan w:val="10"/>
          </w:tcPr>
          <w:p w14:paraId="7CE5D09F"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Синаптични</w:t>
            </w:r>
          </w:p>
        </w:tc>
      </w:tr>
      <w:tr w:rsidR="00BE0B19" w:rsidRPr="00AE47C6" w14:paraId="6CEC1773" w14:textId="77777777" w:rsidTr="00AD72E5">
        <w:tc>
          <w:tcPr>
            <w:tcW w:w="1654" w:type="dxa"/>
          </w:tcPr>
          <w:p w14:paraId="594C7368"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 xml:space="preserve">Collagen Type XIII </w:t>
            </w:r>
            <w:r w:rsidRPr="00AE47C6">
              <w:rPr>
                <w:rFonts w:ascii="Times New Roman" w:hAnsi="Times New Roman" w:cs="Times New Roman"/>
                <w:sz w:val="20"/>
                <w:szCs w:val="20"/>
              </w:rPr>
              <w:br/>
              <w:t xml:space="preserve">1 Chain </w:t>
            </w:r>
          </w:p>
        </w:tc>
        <w:tc>
          <w:tcPr>
            <w:tcW w:w="1165" w:type="dxa"/>
          </w:tcPr>
          <w:p w14:paraId="64F43857"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COL13A1</w:t>
            </w:r>
          </w:p>
        </w:tc>
        <w:tc>
          <w:tcPr>
            <w:tcW w:w="709" w:type="dxa"/>
          </w:tcPr>
          <w:p w14:paraId="08226076"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0-1 г.</w:t>
            </w:r>
          </w:p>
        </w:tc>
        <w:tc>
          <w:tcPr>
            <w:tcW w:w="1672" w:type="dxa"/>
          </w:tcPr>
          <w:p w14:paraId="29DB5633"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Дихателни и гълтателни нарушения</w:t>
            </w:r>
          </w:p>
        </w:tc>
        <w:tc>
          <w:tcPr>
            <w:tcW w:w="312" w:type="dxa"/>
          </w:tcPr>
          <w:p w14:paraId="5E86B95E"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718238FE"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2BD14D0E"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1785D167"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Мускулна хипотония</w:t>
            </w:r>
          </w:p>
        </w:tc>
        <w:tc>
          <w:tcPr>
            <w:tcW w:w="851" w:type="dxa"/>
          </w:tcPr>
          <w:p w14:paraId="03BF228E"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ПДС1</w:t>
            </w:r>
          </w:p>
        </w:tc>
        <w:tc>
          <w:tcPr>
            <w:tcW w:w="1559" w:type="dxa"/>
          </w:tcPr>
          <w:p w14:paraId="569D55A9"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Значим</w:t>
            </w:r>
          </w:p>
        </w:tc>
      </w:tr>
      <w:tr w:rsidR="00BE0B19" w:rsidRPr="00AE47C6" w14:paraId="67BAC100" w14:textId="77777777" w:rsidTr="00AD72E5">
        <w:tc>
          <w:tcPr>
            <w:tcW w:w="1654" w:type="dxa"/>
          </w:tcPr>
          <w:p w14:paraId="384C7590"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 xml:space="preserve">Endplate AChE дефицит </w:t>
            </w:r>
          </w:p>
        </w:tc>
        <w:tc>
          <w:tcPr>
            <w:tcW w:w="1165" w:type="dxa"/>
          </w:tcPr>
          <w:p w14:paraId="6846E69C"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COLQ</w:t>
            </w:r>
          </w:p>
        </w:tc>
        <w:tc>
          <w:tcPr>
            <w:tcW w:w="709" w:type="dxa"/>
          </w:tcPr>
          <w:p w14:paraId="0309CB96" w14:textId="77777777" w:rsidR="00BE0B19" w:rsidRPr="00AE47C6" w:rsidRDefault="00BE0B19" w:rsidP="00BE0B19">
            <w:pPr>
              <w:numPr>
                <w:ilvl w:val="1"/>
                <w:numId w:val="0"/>
              </w:num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г.</w:t>
            </w:r>
          </w:p>
        </w:tc>
        <w:tc>
          <w:tcPr>
            <w:tcW w:w="1672" w:type="dxa"/>
          </w:tcPr>
          <w:p w14:paraId="29D3F5F6"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Птоза, хипотония, вяло сукане и плач, респираторна недостатъчност, забавено моторно развитие</w:t>
            </w:r>
          </w:p>
        </w:tc>
        <w:tc>
          <w:tcPr>
            <w:tcW w:w="312" w:type="dxa"/>
          </w:tcPr>
          <w:p w14:paraId="438FA840"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79366D79"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3812AD13"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3F867DF4"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Генерализирана слабост, понякога с пояс-крайник разпределение, миопатна походка, аксиална слабост, сколиоза.</w:t>
            </w:r>
          </w:p>
        </w:tc>
        <w:tc>
          <w:tcPr>
            <w:tcW w:w="851" w:type="dxa"/>
          </w:tcPr>
          <w:p w14:paraId="259AE17E"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559" w:type="dxa"/>
          </w:tcPr>
          <w:p w14:paraId="41C96F2C"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 xml:space="preserve">Липсва </w:t>
            </w:r>
            <w:r w:rsidRPr="00AE47C6">
              <w:rPr>
                <w:rFonts w:ascii="Times New Roman" w:hAnsi="Times New Roman" w:cs="Times New Roman"/>
                <w:sz w:val="20"/>
                <w:szCs w:val="20"/>
              </w:rPr>
              <w:br/>
              <w:t xml:space="preserve">ефект </w:t>
            </w:r>
            <w:r w:rsidRPr="00AE47C6">
              <w:rPr>
                <w:rFonts w:ascii="Times New Roman" w:hAnsi="Times New Roman" w:cs="Times New Roman"/>
                <w:sz w:val="20"/>
                <w:szCs w:val="20"/>
              </w:rPr>
              <w:br/>
              <w:t xml:space="preserve">или </w:t>
            </w:r>
            <w:r w:rsidRPr="00AE47C6">
              <w:rPr>
                <w:rFonts w:ascii="Times New Roman" w:hAnsi="Times New Roman" w:cs="Times New Roman"/>
                <w:sz w:val="20"/>
                <w:szCs w:val="20"/>
              </w:rPr>
              <w:br/>
              <w:t>влошаване</w:t>
            </w:r>
          </w:p>
        </w:tc>
      </w:tr>
      <w:tr w:rsidR="00BE0B19" w:rsidRPr="00AE47C6" w14:paraId="3593883E" w14:textId="77777777" w:rsidTr="00AD72E5">
        <w:tc>
          <w:tcPr>
            <w:tcW w:w="1654" w:type="dxa"/>
          </w:tcPr>
          <w:p w14:paraId="028B0AED"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Laminin 5 дефицит 5</w:t>
            </w:r>
          </w:p>
        </w:tc>
        <w:tc>
          <w:tcPr>
            <w:tcW w:w="1165" w:type="dxa"/>
          </w:tcPr>
          <w:p w14:paraId="2B2EC51F"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LAMA5</w:t>
            </w:r>
          </w:p>
        </w:tc>
        <w:tc>
          <w:tcPr>
            <w:tcW w:w="709" w:type="dxa"/>
          </w:tcPr>
          <w:p w14:paraId="3C4CF162"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0-1 г.</w:t>
            </w:r>
          </w:p>
        </w:tc>
        <w:tc>
          <w:tcPr>
            <w:tcW w:w="1672" w:type="dxa"/>
          </w:tcPr>
          <w:p w14:paraId="6ED51324"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Дихателни нарушения, птоза, офталмопареза, проксимална мускулна слабост</w:t>
            </w:r>
          </w:p>
        </w:tc>
        <w:tc>
          <w:tcPr>
            <w:tcW w:w="312" w:type="dxa"/>
          </w:tcPr>
          <w:p w14:paraId="7F4C4469"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2BE9658F"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33E9EAB4"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2FDDC75F"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Проксимална мускулна слабост</w:t>
            </w:r>
          </w:p>
        </w:tc>
        <w:tc>
          <w:tcPr>
            <w:tcW w:w="851" w:type="dxa"/>
          </w:tcPr>
          <w:p w14:paraId="6A364207"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559" w:type="dxa"/>
          </w:tcPr>
          <w:p w14:paraId="3E90016D"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Значим</w:t>
            </w:r>
          </w:p>
        </w:tc>
      </w:tr>
      <w:tr w:rsidR="00BE0B19" w:rsidRPr="00AE47C6" w14:paraId="063B6B72" w14:textId="77777777" w:rsidTr="00AD72E5">
        <w:tc>
          <w:tcPr>
            <w:tcW w:w="1654" w:type="dxa"/>
          </w:tcPr>
          <w:p w14:paraId="77DE7D99"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Laminin 2 дефицит</w:t>
            </w:r>
          </w:p>
        </w:tc>
        <w:tc>
          <w:tcPr>
            <w:tcW w:w="1165" w:type="dxa"/>
          </w:tcPr>
          <w:p w14:paraId="2D8556F0"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 xml:space="preserve"> LAMB2</w:t>
            </w:r>
          </w:p>
        </w:tc>
        <w:tc>
          <w:tcPr>
            <w:tcW w:w="709" w:type="dxa"/>
          </w:tcPr>
          <w:p w14:paraId="6F64EE81"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0-1 г.</w:t>
            </w:r>
          </w:p>
        </w:tc>
        <w:tc>
          <w:tcPr>
            <w:tcW w:w="1672" w:type="dxa"/>
          </w:tcPr>
          <w:p w14:paraId="0E1EC958"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Дихателни нарушения, птоза, офталмопареза, проксимална мускулна слабост</w:t>
            </w:r>
          </w:p>
        </w:tc>
        <w:tc>
          <w:tcPr>
            <w:tcW w:w="312" w:type="dxa"/>
          </w:tcPr>
          <w:p w14:paraId="4E1EFFD2"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164906BD"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0A944646"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75589516"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Проксимална мускулна слабост</w:t>
            </w:r>
          </w:p>
        </w:tc>
        <w:tc>
          <w:tcPr>
            <w:tcW w:w="851" w:type="dxa"/>
          </w:tcPr>
          <w:p w14:paraId="625C6CE5"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559" w:type="dxa"/>
          </w:tcPr>
          <w:p w14:paraId="0ECA696E"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Значим</w:t>
            </w:r>
          </w:p>
        </w:tc>
      </w:tr>
      <w:tr w:rsidR="00BE0B19" w:rsidRPr="00AE47C6" w14:paraId="75C1853E" w14:textId="77777777" w:rsidTr="00AD72E5">
        <w:tc>
          <w:tcPr>
            <w:tcW w:w="10757" w:type="dxa"/>
            <w:gridSpan w:val="10"/>
          </w:tcPr>
          <w:p w14:paraId="309596A8"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Постсинаптични</w:t>
            </w:r>
          </w:p>
        </w:tc>
      </w:tr>
      <w:tr w:rsidR="00BE0B19" w:rsidRPr="00AE47C6" w14:paraId="7A3F47A4" w14:textId="77777777" w:rsidTr="00AD72E5">
        <w:tc>
          <w:tcPr>
            <w:tcW w:w="1654" w:type="dxa"/>
          </w:tcPr>
          <w:p w14:paraId="1C21900A"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 xml:space="preserve">Agrin (neuronal) </w:t>
            </w:r>
          </w:p>
        </w:tc>
        <w:tc>
          <w:tcPr>
            <w:tcW w:w="1165" w:type="dxa"/>
          </w:tcPr>
          <w:p w14:paraId="4E9F947E"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AGRN</w:t>
            </w:r>
          </w:p>
        </w:tc>
        <w:tc>
          <w:tcPr>
            <w:tcW w:w="709" w:type="dxa"/>
          </w:tcPr>
          <w:p w14:paraId="5B107CD7"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Ранна детска</w:t>
            </w:r>
          </w:p>
        </w:tc>
        <w:tc>
          <w:tcPr>
            <w:tcW w:w="1672" w:type="dxa"/>
          </w:tcPr>
          <w:p w14:paraId="2292207F"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Птоза, мускулна слабост</w:t>
            </w:r>
          </w:p>
        </w:tc>
        <w:tc>
          <w:tcPr>
            <w:tcW w:w="312" w:type="dxa"/>
          </w:tcPr>
          <w:p w14:paraId="5AF55A30"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1191CA2B"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21058839"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6C47B9D0"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Лека проксимална мускулна слабост</w:t>
            </w:r>
          </w:p>
        </w:tc>
        <w:tc>
          <w:tcPr>
            <w:tcW w:w="851" w:type="dxa"/>
          </w:tcPr>
          <w:p w14:paraId="16B048DE"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559" w:type="dxa"/>
          </w:tcPr>
          <w:p w14:paraId="03E81A22"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Лисва ефект</w:t>
            </w:r>
          </w:p>
        </w:tc>
      </w:tr>
      <w:tr w:rsidR="00BE0B19" w:rsidRPr="00AE47C6" w14:paraId="7543D1EB" w14:textId="77777777" w:rsidTr="00AD72E5">
        <w:trPr>
          <w:trHeight w:val="1269"/>
        </w:trPr>
        <w:tc>
          <w:tcPr>
            <w:tcW w:w="1654" w:type="dxa"/>
          </w:tcPr>
          <w:p w14:paraId="68AC4EBE"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Първичен AChR дефицит</w:t>
            </w:r>
          </w:p>
        </w:tc>
        <w:tc>
          <w:tcPr>
            <w:tcW w:w="1165" w:type="dxa"/>
          </w:tcPr>
          <w:p w14:paraId="3555CC14"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CHRNA, CHRNB, CHRND, CHRNE</w:t>
            </w:r>
          </w:p>
        </w:tc>
        <w:tc>
          <w:tcPr>
            <w:tcW w:w="709" w:type="dxa"/>
          </w:tcPr>
          <w:p w14:paraId="3782FB2D"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Вариабилна</w:t>
            </w:r>
          </w:p>
        </w:tc>
        <w:tc>
          <w:tcPr>
            <w:tcW w:w="1672" w:type="dxa"/>
          </w:tcPr>
          <w:p w14:paraId="36EAB402"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Птоза, офталмопареза</w:t>
            </w:r>
          </w:p>
        </w:tc>
        <w:tc>
          <w:tcPr>
            <w:tcW w:w="312" w:type="dxa"/>
          </w:tcPr>
          <w:p w14:paraId="65086F37"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0F9F7D8E"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74A06BA0"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494DDE6C"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Проксимална мускулна слабост при някои</w:t>
            </w:r>
          </w:p>
        </w:tc>
        <w:tc>
          <w:tcPr>
            <w:tcW w:w="851" w:type="dxa"/>
          </w:tcPr>
          <w:p w14:paraId="4B5AB478"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559" w:type="dxa"/>
          </w:tcPr>
          <w:p w14:paraId="71CA3443"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Частичен</w:t>
            </w:r>
          </w:p>
        </w:tc>
      </w:tr>
      <w:tr w:rsidR="00BE0B19" w:rsidRPr="00AE47C6" w14:paraId="352E3CBA" w14:textId="77777777" w:rsidTr="00AD72E5">
        <w:tc>
          <w:tcPr>
            <w:tcW w:w="1654" w:type="dxa"/>
          </w:tcPr>
          <w:p w14:paraId="45D90DA5"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Синдром на бавните канали</w:t>
            </w:r>
          </w:p>
        </w:tc>
        <w:tc>
          <w:tcPr>
            <w:tcW w:w="1165" w:type="dxa"/>
          </w:tcPr>
          <w:p w14:paraId="32ED54B9"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CHRNA, CHRNB, CHRND, CHRNE</w:t>
            </w:r>
          </w:p>
        </w:tc>
        <w:tc>
          <w:tcPr>
            <w:tcW w:w="709" w:type="dxa"/>
          </w:tcPr>
          <w:p w14:paraId="55D8189E"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0-20 г.</w:t>
            </w:r>
          </w:p>
        </w:tc>
        <w:tc>
          <w:tcPr>
            <w:tcW w:w="1672" w:type="dxa"/>
          </w:tcPr>
          <w:p w14:paraId="5E355650"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Птоза, мускулна слабост</w:t>
            </w:r>
          </w:p>
        </w:tc>
        <w:tc>
          <w:tcPr>
            <w:tcW w:w="312" w:type="dxa"/>
          </w:tcPr>
          <w:p w14:paraId="3F3D3100"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298DA318"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39B69E3F"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2DE19827"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Изразена слабост при ранното начало, лека слабост при късното начало, аксиална слабост, сколиоза</w:t>
            </w:r>
          </w:p>
        </w:tc>
        <w:tc>
          <w:tcPr>
            <w:tcW w:w="851" w:type="dxa"/>
          </w:tcPr>
          <w:p w14:paraId="4296CBA9"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ПДС1</w:t>
            </w:r>
          </w:p>
        </w:tc>
        <w:tc>
          <w:tcPr>
            <w:tcW w:w="1559" w:type="dxa"/>
          </w:tcPr>
          <w:p w14:paraId="2E0FF4C7"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Липсва ефект или влошаване</w:t>
            </w:r>
          </w:p>
        </w:tc>
      </w:tr>
      <w:tr w:rsidR="00BE0B19" w:rsidRPr="00AE47C6" w14:paraId="16D877D5" w14:textId="77777777" w:rsidTr="00AD72E5">
        <w:tc>
          <w:tcPr>
            <w:tcW w:w="1654" w:type="dxa"/>
          </w:tcPr>
          <w:p w14:paraId="49DC7B85"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 xml:space="preserve">Синдром на бързите канали </w:t>
            </w:r>
          </w:p>
        </w:tc>
        <w:tc>
          <w:tcPr>
            <w:tcW w:w="1165" w:type="dxa"/>
          </w:tcPr>
          <w:p w14:paraId="2A7B6FE4"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CHRNA, CHRNB, CHRND, CHRNE</w:t>
            </w:r>
          </w:p>
        </w:tc>
        <w:tc>
          <w:tcPr>
            <w:tcW w:w="709" w:type="dxa"/>
          </w:tcPr>
          <w:p w14:paraId="5C8037BF"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0-1 г</w:t>
            </w:r>
          </w:p>
        </w:tc>
        <w:tc>
          <w:tcPr>
            <w:tcW w:w="1672" w:type="dxa"/>
          </w:tcPr>
          <w:p w14:paraId="3DE783E3"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Птоза, офталмопареза, дихателни кризи</w:t>
            </w:r>
          </w:p>
        </w:tc>
        <w:tc>
          <w:tcPr>
            <w:tcW w:w="312" w:type="dxa"/>
          </w:tcPr>
          <w:p w14:paraId="75BB6BB6"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32201390"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139B4B44"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47A31BE9"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Генерализирана мускулна слабост</w:t>
            </w:r>
          </w:p>
        </w:tc>
        <w:tc>
          <w:tcPr>
            <w:tcW w:w="851" w:type="dxa"/>
          </w:tcPr>
          <w:p w14:paraId="577299ED"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559" w:type="dxa"/>
          </w:tcPr>
          <w:p w14:paraId="62880298"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Има ефект, който намалява с времето</w:t>
            </w:r>
          </w:p>
        </w:tc>
      </w:tr>
      <w:tr w:rsidR="00BE0B19" w:rsidRPr="00AE47C6" w14:paraId="6C992359" w14:textId="77777777" w:rsidTr="00AD72E5">
        <w:tc>
          <w:tcPr>
            <w:tcW w:w="1654" w:type="dxa"/>
          </w:tcPr>
          <w:p w14:paraId="0979EE77"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 xml:space="preserve">Синдром на бавно провеждане </w:t>
            </w:r>
          </w:p>
        </w:tc>
        <w:tc>
          <w:tcPr>
            <w:tcW w:w="1165" w:type="dxa"/>
          </w:tcPr>
          <w:p w14:paraId="25BDF4AB"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CHRNE</w:t>
            </w:r>
          </w:p>
        </w:tc>
        <w:tc>
          <w:tcPr>
            <w:tcW w:w="709" w:type="dxa"/>
          </w:tcPr>
          <w:p w14:paraId="036008C2"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1 г.</w:t>
            </w:r>
          </w:p>
        </w:tc>
        <w:tc>
          <w:tcPr>
            <w:tcW w:w="1672" w:type="dxa"/>
          </w:tcPr>
          <w:p w14:paraId="163CBCA4"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Двустранна птоза, затруднения в сукането, вял плач</w:t>
            </w:r>
          </w:p>
        </w:tc>
        <w:tc>
          <w:tcPr>
            <w:tcW w:w="312" w:type="dxa"/>
          </w:tcPr>
          <w:p w14:paraId="331DA1F7"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12DB5806"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03CCA91D"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5D806339"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Генерализирана индуцирана от натоварване слабост</w:t>
            </w:r>
          </w:p>
        </w:tc>
        <w:tc>
          <w:tcPr>
            <w:tcW w:w="851" w:type="dxa"/>
          </w:tcPr>
          <w:p w14:paraId="216B698F"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Рядко</w:t>
            </w:r>
          </w:p>
        </w:tc>
        <w:tc>
          <w:tcPr>
            <w:tcW w:w="1559" w:type="dxa"/>
          </w:tcPr>
          <w:p w14:paraId="30BD6359"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Значим</w:t>
            </w:r>
          </w:p>
        </w:tc>
      </w:tr>
      <w:tr w:rsidR="00BE0B19" w:rsidRPr="00AE47C6" w14:paraId="53A943E5" w14:textId="77777777" w:rsidTr="00AD72E5">
        <w:tc>
          <w:tcPr>
            <w:tcW w:w="1654" w:type="dxa"/>
          </w:tcPr>
          <w:p w14:paraId="49EDFB40"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 xml:space="preserve">DOK7 </w:t>
            </w:r>
          </w:p>
        </w:tc>
        <w:tc>
          <w:tcPr>
            <w:tcW w:w="1165" w:type="dxa"/>
          </w:tcPr>
          <w:p w14:paraId="49CCB212"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 xml:space="preserve">DOK7 </w:t>
            </w:r>
          </w:p>
        </w:tc>
        <w:tc>
          <w:tcPr>
            <w:tcW w:w="709" w:type="dxa"/>
          </w:tcPr>
          <w:p w14:paraId="4CD844FD"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2 г., възможно и късно начало</w:t>
            </w:r>
          </w:p>
        </w:tc>
        <w:tc>
          <w:tcPr>
            <w:tcW w:w="1672" w:type="dxa"/>
          </w:tcPr>
          <w:p w14:paraId="1FDB7FB2"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Затруднение в ходенето и тичането, миопатна походка</w:t>
            </w:r>
          </w:p>
        </w:tc>
        <w:tc>
          <w:tcPr>
            <w:tcW w:w="312" w:type="dxa"/>
          </w:tcPr>
          <w:p w14:paraId="42BE84B7"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21F62B09"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7BDDC7D7"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06487F91"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Слабост с разпределение пояс-крайник, миопатна походка, аксиална слабост и сколиоза</w:t>
            </w:r>
          </w:p>
        </w:tc>
        <w:tc>
          <w:tcPr>
            <w:tcW w:w="851" w:type="dxa"/>
          </w:tcPr>
          <w:p w14:paraId="265285EA"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ПДС1</w:t>
            </w:r>
          </w:p>
        </w:tc>
        <w:tc>
          <w:tcPr>
            <w:tcW w:w="1559" w:type="dxa"/>
          </w:tcPr>
          <w:p w14:paraId="46E82A3D"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 xml:space="preserve">Липсва </w:t>
            </w:r>
            <w:r w:rsidRPr="00AE47C6">
              <w:rPr>
                <w:rFonts w:ascii="Times New Roman" w:hAnsi="Times New Roman" w:cs="Times New Roman"/>
                <w:sz w:val="20"/>
                <w:szCs w:val="20"/>
              </w:rPr>
              <w:br/>
              <w:t xml:space="preserve">ефект </w:t>
            </w:r>
            <w:r w:rsidRPr="00AE47C6">
              <w:rPr>
                <w:rFonts w:ascii="Times New Roman" w:hAnsi="Times New Roman" w:cs="Times New Roman"/>
                <w:sz w:val="20"/>
                <w:szCs w:val="20"/>
              </w:rPr>
              <w:br/>
              <w:t xml:space="preserve">или </w:t>
            </w:r>
            <w:r w:rsidRPr="00AE47C6">
              <w:rPr>
                <w:rFonts w:ascii="Times New Roman" w:hAnsi="Times New Roman" w:cs="Times New Roman"/>
                <w:sz w:val="20"/>
                <w:szCs w:val="20"/>
              </w:rPr>
              <w:br/>
              <w:t>влошаване</w:t>
            </w:r>
          </w:p>
        </w:tc>
      </w:tr>
      <w:tr w:rsidR="00BE0B19" w:rsidRPr="00AE47C6" w14:paraId="6FB297D9" w14:textId="77777777" w:rsidTr="00AD72E5">
        <w:tc>
          <w:tcPr>
            <w:tcW w:w="1654" w:type="dxa"/>
          </w:tcPr>
          <w:p w14:paraId="1F9E8AF3"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 xml:space="preserve">LRP4 </w:t>
            </w:r>
          </w:p>
        </w:tc>
        <w:tc>
          <w:tcPr>
            <w:tcW w:w="1165" w:type="dxa"/>
          </w:tcPr>
          <w:p w14:paraId="20454F31"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 xml:space="preserve">LRP4 </w:t>
            </w:r>
          </w:p>
        </w:tc>
        <w:tc>
          <w:tcPr>
            <w:tcW w:w="709" w:type="dxa"/>
          </w:tcPr>
          <w:p w14:paraId="1DFBC625"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0-1 г.</w:t>
            </w:r>
          </w:p>
        </w:tc>
        <w:tc>
          <w:tcPr>
            <w:tcW w:w="1672" w:type="dxa"/>
          </w:tcPr>
          <w:p w14:paraId="5EED4DE2"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Дихателни и гълтателни нарушения</w:t>
            </w:r>
          </w:p>
        </w:tc>
        <w:tc>
          <w:tcPr>
            <w:tcW w:w="312" w:type="dxa"/>
          </w:tcPr>
          <w:p w14:paraId="50D1CC24"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1B915048"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30C18D69"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0C5AB1EA"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Проксимална и аксиална мускулна слабост</w:t>
            </w:r>
          </w:p>
        </w:tc>
        <w:tc>
          <w:tcPr>
            <w:tcW w:w="851" w:type="dxa"/>
          </w:tcPr>
          <w:p w14:paraId="0E681D67"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559" w:type="dxa"/>
          </w:tcPr>
          <w:p w14:paraId="4B3C9F28"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Слаб ефект</w:t>
            </w:r>
          </w:p>
        </w:tc>
      </w:tr>
      <w:tr w:rsidR="00BE0B19" w:rsidRPr="00AE47C6" w14:paraId="46907D97" w14:textId="77777777" w:rsidTr="00AD72E5">
        <w:tc>
          <w:tcPr>
            <w:tcW w:w="1654" w:type="dxa"/>
          </w:tcPr>
          <w:p w14:paraId="31784343"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 xml:space="preserve">MuSK </w:t>
            </w:r>
          </w:p>
        </w:tc>
        <w:tc>
          <w:tcPr>
            <w:tcW w:w="1165" w:type="dxa"/>
          </w:tcPr>
          <w:p w14:paraId="6DB93CAD"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 xml:space="preserve">MuSK </w:t>
            </w:r>
          </w:p>
        </w:tc>
        <w:tc>
          <w:tcPr>
            <w:tcW w:w="709" w:type="dxa"/>
          </w:tcPr>
          <w:p w14:paraId="7659A2CB"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1-3 г.</w:t>
            </w:r>
          </w:p>
        </w:tc>
        <w:tc>
          <w:tcPr>
            <w:tcW w:w="1672" w:type="dxa"/>
          </w:tcPr>
          <w:p w14:paraId="67C73FF4"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Птоза и лесна мускулна уморяемост</w:t>
            </w:r>
          </w:p>
        </w:tc>
        <w:tc>
          <w:tcPr>
            <w:tcW w:w="312" w:type="dxa"/>
          </w:tcPr>
          <w:p w14:paraId="61ED575E"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693DA848"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7D6DCB03"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781231C4"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Проксимална мускулна слабост</w:t>
            </w:r>
          </w:p>
        </w:tc>
        <w:tc>
          <w:tcPr>
            <w:tcW w:w="851" w:type="dxa"/>
          </w:tcPr>
          <w:p w14:paraId="6D0C19D2"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559" w:type="dxa"/>
          </w:tcPr>
          <w:p w14:paraId="0447839B"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Слаб ефект</w:t>
            </w:r>
          </w:p>
        </w:tc>
      </w:tr>
      <w:tr w:rsidR="00BE0B19" w:rsidRPr="00AE47C6" w14:paraId="04850898" w14:textId="77777777" w:rsidTr="00AD72E5">
        <w:tc>
          <w:tcPr>
            <w:tcW w:w="1654" w:type="dxa"/>
          </w:tcPr>
          <w:p w14:paraId="302EF11C"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Plectin дефицит</w:t>
            </w:r>
          </w:p>
        </w:tc>
        <w:tc>
          <w:tcPr>
            <w:tcW w:w="1165" w:type="dxa"/>
          </w:tcPr>
          <w:p w14:paraId="13E47E31"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PLEC1</w:t>
            </w:r>
          </w:p>
        </w:tc>
        <w:tc>
          <w:tcPr>
            <w:tcW w:w="709" w:type="dxa"/>
          </w:tcPr>
          <w:p w14:paraId="3FC9C810" w14:textId="77777777" w:rsidR="00BE0B19" w:rsidRPr="00AE47C6" w:rsidRDefault="00BE0B19" w:rsidP="00BE0B19">
            <w:pPr>
              <w:spacing w:after="0" w:line="240" w:lineRule="auto"/>
              <w:contextualSpacing/>
              <w:jc w:val="both"/>
              <w:rPr>
                <w:rFonts w:ascii="Times New Roman" w:hAnsi="Times New Roman" w:cs="Times New Roman"/>
                <w:sz w:val="20"/>
                <w:szCs w:val="20"/>
              </w:rPr>
            </w:pPr>
          </w:p>
        </w:tc>
        <w:tc>
          <w:tcPr>
            <w:tcW w:w="1672" w:type="dxa"/>
          </w:tcPr>
          <w:p w14:paraId="3B0CD25F" w14:textId="77777777" w:rsidR="00BE0B19" w:rsidRPr="00AE47C6" w:rsidRDefault="00BE0B19" w:rsidP="00BE0B19">
            <w:pPr>
              <w:spacing w:after="0" w:line="240" w:lineRule="auto"/>
              <w:contextualSpacing/>
              <w:jc w:val="both"/>
              <w:rPr>
                <w:rFonts w:ascii="Times New Roman" w:hAnsi="Times New Roman" w:cs="Times New Roman"/>
                <w:sz w:val="20"/>
                <w:szCs w:val="20"/>
              </w:rPr>
            </w:pPr>
          </w:p>
        </w:tc>
        <w:tc>
          <w:tcPr>
            <w:tcW w:w="312" w:type="dxa"/>
          </w:tcPr>
          <w:p w14:paraId="75EF6811" w14:textId="77777777" w:rsidR="00BE0B19" w:rsidRPr="00AE47C6" w:rsidRDefault="00BE0B19" w:rsidP="00BE0B19">
            <w:pPr>
              <w:spacing w:after="0" w:line="240" w:lineRule="auto"/>
              <w:contextualSpacing/>
              <w:jc w:val="both"/>
              <w:rPr>
                <w:rFonts w:ascii="Times New Roman" w:hAnsi="Times New Roman" w:cs="Times New Roman"/>
                <w:sz w:val="20"/>
                <w:szCs w:val="20"/>
              </w:rPr>
            </w:pPr>
          </w:p>
        </w:tc>
        <w:tc>
          <w:tcPr>
            <w:tcW w:w="567" w:type="dxa"/>
          </w:tcPr>
          <w:p w14:paraId="7C78410B" w14:textId="77777777" w:rsidR="00BE0B19" w:rsidRPr="00AE47C6" w:rsidRDefault="00BE0B19" w:rsidP="00BE0B19">
            <w:pPr>
              <w:spacing w:after="0" w:line="240" w:lineRule="auto"/>
              <w:contextualSpacing/>
              <w:jc w:val="both"/>
              <w:rPr>
                <w:rFonts w:ascii="Times New Roman" w:hAnsi="Times New Roman" w:cs="Times New Roman"/>
                <w:sz w:val="20"/>
                <w:szCs w:val="20"/>
              </w:rPr>
            </w:pPr>
          </w:p>
        </w:tc>
        <w:tc>
          <w:tcPr>
            <w:tcW w:w="426" w:type="dxa"/>
          </w:tcPr>
          <w:p w14:paraId="2C64405A" w14:textId="77777777" w:rsidR="00BE0B19" w:rsidRPr="00AE47C6" w:rsidRDefault="00BE0B19" w:rsidP="00BE0B19">
            <w:pPr>
              <w:spacing w:after="0" w:line="240" w:lineRule="auto"/>
              <w:contextualSpacing/>
              <w:jc w:val="both"/>
              <w:rPr>
                <w:rFonts w:ascii="Times New Roman" w:hAnsi="Times New Roman" w:cs="Times New Roman"/>
                <w:sz w:val="20"/>
                <w:szCs w:val="20"/>
              </w:rPr>
            </w:pPr>
          </w:p>
        </w:tc>
        <w:tc>
          <w:tcPr>
            <w:tcW w:w="1842" w:type="dxa"/>
          </w:tcPr>
          <w:p w14:paraId="1D059231" w14:textId="77777777" w:rsidR="00BE0B19" w:rsidRPr="00AE47C6" w:rsidRDefault="00BE0B19" w:rsidP="00BE0B19">
            <w:pPr>
              <w:spacing w:after="0" w:line="240" w:lineRule="auto"/>
              <w:contextualSpacing/>
              <w:jc w:val="both"/>
              <w:rPr>
                <w:rFonts w:ascii="Times New Roman" w:hAnsi="Times New Roman" w:cs="Times New Roman"/>
                <w:sz w:val="20"/>
                <w:szCs w:val="20"/>
              </w:rPr>
            </w:pPr>
          </w:p>
        </w:tc>
        <w:tc>
          <w:tcPr>
            <w:tcW w:w="851" w:type="dxa"/>
          </w:tcPr>
          <w:p w14:paraId="79C61EF0" w14:textId="77777777" w:rsidR="00BE0B19" w:rsidRPr="00AE47C6" w:rsidRDefault="00BE0B19" w:rsidP="00BE0B19">
            <w:pPr>
              <w:spacing w:after="0" w:line="240" w:lineRule="auto"/>
              <w:contextualSpacing/>
              <w:jc w:val="both"/>
              <w:rPr>
                <w:rFonts w:ascii="Times New Roman" w:hAnsi="Times New Roman" w:cs="Times New Roman"/>
                <w:sz w:val="20"/>
                <w:szCs w:val="20"/>
              </w:rPr>
            </w:pPr>
          </w:p>
        </w:tc>
        <w:tc>
          <w:tcPr>
            <w:tcW w:w="1559" w:type="dxa"/>
          </w:tcPr>
          <w:p w14:paraId="409DE5C8" w14:textId="77777777" w:rsidR="00BE0B19" w:rsidRPr="00AE47C6" w:rsidRDefault="00BE0B19" w:rsidP="00BE0B19">
            <w:pPr>
              <w:spacing w:after="0" w:line="240" w:lineRule="auto"/>
              <w:contextualSpacing/>
              <w:jc w:val="both"/>
              <w:rPr>
                <w:rFonts w:ascii="Times New Roman" w:hAnsi="Times New Roman" w:cs="Times New Roman"/>
                <w:sz w:val="20"/>
                <w:szCs w:val="20"/>
              </w:rPr>
            </w:pPr>
          </w:p>
        </w:tc>
      </w:tr>
      <w:tr w:rsidR="00BE0B19" w:rsidRPr="00AE47C6" w14:paraId="4B7A7646" w14:textId="77777777" w:rsidTr="00AD72E5">
        <w:tc>
          <w:tcPr>
            <w:tcW w:w="1654" w:type="dxa"/>
          </w:tcPr>
          <w:p w14:paraId="7EA76803"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 xml:space="preserve">Rapsyn </w:t>
            </w:r>
          </w:p>
        </w:tc>
        <w:tc>
          <w:tcPr>
            <w:tcW w:w="1165" w:type="dxa"/>
          </w:tcPr>
          <w:p w14:paraId="774E2F27"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RAPSN</w:t>
            </w:r>
          </w:p>
        </w:tc>
        <w:tc>
          <w:tcPr>
            <w:tcW w:w="709" w:type="dxa"/>
          </w:tcPr>
          <w:p w14:paraId="0D73D2F2"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0-1 г. възможно и късно начало в зряла възраст</w:t>
            </w:r>
          </w:p>
        </w:tc>
        <w:tc>
          <w:tcPr>
            <w:tcW w:w="1672" w:type="dxa"/>
          </w:tcPr>
          <w:p w14:paraId="2F70576C"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Хипотония, мускулна слабост, птоза, респираторни кризи, вродена артрогрипоза</w:t>
            </w:r>
          </w:p>
          <w:p w14:paraId="03D684FB"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При късното начало – птоза, лека слабост</w:t>
            </w:r>
          </w:p>
          <w:p w14:paraId="57B8543E" w14:textId="77777777" w:rsidR="00BE0B19" w:rsidRPr="00AE47C6" w:rsidRDefault="00BE0B19" w:rsidP="00BE0B19">
            <w:pPr>
              <w:spacing w:after="0" w:line="240" w:lineRule="auto"/>
              <w:contextualSpacing/>
              <w:jc w:val="both"/>
              <w:rPr>
                <w:rFonts w:ascii="Times New Roman" w:hAnsi="Times New Roman" w:cs="Times New Roman"/>
                <w:sz w:val="20"/>
                <w:szCs w:val="20"/>
              </w:rPr>
            </w:pPr>
          </w:p>
        </w:tc>
        <w:tc>
          <w:tcPr>
            <w:tcW w:w="312" w:type="dxa"/>
          </w:tcPr>
          <w:p w14:paraId="5584BE2A"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608043D2"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33B6C514"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05B3586D"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Генерализирана индуцирана от натоварване слабост</w:t>
            </w:r>
          </w:p>
        </w:tc>
        <w:tc>
          <w:tcPr>
            <w:tcW w:w="851" w:type="dxa"/>
          </w:tcPr>
          <w:p w14:paraId="4C53FE00"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Да2</w:t>
            </w:r>
          </w:p>
        </w:tc>
        <w:tc>
          <w:tcPr>
            <w:tcW w:w="1559" w:type="dxa"/>
          </w:tcPr>
          <w:p w14:paraId="4D442CE0"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Значим</w:t>
            </w:r>
          </w:p>
        </w:tc>
      </w:tr>
      <w:tr w:rsidR="00BE0B19" w:rsidRPr="00AE47C6" w14:paraId="6F967C38" w14:textId="77777777" w:rsidTr="00AD72E5">
        <w:tc>
          <w:tcPr>
            <w:tcW w:w="1654" w:type="dxa"/>
          </w:tcPr>
          <w:p w14:paraId="341840A9"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 xml:space="preserve">Миастения на натриевия канал </w:t>
            </w:r>
          </w:p>
        </w:tc>
        <w:tc>
          <w:tcPr>
            <w:tcW w:w="1165" w:type="dxa"/>
          </w:tcPr>
          <w:p w14:paraId="21755615"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SCN4A</w:t>
            </w:r>
          </w:p>
        </w:tc>
        <w:tc>
          <w:tcPr>
            <w:tcW w:w="709" w:type="dxa"/>
          </w:tcPr>
          <w:p w14:paraId="2D74306F"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0-1 г.</w:t>
            </w:r>
          </w:p>
        </w:tc>
        <w:tc>
          <w:tcPr>
            <w:tcW w:w="1672" w:type="dxa"/>
          </w:tcPr>
          <w:p w14:paraId="5D72CCC4"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Забавено моторно развитие, дихателна слабост</w:t>
            </w:r>
          </w:p>
        </w:tc>
        <w:tc>
          <w:tcPr>
            <w:tcW w:w="312" w:type="dxa"/>
          </w:tcPr>
          <w:p w14:paraId="18266F1F"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567" w:type="dxa"/>
          </w:tcPr>
          <w:p w14:paraId="1581ABAA"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426" w:type="dxa"/>
          </w:tcPr>
          <w:p w14:paraId="2AA36377"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842" w:type="dxa"/>
          </w:tcPr>
          <w:p w14:paraId="592B8360"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Генерализирана индуцирана от натоварване слабост</w:t>
            </w:r>
          </w:p>
        </w:tc>
        <w:tc>
          <w:tcPr>
            <w:tcW w:w="851" w:type="dxa"/>
          </w:tcPr>
          <w:p w14:paraId="755BEE16"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w:t>
            </w:r>
          </w:p>
        </w:tc>
        <w:tc>
          <w:tcPr>
            <w:tcW w:w="1559" w:type="dxa"/>
          </w:tcPr>
          <w:p w14:paraId="62C9B7A1" w14:textId="77777777" w:rsidR="00BE0B19" w:rsidRPr="00AE47C6" w:rsidRDefault="00BE0B19" w:rsidP="00BE0B19">
            <w:pPr>
              <w:spacing w:after="0" w:line="240" w:lineRule="auto"/>
              <w:contextualSpacing/>
              <w:jc w:val="both"/>
              <w:rPr>
                <w:rFonts w:ascii="Times New Roman" w:hAnsi="Times New Roman" w:cs="Times New Roman"/>
                <w:sz w:val="20"/>
                <w:szCs w:val="20"/>
              </w:rPr>
            </w:pPr>
            <w:r w:rsidRPr="00AE47C6">
              <w:rPr>
                <w:rFonts w:ascii="Times New Roman" w:hAnsi="Times New Roman" w:cs="Times New Roman"/>
                <w:sz w:val="20"/>
                <w:szCs w:val="20"/>
              </w:rPr>
              <w:t>Липсва ефект</w:t>
            </w:r>
          </w:p>
        </w:tc>
      </w:tr>
    </w:tbl>
    <w:p w14:paraId="7B285D49" w14:textId="77777777" w:rsidR="00BE0B19" w:rsidRPr="00AE47C6" w:rsidRDefault="00BE0B19" w:rsidP="00BE0B19">
      <w:pPr>
        <w:spacing w:after="0" w:line="360" w:lineRule="auto"/>
        <w:jc w:val="both"/>
        <w:rPr>
          <w:rFonts w:ascii="Times New Roman" w:eastAsia="SimSun" w:hAnsi="Times New Roman"/>
          <w:b/>
          <w:sz w:val="24"/>
          <w:szCs w:val="24"/>
        </w:rPr>
      </w:pPr>
    </w:p>
    <w:p w14:paraId="568FBDEB" w14:textId="77777777" w:rsidR="00BE0B19" w:rsidRPr="00AE47C6" w:rsidRDefault="00BE0B19" w:rsidP="00BE0B19">
      <w:pPr>
        <w:ind w:left="360"/>
        <w:rPr>
          <w:rFonts w:ascii="Times New Roman" w:eastAsia="SimSun" w:hAnsi="Times New Roman"/>
          <w:i/>
          <w:iCs/>
        </w:rPr>
      </w:pPr>
      <w:r w:rsidRPr="00AE47C6">
        <w:rPr>
          <w:rFonts w:ascii="Times New Roman" w:eastAsia="SimSun" w:hAnsi="Times New Roman"/>
          <w:i/>
          <w:iCs/>
          <w:sz w:val="24"/>
          <w:szCs w:val="24"/>
          <w:vertAlign w:val="superscript"/>
        </w:rPr>
        <w:t>1</w:t>
      </w:r>
      <w:r w:rsidRPr="00AE47C6">
        <w:rPr>
          <w:rFonts w:ascii="Times New Roman" w:eastAsia="SimSun" w:hAnsi="Times New Roman"/>
          <w:i/>
          <w:iCs/>
          <w:sz w:val="24"/>
          <w:szCs w:val="24"/>
        </w:rPr>
        <w:t>ПДС - Прогресивна дихателна слабост</w:t>
      </w:r>
    </w:p>
    <w:p w14:paraId="6375B8B6"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i/>
          <w:iCs/>
          <w:sz w:val="24"/>
          <w:szCs w:val="24"/>
          <w:vertAlign w:val="superscript"/>
        </w:rPr>
        <w:t>2</w:t>
      </w:r>
      <w:r w:rsidRPr="00AE47C6">
        <w:rPr>
          <w:rFonts w:ascii="Times New Roman" w:eastAsia="SimSun" w:hAnsi="Times New Roman"/>
          <w:i/>
          <w:iCs/>
          <w:sz w:val="24"/>
          <w:szCs w:val="24"/>
        </w:rPr>
        <w:t>Да на фона на инфекци</w:t>
      </w:r>
    </w:p>
    <w:p w14:paraId="363BFDE0" w14:textId="77777777" w:rsidR="00BE0B19" w:rsidRPr="00AE47C6" w:rsidRDefault="00BE0B19" w:rsidP="00BE0B19">
      <w:pPr>
        <w:spacing w:after="0" w:line="360" w:lineRule="auto"/>
        <w:ind w:left="720"/>
        <w:contextualSpacing/>
        <w:jc w:val="both"/>
        <w:rPr>
          <w:rFonts w:ascii="Times New Roman" w:eastAsia="SimSun" w:hAnsi="Times New Roman"/>
          <w:sz w:val="24"/>
          <w:szCs w:val="24"/>
        </w:rPr>
      </w:pPr>
    </w:p>
    <w:p w14:paraId="3687597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В България е диагностициран АР конгенитален миастенен синдром при пациенти от ромски произход. Установява се мутацията 1267dеlG в ɛ-субединицата на ацетилхолиновия рецептор. </w:t>
      </w:r>
    </w:p>
    <w:p w14:paraId="017FCA9B"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 xml:space="preserve">Клиничният фенотип се състои от: начало непосредствено след раждането, птоза и външна офталмоплегия, патологична булбарна и проксимална мускулна уморяемост с денонощна динамика и засилваща се при физически усилия. Миастенната симптоматика е най-тежко проявена в първите години след раждането. Със съзряването настъпва стабилизиране в състоянието на болните, а в по-късна възраст някои от симптомите (булбарна и проксимална мускулна уморяемост) избледняват и изчезват. Външната офталмоплегия е най-постоянния симптом при това заболяване. </w:t>
      </w:r>
    </w:p>
    <w:p w14:paraId="1E8C3B68"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 xml:space="preserve">Репетитивната стимулация показва декрементен отговор на ниски честоти. </w:t>
      </w:r>
    </w:p>
    <w:p w14:paraId="04CFC6E0"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Симптоматиката частично се повлиява от антихолинестеразна терапия (фиг.9.6).</w:t>
      </w:r>
    </w:p>
    <w:p w14:paraId="320D1FE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45280" behindDoc="0" locked="0" layoutInCell="1" allowOverlap="1" wp14:anchorId="2641FE3F" wp14:editId="4CC38DBA">
                <wp:simplePos x="0" y="0"/>
                <wp:positionH relativeFrom="column">
                  <wp:posOffset>1223645</wp:posOffset>
                </wp:positionH>
                <wp:positionV relativeFrom="paragraph">
                  <wp:posOffset>116205</wp:posOffset>
                </wp:positionV>
                <wp:extent cx="2543175" cy="285750"/>
                <wp:effectExtent l="0" t="0" r="9525" b="0"/>
                <wp:wrapNone/>
                <wp:docPr id="47"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285750"/>
                        </a:xfrm>
                        <a:prstGeom prst="rect">
                          <a:avLst/>
                        </a:prstGeom>
                        <a:solidFill>
                          <a:srgbClr val="FFFFFF"/>
                        </a:solidFill>
                        <a:ln w="9525">
                          <a:solidFill>
                            <a:srgbClr val="000000"/>
                          </a:solidFill>
                          <a:miter lim="800000"/>
                          <a:headEnd/>
                          <a:tailEnd/>
                        </a:ln>
                      </wps:spPr>
                      <wps:txbx>
                        <w:txbxContent>
                          <w:p w14:paraId="372CB703" w14:textId="77777777" w:rsidR="00471742" w:rsidRPr="00292101" w:rsidRDefault="00471742" w:rsidP="00BE0B19">
                            <w:pPr>
                              <w:jc w:val="center"/>
                              <w:rPr>
                                <w:rFonts w:ascii="Arial" w:hAnsi="Arial" w:cs="Arial"/>
                                <w:sz w:val="20"/>
                                <w:szCs w:val="20"/>
                              </w:rPr>
                            </w:pPr>
                            <w:r w:rsidRPr="00292101">
                              <w:rPr>
                                <w:rFonts w:ascii="Arial" w:hAnsi="Arial" w:cs="Arial"/>
                                <w:sz w:val="20"/>
                                <w:szCs w:val="20"/>
                              </w:rPr>
                              <w:t>Съмнение за вродена ми</w:t>
                            </w:r>
                            <w:r>
                              <w:rPr>
                                <w:rFonts w:ascii="Arial" w:hAnsi="Arial" w:cs="Arial"/>
                                <w:sz w:val="20"/>
                                <w:szCs w:val="20"/>
                              </w:rPr>
                              <w:t>а</w:t>
                            </w:r>
                            <w:r w:rsidRPr="00292101">
                              <w:rPr>
                                <w:rFonts w:ascii="Arial" w:hAnsi="Arial" w:cs="Arial"/>
                                <w:sz w:val="20"/>
                                <w:szCs w:val="20"/>
                              </w:rPr>
                              <w:t>стения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1FE3F" id="Text Box 148" o:spid="_x0000_s1158" type="#_x0000_t202" style="position:absolute;left:0;text-align:left;margin-left:96.35pt;margin-top:9.15pt;width:200.25pt;height:2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">
                <v:textbox>
                  <w:txbxContent>
                    <w:p w14:paraId="372CB703" w14:textId="77777777" w:rsidR="00471742" w:rsidRPr="00292101" w:rsidRDefault="00471742" w:rsidP="00BE0B19">
                      <w:pPr>
                        <w:jc w:val="center"/>
                        <w:rPr>
                          <w:rFonts w:ascii="Arial" w:hAnsi="Arial" w:cs="Arial"/>
                          <w:sz w:val="20"/>
                          <w:szCs w:val="20"/>
                        </w:rPr>
                      </w:pPr>
                      <w:r w:rsidRPr="00292101">
                        <w:rPr>
                          <w:rFonts w:ascii="Arial" w:hAnsi="Arial" w:cs="Arial"/>
                          <w:sz w:val="20"/>
                          <w:szCs w:val="20"/>
                        </w:rPr>
                        <w:t>Съмнение за вродена ми</w:t>
                      </w:r>
                      <w:r>
                        <w:rPr>
                          <w:rFonts w:ascii="Arial" w:hAnsi="Arial" w:cs="Arial"/>
                          <w:sz w:val="20"/>
                          <w:szCs w:val="20"/>
                        </w:rPr>
                        <w:t>а</w:t>
                      </w:r>
                      <w:r w:rsidRPr="00292101">
                        <w:rPr>
                          <w:rFonts w:ascii="Arial" w:hAnsi="Arial" w:cs="Arial"/>
                          <w:sz w:val="20"/>
                          <w:szCs w:val="20"/>
                        </w:rPr>
                        <w:t>стения</w:t>
                      </w:r>
                    </w:p>
                  </w:txbxContent>
                </v:textbox>
              </v:shape>
            </w:pict>
          </mc:Fallback>
        </mc:AlternateContent>
      </w:r>
    </w:p>
    <w:p w14:paraId="3C8ED78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46304" behindDoc="0" locked="0" layoutInCell="1" allowOverlap="1" wp14:anchorId="0521066B" wp14:editId="5EFFF549">
                <wp:simplePos x="0" y="0"/>
                <wp:positionH relativeFrom="column">
                  <wp:posOffset>2414270</wp:posOffset>
                </wp:positionH>
                <wp:positionV relativeFrom="paragraph">
                  <wp:posOffset>139065</wp:posOffset>
                </wp:positionV>
                <wp:extent cx="257175" cy="238125"/>
                <wp:effectExtent l="38100" t="0" r="9525" b="28575"/>
                <wp:wrapNone/>
                <wp:docPr id="46" name="AutoShap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238125"/>
                        </a:xfrm>
                        <a:prstGeom prst="downArrow">
                          <a:avLst>
                            <a:gd name="adj1" fmla="val 50000"/>
                            <a:gd name="adj2" fmla="val 3611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04FAF" id="AutoShape 149" o:spid="_x0000_s1026" type="#_x0000_t67" style="position:absolute;margin-left:190.1pt;margin-top:10.95pt;width:20.25pt;height:18.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" adj="13800">
                <v:textbox style="layout-flow:vertical-ideographic"/>
              </v:shape>
            </w:pict>
          </mc:Fallback>
        </mc:AlternateContent>
      </w:r>
    </w:p>
    <w:p w14:paraId="4EEEFAA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53472" behindDoc="0" locked="0" layoutInCell="1" allowOverlap="1" wp14:anchorId="1C71D720" wp14:editId="5656A5CA">
                <wp:simplePos x="0" y="0"/>
                <wp:positionH relativeFrom="column">
                  <wp:posOffset>4176395</wp:posOffset>
                </wp:positionH>
                <wp:positionV relativeFrom="paragraph">
                  <wp:posOffset>116205</wp:posOffset>
                </wp:positionV>
                <wp:extent cx="504825" cy="371475"/>
                <wp:effectExtent l="0" t="0" r="9525" b="9525"/>
                <wp:wrapNone/>
                <wp:docPr id="45"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371475"/>
                        </a:xfrm>
                        <a:prstGeom prst="rect">
                          <a:avLst/>
                        </a:prstGeom>
                        <a:solidFill>
                          <a:srgbClr val="FFFFFF"/>
                        </a:solidFill>
                        <a:ln w="9525">
                          <a:solidFill>
                            <a:srgbClr val="000000"/>
                          </a:solidFill>
                          <a:miter lim="800000"/>
                          <a:headEnd/>
                          <a:tailEnd/>
                        </a:ln>
                      </wps:spPr>
                      <wps:txbx>
                        <w:txbxContent>
                          <w:p w14:paraId="4975BE43" w14:textId="77777777" w:rsidR="00471742" w:rsidRPr="005F6877" w:rsidRDefault="00471742" w:rsidP="00BE0B19">
                            <w:pPr>
                              <w:jc w:val="center"/>
                              <w:rPr>
                                <w:rFonts w:ascii="Arial" w:hAnsi="Arial" w:cs="Arial"/>
                                <w:sz w:val="20"/>
                                <w:szCs w:val="20"/>
                              </w:rPr>
                            </w:pPr>
                            <w:r>
                              <w:t>Не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1D720" id="Text Box 156" o:spid="_x0000_s1159" type="#_x0000_t202" style="position:absolute;left:0;text-align:left;margin-left:328.85pt;margin-top:9.15pt;width:39.75pt;height:29.2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">
                <v:textbox>
                  <w:txbxContent>
                    <w:p w14:paraId="4975BE43" w14:textId="77777777" w:rsidR="00471742" w:rsidRPr="005F6877" w:rsidRDefault="00471742" w:rsidP="00BE0B19">
                      <w:pPr>
                        <w:jc w:val="center"/>
                        <w:rPr>
                          <w:rFonts w:ascii="Arial" w:hAnsi="Arial" w:cs="Arial"/>
                          <w:sz w:val="20"/>
                          <w:szCs w:val="20"/>
                        </w:rPr>
                      </w:pPr>
                      <w:r>
                        <w:t>Не</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52448" behindDoc="0" locked="0" layoutInCell="1" allowOverlap="1" wp14:anchorId="552314F1" wp14:editId="3DE7443B">
                <wp:simplePos x="0" y="0"/>
                <wp:positionH relativeFrom="column">
                  <wp:posOffset>280670</wp:posOffset>
                </wp:positionH>
                <wp:positionV relativeFrom="paragraph">
                  <wp:posOffset>182880</wp:posOffset>
                </wp:positionV>
                <wp:extent cx="485775" cy="371475"/>
                <wp:effectExtent l="0" t="0" r="9525" b="9525"/>
                <wp:wrapNone/>
                <wp:docPr id="44"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371475"/>
                        </a:xfrm>
                        <a:prstGeom prst="rect">
                          <a:avLst/>
                        </a:prstGeom>
                        <a:solidFill>
                          <a:srgbClr val="FFFFFF"/>
                        </a:solidFill>
                        <a:ln w="9525">
                          <a:solidFill>
                            <a:srgbClr val="000000"/>
                          </a:solidFill>
                          <a:miter lim="800000"/>
                          <a:headEnd/>
                          <a:tailEnd/>
                        </a:ln>
                      </wps:spPr>
                      <wps:txbx>
                        <w:txbxContent>
                          <w:p w14:paraId="4510F7D1" w14:textId="77777777" w:rsidR="00471742" w:rsidRPr="005F6877" w:rsidRDefault="00471742" w:rsidP="00BE0B19">
                            <w:pPr>
                              <w:jc w:val="center"/>
                              <w:rPr>
                                <w:rFonts w:ascii="Arial" w:hAnsi="Arial" w:cs="Arial"/>
                                <w:sz w:val="20"/>
                                <w:szCs w:val="20"/>
                              </w:rPr>
                            </w:pPr>
                            <w:r w:rsidRPr="005F6877">
                              <w:rPr>
                                <w:rFonts w:ascii="Arial" w:hAnsi="Arial" w:cs="Arial"/>
                                <w:sz w:val="20"/>
                                <w:szCs w:val="20"/>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2314F1" id="Text Box 155" o:spid="_x0000_s1160" type="#_x0000_t202" style="position:absolute;left:0;text-align:left;margin-left:22.1pt;margin-top:14.4pt;width:38.25pt;height:29.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">
                <v:textbox>
                  <w:txbxContent>
                    <w:p w14:paraId="4510F7D1" w14:textId="77777777" w:rsidR="00471742" w:rsidRPr="005F6877" w:rsidRDefault="00471742" w:rsidP="00BE0B19">
                      <w:pPr>
                        <w:jc w:val="center"/>
                        <w:rPr>
                          <w:rFonts w:ascii="Arial" w:hAnsi="Arial" w:cs="Arial"/>
                          <w:sz w:val="20"/>
                          <w:szCs w:val="20"/>
                        </w:rPr>
                      </w:pPr>
                      <w:r w:rsidRPr="005F6877">
                        <w:rPr>
                          <w:rFonts w:ascii="Arial" w:hAnsi="Arial" w:cs="Arial"/>
                          <w:sz w:val="20"/>
                          <w:szCs w:val="20"/>
                        </w:rPr>
                        <w:t>Да</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51424" behindDoc="0" locked="0" layoutInCell="1" allowOverlap="1" wp14:anchorId="6C316DBD" wp14:editId="3F4BD17D">
                <wp:simplePos x="0" y="0"/>
                <wp:positionH relativeFrom="column">
                  <wp:posOffset>766445</wp:posOffset>
                </wp:positionH>
                <wp:positionV relativeFrom="paragraph">
                  <wp:posOffset>182880</wp:posOffset>
                </wp:positionV>
                <wp:extent cx="523875" cy="304800"/>
                <wp:effectExtent l="19050" t="19050" r="9525" b="19050"/>
                <wp:wrapNone/>
                <wp:docPr id="43" name="AutoShap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304800"/>
                        </a:xfrm>
                        <a:prstGeom prst="leftArrow">
                          <a:avLst>
                            <a:gd name="adj1" fmla="val 50000"/>
                            <a:gd name="adj2" fmla="val 429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7DCCE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154" o:spid="_x0000_s1026" type="#_x0000_t66" style="position:absolute;margin-left:60.35pt;margin-top:14.4pt;width:41.25pt;height:24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"/>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50400" behindDoc="0" locked="0" layoutInCell="1" allowOverlap="1" wp14:anchorId="5AB07C8E" wp14:editId="3FA72CC0">
                <wp:simplePos x="0" y="0"/>
                <wp:positionH relativeFrom="column">
                  <wp:posOffset>3623945</wp:posOffset>
                </wp:positionH>
                <wp:positionV relativeFrom="paragraph">
                  <wp:posOffset>182880</wp:posOffset>
                </wp:positionV>
                <wp:extent cx="552450" cy="304800"/>
                <wp:effectExtent l="0" t="19050" r="19050" b="19050"/>
                <wp:wrapNone/>
                <wp:docPr id="42" name="AutoShap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304800"/>
                        </a:xfrm>
                        <a:prstGeom prst="rightArrow">
                          <a:avLst>
                            <a:gd name="adj1" fmla="val 50000"/>
                            <a:gd name="adj2" fmla="val 4531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28C19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53" o:spid="_x0000_s1026" type="#_x0000_t13" style="position:absolute;margin-left:285.35pt;margin-top:14.4pt;width:43.5pt;height:24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"/>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47328" behindDoc="0" locked="0" layoutInCell="1" allowOverlap="1" wp14:anchorId="0B6CA170" wp14:editId="6179F770">
                <wp:simplePos x="0" y="0"/>
                <wp:positionH relativeFrom="column">
                  <wp:posOffset>1290320</wp:posOffset>
                </wp:positionH>
                <wp:positionV relativeFrom="paragraph">
                  <wp:posOffset>116205</wp:posOffset>
                </wp:positionV>
                <wp:extent cx="2333625" cy="457200"/>
                <wp:effectExtent l="0" t="0" r="9525" b="0"/>
                <wp:wrapNone/>
                <wp:docPr id="41"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3625" cy="457200"/>
                        </a:xfrm>
                        <a:prstGeom prst="rect">
                          <a:avLst/>
                        </a:prstGeom>
                        <a:solidFill>
                          <a:srgbClr val="FFFFFF"/>
                        </a:solidFill>
                        <a:ln w="9525">
                          <a:solidFill>
                            <a:srgbClr val="000000"/>
                          </a:solidFill>
                          <a:miter lim="800000"/>
                          <a:headEnd/>
                          <a:tailEnd/>
                        </a:ln>
                      </wps:spPr>
                      <wps:txbx>
                        <w:txbxContent>
                          <w:p w14:paraId="36FFE0D9" w14:textId="77777777" w:rsidR="00471742" w:rsidRPr="00751771" w:rsidRDefault="00471742" w:rsidP="00BE0B19">
                            <w:pPr>
                              <w:jc w:val="center"/>
                              <w:rPr>
                                <w:rFonts w:ascii="Arial" w:hAnsi="Arial" w:cs="Arial"/>
                                <w:sz w:val="20"/>
                                <w:szCs w:val="20"/>
                                <w:lang w:val="en-US"/>
                              </w:rPr>
                            </w:pPr>
                            <w:r w:rsidRPr="00751771">
                              <w:rPr>
                                <w:rFonts w:ascii="Arial" w:hAnsi="Arial" w:cs="Arial"/>
                                <w:sz w:val="20"/>
                                <w:szCs w:val="20"/>
                              </w:rPr>
                              <w:t xml:space="preserve">Съмнение за синдром на бавните канали, </w:t>
                            </w:r>
                            <w:r w:rsidRPr="00751771">
                              <w:rPr>
                                <w:rFonts w:ascii="Arial" w:hAnsi="Arial" w:cs="Arial"/>
                                <w:sz w:val="20"/>
                                <w:szCs w:val="20"/>
                                <w:lang w:val="en-US"/>
                              </w:rPr>
                              <w:t>DOK7, COLQ</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CA170" id="Text Box 150" o:spid="_x0000_s1161" type="#_x0000_t202" style="position:absolute;left:0;text-align:left;margin-left:101.6pt;margin-top:9.15pt;width:183.75pt;height:36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">
                <v:textbox>
                  <w:txbxContent>
                    <w:p w14:paraId="36FFE0D9" w14:textId="77777777" w:rsidR="00471742" w:rsidRPr="00751771" w:rsidRDefault="00471742" w:rsidP="00BE0B19">
                      <w:pPr>
                        <w:jc w:val="center"/>
                        <w:rPr>
                          <w:rFonts w:ascii="Arial" w:hAnsi="Arial" w:cs="Arial"/>
                          <w:sz w:val="20"/>
                          <w:szCs w:val="20"/>
                          <w:lang w:val="en-US"/>
                        </w:rPr>
                      </w:pPr>
                      <w:r w:rsidRPr="00751771">
                        <w:rPr>
                          <w:rFonts w:ascii="Arial" w:hAnsi="Arial" w:cs="Arial"/>
                          <w:sz w:val="20"/>
                          <w:szCs w:val="20"/>
                        </w:rPr>
                        <w:t xml:space="preserve">Съмнение за синдром на бавните канали, </w:t>
                      </w:r>
                      <w:r w:rsidRPr="00751771">
                        <w:rPr>
                          <w:rFonts w:ascii="Arial" w:hAnsi="Arial" w:cs="Arial"/>
                          <w:sz w:val="20"/>
                          <w:szCs w:val="20"/>
                          <w:lang w:val="en-US"/>
                        </w:rPr>
                        <w:t>DOK7, COLQ</w:t>
                      </w:r>
                    </w:p>
                  </w:txbxContent>
                </v:textbox>
              </v:shape>
            </w:pict>
          </mc:Fallback>
        </mc:AlternateContent>
      </w:r>
    </w:p>
    <w:p w14:paraId="41126EB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49376" behindDoc="0" locked="0" layoutInCell="1" allowOverlap="1" wp14:anchorId="1F1674E8" wp14:editId="3B8FAD5E">
                <wp:simplePos x="0" y="0"/>
                <wp:positionH relativeFrom="column">
                  <wp:posOffset>4281170</wp:posOffset>
                </wp:positionH>
                <wp:positionV relativeFrom="paragraph">
                  <wp:posOffset>165735</wp:posOffset>
                </wp:positionV>
                <wp:extent cx="323850" cy="400050"/>
                <wp:effectExtent l="19050" t="0" r="19050" b="19050"/>
                <wp:wrapNone/>
                <wp:docPr id="40" name="AutoShap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400050"/>
                        </a:xfrm>
                        <a:prstGeom prst="downArrow">
                          <a:avLst>
                            <a:gd name="adj1" fmla="val 50000"/>
                            <a:gd name="adj2" fmla="val 41176"/>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C3A7C" id="AutoShape 152" o:spid="_x0000_s1026" type="#_x0000_t67" style="position:absolute;margin-left:337.1pt;margin-top:13.05pt;width:25.5pt;height:31.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" adj="14400">
                <v:textbox style="layout-flow:vertical-ideographic"/>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48352" behindDoc="0" locked="0" layoutInCell="1" allowOverlap="1" wp14:anchorId="11FAB4C3" wp14:editId="59F54680">
                <wp:simplePos x="0" y="0"/>
                <wp:positionH relativeFrom="column">
                  <wp:posOffset>356870</wp:posOffset>
                </wp:positionH>
                <wp:positionV relativeFrom="paragraph">
                  <wp:posOffset>232410</wp:posOffset>
                </wp:positionV>
                <wp:extent cx="304800" cy="333375"/>
                <wp:effectExtent l="19050" t="0" r="0" b="28575"/>
                <wp:wrapNone/>
                <wp:docPr id="39" name="AutoShap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333375"/>
                        </a:xfrm>
                        <a:prstGeom prst="downArrow">
                          <a:avLst>
                            <a:gd name="adj1" fmla="val 50000"/>
                            <a:gd name="adj2" fmla="val 38281"/>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5750B8" id="AutoShape 151" o:spid="_x0000_s1026" type="#_x0000_t67" style="position:absolute;margin-left:28.1pt;margin-top:18.3pt;width:24pt;height:26.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" adj="14040">
                <v:textbox style="layout-flow:vertical-ideographic"/>
              </v:shape>
            </w:pict>
          </mc:Fallback>
        </mc:AlternateContent>
      </w:r>
    </w:p>
    <w:p w14:paraId="7B2D8BEF" w14:textId="77777777" w:rsidR="00BE0B19" w:rsidRPr="00AE47C6" w:rsidRDefault="00BE0B19" w:rsidP="00BE0B19">
      <w:pPr>
        <w:spacing w:after="0" w:line="360" w:lineRule="auto"/>
        <w:jc w:val="both"/>
        <w:rPr>
          <w:rFonts w:ascii="Times New Roman" w:eastAsia="SimSun" w:hAnsi="Times New Roman"/>
          <w:sz w:val="24"/>
          <w:szCs w:val="24"/>
        </w:rPr>
      </w:pPr>
    </w:p>
    <w:p w14:paraId="1D5E57E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54496" behindDoc="0" locked="0" layoutInCell="1" allowOverlap="1" wp14:anchorId="319E760A" wp14:editId="272339CC">
                <wp:simplePos x="0" y="0"/>
                <wp:positionH relativeFrom="column">
                  <wp:posOffset>4445</wp:posOffset>
                </wp:positionH>
                <wp:positionV relativeFrom="paragraph">
                  <wp:posOffset>40005</wp:posOffset>
                </wp:positionV>
                <wp:extent cx="1876425" cy="504825"/>
                <wp:effectExtent l="0" t="0" r="28575" b="28575"/>
                <wp:wrapNone/>
                <wp:docPr id="38"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504825"/>
                        </a:xfrm>
                        <a:prstGeom prst="rect">
                          <a:avLst/>
                        </a:prstGeom>
                        <a:solidFill>
                          <a:srgbClr val="FFFFFF"/>
                        </a:solidFill>
                        <a:ln w="9525">
                          <a:solidFill>
                            <a:srgbClr val="000000"/>
                          </a:solidFill>
                          <a:miter lim="800000"/>
                          <a:headEnd/>
                          <a:tailEnd/>
                        </a:ln>
                      </wps:spPr>
                      <wps:txbx>
                        <w:txbxContent>
                          <w:p w14:paraId="1161A918" w14:textId="77777777" w:rsidR="00471742" w:rsidRPr="00F44EE2" w:rsidRDefault="00471742" w:rsidP="00BE0B19">
                            <w:pPr>
                              <w:jc w:val="center"/>
                              <w:rPr>
                                <w:rFonts w:ascii="Arial" w:hAnsi="Arial" w:cs="Arial"/>
                                <w:sz w:val="20"/>
                                <w:szCs w:val="20"/>
                                <w:lang w:val="en-US"/>
                              </w:rPr>
                            </w:pPr>
                            <w:r>
                              <w:rPr>
                                <w:rFonts w:ascii="Arial" w:hAnsi="Arial" w:cs="Arial"/>
                                <w:sz w:val="20"/>
                                <w:szCs w:val="20"/>
                              </w:rPr>
                              <w:t>Да с</w:t>
                            </w:r>
                            <w:r w:rsidRPr="001D0F57">
                              <w:rPr>
                                <w:rFonts w:ascii="Arial" w:hAnsi="Arial" w:cs="Arial"/>
                                <w:sz w:val="20"/>
                                <w:szCs w:val="20"/>
                              </w:rPr>
                              <w:t xml:space="preserve">е избягва </w:t>
                            </w:r>
                            <w:r>
                              <w:rPr>
                                <w:rFonts w:ascii="Arial" w:hAnsi="Arial" w:cs="Arial"/>
                                <w:sz w:val="20"/>
                                <w:szCs w:val="20"/>
                                <w:lang w:val="en-US"/>
                              </w:rPr>
                              <w:t>Pyridostigmine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E760A" id="Text Box 157" o:spid="_x0000_s1162" type="#_x0000_t202" style="position:absolute;left:0;text-align:left;margin-left:.35pt;margin-top:3.15pt;width:147.75pt;height:39.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">
                <v:textbox>
                  <w:txbxContent>
                    <w:p w14:paraId="1161A918" w14:textId="77777777" w:rsidR="00471742" w:rsidRPr="00F44EE2" w:rsidRDefault="00471742" w:rsidP="00BE0B19">
                      <w:pPr>
                        <w:jc w:val="center"/>
                        <w:rPr>
                          <w:rFonts w:ascii="Arial" w:hAnsi="Arial" w:cs="Arial"/>
                          <w:sz w:val="20"/>
                          <w:szCs w:val="20"/>
                          <w:lang w:val="en-US"/>
                        </w:rPr>
                      </w:pPr>
                      <w:r>
                        <w:rPr>
                          <w:rFonts w:ascii="Arial" w:hAnsi="Arial" w:cs="Arial"/>
                          <w:sz w:val="20"/>
                          <w:szCs w:val="20"/>
                        </w:rPr>
                        <w:t>Да с</w:t>
                      </w:r>
                      <w:r w:rsidRPr="001D0F57">
                        <w:rPr>
                          <w:rFonts w:ascii="Arial" w:hAnsi="Arial" w:cs="Arial"/>
                          <w:sz w:val="20"/>
                          <w:szCs w:val="20"/>
                        </w:rPr>
                        <w:t xml:space="preserve">е избягва </w:t>
                      </w:r>
                      <w:r>
                        <w:rPr>
                          <w:rFonts w:ascii="Arial" w:hAnsi="Arial" w:cs="Arial"/>
                          <w:sz w:val="20"/>
                          <w:szCs w:val="20"/>
                          <w:lang w:val="en-US"/>
                        </w:rPr>
                        <w:t>Pyridostigmine</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55520" behindDoc="0" locked="0" layoutInCell="1" allowOverlap="1" wp14:anchorId="0D6D0AA0" wp14:editId="2B3D427D">
                <wp:simplePos x="0" y="0"/>
                <wp:positionH relativeFrom="column">
                  <wp:posOffset>3623945</wp:posOffset>
                </wp:positionH>
                <wp:positionV relativeFrom="paragraph">
                  <wp:posOffset>35560</wp:posOffset>
                </wp:positionV>
                <wp:extent cx="1828800" cy="504825"/>
                <wp:effectExtent l="0" t="0" r="0" b="9525"/>
                <wp:wrapNone/>
                <wp:docPr id="37"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04825"/>
                        </a:xfrm>
                        <a:prstGeom prst="rect">
                          <a:avLst/>
                        </a:prstGeom>
                        <a:solidFill>
                          <a:srgbClr val="FFFFFF"/>
                        </a:solidFill>
                        <a:ln w="9525">
                          <a:solidFill>
                            <a:srgbClr val="000000"/>
                          </a:solidFill>
                          <a:miter lim="800000"/>
                          <a:headEnd/>
                          <a:tailEnd/>
                        </a:ln>
                      </wps:spPr>
                      <wps:txbx>
                        <w:txbxContent>
                          <w:p w14:paraId="6AA0C366" w14:textId="77777777" w:rsidR="00471742" w:rsidRPr="00F44EE2" w:rsidRDefault="00471742" w:rsidP="00BE0B19">
                            <w:pPr>
                              <w:jc w:val="center"/>
                              <w:rPr>
                                <w:rFonts w:ascii="Arial" w:hAnsi="Arial" w:cs="Arial"/>
                                <w:sz w:val="20"/>
                                <w:szCs w:val="20"/>
                                <w:lang w:val="en-US"/>
                              </w:rPr>
                            </w:pPr>
                            <w:r>
                              <w:rPr>
                                <w:rFonts w:ascii="Arial" w:hAnsi="Arial" w:cs="Arial"/>
                                <w:sz w:val="20"/>
                                <w:szCs w:val="20"/>
                              </w:rPr>
                              <w:t>Да с</w:t>
                            </w:r>
                            <w:r w:rsidRPr="001D0F57">
                              <w:rPr>
                                <w:rFonts w:ascii="Arial" w:hAnsi="Arial" w:cs="Arial"/>
                                <w:sz w:val="20"/>
                                <w:szCs w:val="20"/>
                              </w:rPr>
                              <w:t xml:space="preserve">е </w:t>
                            </w:r>
                            <w:r>
                              <w:rPr>
                                <w:rFonts w:ascii="Arial" w:hAnsi="Arial" w:cs="Arial"/>
                                <w:sz w:val="20"/>
                                <w:szCs w:val="20"/>
                              </w:rPr>
                              <w:t>започне</w:t>
                            </w:r>
                            <w:r>
                              <w:rPr>
                                <w:rFonts w:ascii="Arial" w:hAnsi="Arial" w:cs="Arial"/>
                                <w:sz w:val="20"/>
                                <w:szCs w:val="20"/>
                                <w:lang w:val="en-US"/>
                              </w:rPr>
                              <w:t xml:space="preserve"> Pyridostigmine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D0AA0" id="Text Box 158" o:spid="_x0000_s1163" type="#_x0000_t202" style="position:absolute;left:0;text-align:left;margin-left:285.35pt;margin-top:2.8pt;width:2in;height:39.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">
                <v:textbox>
                  <w:txbxContent>
                    <w:p w14:paraId="6AA0C366" w14:textId="77777777" w:rsidR="00471742" w:rsidRPr="00F44EE2" w:rsidRDefault="00471742" w:rsidP="00BE0B19">
                      <w:pPr>
                        <w:jc w:val="center"/>
                        <w:rPr>
                          <w:rFonts w:ascii="Arial" w:hAnsi="Arial" w:cs="Arial"/>
                          <w:sz w:val="20"/>
                          <w:szCs w:val="20"/>
                          <w:lang w:val="en-US"/>
                        </w:rPr>
                      </w:pPr>
                      <w:r>
                        <w:rPr>
                          <w:rFonts w:ascii="Arial" w:hAnsi="Arial" w:cs="Arial"/>
                          <w:sz w:val="20"/>
                          <w:szCs w:val="20"/>
                        </w:rPr>
                        <w:t>Да с</w:t>
                      </w:r>
                      <w:r w:rsidRPr="001D0F57">
                        <w:rPr>
                          <w:rFonts w:ascii="Arial" w:hAnsi="Arial" w:cs="Arial"/>
                          <w:sz w:val="20"/>
                          <w:szCs w:val="20"/>
                        </w:rPr>
                        <w:t xml:space="preserve">е </w:t>
                      </w:r>
                      <w:r>
                        <w:rPr>
                          <w:rFonts w:ascii="Arial" w:hAnsi="Arial" w:cs="Arial"/>
                          <w:sz w:val="20"/>
                          <w:szCs w:val="20"/>
                        </w:rPr>
                        <w:t>започне</w:t>
                      </w:r>
                      <w:r>
                        <w:rPr>
                          <w:rFonts w:ascii="Arial" w:hAnsi="Arial" w:cs="Arial"/>
                          <w:sz w:val="20"/>
                          <w:szCs w:val="20"/>
                          <w:lang w:val="en-US"/>
                        </w:rPr>
                        <w:t xml:space="preserve"> Pyridostigmine</w:t>
                      </w:r>
                    </w:p>
                  </w:txbxContent>
                </v:textbox>
              </v:shape>
            </w:pict>
          </mc:Fallback>
        </mc:AlternateContent>
      </w:r>
    </w:p>
    <w:p w14:paraId="475EC0A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60640" behindDoc="0" locked="0" layoutInCell="1" allowOverlap="1" wp14:anchorId="682C8F3F" wp14:editId="10805BED">
                <wp:simplePos x="0" y="0"/>
                <wp:positionH relativeFrom="column">
                  <wp:posOffset>3623945</wp:posOffset>
                </wp:positionH>
                <wp:positionV relativeFrom="paragraph">
                  <wp:posOffset>288290</wp:posOffset>
                </wp:positionV>
                <wp:extent cx="1828800" cy="800100"/>
                <wp:effectExtent l="0" t="0" r="0" b="0"/>
                <wp:wrapNone/>
                <wp:docPr id="36"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800100"/>
                        </a:xfrm>
                        <a:prstGeom prst="rect">
                          <a:avLst/>
                        </a:prstGeom>
                        <a:solidFill>
                          <a:srgbClr val="FFFFFF"/>
                        </a:solidFill>
                        <a:ln w="9525">
                          <a:solidFill>
                            <a:srgbClr val="000000"/>
                          </a:solidFill>
                          <a:miter lim="800000"/>
                          <a:headEnd/>
                          <a:tailEnd/>
                        </a:ln>
                      </wps:spPr>
                      <wps:txbx>
                        <w:txbxContent>
                          <w:p w14:paraId="34751D69" w14:textId="77777777" w:rsidR="00471742" w:rsidRPr="00873694" w:rsidRDefault="00471742" w:rsidP="00BE0B19">
                            <w:pPr>
                              <w:numPr>
                                <w:ilvl w:val="0"/>
                                <w:numId w:val="214"/>
                              </w:numPr>
                              <w:spacing w:after="0" w:line="240" w:lineRule="auto"/>
                              <w:rPr>
                                <w:rFonts w:ascii="Arial" w:hAnsi="Arial" w:cs="Arial"/>
                                <w:sz w:val="20"/>
                                <w:szCs w:val="20"/>
                              </w:rPr>
                            </w:pPr>
                            <w:r w:rsidRPr="00873694">
                              <w:rPr>
                                <w:rFonts w:ascii="Arial" w:hAnsi="Arial" w:cs="Arial"/>
                                <w:sz w:val="20"/>
                                <w:szCs w:val="20"/>
                              </w:rPr>
                              <w:t>Rapsyn</w:t>
                            </w:r>
                          </w:p>
                          <w:p w14:paraId="0BF61A91" w14:textId="77777777" w:rsidR="00471742" w:rsidRPr="00873694" w:rsidRDefault="00471742" w:rsidP="00BE0B19">
                            <w:pPr>
                              <w:numPr>
                                <w:ilvl w:val="0"/>
                                <w:numId w:val="214"/>
                              </w:numPr>
                              <w:spacing w:after="0" w:line="240" w:lineRule="auto"/>
                              <w:rPr>
                                <w:rFonts w:ascii="Arial" w:hAnsi="Arial" w:cs="Arial"/>
                                <w:sz w:val="20"/>
                                <w:szCs w:val="20"/>
                              </w:rPr>
                            </w:pPr>
                            <w:r w:rsidRPr="00873694">
                              <w:rPr>
                                <w:rFonts w:ascii="Arial" w:hAnsi="Arial" w:cs="Arial"/>
                                <w:sz w:val="20"/>
                                <w:szCs w:val="20"/>
                              </w:rPr>
                              <w:t>Синдром на бързите канали</w:t>
                            </w:r>
                          </w:p>
                          <w:p w14:paraId="7B65E2D8" w14:textId="77777777" w:rsidR="00471742" w:rsidRPr="00873694" w:rsidRDefault="00471742" w:rsidP="00BE0B19">
                            <w:pPr>
                              <w:numPr>
                                <w:ilvl w:val="0"/>
                                <w:numId w:val="214"/>
                              </w:numPr>
                              <w:spacing w:line="240" w:lineRule="auto"/>
                              <w:rPr>
                                <w:rFonts w:ascii="Arial" w:hAnsi="Arial" w:cs="Arial"/>
                                <w:sz w:val="20"/>
                                <w:szCs w:val="20"/>
                              </w:rPr>
                            </w:pPr>
                            <w:r w:rsidRPr="00873694">
                              <w:rPr>
                                <w:rFonts w:ascii="Arial" w:hAnsi="Arial" w:cs="Arial"/>
                                <w:sz w:val="20"/>
                                <w:szCs w:val="20"/>
                              </w:rPr>
                              <w:t>ChAT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2C8F3F" id="Text Box 163" o:spid="_x0000_s1164" type="#_x0000_t202" style="position:absolute;left:0;text-align:left;margin-left:285.35pt;margin-top:22.7pt;width:2in;height:63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">
                <v:textbox>
                  <w:txbxContent>
                    <w:p w14:paraId="34751D69" w14:textId="77777777" w:rsidR="00471742" w:rsidRPr="00873694" w:rsidRDefault="00471742" w:rsidP="00BE0B19">
                      <w:pPr>
                        <w:numPr>
                          <w:ilvl w:val="0"/>
                          <w:numId w:val="214"/>
                        </w:numPr>
                        <w:spacing w:after="0" w:line="240" w:lineRule="auto"/>
                        <w:rPr>
                          <w:rFonts w:ascii="Arial" w:hAnsi="Arial" w:cs="Arial"/>
                          <w:sz w:val="20"/>
                          <w:szCs w:val="20"/>
                        </w:rPr>
                      </w:pPr>
                      <w:r w:rsidRPr="00873694">
                        <w:rPr>
                          <w:rFonts w:ascii="Arial" w:hAnsi="Arial" w:cs="Arial"/>
                          <w:sz w:val="20"/>
                          <w:szCs w:val="20"/>
                        </w:rPr>
                        <w:t>Rapsyn</w:t>
                      </w:r>
                    </w:p>
                    <w:p w14:paraId="0BF61A91" w14:textId="77777777" w:rsidR="00471742" w:rsidRPr="00873694" w:rsidRDefault="00471742" w:rsidP="00BE0B19">
                      <w:pPr>
                        <w:numPr>
                          <w:ilvl w:val="0"/>
                          <w:numId w:val="214"/>
                        </w:numPr>
                        <w:spacing w:after="0" w:line="240" w:lineRule="auto"/>
                        <w:rPr>
                          <w:rFonts w:ascii="Arial" w:hAnsi="Arial" w:cs="Arial"/>
                          <w:sz w:val="20"/>
                          <w:szCs w:val="20"/>
                        </w:rPr>
                      </w:pPr>
                      <w:r w:rsidRPr="00873694">
                        <w:rPr>
                          <w:rFonts w:ascii="Arial" w:hAnsi="Arial" w:cs="Arial"/>
                          <w:sz w:val="20"/>
                          <w:szCs w:val="20"/>
                        </w:rPr>
                        <w:t>Синдром на бързите канали</w:t>
                      </w:r>
                    </w:p>
                    <w:p w14:paraId="7B65E2D8" w14:textId="77777777" w:rsidR="00471742" w:rsidRPr="00873694" w:rsidRDefault="00471742" w:rsidP="00BE0B19">
                      <w:pPr>
                        <w:numPr>
                          <w:ilvl w:val="0"/>
                          <w:numId w:val="214"/>
                        </w:numPr>
                        <w:spacing w:line="240" w:lineRule="auto"/>
                        <w:rPr>
                          <w:rFonts w:ascii="Arial" w:hAnsi="Arial" w:cs="Arial"/>
                          <w:sz w:val="20"/>
                          <w:szCs w:val="20"/>
                        </w:rPr>
                      </w:pPr>
                      <w:r w:rsidRPr="00873694">
                        <w:rPr>
                          <w:rFonts w:ascii="Arial" w:hAnsi="Arial" w:cs="Arial"/>
                          <w:sz w:val="20"/>
                          <w:szCs w:val="20"/>
                        </w:rPr>
                        <w:t>ChAT</w:t>
                      </w:r>
                    </w:p>
                  </w:txbxContent>
                </v:textbox>
              </v:shape>
            </w:pict>
          </mc:Fallback>
        </mc:AlternateContent>
      </w:r>
    </w:p>
    <w:p w14:paraId="1910FBE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56544" behindDoc="0" locked="0" layoutInCell="1" allowOverlap="1" wp14:anchorId="27534620" wp14:editId="40B607DA">
                <wp:simplePos x="0" y="0"/>
                <wp:positionH relativeFrom="column">
                  <wp:posOffset>4445</wp:posOffset>
                </wp:positionH>
                <wp:positionV relativeFrom="paragraph">
                  <wp:posOffset>28575</wp:posOffset>
                </wp:positionV>
                <wp:extent cx="1876425" cy="800100"/>
                <wp:effectExtent l="0" t="0" r="28575" b="19050"/>
                <wp:wrapNone/>
                <wp:docPr id="35"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800100"/>
                        </a:xfrm>
                        <a:prstGeom prst="rect">
                          <a:avLst/>
                        </a:prstGeom>
                        <a:solidFill>
                          <a:srgbClr val="FFFFFF"/>
                        </a:solidFill>
                        <a:ln w="9525">
                          <a:solidFill>
                            <a:srgbClr val="000000"/>
                          </a:solidFill>
                          <a:miter lim="800000"/>
                          <a:headEnd/>
                          <a:tailEnd/>
                        </a:ln>
                      </wps:spPr>
                      <wps:txbx>
                        <w:txbxContent>
                          <w:p w14:paraId="0EBC8530" w14:textId="77777777" w:rsidR="00471742" w:rsidRPr="00A8266D" w:rsidRDefault="00471742" w:rsidP="00BE0B19">
                            <w:pPr>
                              <w:numPr>
                                <w:ilvl w:val="0"/>
                                <w:numId w:val="213"/>
                              </w:numPr>
                              <w:spacing w:after="0" w:line="240" w:lineRule="auto"/>
                              <w:rPr>
                                <w:rFonts w:ascii="Arial" w:hAnsi="Arial" w:cs="Arial"/>
                                <w:sz w:val="20"/>
                                <w:szCs w:val="20"/>
                              </w:rPr>
                            </w:pPr>
                            <w:r w:rsidRPr="00A8266D">
                              <w:rPr>
                                <w:rFonts w:ascii="Arial" w:hAnsi="Arial" w:cs="Arial"/>
                                <w:sz w:val="20"/>
                                <w:szCs w:val="20"/>
                              </w:rPr>
                              <w:t>Синдром на бавните канали</w:t>
                            </w:r>
                          </w:p>
                          <w:p w14:paraId="714E3AB5" w14:textId="77777777" w:rsidR="00471742" w:rsidRPr="00A8266D" w:rsidRDefault="00471742" w:rsidP="00BE0B19">
                            <w:pPr>
                              <w:numPr>
                                <w:ilvl w:val="0"/>
                                <w:numId w:val="213"/>
                              </w:numPr>
                              <w:spacing w:after="0" w:line="240" w:lineRule="auto"/>
                              <w:rPr>
                                <w:rFonts w:ascii="Arial" w:hAnsi="Arial" w:cs="Arial"/>
                                <w:sz w:val="20"/>
                                <w:szCs w:val="20"/>
                              </w:rPr>
                            </w:pPr>
                            <w:r w:rsidRPr="00A8266D">
                              <w:rPr>
                                <w:rFonts w:ascii="Arial" w:hAnsi="Arial" w:cs="Arial"/>
                                <w:sz w:val="20"/>
                                <w:szCs w:val="20"/>
                              </w:rPr>
                              <w:t>DOK7</w:t>
                            </w:r>
                          </w:p>
                          <w:p w14:paraId="612F1B67" w14:textId="77777777" w:rsidR="00471742" w:rsidRPr="00A8266D" w:rsidRDefault="00471742" w:rsidP="00BE0B19">
                            <w:pPr>
                              <w:numPr>
                                <w:ilvl w:val="0"/>
                                <w:numId w:val="213"/>
                              </w:numPr>
                              <w:spacing w:line="240" w:lineRule="auto"/>
                              <w:rPr>
                                <w:rFonts w:ascii="Arial" w:hAnsi="Arial" w:cs="Arial"/>
                                <w:sz w:val="20"/>
                                <w:szCs w:val="20"/>
                              </w:rPr>
                            </w:pPr>
                            <w:r w:rsidRPr="00A8266D">
                              <w:rPr>
                                <w:rFonts w:ascii="Arial" w:hAnsi="Arial" w:cs="Arial"/>
                                <w:sz w:val="20"/>
                                <w:szCs w:val="20"/>
                              </w:rPr>
                              <w:t>COLQ</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534620" id="Text Box 159" o:spid="_x0000_s1165" type="#_x0000_t202" style="position:absolute;left:0;text-align:left;margin-left:.35pt;margin-top:2.25pt;width:147.75pt;height:6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">
                <v:textbox>
                  <w:txbxContent>
                    <w:p w14:paraId="0EBC8530" w14:textId="77777777" w:rsidR="00471742" w:rsidRPr="00A8266D" w:rsidRDefault="00471742" w:rsidP="00BE0B19">
                      <w:pPr>
                        <w:numPr>
                          <w:ilvl w:val="0"/>
                          <w:numId w:val="213"/>
                        </w:numPr>
                        <w:spacing w:after="0" w:line="240" w:lineRule="auto"/>
                        <w:rPr>
                          <w:rFonts w:ascii="Arial" w:hAnsi="Arial" w:cs="Arial"/>
                          <w:sz w:val="20"/>
                          <w:szCs w:val="20"/>
                        </w:rPr>
                      </w:pPr>
                      <w:r w:rsidRPr="00A8266D">
                        <w:rPr>
                          <w:rFonts w:ascii="Arial" w:hAnsi="Arial" w:cs="Arial"/>
                          <w:sz w:val="20"/>
                          <w:szCs w:val="20"/>
                        </w:rPr>
                        <w:t>Синдром на бавните канали</w:t>
                      </w:r>
                    </w:p>
                    <w:p w14:paraId="714E3AB5" w14:textId="77777777" w:rsidR="00471742" w:rsidRPr="00A8266D" w:rsidRDefault="00471742" w:rsidP="00BE0B19">
                      <w:pPr>
                        <w:numPr>
                          <w:ilvl w:val="0"/>
                          <w:numId w:val="213"/>
                        </w:numPr>
                        <w:spacing w:after="0" w:line="240" w:lineRule="auto"/>
                        <w:rPr>
                          <w:rFonts w:ascii="Arial" w:hAnsi="Arial" w:cs="Arial"/>
                          <w:sz w:val="20"/>
                          <w:szCs w:val="20"/>
                        </w:rPr>
                      </w:pPr>
                      <w:r w:rsidRPr="00A8266D">
                        <w:rPr>
                          <w:rFonts w:ascii="Arial" w:hAnsi="Arial" w:cs="Arial"/>
                          <w:sz w:val="20"/>
                          <w:szCs w:val="20"/>
                        </w:rPr>
                        <w:t>DOK7</w:t>
                      </w:r>
                    </w:p>
                    <w:p w14:paraId="612F1B67" w14:textId="77777777" w:rsidR="00471742" w:rsidRPr="00A8266D" w:rsidRDefault="00471742" w:rsidP="00BE0B19">
                      <w:pPr>
                        <w:numPr>
                          <w:ilvl w:val="0"/>
                          <w:numId w:val="213"/>
                        </w:numPr>
                        <w:spacing w:line="240" w:lineRule="auto"/>
                        <w:rPr>
                          <w:rFonts w:ascii="Arial" w:hAnsi="Arial" w:cs="Arial"/>
                          <w:sz w:val="20"/>
                          <w:szCs w:val="20"/>
                        </w:rPr>
                      </w:pPr>
                      <w:r w:rsidRPr="00A8266D">
                        <w:rPr>
                          <w:rFonts w:ascii="Arial" w:hAnsi="Arial" w:cs="Arial"/>
                          <w:sz w:val="20"/>
                          <w:szCs w:val="20"/>
                        </w:rPr>
                        <w:t>COLQ</w:t>
                      </w:r>
                    </w:p>
                  </w:txbxContent>
                </v:textbox>
              </v:shape>
            </w:pict>
          </mc:Fallback>
        </mc:AlternateContent>
      </w:r>
    </w:p>
    <w:p w14:paraId="3B9C2907" w14:textId="77777777" w:rsidR="00BE0B19" w:rsidRPr="00AE47C6" w:rsidRDefault="00BE0B19" w:rsidP="00BE0B19">
      <w:pPr>
        <w:spacing w:after="0" w:line="360" w:lineRule="auto"/>
        <w:jc w:val="both"/>
        <w:rPr>
          <w:rFonts w:ascii="Times New Roman" w:eastAsia="SimSun" w:hAnsi="Times New Roman"/>
          <w:sz w:val="24"/>
          <w:szCs w:val="24"/>
        </w:rPr>
      </w:pPr>
    </w:p>
    <w:p w14:paraId="70DECB2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57568" behindDoc="0" locked="0" layoutInCell="1" allowOverlap="1" wp14:anchorId="225801F3" wp14:editId="254F9342">
                <wp:simplePos x="0" y="0"/>
                <wp:positionH relativeFrom="column">
                  <wp:posOffset>4445</wp:posOffset>
                </wp:positionH>
                <wp:positionV relativeFrom="paragraph">
                  <wp:posOffset>179070</wp:posOffset>
                </wp:positionV>
                <wp:extent cx="1876425" cy="600075"/>
                <wp:effectExtent l="0" t="0" r="28575" b="28575"/>
                <wp:wrapNone/>
                <wp:docPr id="34"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600075"/>
                        </a:xfrm>
                        <a:prstGeom prst="rect">
                          <a:avLst/>
                        </a:prstGeom>
                        <a:solidFill>
                          <a:srgbClr val="FFFFFF"/>
                        </a:solidFill>
                        <a:ln w="9525">
                          <a:solidFill>
                            <a:srgbClr val="000000"/>
                          </a:solidFill>
                          <a:miter lim="800000"/>
                          <a:headEnd/>
                          <a:tailEnd/>
                        </a:ln>
                      </wps:spPr>
                      <wps:txbx>
                        <w:txbxContent>
                          <w:p w14:paraId="673B1CC0" w14:textId="77777777" w:rsidR="00471742" w:rsidRPr="00AE5638" w:rsidRDefault="00471742" w:rsidP="00BE0B19">
                            <w:pPr>
                              <w:rPr>
                                <w:rFonts w:ascii="Times New Roman" w:hAnsi="Times New Roman"/>
                                <w:lang w:val="en-US"/>
                              </w:rPr>
                            </w:pPr>
                            <w:r w:rsidRPr="00AE5638">
                              <w:rPr>
                                <w:rFonts w:ascii="Times New Roman" w:hAnsi="Times New Roman"/>
                                <w:lang w:val="en-US"/>
                              </w:rPr>
                              <w:t>Salbutamol, Ephedrine</w:t>
                            </w:r>
                            <w:r w:rsidRPr="00AE5638">
                              <w:rPr>
                                <w:rFonts w:ascii="Times New Roman" w:hAnsi="Times New Roman"/>
                              </w:rPr>
                              <w:t>- първа линия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801F3" id="Text Box 160" o:spid="_x0000_s1166" type="#_x0000_t202" style="position:absolute;left:0;text-align:left;margin-left:.35pt;margin-top:14.1pt;width:147.75pt;height:47.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">
                <v:textbox>
                  <w:txbxContent>
                    <w:p w14:paraId="673B1CC0" w14:textId="77777777" w:rsidR="00471742" w:rsidRPr="00AE5638" w:rsidRDefault="00471742" w:rsidP="00BE0B19">
                      <w:pPr>
                        <w:rPr>
                          <w:rFonts w:ascii="Times New Roman" w:hAnsi="Times New Roman"/>
                          <w:lang w:val="en-US"/>
                        </w:rPr>
                      </w:pPr>
                      <w:r w:rsidRPr="00AE5638">
                        <w:rPr>
                          <w:rFonts w:ascii="Times New Roman" w:hAnsi="Times New Roman"/>
                          <w:lang w:val="en-US"/>
                        </w:rPr>
                        <w:t>Salbutamol, Ephedrine</w:t>
                      </w:r>
                      <w:r w:rsidRPr="00AE5638">
                        <w:rPr>
                          <w:rFonts w:ascii="Times New Roman" w:hAnsi="Times New Roman"/>
                        </w:rPr>
                        <w:t>- първа линия</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61664" behindDoc="0" locked="0" layoutInCell="1" allowOverlap="1" wp14:anchorId="78D1057E" wp14:editId="05CCADA9">
                <wp:simplePos x="0" y="0"/>
                <wp:positionH relativeFrom="column">
                  <wp:posOffset>3623945</wp:posOffset>
                </wp:positionH>
                <wp:positionV relativeFrom="paragraph">
                  <wp:posOffset>179070</wp:posOffset>
                </wp:positionV>
                <wp:extent cx="1828800" cy="485775"/>
                <wp:effectExtent l="0" t="0" r="0" b="9525"/>
                <wp:wrapNone/>
                <wp:docPr id="33"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85775"/>
                        </a:xfrm>
                        <a:prstGeom prst="rect">
                          <a:avLst/>
                        </a:prstGeom>
                        <a:solidFill>
                          <a:srgbClr val="FFFFFF"/>
                        </a:solidFill>
                        <a:ln w="9525">
                          <a:solidFill>
                            <a:srgbClr val="000000"/>
                          </a:solidFill>
                          <a:miter lim="800000"/>
                          <a:headEnd/>
                          <a:tailEnd/>
                        </a:ln>
                      </wps:spPr>
                      <wps:txbx>
                        <w:txbxContent>
                          <w:p w14:paraId="61CAE5E3" w14:textId="77777777" w:rsidR="00471742" w:rsidRPr="006122BD" w:rsidRDefault="00471742" w:rsidP="00BE0B19">
                            <w:pPr>
                              <w:rPr>
                                <w:rFonts w:ascii="Arial" w:hAnsi="Arial" w:cs="Arial"/>
                                <w:sz w:val="20"/>
                                <w:szCs w:val="20"/>
                              </w:rPr>
                            </w:pPr>
                            <w:r w:rsidRPr="006122BD">
                              <w:rPr>
                                <w:rFonts w:ascii="Arial" w:hAnsi="Arial" w:cs="Arial"/>
                                <w:sz w:val="20"/>
                                <w:szCs w:val="20"/>
                                <w:lang w:val="en-US"/>
                              </w:rPr>
                              <w:t>3,4 Diaminopiridine</w:t>
                            </w:r>
                            <w:r w:rsidRPr="006122BD">
                              <w:rPr>
                                <w:rFonts w:ascii="Arial" w:hAnsi="Arial" w:cs="Arial"/>
                                <w:sz w:val="20"/>
                                <w:szCs w:val="20"/>
                              </w:rPr>
                              <w:t>- втора линия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1057E" id="Text Box 164" o:spid="_x0000_s1167" type="#_x0000_t202" style="position:absolute;left:0;text-align:left;margin-left:285.35pt;margin-top:14.1pt;width:2in;height:38.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">
                <v:textbox>
                  <w:txbxContent>
                    <w:p w14:paraId="61CAE5E3" w14:textId="77777777" w:rsidR="00471742" w:rsidRPr="006122BD" w:rsidRDefault="00471742" w:rsidP="00BE0B19">
                      <w:pPr>
                        <w:rPr>
                          <w:rFonts w:ascii="Arial" w:hAnsi="Arial" w:cs="Arial"/>
                          <w:sz w:val="20"/>
                          <w:szCs w:val="20"/>
                        </w:rPr>
                      </w:pPr>
                      <w:r w:rsidRPr="006122BD">
                        <w:rPr>
                          <w:rFonts w:ascii="Arial" w:hAnsi="Arial" w:cs="Arial"/>
                          <w:sz w:val="20"/>
                          <w:szCs w:val="20"/>
                          <w:lang w:val="en-US"/>
                        </w:rPr>
                        <w:t>3,4 Diaminopiridine</w:t>
                      </w:r>
                      <w:r w:rsidRPr="006122BD">
                        <w:rPr>
                          <w:rFonts w:ascii="Arial" w:hAnsi="Arial" w:cs="Arial"/>
                          <w:sz w:val="20"/>
                          <w:szCs w:val="20"/>
                        </w:rPr>
                        <w:t>- втора линия</w:t>
                      </w:r>
                    </w:p>
                  </w:txbxContent>
                </v:textbox>
              </v:shape>
            </w:pict>
          </mc:Fallback>
        </mc:AlternateContent>
      </w:r>
    </w:p>
    <w:p w14:paraId="2E24A0AA" w14:textId="77777777" w:rsidR="00BE0B19" w:rsidRPr="00AE47C6" w:rsidRDefault="00BE0B19" w:rsidP="00BE0B19">
      <w:pPr>
        <w:spacing w:after="0" w:line="360" w:lineRule="auto"/>
        <w:jc w:val="both"/>
        <w:rPr>
          <w:rFonts w:ascii="Times New Roman" w:eastAsia="SimSun" w:hAnsi="Times New Roman"/>
          <w:sz w:val="24"/>
          <w:szCs w:val="24"/>
        </w:rPr>
      </w:pPr>
    </w:p>
    <w:p w14:paraId="4E34593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58592" behindDoc="0" locked="0" layoutInCell="1" allowOverlap="1" wp14:anchorId="182EDBAD" wp14:editId="58AE46ED">
                <wp:simplePos x="0" y="0"/>
                <wp:positionH relativeFrom="column">
                  <wp:posOffset>4445</wp:posOffset>
                </wp:positionH>
                <wp:positionV relativeFrom="paragraph">
                  <wp:posOffset>186690</wp:posOffset>
                </wp:positionV>
                <wp:extent cx="1876425" cy="485775"/>
                <wp:effectExtent l="0" t="0" r="28575" b="28575"/>
                <wp:wrapNone/>
                <wp:docPr id="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485775"/>
                        </a:xfrm>
                        <a:prstGeom prst="rect">
                          <a:avLst/>
                        </a:prstGeom>
                        <a:solidFill>
                          <a:srgbClr val="FFFFFF"/>
                        </a:solidFill>
                        <a:ln w="9525">
                          <a:solidFill>
                            <a:srgbClr val="000000"/>
                          </a:solidFill>
                          <a:miter lim="800000"/>
                          <a:headEnd/>
                          <a:tailEnd/>
                        </a:ln>
                      </wps:spPr>
                      <wps:txbx>
                        <w:txbxContent>
                          <w:p w14:paraId="3FE22422" w14:textId="77777777" w:rsidR="00471742" w:rsidRPr="00AE5638" w:rsidRDefault="00471742" w:rsidP="00BE0B19">
                            <w:pPr>
                              <w:rPr>
                                <w:rFonts w:ascii="Times New Roman" w:hAnsi="Times New Roman"/>
                              </w:rPr>
                            </w:pPr>
                            <w:r w:rsidRPr="00AE5638">
                              <w:rPr>
                                <w:rFonts w:ascii="Times New Roman" w:hAnsi="Times New Roman"/>
                                <w:lang w:val="en-US"/>
                              </w:rPr>
                              <w:t>3,4 Diaminopiridine</w:t>
                            </w:r>
                            <w:r w:rsidRPr="00AE5638">
                              <w:rPr>
                                <w:rFonts w:ascii="Times New Roman" w:hAnsi="Times New Roman"/>
                              </w:rPr>
                              <w:t>- втора линия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2EDBAD" id="Text Box 161" o:spid="_x0000_s1168" type="#_x0000_t202" style="position:absolute;left:0;text-align:left;margin-left:.35pt;margin-top:14.7pt;width:147.75pt;height:38.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">
                <v:textbox>
                  <w:txbxContent>
                    <w:p w14:paraId="3FE22422" w14:textId="77777777" w:rsidR="00471742" w:rsidRPr="00AE5638" w:rsidRDefault="00471742" w:rsidP="00BE0B19">
                      <w:pPr>
                        <w:rPr>
                          <w:rFonts w:ascii="Times New Roman" w:hAnsi="Times New Roman"/>
                        </w:rPr>
                      </w:pPr>
                      <w:r w:rsidRPr="00AE5638">
                        <w:rPr>
                          <w:rFonts w:ascii="Times New Roman" w:hAnsi="Times New Roman"/>
                          <w:lang w:val="en-US"/>
                        </w:rPr>
                        <w:t>3,4 Diaminopiridine</w:t>
                      </w:r>
                      <w:r w:rsidRPr="00AE5638">
                        <w:rPr>
                          <w:rFonts w:ascii="Times New Roman" w:hAnsi="Times New Roman"/>
                        </w:rPr>
                        <w:t>- втора линия</w:t>
                      </w:r>
                    </w:p>
                  </w:txbxContent>
                </v:textbox>
              </v:shape>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62688" behindDoc="0" locked="0" layoutInCell="1" allowOverlap="1" wp14:anchorId="30E3CC16" wp14:editId="2E19479A">
                <wp:simplePos x="0" y="0"/>
                <wp:positionH relativeFrom="column">
                  <wp:posOffset>3623945</wp:posOffset>
                </wp:positionH>
                <wp:positionV relativeFrom="paragraph">
                  <wp:posOffset>74295</wp:posOffset>
                </wp:positionV>
                <wp:extent cx="1828800" cy="600075"/>
                <wp:effectExtent l="0" t="0" r="0" b="9525"/>
                <wp:wrapNone/>
                <wp:docPr id="30"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00075"/>
                        </a:xfrm>
                        <a:prstGeom prst="rect">
                          <a:avLst/>
                        </a:prstGeom>
                        <a:solidFill>
                          <a:srgbClr val="FFFFFF"/>
                        </a:solidFill>
                        <a:ln w="9525">
                          <a:solidFill>
                            <a:srgbClr val="000000"/>
                          </a:solidFill>
                          <a:miter lim="800000"/>
                          <a:headEnd/>
                          <a:tailEnd/>
                        </a:ln>
                      </wps:spPr>
                      <wps:txbx>
                        <w:txbxContent>
                          <w:p w14:paraId="6191110E" w14:textId="77777777" w:rsidR="00471742" w:rsidRPr="006122BD" w:rsidRDefault="00471742" w:rsidP="00BE0B19">
                            <w:pPr>
                              <w:rPr>
                                <w:rFonts w:ascii="Arial" w:hAnsi="Arial" w:cs="Arial"/>
                                <w:sz w:val="20"/>
                                <w:szCs w:val="20"/>
                              </w:rPr>
                            </w:pPr>
                            <w:r w:rsidRPr="006122BD">
                              <w:rPr>
                                <w:rFonts w:ascii="Arial" w:hAnsi="Arial" w:cs="Arial"/>
                                <w:sz w:val="20"/>
                                <w:szCs w:val="20"/>
                                <w:lang w:val="en-US"/>
                              </w:rPr>
                              <w:t>Salbutamol, Ephedrine</w:t>
                            </w:r>
                            <w:r w:rsidRPr="006122BD">
                              <w:rPr>
                                <w:rFonts w:ascii="Arial" w:hAnsi="Arial" w:cs="Arial"/>
                                <w:sz w:val="20"/>
                                <w:szCs w:val="20"/>
                              </w:rPr>
                              <w:t>- допълнителна терапия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3CC16" id="Text Box 165" o:spid="_x0000_s1169" type="#_x0000_t202" style="position:absolute;left:0;text-align:left;margin-left:285.35pt;margin-top:5.85pt;width:2in;height:47.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">
                <v:textbox>
                  <w:txbxContent>
                    <w:p w14:paraId="6191110E" w14:textId="77777777" w:rsidR="00471742" w:rsidRPr="006122BD" w:rsidRDefault="00471742" w:rsidP="00BE0B19">
                      <w:pPr>
                        <w:rPr>
                          <w:rFonts w:ascii="Arial" w:hAnsi="Arial" w:cs="Arial"/>
                          <w:sz w:val="20"/>
                          <w:szCs w:val="20"/>
                        </w:rPr>
                      </w:pPr>
                      <w:r w:rsidRPr="006122BD">
                        <w:rPr>
                          <w:rFonts w:ascii="Arial" w:hAnsi="Arial" w:cs="Arial"/>
                          <w:sz w:val="20"/>
                          <w:szCs w:val="20"/>
                          <w:lang w:val="en-US"/>
                        </w:rPr>
                        <w:t>Salbutamol, Ephedrine</w:t>
                      </w:r>
                      <w:r w:rsidRPr="006122BD">
                        <w:rPr>
                          <w:rFonts w:ascii="Arial" w:hAnsi="Arial" w:cs="Arial"/>
                          <w:sz w:val="20"/>
                          <w:szCs w:val="20"/>
                        </w:rPr>
                        <w:t>- допълнителна терапия</w:t>
                      </w:r>
                    </w:p>
                  </w:txbxContent>
                </v:textbox>
              </v:shape>
            </w:pict>
          </mc:Fallback>
        </mc:AlternateContent>
      </w:r>
    </w:p>
    <w:p w14:paraId="494FB3C7" w14:textId="77777777" w:rsidR="00BE0B19" w:rsidRPr="00AE47C6" w:rsidRDefault="00BE0B19" w:rsidP="00BE0B19">
      <w:pPr>
        <w:spacing w:after="0" w:line="360" w:lineRule="auto"/>
        <w:jc w:val="both"/>
        <w:rPr>
          <w:rFonts w:ascii="Times New Roman" w:eastAsia="SimSun" w:hAnsi="Times New Roman"/>
          <w:sz w:val="24"/>
          <w:szCs w:val="24"/>
        </w:rPr>
      </w:pPr>
    </w:p>
    <w:p w14:paraId="11B0AB7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59616" behindDoc="0" locked="0" layoutInCell="1" allowOverlap="1" wp14:anchorId="1ADCB018" wp14:editId="1F5C57B2">
                <wp:simplePos x="0" y="0"/>
                <wp:positionH relativeFrom="column">
                  <wp:posOffset>4445</wp:posOffset>
                </wp:positionH>
                <wp:positionV relativeFrom="paragraph">
                  <wp:posOffset>74295</wp:posOffset>
                </wp:positionV>
                <wp:extent cx="1876425" cy="457200"/>
                <wp:effectExtent l="0" t="0" r="28575" b="19050"/>
                <wp:wrapNone/>
                <wp:docPr id="28"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457200"/>
                        </a:xfrm>
                        <a:prstGeom prst="rect">
                          <a:avLst/>
                        </a:prstGeom>
                        <a:solidFill>
                          <a:srgbClr val="FFFFFF"/>
                        </a:solidFill>
                        <a:ln w="9525">
                          <a:solidFill>
                            <a:srgbClr val="000000"/>
                          </a:solidFill>
                          <a:miter lim="800000"/>
                          <a:headEnd/>
                          <a:tailEnd/>
                        </a:ln>
                      </wps:spPr>
                      <wps:txbx>
                        <w:txbxContent>
                          <w:p w14:paraId="154824B9" w14:textId="77777777" w:rsidR="00471742" w:rsidRPr="00AE5638" w:rsidRDefault="00471742" w:rsidP="00BE0B19">
                            <w:pPr>
                              <w:rPr>
                                <w:rFonts w:ascii="Times New Roman" w:hAnsi="Times New Roman"/>
                              </w:rPr>
                            </w:pPr>
                            <w:r w:rsidRPr="00AE5638">
                              <w:rPr>
                                <w:rFonts w:ascii="Times New Roman" w:hAnsi="Times New Roman"/>
                                <w:lang w:val="en-US"/>
                              </w:rPr>
                              <w:t>Quinidine</w:t>
                            </w:r>
                            <w:r w:rsidRPr="00AE5638">
                              <w:rPr>
                                <w:rFonts w:ascii="Times New Roman" w:hAnsi="Times New Roman"/>
                              </w:rPr>
                              <w:t>- допълнителна терапия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DCB018" id="Text Box 162" o:spid="_x0000_s1170" type="#_x0000_t202" style="position:absolute;left:0;text-align:left;margin-left:.35pt;margin-top:5.85pt;width:147.75pt;height:36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">
                <v:textbox>
                  <w:txbxContent>
                    <w:p w14:paraId="154824B9" w14:textId="77777777" w:rsidR="00471742" w:rsidRPr="00AE5638" w:rsidRDefault="00471742" w:rsidP="00BE0B19">
                      <w:pPr>
                        <w:rPr>
                          <w:rFonts w:ascii="Times New Roman" w:hAnsi="Times New Roman"/>
                        </w:rPr>
                      </w:pPr>
                      <w:r w:rsidRPr="00AE5638">
                        <w:rPr>
                          <w:rFonts w:ascii="Times New Roman" w:hAnsi="Times New Roman"/>
                          <w:lang w:val="en-US"/>
                        </w:rPr>
                        <w:t>Quinidine</w:t>
                      </w:r>
                      <w:r w:rsidRPr="00AE5638">
                        <w:rPr>
                          <w:rFonts w:ascii="Times New Roman" w:hAnsi="Times New Roman"/>
                        </w:rPr>
                        <w:t>- допълнителна терапия</w:t>
                      </w:r>
                    </w:p>
                  </w:txbxContent>
                </v:textbox>
              </v:shape>
            </w:pict>
          </mc:Fallback>
        </mc:AlternateContent>
      </w:r>
    </w:p>
    <w:p w14:paraId="41AFBE37" w14:textId="77777777" w:rsidR="00BE0B19" w:rsidRPr="00AE47C6" w:rsidRDefault="00BE0B19" w:rsidP="00BE0B19">
      <w:pPr>
        <w:spacing w:after="0" w:line="360" w:lineRule="auto"/>
        <w:jc w:val="both"/>
        <w:rPr>
          <w:rFonts w:ascii="Times New Roman" w:eastAsia="SimSun" w:hAnsi="Times New Roman"/>
          <w:sz w:val="24"/>
          <w:szCs w:val="24"/>
        </w:rPr>
      </w:pPr>
    </w:p>
    <w:p w14:paraId="0E211BBA" w14:textId="77777777" w:rsidR="00BE0B19" w:rsidRPr="00AE47C6" w:rsidRDefault="00BE0B19" w:rsidP="00BE0B19">
      <w:pPr>
        <w:spacing w:after="0" w:line="360" w:lineRule="auto"/>
        <w:jc w:val="both"/>
        <w:rPr>
          <w:rFonts w:ascii="Times New Roman" w:eastAsia="SimSun" w:hAnsi="Times New Roman"/>
          <w:sz w:val="24"/>
          <w:szCs w:val="24"/>
        </w:rPr>
      </w:pPr>
    </w:p>
    <w:p w14:paraId="2731569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 xml:space="preserve">Фигура 9.6. </w:t>
      </w:r>
      <w:r w:rsidRPr="00AE47C6">
        <w:rPr>
          <w:rFonts w:ascii="Times New Roman" w:eastAsia="SimSun" w:hAnsi="Times New Roman"/>
          <w:sz w:val="24"/>
          <w:szCs w:val="24"/>
        </w:rPr>
        <w:t>Алгоритъм за лечение на най-честите форми на вродени миастенни синдроми</w:t>
      </w:r>
    </w:p>
    <w:p w14:paraId="2AD36BD2"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217" w:name="_Toc155651804"/>
      <w:bookmarkStart w:id="218" w:name="_Toc164075937"/>
      <w:r w:rsidRPr="00AE47C6">
        <w:rPr>
          <w:rFonts w:ascii="Times New Roman" w:eastAsia="SimSun" w:hAnsi="Times New Roman"/>
          <w:b/>
          <w:sz w:val="24"/>
          <w:szCs w:val="24"/>
        </w:rPr>
        <w:t>9.4. Заболявания на периферните нерви</w:t>
      </w:r>
      <w:bookmarkEnd w:id="217"/>
      <w:bookmarkEnd w:id="218"/>
    </w:p>
    <w:p w14:paraId="0BDC1B07"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219" w:name="_Toc155651805"/>
      <w:bookmarkStart w:id="220" w:name="_Toc164075938"/>
      <w:r w:rsidRPr="00AE47C6">
        <w:rPr>
          <w:rFonts w:ascii="Times New Roman" w:eastAsia="SimSun" w:hAnsi="Times New Roman"/>
          <w:b/>
          <w:sz w:val="24"/>
          <w:szCs w:val="20"/>
          <w:lang w:eastAsia="ja-JP"/>
        </w:rPr>
        <w:t>9.4.1. Наследствени сетивни и моторни полиневропатии</w:t>
      </w:r>
      <w:bookmarkEnd w:id="219"/>
      <w:bookmarkEnd w:id="220"/>
    </w:p>
    <w:p w14:paraId="160596D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Подразделят се на наследствени моторни и сетивни (НМСН), наследствени моторни (НМН), наследствени сетивни (НСН) и наследствени сетивни и автономни (НСАН) невропатии. НМСН се характеризира с прогресираща дистална мускулна слабост и атрофия, първоначално засягащи краката и особено перонеалните мускули. Освен мускулна слабост, може да бъде налице и по-леко изразена загуба на сетивността, а сухожилните рефлекси са липсващи или отслабени. Често е налице висок свод на стъпалата (pes cavus). Фенотипът на НМСН се състои от моторна и сетивна невропатия при отсъствие на друго системно нарушение и без установена придобита причина.</w:t>
      </w:r>
    </w:p>
    <w:p w14:paraId="6F77770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Съвременното класифициране (табл. 9.7) на несиндромните НМСН запазва основното подразделяне според скоростите на провеждане (СП) по периферните нерви на демиелинизиращи (Де) Charcot-Marie-Tooth (CMT 1) с ниски СП (≤ 38 m/s по n. medianus) и аксонни (Ак) CMT 2 с нормални или близки до нормалните СП (&gt; 38 m/s по n. medianus). Отдиференцирана е и трета голяма група ШМТ – с междинни СП (Ме). С оглед начина на унаследяване се наблюдават автозомно-доминантни, автозомно-рецесивни и Х-свързани форми. По-нататъшното подразделяне на CMT 1, CMT 2 и CMT с междинни СП е според установения генетичен дефект. В групата на демиелинизиращите ШМТ тип 1 са отграничени Х-свързаната доминантна CMT – конексинопатия и наследствената невропатия със склонност към парализи при притискане (ННПП). В тази група са и тежките демиелинизиращи невропатии с ранно начало - синдромът на Dejerine-Sottas и конгенитална хипомиелинизация (КХ). </w:t>
      </w:r>
    </w:p>
    <w:p w14:paraId="551E8D6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Напредъкът на молекулярно-генетичните изследвания налага съставянето на нова класификация, ориентирана към генетичните дефекти, представена на таблици 9.8. и 9.9.</w:t>
      </w:r>
    </w:p>
    <w:p w14:paraId="102483DD" w14:textId="77777777" w:rsidR="00BE0B19" w:rsidRPr="00AE47C6" w:rsidRDefault="00BE0B19" w:rsidP="00BE0B19">
      <w:pPr>
        <w:spacing w:after="0" w:line="360" w:lineRule="auto"/>
        <w:jc w:val="both"/>
        <w:rPr>
          <w:rFonts w:ascii="Times New Roman" w:eastAsia="SimSun" w:hAnsi="Times New Roman"/>
          <w:sz w:val="24"/>
          <w:szCs w:val="24"/>
        </w:rPr>
      </w:pPr>
    </w:p>
    <w:p w14:paraId="63E37306"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Таблица 9.8. Форми на НСМН</w:t>
      </w:r>
    </w:p>
    <w:tbl>
      <w:tblPr>
        <w:tblW w:w="9072"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36"/>
        <w:gridCol w:w="3019"/>
        <w:gridCol w:w="3017"/>
      </w:tblGrid>
      <w:tr w:rsidR="00BE0B19" w:rsidRPr="00AE47C6" w14:paraId="7A168C72" w14:textId="77777777" w:rsidTr="00AD72E5">
        <w:tc>
          <w:tcPr>
            <w:tcW w:w="3238" w:type="dxa"/>
          </w:tcPr>
          <w:p w14:paraId="27C0A0CC"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b/>
                <w:bCs/>
                <w:sz w:val="24"/>
                <w:szCs w:val="24"/>
                <w:lang w:eastAsia="zh-CN"/>
              </w:rPr>
            </w:pPr>
            <w:r w:rsidRPr="00AE47C6">
              <w:rPr>
                <w:rFonts w:ascii="Times New Roman" w:eastAsia="SimSun" w:hAnsi="Times New Roman"/>
                <w:b/>
                <w:bCs/>
                <w:sz w:val="24"/>
                <w:szCs w:val="24"/>
                <w:lang w:eastAsia="zh-CN"/>
              </w:rPr>
              <w:t>Тип НМСН</w:t>
            </w:r>
          </w:p>
        </w:tc>
        <w:tc>
          <w:tcPr>
            <w:tcW w:w="3219" w:type="dxa"/>
          </w:tcPr>
          <w:p w14:paraId="23E57001"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b/>
                <w:bCs/>
                <w:sz w:val="24"/>
                <w:szCs w:val="24"/>
                <w:lang w:eastAsia="zh-CN"/>
              </w:rPr>
            </w:pPr>
            <w:r w:rsidRPr="00AE47C6">
              <w:rPr>
                <w:rFonts w:ascii="Times New Roman" w:eastAsia="SimSun" w:hAnsi="Times New Roman"/>
                <w:b/>
                <w:bCs/>
                <w:sz w:val="24"/>
                <w:szCs w:val="24"/>
                <w:lang w:eastAsia="zh-CN"/>
              </w:rPr>
              <w:t>Ген</w:t>
            </w:r>
          </w:p>
        </w:tc>
        <w:tc>
          <w:tcPr>
            <w:tcW w:w="3217" w:type="dxa"/>
          </w:tcPr>
          <w:p w14:paraId="34068B30"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b/>
                <w:bCs/>
                <w:sz w:val="24"/>
                <w:szCs w:val="24"/>
                <w:lang w:eastAsia="zh-CN"/>
              </w:rPr>
            </w:pPr>
            <w:r w:rsidRPr="00AE47C6">
              <w:rPr>
                <w:rFonts w:ascii="Times New Roman" w:eastAsia="SimSun" w:hAnsi="Times New Roman"/>
                <w:b/>
                <w:bCs/>
                <w:sz w:val="24"/>
                <w:szCs w:val="24"/>
                <w:lang w:eastAsia="zh-CN"/>
              </w:rPr>
              <w:t>Хромозома</w:t>
            </w:r>
          </w:p>
        </w:tc>
      </w:tr>
      <w:tr w:rsidR="00BE0B19" w:rsidRPr="00AE47C6" w14:paraId="213C9342" w14:textId="77777777" w:rsidTr="00AD72E5">
        <w:tc>
          <w:tcPr>
            <w:tcW w:w="3238" w:type="dxa"/>
          </w:tcPr>
          <w:p w14:paraId="4E16F3B7"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CMT1A</w:t>
            </w:r>
          </w:p>
        </w:tc>
        <w:tc>
          <w:tcPr>
            <w:tcW w:w="3219" w:type="dxa"/>
          </w:tcPr>
          <w:p w14:paraId="61908886"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 xml:space="preserve">PMP22 </w:t>
            </w:r>
          </w:p>
        </w:tc>
        <w:tc>
          <w:tcPr>
            <w:tcW w:w="3217" w:type="dxa"/>
          </w:tcPr>
          <w:p w14:paraId="00D25CBE"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17p11</w:t>
            </w:r>
          </w:p>
        </w:tc>
      </w:tr>
      <w:tr w:rsidR="00BE0B19" w:rsidRPr="00AE47C6" w14:paraId="4365E98C" w14:textId="77777777" w:rsidTr="00AD72E5">
        <w:tc>
          <w:tcPr>
            <w:tcW w:w="3238" w:type="dxa"/>
          </w:tcPr>
          <w:p w14:paraId="2BEA013A"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CMT1B</w:t>
            </w:r>
          </w:p>
        </w:tc>
        <w:tc>
          <w:tcPr>
            <w:tcW w:w="3219" w:type="dxa"/>
          </w:tcPr>
          <w:p w14:paraId="4B3DE087"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 xml:space="preserve">P0 или MPZ </w:t>
            </w:r>
          </w:p>
        </w:tc>
        <w:tc>
          <w:tcPr>
            <w:tcW w:w="3217" w:type="dxa"/>
          </w:tcPr>
          <w:p w14:paraId="1FDB840F"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1q22</w:t>
            </w:r>
          </w:p>
        </w:tc>
      </w:tr>
      <w:tr w:rsidR="00BE0B19" w:rsidRPr="00AE47C6" w14:paraId="1A8CA32E" w14:textId="77777777" w:rsidTr="00AD72E5">
        <w:tc>
          <w:tcPr>
            <w:tcW w:w="3238" w:type="dxa"/>
          </w:tcPr>
          <w:p w14:paraId="37BD7F3E"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CMT1C</w:t>
            </w:r>
          </w:p>
        </w:tc>
        <w:tc>
          <w:tcPr>
            <w:tcW w:w="3219" w:type="dxa"/>
          </w:tcPr>
          <w:p w14:paraId="7BC75020"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 xml:space="preserve">LITAF/SIMPLE </w:t>
            </w:r>
          </w:p>
        </w:tc>
        <w:tc>
          <w:tcPr>
            <w:tcW w:w="3217" w:type="dxa"/>
          </w:tcPr>
          <w:p w14:paraId="2859DD54"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16p13.1-12.3</w:t>
            </w:r>
          </w:p>
        </w:tc>
      </w:tr>
      <w:tr w:rsidR="00BE0B19" w:rsidRPr="00AE47C6" w14:paraId="22B239C5" w14:textId="77777777" w:rsidTr="00AD72E5">
        <w:tc>
          <w:tcPr>
            <w:tcW w:w="3238" w:type="dxa"/>
          </w:tcPr>
          <w:p w14:paraId="205CD003"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CMT1D</w:t>
            </w:r>
          </w:p>
        </w:tc>
        <w:tc>
          <w:tcPr>
            <w:tcW w:w="3219" w:type="dxa"/>
          </w:tcPr>
          <w:p w14:paraId="23A4D4B0"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 xml:space="preserve">EGR2 </w:t>
            </w:r>
          </w:p>
        </w:tc>
        <w:tc>
          <w:tcPr>
            <w:tcW w:w="3217" w:type="dxa"/>
          </w:tcPr>
          <w:p w14:paraId="0580365D"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10q21</w:t>
            </w:r>
          </w:p>
        </w:tc>
      </w:tr>
      <w:tr w:rsidR="00BE0B19" w:rsidRPr="00AE47C6" w14:paraId="27296A80" w14:textId="77777777" w:rsidTr="00AD72E5">
        <w:tc>
          <w:tcPr>
            <w:tcW w:w="3238" w:type="dxa"/>
          </w:tcPr>
          <w:p w14:paraId="2A5F05F2"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CMT1F</w:t>
            </w:r>
          </w:p>
        </w:tc>
        <w:tc>
          <w:tcPr>
            <w:tcW w:w="3219" w:type="dxa"/>
          </w:tcPr>
          <w:p w14:paraId="1A73E46A"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 xml:space="preserve">NF-L (NF-68) </w:t>
            </w:r>
          </w:p>
        </w:tc>
        <w:tc>
          <w:tcPr>
            <w:tcW w:w="3217" w:type="dxa"/>
          </w:tcPr>
          <w:p w14:paraId="6B0E85A1"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8p21</w:t>
            </w:r>
          </w:p>
        </w:tc>
      </w:tr>
      <w:tr w:rsidR="00BE0B19" w:rsidRPr="00AE47C6" w14:paraId="7389A3B8" w14:textId="77777777" w:rsidTr="00AD72E5">
        <w:tc>
          <w:tcPr>
            <w:tcW w:w="3238" w:type="dxa"/>
          </w:tcPr>
          <w:p w14:paraId="7AE77176"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HNPP</w:t>
            </w:r>
          </w:p>
        </w:tc>
        <w:tc>
          <w:tcPr>
            <w:tcW w:w="3219" w:type="dxa"/>
          </w:tcPr>
          <w:p w14:paraId="1BF8A837"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 xml:space="preserve">PMP22 </w:t>
            </w:r>
          </w:p>
        </w:tc>
        <w:tc>
          <w:tcPr>
            <w:tcW w:w="3217" w:type="dxa"/>
          </w:tcPr>
          <w:p w14:paraId="2D5A12A2"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17p11</w:t>
            </w:r>
          </w:p>
        </w:tc>
      </w:tr>
      <w:tr w:rsidR="00BE0B19" w:rsidRPr="00AE47C6" w14:paraId="23DE23DB" w14:textId="77777777" w:rsidTr="00AD72E5">
        <w:tc>
          <w:tcPr>
            <w:tcW w:w="3238" w:type="dxa"/>
          </w:tcPr>
          <w:p w14:paraId="025AC601"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NABP/HNA</w:t>
            </w:r>
          </w:p>
        </w:tc>
        <w:tc>
          <w:tcPr>
            <w:tcW w:w="3219" w:type="dxa"/>
          </w:tcPr>
          <w:p w14:paraId="6F6AC716"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w:t>
            </w:r>
          </w:p>
        </w:tc>
        <w:tc>
          <w:tcPr>
            <w:tcW w:w="3217" w:type="dxa"/>
          </w:tcPr>
          <w:p w14:paraId="6E649612"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17q25</w:t>
            </w:r>
          </w:p>
        </w:tc>
      </w:tr>
      <w:tr w:rsidR="00BE0B19" w:rsidRPr="00AE47C6" w14:paraId="2452288D" w14:textId="77777777" w:rsidTr="00AD72E5">
        <w:tc>
          <w:tcPr>
            <w:tcW w:w="3238" w:type="dxa"/>
          </w:tcPr>
          <w:p w14:paraId="1C125104"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CMTX1</w:t>
            </w:r>
          </w:p>
        </w:tc>
        <w:tc>
          <w:tcPr>
            <w:tcW w:w="3219" w:type="dxa"/>
          </w:tcPr>
          <w:p w14:paraId="05BAD2BC"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Cx32</w:t>
            </w:r>
          </w:p>
        </w:tc>
        <w:tc>
          <w:tcPr>
            <w:tcW w:w="3217" w:type="dxa"/>
          </w:tcPr>
          <w:p w14:paraId="6B332653"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Xq13</w:t>
            </w:r>
          </w:p>
        </w:tc>
      </w:tr>
      <w:tr w:rsidR="00BE0B19" w:rsidRPr="00AE47C6" w14:paraId="56A0C35A" w14:textId="77777777" w:rsidTr="00AD72E5">
        <w:tc>
          <w:tcPr>
            <w:tcW w:w="3238" w:type="dxa"/>
          </w:tcPr>
          <w:p w14:paraId="7EEA805C"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CMTX2</w:t>
            </w:r>
          </w:p>
        </w:tc>
        <w:tc>
          <w:tcPr>
            <w:tcW w:w="3219" w:type="dxa"/>
          </w:tcPr>
          <w:p w14:paraId="054B5325"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w:t>
            </w:r>
          </w:p>
        </w:tc>
        <w:tc>
          <w:tcPr>
            <w:tcW w:w="3217" w:type="dxa"/>
          </w:tcPr>
          <w:p w14:paraId="35C16086"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Xp22.2</w:t>
            </w:r>
          </w:p>
        </w:tc>
      </w:tr>
      <w:tr w:rsidR="00BE0B19" w:rsidRPr="00AE47C6" w14:paraId="3C37124D" w14:textId="77777777" w:rsidTr="00AD72E5">
        <w:tc>
          <w:tcPr>
            <w:tcW w:w="3238" w:type="dxa"/>
          </w:tcPr>
          <w:p w14:paraId="70734941"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CMTX3</w:t>
            </w:r>
          </w:p>
        </w:tc>
        <w:tc>
          <w:tcPr>
            <w:tcW w:w="3219" w:type="dxa"/>
          </w:tcPr>
          <w:p w14:paraId="11CE4298"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w:t>
            </w:r>
          </w:p>
        </w:tc>
        <w:tc>
          <w:tcPr>
            <w:tcW w:w="3217" w:type="dxa"/>
          </w:tcPr>
          <w:p w14:paraId="30DD7DFD"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Xq26</w:t>
            </w:r>
          </w:p>
        </w:tc>
      </w:tr>
      <w:tr w:rsidR="00BE0B19" w:rsidRPr="00AE47C6" w14:paraId="50981E44" w14:textId="77777777" w:rsidTr="00AD72E5">
        <w:tc>
          <w:tcPr>
            <w:tcW w:w="3238" w:type="dxa"/>
          </w:tcPr>
          <w:p w14:paraId="27C5E113"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DI-CMTA</w:t>
            </w:r>
          </w:p>
        </w:tc>
        <w:tc>
          <w:tcPr>
            <w:tcW w:w="3219" w:type="dxa"/>
          </w:tcPr>
          <w:p w14:paraId="6D586C38"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w:t>
            </w:r>
          </w:p>
        </w:tc>
        <w:tc>
          <w:tcPr>
            <w:tcW w:w="3217" w:type="dxa"/>
          </w:tcPr>
          <w:p w14:paraId="743C83C5"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10q24.1-q25.1</w:t>
            </w:r>
          </w:p>
        </w:tc>
      </w:tr>
      <w:tr w:rsidR="00BE0B19" w:rsidRPr="00AE47C6" w14:paraId="1B19F1DB" w14:textId="77777777" w:rsidTr="00AD72E5">
        <w:tc>
          <w:tcPr>
            <w:tcW w:w="3238" w:type="dxa"/>
          </w:tcPr>
          <w:p w14:paraId="76CE00B9"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DI-CMTB</w:t>
            </w:r>
          </w:p>
        </w:tc>
        <w:tc>
          <w:tcPr>
            <w:tcW w:w="3219" w:type="dxa"/>
          </w:tcPr>
          <w:p w14:paraId="57FEBA3C"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DNM2</w:t>
            </w:r>
          </w:p>
        </w:tc>
        <w:tc>
          <w:tcPr>
            <w:tcW w:w="3217" w:type="dxa"/>
          </w:tcPr>
          <w:p w14:paraId="623B618B"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19p13.2-p12</w:t>
            </w:r>
          </w:p>
        </w:tc>
      </w:tr>
      <w:tr w:rsidR="00BE0B19" w:rsidRPr="00AE47C6" w14:paraId="14963B17" w14:textId="77777777" w:rsidTr="00AD72E5">
        <w:tc>
          <w:tcPr>
            <w:tcW w:w="3238" w:type="dxa"/>
          </w:tcPr>
          <w:p w14:paraId="4D6028AA"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DI-CMTC</w:t>
            </w:r>
          </w:p>
        </w:tc>
        <w:tc>
          <w:tcPr>
            <w:tcW w:w="3219" w:type="dxa"/>
          </w:tcPr>
          <w:p w14:paraId="7D04CDE2"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YARS</w:t>
            </w:r>
          </w:p>
        </w:tc>
        <w:tc>
          <w:tcPr>
            <w:tcW w:w="3217" w:type="dxa"/>
          </w:tcPr>
          <w:p w14:paraId="3C5B45EC"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1p34-P35</w:t>
            </w:r>
          </w:p>
        </w:tc>
      </w:tr>
      <w:tr w:rsidR="00BE0B19" w:rsidRPr="00AE47C6" w14:paraId="6101454A" w14:textId="77777777" w:rsidTr="00AD72E5">
        <w:tc>
          <w:tcPr>
            <w:tcW w:w="3238" w:type="dxa"/>
          </w:tcPr>
          <w:p w14:paraId="6265985A"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DI-CMTD и други</w:t>
            </w:r>
          </w:p>
        </w:tc>
        <w:tc>
          <w:tcPr>
            <w:tcW w:w="3219" w:type="dxa"/>
          </w:tcPr>
          <w:p w14:paraId="6E929AF8"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PMP22, P0/MPZ, Cx32</w:t>
            </w:r>
          </w:p>
        </w:tc>
        <w:tc>
          <w:tcPr>
            <w:tcW w:w="3217" w:type="dxa"/>
          </w:tcPr>
          <w:p w14:paraId="095019FA"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p>
        </w:tc>
      </w:tr>
      <w:tr w:rsidR="00BE0B19" w:rsidRPr="00AE47C6" w14:paraId="1493DD44" w14:textId="77777777" w:rsidTr="00AD72E5">
        <w:tc>
          <w:tcPr>
            <w:tcW w:w="3238" w:type="dxa"/>
          </w:tcPr>
          <w:p w14:paraId="08CC0DF0"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CMT2A1</w:t>
            </w:r>
          </w:p>
        </w:tc>
        <w:tc>
          <w:tcPr>
            <w:tcW w:w="3219" w:type="dxa"/>
          </w:tcPr>
          <w:p w14:paraId="173F72CD"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KIF1Bb</w:t>
            </w:r>
          </w:p>
        </w:tc>
        <w:tc>
          <w:tcPr>
            <w:tcW w:w="3217" w:type="dxa"/>
          </w:tcPr>
          <w:p w14:paraId="7823E84D"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1p36.2</w:t>
            </w:r>
          </w:p>
        </w:tc>
      </w:tr>
      <w:tr w:rsidR="00BE0B19" w:rsidRPr="00AE47C6" w14:paraId="52FBD340" w14:textId="77777777" w:rsidTr="00AD72E5">
        <w:tc>
          <w:tcPr>
            <w:tcW w:w="3238" w:type="dxa"/>
          </w:tcPr>
          <w:p w14:paraId="079C46F5"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CMT2A2</w:t>
            </w:r>
          </w:p>
        </w:tc>
        <w:tc>
          <w:tcPr>
            <w:tcW w:w="3219" w:type="dxa"/>
          </w:tcPr>
          <w:p w14:paraId="115AE2E6"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MFN2</w:t>
            </w:r>
          </w:p>
        </w:tc>
        <w:tc>
          <w:tcPr>
            <w:tcW w:w="3217" w:type="dxa"/>
          </w:tcPr>
          <w:p w14:paraId="66BF4661"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1p36.2</w:t>
            </w:r>
          </w:p>
        </w:tc>
      </w:tr>
      <w:tr w:rsidR="00BE0B19" w:rsidRPr="00AE47C6" w14:paraId="7DC171B9" w14:textId="77777777" w:rsidTr="00AD72E5">
        <w:tc>
          <w:tcPr>
            <w:tcW w:w="3238" w:type="dxa"/>
          </w:tcPr>
          <w:p w14:paraId="21E41A30"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CMT2B</w:t>
            </w:r>
          </w:p>
        </w:tc>
        <w:tc>
          <w:tcPr>
            <w:tcW w:w="3219" w:type="dxa"/>
          </w:tcPr>
          <w:p w14:paraId="46CD7868"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RAB7</w:t>
            </w:r>
          </w:p>
        </w:tc>
        <w:tc>
          <w:tcPr>
            <w:tcW w:w="3217" w:type="dxa"/>
          </w:tcPr>
          <w:p w14:paraId="539106DF"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3q13-q22</w:t>
            </w:r>
          </w:p>
        </w:tc>
      </w:tr>
      <w:tr w:rsidR="00BE0B19" w:rsidRPr="00AE47C6" w14:paraId="63929F7E" w14:textId="77777777" w:rsidTr="00AD72E5">
        <w:tc>
          <w:tcPr>
            <w:tcW w:w="3238" w:type="dxa"/>
          </w:tcPr>
          <w:p w14:paraId="0134C8D0"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CMT2B1</w:t>
            </w:r>
          </w:p>
        </w:tc>
        <w:tc>
          <w:tcPr>
            <w:tcW w:w="3219" w:type="dxa"/>
          </w:tcPr>
          <w:p w14:paraId="610877C0"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LMNA</w:t>
            </w:r>
          </w:p>
        </w:tc>
        <w:tc>
          <w:tcPr>
            <w:tcW w:w="3217" w:type="dxa"/>
          </w:tcPr>
          <w:p w14:paraId="1CE6F6B1"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1q21</w:t>
            </w:r>
          </w:p>
        </w:tc>
      </w:tr>
      <w:tr w:rsidR="00BE0B19" w:rsidRPr="00AE47C6" w14:paraId="1529F02C" w14:textId="77777777" w:rsidTr="00AD72E5">
        <w:tc>
          <w:tcPr>
            <w:tcW w:w="3238" w:type="dxa"/>
          </w:tcPr>
          <w:p w14:paraId="0AFD91A6"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CMT2B2</w:t>
            </w:r>
          </w:p>
        </w:tc>
        <w:tc>
          <w:tcPr>
            <w:tcW w:w="3219" w:type="dxa"/>
          </w:tcPr>
          <w:p w14:paraId="3CC93DDC"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w:t>
            </w:r>
          </w:p>
        </w:tc>
        <w:tc>
          <w:tcPr>
            <w:tcW w:w="3217" w:type="dxa"/>
          </w:tcPr>
          <w:p w14:paraId="0F56EF60"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19q13.3</w:t>
            </w:r>
          </w:p>
        </w:tc>
      </w:tr>
      <w:tr w:rsidR="00BE0B19" w:rsidRPr="00AE47C6" w14:paraId="67DB95D3" w14:textId="77777777" w:rsidTr="00AD72E5">
        <w:tc>
          <w:tcPr>
            <w:tcW w:w="3238" w:type="dxa"/>
          </w:tcPr>
          <w:p w14:paraId="04EF879A"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CMT2C</w:t>
            </w:r>
          </w:p>
        </w:tc>
        <w:tc>
          <w:tcPr>
            <w:tcW w:w="3219" w:type="dxa"/>
          </w:tcPr>
          <w:p w14:paraId="7431DA96"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TRPV4 gene</w:t>
            </w:r>
          </w:p>
        </w:tc>
        <w:tc>
          <w:tcPr>
            <w:tcW w:w="3217" w:type="dxa"/>
          </w:tcPr>
          <w:p w14:paraId="379B9CCF"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12q24.13</w:t>
            </w:r>
          </w:p>
        </w:tc>
      </w:tr>
      <w:tr w:rsidR="00BE0B19" w:rsidRPr="00AE47C6" w14:paraId="503DDCF1" w14:textId="77777777" w:rsidTr="00AD72E5">
        <w:tc>
          <w:tcPr>
            <w:tcW w:w="3238" w:type="dxa"/>
          </w:tcPr>
          <w:p w14:paraId="6E0FBDAE"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CMT2D</w:t>
            </w:r>
          </w:p>
        </w:tc>
        <w:tc>
          <w:tcPr>
            <w:tcW w:w="3219" w:type="dxa"/>
          </w:tcPr>
          <w:p w14:paraId="6CECA9FA"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GARS</w:t>
            </w:r>
          </w:p>
        </w:tc>
        <w:tc>
          <w:tcPr>
            <w:tcW w:w="3217" w:type="dxa"/>
          </w:tcPr>
          <w:p w14:paraId="4E41E011"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7p15</w:t>
            </w:r>
          </w:p>
        </w:tc>
      </w:tr>
      <w:tr w:rsidR="00BE0B19" w:rsidRPr="00AE47C6" w14:paraId="0C32E2C0" w14:textId="77777777" w:rsidTr="00AD72E5">
        <w:tc>
          <w:tcPr>
            <w:tcW w:w="3238" w:type="dxa"/>
          </w:tcPr>
          <w:p w14:paraId="7051F18C"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CMT2E</w:t>
            </w:r>
          </w:p>
        </w:tc>
        <w:tc>
          <w:tcPr>
            <w:tcW w:w="3219" w:type="dxa"/>
          </w:tcPr>
          <w:p w14:paraId="12AC8C8F"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NF-L (NF68)</w:t>
            </w:r>
          </w:p>
        </w:tc>
        <w:tc>
          <w:tcPr>
            <w:tcW w:w="3217" w:type="dxa"/>
          </w:tcPr>
          <w:p w14:paraId="009917CE"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8p21</w:t>
            </w:r>
          </w:p>
        </w:tc>
      </w:tr>
      <w:tr w:rsidR="00BE0B19" w:rsidRPr="00AE47C6" w14:paraId="5E051C3C" w14:textId="77777777" w:rsidTr="00AD72E5">
        <w:tc>
          <w:tcPr>
            <w:tcW w:w="3238" w:type="dxa"/>
          </w:tcPr>
          <w:p w14:paraId="173199F9"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CMT2F</w:t>
            </w:r>
          </w:p>
        </w:tc>
        <w:tc>
          <w:tcPr>
            <w:tcW w:w="3219" w:type="dxa"/>
          </w:tcPr>
          <w:p w14:paraId="64ECA99A"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HSPB1</w:t>
            </w:r>
          </w:p>
        </w:tc>
        <w:tc>
          <w:tcPr>
            <w:tcW w:w="3217" w:type="dxa"/>
          </w:tcPr>
          <w:p w14:paraId="66336DB8"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7q11-q21</w:t>
            </w:r>
          </w:p>
        </w:tc>
      </w:tr>
      <w:tr w:rsidR="00BE0B19" w:rsidRPr="00AE47C6" w14:paraId="283495A3" w14:textId="77777777" w:rsidTr="00AD72E5">
        <w:tc>
          <w:tcPr>
            <w:tcW w:w="3238" w:type="dxa"/>
          </w:tcPr>
          <w:p w14:paraId="05191553"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CMT2G</w:t>
            </w:r>
          </w:p>
        </w:tc>
        <w:tc>
          <w:tcPr>
            <w:tcW w:w="3219" w:type="dxa"/>
          </w:tcPr>
          <w:p w14:paraId="2E53B75E"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w:t>
            </w:r>
          </w:p>
        </w:tc>
        <w:tc>
          <w:tcPr>
            <w:tcW w:w="3217" w:type="dxa"/>
          </w:tcPr>
          <w:p w14:paraId="5CAE5D0D"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12q12.q13.3</w:t>
            </w:r>
          </w:p>
        </w:tc>
      </w:tr>
      <w:tr w:rsidR="00BE0B19" w:rsidRPr="00AE47C6" w14:paraId="1C1030A2" w14:textId="77777777" w:rsidTr="00AD72E5">
        <w:tc>
          <w:tcPr>
            <w:tcW w:w="3238" w:type="dxa"/>
          </w:tcPr>
          <w:p w14:paraId="045D66DC"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CMT2H</w:t>
            </w:r>
          </w:p>
        </w:tc>
        <w:tc>
          <w:tcPr>
            <w:tcW w:w="3219" w:type="dxa"/>
          </w:tcPr>
          <w:p w14:paraId="0E3FB4D5"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 GDAP1</w:t>
            </w:r>
          </w:p>
        </w:tc>
        <w:tc>
          <w:tcPr>
            <w:tcW w:w="3217" w:type="dxa"/>
          </w:tcPr>
          <w:p w14:paraId="3D08F79E"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8q21.3</w:t>
            </w:r>
          </w:p>
        </w:tc>
      </w:tr>
      <w:tr w:rsidR="00BE0B19" w:rsidRPr="00AE47C6" w14:paraId="1CBB39C9" w14:textId="77777777" w:rsidTr="00AD72E5">
        <w:tc>
          <w:tcPr>
            <w:tcW w:w="3238" w:type="dxa"/>
          </w:tcPr>
          <w:p w14:paraId="34266E3A"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CMT2I</w:t>
            </w:r>
          </w:p>
        </w:tc>
        <w:tc>
          <w:tcPr>
            <w:tcW w:w="3219" w:type="dxa"/>
          </w:tcPr>
          <w:p w14:paraId="415F6376"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P0/MPZ</w:t>
            </w:r>
          </w:p>
        </w:tc>
        <w:tc>
          <w:tcPr>
            <w:tcW w:w="3217" w:type="dxa"/>
          </w:tcPr>
          <w:p w14:paraId="03778F25"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1q22</w:t>
            </w:r>
          </w:p>
        </w:tc>
      </w:tr>
      <w:tr w:rsidR="00BE0B19" w:rsidRPr="00AE47C6" w14:paraId="5915F24C" w14:textId="77777777" w:rsidTr="00AD72E5">
        <w:tc>
          <w:tcPr>
            <w:tcW w:w="3238" w:type="dxa"/>
          </w:tcPr>
          <w:p w14:paraId="55A4A876"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CMT2J</w:t>
            </w:r>
          </w:p>
        </w:tc>
        <w:tc>
          <w:tcPr>
            <w:tcW w:w="3219" w:type="dxa"/>
          </w:tcPr>
          <w:p w14:paraId="28DFABE8"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P0/MPZ</w:t>
            </w:r>
          </w:p>
        </w:tc>
        <w:tc>
          <w:tcPr>
            <w:tcW w:w="3217" w:type="dxa"/>
          </w:tcPr>
          <w:p w14:paraId="27D2B27B"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1q22</w:t>
            </w:r>
          </w:p>
        </w:tc>
      </w:tr>
      <w:tr w:rsidR="00BE0B19" w:rsidRPr="00AE47C6" w14:paraId="3FB0B1FD" w14:textId="77777777" w:rsidTr="00AD72E5">
        <w:tc>
          <w:tcPr>
            <w:tcW w:w="3238" w:type="dxa"/>
          </w:tcPr>
          <w:p w14:paraId="39FD30BD"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CMT2K</w:t>
            </w:r>
          </w:p>
        </w:tc>
        <w:tc>
          <w:tcPr>
            <w:tcW w:w="3219" w:type="dxa"/>
          </w:tcPr>
          <w:p w14:paraId="4143A86A"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GDAP1</w:t>
            </w:r>
          </w:p>
        </w:tc>
        <w:tc>
          <w:tcPr>
            <w:tcW w:w="3217" w:type="dxa"/>
          </w:tcPr>
          <w:p w14:paraId="5BA0B79C"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8q21</w:t>
            </w:r>
          </w:p>
        </w:tc>
      </w:tr>
      <w:tr w:rsidR="00BE0B19" w:rsidRPr="00AE47C6" w14:paraId="3AFE690C" w14:textId="77777777" w:rsidTr="00AD72E5">
        <w:tc>
          <w:tcPr>
            <w:tcW w:w="3238" w:type="dxa"/>
          </w:tcPr>
          <w:p w14:paraId="78A91A56"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CMT2L</w:t>
            </w:r>
          </w:p>
        </w:tc>
        <w:tc>
          <w:tcPr>
            <w:tcW w:w="3219" w:type="dxa"/>
          </w:tcPr>
          <w:p w14:paraId="0A6456DF"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HSPB8</w:t>
            </w:r>
          </w:p>
        </w:tc>
        <w:tc>
          <w:tcPr>
            <w:tcW w:w="3217" w:type="dxa"/>
          </w:tcPr>
          <w:p w14:paraId="466565C7"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12q24</w:t>
            </w:r>
          </w:p>
        </w:tc>
      </w:tr>
      <w:tr w:rsidR="00BE0B19" w:rsidRPr="00AE47C6" w14:paraId="249CC921" w14:textId="77777777" w:rsidTr="00AD72E5">
        <w:tc>
          <w:tcPr>
            <w:tcW w:w="3238" w:type="dxa"/>
          </w:tcPr>
          <w:p w14:paraId="4D10BE76"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CMT2M</w:t>
            </w:r>
          </w:p>
        </w:tc>
        <w:tc>
          <w:tcPr>
            <w:tcW w:w="3219" w:type="dxa"/>
          </w:tcPr>
          <w:p w14:paraId="16678B30" w14:textId="77777777" w:rsidR="00BE0B19" w:rsidRPr="00AE47C6" w:rsidDel="00484323"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DNM2</w:t>
            </w:r>
          </w:p>
        </w:tc>
        <w:tc>
          <w:tcPr>
            <w:tcW w:w="3217" w:type="dxa"/>
          </w:tcPr>
          <w:p w14:paraId="1D536D82"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19p13</w:t>
            </w:r>
          </w:p>
        </w:tc>
      </w:tr>
      <w:tr w:rsidR="00BE0B19" w:rsidRPr="00AE47C6" w14:paraId="471CC0A9" w14:textId="77777777" w:rsidTr="00AD72E5">
        <w:tc>
          <w:tcPr>
            <w:tcW w:w="3238" w:type="dxa"/>
          </w:tcPr>
          <w:p w14:paraId="2DDCB39B"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CMT2N</w:t>
            </w:r>
          </w:p>
        </w:tc>
        <w:tc>
          <w:tcPr>
            <w:tcW w:w="3219" w:type="dxa"/>
          </w:tcPr>
          <w:p w14:paraId="06E31921" w14:textId="77777777" w:rsidR="00BE0B19" w:rsidRPr="00AE47C6" w:rsidDel="00484323"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AARS</w:t>
            </w:r>
          </w:p>
        </w:tc>
        <w:tc>
          <w:tcPr>
            <w:tcW w:w="3217" w:type="dxa"/>
          </w:tcPr>
          <w:p w14:paraId="5147B5F8"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16q22</w:t>
            </w:r>
          </w:p>
        </w:tc>
      </w:tr>
      <w:tr w:rsidR="00BE0B19" w:rsidRPr="00AE47C6" w14:paraId="459D4ADC" w14:textId="77777777" w:rsidTr="00AD72E5">
        <w:tc>
          <w:tcPr>
            <w:tcW w:w="3238" w:type="dxa"/>
          </w:tcPr>
          <w:p w14:paraId="3517FDDE"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CMT2O</w:t>
            </w:r>
          </w:p>
        </w:tc>
        <w:tc>
          <w:tcPr>
            <w:tcW w:w="3219" w:type="dxa"/>
          </w:tcPr>
          <w:p w14:paraId="74730BC1" w14:textId="77777777" w:rsidR="00BE0B19" w:rsidRPr="00AE47C6" w:rsidDel="00484323"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DYNC1H1</w:t>
            </w:r>
          </w:p>
        </w:tc>
        <w:tc>
          <w:tcPr>
            <w:tcW w:w="3217" w:type="dxa"/>
          </w:tcPr>
          <w:p w14:paraId="7C96F0B5"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14q32</w:t>
            </w:r>
          </w:p>
        </w:tc>
      </w:tr>
      <w:tr w:rsidR="00BE0B19" w:rsidRPr="00AE47C6" w14:paraId="72A143D3" w14:textId="77777777" w:rsidTr="00AD72E5">
        <w:tc>
          <w:tcPr>
            <w:tcW w:w="3238" w:type="dxa"/>
          </w:tcPr>
          <w:p w14:paraId="3E4DC48C"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CMT2P</w:t>
            </w:r>
          </w:p>
        </w:tc>
        <w:tc>
          <w:tcPr>
            <w:tcW w:w="3219" w:type="dxa"/>
          </w:tcPr>
          <w:p w14:paraId="4879F48B" w14:textId="77777777" w:rsidR="00BE0B19" w:rsidRPr="00AE47C6" w:rsidDel="00484323"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LRSAM1</w:t>
            </w:r>
          </w:p>
        </w:tc>
        <w:tc>
          <w:tcPr>
            <w:tcW w:w="3217" w:type="dxa"/>
          </w:tcPr>
          <w:p w14:paraId="09A74F7E"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9q33</w:t>
            </w:r>
          </w:p>
        </w:tc>
      </w:tr>
      <w:tr w:rsidR="00BE0B19" w:rsidRPr="00AE47C6" w14:paraId="2946D212" w14:textId="77777777" w:rsidTr="00AD72E5">
        <w:tc>
          <w:tcPr>
            <w:tcW w:w="3238" w:type="dxa"/>
          </w:tcPr>
          <w:p w14:paraId="2FB3F88E"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DSS/HMSN3/CMT3</w:t>
            </w:r>
          </w:p>
        </w:tc>
        <w:tc>
          <w:tcPr>
            <w:tcW w:w="3219" w:type="dxa"/>
          </w:tcPr>
          <w:p w14:paraId="26531FA7"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pacing w:val="-12"/>
                <w:sz w:val="24"/>
                <w:szCs w:val="24"/>
                <w:lang w:eastAsia="zh-CN"/>
              </w:rPr>
            </w:pPr>
            <w:r w:rsidRPr="00AE47C6">
              <w:rPr>
                <w:rFonts w:ascii="Times New Roman" w:eastAsia="Calibri" w:hAnsi="Times New Roman"/>
                <w:spacing w:val="-12"/>
                <w:sz w:val="24"/>
                <w:szCs w:val="24"/>
                <w:lang w:eastAsia="zh-CN"/>
              </w:rPr>
              <w:t>PMP22, EGR2, P0/MPZ, PRX</w:t>
            </w:r>
          </w:p>
        </w:tc>
        <w:tc>
          <w:tcPr>
            <w:tcW w:w="3217" w:type="dxa"/>
          </w:tcPr>
          <w:p w14:paraId="5DF208C2"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p>
        </w:tc>
      </w:tr>
      <w:tr w:rsidR="00BE0B19" w:rsidRPr="00AE47C6" w14:paraId="565AFEC1" w14:textId="77777777" w:rsidTr="00AD72E5">
        <w:tc>
          <w:tcPr>
            <w:tcW w:w="3238" w:type="dxa"/>
          </w:tcPr>
          <w:p w14:paraId="1CF5BCFB"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CHN</w:t>
            </w:r>
          </w:p>
        </w:tc>
        <w:tc>
          <w:tcPr>
            <w:tcW w:w="3219" w:type="dxa"/>
          </w:tcPr>
          <w:p w14:paraId="1A5FA4C1"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PMP22, EGR2, P0/MPZ</w:t>
            </w:r>
          </w:p>
        </w:tc>
        <w:tc>
          <w:tcPr>
            <w:tcW w:w="3217" w:type="dxa"/>
          </w:tcPr>
          <w:p w14:paraId="62404319"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p>
        </w:tc>
      </w:tr>
      <w:tr w:rsidR="00BE0B19" w:rsidRPr="00AE47C6" w14:paraId="6B03954D" w14:textId="77777777" w:rsidTr="00AD72E5">
        <w:tc>
          <w:tcPr>
            <w:tcW w:w="3238" w:type="dxa"/>
          </w:tcPr>
          <w:p w14:paraId="7BEC28CC"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CMT4A</w:t>
            </w:r>
          </w:p>
        </w:tc>
        <w:tc>
          <w:tcPr>
            <w:tcW w:w="3219" w:type="dxa"/>
          </w:tcPr>
          <w:p w14:paraId="2DE60F86"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GDAP1</w:t>
            </w:r>
          </w:p>
        </w:tc>
        <w:tc>
          <w:tcPr>
            <w:tcW w:w="3217" w:type="dxa"/>
          </w:tcPr>
          <w:p w14:paraId="6DEE536E"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8q13-21.1</w:t>
            </w:r>
          </w:p>
        </w:tc>
      </w:tr>
      <w:tr w:rsidR="00BE0B19" w:rsidRPr="00AE47C6" w14:paraId="09D5D106" w14:textId="77777777" w:rsidTr="00AD72E5">
        <w:tc>
          <w:tcPr>
            <w:tcW w:w="3238" w:type="dxa"/>
          </w:tcPr>
          <w:p w14:paraId="03838C02"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CMT4B1</w:t>
            </w:r>
          </w:p>
        </w:tc>
        <w:tc>
          <w:tcPr>
            <w:tcW w:w="3219" w:type="dxa"/>
          </w:tcPr>
          <w:p w14:paraId="689EE4E4"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MTMR2</w:t>
            </w:r>
          </w:p>
        </w:tc>
        <w:tc>
          <w:tcPr>
            <w:tcW w:w="3217" w:type="dxa"/>
          </w:tcPr>
          <w:p w14:paraId="32BFF990"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11q23</w:t>
            </w:r>
          </w:p>
        </w:tc>
      </w:tr>
      <w:tr w:rsidR="00BE0B19" w:rsidRPr="00AE47C6" w14:paraId="12ABDB65" w14:textId="77777777" w:rsidTr="00AD72E5">
        <w:tc>
          <w:tcPr>
            <w:tcW w:w="3238" w:type="dxa"/>
          </w:tcPr>
          <w:p w14:paraId="6AC08022"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CMT4B2</w:t>
            </w:r>
          </w:p>
        </w:tc>
        <w:tc>
          <w:tcPr>
            <w:tcW w:w="3219" w:type="dxa"/>
          </w:tcPr>
          <w:p w14:paraId="760097F4"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SBF2</w:t>
            </w:r>
          </w:p>
        </w:tc>
        <w:tc>
          <w:tcPr>
            <w:tcW w:w="3217" w:type="dxa"/>
          </w:tcPr>
          <w:p w14:paraId="0FD2524C"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11p15</w:t>
            </w:r>
          </w:p>
        </w:tc>
      </w:tr>
      <w:tr w:rsidR="00BE0B19" w:rsidRPr="00AE47C6" w14:paraId="4C36FB9D" w14:textId="77777777" w:rsidTr="00AD72E5">
        <w:tc>
          <w:tcPr>
            <w:tcW w:w="3238" w:type="dxa"/>
          </w:tcPr>
          <w:p w14:paraId="660C647E"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CMT4C</w:t>
            </w:r>
          </w:p>
        </w:tc>
        <w:tc>
          <w:tcPr>
            <w:tcW w:w="3219" w:type="dxa"/>
          </w:tcPr>
          <w:p w14:paraId="04781576"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SH3/TPR domain протеин с неизвестна функция</w:t>
            </w:r>
          </w:p>
        </w:tc>
        <w:tc>
          <w:tcPr>
            <w:tcW w:w="3217" w:type="dxa"/>
          </w:tcPr>
          <w:p w14:paraId="0DDC019F"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5q32</w:t>
            </w:r>
          </w:p>
        </w:tc>
      </w:tr>
      <w:tr w:rsidR="00BE0B19" w:rsidRPr="00AE47C6" w14:paraId="61228A7F" w14:textId="77777777" w:rsidTr="00AD72E5">
        <w:tc>
          <w:tcPr>
            <w:tcW w:w="3238" w:type="dxa"/>
          </w:tcPr>
          <w:p w14:paraId="745FA17B"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CMT4D (Lom)</w:t>
            </w:r>
          </w:p>
        </w:tc>
        <w:tc>
          <w:tcPr>
            <w:tcW w:w="3219" w:type="dxa"/>
          </w:tcPr>
          <w:p w14:paraId="13C2D7A9"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N-myc downstream-regulated gene 1 (NDRG1)</w:t>
            </w:r>
          </w:p>
        </w:tc>
        <w:tc>
          <w:tcPr>
            <w:tcW w:w="3217" w:type="dxa"/>
          </w:tcPr>
          <w:p w14:paraId="34D81821"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8q24.3</w:t>
            </w:r>
          </w:p>
        </w:tc>
      </w:tr>
      <w:tr w:rsidR="00BE0B19" w:rsidRPr="00AE47C6" w14:paraId="62F71AB1" w14:textId="77777777" w:rsidTr="00AD72E5">
        <w:tc>
          <w:tcPr>
            <w:tcW w:w="3238" w:type="dxa"/>
          </w:tcPr>
          <w:p w14:paraId="0528022E"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CMT4E</w:t>
            </w:r>
          </w:p>
        </w:tc>
        <w:tc>
          <w:tcPr>
            <w:tcW w:w="3219" w:type="dxa"/>
          </w:tcPr>
          <w:p w14:paraId="6AE86298"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EGR2</w:t>
            </w:r>
          </w:p>
        </w:tc>
        <w:tc>
          <w:tcPr>
            <w:tcW w:w="3217" w:type="dxa"/>
          </w:tcPr>
          <w:p w14:paraId="701B50C9"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10q21</w:t>
            </w:r>
          </w:p>
        </w:tc>
      </w:tr>
      <w:tr w:rsidR="00BE0B19" w:rsidRPr="00AE47C6" w14:paraId="26E79855" w14:textId="77777777" w:rsidTr="00AD72E5">
        <w:tc>
          <w:tcPr>
            <w:tcW w:w="3238" w:type="dxa"/>
          </w:tcPr>
          <w:p w14:paraId="3CC7D2E4"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CMT4F</w:t>
            </w:r>
          </w:p>
        </w:tc>
        <w:tc>
          <w:tcPr>
            <w:tcW w:w="3219" w:type="dxa"/>
          </w:tcPr>
          <w:p w14:paraId="58F23F75"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PRX</w:t>
            </w:r>
          </w:p>
        </w:tc>
        <w:tc>
          <w:tcPr>
            <w:tcW w:w="3217" w:type="dxa"/>
          </w:tcPr>
          <w:p w14:paraId="6079420B"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19q13.1-q13.3</w:t>
            </w:r>
          </w:p>
        </w:tc>
      </w:tr>
      <w:tr w:rsidR="00BE0B19" w:rsidRPr="00AE47C6" w14:paraId="44CA4797" w14:textId="77777777" w:rsidTr="00AD72E5">
        <w:tc>
          <w:tcPr>
            <w:tcW w:w="3238" w:type="dxa"/>
          </w:tcPr>
          <w:p w14:paraId="1DCBC3C8"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CMT4-Russe (4G)</w:t>
            </w:r>
          </w:p>
        </w:tc>
        <w:tc>
          <w:tcPr>
            <w:tcW w:w="3219" w:type="dxa"/>
          </w:tcPr>
          <w:p w14:paraId="2D228D66"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HK1</w:t>
            </w:r>
          </w:p>
        </w:tc>
        <w:tc>
          <w:tcPr>
            <w:tcW w:w="3217" w:type="dxa"/>
          </w:tcPr>
          <w:p w14:paraId="21974F4F"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10q22</w:t>
            </w:r>
          </w:p>
        </w:tc>
      </w:tr>
      <w:tr w:rsidR="00BE0B19" w:rsidRPr="00AE47C6" w14:paraId="7622C59E" w14:textId="77777777" w:rsidTr="00AD72E5">
        <w:tc>
          <w:tcPr>
            <w:tcW w:w="3238" w:type="dxa"/>
          </w:tcPr>
          <w:p w14:paraId="1F29470C"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 xml:space="preserve">CMT4H </w:t>
            </w:r>
          </w:p>
          <w:p w14:paraId="0D974D03"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HMN VII</w:t>
            </w:r>
          </w:p>
        </w:tc>
        <w:tc>
          <w:tcPr>
            <w:tcW w:w="3219" w:type="dxa"/>
          </w:tcPr>
          <w:p w14:paraId="007221AB"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Frabin (FGD4)</w:t>
            </w:r>
          </w:p>
          <w:p w14:paraId="35824BBA"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w:t>
            </w:r>
          </w:p>
        </w:tc>
        <w:tc>
          <w:tcPr>
            <w:tcW w:w="3217" w:type="dxa"/>
          </w:tcPr>
          <w:p w14:paraId="629FF7A9"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12p11.21-q13.11</w:t>
            </w:r>
          </w:p>
          <w:p w14:paraId="2DECF293"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2q14</w:t>
            </w:r>
          </w:p>
        </w:tc>
      </w:tr>
      <w:tr w:rsidR="00BE0B19" w:rsidRPr="00AE47C6" w14:paraId="66697F87" w14:textId="77777777" w:rsidTr="00AD72E5">
        <w:tc>
          <w:tcPr>
            <w:tcW w:w="3238" w:type="dxa"/>
          </w:tcPr>
          <w:p w14:paraId="2F0444E5"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HSN IA</w:t>
            </w:r>
          </w:p>
        </w:tc>
        <w:tc>
          <w:tcPr>
            <w:tcW w:w="3219" w:type="dxa"/>
          </w:tcPr>
          <w:p w14:paraId="51D3E0D4"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SPTLC1</w:t>
            </w:r>
          </w:p>
        </w:tc>
        <w:tc>
          <w:tcPr>
            <w:tcW w:w="3217" w:type="dxa"/>
          </w:tcPr>
          <w:p w14:paraId="48650479"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9q22.1-q22.3</w:t>
            </w:r>
          </w:p>
        </w:tc>
      </w:tr>
      <w:tr w:rsidR="00BE0B19" w:rsidRPr="00AE47C6" w14:paraId="17D733AF" w14:textId="77777777" w:rsidTr="00AD72E5">
        <w:tc>
          <w:tcPr>
            <w:tcW w:w="3238" w:type="dxa"/>
          </w:tcPr>
          <w:p w14:paraId="784E5B9F"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HSNII</w:t>
            </w:r>
          </w:p>
        </w:tc>
        <w:tc>
          <w:tcPr>
            <w:tcW w:w="3219" w:type="dxa"/>
          </w:tcPr>
          <w:p w14:paraId="711DCD15"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HSN2</w:t>
            </w:r>
          </w:p>
        </w:tc>
        <w:tc>
          <w:tcPr>
            <w:tcW w:w="3217" w:type="dxa"/>
          </w:tcPr>
          <w:p w14:paraId="1F51953E"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12p13</w:t>
            </w:r>
          </w:p>
        </w:tc>
      </w:tr>
      <w:tr w:rsidR="00BE0B19" w:rsidRPr="00AE47C6" w14:paraId="29D5CF8B" w14:textId="77777777" w:rsidTr="00AD72E5">
        <w:tc>
          <w:tcPr>
            <w:tcW w:w="3238" w:type="dxa"/>
          </w:tcPr>
          <w:p w14:paraId="35E670FB"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HSANIII</w:t>
            </w:r>
          </w:p>
        </w:tc>
        <w:tc>
          <w:tcPr>
            <w:tcW w:w="3219" w:type="dxa"/>
          </w:tcPr>
          <w:p w14:paraId="64890DB2"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IKBKAP</w:t>
            </w:r>
          </w:p>
        </w:tc>
        <w:tc>
          <w:tcPr>
            <w:tcW w:w="3217" w:type="dxa"/>
          </w:tcPr>
          <w:p w14:paraId="78DF4E8F"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9q31</w:t>
            </w:r>
          </w:p>
        </w:tc>
      </w:tr>
      <w:tr w:rsidR="00BE0B19" w:rsidRPr="00AE47C6" w14:paraId="7CF153D3" w14:textId="77777777" w:rsidTr="00AD72E5">
        <w:tc>
          <w:tcPr>
            <w:tcW w:w="3238" w:type="dxa"/>
          </w:tcPr>
          <w:p w14:paraId="0A87CA43"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HSAN IV/CIPA</w:t>
            </w:r>
          </w:p>
        </w:tc>
        <w:tc>
          <w:tcPr>
            <w:tcW w:w="3219" w:type="dxa"/>
          </w:tcPr>
          <w:p w14:paraId="166719C0"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NTRK1, TrkA</w:t>
            </w:r>
          </w:p>
        </w:tc>
        <w:tc>
          <w:tcPr>
            <w:tcW w:w="3217" w:type="dxa"/>
          </w:tcPr>
          <w:p w14:paraId="0C539114"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1q21-q22</w:t>
            </w:r>
          </w:p>
        </w:tc>
      </w:tr>
      <w:tr w:rsidR="00BE0B19" w:rsidRPr="00AE47C6" w14:paraId="36099109" w14:textId="77777777" w:rsidTr="00AD72E5">
        <w:tc>
          <w:tcPr>
            <w:tcW w:w="3238" w:type="dxa"/>
          </w:tcPr>
          <w:p w14:paraId="5129C242"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HMSN-P</w:t>
            </w:r>
          </w:p>
        </w:tc>
        <w:tc>
          <w:tcPr>
            <w:tcW w:w="3219" w:type="dxa"/>
          </w:tcPr>
          <w:p w14:paraId="4A0E3A83"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w:t>
            </w:r>
          </w:p>
        </w:tc>
        <w:tc>
          <w:tcPr>
            <w:tcW w:w="3217" w:type="dxa"/>
          </w:tcPr>
          <w:p w14:paraId="1EE799F2"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3q13.1</w:t>
            </w:r>
          </w:p>
        </w:tc>
      </w:tr>
      <w:tr w:rsidR="00BE0B19" w:rsidRPr="00AE47C6" w14:paraId="4F105137" w14:textId="77777777" w:rsidTr="00AD72E5">
        <w:tc>
          <w:tcPr>
            <w:tcW w:w="3238" w:type="dxa"/>
          </w:tcPr>
          <w:p w14:paraId="280DE1FC"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HMSN-R</w:t>
            </w:r>
          </w:p>
        </w:tc>
        <w:tc>
          <w:tcPr>
            <w:tcW w:w="3219" w:type="dxa"/>
          </w:tcPr>
          <w:p w14:paraId="37A3409D"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w:t>
            </w:r>
          </w:p>
        </w:tc>
        <w:tc>
          <w:tcPr>
            <w:tcW w:w="3217" w:type="dxa"/>
          </w:tcPr>
          <w:p w14:paraId="0CF28621"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10q23.2</w:t>
            </w:r>
          </w:p>
        </w:tc>
      </w:tr>
      <w:tr w:rsidR="00BE0B19" w:rsidRPr="00AE47C6" w14:paraId="49C416C8" w14:textId="77777777" w:rsidTr="00AD72E5">
        <w:tc>
          <w:tcPr>
            <w:tcW w:w="3238" w:type="dxa"/>
          </w:tcPr>
          <w:p w14:paraId="400891C8"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Giant аксонна невропатия</w:t>
            </w:r>
          </w:p>
        </w:tc>
        <w:tc>
          <w:tcPr>
            <w:tcW w:w="3219" w:type="dxa"/>
          </w:tcPr>
          <w:p w14:paraId="23CD8797"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Gigaxonin</w:t>
            </w:r>
          </w:p>
        </w:tc>
        <w:tc>
          <w:tcPr>
            <w:tcW w:w="3217" w:type="dxa"/>
          </w:tcPr>
          <w:p w14:paraId="1ED76ED8" w14:textId="77777777" w:rsidR="00BE0B19" w:rsidRPr="00AE47C6" w:rsidRDefault="00BE0B19" w:rsidP="00BE0B19">
            <w:pPr>
              <w:widowControl w:val="0"/>
              <w:autoSpaceDE w:val="0"/>
              <w:autoSpaceDN w:val="0"/>
              <w:adjustRightInd w:val="0"/>
              <w:spacing w:after="0" w:line="360" w:lineRule="auto"/>
              <w:jc w:val="both"/>
              <w:rPr>
                <w:rFonts w:ascii="Times New Roman" w:eastAsia="Calibri" w:hAnsi="Times New Roman"/>
                <w:sz w:val="24"/>
                <w:szCs w:val="24"/>
                <w:lang w:eastAsia="zh-CN"/>
              </w:rPr>
            </w:pPr>
            <w:r w:rsidRPr="00AE47C6">
              <w:rPr>
                <w:rFonts w:ascii="Times New Roman" w:eastAsia="Calibri" w:hAnsi="Times New Roman"/>
                <w:sz w:val="24"/>
                <w:szCs w:val="24"/>
                <w:lang w:eastAsia="zh-CN"/>
              </w:rPr>
              <w:t>16q21.4</w:t>
            </w:r>
          </w:p>
        </w:tc>
      </w:tr>
    </w:tbl>
    <w:p w14:paraId="02AAC6FC" w14:textId="77777777" w:rsidR="00BE0B19" w:rsidRPr="00AE47C6" w:rsidRDefault="00BE0B19" w:rsidP="00BE0B19">
      <w:pPr>
        <w:spacing w:after="0" w:line="360" w:lineRule="auto"/>
        <w:jc w:val="both"/>
        <w:rPr>
          <w:rFonts w:ascii="Times New Roman" w:eastAsia="SimSun" w:hAnsi="Times New Roman"/>
          <w:sz w:val="24"/>
          <w:szCs w:val="24"/>
        </w:rPr>
      </w:pPr>
    </w:p>
    <w:p w14:paraId="6CA05A3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 xml:space="preserve">Таблица 9.9. </w:t>
      </w:r>
      <w:r w:rsidRPr="00AE47C6">
        <w:rPr>
          <w:rFonts w:ascii="Times New Roman" w:eastAsia="SimSun" w:hAnsi="Times New Roman"/>
          <w:sz w:val="24"/>
          <w:szCs w:val="24"/>
        </w:rPr>
        <w:t>Генетична класификация и клинични особености на НСМН</w:t>
      </w:r>
    </w:p>
    <w:tbl>
      <w:tblPr>
        <w:tblStyle w:val="TableGrid1"/>
        <w:tblW w:w="0" w:type="auto"/>
        <w:tblLayout w:type="fixed"/>
        <w:tblLook w:val="04A0" w:firstRow="1" w:lastRow="0" w:firstColumn="1" w:lastColumn="0" w:noHBand="0" w:noVBand="1"/>
      </w:tblPr>
      <w:tblGrid>
        <w:gridCol w:w="1165"/>
        <w:gridCol w:w="1349"/>
        <w:gridCol w:w="414"/>
        <w:gridCol w:w="421"/>
        <w:gridCol w:w="440"/>
        <w:gridCol w:w="1876"/>
        <w:gridCol w:w="142"/>
        <w:gridCol w:w="1865"/>
        <w:gridCol w:w="1388"/>
      </w:tblGrid>
      <w:tr w:rsidR="00BE0B19" w:rsidRPr="00AE47C6" w14:paraId="40953FED" w14:textId="77777777" w:rsidTr="00AD72E5">
        <w:tc>
          <w:tcPr>
            <w:tcW w:w="1165" w:type="dxa"/>
            <w:vMerge w:val="restart"/>
            <w:hideMark/>
          </w:tcPr>
          <w:p w14:paraId="5EB27B7A" w14:textId="77777777" w:rsidR="00BE0B19" w:rsidRPr="00AE47C6" w:rsidRDefault="00BE0B19" w:rsidP="00BE0B19">
            <w:pPr>
              <w:spacing w:after="0" w:line="360" w:lineRule="auto"/>
              <w:jc w:val="both"/>
              <w:rPr>
                <w:rFonts w:ascii="Times New Roman" w:eastAsia="Times New Roman" w:hAnsi="Times New Roman" w:cs="Times New Roman"/>
                <w:b/>
                <w:bCs/>
                <w:sz w:val="24"/>
                <w:szCs w:val="24"/>
                <w:lang w:eastAsia="bg-BG"/>
              </w:rPr>
            </w:pPr>
            <w:r w:rsidRPr="00AE47C6">
              <w:rPr>
                <w:rFonts w:ascii="Times New Roman" w:eastAsia="Times New Roman" w:hAnsi="Times New Roman" w:cs="Times New Roman"/>
                <w:b/>
                <w:bCs/>
                <w:sz w:val="24"/>
                <w:szCs w:val="24"/>
                <w:lang w:eastAsia="bg-BG"/>
              </w:rPr>
              <w:t>Ген</w:t>
            </w:r>
          </w:p>
        </w:tc>
        <w:tc>
          <w:tcPr>
            <w:tcW w:w="1349" w:type="dxa"/>
            <w:vMerge w:val="restart"/>
            <w:hideMark/>
          </w:tcPr>
          <w:p w14:paraId="0037D369" w14:textId="77777777" w:rsidR="00BE0B19" w:rsidRPr="00AE47C6" w:rsidRDefault="00BE0B19" w:rsidP="00BE0B19">
            <w:pPr>
              <w:spacing w:after="0" w:line="360" w:lineRule="auto"/>
              <w:jc w:val="both"/>
              <w:rPr>
                <w:rFonts w:ascii="Times New Roman" w:eastAsia="Times New Roman" w:hAnsi="Times New Roman" w:cs="Times New Roman"/>
                <w:b/>
                <w:bCs/>
                <w:sz w:val="24"/>
                <w:szCs w:val="24"/>
                <w:lang w:eastAsia="bg-BG"/>
              </w:rPr>
            </w:pPr>
            <w:r w:rsidRPr="00AE47C6">
              <w:rPr>
                <w:rFonts w:ascii="Times New Roman" w:eastAsia="Times New Roman" w:hAnsi="Times New Roman" w:cs="Times New Roman"/>
                <w:b/>
                <w:bCs/>
                <w:sz w:val="24"/>
                <w:szCs w:val="24"/>
                <w:lang w:eastAsia="bg-BG"/>
              </w:rPr>
              <w:t>Начин на унаследяване</w:t>
            </w:r>
          </w:p>
        </w:tc>
        <w:tc>
          <w:tcPr>
            <w:tcW w:w="1275" w:type="dxa"/>
            <w:gridSpan w:val="3"/>
            <w:hideMark/>
          </w:tcPr>
          <w:p w14:paraId="78B61FAF" w14:textId="77777777" w:rsidR="00BE0B19" w:rsidRPr="00AE47C6" w:rsidRDefault="00BE0B19" w:rsidP="00BE0B19">
            <w:pPr>
              <w:spacing w:after="0" w:line="360" w:lineRule="auto"/>
              <w:jc w:val="both"/>
              <w:rPr>
                <w:rFonts w:ascii="Times New Roman" w:eastAsia="Times New Roman" w:hAnsi="Times New Roman" w:cs="Times New Roman"/>
                <w:b/>
                <w:bCs/>
                <w:sz w:val="24"/>
                <w:szCs w:val="24"/>
                <w:lang w:eastAsia="bg-BG"/>
              </w:rPr>
            </w:pPr>
            <w:r w:rsidRPr="00AE47C6">
              <w:rPr>
                <w:rFonts w:ascii="Times New Roman" w:eastAsia="Times New Roman" w:hAnsi="Times New Roman" w:cs="Times New Roman"/>
                <w:b/>
                <w:bCs/>
                <w:sz w:val="24"/>
                <w:szCs w:val="24"/>
                <w:lang w:eastAsia="bg-BG"/>
              </w:rPr>
              <w:t>Тип невропатия</w:t>
            </w:r>
          </w:p>
        </w:tc>
        <w:tc>
          <w:tcPr>
            <w:tcW w:w="1876" w:type="dxa"/>
            <w:vMerge w:val="restart"/>
            <w:hideMark/>
          </w:tcPr>
          <w:p w14:paraId="7DEA73C8" w14:textId="77777777" w:rsidR="00BE0B19" w:rsidRPr="00AE47C6" w:rsidRDefault="00BE0B19" w:rsidP="00BE0B19">
            <w:pPr>
              <w:spacing w:after="0" w:line="360" w:lineRule="auto"/>
              <w:jc w:val="both"/>
              <w:rPr>
                <w:rFonts w:ascii="Times New Roman" w:eastAsia="Times New Roman" w:hAnsi="Times New Roman" w:cs="Times New Roman"/>
                <w:b/>
                <w:bCs/>
                <w:sz w:val="24"/>
                <w:szCs w:val="24"/>
                <w:lang w:eastAsia="bg-BG"/>
              </w:rPr>
            </w:pPr>
            <w:r w:rsidRPr="00AE47C6">
              <w:rPr>
                <w:rFonts w:ascii="Times New Roman" w:eastAsia="Times New Roman" w:hAnsi="Times New Roman" w:cs="Times New Roman"/>
                <w:b/>
                <w:bCs/>
                <w:sz w:val="24"/>
                <w:szCs w:val="24"/>
                <w:lang w:eastAsia="bg-BG"/>
              </w:rPr>
              <w:t>Други фенотипни характеристики</w:t>
            </w:r>
          </w:p>
        </w:tc>
        <w:tc>
          <w:tcPr>
            <w:tcW w:w="2007" w:type="dxa"/>
            <w:gridSpan w:val="2"/>
            <w:vMerge w:val="restart"/>
            <w:hideMark/>
          </w:tcPr>
          <w:p w14:paraId="2668CDF2" w14:textId="77777777" w:rsidR="00BE0B19" w:rsidRPr="00AE47C6" w:rsidRDefault="00BE0B19" w:rsidP="00BE0B19">
            <w:pPr>
              <w:spacing w:after="0" w:line="360" w:lineRule="auto"/>
              <w:jc w:val="both"/>
              <w:rPr>
                <w:rFonts w:ascii="Times New Roman" w:eastAsia="Times New Roman" w:hAnsi="Times New Roman" w:cs="Times New Roman"/>
                <w:b/>
                <w:bCs/>
                <w:sz w:val="24"/>
                <w:szCs w:val="24"/>
                <w:lang w:eastAsia="bg-BG"/>
              </w:rPr>
            </w:pPr>
            <w:r w:rsidRPr="00AE47C6">
              <w:rPr>
                <w:rFonts w:ascii="Times New Roman" w:eastAsia="Times New Roman" w:hAnsi="Times New Roman" w:cs="Times New Roman"/>
                <w:b/>
                <w:bCs/>
                <w:sz w:val="24"/>
                <w:szCs w:val="24"/>
                <w:lang w:eastAsia="bg-BG"/>
              </w:rPr>
              <w:t>OMIM</w:t>
            </w:r>
          </w:p>
        </w:tc>
        <w:tc>
          <w:tcPr>
            <w:tcW w:w="1388" w:type="dxa"/>
            <w:vMerge w:val="restart"/>
            <w:hideMark/>
          </w:tcPr>
          <w:p w14:paraId="1DB1945C" w14:textId="77777777" w:rsidR="00BE0B19" w:rsidRPr="00AE47C6" w:rsidRDefault="00BE0B19" w:rsidP="00BE0B19">
            <w:pPr>
              <w:spacing w:after="0" w:line="360" w:lineRule="auto"/>
              <w:jc w:val="both"/>
              <w:rPr>
                <w:rFonts w:ascii="Times New Roman" w:eastAsia="Times New Roman" w:hAnsi="Times New Roman" w:cs="Times New Roman"/>
                <w:b/>
                <w:bCs/>
                <w:sz w:val="24"/>
                <w:szCs w:val="24"/>
                <w:lang w:eastAsia="bg-BG"/>
              </w:rPr>
            </w:pPr>
            <w:r w:rsidRPr="00AE47C6">
              <w:rPr>
                <w:rFonts w:ascii="Times New Roman" w:eastAsia="Times New Roman" w:hAnsi="Times New Roman" w:cs="Times New Roman"/>
                <w:b/>
                <w:bCs/>
                <w:sz w:val="24"/>
                <w:szCs w:val="24"/>
                <w:lang w:eastAsia="bg-BG"/>
              </w:rPr>
              <w:t>Друго наименования</w:t>
            </w:r>
          </w:p>
        </w:tc>
      </w:tr>
      <w:tr w:rsidR="00BE0B19" w:rsidRPr="00AE47C6" w14:paraId="2FC312AC" w14:textId="77777777" w:rsidTr="00AD72E5">
        <w:tc>
          <w:tcPr>
            <w:tcW w:w="1165" w:type="dxa"/>
            <w:vMerge/>
            <w:hideMark/>
          </w:tcPr>
          <w:p w14:paraId="38C22AE9" w14:textId="77777777" w:rsidR="00BE0B19" w:rsidRPr="00AE47C6" w:rsidRDefault="00BE0B19" w:rsidP="00BE0B19">
            <w:pPr>
              <w:spacing w:after="0" w:line="360" w:lineRule="auto"/>
              <w:jc w:val="both"/>
              <w:rPr>
                <w:rFonts w:ascii="Times New Roman" w:eastAsia="Times New Roman" w:hAnsi="Times New Roman" w:cs="Times New Roman"/>
                <w:b/>
                <w:bCs/>
                <w:sz w:val="24"/>
                <w:szCs w:val="24"/>
                <w:lang w:eastAsia="bg-BG"/>
              </w:rPr>
            </w:pPr>
          </w:p>
        </w:tc>
        <w:tc>
          <w:tcPr>
            <w:tcW w:w="1349" w:type="dxa"/>
            <w:vMerge/>
            <w:hideMark/>
          </w:tcPr>
          <w:p w14:paraId="0BF4EEE2" w14:textId="77777777" w:rsidR="00BE0B19" w:rsidRPr="00AE47C6" w:rsidRDefault="00BE0B19" w:rsidP="00BE0B19">
            <w:pPr>
              <w:spacing w:after="0" w:line="360" w:lineRule="auto"/>
              <w:jc w:val="both"/>
              <w:rPr>
                <w:rFonts w:ascii="Times New Roman" w:eastAsia="Times New Roman" w:hAnsi="Times New Roman" w:cs="Times New Roman"/>
                <w:b/>
                <w:bCs/>
                <w:sz w:val="24"/>
                <w:szCs w:val="24"/>
                <w:lang w:eastAsia="bg-BG"/>
              </w:rPr>
            </w:pPr>
          </w:p>
        </w:tc>
        <w:tc>
          <w:tcPr>
            <w:tcW w:w="414" w:type="dxa"/>
            <w:hideMark/>
          </w:tcPr>
          <w:p w14:paraId="4E7D1D75" w14:textId="77777777" w:rsidR="00BE0B19" w:rsidRPr="00AE47C6" w:rsidRDefault="00BE0B19" w:rsidP="00BE0B19">
            <w:pPr>
              <w:spacing w:after="0" w:line="360" w:lineRule="auto"/>
              <w:jc w:val="both"/>
              <w:rPr>
                <w:rFonts w:ascii="Times New Roman" w:eastAsia="Times New Roman" w:hAnsi="Times New Roman" w:cs="Times New Roman"/>
                <w:b/>
                <w:bCs/>
                <w:sz w:val="24"/>
                <w:szCs w:val="24"/>
                <w:lang w:eastAsia="bg-BG"/>
              </w:rPr>
            </w:pPr>
            <w:r w:rsidRPr="00AE47C6">
              <w:rPr>
                <w:rFonts w:ascii="Times New Roman" w:eastAsia="Times New Roman" w:hAnsi="Times New Roman" w:cs="Times New Roman"/>
                <w:b/>
                <w:bCs/>
                <w:sz w:val="24"/>
                <w:szCs w:val="24"/>
                <w:lang w:eastAsia="bg-BG"/>
              </w:rPr>
              <w:t>Ак</w:t>
            </w:r>
          </w:p>
        </w:tc>
        <w:tc>
          <w:tcPr>
            <w:tcW w:w="421" w:type="dxa"/>
            <w:hideMark/>
          </w:tcPr>
          <w:p w14:paraId="30DFE4AD" w14:textId="77777777" w:rsidR="00BE0B19" w:rsidRPr="00AE47C6" w:rsidRDefault="00BE0B19" w:rsidP="00BE0B19">
            <w:pPr>
              <w:spacing w:after="0" w:line="360" w:lineRule="auto"/>
              <w:jc w:val="both"/>
              <w:rPr>
                <w:rFonts w:ascii="Times New Roman" w:eastAsia="Times New Roman" w:hAnsi="Times New Roman" w:cs="Times New Roman"/>
                <w:b/>
                <w:bCs/>
                <w:sz w:val="24"/>
                <w:szCs w:val="24"/>
                <w:lang w:eastAsia="bg-BG"/>
              </w:rPr>
            </w:pPr>
            <w:r w:rsidRPr="00AE47C6">
              <w:rPr>
                <w:rFonts w:ascii="Times New Roman" w:eastAsia="Times New Roman" w:hAnsi="Times New Roman" w:cs="Times New Roman"/>
                <w:b/>
                <w:bCs/>
                <w:sz w:val="24"/>
                <w:szCs w:val="24"/>
                <w:lang w:eastAsia="bg-BG"/>
              </w:rPr>
              <w:t>Де</w:t>
            </w:r>
          </w:p>
        </w:tc>
        <w:tc>
          <w:tcPr>
            <w:tcW w:w="440" w:type="dxa"/>
            <w:hideMark/>
          </w:tcPr>
          <w:p w14:paraId="18548C27" w14:textId="77777777" w:rsidR="00BE0B19" w:rsidRPr="00AE47C6" w:rsidRDefault="00BE0B19" w:rsidP="00BE0B19">
            <w:pPr>
              <w:spacing w:after="0" w:line="360" w:lineRule="auto"/>
              <w:jc w:val="both"/>
              <w:rPr>
                <w:rFonts w:ascii="Times New Roman" w:eastAsia="Times New Roman" w:hAnsi="Times New Roman" w:cs="Times New Roman"/>
                <w:b/>
                <w:bCs/>
                <w:sz w:val="24"/>
                <w:szCs w:val="24"/>
                <w:lang w:eastAsia="bg-BG"/>
              </w:rPr>
            </w:pPr>
            <w:r w:rsidRPr="00AE47C6">
              <w:rPr>
                <w:rFonts w:ascii="Times New Roman" w:eastAsia="Times New Roman" w:hAnsi="Times New Roman" w:cs="Times New Roman"/>
                <w:b/>
                <w:bCs/>
                <w:sz w:val="24"/>
                <w:szCs w:val="24"/>
                <w:lang w:eastAsia="bg-BG"/>
              </w:rPr>
              <w:t>Ме</w:t>
            </w:r>
          </w:p>
        </w:tc>
        <w:tc>
          <w:tcPr>
            <w:tcW w:w="1876" w:type="dxa"/>
            <w:vMerge/>
            <w:hideMark/>
          </w:tcPr>
          <w:p w14:paraId="7E917CB2" w14:textId="77777777" w:rsidR="00BE0B19" w:rsidRPr="00AE47C6" w:rsidRDefault="00BE0B19" w:rsidP="00BE0B19">
            <w:pPr>
              <w:spacing w:after="0" w:line="360" w:lineRule="auto"/>
              <w:jc w:val="both"/>
              <w:rPr>
                <w:rFonts w:ascii="Times New Roman" w:eastAsia="Times New Roman" w:hAnsi="Times New Roman" w:cs="Times New Roman"/>
                <w:b/>
                <w:bCs/>
                <w:sz w:val="24"/>
                <w:szCs w:val="24"/>
                <w:lang w:eastAsia="bg-BG"/>
              </w:rPr>
            </w:pPr>
          </w:p>
        </w:tc>
        <w:tc>
          <w:tcPr>
            <w:tcW w:w="2007" w:type="dxa"/>
            <w:gridSpan w:val="2"/>
            <w:vMerge/>
            <w:hideMark/>
          </w:tcPr>
          <w:p w14:paraId="2E69B246" w14:textId="77777777" w:rsidR="00BE0B19" w:rsidRPr="00AE47C6" w:rsidRDefault="00BE0B19" w:rsidP="00BE0B19">
            <w:pPr>
              <w:spacing w:after="0" w:line="360" w:lineRule="auto"/>
              <w:jc w:val="both"/>
              <w:rPr>
                <w:rFonts w:ascii="Times New Roman" w:eastAsia="Times New Roman" w:hAnsi="Times New Roman" w:cs="Times New Roman"/>
                <w:b/>
                <w:bCs/>
                <w:sz w:val="24"/>
                <w:szCs w:val="24"/>
                <w:lang w:eastAsia="bg-BG"/>
              </w:rPr>
            </w:pPr>
          </w:p>
        </w:tc>
        <w:tc>
          <w:tcPr>
            <w:tcW w:w="1388" w:type="dxa"/>
            <w:vMerge/>
            <w:hideMark/>
          </w:tcPr>
          <w:p w14:paraId="27E8F9C7" w14:textId="77777777" w:rsidR="00BE0B19" w:rsidRPr="00AE47C6" w:rsidRDefault="00BE0B19" w:rsidP="00BE0B19">
            <w:pPr>
              <w:spacing w:after="0" w:line="360" w:lineRule="auto"/>
              <w:jc w:val="both"/>
              <w:rPr>
                <w:rFonts w:ascii="Times New Roman" w:eastAsia="Times New Roman" w:hAnsi="Times New Roman" w:cs="Times New Roman"/>
                <w:b/>
                <w:bCs/>
                <w:sz w:val="24"/>
                <w:szCs w:val="24"/>
                <w:lang w:eastAsia="bg-BG"/>
              </w:rPr>
            </w:pPr>
          </w:p>
        </w:tc>
      </w:tr>
      <w:tr w:rsidR="00BE0B19" w:rsidRPr="00AE47C6" w14:paraId="24C7D5AC" w14:textId="77777777" w:rsidTr="00AD72E5">
        <w:tc>
          <w:tcPr>
            <w:tcW w:w="9060" w:type="dxa"/>
            <w:gridSpan w:val="9"/>
            <w:hideMark/>
          </w:tcPr>
          <w:p w14:paraId="69B01FF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b/>
                <w:bCs/>
                <w:sz w:val="24"/>
                <w:szCs w:val="24"/>
                <w:lang w:eastAsia="bg-BG"/>
              </w:rPr>
              <w:t>Най-чести гени</w:t>
            </w:r>
          </w:p>
        </w:tc>
      </w:tr>
      <w:tr w:rsidR="00BE0B19" w:rsidRPr="00AE47C6" w14:paraId="42AB7508" w14:textId="77777777" w:rsidTr="00AD72E5">
        <w:tc>
          <w:tcPr>
            <w:tcW w:w="1165" w:type="dxa"/>
            <w:vMerge w:val="restart"/>
            <w:hideMark/>
          </w:tcPr>
          <w:p w14:paraId="215CFA2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GDAP1</w:t>
            </w:r>
          </w:p>
        </w:tc>
        <w:tc>
          <w:tcPr>
            <w:tcW w:w="1349" w:type="dxa"/>
            <w:hideMark/>
          </w:tcPr>
          <w:p w14:paraId="06F4AB3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414" w:type="dxa"/>
            <w:hideMark/>
          </w:tcPr>
          <w:p w14:paraId="735A288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64D206C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685A050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18" w:type="dxa"/>
            <w:gridSpan w:val="2"/>
            <w:hideMark/>
          </w:tcPr>
          <w:p w14:paraId="60800BD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Пареза на гласните връзки</w:t>
            </w:r>
          </w:p>
        </w:tc>
        <w:tc>
          <w:tcPr>
            <w:tcW w:w="1865" w:type="dxa"/>
            <w:vMerge w:val="restart"/>
            <w:hideMark/>
          </w:tcPr>
          <w:p w14:paraId="2B528A8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 xml:space="preserve">GDAP1-свързана наследствена моторна и сензорна невропатия </w:t>
            </w:r>
          </w:p>
        </w:tc>
        <w:tc>
          <w:tcPr>
            <w:tcW w:w="1388" w:type="dxa"/>
            <w:hideMark/>
          </w:tcPr>
          <w:p w14:paraId="18990D9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CMT2K</w:t>
            </w:r>
          </w:p>
        </w:tc>
      </w:tr>
      <w:tr w:rsidR="00BE0B19" w:rsidRPr="00AE47C6" w14:paraId="65AFBD94" w14:textId="77777777" w:rsidTr="00AD72E5">
        <w:tc>
          <w:tcPr>
            <w:tcW w:w="1165" w:type="dxa"/>
            <w:vMerge/>
            <w:hideMark/>
          </w:tcPr>
          <w:p w14:paraId="46B5949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349" w:type="dxa"/>
            <w:hideMark/>
          </w:tcPr>
          <w:p w14:paraId="3F113E4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414" w:type="dxa"/>
            <w:hideMark/>
          </w:tcPr>
          <w:p w14:paraId="138F7EE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0303BAC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40" w:type="dxa"/>
            <w:hideMark/>
          </w:tcPr>
          <w:p w14:paraId="41216F3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2018" w:type="dxa"/>
            <w:gridSpan w:val="2"/>
            <w:hideMark/>
          </w:tcPr>
          <w:p w14:paraId="3AB43B5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65" w:type="dxa"/>
            <w:vMerge/>
            <w:hideMark/>
          </w:tcPr>
          <w:p w14:paraId="2F5474F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388" w:type="dxa"/>
            <w:hideMark/>
          </w:tcPr>
          <w:p w14:paraId="5617AF5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CMT4A</w:t>
            </w:r>
            <w:r w:rsidRPr="00AE47C6">
              <w:rPr>
                <w:rFonts w:ascii="Times New Roman" w:eastAsia="Times New Roman" w:hAnsi="Times New Roman" w:cs="Times New Roman"/>
                <w:sz w:val="24"/>
                <w:szCs w:val="24"/>
                <w:lang w:eastAsia="bg-BG"/>
              </w:rPr>
              <w:br/>
              <w:t>CMT2H</w:t>
            </w:r>
            <w:r w:rsidRPr="00AE47C6">
              <w:rPr>
                <w:rFonts w:ascii="Times New Roman" w:eastAsia="Times New Roman" w:hAnsi="Times New Roman" w:cs="Times New Roman"/>
                <w:sz w:val="24"/>
                <w:szCs w:val="24"/>
                <w:lang w:eastAsia="bg-BG"/>
              </w:rPr>
              <w:br/>
              <w:t>CMT2K</w:t>
            </w:r>
            <w:r w:rsidRPr="00AE47C6">
              <w:rPr>
                <w:rFonts w:ascii="Times New Roman" w:eastAsia="Times New Roman" w:hAnsi="Times New Roman" w:cs="Times New Roman"/>
                <w:sz w:val="24"/>
                <w:szCs w:val="24"/>
                <w:lang w:eastAsia="bg-BG"/>
              </w:rPr>
              <w:br/>
              <w:t>CMTRIA</w:t>
            </w:r>
          </w:p>
        </w:tc>
      </w:tr>
      <w:tr w:rsidR="00BE0B19" w:rsidRPr="00AE47C6" w14:paraId="47A11DFB" w14:textId="77777777" w:rsidTr="00AD72E5">
        <w:tc>
          <w:tcPr>
            <w:tcW w:w="1165" w:type="dxa"/>
            <w:vMerge/>
            <w:hideMark/>
          </w:tcPr>
          <w:p w14:paraId="2208D07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349" w:type="dxa"/>
            <w:hideMark/>
          </w:tcPr>
          <w:p w14:paraId="4731A50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AД, AР</w:t>
            </w:r>
          </w:p>
        </w:tc>
        <w:tc>
          <w:tcPr>
            <w:tcW w:w="414" w:type="dxa"/>
            <w:hideMark/>
          </w:tcPr>
          <w:p w14:paraId="5694711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17C3ECC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5260661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18" w:type="dxa"/>
            <w:gridSpan w:val="2"/>
            <w:hideMark/>
          </w:tcPr>
          <w:p w14:paraId="57385BB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65" w:type="dxa"/>
            <w:hideMark/>
          </w:tcPr>
          <w:p w14:paraId="2824390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607831</w:t>
            </w:r>
          </w:p>
        </w:tc>
        <w:tc>
          <w:tcPr>
            <w:tcW w:w="1388" w:type="dxa"/>
            <w:hideMark/>
          </w:tcPr>
          <w:p w14:paraId="10AC937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1FDA3162" w14:textId="77777777" w:rsidTr="00AD72E5">
        <w:tc>
          <w:tcPr>
            <w:tcW w:w="1165" w:type="dxa"/>
            <w:hideMark/>
          </w:tcPr>
          <w:p w14:paraId="0B080E6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GJB1</w:t>
            </w:r>
          </w:p>
        </w:tc>
        <w:tc>
          <w:tcPr>
            <w:tcW w:w="1349" w:type="dxa"/>
            <w:hideMark/>
          </w:tcPr>
          <w:p w14:paraId="4F1D9F0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X-свързано</w:t>
            </w:r>
          </w:p>
        </w:tc>
        <w:tc>
          <w:tcPr>
            <w:tcW w:w="414" w:type="dxa"/>
            <w:hideMark/>
          </w:tcPr>
          <w:p w14:paraId="3E6A6A9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138812A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6640447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18" w:type="dxa"/>
            <w:gridSpan w:val="2"/>
            <w:hideMark/>
          </w:tcPr>
          <w:p w14:paraId="4A8E909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Жените в някои случаи са еднакво тежко засегнати като мъжете</w:t>
            </w:r>
          </w:p>
        </w:tc>
        <w:tc>
          <w:tcPr>
            <w:tcW w:w="1865" w:type="dxa"/>
            <w:hideMark/>
          </w:tcPr>
          <w:p w14:paraId="5A4E067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 невропатия X тип 1</w:t>
            </w:r>
          </w:p>
        </w:tc>
        <w:tc>
          <w:tcPr>
            <w:tcW w:w="1388" w:type="dxa"/>
            <w:hideMark/>
          </w:tcPr>
          <w:p w14:paraId="7E5BB92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CMTX1</w:t>
            </w:r>
          </w:p>
        </w:tc>
      </w:tr>
      <w:tr w:rsidR="00BE0B19" w:rsidRPr="00AE47C6" w14:paraId="64E5160E" w14:textId="77777777" w:rsidTr="00AD72E5">
        <w:tc>
          <w:tcPr>
            <w:tcW w:w="1165" w:type="dxa"/>
            <w:hideMark/>
          </w:tcPr>
          <w:p w14:paraId="10A542F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HINT1</w:t>
            </w:r>
          </w:p>
        </w:tc>
        <w:tc>
          <w:tcPr>
            <w:tcW w:w="1349" w:type="dxa"/>
            <w:hideMark/>
          </w:tcPr>
          <w:p w14:paraId="2F06A05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414" w:type="dxa"/>
            <w:hideMark/>
          </w:tcPr>
          <w:p w14:paraId="2C424D0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0691BF1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205C9C0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18" w:type="dxa"/>
            <w:gridSpan w:val="2"/>
            <w:hideMark/>
          </w:tcPr>
          <w:p w14:paraId="1BDA03F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Невромиотония</w:t>
            </w:r>
          </w:p>
        </w:tc>
        <w:tc>
          <w:tcPr>
            <w:tcW w:w="1865" w:type="dxa"/>
            <w:hideMark/>
          </w:tcPr>
          <w:p w14:paraId="15D6212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601314</w:t>
            </w:r>
          </w:p>
        </w:tc>
        <w:tc>
          <w:tcPr>
            <w:tcW w:w="1388" w:type="dxa"/>
            <w:hideMark/>
          </w:tcPr>
          <w:p w14:paraId="52C183A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337DFD1F" w14:textId="77777777" w:rsidTr="00AD72E5">
        <w:tc>
          <w:tcPr>
            <w:tcW w:w="1165" w:type="dxa"/>
            <w:hideMark/>
          </w:tcPr>
          <w:p w14:paraId="438BF63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MFN2</w:t>
            </w:r>
          </w:p>
        </w:tc>
        <w:tc>
          <w:tcPr>
            <w:tcW w:w="1349" w:type="dxa"/>
            <w:hideMark/>
          </w:tcPr>
          <w:p w14:paraId="6B729C9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AД, AР</w:t>
            </w:r>
          </w:p>
        </w:tc>
        <w:tc>
          <w:tcPr>
            <w:tcW w:w="414" w:type="dxa"/>
            <w:hideMark/>
          </w:tcPr>
          <w:p w14:paraId="26EE0E3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15A356A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363F166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18" w:type="dxa"/>
            <w:gridSpan w:val="2"/>
            <w:hideMark/>
          </w:tcPr>
          <w:p w14:paraId="2D4A9AC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Оптична атрофия</w:t>
            </w:r>
          </w:p>
        </w:tc>
        <w:tc>
          <w:tcPr>
            <w:tcW w:w="1865" w:type="dxa"/>
            <w:hideMark/>
          </w:tcPr>
          <w:p w14:paraId="22206A5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 невропатия тип 2A</w:t>
            </w:r>
          </w:p>
        </w:tc>
        <w:tc>
          <w:tcPr>
            <w:tcW w:w="1388" w:type="dxa"/>
            <w:hideMark/>
          </w:tcPr>
          <w:p w14:paraId="509D096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CMT2A2</w:t>
            </w:r>
            <w:r w:rsidRPr="00AE47C6">
              <w:rPr>
                <w:rFonts w:ascii="Times New Roman" w:eastAsia="Times New Roman" w:hAnsi="Times New Roman" w:cs="Times New Roman"/>
                <w:sz w:val="24"/>
                <w:szCs w:val="24"/>
                <w:lang w:eastAsia="bg-BG"/>
              </w:rPr>
              <w:br/>
              <w:t>CMT2I/2J</w:t>
            </w:r>
          </w:p>
        </w:tc>
      </w:tr>
      <w:tr w:rsidR="00BE0B19" w:rsidRPr="00AE47C6" w14:paraId="25A0D609" w14:textId="77777777" w:rsidTr="00AD72E5">
        <w:tc>
          <w:tcPr>
            <w:tcW w:w="1165" w:type="dxa"/>
            <w:hideMark/>
          </w:tcPr>
          <w:p w14:paraId="0364662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MPZ</w:t>
            </w:r>
          </w:p>
        </w:tc>
        <w:tc>
          <w:tcPr>
            <w:tcW w:w="1349" w:type="dxa"/>
            <w:hideMark/>
          </w:tcPr>
          <w:p w14:paraId="3DAFC27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AД</w:t>
            </w:r>
          </w:p>
        </w:tc>
        <w:tc>
          <w:tcPr>
            <w:tcW w:w="414" w:type="dxa"/>
            <w:hideMark/>
          </w:tcPr>
          <w:p w14:paraId="1AC4BA2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08256ED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40" w:type="dxa"/>
            <w:hideMark/>
          </w:tcPr>
          <w:p w14:paraId="1F19E25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2018" w:type="dxa"/>
            <w:gridSpan w:val="2"/>
            <w:hideMark/>
          </w:tcPr>
          <w:p w14:paraId="3F0CA18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65" w:type="dxa"/>
            <w:hideMark/>
          </w:tcPr>
          <w:p w14:paraId="629CCEC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118200</w:t>
            </w:r>
          </w:p>
        </w:tc>
        <w:tc>
          <w:tcPr>
            <w:tcW w:w="1388" w:type="dxa"/>
            <w:hideMark/>
          </w:tcPr>
          <w:p w14:paraId="34B52D8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CMT1B</w:t>
            </w:r>
            <w:r w:rsidRPr="00AE47C6">
              <w:rPr>
                <w:rFonts w:ascii="Times New Roman" w:eastAsia="Times New Roman" w:hAnsi="Times New Roman" w:cs="Times New Roman"/>
                <w:sz w:val="24"/>
                <w:szCs w:val="24"/>
                <w:lang w:eastAsia="bg-BG"/>
              </w:rPr>
              <w:br/>
              <w:t>CMT2I/J</w:t>
            </w:r>
            <w:r w:rsidRPr="00AE47C6">
              <w:rPr>
                <w:rFonts w:ascii="Times New Roman" w:eastAsia="Times New Roman" w:hAnsi="Times New Roman" w:cs="Times New Roman"/>
                <w:sz w:val="24"/>
                <w:szCs w:val="24"/>
                <w:lang w:eastAsia="bg-BG"/>
              </w:rPr>
              <w:br/>
              <w:t>DI-CMTD</w:t>
            </w:r>
          </w:p>
        </w:tc>
      </w:tr>
      <w:tr w:rsidR="00BE0B19" w:rsidRPr="00AE47C6" w14:paraId="0DC5C608" w14:textId="77777777" w:rsidTr="00AD72E5">
        <w:tc>
          <w:tcPr>
            <w:tcW w:w="1165" w:type="dxa"/>
            <w:hideMark/>
          </w:tcPr>
          <w:p w14:paraId="263FD50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PMP22</w:t>
            </w:r>
          </w:p>
        </w:tc>
        <w:tc>
          <w:tcPr>
            <w:tcW w:w="1349" w:type="dxa"/>
            <w:hideMark/>
          </w:tcPr>
          <w:p w14:paraId="79DBA15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AД</w:t>
            </w:r>
          </w:p>
        </w:tc>
        <w:tc>
          <w:tcPr>
            <w:tcW w:w="414" w:type="dxa"/>
            <w:hideMark/>
          </w:tcPr>
          <w:p w14:paraId="79C96AD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3F15554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40" w:type="dxa"/>
            <w:hideMark/>
          </w:tcPr>
          <w:p w14:paraId="3074AF0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18" w:type="dxa"/>
            <w:gridSpan w:val="2"/>
            <w:hideMark/>
          </w:tcPr>
          <w:p w14:paraId="076A6DA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65" w:type="dxa"/>
            <w:hideMark/>
          </w:tcPr>
          <w:p w14:paraId="18FDE45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601097</w:t>
            </w:r>
          </w:p>
        </w:tc>
        <w:tc>
          <w:tcPr>
            <w:tcW w:w="1388" w:type="dxa"/>
            <w:hideMark/>
          </w:tcPr>
          <w:p w14:paraId="5F2E497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CMT1A</w:t>
            </w:r>
            <w:r w:rsidRPr="00AE47C6">
              <w:rPr>
                <w:rFonts w:ascii="Times New Roman" w:eastAsia="Times New Roman" w:hAnsi="Times New Roman" w:cs="Times New Roman"/>
                <w:sz w:val="24"/>
                <w:szCs w:val="24"/>
                <w:lang w:eastAsia="bg-BG"/>
              </w:rPr>
              <w:br/>
              <w:t>CMT1E</w:t>
            </w:r>
          </w:p>
        </w:tc>
      </w:tr>
      <w:tr w:rsidR="00BE0B19" w:rsidRPr="00AE47C6" w14:paraId="22361FB9" w14:textId="77777777" w:rsidTr="00AD72E5">
        <w:tc>
          <w:tcPr>
            <w:tcW w:w="1165" w:type="dxa"/>
            <w:hideMark/>
          </w:tcPr>
          <w:p w14:paraId="774AEC4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SH3TC2</w:t>
            </w:r>
          </w:p>
        </w:tc>
        <w:tc>
          <w:tcPr>
            <w:tcW w:w="1349" w:type="dxa"/>
            <w:hideMark/>
          </w:tcPr>
          <w:p w14:paraId="10577C0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414" w:type="dxa"/>
            <w:hideMark/>
          </w:tcPr>
          <w:p w14:paraId="073D9B0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6170C21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3DD1E94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18" w:type="dxa"/>
            <w:gridSpan w:val="2"/>
            <w:hideMark/>
          </w:tcPr>
          <w:p w14:paraId="38F03B1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65" w:type="dxa"/>
            <w:hideMark/>
          </w:tcPr>
          <w:p w14:paraId="7317AE7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 невропатия тип 4C</w:t>
            </w:r>
          </w:p>
        </w:tc>
        <w:tc>
          <w:tcPr>
            <w:tcW w:w="1388" w:type="dxa"/>
            <w:hideMark/>
          </w:tcPr>
          <w:p w14:paraId="6E8C94D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CMT4C</w:t>
            </w:r>
          </w:p>
        </w:tc>
      </w:tr>
      <w:tr w:rsidR="00BE0B19" w:rsidRPr="00AE47C6" w14:paraId="6B791BA8" w14:textId="77777777" w:rsidTr="00AD72E5">
        <w:tc>
          <w:tcPr>
            <w:tcW w:w="9060" w:type="dxa"/>
            <w:gridSpan w:val="9"/>
            <w:hideMark/>
          </w:tcPr>
          <w:p w14:paraId="116BB12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b/>
                <w:bCs/>
                <w:sz w:val="24"/>
                <w:szCs w:val="24"/>
                <w:lang w:eastAsia="bg-BG"/>
              </w:rPr>
              <w:t>Други гени</w:t>
            </w:r>
          </w:p>
        </w:tc>
      </w:tr>
      <w:tr w:rsidR="00BE0B19" w:rsidRPr="00AE47C6" w14:paraId="65A160EE" w14:textId="77777777" w:rsidTr="00AD72E5">
        <w:tc>
          <w:tcPr>
            <w:tcW w:w="1165" w:type="dxa"/>
            <w:hideMark/>
          </w:tcPr>
          <w:p w14:paraId="2026F61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AARS</w:t>
            </w:r>
          </w:p>
        </w:tc>
        <w:tc>
          <w:tcPr>
            <w:tcW w:w="1349" w:type="dxa"/>
            <w:hideMark/>
          </w:tcPr>
          <w:p w14:paraId="11BBA62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AД</w:t>
            </w:r>
          </w:p>
        </w:tc>
        <w:tc>
          <w:tcPr>
            <w:tcW w:w="414" w:type="dxa"/>
            <w:hideMark/>
          </w:tcPr>
          <w:p w14:paraId="66E1D8D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0147C20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38EBB3A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4556F19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337F2BD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601065</w:t>
            </w:r>
          </w:p>
        </w:tc>
        <w:tc>
          <w:tcPr>
            <w:tcW w:w="1388" w:type="dxa"/>
            <w:hideMark/>
          </w:tcPr>
          <w:p w14:paraId="30C08B0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CMT2N</w:t>
            </w:r>
          </w:p>
        </w:tc>
      </w:tr>
      <w:tr w:rsidR="00BE0B19" w:rsidRPr="00AE47C6" w14:paraId="0B3EB15D" w14:textId="77777777" w:rsidTr="00AD72E5">
        <w:tc>
          <w:tcPr>
            <w:tcW w:w="1165" w:type="dxa"/>
            <w:hideMark/>
          </w:tcPr>
          <w:p w14:paraId="7B1073C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ABHD12</w:t>
            </w:r>
          </w:p>
        </w:tc>
        <w:tc>
          <w:tcPr>
            <w:tcW w:w="1349" w:type="dxa"/>
            <w:hideMark/>
          </w:tcPr>
          <w:p w14:paraId="4137B4E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414" w:type="dxa"/>
            <w:hideMark/>
          </w:tcPr>
          <w:p w14:paraId="1122C5C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7E0A12F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40" w:type="dxa"/>
            <w:hideMark/>
          </w:tcPr>
          <w:p w14:paraId="6385BBD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1C83C63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Глухота, катаракти, пигментен ретинит</w:t>
            </w:r>
          </w:p>
        </w:tc>
        <w:tc>
          <w:tcPr>
            <w:tcW w:w="2007" w:type="dxa"/>
            <w:gridSpan w:val="2"/>
            <w:hideMark/>
          </w:tcPr>
          <w:p w14:paraId="06577AF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613599</w:t>
            </w:r>
          </w:p>
        </w:tc>
        <w:tc>
          <w:tcPr>
            <w:tcW w:w="1388" w:type="dxa"/>
            <w:hideMark/>
          </w:tcPr>
          <w:p w14:paraId="6515AA9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PHARC</w:t>
            </w:r>
          </w:p>
        </w:tc>
      </w:tr>
      <w:tr w:rsidR="00BE0B19" w:rsidRPr="00AE47C6" w14:paraId="70ADC81C" w14:textId="77777777" w:rsidTr="00AD72E5">
        <w:tc>
          <w:tcPr>
            <w:tcW w:w="1165" w:type="dxa"/>
            <w:hideMark/>
          </w:tcPr>
          <w:p w14:paraId="7F26E0F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AIFM1</w:t>
            </w:r>
          </w:p>
        </w:tc>
        <w:tc>
          <w:tcPr>
            <w:tcW w:w="1349" w:type="dxa"/>
            <w:hideMark/>
          </w:tcPr>
          <w:p w14:paraId="1191A66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X-свързано</w:t>
            </w:r>
          </w:p>
        </w:tc>
        <w:tc>
          <w:tcPr>
            <w:tcW w:w="414" w:type="dxa"/>
            <w:hideMark/>
          </w:tcPr>
          <w:p w14:paraId="1BA946F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48131B4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200A9EE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527EE68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Глухота, когнитивен дефицит</w:t>
            </w:r>
          </w:p>
        </w:tc>
        <w:tc>
          <w:tcPr>
            <w:tcW w:w="2007" w:type="dxa"/>
            <w:gridSpan w:val="2"/>
            <w:hideMark/>
          </w:tcPr>
          <w:p w14:paraId="695E7E0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300169</w:t>
            </w:r>
          </w:p>
        </w:tc>
        <w:tc>
          <w:tcPr>
            <w:tcW w:w="1388" w:type="dxa"/>
            <w:hideMark/>
          </w:tcPr>
          <w:p w14:paraId="6915496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CMTX4</w:t>
            </w:r>
          </w:p>
        </w:tc>
      </w:tr>
      <w:tr w:rsidR="00BE0B19" w:rsidRPr="00AE47C6" w14:paraId="3A2E41BB" w14:textId="77777777" w:rsidTr="00AD72E5">
        <w:tc>
          <w:tcPr>
            <w:tcW w:w="1165" w:type="dxa"/>
            <w:hideMark/>
          </w:tcPr>
          <w:p w14:paraId="55E2D64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ARHGEF10</w:t>
            </w:r>
          </w:p>
        </w:tc>
        <w:tc>
          <w:tcPr>
            <w:tcW w:w="1349" w:type="dxa"/>
            <w:hideMark/>
          </w:tcPr>
          <w:p w14:paraId="7A424DA8"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5CAA224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05F1447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40" w:type="dxa"/>
            <w:hideMark/>
          </w:tcPr>
          <w:p w14:paraId="13DCB18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149313C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696BB38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608136</w:t>
            </w:r>
          </w:p>
        </w:tc>
        <w:tc>
          <w:tcPr>
            <w:tcW w:w="1388" w:type="dxa"/>
            <w:hideMark/>
          </w:tcPr>
          <w:p w14:paraId="63D33F3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148D5B6F" w14:textId="77777777" w:rsidTr="00AD72E5">
        <w:tc>
          <w:tcPr>
            <w:tcW w:w="1165" w:type="dxa"/>
            <w:hideMark/>
          </w:tcPr>
          <w:p w14:paraId="1B9C87B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ATP1A1</w:t>
            </w:r>
          </w:p>
        </w:tc>
        <w:tc>
          <w:tcPr>
            <w:tcW w:w="1349" w:type="dxa"/>
            <w:hideMark/>
          </w:tcPr>
          <w:p w14:paraId="5F0F36B8"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65B3165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226E191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74C4AA3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37C308A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502FAE2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388" w:type="dxa"/>
            <w:hideMark/>
          </w:tcPr>
          <w:p w14:paraId="5038226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32195BD5" w14:textId="77777777" w:rsidTr="00AD72E5">
        <w:tc>
          <w:tcPr>
            <w:tcW w:w="1165" w:type="dxa"/>
            <w:hideMark/>
          </w:tcPr>
          <w:p w14:paraId="0DF96EC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ATP7A</w:t>
            </w:r>
            <w:r w:rsidRPr="00AE47C6">
              <w:rPr>
                <w:rFonts w:ascii="Times New Roman" w:eastAsia="Times New Roman" w:hAnsi="Times New Roman" w:cs="Times New Roman"/>
                <w:sz w:val="24"/>
                <w:szCs w:val="24"/>
                <w:lang w:eastAsia="bg-BG"/>
              </w:rPr>
              <w:t> </w:t>
            </w:r>
          </w:p>
        </w:tc>
        <w:tc>
          <w:tcPr>
            <w:tcW w:w="1349" w:type="dxa"/>
            <w:hideMark/>
          </w:tcPr>
          <w:p w14:paraId="351B2CF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X-свързано</w:t>
            </w:r>
          </w:p>
        </w:tc>
        <w:tc>
          <w:tcPr>
            <w:tcW w:w="414" w:type="dxa"/>
            <w:hideMark/>
          </w:tcPr>
          <w:p w14:paraId="6E980E4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5A69069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0A2DF93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20BE753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Дистални отдели на долни крайници</w:t>
            </w:r>
          </w:p>
        </w:tc>
        <w:tc>
          <w:tcPr>
            <w:tcW w:w="2007" w:type="dxa"/>
            <w:gridSpan w:val="2"/>
            <w:hideMark/>
          </w:tcPr>
          <w:p w14:paraId="45A3AEB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ATP7A-свързани нарушения с медния транспорт, OMIM 300011</w:t>
            </w:r>
          </w:p>
        </w:tc>
        <w:tc>
          <w:tcPr>
            <w:tcW w:w="1388" w:type="dxa"/>
            <w:hideMark/>
          </w:tcPr>
          <w:p w14:paraId="3371DC3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55A82058" w14:textId="77777777" w:rsidTr="00AD72E5">
        <w:tc>
          <w:tcPr>
            <w:tcW w:w="1165" w:type="dxa"/>
            <w:hideMark/>
          </w:tcPr>
          <w:p w14:paraId="11E4C2E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BAG3</w:t>
            </w:r>
          </w:p>
        </w:tc>
        <w:tc>
          <w:tcPr>
            <w:tcW w:w="1349" w:type="dxa"/>
            <w:hideMark/>
          </w:tcPr>
          <w:p w14:paraId="101637E5"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3F6AF81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05BCC1D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3565C22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1BD72D7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Миофибрилерна миопатия, кардио-миопатия</w:t>
            </w:r>
          </w:p>
        </w:tc>
        <w:tc>
          <w:tcPr>
            <w:tcW w:w="2007" w:type="dxa"/>
            <w:gridSpan w:val="2"/>
            <w:hideMark/>
          </w:tcPr>
          <w:p w14:paraId="28F7DE0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603883</w:t>
            </w:r>
          </w:p>
        </w:tc>
        <w:tc>
          <w:tcPr>
            <w:tcW w:w="1388" w:type="dxa"/>
            <w:hideMark/>
          </w:tcPr>
          <w:p w14:paraId="480DD4C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1A64C0F8" w14:textId="77777777" w:rsidTr="00AD72E5">
        <w:tc>
          <w:tcPr>
            <w:tcW w:w="1165" w:type="dxa"/>
            <w:hideMark/>
          </w:tcPr>
          <w:p w14:paraId="2DEDB23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BSCL2</w:t>
            </w:r>
          </w:p>
        </w:tc>
        <w:tc>
          <w:tcPr>
            <w:tcW w:w="1349" w:type="dxa"/>
            <w:hideMark/>
          </w:tcPr>
          <w:p w14:paraId="12DA2D64"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570C072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037B5B5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2E6C730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1185732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 xml:space="preserve">Дистални отдели на долни крайници, спастична парапареза </w:t>
            </w:r>
          </w:p>
        </w:tc>
        <w:tc>
          <w:tcPr>
            <w:tcW w:w="2007" w:type="dxa"/>
            <w:gridSpan w:val="2"/>
            <w:hideMark/>
          </w:tcPr>
          <w:p w14:paraId="479FDEC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BSCL2-свързани неврологични заболявания /сейпинопатии</w:t>
            </w:r>
          </w:p>
        </w:tc>
        <w:tc>
          <w:tcPr>
            <w:tcW w:w="1388" w:type="dxa"/>
            <w:hideMark/>
          </w:tcPr>
          <w:p w14:paraId="5B31A3C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dHMN5A</w:t>
            </w:r>
          </w:p>
        </w:tc>
      </w:tr>
      <w:tr w:rsidR="00BE0B19" w:rsidRPr="00AE47C6" w14:paraId="34F59D62" w14:textId="77777777" w:rsidTr="00AD72E5">
        <w:tc>
          <w:tcPr>
            <w:tcW w:w="1165" w:type="dxa"/>
            <w:hideMark/>
          </w:tcPr>
          <w:p w14:paraId="264B9BF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CNTNAP1</w:t>
            </w:r>
          </w:p>
        </w:tc>
        <w:tc>
          <w:tcPr>
            <w:tcW w:w="1349" w:type="dxa"/>
            <w:hideMark/>
          </w:tcPr>
          <w:p w14:paraId="3DAC5E6D"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AР</w:t>
            </w:r>
          </w:p>
        </w:tc>
        <w:tc>
          <w:tcPr>
            <w:tcW w:w="414" w:type="dxa"/>
            <w:hideMark/>
          </w:tcPr>
          <w:p w14:paraId="18AF5EC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1AD4CB3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40" w:type="dxa"/>
            <w:hideMark/>
          </w:tcPr>
          <w:p w14:paraId="7084062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13EC902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Артрогрипоза, левкодистрофия</w:t>
            </w:r>
          </w:p>
        </w:tc>
        <w:tc>
          <w:tcPr>
            <w:tcW w:w="2007" w:type="dxa"/>
            <w:gridSpan w:val="2"/>
            <w:hideMark/>
          </w:tcPr>
          <w:p w14:paraId="7562485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602346</w:t>
            </w:r>
          </w:p>
        </w:tc>
        <w:tc>
          <w:tcPr>
            <w:tcW w:w="1388" w:type="dxa"/>
            <w:hideMark/>
          </w:tcPr>
          <w:p w14:paraId="567DD8D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687F8372" w14:textId="77777777" w:rsidTr="00AD72E5">
        <w:tc>
          <w:tcPr>
            <w:tcW w:w="1165" w:type="dxa"/>
            <w:hideMark/>
          </w:tcPr>
          <w:p w14:paraId="4DA37F2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COA7</w:t>
            </w:r>
          </w:p>
        </w:tc>
        <w:tc>
          <w:tcPr>
            <w:tcW w:w="1349" w:type="dxa"/>
            <w:hideMark/>
          </w:tcPr>
          <w:p w14:paraId="14530BF6"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AР</w:t>
            </w:r>
          </w:p>
        </w:tc>
        <w:tc>
          <w:tcPr>
            <w:tcW w:w="414" w:type="dxa"/>
            <w:hideMark/>
          </w:tcPr>
          <w:p w14:paraId="50FEA6B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544DDBB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49F21E1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687A58A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38A83D9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Higuchi et al [2018]</w:t>
            </w:r>
          </w:p>
        </w:tc>
        <w:tc>
          <w:tcPr>
            <w:tcW w:w="1388" w:type="dxa"/>
            <w:hideMark/>
          </w:tcPr>
          <w:p w14:paraId="294F767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59396522" w14:textId="77777777" w:rsidTr="00AD72E5">
        <w:tc>
          <w:tcPr>
            <w:tcW w:w="1165" w:type="dxa"/>
            <w:hideMark/>
          </w:tcPr>
          <w:p w14:paraId="7EE2A7A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DCTN1</w:t>
            </w:r>
          </w:p>
        </w:tc>
        <w:tc>
          <w:tcPr>
            <w:tcW w:w="1349" w:type="dxa"/>
            <w:hideMark/>
          </w:tcPr>
          <w:p w14:paraId="5847439B"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40F96E2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3C035D4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681F475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13008B7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Дистални отдели на долни крайници</w:t>
            </w:r>
          </w:p>
        </w:tc>
        <w:tc>
          <w:tcPr>
            <w:tcW w:w="2007" w:type="dxa"/>
            <w:gridSpan w:val="2"/>
            <w:hideMark/>
          </w:tcPr>
          <w:p w14:paraId="16F2B97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601143</w:t>
            </w:r>
          </w:p>
        </w:tc>
        <w:tc>
          <w:tcPr>
            <w:tcW w:w="1388" w:type="dxa"/>
            <w:hideMark/>
          </w:tcPr>
          <w:p w14:paraId="78C2837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dHMN7B</w:t>
            </w:r>
          </w:p>
        </w:tc>
      </w:tr>
      <w:tr w:rsidR="00BE0B19" w:rsidRPr="00AE47C6" w14:paraId="6E25B878" w14:textId="77777777" w:rsidTr="00AD72E5">
        <w:tc>
          <w:tcPr>
            <w:tcW w:w="1165" w:type="dxa"/>
            <w:hideMark/>
          </w:tcPr>
          <w:p w14:paraId="09E9B68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DCTN2</w:t>
            </w:r>
          </w:p>
        </w:tc>
        <w:tc>
          <w:tcPr>
            <w:tcW w:w="1349" w:type="dxa"/>
            <w:hideMark/>
          </w:tcPr>
          <w:p w14:paraId="660BFF1B"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7546932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2F8787D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7D744E0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71E332F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Пареза на гласните връзки</w:t>
            </w:r>
            <w:r w:rsidRPr="00AE47C6">
              <w:rPr>
                <w:rFonts w:ascii="Times New Roman" w:eastAsia="Times New Roman" w:hAnsi="Times New Roman" w:cs="Times New Roman"/>
                <w:sz w:val="24"/>
                <w:szCs w:val="24"/>
                <w:vertAlign w:val="superscript"/>
                <w:lang w:eastAsia="bg-BG"/>
              </w:rPr>
              <w:t>4</w:t>
            </w:r>
          </w:p>
        </w:tc>
        <w:tc>
          <w:tcPr>
            <w:tcW w:w="2007" w:type="dxa"/>
            <w:gridSpan w:val="2"/>
            <w:hideMark/>
          </w:tcPr>
          <w:p w14:paraId="342743D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607376</w:t>
            </w:r>
          </w:p>
        </w:tc>
        <w:tc>
          <w:tcPr>
            <w:tcW w:w="1388" w:type="dxa"/>
            <w:hideMark/>
          </w:tcPr>
          <w:p w14:paraId="616155C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0E79E1D6" w14:textId="77777777" w:rsidTr="00AD72E5">
        <w:tc>
          <w:tcPr>
            <w:tcW w:w="1165" w:type="dxa"/>
            <w:hideMark/>
          </w:tcPr>
          <w:p w14:paraId="3822BE5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DGAT2</w:t>
            </w:r>
          </w:p>
        </w:tc>
        <w:tc>
          <w:tcPr>
            <w:tcW w:w="1349" w:type="dxa"/>
            <w:hideMark/>
          </w:tcPr>
          <w:p w14:paraId="27EDEFD8"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6E17072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047B8E7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131600F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4E30D0D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41C977C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606983</w:t>
            </w:r>
          </w:p>
        </w:tc>
        <w:tc>
          <w:tcPr>
            <w:tcW w:w="1388" w:type="dxa"/>
            <w:hideMark/>
          </w:tcPr>
          <w:p w14:paraId="6905617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2ADAE0F8" w14:textId="77777777" w:rsidTr="00AD72E5">
        <w:tc>
          <w:tcPr>
            <w:tcW w:w="1165" w:type="dxa"/>
            <w:hideMark/>
          </w:tcPr>
          <w:p w14:paraId="74D9980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DHTKD1</w:t>
            </w:r>
          </w:p>
        </w:tc>
        <w:tc>
          <w:tcPr>
            <w:tcW w:w="1349" w:type="dxa"/>
            <w:hideMark/>
          </w:tcPr>
          <w:p w14:paraId="5AA9EA61"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4391811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4012919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236760B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4FF500D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052D840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614984</w:t>
            </w:r>
          </w:p>
        </w:tc>
        <w:tc>
          <w:tcPr>
            <w:tcW w:w="1388" w:type="dxa"/>
            <w:hideMark/>
          </w:tcPr>
          <w:p w14:paraId="3E2EF78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CMT2Q</w:t>
            </w:r>
          </w:p>
        </w:tc>
      </w:tr>
      <w:tr w:rsidR="00BE0B19" w:rsidRPr="00AE47C6" w14:paraId="26FCF9CB" w14:textId="77777777" w:rsidTr="00AD72E5">
        <w:tc>
          <w:tcPr>
            <w:tcW w:w="1165" w:type="dxa"/>
            <w:hideMark/>
          </w:tcPr>
          <w:p w14:paraId="29F5454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DNAJB2</w:t>
            </w:r>
          </w:p>
        </w:tc>
        <w:tc>
          <w:tcPr>
            <w:tcW w:w="1349" w:type="dxa"/>
            <w:hideMark/>
          </w:tcPr>
          <w:p w14:paraId="416FEE6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414" w:type="dxa"/>
            <w:hideMark/>
          </w:tcPr>
          <w:p w14:paraId="7E19493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2B1BC45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6347F7F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5B00F86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Дистална моторна невропатия</w:t>
            </w:r>
          </w:p>
        </w:tc>
        <w:tc>
          <w:tcPr>
            <w:tcW w:w="2007" w:type="dxa"/>
            <w:gridSpan w:val="2"/>
            <w:hideMark/>
          </w:tcPr>
          <w:p w14:paraId="4F46654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Frasquet et al. [2016], Lupo et al. [2016]</w:t>
            </w:r>
          </w:p>
        </w:tc>
        <w:tc>
          <w:tcPr>
            <w:tcW w:w="1388" w:type="dxa"/>
            <w:hideMark/>
          </w:tcPr>
          <w:p w14:paraId="5AA92BA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DSMA5</w:t>
            </w:r>
          </w:p>
        </w:tc>
      </w:tr>
      <w:tr w:rsidR="00BE0B19" w:rsidRPr="00AE47C6" w14:paraId="4A6B4F06" w14:textId="77777777" w:rsidTr="00AD72E5">
        <w:tc>
          <w:tcPr>
            <w:tcW w:w="1165" w:type="dxa"/>
            <w:hideMark/>
          </w:tcPr>
          <w:p w14:paraId="52079CD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DNMT1</w:t>
            </w:r>
          </w:p>
        </w:tc>
        <w:tc>
          <w:tcPr>
            <w:tcW w:w="1349" w:type="dxa"/>
            <w:hideMark/>
          </w:tcPr>
          <w:p w14:paraId="0918B183"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135E940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2E62B00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1B07FFA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1CE8180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Глухота, деменция</w:t>
            </w:r>
          </w:p>
        </w:tc>
        <w:tc>
          <w:tcPr>
            <w:tcW w:w="2007" w:type="dxa"/>
            <w:gridSpan w:val="2"/>
            <w:hideMark/>
          </w:tcPr>
          <w:p w14:paraId="0EEE239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 xml:space="preserve">DNMT1-свързана деменция, глухота и сетивна невропатия </w:t>
            </w:r>
          </w:p>
        </w:tc>
        <w:tc>
          <w:tcPr>
            <w:tcW w:w="1388" w:type="dxa"/>
            <w:hideMark/>
          </w:tcPr>
          <w:p w14:paraId="60D79B3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DMNT1</w:t>
            </w:r>
          </w:p>
        </w:tc>
      </w:tr>
      <w:tr w:rsidR="00BE0B19" w:rsidRPr="00AE47C6" w14:paraId="1EAB2D41" w14:textId="77777777" w:rsidTr="00AD72E5">
        <w:tc>
          <w:tcPr>
            <w:tcW w:w="1165" w:type="dxa"/>
            <w:hideMark/>
          </w:tcPr>
          <w:p w14:paraId="11C3672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DNM2</w:t>
            </w:r>
          </w:p>
        </w:tc>
        <w:tc>
          <w:tcPr>
            <w:tcW w:w="1349" w:type="dxa"/>
            <w:hideMark/>
          </w:tcPr>
          <w:p w14:paraId="105A2CED"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6E7A321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60DFE2A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08074CA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1876" w:type="dxa"/>
            <w:hideMark/>
          </w:tcPr>
          <w:p w14:paraId="1B13912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58B48F1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DNM2-свързана интермедиерна CMT невропатия</w:t>
            </w:r>
          </w:p>
        </w:tc>
        <w:tc>
          <w:tcPr>
            <w:tcW w:w="1388" w:type="dxa"/>
            <w:hideMark/>
          </w:tcPr>
          <w:p w14:paraId="21E30E6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CMT2M</w:t>
            </w:r>
            <w:r w:rsidRPr="00AE47C6">
              <w:rPr>
                <w:rFonts w:ascii="Times New Roman" w:eastAsia="Times New Roman" w:hAnsi="Times New Roman" w:cs="Times New Roman"/>
                <w:sz w:val="24"/>
                <w:szCs w:val="24"/>
                <w:lang w:eastAsia="bg-BG"/>
              </w:rPr>
              <w:br/>
              <w:t>DI-CMTB</w:t>
            </w:r>
          </w:p>
        </w:tc>
      </w:tr>
      <w:tr w:rsidR="00BE0B19" w:rsidRPr="00AE47C6" w14:paraId="15C94B9A" w14:textId="77777777" w:rsidTr="00AD72E5">
        <w:tc>
          <w:tcPr>
            <w:tcW w:w="1165" w:type="dxa"/>
            <w:hideMark/>
          </w:tcPr>
          <w:p w14:paraId="27F3C8D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DRP2</w:t>
            </w:r>
          </w:p>
        </w:tc>
        <w:tc>
          <w:tcPr>
            <w:tcW w:w="1349" w:type="dxa"/>
            <w:hideMark/>
          </w:tcPr>
          <w:p w14:paraId="4E6BC83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X-свързано</w:t>
            </w:r>
          </w:p>
        </w:tc>
        <w:tc>
          <w:tcPr>
            <w:tcW w:w="414" w:type="dxa"/>
            <w:hideMark/>
          </w:tcPr>
          <w:p w14:paraId="17ED2BC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00B5D29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5A5D3F3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1876" w:type="dxa"/>
            <w:hideMark/>
          </w:tcPr>
          <w:p w14:paraId="464E7EE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Аутизъм</w:t>
            </w:r>
          </w:p>
        </w:tc>
        <w:tc>
          <w:tcPr>
            <w:tcW w:w="2007" w:type="dxa"/>
            <w:gridSpan w:val="2"/>
            <w:hideMark/>
          </w:tcPr>
          <w:p w14:paraId="4C66BD5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300052</w:t>
            </w:r>
          </w:p>
        </w:tc>
        <w:tc>
          <w:tcPr>
            <w:tcW w:w="1388" w:type="dxa"/>
            <w:hideMark/>
          </w:tcPr>
          <w:p w14:paraId="1C7A2AD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398D1498" w14:textId="77777777" w:rsidTr="00AD72E5">
        <w:tc>
          <w:tcPr>
            <w:tcW w:w="1165" w:type="dxa"/>
            <w:hideMark/>
          </w:tcPr>
          <w:p w14:paraId="666604D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DYNC1H1</w:t>
            </w:r>
          </w:p>
        </w:tc>
        <w:tc>
          <w:tcPr>
            <w:tcW w:w="1349" w:type="dxa"/>
            <w:hideMark/>
          </w:tcPr>
          <w:p w14:paraId="72D4D19F"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697AA3F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20F1277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5E83561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6F8BB9F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СМА</w:t>
            </w:r>
          </w:p>
        </w:tc>
        <w:tc>
          <w:tcPr>
            <w:tcW w:w="2007" w:type="dxa"/>
            <w:gridSpan w:val="2"/>
            <w:hideMark/>
          </w:tcPr>
          <w:p w14:paraId="5E69A58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600112</w:t>
            </w:r>
          </w:p>
        </w:tc>
        <w:tc>
          <w:tcPr>
            <w:tcW w:w="1388" w:type="dxa"/>
            <w:hideMark/>
          </w:tcPr>
          <w:p w14:paraId="1600D8E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CMT2O</w:t>
            </w:r>
          </w:p>
        </w:tc>
      </w:tr>
      <w:tr w:rsidR="00BE0B19" w:rsidRPr="00AE47C6" w14:paraId="1F5F0349" w14:textId="77777777" w:rsidTr="00AD72E5">
        <w:tc>
          <w:tcPr>
            <w:tcW w:w="1165" w:type="dxa"/>
            <w:vMerge w:val="restart"/>
            <w:hideMark/>
          </w:tcPr>
          <w:p w14:paraId="745BD16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EGR2</w:t>
            </w:r>
          </w:p>
        </w:tc>
        <w:tc>
          <w:tcPr>
            <w:tcW w:w="1349" w:type="dxa"/>
            <w:hideMark/>
          </w:tcPr>
          <w:p w14:paraId="017E2402"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5F38194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062F57C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40" w:type="dxa"/>
            <w:hideMark/>
          </w:tcPr>
          <w:p w14:paraId="6146F9B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7AE75A9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vMerge w:val="restart"/>
            <w:hideMark/>
          </w:tcPr>
          <w:p w14:paraId="188C378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129010</w:t>
            </w:r>
          </w:p>
        </w:tc>
        <w:tc>
          <w:tcPr>
            <w:tcW w:w="1388" w:type="dxa"/>
            <w:hideMark/>
          </w:tcPr>
          <w:p w14:paraId="563A8DC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CMT1D</w:t>
            </w:r>
          </w:p>
        </w:tc>
      </w:tr>
      <w:tr w:rsidR="00BE0B19" w:rsidRPr="00AE47C6" w14:paraId="41F3DC25" w14:textId="77777777" w:rsidTr="00AD72E5">
        <w:tc>
          <w:tcPr>
            <w:tcW w:w="1165" w:type="dxa"/>
            <w:vMerge/>
            <w:hideMark/>
          </w:tcPr>
          <w:p w14:paraId="1B0DCD2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349" w:type="dxa"/>
            <w:hideMark/>
          </w:tcPr>
          <w:p w14:paraId="7B833B02"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AР</w:t>
            </w:r>
          </w:p>
        </w:tc>
        <w:tc>
          <w:tcPr>
            <w:tcW w:w="414" w:type="dxa"/>
            <w:hideMark/>
          </w:tcPr>
          <w:p w14:paraId="747BBBA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49D9EBB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40" w:type="dxa"/>
            <w:hideMark/>
          </w:tcPr>
          <w:p w14:paraId="4835092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35ABE03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vMerge/>
            <w:hideMark/>
          </w:tcPr>
          <w:p w14:paraId="1DC4DA9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388" w:type="dxa"/>
            <w:hideMark/>
          </w:tcPr>
          <w:p w14:paraId="2403D44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CMT4E</w:t>
            </w:r>
          </w:p>
        </w:tc>
      </w:tr>
      <w:tr w:rsidR="00BE0B19" w:rsidRPr="00AE47C6" w14:paraId="10384F7B" w14:textId="77777777" w:rsidTr="00AD72E5">
        <w:tc>
          <w:tcPr>
            <w:tcW w:w="1165" w:type="dxa"/>
            <w:hideMark/>
          </w:tcPr>
          <w:p w14:paraId="4351594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FGD4</w:t>
            </w:r>
          </w:p>
        </w:tc>
        <w:tc>
          <w:tcPr>
            <w:tcW w:w="1349" w:type="dxa"/>
            <w:hideMark/>
          </w:tcPr>
          <w:p w14:paraId="22DB9AFE"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AР</w:t>
            </w:r>
          </w:p>
        </w:tc>
        <w:tc>
          <w:tcPr>
            <w:tcW w:w="414" w:type="dxa"/>
            <w:hideMark/>
          </w:tcPr>
          <w:p w14:paraId="5DD5C8B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6D8197B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40" w:type="dxa"/>
            <w:hideMark/>
          </w:tcPr>
          <w:p w14:paraId="1FA5A6F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31030BC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5CE8888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 невропатия тип 4H</w:t>
            </w:r>
          </w:p>
        </w:tc>
        <w:tc>
          <w:tcPr>
            <w:tcW w:w="1388" w:type="dxa"/>
            <w:hideMark/>
          </w:tcPr>
          <w:p w14:paraId="5FCB2AD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CMT4H</w:t>
            </w:r>
          </w:p>
        </w:tc>
      </w:tr>
      <w:tr w:rsidR="00BE0B19" w:rsidRPr="00AE47C6" w14:paraId="1F2859CC" w14:textId="77777777" w:rsidTr="00AD72E5">
        <w:tc>
          <w:tcPr>
            <w:tcW w:w="1165" w:type="dxa"/>
            <w:hideMark/>
          </w:tcPr>
          <w:p w14:paraId="5B4DEA7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FIG4</w:t>
            </w:r>
          </w:p>
        </w:tc>
        <w:tc>
          <w:tcPr>
            <w:tcW w:w="1349" w:type="dxa"/>
            <w:hideMark/>
          </w:tcPr>
          <w:p w14:paraId="5727B2D6"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AР</w:t>
            </w:r>
          </w:p>
        </w:tc>
        <w:tc>
          <w:tcPr>
            <w:tcW w:w="414" w:type="dxa"/>
            <w:hideMark/>
          </w:tcPr>
          <w:p w14:paraId="2904A80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32AE66F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40" w:type="dxa"/>
            <w:hideMark/>
          </w:tcPr>
          <w:p w14:paraId="67B1C0F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2944A16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48F0551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 невропатия тип 4J</w:t>
            </w:r>
          </w:p>
        </w:tc>
        <w:tc>
          <w:tcPr>
            <w:tcW w:w="1388" w:type="dxa"/>
            <w:hideMark/>
          </w:tcPr>
          <w:p w14:paraId="46FE26E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CMT4J</w:t>
            </w:r>
          </w:p>
        </w:tc>
      </w:tr>
      <w:tr w:rsidR="00BE0B19" w:rsidRPr="00AE47C6" w14:paraId="3F971BD1" w14:textId="77777777" w:rsidTr="00AD72E5">
        <w:tc>
          <w:tcPr>
            <w:tcW w:w="1165" w:type="dxa"/>
            <w:hideMark/>
          </w:tcPr>
          <w:p w14:paraId="6A0998B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GARS</w:t>
            </w:r>
          </w:p>
        </w:tc>
        <w:tc>
          <w:tcPr>
            <w:tcW w:w="1349" w:type="dxa"/>
            <w:hideMark/>
          </w:tcPr>
          <w:p w14:paraId="0D346167"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2D89536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08509B7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1768D4F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2BBDB13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Начало в ръцете</w:t>
            </w:r>
          </w:p>
        </w:tc>
        <w:tc>
          <w:tcPr>
            <w:tcW w:w="2007" w:type="dxa"/>
            <w:gridSpan w:val="2"/>
            <w:hideMark/>
          </w:tcPr>
          <w:p w14:paraId="27443D0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GARS-свързана аксонна невропатия</w:t>
            </w:r>
          </w:p>
        </w:tc>
        <w:tc>
          <w:tcPr>
            <w:tcW w:w="1388" w:type="dxa"/>
            <w:hideMark/>
          </w:tcPr>
          <w:p w14:paraId="7FE642A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CMT2D</w:t>
            </w:r>
            <w:r w:rsidRPr="00AE47C6">
              <w:rPr>
                <w:rFonts w:ascii="Times New Roman" w:eastAsia="Times New Roman" w:hAnsi="Times New Roman" w:cs="Times New Roman"/>
                <w:sz w:val="24"/>
                <w:szCs w:val="24"/>
                <w:lang w:eastAsia="bg-BG"/>
              </w:rPr>
              <w:br/>
              <w:t>dHMN5A</w:t>
            </w:r>
          </w:p>
        </w:tc>
      </w:tr>
      <w:tr w:rsidR="00BE0B19" w:rsidRPr="00AE47C6" w14:paraId="50B53BD4" w14:textId="77777777" w:rsidTr="00AD72E5">
        <w:tc>
          <w:tcPr>
            <w:tcW w:w="1165" w:type="dxa"/>
            <w:hideMark/>
          </w:tcPr>
          <w:p w14:paraId="2312E82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GNB4</w:t>
            </w:r>
          </w:p>
        </w:tc>
        <w:tc>
          <w:tcPr>
            <w:tcW w:w="1349" w:type="dxa"/>
            <w:hideMark/>
          </w:tcPr>
          <w:p w14:paraId="276222F3"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7AE38FE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07138F2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1467413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1876" w:type="dxa"/>
            <w:hideMark/>
          </w:tcPr>
          <w:p w14:paraId="583D3BA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40269F1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610863</w:t>
            </w:r>
          </w:p>
        </w:tc>
        <w:tc>
          <w:tcPr>
            <w:tcW w:w="1388" w:type="dxa"/>
            <w:hideMark/>
          </w:tcPr>
          <w:p w14:paraId="24B1B68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DI-CMTF</w:t>
            </w:r>
          </w:p>
        </w:tc>
      </w:tr>
      <w:tr w:rsidR="00BE0B19" w:rsidRPr="00AE47C6" w14:paraId="0B7FAE28" w14:textId="77777777" w:rsidTr="00AD72E5">
        <w:tc>
          <w:tcPr>
            <w:tcW w:w="1165" w:type="dxa"/>
            <w:hideMark/>
          </w:tcPr>
          <w:p w14:paraId="53C5107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HARS</w:t>
            </w:r>
          </w:p>
        </w:tc>
        <w:tc>
          <w:tcPr>
            <w:tcW w:w="1349" w:type="dxa"/>
            <w:hideMark/>
          </w:tcPr>
          <w:p w14:paraId="4A15F7B4"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47CC96F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0EC98FF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40" w:type="dxa"/>
            <w:hideMark/>
          </w:tcPr>
          <w:p w14:paraId="65A52D6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0CCBC27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7FF0980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142810</w:t>
            </w:r>
          </w:p>
        </w:tc>
        <w:tc>
          <w:tcPr>
            <w:tcW w:w="1388" w:type="dxa"/>
            <w:hideMark/>
          </w:tcPr>
          <w:p w14:paraId="4C0589A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CMT2W</w:t>
            </w:r>
          </w:p>
        </w:tc>
      </w:tr>
      <w:tr w:rsidR="00BE0B19" w:rsidRPr="00AE47C6" w14:paraId="69D9744D" w14:textId="77777777" w:rsidTr="00AD72E5">
        <w:tc>
          <w:tcPr>
            <w:tcW w:w="1165" w:type="dxa"/>
            <w:hideMark/>
          </w:tcPr>
          <w:p w14:paraId="3C48F51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HSPB1</w:t>
            </w:r>
          </w:p>
        </w:tc>
        <w:tc>
          <w:tcPr>
            <w:tcW w:w="1349" w:type="dxa"/>
            <w:hideMark/>
          </w:tcPr>
          <w:p w14:paraId="55F06FC4"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03FC935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0BAC272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6665BFE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687FF37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0FACAB7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602195</w:t>
            </w:r>
          </w:p>
        </w:tc>
        <w:tc>
          <w:tcPr>
            <w:tcW w:w="1388" w:type="dxa"/>
            <w:hideMark/>
          </w:tcPr>
          <w:p w14:paraId="6E3B091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CMT2F</w:t>
            </w:r>
            <w:r w:rsidRPr="00AE47C6">
              <w:rPr>
                <w:rFonts w:ascii="Times New Roman" w:eastAsia="Times New Roman" w:hAnsi="Times New Roman" w:cs="Times New Roman"/>
                <w:sz w:val="24"/>
                <w:szCs w:val="24"/>
                <w:lang w:eastAsia="bg-BG"/>
              </w:rPr>
              <w:br/>
              <w:t>dHMN2B</w:t>
            </w:r>
          </w:p>
        </w:tc>
      </w:tr>
      <w:tr w:rsidR="00BE0B19" w:rsidRPr="00AE47C6" w14:paraId="77D4AAA7" w14:textId="77777777" w:rsidTr="00AD72E5">
        <w:tc>
          <w:tcPr>
            <w:tcW w:w="1165" w:type="dxa"/>
            <w:hideMark/>
          </w:tcPr>
          <w:p w14:paraId="564F94F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HSPB3</w:t>
            </w:r>
          </w:p>
        </w:tc>
        <w:tc>
          <w:tcPr>
            <w:tcW w:w="1349" w:type="dxa"/>
            <w:hideMark/>
          </w:tcPr>
          <w:p w14:paraId="4613F179"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06238BF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1CBC865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077AF07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1267701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254466B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604624</w:t>
            </w:r>
          </w:p>
        </w:tc>
        <w:tc>
          <w:tcPr>
            <w:tcW w:w="1388" w:type="dxa"/>
            <w:hideMark/>
          </w:tcPr>
          <w:p w14:paraId="4C2663E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dHMN2C</w:t>
            </w:r>
          </w:p>
        </w:tc>
      </w:tr>
      <w:tr w:rsidR="00BE0B19" w:rsidRPr="00AE47C6" w14:paraId="5029D178" w14:textId="77777777" w:rsidTr="00AD72E5">
        <w:tc>
          <w:tcPr>
            <w:tcW w:w="1165" w:type="dxa"/>
            <w:hideMark/>
          </w:tcPr>
          <w:p w14:paraId="34A3B8E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HSPB8</w:t>
            </w:r>
          </w:p>
        </w:tc>
        <w:tc>
          <w:tcPr>
            <w:tcW w:w="1349" w:type="dxa"/>
            <w:hideMark/>
          </w:tcPr>
          <w:p w14:paraId="07F9A062"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0E8A8BF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7429788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7602749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573EB31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Начало в късна възраст</w:t>
            </w:r>
          </w:p>
        </w:tc>
        <w:tc>
          <w:tcPr>
            <w:tcW w:w="2007" w:type="dxa"/>
            <w:gridSpan w:val="2"/>
            <w:hideMark/>
          </w:tcPr>
          <w:p w14:paraId="1B6A7B0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608014</w:t>
            </w:r>
          </w:p>
        </w:tc>
        <w:tc>
          <w:tcPr>
            <w:tcW w:w="1388" w:type="dxa"/>
            <w:hideMark/>
          </w:tcPr>
          <w:p w14:paraId="5EFDF84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CMT2L</w:t>
            </w:r>
            <w:r w:rsidRPr="00AE47C6">
              <w:rPr>
                <w:rFonts w:ascii="Times New Roman" w:eastAsia="Times New Roman" w:hAnsi="Times New Roman" w:cs="Times New Roman"/>
                <w:sz w:val="24"/>
                <w:szCs w:val="24"/>
                <w:lang w:eastAsia="bg-BG"/>
              </w:rPr>
              <w:br/>
              <w:t>dHMN2A</w:t>
            </w:r>
          </w:p>
        </w:tc>
      </w:tr>
      <w:tr w:rsidR="00BE0B19" w:rsidRPr="00AE47C6" w14:paraId="1A83404F" w14:textId="77777777" w:rsidTr="00AD72E5">
        <w:tc>
          <w:tcPr>
            <w:tcW w:w="1165" w:type="dxa"/>
            <w:hideMark/>
          </w:tcPr>
          <w:p w14:paraId="6F55CC1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IGHMBP2</w:t>
            </w:r>
          </w:p>
        </w:tc>
        <w:tc>
          <w:tcPr>
            <w:tcW w:w="1349" w:type="dxa"/>
            <w:hideMark/>
          </w:tcPr>
          <w:p w14:paraId="4983BD5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414" w:type="dxa"/>
            <w:hideMark/>
          </w:tcPr>
          <w:p w14:paraId="5E0284F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21B509C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3945A4D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3FD080E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3CEDE06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600502</w:t>
            </w:r>
          </w:p>
        </w:tc>
        <w:tc>
          <w:tcPr>
            <w:tcW w:w="1388" w:type="dxa"/>
            <w:hideMark/>
          </w:tcPr>
          <w:p w14:paraId="0CC5C78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CMT2S</w:t>
            </w:r>
            <w:r w:rsidRPr="00AE47C6">
              <w:rPr>
                <w:rFonts w:ascii="Times New Roman" w:eastAsia="Times New Roman" w:hAnsi="Times New Roman" w:cs="Times New Roman"/>
                <w:sz w:val="24"/>
                <w:szCs w:val="24"/>
                <w:lang w:eastAsia="bg-BG"/>
              </w:rPr>
              <w:br/>
              <w:t>DSMA1</w:t>
            </w:r>
          </w:p>
        </w:tc>
      </w:tr>
      <w:tr w:rsidR="00BE0B19" w:rsidRPr="00AE47C6" w14:paraId="014584A5" w14:textId="77777777" w:rsidTr="00AD72E5">
        <w:tc>
          <w:tcPr>
            <w:tcW w:w="1165" w:type="dxa"/>
            <w:hideMark/>
          </w:tcPr>
          <w:p w14:paraId="3846E32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INF2</w:t>
            </w:r>
          </w:p>
        </w:tc>
        <w:tc>
          <w:tcPr>
            <w:tcW w:w="1349" w:type="dxa"/>
            <w:hideMark/>
          </w:tcPr>
          <w:p w14:paraId="128426F5"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72D740C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46DDAA0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40CF9E6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1876" w:type="dxa"/>
            <w:hideMark/>
          </w:tcPr>
          <w:p w14:paraId="77FC146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Гломерулосклероза</w:t>
            </w:r>
          </w:p>
        </w:tc>
        <w:tc>
          <w:tcPr>
            <w:tcW w:w="2007" w:type="dxa"/>
            <w:gridSpan w:val="2"/>
            <w:hideMark/>
          </w:tcPr>
          <w:p w14:paraId="1CA6B3F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610982</w:t>
            </w:r>
          </w:p>
        </w:tc>
        <w:tc>
          <w:tcPr>
            <w:tcW w:w="1388" w:type="dxa"/>
            <w:hideMark/>
          </w:tcPr>
          <w:p w14:paraId="4252E5C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56E60873" w14:textId="77777777" w:rsidTr="00AD72E5">
        <w:tc>
          <w:tcPr>
            <w:tcW w:w="1165" w:type="dxa"/>
            <w:hideMark/>
          </w:tcPr>
          <w:p w14:paraId="62FE6BC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KIF1B</w:t>
            </w:r>
          </w:p>
        </w:tc>
        <w:tc>
          <w:tcPr>
            <w:tcW w:w="1349" w:type="dxa"/>
            <w:hideMark/>
          </w:tcPr>
          <w:p w14:paraId="5578C5B2"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1545294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194CC2E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30DD463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33DCB92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35B8C87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605995</w:t>
            </w:r>
          </w:p>
        </w:tc>
        <w:tc>
          <w:tcPr>
            <w:tcW w:w="1388" w:type="dxa"/>
            <w:hideMark/>
          </w:tcPr>
          <w:p w14:paraId="0CEF644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CMT2A1</w:t>
            </w:r>
          </w:p>
        </w:tc>
      </w:tr>
      <w:tr w:rsidR="00BE0B19" w:rsidRPr="00AE47C6" w14:paraId="26D78B35" w14:textId="77777777" w:rsidTr="00AD72E5">
        <w:tc>
          <w:tcPr>
            <w:tcW w:w="1165" w:type="dxa"/>
            <w:hideMark/>
          </w:tcPr>
          <w:p w14:paraId="51DF00C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KIF5A</w:t>
            </w:r>
          </w:p>
        </w:tc>
        <w:tc>
          <w:tcPr>
            <w:tcW w:w="1349" w:type="dxa"/>
            <w:hideMark/>
          </w:tcPr>
          <w:p w14:paraId="732D22A3"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2596B35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216AC84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1892241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397E2C3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Спастицитет</w:t>
            </w:r>
          </w:p>
        </w:tc>
        <w:tc>
          <w:tcPr>
            <w:tcW w:w="2007" w:type="dxa"/>
            <w:gridSpan w:val="2"/>
            <w:hideMark/>
          </w:tcPr>
          <w:p w14:paraId="3874035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602821</w:t>
            </w:r>
          </w:p>
        </w:tc>
        <w:tc>
          <w:tcPr>
            <w:tcW w:w="1388" w:type="dxa"/>
            <w:hideMark/>
          </w:tcPr>
          <w:p w14:paraId="55B1F38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305BEA03" w14:textId="77777777" w:rsidTr="00AD72E5">
        <w:tc>
          <w:tcPr>
            <w:tcW w:w="1165" w:type="dxa"/>
            <w:hideMark/>
          </w:tcPr>
          <w:p w14:paraId="360446F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LITAF</w:t>
            </w:r>
          </w:p>
        </w:tc>
        <w:tc>
          <w:tcPr>
            <w:tcW w:w="1349" w:type="dxa"/>
            <w:hideMark/>
          </w:tcPr>
          <w:p w14:paraId="5D2291D2"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1241125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6568458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40" w:type="dxa"/>
            <w:hideMark/>
          </w:tcPr>
          <w:p w14:paraId="6C411EC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1947332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5B823E1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603795</w:t>
            </w:r>
          </w:p>
        </w:tc>
        <w:tc>
          <w:tcPr>
            <w:tcW w:w="1388" w:type="dxa"/>
            <w:hideMark/>
          </w:tcPr>
          <w:p w14:paraId="2E954A9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CMT1C</w:t>
            </w:r>
          </w:p>
        </w:tc>
      </w:tr>
      <w:tr w:rsidR="00BE0B19" w:rsidRPr="00AE47C6" w14:paraId="5A36B036" w14:textId="77777777" w:rsidTr="00AD72E5">
        <w:tc>
          <w:tcPr>
            <w:tcW w:w="1165" w:type="dxa"/>
            <w:hideMark/>
          </w:tcPr>
          <w:p w14:paraId="512D366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LMNA</w:t>
            </w:r>
          </w:p>
        </w:tc>
        <w:tc>
          <w:tcPr>
            <w:tcW w:w="1349" w:type="dxa"/>
            <w:hideMark/>
          </w:tcPr>
          <w:p w14:paraId="4E8DDC6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AR</w:t>
            </w:r>
          </w:p>
        </w:tc>
        <w:tc>
          <w:tcPr>
            <w:tcW w:w="414" w:type="dxa"/>
            <w:hideMark/>
          </w:tcPr>
          <w:p w14:paraId="334DF97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516943F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4E60675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636958E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5B85AAF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150330</w:t>
            </w:r>
          </w:p>
        </w:tc>
        <w:tc>
          <w:tcPr>
            <w:tcW w:w="1388" w:type="dxa"/>
            <w:hideMark/>
          </w:tcPr>
          <w:p w14:paraId="31FD371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CMT2B1</w:t>
            </w:r>
          </w:p>
        </w:tc>
      </w:tr>
      <w:tr w:rsidR="00BE0B19" w:rsidRPr="00AE47C6" w14:paraId="5B25B651" w14:textId="77777777" w:rsidTr="00AD72E5">
        <w:tc>
          <w:tcPr>
            <w:tcW w:w="1165" w:type="dxa"/>
            <w:vMerge w:val="restart"/>
            <w:hideMark/>
          </w:tcPr>
          <w:p w14:paraId="7F12FF6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LRSAM1</w:t>
            </w:r>
          </w:p>
        </w:tc>
        <w:tc>
          <w:tcPr>
            <w:tcW w:w="1349" w:type="dxa"/>
            <w:hideMark/>
          </w:tcPr>
          <w:p w14:paraId="16DDE37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AД</w:t>
            </w:r>
          </w:p>
        </w:tc>
        <w:tc>
          <w:tcPr>
            <w:tcW w:w="414" w:type="dxa"/>
            <w:vMerge w:val="restart"/>
            <w:hideMark/>
          </w:tcPr>
          <w:p w14:paraId="596B672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vMerge w:val="restart"/>
            <w:hideMark/>
          </w:tcPr>
          <w:p w14:paraId="08611BB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vMerge w:val="restart"/>
            <w:hideMark/>
          </w:tcPr>
          <w:p w14:paraId="1071C99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vMerge w:val="restart"/>
            <w:hideMark/>
          </w:tcPr>
          <w:p w14:paraId="784FC54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vMerge w:val="restart"/>
            <w:hideMark/>
          </w:tcPr>
          <w:p w14:paraId="2751093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610933</w:t>
            </w:r>
          </w:p>
        </w:tc>
        <w:tc>
          <w:tcPr>
            <w:tcW w:w="1388" w:type="dxa"/>
            <w:vMerge w:val="restart"/>
            <w:hideMark/>
          </w:tcPr>
          <w:p w14:paraId="6ADA7E2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CMT2G</w:t>
            </w:r>
            <w:r w:rsidRPr="00AE47C6">
              <w:rPr>
                <w:rFonts w:ascii="Times New Roman" w:eastAsia="Times New Roman" w:hAnsi="Times New Roman" w:cs="Times New Roman"/>
                <w:sz w:val="24"/>
                <w:szCs w:val="24"/>
                <w:lang w:eastAsia="bg-BG"/>
              </w:rPr>
              <w:br/>
              <w:t>CMT2P</w:t>
            </w:r>
          </w:p>
        </w:tc>
      </w:tr>
      <w:tr w:rsidR="00BE0B19" w:rsidRPr="00AE47C6" w14:paraId="3D043BD0" w14:textId="77777777" w:rsidTr="00AD72E5">
        <w:tc>
          <w:tcPr>
            <w:tcW w:w="1165" w:type="dxa"/>
            <w:vMerge/>
            <w:hideMark/>
          </w:tcPr>
          <w:p w14:paraId="50D024D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349" w:type="dxa"/>
            <w:hideMark/>
          </w:tcPr>
          <w:p w14:paraId="5C22C0D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414" w:type="dxa"/>
            <w:vMerge/>
            <w:hideMark/>
          </w:tcPr>
          <w:p w14:paraId="3C4C1B4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vMerge/>
            <w:hideMark/>
          </w:tcPr>
          <w:p w14:paraId="4EBEFDE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vMerge/>
            <w:hideMark/>
          </w:tcPr>
          <w:p w14:paraId="101E9C7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vMerge/>
            <w:hideMark/>
          </w:tcPr>
          <w:p w14:paraId="016496F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vMerge/>
            <w:hideMark/>
          </w:tcPr>
          <w:p w14:paraId="0B0105A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388" w:type="dxa"/>
            <w:vMerge/>
            <w:hideMark/>
          </w:tcPr>
          <w:p w14:paraId="4142DC2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3046E187" w14:textId="77777777" w:rsidTr="00AD72E5">
        <w:tc>
          <w:tcPr>
            <w:tcW w:w="1165" w:type="dxa"/>
            <w:hideMark/>
          </w:tcPr>
          <w:p w14:paraId="66777DE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MARS</w:t>
            </w:r>
          </w:p>
        </w:tc>
        <w:tc>
          <w:tcPr>
            <w:tcW w:w="1349" w:type="dxa"/>
            <w:hideMark/>
          </w:tcPr>
          <w:p w14:paraId="112674A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AД</w:t>
            </w:r>
          </w:p>
        </w:tc>
        <w:tc>
          <w:tcPr>
            <w:tcW w:w="414" w:type="dxa"/>
            <w:hideMark/>
          </w:tcPr>
          <w:p w14:paraId="0B5684D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1133C35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09DA9FA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232B8D7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58DF69E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156560</w:t>
            </w:r>
          </w:p>
        </w:tc>
        <w:tc>
          <w:tcPr>
            <w:tcW w:w="1388" w:type="dxa"/>
            <w:hideMark/>
          </w:tcPr>
          <w:p w14:paraId="0DEF4C1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CMT2U</w:t>
            </w:r>
          </w:p>
        </w:tc>
      </w:tr>
      <w:tr w:rsidR="00BE0B19" w:rsidRPr="00AE47C6" w14:paraId="5B83FB93" w14:textId="77777777" w:rsidTr="00AD72E5">
        <w:tc>
          <w:tcPr>
            <w:tcW w:w="1165" w:type="dxa"/>
            <w:hideMark/>
          </w:tcPr>
          <w:p w14:paraId="2A46C35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MCM3AP</w:t>
            </w:r>
          </w:p>
        </w:tc>
        <w:tc>
          <w:tcPr>
            <w:tcW w:w="1349" w:type="dxa"/>
            <w:hideMark/>
          </w:tcPr>
          <w:p w14:paraId="77C0F5D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414" w:type="dxa"/>
            <w:hideMark/>
          </w:tcPr>
          <w:p w14:paraId="40A4F28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12F91DC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40" w:type="dxa"/>
            <w:hideMark/>
          </w:tcPr>
          <w:p w14:paraId="79F7407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1D71F14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Начало в детска възраст</w:t>
            </w:r>
          </w:p>
        </w:tc>
        <w:tc>
          <w:tcPr>
            <w:tcW w:w="2007" w:type="dxa"/>
            <w:gridSpan w:val="2"/>
            <w:hideMark/>
          </w:tcPr>
          <w:p w14:paraId="3741D9A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603294</w:t>
            </w:r>
          </w:p>
        </w:tc>
        <w:tc>
          <w:tcPr>
            <w:tcW w:w="1388" w:type="dxa"/>
            <w:hideMark/>
          </w:tcPr>
          <w:p w14:paraId="7446CF1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0693BB96" w14:textId="77777777" w:rsidTr="00AD72E5">
        <w:tc>
          <w:tcPr>
            <w:tcW w:w="1165" w:type="dxa"/>
            <w:hideMark/>
          </w:tcPr>
          <w:p w14:paraId="71571C3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MED25</w:t>
            </w:r>
          </w:p>
        </w:tc>
        <w:tc>
          <w:tcPr>
            <w:tcW w:w="1349" w:type="dxa"/>
            <w:hideMark/>
          </w:tcPr>
          <w:p w14:paraId="35E2D781"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AР</w:t>
            </w:r>
          </w:p>
        </w:tc>
        <w:tc>
          <w:tcPr>
            <w:tcW w:w="414" w:type="dxa"/>
            <w:hideMark/>
          </w:tcPr>
          <w:p w14:paraId="5A72423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6C62DCF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27C4F22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4989F7E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4CF8A59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610197</w:t>
            </w:r>
          </w:p>
        </w:tc>
        <w:tc>
          <w:tcPr>
            <w:tcW w:w="1388" w:type="dxa"/>
            <w:hideMark/>
          </w:tcPr>
          <w:p w14:paraId="79F6A7E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CMT2B2</w:t>
            </w:r>
          </w:p>
        </w:tc>
      </w:tr>
      <w:tr w:rsidR="00BE0B19" w:rsidRPr="00AE47C6" w14:paraId="28EF3193" w14:textId="77777777" w:rsidTr="00AD72E5">
        <w:tc>
          <w:tcPr>
            <w:tcW w:w="1165" w:type="dxa"/>
            <w:vMerge w:val="restart"/>
            <w:hideMark/>
          </w:tcPr>
          <w:p w14:paraId="6C90106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MME</w:t>
            </w:r>
          </w:p>
        </w:tc>
        <w:tc>
          <w:tcPr>
            <w:tcW w:w="1349" w:type="dxa"/>
            <w:hideMark/>
          </w:tcPr>
          <w:p w14:paraId="6DD13D7D"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AР</w:t>
            </w:r>
          </w:p>
        </w:tc>
        <w:tc>
          <w:tcPr>
            <w:tcW w:w="414" w:type="dxa"/>
            <w:vMerge w:val="restart"/>
            <w:hideMark/>
          </w:tcPr>
          <w:p w14:paraId="0F30E61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vMerge w:val="restart"/>
            <w:hideMark/>
          </w:tcPr>
          <w:p w14:paraId="61F8AA3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vMerge w:val="restart"/>
            <w:hideMark/>
          </w:tcPr>
          <w:p w14:paraId="1BA61AD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vMerge w:val="restart"/>
            <w:hideMark/>
          </w:tcPr>
          <w:p w14:paraId="4E60089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vMerge w:val="restart"/>
            <w:hideMark/>
          </w:tcPr>
          <w:p w14:paraId="5537417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120520</w:t>
            </w:r>
          </w:p>
        </w:tc>
        <w:tc>
          <w:tcPr>
            <w:tcW w:w="1388" w:type="dxa"/>
            <w:vMerge w:val="restart"/>
            <w:hideMark/>
          </w:tcPr>
          <w:p w14:paraId="43D6F7D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CMT2T</w:t>
            </w:r>
          </w:p>
        </w:tc>
      </w:tr>
      <w:tr w:rsidR="00BE0B19" w:rsidRPr="00AE47C6" w14:paraId="40CA0C4C" w14:textId="77777777" w:rsidTr="00AD72E5">
        <w:tc>
          <w:tcPr>
            <w:tcW w:w="1165" w:type="dxa"/>
            <w:vMerge/>
            <w:hideMark/>
          </w:tcPr>
          <w:p w14:paraId="7B4DA3E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349" w:type="dxa"/>
            <w:hideMark/>
          </w:tcPr>
          <w:p w14:paraId="6C95A40A"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vMerge/>
            <w:hideMark/>
          </w:tcPr>
          <w:p w14:paraId="43C30CA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vMerge/>
            <w:hideMark/>
          </w:tcPr>
          <w:p w14:paraId="2CC8D6E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vMerge/>
            <w:hideMark/>
          </w:tcPr>
          <w:p w14:paraId="2FE9484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vMerge/>
            <w:hideMark/>
          </w:tcPr>
          <w:p w14:paraId="2386253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vMerge/>
            <w:hideMark/>
          </w:tcPr>
          <w:p w14:paraId="6C4E273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388" w:type="dxa"/>
            <w:vMerge/>
            <w:hideMark/>
          </w:tcPr>
          <w:p w14:paraId="0D423A7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589037C7" w14:textId="77777777" w:rsidTr="00AD72E5">
        <w:tc>
          <w:tcPr>
            <w:tcW w:w="1165" w:type="dxa"/>
            <w:hideMark/>
          </w:tcPr>
          <w:p w14:paraId="22469F5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MORC2</w:t>
            </w:r>
          </w:p>
        </w:tc>
        <w:tc>
          <w:tcPr>
            <w:tcW w:w="1349" w:type="dxa"/>
            <w:hideMark/>
          </w:tcPr>
          <w:p w14:paraId="0A5CB83C"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22149C8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0BC5D2D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3F3750B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48211E1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398BC0A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616661</w:t>
            </w:r>
          </w:p>
        </w:tc>
        <w:tc>
          <w:tcPr>
            <w:tcW w:w="1388" w:type="dxa"/>
            <w:hideMark/>
          </w:tcPr>
          <w:p w14:paraId="416B9DC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CMT2Z</w:t>
            </w:r>
          </w:p>
        </w:tc>
      </w:tr>
      <w:tr w:rsidR="00BE0B19" w:rsidRPr="00AE47C6" w14:paraId="421F5DA7" w14:textId="77777777" w:rsidTr="00AD72E5">
        <w:tc>
          <w:tcPr>
            <w:tcW w:w="1165" w:type="dxa"/>
            <w:hideMark/>
          </w:tcPr>
          <w:p w14:paraId="2FB8A36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MPV17</w:t>
            </w:r>
          </w:p>
        </w:tc>
        <w:tc>
          <w:tcPr>
            <w:tcW w:w="1349" w:type="dxa"/>
            <w:hideMark/>
          </w:tcPr>
          <w:p w14:paraId="5960DB7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AR</w:t>
            </w:r>
          </w:p>
        </w:tc>
        <w:tc>
          <w:tcPr>
            <w:tcW w:w="414" w:type="dxa"/>
            <w:hideMark/>
          </w:tcPr>
          <w:p w14:paraId="73D1320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3B79652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3B295F2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3D3455E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Нефропатия</w:t>
            </w:r>
          </w:p>
        </w:tc>
        <w:tc>
          <w:tcPr>
            <w:tcW w:w="2007" w:type="dxa"/>
            <w:gridSpan w:val="2"/>
            <w:hideMark/>
          </w:tcPr>
          <w:p w14:paraId="1BD046A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137960</w:t>
            </w:r>
          </w:p>
        </w:tc>
        <w:tc>
          <w:tcPr>
            <w:tcW w:w="1388" w:type="dxa"/>
            <w:hideMark/>
          </w:tcPr>
          <w:p w14:paraId="20323B7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1D58F881" w14:textId="77777777" w:rsidTr="00AD72E5">
        <w:tc>
          <w:tcPr>
            <w:tcW w:w="1165" w:type="dxa"/>
            <w:hideMark/>
          </w:tcPr>
          <w:p w14:paraId="4858B65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MPZ</w:t>
            </w:r>
          </w:p>
        </w:tc>
        <w:tc>
          <w:tcPr>
            <w:tcW w:w="1349" w:type="dxa"/>
            <w:hideMark/>
          </w:tcPr>
          <w:p w14:paraId="0E573BC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AД</w:t>
            </w:r>
          </w:p>
        </w:tc>
        <w:tc>
          <w:tcPr>
            <w:tcW w:w="414" w:type="dxa"/>
            <w:hideMark/>
          </w:tcPr>
          <w:p w14:paraId="439D593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0675ADD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40" w:type="dxa"/>
            <w:hideMark/>
          </w:tcPr>
          <w:p w14:paraId="6B99DBE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1876" w:type="dxa"/>
            <w:hideMark/>
          </w:tcPr>
          <w:p w14:paraId="08970B5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259B906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118200</w:t>
            </w:r>
          </w:p>
        </w:tc>
        <w:tc>
          <w:tcPr>
            <w:tcW w:w="1388" w:type="dxa"/>
            <w:hideMark/>
          </w:tcPr>
          <w:p w14:paraId="5C0094C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CMT1B</w:t>
            </w:r>
            <w:r w:rsidRPr="00AE47C6">
              <w:rPr>
                <w:rFonts w:ascii="Times New Roman" w:eastAsia="Times New Roman" w:hAnsi="Times New Roman" w:cs="Times New Roman"/>
                <w:sz w:val="24"/>
                <w:szCs w:val="24"/>
                <w:lang w:eastAsia="bg-BG"/>
              </w:rPr>
              <w:br/>
              <w:t>CMT2I/J</w:t>
            </w:r>
            <w:r w:rsidRPr="00AE47C6">
              <w:rPr>
                <w:rFonts w:ascii="Times New Roman" w:eastAsia="Times New Roman" w:hAnsi="Times New Roman" w:cs="Times New Roman"/>
                <w:sz w:val="24"/>
                <w:szCs w:val="24"/>
                <w:lang w:eastAsia="bg-BG"/>
              </w:rPr>
              <w:br/>
              <w:t>DI-CMTD</w:t>
            </w:r>
          </w:p>
        </w:tc>
      </w:tr>
      <w:tr w:rsidR="00BE0B19" w:rsidRPr="00AE47C6" w14:paraId="3A94D0F4" w14:textId="77777777" w:rsidTr="00AD72E5">
        <w:tc>
          <w:tcPr>
            <w:tcW w:w="1165" w:type="dxa"/>
            <w:hideMark/>
          </w:tcPr>
          <w:p w14:paraId="79422EA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MTMR2</w:t>
            </w:r>
          </w:p>
        </w:tc>
        <w:tc>
          <w:tcPr>
            <w:tcW w:w="1349" w:type="dxa"/>
            <w:hideMark/>
          </w:tcPr>
          <w:p w14:paraId="7B04829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414" w:type="dxa"/>
            <w:hideMark/>
          </w:tcPr>
          <w:p w14:paraId="77122D5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0F638BF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40" w:type="dxa"/>
            <w:hideMark/>
          </w:tcPr>
          <w:p w14:paraId="78FDB00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37574EA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Пареза на гласните връзки</w:t>
            </w:r>
          </w:p>
        </w:tc>
        <w:tc>
          <w:tcPr>
            <w:tcW w:w="2007" w:type="dxa"/>
            <w:gridSpan w:val="2"/>
            <w:hideMark/>
          </w:tcPr>
          <w:p w14:paraId="2B70CFB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603557</w:t>
            </w:r>
          </w:p>
        </w:tc>
        <w:tc>
          <w:tcPr>
            <w:tcW w:w="1388" w:type="dxa"/>
            <w:hideMark/>
          </w:tcPr>
          <w:p w14:paraId="21DD1C5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CMT4B1</w:t>
            </w:r>
          </w:p>
        </w:tc>
      </w:tr>
      <w:tr w:rsidR="00BE0B19" w:rsidRPr="00AE47C6" w14:paraId="147D2B01" w14:textId="77777777" w:rsidTr="00AD72E5">
        <w:tc>
          <w:tcPr>
            <w:tcW w:w="1165" w:type="dxa"/>
            <w:hideMark/>
          </w:tcPr>
          <w:p w14:paraId="7A2105F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NAGLU</w:t>
            </w:r>
          </w:p>
        </w:tc>
        <w:tc>
          <w:tcPr>
            <w:tcW w:w="1349" w:type="dxa"/>
            <w:hideMark/>
          </w:tcPr>
          <w:p w14:paraId="5FEDDE9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AД</w:t>
            </w:r>
          </w:p>
        </w:tc>
        <w:tc>
          <w:tcPr>
            <w:tcW w:w="414" w:type="dxa"/>
            <w:hideMark/>
          </w:tcPr>
          <w:p w14:paraId="43804FC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2C8206E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134F6B7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68DA79C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207E1D4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609701</w:t>
            </w:r>
          </w:p>
        </w:tc>
        <w:tc>
          <w:tcPr>
            <w:tcW w:w="1388" w:type="dxa"/>
            <w:hideMark/>
          </w:tcPr>
          <w:p w14:paraId="21354AA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CMT2V</w:t>
            </w:r>
          </w:p>
        </w:tc>
      </w:tr>
      <w:tr w:rsidR="00BE0B19" w:rsidRPr="00AE47C6" w14:paraId="60D4FAAF" w14:textId="77777777" w:rsidTr="00AD72E5">
        <w:tc>
          <w:tcPr>
            <w:tcW w:w="1165" w:type="dxa"/>
            <w:hideMark/>
          </w:tcPr>
          <w:p w14:paraId="20E78C6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NDRG1</w:t>
            </w:r>
          </w:p>
        </w:tc>
        <w:tc>
          <w:tcPr>
            <w:tcW w:w="1349" w:type="dxa"/>
            <w:hideMark/>
          </w:tcPr>
          <w:p w14:paraId="6E01E00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414" w:type="dxa"/>
            <w:hideMark/>
          </w:tcPr>
          <w:p w14:paraId="58FC1E2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5B1D54D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40" w:type="dxa"/>
            <w:hideMark/>
          </w:tcPr>
          <w:p w14:paraId="0F4DCA4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3655C26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13100DF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605262</w:t>
            </w:r>
          </w:p>
        </w:tc>
        <w:tc>
          <w:tcPr>
            <w:tcW w:w="1388" w:type="dxa"/>
            <w:hideMark/>
          </w:tcPr>
          <w:p w14:paraId="69F46BB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CMT4D</w:t>
            </w:r>
          </w:p>
        </w:tc>
      </w:tr>
      <w:tr w:rsidR="00BE0B19" w:rsidRPr="00AE47C6" w14:paraId="2AD9A314" w14:textId="77777777" w:rsidTr="00AD72E5">
        <w:tc>
          <w:tcPr>
            <w:tcW w:w="1165" w:type="dxa"/>
            <w:hideMark/>
          </w:tcPr>
          <w:p w14:paraId="65A1F60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NEFH</w:t>
            </w:r>
          </w:p>
        </w:tc>
        <w:tc>
          <w:tcPr>
            <w:tcW w:w="1349" w:type="dxa"/>
            <w:hideMark/>
          </w:tcPr>
          <w:p w14:paraId="1169087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AД</w:t>
            </w:r>
          </w:p>
        </w:tc>
        <w:tc>
          <w:tcPr>
            <w:tcW w:w="414" w:type="dxa"/>
            <w:hideMark/>
          </w:tcPr>
          <w:p w14:paraId="0576C2D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381D13A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4E89042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7971355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071931E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162230</w:t>
            </w:r>
          </w:p>
        </w:tc>
        <w:tc>
          <w:tcPr>
            <w:tcW w:w="1388" w:type="dxa"/>
            <w:hideMark/>
          </w:tcPr>
          <w:p w14:paraId="6C9BAA1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5B61A3D6" w14:textId="77777777" w:rsidTr="00AD72E5">
        <w:tc>
          <w:tcPr>
            <w:tcW w:w="1165" w:type="dxa"/>
            <w:hideMark/>
          </w:tcPr>
          <w:p w14:paraId="7A52050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NEFL</w:t>
            </w:r>
          </w:p>
        </w:tc>
        <w:tc>
          <w:tcPr>
            <w:tcW w:w="1349" w:type="dxa"/>
            <w:hideMark/>
          </w:tcPr>
          <w:p w14:paraId="3797409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AД, AР</w:t>
            </w:r>
          </w:p>
        </w:tc>
        <w:tc>
          <w:tcPr>
            <w:tcW w:w="414" w:type="dxa"/>
            <w:hideMark/>
          </w:tcPr>
          <w:p w14:paraId="4096E96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788505D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40" w:type="dxa"/>
            <w:hideMark/>
          </w:tcPr>
          <w:p w14:paraId="223EA2E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57FCA45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123902A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 невропатия тип 2E/1F</w:t>
            </w:r>
          </w:p>
        </w:tc>
        <w:tc>
          <w:tcPr>
            <w:tcW w:w="1388" w:type="dxa"/>
            <w:hideMark/>
          </w:tcPr>
          <w:p w14:paraId="3026CBB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CMT1F/2E</w:t>
            </w:r>
          </w:p>
        </w:tc>
      </w:tr>
      <w:tr w:rsidR="00BE0B19" w:rsidRPr="00AE47C6" w14:paraId="2FB6314D" w14:textId="77777777" w:rsidTr="00AD72E5">
        <w:tc>
          <w:tcPr>
            <w:tcW w:w="1165" w:type="dxa"/>
            <w:hideMark/>
          </w:tcPr>
          <w:p w14:paraId="4BD734B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PDK3</w:t>
            </w:r>
          </w:p>
        </w:tc>
        <w:tc>
          <w:tcPr>
            <w:tcW w:w="1349" w:type="dxa"/>
            <w:hideMark/>
          </w:tcPr>
          <w:p w14:paraId="1A0E208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X-свързано</w:t>
            </w:r>
          </w:p>
        </w:tc>
        <w:tc>
          <w:tcPr>
            <w:tcW w:w="414" w:type="dxa"/>
            <w:hideMark/>
          </w:tcPr>
          <w:p w14:paraId="2B01CE6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7F58219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730D14A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57DDA46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6CF7FE1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300906</w:t>
            </w:r>
          </w:p>
        </w:tc>
        <w:tc>
          <w:tcPr>
            <w:tcW w:w="1388" w:type="dxa"/>
            <w:hideMark/>
          </w:tcPr>
          <w:p w14:paraId="00DCBFC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CMTX6</w:t>
            </w:r>
          </w:p>
        </w:tc>
      </w:tr>
      <w:tr w:rsidR="00BE0B19" w:rsidRPr="00AE47C6" w14:paraId="5B8C44C6" w14:textId="77777777" w:rsidTr="00AD72E5">
        <w:tc>
          <w:tcPr>
            <w:tcW w:w="1165" w:type="dxa"/>
            <w:hideMark/>
          </w:tcPr>
          <w:p w14:paraId="7B8E220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PLEKHG5</w:t>
            </w:r>
          </w:p>
        </w:tc>
        <w:tc>
          <w:tcPr>
            <w:tcW w:w="1349" w:type="dxa"/>
            <w:hideMark/>
          </w:tcPr>
          <w:p w14:paraId="16BD323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414" w:type="dxa"/>
            <w:hideMark/>
          </w:tcPr>
          <w:p w14:paraId="733C2FF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6709C5B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7CF3D2C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1876" w:type="dxa"/>
            <w:hideMark/>
          </w:tcPr>
          <w:p w14:paraId="30EA047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Преобладаващо дистално засягане</w:t>
            </w:r>
          </w:p>
        </w:tc>
        <w:tc>
          <w:tcPr>
            <w:tcW w:w="2007" w:type="dxa"/>
            <w:gridSpan w:val="2"/>
            <w:hideMark/>
          </w:tcPr>
          <w:p w14:paraId="1CB94F7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611101</w:t>
            </w:r>
          </w:p>
        </w:tc>
        <w:tc>
          <w:tcPr>
            <w:tcW w:w="1388" w:type="dxa"/>
            <w:hideMark/>
          </w:tcPr>
          <w:p w14:paraId="0C2AA86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DSMA4</w:t>
            </w:r>
          </w:p>
        </w:tc>
      </w:tr>
      <w:tr w:rsidR="00BE0B19" w:rsidRPr="00AE47C6" w14:paraId="07F098CE" w14:textId="77777777" w:rsidTr="00AD72E5">
        <w:tc>
          <w:tcPr>
            <w:tcW w:w="1165" w:type="dxa"/>
            <w:hideMark/>
          </w:tcPr>
          <w:p w14:paraId="2F373E5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PRPS1</w:t>
            </w:r>
          </w:p>
        </w:tc>
        <w:tc>
          <w:tcPr>
            <w:tcW w:w="1349" w:type="dxa"/>
            <w:hideMark/>
          </w:tcPr>
          <w:p w14:paraId="755F645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X-свързано</w:t>
            </w:r>
          </w:p>
        </w:tc>
        <w:tc>
          <w:tcPr>
            <w:tcW w:w="414" w:type="dxa"/>
            <w:hideMark/>
          </w:tcPr>
          <w:p w14:paraId="679994E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09F160F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0C21CCC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07B9E17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Ретинопатия, глухота</w:t>
            </w:r>
          </w:p>
        </w:tc>
        <w:tc>
          <w:tcPr>
            <w:tcW w:w="2007" w:type="dxa"/>
            <w:gridSpan w:val="2"/>
            <w:hideMark/>
          </w:tcPr>
          <w:p w14:paraId="010B265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 невропатия X тип 5</w:t>
            </w:r>
          </w:p>
        </w:tc>
        <w:tc>
          <w:tcPr>
            <w:tcW w:w="1388" w:type="dxa"/>
            <w:hideMark/>
          </w:tcPr>
          <w:p w14:paraId="23C9989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CMTX5</w:t>
            </w:r>
          </w:p>
        </w:tc>
      </w:tr>
      <w:tr w:rsidR="00BE0B19" w:rsidRPr="00AE47C6" w14:paraId="43B2C299" w14:textId="77777777" w:rsidTr="00AD72E5">
        <w:tc>
          <w:tcPr>
            <w:tcW w:w="1165" w:type="dxa"/>
            <w:hideMark/>
          </w:tcPr>
          <w:p w14:paraId="3422C6A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PRX</w:t>
            </w:r>
          </w:p>
        </w:tc>
        <w:tc>
          <w:tcPr>
            <w:tcW w:w="1349" w:type="dxa"/>
            <w:hideMark/>
          </w:tcPr>
          <w:p w14:paraId="352CC702"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AР</w:t>
            </w:r>
          </w:p>
        </w:tc>
        <w:tc>
          <w:tcPr>
            <w:tcW w:w="414" w:type="dxa"/>
            <w:hideMark/>
          </w:tcPr>
          <w:p w14:paraId="11DB65F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28E47D5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60A8DC9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4924541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11BB628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605725</w:t>
            </w:r>
          </w:p>
        </w:tc>
        <w:tc>
          <w:tcPr>
            <w:tcW w:w="1388" w:type="dxa"/>
            <w:hideMark/>
          </w:tcPr>
          <w:p w14:paraId="5CBFC34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CMT4F</w:t>
            </w:r>
          </w:p>
        </w:tc>
      </w:tr>
      <w:tr w:rsidR="00BE0B19" w:rsidRPr="00AE47C6" w14:paraId="5E3D5280" w14:textId="77777777" w:rsidTr="00AD72E5">
        <w:tc>
          <w:tcPr>
            <w:tcW w:w="1165" w:type="dxa"/>
            <w:hideMark/>
          </w:tcPr>
          <w:p w14:paraId="3BE0389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PTRH2</w:t>
            </w:r>
          </w:p>
        </w:tc>
        <w:tc>
          <w:tcPr>
            <w:tcW w:w="1349" w:type="dxa"/>
            <w:hideMark/>
          </w:tcPr>
          <w:p w14:paraId="23E76D2B"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AР</w:t>
            </w:r>
          </w:p>
        </w:tc>
        <w:tc>
          <w:tcPr>
            <w:tcW w:w="414" w:type="dxa"/>
            <w:hideMark/>
          </w:tcPr>
          <w:p w14:paraId="0053D79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2B81EAC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3218E65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00490D6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Намаление на слуха</w:t>
            </w:r>
          </w:p>
        </w:tc>
        <w:tc>
          <w:tcPr>
            <w:tcW w:w="2007" w:type="dxa"/>
            <w:gridSpan w:val="2"/>
            <w:hideMark/>
          </w:tcPr>
          <w:p w14:paraId="0D9480B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608625</w:t>
            </w:r>
          </w:p>
        </w:tc>
        <w:tc>
          <w:tcPr>
            <w:tcW w:w="1388" w:type="dxa"/>
            <w:hideMark/>
          </w:tcPr>
          <w:p w14:paraId="151B955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4E7B2FFC" w14:textId="77777777" w:rsidTr="00AD72E5">
        <w:tc>
          <w:tcPr>
            <w:tcW w:w="1165" w:type="dxa"/>
            <w:hideMark/>
          </w:tcPr>
          <w:p w14:paraId="7192DC5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RAB7A</w:t>
            </w:r>
          </w:p>
        </w:tc>
        <w:tc>
          <w:tcPr>
            <w:tcW w:w="1349" w:type="dxa"/>
            <w:hideMark/>
          </w:tcPr>
          <w:p w14:paraId="2A1C9C0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AД</w:t>
            </w:r>
          </w:p>
        </w:tc>
        <w:tc>
          <w:tcPr>
            <w:tcW w:w="414" w:type="dxa"/>
            <w:hideMark/>
          </w:tcPr>
          <w:p w14:paraId="2699791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68C7B0C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4FD50C4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3B448E5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Изразено сетивно нарушение</w:t>
            </w:r>
          </w:p>
        </w:tc>
        <w:tc>
          <w:tcPr>
            <w:tcW w:w="2007" w:type="dxa"/>
            <w:gridSpan w:val="2"/>
            <w:hideMark/>
          </w:tcPr>
          <w:p w14:paraId="50150F7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602298</w:t>
            </w:r>
          </w:p>
        </w:tc>
        <w:tc>
          <w:tcPr>
            <w:tcW w:w="1388" w:type="dxa"/>
            <w:hideMark/>
          </w:tcPr>
          <w:p w14:paraId="530052F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CMT2B</w:t>
            </w:r>
          </w:p>
        </w:tc>
      </w:tr>
      <w:tr w:rsidR="00BE0B19" w:rsidRPr="00AE47C6" w14:paraId="2EBB7A1A" w14:textId="77777777" w:rsidTr="00AD72E5">
        <w:tc>
          <w:tcPr>
            <w:tcW w:w="1165" w:type="dxa"/>
            <w:hideMark/>
          </w:tcPr>
          <w:p w14:paraId="66ECAC1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SBF1</w:t>
            </w:r>
          </w:p>
        </w:tc>
        <w:tc>
          <w:tcPr>
            <w:tcW w:w="1349" w:type="dxa"/>
            <w:hideMark/>
          </w:tcPr>
          <w:p w14:paraId="2093BF03"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AР</w:t>
            </w:r>
          </w:p>
        </w:tc>
        <w:tc>
          <w:tcPr>
            <w:tcW w:w="414" w:type="dxa"/>
            <w:hideMark/>
          </w:tcPr>
          <w:p w14:paraId="5F138DD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0C3529F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6E98307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5F890EF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2810E93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603560</w:t>
            </w:r>
          </w:p>
        </w:tc>
        <w:tc>
          <w:tcPr>
            <w:tcW w:w="1388" w:type="dxa"/>
            <w:hideMark/>
          </w:tcPr>
          <w:p w14:paraId="2BCE91C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CMT4B3</w:t>
            </w:r>
          </w:p>
        </w:tc>
      </w:tr>
      <w:tr w:rsidR="00BE0B19" w:rsidRPr="00AE47C6" w14:paraId="24DB1BDE" w14:textId="77777777" w:rsidTr="00AD72E5">
        <w:tc>
          <w:tcPr>
            <w:tcW w:w="1165" w:type="dxa"/>
            <w:hideMark/>
          </w:tcPr>
          <w:p w14:paraId="6948061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SBF2</w:t>
            </w:r>
          </w:p>
        </w:tc>
        <w:tc>
          <w:tcPr>
            <w:tcW w:w="1349" w:type="dxa"/>
            <w:hideMark/>
          </w:tcPr>
          <w:p w14:paraId="0B1FA277"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AР</w:t>
            </w:r>
          </w:p>
        </w:tc>
        <w:tc>
          <w:tcPr>
            <w:tcW w:w="414" w:type="dxa"/>
            <w:hideMark/>
          </w:tcPr>
          <w:p w14:paraId="57A8627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71D6EBD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40" w:type="dxa"/>
            <w:hideMark/>
          </w:tcPr>
          <w:p w14:paraId="5D21705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66DEA0A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05C6F11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607697</w:t>
            </w:r>
          </w:p>
        </w:tc>
        <w:tc>
          <w:tcPr>
            <w:tcW w:w="1388" w:type="dxa"/>
            <w:hideMark/>
          </w:tcPr>
          <w:p w14:paraId="3C1C4DA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CMT4B2</w:t>
            </w:r>
          </w:p>
        </w:tc>
      </w:tr>
      <w:tr w:rsidR="00BE0B19" w:rsidRPr="00AE47C6" w14:paraId="7928F5AB" w14:textId="77777777" w:rsidTr="00AD72E5">
        <w:tc>
          <w:tcPr>
            <w:tcW w:w="1165" w:type="dxa"/>
            <w:hideMark/>
          </w:tcPr>
          <w:p w14:paraId="04C8C93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SCO2</w:t>
            </w:r>
          </w:p>
        </w:tc>
        <w:tc>
          <w:tcPr>
            <w:tcW w:w="1349" w:type="dxa"/>
            <w:hideMark/>
          </w:tcPr>
          <w:p w14:paraId="25DC64AD"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AР</w:t>
            </w:r>
          </w:p>
        </w:tc>
        <w:tc>
          <w:tcPr>
            <w:tcW w:w="414" w:type="dxa"/>
            <w:hideMark/>
          </w:tcPr>
          <w:p w14:paraId="130F19F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4562E4E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7DF44E2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20671F0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Моторна невропатия</w:t>
            </w:r>
          </w:p>
        </w:tc>
        <w:tc>
          <w:tcPr>
            <w:tcW w:w="2007" w:type="dxa"/>
            <w:gridSpan w:val="2"/>
            <w:hideMark/>
          </w:tcPr>
          <w:p w14:paraId="2F1D7ED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388" w:type="dxa"/>
            <w:hideMark/>
          </w:tcPr>
          <w:p w14:paraId="19980C9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6037D5C8" w14:textId="77777777" w:rsidTr="00AD72E5">
        <w:tc>
          <w:tcPr>
            <w:tcW w:w="1165" w:type="dxa"/>
            <w:hideMark/>
          </w:tcPr>
          <w:p w14:paraId="33658D0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SETX</w:t>
            </w:r>
          </w:p>
        </w:tc>
        <w:tc>
          <w:tcPr>
            <w:tcW w:w="1349" w:type="dxa"/>
            <w:hideMark/>
          </w:tcPr>
          <w:p w14:paraId="59DFC1D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AД</w:t>
            </w:r>
          </w:p>
        </w:tc>
        <w:tc>
          <w:tcPr>
            <w:tcW w:w="414" w:type="dxa"/>
            <w:hideMark/>
          </w:tcPr>
          <w:p w14:paraId="781D65A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1AD2534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11D16B8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2A174F1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Дистални отдели на крайниците</w:t>
            </w:r>
          </w:p>
        </w:tc>
        <w:tc>
          <w:tcPr>
            <w:tcW w:w="2007" w:type="dxa"/>
            <w:gridSpan w:val="2"/>
            <w:hideMark/>
          </w:tcPr>
          <w:p w14:paraId="5B41396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608465</w:t>
            </w:r>
          </w:p>
        </w:tc>
        <w:tc>
          <w:tcPr>
            <w:tcW w:w="1388" w:type="dxa"/>
            <w:hideMark/>
          </w:tcPr>
          <w:p w14:paraId="7043484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FALS</w:t>
            </w:r>
          </w:p>
        </w:tc>
      </w:tr>
      <w:tr w:rsidR="00BE0B19" w:rsidRPr="00AE47C6" w14:paraId="3E389BC9" w14:textId="77777777" w:rsidTr="00AD72E5">
        <w:tc>
          <w:tcPr>
            <w:tcW w:w="1165" w:type="dxa"/>
            <w:hideMark/>
          </w:tcPr>
          <w:p w14:paraId="5911305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SIGMAR1</w:t>
            </w:r>
          </w:p>
        </w:tc>
        <w:tc>
          <w:tcPr>
            <w:tcW w:w="1349" w:type="dxa"/>
            <w:hideMark/>
          </w:tcPr>
          <w:p w14:paraId="0378A63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414" w:type="dxa"/>
            <w:hideMark/>
          </w:tcPr>
          <w:p w14:paraId="468E5F2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5EE64C9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44141CE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52A4EB8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Моторна невропатия</w:t>
            </w:r>
          </w:p>
        </w:tc>
        <w:tc>
          <w:tcPr>
            <w:tcW w:w="2007" w:type="dxa"/>
            <w:gridSpan w:val="2"/>
            <w:hideMark/>
          </w:tcPr>
          <w:p w14:paraId="1BEBB92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601978</w:t>
            </w:r>
          </w:p>
        </w:tc>
        <w:tc>
          <w:tcPr>
            <w:tcW w:w="1388" w:type="dxa"/>
            <w:hideMark/>
          </w:tcPr>
          <w:p w14:paraId="3D2B390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705A661F" w14:textId="77777777" w:rsidTr="00AD72E5">
        <w:tc>
          <w:tcPr>
            <w:tcW w:w="1165" w:type="dxa"/>
            <w:hideMark/>
          </w:tcPr>
          <w:p w14:paraId="1CBD55B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SGPL1</w:t>
            </w:r>
          </w:p>
        </w:tc>
        <w:tc>
          <w:tcPr>
            <w:tcW w:w="1349" w:type="dxa"/>
            <w:hideMark/>
          </w:tcPr>
          <w:p w14:paraId="268E5CAC"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AР</w:t>
            </w:r>
          </w:p>
        </w:tc>
        <w:tc>
          <w:tcPr>
            <w:tcW w:w="414" w:type="dxa"/>
            <w:hideMark/>
          </w:tcPr>
          <w:p w14:paraId="3E85EA6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327D786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1281209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7ECB655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Рекурентни полиневропатии</w:t>
            </w:r>
          </w:p>
        </w:tc>
        <w:tc>
          <w:tcPr>
            <w:tcW w:w="2007" w:type="dxa"/>
            <w:gridSpan w:val="2"/>
            <w:hideMark/>
          </w:tcPr>
          <w:p w14:paraId="5BFCA94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603729</w:t>
            </w:r>
          </w:p>
        </w:tc>
        <w:tc>
          <w:tcPr>
            <w:tcW w:w="1388" w:type="dxa"/>
            <w:hideMark/>
          </w:tcPr>
          <w:p w14:paraId="06F7ED6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5C537011" w14:textId="77777777" w:rsidTr="00AD72E5">
        <w:tc>
          <w:tcPr>
            <w:tcW w:w="1165" w:type="dxa"/>
            <w:hideMark/>
          </w:tcPr>
          <w:p w14:paraId="570CA2D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SPG11</w:t>
            </w:r>
          </w:p>
        </w:tc>
        <w:tc>
          <w:tcPr>
            <w:tcW w:w="1349" w:type="dxa"/>
            <w:hideMark/>
          </w:tcPr>
          <w:p w14:paraId="1ACF8AB1"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AР</w:t>
            </w:r>
          </w:p>
        </w:tc>
        <w:tc>
          <w:tcPr>
            <w:tcW w:w="414" w:type="dxa"/>
            <w:hideMark/>
          </w:tcPr>
          <w:p w14:paraId="27085C7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06CF91C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6419402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37BE505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Спастицитет, когнитивен упадък</w:t>
            </w:r>
          </w:p>
        </w:tc>
        <w:tc>
          <w:tcPr>
            <w:tcW w:w="2007" w:type="dxa"/>
            <w:gridSpan w:val="2"/>
            <w:hideMark/>
          </w:tcPr>
          <w:p w14:paraId="1B1BDF7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610844</w:t>
            </w:r>
          </w:p>
        </w:tc>
        <w:tc>
          <w:tcPr>
            <w:tcW w:w="1388" w:type="dxa"/>
            <w:hideMark/>
          </w:tcPr>
          <w:p w14:paraId="17596A6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CMT2X</w:t>
            </w:r>
            <w:r w:rsidRPr="00AE47C6">
              <w:rPr>
                <w:rFonts w:ascii="Times New Roman" w:eastAsia="Times New Roman" w:hAnsi="Times New Roman" w:cs="Times New Roman"/>
                <w:sz w:val="24"/>
                <w:szCs w:val="24"/>
                <w:lang w:eastAsia="bg-BG"/>
              </w:rPr>
              <w:br/>
              <w:t>ALS5</w:t>
            </w:r>
          </w:p>
        </w:tc>
      </w:tr>
      <w:tr w:rsidR="00BE0B19" w:rsidRPr="00AE47C6" w14:paraId="6E730587" w14:textId="77777777" w:rsidTr="00AD72E5">
        <w:tc>
          <w:tcPr>
            <w:tcW w:w="1165" w:type="dxa"/>
            <w:hideMark/>
          </w:tcPr>
          <w:p w14:paraId="07FF320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SPTLC1</w:t>
            </w:r>
          </w:p>
        </w:tc>
        <w:tc>
          <w:tcPr>
            <w:tcW w:w="1349" w:type="dxa"/>
            <w:hideMark/>
          </w:tcPr>
          <w:p w14:paraId="642F78C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AД</w:t>
            </w:r>
          </w:p>
        </w:tc>
        <w:tc>
          <w:tcPr>
            <w:tcW w:w="414" w:type="dxa"/>
            <w:hideMark/>
          </w:tcPr>
          <w:p w14:paraId="0C387D2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6E24F58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1AEB87F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58CC05C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2607084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605712</w:t>
            </w:r>
          </w:p>
        </w:tc>
        <w:tc>
          <w:tcPr>
            <w:tcW w:w="1388" w:type="dxa"/>
            <w:hideMark/>
          </w:tcPr>
          <w:p w14:paraId="76D542D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HSAN1A</w:t>
            </w:r>
          </w:p>
        </w:tc>
      </w:tr>
      <w:tr w:rsidR="00BE0B19" w:rsidRPr="00AE47C6" w14:paraId="3E8AE5F4" w14:textId="77777777" w:rsidTr="00AD72E5">
        <w:tc>
          <w:tcPr>
            <w:tcW w:w="1165" w:type="dxa"/>
            <w:hideMark/>
          </w:tcPr>
          <w:p w14:paraId="4DA805F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TRIM2</w:t>
            </w:r>
          </w:p>
        </w:tc>
        <w:tc>
          <w:tcPr>
            <w:tcW w:w="1349" w:type="dxa"/>
            <w:hideMark/>
          </w:tcPr>
          <w:p w14:paraId="41F9297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414" w:type="dxa"/>
            <w:hideMark/>
          </w:tcPr>
          <w:p w14:paraId="0EB9CE6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092FC9B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09594C5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41D2728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Пареза на гласните връзки</w:t>
            </w:r>
          </w:p>
        </w:tc>
        <w:tc>
          <w:tcPr>
            <w:tcW w:w="2007" w:type="dxa"/>
            <w:gridSpan w:val="2"/>
            <w:hideMark/>
          </w:tcPr>
          <w:p w14:paraId="4181A05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614141</w:t>
            </w:r>
          </w:p>
        </w:tc>
        <w:tc>
          <w:tcPr>
            <w:tcW w:w="1388" w:type="dxa"/>
            <w:hideMark/>
          </w:tcPr>
          <w:p w14:paraId="24F0A23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CMT2R</w:t>
            </w:r>
          </w:p>
        </w:tc>
      </w:tr>
      <w:tr w:rsidR="00BE0B19" w:rsidRPr="00AE47C6" w14:paraId="1484CFAC" w14:textId="77777777" w:rsidTr="00AD72E5">
        <w:tc>
          <w:tcPr>
            <w:tcW w:w="1165" w:type="dxa"/>
            <w:hideMark/>
          </w:tcPr>
          <w:p w14:paraId="71A4854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TRPV4</w:t>
            </w:r>
          </w:p>
        </w:tc>
        <w:tc>
          <w:tcPr>
            <w:tcW w:w="1349" w:type="dxa"/>
            <w:hideMark/>
          </w:tcPr>
          <w:p w14:paraId="4F9AB5A3"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7D36FFF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420660B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09B989D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2DE93DB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Пареза на гласните връзки, скелетни дисплазии</w:t>
            </w:r>
          </w:p>
        </w:tc>
        <w:tc>
          <w:tcPr>
            <w:tcW w:w="2007" w:type="dxa"/>
            <w:gridSpan w:val="2"/>
            <w:hideMark/>
          </w:tcPr>
          <w:p w14:paraId="67F17C0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 xml:space="preserve">TRPV4-свързани заболявания </w:t>
            </w:r>
          </w:p>
        </w:tc>
        <w:tc>
          <w:tcPr>
            <w:tcW w:w="1388" w:type="dxa"/>
            <w:hideMark/>
          </w:tcPr>
          <w:p w14:paraId="3631187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CMT2C</w:t>
            </w:r>
          </w:p>
        </w:tc>
      </w:tr>
      <w:tr w:rsidR="00BE0B19" w:rsidRPr="00AE47C6" w14:paraId="1E753782" w14:textId="77777777" w:rsidTr="00AD72E5">
        <w:tc>
          <w:tcPr>
            <w:tcW w:w="1165" w:type="dxa"/>
            <w:hideMark/>
          </w:tcPr>
          <w:p w14:paraId="461FBAA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VCP</w:t>
            </w:r>
          </w:p>
        </w:tc>
        <w:tc>
          <w:tcPr>
            <w:tcW w:w="1349" w:type="dxa"/>
            <w:hideMark/>
          </w:tcPr>
          <w:p w14:paraId="4A49335F"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7544AA0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663B218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0581722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5204707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Миопатия с телца на включване, деменция</w:t>
            </w:r>
          </w:p>
        </w:tc>
        <w:tc>
          <w:tcPr>
            <w:tcW w:w="2007" w:type="dxa"/>
            <w:gridSpan w:val="2"/>
            <w:hideMark/>
          </w:tcPr>
          <w:p w14:paraId="0F5C926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Миопатия с телца на включване  с болест на Paget на костите и/или фронтотемпорална деменция</w:t>
            </w:r>
          </w:p>
        </w:tc>
        <w:tc>
          <w:tcPr>
            <w:tcW w:w="1388" w:type="dxa"/>
            <w:hideMark/>
          </w:tcPr>
          <w:p w14:paraId="6D6A34B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CMT2Y</w:t>
            </w:r>
          </w:p>
        </w:tc>
      </w:tr>
      <w:tr w:rsidR="00BE0B19" w:rsidRPr="00AE47C6" w14:paraId="0B80FBF8" w14:textId="77777777" w:rsidTr="00AD72E5">
        <w:tc>
          <w:tcPr>
            <w:tcW w:w="1165" w:type="dxa"/>
            <w:hideMark/>
          </w:tcPr>
          <w:p w14:paraId="11DF46C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WARS</w:t>
            </w:r>
          </w:p>
        </w:tc>
        <w:tc>
          <w:tcPr>
            <w:tcW w:w="1349" w:type="dxa"/>
            <w:hideMark/>
          </w:tcPr>
          <w:p w14:paraId="3DAAFDE2"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63DAACC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21" w:type="dxa"/>
            <w:hideMark/>
          </w:tcPr>
          <w:p w14:paraId="57233AC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7D9331D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12EB285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Моторна невропатия</w:t>
            </w:r>
          </w:p>
        </w:tc>
        <w:tc>
          <w:tcPr>
            <w:tcW w:w="2007" w:type="dxa"/>
            <w:gridSpan w:val="2"/>
            <w:hideMark/>
          </w:tcPr>
          <w:p w14:paraId="627796E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191050</w:t>
            </w:r>
          </w:p>
        </w:tc>
        <w:tc>
          <w:tcPr>
            <w:tcW w:w="1388" w:type="dxa"/>
            <w:hideMark/>
          </w:tcPr>
          <w:p w14:paraId="20E4FB1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dHMN9</w:t>
            </w:r>
          </w:p>
        </w:tc>
      </w:tr>
      <w:tr w:rsidR="00BE0B19" w:rsidRPr="00AE47C6" w14:paraId="6BBBEFE7" w14:textId="77777777" w:rsidTr="00AD72E5">
        <w:tc>
          <w:tcPr>
            <w:tcW w:w="1165" w:type="dxa"/>
            <w:hideMark/>
          </w:tcPr>
          <w:p w14:paraId="6E4F1A6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YARS</w:t>
            </w:r>
          </w:p>
        </w:tc>
        <w:tc>
          <w:tcPr>
            <w:tcW w:w="1349" w:type="dxa"/>
            <w:hideMark/>
          </w:tcPr>
          <w:p w14:paraId="6BB5D6C9" w14:textId="77777777" w:rsidR="00BE0B19" w:rsidRPr="00AE47C6" w:rsidRDefault="00BE0B19" w:rsidP="00BE0B19">
            <w:pPr>
              <w:spacing w:after="0" w:line="360" w:lineRule="auto"/>
              <w:jc w:val="both"/>
              <w:rPr>
                <w:rFonts w:ascii="Times New Roman" w:hAnsi="Times New Roman" w:cs="Times New Roman"/>
                <w:sz w:val="24"/>
                <w:szCs w:val="24"/>
              </w:rPr>
            </w:pPr>
            <w:r w:rsidRPr="00AE47C6">
              <w:rPr>
                <w:rFonts w:ascii="Times New Roman" w:hAnsi="Times New Roman" w:cs="Times New Roman"/>
                <w:sz w:val="24"/>
                <w:szCs w:val="24"/>
              </w:rPr>
              <w:t>AД</w:t>
            </w:r>
          </w:p>
        </w:tc>
        <w:tc>
          <w:tcPr>
            <w:tcW w:w="414" w:type="dxa"/>
            <w:hideMark/>
          </w:tcPr>
          <w:p w14:paraId="39FDBB5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56095FE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40" w:type="dxa"/>
            <w:hideMark/>
          </w:tcPr>
          <w:p w14:paraId="40B13CE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1876" w:type="dxa"/>
            <w:hideMark/>
          </w:tcPr>
          <w:p w14:paraId="6A7AE3F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2007" w:type="dxa"/>
            <w:gridSpan w:val="2"/>
            <w:hideMark/>
          </w:tcPr>
          <w:p w14:paraId="0787E6A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603623</w:t>
            </w:r>
          </w:p>
        </w:tc>
        <w:tc>
          <w:tcPr>
            <w:tcW w:w="1388" w:type="dxa"/>
            <w:hideMark/>
          </w:tcPr>
          <w:p w14:paraId="03A8547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DI-CMTC</w:t>
            </w:r>
          </w:p>
        </w:tc>
      </w:tr>
      <w:tr w:rsidR="00BE0B19" w:rsidRPr="00AE47C6" w14:paraId="4A10B2F1" w14:textId="77777777" w:rsidTr="00AD72E5">
        <w:tc>
          <w:tcPr>
            <w:tcW w:w="1165" w:type="dxa"/>
            <w:hideMark/>
          </w:tcPr>
          <w:p w14:paraId="23EF58F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Неизвестен</w:t>
            </w:r>
          </w:p>
        </w:tc>
        <w:tc>
          <w:tcPr>
            <w:tcW w:w="1349" w:type="dxa"/>
            <w:hideMark/>
          </w:tcPr>
          <w:p w14:paraId="3035EDA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X-свързано</w:t>
            </w:r>
          </w:p>
        </w:tc>
        <w:tc>
          <w:tcPr>
            <w:tcW w:w="414" w:type="dxa"/>
            <w:hideMark/>
          </w:tcPr>
          <w:p w14:paraId="1FEAF04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421" w:type="dxa"/>
            <w:hideMark/>
          </w:tcPr>
          <w:p w14:paraId="131131C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w:t>
            </w:r>
          </w:p>
        </w:tc>
        <w:tc>
          <w:tcPr>
            <w:tcW w:w="440" w:type="dxa"/>
            <w:hideMark/>
          </w:tcPr>
          <w:p w14:paraId="15B08D6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c>
          <w:tcPr>
            <w:tcW w:w="1876" w:type="dxa"/>
            <w:hideMark/>
          </w:tcPr>
          <w:p w14:paraId="312D223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Бърза прогресия, тежка слабост в ръцете</w:t>
            </w:r>
          </w:p>
        </w:tc>
        <w:tc>
          <w:tcPr>
            <w:tcW w:w="2007" w:type="dxa"/>
            <w:gridSpan w:val="2"/>
            <w:hideMark/>
          </w:tcPr>
          <w:p w14:paraId="2B85D57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OMIM 302802</w:t>
            </w:r>
          </w:p>
        </w:tc>
        <w:tc>
          <w:tcPr>
            <w:tcW w:w="1388" w:type="dxa"/>
            <w:hideMark/>
          </w:tcPr>
          <w:p w14:paraId="485A44D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CMTX3</w:t>
            </w:r>
          </w:p>
        </w:tc>
      </w:tr>
    </w:tbl>
    <w:p w14:paraId="7DADAD86" w14:textId="77777777" w:rsidR="00BE0B19" w:rsidRPr="00AE47C6" w:rsidRDefault="00BE0B19" w:rsidP="00BE0B19">
      <w:pPr>
        <w:spacing w:after="0" w:line="360" w:lineRule="auto"/>
        <w:ind w:firstLine="708"/>
        <w:jc w:val="both"/>
        <w:rPr>
          <w:rFonts w:ascii="Times New Roman" w:eastAsia="SimSun" w:hAnsi="Times New Roman"/>
          <w:sz w:val="24"/>
          <w:szCs w:val="24"/>
        </w:rPr>
      </w:pPr>
    </w:p>
    <w:p w14:paraId="0AE6F60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Dejerine-Sottas синдромът все по-рядко се възприема като отделна ШМТ форма, тъй като молекулярно-генетичните изследвания показаха, че той може да се причинява от хетерозиготни и хомозиготни мутации в PMP22 и MPZ гените, хетерозиготни мутации в EGR2 гена и хомозиготни мутации в PRX и GDAP1 гените (Inherited Peripheral Neuropathies Mutation Database). Същото важи и за синдрома на конгенитална хипомиелинизация (КХ).</w:t>
      </w:r>
    </w:p>
    <w:p w14:paraId="597A1AA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Епидемиология</w:t>
      </w:r>
      <w:r w:rsidRPr="00AE47C6">
        <w:rPr>
          <w:rFonts w:ascii="Times New Roman" w:eastAsia="SimSun" w:hAnsi="Times New Roman"/>
          <w:sz w:val="24"/>
          <w:szCs w:val="24"/>
        </w:rPr>
        <w:t xml:space="preserve">. Болестта на Charcot-Marie-Tooth е най-честото моногенно наследствено заболяване на нервната система, засягащо близо 1 – 4 /10 000 индивида. В световен мащаб се смята, че най-чести са доминантните ШМТ тип 1. В България разпространението на ШМТ варира от 1 /10 000 индивида сред общата популация до 3,5 /10 000 индивида сред ромите, при които преобладават рецесивните форми. </w:t>
      </w:r>
    </w:p>
    <w:p w14:paraId="3C5E436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Етиология</w:t>
      </w:r>
      <w:r w:rsidRPr="00AE47C6">
        <w:rPr>
          <w:rFonts w:ascii="Times New Roman" w:eastAsia="SimSun" w:hAnsi="Times New Roman"/>
          <w:sz w:val="24"/>
          <w:szCs w:val="24"/>
        </w:rPr>
        <w:t>. Досега са идентифицирани над 80 гена, различни мутации в които водят до една или друга форма на НМСН. Най-честата мутация, която е причина за около 70% от всички случаи на НМСН 1, е дупликацията на PMP22 гена в 17 хромозома. Втори по честота са мутациите, възникващи в конексин 32 гена, локализиран върху Х-хромозомата. Различни мутации в MPZ гена водят до широк клиничен спектър от НМСН.</w:t>
      </w:r>
    </w:p>
    <w:p w14:paraId="074C971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В България са описани клинически и генотипизирани три нови автозомно-рецесивни наследствени невропатии, специфични за ромския етнос: НМСН тип Лом, НМСН тип Русе и Конгенитална катаракта, лицев дизморфизъм, невропатия синдром. За първи път при българска и американска фамилии беше описана АД НМСН с междинни СП – ДМ СМТ С, с мутации в YARS гена.</w:t>
      </w:r>
    </w:p>
    <w:p w14:paraId="204E256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Патогенеза</w:t>
      </w:r>
      <w:r w:rsidRPr="00AE47C6">
        <w:rPr>
          <w:rFonts w:ascii="Times New Roman" w:eastAsia="SimSun" w:hAnsi="Times New Roman"/>
          <w:sz w:val="24"/>
          <w:szCs w:val="24"/>
        </w:rPr>
        <w:t>. Съществува голямо разнообразие от патогенетични механизми, водещи до развитието на НМСН, като зад всеки от тях стои определен генетичен дефект. Например дупликацията на PMP22 гена променя генния дозаж, увеличава се количеството на белтъчния продукт, при което се нарушава взаимодействието между аксоните и Швановите клетки. Мутациите в MPZ гена причиняват нарушение във формирането на компактния мултиламеларен миелин. EGR2 е важен транскрипционен фактор и генетичните дефекти в този ген засягат регулацията на клетъчната пролиферация на Швановите клетки. Мутации в NЕFL гена водят до акумулиране на неврофиламентните протеини в клетъчните тела и нарушават аксонния транспорт, аксонната регенерация и аксонния живот. Генотип-фенотип корелациите разкриват сложната патогенеза на тези заболявания с изява на по-лек или по-тежък, демиелинизиращ или аксонен фенотип в зависимост от вида на мутацията. Някои мутации, като например 1.5 Mb делеция, включваща РМР22 гена, водят до специфична клинична картина с изява на наследствена невропатия със склонност към парализи при притискане (ННПП). Мутации в един и същи ген могат да водят до различен фенотип - напр. ШМТ 1А и ДСС при РМР22 мутации, ШМТ 1 и ШМТ 2 при мутации в MPZ и NEFL гените. Един и същи фенотип – напр. ДСС, може да бъде резултат от мутации в различни гени.</w:t>
      </w:r>
    </w:p>
    <w:p w14:paraId="70FEA408" w14:textId="77777777" w:rsidR="00BE0B19" w:rsidRPr="00AE47C6" w:rsidRDefault="00BE0B19" w:rsidP="00BE0B19">
      <w:pPr>
        <w:spacing w:after="0" w:line="360" w:lineRule="auto"/>
        <w:ind w:firstLine="708"/>
        <w:jc w:val="both"/>
        <w:rPr>
          <w:rFonts w:ascii="Times New Roman" w:eastAsia="SimSun" w:hAnsi="Times New Roman"/>
          <w:b/>
          <w:sz w:val="24"/>
          <w:szCs w:val="24"/>
        </w:rPr>
      </w:pPr>
      <w:r w:rsidRPr="00AE47C6">
        <w:rPr>
          <w:rFonts w:ascii="Times New Roman" w:eastAsia="SimSun" w:hAnsi="Times New Roman"/>
          <w:b/>
          <w:sz w:val="24"/>
          <w:szCs w:val="24"/>
        </w:rPr>
        <w:t xml:space="preserve">Клинична картина </w:t>
      </w:r>
    </w:p>
    <w:p w14:paraId="73E7B42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Демиелинизиращата НМСН (тип 1)</w:t>
      </w:r>
      <w:r w:rsidRPr="00AE47C6">
        <w:rPr>
          <w:rFonts w:ascii="Times New Roman" w:eastAsia="SimSun" w:hAnsi="Times New Roman"/>
          <w:sz w:val="24"/>
          <w:szCs w:val="24"/>
        </w:rPr>
        <w:t xml:space="preserve"> е най-честата наследствена периферна невропатия и представлява генетично хетерогенно заболяване. Унаследяването най-често е АД и по-рядко Х-доминантно или АР. Молекулярно-генетичните изследвания установяват, че тези генетични форми представляват отделни нозологични единици, причинени от мутации в различни гени. Най-общо НМСН тип 1 се характеризира със забавена скорост на провеждане по моторните и сензорните влакна и признаци на демиелинизация на невралната биопсия. </w:t>
      </w:r>
    </w:p>
    <w:p w14:paraId="1AF70FB7" w14:textId="77777777" w:rsidR="00BE0B19" w:rsidRPr="00AE47C6" w:rsidRDefault="00BE0B19" w:rsidP="00BE0B19">
      <w:pPr>
        <w:spacing w:after="0" w:line="360" w:lineRule="auto"/>
        <w:ind w:firstLine="709"/>
        <w:jc w:val="both"/>
        <w:rPr>
          <w:rFonts w:ascii="Times New Roman" w:eastAsia="SimSun" w:hAnsi="Times New Roman"/>
          <w:i/>
          <w:sz w:val="24"/>
          <w:szCs w:val="24"/>
        </w:rPr>
      </w:pPr>
      <w:r w:rsidRPr="00AE47C6">
        <w:rPr>
          <w:rFonts w:ascii="Times New Roman" w:eastAsia="SimSun" w:hAnsi="Times New Roman"/>
          <w:i/>
          <w:sz w:val="24"/>
          <w:szCs w:val="24"/>
        </w:rPr>
        <w:t>Автозомно-доминантна демиелинизираща НМСН тип 1</w:t>
      </w:r>
      <w:r w:rsidRPr="00AE47C6">
        <w:rPr>
          <w:rFonts w:ascii="Times New Roman" w:eastAsia="SimSun" w:hAnsi="Times New Roman"/>
          <w:sz w:val="24"/>
          <w:szCs w:val="24"/>
        </w:rPr>
        <w:t xml:space="preserve"> (АД НМСН 1)</w:t>
      </w:r>
    </w:p>
    <w:p w14:paraId="1322A75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Клиничната картина е идентична с класическия фенотип. Началото на оплакванията е обикновено между 5 и 25 годишна възраст. Основните черти са дистална слабост с начало в перонеалната мускулатура и евентуално в други дистални мускули на краката и ръцете. Сухожилните рефлекси обикновено липсват или са отслабени. Често още в началото на заболяването е налице деформация на стъпалата по типа pes cavus. Понякога се палпират подкожно удебелени периферни нерви. Сетивните нарушения са дискретни и могат да останат неразпознати при рутинното неврологично изследване. Степента на тежест е относително лека и пациентите остават самостоятелно подвижни дори и в късна възраст.</w:t>
      </w:r>
    </w:p>
    <w:p w14:paraId="337A6F8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Х-доминантната демиелинизираща НМСН-конексинопатия</w:t>
      </w:r>
      <w:r w:rsidRPr="00AE47C6">
        <w:rPr>
          <w:rFonts w:ascii="Times New Roman" w:eastAsia="SimSun" w:hAnsi="Times New Roman"/>
          <w:sz w:val="24"/>
          <w:szCs w:val="24"/>
        </w:rPr>
        <w:t xml:space="preserve"> (НМСН Х) е моторно-сетивна невропатия, която засяга по-често мъжете. </w:t>
      </w:r>
    </w:p>
    <w:p w14:paraId="7B14527F" w14:textId="77777777" w:rsidR="00BE0B19" w:rsidRPr="00AE47C6" w:rsidRDefault="00BE0B19" w:rsidP="00BE0B19">
      <w:pPr>
        <w:spacing w:after="0" w:line="360" w:lineRule="auto"/>
        <w:ind w:firstLine="709"/>
        <w:jc w:val="both"/>
        <w:rPr>
          <w:rFonts w:ascii="Times New Roman" w:eastAsia="SimSun" w:hAnsi="Times New Roman"/>
          <w:i/>
          <w:sz w:val="24"/>
          <w:szCs w:val="24"/>
        </w:rPr>
      </w:pPr>
      <w:r w:rsidRPr="00AE47C6">
        <w:rPr>
          <w:rFonts w:ascii="Times New Roman" w:eastAsia="SimSun" w:hAnsi="Times New Roman"/>
          <w:sz w:val="24"/>
          <w:szCs w:val="24"/>
        </w:rPr>
        <w:t>Молекулярно-генетичните изследвания откриват мутации в конексин 32 гена, намиращ се върху Xq13.1 хромозомата. Конексин 32 е gap-junction мембранен протеин, локализиран във възлите на Ranvier и в Schmidt-Lanterman инцизурите в периферния нерв. Предполага се, че структурно и функционално участва в междуклетъчното и вътреклетъчното пренасяне на йони, хранителни вещества и други малки молекули около и през компактния миелин до най-вътрешните миелинови слоеве, вероятно индиректно подхранвайки и аксона. Това би могло да обясни комбинацията от увреждане на миелина и аксонна дегенерация, които се наблюдават при Сх 32 мутации.</w:t>
      </w:r>
    </w:p>
    <w:p w14:paraId="55ADB98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Клиничният фенотип при мъжете с НМСН Х е обикновено по-тежък от този при пациентите с НМСН 1А дупликация, но началната възраст е по-късна – обикновено във второ десетилетие. Проявите при засегнатите жени варират от липсващи до леко или умерено тежки, което се дължи на наличието на един нормален алел. Клиничните симптоми могат да варират значително, дори и в отделните фамилии. Изследването на СП показва вариации от почти нормални до умерено снижени, най-често в обхвата 30-40 m/s. При мъжете обикновено са по-ниски, в следствие на което електрофизиологичната насока е за НМСН 1 или НМСН 2. При НМСН Х е установена и възрастово зависима пенетрантност. </w:t>
      </w:r>
    </w:p>
    <w:p w14:paraId="04B3B01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Наследствената невропатия със склонност към парализи при притискане</w:t>
      </w:r>
      <w:r w:rsidRPr="00AE47C6">
        <w:rPr>
          <w:rFonts w:ascii="Times New Roman" w:eastAsia="SimSun" w:hAnsi="Times New Roman"/>
          <w:sz w:val="24"/>
          <w:szCs w:val="24"/>
        </w:rPr>
        <w:t xml:space="preserve"> (ННПП) е АД заболяване.</w:t>
      </w:r>
    </w:p>
    <w:p w14:paraId="7C77045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Характеризира се с различно локализирани рекурентни парези на периферни нерви или сетивни нарушения без болки, често провокирани от леки травми или компресия. Обикновено началото е остро, но може да бъде и хронично прогресиращо. В повечето случаи пациентите се възстановяват за дни или седмици, но често се наблюдават рецидиви, а слабостта може да се задържи и за дълъг период. Някои имат признаци на симетрична дистална невропатия, без остри парези. При 50-80% от пациентите се установява ахилова арефлексия, а при 15-30% - дифузна хипорефлексия. Малък брой (10-15%) от пациентите с мутации могат да бъдат клинично асимптомни, което показва непълна пенетрантност. </w:t>
      </w:r>
    </w:p>
    <w:p w14:paraId="7CEF9C2E" w14:textId="77777777" w:rsidR="00BE0B19" w:rsidRPr="00AE47C6" w:rsidRDefault="00BE0B19" w:rsidP="00BE0B19">
      <w:pPr>
        <w:spacing w:after="0" w:line="360" w:lineRule="auto"/>
        <w:ind w:firstLine="709"/>
        <w:jc w:val="both"/>
        <w:rPr>
          <w:rFonts w:ascii="Times New Roman" w:eastAsia="SimSun" w:hAnsi="Times New Roman"/>
          <w:i/>
          <w:sz w:val="24"/>
          <w:szCs w:val="24"/>
        </w:rPr>
      </w:pPr>
      <w:r w:rsidRPr="00AE47C6">
        <w:rPr>
          <w:rFonts w:ascii="Times New Roman" w:eastAsia="SimSun" w:hAnsi="Times New Roman"/>
          <w:i/>
          <w:sz w:val="24"/>
          <w:szCs w:val="24"/>
        </w:rPr>
        <w:t xml:space="preserve">Автозомно рецесивните демиелинизиращи НМСН </w:t>
      </w:r>
      <w:r w:rsidRPr="00AE47C6">
        <w:rPr>
          <w:rFonts w:ascii="Times New Roman" w:eastAsia="SimSun" w:hAnsi="Times New Roman"/>
          <w:sz w:val="24"/>
          <w:szCs w:val="24"/>
        </w:rPr>
        <w:t>са редки, патологично и генетично хетерогенни заболявания, обикновено по-тежки от АД НМСН.</w:t>
      </w:r>
    </w:p>
    <w:p w14:paraId="0F4791A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При всяка една от формите на НМСН 4 се установяват характерни етнически, патоанатомични и клинични черти. Клиничният фенотип по правило е по-тежък от този при АД НМСН 1, често се установяват костно-скелетни деформитети. Идентифицирани са 7 гена и 1 локус свързани с НМСН тип 4. НМСН 4А и 4С формите се наблюдават при пациенти с различна етническа принадлежност. НМСН 4Е и 4F формите обозначават тежки рецесивни невропатии с мутации в EGR2 и PRX гените и фенотип, както при КХ и ДСС. </w:t>
      </w:r>
    </w:p>
    <w:p w14:paraId="47ABF17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НМСН 4D – НМСН тип Лом</w:t>
      </w:r>
      <w:r w:rsidRPr="00AE47C6">
        <w:rPr>
          <w:rFonts w:ascii="Times New Roman" w:eastAsia="SimSun" w:hAnsi="Times New Roman"/>
          <w:sz w:val="24"/>
          <w:szCs w:val="24"/>
        </w:rPr>
        <w:t xml:space="preserve"> е описана е за първи път при български роми, а по-късно е идентифицирана в редица европейски държави. </w:t>
      </w:r>
    </w:p>
    <w:p w14:paraId="2A5B196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Заболяването е картирано върху 8q24 хромозома. Установено е, че се дължи на мутацията С→Т транзиция в екзон 7 и нуклеотидна позиция 564 в NDRG1 гена. Предполага се, че NDRG1 протеинът играе роля в ограничаване на растежа и в клетъчната диференциация, вероятно като сигнален протеин между цитоплазмата и ядрото. Установена е особено висока експресия на протеина в Швановите клетки, вероятно играещ сигнални функции за оцеляване на аксона.</w:t>
      </w:r>
    </w:p>
    <w:p w14:paraId="03E96C1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Патоанатомично се установява демиелинизираща невропатия с не добре сформирани луковици, които в по-късните стадии дегенерират. Ултраструктурно се забелязват некомпактен миелин, плеоморфен материал в цитоплазмата на Швановата клетка, както и интрааксонни включвания. </w:t>
      </w:r>
    </w:p>
    <w:p w14:paraId="2CE47DA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Началото обикновено е в първо десетилетие с прогресираща дистална слабост в долни крайници. Във второто десетилетие се засягат и ръцете. Налице са и сетивни нарушения и деформация на стъпалата. Характерна черта е сензо-невралната глухота, която обикновено се изявява в трето десетилетие. Моторните скорости на провеждане са силно снижени (средно 12,5 m/s по n. medianus), а СНАП не се получават. Абнормни са слуховите евокирани потенциали. </w:t>
      </w:r>
    </w:p>
    <w:p w14:paraId="54B46A1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Конгенитална катаракта, лицев дизморфизъм, невропатия (ККЛДН) синдром </w:t>
      </w:r>
      <w:r w:rsidRPr="00AE47C6">
        <w:rPr>
          <w:rFonts w:ascii="Times New Roman" w:eastAsia="SimSun" w:hAnsi="Times New Roman"/>
          <w:sz w:val="24"/>
          <w:szCs w:val="24"/>
        </w:rPr>
        <w:t xml:space="preserve">е сложно наследствено мултисистемно заболяване, засягащо едновременно развиващото се око, периферната и централната нервна система и гонадите. Заболяването е открито за първи път сред българските роми. По-късно е установено също при роми в цял свят. </w:t>
      </w:r>
    </w:p>
    <w:p w14:paraId="2856138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Причинява се от мутация в CTDP1 гена, намиращ се върху 18q хромозома. CTDP1 генът кодира кисела фосфатаза на РНК полимераза ІІ, ензима на транскрибцията. Поради това заболяването се отнася към групата на “транскрибционните синдроми” и е първият “чист” дефект на полимераза ІІ – медиираната транскрибция при човека. </w:t>
      </w:r>
    </w:p>
    <w:p w14:paraId="0938C7F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Основните клинични признаци са двустранна вродена катаракта и микрокорнеа, лицев дизморфизъм и нисък ръст, ментална ретардация, периферна невропатия и хипогонадизъм. Най-характерната проява на заболяването е невропатията, която е предимно моторна и хипомиелинизираща/демиелинизираща. Засягането на ЦНС се проявява с наличието на когнитивни нарушения при повечето от пациентите, симптоми за засягане на кортикоспиналните пътища и лека хорея, установени при около 1/3 от пациентите. Това се потвърждава от абнормните невроизобразителни и електроенцефалографски находки. Наличието на гръбначно-мозъчна атрофия предполага и изтъняване на гръбначно-мозъчните трактове. Лицевият дизморфизъм е по-изразен в по-късното детство и е по-демонстративен при мъжете. Липсват полови различия по отношение на неврологичните прояви. При някои от пациентите се установява лека атаксия, несвързана с нарушението на проприоцептивната сетивност. Наличието на леко малкомозъчно засягане се подкрепя от електронистагмографските изследвания и от наличието на квадрантновълнови потрепвания на очните ябълки по време на проследяващите погледни движения при отделни пациенти. Малкомозъчните прояви не са значими и не се откриват при всички пациенти. Лек хипогонадизъм се установява и при двата пола. Независимо от това, че външните вторични полови характеристики изглеждат нормални, при ултразвуково изследване се откриват намалени размери на яйчниците и матката. Почти всички жени съобщават за нередовни менструални цикли, прогресиращи до вторична аменорея. Стойностите на соматотропния хормон са ниски и съответстват на намаления ръст. Всички изследвани пациенти показват редуцирана костна плътност едновременно в компактните и трабекуларните кости и то във възраст, при която е трябвало да се постигне пиковата костна маса. </w:t>
      </w:r>
    </w:p>
    <w:p w14:paraId="625CFE7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Аксонните НМСН </w:t>
      </w:r>
      <w:r w:rsidRPr="00AE47C6">
        <w:rPr>
          <w:rFonts w:ascii="Times New Roman" w:eastAsia="SimSun" w:hAnsi="Times New Roman"/>
          <w:sz w:val="24"/>
          <w:szCs w:val="24"/>
        </w:rPr>
        <w:t>(тип 2) са генетично хетерогенни и се унаследяват най-често по АД път. При някои фамилии с Cx32 мутации част от пациентите имат НМСН 2 фенотип, но липсва предаване от мъж на мъж. Съобщени са и случаи с MPZ мутации и НМСН 2 фенотип.</w:t>
      </w:r>
    </w:p>
    <w:p w14:paraId="249BE97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Клинично наподобява НМСН 1 и се характеризира с типичен синдром на перонеална мускулна атрофия. Началото на заболяването е по-късно, сравнително по-запазени са СНР, а слабостта и атрофиите, най-вече в дисталните части на долните крайници, са по-изразени. Екстензорите на стъпалата и пръстите, както и малките мускули на стъпалата, обикновено се засягат по-рано и по-тежко, отколкото мускулите на подбедриците. Въпреки това, тези различия са недостатъчни, за да се направи убедително диференциране при отделния пациент. При някои форми на НМСН 2 са налице асоциирани признаци. </w:t>
      </w:r>
    </w:p>
    <w:p w14:paraId="0C591F5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НМСН 4 тип Русе (НМСНР)</w:t>
      </w:r>
      <w:r w:rsidRPr="00AE47C6">
        <w:rPr>
          <w:rFonts w:ascii="Times New Roman" w:eastAsia="SimSun" w:hAnsi="Times New Roman"/>
          <w:sz w:val="24"/>
          <w:szCs w:val="24"/>
        </w:rPr>
        <w:t xml:space="preserve"> е описана през 2000 и 2001 г. при български роми, а по-късно - и при роми от Чехия, Испания, Румъния и Франция. </w:t>
      </w:r>
    </w:p>
    <w:p w14:paraId="5214895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Дължи се на мутация в гена, отговорен за хексокиназа 1.</w:t>
      </w:r>
    </w:p>
    <w:p w14:paraId="78E60A5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Патоанатомично се установява загуба на големи миелинизирани влакна, изразена регенераторна активност и данни за хипомиелинизация. </w:t>
      </w:r>
    </w:p>
    <w:p w14:paraId="2C28E60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Началото на заболяването (с дистална мускулна слабост в краката) е между 8 и 16 годишната им възраст, а в горни крайници - между 10та и 43та год., средно 22та година. Заболяването прогресира до тежка генерализирана слабост в долни крайници и тежка дистална в горни крайници до 4-то – 5-то десетилетие. Наблюдават се изразени сетивни нарушения за всички модалности и изразени деформации на стъпалата. </w:t>
      </w:r>
    </w:p>
    <w:p w14:paraId="380E978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Изследвания. Електрофизиологично се характеризира с нормални или леко намалени моторни и сетивни СП, намалени амплитуди на сумарния мускулен акционен потенциал (СМАП) и на сетивния нервен акционен потенциал (СНАП). Иглената ЕМГ установява данни за денервация. </w:t>
      </w:r>
    </w:p>
    <w:p w14:paraId="22D8EEB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НМСН 2 се отдиференцира от дисталната спинална мускулна атрофия (НМН) по наличието на сетивни нарушения или промени в СНАП при ЕНГ изследването.</w:t>
      </w:r>
    </w:p>
    <w:p w14:paraId="774AAAE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Автозомно-рецесивната аксонна невропатия с невромиотония</w:t>
      </w:r>
      <w:r w:rsidRPr="00AE47C6">
        <w:rPr>
          <w:rFonts w:ascii="Times New Roman" w:eastAsia="SimSun" w:hAnsi="Times New Roman"/>
          <w:sz w:val="24"/>
          <w:szCs w:val="24"/>
        </w:rPr>
        <w:t xml:space="preserve"> представлява ново нозологично заболяване в рамките на миотоничните синдроми, което трябва да се диференцира клинично и генетично от миотоничната дистрофия и каналопатиите, причиняващи недистрофични форми на миотония. Наскоро беше установено, че мутации в HINT1 са основна причина за АР аксонна невропатия с невромиотония. Най-честа мутация в цялата кохорта се оказва R37P, която се установява в хомозиготно състояние при 4 български несвързани пациента и 2 сибси, а една фамилия от двама засегнати сибси са двойни хетерозиготи по мутациите R37P/H112N. HINT1 мутациите се оказват отговорни за 11% от случаите на автозомно-рецесивна невропатия и за 76% от случаите със съпътстваща невромиотония. </w:t>
      </w:r>
    </w:p>
    <w:p w14:paraId="068C857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НМСН с междинни скорости на провеждане </w:t>
      </w:r>
      <w:r w:rsidRPr="00AE47C6">
        <w:rPr>
          <w:rFonts w:ascii="Times New Roman" w:eastAsia="SimSun" w:hAnsi="Times New Roman"/>
          <w:sz w:val="24"/>
          <w:szCs w:val="24"/>
        </w:rPr>
        <w:t xml:space="preserve">(СП) в диапазона 25 – 45 m/s, припокриващ този при ШМТ 1 и ШМТ 2. Патоанатомично се установяват смесени демиелинизиращи и аксонни промени. Мутации в гените MPZ, Cx32, NEFL и GDAP1 може да водят, както до НМСН тип 1 или 2, така и до НМСН с междинни СП. Отдиференцирани са и три специфични АД форми с междинни СП (ДМ ШМТ): ДМ ШМТА формата е с установена скаченост върху локус 10q24; ДМ ШМТВ се дължи на мутации в DNM2 гена. ДМ ШМТС е описана за първи път през 2003 год. при българска и американска фамилии. Установени са различни мутации в YARS гена. </w:t>
      </w:r>
    </w:p>
    <w:p w14:paraId="57E8FCC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Възрастта на начало на заболяването е силно вариабилна – от 7 до 59 години, а СП са в диапазона 25 - 50 m/s. Инвалидизацията обикновено не е тежка и пациентите ходят самостоятелно до късна възраст.</w:t>
      </w:r>
    </w:p>
    <w:p w14:paraId="203609E7" w14:textId="77777777" w:rsidR="00BE0B19" w:rsidRPr="00AE47C6" w:rsidRDefault="00BE0B19" w:rsidP="00BE0B19">
      <w:pPr>
        <w:spacing w:after="0" w:line="360" w:lineRule="auto"/>
        <w:ind w:firstLine="709"/>
        <w:jc w:val="both"/>
        <w:rPr>
          <w:rFonts w:ascii="Times New Roman" w:eastAsia="SimSun" w:hAnsi="Times New Roman"/>
          <w:i/>
          <w:sz w:val="24"/>
          <w:szCs w:val="24"/>
        </w:rPr>
      </w:pPr>
      <w:r w:rsidRPr="00AE47C6">
        <w:rPr>
          <w:rFonts w:ascii="Times New Roman" w:eastAsia="SimSun" w:hAnsi="Times New Roman"/>
          <w:sz w:val="24"/>
          <w:szCs w:val="24"/>
        </w:rPr>
        <w:t>Определянето на междинен тип НМСН е възможно само, ако се изследват по-голям брой членове на фамилията, отделните пациенти могат да показват аксонен или демиелинизиращ тип на базата на електрофизиологични критерии.</w:t>
      </w:r>
    </w:p>
    <w:p w14:paraId="5426B1D1"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b/>
          <w:sz w:val="24"/>
          <w:szCs w:val="24"/>
        </w:rPr>
        <w:t>Диагностицирането</w:t>
      </w:r>
      <w:r w:rsidRPr="00AE47C6">
        <w:rPr>
          <w:rFonts w:ascii="Times New Roman" w:eastAsia="SimSun" w:hAnsi="Times New Roman"/>
          <w:sz w:val="24"/>
          <w:szCs w:val="24"/>
        </w:rPr>
        <w:t xml:space="preserve"> на различните НМСН се основава на данните, получени от клиничните, електрофизиологичните, невропатологичните и генетичните изследвания. Следва да бъдат отдиференцирани от:</w:t>
      </w:r>
    </w:p>
    <w:p w14:paraId="6B808307" w14:textId="77777777" w:rsidR="00BE0B19" w:rsidRPr="00AE47C6" w:rsidRDefault="00BE0B19" w:rsidP="00BE0B19">
      <w:pPr>
        <w:numPr>
          <w:ilvl w:val="0"/>
          <w:numId w:val="216"/>
        </w:numPr>
        <w:spacing w:after="0" w:line="360" w:lineRule="auto"/>
        <w:ind w:left="1134" w:hanging="567"/>
        <w:contextualSpacing/>
        <w:jc w:val="both"/>
        <w:rPr>
          <w:rFonts w:ascii="Times New Roman" w:eastAsia="SimSun" w:hAnsi="Times New Roman"/>
          <w:sz w:val="24"/>
          <w:szCs w:val="24"/>
        </w:rPr>
      </w:pPr>
      <w:r w:rsidRPr="00AE47C6">
        <w:rPr>
          <w:rFonts w:ascii="Times New Roman" w:eastAsia="SimSun" w:hAnsi="Times New Roman"/>
          <w:sz w:val="24"/>
          <w:szCs w:val="24"/>
        </w:rPr>
        <w:t>Придобити, негенетични причини за периферна невропатия: възпалителни, автоимунни невропатии като хроничния възпалителен демиелинизиращ полиневрит тип Guillain-Barre и мултифокалната моторна невропатия; етилизъм; витамин В</w:t>
      </w:r>
      <w:r w:rsidRPr="00AE47C6">
        <w:rPr>
          <w:rFonts w:ascii="Times New Roman" w:eastAsia="SimSun" w:hAnsi="Times New Roman"/>
          <w:sz w:val="24"/>
          <w:szCs w:val="24"/>
          <w:vertAlign w:val="subscript"/>
        </w:rPr>
        <w:t>12</w:t>
      </w:r>
      <w:r w:rsidRPr="00AE47C6">
        <w:rPr>
          <w:rFonts w:ascii="Times New Roman" w:eastAsia="SimSun" w:hAnsi="Times New Roman"/>
          <w:sz w:val="24"/>
          <w:szCs w:val="24"/>
        </w:rPr>
        <w:t xml:space="preserve"> дефицит; болести на щитовидната жлеза; захарен диабет, СПИН, васкулити, лепра, невролуес, амилоидоза, окултни неоплазми, интоксикация с тежки метали.</w:t>
      </w:r>
    </w:p>
    <w:p w14:paraId="3C2F9728" w14:textId="77777777" w:rsidR="00BE0B19" w:rsidRPr="00AE47C6" w:rsidRDefault="00BE0B19" w:rsidP="00BE0B19">
      <w:pPr>
        <w:numPr>
          <w:ilvl w:val="0"/>
          <w:numId w:val="216"/>
        </w:numPr>
        <w:spacing w:after="0" w:line="360" w:lineRule="auto"/>
        <w:ind w:left="1134" w:hanging="567"/>
        <w:contextualSpacing/>
        <w:jc w:val="both"/>
        <w:rPr>
          <w:rFonts w:ascii="Times New Roman" w:eastAsia="SimSun" w:hAnsi="Times New Roman"/>
          <w:sz w:val="24"/>
          <w:szCs w:val="24"/>
        </w:rPr>
      </w:pPr>
      <w:r w:rsidRPr="00AE47C6">
        <w:rPr>
          <w:rFonts w:ascii="Times New Roman" w:eastAsia="SimSun" w:hAnsi="Times New Roman"/>
          <w:sz w:val="24"/>
          <w:szCs w:val="24"/>
        </w:rPr>
        <w:t>Други форми на наследствени периферни невропатии: наследствени моторни невропатии (НМН, дистална спинална мускулна атрофия), при които липсват клинично и електрофизиологично сетивни нарушения; наследствени сетивни и автономни невропатии (НСАН); наследствена невралгична амиотрофия.</w:t>
      </w:r>
    </w:p>
    <w:p w14:paraId="08C6BDDD" w14:textId="77777777" w:rsidR="00BE0B19" w:rsidRPr="00AE47C6" w:rsidRDefault="00BE0B19" w:rsidP="00BE0B19">
      <w:pPr>
        <w:numPr>
          <w:ilvl w:val="0"/>
          <w:numId w:val="216"/>
        </w:numPr>
        <w:spacing w:after="0" w:line="360" w:lineRule="auto"/>
        <w:ind w:left="1134" w:hanging="567"/>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Наследствени заболявания, при които може да се наблюдава периферна невропатия като част от клиничния фенотип: метахроматична левкодистрофия, адреномиелолевкодистрофия, болест на Pelizaeus-Merzbacher, спиноцеребеларни атаксии с невропатия. </w:t>
      </w:r>
    </w:p>
    <w:p w14:paraId="4B6E8314"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b/>
          <w:sz w:val="24"/>
          <w:szCs w:val="24"/>
        </w:rPr>
        <w:t>Лечение и профилактика.</w:t>
      </w:r>
      <w:r w:rsidRPr="00AE47C6">
        <w:rPr>
          <w:rFonts w:ascii="Times New Roman" w:eastAsia="SimSun" w:hAnsi="Times New Roman"/>
          <w:sz w:val="24"/>
          <w:szCs w:val="24"/>
        </w:rPr>
        <w:t xml:space="preserve"> Терапията на всички форми на НМСН засега е симптоматична. Препоръчва се лечение с Galantamine по схема, витамини, периферни вазоактивни медикаменти. Изключително важно за забавяне развитието на болестта е системното провеждане на физикална терапия и неврорехабилитация – електростимулация на паретичните мускули, електрофореза с Galantamine, масаж и лечебна физкултура. При развитие на деформации в ходилата се препоръчва носенето на ортезни средства или ортопедични корекции. В детска възраст, преди завършване на костния растеж, се прилагат мекотъканни операции с елонгация на Ахилесовото сухожилие, а в зряла възраст – костни артродези.</w:t>
      </w:r>
    </w:p>
    <w:p w14:paraId="69A76E27" w14:textId="77777777" w:rsidR="00BE0B19" w:rsidRPr="00AE47C6" w:rsidRDefault="00BE0B19" w:rsidP="00BE0B19">
      <w:pPr>
        <w:numPr>
          <w:ilvl w:val="0"/>
          <w:numId w:val="237"/>
        </w:numPr>
        <w:spacing w:after="0" w:line="360" w:lineRule="auto"/>
        <w:ind w:left="0" w:firstLine="709"/>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Наследствени моторни невропатии (НМН) - </w:t>
      </w:r>
      <w:r w:rsidRPr="00AE47C6">
        <w:rPr>
          <w:rFonts w:ascii="Times New Roman" w:eastAsia="SimSun" w:hAnsi="Times New Roman"/>
          <w:sz w:val="24"/>
          <w:szCs w:val="24"/>
        </w:rPr>
        <w:t xml:space="preserve">хетерогенни в клинично и генетично отношение заболявания, протичащи с дистална мускулна слабост, без сетивно засягане. На таблица 9.10 са представени основните форми на заболяването с обуславящите ги гени. </w:t>
      </w:r>
    </w:p>
    <w:p w14:paraId="5739D0D8" w14:textId="77777777" w:rsidR="00BE0B19" w:rsidRPr="00AE47C6" w:rsidRDefault="00BE0B19" w:rsidP="00BE0B19">
      <w:pPr>
        <w:spacing w:after="0" w:line="360" w:lineRule="auto"/>
        <w:jc w:val="both"/>
        <w:rPr>
          <w:rFonts w:ascii="Times New Roman" w:eastAsia="SimSun" w:hAnsi="Times New Roman"/>
          <w:sz w:val="24"/>
          <w:szCs w:val="24"/>
        </w:rPr>
      </w:pPr>
    </w:p>
    <w:p w14:paraId="600DBFEA" w14:textId="77777777" w:rsidR="00BE0B19" w:rsidRPr="00AE47C6" w:rsidRDefault="00BE0B19" w:rsidP="00BE0B19">
      <w:pPr>
        <w:spacing w:after="0" w:line="360" w:lineRule="auto"/>
        <w:jc w:val="both"/>
        <w:rPr>
          <w:rFonts w:ascii="Times New Roman" w:eastAsia="SimSun" w:hAnsi="Times New Roman"/>
          <w:sz w:val="24"/>
          <w:szCs w:val="24"/>
        </w:rPr>
      </w:pPr>
    </w:p>
    <w:p w14:paraId="0A885EDC" w14:textId="77777777" w:rsidR="00BE0B19" w:rsidRPr="00AE47C6" w:rsidRDefault="00BE0B19" w:rsidP="00BE0B19">
      <w:pPr>
        <w:spacing w:after="0" w:line="360" w:lineRule="auto"/>
        <w:jc w:val="both"/>
        <w:rPr>
          <w:rFonts w:ascii="Times New Roman" w:eastAsia="SimSun" w:hAnsi="Times New Roman"/>
          <w:sz w:val="24"/>
          <w:szCs w:val="24"/>
        </w:rPr>
      </w:pPr>
    </w:p>
    <w:p w14:paraId="2CABD226" w14:textId="77777777" w:rsidR="00BE0B19" w:rsidRPr="00AE47C6" w:rsidRDefault="00BE0B19" w:rsidP="00BE0B19">
      <w:pPr>
        <w:spacing w:after="0" w:line="360" w:lineRule="auto"/>
        <w:jc w:val="both"/>
        <w:rPr>
          <w:rFonts w:ascii="Times New Roman" w:eastAsia="SimSun" w:hAnsi="Times New Roman"/>
          <w:sz w:val="24"/>
          <w:szCs w:val="24"/>
        </w:rPr>
      </w:pPr>
    </w:p>
    <w:p w14:paraId="56A9C66F" w14:textId="77777777" w:rsidR="00BE0B19" w:rsidRPr="00AE47C6" w:rsidRDefault="00BE0B19" w:rsidP="00BE0B19">
      <w:pPr>
        <w:spacing w:after="0" w:line="360" w:lineRule="auto"/>
        <w:ind w:left="720"/>
        <w:contextualSpacing/>
        <w:jc w:val="both"/>
        <w:rPr>
          <w:rFonts w:ascii="Times New Roman" w:eastAsia="SimSun" w:hAnsi="Times New Roman"/>
          <w:b/>
          <w:sz w:val="24"/>
          <w:szCs w:val="24"/>
        </w:rPr>
      </w:pPr>
    </w:p>
    <w:p w14:paraId="4A2E66DE" w14:textId="77777777" w:rsidR="00BE0B19" w:rsidRPr="00AE47C6" w:rsidRDefault="00BE0B19" w:rsidP="00BE0B19">
      <w:pPr>
        <w:spacing w:after="0" w:line="360" w:lineRule="auto"/>
        <w:contextualSpacing/>
        <w:jc w:val="both"/>
        <w:rPr>
          <w:rFonts w:ascii="Times New Roman" w:eastAsia="SimSun" w:hAnsi="Times New Roman"/>
          <w:b/>
          <w:sz w:val="24"/>
          <w:szCs w:val="24"/>
        </w:rPr>
      </w:pPr>
      <w:r w:rsidRPr="00AE47C6">
        <w:rPr>
          <w:rFonts w:ascii="Times New Roman" w:eastAsia="SimSun" w:hAnsi="Times New Roman"/>
          <w:b/>
          <w:sz w:val="24"/>
          <w:szCs w:val="24"/>
        </w:rPr>
        <w:t>Таблица 9.10. Форми и клинични особености на наследствените моторни невропатии</w:t>
      </w:r>
    </w:p>
    <w:tbl>
      <w:tblPr>
        <w:tblStyle w:val="TableGrid2"/>
        <w:tblW w:w="0" w:type="auto"/>
        <w:tblInd w:w="360" w:type="dxa"/>
        <w:tblLook w:val="04A0" w:firstRow="1" w:lastRow="0" w:firstColumn="1" w:lastColumn="0" w:noHBand="0" w:noVBand="1"/>
      </w:tblPr>
      <w:tblGrid>
        <w:gridCol w:w="1786"/>
        <w:gridCol w:w="1785"/>
        <w:gridCol w:w="1785"/>
        <w:gridCol w:w="1785"/>
        <w:gridCol w:w="1785"/>
      </w:tblGrid>
      <w:tr w:rsidR="00BE0B19" w:rsidRPr="00AE47C6" w14:paraId="0A741985" w14:textId="77777777" w:rsidTr="00AD72E5">
        <w:tc>
          <w:tcPr>
            <w:tcW w:w="1786" w:type="dxa"/>
          </w:tcPr>
          <w:p w14:paraId="712D249E"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sz w:val="24"/>
                <w:szCs w:val="24"/>
              </w:rPr>
              <w:t>Заболяване</w:t>
            </w:r>
          </w:p>
        </w:tc>
        <w:tc>
          <w:tcPr>
            <w:tcW w:w="1785" w:type="dxa"/>
          </w:tcPr>
          <w:p w14:paraId="6BE2B6A9"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sz w:val="24"/>
                <w:szCs w:val="24"/>
              </w:rPr>
              <w:t>Начин на унаследяване</w:t>
            </w:r>
          </w:p>
        </w:tc>
        <w:tc>
          <w:tcPr>
            <w:tcW w:w="1785" w:type="dxa"/>
          </w:tcPr>
          <w:p w14:paraId="73865592"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sz w:val="24"/>
                <w:szCs w:val="24"/>
              </w:rPr>
              <w:t>Фенотип</w:t>
            </w:r>
          </w:p>
        </w:tc>
        <w:tc>
          <w:tcPr>
            <w:tcW w:w="1785" w:type="dxa"/>
          </w:tcPr>
          <w:p w14:paraId="038DBCB3"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sz w:val="24"/>
                <w:szCs w:val="24"/>
              </w:rPr>
              <w:t>Ген</w:t>
            </w:r>
          </w:p>
        </w:tc>
        <w:tc>
          <w:tcPr>
            <w:tcW w:w="1785" w:type="dxa"/>
          </w:tcPr>
          <w:p w14:paraId="6F8CDFD6"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sz w:val="24"/>
                <w:szCs w:val="24"/>
              </w:rPr>
              <w:t xml:space="preserve">Локус </w:t>
            </w:r>
          </w:p>
        </w:tc>
      </w:tr>
      <w:tr w:rsidR="00BE0B19" w:rsidRPr="00AE47C6" w14:paraId="3E81F7D7" w14:textId="77777777" w:rsidTr="00AD72E5">
        <w:tc>
          <w:tcPr>
            <w:tcW w:w="1786" w:type="dxa"/>
          </w:tcPr>
          <w:p w14:paraId="2303B1B3"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НМН тип I</w:t>
            </w:r>
          </w:p>
        </w:tc>
        <w:tc>
          <w:tcPr>
            <w:tcW w:w="1785" w:type="dxa"/>
          </w:tcPr>
          <w:p w14:paraId="5FC4E436"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АД</w:t>
            </w:r>
          </w:p>
        </w:tc>
        <w:tc>
          <w:tcPr>
            <w:tcW w:w="1785" w:type="dxa"/>
          </w:tcPr>
          <w:p w14:paraId="1F73D0B3"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Начало в юношеска възраст, дистална слабост и атрофии</w:t>
            </w:r>
          </w:p>
        </w:tc>
        <w:tc>
          <w:tcPr>
            <w:tcW w:w="1785" w:type="dxa"/>
          </w:tcPr>
          <w:p w14:paraId="391A17C7"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 xml:space="preserve">HSPB1 </w:t>
            </w:r>
          </w:p>
          <w:p w14:paraId="390F0256"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 xml:space="preserve">HSPB8 </w:t>
            </w:r>
          </w:p>
          <w:p w14:paraId="0FD97D4E"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 xml:space="preserve">GARS </w:t>
            </w:r>
          </w:p>
          <w:p w14:paraId="25A8C792"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DYNC1H1</w:t>
            </w:r>
          </w:p>
        </w:tc>
        <w:tc>
          <w:tcPr>
            <w:tcW w:w="1785" w:type="dxa"/>
          </w:tcPr>
          <w:p w14:paraId="56FCE249"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w:t>
            </w:r>
          </w:p>
        </w:tc>
      </w:tr>
      <w:tr w:rsidR="00BE0B19" w:rsidRPr="00AE47C6" w14:paraId="04208C37" w14:textId="77777777" w:rsidTr="00AD72E5">
        <w:tc>
          <w:tcPr>
            <w:tcW w:w="1786" w:type="dxa"/>
          </w:tcPr>
          <w:p w14:paraId="1B0DCD79"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НМН тип II</w:t>
            </w:r>
          </w:p>
        </w:tc>
        <w:tc>
          <w:tcPr>
            <w:tcW w:w="1785" w:type="dxa"/>
          </w:tcPr>
          <w:p w14:paraId="7B9050AD"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АД</w:t>
            </w:r>
          </w:p>
        </w:tc>
        <w:tc>
          <w:tcPr>
            <w:tcW w:w="1785" w:type="dxa"/>
          </w:tcPr>
          <w:p w14:paraId="6A74061D"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Начало в зряла възраст с дистална слабост и атрофии</w:t>
            </w:r>
          </w:p>
        </w:tc>
        <w:tc>
          <w:tcPr>
            <w:tcW w:w="1785" w:type="dxa"/>
          </w:tcPr>
          <w:p w14:paraId="001B7DC0"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HSPB1 e</w:t>
            </w:r>
          </w:p>
          <w:p w14:paraId="39B3E1DA"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HSPB8 e</w:t>
            </w:r>
          </w:p>
          <w:p w14:paraId="44EC3D64"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BSCL2</w:t>
            </w:r>
          </w:p>
          <w:p w14:paraId="35FBFB59"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 xml:space="preserve">HSPB3 </w:t>
            </w:r>
          </w:p>
        </w:tc>
        <w:tc>
          <w:tcPr>
            <w:tcW w:w="1785" w:type="dxa"/>
          </w:tcPr>
          <w:p w14:paraId="1EE64CE4"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w:t>
            </w:r>
          </w:p>
        </w:tc>
      </w:tr>
      <w:tr w:rsidR="00BE0B19" w:rsidRPr="00AE47C6" w14:paraId="1143BEC8" w14:textId="77777777" w:rsidTr="00AD72E5">
        <w:tc>
          <w:tcPr>
            <w:tcW w:w="1786" w:type="dxa"/>
          </w:tcPr>
          <w:p w14:paraId="6FAFD519"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НМН тип III</w:t>
            </w:r>
          </w:p>
        </w:tc>
        <w:tc>
          <w:tcPr>
            <w:tcW w:w="1785" w:type="dxa"/>
          </w:tcPr>
          <w:p w14:paraId="478F05FC"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АР</w:t>
            </w:r>
          </w:p>
        </w:tc>
        <w:tc>
          <w:tcPr>
            <w:tcW w:w="1785" w:type="dxa"/>
          </w:tcPr>
          <w:p w14:paraId="54E56F95"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Бавно прогресираща слабост и атрофии</w:t>
            </w:r>
          </w:p>
        </w:tc>
        <w:tc>
          <w:tcPr>
            <w:tcW w:w="1785" w:type="dxa"/>
          </w:tcPr>
          <w:p w14:paraId="00F69B92"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Неизвестен</w:t>
            </w:r>
          </w:p>
        </w:tc>
        <w:tc>
          <w:tcPr>
            <w:tcW w:w="1785" w:type="dxa"/>
          </w:tcPr>
          <w:p w14:paraId="0FBAEDDC"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11q13</w:t>
            </w:r>
          </w:p>
        </w:tc>
      </w:tr>
      <w:tr w:rsidR="00BE0B19" w:rsidRPr="00AE47C6" w14:paraId="57EAD09A" w14:textId="77777777" w:rsidTr="00AD72E5">
        <w:tc>
          <w:tcPr>
            <w:tcW w:w="1786" w:type="dxa"/>
          </w:tcPr>
          <w:p w14:paraId="6EFAC3ED"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НПН тип IV</w:t>
            </w:r>
          </w:p>
        </w:tc>
        <w:tc>
          <w:tcPr>
            <w:tcW w:w="1785" w:type="dxa"/>
          </w:tcPr>
          <w:p w14:paraId="253B454F"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АР</w:t>
            </w:r>
          </w:p>
        </w:tc>
        <w:tc>
          <w:tcPr>
            <w:tcW w:w="1785" w:type="dxa"/>
          </w:tcPr>
          <w:p w14:paraId="6DDEC0A3"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Бавно прогресираща слабост и пареза на диафрагмата</w:t>
            </w:r>
          </w:p>
        </w:tc>
        <w:tc>
          <w:tcPr>
            <w:tcW w:w="1785" w:type="dxa"/>
          </w:tcPr>
          <w:p w14:paraId="15911E5C"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Неизвестен</w:t>
            </w:r>
          </w:p>
        </w:tc>
        <w:tc>
          <w:tcPr>
            <w:tcW w:w="1785" w:type="dxa"/>
          </w:tcPr>
          <w:p w14:paraId="7B466DAF"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11q13</w:t>
            </w:r>
          </w:p>
        </w:tc>
      </w:tr>
      <w:tr w:rsidR="00BE0B19" w:rsidRPr="00AE47C6" w14:paraId="3F21CA45" w14:textId="77777777" w:rsidTr="00AD72E5">
        <w:tc>
          <w:tcPr>
            <w:tcW w:w="1786" w:type="dxa"/>
          </w:tcPr>
          <w:p w14:paraId="665191DD"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НМН тип V</w:t>
            </w:r>
          </w:p>
        </w:tc>
        <w:tc>
          <w:tcPr>
            <w:tcW w:w="1785" w:type="dxa"/>
          </w:tcPr>
          <w:p w14:paraId="6255B708"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АД</w:t>
            </w:r>
          </w:p>
        </w:tc>
        <w:tc>
          <w:tcPr>
            <w:tcW w:w="1785" w:type="dxa"/>
          </w:tcPr>
          <w:p w14:paraId="0D5B8F64"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Засягане предимно на горните крайници</w:t>
            </w:r>
          </w:p>
        </w:tc>
        <w:tc>
          <w:tcPr>
            <w:tcW w:w="1785" w:type="dxa"/>
          </w:tcPr>
          <w:p w14:paraId="0C98AEDF"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 xml:space="preserve">GARS </w:t>
            </w:r>
          </w:p>
          <w:p w14:paraId="587955AF"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BSCL2</w:t>
            </w:r>
          </w:p>
        </w:tc>
        <w:tc>
          <w:tcPr>
            <w:tcW w:w="1785" w:type="dxa"/>
          </w:tcPr>
          <w:p w14:paraId="41D90F03"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w:t>
            </w:r>
          </w:p>
        </w:tc>
      </w:tr>
      <w:tr w:rsidR="00BE0B19" w:rsidRPr="00AE47C6" w14:paraId="79E5BBCD" w14:textId="77777777" w:rsidTr="00AD72E5">
        <w:tc>
          <w:tcPr>
            <w:tcW w:w="1786" w:type="dxa"/>
          </w:tcPr>
          <w:p w14:paraId="0E598D4A"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НМН тип VI</w:t>
            </w:r>
          </w:p>
        </w:tc>
        <w:tc>
          <w:tcPr>
            <w:tcW w:w="1785" w:type="dxa"/>
          </w:tcPr>
          <w:p w14:paraId="1C8E09A8"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АР</w:t>
            </w:r>
          </w:p>
        </w:tc>
        <w:tc>
          <w:tcPr>
            <w:tcW w:w="1785" w:type="dxa"/>
          </w:tcPr>
          <w:p w14:paraId="1015273C"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СМА с респираторен дистрес тип 1</w:t>
            </w:r>
          </w:p>
        </w:tc>
        <w:tc>
          <w:tcPr>
            <w:tcW w:w="1785" w:type="dxa"/>
          </w:tcPr>
          <w:p w14:paraId="168EDAED"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IGHMBP2</w:t>
            </w:r>
          </w:p>
        </w:tc>
        <w:tc>
          <w:tcPr>
            <w:tcW w:w="1785" w:type="dxa"/>
          </w:tcPr>
          <w:p w14:paraId="01717D6F"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w:t>
            </w:r>
          </w:p>
        </w:tc>
      </w:tr>
      <w:tr w:rsidR="00BE0B19" w:rsidRPr="00AE47C6" w14:paraId="54DC2942" w14:textId="77777777" w:rsidTr="00AD72E5">
        <w:tc>
          <w:tcPr>
            <w:tcW w:w="1786" w:type="dxa"/>
          </w:tcPr>
          <w:p w14:paraId="7D629551"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НМН тип VII</w:t>
            </w:r>
          </w:p>
        </w:tc>
        <w:tc>
          <w:tcPr>
            <w:tcW w:w="1785" w:type="dxa"/>
          </w:tcPr>
          <w:p w14:paraId="4A0734BE"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АД</w:t>
            </w:r>
          </w:p>
        </w:tc>
        <w:tc>
          <w:tcPr>
            <w:tcW w:w="1785" w:type="dxa"/>
          </w:tcPr>
          <w:p w14:paraId="117F41A8"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Късно начало с пареза на гласните връзки</w:t>
            </w:r>
          </w:p>
        </w:tc>
        <w:tc>
          <w:tcPr>
            <w:tcW w:w="1785" w:type="dxa"/>
          </w:tcPr>
          <w:p w14:paraId="5A067B55"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DCTN1 e</w:t>
            </w:r>
          </w:p>
          <w:p w14:paraId="45B659A6"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TRPV4</w:t>
            </w:r>
          </w:p>
        </w:tc>
        <w:tc>
          <w:tcPr>
            <w:tcW w:w="1785" w:type="dxa"/>
          </w:tcPr>
          <w:p w14:paraId="7F9A131D"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w:t>
            </w:r>
          </w:p>
        </w:tc>
      </w:tr>
      <w:tr w:rsidR="00BE0B19" w:rsidRPr="00AE47C6" w14:paraId="2E64E646" w14:textId="77777777" w:rsidTr="00AD72E5">
        <w:tc>
          <w:tcPr>
            <w:tcW w:w="1786" w:type="dxa"/>
          </w:tcPr>
          <w:p w14:paraId="1D27AE35"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Х-свързана НМН</w:t>
            </w:r>
          </w:p>
        </w:tc>
        <w:tc>
          <w:tcPr>
            <w:tcW w:w="1785" w:type="dxa"/>
          </w:tcPr>
          <w:p w14:paraId="1652E9F1"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Х-свързан</w:t>
            </w:r>
          </w:p>
        </w:tc>
        <w:tc>
          <w:tcPr>
            <w:tcW w:w="1785" w:type="dxa"/>
          </w:tcPr>
          <w:p w14:paraId="05E58F5B"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Дистална слабост и атрофии</w:t>
            </w:r>
          </w:p>
        </w:tc>
        <w:tc>
          <w:tcPr>
            <w:tcW w:w="1785" w:type="dxa"/>
          </w:tcPr>
          <w:p w14:paraId="52B95080"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ATP7A</w:t>
            </w:r>
          </w:p>
        </w:tc>
        <w:tc>
          <w:tcPr>
            <w:tcW w:w="1785" w:type="dxa"/>
          </w:tcPr>
          <w:p w14:paraId="2A52326A"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w:t>
            </w:r>
          </w:p>
        </w:tc>
      </w:tr>
      <w:tr w:rsidR="00BE0B19" w:rsidRPr="00AE47C6" w14:paraId="6268875C" w14:textId="77777777" w:rsidTr="00AD72E5">
        <w:tc>
          <w:tcPr>
            <w:tcW w:w="1786" w:type="dxa"/>
          </w:tcPr>
          <w:p w14:paraId="6FE2D621"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НМН с пирамидни белези</w:t>
            </w:r>
          </w:p>
        </w:tc>
        <w:tc>
          <w:tcPr>
            <w:tcW w:w="1785" w:type="dxa"/>
          </w:tcPr>
          <w:p w14:paraId="6C3DB3DC"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АД</w:t>
            </w:r>
          </w:p>
        </w:tc>
        <w:tc>
          <w:tcPr>
            <w:tcW w:w="1785" w:type="dxa"/>
          </w:tcPr>
          <w:p w14:paraId="1629F323"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Пирамидни белези</w:t>
            </w:r>
          </w:p>
        </w:tc>
        <w:tc>
          <w:tcPr>
            <w:tcW w:w="1785" w:type="dxa"/>
          </w:tcPr>
          <w:p w14:paraId="62615510"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 xml:space="preserve">SETX* </w:t>
            </w:r>
          </w:p>
          <w:p w14:paraId="4B092E5D"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BSCL2</w:t>
            </w:r>
          </w:p>
        </w:tc>
        <w:tc>
          <w:tcPr>
            <w:tcW w:w="1785" w:type="dxa"/>
          </w:tcPr>
          <w:p w14:paraId="3A4480AD"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w:t>
            </w:r>
          </w:p>
          <w:p w14:paraId="71092CFC" w14:textId="77777777" w:rsidR="00BE0B19" w:rsidRPr="00AE47C6" w:rsidRDefault="00BE0B19" w:rsidP="00BE0B19">
            <w:pPr>
              <w:spacing w:after="0" w:line="360" w:lineRule="auto"/>
              <w:jc w:val="both"/>
              <w:rPr>
                <w:rFonts w:ascii="Times New Roman" w:hAnsi="Times New Roman"/>
                <w:sz w:val="24"/>
                <w:szCs w:val="24"/>
              </w:rPr>
            </w:pPr>
          </w:p>
          <w:p w14:paraId="080FABF9"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4q34-q35</w:t>
            </w:r>
          </w:p>
          <w:p w14:paraId="5C451CA3"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7q34-q36</w:t>
            </w:r>
          </w:p>
        </w:tc>
      </w:tr>
      <w:tr w:rsidR="00BE0B19" w:rsidRPr="00AE47C6" w14:paraId="5EBF0E78" w14:textId="77777777" w:rsidTr="00AD72E5">
        <w:tc>
          <w:tcPr>
            <w:tcW w:w="1786" w:type="dxa"/>
          </w:tcPr>
          <w:p w14:paraId="5F1DAEB5"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НМН Jerash от Йордания</w:t>
            </w:r>
          </w:p>
        </w:tc>
        <w:tc>
          <w:tcPr>
            <w:tcW w:w="1785" w:type="dxa"/>
          </w:tcPr>
          <w:p w14:paraId="10C4513D"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АР</w:t>
            </w:r>
          </w:p>
        </w:tc>
        <w:tc>
          <w:tcPr>
            <w:tcW w:w="1785" w:type="dxa"/>
          </w:tcPr>
          <w:p w14:paraId="566D51D2"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Пирамидни белези</w:t>
            </w:r>
          </w:p>
        </w:tc>
        <w:tc>
          <w:tcPr>
            <w:tcW w:w="1785" w:type="dxa"/>
          </w:tcPr>
          <w:p w14:paraId="3AE8DC20"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Неизвестен</w:t>
            </w:r>
          </w:p>
        </w:tc>
        <w:tc>
          <w:tcPr>
            <w:tcW w:w="1785" w:type="dxa"/>
          </w:tcPr>
          <w:p w14:paraId="1251949D"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9p21.1-p12</w:t>
            </w:r>
          </w:p>
        </w:tc>
      </w:tr>
      <w:tr w:rsidR="00BE0B19" w:rsidRPr="00AE47C6" w14:paraId="0FDD9DD5" w14:textId="77777777" w:rsidTr="00AD72E5">
        <w:tc>
          <w:tcPr>
            <w:tcW w:w="1786" w:type="dxa"/>
          </w:tcPr>
          <w:p w14:paraId="629AFDB7"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Конгенитална спинална мускулна атрофия</w:t>
            </w:r>
          </w:p>
        </w:tc>
        <w:tc>
          <w:tcPr>
            <w:tcW w:w="1785" w:type="dxa"/>
          </w:tcPr>
          <w:p w14:paraId="6F043370"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АД</w:t>
            </w:r>
          </w:p>
        </w:tc>
        <w:tc>
          <w:tcPr>
            <w:tcW w:w="1785" w:type="dxa"/>
          </w:tcPr>
          <w:p w14:paraId="0F36475A"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Дистална слабост с артрогрипоза</w:t>
            </w:r>
          </w:p>
        </w:tc>
        <w:tc>
          <w:tcPr>
            <w:tcW w:w="1785" w:type="dxa"/>
          </w:tcPr>
          <w:p w14:paraId="305BFE52"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TRPV4</w:t>
            </w:r>
          </w:p>
        </w:tc>
        <w:tc>
          <w:tcPr>
            <w:tcW w:w="1785" w:type="dxa"/>
          </w:tcPr>
          <w:p w14:paraId="54385339"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w:t>
            </w:r>
          </w:p>
        </w:tc>
      </w:tr>
    </w:tbl>
    <w:p w14:paraId="43FCABFA" w14:textId="77777777" w:rsidR="00BE0B19" w:rsidRPr="00AE47C6" w:rsidRDefault="00BE0B19" w:rsidP="00BE0B19">
      <w:pPr>
        <w:spacing w:after="0" w:line="360" w:lineRule="auto"/>
        <w:ind w:left="360"/>
        <w:jc w:val="both"/>
        <w:rPr>
          <w:rFonts w:ascii="Times New Roman" w:eastAsia="SimSun" w:hAnsi="Times New Roman"/>
          <w:b/>
          <w:sz w:val="24"/>
          <w:szCs w:val="24"/>
        </w:rPr>
      </w:pPr>
    </w:p>
    <w:p w14:paraId="4F5E671E" w14:textId="0BA1ED00" w:rsidR="00BE0B19" w:rsidRPr="00AE47C6" w:rsidRDefault="00471742" w:rsidP="00BE0B19">
      <w:pPr>
        <w:spacing w:after="0" w:line="360" w:lineRule="auto"/>
        <w:jc w:val="both"/>
        <w:rPr>
          <w:rFonts w:ascii="Times New Roman" w:eastAsia="SimSun" w:hAnsi="Times New Roman"/>
          <w:b/>
          <w:sz w:val="24"/>
          <w:szCs w:val="24"/>
        </w:rPr>
      </w:pPr>
      <w:bookmarkStart w:id="221" w:name="_Toc164075939"/>
      <w:r w:rsidRPr="00AE47C6">
        <w:rPr>
          <w:rStyle w:val="Heading3Char"/>
          <w:rFonts w:ascii="Times New Roman" w:eastAsia="SimSun" w:hAnsi="Times New Roman"/>
        </w:rPr>
        <w:t>9.4</w:t>
      </w:r>
      <w:r w:rsidR="00BE0B19" w:rsidRPr="00AE47C6">
        <w:rPr>
          <w:rStyle w:val="Heading3Char"/>
          <w:rFonts w:ascii="Times New Roman" w:eastAsia="SimSun" w:hAnsi="Times New Roman"/>
        </w:rPr>
        <w:t>.2. Наследствените сетивни и автономни невропатии (НСАН)</w:t>
      </w:r>
      <w:bookmarkEnd w:id="221"/>
      <w:r w:rsidR="00BE0B19" w:rsidRPr="00AE47C6">
        <w:rPr>
          <w:rFonts w:ascii="Times New Roman" w:eastAsia="SimSun" w:hAnsi="Times New Roman"/>
          <w:b/>
          <w:sz w:val="24"/>
          <w:szCs w:val="24"/>
        </w:rPr>
        <w:t xml:space="preserve"> </w:t>
      </w:r>
      <w:r w:rsidR="00BE0B19" w:rsidRPr="00AE47C6">
        <w:rPr>
          <w:rFonts w:ascii="Times New Roman" w:eastAsia="SimSun" w:hAnsi="Times New Roman"/>
          <w:sz w:val="24"/>
          <w:szCs w:val="24"/>
        </w:rPr>
        <w:t xml:space="preserve">могат да се характеризират с лек, умерен или тежък сетивен дефицит, без мускулна слабост или атрофии. На таблица 9.11 са представени основните форми на заболяването и допълнителните клинични прояви. </w:t>
      </w:r>
    </w:p>
    <w:p w14:paraId="73A6C6CF" w14:textId="77777777" w:rsidR="00BE0B19" w:rsidRPr="00AE47C6" w:rsidRDefault="00BE0B19" w:rsidP="00BE0B19">
      <w:pPr>
        <w:spacing w:after="0" w:line="360" w:lineRule="auto"/>
        <w:ind w:left="720"/>
        <w:contextualSpacing/>
        <w:jc w:val="both"/>
        <w:rPr>
          <w:rFonts w:ascii="Times New Roman" w:eastAsia="SimSun" w:hAnsi="Times New Roman"/>
          <w:b/>
          <w:sz w:val="24"/>
          <w:szCs w:val="24"/>
        </w:rPr>
      </w:pPr>
      <w:r w:rsidRPr="00AE47C6">
        <w:rPr>
          <w:rFonts w:ascii="Times New Roman" w:eastAsia="SimSun" w:hAnsi="Times New Roman"/>
          <w:b/>
          <w:sz w:val="24"/>
          <w:szCs w:val="24"/>
        </w:rPr>
        <w:t>Таблица 9.11. Форми на наследствени сетивни и автономни невропатии</w:t>
      </w:r>
    </w:p>
    <w:tbl>
      <w:tblPr>
        <w:tblStyle w:val="TableGrid1"/>
        <w:tblW w:w="0" w:type="auto"/>
        <w:tblLook w:val="04A0" w:firstRow="1" w:lastRow="0" w:firstColumn="1" w:lastColumn="0" w:noHBand="0" w:noVBand="1"/>
      </w:tblPr>
      <w:tblGrid>
        <w:gridCol w:w="1230"/>
        <w:gridCol w:w="2244"/>
        <w:gridCol w:w="1462"/>
        <w:gridCol w:w="4453"/>
      </w:tblGrid>
      <w:tr w:rsidR="00BE0B19" w:rsidRPr="00AE47C6" w14:paraId="09A0FE59" w14:textId="77777777" w:rsidTr="00AD72E5">
        <w:tc>
          <w:tcPr>
            <w:tcW w:w="0" w:type="auto"/>
            <w:hideMark/>
          </w:tcPr>
          <w:p w14:paraId="6025D607" w14:textId="77777777" w:rsidR="00BE0B19" w:rsidRPr="00AE47C6" w:rsidRDefault="00BE0B19" w:rsidP="00BE0B19">
            <w:pPr>
              <w:spacing w:after="0" w:line="360" w:lineRule="auto"/>
              <w:jc w:val="both"/>
              <w:rPr>
                <w:rFonts w:ascii="Times New Roman" w:eastAsia="Times New Roman" w:hAnsi="Times New Roman" w:cs="Times New Roman"/>
                <w:b/>
                <w:bCs/>
                <w:sz w:val="24"/>
                <w:szCs w:val="24"/>
                <w:lang w:eastAsia="bg-BG"/>
              </w:rPr>
            </w:pPr>
            <w:r w:rsidRPr="00AE47C6">
              <w:rPr>
                <w:rFonts w:ascii="Times New Roman" w:eastAsia="Times New Roman" w:hAnsi="Times New Roman" w:cs="Times New Roman"/>
                <w:b/>
                <w:bCs/>
                <w:sz w:val="24"/>
                <w:szCs w:val="24"/>
                <w:lang w:eastAsia="bg-BG"/>
              </w:rPr>
              <w:t>Ген</w:t>
            </w:r>
          </w:p>
        </w:tc>
        <w:tc>
          <w:tcPr>
            <w:tcW w:w="0" w:type="auto"/>
            <w:hideMark/>
          </w:tcPr>
          <w:p w14:paraId="2690BADD" w14:textId="77777777" w:rsidR="00BE0B19" w:rsidRPr="00AE47C6" w:rsidRDefault="00BE0B19" w:rsidP="00BE0B19">
            <w:pPr>
              <w:spacing w:after="0" w:line="360" w:lineRule="auto"/>
              <w:jc w:val="both"/>
              <w:rPr>
                <w:rFonts w:ascii="Times New Roman" w:eastAsia="Times New Roman" w:hAnsi="Times New Roman" w:cs="Times New Roman"/>
                <w:b/>
                <w:bCs/>
                <w:sz w:val="24"/>
                <w:szCs w:val="24"/>
                <w:lang w:eastAsia="bg-BG"/>
              </w:rPr>
            </w:pPr>
            <w:r w:rsidRPr="00AE47C6">
              <w:rPr>
                <w:rFonts w:ascii="Times New Roman" w:eastAsia="Times New Roman" w:hAnsi="Times New Roman" w:cs="Times New Roman"/>
                <w:b/>
                <w:bCs/>
                <w:sz w:val="24"/>
                <w:szCs w:val="24"/>
                <w:lang w:eastAsia="bg-BG"/>
              </w:rPr>
              <w:t>Начин на унаследяване</w:t>
            </w:r>
          </w:p>
        </w:tc>
        <w:tc>
          <w:tcPr>
            <w:tcW w:w="0" w:type="auto"/>
            <w:hideMark/>
          </w:tcPr>
          <w:p w14:paraId="195D6E7A" w14:textId="77777777" w:rsidR="00BE0B19" w:rsidRPr="00AE47C6" w:rsidRDefault="00BE0B19" w:rsidP="00BE0B19">
            <w:pPr>
              <w:spacing w:after="0" w:line="360" w:lineRule="auto"/>
              <w:jc w:val="both"/>
              <w:rPr>
                <w:rFonts w:ascii="Times New Roman" w:eastAsia="Times New Roman" w:hAnsi="Times New Roman" w:cs="Times New Roman"/>
                <w:b/>
                <w:bCs/>
                <w:sz w:val="24"/>
                <w:szCs w:val="24"/>
                <w:lang w:eastAsia="bg-BG"/>
              </w:rPr>
            </w:pPr>
            <w:r w:rsidRPr="00AE47C6">
              <w:rPr>
                <w:rFonts w:ascii="Times New Roman" w:eastAsia="Times New Roman" w:hAnsi="Times New Roman" w:cs="Times New Roman"/>
                <w:b/>
                <w:bCs/>
                <w:sz w:val="24"/>
                <w:szCs w:val="24"/>
                <w:lang w:eastAsia="bg-BG"/>
              </w:rPr>
              <w:t>Заболяване</w:t>
            </w:r>
          </w:p>
        </w:tc>
        <w:tc>
          <w:tcPr>
            <w:tcW w:w="0" w:type="auto"/>
            <w:hideMark/>
          </w:tcPr>
          <w:p w14:paraId="30640F05" w14:textId="77777777" w:rsidR="00BE0B19" w:rsidRPr="00AE47C6" w:rsidRDefault="00BE0B19" w:rsidP="00BE0B19">
            <w:pPr>
              <w:spacing w:after="0" w:line="360" w:lineRule="auto"/>
              <w:jc w:val="both"/>
              <w:rPr>
                <w:rFonts w:ascii="Times New Roman" w:eastAsia="Times New Roman" w:hAnsi="Times New Roman" w:cs="Times New Roman"/>
                <w:b/>
                <w:bCs/>
                <w:sz w:val="24"/>
                <w:szCs w:val="24"/>
                <w:lang w:eastAsia="bg-BG"/>
              </w:rPr>
            </w:pPr>
            <w:r w:rsidRPr="00AE47C6">
              <w:rPr>
                <w:rFonts w:ascii="Times New Roman" w:eastAsia="Times New Roman" w:hAnsi="Times New Roman" w:cs="Times New Roman"/>
                <w:b/>
                <w:bCs/>
                <w:sz w:val="24"/>
                <w:szCs w:val="24"/>
                <w:lang w:eastAsia="bg-BG"/>
              </w:rPr>
              <w:t>Други прояви</w:t>
            </w:r>
          </w:p>
        </w:tc>
      </w:tr>
      <w:tr w:rsidR="00BE0B19" w:rsidRPr="00AE47C6" w14:paraId="4CCC0893" w14:textId="77777777" w:rsidTr="00AD72E5">
        <w:tc>
          <w:tcPr>
            <w:tcW w:w="0" w:type="auto"/>
            <w:hideMark/>
          </w:tcPr>
          <w:p w14:paraId="004A536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ATL1</w:t>
            </w:r>
          </w:p>
        </w:tc>
        <w:tc>
          <w:tcPr>
            <w:tcW w:w="0" w:type="auto"/>
            <w:hideMark/>
          </w:tcPr>
          <w:p w14:paraId="3E6E83A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AД</w:t>
            </w:r>
          </w:p>
        </w:tc>
        <w:tc>
          <w:tcPr>
            <w:tcW w:w="0" w:type="auto"/>
            <w:hideMark/>
          </w:tcPr>
          <w:p w14:paraId="30BDE42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НСАН1D</w:t>
            </w:r>
          </w:p>
        </w:tc>
        <w:tc>
          <w:tcPr>
            <w:tcW w:w="0" w:type="auto"/>
            <w:hideMark/>
          </w:tcPr>
          <w:p w14:paraId="7FE69AC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61568098" w14:textId="77777777" w:rsidTr="00AD72E5">
        <w:tc>
          <w:tcPr>
            <w:tcW w:w="0" w:type="auto"/>
            <w:hideMark/>
          </w:tcPr>
          <w:p w14:paraId="4A71D23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ATL3</w:t>
            </w:r>
          </w:p>
        </w:tc>
        <w:tc>
          <w:tcPr>
            <w:tcW w:w="0" w:type="auto"/>
            <w:hideMark/>
          </w:tcPr>
          <w:p w14:paraId="0B9B11A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AД</w:t>
            </w:r>
          </w:p>
        </w:tc>
        <w:tc>
          <w:tcPr>
            <w:tcW w:w="0" w:type="auto"/>
            <w:hideMark/>
          </w:tcPr>
          <w:p w14:paraId="5701F76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НСАН1F</w:t>
            </w:r>
          </w:p>
        </w:tc>
        <w:tc>
          <w:tcPr>
            <w:tcW w:w="0" w:type="auto"/>
            <w:hideMark/>
          </w:tcPr>
          <w:p w14:paraId="017E322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40F83006" w14:textId="77777777" w:rsidTr="00AD72E5">
        <w:tc>
          <w:tcPr>
            <w:tcW w:w="0" w:type="auto"/>
            <w:hideMark/>
          </w:tcPr>
          <w:p w14:paraId="4E90282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DNMT1</w:t>
            </w:r>
          </w:p>
        </w:tc>
        <w:tc>
          <w:tcPr>
            <w:tcW w:w="0" w:type="auto"/>
            <w:hideMark/>
          </w:tcPr>
          <w:p w14:paraId="0B622D4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AД</w:t>
            </w:r>
          </w:p>
        </w:tc>
        <w:tc>
          <w:tcPr>
            <w:tcW w:w="0" w:type="auto"/>
            <w:hideMark/>
          </w:tcPr>
          <w:p w14:paraId="5070AC7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НСАН1E</w:t>
            </w:r>
          </w:p>
        </w:tc>
        <w:tc>
          <w:tcPr>
            <w:tcW w:w="0" w:type="auto"/>
            <w:hideMark/>
          </w:tcPr>
          <w:p w14:paraId="0D95A56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Глухота, деменция</w:t>
            </w:r>
          </w:p>
        </w:tc>
      </w:tr>
      <w:tr w:rsidR="00BE0B19" w:rsidRPr="00AE47C6" w14:paraId="0A1A993C" w14:textId="77777777" w:rsidTr="00AD72E5">
        <w:tc>
          <w:tcPr>
            <w:tcW w:w="0" w:type="auto"/>
            <w:hideMark/>
          </w:tcPr>
          <w:p w14:paraId="0C571F7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DST</w:t>
            </w:r>
          </w:p>
        </w:tc>
        <w:tc>
          <w:tcPr>
            <w:tcW w:w="0" w:type="auto"/>
            <w:hideMark/>
          </w:tcPr>
          <w:p w14:paraId="055EBE1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0" w:type="auto"/>
            <w:hideMark/>
          </w:tcPr>
          <w:p w14:paraId="1EAE87F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НСАН6</w:t>
            </w:r>
          </w:p>
        </w:tc>
        <w:tc>
          <w:tcPr>
            <w:tcW w:w="0" w:type="auto"/>
            <w:hideMark/>
          </w:tcPr>
          <w:p w14:paraId="28A2D6E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356B3A0D" w14:textId="77777777" w:rsidTr="00AD72E5">
        <w:tc>
          <w:tcPr>
            <w:tcW w:w="0" w:type="auto"/>
            <w:hideMark/>
          </w:tcPr>
          <w:p w14:paraId="3975535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RETREG1</w:t>
            </w:r>
          </w:p>
        </w:tc>
        <w:tc>
          <w:tcPr>
            <w:tcW w:w="0" w:type="auto"/>
            <w:hideMark/>
          </w:tcPr>
          <w:p w14:paraId="6509E69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0" w:type="auto"/>
            <w:hideMark/>
          </w:tcPr>
          <w:p w14:paraId="47E060C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НСАН2B</w:t>
            </w:r>
          </w:p>
        </w:tc>
        <w:tc>
          <w:tcPr>
            <w:tcW w:w="0" w:type="auto"/>
            <w:hideMark/>
          </w:tcPr>
          <w:p w14:paraId="05EECE4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Хиперлордоза, уринарни нарушения</w:t>
            </w:r>
          </w:p>
        </w:tc>
      </w:tr>
      <w:tr w:rsidR="00BE0B19" w:rsidRPr="00AE47C6" w14:paraId="7B489977" w14:textId="77777777" w:rsidTr="00AD72E5">
        <w:tc>
          <w:tcPr>
            <w:tcW w:w="0" w:type="auto"/>
            <w:hideMark/>
          </w:tcPr>
          <w:p w14:paraId="6D9EE58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ELP1</w:t>
            </w:r>
          </w:p>
        </w:tc>
        <w:tc>
          <w:tcPr>
            <w:tcW w:w="0" w:type="auto"/>
            <w:hideMark/>
          </w:tcPr>
          <w:p w14:paraId="03D85FF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0" w:type="auto"/>
            <w:hideMark/>
          </w:tcPr>
          <w:p w14:paraId="1EE613D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НСАН3</w:t>
            </w:r>
          </w:p>
        </w:tc>
        <w:tc>
          <w:tcPr>
            <w:tcW w:w="0" w:type="auto"/>
            <w:hideMark/>
          </w:tcPr>
          <w:p w14:paraId="7B94172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Епизодична хипертония, хиперхидроза, циклично повръщане</w:t>
            </w:r>
          </w:p>
        </w:tc>
      </w:tr>
      <w:tr w:rsidR="00BE0B19" w:rsidRPr="00AE47C6" w14:paraId="70DC9DB2" w14:textId="77777777" w:rsidTr="00AD72E5">
        <w:tc>
          <w:tcPr>
            <w:tcW w:w="0" w:type="auto"/>
            <w:hideMark/>
          </w:tcPr>
          <w:p w14:paraId="2B345EE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KIF1A</w:t>
            </w:r>
          </w:p>
        </w:tc>
        <w:tc>
          <w:tcPr>
            <w:tcW w:w="0" w:type="auto"/>
            <w:hideMark/>
          </w:tcPr>
          <w:p w14:paraId="132949F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0" w:type="auto"/>
            <w:hideMark/>
          </w:tcPr>
          <w:p w14:paraId="32083DB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НСАНC</w:t>
            </w:r>
          </w:p>
        </w:tc>
        <w:tc>
          <w:tcPr>
            <w:tcW w:w="0" w:type="auto"/>
            <w:hideMark/>
          </w:tcPr>
          <w:p w14:paraId="0135327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084B68A2" w14:textId="77777777" w:rsidTr="00AD72E5">
        <w:tc>
          <w:tcPr>
            <w:tcW w:w="0" w:type="auto"/>
            <w:hideMark/>
          </w:tcPr>
          <w:p w14:paraId="5A9A998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NGF</w:t>
            </w:r>
          </w:p>
        </w:tc>
        <w:tc>
          <w:tcPr>
            <w:tcW w:w="0" w:type="auto"/>
            <w:hideMark/>
          </w:tcPr>
          <w:p w14:paraId="780153D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0" w:type="auto"/>
            <w:hideMark/>
          </w:tcPr>
          <w:p w14:paraId="65F96F76"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НСАН5</w:t>
            </w:r>
          </w:p>
        </w:tc>
        <w:tc>
          <w:tcPr>
            <w:tcW w:w="0" w:type="auto"/>
            <w:hideMark/>
          </w:tcPr>
          <w:p w14:paraId="2D35E97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308BA958" w14:textId="77777777" w:rsidTr="00AD72E5">
        <w:tc>
          <w:tcPr>
            <w:tcW w:w="0" w:type="auto"/>
            <w:hideMark/>
          </w:tcPr>
          <w:p w14:paraId="4FF9CAD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NTRK1</w:t>
            </w:r>
          </w:p>
        </w:tc>
        <w:tc>
          <w:tcPr>
            <w:tcW w:w="0" w:type="auto"/>
            <w:hideMark/>
          </w:tcPr>
          <w:p w14:paraId="3CE8937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0" w:type="auto"/>
            <w:hideMark/>
          </w:tcPr>
          <w:p w14:paraId="416D4C5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НСАН4</w:t>
            </w:r>
          </w:p>
        </w:tc>
        <w:tc>
          <w:tcPr>
            <w:tcW w:w="0" w:type="auto"/>
            <w:hideMark/>
          </w:tcPr>
          <w:p w14:paraId="19175E5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39378FC8" w14:textId="77777777" w:rsidTr="00AD72E5">
        <w:tc>
          <w:tcPr>
            <w:tcW w:w="0" w:type="auto"/>
            <w:hideMark/>
          </w:tcPr>
          <w:p w14:paraId="78EC581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PRDM12</w:t>
            </w:r>
          </w:p>
        </w:tc>
        <w:tc>
          <w:tcPr>
            <w:tcW w:w="0" w:type="auto"/>
            <w:hideMark/>
          </w:tcPr>
          <w:p w14:paraId="1DFCD40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0" w:type="auto"/>
            <w:hideMark/>
          </w:tcPr>
          <w:p w14:paraId="07600B9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НСАН8</w:t>
            </w:r>
          </w:p>
        </w:tc>
        <w:tc>
          <w:tcPr>
            <w:tcW w:w="0" w:type="auto"/>
            <w:hideMark/>
          </w:tcPr>
          <w:p w14:paraId="0AAA101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6A6EC05D" w14:textId="77777777" w:rsidTr="00AD72E5">
        <w:tc>
          <w:tcPr>
            <w:tcW w:w="0" w:type="auto"/>
            <w:hideMark/>
          </w:tcPr>
          <w:p w14:paraId="2393AE32"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SCN11A</w:t>
            </w:r>
          </w:p>
        </w:tc>
        <w:tc>
          <w:tcPr>
            <w:tcW w:w="0" w:type="auto"/>
            <w:hideMark/>
          </w:tcPr>
          <w:p w14:paraId="738E7307"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AД</w:t>
            </w:r>
          </w:p>
        </w:tc>
        <w:tc>
          <w:tcPr>
            <w:tcW w:w="0" w:type="auto"/>
            <w:hideMark/>
          </w:tcPr>
          <w:p w14:paraId="3ADFBC9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НСАН7</w:t>
            </w:r>
          </w:p>
        </w:tc>
        <w:tc>
          <w:tcPr>
            <w:tcW w:w="0" w:type="auto"/>
            <w:hideMark/>
          </w:tcPr>
          <w:p w14:paraId="3452E02C"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Гастроинтестинална дисфункция</w:t>
            </w:r>
          </w:p>
        </w:tc>
      </w:tr>
      <w:tr w:rsidR="00BE0B19" w:rsidRPr="00AE47C6" w14:paraId="13624426" w14:textId="77777777" w:rsidTr="00AD72E5">
        <w:tc>
          <w:tcPr>
            <w:tcW w:w="0" w:type="auto"/>
            <w:hideMark/>
          </w:tcPr>
          <w:p w14:paraId="35D69B7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SCN9A</w:t>
            </w:r>
          </w:p>
        </w:tc>
        <w:tc>
          <w:tcPr>
            <w:tcW w:w="0" w:type="auto"/>
            <w:hideMark/>
          </w:tcPr>
          <w:p w14:paraId="0516B20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0" w:type="auto"/>
            <w:hideMark/>
          </w:tcPr>
          <w:p w14:paraId="52B82D7A"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НСАН2D</w:t>
            </w:r>
          </w:p>
        </w:tc>
        <w:tc>
          <w:tcPr>
            <w:tcW w:w="0" w:type="auto"/>
            <w:hideMark/>
          </w:tcPr>
          <w:p w14:paraId="7EB57BFB"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Загуба на болкова сетивност, еритромелалгия</w:t>
            </w:r>
          </w:p>
        </w:tc>
      </w:tr>
      <w:tr w:rsidR="00BE0B19" w:rsidRPr="00AE47C6" w14:paraId="786F7850" w14:textId="77777777" w:rsidTr="00AD72E5">
        <w:tc>
          <w:tcPr>
            <w:tcW w:w="0" w:type="auto"/>
            <w:hideMark/>
          </w:tcPr>
          <w:p w14:paraId="3BDD11F0"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SPTLC1</w:t>
            </w:r>
          </w:p>
        </w:tc>
        <w:tc>
          <w:tcPr>
            <w:tcW w:w="0" w:type="auto"/>
            <w:hideMark/>
          </w:tcPr>
          <w:p w14:paraId="2B05FD81"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AД</w:t>
            </w:r>
          </w:p>
        </w:tc>
        <w:tc>
          <w:tcPr>
            <w:tcW w:w="0" w:type="auto"/>
            <w:hideMark/>
          </w:tcPr>
          <w:p w14:paraId="1FDB051F"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НСАН1A</w:t>
            </w:r>
          </w:p>
        </w:tc>
        <w:tc>
          <w:tcPr>
            <w:tcW w:w="0" w:type="auto"/>
            <w:hideMark/>
          </w:tcPr>
          <w:p w14:paraId="3060462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Перфориращи язви</w:t>
            </w:r>
          </w:p>
        </w:tc>
      </w:tr>
      <w:tr w:rsidR="00BE0B19" w:rsidRPr="00AE47C6" w14:paraId="0A0A2652" w14:textId="77777777" w:rsidTr="00AD72E5">
        <w:tc>
          <w:tcPr>
            <w:tcW w:w="0" w:type="auto"/>
            <w:hideMark/>
          </w:tcPr>
          <w:p w14:paraId="67679FD4"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SPTLC2</w:t>
            </w:r>
          </w:p>
        </w:tc>
        <w:tc>
          <w:tcPr>
            <w:tcW w:w="0" w:type="auto"/>
            <w:hideMark/>
          </w:tcPr>
          <w:p w14:paraId="0D6B712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AД</w:t>
            </w:r>
          </w:p>
        </w:tc>
        <w:tc>
          <w:tcPr>
            <w:tcW w:w="0" w:type="auto"/>
            <w:hideMark/>
          </w:tcPr>
          <w:p w14:paraId="6DE045D8"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НСАН1C</w:t>
            </w:r>
          </w:p>
        </w:tc>
        <w:tc>
          <w:tcPr>
            <w:tcW w:w="0" w:type="auto"/>
            <w:hideMark/>
          </w:tcPr>
          <w:p w14:paraId="4FE47285"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r w:rsidR="00BE0B19" w:rsidRPr="00AE47C6" w14:paraId="35B478D2" w14:textId="77777777" w:rsidTr="00AD72E5">
        <w:tc>
          <w:tcPr>
            <w:tcW w:w="0" w:type="auto"/>
            <w:hideMark/>
          </w:tcPr>
          <w:p w14:paraId="426CCEA3"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i/>
                <w:iCs/>
                <w:sz w:val="24"/>
                <w:szCs w:val="24"/>
                <w:lang w:eastAsia="bg-BG"/>
              </w:rPr>
              <w:t>WNK1</w:t>
            </w:r>
          </w:p>
        </w:tc>
        <w:tc>
          <w:tcPr>
            <w:tcW w:w="0" w:type="auto"/>
            <w:hideMark/>
          </w:tcPr>
          <w:p w14:paraId="63401B8E"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AР</w:t>
            </w:r>
          </w:p>
        </w:tc>
        <w:tc>
          <w:tcPr>
            <w:tcW w:w="0" w:type="auto"/>
            <w:hideMark/>
          </w:tcPr>
          <w:p w14:paraId="2D6DF659"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r w:rsidRPr="00AE47C6">
              <w:rPr>
                <w:rFonts w:ascii="Times New Roman" w:eastAsia="Times New Roman" w:hAnsi="Times New Roman" w:cs="Times New Roman"/>
                <w:sz w:val="24"/>
                <w:szCs w:val="24"/>
                <w:lang w:eastAsia="bg-BG"/>
              </w:rPr>
              <w:t>НСАН2A</w:t>
            </w:r>
          </w:p>
        </w:tc>
        <w:tc>
          <w:tcPr>
            <w:tcW w:w="0" w:type="auto"/>
            <w:hideMark/>
          </w:tcPr>
          <w:p w14:paraId="6E906D0D" w14:textId="77777777" w:rsidR="00BE0B19" w:rsidRPr="00AE47C6" w:rsidRDefault="00BE0B19" w:rsidP="00BE0B19">
            <w:pPr>
              <w:spacing w:after="0" w:line="360" w:lineRule="auto"/>
              <w:jc w:val="both"/>
              <w:rPr>
                <w:rFonts w:ascii="Times New Roman" w:eastAsia="Times New Roman" w:hAnsi="Times New Roman" w:cs="Times New Roman"/>
                <w:sz w:val="24"/>
                <w:szCs w:val="24"/>
                <w:lang w:eastAsia="bg-BG"/>
              </w:rPr>
            </w:pPr>
          </w:p>
        </w:tc>
      </w:tr>
    </w:tbl>
    <w:p w14:paraId="678BD5BF" w14:textId="77777777" w:rsidR="00BE0B19" w:rsidRPr="00AE47C6" w:rsidRDefault="00BE0B19" w:rsidP="00BE0B19">
      <w:pPr>
        <w:spacing w:after="0" w:line="360" w:lineRule="auto"/>
        <w:ind w:left="720"/>
        <w:contextualSpacing/>
        <w:jc w:val="both"/>
        <w:rPr>
          <w:rFonts w:ascii="Times New Roman" w:eastAsia="SimSun" w:hAnsi="Times New Roman"/>
          <w:sz w:val="24"/>
          <w:szCs w:val="24"/>
        </w:rPr>
      </w:pPr>
    </w:p>
    <w:p w14:paraId="7A93E8D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Профилактиката на невро-мускулните заболявания включва следните етапи</w:t>
      </w:r>
    </w:p>
    <w:p w14:paraId="17583B87" w14:textId="77777777" w:rsidR="00BE0B19" w:rsidRPr="00AE47C6" w:rsidRDefault="00BE0B19" w:rsidP="00BE0B19">
      <w:pPr>
        <w:numPr>
          <w:ilvl w:val="1"/>
          <w:numId w:val="215"/>
        </w:numPr>
        <w:spacing w:after="0" w:line="360" w:lineRule="auto"/>
        <w:ind w:left="709" w:hanging="709"/>
        <w:contextualSpacing/>
        <w:jc w:val="both"/>
        <w:rPr>
          <w:rFonts w:ascii="Times New Roman" w:eastAsia="SimSun" w:hAnsi="Times New Roman"/>
          <w:sz w:val="24"/>
          <w:szCs w:val="24"/>
        </w:rPr>
      </w:pPr>
      <w:r w:rsidRPr="00AE47C6">
        <w:rPr>
          <w:rFonts w:ascii="Times New Roman" w:eastAsia="SimSun" w:hAnsi="Times New Roman"/>
          <w:sz w:val="24"/>
          <w:szCs w:val="24"/>
        </w:rPr>
        <w:t>Изясняване на генетичния дефект, отговорен за заболяването.</w:t>
      </w:r>
    </w:p>
    <w:p w14:paraId="2EF05F2B" w14:textId="77777777" w:rsidR="00BE0B19" w:rsidRPr="00AE47C6" w:rsidRDefault="00BE0B19" w:rsidP="00BE0B19">
      <w:pPr>
        <w:numPr>
          <w:ilvl w:val="1"/>
          <w:numId w:val="215"/>
        </w:numPr>
        <w:spacing w:after="0" w:line="360" w:lineRule="auto"/>
        <w:ind w:left="709" w:hanging="709"/>
        <w:contextualSpacing/>
        <w:jc w:val="both"/>
        <w:rPr>
          <w:rFonts w:ascii="Times New Roman" w:eastAsia="SimSun" w:hAnsi="Times New Roman"/>
          <w:sz w:val="24"/>
          <w:szCs w:val="24"/>
        </w:rPr>
      </w:pPr>
      <w:r w:rsidRPr="00AE47C6">
        <w:rPr>
          <w:rFonts w:ascii="Times New Roman" w:eastAsia="SimSun" w:hAnsi="Times New Roman"/>
          <w:sz w:val="24"/>
          <w:szCs w:val="24"/>
        </w:rPr>
        <w:t>Медико-генетично консултиране на засегнатото семейство.</w:t>
      </w:r>
    </w:p>
    <w:p w14:paraId="567FC624" w14:textId="77777777" w:rsidR="00BE0B19" w:rsidRPr="00AE47C6" w:rsidRDefault="00BE0B19" w:rsidP="00BE0B19">
      <w:pPr>
        <w:numPr>
          <w:ilvl w:val="1"/>
          <w:numId w:val="215"/>
        </w:numPr>
        <w:spacing w:after="0" w:line="360" w:lineRule="auto"/>
        <w:ind w:left="709" w:hanging="709"/>
        <w:contextualSpacing/>
        <w:jc w:val="both"/>
        <w:rPr>
          <w:rFonts w:ascii="Times New Roman" w:eastAsia="SimSun" w:hAnsi="Times New Roman"/>
          <w:sz w:val="24"/>
          <w:szCs w:val="24"/>
        </w:rPr>
      </w:pPr>
      <w:r w:rsidRPr="00AE47C6">
        <w:rPr>
          <w:rFonts w:ascii="Times New Roman" w:eastAsia="SimSun" w:hAnsi="Times New Roman"/>
          <w:sz w:val="24"/>
          <w:szCs w:val="24"/>
        </w:rPr>
        <w:t>Пренатална диагностика на бременностите в засегнатите семейства.</w:t>
      </w:r>
    </w:p>
    <w:p w14:paraId="7EE144E4" w14:textId="77777777" w:rsidR="00BE0B19" w:rsidRPr="00AE47C6" w:rsidRDefault="00BE0B19" w:rsidP="00BE0B19">
      <w:pPr>
        <w:numPr>
          <w:ilvl w:val="1"/>
          <w:numId w:val="215"/>
        </w:numPr>
        <w:spacing w:after="0" w:line="360" w:lineRule="auto"/>
        <w:ind w:left="709" w:hanging="709"/>
        <w:contextualSpacing/>
        <w:jc w:val="both"/>
        <w:rPr>
          <w:rFonts w:ascii="Times New Roman" w:eastAsia="SimSun" w:hAnsi="Times New Roman"/>
          <w:sz w:val="24"/>
          <w:szCs w:val="24"/>
        </w:rPr>
      </w:pPr>
      <w:r w:rsidRPr="00AE47C6">
        <w:rPr>
          <w:rFonts w:ascii="Times New Roman" w:eastAsia="SimSun" w:hAnsi="Times New Roman"/>
          <w:sz w:val="24"/>
          <w:szCs w:val="24"/>
        </w:rPr>
        <w:t>Провеждане на селективен скрининг за определени невро-мускулни заболявания във високо-рискови групи.</w:t>
      </w:r>
    </w:p>
    <w:p w14:paraId="231CDBA9" w14:textId="77777777" w:rsidR="00BE0B19" w:rsidRPr="00AE47C6" w:rsidRDefault="00BE0B19" w:rsidP="00BE0B19">
      <w:pPr>
        <w:spacing w:after="0" w:line="360" w:lineRule="auto"/>
        <w:jc w:val="both"/>
        <w:rPr>
          <w:rFonts w:ascii="Times New Roman" w:eastAsia="SimSun" w:hAnsi="Times New Roman"/>
          <w:sz w:val="24"/>
          <w:szCs w:val="24"/>
        </w:rPr>
      </w:pPr>
    </w:p>
    <w:p w14:paraId="2523AD8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Насочване към национални клинични регистри за невромускулни заболявания и към пациентски организации.</w:t>
      </w:r>
    </w:p>
    <w:p w14:paraId="64C5B4D1" w14:textId="77777777" w:rsidR="00BE0B19" w:rsidRPr="00AE47C6" w:rsidRDefault="00BE0B19" w:rsidP="00BE0B19">
      <w:pPr>
        <w:spacing w:after="0" w:line="360" w:lineRule="auto"/>
        <w:ind w:firstLine="708"/>
        <w:jc w:val="both"/>
        <w:rPr>
          <w:rFonts w:ascii="Times New Roman" w:eastAsia="SimSun" w:hAnsi="Times New Roman"/>
          <w:sz w:val="24"/>
          <w:szCs w:val="24"/>
        </w:rPr>
      </w:pPr>
      <w:r w:rsidRPr="00AE47C6">
        <w:rPr>
          <w:rFonts w:ascii="Times New Roman" w:eastAsia="SimSun" w:hAnsi="Times New Roman"/>
          <w:sz w:val="24"/>
          <w:szCs w:val="24"/>
        </w:rPr>
        <w:t xml:space="preserve">От 2016 г. към Клиниката по Нервни болести, УМБАЛ „Александровска“ е учреден Експертен център по наследствени неврологични и метаболитни заболявания. Развити са регистри за тези заболявания. Информация за наличните регистри в страната и клинични центрове за диагностика и лечение може да бъде намерена на сайта на Българското дружество по невромускулни заболявания </w:t>
      </w:r>
      <w:hyperlink r:id="rId140" w:history="1">
        <w:r w:rsidRPr="00AE47C6">
          <w:rPr>
            <w:rFonts w:ascii="Times New Roman" w:eastAsia="SimSun" w:hAnsi="Times New Roman"/>
            <w:color w:val="0000FF"/>
            <w:sz w:val="24"/>
            <w:szCs w:val="24"/>
            <w:u w:val="single"/>
          </w:rPr>
          <w:t>http://www.nmd-bg.com</w:t>
        </w:r>
      </w:hyperlink>
      <w:r w:rsidRPr="00AE47C6">
        <w:rPr>
          <w:rFonts w:ascii="Times New Roman" w:eastAsia="SimSun" w:hAnsi="Times New Roman"/>
          <w:sz w:val="24"/>
          <w:szCs w:val="24"/>
        </w:rPr>
        <w:t>.</w:t>
      </w:r>
    </w:p>
    <w:p w14:paraId="0FB6916B" w14:textId="77777777" w:rsidR="00BE0B19" w:rsidRPr="00AE47C6" w:rsidRDefault="00BE0B19" w:rsidP="00BE0B19">
      <w:pPr>
        <w:keepNext/>
        <w:keepLines/>
        <w:pageBreakBefore/>
        <w:spacing w:before="480" w:after="480"/>
        <w:outlineLvl w:val="0"/>
        <w:rPr>
          <w:rFonts w:ascii="Times New Roman" w:eastAsia="SimSun" w:hAnsi="Times New Roman"/>
          <w:b/>
          <w:bCs/>
          <w:sz w:val="28"/>
          <w:szCs w:val="28"/>
        </w:rPr>
      </w:pPr>
      <w:bookmarkStart w:id="222" w:name="_Toc155651806"/>
      <w:bookmarkStart w:id="223" w:name="_Toc164075940"/>
      <w:r w:rsidRPr="00AE47C6">
        <w:rPr>
          <w:rFonts w:ascii="Times New Roman" w:eastAsia="SimSun" w:hAnsi="Times New Roman"/>
          <w:b/>
          <w:bCs/>
          <w:sz w:val="28"/>
          <w:szCs w:val="28"/>
        </w:rPr>
        <w:t>10. Множествена склероза и заболявания от спектъра на оптичния невромиелит</w:t>
      </w:r>
      <w:bookmarkEnd w:id="222"/>
      <w:bookmarkEnd w:id="223"/>
    </w:p>
    <w:p w14:paraId="69F5610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Множествената склероза (МС) е </w:t>
      </w:r>
      <w:r w:rsidRPr="00AE47C6">
        <w:rPr>
          <w:rFonts w:ascii="Times New Roman" w:eastAsia="SimSun" w:hAnsi="Times New Roman"/>
          <w:b/>
          <w:sz w:val="24"/>
          <w:szCs w:val="24"/>
        </w:rPr>
        <w:t>автоимунно заболяване</w:t>
      </w:r>
      <w:r w:rsidRPr="00AE47C6">
        <w:rPr>
          <w:rFonts w:ascii="Times New Roman" w:eastAsia="SimSun" w:hAnsi="Times New Roman"/>
          <w:sz w:val="24"/>
          <w:szCs w:val="24"/>
        </w:rPr>
        <w:t xml:space="preserve">, с генетично предразположение, което в комбинация с някои фактори на околната среда довежда до каскада от имунни отговори и нарушаване на кръвно-мозъчната бариера. В резултат настъпва възпалителна демиелинизация на бялото мозъчно вещество в централната нервна система (ЦНС) с участието предимно на Т лимфоцитите и макрофагите. Нарушава се провеждането на импулсите в ЦНС, което довежда клинично до неврологичен дефицит. </w:t>
      </w:r>
    </w:p>
    <w:p w14:paraId="05983B5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Епидемиология. Болестността</w:t>
      </w:r>
      <w:r w:rsidRPr="00AE47C6">
        <w:rPr>
          <w:rFonts w:ascii="Times New Roman" w:eastAsia="SimSun" w:hAnsi="Times New Roman"/>
          <w:sz w:val="24"/>
          <w:szCs w:val="24"/>
        </w:rPr>
        <w:t xml:space="preserve"> в България е 44,5/100 000 население, а заболяемостта е 1,03/100 000 население. Тези данни показват, че в България боледуват около 3600 души, а всяка година се разболяват нови 80. Тези показатели са от 1997 г. и се различават от болестността в съседните страни и във високо-рисковите средноевропейски зони, която надминава 100/100 000 население. Нарастването на болестността и заболяемостта е свързано вероятно с по-добрата и ранна диагностика. Ако приемем,  че в България има двойно нарастване на показателите, броя на боледуващите пациенти е около 7 000 и всяка година се разболяват нови около 160 души. Засяга предимно млади хора, най-голям е броя на болните между 30 – 34 годишна възраст (средна възраст 44 г.). От 3 - 10% от случаите с МС започват в детско-юношеска възраст. Предразположението на женския пол към заболяването е двойно по-голямо. Заболяването е хронично, с продължителност между 10 и 15 години (средно 13 г.) в зависимост от клиничната форма.</w:t>
      </w:r>
    </w:p>
    <w:p w14:paraId="3C2A0EE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Класифицира се</w:t>
      </w:r>
      <w:r w:rsidRPr="00AE47C6">
        <w:rPr>
          <w:rFonts w:ascii="Times New Roman" w:eastAsia="SimSun" w:hAnsi="Times New Roman"/>
          <w:sz w:val="24"/>
          <w:szCs w:val="24"/>
        </w:rPr>
        <w:t xml:space="preserve"> в 4 клинични форми </w:t>
      </w:r>
      <w:r w:rsidRPr="00AE47C6">
        <w:rPr>
          <w:rFonts w:ascii="Times New Roman" w:eastAsia="SimSun" w:hAnsi="Times New Roman"/>
          <w:b/>
          <w:i/>
          <w:sz w:val="24"/>
          <w:szCs w:val="24"/>
        </w:rPr>
        <w:t>според времевия профил</w:t>
      </w:r>
      <w:r w:rsidRPr="00AE47C6">
        <w:rPr>
          <w:rFonts w:ascii="Times New Roman" w:eastAsia="SimSun" w:hAnsi="Times New Roman"/>
          <w:sz w:val="24"/>
          <w:szCs w:val="24"/>
        </w:rPr>
        <w:t xml:space="preserve"> на заболяването .</w:t>
      </w:r>
    </w:p>
    <w:p w14:paraId="348A0BD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Пристъпно-ремитентната</w:t>
      </w:r>
      <w:r w:rsidRPr="00AE47C6">
        <w:rPr>
          <w:rFonts w:ascii="Times New Roman" w:eastAsia="SimSun" w:hAnsi="Times New Roman"/>
          <w:sz w:val="24"/>
          <w:szCs w:val="24"/>
        </w:rPr>
        <w:t xml:space="preserve"> е най-честата форма, при 85% от пациентите </w:t>
      </w:r>
      <w:r w:rsidRPr="00AE47C6">
        <w:rPr>
          <w:rFonts w:ascii="Times New Roman" w:eastAsia="SimSun" w:hAnsi="Times New Roman"/>
          <w:b/>
          <w:sz w:val="24"/>
          <w:szCs w:val="24"/>
        </w:rPr>
        <w:t>(около 5950 болни за страната)</w:t>
      </w:r>
      <w:r w:rsidRPr="00AE47C6">
        <w:rPr>
          <w:rFonts w:ascii="Times New Roman" w:eastAsia="SimSun" w:hAnsi="Times New Roman"/>
          <w:sz w:val="24"/>
          <w:szCs w:val="24"/>
        </w:rPr>
        <w:t xml:space="preserve">. Характеризира се с ясни пристъпи от неврологични симптоми, които показват бавно обратно развитие (пълно или частично) за няколко седмици. Следващите пристъпи (екзацербации) настъпват през неправилни интервали от време. Между пристъпите не се наблюдава прогресия. В тази форма се включват случаите с пристъпи и кумулирани последици от пристъпите поради непълно възстановяване, независимо от трудността да се различат от вторично-прогресиращата  МС. При 62% от болните </w:t>
      </w:r>
      <w:r w:rsidRPr="00AE47C6">
        <w:rPr>
          <w:rFonts w:ascii="Times New Roman" w:eastAsia="SimSun" w:hAnsi="Times New Roman"/>
          <w:b/>
          <w:sz w:val="24"/>
          <w:szCs w:val="24"/>
        </w:rPr>
        <w:t>(около 4340 болни за страната</w:t>
      </w:r>
      <w:r w:rsidRPr="00AE47C6">
        <w:rPr>
          <w:rFonts w:ascii="Times New Roman" w:eastAsia="SimSun" w:hAnsi="Times New Roman"/>
          <w:sz w:val="24"/>
          <w:szCs w:val="24"/>
        </w:rPr>
        <w:t>) се установява инвалидизация, по-малка от 5 по скалата на Kurtzke.</w:t>
      </w:r>
    </w:p>
    <w:p w14:paraId="2EF4BD6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При вторично-прогресираща форм</w:t>
      </w:r>
      <w:r w:rsidRPr="00AE47C6">
        <w:rPr>
          <w:rFonts w:ascii="Times New Roman" w:eastAsia="SimSun" w:hAnsi="Times New Roman"/>
          <w:i/>
          <w:sz w:val="24"/>
          <w:szCs w:val="24"/>
        </w:rPr>
        <w:t xml:space="preserve">а </w:t>
      </w:r>
      <w:r w:rsidRPr="00AE47C6">
        <w:rPr>
          <w:rFonts w:ascii="Times New Roman" w:eastAsia="SimSun" w:hAnsi="Times New Roman"/>
          <w:sz w:val="24"/>
          <w:szCs w:val="24"/>
        </w:rPr>
        <w:t>се наблюдава постепенна акумулация на невъзвратима инвалидност, с или без отделни пристъпи, малки ремисии и плата. След 6 до 10 години от началото на заболяването 70% от болните с пристъпно-ремитентна преминават във вторично-прогресираща форма. При начало в детско-юношеската възраст  периодът за достигане до вторично-прогресираща форма е по-продължителен, но поради по-младата възраст при началото на заболяването, инвалидизацията настъпва  около 10 г. по-рано в сравнение с възрастните.</w:t>
      </w:r>
    </w:p>
    <w:p w14:paraId="7E12D5C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Първично-прогресираща форма</w:t>
      </w:r>
      <w:r w:rsidRPr="00AE47C6">
        <w:rPr>
          <w:rFonts w:ascii="Times New Roman" w:eastAsia="SimSun" w:hAnsi="Times New Roman"/>
          <w:sz w:val="24"/>
          <w:szCs w:val="24"/>
        </w:rPr>
        <w:t xml:space="preserve"> има при малка част от болните (10%). При нея симптомите и дефицитът се влошават постоянно и бавно от началото, без ясно отграничими пристъпи или ремисии независимо, че могат да се наблюдават плата и временни минимални подобрения. Тя е свързана с по-ранно развитие на тежка инвалидност в сравнение с пристъпно-ремитентната форма, по-малко лезии на МРТ и преобладаване на дегенеративните пред възпалителните промени. Установени са и имуногенетични различия, най-вече преобладаване на HLA-DR4 позитивни пациенти спрямо групата с пристъпно-ремитентна форма.</w:t>
      </w:r>
    </w:p>
    <w:p w14:paraId="33A050C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Подразделя се според степента и скоростта на развитие на неврологичния дефицит на доброкачествена и злокачествена форма. </w:t>
      </w:r>
    </w:p>
    <w:p w14:paraId="28484E6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 xml:space="preserve">Доброкачествената форма </w:t>
      </w:r>
      <w:r w:rsidRPr="00AE47C6">
        <w:rPr>
          <w:rFonts w:ascii="Times New Roman" w:eastAsia="SimSun" w:hAnsi="Times New Roman"/>
          <w:sz w:val="24"/>
          <w:szCs w:val="24"/>
        </w:rPr>
        <w:t xml:space="preserve">се идентифицира ретроспективно, когато 15 години след началото на заболяването, честотата и тежестта на пристъпите, както и прогресиращият  неврологичен дефицит, са явно по-слабо изразени, в сравнение с тези при другите групи. Инвалидизацията е слаба и позволява на пациента да остане относително функционално пълноценен. Не се взема обаче под внимание инвалидизацията, дължаща се на когнитивни нарушения, умора, депресия, тазово-резервоарни проблеми. Принадлежността към доброкачествената форма на протичане е относителна и търпи промяна във времето. Десет години след диагностицирането 1/3 от пациентите имат бенигнено протичане на заболяването, а след 20 години – само 1/5. </w:t>
      </w:r>
    </w:p>
    <w:p w14:paraId="78F4399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 xml:space="preserve">Злокачествена МС </w:t>
      </w:r>
      <w:r w:rsidRPr="00AE47C6">
        <w:rPr>
          <w:rFonts w:ascii="Times New Roman" w:eastAsia="SimSun" w:hAnsi="Times New Roman"/>
          <w:sz w:val="24"/>
          <w:szCs w:val="24"/>
        </w:rPr>
        <w:t xml:space="preserve">се намира при малко пациенти, при които заболяването се развива бързо с чести пристъпи и непрекъсната прогресия на инвалидността. Пациентите бързо (за месеци или няколко години) развиват тежък неврологичен дефицит. </w:t>
      </w:r>
    </w:p>
    <w:p w14:paraId="4C51C82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Клиничното протичане</w:t>
      </w:r>
      <w:r w:rsidRPr="00AE47C6">
        <w:rPr>
          <w:rFonts w:ascii="Times New Roman" w:eastAsia="SimSun" w:hAnsi="Times New Roman"/>
          <w:sz w:val="24"/>
          <w:szCs w:val="24"/>
        </w:rPr>
        <w:t xml:space="preserve"> се характеризира с пръснати преходни или прогресиращи неврологични симптоми (пирамидни, координационни, сетивни, тазово-резервоарни и др.).</w:t>
      </w:r>
    </w:p>
    <w:p w14:paraId="7878042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Заболяването най-често започва със зрителни или очедвигателни симптоми (49%), следвани от парези на крайниците или парестезии (42%), координационни (23%) или тазово-резервоарни (10%) нарушения. Симптомите могат да се появят изолирано или в комбинация (30 до 50% от пациентите). По-рядко (5%) първоначални симптоми са вертиго, тригеминална невралгия, пароксизмални симптоми, екстрапирамидни двигателни нарушения или дизартрия. </w:t>
      </w:r>
    </w:p>
    <w:p w14:paraId="2F43A49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В хода на заболяването при всички пациенти се развиват зрителни или очедвигателни симптоми, парези на крайниците или парестезии (88%), координационни (82%), тазово-резервоарни (63%) или когнитивни (40%) нарушения.</w:t>
      </w:r>
    </w:p>
    <w:p w14:paraId="510EABB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Пристъпът</w:t>
      </w:r>
      <w:r w:rsidRPr="00AE47C6">
        <w:rPr>
          <w:rFonts w:ascii="Times New Roman" w:eastAsia="SimSun" w:hAnsi="Times New Roman"/>
          <w:sz w:val="24"/>
          <w:szCs w:val="24"/>
        </w:rPr>
        <w:t xml:space="preserve"> се диагностицира чрез определени критерии. Трябва да се разграничи от псевдопристъпът (период на влошаване), предизвикан от интеркурентни заболявания, повишаване на телесната температура или инфекция. За интервал между пристъпите се приема времето от началото на един пристъп до началото на следващ пристъп. </w:t>
      </w:r>
    </w:p>
    <w:p w14:paraId="3ADF854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 xml:space="preserve">Критериите за настъпване на нов пристъп на заболяването са: </w:t>
      </w:r>
    </w:p>
    <w:p w14:paraId="2C087B77"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num" w:pos="360"/>
        </w:tabs>
        <w:spacing w:after="0" w:line="360" w:lineRule="auto"/>
        <w:ind w:left="360" w:hanging="360"/>
        <w:jc w:val="both"/>
        <w:rPr>
          <w:rFonts w:ascii="Times New Roman" w:eastAsia="SimSun" w:hAnsi="Times New Roman"/>
          <w:b/>
          <w:sz w:val="24"/>
          <w:szCs w:val="24"/>
        </w:rPr>
      </w:pPr>
      <w:r w:rsidRPr="00AE47C6">
        <w:rPr>
          <w:rFonts w:ascii="Times New Roman" w:eastAsia="SimSun" w:hAnsi="Times New Roman"/>
          <w:sz w:val="24"/>
          <w:szCs w:val="24"/>
        </w:rPr>
        <w:t>Поява на нов неврологичен симптом</w:t>
      </w:r>
    </w:p>
    <w:p w14:paraId="5C753E13"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num" w:pos="360"/>
        </w:tabs>
        <w:spacing w:after="0" w:line="360" w:lineRule="auto"/>
        <w:ind w:left="360" w:hanging="360"/>
        <w:jc w:val="both"/>
        <w:rPr>
          <w:rFonts w:ascii="Times New Roman" w:eastAsia="SimSun" w:hAnsi="Times New Roman"/>
          <w:b/>
          <w:sz w:val="24"/>
          <w:szCs w:val="24"/>
        </w:rPr>
      </w:pPr>
      <w:r w:rsidRPr="00AE47C6">
        <w:rPr>
          <w:rFonts w:ascii="Times New Roman" w:eastAsia="SimSun" w:hAnsi="Times New Roman"/>
          <w:sz w:val="24"/>
          <w:szCs w:val="24"/>
        </w:rPr>
        <w:t>Поява отново на стар симптом</w:t>
      </w:r>
    </w:p>
    <w:p w14:paraId="18DB4170"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num" w:pos="360"/>
        </w:tabs>
        <w:spacing w:after="0" w:line="360" w:lineRule="auto"/>
        <w:ind w:left="360" w:hanging="360"/>
        <w:jc w:val="both"/>
        <w:rPr>
          <w:rFonts w:ascii="Times New Roman" w:eastAsia="SimSun" w:hAnsi="Times New Roman"/>
          <w:b/>
          <w:sz w:val="24"/>
          <w:szCs w:val="24"/>
        </w:rPr>
      </w:pPr>
      <w:r w:rsidRPr="00AE47C6">
        <w:rPr>
          <w:rFonts w:ascii="Times New Roman" w:eastAsia="SimSun" w:hAnsi="Times New Roman"/>
          <w:sz w:val="24"/>
          <w:szCs w:val="24"/>
        </w:rPr>
        <w:t>Влошаване на съществуващ симптом с &gt; 0,5 по скалата на Kurtzke</w:t>
      </w:r>
    </w:p>
    <w:p w14:paraId="2E6A13B2"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num" w:pos="360"/>
        </w:tabs>
        <w:spacing w:after="0" w:line="360" w:lineRule="auto"/>
        <w:ind w:left="360" w:hanging="360"/>
        <w:jc w:val="both"/>
        <w:rPr>
          <w:rFonts w:ascii="Times New Roman" w:eastAsia="SimSun" w:hAnsi="Times New Roman"/>
          <w:b/>
          <w:sz w:val="24"/>
          <w:szCs w:val="24"/>
        </w:rPr>
      </w:pPr>
      <w:r w:rsidRPr="00AE47C6">
        <w:rPr>
          <w:rFonts w:ascii="Times New Roman" w:eastAsia="SimSun" w:hAnsi="Times New Roman"/>
          <w:sz w:val="24"/>
          <w:szCs w:val="24"/>
        </w:rPr>
        <w:t>Продължителност повече от 24 часа</w:t>
      </w:r>
    </w:p>
    <w:p w14:paraId="36825B5F"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num" w:pos="360"/>
        </w:tabs>
        <w:spacing w:after="0" w:line="360" w:lineRule="auto"/>
        <w:ind w:left="360" w:hanging="360"/>
        <w:jc w:val="both"/>
        <w:rPr>
          <w:rFonts w:ascii="Times New Roman" w:eastAsia="SimSun" w:hAnsi="Times New Roman"/>
          <w:b/>
          <w:sz w:val="24"/>
          <w:szCs w:val="24"/>
        </w:rPr>
      </w:pPr>
      <w:r w:rsidRPr="00AE47C6">
        <w:rPr>
          <w:rFonts w:ascii="Times New Roman" w:eastAsia="SimSun" w:hAnsi="Times New Roman"/>
          <w:sz w:val="24"/>
          <w:szCs w:val="24"/>
        </w:rPr>
        <w:t>Отсъствие на повишена телесна температура и интеркурентни заболявания</w:t>
      </w:r>
    </w:p>
    <w:p w14:paraId="41F81ED5"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num" w:pos="360"/>
        </w:tabs>
        <w:spacing w:after="0" w:line="360" w:lineRule="auto"/>
        <w:ind w:left="360" w:hanging="360"/>
        <w:jc w:val="both"/>
        <w:rPr>
          <w:rFonts w:ascii="Times New Roman" w:eastAsia="SimSun" w:hAnsi="Times New Roman"/>
          <w:b/>
          <w:sz w:val="24"/>
          <w:szCs w:val="24"/>
        </w:rPr>
      </w:pPr>
      <w:r w:rsidRPr="00AE47C6">
        <w:rPr>
          <w:rFonts w:ascii="Times New Roman" w:eastAsia="SimSun" w:hAnsi="Times New Roman"/>
          <w:sz w:val="24"/>
          <w:szCs w:val="24"/>
        </w:rPr>
        <w:t>Предхождащ период на стабилност или подобрение, най-малко 30 дни</w:t>
      </w:r>
    </w:p>
    <w:p w14:paraId="66C3AA9E" w14:textId="77777777" w:rsidR="00BE0B19" w:rsidRPr="00AE47C6" w:rsidRDefault="00BE0B19" w:rsidP="00BE0B19">
      <w:pPr>
        <w:numPr>
          <w:ilvl w:val="0"/>
          <w:numId w:val="57"/>
        </w:numPr>
        <w:kinsoku w:val="0"/>
        <w:overflowPunct w:val="0"/>
        <w:spacing w:after="0" w:line="360" w:lineRule="auto"/>
        <w:contextualSpacing/>
        <w:jc w:val="both"/>
        <w:textAlignment w:val="baseline"/>
        <w:rPr>
          <w:rFonts w:ascii="Times New Roman" w:eastAsia="SimSun" w:hAnsi="Times New Roman"/>
          <w:sz w:val="24"/>
          <w:szCs w:val="24"/>
        </w:rPr>
      </w:pPr>
      <w:r w:rsidRPr="00AE47C6">
        <w:rPr>
          <w:rFonts w:ascii="Times New Roman" w:eastAsia="SimSun" w:hAnsi="Times New Roman"/>
          <w:b/>
          <w:sz w:val="24"/>
          <w:szCs w:val="24"/>
        </w:rPr>
        <w:t>Диагнозата</w:t>
      </w:r>
      <w:r w:rsidRPr="00AE47C6">
        <w:rPr>
          <w:rFonts w:ascii="Times New Roman" w:eastAsia="SimSun" w:hAnsi="Times New Roman"/>
          <w:sz w:val="24"/>
          <w:szCs w:val="24"/>
        </w:rPr>
        <w:t xml:space="preserve"> се поставя чрез </w:t>
      </w:r>
      <w:r w:rsidRPr="00AE47C6">
        <w:rPr>
          <w:rFonts w:ascii="Times New Roman" w:eastAsia="SimSun" w:hAnsi="Times New Roman"/>
          <w:i/>
          <w:sz w:val="24"/>
          <w:szCs w:val="24"/>
        </w:rPr>
        <w:t>ревизираните от Tompson и сътр. през 2017 година критерии на McDonald</w:t>
      </w:r>
      <w:r w:rsidRPr="00AE47C6">
        <w:rPr>
          <w:rFonts w:ascii="Times New Roman" w:eastAsia="SimSun" w:hAnsi="Times New Roman"/>
          <w:sz w:val="24"/>
          <w:szCs w:val="24"/>
        </w:rPr>
        <w:t xml:space="preserve"> (приложение 2). В тях за доказване на дисеминация на МРТ лезиите във времето и пространството, се използват утвърдени от Европейската многоцентрова изследователска мрежа за сътрудничество при проучване на МРТ при МС (MAGNIMS) (приложение 3). Както в критериите от 2010, така и в тези от 2017 г. са намалени до минимум броят на лезиите и анатомичните зони, които трябва да се изследват за потвърждаване на диагнозата МС. При определянето на дисеминацията в пространството не е необходимо лезиите да са усилени с gadolinium, защото това е показател за дисеминация във времето, а не в пространството. Дисеминацията на лезиите във времето може да се докаже от наличието едновременно на усилваща се от gadolinium и неусилваща се лезия при едно и също изследване, без да се налага последващо МРТ изследване, което да докаже дисеминация във времето. Ясно е, че двете демиелинизиращи лезии не са се появили по време на един и същ демиелинизиращ епизод, а тяхното едновременно наличие показва 2 или повече епизода, появили се по различно време. Необходимо е обаче да сме сигурни, че усилващата се от контраст лезия не се дължи на друго заболяване. Основен проблем остава отдиференцирането на типичните за множествена склероза лезии от такива настъпващи при други заболявания. </w:t>
      </w:r>
    </w:p>
    <w:p w14:paraId="7B75560C" w14:textId="77777777" w:rsidR="00BE0B19" w:rsidRPr="00AE47C6" w:rsidRDefault="00BE0B19" w:rsidP="00BE0B19">
      <w:pPr>
        <w:numPr>
          <w:ilvl w:val="0"/>
          <w:numId w:val="57"/>
        </w:numPr>
        <w:kinsoku w:val="0"/>
        <w:overflowPunct w:val="0"/>
        <w:spacing w:after="0" w:line="360" w:lineRule="auto"/>
        <w:contextualSpacing/>
        <w:jc w:val="both"/>
        <w:textAlignment w:val="baseline"/>
        <w:rPr>
          <w:rFonts w:ascii="Times New Roman" w:eastAsia="+mn-ea" w:hAnsi="Times New Roman"/>
          <w:kern w:val="24"/>
          <w:sz w:val="24"/>
          <w:szCs w:val="24"/>
          <w:lang w:eastAsia="bg-BG"/>
        </w:rPr>
      </w:pPr>
      <w:r w:rsidRPr="00AE47C6">
        <w:rPr>
          <w:rFonts w:ascii="Times New Roman" w:eastAsia="SimSun" w:hAnsi="Times New Roman"/>
          <w:sz w:val="24"/>
          <w:szCs w:val="24"/>
        </w:rPr>
        <w:t xml:space="preserve">За разлика от предходните критерии на McDonald от 2010, в тези от 2017 </w:t>
      </w:r>
      <w:r w:rsidRPr="00AE47C6">
        <w:rPr>
          <w:rFonts w:ascii="Times New Roman" w:eastAsia="+mn-ea" w:hAnsi="Times New Roman"/>
          <w:kern w:val="24"/>
          <w:sz w:val="24"/>
          <w:szCs w:val="24"/>
          <w:lang w:eastAsia="bg-BG"/>
        </w:rPr>
        <w:t xml:space="preserve">за доказване на дисеминиране на МС в пространството могат да се използват както юкстакортикални, така и корови лезии. </w:t>
      </w:r>
    </w:p>
    <w:p w14:paraId="5F7304B7" w14:textId="77777777" w:rsidR="00BE0B19" w:rsidRPr="00AE47C6" w:rsidRDefault="00BE0B19" w:rsidP="00BE0B19">
      <w:pPr>
        <w:numPr>
          <w:ilvl w:val="0"/>
          <w:numId w:val="57"/>
        </w:numPr>
        <w:kinsoku w:val="0"/>
        <w:overflowPunct w:val="0"/>
        <w:spacing w:after="0" w:line="360" w:lineRule="auto"/>
        <w:contextualSpacing/>
        <w:jc w:val="both"/>
        <w:textAlignment w:val="baseline"/>
        <w:rPr>
          <w:rFonts w:ascii="Times New Roman" w:eastAsia="+mn-ea" w:hAnsi="Times New Roman"/>
          <w:kern w:val="24"/>
          <w:sz w:val="24"/>
          <w:szCs w:val="24"/>
          <w:lang w:eastAsia="bg-BG"/>
        </w:rPr>
      </w:pPr>
      <w:r w:rsidRPr="00AE47C6">
        <w:rPr>
          <w:rFonts w:ascii="Times New Roman" w:eastAsia="+mn-ea" w:hAnsi="Times New Roman"/>
          <w:kern w:val="24"/>
          <w:sz w:val="24"/>
          <w:szCs w:val="24"/>
          <w:lang w:eastAsia="bg-BG"/>
        </w:rPr>
        <w:t xml:space="preserve">При пациент с типичен клинично-изолиран синдром, съответствие на клиничните или МРТ критерии за дисеминиране в пространството и липса на по-добро от МС обяснение за неврологичната симптоматика, наличието на олигоклоналност при електрофорезата на ликвора (при отсъствие на нетипични за МС ликворни находки) позволява поставянето на диагнозата МС, т.е. при последната ревизия на критериите олигоклоналният ликвор е със стойността на доказателство за дисеминация във времето. </w:t>
      </w:r>
    </w:p>
    <w:p w14:paraId="5A88D225" w14:textId="77777777" w:rsidR="00BE0B19" w:rsidRPr="00AE47C6" w:rsidRDefault="00BE0B19" w:rsidP="00BE0B19">
      <w:pPr>
        <w:numPr>
          <w:ilvl w:val="0"/>
          <w:numId w:val="57"/>
        </w:numPr>
        <w:kinsoku w:val="0"/>
        <w:overflowPunct w:val="0"/>
        <w:spacing w:after="0" w:line="360" w:lineRule="auto"/>
        <w:contextualSpacing/>
        <w:jc w:val="both"/>
        <w:textAlignment w:val="baseline"/>
        <w:rPr>
          <w:rFonts w:ascii="Times New Roman" w:eastAsia="+mn-ea" w:hAnsi="Times New Roman"/>
          <w:kern w:val="24"/>
          <w:sz w:val="24"/>
          <w:szCs w:val="24"/>
          <w:lang w:eastAsia="bg-BG"/>
        </w:rPr>
      </w:pPr>
      <w:r w:rsidRPr="00AE47C6">
        <w:rPr>
          <w:rFonts w:ascii="Times New Roman" w:eastAsia="+mn-ea" w:hAnsi="Times New Roman"/>
          <w:kern w:val="24"/>
          <w:sz w:val="24"/>
          <w:szCs w:val="24"/>
          <w:lang w:eastAsia="bg-BG"/>
        </w:rPr>
        <w:t>За доказване на дисеминация на демиелинизиращия процес при МС във времето и пространството могат да се използват както асимптоматични, така и симптоматични лезии (при McDonald 2010 г. се изключваха симптоматичните).</w:t>
      </w:r>
    </w:p>
    <w:p w14:paraId="4DF2C456" w14:textId="77777777" w:rsidR="00BE0B19" w:rsidRPr="00AE47C6" w:rsidRDefault="00BE0B19" w:rsidP="00BE0B19">
      <w:pPr>
        <w:numPr>
          <w:ilvl w:val="0"/>
          <w:numId w:val="57"/>
        </w:numPr>
        <w:kinsoku w:val="0"/>
        <w:overflowPunct w:val="0"/>
        <w:spacing w:after="0" w:line="360" w:lineRule="auto"/>
        <w:contextualSpacing/>
        <w:jc w:val="both"/>
        <w:textAlignment w:val="baseline"/>
        <w:rPr>
          <w:rFonts w:ascii="Times New Roman" w:eastAsia="+mn-ea" w:hAnsi="Times New Roman"/>
          <w:kern w:val="24"/>
          <w:sz w:val="24"/>
          <w:szCs w:val="24"/>
          <w:lang w:eastAsia="bg-BG"/>
        </w:rPr>
      </w:pPr>
      <w:r w:rsidRPr="00AE47C6">
        <w:rPr>
          <w:rFonts w:ascii="Times New Roman" w:eastAsia="+mn-ea" w:hAnsi="Times New Roman"/>
          <w:kern w:val="24"/>
          <w:sz w:val="24"/>
          <w:szCs w:val="24"/>
          <w:lang w:eastAsia="bg-BG"/>
        </w:rPr>
        <w:t xml:space="preserve">МРТ лезиите в очния нерв при пациенти с оптичен неврит към момента не могат да бъдат използвани в диагностичния процес (липсва потвърждение от няколко изследвания от 2017 г. за повишаване на специфичността на критериите, ако се включи и този анатомичен компартимент). </w:t>
      </w:r>
      <w:r w:rsidRPr="00AE47C6">
        <w:rPr>
          <w:rFonts w:ascii="Times New Roman" w:eastAsiaTheme="minorEastAsia" w:hAnsi="Times New Roman"/>
          <w:kern w:val="24"/>
          <w:sz w:val="24"/>
          <w:szCs w:val="24"/>
          <w:lang w:eastAsia="bg-BG"/>
        </w:rPr>
        <w:t xml:space="preserve">Препоръката на </w:t>
      </w:r>
      <w:r w:rsidRPr="00AE47C6">
        <w:rPr>
          <w:rFonts w:ascii="Times New Roman" w:eastAsia="SimSun" w:hAnsi="Times New Roman"/>
          <w:sz w:val="24"/>
          <w:szCs w:val="24"/>
        </w:rPr>
        <w:t>MAGNIMS</w:t>
      </w:r>
      <w:r w:rsidRPr="00AE47C6">
        <w:rPr>
          <w:rFonts w:ascii="Times New Roman" w:eastAsiaTheme="minorEastAsia" w:hAnsi="Times New Roman"/>
          <w:kern w:val="24"/>
          <w:sz w:val="24"/>
          <w:szCs w:val="24"/>
          <w:lang w:eastAsia="bg-BG"/>
        </w:rPr>
        <w:t xml:space="preserve"> е до провеждането на допълнителни лонгитудинални изследвания върху големи кохорти от МС пациенти с прецизен МРТ и серологичен протокол да не се включват оптичния неврит и 3 перивентрикулни лезии като допълнителни критерии в McDonald 2017 г. В McDonald 2017 критериите обаче е отбелязано също така, че п</w:t>
      </w:r>
      <w:r w:rsidRPr="00AE47C6">
        <w:rPr>
          <w:rFonts w:ascii="Times New Roman" w:eastAsia="+mn-ea" w:hAnsi="Times New Roman"/>
          <w:kern w:val="24"/>
          <w:sz w:val="24"/>
          <w:szCs w:val="24"/>
          <w:lang w:eastAsia="bg-BG"/>
        </w:rPr>
        <w:t>ри някои пациенти (лица над 50 години или при пациенти със съдови рискови фактори) е разумно клиницистът да търси по-голям брой перивентрикулни лезии, а не да се доверява само на 1 лезия.</w:t>
      </w:r>
    </w:p>
    <w:p w14:paraId="7562EA7C" w14:textId="77777777" w:rsidR="00BE0B19" w:rsidRPr="00AE47C6" w:rsidRDefault="00BE0B19" w:rsidP="00BE0B19">
      <w:pPr>
        <w:numPr>
          <w:ilvl w:val="0"/>
          <w:numId w:val="57"/>
        </w:numPr>
        <w:kinsoku w:val="0"/>
        <w:overflowPunct w:val="0"/>
        <w:spacing w:after="0" w:line="360" w:lineRule="auto"/>
        <w:contextualSpacing/>
        <w:jc w:val="both"/>
        <w:textAlignment w:val="baseline"/>
        <w:rPr>
          <w:rFonts w:ascii="Times New Roman" w:eastAsia="SimSun" w:hAnsi="Times New Roman"/>
          <w:sz w:val="24"/>
          <w:szCs w:val="24"/>
        </w:rPr>
      </w:pPr>
      <w:r w:rsidRPr="00AE47C6">
        <w:rPr>
          <w:rFonts w:ascii="Times New Roman" w:eastAsia="+mn-ea" w:hAnsi="Times New Roman"/>
          <w:kern w:val="24"/>
          <w:sz w:val="24"/>
          <w:szCs w:val="24"/>
          <w:lang w:eastAsia="bg-BG"/>
        </w:rPr>
        <w:t xml:space="preserve">В </w:t>
      </w:r>
      <w:r w:rsidRPr="00AE47C6">
        <w:rPr>
          <w:rFonts w:ascii="Times New Roman" w:eastAsia="SimSun" w:hAnsi="Times New Roman"/>
          <w:sz w:val="24"/>
          <w:szCs w:val="24"/>
        </w:rPr>
        <w:t>ревизираните от Tompson и сътр. през 2017 г. диагностични критерии на McDonald са отразени следните съображения за избягване на погрешна диагноза МС:</w:t>
      </w:r>
    </w:p>
    <w:p w14:paraId="6ECA8FAE" w14:textId="77777777" w:rsidR="00BE0B19" w:rsidRPr="00AE47C6" w:rsidRDefault="00BE0B19" w:rsidP="00BE0B19">
      <w:pPr>
        <w:numPr>
          <w:ilvl w:val="0"/>
          <w:numId w:val="57"/>
        </w:numPr>
        <w:kinsoku w:val="0"/>
        <w:overflowPunct w:val="0"/>
        <w:spacing w:after="0" w:line="360" w:lineRule="auto"/>
        <w:contextualSpacing/>
        <w:jc w:val="both"/>
        <w:textAlignment w:val="baseline"/>
        <w:rPr>
          <w:rFonts w:ascii="Times New Roman" w:eastAsia="SimSun" w:hAnsi="Times New Roman"/>
          <w:sz w:val="24"/>
          <w:szCs w:val="24"/>
          <w:lang w:eastAsia="bg-BG"/>
        </w:rPr>
      </w:pPr>
      <w:r w:rsidRPr="00AE47C6">
        <w:rPr>
          <w:rFonts w:ascii="Times New Roman" w:eastAsiaTheme="minorEastAsia" w:hAnsi="Times New Roman"/>
          <w:kern w:val="24"/>
          <w:sz w:val="24"/>
          <w:szCs w:val="24"/>
          <w:lang w:eastAsia="bg-BG"/>
        </w:rPr>
        <w:t>Критериите за McDonald не са разработени, за да разграничат МС от други състояния, а да идентифицират възможно най-рано МС или голяма вероятност за МС при пациенти с типичен клинично-изолиран синдром, след като други диагнози са били счетени за малко вероятни, т.е. критериите нямат диференциално-диагностично приложение.</w:t>
      </w:r>
    </w:p>
    <w:p w14:paraId="6BF6F122" w14:textId="77777777" w:rsidR="00BE0B19" w:rsidRPr="00AE47C6" w:rsidRDefault="00BE0B19" w:rsidP="00BE0B19">
      <w:pPr>
        <w:numPr>
          <w:ilvl w:val="0"/>
          <w:numId w:val="57"/>
        </w:numPr>
        <w:kinsoku w:val="0"/>
        <w:overflowPunct w:val="0"/>
        <w:spacing w:after="0" w:line="360" w:lineRule="auto"/>
        <w:contextualSpacing/>
        <w:jc w:val="both"/>
        <w:textAlignment w:val="baseline"/>
        <w:rPr>
          <w:rFonts w:ascii="Times New Roman" w:eastAsiaTheme="minorEastAsia" w:hAnsi="Times New Roman"/>
          <w:kern w:val="24"/>
          <w:sz w:val="24"/>
          <w:szCs w:val="24"/>
          <w:lang w:eastAsia="bg-BG"/>
        </w:rPr>
      </w:pPr>
      <w:r w:rsidRPr="00AE47C6">
        <w:rPr>
          <w:rFonts w:ascii="Times New Roman" w:eastAsiaTheme="minorEastAsia" w:hAnsi="Times New Roman"/>
          <w:kern w:val="24"/>
          <w:sz w:val="24"/>
          <w:szCs w:val="24"/>
          <w:lang w:eastAsia="bg-BG"/>
        </w:rPr>
        <w:t>Интегрирането и анализирането на анамнезата, клиничното изследване, невроизобразяващата находка и лабораторните доказателства от невролог-експерт в диагностиката на МС остава основен фактор за точната диагноза или приемането на алтернативна такава.</w:t>
      </w:r>
    </w:p>
    <w:p w14:paraId="7B8D86FB" w14:textId="77777777" w:rsidR="00BE0B19" w:rsidRPr="00AE47C6" w:rsidRDefault="00BE0B19" w:rsidP="00BE0B19">
      <w:pPr>
        <w:numPr>
          <w:ilvl w:val="0"/>
          <w:numId w:val="57"/>
        </w:numPr>
        <w:kinsoku w:val="0"/>
        <w:overflowPunct w:val="0"/>
        <w:spacing w:after="0" w:line="360" w:lineRule="auto"/>
        <w:contextualSpacing/>
        <w:jc w:val="both"/>
        <w:textAlignment w:val="baseline"/>
        <w:rPr>
          <w:rFonts w:ascii="Times New Roman" w:eastAsiaTheme="minorEastAsia" w:hAnsi="Times New Roman"/>
          <w:kern w:val="24"/>
          <w:sz w:val="24"/>
          <w:szCs w:val="24"/>
          <w:lang w:eastAsia="bg-BG"/>
        </w:rPr>
      </w:pPr>
      <w:r w:rsidRPr="00AE47C6">
        <w:rPr>
          <w:rFonts w:ascii="Times New Roman" w:eastAsiaTheme="minorEastAsia" w:hAnsi="Times New Roman"/>
          <w:kern w:val="24"/>
          <w:sz w:val="24"/>
          <w:szCs w:val="24"/>
          <w:lang w:eastAsia="bg-BG"/>
        </w:rPr>
        <w:t>При липсата на ясен типичен клинично-изолиран синдром трябва да се внимава при диагностицирането на МС</w:t>
      </w:r>
      <w:r w:rsidRPr="00AE47C6">
        <w:rPr>
          <w:rFonts w:ascii="Times New Roman" w:eastAsiaTheme="minorEastAsia" w:hAnsi="Times New Roman"/>
          <w:iCs/>
          <w:kern w:val="24"/>
          <w:sz w:val="24"/>
          <w:szCs w:val="24"/>
          <w:lang w:eastAsia="bg-BG"/>
        </w:rPr>
        <w:t xml:space="preserve">. </w:t>
      </w:r>
      <w:r w:rsidRPr="00AE47C6">
        <w:rPr>
          <w:rFonts w:ascii="Times New Roman" w:eastAsiaTheme="minorEastAsia" w:hAnsi="Times New Roman"/>
          <w:kern w:val="24"/>
          <w:sz w:val="24"/>
          <w:szCs w:val="24"/>
          <w:lang w:eastAsia="bg-BG"/>
        </w:rPr>
        <w:t>Диагнозата трябва да се потвърди чрез по-нататъшно клинично и МРТ проследяване. В такива случаи неврологът-експерт трябва да обмисли отлагане на дългосрочни терапии за модификация на заболяването, в очакване на по-продължително проследяване за натрупване на допълнителни доказателства в подкрепа на диагнозата.</w:t>
      </w:r>
    </w:p>
    <w:p w14:paraId="7F803F18" w14:textId="77777777" w:rsidR="00BE0B19" w:rsidRPr="00AE47C6" w:rsidRDefault="00BE0B19" w:rsidP="00BE0B19">
      <w:pPr>
        <w:numPr>
          <w:ilvl w:val="0"/>
          <w:numId w:val="57"/>
        </w:numPr>
        <w:kinsoku w:val="0"/>
        <w:overflowPunct w:val="0"/>
        <w:spacing w:after="0" w:line="360" w:lineRule="auto"/>
        <w:contextualSpacing/>
        <w:jc w:val="both"/>
        <w:textAlignment w:val="baseline"/>
        <w:rPr>
          <w:rFonts w:ascii="Times New Roman" w:eastAsia="SimSun" w:hAnsi="Times New Roman"/>
          <w:sz w:val="24"/>
          <w:szCs w:val="24"/>
          <w:lang w:eastAsia="bg-BG"/>
        </w:rPr>
      </w:pPr>
      <w:r w:rsidRPr="00AE47C6">
        <w:rPr>
          <w:rFonts w:ascii="Times New Roman" w:eastAsiaTheme="minorEastAsia" w:hAnsi="Times New Roman"/>
          <w:kern w:val="24"/>
          <w:sz w:val="24"/>
          <w:szCs w:val="24"/>
          <w:lang w:eastAsia="bg-BG"/>
        </w:rPr>
        <w:t>Трябва да се внимава с приемането на анамнестично събитие за пристъп на МС при отсъствие на потвърждаващи го актуални обективни доказателства (клинични, невроизобразяващи, ликворологични).</w:t>
      </w:r>
    </w:p>
    <w:p w14:paraId="76017BEB" w14:textId="77777777" w:rsidR="00BE0B19" w:rsidRPr="00AE47C6" w:rsidRDefault="00BE0B19" w:rsidP="00BE0B19">
      <w:pPr>
        <w:numPr>
          <w:ilvl w:val="0"/>
          <w:numId w:val="57"/>
        </w:numPr>
        <w:kinsoku w:val="0"/>
        <w:overflowPunct w:val="0"/>
        <w:spacing w:after="0" w:line="360" w:lineRule="auto"/>
        <w:contextualSpacing/>
        <w:jc w:val="both"/>
        <w:textAlignment w:val="baseline"/>
        <w:rPr>
          <w:rFonts w:ascii="Times New Roman" w:eastAsia="SimSun" w:hAnsi="Times New Roman"/>
          <w:sz w:val="24"/>
          <w:szCs w:val="24"/>
          <w:lang w:eastAsia="bg-BG"/>
        </w:rPr>
      </w:pPr>
      <w:r w:rsidRPr="00AE47C6">
        <w:rPr>
          <w:rFonts w:ascii="Times New Roman" w:eastAsiaTheme="minorEastAsia" w:hAnsi="Times New Roman"/>
          <w:kern w:val="24"/>
          <w:sz w:val="24"/>
          <w:szCs w:val="24"/>
          <w:lang w:eastAsia="bg-BG"/>
        </w:rPr>
        <w:t>Прагът на клинициста за допълнителни изследвания (МРТ на целия гръбначен мозък и ликворно изследване) трябва да бъде нисък, когато подкрепящите диагнозата  симптоматика и резултата от МРТ на главния мозък са незадоволителни.</w:t>
      </w:r>
    </w:p>
    <w:p w14:paraId="31FBDE7B" w14:textId="77777777" w:rsidR="00BE0B19" w:rsidRPr="00AE47C6" w:rsidRDefault="00BE0B19" w:rsidP="00BE0B19">
      <w:pPr>
        <w:numPr>
          <w:ilvl w:val="0"/>
          <w:numId w:val="57"/>
        </w:numPr>
        <w:spacing w:after="0" w:line="360" w:lineRule="auto"/>
        <w:contextualSpacing/>
        <w:jc w:val="both"/>
        <w:rPr>
          <w:rFonts w:ascii="Times New Roman" w:eastAsia="SimSun" w:hAnsi="Times New Roman"/>
          <w:i/>
          <w:sz w:val="24"/>
          <w:szCs w:val="24"/>
        </w:rPr>
      </w:pPr>
      <w:r w:rsidRPr="00AE47C6">
        <w:rPr>
          <w:rFonts w:ascii="Times New Roman" w:eastAsia="SimSun" w:hAnsi="Times New Roman"/>
          <w:sz w:val="24"/>
          <w:szCs w:val="24"/>
        </w:rPr>
        <w:t>Критериите за прогресиращата форма на МС почти не са променени. За диагностициране на първично-прогресиращата форма на множествена склероза се изисква наличие на една година прогресия (ретроспективно или проспективно установена), но се прилагат МРТ критерии за дисеминация в пространството: наличие на 2 от 3 критерия: - 1 или повече T</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лезии в поне 1 типична за множествената склероза област (перивентрикулна, корова или юкстакортикална, инфратенториална), - 2 или повече T</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лезии в гръбначния мозък, - позитивна ликворна находка (олигоклонални фракции или повишен IgG индекс). Както при основните критерии и тук към юкстакортикалните са прибавени</w:t>
      </w:r>
      <w:r w:rsidRPr="00AE47C6">
        <w:rPr>
          <w:rFonts w:ascii="Times New Roman" w:eastAsia="+mn-ea" w:hAnsi="Times New Roman"/>
          <w:kern w:val="24"/>
          <w:sz w:val="24"/>
          <w:szCs w:val="24"/>
          <w:lang w:eastAsia="bg-BG"/>
        </w:rPr>
        <w:t xml:space="preserve"> коровите лезии за доказване на дисеминация в пространството. Също така за доказване на дисеминация в пространството и времето могат да се използват както асимптоматични, така и симптоматични лезии.</w:t>
      </w:r>
    </w:p>
    <w:p w14:paraId="2692F51E" w14:textId="77777777" w:rsidR="00BE0B19" w:rsidRPr="00AE47C6" w:rsidRDefault="00BE0B19" w:rsidP="00BE0B19">
      <w:pPr>
        <w:numPr>
          <w:ilvl w:val="0"/>
          <w:numId w:val="57"/>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Използват се диагностичните категории “множествена склероза”, “възможна множествена склероза” и “не е множествена склероза”. В случай, че клиничните критерии са изцяло изпълнени и няма по-добро обяснение за клиничната симптоматика се поставя диагнозата множествена склероза. Ако са частично изпълнени, диагнозата е възможна множествена склероза. Ако критериите не могат да бъдат дори частично изпълнени или по време на оценката на състоянието възникне друга диагноза, която по-добре обяснява клиничната симптоматика, диагнозата се отхвърля. </w:t>
      </w:r>
    </w:p>
    <w:p w14:paraId="6ED250F8" w14:textId="77777777" w:rsidR="00BE0B19" w:rsidRPr="00AE47C6" w:rsidRDefault="00BE0B19" w:rsidP="00BE0B19">
      <w:pPr>
        <w:numPr>
          <w:ilvl w:val="0"/>
          <w:numId w:val="57"/>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Клиничната диагноза, базирана на обективна клинична находка за 2 пристъпа се счита за сигурна, но въпреки това МРТ на главен мозък трябва да бъде направен на всички пациенти, при които се обмисля диагнозата МС, освен ако изследването е неосъществимо по някакви причини. Анамнестичните данни за 1 преминал пристъп, при липса на обективно документирана неврологична находка, могат да включват данни за симптоми и тяхната еволюция, които са характерни за прекаран възпалителен демиелинизиращ епизод. Поне 1 пристъп обаче трябва да бъде подкрепен с обективна неврологична находка. Сигурна диагноза множествена склероза може да се постави, ако поне един пристъп е потвърден от данни от неврологичното изследване, зрителни евокирани потенциали (при пациенти с данни за зрителни нарушения) или МРТ данни за демиелинизация в област на ЦНС, за която има анамнестични данни, че е била засегната със съответните неврологични симптоми.</w:t>
      </w:r>
    </w:p>
    <w:p w14:paraId="15792877" w14:textId="77777777" w:rsidR="00BE0B19" w:rsidRPr="00AE47C6" w:rsidRDefault="00BE0B19" w:rsidP="00BE0B19">
      <w:pPr>
        <w:numPr>
          <w:ilvl w:val="0"/>
          <w:numId w:val="57"/>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Както с предходните, така и с настоящите критерии диагнозата се поставя в повечето случаи още при появата на първи клинични оплаквания. На практика намалява броя на пациентите, които се категоризират като клинично изолиран синдром.</w:t>
      </w:r>
    </w:p>
    <w:p w14:paraId="64122622" w14:textId="77777777" w:rsidR="00BE0B19" w:rsidRPr="00AE47C6" w:rsidRDefault="00BE0B19" w:rsidP="00BE0B19">
      <w:pPr>
        <w:numPr>
          <w:ilvl w:val="0"/>
          <w:numId w:val="57"/>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b/>
          <w:sz w:val="24"/>
          <w:szCs w:val="24"/>
        </w:rPr>
        <w:t>Клинично изолираният синдром</w:t>
      </w:r>
      <w:r w:rsidRPr="00AE47C6">
        <w:rPr>
          <w:rFonts w:ascii="Times New Roman" w:eastAsia="SimSun" w:hAnsi="Times New Roman"/>
          <w:sz w:val="24"/>
          <w:szCs w:val="24"/>
        </w:rPr>
        <w:t xml:space="preserve"> (CIS) e епизод, с който множествената склероза дебютира, но при който все още няма данни за разпръснатост във времето, поради което не са изпълнени критериите за поставяне на диагнозата. Синдромът е по-отчетлив, ако симптомите са от трите области на централната нервна система, от които най-често започва заболяването – зрителния нерв, ствола и гръбначния мозък. Както при предишните, така и при последните диагностични критерии се дава възможност при пациенти с CIS, диагнозата да се постави чрез МРТ.</w:t>
      </w:r>
    </w:p>
    <w:p w14:paraId="274DDC7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Радиологично изолиран синдром</w:t>
      </w:r>
      <w:r w:rsidRPr="00AE47C6">
        <w:rPr>
          <w:rFonts w:ascii="Times New Roman" w:eastAsia="SimSun" w:hAnsi="Times New Roman"/>
          <w:sz w:val="24"/>
          <w:szCs w:val="24"/>
        </w:rPr>
        <w:t xml:space="preserve"> представлява наличието на МРТ аномалии, подозрителни за множествена склероза, без клинични симптоми. Все по-честото използване на МРТ в ежедневната практика доведе до инцидентно откриване на неспецифични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аномалии, които се обозначават като „неидентифицирани светли обекти”. Някои от тези промени са много подозрителни за множествена склероза поради тяхната локализация (перивентрикулно, corpus callosum) и морфология (овоидни, добре отграничени, хомогенни). Тези пациенти са с повишен риск от задълбочаване на МРТ промените през следващите 3 години и развитие на клинично изолиран синдром след 5 години. При 80% от тях се развива множествена склероза. При ревизията от 2017 г. на критериите McDonald се поддържа общото становище, че при липсата на клинична изява на МС радиологично изолираният синдром не е достатъчен за поставянето на диагнозата. Той обаче влиза в съображение ретроспективно ако се появи клинично изолиран синдром. </w:t>
      </w:r>
    </w:p>
    <w:p w14:paraId="710E98B7" w14:textId="77777777" w:rsidR="00BE0B19" w:rsidRPr="00AE47C6" w:rsidRDefault="00BE0B19" w:rsidP="00BE0B19">
      <w:pPr>
        <w:pBdr>
          <w:top w:val="single" w:sz="4" w:space="1" w:color="auto"/>
          <w:left w:val="single" w:sz="4" w:space="4" w:color="auto"/>
          <w:bottom w:val="single" w:sz="4" w:space="1" w:color="auto"/>
          <w:right w:val="single" w:sz="4" w:space="4" w:color="auto"/>
          <w:between w:val="single" w:sz="4" w:space="1" w:color="auto"/>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 оплаквания от слабост в крайниците, залитане, зрителни нарушения вследствие на ретробулбарен неврит, тазово-резервоарни нарушения или изтръпвания на крайниците при пациент, при който не е диагностицирана множествена склероза до този момент или при поява на нови оплаквания при болни с вече поставена диагноза, общопрактикуващият лекар трябва да насочи болния незабавно към невролог, специалист в областта на множествена склероза в университетските диагностично-лечебни центрове (УДЛЦ) за множествена склероза (МС) </w:t>
      </w:r>
    </w:p>
    <w:p w14:paraId="58059120"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689D6126" w14:textId="77777777" w:rsidR="00BE0B19" w:rsidRPr="00AE47C6" w:rsidRDefault="00BE0B19" w:rsidP="00BE0B19">
      <w:pPr>
        <w:pBdr>
          <w:top w:val="single" w:sz="4" w:space="1" w:color="auto"/>
          <w:left w:val="single" w:sz="4" w:space="4" w:color="auto"/>
          <w:bottom w:val="single" w:sz="4" w:space="1" w:color="auto"/>
          <w:right w:val="single" w:sz="4" w:space="4" w:color="auto"/>
          <w:between w:val="single" w:sz="4" w:space="1" w:color="auto"/>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Неврологът трябва да прецизира диагнозата, като използва ревизираните от Tompson и сътр. през 2017 г. диагностични критерии на McDonald, извърши съответните лабораторни изследвания и консултации, като хоспитализира болния в УДЛЦ-МС. Неврологът трябва да установи формата на протичане на множествената склероза, годишният брой на получените пристъпи и тяхната тежест.</w:t>
      </w:r>
    </w:p>
    <w:p w14:paraId="78A4D78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Диагностичните методи </w:t>
      </w:r>
      <w:r w:rsidRPr="00AE47C6">
        <w:rPr>
          <w:rFonts w:ascii="Times New Roman" w:eastAsia="SimSun" w:hAnsi="Times New Roman"/>
          <w:sz w:val="24"/>
          <w:szCs w:val="24"/>
        </w:rPr>
        <w:t xml:space="preserve">целят ранното поставяне на диагнозата с оглед на съвременните терапевтични възможности. Ранната диагноза е трудна, тъй като първите симптоми са обикновено неспецифични, леки и бързопреходни. Досега не е известен специфичен лабораторен тест. При много заболявания могат да се открият мултифокални мозъчни лезии при МРТ и клинични симптоми с пристъпно–ремитиращ ход в млада възраст. Неточна диагноза се поставя в около 5%, така че 1 на 20 болни не е с такова заболяване. </w:t>
      </w:r>
    </w:p>
    <w:p w14:paraId="66EE39E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Лабораторните методи за поставяне на диагнозата включват:</w:t>
      </w:r>
    </w:p>
    <w:p w14:paraId="5C2F37B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1. Офталмологично изследване:</w:t>
      </w:r>
      <w:r w:rsidRPr="00AE47C6">
        <w:rPr>
          <w:rFonts w:ascii="Times New Roman" w:eastAsia="SimSun" w:hAnsi="Times New Roman"/>
          <w:sz w:val="24"/>
          <w:szCs w:val="24"/>
        </w:rPr>
        <w:t xml:space="preserve"> визус, очни дъна, периметри. Типично е темпоралното побледняване на папилите, като симптом на прекаран ретробулбарен неврит.</w:t>
      </w:r>
    </w:p>
    <w:p w14:paraId="1A7A470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Оптичната кохерентна томография</w:t>
      </w:r>
      <w:r w:rsidRPr="00AE47C6">
        <w:rPr>
          <w:rFonts w:ascii="Times New Roman" w:eastAsia="SimSun" w:hAnsi="Times New Roman"/>
          <w:sz w:val="24"/>
          <w:szCs w:val="24"/>
        </w:rPr>
        <w:t xml:space="preserve"> (ОКТ) дава информация за атрофия или оток на специфични слоеве на ретината. При неврит на зрителния нерв и патология на ганглийните клетки аксоните претърпяват ретроградна дегенерация и се установява изтъняване на ретинния слой от влакна. Изследването на зрителния нерв може да служи за оценка на невродегенерацията в централната нервна система. Промените в ретината корелират с активността на множествената склероза. </w:t>
      </w:r>
    </w:p>
    <w:p w14:paraId="600454B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2. Неврофизиологични изследвания:</w:t>
      </w:r>
      <w:r w:rsidRPr="00AE47C6">
        <w:rPr>
          <w:rFonts w:ascii="Times New Roman" w:eastAsia="SimSun" w:hAnsi="Times New Roman"/>
          <w:sz w:val="24"/>
          <w:szCs w:val="24"/>
        </w:rPr>
        <w:t xml:space="preserve"> зрителни, стволови слухови, моторни и соматосензорни предизвикани потенциали. С тях се търсят лезии в централната нервна система (ЦНС) при болни с оскъдни клинични симптоми. Изследва се този вид предизвикани потенциали, с които може да се установи субклинична лезия на система, която не показва клинични симптоми на увреда. Промените в предизвиканите потенциали се изразяват в удължена латентност, изменени амплитуда и конфигурация на вълните и междухемисферни асиметрии. При пациенти с множествена склероза много често предизвиканите потенциали показват удължени латентности на компонентите, поради демиелинизация, но промените не са специфични за заболяването. Промените в амплитудите и патерна на евокираните потенциали не са специфични за демиелинизация. С изключение на зрителните, останалите евокирани потенциали се променят и при заболявания с аксонна дегенерация, протичащи без първична демиелинизация. </w:t>
      </w:r>
    </w:p>
    <w:p w14:paraId="2133345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Изследването на </w:t>
      </w:r>
      <w:r w:rsidRPr="00AE47C6">
        <w:rPr>
          <w:rFonts w:ascii="Times New Roman" w:eastAsia="SimSun" w:hAnsi="Times New Roman"/>
          <w:i/>
          <w:sz w:val="24"/>
          <w:szCs w:val="24"/>
        </w:rPr>
        <w:t>зрителните предизвикани потенциали</w:t>
      </w:r>
      <w:r w:rsidRPr="00AE47C6">
        <w:rPr>
          <w:rFonts w:ascii="Times New Roman" w:eastAsia="SimSun" w:hAnsi="Times New Roman"/>
          <w:sz w:val="24"/>
          <w:szCs w:val="24"/>
        </w:rPr>
        <w:t xml:space="preserve"> (ЗЕП) има най-голяма диагностична стойност. Типично показва удължени латентности на компонента Р100, при запазена форма на вълните. Наличието на ясна клинична увреда на зрението обезсмисля изследването. Когато при един пациент ЗЕП са били с нормални стойности при първото изследване, а при повторно изследване показват типичното удължаване на латентностите, това може да се приеме като поява на нова лезия. </w:t>
      </w:r>
    </w:p>
    <w:p w14:paraId="446BE67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3. Невроизобразяващи изследвания</w:t>
      </w:r>
      <w:r w:rsidRPr="00AE47C6">
        <w:rPr>
          <w:rFonts w:ascii="Times New Roman" w:eastAsia="SimSun" w:hAnsi="Times New Roman"/>
          <w:sz w:val="24"/>
          <w:szCs w:val="24"/>
        </w:rPr>
        <w:t xml:space="preserve"> – магнитно резонансната томография (МРТ) е метод на избор. Използва се техника с аксиални и парасагитални Т</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 xml:space="preserve"> и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скенирания, серийни изобразявания, gadolinium натоварено скениране и </w:t>
      </w:r>
      <w:r w:rsidRPr="00AE47C6">
        <w:rPr>
          <w:rFonts w:ascii="Times New Roman" w:eastAsia="SimSun" w:hAnsi="Times New Roman"/>
          <w:iCs/>
          <w:sz w:val="24"/>
          <w:szCs w:val="24"/>
        </w:rPr>
        <w:t>FLAIR</w:t>
      </w:r>
      <w:r w:rsidRPr="00AE47C6">
        <w:rPr>
          <w:rFonts w:ascii="Times New Roman" w:eastAsia="SimSun" w:hAnsi="Times New Roman"/>
          <w:sz w:val="24"/>
          <w:szCs w:val="24"/>
        </w:rPr>
        <w:t xml:space="preserve"> изобразяване. </w:t>
      </w:r>
    </w:p>
    <w:p w14:paraId="7A753C8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При T</w:t>
      </w:r>
      <w:r w:rsidRPr="00AE47C6">
        <w:rPr>
          <w:rFonts w:ascii="Times New Roman" w:eastAsia="SimSun" w:hAnsi="Times New Roman"/>
          <w:i/>
          <w:sz w:val="24"/>
          <w:szCs w:val="24"/>
          <w:vertAlign w:val="subscript"/>
        </w:rPr>
        <w:t>2</w:t>
      </w:r>
      <w:r w:rsidRPr="00AE47C6">
        <w:rPr>
          <w:rFonts w:ascii="Times New Roman" w:eastAsia="SimSun" w:hAnsi="Times New Roman"/>
          <w:i/>
          <w:sz w:val="24"/>
          <w:szCs w:val="24"/>
        </w:rPr>
        <w:t xml:space="preserve"> изобразяване</w:t>
      </w:r>
      <w:r w:rsidRPr="00AE47C6">
        <w:rPr>
          <w:rFonts w:ascii="Times New Roman" w:eastAsia="SimSun" w:hAnsi="Times New Roman"/>
          <w:sz w:val="24"/>
          <w:szCs w:val="24"/>
        </w:rPr>
        <w:t>, както в ранните стадии (преобладава възпалението), така и в късните стадии (преобладава увредата на тъканите и глиозата), при пациенти с множествена склероза се установяват хиперинтензни лезии (светли).</w:t>
      </w:r>
    </w:p>
    <w:p w14:paraId="7EA08E1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С оглед сравняване на броя на лезиите при МРТ изследване проведено в различно време се измерва </w:t>
      </w:r>
      <w:r w:rsidRPr="00AE47C6">
        <w:rPr>
          <w:rFonts w:ascii="Times New Roman" w:eastAsia="SimSun" w:hAnsi="Times New Roman"/>
          <w:i/>
          <w:sz w:val="24"/>
          <w:szCs w:val="24"/>
        </w:rPr>
        <w:t>“товарът на заболяването”</w:t>
      </w:r>
      <w:r w:rsidRPr="00AE47C6">
        <w:rPr>
          <w:rFonts w:ascii="Times New Roman" w:eastAsia="SimSun" w:hAnsi="Times New Roman"/>
          <w:sz w:val="24"/>
          <w:szCs w:val="24"/>
        </w:rPr>
        <w:t>, с който се означава общата площ на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лезиите, измерена в mm</w:t>
      </w:r>
      <w:r w:rsidRPr="00AE47C6">
        <w:rPr>
          <w:rFonts w:ascii="Times New Roman" w:eastAsia="SimSun" w:hAnsi="Times New Roman"/>
          <w:sz w:val="24"/>
          <w:szCs w:val="24"/>
          <w:vertAlign w:val="superscript"/>
        </w:rPr>
        <w:t>2</w:t>
      </w:r>
      <w:r w:rsidRPr="00AE47C6">
        <w:rPr>
          <w:rFonts w:ascii="Times New Roman" w:eastAsia="SimSun" w:hAnsi="Times New Roman"/>
          <w:sz w:val="24"/>
          <w:szCs w:val="24"/>
        </w:rPr>
        <w:t xml:space="preserve"> .</w:t>
      </w:r>
    </w:p>
    <w:p w14:paraId="7078E4D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При T</w:t>
      </w:r>
      <w:r w:rsidRPr="00AE47C6">
        <w:rPr>
          <w:rFonts w:ascii="Times New Roman" w:eastAsia="SimSun" w:hAnsi="Times New Roman"/>
          <w:i/>
          <w:sz w:val="24"/>
          <w:szCs w:val="24"/>
          <w:vertAlign w:val="subscript"/>
        </w:rPr>
        <w:t>1</w:t>
      </w:r>
      <w:r w:rsidRPr="00AE47C6">
        <w:rPr>
          <w:rFonts w:ascii="Times New Roman" w:eastAsia="SimSun" w:hAnsi="Times New Roman"/>
          <w:i/>
          <w:sz w:val="24"/>
          <w:szCs w:val="24"/>
        </w:rPr>
        <w:t xml:space="preserve"> изобразяване</w:t>
      </w:r>
      <w:r w:rsidRPr="00AE47C6">
        <w:rPr>
          <w:rFonts w:ascii="Times New Roman" w:eastAsia="SimSun" w:hAnsi="Times New Roman"/>
          <w:sz w:val="24"/>
          <w:szCs w:val="24"/>
        </w:rPr>
        <w:t xml:space="preserve"> се установяват хипоинтензни лезии (тъмни), които показват остро настъпил оток или деструкция на тъканите. Корелират с тежестта на клиничните симптоми и отговарят патохистологично на демиелинизираща лезия с аксонна деструкция и реактивна глиоза. Хроничните Т</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 xml:space="preserve"> хипоинтензни лезии (черни дупки) са по-специфични за деструкция на тъканите, в сравнение с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абнормностите. </w:t>
      </w:r>
    </w:p>
    <w:p w14:paraId="68F02B7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FLAIR</w:t>
      </w:r>
      <w:r w:rsidRPr="00AE47C6">
        <w:rPr>
          <w:rFonts w:ascii="Times New Roman" w:eastAsia="SimSun" w:hAnsi="Times New Roman"/>
          <w:i/>
          <w:sz w:val="24"/>
          <w:szCs w:val="24"/>
        </w:rPr>
        <w:t xml:space="preserve"> изобразяването</w:t>
      </w:r>
      <w:r w:rsidRPr="00AE47C6">
        <w:rPr>
          <w:rFonts w:ascii="Times New Roman" w:eastAsia="SimSun" w:hAnsi="Times New Roman"/>
          <w:sz w:val="24"/>
          <w:szCs w:val="24"/>
        </w:rPr>
        <w:t xml:space="preserve"> (техника потискаща сигнала от течностите) усилва контрастът между ликвора и лезиите. Този метод осигурява по-добро разграничаване между вентрикулния ликвор (тъмен) и перивентрикулните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лезии (светли) и повишава контраста на лезиите, особено на коровите и юкстракоровите в сивото мозъчно вещество.</w:t>
      </w:r>
    </w:p>
    <w:p w14:paraId="60C0CEA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Gadolinium е контраст, който се използва за повишаване на чувствителността на Т</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 xml:space="preserve"> изобразяването. Контрастът дава информация за повишения пермеабилитет на кръвно-мозъчната бариера, вследствие на възпалението. Нормално не преминава кръвно-мозъчната бариера, освен когато нейният пермеабилитет е повишен. Изследването е полезно за разграничаване на нови от по-стари лезии. Усилването от gadolinium корелира с възпалението и се наблюдава при всички нови плаки. Продължава от 2 до 6 седмици, колкото продължава и пристъпа. Ако обаче при пациент в пристъп е предприета терапия с кортикостероиди, контрастното изследване става невалидно, защото терапията възстановява кръвно-мозъчната бариера.</w:t>
      </w:r>
    </w:p>
    <w:p w14:paraId="5FC47C4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МРТ диагнозата</w:t>
      </w:r>
      <w:r w:rsidRPr="00AE47C6">
        <w:rPr>
          <w:rFonts w:ascii="Times New Roman" w:eastAsia="SimSun" w:hAnsi="Times New Roman"/>
          <w:sz w:val="24"/>
          <w:szCs w:val="24"/>
        </w:rPr>
        <w:t xml:space="preserve"> изисква да се установят данни за дисеминация на лезиите в пространството (мозъка) и времето. Ако някои от лезиите показват контрастно усилване под формата на “отворен пръстен”, това е много специфичен белег за МС. Специфичната локализация на лезиите е в долната част на corpus callosum, граничеща с ликвора (т.нар. калозо-септален интерфейс), перивентрикулно или субтенториално в ствола, малкия мозък и шийния отдел на гръбначния мозък. Типичната форма е овоидна, а размерът на лезиите е над 6 mm в диаметър. Лезиите трябва да бъдат по-големи от 3 mm напречен диаметър и поне една от тях да бъде над 5 mm. Трябва да се има предвид, че лезиите установени при МРТ са характерни, но не са специфични за множествена склероза. Формата и ориентацията на лезиите в corpus callosum са важни, защото възпалението при множествена склероза е перивенуларно по хода на мозъчните съдове, които са разположени перпендикулярно на corpus callosum. Поради тази причина лезиите са удължено овоидни и наподобяват пръсти излизащи от дланта на ръка, наречени “пръсти на Dawson”. Наличието на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хиперинтензни гръбначно-мозъчни лезии е важно за множествена склероза, защото такива лезии не се появяват с възрастта. В типичните случаи те трябва да бъдат поне 3 mm, но по дължина да заемат по-малко от два гръбначно-мозъчни сегмента и да не засягат целия напречник на гръбначния мозък. Използването на МРТ находката като самостоятелен критерии за започване, продължаване, промяна или спиране на имуномодифициращото лечение не е обосновано. Корелацията между МРТ лезиите, клиничната находка и клинично установената инвалидност е умерена.</w:t>
      </w:r>
    </w:p>
    <w:p w14:paraId="0FE0EF6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МРТ лезиите при децата са повече на брой и с по-големи размери, повече лезии се усилват с Gadolinium и по-често са локализирани в задна черепна ямка.</w:t>
      </w:r>
    </w:p>
    <w:p w14:paraId="434C6DE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Диференциалната диагноза на МРТ абнормностите трябва да се прави с други мултифокални заболявания, които се проявяват с хиперинтензни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лезии, но с различна форма и локализация.</w:t>
      </w:r>
    </w:p>
    <w:p w14:paraId="6620EE9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4. Ликворното изследване</w:t>
      </w:r>
      <w:r w:rsidRPr="00AE47C6">
        <w:rPr>
          <w:rFonts w:ascii="Times New Roman" w:eastAsia="SimSun" w:hAnsi="Times New Roman"/>
          <w:sz w:val="24"/>
          <w:szCs w:val="24"/>
        </w:rPr>
        <w:t xml:space="preserve"> (общо изследване и електрофореза), дава друг вид информация – за възпаление и имунно нарушение. Може да бъде полезно, когато клиничната картина или МРТ лезиите са необичайни. Най-специфичната находка е наличието на олигоклонални ивици при агаргова и агарозна електрофореза, и при изоелектрично фокусиране. При пациенти с множествена склероза се установяват два типа абнормности в ликвора, показващи наличие на имунно-медииран патологичен процес:</w:t>
      </w:r>
    </w:p>
    <w:p w14:paraId="186DEF2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1. Наличие на олигоклонални IgG фракции в ликвора, установени за предпочитане чрез изоелектрично фокусиране. Установяват се само в ликвора, но не в кръвта (задължително е да се изследват) и са налице при 90% от пациентите. Персистират през целия живот на пациентите. </w:t>
      </w:r>
    </w:p>
    <w:p w14:paraId="4C7B510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2. Лимфоцитна плеоцитоза, която ако е налице не трябва да е по-висока от 50 клетки на mm</w:t>
      </w:r>
      <w:r w:rsidRPr="00AE47C6">
        <w:rPr>
          <w:rFonts w:ascii="Times New Roman" w:eastAsia="SimSun" w:hAnsi="Times New Roman"/>
          <w:sz w:val="24"/>
          <w:szCs w:val="24"/>
          <w:vertAlign w:val="superscript"/>
        </w:rPr>
        <w:t>3</w:t>
      </w:r>
      <w:r w:rsidRPr="00AE47C6">
        <w:rPr>
          <w:rFonts w:ascii="Times New Roman" w:eastAsia="SimSun" w:hAnsi="Times New Roman"/>
          <w:sz w:val="24"/>
          <w:szCs w:val="24"/>
        </w:rPr>
        <w:t xml:space="preserve">. </w:t>
      </w:r>
    </w:p>
    <w:p w14:paraId="31E142E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5. Изследването на неутрализиращи антитела</w:t>
      </w:r>
      <w:r w:rsidRPr="00AE47C6">
        <w:rPr>
          <w:rFonts w:ascii="Times New Roman" w:eastAsia="SimSun" w:hAnsi="Times New Roman"/>
          <w:sz w:val="24"/>
          <w:szCs w:val="24"/>
        </w:rPr>
        <w:t xml:space="preserve"> срещу бетаинтерферони може да подпомогне избора на терапевтична стратегия и да го индивидуализира. Те възникват на 6-24 месец от началото на лечението. Персистирането на висок титър на антителата намалява ефективността на интерфероновото лечение. Препоръчително е тестването им на 18 м. от започване на терапията. При наличие на неутрализиращи антитела трябва да се обмисли превключване към медикаментите от първа или втора линия (според активността на заболяването), които не са от групата на бетаинтерфероните.</w:t>
      </w:r>
    </w:p>
    <w:p w14:paraId="29D16AD2"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61FBC34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Не е необходимо да се извършват всички лабораторни изследвания, а само тези, които са достатъчни за поставяне на диагнозата по ревизираните критерии, като се провеждат съобразно диагностичните възможности по указаната последователност. </w:t>
      </w:r>
    </w:p>
    <w:p w14:paraId="127F04C3"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2DE6666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Диференциалната диагноза</w:t>
      </w:r>
      <w:r w:rsidRPr="00AE47C6">
        <w:rPr>
          <w:rFonts w:ascii="Times New Roman" w:eastAsia="SimSun" w:hAnsi="Times New Roman"/>
          <w:sz w:val="24"/>
          <w:szCs w:val="24"/>
        </w:rPr>
        <w:t xml:space="preserve"> включва множество заболявания, които клинично или по резултатите от лабораторните изследвания наподобяват МС. Заболяванията с които се прави диференциална диагноза при МС са:</w:t>
      </w:r>
    </w:p>
    <w:p w14:paraId="7AF2AA9E" w14:textId="77777777" w:rsidR="00BE0B19" w:rsidRPr="00AE47C6" w:rsidRDefault="00BE0B19" w:rsidP="00BE0B19">
      <w:pPr>
        <w:spacing w:after="0" w:line="360" w:lineRule="auto"/>
        <w:ind w:firstLine="284"/>
        <w:jc w:val="both"/>
        <w:rPr>
          <w:rFonts w:ascii="Times New Roman" w:eastAsia="SimSun" w:hAnsi="Times New Roman"/>
          <w:b/>
          <w:i/>
          <w:sz w:val="24"/>
          <w:szCs w:val="24"/>
        </w:rPr>
      </w:pPr>
      <w:r w:rsidRPr="00AE47C6">
        <w:rPr>
          <w:rFonts w:ascii="Times New Roman" w:eastAsia="SimSun" w:hAnsi="Times New Roman"/>
          <w:b/>
          <w:i/>
          <w:sz w:val="24"/>
          <w:szCs w:val="24"/>
        </w:rPr>
        <w:t>1. Монофазни демиелинизиращи заболявания</w:t>
      </w:r>
    </w:p>
    <w:p w14:paraId="4A887A9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Острият дисеминиран енцефаломиелит</w:t>
      </w:r>
      <w:r w:rsidRPr="00AE47C6">
        <w:rPr>
          <w:rFonts w:ascii="Times New Roman" w:eastAsia="SimSun" w:hAnsi="Times New Roman"/>
          <w:sz w:val="24"/>
          <w:szCs w:val="24"/>
        </w:rPr>
        <w:t xml:space="preserve"> започва след прекарана вирусна инфекция или имунизация. Това монофазно, възпалително, демиелинизиращо заболяване се развива по-често при деца. Започва остро, с повишена температура, общомозъчна симптоматика, мултифокални неврологични симптоми и епилептични припадъци. Лезиите при МРТ изследването могат да бъдат идентични на тези при множествена склероза, но по-често са обширни, с неясни очертания, но могат да са локализирани и  сивото мозъчно вещество. Албуминът в ликвора е повишен. </w:t>
      </w:r>
    </w:p>
    <w:p w14:paraId="70D4C5C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Cs/>
          <w:sz w:val="24"/>
          <w:szCs w:val="24"/>
        </w:rPr>
        <w:t>Трансверзалният миелит</w:t>
      </w:r>
      <w:r w:rsidRPr="00AE47C6">
        <w:rPr>
          <w:rFonts w:ascii="Times New Roman" w:eastAsia="SimSun" w:hAnsi="Times New Roman"/>
          <w:sz w:val="24"/>
          <w:szCs w:val="24"/>
        </w:rPr>
        <w:t xml:space="preserve"> се развива остро, монофазно, със симптоми на двустранно, симетрично увреждане под определено гръбначно-мозъчно ниво, за разлика от типичното асиметрично засягане при множествена склероза. МРТ изследването на главния мозък е нормално, докато на гръбначния мозък показва сериозни лезии. </w:t>
      </w:r>
    </w:p>
    <w:p w14:paraId="2DB36C7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Cs/>
          <w:sz w:val="24"/>
          <w:szCs w:val="24"/>
        </w:rPr>
        <w:t xml:space="preserve">Синдромът (болестта) на Devic </w:t>
      </w:r>
      <w:r w:rsidRPr="00AE47C6">
        <w:rPr>
          <w:rFonts w:ascii="Times New Roman" w:eastAsia="SimSun" w:hAnsi="Times New Roman"/>
          <w:sz w:val="24"/>
          <w:szCs w:val="24"/>
        </w:rPr>
        <w:t>(neuromyelitis optica) протича монофазно, по-рядко с повторни пристъпи, с остро двустранно или едностранно засягане на зрителния нерв, папилит и последващ миелит с параплегия. Засяга деца и млади хора на средна възраст 25 години. МРТ на главния мозък може да покаже перивентрикулни, демиелинизиращи лезии. В гръбначния мозък се установяват лезии в централната част, обхващащи три и повече сегмента. Съгласно критериите на Mayo clinic от 2006 г., диагнозата е сигурна при наличие на оптичен неврит, остър миелит и поне 2 от трите допълнителни критерия: - МРТ съседни лезии на гръбначния мозък, обхващащи три и повече сегмента, -МРТ лезии на главния мозък, които не отговарят на диагностичните критерии за множествена склероза, -серопозитивност за NMO-IgG (AQP4).</w:t>
      </w:r>
    </w:p>
    <w:p w14:paraId="57549B5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Оптичният неврит </w:t>
      </w:r>
      <w:r w:rsidRPr="00AE47C6">
        <w:rPr>
          <w:rFonts w:ascii="Times New Roman" w:eastAsia="SimSun" w:hAnsi="Times New Roman"/>
          <w:sz w:val="24"/>
          <w:szCs w:val="24"/>
        </w:rPr>
        <w:t xml:space="preserve">често е първия симптом на МС и се налага да се отдиференцира от моносимптомна МС. Болни с ретробулбарен неврит, които имат лезии на МРТ често развиват МС в различно дълъг период от време, докато тези с нормална МРТ имат по-добра прогноза и може никога да не развият МС. Характеризира се с бързо намаляване на зрителната острота в едното или двете очи, ретробулбарна болка, липса на яркост и цветно зрение и често централен скотом. Зрението се подобрява за период от няколко седмици до няколко месеца. Зрителните нарушения се дължат на първична демиелинизация на нерва, която трябва да се различи от вторичната демиелинизация при зрителна невропатия, която имитира ретробулбарния неврит. Най-често вторична демиелинизация се развива при компресия, исхемия или токсична увреда на зрителния нерв. Освен това различни вирусни, бактериални и гъбични инфекции могат да предизвикат възпалителни процеси в  него. Описани са поствирусни и постваксинални зрителни неврити, а също така такива и при колагенози. Трябва да се изключи и хередитарната оптична атрофия на </w:t>
      </w:r>
      <w:r w:rsidRPr="00AE47C6">
        <w:rPr>
          <w:rFonts w:ascii="Times New Roman" w:eastAsia="SimSun" w:hAnsi="Times New Roman"/>
          <w:iCs/>
          <w:sz w:val="24"/>
          <w:szCs w:val="24"/>
        </w:rPr>
        <w:t>Leber</w:t>
      </w:r>
      <w:r w:rsidRPr="00AE47C6">
        <w:rPr>
          <w:rFonts w:ascii="Times New Roman" w:eastAsia="SimSun" w:hAnsi="Times New Roman"/>
          <w:sz w:val="24"/>
          <w:szCs w:val="24"/>
        </w:rPr>
        <w:t>.</w:t>
      </w:r>
    </w:p>
    <w:p w14:paraId="63D86CD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Cs/>
          <w:sz w:val="24"/>
          <w:szCs w:val="24"/>
        </w:rPr>
        <w:t>Концентричната склероза на Balo</w:t>
      </w:r>
      <w:r w:rsidRPr="00AE47C6">
        <w:rPr>
          <w:rFonts w:ascii="Times New Roman" w:eastAsia="SimSun" w:hAnsi="Times New Roman"/>
          <w:sz w:val="24"/>
          <w:szCs w:val="24"/>
        </w:rPr>
        <w:t xml:space="preserve"> представлява вариант на множествена склероза, с атипични лезии представени от алтерниращи ивици от демиелинизация и непроменено бяло мозъчно вещество. При МРТ се установяват концентрични лезии на бялото мозъчно вещество смесени с типични за множествена склероза лезии.  </w:t>
      </w:r>
    </w:p>
    <w:p w14:paraId="00D34C5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Cs/>
          <w:sz w:val="24"/>
          <w:szCs w:val="24"/>
        </w:rPr>
        <w:t>Дифузната склероза на Schilder</w:t>
      </w:r>
      <w:r w:rsidRPr="00AE47C6">
        <w:rPr>
          <w:rFonts w:ascii="Times New Roman" w:eastAsia="SimSun" w:hAnsi="Times New Roman"/>
          <w:sz w:val="24"/>
          <w:szCs w:val="24"/>
        </w:rPr>
        <w:t xml:space="preserve"> се характеризира с двустранна хемисферна демиелинизация в детска възраст. Клинично се проявява с афазия, деменция, епилептични пристъпи и повишено интракраниално налягане. При МРТ се установяват големи конфлуиращи зони на демиелинизация в бялото мозъчно вещество при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усилване.</w:t>
      </w:r>
    </w:p>
    <w:p w14:paraId="45248B35" w14:textId="77777777" w:rsidR="00BE0B19" w:rsidRPr="00AE47C6" w:rsidRDefault="00BE0B19" w:rsidP="00BE0B19">
      <w:pPr>
        <w:spacing w:after="0" w:line="360" w:lineRule="auto"/>
        <w:jc w:val="both"/>
        <w:rPr>
          <w:rFonts w:ascii="Times New Roman" w:eastAsia="SimSun" w:hAnsi="Times New Roman"/>
          <w:b/>
          <w:i/>
          <w:sz w:val="24"/>
          <w:szCs w:val="24"/>
        </w:rPr>
      </w:pPr>
    </w:p>
    <w:p w14:paraId="25FD55C9" w14:textId="77777777" w:rsidR="00BE0B19" w:rsidRPr="00AE47C6" w:rsidRDefault="00BE0B19" w:rsidP="00BE0B19">
      <w:pPr>
        <w:tabs>
          <w:tab w:val="left" w:pos="2080"/>
        </w:tabs>
        <w:spacing w:after="0" w:line="360" w:lineRule="auto"/>
        <w:jc w:val="both"/>
        <w:rPr>
          <w:rFonts w:ascii="Times New Roman" w:eastAsia="SimSun" w:hAnsi="Times New Roman"/>
          <w:b/>
          <w:i/>
          <w:sz w:val="24"/>
          <w:szCs w:val="24"/>
        </w:rPr>
      </w:pPr>
      <w:r w:rsidRPr="00AE47C6">
        <w:rPr>
          <w:rFonts w:ascii="Times New Roman" w:eastAsia="SimSun" w:hAnsi="Times New Roman"/>
          <w:b/>
          <w:i/>
          <w:sz w:val="24"/>
          <w:szCs w:val="24"/>
        </w:rPr>
        <w:t xml:space="preserve">2. Автоимунни заболявания </w:t>
      </w:r>
    </w:p>
    <w:p w14:paraId="02D0C3A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Болестта на </w:t>
      </w:r>
      <w:r w:rsidRPr="00AE47C6">
        <w:rPr>
          <w:rFonts w:ascii="Times New Roman" w:eastAsia="SimSun" w:hAnsi="Times New Roman"/>
          <w:b/>
          <w:iCs/>
          <w:sz w:val="24"/>
          <w:szCs w:val="24"/>
        </w:rPr>
        <w:t xml:space="preserve">Behcet </w:t>
      </w:r>
      <w:r w:rsidRPr="00AE47C6">
        <w:rPr>
          <w:rFonts w:ascii="Times New Roman" w:eastAsia="SimSun" w:hAnsi="Times New Roman"/>
          <w:sz w:val="24"/>
          <w:szCs w:val="24"/>
        </w:rPr>
        <w:t xml:space="preserve">е мултисистемно възпалително заболяване, което засяга и ЦНС. Често се засягат зрителните нерви и миелона. Кожно-лигавичните улцерации по устната лигавица и перинеума са типични. Ликворната и МРТ находка са много подобни на тези при МС, но при МРТ се намират лезии на дълбокото сиво вещество и лептоменингеални промени. </w:t>
      </w:r>
    </w:p>
    <w:p w14:paraId="1DEFC4E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Системният lupus erythematosus</w:t>
      </w:r>
      <w:r w:rsidRPr="00AE47C6">
        <w:rPr>
          <w:rFonts w:ascii="Times New Roman" w:eastAsia="SimSun" w:hAnsi="Times New Roman"/>
          <w:sz w:val="24"/>
          <w:szCs w:val="24"/>
        </w:rPr>
        <w:t xml:space="preserve"> е мултиорганно автоимунно заболяване с флуктуиращо протичане. При 30% от болните на МРТ се намират хиперинтензни лезии над 6 mm, в ликвора могат да се намерят увеличени IgG и понякога олигоклоналност. При клинична картина с миелопатия и зрителни нарушения диференциалната диагноза е още по-трудна. Наличието на антинуклеарни антитела е специфично, но се намира и при 25% от болните с МС.</w:t>
      </w:r>
    </w:p>
    <w:p w14:paraId="126096F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Синдромът на </w:t>
      </w:r>
      <w:r w:rsidRPr="00AE47C6">
        <w:rPr>
          <w:rFonts w:ascii="Times New Roman" w:eastAsia="SimSun" w:hAnsi="Times New Roman"/>
          <w:b/>
          <w:iCs/>
          <w:sz w:val="24"/>
          <w:szCs w:val="24"/>
        </w:rPr>
        <w:t>Sjogren</w:t>
      </w:r>
      <w:r w:rsidRPr="00AE47C6">
        <w:rPr>
          <w:rFonts w:ascii="Times New Roman" w:eastAsia="SimSun" w:hAnsi="Times New Roman"/>
          <w:sz w:val="24"/>
          <w:szCs w:val="24"/>
        </w:rPr>
        <w:t xml:space="preserve"> е автоимунно заболяване с прогресивна деструкция на слюнчените и слъзните жлези, което в 25% засяга и ЦНС с клинична картина близка до тази на МС. Протичането е най-често пристъпно-ремитиращо, МРТ показва множествени перивентрикулни лезии, налице е олигоклонален ликвор. Наличието на промени в жлезите, невропатия, миозити и серологични абнормности помага в диференциалната диагноза. </w:t>
      </w:r>
    </w:p>
    <w:p w14:paraId="1E8CB7E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Саркоидозата</w:t>
      </w:r>
      <w:r w:rsidRPr="00AE47C6">
        <w:rPr>
          <w:rFonts w:ascii="Times New Roman" w:eastAsia="SimSun" w:hAnsi="Times New Roman"/>
          <w:sz w:val="24"/>
          <w:szCs w:val="24"/>
        </w:rPr>
        <w:t xml:space="preserve"> е мултисистемно грануломатозно заболяване засягащо предимно лимфо-ретикуларната система, което в 5% от болните може да даде симптоми от страна на ЦНС. Неврологичните симптоми, изразени в лезии на краниални нерви, зрителни разстройства и пирамидни симптоми, могат да бъдат първа проява на заболяването, което има пристъпно-ремитиращ ход. При ликворното изследване може да се установи олигоклоналност. МРТ показва промени като при МС, но при контрастно изследване с gadolinium е характерно лептоменингеалното усилване.</w:t>
      </w:r>
    </w:p>
    <w:p w14:paraId="17772262" w14:textId="77777777" w:rsidR="00BE0B19" w:rsidRPr="00AE47C6" w:rsidRDefault="00BE0B19" w:rsidP="00BE0B19">
      <w:pPr>
        <w:spacing w:after="0" w:line="360" w:lineRule="auto"/>
        <w:ind w:firstLine="284"/>
        <w:jc w:val="both"/>
        <w:rPr>
          <w:rFonts w:ascii="Times New Roman" w:eastAsia="SimSun" w:hAnsi="Times New Roman"/>
          <w:b/>
          <w:i/>
          <w:sz w:val="24"/>
          <w:szCs w:val="24"/>
        </w:rPr>
      </w:pPr>
    </w:p>
    <w:p w14:paraId="506ED5CE"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b/>
          <w:bCs/>
          <w:i/>
          <w:sz w:val="24"/>
          <w:szCs w:val="24"/>
        </w:rPr>
        <w:t>3. Съдови имунни заболявания</w:t>
      </w:r>
    </w:p>
    <w:p w14:paraId="470D0F4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Cs/>
          <w:sz w:val="24"/>
          <w:szCs w:val="24"/>
        </w:rPr>
        <w:t>Антифосфолипидният синдром</w:t>
      </w:r>
      <w:r w:rsidRPr="00AE47C6">
        <w:rPr>
          <w:rFonts w:ascii="Times New Roman" w:eastAsia="SimSun" w:hAnsi="Times New Roman"/>
          <w:sz w:val="24"/>
          <w:szCs w:val="24"/>
        </w:rPr>
        <w:t xml:space="preserve"> може да протече с прогресираща миелопатия, спиноцеребеларно увреждане или синдром от типа на neuromyelitis optica. При МРТ изследване се установяват дифузни или конфлуиращи лезии в бялото мозъчно вещество, които много наподобяват тези при множествена склероза. Ликворното изследване показва нормален брой клетки и олигоклонални фракции при 15% от пациентите. За поставяне на диагнозата е необходимо да се установят IgG и IgM антикардиолипидни антитела и да се проведат антикоагулантните тестове за lupus.</w:t>
      </w:r>
    </w:p>
    <w:p w14:paraId="5B0F457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Cs/>
          <w:sz w:val="24"/>
          <w:szCs w:val="24"/>
        </w:rPr>
        <w:t xml:space="preserve">Васкулитите </w:t>
      </w:r>
      <w:r w:rsidRPr="00AE47C6">
        <w:rPr>
          <w:rFonts w:ascii="Times New Roman" w:eastAsia="SimSun" w:hAnsi="Times New Roman"/>
          <w:sz w:val="24"/>
          <w:szCs w:val="24"/>
        </w:rPr>
        <w:t>могат да протекат клинично с мултиорганно или засягане предимно на централната нервна система. При МРТ изследването се установяват инфаркти със засягане на сивото мозъчно вещество. При васкулитите засягащи първично централната нервна система се установяват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лезии в перивентрикулното и дълбокото бяло мозъчно вещество, които наподобяват силно лезиите при множествена склероза. За поставяне на диагнозата е необходимо изследването на СУЕ, антинуклеарни антитела, МР ангиография и мозъчна биопсия.</w:t>
      </w:r>
    </w:p>
    <w:p w14:paraId="73E9EFE7" w14:textId="77777777" w:rsidR="00BE0B19" w:rsidRPr="00AE47C6" w:rsidRDefault="00BE0B19" w:rsidP="00BE0B19">
      <w:pPr>
        <w:spacing w:after="0" w:line="360" w:lineRule="auto"/>
        <w:ind w:firstLine="720"/>
        <w:jc w:val="both"/>
        <w:rPr>
          <w:rFonts w:ascii="Times New Roman" w:eastAsia="SimSun" w:hAnsi="Times New Roman"/>
          <w:b/>
          <w:iCs/>
          <w:sz w:val="24"/>
          <w:szCs w:val="24"/>
        </w:rPr>
      </w:pPr>
      <w:r w:rsidRPr="00AE47C6">
        <w:rPr>
          <w:rFonts w:ascii="Times New Roman" w:eastAsia="SimSun" w:hAnsi="Times New Roman"/>
          <w:b/>
          <w:iCs/>
          <w:sz w:val="24"/>
          <w:szCs w:val="24"/>
        </w:rPr>
        <w:t>Синдромът на Sneddon</w:t>
      </w:r>
      <w:r w:rsidRPr="00AE47C6">
        <w:rPr>
          <w:rFonts w:ascii="Times New Roman" w:eastAsia="SimSun" w:hAnsi="Times New Roman"/>
          <w:sz w:val="24"/>
          <w:szCs w:val="24"/>
        </w:rPr>
        <w:t xml:space="preserve"> се наблюдава при млади хора и протича с livedo reticularis и повтарящи се инсултоподобни пристъпи. При МРТ се установяват множество малки лезии в бялото и сиво мозъчно вещество, вследствие на инсултите. За поставяне на диагнозата е необходимо изследване за антифосфолипидни антитела, ангиография и кожна биопсия.</w:t>
      </w:r>
    </w:p>
    <w:p w14:paraId="70A557C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Cs/>
          <w:sz w:val="24"/>
          <w:szCs w:val="24"/>
        </w:rPr>
        <w:t>Венозната оклузивна и кардиоемболична болест</w:t>
      </w:r>
      <w:r w:rsidRPr="00AE47C6">
        <w:rPr>
          <w:rFonts w:ascii="Times New Roman" w:eastAsia="SimSun" w:hAnsi="Times New Roman"/>
          <w:sz w:val="24"/>
          <w:szCs w:val="24"/>
        </w:rPr>
        <w:t xml:space="preserve"> се наблюдава при млади хора без рискови фактори за съдово заболяване, но с фамилна анамнеза за венозни оклузии. Протича с повтарящи се пристъпи от фокални неврологични симптоми. При МРТ изследването лезиите са както при инсулти и не приличат на тези при множествена склероза, освен в случаите, когато лезиите са малки и в бялото мозъчно вещество. Необходимо е да се проведат изследвания за диагностициране на хиперкоагулобилитет, както и доплер-сонографско и ехокардиографско изследване. Ликворната находка е нормална.</w:t>
      </w:r>
    </w:p>
    <w:p w14:paraId="1225EFB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i/>
          <w:sz w:val="24"/>
          <w:szCs w:val="24"/>
        </w:rPr>
        <w:t>4. Инфекциозни заболявания</w:t>
      </w:r>
    </w:p>
    <w:p w14:paraId="546A521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Cs/>
          <w:sz w:val="24"/>
          <w:szCs w:val="24"/>
        </w:rPr>
        <w:t>Прогресивната мултифокална енцефалопатия</w:t>
      </w:r>
      <w:r w:rsidRPr="00AE47C6">
        <w:rPr>
          <w:rFonts w:ascii="Times New Roman" w:eastAsia="SimSun" w:hAnsi="Times New Roman"/>
          <w:sz w:val="24"/>
          <w:szCs w:val="24"/>
        </w:rPr>
        <w:t xml:space="preserve"> се дължи на инфекция на централната нервна система с JC вируса при пациенти с имунен дефицит. Протича с непрекъсната прогресия на дефицита в когницията, езика и зрението. По-рядко има флуктуиращо протичане, което наподобява множествена склероза. При МРТ се откриват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лезии в бялото мозъчно вещество, обикновено по-конфлуиращи, отколкото при множествена склероза и неусилващи се от контраст. Окончателната диагноза се поставя чрез мозъчна биопсия.</w:t>
      </w:r>
    </w:p>
    <w:p w14:paraId="0DDD0E6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Лаймската болест</w:t>
      </w:r>
      <w:r w:rsidRPr="00AE47C6">
        <w:rPr>
          <w:rFonts w:ascii="Times New Roman" w:eastAsia="SimSun" w:hAnsi="Times New Roman"/>
          <w:sz w:val="24"/>
          <w:szCs w:val="24"/>
        </w:rPr>
        <w:t xml:space="preserve"> често протича като невроборелиоза с менингит, краниален неврит, миелопатия или енцефалит. Промените в МРТ и ликвора трудно се отличават от тези при МС.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лезиите в бялото мозъчно вещество обаче не са разположени перивентрикулно. Установяват се антитела срещу Borrelia burgdorferi, но те не са абсолютно специфични и могат да се намерят и при други възпалителни заболявания на ЦНС, включително и при МС.</w:t>
      </w:r>
    </w:p>
    <w:p w14:paraId="747F816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Луесът</w:t>
      </w:r>
      <w:r w:rsidRPr="00AE47C6">
        <w:rPr>
          <w:rFonts w:ascii="Times New Roman" w:eastAsia="SimSun" w:hAnsi="Times New Roman"/>
          <w:sz w:val="24"/>
          <w:szCs w:val="24"/>
        </w:rPr>
        <w:t xml:space="preserve"> засяга и ЦНС, като предизвиква неврити на зрителния нерв, васкулити, миелопатия и хронична енцефалопатия и клинично може да създаде диференциално-диагностични затруднения. При МРТ изследването находката зависи от стадия на заболяването и включва инфаркти, неспецифични лезии на бялото мозъчно вещество, гуми и менингеално усилване. Диагнозата се поставя въз основа на резултатите от серологичното и ликворно изследване на VDRL, серологично изследване на микрохемаглутинационен тест за Treponema pallidum. </w:t>
      </w:r>
    </w:p>
    <w:p w14:paraId="5A9343E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Cs/>
          <w:sz w:val="24"/>
          <w:szCs w:val="24"/>
        </w:rPr>
        <w:t>HIV-1 левкоенцефалопатията</w:t>
      </w:r>
      <w:r w:rsidRPr="00AE47C6">
        <w:rPr>
          <w:rFonts w:ascii="Times New Roman" w:eastAsia="SimSun" w:hAnsi="Times New Roman"/>
          <w:sz w:val="24"/>
          <w:szCs w:val="24"/>
        </w:rPr>
        <w:t xml:space="preserve"> се предизвиква от HIV-1 вирусът. Той предизвиква типично HIV-свързано неврокогнитивно нарушение, но по рядко предизвиква по-леко, пристъпно заболяване изразяващо се в неврит на зрителния нерв, миелопатия и когнитивни нарушения, което наподобява множествена склероза. СПИН често засяга ЦНС в по-късните стадии, но в 10%, това може да бъде начална проява. МРТ изследването показва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лезии в бялото мозъчно вещество, които са по-големи и по-конфлуиращи в сравнение с тези при множествена склероза. Ликворното изследване и евокираните потенциали показват същите промени, както при множествена склероза. Могат да се установят повишен общ белтък и клетки в ликвора, който рядко може да бъде олигоклонален. Диагнозата се поставя чрез положителните серологични проби за HIV-1 и установяване на намален брой CD4 клетки. </w:t>
      </w:r>
    </w:p>
    <w:p w14:paraId="5EA0AA7D" w14:textId="77777777" w:rsidR="00BE0B19" w:rsidRPr="00AE47C6" w:rsidRDefault="00BE0B19" w:rsidP="00BE0B19">
      <w:pPr>
        <w:spacing w:after="0" w:line="360" w:lineRule="auto"/>
        <w:jc w:val="both"/>
        <w:rPr>
          <w:rFonts w:ascii="Times New Roman" w:eastAsia="SimSun" w:hAnsi="Times New Roman"/>
          <w:sz w:val="24"/>
          <w:szCs w:val="24"/>
        </w:rPr>
      </w:pPr>
    </w:p>
    <w:p w14:paraId="54B978BE" w14:textId="77777777" w:rsidR="00BE0B19" w:rsidRPr="00AE47C6" w:rsidRDefault="00BE0B19" w:rsidP="00BE0B19">
      <w:pPr>
        <w:spacing w:after="0" w:line="360" w:lineRule="auto"/>
        <w:jc w:val="both"/>
        <w:rPr>
          <w:rFonts w:ascii="Times New Roman" w:eastAsia="SimSun" w:hAnsi="Times New Roman"/>
          <w:b/>
          <w:i/>
          <w:sz w:val="24"/>
          <w:szCs w:val="24"/>
        </w:rPr>
      </w:pPr>
      <w:r w:rsidRPr="00AE47C6">
        <w:rPr>
          <w:rFonts w:ascii="Times New Roman" w:eastAsia="SimSun" w:hAnsi="Times New Roman"/>
          <w:b/>
          <w:i/>
          <w:sz w:val="24"/>
          <w:szCs w:val="24"/>
        </w:rPr>
        <w:t xml:space="preserve">5. </w:t>
      </w:r>
      <w:r w:rsidRPr="00AE47C6">
        <w:rPr>
          <w:rFonts w:ascii="Times New Roman" w:eastAsia="SimSun" w:hAnsi="Times New Roman"/>
          <w:b/>
          <w:bCs/>
          <w:i/>
          <w:iCs/>
          <w:sz w:val="24"/>
          <w:szCs w:val="24"/>
        </w:rPr>
        <w:t>Дегенеративни заболявания</w:t>
      </w:r>
    </w:p>
    <w:p w14:paraId="6A59EA1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Адренолевкодистрофията</w:t>
      </w:r>
      <w:r w:rsidRPr="00AE47C6">
        <w:rPr>
          <w:rFonts w:ascii="Times New Roman" w:eastAsia="SimSun" w:hAnsi="Times New Roman"/>
          <w:sz w:val="24"/>
          <w:szCs w:val="24"/>
        </w:rPr>
        <w:t xml:space="preserve"> е генетично заболяване свързано с натрупване на много дълговерижни мастни киселини (VLFA). Х-свързаната форма на заболяването се проявява в юношеска и по-зряла възраст с прогресивна миело- и невропатия, и при липса на анамнеза за фамилност създава сериозни диференциално-диагностични затруднения. Протича с парапареза, атаксия и когнитивни нарушения, и има пристъпно-ремитентно или прогресиращо протичане. Изследването на VLFA в плазмата може да постави диагнозата, която е трудна, защото ликворното и МРТ изследвания показват изменения като при МС. </w:t>
      </w:r>
    </w:p>
    <w:p w14:paraId="1677334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Митохондриалната енцефалопатия</w:t>
      </w:r>
      <w:r w:rsidRPr="00AE47C6">
        <w:rPr>
          <w:rFonts w:ascii="Times New Roman" w:eastAsia="SimSun" w:hAnsi="Times New Roman"/>
          <w:sz w:val="24"/>
          <w:szCs w:val="24"/>
        </w:rPr>
        <w:t xml:space="preserve"> с лактатна ацидоза и инсултоподобни инциденти (MELAS) се проявява в детската възраст. Това наследствено заболяване се проявява с външна офталмопареза, слабост на проксималните мускулни групи и епилептични припадъци. При МРТ се установяват корови и подкорови инсултоподобни лезии видими при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и FLAIR изобразяване. Ликворното изследване за лактат и пируват поставя диагнозата.</w:t>
      </w:r>
    </w:p>
    <w:p w14:paraId="75F5FA7C"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iCs/>
          <w:sz w:val="24"/>
          <w:szCs w:val="24"/>
        </w:rPr>
        <w:t>Наследствената оптична невропатия на Leber</w:t>
      </w:r>
      <w:r w:rsidRPr="00AE47C6">
        <w:rPr>
          <w:rFonts w:ascii="Times New Roman" w:eastAsia="SimSun" w:hAnsi="Times New Roman"/>
          <w:sz w:val="24"/>
          <w:szCs w:val="24"/>
        </w:rPr>
        <w:t xml:space="preserve"> протича подостро с двустранна атрофия на зрителния нерв. Засяга предимно мъже, протича без ремисии и се придружава от миелопатия, атаксия и сетивни нарушения. При МРТ се установяват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лезии в бялото мозъчно вещество, идентични с лезиите при множествена склероза. Не се установяват ликворни промени. Диагнозата се потвърждава чрез ДНК изследване.</w:t>
      </w:r>
    </w:p>
    <w:p w14:paraId="789757E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CADASIL </w:t>
      </w:r>
      <w:r w:rsidRPr="00AE47C6">
        <w:rPr>
          <w:rFonts w:ascii="Times New Roman" w:eastAsia="SimSun" w:hAnsi="Times New Roman"/>
          <w:sz w:val="24"/>
          <w:szCs w:val="24"/>
        </w:rPr>
        <w:t>(церебрална автозомно-доминантна артериопатия със субкорови инфаркти и левкоенцефалопатия) е свързана с мутация в NOTCH3 гена в 19p13.12 хромозома, който кодира трансмембранен рецепторен протеин с неясна функция. Първите симптоми се проявяват между 30 и 50 годишна възраст, с повтарящи се инсултоподобни епизоди и последващо развитие на деменция. При МРТ се установяват множествени подкорови лезии. Нормалният ликвор и генетичният анализ помагат за поставянето на диагнозата.</w:t>
      </w:r>
    </w:p>
    <w:p w14:paraId="61138E9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Малкомозъчните атрофии</w:t>
      </w:r>
      <w:r w:rsidRPr="00AE47C6">
        <w:rPr>
          <w:rFonts w:ascii="Times New Roman" w:eastAsia="SimSun" w:hAnsi="Times New Roman"/>
          <w:sz w:val="24"/>
          <w:szCs w:val="24"/>
        </w:rPr>
        <w:t xml:space="preserve"> (</w:t>
      </w:r>
      <w:r w:rsidRPr="00AE47C6">
        <w:rPr>
          <w:rFonts w:ascii="Times New Roman" w:eastAsia="SimSun" w:hAnsi="Times New Roman"/>
          <w:iCs/>
          <w:sz w:val="24"/>
          <w:szCs w:val="24"/>
        </w:rPr>
        <w:t>спиноцеребеларни атаксии, атаксията на Friedreich и оливопонтоцеребеларната атрофия)</w:t>
      </w:r>
      <w:r w:rsidRPr="00AE47C6">
        <w:rPr>
          <w:rFonts w:ascii="Times New Roman" w:eastAsia="SimSun" w:hAnsi="Times New Roman"/>
          <w:sz w:val="24"/>
          <w:szCs w:val="24"/>
        </w:rPr>
        <w:t xml:space="preserve"> се отдиференцират на базата на данните за фамилност, липсата на ремисии и нормалният ликвор.</w:t>
      </w:r>
    </w:p>
    <w:p w14:paraId="4651D25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Cs/>
          <w:sz w:val="24"/>
          <w:szCs w:val="24"/>
        </w:rPr>
        <w:t>Недостатъчност или дизметаболизъм на витамин В</w:t>
      </w:r>
      <w:r w:rsidRPr="00AE47C6">
        <w:rPr>
          <w:rFonts w:ascii="Times New Roman" w:eastAsia="SimSun" w:hAnsi="Times New Roman"/>
          <w:b/>
          <w:iCs/>
          <w:sz w:val="24"/>
          <w:szCs w:val="24"/>
          <w:vertAlign w:val="subscript"/>
        </w:rPr>
        <w:t>12</w:t>
      </w:r>
      <w:r w:rsidRPr="00AE47C6">
        <w:rPr>
          <w:rFonts w:ascii="Times New Roman" w:eastAsia="SimSun" w:hAnsi="Times New Roman"/>
          <w:sz w:val="24"/>
          <w:szCs w:val="24"/>
        </w:rPr>
        <w:t xml:space="preserve"> (cobalamin) поради метаболитен дефект или придобит дефицит, предизвиква прогресираща миелопатия, засягаща задните и странични стълбци на гръбначния мозък и полиневропатия. МРТ изследването показва преходни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лезии в бялото мозъчно вещество на главния и гръбначния мозък. Лезиите изчезват след възстановяване на В</w:t>
      </w:r>
      <w:r w:rsidRPr="00AE47C6">
        <w:rPr>
          <w:rFonts w:ascii="Times New Roman" w:eastAsia="SimSun" w:hAnsi="Times New Roman"/>
          <w:sz w:val="24"/>
          <w:szCs w:val="24"/>
          <w:vertAlign w:val="subscript"/>
        </w:rPr>
        <w:t>12</w:t>
      </w:r>
      <w:r w:rsidRPr="00AE47C6">
        <w:rPr>
          <w:rFonts w:ascii="Times New Roman" w:eastAsia="SimSun" w:hAnsi="Times New Roman"/>
          <w:sz w:val="24"/>
          <w:szCs w:val="24"/>
        </w:rPr>
        <w:t xml:space="preserve"> дефицитът. Диагнозата се поставя чрез изследване на кръвната картина и установяване на понижени серумни нива на витамин В</w:t>
      </w:r>
      <w:r w:rsidRPr="00AE47C6">
        <w:rPr>
          <w:rFonts w:ascii="Times New Roman" w:eastAsia="SimSun" w:hAnsi="Times New Roman"/>
          <w:sz w:val="24"/>
          <w:szCs w:val="24"/>
          <w:vertAlign w:val="subscript"/>
        </w:rPr>
        <w:t>12</w:t>
      </w:r>
      <w:r w:rsidRPr="00AE47C6">
        <w:rPr>
          <w:rFonts w:ascii="Times New Roman" w:eastAsia="SimSun" w:hAnsi="Times New Roman"/>
          <w:sz w:val="24"/>
          <w:szCs w:val="24"/>
        </w:rPr>
        <w:t>.</w:t>
      </w:r>
    </w:p>
    <w:p w14:paraId="4BFFB9EF" w14:textId="77777777" w:rsidR="00BE0B19" w:rsidRPr="00AE47C6" w:rsidRDefault="00BE0B19" w:rsidP="00BE0B19">
      <w:pPr>
        <w:spacing w:after="0" w:line="360" w:lineRule="auto"/>
        <w:jc w:val="both"/>
        <w:rPr>
          <w:rFonts w:ascii="Times New Roman" w:eastAsia="SimSun" w:hAnsi="Times New Roman"/>
          <w:sz w:val="24"/>
          <w:szCs w:val="24"/>
        </w:rPr>
      </w:pPr>
    </w:p>
    <w:p w14:paraId="2C8CED9A" w14:textId="77777777" w:rsidR="00BE0B19" w:rsidRPr="00AE47C6" w:rsidRDefault="00BE0B19" w:rsidP="00BE0B19">
      <w:pPr>
        <w:spacing w:after="0" w:line="360" w:lineRule="auto"/>
        <w:jc w:val="both"/>
        <w:rPr>
          <w:rFonts w:ascii="Times New Roman" w:eastAsia="SimSun" w:hAnsi="Times New Roman"/>
          <w:b/>
          <w:i/>
          <w:sz w:val="24"/>
          <w:szCs w:val="24"/>
        </w:rPr>
      </w:pPr>
      <w:r w:rsidRPr="00AE47C6">
        <w:rPr>
          <w:rFonts w:ascii="Times New Roman" w:eastAsia="SimSun" w:hAnsi="Times New Roman"/>
          <w:b/>
          <w:bCs/>
          <w:i/>
          <w:iCs/>
          <w:sz w:val="24"/>
          <w:szCs w:val="24"/>
        </w:rPr>
        <w:t>6. Гръбначно мозъчни заболявания</w:t>
      </w:r>
    </w:p>
    <w:p w14:paraId="3583F66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Малформацията на Arnold Chiari</w:t>
      </w:r>
      <w:r w:rsidRPr="00AE47C6">
        <w:rPr>
          <w:rFonts w:ascii="Times New Roman" w:eastAsia="SimSun" w:hAnsi="Times New Roman"/>
          <w:sz w:val="24"/>
          <w:szCs w:val="24"/>
        </w:rPr>
        <w:t xml:space="preserve"> предизвиква изолирани спинални синдроми, но и засягане на каудалната група краниални нерви, малкият мозък, атаксия и повишено интракраниално налягане. МРТ показва абнормности в кранио-цервикалната област.</w:t>
      </w:r>
    </w:p>
    <w:p w14:paraId="228F9B04"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Миелопатията</w:t>
      </w:r>
      <w:r w:rsidRPr="00AE47C6">
        <w:rPr>
          <w:rFonts w:ascii="Times New Roman" w:eastAsia="SimSun" w:hAnsi="Times New Roman"/>
          <w:sz w:val="24"/>
          <w:szCs w:val="24"/>
          <w:lang w:eastAsia="bg-BG"/>
        </w:rPr>
        <w:t xml:space="preserve"> с прогресивно развиваща се пара- или квадрипареза в средна възраст трябва да се отдиференцира от МС. Необходимо е да се изключи като причина външна или вътрешна гръбначно-мозъчна компресия, цервикална спондилоза и дефицит на витамин В</w:t>
      </w:r>
      <w:r w:rsidRPr="00AE47C6">
        <w:rPr>
          <w:rFonts w:ascii="Times New Roman" w:eastAsia="SimSun" w:hAnsi="Times New Roman"/>
          <w:sz w:val="24"/>
          <w:szCs w:val="24"/>
          <w:vertAlign w:val="subscript"/>
          <w:lang w:eastAsia="bg-BG"/>
        </w:rPr>
        <w:t>12</w:t>
      </w:r>
      <w:r w:rsidRPr="00AE47C6">
        <w:rPr>
          <w:rFonts w:ascii="Times New Roman" w:eastAsia="SimSun" w:hAnsi="Times New Roman"/>
          <w:sz w:val="24"/>
          <w:szCs w:val="24"/>
          <w:lang w:eastAsia="bg-BG"/>
        </w:rPr>
        <w:t xml:space="preserve">. МРТ решава проблема с наличието на спинални и церебрални лезии при МС. </w:t>
      </w:r>
    </w:p>
    <w:p w14:paraId="7A3AAFA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Cs/>
          <w:sz w:val="24"/>
          <w:szCs w:val="24"/>
        </w:rPr>
        <w:t>Амиотрофичната латерална склероза</w:t>
      </w:r>
      <w:r w:rsidRPr="00AE47C6">
        <w:rPr>
          <w:rFonts w:ascii="Times New Roman" w:eastAsia="SimSun" w:hAnsi="Times New Roman"/>
          <w:sz w:val="24"/>
          <w:szCs w:val="24"/>
        </w:rPr>
        <w:t xml:space="preserve"> в ранните стадии, когато все още не са се проявили симптомите на периферния, а са изявени симптомите на централния двигателен неврон, може да създаде диагностични трудности. МРТ изследването е нормално. Диагнозата се поставя чрез електромиографско изследване, което показва преднорогова увреда на много нива, поне в 3 крайника.</w:t>
      </w:r>
    </w:p>
    <w:p w14:paraId="3870C91F" w14:textId="77777777" w:rsidR="00BE0B19" w:rsidRPr="00AE47C6" w:rsidRDefault="00BE0B19" w:rsidP="00BE0B19">
      <w:pPr>
        <w:spacing w:after="0" w:line="360" w:lineRule="auto"/>
        <w:ind w:left="283"/>
        <w:jc w:val="both"/>
        <w:rPr>
          <w:rFonts w:ascii="Times New Roman" w:eastAsia="SimSun" w:hAnsi="Times New Roman"/>
          <w:sz w:val="24"/>
          <w:szCs w:val="24"/>
        </w:rPr>
      </w:pPr>
    </w:p>
    <w:p w14:paraId="59E07A0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Заболяванията с които се прави диференциална диагноза могат да се разделят на три групи, според това дали показват само клинични, клинични и МРТ или клинични, МРТ и ликворологични прилики с МС.</w:t>
      </w:r>
    </w:p>
    <w:p w14:paraId="13B77C73" w14:textId="77777777" w:rsidR="00BE0B19" w:rsidRPr="00AE47C6" w:rsidRDefault="00BE0B19" w:rsidP="00BE0B19">
      <w:pPr>
        <w:tabs>
          <w:tab w:val="left" w:pos="720"/>
        </w:tabs>
        <w:suppressAutoHyphens/>
        <w:spacing w:after="0" w:line="360" w:lineRule="auto"/>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Заболяванията, които наподобяват клинично МС, но се различават при МРТ включват:</w:t>
      </w:r>
    </w:p>
    <w:p w14:paraId="012E09F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Грануломатоза на Wegener</w:t>
      </w:r>
    </w:p>
    <w:p w14:paraId="5E4024F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Изолирани спинални синдроми</w:t>
      </w:r>
    </w:p>
    <w:p w14:paraId="5DD5E27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Компресивни лезии</w:t>
      </w:r>
    </w:p>
    <w:p w14:paraId="715E5F1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Дефицит на В</w:t>
      </w:r>
      <w:r w:rsidRPr="00AE47C6">
        <w:rPr>
          <w:rFonts w:ascii="Times New Roman" w:eastAsia="SimSun" w:hAnsi="Times New Roman"/>
          <w:sz w:val="24"/>
          <w:szCs w:val="24"/>
          <w:vertAlign w:val="subscript"/>
        </w:rPr>
        <w:t>12</w:t>
      </w:r>
    </w:p>
    <w:p w14:paraId="4C72464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Интракраниални тумори</w:t>
      </w:r>
    </w:p>
    <w:p w14:paraId="56FFCF1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 Малформация на Arnold Chiari</w:t>
      </w:r>
    </w:p>
    <w:p w14:paraId="2EB96EE4" w14:textId="77777777" w:rsidR="00BE0B19" w:rsidRPr="00AE47C6" w:rsidRDefault="00BE0B19" w:rsidP="00BE0B19">
      <w:pPr>
        <w:spacing w:after="0" w:line="360" w:lineRule="auto"/>
        <w:jc w:val="both"/>
        <w:rPr>
          <w:rFonts w:ascii="Times New Roman" w:eastAsia="SimSun" w:hAnsi="Times New Roman"/>
          <w:sz w:val="24"/>
          <w:szCs w:val="24"/>
        </w:rPr>
      </w:pPr>
    </w:p>
    <w:p w14:paraId="1ADFF520" w14:textId="77777777" w:rsidR="00BE0B19" w:rsidRPr="00AE47C6" w:rsidRDefault="00BE0B19" w:rsidP="00BE0B19">
      <w:pPr>
        <w:tabs>
          <w:tab w:val="left" w:pos="720"/>
        </w:tabs>
        <w:suppressAutoHyphens/>
        <w:spacing w:after="0" w:line="360" w:lineRule="auto"/>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Заболяванията, които наподобяват МС клинично и с МРТ критерии включват:</w:t>
      </w:r>
    </w:p>
    <w:p w14:paraId="1CCB8D5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СПИН</w:t>
      </w:r>
    </w:p>
    <w:p w14:paraId="47FB003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Малкомозъчни дегенерации</w:t>
      </w:r>
    </w:p>
    <w:p w14:paraId="034489F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3. Митохондриална енцефалопатия </w:t>
      </w:r>
    </w:p>
    <w:p w14:paraId="776C7FF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Цереброваскуларни заболявания</w:t>
      </w:r>
    </w:p>
    <w:p w14:paraId="1877423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5. CADASIL </w:t>
      </w:r>
    </w:p>
    <w:p w14:paraId="3234FE98" w14:textId="77777777" w:rsidR="00BE0B19" w:rsidRPr="00AE47C6" w:rsidRDefault="00BE0B19" w:rsidP="00BE0B19">
      <w:pPr>
        <w:spacing w:after="0" w:line="360" w:lineRule="auto"/>
        <w:jc w:val="both"/>
        <w:rPr>
          <w:rFonts w:ascii="Times New Roman" w:eastAsia="SimSun" w:hAnsi="Times New Roman"/>
          <w:sz w:val="24"/>
          <w:szCs w:val="24"/>
          <w:lang w:eastAsia="ja-JP"/>
        </w:rPr>
      </w:pPr>
    </w:p>
    <w:p w14:paraId="3617DE4B" w14:textId="77777777" w:rsidR="00BE0B19" w:rsidRPr="00AE47C6" w:rsidRDefault="00BE0B19" w:rsidP="00BE0B19">
      <w:pPr>
        <w:tabs>
          <w:tab w:val="left" w:pos="720"/>
        </w:tabs>
        <w:suppressAutoHyphens/>
        <w:spacing w:after="0" w:line="360" w:lineRule="auto"/>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Заболяванията, които наподобяват МС клинично, по МРТ и ликворни критерии са:</w:t>
      </w:r>
    </w:p>
    <w:p w14:paraId="4CB7AB4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Васкулити:</w:t>
      </w:r>
    </w:p>
    <w:p w14:paraId="3D31A57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синдром на </w:t>
      </w:r>
      <w:r w:rsidRPr="00AE47C6">
        <w:rPr>
          <w:rFonts w:ascii="Times New Roman" w:eastAsia="SimSun" w:hAnsi="Times New Roman"/>
          <w:iCs/>
          <w:sz w:val="24"/>
          <w:szCs w:val="24"/>
        </w:rPr>
        <w:t>Sjogren</w:t>
      </w:r>
    </w:p>
    <w:p w14:paraId="34A4CF2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нодозен полиартериит</w:t>
      </w:r>
    </w:p>
    <w:p w14:paraId="31AC8CC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системен </w:t>
      </w:r>
      <w:r w:rsidRPr="00AE47C6">
        <w:rPr>
          <w:rFonts w:ascii="Times New Roman" w:eastAsia="SimSun" w:hAnsi="Times New Roman"/>
          <w:iCs/>
          <w:sz w:val="24"/>
          <w:szCs w:val="24"/>
        </w:rPr>
        <w:t>lupus erythematosus</w:t>
      </w:r>
    </w:p>
    <w:p w14:paraId="43A14DD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болест на </w:t>
      </w:r>
      <w:r w:rsidRPr="00AE47C6">
        <w:rPr>
          <w:rFonts w:ascii="Times New Roman" w:eastAsia="SimSun" w:hAnsi="Times New Roman"/>
          <w:iCs/>
          <w:sz w:val="24"/>
          <w:szCs w:val="24"/>
        </w:rPr>
        <w:t>Behcet</w:t>
      </w:r>
    </w:p>
    <w:p w14:paraId="1E33F6A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Лаймска болест</w:t>
      </w:r>
    </w:p>
    <w:p w14:paraId="4A89BAA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Саркоидоза</w:t>
      </w:r>
    </w:p>
    <w:p w14:paraId="20C9B68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Адренолевкодистрофия</w:t>
      </w:r>
    </w:p>
    <w:p w14:paraId="756B9B6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HTLV-1</w:t>
      </w:r>
    </w:p>
    <w:p w14:paraId="3C349F4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6. </w:t>
      </w:r>
      <w:r w:rsidRPr="00AE47C6">
        <w:rPr>
          <w:rFonts w:ascii="Times New Roman" w:eastAsia="SimSun" w:hAnsi="Times New Roman"/>
          <w:iCs/>
          <w:sz w:val="24"/>
          <w:szCs w:val="24"/>
        </w:rPr>
        <w:t xml:space="preserve">Наследствената оптична невропатия </w:t>
      </w:r>
      <w:r w:rsidRPr="00AE47C6">
        <w:rPr>
          <w:rFonts w:ascii="Times New Roman" w:eastAsia="SimSun" w:hAnsi="Times New Roman"/>
          <w:sz w:val="24"/>
          <w:szCs w:val="24"/>
        </w:rPr>
        <w:t xml:space="preserve">на </w:t>
      </w:r>
      <w:r w:rsidRPr="00AE47C6">
        <w:rPr>
          <w:rFonts w:ascii="Times New Roman" w:eastAsia="SimSun" w:hAnsi="Times New Roman"/>
          <w:iCs/>
          <w:sz w:val="24"/>
          <w:szCs w:val="24"/>
        </w:rPr>
        <w:t>Leber</w:t>
      </w:r>
    </w:p>
    <w:p w14:paraId="49CEFB66" w14:textId="77777777" w:rsidR="00BE0B19" w:rsidRPr="00AE47C6" w:rsidRDefault="00BE0B19" w:rsidP="00BE0B19">
      <w:pPr>
        <w:spacing w:after="0" w:line="360" w:lineRule="auto"/>
        <w:jc w:val="both"/>
        <w:rPr>
          <w:rFonts w:ascii="Times New Roman" w:eastAsia="SimSun" w:hAnsi="Times New Roman"/>
          <w:sz w:val="24"/>
          <w:szCs w:val="24"/>
          <w:lang w:eastAsia="ja-JP"/>
        </w:rPr>
      </w:pPr>
      <w:r w:rsidRPr="00AE47C6">
        <w:rPr>
          <w:rFonts w:ascii="Times New Roman" w:eastAsia="SimSun" w:hAnsi="Times New Roman"/>
          <w:sz w:val="24"/>
          <w:szCs w:val="24"/>
          <w:lang w:eastAsia="ja-JP"/>
        </w:rPr>
        <w:t>7. Остър дисеминиран енцефаломиелит</w:t>
      </w:r>
    </w:p>
    <w:p w14:paraId="248F5006" w14:textId="77777777" w:rsidR="00BE0B19" w:rsidRPr="00AE47C6" w:rsidRDefault="00BE0B19" w:rsidP="00BE0B19">
      <w:pPr>
        <w:spacing w:after="0" w:line="360" w:lineRule="auto"/>
        <w:jc w:val="both"/>
        <w:rPr>
          <w:rFonts w:ascii="Times New Roman" w:eastAsia="SimSun" w:hAnsi="Times New Roman"/>
          <w:sz w:val="24"/>
          <w:szCs w:val="24"/>
          <w:lang w:eastAsia="ja-JP"/>
        </w:rPr>
      </w:pPr>
    </w:p>
    <w:p w14:paraId="28FDB319" w14:textId="77777777" w:rsidR="00BE0B19" w:rsidRPr="00AE47C6" w:rsidRDefault="00BE0B19" w:rsidP="00BE0B19">
      <w:pPr>
        <w:spacing w:after="0" w:line="360" w:lineRule="auto"/>
        <w:ind w:firstLine="720"/>
        <w:jc w:val="both"/>
        <w:rPr>
          <w:rFonts w:ascii="Times New Roman" w:eastAsia="SimSun" w:hAnsi="Times New Roman"/>
          <w:b/>
          <w:sz w:val="24"/>
          <w:szCs w:val="24"/>
          <w:lang w:eastAsia="ja-JP"/>
        </w:rPr>
      </w:pPr>
      <w:r w:rsidRPr="00AE47C6">
        <w:rPr>
          <w:rFonts w:ascii="Times New Roman" w:eastAsia="SimSun" w:hAnsi="Times New Roman"/>
          <w:b/>
          <w:sz w:val="24"/>
          <w:szCs w:val="24"/>
          <w:lang w:eastAsia="ja-JP"/>
        </w:rPr>
        <w:t>Лечение</w:t>
      </w:r>
    </w:p>
    <w:p w14:paraId="27CC9369" w14:textId="77777777" w:rsidR="00BE0B19" w:rsidRPr="00AE47C6" w:rsidRDefault="00BE0B19" w:rsidP="00BE0B19">
      <w:pPr>
        <w:spacing w:after="0" w:line="360" w:lineRule="auto"/>
        <w:ind w:firstLine="720"/>
        <w:jc w:val="both"/>
        <w:rPr>
          <w:rFonts w:ascii="Times New Roman" w:eastAsia="SimSun" w:hAnsi="Times New Roman"/>
          <w:sz w:val="24"/>
          <w:szCs w:val="24"/>
          <w:lang w:eastAsia="ja-JP"/>
        </w:rPr>
      </w:pPr>
      <w:r w:rsidRPr="00AE47C6">
        <w:rPr>
          <w:rFonts w:ascii="Times New Roman" w:eastAsia="SimSun" w:hAnsi="Times New Roman"/>
          <w:sz w:val="24"/>
          <w:szCs w:val="24"/>
          <w:lang w:eastAsia="ja-JP"/>
        </w:rPr>
        <w:t>Най-важната цел е да се забави и намали инвалидизацията на пациента в дългосрочен аспект. Лечението се различава според формата на протичане и според това дали заболяването е в пристъп или в ремисия. Подразделя се на лечение на пристъпите, модифициращо хода на заболяването и симптоматично.</w:t>
      </w:r>
    </w:p>
    <w:p w14:paraId="6E3FE800" w14:textId="77777777" w:rsidR="00BE0B19" w:rsidRPr="00AE47C6" w:rsidRDefault="00BE0B19" w:rsidP="00BE0B19">
      <w:pPr>
        <w:spacing w:after="0" w:line="360" w:lineRule="auto"/>
        <w:ind w:firstLine="720"/>
        <w:jc w:val="both"/>
        <w:rPr>
          <w:rFonts w:ascii="Times New Roman" w:eastAsia="SimSun" w:hAnsi="Times New Roman"/>
          <w:i/>
          <w:sz w:val="24"/>
          <w:szCs w:val="24"/>
          <w:lang w:eastAsia="ja-JP"/>
        </w:rPr>
      </w:pPr>
      <w:r w:rsidRPr="00AE47C6">
        <w:rPr>
          <w:rFonts w:ascii="Times New Roman" w:eastAsia="SimSun" w:hAnsi="Times New Roman"/>
          <w:sz w:val="24"/>
          <w:szCs w:val="24"/>
          <w:lang w:eastAsia="ja-JP"/>
        </w:rPr>
        <w:t>Лечението на пристъпа има за цел да ускори и засили възстановяването на неврологичните симптоми получени по време на пристъпа. Екзацербациите при пристъпно- ремитентната форма на множествена склероза са сигнал за бърза намеса на невролога.</w:t>
      </w:r>
    </w:p>
    <w:p w14:paraId="24B4456F" w14:textId="77777777" w:rsidR="00BE0B19" w:rsidRPr="00AE47C6" w:rsidRDefault="00BE0B19" w:rsidP="00BE0B19">
      <w:pPr>
        <w:spacing w:after="0" w:line="360" w:lineRule="auto"/>
        <w:jc w:val="both"/>
        <w:rPr>
          <w:rFonts w:ascii="Times New Roman" w:eastAsia="SimSun" w:hAnsi="Times New Roman"/>
          <w:sz w:val="24"/>
          <w:szCs w:val="24"/>
          <w:lang w:eastAsia="ja-JP"/>
        </w:rPr>
      </w:pPr>
    </w:p>
    <w:p w14:paraId="32D86980"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num" w:pos="360"/>
        </w:tabs>
        <w:spacing w:after="0" w:line="360" w:lineRule="auto"/>
        <w:ind w:left="360" w:hanging="360"/>
        <w:jc w:val="both"/>
        <w:rPr>
          <w:rFonts w:ascii="Times New Roman" w:eastAsia="SimSun" w:hAnsi="Times New Roman"/>
          <w:b/>
          <w:i/>
          <w:sz w:val="24"/>
          <w:szCs w:val="24"/>
        </w:rPr>
      </w:pPr>
      <w:r w:rsidRPr="00AE47C6">
        <w:rPr>
          <w:rFonts w:ascii="Times New Roman" w:eastAsia="SimSun" w:hAnsi="Times New Roman"/>
          <w:sz w:val="24"/>
          <w:szCs w:val="24"/>
        </w:rPr>
        <w:t xml:space="preserve">При вече диагностициран болен, неврологът трябва да установи дали е настъпил нов пристъп, използвайки съответните критерии. </w:t>
      </w:r>
    </w:p>
    <w:p w14:paraId="3354137D"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num" w:pos="360"/>
        </w:tabs>
        <w:spacing w:after="0" w:line="360" w:lineRule="auto"/>
        <w:ind w:left="360" w:hanging="360"/>
        <w:jc w:val="both"/>
        <w:rPr>
          <w:rFonts w:ascii="Times New Roman" w:eastAsia="SimSun" w:hAnsi="Times New Roman"/>
          <w:b/>
          <w:i/>
          <w:sz w:val="24"/>
          <w:szCs w:val="24"/>
        </w:rPr>
      </w:pPr>
      <w:r w:rsidRPr="00AE47C6">
        <w:rPr>
          <w:rFonts w:ascii="Times New Roman" w:eastAsia="SimSun" w:hAnsi="Times New Roman"/>
          <w:sz w:val="24"/>
          <w:szCs w:val="24"/>
        </w:rPr>
        <w:t xml:space="preserve">При настъпване на нов пристъп трябва да се определи неговата тежест, с оглед преценка на необходимостта от провеждане на кортикостероиден курс. </w:t>
      </w:r>
    </w:p>
    <w:p w14:paraId="3B7C80E5"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num" w:pos="360"/>
        </w:tabs>
        <w:spacing w:after="0" w:line="360" w:lineRule="auto"/>
        <w:ind w:left="360" w:hanging="360"/>
        <w:jc w:val="both"/>
        <w:rPr>
          <w:rFonts w:ascii="Times New Roman" w:eastAsia="SimSun" w:hAnsi="Times New Roman"/>
          <w:b/>
          <w:i/>
          <w:sz w:val="24"/>
          <w:szCs w:val="24"/>
        </w:rPr>
      </w:pPr>
      <w:r w:rsidRPr="00AE47C6">
        <w:rPr>
          <w:rFonts w:ascii="Times New Roman" w:eastAsia="SimSun" w:hAnsi="Times New Roman"/>
          <w:sz w:val="24"/>
          <w:szCs w:val="24"/>
        </w:rPr>
        <w:t>Леките пристъпи не изискват лечение с кортикостероиди. Пациентът  се наблюдава, лекува се инфекцията, която предизвиква пристъпа, ако има такава и се прилагат нестероидни противовъзпалителни медикаменти за 1 – 2 седмичен период.</w:t>
      </w:r>
    </w:p>
    <w:p w14:paraId="3269ACE8"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num" w:pos="360"/>
        </w:tabs>
        <w:spacing w:after="0" w:line="360" w:lineRule="auto"/>
        <w:ind w:left="360" w:hanging="360"/>
        <w:jc w:val="both"/>
        <w:rPr>
          <w:rFonts w:ascii="Times New Roman" w:eastAsia="SimSun" w:hAnsi="Times New Roman"/>
          <w:i/>
          <w:sz w:val="24"/>
          <w:szCs w:val="24"/>
        </w:rPr>
      </w:pPr>
      <w:r w:rsidRPr="00AE47C6">
        <w:rPr>
          <w:rFonts w:ascii="Times New Roman" w:eastAsia="SimSun" w:hAnsi="Times New Roman"/>
          <w:sz w:val="24"/>
          <w:szCs w:val="24"/>
        </w:rPr>
        <w:t>Наличието на остро настъпили и изразени зрителни, двигателни и малкомозъчни симптоми, или нарушение на походката, са индикации за провеждане на кортикостероиден курс. В тези случаи трябва незабавно да се проведе кортикостероидно (приложение 4) и симптоматично лечение (приложение 5) в болнични условия, в зависимост от тежестта на пристъпа.</w:t>
      </w:r>
    </w:p>
    <w:p w14:paraId="1B1B0059"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num" w:pos="360"/>
        </w:tabs>
        <w:spacing w:after="0" w:line="360" w:lineRule="auto"/>
        <w:ind w:left="360" w:hanging="360"/>
        <w:jc w:val="both"/>
        <w:rPr>
          <w:rFonts w:ascii="Times New Roman" w:eastAsia="SimSun" w:hAnsi="Times New Roman"/>
          <w:b/>
          <w:i/>
          <w:sz w:val="24"/>
          <w:szCs w:val="24"/>
        </w:rPr>
      </w:pPr>
      <w:r w:rsidRPr="00AE47C6">
        <w:rPr>
          <w:rFonts w:ascii="Times New Roman" w:eastAsia="SimSun" w:hAnsi="Times New Roman"/>
          <w:sz w:val="24"/>
          <w:szCs w:val="24"/>
        </w:rPr>
        <w:t xml:space="preserve">Терапия на втора линия при липса на ефект от проведения кортикостероидния курс и тежък пристъп, е плазмафереза. </w:t>
      </w:r>
    </w:p>
    <w:p w14:paraId="75E9156B"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09E7A7D4"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i/>
          <w:sz w:val="24"/>
          <w:szCs w:val="24"/>
          <w:lang w:eastAsia="bg-BG"/>
        </w:rPr>
      </w:pPr>
      <w:r w:rsidRPr="00AE47C6">
        <w:rPr>
          <w:rFonts w:ascii="Times New Roman" w:eastAsia="SimSun" w:hAnsi="Times New Roman"/>
          <w:b/>
          <w:bCs/>
          <w:sz w:val="24"/>
          <w:szCs w:val="24"/>
          <w:lang w:eastAsia="bg-BG"/>
        </w:rPr>
        <w:t>Глюкокортикостероидите</w:t>
      </w:r>
      <w:r w:rsidRPr="00AE47C6">
        <w:rPr>
          <w:rFonts w:ascii="Times New Roman" w:eastAsia="SimSun" w:hAnsi="Times New Roman"/>
          <w:sz w:val="24"/>
          <w:szCs w:val="24"/>
          <w:lang w:eastAsia="bg-BG"/>
        </w:rPr>
        <w:t xml:space="preserve"> (ГКС) имат най-голяма ефективност за лечение на пристъпите. Те са средство на първа линия при лечение на пристъп, защото имат противовъзпалително, имуносупресивно и стабилизиращо кръвно-мозъчната бариера действие. Лечението води до намаляване на активираните Т-лимфоцити, като се намаляват повече Т-хелперите, отколкото Т-супресорите. Стабилизира се кръвно-мозъчната бариера и се повлиява каскадата от имунни процеси, водеща до демиелинизация. Курсовете с кортикостероиди не повлияват хода на болестта дори и при по-дълготрайна терапия с по-малки дози. Те само ускоряват възстановяването на неврологичните симптоми от пристъпа.</w:t>
      </w:r>
    </w:p>
    <w:p w14:paraId="171E3088"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i/>
          <w:sz w:val="24"/>
          <w:szCs w:val="24"/>
          <w:lang w:eastAsia="bg-BG"/>
        </w:rPr>
      </w:pPr>
      <w:r w:rsidRPr="00AE47C6">
        <w:rPr>
          <w:rFonts w:ascii="Times New Roman" w:eastAsia="SimSun" w:hAnsi="Times New Roman"/>
          <w:sz w:val="24"/>
          <w:szCs w:val="24"/>
          <w:lang w:eastAsia="bg-BG"/>
        </w:rPr>
        <w:t xml:space="preserve">Глюкокортикостероидите се различават по съотношението на глюкокортикоидната и нежелателната минералкортикоидна активност. </w:t>
      </w:r>
    </w:p>
    <w:p w14:paraId="7C3893F0"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i/>
          <w:sz w:val="24"/>
          <w:szCs w:val="24"/>
          <w:lang w:eastAsia="bg-BG"/>
        </w:rPr>
      </w:pPr>
      <w:r w:rsidRPr="00AE47C6">
        <w:rPr>
          <w:rFonts w:ascii="Times New Roman" w:eastAsia="SimSun" w:hAnsi="Times New Roman"/>
          <w:i/>
          <w:sz w:val="24"/>
          <w:szCs w:val="24"/>
          <w:lang w:eastAsia="bg-BG"/>
        </w:rPr>
        <w:t xml:space="preserve">Methylprednisolone </w:t>
      </w:r>
      <w:r w:rsidRPr="00AE47C6">
        <w:rPr>
          <w:rFonts w:ascii="Times New Roman" w:eastAsia="SimSun" w:hAnsi="Times New Roman"/>
          <w:sz w:val="24"/>
          <w:szCs w:val="24"/>
          <w:lang w:eastAsia="bg-BG"/>
        </w:rPr>
        <w:t>е медикамент на първа линия за лечение на пристъп, защото биологичният му полуживот е 18 – 36 часа, антивъзпалителният му ефект е много добър, има слабо минералкортикоидно действие и много добре прониква през кръвно-мозъчната бариера. Прилага се в дози от 500 до 1000 mg дневно (според тежестта на пристъпа) интравенозно в serum glucose за  3 до 5 дни, но при рефрактерни симптоми курсът може да се продължи до 10 дни. Не се препоръчва прилагането на по-ниски дози, които имат негативен ефект – често се получават рецидиви. Последва се от прилагане на снижаващи се дози, т.н. “опашка”, инжекционно или перорално. Снижаването на дозата става за 10-12 дни с по 10 – 20 mg през 3 дни, като се започва от 80 mg дневно. Прилагането на “опашка” предотвратява ново отваряне на кръвно-мозъчната бариера.</w:t>
      </w:r>
    </w:p>
    <w:p w14:paraId="219069C8"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i/>
          <w:sz w:val="24"/>
          <w:szCs w:val="24"/>
          <w:lang w:eastAsia="bg-BG"/>
        </w:rPr>
      </w:pPr>
      <w:r w:rsidRPr="00AE47C6">
        <w:rPr>
          <w:rFonts w:ascii="Times New Roman" w:eastAsia="SimSun" w:hAnsi="Times New Roman"/>
          <w:sz w:val="24"/>
          <w:szCs w:val="24"/>
          <w:lang w:eastAsia="bg-BG"/>
        </w:rPr>
        <w:t xml:space="preserve">Ако скоро (дни до седмици) след приключване на кортикостероидния курс се получи нов пристъп, необходимо е да се проведе втори по-кратък (3 дни) кортикостероиден курс. </w:t>
      </w:r>
    </w:p>
    <w:p w14:paraId="3C36E06B"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r w:rsidRPr="00AE47C6">
        <w:rPr>
          <w:rFonts w:ascii="Times New Roman" w:eastAsia="SimSun" w:hAnsi="Times New Roman"/>
          <w:sz w:val="24"/>
          <w:szCs w:val="24"/>
          <w:lang w:eastAsia="bg-BG"/>
        </w:rPr>
        <w:t>При пациенти с прогресиращо развитие на симптомите в рамките на 8 до 12 седмици също може да се приложи кортикостероиден курс, но той ще бъде по-малко ефективен.</w:t>
      </w:r>
    </w:p>
    <w:p w14:paraId="204C3CA5"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r w:rsidRPr="00AE47C6">
        <w:rPr>
          <w:rFonts w:ascii="Times New Roman" w:eastAsia="SimSun" w:hAnsi="Times New Roman"/>
          <w:sz w:val="24"/>
          <w:szCs w:val="24"/>
          <w:lang w:eastAsia="bg-BG"/>
        </w:rPr>
        <w:t>В детска възраст се прилага methylprednisolone 20 до 30 mg/kg/дневно интравенозно, в единична доза 0,2 до 0,5 g (максимално 1 g) дневно в солеви разтвор, бавно в продължение на 2 часа. Кортикостероидното лечение продължава 4 до 6 дни. При пълно възстановяване лечението се преустановява, при непълно дозата се понижава постепенно при орален прием през 2-3 дни.</w:t>
      </w:r>
    </w:p>
    <w:p w14:paraId="27BF3C44"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i/>
          <w:sz w:val="24"/>
          <w:szCs w:val="24"/>
          <w:lang w:eastAsia="bg-BG"/>
        </w:rPr>
      </w:pPr>
      <w:r w:rsidRPr="00AE47C6">
        <w:rPr>
          <w:rFonts w:ascii="Times New Roman" w:eastAsia="SimSun" w:hAnsi="Times New Roman"/>
          <w:sz w:val="24"/>
          <w:szCs w:val="24"/>
          <w:lang w:eastAsia="bg-BG"/>
        </w:rPr>
        <w:t>Страничните ефекти от кортикостероидното лечение включват стомашно-чревни оплаквания, язва, артериална хипертония, ритъмни сърдечни нарушения, захарен диабет, различни инфекции, остеопороза, акне, тромбози, мании, депресии и др. За избягване на гастро-интестиналните странични ефекти е необходима стомашна протекция с H</w:t>
      </w:r>
      <w:r w:rsidRPr="00AE47C6">
        <w:rPr>
          <w:rFonts w:ascii="Times New Roman" w:eastAsia="SimSun" w:hAnsi="Times New Roman"/>
          <w:sz w:val="24"/>
          <w:szCs w:val="24"/>
          <w:vertAlign w:val="subscript"/>
          <w:lang w:eastAsia="bg-BG"/>
        </w:rPr>
        <w:t>2</w:t>
      </w:r>
      <w:r w:rsidRPr="00AE47C6">
        <w:rPr>
          <w:rFonts w:ascii="Times New Roman" w:eastAsia="SimSun" w:hAnsi="Times New Roman"/>
          <w:sz w:val="24"/>
          <w:szCs w:val="24"/>
          <w:lang w:eastAsia="bg-BG"/>
        </w:rPr>
        <w:t xml:space="preserve"> рецепторни блокери (Ranitidine 300 mg дн. на два приема и др.). Кръвното налягане може да се контролира по време на лечението с промяна на дозата на антихипертензивните медикаменти (ако пациентът е хипертоник) или с диуретици и бета блокери. След завършване на кортикостероидния курс кръвното налягане се нормализира. Появата на мания, депресия или остра психоза изискват спиране на кортикостероидното лечение и своевременно прилагане на съответното лечение (анксиолитици, невролептици, транквилизатори, антидепресанти). </w:t>
      </w:r>
    </w:p>
    <w:p w14:paraId="6E77CAA0"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i/>
          <w:sz w:val="24"/>
          <w:szCs w:val="24"/>
          <w:lang w:eastAsia="bg-BG"/>
        </w:rPr>
      </w:pPr>
      <w:r w:rsidRPr="00AE47C6">
        <w:rPr>
          <w:rFonts w:ascii="Times New Roman" w:eastAsia="SimSun" w:hAnsi="Times New Roman"/>
          <w:sz w:val="24"/>
          <w:szCs w:val="24"/>
          <w:lang w:eastAsia="bg-BG"/>
        </w:rPr>
        <w:t xml:space="preserve">Не се препоръчва за лечение на пристъп да се използват АСТH (синтетични аналози Cortrosin, Synacthen), който има сходни с ГКС механизми на действие. Ефектът от лечението настъпва по-бавно при прилагане на АСТH (след 1 месец), отколкото на Methylprednisolone (след 1 седмица). Освен това АСТH дава повече странични ефекти, вкл. алергии, като спирането му не ги отстранява, защото има последействие. </w:t>
      </w:r>
    </w:p>
    <w:p w14:paraId="04A558BC"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i/>
          <w:sz w:val="24"/>
          <w:szCs w:val="24"/>
          <w:lang w:eastAsia="bg-BG"/>
        </w:rPr>
      </w:pPr>
      <w:r w:rsidRPr="00AE47C6">
        <w:rPr>
          <w:rFonts w:ascii="Times New Roman" w:eastAsia="SimSun" w:hAnsi="Times New Roman"/>
          <w:b/>
          <w:bCs/>
          <w:sz w:val="24"/>
          <w:szCs w:val="24"/>
          <w:lang w:eastAsia="bg-BG"/>
        </w:rPr>
        <w:t>Плазмаферезата</w:t>
      </w:r>
      <w:r w:rsidRPr="00AE47C6">
        <w:rPr>
          <w:rFonts w:ascii="Times New Roman" w:eastAsia="SimSun" w:hAnsi="Times New Roman"/>
          <w:sz w:val="24"/>
          <w:szCs w:val="24"/>
          <w:lang w:eastAsia="bg-BG"/>
        </w:rPr>
        <w:t xml:space="preserve"> e процедура, при която плазмата на пациента се отделя и отстранява от цялата кръв. Отстраненият обем плазма се замества със заместителен разтвор в съотношение 1:1. Може да се използва скоро след остър и тежък пристъп, с непълно възстановяване на неврологичните симптоми от приложените кортикостероиди. Прилагат се 7 процедури през 1 – 2 дни, като при всяка процедура 54 ml/kg плазма се заместват със смес от 5% албумин и физиологичен разтвор. Страничните ефекти са артериална хипотония, септицемия, бронхопневмония, нарушено кръвосъсирване, усложнения от централния венозен път и хипокалциемия.</w:t>
      </w:r>
    </w:p>
    <w:p w14:paraId="5649DA78"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i/>
          <w:sz w:val="24"/>
          <w:szCs w:val="24"/>
          <w:lang w:eastAsia="bg-BG"/>
        </w:rPr>
      </w:pPr>
      <w:r w:rsidRPr="00AE47C6">
        <w:rPr>
          <w:rFonts w:ascii="Times New Roman" w:eastAsia="SimSun" w:hAnsi="Times New Roman"/>
          <w:b/>
          <w:bCs/>
          <w:sz w:val="24"/>
          <w:szCs w:val="24"/>
          <w:lang w:eastAsia="bg-BG"/>
        </w:rPr>
        <w:t>Лечението модифициращо хода на множествената склероза</w:t>
      </w:r>
      <w:r w:rsidRPr="00AE47C6">
        <w:rPr>
          <w:rFonts w:ascii="Times New Roman" w:eastAsia="SimSun" w:hAnsi="Times New Roman"/>
          <w:sz w:val="24"/>
          <w:szCs w:val="24"/>
          <w:lang w:eastAsia="bg-BG"/>
        </w:rPr>
        <w:t xml:space="preserve"> се прилага извън пристъп, за да намали клиничната и субклинична активност на болестта, която допринася за дългосрочната инвалидизация. Определя се от формата на заболяването и неговата активност. До този момент повечето медикаменти от тази група се прилагат при пристъпно-ремитентен ход на заболяването. При болни с вторично-прогредиентен ход на множествената склероза, клинична ефективност е доказана само за интерферон бета-1в и </w:t>
      </w:r>
      <w:r w:rsidRPr="00AE47C6">
        <w:rPr>
          <w:rFonts w:ascii="Times New Roman" w:eastAsia="SimSun" w:hAnsi="Times New Roman"/>
          <w:snapToGrid w:val="0"/>
          <w:sz w:val="24"/>
          <w:szCs w:val="24"/>
          <w:lang w:eastAsia="bg-BG"/>
        </w:rPr>
        <w:t>siponimod</w:t>
      </w:r>
      <w:r w:rsidRPr="00AE47C6">
        <w:rPr>
          <w:rFonts w:ascii="Times New Roman" w:eastAsia="SimSun" w:hAnsi="Times New Roman"/>
          <w:sz w:val="24"/>
          <w:szCs w:val="24"/>
          <w:lang w:eastAsia="bg-BG"/>
        </w:rPr>
        <w:t>. При пациенти с първично-прогредиентен ход на множествена склероза клинична ефективност е доказана само за ocrelizumab.</w:t>
      </w:r>
    </w:p>
    <w:p w14:paraId="6A4F13F2"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i/>
          <w:sz w:val="24"/>
          <w:szCs w:val="24"/>
          <w:lang w:eastAsia="bg-BG"/>
        </w:rPr>
      </w:pPr>
      <w:r w:rsidRPr="00AE47C6">
        <w:rPr>
          <w:rFonts w:ascii="Times New Roman" w:eastAsia="SimSun" w:hAnsi="Times New Roman"/>
          <w:b/>
          <w:bCs/>
          <w:sz w:val="24"/>
          <w:szCs w:val="24"/>
          <w:lang w:eastAsia="bg-BG"/>
        </w:rPr>
        <w:t>Лечението при пациенти с пристъпно-ремитентен ход</w:t>
      </w:r>
      <w:r w:rsidRPr="00AE47C6">
        <w:rPr>
          <w:rFonts w:ascii="Times New Roman" w:eastAsia="SimSun" w:hAnsi="Times New Roman"/>
          <w:sz w:val="24"/>
          <w:szCs w:val="24"/>
          <w:lang w:eastAsia="bg-BG"/>
        </w:rPr>
        <w:t xml:space="preserve"> на заболяването се започва с медикаменти от първа линия: бетаинтерферон β-1a  и β-1b, синтетичния кополимер glatiramer acetate, dimethyl fumarate, </w:t>
      </w:r>
      <w:r w:rsidRPr="00AE47C6">
        <w:rPr>
          <w:rFonts w:ascii="Times New Roman" w:eastAsia="SimSun" w:hAnsi="Times New Roman"/>
          <w:iCs/>
          <w:noProof/>
          <w:sz w:val="24"/>
          <w:szCs w:val="24"/>
          <w:lang w:eastAsia="bg-BG"/>
        </w:rPr>
        <w:t>diroximel fumarate</w:t>
      </w:r>
      <w:r w:rsidRPr="00AE47C6">
        <w:rPr>
          <w:rFonts w:ascii="Times New Roman" w:eastAsia="SimSun" w:hAnsi="Times New Roman"/>
          <w:sz w:val="24"/>
          <w:szCs w:val="24"/>
          <w:lang w:eastAsia="bg-BG"/>
        </w:rPr>
        <w:t xml:space="preserve"> и teriflunomide. </w:t>
      </w:r>
    </w:p>
    <w:p w14:paraId="76BD0965"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i/>
          <w:sz w:val="24"/>
          <w:szCs w:val="24"/>
          <w:lang w:eastAsia="bg-BG"/>
        </w:rPr>
      </w:pPr>
      <w:r w:rsidRPr="00AE47C6">
        <w:rPr>
          <w:rFonts w:ascii="Times New Roman" w:eastAsia="SimSun" w:hAnsi="Times New Roman"/>
          <w:b/>
          <w:bCs/>
          <w:sz w:val="24"/>
          <w:szCs w:val="24"/>
          <w:lang w:eastAsia="bg-BG"/>
        </w:rPr>
        <w:t>Интерферон бета</w:t>
      </w:r>
      <w:r w:rsidRPr="00AE47C6">
        <w:rPr>
          <w:rFonts w:ascii="Times New Roman" w:eastAsia="SimSun" w:hAnsi="Times New Roman"/>
          <w:sz w:val="24"/>
          <w:szCs w:val="24"/>
          <w:lang w:eastAsia="bg-BG"/>
        </w:rPr>
        <w:t xml:space="preserve"> е 166-амино киселинен глюкопротеин, който се произвежда от фибробластите и някои други клетки в отговор на вирусни инфекции. Натурален бета интерферон се получава от човешки фибробластни клетки, но за получаването му в големи количества е необходимо използването на рекомбинантни ДНК технологии. От човешкия интерферон бета чрез генно инженерство са създадени две рекомбинантни молекули. Интерферон бета-1а от овариални клетки на китайски хамстер е глюкозилиран и по-близък до човешкия интерферон бета. Интерферон бета-1в се продуцира от бактериите E. coli и съдържа мутация на аминокиселината на позиция 17, липсва метионин в азотния терминал на аминокиселинната верига, освен това аспаргиновият остатък на позиция 80 не е глюкозилиран. Тези промени са внесени с оглед стабилизирането на молекулата и не оказват влияние върху неговата функция. Двата продукта имат еднакви физични и химични свойства, еднаква фармакодинамика и фармакокинетика.  </w:t>
      </w:r>
    </w:p>
    <w:p w14:paraId="4D1E69C4"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i/>
          <w:sz w:val="24"/>
          <w:szCs w:val="24"/>
          <w:lang w:eastAsia="bg-BG"/>
        </w:rPr>
      </w:pPr>
      <w:r w:rsidRPr="00AE47C6">
        <w:rPr>
          <w:rFonts w:ascii="Times New Roman" w:eastAsia="SimSun" w:hAnsi="Times New Roman"/>
          <w:sz w:val="24"/>
          <w:szCs w:val="24"/>
          <w:lang w:eastAsia="bg-BG"/>
        </w:rPr>
        <w:t>Интерферон бета при множествена склероза потиска активацията и пролиферацията на патологично автореактивните Т клетки и тяхната миграция през кръвно-мозъчната бариера към ЦНС, където увреждат миелина и олигодендроглията. Стимулира продукцията на противовъзпалителния цитокин интерлевкин-10 и потиска синтеза на интерферон гама, който засилва имунните  реакции. Клиничното подобрение започва след 2 до 12 месеца, а ефектът от прилагането на интерфероните продължава до 6 месеца след тяхното спиране.</w:t>
      </w:r>
    </w:p>
    <w:p w14:paraId="22CC6AA2"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i/>
          <w:sz w:val="24"/>
          <w:szCs w:val="24"/>
          <w:lang w:eastAsia="bg-BG"/>
        </w:rPr>
      </w:pPr>
      <w:r w:rsidRPr="00AE47C6">
        <w:rPr>
          <w:rFonts w:ascii="Times New Roman" w:eastAsia="SimSun" w:hAnsi="Times New Roman"/>
          <w:b/>
          <w:bCs/>
          <w:sz w:val="24"/>
          <w:szCs w:val="24"/>
          <w:lang w:eastAsia="bg-BG"/>
        </w:rPr>
        <w:t>Интерферон бета-1в</w:t>
      </w:r>
      <w:r w:rsidRPr="00AE47C6">
        <w:rPr>
          <w:rFonts w:ascii="Times New Roman" w:eastAsia="SimSun" w:hAnsi="Times New Roman"/>
          <w:sz w:val="24"/>
          <w:szCs w:val="24"/>
          <w:lang w:eastAsia="bg-BG"/>
        </w:rPr>
        <w:t xml:space="preserve"> е първият интерферон одобрен за лечение на множествената склероза през 1993 г. в САЩ и през 1995 г. в Европа. Прилага се подкожно през ден в доза 250 μg, което се равнява на 8 милиона международни единици (IU). </w:t>
      </w:r>
    </w:p>
    <w:p w14:paraId="172387F2"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i/>
          <w:sz w:val="24"/>
          <w:szCs w:val="24"/>
          <w:lang w:eastAsia="bg-BG"/>
        </w:rPr>
      </w:pPr>
      <w:r w:rsidRPr="00AE47C6">
        <w:rPr>
          <w:rFonts w:ascii="Times New Roman" w:eastAsia="SimSun" w:hAnsi="Times New Roman"/>
          <w:b/>
          <w:bCs/>
          <w:sz w:val="24"/>
          <w:szCs w:val="24"/>
          <w:lang w:eastAsia="bg-BG"/>
        </w:rPr>
        <w:t>Интерферон бета-1а</w:t>
      </w:r>
      <w:r w:rsidRPr="00AE47C6">
        <w:rPr>
          <w:rFonts w:ascii="Times New Roman" w:eastAsia="SimSun" w:hAnsi="Times New Roman"/>
          <w:sz w:val="24"/>
          <w:szCs w:val="24"/>
          <w:lang w:eastAsia="bg-BG"/>
        </w:rPr>
        <w:t xml:space="preserve"> се произвежда в две форми. </w:t>
      </w:r>
    </w:p>
    <w:p w14:paraId="49230024"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i/>
          <w:sz w:val="24"/>
          <w:szCs w:val="24"/>
          <w:lang w:eastAsia="bg-BG"/>
        </w:rPr>
      </w:pPr>
      <w:r w:rsidRPr="00AE47C6">
        <w:rPr>
          <w:rFonts w:ascii="Times New Roman" w:eastAsia="SimSun" w:hAnsi="Times New Roman"/>
          <w:sz w:val="24"/>
          <w:szCs w:val="24"/>
          <w:lang w:eastAsia="bg-BG"/>
        </w:rPr>
        <w:t xml:space="preserve">Формата за </w:t>
      </w:r>
      <w:r w:rsidRPr="00AE47C6">
        <w:rPr>
          <w:rFonts w:ascii="Times New Roman" w:eastAsia="SimSun" w:hAnsi="Times New Roman"/>
          <w:b/>
          <w:bCs/>
          <w:sz w:val="24"/>
          <w:szCs w:val="24"/>
          <w:lang w:eastAsia="bg-BG"/>
        </w:rPr>
        <w:t>интрамускулно приложение</w:t>
      </w:r>
      <w:r w:rsidRPr="00AE47C6">
        <w:rPr>
          <w:rFonts w:ascii="Times New Roman" w:eastAsia="SimSun" w:hAnsi="Times New Roman"/>
          <w:sz w:val="24"/>
          <w:szCs w:val="24"/>
          <w:lang w:eastAsia="bg-BG"/>
        </w:rPr>
        <w:t xml:space="preserve"> се прилага веднъж седмично по 6 милиона IU (30 μg). </w:t>
      </w:r>
    </w:p>
    <w:p w14:paraId="5EC94BE1"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i/>
          <w:sz w:val="24"/>
          <w:szCs w:val="24"/>
          <w:lang w:eastAsia="bg-BG"/>
        </w:rPr>
      </w:pPr>
      <w:r w:rsidRPr="00AE47C6">
        <w:rPr>
          <w:rFonts w:ascii="Times New Roman" w:eastAsia="SimSun" w:hAnsi="Times New Roman"/>
          <w:sz w:val="24"/>
          <w:szCs w:val="24"/>
          <w:lang w:eastAsia="bg-BG"/>
        </w:rPr>
        <w:t xml:space="preserve">Формата за </w:t>
      </w:r>
      <w:r w:rsidRPr="00AE47C6">
        <w:rPr>
          <w:rFonts w:ascii="Times New Roman" w:eastAsia="SimSun" w:hAnsi="Times New Roman"/>
          <w:b/>
          <w:bCs/>
          <w:sz w:val="24"/>
          <w:szCs w:val="24"/>
          <w:lang w:eastAsia="bg-BG"/>
        </w:rPr>
        <w:t>подкожно</w:t>
      </w:r>
      <w:r w:rsidRPr="00AE47C6">
        <w:rPr>
          <w:rFonts w:ascii="Times New Roman" w:eastAsia="SimSun" w:hAnsi="Times New Roman"/>
          <w:sz w:val="24"/>
          <w:szCs w:val="24"/>
          <w:lang w:eastAsia="bg-BG"/>
        </w:rPr>
        <w:t xml:space="preserve"> приложение се прилага 3 пъти седмично по 12 милиона IU (44 μg). </w:t>
      </w:r>
    </w:p>
    <w:p w14:paraId="6B70D8AB"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i/>
          <w:sz w:val="24"/>
          <w:szCs w:val="24"/>
          <w:lang w:eastAsia="bg-BG"/>
        </w:rPr>
      </w:pPr>
      <w:r w:rsidRPr="00AE47C6">
        <w:rPr>
          <w:rFonts w:ascii="Times New Roman" w:eastAsia="SimSun" w:hAnsi="Times New Roman"/>
          <w:sz w:val="24"/>
          <w:szCs w:val="24"/>
          <w:lang w:eastAsia="bg-BG"/>
        </w:rPr>
        <w:t xml:space="preserve">С всеки един от трите препарата са публикувани клинични проучвания, доказващи безспорно тяхната клинична ефективност. Намаляват честотата и тежестта на пристъпите, което се подкрепя и от данните от МРТ. Клиничната ефективност при болни с пристъпно-ремитентна форма на МС е доказана за първи път с интерферон бета-1в през 1993 година. Той намалява с 30% годишната честота на пристъпите, като 31% от болните не получават пристъпи през първите 2 години, времето до първият пристъп нараства двойно, тежестта на пристъпите намалява и броя на средно тежките и тежките пристъпи намалява с 50%. Удължава се времето за нарастване на инвалидността, намалява броят на хоспитализираните болни и на тези, при които се налага лечение с кортикостероиди. МРТ показва намаляване на броя на новите лезии за една година със 75%. Останалите бета интерферони показват сходни резултати. </w:t>
      </w:r>
    </w:p>
    <w:p w14:paraId="63350178"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bCs/>
          <w:i/>
          <w:sz w:val="24"/>
          <w:szCs w:val="24"/>
        </w:rPr>
        <w:t xml:space="preserve">Пегилираният </w:t>
      </w:r>
      <w:r w:rsidRPr="00AE47C6">
        <w:rPr>
          <w:rFonts w:ascii="Times New Roman" w:eastAsia="SimSun" w:hAnsi="Times New Roman"/>
          <w:b/>
          <w:i/>
          <w:sz w:val="24"/>
          <w:szCs w:val="24"/>
        </w:rPr>
        <w:t xml:space="preserve">интерферон бета-1а за подкожно приложение </w:t>
      </w:r>
      <w:r w:rsidRPr="00AE47C6">
        <w:rPr>
          <w:rFonts w:ascii="Times New Roman" w:eastAsia="SimSun" w:hAnsi="Times New Roman"/>
          <w:sz w:val="24"/>
          <w:szCs w:val="24"/>
        </w:rPr>
        <w:t xml:space="preserve">е одобрен от FDA и EMA през 2014 година за лечение на пациенти с пристъпно-ремитентна форма на множествена склероза. Прилага се в доза </w:t>
      </w:r>
      <w:r w:rsidRPr="00AE47C6">
        <w:rPr>
          <w:rFonts w:ascii="Times New Roman" w:eastAsia="SimSun" w:hAnsi="Times New Roman"/>
          <w:bCs/>
          <w:sz w:val="24"/>
          <w:szCs w:val="24"/>
        </w:rPr>
        <w:t>125</w:t>
      </w:r>
      <w:r w:rsidRPr="00AE47C6">
        <w:rPr>
          <w:rFonts w:ascii="Times New Roman" w:eastAsia="SimSun" w:hAnsi="Times New Roman"/>
          <w:sz w:val="24"/>
          <w:szCs w:val="24"/>
        </w:rPr>
        <w:t>μg</w:t>
      </w:r>
      <w:r w:rsidRPr="00AE47C6">
        <w:rPr>
          <w:rFonts w:ascii="Times New Roman" w:eastAsia="SimSun" w:hAnsi="Times New Roman"/>
          <w:bCs/>
          <w:sz w:val="24"/>
          <w:szCs w:val="24"/>
        </w:rPr>
        <w:t xml:space="preserve"> на всеки 2 седмици. Първата апликация е 63 </w:t>
      </w:r>
      <w:r w:rsidRPr="00AE47C6">
        <w:rPr>
          <w:rFonts w:ascii="Times New Roman" w:eastAsia="SimSun" w:hAnsi="Times New Roman"/>
          <w:sz w:val="24"/>
          <w:szCs w:val="24"/>
        </w:rPr>
        <w:t>μg,</w:t>
      </w:r>
      <w:r w:rsidRPr="00AE47C6">
        <w:rPr>
          <w:rFonts w:ascii="Times New Roman" w:eastAsia="SimSun" w:hAnsi="Times New Roman"/>
          <w:bCs/>
          <w:sz w:val="24"/>
          <w:szCs w:val="24"/>
        </w:rPr>
        <w:t xml:space="preserve"> втората - 94 </w:t>
      </w:r>
      <w:r w:rsidRPr="00AE47C6">
        <w:rPr>
          <w:rFonts w:ascii="Times New Roman" w:eastAsia="SimSun" w:hAnsi="Times New Roman"/>
          <w:sz w:val="24"/>
          <w:szCs w:val="24"/>
        </w:rPr>
        <w:t xml:space="preserve">μg и при третата се поставя пълната доза. </w:t>
      </w:r>
      <w:r w:rsidRPr="00AE47C6">
        <w:rPr>
          <w:rFonts w:ascii="Times New Roman" w:eastAsia="SimSun" w:hAnsi="Times New Roman"/>
          <w:bCs/>
          <w:sz w:val="24"/>
          <w:szCs w:val="24"/>
        </w:rPr>
        <w:t xml:space="preserve">В резултат от удълженото време на резорбция се удължава полуживота, стабилността и активността, и се намаляват интервалите на прием. Намаляват клирънса и имуногенността, без да се променя безопасността и поносимостта на медикамента. </w:t>
      </w:r>
    </w:p>
    <w:p w14:paraId="0386416C"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sz w:val="24"/>
          <w:szCs w:val="24"/>
        </w:rPr>
        <w:t xml:space="preserve">Клиничните проучвания показват </w:t>
      </w:r>
      <w:r w:rsidRPr="00AE47C6">
        <w:rPr>
          <w:rFonts w:ascii="Times New Roman" w:eastAsia="SimSun" w:hAnsi="Times New Roman"/>
          <w:bCs/>
          <w:sz w:val="24"/>
          <w:szCs w:val="24"/>
        </w:rPr>
        <w:t>намаление на годишната честота на пристъпите с до 36% и намаляване на прогресията на инвалидизиране с до 38%. Намалява с до 67% на появата на нови или увеличени Т</w:t>
      </w:r>
      <w:r w:rsidRPr="00AE47C6">
        <w:rPr>
          <w:rFonts w:ascii="Times New Roman" w:eastAsia="SimSun" w:hAnsi="Times New Roman"/>
          <w:bCs/>
          <w:sz w:val="24"/>
          <w:szCs w:val="24"/>
          <w:vertAlign w:val="subscript"/>
        </w:rPr>
        <w:t>2</w:t>
      </w:r>
      <w:r w:rsidRPr="00AE47C6">
        <w:rPr>
          <w:rFonts w:ascii="Times New Roman" w:eastAsia="SimSun" w:hAnsi="Times New Roman"/>
          <w:bCs/>
          <w:sz w:val="24"/>
          <w:szCs w:val="24"/>
        </w:rPr>
        <w:t xml:space="preserve"> лезии, с до 53 % на нови хипоинтензни Т</w:t>
      </w:r>
      <w:r w:rsidRPr="00AE47C6">
        <w:rPr>
          <w:rFonts w:ascii="Times New Roman" w:eastAsia="SimSun" w:hAnsi="Times New Roman"/>
          <w:bCs/>
          <w:sz w:val="24"/>
          <w:szCs w:val="24"/>
          <w:vertAlign w:val="subscript"/>
        </w:rPr>
        <w:t>1</w:t>
      </w:r>
      <w:r w:rsidRPr="00AE47C6">
        <w:rPr>
          <w:rFonts w:ascii="Times New Roman" w:eastAsia="SimSun" w:hAnsi="Times New Roman"/>
          <w:bCs/>
          <w:sz w:val="24"/>
          <w:szCs w:val="24"/>
        </w:rPr>
        <w:t xml:space="preserve"> лезии и с до 86% на появата на Gd+ Т</w:t>
      </w:r>
      <w:r w:rsidRPr="00AE47C6">
        <w:rPr>
          <w:rFonts w:ascii="Times New Roman" w:eastAsia="SimSun" w:hAnsi="Times New Roman"/>
          <w:bCs/>
          <w:sz w:val="24"/>
          <w:szCs w:val="24"/>
          <w:vertAlign w:val="subscript"/>
        </w:rPr>
        <w:t>1</w:t>
      </w:r>
      <w:r w:rsidRPr="00AE47C6">
        <w:rPr>
          <w:rFonts w:ascii="Times New Roman" w:eastAsia="SimSun" w:hAnsi="Times New Roman"/>
          <w:bCs/>
          <w:sz w:val="24"/>
          <w:szCs w:val="24"/>
        </w:rPr>
        <w:t xml:space="preserve"> лезии.</w:t>
      </w:r>
    </w:p>
    <w:p w14:paraId="5088842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Страничните ефекти </w:t>
      </w:r>
      <w:r w:rsidRPr="00AE47C6">
        <w:rPr>
          <w:rFonts w:ascii="Times New Roman" w:eastAsia="SimSun" w:hAnsi="Times New Roman"/>
          <w:sz w:val="24"/>
          <w:szCs w:val="24"/>
        </w:rPr>
        <w:t xml:space="preserve">от лечението с интерферон бета включват локални кожни реакции, симптоми наподобяващи простудно заболяване и рядко умора, влошаване на депресията, астения, главоболие, повишаване на нивото на трансаминазите, цитопения, тиреоидни абнормности. Нежеланите лекарствени реакции при подкожно приложение на пегилирания интерферон бета-1а не се различават от тези при стандартните форми. Симптомите наподобяващи простудно заболяване: температура, треска и миалгия, са най-изразени през първите 24 часа след прилагане на първата доза и изчезват за 6 – 7 дни. По-изразени са при прилагането на интерферон бета-1в, поради по-честите апликации. Те се повлияват много добре от прилагане на нестероидни противовъзпалителни медикаменти (ibuprofen, Acetylsalicylic acid) едновременно със започване на лечението. Локалните кожни реакции се редуцират чрез обучение на болния или сестрите, които аплицират медикамента в добра техника на инжектиране и инжектиране в различни области на тялото по схема. </w:t>
      </w:r>
    </w:p>
    <w:p w14:paraId="2041D32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Биологична активност</w:t>
      </w:r>
      <w:r w:rsidRPr="00AE47C6">
        <w:rPr>
          <w:rFonts w:ascii="Times New Roman" w:eastAsia="SimSun" w:hAnsi="Times New Roman"/>
          <w:sz w:val="24"/>
          <w:szCs w:val="24"/>
        </w:rPr>
        <w:t xml:space="preserve"> на интерферон бета-1в е значително по-изразена и постоянна, отколкото при прилагане на интерферон бета-1а интрамускулно, веднъж седмично. Биологичната активност на интерферон бета-1в е най-висока, следвана от тази на интерферон бета-1а за подкожно приложение и е най-слабо изразена за интерферон бета-1а за интрамускулно приложение. Слабата биологична активност на интерферон бета-1а за интрамускулно приложение се дължи на по-малката седмична доза. Биологичната активност на пегилирания интерферон бета-1а е значително повишена и по-равномерна във времето в сравнение с обикновената форма. </w:t>
      </w:r>
    </w:p>
    <w:p w14:paraId="184E985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Клиничната ефективност</w:t>
      </w:r>
      <w:r w:rsidRPr="00AE47C6">
        <w:rPr>
          <w:rFonts w:ascii="Times New Roman" w:eastAsia="SimSun" w:hAnsi="Times New Roman"/>
          <w:sz w:val="24"/>
          <w:szCs w:val="24"/>
        </w:rPr>
        <w:t xml:space="preserve"> на трите вида бета интерферони също е различна, поради различията в прилаганата доза. По-редките апликации са по-удобни и имат по-малко странични ефекти, но клиничната им ефективност е по-слаба. Годишната честота на пристъпите, тежките пристъпи и болничният престой намаляват най-много, а времето до първия пристъп е най-дълго при групата болни лекувани с интерферон бета-1в. Клиничната ефективност на пегилирания интерферон бета-1а е по-висока от тази на интерферон бета-1а за интрамускулно приложение и сходна на ефективността на интерферон бета-1в и бета-1а за подкожно приложение.</w:t>
      </w:r>
    </w:p>
    <w:p w14:paraId="1A36661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Четирите препарата интерферон бета не са взаимнозаменяеми и при болни с агресивен ход на заболяването и бърза прогресия се предпочита прилагането на интерферон бета-1в или на пегилирания интерферон бета-1а. </w:t>
      </w:r>
    </w:p>
    <w:p w14:paraId="33F86F0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Неутрализиращи антитела се образуват при 10 до 35% от болните лекувани с интерферон бета след 1 година, което води до намаляване на клиничната ефективност.  Най-често те се намират при интерферон бета-1в поради по-честите апликации. Най-силно имуногенен e интерферон бета-1в (35%), по-слабо интерферон бета-1а за подкожно приложение (15 до 23%) и най-слабо имуногенен е интерферон бета-1а за интрамускулно приложение (2 до 5%). Само 1-3% от пациентите лекувани с пегилиран интерферон бета</w:t>
      </w:r>
      <w:r w:rsidRPr="00AE47C6">
        <w:rPr>
          <w:rFonts w:ascii="Times New Roman" w:eastAsia="SimSun" w:hAnsi="Times New Roman"/>
          <w:sz w:val="24"/>
          <w:szCs w:val="24"/>
        </w:rPr>
        <w:noBreakHyphen/>
        <w:t xml:space="preserve">1a развиват персистиращи неутрализиращи антитела. След известно време неутрализиращите антитела могат да изчезнат и клиничната ефективност от прилагането на медикамента да се възстанови. </w:t>
      </w:r>
    </w:p>
    <w:p w14:paraId="5CC943FA" w14:textId="77777777" w:rsidR="00BE0B19" w:rsidRPr="00AE47C6" w:rsidRDefault="00BE0B19" w:rsidP="00BE0B19">
      <w:pPr>
        <w:spacing w:after="0" w:line="360" w:lineRule="auto"/>
        <w:ind w:firstLine="720"/>
        <w:jc w:val="both"/>
        <w:rPr>
          <w:rFonts w:ascii="Times New Roman" w:eastAsia="SimSun" w:hAnsi="Times New Roman"/>
          <w:snapToGrid w:val="0"/>
          <w:sz w:val="24"/>
          <w:szCs w:val="24"/>
        </w:rPr>
      </w:pPr>
      <w:r w:rsidRPr="00AE47C6">
        <w:rPr>
          <w:rFonts w:ascii="Times New Roman" w:eastAsia="SimSun" w:hAnsi="Times New Roman"/>
          <w:sz w:val="24"/>
          <w:szCs w:val="24"/>
        </w:rPr>
        <w:t xml:space="preserve">Когато няма възможност да бъдат изследвани </w:t>
      </w:r>
      <w:r w:rsidRPr="00AE47C6">
        <w:rPr>
          <w:rFonts w:ascii="Times New Roman" w:eastAsia="SimSun" w:hAnsi="Times New Roman"/>
          <w:snapToGrid w:val="0"/>
          <w:sz w:val="24"/>
          <w:szCs w:val="24"/>
        </w:rPr>
        <w:t xml:space="preserve">неутрализиращите антитела </w:t>
      </w:r>
      <w:r w:rsidRPr="00AE47C6">
        <w:rPr>
          <w:rFonts w:ascii="Times New Roman" w:eastAsia="SimSun" w:hAnsi="Times New Roman"/>
          <w:sz w:val="24"/>
          <w:szCs w:val="24"/>
        </w:rPr>
        <w:t>промяната на терапията трябва да става въз основа на клиничните показатели. Появата на антитела към един от</w:t>
      </w:r>
      <w:r w:rsidRPr="00AE47C6">
        <w:rPr>
          <w:rFonts w:ascii="Times New Roman" w:eastAsia="SimSun" w:hAnsi="Times New Roman"/>
          <w:snapToGrid w:val="0"/>
          <w:sz w:val="24"/>
          <w:szCs w:val="24"/>
        </w:rPr>
        <w:t xml:space="preserve"> бета интерфероните означава, че няма смисъл от преминаването към друг интерферон, защото са налице кръстосани реакции между интерферон β-1a и β-1b. Такива кръстосани реакции обаче не се наблюдават към другите медикаменти, което означава, че при загуба на клиничната ефективност от прилагане на интерферони може да се премине към друг медикамент. </w:t>
      </w:r>
    </w:p>
    <w:p w14:paraId="3041AA2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Glatiramer acetate </w:t>
      </w:r>
      <w:r w:rsidRPr="00AE47C6">
        <w:rPr>
          <w:rFonts w:ascii="Times New Roman" w:eastAsia="SimSun" w:hAnsi="Times New Roman"/>
          <w:sz w:val="24"/>
          <w:szCs w:val="24"/>
        </w:rPr>
        <w:t xml:space="preserve">20 mg/ml се прилага ежедневно подкожно. Представлява молекула съставена от синтетични полипептиди, съдържащи четири аминокиселини: L-glutamine, L-lysine, L-alanine и L-tyrosine във фиксирано съотношение. Регистриран е през 1996 година в САЩ за лечение на пациенти с пристъпно-ремитентна форма на множествена склероза. </w:t>
      </w:r>
    </w:p>
    <w:p w14:paraId="6228ABC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Механизмът на действие е свързан с образуване на специфични glatiramer acetate-реактивни Т клетки, които са предимно Т2 хелперни (Th2). По този начин се потиска активацията на миелин базичния протеин от реактивните Т хелперни (Th1) клетки, които продуцират проинфламаторни цитокини, а индуцира образуването на Th2 клетки, които продуцират антиинфламаторни цитокини. Glatiramer acetate-реактивните Т клетки секретират мозъчен невротрофичен фактор (BDNF), който ускорява възстановяването на увредените аксони и неврони и стимулира ремиелинизацията. Основният ефект на медикамента е свързан с потискане на възпалението и автоимунните отговори при множествена склероза.</w:t>
      </w:r>
    </w:p>
    <w:p w14:paraId="4D539BF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Клинично намалява с 30% честотата на пристъпите, броя и обема на новите и нарастването на старите плаки при МРТ изследването. Няма данни за повлияване на хронично-прогредиентната форма на заболяването. </w:t>
      </w:r>
    </w:p>
    <w:p w14:paraId="1B92E098"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sz w:val="24"/>
          <w:szCs w:val="24"/>
        </w:rPr>
        <w:t xml:space="preserve">Първия </w:t>
      </w:r>
      <w:r w:rsidRPr="00AE47C6">
        <w:rPr>
          <w:rFonts w:ascii="Times New Roman" w:eastAsia="SimSun" w:hAnsi="Times New Roman"/>
          <w:b/>
          <w:sz w:val="24"/>
          <w:szCs w:val="24"/>
        </w:rPr>
        <w:t xml:space="preserve">генеричен glatiramer acetate 20 mg </w:t>
      </w:r>
      <w:r w:rsidRPr="00AE47C6">
        <w:rPr>
          <w:rFonts w:ascii="Times New Roman" w:eastAsia="SimSun" w:hAnsi="Times New Roman"/>
          <w:sz w:val="24"/>
          <w:szCs w:val="24"/>
        </w:rPr>
        <w:t>е одобрен от FDA през 2015 г.</w:t>
      </w:r>
    </w:p>
    <w:p w14:paraId="6CBEF1D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 xml:space="preserve">Glatiramer acetate 40 mg/ml </w:t>
      </w:r>
      <w:r w:rsidRPr="00AE47C6">
        <w:rPr>
          <w:rFonts w:ascii="Times New Roman" w:eastAsia="SimSun" w:hAnsi="Times New Roman"/>
          <w:sz w:val="24"/>
          <w:szCs w:val="24"/>
        </w:rPr>
        <w:t>за подкожно приложение 3 пъти седмично е одобрен през 2014 година от FDA за лечение на пристъпно-ремитентна форма на множествена склероза. Има същата клинична ефективност, както и прилагането на стандартната доза от 20 mg/ml ежедневно.</w:t>
      </w:r>
    </w:p>
    <w:p w14:paraId="7450E85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Страничните реакции</w:t>
      </w:r>
      <w:r w:rsidRPr="00AE47C6">
        <w:rPr>
          <w:rFonts w:ascii="Times New Roman" w:eastAsia="SimSun" w:hAnsi="Times New Roman"/>
          <w:sz w:val="24"/>
          <w:szCs w:val="24"/>
        </w:rPr>
        <w:t xml:space="preserve"> са локални: болка, еритем, пруритус, възпаление и втвърдяване на тъканите, които преминават спонтанно. Рядко предизвиква умора, депресия, астения и главоболие, алергични и постинжекционни системни реакции. Не предизвиква симптоми на простудно заболяване. </w:t>
      </w:r>
    </w:p>
    <w:p w14:paraId="5EEF7CE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napToGrid w:val="0"/>
          <w:sz w:val="24"/>
          <w:szCs w:val="24"/>
        </w:rPr>
        <w:t xml:space="preserve">Предизвиква образуването на неутрализиращи антитела, които достигат своя пик 3 до 6 месеца след началото на лечението, след което намаляват. Антителата не намаляват терапевтичната ефективност. </w:t>
      </w:r>
    </w:p>
    <w:p w14:paraId="24983FAE" w14:textId="77777777" w:rsidR="00BE0B19" w:rsidRPr="00AE47C6" w:rsidRDefault="00BE0B19" w:rsidP="00BE0B19">
      <w:pPr>
        <w:autoSpaceDE w:val="0"/>
        <w:autoSpaceDN w:val="0"/>
        <w:adjustRightInd w:val="0"/>
        <w:spacing w:after="0" w:line="360" w:lineRule="auto"/>
        <w:ind w:firstLine="720"/>
        <w:jc w:val="both"/>
        <w:rPr>
          <w:rFonts w:ascii="Times New Roman" w:eastAsia="TimesNewRomanPSMT" w:hAnsi="Times New Roman"/>
          <w:sz w:val="24"/>
          <w:szCs w:val="24"/>
        </w:rPr>
      </w:pPr>
      <w:r w:rsidRPr="00AE47C6">
        <w:rPr>
          <w:rFonts w:ascii="Times New Roman" w:eastAsia="TimesNewRomanPSMT" w:hAnsi="Times New Roman"/>
          <w:b/>
          <w:sz w:val="24"/>
          <w:szCs w:val="24"/>
        </w:rPr>
        <w:t xml:space="preserve">Dimethyl fumarate </w:t>
      </w:r>
      <w:r w:rsidRPr="00AE47C6">
        <w:rPr>
          <w:rFonts w:ascii="Times New Roman" w:eastAsia="TimesNewRomanPSMT" w:hAnsi="Times New Roman"/>
          <w:sz w:val="24"/>
          <w:szCs w:val="24"/>
        </w:rPr>
        <w:t xml:space="preserve">е дериват на фумаровата киселина с противовъзпалителни, цитопротективни и имуномодулиращи свойства. Медикаментът е утвърден от FDA и EMA през 2013 г. за лечение на пристъпно-ремитентна форма на МС. Прилага се перорално, при пациенти между 18 и 65 годишна възраст. Началната доза е 120 mg два пъти дневно. След 7 дни дозата се увеличава до 240 mg два пъти дневно. </w:t>
      </w:r>
    </w:p>
    <w:p w14:paraId="7FCFB6CC" w14:textId="77777777" w:rsidR="00BE0B19" w:rsidRPr="00AE47C6" w:rsidRDefault="00BE0B19" w:rsidP="00BE0B19">
      <w:pPr>
        <w:autoSpaceDE w:val="0"/>
        <w:autoSpaceDN w:val="0"/>
        <w:adjustRightInd w:val="0"/>
        <w:spacing w:after="0" w:line="360" w:lineRule="auto"/>
        <w:ind w:firstLine="720"/>
        <w:jc w:val="both"/>
        <w:rPr>
          <w:rFonts w:ascii="Times New Roman" w:eastAsia="TimesNewRomanPSMT" w:hAnsi="Times New Roman"/>
          <w:sz w:val="24"/>
          <w:szCs w:val="24"/>
        </w:rPr>
      </w:pPr>
      <w:r w:rsidRPr="00AE47C6">
        <w:rPr>
          <w:rFonts w:ascii="Times New Roman" w:eastAsia="TimesNewRomanPSMT" w:hAnsi="Times New Roman"/>
          <w:sz w:val="24"/>
          <w:szCs w:val="24"/>
        </w:rPr>
        <w:t>Активира транскрипционния път на ядрения фактор Nrf2. Това води до стимулиране на синтезата на противовъзпалителни интерлевкини, намаляване на проинфламаторните цитокини, стимулиране експресията на антиоксидантни и детоксификационни ензими, потискане на лимфоцитната активация и намаляване на левкоцитните адхезионни молекули.</w:t>
      </w:r>
    </w:p>
    <w:p w14:paraId="5EA49FFA"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TimesNewRomanPSMT" w:hAnsi="Times New Roman"/>
          <w:sz w:val="24"/>
          <w:szCs w:val="24"/>
        </w:rPr>
        <w:t xml:space="preserve">Клиничните проучвания показват </w:t>
      </w:r>
      <w:r w:rsidRPr="00AE47C6">
        <w:rPr>
          <w:rFonts w:ascii="Times New Roman" w:eastAsia="SimSun" w:hAnsi="Times New Roman"/>
          <w:sz w:val="24"/>
          <w:szCs w:val="24"/>
        </w:rPr>
        <w:t>редукция на годишната честота на пристъпите с 44 - 53%. Намалява риска от прогресия на инвалидизирането с до 38%. Намалява се и риска от появата на Gd+ лезии с 74% до 90%, намалява се и появата на нови или увеличени Т</w:t>
      </w:r>
      <w:r w:rsidRPr="00AE47C6">
        <w:rPr>
          <w:rFonts w:ascii="Times New Roman" w:eastAsia="SimSun" w:hAnsi="Times New Roman"/>
          <w:sz w:val="24"/>
          <w:szCs w:val="24"/>
          <w:vertAlign w:val="subscript"/>
        </w:rPr>
        <w:t xml:space="preserve">2 </w:t>
      </w:r>
      <w:r w:rsidRPr="00AE47C6">
        <w:rPr>
          <w:rFonts w:ascii="Times New Roman" w:eastAsia="SimSun" w:hAnsi="Times New Roman"/>
          <w:sz w:val="24"/>
          <w:szCs w:val="24"/>
        </w:rPr>
        <w:t xml:space="preserve">хиперинтензни лезии с 71% до 85%. </w:t>
      </w:r>
    </w:p>
    <w:p w14:paraId="6C9A1B00" w14:textId="77777777" w:rsidR="00BE0B19" w:rsidRPr="00AE47C6" w:rsidRDefault="00BE0B19" w:rsidP="00BE0B19">
      <w:pPr>
        <w:autoSpaceDE w:val="0"/>
        <w:autoSpaceDN w:val="0"/>
        <w:adjustRightInd w:val="0"/>
        <w:spacing w:after="0" w:line="360" w:lineRule="auto"/>
        <w:ind w:firstLine="720"/>
        <w:jc w:val="both"/>
        <w:rPr>
          <w:rFonts w:ascii="Times New Roman" w:eastAsia="TimesNewRomanPSMT" w:hAnsi="Times New Roman"/>
          <w:sz w:val="24"/>
          <w:szCs w:val="24"/>
        </w:rPr>
      </w:pPr>
      <w:r w:rsidRPr="00AE47C6">
        <w:rPr>
          <w:rFonts w:ascii="Times New Roman" w:eastAsia="SimSun" w:hAnsi="Times New Roman"/>
          <w:i/>
          <w:sz w:val="24"/>
          <w:szCs w:val="24"/>
        </w:rPr>
        <w:t xml:space="preserve">Страничните реакции </w:t>
      </w:r>
      <w:r w:rsidRPr="00AE47C6">
        <w:rPr>
          <w:rFonts w:ascii="Times New Roman" w:eastAsia="SimSun" w:hAnsi="Times New Roman"/>
          <w:sz w:val="24"/>
          <w:szCs w:val="24"/>
        </w:rPr>
        <w:t>са</w:t>
      </w:r>
      <w:r w:rsidRPr="00AE47C6">
        <w:rPr>
          <w:rFonts w:ascii="Times New Roman" w:eastAsia="TimesNewRomanPSMT" w:hAnsi="Times New Roman"/>
          <w:sz w:val="24"/>
          <w:szCs w:val="24"/>
        </w:rPr>
        <w:t xml:space="preserve"> зачервяване, диария, гадене и коремна болка предимно в началото на лечението (през първия месец), но могат да продължат да се появяват периодично в хода на лечението. Възможна е лимфопения и са регистрирани 4 случая на PML, свързвани с трайна лимфопения. Временно намаляване на дозата до 120 mg два пъти дневно намалява появата на нежеланите реакции. В рамките на 1 месец трябва да се възобнови приемът на препоръчителната доза от 240 mg два пъти дневно.</w:t>
      </w:r>
    </w:p>
    <w:p w14:paraId="6F0ABF64" w14:textId="77777777" w:rsidR="00BE0B19" w:rsidRPr="00AE47C6" w:rsidRDefault="00BE0B19" w:rsidP="00BE0B19">
      <w:pPr>
        <w:autoSpaceDE w:val="0"/>
        <w:autoSpaceDN w:val="0"/>
        <w:adjustRightInd w:val="0"/>
        <w:spacing w:after="0" w:line="360" w:lineRule="auto"/>
        <w:ind w:firstLine="720"/>
        <w:jc w:val="both"/>
        <w:rPr>
          <w:rFonts w:ascii="Times New Roman" w:eastAsia="TimesNewRomanPSMT" w:hAnsi="Times New Roman"/>
          <w:sz w:val="24"/>
          <w:szCs w:val="24"/>
        </w:rPr>
      </w:pPr>
      <w:r w:rsidRPr="00AE47C6">
        <w:rPr>
          <w:rFonts w:ascii="Times New Roman" w:eastAsia="TimesNewRomanPSMT" w:hAnsi="Times New Roman"/>
          <w:i/>
          <w:sz w:val="24"/>
          <w:szCs w:val="24"/>
        </w:rPr>
        <w:t>Противопоказан</w:t>
      </w:r>
      <w:r w:rsidRPr="00AE47C6">
        <w:rPr>
          <w:rFonts w:ascii="Times New Roman" w:eastAsia="TimesNewRomanPSMT" w:hAnsi="Times New Roman"/>
          <w:sz w:val="24"/>
          <w:szCs w:val="24"/>
        </w:rPr>
        <w:t xml:space="preserve"> е при персистираща тежка лимфопения, тежко чернодробно или бъбречно заболяване.</w:t>
      </w:r>
    </w:p>
    <w:p w14:paraId="0A5D4ADB" w14:textId="77777777" w:rsidR="00BE0B19" w:rsidRPr="00AE47C6" w:rsidRDefault="00BE0B19" w:rsidP="00BE0B19">
      <w:pPr>
        <w:autoSpaceDE w:val="0"/>
        <w:autoSpaceDN w:val="0"/>
        <w:adjustRightInd w:val="0"/>
        <w:spacing w:after="0" w:line="360" w:lineRule="auto"/>
        <w:ind w:firstLine="720"/>
        <w:jc w:val="both"/>
        <w:rPr>
          <w:rFonts w:ascii="Times New Roman" w:eastAsia="TimesNewRomanPSMT" w:hAnsi="Times New Roman"/>
          <w:sz w:val="24"/>
          <w:szCs w:val="24"/>
        </w:rPr>
      </w:pPr>
      <w:r w:rsidRPr="00AE47C6">
        <w:rPr>
          <w:rFonts w:ascii="Times New Roman" w:eastAsia="TimesNewRomanPSMT" w:hAnsi="Times New Roman"/>
          <w:sz w:val="24"/>
          <w:szCs w:val="24"/>
        </w:rPr>
        <w:t xml:space="preserve">Няма данни за образуване на </w:t>
      </w:r>
      <w:r w:rsidRPr="00AE47C6">
        <w:rPr>
          <w:rFonts w:ascii="Times New Roman" w:eastAsia="TimesNewRomanPSMT" w:hAnsi="Times New Roman"/>
          <w:i/>
          <w:sz w:val="24"/>
          <w:szCs w:val="24"/>
        </w:rPr>
        <w:t>неутрализиращи антитела</w:t>
      </w:r>
      <w:r w:rsidRPr="00AE47C6">
        <w:rPr>
          <w:rFonts w:ascii="Times New Roman" w:eastAsia="TimesNewRomanPSMT" w:hAnsi="Times New Roman"/>
          <w:sz w:val="24"/>
          <w:szCs w:val="24"/>
        </w:rPr>
        <w:t>.</w:t>
      </w:r>
    </w:p>
    <w:p w14:paraId="380D59D9" w14:textId="77777777" w:rsidR="00BE0B19" w:rsidRPr="00AE47C6" w:rsidRDefault="00BE0B19" w:rsidP="00BE0B19">
      <w:pPr>
        <w:autoSpaceDE w:val="0"/>
        <w:autoSpaceDN w:val="0"/>
        <w:adjustRightInd w:val="0"/>
        <w:spacing w:after="0" w:line="360" w:lineRule="auto"/>
        <w:ind w:firstLine="720"/>
        <w:jc w:val="both"/>
        <w:rPr>
          <w:rFonts w:ascii="Times New Roman" w:eastAsia="TimesNewRomanPSMT" w:hAnsi="Times New Roman"/>
          <w:sz w:val="24"/>
          <w:szCs w:val="24"/>
        </w:rPr>
      </w:pPr>
      <w:r w:rsidRPr="00AE47C6">
        <w:rPr>
          <w:rFonts w:ascii="Times New Roman" w:eastAsia="SimSun" w:hAnsi="Times New Roman"/>
          <w:b/>
          <w:bCs/>
          <w:noProof/>
          <w:sz w:val="24"/>
          <w:szCs w:val="24"/>
        </w:rPr>
        <w:t xml:space="preserve">Diroximel fumarate </w:t>
      </w:r>
      <w:r w:rsidRPr="00AE47C6">
        <w:rPr>
          <w:rFonts w:ascii="Times New Roman" w:eastAsia="TimesNewRomanPSMT" w:hAnsi="Times New Roman"/>
          <w:sz w:val="24"/>
          <w:szCs w:val="24"/>
        </w:rPr>
        <w:t>е утвърден от FDA през 2019 г. и от EMA през 2021 г. за лечение на пристъпно-ремитентна форма на МС. Прилага се перорално, при пациенти между 18 и 65 годишна възраст. Началната доза е 231 mg два пъти дневно. След 7 дни дозата се увеличава до 462 mg два пъти дневно. Представлява дериват на фумаровата киселина с противовъзпалителни, цитопротективни и имуномодулиращи свойства.</w:t>
      </w:r>
    </w:p>
    <w:p w14:paraId="733CACB3" w14:textId="77777777" w:rsidR="00BE0B19" w:rsidRPr="00AE47C6" w:rsidRDefault="00BE0B19" w:rsidP="00BE0B19">
      <w:pPr>
        <w:autoSpaceDE w:val="0"/>
        <w:autoSpaceDN w:val="0"/>
        <w:adjustRightInd w:val="0"/>
        <w:spacing w:after="0" w:line="360" w:lineRule="auto"/>
        <w:ind w:firstLine="720"/>
        <w:jc w:val="both"/>
        <w:rPr>
          <w:rFonts w:ascii="Times New Roman" w:eastAsia="TimesNewRomanPSMT" w:hAnsi="Times New Roman"/>
          <w:sz w:val="24"/>
          <w:szCs w:val="24"/>
        </w:rPr>
      </w:pPr>
      <w:r w:rsidRPr="00AE47C6">
        <w:rPr>
          <w:rFonts w:ascii="Times New Roman" w:eastAsia="TimesNewRomanPSMT" w:hAnsi="Times New Roman"/>
          <w:sz w:val="24"/>
          <w:szCs w:val="24"/>
        </w:rPr>
        <w:t>Подобно на dimethyl fumarate, diroximel fumarate се метаболизира до монометилфумарат, който оказва своят ефект чрез активирането на  транскрипционния път на ядрения фактор Nrf2. Това води до стимулиране на синтезата на противовъзпалителни интерлевкини, намаляване на проинфламаторните цитокини, стимулиране експресията на антиоксидантни и детоксификационни ензими, потискане на лимфоцитната активация и намаляване на левкоцитните адхезионни молекули.</w:t>
      </w:r>
    </w:p>
    <w:p w14:paraId="79BA4B2E"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TimesNewRomanPSMT" w:hAnsi="Times New Roman"/>
          <w:sz w:val="24"/>
          <w:szCs w:val="24"/>
        </w:rPr>
        <w:t xml:space="preserve">Клиничната ефективност на diroximel fumarate се базира на проучванията проведени с dimethyl fumarate, поради факта, че бионаличността на монометилфумарат (активният метаболит на двете лекарствени средства) е идентична. Това предполага идентични резултати по отношение  намаляването на честотата на пристъпите, на риска от прогресия на инвалидизирането, както и намаляване на </w:t>
      </w:r>
      <w:r w:rsidRPr="00AE47C6">
        <w:rPr>
          <w:rFonts w:ascii="Times New Roman" w:eastAsia="SimSun" w:hAnsi="Times New Roman"/>
          <w:sz w:val="24"/>
          <w:szCs w:val="24"/>
        </w:rPr>
        <w:t>риска от появата на  Gd+ лезии  и появата на нови или увеличени Т</w:t>
      </w:r>
      <w:r w:rsidRPr="00AE47C6">
        <w:rPr>
          <w:rFonts w:ascii="Times New Roman" w:eastAsia="SimSun" w:hAnsi="Times New Roman"/>
          <w:sz w:val="24"/>
          <w:szCs w:val="24"/>
          <w:vertAlign w:val="subscript"/>
        </w:rPr>
        <w:t xml:space="preserve">2 </w:t>
      </w:r>
      <w:r w:rsidRPr="00AE47C6">
        <w:rPr>
          <w:rFonts w:ascii="Times New Roman" w:eastAsia="SimSun" w:hAnsi="Times New Roman"/>
          <w:sz w:val="24"/>
          <w:szCs w:val="24"/>
        </w:rPr>
        <w:t xml:space="preserve">хиперинтензни лезии. </w:t>
      </w:r>
    </w:p>
    <w:p w14:paraId="7AE32329" w14:textId="77777777" w:rsidR="00BE0B19" w:rsidRPr="00AE47C6" w:rsidRDefault="00BE0B19" w:rsidP="00BE0B19">
      <w:pPr>
        <w:widowControl w:val="0"/>
        <w:spacing w:after="0" w:line="360" w:lineRule="auto"/>
        <w:ind w:left="142" w:firstLine="567"/>
        <w:jc w:val="both"/>
        <w:rPr>
          <w:rFonts w:ascii="Times New Roman" w:eastAsia="TimesNewRomanPSMT" w:hAnsi="Times New Roman"/>
          <w:sz w:val="24"/>
          <w:szCs w:val="24"/>
        </w:rPr>
      </w:pPr>
      <w:r w:rsidRPr="00AE47C6">
        <w:rPr>
          <w:rFonts w:ascii="Times New Roman" w:eastAsia="SimSun" w:hAnsi="Times New Roman"/>
          <w:i/>
          <w:sz w:val="24"/>
          <w:szCs w:val="24"/>
        </w:rPr>
        <w:t xml:space="preserve">Страничните реакции </w:t>
      </w:r>
      <w:r w:rsidRPr="00AE47C6">
        <w:rPr>
          <w:rFonts w:ascii="Times New Roman" w:eastAsia="SimSun" w:hAnsi="Times New Roman"/>
          <w:iCs/>
          <w:sz w:val="24"/>
          <w:szCs w:val="24"/>
        </w:rPr>
        <w:t xml:space="preserve">наподобяват тези, които се наблюдават и при </w:t>
      </w:r>
      <w:r w:rsidRPr="00AE47C6">
        <w:rPr>
          <w:rFonts w:ascii="Times New Roman" w:eastAsia="TimesNewRomanPSMT" w:hAnsi="Times New Roman"/>
          <w:sz w:val="24"/>
          <w:szCs w:val="24"/>
        </w:rPr>
        <w:t xml:space="preserve">dimethyl fumarate, но профила на поносимост e по-добър. </w:t>
      </w:r>
      <w:r w:rsidRPr="00AE47C6">
        <w:rPr>
          <w:rFonts w:ascii="Times New Roman" w:eastAsia="SimSun" w:hAnsi="Times New Roman"/>
          <w:sz w:val="24"/>
          <w:szCs w:val="24"/>
        </w:rPr>
        <w:t>Зачервяване и горещи вълни са съобщени при 32,8% и 1,6% от пациентите, срещу 40,6% и 0,8% от пациентите, лекувани с</w:t>
      </w:r>
      <w:r w:rsidRPr="00AE47C6">
        <w:rPr>
          <w:rFonts w:ascii="Times New Roman" w:eastAsia="TimesNewRomanPSMT" w:hAnsi="Times New Roman"/>
          <w:sz w:val="24"/>
          <w:szCs w:val="24"/>
        </w:rPr>
        <w:t xml:space="preserve"> dimethyl fumarate</w:t>
      </w:r>
      <w:r w:rsidRPr="00AE47C6">
        <w:rPr>
          <w:rFonts w:ascii="Times New Roman" w:eastAsia="SimSun" w:hAnsi="Times New Roman"/>
          <w:sz w:val="24"/>
          <w:szCs w:val="24"/>
        </w:rPr>
        <w:t>.</w:t>
      </w:r>
      <w:r w:rsidRPr="00AE47C6">
        <w:rPr>
          <w:rFonts w:ascii="Times New Roman" w:eastAsia="TimesNewRomanPSMT" w:hAnsi="Times New Roman"/>
          <w:sz w:val="24"/>
          <w:szCs w:val="24"/>
        </w:rPr>
        <w:t xml:space="preserve"> </w:t>
      </w:r>
      <w:r w:rsidRPr="00AE47C6">
        <w:rPr>
          <w:rFonts w:ascii="Times New Roman" w:eastAsia="SimSun" w:hAnsi="Times New Roman"/>
          <w:sz w:val="24"/>
          <w:szCs w:val="24"/>
        </w:rPr>
        <w:t>Стомашно-чревни нежелани реакции (диария, гадене, коремна болка и повръщане) са наблюдавани при 34,8% от пациентите, срещу 49,0% от пациентите, лекувани с</w:t>
      </w:r>
      <w:r w:rsidRPr="00AE47C6">
        <w:rPr>
          <w:rFonts w:ascii="Times New Roman" w:eastAsia="TimesNewRomanPSMT" w:hAnsi="Times New Roman"/>
          <w:sz w:val="24"/>
          <w:szCs w:val="24"/>
        </w:rPr>
        <w:t xml:space="preserve"> dimethyl fumarate</w:t>
      </w:r>
      <w:r w:rsidRPr="00AE47C6">
        <w:rPr>
          <w:rFonts w:ascii="Times New Roman" w:eastAsia="SimSun" w:hAnsi="Times New Roman"/>
          <w:sz w:val="24"/>
          <w:szCs w:val="24"/>
        </w:rPr>
        <w:t xml:space="preserve">. Възможна е появата на лимфопения, като </w:t>
      </w:r>
      <w:r w:rsidRPr="00AE47C6">
        <w:rPr>
          <w:rFonts w:ascii="Times New Roman" w:eastAsia="SimSun" w:hAnsi="Times New Roman"/>
          <w:noProof/>
          <w:sz w:val="24"/>
          <w:szCs w:val="24"/>
        </w:rPr>
        <w:t>при пациенти с брой на лимфоцитите &lt; 0,5 x 10</w:t>
      </w:r>
      <w:r w:rsidRPr="00AE47C6">
        <w:rPr>
          <w:rFonts w:ascii="Times New Roman" w:eastAsia="SimSun" w:hAnsi="Times New Roman"/>
          <w:noProof/>
          <w:sz w:val="24"/>
          <w:szCs w:val="24"/>
          <w:vertAlign w:val="superscript"/>
        </w:rPr>
        <w:t>9</w:t>
      </w:r>
      <w:r w:rsidRPr="00AE47C6">
        <w:rPr>
          <w:rFonts w:ascii="Times New Roman" w:eastAsia="SimSun" w:hAnsi="Times New Roman"/>
          <w:noProof/>
          <w:sz w:val="24"/>
          <w:szCs w:val="24"/>
        </w:rPr>
        <w:t xml:space="preserve">/L, който персистира за ≥ 4 седмици е препоръчително спиране на лечението. Както и при </w:t>
      </w:r>
      <w:r w:rsidRPr="00AE47C6">
        <w:rPr>
          <w:rFonts w:ascii="Times New Roman" w:eastAsia="TimesNewRomanPSMT" w:hAnsi="Times New Roman"/>
          <w:sz w:val="24"/>
          <w:szCs w:val="24"/>
        </w:rPr>
        <w:t xml:space="preserve">dimethyl fumarate, продължителна умерена или тежка лимфопения е увеличава риска от развитие на ПМЛ. </w:t>
      </w:r>
    </w:p>
    <w:p w14:paraId="76C8DB0B" w14:textId="77777777" w:rsidR="00BE0B19" w:rsidRPr="00AE47C6" w:rsidRDefault="00BE0B19" w:rsidP="00BE0B19">
      <w:pPr>
        <w:autoSpaceDE w:val="0"/>
        <w:autoSpaceDN w:val="0"/>
        <w:adjustRightInd w:val="0"/>
        <w:spacing w:after="0" w:line="360" w:lineRule="auto"/>
        <w:ind w:firstLine="720"/>
        <w:jc w:val="both"/>
        <w:rPr>
          <w:rFonts w:ascii="Times New Roman" w:eastAsia="TimesNewRomanPSMT" w:hAnsi="Times New Roman"/>
          <w:sz w:val="24"/>
          <w:szCs w:val="24"/>
        </w:rPr>
      </w:pPr>
      <w:r w:rsidRPr="00AE47C6">
        <w:rPr>
          <w:rFonts w:ascii="Times New Roman" w:eastAsia="TimesNewRomanPSMT" w:hAnsi="Times New Roman"/>
          <w:i/>
          <w:sz w:val="24"/>
          <w:szCs w:val="24"/>
        </w:rPr>
        <w:t>Противопоказан</w:t>
      </w:r>
      <w:r w:rsidRPr="00AE47C6">
        <w:rPr>
          <w:rFonts w:ascii="Times New Roman" w:eastAsia="TimesNewRomanPSMT" w:hAnsi="Times New Roman"/>
          <w:sz w:val="24"/>
          <w:szCs w:val="24"/>
        </w:rPr>
        <w:t xml:space="preserve"> е</w:t>
      </w:r>
      <w:r w:rsidRPr="00AE47C6">
        <w:rPr>
          <w:rFonts w:ascii="Times New Roman" w:eastAsia="TimesNewRomanPSMT" w:hAnsi="Times New Roman"/>
          <w:i/>
          <w:sz w:val="24"/>
          <w:szCs w:val="24"/>
        </w:rPr>
        <w:t xml:space="preserve"> </w:t>
      </w:r>
      <w:r w:rsidRPr="00AE47C6">
        <w:rPr>
          <w:rFonts w:ascii="Times New Roman" w:eastAsia="TimesNewRomanPSMT" w:hAnsi="Times New Roman"/>
          <w:sz w:val="24"/>
          <w:szCs w:val="24"/>
        </w:rPr>
        <w:t>при персистираща тежка лимфопения, тежко чернодробно или  бъбречно заболяване.</w:t>
      </w:r>
    </w:p>
    <w:p w14:paraId="12883EA4" w14:textId="77777777" w:rsidR="00BE0B19" w:rsidRPr="00AE47C6" w:rsidRDefault="00BE0B19" w:rsidP="00BE0B19">
      <w:pPr>
        <w:autoSpaceDE w:val="0"/>
        <w:autoSpaceDN w:val="0"/>
        <w:adjustRightInd w:val="0"/>
        <w:spacing w:after="0" w:line="360" w:lineRule="auto"/>
        <w:ind w:firstLine="720"/>
        <w:jc w:val="both"/>
        <w:rPr>
          <w:rFonts w:ascii="Times New Roman" w:eastAsia="TimesNewRomanPSMT" w:hAnsi="Times New Roman"/>
          <w:sz w:val="24"/>
          <w:szCs w:val="24"/>
        </w:rPr>
      </w:pPr>
      <w:r w:rsidRPr="00AE47C6">
        <w:rPr>
          <w:rFonts w:ascii="Times New Roman" w:eastAsia="TimesNewRomanPSMT" w:hAnsi="Times New Roman"/>
          <w:sz w:val="24"/>
          <w:szCs w:val="24"/>
        </w:rPr>
        <w:t xml:space="preserve">Няма данни за образуване на </w:t>
      </w:r>
      <w:r w:rsidRPr="00AE47C6">
        <w:rPr>
          <w:rFonts w:ascii="Times New Roman" w:eastAsia="TimesNewRomanPSMT" w:hAnsi="Times New Roman"/>
          <w:i/>
          <w:sz w:val="24"/>
          <w:szCs w:val="24"/>
        </w:rPr>
        <w:t>неутрализиращи антитела</w:t>
      </w:r>
      <w:r w:rsidRPr="00AE47C6">
        <w:rPr>
          <w:rFonts w:ascii="Times New Roman" w:eastAsia="TimesNewRomanPSMT" w:hAnsi="Times New Roman"/>
          <w:sz w:val="24"/>
          <w:szCs w:val="24"/>
        </w:rPr>
        <w:t>.</w:t>
      </w:r>
    </w:p>
    <w:p w14:paraId="0FD7E6F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Teriflunomide</w:t>
      </w:r>
      <w:r w:rsidRPr="00AE47C6">
        <w:rPr>
          <w:rFonts w:ascii="Times New Roman" w:eastAsia="SimSun" w:hAnsi="Times New Roman"/>
          <w:sz w:val="24"/>
          <w:szCs w:val="24"/>
        </w:rPr>
        <w:t xml:space="preserve"> е утвърден за лечение на пристъпно-ремитентна форма на множествена склероза от FDA и EMA, съответно през 2012 и 2013 година. Показан е за лечение на пациенти на възраст между 10 и 65 г., с пристъпно-ремитентна множествена склероза. Прилага се в доза 7 mg и 14 mg еднократно дневно, перорално. Представлява пуринов аналог с имуносупресивни свойства.</w:t>
      </w:r>
    </w:p>
    <w:p w14:paraId="68C4F70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Представлява активен метаболит на leflunomide, който се използва за лечение на ревматоидния артрит. Блокира непълно и възвратимо митохондриалния ензим дихидрооротатдехидрогеназа, с което нарушава синтезата на пиримидини, необходими за бързо делящите се В и Т лимфоцити. Потиска абнормната пролиферация и активацията на патогенните Т и В клетки. Чрез този цитостатичен ефект потиска имунните отговори свързани с активността на заболяването. Лимфоцитите в покой не се увреждат, те могат да се делят и пролиферират на ниско ниво, като използват наличните пиримидини. Поради тази причина придобитият преди това клетъчен имунитет не се губи и рискът за инфекциозни заболявания не нараства. </w:t>
      </w:r>
    </w:p>
    <w:p w14:paraId="6745010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Клиничните проучвания при пациенти с пристъпно-ремитентна форма на множествена склероза показват, че намалява годишния брой на пристъпите и прогресията на инвалидизацията с 30%, броя на активните и нови МРТ лезии с 60%, а на усилващите се с gadolinium лезии - с 80%.</w:t>
      </w:r>
    </w:p>
    <w:p w14:paraId="5D459307" w14:textId="77777777" w:rsidR="00BE0B19" w:rsidRPr="00AE47C6" w:rsidRDefault="00BE0B19" w:rsidP="00BE0B19">
      <w:pPr>
        <w:spacing w:after="0" w:line="360" w:lineRule="auto"/>
        <w:ind w:firstLine="720"/>
        <w:jc w:val="both"/>
        <w:rPr>
          <w:rFonts w:ascii="Times New Roman" w:eastAsia="SimSun" w:hAnsi="Times New Roman"/>
          <w:strike/>
          <w:sz w:val="24"/>
          <w:szCs w:val="24"/>
        </w:rPr>
      </w:pPr>
      <w:r w:rsidRPr="00AE47C6">
        <w:rPr>
          <w:rFonts w:ascii="Times New Roman" w:eastAsia="SimSun" w:hAnsi="Times New Roman"/>
          <w:i/>
          <w:sz w:val="24"/>
          <w:szCs w:val="24"/>
        </w:rPr>
        <w:t xml:space="preserve">Страничните ефекти </w:t>
      </w:r>
      <w:r w:rsidRPr="00AE47C6">
        <w:rPr>
          <w:rFonts w:ascii="Times New Roman" w:eastAsia="SimSun" w:hAnsi="Times New Roman"/>
          <w:sz w:val="24"/>
          <w:szCs w:val="24"/>
        </w:rPr>
        <w:t xml:space="preserve">включват инфекции на горните дихателни пътища, главоболие, диария, гадене, алопеция или изтъняване на косата, повишено кръвно налягане и повишени концентрации на аланин аминотрансферазата (ALT). В единични случаи са установени токсична чернодробна некроза, панцитопения и тератогенни ефекти. В педиатричното клинично изпитване са наблюдавани случаи на панкреатит, понякога остър, след месеци до 3 години. </w:t>
      </w:r>
    </w:p>
    <w:p w14:paraId="51266EC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Клиничната ефективност на медикаментите от първа линия на лечение glatiramer acetate 20 и 40 mg/ml и teriflunomide е сходна с тази на бета интерфероните. Клиничната ефективност на dimethyl fumarate е по-висока от тази на останалите медикаменти от първа линия. Въпреки по-слабата клинична ефективност на interferon beta-1a спрямо останалите бетаинтерферони, предвид по-малкото странични реакции, по-удобното приложение, както и по-рядкото продуциране на антитела той, както и Peginterferon beta 1a, могат да се прилагат при млади работещи пациенти с малка давност на заболяването и не висока активност. </w:t>
      </w:r>
    </w:p>
    <w:p w14:paraId="4A75809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В случаи на недобра клинична ефективност или повишаване на активността на заболяването може да се премине на Interferon beta-1b, glatiramer acetate, teriflunomide или dimethyl fumarate. Трябва да се има предвид, че Interferon beta-1b предизвиква най-често антитела и най-много нежелани странични реакции. При клинични данни за поява на антитела към бета интерфероните може да се премине към glatiramer acetate, teriflunomide или dimethyl fumarate. Пациентите, които не показват добър клиничен отговор към някой от медикаментите, могат да покажат добро повлияване от друг медикамент. При изчерпване на възможностите на медикаментите на първа линия се преминава към тези на втора линия. </w:t>
      </w:r>
    </w:p>
    <w:p w14:paraId="18D3240F"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Не се препоръчва преминаване към перорална терапия без медицинско основание (субефективност или непоносимост) само заради удобство на пациента.</w:t>
      </w:r>
    </w:p>
    <w:p w14:paraId="771B08F2" w14:textId="77777777" w:rsidR="00BE0B19" w:rsidRPr="00AE47C6" w:rsidRDefault="00BE0B19" w:rsidP="00BE0B19">
      <w:pPr>
        <w:spacing w:after="0" w:line="360" w:lineRule="auto"/>
        <w:ind w:firstLine="720"/>
        <w:jc w:val="both"/>
        <w:rPr>
          <w:rFonts w:ascii="Times New Roman" w:eastAsia="SimSun" w:hAnsi="Times New Roman"/>
          <w:b/>
          <w:sz w:val="24"/>
          <w:szCs w:val="24"/>
        </w:rPr>
      </w:pPr>
    </w:p>
    <w:p w14:paraId="6333204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Лечението на различните форми на множествената склероза</w:t>
      </w:r>
      <w:r w:rsidRPr="00AE47C6">
        <w:rPr>
          <w:rFonts w:ascii="Times New Roman" w:eastAsia="SimSun" w:hAnsi="Times New Roman"/>
          <w:sz w:val="24"/>
          <w:szCs w:val="24"/>
        </w:rPr>
        <w:t xml:space="preserve"> има специфични особености.</w:t>
      </w:r>
    </w:p>
    <w:p w14:paraId="3B6A211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Пациентите с </w:t>
      </w:r>
      <w:r w:rsidRPr="00AE47C6">
        <w:rPr>
          <w:rFonts w:ascii="Times New Roman" w:eastAsia="SimSun" w:hAnsi="Times New Roman"/>
          <w:b/>
          <w:bCs/>
          <w:sz w:val="24"/>
          <w:szCs w:val="24"/>
        </w:rPr>
        <w:t>клинично изолирани симптоми</w:t>
      </w:r>
      <w:r w:rsidRPr="00AE47C6">
        <w:rPr>
          <w:rFonts w:ascii="Times New Roman" w:eastAsia="SimSun" w:hAnsi="Times New Roman"/>
          <w:sz w:val="24"/>
          <w:szCs w:val="24"/>
        </w:rPr>
        <w:t xml:space="preserve">, при които диагнозата множествена склероза не може все още да се постави, са с висок риск за втори пристъп, когато диагнозата вече ще бъде сигурна. Лечението на тези пациенти забавя възникването на следващи пристъпи и поставянето на сигурна диагноза. При пациенти, които имат особено активна находка при МРТ изследването, изразена в множество лезии (10-20 лезии), както и с множество засилващи се от контраст лезии, препоръчваме започване на лечение с модифициращи хода на заболяването медикаменти. При пациенти с по-бедна находка от МРТ изследването, показваща по-малка активност на заболяването е възможно да се изчака следващ пристъп, когато диагнозата ще може да се постави и след това да се започне лечението. </w:t>
      </w:r>
    </w:p>
    <w:p w14:paraId="7183DB92"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В началото на заболяването, при клинично изолирани симптоми се прилагат:</w:t>
      </w:r>
    </w:p>
    <w:p w14:paraId="6A8B720A" w14:textId="77777777" w:rsidR="00BE0B19" w:rsidRPr="00AE47C6" w:rsidRDefault="00BE0B19" w:rsidP="00BE0B19">
      <w:pPr>
        <w:numPr>
          <w:ilvl w:val="0"/>
          <w:numId w:val="58"/>
        </w:numPr>
        <w:pBdr>
          <w:top w:val="single" w:sz="4" w:space="1" w:color="auto"/>
          <w:left w:val="single" w:sz="4" w:space="4" w:color="auto"/>
          <w:bottom w:val="single" w:sz="4" w:space="1" w:color="auto"/>
          <w:right w:val="single" w:sz="4" w:space="4" w:color="auto"/>
        </w:pBdr>
        <w:tabs>
          <w:tab w:val="clear" w:pos="1495"/>
          <w:tab w:val="num" w:pos="360"/>
        </w:tabs>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Медикаменти модифициращи хода на заболяването от първа линия</w:t>
      </w:r>
    </w:p>
    <w:p w14:paraId="02A2C92C" w14:textId="77777777" w:rsidR="00BE0B19" w:rsidRPr="00AE47C6" w:rsidRDefault="00BE0B19" w:rsidP="00BE0B19">
      <w:pPr>
        <w:spacing w:after="0" w:line="360" w:lineRule="auto"/>
        <w:jc w:val="both"/>
        <w:rPr>
          <w:rFonts w:ascii="Times New Roman" w:eastAsia="SimSun" w:hAnsi="Times New Roman"/>
          <w:sz w:val="24"/>
          <w:szCs w:val="24"/>
          <w:lang w:eastAsia="ja-JP"/>
        </w:rPr>
      </w:pPr>
    </w:p>
    <w:p w14:paraId="3A0C40C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Лечението на пристъпно-ремитентната форма</w:t>
      </w:r>
      <w:r w:rsidRPr="00AE47C6">
        <w:rPr>
          <w:rFonts w:ascii="Times New Roman" w:eastAsia="SimSun" w:hAnsi="Times New Roman"/>
          <w:sz w:val="24"/>
          <w:szCs w:val="24"/>
        </w:rPr>
        <w:t xml:space="preserve"> на заболяването с медикаменти от първа линия, модифициращи неговия ход, трябва да започне с поставяне на диагнозата, с оглед предотвратяване на нови лезии. Това е особено важно за пациенти, при които заболяването показва голяма клинична и МРТ активност. Ранното лечение може да промени естественият ход на заболяването, като намали честотата и тежестта на пристъпите, забави прогресията, появата на инвалидност и нетрудоспособност (средно с 18 месеца), подобри качеството на живот и удължи живота на болните. </w:t>
      </w:r>
    </w:p>
    <w:p w14:paraId="031ECB93"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p>
    <w:p w14:paraId="4F747B60" w14:textId="77777777" w:rsidR="00BE0B19" w:rsidRPr="00AE47C6" w:rsidRDefault="00BE0B19" w:rsidP="00BE0B19">
      <w:pPr>
        <w:numPr>
          <w:ilvl w:val="0"/>
          <w:numId w:val="58"/>
        </w:numPr>
        <w:pBdr>
          <w:top w:val="single" w:sz="4" w:space="1" w:color="auto"/>
          <w:left w:val="single" w:sz="4" w:space="4" w:color="auto"/>
          <w:bottom w:val="single" w:sz="4" w:space="1" w:color="auto"/>
          <w:right w:val="single" w:sz="4" w:space="4" w:color="auto"/>
        </w:pBdr>
        <w:tabs>
          <w:tab w:val="clear" w:pos="1495"/>
          <w:tab w:val="num" w:pos="360"/>
        </w:tabs>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Неврологът трябва да определи формата на заболяването и да вземе решение за започването и вида на медикаментозното лечение на болния извън пристъпа.</w:t>
      </w:r>
    </w:p>
    <w:p w14:paraId="42ADFBD3" w14:textId="77777777" w:rsidR="00BE0B19" w:rsidRPr="00AE47C6" w:rsidRDefault="00BE0B19" w:rsidP="00BE0B19">
      <w:pPr>
        <w:numPr>
          <w:ilvl w:val="0"/>
          <w:numId w:val="58"/>
        </w:numPr>
        <w:pBdr>
          <w:top w:val="single" w:sz="4" w:space="1" w:color="auto"/>
          <w:left w:val="single" w:sz="4" w:space="4" w:color="auto"/>
          <w:bottom w:val="single" w:sz="4" w:space="1" w:color="auto"/>
          <w:right w:val="single" w:sz="4" w:space="4" w:color="auto"/>
        </w:pBdr>
        <w:tabs>
          <w:tab w:val="clear" w:pos="1495"/>
          <w:tab w:val="num" w:pos="360"/>
        </w:tabs>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Лечението трябва да продължи 1 година, след което неврологът трябва да прецени неговата ефективност (приложение 6).</w:t>
      </w:r>
    </w:p>
    <w:p w14:paraId="27A2B85A" w14:textId="77777777" w:rsidR="00BE0B19" w:rsidRPr="00AE47C6" w:rsidRDefault="00BE0B19" w:rsidP="00BE0B19">
      <w:pPr>
        <w:numPr>
          <w:ilvl w:val="0"/>
          <w:numId w:val="58"/>
        </w:numPr>
        <w:pBdr>
          <w:top w:val="single" w:sz="4" w:space="1" w:color="auto"/>
          <w:left w:val="single" w:sz="4" w:space="4" w:color="auto"/>
          <w:bottom w:val="single" w:sz="4" w:space="1" w:color="auto"/>
          <w:right w:val="single" w:sz="4" w:space="4" w:color="auto"/>
        </w:pBdr>
        <w:tabs>
          <w:tab w:val="clear" w:pos="1495"/>
          <w:tab w:val="num" w:pos="360"/>
        </w:tabs>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При данни за намаляване на клиничната ефективност, оценена по показателите за ефективност на терапията, трябва да се обсъди промяна на терапията. Препоръчва се клиничните данни да се подкрепят от изследване за неутрализиращи антитела.</w:t>
      </w:r>
    </w:p>
    <w:p w14:paraId="28872159" w14:textId="77777777" w:rsidR="00BE0B19" w:rsidRPr="00AE47C6" w:rsidRDefault="00BE0B19" w:rsidP="00BE0B19">
      <w:pPr>
        <w:numPr>
          <w:ilvl w:val="0"/>
          <w:numId w:val="58"/>
        </w:numPr>
        <w:pBdr>
          <w:top w:val="single" w:sz="4" w:space="1" w:color="auto"/>
          <w:left w:val="single" w:sz="4" w:space="4" w:color="auto"/>
          <w:bottom w:val="single" w:sz="4" w:space="1" w:color="auto"/>
          <w:right w:val="single" w:sz="4" w:space="4" w:color="auto"/>
        </w:pBdr>
        <w:tabs>
          <w:tab w:val="clear" w:pos="1495"/>
          <w:tab w:val="num" w:pos="360"/>
        </w:tabs>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При възможност неутрализиращите антитела да се изследват при всеки пациент на 18 месец от началото на интерфероновото лечение с прогностична стойност.</w:t>
      </w:r>
    </w:p>
    <w:p w14:paraId="63172633"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0A216EB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Cs/>
          <w:sz w:val="24"/>
          <w:szCs w:val="24"/>
        </w:rPr>
      </w:pPr>
      <w:r w:rsidRPr="00AE47C6">
        <w:rPr>
          <w:rFonts w:ascii="Times New Roman" w:eastAsia="SimSun" w:hAnsi="Times New Roman"/>
          <w:b/>
          <w:bCs/>
          <w:iCs/>
          <w:sz w:val="24"/>
          <w:szCs w:val="24"/>
        </w:rPr>
        <w:t>Лечение на новодиагностицирана пристъпно-ремитентна форма на множествена склероза</w:t>
      </w:r>
    </w:p>
    <w:p w14:paraId="3FA00897"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num" w:pos="360"/>
        </w:tabs>
        <w:spacing w:after="0" w:line="360" w:lineRule="auto"/>
        <w:ind w:left="360" w:hanging="360"/>
        <w:jc w:val="both"/>
        <w:rPr>
          <w:rFonts w:ascii="Times New Roman" w:eastAsia="SimSun" w:hAnsi="Times New Roman"/>
          <w:b/>
          <w:i/>
          <w:sz w:val="24"/>
          <w:szCs w:val="24"/>
        </w:rPr>
      </w:pPr>
      <w:r w:rsidRPr="00AE47C6">
        <w:rPr>
          <w:rFonts w:ascii="Times New Roman" w:eastAsia="SimSun" w:hAnsi="Times New Roman"/>
          <w:sz w:val="24"/>
          <w:szCs w:val="24"/>
        </w:rPr>
        <w:t xml:space="preserve">лечение на </w:t>
      </w:r>
      <w:r w:rsidRPr="00AE47C6">
        <w:rPr>
          <w:rFonts w:ascii="Times New Roman" w:eastAsia="SimSun" w:hAnsi="Times New Roman"/>
          <w:b/>
          <w:bCs/>
          <w:sz w:val="24"/>
          <w:szCs w:val="24"/>
        </w:rPr>
        <w:t>първа линия</w:t>
      </w:r>
      <w:r w:rsidRPr="00AE47C6">
        <w:rPr>
          <w:rFonts w:ascii="Times New Roman" w:eastAsia="SimSun" w:hAnsi="Times New Roman"/>
          <w:sz w:val="24"/>
          <w:szCs w:val="24"/>
        </w:rPr>
        <w:t xml:space="preserve"> – с бета интерферони (включително с пегилирана форма), glatiramer acetate, teriflunomide, dimethyl fumarate или </w:t>
      </w:r>
      <w:r w:rsidRPr="00AE47C6">
        <w:rPr>
          <w:rFonts w:ascii="Times New Roman" w:eastAsia="TimesNewRomanPSMT" w:hAnsi="Times New Roman"/>
          <w:iCs/>
          <w:sz w:val="24"/>
          <w:szCs w:val="24"/>
        </w:rPr>
        <w:t>diroximel fumarate</w:t>
      </w:r>
      <w:r w:rsidRPr="00AE47C6">
        <w:rPr>
          <w:rFonts w:ascii="Times New Roman" w:eastAsia="SimSun" w:hAnsi="Times New Roman"/>
          <w:sz w:val="24"/>
          <w:szCs w:val="24"/>
        </w:rPr>
        <w:t xml:space="preserve"> </w:t>
      </w:r>
    </w:p>
    <w:p w14:paraId="79765A99"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num" w:pos="360"/>
        </w:tabs>
        <w:spacing w:after="0" w:line="360" w:lineRule="auto"/>
        <w:ind w:left="360" w:hanging="360"/>
        <w:jc w:val="both"/>
        <w:rPr>
          <w:rFonts w:ascii="Times New Roman" w:eastAsia="SimSun" w:hAnsi="Times New Roman"/>
          <w:b/>
          <w:i/>
          <w:sz w:val="24"/>
          <w:szCs w:val="24"/>
        </w:rPr>
      </w:pPr>
      <w:r w:rsidRPr="00AE47C6">
        <w:rPr>
          <w:rFonts w:ascii="Times New Roman" w:eastAsia="SimSun" w:hAnsi="Times New Roman"/>
          <w:sz w:val="24"/>
          <w:szCs w:val="24"/>
        </w:rPr>
        <w:t xml:space="preserve">лечение на </w:t>
      </w:r>
      <w:r w:rsidRPr="00AE47C6">
        <w:rPr>
          <w:rFonts w:ascii="Times New Roman" w:eastAsia="SimSun" w:hAnsi="Times New Roman"/>
          <w:b/>
          <w:bCs/>
          <w:sz w:val="24"/>
          <w:szCs w:val="24"/>
        </w:rPr>
        <w:t>втора линия</w:t>
      </w:r>
      <w:r w:rsidRPr="00AE47C6">
        <w:rPr>
          <w:rFonts w:ascii="Times New Roman" w:eastAsia="SimSun" w:hAnsi="Times New Roman"/>
          <w:sz w:val="24"/>
          <w:szCs w:val="24"/>
        </w:rPr>
        <w:t xml:space="preserve"> с S</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P рецепторни модулатори, селективния имуносупресор cladribine или моноклонални антитела</w:t>
      </w:r>
    </w:p>
    <w:p w14:paraId="4C7EA64D"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num" w:pos="360"/>
        </w:tabs>
        <w:spacing w:after="0" w:line="360" w:lineRule="auto"/>
        <w:ind w:left="360" w:hanging="360"/>
        <w:jc w:val="both"/>
        <w:rPr>
          <w:rFonts w:ascii="Times New Roman" w:eastAsia="SimSun" w:hAnsi="Times New Roman"/>
          <w:b/>
          <w:i/>
          <w:sz w:val="24"/>
          <w:szCs w:val="24"/>
        </w:rPr>
      </w:pPr>
      <w:r w:rsidRPr="00AE47C6">
        <w:rPr>
          <w:rFonts w:ascii="Times New Roman" w:eastAsia="SimSun" w:hAnsi="Times New Roman"/>
          <w:sz w:val="24"/>
          <w:szCs w:val="24"/>
        </w:rPr>
        <w:t xml:space="preserve">спазване на хигиенно-диетичен режим </w:t>
      </w:r>
    </w:p>
    <w:p w14:paraId="31BEC897"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num" w:pos="360"/>
        </w:tabs>
        <w:spacing w:after="0" w:line="360" w:lineRule="auto"/>
        <w:ind w:left="360" w:hanging="360"/>
        <w:jc w:val="both"/>
        <w:rPr>
          <w:rFonts w:ascii="Times New Roman" w:eastAsia="SimSun" w:hAnsi="Times New Roman"/>
          <w:b/>
          <w:i/>
          <w:sz w:val="24"/>
          <w:szCs w:val="24"/>
        </w:rPr>
      </w:pPr>
      <w:r w:rsidRPr="00AE47C6">
        <w:rPr>
          <w:rFonts w:ascii="Times New Roman" w:eastAsia="SimSun" w:hAnsi="Times New Roman"/>
          <w:sz w:val="24"/>
          <w:szCs w:val="24"/>
        </w:rPr>
        <w:t>симптоматично лечение</w:t>
      </w:r>
    </w:p>
    <w:p w14:paraId="7F2222EA"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5BA277F2" w14:textId="77777777" w:rsidR="00BE0B19" w:rsidRPr="00AE47C6" w:rsidRDefault="00BE0B19" w:rsidP="00BE0B19">
      <w:pPr>
        <w:spacing w:after="0" w:line="360" w:lineRule="auto"/>
        <w:ind w:firstLine="720"/>
        <w:jc w:val="both"/>
        <w:rPr>
          <w:rFonts w:ascii="Times New Roman" w:eastAsia="SimSun" w:hAnsi="Times New Roman"/>
          <w:sz w:val="24"/>
          <w:szCs w:val="24"/>
          <w:lang w:eastAsia="ja-JP"/>
        </w:rPr>
      </w:pPr>
      <w:r w:rsidRPr="00AE47C6">
        <w:rPr>
          <w:rFonts w:ascii="Times New Roman" w:eastAsia="SimSun" w:hAnsi="Times New Roman"/>
          <w:sz w:val="24"/>
          <w:szCs w:val="24"/>
          <w:lang w:eastAsia="ja-JP"/>
        </w:rPr>
        <w:t>Прилагането на модифициращи хода на заболяването медикаменти в детска възраст е ограничено, поради липсата на клинични проучвания. Повечето медикаменти нямат регистрирано разрешение за употреба, независимо че резултатите от някои малки проучвания показват, че тяхната безопасност и клиничен ефект са сходни с тези при възрастни. Поради високата пристъпна честота в юношеската възраст, което е свързано с по-ранна инвалидизация, прилагането на медикаменти модифициращи хода на заболяването е желателно. Ползата от ранното лечение веднага след поставяне на сигурна диагноза е категорично установена.</w:t>
      </w:r>
    </w:p>
    <w:p w14:paraId="02E07262" w14:textId="77777777" w:rsidR="00BE0B19" w:rsidRPr="00AE47C6" w:rsidRDefault="00BE0B19" w:rsidP="00BE0B19">
      <w:pPr>
        <w:spacing w:after="0" w:line="360" w:lineRule="auto"/>
        <w:ind w:firstLine="720"/>
        <w:jc w:val="both"/>
        <w:rPr>
          <w:rFonts w:ascii="Times New Roman" w:eastAsia="SimSun" w:hAnsi="Times New Roman"/>
          <w:sz w:val="24"/>
          <w:szCs w:val="24"/>
          <w:lang w:eastAsia="ja-JP"/>
        </w:rPr>
      </w:pPr>
      <w:r w:rsidRPr="00AE47C6">
        <w:rPr>
          <w:rFonts w:ascii="Times New Roman" w:eastAsia="SimSun" w:hAnsi="Times New Roman"/>
          <w:b/>
          <w:bCs/>
          <w:i/>
          <w:iCs/>
          <w:sz w:val="24"/>
          <w:szCs w:val="24"/>
          <w:lang w:eastAsia="ja-JP"/>
        </w:rPr>
        <w:t>Interferon beta-1b</w:t>
      </w:r>
      <w:r w:rsidRPr="00AE47C6">
        <w:rPr>
          <w:rFonts w:ascii="Times New Roman" w:eastAsia="SimSun" w:hAnsi="Times New Roman"/>
          <w:sz w:val="24"/>
          <w:szCs w:val="24"/>
          <w:lang w:eastAsia="ja-JP"/>
        </w:rPr>
        <w:t xml:space="preserve">, </w:t>
      </w:r>
      <w:r w:rsidRPr="00AE47C6">
        <w:rPr>
          <w:rFonts w:ascii="Times New Roman" w:eastAsia="SimSun" w:hAnsi="Times New Roman"/>
          <w:b/>
          <w:bCs/>
          <w:i/>
          <w:iCs/>
          <w:sz w:val="24"/>
          <w:szCs w:val="24"/>
          <w:lang w:eastAsia="ja-JP"/>
        </w:rPr>
        <w:t>Interferon beta-1a</w:t>
      </w:r>
      <w:r w:rsidRPr="00AE47C6">
        <w:rPr>
          <w:rFonts w:ascii="Times New Roman" w:eastAsia="SimSun" w:hAnsi="Times New Roman"/>
          <w:sz w:val="24"/>
          <w:szCs w:val="24"/>
          <w:lang w:eastAsia="ja-JP"/>
        </w:rPr>
        <w:t xml:space="preserve"> и </w:t>
      </w:r>
      <w:r w:rsidRPr="00AE47C6">
        <w:rPr>
          <w:rFonts w:ascii="Times New Roman" w:eastAsia="SimSun" w:hAnsi="Times New Roman"/>
          <w:b/>
          <w:bCs/>
          <w:i/>
          <w:iCs/>
          <w:sz w:val="24"/>
          <w:szCs w:val="24"/>
          <w:lang w:eastAsia="ja-JP"/>
        </w:rPr>
        <w:t>glatiramer acetate</w:t>
      </w:r>
      <w:r w:rsidRPr="00AE47C6">
        <w:rPr>
          <w:rFonts w:ascii="Times New Roman" w:eastAsia="SimSun" w:hAnsi="Times New Roman"/>
          <w:sz w:val="24"/>
          <w:szCs w:val="24"/>
          <w:lang w:eastAsia="ja-JP"/>
        </w:rPr>
        <w:t xml:space="preserve"> при пациенти между 12 и 16 годишна възраст и </w:t>
      </w:r>
      <w:r w:rsidRPr="00AE47C6">
        <w:rPr>
          <w:rFonts w:ascii="Times New Roman" w:eastAsia="SimSun" w:hAnsi="Times New Roman"/>
          <w:b/>
          <w:bCs/>
          <w:i/>
          <w:iCs/>
          <w:sz w:val="24"/>
          <w:szCs w:val="24"/>
          <w:lang w:eastAsia="ja-JP"/>
        </w:rPr>
        <w:t>Interferon beta-1a</w:t>
      </w:r>
      <w:r w:rsidRPr="00AE47C6">
        <w:rPr>
          <w:rFonts w:ascii="Times New Roman" w:eastAsia="SimSun" w:hAnsi="Times New Roman"/>
          <w:sz w:val="24"/>
          <w:szCs w:val="24"/>
          <w:lang w:eastAsia="ja-JP"/>
        </w:rPr>
        <w:t xml:space="preserve"> при пациенти между 2 и 17 годишна възраст, приложени в обичайните дози за възрастни, са с профил на безопасност, сходен с този при възрастни. Тези заключения са на базата на ограничени публикувани данни. Прилагането на терапията в тази възраст става при титриране по схема според телесното тегло при преценка на ползата спрямо риска и на собствена отговорност на лекуващия лекар. </w:t>
      </w:r>
    </w:p>
    <w:p w14:paraId="7790C98D" w14:textId="77777777" w:rsidR="00BE0B19" w:rsidRPr="00AE47C6" w:rsidRDefault="00BE0B19" w:rsidP="00BE0B19">
      <w:pPr>
        <w:tabs>
          <w:tab w:val="center" w:pos="4320"/>
          <w:tab w:val="right" w:pos="8640"/>
        </w:tabs>
        <w:spacing w:after="0" w:line="360" w:lineRule="auto"/>
        <w:ind w:firstLine="720"/>
        <w:jc w:val="both"/>
        <w:rPr>
          <w:rFonts w:ascii="Times New Roman" w:eastAsia="SimSun" w:hAnsi="Times New Roman"/>
          <w:sz w:val="24"/>
          <w:szCs w:val="24"/>
          <w:lang w:eastAsia="ja-JP"/>
        </w:rPr>
      </w:pPr>
      <w:r w:rsidRPr="00AE47C6">
        <w:rPr>
          <w:rFonts w:ascii="Times New Roman" w:eastAsia="SimSun" w:hAnsi="Times New Roman"/>
          <w:b/>
          <w:i/>
          <w:iCs/>
          <w:sz w:val="24"/>
          <w:szCs w:val="24"/>
          <w:lang w:eastAsia="ja-JP"/>
        </w:rPr>
        <w:t>Teriflunomide</w:t>
      </w:r>
      <w:r w:rsidRPr="00AE47C6">
        <w:rPr>
          <w:rFonts w:ascii="Times New Roman" w:eastAsia="SimSun" w:hAnsi="Times New Roman"/>
          <w:sz w:val="24"/>
          <w:szCs w:val="24"/>
          <w:lang w:eastAsia="ja-JP"/>
        </w:rPr>
        <w:t xml:space="preserve"> може да се прилага при деца на възраст от 10 до 17 години въз основа на резултатите от проучването TERIKIDS, които показват профил на безопасност, подобен на този, наблюдаван при възрастни пациенти.  Препоръчителната доза зависи от телесното тегло:</w:t>
      </w:r>
    </w:p>
    <w:p w14:paraId="08913006" w14:textId="77777777" w:rsidR="00BE0B19" w:rsidRPr="00AE47C6" w:rsidRDefault="00BE0B19" w:rsidP="00BE0B19">
      <w:pPr>
        <w:tabs>
          <w:tab w:val="center" w:pos="4320"/>
          <w:tab w:val="right" w:pos="8640"/>
        </w:tabs>
        <w:spacing w:after="0" w:line="360" w:lineRule="auto"/>
        <w:ind w:firstLine="720"/>
        <w:jc w:val="both"/>
        <w:rPr>
          <w:rFonts w:ascii="Times New Roman" w:eastAsia="SimSun" w:hAnsi="Times New Roman"/>
          <w:sz w:val="24"/>
          <w:szCs w:val="24"/>
          <w:lang w:eastAsia="ja-JP"/>
        </w:rPr>
      </w:pPr>
      <w:r w:rsidRPr="00AE47C6">
        <w:rPr>
          <w:rFonts w:ascii="Times New Roman" w:eastAsia="SimSun" w:hAnsi="Times New Roman"/>
          <w:sz w:val="24"/>
          <w:szCs w:val="24"/>
          <w:lang w:eastAsia="ja-JP"/>
        </w:rPr>
        <w:t>- при телесно тегло ≤40 kg - 7 mg веднъж дневно.</w:t>
      </w:r>
    </w:p>
    <w:p w14:paraId="44EBFBB8" w14:textId="77777777" w:rsidR="00BE0B19" w:rsidRPr="00AE47C6" w:rsidRDefault="00BE0B19" w:rsidP="00BE0B19">
      <w:pPr>
        <w:tabs>
          <w:tab w:val="center" w:pos="4320"/>
          <w:tab w:val="right" w:pos="8640"/>
        </w:tabs>
        <w:spacing w:after="0" w:line="360" w:lineRule="auto"/>
        <w:ind w:firstLine="720"/>
        <w:jc w:val="both"/>
        <w:rPr>
          <w:rFonts w:ascii="Times New Roman" w:eastAsia="SimSun" w:hAnsi="Times New Roman"/>
          <w:sz w:val="24"/>
          <w:szCs w:val="24"/>
          <w:lang w:eastAsia="ja-JP"/>
        </w:rPr>
      </w:pPr>
      <w:r w:rsidRPr="00AE47C6">
        <w:rPr>
          <w:rFonts w:ascii="Times New Roman" w:eastAsia="SimSun" w:hAnsi="Times New Roman"/>
          <w:sz w:val="24"/>
          <w:szCs w:val="24"/>
          <w:lang w:eastAsia="ja-JP"/>
        </w:rPr>
        <w:t>- при телесно тегло &gt;40 kg - 14 mg веднъж дневно.</w:t>
      </w:r>
    </w:p>
    <w:p w14:paraId="2C249BC2" w14:textId="77777777" w:rsidR="00BE0B19" w:rsidRPr="00AE47C6" w:rsidRDefault="00BE0B19" w:rsidP="00BE0B19">
      <w:pPr>
        <w:tabs>
          <w:tab w:val="center" w:pos="4320"/>
          <w:tab w:val="right" w:pos="8640"/>
        </w:tabs>
        <w:spacing w:after="0" w:line="360" w:lineRule="auto"/>
        <w:ind w:firstLine="720"/>
        <w:jc w:val="both"/>
        <w:rPr>
          <w:rFonts w:ascii="Times New Roman" w:eastAsia="SimSun" w:hAnsi="Times New Roman"/>
          <w:sz w:val="24"/>
          <w:szCs w:val="24"/>
          <w:lang w:eastAsia="ja-JP"/>
        </w:rPr>
      </w:pPr>
    </w:p>
    <w:tbl>
      <w:tblPr>
        <w:tblW w:w="90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BE0B19" w:rsidRPr="00AE47C6" w14:paraId="74739E9C" w14:textId="77777777" w:rsidTr="00AD72E5">
        <w:trPr>
          <w:trHeight w:val="415"/>
        </w:trPr>
        <w:tc>
          <w:tcPr>
            <w:tcW w:w="9923" w:type="dxa"/>
          </w:tcPr>
          <w:p w14:paraId="13783A1F" w14:textId="77777777" w:rsidR="00BE0B19" w:rsidRPr="00AE47C6" w:rsidRDefault="00BE0B19" w:rsidP="00BE0B19">
            <w:pPr>
              <w:spacing w:after="0" w:line="360" w:lineRule="auto"/>
              <w:jc w:val="center"/>
              <w:rPr>
                <w:rFonts w:ascii="Times New Roman" w:eastAsia="SimSun" w:hAnsi="Times New Roman"/>
                <w:b/>
                <w:sz w:val="24"/>
                <w:szCs w:val="24"/>
              </w:rPr>
            </w:pPr>
            <w:r w:rsidRPr="00AE47C6">
              <w:rPr>
                <w:rFonts w:ascii="Times New Roman" w:eastAsia="SimSun" w:hAnsi="Times New Roman"/>
                <w:b/>
                <w:sz w:val="24"/>
                <w:szCs w:val="24"/>
              </w:rPr>
              <w:t>Критерии за лечение на множествената склероза с teriflunomide</w:t>
            </w:r>
            <w:r w:rsidRPr="00AE47C6">
              <w:rPr>
                <w:rFonts w:ascii="Times New Roman" w:eastAsia="SimSun" w:hAnsi="Times New Roman"/>
                <w:i/>
                <w:sz w:val="24"/>
                <w:szCs w:val="24"/>
              </w:rPr>
              <w:t xml:space="preserve"> </w:t>
            </w:r>
            <w:r w:rsidRPr="00AE47C6">
              <w:rPr>
                <w:rFonts w:ascii="Times New Roman" w:eastAsia="SimSun" w:hAnsi="Times New Roman"/>
                <w:b/>
                <w:sz w:val="24"/>
                <w:szCs w:val="24"/>
              </w:rPr>
              <w:t>при деца с пристъпно-ремитентен ход на заболяването</w:t>
            </w:r>
          </w:p>
          <w:p w14:paraId="065A662C"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I. Включващи</w:t>
            </w:r>
          </w:p>
          <w:p w14:paraId="550E4E3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Диагноза множествена склероза по ревизираните от Tompson и сътр. през 2017 г. диагностични критерии на McDonald</w:t>
            </w:r>
          </w:p>
          <w:p w14:paraId="20DBA8F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Възраст от 10 до 17 години</w:t>
            </w:r>
          </w:p>
          <w:p w14:paraId="25ECDCE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Инвалидност до 4,0 по скалата на Kurtzke</w:t>
            </w:r>
          </w:p>
          <w:p w14:paraId="0AE42C7E"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II. Изключващи</w:t>
            </w:r>
          </w:p>
          <w:p w14:paraId="6E8BA0A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Тежки имунодефицитни състояния </w:t>
            </w:r>
          </w:p>
          <w:p w14:paraId="7DA03B4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Тежка активна инфекция до оздравяване</w:t>
            </w:r>
          </w:p>
          <w:p w14:paraId="070F0D9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Значимо нарушение на костномозъчната функция или значима анемия, левкопения, неутропения или тромбоцитопения</w:t>
            </w:r>
          </w:p>
          <w:p w14:paraId="67899BB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Тежко чернодробно увреждане</w:t>
            </w:r>
          </w:p>
          <w:p w14:paraId="2526D1D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Диализа</w:t>
            </w:r>
          </w:p>
          <w:p w14:paraId="5D4CADD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 Тежка хипопротеинемия</w:t>
            </w:r>
          </w:p>
          <w:p w14:paraId="61B7278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 Бременност или кърмене</w:t>
            </w:r>
          </w:p>
          <w:p w14:paraId="4A73D52F"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III. Лечение не се прилага или ако е започнато се спира при:</w:t>
            </w:r>
          </w:p>
          <w:p w14:paraId="58C64AE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Забременяване на пациентка. Препоръчва се процедура за ускорено елиминиране за постигане на плазмена концентрация под 0,02 mg/L.</w:t>
            </w:r>
          </w:p>
          <w:p w14:paraId="4A358B0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Сериозни странични реакции от лечението</w:t>
            </w:r>
          </w:p>
          <w:p w14:paraId="0322EA4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3. Системно неспазване на лечебната схема от болния </w:t>
            </w:r>
          </w:p>
          <w:p w14:paraId="6D8266C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4. Липса на клинична ефективност от лечението (2 и повече пристъпа за 1 година). </w:t>
            </w:r>
          </w:p>
          <w:p w14:paraId="3EACE67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5. При липса на ефективност от медикаменти на първа линия може да се премине на други медикаменти от първа или втора линия в зависимост от активността на заболяването. През период, равен на 5 полуживота (3,5 месеца), започването на друга терапия води до адитивен афект върху имунната система и налага повишено внимание. </w:t>
            </w:r>
          </w:p>
          <w:p w14:paraId="0A12207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 Достигане на инвалидност 5 по скалата на Kurtzke.</w:t>
            </w:r>
          </w:p>
        </w:tc>
      </w:tr>
    </w:tbl>
    <w:p w14:paraId="1298C7C7" w14:textId="77777777" w:rsidR="00BE0B19" w:rsidRPr="00AE47C6" w:rsidRDefault="00BE0B19" w:rsidP="00BE0B19">
      <w:pPr>
        <w:tabs>
          <w:tab w:val="center" w:pos="4320"/>
          <w:tab w:val="right" w:pos="8640"/>
        </w:tabs>
        <w:spacing w:after="0" w:line="360" w:lineRule="auto"/>
        <w:ind w:firstLine="720"/>
        <w:jc w:val="both"/>
        <w:rPr>
          <w:rFonts w:ascii="Times New Roman" w:eastAsia="SimSun" w:hAnsi="Times New Roman"/>
          <w:sz w:val="24"/>
          <w:szCs w:val="24"/>
          <w:lang w:eastAsia="ja-JP"/>
        </w:rPr>
      </w:pPr>
    </w:p>
    <w:p w14:paraId="0A34CF93" w14:textId="77777777" w:rsidR="00BE0B19" w:rsidRPr="00AE47C6" w:rsidRDefault="00BE0B19" w:rsidP="00BE0B19">
      <w:pPr>
        <w:tabs>
          <w:tab w:val="center" w:pos="4320"/>
          <w:tab w:val="right" w:pos="8640"/>
        </w:tabs>
        <w:spacing w:after="0" w:line="360" w:lineRule="auto"/>
        <w:ind w:firstLine="720"/>
        <w:jc w:val="both"/>
        <w:rPr>
          <w:rFonts w:ascii="Times New Roman" w:eastAsia="SimSun" w:hAnsi="Times New Roman"/>
          <w:sz w:val="24"/>
          <w:szCs w:val="24"/>
          <w:lang w:eastAsia="ja-JP"/>
        </w:rPr>
      </w:pPr>
    </w:p>
    <w:p w14:paraId="270BE94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Cs/>
          <w:sz w:val="24"/>
          <w:szCs w:val="24"/>
        </w:rPr>
      </w:pPr>
      <w:r w:rsidRPr="00AE47C6">
        <w:rPr>
          <w:rFonts w:ascii="Times New Roman" w:eastAsia="SimSun" w:hAnsi="Times New Roman"/>
          <w:b/>
          <w:bCs/>
          <w:iCs/>
          <w:sz w:val="24"/>
          <w:szCs w:val="24"/>
        </w:rPr>
        <w:t>Критерии за лечение на множествената склероза с бета интерферони и glatiramer acetate при пациенти с пристъпно-ремитентен ход на заболяването</w:t>
      </w:r>
    </w:p>
    <w:p w14:paraId="0F024A4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p>
    <w:p w14:paraId="65E9343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I. Включващи</w:t>
      </w:r>
    </w:p>
    <w:p w14:paraId="3E848CA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1. Диагноза множествена склероза по ревизираните от Tompson и сътр. през 2017 г. диагностични критерии на McDonald</w:t>
      </w:r>
    </w:p>
    <w:p w14:paraId="7E13B8E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2. Възраст над 16 години (над 18 г. за glatiramer acetate и пегилиран бета интерферон)</w:t>
      </w:r>
    </w:p>
    <w:p w14:paraId="55A8790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3. Инвалидност до 4,0 по скалата на Kurtzke</w:t>
      </w:r>
    </w:p>
    <w:p w14:paraId="3B3749D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p>
    <w:p w14:paraId="5319CB6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 xml:space="preserve">II. </w:t>
      </w:r>
      <w:r w:rsidRPr="00AE47C6">
        <w:rPr>
          <w:rFonts w:ascii="Times New Roman" w:eastAsia="SimSun" w:hAnsi="Times New Roman"/>
          <w:b/>
          <w:bCs/>
          <w:sz w:val="24"/>
          <w:szCs w:val="24"/>
        </w:rPr>
        <w:t>Изключващи</w:t>
      </w:r>
      <w:r w:rsidRPr="00AE47C6">
        <w:rPr>
          <w:rFonts w:ascii="Times New Roman" w:eastAsia="SimSun" w:hAnsi="Times New Roman"/>
          <w:i/>
          <w:sz w:val="24"/>
          <w:szCs w:val="24"/>
        </w:rPr>
        <w:t xml:space="preserve"> </w:t>
      </w:r>
    </w:p>
    <w:p w14:paraId="1F9DDF2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1. Придружаващи хронични заболявания, които скъсяват продължителността на живота (алкохолизъм, деменция, психози, злокачествени новообразувания, които не са в ремисия).</w:t>
      </w:r>
    </w:p>
    <w:p w14:paraId="0686AAB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2. Болни с тежка депресия и суицидитет по време на лечението (само за бета интерферони) </w:t>
      </w:r>
    </w:p>
    <w:p w14:paraId="7751111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3. </w:t>
      </w:r>
      <w:r w:rsidRPr="00AE47C6">
        <w:rPr>
          <w:rFonts w:ascii="Times New Roman" w:eastAsia="SimSun" w:hAnsi="Times New Roman"/>
          <w:b/>
          <w:bCs/>
          <w:sz w:val="24"/>
          <w:szCs w:val="24"/>
        </w:rPr>
        <w:t>Бременност</w:t>
      </w:r>
      <w:r w:rsidRPr="00AE47C6">
        <w:rPr>
          <w:rFonts w:ascii="Times New Roman" w:eastAsia="SimSun" w:hAnsi="Times New Roman"/>
          <w:sz w:val="24"/>
          <w:szCs w:val="24"/>
        </w:rPr>
        <w:t xml:space="preserve"> (по преценка, спрямо конкретната терапия и срока на бременността)</w:t>
      </w:r>
    </w:p>
    <w:p w14:paraId="7C0A7A6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p>
    <w:p w14:paraId="390768D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III. Лечение не се прилага или ако е започнато се спира при:</w:t>
      </w:r>
    </w:p>
    <w:p w14:paraId="6C4EA1D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Забременяване на пациентка (по преценка, спрямо конкретната терапия и срока на бременността)</w:t>
      </w:r>
    </w:p>
    <w:p w14:paraId="1FA4118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2. Сериозни странични реакции от лечението</w:t>
      </w:r>
    </w:p>
    <w:p w14:paraId="7441EA5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3. Системно неспазване на лечебната схема от болния </w:t>
      </w:r>
    </w:p>
    <w:p w14:paraId="1FC72A0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4. Липса на клинична ефективност от лечението (2 и повече пристъпа за 1 година) </w:t>
      </w:r>
    </w:p>
    <w:p w14:paraId="36A4FBA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При лекуваните с бета интерферони без клинична ефективност и/или наличие на неутрализиращи антитела може да се премине на други медикаменти от първа или втора линия, в зависимост от активността на заболяването</w:t>
      </w:r>
    </w:p>
    <w:p w14:paraId="72581C9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6. При липса на ефективност от медикаменти на първа линия може да се премине на медикаменти от втора линия </w:t>
      </w:r>
    </w:p>
    <w:p w14:paraId="394D0F7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Достигане на инвалидност 5 по скалата на Kurtzke </w:t>
      </w:r>
    </w:p>
    <w:p w14:paraId="5C58116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8. Достигане до възраст 59 години и липса на активност на заболяването през последните 2 години.</w:t>
      </w:r>
    </w:p>
    <w:p w14:paraId="39A00125"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tbl>
      <w:tblPr>
        <w:tblW w:w="90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BE0B19" w:rsidRPr="00AE47C6" w14:paraId="21F283A4" w14:textId="77777777" w:rsidTr="00AD72E5">
        <w:trPr>
          <w:trHeight w:val="415"/>
        </w:trPr>
        <w:tc>
          <w:tcPr>
            <w:tcW w:w="9923" w:type="dxa"/>
          </w:tcPr>
          <w:p w14:paraId="4A58BDC9" w14:textId="77777777" w:rsidR="00BE0B19" w:rsidRPr="00AE47C6" w:rsidRDefault="00BE0B19" w:rsidP="00BE0B19">
            <w:pPr>
              <w:spacing w:after="0" w:line="360" w:lineRule="auto"/>
              <w:jc w:val="center"/>
              <w:rPr>
                <w:rFonts w:ascii="Times New Roman" w:eastAsia="SimSun" w:hAnsi="Times New Roman"/>
                <w:b/>
                <w:sz w:val="24"/>
                <w:szCs w:val="24"/>
              </w:rPr>
            </w:pPr>
            <w:r w:rsidRPr="00AE47C6">
              <w:rPr>
                <w:rFonts w:ascii="Times New Roman" w:eastAsia="SimSun" w:hAnsi="Times New Roman"/>
                <w:b/>
                <w:sz w:val="24"/>
                <w:szCs w:val="24"/>
              </w:rPr>
              <w:t>Критерии за прилагане на лечение с dimethyl fumarate</w:t>
            </w:r>
            <w:r w:rsidRPr="00AE47C6">
              <w:rPr>
                <w:rFonts w:ascii="Times New Roman" w:eastAsia="SimSun" w:hAnsi="Times New Roman"/>
                <w:b/>
                <w:i/>
                <w:sz w:val="24"/>
                <w:szCs w:val="24"/>
              </w:rPr>
              <w:t xml:space="preserve"> </w:t>
            </w:r>
            <w:r w:rsidRPr="00AE47C6">
              <w:rPr>
                <w:rFonts w:ascii="Times New Roman" w:eastAsia="SimSun" w:hAnsi="Times New Roman"/>
                <w:b/>
                <w:iCs/>
                <w:sz w:val="24"/>
                <w:szCs w:val="24"/>
              </w:rPr>
              <w:t xml:space="preserve">и </w:t>
            </w:r>
            <w:r w:rsidRPr="00AE47C6">
              <w:rPr>
                <w:rFonts w:ascii="Times New Roman" w:eastAsia="TimesNewRomanPSMT" w:hAnsi="Times New Roman"/>
                <w:b/>
                <w:sz w:val="24"/>
                <w:szCs w:val="24"/>
              </w:rPr>
              <w:t>diroximel fumarate</w:t>
            </w:r>
            <w:r w:rsidRPr="00AE47C6">
              <w:rPr>
                <w:rFonts w:ascii="Times New Roman" w:eastAsia="TimesNewRomanPSMT" w:hAnsi="Times New Roman"/>
                <w:sz w:val="24"/>
                <w:szCs w:val="24"/>
              </w:rPr>
              <w:t xml:space="preserve"> </w:t>
            </w:r>
            <w:r w:rsidRPr="00AE47C6">
              <w:rPr>
                <w:rFonts w:ascii="Times New Roman" w:eastAsia="SimSun" w:hAnsi="Times New Roman"/>
                <w:b/>
                <w:sz w:val="24"/>
                <w:szCs w:val="24"/>
              </w:rPr>
              <w:t>при пациенти с пристъпно-ремитентен ход на заболяването</w:t>
            </w:r>
          </w:p>
          <w:p w14:paraId="49759D96"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I. Включващи</w:t>
            </w:r>
          </w:p>
          <w:p w14:paraId="402B6DF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Диагноза множествена склероза по ревизираните от Tompson и сътр. през 2017 г. диагностични критерии на McDonald</w:t>
            </w:r>
          </w:p>
          <w:p w14:paraId="5D267AD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2. Възраст над 18 години </w:t>
            </w:r>
          </w:p>
          <w:p w14:paraId="2843695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Инвалидност до 4,0 по скалата на Kurtzke</w:t>
            </w:r>
          </w:p>
          <w:p w14:paraId="3D2D0346"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II. Изключващи</w:t>
            </w:r>
          </w:p>
          <w:p w14:paraId="02E3780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Бременност или планирана бременност.</w:t>
            </w:r>
          </w:p>
          <w:p w14:paraId="6B7FCDE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Пациенти с имунодефицитен синдром или провеждащи имуносупресивна терапия</w:t>
            </w:r>
          </w:p>
          <w:p w14:paraId="210BD7D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Активни остри или хронични инфекции (хепатит, туберкулоза)</w:t>
            </w:r>
          </w:p>
          <w:p w14:paraId="5E641C4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Неоплазми, с изключение на кожен базалноклетъчен карцином</w:t>
            </w:r>
          </w:p>
          <w:p w14:paraId="419EEE4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Тежко чернодробно увреждане</w:t>
            </w:r>
          </w:p>
          <w:p w14:paraId="0928AD28"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III. Лечение не се прилага или ако е започнато се спира при:</w:t>
            </w:r>
          </w:p>
          <w:p w14:paraId="78879F4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Забременяване на пациентка</w:t>
            </w:r>
          </w:p>
          <w:p w14:paraId="05F79A5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Сериозни странични реакции от лечението</w:t>
            </w:r>
          </w:p>
          <w:p w14:paraId="06E943E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Системно неспазване на лечебната схема от болния</w:t>
            </w:r>
          </w:p>
          <w:p w14:paraId="3DDE497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4. Липса на клинична ефективност от лечението (2 и повече пристъпа за 1 година). </w:t>
            </w:r>
          </w:p>
          <w:p w14:paraId="13B5003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При липса на ефективност от медикаменти на първа линия може да се премине на други медикаменти от първа или втора линия в зависимост от активността на заболяването</w:t>
            </w:r>
          </w:p>
          <w:p w14:paraId="21D641B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6. Достигане на инвалидност 5 по скалата на Kurtzke </w:t>
            </w:r>
          </w:p>
          <w:p w14:paraId="33A37CA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 Достигане до възраст 59 години и липса на активност на заболяването през последните 2 години.</w:t>
            </w:r>
          </w:p>
        </w:tc>
      </w:tr>
    </w:tbl>
    <w:p w14:paraId="6FB0E40C" w14:textId="77777777" w:rsidR="00BE0B19" w:rsidRPr="00AE47C6" w:rsidRDefault="00BE0B19" w:rsidP="00BE0B19">
      <w:pPr>
        <w:spacing w:after="0" w:line="360" w:lineRule="auto"/>
        <w:rPr>
          <w:rFonts w:ascii="Times New Roman" w:eastAsia="SimSun" w:hAnsi="Times New Roman"/>
          <w:sz w:val="24"/>
          <w:szCs w:val="24"/>
        </w:rPr>
      </w:pPr>
    </w:p>
    <w:tbl>
      <w:tblPr>
        <w:tblW w:w="9072"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BE0B19" w:rsidRPr="00AE47C6" w14:paraId="29CF9A7C" w14:textId="77777777" w:rsidTr="00AD72E5">
        <w:trPr>
          <w:trHeight w:val="414"/>
        </w:trPr>
        <w:tc>
          <w:tcPr>
            <w:tcW w:w="9923" w:type="dxa"/>
          </w:tcPr>
          <w:p w14:paraId="70298669" w14:textId="77777777" w:rsidR="00BE0B19" w:rsidRPr="00AE47C6" w:rsidRDefault="00BE0B19" w:rsidP="00BE0B19">
            <w:pPr>
              <w:spacing w:after="0" w:line="360" w:lineRule="auto"/>
              <w:ind w:firstLine="720"/>
              <w:jc w:val="center"/>
              <w:rPr>
                <w:rFonts w:ascii="Times New Roman" w:eastAsia="SimSun" w:hAnsi="Times New Roman"/>
                <w:b/>
                <w:bCs/>
                <w:sz w:val="24"/>
                <w:szCs w:val="24"/>
              </w:rPr>
            </w:pPr>
            <w:r w:rsidRPr="00AE47C6">
              <w:rPr>
                <w:rFonts w:ascii="Times New Roman" w:eastAsia="SimSun" w:hAnsi="Times New Roman"/>
                <w:b/>
                <w:sz w:val="24"/>
                <w:szCs w:val="24"/>
              </w:rPr>
              <w:t xml:space="preserve">Необходими изследвания и контролни прегледи при лечение с dimethyl fumarate и </w:t>
            </w:r>
            <w:r w:rsidRPr="00AE47C6">
              <w:rPr>
                <w:rFonts w:ascii="Times New Roman" w:eastAsia="TimesNewRomanPSMT" w:hAnsi="Times New Roman"/>
                <w:b/>
                <w:bCs/>
                <w:sz w:val="24"/>
                <w:szCs w:val="24"/>
              </w:rPr>
              <w:t>diroximel fumarate</w:t>
            </w:r>
            <w:r w:rsidRPr="00AE47C6">
              <w:rPr>
                <w:rFonts w:ascii="Times New Roman" w:eastAsia="SimSun" w:hAnsi="Times New Roman"/>
                <w:b/>
                <w:bCs/>
                <w:sz w:val="24"/>
                <w:szCs w:val="24"/>
              </w:rPr>
              <w:t xml:space="preserve"> </w:t>
            </w:r>
          </w:p>
          <w:p w14:paraId="04165346" w14:textId="77777777" w:rsidR="00BE0B19" w:rsidRPr="00AE47C6" w:rsidRDefault="00BE0B19" w:rsidP="00BE0B19">
            <w:pPr>
              <w:spacing w:after="0" w:line="360" w:lineRule="auto"/>
              <w:ind w:firstLine="720"/>
              <w:jc w:val="both"/>
              <w:rPr>
                <w:rFonts w:ascii="Times New Roman" w:eastAsia="SimSun" w:hAnsi="Times New Roman"/>
                <w:b/>
                <w:i/>
                <w:sz w:val="24"/>
                <w:szCs w:val="24"/>
              </w:rPr>
            </w:pPr>
            <w:r w:rsidRPr="00AE47C6">
              <w:rPr>
                <w:rFonts w:ascii="Times New Roman" w:eastAsia="SimSun" w:hAnsi="Times New Roman"/>
                <w:b/>
                <w:i/>
                <w:sz w:val="24"/>
                <w:szCs w:val="24"/>
              </w:rPr>
              <w:t>I. Преди започване на лечение:</w:t>
            </w:r>
          </w:p>
          <w:p w14:paraId="678551E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Актуални изследвания (до 1 - месечна давност) на пълна кръвна картина, серумни трансаминази и билирубин, урея и креатинин. </w:t>
            </w:r>
          </w:p>
          <w:p w14:paraId="00A43B4E" w14:textId="77777777" w:rsidR="00BE0B19" w:rsidRPr="00AE47C6" w:rsidRDefault="00BE0B19" w:rsidP="00BE0B19">
            <w:pPr>
              <w:spacing w:after="0" w:line="360" w:lineRule="auto"/>
              <w:ind w:firstLine="720"/>
              <w:jc w:val="both"/>
              <w:rPr>
                <w:rFonts w:ascii="Times New Roman" w:eastAsia="SimSun" w:hAnsi="Times New Roman"/>
                <w:b/>
                <w:i/>
                <w:sz w:val="24"/>
                <w:szCs w:val="24"/>
              </w:rPr>
            </w:pPr>
            <w:r w:rsidRPr="00AE47C6">
              <w:rPr>
                <w:rFonts w:ascii="Times New Roman" w:eastAsia="SimSun" w:hAnsi="Times New Roman"/>
                <w:b/>
                <w:i/>
                <w:sz w:val="24"/>
                <w:szCs w:val="24"/>
              </w:rPr>
              <w:t>II. По време на лечението:</w:t>
            </w:r>
          </w:p>
          <w:p w14:paraId="3783C2C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Проследяване на бъбречната функция (урея, креатинин и урина) и на чернодробните трансаминази на 3-ти и 6-ти месец от началото на лечението, както и на 6 или 12 месечен период след това.</w:t>
            </w:r>
          </w:p>
          <w:p w14:paraId="54D422E9" w14:textId="77777777" w:rsidR="00BE0B19" w:rsidRPr="00AE47C6" w:rsidRDefault="00BE0B19" w:rsidP="00BE0B19">
            <w:pPr>
              <w:spacing w:after="0" w:line="360" w:lineRule="auto"/>
              <w:jc w:val="both"/>
              <w:rPr>
                <w:rFonts w:ascii="Times New Roman" w:eastAsia="SimSun" w:hAnsi="Times New Roman"/>
                <w:strike/>
                <w:sz w:val="24"/>
                <w:szCs w:val="24"/>
              </w:rPr>
            </w:pPr>
            <w:r w:rsidRPr="00AE47C6">
              <w:rPr>
                <w:rFonts w:ascii="Times New Roman" w:eastAsia="SimSun" w:hAnsi="Times New Roman"/>
                <w:sz w:val="24"/>
                <w:szCs w:val="24"/>
              </w:rPr>
              <w:t>2.  Периодично проследяване на всеки 6 месеца на пълна кръвна картина с ежемесечно мониториране на ДКК при брой на лимфоцитите под 0,8х10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/L и преустановяване на лечението при спадане на броя на лимфоцитите под 0,5х10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 xml:space="preserve">/L, до възстановяване на лимфоцитния брой. </w:t>
            </w:r>
          </w:p>
          <w:p w14:paraId="694C290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3. Пациентите трябва да съобщават на лекуващия лекар за всякакви  признаци и симптоми на инфекция.  </w:t>
            </w:r>
          </w:p>
        </w:tc>
      </w:tr>
    </w:tbl>
    <w:p w14:paraId="1C665AD2" w14:textId="77777777" w:rsidR="00BE0B19" w:rsidRPr="00AE47C6" w:rsidRDefault="00BE0B19" w:rsidP="00BE0B19">
      <w:pPr>
        <w:spacing w:after="0" w:line="360" w:lineRule="auto"/>
        <w:rPr>
          <w:rFonts w:ascii="Times New Roman" w:eastAsia="SimSun" w:hAnsi="Times New Roman"/>
          <w:sz w:val="24"/>
          <w:szCs w:val="24"/>
        </w:rPr>
      </w:pPr>
    </w:p>
    <w:p w14:paraId="1DB6E09D" w14:textId="77777777" w:rsidR="00BE0B19" w:rsidRPr="00AE47C6" w:rsidRDefault="00BE0B19" w:rsidP="00BE0B19">
      <w:pPr>
        <w:spacing w:after="0" w:line="360" w:lineRule="auto"/>
        <w:rPr>
          <w:rFonts w:ascii="Times New Roman" w:eastAsia="SimSun" w:hAnsi="Times New Roman"/>
          <w:sz w:val="24"/>
          <w:szCs w:val="24"/>
        </w:rPr>
      </w:pPr>
    </w:p>
    <w:tbl>
      <w:tblPr>
        <w:tblW w:w="90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BE0B19" w:rsidRPr="00AE47C6" w14:paraId="638BE436" w14:textId="77777777" w:rsidTr="00AD72E5">
        <w:trPr>
          <w:trHeight w:val="415"/>
        </w:trPr>
        <w:tc>
          <w:tcPr>
            <w:tcW w:w="9923" w:type="dxa"/>
          </w:tcPr>
          <w:p w14:paraId="0BD3B4F7" w14:textId="77777777" w:rsidR="00BE0B19" w:rsidRPr="00AE47C6" w:rsidRDefault="00BE0B19" w:rsidP="00BE0B19">
            <w:pPr>
              <w:spacing w:after="0" w:line="360" w:lineRule="auto"/>
              <w:jc w:val="center"/>
              <w:rPr>
                <w:rFonts w:ascii="Times New Roman" w:eastAsia="SimSun" w:hAnsi="Times New Roman"/>
                <w:b/>
                <w:sz w:val="24"/>
                <w:szCs w:val="24"/>
              </w:rPr>
            </w:pPr>
            <w:r w:rsidRPr="00AE47C6">
              <w:rPr>
                <w:rFonts w:ascii="Times New Roman" w:eastAsia="SimSun" w:hAnsi="Times New Roman"/>
                <w:b/>
                <w:sz w:val="24"/>
                <w:szCs w:val="24"/>
              </w:rPr>
              <w:t>Критерии за лечение на множествената склероза с teriflunomide</w:t>
            </w:r>
            <w:r w:rsidRPr="00AE47C6">
              <w:rPr>
                <w:rFonts w:ascii="Times New Roman" w:eastAsia="SimSun" w:hAnsi="Times New Roman"/>
                <w:i/>
                <w:sz w:val="24"/>
                <w:szCs w:val="24"/>
              </w:rPr>
              <w:t xml:space="preserve"> </w:t>
            </w:r>
            <w:r w:rsidRPr="00AE47C6">
              <w:rPr>
                <w:rFonts w:ascii="Times New Roman" w:eastAsia="SimSun" w:hAnsi="Times New Roman"/>
                <w:b/>
                <w:sz w:val="24"/>
                <w:szCs w:val="24"/>
              </w:rPr>
              <w:t>при пациенти с пристъпно-ремитентен ход на заболяването</w:t>
            </w:r>
          </w:p>
          <w:p w14:paraId="53D2179C"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I. Включващи</w:t>
            </w:r>
          </w:p>
          <w:p w14:paraId="3DE0982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Диагноза множествена склероза по ревизираните от Tompson и сътр. през 2017 г. диагностични критерии на McDonald</w:t>
            </w:r>
          </w:p>
          <w:p w14:paraId="6C392FBC" w14:textId="77777777" w:rsidR="00BE0B19" w:rsidRPr="00AE47C6" w:rsidRDefault="00BE0B19" w:rsidP="00BE0B19">
            <w:pPr>
              <w:spacing w:after="0" w:line="360" w:lineRule="auto"/>
              <w:jc w:val="both"/>
              <w:rPr>
                <w:rFonts w:ascii="Times New Roman" w:eastAsia="SimSun" w:hAnsi="Times New Roman"/>
                <w:strike/>
                <w:sz w:val="24"/>
                <w:szCs w:val="24"/>
              </w:rPr>
            </w:pPr>
            <w:r w:rsidRPr="00AE47C6">
              <w:rPr>
                <w:rFonts w:ascii="Times New Roman" w:eastAsia="SimSun" w:hAnsi="Times New Roman"/>
                <w:sz w:val="24"/>
                <w:szCs w:val="24"/>
              </w:rPr>
              <w:t xml:space="preserve">2. Възраст над 18 години </w:t>
            </w:r>
          </w:p>
          <w:p w14:paraId="68E921E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Инвалидност до 4,0 по скалата на Kurtzke</w:t>
            </w:r>
          </w:p>
          <w:p w14:paraId="52C67641"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II. Изключващи</w:t>
            </w:r>
          </w:p>
          <w:p w14:paraId="22B3859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Тежки имунодефицитни състояния </w:t>
            </w:r>
          </w:p>
          <w:p w14:paraId="5C17B90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Тежка активна инфекция до оздравяване</w:t>
            </w:r>
          </w:p>
          <w:p w14:paraId="1521577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Значимо нарушение на костномозъчната функция или значима анемия, левкопения, неутропения или тромбоцитопения</w:t>
            </w:r>
          </w:p>
          <w:p w14:paraId="3B24827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Тежко чернодробно увреждане</w:t>
            </w:r>
          </w:p>
          <w:p w14:paraId="02ADBEB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Диализа</w:t>
            </w:r>
          </w:p>
          <w:p w14:paraId="5E7B124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 Тежка хипопротеинемия</w:t>
            </w:r>
          </w:p>
          <w:p w14:paraId="327921C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 Бременност или кърмене</w:t>
            </w:r>
          </w:p>
          <w:p w14:paraId="6C11ED64"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III. Лечение не се прилага или ако е започнато се спира при:</w:t>
            </w:r>
          </w:p>
          <w:p w14:paraId="06CCF93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Забременяване на пациентка. Препоръчва се процедура за ускорено елиминиране за постигане на плазмена концентрация под 0,02 mg/L.</w:t>
            </w:r>
          </w:p>
          <w:p w14:paraId="0081450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Сериозни странични реакции от лечението</w:t>
            </w:r>
          </w:p>
          <w:p w14:paraId="7A4261D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3. Системно неспазване на лечебната схема от болния </w:t>
            </w:r>
          </w:p>
          <w:p w14:paraId="5FB0E48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4. Липса на клинична ефективност от лечението (2 и повече пристъпа за 1 година). </w:t>
            </w:r>
          </w:p>
          <w:p w14:paraId="203AF51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5. При липса на ефективност от медикаменти на първа линия може да се премине на други медикаменти от първа или втора линия в зависимост от активността на заболяването. През период, равен на 5 полуживота (3,5 месеца), започването на друга терапия води до адитивен афект върху имунната система и налага повишено внимание. </w:t>
            </w:r>
          </w:p>
          <w:p w14:paraId="10D85C9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 Достигане на инвалидност 5 по скалата на Kurtzke.</w:t>
            </w:r>
          </w:p>
          <w:p w14:paraId="5765481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 Достигане до възраст 59 години и липса на активност на заболяването през последните 2 години.</w:t>
            </w:r>
          </w:p>
        </w:tc>
      </w:tr>
    </w:tbl>
    <w:p w14:paraId="08BED27F" w14:textId="77777777" w:rsidR="00BE0B19" w:rsidRPr="00AE47C6" w:rsidRDefault="00BE0B19" w:rsidP="00BE0B19">
      <w:pPr>
        <w:spacing w:after="0" w:line="360" w:lineRule="auto"/>
        <w:ind w:firstLine="720"/>
        <w:jc w:val="both"/>
        <w:rPr>
          <w:rFonts w:ascii="Times New Roman" w:eastAsia="SimSun" w:hAnsi="Times New Roman"/>
          <w:b/>
          <w:sz w:val="24"/>
          <w:szCs w:val="24"/>
        </w:rPr>
      </w:pPr>
    </w:p>
    <w:tbl>
      <w:tblPr>
        <w:tblW w:w="9072"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BE0B19" w:rsidRPr="00AE47C6" w14:paraId="4470DBD4" w14:textId="77777777" w:rsidTr="00AD72E5">
        <w:trPr>
          <w:trHeight w:val="414"/>
        </w:trPr>
        <w:tc>
          <w:tcPr>
            <w:tcW w:w="9923" w:type="dxa"/>
          </w:tcPr>
          <w:p w14:paraId="1B9E14AD" w14:textId="77777777" w:rsidR="00BE0B19" w:rsidRPr="00AE47C6" w:rsidRDefault="00BE0B19" w:rsidP="00BE0B19">
            <w:pPr>
              <w:spacing w:after="0" w:line="360" w:lineRule="auto"/>
              <w:ind w:firstLine="720"/>
              <w:jc w:val="both"/>
              <w:rPr>
                <w:rFonts w:ascii="Times New Roman" w:eastAsia="SimSun" w:hAnsi="Times New Roman"/>
                <w:i/>
                <w:sz w:val="24"/>
                <w:szCs w:val="24"/>
              </w:rPr>
            </w:pPr>
            <w:r w:rsidRPr="00AE47C6">
              <w:rPr>
                <w:rFonts w:ascii="Times New Roman" w:eastAsia="SimSun" w:hAnsi="Times New Roman"/>
                <w:b/>
                <w:sz w:val="24"/>
                <w:szCs w:val="24"/>
              </w:rPr>
              <w:t>Необходими изследвания и контролни прегледи при лечение с teriflunomide</w:t>
            </w:r>
            <w:r w:rsidRPr="00AE47C6">
              <w:rPr>
                <w:rFonts w:ascii="Times New Roman" w:eastAsia="SimSun" w:hAnsi="Times New Roman"/>
                <w:i/>
                <w:sz w:val="24"/>
                <w:szCs w:val="24"/>
              </w:rPr>
              <w:t xml:space="preserve"> </w:t>
            </w:r>
          </w:p>
          <w:p w14:paraId="1A8BEFB7" w14:textId="77777777" w:rsidR="00BE0B19" w:rsidRPr="00AE47C6" w:rsidRDefault="00BE0B19" w:rsidP="00BE0B19">
            <w:pPr>
              <w:spacing w:after="0" w:line="360" w:lineRule="auto"/>
              <w:ind w:firstLine="720"/>
              <w:jc w:val="both"/>
              <w:rPr>
                <w:rFonts w:ascii="Times New Roman" w:eastAsia="SimSun" w:hAnsi="Times New Roman"/>
                <w:b/>
                <w:i/>
                <w:sz w:val="24"/>
                <w:szCs w:val="24"/>
              </w:rPr>
            </w:pPr>
            <w:r w:rsidRPr="00AE47C6">
              <w:rPr>
                <w:rFonts w:ascii="Times New Roman" w:eastAsia="SimSun" w:hAnsi="Times New Roman"/>
                <w:b/>
                <w:i/>
                <w:sz w:val="24"/>
                <w:szCs w:val="24"/>
              </w:rPr>
              <w:t>I. Преди започване на лечение:</w:t>
            </w:r>
          </w:p>
          <w:p w14:paraId="0578022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Актуални изследвания (до 1 - месечна давност) на пълна кръвна картина (включително диференциално броене на бели кръвни клетки и брой на тромбоцитите), аланин аминотрансфераза (ALT/SGPT) и кръвно налягане. </w:t>
            </w:r>
          </w:p>
          <w:p w14:paraId="67F7F86C" w14:textId="77777777" w:rsidR="00BE0B19" w:rsidRPr="00AE47C6" w:rsidRDefault="00BE0B19" w:rsidP="00BE0B19">
            <w:pPr>
              <w:spacing w:after="0" w:line="360" w:lineRule="auto"/>
              <w:ind w:firstLine="720"/>
              <w:jc w:val="both"/>
              <w:rPr>
                <w:rFonts w:ascii="Times New Roman" w:eastAsia="SimSun" w:hAnsi="Times New Roman"/>
                <w:b/>
                <w:i/>
                <w:sz w:val="24"/>
                <w:szCs w:val="24"/>
              </w:rPr>
            </w:pPr>
            <w:r w:rsidRPr="00AE47C6">
              <w:rPr>
                <w:rFonts w:ascii="Times New Roman" w:eastAsia="SimSun" w:hAnsi="Times New Roman"/>
                <w:b/>
                <w:i/>
                <w:sz w:val="24"/>
                <w:szCs w:val="24"/>
              </w:rPr>
              <w:t>II. По време на лечението:</w:t>
            </w:r>
          </w:p>
          <w:p w14:paraId="2F02280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Периодично проследяване на чернодробните ензими ALT (SGPT) – на всеки 4 седмици през първите 6 месеца и редовно след това. Когато се прилага при пациенти с предшестващи чернодробни нарушения, чернодробните ензими трябва да се оценяват на всеки 2 седмици през първите 6 месеца от лечението и най-малко на всеки 8 седмици след това, в продължение на 2 години от началото на лечението. При ALT/SGPT между 2 и 3 пъти над горната граница на нормата, проследяването трябва да се извършва ежеседмично.</w:t>
            </w:r>
            <w:r w:rsidRPr="00AE47C6">
              <w:rPr>
                <w:rFonts w:ascii="Times New Roman" w:eastAsia="SimSun" w:hAnsi="Times New Roman"/>
                <w:color w:val="FF0000"/>
                <w:sz w:val="24"/>
                <w:szCs w:val="24"/>
              </w:rPr>
              <w:t xml:space="preserve"> </w:t>
            </w:r>
            <w:r w:rsidRPr="00AE47C6">
              <w:rPr>
                <w:rFonts w:ascii="Times New Roman" w:eastAsia="SimSun" w:hAnsi="Times New Roman"/>
                <w:sz w:val="24"/>
                <w:szCs w:val="24"/>
              </w:rPr>
              <w:t>При повишение 3 пъти над горна граница на нормата трябва да се обмисли преустановяване на терапията.</w:t>
            </w:r>
          </w:p>
          <w:p w14:paraId="00C6FB8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2. Пълна кръвна картина се изследва според симптомите (напр. инфекции) по време на лечението.</w:t>
            </w:r>
          </w:p>
          <w:p w14:paraId="6CAD039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3.  Контрол и лечение на повишеното кръвно налягане. </w:t>
            </w:r>
          </w:p>
        </w:tc>
      </w:tr>
    </w:tbl>
    <w:p w14:paraId="38AE3D24" w14:textId="77777777" w:rsidR="00BE0B19" w:rsidRPr="00AE47C6" w:rsidRDefault="00BE0B19" w:rsidP="00BE0B19">
      <w:pPr>
        <w:spacing w:after="0" w:line="360" w:lineRule="auto"/>
        <w:rPr>
          <w:rFonts w:ascii="Times New Roman" w:eastAsia="SimSun" w:hAnsi="Times New Roman"/>
          <w:sz w:val="24"/>
          <w:szCs w:val="24"/>
        </w:rPr>
      </w:pPr>
    </w:p>
    <w:p w14:paraId="2567924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Cs/>
          <w:sz w:val="24"/>
          <w:szCs w:val="24"/>
        </w:rPr>
      </w:pPr>
      <w:r w:rsidRPr="00AE47C6">
        <w:rPr>
          <w:rFonts w:ascii="Times New Roman" w:eastAsia="SimSun" w:hAnsi="Times New Roman"/>
          <w:b/>
          <w:bCs/>
          <w:iCs/>
          <w:sz w:val="24"/>
          <w:szCs w:val="24"/>
        </w:rPr>
        <w:t xml:space="preserve">При пациенти с множествена склероза се препоръчва спазване на хигиенно-диетичен режим: </w:t>
      </w:r>
    </w:p>
    <w:p w14:paraId="1164116E"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num" w:pos="360"/>
        </w:tabs>
        <w:spacing w:after="0" w:line="360" w:lineRule="auto"/>
        <w:ind w:left="360" w:hanging="360"/>
        <w:jc w:val="both"/>
        <w:rPr>
          <w:rFonts w:ascii="Times New Roman" w:eastAsia="SimSun" w:hAnsi="Times New Roman"/>
          <w:b/>
          <w:sz w:val="24"/>
          <w:szCs w:val="24"/>
        </w:rPr>
      </w:pPr>
      <w:r w:rsidRPr="00AE47C6">
        <w:rPr>
          <w:rFonts w:ascii="Times New Roman" w:eastAsia="SimSun" w:hAnsi="Times New Roman"/>
          <w:sz w:val="24"/>
          <w:szCs w:val="24"/>
        </w:rPr>
        <w:t>достатъчна почивка и избягване на физическа и умствена преумора</w:t>
      </w:r>
    </w:p>
    <w:p w14:paraId="46FD55B1"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num" w:pos="360"/>
        </w:tabs>
        <w:spacing w:after="0" w:line="360" w:lineRule="auto"/>
        <w:ind w:left="360" w:hanging="360"/>
        <w:jc w:val="both"/>
        <w:rPr>
          <w:rFonts w:ascii="Times New Roman" w:eastAsia="SimSun" w:hAnsi="Times New Roman"/>
          <w:b/>
          <w:sz w:val="24"/>
          <w:szCs w:val="24"/>
        </w:rPr>
      </w:pPr>
      <w:r w:rsidRPr="00AE47C6">
        <w:rPr>
          <w:rFonts w:ascii="Times New Roman" w:eastAsia="SimSun" w:hAnsi="Times New Roman"/>
          <w:sz w:val="24"/>
          <w:szCs w:val="24"/>
        </w:rPr>
        <w:t>предпазване от преохлаждане и прегряване</w:t>
      </w:r>
    </w:p>
    <w:p w14:paraId="7FCD51FF"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num" w:pos="360"/>
        </w:tabs>
        <w:spacing w:after="0" w:line="360" w:lineRule="auto"/>
        <w:ind w:left="360" w:hanging="360"/>
        <w:jc w:val="both"/>
        <w:rPr>
          <w:rFonts w:ascii="Times New Roman" w:eastAsia="SimSun" w:hAnsi="Times New Roman"/>
          <w:b/>
          <w:sz w:val="24"/>
          <w:szCs w:val="24"/>
        </w:rPr>
      </w:pPr>
      <w:r w:rsidRPr="00AE47C6">
        <w:rPr>
          <w:rFonts w:ascii="Times New Roman" w:eastAsia="SimSun" w:hAnsi="Times New Roman"/>
          <w:sz w:val="24"/>
          <w:szCs w:val="24"/>
        </w:rPr>
        <w:t>предпазване от простудни заболявания</w:t>
      </w:r>
    </w:p>
    <w:p w14:paraId="02CF96A8"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num" w:pos="360"/>
        </w:tabs>
        <w:spacing w:after="0" w:line="360" w:lineRule="auto"/>
        <w:ind w:left="360" w:hanging="360"/>
        <w:jc w:val="both"/>
        <w:rPr>
          <w:rFonts w:ascii="Times New Roman" w:eastAsia="SimSun" w:hAnsi="Times New Roman"/>
          <w:b/>
          <w:sz w:val="24"/>
          <w:szCs w:val="24"/>
        </w:rPr>
      </w:pPr>
      <w:r w:rsidRPr="00AE47C6">
        <w:rPr>
          <w:rFonts w:ascii="Times New Roman" w:eastAsia="SimSun" w:hAnsi="Times New Roman"/>
          <w:sz w:val="24"/>
          <w:szCs w:val="24"/>
        </w:rPr>
        <w:t xml:space="preserve">намаляване на солта и на животинските мазнини в диетата за сметка на диета, богата на полиненаситени (линолова) мастни киселини и витамин D и спиране на тютюнопушенето </w:t>
      </w:r>
    </w:p>
    <w:p w14:paraId="70D3579C" w14:textId="77777777" w:rsidR="00BE0B19" w:rsidRPr="00AE47C6" w:rsidRDefault="00BE0B19" w:rsidP="00BE0B19">
      <w:pPr>
        <w:pBdr>
          <w:top w:val="single" w:sz="4" w:space="1" w:color="auto"/>
          <w:left w:val="single" w:sz="4" w:space="4" w:color="auto"/>
          <w:bottom w:val="single" w:sz="4" w:space="1" w:color="auto"/>
          <w:right w:val="single" w:sz="4" w:space="4" w:color="auto"/>
        </w:pBdr>
        <w:tabs>
          <w:tab w:val="num" w:pos="360"/>
        </w:tabs>
        <w:spacing w:after="0" w:line="360" w:lineRule="auto"/>
        <w:ind w:left="360" w:hanging="360"/>
        <w:jc w:val="both"/>
        <w:rPr>
          <w:rFonts w:ascii="Times New Roman" w:eastAsia="SimSun" w:hAnsi="Times New Roman"/>
          <w:b/>
          <w:sz w:val="24"/>
          <w:szCs w:val="24"/>
        </w:rPr>
      </w:pPr>
      <w:r w:rsidRPr="00AE47C6">
        <w:rPr>
          <w:rFonts w:ascii="Times New Roman" w:eastAsia="SimSun" w:hAnsi="Times New Roman"/>
          <w:sz w:val="24"/>
          <w:szCs w:val="24"/>
        </w:rPr>
        <w:t>лечебна физкултура</w:t>
      </w:r>
    </w:p>
    <w:p w14:paraId="76D4FECC"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643FC41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Лечението с медикаменти от втора линия</w:t>
      </w:r>
      <w:r w:rsidRPr="00AE47C6">
        <w:rPr>
          <w:rFonts w:ascii="Times New Roman" w:eastAsia="SimSun" w:hAnsi="Times New Roman"/>
          <w:sz w:val="24"/>
          <w:szCs w:val="24"/>
        </w:rPr>
        <w:t xml:space="preserve"> при болни с пристъпно-ремитентна форма на заболяването се провежда с S</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P рецепторния модулатор fingolimod,  S1P рецепторния модулатор ponesimod, селективния имуносупресор cladribine или моноклоналните антитела natalizumab, alemtuzumab, ocrelizumab и ofatumumab. Понастоящем тези медикаменти са най-високоефективните при пристъпна форма на множествена склероза. Те се прилагат при наличие на противопоказания за лечение с медикаментите на първа линия или когато лечението с тях е неуспешно. Прилагат се като втора линия на модифициращо хода на заболяването лечение при пациенти с високоактивна пристъпно-ремитентна форма на множествена склероза, въпреки приложеното поне едногодишно лечение с медикаменти от първа линия. Неповлияването от лечение се дефинира като поява на поне 2 клинични пристъпа или зачестяване на честотата и тежестта на пристъпите, в сравнение с предходната година. При увеличаване на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лезиите (поне 2 нови лезии), в сравнение с предходно МРТ изследване също може да се обсъжда провеждане на лечение с медикаменти от втора линия. Пациентите трябва да имат минимум 9 хиперинтензни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лезии при МРТ на главен мозък.</w:t>
      </w:r>
    </w:p>
    <w:p w14:paraId="7D5229B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Противопоказани са при бременност и по време на планирано зачеване. </w:t>
      </w:r>
    </w:p>
    <w:p w14:paraId="5417A514"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Строго препоръчително е провеждане на изходен МРТ преди започване на медикаментите от втора линия и при смяна помежду им за оценка на риска от PML. Трябва да се има предвид потенциалният риск от PML при пациенти, лекувани с natalizumab, fingolimod и ocrelizumab. Нараства и риска от възникване на опортюнистични инфекции и малигненост, особено при продължителна употреба. При пациенти лекувани с fingolimod могат да възникнат криптококови или херпесни инфекции, а при лекувани с natalizumab – херпесни инфекции. Повишен е риска от базално клетъчен карцином при пациенти лекувани с fingolimod.</w:t>
      </w:r>
    </w:p>
    <w:p w14:paraId="2A24C84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S</w:t>
      </w:r>
      <w:r w:rsidRPr="00AE47C6">
        <w:rPr>
          <w:rFonts w:ascii="Times New Roman" w:eastAsia="SimSun" w:hAnsi="Times New Roman"/>
          <w:b/>
          <w:sz w:val="24"/>
          <w:szCs w:val="24"/>
          <w:vertAlign w:val="subscript"/>
        </w:rPr>
        <w:t>1</w:t>
      </w:r>
      <w:r w:rsidRPr="00AE47C6">
        <w:rPr>
          <w:rFonts w:ascii="Times New Roman" w:eastAsia="SimSun" w:hAnsi="Times New Roman"/>
          <w:b/>
          <w:sz w:val="24"/>
          <w:szCs w:val="24"/>
        </w:rPr>
        <w:t xml:space="preserve">P рецепторния модулатор fingolimod </w:t>
      </w:r>
      <w:r w:rsidRPr="00AE47C6">
        <w:rPr>
          <w:rFonts w:ascii="Times New Roman" w:eastAsia="SimSun" w:hAnsi="Times New Roman"/>
          <w:sz w:val="24"/>
          <w:szCs w:val="24"/>
        </w:rPr>
        <w:t>има имуномодулиращи свойства. Прилага се в доза 0,5 mg еднократно дневно, перорално, при пациенти между 18 и 65 годишна възраст. Одобрен е за лечение на пристъпно-ремитентна форма на множествена склероза през 2010 г. в САЩ и през 2011 г. в Европа. От 2018 г. е одобрен и за лечение на деца над 12-годишна възраст с телесно тегло над 40 kg, с пристъпно-ремитентна МС. Прилага се в дневна доза 0,5 mg. Намалява годишната честота на пристъпите с 82% и на активните лезии, установени чрез МРТ с 66%. Профилът на безопасност е подобен на този при възрастни, но е необходимо повишено внимание. Липсват данни за дългосрочната безопасност. Препоръчва се да се направят всички необходими имунизации преди започване на лечението. Представлява структурен аналог на сфингозин-1-фосфата (S</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P), модулатор на сфингозин-1-фосфатния рецептор, който играе роля в процесите на възпаление и регенерация. S</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P рецепторите са експресирани в лимфоидните тъкани, а S</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P</w:t>
      </w:r>
      <w:r w:rsidRPr="00AE47C6">
        <w:rPr>
          <w:rFonts w:ascii="Times New Roman" w:eastAsia="SimSun" w:hAnsi="Times New Roman"/>
          <w:sz w:val="24"/>
          <w:szCs w:val="24"/>
          <w:vertAlign w:val="subscript"/>
        </w:rPr>
        <w:t>5</w:t>
      </w:r>
      <w:r w:rsidRPr="00AE47C6">
        <w:rPr>
          <w:rFonts w:ascii="Times New Roman" w:eastAsia="SimSun" w:hAnsi="Times New Roman"/>
          <w:sz w:val="24"/>
          <w:szCs w:val="24"/>
        </w:rPr>
        <w:t xml:space="preserve"> – в бялото мозъчно вещество на централната нервна система. </w:t>
      </w:r>
    </w:p>
    <w:p w14:paraId="6025429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Медикаментът конвертира ендогенния сфингозин във фосфатна форма, която се свързва с рецептора (S</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P</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 xml:space="preserve">), разположен върху лимфоцитите. Това води до интернализация на рецептора и лишаване на клетките от механизма на разпознаване на стимула за излизане от лимфоидната тъкан. Блокира се излизането на лимфоцитите от лимфните възли и тимуса, и миграцията им към централната нервна система. Задържането на лимфоцитите в лимфоидните тъкани води до намаляване на броя на Т и особено В клетките (до 25% от изходното ниво) в периферното кръвообращение. Лимфоцитите, които остават във вторичните лимфоидни органи и периферната кръв са със запазени функции. Медикаментът преминава през кръвно-мозъчната бариера и стимулира рецепторите в централната нервна система, което потиска невродегенеративните и стимулира регенеративните процеси. Предизвиква тимоцитна апоптоза, потиска предизвиканата от съдовия ендотелен растежен фактор (VEGF) пропускливост на мозъчните капиляри, стабилизира кръвномозъчната бариера, измества продукцията на цитокини от Th1 (проинфламаторни) към Th2 (антиинфламаторни) и редуцира трансмиграцията на макрофаги към мозъчния паренхим. </w:t>
      </w:r>
    </w:p>
    <w:p w14:paraId="10783DB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Намалява годишната честота на пристъпите с 50% и на активните лезии, установени чрез МРТ – с 60%. Забавя прогресията на инвалидизацията с 37%.</w:t>
      </w:r>
    </w:p>
    <w:p w14:paraId="6FE3C14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Страничните</w:t>
      </w:r>
      <w:r w:rsidRPr="00AE47C6">
        <w:rPr>
          <w:rFonts w:ascii="Times New Roman" w:eastAsia="SimSun" w:hAnsi="Times New Roman"/>
          <w:sz w:val="24"/>
          <w:szCs w:val="24"/>
        </w:rPr>
        <w:t xml:space="preserve"> сериозни реакции са свързани с поява на инфекции, едем на макулата и AV блок. По-малко сериозни странични реакции са грипоподобни симптоми, главоболие, диария, депресия, болки в гърба, кашлица, хипертония, лимфопения, левкопения и повишаване на серумните трансаминази.</w:t>
      </w:r>
    </w:p>
    <w:p w14:paraId="0F79FAE3"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i/>
          <w:sz w:val="24"/>
          <w:szCs w:val="24"/>
        </w:rPr>
        <w:t>Противопоказан</w:t>
      </w:r>
      <w:r w:rsidRPr="00AE47C6">
        <w:rPr>
          <w:rFonts w:ascii="Times New Roman" w:eastAsia="SimSun" w:hAnsi="Times New Roman"/>
          <w:sz w:val="24"/>
          <w:szCs w:val="24"/>
        </w:rPr>
        <w:t xml:space="preserve"> е при пациенти с имунодефицитен синдром, провеждащи имуносупресивна терапия, активни инфекции (хепатит, туберкулоза), ритъмни и проводни сърдечни нарушения, AV блок, синдром на увредения синусов възел, синоатриален сърдечен блок, симптоматична брадикардия, повтарящи се синкопи, удължен QT интервал, приемащи антиаритмични и медикаменти намаляващи сърдечната честота, неконтролирана хипертония, хронична обструктивна белодробна болест, белодробна фиброза, неоплазми, чернодробно увреждане и бременност.</w:t>
      </w:r>
      <w:r w:rsidRPr="00AE47C6">
        <w:rPr>
          <w:rFonts w:ascii="Times New Roman" w:eastAsia="SimSun" w:hAnsi="Times New Roman"/>
          <w:b/>
          <w:sz w:val="24"/>
          <w:szCs w:val="24"/>
        </w:rPr>
        <w:t xml:space="preserve"> </w:t>
      </w:r>
    </w:p>
    <w:tbl>
      <w:tblPr>
        <w:tblpPr w:leftFromText="180" w:rightFromText="180" w:vertAnchor="text" w:horzAnchor="margin" w:tblpY="297"/>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BE0B19" w:rsidRPr="00AE47C6" w14:paraId="12A30D47" w14:textId="77777777" w:rsidTr="00AD72E5">
        <w:trPr>
          <w:trHeight w:val="415"/>
        </w:trPr>
        <w:tc>
          <w:tcPr>
            <w:tcW w:w="9072" w:type="dxa"/>
          </w:tcPr>
          <w:p w14:paraId="559A9E52" w14:textId="77777777" w:rsidR="00BE0B19" w:rsidRPr="00AE47C6" w:rsidRDefault="00BE0B19" w:rsidP="00BE0B19">
            <w:pPr>
              <w:spacing w:after="0" w:line="360" w:lineRule="auto"/>
              <w:jc w:val="center"/>
              <w:rPr>
                <w:rFonts w:ascii="Times New Roman" w:eastAsia="SimSun" w:hAnsi="Times New Roman"/>
                <w:b/>
                <w:sz w:val="24"/>
                <w:szCs w:val="24"/>
              </w:rPr>
            </w:pPr>
            <w:r w:rsidRPr="00AE47C6">
              <w:rPr>
                <w:rFonts w:ascii="Times New Roman" w:eastAsia="SimSun" w:hAnsi="Times New Roman"/>
                <w:b/>
                <w:sz w:val="24"/>
                <w:szCs w:val="24"/>
              </w:rPr>
              <w:t xml:space="preserve">Критерии за лечение </w:t>
            </w:r>
            <w:r w:rsidRPr="00AE47C6">
              <w:rPr>
                <w:rFonts w:ascii="Times New Roman" w:eastAsia="SimSun" w:hAnsi="Times New Roman"/>
                <w:i/>
                <w:sz w:val="24"/>
                <w:szCs w:val="24"/>
              </w:rPr>
              <w:t xml:space="preserve"> </w:t>
            </w:r>
            <w:r w:rsidRPr="00AE47C6">
              <w:rPr>
                <w:rFonts w:ascii="Times New Roman" w:eastAsia="SimSun" w:hAnsi="Times New Roman"/>
                <w:b/>
                <w:sz w:val="24"/>
                <w:szCs w:val="24"/>
              </w:rPr>
              <w:t>на множествената склероза</w:t>
            </w:r>
            <w:r w:rsidRPr="00AE47C6">
              <w:rPr>
                <w:rFonts w:ascii="Times New Roman" w:eastAsia="SimSun" w:hAnsi="Times New Roman"/>
                <w:i/>
                <w:sz w:val="24"/>
                <w:szCs w:val="24"/>
              </w:rPr>
              <w:t xml:space="preserve"> </w:t>
            </w:r>
            <w:r w:rsidRPr="00AE47C6">
              <w:rPr>
                <w:rFonts w:ascii="Times New Roman" w:eastAsia="SimSun" w:hAnsi="Times New Roman"/>
                <w:b/>
                <w:sz w:val="24"/>
                <w:szCs w:val="24"/>
              </w:rPr>
              <w:t>с fingolimod</w:t>
            </w:r>
            <w:r w:rsidRPr="00AE47C6">
              <w:rPr>
                <w:rFonts w:ascii="Times New Roman" w:eastAsia="SimSun" w:hAnsi="Times New Roman"/>
                <w:i/>
                <w:sz w:val="24"/>
                <w:szCs w:val="24"/>
              </w:rPr>
              <w:t xml:space="preserve">  </w:t>
            </w:r>
            <w:r w:rsidRPr="00AE47C6">
              <w:rPr>
                <w:rFonts w:ascii="Times New Roman" w:eastAsia="SimSun" w:hAnsi="Times New Roman"/>
                <w:b/>
                <w:sz w:val="24"/>
                <w:szCs w:val="24"/>
              </w:rPr>
              <w:t>при пациенти с пристъпно-ремитентен ход на заболяването</w:t>
            </w:r>
          </w:p>
          <w:p w14:paraId="27B8910C"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I. Включващи</w:t>
            </w:r>
          </w:p>
          <w:p w14:paraId="6EA14A5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Диагноза множествена склероза</w:t>
            </w:r>
            <w:r w:rsidRPr="00AE47C6">
              <w:rPr>
                <w:rFonts w:ascii="Times New Roman" w:eastAsia="SimSun" w:hAnsi="Times New Roman"/>
                <w:color w:val="FF0000"/>
                <w:sz w:val="24"/>
                <w:szCs w:val="24"/>
              </w:rPr>
              <w:t xml:space="preserve"> </w:t>
            </w:r>
            <w:r w:rsidRPr="00AE47C6">
              <w:rPr>
                <w:rFonts w:ascii="Times New Roman" w:eastAsia="SimSun" w:hAnsi="Times New Roman"/>
                <w:sz w:val="24"/>
                <w:szCs w:val="24"/>
              </w:rPr>
              <w:t>по ревизираните от Tompson и сътр. през 2017 г. диагностични критерии на McDonald</w:t>
            </w:r>
          </w:p>
          <w:p w14:paraId="3CAE6C7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Възраст над 18 години</w:t>
            </w:r>
          </w:p>
          <w:p w14:paraId="0A83B7D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Инвалидност до 4,0 по скалата на Kurtzke</w:t>
            </w:r>
          </w:p>
          <w:p w14:paraId="7A2FBBA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Агресивен ход на заболяването със зачестяване на пристъпите (поне 2 за предходната година), въпреки провежданото лечение с  медикаменти от първа линия.</w:t>
            </w:r>
          </w:p>
          <w:p w14:paraId="143F7AC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Значително увеличаване на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лезиите в сравнение с предшестващ МРТ през последните 12 месеца</w:t>
            </w:r>
          </w:p>
          <w:p w14:paraId="62569855"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II. Изключващи</w:t>
            </w:r>
          </w:p>
          <w:p w14:paraId="2F1EE5D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Пациенти с имунодефицитен синдром или провеждащи имуносупресивна терапия</w:t>
            </w:r>
          </w:p>
          <w:p w14:paraId="4F65728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Активни остри или хронични инфекции (хепатит, туберкулоза)</w:t>
            </w:r>
          </w:p>
          <w:p w14:paraId="01E8839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Неоплазми, с изключение на кожен базалноклетъчен карцином</w:t>
            </w:r>
          </w:p>
          <w:p w14:paraId="500BD3D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Тежко чернодробно увреждане</w:t>
            </w:r>
          </w:p>
          <w:p w14:paraId="70CB0FF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5. Пациенти с AV блок втора степен тип Mobitz 2 или по-висока степен AV блок, синдром на болния синусов възел или синоатриален сърдечен блок, анамнеза за симптоматична брадикардия или повтарящ се синкоп, пациенти със значително удължаване на QT интервала (c &gt; 470 ms при жени и &gt; 450 ms при мъже). </w:t>
            </w:r>
          </w:p>
          <w:p w14:paraId="392F4E7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 Лечение с антиаритмични лекарствени продукти клас Ia (chinidine, disopyramide) или клас III (amiodarone, sotalol), бета блокери, понижаващи сърдечната честота блокери на калциевите канали (verapamil, diltiazem или ivabradine) или други вещества, които могат да понижат сърдечната честота (digoxin, антихолинестеразни средства или pilocarpine).</w:t>
            </w:r>
          </w:p>
          <w:p w14:paraId="66E1206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 Бременност</w:t>
            </w:r>
          </w:p>
          <w:p w14:paraId="65A45FE9"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Лечение не се прилага или ако е започнато се спира при:</w:t>
            </w:r>
          </w:p>
          <w:p w14:paraId="6E0067B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Забременяване на пациентка</w:t>
            </w:r>
          </w:p>
          <w:p w14:paraId="20973A1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2. Сериозни странични реакции от лечението </w:t>
            </w:r>
          </w:p>
          <w:p w14:paraId="649D163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3. Системно неспазване на лечебната схема от болния </w:t>
            </w:r>
          </w:p>
          <w:p w14:paraId="796A383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4. Липса на клинична ефективност  от лечението (2 и повече пристъпа за 1 година). </w:t>
            </w:r>
          </w:p>
          <w:p w14:paraId="7AFB4F9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5. Пациента може да премине на лечение с cladribine, alemtuzumab, natalizumab, ofatumumab, </w:t>
            </w:r>
            <w:r w:rsidRPr="00AE47C6">
              <w:rPr>
                <w:rFonts w:ascii="Times New Roman" w:eastAsia="SimSun" w:hAnsi="Times New Roman"/>
                <w:color w:val="FF0000"/>
                <w:sz w:val="24"/>
                <w:szCs w:val="24"/>
              </w:rPr>
              <w:t xml:space="preserve">  </w:t>
            </w:r>
            <w:r w:rsidRPr="00AE47C6">
              <w:rPr>
                <w:rFonts w:ascii="Times New Roman" w:eastAsia="SimSun" w:hAnsi="Times New Roman"/>
                <w:sz w:val="24"/>
                <w:szCs w:val="24"/>
              </w:rPr>
              <w:t>ocrelizumab или siponimod след период на изчистване от 1 месец.</w:t>
            </w:r>
          </w:p>
          <w:p w14:paraId="162994A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 Достигане на инвалидност 5 по  скалата на Kurtzke.</w:t>
            </w:r>
          </w:p>
          <w:p w14:paraId="543865B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  Достигане до възраст 59 години и липса на активност на заболяването през последните 2 години.</w:t>
            </w:r>
          </w:p>
        </w:tc>
      </w:tr>
    </w:tbl>
    <w:p w14:paraId="14411092" w14:textId="77777777" w:rsidR="00BE0B19" w:rsidRPr="00AE47C6" w:rsidRDefault="00BE0B19" w:rsidP="00BE0B19">
      <w:pPr>
        <w:spacing w:after="0" w:line="360" w:lineRule="auto"/>
        <w:jc w:val="both"/>
        <w:rPr>
          <w:rFonts w:ascii="Times New Roman" w:eastAsia="SimSun" w:hAnsi="Times New Roman"/>
          <w:b/>
          <w:sz w:val="24"/>
          <w:szCs w:val="24"/>
        </w:rPr>
      </w:pPr>
    </w:p>
    <w:tbl>
      <w:tblPr>
        <w:tblpPr w:leftFromText="180" w:rightFromText="180" w:vertAnchor="text" w:horzAnchor="margin" w:tblpY="327"/>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BE0B19" w:rsidRPr="00AE47C6" w14:paraId="41630944" w14:textId="77777777" w:rsidTr="00AD72E5">
        <w:trPr>
          <w:trHeight w:val="414"/>
        </w:trPr>
        <w:tc>
          <w:tcPr>
            <w:tcW w:w="9809" w:type="dxa"/>
          </w:tcPr>
          <w:p w14:paraId="1F257839"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Необходими изследвания и контролни прегледи при лечение с fingolimod</w:t>
            </w:r>
          </w:p>
          <w:p w14:paraId="7B81EB9C" w14:textId="77777777" w:rsidR="00BE0B19" w:rsidRPr="00AE47C6" w:rsidRDefault="00BE0B19" w:rsidP="00BE0B19">
            <w:pPr>
              <w:spacing w:after="0" w:line="360" w:lineRule="auto"/>
              <w:ind w:firstLine="720"/>
              <w:jc w:val="both"/>
              <w:rPr>
                <w:rFonts w:ascii="Times New Roman" w:eastAsia="SimSun" w:hAnsi="Times New Roman"/>
                <w:b/>
                <w:i/>
                <w:sz w:val="24"/>
                <w:szCs w:val="24"/>
              </w:rPr>
            </w:pPr>
            <w:r w:rsidRPr="00AE47C6">
              <w:rPr>
                <w:rFonts w:ascii="Times New Roman" w:eastAsia="SimSun" w:hAnsi="Times New Roman"/>
                <w:b/>
                <w:i/>
                <w:sz w:val="24"/>
                <w:szCs w:val="24"/>
              </w:rPr>
              <w:t>I. Преди започване на лечение:</w:t>
            </w:r>
          </w:p>
          <w:p w14:paraId="4238B5C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Актуални изследвания (до 1 - месечна давност) на пълна кръвна картина, серумни трансаминази и билирубин.</w:t>
            </w:r>
          </w:p>
          <w:p w14:paraId="14A1B78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Изследване за антитела срещу varicella zoster вирус (VZV). В случаи, че са негативни, е необходимо да се направи имунизация преди започване на лечението.</w:t>
            </w:r>
          </w:p>
          <w:p w14:paraId="1B09BC8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Офталмологична оценка.</w:t>
            </w:r>
          </w:p>
          <w:p w14:paraId="5F91AF9A" w14:textId="77777777" w:rsidR="00BE0B19" w:rsidRPr="00AE47C6" w:rsidRDefault="00BE0B19" w:rsidP="00BE0B19">
            <w:pPr>
              <w:spacing w:after="0" w:line="360" w:lineRule="auto"/>
              <w:ind w:firstLine="720"/>
              <w:jc w:val="both"/>
              <w:rPr>
                <w:rFonts w:ascii="Times New Roman" w:eastAsia="SimSun" w:hAnsi="Times New Roman"/>
                <w:b/>
                <w:i/>
                <w:sz w:val="24"/>
                <w:szCs w:val="24"/>
              </w:rPr>
            </w:pPr>
            <w:r w:rsidRPr="00AE47C6">
              <w:rPr>
                <w:rFonts w:ascii="Times New Roman" w:eastAsia="SimSun" w:hAnsi="Times New Roman"/>
                <w:b/>
                <w:i/>
                <w:sz w:val="24"/>
                <w:szCs w:val="24"/>
              </w:rPr>
              <w:t>II. При започване на лечението:</w:t>
            </w:r>
          </w:p>
          <w:p w14:paraId="730A81C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ЕКГ, консултация с интернист и измерване на кръвното налягане и пулса преди прилагане на първата доза fingolimod и на 6-я час. </w:t>
            </w:r>
          </w:p>
          <w:p w14:paraId="7520CF0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Проследяване в продължение на 6 часа за симптоми на брадикардия, чрез ежечасно измерване на пулса и кръвното налягане. Препоръчва се ЕКГ мониторинг в реално време.</w:t>
            </w:r>
          </w:p>
          <w:p w14:paraId="06B27059" w14:textId="77777777" w:rsidR="00BE0B19" w:rsidRPr="00AE47C6" w:rsidRDefault="00BE0B19" w:rsidP="00BE0B19">
            <w:pPr>
              <w:spacing w:after="0" w:line="360" w:lineRule="auto"/>
              <w:ind w:firstLine="720"/>
              <w:jc w:val="both"/>
              <w:rPr>
                <w:rFonts w:ascii="Times New Roman" w:eastAsia="SimSun" w:hAnsi="Times New Roman"/>
                <w:b/>
                <w:i/>
                <w:sz w:val="24"/>
                <w:szCs w:val="24"/>
              </w:rPr>
            </w:pPr>
            <w:r w:rsidRPr="00AE47C6">
              <w:rPr>
                <w:rFonts w:ascii="Times New Roman" w:eastAsia="SimSun" w:hAnsi="Times New Roman"/>
                <w:b/>
                <w:i/>
                <w:sz w:val="24"/>
                <w:szCs w:val="24"/>
              </w:rPr>
              <w:t>III. По време на лечението:</w:t>
            </w:r>
          </w:p>
          <w:p w14:paraId="068CBA1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Офталмологична оценка на 3-4 месец след започване на лечението.</w:t>
            </w:r>
          </w:p>
          <w:p w14:paraId="5FCC8B5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Проследяване на чернодробните трансаминази на 1-ви, 3-ти, 6-ти, 9-ти и 12-ти месец от лечението и на всеки 6 месеца след това.</w:t>
            </w:r>
          </w:p>
          <w:p w14:paraId="450AEAF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Периодично проследяване на всеки 6 месеца на пълна кръвна картина и преустановяване на лечението при спадане на броя на лимфоцитите под 0,2х10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/L, до подобряване на лимфоцитния брой.</w:t>
            </w:r>
          </w:p>
          <w:p w14:paraId="4EE4D57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4. Пациентите трябва да съобщават на лекуващия лекар за всякакви зрителни нарушения или признаци и симптоми на инфекция. </w:t>
            </w:r>
          </w:p>
          <w:p w14:paraId="3BDDA72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Ако лечението се прекъсне за повече от 2 седмици, пациентите трябва да бъдат наблюдавани за период от 6 часа при възобновяване на лечението.</w:t>
            </w:r>
          </w:p>
        </w:tc>
      </w:tr>
    </w:tbl>
    <w:p w14:paraId="0F675E15" w14:textId="77777777" w:rsidR="00BE0B19" w:rsidRPr="00AE47C6" w:rsidRDefault="00BE0B19" w:rsidP="00BE0B19">
      <w:pPr>
        <w:spacing w:after="0" w:line="360" w:lineRule="auto"/>
        <w:ind w:firstLine="720"/>
        <w:jc w:val="both"/>
        <w:rPr>
          <w:rFonts w:ascii="Times New Roman" w:eastAsia="SimSun" w:hAnsi="Times New Roman"/>
          <w:b/>
          <w:i/>
          <w:sz w:val="24"/>
          <w:szCs w:val="24"/>
        </w:rPr>
      </w:pPr>
    </w:p>
    <w:p w14:paraId="0B910015" w14:textId="77777777" w:rsidR="00BE0B19" w:rsidRPr="00AE47C6" w:rsidRDefault="00BE0B19" w:rsidP="00BE0B19">
      <w:pPr>
        <w:spacing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 xml:space="preserve">S1P рецепторния модулатор ponesimod </w:t>
      </w:r>
      <w:r w:rsidRPr="00AE47C6">
        <w:rPr>
          <w:rFonts w:ascii="Times New Roman" w:eastAsia="SimSun" w:hAnsi="Times New Roman"/>
          <w:sz w:val="24"/>
          <w:szCs w:val="24"/>
        </w:rPr>
        <w:t xml:space="preserve">е одобрен за лечение на активна пристъпно-ремитентна форма на множествена склероза през 2021г. в САЩ и в Европа. Прилага се при възрастни пациенти в поддържаща доза 20 mg, перорално, веднъж дневно, след като завърши титрирането на дозата. </w:t>
      </w:r>
    </w:p>
    <w:p w14:paraId="54BCDECC" w14:textId="77777777" w:rsidR="00BE0B19" w:rsidRPr="00AE47C6" w:rsidRDefault="00BE0B19" w:rsidP="00BE0B19">
      <w:pPr>
        <w:spacing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Представлява сфингозин-1-фосфат (S1P) рецепторен модулатор. Свързва се с висок афинитет към S1P рецепторите 1, локализирани в лимфоцитите. Блокира капацитета на лимфоцитите да напускат лимфните възли, като по този начин намалява броя на лимфоцитите в периферната кръв до 26% от изходната стойност. Засегнати са всички клетъчни подгрупи в периферната кръв – В клетките [CD19+] и Т клетките[CD3+], Т-хелперните [CD3+CD4+] и Т-цитотоксичните клетки [CD3+CD8+], с изключение на NK клетките. Т-хелперните клетки са по-чувствителни към ефектите на медикамента отколкото Т-цитотоксичните клетки. Броят на лимфоцитите се връща в границата на нормата при &gt;90% от здравите лица до 1 седмица след спиране на терапията. Механизмът, по който оказва терапевтичните си ефекти, може да включва намаление на миграцията на лимфоцитите в централната нервна система. </w:t>
      </w:r>
    </w:p>
    <w:p w14:paraId="6CBC28A6" w14:textId="77777777" w:rsidR="00BE0B19" w:rsidRPr="00AE47C6" w:rsidRDefault="00BE0B19" w:rsidP="00BE0B19">
      <w:pPr>
        <w:spacing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Намалява годишната честота на пристъпите с 30,5% и намалява с 56% кумулативния брой на комбинираните уникални активни лезии, установени с МPT спрямо Teriflunomide 14 mg. </w:t>
      </w:r>
    </w:p>
    <w:p w14:paraId="097061C4" w14:textId="77777777" w:rsidR="00BE0B19" w:rsidRPr="00AE47C6" w:rsidRDefault="00BE0B19" w:rsidP="00BE0B19">
      <w:pPr>
        <w:spacing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Нежеланите лекарствени реакции</w:t>
      </w:r>
      <w:r w:rsidRPr="00AE47C6">
        <w:rPr>
          <w:rFonts w:ascii="Times New Roman" w:eastAsia="SimSun" w:hAnsi="Times New Roman"/>
          <w:sz w:val="24"/>
          <w:szCs w:val="24"/>
        </w:rPr>
        <w:t xml:space="preserve"> са: много чести - назофарингит, инфекция на горните дихателни пътища, повишена аланин аминотрансфераза и чести - инфекция на пикочните пътища, бронхит, ринит, фарингит, синузит, ларингит, пневмония, лимфопения, депресия, безсъние, тревожност, замайване, хипестезия, сънливост, мигрена, вертиго, макулен едем, хипертония, диспнея, кашлица, болка в гърба, артралгия, умора, пирексия, повишени чернодробни ензими, повишен С-реактивен протеин, повишени трансаминази, повишен холестерол.</w:t>
      </w:r>
    </w:p>
    <w:p w14:paraId="3763609D" w14:textId="77777777" w:rsidR="00BE0B19" w:rsidRPr="00AE47C6" w:rsidRDefault="00BE0B19" w:rsidP="00BE0B19">
      <w:pPr>
        <w:spacing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 xml:space="preserve">Противопоказан </w:t>
      </w:r>
      <w:r w:rsidRPr="00AE47C6">
        <w:rPr>
          <w:rFonts w:ascii="Times New Roman" w:eastAsia="SimSun" w:hAnsi="Times New Roman"/>
          <w:sz w:val="24"/>
          <w:szCs w:val="24"/>
        </w:rPr>
        <w:t>е при имунна недостатъчност, при пациенти, които през последните 6 месеца са претърпели инфаркт на миокарда, нестабилна стенокардия, инсулт, преходна исхемична атака, декомпенсирана сърдечна недостатъчност, налагаща хоспитализация или сърдечна недостатъчност клас III или IV, пациенти с наличие на AV блок втора степен тип Mobitz II, трета степен или синдром на болния синусов възел, освен ако пациентът има функциониращ пейсмейкър, тежки активни инфекции, активни хронични инфекции, активни злокачествени заболявания, умерена или тежка степен на чернодробно увреждане (съответно клас В или С по Child-Pugh), по време на бременност и при жени с детероден потенциал, които не използват ефективна контрацепция.</w:t>
      </w:r>
    </w:p>
    <w:p w14:paraId="7A7E3AA7" w14:textId="77777777" w:rsidR="00BE0B19" w:rsidRPr="00AE47C6" w:rsidRDefault="00BE0B19" w:rsidP="00BE0B19">
      <w:pPr>
        <w:spacing w:line="360" w:lineRule="auto"/>
        <w:ind w:firstLine="720"/>
        <w:jc w:val="both"/>
        <w:rPr>
          <w:rFonts w:ascii="Times New Roman" w:eastAsia="SimSun" w:hAnsi="Times New Roman"/>
          <w:b/>
          <w:i/>
          <w:sz w:val="24"/>
          <w:szCs w:val="24"/>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596"/>
      </w:tblGrid>
      <w:tr w:rsidR="00BE0B19" w:rsidRPr="00AE47C6" w14:paraId="6BD906BD" w14:textId="77777777" w:rsidTr="00AD72E5">
        <w:trPr>
          <w:trHeight w:val="1050"/>
        </w:trPr>
        <w:tc>
          <w:tcPr>
            <w:tcW w:w="9596" w:type="dxa"/>
          </w:tcPr>
          <w:p w14:paraId="579D0DC8" w14:textId="77777777" w:rsidR="00BE0B19" w:rsidRPr="00AE47C6" w:rsidRDefault="00BE0B19" w:rsidP="00BE0B19">
            <w:pPr>
              <w:spacing w:line="360" w:lineRule="auto"/>
              <w:jc w:val="center"/>
              <w:rPr>
                <w:rFonts w:ascii="Times New Roman" w:eastAsia="SimSun" w:hAnsi="Times New Roman"/>
                <w:b/>
                <w:bCs/>
                <w:sz w:val="24"/>
                <w:szCs w:val="24"/>
              </w:rPr>
            </w:pPr>
            <w:r w:rsidRPr="00AE47C6">
              <w:rPr>
                <w:rFonts w:ascii="Times New Roman" w:eastAsia="SimSun" w:hAnsi="Times New Roman"/>
                <w:b/>
                <w:bCs/>
                <w:sz w:val="24"/>
                <w:szCs w:val="24"/>
              </w:rPr>
              <w:t>Критерии за лечение на множествена склероза с ponesimod при пациенти с пристъпно-ремитентен ход на заболяването</w:t>
            </w:r>
          </w:p>
          <w:p w14:paraId="3F2687E6" w14:textId="77777777" w:rsidR="00BE0B19" w:rsidRPr="00AE47C6" w:rsidRDefault="00BE0B19" w:rsidP="00BE0B19">
            <w:pPr>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 I. Включващи </w:t>
            </w:r>
          </w:p>
          <w:p w14:paraId="44385F04"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1. Диагноза множествена склероза по ревизираните от Tompson и сътр. през 2017 г. диагностични критерии на McDonald </w:t>
            </w:r>
          </w:p>
          <w:p w14:paraId="41A1FBD6"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2. Възраст над 18 години </w:t>
            </w:r>
          </w:p>
          <w:p w14:paraId="7E472358"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3. Инвалидност до 4,0 по скалата на Kurtzke </w:t>
            </w:r>
          </w:p>
          <w:p w14:paraId="0A23E8AC"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4. Агресивен ход на заболяването със зачестяване на пристъпите (поне 2 за предходната година), въпреки провежданото лечение с медикаменти от първа линия. </w:t>
            </w:r>
          </w:p>
          <w:p w14:paraId="1EA1D226"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5. Значително увеличаване на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лезиите в сравнение с предшестващ МРТ през последните 12 месеца </w:t>
            </w:r>
          </w:p>
          <w:p w14:paraId="4107B01B" w14:textId="77777777" w:rsidR="00BE0B19" w:rsidRPr="00AE47C6" w:rsidRDefault="00BE0B19" w:rsidP="00BE0B19">
            <w:pPr>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 II. Изключващи </w:t>
            </w:r>
          </w:p>
          <w:p w14:paraId="5EFBCD67"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1. Пациенти с имунодефицитен синдром или провеждащи имуносупресивна терапия</w:t>
            </w:r>
          </w:p>
          <w:p w14:paraId="7D03E133"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2. Активни остри или хронични инфекции (хепатит, туберкулоза) </w:t>
            </w:r>
          </w:p>
          <w:p w14:paraId="18E35A3D"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3. Активни злокачествени заболявания </w:t>
            </w:r>
          </w:p>
          <w:p w14:paraId="6509A19C"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4. Умерена или тежка степен на чернодробно увреждане (съответно клас В или С по Child-Pugh) </w:t>
            </w:r>
          </w:p>
          <w:p w14:paraId="3D89DA81"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5. Пациенти с декомпенсирана сърдечна недостатъчност, налагаща хоспитализация или сърдечна недостатъчност клас III или IV, пациенти с AV блок втора степен тип Mobitz 2, трета степен или синдром на болния синусов възел, освен ако пациентът има функциониращ пейсмейкър. </w:t>
            </w:r>
          </w:p>
          <w:p w14:paraId="6C9051DD"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6. Бременност и жени с детероден потенциал, които не използват ефективна контрацепция</w:t>
            </w:r>
          </w:p>
          <w:p w14:paraId="77A184AA" w14:textId="77777777" w:rsidR="00BE0B19" w:rsidRPr="00AE47C6" w:rsidRDefault="00BE0B19" w:rsidP="00BE0B19">
            <w:pPr>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 Лечение не се прилага или ако е започнато се спира при: </w:t>
            </w:r>
          </w:p>
          <w:p w14:paraId="0A6B77DB"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1. Забременяване на пациентка </w:t>
            </w:r>
          </w:p>
          <w:p w14:paraId="57E1B70B"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2. Сериозни странични реакции от лечението </w:t>
            </w:r>
          </w:p>
          <w:p w14:paraId="0937FA77"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3. Системно неспазване на лечебната схема от болния </w:t>
            </w:r>
          </w:p>
          <w:p w14:paraId="43905610"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4. Липса на клинична ефективност от лечението (2 или повече пристъпа за 1 година). </w:t>
            </w:r>
          </w:p>
          <w:p w14:paraId="13426B72"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5. Пациентът може да премине на лечение с cladribine, alemtuzumab, natalizumab, ofatumumab, или ocrelizumab след период на изчистване от 1 месец. </w:t>
            </w:r>
          </w:p>
          <w:p w14:paraId="7620C0C3"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6. Достигане на инвалидност 5 по скалата на Kurtzke. </w:t>
            </w:r>
          </w:p>
          <w:p w14:paraId="618FFC90"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7. Достигане до възраст 59 години и липса на активност на заболяването през последните 2 години.  </w:t>
            </w:r>
          </w:p>
        </w:tc>
      </w:tr>
    </w:tbl>
    <w:p w14:paraId="7FE4661C" w14:textId="77777777" w:rsidR="00BE0B19" w:rsidRPr="00AE47C6" w:rsidRDefault="00BE0B19" w:rsidP="00BE0B19">
      <w:pPr>
        <w:spacing w:line="360" w:lineRule="auto"/>
        <w:ind w:firstLine="720"/>
        <w:jc w:val="both"/>
        <w:rPr>
          <w:rFonts w:ascii="Times New Roman" w:eastAsia="SimSun" w:hAnsi="Times New Roman"/>
          <w:sz w:val="24"/>
          <w:szCs w:val="24"/>
        </w:rPr>
      </w:pPr>
    </w:p>
    <w:tbl>
      <w:tblPr>
        <w:tblpPr w:leftFromText="180" w:rightFromText="180" w:vertAnchor="text" w:horzAnchor="margin" w:tblpY="312"/>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BE0B19" w:rsidRPr="00AE47C6" w14:paraId="02AB3293" w14:textId="77777777" w:rsidTr="00AD72E5">
        <w:trPr>
          <w:trHeight w:val="414"/>
        </w:trPr>
        <w:tc>
          <w:tcPr>
            <w:tcW w:w="9072" w:type="dxa"/>
          </w:tcPr>
          <w:p w14:paraId="782E3E46" w14:textId="77777777" w:rsidR="00BE0B19" w:rsidRPr="00AE47C6" w:rsidRDefault="00BE0B19" w:rsidP="00BE0B19">
            <w:pPr>
              <w:spacing w:line="360" w:lineRule="auto"/>
              <w:jc w:val="center"/>
              <w:rPr>
                <w:rFonts w:ascii="Times New Roman" w:eastAsia="SimSun" w:hAnsi="Times New Roman"/>
                <w:b/>
                <w:bCs/>
                <w:sz w:val="24"/>
                <w:szCs w:val="24"/>
              </w:rPr>
            </w:pPr>
            <w:r w:rsidRPr="00AE47C6">
              <w:rPr>
                <w:rFonts w:ascii="Times New Roman" w:eastAsia="SimSun" w:hAnsi="Times New Roman"/>
                <w:b/>
                <w:bCs/>
                <w:sz w:val="24"/>
                <w:szCs w:val="24"/>
              </w:rPr>
              <w:t>Необходими изследвания и контролни прегледи при лечение с ponesimod</w:t>
            </w:r>
          </w:p>
          <w:p w14:paraId="2117F83F" w14:textId="77777777" w:rsidR="00BE0B19" w:rsidRPr="00AE47C6" w:rsidRDefault="00BE0B19" w:rsidP="00BE0B19">
            <w:pPr>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I. Преди започване на лечение: </w:t>
            </w:r>
          </w:p>
          <w:p w14:paraId="2F9B4342"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Актуални изследвания (до 1 – месечна давност) на пълна кръвна картина, серумни трансаминази и билирубин. </w:t>
            </w:r>
          </w:p>
          <w:p w14:paraId="7270018E"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2. Изследване на антитела срещу varicella zoster вирус (VZV). В случай, че са негативни, е необходимо да се направи  имунизация преди започване на лечението. </w:t>
            </w:r>
          </w:p>
          <w:p w14:paraId="4DF8A8D5"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3. Офталмологична оценка. </w:t>
            </w:r>
          </w:p>
          <w:p w14:paraId="5771E425" w14:textId="77777777" w:rsidR="00BE0B19" w:rsidRPr="00AE47C6" w:rsidRDefault="00BE0B19" w:rsidP="00BE0B19">
            <w:pPr>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II. При започване на лечението: </w:t>
            </w:r>
          </w:p>
          <w:p w14:paraId="474A4771"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ЕКГ и измерване на кръвното налягане и пулса преди прилагане на първата доза ponesimod и на 4-я час. </w:t>
            </w:r>
          </w:p>
          <w:p w14:paraId="07A39864"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2. Проследяване в продължение на 4 часа след приложение на първата доза при пациенти със синусова брадикардия (СЧ по-ниска от 55 удара в минута), AV блок първа и втора степен (тип Mobitz I) или анамнеза за миокарден инфаркт или сърдечна недостатъчност, настъпили повече от 6 месеца преди започване на лечението. </w:t>
            </w:r>
          </w:p>
          <w:p w14:paraId="2A19DBBE" w14:textId="77777777" w:rsidR="00BE0B19" w:rsidRPr="00AE47C6" w:rsidRDefault="00BE0B19" w:rsidP="00BE0B19">
            <w:pPr>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III. По време на лечението: </w:t>
            </w:r>
          </w:p>
          <w:p w14:paraId="3D0FD054"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Офталмологична оценка по всяко време, ако пациента съобщи за някаква промяна в зрението след започване на лечението. </w:t>
            </w:r>
          </w:p>
          <w:p w14:paraId="22B80B39"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2. Проследяване на чернодробните трансаминази на 1-ви, 3-ти, 6-ти, 9-ти и 12-ти месец от лечението и на всеки 6 месеца след това. </w:t>
            </w:r>
          </w:p>
          <w:p w14:paraId="099341FB"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3. Периодично проследяване на всеки 6 месеца на пълна кръвна картина и преустановяване на лечението при спадане на броя на лимфоцитите под 0,2х10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 xml:space="preserve">/L, до подобряване на лимфоцитния брой. </w:t>
            </w:r>
          </w:p>
          <w:p w14:paraId="7156FD77"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4. Пациентите трябва да съобщават на лекуващия лекар за всякакви зрителни нарушения или признаци и симптоми на инфекция. </w:t>
            </w:r>
          </w:p>
          <w:p w14:paraId="3146C2C8" w14:textId="77777777" w:rsidR="00BE0B19" w:rsidRPr="00AE47C6" w:rsidRDefault="00BE0B19" w:rsidP="00BE0B19">
            <w:pPr>
              <w:spacing w:line="360" w:lineRule="auto"/>
              <w:jc w:val="both"/>
              <w:rPr>
                <w:rFonts w:ascii="Times New Roman" w:eastAsia="SimSun" w:hAnsi="Times New Roman"/>
                <w:sz w:val="24"/>
                <w:szCs w:val="24"/>
              </w:rPr>
            </w:pPr>
            <w:r w:rsidRPr="00AE47C6">
              <w:rPr>
                <w:rFonts w:ascii="Times New Roman" w:eastAsia="SimSun" w:hAnsi="Times New Roman"/>
                <w:sz w:val="24"/>
                <w:szCs w:val="24"/>
              </w:rPr>
              <w:t>5. Ако лечението се прекъсне за повече от 2 седмици, пациентите трябва да бъдат наблюдавани за период от 4 часа при възобновяване на лечението.</w:t>
            </w:r>
            <w:r w:rsidRPr="00AE47C6">
              <w:rPr>
                <w:rFonts w:ascii="Times New Roman" w:eastAsia="SimSun" w:hAnsi="Times New Roman"/>
                <w:color w:val="000000"/>
                <w:sz w:val="24"/>
                <w:szCs w:val="24"/>
              </w:rPr>
              <w:t xml:space="preserve"> </w:t>
            </w:r>
          </w:p>
        </w:tc>
      </w:tr>
    </w:tbl>
    <w:p w14:paraId="7CBFE28D" w14:textId="77777777" w:rsidR="00BE0B19" w:rsidRPr="00AE47C6" w:rsidRDefault="00BE0B19" w:rsidP="00BE0B19">
      <w:pPr>
        <w:spacing w:line="360" w:lineRule="auto"/>
        <w:ind w:firstLine="720"/>
        <w:jc w:val="both"/>
        <w:rPr>
          <w:rFonts w:ascii="Times New Roman" w:eastAsia="SimSun" w:hAnsi="Times New Roman"/>
          <w:b/>
          <w:i/>
        </w:rPr>
      </w:pPr>
    </w:p>
    <w:p w14:paraId="6863416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 xml:space="preserve">Cladribine </w:t>
      </w:r>
      <w:r w:rsidRPr="00AE47C6">
        <w:rPr>
          <w:rFonts w:ascii="Times New Roman" w:eastAsia="SimSun" w:hAnsi="Times New Roman"/>
          <w:sz w:val="24"/>
          <w:szCs w:val="24"/>
        </w:rPr>
        <w:t xml:space="preserve">е селективен имуносупресор, одобрен от EMA през 2017 г. за лечение на възрастни пациенти с високоактивна пристъпна форма на МС. </w:t>
      </w:r>
    </w:p>
    <w:p w14:paraId="42D1A2E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Прилага се перорално в кумулативна доза 3,5 mg/kg телесно тегло за 2 години, прилагана като 1 курс на лечение от 1,75 mg/kg годишно. Всеки курс се състои от 2 седмици на лечение, една в началото на първия месец и една в началото на втория месец на съответната година на лечение. Всяка седмица на лечение се състои от 4 или 5 дни, в които един пациент получава 10 mg или 20 mg (една или две таблетки) като единична дневна доза, в зависимост от телесното тегло. След приключване на 2-та курса на лечение, не се налага по-нататъшно лечение с cladribine през 3-тата и 4-тата година. Повторното започване на терапия след 4-тата година не е проучено.</w:t>
      </w:r>
    </w:p>
    <w:p w14:paraId="7F643E0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Cladribine е нуклеозиден аналог на дезоксиаденозин. Механизмът, по който проявява терапевтичните си ефекти при МС не е напълно изяснен, но се счита, че неговият преобладаващ ефект върху B и T лимфоцитите със селективно намаление на делящи се и неделящи се T и B клетки прекъсва каскадата от най-важните за МС събития, свързани с имунитета. Клетките на вродената имунна система се повлияват по-слабо от клетките на адаптивната имунна система. Лечението води до бързо понижение на циркулиращите CD4+ и CD8+ T клетки. CD8+ T клетките са с по-слабо изразено понижение и по-бързо възстановяване от CD4+ T клетките, водещо до временно понижение на съотношението на CD4 към CD8. Cladribine понижава CD19+ B клетките и CD16+/CD56+ клетките естествени убийци, които също се възстановяват по-бързо от CD4+ T клетките.</w:t>
      </w:r>
    </w:p>
    <w:p w14:paraId="43AB996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Намалява</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годишната честота на пристъпите с 58% и средния брой на МРТ Gd+ T</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 xml:space="preserve"> лезиите с 86%. Намалява риска от прогресия на инвалидизацията с 47% в сравнение с плацебо. При пациенти с висока активност на заболяването, намалява годишната честота на пристъпите с 66-68%  и риска от прогресия на инвалидността с 82%. Силата на ефекта за намаляване на честотата на пристъпите и забавянето на прогресията на инвалидността се запазва на 3-тата и 4-тата година без по-нататъшно лечение. </w:t>
      </w:r>
    </w:p>
    <w:p w14:paraId="2928298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Страничните ефекти</w:t>
      </w:r>
      <w:r w:rsidRPr="00AE47C6">
        <w:rPr>
          <w:rFonts w:ascii="Times New Roman" w:eastAsia="SimSun" w:hAnsi="Times New Roman"/>
          <w:sz w:val="24"/>
          <w:szCs w:val="24"/>
        </w:rPr>
        <w:t xml:space="preserve"> с най-голяма клинична значимост са лимфопения и herpes zoster. Преходна лимфопения 3-та или 4-та степен са развили до 25% от пациентите, предимно 2 месеца след първата доза през всяка от годините на лечение. Преходна лимфопения 4-та степен е наблюдавана при по-малко от 1% от пациентите. Повечето пациенти се възстановяват до нормализиране на броя на лимфоцитите или до лимфопения 1-ва степен в рамките на 9 месеца.</w:t>
      </w:r>
    </w:p>
    <w:p w14:paraId="04CE139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 xml:space="preserve">Противопоказан </w:t>
      </w:r>
      <w:r w:rsidRPr="00AE47C6">
        <w:rPr>
          <w:rFonts w:ascii="Times New Roman" w:eastAsia="SimSun" w:hAnsi="Times New Roman"/>
          <w:sz w:val="24"/>
          <w:szCs w:val="24"/>
        </w:rPr>
        <w:t>е при инфекция с човешкия имунодефицитен вирус (HIV), активна хронична инфекция (туберкулоза или хепатит), имунокомпрометирани пациенти, включително пациенти, понастоящем получаващи имуносупресивна или миелосупресивна терапия, активно злокачествено заболяване, умерено тежко или тежко бъбречно увреждане (креатининов клирънс &lt;60 ml/min), бременност и кърмене.</w:t>
      </w:r>
    </w:p>
    <w:p w14:paraId="70D21869" w14:textId="77777777" w:rsidR="00BE0B19" w:rsidRPr="00AE47C6" w:rsidRDefault="00BE0B19" w:rsidP="00BE0B19">
      <w:pPr>
        <w:spacing w:after="0" w:line="360" w:lineRule="auto"/>
        <w:ind w:firstLine="720"/>
        <w:jc w:val="both"/>
        <w:rPr>
          <w:rFonts w:ascii="Times New Roman" w:eastAsia="SimSun" w:hAnsi="Times New Roman"/>
          <w:b/>
          <w:sz w:val="24"/>
          <w:szCs w:val="24"/>
        </w:rPr>
      </w:pPr>
    </w:p>
    <w:tbl>
      <w:tblPr>
        <w:tblW w:w="907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BE0B19" w:rsidRPr="00AE47C6" w14:paraId="377CF889" w14:textId="77777777" w:rsidTr="00AD72E5">
        <w:trPr>
          <w:trHeight w:val="415"/>
        </w:trPr>
        <w:tc>
          <w:tcPr>
            <w:tcW w:w="9923" w:type="dxa"/>
          </w:tcPr>
          <w:p w14:paraId="46FF79D1" w14:textId="77777777" w:rsidR="00BE0B19" w:rsidRPr="00AE47C6" w:rsidRDefault="00BE0B19" w:rsidP="00BE0B19">
            <w:pPr>
              <w:spacing w:after="0" w:line="360" w:lineRule="auto"/>
              <w:jc w:val="center"/>
              <w:rPr>
                <w:rFonts w:ascii="Times New Roman" w:eastAsia="SimSun" w:hAnsi="Times New Roman"/>
                <w:b/>
                <w:sz w:val="24"/>
                <w:szCs w:val="24"/>
              </w:rPr>
            </w:pPr>
            <w:r w:rsidRPr="00AE47C6">
              <w:rPr>
                <w:rFonts w:ascii="Times New Roman" w:eastAsia="SimSun" w:hAnsi="Times New Roman"/>
                <w:b/>
                <w:sz w:val="24"/>
                <w:szCs w:val="24"/>
              </w:rPr>
              <w:t xml:space="preserve">Критерии за лечение на множествената склероза с </w:t>
            </w:r>
            <w:bookmarkStart w:id="224" w:name="_Hlk501728452"/>
            <w:r w:rsidRPr="00AE47C6">
              <w:rPr>
                <w:rFonts w:ascii="Times New Roman" w:eastAsia="SimSun" w:hAnsi="Times New Roman"/>
                <w:b/>
                <w:sz w:val="24"/>
                <w:szCs w:val="24"/>
              </w:rPr>
              <w:t xml:space="preserve">cladribine </w:t>
            </w:r>
            <w:bookmarkEnd w:id="224"/>
            <w:r w:rsidRPr="00AE47C6">
              <w:rPr>
                <w:rFonts w:ascii="Times New Roman" w:eastAsia="SimSun" w:hAnsi="Times New Roman"/>
                <w:b/>
                <w:sz w:val="24"/>
                <w:szCs w:val="24"/>
              </w:rPr>
              <w:t>при пациенти с пристъпно-ремитентен ход на заболяването</w:t>
            </w:r>
          </w:p>
          <w:p w14:paraId="51F12290"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I. Включващи</w:t>
            </w:r>
          </w:p>
          <w:p w14:paraId="2AC7CDC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Диагноза множествена склероза по ревизираните от Tompson и сътр. през 2017 г. диагностични критерии на McDonald</w:t>
            </w:r>
          </w:p>
          <w:p w14:paraId="4E2DE82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2. Възраст над 18 години </w:t>
            </w:r>
          </w:p>
          <w:p w14:paraId="522F844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Инвалидност до 4 по скалата на Kurtzke</w:t>
            </w:r>
          </w:p>
          <w:p w14:paraId="03F31B9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Агресивен ход на заболяването със зачестяване на пристъпите (поне 2 за предходната година), въпреки провежданото лечение с медикаменти от първа линия</w:t>
            </w:r>
          </w:p>
          <w:p w14:paraId="2075803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Значително увеличаване на T</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 лезиите, в сравнение с предшестващ МРТ през последните 12 месеца</w:t>
            </w:r>
          </w:p>
          <w:p w14:paraId="56C47F18"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II. Изключващи</w:t>
            </w:r>
          </w:p>
          <w:p w14:paraId="4B4C8FA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Тежки придружаващи заболявания – умерено или тежко чернодробно увреждане (повече от 6 по скалата на Child-Pugh), умерено или тежко бъбречно увреждане (креатининов клирънс &lt; 60 ml/min)</w:t>
            </w:r>
          </w:p>
          <w:p w14:paraId="532F4AD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Инфекция с човешки имунодефицитен вирус (HIV)</w:t>
            </w:r>
          </w:p>
          <w:p w14:paraId="5856DFCA" w14:textId="77777777" w:rsidR="00BE0B19" w:rsidRPr="00AE47C6" w:rsidRDefault="00BE0B19" w:rsidP="00BE0B19">
            <w:pPr>
              <w:tabs>
                <w:tab w:val="left" w:pos="292"/>
              </w:tabs>
              <w:spacing w:after="0" w:line="360" w:lineRule="auto"/>
              <w:ind w:firstLine="8"/>
              <w:jc w:val="both"/>
              <w:rPr>
                <w:rFonts w:ascii="Times New Roman" w:eastAsia="SimSun" w:hAnsi="Times New Roman"/>
                <w:sz w:val="24"/>
                <w:szCs w:val="24"/>
              </w:rPr>
            </w:pPr>
            <w:r w:rsidRPr="00AE47C6">
              <w:rPr>
                <w:rFonts w:ascii="Times New Roman" w:eastAsia="SimSun" w:hAnsi="Times New Roman"/>
                <w:sz w:val="24"/>
                <w:szCs w:val="24"/>
              </w:rPr>
              <w:t>3. Имунокомпрометирани пациенти, включително пациенти, понастоящем получаващи имуносупресивна или миелосупресивна терапия</w:t>
            </w:r>
          </w:p>
          <w:p w14:paraId="17D41F6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Активна хронична инфекция – туберкулоза или хепатит</w:t>
            </w:r>
          </w:p>
          <w:p w14:paraId="3FC47B4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Бременност и кърмене</w:t>
            </w:r>
          </w:p>
          <w:p w14:paraId="6FBAC8C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 Активно злокачествено заболяване</w:t>
            </w:r>
          </w:p>
          <w:p w14:paraId="6BB58702"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III. Лечение не се прилага или ако е започнато се спира при:</w:t>
            </w:r>
          </w:p>
          <w:p w14:paraId="2E09365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Забременяване на пациентка</w:t>
            </w:r>
          </w:p>
          <w:p w14:paraId="3277512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Сериозни странични реакции от лечението</w:t>
            </w:r>
          </w:p>
          <w:p w14:paraId="2670DD9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Системно неспазване на схемата на приложението</w:t>
            </w:r>
          </w:p>
          <w:p w14:paraId="52F1F24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При липса на клинична ефективност от лечението (2 или повече пристъпа за 1 година)</w:t>
            </w:r>
          </w:p>
          <w:p w14:paraId="26E944E6" w14:textId="77777777" w:rsidR="00BE0B19" w:rsidRPr="00AE47C6" w:rsidRDefault="00BE0B19" w:rsidP="00BE0B19">
            <w:pPr>
              <w:spacing w:line="360" w:lineRule="auto"/>
              <w:rPr>
                <w:rFonts w:ascii="Times New Roman" w:eastAsia="SimSun" w:hAnsi="Times New Roman"/>
                <w:bCs/>
                <w:sz w:val="24"/>
                <w:szCs w:val="24"/>
              </w:rPr>
            </w:pPr>
            <w:r w:rsidRPr="00AE47C6">
              <w:rPr>
                <w:rFonts w:ascii="Times New Roman" w:eastAsia="SimSun" w:hAnsi="Times New Roman"/>
                <w:sz w:val="24"/>
                <w:szCs w:val="24"/>
              </w:rPr>
              <w:t xml:space="preserve">5. Пациентът може да премине на лечение с fingolimod, </w:t>
            </w:r>
            <w:r w:rsidRPr="00AE47C6">
              <w:rPr>
                <w:rFonts w:ascii="Times New Roman" w:eastAsia="SimSun" w:hAnsi="Times New Roman"/>
                <w:bCs/>
                <w:sz w:val="24"/>
                <w:szCs w:val="24"/>
              </w:rPr>
              <w:t xml:space="preserve">ponesimod, </w:t>
            </w:r>
            <w:r w:rsidRPr="00AE47C6">
              <w:rPr>
                <w:rFonts w:ascii="Times New Roman" w:eastAsia="SimSun" w:hAnsi="Times New Roman"/>
                <w:sz w:val="24"/>
                <w:szCs w:val="24"/>
              </w:rPr>
              <w:t xml:space="preserve">natalizumab, alemtuzumab, ocrelizumab, ofatumumab или siponimod. </w:t>
            </w:r>
          </w:p>
          <w:p w14:paraId="5E04E59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 Достигане на инвалидност 5 по скалата на Kurtzke</w:t>
            </w:r>
          </w:p>
          <w:p w14:paraId="7CE9FC3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 Достигане възраст 59 години и липса на активност на заболяването през последните 2 години</w:t>
            </w:r>
          </w:p>
        </w:tc>
      </w:tr>
    </w:tbl>
    <w:p w14:paraId="505768AD" w14:textId="77777777" w:rsidR="00BE0B19" w:rsidRPr="00AE47C6" w:rsidRDefault="00BE0B19" w:rsidP="00BE0B19">
      <w:pPr>
        <w:spacing w:after="0" w:line="360" w:lineRule="auto"/>
        <w:ind w:firstLine="720"/>
        <w:jc w:val="both"/>
        <w:rPr>
          <w:rFonts w:ascii="Times New Roman" w:eastAsia="SimSun" w:hAnsi="Times New Roman"/>
          <w:b/>
          <w:sz w:val="24"/>
          <w:szCs w:val="24"/>
        </w:rPr>
      </w:pPr>
    </w:p>
    <w:p w14:paraId="4457849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center"/>
        <w:rPr>
          <w:rFonts w:ascii="Times New Roman" w:eastAsia="SimSun" w:hAnsi="Times New Roman"/>
          <w:b/>
          <w:sz w:val="24"/>
          <w:szCs w:val="24"/>
        </w:rPr>
      </w:pPr>
      <w:r w:rsidRPr="00AE47C6">
        <w:rPr>
          <w:rFonts w:ascii="Times New Roman" w:eastAsia="SimSun" w:hAnsi="Times New Roman"/>
          <w:b/>
          <w:sz w:val="24"/>
          <w:szCs w:val="24"/>
        </w:rPr>
        <w:t xml:space="preserve">Необходими изследвания и контролни прегледи при лечение с cladribine </w:t>
      </w:r>
    </w:p>
    <w:p w14:paraId="6C85B91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rPr>
          <w:rFonts w:ascii="Times New Roman" w:eastAsia="SimSun" w:hAnsi="Times New Roman"/>
          <w:b/>
          <w:sz w:val="24"/>
          <w:szCs w:val="24"/>
        </w:rPr>
      </w:pPr>
      <w:r w:rsidRPr="00AE47C6">
        <w:rPr>
          <w:rFonts w:ascii="Times New Roman" w:eastAsia="SimSun" w:hAnsi="Times New Roman"/>
          <w:b/>
          <w:i/>
          <w:sz w:val="24"/>
          <w:szCs w:val="24"/>
        </w:rPr>
        <w:t xml:space="preserve">           I. Преди започване (първия курс) на лечение:</w:t>
      </w:r>
    </w:p>
    <w:p w14:paraId="6119ADD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Пълна кръвна картина с диференциално броене: броят на лимфоцитите трябва да е нормален ≥ 1000 клетки/mm</w:t>
      </w:r>
      <w:r w:rsidRPr="00AE47C6">
        <w:rPr>
          <w:rFonts w:ascii="Times New Roman" w:eastAsia="SimSun" w:hAnsi="Times New Roman"/>
          <w:sz w:val="24"/>
          <w:szCs w:val="24"/>
          <w:vertAlign w:val="superscript"/>
        </w:rPr>
        <w:t>3</w:t>
      </w:r>
      <w:r w:rsidRPr="00AE47C6">
        <w:rPr>
          <w:rFonts w:ascii="Times New Roman" w:eastAsia="SimSun" w:hAnsi="Times New Roman"/>
          <w:sz w:val="24"/>
          <w:szCs w:val="24"/>
        </w:rPr>
        <w:t xml:space="preserve"> </w:t>
      </w:r>
    </w:p>
    <w:p w14:paraId="312E39D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2. Серумни трансаминази, общ билирубин, алкална фосфатаза, урея и креатинин. Анамнеза за чернодробни нарушения. </w:t>
      </w:r>
    </w:p>
    <w:p w14:paraId="556CC95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Скрининг за латентни инфекции, особено хепатит B и C и туберкулоза (Т-spot тест). Започването на приема на cladribine трябва да се отложи, докато не се проведе адекватно лечение на инфекцията и тя не се овладее напълно.</w:t>
      </w:r>
    </w:p>
    <w:p w14:paraId="4973D95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4. Антитела срещу varicella zoster вирус (VZV) при пациентите без анамнеза за прекарана варицела или без ваксинация. При антитяло-негативните пациенти се препоръчва ваксинация. </w:t>
      </w:r>
    </w:p>
    <w:p w14:paraId="7C6642F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rPr>
          <w:rFonts w:ascii="Times New Roman" w:eastAsia="SimSun" w:hAnsi="Times New Roman"/>
          <w:sz w:val="24"/>
          <w:szCs w:val="24"/>
        </w:rPr>
      </w:pPr>
      <w:r w:rsidRPr="00AE47C6">
        <w:rPr>
          <w:rFonts w:ascii="Times New Roman" w:eastAsia="SimSun" w:hAnsi="Times New Roman"/>
          <w:b/>
          <w:i/>
          <w:sz w:val="24"/>
          <w:szCs w:val="24"/>
        </w:rPr>
        <w:t xml:space="preserve">           II. По време на първия и до 6 месеца след последния (втория) курс на лечение:</w:t>
      </w:r>
    </w:p>
    <w:p w14:paraId="7A24AFF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Пълна кръвна картина с диференциално броене:</w:t>
      </w:r>
    </w:p>
    <w:p w14:paraId="6C7F584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 на 2-ри и 6-ти месец след започване на лечението през всяка година на лечение.</w:t>
      </w:r>
    </w:p>
    <w:p w14:paraId="6C6B0CA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 преди започване на приема на cladribine през втората година, като броят на лимфоцитите трябва да е най-малко 800 клетки/mm</w:t>
      </w:r>
      <w:r w:rsidRPr="00AE47C6">
        <w:rPr>
          <w:rFonts w:ascii="Times New Roman" w:eastAsia="SimSun" w:hAnsi="Times New Roman"/>
          <w:sz w:val="24"/>
          <w:szCs w:val="24"/>
          <w:vertAlign w:val="superscript"/>
        </w:rPr>
        <w:t>3</w:t>
      </w:r>
      <w:r w:rsidRPr="00AE47C6">
        <w:rPr>
          <w:rFonts w:ascii="Times New Roman" w:eastAsia="SimSun" w:hAnsi="Times New Roman"/>
          <w:sz w:val="24"/>
          <w:szCs w:val="24"/>
        </w:rPr>
        <w:t>. Курсът на лечение през втората година може да се забави с до 6 месеца, за да се даде възможност за възстановяване на лимфоцитите</w:t>
      </w:r>
    </w:p>
    <w:p w14:paraId="61D294E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rPr>
          <w:rFonts w:ascii="Times New Roman" w:eastAsia="SimSun" w:hAnsi="Times New Roman"/>
          <w:b/>
          <w:i/>
          <w:sz w:val="24"/>
          <w:szCs w:val="24"/>
        </w:rPr>
      </w:pPr>
      <w:r w:rsidRPr="00AE47C6">
        <w:rPr>
          <w:rFonts w:ascii="Times New Roman" w:eastAsia="SimSun" w:hAnsi="Times New Roman"/>
          <w:b/>
          <w:i/>
          <w:sz w:val="24"/>
          <w:szCs w:val="24"/>
        </w:rPr>
        <w:t>III. Преди започване  на втория курс на лечение:</w:t>
      </w:r>
    </w:p>
    <w:p w14:paraId="66A6469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Серумни трансаминази, общ билирубин, алкална фосфатаза, урея и креатинин </w:t>
      </w:r>
    </w:p>
    <w:p w14:paraId="13EEFA4E" w14:textId="77777777" w:rsidR="00BE0B19" w:rsidRPr="00AE47C6" w:rsidRDefault="00BE0B19" w:rsidP="00BE0B19">
      <w:pPr>
        <w:spacing w:after="0" w:line="360" w:lineRule="auto"/>
        <w:ind w:firstLine="720"/>
        <w:jc w:val="both"/>
        <w:rPr>
          <w:rFonts w:ascii="Times New Roman" w:eastAsia="SimSun" w:hAnsi="Times New Roman"/>
          <w:bCs/>
          <w:sz w:val="24"/>
          <w:szCs w:val="24"/>
        </w:rPr>
      </w:pPr>
    </w:p>
    <w:p w14:paraId="520547F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Моноклоналните антитела</w:t>
      </w:r>
      <w:r w:rsidRPr="00AE47C6">
        <w:rPr>
          <w:rFonts w:ascii="Times New Roman" w:eastAsia="SimSun" w:hAnsi="Times New Roman"/>
          <w:sz w:val="24"/>
          <w:szCs w:val="24"/>
        </w:rPr>
        <w:t xml:space="preserve"> доведоха до революция при автоимунните заболявания. Развитието на технологията на моноклоналните антитела позволява да се създаде много специфично насочена към целта имунотерапия. Проблемът е, че толкова специфична терапия може би не е подходяща за заболяване с не напълно изяснена имунопатология, поради появата на непредвидими странични ефекти</w:t>
      </w:r>
    </w:p>
    <w:p w14:paraId="2FA5DEF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 xml:space="preserve">Natalizumab </w:t>
      </w:r>
      <w:r w:rsidRPr="00AE47C6">
        <w:rPr>
          <w:rFonts w:ascii="Times New Roman" w:eastAsia="SimSun" w:hAnsi="Times New Roman"/>
          <w:sz w:val="24"/>
          <w:szCs w:val="24"/>
        </w:rPr>
        <w:t>е първото хуманизирано моноклонално антитяло одобрено през 2004 г. от FDA за лечение на пристъпно-ремитентна множествена склероза. Прилага се веднъж месечно по 300 mg интравенозно, вливани за 1 час или  подкожно в същата доза. Прилага се при по-млади пациенти в ранна и активна фаза на заболяването, когато преобладават възпалителните промени. Предвид на потенциалните тежки странични ефекти се прилага само като монотерапия при пациенти с агресивна пристъпно-ремитентна форма на заболяването, които не се повлияват от терапията на първа линия и за предпочитане са негативни за антитела спрямо JC (John Cunningham) вирус. Не се комбинира с други модифициращи хода на заболяването медикаменти, поради поява на тежки усложнения. Полуживотът на медикамента е 11 дни.</w:t>
      </w:r>
    </w:p>
    <w:p w14:paraId="096676B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Представлява рекомбинантно, анти-α4 интегрин моноклонално антитяло, насочено срещу α4 веригата (CD49d) на α4-β1 и α 4-β7 (VLA-4) интегриновия рецептор върху повърхността на активираните Т клетки. Свързва се със специфичен Т клетъчен рецепторен антиген VLA-4 (Very Late Appearing Antigen-4) интегрин, който медиира свързването с адхезионна молекула-1 (VCAM-1) на мозъчния ендотел и засилва трафика на Т клетки към централната нервна система. По този начин блокира свързването на интегриновия рецептор на лимфоцитите с VCAM-1 рецепторите на съдовата ендотелна мембрана. Потиска частично активацията, пролиферацията и миграцията на левкоцитите към областите с възпаление. </w:t>
      </w:r>
    </w:p>
    <w:p w14:paraId="3AE599B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Намалява броя на пристъпите с около 60% и на МРТ лезиите с 90%. Намалява новите МРТ плаки и тяхното прерастване в “черни дупки”, което е свързано и с аксонна загуба. Подобрява зрителните нарушения, свързани с възпалителната демиелинизация. Намалява риска от прогресия на инвалидизацията с 25-40%. Ефективността нараства през втората година от прилагането на лечението. </w:t>
      </w:r>
    </w:p>
    <w:p w14:paraId="154784C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Биологичните маркери</w:t>
      </w:r>
      <w:r w:rsidRPr="00AE47C6">
        <w:rPr>
          <w:rFonts w:ascii="Times New Roman" w:eastAsia="SimSun" w:hAnsi="Times New Roman"/>
          <w:sz w:val="24"/>
          <w:szCs w:val="24"/>
        </w:rPr>
        <w:t xml:space="preserve"> за активността на natalizumab не са проучени, но концентрациите на медикамента се измерват лесно чрез ELISA и са реален маркер за неговата бионаличност. </w:t>
      </w:r>
    </w:p>
    <w:p w14:paraId="73BEC5E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Неутрализиращи антитела</w:t>
      </w:r>
      <w:r w:rsidRPr="00AE47C6">
        <w:rPr>
          <w:rFonts w:ascii="Times New Roman" w:eastAsia="SimSun" w:hAnsi="Times New Roman"/>
          <w:sz w:val="24"/>
          <w:szCs w:val="24"/>
        </w:rPr>
        <w:t xml:space="preserve"> възникват при около 10% от пациентите още след третата инфузия. Въпреки че е хуманизирано моноклонално антитяло, една малка част от него е прицел на антитела, защото е произведена от мишки. При 6% от пациентите неутрализиращите антитела персистират във времето, намаляват клиничната ефективност на медикамента и увеличават неговите алергични странични реакции. След около 2 години при част от пациентите неутрализиращите антитела изчезват. </w:t>
      </w:r>
    </w:p>
    <w:p w14:paraId="78BBEEE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Страничните ефекти</w:t>
      </w:r>
      <w:r w:rsidRPr="00AE47C6">
        <w:rPr>
          <w:rFonts w:ascii="Times New Roman" w:eastAsia="SimSun" w:hAnsi="Times New Roman"/>
          <w:sz w:val="24"/>
          <w:szCs w:val="24"/>
        </w:rPr>
        <w:t xml:space="preserve"> са свързани с умора, главоболие, депресия, ставни болки, уринарни и белодробни (бронхопневмония) инфекции и абдоминален дискомфорт. При по-малко от 1% от пациентите възникват сериозни реакции на свръхчувствителност. При някои пациенти са установени данни за хепатотоксичност, поради което медикаментът е противопоказан при пациенти с данни за чернодробно заболяване. </w:t>
      </w:r>
    </w:p>
    <w:p w14:paraId="5CCA3EE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u w:val="single"/>
        </w:rPr>
        <w:t>Прогресивната мултифокална левкоенцефалопатия</w:t>
      </w:r>
      <w:r w:rsidRPr="00AE47C6">
        <w:rPr>
          <w:rFonts w:ascii="Times New Roman" w:eastAsia="SimSun" w:hAnsi="Times New Roman"/>
          <w:sz w:val="24"/>
          <w:szCs w:val="24"/>
        </w:rPr>
        <w:t xml:space="preserve"> (PML) е най-тежкото усложнение на лечението. Рискът достига до 4 на 1000 лекувани пациенти. Рискът е по-висок при по-високо ниво на JCV антитела, по-дълготрайно лечение и прилагана друга имуносупресивна терапия. Настъпва поради нарушаване на Т-клетъчната имунна защита (драстично намаляване на Т клетките) и предсрочното освобождаване на пре-В клетки от костния мозък. Natalizumab повишава нивото на В клетките в циркулацията. Те са носители на J.C. полиомавируса, който предизвиква PML. Намалява и броят на CD4 клетките, които играят важна роля в контрола на вируса. Въпреки опасността от възникване на живото-застрашаващата PML, ползата от лечението превъзхожда риска. </w:t>
      </w:r>
    </w:p>
    <w:p w14:paraId="55DD374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Рискът от възникване на PML се прецизира чрез скрининг за антитела към J.C. вируса преди започване на лечението. Препоръчва се ежегодно тестване на пациентите, защото годишно при 2% от населението настъпва сероконверзия в антигенният статус. Рискът от развитие на левкоенцефалопатия е най-голям през третата година на лечение. При пациенти, които са позитивни за антитела спрямо J.C. вирус, след едногодишен или двугодишен курс на лечение с natalizumab трябва да се обмисли смяна на терапията с друг медикамент. Трябва да се има предвид, че тази смяна е много вероятно да доведе до повишаване на честотата на пристъпите.  </w:t>
      </w:r>
    </w:p>
    <w:p w14:paraId="229DB00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 възникване на PML е необходимо спешно да се възстанови имунният ефекторен отговор, чрез възвръщане на възможността за миграция на левкоцитите през кръвномозъчната бариера, която е потисната от natalizumab. Това се постига чрез плазмафереза, която намалява сатурацията на α4 интегрин. </w:t>
      </w:r>
    </w:p>
    <w:p w14:paraId="1677AAB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Cs/>
          <w:sz w:val="24"/>
          <w:szCs w:val="24"/>
        </w:rPr>
      </w:pPr>
      <w:r w:rsidRPr="00AE47C6">
        <w:rPr>
          <w:rFonts w:ascii="Times New Roman" w:eastAsia="SimSun" w:hAnsi="Times New Roman"/>
          <w:b/>
          <w:bCs/>
          <w:iCs/>
          <w:sz w:val="24"/>
          <w:szCs w:val="24"/>
        </w:rPr>
        <w:t>Критерии за лечение на множествената склероза с natalizumab при пациенти с пристъпно-ремитентен ход на заболяването</w:t>
      </w:r>
    </w:p>
    <w:p w14:paraId="07DD90C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І. Включващи</w:t>
      </w:r>
    </w:p>
    <w:p w14:paraId="5A0777F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1. Диагноза множествена склероза по ревизираните от Tompson и сътр. през 2017 г. диагностични критерии на McDonald</w:t>
      </w:r>
    </w:p>
    <w:p w14:paraId="6B91DA2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2. Възраст над 18 години </w:t>
      </w:r>
    </w:p>
    <w:p w14:paraId="556AF67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Инвалидност до 4,0 по скалата на Kurtzke</w:t>
      </w:r>
    </w:p>
    <w:p w14:paraId="037D12A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Агресивен ход на заболяването със зачестяване на пристъпите (поне 2 за предходната година), въпреки провежданото лечение с медикаменти от първа линия.</w:t>
      </w:r>
    </w:p>
    <w:p w14:paraId="7041AD6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Значително увеличаване на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лезиите в сравнение с предшестващ МРТ през последните 12 месеца</w:t>
      </w:r>
    </w:p>
    <w:p w14:paraId="22A6BB6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ІІ. Изключващи</w:t>
      </w:r>
    </w:p>
    <w:p w14:paraId="7170876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Тежки придружаващи заболявания – сърдечни, белодробни, бъбречни, чернодробни и инфекции.</w:t>
      </w:r>
    </w:p>
    <w:p w14:paraId="0506851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Бременност или планиране на бременност.</w:t>
      </w:r>
    </w:p>
    <w:p w14:paraId="662C3F6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i/>
          <w:sz w:val="24"/>
          <w:szCs w:val="24"/>
        </w:rPr>
      </w:pPr>
      <w:r w:rsidRPr="00AE47C6">
        <w:rPr>
          <w:rFonts w:ascii="Times New Roman" w:eastAsia="SimSun" w:hAnsi="Times New Roman"/>
          <w:b/>
          <w:bCs/>
          <w:sz w:val="24"/>
          <w:szCs w:val="24"/>
        </w:rPr>
        <w:t>III. Лечение не се прилага или ако е започнато се спира при:</w:t>
      </w:r>
    </w:p>
    <w:p w14:paraId="4A887AC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Забременяване на пациентка. </w:t>
      </w:r>
    </w:p>
    <w:p w14:paraId="70DA040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2. Сериозни странични реакции от лечението: </w:t>
      </w:r>
    </w:p>
    <w:p w14:paraId="76D91FB6" w14:textId="77777777" w:rsidR="00BE0B19" w:rsidRPr="00AE47C6" w:rsidRDefault="00BE0B19" w:rsidP="00BE0B19">
      <w:pPr>
        <w:numPr>
          <w:ilvl w:val="0"/>
          <w:numId w:val="61"/>
        </w:numPr>
        <w:pBdr>
          <w:top w:val="single" w:sz="4" w:space="1" w:color="auto"/>
          <w:left w:val="single" w:sz="4" w:space="4" w:color="auto"/>
          <w:bottom w:val="single" w:sz="4" w:space="1" w:color="auto"/>
          <w:right w:val="single" w:sz="4" w:space="4" w:color="auto"/>
        </w:pBd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При поява на нови неврологични симптоми, до изясняване на състоянието, като евентуална причина се приемат PML или друга опортюнистична инфекция. </w:t>
      </w:r>
    </w:p>
    <w:p w14:paraId="02A2788A" w14:textId="77777777" w:rsidR="00BE0B19" w:rsidRPr="00AE47C6" w:rsidRDefault="00BE0B19" w:rsidP="00BE0B19">
      <w:pPr>
        <w:numPr>
          <w:ilvl w:val="0"/>
          <w:numId w:val="61"/>
        </w:numPr>
        <w:pBdr>
          <w:top w:val="single" w:sz="4" w:space="1" w:color="auto"/>
          <w:left w:val="single" w:sz="4" w:space="4" w:color="auto"/>
          <w:bottom w:val="single" w:sz="4" w:space="1" w:color="auto"/>
          <w:right w:val="single" w:sz="4" w:space="4" w:color="auto"/>
        </w:pBd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Провеждат се МРТ изследване и лумбална пункция с изследване за J.C. полиомавируса </w:t>
      </w:r>
    </w:p>
    <w:p w14:paraId="2DF6FD82" w14:textId="77777777" w:rsidR="00BE0B19" w:rsidRPr="00AE47C6" w:rsidRDefault="00BE0B19" w:rsidP="00BE0B19">
      <w:pPr>
        <w:numPr>
          <w:ilvl w:val="0"/>
          <w:numId w:val="61"/>
        </w:numPr>
        <w:pBdr>
          <w:top w:val="single" w:sz="4" w:space="1" w:color="auto"/>
          <w:left w:val="single" w:sz="4" w:space="4" w:color="auto"/>
          <w:bottom w:val="single" w:sz="4" w:space="1" w:color="auto"/>
          <w:right w:val="single" w:sz="4" w:space="4" w:color="auto"/>
        </w:pBd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При негативен резултат от изследванията се приема, че появата на нови симптоми се дължи на пристъп на заболяването и се провежда лечение, както при пристъп </w:t>
      </w:r>
    </w:p>
    <w:p w14:paraId="7768209E" w14:textId="77777777" w:rsidR="00BE0B19" w:rsidRPr="00AE47C6" w:rsidRDefault="00BE0B19" w:rsidP="00BE0B19">
      <w:pPr>
        <w:numPr>
          <w:ilvl w:val="0"/>
          <w:numId w:val="61"/>
        </w:numPr>
        <w:pBdr>
          <w:top w:val="single" w:sz="4" w:space="1" w:color="auto"/>
          <w:left w:val="single" w:sz="4" w:space="4" w:color="auto"/>
          <w:bottom w:val="single" w:sz="4" w:space="1" w:color="auto"/>
          <w:right w:val="single" w:sz="4" w:space="4" w:color="auto"/>
        </w:pBd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След лечението, ако симптомите отзвучат, се възобновява лечението с Natalizumab</w:t>
      </w:r>
    </w:p>
    <w:p w14:paraId="70B84DA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Системно неспазване на лечебната схема от болния</w:t>
      </w:r>
    </w:p>
    <w:p w14:paraId="6988BE7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Липса на клинична ефективност от лечението (2 и повече пристъпа за 1 година).</w:t>
      </w:r>
    </w:p>
    <w:p w14:paraId="3E0096C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Пациентът може да премине на лечение с fingolimod, ponesimod, cladribine, alemtuzumab, ocrelizumab, ofatumumab или siponimod след 2 месеца период на изчистване.</w:t>
      </w:r>
    </w:p>
    <w:p w14:paraId="37A43FA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trike/>
          <w:sz w:val="24"/>
          <w:szCs w:val="24"/>
        </w:rPr>
      </w:pPr>
      <w:r w:rsidRPr="00AE47C6">
        <w:rPr>
          <w:rFonts w:ascii="Times New Roman" w:eastAsia="SimSun" w:hAnsi="Times New Roman"/>
          <w:sz w:val="24"/>
          <w:szCs w:val="24"/>
        </w:rPr>
        <w:t>6. След провеждане на 2 годишно лечение при JCV-позитивните пациенти ползата от лечението следва да се преоцени спрямо рисковете, а при преценка за продължение на natalizumab, JCV-индекса и МРТ да се проследяват минимум на 6 месеца.</w:t>
      </w:r>
    </w:p>
    <w:p w14:paraId="332BE0A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7. Достигане на инвалидност 5 по скалата на Kurtzke </w:t>
      </w:r>
    </w:p>
    <w:p w14:paraId="355777A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8. Достигане до възраст 59 години и липса на активност на заболяването през последните 2 години.</w:t>
      </w:r>
    </w:p>
    <w:p w14:paraId="779753C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9. Рискът от PML съществува и след спиране на natalizumab, поради което проследяването на тези пациенти е препоръчително, особено при преминаване на друго лечение, което потенциално може да предизвика PML.</w:t>
      </w:r>
    </w:p>
    <w:p w14:paraId="037700DF" w14:textId="77777777" w:rsidR="00BE0B19" w:rsidRPr="00AE47C6" w:rsidRDefault="00BE0B19" w:rsidP="00BE0B19">
      <w:pPr>
        <w:spacing w:after="0" w:line="360" w:lineRule="auto"/>
        <w:jc w:val="center"/>
        <w:rPr>
          <w:rFonts w:ascii="Times New Roman" w:eastAsia="SimSun" w:hAnsi="Times New Roman"/>
          <w:b/>
          <w:sz w:val="24"/>
          <w:szCs w:val="24"/>
        </w:rPr>
      </w:pPr>
    </w:p>
    <w:p w14:paraId="0769286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center"/>
        <w:rPr>
          <w:rFonts w:ascii="Times New Roman" w:eastAsia="SimSun" w:hAnsi="Times New Roman"/>
          <w:b/>
          <w:sz w:val="24"/>
          <w:szCs w:val="24"/>
        </w:rPr>
      </w:pPr>
      <w:r w:rsidRPr="00AE47C6">
        <w:rPr>
          <w:rFonts w:ascii="Times New Roman" w:eastAsia="SimSun" w:hAnsi="Times New Roman"/>
          <w:b/>
          <w:sz w:val="24"/>
          <w:szCs w:val="24"/>
        </w:rPr>
        <w:t>Необходими изследвания и контролни прегледи при лечение с natalizumab</w:t>
      </w:r>
    </w:p>
    <w:p w14:paraId="683EE20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i/>
          <w:sz w:val="24"/>
          <w:szCs w:val="24"/>
        </w:rPr>
      </w:pPr>
      <w:r w:rsidRPr="00AE47C6">
        <w:rPr>
          <w:rFonts w:ascii="Times New Roman" w:eastAsia="SimSun" w:hAnsi="Times New Roman"/>
          <w:b/>
          <w:i/>
          <w:sz w:val="24"/>
          <w:szCs w:val="24"/>
        </w:rPr>
        <w:t>I. Преди започване на лечение:</w:t>
      </w:r>
    </w:p>
    <w:p w14:paraId="4F715F9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МРТ </w:t>
      </w:r>
    </w:p>
    <w:p w14:paraId="4B6CD6C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Изследване за антитела към J.C. вирус. При пациенти с отрицателен резултат за анти-JCV антитела при старта на лечение може да се провежда ново изследване на всеки 6 месеца.</w:t>
      </w:r>
    </w:p>
    <w:p w14:paraId="29798A7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b/>
          <w:i/>
          <w:sz w:val="24"/>
          <w:szCs w:val="24"/>
        </w:rPr>
        <w:t>II. По време на лечението:</w:t>
      </w:r>
    </w:p>
    <w:p w14:paraId="36C17A6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Ежегодно изследване за антитела към J.C. вирус </w:t>
      </w:r>
    </w:p>
    <w:p w14:paraId="3780A6D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2. Ежемесечно проследяване за промени в неврологичния статус </w:t>
      </w:r>
    </w:p>
    <w:p w14:paraId="5D8D6A8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3. През 6 месеца проследяване на ALAT, ASAT, билирубин </w:t>
      </w:r>
    </w:p>
    <w:p w14:paraId="153BE65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На всеки 6 месеца МРТ и лабораторно проследяване на JCV-индекса при JC позитивни пациенти</w:t>
      </w:r>
    </w:p>
    <w:p w14:paraId="3600DE77" w14:textId="77777777" w:rsidR="00BE0B19" w:rsidRPr="00AE47C6" w:rsidRDefault="00BE0B19" w:rsidP="00BE0B19">
      <w:pPr>
        <w:tabs>
          <w:tab w:val="left" w:pos="5954"/>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Alemtuzumab</w:t>
      </w:r>
      <w:r w:rsidRPr="00AE47C6">
        <w:rPr>
          <w:rFonts w:ascii="Times New Roman" w:eastAsia="SimSun" w:hAnsi="Times New Roman"/>
          <w:sz w:val="24"/>
          <w:szCs w:val="24"/>
        </w:rPr>
        <w:t xml:space="preserve"> е хуманизирано моноклонално антитяло за лечение на В-клетъчна хронична лимфоцитна левкемия. През 2013 г. медикамента е одобрен от EMA за лечение от първа линия на пристъпно-ремитентна форма на множествена склероза. През 2014 г. FDA одобри приложението му само като втора линия на терапия при пациенти с агресивен ход на заболяването, които не са се повлияли от терапията на първа линия. Медикаментът не е ефективен при вторично-прогресираща форма на множествена склероза.</w:t>
      </w:r>
    </w:p>
    <w:p w14:paraId="5A6357EA" w14:textId="77777777" w:rsidR="00BE0B19" w:rsidRPr="00AE47C6" w:rsidRDefault="00BE0B19" w:rsidP="00BE0B19">
      <w:pPr>
        <w:tabs>
          <w:tab w:val="left" w:pos="5954"/>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Прилага се веднъж годишно в интравенозни инфузии от 12 mg дневно за 4 часа, за 5 последователни дни (обща доза 60 mg). След 12 месеца се прилагат три последователни инфузии (36 mg). Ползите и рисковете от повече от 2 курса на лечение не са напълно установени, но профилът на безопасност изглежда не се променя.</w:t>
      </w:r>
    </w:p>
    <w:p w14:paraId="3030A04C" w14:textId="77777777" w:rsidR="00BE0B19" w:rsidRPr="00AE47C6" w:rsidRDefault="00BE0B19" w:rsidP="00BE0B19">
      <w:pPr>
        <w:tabs>
          <w:tab w:val="left" w:pos="5954"/>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Свързва се с CD52 антигенните глюкопротеинни рецептори на лимфоцитите (Т и В клетките), натуралните килърни клетки, моноцитите и макрофагите. Предизвиква клетъчна смърт и изчерпване на лимфоцитите с CD52 рецептори, посредством антитяло медиирана клетъчна токсичност. B клетките и моноцитите се възстановяват в рамките на 6 месеца, но възстановяването на Т клетките отнема повече време. CD8+ T клетките се възстановяват средно след 30 месеца, но CD4+ T клетките – чак след 5 години. Поради активация на В клетките и преходно нарастване на нивото на цитокините след започване на лечението може да има преходно влошаване. Няма данни медикамента да засяга имунологичната памет по отношение на антитела към често срещани вируси и проведени ваксинации. Запазва се и възможността за изграждане на хуморален имунен отговор срещу нови антигени.</w:t>
      </w:r>
    </w:p>
    <w:p w14:paraId="548259DA" w14:textId="77777777" w:rsidR="00BE0B19" w:rsidRPr="00AE47C6" w:rsidRDefault="00BE0B19" w:rsidP="00BE0B19">
      <w:pPr>
        <w:tabs>
          <w:tab w:val="left" w:pos="5954"/>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Клиничните проучвания при пациенти с пристъпно-ремитентна форма на множествена склероза показват намаляване на годишния брой на пристъпите с 55% спрямо интерферон β-1a, прилаган подкожно, намаляване на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усилващите се с контраст МРТ лезии и мозъчната атрофия, без повлияване на прогресията на заболяването. При пациенти лекувани преди това с бетаинтерферони, които не са имали добър ефект от лечението, alemtuzumab намалява честотата на пристъпите и риска от инвалидизация с 40%. При пациенти в ранна фаза на заболяването се установява подобрение на инвалидизацията и нарастване на мозъчния обем, които вероятно се дължат на секретиране на невротрофични фактори от имунните клетки, възстановяващи се след лечението. </w:t>
      </w:r>
    </w:p>
    <w:p w14:paraId="27BDDCA9" w14:textId="77777777" w:rsidR="00BE0B19" w:rsidRPr="00AE47C6" w:rsidRDefault="00BE0B19" w:rsidP="00BE0B19">
      <w:pPr>
        <w:tabs>
          <w:tab w:val="left" w:pos="5954"/>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Инхибиторни антитела</w:t>
      </w:r>
      <w:r w:rsidRPr="00AE47C6">
        <w:rPr>
          <w:rFonts w:ascii="Times New Roman" w:eastAsia="SimSun" w:hAnsi="Times New Roman"/>
          <w:sz w:val="24"/>
          <w:szCs w:val="24"/>
        </w:rPr>
        <w:t xml:space="preserve"> се установяват при 85% от пациентите, но няма връзка между тях и намаляване на ефикасността или поява на нежелани реакции.    </w:t>
      </w:r>
    </w:p>
    <w:p w14:paraId="39C6F86A" w14:textId="77777777" w:rsidR="00BE0B19" w:rsidRPr="00AE47C6" w:rsidRDefault="00BE0B19" w:rsidP="00BE0B19">
      <w:pPr>
        <w:tabs>
          <w:tab w:val="left" w:pos="5954"/>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Страничните ефекти</w:t>
      </w:r>
      <w:r w:rsidRPr="00AE47C6">
        <w:rPr>
          <w:rFonts w:ascii="Times New Roman" w:eastAsia="SimSun" w:hAnsi="Times New Roman"/>
          <w:sz w:val="24"/>
          <w:szCs w:val="24"/>
        </w:rPr>
        <w:t xml:space="preserve"> са свързани с инфузионни реакции на втрисане, обриви, главоболие, гадене и повръщане, инфекция на горни дихателни и пикочни пътища, лимфопения, левкопения, зачервяване на лицето, гадене, умора, както и преходно засилване на неврологичните симптоми (няколко часа), поради освобождаване на цитокини. Описани са и случаи на анафилаксия. Потискат се чрез предварително прилагане на кортикостероиди (methylprednisolone 1000 mg) ежедневно в първите 3 дни от инфузиите на всеки лечебен курс. </w:t>
      </w:r>
    </w:p>
    <w:p w14:paraId="2134DD1E" w14:textId="77777777" w:rsidR="00BE0B19" w:rsidRPr="00AE47C6" w:rsidRDefault="00BE0B19" w:rsidP="00BE0B19">
      <w:pPr>
        <w:tabs>
          <w:tab w:val="left" w:pos="5954"/>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Сериозни редки реакции, възникващи в рамките на 1-3 дни след инфузията са възможни след всяка от дозите през първата година, а също и след втория инфузионен курс. Те са непредвидими и засягат различни органи и системи, развиват се остро и могат да завършат летално. Към тях спадат усложнения, които не са свързани с придружаващо заболяване или известен подлежащ медицински риск за пациента.</w:t>
      </w:r>
    </w:p>
    <w:p w14:paraId="04137CE0" w14:textId="77777777" w:rsidR="00BE0B19" w:rsidRPr="00AE47C6" w:rsidRDefault="00BE0B19" w:rsidP="00BE0B19">
      <w:pPr>
        <w:tabs>
          <w:tab w:val="left" w:pos="5954"/>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Хеморагичен инсулт</w:t>
      </w:r>
      <w:r w:rsidRPr="00AE47C6">
        <w:rPr>
          <w:rFonts w:ascii="Times New Roman" w:eastAsia="SimSun" w:hAnsi="Times New Roman"/>
          <w:sz w:val="24"/>
          <w:szCs w:val="24"/>
        </w:rPr>
        <w:t xml:space="preserve"> в дните след инфузията, възниква при пациенти на възраст под 50 години, без анамнеза за хипертония, коагулационни нарушения или съпътстваща употреба на антикоагуланти или тромбоцитни инхибитори. </w:t>
      </w:r>
    </w:p>
    <w:p w14:paraId="7AAA60F5" w14:textId="77777777" w:rsidR="00BE0B19" w:rsidRPr="00AE47C6" w:rsidRDefault="00BE0B19" w:rsidP="00BE0B19">
      <w:pPr>
        <w:tabs>
          <w:tab w:val="left" w:pos="5954"/>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Исхемия на миокарда (вкл. инфаркт на миокарда)</w:t>
      </w:r>
      <w:r w:rsidRPr="00AE47C6">
        <w:rPr>
          <w:rFonts w:ascii="Times New Roman" w:eastAsia="SimSun" w:hAnsi="Times New Roman"/>
          <w:b/>
          <w:bCs/>
          <w:sz w:val="24"/>
          <w:szCs w:val="24"/>
        </w:rPr>
        <w:t xml:space="preserve"> </w:t>
      </w:r>
      <w:r w:rsidRPr="00AE47C6">
        <w:rPr>
          <w:rFonts w:ascii="Times New Roman" w:eastAsia="SimSun" w:hAnsi="Times New Roman"/>
          <w:sz w:val="24"/>
          <w:szCs w:val="24"/>
        </w:rPr>
        <w:t>е инфузионно усложнение, което не е свързано с придружаващи рискови фактори. Част от пациентите са били на възраст под 40 години и не са имали рискови фактори за исхемична болест на сърцето.  </w:t>
      </w:r>
    </w:p>
    <w:p w14:paraId="7556910F" w14:textId="77777777" w:rsidR="00BE0B19" w:rsidRPr="00AE47C6" w:rsidRDefault="00BE0B19" w:rsidP="00BE0B19">
      <w:pPr>
        <w:tabs>
          <w:tab w:val="left" w:pos="5954"/>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Артериални дисекации</w:t>
      </w:r>
      <w:r w:rsidRPr="00AE47C6">
        <w:rPr>
          <w:rFonts w:ascii="Times New Roman" w:eastAsia="SimSun" w:hAnsi="Times New Roman"/>
          <w:sz w:val="24"/>
          <w:szCs w:val="24"/>
        </w:rPr>
        <w:t xml:space="preserve"> на клонове на вертебралната и каротидната артерии, включително множествени дисекации възникват в първите дни след приложението на alemtuzumab, но са описани и по-късни случаи, през първия месец след инфузията. </w:t>
      </w:r>
    </w:p>
    <w:p w14:paraId="1507E89C" w14:textId="77777777" w:rsidR="00BE0B19" w:rsidRPr="00AE47C6" w:rsidRDefault="00BE0B19" w:rsidP="00BE0B19">
      <w:pPr>
        <w:tabs>
          <w:tab w:val="left" w:pos="5954"/>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Белодробен алвеоларен кръвоизлив</w:t>
      </w:r>
      <w:r w:rsidRPr="00AE47C6">
        <w:rPr>
          <w:rFonts w:ascii="Times New Roman" w:eastAsia="SimSun" w:hAnsi="Times New Roman"/>
          <w:sz w:val="24"/>
          <w:szCs w:val="24"/>
        </w:rPr>
        <w:t xml:space="preserve"> възниква спонтанно, без времева или причинна връзка с анти-GBM (glomerular base membrane) антитела гломерулонефрит (синдром на Goodpasture). </w:t>
      </w:r>
    </w:p>
    <w:p w14:paraId="6B735B65" w14:textId="77777777" w:rsidR="00BE0B19" w:rsidRPr="00AE47C6" w:rsidRDefault="00BE0B19" w:rsidP="00BE0B19">
      <w:pPr>
        <w:tabs>
          <w:tab w:val="left" w:pos="5954"/>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Тромбоцитопенията,</w:t>
      </w:r>
      <w:r w:rsidRPr="00AE47C6">
        <w:rPr>
          <w:rFonts w:ascii="Times New Roman" w:eastAsia="SimSun" w:hAnsi="Times New Roman"/>
          <w:sz w:val="24"/>
          <w:szCs w:val="24"/>
        </w:rPr>
        <w:t xml:space="preserve"> като инфузионно усложнение, възниква в първите дни след инфузията (за разлика от идиопатичната имунна тромбоцитопенична пурпура). Тя често е самоограничаваща се и относително лека.</w:t>
      </w:r>
    </w:p>
    <w:p w14:paraId="438630C5" w14:textId="77777777" w:rsidR="00BE0B19" w:rsidRPr="00AE47C6" w:rsidRDefault="00BE0B19" w:rsidP="00BE0B19">
      <w:pPr>
        <w:tabs>
          <w:tab w:val="left" w:pos="5954"/>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u w:val="single"/>
        </w:rPr>
        <w:t>Вторичните автоимунни усложнения</w:t>
      </w:r>
      <w:r w:rsidRPr="00AE47C6">
        <w:rPr>
          <w:rFonts w:ascii="Times New Roman" w:eastAsia="SimSun" w:hAnsi="Times New Roman"/>
          <w:sz w:val="24"/>
          <w:szCs w:val="24"/>
        </w:rPr>
        <w:t xml:space="preserve">, появяващи се до 5 години след проведеното лечение, но достигащи максимума си на втората година, са основният проблем. </w:t>
      </w:r>
    </w:p>
    <w:p w14:paraId="0E09D1CE" w14:textId="77777777" w:rsidR="00BE0B19" w:rsidRPr="00AE47C6" w:rsidRDefault="00BE0B19" w:rsidP="00BE0B19">
      <w:pPr>
        <w:tabs>
          <w:tab w:val="left" w:pos="5954"/>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Автоимунен хипертиреоидизъм</w:t>
      </w:r>
      <w:r w:rsidRPr="00AE47C6">
        <w:rPr>
          <w:rFonts w:ascii="Times New Roman" w:eastAsia="SimSun" w:hAnsi="Times New Roman"/>
          <w:sz w:val="24"/>
          <w:szCs w:val="24"/>
        </w:rPr>
        <w:t xml:space="preserve"> (болест на Graves) се развива при 30% от пациентите поради възникване на антитела срещу тиреотропните рецептори. Възниква до 48 месеца след първата експозиция на медикамента. В повечето случаи усложненията са леки до умерени и сериозни само при &lt;1% от пациентите.</w:t>
      </w:r>
    </w:p>
    <w:p w14:paraId="29C29651" w14:textId="77777777" w:rsidR="00BE0B19" w:rsidRPr="00AE47C6" w:rsidRDefault="00BE0B19" w:rsidP="00BE0B19">
      <w:pPr>
        <w:tabs>
          <w:tab w:val="left" w:pos="5954"/>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Идиопатична имунна тромбоцитопенична пурпура</w:t>
      </w:r>
      <w:r w:rsidRPr="00AE47C6">
        <w:rPr>
          <w:rFonts w:ascii="Times New Roman" w:eastAsia="SimSun" w:hAnsi="Times New Roman"/>
          <w:sz w:val="24"/>
          <w:szCs w:val="24"/>
        </w:rPr>
        <w:t xml:space="preserve"> (ИТП) се развива при 2% от пациентите между 14 и 36 месеца след първата експозиция на медикамента. </w:t>
      </w:r>
    </w:p>
    <w:p w14:paraId="290D6A08" w14:textId="77777777" w:rsidR="00BE0B19" w:rsidRPr="00AE47C6" w:rsidRDefault="00BE0B19" w:rsidP="00BE0B19">
      <w:pPr>
        <w:tabs>
          <w:tab w:val="left" w:pos="5954"/>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Нефропатии</w:t>
      </w:r>
      <w:r w:rsidRPr="00AE47C6">
        <w:rPr>
          <w:rFonts w:ascii="Times New Roman" w:eastAsia="SimSun" w:hAnsi="Times New Roman"/>
          <w:sz w:val="24"/>
          <w:szCs w:val="24"/>
        </w:rPr>
        <w:t>, включително анти-гломерулно базално-мембранна болест, са наблюдавани при 0,3% от пациентите и настъпват в рамките на 39 месеца след последното приложение на медикамента.</w:t>
      </w:r>
    </w:p>
    <w:p w14:paraId="02A98F20" w14:textId="77777777" w:rsidR="00BE0B19" w:rsidRPr="00AE47C6" w:rsidRDefault="00BE0B19" w:rsidP="00BE0B19">
      <w:pPr>
        <w:tabs>
          <w:tab w:val="left" w:pos="5954"/>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На всички пациенти се прилага перорална профилактика срещу херпесни инфекции (acyclovir 200 mg два пъти дневно), от първия ден на всеки лечебен курс, минимум един месец.</w:t>
      </w:r>
    </w:p>
    <w:p w14:paraId="3DE4666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Cs/>
          <w:sz w:val="24"/>
          <w:szCs w:val="24"/>
        </w:rPr>
      </w:pPr>
      <w:r w:rsidRPr="00AE47C6">
        <w:rPr>
          <w:rFonts w:ascii="Times New Roman" w:eastAsia="SimSun" w:hAnsi="Times New Roman"/>
          <w:b/>
          <w:bCs/>
          <w:iCs/>
          <w:sz w:val="24"/>
          <w:szCs w:val="24"/>
        </w:rPr>
        <w:t>Критерии за лечение на множествената склероза с alemtuzumab при пациенти с пристъпно-ремитентен ход на заболяването</w:t>
      </w:r>
    </w:p>
    <w:p w14:paraId="7E39B54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І. Включващи</w:t>
      </w:r>
    </w:p>
    <w:p w14:paraId="06ECE55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1. Диагноза множествена склероза по ревизираните от Tompson и сътр. през 2017 г. диагностични критерии на McDonald</w:t>
      </w:r>
    </w:p>
    <w:p w14:paraId="49275EC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2. Възраст над 18 години </w:t>
      </w:r>
    </w:p>
    <w:p w14:paraId="066BAAC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Инвалидност до 4,0 по скалата на Kurtzke</w:t>
      </w:r>
    </w:p>
    <w:p w14:paraId="6B8417E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Агресивен ход на заболяването със зачестяване на пристъпите (поне 2 за предходната година), въпреки провежданото лечение с медикаменти от първа линия.</w:t>
      </w:r>
    </w:p>
    <w:p w14:paraId="45967AF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Значително увеличаване на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лезиите в сравнение с предшестващ МРТ през последните 12 месеца</w:t>
      </w:r>
    </w:p>
    <w:p w14:paraId="38F86BD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 Приложението на медикамента се извършва задължително в болнични условия при осигурен достъп до интензивно звено</w:t>
      </w:r>
    </w:p>
    <w:p w14:paraId="2D4CDDB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ІІ. Изключващи</w:t>
      </w:r>
    </w:p>
    <w:p w14:paraId="78E3409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Тежка активна инфекция, до пълното ѝ отшумяване</w:t>
      </w:r>
    </w:p>
    <w:p w14:paraId="41321C7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Неконтролирана хипертония</w:t>
      </w:r>
    </w:p>
    <w:p w14:paraId="3A7B479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Анамнеза за артериална дисекация на цервикоцефалните артерии.</w:t>
      </w:r>
    </w:p>
    <w:p w14:paraId="267557F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Анамнеза за инсулт</w:t>
      </w:r>
    </w:p>
    <w:p w14:paraId="7EBBC9A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Анамнеза за стенокардия или инфаркт на миокарда</w:t>
      </w:r>
    </w:p>
    <w:p w14:paraId="0535389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 Известна коагулопатия, съпътстваща антитромбоцитна или антикоагулантна терапия</w:t>
      </w:r>
    </w:p>
    <w:p w14:paraId="65C794B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 Наличие на други съпътстващи автоимунни заболявания (освен МС)</w:t>
      </w:r>
    </w:p>
    <w:p w14:paraId="34A06D3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8. Инфекция с човешки имунодефицитен вирус (HIV)</w:t>
      </w:r>
    </w:p>
    <w:p w14:paraId="0989ECA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9. Бременност и кърмене</w:t>
      </w:r>
    </w:p>
    <w:p w14:paraId="0B48CC8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i/>
          <w:sz w:val="24"/>
          <w:szCs w:val="24"/>
        </w:rPr>
      </w:pPr>
      <w:r w:rsidRPr="00AE47C6">
        <w:rPr>
          <w:rFonts w:ascii="Times New Roman" w:eastAsia="SimSun" w:hAnsi="Times New Roman"/>
          <w:b/>
          <w:bCs/>
          <w:sz w:val="24"/>
          <w:szCs w:val="24"/>
        </w:rPr>
        <w:t>III. Лечение не се прилага или ако е започнато се спира при</w:t>
      </w:r>
    </w:p>
    <w:p w14:paraId="02DB860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Забременяване на пациентка. </w:t>
      </w:r>
    </w:p>
    <w:p w14:paraId="3AB08CD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2. Сериозни странични реакции от лечението </w:t>
      </w:r>
    </w:p>
    <w:p w14:paraId="2218AC1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Системно неспазване на схемата на приложение</w:t>
      </w:r>
    </w:p>
    <w:p w14:paraId="278FBD5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При липса на клинична ефективност от лечението (2 и повече пристъпа за 1 година)</w:t>
      </w:r>
    </w:p>
    <w:p w14:paraId="506050A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5. Пациентът може да премине на лечение с fingolimod, ponesimod, cladribine, natalizumab, ocrelizumab или ofatumumab. </w:t>
      </w:r>
    </w:p>
    <w:p w14:paraId="1A04106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6. Достигане на инвалидност 5 по скалата на Kurtzke </w:t>
      </w:r>
    </w:p>
    <w:p w14:paraId="28F54C0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 Достигане до възраст 59 години и липса на активност на заболяването през последните 2 години.</w:t>
      </w:r>
    </w:p>
    <w:p w14:paraId="65728CDF" w14:textId="77777777" w:rsidR="00BE0B19" w:rsidRPr="00AE47C6" w:rsidRDefault="00BE0B19" w:rsidP="00BE0B19">
      <w:pPr>
        <w:spacing w:after="0" w:line="360" w:lineRule="auto"/>
        <w:jc w:val="center"/>
        <w:rPr>
          <w:rFonts w:ascii="Times New Roman" w:eastAsia="SimSun" w:hAnsi="Times New Roman"/>
          <w:b/>
          <w:sz w:val="24"/>
          <w:szCs w:val="24"/>
        </w:rPr>
      </w:pPr>
    </w:p>
    <w:p w14:paraId="7693292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center"/>
        <w:rPr>
          <w:rFonts w:ascii="Times New Roman" w:eastAsia="SimSun" w:hAnsi="Times New Roman"/>
          <w:sz w:val="24"/>
          <w:szCs w:val="24"/>
        </w:rPr>
      </w:pPr>
      <w:r w:rsidRPr="00AE47C6">
        <w:rPr>
          <w:rFonts w:ascii="Times New Roman" w:eastAsia="SimSun" w:hAnsi="Times New Roman"/>
          <w:b/>
          <w:sz w:val="24"/>
          <w:szCs w:val="24"/>
        </w:rPr>
        <w:t>Необходими изследвания и контролни прегледи при лечение с alemtuzumab</w:t>
      </w:r>
    </w:p>
    <w:p w14:paraId="069F2E8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rPr>
          <w:rFonts w:ascii="Times New Roman" w:eastAsia="SimSun" w:hAnsi="Times New Roman"/>
          <w:b/>
          <w:i/>
          <w:sz w:val="24"/>
          <w:szCs w:val="24"/>
        </w:rPr>
      </w:pPr>
      <w:r w:rsidRPr="00AE47C6">
        <w:rPr>
          <w:rFonts w:ascii="Times New Roman" w:eastAsia="SimSun" w:hAnsi="Times New Roman"/>
          <w:b/>
          <w:i/>
          <w:sz w:val="24"/>
          <w:szCs w:val="24"/>
        </w:rPr>
        <w:t>I. Преди започване на лечение:</w:t>
      </w:r>
    </w:p>
    <w:p w14:paraId="23C833F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Пълна кръвна картина с диференциално броене </w:t>
      </w:r>
    </w:p>
    <w:p w14:paraId="527ED63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Нива на серумен креатинин</w:t>
      </w:r>
    </w:p>
    <w:p w14:paraId="66EDA28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Нива на чернодробни  трансаминази</w:t>
      </w:r>
    </w:p>
    <w:p w14:paraId="4580C9A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4. Анализ на урина с микроскопия </w:t>
      </w:r>
    </w:p>
    <w:p w14:paraId="78C4860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rPr>
          <w:rFonts w:ascii="Times New Roman" w:eastAsia="SimSun" w:hAnsi="Times New Roman"/>
          <w:sz w:val="24"/>
          <w:szCs w:val="24"/>
        </w:rPr>
      </w:pPr>
      <w:r w:rsidRPr="00AE47C6">
        <w:rPr>
          <w:rFonts w:ascii="Times New Roman" w:eastAsia="SimSun" w:hAnsi="Times New Roman"/>
          <w:sz w:val="24"/>
          <w:szCs w:val="24"/>
        </w:rPr>
        <w:t xml:space="preserve">5. Изследване на тиреоидна функция - нива на тиреостимулиращия хормон (TSH) </w:t>
      </w:r>
    </w:p>
    <w:p w14:paraId="265762A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6. Скрининг за активна и неактивна туберкулоза с T-spot тест.  При активна инфекция началото на лечението се отлага до нейното пълно овладяване. </w:t>
      </w:r>
    </w:p>
    <w:p w14:paraId="0170C13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7. Антитела срещу VZV при пациентите без анамнеза за прекарана варицела или без ваксинация срещу varicella zoster вирус (VZV). При антитяло-негативните пациенти се прилага ваксинация.   </w:t>
      </w:r>
    </w:p>
    <w:p w14:paraId="5DB224D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8. Изследване за носителство на вирус на хепатит В и С </w:t>
      </w:r>
    </w:p>
    <w:p w14:paraId="163B2FB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rPr>
          <w:rFonts w:ascii="Times New Roman" w:eastAsia="SimSun" w:hAnsi="Times New Roman"/>
          <w:sz w:val="24"/>
          <w:szCs w:val="24"/>
        </w:rPr>
      </w:pPr>
      <w:r w:rsidRPr="00AE47C6">
        <w:rPr>
          <w:rFonts w:ascii="Times New Roman" w:eastAsia="SimSun" w:hAnsi="Times New Roman"/>
          <w:sz w:val="24"/>
          <w:szCs w:val="24"/>
        </w:rPr>
        <w:t>9. При наличие на някаква активна инфекция не се започва лечение</w:t>
      </w:r>
    </w:p>
    <w:p w14:paraId="77A2FB0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10. Преди започване и повторно прилагане на лечение трябва да се направи МРТ и оценка на признаци за PML.</w:t>
      </w:r>
    </w:p>
    <w:p w14:paraId="4284996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rPr>
          <w:rFonts w:ascii="Times New Roman" w:eastAsia="SimSun" w:hAnsi="Times New Roman"/>
          <w:sz w:val="24"/>
          <w:szCs w:val="24"/>
        </w:rPr>
      </w:pPr>
      <w:r w:rsidRPr="00AE47C6">
        <w:rPr>
          <w:rFonts w:ascii="Times New Roman" w:eastAsia="SimSun" w:hAnsi="Times New Roman"/>
          <w:b/>
          <w:i/>
          <w:sz w:val="24"/>
          <w:szCs w:val="24"/>
        </w:rPr>
        <w:t>II. По време и в продължение на 48 месеца след последния курс на лечение:</w:t>
      </w:r>
    </w:p>
    <w:p w14:paraId="73FCD84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Пълна кръвна картина с диференциално броене (ежемесечно)</w:t>
      </w:r>
    </w:p>
    <w:p w14:paraId="46031FC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Нива на серумен креатинин (ежемесечно)</w:t>
      </w:r>
    </w:p>
    <w:p w14:paraId="00E6B71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Нива на чернодробни трансаминази (ежемесечно)</w:t>
      </w:r>
    </w:p>
    <w:p w14:paraId="2E0A9DC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Анализ на урина с микроскопия (ежемесечно)</w:t>
      </w:r>
    </w:p>
    <w:p w14:paraId="6853025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Изследване на тиреоидна функция - нива на тиреостимулиращия хормон (TSH) - на всеки 3 месеца</w:t>
      </w:r>
    </w:p>
    <w:p w14:paraId="538E2B1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sz w:val="24"/>
          <w:szCs w:val="24"/>
        </w:rPr>
        <w:t xml:space="preserve">Ocrelizumab </w:t>
      </w:r>
      <w:r w:rsidRPr="00AE47C6">
        <w:rPr>
          <w:rFonts w:ascii="Times New Roman" w:eastAsia="SimSun" w:hAnsi="Times New Roman"/>
          <w:sz w:val="24"/>
          <w:szCs w:val="24"/>
        </w:rPr>
        <w:t xml:space="preserve">е рекомбинантно хуманизирано анти-CD20 моноклонално антитяло. През 2017 г. медикаментът е одобрен от FDA за лечение на пристъпна и на първично прогресираща форми на множествена склероза. През 2018 г. получи одобрение и от ЕМА за лечение на възрастни пациенти с активна пристъпна форма на множествена склероза, както и на пациенти с ранна първично прогресираща множествена склероза, по отношение на продължителност на заболяването и ниво на инвалидизиране и с образно-диагностични характеристики на възпалителна активност. </w:t>
      </w:r>
    </w:p>
    <w:p w14:paraId="10182B9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Прилага се в начална доза 600 mg като две отделни интравенозни инфузии - първоначално като инфузия на 300 mg за 2,5 часа, последвана 2 седмици по-късно от втора инфузия на 300 mg. Последващите дози ocrelizumab се прилагат след това като единична интравенозна инфузия на 600 mg за 3,5 часа през 6 месеца. Ако пациентите не са получили сериозна реакция, свързана с инфузията, при нито една от предишните инфузии Ocrevus, за последващите дози може да се приложи по-кратка (2-часова) инфузия.</w:t>
      </w:r>
      <w:r w:rsidRPr="00AE47C6">
        <w:rPr>
          <w:rFonts w:ascii="Times New Roman" w:eastAsia="SimSun" w:hAnsi="Times New Roman"/>
          <w:color w:val="FF0000"/>
          <w:sz w:val="24"/>
          <w:szCs w:val="24"/>
        </w:rPr>
        <w:t xml:space="preserve"> </w:t>
      </w:r>
      <w:r w:rsidRPr="00AE47C6">
        <w:rPr>
          <w:rFonts w:ascii="Times New Roman" w:eastAsia="SimSun" w:hAnsi="Times New Roman"/>
          <w:sz w:val="24"/>
          <w:szCs w:val="24"/>
        </w:rPr>
        <w:t xml:space="preserve">Задължителна е премедикацията с 100 mg methylprednisolone (или еквивалент) интравенозно 30 минути преди инфузията, както и антихистамини 30-60 минути преди вливането на ocrelizumab с цел намаляване на честотата и тежестта на реакциите свързани с инфузията. Допълнително може да се има предвид премедикация с антипиретик (напр. paracetamol) 30-60 минути преди всяка инфузия. </w:t>
      </w:r>
    </w:p>
    <w:p w14:paraId="0A4BDFC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Ocrelizumab селективно таргетира CD20-експресиращите B-клетки. CD20 е клетъчен повърхностен антиген, който се намира върху пре-B-клетките, зрелите В-клетки и паметовите B-клетки, но не се експресира върху лимфоидни стволови клетки и плазмоцити. След свързване с клетъчната повърхност ocrelizumab селективно изчерпва CD20-експресиращите B-клетки посредством антитяло-зависима клетъчна фагоцитоза (ADCP), антитяло-зависима клетъчна цитотоксичност (ADCC), комплемент-зависима цитотоксичност (CDC) и апоптоза. Капацитетът за възстановяване на B-клетките и съществуващият преди това хуморален имунитет се запазват.  Освен това, вроденият имунитет и общият брой T-клетки не се засягат. </w:t>
      </w:r>
    </w:p>
    <w:p w14:paraId="1BD3713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Клиничните проучвания при пациенти с пристъпно-ремитентна форма на множествена склероза показват намаляване на годишната честота на пристъпите с 47% спрямо интерферон β-1а, прилаган подкожно, намаляване на МРТ Gd+T1 лезии с 94% и на новите или увеличаващи се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хиперинтензни лезии с 80%, както и намаляване на мозъчната атрофия спрямо интерферон β-1а. Ocrelizumab намалява риска от инвалидизация с 40% спрямо интерферон β-1а. </w:t>
      </w:r>
    </w:p>
    <w:p w14:paraId="19AB01C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Резултатите от клиничното проучване при пациенти с първично прогресираща МС показват, че ocrelizumab значимо намалява риска от 12 седмична прогресия на инвалидизацията с 24% и намалява влошаването на скоростта на ходене в сравнение с плацебо. Лечението с ocrelizumab също така намалява обема на МРТ T</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хиперинтензните лезии, а също и загубата на мозъчен обем спрямо плацебо. </w:t>
      </w:r>
    </w:p>
    <w:p w14:paraId="506F1A7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Инхибиторни антитела</w:t>
      </w:r>
      <w:r w:rsidRPr="00AE47C6">
        <w:rPr>
          <w:rFonts w:ascii="Times New Roman" w:eastAsia="SimSun" w:hAnsi="Times New Roman"/>
          <w:sz w:val="24"/>
          <w:szCs w:val="24"/>
        </w:rPr>
        <w:t xml:space="preserve"> се установяват при 1% от пациентите, но те не са свързани с промени в ефикасността или безопасността на медикамента.</w:t>
      </w:r>
    </w:p>
    <w:p w14:paraId="5157EAE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Страничните ефекти</w:t>
      </w:r>
      <w:r w:rsidRPr="00AE47C6">
        <w:rPr>
          <w:rFonts w:ascii="Times New Roman" w:eastAsia="SimSun" w:hAnsi="Times New Roman"/>
          <w:sz w:val="24"/>
          <w:szCs w:val="24"/>
        </w:rPr>
        <w:t xml:space="preserve"> с най-голяма клинична значимост са реакциите свързани с инфузията (РСИ) и инфекциите. Включват сърбеж, обрив, уртикария, еритем, зачервяване, хипотония, пирексия, умора, главоболие, замайване, дразнене на гърлото, орофарингеална болка, диспнея, оток на ларинкса или на фаринкса, гадене, тахикардия. Сред инфекциите водещи са тези на горните дихателни пътища, назофарингит, грип, синузит, бронхит, орален херпес, гастроентерит, вирусна инфекция, херпес зостер, конюнктивит, целулит и др. Наблюдавано е и понижение на имуноглобулин М. Съществува потенциален риск от развитие на PML.</w:t>
      </w:r>
    </w:p>
    <w:p w14:paraId="34DC64C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Противопоказан</w:t>
      </w:r>
      <w:r w:rsidRPr="00AE47C6">
        <w:rPr>
          <w:rFonts w:ascii="Times New Roman" w:eastAsia="SimSun" w:hAnsi="Times New Roman"/>
          <w:sz w:val="24"/>
          <w:szCs w:val="24"/>
        </w:rPr>
        <w:t xml:space="preserve"> е при пациенти с активна инфекция (напр. хепатит, туберкулоза) до овладяване на инфекцията, силно имунокомпрометирани пациенти (лимфопения, неутропения, хипогамаглобулинемия), известни активни злокачествени заболявания, прогресивна мултифокална левкоенцефалопатия (ПМЛ) или съмнение за ПМЛ, бременност и кърмене. </w:t>
      </w:r>
    </w:p>
    <w:p w14:paraId="06142375" w14:textId="77777777" w:rsidR="00BE0B19" w:rsidRPr="00AE47C6" w:rsidRDefault="00BE0B19" w:rsidP="00BE0B19">
      <w:pPr>
        <w:spacing w:after="0" w:line="360" w:lineRule="auto"/>
        <w:ind w:firstLine="720"/>
        <w:jc w:val="both"/>
        <w:rPr>
          <w:rFonts w:ascii="Times New Roman" w:eastAsia="SimSun" w:hAnsi="Times New Roman"/>
          <w:b/>
        </w:rPr>
      </w:pPr>
    </w:p>
    <w:p w14:paraId="4DA0F334" w14:textId="77777777" w:rsidR="00BE0B19" w:rsidRPr="00AE47C6" w:rsidRDefault="00BE0B19" w:rsidP="00BE0B19">
      <w:pPr>
        <w:spacing w:after="0" w:line="360" w:lineRule="auto"/>
        <w:ind w:firstLine="709"/>
        <w:jc w:val="both"/>
        <w:rPr>
          <w:rFonts w:ascii="Times New Roman" w:eastAsia="SimSun" w:hAnsi="Times New Roman"/>
          <w:b/>
          <w:sz w:val="24"/>
          <w:szCs w:val="24"/>
        </w:rPr>
      </w:pPr>
    </w:p>
    <w:p w14:paraId="329EF87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Cs/>
          <w:sz w:val="24"/>
          <w:szCs w:val="24"/>
        </w:rPr>
      </w:pPr>
      <w:r w:rsidRPr="00AE47C6">
        <w:rPr>
          <w:rFonts w:ascii="Times New Roman" w:eastAsia="SimSun" w:hAnsi="Times New Roman"/>
          <w:b/>
          <w:bCs/>
          <w:iCs/>
          <w:sz w:val="24"/>
          <w:szCs w:val="24"/>
        </w:rPr>
        <w:t>Критерии за лечение на множествената склероза с ocrelizumab при пациенти с пристъпно-ремитентен ход на заболяването</w:t>
      </w:r>
    </w:p>
    <w:p w14:paraId="17AEE09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І. Включващи</w:t>
      </w:r>
    </w:p>
    <w:p w14:paraId="2AEC031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1. Диагноза множествена склероза по ревизираните от Tompson и сътр. през 2017 г. диагностични критерии на McDonald</w:t>
      </w:r>
    </w:p>
    <w:p w14:paraId="3B4030B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2. Възраст над 18 години.</w:t>
      </w:r>
    </w:p>
    <w:p w14:paraId="289A041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Инвалидност до 4,0 по скалата на Kurtzke</w:t>
      </w:r>
    </w:p>
    <w:p w14:paraId="379BF33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Агресивен ход на заболяването със зачестяване на пристъпите (поне 2 за предходната година), въпреки провежданото лечение с медикаменти от първа линия.</w:t>
      </w:r>
    </w:p>
    <w:p w14:paraId="74CE97C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Значително увеличаване на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лезиите в сравнение с предшестващ МРТ през последните 12 месеца</w:t>
      </w:r>
    </w:p>
    <w:p w14:paraId="34A10DA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ІІ. Изключващи</w:t>
      </w:r>
    </w:p>
    <w:p w14:paraId="219666D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Тежки придружаващи заболявания – силно имунокомпрометирани пациенти (напр. с лимфопения, неутропения, хипогамаглобулинемия), известни активни злокачествени заболявания.</w:t>
      </w:r>
    </w:p>
    <w:p w14:paraId="21F2FF8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Приложение на други имуносупресори едновременно с ocrelizumab с изключение на кортикостероиди за симптоматично лечение на пристъпи.</w:t>
      </w:r>
    </w:p>
    <w:p w14:paraId="02426A5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Бременност и кърмене</w:t>
      </w:r>
    </w:p>
    <w:p w14:paraId="48F736B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i/>
          <w:sz w:val="24"/>
          <w:szCs w:val="24"/>
        </w:rPr>
      </w:pPr>
      <w:r w:rsidRPr="00AE47C6">
        <w:rPr>
          <w:rFonts w:ascii="Times New Roman" w:eastAsia="SimSun" w:hAnsi="Times New Roman"/>
          <w:b/>
          <w:bCs/>
          <w:sz w:val="24"/>
          <w:szCs w:val="24"/>
        </w:rPr>
        <w:t>III. Лечение не се прилага или ако е започнато се спира при:</w:t>
      </w:r>
    </w:p>
    <w:p w14:paraId="4EFB0EE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Забременяване на пациентка. </w:t>
      </w:r>
    </w:p>
    <w:p w14:paraId="1076BD0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Сериозни странични реакции от лечението - животозастрашаващи реакции свързани с инфузията или сериозни реакции на свръхчувствителност, появили се по време на предшестващата инфузия.</w:t>
      </w:r>
    </w:p>
    <w:p w14:paraId="363DC57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Активна инфекция с изключение на гъбична инфекция на ноктите. Последващата инфузия се отлага до пълно излекуване на инфекцията.</w:t>
      </w:r>
    </w:p>
    <w:p w14:paraId="7ACCB0C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CD4 лимфоцити &lt; 250/μL</w:t>
      </w:r>
    </w:p>
    <w:p w14:paraId="19A7BB7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Активна хепатит В инфекция или реактивация на хепатит В</w:t>
      </w:r>
    </w:p>
    <w:p w14:paraId="52D0463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 Прогресивна мултифокална левкоенцефалопатия</w:t>
      </w:r>
    </w:p>
    <w:p w14:paraId="1B22480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 Активна туберкулоза – нова или реактивирана</w:t>
      </w:r>
    </w:p>
    <w:p w14:paraId="0D3125A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8. Системно неспазване на схемата на приложение</w:t>
      </w:r>
    </w:p>
    <w:p w14:paraId="317E68F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9. При липса на клинична ефективност от лечението (2 и повече пристъпа за 1 година)</w:t>
      </w:r>
    </w:p>
    <w:p w14:paraId="598D716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10. Пациентът може да премине на лечение с fingolimod, ponesimod, cladribine, natalizumab, alemtuzumab, ofatumumab или siponimod. </w:t>
      </w:r>
    </w:p>
    <w:p w14:paraId="2244FDB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11. Достигане на инвалидност 5 по скалата на Kurtzke </w:t>
      </w:r>
    </w:p>
    <w:p w14:paraId="4BC6729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12. Достигане до възраст 59 години и липса на активност на заболяването през последните 2 години.</w:t>
      </w:r>
    </w:p>
    <w:p w14:paraId="17277A54" w14:textId="77777777" w:rsidR="00BE0B19" w:rsidRPr="00AE47C6" w:rsidRDefault="00BE0B19" w:rsidP="00BE0B19">
      <w:pPr>
        <w:spacing w:after="0" w:line="360" w:lineRule="auto"/>
        <w:ind w:firstLine="720"/>
        <w:jc w:val="both"/>
        <w:rPr>
          <w:rFonts w:ascii="Times New Roman" w:eastAsia="SimSun" w:hAnsi="Times New Roman"/>
          <w:b/>
          <w:sz w:val="24"/>
          <w:szCs w:val="24"/>
        </w:rPr>
      </w:pPr>
    </w:p>
    <w:p w14:paraId="608CB01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center"/>
        <w:rPr>
          <w:rFonts w:ascii="Times New Roman" w:eastAsia="SimSun" w:hAnsi="Times New Roman"/>
          <w:b/>
          <w:sz w:val="24"/>
          <w:szCs w:val="24"/>
        </w:rPr>
      </w:pPr>
      <w:r w:rsidRPr="00AE47C6">
        <w:rPr>
          <w:rFonts w:ascii="Times New Roman" w:eastAsia="SimSun" w:hAnsi="Times New Roman"/>
          <w:b/>
          <w:sz w:val="24"/>
          <w:szCs w:val="24"/>
        </w:rPr>
        <w:t>Необходими изследвания и контролни прегледи при лечение с ocrelizumab</w:t>
      </w:r>
    </w:p>
    <w:p w14:paraId="104B8E4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i/>
          <w:sz w:val="24"/>
          <w:szCs w:val="24"/>
        </w:rPr>
      </w:pPr>
      <w:r w:rsidRPr="00AE47C6">
        <w:rPr>
          <w:rFonts w:ascii="Times New Roman" w:eastAsia="SimSun" w:hAnsi="Times New Roman"/>
          <w:b/>
          <w:i/>
          <w:sz w:val="24"/>
          <w:szCs w:val="24"/>
        </w:rPr>
        <w:t>I. Преди започване на лечение:</w:t>
      </w:r>
    </w:p>
    <w:p w14:paraId="3D9E680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ПКК с диференциално броене, броят на лимфоцитите трябва да е нормален, а броят на CD4 ≥250/μL.</w:t>
      </w:r>
    </w:p>
    <w:p w14:paraId="0108ADE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Серумни трансаминази, билирубин, урея, креатинин.</w:t>
      </w:r>
    </w:p>
    <w:p w14:paraId="450451F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Скрининг за латентни инфекции, особено хепатит В, С, HIV и туберкулоза (T-spot тест). При пациенти с активна инфекция приложението на ocrelizumab трябва да се отложи до овладяване на инфекцията.</w:t>
      </w:r>
    </w:p>
    <w:p w14:paraId="51C8F21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Пациенти, които се нуждаят от ваксиниране с жива или атенюирана ваксина, трябва да приключат с имунизирането си най-малко 6 седмици преди започване на лечението с ocrelizumab.</w:t>
      </w:r>
    </w:p>
    <w:p w14:paraId="24FBD8E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b/>
          <w:i/>
          <w:sz w:val="24"/>
          <w:szCs w:val="24"/>
        </w:rPr>
        <w:t>II. Преди всяка последваща инфузия, на всеки 6 месеца:</w:t>
      </w:r>
    </w:p>
    <w:p w14:paraId="6CBD2ED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ПКК с диференциално броене, броят на CD4 лимфоцитите трябва да е ≥250/μL. </w:t>
      </w:r>
    </w:p>
    <w:p w14:paraId="30BB0A4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Серумни трансаминази, билирубин, урея, креатинин.</w:t>
      </w:r>
    </w:p>
    <w:p w14:paraId="12854E2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3. Скрининг за латентни инфекции, особено хепатит В, С, HIV и туберкулоза (T-spot тест). При пациенти с активна инфекция приложението на ocrelizumab трябва да се отложи до овладяване на инфекцията. </w:t>
      </w:r>
    </w:p>
    <w:p w14:paraId="1F13451F" w14:textId="77777777" w:rsidR="00BE0B19" w:rsidRPr="00AE47C6" w:rsidRDefault="00BE0B19" w:rsidP="00BE0B19">
      <w:pPr>
        <w:spacing w:after="0" w:line="360" w:lineRule="auto"/>
        <w:ind w:firstLine="720"/>
        <w:jc w:val="both"/>
        <w:rPr>
          <w:rFonts w:ascii="Times New Roman" w:eastAsia="SimSun" w:hAnsi="Times New Roman"/>
          <w:b/>
          <w:sz w:val="24"/>
          <w:szCs w:val="24"/>
        </w:rPr>
      </w:pPr>
    </w:p>
    <w:p w14:paraId="414F76C6" w14:textId="77777777" w:rsidR="00BE0B19" w:rsidRPr="00AE47C6" w:rsidRDefault="00BE0B19" w:rsidP="00BE0B19">
      <w:pPr>
        <w:spacing w:after="0" w:line="360" w:lineRule="auto"/>
        <w:ind w:firstLine="709"/>
        <w:jc w:val="both"/>
        <w:rPr>
          <w:rFonts w:ascii="Times New Roman" w:eastAsia="MS Mincho" w:hAnsi="Times New Roman"/>
          <w:sz w:val="24"/>
          <w:szCs w:val="24"/>
          <w:u w:val="single"/>
          <w:lang w:eastAsia="ja-JP"/>
        </w:rPr>
      </w:pPr>
      <w:r w:rsidRPr="00AE47C6">
        <w:rPr>
          <w:rFonts w:ascii="Times New Roman" w:eastAsia="MS Mincho" w:hAnsi="Times New Roman"/>
          <w:b/>
          <w:i/>
          <w:sz w:val="24"/>
          <w:szCs w:val="24"/>
          <w:lang w:eastAsia="ja-JP"/>
        </w:rPr>
        <w:t xml:space="preserve">Ofatumumab </w:t>
      </w:r>
      <w:r w:rsidRPr="00AE47C6">
        <w:rPr>
          <w:rFonts w:ascii="Times New Roman" w:eastAsia="MS Mincho" w:hAnsi="Times New Roman"/>
          <w:sz w:val="24"/>
          <w:szCs w:val="24"/>
          <w:lang w:eastAsia="ja-JP"/>
        </w:rPr>
        <w:t>е одобрен през 2020 г. от Агенцията за контрол на храните и лекарствата в САЩ (FDA) за лечение на пристъпни форми на множествена склероза. През 2021 г. получава одобрение и от Европейската агенция по лекарствата (ЕМА) за лечение на възрастни пациенти с пристъпни форми на множествена склероза с активно заболяване.</w:t>
      </w:r>
    </w:p>
    <w:p w14:paraId="208C72D5" w14:textId="77777777" w:rsidR="00BE0B19" w:rsidRPr="00AE47C6" w:rsidRDefault="00BE0B19" w:rsidP="00BE0B19">
      <w:pPr>
        <w:spacing w:after="0" w:line="360" w:lineRule="auto"/>
        <w:ind w:firstLine="709"/>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Препоръчителната доза е 20 mg, приложена чрез подкожна инжекция, като първоначално се прилага на седмици 0, 1 и 2, след което се прилага веднъж месечно, като се започне от седмица 4. Не е необходимо премедикация и последващо наблюдение непосредствено след приложението. С възможност за самостоятелно приложение, след като първото инжектиране е извършено под ръководството на медицински специалист.</w:t>
      </w:r>
    </w:p>
    <w:p w14:paraId="471E143E" w14:textId="77777777" w:rsidR="00BE0B19" w:rsidRPr="00AE47C6" w:rsidRDefault="00BE0B19" w:rsidP="00BE0B19">
      <w:pPr>
        <w:spacing w:after="0" w:line="360" w:lineRule="auto"/>
        <w:ind w:firstLine="709"/>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Ofatumumab е изцяло човешко анти-CD20 моноклонално имуноглобулин G1 (IgG1) антитяло. Свързването на ofatumumab към CD20 индуцира лизиране на CD20+ B-клетки предимно чрез комплемент-зависима цитотоксичност (complement dependent cytotoxicity, CDC) и, в по-малка степен, чрез антитяло-зависима, клетъчно-медиирана цитотоксичност (antibody dependent cell mediated cytotoxicity, ADCC). Води до бързо и трайно намаление на В-клетките до под долна граница на нормата 2 седмици след началото на лечението. Индуцира лизиране на клетките както с висока, така и с ниска експресия на CD20. Запазена е способността за възстановяване на B-клетките и хуморалния имунен отговор. Времето до възстановяване на броя на В-клетките до долната граница на нормата или стойността в изходното ниво е 24,6 седмици след прекратяване на лечението.</w:t>
      </w:r>
    </w:p>
    <w:p w14:paraId="67FB7792" w14:textId="77777777" w:rsidR="00BE0B19" w:rsidRPr="00AE47C6" w:rsidRDefault="00BE0B19" w:rsidP="00BE0B19">
      <w:pPr>
        <w:spacing w:after="0" w:line="360" w:lineRule="auto"/>
        <w:ind w:firstLine="709"/>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Намалява годишната честота на пристъпите с 50,5% - 58,5%, броя на Gd+ Т1 лезиите средно с 95,9% и честотата на нови или уголемени Т2 лезии с 83% спрямо</w:t>
      </w:r>
      <w:r w:rsidRPr="00AE47C6">
        <w:rPr>
          <w:rFonts w:ascii="Times New Roman" w:eastAsia="SimSun" w:hAnsi="Times New Roman"/>
          <w:sz w:val="24"/>
          <w:szCs w:val="24"/>
        </w:rPr>
        <w:t xml:space="preserve"> teriflunomide</w:t>
      </w:r>
      <w:r w:rsidRPr="00AE47C6">
        <w:rPr>
          <w:rFonts w:ascii="Times New Roman" w:eastAsia="MS Mincho" w:hAnsi="Times New Roman"/>
          <w:sz w:val="24"/>
          <w:szCs w:val="24"/>
          <w:lang w:eastAsia="ja-JP"/>
        </w:rPr>
        <w:t xml:space="preserve">. </w:t>
      </w:r>
    </w:p>
    <w:p w14:paraId="35270F34" w14:textId="77777777" w:rsidR="00BE0B19" w:rsidRPr="00AE47C6" w:rsidRDefault="00BE0B19" w:rsidP="00BE0B19">
      <w:pPr>
        <w:spacing w:after="0" w:line="360" w:lineRule="auto"/>
        <w:ind w:firstLine="709"/>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 xml:space="preserve">Честотата на развитие на </w:t>
      </w:r>
      <w:r w:rsidRPr="00AE47C6">
        <w:rPr>
          <w:rFonts w:ascii="Times New Roman" w:eastAsia="MS Mincho" w:hAnsi="Times New Roman"/>
          <w:i/>
          <w:iCs/>
          <w:sz w:val="24"/>
          <w:szCs w:val="24"/>
          <w:lang w:eastAsia="ja-JP"/>
        </w:rPr>
        <w:t>антилекарствени антитела</w:t>
      </w:r>
      <w:r w:rsidRPr="00AE47C6">
        <w:rPr>
          <w:rFonts w:ascii="Times New Roman" w:eastAsia="MS Mincho" w:hAnsi="Times New Roman"/>
          <w:sz w:val="24"/>
          <w:szCs w:val="24"/>
          <w:lang w:eastAsia="ja-JP"/>
        </w:rPr>
        <w:t xml:space="preserve"> (anti-drug antibodies, ADAs) вследствие на лечението е 0,2% (2 от 914), като не е установен нито един пациент с ADA, които да усилват или неутрализират ефекта на лечението.</w:t>
      </w:r>
    </w:p>
    <w:p w14:paraId="367F1EB3" w14:textId="77777777" w:rsidR="00BE0B19" w:rsidRPr="00AE47C6" w:rsidRDefault="00BE0B19" w:rsidP="00BE0B19">
      <w:pPr>
        <w:spacing w:after="0" w:line="360" w:lineRule="auto"/>
        <w:jc w:val="both"/>
        <w:rPr>
          <w:rFonts w:ascii="Times New Roman" w:eastAsia="MS Mincho" w:hAnsi="Times New Roman"/>
          <w:sz w:val="24"/>
          <w:szCs w:val="24"/>
          <w:lang w:eastAsia="ja-JP"/>
        </w:rPr>
      </w:pPr>
      <w:r w:rsidRPr="00AE47C6">
        <w:rPr>
          <w:rFonts w:ascii="Times New Roman" w:eastAsia="MS Mincho" w:hAnsi="Times New Roman"/>
          <w:i/>
          <w:iCs/>
          <w:sz w:val="24"/>
          <w:szCs w:val="24"/>
          <w:lang w:eastAsia="ja-JP"/>
        </w:rPr>
        <w:t xml:space="preserve">         Страничните ефекти</w:t>
      </w:r>
      <w:r w:rsidRPr="00AE47C6">
        <w:rPr>
          <w:rFonts w:ascii="Times New Roman" w:eastAsia="MS Mincho" w:hAnsi="Times New Roman"/>
          <w:sz w:val="24"/>
          <w:szCs w:val="24"/>
          <w:lang w:eastAsia="ja-JP"/>
        </w:rPr>
        <w:t xml:space="preserve"> са инфекции на горните дихателни пътища (39,4%), системни реакции, свързани с инжектирането (20,6%), инфекции на пикочните пътища (11,9%) и реакции на мястото на инжектиране (10,9%). Наблюдавано е понижение на средните стойности на имуноглобулин M (IgM), но не се наблюдава връзка с риск от инфекции. Ofatumumab се свързва с преходно намаление с 4,3% на средните нива на имуноглобулин G (IgG) след 48 седмици лечение, но с 2,2% увеличение след 96 седмици.</w:t>
      </w:r>
    </w:p>
    <w:p w14:paraId="45C98694" w14:textId="77777777" w:rsidR="00BE0B19" w:rsidRPr="00AE47C6" w:rsidRDefault="00BE0B19" w:rsidP="00BE0B19">
      <w:pPr>
        <w:spacing w:after="0" w:line="360" w:lineRule="auto"/>
        <w:ind w:firstLine="709"/>
        <w:jc w:val="both"/>
        <w:rPr>
          <w:rFonts w:ascii="Times New Roman" w:eastAsia="MS Mincho" w:hAnsi="Times New Roman"/>
          <w:sz w:val="24"/>
          <w:szCs w:val="24"/>
          <w:lang w:eastAsia="ja-JP"/>
        </w:rPr>
      </w:pPr>
      <w:r w:rsidRPr="00AE47C6">
        <w:rPr>
          <w:rFonts w:ascii="Times New Roman" w:eastAsia="MS Mincho" w:hAnsi="Times New Roman"/>
          <w:i/>
          <w:sz w:val="24"/>
          <w:szCs w:val="24"/>
          <w:lang w:eastAsia="ja-JP"/>
        </w:rPr>
        <w:t>Противопоказан</w:t>
      </w:r>
      <w:r w:rsidRPr="00AE47C6">
        <w:rPr>
          <w:rFonts w:ascii="Times New Roman" w:eastAsia="MS Mincho" w:hAnsi="Times New Roman"/>
          <w:sz w:val="24"/>
          <w:szCs w:val="24"/>
          <w:lang w:eastAsia="ja-JP"/>
        </w:rPr>
        <w:t xml:space="preserve"> е при пациенти с активна инфекция (напр. хепатит, туберкулоза) до овладяване на инфекцията, силно имунокомпрометирани пациенти (лимфопения, неутропения), известни активни злокачествени заболявания, прогресивна мултифокална левкоенцефалопатия (ПМЛ) или съмнение за ПМЛ, бременност и кърмене. </w:t>
      </w:r>
    </w:p>
    <w:p w14:paraId="5F3CB587" w14:textId="77777777" w:rsidR="00BE0B19" w:rsidRPr="00AE47C6" w:rsidRDefault="00BE0B19" w:rsidP="00BE0B19">
      <w:pPr>
        <w:spacing w:after="0" w:line="360" w:lineRule="auto"/>
        <w:ind w:firstLine="720"/>
        <w:jc w:val="both"/>
        <w:rPr>
          <w:rFonts w:ascii="Times New Roman" w:eastAsia="MS Mincho" w:hAnsi="Times New Roman"/>
          <w:b/>
          <w:sz w:val="24"/>
          <w:szCs w:val="24"/>
          <w:lang w:eastAsia="ja-JP"/>
        </w:rPr>
      </w:pPr>
    </w:p>
    <w:p w14:paraId="370CED1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center"/>
        <w:rPr>
          <w:rFonts w:ascii="Times New Roman" w:eastAsia="MS Mincho" w:hAnsi="Times New Roman"/>
          <w:b/>
          <w:sz w:val="24"/>
          <w:szCs w:val="24"/>
          <w:lang w:eastAsia="ja-JP"/>
        </w:rPr>
      </w:pPr>
      <w:r w:rsidRPr="00AE47C6">
        <w:rPr>
          <w:rFonts w:ascii="Times New Roman" w:eastAsia="MS Mincho" w:hAnsi="Times New Roman"/>
          <w:b/>
          <w:sz w:val="24"/>
          <w:szCs w:val="24"/>
          <w:lang w:eastAsia="ja-JP"/>
        </w:rPr>
        <w:t>Критерии за лечение на множествената склероза с ofatumumab при пациенти с пристъпно-ремитентен ход на заболяването</w:t>
      </w:r>
    </w:p>
    <w:p w14:paraId="05F128B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b/>
          <w:sz w:val="24"/>
          <w:szCs w:val="24"/>
          <w:lang w:eastAsia="ja-JP"/>
        </w:rPr>
      </w:pPr>
      <w:r w:rsidRPr="00AE47C6">
        <w:rPr>
          <w:rFonts w:ascii="Times New Roman" w:eastAsia="MS Mincho" w:hAnsi="Times New Roman"/>
          <w:b/>
          <w:sz w:val="24"/>
          <w:szCs w:val="24"/>
          <w:lang w:eastAsia="ja-JP"/>
        </w:rPr>
        <w:t>І. Включващи</w:t>
      </w:r>
    </w:p>
    <w:p w14:paraId="0FB28F6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1. Диагноза множествена склероза по ревизираните от Tompson и сътр. през 2017 г. диагностични критерии на McDonald</w:t>
      </w:r>
    </w:p>
    <w:p w14:paraId="503517D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napToGrid w:val="0"/>
          <w:sz w:val="24"/>
          <w:szCs w:val="24"/>
        </w:rPr>
      </w:pPr>
      <w:r w:rsidRPr="00AE47C6">
        <w:rPr>
          <w:rFonts w:ascii="Times New Roman" w:eastAsia="SimSun" w:hAnsi="Times New Roman"/>
          <w:snapToGrid w:val="0"/>
          <w:sz w:val="24"/>
          <w:szCs w:val="24"/>
        </w:rPr>
        <w:t>2. Възраст над 18 години</w:t>
      </w:r>
    </w:p>
    <w:p w14:paraId="1FE1A69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3. Инвалидност до 4,0 по скалата на Kurtzke</w:t>
      </w:r>
    </w:p>
    <w:p w14:paraId="2EC0F43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4. Агресивен ход на заболяването със зачестяване на пристъпите (поне 2 за предходната година), въпреки провежданото лечение с медикаменти от първа линия.</w:t>
      </w:r>
    </w:p>
    <w:p w14:paraId="3B663B3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5. Значително увеличаване на Т</w:t>
      </w:r>
      <w:r w:rsidRPr="00AE47C6">
        <w:rPr>
          <w:rFonts w:ascii="Times New Roman" w:eastAsia="MS Mincho" w:hAnsi="Times New Roman"/>
          <w:sz w:val="24"/>
          <w:szCs w:val="24"/>
          <w:vertAlign w:val="subscript"/>
          <w:lang w:eastAsia="ja-JP"/>
        </w:rPr>
        <w:t>2</w:t>
      </w:r>
      <w:r w:rsidRPr="00AE47C6">
        <w:rPr>
          <w:rFonts w:ascii="Times New Roman" w:eastAsia="MS Mincho" w:hAnsi="Times New Roman"/>
          <w:sz w:val="24"/>
          <w:szCs w:val="24"/>
          <w:lang w:eastAsia="ja-JP"/>
        </w:rPr>
        <w:t xml:space="preserve"> лезиите в сравнение с предшестващ МРТ през последните 12 месеца</w:t>
      </w:r>
    </w:p>
    <w:p w14:paraId="5BF9DD1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b/>
          <w:sz w:val="24"/>
          <w:szCs w:val="24"/>
          <w:lang w:eastAsia="ja-JP"/>
        </w:rPr>
      </w:pPr>
      <w:r w:rsidRPr="00AE47C6">
        <w:rPr>
          <w:rFonts w:ascii="Times New Roman" w:eastAsia="MS Mincho" w:hAnsi="Times New Roman"/>
          <w:b/>
          <w:sz w:val="24"/>
          <w:szCs w:val="24"/>
          <w:lang w:eastAsia="ja-JP"/>
        </w:rPr>
        <w:t>ІІ. Изключващи</w:t>
      </w:r>
    </w:p>
    <w:p w14:paraId="1BA43CE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1. Тежки придружаващи заболявания – силно имунокомпрометирани пациенти (напр. с лимфопения, неутропения, хипогамаглобулинемия), известни активни злокачествени заболявания.</w:t>
      </w:r>
    </w:p>
    <w:p w14:paraId="06C08F6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2. Приложение на други имуносупресори едновременно с ofatumumab с изключение на кортикостероиди за симптоматично лечение на пристъпи.</w:t>
      </w:r>
    </w:p>
    <w:p w14:paraId="244A527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3. Бременност и кърмене</w:t>
      </w:r>
    </w:p>
    <w:p w14:paraId="52495B5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lang w:eastAsia="ja-JP"/>
        </w:rPr>
      </w:pPr>
      <w:r w:rsidRPr="00AE47C6">
        <w:rPr>
          <w:rFonts w:ascii="Times New Roman" w:eastAsia="SimSun" w:hAnsi="Times New Roman"/>
          <w:b/>
          <w:bCs/>
          <w:sz w:val="24"/>
          <w:szCs w:val="24"/>
          <w:lang w:eastAsia="ja-JP"/>
        </w:rPr>
        <w:t>III. Лечение не се прилага или ако е започнато се спира при:</w:t>
      </w:r>
    </w:p>
    <w:p w14:paraId="6343065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1.</w:t>
      </w:r>
      <w:r w:rsidRPr="00AE47C6">
        <w:rPr>
          <w:rFonts w:ascii="Times New Roman" w:eastAsia="MS Mincho" w:hAnsi="Times New Roman"/>
          <w:b/>
          <w:sz w:val="24"/>
          <w:szCs w:val="24"/>
          <w:lang w:eastAsia="ja-JP"/>
        </w:rPr>
        <w:t xml:space="preserve"> </w:t>
      </w:r>
      <w:r w:rsidRPr="00AE47C6">
        <w:rPr>
          <w:rFonts w:ascii="Times New Roman" w:eastAsia="MS Mincho" w:hAnsi="Times New Roman"/>
          <w:sz w:val="24"/>
          <w:szCs w:val="24"/>
          <w:lang w:eastAsia="ja-JP"/>
        </w:rPr>
        <w:t xml:space="preserve">Забременяване на пациентка. </w:t>
      </w:r>
    </w:p>
    <w:p w14:paraId="1D56B4E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strike/>
          <w:sz w:val="24"/>
          <w:szCs w:val="24"/>
          <w:lang w:eastAsia="ja-JP"/>
        </w:rPr>
      </w:pPr>
      <w:r w:rsidRPr="00AE47C6">
        <w:rPr>
          <w:rFonts w:ascii="Times New Roman" w:eastAsia="MS Mincho" w:hAnsi="Times New Roman"/>
          <w:sz w:val="24"/>
          <w:szCs w:val="24"/>
          <w:lang w:eastAsia="ja-JP"/>
        </w:rPr>
        <w:t>2. Сериозни странични реакции от лечението.</w:t>
      </w:r>
    </w:p>
    <w:p w14:paraId="226713C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3. Активна инфекция. Приложението се преустановява до пълно излекуване на инфекцията.</w:t>
      </w:r>
    </w:p>
    <w:p w14:paraId="676F926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4. Активна хепатит В инфекция или реактивация на хепатит В</w:t>
      </w:r>
    </w:p>
    <w:p w14:paraId="3E50B86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5. Прогресивна мултифокална левкоенцефалопатия</w:t>
      </w:r>
    </w:p>
    <w:p w14:paraId="39BF6E0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6. Активна туберкулоза – нова или реактивирана</w:t>
      </w:r>
    </w:p>
    <w:p w14:paraId="7FEE0E1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7. Системно неспазване на схемата на приложение</w:t>
      </w:r>
    </w:p>
    <w:p w14:paraId="6A9F5D9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8. При липса на клинична ефективност от лечението (2 и повече пристъпа за 1 година)</w:t>
      </w:r>
    </w:p>
    <w:p w14:paraId="7ED791D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 xml:space="preserve">9. Пациентът може да премине на лечение с fingolimod, ponesimod,  cladribine, natalizumab,  alemtuzumab, ocrelizumab или siponimod. </w:t>
      </w:r>
    </w:p>
    <w:p w14:paraId="2F04148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 xml:space="preserve">10. Достигане на инвалидност 5 по скалата на Kurtzke </w:t>
      </w:r>
    </w:p>
    <w:p w14:paraId="4A94EE2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11. Достигане до възраст 59 години и липса на активност на заболяването през последните 2 години.</w:t>
      </w:r>
    </w:p>
    <w:p w14:paraId="4E80A628" w14:textId="77777777" w:rsidR="00BE0B19" w:rsidRPr="00AE47C6" w:rsidRDefault="00BE0B19" w:rsidP="00BE0B19">
      <w:pPr>
        <w:spacing w:after="0" w:line="360" w:lineRule="auto"/>
        <w:ind w:firstLine="720"/>
        <w:jc w:val="both"/>
        <w:rPr>
          <w:rFonts w:ascii="Times New Roman" w:eastAsia="MS Mincho" w:hAnsi="Times New Roman"/>
          <w:b/>
          <w:sz w:val="24"/>
          <w:szCs w:val="24"/>
          <w:lang w:eastAsia="ja-JP"/>
        </w:rPr>
      </w:pPr>
    </w:p>
    <w:p w14:paraId="3873268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center"/>
        <w:rPr>
          <w:rFonts w:ascii="Times New Roman" w:eastAsia="MS Mincho" w:hAnsi="Times New Roman"/>
          <w:b/>
          <w:sz w:val="24"/>
          <w:szCs w:val="24"/>
          <w:lang w:eastAsia="ja-JP"/>
        </w:rPr>
      </w:pPr>
      <w:r w:rsidRPr="00AE47C6">
        <w:rPr>
          <w:rFonts w:ascii="Times New Roman" w:eastAsia="MS Mincho" w:hAnsi="Times New Roman"/>
          <w:b/>
          <w:sz w:val="24"/>
          <w:szCs w:val="24"/>
          <w:lang w:eastAsia="ja-JP"/>
        </w:rPr>
        <w:t>Необходими изследвания и контролни прегледи при лечение/ преди започване на лечение с ofatumumab</w:t>
      </w:r>
    </w:p>
    <w:p w14:paraId="34999BE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MS Mincho" w:hAnsi="Times New Roman"/>
          <w:b/>
          <w:i/>
          <w:sz w:val="24"/>
          <w:szCs w:val="24"/>
          <w:lang w:eastAsia="ja-JP"/>
        </w:rPr>
      </w:pPr>
      <w:r w:rsidRPr="00AE47C6">
        <w:rPr>
          <w:rFonts w:ascii="Times New Roman" w:eastAsia="MS Mincho" w:hAnsi="Times New Roman"/>
          <w:b/>
          <w:i/>
          <w:sz w:val="24"/>
          <w:szCs w:val="24"/>
          <w:lang w:eastAsia="ja-JP"/>
        </w:rPr>
        <w:t>I. Преди започване на лечение:</w:t>
      </w:r>
    </w:p>
    <w:p w14:paraId="03FFA44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1. ПКК с диференциално броене, броят на лимфоцитите трябва да е нормален.</w:t>
      </w:r>
    </w:p>
    <w:p w14:paraId="014CD3D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 xml:space="preserve">2. </w:t>
      </w:r>
      <w:r w:rsidRPr="00AE47C6">
        <w:rPr>
          <w:rFonts w:ascii="Times New Roman" w:eastAsia="SimSun" w:hAnsi="Times New Roman"/>
          <w:sz w:val="24"/>
          <w:szCs w:val="24"/>
        </w:rPr>
        <w:t xml:space="preserve">Скрининг за латентни инфекции, особено хепатит В, С, HIV и туберкулоза (T-spot тест). </w:t>
      </w:r>
      <w:r w:rsidRPr="00AE47C6">
        <w:rPr>
          <w:rFonts w:ascii="Times New Roman" w:eastAsia="MS Mincho" w:hAnsi="Times New Roman"/>
          <w:sz w:val="24"/>
          <w:szCs w:val="24"/>
          <w:lang w:eastAsia="ja-JP"/>
        </w:rPr>
        <w:t>При пациенти с активна инфекция приложението на ofatumumab трябва да се отложи до овладяване на инфекцията.</w:t>
      </w:r>
    </w:p>
    <w:p w14:paraId="7B6889F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MS Mincho" w:hAnsi="Times New Roman"/>
          <w:sz w:val="24"/>
          <w:szCs w:val="24"/>
          <w:lang w:eastAsia="ja-JP"/>
        </w:rPr>
      </w:pPr>
      <w:r w:rsidRPr="00AE47C6">
        <w:rPr>
          <w:rFonts w:ascii="Times New Roman" w:eastAsia="MS Mincho" w:hAnsi="Times New Roman"/>
          <w:sz w:val="24"/>
          <w:szCs w:val="24"/>
          <w:lang w:eastAsia="ja-JP"/>
        </w:rPr>
        <w:t>3. Всички имунизации трябва да се извършват съгласно имунизационните препоръки най-малко 4 седмици преди започване на лечение с ofatumumab в случай на прилагане на живи или живи атенюирани ваксини и, по възможност, поне 2 седмици преди започване на лечение с ofatumumab в случай на инактивирани ваксини.</w:t>
      </w:r>
    </w:p>
    <w:p w14:paraId="7482C4C4" w14:textId="77777777" w:rsidR="00BE0B19" w:rsidRPr="00AE47C6" w:rsidRDefault="00BE0B19" w:rsidP="00BE0B19">
      <w:pPr>
        <w:spacing w:after="0" w:line="360" w:lineRule="auto"/>
        <w:jc w:val="both"/>
        <w:rPr>
          <w:rFonts w:ascii="Times New Roman" w:eastAsia="SimSun" w:hAnsi="Times New Roman"/>
          <w:b/>
          <w:sz w:val="24"/>
          <w:szCs w:val="24"/>
        </w:rPr>
      </w:pPr>
    </w:p>
    <w:p w14:paraId="57C3835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Преминаването</w:t>
      </w:r>
      <w:r w:rsidRPr="00AE47C6">
        <w:rPr>
          <w:rFonts w:ascii="Times New Roman" w:eastAsia="SimSun" w:hAnsi="Times New Roman"/>
          <w:sz w:val="24"/>
          <w:szCs w:val="24"/>
        </w:rPr>
        <w:t xml:space="preserve"> на заболяването от пристъпно-ремитентна към </w:t>
      </w:r>
      <w:r w:rsidRPr="00AE47C6">
        <w:rPr>
          <w:rFonts w:ascii="Times New Roman" w:eastAsia="SimSun" w:hAnsi="Times New Roman"/>
          <w:b/>
          <w:bCs/>
          <w:sz w:val="24"/>
          <w:szCs w:val="24"/>
        </w:rPr>
        <w:t xml:space="preserve">вторично-прогресираща форма </w:t>
      </w:r>
      <w:r w:rsidRPr="00AE47C6">
        <w:rPr>
          <w:rFonts w:ascii="Times New Roman" w:eastAsia="SimSun" w:hAnsi="Times New Roman"/>
          <w:bCs/>
          <w:sz w:val="24"/>
          <w:szCs w:val="24"/>
        </w:rPr>
        <w:t xml:space="preserve">се дефинира при установяване на </w:t>
      </w:r>
      <w:r w:rsidRPr="00AE47C6">
        <w:rPr>
          <w:rFonts w:ascii="Times New Roman" w:eastAsia="SimSun" w:hAnsi="Times New Roman"/>
          <w:sz w:val="24"/>
          <w:szCs w:val="24"/>
        </w:rPr>
        <w:t xml:space="preserve">постепенна прогресия  (нарастване с повече от 1 точка по скалата на Kurtzke за 1 година) без данни за </w:t>
      </w:r>
      <w:r w:rsidRPr="00AE47C6">
        <w:rPr>
          <w:rFonts w:ascii="Times New Roman" w:eastAsia="SimSun" w:hAnsi="Times New Roman"/>
          <w:bCs/>
          <w:sz w:val="24"/>
          <w:szCs w:val="24"/>
        </w:rPr>
        <w:t>пристъпна активност на болестта</w:t>
      </w:r>
      <w:r w:rsidRPr="00AE47C6">
        <w:rPr>
          <w:rFonts w:ascii="Times New Roman" w:eastAsia="SimSun" w:hAnsi="Times New Roman"/>
          <w:b/>
          <w:bCs/>
          <w:sz w:val="24"/>
          <w:szCs w:val="24"/>
        </w:rPr>
        <w:t xml:space="preserve"> </w:t>
      </w:r>
      <w:r w:rsidRPr="00AE47C6">
        <w:rPr>
          <w:rFonts w:ascii="Times New Roman" w:eastAsia="SimSun" w:hAnsi="Times New Roman"/>
          <w:sz w:val="24"/>
          <w:szCs w:val="24"/>
        </w:rPr>
        <w:t>или при наличие на тласъчни влошавания.</w:t>
      </w:r>
    </w:p>
    <w:p w14:paraId="0293AA3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Лечението на вторично-прогресиращата форма</w:t>
      </w:r>
      <w:r w:rsidRPr="00AE47C6">
        <w:rPr>
          <w:rFonts w:ascii="Times New Roman" w:eastAsia="SimSun" w:hAnsi="Times New Roman"/>
          <w:sz w:val="24"/>
          <w:szCs w:val="24"/>
        </w:rPr>
        <w:t xml:space="preserve"> с данни за активност на заболяването се провежда със siponimod. Лечение се провежда при възрастни пациенти с вторично-прогресираща множествена склероза (ВПМС) с активно заболяване, доказано чрез тласъчна активност или данни от образна диагностика за възпалителна активност. </w:t>
      </w:r>
    </w:p>
    <w:p w14:paraId="75F56CCC"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i/>
          <w:iCs/>
          <w:sz w:val="24"/>
          <w:szCs w:val="24"/>
        </w:rPr>
        <w:t>Siponimod</w:t>
      </w:r>
      <w:r w:rsidRPr="00AE47C6">
        <w:rPr>
          <w:rFonts w:ascii="Times New Roman" w:eastAsia="SimSun" w:hAnsi="Times New Roman"/>
          <w:bCs/>
          <w:i/>
          <w:iCs/>
          <w:sz w:val="24"/>
          <w:szCs w:val="24"/>
        </w:rPr>
        <w:t xml:space="preserve"> </w:t>
      </w:r>
      <w:r w:rsidRPr="00AE47C6">
        <w:rPr>
          <w:rFonts w:ascii="Times New Roman" w:eastAsia="SimSun" w:hAnsi="Times New Roman"/>
          <w:bCs/>
          <w:sz w:val="24"/>
          <w:szCs w:val="24"/>
        </w:rPr>
        <w:t>е сфингозин-1-фосфат (S1P) рецепторен модулатор, одобрен през 2019 год. от FDA за лечение на пристъпни форми на множествена склероза, включително вторично-прогресираща множествена склероза с активно заболяване. През 2020 г. siponimod получава одобрение от ЕМА за лечение на възрастни пациенти с вторично прогресираща множествена склероза (ВПМС) с активно заболяване, доказано чрез пристъпи или данни от образна диагностика за възпалителна активност.</w:t>
      </w:r>
    </w:p>
    <w:p w14:paraId="635BBB21"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Преди започване на лечението пациентите трябва да бъдат генотипизирани по CYP2C9. При пациенти с генотип CYP2C9*3*3, siponimod не бива да се използва. При пациенти с генотип CYP2C9*2*3 или *1*3, препоръчителната поддържаща доза е 1 mg, приета веднъж дневно. Препоръчителната поддържаща доза siponimod при пациентите с всички останали CYP2C9 генотипове е 2 mg, приемана веднъж дневно. Лечението започва с 0,25 mg веднъж дневно на ден 1 и 2, последвани от доза 0,5 mg веднъж дневно на ден 3, след това доза 0,75 mg веднъж дневно на ден 4 и 1,25 mg на ден 5, за да се достигне предписаната на пациента поддържаща доза siponimod, с която се започва на ден 6. Ако поддържащата терапия се прекъсне за 4 или повече последователни приема, лечението със siponimod трябва да започне отново с титриране.</w:t>
      </w:r>
    </w:p>
    <w:p w14:paraId="5126DCD8"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Siponimod се свързва селективно с два от петте сфингозин-1-фосфат рецептори, а именно S1P1 и S1P5. Действайки като функционален антагонист върху S1P1 рецепторите на лимфоцитите, siponimod предотвратява излизането им от лимфните възли. Това намалява циркулацията на T-клетки в централната нервна система (ЦНС) и ограничава централното възпаление. Siponimod води до дозозависимо понижение на броя на лимфоцитите в периферната кръв в рамките на 6 часа след приема на първата доза вследствие на обратима секвестрация на лимфоцити в лимфоидната тъкан. С продължаване на ежедневния прием броят на лимфоцитите продължава да се понижава, достигайки приблизително 20-30% от изходното ниво при типичните CYP2C9*1*1 или *1*2 пациенти с ВПМС. Ниският брой на лимфоцитите се запазва при ежедневен прием.</w:t>
      </w:r>
    </w:p>
    <w:p w14:paraId="5AF32DF9"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Резултатите от клиничното проучване при пациенти с ВПМС показват, че времето за настъпване на 3- и 6-месечна потвърдена прогресия на инвалидизацията е значимо забавено при siponimod, с намаляване на риска съответно с 21% и 26% спрямо плацебо, и съответно с 31% и с 37% при пациентите с активност на заболяването. Честотата на пристъпите е намалена с 46% спрямо плацебо, а понижението на броя на Gd+ Т1 лезии за 24 месеца е 85% в сравнение с плацебо.</w:t>
      </w:r>
    </w:p>
    <w:p w14:paraId="3E378BB0"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i/>
          <w:iCs/>
          <w:sz w:val="24"/>
          <w:szCs w:val="24"/>
        </w:rPr>
        <w:t>Страничните ефекти</w:t>
      </w:r>
      <w:r w:rsidRPr="00AE47C6">
        <w:rPr>
          <w:rFonts w:ascii="Times New Roman" w:eastAsia="SimSun" w:hAnsi="Times New Roman"/>
          <w:bCs/>
          <w:sz w:val="24"/>
          <w:szCs w:val="24"/>
        </w:rPr>
        <w:t xml:space="preserve"> са главоболие, хипертония и повишаване на чернодробните функционални показатели. Други чести странични ефекти са замаяност, гърчове, тремор, макулен едем, брадикардия, атриовентрикуларен блок, гадене и диария. Съществува потенциален риск от развитие на херпес зостер и базалноклетъчен карцином.</w:t>
      </w:r>
    </w:p>
    <w:p w14:paraId="73F6BDCB"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i/>
          <w:iCs/>
          <w:sz w:val="24"/>
          <w:szCs w:val="24"/>
        </w:rPr>
        <w:t>Противопоказан</w:t>
      </w:r>
      <w:r w:rsidRPr="00AE47C6">
        <w:rPr>
          <w:rFonts w:ascii="Times New Roman" w:eastAsia="SimSun" w:hAnsi="Times New Roman"/>
          <w:bCs/>
          <w:sz w:val="24"/>
          <w:szCs w:val="24"/>
        </w:rPr>
        <w:t xml:space="preserve"> е при пациенти с имунодефицитен синдром, анамнеза за ПМЛ или криптококов менингит, активно злокачествено заболяване, тежка степен на чернодробно увреждане (клас С по Child-Pugh), миокарден инфаркт през последните 6 месеца, нестабилна стенокардия, мозъчен инсулт/преходна исхемична атака, декомпенсирана сърдечна недостатъчност или сърдечна недостатъчност клас III/IV, пациенти с анамнеза за втора степен атриовентрикуларен блок Mobitz тип ІІ, AV блок от трета степен, синоатриален сърдечен блок или синдром на болния синусов възел, ако не  е поставен пейсмейкър, пациенти хомозиготи по CYP2C9*3 (CYP2C9*3*3) генотип, през периода на бременност и при жени с детероден потенциал, които не използват ефективна контрацепция.</w:t>
      </w:r>
    </w:p>
    <w:p w14:paraId="5BDC134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Cs/>
          <w:sz w:val="24"/>
          <w:szCs w:val="24"/>
        </w:rPr>
      </w:pPr>
      <w:r w:rsidRPr="00AE47C6">
        <w:rPr>
          <w:rFonts w:ascii="Times New Roman" w:eastAsia="SimSun" w:hAnsi="Times New Roman"/>
          <w:b/>
          <w:bCs/>
          <w:iCs/>
          <w:sz w:val="24"/>
          <w:szCs w:val="24"/>
        </w:rPr>
        <w:t>Критерии за лечение на множествената склероза със siponimod при пациенти с вторично- прогресираща форма на заболяването</w:t>
      </w:r>
    </w:p>
    <w:p w14:paraId="24DD42D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i/>
          <w:iCs/>
          <w:sz w:val="24"/>
          <w:szCs w:val="24"/>
        </w:rPr>
      </w:pPr>
      <w:r w:rsidRPr="00AE47C6">
        <w:rPr>
          <w:rFonts w:ascii="Times New Roman" w:eastAsia="SimSun" w:hAnsi="Times New Roman"/>
          <w:b/>
          <w:bCs/>
          <w:i/>
          <w:iCs/>
          <w:sz w:val="24"/>
          <w:szCs w:val="24"/>
        </w:rPr>
        <w:t>І. Включващи</w:t>
      </w:r>
    </w:p>
    <w:p w14:paraId="575B2CF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sz w:val="24"/>
          <w:szCs w:val="24"/>
        </w:rPr>
      </w:pPr>
      <w:r w:rsidRPr="00AE47C6">
        <w:rPr>
          <w:rFonts w:ascii="Times New Roman" w:eastAsia="SimSun" w:hAnsi="Times New Roman"/>
          <w:sz w:val="24"/>
          <w:szCs w:val="24"/>
        </w:rPr>
        <w:t>1. Диагноза множествена склероза по ревизираните от Tompson и сътр. през 2017 г. диагностични критерии на McDonald</w:t>
      </w:r>
    </w:p>
    <w:p w14:paraId="5FD801C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sz w:val="24"/>
          <w:szCs w:val="24"/>
        </w:rPr>
      </w:pPr>
      <w:r w:rsidRPr="00AE47C6">
        <w:rPr>
          <w:rFonts w:ascii="Times New Roman" w:eastAsia="SimSun" w:hAnsi="Times New Roman"/>
          <w:sz w:val="24"/>
          <w:szCs w:val="24"/>
        </w:rPr>
        <w:t>2. Възраст над 18 години</w:t>
      </w:r>
      <w:r w:rsidRPr="00AE47C6">
        <w:rPr>
          <w:rFonts w:ascii="Times New Roman" w:eastAsia="SimSun" w:hAnsi="Times New Roman"/>
          <w:strike/>
          <w:sz w:val="24"/>
          <w:szCs w:val="24"/>
        </w:rPr>
        <w:t>.</w:t>
      </w:r>
    </w:p>
    <w:p w14:paraId="7CC8FC2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Инвалидност до 5,0 по скалата на Kurtzke</w:t>
      </w:r>
    </w:p>
    <w:p w14:paraId="457EE56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4. Продължителност на прогресията от 6 месеца, като могат да се наблюдават и тласъчни влошавания на заболяването. </w:t>
      </w:r>
    </w:p>
    <w:p w14:paraId="3033439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Данни от МРТ доказващи наличие на възпалителната активност - Gd-усилващи се T</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 xml:space="preserve"> лезии и/или активни (нови или нарастващи) T</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лезии.</w:t>
      </w:r>
    </w:p>
    <w:p w14:paraId="39B3A60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iCs/>
          <w:sz w:val="24"/>
          <w:szCs w:val="24"/>
        </w:rPr>
      </w:pPr>
      <w:r w:rsidRPr="00AE47C6">
        <w:rPr>
          <w:rFonts w:ascii="Times New Roman" w:eastAsia="SimSun" w:hAnsi="Times New Roman"/>
          <w:b/>
          <w:i/>
          <w:iCs/>
          <w:sz w:val="24"/>
          <w:szCs w:val="24"/>
        </w:rPr>
        <w:t>ІІ. Изключващи</w:t>
      </w:r>
    </w:p>
    <w:p w14:paraId="3BF6508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Пациенти с имунодефицитен синдром или провеждащи имуносупресивна терапия.</w:t>
      </w:r>
    </w:p>
    <w:p w14:paraId="737B7AD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Анамнеза за прогресивна мултифокална левкоенцефалопатия или криптококов менингит.</w:t>
      </w:r>
    </w:p>
    <w:p w14:paraId="6325893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Активно злокачествено заболяване.</w:t>
      </w:r>
    </w:p>
    <w:p w14:paraId="320DD27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Тежка степен на чернодробно увреждане (клас C по Child-Pugh)</w:t>
      </w:r>
    </w:p>
    <w:p w14:paraId="575087C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Пациенти, които в предходните 6 месеца са имали миокарден инфаркт, нестабилна стенокардия, мозъчен инсулт/преходна исхемична атака, декомпенсирана сърдечна недостатъчност (изискваща болнично лечение) или сърдечна недостатъчност клас III/IV  по NYHA.</w:t>
      </w:r>
    </w:p>
    <w:p w14:paraId="4776E2D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 Пациенти с анамнеза за втора степен атриовентрикуларен (AV) блок Mobitz тип II, AV блок от трета степен, синоатриален сърдечен блок или синдром на болния синусов възел, ако не е поставен пейсмейкър.</w:t>
      </w:r>
    </w:p>
    <w:p w14:paraId="36E95FB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 Пациенти хомозиготни по CYP2C9*3 (CYP2C9*3*3) генотип (слаби метаболизатори)</w:t>
      </w:r>
    </w:p>
    <w:p w14:paraId="3209FB3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8. Бременност или жени, които не използват ефективна контрацепция.</w:t>
      </w:r>
    </w:p>
    <w:p w14:paraId="43F78A5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iCs/>
          <w:sz w:val="24"/>
          <w:szCs w:val="24"/>
        </w:rPr>
      </w:pPr>
      <w:r w:rsidRPr="00AE47C6">
        <w:rPr>
          <w:rFonts w:ascii="Times New Roman" w:eastAsia="SimSun" w:hAnsi="Times New Roman"/>
          <w:b/>
          <w:i/>
          <w:iCs/>
          <w:sz w:val="24"/>
          <w:szCs w:val="24"/>
        </w:rPr>
        <w:t>III. Лечение не се прилага или ако е започнато се спира при:</w:t>
      </w:r>
    </w:p>
    <w:p w14:paraId="0A82A37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Забременяване на пациентка. </w:t>
      </w:r>
    </w:p>
    <w:p w14:paraId="50C4E13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Сериозни странични реакции от лечението.</w:t>
      </w:r>
    </w:p>
    <w:p w14:paraId="2C01F46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Системно неспазване на схемата на приложение</w:t>
      </w:r>
    </w:p>
    <w:p w14:paraId="62099D9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Прогресивна мултифокална левкоенцефалопатия или криптококов менингит</w:t>
      </w:r>
    </w:p>
    <w:p w14:paraId="25F0382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5. Достигане на инвалидност 6,0 по скалата на Kurtzke </w:t>
      </w:r>
    </w:p>
    <w:p w14:paraId="0BA5DDE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 Достигане до възраст 59 години и липса на активност на заболяването през последните 2 години.</w:t>
      </w:r>
    </w:p>
    <w:p w14:paraId="753F665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 Предходно лечение с alemtuzumab.</w:t>
      </w:r>
    </w:p>
    <w:p w14:paraId="1C464657" w14:textId="77777777" w:rsidR="00BE0B19" w:rsidRPr="00AE47C6" w:rsidRDefault="00BE0B19" w:rsidP="00BE0B19">
      <w:pPr>
        <w:spacing w:after="0" w:line="360" w:lineRule="auto"/>
        <w:ind w:firstLine="720"/>
        <w:jc w:val="both"/>
        <w:rPr>
          <w:rFonts w:ascii="Times New Roman" w:eastAsia="SimSun" w:hAnsi="Times New Roman"/>
          <w:b/>
          <w:sz w:val="24"/>
          <w:szCs w:val="24"/>
        </w:rPr>
      </w:pPr>
    </w:p>
    <w:p w14:paraId="4F05418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center"/>
        <w:rPr>
          <w:rFonts w:ascii="Times New Roman" w:eastAsia="SimSun" w:hAnsi="Times New Roman"/>
          <w:b/>
          <w:sz w:val="24"/>
          <w:szCs w:val="24"/>
        </w:rPr>
      </w:pPr>
      <w:r w:rsidRPr="00AE47C6">
        <w:rPr>
          <w:rFonts w:ascii="Times New Roman" w:eastAsia="SimSun" w:hAnsi="Times New Roman"/>
          <w:b/>
          <w:sz w:val="24"/>
          <w:szCs w:val="24"/>
        </w:rPr>
        <w:t>Необходими изследвания и контролни прегледи при лечение със siponimod</w:t>
      </w:r>
    </w:p>
    <w:p w14:paraId="17B0EF8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i/>
          <w:sz w:val="24"/>
          <w:szCs w:val="24"/>
        </w:rPr>
      </w:pPr>
      <w:r w:rsidRPr="00AE47C6">
        <w:rPr>
          <w:rFonts w:ascii="Times New Roman" w:eastAsia="SimSun" w:hAnsi="Times New Roman"/>
          <w:b/>
          <w:i/>
          <w:sz w:val="24"/>
          <w:szCs w:val="24"/>
        </w:rPr>
        <w:t>I. Преди започване на лечение:</w:t>
      </w:r>
    </w:p>
    <w:p w14:paraId="79E0F88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Актуални изследвания (до 1- месечна давност или след спиране на предшестваща терапия) на ПКК, серумни трансаминази и  билирубин.</w:t>
      </w:r>
    </w:p>
    <w:p w14:paraId="46AC77D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Изследване за антитела срещу varicella zoster вирус (VZV). В случай, че са негативни, е необходимо да се направи имунизация преди започване на лечението.</w:t>
      </w:r>
    </w:p>
    <w:p w14:paraId="617E508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Генетично изследване за определяне на генотипа по CYP2C9</w:t>
      </w:r>
    </w:p>
    <w:p w14:paraId="45E4AB6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Офталмологична оценка.</w:t>
      </w:r>
    </w:p>
    <w:p w14:paraId="708F7BA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b/>
          <w:i/>
          <w:sz w:val="24"/>
          <w:szCs w:val="24"/>
        </w:rPr>
        <w:t>II. При започване на лечението:</w:t>
      </w:r>
    </w:p>
    <w:p w14:paraId="4B86D60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При пациенти със синусова брадикардия (сърдечна честота под 55 удара в минута),  първа или втора степен AV блок Mobitz тип I или анамнеза за прекаран миокарден инфаркт преди повече от 6 месеца или сърдечна недостатъчност: проследяване в продължение на 6 часа за симптоми на брадикардия, чрез ежечасно измерване на пулса и кръвното налягане. </w:t>
      </w:r>
    </w:p>
    <w:p w14:paraId="0ECEDFF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Серумни трансаминази, билирубин, урея, креатинин.</w:t>
      </w:r>
    </w:p>
    <w:p w14:paraId="3173748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През първите 6 дни от лечението, ако се пропусне една титрираща доза в един ден, лечението трябва да се започне отново с нова опаковка за титриране.</w:t>
      </w:r>
    </w:p>
    <w:p w14:paraId="354B334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b/>
          <w:i/>
          <w:sz w:val="24"/>
          <w:szCs w:val="24"/>
        </w:rPr>
        <w:t>III. По време на лечението:</w:t>
      </w:r>
    </w:p>
    <w:p w14:paraId="20FB979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Офталмологична оценка на 3-4 месец след започване на лечението. </w:t>
      </w:r>
    </w:p>
    <w:p w14:paraId="6EF26EE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Периодично проследяване на всеки 6 месеца на пълна кръвна картина и ако се потвърди абсолютен брой на лимфоцитите &lt;0,2 x 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/L, дозата трябва да се намали на 1 mg. Ако се потвърди абсолютен лимфоцитен брой &lt;0,2 x 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/L при пациенти, които вече получават siponimod 1 mg, лечението със siponimod трябва да се прекъсне докато броят на лимфоцитите стане 0,6 x 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/L, след което може да се обмисли подновяване на лечението със siponimod.</w:t>
      </w:r>
    </w:p>
    <w:p w14:paraId="6595EDA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Пациентите трябва да съобщават на лекуващия лекар за всякакви зрителни нарушения или признаци и симптоми на инфекция.</w:t>
      </w:r>
    </w:p>
    <w:p w14:paraId="43CB408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Ако лечението се прекъсне за повече от 4 последователни дни, лечението трябва да започне отново с нова опаковка за титриране.</w:t>
      </w:r>
    </w:p>
    <w:p w14:paraId="6777C74C" w14:textId="77777777" w:rsidR="00BE0B19" w:rsidRPr="00AE47C6" w:rsidRDefault="00BE0B19" w:rsidP="00BE0B19">
      <w:pPr>
        <w:spacing w:after="0" w:line="360" w:lineRule="auto"/>
        <w:ind w:firstLine="720"/>
        <w:jc w:val="both"/>
        <w:rPr>
          <w:rFonts w:ascii="Times New Roman" w:eastAsia="SimSun" w:hAnsi="Times New Roman"/>
          <w:b/>
          <w:sz w:val="24"/>
          <w:szCs w:val="24"/>
        </w:rPr>
      </w:pPr>
    </w:p>
    <w:p w14:paraId="79258E4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Лечението на вторично-прогресиращата форма на заболяването при пациенти, които на фона на прогресията продължават да получават чести пристъпи </w:t>
      </w:r>
      <w:r w:rsidRPr="00AE47C6">
        <w:rPr>
          <w:rFonts w:ascii="Times New Roman" w:eastAsia="SimSun" w:hAnsi="Times New Roman"/>
          <w:b/>
          <w:sz w:val="24"/>
          <w:szCs w:val="24"/>
        </w:rPr>
        <w:t>(прогресиращо-ремитентна форма)</w:t>
      </w:r>
      <w:r w:rsidRPr="00AE47C6">
        <w:rPr>
          <w:rFonts w:ascii="Times New Roman" w:eastAsia="SimSun" w:hAnsi="Times New Roman"/>
          <w:sz w:val="24"/>
          <w:szCs w:val="24"/>
        </w:rPr>
        <w:t xml:space="preserve"> би могло да се проведе и с интерферон бета-1в. Приложението на тази терапия с индикация вторично-прогресивна МС към момента не намира широка употреба в практиката. Въпреки, че данните за ефикасност не се основават на актуални клинични изпитвания, интерферон бета-1в показва намаление на честотата и силата на насложените пристъпи при болни с вторично прогредиентен ход на множествената склероза. Удължава се времето за нарастване на инвалидността с около 12 месеца за 2 години, намалява броя на новите МРТ лезии. Лечение се провежда при пациенти с по-бърза прогресия, при бавна прогресия не е необходимо прилагане на медикаменти. </w:t>
      </w:r>
    </w:p>
    <w:p w14:paraId="30D0AB5D"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504AD9A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Cs/>
          <w:sz w:val="24"/>
          <w:szCs w:val="24"/>
        </w:rPr>
      </w:pPr>
      <w:r w:rsidRPr="00AE47C6">
        <w:rPr>
          <w:rFonts w:ascii="Times New Roman" w:eastAsia="SimSun" w:hAnsi="Times New Roman"/>
          <w:b/>
          <w:bCs/>
          <w:iCs/>
          <w:sz w:val="24"/>
          <w:szCs w:val="24"/>
        </w:rPr>
        <w:t xml:space="preserve">Критерии за прилагане на лечение на множествената склероза </w:t>
      </w:r>
      <w:r w:rsidRPr="00AE47C6">
        <w:rPr>
          <w:rFonts w:ascii="Times New Roman" w:eastAsia="SimSun" w:hAnsi="Times New Roman"/>
          <w:b/>
          <w:bCs/>
          <w:iCs/>
          <w:sz w:val="24"/>
          <w:szCs w:val="24"/>
          <w:lang w:eastAsia="en-GB"/>
        </w:rPr>
        <w:t xml:space="preserve">с интерферон бета-1в </w:t>
      </w:r>
      <w:r w:rsidRPr="00AE47C6">
        <w:rPr>
          <w:rFonts w:ascii="Times New Roman" w:eastAsia="SimSun" w:hAnsi="Times New Roman"/>
          <w:b/>
          <w:bCs/>
          <w:iCs/>
          <w:sz w:val="24"/>
          <w:szCs w:val="24"/>
        </w:rPr>
        <w:t>при пациенти с вторично прогредиентен ход на заболяването и насложени чести пристъпи</w:t>
      </w:r>
    </w:p>
    <w:p w14:paraId="628C2DA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I. Включващи </w:t>
      </w:r>
    </w:p>
    <w:p w14:paraId="36C0985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1. Диагноза множествена склероза по ревизираните от Tompson и сътр. през 2017 г. диагностични критерии на McDonald</w:t>
      </w:r>
    </w:p>
    <w:p w14:paraId="15A21E2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2. Възраст над 18 години</w:t>
      </w:r>
    </w:p>
    <w:p w14:paraId="076C578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3. Инвалидност до 4,0 по скалата на Kurtzke</w:t>
      </w:r>
    </w:p>
    <w:p w14:paraId="62668BD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II. Изключващи </w:t>
      </w:r>
    </w:p>
    <w:p w14:paraId="130FA0F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1. Придружаващи хронични заболявания, които скъсяват продължителността на живота (алкохолизъм, деменция, психози, злокачествени новообразувания, които не са в ремисия).</w:t>
      </w:r>
    </w:p>
    <w:p w14:paraId="599F89E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2. Болни с тежка депресия и суицидитет по време на лечението </w:t>
      </w:r>
    </w:p>
    <w:p w14:paraId="587A897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3. Бременност </w:t>
      </w:r>
    </w:p>
    <w:p w14:paraId="6FF92BB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III. Лечение не се прилага или ако е започнато се спира при:</w:t>
      </w:r>
    </w:p>
    <w:p w14:paraId="450F0B3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1. Забременяване на пациентка</w:t>
      </w:r>
    </w:p>
    <w:p w14:paraId="6D2ECB1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2. Сериозни странични реакции от лечението</w:t>
      </w:r>
    </w:p>
    <w:p w14:paraId="373250C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3. Липса на клинична ефективност от лечението - прогресивно влошаване на състоянието на болния с повече от 1 точка по скалата на Kurtzke за 1 година.</w:t>
      </w:r>
    </w:p>
    <w:p w14:paraId="2052B6B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Системно неспазване на лечебната схема от болния</w:t>
      </w:r>
    </w:p>
    <w:p w14:paraId="2037858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Достигане на инвалидност 5,0 по скалата на Kurtzke</w:t>
      </w:r>
    </w:p>
    <w:p w14:paraId="0D0B8FF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 Достигане до възраст 59 години и липса на активност на заболяването през последните 2 години.</w:t>
      </w:r>
    </w:p>
    <w:p w14:paraId="0F9E1E52" w14:textId="77777777" w:rsidR="00BE0B19" w:rsidRPr="00AE47C6" w:rsidRDefault="00BE0B19" w:rsidP="00BE0B19">
      <w:pPr>
        <w:spacing w:after="0" w:line="360" w:lineRule="auto"/>
        <w:jc w:val="both"/>
        <w:rPr>
          <w:rFonts w:ascii="Times New Roman" w:eastAsia="SimSun" w:hAnsi="Times New Roman"/>
          <w:sz w:val="24"/>
          <w:szCs w:val="24"/>
        </w:rPr>
      </w:pPr>
    </w:p>
    <w:p w14:paraId="3FFDD66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center"/>
        <w:rPr>
          <w:rFonts w:ascii="Times New Roman" w:eastAsia="SimSun" w:hAnsi="Times New Roman"/>
          <w:b/>
          <w:sz w:val="24"/>
          <w:szCs w:val="24"/>
          <w:lang w:eastAsia="ja-JP"/>
        </w:rPr>
      </w:pPr>
      <w:r w:rsidRPr="00AE47C6">
        <w:rPr>
          <w:rFonts w:ascii="Times New Roman" w:eastAsia="SimSun" w:hAnsi="Times New Roman"/>
          <w:b/>
          <w:sz w:val="24"/>
          <w:szCs w:val="24"/>
          <w:lang w:eastAsia="ja-JP"/>
        </w:rPr>
        <w:t>При пациенти с вторично-прогресираща форма на заболяването и насложени пристъпи неврологът трябва да вземе решение за започване на:</w:t>
      </w:r>
    </w:p>
    <w:p w14:paraId="08160F9F" w14:textId="77777777" w:rsidR="00BE0B19" w:rsidRPr="00AE47C6" w:rsidRDefault="00BE0B19" w:rsidP="00BE0B19">
      <w:pPr>
        <w:numPr>
          <w:ilvl w:val="0"/>
          <w:numId w:val="59"/>
        </w:num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lang w:eastAsia="ja-JP"/>
        </w:rPr>
      </w:pPr>
      <w:r w:rsidRPr="00AE47C6">
        <w:rPr>
          <w:rFonts w:ascii="Times New Roman" w:eastAsia="SimSun" w:hAnsi="Times New Roman"/>
          <w:sz w:val="24"/>
          <w:szCs w:val="24"/>
          <w:lang w:eastAsia="ja-JP"/>
        </w:rPr>
        <w:t>Лечение със siponimod</w:t>
      </w:r>
    </w:p>
    <w:p w14:paraId="51620C12" w14:textId="77777777" w:rsidR="00BE0B19" w:rsidRPr="00AE47C6" w:rsidRDefault="00BE0B19" w:rsidP="00BE0B19">
      <w:pPr>
        <w:numPr>
          <w:ilvl w:val="0"/>
          <w:numId w:val="59"/>
        </w:num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lang w:eastAsia="ja-JP"/>
        </w:rPr>
      </w:pPr>
      <w:r w:rsidRPr="00AE47C6">
        <w:rPr>
          <w:rFonts w:ascii="Times New Roman" w:eastAsia="SimSun" w:hAnsi="Times New Roman"/>
          <w:sz w:val="24"/>
          <w:szCs w:val="24"/>
          <w:lang w:eastAsia="ja-JP"/>
        </w:rPr>
        <w:t xml:space="preserve">Лечение с интерферон бета-1в </w:t>
      </w:r>
    </w:p>
    <w:p w14:paraId="3975E90E" w14:textId="77777777" w:rsidR="00BE0B19" w:rsidRPr="00AE47C6" w:rsidRDefault="00BE0B19" w:rsidP="00BE0B19">
      <w:pPr>
        <w:numPr>
          <w:ilvl w:val="0"/>
          <w:numId w:val="59"/>
        </w:num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lang w:eastAsia="ja-JP"/>
        </w:rPr>
      </w:pPr>
      <w:r w:rsidRPr="00AE47C6">
        <w:rPr>
          <w:rFonts w:ascii="Times New Roman" w:eastAsia="SimSun" w:hAnsi="Times New Roman"/>
          <w:sz w:val="24"/>
          <w:szCs w:val="24"/>
          <w:lang w:eastAsia="ja-JP"/>
        </w:rPr>
        <w:t>Симптоматично лечение</w:t>
      </w:r>
    </w:p>
    <w:p w14:paraId="7B7A81BE" w14:textId="77777777" w:rsidR="00BE0B19" w:rsidRPr="00AE47C6" w:rsidRDefault="00BE0B19" w:rsidP="00BE0B19">
      <w:pPr>
        <w:spacing w:after="0" w:line="360" w:lineRule="auto"/>
        <w:rPr>
          <w:rFonts w:ascii="Times New Roman" w:eastAsia="SimSun" w:hAnsi="Times New Roman"/>
          <w:i/>
          <w:sz w:val="24"/>
          <w:szCs w:val="24"/>
        </w:rPr>
      </w:pPr>
    </w:p>
    <w:p w14:paraId="25D0570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Лечението на първично-прогресиращата форма</w:t>
      </w:r>
      <w:r w:rsidRPr="00AE47C6">
        <w:rPr>
          <w:rFonts w:ascii="Times New Roman" w:eastAsia="SimSun" w:hAnsi="Times New Roman"/>
          <w:sz w:val="24"/>
          <w:szCs w:val="24"/>
        </w:rPr>
        <w:t xml:space="preserve"> на заболяването се провежда с ocrelizumab. Лечение се провежда при пациенти с ранна първично-прогресираща множествена склероза (ППМС) по отношение на продължителност на заболяването и ниво на инвалидизиране и с образно-диагностични характеристики на възпалителна активност. </w:t>
      </w:r>
    </w:p>
    <w:p w14:paraId="44A85F78" w14:textId="77777777" w:rsidR="00BE0B19" w:rsidRPr="00AE47C6" w:rsidRDefault="00BE0B19" w:rsidP="00BE0B19">
      <w:pPr>
        <w:spacing w:after="0" w:line="360" w:lineRule="auto"/>
        <w:ind w:firstLine="720"/>
        <w:jc w:val="both"/>
        <w:rPr>
          <w:rFonts w:ascii="Times New Roman" w:eastAsia="SimSun" w:hAnsi="Times New Roman"/>
          <w:b/>
          <w:sz w:val="24"/>
          <w:szCs w:val="24"/>
        </w:rPr>
      </w:pPr>
    </w:p>
    <w:p w14:paraId="0A635EF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center"/>
        <w:rPr>
          <w:rFonts w:ascii="Times New Roman" w:eastAsia="SimSun" w:hAnsi="Times New Roman"/>
          <w:b/>
          <w:sz w:val="24"/>
          <w:szCs w:val="24"/>
        </w:rPr>
      </w:pPr>
      <w:r w:rsidRPr="00AE47C6">
        <w:rPr>
          <w:rFonts w:ascii="Times New Roman" w:eastAsia="SimSun" w:hAnsi="Times New Roman"/>
          <w:b/>
          <w:sz w:val="24"/>
          <w:szCs w:val="24"/>
        </w:rPr>
        <w:t>Критерии за лечение на множествената склероза с ocrelizumab при пациенти с първично-прогресираща форма на заболяването</w:t>
      </w:r>
    </w:p>
    <w:p w14:paraId="213E80B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iCs/>
          <w:sz w:val="24"/>
          <w:szCs w:val="24"/>
        </w:rPr>
      </w:pPr>
      <w:r w:rsidRPr="00AE47C6">
        <w:rPr>
          <w:rFonts w:ascii="Times New Roman" w:eastAsia="SimSun" w:hAnsi="Times New Roman"/>
          <w:b/>
          <w:i/>
          <w:iCs/>
          <w:sz w:val="24"/>
          <w:szCs w:val="24"/>
        </w:rPr>
        <w:t>І. Включващи</w:t>
      </w:r>
    </w:p>
    <w:p w14:paraId="75DDEB8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Диагноза множествена склероза по ревизираните от Tompson и сътр. през 2017 г. диагностични критерии на McDonald</w:t>
      </w:r>
    </w:p>
    <w:p w14:paraId="5DA0EF6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2. Възраст над 18 години </w:t>
      </w:r>
    </w:p>
    <w:p w14:paraId="020D5B8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Инвалидност до 4,0 по скалата на Kurtzke</w:t>
      </w:r>
    </w:p>
    <w:p w14:paraId="557BF47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4. Продължителност на заболяването от появата на симптомите повече от една година и по-малко от 5 години. </w:t>
      </w:r>
    </w:p>
    <w:p w14:paraId="0F5F926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Липса на пристъпи от началото на заболяването, при прогресивно влошаване на симптомите.</w:t>
      </w:r>
    </w:p>
    <w:p w14:paraId="6080DB0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 Данни от МРТ доказващи наличие на възпалителната активност - Gd-усилващи се T1 лезии и/или активни (нови или нарастващи) T2 лезии.</w:t>
      </w:r>
    </w:p>
    <w:p w14:paraId="4A5F724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p>
    <w:p w14:paraId="4AB1279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iCs/>
          <w:sz w:val="24"/>
          <w:szCs w:val="24"/>
        </w:rPr>
      </w:pPr>
      <w:r w:rsidRPr="00AE47C6">
        <w:rPr>
          <w:rFonts w:ascii="Times New Roman" w:eastAsia="SimSun" w:hAnsi="Times New Roman"/>
          <w:b/>
          <w:i/>
          <w:iCs/>
          <w:sz w:val="24"/>
          <w:szCs w:val="24"/>
        </w:rPr>
        <w:t>ІІ. Изключващи</w:t>
      </w:r>
    </w:p>
    <w:p w14:paraId="09481B4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Тежки придружаващи заболявания – силно имунокомпрометирани пациенти (напр. с лимфопения, неутропения, хипогамаглобулинемия), известни активни злокачествени заболявания.</w:t>
      </w:r>
    </w:p>
    <w:p w14:paraId="2E4C3E3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Приложение на други имуносупресори едновременно с ocrelizumab.</w:t>
      </w:r>
    </w:p>
    <w:p w14:paraId="3DFB139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Бременност и кърмене</w:t>
      </w:r>
    </w:p>
    <w:p w14:paraId="642AE19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p>
    <w:p w14:paraId="5C1C587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III. Лечение не се прилага или ако е започнато се спира при:</w:t>
      </w:r>
    </w:p>
    <w:p w14:paraId="467B5A9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p>
    <w:p w14:paraId="054F795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Забременяване на пациентка. </w:t>
      </w:r>
    </w:p>
    <w:p w14:paraId="54EF160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Сериозни странични реакции от лечението - животозастрашаващи реакции свързани с инфузията или сериозни реакции на свръхчувствителност, появили се по време на предшестващата инфузия.</w:t>
      </w:r>
    </w:p>
    <w:p w14:paraId="732D34C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Активна инфекция с изключение на гъбична инфекция на ноктите. Последващата инфузия се отлага до пълно излекуване на инфекцията.</w:t>
      </w:r>
    </w:p>
    <w:p w14:paraId="284EAA8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CD4 лимфоцити &lt; 250/μL</w:t>
      </w:r>
    </w:p>
    <w:p w14:paraId="6CF00C9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 Активна хепатит В инфекция или реактивация на хепатит В</w:t>
      </w:r>
    </w:p>
    <w:p w14:paraId="501F4AF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 Прогресивна мултифокална левкоенцефалопатия</w:t>
      </w:r>
    </w:p>
    <w:p w14:paraId="5B8B4DA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 Активна туберкулоза – нова или реактивирана</w:t>
      </w:r>
    </w:p>
    <w:p w14:paraId="0A2FDA4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8. Системно неспазване на схемата на приложение</w:t>
      </w:r>
    </w:p>
    <w:p w14:paraId="68D606B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9. При липса на клинична ефективност от лечението с прогресивно влошаване на състоянието на болния с повече от 1 точка по скалата на Kurtzke за 1 година. </w:t>
      </w:r>
    </w:p>
    <w:p w14:paraId="75CBD53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10. Достигане на инвалидност 5 по скалата на Kurtzke </w:t>
      </w:r>
    </w:p>
    <w:p w14:paraId="27C0B20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11. Достигане до възраст 59 години и липса на активност на заболяването през последните 2 години.</w:t>
      </w:r>
    </w:p>
    <w:p w14:paraId="267A4575" w14:textId="77777777" w:rsidR="00BE0B19" w:rsidRPr="00AE47C6" w:rsidRDefault="00BE0B19" w:rsidP="00BE0B19">
      <w:pPr>
        <w:spacing w:after="0" w:line="360" w:lineRule="auto"/>
        <w:ind w:firstLine="720"/>
        <w:jc w:val="both"/>
        <w:rPr>
          <w:rFonts w:ascii="Times New Roman" w:eastAsia="SimSun" w:hAnsi="Times New Roman"/>
          <w:b/>
          <w:sz w:val="24"/>
          <w:szCs w:val="24"/>
        </w:rPr>
      </w:pPr>
    </w:p>
    <w:p w14:paraId="3BC7529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center"/>
        <w:rPr>
          <w:rFonts w:ascii="Times New Roman" w:eastAsia="SimSun" w:hAnsi="Times New Roman"/>
          <w:b/>
          <w:sz w:val="24"/>
          <w:szCs w:val="24"/>
        </w:rPr>
      </w:pPr>
      <w:r w:rsidRPr="00AE47C6">
        <w:rPr>
          <w:rFonts w:ascii="Times New Roman" w:eastAsia="SimSun" w:hAnsi="Times New Roman"/>
          <w:b/>
          <w:sz w:val="24"/>
          <w:szCs w:val="24"/>
        </w:rPr>
        <w:t>Необходими изследвания и контролни прегледи при лечение с ocrelizumab</w:t>
      </w:r>
    </w:p>
    <w:p w14:paraId="68B8A12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i/>
          <w:sz w:val="24"/>
          <w:szCs w:val="24"/>
        </w:rPr>
      </w:pPr>
      <w:r w:rsidRPr="00AE47C6">
        <w:rPr>
          <w:rFonts w:ascii="Times New Roman" w:eastAsia="SimSun" w:hAnsi="Times New Roman"/>
          <w:b/>
          <w:i/>
          <w:sz w:val="24"/>
          <w:szCs w:val="24"/>
        </w:rPr>
        <w:t>I. Преди започване на лечение:</w:t>
      </w:r>
    </w:p>
    <w:p w14:paraId="0E0B52C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 ПКК с диференциално броене, броят на лимфоцитите трябва да е нормален, а броят на CD4 ≥250/μL.</w:t>
      </w:r>
    </w:p>
    <w:p w14:paraId="637253B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Серумни трансаминази, билирубин, урея, креатинин.</w:t>
      </w:r>
    </w:p>
    <w:p w14:paraId="34023D4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 Скрининг за латентни инфекции, особено хепатит В, С, HIV и туберкулоза (T-spot тест). При пациенти с активна инфекция приложението на ocrelizumab трябва да се отложи до овладяване на инфекцията.</w:t>
      </w:r>
    </w:p>
    <w:p w14:paraId="54F6275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Пациенти, които се нуждаят от ваксиниране с жива или атенюирана ваксина, трябва да приключат с имунизирането си най-малко 6 седмици преди започване на лечението с ocrelizumab.</w:t>
      </w:r>
    </w:p>
    <w:p w14:paraId="0250C85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b/>
          <w:i/>
          <w:sz w:val="24"/>
          <w:szCs w:val="24"/>
        </w:rPr>
        <w:t>II. Преди всяка последваща инфузия, на всеки 6 месеца:</w:t>
      </w:r>
    </w:p>
    <w:p w14:paraId="70229C3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ПКК с диференциално броене, броят на CD4 лимфоцитите трябва да е ≥250/μL. </w:t>
      </w:r>
    </w:p>
    <w:p w14:paraId="7AD0491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Серумни трансаминази, билирубин, урея, креатинин.</w:t>
      </w:r>
    </w:p>
    <w:p w14:paraId="2391F1F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3. Скрининг за латентни инфекции, особено хепатит В, С, HIV и туберкулоза (T-spot тест). При пациенти с активна инфекция приложението на ocrelizumab трябва да се отложи до овладяване на инфекцията. </w:t>
      </w:r>
    </w:p>
    <w:p w14:paraId="30FC8A7D" w14:textId="77777777" w:rsidR="00BE0B19" w:rsidRPr="00AE47C6" w:rsidRDefault="00BE0B19" w:rsidP="00BE0B19">
      <w:pPr>
        <w:spacing w:after="0" w:line="360" w:lineRule="auto"/>
        <w:ind w:firstLine="720"/>
        <w:jc w:val="both"/>
        <w:rPr>
          <w:rFonts w:ascii="Times New Roman" w:eastAsia="SimSun" w:hAnsi="Times New Roman"/>
          <w:b/>
          <w:sz w:val="24"/>
          <w:szCs w:val="24"/>
        </w:rPr>
      </w:pPr>
    </w:p>
    <w:p w14:paraId="6359BD9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Трансплантацията на стволови клетки</w:t>
      </w:r>
      <w:r w:rsidRPr="00AE47C6">
        <w:rPr>
          <w:rFonts w:ascii="Times New Roman" w:eastAsia="SimSun" w:hAnsi="Times New Roman"/>
          <w:sz w:val="24"/>
          <w:szCs w:val="24"/>
        </w:rPr>
        <w:t xml:space="preserve"> се прилага за постигане на бърза, глобална и продължителна имуносупресия. След дълбока имуносупресия се трансплантират стволови клетки от периферната кръв. Може да има ефект при пациенти с малигнена форма на заболяването, но трябва да се има предвид нейната токсичност, със смъртност 5 – 10%. До този момент има малко публикувани проучвания с проследяване на пациентите до 2 години, като се наблюдава повлияване с прекратяване на пристъпите при 80% от пациентите с ремитентна форма, но само около 40% при тези с първично-прогресираща форма. Не се налага поддържащо имуносупресивно лечение. Необходими са по-продължителни проучвания, за да се приложи трансплантацията на стволови клетки в клиничната практика. Българската асоциация за двигателни нарушения и множествена склероза и Българското дружество по неврология не препоръчват това лечение, докато неговата ефективност и безопасност не се потвърдят чрез контролирани проучвания.</w:t>
      </w:r>
    </w:p>
    <w:p w14:paraId="04CC38EF" w14:textId="77777777" w:rsidR="00BE0B19" w:rsidRPr="00AE47C6" w:rsidRDefault="00BE0B19" w:rsidP="00BE0B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ind w:firstLine="561"/>
        <w:jc w:val="both"/>
        <w:rPr>
          <w:rFonts w:ascii="Times New Roman" w:eastAsia="SimSun" w:hAnsi="Times New Roman"/>
          <w:sz w:val="24"/>
          <w:szCs w:val="24"/>
        </w:rPr>
      </w:pPr>
      <w:r w:rsidRPr="00AE47C6">
        <w:rPr>
          <w:rFonts w:ascii="Times New Roman" w:eastAsia="SimSun" w:hAnsi="Times New Roman"/>
          <w:b/>
          <w:sz w:val="24"/>
          <w:szCs w:val="24"/>
        </w:rPr>
        <w:t>Перкутанната транслуминална ендоваскуларна ангиопластика или стентиране на екстракраниалните венозни стенози</w:t>
      </w:r>
      <w:r w:rsidRPr="00AE47C6">
        <w:rPr>
          <w:rFonts w:ascii="Times New Roman" w:eastAsia="SimSun" w:hAnsi="Times New Roman"/>
          <w:sz w:val="24"/>
          <w:szCs w:val="24"/>
        </w:rPr>
        <w:t xml:space="preserve"> за лечение на хроничната церебро-спинална венозна недостатъчност не бива да се прилага при болни с множествена склероза. Хроничната церебро-спинална венозна недостатъчност не играе роля в патогенезата на множествената склероза. </w:t>
      </w:r>
    </w:p>
    <w:p w14:paraId="29B0D6D5" w14:textId="77777777" w:rsidR="00BE0B19" w:rsidRPr="00AE47C6" w:rsidRDefault="00BE0B19" w:rsidP="00BE0B19">
      <w:pPr>
        <w:spacing w:after="0" w:line="360" w:lineRule="auto"/>
        <w:jc w:val="both"/>
        <w:rPr>
          <w:rFonts w:ascii="Times New Roman" w:eastAsia="SimSun" w:hAnsi="Times New Roman"/>
          <w:sz w:val="24"/>
          <w:szCs w:val="24"/>
          <w:lang w:eastAsia="ja-JP"/>
        </w:rPr>
      </w:pPr>
    </w:p>
    <w:p w14:paraId="002E711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sz w:val="24"/>
          <w:szCs w:val="24"/>
          <w:lang w:eastAsia="ja-JP"/>
        </w:rPr>
      </w:pPr>
      <w:r w:rsidRPr="00AE47C6">
        <w:rPr>
          <w:rFonts w:ascii="Times New Roman" w:eastAsia="SimSun" w:hAnsi="Times New Roman"/>
          <w:b/>
          <w:sz w:val="24"/>
          <w:szCs w:val="24"/>
          <w:lang w:eastAsia="ja-JP"/>
        </w:rPr>
        <w:t>Пациентите могат да се хоспитализират в неврологично отделение и извън УДЛЦ от невролог:</w:t>
      </w:r>
    </w:p>
    <w:p w14:paraId="10B52C51" w14:textId="77777777" w:rsidR="00BE0B19" w:rsidRPr="00AE47C6" w:rsidRDefault="00BE0B19" w:rsidP="00BE0B19">
      <w:pPr>
        <w:numPr>
          <w:ilvl w:val="0"/>
          <w:numId w:val="124"/>
        </w:num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lang w:eastAsia="ja-JP"/>
        </w:rPr>
      </w:pPr>
      <w:r w:rsidRPr="00AE47C6">
        <w:rPr>
          <w:rFonts w:ascii="Times New Roman" w:eastAsia="SimSun" w:hAnsi="Times New Roman"/>
          <w:sz w:val="24"/>
          <w:szCs w:val="24"/>
          <w:lang w:eastAsia="ja-JP"/>
        </w:rPr>
        <w:t>При лечение на пристъп</w:t>
      </w:r>
    </w:p>
    <w:p w14:paraId="1171D24F" w14:textId="77777777" w:rsidR="00BE0B19" w:rsidRPr="00AE47C6" w:rsidRDefault="00BE0B19" w:rsidP="00BE0B19">
      <w:pPr>
        <w:numPr>
          <w:ilvl w:val="0"/>
          <w:numId w:val="124"/>
        </w:num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lang w:eastAsia="ja-JP"/>
        </w:rPr>
      </w:pPr>
      <w:r w:rsidRPr="00AE47C6">
        <w:rPr>
          <w:rFonts w:ascii="Times New Roman" w:eastAsia="SimSun" w:hAnsi="Times New Roman"/>
          <w:sz w:val="24"/>
          <w:szCs w:val="24"/>
          <w:lang w:eastAsia="ja-JP"/>
        </w:rPr>
        <w:t>При започване на медикаментозно лечение извън пристъп</w:t>
      </w:r>
    </w:p>
    <w:p w14:paraId="569DC8FE" w14:textId="77777777" w:rsidR="00BE0B19" w:rsidRPr="00AE47C6" w:rsidRDefault="00BE0B19" w:rsidP="00BE0B19">
      <w:pPr>
        <w:numPr>
          <w:ilvl w:val="0"/>
          <w:numId w:val="124"/>
        </w:num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lang w:eastAsia="ja-JP"/>
        </w:rPr>
      </w:pPr>
      <w:r w:rsidRPr="00AE47C6">
        <w:rPr>
          <w:rFonts w:ascii="Times New Roman" w:eastAsia="SimSun" w:hAnsi="Times New Roman"/>
          <w:sz w:val="24"/>
          <w:szCs w:val="24"/>
          <w:lang w:eastAsia="ja-JP"/>
        </w:rPr>
        <w:t>При наличие на други, застрашаващи симптоми</w:t>
      </w:r>
    </w:p>
    <w:p w14:paraId="7E348F51"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416B210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sz w:val="24"/>
          <w:szCs w:val="24"/>
          <w:lang w:eastAsia="ja-JP"/>
        </w:rPr>
      </w:pPr>
      <w:r w:rsidRPr="00AE47C6">
        <w:rPr>
          <w:rFonts w:ascii="Times New Roman" w:eastAsia="SimSun" w:hAnsi="Times New Roman"/>
          <w:b/>
          <w:sz w:val="24"/>
          <w:szCs w:val="24"/>
          <w:lang w:eastAsia="ja-JP"/>
        </w:rPr>
        <w:t>Неврологът в УДЛЦ трябва да преглежда болния веднъж на 6 месеца и при всяко влошаване, и да наблюдава за:</w:t>
      </w:r>
    </w:p>
    <w:p w14:paraId="45DF7E55" w14:textId="77777777" w:rsidR="00BE0B19" w:rsidRPr="00AE47C6" w:rsidRDefault="00BE0B19" w:rsidP="00BE0B19">
      <w:pPr>
        <w:numPr>
          <w:ilvl w:val="0"/>
          <w:numId w:val="124"/>
        </w:num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lang w:eastAsia="ja-JP"/>
        </w:rPr>
      </w:pPr>
      <w:r w:rsidRPr="00AE47C6">
        <w:rPr>
          <w:rFonts w:ascii="Times New Roman" w:eastAsia="SimSun" w:hAnsi="Times New Roman"/>
          <w:sz w:val="24"/>
          <w:szCs w:val="24"/>
          <w:lang w:eastAsia="ja-JP"/>
        </w:rPr>
        <w:t>настъпване на нов пристъп</w:t>
      </w:r>
    </w:p>
    <w:p w14:paraId="29FE6CD4" w14:textId="77777777" w:rsidR="00BE0B19" w:rsidRPr="00AE47C6" w:rsidRDefault="00BE0B19" w:rsidP="00BE0B19">
      <w:pPr>
        <w:numPr>
          <w:ilvl w:val="0"/>
          <w:numId w:val="124"/>
        </w:num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lang w:eastAsia="ja-JP"/>
        </w:rPr>
      </w:pPr>
      <w:r w:rsidRPr="00AE47C6">
        <w:rPr>
          <w:rFonts w:ascii="Times New Roman" w:eastAsia="SimSun" w:hAnsi="Times New Roman"/>
          <w:sz w:val="24"/>
          <w:szCs w:val="24"/>
          <w:lang w:eastAsia="ja-JP"/>
        </w:rPr>
        <w:t>прогресивно влошаване на симптоматиката с повече от 1 точка по скалата на Kurtzke годишно</w:t>
      </w:r>
    </w:p>
    <w:p w14:paraId="20A1D4B6" w14:textId="77777777" w:rsidR="00BE0B19" w:rsidRPr="00AE47C6" w:rsidRDefault="00BE0B19" w:rsidP="00BE0B19">
      <w:pPr>
        <w:numPr>
          <w:ilvl w:val="0"/>
          <w:numId w:val="124"/>
        </w:num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lang w:eastAsia="ja-JP"/>
        </w:rPr>
      </w:pPr>
      <w:r w:rsidRPr="00AE47C6">
        <w:rPr>
          <w:rFonts w:ascii="Times New Roman" w:eastAsia="SimSun" w:hAnsi="Times New Roman"/>
          <w:sz w:val="24"/>
          <w:szCs w:val="24"/>
          <w:lang w:eastAsia="ja-JP"/>
        </w:rPr>
        <w:t>зачестяване на пристъпите повече от 2 годишно</w:t>
      </w:r>
    </w:p>
    <w:p w14:paraId="7B6A1FD5" w14:textId="77777777" w:rsidR="00BE0B19" w:rsidRPr="00AE47C6" w:rsidRDefault="00BE0B19" w:rsidP="00BE0B19">
      <w:pPr>
        <w:numPr>
          <w:ilvl w:val="0"/>
          <w:numId w:val="124"/>
        </w:num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lang w:eastAsia="ja-JP"/>
        </w:rPr>
      </w:pPr>
      <w:r w:rsidRPr="00AE47C6">
        <w:rPr>
          <w:rFonts w:ascii="Times New Roman" w:eastAsia="SimSun" w:hAnsi="Times New Roman"/>
          <w:sz w:val="24"/>
          <w:szCs w:val="24"/>
          <w:lang w:eastAsia="ja-JP"/>
        </w:rPr>
        <w:t>странични ефекти от прилаганото лечение извън пристъп</w:t>
      </w:r>
    </w:p>
    <w:p w14:paraId="315426CA" w14:textId="77777777" w:rsidR="00BE0B19" w:rsidRPr="00AE47C6" w:rsidRDefault="00BE0B19" w:rsidP="00BE0B19">
      <w:pPr>
        <w:numPr>
          <w:ilvl w:val="0"/>
          <w:numId w:val="124"/>
        </w:num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lang w:eastAsia="ja-JP"/>
        </w:rPr>
      </w:pPr>
      <w:r w:rsidRPr="00AE47C6">
        <w:rPr>
          <w:rFonts w:ascii="Times New Roman" w:eastAsia="SimSun" w:hAnsi="Times New Roman"/>
          <w:sz w:val="24"/>
          <w:szCs w:val="24"/>
          <w:lang w:eastAsia="ja-JP"/>
        </w:rPr>
        <w:t>ефективност от прилаганото лечение извън пристъп</w:t>
      </w:r>
    </w:p>
    <w:p w14:paraId="0460E954" w14:textId="77777777" w:rsidR="00BE0B19" w:rsidRPr="00AE47C6" w:rsidRDefault="00BE0B19" w:rsidP="00BE0B19">
      <w:pPr>
        <w:numPr>
          <w:ilvl w:val="0"/>
          <w:numId w:val="124"/>
        </w:num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lang w:eastAsia="ja-JP"/>
        </w:rPr>
      </w:pPr>
      <w:r w:rsidRPr="00AE47C6">
        <w:rPr>
          <w:rFonts w:ascii="Times New Roman" w:eastAsia="SimSun" w:hAnsi="Times New Roman"/>
          <w:sz w:val="24"/>
          <w:szCs w:val="24"/>
          <w:lang w:eastAsia="ja-JP"/>
        </w:rPr>
        <w:t>поява на депресия, умора, когнитивни, сексуални и тазово-резервоарни нарушения</w:t>
      </w:r>
    </w:p>
    <w:p w14:paraId="14E3FC1B" w14:textId="77777777" w:rsidR="00BE0B19" w:rsidRPr="00AE47C6" w:rsidRDefault="00BE0B19" w:rsidP="00BE0B19">
      <w:pPr>
        <w:numPr>
          <w:ilvl w:val="0"/>
          <w:numId w:val="124"/>
        </w:num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lang w:eastAsia="ja-JP"/>
        </w:rPr>
      </w:pPr>
      <w:r w:rsidRPr="00AE47C6">
        <w:rPr>
          <w:rFonts w:ascii="Times New Roman" w:eastAsia="SimSun" w:hAnsi="Times New Roman"/>
          <w:sz w:val="24"/>
          <w:szCs w:val="24"/>
          <w:lang w:eastAsia="ja-JP"/>
        </w:rPr>
        <w:t>необходимост от симптоматично лечение</w:t>
      </w:r>
    </w:p>
    <w:p w14:paraId="094B6151" w14:textId="77777777" w:rsidR="00BE0B19" w:rsidRPr="00AE47C6" w:rsidRDefault="00BE0B19" w:rsidP="00BE0B19">
      <w:pPr>
        <w:spacing w:after="0" w:line="360" w:lineRule="auto"/>
        <w:jc w:val="both"/>
        <w:rPr>
          <w:rFonts w:ascii="Times New Roman" w:eastAsia="SimSun" w:hAnsi="Times New Roman"/>
          <w:sz w:val="24"/>
          <w:szCs w:val="24"/>
          <w:lang w:eastAsia="ja-JP"/>
        </w:rPr>
      </w:pPr>
    </w:p>
    <w:p w14:paraId="2BE11B2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lang w:eastAsia="ja-JP"/>
        </w:rPr>
      </w:pPr>
      <w:r w:rsidRPr="00AE47C6">
        <w:rPr>
          <w:rFonts w:ascii="Times New Roman" w:eastAsia="SimSun" w:hAnsi="Times New Roman"/>
          <w:b/>
          <w:sz w:val="24"/>
          <w:szCs w:val="24"/>
          <w:lang w:eastAsia="ja-JP"/>
        </w:rPr>
        <w:t>Общопрактикуващия лекар трябва да:</w:t>
      </w:r>
    </w:p>
    <w:p w14:paraId="75DC2A0B" w14:textId="77777777" w:rsidR="00BE0B19" w:rsidRPr="00AE47C6" w:rsidRDefault="00BE0B19" w:rsidP="00BE0B19">
      <w:pPr>
        <w:numPr>
          <w:ilvl w:val="0"/>
          <w:numId w:val="125"/>
        </w:num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lang w:eastAsia="ja-JP"/>
        </w:rPr>
      </w:pPr>
      <w:r w:rsidRPr="00AE47C6">
        <w:rPr>
          <w:rFonts w:ascii="Times New Roman" w:eastAsia="SimSun" w:hAnsi="Times New Roman"/>
          <w:sz w:val="24"/>
          <w:szCs w:val="24"/>
          <w:lang w:eastAsia="ja-JP"/>
        </w:rPr>
        <w:t>наблюдава болния за соматични усложнения, настъпили вследствие на заболяването или провежданото лечение.</w:t>
      </w:r>
    </w:p>
    <w:p w14:paraId="1A45D7A4" w14:textId="77777777" w:rsidR="00BE0B19" w:rsidRPr="00AE47C6" w:rsidRDefault="00BE0B19" w:rsidP="00BE0B19">
      <w:pPr>
        <w:numPr>
          <w:ilvl w:val="0"/>
          <w:numId w:val="125"/>
        </w:num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lang w:eastAsia="ja-JP"/>
        </w:rPr>
      </w:pPr>
      <w:r w:rsidRPr="00AE47C6">
        <w:rPr>
          <w:rFonts w:ascii="Times New Roman" w:eastAsia="SimSun" w:hAnsi="Times New Roman"/>
          <w:sz w:val="24"/>
          <w:szCs w:val="24"/>
          <w:lang w:eastAsia="ja-JP"/>
        </w:rPr>
        <w:t>провежда лечението на соматичните усложнения.</w:t>
      </w:r>
    </w:p>
    <w:p w14:paraId="046E7AEF" w14:textId="77777777" w:rsidR="00BE0B19" w:rsidRPr="00AE47C6" w:rsidRDefault="00BE0B19" w:rsidP="00BE0B19">
      <w:pPr>
        <w:spacing w:after="0" w:line="360" w:lineRule="auto"/>
        <w:ind w:left="360"/>
        <w:contextualSpacing/>
        <w:jc w:val="both"/>
        <w:rPr>
          <w:rFonts w:ascii="Times New Roman" w:eastAsia="SimSun" w:hAnsi="Times New Roman"/>
          <w:b/>
          <w:sz w:val="24"/>
          <w:szCs w:val="24"/>
        </w:rPr>
      </w:pPr>
      <w:r w:rsidRPr="00AE47C6">
        <w:rPr>
          <w:rFonts w:ascii="Times New Roman" w:eastAsia="SimSun" w:hAnsi="Times New Roman"/>
          <w:sz w:val="24"/>
          <w:szCs w:val="24"/>
        </w:rPr>
        <w:t>Прилагането на модифициращо хода на заболяването лечение има някои особености при пандемията от Covid 19 (приложение 8).</w:t>
      </w:r>
    </w:p>
    <w:p w14:paraId="1D6ED9D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 контрол на лечението,</w:t>
      </w:r>
      <w:r w:rsidRPr="00AE47C6">
        <w:rPr>
          <w:rFonts w:ascii="Times New Roman" w:eastAsia="SimSun" w:hAnsi="Times New Roman"/>
          <w:sz w:val="24"/>
          <w:szCs w:val="24"/>
        </w:rPr>
        <w:t xml:space="preserve"> с оглед неговото оптимизиране, е необходимо пациентите да се проследяват клинично поне веднъж на 6 месеца. Трябва да се следи за честотата на пристъпите, тяхната тежест, времетраенето и процента на възстановяване след пристъпа. По този начин може да се прецени дали пациентът се повлиява оптимално от приложеното имуномодулиращо лечение. Честотата на пристъпите трябва да се намали с 30 до 45% в сравнение с честотата преди започване на лечението, за да се приеме, че е налице терапевтична ефективност. Оценка за ефективността от терапията може да се прави 6 месеца след нейното начало. Пристъпите имат различна значимост за пациента, в зависимост от клиничната симптоматика, която предизвикват. Засягането на двигателната и малкомозъчната системи, както и появата на тазово-резервоарни нарушения и особено комбинираното засягане на няколко системи по време на пристъп, имат по-лоша прогноза. Значими са и пристъпите, които изискват кортикостероидно лечение. По-лоша е прогнозата и при неповлияване на пристъпа от кортикостероиди в началото на заболяването. В по-напредналите стадии на заболяването рефрактерността на пристъпите към кортикостероидно лечение е често срещана. Когато възстановяването от пристъпа е непълно или продължава няколко месеца, също може да се приеме, че имуномодулиращото лечение е недостатъчно ефективно. Прогресирането на инвалидността, оценено чрез EDSS (приложение 7), също говори за липса на ефект от имуномодулиращото лечение. Оценката на ефективността от лечението се определя и от МРТ изследването. Оценяват се появата на нови или нарастването на старите Т</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 xml:space="preserve"> и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лезии,  появата на засилващи се от gadolinium лезии, мозъчната атрофия и общото натоварване от заболяването. Оценката на когнитивните функции, умората, депресията, социалните активности и качеството на живот също имат значение за оценката на ефективността от лечението. Поради данните за повлияване на когнитивните нарушения от имуномодулиращото лечение, влошаването на когнитивните функции е индикатор за субоптимален ефект от лечението. </w:t>
      </w:r>
    </w:p>
    <w:p w14:paraId="40A73391" w14:textId="77777777" w:rsidR="00BE0B19" w:rsidRPr="00AE47C6" w:rsidRDefault="00BE0B19" w:rsidP="00BE0B19">
      <w:pPr>
        <w:numPr>
          <w:ilvl w:val="0"/>
          <w:numId w:val="60"/>
        </w:numPr>
        <w:pBdr>
          <w:top w:val="single" w:sz="4" w:space="1" w:color="auto"/>
          <w:left w:val="single" w:sz="4" w:space="23"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Лечението на пациента трябва да се преразгледа ако са налице данни за влошаване на пристъпите, прогресията и МРТ находката (приложение 6):</w:t>
      </w:r>
      <w:r w:rsidRPr="00AE47C6">
        <w:rPr>
          <w:rFonts w:ascii="Times New Roman" w:eastAsia="SimSun" w:hAnsi="Times New Roman"/>
          <w:sz w:val="24"/>
          <w:szCs w:val="24"/>
        </w:rPr>
        <w:t xml:space="preserve"> </w:t>
      </w:r>
    </w:p>
    <w:p w14:paraId="69721931" w14:textId="77777777" w:rsidR="00BE0B19" w:rsidRPr="00AE47C6" w:rsidRDefault="00BE0B19" w:rsidP="00BE0B19">
      <w:pPr>
        <w:numPr>
          <w:ilvl w:val="0"/>
          <w:numId w:val="60"/>
        </w:numPr>
        <w:pBdr>
          <w:top w:val="single" w:sz="4" w:space="1" w:color="auto"/>
          <w:left w:val="single" w:sz="4" w:space="23"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данни с ниско ниво на значимост и по трите показателя </w:t>
      </w:r>
    </w:p>
    <w:p w14:paraId="593D4CA2" w14:textId="77777777" w:rsidR="00BE0B19" w:rsidRPr="00AE47C6" w:rsidRDefault="00BE0B19" w:rsidP="00BE0B19">
      <w:pPr>
        <w:numPr>
          <w:ilvl w:val="0"/>
          <w:numId w:val="60"/>
        </w:numPr>
        <w:pBdr>
          <w:top w:val="single" w:sz="4" w:space="1" w:color="auto"/>
          <w:left w:val="single" w:sz="4" w:space="23"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данни с умерено ниво на значимост по 2 от тях</w:t>
      </w:r>
    </w:p>
    <w:p w14:paraId="1FB1C8E8" w14:textId="77777777" w:rsidR="00BE0B19" w:rsidRPr="00AE47C6" w:rsidRDefault="00BE0B19" w:rsidP="00BE0B19">
      <w:pPr>
        <w:numPr>
          <w:ilvl w:val="0"/>
          <w:numId w:val="60"/>
        </w:numPr>
        <w:pBdr>
          <w:top w:val="single" w:sz="4" w:space="1" w:color="auto"/>
          <w:left w:val="single" w:sz="4" w:space="23"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данни с високо ниво на значимост по един от тях </w:t>
      </w:r>
    </w:p>
    <w:p w14:paraId="02752EE6" w14:textId="77777777" w:rsidR="00BE0B19" w:rsidRPr="00AE47C6" w:rsidRDefault="00BE0B19" w:rsidP="00BE0B19">
      <w:pPr>
        <w:numPr>
          <w:ilvl w:val="0"/>
          <w:numId w:val="60"/>
        </w:numPr>
        <w:pBdr>
          <w:top w:val="single" w:sz="4" w:space="1" w:color="auto"/>
          <w:left w:val="single" w:sz="4" w:space="23"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Лечението на пациента с пристъпно-ремитентна и вторично-прогредиентна форма продължава до достигане на инвалидност 5, (респективно 6,0 за siponimod) по скалата на Kurtzke. </w:t>
      </w:r>
    </w:p>
    <w:p w14:paraId="6494CD06" w14:textId="77777777" w:rsidR="00BE0B19" w:rsidRPr="00AE47C6" w:rsidRDefault="00BE0B19" w:rsidP="00BE0B19">
      <w:pPr>
        <w:numPr>
          <w:ilvl w:val="0"/>
          <w:numId w:val="60"/>
        </w:numPr>
        <w:pBdr>
          <w:top w:val="single" w:sz="4" w:space="1" w:color="auto"/>
          <w:left w:val="single" w:sz="4" w:space="23"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След тази степен на инвалидизация намаляването на пристъпите не повлиява прогресирането на инвалидизацията.</w:t>
      </w:r>
    </w:p>
    <w:p w14:paraId="3B8A441C" w14:textId="77777777" w:rsidR="00BE0B19" w:rsidRPr="00AE47C6" w:rsidRDefault="00BE0B19" w:rsidP="00BE0B19">
      <w:pPr>
        <w:spacing w:after="0" w:line="360" w:lineRule="auto"/>
        <w:jc w:val="both"/>
        <w:rPr>
          <w:rFonts w:ascii="Times New Roman" w:eastAsia="SimSun" w:hAnsi="Times New Roman"/>
          <w:sz w:val="24"/>
          <w:szCs w:val="24"/>
        </w:rPr>
      </w:pPr>
    </w:p>
    <w:p w14:paraId="4263CA5A" w14:textId="77777777" w:rsidR="00BE0B19" w:rsidRPr="00AE47C6" w:rsidRDefault="00BE0B19" w:rsidP="00BE0B19">
      <w:pPr>
        <w:spacing w:after="0" w:line="360" w:lineRule="auto"/>
        <w:ind w:firstLine="360"/>
        <w:jc w:val="both"/>
        <w:rPr>
          <w:rFonts w:ascii="Times New Roman" w:eastAsia="SimSun" w:hAnsi="Times New Roman"/>
          <w:sz w:val="24"/>
          <w:szCs w:val="24"/>
        </w:rPr>
      </w:pPr>
      <w:r w:rsidRPr="00AE47C6">
        <w:rPr>
          <w:rFonts w:ascii="Times New Roman" w:eastAsia="SimSun" w:hAnsi="Times New Roman"/>
          <w:sz w:val="24"/>
          <w:szCs w:val="24"/>
        </w:rPr>
        <w:t>При част от пациентите конвенционално използваната терапия не е ефективна. Използваните в момента медикаменти са насочени към повлияване на възпалението и имат умерен ефект по отношение на повлияването на честотата на пристъпите. Средно при около една трета от пациентите честотата на пристъпите не се повлиява. По-добро клинично повлияване се наблюдава при пациенти с повече пристъпи, което е свързано с по-изразен възпалителен, отколкото дегенеративен компонент на заболяването. Все още няма медикаменти, които да повлияват невродегенеративния процес. При липса на ефект от терапията на пациента трябва да се предложи участие в клинични проучвания на нови медикаменти.</w:t>
      </w:r>
    </w:p>
    <w:p w14:paraId="0956B2EB" w14:textId="77777777" w:rsidR="00BE0B19" w:rsidRPr="00AE47C6" w:rsidRDefault="00BE0B19" w:rsidP="00BE0B19">
      <w:pPr>
        <w:spacing w:after="0" w:line="360" w:lineRule="auto"/>
        <w:ind w:firstLine="360"/>
        <w:jc w:val="both"/>
        <w:rPr>
          <w:rFonts w:ascii="Times New Roman" w:eastAsia="SimSun" w:hAnsi="Times New Roman"/>
          <w:sz w:val="24"/>
          <w:szCs w:val="24"/>
        </w:rPr>
      </w:pPr>
      <w:r w:rsidRPr="00AE47C6">
        <w:rPr>
          <w:rFonts w:ascii="Times New Roman" w:eastAsia="SimSun" w:hAnsi="Times New Roman"/>
          <w:sz w:val="24"/>
          <w:szCs w:val="24"/>
        </w:rPr>
        <w:t>За да се избегнат разочарованията от лечението, на пациентите трябва да се обясни, че лечението има за цел да намали честотата на следващи пристъпи, но не може да повлияе настоящите симптоми на заболяването. Това, което може да се очаква е намаляване на честотата на пристъпите с 30% и евентуално забавяне на инвалидизацията.</w:t>
      </w:r>
    </w:p>
    <w:p w14:paraId="5E1A9B2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Симптоматичното лечение</w:t>
      </w:r>
      <w:r w:rsidRPr="00AE47C6">
        <w:rPr>
          <w:rFonts w:ascii="Times New Roman" w:eastAsia="SimSun" w:hAnsi="Times New Roman"/>
          <w:sz w:val="24"/>
          <w:szCs w:val="24"/>
        </w:rPr>
        <w:t xml:space="preserve"> се налага, защото с развитието на заболяването се добавят нови симптоми, а старите се влошават и това влошава качеството на живот на пациентите. За да се прецени дали един симптом на пациента трябва да се лекува е необходимо симптомите да се категоризират по степен на тежест като леки, умерени и тежки. Леки са тези симптоми, които не пречат на ежедневните активности на пациента и не е необходимо да бъдат лекувани. Умерените симптоми смущават ежедневните дейности на пациента, смущават и социалната му активност и създават дискомфорт. Тези симптоми трябва да се лекуват медикаментозно. Тежките симптоми инвалидизират пациентите и сериозно ограничават техните ежедневни активности. Тези симптоми обикновено не се подават на медикаментозно лечение, а изискват по-специални мерки и грижи.</w:t>
      </w:r>
    </w:p>
    <w:p w14:paraId="3DBE8FA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Умората</w:t>
      </w:r>
      <w:r w:rsidRPr="00AE47C6">
        <w:rPr>
          <w:rFonts w:ascii="Times New Roman" w:eastAsia="SimSun" w:hAnsi="Times New Roman"/>
          <w:sz w:val="24"/>
          <w:szCs w:val="24"/>
        </w:rPr>
        <w:t xml:space="preserve"> се повлиява от редица немедикаментозни методи като аеробика, физиотерапия, поведенческа терапия и други. Прилагането на amantadine 200 mg дневно,  fluoxetine 10 до 40 mg дневно и modafinil 100-400 mg сутрин повлиява умората.</w:t>
      </w:r>
    </w:p>
    <w:p w14:paraId="52995F1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Когнитивните нарушения</w:t>
      </w:r>
      <w:r w:rsidRPr="00AE47C6">
        <w:rPr>
          <w:rFonts w:ascii="Times New Roman" w:eastAsia="SimSun" w:hAnsi="Times New Roman"/>
          <w:sz w:val="24"/>
          <w:szCs w:val="24"/>
        </w:rPr>
        <w:t xml:space="preserve"> се повлияват от donepezil 10 mg дневно, въпреки че ефективността на лечението е слаба. </w:t>
      </w:r>
    </w:p>
    <w:p w14:paraId="60E0FCD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Афективните нарушения –</w:t>
      </w:r>
      <w:r w:rsidRPr="00AE47C6">
        <w:rPr>
          <w:rFonts w:ascii="Times New Roman" w:eastAsia="SimSun" w:hAnsi="Times New Roman"/>
          <w:sz w:val="24"/>
          <w:szCs w:val="24"/>
        </w:rPr>
        <w:t xml:space="preserve"> депресията се повлиява от трициклични и SNRI (потискащи обратния захват на серотонин и норадреналин) антидепресанти или инхибитори на обратния захват на серотонина. Биполярните разстройства се лекуват с литиеви препарати и антиконвулсанти, а патологичният смях и плач – с трициклични антидепресанти (amitriptyline 25 mg дневно).</w:t>
      </w:r>
    </w:p>
    <w:p w14:paraId="3251CDD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Болковите синдроми</w:t>
      </w:r>
      <w:r w:rsidRPr="00AE47C6">
        <w:rPr>
          <w:rFonts w:ascii="Times New Roman" w:eastAsia="SimSun" w:hAnsi="Times New Roman"/>
          <w:sz w:val="24"/>
          <w:szCs w:val="24"/>
        </w:rPr>
        <w:t xml:space="preserve"> се повлияват от трициклични и SNRI антидепресанти (amitriptyline, venlafaxine, moclobemide, mirtazapine, duloxetine, milnacipran), антиконвулсанти (carbamazepine, gabapentin, phenytoin, topiramate, gabapentin и pregabalin) и миорелаксанти. </w:t>
      </w:r>
    </w:p>
    <w:p w14:paraId="0753120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Мускулната слабост</w:t>
      </w:r>
      <w:r w:rsidRPr="00AE47C6">
        <w:rPr>
          <w:rFonts w:ascii="Times New Roman" w:eastAsia="SimSun" w:hAnsi="Times New Roman"/>
          <w:sz w:val="24"/>
          <w:szCs w:val="24"/>
        </w:rPr>
        <w:t xml:space="preserve"> се повлиява най-добре от физиотерапия и физически упражнения. Пациентите трябва да се съветват да извършват по-голяма физическа активност. Необходими са мерки за ограничаване на мускулните контрактури и за запазване на обема на пасивните движения в ставите на засегнатите крайници.  </w:t>
      </w:r>
    </w:p>
    <w:p w14:paraId="18E7EE6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Нарушената походка</w:t>
      </w:r>
      <w:r w:rsidRPr="00AE47C6">
        <w:rPr>
          <w:rFonts w:ascii="Times New Roman" w:eastAsia="SimSun" w:hAnsi="Times New Roman"/>
          <w:sz w:val="24"/>
          <w:szCs w:val="24"/>
        </w:rPr>
        <w:t xml:space="preserve"> се повлиява от блокера на калиевите канали Fampridine. Чрез блокиране на калиевите канали Fampridine намалява йонния ток, като по този начин удължава реполяризацията и усилва формирането на акционен потенциал в демиелизираните аксони. Чрез усилването на формирането на акционни потенциали се провеждат повече импулси в централната нервна система. Лечението се предписва и наблюдава от лекар с опит в лечението на МС. Прилага се два пъти дневно по една таблетка от 10 mg. Таблетките трябва да се приемат без храна. Първоначално медикаментът се прилага за срок от 2 седмици, след което се оценява клиничната ефективност. Използва се тест, който отчита времето, необходимо за да се извърви разстояние от 25 фута (762 cm). Нарича се „Време за извървяване на 25 фута“ (Timed 25</w:t>
      </w:r>
      <w:r w:rsidRPr="00AE47C6">
        <w:rPr>
          <w:rFonts w:ascii="Times New Roman" w:eastAsia="SimSun" w:hAnsi="Times New Roman"/>
          <w:sz w:val="24"/>
          <w:szCs w:val="24"/>
        </w:rPr>
        <w:noBreakHyphen/>
        <w:t xml:space="preserve">foot Walk, T25FW). Ако не се наблюдава подобрение или има влошаване, приемът на Fampridine трябва да се спре. </w:t>
      </w:r>
    </w:p>
    <w:p w14:paraId="14B217C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Спастично повишеният </w:t>
      </w:r>
      <w:r w:rsidRPr="00AE47C6">
        <w:rPr>
          <w:rFonts w:ascii="Times New Roman" w:eastAsia="SimSun" w:hAnsi="Times New Roman"/>
          <w:i/>
          <w:iCs/>
          <w:sz w:val="24"/>
          <w:szCs w:val="24"/>
        </w:rPr>
        <w:t>мускулен тонус</w:t>
      </w:r>
      <w:r w:rsidRPr="00AE47C6">
        <w:rPr>
          <w:rFonts w:ascii="Times New Roman" w:eastAsia="SimSun" w:hAnsi="Times New Roman"/>
          <w:sz w:val="24"/>
          <w:szCs w:val="24"/>
        </w:rPr>
        <w:t xml:space="preserve"> се повлиява добре от физиотерапия и миорелаксанти. Използват се Tizanidine до 24 mg дневно и Baclofen до 70 mg дневно. </w:t>
      </w:r>
    </w:p>
    <w:p w14:paraId="0F45DFE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 xml:space="preserve">Вертигото </w:t>
      </w:r>
      <w:r w:rsidRPr="00AE47C6">
        <w:rPr>
          <w:rFonts w:ascii="Times New Roman" w:eastAsia="SimSun" w:hAnsi="Times New Roman"/>
          <w:sz w:val="24"/>
          <w:szCs w:val="24"/>
        </w:rPr>
        <w:t xml:space="preserve">може да бъде проява на пристъп. Тогава се повлиява добре от кортикостероиден курс. Когато е остатъчен симптом се прилагат </w:t>
      </w:r>
      <w:r w:rsidRPr="00AE47C6">
        <w:rPr>
          <w:rFonts w:ascii="Times New Roman" w:eastAsia="SimSun" w:hAnsi="Times New Roman"/>
          <w:i/>
          <w:sz w:val="24"/>
          <w:szCs w:val="24"/>
        </w:rPr>
        <w:t xml:space="preserve">dimenhydrinat </w:t>
      </w:r>
      <w:r w:rsidRPr="00AE47C6">
        <w:rPr>
          <w:rFonts w:ascii="Times New Roman" w:eastAsia="SimSun" w:hAnsi="Times New Roman"/>
          <w:sz w:val="24"/>
          <w:szCs w:val="24"/>
        </w:rPr>
        <w:t>75-150mg дн</w:t>
      </w:r>
      <w:r w:rsidRPr="00AE47C6">
        <w:rPr>
          <w:rFonts w:ascii="Times New Roman" w:eastAsia="SimSun" w:hAnsi="Times New Roman"/>
          <w:i/>
          <w:sz w:val="24"/>
          <w:szCs w:val="24"/>
        </w:rPr>
        <w:t>., betahistine</w:t>
      </w:r>
      <w:r w:rsidRPr="00AE47C6">
        <w:rPr>
          <w:rFonts w:ascii="Times New Roman" w:eastAsia="SimSun" w:hAnsi="Times New Roman"/>
          <w:sz w:val="24"/>
          <w:szCs w:val="24"/>
        </w:rPr>
        <w:t xml:space="preserve"> 48mg дн., комбинирани медикаменти </w:t>
      </w:r>
      <w:r w:rsidRPr="00AE47C6">
        <w:rPr>
          <w:rFonts w:ascii="Times New Roman" w:eastAsia="SimSun" w:hAnsi="Times New Roman"/>
          <w:i/>
          <w:sz w:val="24"/>
          <w:szCs w:val="24"/>
        </w:rPr>
        <w:t>cinnarizine/dimenhydrinate</w:t>
      </w:r>
      <w:r w:rsidRPr="00AE47C6">
        <w:rPr>
          <w:rFonts w:ascii="Times New Roman" w:eastAsia="SimSun" w:hAnsi="Times New Roman"/>
          <w:sz w:val="24"/>
          <w:szCs w:val="24"/>
        </w:rPr>
        <w:t>- 3x1т. дн.</w:t>
      </w:r>
    </w:p>
    <w:p w14:paraId="06ABF29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Треморът</w:t>
      </w:r>
      <w:r w:rsidRPr="00AE47C6">
        <w:rPr>
          <w:rFonts w:ascii="Times New Roman" w:eastAsia="SimSun" w:hAnsi="Times New Roman"/>
          <w:sz w:val="24"/>
          <w:szCs w:val="24"/>
        </w:rPr>
        <w:t xml:space="preserve"> се повлиява трудно, но в някои случаи </w:t>
      </w:r>
      <w:r w:rsidRPr="00AE47C6">
        <w:rPr>
          <w:rFonts w:ascii="Times New Roman" w:eastAsia="SimSun" w:hAnsi="Times New Roman"/>
          <w:i/>
          <w:sz w:val="24"/>
          <w:szCs w:val="24"/>
        </w:rPr>
        <w:t>clonazepam</w:t>
      </w:r>
      <w:r w:rsidRPr="00AE47C6">
        <w:rPr>
          <w:rFonts w:ascii="Times New Roman" w:eastAsia="SimSun" w:hAnsi="Times New Roman"/>
          <w:sz w:val="24"/>
          <w:szCs w:val="24"/>
        </w:rPr>
        <w:t xml:space="preserve"> 2-4 mg дн., </w:t>
      </w:r>
      <w:r w:rsidRPr="00AE47C6">
        <w:rPr>
          <w:rFonts w:ascii="Times New Roman" w:eastAsia="SimSun" w:hAnsi="Times New Roman"/>
          <w:i/>
          <w:sz w:val="24"/>
          <w:szCs w:val="24"/>
        </w:rPr>
        <w:t xml:space="preserve">propranolol </w:t>
      </w:r>
      <w:r w:rsidRPr="00AE47C6">
        <w:rPr>
          <w:rFonts w:ascii="Times New Roman" w:eastAsia="SimSun" w:hAnsi="Times New Roman"/>
          <w:sz w:val="24"/>
          <w:szCs w:val="24"/>
        </w:rPr>
        <w:t xml:space="preserve">50-100 mg, </w:t>
      </w:r>
      <w:r w:rsidRPr="00AE47C6">
        <w:rPr>
          <w:rFonts w:ascii="Times New Roman" w:eastAsia="SimSun" w:hAnsi="Times New Roman"/>
          <w:i/>
          <w:sz w:val="24"/>
          <w:szCs w:val="24"/>
        </w:rPr>
        <w:t xml:space="preserve">isoniazid </w:t>
      </w:r>
      <w:r w:rsidRPr="00AE47C6">
        <w:rPr>
          <w:rFonts w:ascii="Times New Roman" w:eastAsia="SimSun" w:hAnsi="Times New Roman"/>
          <w:sz w:val="24"/>
          <w:szCs w:val="24"/>
        </w:rPr>
        <w:t xml:space="preserve">1200 mg дневно, </w:t>
      </w:r>
      <w:r w:rsidRPr="00AE47C6">
        <w:rPr>
          <w:rFonts w:ascii="Times New Roman" w:eastAsia="SimSun" w:hAnsi="Times New Roman"/>
          <w:i/>
          <w:sz w:val="24"/>
          <w:szCs w:val="24"/>
        </w:rPr>
        <w:t xml:space="preserve">glutethimide </w:t>
      </w:r>
      <w:r w:rsidRPr="00AE47C6">
        <w:rPr>
          <w:rFonts w:ascii="Times New Roman" w:eastAsia="SimSun" w:hAnsi="Times New Roman"/>
          <w:sz w:val="24"/>
          <w:szCs w:val="24"/>
        </w:rPr>
        <w:t xml:space="preserve">1000-4000 mg дн. или </w:t>
      </w:r>
      <w:r w:rsidRPr="00AE47C6">
        <w:rPr>
          <w:rFonts w:ascii="Times New Roman" w:eastAsia="SimSun" w:hAnsi="Times New Roman"/>
          <w:i/>
          <w:sz w:val="24"/>
          <w:szCs w:val="24"/>
        </w:rPr>
        <w:t xml:space="preserve">primidone </w:t>
      </w:r>
      <w:r w:rsidRPr="00AE47C6">
        <w:rPr>
          <w:rFonts w:ascii="Times New Roman" w:eastAsia="SimSun" w:hAnsi="Times New Roman"/>
          <w:sz w:val="24"/>
          <w:szCs w:val="24"/>
        </w:rPr>
        <w:t xml:space="preserve">250 mg дн. са ефективни. </w:t>
      </w:r>
    </w:p>
    <w:p w14:paraId="0D85875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Пароксизмалните симптоми</w:t>
      </w:r>
      <w:r w:rsidRPr="00AE47C6">
        <w:rPr>
          <w:rFonts w:ascii="Times New Roman" w:eastAsia="SimSun" w:hAnsi="Times New Roman"/>
          <w:sz w:val="24"/>
          <w:szCs w:val="24"/>
        </w:rPr>
        <w:t xml:space="preserve"> се повлияват от антиконвулсанти, трициклични антидепресанти и бензодиазепини. Медикамент на първи избор е carbamazepine (до 1200 mg дневно). Епилептичните пристъпи се повлияват добре от стандартните антиконвулсанти carbamazepine, phenytoin и валпроати.</w:t>
      </w:r>
    </w:p>
    <w:p w14:paraId="56A6905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Тазово-резервоарните нарушения</w:t>
      </w:r>
      <w:r w:rsidRPr="00AE47C6">
        <w:rPr>
          <w:rFonts w:ascii="Times New Roman" w:eastAsia="SimSun" w:hAnsi="Times New Roman"/>
          <w:sz w:val="24"/>
          <w:szCs w:val="24"/>
        </w:rPr>
        <w:t xml:space="preserve"> влошават изключително качеството на живот на пациентите. Хиперактивния пикочен мехур се повлиява от антихолинергични медикаменти (</w:t>
      </w:r>
      <w:r w:rsidRPr="00AE47C6">
        <w:rPr>
          <w:rFonts w:ascii="Times New Roman" w:eastAsia="SimSun" w:hAnsi="Times New Roman"/>
          <w:i/>
          <w:sz w:val="24"/>
          <w:szCs w:val="24"/>
        </w:rPr>
        <w:t xml:space="preserve">oxybutynin </w:t>
      </w:r>
      <w:r w:rsidRPr="00AE47C6">
        <w:rPr>
          <w:rFonts w:ascii="Times New Roman" w:eastAsia="SimSun" w:hAnsi="Times New Roman"/>
          <w:sz w:val="24"/>
          <w:szCs w:val="24"/>
        </w:rPr>
        <w:t xml:space="preserve">10 mg дн. или </w:t>
      </w:r>
      <w:r w:rsidRPr="00AE47C6">
        <w:rPr>
          <w:rFonts w:ascii="Times New Roman" w:eastAsia="SimSun" w:hAnsi="Times New Roman"/>
          <w:i/>
          <w:sz w:val="24"/>
          <w:szCs w:val="24"/>
        </w:rPr>
        <w:t xml:space="preserve">tolterodine </w:t>
      </w:r>
      <w:r w:rsidRPr="00AE47C6">
        <w:rPr>
          <w:rFonts w:ascii="Times New Roman" w:eastAsia="SimSun" w:hAnsi="Times New Roman"/>
          <w:sz w:val="24"/>
          <w:szCs w:val="24"/>
        </w:rPr>
        <w:t>4 mg дн.), β3-адренергичния рецепторен агонист mirabegron 25-50 mg и трициклични антидепресанти, докато при вялият пикочен мехур интермитентната катетризация е метод на избор. При по-леките случаи се прилага вибратор върху коремната стена над пикочния мехур, който подпомага уринирането. Необходимо е пациентът да се наблюдава за остатъчна урина, възникване на уринарна инфекция и съответно да се прилага при необходимост антибиотична терапия. При ноктурия се прилага интраназален спрей от антидиуретичния хормон desmopressin (10-40 µg за нощ), което намалява уринирането за 6 – 8 часа, но може да предизвика хипонатриемия. При дизсинергията на детрузора се прилагат миорелаксанти и алфа-2 агонисти.</w:t>
      </w:r>
    </w:p>
    <w:p w14:paraId="4EFD259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Сексуалните нарушения</w:t>
      </w:r>
      <w:r w:rsidRPr="00AE47C6">
        <w:rPr>
          <w:rFonts w:ascii="Times New Roman" w:eastAsia="SimSun" w:hAnsi="Times New Roman"/>
          <w:sz w:val="24"/>
          <w:szCs w:val="24"/>
        </w:rPr>
        <w:t xml:space="preserve">  се повлияват от антидепресанти, а еректилната дисфункция от прилагане на фосфодиестеразния инхибитор тип 5 – </w:t>
      </w:r>
      <w:r w:rsidRPr="00AE47C6">
        <w:rPr>
          <w:rFonts w:ascii="Times New Roman" w:eastAsia="SimSun" w:hAnsi="Times New Roman"/>
          <w:i/>
          <w:sz w:val="24"/>
          <w:szCs w:val="24"/>
        </w:rPr>
        <w:t>sildenafil</w:t>
      </w:r>
      <w:r w:rsidRPr="00AE47C6">
        <w:rPr>
          <w:rFonts w:ascii="Times New Roman" w:eastAsia="SimSun" w:hAnsi="Times New Roman"/>
          <w:sz w:val="24"/>
          <w:szCs w:val="24"/>
        </w:rPr>
        <w:t xml:space="preserve"> 50 до 100 mg, </w:t>
      </w:r>
      <w:r w:rsidRPr="00AE47C6">
        <w:rPr>
          <w:rFonts w:ascii="Times New Roman" w:eastAsia="SimSun" w:hAnsi="Times New Roman"/>
          <w:i/>
          <w:sz w:val="24"/>
          <w:szCs w:val="24"/>
        </w:rPr>
        <w:t>vardenafil</w:t>
      </w:r>
      <w:r w:rsidRPr="00AE47C6">
        <w:rPr>
          <w:rFonts w:ascii="Times New Roman" w:eastAsia="SimSun" w:hAnsi="Times New Roman"/>
          <w:sz w:val="24"/>
          <w:szCs w:val="24"/>
        </w:rPr>
        <w:t xml:space="preserve"> 5-10 mg перорално, 1 час преди полов акт, </w:t>
      </w:r>
      <w:r w:rsidRPr="00AE47C6">
        <w:rPr>
          <w:rFonts w:ascii="Times New Roman" w:eastAsia="SimSun" w:hAnsi="Times New Roman"/>
          <w:i/>
          <w:sz w:val="24"/>
          <w:szCs w:val="24"/>
        </w:rPr>
        <w:t xml:space="preserve">tadalafil </w:t>
      </w:r>
      <w:r w:rsidRPr="00AE47C6">
        <w:rPr>
          <w:rFonts w:ascii="Times New Roman" w:eastAsia="SimSun" w:hAnsi="Times New Roman"/>
          <w:sz w:val="24"/>
          <w:szCs w:val="24"/>
        </w:rPr>
        <w:t>20 mg.</w:t>
      </w:r>
    </w:p>
    <w:p w14:paraId="6098CC1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Гастро-интестиналните нарушения (запек)</w:t>
      </w:r>
      <w:r w:rsidRPr="00AE47C6">
        <w:rPr>
          <w:rFonts w:ascii="Times New Roman" w:eastAsia="SimSun" w:hAnsi="Times New Roman"/>
          <w:sz w:val="24"/>
          <w:szCs w:val="24"/>
        </w:rPr>
        <w:t xml:space="preserve"> трябва да се лекуват комплексно. На първо място е необходимо да се изясни дали някои от приеманите медикаменти не допринася за запека и съответно неговата доза да се намали. След това на пациента се препоръчва повишаване на физическата активност, промяна в хранителния режим с включване на храни съдържащи повече целулозни влакна, избягване на шоколадови изделия, хидратация и използване на топли напитки за стимулиране на гастро-чревните рефлекси. Ако тези мерки не са достатъчно ефективни се препоръчват леки лаксативни медикаменти. </w:t>
      </w:r>
    </w:p>
    <w:p w14:paraId="60DAFA0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Дизфагията</w:t>
      </w:r>
      <w:r w:rsidRPr="00AE47C6">
        <w:rPr>
          <w:rFonts w:ascii="Times New Roman" w:eastAsia="SimSun" w:hAnsi="Times New Roman"/>
          <w:sz w:val="24"/>
          <w:szCs w:val="24"/>
        </w:rPr>
        <w:t xml:space="preserve"> се повлиява от промяна в храната и начинът на хранене, като в краен случай се постави назогастрална сонда за хранене.</w:t>
      </w:r>
    </w:p>
    <w:p w14:paraId="4BB5DC2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Зрителните нарушения (диплопия)</w:t>
      </w:r>
      <w:r w:rsidRPr="00AE47C6">
        <w:rPr>
          <w:rFonts w:ascii="Times New Roman" w:eastAsia="SimSun" w:hAnsi="Times New Roman"/>
          <w:sz w:val="24"/>
          <w:szCs w:val="24"/>
        </w:rPr>
        <w:t xml:space="preserve"> се повлияват от носене на призматични очила. Нистагъмът се повлиява от baclofen, clonazepam, scopolamine, gabapentin и други медикаменти. </w:t>
      </w:r>
    </w:p>
    <w:p w14:paraId="1ACC355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Дихателните нарушения</w:t>
      </w:r>
      <w:r w:rsidRPr="00AE47C6">
        <w:rPr>
          <w:rFonts w:ascii="Times New Roman" w:eastAsia="SimSun" w:hAnsi="Times New Roman"/>
          <w:sz w:val="24"/>
          <w:szCs w:val="24"/>
        </w:rPr>
        <w:t xml:space="preserve"> се повлияват чрез лечение на респираторните инфекции, регулиране на телесната температура, което подобрява аксонната проводимост и профилактични ваксинации против грип. </w:t>
      </w:r>
    </w:p>
    <w:p w14:paraId="2727FF2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Рехабилитацията</w:t>
      </w:r>
      <w:r w:rsidRPr="00AE47C6">
        <w:rPr>
          <w:rFonts w:ascii="Times New Roman" w:eastAsia="SimSun" w:hAnsi="Times New Roman"/>
          <w:sz w:val="24"/>
          <w:szCs w:val="24"/>
        </w:rPr>
        <w:t xml:space="preserve"> е много важна за пациентите с МС. Трябва да се насочват към физиотерапия и рехабилитация, когато техните ежедневни активности са вече ограничени и симптоматичното лечение не е достатъчно ефективно. В един момент от живота си пациентът ще се нуждае от патерици, проходилка или инвалидна количка, което най-добре се преценява от специалист физиотерапевт. </w:t>
      </w:r>
    </w:p>
    <w:p w14:paraId="4474A19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Общите грижи</w:t>
      </w:r>
      <w:r w:rsidRPr="00AE47C6">
        <w:rPr>
          <w:rFonts w:ascii="Times New Roman" w:eastAsia="SimSun" w:hAnsi="Times New Roman"/>
          <w:sz w:val="24"/>
          <w:szCs w:val="24"/>
        </w:rPr>
        <w:t xml:space="preserve"> за пациентите с МС имат някои характерни особености. </w:t>
      </w:r>
    </w:p>
    <w:p w14:paraId="4967BB3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Температурата и инфекциите</w:t>
      </w:r>
      <w:r w:rsidRPr="00AE47C6">
        <w:rPr>
          <w:rFonts w:ascii="Times New Roman" w:eastAsia="SimSun" w:hAnsi="Times New Roman"/>
          <w:sz w:val="24"/>
          <w:szCs w:val="24"/>
        </w:rPr>
        <w:t xml:space="preserve"> трябва да се предотвратяват и лекуват своевременно. Демиелинизираните влакна са изключително чувствителни към минимална промяна в телесната температура и към лека ацидоза. Излагането на топлина на плажове, сауни, вани, басейни и повишаването на телесната температура дори с 1-2 градуса при инфекции влошават заболяването. Поради тази причина често пристъпите настъпват дори след леки респираторни инфекции. Изключително важно е да се лекува температурата при инфекции, което може сериозно да подобри неврологичните симптоми.</w:t>
      </w:r>
    </w:p>
    <w:p w14:paraId="2B8681B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Хирургични интервенции и анестезия</w:t>
      </w:r>
      <w:r w:rsidRPr="00AE47C6">
        <w:rPr>
          <w:rFonts w:ascii="Times New Roman" w:eastAsia="SimSun" w:hAnsi="Times New Roman"/>
          <w:sz w:val="24"/>
          <w:szCs w:val="24"/>
        </w:rPr>
        <w:t xml:space="preserve"> влошават минимално състоянието на пациентите и съответно могат да се прилагат при наличие на сериозни индикации. Трябва да се избягват интратекалната и спиналната анестезия, епидуралната се понася добре от пациентите. </w:t>
      </w:r>
    </w:p>
    <w:p w14:paraId="622AA3D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По време на </w:t>
      </w:r>
      <w:r w:rsidRPr="00AE47C6">
        <w:rPr>
          <w:rFonts w:ascii="Times New Roman" w:eastAsia="SimSun" w:hAnsi="Times New Roman"/>
          <w:b/>
          <w:bCs/>
          <w:i/>
          <w:sz w:val="24"/>
          <w:szCs w:val="24"/>
        </w:rPr>
        <w:t>бременност</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 xml:space="preserve">рискът от възникване на пристъп спада силно, особено в третия триместър, което се потвърждава и от МРТ изследвания. Рискът нараства сериозно през постпарталния период. Ако се разглеждат заедно двата периода, реално няма риск от бременността за влошаване на заболяването. Пациентките не само, че нямат противопоказания за бременност и раждане, но и прогнозата на заболяването не само че не се влошава, но се подобрява от бременността. Намалява рискът за преминаване на заболяването във вторично-прогресивна форма. Прогнозата обаче не е толкова благоприятна при пациентки, които вече са преминали във вторично-прогресивната форма на заболяването. Няма данни МС да повлиява по някакъв начин фертилитета, концепцията, жизнеспособността на плода и раждането. Не се наблюдава нарастване на вероятността за ектопична бременност, спонтанен аборт, мъртво раждане и вродени малформации. Когато се взема решение за забременяване, единствено трябва да се има предвид инвалидността на пациентката, която може да затрудни отглеждането на детето. За детето съществува малък генетичен риск (3 – 5%) за МС, но ако и двамата родители са болни, което е много рядка ситуация, рискът нараства до 31%. </w:t>
      </w:r>
    </w:p>
    <w:p w14:paraId="18DD4E72" w14:textId="77777777" w:rsidR="00BE0B19" w:rsidRPr="00AE47C6" w:rsidRDefault="00BE0B19" w:rsidP="00BE0B19">
      <w:pPr>
        <w:spacing w:after="0" w:line="360" w:lineRule="auto"/>
        <w:ind w:firstLine="720"/>
        <w:jc w:val="both"/>
        <w:rPr>
          <w:rFonts w:ascii="Times New Roman" w:eastAsia="SimSun" w:hAnsi="Times New Roman"/>
          <w:bCs/>
          <w:iCs/>
          <w:sz w:val="24"/>
          <w:szCs w:val="24"/>
        </w:rPr>
      </w:pPr>
      <w:bookmarkStart w:id="225" w:name="_Hlk35799616"/>
      <w:r w:rsidRPr="00AE47C6">
        <w:rPr>
          <w:rFonts w:ascii="Times New Roman" w:eastAsia="SimSun" w:hAnsi="Times New Roman"/>
          <w:bCs/>
          <w:iCs/>
          <w:sz w:val="24"/>
          <w:szCs w:val="24"/>
        </w:rPr>
        <w:t>При жени, плануващи забременяване е актуален въпросът за безопасно профилактично лечение, тъй като МС се диагностицира най-често в репродуктивна възраст, а 2/3 от засегнатите са от женски пол. Модифициращото лечението на мъжете с репродуктивни планове също изисква внимание.</w:t>
      </w:r>
    </w:p>
    <w:bookmarkEnd w:id="225"/>
    <w:p w14:paraId="7D173A3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Cs/>
          <w:i/>
          <w:sz w:val="24"/>
          <w:szCs w:val="24"/>
        </w:rPr>
        <w:t>Glatiramer acetate, интерферон β-1a и β-1b</w:t>
      </w:r>
      <w:r w:rsidRPr="00AE47C6">
        <w:rPr>
          <w:rFonts w:ascii="Times New Roman" w:eastAsia="SimSun" w:hAnsi="Times New Roman"/>
          <w:bCs/>
          <w:iCs/>
          <w:sz w:val="24"/>
          <w:szCs w:val="24"/>
        </w:rPr>
        <w:t xml:space="preserve"> показват относителна безопасност по време на бременност и позволи кратките им характеристики да бъдат разширени. </w:t>
      </w:r>
      <w:r w:rsidRPr="00AE47C6">
        <w:rPr>
          <w:rFonts w:ascii="Times New Roman" w:eastAsia="SimSun" w:hAnsi="Times New Roman"/>
          <w:sz w:val="24"/>
          <w:szCs w:val="24"/>
        </w:rPr>
        <w:t>Всички останали профилактични терапии за МС не се препоръчват в периода на бременност. Въпреки това</w:t>
      </w:r>
      <w:r w:rsidRPr="00AE47C6">
        <w:rPr>
          <w:rFonts w:ascii="Times New Roman" w:eastAsia="SimSun" w:hAnsi="Times New Roman"/>
          <w:bCs/>
          <w:iCs/>
          <w:sz w:val="24"/>
          <w:szCs w:val="24"/>
        </w:rPr>
        <w:t>, нито една от одобрените терапии не е показала абсолютна безопасност в периода на зачеване и бременност, поради което е валидна общата препоръка за</w:t>
      </w:r>
      <w:r w:rsidRPr="00AE47C6">
        <w:rPr>
          <w:rFonts w:ascii="Times New Roman" w:eastAsia="SimSun" w:hAnsi="Times New Roman"/>
          <w:bCs/>
          <w:i/>
          <w:sz w:val="24"/>
          <w:szCs w:val="24"/>
        </w:rPr>
        <w:t xml:space="preserve"> </w:t>
      </w:r>
      <w:r w:rsidRPr="00AE47C6">
        <w:rPr>
          <w:rFonts w:ascii="Times New Roman" w:eastAsia="SimSun" w:hAnsi="Times New Roman"/>
          <w:bCs/>
          <w:iCs/>
          <w:sz w:val="24"/>
          <w:szCs w:val="24"/>
        </w:rPr>
        <w:t xml:space="preserve">спазване на контрацепция по време на имуномодулация.  </w:t>
      </w:r>
      <w:r w:rsidRPr="00AE47C6">
        <w:rPr>
          <w:rFonts w:ascii="Times New Roman" w:eastAsia="SimSun" w:hAnsi="Times New Roman"/>
          <w:sz w:val="24"/>
          <w:szCs w:val="24"/>
        </w:rPr>
        <w:t xml:space="preserve">Преди планираното забременяване трябва да се преустанови приемането на всякакви медикаменти модифициращи хода на заболяването, защото те са противопоказани през този период. </w:t>
      </w:r>
      <w:r w:rsidRPr="00AE47C6">
        <w:rPr>
          <w:rFonts w:ascii="Times New Roman" w:eastAsia="SimSun" w:hAnsi="Times New Roman"/>
          <w:bCs/>
          <w:iCs/>
          <w:sz w:val="24"/>
          <w:szCs w:val="24"/>
        </w:rPr>
        <w:t>Приложението на glatiramer acetate, интерферон β-1a и β-1b по време на бременност е допустимо само при агресивните форми на заболяването, когато ползите за майката надвишават рисковете за плода.</w:t>
      </w:r>
      <w:r w:rsidRPr="00AE47C6">
        <w:rPr>
          <w:rFonts w:ascii="Times New Roman" w:eastAsia="SimSun" w:hAnsi="Times New Roman"/>
          <w:sz w:val="24"/>
          <w:szCs w:val="24"/>
        </w:rPr>
        <w:t xml:space="preserve"> </w:t>
      </w:r>
    </w:p>
    <w:p w14:paraId="7F22134B" w14:textId="77777777" w:rsidR="00BE0B19" w:rsidRPr="00AE47C6" w:rsidRDefault="00BE0B19" w:rsidP="00BE0B19">
      <w:pPr>
        <w:spacing w:after="0" w:line="360" w:lineRule="auto"/>
        <w:ind w:firstLine="720"/>
        <w:jc w:val="both"/>
        <w:rPr>
          <w:rFonts w:ascii="Times New Roman" w:eastAsia="SimSun" w:hAnsi="Times New Roman"/>
          <w:bCs/>
          <w:iCs/>
          <w:sz w:val="24"/>
          <w:szCs w:val="24"/>
        </w:rPr>
      </w:pPr>
      <w:r w:rsidRPr="00AE47C6">
        <w:rPr>
          <w:rFonts w:ascii="Times New Roman" w:eastAsia="SimSun" w:hAnsi="Times New Roman"/>
          <w:bCs/>
          <w:iCs/>
          <w:sz w:val="24"/>
          <w:szCs w:val="24"/>
        </w:rPr>
        <w:t>Наблюдението от употребата на glatiramer acetate 20 mg/ml и 40 mg/ml през целия период на бременността не показва малформации, спонтанни аборти или фето/неонатална токсичност. През 2016 г. бременността беше премахната като контраиндикация за приложение на glatiramer acetate от продуктовата характеристика на EMA. Като предпазна мярка е за предпочитане да се избягва приложението на glatiramer acetate  по време на бременност, освен ако ползата за майката не надвишава риска за плода.</w:t>
      </w:r>
      <w:r w:rsidRPr="00AE47C6">
        <w:rPr>
          <w:rFonts w:ascii="Times New Roman" w:eastAsia="SimSun" w:hAnsi="Times New Roman"/>
          <w:sz w:val="24"/>
          <w:szCs w:val="24"/>
        </w:rPr>
        <w:t xml:space="preserve"> </w:t>
      </w:r>
    </w:p>
    <w:p w14:paraId="594B1C0E" w14:textId="77777777" w:rsidR="00BE0B19" w:rsidRPr="00AE47C6" w:rsidRDefault="00BE0B19" w:rsidP="00BE0B19">
      <w:pPr>
        <w:spacing w:after="0" w:line="360" w:lineRule="auto"/>
        <w:ind w:firstLine="720"/>
        <w:jc w:val="both"/>
        <w:rPr>
          <w:rFonts w:ascii="Times New Roman" w:eastAsia="SimSun" w:hAnsi="Times New Roman"/>
          <w:bCs/>
          <w:iCs/>
          <w:sz w:val="24"/>
          <w:szCs w:val="24"/>
        </w:rPr>
      </w:pPr>
      <w:r w:rsidRPr="00AE47C6">
        <w:rPr>
          <w:rFonts w:ascii="Times New Roman" w:eastAsia="SimSun" w:hAnsi="Times New Roman"/>
          <w:sz w:val="24"/>
          <w:szCs w:val="24"/>
        </w:rPr>
        <w:t xml:space="preserve">Ако е клинично оправдано, употребата на интерферон бета може да се обмисли </w:t>
      </w:r>
      <w:r w:rsidRPr="00AE47C6">
        <w:rPr>
          <w:rFonts w:ascii="Times New Roman" w:eastAsia="SimSun" w:hAnsi="Times New Roman"/>
          <w:bCs/>
          <w:iCs/>
          <w:sz w:val="24"/>
          <w:szCs w:val="24"/>
        </w:rPr>
        <w:t xml:space="preserve">преди зачеване и </w:t>
      </w:r>
      <w:r w:rsidRPr="00AE47C6">
        <w:rPr>
          <w:rFonts w:ascii="Times New Roman" w:eastAsia="SimSun" w:hAnsi="Times New Roman"/>
          <w:sz w:val="24"/>
          <w:szCs w:val="24"/>
        </w:rPr>
        <w:t>по време на първия триместър от бременността,</w:t>
      </w:r>
      <w:r w:rsidRPr="00AE47C6">
        <w:rPr>
          <w:rFonts w:ascii="Times New Roman" w:eastAsia="SimSun" w:hAnsi="Times New Roman"/>
          <w:bCs/>
          <w:iCs/>
          <w:sz w:val="24"/>
          <w:szCs w:val="24"/>
        </w:rPr>
        <w:t xml:space="preserve"> защото няма данни за повишен риск от вродени аномалии на плода.</w:t>
      </w:r>
      <w:r w:rsidRPr="00AE47C6">
        <w:rPr>
          <w:rFonts w:ascii="Times New Roman" w:eastAsia="SimSun" w:hAnsi="Times New Roman"/>
          <w:sz w:val="24"/>
          <w:szCs w:val="24"/>
        </w:rPr>
        <w:t xml:space="preserve"> Опитът през втория и третия триместър на бременността е минимален, рискът за спонтанни аборти не може да бъде достатъчно добре оценен, поради което лечението е контраиндицирано в този период.</w:t>
      </w:r>
      <w:r w:rsidRPr="00AE47C6">
        <w:rPr>
          <w:rFonts w:ascii="Times New Roman" w:eastAsia="SimSun" w:hAnsi="Times New Roman"/>
          <w:bCs/>
          <w:iCs/>
          <w:sz w:val="24"/>
          <w:szCs w:val="24"/>
        </w:rPr>
        <w:t xml:space="preserve"> </w:t>
      </w:r>
    </w:p>
    <w:p w14:paraId="3180300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Липсва необходимост от прекъсване на бременността при непланирано забременяване на фона на терапия с бетаинтерферони и glatiramer acetate. Ако терапията с тези медикаменти се прекъсне по време на бременността, пълен терапевтичен ефект при възобновяване на лечението след раждане ще се постигне за няколко месеца и съответно няма да се прояви през рисковия период непосредствено след раждане.</w:t>
      </w:r>
    </w:p>
    <w:p w14:paraId="1DBE9E4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Няма данни за тератогенен ефект от бетаинтерферони и glatiramer acetate, така че независимо, че пациентката се е лекувала с тях дълго време, мутагеността не се увеличава и няма риск за детето. Glatiramer acetate и интерфероните са големи молекули и не се очаква да преминат в кърмата, поради което вероятно са безопасни по време на лактация. </w:t>
      </w:r>
    </w:p>
    <w:p w14:paraId="34CB1D0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Бетаинтерфероните и glatiramer acetate</w:t>
      </w:r>
      <w:r w:rsidRPr="00AE47C6">
        <w:rPr>
          <w:rFonts w:ascii="Times New Roman" w:eastAsia="SimSun" w:hAnsi="Times New Roman"/>
          <w:color w:val="333333"/>
          <w:sz w:val="24"/>
          <w:szCs w:val="24"/>
          <w:lang w:eastAsia="bg-BG"/>
        </w:rPr>
        <w:t xml:space="preserve"> не взаимодействат с хормонална контрацепция и нямат отношение към ефективността. Липсват данни за намалена фертилност при употребата им от мъже и жени.</w:t>
      </w:r>
    </w:p>
    <w:p w14:paraId="6F256C7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Бетаинтерфероните и glatiramer acetate</w:t>
      </w:r>
      <w:r w:rsidRPr="00AE47C6">
        <w:rPr>
          <w:rFonts w:ascii="Times New Roman" w:eastAsia="SimSun" w:hAnsi="Times New Roman"/>
          <w:color w:val="333333"/>
          <w:sz w:val="24"/>
          <w:szCs w:val="24"/>
          <w:lang w:eastAsia="bg-BG"/>
        </w:rPr>
        <w:t xml:space="preserve"> не взаимодействат с хормонална контрацепция и нямат отношение към ефективността. Липсват данни за намалена фертилност при употребата им от мъже и жени.</w:t>
      </w:r>
    </w:p>
    <w:p w14:paraId="09BEB95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Dimethyl fumarate и</w:t>
      </w:r>
      <w:r w:rsidRPr="00AE47C6">
        <w:rPr>
          <w:rFonts w:ascii="Times New Roman" w:eastAsia="SimSun" w:hAnsi="Times New Roman"/>
          <w:sz w:val="24"/>
          <w:szCs w:val="24"/>
        </w:rPr>
        <w:t xml:space="preserve"> </w:t>
      </w:r>
      <w:r w:rsidRPr="00AE47C6">
        <w:rPr>
          <w:rFonts w:ascii="Times New Roman" w:eastAsia="SimSun" w:hAnsi="Times New Roman"/>
          <w:i/>
          <w:iCs/>
          <w:sz w:val="24"/>
          <w:szCs w:val="24"/>
        </w:rPr>
        <w:t>D</w:t>
      </w:r>
      <w:r w:rsidRPr="00AE47C6">
        <w:rPr>
          <w:rFonts w:ascii="Times New Roman" w:eastAsia="TimesNewRomanPSMT" w:hAnsi="Times New Roman"/>
          <w:i/>
          <w:iCs/>
          <w:sz w:val="24"/>
          <w:szCs w:val="24"/>
        </w:rPr>
        <w:t xml:space="preserve">iroximel fumarate </w:t>
      </w:r>
      <w:r w:rsidRPr="00AE47C6">
        <w:rPr>
          <w:rFonts w:ascii="Times New Roman" w:eastAsia="SimSun" w:hAnsi="Times New Roman"/>
          <w:color w:val="333333"/>
          <w:sz w:val="24"/>
          <w:szCs w:val="24"/>
        </w:rPr>
        <w:t>не взаимодействат с хормонална контрацепция и нямат отношение към нейната ефективност и</w:t>
      </w:r>
      <w:r w:rsidRPr="00AE47C6">
        <w:rPr>
          <w:rFonts w:ascii="Times New Roman" w:eastAsia="SimSun" w:hAnsi="Times New Roman"/>
          <w:sz w:val="24"/>
          <w:szCs w:val="24"/>
        </w:rPr>
        <w:t xml:space="preserve"> не променят фертилността. </w:t>
      </w:r>
      <w:r w:rsidRPr="00AE47C6">
        <w:rPr>
          <w:rFonts w:ascii="Times New Roman" w:eastAsia="SimSun" w:hAnsi="Times New Roman"/>
          <w:color w:val="333333"/>
          <w:sz w:val="24"/>
          <w:szCs w:val="24"/>
        </w:rPr>
        <w:t xml:space="preserve">Трябва да се има предвид, че в първите седмици от приложението на dimethyl fumarate може да се яви долен диспептичен синдром и съответно намалена абсорбция на пероралните контрацептиви, което да компрометира ефекта им. </w:t>
      </w:r>
      <w:r w:rsidRPr="00AE47C6">
        <w:rPr>
          <w:rFonts w:ascii="Times New Roman" w:eastAsia="SimSun" w:hAnsi="Times New Roman"/>
          <w:sz w:val="24"/>
          <w:szCs w:val="24"/>
        </w:rPr>
        <w:t xml:space="preserve">Макар и по-рядко </w:t>
      </w:r>
      <w:r w:rsidRPr="00AE47C6">
        <w:rPr>
          <w:rFonts w:ascii="Times New Roman" w:eastAsia="SimSun" w:hAnsi="Times New Roman"/>
          <w:i/>
          <w:iCs/>
          <w:sz w:val="24"/>
          <w:szCs w:val="24"/>
        </w:rPr>
        <w:t>d</w:t>
      </w:r>
      <w:r w:rsidRPr="00AE47C6">
        <w:rPr>
          <w:rFonts w:ascii="Times New Roman" w:eastAsia="TimesNewRomanPSMT" w:hAnsi="Times New Roman"/>
          <w:i/>
          <w:iCs/>
          <w:sz w:val="24"/>
          <w:szCs w:val="24"/>
        </w:rPr>
        <w:t xml:space="preserve">iroximel fumarate </w:t>
      </w:r>
      <w:r w:rsidRPr="00AE47C6">
        <w:rPr>
          <w:rFonts w:ascii="Times New Roman" w:eastAsia="TimesNewRomanPSMT" w:hAnsi="Times New Roman"/>
          <w:sz w:val="24"/>
          <w:szCs w:val="24"/>
        </w:rPr>
        <w:t xml:space="preserve">също може да предизвика </w:t>
      </w:r>
      <w:r w:rsidRPr="00AE47C6">
        <w:rPr>
          <w:rFonts w:ascii="Times New Roman" w:eastAsia="SimSun" w:hAnsi="Times New Roman"/>
          <w:color w:val="333333"/>
          <w:sz w:val="24"/>
          <w:szCs w:val="24"/>
        </w:rPr>
        <w:t xml:space="preserve">в първите седмици от приложението долен диспептичен синдром и съответно намалена абсорбция на пероралните контрацептиви. Не повишават риска от вродени малформации на плода и спонтанен аборт. По време на терапията се препоръчва стриктно спазване на контрацепция. </w:t>
      </w:r>
      <w:r w:rsidRPr="00AE47C6">
        <w:rPr>
          <w:rFonts w:ascii="Times New Roman" w:eastAsia="SimSun" w:hAnsi="Times New Roman"/>
          <w:sz w:val="24"/>
          <w:szCs w:val="24"/>
        </w:rPr>
        <w:t xml:space="preserve">Лечението трябва да се спре 1 месец преди забременяване. Трябва да се избягва при кърмене. </w:t>
      </w:r>
    </w:p>
    <w:p w14:paraId="74D8392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Teriflunomide</w:t>
      </w:r>
      <w:r w:rsidRPr="00AE47C6">
        <w:rPr>
          <w:rFonts w:ascii="Times New Roman" w:eastAsia="SimSun" w:hAnsi="Times New Roman"/>
          <w:sz w:val="24"/>
          <w:szCs w:val="24"/>
        </w:rPr>
        <w:t xml:space="preserve"> е противопоказан при бременност поради тератогенност. Необходима е </w:t>
      </w:r>
      <w:r w:rsidRPr="00AE47C6">
        <w:rPr>
          <w:rFonts w:ascii="Times New Roman" w:eastAsia="SimSun" w:hAnsi="Times New Roman"/>
          <w:color w:val="333333"/>
          <w:sz w:val="24"/>
          <w:szCs w:val="24"/>
        </w:rPr>
        <w:t>ефективна контрацепция по време на терапията, както и за период от 2 години след спирането на лечението</w:t>
      </w:r>
      <w:r w:rsidRPr="00AE47C6">
        <w:rPr>
          <w:rFonts w:ascii="Times New Roman" w:eastAsia="SimSun" w:hAnsi="Times New Roman"/>
          <w:sz w:val="24"/>
          <w:szCs w:val="24"/>
        </w:rPr>
        <w:t xml:space="preserve"> </w:t>
      </w:r>
      <w:r w:rsidRPr="00AE47C6">
        <w:rPr>
          <w:rFonts w:ascii="Times New Roman" w:eastAsia="SimSun" w:hAnsi="Times New Roman"/>
          <w:color w:val="333333"/>
          <w:sz w:val="24"/>
          <w:szCs w:val="24"/>
        </w:rPr>
        <w:t xml:space="preserve">или минимум 6 седмици след установяване на серумна концентрация на teriflunomide &lt;0,02 mg/L в две последователни изследвания. </w:t>
      </w:r>
      <w:r w:rsidRPr="00AE47C6">
        <w:rPr>
          <w:rFonts w:ascii="Times New Roman" w:eastAsia="SimSun" w:hAnsi="Times New Roman"/>
          <w:sz w:val="24"/>
          <w:szCs w:val="24"/>
        </w:rPr>
        <w:t xml:space="preserve">Плазмената концентрация на teriflunomide трябва да се измери преди жената да прави опит за забременяване. При мъжете може да доведе до олигозооспермия. Рискът от медиирана от мъжа ембриофетална токсичност е нисък. При непланирана бременност е необходимо </w:t>
      </w:r>
      <w:r w:rsidRPr="00AE47C6">
        <w:rPr>
          <w:rFonts w:ascii="Times New Roman" w:eastAsia="SimSun" w:hAnsi="Times New Roman"/>
          <w:color w:val="333333"/>
          <w:sz w:val="24"/>
          <w:szCs w:val="24"/>
        </w:rPr>
        <w:t xml:space="preserve">лечението веднага да се прекрати </w:t>
      </w:r>
      <w:r w:rsidRPr="00AE47C6">
        <w:rPr>
          <w:rFonts w:ascii="Times New Roman" w:eastAsia="SimSun" w:hAnsi="Times New Roman"/>
          <w:sz w:val="24"/>
          <w:szCs w:val="24"/>
        </w:rPr>
        <w:t>и незабавно да се приложи ускорена елиминация с cholestyramine или активен въглен. Да се съобщава на децата от женски пол и/или родителите/полагащите грижи за деца от женски пол за необходимостта да се свържат с лекуващия лекар, след като детето от женски пол на лечение на Aubagio получи менструация. Необходимо е да се проведе консултация на новите пациенти с детероден потенциал относно контрацепцията и потенциалния риск за плода. Бременност, настъпила на фона на терапия с teriflunomide трябва да бъде третирана като високорискова и да се проследяват стриктно от опитен акушер-гинеколог и специалист по фетална морфология. Не се прилага при кърмене. Не взаимодейства с хормонална контрацепция и няма отношение към нейната ефективност.</w:t>
      </w:r>
    </w:p>
    <w:p w14:paraId="2615A07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 xml:space="preserve">Fingolimod </w:t>
      </w:r>
      <w:r w:rsidRPr="00AE47C6">
        <w:rPr>
          <w:rFonts w:ascii="Times New Roman" w:eastAsia="SimSun" w:hAnsi="Times New Roman"/>
          <w:sz w:val="24"/>
          <w:szCs w:val="24"/>
        </w:rPr>
        <w:t xml:space="preserve"> по време на лечение и 2 месеца след прекратяване на лечението трябва да се избягва забременяване, поради риск от увреждане на плода, въпреки липсата на данни за </w:t>
      </w:r>
      <w:r w:rsidRPr="00AE47C6">
        <w:rPr>
          <w:rFonts w:ascii="Times New Roman" w:eastAsia="SimSun" w:hAnsi="Times New Roman"/>
          <w:color w:val="333333"/>
          <w:sz w:val="24"/>
          <w:szCs w:val="24"/>
          <w:lang w:eastAsia="bg-BG"/>
        </w:rPr>
        <w:t>вродени малформации на плода.</w:t>
      </w:r>
      <w:r w:rsidRPr="00AE47C6">
        <w:rPr>
          <w:rFonts w:ascii="Times New Roman" w:eastAsia="SimSun" w:hAnsi="Times New Roman"/>
          <w:sz w:val="24"/>
          <w:szCs w:val="24"/>
        </w:rPr>
        <w:t xml:space="preserve"> Пациентките трябва да използват ефективни методи за контрацепция по време на лечението. </w:t>
      </w:r>
      <w:r w:rsidRPr="00AE47C6">
        <w:rPr>
          <w:rFonts w:ascii="Times New Roman" w:eastAsia="SimSun" w:hAnsi="Times New Roman"/>
          <w:color w:val="333333"/>
          <w:sz w:val="24"/>
          <w:szCs w:val="24"/>
        </w:rPr>
        <w:t xml:space="preserve">Терапията с fingolimod трябва да бъде спряна незабавно в случай на установяване на непланувана бременност. Бременност, настъпила на фона на терапия с fingolimod трябва да бъде третирана като високорискова и да се проследява активно от акушер-гинеколог и специалист по фетална морфология. </w:t>
      </w:r>
      <w:r w:rsidRPr="00AE47C6">
        <w:rPr>
          <w:rFonts w:ascii="Times New Roman" w:eastAsia="SimSun" w:hAnsi="Times New Roman"/>
          <w:sz w:val="24"/>
          <w:szCs w:val="24"/>
        </w:rPr>
        <w:t xml:space="preserve">Не трябва да се употребява по време на лактация. Няма данни за нарушаване на фертилността, </w:t>
      </w:r>
      <w:r w:rsidRPr="00AE47C6">
        <w:rPr>
          <w:rFonts w:ascii="Times New Roman" w:eastAsia="SimSun" w:hAnsi="Times New Roman"/>
          <w:color w:val="333333"/>
          <w:sz w:val="24"/>
          <w:szCs w:val="24"/>
        </w:rPr>
        <w:t>не взаимодейства с хормонална контрацепция и няма отношение към нейната ефективност.</w:t>
      </w:r>
    </w:p>
    <w:p w14:paraId="26BA465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Natalizumab</w:t>
      </w:r>
      <w:r w:rsidRPr="00AE47C6">
        <w:rPr>
          <w:rFonts w:ascii="Times New Roman" w:eastAsia="SimSun" w:hAnsi="Times New Roman"/>
          <w:sz w:val="24"/>
          <w:szCs w:val="24"/>
        </w:rPr>
        <w:t xml:space="preserve"> е добре да се спре два месеца преди забременяване, въпреки че</w:t>
      </w:r>
      <w:r w:rsidRPr="00AE47C6">
        <w:rPr>
          <w:rFonts w:ascii="Times New Roman" w:eastAsia="SimSun" w:hAnsi="Times New Roman"/>
          <w:color w:val="333333"/>
          <w:sz w:val="24"/>
          <w:szCs w:val="24"/>
          <w:lang w:eastAsia="bg-BG"/>
        </w:rPr>
        <w:t xml:space="preserve"> няма данни да е необходим период на изчистване преди зачеване</w:t>
      </w:r>
      <w:r w:rsidRPr="00AE47C6">
        <w:rPr>
          <w:rFonts w:ascii="Times New Roman" w:eastAsia="SimSun" w:hAnsi="Times New Roman"/>
          <w:sz w:val="24"/>
          <w:szCs w:val="24"/>
        </w:rPr>
        <w:t xml:space="preserve">. </w:t>
      </w:r>
      <w:r w:rsidRPr="00AE47C6">
        <w:rPr>
          <w:rFonts w:ascii="Times New Roman" w:eastAsia="SimSun" w:hAnsi="Times New Roman"/>
          <w:color w:val="333333"/>
          <w:sz w:val="24"/>
          <w:szCs w:val="24"/>
          <w:lang w:eastAsia="bg-BG"/>
        </w:rPr>
        <w:t xml:space="preserve">Не преминава плацентарната бариера през първия триместър на бременността, но през втория и третия триместър подлежи на активен транспорт през плацентата. Лечението трябва да се прекрати ако се установи непланувана бременност в периода на лечение. При експозиция на natalizumab по време на бременност, рутинното образно мониториране за ПМЛ би трябвало да продължи. </w:t>
      </w:r>
      <w:r w:rsidRPr="00AE47C6">
        <w:rPr>
          <w:rFonts w:ascii="Times New Roman" w:eastAsia="SimSun" w:hAnsi="Times New Roman"/>
          <w:sz w:val="24"/>
          <w:szCs w:val="24"/>
        </w:rPr>
        <w:t xml:space="preserve">Няма </w:t>
      </w:r>
      <w:r w:rsidRPr="00AE47C6">
        <w:rPr>
          <w:rFonts w:ascii="Times New Roman" w:eastAsia="SimSun" w:hAnsi="Times New Roman"/>
          <w:color w:val="333333"/>
          <w:sz w:val="24"/>
          <w:szCs w:val="24"/>
          <w:lang w:eastAsia="bg-BG"/>
        </w:rPr>
        <w:t xml:space="preserve">отношение към фертилността или вродените малформации на плода. Подновяване на терапията с natalizumab следва да се обсъди възможно най-скоро след раждането поради риска от пристъп на заболяването. </w:t>
      </w:r>
      <w:r w:rsidRPr="00AE47C6">
        <w:rPr>
          <w:rFonts w:ascii="Times New Roman" w:eastAsia="SimSun" w:hAnsi="Times New Roman"/>
          <w:sz w:val="24"/>
          <w:szCs w:val="24"/>
        </w:rPr>
        <w:t xml:space="preserve">Не се препоръчва по време на лактация. </w:t>
      </w:r>
      <w:r w:rsidRPr="00AE47C6">
        <w:rPr>
          <w:rFonts w:ascii="Times New Roman" w:eastAsia="SimSun" w:hAnsi="Times New Roman"/>
          <w:color w:val="333333"/>
          <w:sz w:val="24"/>
          <w:szCs w:val="24"/>
          <w:lang w:eastAsia="bg-BG"/>
        </w:rPr>
        <w:t>Не взаимодейства с хормонална контрацепция и няма отношение към нейната ефективност.</w:t>
      </w:r>
    </w:p>
    <w:p w14:paraId="5329E95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Alemtuzumab</w:t>
      </w:r>
      <w:r w:rsidRPr="00AE47C6">
        <w:rPr>
          <w:rFonts w:ascii="Times New Roman" w:eastAsia="SimSun" w:hAnsi="Times New Roman"/>
          <w:sz w:val="24"/>
          <w:szCs w:val="24"/>
        </w:rPr>
        <w:t xml:space="preserve"> изисква </w:t>
      </w:r>
      <w:r w:rsidRPr="00AE47C6">
        <w:rPr>
          <w:rFonts w:ascii="Times New Roman" w:eastAsia="SimSun" w:hAnsi="Times New Roman"/>
          <w:color w:val="333333"/>
          <w:sz w:val="24"/>
          <w:szCs w:val="24"/>
        </w:rPr>
        <w:t xml:space="preserve">спазване на ефективна контрацепция по време на лечението, както и 4 месеца след последната инфузия. </w:t>
      </w:r>
      <w:r w:rsidRPr="00AE47C6">
        <w:rPr>
          <w:rFonts w:ascii="Times New Roman" w:eastAsia="SimSun" w:hAnsi="Times New Roman"/>
          <w:sz w:val="24"/>
          <w:szCs w:val="24"/>
        </w:rPr>
        <w:t xml:space="preserve">До 4 години след инфузия тироидната функция трябва да се проследява поради връзката й с феталното </w:t>
      </w:r>
      <w:r w:rsidRPr="00AE47C6">
        <w:rPr>
          <w:rFonts w:ascii="Times New Roman" w:eastAsia="SimSun" w:hAnsi="Times New Roman"/>
          <w:bCs/>
          <w:sz w:val="24"/>
          <w:szCs w:val="24"/>
        </w:rPr>
        <w:t>благополучие</w:t>
      </w:r>
      <w:r w:rsidRPr="00AE47C6">
        <w:rPr>
          <w:rFonts w:ascii="Times New Roman" w:eastAsia="SimSun" w:hAnsi="Times New Roman"/>
          <w:sz w:val="24"/>
          <w:szCs w:val="24"/>
        </w:rPr>
        <w:t xml:space="preserve">. </w:t>
      </w:r>
      <w:r w:rsidRPr="00AE47C6">
        <w:rPr>
          <w:rFonts w:ascii="Times New Roman" w:eastAsia="SimSun" w:hAnsi="Times New Roman"/>
          <w:color w:val="333333"/>
          <w:sz w:val="24"/>
          <w:szCs w:val="24"/>
        </w:rPr>
        <w:t>Бременност, настъпила в рамките на месец след приложение на alemtuzumab трябва да бъде интензивно проследявана. Забременелите след alemtuzumab подлежат на рутинното ежемесечно лабораторно проследяване за период от поне 4 години след последната инфузия. Пациентките са застрашени от автоимунни заболявания като тироидни нарушения, имунна тромбоцитопенична пурпура, нефропатии и други. Поява на лекарствено индуцирана автоимунност по време на бременност би засегнала както майката, така и плода (най-често неонатална тиреотоксикоза).</w:t>
      </w:r>
      <w:r w:rsidRPr="00AE47C6">
        <w:rPr>
          <w:rFonts w:ascii="Times New Roman" w:eastAsia="SimSun" w:hAnsi="Times New Roman"/>
          <w:sz w:val="24"/>
          <w:szCs w:val="24"/>
        </w:rPr>
        <w:t xml:space="preserve"> Кърменето се преустановява по време на всеки курс на лечение и 4 месеца след това. </w:t>
      </w:r>
      <w:r w:rsidRPr="00AE47C6">
        <w:rPr>
          <w:rFonts w:ascii="Times New Roman" w:eastAsia="SimSun" w:hAnsi="Times New Roman"/>
          <w:color w:val="333333"/>
          <w:sz w:val="24"/>
          <w:szCs w:val="24"/>
        </w:rPr>
        <w:t>Не е известно да взаимодейства с хормоналната контрацепция, нито да има отношение към нейната ефективност.</w:t>
      </w:r>
    </w:p>
    <w:p w14:paraId="09E8EDF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Cladribine</w:t>
      </w:r>
      <w:r w:rsidRPr="00AE47C6">
        <w:rPr>
          <w:rFonts w:ascii="Times New Roman" w:eastAsia="SimSun" w:hAnsi="Times New Roman"/>
          <w:sz w:val="24"/>
          <w:szCs w:val="24"/>
        </w:rPr>
        <w:t xml:space="preserve"> е противопоказан при бременни жени. При жени с детероден потенциал трябва да се изключи бременност преди започване на лечение с cladribine през първата и втората година и да се използва ефективна контрацепция по време на лечението, и в продължение на поне 6 месеца след последната доза. </w:t>
      </w:r>
      <w:r w:rsidRPr="00AE47C6">
        <w:rPr>
          <w:rFonts w:ascii="Times New Roman" w:eastAsia="SimSun" w:hAnsi="Times New Roman"/>
          <w:color w:val="333333"/>
          <w:sz w:val="24"/>
          <w:szCs w:val="24"/>
        </w:rPr>
        <w:t xml:space="preserve">Препоръчително е жените да използват „двойна“ контрацепция със съчетание на перорален и бариерен метод, поради сериозния потенциален риск за плода при непланувана бременност. </w:t>
      </w:r>
      <w:r w:rsidRPr="00AE47C6">
        <w:rPr>
          <w:rFonts w:ascii="Times New Roman" w:eastAsia="SimSun" w:hAnsi="Times New Roman"/>
          <w:sz w:val="24"/>
          <w:szCs w:val="24"/>
        </w:rPr>
        <w:t xml:space="preserve">Жените, които са забременели по време на терапията, трябва да прекратят лечението. </w:t>
      </w:r>
      <w:r w:rsidRPr="00AE47C6">
        <w:rPr>
          <w:rFonts w:ascii="Times New Roman" w:eastAsia="SimSun" w:hAnsi="Times New Roman"/>
          <w:color w:val="333333"/>
          <w:sz w:val="24"/>
          <w:szCs w:val="24"/>
        </w:rPr>
        <w:t xml:space="preserve">Мъжете, лекувани с cladribine също трябва да спазват стриктна контрацепция по време на терапията и 6 месеца след последна доза. </w:t>
      </w:r>
      <w:r w:rsidRPr="00AE47C6">
        <w:rPr>
          <w:rFonts w:ascii="Times New Roman" w:eastAsia="SimSun" w:hAnsi="Times New Roman"/>
          <w:sz w:val="24"/>
          <w:szCs w:val="24"/>
        </w:rPr>
        <w:t>Кърменето е противопоказано  по време на лечението и в продължение на 1 седмица след последната доза.</w:t>
      </w:r>
      <w:r w:rsidRPr="00AE47C6">
        <w:rPr>
          <w:rFonts w:ascii="Times New Roman" w:eastAsia="SimSun" w:hAnsi="Times New Roman"/>
          <w:color w:val="333333"/>
          <w:sz w:val="24"/>
          <w:szCs w:val="24"/>
        </w:rPr>
        <w:t xml:space="preserve"> Не повлиява ефекта на хормоналната контрацепция.</w:t>
      </w:r>
    </w:p>
    <w:p w14:paraId="47FD19C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Ocrelizumab</w:t>
      </w:r>
      <w:r w:rsidRPr="00AE47C6">
        <w:rPr>
          <w:rFonts w:ascii="Times New Roman" w:eastAsia="SimSun" w:hAnsi="Times New Roman"/>
          <w:color w:val="333333"/>
          <w:sz w:val="24"/>
          <w:szCs w:val="24"/>
        </w:rPr>
        <w:t xml:space="preserve"> изисква да се спазва ефективна контрацепция по време на терапията, както и в рамките на 12 месеца след последната инфузия. При бременност, настъпила на фона на терапия с ocrelizumab се препоръчва мониториране на В-клетъчния брой на изложените новородени. Приложението на живи и живи атенюирани ваксини на тези деца трябва да се отложи до нормализиране на клетъчния брой. Лечение с ocrelizumab не се препоръчва в периода на кърмене. Не е известно да взаимодейства с хормонална контрацепция или да има отношение към нейната ефективност.</w:t>
      </w:r>
    </w:p>
    <w:p w14:paraId="53D1EDD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color w:val="333333"/>
          <w:sz w:val="24"/>
          <w:szCs w:val="24"/>
        </w:rPr>
        <w:t>Ofatumumab</w:t>
      </w:r>
      <w:r w:rsidRPr="00AE47C6">
        <w:rPr>
          <w:rFonts w:ascii="Times New Roman" w:eastAsia="SimSun" w:hAnsi="Times New Roman"/>
          <w:color w:val="333333"/>
          <w:sz w:val="24"/>
          <w:szCs w:val="24"/>
        </w:rPr>
        <w:t xml:space="preserve"> изисква да се спазва ефективна контрацепция по време на терапията, както и в рамките на 6 месеца след последната доза. Лечение с ofatumumab следва да се избягва по време на бременност, освен ако възможната полза за майката надвишава потенциалния риск за фетуса. Употребата на ofatumumab при жени през периода на кърмене не е проучвана. Ако пациентката е лекувана с ofatumumab до последните няколко месеца от бременността, кърменето може да започне веднага след раждането. Няма данни за ефекта на ofatumumab върху фертилитета.</w:t>
      </w:r>
    </w:p>
    <w:p w14:paraId="379DF3B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 xml:space="preserve">Siponimod </w:t>
      </w:r>
      <w:r w:rsidRPr="00AE47C6">
        <w:rPr>
          <w:rFonts w:ascii="Times New Roman" w:eastAsia="SimSun" w:hAnsi="Times New Roman"/>
          <w:sz w:val="24"/>
          <w:szCs w:val="24"/>
        </w:rPr>
        <w:t xml:space="preserve">е противопоказан по време на бременност и при жени с детероден потенциал, които не използват ефективна контрацепция поради риска за плода. Преди започване на лечението жените с детероден потенциал трябва да бъдат информирани за съществуващия риск за плода, трябва да имат отрицателен резултат от тест за бременност и трябва да използват ефективна контрацепция по време на лечението и най-малко 10 дни след спирането му </w:t>
      </w:r>
    </w:p>
    <w:p w14:paraId="419BD6E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Приемът  на </w:t>
      </w:r>
      <w:r w:rsidRPr="00AE47C6">
        <w:rPr>
          <w:rFonts w:ascii="Times New Roman" w:eastAsia="SimSun" w:hAnsi="Times New Roman"/>
          <w:i/>
          <w:iCs/>
          <w:sz w:val="24"/>
          <w:szCs w:val="24"/>
        </w:rPr>
        <w:t>кортикостероиди</w:t>
      </w:r>
      <w:r w:rsidRPr="00AE47C6">
        <w:rPr>
          <w:rFonts w:ascii="Times New Roman" w:eastAsia="SimSun" w:hAnsi="Times New Roman"/>
          <w:sz w:val="24"/>
          <w:szCs w:val="24"/>
        </w:rPr>
        <w:t xml:space="preserve"> и други симптоматични медикаменти е необходимо също да се преустанови при бременност. Кратки курсове (3-5 дни) с prednisolone или methylprednisolone могат да се прилагат при пристъп само през II и III триместър.</w:t>
      </w:r>
    </w:p>
    <w:p w14:paraId="1290157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Няма данни за нарастване на риска или за ребаунд феномен на заболяването в краткосрочен аспект след спиране на медикаментите модифициращи хода на заболяването, а от друга страна пациентката влиза в периода на протекция на заболяването от бременността. След раждането обаче, когато рискът от заболяване нараства е желателно веднага да се започне прилагането на медикаменти, модифициращи хода на заболяването. При това положение жената не бива да кърми, а детето се храни изкуствено. Ако пациентката не получава медикаменти, не само че няма противопоказания за кърмене, но то може да има и протективен ефект по отношение на активността на заболяването. </w:t>
      </w:r>
    </w:p>
    <w:p w14:paraId="3C943CE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Няма специални изисквания към начинът на раждане, има предположения, които не са доказани, че трябва да се избягва спиналната анестезия. </w:t>
      </w:r>
    </w:p>
    <w:p w14:paraId="1DF0B55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Прилагането на орални контрацептиви не повлиява хода на заболяването, така че няма противопоказания за прилагане на контрацепция. Изключения правят пациентите с рядко срещаната форма на множествена склероза, при които пристъпите са тясно свързани с менструацията и контрацепцията може да повлияе добре хода на заболяването. </w:t>
      </w:r>
    </w:p>
    <w:p w14:paraId="3668D0F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Няма противопоказания и за прилагане за хормоно-заместителна терапия по време на менопаузата. Симптомите на заболяването, които се влошават по време на менопаузата се повлияват от хормоно-заместителна терапия. </w:t>
      </w:r>
    </w:p>
    <w:p w14:paraId="6E26A80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 xml:space="preserve">Ваксинациите </w:t>
      </w:r>
      <w:r w:rsidRPr="00AE47C6">
        <w:rPr>
          <w:rFonts w:ascii="Times New Roman" w:eastAsia="SimSun" w:hAnsi="Times New Roman"/>
          <w:sz w:val="24"/>
          <w:szCs w:val="24"/>
        </w:rPr>
        <w:t>са безопасни при пациенти с МС. Има дори данни, че ваксинацията против грип и противотуберкулозната BCG ваксина намаляват честотата на пристъпите. Изключение е прилагането на ваксинация по време на пристъп или в много активен стадий на заболяването. По-добре е пациентите да използват противогрипна ваксина, защото грипът и другите вирусни заболявания са причина за 25% от всички пристъпи. Всички ваксинации са безопасни и при пациенти лекуващи се с медикаменти модифициращи хода на заболяването. Имунизациите са безопасни и при пациенти получаващи имуносупресивна терапия, с изключение на живите ваксини (варицела, морбили, рубеола, заушка). Ваксинациите за Covid 19 имат отношение към прилаганото болест модифициращо лечение (приложение 8).</w:t>
      </w:r>
    </w:p>
    <w:p w14:paraId="5C098CE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Храненето и физическата активност</w:t>
      </w:r>
      <w:r w:rsidRPr="00AE47C6">
        <w:rPr>
          <w:rFonts w:ascii="Times New Roman" w:eastAsia="SimSun" w:hAnsi="Times New Roman"/>
          <w:sz w:val="24"/>
          <w:szCs w:val="24"/>
        </w:rPr>
        <w:t xml:space="preserve"> са обект на множество проучвания. Препоръчва се нормална физическа активност, аеробика и спортни занимания, които са приятни за пациента, но да се избягват прегряване, дехидратация, преумора и активност свързана с потенциално нараняване. Повишаването на телесната температура по време на активната физическа активност може да предизвика преходни симптоми (парестезии, замъглено виждане), които нямат дълготрайни последици и не са противопоказание за спортуване. Плуването не е противопоказано, ако водата не е топла. Пациентите със слабост в долните крайници могат да участват в спортна активност свързана с горните крайници (йога). </w:t>
      </w:r>
    </w:p>
    <w:p w14:paraId="757065B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Няма доказателства, че някоя от предложените диети имат положителен ефект върху хода на заболяването. Широко популярна е диетата с ниско съдържание на мазнини, но досега стойността на тази диета не е доказана. На пациентите все пак се предлага диета богата на полиненаситени мастни киселини и витамин D, бедна на животински мазнини и спиране на тютюнопушенето.</w:t>
      </w:r>
    </w:p>
    <w:p w14:paraId="73FA325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Социалните и психологически аспекти</w:t>
      </w:r>
      <w:r w:rsidRPr="00AE47C6">
        <w:rPr>
          <w:rFonts w:ascii="Times New Roman" w:eastAsia="SimSun" w:hAnsi="Times New Roman"/>
          <w:sz w:val="24"/>
          <w:szCs w:val="24"/>
        </w:rPr>
        <w:t xml:space="preserve"> на заболяването са изключително важни. В началото на заболяването пациентите научавайки за тежката си прогноза и несигурно бъдеще имат нужда от емоционална подкрепа. С нарастването на инвалидността пациентите вече не могат да изпълняват трудовите си задължения и в края на краищата спират да работят. По-късно те стават зависими в ежедневието от други хора, които се грижат за тях. Често техните съпрузи ги изоставят и пациентите трябва да се грижат сами за себе си. През различните стадии на заболяването пациентите се сблъскват с различни проблеми и трябва да бъдат подготвени за тях чрез своевременно обучение.</w:t>
      </w:r>
    </w:p>
    <w:p w14:paraId="6069CA9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Обучението</w:t>
      </w:r>
      <w:r w:rsidRPr="00AE47C6">
        <w:rPr>
          <w:rFonts w:ascii="Times New Roman" w:eastAsia="SimSun" w:hAnsi="Times New Roman"/>
          <w:sz w:val="24"/>
          <w:szCs w:val="24"/>
        </w:rPr>
        <w:t xml:space="preserve"> на пациентите трябва да започне с поставянето на диагнозата. На пациента трябва да се обясни естеството на заболяването и възможността за благоприятна прогноза. Необходимо е да се обясни хигиенно-диетичния режим, който трябва да спазва и да се посъветва да се предпазва от “алтернативни” методи на лечение. В началото на заболяването не е удачно пациента да се насочва към “общества на болните от множествена склероза”, защото там ще срещне много пациенти с тежък неврологичен дефицит, за което той все още не е подготвен психически. Повечето пациентски брошури също са насочени към пациенти в по-напреднали стадии на заболяването.  В по-късните стадии на заболяването подкрепата, която пациентът може да получи от различни асоциации и общества е изключително важна. </w:t>
      </w:r>
    </w:p>
    <w:p w14:paraId="558E9385"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226" w:name="_Toc155651807"/>
      <w:bookmarkStart w:id="227" w:name="_Toc164075941"/>
      <w:r w:rsidRPr="00AE47C6">
        <w:rPr>
          <w:rFonts w:ascii="Times New Roman" w:eastAsia="SimSun" w:hAnsi="Times New Roman"/>
          <w:b/>
          <w:sz w:val="24"/>
          <w:szCs w:val="24"/>
        </w:rPr>
        <w:t>Приложение 1. Форми на клинично протичане на МС според времевия профил</w:t>
      </w:r>
      <w:bookmarkEnd w:id="226"/>
      <w:bookmarkEnd w:id="227"/>
    </w:p>
    <w:p w14:paraId="59BE2EC8" w14:textId="77777777" w:rsidR="00BE0B19" w:rsidRPr="00AE47C6" w:rsidRDefault="00BE0B19" w:rsidP="00BE0B19">
      <w:pPr>
        <w:spacing w:after="0" w:line="360" w:lineRule="auto"/>
        <w:ind w:firstLine="709"/>
        <w:jc w:val="center"/>
        <w:rPr>
          <w:rFonts w:ascii="Times New Roman" w:eastAsia="SimSun" w:hAnsi="Times New Roman"/>
          <w:sz w:val="24"/>
          <w:szCs w:val="24"/>
        </w:rPr>
      </w:pPr>
    </w:p>
    <w:p w14:paraId="701583D9"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82144" behindDoc="0" locked="0" layoutInCell="1" allowOverlap="1" wp14:anchorId="349D0C60" wp14:editId="07F08802">
                <wp:simplePos x="0" y="0"/>
                <wp:positionH relativeFrom="column">
                  <wp:posOffset>1194435</wp:posOffset>
                </wp:positionH>
                <wp:positionV relativeFrom="paragraph">
                  <wp:posOffset>39984</wp:posOffset>
                </wp:positionV>
                <wp:extent cx="3429000" cy="342900"/>
                <wp:effectExtent l="0" t="0" r="19050" b="19050"/>
                <wp:wrapNone/>
                <wp:docPr id="27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42900"/>
                        </a:xfrm>
                        <a:prstGeom prst="rect">
                          <a:avLst/>
                        </a:prstGeom>
                        <a:solidFill>
                          <a:srgbClr val="FFFFFF"/>
                        </a:solidFill>
                        <a:ln w="9525">
                          <a:solidFill>
                            <a:srgbClr val="000000"/>
                          </a:solidFill>
                          <a:miter lim="800000"/>
                          <a:headEnd/>
                          <a:tailEnd/>
                        </a:ln>
                      </wps:spPr>
                      <wps:txbx>
                        <w:txbxContent>
                          <w:p w14:paraId="0BB5907F" w14:textId="77777777" w:rsidR="00471742" w:rsidRPr="00CE2DF3" w:rsidRDefault="00471742" w:rsidP="00BE0B19">
                            <w:pPr>
                              <w:jc w:val="center"/>
                              <w:rPr>
                                <w:b/>
                              </w:rPr>
                            </w:pPr>
                            <w:r w:rsidRPr="00CE2DF3">
                              <w:rPr>
                                <w:b/>
                              </w:rPr>
                              <w:t>Пристъпно-ремитентна форма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D0C60" id="Text Box 32" o:spid="_x0000_s1171" type="#_x0000_t202" style="position:absolute;margin-left:94.05pt;margin-top:3.15pt;width:270pt;height:27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">
                <v:textbox>
                  <w:txbxContent>
                    <w:p w14:paraId="0BB5907F" w14:textId="77777777" w:rsidR="00471742" w:rsidRPr="00CE2DF3" w:rsidRDefault="00471742" w:rsidP="00BE0B19">
                      <w:pPr>
                        <w:jc w:val="center"/>
                        <w:rPr>
                          <w:b/>
                        </w:rPr>
                      </w:pPr>
                      <w:r w:rsidRPr="00CE2DF3">
                        <w:rPr>
                          <w:b/>
                        </w:rPr>
                        <w:t>Пристъпно-ремитентна форма</w:t>
                      </w:r>
                    </w:p>
                  </w:txbxContent>
                </v:textbox>
              </v:shape>
            </w:pict>
          </mc:Fallback>
        </mc:AlternateContent>
      </w:r>
    </w:p>
    <w:p w14:paraId="047009D5" w14:textId="77777777" w:rsidR="00BE0B19" w:rsidRPr="00AE47C6" w:rsidRDefault="00BE0B19" w:rsidP="00BE0B19">
      <w:pPr>
        <w:spacing w:after="0" w:line="360" w:lineRule="auto"/>
        <w:ind w:hanging="567"/>
        <w:jc w:val="center"/>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g">
            <w:drawing>
              <wp:inline distT="0" distB="0" distL="0" distR="0" wp14:anchorId="319E72FE" wp14:editId="26AE51F1">
                <wp:extent cx="6057900" cy="2198370"/>
                <wp:effectExtent l="0" t="0" r="0" b="11430"/>
                <wp:docPr id="272" name="Group 10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057900" cy="2198370"/>
                          <a:chOff x="2274" y="477"/>
                          <a:chExt cx="7200" cy="3487"/>
                        </a:xfrm>
                      </wpg:grpSpPr>
                      <wps:wsp>
                        <wps:cNvPr id="273" name="AutoShape 110"/>
                        <wps:cNvSpPr>
                          <a:spLocks noChangeAspect="1" noChangeArrowheads="1" noTextEdit="1"/>
                        </wps:cNvSpPr>
                        <wps:spPr bwMode="auto">
                          <a:xfrm>
                            <a:off x="2274" y="621"/>
                            <a:ext cx="7200" cy="3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 name="Line 111"/>
                        <wps:cNvCnPr>
                          <a:cxnSpLocks noChangeShapeType="1"/>
                        </wps:cNvCnPr>
                        <wps:spPr bwMode="auto">
                          <a:xfrm>
                            <a:off x="3225" y="1026"/>
                            <a:ext cx="1" cy="216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5" name="Line 112"/>
                        <wps:cNvCnPr>
                          <a:cxnSpLocks noChangeShapeType="1"/>
                        </wps:cNvCnPr>
                        <wps:spPr bwMode="auto">
                          <a:xfrm>
                            <a:off x="3225" y="3186"/>
                            <a:ext cx="217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6" name="Rectangle 113"/>
                        <wps:cNvSpPr>
                          <a:spLocks noChangeArrowheads="1"/>
                        </wps:cNvSpPr>
                        <wps:spPr bwMode="auto">
                          <a:xfrm>
                            <a:off x="3361" y="1701"/>
                            <a:ext cx="136" cy="14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7" name="Rectangle 114"/>
                        <wps:cNvSpPr>
                          <a:spLocks noChangeArrowheads="1"/>
                        </wps:cNvSpPr>
                        <wps:spPr bwMode="auto">
                          <a:xfrm>
                            <a:off x="3768" y="2916"/>
                            <a:ext cx="136" cy="2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79" name="Rectangle 115"/>
                        <wps:cNvSpPr>
                          <a:spLocks noChangeArrowheads="1"/>
                        </wps:cNvSpPr>
                        <wps:spPr bwMode="auto">
                          <a:xfrm>
                            <a:off x="4583" y="2241"/>
                            <a:ext cx="138" cy="9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0" name="Rectangle 116"/>
                        <wps:cNvSpPr>
                          <a:spLocks noChangeArrowheads="1"/>
                        </wps:cNvSpPr>
                        <wps:spPr bwMode="auto">
                          <a:xfrm>
                            <a:off x="5127" y="2916"/>
                            <a:ext cx="136" cy="2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1" name="Text Box 117"/>
                        <wps:cNvSpPr txBox="1">
                          <a:spLocks noChangeArrowheads="1"/>
                        </wps:cNvSpPr>
                        <wps:spPr bwMode="auto">
                          <a:xfrm>
                            <a:off x="5127" y="3321"/>
                            <a:ext cx="1222" cy="590"/>
                          </a:xfrm>
                          <a:prstGeom prst="rect">
                            <a:avLst/>
                          </a:prstGeom>
                          <a:solidFill>
                            <a:srgbClr val="FFFFFF"/>
                          </a:solidFill>
                          <a:ln w="9525">
                            <a:solidFill>
                              <a:srgbClr val="000000"/>
                            </a:solidFill>
                            <a:miter lim="800000"/>
                            <a:headEnd/>
                            <a:tailEnd/>
                          </a:ln>
                        </wps:spPr>
                        <wps:txbx>
                          <w:txbxContent>
                            <w:p w14:paraId="4F750FF5" w14:textId="77777777" w:rsidR="00471742" w:rsidRPr="00FA32D5" w:rsidRDefault="00471742" w:rsidP="00BE0B19">
                              <w:pPr>
                                <w:jc w:val="center"/>
                              </w:pPr>
                              <w:r>
                                <w:t>време</w:t>
                              </w:r>
                            </w:p>
                          </w:txbxContent>
                        </wps:txbx>
                        <wps:bodyPr rot="0" vert="horz" wrap="square" lIns="91440" tIns="45720" rIns="91440" bIns="45720" anchor="t" anchorCtr="0" upright="1">
                          <a:noAutofit/>
                        </wps:bodyPr>
                      </wps:wsp>
                      <wps:wsp>
                        <wps:cNvPr id="282" name="Text Box 118"/>
                        <wps:cNvSpPr txBox="1">
                          <a:spLocks noChangeArrowheads="1"/>
                        </wps:cNvSpPr>
                        <wps:spPr bwMode="auto">
                          <a:xfrm>
                            <a:off x="2817" y="477"/>
                            <a:ext cx="272" cy="3487"/>
                          </a:xfrm>
                          <a:prstGeom prst="rect">
                            <a:avLst/>
                          </a:prstGeom>
                          <a:solidFill>
                            <a:srgbClr val="FFFFFF"/>
                          </a:solidFill>
                          <a:ln w="9525">
                            <a:solidFill>
                              <a:srgbClr val="000000"/>
                            </a:solidFill>
                            <a:miter lim="800000"/>
                            <a:headEnd/>
                            <a:tailEnd/>
                          </a:ln>
                        </wps:spPr>
                        <wps:txbx>
                          <w:txbxContent>
                            <w:p w14:paraId="58F21034" w14:textId="77777777" w:rsidR="00471742" w:rsidRPr="00FA32D5" w:rsidRDefault="00471742" w:rsidP="00BE0B19">
                              <w:r>
                                <w:t>инвалидност</w:t>
                              </w:r>
                            </w:p>
                          </w:txbxContent>
                        </wps:txbx>
                        <wps:bodyPr rot="0" vert="horz" wrap="square" lIns="91440" tIns="45720" rIns="91440" bIns="45720" anchor="t" anchorCtr="0" upright="1">
                          <a:noAutofit/>
                        </wps:bodyPr>
                      </wps:wsp>
                      <wps:wsp>
                        <wps:cNvPr id="283" name="Line 119"/>
                        <wps:cNvCnPr>
                          <a:cxnSpLocks noChangeShapeType="1"/>
                        </wps:cNvCnPr>
                        <wps:spPr bwMode="auto">
                          <a:xfrm>
                            <a:off x="6078" y="1026"/>
                            <a:ext cx="1" cy="216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4" name="Line 120"/>
                        <wps:cNvCnPr>
                          <a:cxnSpLocks noChangeShapeType="1"/>
                        </wps:cNvCnPr>
                        <wps:spPr bwMode="auto">
                          <a:xfrm>
                            <a:off x="6078" y="3186"/>
                            <a:ext cx="2853"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5" name="Line 121"/>
                        <wps:cNvCnPr>
                          <a:cxnSpLocks noChangeShapeType="1"/>
                        </wps:cNvCnPr>
                        <wps:spPr bwMode="auto">
                          <a:xfrm flipV="1">
                            <a:off x="6349" y="2376"/>
                            <a:ext cx="0" cy="8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6" name="Line 122"/>
                        <wps:cNvCnPr>
                          <a:cxnSpLocks noChangeShapeType="1"/>
                        </wps:cNvCnPr>
                        <wps:spPr bwMode="auto">
                          <a:xfrm>
                            <a:off x="6349" y="2376"/>
                            <a:ext cx="2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7" name="Line 123"/>
                        <wps:cNvCnPr>
                          <a:cxnSpLocks noChangeShapeType="1"/>
                        </wps:cNvCnPr>
                        <wps:spPr bwMode="auto">
                          <a:xfrm>
                            <a:off x="6621" y="2376"/>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2" name="Line 124"/>
                        <wps:cNvCnPr>
                          <a:cxnSpLocks noChangeShapeType="1"/>
                        </wps:cNvCnPr>
                        <wps:spPr bwMode="auto">
                          <a:xfrm>
                            <a:off x="6621" y="2916"/>
                            <a:ext cx="2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3" name="Line 125"/>
                        <wps:cNvCnPr>
                          <a:cxnSpLocks noChangeShapeType="1"/>
                        </wps:cNvCnPr>
                        <wps:spPr bwMode="auto">
                          <a:xfrm flipV="1">
                            <a:off x="6893" y="2106"/>
                            <a:ext cx="0" cy="8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4" name="Line 126"/>
                        <wps:cNvCnPr>
                          <a:cxnSpLocks noChangeShapeType="1"/>
                        </wps:cNvCnPr>
                        <wps:spPr bwMode="auto">
                          <a:xfrm>
                            <a:off x="6893" y="2106"/>
                            <a:ext cx="2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5" name="Line 127"/>
                        <wps:cNvCnPr>
                          <a:cxnSpLocks noChangeShapeType="1"/>
                        </wps:cNvCnPr>
                        <wps:spPr bwMode="auto">
                          <a:xfrm>
                            <a:off x="7165" y="210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9" name="Line 128"/>
                        <wps:cNvCnPr>
                          <a:cxnSpLocks noChangeShapeType="1"/>
                        </wps:cNvCnPr>
                        <wps:spPr bwMode="auto">
                          <a:xfrm>
                            <a:off x="7165" y="2106"/>
                            <a:ext cx="0" cy="5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0" name="Line 129"/>
                        <wps:cNvCnPr>
                          <a:cxnSpLocks noChangeShapeType="1"/>
                        </wps:cNvCnPr>
                        <wps:spPr bwMode="auto">
                          <a:xfrm>
                            <a:off x="7165" y="2646"/>
                            <a:ext cx="54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1" name="Line 130"/>
                        <wps:cNvCnPr>
                          <a:cxnSpLocks noChangeShapeType="1"/>
                        </wps:cNvCnPr>
                        <wps:spPr bwMode="auto">
                          <a:xfrm flipV="1">
                            <a:off x="7708" y="1971"/>
                            <a:ext cx="0" cy="6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2" name="Line 131"/>
                        <wps:cNvCnPr>
                          <a:cxnSpLocks noChangeShapeType="1"/>
                        </wps:cNvCnPr>
                        <wps:spPr bwMode="auto">
                          <a:xfrm>
                            <a:off x="7708" y="1971"/>
                            <a:ext cx="2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3" name="Line 132"/>
                        <wps:cNvCnPr>
                          <a:cxnSpLocks noChangeShapeType="1"/>
                        </wps:cNvCnPr>
                        <wps:spPr bwMode="auto">
                          <a:xfrm>
                            <a:off x="7980" y="1971"/>
                            <a:ext cx="0" cy="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4" name="Line 133"/>
                        <wps:cNvCnPr>
                          <a:cxnSpLocks noChangeShapeType="1"/>
                        </wps:cNvCnPr>
                        <wps:spPr bwMode="auto">
                          <a:xfrm>
                            <a:off x="7980" y="2241"/>
                            <a:ext cx="54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9E72FE" id="Group 109" o:spid="_x0000_s1172" style="width:477pt;height:173.1pt;mso-position-horizontal-relative:char;mso-position-vertical-relative:line" coordorigin="2274,477" coordsize="7200,3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">
                <o:lock v:ext="edit" aspectratio="t"/>
                <v:rect id="AutoShape 110" o:spid="_x0000_s1173" style="position:absolute;left:2274;top:621;width:7200;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" filled="f" stroked="f">
                  <o:lock v:ext="edit" aspectratio="t" text="t"/>
                </v:rect>
                <v:line id="Line 111" o:spid="_x0000_s1174" style="position:absolute;visibility:visible;mso-wrap-style:square" from="3225,1026" to="3226,3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" strokeweight="1pt"/>
                <v:line id="Line 112" o:spid="_x0000_s1175" style="position:absolute;visibility:visible;mso-wrap-style:square" from="3225,3186" to="5399,3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" strokeweight="1pt"/>
                <v:rect id="Rectangle 113" o:spid="_x0000_s1176" style="position:absolute;left:3361;top:1701;width:136;height:1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"/>
                <v:rect id="Rectangle 114" o:spid="_x0000_s1177" style="position:absolute;left:3768;top:2916;width:136;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"/>
                <v:rect id="Rectangle 115" o:spid="_x0000_s1178" style="position:absolute;left:4583;top:2241;width:138;height:9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"/>
                <v:rect id="Rectangle 116" o:spid="_x0000_s1179" style="position:absolute;left:5127;top:2916;width:136;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"/>
                <v:shape id="Text Box 117" o:spid="_x0000_s1180" type="#_x0000_t202" style="position:absolute;left:5127;top:3321;width:1222;height: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">
                  <v:textbox>
                    <w:txbxContent>
                      <w:p w14:paraId="4F750FF5" w14:textId="77777777" w:rsidR="00471742" w:rsidRPr="00FA32D5" w:rsidRDefault="00471742" w:rsidP="00BE0B19">
                        <w:pPr>
                          <w:jc w:val="center"/>
                        </w:pPr>
                        <w:r>
                          <w:t>време</w:t>
                        </w:r>
                      </w:p>
                    </w:txbxContent>
                  </v:textbox>
                </v:shape>
                <v:shape id="_x0000_s1181" type="#_x0000_t202" style="position:absolute;left:2817;top:477;width:272;height:3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">
                  <v:textbox>
                    <w:txbxContent>
                      <w:p w14:paraId="58F21034" w14:textId="77777777" w:rsidR="00471742" w:rsidRPr="00FA32D5" w:rsidRDefault="00471742" w:rsidP="00BE0B19">
                        <w:r>
                          <w:t>инвалидност</w:t>
                        </w:r>
                      </w:p>
                    </w:txbxContent>
                  </v:textbox>
                </v:shape>
                <v:line id="Line 119" o:spid="_x0000_s1182" style="position:absolute;visibility:visible;mso-wrap-style:square" from="6078,1026" to="6079,3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" strokeweight="1pt"/>
                <v:line id="Line 120" o:spid="_x0000_s1183" style="position:absolute;visibility:visible;mso-wrap-style:square" from="6078,3186" to="8931,3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" strokeweight="1pt"/>
                <v:line id="Line 121" o:spid="_x0000_s1184" style="position:absolute;flip:y;visibility:visible;mso-wrap-style:square" from="6349,2376" to="6349,3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"/>
                <v:line id="Line 122" o:spid="_x0000_s1185" style="position:absolute;visibility:visible;mso-wrap-style:square" from="6349,2376" to="6621,2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"/>
                <v:line id="Line 123" o:spid="_x0000_s1186" style="position:absolute;visibility:visible;mso-wrap-style:square" from="6621,2376" to="6621,2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"/>
                <v:line id="Line 124" o:spid="_x0000_s1187" style="position:absolute;visibility:visible;mso-wrap-style:square" from="6621,2916" to="6893,2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"/>
                <v:line id="Line 125" o:spid="_x0000_s1188" style="position:absolute;flip:y;visibility:visible;mso-wrap-style:square" from="6893,2106" to="6893,2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"/>
                <v:line id="Line 126" o:spid="_x0000_s1189" style="position:absolute;visibility:visible;mso-wrap-style:square" from="6893,2106" to="7165,2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"/>
                <v:line id="Line 127" o:spid="_x0000_s1190" style="position:absolute;visibility:visible;mso-wrap-style:square" from="7165,2106" to="7165,2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"/>
                <v:line id="Line 128" o:spid="_x0000_s1191" style="position:absolute;visibility:visible;mso-wrap-style:square" from="7165,2106" to="7165,2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"/>
                <v:line id="Line 129" o:spid="_x0000_s1192" style="position:absolute;visibility:visible;mso-wrap-style:square" from="7165,2646" to="7708,2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"/>
                <v:line id="Line 130" o:spid="_x0000_s1193" style="position:absolute;flip:y;visibility:visible;mso-wrap-style:square" from="7708,1971" to="7708,2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"/>
                <v:line id="Line 131" o:spid="_x0000_s1194" style="position:absolute;visibility:visible;mso-wrap-style:square" from="7708,1971" to="7980,1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"/>
                <v:line id="Line 132" o:spid="_x0000_s1195" style="position:absolute;visibility:visible;mso-wrap-style:square" from="7980,1971" to="7980,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"/>
                <v:line id="Line 133" o:spid="_x0000_s1196" style="position:absolute;visibility:visible;mso-wrap-style:square" from="7980,2241" to="8523,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"/>
                <w10:anchorlock/>
              </v:group>
            </w:pict>
          </mc:Fallback>
        </mc:AlternateContent>
      </w:r>
    </w:p>
    <w:p w14:paraId="5935D65E" w14:textId="77777777" w:rsidR="00BE0B19" w:rsidRPr="00AE47C6" w:rsidRDefault="00BE0B19" w:rsidP="00BE0B19">
      <w:pPr>
        <w:spacing w:after="0" w:line="360" w:lineRule="auto"/>
        <w:ind w:firstLine="709"/>
        <w:jc w:val="center"/>
        <w:rPr>
          <w:rFonts w:ascii="Times New Roman" w:eastAsia="SimSun" w:hAnsi="Times New Roman"/>
          <w:sz w:val="24"/>
          <w:szCs w:val="24"/>
        </w:rPr>
      </w:pPr>
    </w:p>
    <w:p w14:paraId="016DB183" w14:textId="77777777" w:rsidR="00BE0B19" w:rsidRPr="00AE47C6" w:rsidRDefault="00BE0B19" w:rsidP="00BE0B19">
      <w:pPr>
        <w:spacing w:after="0" w:line="360" w:lineRule="auto"/>
        <w:ind w:firstLine="709"/>
        <w:jc w:val="center"/>
        <w:rPr>
          <w:rFonts w:ascii="Times New Roman" w:eastAsia="SimSun" w:hAnsi="Times New Roman"/>
          <w:sz w:val="24"/>
          <w:szCs w:val="24"/>
        </w:rPr>
      </w:pPr>
    </w:p>
    <w:p w14:paraId="683FAE80" w14:textId="77777777" w:rsidR="00BE0B19" w:rsidRPr="00AE47C6" w:rsidRDefault="00BE0B19" w:rsidP="00BE0B19">
      <w:pPr>
        <w:spacing w:after="0" w:line="360" w:lineRule="auto"/>
        <w:ind w:firstLine="709"/>
        <w:jc w:val="center"/>
        <w:rPr>
          <w:rFonts w:ascii="Times New Roman" w:eastAsia="SimSun" w:hAnsi="Times New Roman"/>
          <w:sz w:val="24"/>
          <w:szCs w:val="24"/>
        </w:rPr>
      </w:pPr>
    </w:p>
    <w:p w14:paraId="6E166261" w14:textId="77777777" w:rsidR="00BE0B19" w:rsidRPr="00AE47C6" w:rsidRDefault="00BE0B19" w:rsidP="00BE0B19">
      <w:pPr>
        <w:spacing w:after="0" w:line="360" w:lineRule="auto"/>
        <w:ind w:firstLine="709"/>
        <w:jc w:val="center"/>
        <w:rPr>
          <w:rFonts w:ascii="Times New Roman" w:eastAsia="SimSun" w:hAnsi="Times New Roman"/>
          <w:sz w:val="24"/>
          <w:szCs w:val="24"/>
        </w:rPr>
      </w:pPr>
    </w:p>
    <w:p w14:paraId="6BC90E89" w14:textId="77777777" w:rsidR="00BE0B19" w:rsidRPr="00AE47C6" w:rsidRDefault="00BE0B19" w:rsidP="00BE0B19">
      <w:pPr>
        <w:spacing w:after="0" w:line="360" w:lineRule="auto"/>
        <w:ind w:firstLine="709"/>
        <w:jc w:val="center"/>
        <w:rPr>
          <w:rFonts w:ascii="Times New Roman" w:eastAsia="SimSun" w:hAnsi="Times New Roman"/>
          <w:sz w:val="24"/>
          <w:szCs w:val="24"/>
        </w:rPr>
      </w:pPr>
    </w:p>
    <w:p w14:paraId="1B3F7BCF" w14:textId="77777777" w:rsidR="00BE0B19" w:rsidRPr="00AE47C6" w:rsidRDefault="00BE0B19" w:rsidP="00BE0B19">
      <w:pPr>
        <w:spacing w:after="0" w:line="360" w:lineRule="auto"/>
        <w:ind w:firstLine="709"/>
        <w:jc w:val="center"/>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83168" behindDoc="0" locked="0" layoutInCell="1" allowOverlap="1" wp14:anchorId="088A51F6" wp14:editId="3D7701D1">
                <wp:simplePos x="0" y="0"/>
                <wp:positionH relativeFrom="column">
                  <wp:posOffset>1327880</wp:posOffset>
                </wp:positionH>
                <wp:positionV relativeFrom="paragraph">
                  <wp:posOffset>183515</wp:posOffset>
                </wp:positionV>
                <wp:extent cx="3429000" cy="342900"/>
                <wp:effectExtent l="0" t="0" r="25400" b="38100"/>
                <wp:wrapNone/>
                <wp:docPr id="36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42900"/>
                        </a:xfrm>
                        <a:prstGeom prst="rect">
                          <a:avLst/>
                        </a:prstGeom>
                        <a:solidFill>
                          <a:srgbClr val="FFFFFF"/>
                        </a:solidFill>
                        <a:ln w="9525">
                          <a:solidFill>
                            <a:srgbClr val="000000"/>
                          </a:solidFill>
                          <a:miter lim="800000"/>
                          <a:headEnd/>
                          <a:tailEnd/>
                        </a:ln>
                      </wps:spPr>
                      <wps:txbx>
                        <w:txbxContent>
                          <w:p w14:paraId="596491CD" w14:textId="77777777" w:rsidR="00471742" w:rsidRPr="00CE2DF3" w:rsidRDefault="00471742" w:rsidP="00BE0B19">
                            <w:pPr>
                              <w:jc w:val="center"/>
                              <w:rPr>
                                <w:b/>
                              </w:rPr>
                            </w:pPr>
                            <w:r>
                              <w:rPr>
                                <w:b/>
                              </w:rPr>
                              <w:t>Вторично-прогредиентна</w:t>
                            </w:r>
                            <w:r w:rsidRPr="00CE2DF3">
                              <w:rPr>
                                <w:b/>
                              </w:rPr>
                              <w:t xml:space="preserve"> форма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A51F6" id="_x0000_s1197" type="#_x0000_t202" style="position:absolute;left:0;text-align:left;margin-left:104.55pt;margin-top:14.45pt;width:270pt;height:27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">
                <v:textbox>
                  <w:txbxContent>
                    <w:p w14:paraId="596491CD" w14:textId="77777777" w:rsidR="00471742" w:rsidRPr="00CE2DF3" w:rsidRDefault="00471742" w:rsidP="00BE0B19">
                      <w:pPr>
                        <w:jc w:val="center"/>
                        <w:rPr>
                          <w:b/>
                        </w:rPr>
                      </w:pPr>
                      <w:r>
                        <w:rPr>
                          <w:b/>
                        </w:rPr>
                        <w:t>Вторично-прогредиентна</w:t>
                      </w:r>
                      <w:r w:rsidRPr="00CE2DF3">
                        <w:rPr>
                          <w:b/>
                        </w:rPr>
                        <w:t xml:space="preserve"> форма</w:t>
                      </w:r>
                    </w:p>
                  </w:txbxContent>
                </v:textbox>
              </v:shape>
            </w:pict>
          </mc:Fallback>
        </mc:AlternateContent>
      </w:r>
    </w:p>
    <w:p w14:paraId="6D7D662D" w14:textId="77777777" w:rsidR="00BE0B19" w:rsidRPr="00AE47C6" w:rsidRDefault="00BE0B19" w:rsidP="00BE0B19">
      <w:pPr>
        <w:spacing w:after="0" w:line="360" w:lineRule="auto"/>
        <w:ind w:firstLine="709"/>
        <w:jc w:val="center"/>
        <w:rPr>
          <w:rFonts w:ascii="Times New Roman" w:eastAsia="SimSun" w:hAnsi="Times New Roman"/>
          <w:sz w:val="24"/>
          <w:szCs w:val="24"/>
        </w:rPr>
      </w:pPr>
    </w:p>
    <w:p w14:paraId="7EC5AC1A" w14:textId="77777777" w:rsidR="00BE0B19" w:rsidRPr="00AE47C6" w:rsidRDefault="00BE0B19" w:rsidP="00BE0B19">
      <w:pPr>
        <w:spacing w:after="0" w:line="360" w:lineRule="auto"/>
        <w:ind w:left="-426"/>
        <w:rPr>
          <w:rFonts w:ascii="Times New Roman" w:eastAsia="SimSun" w:hAnsi="Times New Roman"/>
          <w:sz w:val="24"/>
          <w:szCs w:val="24"/>
        </w:rPr>
      </w:pPr>
      <w:r w:rsidRPr="00AE47C6">
        <w:rPr>
          <w:rFonts w:ascii="Times New Roman" w:eastAsia="SimSun" w:hAnsi="Times New Roman"/>
          <w:noProof/>
          <w:sz w:val="24"/>
          <w:szCs w:val="24"/>
          <w:lang w:eastAsia="bg-BG"/>
        </w:rPr>
        <mc:AlternateContent>
          <mc:Choice Requires="wpg">
            <w:drawing>
              <wp:inline distT="0" distB="0" distL="0" distR="0" wp14:anchorId="198D724A" wp14:editId="62663FAC">
                <wp:extent cx="6057900" cy="2316490"/>
                <wp:effectExtent l="0" t="0" r="0" b="26670"/>
                <wp:docPr id="366" name="Group 5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057900" cy="2316490"/>
                          <a:chOff x="2274" y="621"/>
                          <a:chExt cx="7200" cy="3403"/>
                        </a:xfrm>
                      </wpg:grpSpPr>
                      <wps:wsp>
                        <wps:cNvPr id="367" name="AutoShape 60"/>
                        <wps:cNvSpPr>
                          <a:spLocks noChangeAspect="1" noChangeArrowheads="1" noTextEdit="1"/>
                        </wps:cNvSpPr>
                        <wps:spPr bwMode="auto">
                          <a:xfrm>
                            <a:off x="2274" y="621"/>
                            <a:ext cx="7200" cy="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8" name="Line 61"/>
                        <wps:cNvCnPr>
                          <a:cxnSpLocks noChangeShapeType="1"/>
                        </wps:cNvCnPr>
                        <wps:spPr bwMode="auto">
                          <a:xfrm>
                            <a:off x="3225" y="1026"/>
                            <a:ext cx="1" cy="216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9" name="Line 62"/>
                        <wps:cNvCnPr>
                          <a:cxnSpLocks noChangeShapeType="1"/>
                        </wps:cNvCnPr>
                        <wps:spPr bwMode="auto">
                          <a:xfrm>
                            <a:off x="3225" y="3186"/>
                            <a:ext cx="217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0" name="Rectangle 63"/>
                        <wps:cNvSpPr>
                          <a:spLocks noChangeArrowheads="1"/>
                        </wps:cNvSpPr>
                        <wps:spPr bwMode="auto">
                          <a:xfrm>
                            <a:off x="3361" y="1701"/>
                            <a:ext cx="136" cy="14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1" name="Rectangle 64"/>
                        <wps:cNvSpPr>
                          <a:spLocks noChangeArrowheads="1"/>
                        </wps:cNvSpPr>
                        <wps:spPr bwMode="auto">
                          <a:xfrm>
                            <a:off x="3768" y="2916"/>
                            <a:ext cx="136" cy="2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72" name="Text Box 67"/>
                        <wps:cNvSpPr txBox="1">
                          <a:spLocks noChangeArrowheads="1"/>
                        </wps:cNvSpPr>
                        <wps:spPr bwMode="auto">
                          <a:xfrm>
                            <a:off x="5127" y="3321"/>
                            <a:ext cx="1222" cy="580"/>
                          </a:xfrm>
                          <a:prstGeom prst="rect">
                            <a:avLst/>
                          </a:prstGeom>
                          <a:solidFill>
                            <a:srgbClr val="FFFFFF"/>
                          </a:solidFill>
                          <a:ln w="9525">
                            <a:solidFill>
                              <a:srgbClr val="000000"/>
                            </a:solidFill>
                            <a:miter lim="800000"/>
                            <a:headEnd/>
                            <a:tailEnd/>
                          </a:ln>
                        </wps:spPr>
                        <wps:txbx>
                          <w:txbxContent>
                            <w:p w14:paraId="023A496E" w14:textId="77777777" w:rsidR="00471742" w:rsidRPr="00FA32D5" w:rsidRDefault="00471742" w:rsidP="00BE0B19">
                              <w:pPr>
                                <w:jc w:val="center"/>
                              </w:pPr>
                              <w:r>
                                <w:t>време</w:t>
                              </w:r>
                            </w:p>
                          </w:txbxContent>
                        </wps:txbx>
                        <wps:bodyPr rot="0" vert="horz" wrap="square" lIns="91440" tIns="45720" rIns="91440" bIns="45720" anchor="t" anchorCtr="0" upright="1">
                          <a:noAutofit/>
                        </wps:bodyPr>
                      </wps:wsp>
                      <wps:wsp>
                        <wps:cNvPr id="373" name="Text Box 68"/>
                        <wps:cNvSpPr txBox="1">
                          <a:spLocks noChangeArrowheads="1"/>
                        </wps:cNvSpPr>
                        <wps:spPr bwMode="auto">
                          <a:xfrm>
                            <a:off x="2817" y="756"/>
                            <a:ext cx="272" cy="3268"/>
                          </a:xfrm>
                          <a:prstGeom prst="rect">
                            <a:avLst/>
                          </a:prstGeom>
                          <a:solidFill>
                            <a:srgbClr val="FFFFFF"/>
                          </a:solidFill>
                          <a:ln w="9525">
                            <a:solidFill>
                              <a:srgbClr val="000000"/>
                            </a:solidFill>
                            <a:miter lim="800000"/>
                            <a:headEnd/>
                            <a:tailEnd/>
                          </a:ln>
                        </wps:spPr>
                        <wps:txbx>
                          <w:txbxContent>
                            <w:p w14:paraId="111FC047" w14:textId="77777777" w:rsidR="00471742" w:rsidRPr="00FA32D5" w:rsidRDefault="00471742" w:rsidP="00BE0B19">
                              <w:r>
                                <w:t>инвалидност</w:t>
                              </w:r>
                            </w:p>
                          </w:txbxContent>
                        </wps:txbx>
                        <wps:bodyPr rot="0" vert="horz" wrap="square" lIns="91440" tIns="45720" rIns="91440" bIns="45720" anchor="t" anchorCtr="0" upright="1">
                          <a:noAutofit/>
                        </wps:bodyPr>
                      </wps:wsp>
                      <wps:wsp>
                        <wps:cNvPr id="374" name="Line 69"/>
                        <wps:cNvCnPr>
                          <a:cxnSpLocks noChangeShapeType="1"/>
                        </wps:cNvCnPr>
                        <wps:spPr bwMode="auto">
                          <a:xfrm>
                            <a:off x="6078" y="1026"/>
                            <a:ext cx="1" cy="216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5" name="Line 70"/>
                        <wps:cNvCnPr>
                          <a:cxnSpLocks noChangeShapeType="1"/>
                        </wps:cNvCnPr>
                        <wps:spPr bwMode="auto">
                          <a:xfrm>
                            <a:off x="6078" y="3186"/>
                            <a:ext cx="2853"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6" name="Line 71"/>
                        <wps:cNvCnPr>
                          <a:cxnSpLocks noChangeShapeType="1"/>
                        </wps:cNvCnPr>
                        <wps:spPr bwMode="auto">
                          <a:xfrm flipV="1">
                            <a:off x="6349" y="2376"/>
                            <a:ext cx="0" cy="8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7" name="Line 72"/>
                        <wps:cNvCnPr>
                          <a:cxnSpLocks noChangeShapeType="1"/>
                        </wps:cNvCnPr>
                        <wps:spPr bwMode="auto">
                          <a:xfrm>
                            <a:off x="6349" y="2376"/>
                            <a:ext cx="2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8" name="Line 73"/>
                        <wps:cNvCnPr>
                          <a:cxnSpLocks noChangeShapeType="1"/>
                        </wps:cNvCnPr>
                        <wps:spPr bwMode="auto">
                          <a:xfrm>
                            <a:off x="6621" y="2376"/>
                            <a:ext cx="1" cy="4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9" name="Line 77"/>
                        <wps:cNvCnPr>
                          <a:cxnSpLocks noChangeShapeType="1"/>
                        </wps:cNvCnPr>
                        <wps:spPr bwMode="auto">
                          <a:xfrm>
                            <a:off x="7165" y="210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0" name="Line 78"/>
                        <wps:cNvCnPr>
                          <a:cxnSpLocks noChangeShapeType="1"/>
                        </wps:cNvCnPr>
                        <wps:spPr bwMode="auto">
                          <a:xfrm>
                            <a:off x="7165" y="2241"/>
                            <a:ext cx="1" cy="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1" name="Line 81"/>
                        <wps:cNvCnPr>
                          <a:cxnSpLocks noChangeShapeType="1"/>
                        </wps:cNvCnPr>
                        <wps:spPr bwMode="auto">
                          <a:xfrm>
                            <a:off x="7165" y="2241"/>
                            <a:ext cx="271"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2" name="Line 82"/>
                        <wps:cNvCnPr>
                          <a:cxnSpLocks noChangeShapeType="1"/>
                        </wps:cNvCnPr>
                        <wps:spPr bwMode="auto">
                          <a:xfrm>
                            <a:off x="7436" y="2241"/>
                            <a:ext cx="1" cy="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3" name="Line 83"/>
                        <wps:cNvCnPr>
                          <a:cxnSpLocks noChangeShapeType="1"/>
                        </wps:cNvCnPr>
                        <wps:spPr bwMode="auto">
                          <a:xfrm>
                            <a:off x="7980" y="2241"/>
                            <a:ext cx="54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 name="Line 134"/>
                        <wps:cNvCnPr>
                          <a:cxnSpLocks noChangeShapeType="1"/>
                        </wps:cNvCnPr>
                        <wps:spPr bwMode="auto">
                          <a:xfrm flipV="1">
                            <a:off x="4176" y="2916"/>
                            <a:ext cx="407" cy="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 name="Line 135"/>
                        <wps:cNvCnPr>
                          <a:cxnSpLocks noChangeShapeType="1"/>
                        </wps:cNvCnPr>
                        <wps:spPr bwMode="auto">
                          <a:xfrm>
                            <a:off x="4583" y="2916"/>
                            <a:ext cx="408"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 name="Line 136"/>
                        <wps:cNvCnPr>
                          <a:cxnSpLocks noChangeShapeType="1"/>
                        </wps:cNvCnPr>
                        <wps:spPr bwMode="auto">
                          <a:xfrm flipV="1">
                            <a:off x="4991" y="2781"/>
                            <a:ext cx="408" cy="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3" name="Line 137"/>
                        <wps:cNvCnPr>
                          <a:cxnSpLocks noChangeShapeType="1"/>
                        </wps:cNvCnPr>
                        <wps:spPr bwMode="auto">
                          <a:xfrm flipV="1">
                            <a:off x="6621" y="2511"/>
                            <a:ext cx="544" cy="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 name="Line 138"/>
                        <wps:cNvCnPr>
                          <a:cxnSpLocks noChangeShapeType="1"/>
                        </wps:cNvCnPr>
                        <wps:spPr bwMode="auto">
                          <a:xfrm flipV="1">
                            <a:off x="7436" y="2241"/>
                            <a:ext cx="544" cy="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5" name="Line 139"/>
                        <wps:cNvCnPr>
                          <a:cxnSpLocks noChangeShapeType="1"/>
                        </wps:cNvCnPr>
                        <wps:spPr bwMode="auto">
                          <a:xfrm flipV="1">
                            <a:off x="8523" y="2106"/>
                            <a:ext cx="408"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98D724A" id="Group 59" o:spid="_x0000_s1198" style="width:477pt;height:182.4pt;mso-position-horizontal-relative:char;mso-position-vertical-relative:line" coordorigin="2274,621" coordsize="7200,3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">
                <o:lock v:ext="edit" aspectratio="t"/>
                <v:rect id="AutoShape 60" o:spid="_x0000_s1199" style="position:absolute;left:2274;top:621;width:7200;height:3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" filled="f" stroked="f">
                  <o:lock v:ext="edit" aspectratio="t" text="t"/>
                </v:rect>
                <v:line id="Line 61" o:spid="_x0000_s1200" style="position:absolute;visibility:visible;mso-wrap-style:square" from="3225,1026" to="3226,3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" strokeweight="1pt"/>
                <v:line id="Line 62" o:spid="_x0000_s1201" style="position:absolute;visibility:visible;mso-wrap-style:square" from="3225,3186" to="5399,3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" strokeweight="1pt"/>
                <v:rect id="Rectangle 63" o:spid="_x0000_s1202" style="position:absolute;left:3361;top:1701;width:136;height:1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"/>
                <v:rect id="Rectangle 64" o:spid="_x0000_s1203" style="position:absolute;left:3768;top:2916;width:136;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"/>
                <v:shape id="_x0000_s1204" type="#_x0000_t202" style="position:absolute;left:5127;top:3321;width:1222;height: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">
                  <v:textbox>
                    <w:txbxContent>
                      <w:p w14:paraId="023A496E" w14:textId="77777777" w:rsidR="00471742" w:rsidRPr="00FA32D5" w:rsidRDefault="00471742" w:rsidP="00BE0B19">
                        <w:pPr>
                          <w:jc w:val="center"/>
                        </w:pPr>
                        <w:r>
                          <w:t>време</w:t>
                        </w:r>
                      </w:p>
                    </w:txbxContent>
                  </v:textbox>
                </v:shape>
                <v:shape id="Text Box 68" o:spid="_x0000_s1205" type="#_x0000_t202" style="position:absolute;left:2817;top:756;width:272;height:3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">
                  <v:textbox>
                    <w:txbxContent>
                      <w:p w14:paraId="111FC047" w14:textId="77777777" w:rsidR="00471742" w:rsidRPr="00FA32D5" w:rsidRDefault="00471742" w:rsidP="00BE0B19">
                        <w:r>
                          <w:t>инвалидност</w:t>
                        </w:r>
                      </w:p>
                    </w:txbxContent>
                  </v:textbox>
                </v:shape>
                <v:line id="Line 69" o:spid="_x0000_s1206" style="position:absolute;visibility:visible;mso-wrap-style:square" from="6078,1026" to="6079,3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" strokeweight="1pt"/>
                <v:line id="Line 70" o:spid="_x0000_s1207" style="position:absolute;visibility:visible;mso-wrap-style:square" from="6078,3186" to="8931,3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" strokeweight="1pt"/>
                <v:line id="Line 71" o:spid="_x0000_s1208" style="position:absolute;flip:y;visibility:visible;mso-wrap-style:square" from="6349,2376" to="6349,3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"/>
                <v:line id="Line 72" o:spid="_x0000_s1209" style="position:absolute;visibility:visible;mso-wrap-style:square" from="6349,2376" to="6621,2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"/>
                <v:line id="Line 73" o:spid="_x0000_s1210" style="position:absolute;visibility:visible;mso-wrap-style:square" from="6621,2376" to="6622,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"/>
                <v:line id="Line 77" o:spid="_x0000_s1211" style="position:absolute;visibility:visible;mso-wrap-style:square" from="7165,2106" to="7165,2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"/>
                <v:line id="Line 78" o:spid="_x0000_s1212" style="position:absolute;visibility:visible;mso-wrap-style:square" from="7165,2241" to="7166,2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"/>
                <v:line id="Line 81" o:spid="_x0000_s1213" style="position:absolute;visibility:visible;mso-wrap-style:square" from="7165,2241" to="7436,2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"/>
                <v:line id="Line 82" o:spid="_x0000_s1214" style="position:absolute;visibility:visible;mso-wrap-style:square" from="7436,2241" to="7437,2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"/>
                <v:line id="Line 83" o:spid="_x0000_s1215" style="position:absolute;visibility:visible;mso-wrap-style:square" from="7980,2241" to="8523,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"/>
                <v:line id="Line 134" o:spid="_x0000_s1216" style="position:absolute;flip:y;visibility:visible;mso-wrap-style:square" from="4176,2916" to="4583,3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"/>
                <v:line id="Line 135" o:spid="_x0000_s1217" style="position:absolute;visibility:visible;mso-wrap-style:square" from="4583,2916" to="4991,3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"/>
                <v:line id="Line 136" o:spid="_x0000_s1218" style="position:absolute;flip:y;visibility:visible;mso-wrap-style:square" from="4991,2781" to="5399,3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"/>
                <v:line id="Line 137" o:spid="_x0000_s1219" style="position:absolute;flip:y;visibility:visible;mso-wrap-style:square" from="6621,2511" to="7165,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"/>
                <v:line id="Line 138" o:spid="_x0000_s1220" style="position:absolute;flip:y;visibility:visible;mso-wrap-style:square" from="7436,2241" to="7980,2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"/>
                <v:line id="Line 139" o:spid="_x0000_s1221" style="position:absolute;flip:y;visibility:visible;mso-wrap-style:square" from="8523,2106" to="8931,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"/>
                <w10:anchorlock/>
              </v:group>
            </w:pict>
          </mc:Fallback>
        </mc:AlternateContent>
      </w:r>
    </w:p>
    <w:p w14:paraId="0068670C" w14:textId="77777777" w:rsidR="00BE0B19" w:rsidRPr="00AE47C6" w:rsidRDefault="00BE0B19" w:rsidP="00BE0B19">
      <w:pPr>
        <w:spacing w:after="0" w:line="360" w:lineRule="auto"/>
        <w:rPr>
          <w:rFonts w:ascii="Times New Roman" w:eastAsia="SimSun" w:hAnsi="Times New Roman"/>
          <w:sz w:val="24"/>
          <w:szCs w:val="24"/>
        </w:rPr>
      </w:pPr>
    </w:p>
    <w:p w14:paraId="4045E5BE" w14:textId="77777777" w:rsidR="00BE0B19" w:rsidRPr="00AE47C6" w:rsidRDefault="00BE0B19" w:rsidP="00BE0B19">
      <w:pPr>
        <w:spacing w:after="0" w:line="360" w:lineRule="auto"/>
        <w:rPr>
          <w:rFonts w:ascii="Times New Roman" w:eastAsia="SimSun" w:hAnsi="Times New Roman"/>
          <w:sz w:val="24"/>
          <w:szCs w:val="24"/>
        </w:rPr>
      </w:pPr>
    </w:p>
    <w:p w14:paraId="548B6E35" w14:textId="77777777" w:rsidR="00BE0B19" w:rsidRPr="00AE47C6" w:rsidRDefault="00BE0B19" w:rsidP="00BE0B19">
      <w:pPr>
        <w:spacing w:after="0" w:line="360" w:lineRule="auto"/>
        <w:rPr>
          <w:rFonts w:ascii="Times New Roman" w:eastAsia="SimSun" w:hAnsi="Times New Roman"/>
          <w:sz w:val="24"/>
          <w:szCs w:val="24"/>
        </w:rPr>
      </w:pPr>
    </w:p>
    <w:p w14:paraId="040FDAB9" w14:textId="77777777" w:rsidR="00BE0B19" w:rsidRPr="00AE47C6" w:rsidRDefault="00BE0B19" w:rsidP="00BE0B19">
      <w:pPr>
        <w:spacing w:after="0" w:line="360" w:lineRule="auto"/>
        <w:rPr>
          <w:rFonts w:ascii="Times New Roman" w:eastAsia="SimSun" w:hAnsi="Times New Roman"/>
          <w:sz w:val="24"/>
          <w:szCs w:val="24"/>
        </w:rPr>
      </w:pPr>
    </w:p>
    <w:p w14:paraId="6F469B29" w14:textId="77777777" w:rsidR="00BE0B19" w:rsidRPr="00AE47C6" w:rsidRDefault="00BE0B19" w:rsidP="00BE0B19">
      <w:pPr>
        <w:spacing w:after="0" w:line="360" w:lineRule="auto"/>
        <w:rPr>
          <w:rFonts w:ascii="Times New Roman" w:eastAsia="SimSun" w:hAnsi="Times New Roman"/>
          <w:b/>
          <w:sz w:val="24"/>
          <w:szCs w:val="24"/>
        </w:rPr>
      </w:pPr>
      <w:r w:rsidRPr="00AE47C6">
        <w:rPr>
          <w:rFonts w:ascii="Times New Roman" w:eastAsia="SimSun" w:hAnsi="Times New Roman"/>
          <w:b/>
          <w:noProof/>
          <w:sz w:val="24"/>
          <w:szCs w:val="24"/>
          <w:lang w:eastAsia="bg-BG"/>
        </w:rPr>
        <mc:AlternateContent>
          <mc:Choice Requires="wps">
            <w:drawing>
              <wp:anchor distT="0" distB="0" distL="114300" distR="114300" simplePos="0" relativeHeight="251784192" behindDoc="0" locked="0" layoutInCell="1" allowOverlap="1" wp14:anchorId="07A58B92" wp14:editId="74E80A98">
                <wp:simplePos x="0" y="0"/>
                <wp:positionH relativeFrom="column">
                  <wp:posOffset>1270635</wp:posOffset>
                </wp:positionH>
                <wp:positionV relativeFrom="paragraph">
                  <wp:posOffset>-206375</wp:posOffset>
                </wp:positionV>
                <wp:extent cx="3429000" cy="342900"/>
                <wp:effectExtent l="0" t="0" r="25400" b="38100"/>
                <wp:wrapNone/>
                <wp:docPr id="186"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342900"/>
                        </a:xfrm>
                        <a:prstGeom prst="rect">
                          <a:avLst/>
                        </a:prstGeom>
                        <a:solidFill>
                          <a:srgbClr val="FFFFFF"/>
                        </a:solidFill>
                        <a:ln w="9525">
                          <a:solidFill>
                            <a:srgbClr val="000000"/>
                          </a:solidFill>
                          <a:miter lim="800000"/>
                          <a:headEnd/>
                          <a:tailEnd/>
                        </a:ln>
                      </wps:spPr>
                      <wps:txbx>
                        <w:txbxContent>
                          <w:p w14:paraId="0A2029EF" w14:textId="77777777" w:rsidR="00471742" w:rsidRPr="00CE2DF3" w:rsidRDefault="00471742" w:rsidP="00BE0B19">
                            <w:pPr>
                              <w:jc w:val="center"/>
                              <w:rPr>
                                <w:b/>
                              </w:rPr>
                            </w:pPr>
                            <w:r>
                              <w:rPr>
                                <w:b/>
                              </w:rPr>
                              <w:t>Първично-прогредиентна</w:t>
                            </w:r>
                            <w:r w:rsidRPr="00CE2DF3">
                              <w:rPr>
                                <w:b/>
                              </w:rPr>
                              <w:t xml:space="preserve"> форма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A58B92" id="_x0000_s1222" type="#_x0000_t202" style="position:absolute;margin-left:100.05pt;margin-top:-16.25pt;width:270pt;height:27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">
                <v:textbox>
                  <w:txbxContent>
                    <w:p w14:paraId="0A2029EF" w14:textId="77777777" w:rsidR="00471742" w:rsidRPr="00CE2DF3" w:rsidRDefault="00471742" w:rsidP="00BE0B19">
                      <w:pPr>
                        <w:jc w:val="center"/>
                        <w:rPr>
                          <w:b/>
                        </w:rPr>
                      </w:pPr>
                      <w:r>
                        <w:rPr>
                          <w:b/>
                        </w:rPr>
                        <w:t>Първично-прогредиентна</w:t>
                      </w:r>
                      <w:r w:rsidRPr="00CE2DF3">
                        <w:rPr>
                          <w:b/>
                        </w:rPr>
                        <w:t xml:space="preserve"> форма</w:t>
                      </w:r>
                    </w:p>
                  </w:txbxContent>
                </v:textbox>
              </v:shape>
            </w:pict>
          </mc:Fallback>
        </mc:AlternateContent>
      </w:r>
      <w:r w:rsidRPr="00AE47C6">
        <w:rPr>
          <w:rFonts w:ascii="Times New Roman" w:eastAsia="SimSun" w:hAnsi="Times New Roman"/>
          <w:b/>
          <w:noProof/>
          <w:sz w:val="24"/>
          <w:szCs w:val="24"/>
          <w:lang w:eastAsia="bg-BG"/>
        </w:rPr>
        <mc:AlternateContent>
          <mc:Choice Requires="wpg">
            <w:drawing>
              <wp:inline distT="0" distB="0" distL="0" distR="0" wp14:anchorId="04EB7005" wp14:editId="57351A99">
                <wp:extent cx="6057900" cy="2442071"/>
                <wp:effectExtent l="0" t="0" r="0" b="0"/>
                <wp:docPr id="187" name="Group 14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057900" cy="2442071"/>
                          <a:chOff x="2274" y="600"/>
                          <a:chExt cx="7200" cy="3396"/>
                        </a:xfrm>
                      </wpg:grpSpPr>
                      <wps:wsp>
                        <wps:cNvPr id="188" name="AutoShape 142"/>
                        <wps:cNvSpPr>
                          <a:spLocks noChangeAspect="1" noChangeArrowheads="1" noTextEdit="1"/>
                        </wps:cNvSpPr>
                        <wps:spPr bwMode="auto">
                          <a:xfrm>
                            <a:off x="2274" y="621"/>
                            <a:ext cx="7200" cy="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 name="Line 143"/>
                        <wps:cNvCnPr>
                          <a:cxnSpLocks noChangeShapeType="1"/>
                        </wps:cNvCnPr>
                        <wps:spPr bwMode="auto">
                          <a:xfrm>
                            <a:off x="3225" y="1026"/>
                            <a:ext cx="1" cy="216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0" name="Line 144"/>
                        <wps:cNvCnPr>
                          <a:cxnSpLocks noChangeShapeType="1"/>
                        </wps:cNvCnPr>
                        <wps:spPr bwMode="auto">
                          <a:xfrm>
                            <a:off x="3225" y="3186"/>
                            <a:ext cx="2174"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1" name="Text Box 145"/>
                        <wps:cNvSpPr txBox="1">
                          <a:spLocks noChangeArrowheads="1"/>
                        </wps:cNvSpPr>
                        <wps:spPr bwMode="auto">
                          <a:xfrm>
                            <a:off x="5127" y="3321"/>
                            <a:ext cx="1222" cy="405"/>
                          </a:xfrm>
                          <a:prstGeom prst="rect">
                            <a:avLst/>
                          </a:prstGeom>
                          <a:solidFill>
                            <a:srgbClr val="FFFFFF"/>
                          </a:solidFill>
                          <a:ln w="9525">
                            <a:solidFill>
                              <a:srgbClr val="000000"/>
                            </a:solidFill>
                            <a:miter lim="800000"/>
                            <a:headEnd/>
                            <a:tailEnd/>
                          </a:ln>
                        </wps:spPr>
                        <wps:txbx>
                          <w:txbxContent>
                            <w:p w14:paraId="0EF55A8B" w14:textId="77777777" w:rsidR="00471742" w:rsidRPr="00FA32D5" w:rsidRDefault="00471742" w:rsidP="00BE0B19">
                              <w:pPr>
                                <w:jc w:val="center"/>
                              </w:pPr>
                              <w:r>
                                <w:t>време</w:t>
                              </w:r>
                            </w:p>
                          </w:txbxContent>
                        </wps:txbx>
                        <wps:bodyPr rot="0" vert="horz" wrap="square" lIns="91440" tIns="45720" rIns="91440" bIns="45720" anchor="t" anchorCtr="0" upright="1">
                          <a:noAutofit/>
                        </wps:bodyPr>
                      </wps:wsp>
                      <wps:wsp>
                        <wps:cNvPr id="192" name="Text Box 146"/>
                        <wps:cNvSpPr txBox="1">
                          <a:spLocks noChangeArrowheads="1"/>
                        </wps:cNvSpPr>
                        <wps:spPr bwMode="auto">
                          <a:xfrm>
                            <a:off x="2817" y="600"/>
                            <a:ext cx="272" cy="3052"/>
                          </a:xfrm>
                          <a:prstGeom prst="rect">
                            <a:avLst/>
                          </a:prstGeom>
                          <a:solidFill>
                            <a:srgbClr val="FFFFFF"/>
                          </a:solidFill>
                          <a:ln w="9525">
                            <a:solidFill>
                              <a:srgbClr val="000000"/>
                            </a:solidFill>
                            <a:miter lim="800000"/>
                            <a:headEnd/>
                            <a:tailEnd/>
                          </a:ln>
                        </wps:spPr>
                        <wps:txbx>
                          <w:txbxContent>
                            <w:p w14:paraId="759F3A1E" w14:textId="77777777" w:rsidR="00471742" w:rsidRPr="00FA32D5" w:rsidRDefault="00471742" w:rsidP="00BE0B19">
                              <w:r>
                                <w:t>инвалидност</w:t>
                              </w:r>
                            </w:p>
                          </w:txbxContent>
                        </wps:txbx>
                        <wps:bodyPr rot="0" vert="horz" wrap="square" lIns="91440" tIns="45720" rIns="91440" bIns="45720" anchor="t" anchorCtr="0" upright="1">
                          <a:noAutofit/>
                        </wps:bodyPr>
                      </wps:wsp>
                      <wps:wsp>
                        <wps:cNvPr id="193" name="Line 147"/>
                        <wps:cNvCnPr>
                          <a:cxnSpLocks noChangeShapeType="1"/>
                        </wps:cNvCnPr>
                        <wps:spPr bwMode="auto">
                          <a:xfrm>
                            <a:off x="6078" y="1026"/>
                            <a:ext cx="1" cy="216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4" name="Line 148"/>
                        <wps:cNvCnPr>
                          <a:cxnSpLocks noChangeShapeType="1"/>
                        </wps:cNvCnPr>
                        <wps:spPr bwMode="auto">
                          <a:xfrm>
                            <a:off x="6078" y="3186"/>
                            <a:ext cx="2853"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5" name="Line 149"/>
                        <wps:cNvCnPr>
                          <a:cxnSpLocks noChangeShapeType="1"/>
                        </wps:cNvCnPr>
                        <wps:spPr bwMode="auto">
                          <a:xfrm>
                            <a:off x="7165" y="210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6" name="Line 150"/>
                        <wps:cNvCnPr>
                          <a:cxnSpLocks noChangeShapeType="1"/>
                        </wps:cNvCnPr>
                        <wps:spPr bwMode="auto">
                          <a:xfrm>
                            <a:off x="7980" y="2241"/>
                            <a:ext cx="54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8" name="Line 151"/>
                        <wps:cNvCnPr>
                          <a:cxnSpLocks noChangeShapeType="1"/>
                        </wps:cNvCnPr>
                        <wps:spPr bwMode="auto">
                          <a:xfrm flipV="1">
                            <a:off x="7436" y="2241"/>
                            <a:ext cx="544" cy="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9" name="Line 152"/>
                        <wps:cNvCnPr>
                          <a:cxnSpLocks noChangeShapeType="1"/>
                        </wps:cNvCnPr>
                        <wps:spPr bwMode="auto">
                          <a:xfrm flipV="1">
                            <a:off x="8523" y="2106"/>
                            <a:ext cx="408"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0" name="Line 153"/>
                        <wps:cNvCnPr>
                          <a:cxnSpLocks noChangeShapeType="1"/>
                        </wps:cNvCnPr>
                        <wps:spPr bwMode="auto">
                          <a:xfrm flipV="1">
                            <a:off x="6078" y="2916"/>
                            <a:ext cx="407" cy="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1" name="Line 154"/>
                        <wps:cNvCnPr>
                          <a:cxnSpLocks noChangeShapeType="1"/>
                        </wps:cNvCnPr>
                        <wps:spPr bwMode="auto">
                          <a:xfrm>
                            <a:off x="6485" y="2916"/>
                            <a:ext cx="5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2" name="Line 155"/>
                        <wps:cNvCnPr>
                          <a:cxnSpLocks noChangeShapeType="1"/>
                        </wps:cNvCnPr>
                        <wps:spPr bwMode="auto">
                          <a:xfrm flipV="1">
                            <a:off x="7029" y="2511"/>
                            <a:ext cx="407" cy="4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3" name="Line 156"/>
                        <wps:cNvCnPr>
                          <a:cxnSpLocks noChangeShapeType="1"/>
                        </wps:cNvCnPr>
                        <wps:spPr bwMode="auto">
                          <a:xfrm flipV="1">
                            <a:off x="3225" y="2376"/>
                            <a:ext cx="2038" cy="8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EB7005" id="Group 141" o:spid="_x0000_s1223" style="width:477pt;height:192.3pt;mso-position-horizontal-relative:char;mso-position-vertical-relative:line" coordorigin="2274,600" coordsize="7200,3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">
                <o:lock v:ext="edit" aspectratio="t"/>
                <v:rect id="AutoShape 142" o:spid="_x0000_s1224" style="position:absolute;left:2274;top:621;width:7200;height:3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" filled="f" stroked="f">
                  <o:lock v:ext="edit" aspectratio="t" text="t"/>
                </v:rect>
                <v:line id="Line 143" o:spid="_x0000_s1225" style="position:absolute;visibility:visible;mso-wrap-style:square" from="3225,1026" to="3226,3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" strokeweight="1pt"/>
                <v:line id="Line 144" o:spid="_x0000_s1226" style="position:absolute;visibility:visible;mso-wrap-style:square" from="3225,3186" to="5399,3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" strokeweight="1pt"/>
                <v:shape id="_x0000_s1227" type="#_x0000_t202" style="position:absolute;left:5127;top:3321;width:1222;height: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">
                  <v:textbox>
                    <w:txbxContent>
                      <w:p w14:paraId="0EF55A8B" w14:textId="77777777" w:rsidR="00471742" w:rsidRPr="00FA32D5" w:rsidRDefault="00471742" w:rsidP="00BE0B19">
                        <w:pPr>
                          <w:jc w:val="center"/>
                        </w:pPr>
                        <w:r>
                          <w:t>време</w:t>
                        </w:r>
                      </w:p>
                    </w:txbxContent>
                  </v:textbox>
                </v:shape>
                <v:shape id="Text Box 146" o:spid="_x0000_s1228" type="#_x0000_t202" style="position:absolute;left:2817;top:600;width:272;height:3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">
                  <v:textbox>
                    <w:txbxContent>
                      <w:p w14:paraId="759F3A1E" w14:textId="77777777" w:rsidR="00471742" w:rsidRPr="00FA32D5" w:rsidRDefault="00471742" w:rsidP="00BE0B19">
                        <w:r>
                          <w:t>инвалидност</w:t>
                        </w:r>
                      </w:p>
                    </w:txbxContent>
                  </v:textbox>
                </v:shape>
                <v:line id="Line 147" o:spid="_x0000_s1229" style="position:absolute;visibility:visible;mso-wrap-style:square" from="6078,1026" to="6079,3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" strokeweight="1pt"/>
                <v:line id="Line 148" o:spid="_x0000_s1230" style="position:absolute;visibility:visible;mso-wrap-style:square" from="6078,3186" to="8931,3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" strokeweight="1pt"/>
                <v:line id="Line 149" o:spid="_x0000_s1231" style="position:absolute;visibility:visible;mso-wrap-style:square" from="7165,2106" to="7165,2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"/>
                <v:line id="Line 150" o:spid="_x0000_s1232" style="position:absolute;visibility:visible;mso-wrap-style:square" from="7980,2241" to="8523,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"/>
                <v:line id="Line 151" o:spid="_x0000_s1233" style="position:absolute;flip:y;visibility:visible;mso-wrap-style:square" from="7436,2241" to="7980,2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"/>
                <v:line id="Line 152" o:spid="_x0000_s1234" style="position:absolute;flip:y;visibility:visible;mso-wrap-style:square" from="8523,2106" to="8931,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"/>
                <v:line id="Line 153" o:spid="_x0000_s1235" style="position:absolute;flip:y;visibility:visible;mso-wrap-style:square" from="6078,2916" to="6485,3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"/>
                <v:line id="Line 154" o:spid="_x0000_s1236" style="position:absolute;visibility:visible;mso-wrap-style:square" from="6485,2916" to="7029,2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"/>
                <v:line id="Line 155" o:spid="_x0000_s1237" style="position:absolute;flip:y;visibility:visible;mso-wrap-style:square" from="7029,2511" to="7436,2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"/>
                <v:line id="Line 156" o:spid="_x0000_s1238" style="position:absolute;flip:y;visibility:visible;mso-wrap-style:square" from="3225,2376" to="5263,3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"/>
                <w10:anchorlock/>
              </v:group>
            </w:pict>
          </mc:Fallback>
        </mc:AlternateContent>
      </w:r>
    </w:p>
    <w:p w14:paraId="02BB5754" w14:textId="77777777" w:rsidR="00BE0B19" w:rsidRPr="00AE47C6" w:rsidRDefault="00BE0B19" w:rsidP="00BE0B19">
      <w:pPr>
        <w:spacing w:after="0" w:line="360" w:lineRule="auto"/>
        <w:ind w:firstLine="709"/>
        <w:jc w:val="center"/>
        <w:rPr>
          <w:rFonts w:ascii="Times New Roman" w:eastAsia="SimSun" w:hAnsi="Times New Roman"/>
          <w:b/>
          <w:sz w:val="24"/>
          <w:szCs w:val="24"/>
        </w:rPr>
      </w:pPr>
    </w:p>
    <w:p w14:paraId="6811E67D" w14:textId="77777777" w:rsidR="00BE0B19" w:rsidRPr="00AE47C6" w:rsidRDefault="00BE0B19" w:rsidP="00BE0B19">
      <w:pPr>
        <w:spacing w:after="0" w:line="360" w:lineRule="auto"/>
        <w:ind w:firstLine="709"/>
        <w:jc w:val="center"/>
        <w:rPr>
          <w:rFonts w:ascii="Times New Roman" w:eastAsia="SimSun" w:hAnsi="Times New Roman"/>
          <w:b/>
          <w:sz w:val="24"/>
          <w:szCs w:val="24"/>
        </w:rPr>
      </w:pPr>
    </w:p>
    <w:p w14:paraId="11C4335D"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r w:rsidRPr="00AE47C6">
        <w:rPr>
          <w:rFonts w:ascii="Times New Roman" w:eastAsia="SimSun" w:hAnsi="Times New Roman"/>
          <w:b/>
          <w:sz w:val="24"/>
          <w:szCs w:val="24"/>
        </w:rPr>
        <w:br w:type="page"/>
      </w:r>
      <w:bookmarkStart w:id="228" w:name="_Toc155651808"/>
      <w:bookmarkStart w:id="229" w:name="_Toc164075942"/>
      <w:r w:rsidRPr="00AE47C6">
        <w:rPr>
          <w:rFonts w:ascii="Times New Roman" w:eastAsia="SimSun" w:hAnsi="Times New Roman"/>
          <w:b/>
          <w:sz w:val="24"/>
          <w:szCs w:val="24"/>
        </w:rPr>
        <w:t>Приложение 2. Ревизирани през 2017 г. критерии на McDonald за диагноза на множествената склероза</w:t>
      </w:r>
      <w:bookmarkEnd w:id="228"/>
      <w:bookmarkEnd w:id="229"/>
      <w:r w:rsidRPr="00AE47C6">
        <w:rPr>
          <w:rFonts w:ascii="Times New Roman" w:eastAsia="SimSun" w:hAnsi="Times New Roman"/>
          <w:b/>
          <w:sz w:val="24"/>
          <w:szCs w:val="24"/>
        </w:rPr>
        <w:t xml:space="preserve"> </w:t>
      </w:r>
    </w:p>
    <w:tbl>
      <w:tblPr>
        <w:tblStyle w:val="TableGrid2"/>
        <w:tblW w:w="0" w:type="auto"/>
        <w:tblLook w:val="04A0" w:firstRow="1" w:lastRow="0" w:firstColumn="1" w:lastColumn="0" w:noHBand="0" w:noVBand="1"/>
      </w:tblPr>
      <w:tblGrid>
        <w:gridCol w:w="2830"/>
        <w:gridCol w:w="2771"/>
        <w:gridCol w:w="3750"/>
      </w:tblGrid>
      <w:tr w:rsidR="00BE0B19" w:rsidRPr="00AE47C6" w14:paraId="193CE489" w14:textId="77777777" w:rsidTr="00AD72E5">
        <w:tc>
          <w:tcPr>
            <w:tcW w:w="2830" w:type="dxa"/>
            <w:vAlign w:val="center"/>
          </w:tcPr>
          <w:p w14:paraId="2EF33B1F"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sz w:val="24"/>
                <w:szCs w:val="24"/>
              </w:rPr>
              <w:t>Клинични симптоми</w:t>
            </w:r>
          </w:p>
        </w:tc>
        <w:tc>
          <w:tcPr>
            <w:tcW w:w="2771" w:type="dxa"/>
            <w:vAlign w:val="center"/>
          </w:tcPr>
          <w:p w14:paraId="442FE0EA"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sz w:val="24"/>
                <w:szCs w:val="24"/>
              </w:rPr>
              <w:t>Брой на лезиите с обективни клинични доказателства</w:t>
            </w:r>
          </w:p>
        </w:tc>
        <w:tc>
          <w:tcPr>
            <w:tcW w:w="3750" w:type="dxa"/>
            <w:vAlign w:val="center"/>
          </w:tcPr>
          <w:p w14:paraId="7BD443E0"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sz w:val="24"/>
                <w:szCs w:val="24"/>
              </w:rPr>
              <w:t>Допълнителни изследвания</w:t>
            </w:r>
          </w:p>
        </w:tc>
      </w:tr>
      <w:tr w:rsidR="00BE0B19" w:rsidRPr="00AE47C6" w14:paraId="16809DCE" w14:textId="77777777" w:rsidTr="00AD72E5">
        <w:tc>
          <w:tcPr>
            <w:tcW w:w="2830" w:type="dxa"/>
            <w:vAlign w:val="center"/>
          </w:tcPr>
          <w:p w14:paraId="50180E7F" w14:textId="77777777" w:rsidR="00BE0B19" w:rsidRPr="00AE47C6" w:rsidRDefault="00BE0B19" w:rsidP="00BE0B19">
            <w:pPr>
              <w:spacing w:after="0" w:line="360" w:lineRule="auto"/>
              <w:jc w:val="both"/>
              <w:rPr>
                <w:rFonts w:ascii="Times New Roman" w:hAnsi="Times New Roman"/>
                <w:sz w:val="24"/>
                <w:szCs w:val="24"/>
              </w:rPr>
            </w:pPr>
            <w:bookmarkStart w:id="230" w:name="_Hlk524378951"/>
            <w:r w:rsidRPr="00AE47C6">
              <w:rPr>
                <w:rFonts w:ascii="Times New Roman" w:hAnsi="Times New Roman"/>
                <w:sz w:val="24"/>
                <w:szCs w:val="24"/>
              </w:rPr>
              <w:t>2 или повече пристъпа</w:t>
            </w:r>
          </w:p>
        </w:tc>
        <w:tc>
          <w:tcPr>
            <w:tcW w:w="2771" w:type="dxa"/>
            <w:vAlign w:val="center"/>
          </w:tcPr>
          <w:p w14:paraId="45F0F6DA"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2 или повече</w:t>
            </w:r>
          </w:p>
        </w:tc>
        <w:tc>
          <w:tcPr>
            <w:tcW w:w="3750" w:type="dxa"/>
            <w:vAlign w:val="center"/>
          </w:tcPr>
          <w:p w14:paraId="483AE56F"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Не се налагат</w:t>
            </w:r>
          </w:p>
        </w:tc>
      </w:tr>
      <w:tr w:rsidR="00BE0B19" w:rsidRPr="00AE47C6" w14:paraId="4A4A31AF" w14:textId="77777777" w:rsidTr="00AD72E5">
        <w:tc>
          <w:tcPr>
            <w:tcW w:w="2830" w:type="dxa"/>
            <w:vAlign w:val="center"/>
          </w:tcPr>
          <w:p w14:paraId="5F32B071" w14:textId="77777777" w:rsidR="00BE0B19" w:rsidRPr="00AE47C6" w:rsidRDefault="00BE0B19" w:rsidP="00BE0B19">
            <w:pPr>
              <w:spacing w:after="0" w:line="360" w:lineRule="auto"/>
              <w:jc w:val="both"/>
              <w:rPr>
                <w:rFonts w:ascii="Times New Roman" w:hAnsi="Times New Roman"/>
                <w:sz w:val="24"/>
                <w:szCs w:val="24"/>
              </w:rPr>
            </w:pPr>
            <w:bookmarkStart w:id="231" w:name="OLE_LINK12"/>
            <w:bookmarkStart w:id="232" w:name="OLE_LINK13"/>
            <w:bookmarkEnd w:id="230"/>
            <w:r w:rsidRPr="00AE47C6">
              <w:rPr>
                <w:rFonts w:ascii="Times New Roman" w:hAnsi="Times New Roman"/>
                <w:sz w:val="24"/>
                <w:szCs w:val="24"/>
              </w:rPr>
              <w:t>2 или повече пристъпа</w:t>
            </w:r>
          </w:p>
          <w:bookmarkEnd w:id="231"/>
          <w:bookmarkEnd w:id="232"/>
          <w:p w14:paraId="36A7B944" w14:textId="77777777" w:rsidR="00BE0B19" w:rsidRPr="00AE47C6" w:rsidRDefault="00BE0B19" w:rsidP="00BE0B19">
            <w:pPr>
              <w:spacing w:after="0" w:line="360" w:lineRule="auto"/>
              <w:jc w:val="both"/>
              <w:rPr>
                <w:rFonts w:ascii="Times New Roman" w:hAnsi="Times New Roman"/>
                <w:sz w:val="24"/>
                <w:szCs w:val="24"/>
              </w:rPr>
            </w:pPr>
          </w:p>
        </w:tc>
        <w:tc>
          <w:tcPr>
            <w:tcW w:w="2771" w:type="dxa"/>
            <w:vAlign w:val="center"/>
          </w:tcPr>
          <w:p w14:paraId="5B7B33DA"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1</w:t>
            </w:r>
            <w:r w:rsidRPr="00AE47C6">
              <w:rPr>
                <w:rFonts w:ascii="Times New Roman" w:hAnsi="Times New Roman"/>
                <w:b/>
                <w:sz w:val="24"/>
                <w:szCs w:val="24"/>
              </w:rPr>
              <w:t>+</w:t>
            </w:r>
            <w:r w:rsidRPr="00AE47C6">
              <w:rPr>
                <w:rFonts w:ascii="Times New Roman" w:hAnsi="Times New Roman"/>
                <w:sz w:val="24"/>
                <w:szCs w:val="24"/>
              </w:rPr>
              <w:t>ясни анамнестични данни за предишен пристъп, включващ лезия с различна анатомична локализация</w:t>
            </w:r>
          </w:p>
        </w:tc>
        <w:tc>
          <w:tcPr>
            <w:tcW w:w="3750" w:type="dxa"/>
            <w:vAlign w:val="center"/>
          </w:tcPr>
          <w:p w14:paraId="20811D58" w14:textId="77777777" w:rsidR="00BE0B19" w:rsidRPr="00AE47C6" w:rsidRDefault="00BE0B19" w:rsidP="00BE0B19">
            <w:pPr>
              <w:spacing w:after="0" w:line="360" w:lineRule="auto"/>
              <w:jc w:val="both"/>
              <w:rPr>
                <w:rFonts w:ascii="Times New Roman" w:hAnsi="Times New Roman"/>
                <w:sz w:val="24"/>
                <w:szCs w:val="24"/>
              </w:rPr>
            </w:pPr>
            <w:bookmarkStart w:id="233" w:name="OLE_LINK11"/>
            <w:r w:rsidRPr="00AE47C6">
              <w:rPr>
                <w:rFonts w:ascii="Times New Roman" w:hAnsi="Times New Roman"/>
                <w:sz w:val="24"/>
                <w:szCs w:val="24"/>
              </w:rPr>
              <w:t>Не се налагат</w:t>
            </w:r>
            <w:bookmarkEnd w:id="233"/>
          </w:p>
          <w:p w14:paraId="144F8912" w14:textId="77777777" w:rsidR="00BE0B19" w:rsidRPr="00AE47C6" w:rsidRDefault="00BE0B19" w:rsidP="00BE0B19">
            <w:pPr>
              <w:spacing w:after="0" w:line="360" w:lineRule="auto"/>
              <w:jc w:val="both"/>
              <w:rPr>
                <w:rFonts w:ascii="Times New Roman" w:hAnsi="Times New Roman"/>
                <w:sz w:val="24"/>
                <w:szCs w:val="24"/>
              </w:rPr>
            </w:pPr>
          </w:p>
        </w:tc>
      </w:tr>
      <w:tr w:rsidR="00BE0B19" w:rsidRPr="00AE47C6" w14:paraId="07E4DA41" w14:textId="77777777" w:rsidTr="00AD72E5">
        <w:tc>
          <w:tcPr>
            <w:tcW w:w="2830" w:type="dxa"/>
          </w:tcPr>
          <w:p w14:paraId="1B60DE9E"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2 или повече пристъпа</w:t>
            </w:r>
          </w:p>
          <w:p w14:paraId="6E491748" w14:textId="77777777" w:rsidR="00BE0B19" w:rsidRPr="00AE47C6" w:rsidRDefault="00BE0B19" w:rsidP="00BE0B19">
            <w:pPr>
              <w:spacing w:after="0" w:line="360" w:lineRule="auto"/>
              <w:jc w:val="both"/>
              <w:rPr>
                <w:rFonts w:ascii="Times New Roman" w:hAnsi="Times New Roman"/>
                <w:sz w:val="24"/>
                <w:szCs w:val="24"/>
              </w:rPr>
            </w:pPr>
          </w:p>
        </w:tc>
        <w:tc>
          <w:tcPr>
            <w:tcW w:w="2771" w:type="dxa"/>
          </w:tcPr>
          <w:p w14:paraId="050F14BA"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1</w:t>
            </w:r>
          </w:p>
        </w:tc>
        <w:tc>
          <w:tcPr>
            <w:tcW w:w="3750" w:type="dxa"/>
          </w:tcPr>
          <w:p w14:paraId="2E9AE8E1" w14:textId="77777777" w:rsidR="00BE0B19" w:rsidRPr="00AE47C6" w:rsidRDefault="00BE0B19" w:rsidP="00BE0B19">
            <w:pPr>
              <w:spacing w:after="0" w:line="360" w:lineRule="auto"/>
              <w:jc w:val="both"/>
              <w:rPr>
                <w:rFonts w:ascii="Times New Roman" w:hAnsi="Times New Roman"/>
                <w:sz w:val="24"/>
                <w:szCs w:val="24"/>
              </w:rPr>
            </w:pPr>
            <w:bookmarkStart w:id="234" w:name="OLE_LINK16"/>
            <w:bookmarkStart w:id="235" w:name="OLE_LINK17"/>
            <w:bookmarkStart w:id="236" w:name="OLE_LINK18"/>
            <w:bookmarkStart w:id="237" w:name="OLE_LINK14"/>
            <w:bookmarkStart w:id="238" w:name="OLE_LINK15"/>
            <w:bookmarkStart w:id="239" w:name="OLE_LINK22"/>
            <w:r w:rsidRPr="00AE47C6">
              <w:rPr>
                <w:rFonts w:ascii="Times New Roman" w:hAnsi="Times New Roman"/>
                <w:sz w:val="24"/>
                <w:szCs w:val="24"/>
              </w:rPr>
              <w:t xml:space="preserve">Дисеминация в пространството, демонстрираща се с допълнителен </w:t>
            </w:r>
            <w:bookmarkEnd w:id="234"/>
            <w:bookmarkEnd w:id="235"/>
            <w:bookmarkEnd w:id="236"/>
            <w:r w:rsidRPr="00AE47C6">
              <w:rPr>
                <w:rFonts w:ascii="Times New Roman" w:hAnsi="Times New Roman"/>
                <w:sz w:val="24"/>
                <w:szCs w:val="24"/>
              </w:rPr>
              <w:t>клиничен пристъп, засягащ друга мозъчна област или с МРТ</w:t>
            </w:r>
            <w:bookmarkEnd w:id="237"/>
            <w:bookmarkEnd w:id="238"/>
            <w:bookmarkEnd w:id="239"/>
          </w:p>
        </w:tc>
      </w:tr>
      <w:tr w:rsidR="00BE0B19" w:rsidRPr="00AE47C6" w14:paraId="3DE1CE97" w14:textId="77777777" w:rsidTr="00AD72E5">
        <w:tc>
          <w:tcPr>
            <w:tcW w:w="2830" w:type="dxa"/>
          </w:tcPr>
          <w:p w14:paraId="7195B345" w14:textId="77777777" w:rsidR="00BE0B19" w:rsidRPr="00AE47C6" w:rsidRDefault="00BE0B19" w:rsidP="00BE0B19">
            <w:pPr>
              <w:spacing w:after="0" w:line="360" w:lineRule="auto"/>
              <w:jc w:val="both"/>
              <w:rPr>
                <w:rFonts w:ascii="Times New Roman" w:hAnsi="Times New Roman"/>
                <w:sz w:val="24"/>
                <w:szCs w:val="24"/>
              </w:rPr>
            </w:pPr>
            <w:bookmarkStart w:id="240" w:name="OLE_LINK19"/>
            <w:bookmarkStart w:id="241" w:name="OLE_LINK20"/>
            <w:bookmarkStart w:id="242" w:name="OLE_LINK21"/>
            <w:r w:rsidRPr="00AE47C6">
              <w:rPr>
                <w:rFonts w:ascii="Times New Roman" w:hAnsi="Times New Roman"/>
                <w:sz w:val="24"/>
                <w:szCs w:val="24"/>
              </w:rPr>
              <w:t>1 пристъп</w:t>
            </w:r>
            <w:bookmarkEnd w:id="240"/>
            <w:bookmarkEnd w:id="241"/>
            <w:bookmarkEnd w:id="242"/>
          </w:p>
        </w:tc>
        <w:tc>
          <w:tcPr>
            <w:tcW w:w="2771" w:type="dxa"/>
          </w:tcPr>
          <w:p w14:paraId="170B5F19"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2 или повече</w:t>
            </w:r>
          </w:p>
        </w:tc>
        <w:tc>
          <w:tcPr>
            <w:tcW w:w="3750" w:type="dxa"/>
          </w:tcPr>
          <w:p w14:paraId="2A4BED78" w14:textId="77777777" w:rsidR="00BE0B19" w:rsidRPr="00AE47C6" w:rsidRDefault="00BE0B19" w:rsidP="00BE0B19">
            <w:pPr>
              <w:spacing w:after="0" w:line="360" w:lineRule="auto"/>
              <w:jc w:val="both"/>
              <w:rPr>
                <w:rFonts w:ascii="Times New Roman" w:hAnsi="Times New Roman"/>
                <w:sz w:val="24"/>
                <w:szCs w:val="24"/>
              </w:rPr>
            </w:pPr>
            <w:bookmarkStart w:id="243" w:name="OLE_LINK23"/>
            <w:bookmarkStart w:id="244" w:name="OLE_LINK24"/>
            <w:bookmarkStart w:id="245" w:name="OLE_LINK25"/>
            <w:r w:rsidRPr="00AE47C6">
              <w:rPr>
                <w:rFonts w:ascii="Times New Roman" w:hAnsi="Times New Roman"/>
                <w:sz w:val="24"/>
                <w:szCs w:val="24"/>
              </w:rPr>
              <w:t>Дисеминация във времето, демонстрираща се с допълнителен клиничен пристъп или МРТ или с олигоклонален ликвор.</w:t>
            </w:r>
            <w:bookmarkEnd w:id="243"/>
            <w:bookmarkEnd w:id="244"/>
            <w:bookmarkEnd w:id="245"/>
          </w:p>
        </w:tc>
      </w:tr>
      <w:tr w:rsidR="00BE0B19" w:rsidRPr="00AE47C6" w14:paraId="46D57F84" w14:textId="77777777" w:rsidTr="00AD72E5">
        <w:tc>
          <w:tcPr>
            <w:tcW w:w="2830" w:type="dxa"/>
            <w:tcBorders>
              <w:bottom w:val="single" w:sz="4" w:space="0" w:color="auto"/>
            </w:tcBorders>
          </w:tcPr>
          <w:p w14:paraId="1ABF40F6"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1 пристъп</w:t>
            </w:r>
          </w:p>
        </w:tc>
        <w:tc>
          <w:tcPr>
            <w:tcW w:w="2771" w:type="dxa"/>
            <w:tcBorders>
              <w:bottom w:val="single" w:sz="4" w:space="0" w:color="auto"/>
            </w:tcBorders>
          </w:tcPr>
          <w:p w14:paraId="362BE97F"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1</w:t>
            </w:r>
          </w:p>
        </w:tc>
        <w:tc>
          <w:tcPr>
            <w:tcW w:w="3750" w:type="dxa"/>
            <w:tcBorders>
              <w:bottom w:val="single" w:sz="4" w:space="0" w:color="auto"/>
            </w:tcBorders>
          </w:tcPr>
          <w:p w14:paraId="4DA97598"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 xml:space="preserve">Дисеминация в пространството, демонстрираща се с допълнителен клиничен пристъп, засягащ друга мозъчна област или с МРТ </w:t>
            </w:r>
          </w:p>
          <w:p w14:paraId="7911147E"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И</w:t>
            </w:r>
          </w:p>
          <w:p w14:paraId="1F4C2288"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Дисеминация във времето, демонстрираща се с допълнителен клиничен пристъп или МРТ или с олигоклонален ликвор.</w:t>
            </w:r>
          </w:p>
        </w:tc>
      </w:tr>
      <w:tr w:rsidR="00BE0B19" w:rsidRPr="00AE47C6" w14:paraId="4141F8E0" w14:textId="77777777" w:rsidTr="00AD72E5">
        <w:tc>
          <w:tcPr>
            <w:tcW w:w="9351" w:type="dxa"/>
            <w:gridSpan w:val="3"/>
          </w:tcPr>
          <w:p w14:paraId="0789C911" w14:textId="77777777" w:rsidR="00BE0B19" w:rsidRPr="00AE47C6" w:rsidRDefault="00BE0B19" w:rsidP="00BE0B19">
            <w:pPr>
              <w:numPr>
                <w:ilvl w:val="0"/>
                <w:numId w:val="136"/>
              </w:numPr>
              <w:spacing w:after="0" w:line="360" w:lineRule="auto"/>
              <w:contextualSpacing/>
              <w:jc w:val="both"/>
              <w:rPr>
                <w:rFonts w:ascii="Times New Roman" w:hAnsi="Times New Roman"/>
                <w:sz w:val="24"/>
                <w:szCs w:val="24"/>
              </w:rPr>
            </w:pPr>
            <w:r w:rsidRPr="00AE47C6">
              <w:rPr>
                <w:rFonts w:ascii="Times New Roman" w:hAnsi="Times New Roman"/>
                <w:sz w:val="24"/>
                <w:szCs w:val="24"/>
              </w:rPr>
              <w:t xml:space="preserve">Ако критериите на McDonald 2017 са изпълнени и няма по-добро обяснение за клиничното представяне, диагнозата е множествена склероза. </w:t>
            </w:r>
          </w:p>
          <w:p w14:paraId="4BF34A0C" w14:textId="77777777" w:rsidR="00BE0B19" w:rsidRPr="00AE47C6" w:rsidRDefault="00BE0B19" w:rsidP="00BE0B19">
            <w:pPr>
              <w:numPr>
                <w:ilvl w:val="0"/>
                <w:numId w:val="136"/>
              </w:numPr>
              <w:spacing w:after="0" w:line="360" w:lineRule="auto"/>
              <w:contextualSpacing/>
              <w:jc w:val="both"/>
              <w:rPr>
                <w:rFonts w:ascii="Times New Roman" w:hAnsi="Times New Roman"/>
                <w:sz w:val="24"/>
                <w:szCs w:val="24"/>
              </w:rPr>
            </w:pPr>
            <w:r w:rsidRPr="00AE47C6">
              <w:rPr>
                <w:rFonts w:ascii="Times New Roman" w:hAnsi="Times New Roman"/>
                <w:sz w:val="24"/>
                <w:szCs w:val="24"/>
              </w:rPr>
              <w:t xml:space="preserve">Ако има съмнение за множествена склероза, поради наличието на клинично изолиран синдром, но критериите на McDonald 2017 не са изцяло изпълнени, диагнозата е възможна множествена склероза. Ако по време на оценката на състоянието възникне друга диагноза, която по-добре обяснява клиничната симптоматика, диагнозата не е множествена склероза. </w:t>
            </w:r>
          </w:p>
          <w:p w14:paraId="4F6C8307" w14:textId="77777777" w:rsidR="00BE0B19" w:rsidRPr="00AE47C6" w:rsidRDefault="00BE0B19" w:rsidP="00BE0B19">
            <w:pPr>
              <w:numPr>
                <w:ilvl w:val="0"/>
                <w:numId w:val="136"/>
              </w:numPr>
              <w:spacing w:after="0" w:line="360" w:lineRule="auto"/>
              <w:contextualSpacing/>
              <w:jc w:val="both"/>
              <w:rPr>
                <w:rFonts w:ascii="Times New Roman" w:hAnsi="Times New Roman"/>
                <w:sz w:val="24"/>
                <w:szCs w:val="24"/>
              </w:rPr>
            </w:pPr>
            <w:r w:rsidRPr="00AE47C6">
              <w:rPr>
                <w:rFonts w:ascii="Times New Roman" w:hAnsi="Times New Roman"/>
                <w:sz w:val="24"/>
                <w:szCs w:val="24"/>
              </w:rPr>
              <w:t xml:space="preserve">Въпреки че при първите две категории, за да се демонстрира разпространение в пространството и времето, не се изискват допълнителни изследвания, при всички пациенти, при които се предполага МС трябва да се направи МРТ, освен ако това е невъзможно. </w:t>
            </w:r>
          </w:p>
          <w:p w14:paraId="10EB8720" w14:textId="77777777" w:rsidR="00BE0B19" w:rsidRPr="00AE47C6" w:rsidRDefault="00BE0B19" w:rsidP="00BE0B19">
            <w:pPr>
              <w:numPr>
                <w:ilvl w:val="0"/>
                <w:numId w:val="136"/>
              </w:numPr>
              <w:spacing w:after="0" w:line="360" w:lineRule="auto"/>
              <w:contextualSpacing/>
              <w:jc w:val="both"/>
              <w:rPr>
                <w:rFonts w:ascii="Times New Roman" w:hAnsi="Times New Roman"/>
                <w:sz w:val="24"/>
                <w:szCs w:val="24"/>
              </w:rPr>
            </w:pPr>
            <w:r w:rsidRPr="00AE47C6">
              <w:rPr>
                <w:rFonts w:ascii="Times New Roman" w:hAnsi="Times New Roman"/>
                <w:sz w:val="24"/>
                <w:szCs w:val="24"/>
              </w:rPr>
              <w:t xml:space="preserve">Освен това при пациенти с недостатъчни клинични доказателства за МС, както и при такива с клинични симптоми, различни от тези при клинично-изолирания синдром или с атипични за МС симптоми, трябва да се обмисли МРТ на гръбначен мозък или изследване на ликвор, подкрепящи множествена склероза. Ако се направи МРТ или други тестове (напр. ликвор) и те са отрицателни, трябва да се внимава с поставянето на диагнозата МС и да се обмислят алтернативни диагнози. </w:t>
            </w:r>
          </w:p>
          <w:p w14:paraId="36AB9976" w14:textId="77777777" w:rsidR="00BE0B19" w:rsidRPr="00AE47C6" w:rsidRDefault="00BE0B19" w:rsidP="00BE0B19">
            <w:pPr>
              <w:numPr>
                <w:ilvl w:val="0"/>
                <w:numId w:val="136"/>
              </w:numPr>
              <w:spacing w:after="0" w:line="360" w:lineRule="auto"/>
              <w:contextualSpacing/>
              <w:jc w:val="both"/>
              <w:rPr>
                <w:rFonts w:ascii="Times New Roman" w:hAnsi="Times New Roman"/>
                <w:sz w:val="24"/>
                <w:szCs w:val="24"/>
              </w:rPr>
            </w:pPr>
            <w:r w:rsidRPr="00AE47C6">
              <w:rPr>
                <w:rFonts w:ascii="Times New Roman" w:hAnsi="Times New Roman"/>
                <w:sz w:val="24"/>
                <w:szCs w:val="24"/>
              </w:rPr>
              <w:t>Разумни анамнестични доказателства за минал пристъп, при липса на обективни данни за остатъчна неврологична находка, могат да послужат за доказателство за предишен пристъп, но най-малко един пристъп трябва да бъде подкрепен от обективна неврологична находка. При отсъствие на остатъчни обективни доказателства, е необходима предпазливост при поставяне на диагнозата МС.</w:t>
            </w:r>
          </w:p>
          <w:p w14:paraId="702B1E9A" w14:textId="77777777" w:rsidR="00BE0B19" w:rsidRPr="00AE47C6" w:rsidRDefault="00BE0B19" w:rsidP="00BE0B19">
            <w:pPr>
              <w:numPr>
                <w:ilvl w:val="0"/>
                <w:numId w:val="136"/>
              </w:numPr>
              <w:spacing w:after="0" w:line="360" w:lineRule="auto"/>
              <w:contextualSpacing/>
              <w:jc w:val="both"/>
              <w:rPr>
                <w:rFonts w:ascii="Times New Roman" w:hAnsi="Times New Roman"/>
                <w:sz w:val="24"/>
                <w:szCs w:val="24"/>
              </w:rPr>
            </w:pPr>
            <w:r w:rsidRPr="00AE47C6">
              <w:rPr>
                <w:rFonts w:ascii="Times New Roman" w:hAnsi="Times New Roman"/>
                <w:sz w:val="24"/>
                <w:szCs w:val="24"/>
              </w:rPr>
              <w:t>Присъствието на специфичните за ликвора олигоклонални ивици само по себе си не демонстрира разпространение на демиелинизиращия процес във времето, но може да замести това изискване.</w:t>
            </w:r>
          </w:p>
        </w:tc>
      </w:tr>
    </w:tbl>
    <w:p w14:paraId="1AF577D4" w14:textId="77777777" w:rsidR="00BE0B19" w:rsidRPr="00AE47C6" w:rsidRDefault="00BE0B19" w:rsidP="00BE0B19">
      <w:pPr>
        <w:spacing w:after="0" w:line="360" w:lineRule="auto"/>
        <w:jc w:val="both"/>
        <w:textAlignment w:val="baseline"/>
        <w:rPr>
          <w:rFonts w:ascii="Times New Roman" w:eastAsia="SimSun" w:hAnsi="Times New Roman"/>
          <w:b/>
          <w:sz w:val="24"/>
          <w:szCs w:val="24"/>
          <w:lang w:eastAsia="bg-BG"/>
        </w:rPr>
      </w:pPr>
    </w:p>
    <w:p w14:paraId="5602BA4F" w14:textId="77777777" w:rsidR="00BE0B19" w:rsidRPr="00AE47C6" w:rsidRDefault="00BE0B19" w:rsidP="00BE0B19">
      <w:pPr>
        <w:spacing w:after="0" w:line="240" w:lineRule="auto"/>
        <w:rPr>
          <w:rFonts w:ascii="Times New Roman" w:eastAsia="SimSun" w:hAnsi="Times New Roman"/>
          <w:b/>
          <w:sz w:val="24"/>
          <w:szCs w:val="24"/>
          <w:lang w:eastAsia="bg-BG"/>
        </w:rPr>
      </w:pPr>
      <w:r w:rsidRPr="00AE47C6">
        <w:rPr>
          <w:rFonts w:ascii="Times New Roman" w:eastAsia="SimSun" w:hAnsi="Times New Roman"/>
          <w:b/>
        </w:rPr>
        <w:br w:type="page"/>
      </w:r>
    </w:p>
    <w:p w14:paraId="41B24EAD"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246" w:name="_Toc155651809"/>
      <w:bookmarkStart w:id="247" w:name="_Toc164075943"/>
      <w:r w:rsidRPr="00AE47C6">
        <w:rPr>
          <w:rFonts w:ascii="Times New Roman" w:eastAsia="SimSun" w:hAnsi="Times New Roman"/>
          <w:b/>
          <w:sz w:val="24"/>
          <w:szCs w:val="24"/>
        </w:rPr>
        <w:t>Приложение 3. Ревизирани през 2017 г. МРТ критерии на McDonald</w:t>
      </w:r>
      <w:bookmarkEnd w:id="246"/>
      <w:bookmarkEnd w:id="247"/>
    </w:p>
    <w:p w14:paraId="708124DA" w14:textId="77777777" w:rsidR="00BE0B19" w:rsidRPr="00AE47C6" w:rsidRDefault="00BE0B19" w:rsidP="00BE0B19">
      <w:pPr>
        <w:spacing w:after="0" w:line="360" w:lineRule="auto"/>
        <w:ind w:left="547" w:hanging="547"/>
        <w:jc w:val="both"/>
        <w:textAlignment w:val="baseline"/>
        <w:rPr>
          <w:rFonts w:ascii="Times New Roman" w:eastAsia="SimSun" w:hAnsi="Times New Roman"/>
          <w:sz w:val="24"/>
          <w:szCs w:val="24"/>
          <w:lang w:eastAsia="bg-BG"/>
        </w:rPr>
      </w:pPr>
    </w:p>
    <w:tbl>
      <w:tblPr>
        <w:tblStyle w:val="TableGrid2"/>
        <w:tblW w:w="0" w:type="auto"/>
        <w:tblLook w:val="04A0" w:firstRow="1" w:lastRow="0" w:firstColumn="1" w:lastColumn="0" w:noHBand="0" w:noVBand="1"/>
      </w:tblPr>
      <w:tblGrid>
        <w:gridCol w:w="4606"/>
        <w:gridCol w:w="4606"/>
      </w:tblGrid>
      <w:tr w:rsidR="00BE0B19" w:rsidRPr="00AE47C6" w14:paraId="33AD5103" w14:textId="77777777" w:rsidTr="00AD72E5">
        <w:tc>
          <w:tcPr>
            <w:tcW w:w="4606" w:type="dxa"/>
          </w:tcPr>
          <w:p w14:paraId="256FAF84"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sz w:val="24"/>
                <w:szCs w:val="24"/>
              </w:rPr>
              <w:t>Дисеминиране на лезиите в пространството DIS</w:t>
            </w:r>
          </w:p>
        </w:tc>
        <w:tc>
          <w:tcPr>
            <w:tcW w:w="4606" w:type="dxa"/>
          </w:tcPr>
          <w:p w14:paraId="48AD1938"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sz w:val="24"/>
                <w:szCs w:val="24"/>
              </w:rPr>
              <w:t>Дисеминиране на лезиите във времето DIT</w:t>
            </w:r>
          </w:p>
        </w:tc>
      </w:tr>
      <w:tr w:rsidR="00BE0B19" w:rsidRPr="00AE47C6" w14:paraId="482A75E4" w14:textId="77777777" w:rsidTr="00AD72E5">
        <w:trPr>
          <w:trHeight w:val="3442"/>
        </w:trPr>
        <w:tc>
          <w:tcPr>
            <w:tcW w:w="4606" w:type="dxa"/>
          </w:tcPr>
          <w:p w14:paraId="1B09A780"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Дисеминиране в пространството може да се демонстрира с 1 или повече характерни за МС Т</w:t>
            </w:r>
            <w:r w:rsidRPr="00AE47C6">
              <w:rPr>
                <w:rFonts w:ascii="Times New Roman" w:hAnsi="Times New Roman"/>
                <w:sz w:val="24"/>
                <w:szCs w:val="24"/>
                <w:vertAlign w:val="subscript"/>
              </w:rPr>
              <w:t>2</w:t>
            </w:r>
            <w:r w:rsidRPr="00AE47C6">
              <w:rPr>
                <w:rFonts w:ascii="Times New Roman" w:hAnsi="Times New Roman"/>
                <w:sz w:val="24"/>
                <w:szCs w:val="24"/>
              </w:rPr>
              <w:t>-хиперинтензни лезии в 2 или повече от 4 области в ЦНС:</w:t>
            </w:r>
          </w:p>
          <w:p w14:paraId="5C6B90F2" w14:textId="77777777" w:rsidR="00BE0B19" w:rsidRPr="00AE47C6" w:rsidRDefault="00BE0B19" w:rsidP="00BE0B19">
            <w:pPr>
              <w:numPr>
                <w:ilvl w:val="0"/>
                <w:numId w:val="137"/>
              </w:numPr>
              <w:autoSpaceDE w:val="0"/>
              <w:autoSpaceDN w:val="0"/>
              <w:adjustRightInd w:val="0"/>
              <w:spacing w:after="0" w:line="360" w:lineRule="auto"/>
              <w:contextualSpacing/>
              <w:jc w:val="both"/>
              <w:rPr>
                <w:rFonts w:ascii="Times New Roman" w:hAnsi="Times New Roman"/>
                <w:sz w:val="24"/>
                <w:szCs w:val="24"/>
              </w:rPr>
            </w:pPr>
            <w:r w:rsidRPr="00AE47C6">
              <w:rPr>
                <w:rFonts w:ascii="Times New Roman" w:hAnsi="Times New Roman"/>
                <w:sz w:val="24"/>
                <w:szCs w:val="24"/>
              </w:rPr>
              <w:t>Перивентрикулна</w:t>
            </w:r>
          </w:p>
          <w:p w14:paraId="25A47DA4" w14:textId="77777777" w:rsidR="00BE0B19" w:rsidRPr="00AE47C6" w:rsidRDefault="00BE0B19" w:rsidP="00BE0B19">
            <w:pPr>
              <w:numPr>
                <w:ilvl w:val="0"/>
                <w:numId w:val="137"/>
              </w:numPr>
              <w:autoSpaceDE w:val="0"/>
              <w:autoSpaceDN w:val="0"/>
              <w:adjustRightInd w:val="0"/>
              <w:spacing w:after="0" w:line="360" w:lineRule="auto"/>
              <w:contextualSpacing/>
              <w:jc w:val="both"/>
              <w:rPr>
                <w:rFonts w:ascii="Times New Roman" w:hAnsi="Times New Roman"/>
                <w:sz w:val="24"/>
                <w:szCs w:val="24"/>
              </w:rPr>
            </w:pPr>
            <w:r w:rsidRPr="00AE47C6">
              <w:rPr>
                <w:rFonts w:ascii="Times New Roman" w:hAnsi="Times New Roman"/>
                <w:sz w:val="24"/>
                <w:szCs w:val="24"/>
              </w:rPr>
              <w:t>Корова или юкстакортикална</w:t>
            </w:r>
          </w:p>
          <w:p w14:paraId="3274BB5F" w14:textId="77777777" w:rsidR="00BE0B19" w:rsidRPr="00AE47C6" w:rsidRDefault="00BE0B19" w:rsidP="00BE0B19">
            <w:pPr>
              <w:numPr>
                <w:ilvl w:val="0"/>
                <w:numId w:val="137"/>
              </w:numPr>
              <w:autoSpaceDE w:val="0"/>
              <w:autoSpaceDN w:val="0"/>
              <w:adjustRightInd w:val="0"/>
              <w:spacing w:after="0" w:line="360" w:lineRule="auto"/>
              <w:contextualSpacing/>
              <w:jc w:val="both"/>
              <w:rPr>
                <w:rFonts w:ascii="Times New Roman" w:hAnsi="Times New Roman"/>
                <w:sz w:val="24"/>
                <w:szCs w:val="24"/>
              </w:rPr>
            </w:pPr>
            <w:r w:rsidRPr="00AE47C6">
              <w:rPr>
                <w:rFonts w:ascii="Times New Roman" w:hAnsi="Times New Roman"/>
                <w:sz w:val="24"/>
                <w:szCs w:val="24"/>
              </w:rPr>
              <w:t>Инфратенториална</w:t>
            </w:r>
          </w:p>
          <w:p w14:paraId="4344E73B" w14:textId="77777777" w:rsidR="00BE0B19" w:rsidRPr="00AE47C6" w:rsidRDefault="00BE0B19" w:rsidP="00BE0B19">
            <w:pPr>
              <w:numPr>
                <w:ilvl w:val="0"/>
                <w:numId w:val="137"/>
              </w:numPr>
              <w:autoSpaceDE w:val="0"/>
              <w:autoSpaceDN w:val="0"/>
              <w:adjustRightInd w:val="0"/>
              <w:spacing w:after="0" w:line="360" w:lineRule="auto"/>
              <w:contextualSpacing/>
              <w:jc w:val="both"/>
              <w:rPr>
                <w:rFonts w:ascii="Times New Roman" w:hAnsi="Times New Roman"/>
                <w:sz w:val="24"/>
                <w:szCs w:val="24"/>
              </w:rPr>
            </w:pPr>
            <w:r w:rsidRPr="00AE47C6">
              <w:rPr>
                <w:rFonts w:ascii="Times New Roman" w:hAnsi="Times New Roman"/>
                <w:sz w:val="24"/>
                <w:szCs w:val="24"/>
              </w:rPr>
              <w:t>Спинална</w:t>
            </w:r>
          </w:p>
          <w:p w14:paraId="4567935B"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p>
          <w:p w14:paraId="318CEA7E"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p>
          <w:p w14:paraId="060CB4DA"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p>
          <w:p w14:paraId="3082B0D7"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p>
          <w:p w14:paraId="20C6F0F0" w14:textId="77777777" w:rsidR="00BE0B19" w:rsidRPr="00AE47C6" w:rsidRDefault="00BE0B19" w:rsidP="00BE0B19">
            <w:pPr>
              <w:kinsoku w:val="0"/>
              <w:overflowPunct w:val="0"/>
              <w:spacing w:after="0" w:line="360" w:lineRule="auto"/>
              <w:contextualSpacing/>
              <w:jc w:val="both"/>
              <w:textAlignment w:val="baseline"/>
              <w:rPr>
                <w:rFonts w:ascii="Times New Roman" w:hAnsi="Times New Roman"/>
                <w:b/>
                <w:sz w:val="24"/>
                <w:szCs w:val="24"/>
              </w:rPr>
            </w:pPr>
            <w:r w:rsidRPr="00AE47C6">
              <w:rPr>
                <w:rFonts w:ascii="Times New Roman" w:hAnsi="Times New Roman"/>
                <w:kern w:val="24"/>
                <w:sz w:val="24"/>
                <w:szCs w:val="24"/>
                <w:lang w:eastAsia="bg-BG"/>
              </w:rPr>
              <w:t xml:space="preserve">* За доказване на дисеминиране на демиелинизиращия процес при МС във времето и пространството могат да се използват както асимптоматични, така и симптоматични лезии. </w:t>
            </w:r>
          </w:p>
        </w:tc>
        <w:tc>
          <w:tcPr>
            <w:tcW w:w="4606" w:type="dxa"/>
          </w:tcPr>
          <w:p w14:paraId="0B15EFF2"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Дисеминиране във времето може да се демонстрира с едновременното наличие на gadolinium-контрастирана и не контрастирана лезия по всяко време</w:t>
            </w:r>
          </w:p>
          <w:p w14:paraId="63A2D8B3"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ИЛИ</w:t>
            </w:r>
          </w:p>
          <w:p w14:paraId="7960374C"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При наличието на нова Т</w:t>
            </w:r>
            <w:r w:rsidRPr="00AE47C6">
              <w:rPr>
                <w:rFonts w:ascii="Times New Roman" w:hAnsi="Times New Roman"/>
                <w:sz w:val="24"/>
                <w:szCs w:val="24"/>
                <w:vertAlign w:val="subscript"/>
              </w:rPr>
              <w:t>2</w:t>
            </w:r>
            <w:r w:rsidRPr="00AE47C6">
              <w:rPr>
                <w:rFonts w:ascii="Times New Roman" w:hAnsi="Times New Roman"/>
                <w:sz w:val="24"/>
                <w:szCs w:val="24"/>
              </w:rPr>
              <w:t>-хиперинтензна или gadolinium-контрастирана лезия при МРТ проследяване, сравнявайки с предходно, прието за базисно МРТ изследване, независимо от времето на базисното изследване.</w:t>
            </w:r>
          </w:p>
          <w:p w14:paraId="7B364A81"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p>
          <w:p w14:paraId="6CD52647" w14:textId="77777777" w:rsidR="00BE0B19" w:rsidRPr="00AE47C6" w:rsidRDefault="00BE0B19" w:rsidP="00BE0B19">
            <w:pPr>
              <w:kinsoku w:val="0"/>
              <w:overflowPunct w:val="0"/>
              <w:spacing w:after="0" w:line="360" w:lineRule="auto"/>
              <w:contextualSpacing/>
              <w:jc w:val="both"/>
              <w:textAlignment w:val="baseline"/>
              <w:rPr>
                <w:rFonts w:ascii="Times New Roman" w:hAnsi="Times New Roman"/>
                <w:sz w:val="24"/>
                <w:szCs w:val="24"/>
                <w:lang w:eastAsia="bg-BG"/>
              </w:rPr>
            </w:pPr>
            <w:r w:rsidRPr="00AE47C6">
              <w:rPr>
                <w:rFonts w:ascii="Times New Roman" w:hAnsi="Times New Roman"/>
                <w:kern w:val="24"/>
                <w:sz w:val="24"/>
                <w:szCs w:val="24"/>
                <w:lang w:eastAsia="bg-BG"/>
              </w:rPr>
              <w:t>* При някои пациенти (лица над 50 години или при пациенти със съдови рискови фактори) е разумно клиницистът да търси по-голям брой перивентрикулни лезии, а не да се доверява само на 1 лезия.</w:t>
            </w:r>
          </w:p>
        </w:tc>
      </w:tr>
    </w:tbl>
    <w:p w14:paraId="1FF98EA9" w14:textId="77777777" w:rsidR="00BE0B19" w:rsidRPr="00AE47C6" w:rsidRDefault="00BE0B19" w:rsidP="00BE0B19">
      <w:pPr>
        <w:spacing w:after="0" w:line="360" w:lineRule="auto"/>
        <w:rPr>
          <w:rFonts w:ascii="Times New Roman" w:eastAsia="SimSun" w:hAnsi="Times New Roman"/>
          <w:sz w:val="24"/>
          <w:szCs w:val="24"/>
        </w:rPr>
      </w:pPr>
    </w:p>
    <w:p w14:paraId="43E2B346" w14:textId="77777777" w:rsidR="00BE0B19" w:rsidRPr="00AE47C6" w:rsidRDefault="00BE0B19" w:rsidP="00BE0B19">
      <w:pPr>
        <w:spacing w:after="0" w:line="240" w:lineRule="auto"/>
        <w:rPr>
          <w:rFonts w:ascii="Times New Roman" w:eastAsia="SimSun" w:hAnsi="Times New Roman"/>
          <w:sz w:val="24"/>
          <w:szCs w:val="24"/>
        </w:rPr>
      </w:pPr>
      <w:r w:rsidRPr="00AE47C6">
        <w:rPr>
          <w:rFonts w:ascii="Times New Roman" w:eastAsia="SimSun" w:hAnsi="Times New Roman"/>
          <w:sz w:val="24"/>
          <w:szCs w:val="24"/>
        </w:rPr>
        <w:br w:type="page"/>
      </w:r>
    </w:p>
    <w:p w14:paraId="6B046203"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i/>
          <w:sz w:val="24"/>
          <w:szCs w:val="24"/>
        </w:rPr>
      </w:pPr>
      <w:bookmarkStart w:id="248" w:name="_Toc155651810"/>
      <w:bookmarkStart w:id="249" w:name="_Toc164075944"/>
      <w:r w:rsidRPr="00AE47C6">
        <w:rPr>
          <w:rFonts w:ascii="Times New Roman" w:eastAsia="SimSun" w:hAnsi="Times New Roman"/>
          <w:b/>
          <w:sz w:val="24"/>
          <w:szCs w:val="24"/>
        </w:rPr>
        <w:t>Приложение 4. Лечение на пристъп с кортикостероиди</w:t>
      </w:r>
      <w:bookmarkEnd w:id="248"/>
      <w:bookmarkEnd w:id="249"/>
      <w:r w:rsidRPr="00AE47C6">
        <w:rPr>
          <w:rFonts w:ascii="Times New Roman" w:eastAsia="SimSun" w:hAnsi="Times New Roman"/>
          <w:b/>
          <w:sz w:val="24"/>
          <w:szCs w:val="24"/>
        </w:rPr>
        <w:t xml:space="preserve"> </w:t>
      </w:r>
    </w:p>
    <w:p w14:paraId="22310846" w14:textId="77777777" w:rsidR="00BE0B19" w:rsidRPr="00AE47C6" w:rsidRDefault="00BE0B19" w:rsidP="00BE0B19">
      <w:pPr>
        <w:spacing w:after="0" w:line="360" w:lineRule="auto"/>
        <w:jc w:val="both"/>
        <w:rPr>
          <w:rFonts w:ascii="Times New Roman" w:eastAsia="SimSun" w:hAnsi="Times New Roman"/>
          <w:sz w:val="24"/>
          <w:szCs w:val="24"/>
        </w:rPr>
      </w:pPr>
    </w:p>
    <w:tbl>
      <w:tblPr>
        <w:tblW w:w="9072" w:type="dxa"/>
        <w:tblInd w:w="-1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2338"/>
        <w:gridCol w:w="3076"/>
        <w:gridCol w:w="3658"/>
      </w:tblGrid>
      <w:tr w:rsidR="00BE0B19" w:rsidRPr="00AE47C6" w14:paraId="6180F834" w14:textId="77777777" w:rsidTr="00AD72E5">
        <w:tc>
          <w:tcPr>
            <w:tcW w:w="2338" w:type="dxa"/>
          </w:tcPr>
          <w:p w14:paraId="4E17309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i/>
                <w:sz w:val="24"/>
                <w:szCs w:val="24"/>
              </w:rPr>
            </w:pPr>
            <w:r w:rsidRPr="00AE47C6">
              <w:rPr>
                <w:rFonts w:ascii="Times New Roman" w:eastAsia="SimSun" w:hAnsi="Times New Roman"/>
                <w:b/>
                <w:bCs/>
                <w:sz w:val="24"/>
                <w:szCs w:val="24"/>
              </w:rPr>
              <w:t>Кортикостероид – форма</w:t>
            </w:r>
          </w:p>
        </w:tc>
        <w:tc>
          <w:tcPr>
            <w:tcW w:w="3076" w:type="dxa"/>
          </w:tcPr>
          <w:p w14:paraId="6AAFA51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i/>
                <w:sz w:val="24"/>
                <w:szCs w:val="24"/>
              </w:rPr>
            </w:pPr>
            <w:r w:rsidRPr="00AE47C6">
              <w:rPr>
                <w:rFonts w:ascii="Times New Roman" w:eastAsia="SimSun" w:hAnsi="Times New Roman"/>
                <w:b/>
                <w:bCs/>
                <w:sz w:val="24"/>
                <w:szCs w:val="24"/>
              </w:rPr>
              <w:t>Приложение</w:t>
            </w:r>
          </w:p>
        </w:tc>
        <w:tc>
          <w:tcPr>
            <w:tcW w:w="3658" w:type="dxa"/>
          </w:tcPr>
          <w:p w14:paraId="6F5D187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b/>
                <w:sz w:val="24"/>
                <w:szCs w:val="24"/>
              </w:rPr>
              <w:t>Индикация</w:t>
            </w:r>
          </w:p>
        </w:tc>
      </w:tr>
      <w:tr w:rsidR="00BE0B19" w:rsidRPr="00AE47C6" w14:paraId="55E297EF" w14:textId="77777777" w:rsidTr="00AD72E5">
        <w:tc>
          <w:tcPr>
            <w:tcW w:w="2338" w:type="dxa"/>
          </w:tcPr>
          <w:p w14:paraId="2BBED4B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 xml:space="preserve">1. </w:t>
            </w:r>
            <w:r w:rsidRPr="00AE47C6">
              <w:rPr>
                <w:rFonts w:ascii="Times New Roman" w:eastAsia="SimSun" w:hAnsi="Times New Roman"/>
                <w:b/>
                <w:bCs/>
                <w:sz w:val="24"/>
                <w:szCs w:val="24"/>
              </w:rPr>
              <w:t>Methylprednisolone</w:t>
            </w:r>
          </w:p>
          <w:p w14:paraId="52F2FA3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amp. 125 mg; 250 mg</w:t>
            </w:r>
          </w:p>
        </w:tc>
        <w:tc>
          <w:tcPr>
            <w:tcW w:w="3076" w:type="dxa"/>
          </w:tcPr>
          <w:p w14:paraId="4E7627B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500–1000 mg i.v. в serum glucosae 500 ml</w:t>
            </w:r>
          </w:p>
          <w:p w14:paraId="25DE442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за 1 – 1,5 часа – 5 дни</w:t>
            </w:r>
          </w:p>
        </w:tc>
        <w:tc>
          <w:tcPr>
            <w:tcW w:w="3658" w:type="dxa"/>
          </w:tcPr>
          <w:p w14:paraId="5AE8D67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 xml:space="preserve">Пулсова терапия – 5 дни при пристъп и при оптичен неврит </w:t>
            </w:r>
          </w:p>
          <w:p w14:paraId="3177A43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При много тежък (евент. със стволови симптоми) пристъп и остра МС по 1000  mg i.v.</w:t>
            </w:r>
          </w:p>
        </w:tc>
      </w:tr>
      <w:tr w:rsidR="00BE0B19" w:rsidRPr="00AE47C6" w14:paraId="0995BBE9" w14:textId="77777777" w:rsidTr="00AD72E5">
        <w:tc>
          <w:tcPr>
            <w:tcW w:w="2338" w:type="dxa"/>
          </w:tcPr>
          <w:p w14:paraId="70EB852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 xml:space="preserve">2. </w:t>
            </w:r>
            <w:r w:rsidRPr="00AE47C6">
              <w:rPr>
                <w:rFonts w:ascii="Times New Roman" w:eastAsia="SimSun" w:hAnsi="Times New Roman"/>
                <w:b/>
                <w:bCs/>
                <w:sz w:val="24"/>
                <w:szCs w:val="24"/>
              </w:rPr>
              <w:t>Methylprednisolone</w:t>
            </w:r>
          </w:p>
          <w:p w14:paraId="165F7D5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 xml:space="preserve">    amp. 20 mg; 40 mg</w:t>
            </w:r>
          </w:p>
        </w:tc>
        <w:tc>
          <w:tcPr>
            <w:tcW w:w="3076" w:type="dxa"/>
          </w:tcPr>
          <w:p w14:paraId="68581C3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 80 mg i.m. 3 дни</w:t>
            </w:r>
          </w:p>
          <w:p w14:paraId="173E566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- 60 mg      общо 12 дни</w:t>
            </w:r>
          </w:p>
          <w:p w14:paraId="4D845AC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 xml:space="preserve">- 40 mg сутрин </w:t>
            </w:r>
          </w:p>
          <w:p w14:paraId="699C073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 xml:space="preserve">- 20 mg      еднократно </w:t>
            </w:r>
          </w:p>
        </w:tc>
        <w:tc>
          <w:tcPr>
            <w:tcW w:w="3658" w:type="dxa"/>
          </w:tcPr>
          <w:p w14:paraId="21CECC2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 xml:space="preserve">I вариант като “опашка” след интравенозната пулсова терапия </w:t>
            </w:r>
          </w:p>
          <w:p w14:paraId="157A22C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p>
        </w:tc>
      </w:tr>
      <w:tr w:rsidR="00BE0B19" w:rsidRPr="00AE47C6" w14:paraId="6AB4A1D9" w14:textId="77777777" w:rsidTr="00AD72E5">
        <w:tc>
          <w:tcPr>
            <w:tcW w:w="2338" w:type="dxa"/>
          </w:tcPr>
          <w:p w14:paraId="50569E4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 xml:space="preserve">3. </w:t>
            </w:r>
            <w:r w:rsidRPr="00AE47C6">
              <w:rPr>
                <w:rFonts w:ascii="Times New Roman" w:eastAsia="SimSun" w:hAnsi="Times New Roman"/>
                <w:b/>
                <w:bCs/>
                <w:sz w:val="24"/>
                <w:szCs w:val="24"/>
              </w:rPr>
              <w:t>Prednisolone F</w:t>
            </w:r>
          </w:p>
          <w:p w14:paraId="2602F25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tabl. 0,5 mg</w:t>
            </w:r>
          </w:p>
        </w:tc>
        <w:tc>
          <w:tcPr>
            <w:tcW w:w="3076" w:type="dxa"/>
          </w:tcPr>
          <w:p w14:paraId="5A16F62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12 tabl. = 6 mg</w:t>
            </w:r>
          </w:p>
          <w:p w14:paraId="3DEEF3A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10 tabl. = 5 mg по 2-3 дни,</w:t>
            </w:r>
          </w:p>
          <w:p w14:paraId="1305A58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 xml:space="preserve">8 tabl. = 4 mg    сутрин </w:t>
            </w:r>
          </w:p>
          <w:p w14:paraId="5AAB384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 xml:space="preserve">  6 tabl. = 3 mg    еднократно </w:t>
            </w:r>
          </w:p>
          <w:p w14:paraId="759AE3A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 xml:space="preserve">  4 tabl. = 2 mg след закуска</w:t>
            </w:r>
          </w:p>
          <w:p w14:paraId="521C015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2 tabl. = 1 mg</w:t>
            </w:r>
          </w:p>
        </w:tc>
        <w:tc>
          <w:tcPr>
            <w:tcW w:w="3658" w:type="dxa"/>
          </w:tcPr>
          <w:p w14:paraId="176C3CB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 xml:space="preserve">II вариант като “опашка” след интравенозната пулсова терапия </w:t>
            </w:r>
          </w:p>
          <w:p w14:paraId="2E616D8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p>
        </w:tc>
      </w:tr>
      <w:tr w:rsidR="00BE0B19" w:rsidRPr="00AE47C6" w14:paraId="0139E8A0" w14:textId="77777777" w:rsidTr="00AD72E5">
        <w:tc>
          <w:tcPr>
            <w:tcW w:w="2338" w:type="dxa"/>
          </w:tcPr>
          <w:p w14:paraId="2EB1E3B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 xml:space="preserve">4. </w:t>
            </w:r>
            <w:r w:rsidRPr="00AE47C6">
              <w:rPr>
                <w:rFonts w:ascii="Times New Roman" w:eastAsia="SimSun" w:hAnsi="Times New Roman"/>
                <w:b/>
                <w:bCs/>
                <w:sz w:val="24"/>
                <w:szCs w:val="24"/>
              </w:rPr>
              <w:t>Prednisolone</w:t>
            </w:r>
          </w:p>
          <w:p w14:paraId="7978B95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tabl. 5 mg</w:t>
            </w:r>
          </w:p>
        </w:tc>
        <w:tc>
          <w:tcPr>
            <w:tcW w:w="3076" w:type="dxa"/>
          </w:tcPr>
          <w:p w14:paraId="276A453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12 tabl. = 60 mg</w:t>
            </w:r>
          </w:p>
          <w:p w14:paraId="32EE6BA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10 tabl. = 50 mg по 2-3 дни,</w:t>
            </w:r>
          </w:p>
          <w:p w14:paraId="7FA4DE9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8 tabl. = 40 mg сутрин</w:t>
            </w:r>
          </w:p>
          <w:p w14:paraId="72FC9A3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6 tabl. = 30 mg еднократно</w:t>
            </w:r>
          </w:p>
          <w:p w14:paraId="5FB58CA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 xml:space="preserve">4 tabl. = 20 mg  след закуска </w:t>
            </w:r>
          </w:p>
          <w:p w14:paraId="52E16D3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2 tabl. = 10 mg</w:t>
            </w:r>
          </w:p>
        </w:tc>
        <w:tc>
          <w:tcPr>
            <w:tcW w:w="3658" w:type="dxa"/>
          </w:tcPr>
          <w:p w14:paraId="2D2861B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 xml:space="preserve">III вариант като “опашка” след интравенозната пулсова терапия </w:t>
            </w:r>
          </w:p>
        </w:tc>
      </w:tr>
    </w:tbl>
    <w:p w14:paraId="259E039D"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39FD6E6F"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i/>
          <w:sz w:val="24"/>
          <w:szCs w:val="24"/>
        </w:rPr>
      </w:pPr>
      <w:r w:rsidRPr="00AE47C6">
        <w:rPr>
          <w:rFonts w:ascii="Times New Roman" w:eastAsia="SimSun" w:hAnsi="Times New Roman"/>
          <w:b/>
          <w:sz w:val="24"/>
          <w:szCs w:val="24"/>
        </w:rPr>
        <w:br w:type="page"/>
      </w:r>
      <w:bookmarkStart w:id="250" w:name="_Toc155651811"/>
      <w:bookmarkStart w:id="251" w:name="_Toc164075945"/>
      <w:r w:rsidRPr="00AE47C6">
        <w:rPr>
          <w:rFonts w:ascii="Times New Roman" w:eastAsia="SimSun" w:hAnsi="Times New Roman"/>
          <w:b/>
          <w:sz w:val="24"/>
          <w:szCs w:val="24"/>
        </w:rPr>
        <w:t>Приложение 5. Симптоматично медикаментозно лечение на множествена склероза</w:t>
      </w:r>
      <w:bookmarkEnd w:id="250"/>
      <w:bookmarkEnd w:id="251"/>
      <w:r w:rsidRPr="00AE47C6">
        <w:rPr>
          <w:rFonts w:ascii="Times New Roman" w:eastAsia="SimSun" w:hAnsi="Times New Roman"/>
          <w:b/>
          <w:sz w:val="24"/>
          <w:szCs w:val="24"/>
        </w:rPr>
        <w:t xml:space="preserve"> </w:t>
      </w: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72"/>
        <w:gridCol w:w="4927"/>
        <w:gridCol w:w="1873"/>
      </w:tblGrid>
      <w:tr w:rsidR="00BE0B19" w:rsidRPr="00AE47C6" w14:paraId="1F732E43" w14:textId="77777777" w:rsidTr="00AD72E5">
        <w:tc>
          <w:tcPr>
            <w:tcW w:w="2410" w:type="dxa"/>
          </w:tcPr>
          <w:p w14:paraId="4A8279D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i/>
                <w:sz w:val="24"/>
                <w:szCs w:val="24"/>
              </w:rPr>
            </w:pPr>
            <w:r w:rsidRPr="00AE47C6">
              <w:rPr>
                <w:rFonts w:ascii="Times New Roman" w:eastAsia="SimSun" w:hAnsi="Times New Roman"/>
                <w:b/>
                <w:bCs/>
                <w:sz w:val="24"/>
                <w:szCs w:val="24"/>
              </w:rPr>
              <w:t>Симптом</w:t>
            </w:r>
          </w:p>
        </w:tc>
        <w:tc>
          <w:tcPr>
            <w:tcW w:w="5245" w:type="dxa"/>
          </w:tcPr>
          <w:p w14:paraId="0A8929A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i/>
                <w:sz w:val="24"/>
                <w:szCs w:val="24"/>
              </w:rPr>
            </w:pPr>
            <w:r w:rsidRPr="00AE47C6">
              <w:rPr>
                <w:rFonts w:ascii="Times New Roman" w:eastAsia="SimSun" w:hAnsi="Times New Roman"/>
                <w:b/>
                <w:bCs/>
                <w:sz w:val="24"/>
                <w:szCs w:val="24"/>
              </w:rPr>
              <w:t>Медикамент, лекарствена форма mg</w:t>
            </w:r>
          </w:p>
        </w:tc>
        <w:tc>
          <w:tcPr>
            <w:tcW w:w="1984" w:type="dxa"/>
          </w:tcPr>
          <w:p w14:paraId="4B0F27B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i/>
                <w:sz w:val="24"/>
                <w:szCs w:val="24"/>
              </w:rPr>
            </w:pPr>
            <w:r w:rsidRPr="00AE47C6">
              <w:rPr>
                <w:rFonts w:ascii="Times New Roman" w:eastAsia="SimSun" w:hAnsi="Times New Roman"/>
                <w:b/>
                <w:bCs/>
                <w:sz w:val="24"/>
                <w:szCs w:val="24"/>
              </w:rPr>
              <w:t xml:space="preserve">Дневна </w:t>
            </w:r>
            <w:r w:rsidRPr="00AE47C6">
              <w:rPr>
                <w:rFonts w:ascii="Times New Roman" w:eastAsia="SimSun" w:hAnsi="Times New Roman"/>
                <w:b/>
                <w:bCs/>
                <w:sz w:val="24"/>
                <w:szCs w:val="24"/>
              </w:rPr>
              <w:br/>
              <w:t>доза mg</w:t>
            </w:r>
          </w:p>
        </w:tc>
      </w:tr>
      <w:tr w:rsidR="00BE0B19" w:rsidRPr="00AE47C6" w14:paraId="7439EF03" w14:textId="77777777" w:rsidTr="00AD72E5">
        <w:tc>
          <w:tcPr>
            <w:tcW w:w="2410" w:type="dxa"/>
          </w:tcPr>
          <w:p w14:paraId="20C27C3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i/>
                <w:sz w:val="24"/>
                <w:szCs w:val="24"/>
              </w:rPr>
            </w:pPr>
            <w:r w:rsidRPr="00AE47C6">
              <w:rPr>
                <w:rFonts w:ascii="Times New Roman" w:eastAsia="SimSun" w:hAnsi="Times New Roman"/>
                <w:b/>
                <w:bCs/>
                <w:sz w:val="24"/>
                <w:szCs w:val="24"/>
              </w:rPr>
              <w:t>Спастично повишен мускулен тонус</w:t>
            </w:r>
          </w:p>
        </w:tc>
        <w:tc>
          <w:tcPr>
            <w:tcW w:w="5245" w:type="dxa"/>
          </w:tcPr>
          <w:p w14:paraId="6023DC1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 xml:space="preserve">Tizanidine tabl. 2, 4 </w:t>
            </w:r>
          </w:p>
          <w:p w14:paraId="5AC01CB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 xml:space="preserve">Baclofen tаbl. 10, 25 </w:t>
            </w:r>
          </w:p>
        </w:tc>
        <w:tc>
          <w:tcPr>
            <w:tcW w:w="1984" w:type="dxa"/>
          </w:tcPr>
          <w:p w14:paraId="171ADD6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2 – 32</w:t>
            </w:r>
          </w:p>
          <w:p w14:paraId="7CAC2CA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50 – 100</w:t>
            </w:r>
          </w:p>
        </w:tc>
      </w:tr>
      <w:tr w:rsidR="00BE0B19" w:rsidRPr="00AE47C6" w14:paraId="4D8D4559" w14:textId="77777777" w:rsidTr="00AD72E5">
        <w:tc>
          <w:tcPr>
            <w:tcW w:w="2410" w:type="dxa"/>
          </w:tcPr>
          <w:p w14:paraId="6D93391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i/>
                <w:sz w:val="24"/>
                <w:szCs w:val="24"/>
              </w:rPr>
            </w:pPr>
            <w:r w:rsidRPr="00AE47C6">
              <w:rPr>
                <w:rFonts w:ascii="Times New Roman" w:eastAsia="SimSun" w:hAnsi="Times New Roman"/>
                <w:b/>
                <w:bCs/>
                <w:sz w:val="24"/>
                <w:szCs w:val="24"/>
              </w:rPr>
              <w:t>Интенционен тремор</w:t>
            </w:r>
          </w:p>
        </w:tc>
        <w:tc>
          <w:tcPr>
            <w:tcW w:w="5245" w:type="dxa"/>
          </w:tcPr>
          <w:p w14:paraId="440293C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Isoniazid tabl. 100 mg</w:t>
            </w:r>
          </w:p>
          <w:p w14:paraId="31EB2FF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sym w:font="Symbol" w:char="F062"/>
            </w:r>
            <w:r w:rsidRPr="00AE47C6">
              <w:rPr>
                <w:rFonts w:ascii="Times New Roman" w:eastAsia="SimSun" w:hAnsi="Times New Roman"/>
                <w:sz w:val="24"/>
                <w:szCs w:val="24"/>
              </w:rPr>
              <w:t xml:space="preserve">-блокери  tabl. 25 и 40 </w:t>
            </w:r>
          </w:p>
          <w:p w14:paraId="269B592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 xml:space="preserve">Primidone  tabl. 250 </w:t>
            </w:r>
          </w:p>
          <w:p w14:paraId="30B7881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Glutethimide tabl. 250 </w:t>
            </w:r>
          </w:p>
        </w:tc>
        <w:tc>
          <w:tcPr>
            <w:tcW w:w="1984" w:type="dxa"/>
          </w:tcPr>
          <w:p w14:paraId="0BEC447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800 – 1200</w:t>
            </w:r>
          </w:p>
          <w:p w14:paraId="020BD4A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50 – 120</w:t>
            </w:r>
          </w:p>
          <w:p w14:paraId="1AEA372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 xml:space="preserve">125 – 750 </w:t>
            </w:r>
          </w:p>
          <w:p w14:paraId="2652B24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1000-4000</w:t>
            </w:r>
          </w:p>
        </w:tc>
      </w:tr>
      <w:tr w:rsidR="00BE0B19" w:rsidRPr="00AE47C6" w14:paraId="67282997" w14:textId="77777777" w:rsidTr="00AD72E5">
        <w:tc>
          <w:tcPr>
            <w:tcW w:w="2410" w:type="dxa"/>
          </w:tcPr>
          <w:p w14:paraId="3FAA4A1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i/>
                <w:sz w:val="24"/>
                <w:szCs w:val="24"/>
              </w:rPr>
            </w:pPr>
            <w:r w:rsidRPr="00AE47C6">
              <w:rPr>
                <w:rFonts w:ascii="Times New Roman" w:eastAsia="SimSun" w:hAnsi="Times New Roman"/>
                <w:b/>
                <w:bCs/>
                <w:sz w:val="24"/>
                <w:szCs w:val="24"/>
              </w:rPr>
              <w:t>Нарушена походка</w:t>
            </w:r>
          </w:p>
        </w:tc>
        <w:tc>
          <w:tcPr>
            <w:tcW w:w="5245" w:type="dxa"/>
          </w:tcPr>
          <w:p w14:paraId="02E9174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 xml:space="preserve">Fampridine tabl. 10 </w:t>
            </w:r>
          </w:p>
        </w:tc>
        <w:tc>
          <w:tcPr>
            <w:tcW w:w="1984" w:type="dxa"/>
          </w:tcPr>
          <w:p w14:paraId="432E6D6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20</w:t>
            </w:r>
          </w:p>
        </w:tc>
      </w:tr>
      <w:tr w:rsidR="00BE0B19" w:rsidRPr="00AE47C6" w14:paraId="0CC7B7F0" w14:textId="77777777" w:rsidTr="00AD72E5">
        <w:trPr>
          <w:trHeight w:val="2412"/>
        </w:trPr>
        <w:tc>
          <w:tcPr>
            <w:tcW w:w="2410" w:type="dxa"/>
            <w:tcBorders>
              <w:bottom w:val="single" w:sz="4" w:space="0" w:color="auto"/>
            </w:tcBorders>
          </w:tcPr>
          <w:p w14:paraId="0AD06B8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i/>
                <w:sz w:val="24"/>
                <w:szCs w:val="24"/>
              </w:rPr>
            </w:pPr>
            <w:r w:rsidRPr="00AE47C6">
              <w:rPr>
                <w:rFonts w:ascii="Times New Roman" w:eastAsia="SimSun" w:hAnsi="Times New Roman"/>
                <w:b/>
                <w:bCs/>
                <w:sz w:val="24"/>
                <w:szCs w:val="24"/>
              </w:rPr>
              <w:t>Тазово-резервоарни нарушения</w:t>
            </w:r>
          </w:p>
          <w:p w14:paraId="78BA2CE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Императивни позиви и инконтиненция</w:t>
            </w:r>
          </w:p>
        </w:tc>
        <w:tc>
          <w:tcPr>
            <w:tcW w:w="5245" w:type="dxa"/>
            <w:tcBorders>
              <w:bottom w:val="single" w:sz="4" w:space="0" w:color="auto"/>
            </w:tcBorders>
          </w:tcPr>
          <w:p w14:paraId="1959745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sz w:val="24"/>
                <w:szCs w:val="24"/>
              </w:rPr>
            </w:pPr>
            <w:r w:rsidRPr="00AE47C6">
              <w:rPr>
                <w:rFonts w:ascii="Times New Roman" w:eastAsia="SimSun" w:hAnsi="Times New Roman"/>
                <w:sz w:val="24"/>
                <w:szCs w:val="24"/>
              </w:rPr>
              <w:t xml:space="preserve">Galanthamin  tabl. 5; 10; amp. 2,5; 5; </w:t>
            </w:r>
          </w:p>
          <w:p w14:paraId="17D1AA3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 xml:space="preserve">Tolterodine tabl. 1; 2 </w:t>
            </w:r>
          </w:p>
          <w:p w14:paraId="617AD93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Oxybutynin tabl. 5; 10</w:t>
            </w:r>
          </w:p>
          <w:p w14:paraId="40EAF9E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Desmopressin fl. 500</w:t>
            </w:r>
            <w:r w:rsidRPr="00AE47C6">
              <w:rPr>
                <w:rFonts w:ascii="Times New Roman" w:eastAsia="SimSun" w:hAnsi="Times New Roman"/>
                <w:sz w:val="24"/>
                <w:szCs w:val="24"/>
              </w:rPr>
              <w:sym w:font="Symbol" w:char="F06D"/>
            </w:r>
            <w:r w:rsidRPr="00AE47C6">
              <w:rPr>
                <w:rFonts w:ascii="Times New Roman" w:eastAsia="SimSun" w:hAnsi="Times New Roman"/>
                <w:sz w:val="24"/>
                <w:szCs w:val="24"/>
              </w:rPr>
              <w:t>g/5ml</w:t>
            </w:r>
          </w:p>
          <w:p w14:paraId="1181E93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p>
          <w:p w14:paraId="3FDD863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Mirabegron 25; 50</w:t>
            </w:r>
          </w:p>
        </w:tc>
        <w:tc>
          <w:tcPr>
            <w:tcW w:w="1984" w:type="dxa"/>
            <w:tcBorders>
              <w:bottom w:val="single" w:sz="4" w:space="0" w:color="auto"/>
            </w:tcBorders>
          </w:tcPr>
          <w:p w14:paraId="30733A5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10 – 30</w:t>
            </w:r>
          </w:p>
          <w:p w14:paraId="4F91B1D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2 – 4</w:t>
            </w:r>
          </w:p>
          <w:p w14:paraId="23611CB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10 – 20</w:t>
            </w:r>
          </w:p>
          <w:p w14:paraId="5F98540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 xml:space="preserve">1-4 капки в носа 2-3 пъти дневно </w:t>
            </w:r>
          </w:p>
          <w:p w14:paraId="71DB7FE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25-50</w:t>
            </w:r>
          </w:p>
        </w:tc>
      </w:tr>
      <w:tr w:rsidR="00BE0B19" w:rsidRPr="00AE47C6" w14:paraId="11213EAE" w14:textId="77777777" w:rsidTr="00AD72E5">
        <w:trPr>
          <w:trHeight w:val="767"/>
        </w:trPr>
        <w:tc>
          <w:tcPr>
            <w:tcW w:w="2410" w:type="dxa"/>
            <w:tcBorders>
              <w:top w:val="single" w:sz="4" w:space="0" w:color="auto"/>
            </w:tcBorders>
          </w:tcPr>
          <w:p w14:paraId="64E82A0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p>
          <w:p w14:paraId="39A074E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Ретенция</w:t>
            </w:r>
          </w:p>
        </w:tc>
        <w:tc>
          <w:tcPr>
            <w:tcW w:w="5245" w:type="dxa"/>
            <w:tcBorders>
              <w:top w:val="single" w:sz="4" w:space="0" w:color="auto"/>
            </w:tcBorders>
          </w:tcPr>
          <w:p w14:paraId="5BB29F0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Baclofen tabl. 10;  25</w:t>
            </w:r>
          </w:p>
          <w:p w14:paraId="6E8AF3A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Diazepam tabl. 5; 10</w:t>
            </w:r>
          </w:p>
        </w:tc>
        <w:tc>
          <w:tcPr>
            <w:tcW w:w="1984" w:type="dxa"/>
            <w:tcBorders>
              <w:top w:val="single" w:sz="4" w:space="0" w:color="auto"/>
            </w:tcBorders>
          </w:tcPr>
          <w:p w14:paraId="63B33FE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20 – 40</w:t>
            </w:r>
          </w:p>
          <w:p w14:paraId="6EA6D40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10 – 15</w:t>
            </w:r>
          </w:p>
        </w:tc>
      </w:tr>
      <w:tr w:rsidR="00BE0B19" w:rsidRPr="00AE47C6" w14:paraId="6A718DFB" w14:textId="77777777" w:rsidTr="00AD72E5">
        <w:trPr>
          <w:trHeight w:val="767"/>
        </w:trPr>
        <w:tc>
          <w:tcPr>
            <w:tcW w:w="2410" w:type="dxa"/>
            <w:tcBorders>
              <w:top w:val="single" w:sz="4" w:space="0" w:color="auto"/>
            </w:tcBorders>
          </w:tcPr>
          <w:p w14:paraId="436E51C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Нистагъм</w:t>
            </w:r>
          </w:p>
        </w:tc>
        <w:tc>
          <w:tcPr>
            <w:tcW w:w="5245" w:type="dxa"/>
            <w:tcBorders>
              <w:top w:val="single" w:sz="4" w:space="0" w:color="auto"/>
            </w:tcBorders>
          </w:tcPr>
          <w:p w14:paraId="7A4444D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 xml:space="preserve">Baclofen  tabl. 10;  25 </w:t>
            </w:r>
          </w:p>
          <w:p w14:paraId="2810D3A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Clonazepam  tabl. 0,5; 2</w:t>
            </w:r>
          </w:p>
          <w:p w14:paraId="289388E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Gabapentin tabl. 300; 400; 800; caps. 600</w:t>
            </w:r>
          </w:p>
        </w:tc>
        <w:tc>
          <w:tcPr>
            <w:tcW w:w="1984" w:type="dxa"/>
            <w:tcBorders>
              <w:top w:val="single" w:sz="4" w:space="0" w:color="auto"/>
            </w:tcBorders>
          </w:tcPr>
          <w:p w14:paraId="3EF7CF5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50 – 100</w:t>
            </w:r>
          </w:p>
          <w:p w14:paraId="43DA637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0,5 – 4,0</w:t>
            </w:r>
          </w:p>
          <w:p w14:paraId="2C26E02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 3 g</w:t>
            </w:r>
          </w:p>
        </w:tc>
      </w:tr>
      <w:tr w:rsidR="00BE0B19" w:rsidRPr="00AE47C6" w14:paraId="2C26F33B" w14:textId="77777777" w:rsidTr="00AD72E5">
        <w:tc>
          <w:tcPr>
            <w:tcW w:w="2410" w:type="dxa"/>
          </w:tcPr>
          <w:p w14:paraId="2160CC4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Болки, парестезии и пароксизмални пристъпи</w:t>
            </w:r>
          </w:p>
        </w:tc>
        <w:tc>
          <w:tcPr>
            <w:tcW w:w="5245" w:type="dxa"/>
          </w:tcPr>
          <w:p w14:paraId="1989571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Amitriptyline dr.  25 mg</w:t>
            </w:r>
          </w:p>
          <w:p w14:paraId="44DF205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Gabapentin  tabl. 300; 400; 800; caps. 600</w:t>
            </w:r>
          </w:p>
          <w:p w14:paraId="3EE9782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Pregabalin caps. 25; 50; 75; 100; 150; 200; 300</w:t>
            </w:r>
          </w:p>
          <w:p w14:paraId="1DB397B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Carbamazepine tabl.  200</w:t>
            </w:r>
          </w:p>
          <w:p w14:paraId="0DCFDA4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Clonazepam tabl. 0,5; 2</w:t>
            </w:r>
          </w:p>
          <w:p w14:paraId="79F6130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Phenytoin tabl. 100 </w:t>
            </w:r>
          </w:p>
          <w:p w14:paraId="70461FE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Lamotrigine  tabl. 5; 25; 50; 100</w:t>
            </w:r>
          </w:p>
          <w:p w14:paraId="4D42F20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Topiramate tabl. 50; 100; 200; 300; 400</w:t>
            </w:r>
          </w:p>
        </w:tc>
        <w:tc>
          <w:tcPr>
            <w:tcW w:w="1984" w:type="dxa"/>
          </w:tcPr>
          <w:p w14:paraId="1C4CD6C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25 – 75</w:t>
            </w:r>
          </w:p>
          <w:p w14:paraId="4AD88C6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 – 3 g</w:t>
            </w:r>
          </w:p>
          <w:p w14:paraId="708E10E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300-600</w:t>
            </w:r>
          </w:p>
          <w:p w14:paraId="152C039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200 – 1200</w:t>
            </w:r>
          </w:p>
          <w:p w14:paraId="54930B1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0,5 – 4,0</w:t>
            </w:r>
          </w:p>
          <w:p w14:paraId="281CD9D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300 – 400 </w:t>
            </w:r>
          </w:p>
          <w:p w14:paraId="75DD728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100 – 300</w:t>
            </w:r>
          </w:p>
          <w:p w14:paraId="4B7EAC8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100 – 200 </w:t>
            </w:r>
          </w:p>
          <w:p w14:paraId="55AEC0C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p>
        </w:tc>
      </w:tr>
      <w:tr w:rsidR="00BE0B19" w:rsidRPr="00AE47C6" w14:paraId="543E8E0D" w14:textId="77777777" w:rsidTr="00AD72E5">
        <w:tc>
          <w:tcPr>
            <w:tcW w:w="2410" w:type="dxa"/>
          </w:tcPr>
          <w:p w14:paraId="6D4DDCD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i/>
                <w:sz w:val="24"/>
                <w:szCs w:val="24"/>
              </w:rPr>
            </w:pPr>
            <w:r w:rsidRPr="00AE47C6">
              <w:rPr>
                <w:rFonts w:ascii="Times New Roman" w:eastAsia="SimSun" w:hAnsi="Times New Roman"/>
                <w:b/>
                <w:bCs/>
                <w:sz w:val="24"/>
                <w:szCs w:val="24"/>
              </w:rPr>
              <w:t>Умора</w:t>
            </w:r>
          </w:p>
        </w:tc>
        <w:tc>
          <w:tcPr>
            <w:tcW w:w="5245" w:type="dxa"/>
          </w:tcPr>
          <w:p w14:paraId="5F1E566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Amantadine sulfat  tabl. 100</w:t>
            </w:r>
          </w:p>
          <w:p w14:paraId="29E6C5D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Modafinil tabl. 100</w:t>
            </w:r>
          </w:p>
        </w:tc>
        <w:tc>
          <w:tcPr>
            <w:tcW w:w="1984" w:type="dxa"/>
          </w:tcPr>
          <w:p w14:paraId="15411AC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i/>
                <w:sz w:val="24"/>
                <w:szCs w:val="24"/>
              </w:rPr>
            </w:pPr>
            <w:r w:rsidRPr="00AE47C6">
              <w:rPr>
                <w:rFonts w:ascii="Times New Roman" w:eastAsia="SimSun" w:hAnsi="Times New Roman"/>
                <w:sz w:val="24"/>
                <w:szCs w:val="24"/>
              </w:rPr>
              <w:t>200 – 300</w:t>
            </w:r>
          </w:p>
          <w:p w14:paraId="7DAC40C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100-400</w:t>
            </w:r>
          </w:p>
        </w:tc>
      </w:tr>
      <w:tr w:rsidR="00BE0B19" w:rsidRPr="00AE47C6" w14:paraId="777BF910" w14:textId="77777777" w:rsidTr="00AD72E5">
        <w:trPr>
          <w:trHeight w:val="1543"/>
        </w:trPr>
        <w:tc>
          <w:tcPr>
            <w:tcW w:w="2410" w:type="dxa"/>
            <w:tcBorders>
              <w:bottom w:val="single" w:sz="4" w:space="0" w:color="auto"/>
            </w:tcBorders>
          </w:tcPr>
          <w:p w14:paraId="7EDC6E8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Депресия и невропатна болка</w:t>
            </w:r>
          </w:p>
          <w:p w14:paraId="6989EB4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p>
          <w:p w14:paraId="6B146E9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p>
          <w:p w14:paraId="09E3889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p>
          <w:p w14:paraId="78FC253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p>
        </w:tc>
        <w:tc>
          <w:tcPr>
            <w:tcW w:w="5245" w:type="dxa"/>
            <w:tcBorders>
              <w:bottom w:val="single" w:sz="4" w:space="0" w:color="auto"/>
            </w:tcBorders>
          </w:tcPr>
          <w:p w14:paraId="7C2D257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Amitriptyline dr. 25</w:t>
            </w:r>
          </w:p>
          <w:p w14:paraId="6B0443B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 xml:space="preserve">Venlafaxine tabl. 75; 150 </w:t>
            </w:r>
          </w:p>
          <w:p w14:paraId="1DA5ACF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Mirtazapine tabl. 30;  45 </w:t>
            </w:r>
          </w:p>
          <w:p w14:paraId="77E8C36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Duloxetine caps. 30; 60 </w:t>
            </w:r>
          </w:p>
        </w:tc>
        <w:tc>
          <w:tcPr>
            <w:tcW w:w="1984" w:type="dxa"/>
            <w:tcBorders>
              <w:bottom w:val="single" w:sz="4" w:space="0" w:color="auto"/>
            </w:tcBorders>
          </w:tcPr>
          <w:p w14:paraId="379D8AE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25 – 75</w:t>
            </w:r>
          </w:p>
          <w:p w14:paraId="31E5BDC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75 – 300</w:t>
            </w:r>
          </w:p>
          <w:p w14:paraId="55ADF4D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30 – 60 </w:t>
            </w:r>
          </w:p>
          <w:p w14:paraId="0D97113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30 – 60 </w:t>
            </w:r>
          </w:p>
        </w:tc>
      </w:tr>
      <w:tr w:rsidR="00BE0B19" w:rsidRPr="00AE47C6" w14:paraId="5BA85BF7" w14:textId="77777777" w:rsidTr="00AD72E5">
        <w:trPr>
          <w:trHeight w:val="740"/>
        </w:trPr>
        <w:tc>
          <w:tcPr>
            <w:tcW w:w="2410" w:type="dxa"/>
            <w:tcBorders>
              <w:top w:val="single" w:sz="4" w:space="0" w:color="auto"/>
              <w:bottom w:val="single" w:sz="4" w:space="0" w:color="auto"/>
            </w:tcBorders>
          </w:tcPr>
          <w:p w14:paraId="6A0EE0B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Когнитивен дефицит </w:t>
            </w:r>
          </w:p>
        </w:tc>
        <w:tc>
          <w:tcPr>
            <w:tcW w:w="5245" w:type="dxa"/>
            <w:tcBorders>
              <w:top w:val="single" w:sz="4" w:space="0" w:color="auto"/>
              <w:bottom w:val="single" w:sz="4" w:space="0" w:color="auto"/>
            </w:tcBorders>
          </w:tcPr>
          <w:p w14:paraId="57CF705F"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 xml:space="preserve">Galanthamin  tabl. 5; 10 </w:t>
            </w:r>
          </w:p>
          <w:p w14:paraId="4C16C69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 xml:space="preserve">Donepezil tabl. 5; 10 </w:t>
            </w:r>
          </w:p>
        </w:tc>
        <w:tc>
          <w:tcPr>
            <w:tcW w:w="1984" w:type="dxa"/>
            <w:tcBorders>
              <w:top w:val="single" w:sz="4" w:space="0" w:color="auto"/>
              <w:bottom w:val="single" w:sz="4" w:space="0" w:color="auto"/>
            </w:tcBorders>
          </w:tcPr>
          <w:p w14:paraId="20CCDBF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10 – 30</w:t>
            </w:r>
          </w:p>
          <w:p w14:paraId="6E1FF93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5 – 10</w:t>
            </w:r>
          </w:p>
        </w:tc>
      </w:tr>
      <w:tr w:rsidR="00BE0B19" w:rsidRPr="00AE47C6" w14:paraId="6B54ED3B" w14:textId="77777777" w:rsidTr="00AD72E5">
        <w:trPr>
          <w:trHeight w:val="740"/>
        </w:trPr>
        <w:tc>
          <w:tcPr>
            <w:tcW w:w="2410" w:type="dxa"/>
            <w:tcBorders>
              <w:top w:val="single" w:sz="4" w:space="0" w:color="auto"/>
            </w:tcBorders>
          </w:tcPr>
          <w:p w14:paraId="64DCFA5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Вертиго</w:t>
            </w:r>
          </w:p>
        </w:tc>
        <w:tc>
          <w:tcPr>
            <w:tcW w:w="5245" w:type="dxa"/>
            <w:tcBorders>
              <w:top w:val="single" w:sz="4" w:space="0" w:color="auto"/>
            </w:tcBorders>
          </w:tcPr>
          <w:p w14:paraId="0C7D56E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Dimenhydrinate tabl. 50</w:t>
            </w:r>
          </w:p>
          <w:p w14:paraId="3F7C316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Betahistine tabl. 16</w:t>
            </w:r>
          </w:p>
          <w:p w14:paraId="1A7F8FC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Cinnarizine/Dimenhydrinate 20mg/40mg)</w:t>
            </w:r>
          </w:p>
        </w:tc>
        <w:tc>
          <w:tcPr>
            <w:tcW w:w="1984" w:type="dxa"/>
            <w:tcBorders>
              <w:top w:val="single" w:sz="4" w:space="0" w:color="auto"/>
            </w:tcBorders>
          </w:tcPr>
          <w:p w14:paraId="2ABAFBC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i/>
                <w:sz w:val="24"/>
                <w:szCs w:val="24"/>
              </w:rPr>
            </w:pPr>
            <w:r w:rsidRPr="00AE47C6">
              <w:rPr>
                <w:rFonts w:ascii="Times New Roman" w:eastAsia="SimSun" w:hAnsi="Times New Roman"/>
                <w:sz w:val="24"/>
                <w:szCs w:val="24"/>
              </w:rPr>
              <w:t>75 – 150</w:t>
            </w:r>
          </w:p>
          <w:p w14:paraId="625A46F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48</w:t>
            </w:r>
          </w:p>
          <w:p w14:paraId="3C60DEE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60mg/120mg</w:t>
            </w:r>
          </w:p>
        </w:tc>
      </w:tr>
    </w:tbl>
    <w:p w14:paraId="341DE70C" w14:textId="77777777" w:rsidR="00BE0B19" w:rsidRPr="00AE47C6" w:rsidRDefault="00BE0B19" w:rsidP="00BE0B19">
      <w:pPr>
        <w:spacing w:after="0" w:line="360" w:lineRule="auto"/>
        <w:jc w:val="both"/>
        <w:rPr>
          <w:rFonts w:ascii="Times New Roman" w:eastAsia="SimSun" w:hAnsi="Times New Roman"/>
          <w:sz w:val="24"/>
          <w:szCs w:val="24"/>
        </w:rPr>
      </w:pPr>
    </w:p>
    <w:p w14:paraId="7A357F83" w14:textId="77777777" w:rsidR="00BE0B19" w:rsidRPr="00AE47C6" w:rsidRDefault="00BE0B19" w:rsidP="00BE0B19">
      <w:pPr>
        <w:spacing w:after="0" w:line="240" w:lineRule="auto"/>
        <w:rPr>
          <w:rFonts w:ascii="Times New Roman" w:eastAsia="SimSun" w:hAnsi="Times New Roman"/>
          <w:sz w:val="24"/>
          <w:szCs w:val="24"/>
        </w:rPr>
      </w:pPr>
      <w:r w:rsidRPr="00AE47C6">
        <w:rPr>
          <w:rFonts w:ascii="Times New Roman" w:eastAsia="SimSun" w:hAnsi="Times New Roman"/>
          <w:sz w:val="24"/>
          <w:szCs w:val="24"/>
        </w:rPr>
        <w:br w:type="page"/>
      </w:r>
    </w:p>
    <w:p w14:paraId="7169C1B8"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i/>
          <w:sz w:val="24"/>
          <w:szCs w:val="24"/>
        </w:rPr>
      </w:pPr>
      <w:bookmarkStart w:id="252" w:name="_Toc155651812"/>
      <w:bookmarkStart w:id="253" w:name="_Toc164075946"/>
      <w:r w:rsidRPr="00AE47C6">
        <w:rPr>
          <w:rFonts w:ascii="Times New Roman" w:eastAsia="SimSun" w:hAnsi="Times New Roman"/>
          <w:b/>
          <w:sz w:val="24"/>
          <w:szCs w:val="24"/>
        </w:rPr>
        <w:t>Приложение 6. Нива на значимост по показателите за ефективност на терапията</w:t>
      </w:r>
      <w:bookmarkEnd w:id="252"/>
      <w:bookmarkEnd w:id="25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1"/>
        <w:gridCol w:w="2319"/>
        <w:gridCol w:w="2491"/>
        <w:gridCol w:w="2608"/>
      </w:tblGrid>
      <w:tr w:rsidR="00BE0B19" w:rsidRPr="00AE47C6" w14:paraId="4FACBCE6" w14:textId="77777777" w:rsidTr="00AD72E5">
        <w:tc>
          <w:tcPr>
            <w:tcW w:w="1970" w:type="dxa"/>
          </w:tcPr>
          <w:p w14:paraId="013996E0"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Показател</w:t>
            </w:r>
          </w:p>
        </w:tc>
        <w:tc>
          <w:tcPr>
            <w:tcW w:w="2398" w:type="dxa"/>
          </w:tcPr>
          <w:p w14:paraId="195DB990"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Ниско ниво на значимост</w:t>
            </w:r>
          </w:p>
        </w:tc>
        <w:tc>
          <w:tcPr>
            <w:tcW w:w="2632" w:type="dxa"/>
          </w:tcPr>
          <w:p w14:paraId="3BA486E8"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Умерено ниво на значимост</w:t>
            </w:r>
          </w:p>
        </w:tc>
        <w:tc>
          <w:tcPr>
            <w:tcW w:w="2791" w:type="dxa"/>
          </w:tcPr>
          <w:p w14:paraId="31D83D19"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Високо ниво на значимост</w:t>
            </w:r>
          </w:p>
        </w:tc>
      </w:tr>
      <w:tr w:rsidR="00BE0B19" w:rsidRPr="00AE47C6" w14:paraId="5E4A547F" w14:textId="77777777" w:rsidTr="00AD72E5">
        <w:tc>
          <w:tcPr>
            <w:tcW w:w="9791" w:type="dxa"/>
            <w:gridSpan w:val="4"/>
          </w:tcPr>
          <w:p w14:paraId="30D7B513"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Пристъпи</w:t>
            </w:r>
          </w:p>
        </w:tc>
      </w:tr>
      <w:tr w:rsidR="00BE0B19" w:rsidRPr="00AE47C6" w14:paraId="4FD9A7EB" w14:textId="77777777" w:rsidTr="00AD72E5">
        <w:tc>
          <w:tcPr>
            <w:tcW w:w="1970" w:type="dxa"/>
          </w:tcPr>
          <w:p w14:paraId="6498679F"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Честота/тежест</w:t>
            </w:r>
          </w:p>
        </w:tc>
        <w:tc>
          <w:tcPr>
            <w:tcW w:w="2398" w:type="dxa"/>
          </w:tcPr>
          <w:p w14:paraId="45CC36A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Един лек пристъп годишно</w:t>
            </w:r>
          </w:p>
        </w:tc>
        <w:tc>
          <w:tcPr>
            <w:tcW w:w="2632" w:type="dxa"/>
          </w:tcPr>
          <w:p w14:paraId="465949C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Един умерен пристъп годишно</w:t>
            </w:r>
          </w:p>
        </w:tc>
        <w:tc>
          <w:tcPr>
            <w:tcW w:w="2791" w:type="dxa"/>
          </w:tcPr>
          <w:p w14:paraId="6A6F6DF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Повече от 1 умерен или 1 тежък пристъп годишно</w:t>
            </w:r>
          </w:p>
        </w:tc>
      </w:tr>
      <w:tr w:rsidR="00BE0B19" w:rsidRPr="00AE47C6" w14:paraId="537C8C18" w14:textId="77777777" w:rsidTr="00AD72E5">
        <w:tc>
          <w:tcPr>
            <w:tcW w:w="1970" w:type="dxa"/>
          </w:tcPr>
          <w:p w14:paraId="6C0BB564"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Възстановяване </w:t>
            </w:r>
          </w:p>
        </w:tc>
        <w:tc>
          <w:tcPr>
            <w:tcW w:w="2398" w:type="dxa"/>
          </w:tcPr>
          <w:p w14:paraId="183AA10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Бързо възстановяване след кортикостероидно лечение</w:t>
            </w:r>
          </w:p>
        </w:tc>
        <w:tc>
          <w:tcPr>
            <w:tcW w:w="2632" w:type="dxa"/>
          </w:tcPr>
          <w:p w14:paraId="1C418D4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Бавно възстановяване след кортикостероидно лечение</w:t>
            </w:r>
          </w:p>
        </w:tc>
        <w:tc>
          <w:tcPr>
            <w:tcW w:w="2791" w:type="dxa"/>
          </w:tcPr>
          <w:p w14:paraId="19D6761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Непълно възстановяване след кортикостероидно лечение</w:t>
            </w:r>
          </w:p>
        </w:tc>
      </w:tr>
      <w:tr w:rsidR="00BE0B19" w:rsidRPr="00AE47C6" w14:paraId="5832D2D5" w14:textId="77777777" w:rsidTr="00AD72E5">
        <w:tc>
          <w:tcPr>
            <w:tcW w:w="9791" w:type="dxa"/>
            <w:gridSpan w:val="4"/>
          </w:tcPr>
          <w:p w14:paraId="6C1762B6"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Прогресия</w:t>
            </w:r>
          </w:p>
        </w:tc>
      </w:tr>
      <w:tr w:rsidR="00BE0B19" w:rsidRPr="00AE47C6" w14:paraId="49A7A521" w14:textId="77777777" w:rsidTr="00AD72E5">
        <w:tc>
          <w:tcPr>
            <w:tcW w:w="1970" w:type="dxa"/>
          </w:tcPr>
          <w:p w14:paraId="30CF12D1"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EDSS&lt;3,5</w:t>
            </w:r>
          </w:p>
        </w:tc>
        <w:tc>
          <w:tcPr>
            <w:tcW w:w="2398" w:type="dxa"/>
          </w:tcPr>
          <w:p w14:paraId="1311A2D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Промяна с &lt;2 точки</w:t>
            </w:r>
          </w:p>
        </w:tc>
        <w:tc>
          <w:tcPr>
            <w:tcW w:w="2632" w:type="dxa"/>
          </w:tcPr>
          <w:p w14:paraId="269FB29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Промяна с 2 точки</w:t>
            </w:r>
          </w:p>
        </w:tc>
        <w:tc>
          <w:tcPr>
            <w:tcW w:w="2791" w:type="dxa"/>
          </w:tcPr>
          <w:p w14:paraId="5793516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Промяна с &gt;2 точки</w:t>
            </w:r>
          </w:p>
        </w:tc>
      </w:tr>
      <w:tr w:rsidR="00BE0B19" w:rsidRPr="00AE47C6" w14:paraId="36E059D7" w14:textId="77777777" w:rsidTr="00AD72E5">
        <w:tc>
          <w:tcPr>
            <w:tcW w:w="1970" w:type="dxa"/>
          </w:tcPr>
          <w:p w14:paraId="3F76B75C"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EDSS&gt;4</w:t>
            </w:r>
          </w:p>
        </w:tc>
        <w:tc>
          <w:tcPr>
            <w:tcW w:w="2398" w:type="dxa"/>
          </w:tcPr>
          <w:p w14:paraId="48650C2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Промяна с &lt;1 точка</w:t>
            </w:r>
          </w:p>
        </w:tc>
        <w:tc>
          <w:tcPr>
            <w:tcW w:w="2632" w:type="dxa"/>
          </w:tcPr>
          <w:p w14:paraId="678F214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Промяна с 1 точка</w:t>
            </w:r>
          </w:p>
        </w:tc>
        <w:tc>
          <w:tcPr>
            <w:tcW w:w="2791" w:type="dxa"/>
          </w:tcPr>
          <w:p w14:paraId="78FDACF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Промяна с &gt;1 точка</w:t>
            </w:r>
          </w:p>
        </w:tc>
      </w:tr>
      <w:tr w:rsidR="00BE0B19" w:rsidRPr="00AE47C6" w14:paraId="6EE6C839" w14:textId="77777777" w:rsidTr="00AD72E5">
        <w:tc>
          <w:tcPr>
            <w:tcW w:w="1970" w:type="dxa"/>
          </w:tcPr>
          <w:p w14:paraId="57E36140"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Клинично установена прогресия</w:t>
            </w:r>
          </w:p>
        </w:tc>
        <w:tc>
          <w:tcPr>
            <w:tcW w:w="2398" w:type="dxa"/>
          </w:tcPr>
          <w:p w14:paraId="4916AD6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Без двигателни, минимални сетивни симптоми</w:t>
            </w:r>
          </w:p>
        </w:tc>
        <w:tc>
          <w:tcPr>
            <w:tcW w:w="2632" w:type="dxa"/>
          </w:tcPr>
          <w:p w14:paraId="06079B3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Умерени двигателни, когнитивни или по-изразени сетивни симптоми</w:t>
            </w:r>
          </w:p>
        </w:tc>
        <w:tc>
          <w:tcPr>
            <w:tcW w:w="2791" w:type="dxa"/>
          </w:tcPr>
          <w:p w14:paraId="6CD97EE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Изразени двигателни, когнитивни и други симптоми</w:t>
            </w:r>
          </w:p>
        </w:tc>
      </w:tr>
      <w:tr w:rsidR="00BE0B19" w:rsidRPr="00AE47C6" w14:paraId="4E408A16" w14:textId="77777777" w:rsidTr="00AD72E5">
        <w:tc>
          <w:tcPr>
            <w:tcW w:w="9791" w:type="dxa"/>
            <w:gridSpan w:val="4"/>
          </w:tcPr>
          <w:p w14:paraId="269C1E3B"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МРТ</w:t>
            </w:r>
          </w:p>
        </w:tc>
      </w:tr>
      <w:tr w:rsidR="00BE0B19" w:rsidRPr="00AE47C6" w14:paraId="0F856947" w14:textId="77777777" w:rsidTr="00AD72E5">
        <w:tc>
          <w:tcPr>
            <w:tcW w:w="1970" w:type="dxa"/>
          </w:tcPr>
          <w:p w14:paraId="1CFE40DE"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Нови засилващи се от gadolinium лезии</w:t>
            </w:r>
          </w:p>
        </w:tc>
        <w:tc>
          <w:tcPr>
            <w:tcW w:w="2398" w:type="dxa"/>
            <w:vMerge w:val="restart"/>
            <w:vAlign w:val="center"/>
          </w:tcPr>
          <w:p w14:paraId="610B341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Промени в 2 категории</w:t>
            </w:r>
          </w:p>
        </w:tc>
        <w:tc>
          <w:tcPr>
            <w:tcW w:w="2632" w:type="dxa"/>
            <w:vMerge w:val="restart"/>
            <w:vAlign w:val="center"/>
          </w:tcPr>
          <w:p w14:paraId="05D9BC4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Промени в 3 категории</w:t>
            </w:r>
          </w:p>
        </w:tc>
        <w:tc>
          <w:tcPr>
            <w:tcW w:w="2791" w:type="dxa"/>
            <w:vMerge w:val="restart"/>
            <w:vAlign w:val="center"/>
          </w:tcPr>
          <w:p w14:paraId="0D18E7E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Промени в &gt;3 категории</w:t>
            </w:r>
          </w:p>
        </w:tc>
      </w:tr>
      <w:tr w:rsidR="00BE0B19" w:rsidRPr="00AE47C6" w14:paraId="2CFE776A" w14:textId="77777777" w:rsidTr="00AD72E5">
        <w:tc>
          <w:tcPr>
            <w:tcW w:w="1970" w:type="dxa"/>
          </w:tcPr>
          <w:p w14:paraId="0C2492E7"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Нови Т</w:t>
            </w:r>
            <w:r w:rsidRPr="00AE47C6">
              <w:rPr>
                <w:rFonts w:ascii="Times New Roman" w:eastAsia="SimSun" w:hAnsi="Times New Roman"/>
                <w:b/>
                <w:sz w:val="24"/>
                <w:szCs w:val="24"/>
                <w:vertAlign w:val="subscript"/>
              </w:rPr>
              <w:t>2</w:t>
            </w:r>
            <w:r w:rsidRPr="00AE47C6">
              <w:rPr>
                <w:rFonts w:ascii="Times New Roman" w:eastAsia="SimSun" w:hAnsi="Times New Roman"/>
                <w:b/>
                <w:sz w:val="24"/>
                <w:szCs w:val="24"/>
              </w:rPr>
              <w:t xml:space="preserve"> лезии</w:t>
            </w:r>
          </w:p>
        </w:tc>
        <w:tc>
          <w:tcPr>
            <w:tcW w:w="2398" w:type="dxa"/>
            <w:vMerge/>
          </w:tcPr>
          <w:p w14:paraId="72244DAE" w14:textId="77777777" w:rsidR="00BE0B19" w:rsidRPr="00AE47C6" w:rsidRDefault="00BE0B19" w:rsidP="00BE0B19">
            <w:pPr>
              <w:spacing w:after="0" w:line="360" w:lineRule="auto"/>
              <w:jc w:val="both"/>
              <w:rPr>
                <w:rFonts w:ascii="Times New Roman" w:eastAsia="SimSun" w:hAnsi="Times New Roman"/>
                <w:sz w:val="24"/>
                <w:szCs w:val="24"/>
              </w:rPr>
            </w:pPr>
          </w:p>
        </w:tc>
        <w:tc>
          <w:tcPr>
            <w:tcW w:w="2632" w:type="dxa"/>
            <w:vMerge/>
          </w:tcPr>
          <w:p w14:paraId="75C4FB07" w14:textId="77777777" w:rsidR="00BE0B19" w:rsidRPr="00AE47C6" w:rsidRDefault="00BE0B19" w:rsidP="00BE0B19">
            <w:pPr>
              <w:spacing w:after="0" w:line="360" w:lineRule="auto"/>
              <w:jc w:val="both"/>
              <w:rPr>
                <w:rFonts w:ascii="Times New Roman" w:eastAsia="SimSun" w:hAnsi="Times New Roman"/>
                <w:sz w:val="24"/>
                <w:szCs w:val="24"/>
              </w:rPr>
            </w:pPr>
          </w:p>
        </w:tc>
        <w:tc>
          <w:tcPr>
            <w:tcW w:w="2791" w:type="dxa"/>
            <w:vMerge/>
          </w:tcPr>
          <w:p w14:paraId="20DF2E43" w14:textId="77777777" w:rsidR="00BE0B19" w:rsidRPr="00AE47C6" w:rsidRDefault="00BE0B19" w:rsidP="00BE0B19">
            <w:pPr>
              <w:spacing w:after="0" w:line="360" w:lineRule="auto"/>
              <w:jc w:val="both"/>
              <w:rPr>
                <w:rFonts w:ascii="Times New Roman" w:eastAsia="SimSun" w:hAnsi="Times New Roman"/>
                <w:sz w:val="24"/>
                <w:szCs w:val="24"/>
              </w:rPr>
            </w:pPr>
          </w:p>
        </w:tc>
      </w:tr>
      <w:tr w:rsidR="00BE0B19" w:rsidRPr="00AE47C6" w14:paraId="3E353501" w14:textId="77777777" w:rsidTr="00AD72E5">
        <w:tc>
          <w:tcPr>
            <w:tcW w:w="1970" w:type="dxa"/>
          </w:tcPr>
          <w:p w14:paraId="3937E464"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Нарастващи Т</w:t>
            </w:r>
            <w:r w:rsidRPr="00AE47C6">
              <w:rPr>
                <w:rFonts w:ascii="Times New Roman" w:eastAsia="SimSun" w:hAnsi="Times New Roman"/>
                <w:b/>
                <w:sz w:val="24"/>
                <w:szCs w:val="24"/>
                <w:vertAlign w:val="subscript"/>
              </w:rPr>
              <w:t>2</w:t>
            </w:r>
            <w:r w:rsidRPr="00AE47C6">
              <w:rPr>
                <w:rFonts w:ascii="Times New Roman" w:eastAsia="SimSun" w:hAnsi="Times New Roman"/>
                <w:b/>
                <w:sz w:val="24"/>
                <w:szCs w:val="24"/>
              </w:rPr>
              <w:t xml:space="preserve"> лезии (товар)</w:t>
            </w:r>
          </w:p>
        </w:tc>
        <w:tc>
          <w:tcPr>
            <w:tcW w:w="2398" w:type="dxa"/>
            <w:vMerge/>
          </w:tcPr>
          <w:p w14:paraId="3041A3B9" w14:textId="77777777" w:rsidR="00BE0B19" w:rsidRPr="00AE47C6" w:rsidRDefault="00BE0B19" w:rsidP="00BE0B19">
            <w:pPr>
              <w:spacing w:after="0" w:line="360" w:lineRule="auto"/>
              <w:jc w:val="both"/>
              <w:rPr>
                <w:rFonts w:ascii="Times New Roman" w:eastAsia="SimSun" w:hAnsi="Times New Roman"/>
                <w:sz w:val="24"/>
                <w:szCs w:val="24"/>
              </w:rPr>
            </w:pPr>
          </w:p>
        </w:tc>
        <w:tc>
          <w:tcPr>
            <w:tcW w:w="2632" w:type="dxa"/>
            <w:vMerge/>
          </w:tcPr>
          <w:p w14:paraId="6132D06A" w14:textId="77777777" w:rsidR="00BE0B19" w:rsidRPr="00AE47C6" w:rsidRDefault="00BE0B19" w:rsidP="00BE0B19">
            <w:pPr>
              <w:spacing w:after="0" w:line="360" w:lineRule="auto"/>
              <w:jc w:val="both"/>
              <w:rPr>
                <w:rFonts w:ascii="Times New Roman" w:eastAsia="SimSun" w:hAnsi="Times New Roman"/>
                <w:sz w:val="24"/>
                <w:szCs w:val="24"/>
              </w:rPr>
            </w:pPr>
          </w:p>
        </w:tc>
        <w:tc>
          <w:tcPr>
            <w:tcW w:w="2791" w:type="dxa"/>
            <w:vMerge/>
          </w:tcPr>
          <w:p w14:paraId="75725509" w14:textId="77777777" w:rsidR="00BE0B19" w:rsidRPr="00AE47C6" w:rsidRDefault="00BE0B19" w:rsidP="00BE0B19">
            <w:pPr>
              <w:spacing w:after="0" w:line="360" w:lineRule="auto"/>
              <w:jc w:val="both"/>
              <w:rPr>
                <w:rFonts w:ascii="Times New Roman" w:eastAsia="SimSun" w:hAnsi="Times New Roman"/>
                <w:sz w:val="24"/>
                <w:szCs w:val="24"/>
              </w:rPr>
            </w:pPr>
          </w:p>
        </w:tc>
      </w:tr>
      <w:tr w:rsidR="00BE0B19" w:rsidRPr="00AE47C6" w14:paraId="6AEA8D97" w14:textId="77777777" w:rsidTr="00AD72E5">
        <w:tc>
          <w:tcPr>
            <w:tcW w:w="1970" w:type="dxa"/>
          </w:tcPr>
          <w:p w14:paraId="1A3F2F39"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Нови Т</w:t>
            </w:r>
            <w:r w:rsidRPr="00AE47C6">
              <w:rPr>
                <w:rFonts w:ascii="Times New Roman" w:eastAsia="SimSun" w:hAnsi="Times New Roman"/>
                <w:b/>
                <w:sz w:val="24"/>
                <w:szCs w:val="24"/>
                <w:vertAlign w:val="subscript"/>
              </w:rPr>
              <w:t>1</w:t>
            </w:r>
            <w:r w:rsidRPr="00AE47C6">
              <w:rPr>
                <w:rFonts w:ascii="Times New Roman" w:eastAsia="SimSun" w:hAnsi="Times New Roman"/>
                <w:b/>
                <w:sz w:val="24"/>
                <w:szCs w:val="24"/>
              </w:rPr>
              <w:t xml:space="preserve"> лезии</w:t>
            </w:r>
          </w:p>
        </w:tc>
        <w:tc>
          <w:tcPr>
            <w:tcW w:w="2398" w:type="dxa"/>
            <w:vMerge/>
          </w:tcPr>
          <w:p w14:paraId="0503589B" w14:textId="77777777" w:rsidR="00BE0B19" w:rsidRPr="00AE47C6" w:rsidRDefault="00BE0B19" w:rsidP="00BE0B19">
            <w:pPr>
              <w:spacing w:after="0" w:line="360" w:lineRule="auto"/>
              <w:jc w:val="both"/>
              <w:rPr>
                <w:rFonts w:ascii="Times New Roman" w:eastAsia="SimSun" w:hAnsi="Times New Roman"/>
                <w:sz w:val="24"/>
                <w:szCs w:val="24"/>
              </w:rPr>
            </w:pPr>
          </w:p>
        </w:tc>
        <w:tc>
          <w:tcPr>
            <w:tcW w:w="2632" w:type="dxa"/>
            <w:vMerge/>
          </w:tcPr>
          <w:p w14:paraId="6C6ADCF1" w14:textId="77777777" w:rsidR="00BE0B19" w:rsidRPr="00AE47C6" w:rsidRDefault="00BE0B19" w:rsidP="00BE0B19">
            <w:pPr>
              <w:spacing w:after="0" w:line="360" w:lineRule="auto"/>
              <w:jc w:val="both"/>
              <w:rPr>
                <w:rFonts w:ascii="Times New Roman" w:eastAsia="SimSun" w:hAnsi="Times New Roman"/>
                <w:sz w:val="24"/>
                <w:szCs w:val="24"/>
              </w:rPr>
            </w:pPr>
          </w:p>
        </w:tc>
        <w:tc>
          <w:tcPr>
            <w:tcW w:w="2791" w:type="dxa"/>
            <w:vMerge/>
          </w:tcPr>
          <w:p w14:paraId="5AAAF0F3" w14:textId="77777777" w:rsidR="00BE0B19" w:rsidRPr="00AE47C6" w:rsidRDefault="00BE0B19" w:rsidP="00BE0B19">
            <w:pPr>
              <w:spacing w:after="0" w:line="360" w:lineRule="auto"/>
              <w:jc w:val="both"/>
              <w:rPr>
                <w:rFonts w:ascii="Times New Roman" w:eastAsia="SimSun" w:hAnsi="Times New Roman"/>
                <w:sz w:val="24"/>
                <w:szCs w:val="24"/>
              </w:rPr>
            </w:pPr>
          </w:p>
        </w:tc>
      </w:tr>
      <w:tr w:rsidR="00BE0B19" w:rsidRPr="00AE47C6" w14:paraId="3E7CF960" w14:textId="77777777" w:rsidTr="00AD72E5">
        <w:tc>
          <w:tcPr>
            <w:tcW w:w="1970" w:type="dxa"/>
          </w:tcPr>
          <w:p w14:paraId="4346C89A"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Нарастващи Т</w:t>
            </w:r>
            <w:r w:rsidRPr="00AE47C6">
              <w:rPr>
                <w:rFonts w:ascii="Times New Roman" w:eastAsia="SimSun" w:hAnsi="Times New Roman"/>
                <w:b/>
                <w:sz w:val="24"/>
                <w:szCs w:val="24"/>
                <w:vertAlign w:val="subscript"/>
              </w:rPr>
              <w:t>1</w:t>
            </w:r>
            <w:r w:rsidRPr="00AE47C6">
              <w:rPr>
                <w:rFonts w:ascii="Times New Roman" w:eastAsia="SimSun" w:hAnsi="Times New Roman"/>
                <w:b/>
                <w:sz w:val="24"/>
                <w:szCs w:val="24"/>
              </w:rPr>
              <w:t xml:space="preserve"> лезии</w:t>
            </w:r>
          </w:p>
        </w:tc>
        <w:tc>
          <w:tcPr>
            <w:tcW w:w="2398" w:type="dxa"/>
            <w:vMerge/>
          </w:tcPr>
          <w:p w14:paraId="0D8A8168" w14:textId="77777777" w:rsidR="00BE0B19" w:rsidRPr="00AE47C6" w:rsidRDefault="00BE0B19" w:rsidP="00BE0B19">
            <w:pPr>
              <w:spacing w:after="0" w:line="360" w:lineRule="auto"/>
              <w:jc w:val="both"/>
              <w:rPr>
                <w:rFonts w:ascii="Times New Roman" w:eastAsia="SimSun" w:hAnsi="Times New Roman"/>
                <w:sz w:val="24"/>
                <w:szCs w:val="24"/>
              </w:rPr>
            </w:pPr>
          </w:p>
        </w:tc>
        <w:tc>
          <w:tcPr>
            <w:tcW w:w="2632" w:type="dxa"/>
            <w:vMerge/>
          </w:tcPr>
          <w:p w14:paraId="159334DF" w14:textId="77777777" w:rsidR="00BE0B19" w:rsidRPr="00AE47C6" w:rsidRDefault="00BE0B19" w:rsidP="00BE0B19">
            <w:pPr>
              <w:spacing w:after="0" w:line="360" w:lineRule="auto"/>
              <w:jc w:val="both"/>
              <w:rPr>
                <w:rFonts w:ascii="Times New Roman" w:eastAsia="SimSun" w:hAnsi="Times New Roman"/>
                <w:sz w:val="24"/>
                <w:szCs w:val="24"/>
              </w:rPr>
            </w:pPr>
          </w:p>
        </w:tc>
        <w:tc>
          <w:tcPr>
            <w:tcW w:w="2791" w:type="dxa"/>
            <w:vMerge/>
          </w:tcPr>
          <w:p w14:paraId="4B600A6E" w14:textId="77777777" w:rsidR="00BE0B19" w:rsidRPr="00AE47C6" w:rsidRDefault="00BE0B19" w:rsidP="00BE0B19">
            <w:pPr>
              <w:spacing w:after="0" w:line="360" w:lineRule="auto"/>
              <w:jc w:val="both"/>
              <w:rPr>
                <w:rFonts w:ascii="Times New Roman" w:eastAsia="SimSun" w:hAnsi="Times New Roman"/>
                <w:sz w:val="24"/>
                <w:szCs w:val="24"/>
              </w:rPr>
            </w:pPr>
          </w:p>
        </w:tc>
      </w:tr>
      <w:tr w:rsidR="00BE0B19" w:rsidRPr="00AE47C6" w14:paraId="67C166D3" w14:textId="77777777" w:rsidTr="00AD72E5">
        <w:tc>
          <w:tcPr>
            <w:tcW w:w="1970" w:type="dxa"/>
          </w:tcPr>
          <w:p w14:paraId="5B77A26D"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Нарастваща атрофия</w:t>
            </w:r>
          </w:p>
        </w:tc>
        <w:tc>
          <w:tcPr>
            <w:tcW w:w="2398" w:type="dxa"/>
            <w:vMerge/>
          </w:tcPr>
          <w:p w14:paraId="179F258A" w14:textId="77777777" w:rsidR="00BE0B19" w:rsidRPr="00AE47C6" w:rsidRDefault="00BE0B19" w:rsidP="00BE0B19">
            <w:pPr>
              <w:spacing w:after="0" w:line="360" w:lineRule="auto"/>
              <w:jc w:val="both"/>
              <w:rPr>
                <w:rFonts w:ascii="Times New Roman" w:eastAsia="SimSun" w:hAnsi="Times New Roman"/>
                <w:sz w:val="24"/>
                <w:szCs w:val="24"/>
              </w:rPr>
            </w:pPr>
          </w:p>
        </w:tc>
        <w:tc>
          <w:tcPr>
            <w:tcW w:w="2632" w:type="dxa"/>
            <w:vMerge/>
          </w:tcPr>
          <w:p w14:paraId="4F6FCEDD" w14:textId="77777777" w:rsidR="00BE0B19" w:rsidRPr="00AE47C6" w:rsidRDefault="00BE0B19" w:rsidP="00BE0B19">
            <w:pPr>
              <w:spacing w:after="0" w:line="360" w:lineRule="auto"/>
              <w:jc w:val="both"/>
              <w:rPr>
                <w:rFonts w:ascii="Times New Roman" w:eastAsia="SimSun" w:hAnsi="Times New Roman"/>
                <w:sz w:val="24"/>
                <w:szCs w:val="24"/>
              </w:rPr>
            </w:pPr>
          </w:p>
        </w:tc>
        <w:tc>
          <w:tcPr>
            <w:tcW w:w="2791" w:type="dxa"/>
            <w:vMerge/>
          </w:tcPr>
          <w:p w14:paraId="0F5FC2D0" w14:textId="77777777" w:rsidR="00BE0B19" w:rsidRPr="00AE47C6" w:rsidRDefault="00BE0B19" w:rsidP="00BE0B19">
            <w:pPr>
              <w:spacing w:after="0" w:line="360" w:lineRule="auto"/>
              <w:jc w:val="both"/>
              <w:rPr>
                <w:rFonts w:ascii="Times New Roman" w:eastAsia="SimSun" w:hAnsi="Times New Roman"/>
                <w:sz w:val="24"/>
                <w:szCs w:val="24"/>
              </w:rPr>
            </w:pPr>
          </w:p>
        </w:tc>
      </w:tr>
    </w:tbl>
    <w:p w14:paraId="01928E83"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254" w:name="_Toc155651813"/>
      <w:bookmarkStart w:id="255" w:name="_Toc164075947"/>
      <w:r w:rsidRPr="00AE47C6">
        <w:rPr>
          <w:rFonts w:ascii="Times New Roman" w:eastAsia="SimSun" w:hAnsi="Times New Roman"/>
          <w:b/>
          <w:sz w:val="24"/>
          <w:szCs w:val="24"/>
        </w:rPr>
        <w:t>Приложение 7. Скала за количествено отчитане на увредата на неврологичните функции на J. F. Kurtzke (1983 г.)  – Expanded Disability Status Scale (EDSS)</w:t>
      </w:r>
      <w:bookmarkEnd w:id="254"/>
      <w:bookmarkEnd w:id="255"/>
    </w:p>
    <w:p w14:paraId="6E71F39B"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b/>
          <w:sz w:val="24"/>
          <w:szCs w:val="24"/>
        </w:rPr>
      </w:pPr>
    </w:p>
    <w:p w14:paraId="249B6E1C" w14:textId="77777777" w:rsidR="00BE0B19" w:rsidRPr="00AE47C6" w:rsidRDefault="00BE0B19" w:rsidP="00BE0B19">
      <w:pPr>
        <w:tabs>
          <w:tab w:val="left" w:pos="720"/>
        </w:tabs>
        <w:suppressAutoHyphens/>
        <w:spacing w:after="0" w:line="360" w:lineRule="auto"/>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А. Пирамидни функции</w:t>
      </w:r>
    </w:p>
    <w:p w14:paraId="79DBDD4B"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 xml:space="preserve">0   - </w:t>
      </w:r>
      <w:r w:rsidRPr="00AE47C6">
        <w:rPr>
          <w:rFonts w:ascii="Times New Roman" w:eastAsia="SimSun" w:hAnsi="Times New Roman"/>
          <w:sz w:val="24"/>
          <w:szCs w:val="24"/>
        </w:rPr>
        <w:tab/>
        <w:t xml:space="preserve">Нормални </w:t>
      </w:r>
    </w:p>
    <w:p w14:paraId="02C57E23"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1</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Патологични белези без функционален дефицит (несиметрична хиперрефлексия, отслабени или липсващи коремни рефлекси, патологични рефлекси от групата на Babinski и др.). </w:t>
      </w:r>
    </w:p>
    <w:p w14:paraId="6D84A9CD"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2</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Минимален функционален дефицит (латентни парези). </w:t>
      </w:r>
    </w:p>
    <w:p w14:paraId="15731A4F"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3</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Лека или умерена парапареза или хемипареза; тежка монопареза. </w:t>
      </w:r>
    </w:p>
    <w:p w14:paraId="7BC5046A"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4</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Изразена парапареза или хемипареза; умерена квадрипареза; моноплегия. </w:t>
      </w:r>
    </w:p>
    <w:p w14:paraId="50474DCB"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5</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Параплегия, хемиплегия или изразена квадрипареза. </w:t>
      </w:r>
    </w:p>
    <w:p w14:paraId="5A80452D"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6</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Квадриплегия. </w:t>
      </w:r>
    </w:p>
    <w:p w14:paraId="05EAC6CA"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V</w:t>
      </w:r>
      <w:r w:rsidRPr="00AE47C6">
        <w:rPr>
          <w:rFonts w:ascii="Times New Roman" w:eastAsia="SimSun" w:hAnsi="Times New Roman"/>
          <w:sz w:val="24"/>
          <w:szCs w:val="24"/>
        </w:rPr>
        <w:tab/>
        <w:t>-</w:t>
      </w:r>
      <w:r w:rsidRPr="00AE47C6">
        <w:rPr>
          <w:rFonts w:ascii="Times New Roman" w:eastAsia="SimSun" w:hAnsi="Times New Roman"/>
          <w:sz w:val="24"/>
          <w:szCs w:val="24"/>
        </w:rPr>
        <w:tab/>
        <w:t>Неизвестно</w:t>
      </w:r>
    </w:p>
    <w:p w14:paraId="1AD8D507"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0B713660" w14:textId="77777777" w:rsidR="00BE0B19" w:rsidRPr="00AE47C6" w:rsidRDefault="00BE0B19" w:rsidP="00BE0B19">
      <w:pPr>
        <w:tabs>
          <w:tab w:val="left" w:pos="720"/>
        </w:tabs>
        <w:suppressAutoHyphens/>
        <w:spacing w:after="0" w:line="360" w:lineRule="auto"/>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 xml:space="preserve">B. Церебеларни функции. </w:t>
      </w:r>
    </w:p>
    <w:p w14:paraId="113FC9A2"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0  -      Нормални</w:t>
      </w:r>
    </w:p>
    <w:p w14:paraId="57270DA3"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1</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Патологични белези без функционален дефицит (дискоординационни разстройства, отчетени само при координационните проби, но без нарушение на походката или ежедневните манипулации). </w:t>
      </w:r>
    </w:p>
    <w:p w14:paraId="1043127D"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2</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Лека атаксия (локомоторна или на крайниците). </w:t>
      </w:r>
    </w:p>
    <w:p w14:paraId="78290AF1"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3</w:t>
      </w:r>
      <w:r w:rsidRPr="00AE47C6">
        <w:rPr>
          <w:rFonts w:ascii="Times New Roman" w:eastAsia="SimSun" w:hAnsi="Times New Roman"/>
          <w:sz w:val="24"/>
          <w:szCs w:val="24"/>
        </w:rPr>
        <w:tab/>
        <w:t>-</w:t>
      </w:r>
      <w:r w:rsidRPr="00AE47C6">
        <w:rPr>
          <w:rFonts w:ascii="Times New Roman" w:eastAsia="SimSun" w:hAnsi="Times New Roman"/>
          <w:sz w:val="24"/>
          <w:szCs w:val="24"/>
        </w:rPr>
        <w:tab/>
        <w:t>Умерена атаксия (локомоторна или на крайниците).</w:t>
      </w:r>
    </w:p>
    <w:p w14:paraId="5995AEF8"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4</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Тежка атаксия на крайниците, но съчетана с известно ефективно движение. </w:t>
      </w:r>
    </w:p>
    <w:p w14:paraId="5E663DD4"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5</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Невъзможност да се извършват координирани движения поради атаксията. </w:t>
      </w:r>
    </w:p>
    <w:p w14:paraId="135ED0C6"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V</w:t>
      </w:r>
      <w:r w:rsidRPr="00AE47C6">
        <w:rPr>
          <w:rFonts w:ascii="Times New Roman" w:eastAsia="SimSun" w:hAnsi="Times New Roman"/>
          <w:sz w:val="24"/>
          <w:szCs w:val="24"/>
        </w:rPr>
        <w:tab/>
        <w:t>-</w:t>
      </w:r>
      <w:r w:rsidRPr="00AE47C6">
        <w:rPr>
          <w:rFonts w:ascii="Times New Roman" w:eastAsia="SimSun" w:hAnsi="Times New Roman"/>
          <w:sz w:val="24"/>
          <w:szCs w:val="24"/>
        </w:rPr>
        <w:tab/>
        <w:t>Неизвестно</w:t>
      </w:r>
    </w:p>
    <w:p w14:paraId="377BFED7"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Х</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Поставя се след всеки номер, ако парезите в крайниците пречат на точното отчитане. </w:t>
      </w:r>
    </w:p>
    <w:p w14:paraId="2AEC5FD0"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С.</w:t>
      </w:r>
      <w:r w:rsidRPr="00AE47C6">
        <w:rPr>
          <w:rFonts w:ascii="Times New Roman" w:eastAsia="SimSun" w:hAnsi="Times New Roman"/>
          <w:b/>
          <w:sz w:val="24"/>
          <w:szCs w:val="24"/>
        </w:rPr>
        <w:tab/>
        <w:t>Функции на мозъчния ствол</w:t>
      </w:r>
    </w:p>
    <w:p w14:paraId="49248302"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0   -      Нормални</w:t>
      </w:r>
    </w:p>
    <w:p w14:paraId="18C2B267"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1</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Патологични находки без функционален дефицит (напр. отпадна сетивна симптоматика). </w:t>
      </w:r>
    </w:p>
    <w:p w14:paraId="0042E89F"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2</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Умерен нистагъм или друг лек дефицит. </w:t>
      </w:r>
    </w:p>
    <w:p w14:paraId="21E2CF04"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3</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Тежък нистагъм, изявена очедвигателна слабост или умерен дефицит на други краниални нерви. </w:t>
      </w:r>
    </w:p>
    <w:p w14:paraId="152C8939"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4</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Изразена дизартрия или друг изразен дефицит (лицева диплегия или офталмоплегия). </w:t>
      </w:r>
    </w:p>
    <w:p w14:paraId="68991D7B"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5</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Невъзможност за гълтане или анартрия. </w:t>
      </w:r>
    </w:p>
    <w:p w14:paraId="550CE65A"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V</w:t>
      </w:r>
      <w:r w:rsidRPr="00AE47C6">
        <w:rPr>
          <w:rFonts w:ascii="Times New Roman" w:eastAsia="SimSun" w:hAnsi="Times New Roman"/>
          <w:sz w:val="24"/>
          <w:szCs w:val="24"/>
        </w:rPr>
        <w:tab/>
        <w:t>-</w:t>
      </w:r>
      <w:r w:rsidRPr="00AE47C6">
        <w:rPr>
          <w:rFonts w:ascii="Times New Roman" w:eastAsia="SimSun" w:hAnsi="Times New Roman"/>
          <w:sz w:val="24"/>
          <w:szCs w:val="24"/>
        </w:rPr>
        <w:tab/>
        <w:t>Неизвестно</w:t>
      </w:r>
    </w:p>
    <w:p w14:paraId="6AEDEF66"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b/>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D.</w:t>
      </w:r>
      <w:r w:rsidRPr="00AE47C6">
        <w:rPr>
          <w:rFonts w:ascii="Times New Roman" w:eastAsia="SimSun" w:hAnsi="Times New Roman"/>
          <w:b/>
          <w:sz w:val="24"/>
          <w:szCs w:val="24"/>
        </w:rPr>
        <w:tab/>
        <w:t>Сетивни функции</w:t>
      </w:r>
    </w:p>
    <w:p w14:paraId="4505FAB0"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0   -      Нормални</w:t>
      </w:r>
    </w:p>
    <w:p w14:paraId="116F1BAA"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1</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Снижен двумерно-пространствен или вибрационен усет само в един или два крайника. </w:t>
      </w:r>
    </w:p>
    <w:p w14:paraId="6E85078C"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2</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Намален ставно-мускулен или дискриминационен усет в един или два крайника, или снижен вибрационен усет в три или четири крайника. </w:t>
      </w:r>
    </w:p>
    <w:p w14:paraId="007F67F2"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3</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Умерено намалена сетивност за допир и болка и/или загуба на вибрационната сетивност за един или два крайника; или друга комбинация от симптоми – лека хипестезия за допир и болка и/или умерено намаление за всички проприоцептивни тестове в три или четири крайника. </w:t>
      </w:r>
    </w:p>
    <w:p w14:paraId="32C3598D"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 xml:space="preserve">4 – Забележително намалена сетивност за допир и болка или загуба на проприоцептивната сетивност, самостоятелно или комбинирано, в един или два крайника; или друга комбинация от симптоми – умерено намалена сетивност за допир и болка и/или силно намалена проприоцептивна сетивност в повече от два крайника. </w:t>
      </w:r>
    </w:p>
    <w:p w14:paraId="0B4F3744"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5</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Загуба на сетивност в един или два крайника; или друга комбинация от симптоми – умерено намалена сетивност за допир и болка и/или силно намалена проприоцептивна сетивност за по-голямата част от тялото без главата </w:t>
      </w:r>
    </w:p>
    <w:p w14:paraId="7907DDCA"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6</w:t>
      </w:r>
      <w:r w:rsidRPr="00AE47C6">
        <w:rPr>
          <w:rFonts w:ascii="Times New Roman" w:eastAsia="SimSun" w:hAnsi="Times New Roman"/>
          <w:sz w:val="24"/>
          <w:szCs w:val="24"/>
        </w:rPr>
        <w:tab/>
        <w:t>-</w:t>
      </w:r>
      <w:r w:rsidRPr="00AE47C6">
        <w:rPr>
          <w:rFonts w:ascii="Times New Roman" w:eastAsia="SimSun" w:hAnsi="Times New Roman"/>
          <w:sz w:val="24"/>
          <w:szCs w:val="24"/>
        </w:rPr>
        <w:tab/>
        <w:t>Аналгезия и анестезия до шията.</w:t>
      </w:r>
    </w:p>
    <w:p w14:paraId="3DD48BC7"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V</w:t>
      </w:r>
      <w:r w:rsidRPr="00AE47C6">
        <w:rPr>
          <w:rFonts w:ascii="Times New Roman" w:eastAsia="SimSun" w:hAnsi="Times New Roman"/>
          <w:sz w:val="24"/>
          <w:szCs w:val="24"/>
        </w:rPr>
        <w:tab/>
        <w:t>-</w:t>
      </w:r>
      <w:r w:rsidRPr="00AE47C6">
        <w:rPr>
          <w:rFonts w:ascii="Times New Roman" w:eastAsia="SimSun" w:hAnsi="Times New Roman"/>
          <w:sz w:val="24"/>
          <w:szCs w:val="24"/>
        </w:rPr>
        <w:tab/>
        <w:t>Неизвестно</w:t>
      </w:r>
    </w:p>
    <w:p w14:paraId="1E03170E"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b/>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Е.</w:t>
      </w:r>
      <w:r w:rsidRPr="00AE47C6">
        <w:rPr>
          <w:rFonts w:ascii="Times New Roman" w:eastAsia="SimSun" w:hAnsi="Times New Roman"/>
          <w:b/>
          <w:sz w:val="24"/>
          <w:szCs w:val="24"/>
        </w:rPr>
        <w:tab/>
        <w:t xml:space="preserve">Тазоворезервоарни функции </w:t>
      </w:r>
    </w:p>
    <w:p w14:paraId="77982BAE"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 xml:space="preserve">0  - </w:t>
      </w:r>
      <w:r w:rsidRPr="00AE47C6">
        <w:rPr>
          <w:rFonts w:ascii="Times New Roman" w:eastAsia="SimSun" w:hAnsi="Times New Roman"/>
          <w:sz w:val="24"/>
          <w:szCs w:val="24"/>
        </w:rPr>
        <w:tab/>
        <w:t>Нормални</w:t>
      </w:r>
    </w:p>
    <w:p w14:paraId="23D0A9E0"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1</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Лека неувереност, императивност, рядко ретенция. </w:t>
      </w:r>
    </w:p>
    <w:p w14:paraId="1711AD00"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2</w:t>
      </w:r>
      <w:r w:rsidRPr="00AE47C6">
        <w:rPr>
          <w:rFonts w:ascii="Times New Roman" w:eastAsia="SimSun" w:hAnsi="Times New Roman"/>
          <w:sz w:val="24"/>
          <w:szCs w:val="24"/>
        </w:rPr>
        <w:tab/>
        <w:t>-</w:t>
      </w:r>
      <w:r w:rsidRPr="00AE47C6">
        <w:rPr>
          <w:rFonts w:ascii="Times New Roman" w:eastAsia="SimSun" w:hAnsi="Times New Roman"/>
          <w:sz w:val="24"/>
          <w:szCs w:val="24"/>
        </w:rPr>
        <w:tab/>
        <w:t>Умерена неувереност, императивност, ретенция или рядко инконтиненция на урината.</w:t>
      </w:r>
    </w:p>
    <w:p w14:paraId="1C269C70"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3</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Честа инконтиненция </w:t>
      </w:r>
    </w:p>
    <w:p w14:paraId="104C3A73"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4</w:t>
      </w:r>
      <w:r w:rsidRPr="00AE47C6">
        <w:rPr>
          <w:rFonts w:ascii="Times New Roman" w:eastAsia="SimSun" w:hAnsi="Times New Roman"/>
          <w:sz w:val="24"/>
          <w:szCs w:val="24"/>
        </w:rPr>
        <w:tab/>
        <w:t>-</w:t>
      </w:r>
      <w:r w:rsidRPr="00AE47C6">
        <w:rPr>
          <w:rFonts w:ascii="Times New Roman" w:eastAsia="SimSun" w:hAnsi="Times New Roman"/>
          <w:sz w:val="24"/>
          <w:szCs w:val="24"/>
        </w:rPr>
        <w:tab/>
        <w:t>Необходимост от почти непрекъсната катетризация.</w:t>
      </w:r>
    </w:p>
    <w:p w14:paraId="576B055F"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5</w:t>
      </w:r>
      <w:r w:rsidRPr="00AE47C6">
        <w:rPr>
          <w:rFonts w:ascii="Times New Roman" w:eastAsia="SimSun" w:hAnsi="Times New Roman"/>
          <w:sz w:val="24"/>
          <w:szCs w:val="24"/>
        </w:rPr>
        <w:tab/>
        <w:t>-</w:t>
      </w:r>
      <w:r w:rsidRPr="00AE47C6">
        <w:rPr>
          <w:rFonts w:ascii="Times New Roman" w:eastAsia="SimSun" w:hAnsi="Times New Roman"/>
          <w:sz w:val="24"/>
          <w:szCs w:val="24"/>
        </w:rPr>
        <w:tab/>
        <w:t>Загуба на контрол върху пикочния мехур.</w:t>
      </w:r>
    </w:p>
    <w:p w14:paraId="3FBA052C"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6</w:t>
      </w:r>
      <w:r w:rsidRPr="00AE47C6">
        <w:rPr>
          <w:rFonts w:ascii="Times New Roman" w:eastAsia="SimSun" w:hAnsi="Times New Roman"/>
          <w:sz w:val="24"/>
          <w:szCs w:val="24"/>
        </w:rPr>
        <w:tab/>
        <w:t>-</w:t>
      </w:r>
      <w:r w:rsidRPr="00AE47C6">
        <w:rPr>
          <w:rFonts w:ascii="Times New Roman" w:eastAsia="SimSun" w:hAnsi="Times New Roman"/>
          <w:sz w:val="24"/>
          <w:szCs w:val="24"/>
        </w:rPr>
        <w:tab/>
        <w:t>Загуба на контрол върху пикочния мехур и ректума.</w:t>
      </w:r>
    </w:p>
    <w:p w14:paraId="5E6545E5"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V</w:t>
      </w:r>
      <w:r w:rsidRPr="00AE47C6">
        <w:rPr>
          <w:rFonts w:ascii="Times New Roman" w:eastAsia="SimSun" w:hAnsi="Times New Roman"/>
          <w:sz w:val="24"/>
          <w:szCs w:val="24"/>
        </w:rPr>
        <w:tab/>
        <w:t>-</w:t>
      </w:r>
      <w:r w:rsidRPr="00AE47C6">
        <w:rPr>
          <w:rFonts w:ascii="Times New Roman" w:eastAsia="SimSun" w:hAnsi="Times New Roman"/>
          <w:sz w:val="24"/>
          <w:szCs w:val="24"/>
        </w:rPr>
        <w:tab/>
        <w:t>Неизвестни</w:t>
      </w:r>
    </w:p>
    <w:p w14:paraId="6E374505"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b/>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F.</w:t>
      </w:r>
      <w:r w:rsidRPr="00AE47C6">
        <w:rPr>
          <w:rFonts w:ascii="Times New Roman" w:eastAsia="SimSun" w:hAnsi="Times New Roman"/>
          <w:b/>
          <w:sz w:val="24"/>
          <w:szCs w:val="24"/>
        </w:rPr>
        <w:tab/>
        <w:t>Зрителни функции</w:t>
      </w:r>
    </w:p>
    <w:p w14:paraId="595FC10F"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 xml:space="preserve">0   - </w:t>
      </w:r>
      <w:r w:rsidRPr="00AE47C6">
        <w:rPr>
          <w:rFonts w:ascii="Times New Roman" w:eastAsia="SimSun" w:hAnsi="Times New Roman"/>
          <w:sz w:val="24"/>
          <w:szCs w:val="24"/>
        </w:rPr>
        <w:tab/>
        <w:t>Нормални</w:t>
      </w:r>
    </w:p>
    <w:p w14:paraId="497E3A2F"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1</w:t>
      </w:r>
      <w:r w:rsidRPr="00AE47C6">
        <w:rPr>
          <w:rFonts w:ascii="Times New Roman" w:eastAsia="SimSun" w:hAnsi="Times New Roman"/>
          <w:sz w:val="24"/>
          <w:szCs w:val="24"/>
        </w:rPr>
        <w:tab/>
        <w:t>-</w:t>
      </w:r>
      <w:r w:rsidRPr="00AE47C6">
        <w:rPr>
          <w:rFonts w:ascii="Times New Roman" w:eastAsia="SimSun" w:hAnsi="Times New Roman"/>
          <w:sz w:val="24"/>
          <w:szCs w:val="24"/>
        </w:rPr>
        <w:tab/>
        <w:t>Скотом със запазен визус до  20/30.</w:t>
      </w:r>
    </w:p>
    <w:p w14:paraId="0A8AFFD5"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2</w:t>
      </w:r>
      <w:r w:rsidRPr="00AE47C6">
        <w:rPr>
          <w:rFonts w:ascii="Times New Roman" w:eastAsia="SimSun" w:hAnsi="Times New Roman"/>
          <w:sz w:val="24"/>
          <w:szCs w:val="24"/>
        </w:rPr>
        <w:tab/>
        <w:t>-</w:t>
      </w:r>
      <w:r w:rsidRPr="00AE47C6">
        <w:rPr>
          <w:rFonts w:ascii="Times New Roman" w:eastAsia="SimSun" w:hAnsi="Times New Roman"/>
          <w:sz w:val="24"/>
          <w:szCs w:val="24"/>
        </w:rPr>
        <w:tab/>
        <w:t>Скотом и максимална зрителна острота в по-увреденото око (коригирана) от 20/30 до 20/59.</w:t>
      </w:r>
    </w:p>
    <w:p w14:paraId="1185514B"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3</w:t>
      </w:r>
      <w:r w:rsidRPr="00AE47C6">
        <w:rPr>
          <w:rFonts w:ascii="Times New Roman" w:eastAsia="SimSun" w:hAnsi="Times New Roman"/>
          <w:sz w:val="24"/>
          <w:szCs w:val="24"/>
        </w:rPr>
        <w:tab/>
        <w:t>-</w:t>
      </w:r>
      <w:r w:rsidRPr="00AE47C6">
        <w:rPr>
          <w:rFonts w:ascii="Times New Roman" w:eastAsia="SimSun" w:hAnsi="Times New Roman"/>
          <w:sz w:val="24"/>
          <w:szCs w:val="24"/>
        </w:rPr>
        <w:tab/>
        <w:t>Голям скотом в по-увреденото око или умерено намаление на зрителните полета, но с максимална (коригирана) зрителна острота от 20/60 до 20/99.</w:t>
      </w:r>
    </w:p>
    <w:p w14:paraId="428C6597"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4</w:t>
      </w:r>
      <w:r w:rsidRPr="00AE47C6">
        <w:rPr>
          <w:rFonts w:ascii="Times New Roman" w:eastAsia="SimSun" w:hAnsi="Times New Roman"/>
          <w:sz w:val="24"/>
          <w:szCs w:val="24"/>
        </w:rPr>
        <w:tab/>
        <w:t>-</w:t>
      </w:r>
      <w:r w:rsidRPr="00AE47C6">
        <w:rPr>
          <w:rFonts w:ascii="Times New Roman" w:eastAsia="SimSun" w:hAnsi="Times New Roman"/>
          <w:sz w:val="24"/>
          <w:szCs w:val="24"/>
        </w:rPr>
        <w:tab/>
        <w:t>По-увреденото око е с изразено намаление на зрителното поле и с максимална (коригирана) зрителна острота от 20/100 до 20/200; измененията са в степен 3 плюс максимална зрителна острота в по-слабо засегнатото око – 20/60 или по-малка.</w:t>
      </w:r>
    </w:p>
    <w:p w14:paraId="1F22264D"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5</w:t>
      </w:r>
      <w:r w:rsidRPr="00AE47C6">
        <w:rPr>
          <w:rFonts w:ascii="Times New Roman" w:eastAsia="SimSun" w:hAnsi="Times New Roman"/>
          <w:sz w:val="24"/>
          <w:szCs w:val="24"/>
        </w:rPr>
        <w:tab/>
        <w:t>-</w:t>
      </w:r>
      <w:r w:rsidRPr="00AE47C6">
        <w:rPr>
          <w:rFonts w:ascii="Times New Roman" w:eastAsia="SimSun" w:hAnsi="Times New Roman"/>
          <w:sz w:val="24"/>
          <w:szCs w:val="24"/>
        </w:rPr>
        <w:tab/>
        <w:t>По-увреденото око е с максимална (коригирана) зрителна острота под 20/200; измененията, означени в степен 4 плюс максимална зрителна острота на по-запазеното око 20/60 или по-ниска.</w:t>
      </w:r>
    </w:p>
    <w:p w14:paraId="7C2426A5"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6</w:t>
      </w:r>
      <w:r w:rsidRPr="00AE47C6">
        <w:rPr>
          <w:rFonts w:ascii="Times New Roman" w:eastAsia="SimSun" w:hAnsi="Times New Roman"/>
          <w:sz w:val="24"/>
          <w:szCs w:val="24"/>
        </w:rPr>
        <w:tab/>
        <w:t>-</w:t>
      </w:r>
      <w:r w:rsidRPr="00AE47C6">
        <w:rPr>
          <w:rFonts w:ascii="Times New Roman" w:eastAsia="SimSun" w:hAnsi="Times New Roman"/>
          <w:sz w:val="24"/>
          <w:szCs w:val="24"/>
        </w:rPr>
        <w:tab/>
        <w:t>Измененията, означени в степен 5 плюс максимална зрителна острота на по-запазеното око 20/60 или по-ниска.</w:t>
      </w:r>
    </w:p>
    <w:p w14:paraId="11EB7D82"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V</w:t>
      </w:r>
      <w:r w:rsidRPr="00AE47C6">
        <w:rPr>
          <w:rFonts w:ascii="Times New Roman" w:eastAsia="SimSun" w:hAnsi="Times New Roman"/>
          <w:sz w:val="24"/>
          <w:szCs w:val="24"/>
        </w:rPr>
        <w:tab/>
        <w:t>-</w:t>
      </w:r>
      <w:r w:rsidRPr="00AE47C6">
        <w:rPr>
          <w:rFonts w:ascii="Times New Roman" w:eastAsia="SimSun" w:hAnsi="Times New Roman"/>
          <w:sz w:val="24"/>
          <w:szCs w:val="24"/>
        </w:rPr>
        <w:tab/>
        <w:t>Неизвестно</w:t>
      </w:r>
    </w:p>
    <w:p w14:paraId="123A978E"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Х</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Прибавя се към степените от 0 до 6 при наличието на темпорално побледняване на папилите. </w:t>
      </w:r>
    </w:p>
    <w:p w14:paraId="6CD4E652"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b/>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G.</w:t>
      </w:r>
      <w:r w:rsidRPr="00AE47C6">
        <w:rPr>
          <w:rFonts w:ascii="Times New Roman" w:eastAsia="SimSun" w:hAnsi="Times New Roman"/>
          <w:b/>
          <w:sz w:val="24"/>
          <w:szCs w:val="24"/>
        </w:rPr>
        <w:tab/>
        <w:t xml:space="preserve">Психични функции </w:t>
      </w:r>
    </w:p>
    <w:p w14:paraId="3E94B96C"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 xml:space="preserve">0   - </w:t>
      </w:r>
      <w:r w:rsidRPr="00AE47C6">
        <w:rPr>
          <w:rFonts w:ascii="Times New Roman" w:eastAsia="SimSun" w:hAnsi="Times New Roman"/>
          <w:sz w:val="24"/>
          <w:szCs w:val="24"/>
        </w:rPr>
        <w:tab/>
        <w:t>Нормални</w:t>
      </w:r>
    </w:p>
    <w:p w14:paraId="6A9A31C8"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1</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Промени в настроението (еуфория или депресия). </w:t>
      </w:r>
    </w:p>
    <w:p w14:paraId="3874C5C9"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2</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Леко спадане на мисловните процеси по отношение на абстракции или математически операции. </w:t>
      </w:r>
    </w:p>
    <w:p w14:paraId="72D47AB8"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3</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Умерено снижение на паметта, нарушение в съжденията и умозаключенията. </w:t>
      </w:r>
    </w:p>
    <w:p w14:paraId="5C74E8B7"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4</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По-тежко психично нарушение с известна дезориентация. </w:t>
      </w:r>
    </w:p>
    <w:p w14:paraId="0C10A8B3"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5</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Деменция </w:t>
      </w:r>
    </w:p>
    <w:p w14:paraId="762483EF"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V</w:t>
      </w:r>
      <w:r w:rsidRPr="00AE47C6">
        <w:rPr>
          <w:rFonts w:ascii="Times New Roman" w:eastAsia="SimSun" w:hAnsi="Times New Roman"/>
          <w:sz w:val="24"/>
          <w:szCs w:val="24"/>
        </w:rPr>
        <w:tab/>
        <w:t>-</w:t>
      </w:r>
      <w:r w:rsidRPr="00AE47C6">
        <w:rPr>
          <w:rFonts w:ascii="Times New Roman" w:eastAsia="SimSun" w:hAnsi="Times New Roman"/>
          <w:sz w:val="24"/>
          <w:szCs w:val="24"/>
        </w:rPr>
        <w:tab/>
        <w:t>Неизвестни</w:t>
      </w:r>
    </w:p>
    <w:p w14:paraId="71E66EC4"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b/>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H.</w:t>
      </w:r>
      <w:r w:rsidRPr="00AE47C6">
        <w:rPr>
          <w:rFonts w:ascii="Times New Roman" w:eastAsia="SimSun" w:hAnsi="Times New Roman"/>
          <w:b/>
          <w:sz w:val="24"/>
          <w:szCs w:val="24"/>
        </w:rPr>
        <w:tab/>
        <w:t xml:space="preserve">Други функции </w:t>
      </w:r>
    </w:p>
    <w:p w14:paraId="30345AA7"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0</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Няма нарушения </w:t>
      </w:r>
    </w:p>
    <w:p w14:paraId="63867F79"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1</w:t>
      </w:r>
      <w:r w:rsidRPr="00AE47C6">
        <w:rPr>
          <w:rFonts w:ascii="Times New Roman" w:eastAsia="SimSun" w:hAnsi="Times New Roman"/>
          <w:sz w:val="24"/>
          <w:szCs w:val="24"/>
        </w:rPr>
        <w:tab/>
        <w:t>-</w:t>
      </w:r>
      <w:r w:rsidRPr="00AE47C6">
        <w:rPr>
          <w:rFonts w:ascii="Times New Roman" w:eastAsia="SimSun" w:hAnsi="Times New Roman"/>
          <w:sz w:val="24"/>
          <w:szCs w:val="24"/>
        </w:rPr>
        <w:tab/>
        <w:t xml:space="preserve">Има някаква друга находка – определя се каква. </w:t>
      </w:r>
    </w:p>
    <w:p w14:paraId="39D537BF"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V</w:t>
      </w:r>
      <w:r w:rsidRPr="00AE47C6">
        <w:rPr>
          <w:rFonts w:ascii="Times New Roman" w:eastAsia="SimSun" w:hAnsi="Times New Roman"/>
          <w:sz w:val="24"/>
          <w:szCs w:val="24"/>
        </w:rPr>
        <w:tab/>
        <w:t>-</w:t>
      </w:r>
      <w:r w:rsidRPr="00AE47C6">
        <w:rPr>
          <w:rFonts w:ascii="Times New Roman" w:eastAsia="SimSun" w:hAnsi="Times New Roman"/>
          <w:sz w:val="24"/>
          <w:szCs w:val="24"/>
        </w:rPr>
        <w:tab/>
        <w:t>Неизвестно</w:t>
      </w:r>
    </w:p>
    <w:p w14:paraId="43C87EB7"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p>
    <w:p w14:paraId="7DB214A2"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p>
    <w:p w14:paraId="33CE891B" w14:textId="77777777" w:rsidR="00BE0B19" w:rsidRPr="00AE47C6" w:rsidRDefault="00BE0B19" w:rsidP="00BE0B19">
      <w:pPr>
        <w:tabs>
          <w:tab w:val="left" w:pos="709"/>
          <w:tab w:val="left" w:pos="993"/>
          <w:tab w:val="left" w:pos="1418"/>
          <w:tab w:val="left" w:pos="1702"/>
          <w:tab w:val="left" w:pos="1985"/>
        </w:tabs>
        <w:spacing w:after="0" w:line="360" w:lineRule="auto"/>
        <w:jc w:val="both"/>
        <w:rPr>
          <w:rFonts w:ascii="Times New Roman" w:eastAsia="SimSun" w:hAnsi="Times New Roman"/>
          <w:sz w:val="24"/>
          <w:szCs w:val="24"/>
        </w:rPr>
      </w:pPr>
    </w:p>
    <w:p w14:paraId="156EAD33"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color w:val="222222"/>
          <w:sz w:val="24"/>
          <w:szCs w:val="24"/>
          <w:lang w:eastAsia="bg-BG"/>
        </w:rPr>
      </w:pPr>
      <w:bookmarkStart w:id="256" w:name="_Toc155651814"/>
      <w:bookmarkStart w:id="257" w:name="_Toc164075948"/>
      <w:r w:rsidRPr="00AE47C6">
        <w:rPr>
          <w:rFonts w:ascii="Times New Roman" w:eastAsia="SimSun" w:hAnsi="Times New Roman"/>
          <w:b/>
          <w:color w:val="222222"/>
          <w:sz w:val="24"/>
          <w:szCs w:val="24"/>
          <w:lang w:eastAsia="bg-BG"/>
        </w:rPr>
        <w:t>Приложение 8. Профилактика на МС и риск от COVID-19</w:t>
      </w:r>
      <w:r w:rsidRPr="00AE47C6">
        <w:rPr>
          <w:rFonts w:ascii="Times New Roman" w:eastAsia="SimSun" w:hAnsi="Times New Roman"/>
          <w:b/>
          <w:sz w:val="24"/>
          <w:szCs w:val="24"/>
        </w:rPr>
        <w:t>. Приложение към Националния консенсус за диагностика и лечение на множествената склероза</w:t>
      </w:r>
      <w:bookmarkEnd w:id="256"/>
      <w:bookmarkEnd w:id="257"/>
    </w:p>
    <w:p w14:paraId="51F72F94"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12E9277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Обобщава началния световен опит и практическите терапевтични препоръки за употреба на имунни терапии за множествена склероза на фона на повишен риск от инфекция с COVID-19.</w:t>
      </w:r>
    </w:p>
    <w:p w14:paraId="159CE7BD"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COVID</w:t>
      </w:r>
      <w:r w:rsidRPr="00AE47C6">
        <w:rPr>
          <w:rFonts w:ascii="Times New Roman" w:eastAsia="SimSun" w:hAnsi="Times New Roman"/>
          <w:b/>
          <w:bCs/>
          <w:sz w:val="24"/>
          <w:szCs w:val="24"/>
        </w:rPr>
        <w:t>-</w:t>
      </w:r>
      <w:r w:rsidRPr="00AE47C6">
        <w:rPr>
          <w:rFonts w:ascii="Times New Roman" w:eastAsia="SimSun" w:hAnsi="Times New Roman"/>
          <w:sz w:val="24"/>
          <w:szCs w:val="24"/>
        </w:rPr>
        <w:t xml:space="preserve">19 (coronavirus disease 2019) е нов щам от семейство Coronaviridae, за първи път изолиран в Китай. Сама по себе си, множествената склероза не би трябвало да увеличава риска от заразяване </w:t>
      </w:r>
      <w:r w:rsidRPr="00AE47C6">
        <w:rPr>
          <w:rFonts w:ascii="Times New Roman" w:eastAsia="SimSun" w:hAnsi="Times New Roman"/>
          <w:b/>
          <w:bCs/>
          <w:sz w:val="24"/>
          <w:szCs w:val="24"/>
        </w:rPr>
        <w:t xml:space="preserve">с </w:t>
      </w:r>
      <w:r w:rsidRPr="00AE47C6">
        <w:rPr>
          <w:rFonts w:ascii="Times New Roman" w:eastAsia="SimSun" w:hAnsi="Times New Roman"/>
          <w:sz w:val="24"/>
          <w:szCs w:val="24"/>
        </w:rPr>
        <w:t>COVID</w:t>
      </w:r>
      <w:r w:rsidRPr="00AE47C6">
        <w:rPr>
          <w:rFonts w:ascii="Times New Roman" w:eastAsia="SimSun" w:hAnsi="Times New Roman"/>
          <w:b/>
          <w:bCs/>
          <w:sz w:val="24"/>
          <w:szCs w:val="24"/>
        </w:rPr>
        <w:t>-</w:t>
      </w:r>
      <w:r w:rsidRPr="00AE47C6">
        <w:rPr>
          <w:rFonts w:ascii="Times New Roman" w:eastAsia="SimSun" w:hAnsi="Times New Roman"/>
          <w:sz w:val="24"/>
          <w:szCs w:val="24"/>
        </w:rPr>
        <w:t xml:space="preserve">19 или да предпоставя изява на клинична симптоматика след контакт с вируса. </w:t>
      </w:r>
    </w:p>
    <w:p w14:paraId="3F7304C4"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Рискът от развитие на усложнения на инфекцията се увеличава при различни състояния, които могат да се разделят в две групи: </w:t>
      </w:r>
    </w:p>
    <w:p w14:paraId="3A8ABB81"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b/>
          <w:sz w:val="24"/>
          <w:szCs w:val="24"/>
        </w:rPr>
        <w:t>Рискови фактори, които не могат да се контролират:</w:t>
      </w:r>
      <w:r w:rsidRPr="00AE47C6">
        <w:rPr>
          <w:rFonts w:ascii="Times New Roman" w:eastAsia="SimSun" w:hAnsi="Times New Roman"/>
          <w:sz w:val="24"/>
          <w:szCs w:val="24"/>
        </w:rPr>
        <w:t xml:space="preserve"> възраст, хронични кардио-васкуларни и белодробни страдания, онкологични процеси, подлежащи не-ятрогенно провокирани имунодефицитни състояния. Предпазлива употреба на имуноактивни лечения при МС-пациентите в по-напреднала възраст, логично би им осигурила по-благоприятно имунно състояние за борба с вируса. </w:t>
      </w:r>
    </w:p>
    <w:p w14:paraId="774817B4"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b/>
          <w:sz w:val="24"/>
          <w:szCs w:val="24"/>
        </w:rPr>
        <w:t>Рискови фактори, които могат да бъдат относително контролирани: диабет, хипертония,</w:t>
      </w:r>
      <w:r w:rsidRPr="00AE47C6">
        <w:rPr>
          <w:rFonts w:ascii="Times New Roman" w:eastAsia="SimSun" w:hAnsi="Times New Roman"/>
          <w:sz w:val="24"/>
          <w:szCs w:val="24"/>
        </w:rPr>
        <w:t xml:space="preserve"> медикаментозно индуцирана имуносупресия / понижен лимфоцитен брой. </w:t>
      </w:r>
    </w:p>
    <w:p w14:paraId="23C25E69"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Изброените контролируеми фактори насочват към отговорността на МС-специалистите за правилно управление на риска при провеждане на имуномодулация в рамките на усложнена епидемична обстановка. На този етап е твърде рано, за да са натрупани достатъчно конкретни данни за всеки един от използваните медикаменти и препоръките са по-скоро теоретични. Освен това, имунният отговор при среща с COVID</w:t>
      </w:r>
      <w:r w:rsidRPr="00AE47C6">
        <w:rPr>
          <w:rFonts w:ascii="Times New Roman" w:eastAsia="SimSun" w:hAnsi="Times New Roman"/>
          <w:b/>
          <w:bCs/>
          <w:sz w:val="24"/>
          <w:szCs w:val="24"/>
        </w:rPr>
        <w:t>-</w:t>
      </w:r>
      <w:r w:rsidRPr="00AE47C6">
        <w:rPr>
          <w:rFonts w:ascii="Times New Roman" w:eastAsia="SimSun" w:hAnsi="Times New Roman"/>
          <w:sz w:val="24"/>
          <w:szCs w:val="24"/>
        </w:rPr>
        <w:t>19, засега не е напълно проучен, но по аналогия с вече познатото от опита със SARS (Severe acute respiratory syndrome-related coronavirus) може да се допусне, че Т-лимфоцитите имат ключовата роля в борбата с вируса.</w:t>
      </w:r>
    </w:p>
    <w:p w14:paraId="72ACAC19"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Лечението за МС повлиява адаптивната имунна система. Вродената имунна система се повлиява по-малко, с изключение на NK клетките. Циркулиращите имунни клетки се модулират или унищожават. Практиката показа, че терапиите за МС не увеличават значимо риска от заразяване или по-тежко прекарване на Covid-инфекцията. В периода на епидемията се препоръчва модифициращото хода на МС лечение да се продължи. Внезапното спиране на терапията за МС (с цел предпазване от инфекция или в периода на боледуване от COVID-19) може да влоши заболяването.</w:t>
      </w:r>
    </w:p>
    <w:p w14:paraId="65531FA2"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След лечение с високи дози кортикостероиди се налага стриктна самоизолация за поне 2 седмици. </w:t>
      </w:r>
    </w:p>
    <w:p w14:paraId="40F1811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Терапиите от първа линия, </w:t>
      </w:r>
      <w:r w:rsidRPr="00AE47C6">
        <w:rPr>
          <w:rFonts w:ascii="Times New Roman" w:eastAsia="SimSun" w:hAnsi="Times New Roman"/>
          <w:b/>
          <w:sz w:val="24"/>
          <w:szCs w:val="24"/>
        </w:rPr>
        <w:t>interferon beta 1a, interferon beta 1b, glatiramer acetate, teriflunomide, dimethyl fumarate</w:t>
      </w:r>
      <w:r w:rsidRPr="00AE47C6">
        <w:rPr>
          <w:rFonts w:ascii="Times New Roman" w:eastAsia="SimSun" w:hAnsi="Times New Roman"/>
          <w:b/>
          <w:iCs/>
          <w:color w:val="000000"/>
          <w:sz w:val="24"/>
          <w:szCs w:val="24"/>
        </w:rPr>
        <w:t xml:space="preserve"> </w:t>
      </w:r>
      <w:r w:rsidRPr="00AE47C6">
        <w:rPr>
          <w:rFonts w:ascii="Times New Roman" w:eastAsia="SimSun" w:hAnsi="Times New Roman"/>
          <w:b/>
          <w:sz w:val="24"/>
          <w:szCs w:val="24"/>
        </w:rPr>
        <w:t xml:space="preserve">и </w:t>
      </w:r>
      <w:r w:rsidRPr="00AE47C6">
        <w:rPr>
          <w:rFonts w:ascii="Times New Roman" w:eastAsia="SimSun" w:hAnsi="Times New Roman"/>
          <w:b/>
          <w:bCs/>
          <w:color w:val="000000"/>
          <w:sz w:val="24"/>
          <w:szCs w:val="24"/>
        </w:rPr>
        <w:t>diroximel fumarate</w:t>
      </w:r>
      <w:r w:rsidRPr="00AE47C6">
        <w:rPr>
          <w:rFonts w:ascii="Times New Roman" w:eastAsia="SimSun" w:hAnsi="Times New Roman"/>
          <w:sz w:val="24"/>
          <w:szCs w:val="24"/>
        </w:rPr>
        <w:t xml:space="preserve">, биха могли да се назначават и прилагат, както досега, без значим риск от компрометиране на противовирусния имунитет. Не повлияват негативно тежестта на Covid-19. Леките случаи могат да продължат лечението. Може да се започне терапия с тези медикаменти de novo. </w:t>
      </w:r>
    </w:p>
    <w:p w14:paraId="0BF11C4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 лечение с </w:t>
      </w:r>
      <w:r w:rsidRPr="00AE47C6">
        <w:rPr>
          <w:rFonts w:ascii="Times New Roman" w:eastAsia="SimSun" w:hAnsi="Times New Roman"/>
          <w:b/>
          <w:sz w:val="24"/>
          <w:szCs w:val="24"/>
        </w:rPr>
        <w:t xml:space="preserve">dimethyl fumarate и </w:t>
      </w:r>
      <w:r w:rsidRPr="00AE47C6">
        <w:rPr>
          <w:rFonts w:ascii="Times New Roman" w:eastAsia="SimSun" w:hAnsi="Times New Roman"/>
          <w:b/>
          <w:bCs/>
          <w:color w:val="000000"/>
          <w:sz w:val="24"/>
          <w:szCs w:val="24"/>
        </w:rPr>
        <w:t>diroximel fumarate</w:t>
      </w:r>
      <w:r w:rsidRPr="00AE47C6">
        <w:rPr>
          <w:rFonts w:ascii="Times New Roman" w:eastAsia="SimSun" w:hAnsi="Times New Roman"/>
          <w:sz w:val="24"/>
          <w:szCs w:val="24"/>
        </w:rPr>
        <w:t xml:space="preserve"> внимание би трябвало да се обърне на препоръчителното проследяване на лимфоцитния брой, особено през първите шест месеца от приложението на медикамента, когато влиянието му върху абсолютния лимфоцитен брой е неясно. Ако броят на лимфоцитите е </w:t>
      </w:r>
      <w:r w:rsidRPr="00AE47C6">
        <w:rPr>
          <w:rFonts w:ascii="Times New Roman" w:eastAsia="SimSun" w:hAnsi="Times New Roman"/>
          <w:color w:val="000000"/>
          <w:sz w:val="24"/>
          <w:szCs w:val="24"/>
          <w:shd w:val="clear" w:color="auto" w:fill="FFFFFF"/>
        </w:rPr>
        <w:t>≤500 mm</w:t>
      </w:r>
      <w:r w:rsidRPr="00AE47C6">
        <w:rPr>
          <w:rFonts w:ascii="Times New Roman" w:eastAsia="SimSun" w:hAnsi="Times New Roman"/>
          <w:color w:val="000000"/>
          <w:sz w:val="24"/>
          <w:szCs w:val="24"/>
          <w:shd w:val="clear" w:color="auto" w:fill="FFFFFF"/>
          <w:vertAlign w:val="superscript"/>
        </w:rPr>
        <w:t>3</w:t>
      </w:r>
      <w:r w:rsidRPr="00AE47C6">
        <w:rPr>
          <w:rFonts w:ascii="Times New Roman" w:eastAsia="SimSun" w:hAnsi="Times New Roman"/>
          <w:sz w:val="24"/>
          <w:szCs w:val="24"/>
        </w:rPr>
        <w:t xml:space="preserve"> лечението временно се прекъсва, при стойности между </w:t>
      </w:r>
      <w:r w:rsidRPr="00AE47C6">
        <w:rPr>
          <w:rFonts w:ascii="Times New Roman" w:eastAsia="SimSun" w:hAnsi="Times New Roman"/>
          <w:color w:val="000000"/>
          <w:sz w:val="24"/>
          <w:szCs w:val="24"/>
          <w:shd w:val="clear" w:color="auto" w:fill="FFFFFF"/>
        </w:rPr>
        <w:t>500 mm</w:t>
      </w:r>
      <w:r w:rsidRPr="00AE47C6">
        <w:rPr>
          <w:rFonts w:ascii="Times New Roman" w:eastAsia="SimSun" w:hAnsi="Times New Roman"/>
          <w:color w:val="000000"/>
          <w:sz w:val="24"/>
          <w:szCs w:val="24"/>
          <w:shd w:val="clear" w:color="auto" w:fill="FFFFFF"/>
          <w:vertAlign w:val="superscript"/>
        </w:rPr>
        <w:t>3</w:t>
      </w:r>
      <w:r w:rsidRPr="00AE47C6">
        <w:rPr>
          <w:rFonts w:ascii="Times New Roman" w:eastAsia="SimSun" w:hAnsi="Times New Roman"/>
          <w:sz w:val="24"/>
          <w:szCs w:val="24"/>
        </w:rPr>
        <w:t xml:space="preserve"> и 8</w:t>
      </w:r>
      <w:r w:rsidRPr="00AE47C6">
        <w:rPr>
          <w:rFonts w:ascii="Times New Roman" w:eastAsia="SimSun" w:hAnsi="Times New Roman"/>
          <w:color w:val="000000"/>
          <w:sz w:val="24"/>
          <w:szCs w:val="24"/>
          <w:shd w:val="clear" w:color="auto" w:fill="FFFFFF"/>
        </w:rPr>
        <w:t>00 mm</w:t>
      </w:r>
      <w:r w:rsidRPr="00AE47C6">
        <w:rPr>
          <w:rFonts w:ascii="Times New Roman" w:eastAsia="SimSun" w:hAnsi="Times New Roman"/>
          <w:color w:val="000000"/>
          <w:sz w:val="24"/>
          <w:szCs w:val="24"/>
          <w:shd w:val="clear" w:color="auto" w:fill="FFFFFF"/>
          <w:vertAlign w:val="superscript"/>
        </w:rPr>
        <w:t>3</w:t>
      </w:r>
      <w:r w:rsidRPr="00AE47C6">
        <w:rPr>
          <w:rFonts w:ascii="Times New Roman" w:eastAsia="SimSun" w:hAnsi="Times New Roman"/>
          <w:sz w:val="24"/>
          <w:szCs w:val="24"/>
        </w:rPr>
        <w:t xml:space="preserve"> лечението се продължава при системно проследяване на абсолютния лимфоцитен брой. При лимфоцити над </w:t>
      </w:r>
      <w:r w:rsidRPr="00AE47C6">
        <w:rPr>
          <w:rFonts w:ascii="Times New Roman" w:eastAsia="SimSun" w:hAnsi="Times New Roman"/>
          <w:color w:val="000000"/>
          <w:sz w:val="24"/>
          <w:szCs w:val="24"/>
          <w:shd w:val="clear" w:color="auto" w:fill="FFFFFF"/>
        </w:rPr>
        <w:t>800 mm</w:t>
      </w:r>
      <w:r w:rsidRPr="00AE47C6">
        <w:rPr>
          <w:rFonts w:ascii="Times New Roman" w:eastAsia="SimSun" w:hAnsi="Times New Roman"/>
          <w:color w:val="000000"/>
          <w:sz w:val="24"/>
          <w:szCs w:val="24"/>
          <w:shd w:val="clear" w:color="auto" w:fill="FFFFFF"/>
          <w:vertAlign w:val="superscript"/>
        </w:rPr>
        <w:t xml:space="preserve">3 </w:t>
      </w:r>
      <w:r w:rsidRPr="00AE47C6">
        <w:rPr>
          <w:rFonts w:ascii="Times New Roman" w:eastAsia="SimSun" w:hAnsi="Times New Roman"/>
          <w:color w:val="000000"/>
          <w:sz w:val="24"/>
          <w:szCs w:val="24"/>
          <w:shd w:val="clear" w:color="auto" w:fill="FFFFFF"/>
        </w:rPr>
        <w:t>терапията е безопасна.</w:t>
      </w:r>
    </w:p>
    <w:p w14:paraId="3BD6A4FD"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Лечението с </w:t>
      </w:r>
      <w:r w:rsidRPr="00AE47C6">
        <w:rPr>
          <w:rFonts w:ascii="Times New Roman" w:eastAsia="SimSun" w:hAnsi="Times New Roman"/>
          <w:b/>
          <w:sz w:val="24"/>
          <w:szCs w:val="24"/>
        </w:rPr>
        <w:t xml:space="preserve">fingolimod и siponimod </w:t>
      </w:r>
      <w:r w:rsidRPr="00AE47C6">
        <w:rPr>
          <w:rFonts w:ascii="Times New Roman" w:eastAsia="SimSun" w:hAnsi="Times New Roman"/>
          <w:sz w:val="24"/>
          <w:szCs w:val="24"/>
        </w:rPr>
        <w:t xml:space="preserve">предпоставя определени рискове поради задържането на свободните Т-лимфоцити в периферните лимфни възли и съответно намаляване на броя циркулиращите имунни клетки, което вероятно компрометира противовирусния имунитет. В същото време обаче, fingolimod е медикамент за активна пристъпна МС, респективно siponimod за активна вторично-прогресивна МС и спиране на терапията често се свързва с ре-активиране на основното заболяване. Ето защо при индивидуална преценка полза/риск е по-оправдано лечението да се продължи. </w:t>
      </w:r>
    </w:p>
    <w:p w14:paraId="3484458B"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b/>
          <w:sz w:val="24"/>
          <w:szCs w:val="24"/>
        </w:rPr>
        <w:t>Natalizumab</w:t>
      </w:r>
      <w:r w:rsidRPr="00AE47C6">
        <w:rPr>
          <w:rFonts w:ascii="Times New Roman" w:eastAsia="SimSun" w:hAnsi="Times New Roman"/>
          <w:sz w:val="24"/>
          <w:szCs w:val="24"/>
        </w:rPr>
        <w:t xml:space="preserve"> се разглежда като безопасен за приложение в настоящата епидемична обстановка, предвид механизма си на действие с ограничаване на преминаване на циркулиращите имунни клетки в ЦНС. Трябва също така да се подчертае рискът от ре-активиране на МС при евентуален пропуск в дозирането в случай, че пациентът е ограничен да посети болницата за провеждане на поредно вливане.</w:t>
      </w:r>
      <w:r w:rsidRPr="00AE47C6">
        <w:rPr>
          <w:rFonts w:ascii="Times New Roman" w:eastAsiaTheme="minorEastAsia" w:hAnsi="Times New Roman"/>
          <w:b/>
          <w:bCs/>
          <w:color w:val="000000" w:themeColor="text1"/>
          <w:kern w:val="24"/>
          <w:sz w:val="24"/>
          <w:szCs w:val="24"/>
        </w:rPr>
        <w:t xml:space="preserve"> </w:t>
      </w:r>
      <w:r w:rsidRPr="00AE47C6">
        <w:rPr>
          <w:rFonts w:ascii="Times New Roman" w:eastAsia="SimSun" w:hAnsi="Times New Roman"/>
          <w:sz w:val="24"/>
          <w:szCs w:val="24"/>
        </w:rPr>
        <w:t>Пациентите са без повишен риск от тежък COVID-19 и започването на терапия не е противопоказано.</w:t>
      </w:r>
      <w:r w:rsidRPr="00AE47C6">
        <w:rPr>
          <w:rFonts w:ascii="Times New Roman" w:eastAsiaTheme="minorEastAsia" w:hAnsi="Times New Roman"/>
          <w:color w:val="000000" w:themeColor="text1"/>
          <w:kern w:val="24"/>
          <w:sz w:val="24"/>
          <w:szCs w:val="24"/>
        </w:rPr>
        <w:t xml:space="preserve"> </w:t>
      </w:r>
      <w:r w:rsidRPr="00AE47C6">
        <w:rPr>
          <w:rFonts w:ascii="Times New Roman" w:eastAsia="SimSun" w:hAnsi="Times New Roman"/>
          <w:sz w:val="24"/>
          <w:szCs w:val="24"/>
        </w:rPr>
        <w:t>Рискът от тежък COVID-19 е най-нисък сред високо-ефективните терапии.</w:t>
      </w:r>
      <w:r w:rsidRPr="00AE47C6">
        <w:rPr>
          <w:rFonts w:ascii="Times New Roman" w:eastAsiaTheme="minorEastAsia" w:hAnsi="Times New Roman"/>
          <w:color w:val="000000" w:themeColor="text1"/>
          <w:kern w:val="24"/>
          <w:sz w:val="24"/>
          <w:szCs w:val="24"/>
        </w:rPr>
        <w:t xml:space="preserve"> </w:t>
      </w:r>
      <w:r w:rsidRPr="00AE47C6">
        <w:rPr>
          <w:rFonts w:ascii="Times New Roman" w:eastAsia="SimSun" w:hAnsi="Times New Roman"/>
          <w:sz w:val="24"/>
          <w:szCs w:val="24"/>
        </w:rPr>
        <w:t>Ако се наложи спиране на лечението в случай на тежък COVID-19, е необходим рестарт на лечението до 8 седмици за избягване на rebound феномен.</w:t>
      </w:r>
    </w:p>
    <w:p w14:paraId="516CB1D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Терапиите, потискащи лимфоцитния ред се разглеждат като относително по-рискови за приложение в епидемичния период.</w:t>
      </w:r>
    </w:p>
    <w:p w14:paraId="51EFAF3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 xml:space="preserve">Ocrelizumab </w:t>
      </w:r>
      <w:r w:rsidRPr="00AE47C6">
        <w:rPr>
          <w:rFonts w:ascii="Times New Roman" w:eastAsia="SimSun" w:hAnsi="Times New Roman"/>
          <w:sz w:val="24"/>
          <w:szCs w:val="24"/>
        </w:rPr>
        <w:t xml:space="preserve">въпреки прицелната си анти-CD20 активност повлиява B-клетъчните и Т-клетъчните отговори и продукцията на IL-6. Възможно е да компрометира вирусния имунен отговор. В същото време, медикаментът е показан за лечение на активна МС и рисковете от влошаване на основното заболяване при отлагане на терапията не трябва да се подценяват. Първото или последващо дозиране с ocrelizumab би могло да се отложи временно при непосредствен риск от заразяване с COVID-19 (пряк контакт със заразен) или по време на боледуване. </w:t>
      </w:r>
    </w:p>
    <w:p w14:paraId="7320D11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Ofatumumab</w:t>
      </w:r>
      <w:r w:rsidRPr="00AE47C6">
        <w:rPr>
          <w:rFonts w:ascii="Times New Roman" w:eastAsia="SimSun" w:hAnsi="Times New Roman"/>
          <w:sz w:val="24"/>
          <w:szCs w:val="24"/>
        </w:rPr>
        <w:t xml:space="preserve"> също повлиява B-клетъчните и Т-клетъчните отговори и е възможно да компрометира вирусния имунен отговор. В същото време, медикаментът е показан за лечение на активна МС и рисковете от влошаване на основното заболяване при отлагане на терапията не трябва да се подценяват. Първото или последващо дозиране с ofatumumab би могло да се отложи временно при непосредствен риск от заразяване с COVID-19 (пряк контакт със заразен) или по време на боледуване.</w:t>
      </w:r>
    </w:p>
    <w:p w14:paraId="4D01C3C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Пациентите с първично-прогресивна МС би следвало да се обсъдят индивидуално, в контекста на по-високата средна възраст в тази под-група, както и по-ниския риск от съществена прогресия на инвалидизацията при временно отлагане на вливането. </w:t>
      </w:r>
    </w:p>
    <w:p w14:paraId="57C0AF7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Терапията с </w:t>
      </w:r>
      <w:r w:rsidRPr="00AE47C6">
        <w:rPr>
          <w:rFonts w:ascii="Times New Roman" w:eastAsia="SimSun" w:hAnsi="Times New Roman"/>
          <w:b/>
          <w:bCs/>
          <w:sz w:val="24"/>
          <w:szCs w:val="24"/>
        </w:rPr>
        <w:t>alemtuzumab</w:t>
      </w:r>
      <w:r w:rsidRPr="00AE47C6">
        <w:rPr>
          <w:rFonts w:ascii="Times New Roman" w:eastAsia="SimSun" w:hAnsi="Times New Roman"/>
          <w:sz w:val="24"/>
          <w:szCs w:val="24"/>
        </w:rPr>
        <w:t xml:space="preserve"> и </w:t>
      </w:r>
      <w:r w:rsidRPr="00AE47C6">
        <w:rPr>
          <w:rFonts w:ascii="Times New Roman" w:eastAsia="SimSun" w:hAnsi="Times New Roman"/>
          <w:b/>
          <w:bCs/>
          <w:sz w:val="24"/>
          <w:szCs w:val="24"/>
        </w:rPr>
        <w:t>cladribine</w:t>
      </w:r>
      <w:r w:rsidRPr="00AE47C6">
        <w:rPr>
          <w:rFonts w:ascii="Times New Roman" w:eastAsia="SimSun" w:hAnsi="Times New Roman"/>
          <w:sz w:val="24"/>
          <w:szCs w:val="24"/>
        </w:rPr>
        <w:t xml:space="preserve"> се разглежда като относително по-рискова за развитие на тежка Covid-19 инфекция. Необходима е индивидуална оценка полза/риск при стартиране и последващо дозиране с тези терапии в рамките на епидемията. Групата пациенти, получили първи курс на лечение, на които предстои второ приложение на медикаментите се възприемат като относително защитени от активиране на МС за период от 18 месеца след предходния терапевтичен курс. След приложение на alemtuzumab е необходимо стриктно спазване противоепидемичните мерки за поне 4 месеца при проследяване на хематологичните показатели, съгласно КХП. След приложение на cladribine, който оказва дългосрочни ефекти върху левкоцитния ред, пациентите следва да спазват особено стриктно противоепидемичните мерки за периода до имунно възстановяване.</w:t>
      </w:r>
    </w:p>
    <w:p w14:paraId="16193477" w14:textId="77777777" w:rsidR="00BE0B19" w:rsidRPr="00AE47C6" w:rsidRDefault="00BE0B19" w:rsidP="00BE0B19">
      <w:pPr>
        <w:tabs>
          <w:tab w:val="num"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Пациенти с множествена склероза, използващи модифициращи хода на болестта медикаменти, при които се установи </w:t>
      </w:r>
      <w:r w:rsidRPr="00AE47C6">
        <w:rPr>
          <w:rFonts w:ascii="Times New Roman" w:eastAsia="SimSun" w:hAnsi="Times New Roman"/>
          <w:b/>
          <w:bCs/>
          <w:sz w:val="24"/>
          <w:szCs w:val="24"/>
        </w:rPr>
        <w:t>заразяване с Covid-19</w:t>
      </w:r>
      <w:r w:rsidRPr="00AE47C6">
        <w:rPr>
          <w:rFonts w:ascii="Times New Roman" w:eastAsia="SimSun" w:hAnsi="Times New Roman"/>
          <w:sz w:val="24"/>
          <w:szCs w:val="24"/>
        </w:rPr>
        <w:t xml:space="preserve">, изискват специално внимание от наблюдаващия невролог и инфекционист. Хората с </w:t>
      </w:r>
      <w:r w:rsidRPr="00AE47C6">
        <w:rPr>
          <w:rFonts w:ascii="Times New Roman" w:eastAsia="SimSun" w:hAnsi="Times New Roman"/>
          <w:b/>
          <w:bCs/>
          <w:sz w:val="24"/>
          <w:szCs w:val="24"/>
        </w:rPr>
        <w:t>леки</w:t>
      </w:r>
      <w:r w:rsidRPr="00AE47C6">
        <w:rPr>
          <w:rFonts w:ascii="Times New Roman" w:eastAsia="SimSun" w:hAnsi="Times New Roman"/>
          <w:sz w:val="24"/>
          <w:szCs w:val="24"/>
        </w:rPr>
        <w:t xml:space="preserve"> симптоми на COVID-19 могат да не спират лечението с интерферони, glatiramer acetate, teriflunomide, dimethyl fumarate или fingolimod, тъй като при тях не е установен по-голям риск от усложнение на инфекцията. Приложението на терапиите от втора линия по време на боледуване от Covid-19 следва да се прецизира спрямо изразеността на симптомите на инфекцията.</w:t>
      </w:r>
    </w:p>
    <w:p w14:paraId="5FFE7BD7" w14:textId="77777777" w:rsidR="00BE0B19" w:rsidRPr="00AE47C6" w:rsidRDefault="00BE0B19" w:rsidP="00BE0B19">
      <w:pPr>
        <w:tabs>
          <w:tab w:val="num"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При тежък Covid-19</w:t>
      </w:r>
      <w:r w:rsidRPr="00AE47C6">
        <w:rPr>
          <w:rFonts w:ascii="Times New Roman" w:eastAsia="SimSun" w:hAnsi="Times New Roman"/>
          <w:sz w:val="24"/>
          <w:szCs w:val="24"/>
        </w:rPr>
        <w:t xml:space="preserve"> се препоръчва индивидуална оценка. Инфузионните терапии от втора линия и приложението на cladribine</w:t>
      </w:r>
      <w:r w:rsidRPr="00AE47C6">
        <w:rPr>
          <w:rFonts w:ascii="Times New Roman" w:eastAsia="MS PGothic" w:hAnsi="Times New Roman"/>
          <w:color w:val="000000" w:themeColor="text1"/>
          <w:sz w:val="24"/>
          <w:szCs w:val="24"/>
          <w14:shadow w14:blurRad="38100" w14:dist="38100" w14:dir="2700000" w14:sx="100000" w14:sy="100000" w14:kx="0" w14:ky="0" w14:algn="tl">
            <w14:srgbClr w14:val="000000"/>
          </w14:shadow>
        </w:rPr>
        <w:t xml:space="preserve"> </w:t>
      </w:r>
      <w:r w:rsidRPr="00AE47C6">
        <w:rPr>
          <w:rFonts w:ascii="Times New Roman" w:eastAsia="SimSun" w:hAnsi="Times New Roman"/>
          <w:sz w:val="24"/>
          <w:szCs w:val="24"/>
        </w:rPr>
        <w:t xml:space="preserve">може да се отложи до преминаване на симптомите. Рестартиране на терапията с fingolimod и natalizumab се препоръчва до 8 седмици за предотвратяване на ребаунд. </w:t>
      </w:r>
    </w:p>
    <w:p w14:paraId="40E1D34D" w14:textId="77777777" w:rsidR="00BE0B19" w:rsidRPr="00AE47C6" w:rsidRDefault="00BE0B19" w:rsidP="00BE0B19">
      <w:pPr>
        <w:tabs>
          <w:tab w:val="num"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Хората с прогресиращи форми на МС и високо ниво на инвалидност (EDSS &gt;6,0) имат повишен риск от по-тежко протичане на Covid-19. </w:t>
      </w:r>
    </w:p>
    <w:p w14:paraId="327415E7" w14:textId="77777777" w:rsidR="00BE0B19" w:rsidRPr="00AE47C6" w:rsidRDefault="00BE0B19" w:rsidP="00BE0B19">
      <w:pPr>
        <w:tabs>
          <w:tab w:val="num" w:pos="720"/>
        </w:tabs>
        <w:spacing w:after="0" w:line="360" w:lineRule="auto"/>
        <w:ind w:firstLine="720"/>
        <w:jc w:val="both"/>
        <w:rPr>
          <w:rFonts w:ascii="Times New Roman" w:eastAsia="SimSun" w:hAnsi="Times New Roman"/>
          <w:sz w:val="24"/>
          <w:szCs w:val="24"/>
        </w:rPr>
      </w:pPr>
    </w:p>
    <w:p w14:paraId="2A790C1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Ваксините</w:t>
      </w:r>
      <w:r w:rsidRPr="00AE47C6">
        <w:rPr>
          <w:rFonts w:ascii="Times New Roman" w:eastAsia="SimSun" w:hAnsi="Times New Roman"/>
          <w:b/>
          <w:sz w:val="24"/>
          <w:szCs w:val="24"/>
        </w:rPr>
        <w:t xml:space="preserve"> срещу COVID-19</w:t>
      </w:r>
      <w:r w:rsidRPr="00AE47C6">
        <w:rPr>
          <w:rFonts w:ascii="Times New Roman" w:eastAsia="SimSun" w:hAnsi="Times New Roman"/>
          <w:sz w:val="24"/>
          <w:szCs w:val="24"/>
        </w:rPr>
        <w:t xml:space="preserve"> са безопасни за хора с МС, те не провокират пристъп на МС и не влошават хроничните симптоми. Безопасни са за употреба с лекарства за МС, но някои болест модифициращи терапии могат да направят ваксината по-малко ефективна. Хората с пристъпни или прогресиращи форми МС трябва да се ваксинират. Препоръчва се членовете на домакинството и близки контакти също да бъдат ваксинирани. Ваксината може да причини повишена температура, която да влоши временно МС симптомите. </w:t>
      </w:r>
    </w:p>
    <w:p w14:paraId="00D1D20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 лечение с </w:t>
      </w:r>
      <w:r w:rsidRPr="00AE47C6">
        <w:rPr>
          <w:rFonts w:ascii="Times New Roman" w:eastAsia="SimSun" w:hAnsi="Times New Roman"/>
          <w:b/>
          <w:sz w:val="24"/>
          <w:szCs w:val="24"/>
        </w:rPr>
        <w:t xml:space="preserve">interferon beta 1a, interferon beta 1b, glatiramer acetate, teriflunomide, dimethyl fumarate, </w:t>
      </w:r>
      <w:r w:rsidRPr="00AE47C6">
        <w:rPr>
          <w:rFonts w:ascii="Times New Roman" w:eastAsia="SimSun" w:hAnsi="Times New Roman"/>
          <w:b/>
          <w:bCs/>
          <w:color w:val="000000"/>
          <w:sz w:val="24"/>
          <w:szCs w:val="24"/>
        </w:rPr>
        <w:t>diroximel fumarate</w:t>
      </w:r>
      <w:r w:rsidRPr="00AE47C6">
        <w:rPr>
          <w:rFonts w:ascii="Times New Roman" w:eastAsia="SimSun" w:hAnsi="Times New Roman"/>
          <w:b/>
          <w:sz w:val="24"/>
          <w:szCs w:val="24"/>
        </w:rPr>
        <w:t xml:space="preserve"> и natalizumab</w:t>
      </w:r>
      <w:r w:rsidRPr="00AE47C6">
        <w:rPr>
          <w:rFonts w:ascii="Times New Roman" w:eastAsia="SimSun" w:hAnsi="Times New Roman"/>
          <w:sz w:val="24"/>
          <w:szCs w:val="24"/>
        </w:rPr>
        <w:t xml:space="preserve"> не се повлиява ефективността на ваксината. Ваксинирането не е противопоказано, не трябва да се съобразява с приема на терапията за МС.</w:t>
      </w:r>
    </w:p>
    <w:p w14:paraId="0C724FAD"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При лечение с </w:t>
      </w:r>
      <w:r w:rsidRPr="00AE47C6">
        <w:rPr>
          <w:rFonts w:ascii="Times New Roman" w:eastAsia="SimSun" w:hAnsi="Times New Roman"/>
          <w:b/>
          <w:bCs/>
          <w:sz w:val="24"/>
          <w:szCs w:val="24"/>
        </w:rPr>
        <w:t>fingolimod</w:t>
      </w:r>
      <w:r w:rsidRPr="00AE47C6">
        <w:rPr>
          <w:rFonts w:ascii="Times New Roman" w:eastAsia="SimSun" w:hAnsi="Times New Roman"/>
          <w:sz w:val="24"/>
          <w:szCs w:val="24"/>
        </w:rPr>
        <w:t xml:space="preserve"> отговорът към ваксината може да бъде намален, но не се препоръчва спиране на лечението. Пациентът може да се ваксинира, без да спира лечението. Препоръчва се лечението да се започне 4-6 седмици след ваксинирането с двете дози на BioNTech/Pfizer или Moderna. При прилагане на AZ/Oxford ваксина I доза се прилага 2-4 седмици преди започване на лечение, а II доза - най-малко 3 месеца след стартиране на лечение.</w:t>
      </w:r>
    </w:p>
    <w:p w14:paraId="18675520"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При планирано започване на лечение със siponimod  се препоръчва завършване на пълния ваксинационен курс – 2-те дози на BioNTech/Pfizer или Moderna или една доза от векторната ваксина на Johnson &amp; Johnson, да стане най-малко 2 седмици преди стартиране на терапията. При провеждано лечение със siponimod, терапията може да продължи, както е предписана и да се извърши ваксинацията възможно най-бързо.</w:t>
      </w:r>
    </w:p>
    <w:p w14:paraId="4F397139"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При лечение с alemtuzumab, cladribine и ocrevus е нужна координация на времето на прилагане на ваксината с времето на дозата БМТ.</w:t>
      </w:r>
    </w:p>
    <w:p w14:paraId="69B96990"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При започване на лечение с alemtuzumab и cladribine пълния курс на ваксинация трябва да е приключил поне 4-6 седмици преди стартиране на терапията. Ако пациента вече провежда лечение, трябва да има поне 6 месеца</w:t>
      </w:r>
      <w:r w:rsidRPr="00AE47C6">
        <w:rPr>
          <w:rFonts w:ascii="Times New Roman" w:eastAsia="SimSun" w:hAnsi="Times New Roman"/>
          <w:b/>
          <w:bCs/>
          <w:sz w:val="24"/>
          <w:szCs w:val="24"/>
        </w:rPr>
        <w:t xml:space="preserve"> </w:t>
      </w:r>
      <w:r w:rsidRPr="00AE47C6">
        <w:rPr>
          <w:rFonts w:ascii="Times New Roman" w:eastAsia="SimSun" w:hAnsi="Times New Roman"/>
          <w:sz w:val="24"/>
          <w:szCs w:val="24"/>
        </w:rPr>
        <w:t>отстояние между последния курс на лечение и прилагането на ваксината и броят на лимфоцитите трябва да е възстановен. Следващият терапевтичен курс може да бъде забавен, за завършване на ваксинацията. По време на лечението с cladribine и до нормализиране след това на белите кръвни клетки ваксинацията да се избягва.</w:t>
      </w:r>
    </w:p>
    <w:p w14:paraId="0913B758" w14:textId="77777777" w:rsidR="00BE0B19" w:rsidRPr="00AE47C6" w:rsidRDefault="00BE0B19" w:rsidP="00BE0B19">
      <w:pPr>
        <w:tabs>
          <w:tab w:val="num"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 лечение с анти-CD20 медикамента </w:t>
      </w:r>
      <w:r w:rsidRPr="00AE47C6">
        <w:rPr>
          <w:rFonts w:ascii="Times New Roman" w:eastAsia="SimSun" w:hAnsi="Times New Roman"/>
          <w:b/>
          <w:bCs/>
          <w:sz w:val="24"/>
          <w:szCs w:val="24"/>
        </w:rPr>
        <w:t>ocrelizumab</w:t>
      </w:r>
      <w:r w:rsidRPr="00AE47C6">
        <w:rPr>
          <w:rFonts w:ascii="Times New Roman" w:eastAsia="SimSun" w:hAnsi="Times New Roman"/>
          <w:sz w:val="24"/>
          <w:szCs w:val="24"/>
        </w:rPr>
        <w:t xml:space="preserve"> първата доза ваксина трябва да се постави преди започване на лечение,</w:t>
      </w:r>
      <w:r w:rsidRPr="00AE47C6">
        <w:rPr>
          <w:rFonts w:ascii="Times New Roman" w:eastAsia="SimSun" w:hAnsi="Times New Roman"/>
          <w:b/>
          <w:bCs/>
          <w:sz w:val="24"/>
          <w:szCs w:val="24"/>
        </w:rPr>
        <w:t xml:space="preserve"> </w:t>
      </w:r>
      <w:r w:rsidRPr="00AE47C6">
        <w:rPr>
          <w:rFonts w:ascii="Times New Roman" w:eastAsia="SimSun" w:hAnsi="Times New Roman"/>
          <w:sz w:val="24"/>
          <w:szCs w:val="24"/>
        </w:rPr>
        <w:t>а втората доза - поне 4 седмици преди старта на терапията. Лечението може да намали отговора към някои ваксини с до 50%. При текуща терапия, ваксината трябва да бъде приложена 4-5 месеца след последната доза от медикамента. След получаване на 2 дози ваксина и възстановен брой на лимфоцитите следващата доза от медикамента се отлага с поне 4 седмици. Може да се изчака след II доза ваксина преди поредния курс терапия или да се възобнови лечението след I доза ваксина (като се забави II доза). При ваксината AZ/Oxford I доза се прилага 5 месеца след последната медикаментозна инфузия и най-малко 2 седмици преди следващата инфузия. II доза - най-малко 3 месеца след следващата инфузия и най-малко 2 седмици преди поредната инфузия. При ваксина BioNTech/Pfizer или Moderna I доза се прилага 4 месеца след последната инфузия от медикамента. II доза - 3-4 седмици по-късно и най-малко 2 седмици преди поредната инфузия.</w:t>
      </w:r>
    </w:p>
    <w:p w14:paraId="546D7260" w14:textId="77777777" w:rsidR="00BE0B19" w:rsidRPr="00AE47C6" w:rsidRDefault="00BE0B19" w:rsidP="00BE0B19">
      <w:pPr>
        <w:tabs>
          <w:tab w:val="num"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 планирано започване на лечение с </w:t>
      </w:r>
      <w:r w:rsidRPr="00AE47C6">
        <w:rPr>
          <w:rFonts w:ascii="Times New Roman" w:eastAsia="SimSun" w:hAnsi="Times New Roman"/>
          <w:b/>
          <w:bCs/>
          <w:sz w:val="24"/>
          <w:szCs w:val="24"/>
        </w:rPr>
        <w:t>ofatumumab</w:t>
      </w:r>
      <w:r w:rsidRPr="00AE47C6">
        <w:rPr>
          <w:rFonts w:ascii="Times New Roman" w:eastAsia="SimSun" w:hAnsi="Times New Roman"/>
          <w:sz w:val="24"/>
          <w:szCs w:val="24"/>
        </w:rPr>
        <w:t xml:space="preserve">  се препоръчва завършване на пълния ваксинационен курс – 2-те дози на BioNTech/Pfizer или Moderna или една доза от векторната ваксина на Johnson &amp; Johnson, да стане най-малко 2 седмици преди стартиране на терапията. Планирайте започване на ваксинацията 4 седмици след последната доза ofatumumab. Продължаване на лечението трябва да стане 4 седмици след завършване на пълния ваксинационен курс.</w:t>
      </w:r>
    </w:p>
    <w:p w14:paraId="05C9AAB0" w14:textId="77777777" w:rsidR="00BE0B19" w:rsidRPr="00AE47C6" w:rsidRDefault="00BE0B19" w:rsidP="00BE0B19">
      <w:pPr>
        <w:spacing w:after="0" w:line="240" w:lineRule="auto"/>
        <w:rPr>
          <w:rFonts w:ascii="Times New Roman" w:eastAsia="SimSun" w:hAnsi="Times New Roman"/>
          <w:color w:val="212121"/>
          <w:sz w:val="30"/>
          <w:szCs w:val="30"/>
          <w:shd w:val="clear" w:color="auto" w:fill="FFFFFF"/>
        </w:rPr>
      </w:pPr>
      <w:r w:rsidRPr="00AE47C6">
        <w:rPr>
          <w:rFonts w:ascii="Times New Roman" w:eastAsia="SimSun" w:hAnsi="Times New Roman"/>
          <w:color w:val="212121"/>
          <w:sz w:val="30"/>
          <w:szCs w:val="30"/>
          <w:shd w:val="clear" w:color="auto" w:fill="FFFFFF"/>
        </w:rPr>
        <w:br w:type="page"/>
      </w:r>
    </w:p>
    <w:p w14:paraId="24A5E54D" w14:textId="77777777" w:rsidR="00BE0B19" w:rsidRPr="00AE47C6" w:rsidRDefault="00BE0B19" w:rsidP="00BE0B19">
      <w:pPr>
        <w:spacing w:after="0" w:line="240" w:lineRule="auto"/>
        <w:jc w:val="both"/>
        <w:rPr>
          <w:rFonts w:ascii="Times New Roman" w:eastAsia="SimSun" w:hAnsi="Times New Roman"/>
          <w:color w:val="212121"/>
          <w:sz w:val="30"/>
          <w:szCs w:val="30"/>
          <w:shd w:val="clear" w:color="auto" w:fill="FFFFFF"/>
        </w:rPr>
      </w:pPr>
    </w:p>
    <w:p w14:paraId="0B5A79C4"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u w:val="single"/>
        </w:rPr>
        <w:t xml:space="preserve">Диагностициране и лечение на заболявания от спектъра на оптичния  невромиелит </w:t>
      </w:r>
    </w:p>
    <w:p w14:paraId="28FE0FE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Синдромът (болестта) на Devic (neuromyelitis optica NMO), сега е включен във все още уточняваща се група заболявания от спектъра на оптичния невромиелит (NMOSD). Тъй като при NMO също възникват мозъчни синдроми, терминът NMOSD покрива пълния клиничен спектър и е предложен през 2015 г. от Международният панел за диагностика на </w:t>
      </w:r>
      <w:bookmarkStart w:id="258" w:name="_Hlk125006776"/>
      <w:bookmarkStart w:id="259" w:name="_Hlk125006825"/>
      <w:r w:rsidRPr="00AE47C6">
        <w:rPr>
          <w:rFonts w:ascii="Times New Roman" w:eastAsia="SimSun" w:hAnsi="Times New Roman"/>
          <w:sz w:val="24"/>
          <w:szCs w:val="24"/>
        </w:rPr>
        <w:t>NMO</w:t>
      </w:r>
      <w:bookmarkEnd w:id="258"/>
      <w:r w:rsidRPr="00AE47C6">
        <w:rPr>
          <w:rFonts w:ascii="Times New Roman" w:eastAsia="SimSun" w:hAnsi="Times New Roman"/>
          <w:sz w:val="24"/>
          <w:szCs w:val="24"/>
        </w:rPr>
        <w:t>SD</w:t>
      </w:r>
      <w:bookmarkEnd w:id="259"/>
      <w:r w:rsidRPr="00AE47C6">
        <w:rPr>
          <w:rFonts w:ascii="Times New Roman" w:eastAsia="SimSun" w:hAnsi="Times New Roman"/>
          <w:sz w:val="24"/>
          <w:szCs w:val="24"/>
        </w:rPr>
        <w:t xml:space="preserve"> (IPND). Оптичният невромиелит, описан за първи път преди повече от век, е автоимунно тежко възпалително демиелинизиращо заболяване на централната нервна система (ЦНС). Връзката между </w:t>
      </w:r>
      <w:bookmarkStart w:id="260" w:name="_Hlk124962508"/>
      <w:r w:rsidRPr="00AE47C6">
        <w:rPr>
          <w:rFonts w:ascii="Times New Roman" w:eastAsia="SimSun" w:hAnsi="Times New Roman"/>
          <w:sz w:val="24"/>
          <w:szCs w:val="24"/>
        </w:rPr>
        <w:t>NMO</w:t>
      </w:r>
      <w:bookmarkEnd w:id="260"/>
      <w:r w:rsidRPr="00AE47C6">
        <w:rPr>
          <w:rFonts w:ascii="Times New Roman" w:eastAsia="SimSun" w:hAnsi="Times New Roman"/>
          <w:sz w:val="24"/>
          <w:szCs w:val="24"/>
        </w:rPr>
        <w:t xml:space="preserve"> и множествена склероза (МС) е дебатирана дълго, но след разкриването на NMO-типичните aquaporin-4 антитела, се установи, че NMO има различни клинични, магнитнорезонансни, лабораторни и имунопатологични характеристики от МС. Така наречената азиатска оптико-спинална множествена склероза принадлежи към тази група, и вече не се счита за вариант на МС.</w:t>
      </w:r>
    </w:p>
    <w:p w14:paraId="35B5A1A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sz w:val="24"/>
          <w:szCs w:val="24"/>
        </w:rPr>
        <w:t>Болестността</w:t>
      </w:r>
      <w:r w:rsidRPr="00AE47C6">
        <w:rPr>
          <w:rFonts w:ascii="Times New Roman" w:eastAsia="SimSun" w:hAnsi="Times New Roman"/>
          <w:sz w:val="24"/>
          <w:szCs w:val="24"/>
        </w:rPr>
        <w:t xml:space="preserve"> варира от 0,52 до 4,4 на 100 000 души, много по-ниска от тази на множествената склероза. Общото разпространение на NMOSD за период от 1993 до 2013 г. се оценява на 1,82 на 100 000 души. Установява се при 1-2% от пациентите с погрешно поставена диагноза множествена склероза. Годишно по света един на 770 000 души се диагностицира със заболяването. NMOSD е рядко заболяване, чието разпространение в световен мащаб не е добре изяснено поради променящите се диагностични критерии, както и точността на серологичните диагностични тестове. </w:t>
      </w:r>
    </w:p>
    <w:p w14:paraId="14078A78" w14:textId="77777777" w:rsidR="00BE0B19" w:rsidRPr="00AE47C6" w:rsidRDefault="00BE0B19" w:rsidP="00BE0B19">
      <w:pPr>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sz w:val="24"/>
          <w:szCs w:val="24"/>
        </w:rPr>
        <w:t>Към 2020 г. приблизително 16131 души (0,003%) във всичките 28 държави на Европейския съюз са с поставена диагноза за NMOSD, като 46,2% са диагностицирани като AQP4-IgG серопозитивни.</w:t>
      </w:r>
    </w:p>
    <w:p w14:paraId="0057C84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Съотношението на заболяването между жени и мъже варира от 3:1 във Франция и 4,5:1 в Германия (47) до 10:1 в Япония. При NMOSD-AQP4 IgG серопозитивни, разпространението на заболяването сред женския пол е свързано с по-ранна възраст на проява на началните симптоми (41 г. вместо 48,7 г.), с по-често срещан оптичен неврит, като начален симптом (при 44% вместо 17%) и по-голяма честота на оптичен неврит годишно (0,27 вместо 0,08). Жените с NMOSD по-често боледуват от пристъпно-ремитентна форма в сравнение с мъжете, при които заболяването по-често протича монофазно. Съотношението жени към мъже е 40:8 при рецидивиращи NMOSD и съответно 11:12 при монофазен NMOSD. При непълнолетни (&lt;18 години), съотношението на заболяването между жени и мъже е 1:1. Хората от бялата раса се засягат по-рядко в сравнение с другите раси.</w:t>
      </w:r>
    </w:p>
    <w:p w14:paraId="42AC205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Към настоящия момент няма епидемиологични данни за честотата и разпространението на NMOSD в България.</w:t>
      </w:r>
    </w:p>
    <w:p w14:paraId="606198C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Етиологията</w:t>
      </w:r>
      <w:r w:rsidRPr="00AE47C6">
        <w:rPr>
          <w:rFonts w:ascii="Times New Roman" w:eastAsia="SimSun" w:hAnsi="Times New Roman"/>
          <w:sz w:val="24"/>
          <w:szCs w:val="24"/>
        </w:rPr>
        <w:t xml:space="preserve"> на NMOSD все още остава неизвестна.</w:t>
      </w:r>
    </w:p>
    <w:p w14:paraId="1B2FC79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i/>
          <w:iCs/>
          <w:sz w:val="24"/>
          <w:szCs w:val="24"/>
        </w:rPr>
        <w:t>Генетични фактори</w:t>
      </w:r>
      <w:r w:rsidRPr="00AE47C6">
        <w:rPr>
          <w:rFonts w:ascii="Times New Roman" w:eastAsia="SimSun" w:hAnsi="Times New Roman"/>
          <w:i/>
          <w:iCs/>
          <w:sz w:val="24"/>
          <w:szCs w:val="24"/>
        </w:rPr>
        <w:t>.</w:t>
      </w:r>
      <w:r w:rsidRPr="00AE47C6">
        <w:rPr>
          <w:rFonts w:ascii="Times New Roman" w:eastAsia="SimSun" w:hAnsi="Times New Roman"/>
          <w:sz w:val="24"/>
          <w:szCs w:val="24"/>
        </w:rPr>
        <w:t xml:space="preserve"> Рисковите гени за развитие на заболяването са HLA-DPBI (при японци) и HLA-DRBI. При европейците няма такава асоциация. При 95% от диагностицираните пациенти с NMOSD обаче, няма фамилна анамнеза на заболяването. При около 50% от случаите на NMOSD съществува фамилна анамнеза за наличието на друго автоимунно заболяване, различно от NMOSD, при член на семейството. Има връзка между NMOSD и синдром на Sjögren, lupus erythematosus (SLE) и тиреоидит. </w:t>
      </w:r>
    </w:p>
    <w:p w14:paraId="1309B56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i/>
          <w:iCs/>
          <w:sz w:val="24"/>
          <w:szCs w:val="24"/>
        </w:rPr>
        <w:t>Предходна остра инфекция</w:t>
      </w:r>
      <w:r w:rsidRPr="00AE47C6">
        <w:rPr>
          <w:rFonts w:ascii="Times New Roman" w:eastAsia="SimSun" w:hAnsi="Times New Roman"/>
          <w:sz w:val="24"/>
          <w:szCs w:val="24"/>
        </w:rPr>
        <w:t xml:space="preserve"> се установява при 15%-35% от пациентите с NMOSD. При тях NMOSD протича по-тежко с рецидивиращ ход и прогнозата им е по-лоша. Средно 25% от тях се възстановяват напълно. Въпреки това връзката е неясна и е необходимо допълнително проучване.</w:t>
      </w:r>
    </w:p>
    <w:p w14:paraId="7680919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sz w:val="24"/>
          <w:szCs w:val="24"/>
        </w:rPr>
        <w:t>Патогенезата</w:t>
      </w:r>
      <w:r w:rsidRPr="00AE47C6">
        <w:rPr>
          <w:rFonts w:ascii="Times New Roman" w:eastAsia="SimSun" w:hAnsi="Times New Roman"/>
          <w:sz w:val="24"/>
          <w:szCs w:val="24"/>
        </w:rPr>
        <w:t xml:space="preserve"> е свързана с хуморални нарушения и е различна от тази при МС, където имунните механизми са предимно клетъчни. Приема се за  В-клетъчно (антитяло) медиирана каналопати</w:t>
      </w:r>
      <w:bookmarkStart w:id="261" w:name="_Hlk124962145"/>
      <w:r w:rsidRPr="00AE47C6">
        <w:rPr>
          <w:rFonts w:ascii="Times New Roman" w:eastAsia="SimSun" w:hAnsi="Times New Roman"/>
          <w:sz w:val="24"/>
          <w:szCs w:val="24"/>
        </w:rPr>
        <w:t>я</w:t>
      </w:r>
      <w:bookmarkEnd w:id="261"/>
      <w:r w:rsidRPr="00AE47C6">
        <w:rPr>
          <w:rFonts w:ascii="Times New Roman" w:eastAsia="SimSun" w:hAnsi="Times New Roman"/>
          <w:sz w:val="24"/>
          <w:szCs w:val="24"/>
        </w:rPr>
        <w:t xml:space="preserve"> дължаща се на NMO-IgG автоантитела срещу антигена на водните канали </w:t>
      </w:r>
      <w:bookmarkStart w:id="262" w:name="_Hlk124962538"/>
      <w:r w:rsidRPr="00AE47C6">
        <w:rPr>
          <w:rFonts w:ascii="Times New Roman" w:eastAsia="SimSun" w:hAnsi="Times New Roman"/>
          <w:sz w:val="24"/>
          <w:szCs w:val="24"/>
        </w:rPr>
        <w:t xml:space="preserve">aquaporin-4 </w:t>
      </w:r>
      <w:bookmarkEnd w:id="262"/>
      <w:r w:rsidRPr="00AE47C6">
        <w:rPr>
          <w:rFonts w:ascii="Times New Roman" w:eastAsia="SimSun" w:hAnsi="Times New Roman"/>
          <w:sz w:val="24"/>
          <w:szCs w:val="24"/>
        </w:rPr>
        <w:t>(AQP4) при 70% от случаите AQP4 рецепторът е целевият антиген на NMO-IgG, който има пряка роля в патогенезата на NMOSD. Антителата разпознават екстрацелуларните епитопи на мембранния протеин AQP4. Възниква  активация на комплемента, инфилтрация с гранулоцити на ЦНС и клетъчно медиирана цитотоксичност. Aquaporin-4 е основният воден канал, свързан с хомеостазата на течностите в централната нервна система и допринася за интегритета на кръвно-мозъчната бариера. Локализацията на антигените е в астроцитите, разположени в съседство на капилярите, пията и пространствата на Virchow-Robin в перивентрикулните области, около спиналния канал, сивото спинално вещество, хипоталамуса, ствола и зрителният нерв. Голямата гъстота на  AQP4 антигените около III и IV вентрикул обяснява лезиите в зоната на по-гъстото локализиране на рецепторите и</w:t>
      </w:r>
      <w:r w:rsidRPr="00AE47C6">
        <w:rPr>
          <w:rFonts w:ascii="Times New Roman" w:eastAsia="SimSun" w:hAnsi="Times New Roman"/>
          <w:color w:val="FF0000"/>
          <w:sz w:val="24"/>
          <w:szCs w:val="24"/>
        </w:rPr>
        <w:t xml:space="preserve"> </w:t>
      </w:r>
      <w:r w:rsidRPr="00AE47C6">
        <w:rPr>
          <w:rFonts w:ascii="Times New Roman" w:eastAsia="SimSun" w:hAnsi="Times New Roman"/>
          <w:sz w:val="24"/>
          <w:szCs w:val="24"/>
        </w:rPr>
        <w:t xml:space="preserve">клиничните прояви с неповлияващи се гадене, повръщане и хълцане (area postrema синдром), както и хипоталамичните нарушения. Свързването на NMO-IgG с AQP4 предизвиква увреждане на астроцитите посредством антитяло зависима клетъчно медиирана цитотоксичност и активиране на комплементния път. Тези сигнализиращи пътища привличат възпалителни клетки, включително Т- и В-лимфоцити, макрофаги, неутрофили и еозинофили. Нарушава се AQP4 експресията, нараства пермеабилитетът на ендотелно-астроцитната бариера. Нарушава се водната хомеостаза и глутаматният транспорт. Увреждат се олигодендроцитите, настъпва демиелинизация и аксонна дегенерация. Не е ясно поради каква причина настъпва демиелинизация. </w:t>
      </w:r>
    </w:p>
    <w:p w14:paraId="3D5F67D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Нивата на интерлевкин 6 (IL6) са повишени. Той участва в диференцирането на нативните Т клетки в проинфламаторни Т17 хелперни клетки, които заедно с IL6 потенцират диференциацията на В клетките в AQP4-IgG-продуциращи плазмабласти. Патогенезата на NMOSD се свързва с функциите на IL6, които включват В-клетъчно активиране, диференциация на В-клетките до плазмобласти и производство на патологични автоантитела (срещу AQP4, протеин на водните канали, експресиран предимно от астроцитите в ЦНС), както и Th17-клетъчно активиране и диференциация, инхибиране на регулаторните Т-клетки, и промени в пропускливостта на кръвно-мозъчната бариера. </w:t>
      </w:r>
    </w:p>
    <w:p w14:paraId="102060B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Предполага се, че при AQP4-IgG серонегативен NMOSD съществуват и други основни патогенетични механизми, включително миелин олигодендроцитен гликопротеин имуноглобулин G (</w:t>
      </w:r>
      <w:bookmarkStart w:id="263" w:name="_Hlk124972747"/>
      <w:r w:rsidRPr="00AE47C6">
        <w:rPr>
          <w:rFonts w:ascii="Times New Roman" w:eastAsia="SimSun" w:hAnsi="Times New Roman"/>
          <w:sz w:val="24"/>
          <w:szCs w:val="24"/>
        </w:rPr>
        <w:t>MOG-IgG</w:t>
      </w:r>
      <w:bookmarkEnd w:id="263"/>
      <w:r w:rsidRPr="00AE47C6">
        <w:rPr>
          <w:rFonts w:ascii="Times New Roman" w:eastAsia="SimSun" w:hAnsi="Times New Roman"/>
          <w:sz w:val="24"/>
          <w:szCs w:val="24"/>
        </w:rPr>
        <w:t xml:space="preserve">). Той е идентифициран при 42% от пациентите с AQP4-IgG-серонегативен NMOSD и рядко се припокрива с AQP4-IgG-положителна експресия. </w:t>
      </w:r>
    </w:p>
    <w:p w14:paraId="452B986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Клинично </w:t>
      </w:r>
      <w:r w:rsidRPr="00AE47C6">
        <w:rPr>
          <w:rFonts w:ascii="Times New Roman" w:eastAsia="SimSun" w:hAnsi="Times New Roman"/>
          <w:sz w:val="24"/>
          <w:szCs w:val="24"/>
        </w:rPr>
        <w:t>началото на заболяването е 10 години по-късно от МС. Проявява се при деца и млади хора на възраст 33-46 години, но може да възникне и в старческа възраст (над 70 години). При 50% от пациентите се предшества от продроми, наподобяващи вирусно заболяване, което дава основание да се предполага, че се отключва от вирусна инфекция. Появата на неврологични симптоми може да се предшества от радикулерни болки и парестезии в долните крайници.</w:t>
      </w:r>
    </w:p>
    <w:p w14:paraId="3483C48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Протича с остро (за часове до дни) двустранно или едностранно засягане на зрителния нерв, папилит и последващ пълен и двустранен трансверзален миелит, със симптоми на спинален шок - тежка вяла параплегия, арефлексия и тазоворезервоарни нарушения поради атония на пикочния мехур. Спиналните симптоми може да са по-леки, асиметрични и да не са свързани с пълно прекъсване на напречника на гръбначния мозък.</w:t>
      </w:r>
      <w:r w:rsidRPr="00AE47C6">
        <w:rPr>
          <w:rFonts w:ascii="Times New Roman" w:eastAsia="SimSun" w:hAnsi="Times New Roman"/>
          <w:szCs w:val="24"/>
        </w:rPr>
        <w:t xml:space="preserve"> </w:t>
      </w:r>
      <w:r w:rsidRPr="00AE47C6">
        <w:rPr>
          <w:rFonts w:ascii="Times New Roman" w:eastAsia="SimSun" w:hAnsi="Times New Roman"/>
          <w:sz w:val="24"/>
          <w:szCs w:val="24"/>
        </w:rPr>
        <w:t xml:space="preserve">Оптичен неврит и трансверзален миелит се наблюдават и при други невродегенеративни заболявания. </w:t>
      </w:r>
    </w:p>
    <w:p w14:paraId="3E1624B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Миелитът може да асцендира към продълговатият мозък и да доведе до хълцане, дихателни нарушения и смърт, но след преминаване на острата фаза симптоматиката отшумява. Могат да се появят булбарни симптоми, засягане на лицевия нерв, тригеминална невралгия, офталмопареза, диплопия, вертиго, дизартрия, гадене, повръщане, нарколепсия, загуба на слуха, хемипареза, енцефалопатия, тремор и атаксия.</w:t>
      </w:r>
    </w:p>
    <w:p w14:paraId="728C300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В някои случаи, по-често при жени, миелитът може да се развие известно време (седмици до месеци) след неврита на зрителния нерв. Такова развитие предполага пристъпно-ремитентен ход на заболяването.</w:t>
      </w:r>
    </w:p>
    <w:p w14:paraId="071ADCA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Оптичният неврит е тежък, може да засегне едното или двете очи (симултанно или постепенно). По време на пристъпа степента на увреждане варира от замъглено зрение до тежка пълна слепота, но после зрението при 80% от пациентите се възвръща. При повтарящи се пристъпи обаче се натрупва дефицит на зрението. Над 50% от пациентите с NMOSD са с пълна слепота на едното око и 15% със слепота и на двете очи след 8 години. Оптичният  неврит засяга задната част на оптичния нерв, често засяга хиазмата.</w:t>
      </w:r>
    </w:p>
    <w:p w14:paraId="2C8EB19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При 10-15% от пациентите се появяват симптоми извън гръбначния мозък и зрителния нерв. Появява се симптомът на Lhermitte и пароксизмални тонични спазми. </w:t>
      </w:r>
    </w:p>
    <w:p w14:paraId="793F513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Заболяването е с типичен пристъпен ход. Пристъпите при NMOSD са по-тежки, в сравнение с МС и често вод</w:t>
      </w:r>
      <w:bookmarkStart w:id="264" w:name="_Hlk124973534"/>
      <w:r w:rsidRPr="00AE47C6">
        <w:rPr>
          <w:rFonts w:ascii="Times New Roman" w:eastAsia="SimSun" w:hAnsi="Times New Roman"/>
          <w:sz w:val="24"/>
          <w:szCs w:val="24"/>
        </w:rPr>
        <w:t>я</w:t>
      </w:r>
      <w:bookmarkEnd w:id="264"/>
      <w:r w:rsidRPr="00AE47C6">
        <w:rPr>
          <w:rFonts w:ascii="Times New Roman" w:eastAsia="SimSun" w:hAnsi="Times New Roman"/>
          <w:sz w:val="24"/>
          <w:szCs w:val="24"/>
        </w:rPr>
        <w:t>т до трайна инвалидизация и загуба на зрение. Вторично-прогресивния ход е изключително рядко срещан, за разлика от МС. При някои пациенти заболяването протича с чести пристъпи, последвани от ремисии, а при 2% от пациентите между пристъпите симптомите прогресивно се влошават.</w:t>
      </w:r>
    </w:p>
    <w:p w14:paraId="0D1C35CE" w14:textId="77777777" w:rsidR="00BE0B19" w:rsidRPr="00AE47C6" w:rsidRDefault="00BE0B19" w:rsidP="00BE0B19">
      <w:pPr>
        <w:spacing w:after="0" w:line="360" w:lineRule="auto"/>
        <w:ind w:firstLine="709"/>
        <w:jc w:val="both"/>
        <w:rPr>
          <w:rFonts w:ascii="Times New Roman" w:eastAsia="SimSun" w:hAnsi="Times New Roman"/>
          <w:b/>
          <w:color w:val="000000" w:themeColor="text1"/>
          <w:sz w:val="24"/>
          <w:szCs w:val="24"/>
          <w:u w:val="single"/>
        </w:rPr>
      </w:pPr>
      <w:r w:rsidRPr="00AE47C6">
        <w:rPr>
          <w:rFonts w:ascii="Times New Roman" w:eastAsia="SimSun" w:hAnsi="Times New Roman"/>
          <w:b/>
          <w:sz w:val="24"/>
          <w:szCs w:val="24"/>
        </w:rPr>
        <w:t>Лабораторни изследвания.</w:t>
      </w:r>
      <w:r w:rsidRPr="00AE47C6">
        <w:rPr>
          <w:rFonts w:ascii="Times New Roman" w:eastAsia="SimSun" w:hAnsi="Times New Roman"/>
          <w:sz w:val="24"/>
          <w:szCs w:val="24"/>
        </w:rPr>
        <w:t xml:space="preserve"> Пациентите трябва да бъдат тествани за серумни</w:t>
      </w:r>
      <w:r w:rsidRPr="00AE47C6">
        <w:rPr>
          <w:rFonts w:ascii="Times New Roman" w:eastAsia="SimSun" w:hAnsi="Times New Roman"/>
          <w:color w:val="FF0000"/>
          <w:sz w:val="24"/>
          <w:szCs w:val="24"/>
        </w:rPr>
        <w:t xml:space="preserve"> </w:t>
      </w:r>
      <w:r w:rsidRPr="00AE47C6">
        <w:rPr>
          <w:rFonts w:ascii="Times New Roman" w:eastAsia="SimSun" w:hAnsi="Times New Roman"/>
          <w:sz w:val="24"/>
          <w:szCs w:val="24"/>
        </w:rPr>
        <w:t>AQP4-IgG антитела. В идеалния случай, тестването трябва да се извършва по време на пристъпи и преди началото на имунотерапия, тъй като при имунотерапията серопозитивният статус може да премине в серонегативен. Пациентите, които първоначално са AQP4 антитяло серонегативни, трябва да бъдат тествани повторно, ако има подозрение за NMOSD</w:t>
      </w:r>
      <w:r w:rsidRPr="00AE47C6">
        <w:rPr>
          <w:rFonts w:ascii="Times New Roman" w:eastAsia="SimSun" w:hAnsi="Times New Roman"/>
          <w:color w:val="000000" w:themeColor="text1"/>
          <w:sz w:val="24"/>
          <w:szCs w:val="24"/>
        </w:rPr>
        <w:t>.</w:t>
      </w:r>
      <w:r w:rsidRPr="00AE47C6">
        <w:rPr>
          <w:rFonts w:ascii="Times New Roman" w:eastAsia="SimSun" w:hAnsi="Times New Roman"/>
          <w:iCs/>
          <w:color w:val="000000" w:themeColor="text1"/>
          <w:sz w:val="24"/>
          <w:szCs w:val="24"/>
        </w:rPr>
        <w:t xml:space="preserve"> Серумните тестове за наличието на AQP4-IgG са по-точни спрямо тези на ликвора и са достатъчни за поставянето на точна диагноза с NMOSD.</w:t>
      </w:r>
    </w:p>
    <w:p w14:paraId="0E48CC9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Серумното автоантитяло AQP4-IgG, известно още като NMO-IgG е специфичен биомаркер за NMOSD. AQP4 позитивни са около 70% от пациентите. </w:t>
      </w:r>
    </w:p>
    <w:p w14:paraId="19DCC16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При липса на серологични тестове за AQP4-IgG или при AQP4-IgG-серонегативни пациенти, диагнозата трябва да се прецизира. Необходимо е изследване на диференциална кръвна картина, коагулация, серумна биохимия, скорост на утаяване еритроцитите, кръвна захар, витамин В</w:t>
      </w:r>
      <w:r w:rsidRPr="00AE47C6">
        <w:rPr>
          <w:rFonts w:ascii="Times New Roman" w:eastAsia="SimSun" w:hAnsi="Times New Roman"/>
          <w:sz w:val="24"/>
          <w:szCs w:val="24"/>
          <w:vertAlign w:val="subscript"/>
        </w:rPr>
        <w:t>12</w:t>
      </w:r>
      <w:r w:rsidRPr="00AE47C6">
        <w:rPr>
          <w:rFonts w:ascii="Times New Roman" w:eastAsia="SimSun" w:hAnsi="Times New Roman"/>
          <w:sz w:val="24"/>
          <w:szCs w:val="24"/>
        </w:rPr>
        <w:t xml:space="preserve">, фолиева киселина, антитела, свързани с други неврологични и автоимунни демиелинизиращи заболявания, анализ на урина и утайка, хемаглутинация, както и анализ на паранеопластични антитела (по-специално анти-CV2/CRMP5). Въз основа на клиничната картина и резултатите от ликвор трябва да се извърши анализ за придобит дефицит на мед, който може да е резултат от стомашно-чревна операция, прекомерно поглъщане на цинк (напр. прекомерна употреба на крем за протези) и други причини. </w:t>
      </w:r>
    </w:p>
    <w:p w14:paraId="44F34C87" w14:textId="77777777" w:rsidR="00BE0B19" w:rsidRPr="00AE47C6" w:rsidRDefault="00BE0B19" w:rsidP="00BE0B19">
      <w:pPr>
        <w:spacing w:after="0" w:line="360" w:lineRule="auto"/>
        <w:ind w:firstLine="709"/>
        <w:jc w:val="both"/>
        <w:rPr>
          <w:rFonts w:ascii="Times New Roman" w:eastAsia="SimSun" w:hAnsi="Times New Roman"/>
          <w:b/>
          <w:sz w:val="24"/>
          <w:szCs w:val="24"/>
          <w:u w:val="single"/>
        </w:rPr>
      </w:pPr>
      <w:r w:rsidRPr="00AE47C6">
        <w:rPr>
          <w:rFonts w:ascii="Times New Roman" w:eastAsia="SimSun" w:hAnsi="Times New Roman"/>
          <w:sz w:val="24"/>
          <w:szCs w:val="24"/>
        </w:rPr>
        <w:t>Серонегативният NMOSD се различава от серопозитивния NMOSD по определени характеристики, включително еднакво съотношение мъже и жени и по-голяма вероятност от едновременен оптичен неврит и трансверзален миелит при дебют на болестта.</w:t>
      </w:r>
    </w:p>
    <w:p w14:paraId="44CBA9EA" w14:textId="77777777" w:rsidR="00BE0B19" w:rsidRPr="00AE47C6" w:rsidRDefault="00BE0B19" w:rsidP="00BE0B19">
      <w:pPr>
        <w:spacing w:after="0" w:line="360" w:lineRule="auto"/>
        <w:ind w:firstLine="709"/>
        <w:jc w:val="both"/>
        <w:rPr>
          <w:rFonts w:ascii="Times New Roman" w:eastAsia="SimSun" w:hAnsi="Times New Roman"/>
          <w:b/>
          <w:sz w:val="24"/>
          <w:szCs w:val="24"/>
          <w:u w:val="single"/>
        </w:rPr>
      </w:pPr>
      <w:r w:rsidRPr="00AE47C6">
        <w:rPr>
          <w:rFonts w:ascii="Times New Roman" w:eastAsia="SimSun" w:hAnsi="Times New Roman"/>
          <w:sz w:val="24"/>
          <w:szCs w:val="24"/>
        </w:rPr>
        <w:t>Серумни антитела срещу MOG (миелин олигодендроцитен гликопротеин) имат малка част от AQP4-серонегативни пациенти, предимно деца. Автоантителата на MOG дефинират припокриващ се клиничен синдром, известен като заболяване, свързано с миелиново олигодендроцитно гликопротеин антитяло (MOGAD), което често отговаря на клиничните критерии за NMOSD, но има някои разлики в характеристиките в сравнение със свързаното с AQP4 антитяло NMOSD, включително:</w:t>
      </w:r>
    </w:p>
    <w:p w14:paraId="54424BCD" w14:textId="77777777" w:rsidR="00BE0B19" w:rsidRPr="00AE47C6" w:rsidRDefault="00BE0B19" w:rsidP="00BE0B19">
      <w:pPr>
        <w:numPr>
          <w:ilvl w:val="0"/>
          <w:numId w:val="405"/>
        </w:num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sz w:val="24"/>
          <w:szCs w:val="24"/>
        </w:rPr>
        <w:t>По-вероятно е да се прояви едновременен двустранен оптичен неврит с оток на папилата при фундоскопско изследване.</w:t>
      </w:r>
    </w:p>
    <w:p w14:paraId="0E62D07E" w14:textId="77777777" w:rsidR="00BE0B19" w:rsidRPr="00AE47C6" w:rsidRDefault="00BE0B19" w:rsidP="00BE0B19">
      <w:pPr>
        <w:numPr>
          <w:ilvl w:val="0"/>
          <w:numId w:val="405"/>
        </w:num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sz w:val="24"/>
          <w:szCs w:val="24"/>
        </w:rPr>
        <w:t>По-вероятно е да бъде монофазен или да има по-малко рецидиви.</w:t>
      </w:r>
    </w:p>
    <w:p w14:paraId="7FE51D27" w14:textId="77777777" w:rsidR="00BE0B19" w:rsidRPr="00AE47C6" w:rsidRDefault="00BE0B19" w:rsidP="00BE0B19">
      <w:pPr>
        <w:numPr>
          <w:ilvl w:val="0"/>
          <w:numId w:val="405"/>
        </w:num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sz w:val="24"/>
          <w:szCs w:val="24"/>
        </w:rPr>
        <w:t>По-малко вероятно е да бъде свързано с други автоимунни заболявания.</w:t>
      </w:r>
    </w:p>
    <w:p w14:paraId="139C67E4" w14:textId="77777777" w:rsidR="00BE0B19" w:rsidRPr="00AE47C6" w:rsidRDefault="00BE0B19" w:rsidP="00BE0B19">
      <w:pPr>
        <w:numPr>
          <w:ilvl w:val="0"/>
          <w:numId w:val="405"/>
        </w:num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sz w:val="24"/>
          <w:szCs w:val="24"/>
        </w:rPr>
        <w:t>Пропорционално повече лезии на мозъчния ствол и малкия мозък и по-малко супратенториални лезии.</w:t>
      </w:r>
    </w:p>
    <w:p w14:paraId="724A6014" w14:textId="77777777" w:rsidR="00BE0B19" w:rsidRPr="00AE47C6" w:rsidRDefault="00BE0B19" w:rsidP="00BE0B19">
      <w:pPr>
        <w:numPr>
          <w:ilvl w:val="0"/>
          <w:numId w:val="405"/>
        </w:num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sz w:val="24"/>
          <w:szCs w:val="24"/>
        </w:rPr>
        <w:t>Лезиите на гръбначния мозък възникват главно в долната част на гръбначния мозък.</w:t>
      </w:r>
    </w:p>
    <w:p w14:paraId="2A54DFB2" w14:textId="77777777" w:rsidR="00BE0B19" w:rsidRPr="00AE47C6" w:rsidRDefault="00BE0B19" w:rsidP="00BE0B19">
      <w:pPr>
        <w:numPr>
          <w:ilvl w:val="0"/>
          <w:numId w:val="405"/>
        </w:num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sz w:val="24"/>
          <w:szCs w:val="24"/>
        </w:rPr>
        <w:t>Спектърът на заболяването включва остър дисеминиран енцефаломиелит (ADEM), особено при деца.</w:t>
      </w:r>
    </w:p>
    <w:p w14:paraId="15167008" w14:textId="77777777" w:rsidR="00BE0B19" w:rsidRPr="00AE47C6" w:rsidRDefault="00BE0B19" w:rsidP="00BE0B19">
      <w:pPr>
        <w:numPr>
          <w:ilvl w:val="0"/>
          <w:numId w:val="405"/>
        </w:numPr>
        <w:spacing w:after="0" w:line="360" w:lineRule="auto"/>
        <w:ind w:firstLine="709"/>
        <w:contextualSpacing/>
        <w:jc w:val="both"/>
        <w:rPr>
          <w:rFonts w:ascii="Times New Roman" w:eastAsia="SimSun" w:hAnsi="Times New Roman"/>
          <w:sz w:val="24"/>
          <w:szCs w:val="24"/>
        </w:rPr>
      </w:pPr>
      <w:r w:rsidRPr="00AE47C6">
        <w:rPr>
          <w:rFonts w:ascii="Times New Roman" w:eastAsia="SimSun" w:hAnsi="Times New Roman"/>
          <w:sz w:val="24"/>
          <w:szCs w:val="24"/>
        </w:rPr>
        <w:t>Съотношението мъже към жени е близо до 1:1, за разлика от преобладаването на жени в NMOSD с AQP4-IgG антитела.</w:t>
      </w:r>
    </w:p>
    <w:p w14:paraId="18D49782" w14:textId="77777777" w:rsidR="00BE0B19" w:rsidRPr="00AE47C6" w:rsidRDefault="00BE0B19" w:rsidP="00BE0B19">
      <w:pPr>
        <w:spacing w:after="0" w:line="360" w:lineRule="auto"/>
        <w:ind w:firstLine="709"/>
        <w:jc w:val="both"/>
        <w:rPr>
          <w:rFonts w:ascii="Times New Roman" w:eastAsia="SimSun" w:hAnsi="Times New Roman"/>
          <w:b/>
          <w:sz w:val="24"/>
          <w:szCs w:val="24"/>
          <w:u w:val="single"/>
        </w:rPr>
      </w:pPr>
      <w:r w:rsidRPr="00AE47C6">
        <w:rPr>
          <w:rFonts w:ascii="Times New Roman" w:eastAsia="SimSun" w:hAnsi="Times New Roman"/>
          <w:b/>
          <w:sz w:val="24"/>
          <w:szCs w:val="24"/>
          <w:u w:val="single"/>
        </w:rPr>
        <w:t>Клетъчните серумни анализи</w:t>
      </w:r>
      <w:r w:rsidRPr="00AE47C6">
        <w:rPr>
          <w:rFonts w:ascii="Times New Roman" w:eastAsia="SimSun" w:hAnsi="Times New Roman"/>
          <w:sz w:val="24"/>
          <w:szCs w:val="24"/>
        </w:rPr>
        <w:t xml:space="preserve"> все още не са широко достъпни.</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Консенсусът за диагностициране на NMOSD препоръчва клетъчни серумни анализи (микроскопия или откриване на базата на поточна цитометрия) за откриване на авто-AQP4-IgG антитела предвид високата чувствителност на методите (76,7% с 0,1% фалшиво положителен процент в кохорта на МС). </w:t>
      </w:r>
    </w:p>
    <w:p w14:paraId="2EC51D56" w14:textId="77777777" w:rsidR="00BE0B19" w:rsidRPr="00AE47C6" w:rsidRDefault="00BE0B19" w:rsidP="00BE0B19">
      <w:pPr>
        <w:spacing w:after="0" w:line="360" w:lineRule="auto"/>
        <w:ind w:firstLine="709"/>
        <w:jc w:val="both"/>
        <w:rPr>
          <w:rFonts w:ascii="Times New Roman" w:eastAsia="SimSun" w:hAnsi="Times New Roman"/>
          <w:b/>
          <w:sz w:val="24"/>
          <w:szCs w:val="24"/>
          <w:u w:val="single"/>
        </w:rPr>
      </w:pPr>
      <w:r w:rsidRPr="00AE47C6">
        <w:rPr>
          <w:rFonts w:ascii="Times New Roman" w:eastAsia="SimSun" w:hAnsi="Times New Roman"/>
          <w:b/>
          <w:sz w:val="24"/>
          <w:szCs w:val="24"/>
          <w:u w:val="single"/>
        </w:rPr>
        <w:t>Индиректните имунофлуоресцентни анализи и ензимно-свързан имуносорбентен анализ (ELISA)</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са по-достъпни методи за анализ на авто-AQP4-IgG антитела, но са с по-ниска чувствителност (63%-64%) и с по-висок индекс на фалшиво положителни резултати (0,5%-1,3% за ELISA).</w:t>
      </w:r>
    </w:p>
    <w:p w14:paraId="5B032E2E"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Анализът на цереброспиналната течност (CSF)</w:t>
      </w:r>
      <w:r w:rsidRPr="00AE47C6">
        <w:rPr>
          <w:rFonts w:ascii="Times New Roman" w:eastAsia="SimSun" w:hAnsi="Times New Roman"/>
          <w:sz w:val="24"/>
          <w:szCs w:val="24"/>
        </w:rPr>
        <w:t xml:space="preserve"> е полезен за да се разграничи NMOSD от множествена склероза, когато диагнозата е несигурна.</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При пациенти с типично представяне на NMOSD често не е необходима лумбална пункция за изследване на ликвор. Абнормности на цереброспиналната течност се откриват при повечето пациенти с NMOSD. Те засягат броя на имунните клетки, свързани с възпалителния процес, количеството на провъзпалителни протеини и олигоклоналните ивици (OCB). Плеоцитозата, характеризираща се с наличие на необичайно голям брой моноцити и лимфоцити в CSF се среща при 14–79% от пациентите. При 13-35% от тях броят на имунните клетки надвишава нормалните 50 клетки x10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L и в някои случаи достигат до 1000 клетки x 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L. Пациентите с LETM по-често имат плеоцитоза, отколкото пациентите с ON. При МС рядко има плеоцитоза с над 50 клетки x 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 xml:space="preserve">L. Повишени нива на провъзпалителни протеини са налице в 46–75% от случаите. Рядко (при 20-30%) за разлика от МС (над 90%) се установяват олигоклонални фракции, които могат да бъдат преходни за разлика от MС. </w:t>
      </w:r>
    </w:p>
    <w:p w14:paraId="240F6E8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Наличието на неврофиламенти също е показателно за NMOSD. Неврофиламентите се освобождават в ликвора след увреждане на аксоните, включително следствие на оптичен неврит. Нивата на тежките вериги (NfH) са значително по-високи в CSF при NMOSD, отколкото при пациенти с МС. Също така, количеството на глиалния фибриларен кисел протеин (GFAP) е значително по-високо в CSF на пациенти с NMOSD в сравнение с тези с МС, инфаркт на гръбначния мозък и остър дисеминиран енцефаломиелит (ADEM).</w:t>
      </w:r>
    </w:p>
    <w:p w14:paraId="7F11213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Анализът на CSF дава подкрепящи данни, които не са много чувствителни или специфични, за поставяне на диагноза NMOSD и трябва да бъде проведен по време или малко след остра атака. Данните за лимфомононуклеарна плеоцитоза с над 50 клетки x10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L, присъствие на неутрофили/еозинофили и липса на OCB в CSF могат да бъдат показателни, но не са специфични за NMOSD.</w:t>
      </w:r>
    </w:p>
    <w:p w14:paraId="4F351154"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Невроизобразяващите изследвания</w:t>
      </w:r>
      <w:r w:rsidRPr="00AE47C6">
        <w:rPr>
          <w:rFonts w:ascii="Times New Roman" w:eastAsia="SimSun" w:hAnsi="Times New Roman"/>
          <w:sz w:val="24"/>
          <w:szCs w:val="24"/>
        </w:rPr>
        <w:t xml:space="preserve"> магнитно-резонансна томография (задължително) и оптичната кохерентна томография  (препоръчително) са диагностични методи за NMOSD, особено при AQP4-IgG-серонегативни пациенти и при случаи, когато не са налични серологични AQP4-IgG тестове.</w:t>
      </w:r>
    </w:p>
    <w:p w14:paraId="41E69A35" w14:textId="77777777" w:rsidR="00BE0B19" w:rsidRPr="00AE47C6" w:rsidRDefault="00BE0B19" w:rsidP="00BE0B19">
      <w:pPr>
        <w:spacing w:after="0" w:line="360" w:lineRule="auto"/>
        <w:ind w:firstLine="709"/>
        <w:jc w:val="both"/>
        <w:rPr>
          <w:rFonts w:ascii="Times New Roman" w:eastAsia="SimSun" w:hAnsi="Times New Roman"/>
          <w:b/>
          <w:sz w:val="24"/>
          <w:szCs w:val="24"/>
          <w:u w:val="single"/>
        </w:rPr>
      </w:pPr>
      <w:r w:rsidRPr="00AE47C6">
        <w:rPr>
          <w:rFonts w:ascii="Times New Roman" w:eastAsia="SimSun" w:hAnsi="Times New Roman"/>
          <w:b/>
          <w:sz w:val="24"/>
          <w:szCs w:val="24"/>
          <w:u w:val="single"/>
        </w:rPr>
        <w:t>Магнитно-резонансна томография (МРТ)</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показва най-специфичната характеристика на NMOSD, която не се среща при пациенти с МС - наличието на LETM лезия (</w:t>
      </w:r>
      <w:r w:rsidRPr="00AE47C6">
        <w:rPr>
          <w:rFonts w:ascii="Times New Roman" w:eastAsia="SimSun" w:hAnsi="Times New Roman"/>
          <w:iCs/>
          <w:sz w:val="24"/>
          <w:szCs w:val="24"/>
        </w:rPr>
        <w:t xml:space="preserve">лонгитудинален екстензивен трансверзален </w:t>
      </w:r>
      <w:r w:rsidRPr="00AE47C6">
        <w:rPr>
          <w:rFonts w:ascii="Times New Roman" w:eastAsia="SimSun" w:hAnsi="Times New Roman"/>
          <w:sz w:val="24"/>
          <w:szCs w:val="24"/>
        </w:rPr>
        <w:t xml:space="preserve">миелит) на гръбначния мозък. Лезиите обикновено са в централното сиво вещество на гръбначния мозък и често достигат и увреждат мозъчния ствол. Засягат се предимно горните торакални и шийните (60%) сегменти. Дължината на лезията е пряко пропорционална на появата на рецидиви и тежестта на пристъпите на трансверзален миелит. Острите </w:t>
      </w:r>
      <w:r w:rsidRPr="00AE47C6">
        <w:rPr>
          <w:rFonts w:ascii="Times New Roman" w:eastAsia="SimSun" w:hAnsi="Times New Roman"/>
          <w:szCs w:val="24"/>
        </w:rPr>
        <w:t>Т</w:t>
      </w:r>
      <w:r w:rsidRPr="00AE47C6">
        <w:rPr>
          <w:rFonts w:ascii="Times New Roman" w:eastAsia="SimSun" w:hAnsi="Times New Roman"/>
          <w:szCs w:val="24"/>
          <w:vertAlign w:val="subscript"/>
        </w:rPr>
        <w:t>2</w:t>
      </w:r>
      <w:r w:rsidRPr="00AE47C6">
        <w:rPr>
          <w:rFonts w:ascii="Times New Roman" w:eastAsia="SimSun" w:hAnsi="Times New Roman"/>
          <w:szCs w:val="24"/>
        </w:rPr>
        <w:t xml:space="preserve"> </w:t>
      </w:r>
      <w:r w:rsidRPr="00AE47C6">
        <w:rPr>
          <w:rFonts w:ascii="Times New Roman" w:eastAsia="SimSun" w:hAnsi="Times New Roman"/>
          <w:sz w:val="24"/>
          <w:szCs w:val="24"/>
        </w:rPr>
        <w:t>лезии на гръбначния мозък заемат по-голямата част от напречното сечение на засегнатия сегмент и са с оток и Gd+ (установяват се дни до месеци след рецидив). Симптомът „око на бухал“ (</w:t>
      </w:r>
      <w:r w:rsidRPr="00AE47C6">
        <w:rPr>
          <w:rFonts w:ascii="Times New Roman" w:eastAsia="SimSun" w:hAnsi="Times New Roman"/>
          <w:sz w:val="24"/>
          <w:szCs w:val="24"/>
          <w:shd w:val="clear" w:color="auto" w:fill="FFFFFF"/>
        </w:rPr>
        <w:t>owl-eye</w:t>
      </w:r>
      <w:r w:rsidRPr="00AE47C6">
        <w:rPr>
          <w:rFonts w:ascii="Times New Roman" w:eastAsia="SimSun" w:hAnsi="Times New Roman"/>
          <w:sz w:val="24"/>
          <w:szCs w:val="24"/>
        </w:rPr>
        <w:t>) се дължи на хиперинтензитет на клетките на предния рог в гръбначното сиво вещество, което предполага исхемия на гръбначната артерия и може да се види при остро възпаление. В тежки случаи е налице кавитация. Понякога възпалението и отока на гръбначния мозък са толкова тежки, че лезията може да имитира тумор. Контрастирането на лезиите с гадолиний изчезва с лечението, а лезиите се редуцират по време на ремисия. С течение на времето може да се обособи значителна атрофия на гръбначния мозък.</w:t>
      </w:r>
    </w:p>
    <w:p w14:paraId="46B6C32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Лезиите на гръбначния мозък по-дълги от 3 гръбначни сегмента се срещат по-често при AQP4-IgG-серопозитивни пациенти. При лезии, по-къси от 3 гръбначни сегмента, прогнозата и отговорът на лечение с кортикостероиди са по-добри. Медуларните лезии се свързват с по-високи годишна честота на пристъпите (ARR) и EDSS резултати. Те, както и рецидиви на LETM са индикатори за тежък ход на заболяването и лоша прогноза. За сравнение, гръбначните лезии при МС са с дължина на един или по-малко от един гръбначен сегмент и предимно обхващат бялото вещество. Въпреки че LETM е характерен за NMOSD, 7%–14% от първоначалните и 8% от последващи пристъпи на трансверзален миелит при AQP4-IgG-серопозитивни пациенти не отговарят на определението LETM. В ранни фази или в ремисията на заболяването лезиите могат да не обхващат 3 гръбначни сегмента. В допълнение, МРТ LETM модел може да се появи и при пациенти с инфекциозни, грануломатозни, неопластични и паранеопластични заболявания, с остро дисеминиран енцефаломиелит (ADEM), инфаркт на гръбначния мозък или дурална артериовенозна фистула. Поради това, само наличието на LETM не е достатъчно доказателство за NMOSD.</w:t>
      </w:r>
    </w:p>
    <w:p w14:paraId="6C69E8E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МРТ на главния мозък е нормален при 55 до 84% от пациентите с NMOSD или показва 2-3 нетипични лезии в бялото мозъчно вещество, които не отговарят на критериите за множествена склероза. Отличителен маркер при остър ON (94%) е усилване с gadolinium на оптичните нерви или лезии по оптичния нерв, които обхващат половината му дължина. МРТ лезията достига до chiasma opticum. При 60% от пациентите с лезии в бялото вещество обаче, NMOSD не е категорична диагноза. </w:t>
      </w:r>
    </w:p>
    <w:p w14:paraId="36193DD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С времето, МРТ данни за засягане на мозъка се установява при до 85% от пациентите с NMOSD. Лезии се установяват в ствола, централната медула, хипоталамуса, таламуса, диенцефалона и около III и IV вентрикул, съответстващи на области с висока експресия на AQP4. Може да има големи лезии в мозъчните хемисфери и в подкоровото бяло мозъчно вещество. Тези лезии понякога отговарят на диагностичните критерии за МС за разпространение в пространството. Лезиите на кортикоспиналния тракт също предполагат NMO.</w:t>
      </w:r>
    </w:p>
    <w:p w14:paraId="01670DA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Последователностите за възстановяване на инверсия с short-tau (STIR) осигуряват потискане на мазнините, което е благоприятно за оценка на зрителния нерв. Използвайки STIR последователности, повишен интензитет на сигнала при Т</w:t>
      </w:r>
      <w:r w:rsidRPr="00AE47C6">
        <w:rPr>
          <w:rFonts w:ascii="Times New Roman" w:eastAsia="SimSun" w:hAnsi="Times New Roman"/>
          <w:sz w:val="24"/>
          <w:szCs w:val="24"/>
          <w:vertAlign w:val="subscript"/>
        </w:rPr>
        <w:t>2</w:t>
      </w:r>
      <w:r w:rsidRPr="00AE47C6">
        <w:rPr>
          <w:rFonts w:ascii="Times New Roman" w:eastAsia="SimSun" w:hAnsi="Times New Roman"/>
          <w:sz w:val="24"/>
          <w:szCs w:val="24"/>
        </w:rPr>
        <w:t xml:space="preserve"> сканирания на оптичния нерв се отчита при 84% от случаите на остър ON и при 20% по време на ремисия. Нарушаването на кръвно-мозъчната бариера води до повишаване на gadolinium върху Т</w:t>
      </w:r>
      <w:r w:rsidRPr="00AE47C6">
        <w:rPr>
          <w:rFonts w:ascii="Times New Roman" w:eastAsia="SimSun" w:hAnsi="Times New Roman"/>
          <w:sz w:val="24"/>
          <w:szCs w:val="24"/>
          <w:vertAlign w:val="subscript"/>
        </w:rPr>
        <w:t>1</w:t>
      </w:r>
      <w:r w:rsidRPr="00AE47C6">
        <w:rPr>
          <w:rFonts w:ascii="Times New Roman" w:eastAsia="SimSun" w:hAnsi="Times New Roman"/>
          <w:sz w:val="24"/>
          <w:szCs w:val="24"/>
        </w:rPr>
        <w:t xml:space="preserve"> spin-echo последователности. </w:t>
      </w:r>
    </w:p>
    <w:p w14:paraId="69833BEB" w14:textId="77777777" w:rsidR="00BE0B19" w:rsidRPr="00AE47C6" w:rsidRDefault="00BE0B19" w:rsidP="00BE0B19">
      <w:pPr>
        <w:spacing w:after="0" w:line="360" w:lineRule="auto"/>
        <w:ind w:firstLine="709"/>
        <w:jc w:val="both"/>
        <w:rPr>
          <w:rFonts w:ascii="Times New Roman" w:eastAsia="SimSun" w:hAnsi="Times New Roman"/>
          <w:b/>
          <w:sz w:val="24"/>
          <w:szCs w:val="24"/>
          <w:u w:val="single"/>
        </w:rPr>
      </w:pPr>
      <w:r w:rsidRPr="00AE47C6">
        <w:rPr>
          <w:rFonts w:ascii="Times New Roman" w:eastAsia="SimSun" w:hAnsi="Times New Roman"/>
          <w:b/>
          <w:sz w:val="24"/>
          <w:szCs w:val="24"/>
          <w:u w:val="single"/>
        </w:rPr>
        <w:t xml:space="preserve">Оптичната кохерентна томография (OCT) </w:t>
      </w:r>
      <w:r w:rsidRPr="00AE47C6">
        <w:rPr>
          <w:rFonts w:ascii="Times New Roman" w:eastAsia="SimSun" w:hAnsi="Times New Roman"/>
          <w:sz w:val="24"/>
          <w:szCs w:val="24"/>
        </w:rPr>
        <w:t>е бърза и неинвазивна техника за изобразяване на немиелинизирани аксони на ЦНС в ретината (нервните влакна на ретината, RNFL). Увреждането на ретината е често срещано при NMOSD и се характеризира главно с намаляване на дебелината на слоя на нервните влакна на ретината. При пациенти с NMOSD има значителна загуба на RNFL, особено в активния стадий на заболяването. Не е ясно дали тези патологични промени могат да бъдат свързани с риск от рецидив. Полезността на оптичната кохерентна томография като диагностичен инструмент не е добре установена.</w:t>
      </w:r>
    </w:p>
    <w:p w14:paraId="6A9EA36D"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Електрофизиологичните изследвания</w:t>
      </w:r>
      <w:r w:rsidRPr="00AE47C6">
        <w:rPr>
          <w:rFonts w:ascii="Times New Roman" w:eastAsia="SimSun" w:hAnsi="Times New Roman"/>
          <w:sz w:val="24"/>
          <w:szCs w:val="24"/>
        </w:rPr>
        <w:t xml:space="preserve"> (зрителни, соматосензорни, моторни и слухови евокирани потенциали на мозъчния ствол) са полезни при NMOSD.</w:t>
      </w:r>
    </w:p>
    <w:p w14:paraId="62F077F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Зрителните евокирани потенциали</w:t>
      </w:r>
      <w:r w:rsidRPr="00AE47C6">
        <w:rPr>
          <w:rFonts w:ascii="Times New Roman" w:eastAsia="SimSun" w:hAnsi="Times New Roman"/>
          <w:sz w:val="24"/>
          <w:szCs w:val="24"/>
        </w:rPr>
        <w:t xml:space="preserve"> често се променят при NMOSD. Установени са удължени латентности на P100 при около 40% и намалени амплитуди или липсващи потенциали при около 25% от тях. </w:t>
      </w:r>
      <w:r w:rsidRPr="00AE47C6">
        <w:rPr>
          <w:rFonts w:ascii="Times New Roman" w:eastAsia="SimSun" w:hAnsi="Times New Roman"/>
          <w:i/>
          <w:iCs/>
          <w:sz w:val="24"/>
          <w:szCs w:val="24"/>
        </w:rPr>
        <w:t>Соматосензорните евокирани потенциали</w:t>
      </w:r>
      <w:r w:rsidRPr="00AE47C6">
        <w:rPr>
          <w:rFonts w:ascii="Times New Roman" w:eastAsia="SimSun" w:hAnsi="Times New Roman"/>
          <w:sz w:val="24"/>
          <w:szCs w:val="24"/>
        </w:rPr>
        <w:t xml:space="preserve"> се отчитат като нетипични при 86% от случаите, зрителни евокирани потенциали - при 83%, а </w:t>
      </w:r>
      <w:r w:rsidRPr="00AE47C6">
        <w:rPr>
          <w:rFonts w:ascii="Times New Roman" w:eastAsia="SimSun" w:hAnsi="Times New Roman"/>
          <w:i/>
          <w:iCs/>
          <w:sz w:val="24"/>
          <w:szCs w:val="24"/>
        </w:rPr>
        <w:t>моторните</w:t>
      </w:r>
      <w:r w:rsidRPr="00AE47C6">
        <w:rPr>
          <w:rFonts w:ascii="Times New Roman" w:eastAsia="SimSun" w:hAnsi="Times New Roman"/>
          <w:sz w:val="24"/>
          <w:szCs w:val="24"/>
        </w:rPr>
        <w:t xml:space="preserve"> - при 37%. Аномалиите на </w:t>
      </w:r>
      <w:r w:rsidRPr="00AE47C6">
        <w:rPr>
          <w:rFonts w:ascii="Times New Roman" w:eastAsia="SimSun" w:hAnsi="Times New Roman"/>
          <w:i/>
          <w:iCs/>
          <w:sz w:val="24"/>
          <w:szCs w:val="24"/>
        </w:rPr>
        <w:t>слуховите евокирани потенциали</w:t>
      </w:r>
      <w:r w:rsidRPr="00AE47C6">
        <w:rPr>
          <w:rFonts w:ascii="Times New Roman" w:eastAsia="SimSun" w:hAnsi="Times New Roman"/>
          <w:sz w:val="24"/>
          <w:szCs w:val="24"/>
        </w:rPr>
        <w:t xml:space="preserve"> на мозъчния ствол са по-чести при хората от африкански произход спрямо пациенти от други етнически групи (78% спрямо 29%).</w:t>
      </w:r>
    </w:p>
    <w:p w14:paraId="3E374A19" w14:textId="77777777" w:rsidR="00BE0B19" w:rsidRPr="00AE47C6" w:rsidRDefault="00BE0B19" w:rsidP="00BE0B19">
      <w:pPr>
        <w:spacing w:after="0" w:line="360" w:lineRule="auto"/>
        <w:ind w:firstLine="709"/>
        <w:jc w:val="both"/>
        <w:rPr>
          <w:rFonts w:ascii="Times New Roman" w:eastAsia="SimSun" w:hAnsi="Times New Roman"/>
          <w:sz w:val="24"/>
          <w:szCs w:val="24"/>
          <w:u w:val="single"/>
        </w:rPr>
      </w:pPr>
      <w:r w:rsidRPr="00AE47C6">
        <w:rPr>
          <w:rFonts w:ascii="Times New Roman" w:eastAsia="Garamond" w:hAnsi="Times New Roman"/>
          <w:b/>
          <w:color w:val="000000"/>
          <w:sz w:val="24"/>
          <w:szCs w:val="24"/>
        </w:rPr>
        <w:t>Диагнозата</w:t>
      </w:r>
      <w:r w:rsidRPr="00AE47C6">
        <w:rPr>
          <w:rFonts w:ascii="Times New Roman" w:eastAsia="SimSun" w:hAnsi="Times New Roman"/>
          <w:sz w:val="24"/>
          <w:szCs w:val="24"/>
        </w:rPr>
        <w:t xml:space="preserve"> се базира на диагностични критерии. </w:t>
      </w:r>
      <w:r w:rsidRPr="00AE47C6">
        <w:rPr>
          <w:rFonts w:ascii="Times New Roman" w:eastAsia="SimSun" w:hAnsi="Times New Roman"/>
          <w:color w:val="000000" w:themeColor="text1"/>
          <w:sz w:val="24"/>
          <w:szCs w:val="24"/>
        </w:rPr>
        <w:t>През 2015г. международен панел ревизира съществуващите диагностични критерии (</w:t>
      </w:r>
      <w:r w:rsidRPr="00AE47C6">
        <w:rPr>
          <w:rFonts w:ascii="Times New Roman" w:eastAsia="SimSun" w:hAnsi="Times New Roman"/>
          <w:iCs/>
          <w:color w:val="000000" w:themeColor="text1"/>
          <w:sz w:val="24"/>
          <w:szCs w:val="24"/>
        </w:rPr>
        <w:t>IPND</w:t>
      </w:r>
      <w:r w:rsidRPr="00AE47C6">
        <w:rPr>
          <w:rFonts w:ascii="Times New Roman" w:eastAsia="SimSun" w:hAnsi="Times New Roman"/>
          <w:color w:val="000000" w:themeColor="text1"/>
          <w:sz w:val="24"/>
          <w:szCs w:val="24"/>
        </w:rPr>
        <w:t xml:space="preserve">) и официално бе обозначен като NMOSD -  обединяващ термин за целия клиничен спектър на изразяване на болестта. </w:t>
      </w:r>
      <w:r w:rsidRPr="00AE47C6">
        <w:rPr>
          <w:rFonts w:ascii="Times New Roman" w:eastAsia="SimSun" w:hAnsi="Times New Roman"/>
          <w:sz w:val="24"/>
          <w:szCs w:val="24"/>
        </w:rPr>
        <w:t>О</w:t>
      </w:r>
      <w:r w:rsidRPr="00AE47C6">
        <w:rPr>
          <w:rFonts w:ascii="Times New Roman" w:eastAsia="SimSun" w:hAnsi="Times New Roman"/>
          <w:bCs/>
          <w:sz w:val="24"/>
          <w:szCs w:val="24"/>
        </w:rPr>
        <w:t>тличителен маркер за диагнозата на NMOSD</w:t>
      </w:r>
      <w:r w:rsidRPr="00AE47C6">
        <w:rPr>
          <w:rFonts w:ascii="Times New Roman" w:eastAsia="SimSun" w:hAnsi="Times New Roman"/>
          <w:sz w:val="24"/>
          <w:szCs w:val="24"/>
        </w:rPr>
        <w:t xml:space="preserve">, който не се открива при други автоимунни заболявания с подобна клинична картина, </w:t>
      </w:r>
      <w:r w:rsidRPr="00AE47C6">
        <w:rPr>
          <w:rFonts w:ascii="Times New Roman" w:eastAsia="SimSun" w:hAnsi="Times New Roman"/>
          <w:bCs/>
          <w:sz w:val="24"/>
          <w:szCs w:val="24"/>
        </w:rPr>
        <w:t>е наличието на автоантитела срещу AQP4</w:t>
      </w:r>
      <w:r w:rsidRPr="00AE47C6">
        <w:rPr>
          <w:rFonts w:ascii="Times New Roman" w:eastAsia="SimSun" w:hAnsi="Times New Roman"/>
          <w:sz w:val="24"/>
          <w:szCs w:val="24"/>
        </w:rPr>
        <w:t>. Въпреки диагностичните критерии, пациентите все още често първоначално биват диагностицирани като МС. Забавянето на точната диагноза крие риск от тежки рецидиви. Освен това приложението на някои имуномодулиращи терапии за МС може да доведе до влошаване при AQP4-IgG серопозитивни пациенти с NMOSD.</w:t>
      </w:r>
      <w:r w:rsidRPr="00AE47C6">
        <w:rPr>
          <w:rFonts w:ascii="Times New Roman" w:eastAsia="SimSun" w:hAnsi="Times New Roman"/>
          <w:sz w:val="24"/>
          <w:szCs w:val="24"/>
          <w:u w:val="single"/>
        </w:rPr>
        <w:t xml:space="preserve"> </w:t>
      </w:r>
    </w:p>
    <w:p w14:paraId="6A22753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Международният панел за диагностика на NMOSD адаптира клиничните диагностични критерии, като стратифицира NMOSD по серологичен статус, т.е. с или без наличието на AQP4-IgG. Диагностичните критерии при AQP4-IgG серонегативни пациенти включват </w:t>
      </w:r>
      <w:r w:rsidRPr="00AE47C6">
        <w:rPr>
          <w:rFonts w:ascii="Times New Roman" w:eastAsia="SimSun" w:hAnsi="Times New Roman"/>
          <w:color w:val="000000" w:themeColor="text1"/>
          <w:sz w:val="24"/>
          <w:szCs w:val="24"/>
        </w:rPr>
        <w:t xml:space="preserve">по-строги клинични и образни изследвания. При двете популации пациенти, независимо от </w:t>
      </w:r>
      <w:r w:rsidRPr="00AE47C6">
        <w:rPr>
          <w:rFonts w:ascii="Times New Roman" w:eastAsia="SimSun" w:hAnsi="Times New Roman"/>
          <w:sz w:val="24"/>
          <w:szCs w:val="24"/>
        </w:rPr>
        <w:t xml:space="preserve">наличието или липсата на автоантитела, клиничната оценка остава ключова. </w:t>
      </w:r>
    </w:p>
    <w:p w14:paraId="46F80B3C" w14:textId="77777777" w:rsidR="00BE0B19" w:rsidRPr="00AE47C6" w:rsidRDefault="00BE0B19" w:rsidP="00BE0B19">
      <w:pPr>
        <w:spacing w:after="0" w:line="360" w:lineRule="auto"/>
        <w:ind w:firstLine="709"/>
        <w:jc w:val="both"/>
        <w:rPr>
          <w:rFonts w:ascii="Times New Roman" w:eastAsia="SimSun" w:hAnsi="Times New Roman"/>
          <w:sz w:val="24"/>
          <w:szCs w:val="24"/>
        </w:rPr>
      </w:pPr>
    </w:p>
    <w:p w14:paraId="34D3DC7B" w14:textId="77777777" w:rsidR="00BE0B19" w:rsidRPr="00AE47C6" w:rsidRDefault="00BE0B19" w:rsidP="00BE0B19">
      <w:pPr>
        <w:widowControl w:val="0"/>
        <w:suppressLineNumbers/>
        <w:suppressAutoHyphens/>
        <w:spacing w:before="120" w:after="0" w:line="240" w:lineRule="auto"/>
        <w:ind w:firstLine="709"/>
        <w:jc w:val="center"/>
        <w:rPr>
          <w:rFonts w:ascii="Times New Roman" w:eastAsia="MS Mincho" w:hAnsi="Times New Roman"/>
          <w:i/>
          <w:iCs/>
          <w:sz w:val="24"/>
          <w:szCs w:val="24"/>
          <w:lang w:eastAsia="ar-SA"/>
        </w:rPr>
      </w:pPr>
      <w:bookmarkStart w:id="265" w:name="_Ref80708335"/>
      <w:r w:rsidRPr="00AE47C6">
        <w:rPr>
          <w:rFonts w:ascii="Times New Roman" w:eastAsia="MS Mincho" w:hAnsi="Times New Roman"/>
          <w:i/>
          <w:iCs/>
          <w:sz w:val="24"/>
          <w:szCs w:val="24"/>
          <w:lang w:eastAsia="ar-SA"/>
        </w:rPr>
        <w:t>Диагностични критерии за NMOSD при възрастни пациенти със или без AQP4-IgG</w:t>
      </w:r>
      <w:bookmarkEnd w:id="265"/>
    </w:p>
    <w:tbl>
      <w:tblPr>
        <w:tblStyle w:val="TableGrid2"/>
        <w:tblpPr w:leftFromText="141" w:rightFromText="141" w:vertAnchor="text" w:horzAnchor="margin" w:tblpY="43"/>
        <w:tblW w:w="9634" w:type="dxa"/>
        <w:tblLook w:val="04A0" w:firstRow="1" w:lastRow="0" w:firstColumn="1" w:lastColumn="0" w:noHBand="0" w:noVBand="1"/>
      </w:tblPr>
      <w:tblGrid>
        <w:gridCol w:w="9634"/>
      </w:tblGrid>
      <w:tr w:rsidR="00BE0B19" w:rsidRPr="00AE47C6" w14:paraId="6F83BD8D" w14:textId="77777777" w:rsidTr="00AD72E5">
        <w:tc>
          <w:tcPr>
            <w:tcW w:w="9634" w:type="dxa"/>
          </w:tcPr>
          <w:p w14:paraId="3EBE32CD" w14:textId="77777777" w:rsidR="00BE0B19" w:rsidRPr="00AE47C6" w:rsidRDefault="00BE0B19" w:rsidP="00BE0B19">
            <w:pPr>
              <w:keepNext/>
              <w:shd w:val="clear" w:color="auto" w:fill="E8E4E7"/>
              <w:autoSpaceDE w:val="0"/>
              <w:autoSpaceDN w:val="0"/>
              <w:adjustRightInd w:val="0"/>
              <w:spacing w:after="0" w:line="360" w:lineRule="auto"/>
              <w:ind w:firstLine="709"/>
              <w:contextualSpacing/>
              <w:jc w:val="center"/>
              <w:rPr>
                <w:rFonts w:ascii="Times New Roman" w:hAnsi="Times New Roman"/>
                <w:b/>
                <w:bCs/>
                <w:sz w:val="24"/>
                <w:szCs w:val="24"/>
              </w:rPr>
            </w:pPr>
            <w:r w:rsidRPr="00AE47C6">
              <w:rPr>
                <w:rFonts w:ascii="Times New Roman" w:hAnsi="Times New Roman"/>
                <w:b/>
                <w:bCs/>
                <w:sz w:val="24"/>
                <w:szCs w:val="24"/>
              </w:rPr>
              <w:t>Диагностични критерии за NMOSD с AQP4-IgG</w:t>
            </w:r>
          </w:p>
          <w:p w14:paraId="21AFAD54" w14:textId="77777777" w:rsidR="00BE0B19" w:rsidRPr="00AE47C6" w:rsidRDefault="00BE0B19" w:rsidP="00BE0B19">
            <w:pPr>
              <w:keepNext/>
              <w:numPr>
                <w:ilvl w:val="0"/>
                <w:numId w:val="406"/>
              </w:numPr>
              <w:autoSpaceDE w:val="0"/>
              <w:autoSpaceDN w:val="0"/>
              <w:adjustRightInd w:val="0"/>
              <w:spacing w:after="0" w:line="360" w:lineRule="auto"/>
              <w:ind w:firstLine="709"/>
              <w:contextualSpacing/>
              <w:jc w:val="both"/>
              <w:rPr>
                <w:rFonts w:ascii="Times New Roman" w:hAnsi="Times New Roman"/>
                <w:sz w:val="24"/>
                <w:szCs w:val="24"/>
              </w:rPr>
            </w:pPr>
            <w:r w:rsidRPr="00AE47C6">
              <w:rPr>
                <w:rFonts w:ascii="Times New Roman" w:hAnsi="Times New Roman"/>
                <w:sz w:val="24"/>
                <w:szCs w:val="24"/>
              </w:rPr>
              <w:t xml:space="preserve">Най-малко една основна клинична характеристика </w:t>
            </w:r>
          </w:p>
          <w:p w14:paraId="6B993499" w14:textId="77777777" w:rsidR="00BE0B19" w:rsidRPr="00AE47C6" w:rsidRDefault="00BE0B19" w:rsidP="00BE0B19">
            <w:pPr>
              <w:keepNext/>
              <w:numPr>
                <w:ilvl w:val="0"/>
                <w:numId w:val="406"/>
              </w:numPr>
              <w:autoSpaceDE w:val="0"/>
              <w:autoSpaceDN w:val="0"/>
              <w:adjustRightInd w:val="0"/>
              <w:spacing w:after="0" w:line="360" w:lineRule="auto"/>
              <w:ind w:firstLine="709"/>
              <w:contextualSpacing/>
              <w:jc w:val="both"/>
              <w:rPr>
                <w:rFonts w:ascii="Times New Roman" w:hAnsi="Times New Roman"/>
                <w:sz w:val="24"/>
                <w:szCs w:val="24"/>
              </w:rPr>
            </w:pPr>
            <w:r w:rsidRPr="00AE47C6">
              <w:rPr>
                <w:rFonts w:ascii="Times New Roman" w:hAnsi="Times New Roman"/>
                <w:sz w:val="24"/>
                <w:szCs w:val="24"/>
              </w:rPr>
              <w:t xml:space="preserve">Положителен тест за AQP4-IgG, използващ най-добрия наличен метод за откриване (силно се препоръчва анализ на базата на клетки, </w:t>
            </w:r>
            <w:r w:rsidRPr="00AE47C6">
              <w:rPr>
                <w:rFonts w:ascii="Times New Roman" w:hAnsi="Times New Roman"/>
                <w:iCs/>
                <w:color w:val="FF0000"/>
                <w:sz w:val="24"/>
                <w:szCs w:val="24"/>
              </w:rPr>
              <w:t xml:space="preserve"> </w:t>
            </w:r>
            <w:r w:rsidRPr="00AE47C6">
              <w:rPr>
                <w:rFonts w:ascii="Times New Roman" w:hAnsi="Times New Roman"/>
                <w:iCs/>
                <w:color w:val="000000" w:themeColor="text1"/>
                <w:sz w:val="24"/>
                <w:szCs w:val="24"/>
              </w:rPr>
              <w:t>поради високата чувствителност (</w:t>
            </w:r>
            <w:r w:rsidRPr="00AE47C6">
              <w:rPr>
                <w:rFonts w:ascii="Cambria Math" w:hAnsi="Cambria Math" w:cs="Cambria Math"/>
                <w:iCs/>
                <w:color w:val="000000" w:themeColor="text1"/>
                <w:sz w:val="24"/>
                <w:szCs w:val="24"/>
              </w:rPr>
              <w:t>∼</w:t>
            </w:r>
            <w:r w:rsidRPr="00AE47C6">
              <w:rPr>
                <w:rFonts w:ascii="Times New Roman" w:hAnsi="Times New Roman"/>
                <w:iCs/>
                <w:color w:val="000000" w:themeColor="text1"/>
                <w:sz w:val="24"/>
                <w:szCs w:val="24"/>
              </w:rPr>
              <w:t xml:space="preserve">75%) и </w:t>
            </w:r>
            <w:r w:rsidRPr="00AE47C6">
              <w:rPr>
                <w:rFonts w:ascii="Times New Roman" w:hAnsi="Times New Roman"/>
                <w:color w:val="000000" w:themeColor="text1"/>
                <w:sz w:val="24"/>
                <w:szCs w:val="24"/>
              </w:rPr>
              <w:t>специфичност</w:t>
            </w:r>
            <w:r w:rsidRPr="00AE47C6">
              <w:rPr>
                <w:rFonts w:ascii="Times New Roman" w:hAnsi="Times New Roman"/>
                <w:iCs/>
                <w:color w:val="000000" w:themeColor="text1"/>
                <w:sz w:val="24"/>
                <w:szCs w:val="24"/>
              </w:rPr>
              <w:t xml:space="preserve"> (95%-100%) спрямо ензимно-свързаните имуносорбентни анализи</w:t>
            </w:r>
            <w:r w:rsidRPr="00AE47C6">
              <w:rPr>
                <w:rFonts w:ascii="Times New Roman" w:hAnsi="Times New Roman"/>
                <w:color w:val="000000" w:themeColor="text1"/>
                <w:sz w:val="24"/>
                <w:szCs w:val="24"/>
              </w:rPr>
              <w:t>)</w:t>
            </w:r>
          </w:p>
        </w:tc>
      </w:tr>
      <w:tr w:rsidR="00BE0B19" w:rsidRPr="00AE47C6" w14:paraId="22FE5B80" w14:textId="77777777" w:rsidTr="00AD72E5">
        <w:tc>
          <w:tcPr>
            <w:tcW w:w="9634" w:type="dxa"/>
          </w:tcPr>
          <w:p w14:paraId="2C0BC0B0" w14:textId="77777777" w:rsidR="00BE0B19" w:rsidRPr="00AE47C6" w:rsidRDefault="00BE0B19" w:rsidP="00BE0B19">
            <w:pPr>
              <w:keepNext/>
              <w:shd w:val="clear" w:color="auto" w:fill="E8E4E7"/>
              <w:spacing w:after="0" w:line="360" w:lineRule="auto"/>
              <w:ind w:firstLine="709"/>
              <w:contextualSpacing/>
              <w:jc w:val="center"/>
              <w:rPr>
                <w:rFonts w:ascii="Times New Roman" w:hAnsi="Times New Roman"/>
                <w:b/>
                <w:bCs/>
                <w:sz w:val="24"/>
                <w:szCs w:val="24"/>
              </w:rPr>
            </w:pPr>
            <w:r w:rsidRPr="00AE47C6">
              <w:rPr>
                <w:rFonts w:ascii="Times New Roman" w:hAnsi="Times New Roman"/>
                <w:b/>
                <w:bCs/>
                <w:sz w:val="24"/>
                <w:szCs w:val="24"/>
              </w:rPr>
              <w:t xml:space="preserve">Диагностични критерии за NMOSD AQP4-IgG </w:t>
            </w:r>
            <w:r w:rsidRPr="00AE47C6">
              <w:rPr>
                <w:rFonts w:ascii="Times New Roman" w:hAnsi="Times New Roman"/>
                <w:b/>
                <w:bCs/>
                <w:iCs/>
                <w:color w:val="000000" w:themeColor="text1"/>
                <w:sz w:val="24"/>
                <w:szCs w:val="24"/>
              </w:rPr>
              <w:t xml:space="preserve">серонегативни </w:t>
            </w:r>
            <w:r w:rsidRPr="00AE47C6">
              <w:rPr>
                <w:rFonts w:ascii="Times New Roman" w:hAnsi="Times New Roman"/>
                <w:b/>
                <w:bCs/>
                <w:sz w:val="24"/>
                <w:szCs w:val="24"/>
              </w:rPr>
              <w:t>или с неизвестен статус на AQP4-IgG</w:t>
            </w:r>
          </w:p>
          <w:p w14:paraId="59EBDA28" w14:textId="77777777" w:rsidR="00BE0B19" w:rsidRPr="00AE47C6" w:rsidRDefault="00BE0B19" w:rsidP="00BE0B19">
            <w:pPr>
              <w:keepNext/>
              <w:numPr>
                <w:ilvl w:val="0"/>
                <w:numId w:val="407"/>
              </w:numPr>
              <w:spacing w:after="0" w:line="360" w:lineRule="auto"/>
              <w:ind w:firstLine="0"/>
              <w:contextualSpacing/>
              <w:jc w:val="both"/>
              <w:rPr>
                <w:rFonts w:ascii="Times New Roman" w:hAnsi="Times New Roman"/>
                <w:sz w:val="24"/>
                <w:szCs w:val="24"/>
              </w:rPr>
            </w:pPr>
            <w:r w:rsidRPr="00AE47C6">
              <w:rPr>
                <w:rFonts w:ascii="Times New Roman" w:hAnsi="Times New Roman"/>
                <w:sz w:val="24"/>
                <w:szCs w:val="24"/>
              </w:rPr>
              <w:t>Най-малко две основни клинични характеристики, възникнали в резултат на един или повече клинични пристъпи и наличието на всички от следните изисквания:</w:t>
            </w:r>
          </w:p>
          <w:p w14:paraId="481D0F8A" w14:textId="77777777" w:rsidR="00BE0B19" w:rsidRPr="00AE47C6" w:rsidRDefault="00BE0B19" w:rsidP="00BE0B19">
            <w:pPr>
              <w:keepNext/>
              <w:spacing w:after="0" w:line="360" w:lineRule="auto"/>
              <w:ind w:left="360"/>
              <w:contextualSpacing/>
              <w:jc w:val="both"/>
              <w:rPr>
                <w:rFonts w:ascii="Times New Roman" w:hAnsi="Times New Roman"/>
                <w:sz w:val="24"/>
                <w:szCs w:val="24"/>
              </w:rPr>
            </w:pPr>
            <w:r w:rsidRPr="00AE47C6">
              <w:rPr>
                <w:rFonts w:ascii="Times New Roman" w:hAnsi="Times New Roman"/>
                <w:sz w:val="24"/>
                <w:szCs w:val="24"/>
              </w:rPr>
              <w:t>а. Най-малко една от клиничните характеристики трябва да бъде оптичен неврит, трансверзален миелит с LETM или синдром на area postrema</w:t>
            </w:r>
          </w:p>
          <w:p w14:paraId="1DEA0743" w14:textId="77777777" w:rsidR="00BE0B19" w:rsidRPr="00AE47C6" w:rsidRDefault="00BE0B19" w:rsidP="00BE0B19">
            <w:pPr>
              <w:keepNext/>
              <w:spacing w:after="0" w:line="360" w:lineRule="auto"/>
              <w:ind w:left="360"/>
              <w:contextualSpacing/>
              <w:jc w:val="both"/>
              <w:rPr>
                <w:rFonts w:ascii="Times New Roman" w:hAnsi="Times New Roman"/>
                <w:sz w:val="24"/>
                <w:szCs w:val="24"/>
              </w:rPr>
            </w:pPr>
            <w:r w:rsidRPr="00AE47C6">
              <w:rPr>
                <w:rFonts w:ascii="Times New Roman" w:hAnsi="Times New Roman"/>
                <w:sz w:val="24"/>
                <w:szCs w:val="24"/>
              </w:rPr>
              <w:t xml:space="preserve">б. </w:t>
            </w:r>
            <w:r w:rsidRPr="00AE47C6">
              <w:rPr>
                <w:rFonts w:ascii="Times New Roman" w:hAnsi="Times New Roman"/>
                <w:color w:val="000000" w:themeColor="text1"/>
                <w:sz w:val="24"/>
                <w:szCs w:val="24"/>
              </w:rPr>
              <w:t xml:space="preserve">Дисеминация в пространството </w:t>
            </w:r>
            <w:r w:rsidRPr="00AE47C6">
              <w:rPr>
                <w:rFonts w:ascii="Times New Roman" w:hAnsi="Times New Roman"/>
                <w:sz w:val="24"/>
                <w:szCs w:val="24"/>
              </w:rPr>
              <w:t>(наличие на две или повече различни основни клинични характеристики)</w:t>
            </w:r>
          </w:p>
          <w:p w14:paraId="36255EEC" w14:textId="77777777" w:rsidR="00BE0B19" w:rsidRPr="00AE47C6" w:rsidRDefault="00BE0B19" w:rsidP="00BE0B19">
            <w:pPr>
              <w:keepNext/>
              <w:spacing w:after="0" w:line="360" w:lineRule="auto"/>
              <w:ind w:left="360"/>
              <w:contextualSpacing/>
              <w:jc w:val="both"/>
              <w:rPr>
                <w:rFonts w:ascii="Times New Roman" w:hAnsi="Times New Roman"/>
                <w:color w:val="00B050"/>
                <w:sz w:val="24"/>
                <w:szCs w:val="24"/>
              </w:rPr>
            </w:pPr>
            <w:r w:rsidRPr="00AE47C6">
              <w:rPr>
                <w:rFonts w:ascii="Times New Roman" w:hAnsi="Times New Roman"/>
                <w:sz w:val="24"/>
                <w:szCs w:val="24"/>
              </w:rPr>
              <w:t xml:space="preserve">в. Характерна находка при МРТ </w:t>
            </w:r>
            <w:r w:rsidRPr="00AE47C6">
              <w:rPr>
                <w:rFonts w:ascii="Times New Roman" w:hAnsi="Times New Roman"/>
                <w:color w:val="000000" w:themeColor="text1"/>
                <w:sz w:val="24"/>
                <w:szCs w:val="24"/>
              </w:rPr>
              <w:t>(изпълнение на изискванията за МРТ, ако е приложимо)</w:t>
            </w:r>
          </w:p>
          <w:p w14:paraId="52B74572" w14:textId="77777777" w:rsidR="00BE0B19" w:rsidRPr="00AE47C6" w:rsidRDefault="00BE0B19" w:rsidP="00BE0B19">
            <w:pPr>
              <w:keepNext/>
              <w:numPr>
                <w:ilvl w:val="0"/>
                <w:numId w:val="407"/>
              </w:numPr>
              <w:spacing w:after="0" w:line="360" w:lineRule="auto"/>
              <w:ind w:firstLine="0"/>
              <w:contextualSpacing/>
              <w:jc w:val="both"/>
              <w:rPr>
                <w:rFonts w:ascii="Times New Roman" w:hAnsi="Times New Roman"/>
                <w:sz w:val="24"/>
                <w:szCs w:val="24"/>
              </w:rPr>
            </w:pPr>
            <w:r w:rsidRPr="00AE47C6">
              <w:rPr>
                <w:rFonts w:ascii="Times New Roman" w:hAnsi="Times New Roman"/>
                <w:sz w:val="24"/>
                <w:szCs w:val="24"/>
              </w:rPr>
              <w:t>Отрицателни тестове за AQP4-IgG, при използване на най-добрия наличен метод, или тестване не е провеждано</w:t>
            </w:r>
          </w:p>
          <w:p w14:paraId="5BF00BB7" w14:textId="77777777" w:rsidR="00BE0B19" w:rsidRPr="00AE47C6" w:rsidRDefault="00BE0B19" w:rsidP="00BE0B19">
            <w:pPr>
              <w:keepNext/>
              <w:numPr>
                <w:ilvl w:val="0"/>
                <w:numId w:val="407"/>
              </w:numPr>
              <w:spacing w:after="0" w:line="360" w:lineRule="auto"/>
              <w:ind w:firstLine="0"/>
              <w:contextualSpacing/>
              <w:jc w:val="both"/>
              <w:rPr>
                <w:rFonts w:ascii="Times New Roman" w:hAnsi="Times New Roman"/>
                <w:sz w:val="24"/>
                <w:szCs w:val="24"/>
              </w:rPr>
            </w:pPr>
            <w:r w:rsidRPr="00AE47C6">
              <w:rPr>
                <w:rFonts w:ascii="Times New Roman" w:hAnsi="Times New Roman"/>
                <w:sz w:val="24"/>
                <w:szCs w:val="24"/>
              </w:rPr>
              <w:t>Изключване на алтернативни диагнози</w:t>
            </w:r>
          </w:p>
        </w:tc>
      </w:tr>
      <w:tr w:rsidR="00BE0B19" w:rsidRPr="00AE47C6" w14:paraId="30A9915B" w14:textId="77777777" w:rsidTr="00AD72E5">
        <w:tc>
          <w:tcPr>
            <w:tcW w:w="9634" w:type="dxa"/>
          </w:tcPr>
          <w:p w14:paraId="1309062F" w14:textId="77777777" w:rsidR="00BE0B19" w:rsidRPr="00AE47C6" w:rsidRDefault="00BE0B19" w:rsidP="00BE0B19">
            <w:pPr>
              <w:keepNext/>
              <w:shd w:val="clear" w:color="auto" w:fill="E8E4E7"/>
              <w:spacing w:after="0" w:line="360" w:lineRule="auto"/>
              <w:ind w:firstLine="709"/>
              <w:contextualSpacing/>
              <w:jc w:val="center"/>
              <w:rPr>
                <w:rFonts w:ascii="Times New Roman" w:hAnsi="Times New Roman"/>
                <w:b/>
                <w:bCs/>
                <w:sz w:val="24"/>
                <w:szCs w:val="24"/>
              </w:rPr>
            </w:pPr>
            <w:r w:rsidRPr="00AE47C6">
              <w:rPr>
                <w:rFonts w:ascii="Times New Roman" w:hAnsi="Times New Roman"/>
                <w:b/>
                <w:bCs/>
                <w:sz w:val="24"/>
                <w:szCs w:val="24"/>
              </w:rPr>
              <w:t>Основни клинични характеристики</w:t>
            </w:r>
          </w:p>
          <w:p w14:paraId="5C3EF3E4" w14:textId="77777777" w:rsidR="00BE0B19" w:rsidRPr="00AE47C6" w:rsidRDefault="00BE0B19" w:rsidP="00BE0B19">
            <w:pPr>
              <w:keepNext/>
              <w:numPr>
                <w:ilvl w:val="0"/>
                <w:numId w:val="408"/>
              </w:numPr>
              <w:spacing w:after="0" w:line="360" w:lineRule="auto"/>
              <w:ind w:firstLine="0"/>
              <w:contextualSpacing/>
              <w:jc w:val="both"/>
              <w:rPr>
                <w:rFonts w:ascii="Times New Roman" w:hAnsi="Times New Roman"/>
                <w:sz w:val="24"/>
                <w:szCs w:val="24"/>
              </w:rPr>
            </w:pPr>
            <w:r w:rsidRPr="00AE47C6">
              <w:rPr>
                <w:rFonts w:ascii="Times New Roman" w:hAnsi="Times New Roman"/>
                <w:sz w:val="24"/>
                <w:szCs w:val="24"/>
              </w:rPr>
              <w:t>Оптичен неврит</w:t>
            </w:r>
          </w:p>
          <w:p w14:paraId="761F6238" w14:textId="77777777" w:rsidR="00BE0B19" w:rsidRPr="00AE47C6" w:rsidRDefault="00BE0B19" w:rsidP="00BE0B19">
            <w:pPr>
              <w:keepNext/>
              <w:numPr>
                <w:ilvl w:val="0"/>
                <w:numId w:val="408"/>
              </w:numPr>
              <w:spacing w:after="0" w:line="360" w:lineRule="auto"/>
              <w:ind w:firstLine="0"/>
              <w:contextualSpacing/>
              <w:jc w:val="both"/>
              <w:rPr>
                <w:rFonts w:ascii="Times New Roman" w:hAnsi="Times New Roman"/>
                <w:sz w:val="24"/>
                <w:szCs w:val="24"/>
              </w:rPr>
            </w:pPr>
            <w:r w:rsidRPr="00AE47C6">
              <w:rPr>
                <w:rFonts w:ascii="Times New Roman" w:hAnsi="Times New Roman"/>
                <w:sz w:val="24"/>
                <w:szCs w:val="24"/>
              </w:rPr>
              <w:t>Остър трансверзален миелит</w:t>
            </w:r>
          </w:p>
          <w:p w14:paraId="2D07E9DE" w14:textId="77777777" w:rsidR="00BE0B19" w:rsidRPr="00AE47C6" w:rsidRDefault="00BE0B19" w:rsidP="00BE0B19">
            <w:pPr>
              <w:keepNext/>
              <w:numPr>
                <w:ilvl w:val="0"/>
                <w:numId w:val="408"/>
              </w:numPr>
              <w:spacing w:after="0" w:line="360" w:lineRule="auto"/>
              <w:ind w:firstLine="0"/>
              <w:contextualSpacing/>
              <w:jc w:val="both"/>
              <w:rPr>
                <w:rFonts w:ascii="Times New Roman" w:hAnsi="Times New Roman"/>
                <w:sz w:val="24"/>
                <w:szCs w:val="24"/>
              </w:rPr>
            </w:pPr>
            <w:r w:rsidRPr="00AE47C6">
              <w:rPr>
                <w:rFonts w:ascii="Times New Roman" w:hAnsi="Times New Roman"/>
                <w:sz w:val="24"/>
                <w:szCs w:val="24"/>
              </w:rPr>
              <w:t>Синдром на area postrema, изразена с необясними по друг начин хълцане, гадене или повръщане</w:t>
            </w:r>
          </w:p>
          <w:p w14:paraId="23A3B64D" w14:textId="77777777" w:rsidR="00BE0B19" w:rsidRPr="00AE47C6" w:rsidRDefault="00BE0B19" w:rsidP="00BE0B19">
            <w:pPr>
              <w:keepNext/>
              <w:numPr>
                <w:ilvl w:val="0"/>
                <w:numId w:val="408"/>
              </w:numPr>
              <w:spacing w:after="0" w:line="360" w:lineRule="auto"/>
              <w:ind w:firstLine="0"/>
              <w:contextualSpacing/>
              <w:jc w:val="both"/>
              <w:rPr>
                <w:rFonts w:ascii="Times New Roman" w:hAnsi="Times New Roman"/>
                <w:sz w:val="24"/>
                <w:szCs w:val="24"/>
              </w:rPr>
            </w:pPr>
            <w:r w:rsidRPr="00AE47C6">
              <w:rPr>
                <w:rFonts w:ascii="Times New Roman" w:hAnsi="Times New Roman"/>
                <w:sz w:val="24"/>
                <w:szCs w:val="24"/>
              </w:rPr>
              <w:t>Остро засягане на мозъчния ствол</w:t>
            </w:r>
          </w:p>
          <w:p w14:paraId="5A957AD8" w14:textId="77777777" w:rsidR="00BE0B19" w:rsidRPr="00AE47C6" w:rsidRDefault="00BE0B19" w:rsidP="00BE0B19">
            <w:pPr>
              <w:keepNext/>
              <w:numPr>
                <w:ilvl w:val="0"/>
                <w:numId w:val="408"/>
              </w:numPr>
              <w:spacing w:after="0" w:line="360" w:lineRule="auto"/>
              <w:ind w:firstLine="0"/>
              <w:contextualSpacing/>
              <w:jc w:val="both"/>
              <w:rPr>
                <w:rFonts w:ascii="Times New Roman" w:hAnsi="Times New Roman"/>
                <w:sz w:val="24"/>
                <w:szCs w:val="24"/>
              </w:rPr>
            </w:pPr>
            <w:r w:rsidRPr="00AE47C6">
              <w:rPr>
                <w:rFonts w:ascii="Times New Roman" w:hAnsi="Times New Roman"/>
                <w:sz w:val="24"/>
                <w:szCs w:val="24"/>
              </w:rPr>
              <w:t>Симптоматична нарколепсия или остър диенцефален клиничен синдром с типични за NMOSD диенцефални МРТ лезии</w:t>
            </w:r>
          </w:p>
          <w:p w14:paraId="33968643" w14:textId="77777777" w:rsidR="00BE0B19" w:rsidRPr="00AE47C6" w:rsidRDefault="00BE0B19" w:rsidP="00BE0B19">
            <w:pPr>
              <w:keepNext/>
              <w:numPr>
                <w:ilvl w:val="0"/>
                <w:numId w:val="408"/>
              </w:numPr>
              <w:spacing w:after="0" w:line="360" w:lineRule="auto"/>
              <w:ind w:firstLine="0"/>
              <w:contextualSpacing/>
              <w:jc w:val="both"/>
              <w:rPr>
                <w:rFonts w:ascii="Times New Roman" w:hAnsi="Times New Roman"/>
                <w:sz w:val="24"/>
                <w:szCs w:val="24"/>
              </w:rPr>
            </w:pPr>
            <w:r w:rsidRPr="00AE47C6">
              <w:rPr>
                <w:rFonts w:ascii="Times New Roman" w:hAnsi="Times New Roman"/>
                <w:sz w:val="24"/>
                <w:szCs w:val="24"/>
              </w:rPr>
              <w:t>Симптоматичен мозъчен синдром с типични за NMOSD мозъчни лезии</w:t>
            </w:r>
          </w:p>
        </w:tc>
      </w:tr>
      <w:tr w:rsidR="00BE0B19" w:rsidRPr="00AE47C6" w14:paraId="6800D4B0" w14:textId="77777777" w:rsidTr="00AD72E5">
        <w:tc>
          <w:tcPr>
            <w:tcW w:w="9634" w:type="dxa"/>
          </w:tcPr>
          <w:p w14:paraId="743A21CD" w14:textId="77777777" w:rsidR="00BE0B19" w:rsidRPr="00AE47C6" w:rsidRDefault="00BE0B19" w:rsidP="00BE0B19">
            <w:pPr>
              <w:keepNext/>
              <w:shd w:val="clear" w:color="auto" w:fill="E8E4E7"/>
              <w:spacing w:after="0" w:line="360" w:lineRule="auto"/>
              <w:jc w:val="center"/>
              <w:rPr>
                <w:rFonts w:ascii="Times New Roman" w:hAnsi="Times New Roman"/>
                <w:b/>
                <w:bCs/>
                <w:sz w:val="24"/>
                <w:szCs w:val="24"/>
              </w:rPr>
            </w:pPr>
            <w:r w:rsidRPr="00AE47C6">
              <w:rPr>
                <w:rFonts w:ascii="Times New Roman" w:hAnsi="Times New Roman"/>
                <w:b/>
                <w:bCs/>
                <w:sz w:val="24"/>
                <w:szCs w:val="24"/>
              </w:rPr>
              <w:t xml:space="preserve">Допълнителни изисквания за МРТ при NMOSD AQP4-IgG </w:t>
            </w:r>
            <w:r w:rsidRPr="00AE47C6">
              <w:rPr>
                <w:rFonts w:ascii="Times New Roman" w:hAnsi="Times New Roman"/>
                <w:b/>
                <w:bCs/>
                <w:iCs/>
                <w:color w:val="000000" w:themeColor="text1"/>
                <w:sz w:val="24"/>
                <w:szCs w:val="24"/>
              </w:rPr>
              <w:t xml:space="preserve">серонегативни </w:t>
            </w:r>
            <w:r w:rsidRPr="00AE47C6">
              <w:rPr>
                <w:rFonts w:ascii="Times New Roman" w:hAnsi="Times New Roman"/>
                <w:b/>
                <w:bCs/>
                <w:sz w:val="24"/>
                <w:szCs w:val="24"/>
              </w:rPr>
              <w:t>и с неизвестен статус на AQP4-IgG (</w:t>
            </w:r>
            <w:r w:rsidRPr="00AE47C6">
              <w:rPr>
                <w:rFonts w:ascii="Times New Roman" w:hAnsi="Times New Roman"/>
                <w:b/>
                <w:bCs/>
                <w:color w:val="000000" w:themeColor="text1"/>
                <w:sz w:val="24"/>
                <w:szCs w:val="24"/>
              </w:rPr>
              <w:t>определя се от клиничното представяне</w:t>
            </w:r>
            <w:r w:rsidRPr="00AE47C6">
              <w:rPr>
                <w:rFonts w:ascii="Times New Roman" w:hAnsi="Times New Roman"/>
                <w:b/>
                <w:bCs/>
                <w:sz w:val="24"/>
                <w:szCs w:val="24"/>
              </w:rPr>
              <w:t>)</w:t>
            </w:r>
          </w:p>
          <w:p w14:paraId="752FBC31" w14:textId="77777777" w:rsidR="00BE0B19" w:rsidRPr="00AE47C6" w:rsidRDefault="00BE0B19" w:rsidP="00BE0B19">
            <w:pPr>
              <w:keepNext/>
              <w:numPr>
                <w:ilvl w:val="0"/>
                <w:numId w:val="409"/>
              </w:numPr>
              <w:spacing w:after="0" w:line="360" w:lineRule="auto"/>
              <w:contextualSpacing/>
              <w:jc w:val="both"/>
              <w:rPr>
                <w:rFonts w:ascii="Times New Roman" w:hAnsi="Times New Roman"/>
                <w:sz w:val="24"/>
                <w:szCs w:val="24"/>
              </w:rPr>
            </w:pPr>
            <w:r w:rsidRPr="00AE47C6">
              <w:rPr>
                <w:rFonts w:ascii="Times New Roman" w:hAnsi="Times New Roman"/>
                <w:b/>
                <w:bCs/>
                <w:sz w:val="24"/>
                <w:szCs w:val="24"/>
              </w:rPr>
              <w:t>Оптичен неврит:</w:t>
            </w:r>
            <w:r w:rsidRPr="00AE47C6">
              <w:rPr>
                <w:rFonts w:ascii="Times New Roman" w:hAnsi="Times New Roman"/>
                <w:sz w:val="24"/>
                <w:szCs w:val="24"/>
              </w:rPr>
              <w:t xml:space="preserve"> МРТ на главен мозък, показващ </w:t>
            </w:r>
          </w:p>
          <w:p w14:paraId="4353946B" w14:textId="77777777" w:rsidR="00BE0B19" w:rsidRPr="00AE47C6" w:rsidRDefault="00BE0B19" w:rsidP="00BE0B19">
            <w:pPr>
              <w:keepNext/>
              <w:spacing w:after="0" w:line="360" w:lineRule="auto"/>
              <w:ind w:left="720"/>
              <w:contextualSpacing/>
              <w:jc w:val="both"/>
              <w:rPr>
                <w:rFonts w:ascii="Times New Roman" w:hAnsi="Times New Roman"/>
                <w:sz w:val="24"/>
                <w:szCs w:val="24"/>
              </w:rPr>
            </w:pPr>
            <w:r w:rsidRPr="00AE47C6">
              <w:rPr>
                <w:rFonts w:ascii="Times New Roman" w:hAnsi="Times New Roman"/>
                <w:b/>
                <w:bCs/>
                <w:sz w:val="24"/>
                <w:szCs w:val="24"/>
              </w:rPr>
              <w:t>а.</w:t>
            </w:r>
            <w:r w:rsidRPr="00AE47C6">
              <w:rPr>
                <w:rFonts w:ascii="Times New Roman" w:hAnsi="Times New Roman"/>
                <w:sz w:val="24"/>
                <w:szCs w:val="24"/>
              </w:rPr>
              <w:t xml:space="preserve"> нормални резултати или само неспецифични лезии на бялото вещество, или </w:t>
            </w:r>
          </w:p>
          <w:p w14:paraId="7871A702" w14:textId="77777777" w:rsidR="00BE0B19" w:rsidRPr="00AE47C6" w:rsidRDefault="00BE0B19" w:rsidP="00BE0B19">
            <w:pPr>
              <w:keepNext/>
              <w:spacing w:after="0" w:line="360" w:lineRule="auto"/>
              <w:ind w:left="720"/>
              <w:contextualSpacing/>
              <w:jc w:val="both"/>
              <w:rPr>
                <w:rFonts w:ascii="Times New Roman" w:hAnsi="Times New Roman"/>
                <w:sz w:val="24"/>
                <w:szCs w:val="24"/>
              </w:rPr>
            </w:pPr>
            <w:r w:rsidRPr="00AE47C6">
              <w:rPr>
                <w:rFonts w:ascii="Times New Roman" w:hAnsi="Times New Roman"/>
                <w:b/>
                <w:bCs/>
                <w:sz w:val="24"/>
                <w:szCs w:val="24"/>
              </w:rPr>
              <w:t>б.</w:t>
            </w:r>
            <w:r w:rsidRPr="00AE47C6">
              <w:rPr>
                <w:rFonts w:ascii="Times New Roman" w:hAnsi="Times New Roman"/>
                <w:sz w:val="24"/>
                <w:szCs w:val="24"/>
              </w:rPr>
              <w:t xml:space="preserve"> МРТ на зрителния нерв с Т</w:t>
            </w:r>
            <w:r w:rsidRPr="00AE47C6">
              <w:rPr>
                <w:rFonts w:ascii="Times New Roman" w:hAnsi="Times New Roman"/>
                <w:sz w:val="24"/>
                <w:szCs w:val="24"/>
                <w:vertAlign w:val="subscript"/>
              </w:rPr>
              <w:t>2</w:t>
            </w:r>
            <w:r w:rsidRPr="00AE47C6">
              <w:rPr>
                <w:rFonts w:ascii="Times New Roman" w:hAnsi="Times New Roman"/>
                <w:sz w:val="24"/>
                <w:szCs w:val="24"/>
              </w:rPr>
              <w:t>-хиперинтензна лезия или Gd+ Т</w:t>
            </w:r>
            <w:r w:rsidRPr="00AE47C6">
              <w:rPr>
                <w:rFonts w:ascii="Times New Roman" w:hAnsi="Times New Roman"/>
                <w:sz w:val="24"/>
                <w:szCs w:val="24"/>
                <w:vertAlign w:val="subscript"/>
              </w:rPr>
              <w:t>1</w:t>
            </w:r>
            <w:r w:rsidRPr="00AE47C6">
              <w:rPr>
                <w:rFonts w:ascii="Times New Roman" w:hAnsi="Times New Roman"/>
                <w:sz w:val="24"/>
                <w:szCs w:val="24"/>
              </w:rPr>
              <w:t>- лезия, обхващаща повече от половината дължина на зрителния нерв или включваща chiasma opticum</w:t>
            </w:r>
          </w:p>
          <w:p w14:paraId="3B20E546" w14:textId="77777777" w:rsidR="00BE0B19" w:rsidRPr="00AE47C6" w:rsidRDefault="00BE0B19" w:rsidP="00BE0B19">
            <w:pPr>
              <w:keepNext/>
              <w:numPr>
                <w:ilvl w:val="0"/>
                <w:numId w:val="409"/>
              </w:numPr>
              <w:spacing w:after="0" w:line="360" w:lineRule="auto"/>
              <w:contextualSpacing/>
              <w:jc w:val="both"/>
              <w:rPr>
                <w:rFonts w:ascii="Times New Roman" w:hAnsi="Times New Roman"/>
                <w:sz w:val="24"/>
                <w:szCs w:val="24"/>
              </w:rPr>
            </w:pPr>
            <w:r w:rsidRPr="00AE47C6">
              <w:rPr>
                <w:rFonts w:ascii="Times New Roman" w:hAnsi="Times New Roman"/>
                <w:b/>
                <w:bCs/>
                <w:sz w:val="24"/>
                <w:szCs w:val="24"/>
              </w:rPr>
              <w:t>Остър миелит</w:t>
            </w:r>
            <w:r w:rsidRPr="00AE47C6">
              <w:rPr>
                <w:rFonts w:ascii="Times New Roman" w:hAnsi="Times New Roman"/>
                <w:sz w:val="24"/>
                <w:szCs w:val="24"/>
              </w:rPr>
              <w:t>: МРТ - интрамедуларна лезия обхващаща три или повече съседни сегмента (LETM) или три или повече съседни сегмента на фокална атрофия на гръбначния мозък при пациенти с доказана анамнеза за преболедуване, съвместима с остър напречен миелит</w:t>
            </w:r>
          </w:p>
          <w:p w14:paraId="7808777B" w14:textId="77777777" w:rsidR="00BE0B19" w:rsidRPr="00AE47C6" w:rsidRDefault="00BE0B19" w:rsidP="00BE0B19">
            <w:pPr>
              <w:keepNext/>
              <w:numPr>
                <w:ilvl w:val="0"/>
                <w:numId w:val="409"/>
              </w:numPr>
              <w:spacing w:after="0" w:line="360" w:lineRule="auto"/>
              <w:contextualSpacing/>
              <w:jc w:val="both"/>
              <w:rPr>
                <w:rFonts w:ascii="Times New Roman" w:hAnsi="Times New Roman"/>
                <w:sz w:val="24"/>
                <w:szCs w:val="24"/>
              </w:rPr>
            </w:pPr>
            <w:r w:rsidRPr="00AE47C6">
              <w:rPr>
                <w:rFonts w:ascii="Times New Roman" w:hAnsi="Times New Roman"/>
                <w:b/>
                <w:bCs/>
                <w:sz w:val="24"/>
                <w:szCs w:val="24"/>
              </w:rPr>
              <w:t>Синдром на area postrema</w:t>
            </w:r>
            <w:r w:rsidRPr="00AE47C6">
              <w:rPr>
                <w:rFonts w:ascii="Times New Roman" w:hAnsi="Times New Roman"/>
                <w:sz w:val="24"/>
                <w:szCs w:val="24"/>
              </w:rPr>
              <w:t>: наличие на лезии в продълговатия мозък или характерната област</w:t>
            </w:r>
          </w:p>
          <w:p w14:paraId="77DCADB4" w14:textId="77777777" w:rsidR="00BE0B19" w:rsidRPr="00AE47C6" w:rsidRDefault="00BE0B19" w:rsidP="00BE0B19">
            <w:pPr>
              <w:keepNext/>
              <w:numPr>
                <w:ilvl w:val="0"/>
                <w:numId w:val="409"/>
              </w:numPr>
              <w:spacing w:after="0" w:line="360" w:lineRule="auto"/>
              <w:contextualSpacing/>
              <w:jc w:val="both"/>
              <w:rPr>
                <w:rFonts w:ascii="Times New Roman" w:hAnsi="Times New Roman"/>
                <w:sz w:val="24"/>
                <w:szCs w:val="24"/>
              </w:rPr>
            </w:pPr>
            <w:r w:rsidRPr="00AE47C6">
              <w:rPr>
                <w:rFonts w:ascii="Times New Roman" w:hAnsi="Times New Roman"/>
                <w:b/>
                <w:bCs/>
                <w:sz w:val="24"/>
                <w:szCs w:val="24"/>
              </w:rPr>
              <w:t>Засегнат мозъчен ствол</w:t>
            </w:r>
            <w:r w:rsidRPr="00AE47C6">
              <w:rPr>
                <w:rFonts w:ascii="Times New Roman" w:hAnsi="Times New Roman"/>
                <w:sz w:val="24"/>
                <w:szCs w:val="24"/>
              </w:rPr>
              <w:t>: наличие на периепендимни лезии на мозъчния ствол</w:t>
            </w:r>
          </w:p>
        </w:tc>
      </w:tr>
    </w:tbl>
    <w:p w14:paraId="02EC5F59" w14:textId="77777777" w:rsidR="00BE0B19" w:rsidRPr="00AE47C6" w:rsidRDefault="00BE0B19" w:rsidP="00BE0B19">
      <w:pPr>
        <w:spacing w:after="0" w:line="360" w:lineRule="auto"/>
        <w:ind w:firstLine="709"/>
        <w:jc w:val="both"/>
        <w:rPr>
          <w:rFonts w:ascii="Times New Roman" w:eastAsia="SimSun" w:hAnsi="Times New Roman"/>
          <w:iCs/>
          <w:sz w:val="24"/>
          <w:szCs w:val="24"/>
        </w:rPr>
      </w:pPr>
      <w:r w:rsidRPr="00AE47C6">
        <w:rPr>
          <w:rFonts w:ascii="Times New Roman" w:eastAsia="SimSun" w:hAnsi="Times New Roman"/>
          <w:iCs/>
          <w:sz w:val="24"/>
          <w:szCs w:val="24"/>
        </w:rPr>
        <w:t xml:space="preserve">AQP4-IgG - аквапорин-4 имуноглобулин G; LETM - лонгитудинален екстензивен трансверзален </w:t>
      </w:r>
      <w:r w:rsidRPr="00AE47C6">
        <w:rPr>
          <w:rFonts w:ascii="Times New Roman" w:eastAsia="SimSun" w:hAnsi="Times New Roman"/>
          <w:sz w:val="24"/>
          <w:szCs w:val="24"/>
        </w:rPr>
        <w:t>миелит</w:t>
      </w:r>
      <w:r w:rsidRPr="00AE47C6">
        <w:rPr>
          <w:rFonts w:ascii="Times New Roman" w:eastAsia="SimSun" w:hAnsi="Times New Roman"/>
          <w:iCs/>
          <w:sz w:val="24"/>
          <w:szCs w:val="24"/>
        </w:rPr>
        <w:t xml:space="preserve">; </w:t>
      </w:r>
      <w:r w:rsidRPr="00AE47C6">
        <w:rPr>
          <w:rFonts w:ascii="Times New Roman" w:eastAsia="SimSun" w:hAnsi="Times New Roman"/>
          <w:sz w:val="24"/>
          <w:szCs w:val="24"/>
        </w:rPr>
        <w:t>МРТ -</w:t>
      </w:r>
      <w:r w:rsidRPr="00AE47C6">
        <w:rPr>
          <w:rFonts w:ascii="Times New Roman" w:eastAsia="SimSun" w:hAnsi="Times New Roman"/>
          <w:iCs/>
          <w:sz w:val="24"/>
          <w:szCs w:val="24"/>
        </w:rPr>
        <w:t xml:space="preserve"> магнитно резонансна томография; NMOSD - заболяване от спектъра на </w:t>
      </w:r>
      <w:r w:rsidRPr="00AE47C6">
        <w:rPr>
          <w:rFonts w:ascii="Times New Roman" w:eastAsia="SimSun" w:hAnsi="Times New Roman"/>
          <w:sz w:val="24"/>
          <w:szCs w:val="24"/>
        </w:rPr>
        <w:t>оптичния</w:t>
      </w:r>
      <w:r w:rsidRPr="00AE47C6">
        <w:rPr>
          <w:rFonts w:ascii="Times New Roman" w:eastAsia="SimSun" w:hAnsi="Times New Roman"/>
          <w:iCs/>
          <w:sz w:val="24"/>
          <w:szCs w:val="24"/>
        </w:rPr>
        <w:t xml:space="preserve"> невромиелит; ON - оптичен неврит.</w:t>
      </w:r>
    </w:p>
    <w:p w14:paraId="41129307" w14:textId="77777777" w:rsidR="00BE0B19" w:rsidRPr="00AE47C6" w:rsidRDefault="00BE0B19" w:rsidP="00BE0B19">
      <w:pPr>
        <w:spacing w:after="0" w:line="360" w:lineRule="auto"/>
        <w:ind w:firstLine="709"/>
        <w:jc w:val="both"/>
        <w:rPr>
          <w:rFonts w:ascii="Times New Roman" w:eastAsia="SimSun" w:hAnsi="Times New Roman"/>
          <w:iCs/>
          <w:sz w:val="24"/>
          <w:szCs w:val="24"/>
        </w:rPr>
      </w:pPr>
    </w:p>
    <w:p w14:paraId="009F4825" w14:textId="77777777" w:rsidR="00BE0B19" w:rsidRPr="00AE47C6" w:rsidRDefault="00BE0B19" w:rsidP="00BE0B19">
      <w:pPr>
        <w:spacing w:after="0" w:line="360" w:lineRule="auto"/>
        <w:ind w:firstLine="709"/>
        <w:jc w:val="both"/>
        <w:rPr>
          <w:rFonts w:ascii="Times New Roman" w:eastAsia="SimSun" w:hAnsi="Times New Roman"/>
          <w:iCs/>
          <w:sz w:val="24"/>
          <w:szCs w:val="24"/>
        </w:rPr>
      </w:pPr>
      <w:r w:rsidRPr="00AE47C6">
        <w:rPr>
          <w:rFonts w:ascii="Times New Roman" w:eastAsia="SimSun" w:hAnsi="Times New Roman"/>
          <w:sz w:val="24"/>
          <w:szCs w:val="24"/>
        </w:rPr>
        <w:t>Някои</w:t>
      </w:r>
      <w:r w:rsidRPr="00AE47C6">
        <w:rPr>
          <w:rFonts w:ascii="Times New Roman" w:eastAsia="SimSun" w:hAnsi="Times New Roman"/>
          <w:iCs/>
          <w:sz w:val="24"/>
          <w:szCs w:val="24"/>
        </w:rPr>
        <w:t xml:space="preserve"> </w:t>
      </w:r>
      <w:r w:rsidRPr="00AE47C6">
        <w:rPr>
          <w:rFonts w:ascii="Times New Roman" w:eastAsia="SimSun" w:hAnsi="Times New Roman"/>
          <w:sz w:val="24"/>
          <w:szCs w:val="24"/>
        </w:rPr>
        <w:t>клинични</w:t>
      </w:r>
      <w:r w:rsidRPr="00AE47C6">
        <w:rPr>
          <w:rFonts w:ascii="Times New Roman" w:eastAsia="SimSun" w:hAnsi="Times New Roman"/>
          <w:iCs/>
          <w:sz w:val="24"/>
          <w:szCs w:val="24"/>
        </w:rPr>
        <w:t xml:space="preserve"> прояви са особено характерни за NMOSD. Например, двустранен оптичен неврит, със засягане на chiasma opticum. Това води до дефекти на зрителното поле или тежка остатъчна загуба на зрението. Цялостното, а не частично засягане на гръбначния мозък, особено съпроводено от неврологични пароксизмални симптоми, както и проявата на синдрома на area postrema (с честота 16%-43% от случаите), също са показателни за заболяването.</w:t>
      </w:r>
    </w:p>
    <w:p w14:paraId="799F5A53" w14:textId="77777777" w:rsidR="00BE0B19" w:rsidRPr="00AE47C6" w:rsidRDefault="00BE0B19" w:rsidP="00BE0B19">
      <w:pPr>
        <w:spacing w:after="0" w:line="360" w:lineRule="auto"/>
        <w:ind w:firstLine="709"/>
        <w:jc w:val="both"/>
        <w:rPr>
          <w:rFonts w:ascii="Times New Roman" w:eastAsia="SimSun" w:hAnsi="Times New Roman"/>
          <w:b/>
          <w:bCs/>
          <w:sz w:val="24"/>
          <w:szCs w:val="24"/>
          <w:u w:val="single"/>
        </w:rPr>
      </w:pPr>
      <w:r w:rsidRPr="00AE47C6">
        <w:rPr>
          <w:rFonts w:ascii="Times New Roman" w:eastAsia="SimSun" w:hAnsi="Times New Roman"/>
          <w:b/>
          <w:bCs/>
          <w:sz w:val="24"/>
          <w:szCs w:val="24"/>
          <w:u w:val="single"/>
        </w:rPr>
        <w:t>Педиатрични диагностични критерии за NMOSD</w:t>
      </w:r>
    </w:p>
    <w:p w14:paraId="71592CC5" w14:textId="77777777" w:rsidR="00BE0B19" w:rsidRPr="00AE47C6" w:rsidRDefault="00BE0B19" w:rsidP="00BE0B19">
      <w:pPr>
        <w:spacing w:after="0" w:line="360" w:lineRule="auto"/>
        <w:ind w:firstLine="709"/>
        <w:jc w:val="both"/>
        <w:rPr>
          <w:rFonts w:ascii="Times New Roman" w:eastAsia="SimSun" w:hAnsi="Times New Roman"/>
          <w:b/>
          <w:bCs/>
          <w:sz w:val="24"/>
          <w:szCs w:val="24"/>
          <w:u w:val="single"/>
        </w:rPr>
      </w:pPr>
      <w:r w:rsidRPr="00AE47C6">
        <w:rPr>
          <w:rFonts w:ascii="Times New Roman" w:eastAsia="SimSun" w:hAnsi="Times New Roman"/>
          <w:iCs/>
          <w:sz w:val="24"/>
          <w:szCs w:val="24"/>
        </w:rPr>
        <w:t xml:space="preserve">IPND също потвърждава приложимостта на диагностичните критерии от </w:t>
      </w:r>
      <w:r w:rsidRPr="00AE47C6">
        <w:rPr>
          <w:rFonts w:ascii="Times New Roman" w:eastAsia="SimSun" w:hAnsi="Times New Roman"/>
          <w:iCs/>
          <w:color w:val="000000" w:themeColor="text1"/>
          <w:sz w:val="24"/>
          <w:szCs w:val="24"/>
        </w:rPr>
        <w:t xml:space="preserve">2015 г. </w:t>
      </w:r>
      <w:r w:rsidRPr="00AE47C6">
        <w:rPr>
          <w:rFonts w:ascii="Times New Roman" w:eastAsia="SimSun" w:hAnsi="Times New Roman"/>
          <w:iCs/>
          <w:sz w:val="24"/>
          <w:szCs w:val="24"/>
        </w:rPr>
        <w:t>за педиатрични случаи, но отбелязва, че по-голяма част от децата са с церебрални синдроми и че LETM-</w:t>
      </w:r>
      <w:r w:rsidRPr="00AE47C6">
        <w:rPr>
          <w:rFonts w:ascii="Times New Roman" w:eastAsia="SimSun" w:hAnsi="Times New Roman"/>
          <w:sz w:val="24"/>
          <w:szCs w:val="24"/>
        </w:rPr>
        <w:t>асоциираният</w:t>
      </w:r>
      <w:r w:rsidRPr="00AE47C6">
        <w:rPr>
          <w:rFonts w:ascii="Times New Roman" w:eastAsia="SimSun" w:hAnsi="Times New Roman"/>
          <w:iCs/>
          <w:sz w:val="24"/>
          <w:szCs w:val="24"/>
        </w:rPr>
        <w:t xml:space="preserve"> миелит е по-рядко свързан с NMOSD при децата, в сравнение с възрастните.</w:t>
      </w:r>
    </w:p>
    <w:p w14:paraId="0517684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Педиатричната работна група отбелязва, че повечето клинични, невроизобразяващи и лабораторни характеристики на </w:t>
      </w:r>
      <w:r w:rsidRPr="00AE47C6">
        <w:rPr>
          <w:rFonts w:ascii="Times New Roman" w:eastAsia="SimSun" w:hAnsi="Times New Roman"/>
          <w:iCs/>
          <w:sz w:val="24"/>
          <w:szCs w:val="24"/>
        </w:rPr>
        <w:t>педиатричния</w:t>
      </w:r>
      <w:r w:rsidRPr="00AE47C6">
        <w:rPr>
          <w:rFonts w:ascii="Times New Roman" w:eastAsia="SimSun" w:hAnsi="Times New Roman"/>
          <w:sz w:val="24"/>
          <w:szCs w:val="24"/>
        </w:rPr>
        <w:t xml:space="preserve"> NMOSD са сходни с тези на заболяването при възрастни. Разликите се характеризират с по-ниска честота на заболяването при момичетата и по-често проявяване на заболяването като монофазно.</w:t>
      </w:r>
    </w:p>
    <w:p w14:paraId="6E08E04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Работната група предупреждава за внимание при прилагане на критериите за възрастни NMOSD при деца, като отбелязва, че откриването на LETM лезия при МРТ, свързана с остър миелит, може да бъде по-малко специфично за NMOSD. Приблизително 15% от децата с МС могат да имат LETM по време на рецидив. LETM може да придружава и монофазен ADEM, а AQP4-IgG рядко се открива при деца с монофазен LETM.</w:t>
      </w:r>
    </w:p>
    <w:p w14:paraId="65911E9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При деца, диагностицирани с остър дисеминиран енцефаломиелит (ADEM), наличието на AQP4-IgG благоприятства диагнозата на NMOSD.</w:t>
      </w:r>
    </w:p>
    <w:p w14:paraId="0B4F918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Като изключим изброените предупреждения, предложените понастоящем диагностични критерии за NMOSD при възрастни (≥ 18 години) са подходящи и за педиатричните пациенти, както и за  юноши. За поставяне на точна диагноза за NMOSD може да се наложи продължително наблюдение на клиничния ход и повторно тестване на AQP4-IgG статуса на някои деца, особено на AQP4-IgG-серонегативни индивиди с ADEM-подобно събитие, което включва оптичен неврит и LETM.</w:t>
      </w:r>
    </w:p>
    <w:p w14:paraId="068F8A05"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sz w:val="24"/>
          <w:szCs w:val="24"/>
        </w:rPr>
        <w:t>Диференциална диагноза</w:t>
      </w:r>
      <w:r w:rsidRPr="00AE47C6">
        <w:rPr>
          <w:rFonts w:ascii="Times New Roman" w:eastAsia="SimSun" w:hAnsi="Times New Roman"/>
          <w:bCs/>
          <w:sz w:val="24"/>
          <w:szCs w:val="24"/>
        </w:rPr>
        <w:t xml:space="preserve"> </w:t>
      </w:r>
      <w:r w:rsidRPr="00AE47C6">
        <w:rPr>
          <w:rFonts w:ascii="Times New Roman" w:eastAsia="SimSun" w:hAnsi="Times New Roman"/>
          <w:sz w:val="24"/>
          <w:szCs w:val="24"/>
        </w:rPr>
        <w:t xml:space="preserve">с множествена склероза е трудна, защото NMOSD има сходни клинични прояви. При двете заболявания има характерните прояви на оптичен неврит и трансверзален миелит. </w:t>
      </w:r>
      <w:r w:rsidRPr="00AE47C6">
        <w:rPr>
          <w:rFonts w:ascii="Times New Roman" w:eastAsia="SimSun" w:hAnsi="Times New Roman"/>
          <w:bCs/>
          <w:sz w:val="24"/>
          <w:szCs w:val="24"/>
        </w:rPr>
        <w:t>Най-честите съображения при диференциалната диагноза на NMOSD, положителен за антитяло на аквапорин-4 (AQP4)-имуноглобулин G (IgG), са множествена склероза и заболявания, свързани с антитела срещу миелин олигодендроцитен гликопротеин (MOGAD).</w:t>
      </w:r>
    </w:p>
    <w:p w14:paraId="4BAE935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В началото на 2023 г. бяха предложени от международен експертен  панел диагностични критерии за отдиференцирането на заболяванията, свързани с MOG-IgG (MOGAD). Правилната диагноза на MOGAD е важна, тъй като патологията, лечението и прогнозата за това заболяване са различни от тези за множествена склероза или оптичния невромиелит и заболяванията от спектъра му.</w:t>
      </w:r>
    </w:p>
    <w:p w14:paraId="03577349"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Острият дисеминиран енцефаломиелит и други автоимунни заболявания като системен lupus </w:t>
      </w:r>
      <w:r w:rsidRPr="00AE47C6">
        <w:rPr>
          <w:rFonts w:ascii="Times New Roman" w:eastAsia="SimSun" w:hAnsi="Times New Roman"/>
          <w:sz w:val="24"/>
          <w:szCs w:val="24"/>
        </w:rPr>
        <w:t>erythematosus</w:t>
      </w:r>
      <w:r w:rsidRPr="00AE47C6">
        <w:rPr>
          <w:rFonts w:ascii="Times New Roman" w:eastAsia="SimSun" w:hAnsi="Times New Roman"/>
          <w:bCs/>
          <w:sz w:val="24"/>
          <w:szCs w:val="24"/>
        </w:rPr>
        <w:t xml:space="preserve"> и болест на </w:t>
      </w:r>
      <w:bookmarkStart w:id="266" w:name="_Hlk125317509"/>
      <w:r w:rsidRPr="00AE47C6">
        <w:rPr>
          <w:rFonts w:ascii="Times New Roman" w:eastAsia="SimSun" w:hAnsi="Times New Roman"/>
          <w:bCs/>
          <w:sz w:val="24"/>
          <w:szCs w:val="24"/>
        </w:rPr>
        <w:t xml:space="preserve">Behcet </w:t>
      </w:r>
      <w:bookmarkEnd w:id="266"/>
      <w:r w:rsidRPr="00AE47C6">
        <w:rPr>
          <w:rFonts w:ascii="Times New Roman" w:eastAsia="SimSun" w:hAnsi="Times New Roman"/>
          <w:bCs/>
          <w:sz w:val="24"/>
          <w:szCs w:val="24"/>
        </w:rPr>
        <w:t>рядко могат да имат подобни прояви като NMOSD.</w:t>
      </w:r>
    </w:p>
    <w:p w14:paraId="4CEE629A"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В случаите на </w:t>
      </w:r>
      <w:r w:rsidRPr="00AE47C6">
        <w:rPr>
          <w:rFonts w:ascii="Times New Roman" w:eastAsia="SimSun" w:hAnsi="Times New Roman"/>
          <w:sz w:val="24"/>
          <w:szCs w:val="24"/>
        </w:rPr>
        <w:t>рецидивиращ</w:t>
      </w:r>
      <w:r w:rsidRPr="00AE47C6">
        <w:rPr>
          <w:rFonts w:ascii="Times New Roman" w:eastAsia="SimSun" w:hAnsi="Times New Roman"/>
          <w:bCs/>
          <w:sz w:val="24"/>
          <w:szCs w:val="24"/>
        </w:rPr>
        <w:t xml:space="preserve"> оптичен неврит, който не се дължи на оптичен невромиелит, миелин олигодендроцитен гликопротеин антитяло-свързано заболяване (MOGAD) или множествена склероза, трябва да бъдат изследвани други причини за рецидивиращ оптичен неврит, като саркоидоза, lupus erythematosus, хронична рецидивираща възпалителна оптична невропатия (CRION) или паранеопластична оптична невропатия (серумно CRMP5/CV2 антитяло).</w:t>
      </w:r>
    </w:p>
    <w:p w14:paraId="704998CA"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sz w:val="24"/>
          <w:szCs w:val="24"/>
          <w:shd w:val="clear" w:color="auto" w:fill="FFFFFF"/>
        </w:rPr>
        <w:t>Лонгитудиналната екстензивна трансверзална лезия на гръбначния мозък</w:t>
      </w:r>
      <w:r w:rsidRPr="00AE47C6">
        <w:rPr>
          <w:rFonts w:ascii="Times New Roman" w:eastAsia="SimSun" w:hAnsi="Times New Roman"/>
          <w:bCs/>
          <w:sz w:val="24"/>
          <w:szCs w:val="24"/>
        </w:rPr>
        <w:t xml:space="preserve"> не е специфична за NMOSD. Описана е при пациенти с други автоимунни или възпалителни заболявания, включително </w:t>
      </w:r>
      <w:r w:rsidRPr="00AE47C6">
        <w:rPr>
          <w:rFonts w:ascii="Times New Roman" w:eastAsia="SimSun" w:hAnsi="Times New Roman"/>
          <w:sz w:val="24"/>
          <w:szCs w:val="24"/>
        </w:rPr>
        <w:t>системен</w:t>
      </w:r>
      <w:r w:rsidRPr="00AE47C6">
        <w:rPr>
          <w:rFonts w:ascii="Times New Roman" w:eastAsia="SimSun" w:hAnsi="Times New Roman"/>
          <w:bCs/>
          <w:sz w:val="24"/>
          <w:szCs w:val="24"/>
        </w:rPr>
        <w:t xml:space="preserve"> lupus erythematosus, синдром на Sjögren, невро-Behcet, саркоидоза, МС, MOGAD, параинфекциозни заболявания (напр. остър дисеминиран енцефаломиелит) и анти-N-метил-D-аспартат рецепторен енцефалит.</w:t>
      </w:r>
    </w:p>
    <w:p w14:paraId="52777E55"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Остри миелопатии възникват при интратекални тумори, съдови аномалии (напр. спинална дурална </w:t>
      </w:r>
      <w:r w:rsidRPr="00AE47C6">
        <w:rPr>
          <w:rFonts w:ascii="Times New Roman" w:eastAsia="SimSun" w:hAnsi="Times New Roman"/>
          <w:sz w:val="24"/>
          <w:szCs w:val="24"/>
        </w:rPr>
        <w:t>артериовенозна</w:t>
      </w:r>
      <w:r w:rsidRPr="00AE47C6">
        <w:rPr>
          <w:rFonts w:ascii="Times New Roman" w:eastAsia="SimSun" w:hAnsi="Times New Roman"/>
          <w:bCs/>
          <w:sz w:val="24"/>
          <w:szCs w:val="24"/>
        </w:rPr>
        <w:t xml:space="preserve"> фистула и инфаркти, дължащи се на оклузия на предната спинална артерия), метаболитни състояния (напр. дефицит на витамин B</w:t>
      </w:r>
      <w:r w:rsidRPr="00AE47C6">
        <w:rPr>
          <w:rFonts w:ascii="Times New Roman" w:eastAsia="SimSun" w:hAnsi="Times New Roman"/>
          <w:bCs/>
          <w:sz w:val="24"/>
          <w:szCs w:val="24"/>
          <w:vertAlign w:val="subscript"/>
        </w:rPr>
        <w:t>12</w:t>
      </w:r>
      <w:r w:rsidRPr="00AE47C6">
        <w:rPr>
          <w:rFonts w:ascii="Times New Roman" w:eastAsia="SimSun" w:hAnsi="Times New Roman"/>
          <w:bCs/>
          <w:sz w:val="24"/>
          <w:szCs w:val="24"/>
        </w:rPr>
        <w:t>, причиняващ подостра комбинирана дегенерация на гръбначния мозък), лъчетерапия и вирусни инфекции (напр. HIV-1, HTLV-1).</w:t>
      </w:r>
    </w:p>
    <w:p w14:paraId="4D3673F2"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Лечението</w:t>
      </w:r>
      <w:r w:rsidRPr="00AE47C6">
        <w:rPr>
          <w:rFonts w:ascii="Times New Roman" w:eastAsia="SimSun" w:hAnsi="Times New Roman"/>
          <w:sz w:val="24"/>
          <w:szCs w:val="24"/>
        </w:rPr>
        <w:t xml:space="preserve"> със специфична за болестта терапия за предотвратяване на рецидиви е от първостепенно </w:t>
      </w:r>
      <w:r w:rsidRPr="00AE47C6">
        <w:rPr>
          <w:rFonts w:ascii="Times New Roman" w:eastAsia="SimSun" w:hAnsi="Times New Roman"/>
          <w:bCs/>
          <w:sz w:val="24"/>
          <w:szCs w:val="24"/>
        </w:rPr>
        <w:t>значение</w:t>
      </w:r>
      <w:r w:rsidRPr="00AE47C6">
        <w:rPr>
          <w:rFonts w:ascii="Times New Roman" w:eastAsia="SimSun" w:hAnsi="Times New Roman"/>
          <w:sz w:val="24"/>
          <w:szCs w:val="24"/>
        </w:rPr>
        <w:t xml:space="preserve"> и трябва да започне рано.</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Много пациенти имат трайна и тежка инвалидизация след първата клинична проява и могат да се влошат с всеки следващ рецидив. </w:t>
      </w:r>
    </w:p>
    <w:p w14:paraId="3D0AE86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Терапевтичният подход включва:</w:t>
      </w:r>
    </w:p>
    <w:p w14:paraId="66836B7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а. Лечение на острите пристъпи.</w:t>
      </w:r>
    </w:p>
    <w:p w14:paraId="5ABDEA0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б. Предотвратяване на пристъпи.</w:t>
      </w:r>
    </w:p>
    <w:p w14:paraId="42C8D54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в. Облекчаване на остатъчни симптоми.</w:t>
      </w:r>
    </w:p>
    <w:p w14:paraId="2DABF059" w14:textId="77777777" w:rsidR="00BE0B19" w:rsidRPr="00AE47C6" w:rsidRDefault="00BE0B19" w:rsidP="00BE0B19">
      <w:pPr>
        <w:spacing w:after="0" w:line="360" w:lineRule="auto"/>
        <w:ind w:firstLine="709"/>
        <w:jc w:val="both"/>
        <w:rPr>
          <w:rFonts w:ascii="Times New Roman" w:eastAsia="SimSun" w:hAnsi="Times New Roman"/>
          <w:b/>
          <w:sz w:val="24"/>
          <w:szCs w:val="24"/>
          <w:u w:val="single"/>
        </w:rPr>
      </w:pPr>
      <w:r w:rsidRPr="00AE47C6">
        <w:rPr>
          <w:rFonts w:ascii="Times New Roman" w:eastAsia="SimSun" w:hAnsi="Times New Roman"/>
          <w:b/>
          <w:sz w:val="24"/>
          <w:szCs w:val="24"/>
          <w:u w:val="single"/>
        </w:rPr>
        <w:t>Лечението на пристъп</w:t>
      </w:r>
      <w:r w:rsidRPr="00AE47C6">
        <w:rPr>
          <w:rFonts w:ascii="Times New Roman" w:eastAsia="SimSun" w:hAnsi="Times New Roman"/>
          <w:sz w:val="24"/>
          <w:szCs w:val="24"/>
        </w:rPr>
        <w:t xml:space="preserve"> не се различава при серонегативният и серопозитивният NMOSD.</w:t>
      </w:r>
    </w:p>
    <w:p w14:paraId="3830461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Пристъпът при NMOSD се дефинира като обективно неврологично влошаване, дължащо се на фокално или мултифокално възпаление на централната нервна система, което се развива остро или подостро при липса на температура или инфекция, с продъл</w:t>
      </w:r>
      <w:bookmarkStart w:id="267" w:name="_Hlk125346598"/>
      <w:r w:rsidRPr="00AE47C6">
        <w:rPr>
          <w:rFonts w:ascii="Times New Roman" w:eastAsia="SimSun" w:hAnsi="Times New Roman"/>
          <w:sz w:val="24"/>
          <w:szCs w:val="24"/>
        </w:rPr>
        <w:t>ж</w:t>
      </w:r>
      <w:bookmarkEnd w:id="267"/>
      <w:r w:rsidRPr="00AE47C6">
        <w:rPr>
          <w:rFonts w:ascii="Times New Roman" w:eastAsia="SimSun" w:hAnsi="Times New Roman"/>
          <w:sz w:val="24"/>
          <w:szCs w:val="24"/>
        </w:rPr>
        <w:t>ителност най-малко 24 часа и настъпващо повече от 30 дни след предишния пристъп. Това определение е подобно на определението за рецидив на множествена склероза.</w:t>
      </w:r>
    </w:p>
    <w:p w14:paraId="2EFDF6A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Първоначалното лечение на пристъп е с висока дози интравенозен methylprednisolone - 1 g. дневно в продължение на 3 до 5 последователни дни. Следва бавно отнемане на кортикостероидната терапия и прилагане поддържаща доза (10-20 mg) за 2 до 6 месеца за постигне ефективна щадяща стероиди имуносупресия. </w:t>
      </w:r>
    </w:p>
    <w:p w14:paraId="5FEC997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Отговорът на първоначалното лечение често е субоптимален и повечето пациенти имат нужда от повторен курс на високи дози кортикостероиди (КС). Допълнителните курсове, особено вторият се свързват с повишен процент на ремисии. </w:t>
      </w:r>
    </w:p>
    <w:p w14:paraId="12C875E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Ескалационна терапия с плазмен обмен се използва по-често като следващ курс на лечение при липса на ефект. Обмените се извършват през ден до общо седем. За пациенти с тежки симптоми или загуба на зрение, които са слабо повлияващи се от КС, терапевтичният плазмен обмен е работещото „съпътстващо“ или „спасително“ лечение. </w:t>
      </w:r>
    </w:p>
    <w:p w14:paraId="2F5FC23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Ограничени данни сочат (ретроспективни и неконтролирани проучвания), че пациентите с тежки пристъпи на NMOSD се справят по-добре, ако плазменият обмен започне рано като допълнителна терапия към КС. Първоначалното лечение с интравенозни КС плюс ранен терапевтичен плазмен обмен е свързано с подобрени резултати в сравнение със забавено започване на плазмен обмен след лечение с КС. Интравенозният имуноглобулин не е специално оценен за остри атаки на NMOSD и рядко се използва.</w:t>
      </w:r>
    </w:p>
    <w:p w14:paraId="07AA5A4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u w:val="single"/>
        </w:rPr>
        <w:t>Имуномодулиращото лечение</w:t>
      </w:r>
      <w:r w:rsidRPr="00AE47C6">
        <w:rPr>
          <w:rFonts w:ascii="Times New Roman" w:eastAsia="SimSun" w:hAnsi="Times New Roman"/>
          <w:sz w:val="24"/>
          <w:szCs w:val="24"/>
        </w:rPr>
        <w:t xml:space="preserve"> с интравенозните имуноглобулини (IVIG) като имуномодулираща терапия могат да бъдат ефективни предвид потенциалната хуморална имунопатогенеза. В литературата обаче има много малко подкрепящи данни.</w:t>
      </w:r>
    </w:p>
    <w:p w14:paraId="2D56F6C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Много пациенти с недоказан NMOSD получават първоначална диагноза МС и се лекуват с имуномодулиращи терапии като interferon-β и glatiramer acetate. Някои болест модифициращи терапии, използвани за лечение на МС, могат да влошат NMOSD. При пациенти с NMOSD, които са лекувани с interferon-β 1b могат да настъпят обостряния на тежък ОN и трансверзален миелит. </w:t>
      </w:r>
    </w:p>
    <w:p w14:paraId="7C4693C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i/>
          <w:iCs/>
          <w:sz w:val="24"/>
          <w:szCs w:val="24"/>
        </w:rPr>
        <w:t>Имуносупресивното лечение с нерегистрирани за профилактика медикаменти</w:t>
      </w:r>
      <w:r w:rsidRPr="00AE47C6">
        <w:rPr>
          <w:rFonts w:ascii="Times New Roman" w:eastAsia="SimSun" w:hAnsi="Times New Roman"/>
          <w:sz w:val="24"/>
          <w:szCs w:val="24"/>
        </w:rPr>
        <w:t xml:space="preserve">, като prednisolone, azathioprine, mycophenolate mofetil, mitoxantrone, rituximab, tocilizumab, cyclophosphamide и methotrexate се прилага за предотвратяване на рецидив при NMOSD. Употребата им е базирана на малки, отворени и/или неконтролирани клинични проучвания. </w:t>
      </w:r>
    </w:p>
    <w:p w14:paraId="3A9FFE7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Prednisolone</w:t>
      </w:r>
      <w:r w:rsidRPr="00AE47C6">
        <w:rPr>
          <w:rFonts w:ascii="Times New Roman" w:eastAsia="SimSun" w:hAnsi="Times New Roman"/>
          <w:sz w:val="24"/>
          <w:szCs w:val="24"/>
        </w:rPr>
        <w:t xml:space="preserve"> в ниски дози (5–20 mg дневно) намалява честотата на пристъпите. Рецидивите се наблюдават значително по-често, когато дозата се намали до 10 mg/ден.</w:t>
      </w:r>
    </w:p>
    <w:p w14:paraId="26F174C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Azathioprine</w:t>
      </w:r>
      <w:r w:rsidRPr="00AE47C6">
        <w:rPr>
          <w:rFonts w:ascii="Times New Roman" w:eastAsia="SimSun" w:hAnsi="Times New Roman"/>
          <w:sz w:val="24"/>
          <w:szCs w:val="24"/>
        </w:rPr>
        <w:t xml:space="preserve"> първоначално трябва да се комбинира с кортикостероиди. Лечението е ефективно след 3-6 месеца. Prednisolone (1 mg/kg/дневно) в комбинация с аzathioprine (75–100 mg дневно), са ефективни за период на лечение от 19 месеца (подобрение на EDSS и липса на рецидиви). Наблюдава се клинично влошаване, когато prednisolone е намален под 5–15 mg/ден.</w:t>
      </w:r>
    </w:p>
    <w:p w14:paraId="181A629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Cyclophosphamide</w:t>
      </w:r>
      <w:r w:rsidRPr="00AE47C6">
        <w:rPr>
          <w:rFonts w:ascii="Times New Roman" w:eastAsia="SimSun" w:hAnsi="Times New Roman"/>
          <w:sz w:val="24"/>
          <w:szCs w:val="24"/>
        </w:rPr>
        <w:t xml:space="preserve"> е частично ефективен при NMOSD и подобни автоимунни заболявания. Имуносупресията е преходна, когато cyclophosphamide се прилага в стандартни пулсови дози и имунната система се възвръща към изходното ниво в рамките на няколко месеца до една година след прекратяването на лечението. Схемите на лечение с интравенозен cyclophosphamide варират от 7 до 25 mg/kg всеки месец за период от 6 месеца. За предотвратяване на хеморагичен цистит обаче с всяка доза трябва да се влива и uromitexan. В допълнение, има повишен риск от появата на аменорея и сепсис.</w:t>
      </w:r>
    </w:p>
    <w:p w14:paraId="47461D3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Methotrexate</w:t>
      </w:r>
      <w:r w:rsidRPr="00AE47C6">
        <w:rPr>
          <w:rFonts w:ascii="Times New Roman" w:eastAsia="SimSun" w:hAnsi="Times New Roman"/>
          <w:sz w:val="24"/>
          <w:szCs w:val="24"/>
        </w:rPr>
        <w:t xml:space="preserve"> (интравенозно 50 mg седмично) в комбинация с prednisolone (1 mg/kg/дневно) води до клинично стабилизиране. </w:t>
      </w:r>
    </w:p>
    <w:p w14:paraId="67DAB9D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Mitoxantrone</w:t>
      </w:r>
      <w:r w:rsidRPr="00AE47C6">
        <w:rPr>
          <w:rFonts w:ascii="Times New Roman" w:eastAsia="SimSun" w:hAnsi="Times New Roman"/>
          <w:sz w:val="24"/>
          <w:szCs w:val="24"/>
        </w:rPr>
        <w:t xml:space="preserve"> е антрацендионов антинеопластичен агент, който взаимодейства с ДНК и инхибира ДНК и РНК синтеза, като потиска Т-клетъчния и В-клетъчния имунитет. Проспективно проучване (12 mg/m</w:t>
      </w:r>
      <w:r w:rsidRPr="00AE47C6">
        <w:rPr>
          <w:rFonts w:ascii="Times New Roman" w:eastAsia="SimSun" w:hAnsi="Times New Roman"/>
          <w:sz w:val="24"/>
          <w:szCs w:val="24"/>
          <w:vertAlign w:val="superscript"/>
        </w:rPr>
        <w:t>2</w:t>
      </w:r>
      <w:r w:rsidRPr="00AE47C6">
        <w:rPr>
          <w:rFonts w:ascii="Times New Roman" w:eastAsia="SimSun" w:hAnsi="Times New Roman"/>
          <w:sz w:val="24"/>
          <w:szCs w:val="24"/>
        </w:rPr>
        <w:t xml:space="preserve"> месечно в продължение на 6 месеца, последвана от още три лечения, на всеки 3 месеца), установява, че четири от пет пациенти с рецидивиращ NMOSD се стабилизират и са отчетени подобрения при МРТ.</w:t>
      </w:r>
    </w:p>
    <w:p w14:paraId="4D1758A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Mycophenolate mofetil</w:t>
      </w:r>
      <w:r w:rsidRPr="00AE47C6">
        <w:rPr>
          <w:rFonts w:ascii="Times New Roman" w:eastAsia="SimSun" w:hAnsi="Times New Roman"/>
          <w:sz w:val="24"/>
          <w:szCs w:val="24"/>
        </w:rPr>
        <w:t xml:space="preserve"> в перорална доза 1-3 g/ден се препоръчва при случаи, изискващи имуносупресия и се използва най-вече, когато е необходим бърз терапевтичен ефект и когато липсва отговор при терапия с azathioprine. Средната годишна честота на пристъпите след лечение с mycophenolate mofetil е по-ниска от тази преди лечението.</w:t>
      </w:r>
    </w:p>
    <w:p w14:paraId="13B19ED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Rituximab</w:t>
      </w:r>
      <w:r w:rsidRPr="00AE47C6">
        <w:rPr>
          <w:rFonts w:ascii="Times New Roman" w:eastAsia="SimSun" w:hAnsi="Times New Roman"/>
          <w:sz w:val="24"/>
          <w:szCs w:val="24"/>
        </w:rPr>
        <w:t xml:space="preserve"> е анти-CD20 моноклонално антитяло, способно да изчерпва зрелите и прекурсорните В-клетки, намалява активността на заболяването и предотвратява натрупването на неврологичен дефицит. Повечето от доказателствата, подкрепящи ефективността на rituximab, което също е лекарство без терапевтични показания за лечение на NMOSD, идват от малки неконтролирани клинични изпитвания. Rituximab има противоречиви ефекти при NMOSD с влошаване на симптомите на заболяването. Причините за това могат да се дължат на факта, че CD20 не се експресира върху плазмабластите, които произвеждат анти-AQP4-IgG, и няма ефект върху повишеното производство на В-клетъчен активиращ фактор (BAFF) или на генетичните полиморфизми в Fc рецепторния ген FCGR3A. </w:t>
      </w:r>
    </w:p>
    <w:p w14:paraId="20278E9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Комбинираната терапия</w:t>
      </w:r>
      <w:r w:rsidRPr="00AE47C6">
        <w:rPr>
          <w:rFonts w:ascii="Times New Roman" w:eastAsia="SimSun" w:hAnsi="Times New Roman"/>
          <w:sz w:val="24"/>
          <w:szCs w:val="24"/>
        </w:rPr>
        <w:t xml:space="preserve"> е потенциален вариант за пациенти с рецидивиращ ход на заболяването. Пероралните кортикостероиди, комбинирани с azathioprine, водят до намаляване на годишната честота на пристъпите. Methotrexate в комбинация с перорални кортикостероиди води до стабилизиране на заболяването. Сyclosporine A, от друга страна, в комбинация с ниски дози на перорални стероиди също е ефективна терапия при пациенти с NMOSD. Периодичната плазмафереза, комбинирана с имуносупресивно лечение, намалява клиничните прояви на заболяването.</w:t>
      </w:r>
    </w:p>
    <w:p w14:paraId="28956988"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bCs/>
          <w:i/>
          <w:iCs/>
          <w:sz w:val="24"/>
          <w:szCs w:val="24"/>
        </w:rPr>
        <w:t>Лечение с регистрирани за профилактика медикаменти</w:t>
      </w:r>
      <w:r w:rsidRPr="00AE47C6">
        <w:rPr>
          <w:rFonts w:ascii="Times New Roman" w:eastAsia="SimSun" w:hAnsi="Times New Roman"/>
          <w:sz w:val="24"/>
          <w:szCs w:val="24"/>
        </w:rPr>
        <w:t xml:space="preserve">, доказали ефективност в рамките на контролирани многоцентрови проучвания. Eculizumab, </w:t>
      </w:r>
      <w:r w:rsidRPr="00AE47C6">
        <w:rPr>
          <w:rFonts w:ascii="Times New Roman" w:eastAsia="SimSun" w:hAnsi="Times New Roman"/>
          <w:color w:val="000000" w:themeColor="text1"/>
          <w:sz w:val="24"/>
          <w:szCs w:val="24"/>
        </w:rPr>
        <w:t xml:space="preserve">inebilizumab </w:t>
      </w:r>
      <w:r w:rsidRPr="00AE47C6">
        <w:rPr>
          <w:rFonts w:ascii="Times New Roman" w:eastAsia="SimSun" w:hAnsi="Times New Roman"/>
          <w:sz w:val="24"/>
          <w:szCs w:val="24"/>
        </w:rPr>
        <w:t>и satralizumab са одобрени от Американската администрация по храните и лекарствата (FDA).</w:t>
      </w:r>
    </w:p>
    <w:p w14:paraId="06FE4ED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 xml:space="preserve">Eculizumab </w:t>
      </w:r>
      <w:r w:rsidRPr="00AE47C6">
        <w:rPr>
          <w:rFonts w:ascii="Times New Roman" w:eastAsia="SimSun" w:hAnsi="Times New Roman"/>
          <w:sz w:val="24"/>
          <w:szCs w:val="24"/>
        </w:rPr>
        <w:t>получава одобрение през 2019 г. от Европейската агенция по лекарствата (EMA) като първото  превантивно лечение при възрастни пациенти с NMOSD, които са положителни за AQP4-IgG с рецидивиращ ход на заболяването. Eculizumab е хуманизирано моноклонално антитяло, насочено срещу комплементарния компонент С5. Той инхибира разцепването на C5 в/ на C5a и C5b, което води до блокиране на разгръщането на крайната комплементна система, включително образуването на мембранен атакуващ комплекс. Eculizumab не може да бъде предписан при първоначален пристъп и широкото му прилагане е възпрепятствано от прекалено високите му разходи към момента.</w:t>
      </w:r>
    </w:p>
    <w:p w14:paraId="6524408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Satralizumab</w:t>
      </w:r>
      <w:r w:rsidRPr="00AE47C6">
        <w:rPr>
          <w:rFonts w:ascii="Times New Roman" w:eastAsia="SimSun" w:hAnsi="Times New Roman"/>
          <w:sz w:val="24"/>
          <w:szCs w:val="24"/>
        </w:rPr>
        <w:t xml:space="preserve"> е одобрен от ЕМА през 2021г. като монотерапия или в комбинация с имуносупресивна терапия (ИСТ) за лечение на заболявания от спектъра на оптичния невромиелит (NMOSD) при възрастни пациенти и юноши над 12-годишна възраст, които са анти-аквапорин 4 IgG (AQP4-IgG) серопозитивни. Представлява рекомбинантно хуманизирано имуноглобулин G2 (IgG2) моноклонално антитяло (mAb), което се свързва с разтворимите и с мембранно свързаните човешки IL-6 рецептори (IL-6R) и по този начин предотвратява низходящото IL-6 сигнализиране, осъществено посредством тези рецептори. Нивата на IL-6 са повишени в цереброспиналната течност и серума на пациенти с NMOSD по време на периоди на активност на заболяването. </w:t>
      </w:r>
    </w:p>
    <w:p w14:paraId="3ACDAAB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Satralizumab 120 mg се прилага чрез подкожна инжекция, в предварително напълнена спринцовка с една доза. В началото се прилага натоварваща доза 120 mg на всеки две седмици за първите три приложения (първа доза на седмица 0, втора доза на седмица 2 и трета доза на седмица 4) и поддържащи доза 120 mg на всеки четири седмици. Дозировката при юноши ≥ 12 години с телесно тегло ≥ 40 kg и възрастни пациенти е еднаква. Първата инжекция трябва да се постави под наблюдението на медицински специалист. След обучение за поставяне на инжекцията, възрастен пациент/обгрижващо лице може да прилага другите дози вкъщи.</w:t>
      </w:r>
    </w:p>
    <w:p w14:paraId="7F1AA5C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Satralizumab е изследван в две международни, рандомизирани, многоцентрови, двойно слепи, плацебо-контролирани клинични изпитвания от фаза III за лечение на NMOSD. Лечението със satralizumab със или без имуносупресивна терапия води до общо намаление на риска от  получаване на потвърден рецидив с 75% при AQP4-IgG серопозитивни пациенти. Намалява годишната честота на потвърдени рецидиви с 90% и риска от тежък рецидив, определен като повишение в EDSS ≥ 2 пункта спрямо предишната оценка по EDSS с 85%.  Ефикасността не е значима при пациенти, серонегативни за AQP4-IgG.</w:t>
      </w:r>
    </w:p>
    <w:p w14:paraId="3C570D8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Антилекарствени антитела (ADA) са наблюдавани при до 71% от пациентите, получаващи satralizumab, но тяхната способност да неутрализират свързването със satralizumab е неизвестна. </w:t>
      </w:r>
    </w:p>
    <w:p w14:paraId="72AEB11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Най-често съобщаваните нежелани реакции са главоболие (19,2%), артралгия (13,5%), намален брой бели кръвни клетки (13,5%), хиперлипидемия (13,5%) и реакции, свързани с инжектирането (12,5%). Най-чести локални реакции на мястото на инжектиране са зачервяване на кожата, еритем, сърбеж, обрив и болка. Повечето от тях възникват в рамките на 24 часа. Най-често съобщаваните системни симптоми са диария и главоболие.</w:t>
      </w:r>
    </w:p>
    <w:p w14:paraId="32CD5A70"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Повечето случаи (9,6%) на намаление на броя на неутрофилите под 1 x 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/l са преходни или интермитентни. Намалението на броя на тромбоцитите (под 150 x 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/l) възниква при 24,0% от пациентите, не е свързано с кървене (не спада под 75 x 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 xml:space="preserve">/l) и е преходно. Повишение на ALT или AST възниква при 27,9% от пациентите, повечето са под 3 x </w:t>
      </w:r>
      <w:r w:rsidRPr="00AE47C6">
        <w:rPr>
          <w:rFonts w:ascii="Times New Roman" w:eastAsia="SimSun" w:hAnsi="Times New Roman"/>
          <w:color w:val="000000" w:themeColor="text1"/>
          <w:sz w:val="24"/>
          <w:szCs w:val="24"/>
        </w:rPr>
        <w:t>ГГН</w:t>
      </w:r>
      <w:r w:rsidRPr="00AE47C6">
        <w:rPr>
          <w:rFonts w:ascii="Times New Roman" w:eastAsia="SimSun" w:hAnsi="Times New Roman"/>
          <w:sz w:val="24"/>
          <w:szCs w:val="24"/>
        </w:rPr>
        <w:t>, преходни са и отзвучават без прекъсване на лечението. Повишение на ALT или AST &gt; 3 x ГГН възниква съответно при 2,9% от пациентите, не е свързано с повишение на общия билирубин. Стойностите са нормализирани след преустановяване на лечението.</w:t>
      </w:r>
    </w:p>
    <w:p w14:paraId="0B13377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Повишение на общия холестерол над 7,75 mmol/l възниква при 10,6% от пациентите. Повишение на триглицеридите над 3,42 mmol/l  възниква при 20,2% от пациентите.</w:t>
      </w:r>
    </w:p>
    <w:p w14:paraId="7B4342E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Противопоказан е при свръхчувствителност към активното вещество или към някое от помощните вещества, бременност и кърмене. Приложението на satralizumab трябва да се отложи при пациенти с активна инфекция до овладяване на инфекцията.</w:t>
      </w:r>
    </w:p>
    <w:p w14:paraId="5E6A184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Всички пациенти с </w:t>
      </w:r>
      <w:bookmarkStart w:id="268" w:name="_Hlk129638331"/>
      <w:r w:rsidRPr="00AE47C6">
        <w:rPr>
          <w:rFonts w:ascii="Times New Roman" w:eastAsia="SimSun" w:hAnsi="Times New Roman"/>
          <w:sz w:val="24"/>
          <w:szCs w:val="24"/>
        </w:rPr>
        <w:t>положителен тест за AQP4-IgG</w:t>
      </w:r>
      <w:bookmarkEnd w:id="268"/>
      <w:r w:rsidRPr="00AE47C6">
        <w:rPr>
          <w:rFonts w:ascii="Times New Roman" w:eastAsia="SimSun" w:hAnsi="Times New Roman"/>
          <w:sz w:val="24"/>
          <w:szCs w:val="24"/>
        </w:rPr>
        <w:t xml:space="preserve"> трябва рано да получат дългосрочна имуносупресия със стероид-щадящи терапия. Цена, достъп, коморбидност, планиране на бременност, логистика трябва да се вземат под внимание при избора.</w:t>
      </w:r>
    </w:p>
    <w:p w14:paraId="2732CBA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Допълнително поддържащи ниски дози prednisone (5-20 mg/дн.) могат да бъдат използвани в определени ситуации за увеличение на ефикасността.</w:t>
      </w:r>
    </w:p>
    <w:p w14:paraId="62BB169C" w14:textId="77777777" w:rsidR="00BE0B19" w:rsidRPr="00AE47C6" w:rsidRDefault="00BE0B19" w:rsidP="00BE0B19">
      <w:pPr>
        <w:spacing w:after="0" w:line="360" w:lineRule="auto"/>
        <w:ind w:firstLine="709"/>
        <w:jc w:val="both"/>
        <w:rPr>
          <w:rFonts w:ascii="Times New Roman" w:eastAsia="SimSun" w:hAnsi="Times New Roman"/>
          <w:color w:val="FF0000"/>
          <w:sz w:val="24"/>
          <w:szCs w:val="24"/>
        </w:rPr>
      </w:pPr>
    </w:p>
    <w:tbl>
      <w:tblPr>
        <w:tblStyle w:val="TableGrid2"/>
        <w:tblW w:w="9634" w:type="dxa"/>
        <w:tblLook w:val="04A0" w:firstRow="1" w:lastRow="0" w:firstColumn="1" w:lastColumn="0" w:noHBand="0" w:noVBand="1"/>
      </w:tblPr>
      <w:tblGrid>
        <w:gridCol w:w="4531"/>
        <w:gridCol w:w="5103"/>
      </w:tblGrid>
      <w:tr w:rsidR="00BE0B19" w:rsidRPr="00AE47C6" w14:paraId="3EB3D8C4" w14:textId="77777777" w:rsidTr="00AD72E5">
        <w:tc>
          <w:tcPr>
            <w:tcW w:w="4531" w:type="dxa"/>
          </w:tcPr>
          <w:p w14:paraId="3E5F5C2D" w14:textId="77777777" w:rsidR="00BE0B19" w:rsidRPr="00AE47C6" w:rsidRDefault="00BE0B19" w:rsidP="00BE0B19">
            <w:pPr>
              <w:spacing w:after="0" w:line="360" w:lineRule="auto"/>
              <w:jc w:val="both"/>
              <w:rPr>
                <w:rFonts w:ascii="Times New Roman" w:hAnsi="Times New Roman"/>
                <w:b/>
                <w:bCs/>
                <w:sz w:val="24"/>
                <w:szCs w:val="24"/>
              </w:rPr>
            </w:pPr>
            <w:r w:rsidRPr="00AE47C6">
              <w:rPr>
                <w:rFonts w:ascii="Times New Roman" w:hAnsi="Times New Roman"/>
                <w:b/>
                <w:bCs/>
                <w:sz w:val="24"/>
                <w:szCs w:val="24"/>
              </w:rPr>
              <w:t>Критерии за лечение на NMOSD</w:t>
            </w:r>
          </w:p>
          <w:p w14:paraId="6B600DB3"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I. Включващи</w:t>
            </w:r>
          </w:p>
          <w:p w14:paraId="5EFA86AF" w14:textId="77777777" w:rsidR="00BE0B19" w:rsidRPr="00AE47C6" w:rsidRDefault="00BE0B19" w:rsidP="00BE0B19">
            <w:pPr>
              <w:numPr>
                <w:ilvl w:val="0"/>
                <w:numId w:val="410"/>
              </w:numPr>
              <w:spacing w:after="0" w:line="360" w:lineRule="auto"/>
              <w:contextualSpacing/>
              <w:jc w:val="both"/>
              <w:rPr>
                <w:rFonts w:ascii="Times New Roman" w:hAnsi="Times New Roman"/>
                <w:sz w:val="24"/>
                <w:szCs w:val="24"/>
              </w:rPr>
            </w:pPr>
            <w:r w:rsidRPr="00AE47C6">
              <w:rPr>
                <w:rFonts w:ascii="Times New Roman" w:hAnsi="Times New Roman"/>
                <w:sz w:val="24"/>
                <w:szCs w:val="24"/>
              </w:rPr>
              <w:t>Диагноза NMO по ревизираните от Международният панел за диагностика на NMOSD (IPND) критерии на Wingerchuk</w:t>
            </w:r>
          </w:p>
          <w:p w14:paraId="4C0DCEC0" w14:textId="77777777" w:rsidR="00BE0B19" w:rsidRPr="00AE47C6" w:rsidRDefault="00BE0B19" w:rsidP="00BE0B19">
            <w:pPr>
              <w:numPr>
                <w:ilvl w:val="0"/>
                <w:numId w:val="410"/>
              </w:numPr>
              <w:spacing w:after="0" w:line="360" w:lineRule="auto"/>
              <w:contextualSpacing/>
              <w:jc w:val="both"/>
              <w:rPr>
                <w:rFonts w:ascii="Times New Roman" w:hAnsi="Times New Roman"/>
                <w:sz w:val="24"/>
                <w:szCs w:val="24"/>
              </w:rPr>
            </w:pPr>
            <w:r w:rsidRPr="00AE47C6">
              <w:rPr>
                <w:rFonts w:ascii="Times New Roman" w:hAnsi="Times New Roman"/>
                <w:sz w:val="24"/>
                <w:szCs w:val="24"/>
              </w:rPr>
              <w:t>Възраст над 12 години.</w:t>
            </w:r>
          </w:p>
          <w:p w14:paraId="48C17A29" w14:textId="77777777" w:rsidR="00BE0B19" w:rsidRPr="00AE47C6" w:rsidRDefault="00BE0B19" w:rsidP="00BE0B19">
            <w:pPr>
              <w:numPr>
                <w:ilvl w:val="0"/>
                <w:numId w:val="410"/>
              </w:numPr>
              <w:spacing w:after="0" w:line="360" w:lineRule="auto"/>
              <w:contextualSpacing/>
              <w:jc w:val="both"/>
              <w:rPr>
                <w:rFonts w:ascii="Times New Roman" w:hAnsi="Times New Roman"/>
                <w:sz w:val="24"/>
                <w:szCs w:val="24"/>
              </w:rPr>
            </w:pPr>
            <w:bookmarkStart w:id="269" w:name="_Hlk129636672"/>
            <w:r w:rsidRPr="00AE47C6">
              <w:rPr>
                <w:rFonts w:ascii="Times New Roman" w:hAnsi="Times New Roman"/>
                <w:sz w:val="24"/>
                <w:szCs w:val="24"/>
              </w:rPr>
              <w:t>Положителен тест за AQP4-IgG</w:t>
            </w:r>
            <w:bookmarkEnd w:id="269"/>
            <w:r w:rsidRPr="00AE47C6">
              <w:rPr>
                <w:rFonts w:ascii="Times New Roman" w:hAnsi="Times New Roman"/>
                <w:sz w:val="24"/>
                <w:szCs w:val="24"/>
              </w:rPr>
              <w:t>, използващ най-добрия наличен метод за откриване</w:t>
            </w:r>
          </w:p>
          <w:p w14:paraId="41784BA3" w14:textId="77777777" w:rsidR="00BE0B19" w:rsidRPr="00AE47C6" w:rsidRDefault="00BE0B19" w:rsidP="00BE0B19">
            <w:pPr>
              <w:numPr>
                <w:ilvl w:val="0"/>
                <w:numId w:val="410"/>
              </w:numPr>
              <w:spacing w:after="0" w:line="360" w:lineRule="auto"/>
              <w:contextualSpacing/>
              <w:jc w:val="both"/>
              <w:rPr>
                <w:rFonts w:ascii="Times New Roman" w:hAnsi="Times New Roman"/>
                <w:sz w:val="24"/>
                <w:szCs w:val="24"/>
              </w:rPr>
            </w:pPr>
            <w:r w:rsidRPr="00AE47C6">
              <w:rPr>
                <w:rFonts w:ascii="Times New Roman" w:hAnsi="Times New Roman"/>
                <w:sz w:val="24"/>
                <w:szCs w:val="24"/>
              </w:rPr>
              <w:t>Инвалидност до 6,5 по скалата на Kurtzke</w:t>
            </w:r>
          </w:p>
          <w:p w14:paraId="3EFA96C3"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ІІ. Изключващи</w:t>
            </w:r>
          </w:p>
          <w:p w14:paraId="2E769BEB" w14:textId="77777777" w:rsidR="00BE0B19" w:rsidRPr="00AE47C6" w:rsidRDefault="00BE0B19" w:rsidP="00BE0B19">
            <w:pPr>
              <w:numPr>
                <w:ilvl w:val="0"/>
                <w:numId w:val="411"/>
              </w:numPr>
              <w:spacing w:after="0" w:line="360" w:lineRule="auto"/>
              <w:contextualSpacing/>
              <w:rPr>
                <w:rFonts w:ascii="Times New Roman" w:hAnsi="Times New Roman"/>
                <w:sz w:val="24"/>
                <w:szCs w:val="24"/>
              </w:rPr>
            </w:pPr>
            <w:r w:rsidRPr="00AE47C6">
              <w:rPr>
                <w:rFonts w:ascii="Times New Roman" w:hAnsi="Times New Roman"/>
                <w:sz w:val="24"/>
                <w:szCs w:val="24"/>
              </w:rPr>
              <w:t>Свръхчувствителност към активното вещество или към някое от помощните вещества</w:t>
            </w:r>
          </w:p>
          <w:p w14:paraId="1748617D" w14:textId="77777777" w:rsidR="00BE0B19" w:rsidRPr="00AE47C6" w:rsidRDefault="00BE0B19" w:rsidP="00BE0B19">
            <w:pPr>
              <w:numPr>
                <w:ilvl w:val="0"/>
                <w:numId w:val="411"/>
              </w:numPr>
              <w:spacing w:after="0" w:line="360" w:lineRule="auto"/>
              <w:contextualSpacing/>
              <w:rPr>
                <w:rFonts w:ascii="Times New Roman" w:hAnsi="Times New Roman"/>
                <w:sz w:val="24"/>
                <w:szCs w:val="24"/>
              </w:rPr>
            </w:pPr>
            <w:r w:rsidRPr="00AE47C6">
              <w:rPr>
                <w:rFonts w:ascii="Times New Roman" w:hAnsi="Times New Roman"/>
                <w:sz w:val="24"/>
                <w:szCs w:val="24"/>
              </w:rPr>
              <w:t xml:space="preserve">Бременност и кърмене </w:t>
            </w:r>
          </w:p>
          <w:p w14:paraId="4ED0A717" w14:textId="77777777" w:rsidR="00BE0B19" w:rsidRPr="00AE47C6" w:rsidRDefault="00BE0B19" w:rsidP="00BE0B19">
            <w:pPr>
              <w:numPr>
                <w:ilvl w:val="0"/>
                <w:numId w:val="411"/>
              </w:numPr>
              <w:spacing w:after="0" w:line="360" w:lineRule="auto"/>
              <w:contextualSpacing/>
              <w:rPr>
                <w:rFonts w:ascii="Times New Roman" w:hAnsi="Times New Roman"/>
                <w:sz w:val="24"/>
                <w:szCs w:val="24"/>
              </w:rPr>
            </w:pPr>
            <w:r w:rsidRPr="00AE47C6">
              <w:rPr>
                <w:rFonts w:ascii="Times New Roman" w:hAnsi="Times New Roman"/>
                <w:sz w:val="24"/>
                <w:szCs w:val="24"/>
              </w:rPr>
              <w:t>Тежки придружаващи заболявания</w:t>
            </w:r>
          </w:p>
        </w:tc>
        <w:tc>
          <w:tcPr>
            <w:tcW w:w="5103" w:type="dxa"/>
          </w:tcPr>
          <w:p w14:paraId="35A6FD6A" w14:textId="77777777" w:rsidR="00BE0B19" w:rsidRPr="00AE47C6" w:rsidRDefault="00BE0B19" w:rsidP="00BE0B19">
            <w:pPr>
              <w:spacing w:after="0" w:line="360" w:lineRule="auto"/>
              <w:jc w:val="both"/>
              <w:rPr>
                <w:rFonts w:ascii="Times New Roman" w:hAnsi="Times New Roman"/>
                <w:b/>
                <w:bCs/>
                <w:sz w:val="24"/>
                <w:szCs w:val="24"/>
              </w:rPr>
            </w:pPr>
            <w:r w:rsidRPr="00AE47C6">
              <w:rPr>
                <w:rFonts w:ascii="Times New Roman" w:hAnsi="Times New Roman"/>
                <w:b/>
                <w:bCs/>
                <w:sz w:val="24"/>
                <w:szCs w:val="24"/>
              </w:rPr>
              <w:t>Лечение не се прилага или ако е започнато се спира при:</w:t>
            </w:r>
          </w:p>
          <w:p w14:paraId="6254A01A" w14:textId="77777777" w:rsidR="00BE0B19" w:rsidRPr="00AE47C6" w:rsidRDefault="00BE0B19" w:rsidP="00BE0B19">
            <w:pPr>
              <w:numPr>
                <w:ilvl w:val="0"/>
                <w:numId w:val="412"/>
              </w:numPr>
              <w:spacing w:after="0" w:line="360" w:lineRule="auto"/>
              <w:contextualSpacing/>
              <w:jc w:val="both"/>
              <w:rPr>
                <w:rFonts w:ascii="Times New Roman" w:hAnsi="Times New Roman"/>
                <w:sz w:val="24"/>
                <w:szCs w:val="24"/>
              </w:rPr>
            </w:pPr>
            <w:r w:rsidRPr="00AE47C6">
              <w:rPr>
                <w:rFonts w:ascii="Times New Roman" w:hAnsi="Times New Roman"/>
                <w:sz w:val="24"/>
                <w:szCs w:val="24"/>
              </w:rPr>
              <w:t>Забременяване на пациентка.</w:t>
            </w:r>
          </w:p>
          <w:p w14:paraId="638EE20E" w14:textId="77777777" w:rsidR="00BE0B19" w:rsidRPr="00AE47C6" w:rsidRDefault="00BE0B19" w:rsidP="00BE0B19">
            <w:pPr>
              <w:numPr>
                <w:ilvl w:val="0"/>
                <w:numId w:val="412"/>
              </w:numPr>
              <w:spacing w:after="0" w:line="360" w:lineRule="auto"/>
              <w:contextualSpacing/>
              <w:jc w:val="both"/>
              <w:rPr>
                <w:rFonts w:ascii="Times New Roman" w:hAnsi="Times New Roman"/>
                <w:sz w:val="24"/>
                <w:szCs w:val="24"/>
              </w:rPr>
            </w:pPr>
            <w:r w:rsidRPr="00AE47C6">
              <w:rPr>
                <w:rFonts w:ascii="Times New Roman" w:hAnsi="Times New Roman"/>
                <w:sz w:val="24"/>
                <w:szCs w:val="24"/>
              </w:rPr>
              <w:t>Сериозни странични реакции от лечението – ALT или AST &gt; 5 x ГГН, общият брой на тромбоцитите е под 75 x 10</w:t>
            </w:r>
            <w:r w:rsidRPr="00AE47C6">
              <w:rPr>
                <w:rFonts w:ascii="Times New Roman" w:hAnsi="Times New Roman"/>
                <w:sz w:val="24"/>
                <w:szCs w:val="24"/>
                <w:vertAlign w:val="superscript"/>
              </w:rPr>
              <w:t>9</w:t>
            </w:r>
            <w:r w:rsidRPr="00AE47C6">
              <w:rPr>
                <w:rFonts w:ascii="Times New Roman" w:hAnsi="Times New Roman"/>
                <w:sz w:val="24"/>
                <w:szCs w:val="24"/>
              </w:rPr>
              <w:t>/l и това в потвърдено с повторно изследване, общият брой на неутрофилите е под 1,0 x 10</w:t>
            </w:r>
            <w:r w:rsidRPr="00AE47C6">
              <w:rPr>
                <w:rFonts w:ascii="Times New Roman" w:hAnsi="Times New Roman"/>
                <w:sz w:val="24"/>
                <w:szCs w:val="24"/>
                <w:vertAlign w:val="superscript"/>
              </w:rPr>
              <w:t>9</w:t>
            </w:r>
            <w:r w:rsidRPr="00AE47C6">
              <w:rPr>
                <w:rFonts w:ascii="Times New Roman" w:hAnsi="Times New Roman"/>
                <w:sz w:val="24"/>
                <w:szCs w:val="24"/>
              </w:rPr>
              <w:t>/l и това е потвърдено с повторно изследване сериозни реакции на свръхчувствителност.</w:t>
            </w:r>
          </w:p>
          <w:p w14:paraId="7B832067" w14:textId="77777777" w:rsidR="00BE0B19" w:rsidRPr="00AE47C6" w:rsidRDefault="00BE0B19" w:rsidP="00BE0B19">
            <w:pPr>
              <w:numPr>
                <w:ilvl w:val="0"/>
                <w:numId w:val="412"/>
              </w:numPr>
              <w:spacing w:after="0" w:line="360" w:lineRule="auto"/>
              <w:contextualSpacing/>
              <w:jc w:val="both"/>
              <w:rPr>
                <w:rFonts w:ascii="Times New Roman" w:hAnsi="Times New Roman"/>
                <w:sz w:val="24"/>
                <w:szCs w:val="24"/>
              </w:rPr>
            </w:pPr>
            <w:r w:rsidRPr="00AE47C6">
              <w:rPr>
                <w:rFonts w:ascii="Times New Roman" w:hAnsi="Times New Roman"/>
                <w:sz w:val="24"/>
                <w:szCs w:val="24"/>
              </w:rPr>
              <w:t>Системно неспазване на схемата на приложение.</w:t>
            </w:r>
          </w:p>
          <w:p w14:paraId="707F1024" w14:textId="77777777" w:rsidR="00BE0B19" w:rsidRPr="00AE47C6" w:rsidRDefault="00BE0B19" w:rsidP="00BE0B19">
            <w:pPr>
              <w:numPr>
                <w:ilvl w:val="0"/>
                <w:numId w:val="412"/>
              </w:numPr>
              <w:spacing w:after="0" w:line="360" w:lineRule="auto"/>
              <w:contextualSpacing/>
              <w:jc w:val="both"/>
              <w:rPr>
                <w:rFonts w:ascii="Times New Roman" w:hAnsi="Times New Roman"/>
                <w:sz w:val="24"/>
                <w:szCs w:val="24"/>
              </w:rPr>
            </w:pPr>
            <w:r w:rsidRPr="00AE47C6">
              <w:rPr>
                <w:rFonts w:ascii="Times New Roman" w:hAnsi="Times New Roman"/>
                <w:sz w:val="24"/>
                <w:szCs w:val="24"/>
              </w:rPr>
              <w:t>При липса на клинична ефективност от лечението.</w:t>
            </w:r>
          </w:p>
          <w:p w14:paraId="559B37AD" w14:textId="77777777" w:rsidR="00BE0B19" w:rsidRPr="00AE47C6" w:rsidRDefault="00BE0B19" w:rsidP="00BE0B19">
            <w:pPr>
              <w:spacing w:after="0" w:line="360" w:lineRule="auto"/>
              <w:jc w:val="both"/>
              <w:rPr>
                <w:rFonts w:ascii="Times New Roman" w:hAnsi="Times New Roman"/>
                <w:sz w:val="24"/>
                <w:szCs w:val="24"/>
              </w:rPr>
            </w:pPr>
          </w:p>
        </w:tc>
      </w:tr>
    </w:tbl>
    <w:p w14:paraId="148FA6C8" w14:textId="77777777" w:rsidR="00BE0B19" w:rsidRPr="00AE47C6" w:rsidRDefault="00BE0B19" w:rsidP="00BE0B19">
      <w:pPr>
        <w:spacing w:after="0" w:line="360" w:lineRule="auto"/>
        <w:ind w:firstLine="709"/>
        <w:jc w:val="both"/>
        <w:rPr>
          <w:rFonts w:ascii="Times New Roman" w:eastAsia="SimSun" w:hAnsi="Times New Roman"/>
          <w:sz w:val="24"/>
          <w:szCs w:val="24"/>
        </w:rPr>
      </w:pPr>
    </w:p>
    <w:tbl>
      <w:tblPr>
        <w:tblStyle w:val="TableGrid2"/>
        <w:tblW w:w="0" w:type="auto"/>
        <w:tblLook w:val="04A0" w:firstRow="1" w:lastRow="0" w:firstColumn="1" w:lastColumn="0" w:noHBand="0" w:noVBand="1"/>
      </w:tblPr>
      <w:tblGrid>
        <w:gridCol w:w="9062"/>
      </w:tblGrid>
      <w:tr w:rsidR="00BE0B19" w:rsidRPr="00AE47C6" w14:paraId="31B37753" w14:textId="77777777" w:rsidTr="00AD72E5">
        <w:tc>
          <w:tcPr>
            <w:tcW w:w="9062" w:type="dxa"/>
          </w:tcPr>
          <w:p w14:paraId="65FDF662" w14:textId="77777777" w:rsidR="00BE0B19" w:rsidRPr="00AE47C6" w:rsidRDefault="00BE0B19" w:rsidP="00BE0B19">
            <w:pPr>
              <w:spacing w:after="0" w:line="360" w:lineRule="auto"/>
              <w:ind w:firstLine="709"/>
              <w:jc w:val="both"/>
              <w:rPr>
                <w:rFonts w:ascii="Times New Roman" w:hAnsi="Times New Roman"/>
                <w:b/>
                <w:bCs/>
                <w:sz w:val="24"/>
                <w:szCs w:val="24"/>
              </w:rPr>
            </w:pPr>
            <w:r w:rsidRPr="00AE47C6">
              <w:rPr>
                <w:rFonts w:ascii="Times New Roman" w:hAnsi="Times New Roman"/>
                <w:b/>
                <w:bCs/>
                <w:sz w:val="24"/>
                <w:szCs w:val="24"/>
              </w:rPr>
              <w:t>Необходими изследвания и контролни прегледи при лечение с satralizumab</w:t>
            </w:r>
          </w:p>
          <w:p w14:paraId="5AE2027D" w14:textId="77777777" w:rsidR="00BE0B19" w:rsidRPr="00AE47C6" w:rsidRDefault="00BE0B19" w:rsidP="00BE0B19">
            <w:pPr>
              <w:spacing w:after="0" w:line="360" w:lineRule="auto"/>
              <w:ind w:firstLine="709"/>
              <w:jc w:val="both"/>
              <w:rPr>
                <w:rFonts w:ascii="Times New Roman" w:hAnsi="Times New Roman"/>
                <w:i/>
                <w:iCs/>
                <w:sz w:val="24"/>
                <w:szCs w:val="24"/>
              </w:rPr>
            </w:pPr>
            <w:r w:rsidRPr="00AE47C6">
              <w:rPr>
                <w:rFonts w:ascii="Times New Roman" w:hAnsi="Times New Roman"/>
                <w:i/>
                <w:iCs/>
                <w:sz w:val="24"/>
                <w:szCs w:val="24"/>
              </w:rPr>
              <w:t>I. Преди започване на лечение:</w:t>
            </w:r>
          </w:p>
          <w:p w14:paraId="2B865D0A" w14:textId="77777777" w:rsidR="00BE0B19" w:rsidRPr="00AE47C6" w:rsidRDefault="00BE0B19" w:rsidP="00BE0B19">
            <w:pPr>
              <w:spacing w:after="0" w:line="360" w:lineRule="auto"/>
              <w:ind w:firstLine="709"/>
              <w:jc w:val="both"/>
              <w:rPr>
                <w:rFonts w:ascii="Times New Roman" w:hAnsi="Times New Roman"/>
                <w:sz w:val="24"/>
                <w:szCs w:val="24"/>
              </w:rPr>
            </w:pPr>
            <w:r w:rsidRPr="00AE47C6">
              <w:rPr>
                <w:rFonts w:ascii="Times New Roman" w:hAnsi="Times New Roman"/>
                <w:sz w:val="24"/>
                <w:szCs w:val="24"/>
              </w:rPr>
              <w:t>1. ПКК с диференциално броене.</w:t>
            </w:r>
          </w:p>
          <w:p w14:paraId="5CAC0420" w14:textId="77777777" w:rsidR="00BE0B19" w:rsidRPr="00AE47C6" w:rsidRDefault="00BE0B19" w:rsidP="00BE0B19">
            <w:pPr>
              <w:spacing w:after="0" w:line="360" w:lineRule="auto"/>
              <w:ind w:firstLine="709"/>
              <w:jc w:val="both"/>
              <w:rPr>
                <w:rFonts w:ascii="Times New Roman" w:hAnsi="Times New Roman"/>
                <w:sz w:val="24"/>
                <w:szCs w:val="24"/>
              </w:rPr>
            </w:pPr>
            <w:r w:rsidRPr="00AE47C6">
              <w:rPr>
                <w:rFonts w:ascii="Times New Roman" w:hAnsi="Times New Roman"/>
                <w:sz w:val="24"/>
                <w:szCs w:val="24"/>
              </w:rPr>
              <w:t>2. Серумни трансаминази, билирубин.</w:t>
            </w:r>
          </w:p>
          <w:p w14:paraId="4E272201" w14:textId="77777777" w:rsidR="00BE0B19" w:rsidRPr="00AE47C6" w:rsidRDefault="00BE0B19" w:rsidP="00BE0B19">
            <w:pPr>
              <w:spacing w:after="0" w:line="360" w:lineRule="auto"/>
              <w:ind w:firstLine="709"/>
              <w:jc w:val="both"/>
              <w:rPr>
                <w:rFonts w:ascii="Times New Roman" w:hAnsi="Times New Roman"/>
                <w:sz w:val="24"/>
                <w:szCs w:val="24"/>
              </w:rPr>
            </w:pPr>
            <w:r w:rsidRPr="00AE47C6">
              <w:rPr>
                <w:rFonts w:ascii="Times New Roman" w:hAnsi="Times New Roman"/>
                <w:sz w:val="24"/>
                <w:szCs w:val="24"/>
              </w:rPr>
              <w:t>4. Живи и живи атенюирани ваксини не трябва да се прилагат едновременно със satralizumab, тъй като клиничната безопасност не е установена. Интервалът между ваксинациите с живи ваксини и започването на лечение със satralizumab трябва да бъде в съответствие с актуалните ръководства за ваксиниране при лечение с имуномодулиращи или имуносупресивни средства.</w:t>
            </w:r>
          </w:p>
          <w:p w14:paraId="4E506D29" w14:textId="77777777" w:rsidR="00BE0B19" w:rsidRPr="00AE47C6" w:rsidRDefault="00BE0B19" w:rsidP="00BE0B19">
            <w:pPr>
              <w:spacing w:after="0" w:line="360" w:lineRule="auto"/>
              <w:ind w:firstLine="709"/>
              <w:jc w:val="both"/>
              <w:rPr>
                <w:rFonts w:ascii="Times New Roman" w:hAnsi="Times New Roman"/>
                <w:i/>
                <w:iCs/>
                <w:sz w:val="24"/>
                <w:szCs w:val="24"/>
              </w:rPr>
            </w:pPr>
            <w:r w:rsidRPr="00AE47C6">
              <w:rPr>
                <w:rFonts w:ascii="Times New Roman" w:hAnsi="Times New Roman"/>
                <w:i/>
                <w:iCs/>
                <w:sz w:val="24"/>
                <w:szCs w:val="24"/>
              </w:rPr>
              <w:t>II. Проследяване:</w:t>
            </w:r>
          </w:p>
          <w:p w14:paraId="7E788DD7" w14:textId="77777777" w:rsidR="00BE0B19" w:rsidRPr="00AE47C6" w:rsidRDefault="00BE0B19" w:rsidP="00BE0B19">
            <w:pPr>
              <w:spacing w:after="0" w:line="360" w:lineRule="auto"/>
              <w:ind w:firstLine="709"/>
              <w:jc w:val="both"/>
              <w:rPr>
                <w:rFonts w:ascii="Times New Roman" w:hAnsi="Times New Roman"/>
                <w:sz w:val="24"/>
                <w:szCs w:val="24"/>
              </w:rPr>
            </w:pPr>
            <w:r w:rsidRPr="00AE47C6">
              <w:rPr>
                <w:rFonts w:ascii="Times New Roman" w:hAnsi="Times New Roman"/>
                <w:sz w:val="24"/>
                <w:szCs w:val="24"/>
              </w:rPr>
              <w:t>1. При пациенти, получаващи лечение със satralizumab, се препоръчва внимателно наблюдение с цел навременно откриване и диагностициране на инфекции. Лечението трябва да бъде отложено в случай, че пациентът развие някаква сериозна или опортюнистична инфекция.</w:t>
            </w:r>
          </w:p>
          <w:p w14:paraId="71E66A09" w14:textId="77777777" w:rsidR="00BE0B19" w:rsidRPr="00AE47C6" w:rsidRDefault="00BE0B19" w:rsidP="00BE0B19">
            <w:pPr>
              <w:spacing w:after="0" w:line="360" w:lineRule="auto"/>
              <w:ind w:firstLine="709"/>
              <w:jc w:val="both"/>
              <w:rPr>
                <w:rFonts w:ascii="Times New Roman" w:hAnsi="Times New Roman"/>
                <w:sz w:val="24"/>
                <w:szCs w:val="24"/>
              </w:rPr>
            </w:pPr>
            <w:r w:rsidRPr="00AE47C6">
              <w:rPr>
                <w:rFonts w:ascii="Times New Roman" w:hAnsi="Times New Roman"/>
                <w:sz w:val="24"/>
                <w:szCs w:val="24"/>
              </w:rPr>
              <w:t>2. Серумни трансаминази, трябва да се проследяват на всеки четири седмици през първите три месеца на лечение, в последствие през три месеца в продължение на година и според клиничните показания след това.</w:t>
            </w:r>
          </w:p>
          <w:p w14:paraId="2F7EE211" w14:textId="77777777" w:rsidR="00BE0B19" w:rsidRPr="00AE47C6" w:rsidRDefault="00BE0B19" w:rsidP="00BE0B19">
            <w:pPr>
              <w:spacing w:after="0" w:line="360" w:lineRule="auto"/>
              <w:ind w:firstLine="709"/>
              <w:jc w:val="both"/>
              <w:rPr>
                <w:rFonts w:ascii="Times New Roman" w:hAnsi="Times New Roman"/>
                <w:sz w:val="24"/>
                <w:szCs w:val="24"/>
              </w:rPr>
            </w:pPr>
            <w:r w:rsidRPr="00AE47C6">
              <w:rPr>
                <w:rFonts w:ascii="Times New Roman" w:hAnsi="Times New Roman"/>
                <w:sz w:val="24"/>
                <w:szCs w:val="24"/>
              </w:rPr>
              <w:t>3. Броят на неутрофилите трябва да се проследява за 4 до 8 седмици след започване на лечение и според клиничните показания след това.</w:t>
            </w:r>
          </w:p>
        </w:tc>
      </w:tr>
    </w:tbl>
    <w:p w14:paraId="4CF57A20" w14:textId="77777777" w:rsidR="00BE0B19" w:rsidRPr="00AE47C6" w:rsidRDefault="00BE0B19" w:rsidP="00BE0B19">
      <w:pPr>
        <w:spacing w:after="0" w:line="360" w:lineRule="auto"/>
        <w:ind w:firstLine="709"/>
        <w:jc w:val="both"/>
        <w:rPr>
          <w:rFonts w:ascii="Times New Roman" w:eastAsia="SimSun" w:hAnsi="Times New Roman"/>
          <w:sz w:val="24"/>
          <w:szCs w:val="24"/>
        </w:rPr>
      </w:pPr>
    </w:p>
    <w:p w14:paraId="005B08B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sz w:val="24"/>
          <w:szCs w:val="24"/>
        </w:rPr>
        <w:t>Продължителността на терапията</w:t>
      </w:r>
      <w:r w:rsidRPr="00AE47C6">
        <w:rPr>
          <w:rFonts w:ascii="Times New Roman" w:eastAsia="SimSun" w:hAnsi="Times New Roman"/>
          <w:sz w:val="24"/>
          <w:szCs w:val="24"/>
        </w:rPr>
        <w:t xml:space="preserve"> е най-малко пет години за пациенти, които са серопозитивни за AQP4-IgG антитела, включително тези с единична атака, тъй като те са изложени на висок риск от рецидив. Много експерти предполагат, че лечението трябва да продължава през целия живот, като се има предвид често „опустошителната“ природа на болестта. Все още обаче предстои да бъдат определени оптималната схема на лечение и продължителността на лечението.</w:t>
      </w:r>
    </w:p>
    <w:p w14:paraId="3F69842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Принципът на лечение на серонегативните случаи е подобен ако са изключени алтернативни диагнози. Tocilizumab и satralizumab се оказаха неефективни при негативни AQP4-IgG. Серонегативни пациенти не са включени в проучването с eculizumab поради което ефикасността не е известна.</w:t>
      </w:r>
    </w:p>
    <w:p w14:paraId="4DFFD72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sz w:val="24"/>
          <w:szCs w:val="24"/>
        </w:rPr>
        <w:t>Прогнозата</w:t>
      </w:r>
      <w:r w:rsidRPr="00AE47C6">
        <w:rPr>
          <w:rFonts w:ascii="Times New Roman" w:eastAsia="SimSun" w:hAnsi="Times New Roman"/>
          <w:sz w:val="24"/>
          <w:szCs w:val="24"/>
        </w:rPr>
        <w:t xml:space="preserve"> не е добра, с ранна загуба на зрението и мускулна слабост поради непълно възстановяване от пристъпите. Често има спастичност, тонични спазми, дизестезии и тазово-резервоарни нарушения. При над 33% от пациентите с NMOSD, които първоначално развиват трансверзален миелит, има значимо увреждане при 2 годишно проследяване. Трайно двигателно увреждане развиват 34% от пациентите, а 23% стават зависими от инвалидни колички. В друго проучване 5 години след началото на заболяването 50% от пациентите с NMOSD се нуждаят от помощ при ходене на кратки разстояния (EDSS 6) и до 62% от пациентите са изцяло слепи в рамките на 5-6 години от началото на заболяването. Всеки рецидив през първите 2 години от началото на заболяването е свързан с 21% по-голям риск от смъртност при пациенти с NMOSD. </w:t>
      </w:r>
    </w:p>
    <w:p w14:paraId="6AEE25F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Естественият ход на NMOSD е поетапно влошаване (повтарящи се пристъпи), дължащо се на натрупване на зрителни, двигателни, сетивни и тазоворезервоарни нарушения. При повечето остри пристъпи влошаването е с дни, а възстановяването за няколко седмици до месеци със значителна остатъчна инвалидизация. Няма ясна прогресивна фаза за разлика от множествената склероза.</w:t>
      </w:r>
    </w:p>
    <w:p w14:paraId="4D329DE3" w14:textId="77777777" w:rsidR="00BE0B19" w:rsidRPr="00AE47C6" w:rsidRDefault="00BE0B19" w:rsidP="00BE0B19">
      <w:pPr>
        <w:spacing w:after="0" w:line="360" w:lineRule="auto"/>
        <w:ind w:firstLine="709"/>
        <w:jc w:val="both"/>
        <w:rPr>
          <w:rFonts w:ascii="Times New Roman" w:eastAsia="SimSun" w:hAnsi="Times New Roman"/>
          <w:b/>
          <w:bCs/>
          <w:sz w:val="24"/>
          <w:szCs w:val="24"/>
        </w:rPr>
      </w:pPr>
      <w:r w:rsidRPr="00AE47C6">
        <w:rPr>
          <w:rFonts w:ascii="Times New Roman" w:eastAsia="SimSun" w:hAnsi="Times New Roman"/>
          <w:b/>
          <w:bCs/>
          <w:sz w:val="24"/>
          <w:szCs w:val="24"/>
        </w:rPr>
        <w:t xml:space="preserve">Смъртността е </w:t>
      </w:r>
      <w:r w:rsidRPr="00AE47C6">
        <w:rPr>
          <w:rFonts w:ascii="Times New Roman" w:eastAsia="SimSun" w:hAnsi="Times New Roman"/>
          <w:sz w:val="24"/>
          <w:szCs w:val="24"/>
        </w:rPr>
        <w:t xml:space="preserve">висока (до 32%). Най-често вследствие на неврогенна респираторна недостатъчност, която възниква с разширяване на цервикални лезии в мозъчния ствол или от първични лезии на мозъчния ствол. </w:t>
      </w:r>
    </w:p>
    <w:p w14:paraId="29DFF9B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sz w:val="24"/>
          <w:szCs w:val="24"/>
        </w:rPr>
        <w:t>Прогностични маркери</w:t>
      </w:r>
      <w:r w:rsidRPr="00AE47C6">
        <w:rPr>
          <w:rFonts w:ascii="Times New Roman" w:eastAsia="SimSun" w:hAnsi="Times New Roman"/>
          <w:sz w:val="24"/>
          <w:szCs w:val="24"/>
        </w:rPr>
        <w:t xml:space="preserve"> - предикторите за по-лоша прогноза включват броя на рецидивите през първите две години, тежестта на първия пристъп, по-напреднала възраст в началото на заболяването и връзка с други автоимунни заболявания, включително статус на автоантитела. За момента, наличните данни са противоречиви относно това дали автоантитялото AQP4 (NMO-имуноглобулин G) може да бъде маркер за хода на заболяването и прогнозата.</w:t>
      </w:r>
    </w:p>
    <w:p w14:paraId="107C8D3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sz w:val="24"/>
          <w:szCs w:val="24"/>
        </w:rPr>
        <w:t xml:space="preserve">NMOSD по време на бременност </w:t>
      </w:r>
      <w:r w:rsidRPr="00AE47C6">
        <w:rPr>
          <w:rFonts w:ascii="Times New Roman" w:eastAsia="SimSun" w:hAnsi="Times New Roman"/>
          <w:sz w:val="24"/>
          <w:szCs w:val="24"/>
        </w:rPr>
        <w:t>- има само ограничени и ретроспективни данни за връзката на NMOSD и бременността. Те предполагат, че NMOSD се свързва с повишен риск от спонтанен аборт и че годишната честота на рецидив на NMOSD се увеличава през първите три до шест месеца от след родилния период.</w:t>
      </w:r>
    </w:p>
    <w:p w14:paraId="1541803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sz w:val="24"/>
          <w:szCs w:val="24"/>
        </w:rPr>
        <w:t>Медикаменти, които трябва да се избягват</w:t>
      </w:r>
      <w:r w:rsidRPr="00AE47C6">
        <w:rPr>
          <w:rFonts w:ascii="Times New Roman" w:eastAsia="SimSun" w:hAnsi="Times New Roman"/>
          <w:sz w:val="24"/>
          <w:szCs w:val="24"/>
        </w:rPr>
        <w:t xml:space="preserve"> - лечението на NMOSD с interferon-β, natalizumab или fingolimod не е ефективно и дори може да бъде „вредно“. Няма публикувани доказателства относно лечението на NMOSD с ocrelizumab.</w:t>
      </w:r>
    </w:p>
    <w:p w14:paraId="0CE0C202"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 xml:space="preserve">Симптоматичното лечение </w:t>
      </w:r>
      <w:r w:rsidRPr="00AE47C6">
        <w:rPr>
          <w:rFonts w:ascii="Times New Roman" w:eastAsia="SimSun" w:hAnsi="Times New Roman"/>
          <w:sz w:val="24"/>
          <w:szCs w:val="24"/>
        </w:rPr>
        <w:t>се налага защото с заболяването се свързва с хронични симптоми, понякога остатъчният неврологичен дефицит е тежък и това влошава качеството на живот. За да се прецени дали един симптом на пациента трябва да се лекува е необходимо симптомите да се категоризират по степен на тежест като леки, умерени и тежки. Леки са тези симптоми, които не пречат на ежедневните активности на пациента и не е необходимо да бъдат лекувани. Умерените симптоми смущават ежедневните дейности на пациента, смущават и социалната му активност и създават дискомфорт. Тези симптоми трябва да се повлияят медикаментозно. Тежките симптоми инвалидизират пациентите и сериозно ограничават техните ежедневни активности. Тези симптоми обикновено не се подават на медикаментозно лечение, а изискват по-специални мерки и грижи.</w:t>
      </w:r>
    </w:p>
    <w:p w14:paraId="257F7C2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Умората</w:t>
      </w:r>
      <w:r w:rsidRPr="00AE47C6">
        <w:rPr>
          <w:rFonts w:ascii="Times New Roman" w:eastAsia="SimSun" w:hAnsi="Times New Roman"/>
          <w:sz w:val="24"/>
          <w:szCs w:val="24"/>
        </w:rPr>
        <w:t xml:space="preserve"> е чест симптом. Може да е физическа, ментална, сънливост, понижено настроение. Повлиява се от редица немедикаментозни методи като аеробика, физиотерапия, поведенческа терапия и други. Прилагането на amantadine 200 mg дневно, fluoxetine 10 до 40 mg дневно и modafinil 100-400 mg сутрин повлиява умората.</w:t>
      </w:r>
    </w:p>
    <w:p w14:paraId="26CAAB3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Придобита </w:t>
      </w:r>
      <w:r w:rsidRPr="00AE47C6">
        <w:rPr>
          <w:rFonts w:ascii="Times New Roman" w:eastAsia="SimSun" w:hAnsi="Times New Roman"/>
          <w:i/>
          <w:iCs/>
          <w:sz w:val="24"/>
          <w:szCs w:val="24"/>
        </w:rPr>
        <w:t>нарколепсия и хиперсомния</w:t>
      </w:r>
      <w:r w:rsidRPr="00AE47C6">
        <w:rPr>
          <w:rFonts w:ascii="Times New Roman" w:eastAsia="SimSun" w:hAnsi="Times New Roman"/>
          <w:sz w:val="24"/>
          <w:szCs w:val="24"/>
        </w:rPr>
        <w:t xml:space="preserve"> могат да възникнат при диенцефален пристъп, но често се възстановяват след противовъзпалителното лечение. Трайни хипоталамични нарушения са възможни и водят до намалени нива на orexin и последващи ексцесивна дневна сънливост и хронична нарколепсия.</w:t>
      </w:r>
    </w:p>
    <w:p w14:paraId="4816A4D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Когнитивните нарушения</w:t>
      </w:r>
      <w:r w:rsidRPr="00AE47C6">
        <w:rPr>
          <w:rFonts w:ascii="Times New Roman" w:eastAsia="SimSun" w:hAnsi="Times New Roman"/>
          <w:sz w:val="24"/>
          <w:szCs w:val="24"/>
        </w:rPr>
        <w:t xml:space="preserve"> се повлияват от donepezil 10 mg дневно, въпреки че ефективността на лечението е слаба. </w:t>
      </w:r>
    </w:p>
    <w:p w14:paraId="27BF63E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Депресията</w:t>
      </w:r>
      <w:r w:rsidRPr="00AE47C6">
        <w:rPr>
          <w:rFonts w:ascii="Times New Roman" w:eastAsia="SimSun" w:hAnsi="Times New Roman"/>
          <w:sz w:val="24"/>
          <w:szCs w:val="24"/>
        </w:rPr>
        <w:t xml:space="preserve"> се повлиява от трициклични и SNRI (потискащи обратния захват на серотонин и норадреналин) антидепресанти или инхибитори на обратния захват на серотонина. Биполярните разстройства се лекуват с литиеви препарати и антиконвулсанти, а патологичният смях и плач – с трициклични антидепресанти (amitriptyline 25 mg дневно).</w:t>
      </w:r>
    </w:p>
    <w:p w14:paraId="7467DEB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Болката</w:t>
      </w:r>
      <w:r w:rsidRPr="00AE47C6">
        <w:rPr>
          <w:rFonts w:ascii="Times New Roman" w:eastAsia="SimSun" w:hAnsi="Times New Roman"/>
          <w:sz w:val="24"/>
          <w:szCs w:val="24"/>
        </w:rPr>
        <w:t xml:space="preserve"> е значима при някои пациенти с NMOSD. Често тя е дерматомна и може да съответства на лезия в гръбначния мозък, но тежестта не съответства на продължителност на болестта, възрастта, серологичния статус или броя на пристъпите. Наблюдаван е и невропатен пруритус. Повлияват се от трициклични и SNRI антидепресанти (amitriptyline, venlafaxine, mirtazapine, duloxetine, milnacipran), антиконвулсанти (carbamazepine, gabapentin, phenytoin, topiramate, gabapentin и pregabalin) и миорелаксанти.</w:t>
      </w:r>
    </w:p>
    <w:p w14:paraId="4FD912B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Тонични спазми</w:t>
      </w:r>
      <w:r w:rsidRPr="00AE47C6">
        <w:rPr>
          <w:rFonts w:ascii="Times New Roman" w:eastAsia="SimSun" w:hAnsi="Times New Roman"/>
          <w:sz w:val="24"/>
          <w:szCs w:val="24"/>
        </w:rPr>
        <w:t xml:space="preserve"> и други неволеви движения като пароксизмална или постоянна фокална дистония, спинален миоклонус, спонтанен или предизвикан клонус, спинален тремор, вторичен синдром на неспокойните крака възникват поради фокалните лезии на миелона. Повлияват се от антиконвулсанти, особено carbamazepine и oxcarbamazepine.</w:t>
      </w:r>
    </w:p>
    <w:p w14:paraId="55AFBB5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Мускулната слабост</w:t>
      </w:r>
      <w:r w:rsidRPr="00AE47C6">
        <w:rPr>
          <w:rFonts w:ascii="Times New Roman" w:eastAsia="SimSun" w:hAnsi="Times New Roman"/>
          <w:sz w:val="24"/>
          <w:szCs w:val="24"/>
        </w:rPr>
        <w:t xml:space="preserve"> се повлиява най-добре от физиотерапия и физически упражнения. Пациентите трябва да се съветват да извършват по-голяма физическа активност. Необходими са мерки за ограничаване на мускулните контрактури и за запазване на обема на пасивните движения в ставите на засегнатите крайници. Нарушената походка може да се повлияе от блокера на калиевите канали Fampridine. Чрез блокиране на калиевите канали Fampridine намалява йонния ток, като по този начин удължава реполяризацията и усилва формирането на акционен потенциал в демиелизираните аксони. Прилага се два пъти дневно по една таблетка от 10 mg. Първоначално медикаментът се прилага за срок от 2 седмици, след което се оценява клиничната ефективност. Използва се тест, който отчита времето, необходимо за да се извърви разстояние от 25 фута (762 cm). Нарича се „Време за извървяване на 25 фута“ (Timed 25-foot Walk, T25FW). Ако не се наблюдава подобрение или има влошаване, приемът на Fampridine трябва да се спре.</w:t>
      </w:r>
    </w:p>
    <w:p w14:paraId="51B2CFA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Спастично повишеният мускулен тонус</w:t>
      </w:r>
      <w:r w:rsidRPr="00AE47C6">
        <w:rPr>
          <w:rFonts w:ascii="Times New Roman" w:eastAsia="SimSun" w:hAnsi="Times New Roman"/>
          <w:sz w:val="24"/>
          <w:szCs w:val="24"/>
        </w:rPr>
        <w:t xml:space="preserve"> се повлиява добре от физиотерапия и миорелаксанти. Използват се tizanidine до 24 mg дневно и baclofen до 70 mg дневно.</w:t>
      </w:r>
    </w:p>
    <w:p w14:paraId="53D5D5D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Вертигото</w:t>
      </w:r>
      <w:r w:rsidRPr="00AE47C6">
        <w:rPr>
          <w:rFonts w:ascii="Times New Roman" w:eastAsia="SimSun" w:hAnsi="Times New Roman"/>
          <w:sz w:val="24"/>
          <w:szCs w:val="24"/>
        </w:rPr>
        <w:t xml:space="preserve"> когато е остатъчен симптом се прилагат dimenhydrinat 75-150 mg дн., betahistine 48 mg дн., комбинирани медикаменти cinnarizine/dimenhydrinat - 3x1 т. дн.</w:t>
      </w:r>
    </w:p>
    <w:p w14:paraId="4D7AA46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 xml:space="preserve">Треморът </w:t>
      </w:r>
      <w:r w:rsidRPr="00AE47C6">
        <w:rPr>
          <w:rFonts w:ascii="Times New Roman" w:eastAsia="SimSun" w:hAnsi="Times New Roman"/>
          <w:sz w:val="24"/>
          <w:szCs w:val="24"/>
        </w:rPr>
        <w:t xml:space="preserve">се повлиява трудно, но в някои случаи clonazepam 2-4 mg дн., propranolol 50- 100 mg, isoniazid 1200 mg дневно, glutethimide 1000-4000 mg дн. или primidone 250 mg дн. са ефективни. </w:t>
      </w:r>
    </w:p>
    <w:p w14:paraId="7502D05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Пароксизмалните симптоми</w:t>
      </w:r>
      <w:r w:rsidRPr="00AE47C6">
        <w:rPr>
          <w:rFonts w:ascii="Times New Roman" w:eastAsia="SimSun" w:hAnsi="Times New Roman"/>
          <w:sz w:val="24"/>
          <w:szCs w:val="24"/>
        </w:rPr>
        <w:t xml:space="preserve"> се повлияват от антиконвулсанти, трициклични антидепресанти и бензодиазепини. Медикамент на първи избор е carbamazepine (до 1200 mg дневно).</w:t>
      </w:r>
    </w:p>
    <w:p w14:paraId="07FEDB1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Епилептичните пристъпи</w:t>
      </w:r>
      <w:r w:rsidRPr="00AE47C6">
        <w:rPr>
          <w:rFonts w:ascii="Times New Roman" w:eastAsia="SimSun" w:hAnsi="Times New Roman"/>
          <w:sz w:val="24"/>
          <w:szCs w:val="24"/>
        </w:rPr>
        <w:t xml:space="preserve"> се повлияват добре от стандартните антиконвулсанти carbamazepine, phenytoin и валпроати.</w:t>
      </w:r>
    </w:p>
    <w:p w14:paraId="5728D52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Тазово-резервоарните нарушения</w:t>
      </w:r>
      <w:r w:rsidRPr="00AE47C6">
        <w:rPr>
          <w:rFonts w:ascii="Times New Roman" w:eastAsia="SimSun" w:hAnsi="Times New Roman"/>
          <w:sz w:val="24"/>
          <w:szCs w:val="24"/>
        </w:rPr>
        <w:t xml:space="preserve"> влошават изключително качеството на живот на пациентите. Хиперактивния пикочен мехур се повлиява от антихолинергични медикаменти (oxybutynin 10 mg дн. или tolterodine (detrusitol) 4 mg дн. Solifenacin), β3-адренергичния рецепторен агонист mirabegron (betmiga) 25-50 mg и трициклични антидепресанти, докато при вялият пикочен мехур интермитентната катетризация е метод на избор. При по-леките случаи се прилага вибратор върху коремната стена над пикочния мехур, който подпомага уринирането. Необходимо е пациентът да се наблюдава за остатъчна урина, възникване на уринна инфекция и съответно да се прилага при необходимост антибиотична терапия. При ноктурия се прилага интраназален спрей от антидиуретичния хормон desmopressin (10-40 µg за нощ), което намалява уринирането за 6 – 8 часа, но може да предизвика хипонатриемия. При дизсинергията на детрузора се прилагат миорелаксанти и алфа-2 агонисти.</w:t>
      </w:r>
    </w:p>
    <w:p w14:paraId="54862F67" w14:textId="77777777" w:rsidR="00BE0B19" w:rsidRPr="00AE47C6" w:rsidRDefault="00BE0B19" w:rsidP="00BE0B19">
      <w:pPr>
        <w:spacing w:after="0" w:line="360" w:lineRule="auto"/>
        <w:ind w:firstLine="709"/>
        <w:jc w:val="both"/>
        <w:rPr>
          <w:rFonts w:ascii="Times New Roman" w:eastAsia="SimSun" w:hAnsi="Times New Roman"/>
          <w:b/>
          <w:sz w:val="24"/>
          <w:szCs w:val="24"/>
          <w:u w:val="single"/>
        </w:rPr>
      </w:pPr>
      <w:r w:rsidRPr="00AE47C6">
        <w:rPr>
          <w:rFonts w:ascii="Times New Roman" w:eastAsia="SimSun" w:hAnsi="Times New Roman"/>
          <w:i/>
          <w:iCs/>
          <w:sz w:val="24"/>
          <w:szCs w:val="24"/>
        </w:rPr>
        <w:t xml:space="preserve">Сексуалните </w:t>
      </w:r>
      <w:r w:rsidRPr="00AE47C6">
        <w:rPr>
          <w:rFonts w:ascii="Times New Roman" w:eastAsia="SimSun" w:hAnsi="Times New Roman"/>
          <w:sz w:val="24"/>
          <w:szCs w:val="24"/>
        </w:rPr>
        <w:t>нарушения се повлияват от антидепресанти, а еректилната дисфункция от прилагане на фосфодиестеразния инхибитор тип 5 – sildenafil 50 до 100 mg, vardenafil 5-10 mg перорално, 1 час преди полов акт, tadalafil 20 mg.</w:t>
      </w:r>
    </w:p>
    <w:p w14:paraId="3AD5746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Гастроинтестиналните нарушения</w:t>
      </w:r>
      <w:r w:rsidRPr="00AE47C6">
        <w:rPr>
          <w:rFonts w:ascii="Times New Roman" w:eastAsia="SimSun" w:hAnsi="Times New Roman"/>
          <w:sz w:val="24"/>
          <w:szCs w:val="24"/>
        </w:rPr>
        <w:t xml:space="preserve">, като гадене, повръщане или хълцане, свързани с медуларни лезии (area postrema) понякога са неподатливи на симптоматично лечение, но се повлияват от лечението с кортикостероиди. </w:t>
      </w:r>
    </w:p>
    <w:p w14:paraId="29DEB80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Запекът трябва да се лекува комплексно. На първо място е необходимо да се изясни дали някои от приеманите медикаменти не допринася за запек и съответно неговата доза да се намали. След това на пациента се препоръчва повишаване на физическата активност, промяна в хранителния режим с включване на храни съдържащи повече целулозни влакна, избягване на шоколадови изделия, хидратация и използване на топли напитки за стимулиране на гастро-чревните рефлекси. Ако тези мерки не са достатъчно ефективни се препоръчват леки лаксативни медикаменти. </w:t>
      </w:r>
    </w:p>
    <w:p w14:paraId="6045E77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Дизфагията се повлиява от промяна в храната и начинът на хранене, като в краен случай се постави назогастрална сонда за хранене.</w:t>
      </w:r>
    </w:p>
    <w:p w14:paraId="74CE7A2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Зрителните нарушения (диплопия)</w:t>
      </w:r>
      <w:r w:rsidRPr="00AE47C6">
        <w:rPr>
          <w:rFonts w:ascii="Times New Roman" w:eastAsia="SimSun" w:hAnsi="Times New Roman"/>
          <w:sz w:val="24"/>
          <w:szCs w:val="24"/>
        </w:rPr>
        <w:t xml:space="preserve"> се повлияват от носене на призматични очила. Нистагъмът се повлиява от baclofen, clonazepam, scopolamine, gabapentin и други медикаменти.</w:t>
      </w:r>
    </w:p>
    <w:p w14:paraId="3032136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Дихателните нарушения</w:t>
      </w:r>
      <w:r w:rsidRPr="00AE47C6">
        <w:rPr>
          <w:rFonts w:ascii="Times New Roman" w:eastAsia="SimSun" w:hAnsi="Times New Roman"/>
          <w:sz w:val="24"/>
          <w:szCs w:val="24"/>
        </w:rPr>
        <w:t xml:space="preserve"> се повлияват чрез лечение на респираторните инфекции, регулиране на телесната температура, което подобрява аксонната проводимост и профилактични ваксинации против грип.</w:t>
      </w:r>
    </w:p>
    <w:p w14:paraId="0C1EFE0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iCs/>
          <w:sz w:val="24"/>
          <w:szCs w:val="24"/>
        </w:rPr>
        <w:t xml:space="preserve">Рехабилитацията </w:t>
      </w:r>
      <w:r w:rsidRPr="00AE47C6">
        <w:rPr>
          <w:rFonts w:ascii="Times New Roman" w:eastAsia="SimSun" w:hAnsi="Times New Roman"/>
          <w:sz w:val="24"/>
          <w:szCs w:val="24"/>
        </w:rPr>
        <w:t>е много важна за пациентите. Трябва да се насочват към физиотерапия и рехабилитация когато техните ежедневни активности са вече ограничени и симптоматичното лечение не е достатъчно ефективно. В един момент от живота си пациентът ще се нуждае от патерици, проходилка или инвалидна количка, което най-добре се преценява от специалист физиотерапевт.</w:t>
      </w:r>
    </w:p>
    <w:p w14:paraId="1C053C4D" w14:textId="77777777" w:rsidR="00BE0B19" w:rsidRPr="00AE47C6" w:rsidRDefault="00BE0B19" w:rsidP="00BE0B19">
      <w:pPr>
        <w:spacing w:after="0" w:line="360" w:lineRule="auto"/>
        <w:ind w:left="-360" w:firstLine="709"/>
        <w:jc w:val="both"/>
        <w:rPr>
          <w:rFonts w:ascii="Times New Roman" w:eastAsia="SimSun" w:hAnsi="Times New Roman"/>
          <w:bCs/>
          <w:sz w:val="24"/>
          <w:szCs w:val="24"/>
        </w:rPr>
      </w:pPr>
      <w:r w:rsidRPr="00AE47C6">
        <w:rPr>
          <w:rFonts w:ascii="Times New Roman" w:eastAsia="SimSun" w:hAnsi="Times New Roman"/>
          <w:b/>
          <w:i/>
          <w:iCs/>
          <w:sz w:val="24"/>
          <w:szCs w:val="24"/>
        </w:rPr>
        <w:t>Общите грижи</w:t>
      </w:r>
      <w:r w:rsidRPr="00AE47C6">
        <w:rPr>
          <w:rFonts w:ascii="Times New Roman" w:eastAsia="SimSun" w:hAnsi="Times New Roman"/>
          <w:b/>
          <w:sz w:val="24"/>
          <w:szCs w:val="24"/>
        </w:rPr>
        <w:t xml:space="preserve"> </w:t>
      </w:r>
      <w:r w:rsidRPr="00AE47C6">
        <w:rPr>
          <w:rFonts w:ascii="Times New Roman" w:eastAsia="SimSun" w:hAnsi="Times New Roman"/>
          <w:bCs/>
          <w:sz w:val="24"/>
          <w:szCs w:val="24"/>
        </w:rPr>
        <w:t xml:space="preserve">за </w:t>
      </w:r>
      <w:r w:rsidRPr="00AE47C6">
        <w:rPr>
          <w:rFonts w:ascii="Times New Roman" w:eastAsia="SimSun" w:hAnsi="Times New Roman"/>
          <w:sz w:val="24"/>
          <w:szCs w:val="24"/>
        </w:rPr>
        <w:t>пациентите</w:t>
      </w:r>
      <w:r w:rsidRPr="00AE47C6">
        <w:rPr>
          <w:rFonts w:ascii="Times New Roman" w:eastAsia="SimSun" w:hAnsi="Times New Roman"/>
          <w:bCs/>
          <w:sz w:val="24"/>
          <w:szCs w:val="24"/>
        </w:rPr>
        <w:t xml:space="preserve"> имат някои характерни особености.</w:t>
      </w:r>
    </w:p>
    <w:p w14:paraId="0FE707F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Температурата и инфекциите</w:t>
      </w:r>
      <w:r w:rsidRPr="00AE47C6">
        <w:rPr>
          <w:rFonts w:ascii="Times New Roman" w:eastAsia="SimSun" w:hAnsi="Times New Roman"/>
          <w:sz w:val="24"/>
          <w:szCs w:val="24"/>
        </w:rPr>
        <w:t xml:space="preserve"> трябва да се предотвратяват и лекуват своевременно. Демиелинизираните влакна са изключително чувствителни към минимална промяна в телесната температура и към лека ацидоза. Излагането на топлина на плажове, сауни, вани, басейни и повишаването на телесната температура дори с 1-2 градуса при инфекции влошават заболяването. Поради тази причина често пристъпите настъпват дори след леки респираторни инфекции. Изключително важно е да се лекува температурата при инфекции, което може сериозно да подобри неврологичните симптоми.</w:t>
      </w:r>
    </w:p>
    <w:p w14:paraId="2D28D50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Хирургични интервенции и анестезия</w:t>
      </w:r>
      <w:r w:rsidRPr="00AE47C6">
        <w:rPr>
          <w:rFonts w:ascii="Times New Roman" w:eastAsia="SimSun" w:hAnsi="Times New Roman"/>
          <w:sz w:val="24"/>
          <w:szCs w:val="24"/>
        </w:rPr>
        <w:t xml:space="preserve"> влошават минимално състоянието на пациентите и съответно могат да се прилагат при наличие на сериозни индикации. Трябва да се избягват интратекалната и спиналната анестезия, епидуралната се понася добре от пациентите.</w:t>
      </w:r>
    </w:p>
    <w:p w14:paraId="1281995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Храненето и физическата активност</w:t>
      </w:r>
      <w:r w:rsidRPr="00AE47C6">
        <w:rPr>
          <w:rFonts w:ascii="Times New Roman" w:eastAsia="SimSun" w:hAnsi="Times New Roman"/>
          <w:sz w:val="24"/>
          <w:szCs w:val="24"/>
        </w:rPr>
        <w:t xml:space="preserve"> са обект на множество проучвания. Препоръчва се нормална физическа активност, аеробика и спортни занимания, които са приятни за пациента, но да се избягват прегряване, дехидратация, преумора и активност свързана с потенциално нараняване. Плуването не е противопоказано, ако водата не е топла. Пациентите със слабост в долните крайници могат да участват в спортна активност свързана с горните крайници (йога). Няма доказателства, че някоя от предложените диети имат положителен ефект върху хода на заболяването. Стойността на популярната диета с ниско съдържание на мазнини не е доказана. На пациентите все пак се предлага диета богата на полиненаситени мастни киселини и витамин D, бедна на животински мазнини и спиране на тютюнопушенето.</w:t>
      </w:r>
    </w:p>
    <w:p w14:paraId="10E4FECB"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Социалните и психологически аспекти</w:t>
      </w:r>
      <w:r w:rsidRPr="00AE47C6">
        <w:rPr>
          <w:rFonts w:ascii="Times New Roman" w:eastAsia="SimSun" w:hAnsi="Times New Roman"/>
          <w:sz w:val="24"/>
          <w:szCs w:val="24"/>
        </w:rPr>
        <w:t xml:space="preserve"> на заболяването са изключително важни. В началото на заболяването пациентите научавайки за тежката си прогноза и несигурно бъдеще имат нужда от емоционална подкрепа. С нарастването на инвалидността пациентите вече не могат да изпълняват трудовите си задължения и в края на краищата спират да работят. По-късно те стават зависими в ежедневието от други хора, които се грижат за тях. През различните стадии на заболяването пациентите се сблъскват с различни проблеми и трябва да бъдат подготвени за тях чрез своевременно обучение. Обучението на пациентите трябва да започне с поставянето на диагнозата. На пациента трябва да се обясни естеството на заболяването и възможността за благоприятна прогноза. Необходимо е да се обясни хигиенно-диетичния режим, който трябва да спазва и да се посъветва да се предпазва от “алтернативни” методи на лечение. В по-късните стадии на заболяването подкрепата, която пациентът може да получи от различни асоциации и общества е изключително важна.</w:t>
      </w:r>
    </w:p>
    <w:p w14:paraId="3C0F7735" w14:textId="77777777" w:rsidR="00BE0B19" w:rsidRPr="00AE47C6" w:rsidRDefault="00BE0B19" w:rsidP="00BE0B19">
      <w:pPr>
        <w:spacing w:after="0" w:line="360" w:lineRule="auto"/>
        <w:ind w:firstLine="709"/>
        <w:jc w:val="both"/>
        <w:rPr>
          <w:rFonts w:ascii="Times New Roman" w:eastAsia="SimSun" w:hAnsi="Times New Roman"/>
          <w:sz w:val="24"/>
          <w:szCs w:val="24"/>
        </w:rPr>
      </w:pPr>
    </w:p>
    <w:p w14:paraId="385CEE57" w14:textId="77777777" w:rsidR="00BE0B19" w:rsidRPr="00AE47C6" w:rsidRDefault="00BE0B19" w:rsidP="00BE0B19">
      <w:pPr>
        <w:keepNext/>
        <w:keepLines/>
        <w:pageBreakBefore/>
        <w:spacing w:before="480" w:after="480"/>
        <w:outlineLvl w:val="0"/>
        <w:rPr>
          <w:rFonts w:ascii="Times New Roman" w:eastAsia="SimSun" w:hAnsi="Times New Roman"/>
          <w:b/>
          <w:bCs/>
          <w:sz w:val="28"/>
          <w:szCs w:val="28"/>
        </w:rPr>
      </w:pPr>
      <w:bookmarkStart w:id="270" w:name="_Toc155651815"/>
      <w:bookmarkStart w:id="271" w:name="_Toc164075949"/>
      <w:r w:rsidRPr="00AE47C6">
        <w:rPr>
          <w:rFonts w:ascii="Times New Roman" w:eastAsia="SimSun" w:hAnsi="Times New Roman"/>
          <w:b/>
          <w:bCs/>
          <w:sz w:val="28"/>
          <w:szCs w:val="28"/>
        </w:rPr>
        <w:t>11. Епилепсии и епилептични синдроми</w:t>
      </w:r>
      <w:bookmarkEnd w:id="270"/>
      <w:bookmarkEnd w:id="271"/>
    </w:p>
    <w:p w14:paraId="60306163" w14:textId="10E11590" w:rsidR="00BE0B19" w:rsidRPr="00AE47C6" w:rsidRDefault="00471742"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lang w:val="en-US"/>
        </w:rPr>
        <w:t>I</w:t>
      </w:r>
      <w:r w:rsidR="00BE0B19" w:rsidRPr="00AE47C6">
        <w:rPr>
          <w:rFonts w:ascii="Times New Roman" w:eastAsia="SimSun" w:hAnsi="Times New Roman"/>
          <w:b/>
          <w:bCs/>
          <w:sz w:val="24"/>
          <w:szCs w:val="24"/>
        </w:rPr>
        <w:t xml:space="preserve">. Определение. </w:t>
      </w:r>
      <w:r w:rsidR="00BE0B19" w:rsidRPr="00AE47C6">
        <w:rPr>
          <w:rFonts w:ascii="Times New Roman" w:eastAsia="SimSun" w:hAnsi="Times New Roman"/>
          <w:sz w:val="24"/>
          <w:szCs w:val="24"/>
        </w:rPr>
        <w:t>Световната Лига за борба с епилепсията (ILAE) и Международното Бюро за Епилепсия (International Bureau for Epilepsy, IBE) дефинират епилепсията като „мозъчно заболяване, характеризиращо се с трайно предразположение за генериране на епилептични пристъпи и с невробиологичните, когнитивни, психологични и социални последствия от това състояние”.</w:t>
      </w:r>
    </w:p>
    <w:p w14:paraId="3B14EE61"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b/>
          <w:sz w:val="24"/>
          <w:szCs w:val="24"/>
        </w:rPr>
        <w:tab/>
      </w:r>
      <w:r w:rsidRPr="00AE47C6">
        <w:rPr>
          <w:rFonts w:ascii="Times New Roman" w:eastAsia="SimSun" w:hAnsi="Times New Roman"/>
          <w:sz w:val="24"/>
          <w:szCs w:val="24"/>
        </w:rPr>
        <w:t xml:space="preserve">Според препоръчана от ILAE разширена дефиниция за епилепсия от 2014 г. </w:t>
      </w:r>
      <w:r w:rsidRPr="00AE47C6">
        <w:rPr>
          <w:rFonts w:ascii="Times New Roman" w:eastAsia="SimSun" w:hAnsi="Times New Roman"/>
          <w:bCs/>
          <w:sz w:val="24"/>
          <w:szCs w:val="24"/>
        </w:rPr>
        <w:t>епилепсията е мозъчно заболяване, което се наблюдава при някое от следните условия:</w:t>
      </w:r>
    </w:p>
    <w:p w14:paraId="2D09C9CB" w14:textId="77777777" w:rsidR="00BE0B19" w:rsidRPr="00AE47C6" w:rsidRDefault="00BE0B19" w:rsidP="00BE0B19">
      <w:pPr>
        <w:numPr>
          <w:ilvl w:val="0"/>
          <w:numId w:val="138"/>
        </w:numPr>
        <w:tabs>
          <w:tab w:val="clear" w:pos="720"/>
          <w:tab w:val="num" w:pos="0"/>
        </w:tabs>
        <w:spacing w:after="0" w:line="360" w:lineRule="auto"/>
        <w:ind w:left="0" w:firstLine="360"/>
        <w:jc w:val="both"/>
        <w:rPr>
          <w:rFonts w:ascii="Times New Roman" w:eastAsia="SimSun" w:hAnsi="Times New Roman"/>
          <w:sz w:val="24"/>
          <w:szCs w:val="24"/>
        </w:rPr>
      </w:pPr>
      <w:r w:rsidRPr="00AE47C6">
        <w:rPr>
          <w:rFonts w:ascii="Times New Roman" w:eastAsia="SimSun" w:hAnsi="Times New Roman"/>
          <w:bCs/>
          <w:sz w:val="24"/>
          <w:szCs w:val="24"/>
        </w:rPr>
        <w:t xml:space="preserve">Поне </w:t>
      </w:r>
      <w:r w:rsidRPr="00AE47C6">
        <w:rPr>
          <w:rFonts w:ascii="Times New Roman" w:eastAsia="SimSun" w:hAnsi="Times New Roman"/>
          <w:b/>
          <w:bCs/>
          <w:sz w:val="24"/>
          <w:szCs w:val="24"/>
        </w:rPr>
        <w:t xml:space="preserve">2 </w:t>
      </w:r>
      <w:r w:rsidRPr="00AE47C6">
        <w:rPr>
          <w:rFonts w:ascii="Times New Roman" w:eastAsia="SimSun" w:hAnsi="Times New Roman"/>
          <w:bCs/>
          <w:sz w:val="24"/>
          <w:szCs w:val="24"/>
        </w:rPr>
        <w:t>непровокирани (или провокирани) пристъпа, наблюдавани през период по-голям от 24 ч.</w:t>
      </w:r>
    </w:p>
    <w:p w14:paraId="6B8F4051" w14:textId="77777777" w:rsidR="00BE0B19" w:rsidRPr="00AE47C6" w:rsidRDefault="00BE0B19" w:rsidP="00BE0B19">
      <w:pPr>
        <w:numPr>
          <w:ilvl w:val="0"/>
          <w:numId w:val="138"/>
        </w:numPr>
        <w:tabs>
          <w:tab w:val="clear" w:pos="720"/>
          <w:tab w:val="num" w:pos="0"/>
        </w:tabs>
        <w:spacing w:after="0" w:line="360" w:lineRule="auto"/>
        <w:ind w:left="0" w:firstLine="360"/>
        <w:jc w:val="both"/>
        <w:rPr>
          <w:rFonts w:ascii="Times New Roman" w:eastAsia="SimSun" w:hAnsi="Times New Roman"/>
          <w:bCs/>
          <w:sz w:val="24"/>
          <w:szCs w:val="24"/>
        </w:rPr>
      </w:pPr>
      <w:r w:rsidRPr="00AE47C6">
        <w:rPr>
          <w:rFonts w:ascii="Times New Roman" w:eastAsia="SimSun" w:hAnsi="Times New Roman"/>
          <w:bCs/>
          <w:sz w:val="24"/>
          <w:szCs w:val="24"/>
        </w:rPr>
        <w:t>Един непровокиран (или провокиран) пристъп и наличие на фактори, които определят по-голяма (над 60%) вероятност за последващи пристъпи подобна на тази след 2 непровокирани пристъпа (пристъп 30 дни след мозъчен инсулт, при установени мозъчни структурни абнормности и епилептиформена ЕЕГ)</w:t>
      </w:r>
    </w:p>
    <w:p w14:paraId="71A35FE1" w14:textId="77777777" w:rsidR="00BE0B19" w:rsidRPr="00AE47C6" w:rsidRDefault="00BE0B19" w:rsidP="00BE0B19">
      <w:pPr>
        <w:numPr>
          <w:ilvl w:val="0"/>
          <w:numId w:val="138"/>
        </w:numPr>
        <w:tabs>
          <w:tab w:val="clear" w:pos="720"/>
          <w:tab w:val="num" w:pos="0"/>
        </w:tabs>
        <w:spacing w:after="0" w:line="360" w:lineRule="auto"/>
        <w:ind w:left="0" w:firstLine="360"/>
        <w:jc w:val="both"/>
        <w:rPr>
          <w:rFonts w:ascii="Times New Roman" w:eastAsia="SimSun" w:hAnsi="Times New Roman"/>
          <w:bCs/>
          <w:sz w:val="24"/>
          <w:szCs w:val="24"/>
        </w:rPr>
      </w:pPr>
      <w:r w:rsidRPr="00AE47C6">
        <w:rPr>
          <w:rFonts w:ascii="Times New Roman" w:eastAsia="SimSun" w:hAnsi="Times New Roman"/>
          <w:bCs/>
          <w:sz w:val="24"/>
          <w:szCs w:val="24"/>
        </w:rPr>
        <w:t xml:space="preserve">Диагноза епилептичен синдром (Роландова епилепсия с нисък риск за рецидивиращи пристъпи, синдром на Landau-Kleffner, епилептична енцефалопатия с продължителни комплекси спайк-бавна вълна по време на сън). </w:t>
      </w:r>
    </w:p>
    <w:p w14:paraId="23A22FB4" w14:textId="77777777" w:rsidR="00BE0B19" w:rsidRPr="00AE47C6" w:rsidRDefault="00BE0B19" w:rsidP="00BE0B19">
      <w:pPr>
        <w:tabs>
          <w:tab w:val="left" w:pos="709"/>
        </w:tabs>
        <w:spacing w:after="0" w:line="360" w:lineRule="auto"/>
        <w:ind w:firstLine="284"/>
        <w:jc w:val="both"/>
        <w:rPr>
          <w:rFonts w:ascii="Times New Roman" w:eastAsia="SimSun" w:hAnsi="Times New Roman"/>
          <w:sz w:val="24"/>
          <w:szCs w:val="24"/>
        </w:rPr>
      </w:pPr>
      <w:r w:rsidRPr="00AE47C6">
        <w:rPr>
          <w:rFonts w:ascii="Times New Roman" w:eastAsia="SimSun" w:hAnsi="Times New Roman"/>
          <w:bCs/>
          <w:sz w:val="24"/>
          <w:szCs w:val="24"/>
        </w:rPr>
        <w:tab/>
        <w:t>Епилепсията се приема за излекувана при:</w:t>
      </w:r>
    </w:p>
    <w:p w14:paraId="200CD4B3" w14:textId="77777777" w:rsidR="00BE0B19" w:rsidRPr="00AE47C6" w:rsidRDefault="00BE0B19" w:rsidP="00BE0B19">
      <w:pPr>
        <w:numPr>
          <w:ilvl w:val="0"/>
          <w:numId w:val="139"/>
        </w:numPr>
        <w:tabs>
          <w:tab w:val="clear" w:pos="720"/>
          <w:tab w:val="left" w:pos="709"/>
          <w:tab w:val="left" w:pos="851"/>
        </w:tabs>
        <w:spacing w:after="0" w:line="360" w:lineRule="auto"/>
        <w:ind w:left="0" w:firstLine="720"/>
        <w:jc w:val="both"/>
        <w:rPr>
          <w:rFonts w:ascii="Times New Roman" w:eastAsia="SimSun" w:hAnsi="Times New Roman"/>
          <w:bCs/>
          <w:sz w:val="24"/>
          <w:szCs w:val="24"/>
        </w:rPr>
      </w:pPr>
      <w:r w:rsidRPr="00AE47C6">
        <w:rPr>
          <w:rFonts w:ascii="Times New Roman" w:eastAsia="SimSun" w:hAnsi="Times New Roman"/>
          <w:bCs/>
          <w:sz w:val="24"/>
          <w:szCs w:val="24"/>
        </w:rPr>
        <w:t>Пациенти с възрастово зависим епилептичен синдром, които са преминали съответната типична възраст или</w:t>
      </w:r>
    </w:p>
    <w:p w14:paraId="2748955F" w14:textId="77777777" w:rsidR="00BE0B19" w:rsidRPr="00AE47C6" w:rsidRDefault="00BE0B19" w:rsidP="00BE0B19">
      <w:pPr>
        <w:numPr>
          <w:ilvl w:val="0"/>
          <w:numId w:val="139"/>
        </w:numPr>
        <w:tabs>
          <w:tab w:val="clear" w:pos="720"/>
          <w:tab w:val="left" w:pos="709"/>
          <w:tab w:val="left" w:pos="851"/>
        </w:tabs>
        <w:spacing w:after="0" w:line="360" w:lineRule="auto"/>
        <w:ind w:left="0" w:firstLine="720"/>
        <w:jc w:val="both"/>
        <w:rPr>
          <w:rFonts w:ascii="Times New Roman" w:eastAsia="SimSun" w:hAnsi="Times New Roman"/>
          <w:bCs/>
          <w:sz w:val="24"/>
          <w:szCs w:val="24"/>
        </w:rPr>
      </w:pPr>
      <w:r w:rsidRPr="00AE47C6">
        <w:rPr>
          <w:rFonts w:ascii="Times New Roman" w:eastAsia="SimSun" w:hAnsi="Times New Roman"/>
          <w:bCs/>
          <w:sz w:val="24"/>
          <w:szCs w:val="24"/>
        </w:rPr>
        <w:t xml:space="preserve">Пациенти без пристъпи за поне 10 години и без антиепилептични медикаменти през последните 5 години. </w:t>
      </w:r>
    </w:p>
    <w:p w14:paraId="269715C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Не се диагностицира епилепсия, когато пристъпите възникват при остри увреждания на мозъчните структури (инсулти, травми, енцефалити) или метаболизъм (хипогликемия, синкоп, интоксикация) и фебрилитет.</w:t>
      </w:r>
    </w:p>
    <w:p w14:paraId="0D2B834F" w14:textId="77777777" w:rsidR="00BE0B19" w:rsidRPr="00AE47C6" w:rsidRDefault="00BE0B19" w:rsidP="00BE0B19">
      <w:pPr>
        <w:spacing w:after="0" w:line="360" w:lineRule="auto"/>
        <w:ind w:firstLine="360"/>
        <w:contextualSpacing/>
        <w:jc w:val="both"/>
        <w:rPr>
          <w:rFonts w:ascii="Times New Roman" w:eastAsia="SimSun" w:hAnsi="Times New Roman"/>
          <w:sz w:val="24"/>
          <w:szCs w:val="24"/>
        </w:rPr>
      </w:pPr>
      <w:r w:rsidRPr="00AE47C6">
        <w:rPr>
          <w:rFonts w:ascii="Times New Roman" w:eastAsia="SimSun" w:hAnsi="Times New Roman"/>
          <w:b/>
          <w:bCs/>
          <w:sz w:val="24"/>
          <w:szCs w:val="24"/>
        </w:rPr>
        <w:t>Епидемиология</w:t>
      </w:r>
      <w:r w:rsidRPr="00AE47C6">
        <w:rPr>
          <w:rFonts w:ascii="Times New Roman" w:eastAsia="SimSun" w:hAnsi="Times New Roman"/>
          <w:sz w:val="24"/>
          <w:szCs w:val="24"/>
        </w:rPr>
        <w:t xml:space="preserve">. </w:t>
      </w:r>
      <w:r w:rsidRPr="00AE47C6">
        <w:rPr>
          <w:rFonts w:ascii="Times New Roman" w:eastAsia="SimSun" w:hAnsi="Times New Roman"/>
          <w:b/>
          <w:sz w:val="24"/>
          <w:szCs w:val="24"/>
        </w:rPr>
        <w:t>Болестността</w:t>
      </w:r>
      <w:r w:rsidRPr="00AE47C6">
        <w:rPr>
          <w:rFonts w:ascii="Times New Roman" w:eastAsia="SimSun" w:hAnsi="Times New Roman"/>
          <w:sz w:val="24"/>
          <w:szCs w:val="24"/>
        </w:rPr>
        <w:t xml:space="preserve"> от активна епилепсия е сходна за държавите с различно икономическо развитие – 2,3-5,9/1000 за държави с високодоходна икономика, 3,7-13,3/1000 за държави с високодоходна към среднодоходна икономика, 2,4-22,8/1000 за държави с нискодоходна към среднодоходна икономика, 3,6-15,4/1000 за държави с нискодоходна икономика. </w:t>
      </w:r>
    </w:p>
    <w:p w14:paraId="59592585" w14:textId="77777777" w:rsidR="00BE0B19" w:rsidRPr="00AE47C6" w:rsidRDefault="00BE0B19" w:rsidP="00BE0B19">
      <w:pPr>
        <w:autoSpaceDE w:val="0"/>
        <w:autoSpaceDN w:val="0"/>
        <w:adjustRightInd w:val="0"/>
        <w:spacing w:after="0" w:line="360" w:lineRule="auto"/>
        <w:ind w:firstLine="360"/>
        <w:contextualSpacing/>
        <w:jc w:val="both"/>
        <w:rPr>
          <w:rFonts w:ascii="Times New Roman" w:eastAsia="SimSun" w:hAnsi="Times New Roman"/>
          <w:sz w:val="24"/>
          <w:szCs w:val="24"/>
        </w:rPr>
      </w:pPr>
      <w:r w:rsidRPr="00AE47C6">
        <w:rPr>
          <w:rFonts w:ascii="Times New Roman" w:eastAsia="SimSun" w:hAnsi="Times New Roman"/>
          <w:b/>
          <w:sz w:val="24"/>
          <w:szCs w:val="24"/>
        </w:rPr>
        <w:t>Заболяемостта</w:t>
      </w:r>
      <w:r w:rsidRPr="00AE47C6">
        <w:rPr>
          <w:rFonts w:ascii="Times New Roman" w:eastAsia="SimSun" w:hAnsi="Times New Roman"/>
          <w:sz w:val="24"/>
          <w:szCs w:val="24"/>
        </w:rPr>
        <w:t xml:space="preserve"> е по-висока за държавите с нискодоходна и среднодоходна икономика. Средната заболяемост е 45 на 100 000 население за високодоходните държави и 81,7 в останалите държави. У нас болните с епилепсия са около 50 000. При 50 - 60% от болните епилепсията започва преди 16 годишна възраст. Фебрилни гърчове получават 2-5% от децата до 5 г. възраст. </w:t>
      </w:r>
    </w:p>
    <w:p w14:paraId="4C014585"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II. Епилептични пристъпи: определение, класификация, клинична и ЕЕГ характеристика</w:t>
      </w:r>
    </w:p>
    <w:p w14:paraId="67D4CFDD"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Определение. </w:t>
      </w:r>
      <w:r w:rsidRPr="00AE47C6">
        <w:rPr>
          <w:rFonts w:ascii="Times New Roman" w:eastAsia="SimSun" w:hAnsi="Times New Roman"/>
          <w:b/>
          <w:bCs/>
          <w:i/>
          <w:iCs/>
          <w:sz w:val="24"/>
          <w:szCs w:val="24"/>
        </w:rPr>
        <w:t>Епилептичните пристъпи</w:t>
      </w:r>
      <w:r w:rsidRPr="00AE47C6">
        <w:rPr>
          <w:rFonts w:ascii="Times New Roman" w:eastAsia="SimSun" w:hAnsi="Times New Roman"/>
          <w:sz w:val="24"/>
          <w:szCs w:val="24"/>
        </w:rPr>
        <w:t xml:space="preserve"> са епизоди от внезапно настъпващо количествено и/или качествено разстройство на съзнанието, сензорните, двигателни, автономни и психични функции. Те са израз на хиперсинхронните разряди на коровите неврони. Клиничната изява на епилептичните пристъпи зависи от локализацията на разрядите в мозъчната кора и разпространението им в мозъка. </w:t>
      </w:r>
    </w:p>
    <w:p w14:paraId="6A37353D" w14:textId="77777777" w:rsidR="00BE0B19" w:rsidRPr="00AE47C6" w:rsidRDefault="00BE0B19" w:rsidP="00BE0B19">
      <w:pPr>
        <w:spacing w:after="0" w:line="360" w:lineRule="auto"/>
        <w:ind w:firstLine="720"/>
        <w:jc w:val="both"/>
        <w:rPr>
          <w:rFonts w:ascii="Times New Roman" w:eastAsia="SimSun" w:hAnsi="Times New Roman"/>
          <w:sz w:val="24"/>
          <w:szCs w:val="24"/>
          <w:lang w:eastAsia="bg-BG"/>
        </w:rPr>
      </w:pPr>
      <w:r w:rsidRPr="00AE47C6">
        <w:rPr>
          <w:rFonts w:ascii="Times New Roman" w:eastAsia="SimSun" w:hAnsi="Times New Roman"/>
          <w:b/>
          <w:sz w:val="24"/>
          <w:szCs w:val="24"/>
        </w:rPr>
        <w:t xml:space="preserve">Класификация - </w:t>
      </w:r>
      <w:r w:rsidRPr="00AE47C6">
        <w:rPr>
          <w:rFonts w:ascii="Times New Roman" w:eastAsia="SimSun" w:hAnsi="Times New Roman"/>
          <w:sz w:val="24"/>
          <w:szCs w:val="24"/>
        </w:rPr>
        <w:t xml:space="preserve">разширена ILAE схема на епилептичните пристъпи от 2016 г. и 2017 г. </w:t>
      </w:r>
      <w:r w:rsidRPr="00AE47C6">
        <w:rPr>
          <w:rFonts w:ascii="Times New Roman" w:eastAsia="SimSun" w:hAnsi="Times New Roman"/>
          <w:sz w:val="24"/>
          <w:szCs w:val="24"/>
          <w:lang w:eastAsia="bg-BG"/>
        </w:rPr>
        <w:t>Промените включват: 1. “Фокален” замества “ парциален”; 2. Пристъпите с неясно начало също могат да бъдат класифицирани; 3. Промените в съзнанието се използват като критерий за класификация на фокалните пристъпи; 4. Отхвърлят се термини за класификация като: „дизкогнитивни”, „прости парциални”, „комплексни парциални”, „психични”, „вторично генерализирани”, „аура”, „конвулсии”; 5. Приемат се видове пристъпи като: фокални тонични, клонични, атонични, миоклонични, хипермоторни (заменя хиперкинетични), когнитивни (заменя психични, отнася се за специфични прояви като афазия), емоционални (геластични, дакристични), епилептични спазми, както и двустранните им варианти; 6. Добавят се нови видове генерализирани пристъпи: абсанси с миоклонии на клепачите, миоклонични абсанси, миоклонично-атонични, клонично-тонично-клонични, епилептични спазми. Епилептичните спазми могат да бъдат фокални, генерализирани или неуточнени; 7. Терминът „двустранни тонично-клонични” заменя „вторично генерализирани”.</w:t>
      </w:r>
    </w:p>
    <w:p w14:paraId="63024AD6" w14:textId="77777777" w:rsidR="00BE0B19" w:rsidRPr="00AE47C6" w:rsidRDefault="00BE0B19" w:rsidP="00BE0B19">
      <w:pPr>
        <w:spacing w:after="0" w:line="240" w:lineRule="auto"/>
        <w:rPr>
          <w:rFonts w:ascii="Times New Roman" w:eastAsia="SimSun" w:hAnsi="Times New Roman"/>
          <w:sz w:val="24"/>
          <w:szCs w:val="24"/>
          <w:lang w:eastAsia="bg-BG"/>
        </w:rPr>
      </w:pPr>
      <w:r w:rsidRPr="00AE47C6">
        <w:rPr>
          <w:rFonts w:ascii="Times New Roman" w:eastAsia="SimSun" w:hAnsi="Times New Roman"/>
          <w:sz w:val="24"/>
          <w:szCs w:val="24"/>
          <w:lang w:eastAsia="bg-BG"/>
        </w:rPr>
        <w:br w:type="page"/>
      </w:r>
    </w:p>
    <w:p w14:paraId="69FDE03C" w14:textId="77777777" w:rsidR="00BE0B19" w:rsidRPr="00AE47C6" w:rsidRDefault="00BE0B19" w:rsidP="00BE0B19">
      <w:pPr>
        <w:spacing w:after="0" w:line="360" w:lineRule="auto"/>
        <w:jc w:val="both"/>
        <w:rPr>
          <w:rFonts w:ascii="Times New Roman" w:eastAsia="SimSun" w:hAnsi="Times New Roman"/>
          <w:sz w:val="24"/>
          <w:szCs w:val="24"/>
          <w:lang w:eastAsia="bg-BG"/>
        </w:rPr>
      </w:pPr>
    </w:p>
    <w:p w14:paraId="4B905E99" w14:textId="77777777" w:rsidR="00BE0B19" w:rsidRPr="00AE47C6" w:rsidRDefault="00BE0B19" w:rsidP="00BE0B19">
      <w:pPr>
        <w:spacing w:after="0" w:line="360" w:lineRule="auto"/>
        <w:jc w:val="both"/>
        <w:rPr>
          <w:rFonts w:ascii="Times New Roman" w:eastAsia="SimSun" w:hAnsi="Times New Roman"/>
          <w:sz w:val="24"/>
          <w:szCs w:val="24"/>
          <w:lang w:eastAsia="bg-BG"/>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65760" behindDoc="0" locked="0" layoutInCell="1" allowOverlap="1" wp14:anchorId="2B4A54EC" wp14:editId="5DA8A671">
                <wp:simplePos x="0" y="0"/>
                <wp:positionH relativeFrom="column">
                  <wp:posOffset>4410710</wp:posOffset>
                </wp:positionH>
                <wp:positionV relativeFrom="paragraph">
                  <wp:posOffset>94615</wp:posOffset>
                </wp:positionV>
                <wp:extent cx="1758315" cy="326390"/>
                <wp:effectExtent l="0" t="0" r="0" b="0"/>
                <wp:wrapNone/>
                <wp:docPr id="27" name="AutoShap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8315" cy="326390"/>
                        </a:xfrm>
                        <a:prstGeom prst="roundRect">
                          <a:avLst>
                            <a:gd name="adj" fmla="val 16667"/>
                          </a:avLst>
                        </a:prstGeom>
                        <a:solidFill>
                          <a:srgbClr val="FFFFFF"/>
                        </a:solidFill>
                        <a:ln w="9525">
                          <a:solidFill>
                            <a:srgbClr val="000000"/>
                          </a:solidFill>
                          <a:round/>
                          <a:headEnd/>
                          <a:tailEnd/>
                        </a:ln>
                      </wps:spPr>
                      <wps:txbx>
                        <w:txbxContent>
                          <w:p w14:paraId="788596DE" w14:textId="77777777" w:rsidR="00471742" w:rsidRPr="001F2B26" w:rsidRDefault="00471742" w:rsidP="00BE0B19">
                            <w:pPr>
                              <w:rPr>
                                <w:b/>
                              </w:rPr>
                            </w:pPr>
                            <w:r w:rsidRPr="001F2B26">
                              <w:rPr>
                                <w:b/>
                              </w:rPr>
                              <w:t>С неизвестно начало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4A54EC" id="AutoShape 76" o:spid="_x0000_s1239" style="position:absolute;left:0;text-align:left;margin-left:347.3pt;margin-top:7.45pt;width:138.45pt;height:25.7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">
                <v:textbox>
                  <w:txbxContent>
                    <w:p w14:paraId="788596DE" w14:textId="77777777" w:rsidR="00471742" w:rsidRPr="001F2B26" w:rsidRDefault="00471742" w:rsidP="00BE0B19">
                      <w:pPr>
                        <w:rPr>
                          <w:b/>
                        </w:rPr>
                      </w:pPr>
                      <w:r w:rsidRPr="001F2B26">
                        <w:rPr>
                          <w:b/>
                        </w:rPr>
                        <w:t>С неизвестно начало</w:t>
                      </w:r>
                    </w:p>
                  </w:txbxContent>
                </v:textbox>
              </v:roundrect>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64736" behindDoc="0" locked="0" layoutInCell="1" allowOverlap="1" wp14:anchorId="2A062C8C" wp14:editId="49E7B520">
                <wp:simplePos x="0" y="0"/>
                <wp:positionH relativeFrom="column">
                  <wp:posOffset>2625725</wp:posOffset>
                </wp:positionH>
                <wp:positionV relativeFrom="paragraph">
                  <wp:posOffset>94615</wp:posOffset>
                </wp:positionV>
                <wp:extent cx="1433195" cy="326390"/>
                <wp:effectExtent l="0" t="0" r="0" b="0"/>
                <wp:wrapNone/>
                <wp:docPr id="26" name="AutoShap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3195" cy="326390"/>
                        </a:xfrm>
                        <a:prstGeom prst="roundRect">
                          <a:avLst>
                            <a:gd name="adj" fmla="val 16667"/>
                          </a:avLst>
                        </a:prstGeom>
                        <a:solidFill>
                          <a:srgbClr val="FFFFFF"/>
                        </a:solidFill>
                        <a:ln w="9525">
                          <a:solidFill>
                            <a:srgbClr val="000000"/>
                          </a:solidFill>
                          <a:round/>
                          <a:headEnd/>
                          <a:tailEnd/>
                        </a:ln>
                      </wps:spPr>
                      <wps:txbx>
                        <w:txbxContent>
                          <w:p w14:paraId="37F9BA29" w14:textId="77777777" w:rsidR="00471742" w:rsidRPr="001F2B26" w:rsidRDefault="00471742" w:rsidP="00BE0B19">
                            <w:pPr>
                              <w:rPr>
                                <w:b/>
                              </w:rPr>
                            </w:pPr>
                            <w:r w:rsidRPr="001F2B26">
                              <w:rPr>
                                <w:b/>
                              </w:rPr>
                              <w:t>Генерализирани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062C8C" id="AutoShape 75" o:spid="_x0000_s1240" style="position:absolute;left:0;text-align:left;margin-left:206.75pt;margin-top:7.45pt;width:112.85pt;height:25.7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">
                <v:textbox>
                  <w:txbxContent>
                    <w:p w14:paraId="37F9BA29" w14:textId="77777777" w:rsidR="00471742" w:rsidRPr="001F2B26" w:rsidRDefault="00471742" w:rsidP="00BE0B19">
                      <w:pPr>
                        <w:rPr>
                          <w:b/>
                        </w:rPr>
                      </w:pPr>
                      <w:r w:rsidRPr="001F2B26">
                        <w:rPr>
                          <w:b/>
                        </w:rPr>
                        <w:t>Генерализирани</w:t>
                      </w:r>
                    </w:p>
                  </w:txbxContent>
                </v:textbox>
              </v:roundrect>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63712" behindDoc="0" locked="0" layoutInCell="1" allowOverlap="1" wp14:anchorId="591C644A" wp14:editId="314058A7">
                <wp:simplePos x="0" y="0"/>
                <wp:positionH relativeFrom="column">
                  <wp:posOffset>137795</wp:posOffset>
                </wp:positionH>
                <wp:positionV relativeFrom="paragraph">
                  <wp:posOffset>94615</wp:posOffset>
                </wp:positionV>
                <wp:extent cx="1081405" cy="326390"/>
                <wp:effectExtent l="0" t="0" r="4445" b="0"/>
                <wp:wrapNone/>
                <wp:docPr id="24"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1405" cy="326390"/>
                        </a:xfrm>
                        <a:prstGeom prst="roundRect">
                          <a:avLst>
                            <a:gd name="adj" fmla="val 16667"/>
                          </a:avLst>
                        </a:prstGeom>
                        <a:solidFill>
                          <a:srgbClr val="FFFFFF"/>
                        </a:solidFill>
                        <a:ln w="9525">
                          <a:solidFill>
                            <a:srgbClr val="000000"/>
                          </a:solidFill>
                          <a:round/>
                          <a:headEnd/>
                          <a:tailEnd/>
                        </a:ln>
                      </wps:spPr>
                      <wps:txbx>
                        <w:txbxContent>
                          <w:p w14:paraId="026785F3" w14:textId="77777777" w:rsidR="00471742" w:rsidRPr="001F2B26" w:rsidRDefault="00471742" w:rsidP="00BE0B19">
                            <w:pPr>
                              <w:rPr>
                                <w:b/>
                              </w:rPr>
                            </w:pPr>
                            <w:r w:rsidRPr="001F2B26">
                              <w:rPr>
                                <w:b/>
                              </w:rPr>
                              <w:t>Фокални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1C644A" id="AutoShape 74" o:spid="_x0000_s1241" style="position:absolute;left:0;text-align:left;margin-left:10.85pt;margin-top:7.45pt;width:85.15pt;height:25.7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">
                <v:textbox>
                  <w:txbxContent>
                    <w:p w14:paraId="026785F3" w14:textId="77777777" w:rsidR="00471742" w:rsidRPr="001F2B26" w:rsidRDefault="00471742" w:rsidP="00BE0B19">
                      <w:pPr>
                        <w:rPr>
                          <w:b/>
                        </w:rPr>
                      </w:pPr>
                      <w:r w:rsidRPr="001F2B26">
                        <w:rPr>
                          <w:b/>
                        </w:rPr>
                        <w:t>Фокални</w:t>
                      </w:r>
                    </w:p>
                  </w:txbxContent>
                </v:textbox>
              </v:roundrect>
            </w:pict>
          </mc:Fallback>
        </mc:AlternateContent>
      </w:r>
    </w:p>
    <w:p w14:paraId="7C89F6A2" w14:textId="77777777" w:rsidR="00BE0B19" w:rsidRPr="00AE47C6" w:rsidRDefault="00BE0B19" w:rsidP="00BE0B19">
      <w:pPr>
        <w:spacing w:after="0" w:line="360" w:lineRule="auto"/>
        <w:jc w:val="both"/>
        <w:rPr>
          <w:rFonts w:ascii="Times New Roman" w:eastAsia="SimSun" w:hAnsi="Times New Roman"/>
          <w:sz w:val="24"/>
          <w:szCs w:val="24"/>
          <w:lang w:eastAsia="bg-BG"/>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71904" behindDoc="0" locked="0" layoutInCell="1" allowOverlap="1" wp14:anchorId="0C95DC7B" wp14:editId="6C381E0B">
                <wp:simplePos x="0" y="0"/>
                <wp:positionH relativeFrom="column">
                  <wp:posOffset>4665345</wp:posOffset>
                </wp:positionH>
                <wp:positionV relativeFrom="paragraph">
                  <wp:posOffset>160020</wp:posOffset>
                </wp:positionV>
                <wp:extent cx="1503680" cy="1873885"/>
                <wp:effectExtent l="0" t="0" r="1270" b="0"/>
                <wp:wrapNone/>
                <wp:docPr id="23"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3680" cy="1873885"/>
                        </a:xfrm>
                        <a:prstGeom prst="roundRect">
                          <a:avLst>
                            <a:gd name="adj" fmla="val 16667"/>
                          </a:avLst>
                        </a:prstGeom>
                        <a:solidFill>
                          <a:srgbClr val="FFFFFF"/>
                        </a:solidFill>
                        <a:ln w="9525">
                          <a:solidFill>
                            <a:srgbClr val="000000"/>
                          </a:solidFill>
                          <a:round/>
                          <a:headEnd/>
                          <a:tailEnd/>
                        </a:ln>
                      </wps:spPr>
                      <wps:txbx>
                        <w:txbxContent>
                          <w:p w14:paraId="588A6097" w14:textId="77777777" w:rsidR="00471742" w:rsidRPr="007C3DF5" w:rsidRDefault="00471742" w:rsidP="00BE0B19">
                            <w:pPr>
                              <w:rPr>
                                <w:b/>
                                <w:sz w:val="18"/>
                                <w:szCs w:val="18"/>
                              </w:rPr>
                            </w:pPr>
                            <w:r w:rsidRPr="007C3DF5">
                              <w:rPr>
                                <w:b/>
                                <w:sz w:val="18"/>
                                <w:szCs w:val="18"/>
                              </w:rPr>
                              <w:t>Моторни</w:t>
                            </w:r>
                          </w:p>
                          <w:p w14:paraId="4FA86C3B" w14:textId="77777777" w:rsidR="00471742" w:rsidRPr="007C3DF5" w:rsidRDefault="00471742" w:rsidP="00BE0B19">
                            <w:pPr>
                              <w:rPr>
                                <w:sz w:val="18"/>
                                <w:szCs w:val="18"/>
                              </w:rPr>
                            </w:pPr>
                            <w:r w:rsidRPr="007C3DF5">
                              <w:rPr>
                                <w:sz w:val="18"/>
                                <w:szCs w:val="18"/>
                              </w:rPr>
                              <w:t>Тонично-клонични</w:t>
                            </w:r>
                          </w:p>
                          <w:p w14:paraId="0B4CE915" w14:textId="77777777" w:rsidR="00471742" w:rsidRPr="007C3DF5" w:rsidRDefault="00471742" w:rsidP="00BE0B19">
                            <w:pPr>
                              <w:rPr>
                                <w:sz w:val="18"/>
                                <w:szCs w:val="18"/>
                              </w:rPr>
                            </w:pPr>
                            <w:r w:rsidRPr="007C3DF5">
                              <w:rPr>
                                <w:sz w:val="18"/>
                                <w:szCs w:val="18"/>
                              </w:rPr>
                              <w:t>Тонични</w:t>
                            </w:r>
                          </w:p>
                          <w:p w14:paraId="20966F59" w14:textId="77777777" w:rsidR="00471742" w:rsidRPr="007C3DF5" w:rsidRDefault="00471742" w:rsidP="00BE0B19">
                            <w:pPr>
                              <w:rPr>
                                <w:sz w:val="18"/>
                                <w:szCs w:val="18"/>
                              </w:rPr>
                            </w:pPr>
                            <w:r w:rsidRPr="007C3DF5">
                              <w:rPr>
                                <w:sz w:val="18"/>
                                <w:szCs w:val="18"/>
                              </w:rPr>
                              <w:t>Атонични</w:t>
                            </w:r>
                          </w:p>
                          <w:p w14:paraId="463A5CF5" w14:textId="77777777" w:rsidR="00471742" w:rsidRPr="001F2B26" w:rsidRDefault="00471742" w:rsidP="00BE0B19">
                            <w:pPr>
                              <w:rPr>
                                <w:sz w:val="20"/>
                                <w:szCs w:val="20"/>
                              </w:rPr>
                            </w:pPr>
                            <w:r w:rsidRPr="001F2B26">
                              <w:rPr>
                                <w:sz w:val="20"/>
                                <w:szCs w:val="20"/>
                              </w:rPr>
                              <w:t>Епилептични спазми</w:t>
                            </w:r>
                          </w:p>
                          <w:p w14:paraId="480D029D" w14:textId="77777777" w:rsidR="00471742" w:rsidRPr="001F2B26" w:rsidRDefault="00471742" w:rsidP="00BE0B19">
                            <w:pPr>
                              <w:rPr>
                                <w:b/>
                              </w:rPr>
                            </w:pPr>
                            <w:r w:rsidRPr="001F2B26">
                              <w:rPr>
                                <w:b/>
                              </w:rPr>
                              <w:t>Немоторни</w:t>
                            </w:r>
                          </w:p>
                          <w:p w14:paraId="362A122F" w14:textId="77777777" w:rsidR="00471742" w:rsidRPr="001F2B26" w:rsidRDefault="00471742" w:rsidP="00BE0B19">
                            <w:pPr>
                              <w:rPr>
                                <w:sz w:val="20"/>
                                <w:szCs w:val="20"/>
                              </w:rPr>
                            </w:pPr>
                          </w:p>
                          <w:p w14:paraId="0708640D" w14:textId="77777777" w:rsidR="00471742" w:rsidRPr="001F2B26" w:rsidRDefault="00471742" w:rsidP="00BE0B1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95DC7B" id="AutoShape 82" o:spid="_x0000_s1242" style="position:absolute;left:0;text-align:left;margin-left:367.35pt;margin-top:12.6pt;width:118.4pt;height:147.5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">
                <v:textbox>
                  <w:txbxContent>
                    <w:p w14:paraId="588A6097" w14:textId="77777777" w:rsidR="00471742" w:rsidRPr="007C3DF5" w:rsidRDefault="00471742" w:rsidP="00BE0B19">
                      <w:pPr>
                        <w:rPr>
                          <w:b/>
                          <w:sz w:val="18"/>
                          <w:szCs w:val="18"/>
                        </w:rPr>
                      </w:pPr>
                      <w:r w:rsidRPr="007C3DF5">
                        <w:rPr>
                          <w:b/>
                          <w:sz w:val="18"/>
                          <w:szCs w:val="18"/>
                        </w:rPr>
                        <w:t>Моторни</w:t>
                      </w:r>
                    </w:p>
                    <w:p w14:paraId="4FA86C3B" w14:textId="77777777" w:rsidR="00471742" w:rsidRPr="007C3DF5" w:rsidRDefault="00471742" w:rsidP="00BE0B19">
                      <w:pPr>
                        <w:rPr>
                          <w:sz w:val="18"/>
                          <w:szCs w:val="18"/>
                        </w:rPr>
                      </w:pPr>
                      <w:r w:rsidRPr="007C3DF5">
                        <w:rPr>
                          <w:sz w:val="18"/>
                          <w:szCs w:val="18"/>
                        </w:rPr>
                        <w:t>Тонично-клонични</w:t>
                      </w:r>
                    </w:p>
                    <w:p w14:paraId="0B4CE915" w14:textId="77777777" w:rsidR="00471742" w:rsidRPr="007C3DF5" w:rsidRDefault="00471742" w:rsidP="00BE0B19">
                      <w:pPr>
                        <w:rPr>
                          <w:sz w:val="18"/>
                          <w:szCs w:val="18"/>
                        </w:rPr>
                      </w:pPr>
                      <w:r w:rsidRPr="007C3DF5">
                        <w:rPr>
                          <w:sz w:val="18"/>
                          <w:szCs w:val="18"/>
                        </w:rPr>
                        <w:t>Тонични</w:t>
                      </w:r>
                    </w:p>
                    <w:p w14:paraId="20966F59" w14:textId="77777777" w:rsidR="00471742" w:rsidRPr="007C3DF5" w:rsidRDefault="00471742" w:rsidP="00BE0B19">
                      <w:pPr>
                        <w:rPr>
                          <w:sz w:val="18"/>
                          <w:szCs w:val="18"/>
                        </w:rPr>
                      </w:pPr>
                      <w:r w:rsidRPr="007C3DF5">
                        <w:rPr>
                          <w:sz w:val="18"/>
                          <w:szCs w:val="18"/>
                        </w:rPr>
                        <w:t>Атонични</w:t>
                      </w:r>
                    </w:p>
                    <w:p w14:paraId="463A5CF5" w14:textId="77777777" w:rsidR="00471742" w:rsidRPr="001F2B26" w:rsidRDefault="00471742" w:rsidP="00BE0B19">
                      <w:pPr>
                        <w:rPr>
                          <w:sz w:val="20"/>
                          <w:szCs w:val="20"/>
                        </w:rPr>
                      </w:pPr>
                      <w:r w:rsidRPr="001F2B26">
                        <w:rPr>
                          <w:sz w:val="20"/>
                          <w:szCs w:val="20"/>
                        </w:rPr>
                        <w:t>Епилептични спазми</w:t>
                      </w:r>
                    </w:p>
                    <w:p w14:paraId="480D029D" w14:textId="77777777" w:rsidR="00471742" w:rsidRPr="001F2B26" w:rsidRDefault="00471742" w:rsidP="00BE0B19">
                      <w:pPr>
                        <w:rPr>
                          <w:b/>
                        </w:rPr>
                      </w:pPr>
                      <w:r w:rsidRPr="001F2B26">
                        <w:rPr>
                          <w:b/>
                        </w:rPr>
                        <w:t>Немоторни</w:t>
                      </w:r>
                    </w:p>
                    <w:p w14:paraId="362A122F" w14:textId="77777777" w:rsidR="00471742" w:rsidRPr="001F2B26" w:rsidRDefault="00471742" w:rsidP="00BE0B19">
                      <w:pPr>
                        <w:rPr>
                          <w:sz w:val="20"/>
                          <w:szCs w:val="20"/>
                        </w:rPr>
                      </w:pPr>
                    </w:p>
                    <w:p w14:paraId="0708640D" w14:textId="77777777" w:rsidR="00471742" w:rsidRPr="001F2B26" w:rsidRDefault="00471742" w:rsidP="00BE0B19"/>
                  </w:txbxContent>
                </v:textbox>
              </v:roundrect>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70880" behindDoc="0" locked="0" layoutInCell="1" allowOverlap="1" wp14:anchorId="3FE57126" wp14:editId="6032A109">
                <wp:simplePos x="0" y="0"/>
                <wp:positionH relativeFrom="column">
                  <wp:posOffset>2451735</wp:posOffset>
                </wp:positionH>
                <wp:positionV relativeFrom="paragraph">
                  <wp:posOffset>160020</wp:posOffset>
                </wp:positionV>
                <wp:extent cx="1811655" cy="2679700"/>
                <wp:effectExtent l="0" t="0" r="0" b="6350"/>
                <wp:wrapNone/>
                <wp:docPr id="21"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1655" cy="2679700"/>
                        </a:xfrm>
                        <a:prstGeom prst="roundRect">
                          <a:avLst>
                            <a:gd name="adj" fmla="val 16667"/>
                          </a:avLst>
                        </a:prstGeom>
                        <a:solidFill>
                          <a:srgbClr val="FFFFFF"/>
                        </a:solidFill>
                        <a:ln w="9525">
                          <a:solidFill>
                            <a:srgbClr val="000000"/>
                          </a:solidFill>
                          <a:round/>
                          <a:headEnd/>
                          <a:tailEnd/>
                        </a:ln>
                      </wps:spPr>
                      <wps:txbx>
                        <w:txbxContent>
                          <w:p w14:paraId="67F30B6E" w14:textId="77777777" w:rsidR="00471742" w:rsidRPr="007C3DF5" w:rsidRDefault="00471742" w:rsidP="00BE0B19">
                            <w:pPr>
                              <w:spacing w:line="240" w:lineRule="auto"/>
                              <w:rPr>
                                <w:rFonts w:ascii="Times New Roman" w:hAnsi="Times New Roman"/>
                                <w:b/>
                              </w:rPr>
                            </w:pPr>
                            <w:r w:rsidRPr="007C3DF5">
                              <w:rPr>
                                <w:rFonts w:ascii="Times New Roman" w:hAnsi="Times New Roman"/>
                                <w:b/>
                              </w:rPr>
                              <w:t>Моторни</w:t>
                            </w:r>
                          </w:p>
                          <w:p w14:paraId="720A6A74" w14:textId="77777777" w:rsidR="00471742" w:rsidRPr="007C3DF5" w:rsidRDefault="00471742" w:rsidP="00BE0B19">
                            <w:pPr>
                              <w:spacing w:line="240" w:lineRule="auto"/>
                              <w:rPr>
                                <w:rFonts w:ascii="Times New Roman" w:hAnsi="Times New Roman"/>
                                <w:sz w:val="20"/>
                                <w:szCs w:val="20"/>
                              </w:rPr>
                            </w:pPr>
                            <w:r w:rsidRPr="007C3DF5">
                              <w:rPr>
                                <w:rFonts w:ascii="Times New Roman" w:hAnsi="Times New Roman"/>
                                <w:sz w:val="20"/>
                                <w:szCs w:val="20"/>
                              </w:rPr>
                              <w:t>Тонично-клонични</w:t>
                            </w:r>
                          </w:p>
                          <w:p w14:paraId="14A2C8C6" w14:textId="77777777" w:rsidR="00471742" w:rsidRPr="007C3DF5" w:rsidRDefault="00471742" w:rsidP="00BE0B19">
                            <w:pPr>
                              <w:spacing w:line="240" w:lineRule="auto"/>
                              <w:rPr>
                                <w:rFonts w:ascii="Times New Roman" w:hAnsi="Times New Roman"/>
                                <w:sz w:val="20"/>
                                <w:szCs w:val="20"/>
                              </w:rPr>
                            </w:pPr>
                            <w:r w:rsidRPr="007C3DF5">
                              <w:rPr>
                                <w:rFonts w:ascii="Times New Roman" w:hAnsi="Times New Roman"/>
                                <w:sz w:val="20"/>
                                <w:szCs w:val="20"/>
                              </w:rPr>
                              <w:t>Тонични</w:t>
                            </w:r>
                          </w:p>
                          <w:p w14:paraId="43FD054F" w14:textId="77777777" w:rsidR="00471742" w:rsidRPr="007C3DF5" w:rsidRDefault="00471742" w:rsidP="00BE0B19">
                            <w:pPr>
                              <w:spacing w:line="240" w:lineRule="auto"/>
                              <w:rPr>
                                <w:rFonts w:ascii="Times New Roman" w:hAnsi="Times New Roman"/>
                                <w:sz w:val="20"/>
                                <w:szCs w:val="20"/>
                              </w:rPr>
                            </w:pPr>
                            <w:r w:rsidRPr="007C3DF5">
                              <w:rPr>
                                <w:rFonts w:ascii="Times New Roman" w:hAnsi="Times New Roman"/>
                                <w:sz w:val="20"/>
                                <w:szCs w:val="20"/>
                              </w:rPr>
                              <w:t>Атонични</w:t>
                            </w:r>
                          </w:p>
                          <w:p w14:paraId="5CC17613" w14:textId="77777777" w:rsidR="00471742" w:rsidRPr="007C3DF5" w:rsidRDefault="00471742" w:rsidP="00BE0B19">
                            <w:pPr>
                              <w:spacing w:line="240" w:lineRule="auto"/>
                              <w:rPr>
                                <w:rFonts w:ascii="Times New Roman" w:hAnsi="Times New Roman"/>
                                <w:sz w:val="20"/>
                                <w:szCs w:val="20"/>
                              </w:rPr>
                            </w:pPr>
                            <w:r w:rsidRPr="007C3DF5">
                              <w:rPr>
                                <w:rFonts w:ascii="Times New Roman" w:hAnsi="Times New Roman"/>
                                <w:sz w:val="20"/>
                                <w:szCs w:val="20"/>
                              </w:rPr>
                              <w:t>Миоклонични</w:t>
                            </w:r>
                          </w:p>
                          <w:p w14:paraId="04DB9098" w14:textId="77777777" w:rsidR="00471742" w:rsidRPr="007C3DF5" w:rsidRDefault="00471742" w:rsidP="00BE0B19">
                            <w:pPr>
                              <w:spacing w:line="240" w:lineRule="auto"/>
                              <w:rPr>
                                <w:rFonts w:ascii="Times New Roman" w:hAnsi="Times New Roman"/>
                                <w:sz w:val="20"/>
                                <w:szCs w:val="20"/>
                              </w:rPr>
                            </w:pPr>
                            <w:r w:rsidRPr="007C3DF5">
                              <w:rPr>
                                <w:rFonts w:ascii="Times New Roman" w:hAnsi="Times New Roman"/>
                                <w:sz w:val="20"/>
                                <w:szCs w:val="20"/>
                              </w:rPr>
                              <w:t>Миоклонично-атонични</w:t>
                            </w:r>
                          </w:p>
                          <w:p w14:paraId="7646DAF3" w14:textId="77777777" w:rsidR="00471742" w:rsidRPr="007C3DF5" w:rsidRDefault="00471742" w:rsidP="00BE0B19">
                            <w:pPr>
                              <w:spacing w:line="240" w:lineRule="auto"/>
                              <w:rPr>
                                <w:rFonts w:ascii="Times New Roman" w:hAnsi="Times New Roman"/>
                                <w:sz w:val="20"/>
                                <w:szCs w:val="20"/>
                              </w:rPr>
                            </w:pPr>
                            <w:r w:rsidRPr="007C3DF5">
                              <w:rPr>
                                <w:rFonts w:ascii="Times New Roman" w:hAnsi="Times New Roman"/>
                                <w:sz w:val="20"/>
                                <w:szCs w:val="20"/>
                              </w:rPr>
                              <w:t>Клонични</w:t>
                            </w:r>
                          </w:p>
                          <w:p w14:paraId="174AA446" w14:textId="77777777" w:rsidR="00471742" w:rsidRPr="007C3DF5" w:rsidRDefault="00471742" w:rsidP="00BE0B19">
                            <w:pPr>
                              <w:spacing w:line="240" w:lineRule="auto"/>
                              <w:rPr>
                                <w:rFonts w:ascii="Times New Roman" w:hAnsi="Times New Roman"/>
                                <w:sz w:val="20"/>
                                <w:szCs w:val="20"/>
                              </w:rPr>
                            </w:pPr>
                            <w:r w:rsidRPr="007C3DF5">
                              <w:rPr>
                                <w:rFonts w:ascii="Times New Roman" w:hAnsi="Times New Roman"/>
                                <w:sz w:val="20"/>
                                <w:szCs w:val="20"/>
                              </w:rPr>
                              <w:t>Клонично-тонично-клонични</w:t>
                            </w:r>
                          </w:p>
                          <w:p w14:paraId="258CDEFB" w14:textId="77777777" w:rsidR="00471742" w:rsidRPr="001F2B26" w:rsidRDefault="00471742" w:rsidP="00BE0B19">
                            <w:pPr>
                              <w:rPr>
                                <w:sz w:val="20"/>
                                <w:szCs w:val="20"/>
                              </w:rPr>
                            </w:pPr>
                            <w:r w:rsidRPr="001F2B26">
                              <w:rPr>
                                <w:sz w:val="20"/>
                                <w:szCs w:val="20"/>
                              </w:rPr>
                              <w:t>Епилептични спазми</w:t>
                            </w:r>
                          </w:p>
                          <w:p w14:paraId="28531CF3" w14:textId="77777777" w:rsidR="00471742" w:rsidRPr="001F2B26" w:rsidRDefault="00471742" w:rsidP="00BE0B19">
                            <w:pPr>
                              <w:rPr>
                                <w:b/>
                              </w:rPr>
                            </w:pPr>
                            <w:r w:rsidRPr="001F2B26">
                              <w:rPr>
                                <w:b/>
                              </w:rPr>
                              <w:t>Абсанси</w:t>
                            </w:r>
                          </w:p>
                          <w:p w14:paraId="178A60FC" w14:textId="77777777" w:rsidR="00471742" w:rsidRPr="001F2B26" w:rsidRDefault="00471742" w:rsidP="00BE0B19">
                            <w:pPr>
                              <w:rPr>
                                <w:sz w:val="20"/>
                                <w:szCs w:val="20"/>
                              </w:rPr>
                            </w:pPr>
                            <w:r w:rsidRPr="001F2B26">
                              <w:rPr>
                                <w:sz w:val="20"/>
                                <w:szCs w:val="20"/>
                              </w:rPr>
                              <w:t>Типични</w:t>
                            </w:r>
                          </w:p>
                          <w:p w14:paraId="32B75AB2" w14:textId="77777777" w:rsidR="00471742" w:rsidRPr="001F2B26" w:rsidRDefault="00471742" w:rsidP="00BE0B19">
                            <w:pPr>
                              <w:rPr>
                                <w:sz w:val="20"/>
                                <w:szCs w:val="20"/>
                              </w:rPr>
                            </w:pPr>
                            <w:r w:rsidRPr="001F2B26">
                              <w:rPr>
                                <w:sz w:val="20"/>
                                <w:szCs w:val="20"/>
                              </w:rPr>
                              <w:t>Атипични</w:t>
                            </w:r>
                          </w:p>
                          <w:p w14:paraId="3F1F2C84" w14:textId="77777777" w:rsidR="00471742" w:rsidRPr="001F2B26" w:rsidRDefault="00471742" w:rsidP="00BE0B19">
                            <w:pPr>
                              <w:rPr>
                                <w:sz w:val="20"/>
                                <w:szCs w:val="20"/>
                              </w:rPr>
                            </w:pPr>
                            <w:r w:rsidRPr="001F2B26">
                              <w:rPr>
                                <w:sz w:val="20"/>
                                <w:szCs w:val="20"/>
                              </w:rPr>
                              <w:t>Миоклонични</w:t>
                            </w:r>
                          </w:p>
                          <w:p w14:paraId="29FB933B" w14:textId="77777777" w:rsidR="00471742" w:rsidRPr="001F2B26" w:rsidRDefault="00471742" w:rsidP="00BE0B19">
                            <w:pPr>
                              <w:rPr>
                                <w:sz w:val="20"/>
                                <w:szCs w:val="20"/>
                              </w:rPr>
                            </w:pPr>
                            <w:r w:rsidRPr="001F2B26">
                              <w:rPr>
                                <w:sz w:val="20"/>
                                <w:szCs w:val="20"/>
                              </w:rPr>
                              <w:t>С миоклонии на клепачите</w:t>
                            </w:r>
                          </w:p>
                          <w:p w14:paraId="334BF8A7" w14:textId="77777777" w:rsidR="00471742" w:rsidRPr="001F2B26" w:rsidRDefault="00471742" w:rsidP="00BE0B19">
                            <w:pPr>
                              <w:rPr>
                                <w:sz w:val="20"/>
                                <w:szCs w:val="20"/>
                              </w:rPr>
                            </w:pPr>
                          </w:p>
                          <w:p w14:paraId="048EFDAE" w14:textId="77777777" w:rsidR="00471742" w:rsidRPr="001F2B26" w:rsidRDefault="00471742" w:rsidP="00BE0B1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E57126" id="AutoShape 81" o:spid="_x0000_s1243" style="position:absolute;left:0;text-align:left;margin-left:193.05pt;margin-top:12.6pt;width:142.65pt;height:211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">
                <v:textbox>
                  <w:txbxContent>
                    <w:p w14:paraId="67F30B6E" w14:textId="77777777" w:rsidR="00471742" w:rsidRPr="007C3DF5" w:rsidRDefault="00471742" w:rsidP="00BE0B19">
                      <w:pPr>
                        <w:spacing w:line="240" w:lineRule="auto"/>
                        <w:rPr>
                          <w:rFonts w:ascii="Times New Roman" w:hAnsi="Times New Roman"/>
                          <w:b/>
                        </w:rPr>
                      </w:pPr>
                      <w:r w:rsidRPr="007C3DF5">
                        <w:rPr>
                          <w:rFonts w:ascii="Times New Roman" w:hAnsi="Times New Roman"/>
                          <w:b/>
                        </w:rPr>
                        <w:t>Моторни</w:t>
                      </w:r>
                    </w:p>
                    <w:p w14:paraId="720A6A74" w14:textId="77777777" w:rsidR="00471742" w:rsidRPr="007C3DF5" w:rsidRDefault="00471742" w:rsidP="00BE0B19">
                      <w:pPr>
                        <w:spacing w:line="240" w:lineRule="auto"/>
                        <w:rPr>
                          <w:rFonts w:ascii="Times New Roman" w:hAnsi="Times New Roman"/>
                          <w:sz w:val="20"/>
                          <w:szCs w:val="20"/>
                        </w:rPr>
                      </w:pPr>
                      <w:r w:rsidRPr="007C3DF5">
                        <w:rPr>
                          <w:rFonts w:ascii="Times New Roman" w:hAnsi="Times New Roman"/>
                          <w:sz w:val="20"/>
                          <w:szCs w:val="20"/>
                        </w:rPr>
                        <w:t>Тонично-клонични</w:t>
                      </w:r>
                    </w:p>
                    <w:p w14:paraId="14A2C8C6" w14:textId="77777777" w:rsidR="00471742" w:rsidRPr="007C3DF5" w:rsidRDefault="00471742" w:rsidP="00BE0B19">
                      <w:pPr>
                        <w:spacing w:line="240" w:lineRule="auto"/>
                        <w:rPr>
                          <w:rFonts w:ascii="Times New Roman" w:hAnsi="Times New Roman"/>
                          <w:sz w:val="20"/>
                          <w:szCs w:val="20"/>
                        </w:rPr>
                      </w:pPr>
                      <w:r w:rsidRPr="007C3DF5">
                        <w:rPr>
                          <w:rFonts w:ascii="Times New Roman" w:hAnsi="Times New Roman"/>
                          <w:sz w:val="20"/>
                          <w:szCs w:val="20"/>
                        </w:rPr>
                        <w:t>Тонични</w:t>
                      </w:r>
                    </w:p>
                    <w:p w14:paraId="43FD054F" w14:textId="77777777" w:rsidR="00471742" w:rsidRPr="007C3DF5" w:rsidRDefault="00471742" w:rsidP="00BE0B19">
                      <w:pPr>
                        <w:spacing w:line="240" w:lineRule="auto"/>
                        <w:rPr>
                          <w:rFonts w:ascii="Times New Roman" w:hAnsi="Times New Roman"/>
                          <w:sz w:val="20"/>
                          <w:szCs w:val="20"/>
                        </w:rPr>
                      </w:pPr>
                      <w:r w:rsidRPr="007C3DF5">
                        <w:rPr>
                          <w:rFonts w:ascii="Times New Roman" w:hAnsi="Times New Roman"/>
                          <w:sz w:val="20"/>
                          <w:szCs w:val="20"/>
                        </w:rPr>
                        <w:t>Атонични</w:t>
                      </w:r>
                    </w:p>
                    <w:p w14:paraId="5CC17613" w14:textId="77777777" w:rsidR="00471742" w:rsidRPr="007C3DF5" w:rsidRDefault="00471742" w:rsidP="00BE0B19">
                      <w:pPr>
                        <w:spacing w:line="240" w:lineRule="auto"/>
                        <w:rPr>
                          <w:rFonts w:ascii="Times New Roman" w:hAnsi="Times New Roman"/>
                          <w:sz w:val="20"/>
                          <w:szCs w:val="20"/>
                        </w:rPr>
                      </w:pPr>
                      <w:r w:rsidRPr="007C3DF5">
                        <w:rPr>
                          <w:rFonts w:ascii="Times New Roman" w:hAnsi="Times New Roman"/>
                          <w:sz w:val="20"/>
                          <w:szCs w:val="20"/>
                        </w:rPr>
                        <w:t>Миоклонични</w:t>
                      </w:r>
                    </w:p>
                    <w:p w14:paraId="04DB9098" w14:textId="77777777" w:rsidR="00471742" w:rsidRPr="007C3DF5" w:rsidRDefault="00471742" w:rsidP="00BE0B19">
                      <w:pPr>
                        <w:spacing w:line="240" w:lineRule="auto"/>
                        <w:rPr>
                          <w:rFonts w:ascii="Times New Roman" w:hAnsi="Times New Roman"/>
                          <w:sz w:val="20"/>
                          <w:szCs w:val="20"/>
                        </w:rPr>
                      </w:pPr>
                      <w:r w:rsidRPr="007C3DF5">
                        <w:rPr>
                          <w:rFonts w:ascii="Times New Roman" w:hAnsi="Times New Roman"/>
                          <w:sz w:val="20"/>
                          <w:szCs w:val="20"/>
                        </w:rPr>
                        <w:t>Миоклонично-атонични</w:t>
                      </w:r>
                    </w:p>
                    <w:p w14:paraId="7646DAF3" w14:textId="77777777" w:rsidR="00471742" w:rsidRPr="007C3DF5" w:rsidRDefault="00471742" w:rsidP="00BE0B19">
                      <w:pPr>
                        <w:spacing w:line="240" w:lineRule="auto"/>
                        <w:rPr>
                          <w:rFonts w:ascii="Times New Roman" w:hAnsi="Times New Roman"/>
                          <w:sz w:val="20"/>
                          <w:szCs w:val="20"/>
                        </w:rPr>
                      </w:pPr>
                      <w:r w:rsidRPr="007C3DF5">
                        <w:rPr>
                          <w:rFonts w:ascii="Times New Roman" w:hAnsi="Times New Roman"/>
                          <w:sz w:val="20"/>
                          <w:szCs w:val="20"/>
                        </w:rPr>
                        <w:t>Клонични</w:t>
                      </w:r>
                    </w:p>
                    <w:p w14:paraId="174AA446" w14:textId="77777777" w:rsidR="00471742" w:rsidRPr="007C3DF5" w:rsidRDefault="00471742" w:rsidP="00BE0B19">
                      <w:pPr>
                        <w:spacing w:line="240" w:lineRule="auto"/>
                        <w:rPr>
                          <w:rFonts w:ascii="Times New Roman" w:hAnsi="Times New Roman"/>
                          <w:sz w:val="20"/>
                          <w:szCs w:val="20"/>
                        </w:rPr>
                      </w:pPr>
                      <w:r w:rsidRPr="007C3DF5">
                        <w:rPr>
                          <w:rFonts w:ascii="Times New Roman" w:hAnsi="Times New Roman"/>
                          <w:sz w:val="20"/>
                          <w:szCs w:val="20"/>
                        </w:rPr>
                        <w:t>Клонично-тонично-клонични</w:t>
                      </w:r>
                    </w:p>
                    <w:p w14:paraId="258CDEFB" w14:textId="77777777" w:rsidR="00471742" w:rsidRPr="001F2B26" w:rsidRDefault="00471742" w:rsidP="00BE0B19">
                      <w:pPr>
                        <w:rPr>
                          <w:sz w:val="20"/>
                          <w:szCs w:val="20"/>
                        </w:rPr>
                      </w:pPr>
                      <w:r w:rsidRPr="001F2B26">
                        <w:rPr>
                          <w:sz w:val="20"/>
                          <w:szCs w:val="20"/>
                        </w:rPr>
                        <w:t>Епилептични спазми</w:t>
                      </w:r>
                    </w:p>
                    <w:p w14:paraId="28531CF3" w14:textId="77777777" w:rsidR="00471742" w:rsidRPr="001F2B26" w:rsidRDefault="00471742" w:rsidP="00BE0B19">
                      <w:pPr>
                        <w:rPr>
                          <w:b/>
                        </w:rPr>
                      </w:pPr>
                      <w:r w:rsidRPr="001F2B26">
                        <w:rPr>
                          <w:b/>
                        </w:rPr>
                        <w:t>Абсанси</w:t>
                      </w:r>
                    </w:p>
                    <w:p w14:paraId="178A60FC" w14:textId="77777777" w:rsidR="00471742" w:rsidRPr="001F2B26" w:rsidRDefault="00471742" w:rsidP="00BE0B19">
                      <w:pPr>
                        <w:rPr>
                          <w:sz w:val="20"/>
                          <w:szCs w:val="20"/>
                        </w:rPr>
                      </w:pPr>
                      <w:r w:rsidRPr="001F2B26">
                        <w:rPr>
                          <w:sz w:val="20"/>
                          <w:szCs w:val="20"/>
                        </w:rPr>
                        <w:t>Типични</w:t>
                      </w:r>
                    </w:p>
                    <w:p w14:paraId="32B75AB2" w14:textId="77777777" w:rsidR="00471742" w:rsidRPr="001F2B26" w:rsidRDefault="00471742" w:rsidP="00BE0B19">
                      <w:pPr>
                        <w:rPr>
                          <w:sz w:val="20"/>
                          <w:szCs w:val="20"/>
                        </w:rPr>
                      </w:pPr>
                      <w:r w:rsidRPr="001F2B26">
                        <w:rPr>
                          <w:sz w:val="20"/>
                          <w:szCs w:val="20"/>
                        </w:rPr>
                        <w:t>Атипични</w:t>
                      </w:r>
                    </w:p>
                    <w:p w14:paraId="3F1F2C84" w14:textId="77777777" w:rsidR="00471742" w:rsidRPr="001F2B26" w:rsidRDefault="00471742" w:rsidP="00BE0B19">
                      <w:pPr>
                        <w:rPr>
                          <w:sz w:val="20"/>
                          <w:szCs w:val="20"/>
                        </w:rPr>
                      </w:pPr>
                      <w:r w:rsidRPr="001F2B26">
                        <w:rPr>
                          <w:sz w:val="20"/>
                          <w:szCs w:val="20"/>
                        </w:rPr>
                        <w:t>Миоклонични</w:t>
                      </w:r>
                    </w:p>
                    <w:p w14:paraId="29FB933B" w14:textId="77777777" w:rsidR="00471742" w:rsidRPr="001F2B26" w:rsidRDefault="00471742" w:rsidP="00BE0B19">
                      <w:pPr>
                        <w:rPr>
                          <w:sz w:val="20"/>
                          <w:szCs w:val="20"/>
                        </w:rPr>
                      </w:pPr>
                      <w:r w:rsidRPr="001F2B26">
                        <w:rPr>
                          <w:sz w:val="20"/>
                          <w:szCs w:val="20"/>
                        </w:rPr>
                        <w:t>С миоклонии на клепачите</w:t>
                      </w:r>
                    </w:p>
                    <w:p w14:paraId="334BF8A7" w14:textId="77777777" w:rsidR="00471742" w:rsidRPr="001F2B26" w:rsidRDefault="00471742" w:rsidP="00BE0B19">
                      <w:pPr>
                        <w:rPr>
                          <w:sz w:val="20"/>
                          <w:szCs w:val="20"/>
                        </w:rPr>
                      </w:pPr>
                    </w:p>
                    <w:p w14:paraId="048EFDAE" w14:textId="77777777" w:rsidR="00471742" w:rsidRPr="001F2B26" w:rsidRDefault="00471742" w:rsidP="00BE0B19"/>
                  </w:txbxContent>
                </v:textbox>
              </v:roundrect>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66784" behindDoc="0" locked="0" layoutInCell="1" allowOverlap="1" wp14:anchorId="1158B522" wp14:editId="13298B2F">
                <wp:simplePos x="0" y="0"/>
                <wp:positionH relativeFrom="column">
                  <wp:posOffset>-3175</wp:posOffset>
                </wp:positionH>
                <wp:positionV relativeFrom="paragraph">
                  <wp:posOffset>44450</wp:posOffset>
                </wp:positionV>
                <wp:extent cx="1450975" cy="2546985"/>
                <wp:effectExtent l="0" t="0" r="0" b="5715"/>
                <wp:wrapNone/>
                <wp:docPr id="18"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0975" cy="2546985"/>
                        </a:xfrm>
                        <a:prstGeom prst="roundRect">
                          <a:avLst>
                            <a:gd name="adj" fmla="val 16667"/>
                          </a:avLst>
                        </a:prstGeom>
                        <a:solidFill>
                          <a:srgbClr val="FFFFFF"/>
                        </a:solidFill>
                        <a:ln w="9525">
                          <a:solidFill>
                            <a:srgbClr val="000000"/>
                          </a:solidFill>
                          <a:round/>
                          <a:headEnd/>
                          <a:tailEnd/>
                        </a:ln>
                      </wps:spPr>
                      <wps:txbx>
                        <w:txbxContent>
                          <w:p w14:paraId="7CA6BBF9" w14:textId="77777777" w:rsidR="00471742" w:rsidRPr="007C3DF5" w:rsidRDefault="00471742" w:rsidP="00BE0B19">
                            <w:pPr>
                              <w:rPr>
                                <w:rFonts w:ascii="Times New Roman" w:hAnsi="Times New Roman"/>
                                <w:b/>
                              </w:rPr>
                            </w:pPr>
                            <w:r w:rsidRPr="007C3DF5">
                              <w:rPr>
                                <w:rFonts w:ascii="Times New Roman" w:hAnsi="Times New Roman"/>
                                <w:b/>
                              </w:rPr>
                              <w:t>Моторни</w:t>
                            </w:r>
                          </w:p>
                          <w:p w14:paraId="23862F67" w14:textId="77777777" w:rsidR="00471742" w:rsidRPr="007C3DF5" w:rsidRDefault="00471742" w:rsidP="00BE0B19">
                            <w:pPr>
                              <w:rPr>
                                <w:rFonts w:ascii="Times New Roman" w:hAnsi="Times New Roman"/>
                                <w:sz w:val="20"/>
                                <w:szCs w:val="20"/>
                              </w:rPr>
                            </w:pPr>
                            <w:r w:rsidRPr="007C3DF5">
                              <w:rPr>
                                <w:rFonts w:ascii="Times New Roman" w:hAnsi="Times New Roman"/>
                                <w:sz w:val="20"/>
                                <w:szCs w:val="20"/>
                              </w:rPr>
                              <w:t>Тонични</w:t>
                            </w:r>
                          </w:p>
                          <w:p w14:paraId="6DD54447" w14:textId="77777777" w:rsidR="00471742" w:rsidRPr="007C3DF5" w:rsidRDefault="00471742" w:rsidP="00BE0B19">
                            <w:pPr>
                              <w:rPr>
                                <w:rFonts w:ascii="Times New Roman" w:hAnsi="Times New Roman"/>
                                <w:sz w:val="20"/>
                                <w:szCs w:val="20"/>
                              </w:rPr>
                            </w:pPr>
                            <w:r w:rsidRPr="007C3DF5">
                              <w:rPr>
                                <w:rFonts w:ascii="Times New Roman" w:hAnsi="Times New Roman"/>
                                <w:sz w:val="20"/>
                                <w:szCs w:val="20"/>
                              </w:rPr>
                              <w:t>Атонични</w:t>
                            </w:r>
                          </w:p>
                          <w:p w14:paraId="29A94B09" w14:textId="77777777" w:rsidR="00471742" w:rsidRPr="007C3DF5" w:rsidRDefault="00471742" w:rsidP="00BE0B19">
                            <w:pPr>
                              <w:rPr>
                                <w:rFonts w:ascii="Times New Roman" w:hAnsi="Times New Roman"/>
                                <w:sz w:val="20"/>
                                <w:szCs w:val="20"/>
                              </w:rPr>
                            </w:pPr>
                            <w:r w:rsidRPr="007C3DF5">
                              <w:rPr>
                                <w:rFonts w:ascii="Times New Roman" w:hAnsi="Times New Roman"/>
                                <w:sz w:val="20"/>
                                <w:szCs w:val="20"/>
                              </w:rPr>
                              <w:t>Миоклонични</w:t>
                            </w:r>
                          </w:p>
                          <w:p w14:paraId="5EB059D5" w14:textId="77777777" w:rsidR="00471742" w:rsidRPr="007C3DF5" w:rsidRDefault="00471742" w:rsidP="00BE0B19">
                            <w:pPr>
                              <w:rPr>
                                <w:rFonts w:ascii="Times New Roman" w:hAnsi="Times New Roman"/>
                                <w:sz w:val="20"/>
                                <w:szCs w:val="20"/>
                              </w:rPr>
                            </w:pPr>
                            <w:r w:rsidRPr="007C3DF5">
                              <w:rPr>
                                <w:rFonts w:ascii="Times New Roman" w:hAnsi="Times New Roman"/>
                                <w:sz w:val="20"/>
                                <w:szCs w:val="20"/>
                              </w:rPr>
                              <w:t>Клонични</w:t>
                            </w:r>
                          </w:p>
                          <w:p w14:paraId="2E7317BF" w14:textId="77777777" w:rsidR="00471742" w:rsidRPr="007C3DF5" w:rsidRDefault="00471742" w:rsidP="00BE0B19">
                            <w:pPr>
                              <w:rPr>
                                <w:rFonts w:ascii="Times New Roman" w:hAnsi="Times New Roman"/>
                                <w:sz w:val="20"/>
                                <w:szCs w:val="20"/>
                              </w:rPr>
                            </w:pPr>
                            <w:r w:rsidRPr="007C3DF5">
                              <w:rPr>
                                <w:rFonts w:ascii="Times New Roman" w:hAnsi="Times New Roman"/>
                                <w:sz w:val="20"/>
                                <w:szCs w:val="20"/>
                              </w:rPr>
                              <w:t>Епилептични спазми</w:t>
                            </w:r>
                          </w:p>
                          <w:p w14:paraId="1062CC49" w14:textId="77777777" w:rsidR="00471742" w:rsidRPr="007C3DF5" w:rsidRDefault="00471742" w:rsidP="00BE0B19">
                            <w:pPr>
                              <w:rPr>
                                <w:rFonts w:ascii="Times New Roman" w:hAnsi="Times New Roman"/>
                                <w:sz w:val="20"/>
                                <w:szCs w:val="20"/>
                              </w:rPr>
                            </w:pPr>
                            <w:r w:rsidRPr="007C3DF5">
                              <w:rPr>
                                <w:rFonts w:ascii="Times New Roman" w:hAnsi="Times New Roman"/>
                                <w:sz w:val="20"/>
                                <w:szCs w:val="20"/>
                              </w:rPr>
                              <w:t>Хипермоторни</w:t>
                            </w:r>
                          </w:p>
                          <w:p w14:paraId="3943D474" w14:textId="77777777" w:rsidR="00471742" w:rsidRPr="001F2B26" w:rsidRDefault="00471742" w:rsidP="00BE0B19">
                            <w:pPr>
                              <w:rPr>
                                <w:b/>
                              </w:rPr>
                            </w:pPr>
                            <w:r w:rsidRPr="001F2B26">
                              <w:rPr>
                                <w:b/>
                              </w:rPr>
                              <w:t xml:space="preserve">Немоторни </w:t>
                            </w:r>
                          </w:p>
                          <w:p w14:paraId="7A3A2800" w14:textId="77777777" w:rsidR="00471742" w:rsidRPr="001F2B26" w:rsidRDefault="00471742" w:rsidP="00BE0B19">
                            <w:pPr>
                              <w:rPr>
                                <w:sz w:val="20"/>
                                <w:szCs w:val="20"/>
                              </w:rPr>
                            </w:pPr>
                            <w:r w:rsidRPr="001F2B26">
                              <w:rPr>
                                <w:sz w:val="20"/>
                                <w:szCs w:val="20"/>
                              </w:rPr>
                              <w:t>Сензорни</w:t>
                            </w:r>
                          </w:p>
                          <w:p w14:paraId="241D7B3E" w14:textId="77777777" w:rsidR="00471742" w:rsidRPr="001F2B26" w:rsidRDefault="00471742" w:rsidP="00BE0B19">
                            <w:pPr>
                              <w:rPr>
                                <w:sz w:val="20"/>
                                <w:szCs w:val="20"/>
                              </w:rPr>
                            </w:pPr>
                            <w:r w:rsidRPr="001F2B26">
                              <w:rPr>
                                <w:sz w:val="20"/>
                                <w:szCs w:val="20"/>
                              </w:rPr>
                              <w:t>Когнитивни</w:t>
                            </w:r>
                          </w:p>
                          <w:p w14:paraId="1A0DBB17" w14:textId="77777777" w:rsidR="00471742" w:rsidRPr="001F2B26" w:rsidRDefault="00471742" w:rsidP="00BE0B19">
                            <w:pPr>
                              <w:rPr>
                                <w:sz w:val="20"/>
                                <w:szCs w:val="20"/>
                              </w:rPr>
                            </w:pPr>
                            <w:r w:rsidRPr="001F2B26">
                              <w:rPr>
                                <w:sz w:val="20"/>
                                <w:szCs w:val="20"/>
                              </w:rPr>
                              <w:t>Емоционални</w:t>
                            </w:r>
                          </w:p>
                          <w:p w14:paraId="1BCF125C" w14:textId="77777777" w:rsidR="00471742" w:rsidRPr="001F2B26" w:rsidRDefault="00471742" w:rsidP="00BE0B19">
                            <w:pPr>
                              <w:rPr>
                                <w:sz w:val="20"/>
                                <w:szCs w:val="20"/>
                              </w:rPr>
                            </w:pPr>
                            <w:r w:rsidRPr="001F2B26">
                              <w:rPr>
                                <w:sz w:val="20"/>
                                <w:szCs w:val="20"/>
                              </w:rPr>
                              <w:t>Автономни</w:t>
                            </w:r>
                          </w:p>
                          <w:p w14:paraId="72002551" w14:textId="77777777" w:rsidR="00471742" w:rsidRPr="001F2B26" w:rsidRDefault="00471742" w:rsidP="00BE0B19">
                            <w:pPr>
                              <w:rPr>
                                <w:b/>
                                <w:sz w:val="20"/>
                                <w:szCs w:val="20"/>
                              </w:rPr>
                            </w:pPr>
                          </w:p>
                          <w:p w14:paraId="0AA482B9" w14:textId="77777777" w:rsidR="00471742" w:rsidRPr="001F2B26" w:rsidRDefault="00471742" w:rsidP="00BE0B19">
                            <w:pPr>
                              <w:rPr>
                                <w:b/>
                                <w:sz w:val="20"/>
                                <w:szCs w:val="20"/>
                              </w:rPr>
                            </w:pPr>
                          </w:p>
                          <w:p w14:paraId="6437B511" w14:textId="77777777" w:rsidR="00471742" w:rsidRPr="001F2B26" w:rsidRDefault="00471742" w:rsidP="00BE0B19">
                            <w:pPr>
                              <w:rPr>
                                <w:b/>
                              </w:rPr>
                            </w:pPr>
                          </w:p>
                          <w:p w14:paraId="482A406A" w14:textId="77777777" w:rsidR="00471742" w:rsidRPr="001F2B26" w:rsidRDefault="00471742" w:rsidP="00BE0B19">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58B522" id="AutoShape 77" o:spid="_x0000_s1244" style="position:absolute;left:0;text-align:left;margin-left:-.25pt;margin-top:3.5pt;width:114.25pt;height:200.5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">
                <v:textbox>
                  <w:txbxContent>
                    <w:p w14:paraId="7CA6BBF9" w14:textId="77777777" w:rsidR="00471742" w:rsidRPr="007C3DF5" w:rsidRDefault="00471742" w:rsidP="00BE0B19">
                      <w:pPr>
                        <w:rPr>
                          <w:rFonts w:ascii="Times New Roman" w:hAnsi="Times New Roman"/>
                          <w:b/>
                        </w:rPr>
                      </w:pPr>
                      <w:r w:rsidRPr="007C3DF5">
                        <w:rPr>
                          <w:rFonts w:ascii="Times New Roman" w:hAnsi="Times New Roman"/>
                          <w:b/>
                        </w:rPr>
                        <w:t>Моторни</w:t>
                      </w:r>
                    </w:p>
                    <w:p w14:paraId="23862F67" w14:textId="77777777" w:rsidR="00471742" w:rsidRPr="007C3DF5" w:rsidRDefault="00471742" w:rsidP="00BE0B19">
                      <w:pPr>
                        <w:rPr>
                          <w:rFonts w:ascii="Times New Roman" w:hAnsi="Times New Roman"/>
                          <w:sz w:val="20"/>
                          <w:szCs w:val="20"/>
                        </w:rPr>
                      </w:pPr>
                      <w:r w:rsidRPr="007C3DF5">
                        <w:rPr>
                          <w:rFonts w:ascii="Times New Roman" w:hAnsi="Times New Roman"/>
                          <w:sz w:val="20"/>
                          <w:szCs w:val="20"/>
                        </w:rPr>
                        <w:t>Тонични</w:t>
                      </w:r>
                    </w:p>
                    <w:p w14:paraId="6DD54447" w14:textId="77777777" w:rsidR="00471742" w:rsidRPr="007C3DF5" w:rsidRDefault="00471742" w:rsidP="00BE0B19">
                      <w:pPr>
                        <w:rPr>
                          <w:rFonts w:ascii="Times New Roman" w:hAnsi="Times New Roman"/>
                          <w:sz w:val="20"/>
                          <w:szCs w:val="20"/>
                        </w:rPr>
                      </w:pPr>
                      <w:r w:rsidRPr="007C3DF5">
                        <w:rPr>
                          <w:rFonts w:ascii="Times New Roman" w:hAnsi="Times New Roman"/>
                          <w:sz w:val="20"/>
                          <w:szCs w:val="20"/>
                        </w:rPr>
                        <w:t>Атонични</w:t>
                      </w:r>
                    </w:p>
                    <w:p w14:paraId="29A94B09" w14:textId="77777777" w:rsidR="00471742" w:rsidRPr="007C3DF5" w:rsidRDefault="00471742" w:rsidP="00BE0B19">
                      <w:pPr>
                        <w:rPr>
                          <w:rFonts w:ascii="Times New Roman" w:hAnsi="Times New Roman"/>
                          <w:sz w:val="20"/>
                          <w:szCs w:val="20"/>
                        </w:rPr>
                      </w:pPr>
                      <w:r w:rsidRPr="007C3DF5">
                        <w:rPr>
                          <w:rFonts w:ascii="Times New Roman" w:hAnsi="Times New Roman"/>
                          <w:sz w:val="20"/>
                          <w:szCs w:val="20"/>
                        </w:rPr>
                        <w:t>Миоклонични</w:t>
                      </w:r>
                    </w:p>
                    <w:p w14:paraId="5EB059D5" w14:textId="77777777" w:rsidR="00471742" w:rsidRPr="007C3DF5" w:rsidRDefault="00471742" w:rsidP="00BE0B19">
                      <w:pPr>
                        <w:rPr>
                          <w:rFonts w:ascii="Times New Roman" w:hAnsi="Times New Roman"/>
                          <w:sz w:val="20"/>
                          <w:szCs w:val="20"/>
                        </w:rPr>
                      </w:pPr>
                      <w:r w:rsidRPr="007C3DF5">
                        <w:rPr>
                          <w:rFonts w:ascii="Times New Roman" w:hAnsi="Times New Roman"/>
                          <w:sz w:val="20"/>
                          <w:szCs w:val="20"/>
                        </w:rPr>
                        <w:t>Клонични</w:t>
                      </w:r>
                    </w:p>
                    <w:p w14:paraId="2E7317BF" w14:textId="77777777" w:rsidR="00471742" w:rsidRPr="007C3DF5" w:rsidRDefault="00471742" w:rsidP="00BE0B19">
                      <w:pPr>
                        <w:rPr>
                          <w:rFonts w:ascii="Times New Roman" w:hAnsi="Times New Roman"/>
                          <w:sz w:val="20"/>
                          <w:szCs w:val="20"/>
                        </w:rPr>
                      </w:pPr>
                      <w:r w:rsidRPr="007C3DF5">
                        <w:rPr>
                          <w:rFonts w:ascii="Times New Roman" w:hAnsi="Times New Roman"/>
                          <w:sz w:val="20"/>
                          <w:szCs w:val="20"/>
                        </w:rPr>
                        <w:t>Епилептични спазми</w:t>
                      </w:r>
                    </w:p>
                    <w:p w14:paraId="1062CC49" w14:textId="77777777" w:rsidR="00471742" w:rsidRPr="007C3DF5" w:rsidRDefault="00471742" w:rsidP="00BE0B19">
                      <w:pPr>
                        <w:rPr>
                          <w:rFonts w:ascii="Times New Roman" w:hAnsi="Times New Roman"/>
                          <w:sz w:val="20"/>
                          <w:szCs w:val="20"/>
                        </w:rPr>
                      </w:pPr>
                      <w:r w:rsidRPr="007C3DF5">
                        <w:rPr>
                          <w:rFonts w:ascii="Times New Roman" w:hAnsi="Times New Roman"/>
                          <w:sz w:val="20"/>
                          <w:szCs w:val="20"/>
                        </w:rPr>
                        <w:t>Хипермоторни</w:t>
                      </w:r>
                    </w:p>
                    <w:p w14:paraId="3943D474" w14:textId="77777777" w:rsidR="00471742" w:rsidRPr="001F2B26" w:rsidRDefault="00471742" w:rsidP="00BE0B19">
                      <w:pPr>
                        <w:rPr>
                          <w:b/>
                        </w:rPr>
                      </w:pPr>
                      <w:r w:rsidRPr="001F2B26">
                        <w:rPr>
                          <w:b/>
                        </w:rPr>
                        <w:t xml:space="preserve">Немоторни </w:t>
                      </w:r>
                    </w:p>
                    <w:p w14:paraId="7A3A2800" w14:textId="77777777" w:rsidR="00471742" w:rsidRPr="001F2B26" w:rsidRDefault="00471742" w:rsidP="00BE0B19">
                      <w:pPr>
                        <w:rPr>
                          <w:sz w:val="20"/>
                          <w:szCs w:val="20"/>
                        </w:rPr>
                      </w:pPr>
                      <w:r w:rsidRPr="001F2B26">
                        <w:rPr>
                          <w:sz w:val="20"/>
                          <w:szCs w:val="20"/>
                        </w:rPr>
                        <w:t>Сензорни</w:t>
                      </w:r>
                    </w:p>
                    <w:p w14:paraId="241D7B3E" w14:textId="77777777" w:rsidR="00471742" w:rsidRPr="001F2B26" w:rsidRDefault="00471742" w:rsidP="00BE0B19">
                      <w:pPr>
                        <w:rPr>
                          <w:sz w:val="20"/>
                          <w:szCs w:val="20"/>
                        </w:rPr>
                      </w:pPr>
                      <w:r w:rsidRPr="001F2B26">
                        <w:rPr>
                          <w:sz w:val="20"/>
                          <w:szCs w:val="20"/>
                        </w:rPr>
                        <w:t>Когнитивни</w:t>
                      </w:r>
                    </w:p>
                    <w:p w14:paraId="1A0DBB17" w14:textId="77777777" w:rsidR="00471742" w:rsidRPr="001F2B26" w:rsidRDefault="00471742" w:rsidP="00BE0B19">
                      <w:pPr>
                        <w:rPr>
                          <w:sz w:val="20"/>
                          <w:szCs w:val="20"/>
                        </w:rPr>
                      </w:pPr>
                      <w:r w:rsidRPr="001F2B26">
                        <w:rPr>
                          <w:sz w:val="20"/>
                          <w:szCs w:val="20"/>
                        </w:rPr>
                        <w:t>Емоционални</w:t>
                      </w:r>
                    </w:p>
                    <w:p w14:paraId="1BCF125C" w14:textId="77777777" w:rsidR="00471742" w:rsidRPr="001F2B26" w:rsidRDefault="00471742" w:rsidP="00BE0B19">
                      <w:pPr>
                        <w:rPr>
                          <w:sz w:val="20"/>
                          <w:szCs w:val="20"/>
                        </w:rPr>
                      </w:pPr>
                      <w:r w:rsidRPr="001F2B26">
                        <w:rPr>
                          <w:sz w:val="20"/>
                          <w:szCs w:val="20"/>
                        </w:rPr>
                        <w:t>Автономни</w:t>
                      </w:r>
                    </w:p>
                    <w:p w14:paraId="72002551" w14:textId="77777777" w:rsidR="00471742" w:rsidRPr="001F2B26" w:rsidRDefault="00471742" w:rsidP="00BE0B19">
                      <w:pPr>
                        <w:rPr>
                          <w:b/>
                          <w:sz w:val="20"/>
                          <w:szCs w:val="20"/>
                        </w:rPr>
                      </w:pPr>
                    </w:p>
                    <w:p w14:paraId="0AA482B9" w14:textId="77777777" w:rsidR="00471742" w:rsidRPr="001F2B26" w:rsidRDefault="00471742" w:rsidP="00BE0B19">
                      <w:pPr>
                        <w:rPr>
                          <w:b/>
                          <w:sz w:val="20"/>
                          <w:szCs w:val="20"/>
                        </w:rPr>
                      </w:pPr>
                    </w:p>
                    <w:p w14:paraId="6437B511" w14:textId="77777777" w:rsidR="00471742" w:rsidRPr="001F2B26" w:rsidRDefault="00471742" w:rsidP="00BE0B19">
                      <w:pPr>
                        <w:rPr>
                          <w:b/>
                        </w:rPr>
                      </w:pPr>
                    </w:p>
                    <w:p w14:paraId="482A406A" w14:textId="77777777" w:rsidR="00471742" w:rsidRPr="001F2B26" w:rsidRDefault="00471742" w:rsidP="00BE0B19">
                      <w:pPr>
                        <w:rPr>
                          <w:b/>
                        </w:rPr>
                      </w:pPr>
                    </w:p>
                  </w:txbxContent>
                </v:textbox>
              </v:roundrect>
            </w:pict>
          </mc:Fallback>
        </mc:AlternateContent>
      </w:r>
    </w:p>
    <w:p w14:paraId="53C7AA00" w14:textId="77777777" w:rsidR="00BE0B19" w:rsidRPr="00AE47C6" w:rsidRDefault="00BE0B19" w:rsidP="00BE0B19">
      <w:pPr>
        <w:tabs>
          <w:tab w:val="left" w:pos="709"/>
        </w:tabs>
        <w:spacing w:after="0" w:line="360" w:lineRule="auto"/>
        <w:jc w:val="both"/>
        <w:rPr>
          <w:rFonts w:ascii="Times New Roman" w:eastAsia="SimSun" w:hAnsi="Times New Roman"/>
          <w:b/>
          <w:bCs/>
          <w:i/>
          <w:iCs/>
          <w:sz w:val="24"/>
          <w:szCs w:val="24"/>
        </w:rPr>
      </w:pPr>
    </w:p>
    <w:p w14:paraId="2DD1934C" w14:textId="77777777" w:rsidR="00BE0B19" w:rsidRPr="00AE47C6" w:rsidRDefault="00BE0B19" w:rsidP="00BE0B19">
      <w:pPr>
        <w:tabs>
          <w:tab w:val="left" w:pos="709"/>
        </w:tabs>
        <w:spacing w:after="0" w:line="360" w:lineRule="auto"/>
        <w:jc w:val="both"/>
        <w:rPr>
          <w:rFonts w:ascii="Times New Roman" w:eastAsia="SimSun" w:hAnsi="Times New Roman"/>
          <w:b/>
          <w:bCs/>
          <w:iCs/>
          <w:sz w:val="24"/>
          <w:szCs w:val="24"/>
        </w:rPr>
      </w:pPr>
      <w:r w:rsidRPr="00AE47C6">
        <w:rPr>
          <w:rFonts w:ascii="Times New Roman" w:eastAsia="SimSun" w:hAnsi="Times New Roman"/>
          <w:b/>
          <w:bCs/>
          <w:iCs/>
          <w:sz w:val="24"/>
          <w:szCs w:val="24"/>
        </w:rPr>
        <w:tab/>
      </w:r>
    </w:p>
    <w:p w14:paraId="5C0CA785" w14:textId="77777777" w:rsidR="00BE0B19" w:rsidRPr="00AE47C6" w:rsidRDefault="00BE0B19" w:rsidP="00BE0B19">
      <w:pPr>
        <w:tabs>
          <w:tab w:val="left" w:pos="709"/>
        </w:tabs>
        <w:spacing w:after="0" w:line="360" w:lineRule="auto"/>
        <w:jc w:val="both"/>
        <w:rPr>
          <w:rFonts w:ascii="Times New Roman" w:eastAsia="SimSun" w:hAnsi="Times New Roman"/>
          <w:b/>
          <w:bCs/>
          <w:iCs/>
          <w:sz w:val="24"/>
          <w:szCs w:val="24"/>
        </w:rPr>
      </w:pPr>
    </w:p>
    <w:p w14:paraId="6C837C25" w14:textId="77777777" w:rsidR="00BE0B19" w:rsidRPr="00AE47C6" w:rsidRDefault="00BE0B19" w:rsidP="00BE0B19">
      <w:pPr>
        <w:tabs>
          <w:tab w:val="left" w:pos="709"/>
        </w:tabs>
        <w:spacing w:after="0" w:line="360" w:lineRule="auto"/>
        <w:jc w:val="both"/>
        <w:rPr>
          <w:rFonts w:ascii="Times New Roman" w:eastAsia="SimSun" w:hAnsi="Times New Roman"/>
          <w:b/>
          <w:bCs/>
          <w:iCs/>
          <w:sz w:val="24"/>
          <w:szCs w:val="24"/>
        </w:rPr>
      </w:pPr>
    </w:p>
    <w:p w14:paraId="0B3E87B0" w14:textId="77777777" w:rsidR="00BE0B19" w:rsidRPr="00AE47C6" w:rsidRDefault="00BE0B19" w:rsidP="00BE0B19">
      <w:pPr>
        <w:tabs>
          <w:tab w:val="left" w:pos="709"/>
        </w:tabs>
        <w:spacing w:after="0" w:line="360" w:lineRule="auto"/>
        <w:jc w:val="both"/>
        <w:rPr>
          <w:rFonts w:ascii="Times New Roman" w:eastAsia="SimSun" w:hAnsi="Times New Roman"/>
          <w:b/>
          <w:bCs/>
          <w:iCs/>
          <w:sz w:val="24"/>
          <w:szCs w:val="24"/>
        </w:rPr>
      </w:pPr>
    </w:p>
    <w:p w14:paraId="78E8224E" w14:textId="77777777" w:rsidR="00BE0B19" w:rsidRPr="00AE47C6" w:rsidRDefault="00BE0B19" w:rsidP="00BE0B19">
      <w:pPr>
        <w:tabs>
          <w:tab w:val="left" w:pos="709"/>
        </w:tabs>
        <w:spacing w:after="0" w:line="360" w:lineRule="auto"/>
        <w:jc w:val="both"/>
        <w:rPr>
          <w:rFonts w:ascii="Times New Roman" w:eastAsia="SimSun" w:hAnsi="Times New Roman"/>
          <w:b/>
          <w:bCs/>
          <w:iCs/>
          <w:sz w:val="24"/>
          <w:szCs w:val="24"/>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76000" behindDoc="0" locked="0" layoutInCell="1" allowOverlap="1" wp14:anchorId="3BCD3589" wp14:editId="4A8B89BB">
                <wp:simplePos x="0" y="0"/>
                <wp:positionH relativeFrom="column">
                  <wp:posOffset>5631180</wp:posOffset>
                </wp:positionH>
                <wp:positionV relativeFrom="paragraph">
                  <wp:posOffset>311150</wp:posOffset>
                </wp:positionV>
                <wp:extent cx="866775" cy="819150"/>
                <wp:effectExtent l="0" t="0" r="28575" b="19050"/>
                <wp:wrapNone/>
                <wp:docPr id="15"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819150"/>
                        </a:xfrm>
                        <a:prstGeom prst="roundRect">
                          <a:avLst>
                            <a:gd name="adj" fmla="val 16667"/>
                          </a:avLst>
                        </a:prstGeom>
                        <a:solidFill>
                          <a:srgbClr val="FFFFFF"/>
                        </a:solidFill>
                        <a:ln w="9525">
                          <a:solidFill>
                            <a:srgbClr val="000000"/>
                          </a:solidFill>
                          <a:round/>
                          <a:headEnd/>
                          <a:tailEnd/>
                        </a:ln>
                      </wps:spPr>
                      <wps:txbx>
                        <w:txbxContent>
                          <w:p w14:paraId="17F60A49" w14:textId="77777777" w:rsidR="00471742" w:rsidRPr="007C3DF5" w:rsidRDefault="00471742" w:rsidP="00BE0B19">
                            <w:pPr>
                              <w:rPr>
                                <w:rFonts w:ascii="Times New Roman" w:hAnsi="Times New Roman"/>
                                <w:sz w:val="18"/>
                                <w:szCs w:val="18"/>
                              </w:rPr>
                            </w:pPr>
                            <w:r w:rsidRPr="007C3DF5">
                              <w:rPr>
                                <w:rFonts w:ascii="Times New Roman" w:hAnsi="Times New Roman"/>
                                <w:sz w:val="18"/>
                                <w:szCs w:val="18"/>
                              </w:rPr>
                              <w:t>С неуточне</w:t>
                            </w:r>
                            <w:r>
                              <w:rPr>
                                <w:rFonts w:ascii="Times New Roman" w:hAnsi="Times New Roman"/>
                                <w:sz w:val="18"/>
                                <w:szCs w:val="18"/>
                              </w:rPr>
                              <w:t>н</w:t>
                            </w:r>
                            <w:r w:rsidRPr="007C3DF5">
                              <w:rPr>
                                <w:rFonts w:ascii="Times New Roman" w:hAnsi="Times New Roman"/>
                                <w:sz w:val="18"/>
                                <w:szCs w:val="18"/>
                              </w:rPr>
                              <w:t>о съзнание</w:t>
                            </w:r>
                          </w:p>
                          <w:p w14:paraId="54F55BF3" w14:textId="77777777" w:rsidR="00471742" w:rsidRPr="007C3DF5" w:rsidRDefault="00471742" w:rsidP="00BE0B19">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CD3589" id="AutoShape 86" o:spid="_x0000_s1245" style="position:absolute;left:0;text-align:left;margin-left:443.4pt;margin-top:24.5pt;width:68.25pt;height:64.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">
                <v:textbox>
                  <w:txbxContent>
                    <w:p w14:paraId="17F60A49" w14:textId="77777777" w:rsidR="00471742" w:rsidRPr="007C3DF5" w:rsidRDefault="00471742" w:rsidP="00BE0B19">
                      <w:pPr>
                        <w:rPr>
                          <w:rFonts w:ascii="Times New Roman" w:hAnsi="Times New Roman"/>
                          <w:sz w:val="18"/>
                          <w:szCs w:val="18"/>
                        </w:rPr>
                      </w:pPr>
                      <w:r w:rsidRPr="007C3DF5">
                        <w:rPr>
                          <w:rFonts w:ascii="Times New Roman" w:hAnsi="Times New Roman"/>
                          <w:sz w:val="18"/>
                          <w:szCs w:val="18"/>
                        </w:rPr>
                        <w:t>С неуточне</w:t>
                      </w:r>
                      <w:r>
                        <w:rPr>
                          <w:rFonts w:ascii="Times New Roman" w:hAnsi="Times New Roman"/>
                          <w:sz w:val="18"/>
                          <w:szCs w:val="18"/>
                        </w:rPr>
                        <w:t>н</w:t>
                      </w:r>
                      <w:r w:rsidRPr="007C3DF5">
                        <w:rPr>
                          <w:rFonts w:ascii="Times New Roman" w:hAnsi="Times New Roman"/>
                          <w:sz w:val="18"/>
                          <w:szCs w:val="18"/>
                        </w:rPr>
                        <w:t>о съзнание</w:t>
                      </w:r>
                    </w:p>
                    <w:p w14:paraId="54F55BF3" w14:textId="77777777" w:rsidR="00471742" w:rsidRPr="007C3DF5" w:rsidRDefault="00471742" w:rsidP="00BE0B19">
                      <w:pPr>
                        <w:rPr>
                          <w:rFonts w:ascii="Times New Roman" w:hAnsi="Times New Roman"/>
                        </w:rPr>
                      </w:pPr>
                    </w:p>
                  </w:txbxContent>
                </v:textbox>
              </v:roundrect>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74976" behindDoc="0" locked="0" layoutInCell="1" allowOverlap="1" wp14:anchorId="662FB747" wp14:editId="4F9711A8">
                <wp:simplePos x="0" y="0"/>
                <wp:positionH relativeFrom="column">
                  <wp:posOffset>4947920</wp:posOffset>
                </wp:positionH>
                <wp:positionV relativeFrom="paragraph">
                  <wp:posOffset>302260</wp:posOffset>
                </wp:positionV>
                <wp:extent cx="827405" cy="838200"/>
                <wp:effectExtent l="0" t="0" r="0" b="0"/>
                <wp:wrapNone/>
                <wp:docPr id="17"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7405" cy="838200"/>
                        </a:xfrm>
                        <a:prstGeom prst="roundRect">
                          <a:avLst>
                            <a:gd name="adj" fmla="val 16667"/>
                          </a:avLst>
                        </a:prstGeom>
                        <a:solidFill>
                          <a:srgbClr val="FFFFFF"/>
                        </a:solidFill>
                        <a:ln w="9525">
                          <a:solidFill>
                            <a:srgbClr val="000000"/>
                          </a:solidFill>
                          <a:round/>
                          <a:headEnd/>
                          <a:tailEnd/>
                        </a:ln>
                      </wps:spPr>
                      <wps:txbx>
                        <w:txbxContent>
                          <w:p w14:paraId="63D5536A" w14:textId="77777777" w:rsidR="00471742" w:rsidRPr="00361765" w:rsidRDefault="00471742" w:rsidP="00BE0B19">
                            <w:pPr>
                              <w:rPr>
                                <w:sz w:val="18"/>
                                <w:szCs w:val="18"/>
                              </w:rPr>
                            </w:pPr>
                            <w:r w:rsidRPr="00361765">
                              <w:rPr>
                                <w:sz w:val="18"/>
                                <w:szCs w:val="18"/>
                              </w:rPr>
                              <w:t>С нарушено съзнание</w:t>
                            </w:r>
                          </w:p>
                          <w:p w14:paraId="09EDF70E" w14:textId="77777777" w:rsidR="00471742" w:rsidRPr="001F2B26" w:rsidRDefault="00471742" w:rsidP="00BE0B1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62FB747" id="AutoShape 85" o:spid="_x0000_s1246" style="position:absolute;left:0;text-align:left;margin-left:389.6pt;margin-top:23.8pt;width:65.15pt;height:66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">
                <v:textbox>
                  <w:txbxContent>
                    <w:p w14:paraId="63D5536A" w14:textId="77777777" w:rsidR="00471742" w:rsidRPr="00361765" w:rsidRDefault="00471742" w:rsidP="00BE0B19">
                      <w:pPr>
                        <w:rPr>
                          <w:sz w:val="18"/>
                          <w:szCs w:val="18"/>
                        </w:rPr>
                      </w:pPr>
                      <w:r w:rsidRPr="00361765">
                        <w:rPr>
                          <w:sz w:val="18"/>
                          <w:szCs w:val="18"/>
                        </w:rPr>
                        <w:t>С нарушено съзнание</w:t>
                      </w:r>
                    </w:p>
                    <w:p w14:paraId="09EDF70E" w14:textId="77777777" w:rsidR="00471742" w:rsidRPr="001F2B26" w:rsidRDefault="00471742" w:rsidP="00BE0B19"/>
                  </w:txbxContent>
                </v:textbox>
              </v:roundrect>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73952" behindDoc="0" locked="0" layoutInCell="1" allowOverlap="1" wp14:anchorId="718D4553" wp14:editId="53A9858D">
                <wp:simplePos x="0" y="0"/>
                <wp:positionH relativeFrom="column">
                  <wp:posOffset>4263390</wp:posOffset>
                </wp:positionH>
                <wp:positionV relativeFrom="paragraph">
                  <wp:posOffset>302260</wp:posOffset>
                </wp:positionV>
                <wp:extent cx="791210" cy="838200"/>
                <wp:effectExtent l="0" t="0" r="8890" b="0"/>
                <wp:wrapNone/>
                <wp:docPr id="16"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210" cy="838200"/>
                        </a:xfrm>
                        <a:prstGeom prst="roundRect">
                          <a:avLst>
                            <a:gd name="adj" fmla="val 16667"/>
                          </a:avLst>
                        </a:prstGeom>
                        <a:solidFill>
                          <a:srgbClr val="FFFFFF"/>
                        </a:solidFill>
                        <a:ln w="9525">
                          <a:solidFill>
                            <a:srgbClr val="000000"/>
                          </a:solidFill>
                          <a:round/>
                          <a:headEnd/>
                          <a:tailEnd/>
                        </a:ln>
                      </wps:spPr>
                      <wps:txbx>
                        <w:txbxContent>
                          <w:p w14:paraId="092B9CFF" w14:textId="77777777" w:rsidR="00471742" w:rsidRPr="007C3DF5" w:rsidRDefault="00471742" w:rsidP="00BE0B19">
                            <w:pPr>
                              <w:spacing w:line="240" w:lineRule="auto"/>
                              <w:rPr>
                                <w:sz w:val="20"/>
                                <w:szCs w:val="20"/>
                              </w:rPr>
                            </w:pPr>
                            <w:r w:rsidRPr="007C3DF5">
                              <w:rPr>
                                <w:sz w:val="20"/>
                                <w:szCs w:val="20"/>
                              </w:rPr>
                              <w:t>Със запазено</w:t>
                            </w:r>
                          </w:p>
                          <w:p w14:paraId="69328BFF" w14:textId="77777777" w:rsidR="00471742" w:rsidRPr="00361765" w:rsidRDefault="00471742" w:rsidP="00BE0B19">
                            <w:pPr>
                              <w:rPr>
                                <w:sz w:val="18"/>
                                <w:szCs w:val="18"/>
                              </w:rPr>
                            </w:pPr>
                            <w:r w:rsidRPr="00361765">
                              <w:rPr>
                                <w:sz w:val="18"/>
                                <w:szCs w:val="18"/>
                              </w:rPr>
                              <w:t>съзнание</w:t>
                            </w:r>
                          </w:p>
                          <w:p w14:paraId="533199AA" w14:textId="77777777" w:rsidR="00471742" w:rsidRPr="001F2B26" w:rsidRDefault="00471742" w:rsidP="00BE0B1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8D4553" id="AutoShape 84" o:spid="_x0000_s1247" style="position:absolute;left:0;text-align:left;margin-left:335.7pt;margin-top:23.8pt;width:62.3pt;height:66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">
                <v:textbox>
                  <w:txbxContent>
                    <w:p w14:paraId="092B9CFF" w14:textId="77777777" w:rsidR="00471742" w:rsidRPr="007C3DF5" w:rsidRDefault="00471742" w:rsidP="00BE0B19">
                      <w:pPr>
                        <w:spacing w:line="240" w:lineRule="auto"/>
                        <w:rPr>
                          <w:sz w:val="20"/>
                          <w:szCs w:val="20"/>
                        </w:rPr>
                      </w:pPr>
                      <w:r w:rsidRPr="007C3DF5">
                        <w:rPr>
                          <w:sz w:val="20"/>
                          <w:szCs w:val="20"/>
                        </w:rPr>
                        <w:t>Със запазено</w:t>
                      </w:r>
                    </w:p>
                    <w:p w14:paraId="69328BFF" w14:textId="77777777" w:rsidR="00471742" w:rsidRPr="00361765" w:rsidRDefault="00471742" w:rsidP="00BE0B19">
                      <w:pPr>
                        <w:rPr>
                          <w:sz w:val="18"/>
                          <w:szCs w:val="18"/>
                        </w:rPr>
                      </w:pPr>
                      <w:r w:rsidRPr="00361765">
                        <w:rPr>
                          <w:sz w:val="18"/>
                          <w:szCs w:val="18"/>
                        </w:rPr>
                        <w:t>съзнание</w:t>
                      </w:r>
                    </w:p>
                    <w:p w14:paraId="533199AA" w14:textId="77777777" w:rsidR="00471742" w:rsidRPr="001F2B26" w:rsidRDefault="00471742" w:rsidP="00BE0B19"/>
                  </w:txbxContent>
                </v:textbox>
              </v:roundrect>
            </w:pict>
          </mc:Fallback>
        </mc:AlternateContent>
      </w:r>
    </w:p>
    <w:p w14:paraId="7C791374" w14:textId="77777777" w:rsidR="00BE0B19" w:rsidRPr="00AE47C6" w:rsidRDefault="00BE0B19" w:rsidP="00BE0B19">
      <w:pPr>
        <w:tabs>
          <w:tab w:val="left" w:pos="709"/>
        </w:tabs>
        <w:spacing w:after="0" w:line="360" w:lineRule="auto"/>
        <w:jc w:val="both"/>
        <w:rPr>
          <w:rFonts w:ascii="Times New Roman" w:eastAsia="SimSun" w:hAnsi="Times New Roman"/>
          <w:b/>
          <w:bCs/>
          <w:iCs/>
          <w:sz w:val="24"/>
          <w:szCs w:val="24"/>
          <w:u w:val="single"/>
        </w:rPr>
      </w:pPr>
    </w:p>
    <w:p w14:paraId="4BEC3290" w14:textId="77777777" w:rsidR="00BE0B19" w:rsidRPr="00AE47C6" w:rsidRDefault="00BE0B19" w:rsidP="00BE0B19">
      <w:pPr>
        <w:tabs>
          <w:tab w:val="left" w:pos="709"/>
        </w:tabs>
        <w:spacing w:after="0" w:line="360" w:lineRule="auto"/>
        <w:jc w:val="both"/>
        <w:rPr>
          <w:rFonts w:ascii="Times New Roman" w:eastAsia="SimSun" w:hAnsi="Times New Roman"/>
          <w:b/>
          <w:bCs/>
          <w:iCs/>
          <w:sz w:val="24"/>
          <w:szCs w:val="24"/>
          <w:u w:val="single"/>
        </w:rPr>
      </w:pPr>
    </w:p>
    <w:p w14:paraId="3F5CAE08" w14:textId="77777777" w:rsidR="00BE0B19" w:rsidRPr="00AE47C6" w:rsidRDefault="00BE0B19" w:rsidP="00BE0B19">
      <w:pPr>
        <w:tabs>
          <w:tab w:val="left" w:pos="709"/>
        </w:tabs>
        <w:spacing w:after="0" w:line="360" w:lineRule="auto"/>
        <w:jc w:val="both"/>
        <w:rPr>
          <w:rFonts w:ascii="Times New Roman" w:eastAsia="SimSun" w:hAnsi="Times New Roman"/>
          <w:b/>
          <w:bCs/>
          <w:iCs/>
          <w:sz w:val="24"/>
          <w:szCs w:val="24"/>
          <w:u w:val="single"/>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69856" behindDoc="0" locked="0" layoutInCell="1" allowOverlap="1" wp14:anchorId="29754A91" wp14:editId="13BA5613">
                <wp:simplePos x="0" y="0"/>
                <wp:positionH relativeFrom="column">
                  <wp:posOffset>1554480</wp:posOffset>
                </wp:positionH>
                <wp:positionV relativeFrom="paragraph">
                  <wp:posOffset>101600</wp:posOffset>
                </wp:positionV>
                <wp:extent cx="994410" cy="655320"/>
                <wp:effectExtent l="0" t="0" r="15240" b="11430"/>
                <wp:wrapNone/>
                <wp:docPr id="14"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4410" cy="655320"/>
                        </a:xfrm>
                        <a:prstGeom prst="roundRect">
                          <a:avLst>
                            <a:gd name="adj" fmla="val 16667"/>
                          </a:avLst>
                        </a:prstGeom>
                        <a:solidFill>
                          <a:srgbClr val="FFFFFF"/>
                        </a:solidFill>
                        <a:ln w="9525">
                          <a:solidFill>
                            <a:srgbClr val="000000"/>
                          </a:solidFill>
                          <a:round/>
                          <a:headEnd/>
                          <a:tailEnd/>
                        </a:ln>
                      </wps:spPr>
                      <wps:txbx>
                        <w:txbxContent>
                          <w:p w14:paraId="30E0FB68" w14:textId="77777777" w:rsidR="00471742" w:rsidRPr="00671020" w:rsidRDefault="00471742" w:rsidP="00BE0B19">
                            <w:r w:rsidRPr="00671020">
                              <w:rPr>
                                <w:sz w:val="20"/>
                                <w:szCs w:val="20"/>
                              </w:rPr>
                              <w:t>С неуточнено съзнание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754A91" id="AutoShape 80" o:spid="_x0000_s1248" style="position:absolute;left:0;text-align:left;margin-left:122.4pt;margin-top:8pt;width:78.3pt;height:51.6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">
                <v:textbox>
                  <w:txbxContent>
                    <w:p w14:paraId="30E0FB68" w14:textId="77777777" w:rsidR="00471742" w:rsidRPr="00671020" w:rsidRDefault="00471742" w:rsidP="00BE0B19">
                      <w:r w:rsidRPr="00671020">
                        <w:rPr>
                          <w:sz w:val="20"/>
                          <w:szCs w:val="20"/>
                        </w:rPr>
                        <w:t>С неуточнено съзнание</w:t>
                      </w:r>
                    </w:p>
                  </w:txbxContent>
                </v:textbox>
              </v:roundrect>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68832" behindDoc="0" locked="0" layoutInCell="1" allowOverlap="1" wp14:anchorId="6E84CF9F" wp14:editId="781DF3DB">
                <wp:simplePos x="0" y="0"/>
                <wp:positionH relativeFrom="column">
                  <wp:posOffset>614680</wp:posOffset>
                </wp:positionH>
                <wp:positionV relativeFrom="paragraph">
                  <wp:posOffset>104775</wp:posOffset>
                </wp:positionV>
                <wp:extent cx="922655" cy="655955"/>
                <wp:effectExtent l="0" t="0" r="0" b="0"/>
                <wp:wrapNone/>
                <wp:docPr id="13" name="AutoShap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2655" cy="655955"/>
                        </a:xfrm>
                        <a:prstGeom prst="roundRect">
                          <a:avLst>
                            <a:gd name="adj" fmla="val 16667"/>
                          </a:avLst>
                        </a:prstGeom>
                        <a:solidFill>
                          <a:srgbClr val="FFFFFF"/>
                        </a:solidFill>
                        <a:ln w="9525">
                          <a:solidFill>
                            <a:srgbClr val="000000"/>
                          </a:solidFill>
                          <a:round/>
                          <a:headEnd/>
                          <a:tailEnd/>
                        </a:ln>
                      </wps:spPr>
                      <wps:txbx>
                        <w:txbxContent>
                          <w:p w14:paraId="421986CB" w14:textId="77777777" w:rsidR="00471742" w:rsidRPr="00671020" w:rsidRDefault="00471742" w:rsidP="00BE0B19">
                            <w:pPr>
                              <w:rPr>
                                <w:sz w:val="20"/>
                                <w:szCs w:val="20"/>
                              </w:rPr>
                            </w:pPr>
                            <w:r w:rsidRPr="00671020">
                              <w:rPr>
                                <w:sz w:val="20"/>
                                <w:szCs w:val="20"/>
                              </w:rPr>
                              <w:t>С нарушено съзнание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84CF9F" id="AutoShape 79" o:spid="_x0000_s1249" style="position:absolute;left:0;text-align:left;margin-left:48.4pt;margin-top:8.25pt;width:72.65pt;height:51.6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">
                <v:textbox>
                  <w:txbxContent>
                    <w:p w14:paraId="421986CB" w14:textId="77777777" w:rsidR="00471742" w:rsidRPr="00671020" w:rsidRDefault="00471742" w:rsidP="00BE0B19">
                      <w:pPr>
                        <w:rPr>
                          <w:sz w:val="20"/>
                          <w:szCs w:val="20"/>
                        </w:rPr>
                      </w:pPr>
                      <w:r w:rsidRPr="00671020">
                        <w:rPr>
                          <w:sz w:val="20"/>
                          <w:szCs w:val="20"/>
                        </w:rPr>
                        <w:t>С нарушено съзнание</w:t>
                      </w:r>
                    </w:p>
                  </w:txbxContent>
                </v:textbox>
              </v:roundrect>
            </w:pict>
          </mc:Fallback>
        </mc:AlternateContent>
      </w:r>
      <w:r w:rsidRPr="00AE47C6">
        <w:rPr>
          <w:rFonts w:ascii="Times New Roman" w:eastAsia="SimSun" w:hAnsi="Times New Roman"/>
          <w:noProof/>
          <w:sz w:val="24"/>
          <w:szCs w:val="24"/>
          <w:lang w:eastAsia="bg-BG"/>
        </w:rPr>
        <mc:AlternateContent>
          <mc:Choice Requires="wps">
            <w:drawing>
              <wp:anchor distT="0" distB="0" distL="114300" distR="114300" simplePos="0" relativeHeight="251767808" behindDoc="0" locked="0" layoutInCell="1" allowOverlap="1" wp14:anchorId="30210462" wp14:editId="7DB1E5C3">
                <wp:simplePos x="0" y="0"/>
                <wp:positionH relativeFrom="column">
                  <wp:posOffset>-354965</wp:posOffset>
                </wp:positionH>
                <wp:positionV relativeFrom="paragraph">
                  <wp:posOffset>104775</wp:posOffset>
                </wp:positionV>
                <wp:extent cx="967740" cy="655955"/>
                <wp:effectExtent l="0" t="0" r="3810" b="0"/>
                <wp:wrapNone/>
                <wp:docPr id="12" name="Auto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7740" cy="655955"/>
                        </a:xfrm>
                        <a:prstGeom prst="roundRect">
                          <a:avLst>
                            <a:gd name="adj" fmla="val 16667"/>
                          </a:avLst>
                        </a:prstGeom>
                        <a:solidFill>
                          <a:srgbClr val="FFFFFF"/>
                        </a:solidFill>
                        <a:ln w="9525">
                          <a:solidFill>
                            <a:srgbClr val="000000"/>
                          </a:solidFill>
                          <a:round/>
                          <a:headEnd/>
                          <a:tailEnd/>
                        </a:ln>
                      </wps:spPr>
                      <wps:txbx>
                        <w:txbxContent>
                          <w:p w14:paraId="6854F48F" w14:textId="77777777" w:rsidR="00471742" w:rsidRPr="00671020" w:rsidRDefault="00471742" w:rsidP="00BE0B19">
                            <w:pPr>
                              <w:rPr>
                                <w:sz w:val="20"/>
                                <w:szCs w:val="20"/>
                              </w:rPr>
                            </w:pPr>
                            <w:r w:rsidRPr="00671020">
                              <w:rPr>
                                <w:sz w:val="20"/>
                                <w:szCs w:val="20"/>
                              </w:rPr>
                              <w:t>Със запазено</w:t>
                            </w:r>
                          </w:p>
                          <w:p w14:paraId="1E36F17C" w14:textId="77777777" w:rsidR="00471742" w:rsidRPr="00671020" w:rsidRDefault="00471742" w:rsidP="00BE0B19">
                            <w:pPr>
                              <w:rPr>
                                <w:sz w:val="20"/>
                                <w:szCs w:val="20"/>
                              </w:rPr>
                            </w:pPr>
                            <w:r w:rsidRPr="00671020">
                              <w:rPr>
                                <w:sz w:val="20"/>
                                <w:szCs w:val="20"/>
                              </w:rPr>
                              <w:t>съзнание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210462" id="AutoShape 78" o:spid="_x0000_s1250" style="position:absolute;left:0;text-align:left;margin-left:-27.95pt;margin-top:8.25pt;width:76.2pt;height:51.6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">
                <v:textbox>
                  <w:txbxContent>
                    <w:p w14:paraId="6854F48F" w14:textId="77777777" w:rsidR="00471742" w:rsidRPr="00671020" w:rsidRDefault="00471742" w:rsidP="00BE0B19">
                      <w:pPr>
                        <w:rPr>
                          <w:sz w:val="20"/>
                          <w:szCs w:val="20"/>
                        </w:rPr>
                      </w:pPr>
                      <w:r w:rsidRPr="00671020">
                        <w:rPr>
                          <w:sz w:val="20"/>
                          <w:szCs w:val="20"/>
                        </w:rPr>
                        <w:t>Със запазено</w:t>
                      </w:r>
                    </w:p>
                    <w:p w14:paraId="1E36F17C" w14:textId="77777777" w:rsidR="00471742" w:rsidRPr="00671020" w:rsidRDefault="00471742" w:rsidP="00BE0B19">
                      <w:pPr>
                        <w:rPr>
                          <w:sz w:val="20"/>
                          <w:szCs w:val="20"/>
                        </w:rPr>
                      </w:pPr>
                      <w:r w:rsidRPr="00671020">
                        <w:rPr>
                          <w:sz w:val="20"/>
                          <w:szCs w:val="20"/>
                        </w:rPr>
                        <w:t>съзнание</w:t>
                      </w:r>
                    </w:p>
                  </w:txbxContent>
                </v:textbox>
              </v:roundrect>
            </w:pict>
          </mc:Fallback>
        </mc:AlternateContent>
      </w:r>
    </w:p>
    <w:p w14:paraId="618D3C13" w14:textId="77777777" w:rsidR="00BE0B19" w:rsidRPr="00AE47C6" w:rsidRDefault="00BE0B19" w:rsidP="00BE0B19">
      <w:pPr>
        <w:tabs>
          <w:tab w:val="left" w:pos="709"/>
        </w:tabs>
        <w:spacing w:after="0" w:line="360" w:lineRule="auto"/>
        <w:jc w:val="both"/>
        <w:rPr>
          <w:rFonts w:ascii="Times New Roman" w:eastAsia="SimSun" w:hAnsi="Times New Roman"/>
          <w:b/>
          <w:bCs/>
          <w:iCs/>
          <w:sz w:val="24"/>
          <w:szCs w:val="24"/>
          <w:u w:val="single"/>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77024" behindDoc="0" locked="0" layoutInCell="1" allowOverlap="1" wp14:anchorId="2CC85297" wp14:editId="1C15424D">
                <wp:simplePos x="0" y="0"/>
                <wp:positionH relativeFrom="column">
                  <wp:posOffset>4819650</wp:posOffset>
                </wp:positionH>
                <wp:positionV relativeFrom="paragraph">
                  <wp:posOffset>50800</wp:posOffset>
                </wp:positionV>
                <wp:extent cx="1265555" cy="386715"/>
                <wp:effectExtent l="0" t="0" r="0" b="0"/>
                <wp:wrapNone/>
                <wp:docPr id="10" name="Auto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5555" cy="386715"/>
                        </a:xfrm>
                        <a:prstGeom prst="roundRect">
                          <a:avLst>
                            <a:gd name="adj" fmla="val 16667"/>
                          </a:avLst>
                        </a:prstGeom>
                        <a:solidFill>
                          <a:srgbClr val="FFFFFF"/>
                        </a:solidFill>
                        <a:ln w="9525">
                          <a:solidFill>
                            <a:srgbClr val="000000"/>
                          </a:solidFill>
                          <a:round/>
                          <a:headEnd/>
                          <a:tailEnd/>
                        </a:ln>
                      </wps:spPr>
                      <wps:txbx>
                        <w:txbxContent>
                          <w:p w14:paraId="3CDAEC3A" w14:textId="77777777" w:rsidR="00471742" w:rsidRPr="00671020" w:rsidRDefault="00471742" w:rsidP="00BE0B19">
                            <w:pPr>
                              <w:rPr>
                                <w:sz w:val="20"/>
                                <w:szCs w:val="20"/>
                              </w:rPr>
                            </w:pPr>
                            <w:r w:rsidRPr="00671020">
                              <w:rPr>
                                <w:sz w:val="20"/>
                                <w:szCs w:val="20"/>
                              </w:rPr>
                              <w:t>Некласифицирани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CC85297" id="AutoShape 87" o:spid="_x0000_s1251" style="position:absolute;left:0;text-align:left;margin-left:379.5pt;margin-top:4pt;width:99.65pt;height:30.4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">
                <v:textbox>
                  <w:txbxContent>
                    <w:p w14:paraId="3CDAEC3A" w14:textId="77777777" w:rsidR="00471742" w:rsidRPr="00671020" w:rsidRDefault="00471742" w:rsidP="00BE0B19">
                      <w:pPr>
                        <w:rPr>
                          <w:sz w:val="20"/>
                          <w:szCs w:val="20"/>
                        </w:rPr>
                      </w:pPr>
                      <w:r w:rsidRPr="00671020">
                        <w:rPr>
                          <w:sz w:val="20"/>
                          <w:szCs w:val="20"/>
                        </w:rPr>
                        <w:t>Некласифицирани</w:t>
                      </w:r>
                    </w:p>
                  </w:txbxContent>
                </v:textbox>
              </v:roundrect>
            </w:pict>
          </mc:Fallback>
        </mc:AlternateContent>
      </w:r>
    </w:p>
    <w:p w14:paraId="02469693" w14:textId="77777777" w:rsidR="00BE0B19" w:rsidRPr="00AE47C6" w:rsidRDefault="00BE0B19" w:rsidP="00BE0B19">
      <w:pPr>
        <w:tabs>
          <w:tab w:val="left" w:pos="709"/>
        </w:tabs>
        <w:spacing w:after="0" w:line="360" w:lineRule="auto"/>
        <w:jc w:val="both"/>
        <w:rPr>
          <w:rFonts w:ascii="Times New Roman" w:eastAsia="SimSun" w:hAnsi="Times New Roman"/>
          <w:b/>
          <w:bCs/>
          <w:i/>
          <w:iCs/>
          <w:noProof/>
          <w:sz w:val="24"/>
          <w:szCs w:val="24"/>
          <w:lang w:eastAsia="bg-BG"/>
        </w:rPr>
      </w:pPr>
      <w:r w:rsidRPr="00AE47C6">
        <w:rPr>
          <w:rFonts w:ascii="Times New Roman" w:eastAsia="SimSun" w:hAnsi="Times New Roman"/>
          <w:noProof/>
          <w:sz w:val="24"/>
          <w:szCs w:val="24"/>
          <w:lang w:eastAsia="bg-BG"/>
        </w:rPr>
        <mc:AlternateContent>
          <mc:Choice Requires="wps">
            <w:drawing>
              <wp:anchor distT="0" distB="0" distL="114300" distR="114300" simplePos="0" relativeHeight="251772928" behindDoc="0" locked="0" layoutInCell="1" allowOverlap="1" wp14:anchorId="769D3679" wp14:editId="083FAA22">
                <wp:simplePos x="0" y="0"/>
                <wp:positionH relativeFrom="column">
                  <wp:posOffset>-66675</wp:posOffset>
                </wp:positionH>
                <wp:positionV relativeFrom="paragraph">
                  <wp:posOffset>306070</wp:posOffset>
                </wp:positionV>
                <wp:extent cx="2347595" cy="495300"/>
                <wp:effectExtent l="0" t="0" r="0" b="0"/>
                <wp:wrapNone/>
                <wp:docPr id="8" name="Auto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7595" cy="495300"/>
                        </a:xfrm>
                        <a:prstGeom prst="roundRect">
                          <a:avLst>
                            <a:gd name="adj" fmla="val 16667"/>
                          </a:avLst>
                        </a:prstGeom>
                        <a:solidFill>
                          <a:srgbClr val="FFFFFF"/>
                        </a:solidFill>
                        <a:ln w="9525">
                          <a:solidFill>
                            <a:srgbClr val="000000"/>
                          </a:solidFill>
                          <a:round/>
                          <a:headEnd/>
                          <a:tailEnd/>
                        </a:ln>
                      </wps:spPr>
                      <wps:txbx>
                        <w:txbxContent>
                          <w:p w14:paraId="35A5402B" w14:textId="77777777" w:rsidR="00471742" w:rsidRPr="00671020" w:rsidRDefault="00471742" w:rsidP="00BE0B19">
                            <w:pPr>
                              <w:jc w:val="center"/>
                              <w:rPr>
                                <w:sz w:val="21"/>
                                <w:szCs w:val="20"/>
                              </w:rPr>
                            </w:pPr>
                            <w:r w:rsidRPr="00671020">
                              <w:rPr>
                                <w:sz w:val="21"/>
                                <w:szCs w:val="20"/>
                              </w:rPr>
                              <w:t>С еволюция към двустранни тонично-клонични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69D3679" id="AutoShape 83" o:spid="_x0000_s1252" style="position:absolute;left:0;text-align:left;margin-left:-5.25pt;margin-top:24.1pt;width:184.85pt;height:39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">
                <v:textbox>
                  <w:txbxContent>
                    <w:p w14:paraId="35A5402B" w14:textId="77777777" w:rsidR="00471742" w:rsidRPr="00671020" w:rsidRDefault="00471742" w:rsidP="00BE0B19">
                      <w:pPr>
                        <w:jc w:val="center"/>
                        <w:rPr>
                          <w:sz w:val="21"/>
                          <w:szCs w:val="20"/>
                        </w:rPr>
                      </w:pPr>
                      <w:r w:rsidRPr="00671020">
                        <w:rPr>
                          <w:sz w:val="21"/>
                          <w:szCs w:val="20"/>
                        </w:rPr>
                        <w:t>С еволюция към двустранни тонично-клонични</w:t>
                      </w:r>
                    </w:p>
                  </w:txbxContent>
                </v:textbox>
              </v:roundrect>
            </w:pict>
          </mc:Fallback>
        </mc:AlternateContent>
      </w:r>
    </w:p>
    <w:p w14:paraId="690B2791" w14:textId="77777777" w:rsidR="00BE0B19" w:rsidRPr="00AE47C6" w:rsidRDefault="00BE0B19" w:rsidP="00BE0B19">
      <w:pPr>
        <w:tabs>
          <w:tab w:val="left" w:pos="709"/>
        </w:tabs>
        <w:spacing w:after="0" w:line="360" w:lineRule="auto"/>
        <w:jc w:val="both"/>
        <w:rPr>
          <w:rFonts w:ascii="Times New Roman" w:eastAsia="SimSun" w:hAnsi="Times New Roman"/>
          <w:b/>
          <w:bCs/>
          <w:i/>
          <w:iCs/>
          <w:noProof/>
          <w:sz w:val="24"/>
          <w:szCs w:val="24"/>
          <w:lang w:eastAsia="bg-BG"/>
        </w:rPr>
      </w:pPr>
    </w:p>
    <w:p w14:paraId="6BF9DF49" w14:textId="77777777" w:rsidR="00BE0B19" w:rsidRPr="00AE47C6" w:rsidRDefault="00BE0B19" w:rsidP="00BE0B19">
      <w:pPr>
        <w:tabs>
          <w:tab w:val="left" w:pos="709"/>
        </w:tabs>
        <w:spacing w:after="0" w:line="360" w:lineRule="auto"/>
        <w:jc w:val="both"/>
        <w:rPr>
          <w:rFonts w:ascii="Times New Roman" w:eastAsia="SimSun" w:hAnsi="Times New Roman"/>
          <w:b/>
          <w:bCs/>
          <w:i/>
          <w:iCs/>
          <w:noProof/>
          <w:sz w:val="24"/>
          <w:szCs w:val="24"/>
          <w:lang w:eastAsia="bg-BG"/>
        </w:rPr>
      </w:pPr>
    </w:p>
    <w:p w14:paraId="6BF7DCCB"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Фигура 11. 1. Класификация на видовете епилептични пристъпи (2016, 2017 г.)</w:t>
      </w:r>
    </w:p>
    <w:p w14:paraId="1EDE3988" w14:textId="77777777" w:rsidR="00BE0B19" w:rsidRPr="00AE47C6" w:rsidRDefault="00BE0B19" w:rsidP="00BE0B19">
      <w:pPr>
        <w:spacing w:after="0" w:line="360" w:lineRule="auto"/>
        <w:jc w:val="both"/>
        <w:rPr>
          <w:rFonts w:ascii="Times New Roman" w:eastAsia="SimSun" w:hAnsi="Times New Roman"/>
          <w:b/>
          <w:bCs/>
          <w:sz w:val="24"/>
          <w:szCs w:val="24"/>
          <w:lang w:eastAsia="bg-BG"/>
        </w:rPr>
      </w:pPr>
    </w:p>
    <w:p w14:paraId="4E51CB88" w14:textId="77777777" w:rsidR="00BE0B19" w:rsidRPr="00AE47C6" w:rsidRDefault="00BE0B19" w:rsidP="00BE0B19">
      <w:pPr>
        <w:spacing w:after="0" w:line="360" w:lineRule="auto"/>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Клинични и ЕЕГ характеристики на епилептичните пристъпи</w:t>
      </w:r>
    </w:p>
    <w:p w14:paraId="32F9F1EE" w14:textId="77777777" w:rsidR="00BE0B19" w:rsidRPr="00AE47C6" w:rsidRDefault="00BE0B19" w:rsidP="00BE0B19">
      <w:pPr>
        <w:spacing w:after="0" w:line="360" w:lineRule="auto"/>
        <w:ind w:firstLine="720"/>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 xml:space="preserve">Епилептичните пристъпи </w:t>
      </w:r>
      <w:r w:rsidRPr="00AE47C6">
        <w:rPr>
          <w:rFonts w:ascii="Times New Roman" w:eastAsia="SimSun" w:hAnsi="Times New Roman"/>
          <w:bCs/>
          <w:sz w:val="24"/>
          <w:szCs w:val="24"/>
          <w:lang w:eastAsia="bg-BG"/>
        </w:rPr>
        <w:t>се</w:t>
      </w:r>
      <w:r w:rsidRPr="00AE47C6">
        <w:rPr>
          <w:rFonts w:ascii="Times New Roman" w:eastAsia="SimSun" w:hAnsi="Times New Roman"/>
          <w:sz w:val="24"/>
          <w:szCs w:val="24"/>
          <w:lang w:eastAsia="bg-BG"/>
        </w:rPr>
        <w:t xml:space="preserve"> характеризират според ЕЕГ и клиничната характеристика като фокални (парциални) и генерализирани (Фиг.11.1.).</w:t>
      </w:r>
    </w:p>
    <w:p w14:paraId="39C302EA" w14:textId="77777777" w:rsidR="00BE0B19" w:rsidRPr="00AE47C6" w:rsidRDefault="00BE0B19" w:rsidP="00BE0B19">
      <w:pPr>
        <w:spacing w:after="0" w:line="360" w:lineRule="auto"/>
        <w:ind w:firstLine="720"/>
        <w:jc w:val="both"/>
        <w:rPr>
          <w:rFonts w:ascii="Times New Roman" w:eastAsia="SimSun" w:hAnsi="Times New Roman"/>
          <w:b/>
          <w:bCs/>
          <w:i/>
          <w:iCs/>
          <w:sz w:val="24"/>
          <w:szCs w:val="24"/>
          <w:u w:val="single"/>
          <w:lang w:eastAsia="bg-BG"/>
        </w:rPr>
      </w:pPr>
      <w:r w:rsidRPr="00AE47C6">
        <w:rPr>
          <w:rFonts w:ascii="Times New Roman" w:eastAsia="SimSun" w:hAnsi="Times New Roman"/>
          <w:b/>
          <w:bCs/>
          <w:i/>
          <w:iCs/>
          <w:sz w:val="24"/>
          <w:szCs w:val="24"/>
          <w:lang w:eastAsia="bg-BG"/>
        </w:rPr>
        <w:t>Фокалните (парциални) пристъпи</w:t>
      </w:r>
      <w:r w:rsidRPr="00AE47C6">
        <w:rPr>
          <w:rFonts w:ascii="Times New Roman" w:eastAsia="SimSun" w:hAnsi="Times New Roman"/>
          <w:sz w:val="24"/>
          <w:szCs w:val="24"/>
          <w:lang w:eastAsia="bg-BG"/>
        </w:rPr>
        <w:t xml:space="preserve"> произхождат от корови невронни мрежи, по-рядко от подкорови структури (например при хипоталамичните хамартоми) и остават локализирани в едната хемисфера. В някои случаи фокалните пристъпи се генерират в повече невронни мрежи в двете хемисфери (например при двустранна мезиална темпорална епилепсия, Роландова епилепсия). В ЕЕГ се установява често фокална находка и белези, чрез които се локализира епилептичния фокус. Клиничната диагноза е трудна, тъй като само около 40% по време на пристъп показват корелация в скалповата ЕЕГ.</w:t>
      </w:r>
    </w:p>
    <w:p w14:paraId="0953A17B" w14:textId="77777777" w:rsidR="00BE0B19" w:rsidRPr="00AE47C6" w:rsidRDefault="00BE0B19" w:rsidP="00BE0B19">
      <w:pPr>
        <w:numPr>
          <w:ilvl w:val="0"/>
          <w:numId w:val="77"/>
        </w:numPr>
        <w:tabs>
          <w:tab w:val="clear" w:pos="720"/>
        </w:tabs>
        <w:overflowPunct w:val="0"/>
        <w:autoSpaceDE w:val="0"/>
        <w:autoSpaceDN w:val="0"/>
        <w:adjustRightInd w:val="0"/>
        <w:spacing w:after="0" w:line="360" w:lineRule="auto"/>
        <w:ind w:left="0" w:firstLine="0"/>
        <w:jc w:val="both"/>
        <w:textAlignment w:val="baseline"/>
        <w:rPr>
          <w:rFonts w:ascii="Times New Roman" w:eastAsia="SimSun" w:hAnsi="Times New Roman"/>
          <w:i/>
          <w:iCs/>
          <w:sz w:val="24"/>
          <w:szCs w:val="24"/>
        </w:rPr>
      </w:pPr>
      <w:r w:rsidRPr="00AE47C6">
        <w:rPr>
          <w:rFonts w:ascii="Times New Roman" w:eastAsia="SimSun" w:hAnsi="Times New Roman"/>
          <w:b/>
          <w:bCs/>
          <w:i/>
          <w:iCs/>
          <w:sz w:val="24"/>
          <w:szCs w:val="24"/>
        </w:rPr>
        <w:t xml:space="preserve">Фокалните пристъпи без увреда на съзнанието </w:t>
      </w:r>
      <w:r w:rsidRPr="00AE47C6">
        <w:rPr>
          <w:rFonts w:ascii="Times New Roman" w:eastAsia="SimSun" w:hAnsi="Times New Roman"/>
          <w:bCs/>
          <w:iCs/>
          <w:sz w:val="24"/>
          <w:szCs w:val="24"/>
        </w:rPr>
        <w:t>(прости парциални пристъпи)</w:t>
      </w:r>
      <w:r w:rsidRPr="00AE47C6">
        <w:rPr>
          <w:rFonts w:ascii="Times New Roman" w:eastAsia="SimSun" w:hAnsi="Times New Roman"/>
          <w:sz w:val="24"/>
          <w:szCs w:val="24"/>
        </w:rPr>
        <w:t xml:space="preserve"> са моторни, сензорни (вкл. мирисни, вкусови и слухови), автономни (епигастрална аура с гадене, повръщане), верзивни с обръщане на главата и /или погледа настрани и психични (пароксизмален страх или смях). Те са кратки и могат да прогресират във фокални с увреда на съзнанието или двустранни тонично-клонични</w:t>
      </w:r>
      <w:r w:rsidRPr="00AE47C6">
        <w:rPr>
          <w:rFonts w:ascii="Times New Roman" w:eastAsia="SimSun" w:hAnsi="Times New Roman"/>
          <w:b/>
          <w:bCs/>
          <w:sz w:val="24"/>
          <w:szCs w:val="24"/>
        </w:rPr>
        <w:t xml:space="preserve">. </w:t>
      </w:r>
      <w:r w:rsidRPr="00AE47C6">
        <w:rPr>
          <w:rFonts w:ascii="Times New Roman" w:eastAsia="SimSun" w:hAnsi="Times New Roman"/>
          <w:i/>
          <w:iCs/>
          <w:sz w:val="24"/>
          <w:szCs w:val="24"/>
        </w:rPr>
        <w:t xml:space="preserve">Диференциална диагноза: </w:t>
      </w:r>
      <w:r w:rsidRPr="00AE47C6">
        <w:rPr>
          <w:rFonts w:ascii="Times New Roman" w:eastAsia="SimSun" w:hAnsi="Times New Roman"/>
          <w:sz w:val="24"/>
          <w:szCs w:val="24"/>
        </w:rPr>
        <w:t>преходни исхемични атаки, хемифациални спазми и тикове</w:t>
      </w:r>
      <w:r w:rsidRPr="00AE47C6">
        <w:rPr>
          <w:rFonts w:ascii="Times New Roman" w:eastAsia="SimSun" w:hAnsi="Times New Roman"/>
          <w:b/>
          <w:bCs/>
          <w:sz w:val="24"/>
          <w:szCs w:val="24"/>
        </w:rPr>
        <w:t xml:space="preserve">.  </w:t>
      </w:r>
    </w:p>
    <w:p w14:paraId="68669052" w14:textId="77777777" w:rsidR="00BE0B19" w:rsidRPr="00AE47C6" w:rsidRDefault="00BE0B19" w:rsidP="00BE0B19">
      <w:pPr>
        <w:numPr>
          <w:ilvl w:val="0"/>
          <w:numId w:val="77"/>
        </w:numPr>
        <w:tabs>
          <w:tab w:val="clear" w:pos="720"/>
        </w:tabs>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b/>
          <w:sz w:val="24"/>
          <w:szCs w:val="24"/>
        </w:rPr>
        <w:t xml:space="preserve">Фокалните пристъпи с увреда на съзнанието </w:t>
      </w:r>
      <w:r w:rsidRPr="00AE47C6">
        <w:rPr>
          <w:rFonts w:ascii="Times New Roman" w:eastAsia="SimSun" w:hAnsi="Times New Roman"/>
          <w:bCs/>
          <w:iCs/>
          <w:sz w:val="24"/>
          <w:szCs w:val="24"/>
        </w:rPr>
        <w:t xml:space="preserve">(комплексните парциални пристъпи) </w:t>
      </w:r>
      <w:r w:rsidRPr="00AE47C6">
        <w:rPr>
          <w:rFonts w:ascii="Times New Roman" w:eastAsia="SimSun" w:hAnsi="Times New Roman"/>
          <w:sz w:val="24"/>
          <w:szCs w:val="24"/>
        </w:rPr>
        <w:t>протичат с промяна в съзнанието и също могат да прогресират към двустранни тонично-клонични</w:t>
      </w:r>
      <w:r w:rsidRPr="00AE47C6">
        <w:rPr>
          <w:rFonts w:ascii="Times New Roman" w:eastAsia="SimSun" w:hAnsi="Times New Roman"/>
          <w:i/>
          <w:iCs/>
          <w:sz w:val="24"/>
          <w:szCs w:val="24"/>
        </w:rPr>
        <w:t xml:space="preserve">. </w:t>
      </w:r>
      <w:r w:rsidRPr="00AE47C6">
        <w:rPr>
          <w:rFonts w:ascii="Times New Roman" w:eastAsia="SimSun" w:hAnsi="Times New Roman"/>
          <w:sz w:val="24"/>
          <w:szCs w:val="24"/>
        </w:rPr>
        <w:t xml:space="preserve">Налице са спиране на движенията, автоматизми и постиктална обърканост. При фокалните пристъпи с увреда на съзнанието с произход от мезио-темпоралните области са налице оро-алиментарни автоматизми (преглъщане, мляскане), други автоматизми (напр. стереотипии с ръце), дистонни феномени и постиктална обърканост. При фокалните пристъпи с увреда на съзнанието с произход от фронталния дял са характерни изразени двигателни автоматизми като «каране на колело» и др., и бързо възстановяване след пристъпите. При фокалните пристъпи с увреда на съзнанието обикновено има иктална корелация в ЕЕГ. </w:t>
      </w:r>
      <w:r w:rsidRPr="00AE47C6">
        <w:rPr>
          <w:rFonts w:ascii="Times New Roman" w:eastAsia="SimSun" w:hAnsi="Times New Roman"/>
          <w:i/>
          <w:iCs/>
          <w:sz w:val="24"/>
          <w:szCs w:val="24"/>
        </w:rPr>
        <w:t>Диференциална диагноза</w:t>
      </w:r>
      <w:r w:rsidRPr="00AE47C6">
        <w:rPr>
          <w:rFonts w:ascii="Times New Roman" w:eastAsia="SimSun" w:hAnsi="Times New Roman"/>
          <w:sz w:val="24"/>
          <w:szCs w:val="24"/>
        </w:rPr>
        <w:t xml:space="preserve">: при неепилептичните пристъпи се визуализира нормален алфа ритъм по време на «поведенчески промени и нарушено съзнание». </w:t>
      </w:r>
    </w:p>
    <w:p w14:paraId="41BB932C" w14:textId="77777777" w:rsidR="00BE0B19" w:rsidRPr="00AE47C6" w:rsidRDefault="00BE0B19" w:rsidP="00BE0B19">
      <w:pPr>
        <w:spacing w:after="0" w:line="360" w:lineRule="auto"/>
        <w:ind w:firstLine="720"/>
        <w:jc w:val="both"/>
        <w:rPr>
          <w:rFonts w:ascii="Times New Roman" w:eastAsia="SimSun" w:hAnsi="Times New Roman"/>
          <w:sz w:val="24"/>
          <w:szCs w:val="24"/>
          <w:lang w:eastAsia="bg-BG"/>
        </w:rPr>
      </w:pPr>
      <w:r w:rsidRPr="00AE47C6">
        <w:rPr>
          <w:rFonts w:ascii="Times New Roman" w:eastAsia="SimSun" w:hAnsi="Times New Roman"/>
          <w:b/>
          <w:bCs/>
          <w:i/>
          <w:iCs/>
          <w:sz w:val="24"/>
          <w:szCs w:val="24"/>
          <w:lang w:eastAsia="bg-BG"/>
        </w:rPr>
        <w:t>Генерализираните пристъпи</w:t>
      </w:r>
      <w:r w:rsidRPr="00AE47C6">
        <w:rPr>
          <w:rFonts w:ascii="Times New Roman" w:eastAsia="SimSun" w:hAnsi="Times New Roman"/>
          <w:sz w:val="24"/>
          <w:szCs w:val="24"/>
          <w:lang w:eastAsia="bg-BG"/>
        </w:rPr>
        <w:t xml:space="preserve"> произхождат от определена зона и възбудата бързо се разпространява по невронни мрежи</w:t>
      </w:r>
      <w:r w:rsidRPr="00AE47C6">
        <w:rPr>
          <w:rFonts w:ascii="Times New Roman" w:eastAsia="SimSun" w:hAnsi="Times New Roman"/>
          <w:i/>
          <w:sz w:val="24"/>
          <w:szCs w:val="24"/>
          <w:lang w:eastAsia="bg-BG"/>
        </w:rPr>
        <w:t xml:space="preserve">, включващи корови и подкорови структури. Генерализираните пристъпи могат да бъдат асиметрични. </w:t>
      </w:r>
    </w:p>
    <w:p w14:paraId="5409E2B7" w14:textId="77777777" w:rsidR="00BE0B19" w:rsidRPr="00AE47C6" w:rsidRDefault="00BE0B19" w:rsidP="00BE0B19">
      <w:pPr>
        <w:numPr>
          <w:ilvl w:val="1"/>
          <w:numId w:val="77"/>
        </w:numPr>
        <w:tabs>
          <w:tab w:val="clear" w:pos="1440"/>
          <w:tab w:val="num" w:pos="360"/>
        </w:tabs>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ЕЕГ е с генерализирана пароксизмална активност с двустранно синхронно начало</w:t>
      </w:r>
    </w:p>
    <w:p w14:paraId="1A4B5741" w14:textId="77777777" w:rsidR="00BE0B19" w:rsidRPr="00AE47C6" w:rsidRDefault="00BE0B19" w:rsidP="00BE0B19">
      <w:pPr>
        <w:numPr>
          <w:ilvl w:val="1"/>
          <w:numId w:val="77"/>
        </w:numPr>
        <w:tabs>
          <w:tab w:val="clear" w:pos="1440"/>
          <w:tab w:val="num" w:pos="360"/>
        </w:tabs>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Липсва фокална клиника в началото (само миоклониите могат да бъдат асиметрични)</w:t>
      </w:r>
    </w:p>
    <w:p w14:paraId="575F2B1C" w14:textId="77777777" w:rsidR="00BE0B19" w:rsidRPr="00AE47C6" w:rsidRDefault="00BE0B19" w:rsidP="00BE0B19">
      <w:pPr>
        <w:numPr>
          <w:ilvl w:val="1"/>
          <w:numId w:val="77"/>
        </w:numPr>
        <w:tabs>
          <w:tab w:val="clear" w:pos="1440"/>
          <w:tab w:val="num" w:pos="360"/>
        </w:tabs>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 xml:space="preserve">Биват различни типове (виж класификацията на пристъпите) - абсанси, миоклонични, клонични, ГТКП, тонични, атонични. </w:t>
      </w:r>
    </w:p>
    <w:p w14:paraId="7905AA7C"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b/>
          <w:bCs/>
          <w:i/>
          <w:iCs/>
          <w:sz w:val="24"/>
          <w:szCs w:val="24"/>
        </w:rPr>
        <w:t>Абсансните пристъпи</w:t>
      </w:r>
      <w:r w:rsidRPr="00AE47C6">
        <w:rPr>
          <w:rFonts w:ascii="Times New Roman" w:eastAsia="SimSun" w:hAnsi="Times New Roman"/>
          <w:sz w:val="24"/>
          <w:szCs w:val="24"/>
        </w:rPr>
        <w:t xml:space="preserve"> са кратки епизоди от нарушено съзнание (под 20 s) без аура и постпристъпна обърканост, при които няма или рядко има автоматизми. Най-чести са лицевите автоматизми с примигване. Провокират се от хипервентилация или фотостимулация. Започват в детската или юношеска възраст и могат да продължат при възрастните. Често остават неразпознати при децата до появата на генерализиран тонично-клоничен пристъп. В ЕЕГ при абсансните пристъпи се установяват генерализирани пароксизми от комплекси острие-бавна вълна 3-3,5 Hz.</w:t>
      </w:r>
    </w:p>
    <w:p w14:paraId="696A44AA"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b/>
          <w:bCs/>
          <w:i/>
          <w:iCs/>
          <w:sz w:val="24"/>
          <w:szCs w:val="24"/>
        </w:rPr>
        <w:t xml:space="preserve">Миоклоничните пристъпи </w:t>
      </w:r>
      <w:r w:rsidRPr="00AE47C6">
        <w:rPr>
          <w:rFonts w:ascii="Times New Roman" w:eastAsia="SimSun" w:hAnsi="Times New Roman"/>
          <w:sz w:val="24"/>
          <w:szCs w:val="24"/>
        </w:rPr>
        <w:t>са кратки, асиметрични трепкания и движения, траещи под 1 s. Могат да са групирани в рамките на няколко минути и да еволюират в клонични пристъпи. При миоклоничните пристъпи в ЕЕГ има бързи комплекси полиспайк-бавна вълна.</w:t>
      </w:r>
    </w:p>
    <w:p w14:paraId="2CD92412"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i/>
          <w:iCs/>
          <w:sz w:val="24"/>
          <w:szCs w:val="24"/>
        </w:rPr>
        <w:t xml:space="preserve">Клоничните пристъпи </w:t>
      </w:r>
      <w:r w:rsidRPr="00AE47C6">
        <w:rPr>
          <w:rFonts w:ascii="Times New Roman" w:eastAsia="SimSun" w:hAnsi="Times New Roman"/>
          <w:sz w:val="24"/>
          <w:szCs w:val="24"/>
        </w:rPr>
        <w:t>са ритмични моторни прояви със или без увредено съзнание, които могат да имат фокален произход или да са генерализирани с обхващане едновременно на горните и долни крайници. В ЕЕГ се установяват двустранни ритмични епилептични разряди.</w:t>
      </w:r>
    </w:p>
    <w:p w14:paraId="2149991D"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i/>
          <w:iCs/>
          <w:sz w:val="24"/>
          <w:szCs w:val="24"/>
        </w:rPr>
        <w:t>Тоничните пристъпи</w:t>
      </w:r>
      <w:r w:rsidRPr="00AE47C6">
        <w:rPr>
          <w:rFonts w:ascii="Times New Roman" w:eastAsia="SimSun" w:hAnsi="Times New Roman"/>
          <w:sz w:val="24"/>
          <w:szCs w:val="24"/>
        </w:rPr>
        <w:t xml:space="preserve"> се характеризират с внезапна тонична екстензия или флексия на главата, тялото и/или крайниците за секунди. Обикновено са при сънливост, заспиване или събуждане. В ЕЕГ има разряди от бърза активност (остри вълни, острия) с различна амплитуда. </w:t>
      </w:r>
    </w:p>
    <w:p w14:paraId="1F83A775"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i/>
          <w:iCs/>
          <w:sz w:val="24"/>
          <w:szCs w:val="24"/>
        </w:rPr>
        <w:t>Тонично-клоничните пристъпи (grand mal</w:t>
      </w:r>
      <w:r w:rsidRPr="00AE47C6">
        <w:rPr>
          <w:rFonts w:ascii="Times New Roman" w:eastAsia="SimSun" w:hAnsi="Times New Roman"/>
          <w:sz w:val="24"/>
          <w:szCs w:val="24"/>
        </w:rPr>
        <w:t xml:space="preserve">, </w:t>
      </w:r>
      <w:r w:rsidRPr="00AE47C6">
        <w:rPr>
          <w:rFonts w:ascii="Times New Roman" w:eastAsia="SimSun" w:hAnsi="Times New Roman"/>
          <w:b/>
          <w:bCs/>
          <w:i/>
          <w:iCs/>
          <w:sz w:val="24"/>
          <w:szCs w:val="24"/>
        </w:rPr>
        <w:t>ГТКП</w:t>
      </w:r>
      <w:r w:rsidRPr="00AE47C6">
        <w:rPr>
          <w:rFonts w:ascii="Times New Roman" w:eastAsia="SimSun" w:hAnsi="Times New Roman"/>
          <w:sz w:val="24"/>
          <w:szCs w:val="24"/>
        </w:rPr>
        <w:t xml:space="preserve">) протичат с двигателни феномени - генерализирани тонични изпъвания на крайниците за няколко секунди и последващи ритмични движения с продължителна постиктална обърканост. Различават се от фокалните пристъпи с прогресия към двустранни тонично-клонични по липсата на аура и фокално начало. Иктално в ЕЕГ се установяват генерализирани комплекси от острия, или множествени острия и бавни вълни, често с повишена амплитуда във фронталните области. </w:t>
      </w:r>
    </w:p>
    <w:p w14:paraId="18BBF6A4"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i/>
          <w:iCs/>
          <w:sz w:val="24"/>
          <w:szCs w:val="24"/>
        </w:rPr>
        <w:t>Атоничните пристъпи</w:t>
      </w:r>
      <w:r w:rsidRPr="00AE47C6">
        <w:rPr>
          <w:rFonts w:ascii="Times New Roman" w:eastAsia="SimSun" w:hAnsi="Times New Roman"/>
          <w:sz w:val="24"/>
          <w:szCs w:val="24"/>
        </w:rPr>
        <w:t xml:space="preserve"> са с кратка загуба на постурален тонус, което води до падане и нараняване. В ЕЕГ се установява генерализиран разряд полиспайк-бавна вълна, като загубата на мускулен тонус, потвърдена чрез ЕМГ, съвпада с бавната вълна. По-редки иктални прояви са бърза активност с различна амплитуда или разряди от множествени острия и последваща генерализирана активност от комплекси острие-бавна вълна. </w:t>
      </w:r>
    </w:p>
    <w:p w14:paraId="7DF1C1D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III. Етиология и патогенеза на епилепсиите</w:t>
      </w:r>
    </w:p>
    <w:p w14:paraId="3EA5AA1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Според </w:t>
      </w:r>
      <w:r w:rsidRPr="00AE47C6">
        <w:rPr>
          <w:rFonts w:ascii="Times New Roman" w:eastAsia="SimSun" w:hAnsi="Times New Roman"/>
          <w:b/>
          <w:sz w:val="24"/>
          <w:szCs w:val="24"/>
        </w:rPr>
        <w:t xml:space="preserve">етиологията </w:t>
      </w:r>
      <w:r w:rsidRPr="00AE47C6">
        <w:rPr>
          <w:rFonts w:ascii="Times New Roman" w:eastAsia="SimSun" w:hAnsi="Times New Roman"/>
          <w:sz w:val="24"/>
          <w:szCs w:val="24"/>
        </w:rPr>
        <w:t xml:space="preserve">епилепсиите се разделят на: генетични (идиопатични), структурни/метаболитни, автоимунни, инфекциозни (симптоматични), с неизвестна етиология (криптогенна). </w:t>
      </w:r>
    </w:p>
    <w:p w14:paraId="747B5107" w14:textId="77777777" w:rsidR="00BE0B19" w:rsidRPr="00AE47C6" w:rsidRDefault="00BE0B19" w:rsidP="00BE0B19">
      <w:pPr>
        <w:spacing w:after="0" w:line="360" w:lineRule="auto"/>
        <w:ind w:firstLine="720"/>
        <w:jc w:val="both"/>
        <w:rPr>
          <w:rFonts w:ascii="Times New Roman" w:eastAsia="SimSun" w:hAnsi="Times New Roman"/>
          <w:sz w:val="24"/>
          <w:szCs w:val="24"/>
          <w:lang w:eastAsia="bg-BG"/>
        </w:rPr>
      </w:pPr>
      <w:r w:rsidRPr="00AE47C6">
        <w:rPr>
          <w:rFonts w:ascii="Times New Roman" w:eastAsia="SimSun" w:hAnsi="Times New Roman"/>
          <w:b/>
          <w:bCs/>
          <w:iCs/>
          <w:sz w:val="24"/>
          <w:szCs w:val="24"/>
        </w:rPr>
        <w:t xml:space="preserve">1. </w:t>
      </w:r>
      <w:r w:rsidRPr="00AE47C6">
        <w:rPr>
          <w:rFonts w:ascii="Times New Roman" w:eastAsia="SimSun" w:hAnsi="Times New Roman"/>
          <w:b/>
          <w:sz w:val="24"/>
          <w:szCs w:val="24"/>
        </w:rPr>
        <w:t xml:space="preserve">Генетична </w:t>
      </w:r>
      <w:r w:rsidRPr="00AE47C6">
        <w:rPr>
          <w:rFonts w:ascii="Times New Roman" w:eastAsia="SimSun" w:hAnsi="Times New Roman"/>
          <w:sz w:val="24"/>
          <w:szCs w:val="24"/>
        </w:rPr>
        <w:t xml:space="preserve">(ILAE, 2010) </w:t>
      </w:r>
      <w:r w:rsidRPr="00AE47C6">
        <w:rPr>
          <w:rFonts w:ascii="Times New Roman" w:eastAsia="SimSun" w:hAnsi="Times New Roman"/>
          <w:bCs/>
          <w:iCs/>
          <w:sz w:val="24"/>
          <w:szCs w:val="24"/>
        </w:rPr>
        <w:t>или идиопатична</w:t>
      </w:r>
      <w:r w:rsidRPr="00AE47C6">
        <w:rPr>
          <w:rFonts w:ascii="Times New Roman" w:eastAsia="SimSun" w:hAnsi="Times New Roman"/>
          <w:sz w:val="24"/>
          <w:szCs w:val="24"/>
        </w:rPr>
        <w:t xml:space="preserve"> е епилепсията, която е резултат от известен или предполагаем генетичен дефект, епилептичните пристъпи са основният симптом на заболяването, а молекулярно-генетичните изследвания са основни диагностични тестове (напр. </w:t>
      </w:r>
      <w:r w:rsidRPr="00AE47C6">
        <w:rPr>
          <w:rFonts w:ascii="Times New Roman" w:eastAsia="SimSun" w:hAnsi="Times New Roman"/>
          <w:i/>
          <w:sz w:val="24"/>
          <w:szCs w:val="24"/>
        </w:rPr>
        <w:t>SCN1A ген</w:t>
      </w:r>
      <w:r w:rsidRPr="00AE47C6">
        <w:rPr>
          <w:rFonts w:ascii="Times New Roman" w:eastAsia="SimSun" w:hAnsi="Times New Roman"/>
          <w:sz w:val="24"/>
          <w:szCs w:val="24"/>
        </w:rPr>
        <w:t xml:space="preserve"> при синдром на Dravet). Външните фактори допринасят за експресията на заболяването. Генетични са повечето генерализирани епилепсии като детската и ювенилната абсансна епилепсия, синдрома на Dravet, генетичната (генерализирана) епилепсия с фебрилни гърчове плюс (GEFS+) (таблици 11.1, 11.3, 11.4), и някои фокални епилепсии като автозомно-доминантната нощна фронталнодялова епилепсия (ADNFLE), </w:t>
      </w:r>
      <w:r w:rsidRPr="00AE47C6">
        <w:rPr>
          <w:rFonts w:ascii="Times New Roman" w:eastAsia="SimSun" w:hAnsi="Times New Roman"/>
          <w:sz w:val="24"/>
          <w:szCs w:val="24"/>
          <w:lang w:eastAsia="bg-BG"/>
        </w:rPr>
        <w:t>автозомно-доминантна парциална епилепсия със слухови халюцинации (ADPEAF) и др. (Табл. 11.2, 11.3,11.4).</w:t>
      </w:r>
    </w:p>
    <w:p w14:paraId="39E0727A" w14:textId="77777777" w:rsidR="00BE0B19" w:rsidRPr="00AE47C6" w:rsidRDefault="00BE0B19" w:rsidP="00BE0B19">
      <w:pPr>
        <w:spacing w:after="0" w:line="360" w:lineRule="auto"/>
        <w:jc w:val="both"/>
        <w:rPr>
          <w:rFonts w:ascii="Times New Roman" w:eastAsia="SimSun" w:hAnsi="Times New Roman"/>
          <w:sz w:val="24"/>
          <w:szCs w:val="24"/>
        </w:rPr>
      </w:pPr>
    </w:p>
    <w:p w14:paraId="729492C0"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Таблица 11. 1</w:t>
      </w:r>
      <w:r w:rsidRPr="00AE47C6">
        <w:rPr>
          <w:rFonts w:ascii="Times New Roman" w:eastAsia="SimSun" w:hAnsi="Times New Roman"/>
          <w:sz w:val="24"/>
          <w:szCs w:val="24"/>
        </w:rPr>
        <w:t xml:space="preserve">. </w:t>
      </w:r>
      <w:r w:rsidRPr="00AE47C6">
        <w:rPr>
          <w:rFonts w:ascii="Times New Roman" w:eastAsia="SimSun" w:hAnsi="Times New Roman"/>
          <w:bCs/>
          <w:sz w:val="24"/>
          <w:szCs w:val="24"/>
        </w:rPr>
        <w:t>Основни гени при генетични (предимно генерализирани) епилепсии</w:t>
      </w:r>
      <w:r w:rsidRPr="00AE47C6">
        <w:rPr>
          <w:rFonts w:ascii="Times New Roman" w:eastAsia="SimSun" w:hAnsi="Times New Roman"/>
          <w:b/>
          <w:bCs/>
          <w:sz w:val="24"/>
          <w:szCs w:val="24"/>
        </w:rPr>
        <w:t xml:space="preserve"> </w:t>
      </w:r>
    </w:p>
    <w:tbl>
      <w:tblPr>
        <w:tblW w:w="90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8"/>
        <w:gridCol w:w="1898"/>
        <w:gridCol w:w="3016"/>
      </w:tblGrid>
      <w:tr w:rsidR="00BE0B19" w:rsidRPr="00AE47C6" w14:paraId="0576176D" w14:textId="77777777" w:rsidTr="00AD72E5">
        <w:tc>
          <w:tcPr>
            <w:tcW w:w="4608" w:type="dxa"/>
          </w:tcPr>
          <w:p w14:paraId="48CEC72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p>
        </w:tc>
        <w:tc>
          <w:tcPr>
            <w:tcW w:w="1980" w:type="dxa"/>
          </w:tcPr>
          <w:p w14:paraId="3FBC4498"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Моногенна болест</w:t>
            </w:r>
          </w:p>
        </w:tc>
        <w:tc>
          <w:tcPr>
            <w:tcW w:w="3152" w:type="dxa"/>
          </w:tcPr>
          <w:p w14:paraId="34A051FD"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Ген за предразположение</w:t>
            </w:r>
          </w:p>
        </w:tc>
      </w:tr>
      <w:tr w:rsidR="00BE0B19" w:rsidRPr="00AE47C6" w14:paraId="67E6C494" w14:textId="77777777" w:rsidTr="00AD72E5">
        <w:tc>
          <w:tcPr>
            <w:tcW w:w="9740" w:type="dxa"/>
            <w:gridSpan w:val="3"/>
          </w:tcPr>
          <w:p w14:paraId="1E6D7323"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Автозомно-доминантни епилептични синдроми в кърмаческа възраст</w:t>
            </w:r>
          </w:p>
        </w:tc>
      </w:tr>
      <w:tr w:rsidR="00BE0B19" w:rsidRPr="00AE47C6" w14:paraId="0E5416CB" w14:textId="77777777" w:rsidTr="00AD72E5">
        <w:tc>
          <w:tcPr>
            <w:tcW w:w="4608" w:type="dxa"/>
          </w:tcPr>
          <w:p w14:paraId="1B104AD1"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Бенигнени фамилни неонатални гърчове</w:t>
            </w:r>
          </w:p>
        </w:tc>
        <w:tc>
          <w:tcPr>
            <w:tcW w:w="1980" w:type="dxa"/>
          </w:tcPr>
          <w:p w14:paraId="5B1300BA"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KCNQ2 KCNQ3</w:t>
            </w:r>
          </w:p>
        </w:tc>
        <w:tc>
          <w:tcPr>
            <w:tcW w:w="3152" w:type="dxa"/>
          </w:tcPr>
          <w:p w14:paraId="030FC062"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p>
        </w:tc>
      </w:tr>
      <w:tr w:rsidR="00BE0B19" w:rsidRPr="00AE47C6" w14:paraId="699C701C" w14:textId="77777777" w:rsidTr="00AD72E5">
        <w:tc>
          <w:tcPr>
            <w:tcW w:w="4608" w:type="dxa"/>
          </w:tcPr>
          <w:p w14:paraId="4AFB1D2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Бенигнени фамилни </w:t>
            </w:r>
          </w:p>
          <w:p w14:paraId="1E9A1C83"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неонатални-инфантилни гърчове</w:t>
            </w:r>
          </w:p>
        </w:tc>
        <w:tc>
          <w:tcPr>
            <w:tcW w:w="1980" w:type="dxa"/>
          </w:tcPr>
          <w:p w14:paraId="1944A209"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SCN2A</w:t>
            </w:r>
          </w:p>
        </w:tc>
        <w:tc>
          <w:tcPr>
            <w:tcW w:w="3152" w:type="dxa"/>
          </w:tcPr>
          <w:p w14:paraId="790901F1"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p>
        </w:tc>
      </w:tr>
      <w:tr w:rsidR="00BE0B19" w:rsidRPr="00AE47C6" w14:paraId="78448ECD" w14:textId="77777777" w:rsidTr="00AD72E5">
        <w:tc>
          <w:tcPr>
            <w:tcW w:w="9740" w:type="dxa"/>
            <w:gridSpan w:val="3"/>
          </w:tcPr>
          <w:p w14:paraId="3185E23A"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Фебрилни гърчове, GEFS+ и синдром на Dravet</w:t>
            </w:r>
          </w:p>
        </w:tc>
      </w:tr>
      <w:tr w:rsidR="00BE0B19" w:rsidRPr="00AE47C6" w14:paraId="2349CBE8" w14:textId="77777777" w:rsidTr="00AD72E5">
        <w:tc>
          <w:tcPr>
            <w:tcW w:w="4608" w:type="dxa"/>
          </w:tcPr>
          <w:p w14:paraId="79275677"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GEFS+, фебрилни гърчове, синдром на Dravet </w:t>
            </w:r>
          </w:p>
        </w:tc>
        <w:tc>
          <w:tcPr>
            <w:tcW w:w="1980" w:type="dxa"/>
          </w:tcPr>
          <w:p w14:paraId="752D0724"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SCN1A</w:t>
            </w:r>
          </w:p>
        </w:tc>
        <w:tc>
          <w:tcPr>
            <w:tcW w:w="3152" w:type="dxa"/>
          </w:tcPr>
          <w:p w14:paraId="5B77F047"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p>
        </w:tc>
      </w:tr>
      <w:tr w:rsidR="00BE0B19" w:rsidRPr="00AE47C6" w14:paraId="3F6B1F08" w14:textId="77777777" w:rsidTr="00AD72E5">
        <w:tc>
          <w:tcPr>
            <w:tcW w:w="4608" w:type="dxa"/>
          </w:tcPr>
          <w:p w14:paraId="61203D4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GEFS+</w:t>
            </w:r>
          </w:p>
        </w:tc>
        <w:tc>
          <w:tcPr>
            <w:tcW w:w="1980" w:type="dxa"/>
          </w:tcPr>
          <w:p w14:paraId="2CDB96E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SCN1В</w:t>
            </w:r>
          </w:p>
        </w:tc>
        <w:tc>
          <w:tcPr>
            <w:tcW w:w="3152" w:type="dxa"/>
          </w:tcPr>
          <w:p w14:paraId="7F38C1AE"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p>
        </w:tc>
      </w:tr>
      <w:tr w:rsidR="00BE0B19" w:rsidRPr="00AE47C6" w14:paraId="3B1A9DD5" w14:textId="77777777" w:rsidTr="00AD72E5">
        <w:tc>
          <w:tcPr>
            <w:tcW w:w="4608" w:type="dxa"/>
          </w:tcPr>
          <w:p w14:paraId="0B924243"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GEFS+, фебрилни гърчове, синдром на Dravet</w:t>
            </w:r>
          </w:p>
        </w:tc>
        <w:tc>
          <w:tcPr>
            <w:tcW w:w="1980" w:type="dxa"/>
          </w:tcPr>
          <w:p w14:paraId="0504BB57"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GABRG2</w:t>
            </w:r>
          </w:p>
        </w:tc>
        <w:tc>
          <w:tcPr>
            <w:tcW w:w="3152" w:type="dxa"/>
          </w:tcPr>
          <w:p w14:paraId="2193B88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p>
        </w:tc>
      </w:tr>
      <w:tr w:rsidR="00BE0B19" w:rsidRPr="00AE47C6" w14:paraId="230712EB" w14:textId="77777777" w:rsidTr="00AD72E5">
        <w:tc>
          <w:tcPr>
            <w:tcW w:w="4608" w:type="dxa"/>
          </w:tcPr>
          <w:p w14:paraId="0725D437"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GEFS+</w:t>
            </w:r>
          </w:p>
        </w:tc>
        <w:tc>
          <w:tcPr>
            <w:tcW w:w="1980" w:type="dxa"/>
          </w:tcPr>
          <w:p w14:paraId="514B01AB"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i/>
                <w:iCs/>
                <w:sz w:val="24"/>
                <w:szCs w:val="24"/>
                <w:lang w:eastAsia="bg-BG"/>
              </w:rPr>
            </w:pPr>
          </w:p>
        </w:tc>
        <w:tc>
          <w:tcPr>
            <w:tcW w:w="3152" w:type="dxa"/>
          </w:tcPr>
          <w:p w14:paraId="458BE618"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GABRD</w:t>
            </w:r>
          </w:p>
        </w:tc>
      </w:tr>
      <w:tr w:rsidR="00BE0B19" w:rsidRPr="00AE47C6" w14:paraId="40D1E75D" w14:textId="77777777" w:rsidTr="00AD72E5">
        <w:tc>
          <w:tcPr>
            <w:tcW w:w="9740" w:type="dxa"/>
            <w:gridSpan w:val="3"/>
          </w:tcPr>
          <w:p w14:paraId="616D7FE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Идиопатична генерализирана епилепсия</w:t>
            </w:r>
          </w:p>
        </w:tc>
      </w:tr>
      <w:tr w:rsidR="00BE0B19" w:rsidRPr="00AE47C6" w14:paraId="511D2C0D" w14:textId="77777777" w:rsidTr="00AD72E5">
        <w:tc>
          <w:tcPr>
            <w:tcW w:w="4608" w:type="dxa"/>
          </w:tcPr>
          <w:p w14:paraId="4FA5B812"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Детска абсансна епилепсия (с фебрилни гърчове)</w:t>
            </w:r>
          </w:p>
        </w:tc>
        <w:tc>
          <w:tcPr>
            <w:tcW w:w="1980" w:type="dxa"/>
          </w:tcPr>
          <w:p w14:paraId="239369DA"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GABRG2</w:t>
            </w:r>
          </w:p>
        </w:tc>
        <w:tc>
          <w:tcPr>
            <w:tcW w:w="3152" w:type="dxa"/>
          </w:tcPr>
          <w:p w14:paraId="69508578"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p>
        </w:tc>
      </w:tr>
      <w:tr w:rsidR="00BE0B19" w:rsidRPr="00AE47C6" w14:paraId="721670FE" w14:textId="77777777" w:rsidTr="00AD72E5">
        <w:tc>
          <w:tcPr>
            <w:tcW w:w="4608" w:type="dxa"/>
          </w:tcPr>
          <w:p w14:paraId="672FD84B"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Ювенилна миоклонична епилепсия</w:t>
            </w:r>
          </w:p>
        </w:tc>
        <w:tc>
          <w:tcPr>
            <w:tcW w:w="1980" w:type="dxa"/>
          </w:tcPr>
          <w:p w14:paraId="3189B2D4"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GABRA1</w:t>
            </w:r>
          </w:p>
        </w:tc>
        <w:tc>
          <w:tcPr>
            <w:tcW w:w="3152" w:type="dxa"/>
          </w:tcPr>
          <w:p w14:paraId="0A9E32FB"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p>
        </w:tc>
      </w:tr>
      <w:tr w:rsidR="00BE0B19" w:rsidRPr="00AE47C6" w14:paraId="68E254F5" w14:textId="77777777" w:rsidTr="00AD72E5">
        <w:tc>
          <w:tcPr>
            <w:tcW w:w="4608" w:type="dxa"/>
          </w:tcPr>
          <w:p w14:paraId="61F9A7B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Различни фенотипове</w:t>
            </w:r>
          </w:p>
        </w:tc>
        <w:tc>
          <w:tcPr>
            <w:tcW w:w="1980" w:type="dxa"/>
          </w:tcPr>
          <w:p w14:paraId="41A544B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CLCN2</w:t>
            </w:r>
          </w:p>
        </w:tc>
        <w:tc>
          <w:tcPr>
            <w:tcW w:w="3152" w:type="dxa"/>
          </w:tcPr>
          <w:p w14:paraId="7C4B1E9D"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p>
        </w:tc>
      </w:tr>
      <w:tr w:rsidR="00BE0B19" w:rsidRPr="00AE47C6" w14:paraId="78FEC538" w14:textId="77777777" w:rsidTr="00AD72E5">
        <w:tc>
          <w:tcPr>
            <w:tcW w:w="4608" w:type="dxa"/>
          </w:tcPr>
          <w:p w14:paraId="4DE238C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Детска абсансна епилепсия (но: и други фенотипове и епилептични синдроми!)</w:t>
            </w:r>
          </w:p>
        </w:tc>
        <w:tc>
          <w:tcPr>
            <w:tcW w:w="1980" w:type="dxa"/>
          </w:tcPr>
          <w:p w14:paraId="7AAA3610"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i/>
                <w:iCs/>
                <w:sz w:val="24"/>
                <w:szCs w:val="24"/>
                <w:lang w:eastAsia="bg-BG"/>
              </w:rPr>
            </w:pPr>
          </w:p>
        </w:tc>
        <w:tc>
          <w:tcPr>
            <w:tcW w:w="3152" w:type="dxa"/>
          </w:tcPr>
          <w:p w14:paraId="6EE8EDF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CACNA1H</w:t>
            </w:r>
          </w:p>
        </w:tc>
      </w:tr>
      <w:tr w:rsidR="00BE0B19" w:rsidRPr="00AE47C6" w14:paraId="126A69B5" w14:textId="77777777" w:rsidTr="00AD72E5">
        <w:tc>
          <w:tcPr>
            <w:tcW w:w="4608" w:type="dxa"/>
          </w:tcPr>
          <w:p w14:paraId="60E0EC1A"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Ювенилна миоклонична епилепсия</w:t>
            </w:r>
          </w:p>
          <w:p w14:paraId="2FCE9DE7"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(но: и други фенотипове и епилептични синдроми!)</w:t>
            </w:r>
          </w:p>
        </w:tc>
        <w:tc>
          <w:tcPr>
            <w:tcW w:w="1980" w:type="dxa"/>
          </w:tcPr>
          <w:p w14:paraId="248C7572"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i/>
                <w:iCs/>
                <w:sz w:val="24"/>
                <w:szCs w:val="24"/>
                <w:lang w:eastAsia="bg-BG"/>
              </w:rPr>
            </w:pPr>
          </w:p>
        </w:tc>
        <w:tc>
          <w:tcPr>
            <w:tcW w:w="3152" w:type="dxa"/>
          </w:tcPr>
          <w:p w14:paraId="3B8257AD"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EFHC1</w:t>
            </w:r>
          </w:p>
        </w:tc>
      </w:tr>
    </w:tbl>
    <w:p w14:paraId="176600C6" w14:textId="77777777" w:rsidR="00BE0B19" w:rsidRPr="00AE47C6" w:rsidRDefault="00BE0B19" w:rsidP="00BE0B19">
      <w:pPr>
        <w:numPr>
          <w:ilvl w:val="12"/>
          <w:numId w:val="0"/>
        </w:numPr>
        <w:overflowPunct w:val="0"/>
        <w:autoSpaceDE w:val="0"/>
        <w:autoSpaceDN w:val="0"/>
        <w:adjustRightInd w:val="0"/>
        <w:spacing w:after="0" w:line="360" w:lineRule="auto"/>
        <w:jc w:val="both"/>
        <w:textAlignment w:val="baseline"/>
        <w:rPr>
          <w:rFonts w:ascii="Times New Roman" w:eastAsia="SimSun" w:hAnsi="Times New Roman"/>
          <w:bCs/>
          <w:sz w:val="24"/>
          <w:szCs w:val="24"/>
        </w:rPr>
      </w:pPr>
    </w:p>
    <w:p w14:paraId="3F38725D" w14:textId="77777777" w:rsidR="00BE0B19" w:rsidRPr="00AE47C6" w:rsidRDefault="00BE0B19" w:rsidP="00BE0B19">
      <w:pPr>
        <w:numPr>
          <w:ilvl w:val="12"/>
          <w:numId w:val="0"/>
        </w:numPr>
        <w:overflowPunct w:val="0"/>
        <w:autoSpaceDE w:val="0"/>
        <w:autoSpaceDN w:val="0"/>
        <w:adjustRightInd w:val="0"/>
        <w:spacing w:after="0" w:line="360" w:lineRule="auto"/>
        <w:jc w:val="both"/>
        <w:textAlignment w:val="baseline"/>
        <w:rPr>
          <w:rFonts w:ascii="Times New Roman" w:eastAsia="SimSun" w:hAnsi="Times New Roman"/>
          <w:bCs/>
          <w:sz w:val="24"/>
          <w:szCs w:val="24"/>
        </w:rPr>
      </w:pPr>
    </w:p>
    <w:p w14:paraId="738829BB" w14:textId="77777777" w:rsidR="00BE0B19" w:rsidRPr="00AE47C6" w:rsidRDefault="00BE0B19" w:rsidP="00BE0B19">
      <w:pPr>
        <w:numPr>
          <w:ilvl w:val="12"/>
          <w:numId w:val="0"/>
        </w:numPr>
        <w:overflowPunct w:val="0"/>
        <w:autoSpaceDE w:val="0"/>
        <w:autoSpaceDN w:val="0"/>
        <w:adjustRightInd w:val="0"/>
        <w:spacing w:after="0" w:line="360" w:lineRule="auto"/>
        <w:jc w:val="both"/>
        <w:textAlignment w:val="baseline"/>
        <w:rPr>
          <w:rFonts w:ascii="Times New Roman" w:eastAsia="SimSun" w:hAnsi="Times New Roman"/>
          <w:bCs/>
          <w:sz w:val="24"/>
          <w:szCs w:val="24"/>
        </w:rPr>
      </w:pPr>
    </w:p>
    <w:p w14:paraId="49B5E3DE" w14:textId="77777777" w:rsidR="00BE0B19" w:rsidRPr="00AE47C6" w:rsidRDefault="00BE0B19" w:rsidP="00BE0B19">
      <w:pPr>
        <w:numPr>
          <w:ilvl w:val="12"/>
          <w:numId w:val="0"/>
        </w:numPr>
        <w:overflowPunct w:val="0"/>
        <w:autoSpaceDE w:val="0"/>
        <w:autoSpaceDN w:val="0"/>
        <w:adjustRightInd w:val="0"/>
        <w:spacing w:after="0" w:line="360" w:lineRule="auto"/>
        <w:jc w:val="both"/>
        <w:textAlignment w:val="baseline"/>
        <w:rPr>
          <w:rFonts w:ascii="Times New Roman" w:eastAsia="SimSun" w:hAnsi="Times New Roman"/>
          <w:bCs/>
          <w:sz w:val="24"/>
          <w:szCs w:val="24"/>
        </w:rPr>
      </w:pPr>
    </w:p>
    <w:p w14:paraId="61F39C14"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lang w:eastAsia="bg-BG"/>
        </w:rPr>
        <w:t xml:space="preserve">Таблица 11.2. </w:t>
      </w:r>
      <w:r w:rsidRPr="00AE47C6">
        <w:rPr>
          <w:rFonts w:ascii="Times New Roman" w:eastAsia="SimSun" w:hAnsi="Times New Roman"/>
          <w:bCs/>
          <w:sz w:val="24"/>
          <w:szCs w:val="24"/>
          <w:lang w:eastAsia="bg-BG"/>
        </w:rPr>
        <w:t>Фамилни фокални епилептични синдроми</w:t>
      </w:r>
    </w:p>
    <w:tbl>
      <w:tblPr>
        <w:tblW w:w="932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1491"/>
        <w:gridCol w:w="2836"/>
        <w:gridCol w:w="2187"/>
      </w:tblGrid>
      <w:tr w:rsidR="00BE0B19" w:rsidRPr="00AE47C6" w14:paraId="28C2257F" w14:textId="77777777" w:rsidTr="00AD72E5">
        <w:tc>
          <w:tcPr>
            <w:tcW w:w="2808" w:type="dxa"/>
          </w:tcPr>
          <w:p w14:paraId="59B7A2B3"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p>
        </w:tc>
        <w:tc>
          <w:tcPr>
            <w:tcW w:w="1491" w:type="dxa"/>
          </w:tcPr>
          <w:p w14:paraId="74E99B65"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lang w:eastAsia="bg-BG"/>
              </w:rPr>
              <w:t xml:space="preserve">Възраст </w:t>
            </w:r>
          </w:p>
        </w:tc>
        <w:tc>
          <w:tcPr>
            <w:tcW w:w="2836" w:type="dxa"/>
          </w:tcPr>
          <w:p w14:paraId="40FB60E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lang w:eastAsia="bg-BG"/>
              </w:rPr>
              <w:t>Клинична картина</w:t>
            </w:r>
          </w:p>
        </w:tc>
        <w:tc>
          <w:tcPr>
            <w:tcW w:w="2187" w:type="dxa"/>
          </w:tcPr>
          <w:p w14:paraId="06C0AD39"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lang w:eastAsia="bg-BG"/>
              </w:rPr>
              <w:t xml:space="preserve">Хромозома, ген </w:t>
            </w:r>
          </w:p>
        </w:tc>
      </w:tr>
      <w:tr w:rsidR="00BE0B19" w:rsidRPr="00AE47C6" w14:paraId="36359993" w14:textId="77777777" w:rsidTr="00AD72E5">
        <w:tc>
          <w:tcPr>
            <w:tcW w:w="2808" w:type="dxa"/>
          </w:tcPr>
          <w:p w14:paraId="3B253F0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Автозомно-доминантна нощна фронтална епилепсия (ADNFLE)</w:t>
            </w:r>
          </w:p>
        </w:tc>
        <w:tc>
          <w:tcPr>
            <w:tcW w:w="1491" w:type="dxa"/>
          </w:tcPr>
          <w:p w14:paraId="1EF074E5"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 xml:space="preserve">10 – 20 г. </w:t>
            </w:r>
          </w:p>
        </w:tc>
        <w:tc>
          <w:tcPr>
            <w:tcW w:w="2836" w:type="dxa"/>
          </w:tcPr>
          <w:p w14:paraId="09C13E40"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 xml:space="preserve">Нощни хипермоторни пристъпи, често със съхранено съзнание </w:t>
            </w:r>
          </w:p>
        </w:tc>
        <w:tc>
          <w:tcPr>
            <w:tcW w:w="2187" w:type="dxa"/>
          </w:tcPr>
          <w:p w14:paraId="557DD48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CHRNA4</w:t>
            </w:r>
          </w:p>
          <w:p w14:paraId="574FDAA5"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CHRNB2</w:t>
            </w:r>
          </w:p>
          <w:p w14:paraId="2D83D957"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CHRNA2</w:t>
            </w:r>
          </w:p>
        </w:tc>
      </w:tr>
      <w:tr w:rsidR="00BE0B19" w:rsidRPr="00AE47C6" w14:paraId="4B73C12A" w14:textId="77777777" w:rsidTr="00AD72E5">
        <w:tc>
          <w:tcPr>
            <w:tcW w:w="2808" w:type="dxa"/>
          </w:tcPr>
          <w:p w14:paraId="4151745E"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 xml:space="preserve">Автозомно-доминантна парциална епилепсия със слухови халюцинации (ADPEAF) </w:t>
            </w:r>
          </w:p>
        </w:tc>
        <w:tc>
          <w:tcPr>
            <w:tcW w:w="1491" w:type="dxa"/>
          </w:tcPr>
          <w:p w14:paraId="6CEA1D6D"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 xml:space="preserve">20 – 40 г. </w:t>
            </w:r>
          </w:p>
        </w:tc>
        <w:tc>
          <w:tcPr>
            <w:tcW w:w="2836" w:type="dxa"/>
          </w:tcPr>
          <w:p w14:paraId="6C77D249"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 xml:space="preserve">Аури със слухови, дисфазични или зрителни характеристики </w:t>
            </w:r>
          </w:p>
        </w:tc>
        <w:tc>
          <w:tcPr>
            <w:tcW w:w="2187" w:type="dxa"/>
          </w:tcPr>
          <w:p w14:paraId="4BCB25BE"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LGI1</w:t>
            </w:r>
          </w:p>
        </w:tc>
      </w:tr>
      <w:tr w:rsidR="00BE0B19" w:rsidRPr="00AE47C6" w14:paraId="7C4F9A53" w14:textId="77777777" w:rsidTr="00AD72E5">
        <w:tc>
          <w:tcPr>
            <w:tcW w:w="9322" w:type="dxa"/>
            <w:gridSpan w:val="4"/>
          </w:tcPr>
          <w:p w14:paraId="32C64B9D"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lang w:eastAsia="bg-BG"/>
              </w:rPr>
              <w:t>Фамилни мезиални темпорално-дялови епилепсии</w:t>
            </w:r>
          </w:p>
        </w:tc>
      </w:tr>
      <w:tr w:rsidR="00BE0B19" w:rsidRPr="00AE47C6" w14:paraId="092C2BC5" w14:textId="77777777" w:rsidTr="00AD72E5">
        <w:tc>
          <w:tcPr>
            <w:tcW w:w="2808" w:type="dxa"/>
          </w:tcPr>
          <w:p w14:paraId="14E06F9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Без HS, без FS</w:t>
            </w:r>
          </w:p>
        </w:tc>
        <w:tc>
          <w:tcPr>
            <w:tcW w:w="1491" w:type="dxa"/>
          </w:tcPr>
          <w:p w14:paraId="0126D7D8"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20 – 40 г.</w:t>
            </w:r>
          </w:p>
        </w:tc>
        <w:tc>
          <w:tcPr>
            <w:tcW w:w="2836" w:type="dxa"/>
          </w:tcPr>
          <w:p w14:paraId="4A332BF8"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Dèjà vu, автономна или афективна аура</w:t>
            </w:r>
          </w:p>
        </w:tc>
        <w:tc>
          <w:tcPr>
            <w:tcW w:w="2187" w:type="dxa"/>
          </w:tcPr>
          <w:p w14:paraId="282AB345"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4q*</w:t>
            </w:r>
          </w:p>
        </w:tc>
      </w:tr>
      <w:tr w:rsidR="00BE0B19" w:rsidRPr="00AE47C6" w14:paraId="599A29FB" w14:textId="77777777" w:rsidTr="00AD72E5">
        <w:tc>
          <w:tcPr>
            <w:tcW w:w="2808" w:type="dxa"/>
          </w:tcPr>
          <w:p w14:paraId="7E97E5E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Със HS, +/– FS</w:t>
            </w:r>
          </w:p>
        </w:tc>
        <w:tc>
          <w:tcPr>
            <w:tcW w:w="1491" w:type="dxa"/>
          </w:tcPr>
          <w:p w14:paraId="245BB7B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10 – 30 г.</w:t>
            </w:r>
          </w:p>
        </w:tc>
        <w:tc>
          <w:tcPr>
            <w:tcW w:w="2836" w:type="dxa"/>
          </w:tcPr>
          <w:p w14:paraId="6DA4D25B"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Dèjà vu, автономна или афективна аура</w:t>
            </w:r>
          </w:p>
        </w:tc>
        <w:tc>
          <w:tcPr>
            <w:tcW w:w="2187" w:type="dxa"/>
          </w:tcPr>
          <w:p w14:paraId="6726E132"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Неясни</w:t>
            </w:r>
          </w:p>
        </w:tc>
      </w:tr>
      <w:tr w:rsidR="00BE0B19" w:rsidRPr="00AE47C6" w14:paraId="2FF550CF" w14:textId="77777777" w:rsidTr="00AD72E5">
        <w:tc>
          <w:tcPr>
            <w:tcW w:w="2808" w:type="dxa"/>
          </w:tcPr>
          <w:p w14:paraId="0A4974D4"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FS, без HS</w:t>
            </w:r>
          </w:p>
        </w:tc>
        <w:tc>
          <w:tcPr>
            <w:tcW w:w="1491" w:type="dxa"/>
          </w:tcPr>
          <w:p w14:paraId="3F13990C"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10 – 20 г.</w:t>
            </w:r>
          </w:p>
        </w:tc>
        <w:tc>
          <w:tcPr>
            <w:tcW w:w="2836" w:type="dxa"/>
          </w:tcPr>
          <w:p w14:paraId="6DE32564"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Dèjà vu, автономна аура</w:t>
            </w:r>
          </w:p>
        </w:tc>
        <w:tc>
          <w:tcPr>
            <w:tcW w:w="2187" w:type="dxa"/>
          </w:tcPr>
          <w:p w14:paraId="3E1E6AD5"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18q*, 1q*</w:t>
            </w:r>
          </w:p>
        </w:tc>
      </w:tr>
      <w:tr w:rsidR="00BE0B19" w:rsidRPr="00AE47C6" w14:paraId="2536C1A3" w14:textId="77777777" w:rsidTr="00AD72E5">
        <w:tc>
          <w:tcPr>
            <w:tcW w:w="2808" w:type="dxa"/>
          </w:tcPr>
          <w:p w14:paraId="7129F07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Фамилна окципито-темпорална епилепсия</w:t>
            </w:r>
          </w:p>
        </w:tc>
        <w:tc>
          <w:tcPr>
            <w:tcW w:w="1491" w:type="dxa"/>
          </w:tcPr>
          <w:p w14:paraId="70FAC1D8"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10 – 40 г.</w:t>
            </w:r>
          </w:p>
        </w:tc>
        <w:tc>
          <w:tcPr>
            <w:tcW w:w="2836" w:type="dxa"/>
          </w:tcPr>
          <w:p w14:paraId="5EEB79B9"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CPS, мигрена, различни фокални пристъпи</w:t>
            </w:r>
          </w:p>
        </w:tc>
        <w:tc>
          <w:tcPr>
            <w:tcW w:w="2187" w:type="dxa"/>
          </w:tcPr>
          <w:p w14:paraId="0AA98A99"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9q*</w:t>
            </w:r>
          </w:p>
        </w:tc>
      </w:tr>
      <w:tr w:rsidR="00BE0B19" w:rsidRPr="00AE47C6" w14:paraId="0BE896AC" w14:textId="77777777" w:rsidTr="00AD72E5">
        <w:tc>
          <w:tcPr>
            <w:tcW w:w="2808" w:type="dxa"/>
          </w:tcPr>
          <w:p w14:paraId="40AF4A94"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 xml:space="preserve">Фамилна парциална епилепсия с различни огнища (FPEVF) </w:t>
            </w:r>
          </w:p>
        </w:tc>
        <w:tc>
          <w:tcPr>
            <w:tcW w:w="1491" w:type="dxa"/>
          </w:tcPr>
          <w:p w14:paraId="1FCCEABB"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10 – 30 г.</w:t>
            </w:r>
          </w:p>
        </w:tc>
        <w:tc>
          <w:tcPr>
            <w:tcW w:w="2836" w:type="dxa"/>
          </w:tcPr>
          <w:p w14:paraId="1355CF0B"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Фронтални, темпорални, окципитални, центро-париетални пристъпи</w:t>
            </w:r>
          </w:p>
        </w:tc>
        <w:tc>
          <w:tcPr>
            <w:tcW w:w="2187" w:type="dxa"/>
          </w:tcPr>
          <w:p w14:paraId="5DF49AEE"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22q12</w:t>
            </w:r>
          </w:p>
        </w:tc>
      </w:tr>
      <w:tr w:rsidR="00BE0B19" w:rsidRPr="00AE47C6" w14:paraId="2A9F57C4" w14:textId="77777777" w:rsidTr="00AD72E5">
        <w:tc>
          <w:tcPr>
            <w:tcW w:w="2808" w:type="dxa"/>
          </w:tcPr>
          <w:p w14:paraId="74E901C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 xml:space="preserve">Фокална епилепсия с перицентрални острия </w:t>
            </w:r>
          </w:p>
        </w:tc>
        <w:tc>
          <w:tcPr>
            <w:tcW w:w="1491" w:type="dxa"/>
          </w:tcPr>
          <w:p w14:paraId="29F5F919"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10 – 20 г.</w:t>
            </w:r>
          </w:p>
        </w:tc>
        <w:tc>
          <w:tcPr>
            <w:tcW w:w="2836" w:type="dxa"/>
          </w:tcPr>
          <w:p w14:paraId="5C620AC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Хемиконвулсии, често нощни, други парциални пристъпи</w:t>
            </w:r>
          </w:p>
        </w:tc>
        <w:tc>
          <w:tcPr>
            <w:tcW w:w="2187" w:type="dxa"/>
          </w:tcPr>
          <w:p w14:paraId="38442DD7"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4p15*</w:t>
            </w:r>
          </w:p>
        </w:tc>
      </w:tr>
      <w:tr w:rsidR="00BE0B19" w:rsidRPr="00AE47C6" w14:paraId="76EA9DCD" w14:textId="77777777" w:rsidTr="00AD72E5">
        <w:tc>
          <w:tcPr>
            <w:tcW w:w="9322" w:type="dxa"/>
            <w:gridSpan w:val="4"/>
          </w:tcPr>
          <w:p w14:paraId="3DF6B8B2"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*Хромозомна свързаност установена само в една фамилия. </w:t>
            </w:r>
          </w:p>
          <w:p w14:paraId="3D184ADF"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HS=хипокампална склероза. </w:t>
            </w:r>
          </w:p>
          <w:p w14:paraId="67FD2E6B"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sz w:val="24"/>
                <w:szCs w:val="24"/>
                <w:lang w:eastAsia="bg-BG"/>
              </w:rPr>
              <w:t>FS=фебрилни гърчове. CPS=комплексни парциални пристъпи</w:t>
            </w:r>
          </w:p>
        </w:tc>
      </w:tr>
    </w:tbl>
    <w:p w14:paraId="21B4C6FF" w14:textId="77777777" w:rsidR="00BE0B19" w:rsidRPr="00AE47C6" w:rsidRDefault="00BE0B19" w:rsidP="00BE0B19">
      <w:pPr>
        <w:spacing w:after="0" w:line="360" w:lineRule="auto"/>
        <w:jc w:val="both"/>
        <w:rPr>
          <w:rFonts w:ascii="Times New Roman" w:eastAsia="SimSun" w:hAnsi="Times New Roman"/>
          <w:b/>
          <w:bCs/>
          <w:sz w:val="24"/>
          <w:szCs w:val="24"/>
        </w:rPr>
      </w:pPr>
    </w:p>
    <w:p w14:paraId="2F42F27D" w14:textId="77777777" w:rsidR="00BE0B19" w:rsidRPr="00AE47C6" w:rsidRDefault="00BE0B19" w:rsidP="00BE0B19">
      <w:pPr>
        <w:spacing w:after="0" w:line="360" w:lineRule="auto"/>
        <w:jc w:val="both"/>
        <w:rPr>
          <w:rFonts w:ascii="Times New Roman" w:eastAsia="SimSun" w:hAnsi="Times New Roman"/>
          <w:b/>
          <w:bCs/>
          <w:sz w:val="24"/>
          <w:szCs w:val="24"/>
        </w:rPr>
      </w:pPr>
    </w:p>
    <w:p w14:paraId="365D74AF" w14:textId="77777777" w:rsidR="00BE0B19" w:rsidRPr="00AE47C6" w:rsidRDefault="00BE0B19" w:rsidP="00BE0B19">
      <w:pPr>
        <w:spacing w:after="0" w:line="360" w:lineRule="auto"/>
        <w:jc w:val="both"/>
        <w:rPr>
          <w:rFonts w:ascii="Times New Roman" w:eastAsia="SimSun" w:hAnsi="Times New Roman"/>
          <w:b/>
          <w:bCs/>
          <w:sz w:val="24"/>
          <w:szCs w:val="24"/>
        </w:rPr>
      </w:pPr>
    </w:p>
    <w:p w14:paraId="3A523E28" w14:textId="77777777" w:rsidR="00BE0B19" w:rsidRPr="00AE47C6" w:rsidRDefault="00BE0B19" w:rsidP="00BE0B19">
      <w:pPr>
        <w:spacing w:after="0" w:line="360" w:lineRule="auto"/>
        <w:jc w:val="both"/>
        <w:rPr>
          <w:rFonts w:ascii="Times New Roman" w:eastAsia="SimSun" w:hAnsi="Times New Roman"/>
          <w:b/>
          <w:bCs/>
          <w:sz w:val="24"/>
          <w:szCs w:val="24"/>
        </w:rPr>
      </w:pPr>
    </w:p>
    <w:p w14:paraId="0027638B" w14:textId="77777777" w:rsidR="00BE0B19" w:rsidRPr="00AE47C6" w:rsidRDefault="00BE0B19" w:rsidP="00BE0B19">
      <w:pPr>
        <w:spacing w:after="0" w:line="360" w:lineRule="auto"/>
        <w:jc w:val="both"/>
        <w:rPr>
          <w:rFonts w:ascii="Times New Roman" w:eastAsia="SimSun" w:hAnsi="Times New Roman"/>
          <w:b/>
          <w:bCs/>
          <w:sz w:val="24"/>
          <w:szCs w:val="24"/>
        </w:rPr>
      </w:pPr>
    </w:p>
    <w:p w14:paraId="02228B44" w14:textId="77777777" w:rsidR="00BE0B19" w:rsidRPr="00AE47C6" w:rsidRDefault="00BE0B19" w:rsidP="00BE0B19">
      <w:pPr>
        <w:spacing w:after="0" w:line="360" w:lineRule="auto"/>
        <w:jc w:val="both"/>
        <w:rPr>
          <w:rFonts w:ascii="Times New Roman" w:eastAsia="SimSun" w:hAnsi="Times New Roman"/>
          <w:b/>
          <w:bCs/>
          <w:sz w:val="24"/>
          <w:szCs w:val="24"/>
        </w:rPr>
      </w:pPr>
    </w:p>
    <w:p w14:paraId="024552ED" w14:textId="77777777" w:rsidR="00BE0B19" w:rsidRPr="00AE47C6" w:rsidRDefault="00BE0B19" w:rsidP="00BE0B19">
      <w:pPr>
        <w:spacing w:after="0" w:line="360" w:lineRule="auto"/>
        <w:jc w:val="both"/>
        <w:rPr>
          <w:rFonts w:ascii="Times New Roman" w:eastAsia="SimSun" w:hAnsi="Times New Roman"/>
          <w:b/>
          <w:bCs/>
          <w:sz w:val="24"/>
          <w:szCs w:val="24"/>
        </w:rPr>
      </w:pPr>
    </w:p>
    <w:p w14:paraId="388AF7D2" w14:textId="77777777" w:rsidR="00BE0B19" w:rsidRPr="00AE47C6" w:rsidRDefault="00BE0B19" w:rsidP="00BE0B19">
      <w:pPr>
        <w:spacing w:after="0" w:line="360" w:lineRule="auto"/>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 xml:space="preserve">Таблица 11.3. </w:t>
      </w:r>
      <w:r w:rsidRPr="00AE47C6">
        <w:rPr>
          <w:rFonts w:ascii="Times New Roman" w:eastAsia="SimSun" w:hAnsi="Times New Roman"/>
          <w:sz w:val="24"/>
          <w:szCs w:val="24"/>
          <w:lang w:eastAsia="bg-BG"/>
        </w:rPr>
        <w:t>Епилептични синдроми и гени</w:t>
      </w:r>
    </w:p>
    <w:tbl>
      <w:tblPr>
        <w:tblW w:w="9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74"/>
        <w:gridCol w:w="993"/>
        <w:gridCol w:w="3581"/>
      </w:tblGrid>
      <w:tr w:rsidR="00BE0B19" w:rsidRPr="00AE47C6" w14:paraId="61936AA6" w14:textId="77777777" w:rsidTr="00AD72E5">
        <w:trPr>
          <w:tblHeader/>
        </w:trPr>
        <w:tc>
          <w:tcPr>
            <w:tcW w:w="4574" w:type="dxa"/>
            <w:tcMar>
              <w:top w:w="38" w:type="dxa"/>
              <w:left w:w="38" w:type="dxa"/>
              <w:bottom w:w="38" w:type="dxa"/>
              <w:right w:w="38" w:type="dxa"/>
            </w:tcMar>
            <w:vAlign w:val="center"/>
            <w:hideMark/>
          </w:tcPr>
          <w:p w14:paraId="465213E9"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Фенотип (според възрастта на изява)</w:t>
            </w:r>
          </w:p>
        </w:tc>
        <w:tc>
          <w:tcPr>
            <w:tcW w:w="993" w:type="dxa"/>
            <w:tcMar>
              <w:top w:w="38" w:type="dxa"/>
              <w:left w:w="38" w:type="dxa"/>
              <w:bottom w:w="38" w:type="dxa"/>
              <w:right w:w="38" w:type="dxa"/>
            </w:tcMar>
            <w:vAlign w:val="center"/>
            <w:hideMark/>
          </w:tcPr>
          <w:p w14:paraId="55D2A0EB"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Преда-ване</w:t>
            </w:r>
          </w:p>
        </w:tc>
        <w:tc>
          <w:tcPr>
            <w:tcW w:w="3581" w:type="dxa"/>
            <w:tcMar>
              <w:top w:w="38" w:type="dxa"/>
              <w:left w:w="38" w:type="dxa"/>
              <w:bottom w:w="38" w:type="dxa"/>
              <w:right w:w="38" w:type="dxa"/>
            </w:tcMar>
            <w:vAlign w:val="center"/>
            <w:hideMark/>
          </w:tcPr>
          <w:p w14:paraId="0C7437F5"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Ген</w:t>
            </w:r>
          </w:p>
        </w:tc>
      </w:tr>
      <w:tr w:rsidR="00BE0B19" w:rsidRPr="00AE47C6" w14:paraId="1B3A93E8" w14:textId="77777777" w:rsidTr="00AD72E5">
        <w:tc>
          <w:tcPr>
            <w:tcW w:w="9148" w:type="dxa"/>
            <w:gridSpan w:val="3"/>
            <w:tcMar>
              <w:top w:w="38" w:type="dxa"/>
              <w:left w:w="38" w:type="dxa"/>
              <w:bottom w:w="38" w:type="dxa"/>
              <w:right w:w="38" w:type="dxa"/>
            </w:tcMar>
            <w:vAlign w:val="center"/>
            <w:hideMark/>
          </w:tcPr>
          <w:p w14:paraId="6F6F486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Неонатален период</w:t>
            </w:r>
          </w:p>
        </w:tc>
      </w:tr>
      <w:tr w:rsidR="00BE0B19" w:rsidRPr="00AE47C6" w14:paraId="65C34C52" w14:textId="77777777" w:rsidTr="00AD72E5">
        <w:tc>
          <w:tcPr>
            <w:tcW w:w="4574" w:type="dxa"/>
            <w:tcMar>
              <w:top w:w="38" w:type="dxa"/>
              <w:left w:w="38" w:type="dxa"/>
              <w:bottom w:w="38" w:type="dxa"/>
              <w:right w:w="38" w:type="dxa"/>
            </w:tcMar>
            <w:vAlign w:val="center"/>
            <w:hideMark/>
          </w:tcPr>
          <w:p w14:paraId="3148ED2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Pyridoxamine 5'-phosphate oxidase дефицит (PNPOD)</w:t>
            </w:r>
          </w:p>
        </w:tc>
        <w:tc>
          <w:tcPr>
            <w:tcW w:w="993" w:type="dxa"/>
            <w:tcMar>
              <w:top w:w="38" w:type="dxa"/>
              <w:left w:w="38" w:type="dxa"/>
              <w:bottom w:w="38" w:type="dxa"/>
              <w:right w:w="38" w:type="dxa"/>
            </w:tcMar>
            <w:vAlign w:val="center"/>
            <w:hideMark/>
          </w:tcPr>
          <w:p w14:paraId="55BE715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AР</w:t>
            </w:r>
          </w:p>
        </w:tc>
        <w:tc>
          <w:tcPr>
            <w:tcW w:w="3581" w:type="dxa"/>
            <w:tcMar>
              <w:top w:w="38" w:type="dxa"/>
              <w:left w:w="38" w:type="dxa"/>
              <w:bottom w:w="38" w:type="dxa"/>
              <w:right w:w="38" w:type="dxa"/>
            </w:tcMar>
            <w:vAlign w:val="center"/>
            <w:hideMark/>
          </w:tcPr>
          <w:p w14:paraId="060E183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i/>
                <w:sz w:val="24"/>
                <w:szCs w:val="24"/>
              </w:rPr>
              <w:t>PNPO</w:t>
            </w:r>
          </w:p>
        </w:tc>
      </w:tr>
      <w:tr w:rsidR="00BE0B19" w:rsidRPr="00AE47C6" w14:paraId="206A02A2" w14:textId="77777777" w:rsidTr="00AD72E5">
        <w:tc>
          <w:tcPr>
            <w:tcW w:w="4574" w:type="dxa"/>
            <w:tcMar>
              <w:top w:w="38" w:type="dxa"/>
              <w:left w:w="38" w:type="dxa"/>
              <w:bottom w:w="38" w:type="dxa"/>
              <w:right w:w="38" w:type="dxa"/>
            </w:tcMar>
            <w:vAlign w:val="center"/>
            <w:hideMark/>
          </w:tcPr>
          <w:p w14:paraId="1053BFE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Pyridoxine-зависима епилепсия (EPD)</w:t>
            </w:r>
          </w:p>
        </w:tc>
        <w:tc>
          <w:tcPr>
            <w:tcW w:w="993" w:type="dxa"/>
            <w:tcMar>
              <w:top w:w="38" w:type="dxa"/>
              <w:left w:w="38" w:type="dxa"/>
              <w:bottom w:w="38" w:type="dxa"/>
              <w:right w:w="38" w:type="dxa"/>
            </w:tcMar>
            <w:vAlign w:val="center"/>
            <w:hideMark/>
          </w:tcPr>
          <w:p w14:paraId="77F6D4A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AР</w:t>
            </w:r>
          </w:p>
        </w:tc>
        <w:tc>
          <w:tcPr>
            <w:tcW w:w="3581" w:type="dxa"/>
            <w:tcMar>
              <w:top w:w="38" w:type="dxa"/>
              <w:left w:w="38" w:type="dxa"/>
              <w:bottom w:w="38" w:type="dxa"/>
              <w:right w:w="38" w:type="dxa"/>
            </w:tcMar>
            <w:vAlign w:val="center"/>
            <w:hideMark/>
          </w:tcPr>
          <w:p w14:paraId="534886D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i/>
                <w:sz w:val="24"/>
                <w:szCs w:val="24"/>
              </w:rPr>
              <w:t>ALDH7A1</w:t>
            </w:r>
          </w:p>
        </w:tc>
      </w:tr>
      <w:tr w:rsidR="00BE0B19" w:rsidRPr="00AE47C6" w14:paraId="55511FAC" w14:textId="77777777" w:rsidTr="00AD72E5">
        <w:trPr>
          <w:trHeight w:val="686"/>
        </w:trPr>
        <w:tc>
          <w:tcPr>
            <w:tcW w:w="4574" w:type="dxa"/>
            <w:tcMar>
              <w:top w:w="38" w:type="dxa"/>
              <w:left w:w="38" w:type="dxa"/>
              <w:bottom w:w="38" w:type="dxa"/>
              <w:right w:w="38" w:type="dxa"/>
            </w:tcMar>
            <w:vAlign w:val="center"/>
            <w:hideMark/>
          </w:tcPr>
          <w:p w14:paraId="1DF3C57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Бенигнени и фамилни неонатални пристъпи (BFNS)</w:t>
            </w:r>
          </w:p>
        </w:tc>
        <w:tc>
          <w:tcPr>
            <w:tcW w:w="993" w:type="dxa"/>
            <w:tcMar>
              <w:top w:w="38" w:type="dxa"/>
              <w:left w:w="38" w:type="dxa"/>
              <w:bottom w:w="38" w:type="dxa"/>
              <w:right w:w="38" w:type="dxa"/>
            </w:tcMar>
            <w:vAlign w:val="center"/>
            <w:hideMark/>
          </w:tcPr>
          <w:p w14:paraId="2BEC0E9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AД</w:t>
            </w:r>
          </w:p>
        </w:tc>
        <w:tc>
          <w:tcPr>
            <w:tcW w:w="3581" w:type="dxa"/>
            <w:tcMar>
              <w:top w:w="38" w:type="dxa"/>
              <w:left w:w="38" w:type="dxa"/>
              <w:bottom w:w="38" w:type="dxa"/>
              <w:right w:w="38" w:type="dxa"/>
            </w:tcMar>
            <w:vAlign w:val="center"/>
            <w:hideMark/>
          </w:tcPr>
          <w:p w14:paraId="19F7DFC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i/>
                <w:sz w:val="24"/>
                <w:szCs w:val="24"/>
              </w:rPr>
              <w:t>KCNQ2</w:t>
            </w:r>
            <w:r w:rsidRPr="00AE47C6">
              <w:rPr>
                <w:rFonts w:ascii="Times New Roman" w:eastAsia="SimSun" w:hAnsi="Times New Roman"/>
                <w:sz w:val="24"/>
                <w:szCs w:val="24"/>
              </w:rPr>
              <w:t>, </w:t>
            </w:r>
            <w:r w:rsidRPr="00AE47C6">
              <w:rPr>
                <w:rFonts w:ascii="Times New Roman" w:eastAsia="SimSun" w:hAnsi="Times New Roman"/>
                <w:i/>
                <w:sz w:val="24"/>
                <w:szCs w:val="24"/>
              </w:rPr>
              <w:t>KCNQ3</w:t>
            </w:r>
          </w:p>
        </w:tc>
      </w:tr>
      <w:tr w:rsidR="00BE0B19" w:rsidRPr="00AE47C6" w14:paraId="38F97059" w14:textId="77777777" w:rsidTr="00AD72E5">
        <w:tc>
          <w:tcPr>
            <w:tcW w:w="9148" w:type="dxa"/>
            <w:gridSpan w:val="3"/>
            <w:tcMar>
              <w:top w:w="38" w:type="dxa"/>
              <w:left w:w="38" w:type="dxa"/>
              <w:bottom w:w="38" w:type="dxa"/>
              <w:right w:w="38" w:type="dxa"/>
            </w:tcMar>
            <w:vAlign w:val="center"/>
            <w:hideMark/>
          </w:tcPr>
          <w:p w14:paraId="2438FAC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 xml:space="preserve">Кърмаческа и детска възраст </w:t>
            </w:r>
          </w:p>
        </w:tc>
      </w:tr>
      <w:tr w:rsidR="00BE0B19" w:rsidRPr="00AE47C6" w14:paraId="47692A8F" w14:textId="77777777" w:rsidTr="00AD72E5">
        <w:tc>
          <w:tcPr>
            <w:tcW w:w="4574" w:type="dxa"/>
            <w:tcMar>
              <w:top w:w="38" w:type="dxa"/>
              <w:left w:w="38" w:type="dxa"/>
              <w:bottom w:w="38" w:type="dxa"/>
              <w:right w:w="38" w:type="dxa"/>
            </w:tcMar>
            <w:vAlign w:val="center"/>
            <w:hideMark/>
          </w:tcPr>
          <w:p w14:paraId="5457C7D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Фамилна инфантилна миоклонична епилепсия (FIME)</w:t>
            </w:r>
          </w:p>
        </w:tc>
        <w:tc>
          <w:tcPr>
            <w:tcW w:w="993" w:type="dxa"/>
            <w:tcMar>
              <w:top w:w="38" w:type="dxa"/>
              <w:left w:w="38" w:type="dxa"/>
              <w:bottom w:w="38" w:type="dxa"/>
              <w:right w:w="38" w:type="dxa"/>
            </w:tcMar>
            <w:vAlign w:val="center"/>
            <w:hideMark/>
          </w:tcPr>
          <w:p w14:paraId="469993B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AР</w:t>
            </w:r>
          </w:p>
        </w:tc>
        <w:tc>
          <w:tcPr>
            <w:tcW w:w="3581" w:type="dxa"/>
            <w:tcMar>
              <w:top w:w="38" w:type="dxa"/>
              <w:left w:w="38" w:type="dxa"/>
              <w:bottom w:w="38" w:type="dxa"/>
              <w:right w:w="38" w:type="dxa"/>
            </w:tcMar>
            <w:vAlign w:val="center"/>
            <w:hideMark/>
          </w:tcPr>
          <w:p w14:paraId="0CC39CF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i/>
                <w:sz w:val="24"/>
                <w:szCs w:val="24"/>
              </w:rPr>
              <w:t>TBC1D24</w:t>
            </w:r>
          </w:p>
        </w:tc>
      </w:tr>
      <w:tr w:rsidR="00BE0B19" w:rsidRPr="00AE47C6" w14:paraId="3A6C9D02" w14:textId="77777777" w:rsidTr="00AD72E5">
        <w:tc>
          <w:tcPr>
            <w:tcW w:w="4574" w:type="dxa"/>
            <w:tcMar>
              <w:top w:w="38" w:type="dxa"/>
              <w:left w:w="38" w:type="dxa"/>
              <w:bottom w:w="38" w:type="dxa"/>
              <w:right w:w="38" w:type="dxa"/>
            </w:tcMar>
            <w:vAlign w:val="center"/>
            <w:hideMark/>
          </w:tcPr>
          <w:p w14:paraId="28929BB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Бенигнени фамилни инфантилни гърчове (BFIS)</w:t>
            </w:r>
          </w:p>
        </w:tc>
        <w:tc>
          <w:tcPr>
            <w:tcW w:w="993" w:type="dxa"/>
            <w:tcMar>
              <w:top w:w="38" w:type="dxa"/>
              <w:left w:w="38" w:type="dxa"/>
              <w:bottom w:w="38" w:type="dxa"/>
              <w:right w:w="38" w:type="dxa"/>
            </w:tcMar>
            <w:vAlign w:val="center"/>
            <w:hideMark/>
          </w:tcPr>
          <w:p w14:paraId="1B6BDD2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AД</w:t>
            </w:r>
          </w:p>
        </w:tc>
        <w:tc>
          <w:tcPr>
            <w:tcW w:w="3581" w:type="dxa"/>
            <w:tcMar>
              <w:top w:w="38" w:type="dxa"/>
              <w:left w:w="38" w:type="dxa"/>
              <w:bottom w:w="38" w:type="dxa"/>
              <w:right w:w="38" w:type="dxa"/>
            </w:tcMar>
            <w:vAlign w:val="center"/>
            <w:hideMark/>
          </w:tcPr>
          <w:p w14:paraId="140FBA5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i/>
                <w:sz w:val="24"/>
                <w:szCs w:val="24"/>
              </w:rPr>
              <w:t>PRRT2</w:t>
            </w:r>
            <w:r w:rsidRPr="00AE47C6">
              <w:rPr>
                <w:rFonts w:ascii="Times New Roman" w:eastAsia="SimSun" w:hAnsi="Times New Roman"/>
                <w:sz w:val="24"/>
                <w:szCs w:val="24"/>
              </w:rPr>
              <w:t>, </w:t>
            </w:r>
            <w:r w:rsidRPr="00AE47C6">
              <w:rPr>
                <w:rFonts w:ascii="Times New Roman" w:eastAsia="SimSun" w:hAnsi="Times New Roman"/>
                <w:i/>
                <w:iCs/>
                <w:sz w:val="24"/>
                <w:szCs w:val="24"/>
              </w:rPr>
              <w:t>SCN2A</w:t>
            </w:r>
            <w:r w:rsidRPr="00AE47C6">
              <w:rPr>
                <w:rFonts w:ascii="Times New Roman" w:eastAsia="SimSun" w:hAnsi="Times New Roman"/>
                <w:b/>
                <w:sz w:val="24"/>
                <w:szCs w:val="24"/>
              </w:rPr>
              <w:t>, </w:t>
            </w:r>
            <w:r w:rsidRPr="00AE47C6">
              <w:rPr>
                <w:rFonts w:ascii="Times New Roman" w:eastAsia="SimSun" w:hAnsi="Times New Roman"/>
                <w:i/>
                <w:iCs/>
                <w:sz w:val="24"/>
                <w:szCs w:val="24"/>
              </w:rPr>
              <w:t>SCN8A</w:t>
            </w:r>
          </w:p>
        </w:tc>
      </w:tr>
      <w:tr w:rsidR="00BE0B19" w:rsidRPr="00AE47C6" w14:paraId="39202178" w14:textId="77777777" w:rsidTr="00AD72E5">
        <w:tc>
          <w:tcPr>
            <w:tcW w:w="4574" w:type="dxa"/>
            <w:tcMar>
              <w:top w:w="38" w:type="dxa"/>
              <w:left w:w="38" w:type="dxa"/>
              <w:bottom w:w="38" w:type="dxa"/>
              <w:right w:w="38" w:type="dxa"/>
            </w:tcMar>
            <w:vAlign w:val="center"/>
            <w:hideMark/>
          </w:tcPr>
          <w:p w14:paraId="73D023C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Инфантилни епилептични синдроми при Амиши (AIES)</w:t>
            </w:r>
          </w:p>
        </w:tc>
        <w:tc>
          <w:tcPr>
            <w:tcW w:w="993" w:type="dxa"/>
            <w:tcMar>
              <w:top w:w="38" w:type="dxa"/>
              <w:left w:w="38" w:type="dxa"/>
              <w:bottom w:w="38" w:type="dxa"/>
              <w:right w:w="38" w:type="dxa"/>
            </w:tcMar>
            <w:vAlign w:val="center"/>
            <w:hideMark/>
          </w:tcPr>
          <w:p w14:paraId="12FA53A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AР</w:t>
            </w:r>
          </w:p>
        </w:tc>
        <w:tc>
          <w:tcPr>
            <w:tcW w:w="3581" w:type="dxa"/>
            <w:tcMar>
              <w:top w:w="38" w:type="dxa"/>
              <w:left w:w="38" w:type="dxa"/>
              <w:bottom w:w="38" w:type="dxa"/>
              <w:right w:w="38" w:type="dxa"/>
            </w:tcMar>
            <w:vAlign w:val="center"/>
            <w:hideMark/>
          </w:tcPr>
          <w:p w14:paraId="286801F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i/>
                <w:sz w:val="24"/>
                <w:szCs w:val="24"/>
              </w:rPr>
              <w:t>ST3GAL5</w:t>
            </w:r>
          </w:p>
        </w:tc>
      </w:tr>
      <w:tr w:rsidR="00BE0B19" w:rsidRPr="00AE47C6" w14:paraId="59FB0947" w14:textId="77777777" w:rsidTr="00AD72E5">
        <w:tc>
          <w:tcPr>
            <w:tcW w:w="4574" w:type="dxa"/>
            <w:vMerge w:val="restart"/>
            <w:tcMar>
              <w:top w:w="38" w:type="dxa"/>
              <w:left w:w="38" w:type="dxa"/>
              <w:bottom w:w="38" w:type="dxa"/>
              <w:right w:w="38" w:type="dxa"/>
            </w:tcMar>
            <w:vAlign w:val="center"/>
            <w:hideMark/>
          </w:tcPr>
          <w:p w14:paraId="20B0D00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Ранни инфантилни епилептични енцефалопатии </w:t>
            </w:r>
            <w:r w:rsidRPr="00AE47C6">
              <w:rPr>
                <w:rFonts w:ascii="Times New Roman" w:eastAsia="SimSun" w:hAnsi="Times New Roman"/>
                <w:b/>
                <w:sz w:val="24"/>
                <w:szCs w:val="24"/>
              </w:rPr>
              <w:t>(</w:t>
            </w:r>
            <w:r w:rsidRPr="00AE47C6">
              <w:rPr>
                <w:rFonts w:ascii="Times New Roman" w:eastAsia="SimSun" w:hAnsi="Times New Roman"/>
                <w:sz w:val="24"/>
                <w:szCs w:val="24"/>
              </w:rPr>
              <w:t>EIEE</w:t>
            </w:r>
            <w:r w:rsidRPr="00AE47C6">
              <w:rPr>
                <w:rFonts w:ascii="Times New Roman" w:eastAsia="SimSun" w:hAnsi="Times New Roman"/>
                <w:b/>
                <w:sz w:val="24"/>
                <w:szCs w:val="24"/>
              </w:rPr>
              <w:t>)</w:t>
            </w:r>
          </w:p>
        </w:tc>
        <w:tc>
          <w:tcPr>
            <w:tcW w:w="993" w:type="dxa"/>
            <w:tcMar>
              <w:top w:w="38" w:type="dxa"/>
              <w:left w:w="38" w:type="dxa"/>
              <w:bottom w:w="38" w:type="dxa"/>
              <w:right w:w="38" w:type="dxa"/>
            </w:tcMar>
            <w:vAlign w:val="center"/>
            <w:hideMark/>
          </w:tcPr>
          <w:p w14:paraId="3A29C22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AД</w:t>
            </w:r>
          </w:p>
        </w:tc>
        <w:tc>
          <w:tcPr>
            <w:tcW w:w="3581" w:type="dxa"/>
            <w:tcMar>
              <w:top w:w="38" w:type="dxa"/>
              <w:left w:w="38" w:type="dxa"/>
              <w:bottom w:w="38" w:type="dxa"/>
              <w:right w:w="38" w:type="dxa"/>
            </w:tcMar>
            <w:vAlign w:val="center"/>
            <w:hideMark/>
          </w:tcPr>
          <w:p w14:paraId="6F097C86"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CACNA1A, </w:t>
            </w:r>
            <w:r w:rsidRPr="00AE47C6">
              <w:rPr>
                <w:rFonts w:ascii="Times New Roman" w:eastAsia="SimSun" w:hAnsi="Times New Roman"/>
                <w:i/>
                <w:iCs/>
                <w:sz w:val="24"/>
                <w:szCs w:val="24"/>
              </w:rPr>
              <w:t>GABRA1</w:t>
            </w:r>
            <w:r w:rsidRPr="00AE47C6">
              <w:rPr>
                <w:rFonts w:ascii="Times New Roman" w:eastAsia="SimSun" w:hAnsi="Times New Roman"/>
                <w:b/>
                <w:i/>
                <w:sz w:val="24"/>
                <w:szCs w:val="24"/>
              </w:rPr>
              <w:t>, </w:t>
            </w:r>
            <w:r w:rsidRPr="00AE47C6">
              <w:rPr>
                <w:rFonts w:ascii="Times New Roman" w:eastAsia="SimSun" w:hAnsi="Times New Roman"/>
                <w:i/>
                <w:iCs/>
                <w:sz w:val="24"/>
                <w:szCs w:val="24"/>
              </w:rPr>
              <w:t>GABRB3</w:t>
            </w:r>
            <w:r w:rsidRPr="00AE47C6">
              <w:rPr>
                <w:rFonts w:ascii="Times New Roman" w:eastAsia="SimSun" w:hAnsi="Times New Roman"/>
                <w:b/>
                <w:i/>
                <w:sz w:val="24"/>
                <w:szCs w:val="24"/>
              </w:rPr>
              <w:t>, </w:t>
            </w:r>
            <w:r w:rsidRPr="00AE47C6">
              <w:rPr>
                <w:rFonts w:ascii="Times New Roman" w:eastAsia="SimSun" w:hAnsi="Times New Roman"/>
                <w:i/>
                <w:iCs/>
                <w:sz w:val="24"/>
                <w:szCs w:val="24"/>
              </w:rPr>
              <w:t>KCNQ2</w:t>
            </w:r>
            <w:r w:rsidRPr="00AE47C6">
              <w:rPr>
                <w:rFonts w:ascii="Times New Roman" w:eastAsia="SimSun" w:hAnsi="Times New Roman"/>
                <w:b/>
                <w:i/>
                <w:sz w:val="24"/>
                <w:szCs w:val="24"/>
              </w:rPr>
              <w:t xml:space="preserve">, </w:t>
            </w:r>
            <w:r w:rsidRPr="00AE47C6">
              <w:rPr>
                <w:rFonts w:ascii="Times New Roman" w:eastAsia="SimSun" w:hAnsi="Times New Roman"/>
                <w:i/>
                <w:iCs/>
                <w:sz w:val="24"/>
                <w:szCs w:val="24"/>
              </w:rPr>
              <w:t>KCNT1</w:t>
            </w:r>
            <w:r w:rsidRPr="00AE47C6">
              <w:rPr>
                <w:rFonts w:ascii="Times New Roman" w:eastAsia="SimSun" w:hAnsi="Times New Roman"/>
                <w:b/>
                <w:i/>
                <w:sz w:val="24"/>
                <w:szCs w:val="24"/>
              </w:rPr>
              <w:t>, </w:t>
            </w:r>
            <w:r w:rsidRPr="00AE47C6">
              <w:rPr>
                <w:rFonts w:ascii="Times New Roman" w:eastAsia="SimSun" w:hAnsi="Times New Roman"/>
                <w:i/>
                <w:iCs/>
                <w:sz w:val="24"/>
                <w:szCs w:val="24"/>
              </w:rPr>
              <w:t>SCN2A</w:t>
            </w:r>
            <w:r w:rsidRPr="00AE47C6">
              <w:rPr>
                <w:rFonts w:ascii="Times New Roman" w:eastAsia="SimSun" w:hAnsi="Times New Roman"/>
                <w:b/>
                <w:i/>
                <w:sz w:val="24"/>
                <w:szCs w:val="24"/>
              </w:rPr>
              <w:t>, </w:t>
            </w:r>
            <w:r w:rsidRPr="00AE47C6">
              <w:rPr>
                <w:rFonts w:ascii="Times New Roman" w:eastAsia="SimSun" w:hAnsi="Times New Roman"/>
                <w:i/>
                <w:iCs/>
                <w:sz w:val="24"/>
                <w:szCs w:val="24"/>
              </w:rPr>
              <w:t>SCN8A</w:t>
            </w:r>
          </w:p>
        </w:tc>
      </w:tr>
      <w:tr w:rsidR="00BE0B19" w:rsidRPr="00AE47C6" w14:paraId="35EC13F9" w14:textId="77777777" w:rsidTr="00AD72E5">
        <w:tc>
          <w:tcPr>
            <w:tcW w:w="4574" w:type="dxa"/>
            <w:vMerge/>
            <w:vAlign w:val="center"/>
            <w:hideMark/>
          </w:tcPr>
          <w:p w14:paraId="0E9FD884" w14:textId="77777777" w:rsidR="00BE0B19" w:rsidRPr="00AE47C6" w:rsidRDefault="00BE0B19" w:rsidP="00BE0B19">
            <w:pPr>
              <w:spacing w:after="0" w:line="360" w:lineRule="auto"/>
              <w:jc w:val="both"/>
              <w:rPr>
                <w:rFonts w:ascii="Times New Roman" w:eastAsia="SimSun" w:hAnsi="Times New Roman"/>
                <w:sz w:val="24"/>
                <w:szCs w:val="24"/>
              </w:rPr>
            </w:pPr>
          </w:p>
        </w:tc>
        <w:tc>
          <w:tcPr>
            <w:tcW w:w="993" w:type="dxa"/>
            <w:tcMar>
              <w:top w:w="38" w:type="dxa"/>
              <w:left w:w="38" w:type="dxa"/>
              <w:bottom w:w="38" w:type="dxa"/>
              <w:right w:w="38" w:type="dxa"/>
            </w:tcMar>
            <w:vAlign w:val="center"/>
            <w:hideMark/>
          </w:tcPr>
          <w:p w14:paraId="2541ECC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AР</w:t>
            </w:r>
          </w:p>
        </w:tc>
        <w:tc>
          <w:tcPr>
            <w:tcW w:w="3581" w:type="dxa"/>
            <w:tcMar>
              <w:top w:w="38" w:type="dxa"/>
              <w:left w:w="38" w:type="dxa"/>
              <w:bottom w:w="38" w:type="dxa"/>
              <w:right w:w="38" w:type="dxa"/>
            </w:tcMar>
            <w:vAlign w:val="center"/>
            <w:hideMark/>
          </w:tcPr>
          <w:p w14:paraId="6D24C024"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AARS, ARV1, DOCK7, FRRS1L, GUF1, ITPA, NECAP1, PLCB1, </w:t>
            </w:r>
            <w:r w:rsidRPr="00AE47C6">
              <w:rPr>
                <w:rFonts w:ascii="Times New Roman" w:eastAsia="SimSun" w:hAnsi="Times New Roman"/>
                <w:i/>
                <w:iCs/>
                <w:sz w:val="24"/>
                <w:szCs w:val="24"/>
              </w:rPr>
              <w:t>SLC12A5</w:t>
            </w:r>
            <w:r w:rsidRPr="00AE47C6">
              <w:rPr>
                <w:rFonts w:ascii="Times New Roman" w:eastAsia="SimSun" w:hAnsi="Times New Roman"/>
                <w:b/>
                <w:i/>
                <w:sz w:val="24"/>
                <w:szCs w:val="24"/>
              </w:rPr>
              <w:t>, </w:t>
            </w:r>
            <w:r w:rsidRPr="00AE47C6">
              <w:rPr>
                <w:rFonts w:ascii="Times New Roman" w:eastAsia="SimSun" w:hAnsi="Times New Roman"/>
                <w:i/>
                <w:sz w:val="24"/>
                <w:szCs w:val="24"/>
              </w:rPr>
              <w:t>SLC13A5, SLC25A12, SLC25A2</w:t>
            </w:r>
            <w:r w:rsidRPr="00AE47C6">
              <w:rPr>
                <w:rFonts w:ascii="Times New Roman" w:eastAsia="SimSun" w:hAnsi="Times New Roman"/>
                <w:b/>
                <w:i/>
                <w:sz w:val="24"/>
                <w:szCs w:val="24"/>
              </w:rPr>
              <w:t>2</w:t>
            </w:r>
            <w:r w:rsidRPr="00AE47C6">
              <w:rPr>
                <w:rFonts w:ascii="Times New Roman" w:eastAsia="SimSun" w:hAnsi="Times New Roman"/>
                <w:i/>
                <w:sz w:val="24"/>
                <w:szCs w:val="24"/>
              </w:rPr>
              <w:t>, ST3GAL3, SZT2, </w:t>
            </w:r>
            <w:r w:rsidRPr="00AE47C6">
              <w:rPr>
                <w:rFonts w:ascii="Times New Roman" w:eastAsia="SimSun" w:hAnsi="Times New Roman"/>
                <w:bCs/>
                <w:i/>
                <w:sz w:val="24"/>
                <w:szCs w:val="24"/>
              </w:rPr>
              <w:t>TBC1D24</w:t>
            </w:r>
            <w:r w:rsidRPr="00AE47C6">
              <w:rPr>
                <w:rFonts w:ascii="Times New Roman" w:eastAsia="SimSun" w:hAnsi="Times New Roman"/>
                <w:i/>
                <w:sz w:val="24"/>
                <w:szCs w:val="24"/>
              </w:rPr>
              <w:t>, WWOX</w:t>
            </w:r>
          </w:p>
        </w:tc>
      </w:tr>
      <w:tr w:rsidR="00BE0B19" w:rsidRPr="00AE47C6" w14:paraId="3AFC603E" w14:textId="77777777" w:rsidTr="00AD72E5">
        <w:tc>
          <w:tcPr>
            <w:tcW w:w="4574" w:type="dxa"/>
            <w:vMerge/>
            <w:vAlign w:val="center"/>
            <w:hideMark/>
          </w:tcPr>
          <w:p w14:paraId="3CC70AB4" w14:textId="77777777" w:rsidR="00BE0B19" w:rsidRPr="00AE47C6" w:rsidRDefault="00BE0B19" w:rsidP="00BE0B19">
            <w:pPr>
              <w:spacing w:after="0" w:line="360" w:lineRule="auto"/>
              <w:jc w:val="both"/>
              <w:rPr>
                <w:rFonts w:ascii="Times New Roman" w:eastAsia="SimSun" w:hAnsi="Times New Roman"/>
                <w:sz w:val="24"/>
                <w:szCs w:val="24"/>
              </w:rPr>
            </w:pPr>
          </w:p>
        </w:tc>
        <w:tc>
          <w:tcPr>
            <w:tcW w:w="993" w:type="dxa"/>
            <w:tcMar>
              <w:top w:w="38" w:type="dxa"/>
              <w:left w:w="38" w:type="dxa"/>
              <w:bottom w:w="38" w:type="dxa"/>
              <w:right w:w="38" w:type="dxa"/>
            </w:tcMar>
            <w:vAlign w:val="center"/>
            <w:hideMark/>
          </w:tcPr>
          <w:p w14:paraId="3AF26DA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X-свързано, Д</w:t>
            </w:r>
          </w:p>
        </w:tc>
        <w:tc>
          <w:tcPr>
            <w:tcW w:w="3581" w:type="dxa"/>
            <w:tcMar>
              <w:top w:w="38" w:type="dxa"/>
              <w:left w:w="38" w:type="dxa"/>
              <w:bottom w:w="38" w:type="dxa"/>
              <w:right w:w="38" w:type="dxa"/>
            </w:tcMar>
            <w:vAlign w:val="center"/>
            <w:hideMark/>
          </w:tcPr>
          <w:p w14:paraId="0165D72C"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CDKL5</w:t>
            </w:r>
          </w:p>
        </w:tc>
      </w:tr>
      <w:tr w:rsidR="00BE0B19" w:rsidRPr="00AE47C6" w14:paraId="314FC4A0" w14:textId="77777777" w:rsidTr="00AD72E5">
        <w:tc>
          <w:tcPr>
            <w:tcW w:w="4574" w:type="dxa"/>
            <w:vMerge/>
            <w:vAlign w:val="center"/>
            <w:hideMark/>
          </w:tcPr>
          <w:p w14:paraId="7F04F945" w14:textId="77777777" w:rsidR="00BE0B19" w:rsidRPr="00AE47C6" w:rsidRDefault="00BE0B19" w:rsidP="00BE0B19">
            <w:pPr>
              <w:spacing w:after="0" w:line="360" w:lineRule="auto"/>
              <w:jc w:val="both"/>
              <w:rPr>
                <w:rFonts w:ascii="Times New Roman" w:eastAsia="SimSun" w:hAnsi="Times New Roman"/>
                <w:sz w:val="24"/>
                <w:szCs w:val="24"/>
              </w:rPr>
            </w:pPr>
          </w:p>
        </w:tc>
        <w:tc>
          <w:tcPr>
            <w:tcW w:w="993" w:type="dxa"/>
            <w:tcMar>
              <w:top w:w="38" w:type="dxa"/>
              <w:left w:w="38" w:type="dxa"/>
              <w:bottom w:w="38" w:type="dxa"/>
              <w:right w:w="38" w:type="dxa"/>
            </w:tcMar>
            <w:vAlign w:val="center"/>
            <w:hideMark/>
          </w:tcPr>
          <w:p w14:paraId="7CDBD40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X-свързано, Р</w:t>
            </w:r>
          </w:p>
        </w:tc>
        <w:tc>
          <w:tcPr>
            <w:tcW w:w="3581" w:type="dxa"/>
            <w:tcMar>
              <w:top w:w="38" w:type="dxa"/>
              <w:left w:w="38" w:type="dxa"/>
              <w:bottom w:w="38" w:type="dxa"/>
              <w:right w:w="38" w:type="dxa"/>
            </w:tcMar>
            <w:vAlign w:val="center"/>
            <w:hideMark/>
          </w:tcPr>
          <w:p w14:paraId="1863375E"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ARHGEF9</w:t>
            </w:r>
          </w:p>
        </w:tc>
      </w:tr>
      <w:tr w:rsidR="00BE0B19" w:rsidRPr="00AE47C6" w14:paraId="5E903552" w14:textId="77777777" w:rsidTr="00AD72E5">
        <w:tc>
          <w:tcPr>
            <w:tcW w:w="4574" w:type="dxa"/>
            <w:vMerge/>
            <w:vAlign w:val="center"/>
            <w:hideMark/>
          </w:tcPr>
          <w:p w14:paraId="5C36FFCC" w14:textId="77777777" w:rsidR="00BE0B19" w:rsidRPr="00AE47C6" w:rsidRDefault="00BE0B19" w:rsidP="00BE0B19">
            <w:pPr>
              <w:spacing w:after="0" w:line="360" w:lineRule="auto"/>
              <w:jc w:val="both"/>
              <w:rPr>
                <w:rFonts w:ascii="Times New Roman" w:eastAsia="SimSun" w:hAnsi="Times New Roman"/>
                <w:sz w:val="24"/>
                <w:szCs w:val="24"/>
              </w:rPr>
            </w:pPr>
          </w:p>
        </w:tc>
        <w:tc>
          <w:tcPr>
            <w:tcW w:w="993" w:type="dxa"/>
            <w:tcMar>
              <w:top w:w="38" w:type="dxa"/>
              <w:left w:w="38" w:type="dxa"/>
              <w:bottom w:w="38" w:type="dxa"/>
              <w:right w:w="38" w:type="dxa"/>
            </w:tcMar>
            <w:vAlign w:val="center"/>
            <w:hideMark/>
          </w:tcPr>
          <w:p w14:paraId="45000E8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X</w:t>
            </w:r>
          </w:p>
        </w:tc>
        <w:tc>
          <w:tcPr>
            <w:tcW w:w="3581" w:type="dxa"/>
            <w:tcMar>
              <w:top w:w="38" w:type="dxa"/>
              <w:left w:w="38" w:type="dxa"/>
              <w:bottom w:w="38" w:type="dxa"/>
              <w:right w:w="38" w:type="dxa"/>
            </w:tcMar>
            <w:vAlign w:val="center"/>
            <w:hideMark/>
          </w:tcPr>
          <w:p w14:paraId="2E3912BA"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ALG13, PCDH19</w:t>
            </w:r>
          </w:p>
        </w:tc>
      </w:tr>
      <w:tr w:rsidR="00BE0B19" w:rsidRPr="00AE47C6" w14:paraId="7ABC6D0C" w14:textId="77777777" w:rsidTr="00AD72E5">
        <w:tc>
          <w:tcPr>
            <w:tcW w:w="4574" w:type="dxa"/>
            <w:vMerge/>
            <w:vAlign w:val="center"/>
            <w:hideMark/>
          </w:tcPr>
          <w:p w14:paraId="5D5A7D21" w14:textId="77777777" w:rsidR="00BE0B19" w:rsidRPr="00AE47C6" w:rsidRDefault="00BE0B19" w:rsidP="00BE0B19">
            <w:pPr>
              <w:spacing w:after="0" w:line="360" w:lineRule="auto"/>
              <w:jc w:val="both"/>
              <w:rPr>
                <w:rFonts w:ascii="Times New Roman" w:eastAsia="SimSun" w:hAnsi="Times New Roman"/>
                <w:sz w:val="24"/>
                <w:szCs w:val="24"/>
              </w:rPr>
            </w:pPr>
          </w:p>
        </w:tc>
        <w:tc>
          <w:tcPr>
            <w:tcW w:w="993" w:type="dxa"/>
            <w:tcMar>
              <w:top w:w="38" w:type="dxa"/>
              <w:left w:w="38" w:type="dxa"/>
              <w:bottom w:w="38" w:type="dxa"/>
              <w:right w:w="38" w:type="dxa"/>
            </w:tcMar>
            <w:vAlign w:val="center"/>
            <w:hideMark/>
          </w:tcPr>
          <w:p w14:paraId="737F3BD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неизвестна</w:t>
            </w:r>
          </w:p>
        </w:tc>
        <w:tc>
          <w:tcPr>
            <w:tcW w:w="3581" w:type="dxa"/>
            <w:tcMar>
              <w:top w:w="38" w:type="dxa"/>
              <w:left w:w="38" w:type="dxa"/>
              <w:bottom w:w="38" w:type="dxa"/>
              <w:right w:w="38" w:type="dxa"/>
            </w:tcMar>
            <w:vAlign w:val="center"/>
            <w:hideMark/>
          </w:tcPr>
          <w:p w14:paraId="7328AE87"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DNM1, EEF1A2, FGF12, GABRB1, GNAO1, GRIN2B, GRIN2D, HCN1, KCNA2, KCNB1, SIK1, SLC1A2, SPTAN1, STXBP1, UBA5</w:t>
            </w:r>
          </w:p>
        </w:tc>
      </w:tr>
      <w:tr w:rsidR="00BE0B19" w:rsidRPr="00AE47C6" w14:paraId="5380B9B6" w14:textId="77777777" w:rsidTr="00AD72E5">
        <w:tc>
          <w:tcPr>
            <w:tcW w:w="4574" w:type="dxa"/>
            <w:tcMar>
              <w:top w:w="38" w:type="dxa"/>
              <w:left w:w="38" w:type="dxa"/>
              <w:bottom w:w="38" w:type="dxa"/>
              <w:right w:w="38" w:type="dxa"/>
            </w:tcMar>
            <w:vAlign w:val="center"/>
            <w:hideMark/>
          </w:tcPr>
          <w:p w14:paraId="29B056E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Синдром на Dravet (DS, SMEI)</w:t>
            </w:r>
          </w:p>
        </w:tc>
        <w:tc>
          <w:tcPr>
            <w:tcW w:w="993" w:type="dxa"/>
            <w:tcMar>
              <w:top w:w="38" w:type="dxa"/>
              <w:left w:w="38" w:type="dxa"/>
              <w:bottom w:w="38" w:type="dxa"/>
              <w:right w:w="38" w:type="dxa"/>
            </w:tcMar>
            <w:vAlign w:val="center"/>
            <w:hideMark/>
          </w:tcPr>
          <w:p w14:paraId="6D01B06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AР</w:t>
            </w:r>
          </w:p>
        </w:tc>
        <w:tc>
          <w:tcPr>
            <w:tcW w:w="3581" w:type="dxa"/>
            <w:tcMar>
              <w:top w:w="38" w:type="dxa"/>
              <w:left w:w="38" w:type="dxa"/>
              <w:bottom w:w="38" w:type="dxa"/>
              <w:right w:w="38" w:type="dxa"/>
            </w:tcMar>
            <w:vAlign w:val="center"/>
            <w:hideMark/>
          </w:tcPr>
          <w:p w14:paraId="74D9683C"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bCs/>
                <w:i/>
                <w:sz w:val="24"/>
                <w:szCs w:val="24"/>
              </w:rPr>
              <w:t>SCN1A</w:t>
            </w:r>
            <w:r w:rsidRPr="00AE47C6">
              <w:rPr>
                <w:rFonts w:ascii="Times New Roman" w:eastAsia="SimSun" w:hAnsi="Times New Roman"/>
                <w:i/>
                <w:sz w:val="24"/>
                <w:szCs w:val="24"/>
              </w:rPr>
              <w:t>, </w:t>
            </w:r>
            <w:r w:rsidRPr="00AE47C6">
              <w:rPr>
                <w:rFonts w:ascii="Times New Roman" w:eastAsia="SimSun" w:hAnsi="Times New Roman"/>
                <w:bCs/>
                <w:i/>
                <w:sz w:val="24"/>
                <w:szCs w:val="24"/>
              </w:rPr>
              <w:t>SCN9A</w:t>
            </w:r>
          </w:p>
        </w:tc>
      </w:tr>
      <w:tr w:rsidR="00BE0B19" w:rsidRPr="00AE47C6" w14:paraId="20624C63" w14:textId="77777777" w:rsidTr="00AD72E5">
        <w:tc>
          <w:tcPr>
            <w:tcW w:w="4574" w:type="dxa"/>
            <w:vMerge w:val="restart"/>
            <w:tcMar>
              <w:top w:w="38" w:type="dxa"/>
              <w:left w:w="38" w:type="dxa"/>
              <w:bottom w:w="38" w:type="dxa"/>
              <w:right w:w="38" w:type="dxa"/>
            </w:tcMar>
            <w:vAlign w:val="center"/>
            <w:hideMark/>
          </w:tcPr>
          <w:p w14:paraId="0C6154F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Фамилни фебрилни гърчове (FFS)</w:t>
            </w:r>
          </w:p>
        </w:tc>
        <w:tc>
          <w:tcPr>
            <w:tcW w:w="993" w:type="dxa"/>
            <w:tcMar>
              <w:top w:w="38" w:type="dxa"/>
              <w:left w:w="38" w:type="dxa"/>
              <w:bottom w:w="38" w:type="dxa"/>
              <w:right w:w="38" w:type="dxa"/>
            </w:tcMar>
            <w:vAlign w:val="center"/>
            <w:hideMark/>
          </w:tcPr>
          <w:p w14:paraId="0D050CA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AД</w:t>
            </w:r>
          </w:p>
        </w:tc>
        <w:tc>
          <w:tcPr>
            <w:tcW w:w="3581" w:type="dxa"/>
            <w:tcMar>
              <w:top w:w="38" w:type="dxa"/>
              <w:left w:w="38" w:type="dxa"/>
              <w:bottom w:w="38" w:type="dxa"/>
              <w:right w:w="38" w:type="dxa"/>
            </w:tcMar>
            <w:vAlign w:val="center"/>
            <w:hideMark/>
          </w:tcPr>
          <w:p w14:paraId="15C4223D"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bCs/>
                <w:i/>
                <w:sz w:val="24"/>
                <w:szCs w:val="24"/>
              </w:rPr>
              <w:t>GABRG2</w:t>
            </w:r>
            <w:r w:rsidRPr="00AE47C6">
              <w:rPr>
                <w:rFonts w:ascii="Times New Roman" w:eastAsia="SimSun" w:hAnsi="Times New Roman"/>
                <w:i/>
                <w:sz w:val="24"/>
                <w:szCs w:val="24"/>
              </w:rPr>
              <w:t>, GPR98, </w:t>
            </w:r>
            <w:r w:rsidRPr="00AE47C6">
              <w:rPr>
                <w:rFonts w:ascii="Times New Roman" w:eastAsia="SimSun" w:hAnsi="Times New Roman"/>
                <w:i/>
                <w:iCs/>
                <w:sz w:val="24"/>
                <w:szCs w:val="24"/>
              </w:rPr>
              <w:t>SCN1A</w:t>
            </w:r>
            <w:r w:rsidRPr="00AE47C6">
              <w:rPr>
                <w:rFonts w:ascii="Times New Roman" w:eastAsia="SimSun" w:hAnsi="Times New Roman"/>
                <w:b/>
                <w:i/>
                <w:sz w:val="24"/>
                <w:szCs w:val="24"/>
              </w:rPr>
              <w:t>,</w:t>
            </w:r>
            <w:r w:rsidRPr="00AE47C6">
              <w:rPr>
                <w:rFonts w:ascii="Times New Roman" w:eastAsia="SimSun" w:hAnsi="Times New Roman"/>
                <w:i/>
                <w:sz w:val="24"/>
                <w:szCs w:val="24"/>
              </w:rPr>
              <w:t> </w:t>
            </w:r>
            <w:r w:rsidRPr="00AE47C6">
              <w:rPr>
                <w:rFonts w:ascii="Times New Roman" w:eastAsia="SimSun" w:hAnsi="Times New Roman"/>
                <w:bCs/>
                <w:i/>
                <w:sz w:val="24"/>
                <w:szCs w:val="24"/>
              </w:rPr>
              <w:t>SCN9A</w:t>
            </w:r>
          </w:p>
        </w:tc>
      </w:tr>
      <w:tr w:rsidR="00BE0B19" w:rsidRPr="00AE47C6" w14:paraId="1EA9803F" w14:textId="77777777" w:rsidTr="00AD72E5">
        <w:tc>
          <w:tcPr>
            <w:tcW w:w="4574" w:type="dxa"/>
            <w:vMerge/>
            <w:vAlign w:val="center"/>
            <w:hideMark/>
          </w:tcPr>
          <w:p w14:paraId="76193DB7" w14:textId="77777777" w:rsidR="00BE0B19" w:rsidRPr="00AE47C6" w:rsidRDefault="00BE0B19" w:rsidP="00BE0B19">
            <w:pPr>
              <w:spacing w:after="0" w:line="360" w:lineRule="auto"/>
              <w:jc w:val="both"/>
              <w:rPr>
                <w:rFonts w:ascii="Times New Roman" w:eastAsia="SimSun" w:hAnsi="Times New Roman"/>
                <w:sz w:val="24"/>
                <w:szCs w:val="24"/>
              </w:rPr>
            </w:pPr>
          </w:p>
        </w:tc>
        <w:tc>
          <w:tcPr>
            <w:tcW w:w="993" w:type="dxa"/>
            <w:tcMar>
              <w:top w:w="38" w:type="dxa"/>
              <w:left w:w="38" w:type="dxa"/>
              <w:bottom w:w="38" w:type="dxa"/>
              <w:right w:w="38" w:type="dxa"/>
            </w:tcMar>
            <w:vAlign w:val="center"/>
            <w:hideMark/>
          </w:tcPr>
          <w:p w14:paraId="416187D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AР</w:t>
            </w:r>
          </w:p>
        </w:tc>
        <w:tc>
          <w:tcPr>
            <w:tcW w:w="3581" w:type="dxa"/>
            <w:tcMar>
              <w:top w:w="38" w:type="dxa"/>
              <w:left w:w="38" w:type="dxa"/>
              <w:bottom w:w="38" w:type="dxa"/>
              <w:right w:w="38" w:type="dxa"/>
            </w:tcMar>
            <w:vAlign w:val="center"/>
            <w:hideMark/>
          </w:tcPr>
          <w:p w14:paraId="55A46452"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bCs/>
                <w:i/>
                <w:sz w:val="24"/>
                <w:szCs w:val="24"/>
              </w:rPr>
              <w:t>CPA6</w:t>
            </w:r>
          </w:p>
        </w:tc>
      </w:tr>
      <w:tr w:rsidR="00BE0B19" w:rsidRPr="00AE47C6" w14:paraId="2EB17FA6" w14:textId="77777777" w:rsidTr="00AD72E5">
        <w:tc>
          <w:tcPr>
            <w:tcW w:w="4574" w:type="dxa"/>
            <w:tcMar>
              <w:top w:w="38" w:type="dxa"/>
              <w:left w:w="38" w:type="dxa"/>
              <w:bottom w:w="38" w:type="dxa"/>
              <w:right w:w="38" w:type="dxa"/>
            </w:tcMar>
            <w:vAlign w:val="center"/>
            <w:hideMark/>
          </w:tcPr>
          <w:p w14:paraId="67A9BE4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Генерализирана (генетична) епилепсия с фебрилни гърчове плюс (GEFS + )</w:t>
            </w:r>
          </w:p>
        </w:tc>
        <w:tc>
          <w:tcPr>
            <w:tcW w:w="993" w:type="dxa"/>
            <w:tcMar>
              <w:top w:w="38" w:type="dxa"/>
              <w:left w:w="38" w:type="dxa"/>
              <w:bottom w:w="38" w:type="dxa"/>
              <w:right w:w="38" w:type="dxa"/>
            </w:tcMar>
            <w:vAlign w:val="center"/>
            <w:hideMark/>
          </w:tcPr>
          <w:p w14:paraId="75F5E8B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AР</w:t>
            </w:r>
          </w:p>
        </w:tc>
        <w:tc>
          <w:tcPr>
            <w:tcW w:w="3581" w:type="dxa"/>
            <w:tcMar>
              <w:top w:w="38" w:type="dxa"/>
              <w:left w:w="38" w:type="dxa"/>
              <w:bottom w:w="38" w:type="dxa"/>
              <w:right w:w="38" w:type="dxa"/>
            </w:tcMar>
            <w:vAlign w:val="center"/>
            <w:hideMark/>
          </w:tcPr>
          <w:p w14:paraId="75ED610F"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bCs/>
                <w:i/>
                <w:sz w:val="24"/>
                <w:szCs w:val="24"/>
              </w:rPr>
              <w:t>GABRD</w:t>
            </w:r>
            <w:r w:rsidRPr="00AE47C6">
              <w:rPr>
                <w:rFonts w:ascii="Times New Roman" w:eastAsia="SimSun" w:hAnsi="Times New Roman"/>
                <w:i/>
                <w:sz w:val="24"/>
                <w:szCs w:val="24"/>
              </w:rPr>
              <w:t>, </w:t>
            </w:r>
            <w:r w:rsidRPr="00AE47C6">
              <w:rPr>
                <w:rFonts w:ascii="Times New Roman" w:eastAsia="SimSun" w:hAnsi="Times New Roman"/>
                <w:bCs/>
                <w:i/>
                <w:sz w:val="24"/>
                <w:szCs w:val="24"/>
              </w:rPr>
              <w:t>GABRG2</w:t>
            </w:r>
            <w:r w:rsidRPr="00AE47C6">
              <w:rPr>
                <w:rFonts w:ascii="Times New Roman" w:eastAsia="SimSun" w:hAnsi="Times New Roman"/>
                <w:i/>
                <w:sz w:val="24"/>
                <w:szCs w:val="24"/>
              </w:rPr>
              <w:t>, </w:t>
            </w:r>
            <w:r w:rsidRPr="00AE47C6">
              <w:rPr>
                <w:rFonts w:ascii="Times New Roman" w:eastAsia="SimSun" w:hAnsi="Times New Roman"/>
                <w:bCs/>
                <w:i/>
                <w:sz w:val="24"/>
                <w:szCs w:val="24"/>
              </w:rPr>
              <w:t>SCN1A</w:t>
            </w:r>
            <w:r w:rsidRPr="00AE47C6">
              <w:rPr>
                <w:rFonts w:ascii="Times New Roman" w:eastAsia="SimSun" w:hAnsi="Times New Roman"/>
                <w:i/>
                <w:sz w:val="24"/>
                <w:szCs w:val="24"/>
              </w:rPr>
              <w:t>, SCN1B, </w:t>
            </w:r>
            <w:r w:rsidRPr="00AE47C6">
              <w:rPr>
                <w:rFonts w:ascii="Times New Roman" w:eastAsia="SimSun" w:hAnsi="Times New Roman"/>
                <w:bCs/>
                <w:i/>
                <w:sz w:val="24"/>
                <w:szCs w:val="24"/>
              </w:rPr>
              <w:t>SCN9A</w:t>
            </w:r>
            <w:r w:rsidRPr="00AE47C6">
              <w:rPr>
                <w:rFonts w:ascii="Times New Roman" w:eastAsia="SimSun" w:hAnsi="Times New Roman"/>
                <w:i/>
                <w:sz w:val="24"/>
                <w:szCs w:val="24"/>
              </w:rPr>
              <w:t>, STX1B</w:t>
            </w:r>
          </w:p>
        </w:tc>
      </w:tr>
      <w:tr w:rsidR="00BE0B19" w:rsidRPr="00AE47C6" w14:paraId="45303B00" w14:textId="77777777" w:rsidTr="00AD72E5">
        <w:tc>
          <w:tcPr>
            <w:tcW w:w="4574" w:type="dxa"/>
            <w:tcMar>
              <w:top w:w="38" w:type="dxa"/>
              <w:left w:w="38" w:type="dxa"/>
              <w:bottom w:w="38" w:type="dxa"/>
              <w:right w:w="38" w:type="dxa"/>
            </w:tcMar>
            <w:vAlign w:val="center"/>
            <w:hideMark/>
          </w:tcPr>
          <w:p w14:paraId="6A7ADF3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Генерализирана епилепсия и пароксизмална дизкинезия (GEPD)</w:t>
            </w:r>
          </w:p>
        </w:tc>
        <w:tc>
          <w:tcPr>
            <w:tcW w:w="993" w:type="dxa"/>
            <w:tcMar>
              <w:top w:w="38" w:type="dxa"/>
              <w:left w:w="38" w:type="dxa"/>
              <w:bottom w:w="38" w:type="dxa"/>
              <w:right w:w="38" w:type="dxa"/>
            </w:tcMar>
            <w:vAlign w:val="center"/>
            <w:hideMark/>
          </w:tcPr>
          <w:p w14:paraId="06D3227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AД</w:t>
            </w:r>
          </w:p>
        </w:tc>
        <w:tc>
          <w:tcPr>
            <w:tcW w:w="3581" w:type="dxa"/>
            <w:tcMar>
              <w:top w:w="38" w:type="dxa"/>
              <w:left w:w="38" w:type="dxa"/>
              <w:bottom w:w="38" w:type="dxa"/>
              <w:right w:w="38" w:type="dxa"/>
            </w:tcMar>
            <w:vAlign w:val="center"/>
            <w:hideMark/>
          </w:tcPr>
          <w:p w14:paraId="6CDF14DC"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KCNMA1</w:t>
            </w:r>
          </w:p>
        </w:tc>
      </w:tr>
      <w:tr w:rsidR="00BE0B19" w:rsidRPr="00AE47C6" w14:paraId="3579A64A" w14:textId="77777777" w:rsidTr="00AD72E5">
        <w:tc>
          <w:tcPr>
            <w:tcW w:w="4574" w:type="dxa"/>
            <w:tcMar>
              <w:top w:w="38" w:type="dxa"/>
              <w:left w:w="38" w:type="dxa"/>
              <w:bottom w:w="38" w:type="dxa"/>
              <w:right w:w="38" w:type="dxa"/>
            </w:tcMar>
            <w:vAlign w:val="center"/>
            <w:hideMark/>
          </w:tcPr>
          <w:p w14:paraId="66544B3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Миоклонично-астатична епилепсия (MAE)</w:t>
            </w:r>
          </w:p>
        </w:tc>
        <w:tc>
          <w:tcPr>
            <w:tcW w:w="993" w:type="dxa"/>
            <w:tcMar>
              <w:top w:w="38" w:type="dxa"/>
              <w:left w:w="38" w:type="dxa"/>
              <w:bottom w:w="38" w:type="dxa"/>
              <w:right w:w="38" w:type="dxa"/>
            </w:tcMar>
            <w:vAlign w:val="center"/>
            <w:hideMark/>
          </w:tcPr>
          <w:p w14:paraId="4AD72DA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AД</w:t>
            </w:r>
          </w:p>
        </w:tc>
        <w:tc>
          <w:tcPr>
            <w:tcW w:w="3581" w:type="dxa"/>
            <w:tcMar>
              <w:top w:w="38" w:type="dxa"/>
              <w:left w:w="38" w:type="dxa"/>
              <w:bottom w:w="38" w:type="dxa"/>
              <w:right w:w="38" w:type="dxa"/>
            </w:tcMar>
            <w:vAlign w:val="center"/>
            <w:hideMark/>
          </w:tcPr>
          <w:p w14:paraId="3BFEB52F"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SLC6A1</w:t>
            </w:r>
          </w:p>
        </w:tc>
      </w:tr>
      <w:tr w:rsidR="00BE0B19" w:rsidRPr="00AE47C6" w14:paraId="7DCA1D94" w14:textId="77777777" w:rsidTr="00AD72E5">
        <w:tc>
          <w:tcPr>
            <w:tcW w:w="4574" w:type="dxa"/>
            <w:tcMar>
              <w:top w:w="38" w:type="dxa"/>
              <w:left w:w="38" w:type="dxa"/>
              <w:bottom w:w="38" w:type="dxa"/>
              <w:right w:w="38" w:type="dxa"/>
            </w:tcMar>
            <w:vAlign w:val="center"/>
            <w:hideMark/>
          </w:tcPr>
          <w:p w14:paraId="16ED330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Епилептична енцефалопатия с начало в детската възраст (COEE)</w:t>
            </w:r>
          </w:p>
        </w:tc>
        <w:tc>
          <w:tcPr>
            <w:tcW w:w="993" w:type="dxa"/>
            <w:tcMar>
              <w:top w:w="38" w:type="dxa"/>
              <w:left w:w="38" w:type="dxa"/>
              <w:bottom w:w="38" w:type="dxa"/>
              <w:right w:w="38" w:type="dxa"/>
            </w:tcMar>
            <w:vAlign w:val="center"/>
            <w:hideMark/>
          </w:tcPr>
          <w:p w14:paraId="24CBA50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AД</w:t>
            </w:r>
          </w:p>
        </w:tc>
        <w:tc>
          <w:tcPr>
            <w:tcW w:w="3581" w:type="dxa"/>
            <w:tcMar>
              <w:top w:w="38" w:type="dxa"/>
              <w:left w:w="38" w:type="dxa"/>
              <w:bottom w:w="38" w:type="dxa"/>
              <w:right w:w="38" w:type="dxa"/>
            </w:tcMar>
            <w:vAlign w:val="center"/>
            <w:hideMark/>
          </w:tcPr>
          <w:p w14:paraId="3387DA2F"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CHD2</w:t>
            </w:r>
          </w:p>
        </w:tc>
      </w:tr>
      <w:tr w:rsidR="00BE0B19" w:rsidRPr="00AE47C6" w14:paraId="1FFA7378" w14:textId="77777777" w:rsidTr="00AD72E5">
        <w:tc>
          <w:tcPr>
            <w:tcW w:w="4574" w:type="dxa"/>
            <w:tcMar>
              <w:top w:w="38" w:type="dxa"/>
              <w:left w:w="38" w:type="dxa"/>
              <w:bottom w:w="38" w:type="dxa"/>
              <w:right w:w="38" w:type="dxa"/>
            </w:tcMar>
            <w:vAlign w:val="center"/>
            <w:hideMark/>
          </w:tcPr>
          <w:p w14:paraId="4DDDB52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Фокална епилепсия с разстройства в речта (FESD) със или без умствена изостаналост</w:t>
            </w:r>
          </w:p>
        </w:tc>
        <w:tc>
          <w:tcPr>
            <w:tcW w:w="993" w:type="dxa"/>
            <w:tcMar>
              <w:top w:w="38" w:type="dxa"/>
              <w:left w:w="38" w:type="dxa"/>
              <w:bottom w:w="38" w:type="dxa"/>
              <w:right w:w="38" w:type="dxa"/>
            </w:tcMar>
            <w:vAlign w:val="center"/>
            <w:hideMark/>
          </w:tcPr>
          <w:p w14:paraId="4D7C1CF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AД</w:t>
            </w:r>
          </w:p>
        </w:tc>
        <w:tc>
          <w:tcPr>
            <w:tcW w:w="3581" w:type="dxa"/>
            <w:tcMar>
              <w:top w:w="38" w:type="dxa"/>
              <w:left w:w="38" w:type="dxa"/>
              <w:bottom w:w="38" w:type="dxa"/>
              <w:right w:w="38" w:type="dxa"/>
            </w:tcMar>
            <w:vAlign w:val="center"/>
            <w:hideMark/>
          </w:tcPr>
          <w:p w14:paraId="2D6F4017"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GRIN2A</w:t>
            </w:r>
          </w:p>
        </w:tc>
      </w:tr>
      <w:tr w:rsidR="00BE0B19" w:rsidRPr="00AE47C6" w14:paraId="4E3341C0" w14:textId="77777777" w:rsidTr="00AD72E5">
        <w:tc>
          <w:tcPr>
            <w:tcW w:w="4574" w:type="dxa"/>
            <w:vMerge w:val="restart"/>
            <w:tcMar>
              <w:top w:w="38" w:type="dxa"/>
              <w:left w:w="38" w:type="dxa"/>
              <w:bottom w:w="38" w:type="dxa"/>
              <w:right w:w="38" w:type="dxa"/>
            </w:tcMar>
            <w:vAlign w:val="center"/>
            <w:hideMark/>
          </w:tcPr>
          <w:p w14:paraId="662C968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Childhood absence epilepsy (CAE)</w:t>
            </w:r>
          </w:p>
        </w:tc>
        <w:tc>
          <w:tcPr>
            <w:tcW w:w="993" w:type="dxa"/>
            <w:tcMar>
              <w:top w:w="38" w:type="dxa"/>
              <w:left w:w="38" w:type="dxa"/>
              <w:bottom w:w="38" w:type="dxa"/>
              <w:right w:w="38" w:type="dxa"/>
            </w:tcMar>
            <w:vAlign w:val="center"/>
            <w:hideMark/>
          </w:tcPr>
          <w:p w14:paraId="57970A3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AД</w:t>
            </w:r>
          </w:p>
        </w:tc>
        <w:tc>
          <w:tcPr>
            <w:tcW w:w="3581" w:type="dxa"/>
            <w:tcMar>
              <w:top w:w="38" w:type="dxa"/>
              <w:left w:w="38" w:type="dxa"/>
              <w:bottom w:w="38" w:type="dxa"/>
              <w:right w:w="38" w:type="dxa"/>
            </w:tcMar>
            <w:vAlign w:val="center"/>
            <w:hideMark/>
          </w:tcPr>
          <w:p w14:paraId="586FA5AA"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bCs/>
                <w:i/>
                <w:sz w:val="24"/>
                <w:szCs w:val="24"/>
              </w:rPr>
              <w:t>GABRG2</w:t>
            </w:r>
          </w:p>
        </w:tc>
      </w:tr>
      <w:tr w:rsidR="00BE0B19" w:rsidRPr="00AE47C6" w14:paraId="2302E435" w14:textId="77777777" w:rsidTr="00AD72E5">
        <w:tc>
          <w:tcPr>
            <w:tcW w:w="4574" w:type="dxa"/>
            <w:vMerge/>
            <w:vAlign w:val="center"/>
            <w:hideMark/>
          </w:tcPr>
          <w:p w14:paraId="1F6E382C" w14:textId="77777777" w:rsidR="00BE0B19" w:rsidRPr="00AE47C6" w:rsidRDefault="00BE0B19" w:rsidP="00BE0B19">
            <w:pPr>
              <w:spacing w:after="0" w:line="360" w:lineRule="auto"/>
              <w:jc w:val="both"/>
              <w:rPr>
                <w:rFonts w:ascii="Times New Roman" w:eastAsia="SimSun" w:hAnsi="Times New Roman"/>
                <w:sz w:val="24"/>
                <w:szCs w:val="24"/>
              </w:rPr>
            </w:pPr>
          </w:p>
        </w:tc>
        <w:tc>
          <w:tcPr>
            <w:tcW w:w="993" w:type="dxa"/>
            <w:tcMar>
              <w:top w:w="38" w:type="dxa"/>
              <w:left w:w="38" w:type="dxa"/>
              <w:bottom w:w="38" w:type="dxa"/>
              <w:right w:w="38" w:type="dxa"/>
            </w:tcMar>
            <w:vAlign w:val="center"/>
            <w:hideMark/>
          </w:tcPr>
          <w:p w14:paraId="626DA62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неизвестна</w:t>
            </w:r>
          </w:p>
        </w:tc>
        <w:tc>
          <w:tcPr>
            <w:tcW w:w="3581" w:type="dxa"/>
            <w:tcMar>
              <w:top w:w="38" w:type="dxa"/>
              <w:left w:w="38" w:type="dxa"/>
              <w:bottom w:w="38" w:type="dxa"/>
              <w:right w:w="38" w:type="dxa"/>
            </w:tcMar>
            <w:vAlign w:val="center"/>
            <w:hideMark/>
          </w:tcPr>
          <w:p w14:paraId="238C32E3"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bCs/>
                <w:i/>
                <w:sz w:val="24"/>
                <w:szCs w:val="24"/>
              </w:rPr>
              <w:t>CACNA1H</w:t>
            </w:r>
            <w:r w:rsidRPr="00AE47C6">
              <w:rPr>
                <w:rFonts w:ascii="Times New Roman" w:eastAsia="SimSun" w:hAnsi="Times New Roman"/>
                <w:i/>
                <w:sz w:val="24"/>
                <w:szCs w:val="24"/>
              </w:rPr>
              <w:t>, </w:t>
            </w:r>
            <w:r w:rsidRPr="00AE47C6">
              <w:rPr>
                <w:rFonts w:ascii="Times New Roman" w:eastAsia="SimSun" w:hAnsi="Times New Roman"/>
                <w:bCs/>
                <w:i/>
                <w:sz w:val="24"/>
                <w:szCs w:val="24"/>
              </w:rPr>
              <w:t>GABRA1</w:t>
            </w:r>
            <w:r w:rsidRPr="00AE47C6">
              <w:rPr>
                <w:rFonts w:ascii="Times New Roman" w:eastAsia="SimSun" w:hAnsi="Times New Roman"/>
                <w:i/>
                <w:sz w:val="24"/>
                <w:szCs w:val="24"/>
              </w:rPr>
              <w:t>, </w:t>
            </w:r>
            <w:r w:rsidRPr="00AE47C6">
              <w:rPr>
                <w:rFonts w:ascii="Times New Roman" w:eastAsia="SimSun" w:hAnsi="Times New Roman"/>
                <w:i/>
                <w:iCs/>
                <w:sz w:val="24"/>
                <w:szCs w:val="24"/>
              </w:rPr>
              <w:t>GABRB3</w:t>
            </w:r>
          </w:p>
        </w:tc>
      </w:tr>
      <w:tr w:rsidR="00BE0B19" w:rsidRPr="00AE47C6" w14:paraId="3F7C59E1" w14:textId="77777777" w:rsidTr="00AD72E5">
        <w:tc>
          <w:tcPr>
            <w:tcW w:w="9148" w:type="dxa"/>
            <w:gridSpan w:val="3"/>
            <w:tcMar>
              <w:top w:w="38" w:type="dxa"/>
              <w:left w:w="38" w:type="dxa"/>
              <w:bottom w:w="38" w:type="dxa"/>
              <w:right w:w="38" w:type="dxa"/>
            </w:tcMar>
            <w:vAlign w:val="center"/>
            <w:hideMark/>
          </w:tcPr>
          <w:p w14:paraId="40F9855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Юношеска възраст и при възрастни</w:t>
            </w:r>
          </w:p>
        </w:tc>
      </w:tr>
      <w:tr w:rsidR="00BE0B19" w:rsidRPr="00AE47C6" w14:paraId="462FF67C" w14:textId="77777777" w:rsidTr="00AD72E5">
        <w:tc>
          <w:tcPr>
            <w:tcW w:w="4574" w:type="dxa"/>
            <w:tcMar>
              <w:top w:w="38" w:type="dxa"/>
              <w:left w:w="38" w:type="dxa"/>
              <w:bottom w:w="38" w:type="dxa"/>
              <w:right w:w="38" w:type="dxa"/>
            </w:tcMar>
            <w:vAlign w:val="center"/>
            <w:hideMark/>
          </w:tcPr>
          <w:p w14:paraId="2090E455" w14:textId="77777777" w:rsidR="00BE0B19" w:rsidRPr="00AE47C6" w:rsidRDefault="00BE0B19" w:rsidP="00BE0B19">
            <w:pPr>
              <w:spacing w:after="0" w:line="360" w:lineRule="auto"/>
              <w:jc w:val="both"/>
              <w:rPr>
                <w:rFonts w:ascii="Times New Roman" w:eastAsia="SimSun" w:hAnsi="Times New Roman"/>
                <w:sz w:val="24"/>
                <w:szCs w:val="24"/>
              </w:rPr>
            </w:pPr>
            <w:bookmarkStart w:id="272" w:name="btblfn0005" w:colFirst="2" w:colLast="2"/>
            <w:r w:rsidRPr="00AE47C6">
              <w:rPr>
                <w:rFonts w:ascii="Times New Roman" w:eastAsia="SimSun" w:hAnsi="Times New Roman"/>
                <w:sz w:val="24"/>
                <w:szCs w:val="24"/>
              </w:rPr>
              <w:t> Ювенилна абсансна епилепсия (JAE)</w:t>
            </w:r>
          </w:p>
        </w:tc>
        <w:tc>
          <w:tcPr>
            <w:tcW w:w="993" w:type="dxa"/>
            <w:tcMar>
              <w:top w:w="38" w:type="dxa"/>
              <w:left w:w="38" w:type="dxa"/>
              <w:bottom w:w="38" w:type="dxa"/>
              <w:right w:w="38" w:type="dxa"/>
            </w:tcMar>
            <w:vAlign w:val="center"/>
            <w:hideMark/>
          </w:tcPr>
          <w:p w14:paraId="7194515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AД</w:t>
            </w:r>
          </w:p>
        </w:tc>
        <w:tc>
          <w:tcPr>
            <w:tcW w:w="3581" w:type="dxa"/>
            <w:tcMar>
              <w:top w:w="38" w:type="dxa"/>
              <w:left w:w="38" w:type="dxa"/>
              <w:bottom w:w="38" w:type="dxa"/>
              <w:right w:w="38" w:type="dxa"/>
            </w:tcMar>
            <w:vAlign w:val="center"/>
            <w:hideMark/>
          </w:tcPr>
          <w:p w14:paraId="6200725B" w14:textId="77777777" w:rsidR="00BE0B19" w:rsidRPr="00AE47C6" w:rsidRDefault="00BE0B19" w:rsidP="00BE0B19">
            <w:pPr>
              <w:spacing w:after="0" w:line="360" w:lineRule="auto"/>
              <w:jc w:val="both"/>
              <w:rPr>
                <w:rFonts w:ascii="Times New Roman" w:eastAsia="SimSun" w:hAnsi="Times New Roman"/>
                <w:b/>
                <w:i/>
                <w:sz w:val="24"/>
                <w:szCs w:val="24"/>
              </w:rPr>
            </w:pPr>
            <w:r w:rsidRPr="00AE47C6">
              <w:rPr>
                <w:rFonts w:ascii="Times New Roman" w:eastAsia="SimSun" w:hAnsi="Times New Roman"/>
                <w:bCs/>
                <w:i/>
                <w:sz w:val="24"/>
                <w:szCs w:val="24"/>
              </w:rPr>
              <w:t>CLCN2</w:t>
            </w:r>
            <w:hyperlink r:id="rId141" w:anchor="tblfn0005" w:history="1">
              <w:r w:rsidRPr="00AE47C6">
                <w:rPr>
                  <w:rFonts w:ascii="Times New Roman" w:eastAsia="SimSun" w:hAnsi="Times New Roman"/>
                  <w:sz w:val="24"/>
                  <w:szCs w:val="24"/>
                </w:rPr>
                <w:t>a</w:t>
              </w:r>
            </w:hyperlink>
            <w:r w:rsidRPr="00AE47C6">
              <w:rPr>
                <w:rFonts w:ascii="Times New Roman" w:eastAsia="SimSun" w:hAnsi="Times New Roman"/>
                <w:sz w:val="24"/>
                <w:szCs w:val="24"/>
              </w:rPr>
              <w:t>,</w:t>
            </w:r>
            <w:r w:rsidRPr="00AE47C6">
              <w:rPr>
                <w:rFonts w:ascii="Times New Roman" w:eastAsia="SimSun" w:hAnsi="Times New Roman"/>
                <w:b/>
                <w:i/>
                <w:sz w:val="24"/>
                <w:szCs w:val="24"/>
              </w:rPr>
              <w:t> </w:t>
            </w:r>
            <w:r w:rsidRPr="00AE47C6">
              <w:rPr>
                <w:rFonts w:ascii="Times New Roman" w:eastAsia="SimSun" w:hAnsi="Times New Roman"/>
                <w:i/>
                <w:iCs/>
                <w:sz w:val="24"/>
                <w:szCs w:val="24"/>
              </w:rPr>
              <w:t>EFHC1</w:t>
            </w:r>
          </w:p>
        </w:tc>
      </w:tr>
      <w:tr w:rsidR="00BE0B19" w:rsidRPr="00AE47C6" w14:paraId="75C55738" w14:textId="77777777" w:rsidTr="00AD72E5">
        <w:tc>
          <w:tcPr>
            <w:tcW w:w="4574" w:type="dxa"/>
            <w:vMerge w:val="restart"/>
            <w:tcMar>
              <w:top w:w="38" w:type="dxa"/>
              <w:left w:w="38" w:type="dxa"/>
              <w:bottom w:w="38" w:type="dxa"/>
              <w:right w:w="38" w:type="dxa"/>
            </w:tcMar>
            <w:vAlign w:val="center"/>
            <w:hideMark/>
          </w:tcPr>
          <w:p w14:paraId="390FBC5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Ювенилна миоклонична епилепсия (JME)</w:t>
            </w:r>
          </w:p>
        </w:tc>
        <w:tc>
          <w:tcPr>
            <w:tcW w:w="993" w:type="dxa"/>
            <w:tcMar>
              <w:top w:w="38" w:type="dxa"/>
              <w:left w:w="38" w:type="dxa"/>
              <w:bottom w:w="38" w:type="dxa"/>
              <w:right w:w="38" w:type="dxa"/>
            </w:tcMar>
            <w:vAlign w:val="center"/>
            <w:hideMark/>
          </w:tcPr>
          <w:p w14:paraId="2BB8AEB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AД</w:t>
            </w:r>
          </w:p>
        </w:tc>
        <w:tc>
          <w:tcPr>
            <w:tcW w:w="3581" w:type="dxa"/>
            <w:tcMar>
              <w:top w:w="38" w:type="dxa"/>
              <w:left w:w="38" w:type="dxa"/>
              <w:bottom w:w="38" w:type="dxa"/>
              <w:right w:w="38" w:type="dxa"/>
            </w:tcMar>
            <w:vAlign w:val="center"/>
            <w:hideMark/>
          </w:tcPr>
          <w:p w14:paraId="67139844"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bCs/>
                <w:i/>
                <w:sz w:val="24"/>
                <w:szCs w:val="24"/>
              </w:rPr>
              <w:t>CACNB4</w:t>
            </w:r>
            <w:r w:rsidRPr="00AE47C6">
              <w:rPr>
                <w:rFonts w:ascii="Times New Roman" w:eastAsia="SimSun" w:hAnsi="Times New Roman"/>
                <w:i/>
                <w:sz w:val="24"/>
                <w:szCs w:val="24"/>
              </w:rPr>
              <w:t>, </w:t>
            </w:r>
            <w:r w:rsidRPr="00AE47C6">
              <w:rPr>
                <w:rFonts w:ascii="Times New Roman" w:eastAsia="SimSun" w:hAnsi="Times New Roman"/>
                <w:bCs/>
                <w:i/>
                <w:sz w:val="24"/>
                <w:szCs w:val="24"/>
              </w:rPr>
              <w:t>CLCN2</w:t>
            </w:r>
            <w:hyperlink r:id="rId142" w:anchor="tblfn0005" w:history="1">
              <w:r w:rsidRPr="00AE47C6">
                <w:rPr>
                  <w:rFonts w:ascii="Times New Roman" w:eastAsia="SimSun" w:hAnsi="Times New Roman"/>
                  <w:sz w:val="24"/>
                  <w:szCs w:val="24"/>
                </w:rPr>
                <w:t>a</w:t>
              </w:r>
            </w:hyperlink>
            <w:r w:rsidRPr="00AE47C6">
              <w:rPr>
                <w:rFonts w:ascii="Times New Roman" w:eastAsia="SimSun" w:hAnsi="Times New Roman"/>
                <w:i/>
                <w:sz w:val="24"/>
                <w:szCs w:val="24"/>
              </w:rPr>
              <w:t>, </w:t>
            </w:r>
            <w:r w:rsidRPr="00AE47C6">
              <w:rPr>
                <w:rFonts w:ascii="Times New Roman" w:eastAsia="SimSun" w:hAnsi="Times New Roman"/>
                <w:bCs/>
                <w:i/>
                <w:sz w:val="24"/>
                <w:szCs w:val="24"/>
              </w:rPr>
              <w:t>EFHC1</w:t>
            </w:r>
            <w:r w:rsidRPr="00AE47C6">
              <w:rPr>
                <w:rFonts w:ascii="Times New Roman" w:eastAsia="SimSun" w:hAnsi="Times New Roman"/>
                <w:i/>
                <w:sz w:val="24"/>
                <w:szCs w:val="24"/>
              </w:rPr>
              <w:t>, </w:t>
            </w:r>
            <w:r w:rsidRPr="00AE47C6">
              <w:rPr>
                <w:rFonts w:ascii="Times New Roman" w:eastAsia="SimSun" w:hAnsi="Times New Roman"/>
                <w:bCs/>
                <w:i/>
                <w:sz w:val="24"/>
                <w:szCs w:val="24"/>
              </w:rPr>
              <w:t>GABRD</w:t>
            </w:r>
          </w:p>
        </w:tc>
      </w:tr>
      <w:tr w:rsidR="00BE0B19" w:rsidRPr="00AE47C6" w14:paraId="44FA94CD" w14:textId="77777777" w:rsidTr="00AD72E5">
        <w:tc>
          <w:tcPr>
            <w:tcW w:w="4574" w:type="dxa"/>
            <w:vMerge/>
            <w:vAlign w:val="center"/>
            <w:hideMark/>
          </w:tcPr>
          <w:p w14:paraId="2EAFFC7A" w14:textId="77777777" w:rsidR="00BE0B19" w:rsidRPr="00AE47C6" w:rsidRDefault="00BE0B19" w:rsidP="00BE0B19">
            <w:pPr>
              <w:spacing w:after="0" w:line="360" w:lineRule="auto"/>
              <w:jc w:val="both"/>
              <w:rPr>
                <w:rFonts w:ascii="Times New Roman" w:eastAsia="SimSun" w:hAnsi="Times New Roman"/>
                <w:sz w:val="24"/>
                <w:szCs w:val="24"/>
              </w:rPr>
            </w:pPr>
          </w:p>
        </w:tc>
        <w:tc>
          <w:tcPr>
            <w:tcW w:w="993" w:type="dxa"/>
            <w:tcMar>
              <w:top w:w="38" w:type="dxa"/>
              <w:left w:w="38" w:type="dxa"/>
              <w:bottom w:w="38" w:type="dxa"/>
              <w:right w:w="38" w:type="dxa"/>
            </w:tcMar>
            <w:vAlign w:val="center"/>
            <w:hideMark/>
          </w:tcPr>
          <w:p w14:paraId="307594F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неизвестна</w:t>
            </w:r>
          </w:p>
        </w:tc>
        <w:tc>
          <w:tcPr>
            <w:tcW w:w="3581" w:type="dxa"/>
            <w:tcMar>
              <w:top w:w="38" w:type="dxa"/>
              <w:left w:w="38" w:type="dxa"/>
              <w:bottom w:w="38" w:type="dxa"/>
              <w:right w:w="38" w:type="dxa"/>
            </w:tcMar>
            <w:vAlign w:val="center"/>
            <w:hideMark/>
          </w:tcPr>
          <w:p w14:paraId="29E15806"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bCs/>
                <w:i/>
                <w:sz w:val="24"/>
                <w:szCs w:val="24"/>
              </w:rPr>
              <w:t>GABRA1</w:t>
            </w:r>
          </w:p>
        </w:tc>
      </w:tr>
      <w:tr w:rsidR="00BE0B19" w:rsidRPr="00AE47C6" w14:paraId="20E3265B" w14:textId="77777777" w:rsidTr="00AD72E5">
        <w:tc>
          <w:tcPr>
            <w:tcW w:w="4574" w:type="dxa"/>
            <w:vMerge w:val="restart"/>
            <w:tcMar>
              <w:top w:w="38" w:type="dxa"/>
              <w:left w:w="38" w:type="dxa"/>
              <w:bottom w:w="38" w:type="dxa"/>
              <w:right w:w="38" w:type="dxa"/>
            </w:tcMar>
            <w:vAlign w:val="center"/>
            <w:hideMark/>
          </w:tcPr>
          <w:p w14:paraId="5C2B664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Идиопатична генерализирана епилепсия (IGE)</w:t>
            </w:r>
          </w:p>
        </w:tc>
        <w:tc>
          <w:tcPr>
            <w:tcW w:w="993" w:type="dxa"/>
            <w:tcMar>
              <w:top w:w="38" w:type="dxa"/>
              <w:left w:w="38" w:type="dxa"/>
              <w:bottom w:w="38" w:type="dxa"/>
              <w:right w:w="38" w:type="dxa"/>
            </w:tcMar>
            <w:vAlign w:val="center"/>
            <w:hideMark/>
          </w:tcPr>
          <w:p w14:paraId="07FF513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AД</w:t>
            </w:r>
          </w:p>
        </w:tc>
        <w:tc>
          <w:tcPr>
            <w:tcW w:w="3581" w:type="dxa"/>
            <w:tcMar>
              <w:top w:w="38" w:type="dxa"/>
              <w:left w:w="38" w:type="dxa"/>
              <w:bottom w:w="38" w:type="dxa"/>
              <w:right w:w="38" w:type="dxa"/>
            </w:tcMar>
            <w:vAlign w:val="center"/>
            <w:hideMark/>
          </w:tcPr>
          <w:p w14:paraId="68DA7C65"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bCs/>
                <w:i/>
                <w:sz w:val="24"/>
                <w:szCs w:val="24"/>
              </w:rPr>
              <w:t>CACNB4</w:t>
            </w:r>
            <w:r w:rsidRPr="00AE47C6">
              <w:rPr>
                <w:rFonts w:ascii="Times New Roman" w:eastAsia="SimSun" w:hAnsi="Times New Roman"/>
                <w:i/>
                <w:sz w:val="24"/>
                <w:szCs w:val="24"/>
              </w:rPr>
              <w:t>, </w:t>
            </w:r>
            <w:r w:rsidRPr="00AE47C6">
              <w:rPr>
                <w:rFonts w:ascii="Times New Roman" w:eastAsia="SimSun" w:hAnsi="Times New Roman"/>
                <w:bCs/>
                <w:i/>
                <w:sz w:val="24"/>
                <w:szCs w:val="24"/>
              </w:rPr>
              <w:t>CLCN2</w:t>
            </w:r>
            <w:r w:rsidRPr="00AE47C6">
              <w:rPr>
                <w:rFonts w:ascii="Times New Roman" w:eastAsia="SimSun" w:hAnsi="Times New Roman"/>
                <w:sz w:val="24"/>
                <w:szCs w:val="24"/>
              </w:rPr>
              <w:t>a</w:t>
            </w:r>
            <w:r w:rsidRPr="00AE47C6">
              <w:rPr>
                <w:rFonts w:ascii="Times New Roman" w:eastAsia="SimSun" w:hAnsi="Times New Roman"/>
                <w:i/>
                <w:sz w:val="24"/>
                <w:szCs w:val="24"/>
              </w:rPr>
              <w:t>, </w:t>
            </w:r>
            <w:r w:rsidRPr="00AE47C6">
              <w:rPr>
                <w:rFonts w:ascii="Times New Roman" w:eastAsia="SimSun" w:hAnsi="Times New Roman"/>
                <w:bCs/>
                <w:i/>
                <w:sz w:val="24"/>
                <w:szCs w:val="24"/>
              </w:rPr>
              <w:t>GABRD</w:t>
            </w:r>
            <w:r w:rsidRPr="00AE47C6">
              <w:rPr>
                <w:rFonts w:ascii="Times New Roman" w:eastAsia="SimSun" w:hAnsi="Times New Roman"/>
                <w:i/>
                <w:sz w:val="24"/>
                <w:szCs w:val="24"/>
              </w:rPr>
              <w:t>, </w:t>
            </w:r>
            <w:r w:rsidRPr="00AE47C6">
              <w:rPr>
                <w:rFonts w:ascii="Times New Roman" w:eastAsia="SimSun" w:hAnsi="Times New Roman"/>
                <w:bCs/>
                <w:i/>
                <w:sz w:val="24"/>
                <w:szCs w:val="24"/>
              </w:rPr>
              <w:t>SLC12A5</w:t>
            </w:r>
            <w:r w:rsidRPr="00AE47C6">
              <w:rPr>
                <w:rFonts w:ascii="Times New Roman" w:eastAsia="SimSun" w:hAnsi="Times New Roman"/>
                <w:i/>
                <w:sz w:val="24"/>
                <w:szCs w:val="24"/>
              </w:rPr>
              <w:t>, SLC2A1</w:t>
            </w:r>
          </w:p>
        </w:tc>
      </w:tr>
      <w:bookmarkEnd w:id="272"/>
      <w:tr w:rsidR="00BE0B19" w:rsidRPr="00AE47C6" w14:paraId="352BD297" w14:textId="77777777" w:rsidTr="00AD72E5">
        <w:tc>
          <w:tcPr>
            <w:tcW w:w="4574" w:type="dxa"/>
            <w:vMerge/>
            <w:vAlign w:val="center"/>
            <w:hideMark/>
          </w:tcPr>
          <w:p w14:paraId="4543279B" w14:textId="77777777" w:rsidR="00BE0B19" w:rsidRPr="00AE47C6" w:rsidRDefault="00BE0B19" w:rsidP="00BE0B19">
            <w:pPr>
              <w:spacing w:after="0" w:line="360" w:lineRule="auto"/>
              <w:jc w:val="both"/>
              <w:rPr>
                <w:rFonts w:ascii="Times New Roman" w:eastAsia="SimSun" w:hAnsi="Times New Roman"/>
                <w:sz w:val="24"/>
                <w:szCs w:val="24"/>
              </w:rPr>
            </w:pPr>
          </w:p>
        </w:tc>
        <w:tc>
          <w:tcPr>
            <w:tcW w:w="993" w:type="dxa"/>
            <w:tcMar>
              <w:top w:w="38" w:type="dxa"/>
              <w:left w:w="38" w:type="dxa"/>
              <w:bottom w:w="38" w:type="dxa"/>
              <w:right w:w="38" w:type="dxa"/>
            </w:tcMar>
            <w:vAlign w:val="center"/>
            <w:hideMark/>
          </w:tcPr>
          <w:p w14:paraId="3C53482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неизвестна</w:t>
            </w:r>
          </w:p>
        </w:tc>
        <w:tc>
          <w:tcPr>
            <w:tcW w:w="3581" w:type="dxa"/>
            <w:tcMar>
              <w:top w:w="38" w:type="dxa"/>
              <w:left w:w="38" w:type="dxa"/>
              <w:bottom w:w="38" w:type="dxa"/>
              <w:right w:w="38" w:type="dxa"/>
            </w:tcMar>
            <w:vAlign w:val="center"/>
            <w:hideMark/>
          </w:tcPr>
          <w:p w14:paraId="620356F5"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bCs/>
                <w:i/>
                <w:sz w:val="24"/>
                <w:szCs w:val="24"/>
              </w:rPr>
              <w:t>CACNA1H</w:t>
            </w:r>
            <w:r w:rsidRPr="00AE47C6">
              <w:rPr>
                <w:rFonts w:ascii="Times New Roman" w:eastAsia="SimSun" w:hAnsi="Times New Roman"/>
                <w:i/>
                <w:sz w:val="24"/>
                <w:szCs w:val="24"/>
              </w:rPr>
              <w:t>, CASR</w:t>
            </w:r>
          </w:p>
        </w:tc>
      </w:tr>
      <w:tr w:rsidR="00BE0B19" w:rsidRPr="00AE47C6" w14:paraId="7BBE055C" w14:textId="77777777" w:rsidTr="00AD72E5">
        <w:tc>
          <w:tcPr>
            <w:tcW w:w="4574" w:type="dxa"/>
            <w:vMerge w:val="restart"/>
            <w:tcMar>
              <w:top w:w="38" w:type="dxa"/>
              <w:left w:w="38" w:type="dxa"/>
              <w:bottom w:w="38" w:type="dxa"/>
              <w:right w:w="38" w:type="dxa"/>
            </w:tcMar>
            <w:vAlign w:val="center"/>
            <w:hideMark/>
          </w:tcPr>
          <w:p w14:paraId="6D3ABFA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Фамилна епилепсия с начало при възрастни adult myoclonic epilepsy (FAME)</w:t>
            </w:r>
          </w:p>
        </w:tc>
        <w:tc>
          <w:tcPr>
            <w:tcW w:w="993" w:type="dxa"/>
            <w:tcMar>
              <w:top w:w="38" w:type="dxa"/>
              <w:left w:w="38" w:type="dxa"/>
              <w:bottom w:w="38" w:type="dxa"/>
              <w:right w:w="38" w:type="dxa"/>
            </w:tcMar>
            <w:vAlign w:val="center"/>
            <w:hideMark/>
          </w:tcPr>
          <w:p w14:paraId="01D81B0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AД</w:t>
            </w:r>
          </w:p>
        </w:tc>
        <w:tc>
          <w:tcPr>
            <w:tcW w:w="3581" w:type="dxa"/>
            <w:tcMar>
              <w:top w:w="38" w:type="dxa"/>
              <w:left w:w="38" w:type="dxa"/>
              <w:bottom w:w="38" w:type="dxa"/>
              <w:right w:w="38" w:type="dxa"/>
            </w:tcMar>
            <w:vAlign w:val="center"/>
            <w:hideMark/>
          </w:tcPr>
          <w:p w14:paraId="5A90B008"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ADRA2B</w:t>
            </w:r>
          </w:p>
        </w:tc>
      </w:tr>
      <w:tr w:rsidR="00BE0B19" w:rsidRPr="00AE47C6" w14:paraId="65456D50" w14:textId="77777777" w:rsidTr="00AD72E5">
        <w:tc>
          <w:tcPr>
            <w:tcW w:w="4574" w:type="dxa"/>
            <w:vMerge/>
            <w:vAlign w:val="center"/>
            <w:hideMark/>
          </w:tcPr>
          <w:p w14:paraId="43E0A530" w14:textId="77777777" w:rsidR="00BE0B19" w:rsidRPr="00AE47C6" w:rsidRDefault="00BE0B19" w:rsidP="00BE0B19">
            <w:pPr>
              <w:spacing w:after="0" w:line="360" w:lineRule="auto"/>
              <w:jc w:val="both"/>
              <w:rPr>
                <w:rFonts w:ascii="Times New Roman" w:eastAsia="SimSun" w:hAnsi="Times New Roman"/>
                <w:sz w:val="24"/>
                <w:szCs w:val="24"/>
              </w:rPr>
            </w:pPr>
          </w:p>
        </w:tc>
        <w:tc>
          <w:tcPr>
            <w:tcW w:w="993" w:type="dxa"/>
            <w:tcMar>
              <w:top w:w="38" w:type="dxa"/>
              <w:left w:w="38" w:type="dxa"/>
              <w:bottom w:w="38" w:type="dxa"/>
              <w:right w:w="38" w:type="dxa"/>
            </w:tcMar>
            <w:vAlign w:val="center"/>
            <w:hideMark/>
          </w:tcPr>
          <w:p w14:paraId="1C2E0B9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AР</w:t>
            </w:r>
          </w:p>
        </w:tc>
        <w:tc>
          <w:tcPr>
            <w:tcW w:w="3581" w:type="dxa"/>
            <w:tcMar>
              <w:top w:w="38" w:type="dxa"/>
              <w:left w:w="38" w:type="dxa"/>
              <w:bottom w:w="38" w:type="dxa"/>
              <w:right w:w="38" w:type="dxa"/>
            </w:tcMar>
            <w:vAlign w:val="center"/>
            <w:hideMark/>
          </w:tcPr>
          <w:p w14:paraId="2D7E6715"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CNTN2</w:t>
            </w:r>
          </w:p>
        </w:tc>
      </w:tr>
      <w:tr w:rsidR="00BE0B19" w:rsidRPr="00AE47C6" w14:paraId="02B67AB1" w14:textId="77777777" w:rsidTr="00AD72E5">
        <w:tc>
          <w:tcPr>
            <w:tcW w:w="4574" w:type="dxa"/>
            <w:tcMar>
              <w:top w:w="38" w:type="dxa"/>
              <w:left w:w="38" w:type="dxa"/>
              <w:bottom w:w="38" w:type="dxa"/>
              <w:right w:w="38" w:type="dxa"/>
            </w:tcMar>
            <w:vAlign w:val="center"/>
            <w:hideMark/>
          </w:tcPr>
          <w:p w14:paraId="337F8A5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Фамилна темпоралнодялова епилепсия (FTLE)</w:t>
            </w:r>
          </w:p>
        </w:tc>
        <w:tc>
          <w:tcPr>
            <w:tcW w:w="993" w:type="dxa"/>
            <w:tcMar>
              <w:top w:w="38" w:type="dxa"/>
              <w:left w:w="38" w:type="dxa"/>
              <w:bottom w:w="38" w:type="dxa"/>
              <w:right w:w="38" w:type="dxa"/>
            </w:tcMar>
            <w:vAlign w:val="center"/>
            <w:hideMark/>
          </w:tcPr>
          <w:p w14:paraId="3EEB74F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AД</w:t>
            </w:r>
          </w:p>
        </w:tc>
        <w:tc>
          <w:tcPr>
            <w:tcW w:w="3581" w:type="dxa"/>
            <w:tcMar>
              <w:top w:w="38" w:type="dxa"/>
              <w:left w:w="38" w:type="dxa"/>
              <w:bottom w:w="38" w:type="dxa"/>
              <w:right w:w="38" w:type="dxa"/>
            </w:tcMar>
            <w:vAlign w:val="center"/>
            <w:hideMark/>
          </w:tcPr>
          <w:p w14:paraId="69F1F7A6"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bCs/>
                <w:i/>
                <w:sz w:val="24"/>
                <w:szCs w:val="24"/>
              </w:rPr>
              <w:t>CPA6</w:t>
            </w:r>
            <w:r w:rsidRPr="00AE47C6">
              <w:rPr>
                <w:rFonts w:ascii="Times New Roman" w:eastAsia="SimSun" w:hAnsi="Times New Roman"/>
                <w:i/>
                <w:sz w:val="24"/>
                <w:szCs w:val="24"/>
              </w:rPr>
              <w:t>, GAL, LGI1</w:t>
            </w:r>
          </w:p>
        </w:tc>
      </w:tr>
      <w:tr w:rsidR="00BE0B19" w:rsidRPr="00AE47C6" w14:paraId="2B8873D6" w14:textId="77777777" w:rsidTr="00AD72E5">
        <w:tc>
          <w:tcPr>
            <w:tcW w:w="9148" w:type="dxa"/>
            <w:gridSpan w:val="3"/>
            <w:tcMar>
              <w:top w:w="38" w:type="dxa"/>
              <w:left w:w="38" w:type="dxa"/>
              <w:bottom w:w="38" w:type="dxa"/>
              <w:right w:w="38" w:type="dxa"/>
            </w:tcMar>
            <w:vAlign w:val="center"/>
            <w:hideMark/>
          </w:tcPr>
          <w:p w14:paraId="2D8D948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Неспецифично възрастово начало</w:t>
            </w:r>
          </w:p>
        </w:tc>
      </w:tr>
      <w:tr w:rsidR="00BE0B19" w:rsidRPr="00AE47C6" w14:paraId="0F8F428B" w14:textId="77777777" w:rsidTr="00AD72E5">
        <w:tc>
          <w:tcPr>
            <w:tcW w:w="4574" w:type="dxa"/>
            <w:vMerge w:val="restart"/>
            <w:tcMar>
              <w:top w:w="38" w:type="dxa"/>
              <w:left w:w="38" w:type="dxa"/>
              <w:bottom w:w="38" w:type="dxa"/>
              <w:right w:w="38" w:type="dxa"/>
            </w:tcMar>
            <w:vAlign w:val="center"/>
            <w:hideMark/>
          </w:tcPr>
          <w:p w14:paraId="2CD0B35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Прогресивна миоклонична епилепсия (PME)</w:t>
            </w:r>
          </w:p>
        </w:tc>
        <w:tc>
          <w:tcPr>
            <w:tcW w:w="993" w:type="dxa"/>
            <w:tcMar>
              <w:top w:w="38" w:type="dxa"/>
              <w:left w:w="38" w:type="dxa"/>
              <w:bottom w:w="38" w:type="dxa"/>
              <w:right w:w="38" w:type="dxa"/>
            </w:tcMar>
            <w:vAlign w:val="center"/>
            <w:hideMark/>
          </w:tcPr>
          <w:p w14:paraId="5D7C8E8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AД</w:t>
            </w:r>
          </w:p>
        </w:tc>
        <w:tc>
          <w:tcPr>
            <w:tcW w:w="3581" w:type="dxa"/>
            <w:tcMar>
              <w:top w:w="38" w:type="dxa"/>
              <w:left w:w="38" w:type="dxa"/>
              <w:bottom w:w="38" w:type="dxa"/>
              <w:right w:w="38" w:type="dxa"/>
            </w:tcMar>
            <w:vAlign w:val="center"/>
            <w:hideMark/>
          </w:tcPr>
          <w:p w14:paraId="0E73E7C6"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KCNC1</w:t>
            </w:r>
          </w:p>
        </w:tc>
      </w:tr>
      <w:tr w:rsidR="00BE0B19" w:rsidRPr="00AE47C6" w14:paraId="04478FDD" w14:textId="77777777" w:rsidTr="00AD72E5">
        <w:tc>
          <w:tcPr>
            <w:tcW w:w="4574" w:type="dxa"/>
            <w:vMerge/>
            <w:vAlign w:val="center"/>
            <w:hideMark/>
          </w:tcPr>
          <w:p w14:paraId="05F87709" w14:textId="77777777" w:rsidR="00BE0B19" w:rsidRPr="00AE47C6" w:rsidRDefault="00BE0B19" w:rsidP="00BE0B19">
            <w:pPr>
              <w:spacing w:after="0" w:line="360" w:lineRule="auto"/>
              <w:jc w:val="both"/>
              <w:rPr>
                <w:rFonts w:ascii="Times New Roman" w:eastAsia="SimSun" w:hAnsi="Times New Roman"/>
                <w:sz w:val="24"/>
                <w:szCs w:val="24"/>
              </w:rPr>
            </w:pPr>
          </w:p>
        </w:tc>
        <w:tc>
          <w:tcPr>
            <w:tcW w:w="993" w:type="dxa"/>
            <w:tcMar>
              <w:top w:w="38" w:type="dxa"/>
              <w:left w:w="38" w:type="dxa"/>
              <w:bottom w:w="38" w:type="dxa"/>
              <w:right w:w="38" w:type="dxa"/>
            </w:tcMar>
            <w:vAlign w:val="center"/>
            <w:hideMark/>
          </w:tcPr>
          <w:p w14:paraId="27FB520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AР</w:t>
            </w:r>
          </w:p>
        </w:tc>
        <w:tc>
          <w:tcPr>
            <w:tcW w:w="3581" w:type="dxa"/>
            <w:tcMar>
              <w:top w:w="38" w:type="dxa"/>
              <w:left w:w="38" w:type="dxa"/>
              <w:bottom w:w="38" w:type="dxa"/>
              <w:right w:w="38" w:type="dxa"/>
            </w:tcMar>
            <w:vAlign w:val="center"/>
            <w:hideMark/>
          </w:tcPr>
          <w:p w14:paraId="6F860A57"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CERS1, CSTB, EPM2A, GOSR2, KCTD7, LMNB2, NHLRC1, PRDM8, PRICKLE1, SCARB2</w:t>
            </w:r>
          </w:p>
        </w:tc>
      </w:tr>
      <w:tr w:rsidR="00BE0B19" w:rsidRPr="00AE47C6" w14:paraId="1C96AF77" w14:textId="77777777" w:rsidTr="00AD72E5">
        <w:tc>
          <w:tcPr>
            <w:tcW w:w="4574" w:type="dxa"/>
            <w:vMerge w:val="restart"/>
            <w:tcMar>
              <w:top w:w="38" w:type="dxa"/>
              <w:left w:w="38" w:type="dxa"/>
              <w:bottom w:w="38" w:type="dxa"/>
              <w:right w:w="38" w:type="dxa"/>
            </w:tcMar>
            <w:vAlign w:val="center"/>
            <w:hideMark/>
          </w:tcPr>
          <w:p w14:paraId="4866C64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Нощна фронталнодялова епилепсия (NFLE)</w:t>
            </w:r>
          </w:p>
        </w:tc>
        <w:tc>
          <w:tcPr>
            <w:tcW w:w="993" w:type="dxa"/>
            <w:tcMar>
              <w:top w:w="38" w:type="dxa"/>
              <w:left w:w="38" w:type="dxa"/>
              <w:bottom w:w="38" w:type="dxa"/>
              <w:right w:w="38" w:type="dxa"/>
            </w:tcMar>
            <w:vAlign w:val="center"/>
            <w:hideMark/>
          </w:tcPr>
          <w:p w14:paraId="29D0BBE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AД</w:t>
            </w:r>
          </w:p>
        </w:tc>
        <w:tc>
          <w:tcPr>
            <w:tcW w:w="3581" w:type="dxa"/>
            <w:tcMar>
              <w:top w:w="38" w:type="dxa"/>
              <w:left w:w="38" w:type="dxa"/>
              <w:bottom w:w="38" w:type="dxa"/>
              <w:right w:w="38" w:type="dxa"/>
            </w:tcMar>
            <w:vAlign w:val="center"/>
            <w:hideMark/>
          </w:tcPr>
          <w:p w14:paraId="47C646CB"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CHRNA2, CHRNA4, </w:t>
            </w:r>
            <w:r w:rsidRPr="00AE47C6">
              <w:rPr>
                <w:rFonts w:ascii="Times New Roman" w:eastAsia="SimSun" w:hAnsi="Times New Roman"/>
                <w:bCs/>
                <w:i/>
                <w:sz w:val="24"/>
                <w:szCs w:val="24"/>
              </w:rPr>
              <w:t>KCNT1</w:t>
            </w:r>
          </w:p>
        </w:tc>
      </w:tr>
      <w:tr w:rsidR="00BE0B19" w:rsidRPr="00AE47C6" w14:paraId="7AD000DC" w14:textId="77777777" w:rsidTr="00AD72E5">
        <w:tc>
          <w:tcPr>
            <w:tcW w:w="4574" w:type="dxa"/>
            <w:vMerge/>
            <w:vAlign w:val="center"/>
            <w:hideMark/>
          </w:tcPr>
          <w:p w14:paraId="5BD63A47" w14:textId="77777777" w:rsidR="00BE0B19" w:rsidRPr="00AE47C6" w:rsidRDefault="00BE0B19" w:rsidP="00BE0B19">
            <w:pPr>
              <w:spacing w:after="0" w:line="360" w:lineRule="auto"/>
              <w:jc w:val="both"/>
              <w:rPr>
                <w:rFonts w:ascii="Times New Roman" w:eastAsia="SimSun" w:hAnsi="Times New Roman"/>
                <w:sz w:val="24"/>
                <w:szCs w:val="24"/>
              </w:rPr>
            </w:pPr>
          </w:p>
        </w:tc>
        <w:tc>
          <w:tcPr>
            <w:tcW w:w="993" w:type="dxa"/>
            <w:tcMar>
              <w:top w:w="38" w:type="dxa"/>
              <w:left w:w="38" w:type="dxa"/>
              <w:bottom w:w="38" w:type="dxa"/>
              <w:right w:w="38" w:type="dxa"/>
            </w:tcMar>
            <w:vAlign w:val="center"/>
            <w:hideMark/>
          </w:tcPr>
          <w:p w14:paraId="44868BA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неизвестна</w:t>
            </w:r>
          </w:p>
        </w:tc>
        <w:tc>
          <w:tcPr>
            <w:tcW w:w="3581" w:type="dxa"/>
            <w:tcMar>
              <w:top w:w="38" w:type="dxa"/>
              <w:left w:w="38" w:type="dxa"/>
              <w:bottom w:w="38" w:type="dxa"/>
              <w:right w:w="38" w:type="dxa"/>
            </w:tcMar>
            <w:vAlign w:val="center"/>
            <w:hideMark/>
          </w:tcPr>
          <w:p w14:paraId="78A8B260"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CHRNB2</w:t>
            </w:r>
          </w:p>
        </w:tc>
      </w:tr>
      <w:tr w:rsidR="00BE0B19" w:rsidRPr="00AE47C6" w14:paraId="5BCF50C5" w14:textId="77777777" w:rsidTr="00AD72E5">
        <w:tc>
          <w:tcPr>
            <w:tcW w:w="4574" w:type="dxa"/>
            <w:tcMar>
              <w:top w:w="38" w:type="dxa"/>
              <w:left w:w="38" w:type="dxa"/>
              <w:bottom w:w="38" w:type="dxa"/>
              <w:right w:w="38" w:type="dxa"/>
            </w:tcMar>
            <w:vAlign w:val="center"/>
            <w:hideMark/>
          </w:tcPr>
          <w:p w14:paraId="18BDFF0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Фамилна фокална епилепсия с вариабилни фокуси (FFEVF)</w:t>
            </w:r>
          </w:p>
        </w:tc>
        <w:tc>
          <w:tcPr>
            <w:tcW w:w="993" w:type="dxa"/>
            <w:tcMar>
              <w:top w:w="38" w:type="dxa"/>
              <w:left w:w="38" w:type="dxa"/>
              <w:bottom w:w="38" w:type="dxa"/>
              <w:right w:w="38" w:type="dxa"/>
            </w:tcMar>
            <w:vAlign w:val="center"/>
            <w:hideMark/>
          </w:tcPr>
          <w:p w14:paraId="4BED297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AР</w:t>
            </w:r>
          </w:p>
        </w:tc>
        <w:tc>
          <w:tcPr>
            <w:tcW w:w="3581" w:type="dxa"/>
            <w:tcMar>
              <w:top w:w="38" w:type="dxa"/>
              <w:left w:w="38" w:type="dxa"/>
              <w:bottom w:w="38" w:type="dxa"/>
              <w:right w:w="38" w:type="dxa"/>
            </w:tcMar>
            <w:vAlign w:val="center"/>
            <w:hideMark/>
          </w:tcPr>
          <w:p w14:paraId="645CEBCF" w14:textId="77777777" w:rsidR="00BE0B19" w:rsidRPr="00AE47C6" w:rsidRDefault="00BE0B19" w:rsidP="00BE0B19">
            <w:pPr>
              <w:spacing w:after="0" w:line="360" w:lineRule="auto"/>
              <w:jc w:val="both"/>
              <w:rPr>
                <w:rFonts w:ascii="Times New Roman" w:eastAsia="SimSun" w:hAnsi="Times New Roman"/>
                <w:i/>
                <w:sz w:val="24"/>
                <w:szCs w:val="24"/>
              </w:rPr>
            </w:pPr>
            <w:r w:rsidRPr="00AE47C6">
              <w:rPr>
                <w:rFonts w:ascii="Times New Roman" w:eastAsia="SimSun" w:hAnsi="Times New Roman"/>
                <w:i/>
                <w:sz w:val="24"/>
                <w:szCs w:val="24"/>
              </w:rPr>
              <w:t>DEPDC5</w:t>
            </w:r>
          </w:p>
        </w:tc>
      </w:tr>
    </w:tbl>
    <w:p w14:paraId="3B5A76F9" w14:textId="77777777" w:rsidR="00BE0B19" w:rsidRPr="00AE47C6" w:rsidRDefault="00BE0B19" w:rsidP="00BE0B19">
      <w:pPr>
        <w:spacing w:after="0" w:line="360" w:lineRule="auto"/>
        <w:jc w:val="both"/>
        <w:rPr>
          <w:rFonts w:ascii="Times New Roman" w:eastAsia="SimSun" w:hAnsi="Times New Roman"/>
          <w:b/>
          <w:bCs/>
          <w:sz w:val="24"/>
          <w:szCs w:val="24"/>
          <w:lang w:eastAsia="bg-BG"/>
        </w:rPr>
      </w:pPr>
    </w:p>
    <w:p w14:paraId="18930D6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lang w:eastAsia="bg-BG"/>
        </w:rPr>
        <w:t xml:space="preserve">Таблица 11.4. </w:t>
      </w:r>
      <w:r w:rsidRPr="00AE47C6">
        <w:rPr>
          <w:rFonts w:ascii="Times New Roman" w:eastAsia="SimSun" w:hAnsi="Times New Roman"/>
          <w:b/>
          <w:bCs/>
          <w:sz w:val="24"/>
          <w:szCs w:val="24"/>
        </w:rPr>
        <w:t xml:space="preserve">Гени, асоциирани с епилепсии </w:t>
      </w:r>
    </w:p>
    <w:tbl>
      <w:tblPr>
        <w:tblStyle w:val="PlainTable211"/>
        <w:tblW w:w="9072" w:type="dxa"/>
        <w:tblLook w:val="0000" w:firstRow="0" w:lastRow="0" w:firstColumn="0" w:lastColumn="0" w:noHBand="0" w:noVBand="0"/>
      </w:tblPr>
      <w:tblGrid>
        <w:gridCol w:w="1617"/>
        <w:gridCol w:w="7455"/>
      </w:tblGrid>
      <w:tr w:rsidR="00BE0B19" w:rsidRPr="00AE47C6" w14:paraId="767112DF" w14:textId="77777777" w:rsidTr="00AD72E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635" w:type="dxa"/>
          </w:tcPr>
          <w:p w14:paraId="5C75947C"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
                <w:bCs/>
                <w:sz w:val="24"/>
                <w:szCs w:val="24"/>
              </w:rPr>
              <w:t>Гени</w:t>
            </w:r>
          </w:p>
        </w:tc>
        <w:tc>
          <w:tcPr>
            <w:cnfStyle w:val="000001000000" w:firstRow="0" w:lastRow="0" w:firstColumn="0" w:lastColumn="0" w:oddVBand="0" w:evenVBand="1" w:oddHBand="0" w:evenHBand="0" w:firstRowFirstColumn="0" w:firstRowLastColumn="0" w:lastRowFirstColumn="0" w:lastRowLastColumn="0"/>
            <w:tcW w:w="7740" w:type="dxa"/>
          </w:tcPr>
          <w:p w14:paraId="25CE4D1D"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b/>
                <w:bCs/>
                <w:sz w:val="24"/>
                <w:szCs w:val="24"/>
              </w:rPr>
              <w:t>Асоциирани епилептични синдроми</w:t>
            </w:r>
          </w:p>
        </w:tc>
      </w:tr>
      <w:tr w:rsidR="00BE0B19" w:rsidRPr="00AE47C6" w14:paraId="19EE821E" w14:textId="77777777" w:rsidTr="00AD72E5">
        <w:trPr>
          <w:trHeight w:val="255"/>
        </w:trPr>
        <w:tc>
          <w:tcPr>
            <w:cnfStyle w:val="000010000000" w:firstRow="0" w:lastRow="0" w:firstColumn="0" w:lastColumn="0" w:oddVBand="1" w:evenVBand="0" w:oddHBand="0" w:evenHBand="0" w:firstRowFirstColumn="0" w:firstRowLastColumn="0" w:lastRowFirstColumn="0" w:lastRowLastColumn="0"/>
            <w:tcW w:w="1635" w:type="dxa"/>
          </w:tcPr>
          <w:p w14:paraId="6AEDDDD6"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ARX</w:t>
            </w:r>
          </w:p>
        </w:tc>
        <w:tc>
          <w:tcPr>
            <w:cnfStyle w:val="000001000000" w:firstRow="0" w:lastRow="0" w:firstColumn="0" w:lastColumn="0" w:oddVBand="0" w:evenVBand="1" w:oddHBand="0" w:evenHBand="0" w:firstRowFirstColumn="0" w:firstRowLastColumn="0" w:lastRowFirstColumn="0" w:lastRowLastColumn="0"/>
            <w:tcW w:w="7740" w:type="dxa"/>
          </w:tcPr>
          <w:p w14:paraId="42643914"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Инфантилни спазми, ранни инфантилни епилептични енцефалопатии</w:t>
            </w:r>
          </w:p>
        </w:tc>
      </w:tr>
      <w:tr w:rsidR="00BE0B19" w:rsidRPr="00AE47C6" w14:paraId="0B69F9C3" w14:textId="77777777" w:rsidTr="00AD72E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635" w:type="dxa"/>
          </w:tcPr>
          <w:p w14:paraId="6E02882C"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ATP1A2</w:t>
            </w:r>
          </w:p>
        </w:tc>
        <w:tc>
          <w:tcPr>
            <w:cnfStyle w:val="000001000000" w:firstRow="0" w:lastRow="0" w:firstColumn="0" w:lastColumn="0" w:oddVBand="0" w:evenVBand="1" w:oddHBand="0" w:evenHBand="0" w:firstRowFirstColumn="0" w:firstRowLastColumn="0" w:lastRowFirstColumn="0" w:lastRowLastColumn="0"/>
            <w:tcW w:w="7740" w:type="dxa"/>
          </w:tcPr>
          <w:p w14:paraId="722EE090"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Бенигнени фамилни неонатални конвулсии, фамилна хемиплегична мигрена и епилепсия</w:t>
            </w:r>
          </w:p>
        </w:tc>
      </w:tr>
      <w:tr w:rsidR="00BE0B19" w:rsidRPr="00AE47C6" w14:paraId="64367A43" w14:textId="77777777" w:rsidTr="00AD72E5">
        <w:trPr>
          <w:trHeight w:val="255"/>
        </w:trPr>
        <w:tc>
          <w:tcPr>
            <w:cnfStyle w:val="000010000000" w:firstRow="0" w:lastRow="0" w:firstColumn="0" w:lastColumn="0" w:oddVBand="1" w:evenVBand="0" w:oddHBand="0" w:evenHBand="0" w:firstRowFirstColumn="0" w:firstRowLastColumn="0" w:lastRowFirstColumn="0" w:lastRowLastColumn="0"/>
            <w:tcW w:w="1635" w:type="dxa"/>
          </w:tcPr>
          <w:p w14:paraId="7B9F74A5"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CACNA1A</w:t>
            </w:r>
          </w:p>
        </w:tc>
        <w:tc>
          <w:tcPr>
            <w:cnfStyle w:val="000001000000" w:firstRow="0" w:lastRow="0" w:firstColumn="0" w:lastColumn="0" w:oddVBand="0" w:evenVBand="1" w:oddHBand="0" w:evenHBand="0" w:firstRowFirstColumn="0" w:firstRowLastColumn="0" w:lastRowFirstColumn="0" w:lastRowLastColumn="0"/>
            <w:tcW w:w="7740" w:type="dxa"/>
          </w:tcPr>
          <w:p w14:paraId="2F4AD0BC"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Абсансна епилепсия и епизодична атаксия, фамилна хемиплегична мигрена</w:t>
            </w:r>
          </w:p>
        </w:tc>
      </w:tr>
      <w:tr w:rsidR="00BE0B19" w:rsidRPr="00AE47C6" w14:paraId="087DF6DC" w14:textId="77777777" w:rsidTr="00AD72E5">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1635" w:type="dxa"/>
          </w:tcPr>
          <w:p w14:paraId="18FD3E80"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CACNB4</w:t>
            </w:r>
          </w:p>
        </w:tc>
        <w:tc>
          <w:tcPr>
            <w:cnfStyle w:val="000001000000" w:firstRow="0" w:lastRow="0" w:firstColumn="0" w:lastColumn="0" w:oddVBand="0" w:evenVBand="1" w:oddHBand="0" w:evenHBand="0" w:firstRowFirstColumn="0" w:firstRowLastColumn="0" w:lastRowFirstColumn="0" w:lastRowLastColumn="0"/>
            <w:tcW w:w="7740" w:type="dxa"/>
          </w:tcPr>
          <w:p w14:paraId="46536607"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Ювенилна миоклонична епилепсия</w:t>
            </w:r>
          </w:p>
        </w:tc>
      </w:tr>
      <w:tr w:rsidR="00BE0B19" w:rsidRPr="00AE47C6" w14:paraId="592BE834" w14:textId="77777777" w:rsidTr="00AD72E5">
        <w:trPr>
          <w:trHeight w:val="706"/>
        </w:trPr>
        <w:tc>
          <w:tcPr>
            <w:cnfStyle w:val="000010000000" w:firstRow="0" w:lastRow="0" w:firstColumn="0" w:lastColumn="0" w:oddVBand="1" w:evenVBand="0" w:oddHBand="0" w:evenHBand="0" w:firstRowFirstColumn="0" w:firstRowLastColumn="0" w:lastRowFirstColumn="0" w:lastRowLastColumn="0"/>
            <w:tcW w:w="1635" w:type="dxa"/>
          </w:tcPr>
          <w:p w14:paraId="63740101"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CDKL5 (STK9)</w:t>
            </w:r>
          </w:p>
        </w:tc>
        <w:tc>
          <w:tcPr>
            <w:cnfStyle w:val="000001000000" w:firstRow="0" w:lastRow="0" w:firstColumn="0" w:lastColumn="0" w:oddVBand="0" w:evenVBand="1" w:oddHBand="0" w:evenHBand="0" w:firstRowFirstColumn="0" w:firstRowLastColumn="0" w:lastRowFirstColumn="0" w:lastRowLastColumn="0"/>
            <w:tcW w:w="7740" w:type="dxa"/>
          </w:tcPr>
          <w:p w14:paraId="74576E35" w14:textId="77777777" w:rsidR="00BE0B19" w:rsidRPr="00AE47C6" w:rsidRDefault="00BE0B19" w:rsidP="00BE0B19">
            <w:pPr>
              <w:numPr>
                <w:ilvl w:val="0"/>
                <w:numId w:val="145"/>
              </w:numPr>
              <w:shd w:val="clear" w:color="auto" w:fill="FFFFFF"/>
              <w:spacing w:after="0" w:line="360" w:lineRule="auto"/>
              <w:jc w:val="both"/>
              <w:rPr>
                <w:rFonts w:ascii="Times New Roman" w:hAnsi="Times New Roman"/>
                <w:sz w:val="24"/>
                <w:szCs w:val="24"/>
              </w:rPr>
            </w:pPr>
            <w:r w:rsidRPr="00AE47C6">
              <w:rPr>
                <w:rFonts w:ascii="Times New Roman" w:hAnsi="Times New Roman"/>
                <w:sz w:val="24"/>
                <w:szCs w:val="24"/>
              </w:rPr>
              <w:t>Инфантилни спазми между 3 и 6 месеца, нарушено нервно-психично развитие, стереотипни движения с ръцете, атипична хипсаритмия ( 5 пъти по-честа при момичета)</w:t>
            </w:r>
          </w:p>
        </w:tc>
      </w:tr>
      <w:tr w:rsidR="00BE0B19" w:rsidRPr="00AE47C6" w14:paraId="318CB4CE" w14:textId="77777777" w:rsidTr="00AD72E5">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1635" w:type="dxa"/>
          </w:tcPr>
          <w:p w14:paraId="047803F6"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CHRNA4</w:t>
            </w:r>
          </w:p>
        </w:tc>
        <w:tc>
          <w:tcPr>
            <w:cnfStyle w:val="000001000000" w:firstRow="0" w:lastRow="0" w:firstColumn="0" w:lastColumn="0" w:oddVBand="0" w:evenVBand="1" w:oddHBand="0" w:evenHBand="0" w:firstRowFirstColumn="0" w:firstRowLastColumn="0" w:lastRowFirstColumn="0" w:lastRowLastColumn="0"/>
            <w:tcW w:w="7740" w:type="dxa"/>
          </w:tcPr>
          <w:p w14:paraId="0B3CAB85"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Автозомно-доминантна нощна фронтална епилепсия</w:t>
            </w:r>
          </w:p>
        </w:tc>
      </w:tr>
      <w:tr w:rsidR="00BE0B19" w:rsidRPr="00AE47C6" w14:paraId="202A7733" w14:textId="77777777" w:rsidTr="00AD72E5">
        <w:trPr>
          <w:trHeight w:val="270"/>
        </w:trPr>
        <w:tc>
          <w:tcPr>
            <w:cnfStyle w:val="000010000000" w:firstRow="0" w:lastRow="0" w:firstColumn="0" w:lastColumn="0" w:oddVBand="1" w:evenVBand="0" w:oddHBand="0" w:evenHBand="0" w:firstRowFirstColumn="0" w:firstRowLastColumn="0" w:lastRowFirstColumn="0" w:lastRowLastColumn="0"/>
            <w:tcW w:w="1635" w:type="dxa"/>
          </w:tcPr>
          <w:p w14:paraId="7E01121B"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CHRNB2</w:t>
            </w:r>
          </w:p>
        </w:tc>
        <w:tc>
          <w:tcPr>
            <w:cnfStyle w:val="000001000000" w:firstRow="0" w:lastRow="0" w:firstColumn="0" w:lastColumn="0" w:oddVBand="0" w:evenVBand="1" w:oddHBand="0" w:evenHBand="0" w:firstRowFirstColumn="0" w:firstRowLastColumn="0" w:lastRowFirstColumn="0" w:lastRowLastColumn="0"/>
            <w:tcW w:w="7740" w:type="dxa"/>
          </w:tcPr>
          <w:p w14:paraId="0A209CC2"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Автозомно-доминантна нощна фронтална епилепсия</w:t>
            </w:r>
          </w:p>
        </w:tc>
      </w:tr>
      <w:tr w:rsidR="00BE0B19" w:rsidRPr="00AE47C6" w14:paraId="6302038F" w14:textId="77777777" w:rsidTr="00AD72E5">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1635" w:type="dxa"/>
          </w:tcPr>
          <w:p w14:paraId="182BA643"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CHRNА2</w:t>
            </w:r>
          </w:p>
        </w:tc>
        <w:tc>
          <w:tcPr>
            <w:cnfStyle w:val="000001000000" w:firstRow="0" w:lastRow="0" w:firstColumn="0" w:lastColumn="0" w:oddVBand="0" w:evenVBand="1" w:oddHBand="0" w:evenHBand="0" w:firstRowFirstColumn="0" w:firstRowLastColumn="0" w:lastRowFirstColumn="0" w:lastRowLastColumn="0"/>
            <w:tcW w:w="7740" w:type="dxa"/>
          </w:tcPr>
          <w:p w14:paraId="5D961DCC"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Автозомно-доминантна нощна фронтална епилепсия</w:t>
            </w:r>
          </w:p>
        </w:tc>
      </w:tr>
      <w:tr w:rsidR="00BE0B19" w:rsidRPr="00AE47C6" w14:paraId="17FEF3E3" w14:textId="77777777" w:rsidTr="00AD72E5">
        <w:trPr>
          <w:trHeight w:val="270"/>
        </w:trPr>
        <w:tc>
          <w:tcPr>
            <w:cnfStyle w:val="000010000000" w:firstRow="0" w:lastRow="0" w:firstColumn="0" w:lastColumn="0" w:oddVBand="1" w:evenVBand="0" w:oddHBand="0" w:evenHBand="0" w:firstRowFirstColumn="0" w:firstRowLastColumn="0" w:lastRowFirstColumn="0" w:lastRowLastColumn="0"/>
            <w:tcW w:w="1635" w:type="dxa"/>
          </w:tcPr>
          <w:p w14:paraId="5F4F66BB"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CHRNA7</w:t>
            </w:r>
          </w:p>
        </w:tc>
        <w:tc>
          <w:tcPr>
            <w:cnfStyle w:val="000001000000" w:firstRow="0" w:lastRow="0" w:firstColumn="0" w:lastColumn="0" w:oddVBand="0" w:evenVBand="1" w:oddHBand="0" w:evenHBand="0" w:firstRowFirstColumn="0" w:firstRowLastColumn="0" w:lastRowFirstColumn="0" w:lastRowLastColumn="0"/>
            <w:tcW w:w="7740" w:type="dxa"/>
          </w:tcPr>
          <w:p w14:paraId="0424EF5A"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Ювенилна миоклонична епилепсия</w:t>
            </w:r>
          </w:p>
        </w:tc>
      </w:tr>
      <w:tr w:rsidR="00BE0B19" w:rsidRPr="00AE47C6" w14:paraId="1516C219" w14:textId="77777777" w:rsidTr="00AD72E5">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1635" w:type="dxa"/>
          </w:tcPr>
          <w:p w14:paraId="2ADF1B0A"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CLCN2</w:t>
            </w:r>
          </w:p>
        </w:tc>
        <w:tc>
          <w:tcPr>
            <w:cnfStyle w:val="000001000000" w:firstRow="0" w:lastRow="0" w:firstColumn="0" w:lastColumn="0" w:oddVBand="0" w:evenVBand="1" w:oddHBand="0" w:evenHBand="0" w:firstRowFirstColumn="0" w:firstRowLastColumn="0" w:lastRowFirstColumn="0" w:lastRowLastColumn="0"/>
            <w:tcW w:w="7740" w:type="dxa"/>
          </w:tcPr>
          <w:p w14:paraId="4C1D24BA"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Детска и ювенилна абсансна епилепсия, ювенилна миоклонична епилепсия</w:t>
            </w:r>
          </w:p>
        </w:tc>
      </w:tr>
      <w:tr w:rsidR="00BE0B19" w:rsidRPr="00AE47C6" w14:paraId="57A0F808" w14:textId="77777777" w:rsidTr="00AD72E5">
        <w:trPr>
          <w:trHeight w:val="255"/>
        </w:trPr>
        <w:tc>
          <w:tcPr>
            <w:cnfStyle w:val="000010000000" w:firstRow="0" w:lastRow="0" w:firstColumn="0" w:lastColumn="0" w:oddVBand="1" w:evenVBand="0" w:oddHBand="0" w:evenHBand="0" w:firstRowFirstColumn="0" w:firstRowLastColumn="0" w:lastRowFirstColumn="0" w:lastRowLastColumn="0"/>
            <w:tcW w:w="1635" w:type="dxa"/>
          </w:tcPr>
          <w:p w14:paraId="2520FA59" w14:textId="77777777" w:rsidR="00BE0B19" w:rsidRPr="00AE47C6" w:rsidRDefault="00BE0B19" w:rsidP="00BE0B19">
            <w:pPr>
              <w:spacing w:after="0" w:line="360" w:lineRule="auto"/>
              <w:jc w:val="both"/>
              <w:rPr>
                <w:rFonts w:ascii="Times New Roman" w:hAnsi="Times New Roman"/>
                <w:b/>
                <w:bCs/>
                <w:i/>
                <w:iCs/>
                <w:sz w:val="24"/>
                <w:szCs w:val="24"/>
              </w:rPr>
            </w:pPr>
            <w:r w:rsidRPr="00AE47C6">
              <w:rPr>
                <w:rFonts w:ascii="Times New Roman" w:hAnsi="Times New Roman"/>
                <w:b/>
                <w:bCs/>
                <w:i/>
                <w:iCs/>
                <w:sz w:val="24"/>
                <w:szCs w:val="24"/>
              </w:rPr>
              <w:t>CLTC</w:t>
            </w:r>
          </w:p>
        </w:tc>
        <w:tc>
          <w:tcPr>
            <w:cnfStyle w:val="000001000000" w:firstRow="0" w:lastRow="0" w:firstColumn="0" w:lastColumn="0" w:oddVBand="0" w:evenVBand="1" w:oddHBand="0" w:evenHBand="0" w:firstRowFirstColumn="0" w:firstRowLastColumn="0" w:lastRowFirstColumn="0" w:lastRowLastColumn="0"/>
            <w:tcW w:w="7740" w:type="dxa"/>
          </w:tcPr>
          <w:p w14:paraId="7D30E3D2"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Епилептична енцефалопатия с умствена изостаналост</w:t>
            </w:r>
          </w:p>
        </w:tc>
      </w:tr>
      <w:tr w:rsidR="00BE0B19" w:rsidRPr="00AE47C6" w14:paraId="7A887A10" w14:textId="77777777" w:rsidTr="00AD72E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635" w:type="dxa"/>
          </w:tcPr>
          <w:p w14:paraId="555837C7" w14:textId="77777777" w:rsidR="00BE0B19" w:rsidRPr="00AE47C6" w:rsidRDefault="00BE0B19" w:rsidP="00BE0B19">
            <w:pPr>
              <w:spacing w:after="0" w:line="360" w:lineRule="auto"/>
              <w:jc w:val="both"/>
              <w:rPr>
                <w:rFonts w:ascii="Times New Roman" w:hAnsi="Times New Roman"/>
                <w:b/>
                <w:bCs/>
                <w:i/>
                <w:iCs/>
                <w:sz w:val="24"/>
                <w:szCs w:val="24"/>
              </w:rPr>
            </w:pPr>
            <w:r w:rsidRPr="00AE47C6">
              <w:rPr>
                <w:rFonts w:ascii="Times New Roman" w:hAnsi="Times New Roman"/>
                <w:b/>
                <w:bCs/>
                <w:i/>
                <w:iCs/>
                <w:sz w:val="24"/>
                <w:szCs w:val="24"/>
              </w:rPr>
              <w:t>DHDDS</w:t>
            </w:r>
          </w:p>
        </w:tc>
        <w:tc>
          <w:tcPr>
            <w:cnfStyle w:val="000001000000" w:firstRow="0" w:lastRow="0" w:firstColumn="0" w:lastColumn="0" w:oddVBand="0" w:evenVBand="1" w:oddHBand="0" w:evenHBand="0" w:firstRowFirstColumn="0" w:firstRowLastColumn="0" w:lastRowFirstColumn="0" w:lastRowLastColumn="0"/>
            <w:tcW w:w="7740" w:type="dxa"/>
          </w:tcPr>
          <w:p w14:paraId="3460A436"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Епилептична енцефалопатия с умствена изостаналост</w:t>
            </w:r>
          </w:p>
        </w:tc>
      </w:tr>
      <w:tr w:rsidR="00BE0B19" w:rsidRPr="00AE47C6" w14:paraId="69405FCE" w14:textId="77777777" w:rsidTr="00AD72E5">
        <w:trPr>
          <w:trHeight w:val="270"/>
        </w:trPr>
        <w:tc>
          <w:tcPr>
            <w:cnfStyle w:val="000010000000" w:firstRow="0" w:lastRow="0" w:firstColumn="0" w:lastColumn="0" w:oddVBand="1" w:evenVBand="0" w:oddHBand="0" w:evenHBand="0" w:firstRowFirstColumn="0" w:firstRowLastColumn="0" w:lastRowFirstColumn="0" w:lastRowLastColumn="0"/>
            <w:tcW w:w="1635" w:type="dxa"/>
          </w:tcPr>
          <w:p w14:paraId="60BFBED5"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EFHC1</w:t>
            </w:r>
          </w:p>
        </w:tc>
        <w:tc>
          <w:tcPr>
            <w:cnfStyle w:val="000001000000" w:firstRow="0" w:lastRow="0" w:firstColumn="0" w:lastColumn="0" w:oddVBand="0" w:evenVBand="1" w:oddHBand="0" w:evenHBand="0" w:firstRowFirstColumn="0" w:firstRowLastColumn="0" w:lastRowFirstColumn="0" w:lastRowLastColumn="0"/>
            <w:tcW w:w="7740" w:type="dxa"/>
          </w:tcPr>
          <w:p w14:paraId="3708D782"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Ювенилна миоклонична епилепсия</w:t>
            </w:r>
          </w:p>
        </w:tc>
      </w:tr>
      <w:tr w:rsidR="00BE0B19" w:rsidRPr="00AE47C6" w14:paraId="1A4FB7EF" w14:textId="77777777" w:rsidTr="00AD72E5">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1635" w:type="dxa"/>
          </w:tcPr>
          <w:p w14:paraId="65A849E9"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GABRD</w:t>
            </w:r>
          </w:p>
        </w:tc>
        <w:tc>
          <w:tcPr>
            <w:cnfStyle w:val="000001000000" w:firstRow="0" w:lastRow="0" w:firstColumn="0" w:lastColumn="0" w:oddVBand="0" w:evenVBand="1" w:oddHBand="0" w:evenHBand="0" w:firstRowFirstColumn="0" w:firstRowLastColumn="0" w:lastRowFirstColumn="0" w:lastRowLastColumn="0"/>
            <w:tcW w:w="7740" w:type="dxa"/>
          </w:tcPr>
          <w:p w14:paraId="042854F4"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Генетична епилепсия с фебрилни гърчове плюс</w:t>
            </w:r>
          </w:p>
        </w:tc>
      </w:tr>
      <w:tr w:rsidR="00BE0B19" w:rsidRPr="00AE47C6" w14:paraId="3E69E877" w14:textId="77777777" w:rsidTr="00AD72E5">
        <w:trPr>
          <w:trHeight w:val="270"/>
        </w:trPr>
        <w:tc>
          <w:tcPr>
            <w:cnfStyle w:val="000010000000" w:firstRow="0" w:lastRow="0" w:firstColumn="0" w:lastColumn="0" w:oddVBand="1" w:evenVBand="0" w:oddHBand="0" w:evenHBand="0" w:firstRowFirstColumn="0" w:firstRowLastColumn="0" w:lastRowFirstColumn="0" w:lastRowLastColumn="0"/>
            <w:tcW w:w="1635" w:type="dxa"/>
          </w:tcPr>
          <w:p w14:paraId="7F501480"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GABRA1</w:t>
            </w:r>
          </w:p>
        </w:tc>
        <w:tc>
          <w:tcPr>
            <w:cnfStyle w:val="000001000000" w:firstRow="0" w:lastRow="0" w:firstColumn="0" w:lastColumn="0" w:oddVBand="0" w:evenVBand="1" w:oddHBand="0" w:evenHBand="0" w:firstRowFirstColumn="0" w:firstRowLastColumn="0" w:lastRowFirstColumn="0" w:lastRowLastColumn="0"/>
            <w:tcW w:w="7740" w:type="dxa"/>
          </w:tcPr>
          <w:p w14:paraId="3E2F7A0C"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Ювенилна миоклонична епилепсия</w:t>
            </w:r>
          </w:p>
        </w:tc>
      </w:tr>
      <w:tr w:rsidR="00BE0B19" w:rsidRPr="00AE47C6" w14:paraId="19962205" w14:textId="77777777" w:rsidTr="00AD72E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635" w:type="dxa"/>
          </w:tcPr>
          <w:p w14:paraId="0007E95D" w14:textId="77777777" w:rsidR="00BE0B19" w:rsidRPr="00AE47C6" w:rsidRDefault="00BE0B19" w:rsidP="00BE0B19">
            <w:pPr>
              <w:spacing w:after="0" w:line="360" w:lineRule="auto"/>
              <w:jc w:val="both"/>
              <w:rPr>
                <w:rFonts w:ascii="Times New Roman" w:hAnsi="Times New Roman"/>
                <w:b/>
                <w:bCs/>
                <w:i/>
                <w:sz w:val="24"/>
                <w:szCs w:val="24"/>
              </w:rPr>
            </w:pPr>
            <w:r w:rsidRPr="00AE47C6">
              <w:rPr>
                <w:rFonts w:ascii="Times New Roman" w:hAnsi="Times New Roman"/>
                <w:b/>
                <w:bCs/>
                <w:i/>
                <w:iCs/>
                <w:sz w:val="24"/>
                <w:szCs w:val="24"/>
              </w:rPr>
              <w:t>GABRB2</w:t>
            </w:r>
          </w:p>
        </w:tc>
        <w:tc>
          <w:tcPr>
            <w:cnfStyle w:val="000001000000" w:firstRow="0" w:lastRow="0" w:firstColumn="0" w:lastColumn="0" w:oddVBand="0" w:evenVBand="1" w:oddHBand="0" w:evenHBand="0" w:firstRowFirstColumn="0" w:firstRowLastColumn="0" w:lastRowFirstColumn="0" w:lastRowLastColumn="0"/>
            <w:tcW w:w="7740" w:type="dxa"/>
          </w:tcPr>
          <w:p w14:paraId="4A9036E1"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Епилептична енцефалопатия с умствена изостаналост</w:t>
            </w:r>
          </w:p>
        </w:tc>
      </w:tr>
      <w:tr w:rsidR="00BE0B19" w:rsidRPr="00AE47C6" w14:paraId="635E5CE4" w14:textId="77777777" w:rsidTr="00AD72E5">
        <w:trPr>
          <w:trHeight w:val="255"/>
        </w:trPr>
        <w:tc>
          <w:tcPr>
            <w:cnfStyle w:val="000010000000" w:firstRow="0" w:lastRow="0" w:firstColumn="0" w:lastColumn="0" w:oddVBand="1" w:evenVBand="0" w:oddHBand="0" w:evenHBand="0" w:firstRowFirstColumn="0" w:firstRowLastColumn="0" w:lastRowFirstColumn="0" w:lastRowLastColumn="0"/>
            <w:tcW w:w="1635" w:type="dxa"/>
          </w:tcPr>
          <w:p w14:paraId="2FA3D77C" w14:textId="77777777" w:rsidR="00BE0B19" w:rsidRPr="00AE47C6" w:rsidRDefault="00BE0B19" w:rsidP="00BE0B19">
            <w:pPr>
              <w:spacing w:after="0" w:line="360" w:lineRule="auto"/>
              <w:jc w:val="both"/>
              <w:rPr>
                <w:rFonts w:ascii="Times New Roman" w:hAnsi="Times New Roman"/>
                <w:b/>
                <w:bCs/>
                <w:i/>
                <w:sz w:val="24"/>
                <w:szCs w:val="24"/>
              </w:rPr>
            </w:pPr>
            <w:r w:rsidRPr="00AE47C6">
              <w:rPr>
                <w:rFonts w:ascii="Times New Roman" w:hAnsi="Times New Roman"/>
                <w:b/>
                <w:bCs/>
                <w:i/>
                <w:iCs/>
                <w:sz w:val="24"/>
                <w:szCs w:val="24"/>
              </w:rPr>
              <w:t>GABRB3</w:t>
            </w:r>
          </w:p>
        </w:tc>
        <w:tc>
          <w:tcPr>
            <w:cnfStyle w:val="000001000000" w:firstRow="0" w:lastRow="0" w:firstColumn="0" w:lastColumn="0" w:oddVBand="0" w:evenVBand="1" w:oddHBand="0" w:evenHBand="0" w:firstRowFirstColumn="0" w:firstRowLastColumn="0" w:lastRowFirstColumn="0" w:lastRowLastColumn="0"/>
            <w:tcW w:w="7740" w:type="dxa"/>
          </w:tcPr>
          <w:p w14:paraId="3B8E7655"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Епилепсия и аутизъм</w:t>
            </w:r>
          </w:p>
        </w:tc>
      </w:tr>
      <w:tr w:rsidR="00BE0B19" w:rsidRPr="00AE47C6" w14:paraId="389C1994" w14:textId="77777777" w:rsidTr="00AD72E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635" w:type="dxa"/>
          </w:tcPr>
          <w:p w14:paraId="361E71A4" w14:textId="77777777" w:rsidR="00BE0B19" w:rsidRPr="00AE47C6" w:rsidRDefault="00BE0B19" w:rsidP="00BE0B19">
            <w:pPr>
              <w:spacing w:after="0" w:line="360" w:lineRule="auto"/>
              <w:jc w:val="both"/>
              <w:rPr>
                <w:rFonts w:ascii="Times New Roman" w:hAnsi="Times New Roman"/>
                <w:b/>
                <w:bCs/>
                <w:i/>
                <w:sz w:val="24"/>
                <w:szCs w:val="24"/>
              </w:rPr>
            </w:pPr>
            <w:r w:rsidRPr="00AE47C6">
              <w:rPr>
                <w:rFonts w:ascii="Times New Roman" w:hAnsi="Times New Roman"/>
                <w:b/>
                <w:bCs/>
                <w:i/>
                <w:sz w:val="24"/>
                <w:szCs w:val="24"/>
              </w:rPr>
              <w:t>GABRG2</w:t>
            </w:r>
          </w:p>
          <w:p w14:paraId="48FA801D" w14:textId="77777777" w:rsidR="00BE0B19" w:rsidRPr="00AE47C6" w:rsidRDefault="00BE0B19" w:rsidP="00BE0B19">
            <w:pPr>
              <w:spacing w:after="0" w:line="360" w:lineRule="auto"/>
              <w:jc w:val="both"/>
              <w:rPr>
                <w:rFonts w:ascii="Times New Roman" w:hAnsi="Times New Roman"/>
                <w:i/>
                <w:sz w:val="24"/>
                <w:szCs w:val="24"/>
              </w:rPr>
            </w:pPr>
          </w:p>
        </w:tc>
        <w:tc>
          <w:tcPr>
            <w:cnfStyle w:val="000001000000" w:firstRow="0" w:lastRow="0" w:firstColumn="0" w:lastColumn="0" w:oddVBand="0" w:evenVBand="1" w:oddHBand="0" w:evenHBand="0" w:firstRowFirstColumn="0" w:firstRowLastColumn="0" w:lastRowFirstColumn="0" w:lastRowLastColumn="0"/>
            <w:tcW w:w="7740" w:type="dxa"/>
          </w:tcPr>
          <w:p w14:paraId="4D11A2B7"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Детска абсансна епилепсия, Генетична епилепсия с фебрилни гърчове плюс (GEFS+), Синдром на Dravet (SMEI), прости фебрилни гърчове</w:t>
            </w:r>
          </w:p>
        </w:tc>
      </w:tr>
      <w:tr w:rsidR="00BE0B19" w:rsidRPr="00AE47C6" w14:paraId="3D3BBAF4" w14:textId="77777777" w:rsidTr="00AD72E5">
        <w:trPr>
          <w:trHeight w:val="255"/>
        </w:trPr>
        <w:tc>
          <w:tcPr>
            <w:cnfStyle w:val="000010000000" w:firstRow="0" w:lastRow="0" w:firstColumn="0" w:lastColumn="0" w:oddVBand="1" w:evenVBand="0" w:oddHBand="0" w:evenHBand="0" w:firstRowFirstColumn="0" w:firstRowLastColumn="0" w:lastRowFirstColumn="0" w:lastRowLastColumn="0"/>
            <w:tcW w:w="1635" w:type="dxa"/>
          </w:tcPr>
          <w:p w14:paraId="578E0719" w14:textId="77777777" w:rsidR="00BE0B19" w:rsidRPr="00AE47C6" w:rsidRDefault="00BE0B19" w:rsidP="00BE0B19">
            <w:pPr>
              <w:spacing w:after="0" w:line="360" w:lineRule="auto"/>
              <w:jc w:val="both"/>
              <w:rPr>
                <w:rFonts w:ascii="Times New Roman" w:hAnsi="Times New Roman"/>
                <w:b/>
                <w:bCs/>
                <w:i/>
                <w:iCs/>
                <w:sz w:val="24"/>
                <w:szCs w:val="24"/>
              </w:rPr>
            </w:pPr>
            <w:r w:rsidRPr="00AE47C6">
              <w:rPr>
                <w:rFonts w:ascii="Times New Roman" w:hAnsi="Times New Roman"/>
                <w:b/>
                <w:bCs/>
                <w:i/>
                <w:iCs/>
                <w:sz w:val="24"/>
                <w:szCs w:val="24"/>
              </w:rPr>
              <w:t>GABBR2</w:t>
            </w:r>
          </w:p>
        </w:tc>
        <w:tc>
          <w:tcPr>
            <w:cnfStyle w:val="000001000000" w:firstRow="0" w:lastRow="0" w:firstColumn="0" w:lastColumn="0" w:oddVBand="0" w:evenVBand="1" w:oddHBand="0" w:evenHBand="0" w:firstRowFirstColumn="0" w:firstRowLastColumn="0" w:lastRowFirstColumn="0" w:lastRowLastColumn="0"/>
            <w:tcW w:w="7740" w:type="dxa"/>
          </w:tcPr>
          <w:p w14:paraId="7EB33D18"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Епилептична енцефалопатия с умствена изостаналост, синдром на Rett</w:t>
            </w:r>
          </w:p>
        </w:tc>
      </w:tr>
      <w:tr w:rsidR="00BE0B19" w:rsidRPr="00AE47C6" w14:paraId="47301622" w14:textId="77777777" w:rsidTr="00AD72E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635" w:type="dxa"/>
          </w:tcPr>
          <w:p w14:paraId="377FF896" w14:textId="77777777" w:rsidR="00BE0B19" w:rsidRPr="00AE47C6" w:rsidRDefault="00BE0B19" w:rsidP="00BE0B19">
            <w:pPr>
              <w:spacing w:after="0" w:line="360" w:lineRule="auto"/>
              <w:jc w:val="both"/>
              <w:rPr>
                <w:rFonts w:ascii="Times New Roman" w:hAnsi="Times New Roman"/>
                <w:b/>
                <w:bCs/>
                <w:i/>
                <w:sz w:val="24"/>
                <w:szCs w:val="24"/>
              </w:rPr>
            </w:pPr>
            <w:r w:rsidRPr="00AE47C6">
              <w:rPr>
                <w:rFonts w:ascii="Times New Roman" w:hAnsi="Times New Roman"/>
                <w:b/>
                <w:bCs/>
                <w:i/>
                <w:sz w:val="24"/>
                <w:szCs w:val="24"/>
              </w:rPr>
              <w:t>GNAO1</w:t>
            </w:r>
          </w:p>
        </w:tc>
        <w:tc>
          <w:tcPr>
            <w:cnfStyle w:val="000001000000" w:firstRow="0" w:lastRow="0" w:firstColumn="0" w:lastColumn="0" w:oddVBand="0" w:evenVBand="1" w:oddHBand="0" w:evenHBand="0" w:firstRowFirstColumn="0" w:firstRowLastColumn="0" w:lastRowFirstColumn="0" w:lastRowLastColumn="0"/>
            <w:tcW w:w="7740" w:type="dxa"/>
          </w:tcPr>
          <w:p w14:paraId="43705315"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GNAO1- епилептична енцефалопатия и двигателни нарушения</w:t>
            </w:r>
          </w:p>
        </w:tc>
      </w:tr>
      <w:tr w:rsidR="00BE0B19" w:rsidRPr="00AE47C6" w14:paraId="5E176FBD" w14:textId="77777777" w:rsidTr="00AD72E5">
        <w:trPr>
          <w:trHeight w:val="255"/>
        </w:trPr>
        <w:tc>
          <w:tcPr>
            <w:cnfStyle w:val="000010000000" w:firstRow="0" w:lastRow="0" w:firstColumn="0" w:lastColumn="0" w:oddVBand="1" w:evenVBand="0" w:oddHBand="0" w:evenHBand="0" w:firstRowFirstColumn="0" w:firstRowLastColumn="0" w:lastRowFirstColumn="0" w:lastRowLastColumn="0"/>
            <w:tcW w:w="1635" w:type="dxa"/>
          </w:tcPr>
          <w:p w14:paraId="1ACDF776"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KCNQ2</w:t>
            </w:r>
          </w:p>
        </w:tc>
        <w:tc>
          <w:tcPr>
            <w:cnfStyle w:val="000001000000" w:firstRow="0" w:lastRow="0" w:firstColumn="0" w:lastColumn="0" w:oddVBand="0" w:evenVBand="1" w:oddHBand="0" w:evenHBand="0" w:firstRowFirstColumn="0" w:firstRowLastColumn="0" w:lastRowFirstColumn="0" w:lastRowLastColumn="0"/>
            <w:tcW w:w="7740" w:type="dxa"/>
          </w:tcPr>
          <w:p w14:paraId="6A9B2CED"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Бенигнени фамилни неонатални конвулсии</w:t>
            </w:r>
            <w:r w:rsidRPr="00AE47C6">
              <w:rPr>
                <w:rFonts w:ascii="Times New Roman" w:hAnsi="Times New Roman"/>
                <w:sz w:val="24"/>
                <w:szCs w:val="24"/>
                <w:shd w:val="clear" w:color="auto" w:fill="FFFFFF"/>
              </w:rPr>
              <w:t xml:space="preserve"> (KCNQ2-BFNE) </w:t>
            </w:r>
            <w:r w:rsidRPr="00AE47C6">
              <w:rPr>
                <w:rFonts w:ascii="Times New Roman" w:hAnsi="Times New Roman"/>
                <w:sz w:val="24"/>
                <w:szCs w:val="24"/>
              </w:rPr>
              <w:t xml:space="preserve">, </w:t>
            </w:r>
            <w:r w:rsidRPr="00AE47C6">
              <w:rPr>
                <w:rFonts w:ascii="Times New Roman" w:hAnsi="Times New Roman"/>
                <w:sz w:val="24"/>
                <w:szCs w:val="24"/>
                <w:shd w:val="clear" w:color="auto" w:fill="FFFFFF"/>
              </w:rPr>
              <w:t>неонатални епилептични енцефалопатии (KCNQ2-NEE)</w:t>
            </w:r>
          </w:p>
        </w:tc>
      </w:tr>
      <w:tr w:rsidR="00BE0B19" w:rsidRPr="00AE47C6" w14:paraId="0B74A84C" w14:textId="77777777" w:rsidTr="00AD72E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635" w:type="dxa"/>
          </w:tcPr>
          <w:p w14:paraId="4426983A"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KCNQ3</w:t>
            </w:r>
          </w:p>
        </w:tc>
        <w:tc>
          <w:tcPr>
            <w:cnfStyle w:val="000001000000" w:firstRow="0" w:lastRow="0" w:firstColumn="0" w:lastColumn="0" w:oddVBand="0" w:evenVBand="1" w:oddHBand="0" w:evenHBand="0" w:firstRowFirstColumn="0" w:firstRowLastColumn="0" w:lastRowFirstColumn="0" w:lastRowLastColumn="0"/>
            <w:tcW w:w="7740" w:type="dxa"/>
          </w:tcPr>
          <w:p w14:paraId="17AAB87F"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Бенигнени фамилни неонатални конвулсии</w:t>
            </w:r>
            <w:r w:rsidRPr="00AE47C6">
              <w:rPr>
                <w:rFonts w:ascii="Times New Roman" w:hAnsi="Times New Roman"/>
                <w:sz w:val="24"/>
                <w:szCs w:val="24"/>
                <w:shd w:val="clear" w:color="auto" w:fill="FFFFFF"/>
              </w:rPr>
              <w:t xml:space="preserve"> (BFNE) , бенигнена фамилна инфантилна епилепсия (BFIE), възможен </w:t>
            </w:r>
            <w:r w:rsidRPr="00AE47C6">
              <w:rPr>
                <w:rFonts w:ascii="Times New Roman" w:hAnsi="Times New Roman"/>
                <w:iCs/>
                <w:sz w:val="24"/>
                <w:szCs w:val="24"/>
                <w:shd w:val="clear" w:color="auto" w:fill="FFFFFF"/>
              </w:rPr>
              <w:t>KCNQ3</w:t>
            </w:r>
            <w:r w:rsidRPr="00AE47C6">
              <w:rPr>
                <w:rFonts w:ascii="Times New Roman" w:hAnsi="Times New Roman"/>
                <w:sz w:val="24"/>
                <w:szCs w:val="24"/>
                <w:shd w:val="clear" w:color="auto" w:fill="FFFFFF"/>
              </w:rPr>
              <w:t>-свързан интелектуален дефицит.</w:t>
            </w:r>
          </w:p>
        </w:tc>
      </w:tr>
      <w:tr w:rsidR="00BE0B19" w:rsidRPr="00AE47C6" w14:paraId="37743DA2" w14:textId="77777777" w:rsidTr="00AD72E5">
        <w:trPr>
          <w:trHeight w:val="285"/>
        </w:trPr>
        <w:tc>
          <w:tcPr>
            <w:cnfStyle w:val="000010000000" w:firstRow="0" w:lastRow="0" w:firstColumn="0" w:lastColumn="0" w:oddVBand="1" w:evenVBand="0" w:oddHBand="0" w:evenHBand="0" w:firstRowFirstColumn="0" w:firstRowLastColumn="0" w:lastRowFirstColumn="0" w:lastRowLastColumn="0"/>
            <w:tcW w:w="1635" w:type="dxa"/>
          </w:tcPr>
          <w:p w14:paraId="15691C04"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KCNMA1</w:t>
            </w:r>
          </w:p>
        </w:tc>
        <w:tc>
          <w:tcPr>
            <w:cnfStyle w:val="000001000000" w:firstRow="0" w:lastRow="0" w:firstColumn="0" w:lastColumn="0" w:oddVBand="0" w:evenVBand="1" w:oddHBand="0" w:evenHBand="0" w:firstRowFirstColumn="0" w:firstRowLastColumn="0" w:lastRowFirstColumn="0" w:lastRowLastColumn="0"/>
            <w:tcW w:w="7740" w:type="dxa"/>
          </w:tcPr>
          <w:p w14:paraId="7C6485F7"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Генерализирана епилепсия с пароксизмални дизкинезии</w:t>
            </w:r>
          </w:p>
        </w:tc>
      </w:tr>
      <w:tr w:rsidR="00BE0B19" w:rsidRPr="00AE47C6" w14:paraId="01152D37" w14:textId="77777777" w:rsidTr="00AD72E5">
        <w:trPr>
          <w:cnfStyle w:val="000000100000" w:firstRow="0" w:lastRow="0" w:firstColumn="0" w:lastColumn="0" w:oddVBand="0" w:evenVBand="0" w:oddHBand="1" w:evenHBand="0" w:firstRowFirstColumn="0" w:firstRowLastColumn="0" w:lastRowFirstColumn="0" w:lastRowLastColumn="0"/>
          <w:trHeight w:val="285"/>
        </w:trPr>
        <w:tc>
          <w:tcPr>
            <w:cnfStyle w:val="000010000000" w:firstRow="0" w:lastRow="0" w:firstColumn="0" w:lastColumn="0" w:oddVBand="1" w:evenVBand="0" w:oddHBand="0" w:evenHBand="0" w:firstRowFirstColumn="0" w:firstRowLastColumn="0" w:lastRowFirstColumn="0" w:lastRowLastColumn="0"/>
            <w:tcW w:w="1635" w:type="dxa"/>
          </w:tcPr>
          <w:p w14:paraId="016D2EB8" w14:textId="77777777" w:rsidR="00BE0B19" w:rsidRPr="00AE47C6" w:rsidRDefault="00BE0B19" w:rsidP="00BE0B19">
            <w:pPr>
              <w:spacing w:after="0" w:line="360" w:lineRule="auto"/>
              <w:jc w:val="both"/>
              <w:rPr>
                <w:rFonts w:ascii="Times New Roman" w:hAnsi="Times New Roman"/>
                <w:b/>
                <w:bCs/>
                <w:i/>
                <w:sz w:val="24"/>
                <w:szCs w:val="24"/>
              </w:rPr>
            </w:pPr>
            <w:r w:rsidRPr="00AE47C6">
              <w:rPr>
                <w:rFonts w:ascii="Times New Roman" w:hAnsi="Times New Roman"/>
                <w:b/>
                <w:bCs/>
                <w:i/>
                <w:iCs/>
                <w:sz w:val="24"/>
                <w:szCs w:val="24"/>
              </w:rPr>
              <w:t>KCNT1</w:t>
            </w:r>
          </w:p>
        </w:tc>
        <w:tc>
          <w:tcPr>
            <w:cnfStyle w:val="000001000000" w:firstRow="0" w:lastRow="0" w:firstColumn="0" w:lastColumn="0" w:oddVBand="0" w:evenVBand="1" w:oddHBand="0" w:evenHBand="0" w:firstRowFirstColumn="0" w:firstRowLastColumn="0" w:lastRowFirstColumn="0" w:lastRowLastColumn="0"/>
            <w:tcW w:w="7740" w:type="dxa"/>
          </w:tcPr>
          <w:p w14:paraId="54A60B87"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shd w:val="clear" w:color="auto" w:fill="FFFFFF"/>
              </w:rPr>
              <w:t>Епилепсия с мигриращи фокални пристъпи в кърмаческа възраст (EIMFS), автозомно-доминантна нощна фронтално-дялова епилепсия(ADNFLE).</w:t>
            </w:r>
          </w:p>
        </w:tc>
      </w:tr>
      <w:tr w:rsidR="00BE0B19" w:rsidRPr="00AE47C6" w14:paraId="113C6853" w14:textId="77777777" w:rsidTr="00AD72E5">
        <w:trPr>
          <w:trHeight w:val="255"/>
        </w:trPr>
        <w:tc>
          <w:tcPr>
            <w:cnfStyle w:val="000010000000" w:firstRow="0" w:lastRow="0" w:firstColumn="0" w:lastColumn="0" w:oddVBand="1" w:evenVBand="0" w:oddHBand="0" w:evenHBand="0" w:firstRowFirstColumn="0" w:firstRowLastColumn="0" w:lastRowFirstColumn="0" w:lastRowLastColumn="0"/>
            <w:tcW w:w="1635" w:type="dxa"/>
          </w:tcPr>
          <w:p w14:paraId="24743687"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LGI1</w:t>
            </w:r>
          </w:p>
        </w:tc>
        <w:tc>
          <w:tcPr>
            <w:cnfStyle w:val="000001000000" w:firstRow="0" w:lastRow="0" w:firstColumn="0" w:lastColumn="0" w:oddVBand="0" w:evenVBand="1" w:oddHBand="0" w:evenHBand="0" w:firstRowFirstColumn="0" w:firstRowLastColumn="0" w:lastRowFirstColumn="0" w:lastRowLastColumn="0"/>
            <w:tcW w:w="7740" w:type="dxa"/>
          </w:tcPr>
          <w:p w14:paraId="195C9E95"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Автозомно-доминантна фокална епилепсия със слухови халюцинации</w:t>
            </w:r>
          </w:p>
        </w:tc>
      </w:tr>
      <w:tr w:rsidR="00BE0B19" w:rsidRPr="00AE47C6" w14:paraId="5439615E" w14:textId="77777777" w:rsidTr="00AD72E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635" w:type="dxa"/>
          </w:tcPr>
          <w:p w14:paraId="557AFE19" w14:textId="77777777" w:rsidR="00BE0B19" w:rsidRPr="00AE47C6" w:rsidRDefault="00BE0B19" w:rsidP="00BE0B19">
            <w:pPr>
              <w:spacing w:after="0" w:line="360" w:lineRule="auto"/>
              <w:jc w:val="both"/>
              <w:rPr>
                <w:rFonts w:ascii="Times New Roman" w:hAnsi="Times New Roman"/>
                <w:b/>
                <w:bCs/>
                <w:i/>
                <w:sz w:val="24"/>
                <w:szCs w:val="24"/>
              </w:rPr>
            </w:pPr>
            <w:r w:rsidRPr="00AE47C6">
              <w:rPr>
                <w:rFonts w:ascii="Times New Roman" w:hAnsi="Times New Roman"/>
                <w:b/>
                <w:bCs/>
                <w:i/>
                <w:iCs/>
                <w:sz w:val="24"/>
                <w:szCs w:val="24"/>
              </w:rPr>
              <w:t>NTRK2</w:t>
            </w:r>
          </w:p>
        </w:tc>
        <w:tc>
          <w:tcPr>
            <w:cnfStyle w:val="000001000000" w:firstRow="0" w:lastRow="0" w:firstColumn="0" w:lastColumn="0" w:oddVBand="0" w:evenVBand="1" w:oddHBand="0" w:evenHBand="0" w:firstRowFirstColumn="0" w:firstRowLastColumn="0" w:lastRowFirstColumn="0" w:lastRowLastColumn="0"/>
            <w:tcW w:w="7740" w:type="dxa"/>
          </w:tcPr>
          <w:p w14:paraId="6A72E147"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Темпоралнодялова епилепсия, епилептична енцефалопатия с умствена изостаналост</w:t>
            </w:r>
          </w:p>
        </w:tc>
      </w:tr>
      <w:tr w:rsidR="00BE0B19" w:rsidRPr="00AE47C6" w14:paraId="45BDE998" w14:textId="77777777" w:rsidTr="00AD72E5">
        <w:trPr>
          <w:trHeight w:val="255"/>
        </w:trPr>
        <w:tc>
          <w:tcPr>
            <w:cnfStyle w:val="000010000000" w:firstRow="0" w:lastRow="0" w:firstColumn="0" w:lastColumn="0" w:oddVBand="1" w:evenVBand="0" w:oddHBand="0" w:evenHBand="0" w:firstRowFirstColumn="0" w:firstRowLastColumn="0" w:lastRowFirstColumn="0" w:lastRowLastColumn="0"/>
            <w:tcW w:w="1635" w:type="dxa"/>
          </w:tcPr>
          <w:p w14:paraId="385947AA" w14:textId="77777777" w:rsidR="00BE0B19" w:rsidRPr="00AE47C6" w:rsidRDefault="00BE0B19" w:rsidP="00BE0B19">
            <w:pPr>
              <w:spacing w:after="0" w:line="360" w:lineRule="auto"/>
              <w:jc w:val="both"/>
              <w:rPr>
                <w:rFonts w:ascii="Times New Roman" w:hAnsi="Times New Roman"/>
                <w:b/>
                <w:bCs/>
                <w:i/>
                <w:iCs/>
                <w:sz w:val="24"/>
                <w:szCs w:val="24"/>
              </w:rPr>
            </w:pPr>
            <w:r w:rsidRPr="00AE47C6">
              <w:rPr>
                <w:rFonts w:ascii="Times New Roman" w:hAnsi="Times New Roman"/>
                <w:b/>
                <w:bCs/>
                <w:i/>
                <w:iCs/>
                <w:sz w:val="24"/>
                <w:szCs w:val="24"/>
              </w:rPr>
              <w:t>NUS1</w:t>
            </w:r>
          </w:p>
        </w:tc>
        <w:tc>
          <w:tcPr>
            <w:cnfStyle w:val="000001000000" w:firstRow="0" w:lastRow="0" w:firstColumn="0" w:lastColumn="0" w:oddVBand="0" w:evenVBand="1" w:oddHBand="0" w:evenHBand="0" w:firstRowFirstColumn="0" w:firstRowLastColumn="0" w:lastRowFirstColumn="0" w:lastRowLastColumn="0"/>
            <w:tcW w:w="7740" w:type="dxa"/>
          </w:tcPr>
          <w:p w14:paraId="541F098B"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Епилептична енцефалопатия с умствена изостаналост</w:t>
            </w:r>
          </w:p>
        </w:tc>
      </w:tr>
      <w:tr w:rsidR="00BE0B19" w:rsidRPr="00AE47C6" w14:paraId="041F71ED" w14:textId="77777777" w:rsidTr="00AD72E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635" w:type="dxa"/>
            <w:shd w:val="clear" w:color="auto" w:fill="auto"/>
          </w:tcPr>
          <w:p w14:paraId="21B74CBB"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PCDH19</w:t>
            </w:r>
          </w:p>
        </w:tc>
        <w:tc>
          <w:tcPr>
            <w:cnfStyle w:val="000001000000" w:firstRow="0" w:lastRow="0" w:firstColumn="0" w:lastColumn="0" w:oddVBand="0" w:evenVBand="1" w:oddHBand="0" w:evenHBand="0" w:firstRowFirstColumn="0" w:firstRowLastColumn="0" w:lastRowFirstColumn="0" w:lastRowLastColumn="0"/>
            <w:tcW w:w="7740" w:type="dxa"/>
            <w:shd w:val="clear" w:color="auto" w:fill="auto"/>
          </w:tcPr>
          <w:p w14:paraId="1007539D"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Епилепсия при жени с умствено изоставане</w:t>
            </w:r>
          </w:p>
        </w:tc>
      </w:tr>
      <w:tr w:rsidR="00BE0B19" w:rsidRPr="00AE47C6" w14:paraId="443A1791" w14:textId="77777777" w:rsidTr="00AD72E5">
        <w:trPr>
          <w:trHeight w:val="255"/>
        </w:trPr>
        <w:tc>
          <w:tcPr>
            <w:cnfStyle w:val="000010000000" w:firstRow="0" w:lastRow="0" w:firstColumn="0" w:lastColumn="0" w:oddVBand="1" w:evenVBand="0" w:oddHBand="0" w:evenHBand="0" w:firstRowFirstColumn="0" w:firstRowLastColumn="0" w:lastRowFirstColumn="0" w:lastRowLastColumn="0"/>
            <w:tcW w:w="1635" w:type="dxa"/>
            <w:shd w:val="clear" w:color="auto" w:fill="auto"/>
          </w:tcPr>
          <w:p w14:paraId="456233F0" w14:textId="77777777" w:rsidR="00BE0B19" w:rsidRPr="00AE47C6" w:rsidRDefault="00BE0B19" w:rsidP="00BE0B19">
            <w:pPr>
              <w:spacing w:after="0" w:line="360" w:lineRule="auto"/>
              <w:jc w:val="both"/>
              <w:rPr>
                <w:rFonts w:ascii="Times New Roman" w:hAnsi="Times New Roman"/>
                <w:b/>
                <w:bCs/>
                <w:i/>
                <w:sz w:val="24"/>
                <w:szCs w:val="24"/>
              </w:rPr>
            </w:pPr>
            <w:r w:rsidRPr="00AE47C6">
              <w:rPr>
                <w:rFonts w:ascii="Times New Roman" w:hAnsi="Times New Roman"/>
                <w:b/>
                <w:bCs/>
                <w:i/>
                <w:iCs/>
                <w:sz w:val="24"/>
                <w:szCs w:val="24"/>
              </w:rPr>
              <w:t>PRRT2</w:t>
            </w:r>
          </w:p>
        </w:tc>
        <w:tc>
          <w:tcPr>
            <w:cnfStyle w:val="000001000000" w:firstRow="0" w:lastRow="0" w:firstColumn="0" w:lastColumn="0" w:oddVBand="0" w:evenVBand="1" w:oddHBand="0" w:evenHBand="0" w:firstRowFirstColumn="0" w:firstRowLastColumn="0" w:lastRowFirstColumn="0" w:lastRowLastColumn="0"/>
            <w:tcW w:w="7740" w:type="dxa"/>
            <w:shd w:val="clear" w:color="auto" w:fill="FFFFFF" w:themeFill="background1"/>
          </w:tcPr>
          <w:p w14:paraId="636F69C8"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Епилепсия, фамилна хемиплегична мигрена, пароксизмална дизкинезия</w:t>
            </w:r>
          </w:p>
        </w:tc>
      </w:tr>
      <w:tr w:rsidR="00BE0B19" w:rsidRPr="00AE47C6" w14:paraId="69ED5FDD" w14:textId="77777777" w:rsidTr="00AD72E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635" w:type="dxa"/>
            <w:shd w:val="clear" w:color="auto" w:fill="auto"/>
          </w:tcPr>
          <w:p w14:paraId="03A6DD76" w14:textId="77777777" w:rsidR="00BE0B19" w:rsidRPr="00AE47C6" w:rsidRDefault="00BE0B19" w:rsidP="00BE0B19">
            <w:pPr>
              <w:spacing w:after="0" w:line="360" w:lineRule="auto"/>
              <w:jc w:val="both"/>
              <w:rPr>
                <w:rFonts w:ascii="Times New Roman" w:hAnsi="Times New Roman"/>
                <w:b/>
                <w:bCs/>
                <w:i/>
                <w:iCs/>
                <w:sz w:val="24"/>
                <w:szCs w:val="24"/>
              </w:rPr>
            </w:pPr>
            <w:r w:rsidRPr="00AE47C6">
              <w:rPr>
                <w:rFonts w:ascii="Times New Roman" w:hAnsi="Times New Roman"/>
                <w:b/>
                <w:bCs/>
                <w:i/>
                <w:iCs/>
                <w:sz w:val="24"/>
                <w:szCs w:val="24"/>
              </w:rPr>
              <w:t>RAB11A</w:t>
            </w:r>
          </w:p>
        </w:tc>
        <w:tc>
          <w:tcPr>
            <w:cnfStyle w:val="000001000000" w:firstRow="0" w:lastRow="0" w:firstColumn="0" w:lastColumn="0" w:oddVBand="0" w:evenVBand="1" w:oddHBand="0" w:evenHBand="0" w:firstRowFirstColumn="0" w:firstRowLastColumn="0" w:lastRowFirstColumn="0" w:lastRowLastColumn="0"/>
            <w:tcW w:w="7740" w:type="dxa"/>
            <w:shd w:val="clear" w:color="auto" w:fill="auto"/>
          </w:tcPr>
          <w:p w14:paraId="338AABCB"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Епилептична енцефалопатия с умствена изостаналост</w:t>
            </w:r>
          </w:p>
        </w:tc>
      </w:tr>
      <w:tr w:rsidR="00BE0B19" w:rsidRPr="00AE47C6" w14:paraId="7E3FA5C1" w14:textId="77777777" w:rsidTr="00AD72E5">
        <w:trPr>
          <w:trHeight w:val="255"/>
        </w:trPr>
        <w:tc>
          <w:tcPr>
            <w:cnfStyle w:val="000010000000" w:firstRow="0" w:lastRow="0" w:firstColumn="0" w:lastColumn="0" w:oddVBand="1" w:evenVBand="0" w:oddHBand="0" w:evenHBand="0" w:firstRowFirstColumn="0" w:firstRowLastColumn="0" w:lastRowFirstColumn="0" w:lastRowLastColumn="0"/>
            <w:tcW w:w="1635" w:type="dxa"/>
            <w:shd w:val="clear" w:color="auto" w:fill="auto"/>
          </w:tcPr>
          <w:p w14:paraId="52838850"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SCN1A</w:t>
            </w:r>
          </w:p>
        </w:tc>
        <w:tc>
          <w:tcPr>
            <w:cnfStyle w:val="000001000000" w:firstRow="0" w:lastRow="0" w:firstColumn="0" w:lastColumn="0" w:oddVBand="0" w:evenVBand="1" w:oddHBand="0" w:evenHBand="0" w:firstRowFirstColumn="0" w:firstRowLastColumn="0" w:lastRowFirstColumn="0" w:lastRowLastColumn="0"/>
            <w:tcW w:w="7740" w:type="dxa"/>
            <w:shd w:val="clear" w:color="auto" w:fill="auto"/>
          </w:tcPr>
          <w:p w14:paraId="1B11358A"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Генетична епилепсия с фебрилни гърчове плюс (GEFS+), синдром на Dravet (SMEI), фамилна хемиплегична мигрена (FHM3)</w:t>
            </w:r>
          </w:p>
        </w:tc>
      </w:tr>
      <w:tr w:rsidR="00BE0B19" w:rsidRPr="00AE47C6" w14:paraId="658E713C" w14:textId="77777777" w:rsidTr="00AD72E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635" w:type="dxa"/>
          </w:tcPr>
          <w:p w14:paraId="6AC6C6E9"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SCN1B</w:t>
            </w:r>
          </w:p>
        </w:tc>
        <w:tc>
          <w:tcPr>
            <w:cnfStyle w:val="000001000000" w:firstRow="0" w:lastRow="0" w:firstColumn="0" w:lastColumn="0" w:oddVBand="0" w:evenVBand="1" w:oddHBand="0" w:evenHBand="0" w:firstRowFirstColumn="0" w:firstRowLastColumn="0" w:lastRowFirstColumn="0" w:lastRowLastColumn="0"/>
            <w:tcW w:w="7740" w:type="dxa"/>
            <w:shd w:val="clear" w:color="auto" w:fill="FFFFFF" w:themeFill="background1"/>
          </w:tcPr>
          <w:p w14:paraId="66C9C4C4"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Генетична епилепсия с фебрилни гърчове плюс (GEFS+), темпоралнодялова епилепсия</w:t>
            </w:r>
          </w:p>
        </w:tc>
      </w:tr>
      <w:tr w:rsidR="00BE0B19" w:rsidRPr="00AE47C6" w14:paraId="33E8802C" w14:textId="77777777" w:rsidTr="00AD72E5">
        <w:trPr>
          <w:trHeight w:val="255"/>
        </w:trPr>
        <w:tc>
          <w:tcPr>
            <w:cnfStyle w:val="000010000000" w:firstRow="0" w:lastRow="0" w:firstColumn="0" w:lastColumn="0" w:oddVBand="1" w:evenVBand="0" w:oddHBand="0" w:evenHBand="0" w:firstRowFirstColumn="0" w:firstRowLastColumn="0" w:lastRowFirstColumn="0" w:lastRowLastColumn="0"/>
            <w:tcW w:w="1635" w:type="dxa"/>
          </w:tcPr>
          <w:p w14:paraId="249B096D"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SCN2A</w:t>
            </w:r>
          </w:p>
        </w:tc>
        <w:tc>
          <w:tcPr>
            <w:cnfStyle w:val="000001000000" w:firstRow="0" w:lastRow="0" w:firstColumn="0" w:lastColumn="0" w:oddVBand="0" w:evenVBand="1" w:oddHBand="0" w:evenHBand="0" w:firstRowFirstColumn="0" w:firstRowLastColumn="0" w:lastRowFirstColumn="0" w:lastRowLastColumn="0"/>
            <w:tcW w:w="7740" w:type="dxa"/>
          </w:tcPr>
          <w:p w14:paraId="6AC57363"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 xml:space="preserve">Генетична епилепсия с фебрилни гърчове плюс </w:t>
            </w:r>
            <w:r w:rsidRPr="00AE47C6">
              <w:rPr>
                <w:rFonts w:ascii="Times New Roman" w:hAnsi="Times New Roman"/>
                <w:bCs/>
                <w:sz w:val="24"/>
                <w:szCs w:val="24"/>
              </w:rPr>
              <w:t xml:space="preserve">(GEFS+), ранна епилептична енцефалопатия с неонатално начало или в детска възраст, </w:t>
            </w:r>
            <w:r w:rsidRPr="00AE47C6">
              <w:rPr>
                <w:rFonts w:ascii="Times New Roman" w:hAnsi="Times New Roman"/>
                <w:sz w:val="24"/>
                <w:szCs w:val="24"/>
              </w:rPr>
              <w:t>бенигнени фамилни неонатални/инфантилни конвулсии</w:t>
            </w:r>
          </w:p>
        </w:tc>
      </w:tr>
      <w:tr w:rsidR="00BE0B19" w:rsidRPr="00AE47C6" w14:paraId="2695A71F" w14:textId="77777777" w:rsidTr="00AD72E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635" w:type="dxa"/>
          </w:tcPr>
          <w:p w14:paraId="7989DE57" w14:textId="77777777" w:rsidR="00BE0B19" w:rsidRPr="00AE47C6" w:rsidRDefault="00BE0B19" w:rsidP="00BE0B19">
            <w:pPr>
              <w:spacing w:after="0" w:line="360" w:lineRule="auto"/>
              <w:jc w:val="both"/>
              <w:rPr>
                <w:rFonts w:ascii="Times New Roman" w:hAnsi="Times New Roman"/>
                <w:b/>
                <w:bCs/>
                <w:sz w:val="24"/>
                <w:szCs w:val="24"/>
              </w:rPr>
            </w:pPr>
            <w:r w:rsidRPr="00AE47C6">
              <w:rPr>
                <w:rFonts w:ascii="Times New Roman" w:hAnsi="Times New Roman"/>
                <w:b/>
                <w:bCs/>
                <w:i/>
                <w:szCs w:val="20"/>
              </w:rPr>
              <w:t>SCN8A</w:t>
            </w:r>
          </w:p>
        </w:tc>
        <w:tc>
          <w:tcPr>
            <w:cnfStyle w:val="000001000000" w:firstRow="0" w:lastRow="0" w:firstColumn="0" w:lastColumn="0" w:oddVBand="0" w:evenVBand="1" w:oddHBand="0" w:evenHBand="0" w:firstRowFirstColumn="0" w:firstRowLastColumn="0" w:lastRowFirstColumn="0" w:lastRowLastColumn="0"/>
            <w:tcW w:w="7740" w:type="dxa"/>
          </w:tcPr>
          <w:p w14:paraId="39239EF3"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Ранна инфантилна епилептична енцефалопатия – 13 (EIEE13 или синдром на Ohtahara), бенигнени фамилни инфантилни пристъпи (BFIS5 с фокални към двустранни тонично-клонични или ГТКП до към 2 г. възраст), пароксизмална дискинезия</w:t>
            </w:r>
          </w:p>
        </w:tc>
      </w:tr>
      <w:tr w:rsidR="00BE0B19" w:rsidRPr="00AE47C6" w14:paraId="1ECE7614" w14:textId="77777777" w:rsidTr="00AD72E5">
        <w:trPr>
          <w:trHeight w:val="255"/>
        </w:trPr>
        <w:tc>
          <w:tcPr>
            <w:cnfStyle w:val="000010000000" w:firstRow="0" w:lastRow="0" w:firstColumn="0" w:lastColumn="0" w:oddVBand="1" w:evenVBand="0" w:oddHBand="0" w:evenHBand="0" w:firstRowFirstColumn="0" w:firstRowLastColumn="0" w:lastRowFirstColumn="0" w:lastRowLastColumn="0"/>
            <w:tcW w:w="1635" w:type="dxa"/>
          </w:tcPr>
          <w:p w14:paraId="563917BE"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SLC2A1</w:t>
            </w:r>
          </w:p>
        </w:tc>
        <w:tc>
          <w:tcPr>
            <w:cnfStyle w:val="000001000000" w:firstRow="0" w:lastRow="0" w:firstColumn="0" w:lastColumn="0" w:oddVBand="0" w:evenVBand="1" w:oddHBand="0" w:evenHBand="0" w:firstRowFirstColumn="0" w:firstRowLastColumn="0" w:lastRowFirstColumn="0" w:lastRowLastColumn="0"/>
            <w:tcW w:w="7740" w:type="dxa"/>
          </w:tcPr>
          <w:p w14:paraId="6750B8CD"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 xml:space="preserve">Абсансна епилепсия с ранно начало, миоклонично-астатична епилепсия, генерализирана епилепсия, епилептична енцефалопатия при дефицит на </w:t>
            </w:r>
            <w:r w:rsidRPr="00AE47C6">
              <w:rPr>
                <w:rFonts w:ascii="Times New Roman" w:hAnsi="Times New Roman"/>
                <w:sz w:val="24"/>
                <w:szCs w:val="24"/>
                <w:shd w:val="clear" w:color="auto" w:fill="FFFFFF"/>
              </w:rPr>
              <w:t xml:space="preserve">глюкозен транспортер тип 1 (GLUT1), </w:t>
            </w:r>
            <w:r w:rsidRPr="00AE47C6">
              <w:rPr>
                <w:rFonts w:ascii="Times New Roman" w:hAnsi="Times New Roman"/>
                <w:sz w:val="24"/>
                <w:szCs w:val="24"/>
              </w:rPr>
              <w:t>епилепсия с пароксизмални, индуцирани от упражнения дизкинезии</w:t>
            </w:r>
          </w:p>
        </w:tc>
      </w:tr>
      <w:tr w:rsidR="00BE0B19" w:rsidRPr="00AE47C6" w14:paraId="1900FF26" w14:textId="77777777" w:rsidTr="00AD72E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635" w:type="dxa"/>
          </w:tcPr>
          <w:p w14:paraId="71949C6D"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SLC25А22</w:t>
            </w:r>
          </w:p>
        </w:tc>
        <w:tc>
          <w:tcPr>
            <w:cnfStyle w:val="000001000000" w:firstRow="0" w:lastRow="0" w:firstColumn="0" w:lastColumn="0" w:oddVBand="0" w:evenVBand="1" w:oddHBand="0" w:evenHBand="0" w:firstRowFirstColumn="0" w:firstRowLastColumn="0" w:lastRowFirstColumn="0" w:lastRowLastColumn="0"/>
            <w:tcW w:w="7740" w:type="dxa"/>
          </w:tcPr>
          <w:p w14:paraId="6D420685"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Ранна миоклонична енцефалопатия, мигриращи парциални пристъпи в кърмаческа възраст</w:t>
            </w:r>
          </w:p>
        </w:tc>
      </w:tr>
      <w:tr w:rsidR="00BE0B19" w:rsidRPr="00AE47C6" w14:paraId="50854C9A" w14:textId="77777777" w:rsidTr="00AD72E5">
        <w:trPr>
          <w:trHeight w:val="255"/>
        </w:trPr>
        <w:tc>
          <w:tcPr>
            <w:cnfStyle w:val="000010000000" w:firstRow="0" w:lastRow="0" w:firstColumn="0" w:lastColumn="0" w:oddVBand="1" w:evenVBand="0" w:oddHBand="0" w:evenHBand="0" w:firstRowFirstColumn="0" w:firstRowLastColumn="0" w:lastRowFirstColumn="0" w:lastRowLastColumn="0"/>
            <w:tcW w:w="1635" w:type="dxa"/>
          </w:tcPr>
          <w:p w14:paraId="56491EC2" w14:textId="77777777" w:rsidR="00BE0B19" w:rsidRPr="00AE47C6" w:rsidRDefault="00BE0B19" w:rsidP="00BE0B19">
            <w:pPr>
              <w:spacing w:after="0" w:line="360" w:lineRule="auto"/>
              <w:jc w:val="both"/>
              <w:rPr>
                <w:rFonts w:ascii="Times New Roman" w:hAnsi="Times New Roman"/>
                <w:b/>
                <w:bCs/>
                <w:i/>
                <w:sz w:val="24"/>
                <w:szCs w:val="24"/>
              </w:rPr>
            </w:pPr>
            <w:r w:rsidRPr="00AE47C6">
              <w:rPr>
                <w:rFonts w:ascii="Times New Roman" w:hAnsi="Times New Roman"/>
                <w:b/>
                <w:bCs/>
                <w:i/>
                <w:iCs/>
                <w:sz w:val="24"/>
                <w:szCs w:val="24"/>
              </w:rPr>
              <w:t>SLC35A2</w:t>
            </w:r>
          </w:p>
        </w:tc>
        <w:tc>
          <w:tcPr>
            <w:cnfStyle w:val="000001000000" w:firstRow="0" w:lastRow="0" w:firstColumn="0" w:lastColumn="0" w:oddVBand="0" w:evenVBand="1" w:oddHBand="0" w:evenHBand="0" w:firstRowFirstColumn="0" w:firstRowLastColumn="0" w:lastRowFirstColumn="0" w:lastRowLastColumn="0"/>
            <w:tcW w:w="7740" w:type="dxa"/>
          </w:tcPr>
          <w:p w14:paraId="4E2DDD08"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Епилептична енцефалопатия с ранно начало</w:t>
            </w:r>
          </w:p>
        </w:tc>
      </w:tr>
      <w:tr w:rsidR="00BE0B19" w:rsidRPr="00AE47C6" w14:paraId="21D3E798" w14:textId="77777777" w:rsidTr="00AD72E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635" w:type="dxa"/>
          </w:tcPr>
          <w:p w14:paraId="24D8A1D7" w14:textId="77777777" w:rsidR="00BE0B19" w:rsidRPr="00AE47C6" w:rsidRDefault="00BE0B19" w:rsidP="00BE0B19">
            <w:pPr>
              <w:spacing w:after="0" w:line="360" w:lineRule="auto"/>
              <w:jc w:val="both"/>
              <w:rPr>
                <w:rFonts w:ascii="Times New Roman" w:hAnsi="Times New Roman"/>
                <w:b/>
                <w:bCs/>
                <w:i/>
                <w:sz w:val="24"/>
                <w:szCs w:val="24"/>
              </w:rPr>
            </w:pPr>
            <w:r w:rsidRPr="00AE47C6">
              <w:rPr>
                <w:rFonts w:ascii="Times New Roman" w:hAnsi="Times New Roman"/>
                <w:b/>
                <w:bCs/>
                <w:i/>
                <w:iCs/>
                <w:sz w:val="24"/>
                <w:szCs w:val="24"/>
              </w:rPr>
              <w:t>SNAP25</w:t>
            </w:r>
          </w:p>
        </w:tc>
        <w:tc>
          <w:tcPr>
            <w:cnfStyle w:val="000001000000" w:firstRow="0" w:lastRow="0" w:firstColumn="0" w:lastColumn="0" w:oddVBand="0" w:evenVBand="1" w:oddHBand="0" w:evenHBand="0" w:firstRowFirstColumn="0" w:firstRowLastColumn="0" w:lastRowFirstColumn="0" w:lastRowLastColumn="0"/>
            <w:tcW w:w="7740" w:type="dxa"/>
          </w:tcPr>
          <w:p w14:paraId="25C56C2E"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Епилептична енцефалопатия с умствена изостаналост</w:t>
            </w:r>
          </w:p>
        </w:tc>
      </w:tr>
      <w:tr w:rsidR="00BE0B19" w:rsidRPr="00AE47C6" w14:paraId="76DB050D" w14:textId="77777777" w:rsidTr="00AD72E5">
        <w:trPr>
          <w:trHeight w:val="255"/>
        </w:trPr>
        <w:tc>
          <w:tcPr>
            <w:cnfStyle w:val="000010000000" w:firstRow="0" w:lastRow="0" w:firstColumn="0" w:lastColumn="0" w:oddVBand="1" w:evenVBand="0" w:oddHBand="0" w:evenHBand="0" w:firstRowFirstColumn="0" w:firstRowLastColumn="0" w:lastRowFirstColumn="0" w:lastRowLastColumn="0"/>
            <w:tcW w:w="1635" w:type="dxa"/>
          </w:tcPr>
          <w:p w14:paraId="5968859D" w14:textId="77777777" w:rsidR="00BE0B19" w:rsidRPr="00AE47C6" w:rsidRDefault="00BE0B19" w:rsidP="00BE0B19">
            <w:pPr>
              <w:spacing w:after="0" w:line="360" w:lineRule="auto"/>
              <w:jc w:val="both"/>
              <w:rPr>
                <w:rFonts w:ascii="Times New Roman" w:hAnsi="Times New Roman"/>
                <w:b/>
                <w:bCs/>
                <w:i/>
                <w:iCs/>
                <w:sz w:val="24"/>
                <w:szCs w:val="24"/>
              </w:rPr>
            </w:pPr>
            <w:r w:rsidRPr="00AE47C6">
              <w:rPr>
                <w:rFonts w:ascii="Times New Roman" w:hAnsi="Times New Roman"/>
                <w:b/>
                <w:bCs/>
                <w:i/>
                <w:iCs/>
                <w:sz w:val="24"/>
                <w:szCs w:val="24"/>
              </w:rPr>
              <w:t>ST3GAL5</w:t>
            </w:r>
          </w:p>
        </w:tc>
        <w:tc>
          <w:tcPr>
            <w:cnfStyle w:val="000001000000" w:firstRow="0" w:lastRow="0" w:firstColumn="0" w:lastColumn="0" w:oddVBand="0" w:evenVBand="1" w:oddHBand="0" w:evenHBand="0" w:firstRowFirstColumn="0" w:firstRowLastColumn="0" w:lastRowFirstColumn="0" w:lastRowLastColumn="0"/>
            <w:tcW w:w="7740" w:type="dxa"/>
          </w:tcPr>
          <w:p w14:paraId="19DAB83F"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Епилептична енцефалопатия с тежка умствена изостаналост, хореоатетоза, сколиоза, лицев дизморфизъм, нарушена пигментация</w:t>
            </w:r>
          </w:p>
        </w:tc>
      </w:tr>
      <w:tr w:rsidR="00BE0B19" w:rsidRPr="00AE47C6" w14:paraId="18DDE8AE" w14:textId="77777777" w:rsidTr="00AD72E5">
        <w:trPr>
          <w:cnfStyle w:val="000000100000" w:firstRow="0" w:lastRow="0" w:firstColumn="0" w:lastColumn="0" w:oddVBand="0" w:evenVBand="0" w:oddHBand="1" w:evenHBand="0" w:firstRowFirstColumn="0" w:firstRowLastColumn="0" w:lastRowFirstColumn="0" w:lastRowLastColumn="0"/>
          <w:trHeight w:val="255"/>
        </w:trPr>
        <w:tc>
          <w:tcPr>
            <w:cnfStyle w:val="000010000000" w:firstRow="0" w:lastRow="0" w:firstColumn="0" w:lastColumn="0" w:oddVBand="1" w:evenVBand="0" w:oddHBand="0" w:evenHBand="0" w:firstRowFirstColumn="0" w:firstRowLastColumn="0" w:lastRowFirstColumn="0" w:lastRowLastColumn="0"/>
            <w:tcW w:w="1635" w:type="dxa"/>
          </w:tcPr>
          <w:p w14:paraId="4B5DBE74"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STXBP1</w:t>
            </w:r>
          </w:p>
        </w:tc>
        <w:tc>
          <w:tcPr>
            <w:cnfStyle w:val="000001000000" w:firstRow="0" w:lastRow="0" w:firstColumn="0" w:lastColumn="0" w:oddVBand="0" w:evenVBand="1" w:oddHBand="0" w:evenHBand="0" w:firstRowFirstColumn="0" w:firstRowLastColumn="0" w:lastRowFirstColumn="0" w:lastRowLastColumn="0"/>
            <w:tcW w:w="7740" w:type="dxa"/>
          </w:tcPr>
          <w:p w14:paraId="6660565C"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Ранна инфантилна епилептична енцефалопатия (синдром на Ohtahara, синдром на West, синдром на Lennox-Gastaut синдром на Dravet (не SCN1A-свързан), синдром на Rett (не свързан с MECP2 и не свързан с CDKL5-мутация). Фокална епилепсия с интелектуален дефицит.</w:t>
            </w:r>
          </w:p>
        </w:tc>
      </w:tr>
      <w:tr w:rsidR="00BE0B19" w:rsidRPr="00AE47C6" w14:paraId="3F3AFDFC" w14:textId="77777777" w:rsidTr="00AD72E5">
        <w:trPr>
          <w:trHeight w:val="255"/>
        </w:trPr>
        <w:tc>
          <w:tcPr>
            <w:cnfStyle w:val="000010000000" w:firstRow="0" w:lastRow="0" w:firstColumn="0" w:lastColumn="0" w:oddVBand="1" w:evenVBand="0" w:oddHBand="0" w:evenHBand="0" w:firstRowFirstColumn="0" w:firstRowLastColumn="0" w:lastRowFirstColumn="0" w:lastRowLastColumn="0"/>
            <w:tcW w:w="1635" w:type="dxa"/>
          </w:tcPr>
          <w:p w14:paraId="14342C36" w14:textId="77777777" w:rsidR="00BE0B19" w:rsidRPr="00AE47C6" w:rsidRDefault="00BE0B19" w:rsidP="00BE0B19">
            <w:pPr>
              <w:spacing w:after="0" w:line="360" w:lineRule="auto"/>
              <w:jc w:val="both"/>
              <w:rPr>
                <w:rFonts w:ascii="Times New Roman" w:hAnsi="Times New Roman"/>
                <w:i/>
                <w:sz w:val="24"/>
                <w:szCs w:val="24"/>
              </w:rPr>
            </w:pPr>
            <w:r w:rsidRPr="00AE47C6">
              <w:rPr>
                <w:rFonts w:ascii="Times New Roman" w:hAnsi="Times New Roman"/>
                <w:b/>
                <w:bCs/>
                <w:i/>
                <w:sz w:val="24"/>
                <w:szCs w:val="24"/>
              </w:rPr>
              <w:t>TBC1D24</w:t>
            </w:r>
          </w:p>
        </w:tc>
        <w:tc>
          <w:tcPr>
            <w:cnfStyle w:val="000001000000" w:firstRow="0" w:lastRow="0" w:firstColumn="0" w:lastColumn="0" w:oddVBand="0" w:evenVBand="1" w:oddHBand="0" w:evenHBand="0" w:firstRowFirstColumn="0" w:firstRowLastColumn="0" w:lastRowFirstColumn="0" w:lastRowLastColumn="0"/>
            <w:tcW w:w="7740" w:type="dxa"/>
          </w:tcPr>
          <w:p w14:paraId="3090D4A8"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Фамилна инфантилна миоклонична епилепсия, фокална епилепсия с дефицит в развитието, медикаментозно резистентна епилептична енцефалопатия, вкл. синдром DOORS (глухота, остеодистрофия, умствена изостаналост, епилептични припадъци), несиндромна глухота</w:t>
            </w:r>
          </w:p>
        </w:tc>
      </w:tr>
    </w:tbl>
    <w:p w14:paraId="552E74ED" w14:textId="77777777" w:rsidR="00BE0B19" w:rsidRPr="00AE47C6" w:rsidRDefault="00BE0B19" w:rsidP="00BE0B19">
      <w:pPr>
        <w:spacing w:after="0" w:line="360" w:lineRule="auto"/>
        <w:jc w:val="both"/>
        <w:rPr>
          <w:rFonts w:ascii="Times New Roman" w:eastAsia="SimSun" w:hAnsi="Times New Roman"/>
          <w:sz w:val="24"/>
          <w:szCs w:val="24"/>
        </w:rPr>
      </w:pPr>
    </w:p>
    <w:p w14:paraId="724893C4" w14:textId="77777777" w:rsidR="00BE0B19" w:rsidRPr="00AE47C6" w:rsidRDefault="00BE0B19" w:rsidP="00BE0B19">
      <w:pPr>
        <w:spacing w:after="0" w:line="360" w:lineRule="auto"/>
        <w:jc w:val="both"/>
        <w:rPr>
          <w:rFonts w:ascii="Times New Roman" w:eastAsia="SimSun" w:hAnsi="Times New Roman"/>
          <w:sz w:val="24"/>
          <w:szCs w:val="24"/>
        </w:rPr>
      </w:pPr>
    </w:p>
    <w:p w14:paraId="6559C714" w14:textId="2ECF652C" w:rsidR="00BE0B19" w:rsidRPr="00AE47C6" w:rsidRDefault="008B5D4D" w:rsidP="008B5D4D">
      <w:pPr>
        <w:spacing w:after="0" w:line="360" w:lineRule="auto"/>
        <w:ind w:left="-360"/>
        <w:jc w:val="both"/>
        <w:rPr>
          <w:rFonts w:ascii="Times New Roman" w:eastAsia="SimSun" w:hAnsi="Times New Roman"/>
          <w:sz w:val="24"/>
          <w:szCs w:val="24"/>
        </w:rPr>
      </w:pPr>
      <w:r w:rsidRPr="00AE47C6">
        <w:rPr>
          <w:rFonts w:ascii="Times New Roman" w:eastAsia="SimSun" w:hAnsi="Times New Roman"/>
          <w:b/>
          <w:bCs/>
          <w:sz w:val="24"/>
          <w:szCs w:val="24"/>
          <w:lang w:val="en-US"/>
        </w:rPr>
        <w:t>2.</w:t>
      </w:r>
      <w:r w:rsidR="00BE0B19" w:rsidRPr="00AE47C6">
        <w:rPr>
          <w:rFonts w:ascii="Times New Roman" w:eastAsia="SimSun" w:hAnsi="Times New Roman"/>
          <w:b/>
          <w:bCs/>
          <w:sz w:val="24"/>
          <w:szCs w:val="24"/>
        </w:rPr>
        <w:t>Структурна/метаболитна (</w:t>
      </w:r>
      <w:r w:rsidR="00BE0B19" w:rsidRPr="00AE47C6">
        <w:rPr>
          <w:rFonts w:ascii="Times New Roman" w:eastAsia="SimSun" w:hAnsi="Times New Roman"/>
          <w:b/>
          <w:bCs/>
          <w:i/>
          <w:iCs/>
          <w:sz w:val="24"/>
          <w:szCs w:val="24"/>
        </w:rPr>
        <w:t xml:space="preserve">симптоматична) </w:t>
      </w:r>
      <w:r w:rsidR="00BE0B19" w:rsidRPr="00AE47C6">
        <w:rPr>
          <w:rFonts w:ascii="Times New Roman" w:eastAsia="SimSun" w:hAnsi="Times New Roman"/>
          <w:sz w:val="24"/>
          <w:szCs w:val="24"/>
        </w:rPr>
        <w:t xml:space="preserve">е епилепсията, свързана с определени фактори. </w:t>
      </w:r>
      <w:r w:rsidR="00BE0B19" w:rsidRPr="00AE47C6">
        <w:rPr>
          <w:rFonts w:ascii="Times New Roman" w:eastAsia="SimSun" w:hAnsi="Times New Roman"/>
          <w:i/>
          <w:sz w:val="24"/>
          <w:szCs w:val="24"/>
        </w:rPr>
        <w:t>Структурните лезии се групират като: структурни лезии при придобити заболявания на ЦНС (инсулти, травми), с генетични причини (някои малформации на коровото развитие, туберозна склероза) и метаболитни причини (напр. епилепсии при левкодистрофии, прогресивните миоклонични епилепсии при заболявания, свързани с натрупване в лизозомите, и други метаболитни дефекти)</w:t>
      </w:r>
      <w:r w:rsidR="00BE0B19" w:rsidRPr="00AE47C6">
        <w:rPr>
          <w:rFonts w:ascii="Times New Roman" w:eastAsia="SimSun" w:hAnsi="Times New Roman"/>
          <w:sz w:val="24"/>
          <w:szCs w:val="24"/>
        </w:rPr>
        <w:t>:</w:t>
      </w:r>
    </w:p>
    <w:p w14:paraId="4037344A" w14:textId="77777777" w:rsidR="00BE0B19" w:rsidRPr="00AE47C6" w:rsidRDefault="00BE0B19" w:rsidP="00BE0B19">
      <w:pPr>
        <w:tabs>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bCs/>
          <w:i/>
          <w:iCs/>
          <w:sz w:val="24"/>
          <w:szCs w:val="24"/>
        </w:rPr>
        <w:tab/>
      </w:r>
      <w:r w:rsidRPr="00AE47C6">
        <w:rPr>
          <w:rFonts w:ascii="Times New Roman" w:eastAsia="SimSun" w:hAnsi="Times New Roman"/>
          <w:sz w:val="24"/>
          <w:szCs w:val="24"/>
        </w:rPr>
        <w:t>Епилепсии със симптоматична или „структурна/метаболитна” етиология (ILAE, 2010 г.):</w:t>
      </w:r>
    </w:p>
    <w:p w14:paraId="20DDD58C" w14:textId="77777777" w:rsidR="00BE0B19" w:rsidRPr="00AE47C6" w:rsidRDefault="00BE0B19" w:rsidP="00BE0B19">
      <w:pPr>
        <w:numPr>
          <w:ilvl w:val="0"/>
          <w:numId w:val="141"/>
        </w:numPr>
        <w:tabs>
          <w:tab w:val="left" w:pos="720"/>
          <w:tab w:val="center" w:pos="4153"/>
          <w:tab w:val="right" w:pos="8306"/>
        </w:tabs>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Хипокампална склероза</w:t>
      </w:r>
    </w:p>
    <w:p w14:paraId="79562D74" w14:textId="77777777" w:rsidR="00BE0B19" w:rsidRPr="00AE47C6" w:rsidRDefault="00BE0B19" w:rsidP="00BE0B19">
      <w:pPr>
        <w:numPr>
          <w:ilvl w:val="0"/>
          <w:numId w:val="141"/>
        </w:numPr>
        <w:tabs>
          <w:tab w:val="left" w:pos="720"/>
          <w:tab w:val="center" w:pos="4153"/>
          <w:tab w:val="right" w:pos="8306"/>
        </w:tabs>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Тумори - глиоми, DNET, ганглиоглиоми, олигодендроглиоми</w:t>
      </w:r>
    </w:p>
    <w:p w14:paraId="7A1AB3EC" w14:textId="77777777" w:rsidR="00BE0B19" w:rsidRPr="00AE47C6" w:rsidRDefault="00BE0B19" w:rsidP="00BE0B19">
      <w:pPr>
        <w:numPr>
          <w:ilvl w:val="0"/>
          <w:numId w:val="141"/>
        </w:numPr>
        <w:tabs>
          <w:tab w:val="left" w:pos="720"/>
          <w:tab w:val="center" w:pos="4153"/>
          <w:tab w:val="right" w:pos="8306"/>
        </w:tabs>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 xml:space="preserve">Малформации на коровото развитие: </w:t>
      </w:r>
    </w:p>
    <w:p w14:paraId="6D755D71" w14:textId="77777777" w:rsidR="00BE0B19" w:rsidRPr="00AE47C6" w:rsidRDefault="00BE0B19" w:rsidP="00BE0B19">
      <w:pPr>
        <w:numPr>
          <w:ilvl w:val="2"/>
          <w:numId w:val="144"/>
        </w:numPr>
        <w:tabs>
          <w:tab w:val="left" w:pos="720"/>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Фокални корови дисплазии</w:t>
      </w:r>
    </w:p>
    <w:p w14:paraId="4A8EA9DE" w14:textId="77777777" w:rsidR="00BE0B19" w:rsidRPr="00AE47C6" w:rsidRDefault="00BE0B19" w:rsidP="00BE0B19">
      <w:pPr>
        <w:numPr>
          <w:ilvl w:val="2"/>
          <w:numId w:val="144"/>
        </w:numPr>
        <w:tabs>
          <w:tab w:val="left" w:pos="720"/>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Хемимегаленцефалия</w:t>
      </w:r>
    </w:p>
    <w:p w14:paraId="5E178030" w14:textId="77777777" w:rsidR="00BE0B19" w:rsidRPr="00AE47C6" w:rsidRDefault="00BE0B19" w:rsidP="00BE0B19">
      <w:pPr>
        <w:numPr>
          <w:ilvl w:val="2"/>
          <w:numId w:val="144"/>
        </w:numPr>
        <w:tabs>
          <w:tab w:val="left" w:pos="720"/>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Малформации на коровото развитие с невуси</w:t>
      </w:r>
    </w:p>
    <w:p w14:paraId="469DA9C6" w14:textId="77777777" w:rsidR="00BE0B19" w:rsidRPr="00AE47C6" w:rsidRDefault="00BE0B19" w:rsidP="00BE0B19">
      <w:pPr>
        <w:numPr>
          <w:ilvl w:val="2"/>
          <w:numId w:val="144"/>
        </w:numPr>
        <w:tabs>
          <w:tab w:val="left" w:pos="720"/>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Шизенцефалия, лисенцефалия, холопрозенцефалия</w:t>
      </w:r>
    </w:p>
    <w:p w14:paraId="2986DFD5" w14:textId="77777777" w:rsidR="00BE0B19" w:rsidRPr="00AE47C6" w:rsidRDefault="00BE0B19" w:rsidP="00BE0B19">
      <w:pPr>
        <w:numPr>
          <w:ilvl w:val="2"/>
          <w:numId w:val="144"/>
        </w:numPr>
        <w:tabs>
          <w:tab w:val="left" w:pos="720"/>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Корови дисплазии</w:t>
      </w:r>
    </w:p>
    <w:p w14:paraId="3645AC1F" w14:textId="77777777" w:rsidR="00BE0B19" w:rsidRPr="00AE47C6" w:rsidRDefault="00BE0B19" w:rsidP="00BE0B19">
      <w:pPr>
        <w:numPr>
          <w:ilvl w:val="2"/>
          <w:numId w:val="144"/>
        </w:numPr>
        <w:tabs>
          <w:tab w:val="left" w:pos="720"/>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Хетеротопии</w:t>
      </w:r>
    </w:p>
    <w:p w14:paraId="29E8EE84" w14:textId="77777777" w:rsidR="00BE0B19" w:rsidRPr="00AE47C6" w:rsidRDefault="00BE0B19" w:rsidP="00BE0B19">
      <w:pPr>
        <w:numPr>
          <w:ilvl w:val="2"/>
          <w:numId w:val="144"/>
        </w:numPr>
        <w:tabs>
          <w:tab w:val="left" w:pos="720"/>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Хамартоми</w:t>
      </w:r>
    </w:p>
    <w:p w14:paraId="6812FBD7" w14:textId="77777777" w:rsidR="00BE0B19" w:rsidRPr="00AE47C6" w:rsidRDefault="00BE0B19" w:rsidP="00BE0B19">
      <w:pPr>
        <w:numPr>
          <w:ilvl w:val="0"/>
          <w:numId w:val="141"/>
        </w:numPr>
        <w:tabs>
          <w:tab w:val="left" w:pos="720"/>
          <w:tab w:val="center" w:pos="4153"/>
          <w:tab w:val="right" w:pos="8306"/>
        </w:tabs>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Мозъчно-съдови малформации</w:t>
      </w:r>
    </w:p>
    <w:p w14:paraId="3B5468A8" w14:textId="77777777" w:rsidR="00BE0B19" w:rsidRPr="00AE47C6" w:rsidRDefault="00BE0B19" w:rsidP="00BE0B19">
      <w:pPr>
        <w:numPr>
          <w:ilvl w:val="2"/>
          <w:numId w:val="143"/>
        </w:numPr>
        <w:tabs>
          <w:tab w:val="left" w:pos="720"/>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Кавернозни ангиоми, артерио-венозни малформации (АVМ)</w:t>
      </w:r>
    </w:p>
    <w:p w14:paraId="303FD10B" w14:textId="77777777" w:rsidR="00BE0B19" w:rsidRPr="00AE47C6" w:rsidRDefault="00BE0B19" w:rsidP="00BE0B19">
      <w:pPr>
        <w:numPr>
          <w:ilvl w:val="2"/>
          <w:numId w:val="143"/>
        </w:numPr>
        <w:tabs>
          <w:tab w:val="left" w:pos="720"/>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Синдром на Sturge-Weber</w:t>
      </w:r>
    </w:p>
    <w:p w14:paraId="1B436EF0" w14:textId="77777777" w:rsidR="00BE0B19" w:rsidRPr="00AE47C6" w:rsidRDefault="00BE0B19" w:rsidP="00BE0B19">
      <w:pPr>
        <w:numPr>
          <w:ilvl w:val="0"/>
          <w:numId w:val="141"/>
        </w:numPr>
        <w:tabs>
          <w:tab w:val="left" w:pos="720"/>
          <w:tab w:val="center" w:pos="4153"/>
          <w:tab w:val="right" w:pos="8306"/>
        </w:tabs>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Хипоксично-исхемични (локални инфаркти, дифузни хипоксично-исхемични увреди, перивентрикулна левкомалация), мозъчни кръвоизливи, венозни тромбози</w:t>
      </w:r>
    </w:p>
    <w:p w14:paraId="05039BCC" w14:textId="77777777" w:rsidR="00BE0B19" w:rsidRPr="00AE47C6" w:rsidRDefault="00BE0B19" w:rsidP="00BE0B19">
      <w:pPr>
        <w:numPr>
          <w:ilvl w:val="0"/>
          <w:numId w:val="141"/>
        </w:numPr>
        <w:tabs>
          <w:tab w:val="left" w:pos="720"/>
          <w:tab w:val="center" w:pos="4153"/>
          <w:tab w:val="right" w:pos="8306"/>
        </w:tabs>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Травми</w:t>
      </w:r>
    </w:p>
    <w:p w14:paraId="767C93D5" w14:textId="258AD604" w:rsidR="00BE0B19" w:rsidRPr="00AE47C6" w:rsidRDefault="00BE0B19" w:rsidP="00BE0B19">
      <w:pPr>
        <w:numPr>
          <w:ilvl w:val="0"/>
          <w:numId w:val="141"/>
        </w:numPr>
        <w:tabs>
          <w:tab w:val="left" w:pos="720"/>
          <w:tab w:val="center" w:pos="4153"/>
          <w:tab w:val="right" w:pos="8306"/>
        </w:tabs>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Вродени</w:t>
      </w:r>
    </w:p>
    <w:p w14:paraId="42F5F9CF" w14:textId="77777777" w:rsidR="00E74BD4" w:rsidRPr="00AE47C6" w:rsidRDefault="00E74BD4" w:rsidP="00E74BD4">
      <w:pPr>
        <w:numPr>
          <w:ilvl w:val="2"/>
          <w:numId w:val="141"/>
        </w:numPr>
        <w:tabs>
          <w:tab w:val="left" w:pos="720"/>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Туберозна склероза</w:t>
      </w:r>
    </w:p>
    <w:p w14:paraId="717D4EB7" w14:textId="77777777" w:rsidR="00E74BD4" w:rsidRPr="00AE47C6" w:rsidRDefault="00E74BD4" w:rsidP="00E74BD4">
      <w:pPr>
        <w:numPr>
          <w:ilvl w:val="2"/>
          <w:numId w:val="141"/>
        </w:numPr>
        <w:tabs>
          <w:tab w:val="left" w:pos="720"/>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Прогресивни миоклонични епилепсии</w:t>
      </w:r>
    </w:p>
    <w:p w14:paraId="6F41BE7C" w14:textId="77777777" w:rsidR="00E74BD4" w:rsidRPr="00AE47C6" w:rsidRDefault="00E74BD4" w:rsidP="00E74BD4">
      <w:pPr>
        <w:numPr>
          <w:ilvl w:val="2"/>
          <w:numId w:val="141"/>
        </w:numPr>
        <w:tabs>
          <w:tab w:val="left" w:pos="720"/>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Метаболитни синдроми</w:t>
      </w:r>
    </w:p>
    <w:p w14:paraId="48358C90" w14:textId="77777777" w:rsidR="00E74BD4" w:rsidRPr="00AE47C6" w:rsidRDefault="00E74BD4" w:rsidP="00E74BD4">
      <w:pPr>
        <w:numPr>
          <w:ilvl w:val="2"/>
          <w:numId w:val="141"/>
        </w:numPr>
        <w:tabs>
          <w:tab w:val="left" w:pos="720"/>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Каналопатии</w:t>
      </w:r>
    </w:p>
    <w:p w14:paraId="495E5158" w14:textId="3E7B1048" w:rsidR="00E74BD4" w:rsidRPr="00AE47C6" w:rsidRDefault="00E74BD4" w:rsidP="00E74BD4">
      <w:pPr>
        <w:numPr>
          <w:ilvl w:val="2"/>
          <w:numId w:val="141"/>
        </w:numPr>
        <w:tabs>
          <w:tab w:val="left" w:pos="720"/>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Митохондриални болести</w:t>
      </w:r>
    </w:p>
    <w:p w14:paraId="5A4122FB" w14:textId="748A18CF" w:rsidR="00471742" w:rsidRPr="00AE47C6" w:rsidRDefault="00E74BD4" w:rsidP="00E74BD4">
      <w:pPr>
        <w:numPr>
          <w:ilvl w:val="2"/>
          <w:numId w:val="141"/>
        </w:numPr>
        <w:tabs>
          <w:tab w:val="left" w:pos="720"/>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sz w:val="24"/>
          <w:szCs w:val="24"/>
        </w:rPr>
        <w:t>Хромозомни аберации</w:t>
      </w:r>
    </w:p>
    <w:p w14:paraId="1E0D61B4" w14:textId="77777777" w:rsidR="00E74BD4" w:rsidRPr="00AE47C6" w:rsidRDefault="00471742" w:rsidP="00E74BD4">
      <w:pPr>
        <w:numPr>
          <w:ilvl w:val="0"/>
          <w:numId w:val="141"/>
        </w:numPr>
        <w:tabs>
          <w:tab w:val="left" w:pos="720"/>
          <w:tab w:val="center" w:pos="4153"/>
          <w:tab w:val="right" w:pos="8306"/>
        </w:tabs>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Имунна- при имуномедиирани възпаления на ЦНС – васкулити, автоимунни енцефалити, вкл. енцефалит на Rasmussen.</w:t>
      </w:r>
    </w:p>
    <w:p w14:paraId="5C52D93B" w14:textId="77777777" w:rsidR="00E74BD4" w:rsidRPr="00AE47C6" w:rsidRDefault="00BE0B19" w:rsidP="00E74BD4">
      <w:pPr>
        <w:numPr>
          <w:ilvl w:val="0"/>
          <w:numId w:val="141"/>
        </w:numPr>
        <w:tabs>
          <w:tab w:val="left" w:pos="720"/>
          <w:tab w:val="center" w:pos="4153"/>
          <w:tab w:val="right" w:pos="8306"/>
        </w:tabs>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Инфекциозна- при инфекции на ЦНС – менингити, енцефалити, абсцеси.</w:t>
      </w:r>
    </w:p>
    <w:p w14:paraId="5387F52A" w14:textId="7EDC165D" w:rsidR="00BE0B19" w:rsidRPr="00AE47C6" w:rsidRDefault="00BE0B19" w:rsidP="00E74BD4">
      <w:pPr>
        <w:numPr>
          <w:ilvl w:val="0"/>
          <w:numId w:val="141"/>
        </w:numPr>
        <w:tabs>
          <w:tab w:val="left" w:pos="720"/>
          <w:tab w:val="center" w:pos="4153"/>
          <w:tab w:val="right" w:pos="8306"/>
        </w:tabs>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 xml:space="preserve">С неизвестна причина </w:t>
      </w:r>
      <w:r w:rsidRPr="00AE47C6">
        <w:rPr>
          <w:rFonts w:ascii="Times New Roman" w:eastAsia="SimSun" w:hAnsi="Times New Roman"/>
          <w:bCs/>
          <w:i/>
          <w:iCs/>
          <w:sz w:val="24"/>
          <w:szCs w:val="24"/>
        </w:rPr>
        <w:t xml:space="preserve">(криптогенна) </w:t>
      </w:r>
      <w:r w:rsidRPr="00AE47C6">
        <w:rPr>
          <w:rFonts w:ascii="Times New Roman" w:eastAsia="SimSun" w:hAnsi="Times New Roman"/>
          <w:sz w:val="24"/>
          <w:szCs w:val="24"/>
        </w:rPr>
        <w:t xml:space="preserve">е епилепсията с неизяснена причина, при която е възможен и генетичен дефект, който все още не е доказан. Епилепсиите с генетична и неизвестна етиология съставляват около 60%, а тези със структурна/метаболитна - около 40%. </w:t>
      </w:r>
    </w:p>
    <w:p w14:paraId="21D5244D"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 xml:space="preserve">Предстои приемане и на други видове известна етиология. В случаите, когато структурната етиология е генетично обусловена, могат да се използват и двата термина – структурна и генетична (комплекс Туберозна склероза). </w:t>
      </w:r>
    </w:p>
    <w:p w14:paraId="08DE61DD"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565CFE2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 xml:space="preserve">Патогенеза. </w:t>
      </w:r>
      <w:r w:rsidRPr="00AE47C6">
        <w:rPr>
          <w:rFonts w:ascii="Times New Roman" w:eastAsia="SimSun" w:hAnsi="Times New Roman"/>
          <w:sz w:val="24"/>
          <w:szCs w:val="24"/>
        </w:rPr>
        <w:t xml:space="preserve">Нарушен е балансът между възбудните и потискащи процеси в невронни популации с нарушени функции. Епилептичните пристъпи настъпват поради свръхмерна и синхронна невронна активност, която се разпространява в невронни мрежи, обхваща различни участъци от мозъчната кора и/или подлежащите структури и определя характеристиката на пристъпите. </w:t>
      </w:r>
    </w:p>
    <w:p w14:paraId="488DFD39" w14:textId="77777777" w:rsidR="00BE0B19" w:rsidRPr="00AE47C6" w:rsidRDefault="00BE0B19" w:rsidP="00BE0B19">
      <w:pPr>
        <w:numPr>
          <w:ilvl w:val="12"/>
          <w:numId w:val="0"/>
        </w:numPr>
        <w:overflowPunct w:val="0"/>
        <w:autoSpaceDE w:val="0"/>
        <w:autoSpaceDN w:val="0"/>
        <w:adjustRightInd w:val="0"/>
        <w:spacing w:after="0" w:line="360" w:lineRule="auto"/>
        <w:jc w:val="both"/>
        <w:textAlignment w:val="baseline"/>
        <w:rPr>
          <w:rFonts w:ascii="Times New Roman" w:eastAsia="SimSun" w:hAnsi="Times New Roman"/>
          <w:b/>
          <w:sz w:val="24"/>
          <w:szCs w:val="24"/>
        </w:rPr>
      </w:pPr>
      <w:r w:rsidRPr="00AE47C6">
        <w:rPr>
          <w:rFonts w:ascii="Times New Roman" w:eastAsia="SimSun" w:hAnsi="Times New Roman"/>
          <w:b/>
          <w:sz w:val="24"/>
          <w:szCs w:val="24"/>
        </w:rPr>
        <w:t>IV. Класификации на епилепсиите</w:t>
      </w:r>
    </w:p>
    <w:p w14:paraId="0A384741" w14:textId="77777777" w:rsidR="00BE0B19" w:rsidRPr="00AE47C6" w:rsidRDefault="00BE0B19" w:rsidP="00BE0B19">
      <w:pPr>
        <w:spacing w:after="0" w:line="360" w:lineRule="auto"/>
        <w:ind w:firstLine="720"/>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През 2010 г. са предложени от ILAE корекции в терминологията, класификацията и концепциите за епилептичните пристъпи и синдроми, обусловени от развитието на невроизобразяващите технологии, фундаменталните изследвания за механизмите на епилептогенезата и молекулярната генетика. Концепцията за генерализирани и фокални пристъпи не се прилага към „електро-клиничните” синдроми, за които е представена подробна класификация по възрастовите периоди на възникване. </w:t>
      </w:r>
    </w:p>
    <w:p w14:paraId="2C125065" w14:textId="77777777" w:rsidR="00BE0B19" w:rsidRPr="00AE47C6" w:rsidRDefault="00BE0B19" w:rsidP="00BE0B19">
      <w:pPr>
        <w:tabs>
          <w:tab w:val="left" w:pos="709"/>
        </w:tabs>
        <w:spacing w:after="0" w:line="360" w:lineRule="auto"/>
        <w:jc w:val="both"/>
        <w:rPr>
          <w:rFonts w:ascii="Times New Roman" w:eastAsia="SimSun" w:hAnsi="Times New Roman"/>
          <w:i/>
          <w:iCs/>
          <w:sz w:val="24"/>
          <w:szCs w:val="24"/>
        </w:rPr>
      </w:pPr>
      <w:r w:rsidRPr="00AE47C6">
        <w:rPr>
          <w:rFonts w:ascii="Times New Roman" w:eastAsia="SimSun" w:hAnsi="Times New Roman"/>
          <w:sz w:val="24"/>
          <w:szCs w:val="24"/>
        </w:rPr>
        <w:tab/>
      </w:r>
    </w:p>
    <w:p w14:paraId="55A30CFB" w14:textId="77777777" w:rsidR="00BE0B19" w:rsidRPr="00AE47C6" w:rsidRDefault="00BE0B19" w:rsidP="00BE0B19">
      <w:pPr>
        <w:numPr>
          <w:ilvl w:val="12"/>
          <w:numId w:val="0"/>
        </w:numPr>
        <w:overflowPunct w:val="0"/>
        <w:autoSpaceDE w:val="0"/>
        <w:autoSpaceDN w:val="0"/>
        <w:adjustRightInd w:val="0"/>
        <w:spacing w:after="0" w:line="360" w:lineRule="auto"/>
        <w:jc w:val="both"/>
        <w:textAlignment w:val="baseline"/>
        <w:rPr>
          <w:rFonts w:ascii="Times New Roman" w:eastAsia="SimSun" w:hAnsi="Times New Roman"/>
          <w:b/>
          <w:sz w:val="24"/>
          <w:szCs w:val="24"/>
        </w:rPr>
      </w:pPr>
      <w:r w:rsidRPr="00AE47C6">
        <w:rPr>
          <w:rFonts w:ascii="Times New Roman" w:eastAsia="SimSun" w:hAnsi="Times New Roman"/>
          <w:b/>
          <w:sz w:val="24"/>
          <w:szCs w:val="24"/>
        </w:rPr>
        <w:tab/>
        <w:t>Класификации на епилепсиите според:</w:t>
      </w:r>
    </w:p>
    <w:p w14:paraId="6B35CE4D" w14:textId="77777777" w:rsidR="00BE0B19" w:rsidRPr="00AE47C6" w:rsidRDefault="00BE0B19" w:rsidP="00BE0B19">
      <w:pPr>
        <w:numPr>
          <w:ilvl w:val="0"/>
          <w:numId w:val="155"/>
        </w:num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Еволюция. </w:t>
      </w:r>
      <w:r w:rsidRPr="00AE47C6">
        <w:rPr>
          <w:rFonts w:ascii="Times New Roman" w:eastAsia="SimSun" w:hAnsi="Times New Roman"/>
          <w:sz w:val="24"/>
          <w:szCs w:val="24"/>
        </w:rPr>
        <w:t xml:space="preserve">Според класификацията от 2010 г. епилепсиите се разделят на: </w:t>
      </w:r>
    </w:p>
    <w:p w14:paraId="0A384701" w14:textId="77777777" w:rsidR="00BE0B19" w:rsidRPr="00AE47C6" w:rsidRDefault="00BE0B19" w:rsidP="00BE0B19">
      <w:pPr>
        <w:tabs>
          <w:tab w:val="left" w:pos="993"/>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w:t>
      </w:r>
      <w:r w:rsidRPr="00AE47C6">
        <w:rPr>
          <w:rFonts w:ascii="Times New Roman" w:eastAsia="SimSun" w:hAnsi="Times New Roman"/>
          <w:bCs/>
          <w:sz w:val="24"/>
          <w:szCs w:val="24"/>
        </w:rPr>
        <w:t xml:space="preserve">самоограничаващи се </w:t>
      </w:r>
      <w:r w:rsidRPr="00AE47C6">
        <w:rPr>
          <w:rFonts w:ascii="Times New Roman" w:eastAsia="SimSun" w:hAnsi="Times New Roman"/>
          <w:sz w:val="24"/>
          <w:szCs w:val="24"/>
        </w:rPr>
        <w:t xml:space="preserve">(напр. идиопатични фокални детски епилепсии като Роландова и бенигнени окципитални епилепсии, детска абсансна епилепсия в 75-80%). </w:t>
      </w:r>
      <w:r w:rsidRPr="00AE47C6">
        <w:rPr>
          <w:rFonts w:ascii="Times New Roman" w:eastAsia="SimSun" w:hAnsi="Times New Roman"/>
          <w:bCs/>
          <w:iCs/>
          <w:sz w:val="24"/>
          <w:szCs w:val="24"/>
        </w:rPr>
        <w:t xml:space="preserve">При тях </w:t>
      </w:r>
      <w:r w:rsidRPr="00AE47C6">
        <w:rPr>
          <w:rFonts w:ascii="Times New Roman" w:eastAsia="SimSun" w:hAnsi="Times New Roman"/>
          <w:sz w:val="24"/>
          <w:szCs w:val="24"/>
        </w:rPr>
        <w:t>има спонтанна ремисия в определена очаквана възраст. Няма когнитивни и поведенчески разстройства, вкл. по време на активната фаза на пристъпите.</w:t>
      </w:r>
    </w:p>
    <w:p w14:paraId="2C089B8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w:t>
      </w:r>
      <w:r w:rsidRPr="00AE47C6">
        <w:rPr>
          <w:rFonts w:ascii="Times New Roman" w:eastAsia="SimSun" w:hAnsi="Times New Roman"/>
          <w:bCs/>
          <w:sz w:val="24"/>
          <w:szCs w:val="24"/>
        </w:rPr>
        <w:t>медикаментозно контролирани</w:t>
      </w:r>
      <w:r w:rsidRPr="00AE47C6">
        <w:rPr>
          <w:rFonts w:ascii="Times New Roman" w:eastAsia="SimSun" w:hAnsi="Times New Roman"/>
          <w:sz w:val="24"/>
          <w:szCs w:val="24"/>
        </w:rPr>
        <w:t xml:space="preserve"> (напр. ювенилна миоклонус епилепсия),</w:t>
      </w:r>
    </w:p>
    <w:p w14:paraId="61442DD0" w14:textId="77777777" w:rsidR="00BE0B19" w:rsidRPr="00AE47C6" w:rsidRDefault="00BE0B19" w:rsidP="00BE0B19">
      <w:pPr>
        <w:tabs>
          <w:tab w:val="left" w:pos="851"/>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w:t>
      </w:r>
      <w:r w:rsidRPr="00AE47C6">
        <w:rPr>
          <w:rFonts w:ascii="Times New Roman" w:eastAsia="SimSun" w:hAnsi="Times New Roman"/>
          <w:bCs/>
          <w:sz w:val="24"/>
          <w:szCs w:val="24"/>
        </w:rPr>
        <w:t>медикаментозно-резистентни</w:t>
      </w:r>
      <w:r w:rsidRPr="00AE47C6">
        <w:rPr>
          <w:rFonts w:ascii="Times New Roman" w:eastAsia="SimSun" w:hAnsi="Times New Roman"/>
          <w:sz w:val="24"/>
          <w:szCs w:val="24"/>
        </w:rPr>
        <w:t xml:space="preserve"> (напр. синдром на Dravet, West, Lennox-Gastaut), </w:t>
      </w:r>
      <w:r w:rsidRPr="00AE47C6">
        <w:rPr>
          <w:rFonts w:ascii="Times New Roman" w:eastAsia="SimSun" w:hAnsi="Times New Roman"/>
          <w:bCs/>
          <w:iCs/>
          <w:sz w:val="24"/>
          <w:szCs w:val="24"/>
        </w:rPr>
        <w:t>които</w:t>
      </w:r>
      <w:r w:rsidRPr="00AE47C6">
        <w:rPr>
          <w:rFonts w:ascii="Times New Roman" w:eastAsia="SimSun" w:hAnsi="Times New Roman"/>
          <w:sz w:val="24"/>
          <w:szCs w:val="24"/>
        </w:rPr>
        <w:t xml:space="preserve"> се дефинират чрез: 1. Количествена оценка на пристъпната честота и тежест (увредено съзнание, контузии, дълга постиктална дисфункция) 2. Неефективност от лечение с антигърчови лекарства (АГЛ), адекватни за типа пристъпи и в адекватни дози. Според последната дефиниция, предложена от ILAE, 2009 г. „медикаментозно-резистентни са пациентите, при които е налице неуспех на адекватно приложени, подходящо избрани и добре поносими 2 АГЛ, в монотерапия или в комбинация, за постигане на продължителна свобода от пристъпи (за период от 1 година или 3 пъти по-дълго от най-дългия междупристъпен период пред последната година)”. Адекватен опит с АГЛ означава приложение на лекарството в подходяща доза и за достатъчно продължителен период от време. При медикаментозно-резистентните пациенти са налице значителни негативни ефекти на епилептичните пристъпи върху качеството на живот. При установена медикаментозна резистентност се налага приложение на рационална политерапия с повече от два АГЛ, а при неуспех от лечението и при индикации следва да бъдат обсъждани и възможностите за хирургично лечение.</w:t>
      </w:r>
    </w:p>
    <w:p w14:paraId="0F9E6A3E" w14:textId="77777777" w:rsidR="00BE0B19" w:rsidRPr="00AE47C6" w:rsidRDefault="00BE0B19" w:rsidP="00BE0B19">
      <w:pPr>
        <w:numPr>
          <w:ilvl w:val="0"/>
          <w:numId w:val="155"/>
        </w:numPr>
        <w:spacing w:after="0" w:line="360" w:lineRule="auto"/>
        <w:jc w:val="both"/>
        <w:rPr>
          <w:rFonts w:ascii="Times New Roman" w:eastAsia="SimSun" w:hAnsi="Times New Roman"/>
          <w:sz w:val="24"/>
          <w:szCs w:val="24"/>
        </w:rPr>
      </w:pPr>
      <w:r w:rsidRPr="00AE47C6">
        <w:rPr>
          <w:rFonts w:ascii="Times New Roman" w:eastAsia="SimSun" w:hAnsi="Times New Roman"/>
          <w:b/>
          <w:bCs/>
          <w:i/>
          <w:sz w:val="24"/>
          <w:szCs w:val="24"/>
        </w:rPr>
        <w:t xml:space="preserve">Електро-клинични синдроми </w:t>
      </w:r>
      <w:r w:rsidRPr="00AE47C6">
        <w:rPr>
          <w:rFonts w:ascii="Times New Roman" w:eastAsia="SimSun" w:hAnsi="Times New Roman"/>
          <w:sz w:val="24"/>
          <w:szCs w:val="24"/>
        </w:rPr>
        <w:t xml:space="preserve">според възрастта при началото (2017 г.): </w:t>
      </w:r>
    </w:p>
    <w:p w14:paraId="4B5E92A8"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Неонатален период</w:t>
      </w:r>
    </w:p>
    <w:p w14:paraId="062D1179" w14:textId="77777777" w:rsidR="00BE0B19" w:rsidRPr="00AE47C6" w:rsidRDefault="00BE0B19" w:rsidP="00BE0B19">
      <w:pPr>
        <w:numPr>
          <w:ilvl w:val="0"/>
          <w:numId w:val="152"/>
        </w:numPr>
        <w:spacing w:after="0" w:line="360" w:lineRule="auto"/>
        <w:ind w:left="0" w:firstLine="0"/>
        <w:jc w:val="both"/>
        <w:rPr>
          <w:rFonts w:ascii="Times New Roman" w:eastAsia="SimSun" w:hAnsi="Times New Roman"/>
          <w:b/>
          <w:bCs/>
          <w:sz w:val="24"/>
          <w:szCs w:val="24"/>
        </w:rPr>
      </w:pPr>
      <w:r w:rsidRPr="00AE47C6">
        <w:rPr>
          <w:rFonts w:ascii="Times New Roman" w:eastAsia="SimSun" w:hAnsi="Times New Roman"/>
          <w:sz w:val="24"/>
          <w:szCs w:val="24"/>
        </w:rPr>
        <w:t>Бенигнени неонатални фамилни пристъпи (BFNS)</w:t>
      </w:r>
    </w:p>
    <w:p w14:paraId="0A040BA7" w14:textId="77777777" w:rsidR="00BE0B19" w:rsidRPr="00AE47C6" w:rsidRDefault="00BE0B19" w:rsidP="00BE0B19">
      <w:pPr>
        <w:numPr>
          <w:ilvl w:val="0"/>
          <w:numId w:val="152"/>
        </w:numPr>
        <w:spacing w:after="0" w:line="360" w:lineRule="auto"/>
        <w:ind w:left="0" w:firstLine="0"/>
        <w:jc w:val="both"/>
        <w:rPr>
          <w:rFonts w:ascii="Times New Roman" w:eastAsia="SimSun" w:hAnsi="Times New Roman"/>
          <w:b/>
          <w:bCs/>
          <w:sz w:val="24"/>
          <w:szCs w:val="24"/>
        </w:rPr>
      </w:pPr>
      <w:r w:rsidRPr="00AE47C6">
        <w:rPr>
          <w:rFonts w:ascii="Times New Roman" w:eastAsia="SimSun" w:hAnsi="Times New Roman"/>
          <w:sz w:val="24"/>
          <w:szCs w:val="24"/>
        </w:rPr>
        <w:t>Ранна миоклонична енцефалопатия (EME)</w:t>
      </w:r>
    </w:p>
    <w:p w14:paraId="583FBE16" w14:textId="77777777" w:rsidR="00BE0B19" w:rsidRPr="00AE47C6" w:rsidRDefault="00BE0B19" w:rsidP="00BE0B19">
      <w:pPr>
        <w:numPr>
          <w:ilvl w:val="0"/>
          <w:numId w:val="152"/>
        </w:numPr>
        <w:spacing w:after="0" w:line="360" w:lineRule="auto"/>
        <w:ind w:left="0" w:firstLine="0"/>
        <w:jc w:val="both"/>
        <w:rPr>
          <w:rFonts w:ascii="Times New Roman" w:eastAsia="SimSun" w:hAnsi="Times New Roman"/>
          <w:b/>
          <w:bCs/>
          <w:sz w:val="24"/>
          <w:szCs w:val="24"/>
        </w:rPr>
      </w:pPr>
      <w:r w:rsidRPr="00AE47C6">
        <w:rPr>
          <w:rFonts w:ascii="Times New Roman" w:eastAsia="SimSun" w:hAnsi="Times New Roman"/>
          <w:sz w:val="24"/>
          <w:szCs w:val="24"/>
        </w:rPr>
        <w:t xml:space="preserve">Синдром на Ohtahara </w:t>
      </w:r>
    </w:p>
    <w:p w14:paraId="206C4994"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Ранна детска възраст </w:t>
      </w:r>
    </w:p>
    <w:p w14:paraId="754F88B5" w14:textId="77777777" w:rsidR="00BE0B19" w:rsidRPr="00AE47C6" w:rsidRDefault="00BE0B19" w:rsidP="00BE0B19">
      <w:pPr>
        <w:numPr>
          <w:ilvl w:val="0"/>
          <w:numId w:val="148"/>
        </w:numPr>
        <w:tabs>
          <w:tab w:val="clear" w:pos="108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Мигриращи парциални пристъпи в кърмаческа възраст</w:t>
      </w:r>
    </w:p>
    <w:p w14:paraId="073C6EB6" w14:textId="77777777" w:rsidR="00BE0B19" w:rsidRPr="00AE47C6" w:rsidRDefault="00BE0B19" w:rsidP="00BE0B19">
      <w:pPr>
        <w:numPr>
          <w:ilvl w:val="0"/>
          <w:numId w:val="148"/>
        </w:numPr>
        <w:tabs>
          <w:tab w:val="clear" w:pos="108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Синдром на West </w:t>
      </w:r>
    </w:p>
    <w:p w14:paraId="346FDF69" w14:textId="77777777" w:rsidR="00BE0B19" w:rsidRPr="00AE47C6" w:rsidRDefault="00BE0B19" w:rsidP="00BE0B19">
      <w:pPr>
        <w:numPr>
          <w:ilvl w:val="0"/>
          <w:numId w:val="148"/>
        </w:numPr>
        <w:tabs>
          <w:tab w:val="clear" w:pos="108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Миоклонични епилепсии в кърмаческа възраст (МEI) </w:t>
      </w:r>
    </w:p>
    <w:p w14:paraId="42DA87D3" w14:textId="77777777" w:rsidR="00BE0B19" w:rsidRPr="00AE47C6" w:rsidRDefault="00BE0B19" w:rsidP="00BE0B19">
      <w:pPr>
        <w:numPr>
          <w:ilvl w:val="0"/>
          <w:numId w:val="148"/>
        </w:numPr>
        <w:tabs>
          <w:tab w:val="clear" w:pos="108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Бенигнени инфантилни пристъпи </w:t>
      </w:r>
    </w:p>
    <w:p w14:paraId="54998AD5" w14:textId="77777777" w:rsidR="00BE0B19" w:rsidRPr="00AE47C6" w:rsidRDefault="00BE0B19" w:rsidP="00BE0B19">
      <w:pPr>
        <w:numPr>
          <w:ilvl w:val="0"/>
          <w:numId w:val="148"/>
        </w:numPr>
        <w:tabs>
          <w:tab w:val="clear" w:pos="108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Синдром на Dravet (SMEI)</w:t>
      </w:r>
    </w:p>
    <w:p w14:paraId="216FFDC6" w14:textId="77777777" w:rsidR="00BE0B19" w:rsidRPr="00AE47C6" w:rsidRDefault="00BE0B19" w:rsidP="00BE0B19">
      <w:pPr>
        <w:numPr>
          <w:ilvl w:val="0"/>
          <w:numId w:val="148"/>
        </w:numPr>
        <w:tabs>
          <w:tab w:val="clear" w:pos="108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Миоклонични енцефалопатии при непрогресиращи заболявания </w:t>
      </w:r>
    </w:p>
    <w:p w14:paraId="60675A16" w14:textId="77777777" w:rsidR="00BE0B19" w:rsidRPr="00AE47C6" w:rsidRDefault="00BE0B19" w:rsidP="00BE0B19">
      <w:pPr>
        <w:spacing w:after="0" w:line="360" w:lineRule="auto"/>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Детска възраст</w:t>
      </w:r>
    </w:p>
    <w:p w14:paraId="77F7F0EE" w14:textId="77777777" w:rsidR="00BE0B19" w:rsidRPr="00AE47C6" w:rsidRDefault="00BE0B19" w:rsidP="00BE0B19">
      <w:pPr>
        <w:numPr>
          <w:ilvl w:val="0"/>
          <w:numId w:val="150"/>
        </w:numPr>
        <w:spacing w:after="0" w:line="360" w:lineRule="auto"/>
        <w:ind w:left="0" w:firstLine="0"/>
        <w:jc w:val="both"/>
        <w:rPr>
          <w:rFonts w:ascii="Times New Roman" w:eastAsia="SimSun" w:hAnsi="Times New Roman"/>
          <w:b/>
          <w:bCs/>
          <w:sz w:val="24"/>
          <w:szCs w:val="24"/>
          <w:lang w:eastAsia="bg-BG"/>
        </w:rPr>
      </w:pPr>
      <w:r w:rsidRPr="00AE47C6">
        <w:rPr>
          <w:rFonts w:ascii="Times New Roman" w:eastAsia="SimSun" w:hAnsi="Times New Roman"/>
          <w:sz w:val="24"/>
          <w:szCs w:val="24"/>
          <w:lang w:eastAsia="bg-BG"/>
        </w:rPr>
        <w:t xml:space="preserve">Фебрилни гърчове плюс (FS+) </w:t>
      </w:r>
    </w:p>
    <w:p w14:paraId="7DE2CCB9" w14:textId="77777777" w:rsidR="00BE0B19" w:rsidRPr="00AE47C6" w:rsidRDefault="00BE0B19" w:rsidP="00BE0B19">
      <w:pPr>
        <w:numPr>
          <w:ilvl w:val="0"/>
          <w:numId w:val="15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Бенигнена окципитална епилепсия с ранно начало (Синдром на Panayiotopoulos)</w:t>
      </w:r>
    </w:p>
    <w:p w14:paraId="00D4D590" w14:textId="77777777" w:rsidR="00BE0B19" w:rsidRPr="00AE47C6" w:rsidRDefault="00BE0B19" w:rsidP="00BE0B19">
      <w:pPr>
        <w:numPr>
          <w:ilvl w:val="0"/>
          <w:numId w:val="15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Бенигнена окципитална епилепсия с късно начало (тип Gastaut)</w:t>
      </w:r>
    </w:p>
    <w:p w14:paraId="0011AEA3" w14:textId="77777777" w:rsidR="00BE0B19" w:rsidRPr="00AE47C6" w:rsidRDefault="00BE0B19" w:rsidP="00BE0B19">
      <w:pPr>
        <w:numPr>
          <w:ilvl w:val="0"/>
          <w:numId w:val="15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Бенигнена епилепсия с центротемпорални острия (BECTS, Роландова)</w:t>
      </w:r>
    </w:p>
    <w:p w14:paraId="416554F8" w14:textId="77777777" w:rsidR="00BE0B19" w:rsidRPr="00AE47C6" w:rsidRDefault="00BE0B19" w:rsidP="00BE0B19">
      <w:pPr>
        <w:numPr>
          <w:ilvl w:val="0"/>
          <w:numId w:val="15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Автозомно-доминантна нощна фронтално-дялова епилепсия (ADNFLE)</w:t>
      </w:r>
    </w:p>
    <w:p w14:paraId="67798472" w14:textId="77777777" w:rsidR="00BE0B19" w:rsidRPr="00AE47C6" w:rsidRDefault="00BE0B19" w:rsidP="00BE0B19">
      <w:pPr>
        <w:numPr>
          <w:ilvl w:val="0"/>
          <w:numId w:val="15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Детска абсансна епилепсия</w:t>
      </w:r>
    </w:p>
    <w:p w14:paraId="3BDAEEA5" w14:textId="77777777" w:rsidR="00BE0B19" w:rsidRPr="00AE47C6" w:rsidRDefault="00BE0B19" w:rsidP="00BE0B19">
      <w:pPr>
        <w:numPr>
          <w:ilvl w:val="0"/>
          <w:numId w:val="15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Епилепсия с миоклонично-атонични пристъпи (Миоклонично-астатична епилепсия)</w:t>
      </w:r>
    </w:p>
    <w:p w14:paraId="5901F2A0" w14:textId="77777777" w:rsidR="00BE0B19" w:rsidRPr="00AE47C6" w:rsidRDefault="00BE0B19" w:rsidP="00BE0B19">
      <w:pPr>
        <w:numPr>
          <w:ilvl w:val="0"/>
          <w:numId w:val="15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Епилепсия с миоклонични абсанси</w:t>
      </w:r>
    </w:p>
    <w:p w14:paraId="3AC5D74A" w14:textId="77777777" w:rsidR="00BE0B19" w:rsidRPr="00AE47C6" w:rsidRDefault="00BE0B19" w:rsidP="00BE0B19">
      <w:pPr>
        <w:numPr>
          <w:ilvl w:val="0"/>
          <w:numId w:val="15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Синдром на Lennox-Gastaut</w:t>
      </w:r>
    </w:p>
    <w:p w14:paraId="52E112B0" w14:textId="77777777" w:rsidR="00BE0B19" w:rsidRPr="00AE47C6" w:rsidRDefault="00BE0B19" w:rsidP="00BE0B19">
      <w:pPr>
        <w:numPr>
          <w:ilvl w:val="0"/>
          <w:numId w:val="15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Епилептична енцефалопатия с продължителни комплекси острие-бавна вълна по време на сън (CSWS), включително синдром на Landau-Kleffner (LKS)</w:t>
      </w:r>
    </w:p>
    <w:p w14:paraId="1F96DDDB"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Юношеска възраст и възрастни</w:t>
      </w:r>
    </w:p>
    <w:p w14:paraId="79C9CDF5" w14:textId="77777777" w:rsidR="00BE0B19" w:rsidRPr="00AE47C6" w:rsidRDefault="00BE0B19" w:rsidP="00BE0B19">
      <w:pPr>
        <w:numPr>
          <w:ilvl w:val="0"/>
          <w:numId w:val="151"/>
        </w:numPr>
        <w:spacing w:after="0" w:line="360" w:lineRule="auto"/>
        <w:ind w:left="0" w:firstLine="0"/>
        <w:jc w:val="both"/>
        <w:rPr>
          <w:rFonts w:ascii="Times New Roman" w:eastAsia="SimSun" w:hAnsi="Times New Roman"/>
          <w:b/>
          <w:bCs/>
          <w:sz w:val="24"/>
          <w:szCs w:val="24"/>
        </w:rPr>
      </w:pPr>
      <w:r w:rsidRPr="00AE47C6">
        <w:rPr>
          <w:rFonts w:ascii="Times New Roman" w:eastAsia="SimSun" w:hAnsi="Times New Roman"/>
          <w:sz w:val="24"/>
          <w:szCs w:val="24"/>
        </w:rPr>
        <w:t xml:space="preserve">Ювенилна абсансна епилепсия </w:t>
      </w:r>
    </w:p>
    <w:p w14:paraId="4DEF2112" w14:textId="77777777" w:rsidR="00BE0B19" w:rsidRPr="00AE47C6" w:rsidRDefault="00BE0B19" w:rsidP="00BE0B19">
      <w:pPr>
        <w:numPr>
          <w:ilvl w:val="0"/>
          <w:numId w:val="15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Ювенилна миоклонична епилепсия </w:t>
      </w:r>
    </w:p>
    <w:p w14:paraId="69D48D1F" w14:textId="77777777" w:rsidR="00BE0B19" w:rsidRPr="00AE47C6" w:rsidRDefault="00BE0B19" w:rsidP="00BE0B19">
      <w:pPr>
        <w:numPr>
          <w:ilvl w:val="0"/>
          <w:numId w:val="15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Епилепсия с генерализирани тонично-клонични припадъци</w:t>
      </w:r>
    </w:p>
    <w:p w14:paraId="1A36D972" w14:textId="77777777" w:rsidR="00BE0B19" w:rsidRPr="00AE47C6" w:rsidRDefault="00BE0B19" w:rsidP="00BE0B19">
      <w:pPr>
        <w:numPr>
          <w:ilvl w:val="0"/>
          <w:numId w:val="15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Прогресивни миоклонични епилепсии </w:t>
      </w:r>
    </w:p>
    <w:p w14:paraId="4540B591" w14:textId="77777777" w:rsidR="00BE0B19" w:rsidRPr="00AE47C6" w:rsidRDefault="00BE0B19" w:rsidP="00BE0B19">
      <w:pPr>
        <w:numPr>
          <w:ilvl w:val="0"/>
          <w:numId w:val="15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Автозомно-доминантна парциална епилепсия със слухови прояви (ADPEAF)</w:t>
      </w:r>
    </w:p>
    <w:p w14:paraId="5E825CA2" w14:textId="77777777" w:rsidR="00BE0B19" w:rsidRPr="00AE47C6" w:rsidRDefault="00BE0B19" w:rsidP="00BE0B19">
      <w:pPr>
        <w:numPr>
          <w:ilvl w:val="0"/>
          <w:numId w:val="15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Други фамилни темпоралнодялови епилепсии </w:t>
      </w:r>
    </w:p>
    <w:p w14:paraId="4A288E57"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По-неспецифично възрастово свързани</w:t>
      </w:r>
    </w:p>
    <w:p w14:paraId="10E97121" w14:textId="77777777" w:rsidR="00BE0B19" w:rsidRPr="00AE47C6" w:rsidRDefault="00BE0B19" w:rsidP="00BE0B19">
      <w:pPr>
        <w:numPr>
          <w:ilvl w:val="0"/>
          <w:numId w:val="14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Фамилна фокална епилепсия с вариабилни фокуси (детство / възрастни)</w:t>
      </w:r>
    </w:p>
    <w:p w14:paraId="66A5CA70" w14:textId="77777777" w:rsidR="00BE0B19" w:rsidRPr="00AE47C6" w:rsidRDefault="00BE0B19" w:rsidP="00BE0B19">
      <w:pPr>
        <w:numPr>
          <w:ilvl w:val="0"/>
          <w:numId w:val="14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Рефлексни епилепсии</w:t>
      </w:r>
    </w:p>
    <w:p w14:paraId="01542786"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Различни</w:t>
      </w:r>
    </w:p>
    <w:p w14:paraId="147CE453" w14:textId="77777777" w:rsidR="00BE0B19" w:rsidRPr="00AE47C6" w:rsidRDefault="00BE0B19" w:rsidP="00BE0B19">
      <w:pPr>
        <w:numPr>
          <w:ilvl w:val="0"/>
          <w:numId w:val="153"/>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Мезиална темпоралнодялова епилепсия с хипокампална склероза</w:t>
      </w:r>
    </w:p>
    <w:p w14:paraId="164FF0D0" w14:textId="77777777" w:rsidR="00BE0B19" w:rsidRPr="00AE47C6" w:rsidRDefault="00BE0B19" w:rsidP="00BE0B19">
      <w:pPr>
        <w:numPr>
          <w:ilvl w:val="0"/>
          <w:numId w:val="153"/>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Синдром на Rasmussen</w:t>
      </w:r>
    </w:p>
    <w:p w14:paraId="13D6246F" w14:textId="77777777" w:rsidR="00BE0B19" w:rsidRPr="00AE47C6" w:rsidRDefault="00BE0B19" w:rsidP="00BE0B19">
      <w:pPr>
        <w:numPr>
          <w:ilvl w:val="0"/>
          <w:numId w:val="153"/>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Геластични пристъпи при хипокампални хамартоми</w:t>
      </w:r>
    </w:p>
    <w:p w14:paraId="19406F63"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Състояния с епилептични пристъпи, които не се диагностицират като епилепсия.</w:t>
      </w:r>
    </w:p>
    <w:p w14:paraId="57FDD582" w14:textId="77777777" w:rsidR="00BE0B19" w:rsidRPr="00AE47C6" w:rsidRDefault="00BE0B19" w:rsidP="00BE0B19">
      <w:pPr>
        <w:numPr>
          <w:ilvl w:val="0"/>
          <w:numId w:val="154"/>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Бенигнени неонатални пристъпи (BNS)</w:t>
      </w:r>
    </w:p>
    <w:p w14:paraId="3FF4C8B0" w14:textId="77777777" w:rsidR="00BE0B19" w:rsidRPr="00AE47C6" w:rsidRDefault="00BE0B19" w:rsidP="00BE0B19">
      <w:pPr>
        <w:numPr>
          <w:ilvl w:val="0"/>
          <w:numId w:val="154"/>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Фебрилни гърчове (FS)</w:t>
      </w:r>
    </w:p>
    <w:p w14:paraId="2CC3CBAD" w14:textId="77777777" w:rsidR="00BE0B19" w:rsidRPr="00AE47C6" w:rsidRDefault="00BE0B19" w:rsidP="00BE0B19">
      <w:pPr>
        <w:spacing w:line="360" w:lineRule="auto"/>
        <w:jc w:val="both"/>
        <w:rPr>
          <w:rFonts w:ascii="Times New Roman" w:eastAsia="SimSun" w:hAnsi="Times New Roman"/>
          <w:bCs/>
          <w:strike/>
          <w:color w:val="FF0000"/>
          <w:sz w:val="24"/>
          <w:szCs w:val="24"/>
        </w:rPr>
      </w:pPr>
      <w:r w:rsidRPr="00AE47C6">
        <w:rPr>
          <w:rFonts w:ascii="Times New Roman" w:eastAsia="SimSun" w:hAnsi="Times New Roman"/>
          <w:sz w:val="24"/>
          <w:szCs w:val="24"/>
        </w:rPr>
        <w:t xml:space="preserve">Новата </w:t>
      </w:r>
      <w:r w:rsidRPr="00AE47C6">
        <w:rPr>
          <w:rFonts w:ascii="Times New Roman" w:eastAsia="SimSun" w:hAnsi="Times New Roman"/>
          <w:bCs/>
          <w:sz w:val="24"/>
          <w:szCs w:val="24"/>
        </w:rPr>
        <w:t>Класификация и дефиниция на епилептичните синдроми на ILAE според възрастта на началото, 2022 г. се въвеждат някои терминологични промени (Zuberi SM et al. Epilepsia. 2022 Jun;63(6):1349-1397; Specchio N. et al. Epilepsia. 2022;63(6):</w:t>
      </w:r>
      <w:r w:rsidRPr="00AE47C6">
        <w:rPr>
          <w:rFonts w:ascii="Times New Roman" w:eastAsia="SimSun" w:hAnsi="Times New Roman"/>
          <w:color w:val="212121"/>
          <w:sz w:val="24"/>
          <w:szCs w:val="24"/>
          <w:shd w:val="clear" w:color="auto" w:fill="FFFFFF"/>
        </w:rPr>
        <w:t xml:space="preserve"> 1398-1442</w:t>
      </w:r>
      <w:r w:rsidRPr="00AE47C6">
        <w:rPr>
          <w:rFonts w:ascii="Times New Roman" w:eastAsia="SimSun" w:hAnsi="Times New Roman"/>
          <w:bCs/>
          <w:sz w:val="24"/>
          <w:szCs w:val="24"/>
        </w:rPr>
        <w:t>; Riney K et al. E</w:t>
      </w:r>
      <w:r w:rsidRPr="00AE47C6">
        <w:rPr>
          <w:rFonts w:ascii="Times New Roman" w:eastAsia="SimSun" w:hAnsi="Times New Roman"/>
          <w:color w:val="212121"/>
          <w:sz w:val="24"/>
          <w:szCs w:val="24"/>
          <w:shd w:val="clear" w:color="auto" w:fill="FFFFFF"/>
        </w:rPr>
        <w:t>pilepsia. 2022 Jun;63(6):1443-1474</w:t>
      </w:r>
      <w:r w:rsidRPr="00AE47C6">
        <w:rPr>
          <w:rFonts w:ascii="Times New Roman" w:eastAsia="SimSun" w:hAnsi="Times New Roman"/>
          <w:bCs/>
          <w:sz w:val="24"/>
          <w:szCs w:val="24"/>
        </w:rPr>
        <w:t xml:space="preserve">. Hirsch E et al. Epilepsia 2022; 63 (6): 1475-1499). </w:t>
      </w:r>
      <w:r w:rsidRPr="00AE47C6">
        <w:rPr>
          <w:rFonts w:ascii="Times New Roman" w:eastAsia="SimSun" w:hAnsi="Times New Roman"/>
          <w:bCs/>
          <w:iCs/>
          <w:sz w:val="24"/>
          <w:szCs w:val="24"/>
        </w:rPr>
        <w:t>С имена остават само</w:t>
      </w:r>
      <w:r w:rsidRPr="00AE47C6">
        <w:rPr>
          <w:rFonts w:ascii="Times New Roman" w:eastAsia="SimSun" w:hAnsi="Times New Roman"/>
          <w:bCs/>
          <w:i/>
          <w:iCs/>
          <w:sz w:val="24"/>
          <w:szCs w:val="24"/>
        </w:rPr>
        <w:t xml:space="preserve"> синдром на Dravet, синдром на Lennox-Gastaut </w:t>
      </w:r>
      <w:r w:rsidRPr="00AE47C6">
        <w:rPr>
          <w:rFonts w:ascii="Times New Roman" w:eastAsia="SimSun" w:hAnsi="Times New Roman"/>
          <w:bCs/>
          <w:iCs/>
          <w:sz w:val="24"/>
          <w:szCs w:val="24"/>
        </w:rPr>
        <w:t>и</w:t>
      </w:r>
      <w:r w:rsidRPr="00AE47C6">
        <w:rPr>
          <w:rFonts w:ascii="Times New Roman" w:eastAsia="SimSun" w:hAnsi="Times New Roman"/>
          <w:bCs/>
          <w:i/>
          <w:iCs/>
          <w:sz w:val="24"/>
          <w:szCs w:val="24"/>
        </w:rPr>
        <w:t xml:space="preserve"> синдром на Rasmussen. Синдром на West </w:t>
      </w:r>
      <w:r w:rsidRPr="00AE47C6">
        <w:rPr>
          <w:rFonts w:ascii="Times New Roman" w:eastAsia="SimSun" w:hAnsi="Times New Roman"/>
          <w:bCs/>
          <w:iCs/>
          <w:sz w:val="24"/>
          <w:szCs w:val="24"/>
        </w:rPr>
        <w:t>става</w:t>
      </w:r>
      <w:r w:rsidRPr="00AE47C6">
        <w:rPr>
          <w:rFonts w:ascii="Times New Roman" w:eastAsia="SimSun" w:hAnsi="Times New Roman"/>
          <w:bCs/>
          <w:i/>
          <w:iCs/>
          <w:sz w:val="24"/>
          <w:szCs w:val="24"/>
        </w:rPr>
        <w:t xml:space="preserve"> Синдром с епилептични инфантилни спазми;</w:t>
      </w:r>
      <w:r w:rsidRPr="00AE47C6">
        <w:rPr>
          <w:rFonts w:ascii="Times New Roman" w:eastAsia="SimSun" w:hAnsi="Times New Roman"/>
          <w:bCs/>
          <w:sz w:val="24"/>
          <w:szCs w:val="24"/>
        </w:rPr>
        <w:t xml:space="preserve"> </w:t>
      </w:r>
      <w:r w:rsidRPr="00AE47C6">
        <w:rPr>
          <w:rFonts w:ascii="Times New Roman" w:eastAsia="SimSun" w:hAnsi="Times New Roman"/>
          <w:bCs/>
          <w:i/>
          <w:iCs/>
          <w:sz w:val="24"/>
          <w:szCs w:val="24"/>
        </w:rPr>
        <w:t xml:space="preserve">Доброкачествени фокални детски епилепсии </w:t>
      </w:r>
      <w:r w:rsidRPr="00AE47C6">
        <w:rPr>
          <w:rFonts w:ascii="Times New Roman" w:eastAsia="SimSun" w:hAnsi="Times New Roman"/>
          <w:bCs/>
          <w:iCs/>
          <w:sz w:val="24"/>
          <w:szCs w:val="24"/>
        </w:rPr>
        <w:t>стават</w:t>
      </w:r>
      <w:r w:rsidRPr="00AE47C6">
        <w:rPr>
          <w:rFonts w:ascii="Times New Roman" w:eastAsia="SimSun" w:hAnsi="Times New Roman"/>
          <w:bCs/>
          <w:i/>
          <w:iCs/>
          <w:sz w:val="24"/>
          <w:szCs w:val="24"/>
        </w:rPr>
        <w:t xml:space="preserve"> самоограничаващи се епилепсии:</w:t>
      </w:r>
      <w:r w:rsidRPr="00AE47C6">
        <w:rPr>
          <w:rFonts w:ascii="Times New Roman" w:eastAsia="SimSun" w:hAnsi="Times New Roman"/>
          <w:bCs/>
          <w:sz w:val="24"/>
          <w:szCs w:val="24"/>
        </w:rPr>
        <w:t xml:space="preserve"> </w:t>
      </w:r>
      <w:r w:rsidRPr="00AE47C6">
        <w:rPr>
          <w:rFonts w:ascii="Times New Roman" w:eastAsia="SimSun" w:hAnsi="Times New Roman"/>
          <w:bCs/>
          <w:iCs/>
          <w:sz w:val="24"/>
          <w:szCs w:val="24"/>
        </w:rPr>
        <w:t>И</w:t>
      </w:r>
      <w:r w:rsidRPr="00AE47C6">
        <w:rPr>
          <w:rFonts w:ascii="Times New Roman" w:eastAsia="SimSun" w:hAnsi="Times New Roman"/>
          <w:bCs/>
          <w:sz w:val="24"/>
          <w:szCs w:val="24"/>
        </w:rPr>
        <w:t>диопатична фокална епилепсия с центротемпорални спайкове (Роландова) става Самоограничаваща се епилепсия с центротемпорални спайкове; Синдром на Panayiotopoulos (Бенигнена окципитална епилепсия с ранно начало) става Самоограничаващ се синдром с автономна дисфункция; Синдром на Gastaut (Бенигнена окципитална епилепсия с късно начало става Детска окципитална зрителна епилепсия; Фотосензитивна окципитална късна епилепсия.</w:t>
      </w:r>
    </w:p>
    <w:p w14:paraId="6E69671D" w14:textId="77777777" w:rsidR="00BE0B19" w:rsidRPr="00AE47C6" w:rsidRDefault="00BE0B19" w:rsidP="00BE0B19">
      <w:pPr>
        <w:spacing w:line="360" w:lineRule="auto"/>
        <w:ind w:firstLine="720"/>
        <w:jc w:val="both"/>
        <w:rPr>
          <w:rFonts w:ascii="Times New Roman" w:eastAsiaTheme="minorEastAsia" w:hAnsi="Times New Roman"/>
          <w:color w:val="511EE0"/>
          <w:kern w:val="24"/>
          <w:sz w:val="24"/>
          <w:szCs w:val="24"/>
        </w:rPr>
      </w:pPr>
      <w:r w:rsidRPr="00AE47C6">
        <w:rPr>
          <w:rFonts w:ascii="Times New Roman" w:eastAsia="SimSun" w:hAnsi="Times New Roman"/>
          <w:bCs/>
          <w:sz w:val="24"/>
          <w:szCs w:val="24"/>
        </w:rPr>
        <w:t>Новата промяна в терминологията класифицира епилепсиите на следните групи според възрастовото начало ( 2022 г.):</w:t>
      </w:r>
      <w:r w:rsidRPr="00AE47C6">
        <w:rPr>
          <w:rFonts w:ascii="Times New Roman" w:eastAsiaTheme="minorEastAsia" w:hAnsi="Times New Roman"/>
          <w:color w:val="511EE0"/>
          <w:kern w:val="24"/>
          <w:sz w:val="24"/>
          <w:szCs w:val="24"/>
        </w:rPr>
        <w:t xml:space="preserve"> </w:t>
      </w:r>
    </w:p>
    <w:p w14:paraId="5CA5B75F" w14:textId="77777777" w:rsidR="00BE0B19" w:rsidRPr="00AE47C6" w:rsidRDefault="00BE0B19" w:rsidP="00BE0B19">
      <w:pPr>
        <w:spacing w:line="360" w:lineRule="auto"/>
        <w:jc w:val="both"/>
        <w:rPr>
          <w:rFonts w:ascii="Times New Roman" w:eastAsia="SimSun" w:hAnsi="Times New Roman"/>
          <w:bCs/>
          <w:sz w:val="24"/>
          <w:szCs w:val="24"/>
        </w:rPr>
      </w:pPr>
      <w:r w:rsidRPr="00AE47C6">
        <w:rPr>
          <w:rFonts w:ascii="Times New Roman" w:eastAsia="SimSun" w:hAnsi="Times New Roman"/>
          <w:b/>
          <w:bCs/>
          <w:sz w:val="24"/>
          <w:szCs w:val="24"/>
        </w:rPr>
        <w:t xml:space="preserve">А. Епилепсии и синдроми в неонаталния период и ранната възраст </w:t>
      </w:r>
      <w:r w:rsidRPr="00AE47C6">
        <w:rPr>
          <w:rFonts w:ascii="Times New Roman" w:eastAsia="SimSun" w:hAnsi="Times New Roman"/>
          <w:bCs/>
          <w:sz w:val="24"/>
          <w:szCs w:val="24"/>
        </w:rPr>
        <w:t xml:space="preserve">(Zuberi SM, et al. ILAE classification and definition of epilepsy syndromes with onset in neonates and infants: Position statement by the ILAE Task Force on Nosology and Definitions. Epilepsia. 2022 Jun;63(6):1349-1397). </w:t>
      </w:r>
    </w:p>
    <w:p w14:paraId="5C78B0D2"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
          <w:bCs/>
          <w:sz w:val="24"/>
          <w:szCs w:val="24"/>
        </w:rPr>
        <w:t>I. Самоограничаващи се епилепсии</w:t>
      </w:r>
    </w:p>
    <w:p w14:paraId="1D24450E"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1. Самоограничаващи се неонатални епилепсии</w:t>
      </w:r>
    </w:p>
    <w:p w14:paraId="1379D89F"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2. Самоограничаващи се фамилни неонатални епилепсии</w:t>
      </w:r>
    </w:p>
    <w:p w14:paraId="4477F785"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3. Самоограничаващи се инфантилни епилепсии</w:t>
      </w:r>
    </w:p>
    <w:p w14:paraId="495F8627"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4. Генерализирана епилепсия с фебрилни гърчове плюс (GEFS+)</w:t>
      </w:r>
    </w:p>
    <w:p w14:paraId="70AA6207"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II. Етиологично специфични синдроми</w:t>
      </w:r>
    </w:p>
    <w:p w14:paraId="537F9AE8"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1. KCNQ2- енцефалопатии на развитието/ епилептични енцефалопатии </w:t>
      </w:r>
    </w:p>
    <w:p w14:paraId="61669391"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2. Пиридоксин свързана енцефалопатии на развитието/ епилептични енцефалопатии</w:t>
      </w:r>
    </w:p>
    <w:p w14:paraId="373800FC"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3. Пиридокамин -5 Фосфатазен дефицит – енцефалопатии на развитието/ епилептични енцефалопатии </w:t>
      </w:r>
    </w:p>
    <w:p w14:paraId="7A8A9F2E"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4. CDKL5- енцефалопатии на развитието/ епилептични енцефалопатии</w:t>
      </w:r>
    </w:p>
    <w:p w14:paraId="3309AD8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6. PCDH19   епилепсия</w:t>
      </w:r>
    </w:p>
    <w:p w14:paraId="15532422"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7. Глюкозно транспортерен 1 дефицитен синдром  (GLUT 1 DS) </w:t>
      </w:r>
    </w:p>
    <w:p w14:paraId="319DEB25"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8. Синдром на Sturge-Weber </w:t>
      </w:r>
    </w:p>
    <w:p w14:paraId="1252A62A"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9. Геластични припадъци при хипоталамични хамартоми</w:t>
      </w:r>
    </w:p>
    <w:p w14:paraId="07BD43D2"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III. Енцефалопатии на развитието и епилептични  енцефалопатии</w:t>
      </w:r>
    </w:p>
    <w:p w14:paraId="02DF895D"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1. Ранни инфантилни енцефалопатии на развитието и епилептични енцефалопатии</w:t>
      </w:r>
    </w:p>
    <w:p w14:paraId="54A55F7E"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2. Епилепсия в кърмаческа възраст с мигриращи фокални пристъпи</w:t>
      </w:r>
    </w:p>
    <w:p w14:paraId="674D5325"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3. Синдром с епилептични инфантилни спазми</w:t>
      </w:r>
    </w:p>
    <w:p w14:paraId="1C7B9247"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4. Синдром на Dravet. </w:t>
      </w:r>
    </w:p>
    <w:p w14:paraId="4BA76D7B"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
          <w:bCs/>
          <w:sz w:val="24"/>
          <w:szCs w:val="24"/>
        </w:rPr>
        <w:t xml:space="preserve">Б. Епилепсиите и синдроми в детската възраст </w:t>
      </w:r>
      <w:r w:rsidRPr="00AE47C6">
        <w:rPr>
          <w:rFonts w:ascii="Times New Roman" w:eastAsia="SimSun" w:hAnsi="Times New Roman"/>
          <w:bCs/>
          <w:sz w:val="24"/>
          <w:szCs w:val="24"/>
        </w:rPr>
        <w:t>(Specchio N, et al. International League Against Epilepsy classification and definition of epilepsy syndromes with onset in childhood: Position paper by the ILAE Task Force on Nosology and Definitions.</w:t>
      </w:r>
      <w:r w:rsidRPr="00AE47C6">
        <w:rPr>
          <w:rFonts w:ascii="Times New Roman" w:eastAsia="SimSun" w:hAnsi="Times New Roman"/>
          <w:b/>
          <w:bCs/>
          <w:sz w:val="24"/>
          <w:szCs w:val="24"/>
        </w:rPr>
        <w:t xml:space="preserve"> </w:t>
      </w:r>
      <w:r w:rsidRPr="00AE47C6">
        <w:rPr>
          <w:rFonts w:ascii="Times New Roman" w:eastAsia="SimSun" w:hAnsi="Times New Roman"/>
          <w:bCs/>
          <w:sz w:val="24"/>
          <w:szCs w:val="24"/>
        </w:rPr>
        <w:t>Epilepsia. 2022 63(6): 1398-1442)</w:t>
      </w:r>
    </w:p>
    <w:p w14:paraId="711FF0A8"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I. Самоограничаващи се епилепсии: </w:t>
      </w:r>
    </w:p>
    <w:p w14:paraId="7160493A"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1. Самоограничаваща се епилепсия с центротемпорални спайкове</w:t>
      </w:r>
    </w:p>
    <w:p w14:paraId="15E61B00"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2. Самоограничаваща се епилепсия с автономни пристъпи</w:t>
      </w:r>
    </w:p>
    <w:p w14:paraId="37A69C40"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3. Детска окципитална зрителна епилепсия</w:t>
      </w:r>
    </w:p>
    <w:p w14:paraId="0DC52782"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4. Фотосензитивна окципиталнодялова епилепсия</w:t>
      </w:r>
    </w:p>
    <w:p w14:paraId="5F895B0D"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II. Генерализирани епилепсии: </w:t>
      </w:r>
    </w:p>
    <w:p w14:paraId="3376DDBC"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1. Детска абсансна епилепсия</w:t>
      </w:r>
    </w:p>
    <w:p w14:paraId="7225513B"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2. Епилепсия с миоклонични абсанси</w:t>
      </w:r>
    </w:p>
    <w:p w14:paraId="1CAA3FC5"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3. Епилепсия с миоклонии на клепачите </w:t>
      </w:r>
    </w:p>
    <w:p w14:paraId="4A5D1B71"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III. Епилептични енцефалопатии или енцефалопатии на развитието </w:t>
      </w:r>
    </w:p>
    <w:p w14:paraId="70F2A4B3"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1. Епилепсия с миоклонично-атонични пристъпи</w:t>
      </w:r>
    </w:p>
    <w:p w14:paraId="27A56163"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2. Синдром на Lennox–Gastaut</w:t>
      </w:r>
    </w:p>
    <w:p w14:paraId="0E95DE45"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3. Епилептични енцефалопатии или енцефалопатии на развитието  с острие –бавна вълна активация в сън, синдром на Landau Kleffner, атипична бенигнена парциална (фокална) епилепсия в детството</w:t>
      </w:r>
    </w:p>
    <w:p w14:paraId="267CC59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4. Хемиконвулсия- хемиплегия синдром</w:t>
      </w:r>
    </w:p>
    <w:p w14:paraId="1BB551D4"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5. Епилептичен синдром свързан с фебрилни инфекции (остър енцефалит с рефрактерни, повтарящи се фокални пристъпи, или напредваща енцефалопатия при деца в училищна възраст)</w:t>
      </w:r>
    </w:p>
    <w:p w14:paraId="1611044A" w14:textId="77777777" w:rsidR="00BE0B19" w:rsidRPr="00AE47C6" w:rsidRDefault="00BE0B19" w:rsidP="00BE0B19">
      <w:pPr>
        <w:spacing w:line="360" w:lineRule="auto"/>
        <w:jc w:val="both"/>
        <w:rPr>
          <w:rFonts w:ascii="Times New Roman" w:eastAsia="SimSun" w:hAnsi="Times New Roman"/>
          <w:bCs/>
          <w:sz w:val="24"/>
          <w:szCs w:val="24"/>
        </w:rPr>
      </w:pPr>
      <w:r w:rsidRPr="00AE47C6">
        <w:rPr>
          <w:rFonts w:ascii="Times New Roman" w:eastAsia="SimSun" w:hAnsi="Times New Roman"/>
          <w:b/>
          <w:bCs/>
          <w:sz w:val="24"/>
          <w:szCs w:val="24"/>
          <w:u w:val="single"/>
        </w:rPr>
        <w:t xml:space="preserve">В. Епилепсии и синдроми с начало в различна възраст </w:t>
      </w:r>
      <w:r w:rsidRPr="00AE47C6">
        <w:rPr>
          <w:rFonts w:ascii="Times New Roman" w:eastAsia="SimSun" w:hAnsi="Times New Roman"/>
          <w:bCs/>
          <w:sz w:val="24"/>
          <w:szCs w:val="24"/>
        </w:rPr>
        <w:t xml:space="preserve">(Riney K,  al. International League Against Epilepsy classification and definition of epilepsy syndromes with onset at a variable age: position statement by the ILAE Task Force on Nosology and Definitions. Epilepsia. 2022; 63(6):1443-1474). </w:t>
      </w:r>
    </w:p>
    <w:p w14:paraId="25DE4F4B" w14:textId="77777777" w:rsidR="00BE0B19" w:rsidRPr="00AE47C6" w:rsidRDefault="00BE0B19" w:rsidP="00BE0B19">
      <w:pPr>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I. Генерализирани епилепсии с полигенна етиология: </w:t>
      </w:r>
    </w:p>
    <w:p w14:paraId="5C94C3DD" w14:textId="77777777" w:rsidR="00BE0B19" w:rsidRPr="00AE47C6" w:rsidRDefault="00BE0B19" w:rsidP="00BE0B19">
      <w:pPr>
        <w:spacing w:line="360" w:lineRule="auto"/>
        <w:jc w:val="both"/>
        <w:rPr>
          <w:rFonts w:ascii="Times New Roman" w:eastAsia="SimSun" w:hAnsi="Times New Roman"/>
          <w:bCs/>
          <w:sz w:val="24"/>
          <w:szCs w:val="24"/>
        </w:rPr>
      </w:pPr>
      <w:r w:rsidRPr="00AE47C6">
        <w:rPr>
          <w:rFonts w:ascii="Times New Roman" w:eastAsia="SimSun" w:hAnsi="Times New Roman"/>
          <w:bCs/>
          <w:sz w:val="24"/>
          <w:szCs w:val="24"/>
        </w:rPr>
        <w:t>1. Ювенилна абсансна епилепсия</w:t>
      </w:r>
    </w:p>
    <w:p w14:paraId="522AEA66" w14:textId="77777777" w:rsidR="00BE0B19" w:rsidRPr="00AE47C6" w:rsidRDefault="00BE0B19" w:rsidP="00BE0B19">
      <w:pPr>
        <w:spacing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2. Ювенилна миоклонична епилепсия </w:t>
      </w:r>
    </w:p>
    <w:p w14:paraId="536F2139" w14:textId="77777777" w:rsidR="00BE0B19" w:rsidRPr="00AE47C6" w:rsidRDefault="00BE0B19" w:rsidP="00BE0B19">
      <w:pPr>
        <w:spacing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3. Епилепсия с ГТКП </w:t>
      </w:r>
    </w:p>
    <w:p w14:paraId="695A5D33" w14:textId="77777777" w:rsidR="00BE0B19" w:rsidRPr="00AE47C6" w:rsidRDefault="00BE0B19" w:rsidP="00BE0B19">
      <w:pPr>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II. Самоограничаващи се фокални епилептични синдроми с комплексно предаване:</w:t>
      </w:r>
    </w:p>
    <w:p w14:paraId="4AB65108" w14:textId="77777777" w:rsidR="00BE0B19" w:rsidRPr="00AE47C6" w:rsidRDefault="00BE0B19" w:rsidP="00BE0B19">
      <w:pPr>
        <w:numPr>
          <w:ilvl w:val="0"/>
          <w:numId w:val="413"/>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Детска окципитална зрителна епилепсия</w:t>
      </w:r>
    </w:p>
    <w:p w14:paraId="4F4F8223" w14:textId="77777777" w:rsidR="00BE0B19" w:rsidRPr="00AE47C6" w:rsidRDefault="00BE0B19" w:rsidP="00BE0B19">
      <w:pPr>
        <w:numPr>
          <w:ilvl w:val="0"/>
          <w:numId w:val="413"/>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Фотосензитивна окципиталнодялова епилепсия. </w:t>
      </w:r>
    </w:p>
    <w:p w14:paraId="38405793" w14:textId="77777777" w:rsidR="00BE0B19" w:rsidRPr="00AE47C6" w:rsidRDefault="00BE0B19" w:rsidP="00BE0B19">
      <w:pPr>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III. Фокални епилепсии с генетична, структурна или генетично-структурна етиология</w:t>
      </w:r>
    </w:p>
    <w:p w14:paraId="176C7A99" w14:textId="77777777" w:rsidR="00BE0B19" w:rsidRPr="00AE47C6" w:rsidRDefault="00BE0B19" w:rsidP="00BE0B19">
      <w:pPr>
        <w:numPr>
          <w:ilvl w:val="0"/>
          <w:numId w:val="414"/>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Свързана със съня хипермоторна (хиперкинетична) епилепсия</w:t>
      </w:r>
      <w:r w:rsidRPr="00AE47C6">
        <w:rPr>
          <w:rFonts w:ascii="Times New Roman" w:eastAsia="SimSun" w:hAnsi="Times New Roman"/>
          <w:bCs/>
          <w:i/>
          <w:iCs/>
          <w:sz w:val="24"/>
          <w:szCs w:val="24"/>
        </w:rPr>
        <w:t xml:space="preserve">-KCNT1 </w:t>
      </w:r>
    </w:p>
    <w:p w14:paraId="37A7EB0B" w14:textId="77777777" w:rsidR="00BE0B19" w:rsidRPr="00AE47C6" w:rsidRDefault="00BE0B19" w:rsidP="00BE0B19">
      <w:pPr>
        <w:numPr>
          <w:ilvl w:val="0"/>
          <w:numId w:val="414"/>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Фамилна мезиална темпоралнодялова епилепсия</w:t>
      </w:r>
    </w:p>
    <w:p w14:paraId="3FF0C5F6" w14:textId="77777777" w:rsidR="00BE0B19" w:rsidRPr="00AE47C6" w:rsidRDefault="00BE0B19" w:rsidP="00BE0B19">
      <w:pPr>
        <w:numPr>
          <w:ilvl w:val="0"/>
          <w:numId w:val="414"/>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Фамилна фокална епилепсия с вариабилни фокуси </w:t>
      </w:r>
    </w:p>
    <w:p w14:paraId="12E7345A" w14:textId="77777777" w:rsidR="00BE0B19" w:rsidRPr="00AE47C6" w:rsidRDefault="00BE0B19" w:rsidP="00BE0B19">
      <w:pPr>
        <w:numPr>
          <w:ilvl w:val="0"/>
          <w:numId w:val="414"/>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Епилепсия със слухови прояви</w:t>
      </w:r>
    </w:p>
    <w:p w14:paraId="4AD02D32" w14:textId="77777777" w:rsidR="00BE0B19" w:rsidRPr="00AE47C6" w:rsidRDefault="00BE0B19" w:rsidP="00BE0B19">
      <w:pPr>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IV. Комбинирани генерализирани и фокални епилептични синдроми с полигенна етиология, епилепсия с индуциращи се пристъпи при четене </w:t>
      </w:r>
    </w:p>
    <w:p w14:paraId="2F62C276"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V. Епилептични енцефалопатии</w:t>
      </w:r>
    </w:p>
    <w:p w14:paraId="7ACB06E6"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1. Епилептични синдроми с енцефалопатии на развитието, епилептични енцефалопатии или и двете; </w:t>
      </w:r>
    </w:p>
    <w:p w14:paraId="59D4A42F"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2. Епилептични синдроми с прогресивни неврологични увреди.</w:t>
      </w:r>
    </w:p>
    <w:p w14:paraId="4DAB7803"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3. Прогресивна миоклонична епилепсия </w:t>
      </w:r>
    </w:p>
    <w:p w14:paraId="4627FC3B"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4. Фебрилно-инфекциозно свързани епилептични синдроми (FIRES)</w:t>
      </w:r>
    </w:p>
    <w:p w14:paraId="070447EB" w14:textId="77777777" w:rsidR="00BE0B19" w:rsidRPr="00AE47C6" w:rsidRDefault="00BE0B19" w:rsidP="00BE0B19">
      <w:pPr>
        <w:spacing w:after="0" w:line="360" w:lineRule="auto"/>
        <w:jc w:val="both"/>
        <w:rPr>
          <w:rFonts w:ascii="Times New Roman" w:eastAsia="SimSun" w:hAnsi="Times New Roman"/>
          <w:b/>
          <w:bCs/>
          <w:sz w:val="24"/>
          <w:szCs w:val="24"/>
          <w:u w:val="single"/>
        </w:rPr>
      </w:pPr>
    </w:p>
    <w:p w14:paraId="4A47A5BD"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b/>
          <w:bCs/>
          <w:sz w:val="24"/>
          <w:szCs w:val="24"/>
        </w:rPr>
        <w:t xml:space="preserve">3. Според вида пристъпи – фокална, генерализирана и генерализирана и фокална епилепсия. </w:t>
      </w:r>
      <w:r w:rsidRPr="00AE47C6">
        <w:rPr>
          <w:rFonts w:ascii="Times New Roman" w:eastAsia="SimSun" w:hAnsi="Times New Roman"/>
          <w:sz w:val="24"/>
          <w:szCs w:val="24"/>
        </w:rPr>
        <w:t xml:space="preserve">Класификацията на епилептичните пристъпи и епилепсиите от 2010 г. отхвърля понятията “фокална и генерализирана епилепсия”, но повечето пациенти над 12 г. възраст нямат електро-клиничен синдром, всъщност това са пациентите с “парциална епилепсия” според предишната класификация. С ревизията от 2014 г. се признават термините “фокална и генерализирана епилепсия” като добро описание в случаите, когато не може да се определи електро-клиничен синдром. През 2016 г. е добавена като вид и „генерализирана и фокална епилепсия” за случаите с фокални и генерализирани пристъпи, както и неизвестна – при невъзможност за определяне на вида пристъпи. </w:t>
      </w:r>
    </w:p>
    <w:p w14:paraId="39AE134F" w14:textId="73AEDF19" w:rsidR="00BE0B19" w:rsidRPr="00AE47C6" w:rsidRDefault="008B5D4D" w:rsidP="008B5D4D">
      <w:pPr>
        <w:pStyle w:val="ListParagraph"/>
        <w:tabs>
          <w:tab w:val="left" w:pos="709"/>
        </w:tabs>
        <w:spacing w:after="0" w:line="360" w:lineRule="auto"/>
        <w:jc w:val="both"/>
        <w:rPr>
          <w:rFonts w:ascii="Times New Roman" w:eastAsia="SimSun" w:hAnsi="Times New Roman"/>
          <w:iCs/>
          <w:sz w:val="24"/>
          <w:szCs w:val="24"/>
        </w:rPr>
      </w:pPr>
      <w:r w:rsidRPr="00AE47C6">
        <w:rPr>
          <w:rFonts w:ascii="Times New Roman" w:eastAsia="SimSun" w:hAnsi="Times New Roman"/>
          <w:b/>
          <w:iCs/>
          <w:sz w:val="24"/>
          <w:szCs w:val="24"/>
          <w:lang w:val="en-US"/>
        </w:rPr>
        <w:t>4.</w:t>
      </w:r>
      <w:r w:rsidR="00BE0B19" w:rsidRPr="00AE47C6">
        <w:rPr>
          <w:rFonts w:ascii="Times New Roman" w:eastAsia="SimSun" w:hAnsi="Times New Roman"/>
          <w:b/>
          <w:iCs/>
          <w:sz w:val="24"/>
          <w:szCs w:val="24"/>
        </w:rPr>
        <w:t>Според етиологията</w:t>
      </w:r>
      <w:r w:rsidR="00BE0B19" w:rsidRPr="00AE47C6">
        <w:rPr>
          <w:rFonts w:ascii="Times New Roman" w:eastAsia="SimSun" w:hAnsi="Times New Roman"/>
          <w:iCs/>
          <w:sz w:val="24"/>
          <w:szCs w:val="24"/>
        </w:rPr>
        <w:t xml:space="preserve"> – виж Раздел III. Етиология</w:t>
      </w:r>
    </w:p>
    <w:p w14:paraId="66279AC2" w14:textId="77777777" w:rsidR="00BE0B19" w:rsidRPr="00AE47C6" w:rsidRDefault="00BE0B19" w:rsidP="008B5D4D">
      <w:pPr>
        <w:numPr>
          <w:ilvl w:val="0"/>
          <w:numId w:val="414"/>
        </w:numPr>
        <w:overflowPunct w:val="0"/>
        <w:autoSpaceDE w:val="0"/>
        <w:autoSpaceDN w:val="0"/>
        <w:adjustRightInd w:val="0"/>
        <w:spacing w:after="0" w:line="360" w:lineRule="auto"/>
        <w:ind w:left="0" w:firstLine="709"/>
        <w:jc w:val="both"/>
        <w:textAlignment w:val="baseline"/>
        <w:rPr>
          <w:rFonts w:ascii="Times New Roman" w:eastAsia="SimSun" w:hAnsi="Times New Roman"/>
          <w:b/>
          <w:bCs/>
          <w:caps/>
          <w:sz w:val="24"/>
          <w:szCs w:val="24"/>
        </w:rPr>
      </w:pPr>
      <w:r w:rsidRPr="00AE47C6">
        <w:rPr>
          <w:rFonts w:ascii="Times New Roman" w:eastAsia="SimSun" w:hAnsi="Times New Roman"/>
          <w:b/>
          <w:bCs/>
          <w:sz w:val="24"/>
          <w:szCs w:val="24"/>
        </w:rPr>
        <w:t xml:space="preserve">Основни епилепсии и епилептични синдроми. </w:t>
      </w:r>
      <w:r w:rsidRPr="00AE47C6">
        <w:rPr>
          <w:rFonts w:ascii="Times New Roman" w:eastAsia="SimSun" w:hAnsi="Times New Roman"/>
          <w:sz w:val="24"/>
          <w:szCs w:val="24"/>
        </w:rPr>
        <w:t>Епилепсиите/епилептичните синдроми са заболявания с еднотипни клинични изяви и с обща патогенеза, прогноза и отговор на лечение. Характеризират се според типа на епилептичните пристъпи, възрастовото начало, развитието, неврологичен статус, предизвикващи фактори, етиология, тежест, фамилност, взаимовръзка със съня, ЕЕГ и прогноза като: фокални (парциални), генерализирани, рефлексни епилепсии, епилептични енцефалопатии и състояния, които не налагат диагнозата епилепсия.</w:t>
      </w:r>
    </w:p>
    <w:p w14:paraId="1868F53F" w14:textId="77777777" w:rsidR="00BE0B19" w:rsidRPr="00AE47C6" w:rsidRDefault="00BE0B19" w:rsidP="00BE0B19">
      <w:pPr>
        <w:spacing w:after="0" w:line="360" w:lineRule="auto"/>
        <w:jc w:val="both"/>
        <w:rPr>
          <w:rFonts w:ascii="Times New Roman" w:eastAsia="SimSun" w:hAnsi="Times New Roman"/>
          <w:b/>
          <w:bCs/>
          <w:i/>
          <w:iCs/>
          <w:sz w:val="24"/>
          <w:szCs w:val="24"/>
          <w:u w:val="single"/>
        </w:rPr>
      </w:pPr>
    </w:p>
    <w:p w14:paraId="0D953387" w14:textId="77777777" w:rsidR="00BE0B19" w:rsidRPr="00AE47C6" w:rsidRDefault="00BE0B19" w:rsidP="00BE0B19">
      <w:pPr>
        <w:spacing w:after="0" w:line="360" w:lineRule="auto"/>
        <w:jc w:val="both"/>
        <w:rPr>
          <w:rFonts w:ascii="Times New Roman" w:eastAsia="SimSun" w:hAnsi="Times New Roman"/>
          <w:b/>
          <w:bCs/>
          <w:i/>
          <w:iCs/>
          <w:sz w:val="24"/>
          <w:szCs w:val="24"/>
          <w:u w:val="single"/>
        </w:rPr>
      </w:pPr>
    </w:p>
    <w:p w14:paraId="2FE67A04" w14:textId="77777777" w:rsidR="00BE0B19" w:rsidRPr="00AE47C6" w:rsidRDefault="00BE0B19" w:rsidP="00BE0B19">
      <w:pPr>
        <w:spacing w:after="0" w:line="360" w:lineRule="auto"/>
        <w:jc w:val="both"/>
        <w:rPr>
          <w:rFonts w:ascii="Times New Roman" w:eastAsia="SimSun" w:hAnsi="Times New Roman"/>
          <w:b/>
          <w:bCs/>
          <w:i/>
          <w:iCs/>
          <w:sz w:val="24"/>
          <w:szCs w:val="24"/>
          <w:u w:val="single"/>
        </w:rPr>
      </w:pPr>
    </w:p>
    <w:p w14:paraId="37E3B93B"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1. Фокални (парциални) епилепсии</w:t>
      </w:r>
    </w:p>
    <w:p w14:paraId="3645D4BE"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b/>
          <w:bCs/>
          <w:sz w:val="24"/>
          <w:szCs w:val="24"/>
        </w:rPr>
        <w:t xml:space="preserve">Самоограничаваща се епилепсия с центротемпорални спайкове (Роландова епилепсия </w:t>
      </w:r>
      <w:r w:rsidRPr="00AE47C6">
        <w:rPr>
          <w:rFonts w:ascii="Times New Roman" w:eastAsia="SimSun" w:hAnsi="Times New Roman"/>
          <w:sz w:val="24"/>
          <w:szCs w:val="24"/>
        </w:rPr>
        <w:t xml:space="preserve">или </w:t>
      </w:r>
      <w:r w:rsidRPr="00AE47C6">
        <w:rPr>
          <w:rFonts w:ascii="Times New Roman" w:eastAsia="SimSun" w:hAnsi="Times New Roman"/>
          <w:b/>
          <w:bCs/>
          <w:sz w:val="24"/>
          <w:szCs w:val="24"/>
        </w:rPr>
        <w:t>бенигнена детска фокална епилепсия с центротемпорални острия</w:t>
      </w:r>
      <w:r w:rsidRPr="00AE47C6">
        <w:rPr>
          <w:rFonts w:ascii="Times New Roman" w:eastAsia="SimSun" w:hAnsi="Times New Roman"/>
          <w:sz w:val="24"/>
          <w:szCs w:val="24"/>
        </w:rPr>
        <w:t>, BECTS)</w:t>
      </w:r>
    </w:p>
    <w:p w14:paraId="2FFF3B5D" w14:textId="77777777" w:rsidR="00BE0B19" w:rsidRPr="00AE47C6" w:rsidRDefault="00BE0B19" w:rsidP="00BE0B19">
      <w:pPr>
        <w:numPr>
          <w:ilvl w:val="0"/>
          <w:numId w:val="94"/>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Начало 3-15 г. </w:t>
      </w:r>
    </w:p>
    <w:p w14:paraId="6D953D6B" w14:textId="77777777" w:rsidR="00BE0B19" w:rsidRPr="00AE47C6" w:rsidRDefault="00BE0B19" w:rsidP="00BE0B19">
      <w:pPr>
        <w:numPr>
          <w:ilvl w:val="0"/>
          <w:numId w:val="94"/>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Честота - 10-11/100 000 население</w:t>
      </w:r>
    </w:p>
    <w:p w14:paraId="11621B86" w14:textId="77777777" w:rsidR="00BE0B19" w:rsidRPr="00AE47C6" w:rsidRDefault="00BE0B19" w:rsidP="00BE0B19">
      <w:pPr>
        <w:numPr>
          <w:ilvl w:val="0"/>
          <w:numId w:val="94"/>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Клинична характеристика: парциални пристъпи със “Силвиева” локализация, засягащи лице, орофаринкс, ръка (спиране на говора, клонични потрепвания, парестезии, повишено слюноотделяне). Вторично-генерализирани тонично клонични припадъци (ВГТКП). Нормален неврологичен статус и интелект.</w:t>
      </w:r>
    </w:p>
    <w:p w14:paraId="7BC69BA6" w14:textId="77777777" w:rsidR="00BE0B19" w:rsidRPr="00AE47C6" w:rsidRDefault="00BE0B19" w:rsidP="00BE0B19">
      <w:pPr>
        <w:numPr>
          <w:ilvl w:val="0"/>
          <w:numId w:val="94"/>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ЕЕГ - едностранни или двустранни фокални центро-темпорални острия, увеличаващи се по време на сън.</w:t>
      </w:r>
    </w:p>
    <w:p w14:paraId="0D4E2372" w14:textId="77777777" w:rsidR="00BE0B19" w:rsidRPr="00AE47C6" w:rsidRDefault="00BE0B19" w:rsidP="00BE0B19">
      <w:pPr>
        <w:numPr>
          <w:ilvl w:val="0"/>
          <w:numId w:val="97"/>
        </w:numPr>
        <w:spacing w:after="0" w:line="360" w:lineRule="auto"/>
        <w:ind w:left="0" w:firstLine="0"/>
        <w:jc w:val="both"/>
        <w:rPr>
          <w:rFonts w:ascii="Times New Roman" w:eastAsia="SimSun" w:hAnsi="Times New Roman"/>
          <w:i/>
          <w:iCs/>
          <w:sz w:val="24"/>
          <w:szCs w:val="24"/>
        </w:rPr>
      </w:pPr>
      <w:r w:rsidRPr="00AE47C6">
        <w:rPr>
          <w:rFonts w:ascii="Times New Roman" w:eastAsia="SimSun" w:hAnsi="Times New Roman"/>
          <w:sz w:val="24"/>
          <w:szCs w:val="24"/>
        </w:rPr>
        <w:t>Лечение: Добър терапевтичен контрол - CBZ, OXC, VPA, LEV, LCM, LTG</w:t>
      </w:r>
      <w:r w:rsidRPr="00AE47C6">
        <w:rPr>
          <w:rFonts w:ascii="Times New Roman" w:eastAsia="SimSun" w:hAnsi="Times New Roman"/>
          <w:i/>
          <w:iCs/>
          <w:sz w:val="24"/>
          <w:szCs w:val="24"/>
        </w:rPr>
        <w:t xml:space="preserve">, </w:t>
      </w:r>
      <w:r w:rsidRPr="00AE47C6">
        <w:rPr>
          <w:rFonts w:ascii="Times New Roman" w:eastAsia="SimSun" w:hAnsi="Times New Roman"/>
          <w:sz w:val="24"/>
          <w:szCs w:val="24"/>
        </w:rPr>
        <w:t>BRV, CLZ, Clobazam, ESL, ZNS.</w:t>
      </w:r>
    </w:p>
    <w:p w14:paraId="09B294E0" w14:textId="77777777" w:rsidR="00BE0B19" w:rsidRPr="00AE47C6" w:rsidRDefault="00BE0B19" w:rsidP="00BE0B19">
      <w:pPr>
        <w:numPr>
          <w:ilvl w:val="0"/>
          <w:numId w:val="94"/>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Прогноза - добра.</w:t>
      </w:r>
    </w:p>
    <w:p w14:paraId="2305FB4A"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p>
    <w:p w14:paraId="37861C47" w14:textId="77777777" w:rsidR="00BE0B19" w:rsidRPr="00AE47C6" w:rsidRDefault="00BE0B19" w:rsidP="00BE0B19">
      <w:pPr>
        <w:spacing w:after="0" w:line="360" w:lineRule="auto"/>
        <w:ind w:firstLine="720"/>
        <w:jc w:val="both"/>
        <w:rPr>
          <w:rFonts w:ascii="Times New Roman" w:eastAsia="SimSun" w:hAnsi="Times New Roman"/>
          <w:szCs w:val="20"/>
        </w:rPr>
      </w:pPr>
      <w:r w:rsidRPr="00AE47C6">
        <w:rPr>
          <w:rFonts w:ascii="Times New Roman" w:eastAsia="SimSun" w:hAnsi="Times New Roman"/>
          <w:b/>
          <w:bCs/>
          <w:sz w:val="24"/>
          <w:szCs w:val="24"/>
        </w:rPr>
        <w:t xml:space="preserve">Генетични (идиопатични) окципитални епилепсии. </w:t>
      </w:r>
      <w:r w:rsidRPr="00AE47C6">
        <w:rPr>
          <w:rFonts w:ascii="Times New Roman" w:eastAsia="SimSun" w:hAnsi="Times New Roman"/>
          <w:sz w:val="24"/>
          <w:szCs w:val="24"/>
        </w:rPr>
        <w:t xml:space="preserve">Начало - 1-14 г. Нормален неврологичен статус и интелект. Епилептичните пристъпи са верзивни, окуло-клонични, хемиклонични, ГТКП и комплексни парциални. </w:t>
      </w:r>
      <w:r w:rsidRPr="00AE47C6">
        <w:rPr>
          <w:rFonts w:ascii="Times New Roman" w:eastAsia="SimSun" w:hAnsi="Times New Roman"/>
          <w:b/>
          <w:bCs/>
          <w:sz w:val="24"/>
          <w:szCs w:val="24"/>
        </w:rPr>
        <w:t>Самоограничаваща се епилепсия с автономни пристъпи</w:t>
      </w:r>
      <w:r w:rsidRPr="00AE47C6">
        <w:rPr>
          <w:rFonts w:ascii="Times New Roman" w:eastAsia="SimSun" w:hAnsi="Times New Roman"/>
          <w:sz w:val="24"/>
          <w:szCs w:val="24"/>
        </w:rPr>
        <w:t xml:space="preserve"> (детска епилепсия с окципитални пароксизми и ранно начало или синдром на Panayiotopoulos) и с късно начало - </w:t>
      </w:r>
      <w:r w:rsidRPr="00AE47C6">
        <w:rPr>
          <w:rFonts w:ascii="Times New Roman" w:eastAsia="SimSun" w:hAnsi="Times New Roman"/>
          <w:b/>
          <w:bCs/>
          <w:sz w:val="24"/>
          <w:szCs w:val="24"/>
        </w:rPr>
        <w:t>детска окципитална зрителна епилепсия</w:t>
      </w:r>
      <w:r w:rsidRPr="00AE47C6">
        <w:rPr>
          <w:rFonts w:ascii="Times New Roman" w:eastAsia="SimSun" w:hAnsi="Times New Roman"/>
          <w:sz w:val="24"/>
          <w:szCs w:val="24"/>
        </w:rPr>
        <w:t xml:space="preserve"> (тип Gastaut).</w:t>
      </w:r>
    </w:p>
    <w:p w14:paraId="2EF793D4" w14:textId="77777777" w:rsidR="00BE0B19" w:rsidRPr="00AE47C6" w:rsidRDefault="00BE0B19" w:rsidP="00BE0B19">
      <w:pPr>
        <w:spacing w:after="0" w:line="360" w:lineRule="auto"/>
        <w:ind w:firstLine="720"/>
        <w:jc w:val="both"/>
        <w:rPr>
          <w:rFonts w:ascii="Times New Roman" w:eastAsia="SimSun" w:hAnsi="Times New Roman"/>
          <w:b/>
          <w:bCs/>
          <w:i/>
          <w:iCs/>
          <w:sz w:val="24"/>
          <w:szCs w:val="24"/>
        </w:rPr>
      </w:pPr>
      <w:r w:rsidRPr="00AE47C6">
        <w:rPr>
          <w:rFonts w:ascii="Times New Roman" w:eastAsia="SimSun" w:hAnsi="Times New Roman"/>
          <w:b/>
          <w:bCs/>
          <w:i/>
          <w:iCs/>
          <w:sz w:val="24"/>
          <w:szCs w:val="24"/>
        </w:rPr>
        <w:t xml:space="preserve">Самоограничаваща се епилепсия с автономни пристъпи (Детска епилепсия с окципитални пароксизми и ранно начало, </w:t>
      </w:r>
      <w:r w:rsidRPr="00AE47C6">
        <w:rPr>
          <w:rFonts w:ascii="Times New Roman" w:eastAsia="SimSun" w:hAnsi="Times New Roman"/>
          <w:sz w:val="24"/>
          <w:szCs w:val="24"/>
        </w:rPr>
        <w:t>синдром на Panayiotopoulos).</w:t>
      </w:r>
    </w:p>
    <w:p w14:paraId="6AEF0328" w14:textId="77777777" w:rsidR="00BE0B19" w:rsidRPr="00AE47C6" w:rsidRDefault="00BE0B19" w:rsidP="00BE0B19">
      <w:pPr>
        <w:numPr>
          <w:ilvl w:val="0"/>
          <w:numId w:val="95"/>
        </w:numPr>
        <w:tabs>
          <w:tab w:val="clear" w:pos="1440"/>
          <w:tab w:val="num" w:pos="720"/>
        </w:tabs>
        <w:spacing w:after="0" w:line="360" w:lineRule="auto"/>
        <w:ind w:left="0" w:firstLine="0"/>
        <w:jc w:val="both"/>
        <w:rPr>
          <w:rFonts w:ascii="Times New Roman" w:eastAsia="SimSun" w:hAnsi="Times New Roman"/>
          <w:b/>
          <w:bCs/>
          <w:i/>
          <w:iCs/>
          <w:sz w:val="24"/>
          <w:szCs w:val="24"/>
        </w:rPr>
      </w:pPr>
      <w:r w:rsidRPr="00AE47C6">
        <w:rPr>
          <w:rFonts w:ascii="Times New Roman" w:eastAsia="SimSun" w:hAnsi="Times New Roman"/>
          <w:sz w:val="24"/>
          <w:szCs w:val="24"/>
        </w:rPr>
        <w:t>Начало –3-6 г.</w:t>
      </w:r>
    </w:p>
    <w:p w14:paraId="6E58F8E2" w14:textId="77777777" w:rsidR="00BE0B19" w:rsidRPr="00AE47C6" w:rsidRDefault="00BE0B19" w:rsidP="00BE0B19">
      <w:pPr>
        <w:numPr>
          <w:ilvl w:val="0"/>
          <w:numId w:val="95"/>
        </w:numPr>
        <w:tabs>
          <w:tab w:val="clear" w:pos="144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Честота: 6% от децата до 13 г. с единични пристъпи главно по време на сън. При около 50% от пациентите се установяват окципитални пароксизми в ЕЕГ. </w:t>
      </w:r>
    </w:p>
    <w:p w14:paraId="6650F0E8" w14:textId="77777777" w:rsidR="00BE0B19" w:rsidRPr="00AE47C6" w:rsidRDefault="00BE0B19" w:rsidP="00BE0B19">
      <w:pPr>
        <w:numPr>
          <w:ilvl w:val="0"/>
          <w:numId w:val="95"/>
        </w:numPr>
        <w:tabs>
          <w:tab w:val="clear" w:pos="1440"/>
          <w:tab w:val="left" w:pos="36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Клинична характеристика: Редки епилептични пристъпи, главно по време на сън (66%), продължителност 5-10 мин. до автономен статус (40%), съзнание - увредено до 80-90% в хода на припадъка. Пристъпите са с адверзивно начало (80%), автономни прояви- повръщане или само кашляне, позиви за повръщане (66%), зачервяване/пребледняване, инконтиненция, мидриаза, конвулсии, хемиконвулсии или ГТКП. Възможен е иктален синкоп. Зрителни халюцинации (до 7%).</w:t>
      </w:r>
    </w:p>
    <w:p w14:paraId="4A36E965" w14:textId="77777777" w:rsidR="00BE0B19" w:rsidRPr="00AE47C6" w:rsidRDefault="00BE0B19" w:rsidP="00BE0B19">
      <w:pPr>
        <w:numPr>
          <w:ilvl w:val="0"/>
          <w:numId w:val="96"/>
        </w:numPr>
        <w:tabs>
          <w:tab w:val="clear" w:pos="144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ЕЕГ: Интериктална - функционални мултифокални комплекси острие-бавна вълна (90%); окципитални пароксизми или острия, които изчезват към 13 г. (75%), екстраокципитални острия, нормална ЕЕГ, генерализирани разряди. Иктална ЕЕГ-най-често ритмична бавновълнова активност. </w:t>
      </w:r>
    </w:p>
    <w:p w14:paraId="37A49DDC" w14:textId="77777777" w:rsidR="00BE0B19" w:rsidRPr="00AE47C6" w:rsidRDefault="00BE0B19" w:rsidP="00BE0B19">
      <w:pPr>
        <w:numPr>
          <w:ilvl w:val="0"/>
          <w:numId w:val="96"/>
        </w:numPr>
        <w:tabs>
          <w:tab w:val="clear" w:pos="1440"/>
          <w:tab w:val="num" w:pos="720"/>
        </w:tabs>
        <w:spacing w:after="0" w:line="360" w:lineRule="auto"/>
        <w:ind w:left="0" w:firstLine="0"/>
        <w:jc w:val="both"/>
        <w:rPr>
          <w:rFonts w:ascii="Times New Roman" w:eastAsia="SimSun" w:hAnsi="Times New Roman"/>
          <w:i/>
          <w:iCs/>
          <w:sz w:val="24"/>
          <w:szCs w:val="24"/>
        </w:rPr>
      </w:pPr>
      <w:r w:rsidRPr="00AE47C6">
        <w:rPr>
          <w:rFonts w:ascii="Times New Roman" w:eastAsia="SimSun" w:hAnsi="Times New Roman"/>
          <w:sz w:val="24"/>
          <w:szCs w:val="24"/>
        </w:rPr>
        <w:t xml:space="preserve">Лечение: CBZ, OXC, VPA, LCM, BRV, </w:t>
      </w:r>
      <w:r w:rsidRPr="00AE47C6">
        <w:rPr>
          <w:rFonts w:ascii="Times New Roman" w:eastAsia="SimSun" w:hAnsi="Times New Roman"/>
          <w:iCs/>
          <w:sz w:val="24"/>
          <w:szCs w:val="24"/>
        </w:rPr>
        <w:t>ESL, ZNS.</w:t>
      </w:r>
    </w:p>
    <w:p w14:paraId="4148D66A" w14:textId="77777777" w:rsidR="00BE0B19" w:rsidRPr="00AE47C6" w:rsidRDefault="00BE0B19" w:rsidP="00BE0B19">
      <w:pPr>
        <w:numPr>
          <w:ilvl w:val="0"/>
          <w:numId w:val="96"/>
        </w:numPr>
        <w:tabs>
          <w:tab w:val="clear" w:pos="144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Прогноза</w:t>
      </w:r>
      <w:r w:rsidRPr="00AE47C6">
        <w:rPr>
          <w:rFonts w:ascii="Times New Roman" w:eastAsia="SimSun" w:hAnsi="Times New Roman"/>
          <w:i/>
          <w:iCs/>
          <w:sz w:val="24"/>
          <w:szCs w:val="24"/>
        </w:rPr>
        <w:t xml:space="preserve"> - </w:t>
      </w:r>
      <w:r w:rsidRPr="00AE47C6">
        <w:rPr>
          <w:rFonts w:ascii="Times New Roman" w:eastAsia="SimSun" w:hAnsi="Times New Roman"/>
          <w:sz w:val="24"/>
          <w:szCs w:val="24"/>
        </w:rPr>
        <w:t>добра.</w:t>
      </w:r>
    </w:p>
    <w:p w14:paraId="22568404" w14:textId="77777777" w:rsidR="00BE0B19" w:rsidRPr="00AE47C6" w:rsidRDefault="00BE0B19" w:rsidP="00BE0B19">
      <w:pPr>
        <w:spacing w:after="0" w:line="360" w:lineRule="auto"/>
        <w:jc w:val="both"/>
        <w:rPr>
          <w:rFonts w:ascii="Times New Roman" w:eastAsia="SimSun" w:hAnsi="Times New Roman"/>
          <w:b/>
          <w:bCs/>
          <w:i/>
          <w:iCs/>
          <w:sz w:val="24"/>
          <w:szCs w:val="24"/>
          <w:u w:val="single"/>
        </w:rPr>
      </w:pPr>
      <w:r w:rsidRPr="00AE47C6">
        <w:rPr>
          <w:rFonts w:ascii="Times New Roman" w:eastAsia="SimSun" w:hAnsi="Times New Roman"/>
          <w:b/>
          <w:bCs/>
          <w:i/>
          <w:iCs/>
          <w:sz w:val="24"/>
          <w:szCs w:val="24"/>
        </w:rPr>
        <w:t>Детска окципитална зрителна епилепсия (Детска епилепсия с окципитални пароксизми и късно начало - тип Gastaut)</w:t>
      </w:r>
    </w:p>
    <w:p w14:paraId="6C134952" w14:textId="77777777" w:rsidR="00BE0B19" w:rsidRPr="00AE47C6" w:rsidRDefault="00BE0B19" w:rsidP="00BE0B19">
      <w:pPr>
        <w:numPr>
          <w:ilvl w:val="0"/>
          <w:numId w:val="97"/>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Начало след 8 г. </w:t>
      </w:r>
    </w:p>
    <w:p w14:paraId="3AF0ADA6" w14:textId="77777777" w:rsidR="00BE0B19" w:rsidRPr="00AE47C6" w:rsidRDefault="00BE0B19" w:rsidP="00BE0B19">
      <w:pPr>
        <w:numPr>
          <w:ilvl w:val="0"/>
          <w:numId w:val="97"/>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Клинична характеристика: чести фокални пристъпи в будно състояние, протичащи със: зрителни симптоми - елементарни зрителни халюцинации (стереотипни цветове, кръгове) 5-10 s до 1-2 минути, зрителни илюзии (микропсия, метоморфопсия), халюцинации (10%) и слепота. Незрителни симптоми - адверзия на погледа, възможно и на главата (25%), синдроми от пропагация на възбудата (по-рядко) - хемиклонични (43%), комплексни парциални пристъпи (14%), ГТКП (13%). Постиктално главоболие - дифузно, силно, понякога неразличимо от мигренното, а при 10% - гадене и повръщане.</w:t>
      </w:r>
    </w:p>
    <w:p w14:paraId="3E4291A5" w14:textId="77777777" w:rsidR="00BE0B19" w:rsidRPr="00AE47C6" w:rsidRDefault="00BE0B19" w:rsidP="00BE0B19">
      <w:pPr>
        <w:numPr>
          <w:ilvl w:val="0"/>
          <w:numId w:val="97"/>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ЕЕГ: Интериктална ЕЕГ</w:t>
      </w:r>
      <w:r w:rsidRPr="00AE47C6">
        <w:rPr>
          <w:rFonts w:ascii="Times New Roman" w:eastAsia="SimSun" w:hAnsi="Times New Roman"/>
          <w:i/>
          <w:iCs/>
          <w:sz w:val="24"/>
          <w:szCs w:val="24"/>
        </w:rPr>
        <w:t xml:space="preserve"> - </w:t>
      </w:r>
      <w:r w:rsidRPr="00AE47C6">
        <w:rPr>
          <w:rFonts w:ascii="Times New Roman" w:eastAsia="SimSun" w:hAnsi="Times New Roman"/>
          <w:sz w:val="24"/>
          <w:szCs w:val="24"/>
        </w:rPr>
        <w:t>окципитални пароксизми при затваряне на очите (ЗО). Иктална ЕЕГ- бързи окципитални острия, с прогресивно забавяне и висок волтаж.</w:t>
      </w:r>
    </w:p>
    <w:p w14:paraId="1ADA46B4" w14:textId="77777777" w:rsidR="00BE0B19" w:rsidRPr="00AE47C6" w:rsidRDefault="00BE0B19" w:rsidP="00BE0B19">
      <w:pPr>
        <w:numPr>
          <w:ilvl w:val="0"/>
          <w:numId w:val="96"/>
        </w:numPr>
        <w:tabs>
          <w:tab w:val="clear" w:pos="1440"/>
          <w:tab w:val="num" w:pos="720"/>
        </w:tabs>
        <w:spacing w:after="0" w:line="360" w:lineRule="auto"/>
        <w:ind w:left="0" w:firstLine="0"/>
        <w:jc w:val="both"/>
        <w:rPr>
          <w:rFonts w:ascii="Times New Roman" w:eastAsia="SimSun" w:hAnsi="Times New Roman"/>
          <w:i/>
          <w:iCs/>
          <w:sz w:val="24"/>
          <w:szCs w:val="24"/>
        </w:rPr>
      </w:pPr>
      <w:r w:rsidRPr="00AE47C6">
        <w:rPr>
          <w:rFonts w:ascii="Times New Roman" w:eastAsia="SimSun" w:hAnsi="Times New Roman"/>
          <w:sz w:val="24"/>
          <w:szCs w:val="24"/>
        </w:rPr>
        <w:t xml:space="preserve">Лечение: CBZ, OXC, VPA, LCM, BRV, </w:t>
      </w:r>
      <w:r w:rsidRPr="00AE47C6">
        <w:rPr>
          <w:rFonts w:ascii="Times New Roman" w:eastAsia="SimSun" w:hAnsi="Times New Roman"/>
          <w:iCs/>
          <w:sz w:val="24"/>
          <w:szCs w:val="24"/>
        </w:rPr>
        <w:t>ESL, ZNS.</w:t>
      </w:r>
    </w:p>
    <w:p w14:paraId="42D7201D" w14:textId="77777777" w:rsidR="00BE0B19" w:rsidRPr="00AE47C6" w:rsidRDefault="00BE0B19" w:rsidP="00BE0B19">
      <w:pPr>
        <w:numPr>
          <w:ilvl w:val="0"/>
          <w:numId w:val="97"/>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Прогноза: относително добра, ремисии след 2-4 г. при 60% от пациентите.</w:t>
      </w:r>
    </w:p>
    <w:p w14:paraId="51F7BF44" w14:textId="77777777" w:rsidR="00BE0B19" w:rsidRPr="00AE47C6" w:rsidRDefault="00BE0B19" w:rsidP="00BE0B19">
      <w:pPr>
        <w:spacing w:after="0" w:line="360" w:lineRule="auto"/>
        <w:jc w:val="both"/>
        <w:rPr>
          <w:rFonts w:ascii="Times New Roman" w:eastAsia="SimSun" w:hAnsi="Times New Roman"/>
          <w:b/>
          <w:bCs/>
          <w:sz w:val="24"/>
          <w:szCs w:val="24"/>
        </w:rPr>
      </w:pPr>
    </w:p>
    <w:p w14:paraId="28717F87"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Симптоматични фокални епилепсии (темпоралнодялова, фронталнодялова, париеталнодялова, окципиталнодялова)</w:t>
      </w:r>
    </w:p>
    <w:p w14:paraId="25362022" w14:textId="77777777" w:rsidR="00BE0B19" w:rsidRPr="00AE47C6" w:rsidRDefault="00BE0B19" w:rsidP="00BE0B19">
      <w:pPr>
        <w:spacing w:after="0" w:line="360" w:lineRule="auto"/>
        <w:jc w:val="both"/>
        <w:rPr>
          <w:rFonts w:ascii="Times New Roman" w:eastAsia="SimSun" w:hAnsi="Times New Roman"/>
          <w:b/>
          <w:bCs/>
          <w:i/>
          <w:iCs/>
          <w:sz w:val="24"/>
          <w:szCs w:val="24"/>
        </w:rPr>
      </w:pPr>
      <w:r w:rsidRPr="00AE47C6">
        <w:rPr>
          <w:rFonts w:ascii="Times New Roman" w:eastAsia="SimSun" w:hAnsi="Times New Roman"/>
          <w:b/>
          <w:bCs/>
          <w:i/>
          <w:iCs/>
          <w:sz w:val="24"/>
          <w:szCs w:val="24"/>
        </w:rPr>
        <w:t xml:space="preserve">Темпоралнодялова епилепсия </w:t>
      </w:r>
    </w:p>
    <w:p w14:paraId="287B73C5" w14:textId="77777777" w:rsidR="00BE0B19" w:rsidRPr="00AE47C6" w:rsidRDefault="00BE0B19" w:rsidP="00BE0B19">
      <w:pPr>
        <w:numPr>
          <w:ilvl w:val="0"/>
          <w:numId w:val="9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Начало в детска възраст. </w:t>
      </w:r>
    </w:p>
    <w:p w14:paraId="231527FB" w14:textId="77777777" w:rsidR="00BE0B19" w:rsidRPr="00AE47C6" w:rsidRDefault="00BE0B19" w:rsidP="00BE0B19">
      <w:pPr>
        <w:numPr>
          <w:ilvl w:val="0"/>
          <w:numId w:val="9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Основни причини са тумори (DNET, ганглиоглиоми), енцефалити, мезиотемпорална склероза, дисплазии и травми. Биват медиални (мезиални) епилепсии при 75% (при хипокампална склероза или друга етиология, установена с МРТ) и латерални (неокортикални) при 25%. Честа е анамнезата за фебрилни гърчове. </w:t>
      </w:r>
    </w:p>
    <w:p w14:paraId="7DAB92BC" w14:textId="77777777" w:rsidR="00BE0B19" w:rsidRPr="00AE47C6" w:rsidRDefault="00BE0B19" w:rsidP="00BE0B19">
      <w:pPr>
        <w:numPr>
          <w:ilvl w:val="0"/>
          <w:numId w:val="98"/>
        </w:numPr>
        <w:spacing w:after="0" w:line="360" w:lineRule="auto"/>
        <w:ind w:left="0" w:firstLine="0"/>
        <w:jc w:val="both"/>
        <w:rPr>
          <w:rFonts w:ascii="Times New Roman" w:eastAsia="SimSun" w:hAnsi="Times New Roman"/>
          <w:b/>
          <w:bCs/>
          <w:sz w:val="24"/>
          <w:szCs w:val="24"/>
        </w:rPr>
      </w:pPr>
      <w:r w:rsidRPr="00AE47C6">
        <w:rPr>
          <w:rFonts w:ascii="Times New Roman" w:eastAsia="SimSun" w:hAnsi="Times New Roman"/>
          <w:sz w:val="24"/>
          <w:szCs w:val="24"/>
        </w:rPr>
        <w:t>Клинична характеристика: Основните типове пристъпи са прости и комплексни парциални с или без вторична генерализация и (значителна) постиктална обърканост. При мезиална локализация има епигастрални усещания, автономна дисфункция, психосензорни усещания (dèjà vu, jamais vu), мирисни и вкусови халюцинации, зрителни феномени, двигателни орофациални автоматизми</w:t>
      </w:r>
      <w:r w:rsidRPr="00AE47C6">
        <w:rPr>
          <w:rFonts w:ascii="Times New Roman" w:eastAsia="SimSun" w:hAnsi="Times New Roman"/>
          <w:i/>
          <w:iCs/>
          <w:sz w:val="24"/>
          <w:szCs w:val="24"/>
        </w:rPr>
        <w:t xml:space="preserve">, </w:t>
      </w:r>
      <w:r w:rsidRPr="00AE47C6">
        <w:rPr>
          <w:rFonts w:ascii="Times New Roman" w:eastAsia="SimSun" w:hAnsi="Times New Roman"/>
          <w:sz w:val="24"/>
          <w:szCs w:val="24"/>
        </w:rPr>
        <w:t>вокализации. При латерална (неокортикална) локализация се изявява сензорна афазия, повръщане и слухови симптоми. Налице е терапевтична резистентност. При данни за мезиотемпорална склероза или друга лезионна етиология се обсъжда оперативно лечение.</w:t>
      </w:r>
    </w:p>
    <w:p w14:paraId="3A292C3C" w14:textId="77777777" w:rsidR="00BE0B19" w:rsidRPr="00AE47C6" w:rsidRDefault="00BE0B19" w:rsidP="00BE0B19">
      <w:pPr>
        <w:tabs>
          <w:tab w:val="left" w:pos="540"/>
          <w:tab w:val="left" w:pos="900"/>
        </w:tabs>
        <w:spacing w:after="0" w:line="360" w:lineRule="auto"/>
        <w:jc w:val="both"/>
        <w:rPr>
          <w:rFonts w:ascii="Times New Roman" w:eastAsia="SimSun" w:hAnsi="Times New Roman"/>
          <w:i/>
          <w:iCs/>
          <w:sz w:val="24"/>
          <w:szCs w:val="24"/>
        </w:rPr>
      </w:pPr>
      <w:r w:rsidRPr="00AE47C6">
        <w:rPr>
          <w:rFonts w:ascii="Times New Roman" w:eastAsia="SimSun" w:hAnsi="Times New Roman"/>
          <w:b/>
          <w:bCs/>
          <w:i/>
          <w:iCs/>
          <w:sz w:val="24"/>
          <w:szCs w:val="24"/>
        </w:rPr>
        <w:t>Фронталнодялови епилепсии</w:t>
      </w:r>
    </w:p>
    <w:p w14:paraId="5892D00A" w14:textId="77777777" w:rsidR="00BE0B19" w:rsidRPr="00AE47C6" w:rsidRDefault="00BE0B19" w:rsidP="00BE0B19">
      <w:pPr>
        <w:numPr>
          <w:ilvl w:val="0"/>
          <w:numId w:val="99"/>
        </w:numPr>
        <w:tabs>
          <w:tab w:val="left" w:pos="720"/>
          <w:tab w:val="left" w:pos="90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Клинична характеристика: Пристъпите са прости, комплексни парциални и ВГТКП, главно по време на сън. Фронталните пристъпи са кратки с минимална постиктална обърканост, с бърза вторична генерализация, изразена моторна манифестация (тонична, постурална), мимически автоматизми, често падане при двустранни разряди. Пристъпите от моторната кора са прости фокални моторни в една част на тялото с последваща ирадиация, миоклонични, epilepsia partialis continua и постиктални парези на Todd. Пристъпите от допълнителната моторна кора са хипермоторни, асиметрични движения в крайниците, таза, раменете, адверзия на главата, погледа, вокализация, спиране на речта и ритмични стереотипии на крайниците. </w:t>
      </w:r>
    </w:p>
    <w:p w14:paraId="1343EC19" w14:textId="77777777" w:rsidR="00BE0B19" w:rsidRPr="00AE47C6" w:rsidRDefault="00BE0B19" w:rsidP="00BE0B19">
      <w:pPr>
        <w:spacing w:after="0" w:line="360" w:lineRule="auto"/>
        <w:jc w:val="both"/>
        <w:rPr>
          <w:rFonts w:ascii="Times New Roman" w:eastAsia="SimSun" w:hAnsi="Times New Roman"/>
          <w:i/>
          <w:iCs/>
          <w:sz w:val="24"/>
          <w:szCs w:val="24"/>
        </w:rPr>
      </w:pPr>
      <w:r w:rsidRPr="00AE47C6">
        <w:rPr>
          <w:rFonts w:ascii="Times New Roman" w:eastAsia="SimSun" w:hAnsi="Times New Roman"/>
          <w:b/>
          <w:bCs/>
          <w:i/>
          <w:iCs/>
          <w:sz w:val="24"/>
          <w:szCs w:val="24"/>
        </w:rPr>
        <w:t xml:space="preserve">Париеталнодяловите епилепсии </w:t>
      </w:r>
      <w:r w:rsidRPr="00AE47C6">
        <w:rPr>
          <w:rFonts w:ascii="Times New Roman" w:eastAsia="SimSun" w:hAnsi="Times New Roman"/>
          <w:sz w:val="24"/>
          <w:szCs w:val="24"/>
        </w:rPr>
        <w:t xml:space="preserve">са с прости фокални сетивни (с болка, парестезии) или моторни пристъпи, със или без вторична генерализация, иктални и постиктални парези на Todd. </w:t>
      </w:r>
    </w:p>
    <w:p w14:paraId="2FC5341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bCs/>
          <w:i/>
          <w:iCs/>
          <w:sz w:val="24"/>
          <w:szCs w:val="24"/>
        </w:rPr>
        <w:t>Окципиталнодяловите епилепсии</w:t>
      </w:r>
      <w:r w:rsidRPr="00AE47C6">
        <w:rPr>
          <w:rFonts w:ascii="Times New Roman" w:eastAsia="SimSun" w:hAnsi="Times New Roman"/>
          <w:sz w:val="24"/>
          <w:szCs w:val="24"/>
        </w:rPr>
        <w:t xml:space="preserve"> се причиняват от корови дисплазии, съдови малформации, хипоксично-исхемична енцефалопатия, тумори и цьолиакия. </w:t>
      </w:r>
    </w:p>
    <w:p w14:paraId="3B6CAC0D" w14:textId="77777777" w:rsidR="00BE0B19" w:rsidRPr="00AE47C6" w:rsidRDefault="00BE0B19" w:rsidP="00BE0B19">
      <w:pPr>
        <w:numPr>
          <w:ilvl w:val="0"/>
          <w:numId w:val="9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Клинична характеристика: Пристъпите са прости фокални със зрителни симптоми (възбудни, рядко халюцинации, иктална слепота, хемианопсия), ВГТКП, контралатерална адверзия на погледа и нистагъм, примигване, иктално или постиктално главоболие. </w:t>
      </w:r>
    </w:p>
    <w:p w14:paraId="53114A0F" w14:textId="77777777" w:rsidR="00BE0B19" w:rsidRPr="00AE47C6" w:rsidRDefault="00BE0B19" w:rsidP="00BE0B19">
      <w:pPr>
        <w:numPr>
          <w:ilvl w:val="0"/>
          <w:numId w:val="9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
          <w:i/>
          <w:sz w:val="24"/>
          <w:szCs w:val="24"/>
        </w:rPr>
        <w:t>Лечение на симптоматичните фокални епилепсии:</w:t>
      </w:r>
      <w:r w:rsidRPr="00AE47C6">
        <w:rPr>
          <w:rFonts w:ascii="Times New Roman" w:eastAsia="SimSun" w:hAnsi="Times New Roman"/>
          <w:sz w:val="24"/>
          <w:szCs w:val="24"/>
        </w:rPr>
        <w:t xml:space="preserve"> VPA, CBZ, OXC, LTG, LEV, TPM, LCM, BRV,</w:t>
      </w:r>
      <w:r w:rsidRPr="00AE47C6">
        <w:rPr>
          <w:rFonts w:ascii="Times New Roman" w:eastAsia="SimSun" w:hAnsi="Times New Roman"/>
          <w:iCs/>
          <w:sz w:val="24"/>
          <w:szCs w:val="24"/>
        </w:rPr>
        <w:t xml:space="preserve"> ESL, ZNS, cenobamate над 18 г.,  </w:t>
      </w:r>
      <w:r w:rsidRPr="00AE47C6">
        <w:rPr>
          <w:rFonts w:ascii="Times New Roman" w:eastAsia="SimSun" w:hAnsi="Times New Roman"/>
          <w:sz w:val="24"/>
          <w:szCs w:val="24"/>
        </w:rPr>
        <w:t>и хирургично лечение</w:t>
      </w:r>
    </w:p>
    <w:p w14:paraId="59530B66" w14:textId="77777777" w:rsidR="00BE0B19" w:rsidRPr="00AE47C6" w:rsidRDefault="00BE0B19" w:rsidP="00BE0B19">
      <w:pPr>
        <w:spacing w:after="0" w:line="360" w:lineRule="auto"/>
        <w:jc w:val="both"/>
        <w:rPr>
          <w:rFonts w:ascii="Times New Roman" w:eastAsia="SimSun" w:hAnsi="Times New Roman"/>
          <w:b/>
          <w:bCs/>
          <w:sz w:val="24"/>
          <w:szCs w:val="24"/>
        </w:rPr>
      </w:pPr>
    </w:p>
    <w:p w14:paraId="61E91BBF"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Енцефалит на Rasmussen</w:t>
      </w:r>
    </w:p>
    <w:p w14:paraId="46DA6A78" w14:textId="77777777" w:rsidR="00BE0B19" w:rsidRPr="00AE47C6" w:rsidRDefault="00BE0B19" w:rsidP="00BE0B19">
      <w:pPr>
        <w:numPr>
          <w:ilvl w:val="0"/>
          <w:numId w:val="86"/>
        </w:numPr>
        <w:tabs>
          <w:tab w:val="left" w:pos="216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Начало - 14 мес.-14 г. </w:t>
      </w:r>
    </w:p>
    <w:p w14:paraId="44334FA4" w14:textId="77777777" w:rsidR="00BE0B19" w:rsidRPr="00AE47C6" w:rsidRDefault="00BE0B19" w:rsidP="00BE0B19">
      <w:pPr>
        <w:numPr>
          <w:ilvl w:val="0"/>
          <w:numId w:val="86"/>
        </w:numPr>
        <w:tabs>
          <w:tab w:val="left" w:pos="216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Етиология и патогенеза- имуномедиирана епилептична енцефалопатия (наличие на антитела към GluR3 субединицата на глутаматните рецептори, анти GluRε2 и анти –Munk18-11при някои пациенти).</w:t>
      </w:r>
    </w:p>
    <w:p w14:paraId="7F831C71" w14:textId="77777777" w:rsidR="00BE0B19" w:rsidRPr="00AE47C6" w:rsidRDefault="00BE0B19" w:rsidP="00BE0B19">
      <w:pPr>
        <w:numPr>
          <w:ilvl w:val="0"/>
          <w:numId w:val="86"/>
        </w:numPr>
        <w:tabs>
          <w:tab w:val="left" w:pos="216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Хистопатология - глиални нодули, периваскуларни лимфоидни инфилтрати.</w:t>
      </w:r>
    </w:p>
    <w:p w14:paraId="63E72165" w14:textId="77777777" w:rsidR="00BE0B19" w:rsidRPr="00AE47C6" w:rsidRDefault="00BE0B19" w:rsidP="00BE0B19">
      <w:pPr>
        <w:numPr>
          <w:ilvl w:val="0"/>
          <w:numId w:val="86"/>
        </w:numPr>
        <w:tabs>
          <w:tab w:val="left" w:pos="216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Медикаментозно-резистентни фокални пристъпи, epilepsia partialis continua (60%), прогресираща хемипареза;</w:t>
      </w:r>
    </w:p>
    <w:p w14:paraId="34F913C2" w14:textId="77777777" w:rsidR="00BE0B19" w:rsidRPr="00AE47C6" w:rsidRDefault="00BE0B19" w:rsidP="00BE0B19">
      <w:pPr>
        <w:numPr>
          <w:ilvl w:val="0"/>
          <w:numId w:val="85"/>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Прогресиращ интелектуален дефицит.</w:t>
      </w:r>
    </w:p>
    <w:p w14:paraId="5277BAD0" w14:textId="77777777" w:rsidR="00BE0B19" w:rsidRPr="00AE47C6" w:rsidRDefault="00BE0B19" w:rsidP="00BE0B19">
      <w:pPr>
        <w:numPr>
          <w:ilvl w:val="0"/>
          <w:numId w:val="85"/>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i/>
          <w:iCs/>
          <w:sz w:val="24"/>
          <w:szCs w:val="24"/>
        </w:rPr>
        <w:t xml:space="preserve">КТ и МРТ </w:t>
      </w:r>
      <w:r w:rsidRPr="00AE47C6">
        <w:rPr>
          <w:rFonts w:ascii="Times New Roman" w:eastAsia="SimSun" w:hAnsi="Times New Roman"/>
          <w:sz w:val="24"/>
          <w:szCs w:val="24"/>
        </w:rPr>
        <w:t>- прогресираща мозъчна хемиатрофия.</w:t>
      </w:r>
    </w:p>
    <w:p w14:paraId="5646A663" w14:textId="77777777" w:rsidR="00BE0B19" w:rsidRPr="00AE47C6" w:rsidRDefault="00BE0B19" w:rsidP="00BE0B19">
      <w:pPr>
        <w:numPr>
          <w:ilvl w:val="0"/>
          <w:numId w:val="85"/>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ЕЕГ- полиморфна делта активност, изчезване на нормалната основна активност, чести епилептиформени разряди, които са доминиращо едностранни и могат да бъдат периодични.</w:t>
      </w:r>
    </w:p>
    <w:p w14:paraId="6F6A0239" w14:textId="77777777" w:rsidR="00BE0B19" w:rsidRPr="00AE47C6" w:rsidRDefault="00BE0B19" w:rsidP="00BE0B19">
      <w:pPr>
        <w:numPr>
          <w:ilvl w:val="0"/>
          <w:numId w:val="85"/>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Лечение: АГЛ, i.v. IgG и плазмафереза с временен успех. Хирургичното лечение (функционална хемисферектомия) е метод на избор.</w:t>
      </w:r>
    </w:p>
    <w:p w14:paraId="50E431E0" w14:textId="77777777" w:rsidR="00BE0B19" w:rsidRPr="00AE47C6" w:rsidRDefault="00BE0B19" w:rsidP="00BE0B19">
      <w:pPr>
        <w:tabs>
          <w:tab w:val="left" w:pos="2160"/>
        </w:tabs>
        <w:spacing w:after="0" w:line="360" w:lineRule="auto"/>
        <w:jc w:val="both"/>
        <w:rPr>
          <w:rFonts w:ascii="Times New Roman" w:eastAsia="SimSun" w:hAnsi="Times New Roman"/>
          <w:b/>
          <w:bCs/>
          <w:sz w:val="24"/>
          <w:szCs w:val="24"/>
        </w:rPr>
      </w:pPr>
    </w:p>
    <w:p w14:paraId="5D5A513D" w14:textId="77777777" w:rsidR="00BE0B19" w:rsidRPr="00AE47C6" w:rsidRDefault="00BE0B19" w:rsidP="00BE0B19">
      <w:pPr>
        <w:tabs>
          <w:tab w:val="left" w:pos="2160"/>
        </w:tabs>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Хемиконвулсия – хемиплегия-епилепсия синдром (ННЕ)</w:t>
      </w:r>
    </w:p>
    <w:p w14:paraId="6CEB7C74" w14:textId="77777777" w:rsidR="00BE0B19" w:rsidRPr="00AE47C6" w:rsidRDefault="00BE0B19" w:rsidP="00BE0B19">
      <w:pPr>
        <w:numPr>
          <w:ilvl w:val="1"/>
          <w:numId w:val="85"/>
        </w:numPr>
        <w:tabs>
          <w:tab w:val="clear" w:pos="1440"/>
          <w:tab w:val="num" w:pos="900"/>
          <w:tab w:val="left" w:pos="216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Етиологията е инфекции на ЦНС (Herpes simplex-енцефалит) или мозъчен инсулт. </w:t>
      </w:r>
    </w:p>
    <w:p w14:paraId="2112728B" w14:textId="77777777" w:rsidR="00BE0B19" w:rsidRPr="00AE47C6" w:rsidRDefault="00BE0B19" w:rsidP="00BE0B19">
      <w:pPr>
        <w:numPr>
          <w:ilvl w:val="1"/>
          <w:numId w:val="85"/>
        </w:numPr>
        <w:tabs>
          <w:tab w:val="clear" w:pos="1440"/>
          <w:tab w:val="num" w:pos="900"/>
          <w:tab w:val="left" w:pos="216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Начало между 5 месеца и 4 г. (91%). </w:t>
      </w:r>
    </w:p>
    <w:p w14:paraId="5BC0F079" w14:textId="77777777" w:rsidR="00BE0B19" w:rsidRPr="00AE47C6" w:rsidRDefault="00BE0B19" w:rsidP="00BE0B19">
      <w:pPr>
        <w:numPr>
          <w:ilvl w:val="1"/>
          <w:numId w:val="85"/>
        </w:numPr>
        <w:tabs>
          <w:tab w:val="clear" w:pos="1440"/>
          <w:tab w:val="num" w:pos="900"/>
          <w:tab w:val="left" w:pos="216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Клиника: І стадий - НН синдром (хемиконвулсия-хемиплегия). ІІ стадий – ННЕ (хемиконвулсия- хемиплегия- епилепсия) синдром при 80% след НН. </w:t>
      </w:r>
    </w:p>
    <w:p w14:paraId="13D631B8" w14:textId="77777777" w:rsidR="00BE0B19" w:rsidRPr="00AE47C6" w:rsidRDefault="00BE0B19" w:rsidP="00BE0B19">
      <w:pPr>
        <w:numPr>
          <w:ilvl w:val="1"/>
          <w:numId w:val="85"/>
        </w:numPr>
        <w:tabs>
          <w:tab w:val="clear" w:pos="1440"/>
          <w:tab w:val="num" w:pos="900"/>
          <w:tab w:val="left" w:pos="216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Диагноза: ликворно изследване, КТ, MРТ (оточна хемисфера с последваща хемиатрофия). </w:t>
      </w:r>
    </w:p>
    <w:p w14:paraId="1B3E1891" w14:textId="77777777" w:rsidR="00BE0B19" w:rsidRPr="00AE47C6" w:rsidRDefault="00BE0B19" w:rsidP="00BE0B19">
      <w:pPr>
        <w:numPr>
          <w:ilvl w:val="1"/>
          <w:numId w:val="85"/>
        </w:numPr>
        <w:tabs>
          <w:tab w:val="clear" w:pos="1440"/>
          <w:tab w:val="num" w:pos="900"/>
          <w:tab w:val="left" w:pos="216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Лечение на епилептичния статус, VPA, CBZ, Clobazam, OXC, LTG, LEV, TPM, LCM,</w:t>
      </w:r>
      <w:r w:rsidRPr="00AE47C6">
        <w:rPr>
          <w:rFonts w:ascii="Times New Roman" w:eastAsia="SimSun" w:hAnsi="Times New Roman"/>
          <w:iCs/>
          <w:sz w:val="24"/>
          <w:szCs w:val="24"/>
        </w:rPr>
        <w:t xml:space="preserve"> </w:t>
      </w:r>
      <w:r w:rsidRPr="00AE47C6">
        <w:rPr>
          <w:rFonts w:ascii="Times New Roman" w:eastAsia="SimSun" w:hAnsi="Times New Roman"/>
          <w:sz w:val="24"/>
          <w:szCs w:val="24"/>
        </w:rPr>
        <w:t>BRV,</w:t>
      </w:r>
      <w:r w:rsidRPr="00AE47C6">
        <w:rPr>
          <w:rFonts w:ascii="Times New Roman" w:eastAsia="SimSun" w:hAnsi="Times New Roman"/>
          <w:iCs/>
          <w:sz w:val="24"/>
          <w:szCs w:val="24"/>
        </w:rPr>
        <w:t xml:space="preserve"> ESL, ZNZ  и </w:t>
      </w:r>
      <w:r w:rsidRPr="00AE47C6">
        <w:rPr>
          <w:rFonts w:ascii="Times New Roman" w:eastAsia="SimSun" w:hAnsi="Times New Roman"/>
          <w:sz w:val="24"/>
          <w:szCs w:val="24"/>
        </w:rPr>
        <w:t xml:space="preserve">хирургично лечение </w:t>
      </w:r>
    </w:p>
    <w:p w14:paraId="38413969" w14:textId="77777777" w:rsidR="00BE0B19" w:rsidRPr="00AE47C6" w:rsidRDefault="00BE0B19" w:rsidP="00BE0B19">
      <w:pPr>
        <w:numPr>
          <w:ilvl w:val="1"/>
          <w:numId w:val="85"/>
        </w:numPr>
        <w:tabs>
          <w:tab w:val="clear" w:pos="1440"/>
          <w:tab w:val="num" w:pos="900"/>
          <w:tab w:val="left" w:pos="216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Прогноза: хемипареза, афазия, медикаментозно-резистентна парциална епилепсия. </w:t>
      </w:r>
    </w:p>
    <w:p w14:paraId="3944369B" w14:textId="77777777" w:rsidR="00BE0B19" w:rsidRPr="00AE47C6" w:rsidRDefault="00BE0B19" w:rsidP="00BE0B19">
      <w:pPr>
        <w:tabs>
          <w:tab w:val="left" w:pos="720"/>
        </w:tabs>
        <w:overflowPunct w:val="0"/>
        <w:autoSpaceDE w:val="0"/>
        <w:autoSpaceDN w:val="0"/>
        <w:adjustRightInd w:val="0"/>
        <w:spacing w:after="0" w:line="360" w:lineRule="auto"/>
        <w:jc w:val="both"/>
        <w:textAlignment w:val="baseline"/>
        <w:rPr>
          <w:rFonts w:ascii="Times New Roman" w:eastAsia="SimSun" w:hAnsi="Times New Roman"/>
          <w:b/>
          <w:bCs/>
          <w:i/>
          <w:iCs/>
          <w:sz w:val="24"/>
          <w:szCs w:val="24"/>
          <w:u w:val="single"/>
        </w:rPr>
      </w:pPr>
    </w:p>
    <w:p w14:paraId="08EF9A66" w14:textId="77777777" w:rsidR="00BE0B19" w:rsidRPr="00AE47C6" w:rsidRDefault="00BE0B19" w:rsidP="00BE0B19">
      <w:pPr>
        <w:tabs>
          <w:tab w:val="left" w:pos="720"/>
        </w:tabs>
        <w:overflowPunct w:val="0"/>
        <w:autoSpaceDE w:val="0"/>
        <w:autoSpaceDN w:val="0"/>
        <w:adjustRightInd w:val="0"/>
        <w:spacing w:after="0" w:line="360" w:lineRule="auto"/>
        <w:jc w:val="both"/>
        <w:textAlignment w:val="baseline"/>
        <w:rPr>
          <w:rFonts w:ascii="Times New Roman" w:eastAsia="SimSun" w:hAnsi="Times New Roman"/>
          <w:b/>
          <w:bCs/>
          <w:sz w:val="24"/>
          <w:szCs w:val="24"/>
        </w:rPr>
      </w:pPr>
      <w:r w:rsidRPr="00AE47C6">
        <w:rPr>
          <w:rFonts w:ascii="Times New Roman" w:eastAsia="SimSun" w:hAnsi="Times New Roman"/>
          <w:b/>
          <w:bCs/>
          <w:sz w:val="24"/>
          <w:szCs w:val="24"/>
        </w:rPr>
        <w:t>2. Генетични (идиопатични) епилепсии</w:t>
      </w:r>
    </w:p>
    <w:p w14:paraId="6B02F678" w14:textId="77777777" w:rsidR="00BE0B19" w:rsidRPr="00AE47C6" w:rsidRDefault="00BE0B19" w:rsidP="00BE0B19">
      <w:pPr>
        <w:tabs>
          <w:tab w:val="left" w:pos="720"/>
        </w:tabs>
        <w:overflowPunct w:val="0"/>
        <w:autoSpaceDE w:val="0"/>
        <w:autoSpaceDN w:val="0"/>
        <w:adjustRightInd w:val="0"/>
        <w:spacing w:after="0" w:line="360" w:lineRule="auto"/>
        <w:jc w:val="both"/>
        <w:textAlignment w:val="baseline"/>
        <w:rPr>
          <w:rFonts w:ascii="Times New Roman" w:eastAsia="SimSun" w:hAnsi="Times New Roman"/>
          <w:b/>
          <w:bCs/>
          <w:sz w:val="24"/>
          <w:szCs w:val="24"/>
        </w:rPr>
      </w:pPr>
      <w:r w:rsidRPr="00AE47C6">
        <w:rPr>
          <w:rFonts w:ascii="Times New Roman" w:eastAsia="SimSun" w:hAnsi="Times New Roman"/>
          <w:b/>
          <w:bCs/>
          <w:sz w:val="24"/>
          <w:szCs w:val="24"/>
        </w:rPr>
        <w:t>Детска абсансна епилепсия</w:t>
      </w:r>
    </w:p>
    <w:p w14:paraId="6BB65B5E" w14:textId="77777777" w:rsidR="00BE0B19" w:rsidRPr="00AE47C6" w:rsidRDefault="00BE0B19" w:rsidP="00BE0B19">
      <w:pPr>
        <w:numPr>
          <w:ilvl w:val="0"/>
          <w:numId w:val="78"/>
        </w:numPr>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Генетична предиспозиция (мултифакторна).</w:t>
      </w:r>
    </w:p>
    <w:p w14:paraId="4DDC1611" w14:textId="77777777" w:rsidR="00BE0B19" w:rsidRPr="00AE47C6" w:rsidRDefault="00BE0B19" w:rsidP="00BE0B19">
      <w:pPr>
        <w:numPr>
          <w:ilvl w:val="0"/>
          <w:numId w:val="78"/>
        </w:numPr>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 xml:space="preserve">Начало между 3 и 10 г. </w:t>
      </w:r>
    </w:p>
    <w:p w14:paraId="0F4759D4" w14:textId="77777777" w:rsidR="00BE0B19" w:rsidRPr="00AE47C6" w:rsidRDefault="00BE0B19" w:rsidP="00BE0B19">
      <w:pPr>
        <w:numPr>
          <w:ilvl w:val="0"/>
          <w:numId w:val="78"/>
        </w:numPr>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 xml:space="preserve">Клинична характеристика: типични абсанси, най-често с миоклонии на клепачите, многократни дневно. Абсансите често се активират при фотостимулация и хипервентилация. Над 50% през юношеството получават и ГТКП. </w:t>
      </w:r>
    </w:p>
    <w:p w14:paraId="3F4DD0B7" w14:textId="77777777" w:rsidR="00BE0B19" w:rsidRPr="00AE47C6" w:rsidRDefault="00BE0B19" w:rsidP="00BE0B19">
      <w:pPr>
        <w:numPr>
          <w:ilvl w:val="0"/>
          <w:numId w:val="78"/>
        </w:numPr>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ЕЕГ - иктално генерализирани двустранно синхронни пароксизми от симетрични комплекси острие-бавна вълна с честота от 2 до 4 Hz. Нормална основна активност.</w:t>
      </w:r>
    </w:p>
    <w:p w14:paraId="274CC6E3" w14:textId="77777777" w:rsidR="00BE0B19" w:rsidRPr="00AE47C6" w:rsidRDefault="00BE0B19" w:rsidP="00BE0B19">
      <w:pPr>
        <w:numPr>
          <w:ilvl w:val="0"/>
          <w:numId w:val="78"/>
        </w:numPr>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 xml:space="preserve">Лечение - VPA, ESM, LTG, Clonazepam. Възможно е влошаване от CBZ, GBP, OXC, PHT, TGB и VGB, поради което не трябва да се прилагат. </w:t>
      </w:r>
    </w:p>
    <w:p w14:paraId="4776B41A" w14:textId="77777777" w:rsidR="00BE0B19" w:rsidRPr="00AE47C6" w:rsidRDefault="00BE0B19" w:rsidP="00BE0B19">
      <w:pPr>
        <w:numPr>
          <w:ilvl w:val="0"/>
          <w:numId w:val="78"/>
        </w:numPr>
        <w:overflowPunct w:val="0"/>
        <w:autoSpaceDE w:val="0"/>
        <w:autoSpaceDN w:val="0"/>
        <w:adjustRightInd w:val="0"/>
        <w:spacing w:after="0" w:line="360" w:lineRule="auto"/>
        <w:ind w:left="0" w:firstLine="0"/>
        <w:jc w:val="both"/>
        <w:textAlignment w:val="baseline"/>
        <w:rPr>
          <w:rFonts w:ascii="Times New Roman" w:eastAsia="SimSun" w:hAnsi="Times New Roman"/>
          <w:b/>
          <w:bCs/>
          <w:sz w:val="24"/>
          <w:szCs w:val="24"/>
        </w:rPr>
      </w:pPr>
      <w:r w:rsidRPr="00AE47C6">
        <w:rPr>
          <w:rFonts w:ascii="Times New Roman" w:eastAsia="SimSun" w:hAnsi="Times New Roman"/>
          <w:sz w:val="24"/>
          <w:szCs w:val="24"/>
        </w:rPr>
        <w:t xml:space="preserve">Прогноза - добра, изчезват около 20 г. С неблагоприятна прогноза е началото под 4 г. и над 9 г., когато има и ГТКП (20%-60%). </w:t>
      </w:r>
    </w:p>
    <w:p w14:paraId="2FE827C8" w14:textId="77777777" w:rsidR="00BE0B19" w:rsidRPr="00AE47C6" w:rsidRDefault="00BE0B19" w:rsidP="00BE0B19">
      <w:pPr>
        <w:tabs>
          <w:tab w:val="left" w:pos="720"/>
        </w:tabs>
        <w:overflowPunct w:val="0"/>
        <w:autoSpaceDE w:val="0"/>
        <w:autoSpaceDN w:val="0"/>
        <w:adjustRightInd w:val="0"/>
        <w:spacing w:after="0" w:line="360" w:lineRule="auto"/>
        <w:jc w:val="both"/>
        <w:textAlignment w:val="baseline"/>
        <w:rPr>
          <w:rFonts w:ascii="Times New Roman" w:eastAsia="SimSun" w:hAnsi="Times New Roman"/>
          <w:b/>
          <w:bCs/>
          <w:sz w:val="24"/>
          <w:szCs w:val="24"/>
        </w:rPr>
      </w:pPr>
    </w:p>
    <w:p w14:paraId="784AF16E" w14:textId="77777777" w:rsidR="00BE0B19" w:rsidRPr="00AE47C6" w:rsidRDefault="00BE0B19" w:rsidP="00BE0B19">
      <w:pPr>
        <w:tabs>
          <w:tab w:val="left" w:pos="720"/>
        </w:tabs>
        <w:overflowPunct w:val="0"/>
        <w:autoSpaceDE w:val="0"/>
        <w:autoSpaceDN w:val="0"/>
        <w:adjustRightInd w:val="0"/>
        <w:spacing w:after="0" w:line="360" w:lineRule="auto"/>
        <w:jc w:val="both"/>
        <w:textAlignment w:val="baseline"/>
        <w:rPr>
          <w:rFonts w:ascii="Times New Roman" w:eastAsia="SimSun" w:hAnsi="Times New Roman"/>
          <w:b/>
          <w:bCs/>
          <w:sz w:val="24"/>
          <w:szCs w:val="24"/>
        </w:rPr>
      </w:pPr>
      <w:r w:rsidRPr="00AE47C6">
        <w:rPr>
          <w:rFonts w:ascii="Times New Roman" w:eastAsia="SimSun" w:hAnsi="Times New Roman"/>
          <w:b/>
          <w:bCs/>
          <w:sz w:val="24"/>
          <w:szCs w:val="24"/>
        </w:rPr>
        <w:t>Ювенилна абсансна епилепсия</w:t>
      </w:r>
    </w:p>
    <w:p w14:paraId="6E1CF7A1" w14:textId="77777777" w:rsidR="00BE0B19" w:rsidRPr="00AE47C6" w:rsidRDefault="00BE0B19" w:rsidP="00BE0B19">
      <w:pPr>
        <w:numPr>
          <w:ilvl w:val="0"/>
          <w:numId w:val="79"/>
        </w:numPr>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Генетична предиспозиция.</w:t>
      </w:r>
    </w:p>
    <w:p w14:paraId="6854C044" w14:textId="77777777" w:rsidR="00BE0B19" w:rsidRPr="00AE47C6" w:rsidRDefault="00BE0B19" w:rsidP="00BE0B19">
      <w:pPr>
        <w:numPr>
          <w:ilvl w:val="0"/>
          <w:numId w:val="79"/>
        </w:numPr>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Начало около пубертета, юношеска възраст.</w:t>
      </w:r>
    </w:p>
    <w:p w14:paraId="1660D662" w14:textId="77777777" w:rsidR="00BE0B19" w:rsidRPr="00AE47C6" w:rsidRDefault="00BE0B19" w:rsidP="00BE0B19">
      <w:pPr>
        <w:numPr>
          <w:ilvl w:val="0"/>
          <w:numId w:val="79"/>
        </w:numPr>
        <w:overflowPunct w:val="0"/>
        <w:autoSpaceDE w:val="0"/>
        <w:autoSpaceDN w:val="0"/>
        <w:adjustRightInd w:val="0"/>
        <w:spacing w:after="0" w:line="360" w:lineRule="auto"/>
        <w:ind w:left="0" w:firstLine="0"/>
        <w:jc w:val="both"/>
        <w:textAlignment w:val="baseline"/>
        <w:rPr>
          <w:rFonts w:ascii="Times New Roman" w:eastAsia="SimSun" w:hAnsi="Times New Roman"/>
          <w:b/>
          <w:bCs/>
          <w:sz w:val="24"/>
          <w:szCs w:val="24"/>
        </w:rPr>
      </w:pPr>
      <w:r w:rsidRPr="00AE47C6">
        <w:rPr>
          <w:rFonts w:ascii="Times New Roman" w:eastAsia="SimSun" w:hAnsi="Times New Roman"/>
          <w:sz w:val="24"/>
          <w:szCs w:val="24"/>
        </w:rPr>
        <w:t>Клинична характеристика: Абсанси, които са по-редки в сравнение с детската абсансна епилепсия. Около 80% получават и ГТКП или ГТКП предшестват появата на абсансите.</w:t>
      </w:r>
    </w:p>
    <w:p w14:paraId="1C0D33BD" w14:textId="77777777" w:rsidR="00BE0B19" w:rsidRPr="00AE47C6" w:rsidRDefault="00BE0B19" w:rsidP="00BE0B19">
      <w:pPr>
        <w:numPr>
          <w:ilvl w:val="0"/>
          <w:numId w:val="79"/>
        </w:numPr>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i/>
          <w:iCs/>
          <w:sz w:val="24"/>
          <w:szCs w:val="24"/>
        </w:rPr>
        <w:t>ЕЕГ</w:t>
      </w:r>
      <w:r w:rsidRPr="00AE47C6">
        <w:rPr>
          <w:rFonts w:ascii="Times New Roman" w:eastAsia="SimSun" w:hAnsi="Times New Roman"/>
          <w:sz w:val="24"/>
          <w:szCs w:val="24"/>
        </w:rPr>
        <w:t>- генерализирани комплекси острия-бавна вълна.</w:t>
      </w:r>
    </w:p>
    <w:p w14:paraId="41868DBC" w14:textId="77777777" w:rsidR="00BE0B19" w:rsidRPr="00AE47C6" w:rsidRDefault="00BE0B19" w:rsidP="00BE0B19">
      <w:pPr>
        <w:numPr>
          <w:ilvl w:val="0"/>
          <w:numId w:val="79"/>
        </w:numPr>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 xml:space="preserve">Лечение - VPA, ESM, LTG, Clonazepam. Възможно е влошаване от CBZ, GBP, OXC, PHT, TGB и VGB, поради което не трябва да се прилагат. </w:t>
      </w:r>
    </w:p>
    <w:p w14:paraId="61F8485A" w14:textId="77777777" w:rsidR="00BE0B19" w:rsidRPr="00AE47C6" w:rsidRDefault="00BE0B19" w:rsidP="00BE0B19">
      <w:pPr>
        <w:numPr>
          <w:ilvl w:val="0"/>
          <w:numId w:val="79"/>
        </w:numPr>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Прогноза: Добър контрол с лечение. Може да премине в ювенилна миоклонична епилепсия.</w:t>
      </w:r>
    </w:p>
    <w:p w14:paraId="0CFC837C" w14:textId="77777777" w:rsidR="00BE0B19" w:rsidRPr="00AE47C6" w:rsidRDefault="00BE0B19" w:rsidP="00BE0B19">
      <w:pPr>
        <w:tabs>
          <w:tab w:val="left" w:pos="720"/>
        </w:tabs>
        <w:overflowPunct w:val="0"/>
        <w:autoSpaceDE w:val="0"/>
        <w:autoSpaceDN w:val="0"/>
        <w:adjustRightInd w:val="0"/>
        <w:spacing w:after="0" w:line="360" w:lineRule="auto"/>
        <w:jc w:val="both"/>
        <w:textAlignment w:val="baseline"/>
        <w:rPr>
          <w:rFonts w:ascii="Times New Roman" w:eastAsia="SimSun" w:hAnsi="Times New Roman"/>
          <w:sz w:val="24"/>
          <w:szCs w:val="24"/>
        </w:rPr>
      </w:pPr>
    </w:p>
    <w:p w14:paraId="4E4CD6E8" w14:textId="77777777" w:rsidR="00BE0B19" w:rsidRPr="00AE47C6" w:rsidRDefault="00BE0B19" w:rsidP="00BE0B19">
      <w:pPr>
        <w:tabs>
          <w:tab w:val="left" w:pos="720"/>
        </w:tabs>
        <w:overflowPunct w:val="0"/>
        <w:autoSpaceDE w:val="0"/>
        <w:autoSpaceDN w:val="0"/>
        <w:adjustRightInd w:val="0"/>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bCs/>
          <w:sz w:val="24"/>
          <w:szCs w:val="24"/>
        </w:rPr>
        <w:t xml:space="preserve">Ювенилна миоклонична епилепсия - </w:t>
      </w:r>
      <w:r w:rsidRPr="00AE47C6">
        <w:rPr>
          <w:rFonts w:ascii="Times New Roman" w:eastAsia="SimSun" w:hAnsi="Times New Roman"/>
          <w:sz w:val="24"/>
          <w:szCs w:val="24"/>
        </w:rPr>
        <w:t>най-честата първично-генерализирана епилепсия (заболяемост 1-3/1000).</w:t>
      </w:r>
    </w:p>
    <w:p w14:paraId="74DD5839" w14:textId="77777777" w:rsidR="00BE0B19" w:rsidRPr="00AE47C6" w:rsidRDefault="00BE0B19" w:rsidP="00BE0B19">
      <w:pPr>
        <w:numPr>
          <w:ilvl w:val="0"/>
          <w:numId w:val="80"/>
        </w:numPr>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Фамилност при около 40%. Автозомно-рецесивно, автозомно доминантно предаване.</w:t>
      </w:r>
    </w:p>
    <w:p w14:paraId="6A8E69A8" w14:textId="77777777" w:rsidR="00BE0B19" w:rsidRPr="00AE47C6" w:rsidRDefault="00BE0B19" w:rsidP="00BE0B19">
      <w:pPr>
        <w:numPr>
          <w:ilvl w:val="0"/>
          <w:numId w:val="80"/>
        </w:numPr>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Начало между 8 и 18 г., най-често около 15 г.</w:t>
      </w:r>
    </w:p>
    <w:p w14:paraId="7478420C" w14:textId="77777777" w:rsidR="00BE0B19" w:rsidRPr="00AE47C6" w:rsidRDefault="00BE0B19" w:rsidP="00BE0B19">
      <w:pPr>
        <w:numPr>
          <w:ilvl w:val="0"/>
          <w:numId w:val="80"/>
        </w:numPr>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Клинична характеристика: Миоклонични пристъпи, ГТКП, клонични, абсанси, най-често рано сутрин, след сън или нощем. Епилептичен абсансен статус. Провокиращи фактори- сънна депривация, фоточувствителност, алкохол.</w:t>
      </w:r>
    </w:p>
    <w:p w14:paraId="448AB567" w14:textId="77777777" w:rsidR="00BE0B19" w:rsidRPr="00AE47C6" w:rsidRDefault="00BE0B19" w:rsidP="00BE0B19">
      <w:pPr>
        <w:numPr>
          <w:ilvl w:val="0"/>
          <w:numId w:val="80"/>
        </w:numPr>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ЕЕГ: генерализирани пароксизми острие-бавна вълна и полиспайк-бавна вълна 4-6 Hz при нормална основна активност, а 50% - и фокална абнормност или асиметрия.</w:t>
      </w:r>
    </w:p>
    <w:p w14:paraId="185E11C1" w14:textId="77777777" w:rsidR="00BE0B19" w:rsidRPr="00AE47C6" w:rsidRDefault="00BE0B19" w:rsidP="00BE0B19">
      <w:pPr>
        <w:numPr>
          <w:ilvl w:val="0"/>
          <w:numId w:val="80"/>
        </w:numPr>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Диференциална диагноза: миоклонично-астатичната епилепсия е с по-ранно начало. Прогресивни миоклонични епилепсии с различни причини - при болести с натрупване в лизозомите (най-често цероидлипофусцинози), при митохондриални болести, при болестите на Lafora и Unverricht-Lundborg.</w:t>
      </w:r>
    </w:p>
    <w:p w14:paraId="6BDBCAB7" w14:textId="77777777" w:rsidR="00BE0B19" w:rsidRPr="00AE47C6" w:rsidRDefault="00BE0B19" w:rsidP="00BE0B19">
      <w:pPr>
        <w:numPr>
          <w:ilvl w:val="0"/>
          <w:numId w:val="80"/>
        </w:numPr>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 xml:space="preserve">Лечение: VPA, Clonazepam, LEV, LTG, TPM, ZNS. Влошаване е възможно от VGB, TGB, CBZ, OXC, PHT, GBP, PGB, поради което не трябва да се прилагат. </w:t>
      </w:r>
    </w:p>
    <w:p w14:paraId="69FCB1C2" w14:textId="77777777" w:rsidR="00BE0B19" w:rsidRPr="00AE47C6" w:rsidRDefault="00BE0B19" w:rsidP="00BE0B19">
      <w:pPr>
        <w:numPr>
          <w:ilvl w:val="0"/>
          <w:numId w:val="80"/>
        </w:numPr>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Прогноза</w:t>
      </w:r>
      <w:r w:rsidRPr="00AE47C6">
        <w:rPr>
          <w:rFonts w:ascii="Times New Roman" w:eastAsia="SimSun" w:hAnsi="Times New Roman"/>
          <w:i/>
          <w:iCs/>
          <w:sz w:val="24"/>
          <w:szCs w:val="24"/>
        </w:rPr>
        <w:t xml:space="preserve"> -</w:t>
      </w:r>
      <w:r w:rsidRPr="00AE47C6">
        <w:rPr>
          <w:rFonts w:ascii="Times New Roman" w:eastAsia="SimSun" w:hAnsi="Times New Roman"/>
          <w:sz w:val="24"/>
          <w:szCs w:val="24"/>
        </w:rPr>
        <w:t xml:space="preserve"> при спиране на лечението в около 90% настъпва рецидив.</w:t>
      </w:r>
    </w:p>
    <w:p w14:paraId="1E3C533E" w14:textId="77777777" w:rsidR="00BE0B19" w:rsidRPr="00AE47C6" w:rsidRDefault="00BE0B19" w:rsidP="00BE0B19">
      <w:pPr>
        <w:spacing w:after="0" w:line="360" w:lineRule="auto"/>
        <w:jc w:val="both"/>
        <w:rPr>
          <w:rFonts w:ascii="Times New Roman" w:eastAsia="SimSun" w:hAnsi="Times New Roman"/>
          <w:b/>
          <w:bCs/>
          <w:sz w:val="24"/>
          <w:szCs w:val="24"/>
        </w:rPr>
      </w:pPr>
    </w:p>
    <w:p w14:paraId="0B523D5B"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Епилепсия с ГТКП при събуждане</w:t>
      </w:r>
      <w:r w:rsidRPr="00AE47C6">
        <w:rPr>
          <w:rFonts w:ascii="Times New Roman" w:eastAsia="SimSun" w:hAnsi="Times New Roman"/>
          <w:sz w:val="24"/>
          <w:szCs w:val="24"/>
        </w:rPr>
        <w:t>.</w:t>
      </w:r>
    </w:p>
    <w:p w14:paraId="6D0878A3" w14:textId="77777777" w:rsidR="00BE0B19" w:rsidRPr="00AE47C6" w:rsidRDefault="00BE0B19" w:rsidP="00BE0B19">
      <w:pPr>
        <w:numPr>
          <w:ilvl w:val="1"/>
          <w:numId w:val="80"/>
        </w:numPr>
        <w:tabs>
          <w:tab w:val="clear" w:pos="144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Начало- 9 - 24 г., честота- 22-37% от ИГЕ. </w:t>
      </w:r>
    </w:p>
    <w:p w14:paraId="79090856" w14:textId="77777777" w:rsidR="00BE0B19" w:rsidRPr="00AE47C6" w:rsidRDefault="00BE0B19" w:rsidP="00BE0B19">
      <w:pPr>
        <w:numPr>
          <w:ilvl w:val="1"/>
          <w:numId w:val="80"/>
        </w:numPr>
        <w:tabs>
          <w:tab w:val="clear" w:pos="144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Основен тип пристъпи са ГТКП до 2 ч. след събуждане, но са възможни абсанси и миоклонични пристъпи. </w:t>
      </w:r>
    </w:p>
    <w:p w14:paraId="6A91C6A6" w14:textId="77777777" w:rsidR="00BE0B19" w:rsidRPr="00AE47C6" w:rsidRDefault="00BE0B19" w:rsidP="00BE0B19">
      <w:pPr>
        <w:numPr>
          <w:ilvl w:val="1"/>
          <w:numId w:val="80"/>
        </w:numPr>
        <w:tabs>
          <w:tab w:val="clear" w:pos="144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ЕЕГ- дезорганизирана основна активност и генерализирани пароксизми от комплекси острие-бавна вълна. </w:t>
      </w:r>
    </w:p>
    <w:p w14:paraId="757EAE6F" w14:textId="77777777" w:rsidR="00BE0B19" w:rsidRPr="00AE47C6" w:rsidRDefault="00BE0B19" w:rsidP="00BE0B19">
      <w:pPr>
        <w:spacing w:after="0" w:line="360" w:lineRule="auto"/>
        <w:jc w:val="both"/>
        <w:rPr>
          <w:rFonts w:ascii="Times New Roman" w:eastAsia="SimSun" w:hAnsi="Times New Roman"/>
          <w:b/>
          <w:bCs/>
          <w:sz w:val="24"/>
          <w:szCs w:val="24"/>
        </w:rPr>
      </w:pPr>
    </w:p>
    <w:p w14:paraId="17F6DA41"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Миоклонично - астатична епилепсия (синдром на Doose</w:t>
      </w:r>
      <w:r w:rsidRPr="00AE47C6">
        <w:rPr>
          <w:rFonts w:ascii="Times New Roman" w:eastAsia="SimSun" w:hAnsi="Times New Roman"/>
          <w:sz w:val="24"/>
          <w:szCs w:val="24"/>
        </w:rPr>
        <w:t>).</w:t>
      </w:r>
    </w:p>
    <w:p w14:paraId="741FA1E3" w14:textId="77777777" w:rsidR="00BE0B19" w:rsidRPr="00AE47C6" w:rsidRDefault="00BE0B19" w:rsidP="00BE0B19">
      <w:pPr>
        <w:numPr>
          <w:ilvl w:val="0"/>
          <w:numId w:val="92"/>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Начало между 2 и 5 г. при деца с нормално развитие. Рядко се установяват мутации в Na</w:t>
      </w:r>
      <w:r w:rsidRPr="00AE47C6">
        <w:rPr>
          <w:rFonts w:ascii="Times New Roman" w:eastAsia="SimSun" w:hAnsi="Times New Roman"/>
          <w:sz w:val="24"/>
          <w:szCs w:val="24"/>
          <w:vertAlign w:val="superscript"/>
        </w:rPr>
        <w:t>+</w:t>
      </w:r>
      <w:r w:rsidRPr="00AE47C6">
        <w:rPr>
          <w:rFonts w:ascii="Times New Roman" w:eastAsia="SimSun" w:hAnsi="Times New Roman"/>
          <w:sz w:val="24"/>
          <w:szCs w:val="24"/>
        </w:rPr>
        <w:t xml:space="preserve"> каналните SСN1A, SCN2A и SCN1B субединици. </w:t>
      </w:r>
    </w:p>
    <w:p w14:paraId="7C927D18" w14:textId="77777777" w:rsidR="00BE0B19" w:rsidRPr="00AE47C6" w:rsidRDefault="00BE0B19" w:rsidP="00BE0B19">
      <w:pPr>
        <w:numPr>
          <w:ilvl w:val="0"/>
          <w:numId w:val="92"/>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Клинична характеристика: Основен тип пристъпи са миоклонично-астатичните, но са възможни и абсанси, миоклонични, атонични, неконвулсивен абсансен статус, ГТКП, много рядко – тонични пристъпи. </w:t>
      </w:r>
    </w:p>
    <w:p w14:paraId="1AD5F6D6" w14:textId="77777777" w:rsidR="00BE0B19" w:rsidRPr="00AE47C6" w:rsidRDefault="00BE0B19" w:rsidP="00BE0B19">
      <w:pPr>
        <w:numPr>
          <w:ilvl w:val="0"/>
          <w:numId w:val="92"/>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ЕЕГ е с нормална основна активност и разряди от комплекси полиспайк-бавна вълна. </w:t>
      </w:r>
    </w:p>
    <w:p w14:paraId="1D6B1FA0" w14:textId="77777777" w:rsidR="00BE0B19" w:rsidRPr="00AE47C6" w:rsidRDefault="00BE0B19" w:rsidP="00BE0B19">
      <w:pPr>
        <w:numPr>
          <w:ilvl w:val="0"/>
          <w:numId w:val="92"/>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Диференциална диагноза: Бенигнена миоклонична епилепсия в ранна възраст, синдром на Dravet (SMEI), криптогенен синдром на Lennox-Gastaut (миоклоничен вариант), прогресивни миоклонични епилепсии при MERRF, болести на Lafora, Unverricht-Lundborg, левкодистрофии (прогресиращ неврологичен дефицит и прогресираща атрофия в МРТ и КТ, установен метаболитен дефект), атипични бенигнени парциални епилепсии в детската възраст (самоограничаващи се епилепсии като Роландова и тип Panayiotopoulos), при които са възможни дроп-атаки при атипични абсанси и негативен миоклонус.</w:t>
      </w:r>
    </w:p>
    <w:p w14:paraId="31A8F339" w14:textId="77777777" w:rsidR="00BE0B19" w:rsidRPr="00AE47C6" w:rsidRDefault="00BE0B19" w:rsidP="00BE0B19">
      <w:pPr>
        <w:numPr>
          <w:ilvl w:val="0"/>
          <w:numId w:val="92"/>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Лечение: VPA, ESM, бензодиазепини, ТPM, LEV, ниски дози LTG, бромиди, Clobazam, ZNS, кортикостероиди. Характерно е влошаване от CBZ, VGB, PHT. </w:t>
      </w:r>
    </w:p>
    <w:p w14:paraId="3987B117" w14:textId="77777777" w:rsidR="00BE0B19" w:rsidRPr="00AE47C6" w:rsidRDefault="00BE0B19" w:rsidP="00BE0B19">
      <w:pPr>
        <w:numPr>
          <w:ilvl w:val="0"/>
          <w:numId w:val="92"/>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Прогноза -неблагоприятна при 50% поради терапевтично-резистентни пристъпи, когнитивен дефицит, поведенчески отклонения.</w:t>
      </w:r>
    </w:p>
    <w:p w14:paraId="25A1A1F7" w14:textId="77777777" w:rsidR="00BE0B19" w:rsidRPr="00AE47C6" w:rsidRDefault="00BE0B19" w:rsidP="00BE0B19">
      <w:pPr>
        <w:tabs>
          <w:tab w:val="right" w:pos="9000"/>
        </w:tabs>
        <w:spacing w:after="0" w:line="360" w:lineRule="auto"/>
        <w:jc w:val="both"/>
        <w:rPr>
          <w:rFonts w:ascii="Times New Roman" w:eastAsia="SimSun" w:hAnsi="Times New Roman"/>
          <w:b/>
          <w:bCs/>
          <w:sz w:val="24"/>
          <w:szCs w:val="24"/>
        </w:rPr>
      </w:pPr>
    </w:p>
    <w:p w14:paraId="44CF35B4" w14:textId="77777777" w:rsidR="00BE0B19" w:rsidRPr="00AE47C6" w:rsidRDefault="00BE0B19" w:rsidP="00BE0B19">
      <w:pPr>
        <w:tabs>
          <w:tab w:val="right" w:pos="9000"/>
        </w:tabs>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 xml:space="preserve">Епилепсия с миоклонични абсанси </w:t>
      </w:r>
      <w:r w:rsidRPr="00AE47C6">
        <w:rPr>
          <w:rFonts w:ascii="Times New Roman" w:eastAsia="SimSun" w:hAnsi="Times New Roman"/>
          <w:b/>
          <w:bCs/>
          <w:sz w:val="24"/>
          <w:szCs w:val="24"/>
        </w:rPr>
        <w:tab/>
      </w:r>
    </w:p>
    <w:p w14:paraId="5C4C2456" w14:textId="77777777" w:rsidR="00BE0B19" w:rsidRPr="00AE47C6" w:rsidRDefault="00BE0B19" w:rsidP="00BE0B19">
      <w:pPr>
        <w:numPr>
          <w:ilvl w:val="0"/>
          <w:numId w:val="9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Рядка епилепсия (0,5-1%) с начало между 5 месеца - 13 г., средно 7 г. </w:t>
      </w:r>
    </w:p>
    <w:p w14:paraId="701AF14C" w14:textId="77777777" w:rsidR="00BE0B19" w:rsidRPr="00AE47C6" w:rsidRDefault="00BE0B19" w:rsidP="00BE0B19">
      <w:pPr>
        <w:numPr>
          <w:ilvl w:val="0"/>
          <w:numId w:val="9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Клинична характеристика: Миоклонии (периорални, на ръцете, раменете, вкл. асиметрични (8-60/s); ГТКП, атонични, абсансен статус. Провокират се от ХВ, фотостимулация. </w:t>
      </w:r>
    </w:p>
    <w:p w14:paraId="54A7ECB1" w14:textId="77777777" w:rsidR="00BE0B19" w:rsidRPr="00AE47C6" w:rsidRDefault="00BE0B19" w:rsidP="00BE0B19">
      <w:pPr>
        <w:numPr>
          <w:ilvl w:val="0"/>
          <w:numId w:val="9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ЕЕГ е с кратки генерализирани, фокални или мултифокални комплекси острие-бавна вълна или полиспайк-бавна вълна с честота 3 Hz. </w:t>
      </w:r>
    </w:p>
    <w:p w14:paraId="49301459" w14:textId="77777777" w:rsidR="00BE0B19" w:rsidRPr="00AE47C6" w:rsidRDefault="00BE0B19" w:rsidP="00BE0B19">
      <w:pPr>
        <w:numPr>
          <w:ilvl w:val="0"/>
          <w:numId w:val="91"/>
        </w:numPr>
        <w:spacing w:after="0" w:line="360" w:lineRule="auto"/>
        <w:ind w:left="0" w:firstLine="0"/>
        <w:jc w:val="both"/>
        <w:rPr>
          <w:rFonts w:ascii="Times New Roman" w:eastAsia="SimSun" w:hAnsi="Times New Roman"/>
          <w:b/>
          <w:bCs/>
          <w:i/>
          <w:iCs/>
          <w:sz w:val="24"/>
          <w:szCs w:val="24"/>
          <w:u w:val="single"/>
        </w:rPr>
      </w:pPr>
      <w:r w:rsidRPr="00AE47C6">
        <w:rPr>
          <w:rFonts w:ascii="Times New Roman" w:eastAsia="SimSun" w:hAnsi="Times New Roman"/>
          <w:sz w:val="24"/>
          <w:szCs w:val="24"/>
        </w:rPr>
        <w:t>Прогноза</w:t>
      </w:r>
      <w:r w:rsidRPr="00AE47C6">
        <w:rPr>
          <w:rFonts w:ascii="Times New Roman" w:eastAsia="SimSun" w:hAnsi="Times New Roman"/>
          <w:b/>
          <w:bCs/>
          <w:sz w:val="24"/>
          <w:szCs w:val="24"/>
        </w:rPr>
        <w:t xml:space="preserve">: </w:t>
      </w:r>
      <w:r w:rsidRPr="00AE47C6">
        <w:rPr>
          <w:rFonts w:ascii="Times New Roman" w:eastAsia="SimSun" w:hAnsi="Times New Roman"/>
          <w:sz w:val="24"/>
          <w:szCs w:val="24"/>
        </w:rPr>
        <w:t>често медикаментозна резистентност, когнитивен дефицит, преход към ювенилна миоклонична епилепсия.</w:t>
      </w:r>
    </w:p>
    <w:p w14:paraId="54897033" w14:textId="77777777" w:rsidR="00BE0B19" w:rsidRPr="00AE47C6" w:rsidRDefault="00BE0B19" w:rsidP="00BE0B19">
      <w:pPr>
        <w:spacing w:after="0" w:line="360" w:lineRule="auto"/>
        <w:jc w:val="both"/>
        <w:rPr>
          <w:rFonts w:ascii="Times New Roman" w:eastAsia="SimSun" w:hAnsi="Times New Roman"/>
          <w:b/>
          <w:bCs/>
          <w:sz w:val="24"/>
          <w:szCs w:val="24"/>
        </w:rPr>
      </w:pPr>
    </w:p>
    <w:p w14:paraId="37A23483"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Бенигнени неонатални конвулсии</w:t>
      </w:r>
    </w:p>
    <w:p w14:paraId="64C55337" w14:textId="77777777" w:rsidR="00BE0B19" w:rsidRPr="00AE47C6" w:rsidRDefault="00BE0B19" w:rsidP="00BE0B19">
      <w:pPr>
        <w:numPr>
          <w:ilvl w:val="0"/>
          <w:numId w:val="83"/>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Някои случаи са фамилни, с автозомно-доминантно предаване.</w:t>
      </w:r>
    </w:p>
    <w:p w14:paraId="011645B8" w14:textId="77777777" w:rsidR="00BE0B19" w:rsidRPr="00AE47C6" w:rsidRDefault="00BE0B19" w:rsidP="00BE0B19">
      <w:pPr>
        <w:numPr>
          <w:ilvl w:val="0"/>
          <w:numId w:val="83"/>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Начало-2-3 ден след раждането.</w:t>
      </w:r>
    </w:p>
    <w:p w14:paraId="4E7D4410" w14:textId="77777777" w:rsidR="00BE0B19" w:rsidRPr="00AE47C6" w:rsidRDefault="00BE0B19" w:rsidP="00BE0B19">
      <w:pPr>
        <w:numPr>
          <w:ilvl w:val="0"/>
          <w:numId w:val="82"/>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Клинична характеристика: Фокален епилептичен синдром - кратки пристъпи.</w:t>
      </w:r>
    </w:p>
    <w:p w14:paraId="36A8F7B3" w14:textId="77777777" w:rsidR="00BE0B19" w:rsidRPr="00AE47C6" w:rsidRDefault="00BE0B19" w:rsidP="00BE0B19">
      <w:pPr>
        <w:numPr>
          <w:ilvl w:val="0"/>
          <w:numId w:val="82"/>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Нормален неврологичен статус.</w:t>
      </w:r>
    </w:p>
    <w:p w14:paraId="0B3363D3" w14:textId="77777777" w:rsidR="00BE0B19" w:rsidRPr="00AE47C6" w:rsidRDefault="00BE0B19" w:rsidP="00BE0B19">
      <w:pPr>
        <w:numPr>
          <w:ilvl w:val="0"/>
          <w:numId w:val="82"/>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ЕЕГ- неспецифична.</w:t>
      </w:r>
    </w:p>
    <w:p w14:paraId="4D89484E" w14:textId="77777777" w:rsidR="00BE0B19" w:rsidRPr="00AE47C6" w:rsidRDefault="00BE0B19" w:rsidP="00BE0B19">
      <w:pPr>
        <w:numPr>
          <w:ilvl w:val="0"/>
          <w:numId w:val="82"/>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Прогноза - добра.</w:t>
      </w:r>
    </w:p>
    <w:p w14:paraId="26A7AA16" w14:textId="77777777" w:rsidR="00BE0B19" w:rsidRPr="00AE47C6" w:rsidRDefault="00BE0B19" w:rsidP="00BE0B19">
      <w:pPr>
        <w:spacing w:after="0" w:line="360" w:lineRule="auto"/>
        <w:jc w:val="both"/>
        <w:rPr>
          <w:rFonts w:ascii="Times New Roman" w:eastAsia="SimSun" w:hAnsi="Times New Roman"/>
          <w:b/>
          <w:bCs/>
          <w:sz w:val="24"/>
          <w:szCs w:val="24"/>
        </w:rPr>
      </w:pPr>
    </w:p>
    <w:p w14:paraId="0934C7FE"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Прогресивни миоклонични епилепсии</w:t>
      </w:r>
    </w:p>
    <w:p w14:paraId="48E8FF04" w14:textId="77777777" w:rsidR="00BE0B19" w:rsidRPr="00AE47C6" w:rsidRDefault="00BE0B19" w:rsidP="00BE0B19">
      <w:pPr>
        <w:numPr>
          <w:ilvl w:val="0"/>
          <w:numId w:val="84"/>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Различна етиология – болести с натрупване в лизозомите (най-често цероидлипофусцинози), митохондриални болести, болест на Unverricht-Lundborg, болест на Lafora.</w:t>
      </w:r>
    </w:p>
    <w:p w14:paraId="2D8C0895" w14:textId="77777777" w:rsidR="00BE0B19" w:rsidRPr="00AE47C6" w:rsidRDefault="00BE0B19" w:rsidP="00BE0B19">
      <w:pPr>
        <w:numPr>
          <w:ilvl w:val="0"/>
          <w:numId w:val="84"/>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Клинична характеристика: Миоклонии, епилептични пристъпи. Прогресивен неврологичен дефицит.</w:t>
      </w:r>
    </w:p>
    <w:p w14:paraId="70320495" w14:textId="77777777" w:rsidR="00BE0B19" w:rsidRPr="00AE47C6" w:rsidRDefault="00BE0B19" w:rsidP="00BE0B19">
      <w:pPr>
        <w:numPr>
          <w:ilvl w:val="0"/>
          <w:numId w:val="84"/>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Прогноза- неблагоприятна.</w:t>
      </w:r>
    </w:p>
    <w:p w14:paraId="49E6BAC5" w14:textId="77777777" w:rsidR="00BE0B19" w:rsidRPr="00AE47C6" w:rsidRDefault="00BE0B19" w:rsidP="00BE0B19">
      <w:pPr>
        <w:spacing w:after="0" w:line="360" w:lineRule="auto"/>
        <w:jc w:val="both"/>
        <w:rPr>
          <w:rFonts w:ascii="Times New Roman" w:eastAsia="SimSun" w:hAnsi="Times New Roman"/>
          <w:b/>
          <w:bCs/>
          <w:sz w:val="24"/>
          <w:szCs w:val="24"/>
        </w:rPr>
      </w:pPr>
    </w:p>
    <w:p w14:paraId="3397EE1C"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3. Рефлексни епилепсии</w:t>
      </w:r>
    </w:p>
    <w:p w14:paraId="66967A2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Протичат с рефлексни пристъпи (генерализирани, миоклонични или фокални), предизвикани от специфични аферентни стимули: </w:t>
      </w:r>
      <w:r w:rsidRPr="00AE47C6">
        <w:rPr>
          <w:rFonts w:ascii="Times New Roman" w:eastAsia="SimSun" w:hAnsi="Times New Roman"/>
          <w:i/>
          <w:iCs/>
          <w:sz w:val="24"/>
          <w:szCs w:val="24"/>
        </w:rPr>
        <w:t xml:space="preserve">външни </w:t>
      </w:r>
      <w:r w:rsidRPr="00AE47C6">
        <w:rPr>
          <w:rFonts w:ascii="Times New Roman" w:eastAsia="SimSun" w:hAnsi="Times New Roman"/>
          <w:iCs/>
          <w:sz w:val="24"/>
          <w:szCs w:val="24"/>
        </w:rPr>
        <w:t>(</w:t>
      </w:r>
      <w:r w:rsidRPr="00AE47C6">
        <w:rPr>
          <w:rFonts w:ascii="Times New Roman" w:eastAsia="SimSun" w:hAnsi="Times New Roman"/>
          <w:sz w:val="24"/>
          <w:szCs w:val="24"/>
        </w:rPr>
        <w:t xml:space="preserve">мигащи светлини, тактилни, четене, хранене) и </w:t>
      </w:r>
      <w:r w:rsidRPr="00AE47C6">
        <w:rPr>
          <w:rFonts w:ascii="Times New Roman" w:eastAsia="SimSun" w:hAnsi="Times New Roman"/>
          <w:i/>
          <w:iCs/>
          <w:sz w:val="24"/>
          <w:szCs w:val="24"/>
        </w:rPr>
        <w:t xml:space="preserve">вътрешни </w:t>
      </w:r>
      <w:r w:rsidRPr="00AE47C6">
        <w:rPr>
          <w:rFonts w:ascii="Times New Roman" w:eastAsia="SimSun" w:hAnsi="Times New Roman"/>
          <w:iCs/>
          <w:sz w:val="24"/>
          <w:szCs w:val="24"/>
        </w:rPr>
        <w:t>(</w:t>
      </w:r>
      <w:r w:rsidRPr="00AE47C6">
        <w:rPr>
          <w:rFonts w:ascii="Times New Roman" w:eastAsia="SimSun" w:hAnsi="Times New Roman"/>
          <w:sz w:val="24"/>
          <w:szCs w:val="24"/>
        </w:rPr>
        <w:t>движения, мислене, музика, смятане, взимане на решение). Най-чести са фотогенно-провокираните пристъпи.</w:t>
      </w:r>
    </w:p>
    <w:p w14:paraId="35D8AC58"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b/>
          <w:bCs/>
          <w:sz w:val="24"/>
          <w:szCs w:val="24"/>
        </w:rPr>
        <w:t xml:space="preserve">1. Генетична (идиопатична) фотосензитивна окципитална епилепсия и други зрително-индуцирани епилепсии. </w:t>
      </w:r>
      <w:r w:rsidRPr="00AE47C6">
        <w:rPr>
          <w:rFonts w:ascii="Times New Roman" w:eastAsia="SimSun" w:hAnsi="Times New Roman"/>
          <w:sz w:val="24"/>
          <w:szCs w:val="24"/>
        </w:rPr>
        <w:t xml:space="preserve">При интермитентна фотостимулация (ИФС) или при друга светлинна стимулация (видео-игри, самоиндукция при мигане или движения пред очите) се генерира фотопароксизмален отговор (ФПО) – фокални или генерализирани спайк/полиспайк-бавна вълна пароксизми. Фотогенно провокирани пристъпи имат общо 5 до 10% от болните с епилепсия, до 18 г. От пациентите с ФПО </w:t>
      </w:r>
      <w:r w:rsidRPr="00AE47C6">
        <w:rPr>
          <w:rFonts w:ascii="Times New Roman" w:eastAsia="SimSun" w:hAnsi="Times New Roman"/>
          <w:i/>
          <w:iCs/>
          <w:sz w:val="24"/>
          <w:szCs w:val="24"/>
        </w:rPr>
        <w:t>чиста фотогенна епилепсия</w:t>
      </w:r>
      <w:r w:rsidRPr="00AE47C6">
        <w:rPr>
          <w:rFonts w:ascii="Times New Roman" w:eastAsia="SimSun" w:hAnsi="Times New Roman"/>
          <w:sz w:val="24"/>
          <w:szCs w:val="24"/>
        </w:rPr>
        <w:t xml:space="preserve"> (само фотогенно предизвикани пристъпи) имат 42%, спонтанни и фотогенно индуцирани - 40%, само спонтанни пристъпи - 18%). От </w:t>
      </w:r>
      <w:r w:rsidRPr="00AE47C6">
        <w:rPr>
          <w:rFonts w:ascii="Times New Roman" w:eastAsia="SimSun" w:hAnsi="Times New Roman"/>
          <w:i/>
          <w:iCs/>
          <w:sz w:val="24"/>
          <w:szCs w:val="24"/>
        </w:rPr>
        <w:t>генерализираните епилепсии с изявен ФПО</w:t>
      </w:r>
      <w:r w:rsidRPr="00AE47C6">
        <w:rPr>
          <w:rFonts w:ascii="Times New Roman" w:eastAsia="SimSun" w:hAnsi="Times New Roman"/>
          <w:sz w:val="24"/>
          <w:szCs w:val="24"/>
        </w:rPr>
        <w:t xml:space="preserve"> са детските абсансни, ювенилната абсансна, ювенилната миоклонична епилепсия и епилепсията с ГТКП при събуждане, епилепсия с миоклонии на клепачите и абсанси (синдром на Jeavons) и SMEI. </w:t>
      </w:r>
    </w:p>
    <w:p w14:paraId="545869B5"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b/>
          <w:bCs/>
          <w:sz w:val="24"/>
          <w:szCs w:val="24"/>
        </w:rPr>
        <w:t xml:space="preserve">Генетична (идиопатична) фотосензитивна окципитална епилепсия </w:t>
      </w:r>
      <w:r w:rsidRPr="00AE47C6">
        <w:rPr>
          <w:rFonts w:ascii="Times New Roman" w:eastAsia="SimSun" w:hAnsi="Times New Roman"/>
          <w:sz w:val="24"/>
          <w:szCs w:val="24"/>
        </w:rPr>
        <w:t xml:space="preserve">е възрастово-зависим синдром при деца с окципитална епилептогенност при мигащи светлини - видеоигри, ТV, дискотека и деца с идиопатична парциална или генерализирана епилепсия с окципитални пристъпи. </w:t>
      </w:r>
    </w:p>
    <w:p w14:paraId="5EDC385E"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i/>
          <w:iCs/>
          <w:sz w:val="24"/>
          <w:szCs w:val="24"/>
        </w:rPr>
        <w:t xml:space="preserve">Клиника - </w:t>
      </w:r>
      <w:r w:rsidRPr="00AE47C6">
        <w:rPr>
          <w:rFonts w:ascii="Times New Roman" w:eastAsia="SimSun" w:hAnsi="Times New Roman"/>
          <w:sz w:val="24"/>
          <w:szCs w:val="24"/>
        </w:rPr>
        <w:t>окципитални пристъпи, индуциращи се от ФС- автономни симптоми (повръщане както при с-м на Panayiotopoulos)</w:t>
      </w:r>
      <w:r w:rsidRPr="00AE47C6">
        <w:rPr>
          <w:rFonts w:ascii="Times New Roman" w:eastAsia="SimSun" w:hAnsi="Times New Roman"/>
          <w:i/>
          <w:iCs/>
          <w:sz w:val="24"/>
          <w:szCs w:val="24"/>
        </w:rPr>
        <w:t xml:space="preserve">, </w:t>
      </w:r>
      <w:r w:rsidRPr="00AE47C6">
        <w:rPr>
          <w:rFonts w:ascii="Times New Roman" w:eastAsia="SimSun" w:hAnsi="Times New Roman"/>
          <w:sz w:val="24"/>
          <w:szCs w:val="24"/>
        </w:rPr>
        <w:t xml:space="preserve">ВГТКП, ГТКП. </w:t>
      </w:r>
    </w:p>
    <w:p w14:paraId="416B5267"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i/>
          <w:iCs/>
          <w:sz w:val="24"/>
          <w:szCs w:val="24"/>
        </w:rPr>
        <w:t>ЕЕГ</w:t>
      </w:r>
      <w:r w:rsidRPr="00AE47C6">
        <w:rPr>
          <w:rFonts w:ascii="Times New Roman" w:eastAsia="SimSun" w:hAnsi="Times New Roman"/>
          <w:sz w:val="24"/>
          <w:szCs w:val="24"/>
        </w:rPr>
        <w:t xml:space="preserve">- </w:t>
      </w:r>
      <w:r w:rsidRPr="00AE47C6">
        <w:rPr>
          <w:rFonts w:ascii="Times New Roman" w:eastAsia="SimSun" w:hAnsi="Times New Roman"/>
          <w:i/>
          <w:iCs/>
          <w:sz w:val="24"/>
          <w:szCs w:val="24"/>
        </w:rPr>
        <w:t xml:space="preserve">Интериктална: </w:t>
      </w:r>
      <w:r w:rsidRPr="00AE47C6">
        <w:rPr>
          <w:rFonts w:ascii="Times New Roman" w:eastAsia="SimSun" w:hAnsi="Times New Roman"/>
          <w:sz w:val="24"/>
          <w:szCs w:val="24"/>
        </w:rPr>
        <w:t xml:space="preserve">ФПО при ФС- окципитални или генерализирани пароксизми. </w:t>
      </w:r>
      <w:r w:rsidRPr="00AE47C6">
        <w:rPr>
          <w:rFonts w:ascii="Times New Roman" w:eastAsia="SimSun" w:hAnsi="Times New Roman"/>
          <w:i/>
          <w:iCs/>
          <w:sz w:val="24"/>
          <w:szCs w:val="24"/>
        </w:rPr>
        <w:t>Иктална ЕЕГ</w:t>
      </w:r>
      <w:r w:rsidRPr="00AE47C6">
        <w:rPr>
          <w:rFonts w:ascii="Times New Roman" w:eastAsia="SimSun" w:hAnsi="Times New Roman"/>
          <w:sz w:val="24"/>
          <w:szCs w:val="24"/>
        </w:rPr>
        <w:t>- окципитални пароксизми с темпорална пропагация.</w:t>
      </w:r>
    </w:p>
    <w:p w14:paraId="4D45149B"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4"/>
        </w:rPr>
      </w:pPr>
      <w:r w:rsidRPr="00AE47C6">
        <w:rPr>
          <w:rFonts w:ascii="Times New Roman" w:eastAsia="SimSun" w:hAnsi="Times New Roman"/>
          <w:b/>
          <w:bCs/>
          <w:sz w:val="24"/>
          <w:szCs w:val="24"/>
        </w:rPr>
        <w:t>2. Startle епилепсия</w:t>
      </w:r>
      <w:r w:rsidRPr="00AE47C6">
        <w:rPr>
          <w:rFonts w:ascii="Times New Roman" w:eastAsia="SimSun" w:hAnsi="Times New Roman"/>
          <w:sz w:val="24"/>
          <w:szCs w:val="24"/>
        </w:rPr>
        <w:t xml:space="preserve"> - у деца с неврологичен и интелектуален дефицит и друг тип пристъпи, при които има и пристъпи при стряскане, най-често от силен звук. ДД- Hyperekplexia (Startle disease)</w:t>
      </w:r>
    </w:p>
    <w:p w14:paraId="6E345A5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3</w:t>
      </w:r>
      <w:r w:rsidRPr="00AE47C6">
        <w:rPr>
          <w:rFonts w:ascii="Times New Roman" w:eastAsia="SimSun" w:hAnsi="Times New Roman"/>
          <w:sz w:val="24"/>
          <w:szCs w:val="24"/>
        </w:rPr>
        <w:t xml:space="preserve">. </w:t>
      </w:r>
      <w:r w:rsidRPr="00AE47C6">
        <w:rPr>
          <w:rFonts w:ascii="Times New Roman" w:eastAsia="SimSun" w:hAnsi="Times New Roman"/>
          <w:b/>
          <w:bCs/>
          <w:sz w:val="24"/>
          <w:szCs w:val="24"/>
        </w:rPr>
        <w:t xml:space="preserve">Епилепсия при четене </w:t>
      </w:r>
      <w:r w:rsidRPr="00AE47C6">
        <w:rPr>
          <w:rFonts w:ascii="Times New Roman" w:eastAsia="SimSun" w:hAnsi="Times New Roman"/>
          <w:sz w:val="24"/>
          <w:szCs w:val="24"/>
        </w:rPr>
        <w:t>- изявява се с миоклонични пристъпи в оралната, периорална, масетерна мускулатура при четене.</w:t>
      </w:r>
    </w:p>
    <w:p w14:paraId="6979D7B9" w14:textId="77777777" w:rsidR="00BE0B19" w:rsidRPr="00AE47C6" w:rsidRDefault="00BE0B19" w:rsidP="00BE0B19">
      <w:pPr>
        <w:spacing w:after="0" w:line="360" w:lineRule="auto"/>
        <w:jc w:val="both"/>
        <w:rPr>
          <w:rFonts w:ascii="Times New Roman" w:eastAsia="SimSun" w:hAnsi="Times New Roman"/>
          <w:b/>
          <w:bCs/>
          <w:i/>
          <w:iCs/>
          <w:sz w:val="24"/>
          <w:szCs w:val="24"/>
          <w:u w:val="single"/>
        </w:rPr>
      </w:pPr>
    </w:p>
    <w:p w14:paraId="0255CF9E" w14:textId="77777777" w:rsidR="00BE0B19" w:rsidRPr="00AE47C6" w:rsidRDefault="00BE0B19" w:rsidP="00BE0B19">
      <w:pPr>
        <w:spacing w:after="0" w:line="360" w:lineRule="auto"/>
        <w:ind w:firstLine="567"/>
        <w:jc w:val="both"/>
        <w:rPr>
          <w:rFonts w:ascii="Times New Roman" w:eastAsia="SimSun" w:hAnsi="Times New Roman"/>
          <w:bCs/>
          <w:sz w:val="24"/>
          <w:szCs w:val="24"/>
        </w:rPr>
      </w:pPr>
      <w:r w:rsidRPr="00AE47C6">
        <w:rPr>
          <w:rFonts w:ascii="Times New Roman" w:eastAsia="SimSun" w:hAnsi="Times New Roman"/>
          <w:b/>
          <w:bCs/>
          <w:sz w:val="24"/>
          <w:szCs w:val="24"/>
        </w:rPr>
        <w:t xml:space="preserve">4. </w:t>
      </w:r>
      <w:r w:rsidRPr="00AE47C6">
        <w:rPr>
          <w:rFonts w:ascii="Times New Roman" w:eastAsia="SimSun" w:hAnsi="Times New Roman"/>
          <w:b/>
          <w:bCs/>
          <w:sz w:val="24"/>
          <w:szCs w:val="24"/>
          <w:u w:val="single"/>
        </w:rPr>
        <w:t xml:space="preserve">Епилептични енцефалопатии и енцефалопатии на развитието – </w:t>
      </w:r>
      <w:r w:rsidRPr="00AE47C6">
        <w:rPr>
          <w:rFonts w:ascii="Times New Roman" w:eastAsia="SimSun" w:hAnsi="Times New Roman"/>
          <w:bCs/>
          <w:sz w:val="24"/>
          <w:szCs w:val="24"/>
        </w:rPr>
        <w:t>етиология -  структурни/метаболитни и генетични причини (Таблица 11.5) (Specchio N, Curatolo P. Developmental and epileptic encephalopathies: what we do and do not know. Brain. 2021;144(1):32-43).</w:t>
      </w:r>
    </w:p>
    <w:p w14:paraId="310A9A18" w14:textId="77777777" w:rsidR="00BE0B19" w:rsidRPr="00AE47C6" w:rsidRDefault="00BE0B19" w:rsidP="00BE0B19">
      <w:pPr>
        <w:spacing w:after="0" w:line="360" w:lineRule="auto"/>
        <w:ind w:firstLine="567"/>
        <w:jc w:val="both"/>
        <w:rPr>
          <w:rFonts w:ascii="Times New Roman" w:eastAsia="SimSun" w:hAnsi="Times New Roman"/>
          <w:bCs/>
          <w:sz w:val="24"/>
          <w:szCs w:val="24"/>
        </w:rPr>
      </w:pPr>
      <w:r w:rsidRPr="00AE47C6">
        <w:rPr>
          <w:rFonts w:ascii="Times New Roman" w:eastAsia="SimSun" w:hAnsi="Times New Roman"/>
          <w:b/>
          <w:bCs/>
          <w:i/>
          <w:sz w:val="24"/>
          <w:szCs w:val="24"/>
        </w:rPr>
        <w:t>Енцефалопатии на развитието:</w:t>
      </w:r>
      <w:r w:rsidRPr="00AE47C6">
        <w:rPr>
          <w:rFonts w:ascii="Times New Roman" w:eastAsia="SimSun" w:hAnsi="Times New Roman"/>
          <w:b/>
          <w:bCs/>
          <w:sz w:val="24"/>
          <w:szCs w:val="24"/>
        </w:rPr>
        <w:t xml:space="preserve"> </w:t>
      </w:r>
      <w:r w:rsidRPr="00AE47C6">
        <w:rPr>
          <w:rFonts w:ascii="Times New Roman" w:eastAsia="SimSun" w:hAnsi="Times New Roman"/>
          <w:bCs/>
          <w:sz w:val="24"/>
          <w:szCs w:val="24"/>
        </w:rPr>
        <w:t>Характеризират се с:</w:t>
      </w:r>
    </w:p>
    <w:p w14:paraId="7EC65F50" w14:textId="77777777" w:rsidR="00BE0B19" w:rsidRPr="00AE47C6" w:rsidRDefault="00BE0B19" w:rsidP="00BE0B19">
      <w:pPr>
        <w:numPr>
          <w:ilvl w:val="0"/>
          <w:numId w:val="415"/>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Забавено нервно-психично развитие или интелектуален дефицит, обусловен  от непрогресираща мозъчна увреда, съчетано или не с епилепсия;</w:t>
      </w:r>
    </w:p>
    <w:p w14:paraId="1B4373AE" w14:textId="77777777" w:rsidR="00BE0B19" w:rsidRPr="00AE47C6" w:rsidRDefault="00BE0B19" w:rsidP="00BE0B19">
      <w:pPr>
        <w:numPr>
          <w:ilvl w:val="0"/>
          <w:numId w:val="415"/>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Неврокогнитивният и поведенчески дефицит остава, независимо от контролиране на епилепсията</w:t>
      </w:r>
    </w:p>
    <w:p w14:paraId="05B9982E" w14:textId="77777777" w:rsidR="00BE0B19" w:rsidRPr="00AE47C6" w:rsidRDefault="00BE0B19" w:rsidP="00BE0B19">
      <w:pPr>
        <w:spacing w:after="0" w:line="360" w:lineRule="auto"/>
        <w:ind w:firstLine="567"/>
        <w:jc w:val="both"/>
        <w:rPr>
          <w:rFonts w:ascii="Times New Roman" w:eastAsia="SimSun" w:hAnsi="Times New Roman"/>
          <w:bCs/>
          <w:sz w:val="24"/>
          <w:szCs w:val="24"/>
        </w:rPr>
      </w:pPr>
      <w:r w:rsidRPr="00AE47C6">
        <w:rPr>
          <w:rFonts w:ascii="Times New Roman" w:eastAsia="SimSun" w:hAnsi="Times New Roman"/>
          <w:b/>
          <w:bCs/>
          <w:i/>
          <w:sz w:val="24"/>
          <w:szCs w:val="24"/>
        </w:rPr>
        <w:t>Епилептични енцефалопатии</w:t>
      </w:r>
      <w:r w:rsidRPr="00AE47C6">
        <w:rPr>
          <w:rFonts w:ascii="Times New Roman" w:eastAsia="SimSun" w:hAnsi="Times New Roman"/>
          <w:b/>
          <w:bCs/>
          <w:sz w:val="24"/>
          <w:szCs w:val="24"/>
        </w:rPr>
        <w:t xml:space="preserve">- </w:t>
      </w:r>
      <w:r w:rsidRPr="00AE47C6">
        <w:rPr>
          <w:rFonts w:ascii="Times New Roman" w:eastAsia="SimSun" w:hAnsi="Times New Roman"/>
          <w:bCs/>
          <w:sz w:val="24"/>
          <w:szCs w:val="24"/>
        </w:rPr>
        <w:t>ранни инфантилни (синдром на Ohtahara, West, мигриращи фокални пристъпи, синдром на Dravet) и с  късно начало: синдром на Lennox-Gastaut.</w:t>
      </w:r>
      <w:r w:rsidRPr="00AE47C6">
        <w:rPr>
          <w:rFonts w:ascii="Times New Roman" w:eastAsia="SimSun" w:hAnsi="Times New Roman"/>
          <w:b/>
          <w:bCs/>
          <w:sz w:val="24"/>
          <w:szCs w:val="24"/>
        </w:rPr>
        <w:t xml:space="preserve"> </w:t>
      </w:r>
    </w:p>
    <w:p w14:paraId="3C0FD881" w14:textId="77777777" w:rsidR="00BE0B19" w:rsidRPr="00AE47C6" w:rsidRDefault="00BE0B19" w:rsidP="00BE0B19">
      <w:pPr>
        <w:numPr>
          <w:ilvl w:val="0"/>
          <w:numId w:val="416"/>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Непрекъснатата епилептична активност или честите епилептични пристъпи обуславят когнитивен регрес;</w:t>
      </w:r>
    </w:p>
    <w:p w14:paraId="46F1A4C1" w14:textId="77777777" w:rsidR="00BE0B19" w:rsidRPr="00AE47C6" w:rsidRDefault="00BE0B19" w:rsidP="00BE0B19">
      <w:pPr>
        <w:numPr>
          <w:ilvl w:val="0"/>
          <w:numId w:val="416"/>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Неврокогнитивните и поведенчески отклонения могат да се подобрят при контрол на епилептичните пристъпи редукция на интерикталната епилептична активност</w:t>
      </w:r>
    </w:p>
    <w:p w14:paraId="3F4A5C6D" w14:textId="77777777" w:rsidR="00BE0B19" w:rsidRPr="00AE47C6" w:rsidRDefault="00BE0B19" w:rsidP="00BE0B19">
      <w:pPr>
        <w:spacing w:after="0" w:line="360" w:lineRule="auto"/>
        <w:ind w:left="360"/>
        <w:jc w:val="both"/>
        <w:rPr>
          <w:rFonts w:ascii="Times New Roman" w:eastAsia="SimSun" w:hAnsi="Times New Roman"/>
          <w:bCs/>
          <w:sz w:val="24"/>
          <w:szCs w:val="24"/>
        </w:rPr>
      </w:pPr>
      <w:r w:rsidRPr="00AE47C6">
        <w:rPr>
          <w:rFonts w:ascii="Times New Roman" w:eastAsia="SimSun" w:hAnsi="Times New Roman"/>
          <w:b/>
          <w:bCs/>
          <w:i/>
          <w:sz w:val="24"/>
          <w:szCs w:val="24"/>
        </w:rPr>
        <w:t xml:space="preserve">Енцефалопатии на развитието и Епилептични енцефалопатии </w:t>
      </w:r>
      <w:r w:rsidRPr="00AE47C6">
        <w:rPr>
          <w:rFonts w:ascii="Times New Roman" w:eastAsia="SimSun" w:hAnsi="Times New Roman"/>
          <w:bCs/>
          <w:sz w:val="24"/>
          <w:szCs w:val="24"/>
        </w:rPr>
        <w:t xml:space="preserve">- когницията и поведението са увредени, независимо от началото на епилепсията, която е с висока честота и с епилептиформена активност; </w:t>
      </w:r>
    </w:p>
    <w:p w14:paraId="22C8930C" w14:textId="77777777" w:rsidR="00BE0B19" w:rsidRPr="00AE47C6" w:rsidRDefault="00BE0B19" w:rsidP="00BE0B19">
      <w:pPr>
        <w:numPr>
          <w:ilvl w:val="0"/>
          <w:numId w:val="416"/>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Когнитивните и поведенчески увреди остават, дори при овладяване на епилептичните пристъпи; може за има известно подобрение </w:t>
      </w:r>
    </w:p>
    <w:p w14:paraId="03BDF7D9"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Таблица 11. 5.</w:t>
      </w:r>
      <w:r w:rsidRPr="00AE47C6">
        <w:rPr>
          <w:rFonts w:ascii="Times New Roman" w:eastAsia="SimSun" w:hAnsi="Times New Roman"/>
          <w:bCs/>
          <w:sz w:val="24"/>
          <w:szCs w:val="24"/>
        </w:rPr>
        <w:t xml:space="preserve">  </w:t>
      </w:r>
      <w:r w:rsidRPr="00AE47C6">
        <w:rPr>
          <w:rFonts w:ascii="Times New Roman" w:eastAsia="SimSun" w:hAnsi="Times New Roman"/>
          <w:b/>
          <w:bCs/>
          <w:sz w:val="24"/>
          <w:szCs w:val="24"/>
        </w:rPr>
        <w:t>Енцефалопатии на развитието и епилептични енцефалопатии - най-чести генни дефекти</w:t>
      </w:r>
    </w:p>
    <w:p w14:paraId="29D9F40F" w14:textId="77777777" w:rsidR="00BE0B19" w:rsidRPr="00AE47C6" w:rsidRDefault="00BE0B19" w:rsidP="00BE0B19">
      <w:pPr>
        <w:spacing w:after="0" w:line="360" w:lineRule="auto"/>
        <w:ind w:left="720"/>
        <w:rPr>
          <w:rFonts w:ascii="Times New Roman" w:eastAsia="SimSun" w:hAnsi="Times New Roman"/>
          <w:bCs/>
          <w:szCs w:val="20"/>
        </w:rPr>
      </w:pPr>
    </w:p>
    <w:tbl>
      <w:tblPr>
        <w:tblStyle w:val="TableGrid2"/>
        <w:tblW w:w="0" w:type="auto"/>
        <w:tblLook w:val="04A0" w:firstRow="1" w:lastRow="0" w:firstColumn="1" w:lastColumn="0" w:noHBand="0" w:noVBand="1"/>
      </w:tblPr>
      <w:tblGrid>
        <w:gridCol w:w="1151"/>
        <w:gridCol w:w="1520"/>
        <w:gridCol w:w="1730"/>
        <w:gridCol w:w="1523"/>
        <w:gridCol w:w="1903"/>
        <w:gridCol w:w="1562"/>
      </w:tblGrid>
      <w:tr w:rsidR="00BE0B19" w:rsidRPr="00AE47C6" w14:paraId="4E9BE599" w14:textId="77777777" w:rsidTr="00AD72E5">
        <w:tc>
          <w:tcPr>
            <w:tcW w:w="1510" w:type="dxa"/>
            <w:vAlign w:val="bottom"/>
          </w:tcPr>
          <w:p w14:paraId="2974AE14" w14:textId="77777777" w:rsidR="00BE0B19" w:rsidRPr="00AE47C6" w:rsidRDefault="00BE0B19" w:rsidP="00BE0B19">
            <w:pPr>
              <w:spacing w:after="0" w:line="240" w:lineRule="auto"/>
              <w:rPr>
                <w:rFonts w:ascii="Times New Roman" w:hAnsi="Times New Roman"/>
                <w:b/>
                <w:sz w:val="24"/>
                <w:szCs w:val="24"/>
                <w:lang w:eastAsia="bg-BG"/>
              </w:rPr>
            </w:pPr>
            <w:r w:rsidRPr="00AE47C6">
              <w:rPr>
                <w:rFonts w:ascii="Times New Roman" w:hAnsi="Times New Roman"/>
                <w:b/>
                <w:bCs/>
                <w:kern w:val="24"/>
                <w:sz w:val="24"/>
                <w:szCs w:val="24"/>
                <w:lang w:eastAsia="bg-BG"/>
              </w:rPr>
              <w:t>Ген</w:t>
            </w:r>
          </w:p>
        </w:tc>
        <w:tc>
          <w:tcPr>
            <w:tcW w:w="1510" w:type="dxa"/>
            <w:vAlign w:val="bottom"/>
          </w:tcPr>
          <w:p w14:paraId="7C470BCE" w14:textId="77777777" w:rsidR="00BE0B19" w:rsidRPr="00AE47C6" w:rsidRDefault="00BE0B19" w:rsidP="00BE0B19">
            <w:pPr>
              <w:spacing w:after="0" w:line="312" w:lineRule="exact"/>
              <w:rPr>
                <w:rFonts w:ascii="Times New Roman" w:hAnsi="Times New Roman"/>
                <w:b/>
                <w:sz w:val="24"/>
                <w:szCs w:val="24"/>
                <w:lang w:eastAsia="bg-BG"/>
              </w:rPr>
            </w:pPr>
            <w:r w:rsidRPr="00AE47C6">
              <w:rPr>
                <w:rFonts w:ascii="Times New Roman" w:hAnsi="Times New Roman"/>
                <w:b/>
                <w:bCs/>
                <w:kern w:val="24"/>
                <w:sz w:val="24"/>
                <w:szCs w:val="24"/>
                <w:lang w:eastAsia="bg-BG"/>
              </w:rPr>
              <w:t>Протеин</w:t>
            </w:r>
          </w:p>
        </w:tc>
        <w:tc>
          <w:tcPr>
            <w:tcW w:w="1510" w:type="dxa"/>
            <w:vAlign w:val="bottom"/>
          </w:tcPr>
          <w:p w14:paraId="4C9CD62C" w14:textId="77777777" w:rsidR="00BE0B19" w:rsidRPr="00AE47C6" w:rsidRDefault="00BE0B19" w:rsidP="00BE0B19">
            <w:pPr>
              <w:spacing w:after="0" w:line="312" w:lineRule="exact"/>
              <w:rPr>
                <w:rFonts w:ascii="Times New Roman" w:hAnsi="Times New Roman"/>
                <w:b/>
                <w:sz w:val="24"/>
                <w:szCs w:val="24"/>
                <w:lang w:eastAsia="bg-BG"/>
              </w:rPr>
            </w:pPr>
            <w:r w:rsidRPr="00AE47C6">
              <w:rPr>
                <w:rFonts w:ascii="Times New Roman" w:hAnsi="Times New Roman"/>
                <w:b/>
                <w:bCs/>
                <w:kern w:val="24"/>
                <w:sz w:val="24"/>
                <w:szCs w:val="24"/>
                <w:lang w:eastAsia="bg-BG"/>
              </w:rPr>
              <w:t>Вид пристъпи</w:t>
            </w:r>
          </w:p>
        </w:tc>
        <w:tc>
          <w:tcPr>
            <w:tcW w:w="1510" w:type="dxa"/>
            <w:vAlign w:val="bottom"/>
          </w:tcPr>
          <w:p w14:paraId="37D12509" w14:textId="77777777" w:rsidR="00BE0B19" w:rsidRPr="00AE47C6" w:rsidRDefault="00BE0B19" w:rsidP="00BE0B19">
            <w:pPr>
              <w:spacing w:after="0" w:line="312" w:lineRule="exact"/>
              <w:rPr>
                <w:rFonts w:ascii="Times New Roman" w:hAnsi="Times New Roman"/>
                <w:b/>
                <w:sz w:val="24"/>
                <w:szCs w:val="24"/>
                <w:lang w:eastAsia="bg-BG"/>
              </w:rPr>
            </w:pPr>
            <w:r w:rsidRPr="00AE47C6">
              <w:rPr>
                <w:rFonts w:ascii="Times New Roman" w:hAnsi="Times New Roman"/>
                <w:b/>
                <w:bCs/>
                <w:kern w:val="24"/>
                <w:sz w:val="24"/>
                <w:szCs w:val="24"/>
                <w:lang w:eastAsia="bg-BG"/>
              </w:rPr>
              <w:t>Синдром</w:t>
            </w:r>
          </w:p>
        </w:tc>
        <w:tc>
          <w:tcPr>
            <w:tcW w:w="1511" w:type="dxa"/>
            <w:vAlign w:val="bottom"/>
          </w:tcPr>
          <w:p w14:paraId="6D8695F2" w14:textId="77777777" w:rsidR="00BE0B19" w:rsidRPr="00AE47C6" w:rsidRDefault="00BE0B19" w:rsidP="00BE0B19">
            <w:pPr>
              <w:spacing w:after="0" w:line="312" w:lineRule="exact"/>
              <w:rPr>
                <w:rFonts w:ascii="Times New Roman" w:hAnsi="Times New Roman"/>
                <w:b/>
                <w:sz w:val="24"/>
                <w:szCs w:val="24"/>
                <w:lang w:eastAsia="bg-BG"/>
              </w:rPr>
            </w:pPr>
            <w:r w:rsidRPr="00AE47C6">
              <w:rPr>
                <w:rFonts w:ascii="Times New Roman" w:hAnsi="Times New Roman"/>
                <w:b/>
                <w:bCs/>
                <w:kern w:val="24"/>
                <w:sz w:val="24"/>
                <w:szCs w:val="24"/>
                <w:lang w:eastAsia="bg-BG"/>
              </w:rPr>
              <w:t>DEE характеристика</w:t>
            </w:r>
          </w:p>
        </w:tc>
        <w:tc>
          <w:tcPr>
            <w:tcW w:w="1511" w:type="dxa"/>
            <w:vAlign w:val="bottom"/>
          </w:tcPr>
          <w:p w14:paraId="5F335049" w14:textId="77777777" w:rsidR="00BE0B19" w:rsidRPr="00AE47C6" w:rsidRDefault="00BE0B19" w:rsidP="00BE0B19">
            <w:pPr>
              <w:spacing w:after="0" w:line="312" w:lineRule="exact"/>
              <w:rPr>
                <w:rFonts w:ascii="Times New Roman" w:hAnsi="Times New Roman"/>
                <w:b/>
                <w:sz w:val="24"/>
                <w:szCs w:val="24"/>
                <w:lang w:eastAsia="bg-BG"/>
              </w:rPr>
            </w:pPr>
            <w:r w:rsidRPr="00AE47C6">
              <w:rPr>
                <w:rFonts w:ascii="Times New Roman" w:hAnsi="Times New Roman"/>
                <w:b/>
                <w:bCs/>
                <w:kern w:val="24"/>
                <w:sz w:val="24"/>
                <w:szCs w:val="24"/>
                <w:lang w:eastAsia="bg-BG"/>
              </w:rPr>
              <w:t>АГЛ отговор</w:t>
            </w:r>
          </w:p>
        </w:tc>
      </w:tr>
      <w:tr w:rsidR="00BE0B19" w:rsidRPr="00AE47C6" w14:paraId="1C85E07B" w14:textId="77777777" w:rsidTr="00AD72E5">
        <w:tc>
          <w:tcPr>
            <w:tcW w:w="1510" w:type="dxa"/>
          </w:tcPr>
          <w:p w14:paraId="4DC3F9B2"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i/>
                <w:iCs/>
                <w:kern w:val="24"/>
                <w:sz w:val="24"/>
                <w:szCs w:val="24"/>
                <w:lang w:eastAsia="bg-BG"/>
              </w:rPr>
              <w:t>CDKL5</w:t>
            </w:r>
            <w:r w:rsidRPr="00AE47C6">
              <w:rPr>
                <w:rFonts w:ascii="Times New Roman" w:hAnsi="Times New Roman"/>
                <w:b/>
                <w:bCs/>
                <w:kern w:val="24"/>
                <w:sz w:val="24"/>
                <w:szCs w:val="24"/>
                <w:lang w:eastAsia="bg-BG"/>
              </w:rPr>
              <w:t> </w:t>
            </w:r>
          </w:p>
        </w:tc>
        <w:tc>
          <w:tcPr>
            <w:tcW w:w="1510" w:type="dxa"/>
          </w:tcPr>
          <w:p w14:paraId="724EF6B4"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kern w:val="24"/>
                <w:sz w:val="24"/>
                <w:szCs w:val="24"/>
                <w:lang w:eastAsia="bg-BG"/>
              </w:rPr>
              <w:t>Kinase </w:t>
            </w:r>
          </w:p>
        </w:tc>
        <w:tc>
          <w:tcPr>
            <w:tcW w:w="1510" w:type="dxa"/>
          </w:tcPr>
          <w:p w14:paraId="5A5B5DD0"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Спазми, миоклонии</w:t>
            </w:r>
          </w:p>
          <w:p w14:paraId="7E2AC94E"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 xml:space="preserve">Тонични, тонично-клонични </w:t>
            </w:r>
          </w:p>
        </w:tc>
        <w:tc>
          <w:tcPr>
            <w:tcW w:w="1510" w:type="dxa"/>
          </w:tcPr>
          <w:p w14:paraId="4A799FE2"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CDD </w:t>
            </w:r>
          </w:p>
        </w:tc>
        <w:tc>
          <w:tcPr>
            <w:tcW w:w="1511" w:type="dxa"/>
          </w:tcPr>
          <w:p w14:paraId="36F78655"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 xml:space="preserve">Умствен дефицит, двигателен дефицит </w:t>
            </w:r>
          </w:p>
        </w:tc>
        <w:tc>
          <w:tcPr>
            <w:tcW w:w="1511" w:type="dxa"/>
          </w:tcPr>
          <w:p w14:paraId="50E92D90"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Резистентна </w:t>
            </w:r>
          </w:p>
        </w:tc>
      </w:tr>
      <w:tr w:rsidR="00BE0B19" w:rsidRPr="00AE47C6" w14:paraId="6D297D04" w14:textId="77777777" w:rsidTr="00AD72E5">
        <w:tc>
          <w:tcPr>
            <w:tcW w:w="1510" w:type="dxa"/>
          </w:tcPr>
          <w:p w14:paraId="57018920"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i/>
                <w:iCs/>
                <w:kern w:val="24"/>
                <w:sz w:val="24"/>
                <w:szCs w:val="24"/>
                <w:lang w:eastAsia="bg-BG"/>
              </w:rPr>
              <w:t>SCN1A</w:t>
            </w:r>
            <w:r w:rsidRPr="00AE47C6">
              <w:rPr>
                <w:rFonts w:ascii="Times New Roman" w:hAnsi="Times New Roman"/>
                <w:b/>
                <w:bCs/>
                <w:kern w:val="24"/>
                <w:sz w:val="24"/>
                <w:szCs w:val="24"/>
                <w:lang w:eastAsia="bg-BG"/>
              </w:rPr>
              <w:t> </w:t>
            </w:r>
          </w:p>
        </w:tc>
        <w:tc>
          <w:tcPr>
            <w:tcW w:w="1510" w:type="dxa"/>
          </w:tcPr>
          <w:p w14:paraId="70F68489"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kern w:val="24"/>
                <w:sz w:val="24"/>
                <w:szCs w:val="24"/>
                <w:lang w:eastAsia="bg-BG"/>
              </w:rPr>
              <w:t>Na</w:t>
            </w:r>
            <w:r w:rsidRPr="00AE47C6">
              <w:rPr>
                <w:rFonts w:ascii="Times New Roman" w:hAnsi="Times New Roman"/>
                <w:kern w:val="24"/>
                <w:position w:val="12"/>
                <w:sz w:val="24"/>
                <w:szCs w:val="24"/>
                <w:vertAlign w:val="superscript"/>
                <w:lang w:eastAsia="bg-BG"/>
              </w:rPr>
              <w:t>+</w:t>
            </w:r>
            <w:r w:rsidRPr="00AE47C6">
              <w:rPr>
                <w:rFonts w:ascii="Times New Roman" w:hAnsi="Times New Roman"/>
                <w:kern w:val="24"/>
                <w:sz w:val="24"/>
                <w:szCs w:val="24"/>
                <w:lang w:eastAsia="bg-BG"/>
              </w:rPr>
              <w:t> channel: Na</w:t>
            </w:r>
            <w:r w:rsidRPr="00AE47C6">
              <w:rPr>
                <w:rFonts w:ascii="Times New Roman" w:hAnsi="Times New Roman"/>
                <w:kern w:val="24"/>
                <w:position w:val="-10"/>
                <w:sz w:val="24"/>
                <w:szCs w:val="24"/>
                <w:vertAlign w:val="subscript"/>
                <w:lang w:eastAsia="bg-BG"/>
              </w:rPr>
              <w:t>v</w:t>
            </w:r>
            <w:r w:rsidRPr="00AE47C6">
              <w:rPr>
                <w:rFonts w:ascii="Times New Roman" w:hAnsi="Times New Roman"/>
                <w:kern w:val="24"/>
                <w:sz w:val="24"/>
                <w:szCs w:val="24"/>
                <w:lang w:eastAsia="bg-BG"/>
              </w:rPr>
              <w:t>1.1 </w:t>
            </w:r>
          </w:p>
        </w:tc>
        <w:tc>
          <w:tcPr>
            <w:tcW w:w="1510" w:type="dxa"/>
          </w:tcPr>
          <w:p w14:paraId="3C477BE6"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Различен, типични ГТКП при То </w:t>
            </w:r>
          </w:p>
        </w:tc>
        <w:tc>
          <w:tcPr>
            <w:tcW w:w="1510" w:type="dxa"/>
          </w:tcPr>
          <w:p w14:paraId="1D68F169"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Dravet, GEFS+, ранна инфантилна EE (West)</w:t>
            </w:r>
          </w:p>
        </w:tc>
        <w:tc>
          <w:tcPr>
            <w:tcW w:w="1511" w:type="dxa"/>
          </w:tcPr>
          <w:p w14:paraId="5E020E3A"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 xml:space="preserve">Dravet , умствен дефицит, забавено НПР </w:t>
            </w:r>
          </w:p>
        </w:tc>
        <w:tc>
          <w:tcPr>
            <w:tcW w:w="1511" w:type="dxa"/>
          </w:tcPr>
          <w:p w14:paraId="0FE8B30C"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Na</w:t>
            </w:r>
            <w:r w:rsidRPr="00AE47C6">
              <w:rPr>
                <w:rFonts w:ascii="Times New Roman" w:hAnsi="Times New Roman"/>
                <w:b/>
                <w:bCs/>
                <w:kern w:val="24"/>
                <w:position w:val="13"/>
                <w:sz w:val="24"/>
                <w:szCs w:val="24"/>
                <w:vertAlign w:val="superscript"/>
                <w:lang w:eastAsia="bg-BG"/>
              </w:rPr>
              <w:t>+</w:t>
            </w:r>
            <w:r w:rsidRPr="00AE47C6">
              <w:rPr>
                <w:rFonts w:ascii="Times New Roman" w:hAnsi="Times New Roman"/>
                <w:b/>
                <w:bCs/>
                <w:kern w:val="24"/>
                <w:sz w:val="24"/>
                <w:szCs w:val="24"/>
                <w:lang w:eastAsia="bg-BG"/>
              </w:rPr>
              <w:t> канални агонисти-влошават</w:t>
            </w:r>
          </w:p>
        </w:tc>
      </w:tr>
      <w:tr w:rsidR="00BE0B19" w:rsidRPr="00AE47C6" w14:paraId="35448C8E" w14:textId="77777777" w:rsidTr="00AD72E5">
        <w:tc>
          <w:tcPr>
            <w:tcW w:w="1510" w:type="dxa"/>
          </w:tcPr>
          <w:p w14:paraId="6BAE025A"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i/>
                <w:iCs/>
                <w:kern w:val="24"/>
                <w:sz w:val="24"/>
                <w:szCs w:val="24"/>
                <w:lang w:eastAsia="bg-BG"/>
              </w:rPr>
              <w:t xml:space="preserve">KCNQ2  </w:t>
            </w:r>
            <w:r w:rsidRPr="00AE47C6">
              <w:rPr>
                <w:rFonts w:ascii="Times New Roman" w:hAnsi="Times New Roman"/>
                <w:b/>
                <w:bCs/>
                <w:kern w:val="24"/>
                <w:sz w:val="24"/>
                <w:szCs w:val="24"/>
                <w:lang w:eastAsia="bg-BG"/>
              </w:rPr>
              <w:t>/</w:t>
            </w:r>
            <w:r w:rsidRPr="00AE47C6">
              <w:rPr>
                <w:rFonts w:ascii="Times New Roman" w:hAnsi="Times New Roman"/>
                <w:b/>
                <w:bCs/>
                <w:i/>
                <w:iCs/>
                <w:kern w:val="24"/>
                <w:sz w:val="24"/>
                <w:szCs w:val="24"/>
                <w:lang w:eastAsia="bg-BG"/>
              </w:rPr>
              <w:t>KCNQ3</w:t>
            </w:r>
            <w:r w:rsidRPr="00AE47C6">
              <w:rPr>
                <w:rFonts w:ascii="Times New Roman" w:hAnsi="Times New Roman"/>
                <w:b/>
                <w:bCs/>
                <w:kern w:val="24"/>
                <w:sz w:val="24"/>
                <w:szCs w:val="24"/>
                <w:lang w:eastAsia="bg-BG"/>
              </w:rPr>
              <w:t> </w:t>
            </w:r>
          </w:p>
        </w:tc>
        <w:tc>
          <w:tcPr>
            <w:tcW w:w="1510" w:type="dxa"/>
          </w:tcPr>
          <w:p w14:paraId="0D9D394C"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kern w:val="24"/>
                <w:sz w:val="24"/>
                <w:szCs w:val="24"/>
                <w:lang w:eastAsia="bg-BG"/>
              </w:rPr>
              <w:t>K</w:t>
            </w:r>
            <w:r w:rsidRPr="00AE47C6">
              <w:rPr>
                <w:rFonts w:ascii="Times New Roman" w:hAnsi="Times New Roman"/>
                <w:kern w:val="24"/>
                <w:position w:val="12"/>
                <w:sz w:val="24"/>
                <w:szCs w:val="24"/>
                <w:vertAlign w:val="superscript"/>
                <w:lang w:eastAsia="bg-BG"/>
              </w:rPr>
              <w:t>+</w:t>
            </w:r>
            <w:r w:rsidRPr="00AE47C6">
              <w:rPr>
                <w:rFonts w:ascii="Times New Roman" w:hAnsi="Times New Roman"/>
                <w:kern w:val="24"/>
                <w:sz w:val="24"/>
                <w:szCs w:val="24"/>
                <w:lang w:eastAsia="bg-BG"/>
              </w:rPr>
              <w:t> channels: K</w:t>
            </w:r>
            <w:r w:rsidRPr="00AE47C6">
              <w:rPr>
                <w:rFonts w:ascii="Times New Roman" w:hAnsi="Times New Roman"/>
                <w:kern w:val="24"/>
                <w:position w:val="-10"/>
                <w:sz w:val="24"/>
                <w:szCs w:val="24"/>
                <w:vertAlign w:val="subscript"/>
                <w:lang w:eastAsia="bg-BG"/>
              </w:rPr>
              <w:t>v</w:t>
            </w:r>
            <w:r w:rsidRPr="00AE47C6">
              <w:rPr>
                <w:rFonts w:ascii="Times New Roman" w:hAnsi="Times New Roman"/>
                <w:kern w:val="24"/>
                <w:sz w:val="24"/>
                <w:szCs w:val="24"/>
                <w:lang w:eastAsia="bg-BG"/>
              </w:rPr>
              <w:t>7.2, K</w:t>
            </w:r>
            <w:r w:rsidRPr="00AE47C6">
              <w:rPr>
                <w:rFonts w:ascii="Times New Roman" w:hAnsi="Times New Roman"/>
                <w:kern w:val="24"/>
                <w:position w:val="-10"/>
                <w:sz w:val="24"/>
                <w:szCs w:val="24"/>
                <w:vertAlign w:val="subscript"/>
                <w:lang w:eastAsia="bg-BG"/>
              </w:rPr>
              <w:t>v</w:t>
            </w:r>
            <w:r w:rsidRPr="00AE47C6">
              <w:rPr>
                <w:rFonts w:ascii="Times New Roman" w:hAnsi="Times New Roman"/>
                <w:kern w:val="24"/>
                <w:sz w:val="24"/>
                <w:szCs w:val="24"/>
                <w:lang w:eastAsia="bg-BG"/>
              </w:rPr>
              <w:t>7.3 </w:t>
            </w:r>
          </w:p>
        </w:tc>
        <w:tc>
          <w:tcPr>
            <w:tcW w:w="1510" w:type="dxa"/>
          </w:tcPr>
          <w:p w14:paraId="63ABE329"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Различни</w:t>
            </w:r>
          </w:p>
          <w:p w14:paraId="543691D5"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Типични фокални към ВГТКП </w:t>
            </w:r>
          </w:p>
        </w:tc>
        <w:tc>
          <w:tcPr>
            <w:tcW w:w="1510" w:type="dxa"/>
          </w:tcPr>
          <w:p w14:paraId="4C856E79"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Ohtahara-, BFNE </w:t>
            </w:r>
          </w:p>
        </w:tc>
        <w:tc>
          <w:tcPr>
            <w:tcW w:w="1511" w:type="dxa"/>
          </w:tcPr>
          <w:p w14:paraId="35EBE67C"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Умствен дефицит </w:t>
            </w:r>
          </w:p>
        </w:tc>
        <w:tc>
          <w:tcPr>
            <w:tcW w:w="1511" w:type="dxa"/>
          </w:tcPr>
          <w:p w14:paraId="35F5E44F"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Variable ± отговор към Ретигабин (</w:t>
            </w:r>
          </w:p>
        </w:tc>
      </w:tr>
      <w:tr w:rsidR="00BE0B19" w:rsidRPr="00AE47C6" w14:paraId="0D95A398" w14:textId="77777777" w:rsidTr="00AD72E5">
        <w:tc>
          <w:tcPr>
            <w:tcW w:w="1510" w:type="dxa"/>
          </w:tcPr>
          <w:p w14:paraId="21D105F8"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i/>
                <w:iCs/>
                <w:kern w:val="24"/>
                <w:sz w:val="24"/>
                <w:szCs w:val="24"/>
                <w:lang w:eastAsia="bg-BG"/>
              </w:rPr>
              <w:t>PCDH19</w:t>
            </w:r>
            <w:r w:rsidRPr="00AE47C6">
              <w:rPr>
                <w:rFonts w:ascii="Times New Roman" w:hAnsi="Times New Roman"/>
                <w:b/>
                <w:bCs/>
                <w:kern w:val="24"/>
                <w:sz w:val="24"/>
                <w:szCs w:val="24"/>
                <w:lang w:eastAsia="bg-BG"/>
              </w:rPr>
              <w:t> </w:t>
            </w:r>
          </w:p>
        </w:tc>
        <w:tc>
          <w:tcPr>
            <w:tcW w:w="1510" w:type="dxa"/>
          </w:tcPr>
          <w:p w14:paraId="6ADEC186"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kern w:val="24"/>
                <w:sz w:val="24"/>
                <w:szCs w:val="24"/>
                <w:lang w:eastAsia="bg-BG"/>
              </w:rPr>
              <w:t>Protocadherin 19 </w:t>
            </w:r>
          </w:p>
        </w:tc>
        <w:tc>
          <w:tcPr>
            <w:tcW w:w="1510" w:type="dxa"/>
          </w:tcPr>
          <w:p w14:paraId="7EB327FD"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Фокални, провокация от То</w:t>
            </w:r>
          </w:p>
        </w:tc>
        <w:tc>
          <w:tcPr>
            <w:tcW w:w="1510" w:type="dxa"/>
          </w:tcPr>
          <w:p w14:paraId="3A120DEC"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 </w:t>
            </w:r>
          </w:p>
        </w:tc>
        <w:tc>
          <w:tcPr>
            <w:tcW w:w="1511" w:type="dxa"/>
          </w:tcPr>
          <w:p w14:paraId="61ACD7B2"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Умствет дефицит, ASD </w:t>
            </w:r>
          </w:p>
        </w:tc>
        <w:tc>
          <w:tcPr>
            <w:tcW w:w="1511" w:type="dxa"/>
          </w:tcPr>
          <w:p w14:paraId="3EDBB403"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 </w:t>
            </w:r>
          </w:p>
        </w:tc>
      </w:tr>
      <w:tr w:rsidR="00BE0B19" w:rsidRPr="00AE47C6" w14:paraId="13838707" w14:textId="77777777" w:rsidTr="00AD72E5">
        <w:tc>
          <w:tcPr>
            <w:tcW w:w="1510" w:type="dxa"/>
          </w:tcPr>
          <w:p w14:paraId="40B1C327"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i/>
                <w:iCs/>
                <w:kern w:val="24"/>
                <w:sz w:val="24"/>
                <w:szCs w:val="24"/>
                <w:lang w:eastAsia="bg-BG"/>
              </w:rPr>
              <w:t>SCN2A</w:t>
            </w:r>
            <w:r w:rsidRPr="00AE47C6">
              <w:rPr>
                <w:rFonts w:ascii="Times New Roman" w:hAnsi="Times New Roman"/>
                <w:b/>
                <w:bCs/>
                <w:kern w:val="24"/>
                <w:sz w:val="24"/>
                <w:szCs w:val="24"/>
                <w:lang w:eastAsia="bg-BG"/>
              </w:rPr>
              <w:t> </w:t>
            </w:r>
          </w:p>
        </w:tc>
        <w:tc>
          <w:tcPr>
            <w:tcW w:w="1510" w:type="dxa"/>
          </w:tcPr>
          <w:p w14:paraId="7E988D33"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kern w:val="24"/>
                <w:sz w:val="24"/>
                <w:szCs w:val="24"/>
                <w:lang w:eastAsia="bg-BG"/>
              </w:rPr>
              <w:t>Na</w:t>
            </w:r>
            <w:r w:rsidRPr="00AE47C6">
              <w:rPr>
                <w:rFonts w:ascii="Times New Roman" w:hAnsi="Times New Roman"/>
                <w:kern w:val="24"/>
                <w:position w:val="12"/>
                <w:sz w:val="24"/>
                <w:szCs w:val="24"/>
                <w:vertAlign w:val="superscript"/>
                <w:lang w:eastAsia="bg-BG"/>
              </w:rPr>
              <w:t>+</w:t>
            </w:r>
            <w:r w:rsidRPr="00AE47C6">
              <w:rPr>
                <w:rFonts w:ascii="Times New Roman" w:hAnsi="Times New Roman"/>
                <w:kern w:val="24"/>
                <w:sz w:val="24"/>
                <w:szCs w:val="24"/>
                <w:lang w:eastAsia="bg-BG"/>
              </w:rPr>
              <w:t> channel: Na</w:t>
            </w:r>
            <w:r w:rsidRPr="00AE47C6">
              <w:rPr>
                <w:rFonts w:ascii="Times New Roman" w:hAnsi="Times New Roman"/>
                <w:kern w:val="24"/>
                <w:position w:val="-10"/>
                <w:sz w:val="24"/>
                <w:szCs w:val="24"/>
                <w:vertAlign w:val="subscript"/>
                <w:lang w:eastAsia="bg-BG"/>
              </w:rPr>
              <w:t>v</w:t>
            </w:r>
            <w:r w:rsidRPr="00AE47C6">
              <w:rPr>
                <w:rFonts w:ascii="Times New Roman" w:hAnsi="Times New Roman"/>
                <w:kern w:val="24"/>
                <w:sz w:val="24"/>
                <w:szCs w:val="24"/>
                <w:lang w:eastAsia="bg-BG"/>
              </w:rPr>
              <w:t>1.2 </w:t>
            </w:r>
          </w:p>
        </w:tc>
        <w:tc>
          <w:tcPr>
            <w:tcW w:w="1510" w:type="dxa"/>
          </w:tcPr>
          <w:p w14:paraId="3D6DDC28"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Различни-, фокални, миоклонични, атонични </w:t>
            </w:r>
          </w:p>
        </w:tc>
        <w:tc>
          <w:tcPr>
            <w:tcW w:w="1510" w:type="dxa"/>
          </w:tcPr>
          <w:p w14:paraId="3AA3C379"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West, Ohtahara, Lennox-Gastaut, рядко BFNE </w:t>
            </w:r>
          </w:p>
        </w:tc>
        <w:tc>
          <w:tcPr>
            <w:tcW w:w="1511" w:type="dxa"/>
          </w:tcPr>
          <w:p w14:paraId="378EC3BC"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Умствен дефицит, забавено НПР, ASD </w:t>
            </w:r>
          </w:p>
        </w:tc>
        <w:tc>
          <w:tcPr>
            <w:tcW w:w="1511" w:type="dxa"/>
          </w:tcPr>
          <w:p w14:paraId="7AF7E7C6"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Na</w:t>
            </w:r>
            <w:r w:rsidRPr="00AE47C6">
              <w:rPr>
                <w:rFonts w:ascii="Times New Roman" w:hAnsi="Times New Roman"/>
                <w:b/>
                <w:bCs/>
                <w:kern w:val="24"/>
                <w:position w:val="13"/>
                <w:sz w:val="24"/>
                <w:szCs w:val="24"/>
                <w:vertAlign w:val="superscript"/>
                <w:lang w:eastAsia="bg-BG"/>
              </w:rPr>
              <w:t>+</w:t>
            </w:r>
            <w:r w:rsidRPr="00AE47C6">
              <w:rPr>
                <w:rFonts w:ascii="Times New Roman" w:hAnsi="Times New Roman"/>
                <w:b/>
                <w:bCs/>
                <w:kern w:val="24"/>
                <w:sz w:val="24"/>
                <w:szCs w:val="24"/>
                <w:lang w:eastAsia="bg-BG"/>
              </w:rPr>
              <w:t xml:space="preserve"> канални антагонисти подобряват или влошават </w:t>
            </w:r>
          </w:p>
        </w:tc>
      </w:tr>
      <w:tr w:rsidR="00BE0B19" w:rsidRPr="00AE47C6" w14:paraId="0834D6BB" w14:textId="77777777" w:rsidTr="00AD72E5">
        <w:tc>
          <w:tcPr>
            <w:tcW w:w="1510" w:type="dxa"/>
          </w:tcPr>
          <w:p w14:paraId="37DFC0D4"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i/>
                <w:iCs/>
                <w:kern w:val="24"/>
                <w:sz w:val="24"/>
                <w:szCs w:val="24"/>
                <w:lang w:eastAsia="bg-BG"/>
              </w:rPr>
              <w:t>SCN8A</w:t>
            </w:r>
            <w:r w:rsidRPr="00AE47C6">
              <w:rPr>
                <w:rFonts w:ascii="Times New Roman" w:hAnsi="Times New Roman"/>
                <w:b/>
                <w:bCs/>
                <w:kern w:val="24"/>
                <w:sz w:val="24"/>
                <w:szCs w:val="24"/>
                <w:lang w:eastAsia="bg-BG"/>
              </w:rPr>
              <w:t> </w:t>
            </w:r>
          </w:p>
        </w:tc>
        <w:tc>
          <w:tcPr>
            <w:tcW w:w="1510" w:type="dxa"/>
          </w:tcPr>
          <w:p w14:paraId="1DF56214"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kern w:val="24"/>
                <w:sz w:val="24"/>
                <w:szCs w:val="24"/>
                <w:lang w:eastAsia="bg-BG"/>
              </w:rPr>
              <w:t>Na</w:t>
            </w:r>
            <w:r w:rsidRPr="00AE47C6">
              <w:rPr>
                <w:rFonts w:ascii="Times New Roman" w:hAnsi="Times New Roman"/>
                <w:kern w:val="24"/>
                <w:position w:val="12"/>
                <w:sz w:val="24"/>
                <w:szCs w:val="24"/>
                <w:vertAlign w:val="superscript"/>
                <w:lang w:eastAsia="bg-BG"/>
              </w:rPr>
              <w:t>+</w:t>
            </w:r>
            <w:r w:rsidRPr="00AE47C6">
              <w:rPr>
                <w:rFonts w:ascii="Times New Roman" w:hAnsi="Times New Roman"/>
                <w:kern w:val="24"/>
                <w:sz w:val="24"/>
                <w:szCs w:val="24"/>
                <w:lang w:eastAsia="bg-BG"/>
              </w:rPr>
              <w:t> channel: Na</w:t>
            </w:r>
            <w:r w:rsidRPr="00AE47C6">
              <w:rPr>
                <w:rFonts w:ascii="Times New Roman" w:hAnsi="Times New Roman"/>
                <w:kern w:val="24"/>
                <w:position w:val="-10"/>
                <w:sz w:val="24"/>
                <w:szCs w:val="24"/>
                <w:vertAlign w:val="subscript"/>
                <w:lang w:eastAsia="bg-BG"/>
              </w:rPr>
              <w:t>v</w:t>
            </w:r>
            <w:r w:rsidRPr="00AE47C6">
              <w:rPr>
                <w:rFonts w:ascii="Times New Roman" w:hAnsi="Times New Roman"/>
                <w:kern w:val="24"/>
                <w:sz w:val="24"/>
                <w:szCs w:val="24"/>
                <w:lang w:eastAsia="bg-BG"/>
              </w:rPr>
              <w:t>1.6 </w:t>
            </w:r>
          </w:p>
        </w:tc>
        <w:tc>
          <w:tcPr>
            <w:tcW w:w="1510" w:type="dxa"/>
          </w:tcPr>
          <w:p w14:paraId="69C063AB"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Различно фокални, ГТКП, спазми, миоклонии, абсанси</w:t>
            </w:r>
          </w:p>
        </w:tc>
        <w:tc>
          <w:tcPr>
            <w:tcW w:w="1510" w:type="dxa"/>
          </w:tcPr>
          <w:p w14:paraId="14BC7F20"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West, Lennox-Gastaut, и др </w:t>
            </w:r>
          </w:p>
        </w:tc>
        <w:tc>
          <w:tcPr>
            <w:tcW w:w="1511" w:type="dxa"/>
          </w:tcPr>
          <w:p w14:paraId="1E65A699"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Умствен дефицит, забавено НПР</w:t>
            </w:r>
          </w:p>
        </w:tc>
        <w:tc>
          <w:tcPr>
            <w:tcW w:w="1511" w:type="dxa"/>
          </w:tcPr>
          <w:p w14:paraId="3CB5095C" w14:textId="77777777" w:rsidR="00BE0B19" w:rsidRPr="00AE47C6" w:rsidRDefault="00BE0B19" w:rsidP="00BE0B19">
            <w:pPr>
              <w:spacing w:after="0" w:line="240" w:lineRule="auto"/>
              <w:rPr>
                <w:rFonts w:ascii="Times New Roman" w:hAnsi="Times New Roman"/>
                <w:sz w:val="24"/>
                <w:szCs w:val="24"/>
                <w:lang w:eastAsia="bg-BG"/>
              </w:rPr>
            </w:pPr>
            <w:r w:rsidRPr="00AE47C6">
              <w:rPr>
                <w:rFonts w:ascii="Times New Roman" w:hAnsi="Times New Roman"/>
                <w:b/>
                <w:bCs/>
                <w:kern w:val="24"/>
                <w:sz w:val="24"/>
                <w:szCs w:val="24"/>
                <w:lang w:eastAsia="bg-BG"/>
              </w:rPr>
              <w:t>Отговор  към Na</w:t>
            </w:r>
            <w:r w:rsidRPr="00AE47C6">
              <w:rPr>
                <w:rFonts w:ascii="Times New Roman" w:hAnsi="Times New Roman"/>
                <w:b/>
                <w:bCs/>
                <w:kern w:val="24"/>
                <w:position w:val="13"/>
                <w:sz w:val="24"/>
                <w:szCs w:val="24"/>
                <w:vertAlign w:val="superscript"/>
                <w:lang w:eastAsia="bg-BG"/>
              </w:rPr>
              <w:t>+</w:t>
            </w:r>
            <w:r w:rsidRPr="00AE47C6">
              <w:rPr>
                <w:rFonts w:ascii="Times New Roman" w:hAnsi="Times New Roman"/>
                <w:b/>
                <w:bCs/>
                <w:kern w:val="24"/>
                <w:sz w:val="24"/>
                <w:szCs w:val="24"/>
                <w:lang w:eastAsia="bg-BG"/>
              </w:rPr>
              <w:t xml:space="preserve"> канални антагонисти </w:t>
            </w:r>
          </w:p>
        </w:tc>
      </w:tr>
    </w:tbl>
    <w:p w14:paraId="6E1E8245" w14:textId="77777777" w:rsidR="00BE0B19" w:rsidRPr="00AE47C6" w:rsidRDefault="00BE0B19" w:rsidP="00BE0B19">
      <w:pPr>
        <w:spacing w:after="0" w:line="360" w:lineRule="auto"/>
        <w:jc w:val="center"/>
        <w:rPr>
          <w:rFonts w:ascii="Times New Roman" w:eastAsia="SimSun" w:hAnsi="Times New Roman"/>
          <w:b/>
          <w:bCs/>
          <w:sz w:val="24"/>
          <w:szCs w:val="24"/>
        </w:rPr>
      </w:pPr>
    </w:p>
    <w:p w14:paraId="23789611" w14:textId="77777777" w:rsidR="00BE0B19" w:rsidRPr="00AE47C6" w:rsidRDefault="00BE0B19" w:rsidP="00BE0B19">
      <w:pPr>
        <w:spacing w:after="0" w:line="360" w:lineRule="auto"/>
        <w:jc w:val="both"/>
        <w:rPr>
          <w:rFonts w:ascii="Times New Roman" w:eastAsia="SimSun" w:hAnsi="Times New Roman"/>
          <w:b/>
          <w:bCs/>
          <w:szCs w:val="20"/>
        </w:rPr>
      </w:pPr>
      <w:r w:rsidRPr="00AE47C6">
        <w:rPr>
          <w:rFonts w:ascii="Times New Roman" w:eastAsia="SimSun" w:hAnsi="Times New Roman"/>
          <w:b/>
          <w:bCs/>
          <w:sz w:val="24"/>
          <w:szCs w:val="24"/>
        </w:rPr>
        <w:t>Синдром с епилептични инфантилни спазми</w:t>
      </w:r>
      <w:r w:rsidRPr="00AE47C6">
        <w:rPr>
          <w:rFonts w:ascii="Times New Roman" w:eastAsia="SimSun" w:hAnsi="Times New Roman"/>
          <w:b/>
          <w:bCs/>
          <w:szCs w:val="20"/>
        </w:rPr>
        <w:t xml:space="preserve"> </w:t>
      </w:r>
      <w:r w:rsidRPr="00AE47C6">
        <w:rPr>
          <w:rFonts w:ascii="Times New Roman" w:eastAsia="SimSun" w:hAnsi="Times New Roman"/>
          <w:b/>
          <w:bCs/>
          <w:sz w:val="24"/>
          <w:szCs w:val="24"/>
        </w:rPr>
        <w:t>(Синдром на West)</w:t>
      </w:r>
    </w:p>
    <w:p w14:paraId="6421CD89" w14:textId="77777777" w:rsidR="00BE0B19" w:rsidRPr="00AE47C6" w:rsidRDefault="00BE0B19" w:rsidP="00BE0B19">
      <w:pPr>
        <w:numPr>
          <w:ilvl w:val="0"/>
          <w:numId w:val="8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Начало - през първата година, най-често между 3 и 5 месеца. Честота 2-4/100 000. </w:t>
      </w:r>
    </w:p>
    <w:p w14:paraId="7FD6E5EB" w14:textId="77777777" w:rsidR="00BE0B19" w:rsidRPr="00AE47C6" w:rsidRDefault="00BE0B19" w:rsidP="00BE0B19">
      <w:pPr>
        <w:numPr>
          <w:ilvl w:val="0"/>
          <w:numId w:val="8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Етиология - криптогенен при 30%, симптоматичен при около 70% (дегенеративни, дизметаболитни разстройства, корови дисплазии, туберозна склероза, хипоксично-исхемична енцефалопатия, мозъчни кръвоизливи, инфекции, травми и т.н.).</w:t>
      </w:r>
    </w:p>
    <w:p w14:paraId="723F70D0" w14:textId="77777777" w:rsidR="00BE0B19" w:rsidRPr="00AE47C6" w:rsidRDefault="00BE0B19" w:rsidP="00BE0B19">
      <w:pPr>
        <w:numPr>
          <w:ilvl w:val="0"/>
          <w:numId w:val="8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Увредено нервно-психично развитие при 75% в началото (умствен и неврологичен дефицит).</w:t>
      </w:r>
    </w:p>
    <w:p w14:paraId="06D7D2ED" w14:textId="77777777" w:rsidR="00BE0B19" w:rsidRPr="00AE47C6" w:rsidRDefault="00BE0B19" w:rsidP="00BE0B19">
      <w:pPr>
        <w:numPr>
          <w:ilvl w:val="0"/>
          <w:numId w:val="8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Епилептични пристъпи – епилептични (инфантилни) спазми, най-често флексионни, засягащи аксиалната мускулатура.</w:t>
      </w:r>
    </w:p>
    <w:p w14:paraId="20C38F36" w14:textId="77777777" w:rsidR="00BE0B19" w:rsidRPr="00AE47C6" w:rsidRDefault="00BE0B19" w:rsidP="00BE0B19">
      <w:pPr>
        <w:numPr>
          <w:ilvl w:val="0"/>
          <w:numId w:val="8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ЕЕГ - хипсаритмия, дезорганизирана, с двустранни асинхронни високоволтажни бавни вълни, мултифокални епилептични разряди главно в задните мозъчни области, волтажна депресия по време на сън.</w:t>
      </w:r>
    </w:p>
    <w:p w14:paraId="0959DE8A" w14:textId="77777777" w:rsidR="00BE0B19" w:rsidRPr="00AE47C6" w:rsidRDefault="00BE0B19" w:rsidP="00BE0B19">
      <w:pPr>
        <w:numPr>
          <w:ilvl w:val="0"/>
          <w:numId w:val="89"/>
        </w:numPr>
        <w:tabs>
          <w:tab w:val="clear" w:pos="248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Лечение - ACTH, Vigabatrin. Алтернативни - VPA, Nitrazepam, Topiramate, ZNS. При хемисферни лезии, лобарни или по-малки малформации на кортикалното развитие, доказано (чрез видео-ЕЕГ и анатомо-клинико-ЕЕГ корелации) водещи до клинична изява на спазми с (хеми-)хипсаритмия се прилага и хирургия с резекция на лезиите. </w:t>
      </w:r>
    </w:p>
    <w:p w14:paraId="57BB1864" w14:textId="77777777" w:rsidR="00BE0B19" w:rsidRPr="00AE47C6" w:rsidRDefault="00BE0B19" w:rsidP="00BE0B19">
      <w:pPr>
        <w:numPr>
          <w:ilvl w:val="0"/>
          <w:numId w:val="81"/>
        </w:numPr>
        <w:spacing w:after="0" w:line="360" w:lineRule="auto"/>
        <w:ind w:left="0" w:firstLine="0"/>
        <w:jc w:val="both"/>
        <w:rPr>
          <w:rFonts w:ascii="Times New Roman" w:eastAsia="SimSun" w:hAnsi="Times New Roman"/>
          <w:b/>
          <w:bCs/>
          <w:sz w:val="24"/>
          <w:szCs w:val="24"/>
        </w:rPr>
      </w:pPr>
      <w:r w:rsidRPr="00AE47C6">
        <w:rPr>
          <w:rFonts w:ascii="Times New Roman" w:eastAsia="SimSun" w:hAnsi="Times New Roman"/>
          <w:sz w:val="24"/>
          <w:szCs w:val="24"/>
        </w:rPr>
        <w:t>Прогноза – неблагоприятна: висока смъртност (5%), преход в синдром на Lennox-Gastaut или фокална епилепсия (25%-65%), когнитивен дефицит (66%), моторен дефицит. С нормално развитие са само 15%-30% от крипогенните/идиопатични случаи.</w:t>
      </w:r>
    </w:p>
    <w:p w14:paraId="3FA3A060" w14:textId="77777777" w:rsidR="00BE0B19" w:rsidRPr="00AE47C6" w:rsidRDefault="00BE0B19" w:rsidP="00BE0B19">
      <w:pPr>
        <w:spacing w:after="0" w:line="360" w:lineRule="auto"/>
        <w:jc w:val="both"/>
        <w:rPr>
          <w:rFonts w:ascii="Times New Roman" w:eastAsia="SimSun" w:hAnsi="Times New Roman"/>
          <w:b/>
          <w:bCs/>
          <w:sz w:val="24"/>
          <w:szCs w:val="24"/>
        </w:rPr>
      </w:pPr>
    </w:p>
    <w:p w14:paraId="034C59DF" w14:textId="77777777" w:rsidR="00BE0B19" w:rsidRPr="00AE47C6" w:rsidRDefault="00BE0B19" w:rsidP="00BE0B19">
      <w:pPr>
        <w:numPr>
          <w:ilvl w:val="0"/>
          <w:numId w:val="89"/>
        </w:numPr>
        <w:tabs>
          <w:tab w:val="clear" w:pos="248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При около 70% до 80% е </w:t>
      </w:r>
      <w:r w:rsidRPr="00AE47C6">
        <w:rPr>
          <w:rFonts w:ascii="Times New Roman" w:eastAsia="SimSun" w:hAnsi="Times New Roman"/>
          <w:i/>
          <w:sz w:val="24"/>
          <w:szCs w:val="24"/>
        </w:rPr>
        <w:t>симптоматичен</w:t>
      </w:r>
      <w:r w:rsidRPr="00AE47C6">
        <w:rPr>
          <w:rFonts w:ascii="Times New Roman" w:eastAsia="SimSun" w:hAnsi="Times New Roman"/>
          <w:sz w:val="24"/>
          <w:szCs w:val="24"/>
        </w:rPr>
        <w:t xml:space="preserve">-  </w:t>
      </w:r>
      <w:r w:rsidRPr="00AE47C6">
        <w:rPr>
          <w:rFonts w:ascii="Times New Roman" w:eastAsia="SimSun" w:hAnsi="Times New Roman"/>
          <w:bCs/>
          <w:sz w:val="24"/>
          <w:szCs w:val="24"/>
        </w:rPr>
        <w:t>мозъчни малформации</w:t>
      </w:r>
      <w:r w:rsidRPr="00AE47C6">
        <w:rPr>
          <w:rFonts w:ascii="Times New Roman" w:eastAsia="SimSun" w:hAnsi="Times New Roman"/>
          <w:sz w:val="24"/>
          <w:szCs w:val="24"/>
        </w:rPr>
        <w:t xml:space="preserve"> /</w:t>
      </w:r>
      <w:r w:rsidRPr="00AE47C6">
        <w:rPr>
          <w:rFonts w:ascii="Times New Roman" w:eastAsia="SimSun" w:hAnsi="Times New Roman"/>
          <w:bCs/>
          <w:sz w:val="24"/>
          <w:szCs w:val="24"/>
        </w:rPr>
        <w:t>Лисенцефалия, лентовидна хетеротопия (Double cortex syndrome)</w:t>
      </w:r>
      <w:r w:rsidRPr="00AE47C6">
        <w:rPr>
          <w:rFonts w:ascii="Times New Roman" w:eastAsia="SimSun" w:hAnsi="Times New Roman"/>
          <w:sz w:val="24"/>
          <w:szCs w:val="24"/>
        </w:rPr>
        <w:t xml:space="preserve">, </w:t>
      </w:r>
      <w:r w:rsidRPr="00AE47C6">
        <w:rPr>
          <w:rFonts w:ascii="Times New Roman" w:eastAsia="SimSun" w:hAnsi="Times New Roman"/>
          <w:bCs/>
          <w:sz w:val="24"/>
          <w:szCs w:val="24"/>
        </w:rPr>
        <w:t>двустранна перисилвиева полимикрогирия, туберозна склероза</w:t>
      </w:r>
      <w:r w:rsidRPr="00AE47C6">
        <w:rPr>
          <w:rFonts w:ascii="Times New Roman" w:eastAsia="SimSun" w:hAnsi="Times New Roman"/>
          <w:sz w:val="24"/>
          <w:szCs w:val="24"/>
        </w:rPr>
        <w:t xml:space="preserve">, </w:t>
      </w:r>
      <w:r w:rsidRPr="00AE47C6">
        <w:rPr>
          <w:rFonts w:ascii="Times New Roman" w:eastAsia="SimSun" w:hAnsi="Times New Roman"/>
          <w:bCs/>
          <w:sz w:val="24"/>
          <w:szCs w:val="24"/>
        </w:rPr>
        <w:t>агенезия на corpus callosum,</w:t>
      </w:r>
      <w:r w:rsidRPr="00AE47C6">
        <w:rPr>
          <w:rFonts w:ascii="Times New Roman" w:eastAsia="SimSun" w:hAnsi="Times New Roman"/>
          <w:sz w:val="24"/>
          <w:szCs w:val="24"/>
        </w:rPr>
        <w:t xml:space="preserve"> </w:t>
      </w:r>
      <w:r w:rsidRPr="00AE47C6">
        <w:rPr>
          <w:rFonts w:ascii="Times New Roman" w:eastAsia="SimSun" w:hAnsi="Times New Roman"/>
          <w:bCs/>
          <w:sz w:val="24"/>
          <w:szCs w:val="24"/>
        </w:rPr>
        <w:t>постхипоксична енцефалопатия,</w:t>
      </w:r>
      <w:r w:rsidRPr="00AE47C6">
        <w:rPr>
          <w:rFonts w:ascii="Times New Roman" w:eastAsia="SimSun" w:hAnsi="Times New Roman"/>
          <w:sz w:val="24"/>
          <w:szCs w:val="24"/>
        </w:rPr>
        <w:t xml:space="preserve"> </w:t>
      </w:r>
      <w:r w:rsidRPr="00AE47C6">
        <w:rPr>
          <w:rFonts w:ascii="Times New Roman" w:eastAsia="SimSun" w:hAnsi="Times New Roman"/>
          <w:bCs/>
          <w:sz w:val="24"/>
          <w:szCs w:val="24"/>
        </w:rPr>
        <w:t>постенцефалитна енцефалопатия/</w:t>
      </w:r>
      <w:r w:rsidRPr="00AE47C6">
        <w:rPr>
          <w:rFonts w:ascii="Times New Roman" w:eastAsia="SimSun" w:hAnsi="Times New Roman"/>
          <w:sz w:val="24"/>
          <w:szCs w:val="24"/>
        </w:rPr>
        <w:t xml:space="preserve">. </w:t>
      </w:r>
      <w:r w:rsidRPr="00AE47C6">
        <w:rPr>
          <w:rFonts w:ascii="Times New Roman" w:eastAsia="SimSun" w:hAnsi="Times New Roman"/>
          <w:bCs/>
          <w:i/>
          <w:sz w:val="24"/>
          <w:szCs w:val="24"/>
        </w:rPr>
        <w:t xml:space="preserve">Идиопатичен е </w:t>
      </w:r>
      <w:r w:rsidRPr="00AE47C6">
        <w:rPr>
          <w:rFonts w:ascii="Times New Roman" w:eastAsia="SimSun" w:hAnsi="Times New Roman"/>
          <w:bCs/>
          <w:sz w:val="24"/>
          <w:szCs w:val="24"/>
        </w:rPr>
        <w:t>до 20% de novo мутации:</w:t>
      </w:r>
      <w:r w:rsidRPr="00AE47C6">
        <w:rPr>
          <w:rFonts w:ascii="Times New Roman" w:eastAsia="SimSun" w:hAnsi="Times New Roman"/>
          <w:b/>
          <w:bCs/>
          <w:sz w:val="24"/>
          <w:szCs w:val="24"/>
        </w:rPr>
        <w:t xml:space="preserve"> </w:t>
      </w:r>
      <w:hyperlink r:id="rId143" w:history="1">
        <w:r w:rsidRPr="00AE47C6">
          <w:rPr>
            <w:rFonts w:ascii="Times New Roman" w:eastAsia="SimSun" w:hAnsi="Times New Roman"/>
            <w:bCs/>
            <w:sz w:val="24"/>
            <w:szCs w:val="24"/>
          </w:rPr>
          <w:t>CHD2</w:t>
        </w:r>
      </w:hyperlink>
      <w:r w:rsidRPr="00AE47C6">
        <w:rPr>
          <w:rFonts w:ascii="Times New Roman" w:eastAsia="SimSun" w:hAnsi="Times New Roman"/>
          <w:bCs/>
          <w:i/>
          <w:iCs/>
          <w:sz w:val="24"/>
          <w:szCs w:val="24"/>
        </w:rPr>
        <w:t xml:space="preserve">, </w:t>
      </w:r>
      <w:hyperlink r:id="rId144" w:history="1">
        <w:r w:rsidRPr="00AE47C6">
          <w:rPr>
            <w:rFonts w:ascii="Times New Roman" w:eastAsia="SimSun" w:hAnsi="Times New Roman"/>
            <w:bCs/>
            <w:sz w:val="24"/>
            <w:szCs w:val="24"/>
          </w:rPr>
          <w:t>FOXG1</w:t>
        </w:r>
      </w:hyperlink>
      <w:r w:rsidRPr="00AE47C6">
        <w:rPr>
          <w:rFonts w:ascii="Times New Roman" w:eastAsia="SimSun" w:hAnsi="Times New Roman"/>
          <w:bCs/>
          <w:i/>
          <w:iCs/>
          <w:sz w:val="24"/>
          <w:szCs w:val="24"/>
        </w:rPr>
        <w:t xml:space="preserve">, </w:t>
      </w:r>
      <w:hyperlink r:id="rId145" w:history="1">
        <w:r w:rsidRPr="00AE47C6">
          <w:rPr>
            <w:rFonts w:ascii="Times New Roman" w:eastAsia="SimSun" w:hAnsi="Times New Roman"/>
            <w:bCs/>
            <w:sz w:val="24"/>
            <w:szCs w:val="24"/>
          </w:rPr>
          <w:t>SCN1A</w:t>
        </w:r>
      </w:hyperlink>
      <w:r w:rsidRPr="00AE47C6">
        <w:rPr>
          <w:rFonts w:ascii="Times New Roman" w:eastAsia="SimSun" w:hAnsi="Times New Roman"/>
          <w:bCs/>
          <w:i/>
          <w:iCs/>
          <w:sz w:val="24"/>
          <w:szCs w:val="24"/>
        </w:rPr>
        <w:t xml:space="preserve">, </w:t>
      </w:r>
      <w:hyperlink r:id="rId146" w:history="1">
        <w:r w:rsidRPr="00AE47C6">
          <w:rPr>
            <w:rFonts w:ascii="Times New Roman" w:eastAsia="SimSun" w:hAnsi="Times New Roman"/>
            <w:bCs/>
            <w:sz w:val="24"/>
            <w:szCs w:val="24"/>
          </w:rPr>
          <w:t>SCN8A</w:t>
        </w:r>
      </w:hyperlink>
      <w:r w:rsidRPr="00AE47C6">
        <w:rPr>
          <w:rFonts w:ascii="Times New Roman" w:eastAsia="SimSun" w:hAnsi="Times New Roman"/>
          <w:bCs/>
          <w:i/>
          <w:iCs/>
          <w:sz w:val="24"/>
          <w:szCs w:val="24"/>
        </w:rPr>
        <w:t xml:space="preserve">, </w:t>
      </w:r>
      <w:hyperlink r:id="rId147" w:history="1">
        <w:r w:rsidRPr="00AE47C6">
          <w:rPr>
            <w:rFonts w:ascii="Times New Roman" w:eastAsia="SimSun" w:hAnsi="Times New Roman"/>
            <w:bCs/>
            <w:sz w:val="24"/>
            <w:szCs w:val="24"/>
          </w:rPr>
          <w:t>STXBP1</w:t>
        </w:r>
      </w:hyperlink>
      <w:r w:rsidRPr="00AE47C6">
        <w:rPr>
          <w:rFonts w:ascii="Times New Roman" w:eastAsia="SimSun" w:hAnsi="Times New Roman"/>
          <w:bCs/>
          <w:i/>
          <w:iCs/>
          <w:sz w:val="24"/>
          <w:szCs w:val="24"/>
        </w:rPr>
        <w:t xml:space="preserve">, </w:t>
      </w:r>
      <w:hyperlink r:id="rId148" w:history="1">
        <w:r w:rsidRPr="00AE47C6">
          <w:rPr>
            <w:rFonts w:ascii="Times New Roman" w:eastAsia="SimSun" w:hAnsi="Times New Roman"/>
            <w:bCs/>
            <w:sz w:val="24"/>
            <w:szCs w:val="24"/>
          </w:rPr>
          <w:t>ALG13</w:t>
        </w:r>
      </w:hyperlink>
      <w:r w:rsidRPr="00AE47C6">
        <w:rPr>
          <w:rFonts w:ascii="Times New Roman" w:eastAsia="SimSun" w:hAnsi="Times New Roman"/>
          <w:bCs/>
          <w:i/>
          <w:iCs/>
          <w:sz w:val="24"/>
          <w:szCs w:val="24"/>
        </w:rPr>
        <w:t xml:space="preserve">, </w:t>
      </w:r>
      <w:hyperlink r:id="rId149" w:history="1">
        <w:r w:rsidRPr="00AE47C6">
          <w:rPr>
            <w:rFonts w:ascii="Times New Roman" w:eastAsia="SimSun" w:hAnsi="Times New Roman"/>
            <w:bCs/>
            <w:sz w:val="24"/>
            <w:szCs w:val="24"/>
          </w:rPr>
          <w:t>DNM1</w:t>
        </w:r>
      </w:hyperlink>
      <w:r w:rsidRPr="00AE47C6">
        <w:rPr>
          <w:rFonts w:ascii="Times New Roman" w:eastAsia="SimSun" w:hAnsi="Times New Roman"/>
          <w:bCs/>
          <w:i/>
          <w:iCs/>
          <w:sz w:val="24"/>
          <w:szCs w:val="24"/>
        </w:rPr>
        <w:t xml:space="preserve">, </w:t>
      </w:r>
      <w:hyperlink r:id="rId150" w:history="1">
        <w:r w:rsidRPr="00AE47C6">
          <w:rPr>
            <w:rFonts w:ascii="Times New Roman" w:eastAsia="SimSun" w:hAnsi="Times New Roman"/>
            <w:bCs/>
            <w:sz w:val="24"/>
            <w:szCs w:val="24"/>
          </w:rPr>
          <w:t>GABRB3</w:t>
        </w:r>
      </w:hyperlink>
      <w:r w:rsidRPr="00AE47C6">
        <w:rPr>
          <w:rFonts w:ascii="Times New Roman" w:eastAsia="SimSun" w:hAnsi="Times New Roman"/>
          <w:bCs/>
          <w:i/>
          <w:iCs/>
          <w:sz w:val="24"/>
          <w:szCs w:val="24"/>
        </w:rPr>
        <w:t xml:space="preserve">, </w:t>
      </w:r>
      <w:hyperlink r:id="rId151" w:history="1">
        <w:r w:rsidRPr="00AE47C6">
          <w:rPr>
            <w:rFonts w:ascii="Times New Roman" w:eastAsia="SimSun" w:hAnsi="Times New Roman"/>
            <w:bCs/>
            <w:sz w:val="24"/>
            <w:szCs w:val="24"/>
          </w:rPr>
          <w:t>IQSEC2</w:t>
        </w:r>
      </w:hyperlink>
      <w:r w:rsidRPr="00AE47C6">
        <w:rPr>
          <w:rFonts w:ascii="Times New Roman" w:eastAsia="SimSun" w:hAnsi="Times New Roman"/>
          <w:bCs/>
          <w:i/>
          <w:iCs/>
          <w:sz w:val="24"/>
          <w:szCs w:val="24"/>
        </w:rPr>
        <w:t> </w:t>
      </w:r>
      <w:r w:rsidRPr="00AE47C6">
        <w:rPr>
          <w:rFonts w:ascii="Times New Roman" w:eastAsia="SimSun" w:hAnsi="Times New Roman"/>
          <w:bCs/>
          <w:sz w:val="24"/>
          <w:szCs w:val="24"/>
        </w:rPr>
        <w:t> (Xp11.22)</w:t>
      </w:r>
    </w:p>
    <w:p w14:paraId="23206F12" w14:textId="77777777" w:rsidR="00BE0B19" w:rsidRPr="00AE47C6" w:rsidRDefault="00BE0B19" w:rsidP="00BE0B19">
      <w:pPr>
        <w:numPr>
          <w:ilvl w:val="0"/>
          <w:numId w:val="89"/>
        </w:numPr>
        <w:tabs>
          <w:tab w:val="clear" w:pos="2480"/>
          <w:tab w:val="num" w:pos="720"/>
        </w:tabs>
        <w:spacing w:after="0" w:line="360" w:lineRule="auto"/>
        <w:ind w:left="0" w:firstLine="0"/>
        <w:jc w:val="both"/>
        <w:rPr>
          <w:rFonts w:ascii="Times New Roman" w:eastAsia="SimSun" w:hAnsi="Times New Roman"/>
          <w:b/>
          <w:bCs/>
          <w:sz w:val="24"/>
          <w:szCs w:val="24"/>
        </w:rPr>
      </w:pPr>
      <w:r w:rsidRPr="00AE47C6">
        <w:rPr>
          <w:rFonts w:ascii="Times New Roman" w:eastAsia="SimSun" w:hAnsi="Times New Roman"/>
          <w:sz w:val="24"/>
          <w:szCs w:val="24"/>
        </w:rPr>
        <w:t xml:space="preserve">Критерии за типичния LGS са: 1. Полиморфни, терапевтично резистентни пристъпи - тонични, атонични, атипични абсанси (2 от 3 типа). Възможни са и епилептични спазми след синдром на West, ГТКП, прости фокални и миоклонични пристъпи. 2. ЕЕГ с генерализирани разряди от бавни комплекси острие - бавна вълна (&lt; 3 Hz) в будност и генерализирани бързи ритми (≥ 10 Hz) по време на сън. 3. Увредени интелектуални функции - когнитивни, поведение. </w:t>
      </w:r>
    </w:p>
    <w:p w14:paraId="2E51BBB7" w14:textId="77777777" w:rsidR="00BE0B19" w:rsidRPr="00AE47C6" w:rsidRDefault="00BE0B19" w:rsidP="00BE0B19">
      <w:pPr>
        <w:numPr>
          <w:ilvl w:val="0"/>
          <w:numId w:val="89"/>
        </w:numPr>
        <w:tabs>
          <w:tab w:val="clear" w:pos="248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Лечение. Не е възможен пълен контрол на пристъпите. АЕЛ на първи избор са VPA, LTG, TPM, алтернативни - ESM, LEV, CBZ, PB, Phenytoin (PHT), Clonazepam, Rufinamide, ZNS, Cannabidiol в комбинация с Clobazam, Fenfluramine според преобладаващите пристъпи в дадения момент; курсове с АСТН /кортикостероиди. При LGS се прилага и хирургия с резекция на лезии,  калозотомия и вагус-нерв-стимулация при чести и травматизиращи дроп-атаки. </w:t>
      </w:r>
    </w:p>
    <w:p w14:paraId="109B327A" w14:textId="77777777" w:rsidR="00BE0B19" w:rsidRPr="00AE47C6" w:rsidRDefault="00BE0B19" w:rsidP="00BE0B19">
      <w:pPr>
        <w:numPr>
          <w:ilvl w:val="0"/>
          <w:numId w:val="89"/>
        </w:numPr>
        <w:tabs>
          <w:tab w:val="clear" w:pos="2480"/>
          <w:tab w:val="num" w:pos="720"/>
        </w:tabs>
        <w:spacing w:after="0" w:line="360" w:lineRule="auto"/>
        <w:ind w:left="0" w:firstLine="0"/>
        <w:jc w:val="both"/>
        <w:rPr>
          <w:rFonts w:ascii="Times New Roman" w:eastAsia="SimSun" w:hAnsi="Times New Roman"/>
          <w:b/>
          <w:bCs/>
          <w:sz w:val="24"/>
          <w:szCs w:val="24"/>
        </w:rPr>
      </w:pPr>
      <w:r w:rsidRPr="00AE47C6">
        <w:rPr>
          <w:rFonts w:ascii="Times New Roman" w:eastAsia="SimSun" w:hAnsi="Times New Roman"/>
          <w:sz w:val="24"/>
          <w:szCs w:val="24"/>
        </w:rPr>
        <w:t>Прогноза</w:t>
      </w:r>
      <w:r w:rsidRPr="00AE47C6">
        <w:rPr>
          <w:rFonts w:ascii="Times New Roman" w:eastAsia="SimSun" w:hAnsi="Times New Roman"/>
          <w:b/>
          <w:bCs/>
          <w:sz w:val="24"/>
          <w:szCs w:val="24"/>
        </w:rPr>
        <w:t xml:space="preserve"> - </w:t>
      </w:r>
      <w:r w:rsidRPr="00AE47C6">
        <w:rPr>
          <w:rFonts w:ascii="Times New Roman" w:eastAsia="SimSun" w:hAnsi="Times New Roman"/>
          <w:sz w:val="24"/>
          <w:szCs w:val="24"/>
        </w:rPr>
        <w:t>неблагоприятна: висока смъртност (5%), интелектуален дефицит при 85-95% и персистиране на припадъците при 78%до 96%, най-чести след пубертета са нощните тонични пристъпи.</w:t>
      </w:r>
    </w:p>
    <w:p w14:paraId="2CEC2160" w14:textId="77777777" w:rsidR="00BE0B19" w:rsidRPr="00AE47C6" w:rsidRDefault="00BE0B19" w:rsidP="00BE0B19">
      <w:pPr>
        <w:spacing w:after="0" w:line="360" w:lineRule="auto"/>
        <w:jc w:val="both"/>
        <w:rPr>
          <w:rFonts w:ascii="Times New Roman" w:eastAsia="SimSun" w:hAnsi="Times New Roman"/>
          <w:b/>
          <w:bCs/>
          <w:sz w:val="24"/>
          <w:szCs w:val="24"/>
        </w:rPr>
      </w:pPr>
    </w:p>
    <w:p w14:paraId="79C93C69" w14:textId="77777777" w:rsidR="00BE0B19" w:rsidRPr="00AE47C6" w:rsidRDefault="00BE0B19" w:rsidP="00BE0B19">
      <w:pPr>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Синдром на Dravet (тежка ранна детска миоклонична епилепсия, SMEI)</w:t>
      </w:r>
    </w:p>
    <w:p w14:paraId="381F6E7F" w14:textId="77777777" w:rsidR="00BE0B19" w:rsidRPr="00AE47C6" w:rsidRDefault="00BE0B19" w:rsidP="00BE0B19">
      <w:pPr>
        <w:numPr>
          <w:ilvl w:val="0"/>
          <w:numId w:val="87"/>
        </w:numPr>
        <w:tabs>
          <w:tab w:val="clear" w:pos="2480"/>
        </w:tabs>
        <w:spacing w:after="0" w:line="360" w:lineRule="auto"/>
        <w:ind w:left="0" w:firstLine="0"/>
        <w:jc w:val="both"/>
        <w:rPr>
          <w:rFonts w:ascii="Times New Roman" w:eastAsia="SimSun" w:hAnsi="Times New Roman"/>
          <w:i/>
          <w:sz w:val="24"/>
          <w:szCs w:val="24"/>
        </w:rPr>
      </w:pPr>
      <w:r w:rsidRPr="00AE47C6">
        <w:rPr>
          <w:rFonts w:ascii="Times New Roman" w:eastAsia="SimSun" w:hAnsi="Times New Roman"/>
          <w:sz w:val="24"/>
          <w:szCs w:val="24"/>
        </w:rPr>
        <w:t xml:space="preserve">1% от епилепсиите в детска възраст, при около 80% се установяват мутации в </w:t>
      </w:r>
      <w:r w:rsidRPr="00AE47C6">
        <w:rPr>
          <w:rFonts w:ascii="Times New Roman" w:eastAsia="SimSun" w:hAnsi="Times New Roman"/>
          <w:i/>
          <w:sz w:val="24"/>
          <w:szCs w:val="24"/>
        </w:rPr>
        <w:t>SCN1A,</w:t>
      </w:r>
      <w:r w:rsidRPr="00AE47C6">
        <w:rPr>
          <w:rFonts w:ascii="Times New Roman" w:eastAsia="SimSun" w:hAnsi="Times New Roman"/>
          <w:bCs/>
          <w:i/>
          <w:iCs/>
          <w:sz w:val="24"/>
          <w:szCs w:val="24"/>
        </w:rPr>
        <w:t>SCN1B, PCDH19, GABRA1, STXBP1.</w:t>
      </w:r>
    </w:p>
    <w:p w14:paraId="28DEDCC6" w14:textId="77777777" w:rsidR="00BE0B19" w:rsidRPr="00AE47C6" w:rsidRDefault="00BE0B19" w:rsidP="00BE0B19">
      <w:pPr>
        <w:numPr>
          <w:ilvl w:val="0"/>
          <w:numId w:val="87"/>
        </w:numPr>
        <w:tabs>
          <w:tab w:val="clear" w:pos="248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Начално нормално невро-психично развитие. </w:t>
      </w:r>
    </w:p>
    <w:p w14:paraId="08C85B38" w14:textId="77777777" w:rsidR="00BE0B19" w:rsidRPr="00AE47C6" w:rsidRDefault="00BE0B19" w:rsidP="00BE0B19">
      <w:pPr>
        <w:numPr>
          <w:ilvl w:val="0"/>
          <w:numId w:val="87"/>
        </w:numPr>
        <w:tabs>
          <w:tab w:val="clear" w:pos="248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Епилептичен синдром - прогресиращ, полиморфен</w:t>
      </w:r>
      <w:r w:rsidRPr="00AE47C6">
        <w:rPr>
          <w:rFonts w:ascii="Times New Roman" w:eastAsia="SimSun" w:hAnsi="Times New Roman"/>
          <w:b/>
          <w:bCs/>
          <w:sz w:val="24"/>
          <w:szCs w:val="24"/>
        </w:rPr>
        <w:t>,</w:t>
      </w:r>
      <w:r w:rsidRPr="00AE47C6">
        <w:rPr>
          <w:rFonts w:ascii="Times New Roman" w:eastAsia="SimSun" w:hAnsi="Times New Roman"/>
          <w:sz w:val="24"/>
          <w:szCs w:val="24"/>
        </w:rPr>
        <w:t xml:space="preserve"> терапевтично резистентен</w:t>
      </w:r>
      <w:r w:rsidRPr="00AE47C6">
        <w:rPr>
          <w:rFonts w:ascii="Times New Roman" w:eastAsia="SimSun" w:hAnsi="Times New Roman"/>
          <w:bCs/>
          <w:sz w:val="24"/>
          <w:szCs w:val="24"/>
        </w:rPr>
        <w:t xml:space="preserve">. </w:t>
      </w:r>
      <w:r w:rsidRPr="00AE47C6">
        <w:rPr>
          <w:rFonts w:ascii="Times New Roman" w:eastAsia="SimSun" w:hAnsi="Times New Roman"/>
          <w:sz w:val="24"/>
          <w:szCs w:val="24"/>
        </w:rPr>
        <w:t xml:space="preserve">Започва с усложнени фебрилни гърчове след 6 месечна възраст и се прибавят следните 4 характерни типа пристъпи: 1. Генерализирани пристъпи - тонично-клонични, клонични и асиметрични тонични, клонични и хемиклонични. 2. Миоклонични пристъпи (80%) с начало между 1 и 5 г. 3. Атипични абсанси (40%) с начало между 1 и 12 г. 4. Комплексни парциални пристъпи (46%) и ВГТКП между 4 месечна и 4 г. възраст. Чести (40%) са конвулсивният, миоклоничен или абсансен епилептичен статус (ЕС). </w:t>
      </w:r>
    </w:p>
    <w:p w14:paraId="09602B2B" w14:textId="77777777" w:rsidR="00BE0B19" w:rsidRPr="00AE47C6" w:rsidRDefault="00BE0B19" w:rsidP="00BE0B19">
      <w:pPr>
        <w:numPr>
          <w:ilvl w:val="0"/>
          <w:numId w:val="87"/>
        </w:numPr>
        <w:tabs>
          <w:tab w:val="clear" w:pos="248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Пристъпите се провокират от t</w:t>
      </w:r>
      <w:r w:rsidRPr="00AE47C6">
        <w:rPr>
          <w:rFonts w:ascii="Times New Roman" w:eastAsia="SimSun" w:hAnsi="Times New Roman"/>
          <w:sz w:val="24"/>
          <w:szCs w:val="24"/>
          <w:vertAlign w:val="superscript"/>
        </w:rPr>
        <w:t>o</w:t>
      </w:r>
      <w:r w:rsidRPr="00AE47C6">
        <w:rPr>
          <w:rFonts w:ascii="Times New Roman" w:eastAsia="SimSun" w:hAnsi="Times New Roman"/>
          <w:sz w:val="24"/>
          <w:szCs w:val="24"/>
        </w:rPr>
        <w:t xml:space="preserve">, фотостимулация, движения на очите. </w:t>
      </w:r>
    </w:p>
    <w:p w14:paraId="4964D076" w14:textId="77777777" w:rsidR="00BE0B19" w:rsidRPr="00AE47C6" w:rsidRDefault="00BE0B19" w:rsidP="00BE0B19">
      <w:pPr>
        <w:numPr>
          <w:ilvl w:val="0"/>
          <w:numId w:val="87"/>
        </w:numPr>
        <w:tabs>
          <w:tab w:val="clear" w:pos="2480"/>
        </w:tabs>
        <w:spacing w:after="0" w:line="360" w:lineRule="auto"/>
        <w:ind w:left="0" w:firstLine="0"/>
        <w:jc w:val="both"/>
        <w:rPr>
          <w:rFonts w:ascii="Times New Roman" w:eastAsia="SimSun" w:hAnsi="Times New Roman"/>
        </w:rPr>
      </w:pPr>
      <w:r w:rsidRPr="00AE47C6">
        <w:rPr>
          <w:rFonts w:ascii="Times New Roman" w:eastAsia="SimSun" w:hAnsi="Times New Roman"/>
          <w:sz w:val="24"/>
          <w:szCs w:val="24"/>
        </w:rPr>
        <w:t xml:space="preserve">Регрес в когницията (100%) и в моторното развитие (20-60%) след 1-2 г. от началото на заболяването. </w:t>
      </w:r>
    </w:p>
    <w:p w14:paraId="3B9E0F6A" w14:textId="77777777" w:rsidR="00BE0B19" w:rsidRPr="00AE47C6" w:rsidRDefault="00BE0B19" w:rsidP="00BE0B19">
      <w:pPr>
        <w:numPr>
          <w:ilvl w:val="0"/>
          <w:numId w:val="87"/>
        </w:numPr>
        <w:tabs>
          <w:tab w:val="clear" w:pos="248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Cs/>
          <w:iCs/>
          <w:sz w:val="24"/>
          <w:szCs w:val="24"/>
        </w:rPr>
        <w:t>Прогноза - висока смъртност  до 3 г. и до 6 г. при епи статус, внезапна неочаквана смърт при епилепсия (</w:t>
      </w:r>
      <w:r w:rsidRPr="00AE47C6">
        <w:rPr>
          <w:rFonts w:ascii="Times New Roman" w:eastAsia="SimSun" w:hAnsi="Times New Roman"/>
          <w:color w:val="000000" w:themeColor="text1"/>
          <w:sz w:val="24"/>
          <w:szCs w:val="24"/>
        </w:rPr>
        <w:t xml:space="preserve">SUDEP). </w:t>
      </w:r>
    </w:p>
    <w:p w14:paraId="39C23976" w14:textId="77777777" w:rsidR="00BE0B19" w:rsidRPr="00AE47C6" w:rsidRDefault="00BE0B19" w:rsidP="00BE0B19">
      <w:pPr>
        <w:numPr>
          <w:ilvl w:val="0"/>
          <w:numId w:val="87"/>
        </w:numPr>
        <w:tabs>
          <w:tab w:val="clear" w:pos="248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Лечение: VРА, Clonazepam, Nitrazepam, ESM, Phenobarbital (PB), LEV, бромиди, Stiripentol, Cannabidiol в комбинация с Clobazam,  </w:t>
      </w:r>
      <w:r w:rsidRPr="00AE47C6">
        <w:rPr>
          <w:rFonts w:ascii="Times New Roman" w:eastAsia="SimSun" w:hAnsi="Times New Roman"/>
          <w:bCs/>
          <w:sz w:val="24"/>
          <w:szCs w:val="24"/>
        </w:rPr>
        <w:t>Fenfluramine</w:t>
      </w:r>
      <w:r w:rsidRPr="00AE47C6">
        <w:rPr>
          <w:rFonts w:ascii="Times New Roman" w:eastAsia="SimSun" w:hAnsi="Times New Roman"/>
          <w:sz w:val="24"/>
          <w:szCs w:val="24"/>
        </w:rPr>
        <w:t xml:space="preserve">.  CBZ, OXC, PHT, GBP, VGB, TGB, PGB и високи доза на LTG влошават епилептичните пристъпи, поради което не трябва да се прилагат. </w:t>
      </w:r>
    </w:p>
    <w:p w14:paraId="6B23498B"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Епилептична енцефалопатия с CSWS или електричен статус по време на бавновълнов сън (ESES) </w:t>
      </w:r>
    </w:p>
    <w:p w14:paraId="43C945F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Начало между 1 и 10 г., пик- 4-5 г. </w:t>
      </w:r>
    </w:p>
    <w:p w14:paraId="1B8EFBB7" w14:textId="77777777" w:rsidR="00BE0B19" w:rsidRPr="00AE47C6" w:rsidRDefault="00BE0B19" w:rsidP="00BE0B19">
      <w:pPr>
        <w:numPr>
          <w:ilvl w:val="0"/>
          <w:numId w:val="90"/>
        </w:numPr>
        <w:tabs>
          <w:tab w:val="clear" w:pos="212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Характеристика: ЕЕГ с продължителни комплекси острие-бавна вълна по време на бавновълнов сън (CSWS), които заемат над 85% от времето на съня. Полиморфни епилептични пристъпи. Невропсихологичен регрес - дефицит на внимание, хиперактивност, агресивност, оро-фациална апраксия. </w:t>
      </w:r>
    </w:p>
    <w:p w14:paraId="575B582C" w14:textId="77777777" w:rsidR="00BE0B19" w:rsidRPr="00AE47C6" w:rsidRDefault="00BE0B19" w:rsidP="00BE0B19">
      <w:pPr>
        <w:numPr>
          <w:ilvl w:val="0"/>
          <w:numId w:val="90"/>
        </w:numPr>
        <w:tabs>
          <w:tab w:val="clear" w:pos="212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Клиника: 1/3 от пациентите са с абнормен неврологичен статус, а над 50%- с МРТ патология. </w:t>
      </w:r>
    </w:p>
    <w:p w14:paraId="66526EC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Стадии на развитие: </w:t>
      </w:r>
    </w:p>
    <w:p w14:paraId="03704CCB" w14:textId="77777777" w:rsidR="00BE0B19" w:rsidRPr="00AE47C6" w:rsidRDefault="00BE0B19" w:rsidP="00BE0B19">
      <w:pPr>
        <w:numPr>
          <w:ilvl w:val="0"/>
          <w:numId w:val="90"/>
        </w:numPr>
        <w:tabs>
          <w:tab w:val="clear" w:pos="212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1. Редки нощни моторни хемиклонични пристъпи; 2. CSWS, зачестяване и промяна на вида на епилептичните пристъпи (</w:t>
      </w:r>
      <w:r w:rsidRPr="00AE47C6">
        <w:rPr>
          <w:rFonts w:ascii="Times New Roman" w:eastAsia="SimSun" w:hAnsi="Times New Roman"/>
          <w:i/>
          <w:iCs/>
          <w:sz w:val="24"/>
          <w:szCs w:val="24"/>
        </w:rPr>
        <w:t>нощни</w:t>
      </w:r>
      <w:r w:rsidRPr="00AE47C6">
        <w:rPr>
          <w:rFonts w:ascii="Times New Roman" w:eastAsia="SimSun" w:hAnsi="Times New Roman"/>
          <w:sz w:val="24"/>
          <w:szCs w:val="24"/>
        </w:rPr>
        <w:t xml:space="preserve"> моторни и ГТКП, </w:t>
      </w:r>
      <w:r w:rsidRPr="00AE47C6">
        <w:rPr>
          <w:rFonts w:ascii="Times New Roman" w:eastAsia="SimSun" w:hAnsi="Times New Roman"/>
          <w:i/>
          <w:iCs/>
          <w:sz w:val="24"/>
          <w:szCs w:val="24"/>
        </w:rPr>
        <w:t xml:space="preserve">дневни </w:t>
      </w:r>
      <w:r w:rsidRPr="00AE47C6">
        <w:rPr>
          <w:rFonts w:ascii="Times New Roman" w:eastAsia="SimSun" w:hAnsi="Times New Roman"/>
          <w:sz w:val="24"/>
          <w:szCs w:val="24"/>
        </w:rPr>
        <w:t xml:space="preserve">типични и атипични абсанси, миоклонични, клонични, орофациални), когнитивни и поведенчески отклонения. 3. Редки нощни ГТКП, дневни атонични. 4. Подобрение, включително в ЕЕГ (2-7 г.), с остатъчен дефект. </w:t>
      </w:r>
    </w:p>
    <w:p w14:paraId="063EB754" w14:textId="77777777" w:rsidR="00BE0B19" w:rsidRPr="00AE47C6" w:rsidRDefault="00BE0B19" w:rsidP="00BE0B19">
      <w:pPr>
        <w:numPr>
          <w:ilvl w:val="0"/>
          <w:numId w:val="90"/>
        </w:numPr>
        <w:tabs>
          <w:tab w:val="clear" w:pos="212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Диагноза: ЕЕГ по време на сън с CSWS –комплекси острия-бавна вълна с индекс &gt;85%. В будно състояние - фронтални и темпорални фокуси, атипични абсанси</w:t>
      </w:r>
      <w:r w:rsidRPr="00AE47C6">
        <w:rPr>
          <w:rFonts w:ascii="Times New Roman" w:eastAsia="SimSun" w:hAnsi="Times New Roman"/>
          <w:b/>
          <w:bCs/>
          <w:i/>
          <w:iCs/>
          <w:sz w:val="24"/>
          <w:szCs w:val="24"/>
        </w:rPr>
        <w:t xml:space="preserve">. </w:t>
      </w:r>
    </w:p>
    <w:p w14:paraId="2F0BD21B" w14:textId="77777777" w:rsidR="00BE0B19" w:rsidRPr="00AE47C6" w:rsidRDefault="00BE0B19" w:rsidP="00BE0B19">
      <w:pPr>
        <w:numPr>
          <w:ilvl w:val="0"/>
          <w:numId w:val="90"/>
        </w:numPr>
        <w:tabs>
          <w:tab w:val="clear" w:pos="2120"/>
          <w:tab w:val="num" w:pos="720"/>
          <w:tab w:val="num" w:pos="5605"/>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Лечение: VPA, бензодиазепини (Clobazam и др.), LTG, LEV, TPM (CBZ и РНТ влошават), АСТН (80 Е/ дневно) или prednisone 2-5 mg/kg с редукция за 3 месеца. При вродени или ранни, обичайно хемисферни или лобарни лезии с изява на CSWS, след доказване на анатомо-клинико-ЕЕГ корелация, в определени случаи се прилага и хирургична деконективна или резективна хирургия.</w:t>
      </w:r>
    </w:p>
    <w:p w14:paraId="73881F4F" w14:textId="77777777" w:rsidR="00BE0B19" w:rsidRPr="00AE47C6" w:rsidRDefault="00BE0B19" w:rsidP="00BE0B19">
      <w:pPr>
        <w:numPr>
          <w:ilvl w:val="0"/>
          <w:numId w:val="93"/>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Прогноза</w:t>
      </w:r>
      <w:r w:rsidRPr="00AE47C6">
        <w:rPr>
          <w:rFonts w:ascii="Times New Roman" w:eastAsia="SimSun" w:hAnsi="Times New Roman"/>
          <w:i/>
          <w:iCs/>
          <w:sz w:val="24"/>
          <w:szCs w:val="24"/>
        </w:rPr>
        <w:t xml:space="preserve"> -</w:t>
      </w:r>
      <w:r w:rsidRPr="00AE47C6">
        <w:rPr>
          <w:rFonts w:ascii="Times New Roman" w:eastAsia="SimSun" w:hAnsi="Times New Roman"/>
          <w:sz w:val="24"/>
          <w:szCs w:val="24"/>
        </w:rPr>
        <w:t xml:space="preserve"> зависи от възрастта при началото, продължителността на CSWS, продължителността и тежестта на когнитивната увреда, отговора към АЕЛ лечение.</w:t>
      </w:r>
    </w:p>
    <w:p w14:paraId="4826212B" w14:textId="77777777" w:rsidR="00BE0B19" w:rsidRPr="00AE47C6" w:rsidRDefault="00BE0B19" w:rsidP="00BE0B19">
      <w:pPr>
        <w:spacing w:after="0" w:line="360" w:lineRule="auto"/>
        <w:jc w:val="both"/>
        <w:rPr>
          <w:rFonts w:ascii="Times New Roman" w:eastAsia="SimSun" w:hAnsi="Times New Roman"/>
          <w:b/>
          <w:bCs/>
          <w:sz w:val="24"/>
          <w:szCs w:val="24"/>
        </w:rPr>
      </w:pPr>
    </w:p>
    <w:p w14:paraId="79D3580B"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Синдром на Landau-Kleffner (придобита афазия-епилепсия) </w:t>
      </w:r>
    </w:p>
    <w:p w14:paraId="3BE58DA4" w14:textId="77777777" w:rsidR="00BE0B19" w:rsidRPr="00AE47C6" w:rsidRDefault="00BE0B19" w:rsidP="00BE0B19">
      <w:pPr>
        <w:numPr>
          <w:ilvl w:val="0"/>
          <w:numId w:val="93"/>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Начало- между 2 и 8 г. </w:t>
      </w:r>
    </w:p>
    <w:p w14:paraId="707798ED" w14:textId="77777777" w:rsidR="00BE0B19" w:rsidRPr="00AE47C6" w:rsidRDefault="00BE0B19" w:rsidP="00BE0B19">
      <w:pPr>
        <w:numPr>
          <w:ilvl w:val="0"/>
          <w:numId w:val="93"/>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Клинична характеристика: Афазия (прогресираща или флуктуираща при 100%), епилептичен синдром (75%)</w:t>
      </w:r>
      <w:r w:rsidRPr="00AE47C6">
        <w:rPr>
          <w:rFonts w:ascii="Times New Roman" w:eastAsia="SimSun" w:hAnsi="Times New Roman"/>
          <w:b/>
          <w:bCs/>
          <w:sz w:val="24"/>
          <w:szCs w:val="24"/>
        </w:rPr>
        <w:t xml:space="preserve"> - </w:t>
      </w:r>
      <w:r w:rsidRPr="00AE47C6">
        <w:rPr>
          <w:rFonts w:ascii="Times New Roman" w:eastAsia="SimSun" w:hAnsi="Times New Roman"/>
          <w:sz w:val="24"/>
          <w:szCs w:val="24"/>
        </w:rPr>
        <w:t>ГТКП, фокални прости или комплексни, атипични абсанси и ВГТКП, поведенчески отклонения (75%) - хиперактивност, агресивност, психоза</w:t>
      </w:r>
      <w:r w:rsidRPr="00AE47C6">
        <w:rPr>
          <w:rFonts w:ascii="Times New Roman" w:eastAsia="SimSun" w:hAnsi="Times New Roman"/>
          <w:b/>
          <w:bCs/>
          <w:sz w:val="24"/>
          <w:szCs w:val="24"/>
        </w:rPr>
        <w:t xml:space="preserve">. </w:t>
      </w:r>
    </w:p>
    <w:p w14:paraId="3732BFD3" w14:textId="77777777" w:rsidR="00BE0B19" w:rsidRPr="00AE47C6" w:rsidRDefault="00BE0B19" w:rsidP="00BE0B19">
      <w:pPr>
        <w:numPr>
          <w:ilvl w:val="0"/>
          <w:numId w:val="93"/>
        </w:numPr>
        <w:spacing w:after="0" w:line="360" w:lineRule="auto"/>
        <w:ind w:left="0" w:firstLine="0"/>
        <w:jc w:val="both"/>
        <w:rPr>
          <w:rFonts w:ascii="Times New Roman" w:eastAsia="SimSun" w:hAnsi="Times New Roman"/>
          <w:b/>
          <w:bCs/>
          <w:sz w:val="24"/>
          <w:szCs w:val="24"/>
        </w:rPr>
      </w:pPr>
      <w:r w:rsidRPr="00AE47C6">
        <w:rPr>
          <w:rFonts w:ascii="Times New Roman" w:eastAsia="SimSun" w:hAnsi="Times New Roman"/>
          <w:sz w:val="24"/>
          <w:szCs w:val="24"/>
        </w:rPr>
        <w:t xml:space="preserve">ЕЕГ-фокална абнормност с темпорална (най-често в доминантната хемисфера) и по-рядко парието-окципитална локализация от острия, комплекси острие-бавна вълна, мултифокална или </w:t>
      </w:r>
      <w:r w:rsidRPr="00AE47C6">
        <w:rPr>
          <w:rFonts w:ascii="Times New Roman" w:eastAsia="SimSun" w:hAnsi="Times New Roman"/>
          <w:i/>
          <w:iCs/>
          <w:sz w:val="24"/>
          <w:szCs w:val="24"/>
        </w:rPr>
        <w:t>генерализирана</w:t>
      </w:r>
      <w:r w:rsidRPr="00AE47C6">
        <w:rPr>
          <w:rFonts w:ascii="Times New Roman" w:eastAsia="SimSun" w:hAnsi="Times New Roman"/>
          <w:sz w:val="24"/>
          <w:szCs w:val="24"/>
        </w:rPr>
        <w:t xml:space="preserve"> (предимно по време на сън), с възможна изява на CSWS, която определя прогнозата за когницията и интелекта.</w:t>
      </w:r>
    </w:p>
    <w:p w14:paraId="30F5C1B8" w14:textId="77777777" w:rsidR="00BE0B19" w:rsidRPr="00AE47C6" w:rsidRDefault="00BE0B19" w:rsidP="00BE0B19">
      <w:pPr>
        <w:numPr>
          <w:ilvl w:val="0"/>
          <w:numId w:val="93"/>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Лечение: VPA, ESM, Clobazam, LTG, LEV, TPM, Sulthiam, BRV,</w:t>
      </w:r>
      <w:r w:rsidRPr="00AE47C6">
        <w:rPr>
          <w:rFonts w:ascii="Times New Roman" w:eastAsia="SimSun" w:hAnsi="Times New Roman"/>
          <w:iCs/>
          <w:sz w:val="24"/>
          <w:szCs w:val="24"/>
        </w:rPr>
        <w:t xml:space="preserve"> ESL,</w:t>
      </w:r>
      <w:r w:rsidRPr="00AE47C6">
        <w:rPr>
          <w:rFonts w:ascii="Times New Roman" w:eastAsia="SimSun" w:hAnsi="Times New Roman"/>
          <w:sz w:val="24"/>
          <w:szCs w:val="24"/>
        </w:rPr>
        <w:t xml:space="preserve"> ACTH или кортикостероиди с начални високи дози - 3 месеца, което определя прогнозата.</w:t>
      </w:r>
    </w:p>
    <w:p w14:paraId="5F156EEF" w14:textId="77777777" w:rsidR="00BE0B19" w:rsidRPr="00AE47C6" w:rsidRDefault="00BE0B19" w:rsidP="00BE0B19">
      <w:pPr>
        <w:numPr>
          <w:ilvl w:val="0"/>
          <w:numId w:val="93"/>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Прогноза- от бенигнена детска епилепсия до епилептична енцефалопатия. По-благоприятна прогноза - при начало на афазията след 5 г., краткотрайни афатични епизоди, бързо подобрение на ЕЕГ. </w:t>
      </w:r>
    </w:p>
    <w:p w14:paraId="544D9E6A"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40C32F4F" w14:textId="77777777" w:rsidR="00BE0B19" w:rsidRPr="00AE47C6" w:rsidRDefault="00BE0B19" w:rsidP="00BE0B19">
      <w:pPr>
        <w:tabs>
          <w:tab w:val="left" w:pos="720"/>
        </w:tabs>
        <w:suppressAutoHyphens/>
        <w:spacing w:after="0" w:line="360" w:lineRule="auto"/>
        <w:jc w:val="both"/>
        <w:rPr>
          <w:rFonts w:ascii="Times New Roman" w:eastAsia="SimSun" w:hAnsi="Times New Roman"/>
          <w:b/>
          <w:bCs/>
          <w:caps/>
          <w:sz w:val="24"/>
          <w:szCs w:val="24"/>
          <w:lang w:eastAsia="bg-BG"/>
        </w:rPr>
      </w:pPr>
      <w:r w:rsidRPr="00AE47C6">
        <w:rPr>
          <w:rFonts w:ascii="Times New Roman" w:eastAsia="SimSun" w:hAnsi="Times New Roman"/>
          <w:b/>
          <w:bCs/>
          <w:sz w:val="24"/>
          <w:szCs w:val="24"/>
          <w:lang w:eastAsia="bg-BG"/>
        </w:rPr>
        <w:t>5. Фебрилни гърчове</w:t>
      </w:r>
    </w:p>
    <w:p w14:paraId="1AFACBA2"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sz w:val="24"/>
          <w:szCs w:val="24"/>
          <w:lang w:eastAsia="bg-BG"/>
        </w:rPr>
        <w:t>Възрастово свързано заболяване с епилептични пристъпи в кърмаческа и ранна детска възраст, при температура над 38</w:t>
      </w:r>
      <w:r w:rsidRPr="00AE47C6">
        <w:rPr>
          <w:rFonts w:ascii="Times New Roman" w:eastAsia="SimSun" w:hAnsi="Times New Roman"/>
          <w:sz w:val="24"/>
          <w:szCs w:val="24"/>
          <w:vertAlign w:val="superscript"/>
          <w:lang w:eastAsia="bg-BG"/>
        </w:rPr>
        <w:t>о</w:t>
      </w:r>
      <w:r w:rsidRPr="00AE47C6">
        <w:rPr>
          <w:rFonts w:ascii="Times New Roman" w:eastAsia="SimSun" w:hAnsi="Times New Roman"/>
          <w:sz w:val="24"/>
          <w:szCs w:val="24"/>
          <w:lang w:eastAsia="bg-BG"/>
        </w:rPr>
        <w:t>С, без данни за инфекция на ЦНС (менингит, енцефалит), метаболитни разстройства, интоксикации и др., които не налагат диагнозата епилепсия.</w:t>
      </w:r>
    </w:p>
    <w:p w14:paraId="2262C8D7" w14:textId="77777777" w:rsidR="00BE0B19" w:rsidRPr="00AE47C6" w:rsidRDefault="00BE0B19" w:rsidP="00BE0B19">
      <w:pPr>
        <w:numPr>
          <w:ilvl w:val="0"/>
          <w:numId w:val="88"/>
        </w:numPr>
        <w:shd w:val="clear" w:color="auto" w:fill="FFFFFF"/>
        <w:tabs>
          <w:tab w:val="clear" w:pos="2480"/>
          <w:tab w:val="num" w:pos="36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ФГ се изявяват при висока температура, причинена в 85-90% от случаите от инфекции на горните и долни дихателни пътища (среден отит и остър тонзилит), варицела, други неспецифични вирусни инфекции, уроинфекции, след имунизации (85-90% от случаите). </w:t>
      </w:r>
    </w:p>
    <w:p w14:paraId="42BFA26B" w14:textId="77777777" w:rsidR="00BE0B19" w:rsidRPr="00AE47C6" w:rsidRDefault="00BE0B19" w:rsidP="00BE0B19">
      <w:pPr>
        <w:numPr>
          <w:ilvl w:val="0"/>
          <w:numId w:val="88"/>
        </w:numPr>
        <w:shd w:val="clear" w:color="auto" w:fill="FFFFFF"/>
        <w:tabs>
          <w:tab w:val="clear" w:pos="2480"/>
          <w:tab w:val="num" w:pos="36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ФГ биват конвулсивни, главно генерализирани пристъпи (ГТКП в 80% или тонични в 13%), едностранни (4%), а около 3-5% са неконвулсивни, само с отклонение на очите, атония и цианоза. </w:t>
      </w:r>
    </w:p>
    <w:p w14:paraId="4CC6B332" w14:textId="77777777" w:rsidR="00BE0B19" w:rsidRPr="00AE47C6" w:rsidRDefault="00BE0B19" w:rsidP="00BE0B19">
      <w:pPr>
        <w:numPr>
          <w:ilvl w:val="0"/>
          <w:numId w:val="88"/>
        </w:numPr>
        <w:shd w:val="clear" w:color="auto" w:fill="FFFFFF"/>
        <w:tabs>
          <w:tab w:val="clear" w:pos="2480"/>
          <w:tab w:val="num" w:pos="360"/>
        </w:tabs>
        <w:spacing w:after="0" w:line="360" w:lineRule="auto"/>
        <w:ind w:left="0" w:firstLine="0"/>
        <w:jc w:val="both"/>
        <w:rPr>
          <w:rFonts w:ascii="Times New Roman" w:eastAsia="SimSun" w:hAnsi="Times New Roman"/>
          <w:b/>
          <w:bCs/>
          <w:sz w:val="24"/>
          <w:szCs w:val="24"/>
        </w:rPr>
      </w:pPr>
      <w:r w:rsidRPr="00AE47C6">
        <w:rPr>
          <w:rFonts w:ascii="Times New Roman" w:eastAsia="SimSun" w:hAnsi="Times New Roman"/>
          <w:sz w:val="24"/>
          <w:szCs w:val="24"/>
        </w:rPr>
        <w:t>„Простите” ФГ (70%) са кратки (под 5 мин.), генерализирани и единични за 24 часа.</w:t>
      </w:r>
    </w:p>
    <w:p w14:paraId="7DD55436" w14:textId="77777777" w:rsidR="00BE0B19" w:rsidRPr="00AE47C6" w:rsidRDefault="00BE0B19" w:rsidP="00BE0B19">
      <w:pPr>
        <w:numPr>
          <w:ilvl w:val="0"/>
          <w:numId w:val="88"/>
        </w:numPr>
        <w:shd w:val="clear" w:color="auto" w:fill="FFFFFF"/>
        <w:tabs>
          <w:tab w:val="clear" w:pos="2480"/>
          <w:tab w:val="num" w:pos="36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„Усложнените” или „комплексни” ФГ (30%) продължават над 15 мин., констатира се фокалност и/или следова пареза, или са ≥2 за 24 часа. При тях са необходими изследвания - КТ, МРТ, ЕЕГ и лечение с антигърчови лекарства (АГЛ). МРТ при продължителен ФГ може да разкрие остра хипокампална увреда и последваща прогресираща атрофия и склероза. </w:t>
      </w:r>
    </w:p>
    <w:p w14:paraId="7C0C8DA8" w14:textId="77777777" w:rsidR="00BE0B19" w:rsidRPr="00AE47C6" w:rsidRDefault="00BE0B19" w:rsidP="00BE0B19">
      <w:pPr>
        <w:numPr>
          <w:ilvl w:val="0"/>
          <w:numId w:val="88"/>
        </w:numPr>
        <w:shd w:val="clear" w:color="auto" w:fill="FFFFFF"/>
        <w:tabs>
          <w:tab w:val="clear" w:pos="2480"/>
          <w:tab w:val="num" w:pos="36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Рискът за ФГ е с 30% по-висок при наличие на І или ІІ степен родственици с ФГ. Забавено моторно развитие и родственици със забавено развитие. </w:t>
      </w:r>
    </w:p>
    <w:p w14:paraId="08A3518F" w14:textId="77777777" w:rsidR="00BE0B19" w:rsidRPr="00AE47C6" w:rsidRDefault="00BE0B19" w:rsidP="00BE0B19">
      <w:pPr>
        <w:numPr>
          <w:ilvl w:val="0"/>
          <w:numId w:val="88"/>
        </w:numPr>
        <w:shd w:val="clear" w:color="auto" w:fill="FFFFFF"/>
        <w:tabs>
          <w:tab w:val="clear" w:pos="2480"/>
          <w:tab w:val="num" w:pos="36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Рискът за рецидив след първи ФГ е 30% - 40% при деца с първи ФГ &lt;18 месеца, фамилност за ФГ и t</w:t>
      </w:r>
      <w:r w:rsidRPr="00AE47C6">
        <w:rPr>
          <w:rFonts w:ascii="Times New Roman" w:eastAsia="SimSun" w:hAnsi="Times New Roman"/>
          <w:sz w:val="24"/>
          <w:szCs w:val="24"/>
          <w:vertAlign w:val="superscript"/>
        </w:rPr>
        <w:t>о</w:t>
      </w:r>
      <w:r w:rsidRPr="00AE47C6">
        <w:rPr>
          <w:rFonts w:ascii="Times New Roman" w:eastAsia="SimSun" w:hAnsi="Times New Roman"/>
          <w:sz w:val="24"/>
          <w:szCs w:val="24"/>
        </w:rPr>
        <w:t xml:space="preserve"> при началните &lt;40</w:t>
      </w:r>
      <w:r w:rsidRPr="00AE47C6">
        <w:rPr>
          <w:rFonts w:ascii="Times New Roman" w:eastAsia="SimSun" w:hAnsi="Times New Roman"/>
          <w:sz w:val="24"/>
          <w:szCs w:val="24"/>
          <w:vertAlign w:val="superscript"/>
        </w:rPr>
        <w:t>о</w:t>
      </w:r>
      <w:r w:rsidRPr="00AE47C6">
        <w:rPr>
          <w:rFonts w:ascii="Times New Roman" w:eastAsia="SimSun" w:hAnsi="Times New Roman"/>
          <w:sz w:val="24"/>
          <w:szCs w:val="24"/>
        </w:rPr>
        <w:t xml:space="preserve"> С. </w:t>
      </w:r>
    </w:p>
    <w:p w14:paraId="7C7C813C" w14:textId="77777777" w:rsidR="00BE0B19" w:rsidRPr="00AE47C6" w:rsidRDefault="00BE0B19" w:rsidP="00BE0B19">
      <w:pPr>
        <w:numPr>
          <w:ilvl w:val="0"/>
          <w:numId w:val="88"/>
        </w:numPr>
        <w:shd w:val="clear" w:color="auto" w:fill="FFFFFF"/>
        <w:tabs>
          <w:tab w:val="clear" w:pos="2480"/>
          <w:tab w:val="num" w:pos="36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Рискът за епилепсия след прост ФГ е 1% - 2,4%, а след усложнени- 4,1% - 6%. </w:t>
      </w:r>
    </w:p>
    <w:p w14:paraId="4F76D408" w14:textId="77777777" w:rsidR="00BE0B19" w:rsidRPr="00AE47C6" w:rsidRDefault="00BE0B19" w:rsidP="00BE0B19">
      <w:pPr>
        <w:shd w:val="clear" w:color="auto" w:fill="FFFFFF"/>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ДД при фебрилен гърч е представена на таблица 11.6.</w:t>
      </w:r>
    </w:p>
    <w:p w14:paraId="1CB10CDA" w14:textId="77777777" w:rsidR="00BE0B19" w:rsidRPr="00AE47C6" w:rsidRDefault="00BE0B19" w:rsidP="00BE0B19">
      <w:pPr>
        <w:shd w:val="clear" w:color="auto" w:fill="FFFFFF"/>
        <w:spacing w:after="0" w:line="360" w:lineRule="auto"/>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Таблица 11.6. Диференциална диагноза при фебрилен гърч</w:t>
      </w:r>
    </w:p>
    <w:tbl>
      <w:tblPr>
        <w:tblW w:w="87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48"/>
      </w:tblGrid>
      <w:tr w:rsidR="00BE0B19" w:rsidRPr="00AE47C6" w14:paraId="696B3386" w14:textId="77777777" w:rsidTr="00AD72E5">
        <w:tc>
          <w:tcPr>
            <w:tcW w:w="8748" w:type="dxa"/>
          </w:tcPr>
          <w:p w14:paraId="4F46C7C8" w14:textId="77777777" w:rsidR="00BE0B19" w:rsidRPr="00AE47C6" w:rsidRDefault="00BE0B19" w:rsidP="00BE0B19">
            <w:pPr>
              <w:spacing w:after="0" w:line="360" w:lineRule="auto"/>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Фебрилни гърчове</w:t>
            </w:r>
          </w:p>
        </w:tc>
      </w:tr>
      <w:tr w:rsidR="00BE0B19" w:rsidRPr="00AE47C6" w14:paraId="600FC70F" w14:textId="77777777" w:rsidTr="00AD72E5">
        <w:tc>
          <w:tcPr>
            <w:tcW w:w="8748" w:type="dxa"/>
          </w:tcPr>
          <w:p w14:paraId="50A47CC9"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Инфекция на ЦНС - менингит, енцефалит/енцефалопатия: </w:t>
            </w:r>
          </w:p>
          <w:p w14:paraId="51541471" w14:textId="77777777" w:rsidR="00BE0B19" w:rsidRPr="00AE47C6" w:rsidRDefault="00BE0B19" w:rsidP="00BE0B19">
            <w:pPr>
              <w:numPr>
                <w:ilvl w:val="0"/>
                <w:numId w:val="146"/>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Грипен енцефалит/ енцефалопатия</w:t>
            </w:r>
          </w:p>
          <w:p w14:paraId="21A122B2" w14:textId="77777777" w:rsidR="00BE0B19" w:rsidRPr="00AE47C6" w:rsidRDefault="00BE0B19" w:rsidP="00BE0B19">
            <w:pPr>
              <w:numPr>
                <w:ilvl w:val="0"/>
                <w:numId w:val="146"/>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Reye синдром с енцефалопатия</w:t>
            </w:r>
          </w:p>
          <w:p w14:paraId="3DBCD2DE" w14:textId="77777777" w:rsidR="00BE0B19" w:rsidRPr="00AE47C6" w:rsidRDefault="00BE0B19" w:rsidP="00BE0B19">
            <w:pPr>
              <w:numPr>
                <w:ilvl w:val="0"/>
                <w:numId w:val="146"/>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Остър енцефалит с фебрилен конвулсивен епилептичен статус</w:t>
            </w:r>
          </w:p>
          <w:p w14:paraId="0FF25E13" w14:textId="77777777" w:rsidR="00BE0B19" w:rsidRPr="00AE47C6" w:rsidRDefault="00BE0B19" w:rsidP="00BE0B19">
            <w:pPr>
              <w:numPr>
                <w:ilvl w:val="0"/>
                <w:numId w:val="146"/>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Остър енцефалит с рефрактерни, повтарящи се парциални пристъпи</w:t>
            </w:r>
          </w:p>
        </w:tc>
      </w:tr>
      <w:tr w:rsidR="00BE0B19" w:rsidRPr="00AE47C6" w14:paraId="401176FC" w14:textId="77777777" w:rsidTr="00AD72E5">
        <w:tc>
          <w:tcPr>
            <w:tcW w:w="8748" w:type="dxa"/>
          </w:tcPr>
          <w:p w14:paraId="58546137"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Епилепсия:</w:t>
            </w:r>
          </w:p>
          <w:p w14:paraId="382261DC" w14:textId="77777777" w:rsidR="00BE0B19" w:rsidRPr="00AE47C6" w:rsidRDefault="00BE0B19" w:rsidP="00BE0B19">
            <w:pPr>
              <w:numPr>
                <w:ilvl w:val="0"/>
                <w:numId w:val="147"/>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Синдром на Dravet (SMEI)</w:t>
            </w:r>
          </w:p>
          <w:p w14:paraId="1A10F776" w14:textId="77777777" w:rsidR="00BE0B19" w:rsidRPr="00AE47C6" w:rsidRDefault="00BE0B19" w:rsidP="00BE0B19">
            <w:pPr>
              <w:numPr>
                <w:ilvl w:val="0"/>
                <w:numId w:val="147"/>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Генерализирана епилепсия с фебрилни припадъци + (GEFS+)</w:t>
            </w:r>
          </w:p>
          <w:p w14:paraId="17F228BC" w14:textId="77777777" w:rsidR="00BE0B19" w:rsidRPr="00AE47C6" w:rsidRDefault="00BE0B19" w:rsidP="00BE0B19">
            <w:pPr>
              <w:numPr>
                <w:ilvl w:val="0"/>
                <w:numId w:val="147"/>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Фронталнодялова епилепсия с фебрилни припадъци +</w:t>
            </w:r>
          </w:p>
        </w:tc>
      </w:tr>
      <w:tr w:rsidR="00BE0B19" w:rsidRPr="00AE47C6" w14:paraId="39AC2D24" w14:textId="77777777" w:rsidTr="00AD72E5">
        <w:tc>
          <w:tcPr>
            <w:tcW w:w="8748" w:type="dxa"/>
          </w:tcPr>
          <w:p w14:paraId="790E6E58" w14:textId="77777777" w:rsidR="00BE0B19" w:rsidRPr="00AE47C6" w:rsidRDefault="00BE0B19" w:rsidP="00BE0B19">
            <w:pPr>
              <w:spacing w:after="0" w:line="360" w:lineRule="auto"/>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Инсулт</w:t>
            </w:r>
          </w:p>
        </w:tc>
      </w:tr>
      <w:tr w:rsidR="00BE0B19" w:rsidRPr="00AE47C6" w14:paraId="1C957941" w14:textId="77777777" w:rsidTr="00AD72E5">
        <w:tc>
          <w:tcPr>
            <w:tcW w:w="8748" w:type="dxa"/>
          </w:tcPr>
          <w:p w14:paraId="1D4C8BA2" w14:textId="77777777" w:rsidR="00BE0B19" w:rsidRPr="00AE47C6" w:rsidRDefault="00BE0B19" w:rsidP="00BE0B19">
            <w:pPr>
              <w:spacing w:after="0" w:line="360" w:lineRule="auto"/>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Дехидратация</w:t>
            </w:r>
          </w:p>
        </w:tc>
      </w:tr>
      <w:tr w:rsidR="00BE0B19" w:rsidRPr="00AE47C6" w14:paraId="5D2969EF" w14:textId="77777777" w:rsidTr="00AD72E5">
        <w:tc>
          <w:tcPr>
            <w:tcW w:w="8748" w:type="dxa"/>
          </w:tcPr>
          <w:p w14:paraId="2D597D51" w14:textId="77777777" w:rsidR="00BE0B19" w:rsidRPr="00AE47C6" w:rsidRDefault="00BE0B19" w:rsidP="00BE0B19">
            <w:pPr>
              <w:spacing w:after="0" w:line="360" w:lineRule="auto"/>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Конвулсии при гастроентерит</w:t>
            </w:r>
          </w:p>
        </w:tc>
      </w:tr>
    </w:tbl>
    <w:p w14:paraId="18D1EA0A" w14:textId="77777777" w:rsidR="00BE0B19" w:rsidRPr="00AE47C6" w:rsidRDefault="00BE0B19" w:rsidP="00BE0B19">
      <w:pPr>
        <w:spacing w:after="0" w:line="360" w:lineRule="auto"/>
        <w:jc w:val="both"/>
        <w:rPr>
          <w:rFonts w:ascii="Times New Roman" w:eastAsia="SimSun" w:hAnsi="Times New Roman"/>
          <w:b/>
          <w:bCs/>
          <w:i/>
          <w:iCs/>
          <w:sz w:val="24"/>
          <w:szCs w:val="24"/>
          <w:u w:val="single"/>
        </w:rPr>
      </w:pPr>
    </w:p>
    <w:p w14:paraId="480C50E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V. Епилептичен статус (ЕС</w:t>
      </w:r>
      <w:r w:rsidRPr="00AE47C6">
        <w:rPr>
          <w:rFonts w:ascii="Times New Roman" w:eastAsia="SimSun" w:hAnsi="Times New Roman"/>
          <w:caps/>
          <w:sz w:val="24"/>
          <w:szCs w:val="24"/>
        </w:rPr>
        <w:t>)</w:t>
      </w:r>
    </w:p>
    <w:p w14:paraId="1B88B4DE" w14:textId="77777777" w:rsidR="00BE0B19" w:rsidRPr="00AE47C6" w:rsidRDefault="00BE0B19" w:rsidP="00BE0B19">
      <w:pPr>
        <w:tabs>
          <w:tab w:val="left" w:pos="709"/>
        </w:tabs>
        <w:spacing w:after="0" w:line="360" w:lineRule="auto"/>
        <w:jc w:val="both"/>
        <w:rPr>
          <w:rFonts w:ascii="Times New Roman" w:eastAsia="SimSun" w:hAnsi="Times New Roman"/>
          <w:b/>
          <w:iCs/>
          <w:sz w:val="24"/>
          <w:szCs w:val="24"/>
        </w:rPr>
      </w:pPr>
      <w:r w:rsidRPr="00AE47C6">
        <w:rPr>
          <w:rFonts w:ascii="Times New Roman" w:eastAsia="SimSun" w:hAnsi="Times New Roman"/>
          <w:b/>
          <w:bCs/>
          <w:iCs/>
          <w:sz w:val="24"/>
          <w:szCs w:val="24"/>
        </w:rPr>
        <w:tab/>
        <w:t>Съвременна дефиниция и класификация на епилептичен статус (2015 г.)</w:t>
      </w:r>
    </w:p>
    <w:p w14:paraId="668F614B" w14:textId="77777777" w:rsidR="00BE0B19" w:rsidRPr="00AE47C6" w:rsidRDefault="00BE0B19" w:rsidP="00BE0B19">
      <w:pPr>
        <w:tabs>
          <w:tab w:val="left" w:pos="709"/>
        </w:tabs>
        <w:spacing w:after="0" w:line="360" w:lineRule="auto"/>
        <w:ind w:firstLine="709"/>
        <w:jc w:val="both"/>
        <w:rPr>
          <w:rFonts w:ascii="Times New Roman" w:eastAsia="SimSun" w:hAnsi="Times New Roman"/>
          <w:bCs/>
          <w:iCs/>
          <w:sz w:val="24"/>
          <w:szCs w:val="24"/>
        </w:rPr>
      </w:pPr>
      <w:r w:rsidRPr="00AE47C6">
        <w:rPr>
          <w:rFonts w:ascii="Times New Roman" w:eastAsia="SimSun" w:hAnsi="Times New Roman"/>
          <w:bCs/>
          <w:iCs/>
          <w:sz w:val="24"/>
          <w:szCs w:val="24"/>
        </w:rPr>
        <w:t>ЕС е състояние, което е резултат от невъзможност за действие на механизмите отговорни за прекратяване на пристъпите или от иницииране на механизми, който водят до абнормна продължителност на пристъпите (след t</w:t>
      </w:r>
      <w:r w:rsidRPr="00AE47C6">
        <w:rPr>
          <w:rFonts w:ascii="Times New Roman" w:eastAsia="SimSun" w:hAnsi="Times New Roman"/>
          <w:bCs/>
          <w:iCs/>
          <w:sz w:val="24"/>
          <w:szCs w:val="24"/>
          <w:vertAlign w:val="subscript"/>
        </w:rPr>
        <w:t>1</w:t>
      </w:r>
      <w:r w:rsidRPr="00AE47C6">
        <w:rPr>
          <w:rFonts w:ascii="Times New Roman" w:eastAsia="SimSun" w:hAnsi="Times New Roman"/>
          <w:bCs/>
          <w:iCs/>
          <w:sz w:val="24"/>
          <w:szCs w:val="24"/>
        </w:rPr>
        <w:t>). Това е състояние, което може да има продължителни последствия (след t</w:t>
      </w:r>
      <w:r w:rsidRPr="00AE47C6">
        <w:rPr>
          <w:rFonts w:ascii="Times New Roman" w:eastAsia="SimSun" w:hAnsi="Times New Roman"/>
          <w:bCs/>
          <w:iCs/>
          <w:sz w:val="24"/>
          <w:szCs w:val="24"/>
          <w:vertAlign w:val="subscript"/>
        </w:rPr>
        <w:t>2</w:t>
      </w:r>
      <w:r w:rsidRPr="00AE47C6">
        <w:rPr>
          <w:rFonts w:ascii="Times New Roman" w:eastAsia="SimSun" w:hAnsi="Times New Roman"/>
          <w:bCs/>
          <w:iCs/>
          <w:sz w:val="24"/>
          <w:szCs w:val="24"/>
        </w:rPr>
        <w:t>), вкл. невронна увреда и смърт, увреда на невронни мрежи, в зависимост от вида и продължителността на пристъпите (таблица 11.7).</w:t>
      </w:r>
    </w:p>
    <w:p w14:paraId="25946060" w14:textId="77777777" w:rsidR="00BE0B19" w:rsidRPr="00AE47C6" w:rsidRDefault="00BE0B19" w:rsidP="00BE0B19">
      <w:pPr>
        <w:tabs>
          <w:tab w:val="left" w:pos="709"/>
        </w:tabs>
        <w:spacing w:after="0" w:line="360" w:lineRule="auto"/>
        <w:jc w:val="both"/>
        <w:rPr>
          <w:rFonts w:ascii="Times New Roman" w:eastAsia="SimSun" w:hAnsi="Times New Roman"/>
          <w:bCs/>
          <w:iCs/>
          <w:sz w:val="24"/>
          <w:szCs w:val="24"/>
        </w:rPr>
      </w:pPr>
      <w:r w:rsidRPr="00AE47C6">
        <w:rPr>
          <w:rFonts w:ascii="Times New Roman" w:eastAsia="SimSun" w:hAnsi="Times New Roman"/>
          <w:b/>
          <w:bCs/>
          <w:iCs/>
          <w:sz w:val="24"/>
          <w:szCs w:val="24"/>
        </w:rPr>
        <w:tab/>
      </w:r>
      <w:r w:rsidRPr="00AE47C6">
        <w:rPr>
          <w:rFonts w:ascii="Times New Roman" w:eastAsia="SimSun" w:hAnsi="Times New Roman"/>
          <w:bCs/>
          <w:iCs/>
          <w:sz w:val="24"/>
          <w:szCs w:val="24"/>
        </w:rPr>
        <w:t>Дефиницията има 2 измерения:</w:t>
      </w:r>
    </w:p>
    <w:p w14:paraId="48420C74" w14:textId="77777777" w:rsidR="00BE0B19" w:rsidRPr="00AE47C6" w:rsidRDefault="00BE0B19" w:rsidP="00BE0B19">
      <w:pPr>
        <w:tabs>
          <w:tab w:val="left" w:pos="709"/>
        </w:tabs>
        <w:spacing w:after="0" w:line="360" w:lineRule="auto"/>
        <w:jc w:val="both"/>
        <w:rPr>
          <w:rFonts w:ascii="Times New Roman" w:eastAsia="SimSun" w:hAnsi="Times New Roman"/>
          <w:bCs/>
          <w:iCs/>
          <w:sz w:val="24"/>
          <w:szCs w:val="24"/>
        </w:rPr>
      </w:pPr>
      <w:r w:rsidRPr="00AE47C6">
        <w:rPr>
          <w:rFonts w:ascii="Times New Roman" w:eastAsia="SimSun" w:hAnsi="Times New Roman"/>
          <w:b/>
          <w:bCs/>
          <w:iCs/>
          <w:sz w:val="24"/>
          <w:szCs w:val="24"/>
        </w:rPr>
        <w:tab/>
      </w:r>
      <w:r w:rsidRPr="00AE47C6">
        <w:rPr>
          <w:rFonts w:ascii="Times New Roman" w:eastAsia="SimSun" w:hAnsi="Times New Roman"/>
          <w:bCs/>
          <w:iCs/>
          <w:sz w:val="24"/>
          <w:szCs w:val="24"/>
        </w:rPr>
        <w:t>1. Продължителност на пристъпа и моментът t</w:t>
      </w:r>
      <w:r w:rsidRPr="00AE47C6">
        <w:rPr>
          <w:rFonts w:ascii="Times New Roman" w:eastAsia="SimSun" w:hAnsi="Times New Roman"/>
          <w:bCs/>
          <w:iCs/>
          <w:sz w:val="24"/>
          <w:szCs w:val="24"/>
          <w:vertAlign w:val="subscript"/>
        </w:rPr>
        <w:t>1,</w:t>
      </w:r>
      <w:r w:rsidRPr="00AE47C6">
        <w:rPr>
          <w:rFonts w:ascii="Times New Roman" w:eastAsia="SimSun" w:hAnsi="Times New Roman"/>
          <w:bCs/>
          <w:iCs/>
          <w:sz w:val="24"/>
          <w:szCs w:val="24"/>
        </w:rPr>
        <w:t xml:space="preserve"> в който пристъпът трябва да се разглежда като “абнормно пролонгиран”. Това е времето, когато трябва да се обмисля и започва лечение. </w:t>
      </w:r>
    </w:p>
    <w:p w14:paraId="28E4A638" w14:textId="77777777" w:rsidR="00BE0B19" w:rsidRPr="00AE47C6" w:rsidRDefault="00BE0B19" w:rsidP="00BE0B19">
      <w:pPr>
        <w:tabs>
          <w:tab w:val="left" w:pos="709"/>
        </w:tabs>
        <w:spacing w:after="0" w:line="360" w:lineRule="auto"/>
        <w:jc w:val="both"/>
        <w:rPr>
          <w:rFonts w:ascii="Times New Roman" w:eastAsia="SimSun" w:hAnsi="Times New Roman"/>
          <w:bCs/>
          <w:iCs/>
          <w:sz w:val="24"/>
          <w:szCs w:val="24"/>
        </w:rPr>
      </w:pPr>
      <w:r w:rsidRPr="00AE47C6">
        <w:rPr>
          <w:rFonts w:ascii="Times New Roman" w:eastAsia="SimSun" w:hAnsi="Times New Roman"/>
          <w:bCs/>
          <w:iCs/>
          <w:sz w:val="24"/>
          <w:szCs w:val="24"/>
        </w:rPr>
        <w:tab/>
        <w:t>2. Времето, след което рискът за продължителни последствия е голям (t</w:t>
      </w:r>
      <w:r w:rsidRPr="00AE47C6">
        <w:rPr>
          <w:rFonts w:ascii="Times New Roman" w:eastAsia="SimSun" w:hAnsi="Times New Roman"/>
          <w:bCs/>
          <w:iCs/>
          <w:sz w:val="24"/>
          <w:szCs w:val="24"/>
          <w:vertAlign w:val="subscript"/>
        </w:rPr>
        <w:t>2</w:t>
      </w:r>
      <w:r w:rsidRPr="00AE47C6">
        <w:rPr>
          <w:rFonts w:ascii="Times New Roman" w:eastAsia="SimSun" w:hAnsi="Times New Roman"/>
          <w:bCs/>
          <w:iCs/>
          <w:sz w:val="24"/>
          <w:szCs w:val="24"/>
        </w:rPr>
        <w:t>). Това е моментът, в който се взема решение колко агресивно да бъде лечението с цел предотвратяване на продължителни последствия.</w:t>
      </w:r>
    </w:p>
    <w:p w14:paraId="66C97148" w14:textId="77777777" w:rsidR="00BE0B19" w:rsidRPr="00AE47C6" w:rsidRDefault="00BE0B19" w:rsidP="00BE0B19">
      <w:pPr>
        <w:tabs>
          <w:tab w:val="left" w:pos="709"/>
        </w:tabs>
        <w:spacing w:after="0" w:line="360" w:lineRule="auto"/>
        <w:jc w:val="both"/>
        <w:rPr>
          <w:rFonts w:ascii="Times New Roman" w:eastAsia="SimSun" w:hAnsi="Times New Roman"/>
          <w:iCs/>
          <w:sz w:val="24"/>
          <w:szCs w:val="24"/>
        </w:rPr>
      </w:pPr>
      <w:r w:rsidRPr="00AE47C6">
        <w:rPr>
          <w:rFonts w:ascii="Times New Roman" w:eastAsia="SimSun" w:hAnsi="Times New Roman"/>
          <w:bCs/>
          <w:iCs/>
          <w:sz w:val="24"/>
          <w:szCs w:val="24"/>
        </w:rPr>
        <w:tab/>
        <w:t>На базата на експериментални модели с животни за мозъчна увреда са определени t</w:t>
      </w:r>
      <w:r w:rsidRPr="00AE47C6">
        <w:rPr>
          <w:rFonts w:ascii="Times New Roman" w:eastAsia="SimSun" w:hAnsi="Times New Roman"/>
          <w:bCs/>
          <w:iCs/>
          <w:sz w:val="24"/>
          <w:szCs w:val="24"/>
          <w:vertAlign w:val="subscript"/>
        </w:rPr>
        <w:t xml:space="preserve">1 </w:t>
      </w:r>
      <w:r w:rsidRPr="00AE47C6">
        <w:rPr>
          <w:rFonts w:ascii="Times New Roman" w:eastAsia="SimSun" w:hAnsi="Times New Roman"/>
          <w:bCs/>
          <w:iCs/>
          <w:sz w:val="24"/>
          <w:szCs w:val="24"/>
        </w:rPr>
        <w:t>и t</w:t>
      </w:r>
      <w:r w:rsidRPr="00AE47C6">
        <w:rPr>
          <w:rFonts w:ascii="Times New Roman" w:eastAsia="SimSun" w:hAnsi="Times New Roman"/>
          <w:bCs/>
          <w:iCs/>
          <w:sz w:val="24"/>
          <w:szCs w:val="24"/>
          <w:vertAlign w:val="subscript"/>
        </w:rPr>
        <w:t xml:space="preserve">2 </w:t>
      </w:r>
      <w:r w:rsidRPr="00AE47C6">
        <w:rPr>
          <w:rFonts w:ascii="Times New Roman" w:eastAsia="SimSun" w:hAnsi="Times New Roman"/>
          <w:bCs/>
          <w:iCs/>
          <w:sz w:val="24"/>
          <w:szCs w:val="24"/>
        </w:rPr>
        <w:t>при някои видове пристъпи</w:t>
      </w:r>
      <w:r w:rsidRPr="00AE47C6">
        <w:rPr>
          <w:rFonts w:ascii="Times New Roman" w:eastAsia="SimSun" w:hAnsi="Times New Roman"/>
          <w:bCs/>
          <w:i/>
          <w:iCs/>
          <w:sz w:val="24"/>
          <w:szCs w:val="24"/>
        </w:rPr>
        <w:t>.</w:t>
      </w:r>
      <w:r w:rsidRPr="00AE47C6">
        <w:rPr>
          <w:rFonts w:ascii="Times New Roman" w:eastAsia="SimSun" w:hAnsi="Times New Roman"/>
          <w:bCs/>
          <w:i/>
          <w:iCs/>
          <w:sz w:val="24"/>
          <w:szCs w:val="24"/>
        </w:rPr>
        <w:tab/>
      </w:r>
    </w:p>
    <w:p w14:paraId="590BC72C" w14:textId="77777777" w:rsidR="00BE0B19" w:rsidRPr="00AE47C6" w:rsidRDefault="00BE0B19" w:rsidP="00BE0B19">
      <w:pPr>
        <w:spacing w:after="0" w:line="360" w:lineRule="auto"/>
        <w:ind w:firstLine="720"/>
        <w:jc w:val="both"/>
        <w:rPr>
          <w:rFonts w:ascii="Times New Roman" w:eastAsia="SimSun" w:hAnsi="Times New Roman"/>
          <w:b/>
          <w:iCs/>
          <w:sz w:val="24"/>
          <w:szCs w:val="24"/>
        </w:rPr>
      </w:pPr>
      <w:r w:rsidRPr="00AE47C6">
        <w:rPr>
          <w:rFonts w:ascii="Times New Roman" w:eastAsia="SimSun" w:hAnsi="Times New Roman"/>
          <w:b/>
          <w:iCs/>
          <w:sz w:val="24"/>
          <w:szCs w:val="24"/>
        </w:rPr>
        <w:t>Таблица 11. 7. Времеви интервали t</w:t>
      </w:r>
      <w:r w:rsidRPr="00AE47C6">
        <w:rPr>
          <w:rFonts w:ascii="Times New Roman" w:eastAsia="SimSun" w:hAnsi="Times New Roman"/>
          <w:b/>
          <w:iCs/>
          <w:sz w:val="24"/>
          <w:szCs w:val="24"/>
          <w:vertAlign w:val="subscript"/>
        </w:rPr>
        <w:t xml:space="preserve">1 </w:t>
      </w:r>
      <w:r w:rsidRPr="00AE47C6">
        <w:rPr>
          <w:rFonts w:ascii="Times New Roman" w:eastAsia="SimSun" w:hAnsi="Times New Roman"/>
          <w:b/>
          <w:iCs/>
          <w:sz w:val="24"/>
          <w:szCs w:val="24"/>
        </w:rPr>
        <w:t>и t</w:t>
      </w:r>
      <w:r w:rsidRPr="00AE47C6">
        <w:rPr>
          <w:rFonts w:ascii="Times New Roman" w:eastAsia="SimSun" w:hAnsi="Times New Roman"/>
          <w:b/>
          <w:iCs/>
          <w:sz w:val="24"/>
          <w:szCs w:val="24"/>
          <w:vertAlign w:val="subscript"/>
        </w:rPr>
        <w:t>2</w:t>
      </w:r>
      <w:r w:rsidRPr="00AE47C6">
        <w:rPr>
          <w:rFonts w:ascii="Times New Roman" w:eastAsia="SimSun" w:hAnsi="Times New Roman"/>
          <w:b/>
          <w:iCs/>
          <w:sz w:val="24"/>
          <w:szCs w:val="24"/>
        </w:rPr>
        <w:t>за различни видове ЕС</w:t>
      </w:r>
    </w:p>
    <w:tbl>
      <w:tblPr>
        <w:tblStyle w:val="TableGrid2"/>
        <w:tblW w:w="8959" w:type="dxa"/>
        <w:tblInd w:w="392" w:type="dxa"/>
        <w:tblLook w:val="04A0" w:firstRow="1" w:lastRow="0" w:firstColumn="1" w:lastColumn="0" w:noHBand="0" w:noVBand="1"/>
      </w:tblPr>
      <w:tblGrid>
        <w:gridCol w:w="2835"/>
        <w:gridCol w:w="3402"/>
        <w:gridCol w:w="2722"/>
      </w:tblGrid>
      <w:tr w:rsidR="00BE0B19" w:rsidRPr="00AE47C6" w14:paraId="386F6D1B" w14:textId="77777777" w:rsidTr="00AD72E5">
        <w:trPr>
          <w:trHeight w:val="305"/>
        </w:trPr>
        <w:tc>
          <w:tcPr>
            <w:tcW w:w="2835" w:type="dxa"/>
            <w:hideMark/>
          </w:tcPr>
          <w:p w14:paraId="33E4D207" w14:textId="77777777" w:rsidR="00BE0B19" w:rsidRPr="00AE47C6" w:rsidRDefault="00BE0B19" w:rsidP="00BE0B19">
            <w:pPr>
              <w:spacing w:after="0" w:line="360" w:lineRule="auto"/>
              <w:jc w:val="both"/>
              <w:rPr>
                <w:rFonts w:ascii="Times New Roman" w:hAnsi="Times New Roman"/>
                <w:b/>
                <w:iCs/>
                <w:sz w:val="24"/>
                <w:szCs w:val="24"/>
              </w:rPr>
            </w:pPr>
            <w:r w:rsidRPr="00AE47C6">
              <w:rPr>
                <w:rFonts w:ascii="Times New Roman" w:hAnsi="Times New Roman"/>
                <w:b/>
                <w:iCs/>
                <w:sz w:val="24"/>
                <w:szCs w:val="24"/>
              </w:rPr>
              <w:t xml:space="preserve"> Вид ЕС</w:t>
            </w:r>
          </w:p>
        </w:tc>
        <w:tc>
          <w:tcPr>
            <w:tcW w:w="3402" w:type="dxa"/>
            <w:hideMark/>
          </w:tcPr>
          <w:p w14:paraId="6C5A37B9"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b/>
                <w:iCs/>
                <w:sz w:val="24"/>
                <w:szCs w:val="24"/>
              </w:rPr>
              <w:t>Времеви интервал t</w:t>
            </w:r>
            <w:r w:rsidRPr="00AE47C6">
              <w:rPr>
                <w:rFonts w:ascii="Times New Roman" w:hAnsi="Times New Roman"/>
                <w:b/>
                <w:iCs/>
                <w:sz w:val="24"/>
                <w:szCs w:val="24"/>
                <w:vertAlign w:val="subscript"/>
              </w:rPr>
              <w:t xml:space="preserve">1 </w:t>
            </w:r>
            <w:r w:rsidRPr="00AE47C6">
              <w:rPr>
                <w:rFonts w:ascii="Times New Roman" w:hAnsi="Times New Roman"/>
                <w:b/>
                <w:bCs/>
                <w:kern w:val="24"/>
                <w:sz w:val="24"/>
                <w:szCs w:val="24"/>
                <w:lang w:eastAsia="bg-BG"/>
              </w:rPr>
              <w:t>о</w:t>
            </w:r>
            <w:r w:rsidRPr="00AE47C6">
              <w:rPr>
                <w:rFonts w:ascii="Times New Roman" w:hAnsi="Times New Roman"/>
                <w:b/>
                <w:bCs/>
                <w:kern w:val="24"/>
                <w:position w:val="-12"/>
                <w:sz w:val="24"/>
                <w:szCs w:val="24"/>
                <w:vertAlign w:val="subscript"/>
                <w:lang w:eastAsia="bg-BG"/>
              </w:rPr>
              <w:t>1</w:t>
            </w:r>
          </w:p>
        </w:tc>
        <w:tc>
          <w:tcPr>
            <w:tcW w:w="2722" w:type="dxa"/>
            <w:hideMark/>
          </w:tcPr>
          <w:p w14:paraId="5C18A499"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b/>
                <w:iCs/>
                <w:sz w:val="24"/>
                <w:szCs w:val="24"/>
              </w:rPr>
              <w:t>Времеви интервал t</w:t>
            </w:r>
            <w:r w:rsidRPr="00AE47C6">
              <w:rPr>
                <w:rFonts w:ascii="Times New Roman" w:hAnsi="Times New Roman"/>
                <w:b/>
                <w:iCs/>
                <w:sz w:val="24"/>
                <w:szCs w:val="24"/>
                <w:vertAlign w:val="subscript"/>
              </w:rPr>
              <w:t>2</w:t>
            </w:r>
            <w:r w:rsidRPr="00AE47C6">
              <w:rPr>
                <w:rFonts w:ascii="Times New Roman" w:hAnsi="Times New Roman"/>
                <w:b/>
                <w:bCs/>
                <w:kern w:val="24"/>
                <w:sz w:val="24"/>
                <w:szCs w:val="24"/>
                <w:lang w:eastAsia="bg-BG"/>
              </w:rPr>
              <w:t xml:space="preserve"> t</w:t>
            </w:r>
            <w:r w:rsidRPr="00AE47C6">
              <w:rPr>
                <w:rFonts w:ascii="Times New Roman" w:hAnsi="Times New Roman"/>
                <w:b/>
                <w:bCs/>
                <w:kern w:val="24"/>
                <w:position w:val="-12"/>
                <w:sz w:val="24"/>
                <w:szCs w:val="24"/>
                <w:vertAlign w:val="subscript"/>
                <w:lang w:eastAsia="bg-BG"/>
              </w:rPr>
              <w:t>2</w:t>
            </w:r>
          </w:p>
        </w:tc>
      </w:tr>
      <w:tr w:rsidR="00BE0B19" w:rsidRPr="00AE47C6" w14:paraId="60CCF0F3" w14:textId="77777777" w:rsidTr="00AD72E5">
        <w:trPr>
          <w:trHeight w:val="336"/>
        </w:trPr>
        <w:tc>
          <w:tcPr>
            <w:tcW w:w="2835" w:type="dxa"/>
            <w:hideMark/>
          </w:tcPr>
          <w:p w14:paraId="25B97163"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kern w:val="24"/>
                <w:sz w:val="24"/>
                <w:szCs w:val="24"/>
                <w:lang w:eastAsia="bg-BG"/>
              </w:rPr>
              <w:t>Тонично-клоничен</w:t>
            </w:r>
          </w:p>
        </w:tc>
        <w:tc>
          <w:tcPr>
            <w:tcW w:w="3402" w:type="dxa"/>
            <w:hideMark/>
          </w:tcPr>
          <w:p w14:paraId="563FAEDE"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kern w:val="24"/>
                <w:sz w:val="24"/>
                <w:szCs w:val="24"/>
                <w:lang w:eastAsia="bg-BG"/>
              </w:rPr>
              <w:t xml:space="preserve">5 мин. </w:t>
            </w:r>
          </w:p>
        </w:tc>
        <w:tc>
          <w:tcPr>
            <w:tcW w:w="2722" w:type="dxa"/>
            <w:hideMark/>
          </w:tcPr>
          <w:p w14:paraId="6424548F"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kern w:val="24"/>
                <w:sz w:val="24"/>
                <w:szCs w:val="24"/>
                <w:lang w:eastAsia="bg-BG"/>
              </w:rPr>
              <w:t xml:space="preserve">30 мин. </w:t>
            </w:r>
          </w:p>
        </w:tc>
      </w:tr>
      <w:tr w:rsidR="00BE0B19" w:rsidRPr="00AE47C6" w14:paraId="33663BA3" w14:textId="77777777" w:rsidTr="00AD72E5">
        <w:trPr>
          <w:trHeight w:val="584"/>
        </w:trPr>
        <w:tc>
          <w:tcPr>
            <w:tcW w:w="2835" w:type="dxa"/>
            <w:hideMark/>
          </w:tcPr>
          <w:p w14:paraId="314495E9"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kern w:val="24"/>
                <w:sz w:val="24"/>
                <w:szCs w:val="24"/>
                <w:lang w:eastAsia="bg-BG"/>
              </w:rPr>
              <w:t xml:space="preserve">Фокален с нарушено съзнание </w:t>
            </w:r>
          </w:p>
        </w:tc>
        <w:tc>
          <w:tcPr>
            <w:tcW w:w="3402" w:type="dxa"/>
            <w:hideMark/>
          </w:tcPr>
          <w:p w14:paraId="2F37DA3F"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kern w:val="24"/>
                <w:sz w:val="24"/>
                <w:szCs w:val="24"/>
                <w:lang w:eastAsia="bg-BG"/>
              </w:rPr>
              <w:t xml:space="preserve">10 мин. </w:t>
            </w:r>
          </w:p>
        </w:tc>
        <w:tc>
          <w:tcPr>
            <w:tcW w:w="2722" w:type="dxa"/>
            <w:hideMark/>
          </w:tcPr>
          <w:p w14:paraId="0CBC6B1F"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kern w:val="24"/>
                <w:sz w:val="24"/>
                <w:szCs w:val="24"/>
                <w:lang w:eastAsia="bg-BG"/>
              </w:rPr>
              <w:t xml:space="preserve">&gt; 60 мин. </w:t>
            </w:r>
          </w:p>
        </w:tc>
      </w:tr>
      <w:tr w:rsidR="00BE0B19" w:rsidRPr="00AE47C6" w14:paraId="1E037A0F" w14:textId="77777777" w:rsidTr="00AD72E5">
        <w:trPr>
          <w:trHeight w:val="584"/>
        </w:trPr>
        <w:tc>
          <w:tcPr>
            <w:tcW w:w="2835" w:type="dxa"/>
            <w:hideMark/>
          </w:tcPr>
          <w:p w14:paraId="740A989B"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kern w:val="24"/>
                <w:sz w:val="24"/>
                <w:szCs w:val="24"/>
                <w:lang w:eastAsia="bg-BG"/>
              </w:rPr>
              <w:t>Абсансен</w:t>
            </w:r>
          </w:p>
        </w:tc>
        <w:tc>
          <w:tcPr>
            <w:tcW w:w="3402" w:type="dxa"/>
            <w:hideMark/>
          </w:tcPr>
          <w:p w14:paraId="558D5B95"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kern w:val="24"/>
                <w:sz w:val="24"/>
                <w:szCs w:val="24"/>
                <w:lang w:eastAsia="bg-BG"/>
              </w:rPr>
              <w:t xml:space="preserve">10-15 мин. (възможни промени в бъдеще – ограничени данни) </w:t>
            </w:r>
          </w:p>
        </w:tc>
        <w:tc>
          <w:tcPr>
            <w:tcW w:w="2722" w:type="dxa"/>
            <w:hideMark/>
          </w:tcPr>
          <w:p w14:paraId="2AFF44E9" w14:textId="77777777" w:rsidR="00BE0B19" w:rsidRPr="00AE47C6" w:rsidRDefault="00BE0B19" w:rsidP="00BE0B19">
            <w:pPr>
              <w:spacing w:after="0" w:line="360" w:lineRule="auto"/>
              <w:jc w:val="both"/>
              <w:rPr>
                <w:rFonts w:ascii="Times New Roman" w:hAnsi="Times New Roman"/>
                <w:sz w:val="24"/>
                <w:szCs w:val="24"/>
                <w:lang w:eastAsia="bg-BG"/>
              </w:rPr>
            </w:pPr>
            <w:r w:rsidRPr="00AE47C6">
              <w:rPr>
                <w:rFonts w:ascii="Times New Roman" w:hAnsi="Times New Roman"/>
                <w:kern w:val="24"/>
                <w:sz w:val="24"/>
                <w:szCs w:val="24"/>
                <w:lang w:eastAsia="bg-BG"/>
              </w:rPr>
              <w:t xml:space="preserve">Неизвестен </w:t>
            </w:r>
          </w:p>
        </w:tc>
      </w:tr>
    </w:tbl>
    <w:p w14:paraId="066E5C02" w14:textId="77777777" w:rsidR="00BE0B19" w:rsidRPr="00AE47C6" w:rsidRDefault="00BE0B19" w:rsidP="00BE0B19">
      <w:pPr>
        <w:tabs>
          <w:tab w:val="left" w:pos="0"/>
          <w:tab w:val="left" w:pos="284"/>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r>
    </w:p>
    <w:p w14:paraId="52CC61F0" w14:textId="77777777" w:rsidR="00BE0B19" w:rsidRPr="00AE47C6" w:rsidRDefault="00BE0B19" w:rsidP="00BE0B19">
      <w:pPr>
        <w:tabs>
          <w:tab w:val="left" w:pos="0"/>
          <w:tab w:val="left" w:pos="284"/>
        </w:tabs>
        <w:spacing w:after="0" w:line="360" w:lineRule="auto"/>
        <w:jc w:val="both"/>
        <w:rPr>
          <w:rFonts w:ascii="Times New Roman" w:eastAsia="SimSun" w:hAnsi="Times New Roman"/>
          <w:iCs/>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t>EС е най-чест до 5-годишна възраст и след 65 години. В 1/3 от случаите възниква при епилепсия (грешки в лечението, внезапно преустановяване на лечението, интеркурентни заболявания и т.н.), в 1/3 е остър симптоматичен (в хода на мозъчен инсулт, аноксия, краниална травма, инфекция на ЦНС, метаболитни нарушения, алкохолна абстиненция, тумор, медикаментозна интоксикация), а в 1/3 причините остават неизяснени. При продължаващ над 30 мин. конвулсивен ЕС настъпват увреди на ЦНС (вазодилатация, нарушена кръвно-мозъчна бариера, увеличено вътречерепно налягане, мозъчен оток, невронна смърт). При продължителност над 60 мин. ЕС се приема за рефрактерен, а при продължителност над 24 ч. – за суперрефрактерен. При рефрактерен и суперрефрактерен ЕС смъртността е 32%.</w:t>
      </w:r>
    </w:p>
    <w:p w14:paraId="05D60A49" w14:textId="77777777" w:rsidR="00BE0B19" w:rsidRPr="00AE47C6" w:rsidRDefault="00BE0B19" w:rsidP="00BE0B19">
      <w:pPr>
        <w:tabs>
          <w:tab w:val="left" w:pos="0"/>
          <w:tab w:val="left" w:pos="284"/>
        </w:tabs>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ab/>
      </w:r>
      <w:r w:rsidRPr="00AE47C6">
        <w:rPr>
          <w:rFonts w:ascii="Times New Roman" w:eastAsia="SimSun" w:hAnsi="Times New Roman"/>
          <w:iCs/>
          <w:sz w:val="24"/>
          <w:szCs w:val="24"/>
        </w:rPr>
        <w:tab/>
        <w:t xml:space="preserve">Предложени са </w:t>
      </w:r>
      <w:r w:rsidRPr="00AE47C6">
        <w:rPr>
          <w:rFonts w:ascii="Times New Roman" w:eastAsia="SimSun" w:hAnsi="Times New Roman"/>
          <w:b/>
          <w:bCs/>
          <w:iCs/>
          <w:sz w:val="24"/>
          <w:szCs w:val="24"/>
        </w:rPr>
        <w:t xml:space="preserve">4 диагностични оси </w:t>
      </w:r>
      <w:r w:rsidRPr="00AE47C6">
        <w:rPr>
          <w:rFonts w:ascii="Times New Roman" w:eastAsia="SimSun" w:hAnsi="Times New Roman"/>
          <w:iCs/>
          <w:sz w:val="24"/>
          <w:szCs w:val="24"/>
        </w:rPr>
        <w:t>за класификация на ЕС:</w:t>
      </w:r>
    </w:p>
    <w:p w14:paraId="7F553AAD" w14:textId="77777777" w:rsidR="00BE0B19" w:rsidRPr="00AE47C6" w:rsidRDefault="00BE0B19" w:rsidP="00BE0B19">
      <w:pPr>
        <w:numPr>
          <w:ilvl w:val="0"/>
          <w:numId w:val="177"/>
        </w:numPr>
        <w:tabs>
          <w:tab w:val="left" w:pos="0"/>
          <w:tab w:val="left" w:pos="284"/>
          <w:tab w:val="left" w:pos="993"/>
        </w:tabs>
        <w:spacing w:after="0" w:line="360" w:lineRule="auto"/>
        <w:ind w:left="0" w:firstLine="709"/>
        <w:jc w:val="both"/>
        <w:rPr>
          <w:rFonts w:ascii="Times New Roman" w:eastAsia="SimSun" w:hAnsi="Times New Roman"/>
          <w:b/>
          <w:iCs/>
          <w:sz w:val="24"/>
          <w:szCs w:val="24"/>
        </w:rPr>
      </w:pPr>
      <w:r w:rsidRPr="00AE47C6">
        <w:rPr>
          <w:rFonts w:ascii="Times New Roman" w:eastAsia="SimSun" w:hAnsi="Times New Roman"/>
          <w:b/>
          <w:bCs/>
          <w:iCs/>
          <w:sz w:val="24"/>
          <w:szCs w:val="24"/>
        </w:rPr>
        <w:t xml:space="preserve">Семиология </w:t>
      </w:r>
    </w:p>
    <w:p w14:paraId="03B90CD7" w14:textId="77777777" w:rsidR="00BE0B19" w:rsidRPr="00AE47C6" w:rsidRDefault="00BE0B19" w:rsidP="00BE0B19">
      <w:pPr>
        <w:numPr>
          <w:ilvl w:val="0"/>
          <w:numId w:val="177"/>
        </w:numPr>
        <w:tabs>
          <w:tab w:val="left" w:pos="0"/>
          <w:tab w:val="left" w:pos="284"/>
          <w:tab w:val="left" w:pos="993"/>
        </w:tabs>
        <w:spacing w:after="0" w:line="360" w:lineRule="auto"/>
        <w:ind w:left="0" w:firstLine="709"/>
        <w:jc w:val="both"/>
        <w:rPr>
          <w:rFonts w:ascii="Times New Roman" w:eastAsia="SimSun" w:hAnsi="Times New Roman"/>
          <w:b/>
          <w:iCs/>
          <w:sz w:val="24"/>
          <w:szCs w:val="24"/>
        </w:rPr>
      </w:pPr>
      <w:r w:rsidRPr="00AE47C6">
        <w:rPr>
          <w:rFonts w:ascii="Times New Roman" w:eastAsia="SimSun" w:hAnsi="Times New Roman"/>
          <w:b/>
          <w:bCs/>
          <w:iCs/>
          <w:sz w:val="24"/>
          <w:szCs w:val="24"/>
        </w:rPr>
        <w:t>Етиология</w:t>
      </w:r>
    </w:p>
    <w:p w14:paraId="6D2E4FAC" w14:textId="77777777" w:rsidR="00BE0B19" w:rsidRPr="00AE47C6" w:rsidRDefault="00BE0B19" w:rsidP="00BE0B19">
      <w:pPr>
        <w:numPr>
          <w:ilvl w:val="0"/>
          <w:numId w:val="177"/>
        </w:numPr>
        <w:tabs>
          <w:tab w:val="left" w:pos="0"/>
          <w:tab w:val="left" w:pos="284"/>
          <w:tab w:val="left" w:pos="993"/>
        </w:tabs>
        <w:spacing w:after="0" w:line="360" w:lineRule="auto"/>
        <w:ind w:left="0" w:firstLine="709"/>
        <w:jc w:val="both"/>
        <w:rPr>
          <w:rFonts w:ascii="Times New Roman" w:eastAsia="SimSun" w:hAnsi="Times New Roman"/>
          <w:b/>
          <w:iCs/>
          <w:sz w:val="24"/>
          <w:szCs w:val="24"/>
        </w:rPr>
      </w:pPr>
      <w:r w:rsidRPr="00AE47C6">
        <w:rPr>
          <w:rFonts w:ascii="Times New Roman" w:eastAsia="SimSun" w:hAnsi="Times New Roman"/>
          <w:b/>
          <w:bCs/>
          <w:iCs/>
          <w:sz w:val="24"/>
          <w:szCs w:val="24"/>
        </w:rPr>
        <w:t>ЕЕГ корелати</w:t>
      </w:r>
    </w:p>
    <w:p w14:paraId="24B362D6" w14:textId="77777777" w:rsidR="00BE0B19" w:rsidRPr="00AE47C6" w:rsidRDefault="00BE0B19" w:rsidP="00BE0B19">
      <w:pPr>
        <w:tabs>
          <w:tab w:val="left" w:pos="0"/>
          <w:tab w:val="left" w:pos="284"/>
          <w:tab w:val="left" w:pos="993"/>
        </w:tabs>
        <w:spacing w:after="0" w:line="360" w:lineRule="auto"/>
        <w:ind w:firstLine="709"/>
        <w:jc w:val="both"/>
        <w:rPr>
          <w:rFonts w:ascii="Times New Roman" w:eastAsia="SimSun" w:hAnsi="Times New Roman"/>
          <w:b/>
          <w:bCs/>
          <w:iCs/>
          <w:sz w:val="24"/>
          <w:szCs w:val="24"/>
        </w:rPr>
      </w:pPr>
      <w:r w:rsidRPr="00AE47C6">
        <w:rPr>
          <w:rFonts w:ascii="Times New Roman" w:eastAsia="SimSun" w:hAnsi="Times New Roman"/>
          <w:b/>
          <w:bCs/>
          <w:iCs/>
          <w:sz w:val="24"/>
          <w:szCs w:val="24"/>
        </w:rPr>
        <w:t>4. Възраст</w:t>
      </w:r>
    </w:p>
    <w:p w14:paraId="10E36E35" w14:textId="77777777" w:rsidR="00BE0B19" w:rsidRPr="00AE47C6" w:rsidRDefault="00BE0B19" w:rsidP="00BE0B19">
      <w:pPr>
        <w:spacing w:after="0" w:line="360" w:lineRule="auto"/>
        <w:ind w:firstLine="720"/>
        <w:jc w:val="both"/>
        <w:rPr>
          <w:rFonts w:ascii="Times New Roman" w:eastAsia="SimSun" w:hAnsi="Times New Roman"/>
          <w:iCs/>
          <w:sz w:val="24"/>
          <w:szCs w:val="24"/>
        </w:rPr>
      </w:pPr>
      <w:r w:rsidRPr="00AE47C6">
        <w:rPr>
          <w:rFonts w:ascii="Times New Roman" w:eastAsia="SimSun" w:hAnsi="Times New Roman"/>
          <w:iCs/>
          <w:sz w:val="24"/>
          <w:szCs w:val="24"/>
        </w:rPr>
        <w:t xml:space="preserve">Всеки пациент трябва да бъде категоризиран според всички оси. На практика това рядко е възможно поради недостатъчни данни, невъзможност за провеждане на ЕЕГ в началото на ЕС или динамика в семиологията на ЕС и ЕЕГ находката. </w:t>
      </w:r>
    </w:p>
    <w:p w14:paraId="00079F28" w14:textId="77777777" w:rsidR="00BE0B19" w:rsidRPr="00AE47C6" w:rsidRDefault="00BE0B19" w:rsidP="00BE0B19">
      <w:pPr>
        <w:spacing w:after="0" w:line="360" w:lineRule="auto"/>
        <w:ind w:firstLine="708"/>
        <w:jc w:val="both"/>
        <w:rPr>
          <w:rFonts w:ascii="Times New Roman" w:eastAsia="SimSun" w:hAnsi="Times New Roman"/>
          <w:b/>
          <w:bCs/>
          <w:iCs/>
          <w:sz w:val="24"/>
          <w:szCs w:val="24"/>
        </w:rPr>
      </w:pPr>
    </w:p>
    <w:p w14:paraId="3F7161FA" w14:textId="77777777" w:rsidR="00BE0B19" w:rsidRPr="00AE47C6" w:rsidRDefault="00BE0B19" w:rsidP="00BE0B19">
      <w:pPr>
        <w:spacing w:after="0" w:line="360" w:lineRule="auto"/>
        <w:jc w:val="both"/>
        <w:rPr>
          <w:rFonts w:ascii="Times New Roman" w:eastAsia="SimSun" w:hAnsi="Times New Roman"/>
          <w:b/>
          <w:bCs/>
          <w:iCs/>
          <w:sz w:val="24"/>
          <w:szCs w:val="24"/>
        </w:rPr>
      </w:pPr>
      <w:r w:rsidRPr="00AE47C6">
        <w:rPr>
          <w:rFonts w:ascii="Times New Roman" w:eastAsia="SimSun" w:hAnsi="Times New Roman"/>
          <w:b/>
          <w:bCs/>
          <w:iCs/>
          <w:sz w:val="24"/>
          <w:szCs w:val="24"/>
        </w:rPr>
        <w:t>1. Диагностична ос семиология</w:t>
      </w:r>
    </w:p>
    <w:p w14:paraId="7BC8803F" w14:textId="77777777" w:rsidR="00BE0B19" w:rsidRPr="00AE47C6" w:rsidRDefault="00BE0B19" w:rsidP="00BE0B19">
      <w:pPr>
        <w:spacing w:after="0" w:line="360" w:lineRule="auto"/>
        <w:jc w:val="both"/>
        <w:rPr>
          <w:rFonts w:ascii="Times New Roman" w:eastAsia="SimSun" w:hAnsi="Times New Roman"/>
          <w:iCs/>
          <w:sz w:val="24"/>
          <w:szCs w:val="24"/>
        </w:rPr>
      </w:pPr>
      <w:r w:rsidRPr="00AE47C6">
        <w:rPr>
          <w:rFonts w:ascii="Times New Roman" w:eastAsia="SimSun" w:hAnsi="Times New Roman"/>
          <w:sz w:val="24"/>
          <w:szCs w:val="24"/>
        </w:rPr>
        <w:tab/>
        <w:t xml:space="preserve">Тази диагностична ос се отнася до клиничните прояви на ЕС и е основна за класификацията. </w:t>
      </w:r>
      <w:r w:rsidRPr="00AE47C6">
        <w:rPr>
          <w:rFonts w:ascii="Times New Roman" w:eastAsia="SimSun" w:hAnsi="Times New Roman"/>
          <w:iCs/>
          <w:sz w:val="24"/>
          <w:szCs w:val="24"/>
        </w:rPr>
        <w:t>Приемат се 2 таксономични критерия:</w:t>
      </w:r>
    </w:p>
    <w:p w14:paraId="55ECE2DA" w14:textId="77777777" w:rsidR="00BE0B19" w:rsidRPr="00AE47C6" w:rsidRDefault="00BE0B19" w:rsidP="00BE0B19">
      <w:pPr>
        <w:numPr>
          <w:ilvl w:val="0"/>
          <w:numId w:val="178"/>
        </w:numPr>
        <w:tabs>
          <w:tab w:val="left" w:pos="993"/>
        </w:tabs>
        <w:spacing w:after="0" w:line="360" w:lineRule="auto"/>
        <w:ind w:hanging="11"/>
        <w:jc w:val="both"/>
        <w:rPr>
          <w:rFonts w:ascii="Times New Roman" w:eastAsia="SimSun" w:hAnsi="Times New Roman"/>
          <w:iCs/>
          <w:sz w:val="24"/>
          <w:szCs w:val="24"/>
        </w:rPr>
      </w:pPr>
      <w:r w:rsidRPr="00AE47C6">
        <w:rPr>
          <w:rFonts w:ascii="Times New Roman" w:eastAsia="SimSun" w:hAnsi="Times New Roman"/>
          <w:iCs/>
          <w:sz w:val="24"/>
          <w:szCs w:val="24"/>
        </w:rPr>
        <w:t>Наличие или отсъствие на забележими моторни симптоми</w:t>
      </w:r>
    </w:p>
    <w:p w14:paraId="7BC7A9AC" w14:textId="77777777" w:rsidR="00BE0B19" w:rsidRPr="00AE47C6" w:rsidRDefault="00BE0B19" w:rsidP="00BE0B19">
      <w:pPr>
        <w:numPr>
          <w:ilvl w:val="0"/>
          <w:numId w:val="178"/>
        </w:numPr>
        <w:tabs>
          <w:tab w:val="left" w:pos="993"/>
        </w:tabs>
        <w:spacing w:after="0" w:line="360" w:lineRule="auto"/>
        <w:ind w:hanging="11"/>
        <w:jc w:val="both"/>
        <w:rPr>
          <w:rFonts w:ascii="Times New Roman" w:eastAsia="SimSun" w:hAnsi="Times New Roman"/>
          <w:iCs/>
          <w:sz w:val="24"/>
          <w:szCs w:val="24"/>
        </w:rPr>
      </w:pPr>
      <w:r w:rsidRPr="00AE47C6">
        <w:rPr>
          <w:rFonts w:ascii="Times New Roman" w:eastAsia="SimSun" w:hAnsi="Times New Roman"/>
          <w:iCs/>
          <w:sz w:val="24"/>
          <w:szCs w:val="24"/>
        </w:rPr>
        <w:t>Степен на нарушения на съзнанието (количествени или качествени).</w:t>
      </w:r>
    </w:p>
    <w:p w14:paraId="35C51B94"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 xml:space="preserve">На базата на тези 2 критерия ЕС може да бъде: </w:t>
      </w:r>
    </w:p>
    <w:p w14:paraId="65BFCC6A" w14:textId="77777777" w:rsidR="00BE0B19" w:rsidRPr="00AE47C6" w:rsidRDefault="00BE0B19" w:rsidP="00BE0B19">
      <w:pPr>
        <w:numPr>
          <w:ilvl w:val="0"/>
          <w:numId w:val="179"/>
        </w:numPr>
        <w:tabs>
          <w:tab w:val="clear" w:pos="720"/>
          <w:tab w:val="num" w:pos="0"/>
          <w:tab w:val="left" w:pos="993"/>
        </w:tabs>
        <w:spacing w:after="0" w:line="360" w:lineRule="auto"/>
        <w:ind w:left="0" w:firstLine="709"/>
        <w:jc w:val="both"/>
        <w:rPr>
          <w:rFonts w:ascii="Times New Roman" w:eastAsia="SimSun" w:hAnsi="Times New Roman"/>
          <w:iCs/>
          <w:sz w:val="24"/>
          <w:szCs w:val="24"/>
        </w:rPr>
      </w:pPr>
      <w:r w:rsidRPr="00AE47C6">
        <w:rPr>
          <w:rFonts w:ascii="Times New Roman" w:eastAsia="SimSun" w:hAnsi="Times New Roman"/>
          <w:b/>
          <w:bCs/>
          <w:iCs/>
          <w:sz w:val="24"/>
          <w:szCs w:val="24"/>
        </w:rPr>
        <w:t>Конвулсивен</w:t>
      </w:r>
      <w:r w:rsidRPr="00AE47C6">
        <w:rPr>
          <w:rFonts w:ascii="Times New Roman" w:eastAsia="SimSun" w:hAnsi="Times New Roman"/>
          <w:iCs/>
          <w:sz w:val="24"/>
          <w:szCs w:val="24"/>
        </w:rPr>
        <w:t xml:space="preserve"> ЕС - при изразени моторни симптоми</w:t>
      </w:r>
    </w:p>
    <w:p w14:paraId="0A11DB93" w14:textId="77777777" w:rsidR="00BE0B19" w:rsidRPr="00AE47C6" w:rsidRDefault="00BE0B19" w:rsidP="00BE0B19">
      <w:pPr>
        <w:numPr>
          <w:ilvl w:val="0"/>
          <w:numId w:val="179"/>
        </w:numPr>
        <w:tabs>
          <w:tab w:val="clear" w:pos="720"/>
          <w:tab w:val="num" w:pos="0"/>
          <w:tab w:val="left" w:pos="993"/>
        </w:tabs>
        <w:spacing w:after="0" w:line="360" w:lineRule="auto"/>
        <w:ind w:left="0" w:firstLine="709"/>
        <w:jc w:val="both"/>
        <w:rPr>
          <w:rFonts w:ascii="Times New Roman" w:eastAsia="SimSun" w:hAnsi="Times New Roman"/>
          <w:iCs/>
          <w:sz w:val="24"/>
          <w:szCs w:val="24"/>
        </w:rPr>
      </w:pPr>
      <w:r w:rsidRPr="00AE47C6">
        <w:rPr>
          <w:rFonts w:ascii="Times New Roman" w:eastAsia="SimSun" w:hAnsi="Times New Roman"/>
          <w:b/>
          <w:bCs/>
          <w:iCs/>
          <w:sz w:val="24"/>
          <w:szCs w:val="24"/>
        </w:rPr>
        <w:t xml:space="preserve">Неконвулсивен </w:t>
      </w:r>
      <w:r w:rsidRPr="00AE47C6">
        <w:rPr>
          <w:rFonts w:ascii="Times New Roman" w:eastAsia="SimSun" w:hAnsi="Times New Roman"/>
          <w:iCs/>
          <w:sz w:val="24"/>
          <w:szCs w:val="24"/>
        </w:rPr>
        <w:t>ЕС - при липса на моторни симптоми</w:t>
      </w:r>
    </w:p>
    <w:p w14:paraId="6A213A71" w14:textId="77777777" w:rsidR="00BE0B19" w:rsidRPr="00AE47C6" w:rsidRDefault="00BE0B19" w:rsidP="00BE0B19">
      <w:pPr>
        <w:tabs>
          <w:tab w:val="num" w:pos="0"/>
        </w:tabs>
        <w:spacing w:after="0" w:line="360" w:lineRule="auto"/>
        <w:ind w:firstLine="709"/>
        <w:jc w:val="both"/>
        <w:rPr>
          <w:rFonts w:ascii="Times New Roman" w:eastAsia="SimSun" w:hAnsi="Times New Roman"/>
          <w:b/>
          <w:bCs/>
          <w:iCs/>
          <w:sz w:val="24"/>
          <w:szCs w:val="24"/>
        </w:rPr>
      </w:pPr>
      <w:r w:rsidRPr="00AE47C6">
        <w:rPr>
          <w:rFonts w:ascii="Times New Roman" w:eastAsia="SimSun" w:hAnsi="Times New Roman"/>
          <w:b/>
          <w:bCs/>
          <w:iCs/>
          <w:sz w:val="24"/>
          <w:szCs w:val="24"/>
        </w:rPr>
        <w:t>Съвременна класификация на ЕС (семиология)</w:t>
      </w:r>
    </w:p>
    <w:p w14:paraId="17CBE90E" w14:textId="77777777" w:rsidR="00BE0B19" w:rsidRPr="00AE47C6" w:rsidRDefault="00BE0B19" w:rsidP="00BE0B19">
      <w:pPr>
        <w:tabs>
          <w:tab w:val="num" w:pos="0"/>
        </w:tabs>
        <w:spacing w:after="0" w:line="360" w:lineRule="auto"/>
        <w:ind w:firstLine="709"/>
        <w:jc w:val="both"/>
        <w:rPr>
          <w:rFonts w:ascii="Times New Roman" w:eastAsia="SimSun" w:hAnsi="Times New Roman"/>
          <w:iCs/>
          <w:sz w:val="24"/>
          <w:szCs w:val="24"/>
        </w:rPr>
      </w:pPr>
      <w:r w:rsidRPr="00AE47C6">
        <w:rPr>
          <w:rFonts w:ascii="Times New Roman" w:eastAsia="SimSun" w:hAnsi="Times New Roman"/>
          <w:b/>
          <w:bCs/>
          <w:i/>
          <w:iCs/>
          <w:sz w:val="24"/>
          <w:szCs w:val="24"/>
        </w:rPr>
        <w:t xml:space="preserve">(A) С видими моторни симптоми </w:t>
      </w:r>
    </w:p>
    <w:p w14:paraId="04B87610"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b/>
          <w:bCs/>
          <w:iCs/>
          <w:sz w:val="24"/>
          <w:szCs w:val="24"/>
        </w:rPr>
        <w:t xml:space="preserve">A.1 Конвулсивен ЕС </w:t>
      </w:r>
      <w:r w:rsidRPr="00AE47C6">
        <w:rPr>
          <w:rFonts w:ascii="Times New Roman" w:eastAsia="SimSun" w:hAnsi="Times New Roman"/>
          <w:iCs/>
          <w:sz w:val="24"/>
          <w:szCs w:val="24"/>
        </w:rPr>
        <w:t>(синоним: тонично-клоничен ЕС)</w:t>
      </w:r>
    </w:p>
    <w:p w14:paraId="3395EB3A"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 xml:space="preserve">A.1.a. Генерализиран конвулсивен </w:t>
      </w:r>
    </w:p>
    <w:p w14:paraId="196DD861"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 xml:space="preserve">A.1.b. ЕС с фокално начало с еволюция към двустранен конвулсивен ЕС </w:t>
      </w:r>
    </w:p>
    <w:p w14:paraId="2612BF95"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 xml:space="preserve">A.1.c. Неуточнен като фокален или генерализиран </w:t>
      </w:r>
    </w:p>
    <w:p w14:paraId="384C6F67"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A2. Миоклоничен ЕС (с видими епилептични миоклонични гърчове)</w:t>
      </w:r>
    </w:p>
    <w:p w14:paraId="675A85B4"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 xml:space="preserve">A.2.a. С кома </w:t>
      </w:r>
    </w:p>
    <w:p w14:paraId="16C82894"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 xml:space="preserve">A.2.b. Без кома </w:t>
      </w:r>
    </w:p>
    <w:p w14:paraId="17C9759B"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 xml:space="preserve">A.3. </w:t>
      </w:r>
      <w:r w:rsidRPr="00AE47C6">
        <w:rPr>
          <w:rFonts w:ascii="Times New Roman" w:eastAsia="SimSun" w:hAnsi="Times New Roman"/>
          <w:b/>
          <w:bCs/>
          <w:iCs/>
          <w:sz w:val="24"/>
          <w:szCs w:val="24"/>
        </w:rPr>
        <w:t xml:space="preserve">Фокален моторен ЕС </w:t>
      </w:r>
    </w:p>
    <w:p w14:paraId="26B18BDC"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A.3.a. Повтарящи се фокални моторни гърчове (Джаксънов)</w:t>
      </w:r>
    </w:p>
    <w:p w14:paraId="044F3484"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 xml:space="preserve">A.3.b. Epilepsia partialis continua </w:t>
      </w:r>
    </w:p>
    <w:p w14:paraId="6D9E6B44"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 xml:space="preserve">A.3.c. Адверзивен статус </w:t>
      </w:r>
    </w:p>
    <w:p w14:paraId="7185FC32"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 xml:space="preserve">A.3.d. Окулоклоничен статус </w:t>
      </w:r>
    </w:p>
    <w:p w14:paraId="3C290AF7"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A.3.e. Иктална пареза (фокален инхибиторен ЕС)</w:t>
      </w:r>
    </w:p>
    <w:p w14:paraId="0D9688DD"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 xml:space="preserve">A.4. </w:t>
      </w:r>
      <w:r w:rsidRPr="00AE47C6">
        <w:rPr>
          <w:rFonts w:ascii="Times New Roman" w:eastAsia="SimSun" w:hAnsi="Times New Roman"/>
          <w:b/>
          <w:bCs/>
          <w:iCs/>
          <w:sz w:val="24"/>
          <w:szCs w:val="24"/>
        </w:rPr>
        <w:t xml:space="preserve">Тоничен ЕС </w:t>
      </w:r>
    </w:p>
    <w:p w14:paraId="630D45AC" w14:textId="77777777" w:rsidR="00BE0B19" w:rsidRPr="00AE47C6" w:rsidRDefault="00BE0B19" w:rsidP="00BE0B19">
      <w:pPr>
        <w:spacing w:after="0" w:line="360" w:lineRule="auto"/>
        <w:ind w:left="720"/>
        <w:jc w:val="both"/>
        <w:rPr>
          <w:rFonts w:ascii="Times New Roman" w:eastAsia="SimSun" w:hAnsi="Times New Roman"/>
          <w:b/>
          <w:bCs/>
          <w:iCs/>
          <w:sz w:val="24"/>
          <w:szCs w:val="24"/>
        </w:rPr>
      </w:pPr>
      <w:r w:rsidRPr="00AE47C6">
        <w:rPr>
          <w:rFonts w:ascii="Times New Roman" w:eastAsia="SimSun" w:hAnsi="Times New Roman"/>
          <w:iCs/>
          <w:sz w:val="24"/>
          <w:szCs w:val="24"/>
        </w:rPr>
        <w:t xml:space="preserve">A.5. </w:t>
      </w:r>
      <w:r w:rsidRPr="00AE47C6">
        <w:rPr>
          <w:rFonts w:ascii="Times New Roman" w:eastAsia="SimSun" w:hAnsi="Times New Roman"/>
          <w:b/>
          <w:bCs/>
          <w:iCs/>
          <w:sz w:val="24"/>
          <w:szCs w:val="24"/>
        </w:rPr>
        <w:t>Хиперкинетичен ЕС</w:t>
      </w:r>
    </w:p>
    <w:p w14:paraId="0F36CAF4"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b/>
          <w:bCs/>
          <w:i/>
          <w:iCs/>
          <w:sz w:val="24"/>
          <w:szCs w:val="24"/>
        </w:rPr>
        <w:t xml:space="preserve">(B) Без видими моторни симптоми (неконвулсивен ЕС) </w:t>
      </w:r>
    </w:p>
    <w:p w14:paraId="4414A298"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 xml:space="preserve">B.1. </w:t>
      </w:r>
      <w:r w:rsidRPr="00AE47C6">
        <w:rPr>
          <w:rFonts w:ascii="Times New Roman" w:eastAsia="SimSun" w:hAnsi="Times New Roman"/>
          <w:b/>
          <w:bCs/>
          <w:iCs/>
          <w:sz w:val="24"/>
          <w:szCs w:val="24"/>
        </w:rPr>
        <w:t xml:space="preserve">С кома </w:t>
      </w:r>
      <w:r w:rsidRPr="00AE47C6">
        <w:rPr>
          <w:rFonts w:ascii="Times New Roman" w:eastAsia="SimSun" w:hAnsi="Times New Roman"/>
          <w:iCs/>
          <w:sz w:val="24"/>
          <w:szCs w:val="24"/>
        </w:rPr>
        <w:t xml:space="preserve">(вкл. т.нар. трудно доловим ЕС) </w:t>
      </w:r>
    </w:p>
    <w:p w14:paraId="66AE84A6"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 xml:space="preserve">B.2. </w:t>
      </w:r>
      <w:r w:rsidRPr="00AE47C6">
        <w:rPr>
          <w:rFonts w:ascii="Times New Roman" w:eastAsia="SimSun" w:hAnsi="Times New Roman"/>
          <w:b/>
          <w:bCs/>
          <w:iCs/>
          <w:sz w:val="24"/>
          <w:szCs w:val="24"/>
        </w:rPr>
        <w:t>Без кома</w:t>
      </w:r>
    </w:p>
    <w:p w14:paraId="5023AF91"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B.2.a. Генерализиран ЕС</w:t>
      </w:r>
    </w:p>
    <w:p w14:paraId="041330A9"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B.2.a.a. Типичен абсансен ЕС</w:t>
      </w:r>
    </w:p>
    <w:p w14:paraId="6F3E74D8"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B.2.a.b. Атипичен абсансен ЕС</w:t>
      </w:r>
    </w:p>
    <w:p w14:paraId="4A157E2D"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B.2.a.c. Миоклоничен абсансен ЕС</w:t>
      </w:r>
    </w:p>
    <w:p w14:paraId="359659FE"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B.2.b. Фокален ЕС</w:t>
      </w:r>
    </w:p>
    <w:p w14:paraId="6407305A" w14:textId="77777777" w:rsidR="00BE0B19" w:rsidRPr="00AE47C6" w:rsidRDefault="00BE0B19" w:rsidP="00BE0B19">
      <w:pPr>
        <w:spacing w:after="0" w:line="360" w:lineRule="auto"/>
        <w:ind w:firstLine="709"/>
        <w:jc w:val="both"/>
        <w:rPr>
          <w:rFonts w:ascii="Times New Roman" w:eastAsia="SimSun" w:hAnsi="Times New Roman"/>
          <w:iCs/>
          <w:sz w:val="24"/>
          <w:szCs w:val="24"/>
        </w:rPr>
      </w:pPr>
      <w:r w:rsidRPr="00AE47C6">
        <w:rPr>
          <w:rFonts w:ascii="Times New Roman" w:eastAsia="SimSun" w:hAnsi="Times New Roman"/>
          <w:iCs/>
          <w:sz w:val="24"/>
          <w:szCs w:val="24"/>
        </w:rPr>
        <w:t xml:space="preserve">B.2.b.a. Без нарушения на съзнанието (aura continua, с автономни, сетивни, зрителни, мирисни, вкусови, психични, слухови симптоми) </w:t>
      </w:r>
    </w:p>
    <w:p w14:paraId="02D6C6B0"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B.2.b.b. Афатичен статус</w:t>
      </w:r>
    </w:p>
    <w:p w14:paraId="04910730"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B.2.b.c. С нарушено съзнание</w:t>
      </w:r>
    </w:p>
    <w:p w14:paraId="4ACD6739"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B.2.c. Неуточнен като фокален или генерализиран</w:t>
      </w:r>
    </w:p>
    <w:p w14:paraId="44FDDBAD"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 xml:space="preserve">B.2.c.a. Автономен ЕС </w:t>
      </w:r>
    </w:p>
    <w:p w14:paraId="59E14E91" w14:textId="77777777" w:rsidR="00BE0B19" w:rsidRPr="00AE47C6" w:rsidRDefault="00BE0B19" w:rsidP="00BE0B19">
      <w:pPr>
        <w:spacing w:after="0" w:line="360" w:lineRule="auto"/>
        <w:ind w:left="720"/>
        <w:jc w:val="both"/>
        <w:rPr>
          <w:rFonts w:ascii="Times New Roman" w:eastAsia="SimSun" w:hAnsi="Times New Roman"/>
          <w:b/>
          <w:bCs/>
          <w:iCs/>
          <w:sz w:val="24"/>
          <w:szCs w:val="24"/>
        </w:rPr>
      </w:pPr>
    </w:p>
    <w:p w14:paraId="338FFEE5" w14:textId="77777777" w:rsidR="00BE0B19" w:rsidRPr="00AE47C6" w:rsidRDefault="00BE0B19" w:rsidP="00BE0B19">
      <w:pPr>
        <w:spacing w:after="0" w:line="360" w:lineRule="auto"/>
        <w:ind w:left="720"/>
        <w:jc w:val="both"/>
        <w:rPr>
          <w:rFonts w:ascii="Times New Roman" w:eastAsia="SimSun" w:hAnsi="Times New Roman"/>
          <w:b/>
          <w:bCs/>
          <w:iCs/>
          <w:sz w:val="24"/>
          <w:szCs w:val="24"/>
        </w:rPr>
      </w:pPr>
    </w:p>
    <w:p w14:paraId="36327873" w14:textId="77777777" w:rsidR="00BE0B19" w:rsidRPr="00AE47C6" w:rsidRDefault="00BE0B19" w:rsidP="00BE0B19">
      <w:pPr>
        <w:spacing w:after="0" w:line="360" w:lineRule="auto"/>
        <w:jc w:val="both"/>
        <w:rPr>
          <w:rFonts w:ascii="Times New Roman" w:eastAsia="SimSun" w:hAnsi="Times New Roman"/>
          <w:b/>
          <w:bCs/>
          <w:iCs/>
          <w:sz w:val="24"/>
          <w:szCs w:val="24"/>
          <w:u w:val="single"/>
        </w:rPr>
      </w:pPr>
      <w:r w:rsidRPr="00AE47C6">
        <w:rPr>
          <w:rFonts w:ascii="Times New Roman" w:eastAsia="SimSun" w:hAnsi="Times New Roman"/>
          <w:b/>
          <w:bCs/>
          <w:iCs/>
          <w:sz w:val="24"/>
          <w:szCs w:val="24"/>
        </w:rPr>
        <w:t>2. Диагностична ос етиология</w:t>
      </w:r>
    </w:p>
    <w:p w14:paraId="4943A4C6" w14:textId="77777777" w:rsidR="00BE0B19" w:rsidRPr="00AE47C6" w:rsidRDefault="00BE0B19" w:rsidP="00BE0B19">
      <w:pPr>
        <w:tabs>
          <w:tab w:val="num" w:pos="0"/>
        </w:tabs>
        <w:spacing w:after="0" w:line="360" w:lineRule="auto"/>
        <w:ind w:firstLine="709"/>
        <w:jc w:val="both"/>
        <w:rPr>
          <w:rFonts w:ascii="Times New Roman" w:eastAsia="SimSun" w:hAnsi="Times New Roman"/>
          <w:b/>
          <w:bCs/>
          <w:iCs/>
          <w:sz w:val="24"/>
          <w:szCs w:val="24"/>
        </w:rPr>
      </w:pPr>
      <w:r w:rsidRPr="00AE47C6">
        <w:rPr>
          <w:rFonts w:ascii="Times New Roman" w:eastAsia="SimSun" w:hAnsi="Times New Roman"/>
          <w:b/>
          <w:bCs/>
          <w:iCs/>
          <w:sz w:val="24"/>
          <w:szCs w:val="24"/>
        </w:rPr>
        <w:t>Съвременна класификация на ЕС (етиология)</w:t>
      </w:r>
    </w:p>
    <w:p w14:paraId="43152755" w14:textId="77777777" w:rsidR="00BE0B19" w:rsidRPr="00AE47C6" w:rsidRDefault="00BE0B19" w:rsidP="00BE0B19">
      <w:pPr>
        <w:tabs>
          <w:tab w:val="left" w:pos="993"/>
        </w:tabs>
        <w:spacing w:after="0" w:line="360" w:lineRule="auto"/>
        <w:ind w:left="709"/>
        <w:jc w:val="both"/>
        <w:rPr>
          <w:rFonts w:ascii="Times New Roman" w:eastAsia="SimSun" w:hAnsi="Times New Roman"/>
          <w:iCs/>
          <w:sz w:val="24"/>
          <w:szCs w:val="24"/>
        </w:rPr>
      </w:pPr>
      <w:r w:rsidRPr="00AE47C6">
        <w:rPr>
          <w:rFonts w:ascii="Times New Roman" w:eastAsia="SimSun" w:hAnsi="Times New Roman"/>
          <w:iCs/>
          <w:sz w:val="24"/>
          <w:szCs w:val="24"/>
        </w:rPr>
        <w:t xml:space="preserve">- Остър ЕС (инсулт, интоксикация, енцефалит и др.) </w:t>
      </w:r>
    </w:p>
    <w:p w14:paraId="1D92B4D5" w14:textId="77777777" w:rsidR="00BE0B19" w:rsidRPr="00AE47C6" w:rsidRDefault="00BE0B19" w:rsidP="00BE0B19">
      <w:pPr>
        <w:tabs>
          <w:tab w:val="left" w:pos="993"/>
        </w:tabs>
        <w:spacing w:after="0" w:line="360" w:lineRule="auto"/>
        <w:ind w:firstLine="709"/>
        <w:jc w:val="both"/>
        <w:rPr>
          <w:rFonts w:ascii="Times New Roman" w:eastAsia="SimSun" w:hAnsi="Times New Roman"/>
          <w:iCs/>
          <w:sz w:val="24"/>
          <w:szCs w:val="24"/>
        </w:rPr>
      </w:pPr>
      <w:r w:rsidRPr="00AE47C6">
        <w:rPr>
          <w:rFonts w:ascii="Times New Roman" w:eastAsia="SimSun" w:hAnsi="Times New Roman"/>
          <w:iCs/>
          <w:sz w:val="24"/>
          <w:szCs w:val="24"/>
        </w:rPr>
        <w:t xml:space="preserve">- ЕС, свързан с преживяно в миналото заболяване (мозъчна травма, енцефалит, инсулт) </w:t>
      </w:r>
    </w:p>
    <w:p w14:paraId="203017C3" w14:textId="77777777" w:rsidR="00BE0B19" w:rsidRPr="00AE47C6" w:rsidRDefault="00BE0B19" w:rsidP="00BE0B19">
      <w:pPr>
        <w:tabs>
          <w:tab w:val="left" w:pos="993"/>
        </w:tabs>
        <w:spacing w:after="0" w:line="360" w:lineRule="auto"/>
        <w:ind w:left="709"/>
        <w:jc w:val="both"/>
        <w:rPr>
          <w:rFonts w:ascii="Times New Roman" w:eastAsia="SimSun" w:hAnsi="Times New Roman"/>
          <w:iCs/>
          <w:sz w:val="24"/>
          <w:szCs w:val="24"/>
        </w:rPr>
      </w:pPr>
      <w:r w:rsidRPr="00AE47C6">
        <w:rPr>
          <w:rFonts w:ascii="Times New Roman" w:eastAsia="SimSun" w:hAnsi="Times New Roman"/>
          <w:iCs/>
          <w:sz w:val="24"/>
          <w:szCs w:val="24"/>
        </w:rPr>
        <w:t xml:space="preserve">- Прогресивен ЕС (мозъчен тумор, болест на Lafora, деменции) </w:t>
      </w:r>
    </w:p>
    <w:p w14:paraId="700C5925" w14:textId="77777777" w:rsidR="00BE0B19" w:rsidRPr="00AE47C6" w:rsidRDefault="00BE0B19" w:rsidP="00BE0B19">
      <w:pPr>
        <w:tabs>
          <w:tab w:val="left" w:pos="993"/>
        </w:tabs>
        <w:spacing w:after="0" w:line="360" w:lineRule="auto"/>
        <w:ind w:firstLine="709"/>
        <w:jc w:val="both"/>
        <w:rPr>
          <w:rFonts w:ascii="Times New Roman" w:eastAsia="SimSun" w:hAnsi="Times New Roman"/>
          <w:iCs/>
          <w:sz w:val="24"/>
          <w:szCs w:val="24"/>
        </w:rPr>
      </w:pPr>
      <w:r w:rsidRPr="00AE47C6">
        <w:rPr>
          <w:rFonts w:ascii="Times New Roman" w:eastAsia="SimSun" w:hAnsi="Times New Roman"/>
          <w:iCs/>
          <w:sz w:val="24"/>
          <w:szCs w:val="24"/>
        </w:rPr>
        <w:t xml:space="preserve">- ЕС при уточнени електро-клинични синдроми (Синдром на West, Lennox-Gastaut, Landau-Kleffner, Ohtahara, Dravet, Ювенилна миоклонус епилепсия и др.) </w:t>
      </w:r>
    </w:p>
    <w:p w14:paraId="24C4E152" w14:textId="77777777" w:rsidR="00BE0B19" w:rsidRPr="00AE47C6" w:rsidRDefault="00BE0B19" w:rsidP="00BE0B19">
      <w:pPr>
        <w:tabs>
          <w:tab w:val="left" w:pos="993"/>
        </w:tabs>
        <w:spacing w:after="0" w:line="360" w:lineRule="auto"/>
        <w:ind w:left="709"/>
        <w:jc w:val="both"/>
        <w:rPr>
          <w:rFonts w:ascii="Times New Roman" w:eastAsia="SimSun" w:hAnsi="Times New Roman"/>
          <w:iCs/>
          <w:sz w:val="24"/>
          <w:szCs w:val="24"/>
        </w:rPr>
      </w:pPr>
      <w:r w:rsidRPr="00AE47C6">
        <w:rPr>
          <w:rFonts w:ascii="Times New Roman" w:eastAsia="SimSun" w:hAnsi="Times New Roman"/>
          <w:iCs/>
          <w:sz w:val="24"/>
          <w:szCs w:val="24"/>
        </w:rPr>
        <w:t xml:space="preserve">- ЕС с неизвестна етиология (криптогенен) </w:t>
      </w:r>
    </w:p>
    <w:p w14:paraId="3004CA73" w14:textId="77777777" w:rsidR="00BE0B19" w:rsidRPr="00AE47C6" w:rsidRDefault="00BE0B19" w:rsidP="00BE0B19">
      <w:pPr>
        <w:tabs>
          <w:tab w:val="num" w:pos="0"/>
          <w:tab w:val="left" w:pos="993"/>
        </w:tabs>
        <w:spacing w:after="0" w:line="360" w:lineRule="auto"/>
        <w:ind w:firstLine="709"/>
        <w:jc w:val="both"/>
        <w:rPr>
          <w:rFonts w:ascii="Times New Roman" w:eastAsia="SimSun" w:hAnsi="Times New Roman"/>
          <w:bCs/>
          <w:iCs/>
          <w:sz w:val="24"/>
          <w:szCs w:val="24"/>
        </w:rPr>
      </w:pPr>
      <w:r w:rsidRPr="00AE47C6">
        <w:rPr>
          <w:rFonts w:ascii="Times New Roman" w:eastAsia="SimSun" w:hAnsi="Times New Roman"/>
          <w:bCs/>
          <w:iCs/>
          <w:sz w:val="24"/>
          <w:szCs w:val="24"/>
        </w:rPr>
        <w:t>Терминът идиопатичен (генетичен) не се използва за етиология на ЕС.</w:t>
      </w:r>
    </w:p>
    <w:p w14:paraId="42D77871" w14:textId="77777777" w:rsidR="00BE0B19" w:rsidRPr="00AE47C6" w:rsidRDefault="00BE0B19" w:rsidP="00BE0B19">
      <w:pPr>
        <w:numPr>
          <w:ilvl w:val="0"/>
          <w:numId w:val="178"/>
        </w:numPr>
        <w:tabs>
          <w:tab w:val="num" w:pos="0"/>
          <w:tab w:val="left" w:pos="993"/>
        </w:tabs>
        <w:spacing w:after="0" w:line="360" w:lineRule="auto"/>
        <w:contextualSpacing/>
        <w:jc w:val="both"/>
        <w:rPr>
          <w:rFonts w:ascii="Times New Roman" w:eastAsia="SimSun" w:hAnsi="Times New Roman"/>
          <w:b/>
          <w:bCs/>
          <w:iCs/>
          <w:sz w:val="24"/>
          <w:szCs w:val="24"/>
        </w:rPr>
      </w:pPr>
      <w:r w:rsidRPr="00AE47C6">
        <w:rPr>
          <w:rFonts w:ascii="Times New Roman" w:eastAsia="SimSun" w:hAnsi="Times New Roman"/>
          <w:b/>
          <w:bCs/>
          <w:iCs/>
          <w:sz w:val="24"/>
          <w:szCs w:val="24"/>
        </w:rPr>
        <w:t>Диагностична ос ЕЕГ корелати</w:t>
      </w:r>
    </w:p>
    <w:p w14:paraId="5F3458A5" w14:textId="77777777" w:rsidR="00BE0B19" w:rsidRPr="00AE47C6" w:rsidRDefault="00BE0B19" w:rsidP="00BE0B19">
      <w:pPr>
        <w:spacing w:after="0" w:line="360" w:lineRule="auto"/>
        <w:ind w:firstLine="720"/>
        <w:jc w:val="both"/>
        <w:rPr>
          <w:rFonts w:ascii="Times New Roman" w:eastAsia="SimSun" w:hAnsi="Times New Roman"/>
          <w:bCs/>
          <w:iCs/>
          <w:sz w:val="24"/>
          <w:szCs w:val="24"/>
        </w:rPr>
      </w:pPr>
      <w:r w:rsidRPr="00AE47C6">
        <w:rPr>
          <w:rFonts w:ascii="Times New Roman" w:eastAsia="SimSun" w:hAnsi="Times New Roman"/>
          <w:bCs/>
          <w:iCs/>
          <w:sz w:val="24"/>
          <w:szCs w:val="24"/>
        </w:rPr>
        <w:t>Когато става въпрос за ЕЕГ корелати на ЕС, е важно да се имат предвид следните особености:</w:t>
      </w:r>
    </w:p>
    <w:p w14:paraId="7639AAB9" w14:textId="77777777" w:rsidR="00BE0B19" w:rsidRPr="00AE47C6" w:rsidRDefault="00BE0B19" w:rsidP="00BE0B19">
      <w:pPr>
        <w:numPr>
          <w:ilvl w:val="0"/>
          <w:numId w:val="180"/>
        </w:numPr>
        <w:tabs>
          <w:tab w:val="clear" w:pos="720"/>
          <w:tab w:val="num" w:pos="0"/>
          <w:tab w:val="left" w:pos="851"/>
          <w:tab w:val="left" w:pos="993"/>
        </w:tabs>
        <w:spacing w:after="0" w:line="360" w:lineRule="auto"/>
        <w:ind w:left="0" w:firstLine="709"/>
        <w:contextualSpacing/>
        <w:jc w:val="both"/>
        <w:rPr>
          <w:rFonts w:ascii="Times New Roman" w:eastAsia="SimSun" w:hAnsi="Times New Roman"/>
          <w:iCs/>
          <w:sz w:val="24"/>
          <w:szCs w:val="24"/>
        </w:rPr>
      </w:pPr>
      <w:r w:rsidRPr="00AE47C6">
        <w:rPr>
          <w:rFonts w:ascii="Times New Roman" w:eastAsia="SimSun" w:hAnsi="Times New Roman"/>
          <w:iCs/>
          <w:sz w:val="24"/>
          <w:szCs w:val="24"/>
        </w:rPr>
        <w:t xml:space="preserve">ЕЕГ (особено ЕЕГ мониториране) е изключително важна при неконвулсивен ЕС, когато клиничните прояви са дискретни, неспецифични и включват основно нарушения на съзнанието и поведенчески промени </w:t>
      </w:r>
    </w:p>
    <w:p w14:paraId="1D5773EB" w14:textId="77777777" w:rsidR="00BE0B19" w:rsidRPr="00AE47C6" w:rsidRDefault="00BE0B19" w:rsidP="00BE0B19">
      <w:pPr>
        <w:tabs>
          <w:tab w:val="left" w:pos="851"/>
        </w:tabs>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 xml:space="preserve">2. Понастоящем липсват базирани на доказателствата ЕЕГ критерии за ЕС. </w:t>
      </w:r>
    </w:p>
    <w:p w14:paraId="3F06C9D3" w14:textId="77777777" w:rsidR="00BE0B19" w:rsidRPr="00AE47C6" w:rsidRDefault="00BE0B19" w:rsidP="008B5D4D">
      <w:pPr>
        <w:numPr>
          <w:ilvl w:val="0"/>
          <w:numId w:val="178"/>
        </w:numPr>
        <w:tabs>
          <w:tab w:val="clear" w:pos="720"/>
          <w:tab w:val="num" w:pos="0"/>
          <w:tab w:val="left" w:pos="851"/>
          <w:tab w:val="left" w:pos="993"/>
        </w:tabs>
        <w:spacing w:after="0" w:line="360" w:lineRule="auto"/>
        <w:ind w:left="0" w:firstLine="284"/>
        <w:contextualSpacing/>
        <w:jc w:val="both"/>
        <w:rPr>
          <w:rFonts w:ascii="Times New Roman" w:eastAsia="SimSun" w:hAnsi="Times New Roman"/>
          <w:iCs/>
          <w:sz w:val="24"/>
          <w:szCs w:val="24"/>
        </w:rPr>
      </w:pPr>
      <w:r w:rsidRPr="00AE47C6">
        <w:rPr>
          <w:rFonts w:ascii="Times New Roman" w:eastAsia="SimSun" w:hAnsi="Times New Roman"/>
          <w:iCs/>
          <w:sz w:val="24"/>
          <w:szCs w:val="24"/>
        </w:rPr>
        <w:t>Епилептичните разряди се считат за отличителен белег, но при по-голяма продължителност на ЕС, могат да преобладават ритмични неепилептични патерни.</w:t>
      </w:r>
    </w:p>
    <w:p w14:paraId="02797A20" w14:textId="77777777" w:rsidR="00BE0B19" w:rsidRPr="00AE47C6" w:rsidRDefault="00BE0B19" w:rsidP="00BE0B19">
      <w:pPr>
        <w:spacing w:after="0" w:line="360" w:lineRule="auto"/>
        <w:ind w:firstLine="720"/>
        <w:jc w:val="both"/>
        <w:rPr>
          <w:rFonts w:ascii="Times New Roman" w:eastAsia="SimSun" w:hAnsi="Times New Roman"/>
          <w:iCs/>
          <w:sz w:val="24"/>
          <w:szCs w:val="24"/>
        </w:rPr>
      </w:pPr>
      <w:r w:rsidRPr="00AE47C6">
        <w:rPr>
          <w:rFonts w:ascii="Times New Roman" w:eastAsia="SimSun" w:hAnsi="Times New Roman"/>
          <w:iCs/>
          <w:sz w:val="24"/>
          <w:szCs w:val="24"/>
        </w:rPr>
        <w:t>Предложена е следната терминология за описание на ЕЕГ патерните:</w:t>
      </w:r>
    </w:p>
    <w:p w14:paraId="094EC245" w14:textId="77777777" w:rsidR="00BE0B19" w:rsidRPr="00AE47C6" w:rsidRDefault="00BE0B19" w:rsidP="00BE0B19">
      <w:pPr>
        <w:tabs>
          <w:tab w:val="left" w:pos="993"/>
        </w:tabs>
        <w:spacing w:after="0" w:line="360" w:lineRule="auto"/>
        <w:ind w:firstLine="709"/>
        <w:jc w:val="both"/>
        <w:rPr>
          <w:rFonts w:ascii="Times New Roman" w:eastAsia="SimSun" w:hAnsi="Times New Roman"/>
          <w:iCs/>
          <w:sz w:val="24"/>
          <w:szCs w:val="24"/>
        </w:rPr>
      </w:pPr>
      <w:r w:rsidRPr="00AE47C6">
        <w:rPr>
          <w:rFonts w:ascii="Times New Roman" w:eastAsia="SimSun" w:hAnsi="Times New Roman"/>
          <w:iCs/>
          <w:sz w:val="24"/>
          <w:szCs w:val="24"/>
        </w:rPr>
        <w:t>1</w:t>
      </w:r>
      <w:r w:rsidRPr="00AE47C6">
        <w:rPr>
          <w:rFonts w:ascii="Times New Roman" w:eastAsia="SimSun" w:hAnsi="Times New Roman"/>
          <w:b/>
          <w:bCs/>
          <w:iCs/>
          <w:sz w:val="24"/>
          <w:szCs w:val="24"/>
        </w:rPr>
        <w:t>. Локализация:</w:t>
      </w:r>
      <w:r w:rsidRPr="00AE47C6">
        <w:rPr>
          <w:rFonts w:ascii="Times New Roman" w:eastAsia="SimSun" w:hAnsi="Times New Roman"/>
          <w:iCs/>
          <w:sz w:val="24"/>
          <w:szCs w:val="24"/>
        </w:rPr>
        <w:t xml:space="preserve"> генерализирани, латерализирани, двустранно независими, мултифокални. </w:t>
      </w:r>
    </w:p>
    <w:p w14:paraId="2D7F7DBA" w14:textId="77777777" w:rsidR="00BE0B19" w:rsidRPr="00AE47C6" w:rsidRDefault="00BE0B19" w:rsidP="00BE0B19">
      <w:pPr>
        <w:tabs>
          <w:tab w:val="left" w:pos="993"/>
        </w:tabs>
        <w:spacing w:after="0" w:line="360" w:lineRule="auto"/>
        <w:ind w:firstLine="709"/>
        <w:jc w:val="both"/>
        <w:rPr>
          <w:rFonts w:ascii="Times New Roman" w:eastAsia="SimSun" w:hAnsi="Times New Roman"/>
          <w:iCs/>
          <w:sz w:val="24"/>
          <w:szCs w:val="24"/>
        </w:rPr>
      </w:pPr>
      <w:r w:rsidRPr="00AE47C6">
        <w:rPr>
          <w:rFonts w:ascii="Times New Roman" w:eastAsia="SimSun" w:hAnsi="Times New Roman"/>
          <w:iCs/>
          <w:sz w:val="24"/>
          <w:szCs w:val="24"/>
        </w:rPr>
        <w:t xml:space="preserve">2. </w:t>
      </w:r>
      <w:r w:rsidRPr="00AE47C6">
        <w:rPr>
          <w:rFonts w:ascii="Times New Roman" w:eastAsia="SimSun" w:hAnsi="Times New Roman"/>
          <w:b/>
          <w:bCs/>
          <w:iCs/>
          <w:sz w:val="24"/>
          <w:szCs w:val="24"/>
        </w:rPr>
        <w:t>Наименование на патерна</w:t>
      </w:r>
      <w:r w:rsidRPr="00AE47C6">
        <w:rPr>
          <w:rFonts w:ascii="Times New Roman" w:eastAsia="SimSun" w:hAnsi="Times New Roman"/>
          <w:iCs/>
          <w:sz w:val="24"/>
          <w:szCs w:val="24"/>
        </w:rPr>
        <w:t>: периодични разряди, ритмична делта активност или пика-бавна вълна/пика-бавна вълна плюс подтипове.</w:t>
      </w:r>
    </w:p>
    <w:p w14:paraId="0F071CEF" w14:textId="77777777" w:rsidR="00BE0B19" w:rsidRPr="00AE47C6" w:rsidRDefault="00BE0B19" w:rsidP="00BE0B19">
      <w:pPr>
        <w:tabs>
          <w:tab w:val="left" w:pos="993"/>
        </w:tabs>
        <w:spacing w:after="0" w:line="360" w:lineRule="auto"/>
        <w:ind w:firstLine="709"/>
        <w:jc w:val="both"/>
        <w:rPr>
          <w:rFonts w:ascii="Times New Roman" w:eastAsia="SimSun" w:hAnsi="Times New Roman"/>
          <w:iCs/>
          <w:sz w:val="24"/>
          <w:szCs w:val="24"/>
        </w:rPr>
      </w:pPr>
      <w:r w:rsidRPr="00AE47C6">
        <w:rPr>
          <w:rFonts w:ascii="Times New Roman" w:eastAsia="SimSun" w:hAnsi="Times New Roman"/>
          <w:iCs/>
          <w:sz w:val="24"/>
          <w:szCs w:val="24"/>
        </w:rPr>
        <w:t xml:space="preserve">3. </w:t>
      </w:r>
      <w:r w:rsidRPr="00AE47C6">
        <w:rPr>
          <w:rFonts w:ascii="Times New Roman" w:eastAsia="SimSun" w:hAnsi="Times New Roman"/>
          <w:b/>
          <w:bCs/>
          <w:iCs/>
          <w:sz w:val="24"/>
          <w:szCs w:val="24"/>
        </w:rPr>
        <w:t>Морфология</w:t>
      </w:r>
      <w:r w:rsidRPr="00AE47C6">
        <w:rPr>
          <w:rFonts w:ascii="Times New Roman" w:eastAsia="SimSun" w:hAnsi="Times New Roman"/>
          <w:iCs/>
          <w:sz w:val="24"/>
          <w:szCs w:val="24"/>
        </w:rPr>
        <w:t>: форма, брой фази, амплитуда, поляритет.</w:t>
      </w:r>
    </w:p>
    <w:p w14:paraId="1EEDB549" w14:textId="77777777" w:rsidR="00BE0B19" w:rsidRPr="00AE47C6" w:rsidRDefault="00BE0B19" w:rsidP="00BE0B19">
      <w:pPr>
        <w:tabs>
          <w:tab w:val="left" w:pos="993"/>
        </w:tabs>
        <w:spacing w:after="0" w:line="360" w:lineRule="auto"/>
        <w:ind w:firstLine="709"/>
        <w:jc w:val="both"/>
        <w:rPr>
          <w:rFonts w:ascii="Times New Roman" w:eastAsia="SimSun" w:hAnsi="Times New Roman"/>
          <w:iCs/>
          <w:sz w:val="24"/>
          <w:szCs w:val="24"/>
        </w:rPr>
      </w:pPr>
      <w:r w:rsidRPr="00AE47C6">
        <w:rPr>
          <w:rFonts w:ascii="Times New Roman" w:eastAsia="SimSun" w:hAnsi="Times New Roman"/>
          <w:iCs/>
          <w:sz w:val="24"/>
          <w:szCs w:val="24"/>
        </w:rPr>
        <w:t xml:space="preserve">4. </w:t>
      </w:r>
      <w:r w:rsidRPr="00AE47C6">
        <w:rPr>
          <w:rFonts w:ascii="Times New Roman" w:eastAsia="SimSun" w:hAnsi="Times New Roman"/>
          <w:b/>
          <w:bCs/>
          <w:iCs/>
          <w:sz w:val="24"/>
          <w:szCs w:val="24"/>
        </w:rPr>
        <w:t>Свързани с времето характеристики</w:t>
      </w:r>
      <w:r w:rsidRPr="00AE47C6">
        <w:rPr>
          <w:rFonts w:ascii="Times New Roman" w:eastAsia="SimSun" w:hAnsi="Times New Roman"/>
          <w:iCs/>
          <w:sz w:val="24"/>
          <w:szCs w:val="24"/>
        </w:rPr>
        <w:t>: честота, продължителност, начало (постепенно, внезапно), динамика (еволюиращи, флуктуиращи или персистиращи).</w:t>
      </w:r>
    </w:p>
    <w:p w14:paraId="2050730C" w14:textId="77777777" w:rsidR="00BE0B19" w:rsidRPr="00AE47C6" w:rsidRDefault="00BE0B19" w:rsidP="00BE0B19">
      <w:pPr>
        <w:tabs>
          <w:tab w:val="left" w:pos="993"/>
        </w:tabs>
        <w:spacing w:after="0" w:line="360" w:lineRule="auto"/>
        <w:ind w:firstLine="709"/>
        <w:jc w:val="both"/>
        <w:rPr>
          <w:rFonts w:ascii="Times New Roman" w:eastAsia="SimSun" w:hAnsi="Times New Roman"/>
          <w:iCs/>
          <w:sz w:val="24"/>
          <w:szCs w:val="24"/>
        </w:rPr>
      </w:pPr>
      <w:r w:rsidRPr="00AE47C6">
        <w:rPr>
          <w:rFonts w:ascii="Times New Roman" w:eastAsia="SimSun" w:hAnsi="Times New Roman"/>
          <w:iCs/>
          <w:sz w:val="24"/>
          <w:szCs w:val="24"/>
        </w:rPr>
        <w:t>5</w:t>
      </w:r>
      <w:r w:rsidRPr="00AE47C6">
        <w:rPr>
          <w:rFonts w:ascii="Times New Roman" w:eastAsia="SimSun" w:hAnsi="Times New Roman"/>
          <w:b/>
          <w:bCs/>
          <w:iCs/>
          <w:sz w:val="24"/>
          <w:szCs w:val="24"/>
        </w:rPr>
        <w:t>. Модулация</w:t>
      </w:r>
      <w:r w:rsidRPr="00AE47C6">
        <w:rPr>
          <w:rFonts w:ascii="Times New Roman" w:eastAsia="SimSun" w:hAnsi="Times New Roman"/>
          <w:iCs/>
          <w:sz w:val="24"/>
          <w:szCs w:val="24"/>
        </w:rPr>
        <w:t>: предизвикани от стимули или спонтанни.</w:t>
      </w:r>
    </w:p>
    <w:p w14:paraId="495A540F" w14:textId="77777777" w:rsidR="00BE0B19" w:rsidRPr="00AE47C6" w:rsidRDefault="00BE0B19" w:rsidP="00BE0B19">
      <w:pPr>
        <w:tabs>
          <w:tab w:val="left" w:pos="993"/>
        </w:tabs>
        <w:spacing w:after="0" w:line="360" w:lineRule="auto"/>
        <w:ind w:firstLine="709"/>
        <w:jc w:val="both"/>
        <w:rPr>
          <w:rFonts w:ascii="Times New Roman" w:eastAsia="SimSun" w:hAnsi="Times New Roman"/>
          <w:iCs/>
          <w:sz w:val="24"/>
          <w:szCs w:val="24"/>
        </w:rPr>
      </w:pPr>
      <w:r w:rsidRPr="00AE47C6">
        <w:rPr>
          <w:rFonts w:ascii="Times New Roman" w:eastAsia="SimSun" w:hAnsi="Times New Roman"/>
          <w:iCs/>
          <w:sz w:val="24"/>
          <w:szCs w:val="24"/>
        </w:rPr>
        <w:t xml:space="preserve">6. </w:t>
      </w:r>
      <w:r w:rsidRPr="00AE47C6">
        <w:rPr>
          <w:rFonts w:ascii="Times New Roman" w:eastAsia="SimSun" w:hAnsi="Times New Roman"/>
          <w:b/>
          <w:bCs/>
          <w:iCs/>
          <w:sz w:val="24"/>
          <w:szCs w:val="24"/>
        </w:rPr>
        <w:t>Ефект от медикаментозна интервенция върху ЕЕГ находката</w:t>
      </w:r>
      <w:r w:rsidRPr="00AE47C6">
        <w:rPr>
          <w:rFonts w:ascii="Times New Roman" w:eastAsia="SimSun" w:hAnsi="Times New Roman"/>
          <w:iCs/>
          <w:sz w:val="24"/>
          <w:szCs w:val="24"/>
        </w:rPr>
        <w:t xml:space="preserve">. </w:t>
      </w:r>
    </w:p>
    <w:p w14:paraId="2957AA97" w14:textId="77777777" w:rsidR="00BE0B19" w:rsidRPr="00AE47C6" w:rsidRDefault="00BE0B19" w:rsidP="00BE0B19">
      <w:pPr>
        <w:tabs>
          <w:tab w:val="left" w:pos="993"/>
        </w:tabs>
        <w:spacing w:after="0" w:line="360" w:lineRule="auto"/>
        <w:ind w:firstLine="709"/>
        <w:jc w:val="both"/>
        <w:rPr>
          <w:rFonts w:ascii="Times New Roman" w:eastAsia="SimSun" w:hAnsi="Times New Roman"/>
          <w:iCs/>
          <w:sz w:val="24"/>
          <w:szCs w:val="24"/>
        </w:rPr>
      </w:pPr>
      <w:r w:rsidRPr="00AE47C6">
        <w:rPr>
          <w:rFonts w:ascii="Times New Roman" w:eastAsia="SimSun" w:hAnsi="Times New Roman"/>
          <w:iCs/>
          <w:sz w:val="24"/>
          <w:szCs w:val="24"/>
        </w:rPr>
        <w:t xml:space="preserve">7. </w:t>
      </w:r>
      <w:r w:rsidRPr="00AE47C6">
        <w:rPr>
          <w:rFonts w:ascii="Times New Roman" w:eastAsia="SimSun" w:hAnsi="Times New Roman"/>
          <w:b/>
          <w:iCs/>
          <w:sz w:val="24"/>
          <w:szCs w:val="24"/>
        </w:rPr>
        <w:t xml:space="preserve">Флуктуация </w:t>
      </w:r>
      <w:r w:rsidRPr="00AE47C6">
        <w:rPr>
          <w:rFonts w:ascii="Times New Roman" w:eastAsia="SimSun" w:hAnsi="Times New Roman"/>
          <w:iCs/>
          <w:sz w:val="24"/>
          <w:szCs w:val="24"/>
        </w:rPr>
        <w:t xml:space="preserve">- наличие на повече от 3 промени в честота (с поне 0,5 Hz), морфология или локализация, през период не по-голям от 1 минута. </w:t>
      </w:r>
    </w:p>
    <w:p w14:paraId="23382AA4" w14:textId="77777777" w:rsidR="00BE0B19" w:rsidRPr="00AE47C6" w:rsidRDefault="00BE0B19" w:rsidP="00BE0B19">
      <w:pPr>
        <w:tabs>
          <w:tab w:val="left" w:pos="993"/>
        </w:tabs>
        <w:spacing w:after="0" w:line="360" w:lineRule="auto"/>
        <w:ind w:firstLine="709"/>
        <w:jc w:val="both"/>
        <w:rPr>
          <w:rFonts w:ascii="Times New Roman" w:eastAsia="SimSun" w:hAnsi="Times New Roman"/>
          <w:iCs/>
          <w:sz w:val="24"/>
          <w:szCs w:val="24"/>
        </w:rPr>
      </w:pPr>
      <w:r w:rsidRPr="00AE47C6">
        <w:rPr>
          <w:rFonts w:ascii="Times New Roman" w:eastAsia="SimSun" w:hAnsi="Times New Roman"/>
          <w:iCs/>
          <w:sz w:val="24"/>
          <w:szCs w:val="24"/>
        </w:rPr>
        <w:t xml:space="preserve">8. </w:t>
      </w:r>
      <w:r w:rsidRPr="00AE47C6">
        <w:rPr>
          <w:rFonts w:ascii="Times New Roman" w:eastAsia="SimSun" w:hAnsi="Times New Roman"/>
          <w:b/>
          <w:iCs/>
          <w:sz w:val="24"/>
          <w:szCs w:val="24"/>
        </w:rPr>
        <w:t>Еволюция</w:t>
      </w:r>
      <w:r w:rsidRPr="00AE47C6">
        <w:rPr>
          <w:rFonts w:ascii="Times New Roman" w:eastAsia="SimSun" w:hAnsi="Times New Roman"/>
          <w:iCs/>
          <w:sz w:val="24"/>
          <w:szCs w:val="24"/>
        </w:rPr>
        <w:t xml:space="preserve"> - при поне 2 категорични промени в честота (поне 2 последователни еднопосочни промени с поне 0,5 Hz), морфология (поне 2 последователни промени до поява на нова морфология) или локализация (последващо разпространение към поне 2 различни стандартни 10-20 отвеждания). </w:t>
      </w:r>
    </w:p>
    <w:p w14:paraId="3CC88981" w14:textId="77777777" w:rsidR="00BE0B19" w:rsidRPr="00AE47C6" w:rsidRDefault="00BE0B19" w:rsidP="00BE0B19">
      <w:pPr>
        <w:tabs>
          <w:tab w:val="left" w:pos="993"/>
        </w:tabs>
        <w:spacing w:after="0" w:line="360" w:lineRule="auto"/>
        <w:ind w:firstLine="709"/>
        <w:jc w:val="both"/>
        <w:rPr>
          <w:rFonts w:ascii="Times New Roman" w:eastAsia="SimSun" w:hAnsi="Times New Roman"/>
          <w:iCs/>
          <w:sz w:val="24"/>
          <w:szCs w:val="24"/>
        </w:rPr>
      </w:pPr>
      <w:r w:rsidRPr="00AE47C6">
        <w:rPr>
          <w:rFonts w:ascii="Times New Roman" w:eastAsia="SimSun" w:hAnsi="Times New Roman"/>
          <w:iCs/>
          <w:sz w:val="24"/>
          <w:szCs w:val="24"/>
        </w:rPr>
        <w:t xml:space="preserve">9. </w:t>
      </w:r>
      <w:r w:rsidRPr="00AE47C6">
        <w:rPr>
          <w:rFonts w:ascii="Times New Roman" w:eastAsia="SimSun" w:hAnsi="Times New Roman"/>
          <w:b/>
          <w:iCs/>
          <w:sz w:val="24"/>
          <w:szCs w:val="24"/>
        </w:rPr>
        <w:t>ЕЕГ подобрение</w:t>
      </w:r>
      <w:r w:rsidRPr="00AE47C6">
        <w:rPr>
          <w:rFonts w:ascii="Times New Roman" w:eastAsia="SimSun" w:hAnsi="Times New Roman"/>
          <w:iCs/>
          <w:sz w:val="24"/>
          <w:szCs w:val="24"/>
        </w:rPr>
        <w:t xml:space="preserve"> при редуциране на патологичната находка до рядка (до 1-9% от епоха).</w:t>
      </w:r>
    </w:p>
    <w:p w14:paraId="744FEEFB" w14:textId="77777777" w:rsidR="00BE0B19" w:rsidRPr="00AE47C6" w:rsidRDefault="00BE0B19" w:rsidP="00BE0B19">
      <w:pPr>
        <w:tabs>
          <w:tab w:val="left" w:pos="1134"/>
          <w:tab w:val="left" w:pos="1843"/>
        </w:tabs>
        <w:spacing w:after="0" w:line="360" w:lineRule="auto"/>
        <w:ind w:firstLine="851"/>
        <w:jc w:val="both"/>
        <w:rPr>
          <w:rFonts w:ascii="Times New Roman" w:eastAsia="SimSun" w:hAnsi="Times New Roman"/>
          <w:b/>
          <w:iCs/>
          <w:sz w:val="24"/>
          <w:szCs w:val="24"/>
        </w:rPr>
      </w:pPr>
      <w:r w:rsidRPr="00AE47C6">
        <w:rPr>
          <w:rFonts w:ascii="Times New Roman" w:eastAsia="SimSun" w:hAnsi="Times New Roman"/>
          <w:b/>
          <w:iCs/>
          <w:sz w:val="24"/>
          <w:szCs w:val="24"/>
        </w:rPr>
        <w:t xml:space="preserve">Модифицирани критерии от Залцбургски консенсус за неконвулсивен ЕС </w:t>
      </w:r>
    </w:p>
    <w:p w14:paraId="398FFA36" w14:textId="77777777" w:rsidR="00BE0B19" w:rsidRPr="00AE47C6" w:rsidRDefault="00BE0B19" w:rsidP="00BE0B19">
      <w:pPr>
        <w:tabs>
          <w:tab w:val="left" w:pos="1134"/>
          <w:tab w:val="left" w:pos="1843"/>
        </w:tabs>
        <w:spacing w:after="0" w:line="360" w:lineRule="auto"/>
        <w:ind w:firstLine="851"/>
        <w:jc w:val="both"/>
        <w:rPr>
          <w:rFonts w:ascii="Times New Roman" w:eastAsia="SimSun" w:hAnsi="Times New Roman"/>
          <w:iCs/>
          <w:sz w:val="24"/>
          <w:szCs w:val="24"/>
        </w:rPr>
      </w:pPr>
      <w:r w:rsidRPr="00AE47C6">
        <w:rPr>
          <w:rFonts w:ascii="Times New Roman" w:eastAsia="SimSun" w:hAnsi="Times New Roman"/>
          <w:iCs/>
          <w:sz w:val="24"/>
          <w:szCs w:val="24"/>
        </w:rPr>
        <w:t>През 2013 г. в Залцбург са утвърдени работни ЕЕГ критерии за диагностика на неконвулсивен ЕС. На тази база, през 2015 г., Leitinger и съавт. представят Модифицирани Залцбургски критерии за неконвулсивен ЕС, с които се постига значима редукция на фалшиво положителните диагнози неконвулсивен ЕС при минимална загуба на чувствителност</w:t>
      </w:r>
      <w:r w:rsidRPr="00AE47C6">
        <w:rPr>
          <w:rFonts w:ascii="Times New Roman" w:eastAsia="SimSun" w:hAnsi="Times New Roman"/>
          <w:i/>
          <w:iCs/>
          <w:sz w:val="24"/>
          <w:szCs w:val="24"/>
        </w:rPr>
        <w:t>.</w:t>
      </w:r>
      <w:r w:rsidRPr="00AE47C6">
        <w:rPr>
          <w:rFonts w:ascii="Times New Roman" w:eastAsia="SimSun" w:hAnsi="Times New Roman"/>
          <w:iCs/>
          <w:sz w:val="24"/>
          <w:szCs w:val="24"/>
        </w:rPr>
        <w:t xml:space="preserve"> Според тези критерии диагнозата неконвулсивен ЕС се базира на комбинация от ЕЕГ и клинични данни като клиничните симптоми, суспектни за ЕС, трябва да продължават поне 10 мин. Прилагането на тези критерии се препоръчва при всички пациенти с количествени или качествени нарушения на съзнанието. Те включват: </w:t>
      </w:r>
    </w:p>
    <w:p w14:paraId="637EBA2A" w14:textId="77777777" w:rsidR="00BE0B19" w:rsidRPr="00AE47C6" w:rsidRDefault="00BE0B19" w:rsidP="00BE0B19">
      <w:pPr>
        <w:tabs>
          <w:tab w:val="left" w:pos="1134"/>
        </w:tabs>
        <w:spacing w:after="0" w:line="360" w:lineRule="auto"/>
        <w:ind w:firstLine="709"/>
        <w:jc w:val="both"/>
        <w:rPr>
          <w:rFonts w:ascii="Times New Roman" w:eastAsia="SimSun" w:hAnsi="Times New Roman"/>
          <w:b/>
          <w:iCs/>
          <w:sz w:val="24"/>
          <w:szCs w:val="24"/>
        </w:rPr>
      </w:pPr>
      <w:r w:rsidRPr="00AE47C6">
        <w:rPr>
          <w:rFonts w:ascii="Times New Roman" w:eastAsia="SimSun" w:hAnsi="Times New Roman"/>
          <w:b/>
          <w:iCs/>
          <w:sz w:val="24"/>
          <w:szCs w:val="24"/>
        </w:rPr>
        <w:t>Клинични данни, подпомагащи диагнозата:</w:t>
      </w:r>
    </w:p>
    <w:p w14:paraId="0FB8C137" w14:textId="77777777" w:rsidR="00BE0B19" w:rsidRPr="00AE47C6" w:rsidRDefault="00BE0B19" w:rsidP="00BE0B19">
      <w:pPr>
        <w:tabs>
          <w:tab w:val="left" w:pos="1134"/>
        </w:tabs>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 Влошаване на състоянието в рамките на минути до часове.</w:t>
      </w:r>
    </w:p>
    <w:p w14:paraId="3DD91A4C" w14:textId="77777777" w:rsidR="00BE0B19" w:rsidRPr="00AE47C6" w:rsidRDefault="00BE0B19" w:rsidP="00BE0B19">
      <w:pPr>
        <w:tabs>
          <w:tab w:val="left" w:pos="1134"/>
        </w:tabs>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 Липса на съществено подобрение в последните минути до часове.</w:t>
      </w:r>
    </w:p>
    <w:p w14:paraId="4CD29BBE" w14:textId="77777777" w:rsidR="00BE0B19" w:rsidRPr="00AE47C6" w:rsidRDefault="00BE0B19" w:rsidP="00BE0B19">
      <w:pPr>
        <w:tabs>
          <w:tab w:val="left" w:pos="851"/>
        </w:tabs>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 Липса на метаболитни нарушения или данни от невроизобразяващите методи, обясняващи ЕЕГ находката.</w:t>
      </w:r>
    </w:p>
    <w:p w14:paraId="46ADA276" w14:textId="77777777" w:rsidR="00BE0B19" w:rsidRPr="00AE47C6" w:rsidRDefault="00BE0B19" w:rsidP="00BE0B19">
      <w:pPr>
        <w:tabs>
          <w:tab w:val="left" w:pos="1134"/>
          <w:tab w:val="left" w:pos="1843"/>
        </w:tabs>
        <w:spacing w:after="0" w:line="360" w:lineRule="auto"/>
        <w:jc w:val="both"/>
        <w:rPr>
          <w:rFonts w:ascii="Times New Roman" w:eastAsia="SimSun" w:hAnsi="Times New Roman"/>
          <w:iCs/>
          <w:sz w:val="24"/>
          <w:szCs w:val="24"/>
        </w:rPr>
      </w:pPr>
      <w:r w:rsidRPr="00AE47C6">
        <w:rPr>
          <w:rFonts w:ascii="Times New Roman" w:eastAsia="SimSun" w:hAnsi="Times New Roman"/>
          <w:b/>
          <w:bCs/>
          <w:iCs/>
          <w:sz w:val="24"/>
          <w:szCs w:val="24"/>
        </w:rPr>
        <w:t xml:space="preserve">ЕЕГ </w:t>
      </w:r>
      <w:r w:rsidRPr="00AE47C6">
        <w:rPr>
          <w:rFonts w:ascii="Times New Roman" w:eastAsia="SimSun" w:hAnsi="Times New Roman"/>
          <w:b/>
          <w:iCs/>
          <w:sz w:val="24"/>
          <w:szCs w:val="24"/>
        </w:rPr>
        <w:t>промени с продължителност поне 10 s:</w:t>
      </w:r>
    </w:p>
    <w:p w14:paraId="0E3E6BED" w14:textId="77777777" w:rsidR="00BE0B19" w:rsidRPr="00AE47C6" w:rsidRDefault="00BE0B19" w:rsidP="00BE0B19">
      <w:pPr>
        <w:tabs>
          <w:tab w:val="left" w:pos="851"/>
        </w:tabs>
        <w:spacing w:after="0" w:line="360" w:lineRule="auto"/>
        <w:ind w:firstLine="567"/>
        <w:jc w:val="both"/>
        <w:rPr>
          <w:rFonts w:ascii="Times New Roman" w:eastAsia="SimSun" w:hAnsi="Times New Roman"/>
          <w:iCs/>
          <w:sz w:val="24"/>
          <w:szCs w:val="24"/>
        </w:rPr>
      </w:pPr>
      <w:r w:rsidRPr="00AE47C6">
        <w:rPr>
          <w:rFonts w:ascii="Times New Roman" w:eastAsia="SimSun" w:hAnsi="Times New Roman"/>
          <w:b/>
          <w:iCs/>
          <w:sz w:val="24"/>
          <w:szCs w:val="24"/>
        </w:rPr>
        <w:t>А. При пациенти без известна енцефалопатия</w:t>
      </w:r>
      <w:r w:rsidRPr="00AE47C6">
        <w:rPr>
          <w:rFonts w:ascii="Times New Roman" w:eastAsia="SimSun" w:hAnsi="Times New Roman"/>
          <w:iCs/>
          <w:sz w:val="24"/>
          <w:szCs w:val="24"/>
        </w:rPr>
        <w:t xml:space="preserve"> (необходим е поне 1 критерий от 1-3)</w:t>
      </w:r>
    </w:p>
    <w:p w14:paraId="0BBF1B86" w14:textId="77777777" w:rsidR="00BE0B19" w:rsidRPr="00AE47C6" w:rsidRDefault="00BE0B19" w:rsidP="00BE0B19">
      <w:pPr>
        <w:tabs>
          <w:tab w:val="left" w:pos="851"/>
        </w:tabs>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1. Епилептични разряди с честота над 2,5 Hz.</w:t>
      </w:r>
    </w:p>
    <w:p w14:paraId="3D8F8E8A" w14:textId="77777777" w:rsidR="00BE0B19" w:rsidRPr="00AE47C6" w:rsidRDefault="00BE0B19" w:rsidP="00BE0B19">
      <w:pPr>
        <w:tabs>
          <w:tab w:val="left" w:pos="1134"/>
          <w:tab w:val="left" w:pos="1843"/>
        </w:tabs>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2. Типична иктална еволюция във времето и пространството от епилептични разряди или ритмична активност (над 0,5 Hz).</w:t>
      </w:r>
    </w:p>
    <w:p w14:paraId="475C1A13" w14:textId="77777777" w:rsidR="00BE0B19" w:rsidRPr="00AE47C6" w:rsidRDefault="00BE0B19" w:rsidP="00BE0B19">
      <w:pPr>
        <w:tabs>
          <w:tab w:val="left" w:pos="851"/>
          <w:tab w:val="left" w:pos="1134"/>
          <w:tab w:val="left" w:pos="1843"/>
        </w:tabs>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3. Дискретни клинични прояви (леки потрепвания в периоралната, пери-орбиталната област или крайниците, близки като време на изява с ЕЕГ находката) с епилептични разряди или ритмична активност (над 0,5 Hz).</w:t>
      </w:r>
    </w:p>
    <w:p w14:paraId="336131DB" w14:textId="77777777" w:rsidR="00BE0B19" w:rsidRPr="00AE47C6" w:rsidRDefault="00BE0B19" w:rsidP="00BE0B19">
      <w:pPr>
        <w:tabs>
          <w:tab w:val="left" w:pos="993"/>
          <w:tab w:val="left" w:pos="1843"/>
        </w:tabs>
        <w:spacing w:after="0" w:line="360" w:lineRule="auto"/>
        <w:jc w:val="both"/>
        <w:rPr>
          <w:rFonts w:ascii="Times New Roman" w:eastAsia="SimSun" w:hAnsi="Times New Roman"/>
          <w:iCs/>
          <w:sz w:val="24"/>
          <w:szCs w:val="24"/>
        </w:rPr>
      </w:pPr>
      <w:r w:rsidRPr="00AE47C6">
        <w:rPr>
          <w:rFonts w:ascii="Times New Roman" w:eastAsia="SimSun" w:hAnsi="Times New Roman"/>
          <w:iCs/>
          <w:sz w:val="24"/>
          <w:szCs w:val="24"/>
        </w:rPr>
        <w:t>4. При липса на критерии 1-3 и наличие на епилептични разряди с честота ≤ 2,5 Hz с флуктуация или ритмична активност над 0,5 Hz с/без флуктуация и след обмисляне на клиничната картина, се прилагат адекватни антиепилептични медикаменти и се документира реактивността на пациента след 10 мин.</w:t>
      </w:r>
    </w:p>
    <w:p w14:paraId="32C26810" w14:textId="77777777" w:rsidR="00BE0B19" w:rsidRPr="00AE47C6" w:rsidRDefault="00BE0B19" w:rsidP="00BE0B19">
      <w:pPr>
        <w:tabs>
          <w:tab w:val="left" w:pos="993"/>
          <w:tab w:val="left" w:pos="1843"/>
        </w:tabs>
        <w:spacing w:after="0" w:line="360" w:lineRule="auto"/>
        <w:jc w:val="both"/>
        <w:rPr>
          <w:rFonts w:ascii="Times New Roman" w:eastAsia="SimSun" w:hAnsi="Times New Roman"/>
          <w:b/>
          <w:iCs/>
          <w:sz w:val="24"/>
          <w:szCs w:val="24"/>
        </w:rPr>
      </w:pPr>
      <w:r w:rsidRPr="00AE47C6">
        <w:rPr>
          <w:rFonts w:ascii="Times New Roman" w:eastAsia="SimSun" w:hAnsi="Times New Roman"/>
          <w:b/>
          <w:iCs/>
          <w:sz w:val="24"/>
          <w:szCs w:val="24"/>
        </w:rPr>
        <w:t>В. При пациенти с известна епилептична енцефалопатия</w:t>
      </w:r>
    </w:p>
    <w:p w14:paraId="671F0EEB" w14:textId="77777777" w:rsidR="00BE0B19" w:rsidRPr="00AE47C6" w:rsidRDefault="00BE0B19" w:rsidP="00BE0B19">
      <w:pPr>
        <w:tabs>
          <w:tab w:val="left" w:pos="993"/>
          <w:tab w:val="left" w:pos="1843"/>
        </w:tabs>
        <w:spacing w:after="0" w:line="360" w:lineRule="auto"/>
        <w:ind w:firstLine="720"/>
        <w:jc w:val="both"/>
        <w:rPr>
          <w:rFonts w:ascii="Times New Roman" w:eastAsia="SimSun" w:hAnsi="Times New Roman"/>
          <w:iCs/>
          <w:sz w:val="24"/>
          <w:szCs w:val="24"/>
        </w:rPr>
      </w:pPr>
      <w:r w:rsidRPr="00AE47C6">
        <w:rPr>
          <w:rFonts w:ascii="Times New Roman" w:eastAsia="SimSun" w:hAnsi="Times New Roman"/>
          <w:iCs/>
          <w:sz w:val="24"/>
          <w:szCs w:val="24"/>
        </w:rPr>
        <w:t xml:space="preserve">Критерии от група А + по-подчертани като степен на изява или честота ЕЕГ промени или клинично и ЕЕГ подобрение от приложените интравенозно АГЛ. </w:t>
      </w:r>
    </w:p>
    <w:p w14:paraId="2D8C36CC" w14:textId="77777777" w:rsidR="00BE0B19" w:rsidRPr="00AE47C6" w:rsidRDefault="00BE0B19" w:rsidP="00BE0B19">
      <w:pPr>
        <w:tabs>
          <w:tab w:val="left" w:pos="993"/>
          <w:tab w:val="left" w:pos="1843"/>
        </w:tabs>
        <w:spacing w:after="0" w:line="360" w:lineRule="auto"/>
        <w:ind w:firstLine="720"/>
        <w:jc w:val="both"/>
        <w:rPr>
          <w:rFonts w:ascii="Times New Roman" w:eastAsia="SimSun" w:hAnsi="Times New Roman"/>
          <w:b/>
          <w:iCs/>
          <w:sz w:val="24"/>
          <w:szCs w:val="24"/>
        </w:rPr>
      </w:pPr>
      <w:r w:rsidRPr="00AE47C6">
        <w:rPr>
          <w:rFonts w:ascii="Times New Roman" w:eastAsia="SimSun" w:hAnsi="Times New Roman"/>
          <w:b/>
          <w:iCs/>
          <w:sz w:val="24"/>
          <w:szCs w:val="24"/>
        </w:rPr>
        <w:t>Диагностична ос възраст</w:t>
      </w:r>
    </w:p>
    <w:p w14:paraId="771EF963" w14:textId="77777777" w:rsidR="00BE0B19" w:rsidRPr="00AE47C6" w:rsidRDefault="00BE0B19" w:rsidP="00BE0B19">
      <w:pPr>
        <w:spacing w:after="0" w:line="360" w:lineRule="auto"/>
        <w:ind w:left="720"/>
        <w:jc w:val="both"/>
        <w:rPr>
          <w:rFonts w:ascii="Times New Roman" w:eastAsia="SimSun" w:hAnsi="Times New Roman"/>
          <w:b/>
          <w:bCs/>
          <w:iCs/>
          <w:sz w:val="24"/>
          <w:szCs w:val="24"/>
        </w:rPr>
      </w:pPr>
      <w:r w:rsidRPr="00AE47C6">
        <w:rPr>
          <w:rFonts w:ascii="Times New Roman" w:eastAsia="SimSun" w:hAnsi="Times New Roman"/>
          <w:b/>
          <w:bCs/>
          <w:iCs/>
          <w:sz w:val="24"/>
          <w:szCs w:val="24"/>
        </w:rPr>
        <w:t>Съвременна класификация на ЕС (възраст)</w:t>
      </w:r>
    </w:p>
    <w:p w14:paraId="7A523D87"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 xml:space="preserve">1. В период на новороденото (0-30 дни) </w:t>
      </w:r>
    </w:p>
    <w:p w14:paraId="400F59E8"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2. В кърмаческа възраст (1 месец – 2 години)</w:t>
      </w:r>
    </w:p>
    <w:p w14:paraId="27F8E87B"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3. При деца (2-12 години)</w:t>
      </w:r>
    </w:p>
    <w:p w14:paraId="12FB904D"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4. При юноши и възрастни (12-59 години)</w:t>
      </w:r>
    </w:p>
    <w:p w14:paraId="57DB96BD" w14:textId="77777777" w:rsidR="00BE0B19" w:rsidRPr="00AE47C6" w:rsidRDefault="00BE0B19" w:rsidP="00BE0B19">
      <w:pPr>
        <w:spacing w:after="0" w:line="360" w:lineRule="auto"/>
        <w:ind w:left="720"/>
        <w:jc w:val="both"/>
        <w:rPr>
          <w:rFonts w:ascii="Times New Roman" w:eastAsia="SimSun" w:hAnsi="Times New Roman"/>
          <w:iCs/>
          <w:sz w:val="24"/>
          <w:szCs w:val="24"/>
        </w:rPr>
      </w:pPr>
      <w:r w:rsidRPr="00AE47C6">
        <w:rPr>
          <w:rFonts w:ascii="Times New Roman" w:eastAsia="SimSun" w:hAnsi="Times New Roman"/>
          <w:iCs/>
          <w:sz w:val="24"/>
          <w:szCs w:val="24"/>
        </w:rPr>
        <w:t>5. Старческа възраст (≥ 60 години)</w:t>
      </w:r>
    </w:p>
    <w:p w14:paraId="1E32B66A" w14:textId="77777777" w:rsidR="00BE0B19" w:rsidRPr="00AE47C6" w:rsidRDefault="00BE0B19" w:rsidP="00BE0B19">
      <w:pPr>
        <w:shd w:val="clear" w:color="auto" w:fill="FFFFFF"/>
        <w:spacing w:after="0" w:line="360" w:lineRule="auto"/>
        <w:jc w:val="both"/>
        <w:rPr>
          <w:rFonts w:ascii="Times New Roman" w:eastAsia="SimSun" w:hAnsi="Times New Roman"/>
          <w:b/>
          <w:bCs/>
          <w:sz w:val="24"/>
          <w:szCs w:val="24"/>
          <w:lang w:eastAsia="bg-BG"/>
        </w:rPr>
      </w:pPr>
    </w:p>
    <w:p w14:paraId="1A8CCD9D" w14:textId="77777777" w:rsidR="00BE0B19" w:rsidRPr="00AE47C6" w:rsidRDefault="00BE0B19" w:rsidP="00BE0B19">
      <w:pPr>
        <w:numPr>
          <w:ilvl w:val="12"/>
          <w:numId w:val="0"/>
        </w:numPr>
        <w:overflowPunct w:val="0"/>
        <w:autoSpaceDE w:val="0"/>
        <w:autoSpaceDN w:val="0"/>
        <w:adjustRightInd w:val="0"/>
        <w:spacing w:after="0" w:line="360" w:lineRule="auto"/>
        <w:jc w:val="both"/>
        <w:textAlignment w:val="baseline"/>
        <w:rPr>
          <w:rFonts w:ascii="Times New Roman" w:eastAsia="SimSun" w:hAnsi="Times New Roman"/>
          <w:b/>
          <w:sz w:val="24"/>
          <w:szCs w:val="24"/>
        </w:rPr>
      </w:pPr>
      <w:r w:rsidRPr="00AE47C6">
        <w:rPr>
          <w:rFonts w:ascii="Times New Roman" w:eastAsia="SimSun" w:hAnsi="Times New Roman"/>
          <w:b/>
          <w:sz w:val="24"/>
          <w:szCs w:val="24"/>
        </w:rPr>
        <w:t>VI. Диагностика</w:t>
      </w:r>
    </w:p>
    <w:p w14:paraId="26B8AFF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Диагнозата епилепсия се поставя при наличие най-малко на 2 непровокирани/ провокирани епилептични пристъпа или 1 непровокиран/провокиран пристъп и висока вероятност от последващ пристъп. Диагностицирането се извършва в 4 последователни етапа (Фиг.11.2): </w:t>
      </w:r>
    </w:p>
    <w:p w14:paraId="16446058"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5830C4DE" w14:textId="77777777" w:rsidR="00BE0B19" w:rsidRPr="00AE47C6" w:rsidRDefault="00BE0B19" w:rsidP="00BE0B19">
      <w:pPr>
        <w:numPr>
          <w:ilvl w:val="0"/>
          <w:numId w:val="3"/>
        </w:numPr>
        <w:tabs>
          <w:tab w:val="left" w:pos="0"/>
        </w:tabs>
        <w:overflowPunct w:val="0"/>
        <w:autoSpaceDE w:val="0"/>
        <w:autoSpaceDN w:val="0"/>
        <w:adjustRightInd w:val="0"/>
        <w:spacing w:after="0" w:line="360" w:lineRule="auto"/>
        <w:ind w:left="0" w:firstLine="0"/>
        <w:jc w:val="both"/>
        <w:textAlignment w:val="baseline"/>
        <w:rPr>
          <w:rFonts w:ascii="Times New Roman" w:eastAsia="SimSun" w:hAnsi="Times New Roman"/>
          <w:b/>
          <w:sz w:val="24"/>
          <w:szCs w:val="20"/>
        </w:rPr>
      </w:pPr>
      <w:r w:rsidRPr="00AE47C6">
        <w:rPr>
          <w:rFonts w:ascii="Times New Roman" w:eastAsia="SimSun" w:hAnsi="Times New Roman"/>
          <w:sz w:val="24"/>
          <w:szCs w:val="20"/>
        </w:rPr>
        <w:t xml:space="preserve">Характеризиране на пристъпа - </w:t>
      </w:r>
      <w:r w:rsidRPr="00AE47C6">
        <w:rPr>
          <w:rFonts w:ascii="Times New Roman" w:eastAsia="SimSun" w:hAnsi="Times New Roman"/>
          <w:bCs/>
          <w:sz w:val="24"/>
          <w:szCs w:val="20"/>
        </w:rPr>
        <w:t>диференциална диагноза между епилептични и неепилептични пристъпи:</w:t>
      </w:r>
    </w:p>
    <w:p w14:paraId="61FD5BA1" w14:textId="77777777" w:rsidR="00BE0B19" w:rsidRPr="00AE47C6" w:rsidRDefault="00BE0B19" w:rsidP="00BE0B19">
      <w:pPr>
        <w:numPr>
          <w:ilvl w:val="0"/>
          <w:numId w:val="5"/>
        </w:numPr>
        <w:tabs>
          <w:tab w:val="left" w:pos="0"/>
        </w:tabs>
        <w:overflowPunct w:val="0"/>
        <w:autoSpaceDE w:val="0"/>
        <w:autoSpaceDN w:val="0"/>
        <w:adjustRightInd w:val="0"/>
        <w:spacing w:after="0" w:line="360" w:lineRule="auto"/>
        <w:ind w:left="0" w:firstLine="0"/>
        <w:jc w:val="both"/>
        <w:textAlignment w:val="baseline"/>
        <w:rPr>
          <w:rFonts w:ascii="Times New Roman" w:eastAsia="SimSun" w:hAnsi="Times New Roman"/>
          <w:bCs/>
          <w:sz w:val="24"/>
          <w:szCs w:val="24"/>
        </w:rPr>
      </w:pPr>
      <w:r w:rsidRPr="00AE47C6">
        <w:rPr>
          <w:rFonts w:ascii="Times New Roman" w:eastAsia="SimSun" w:hAnsi="Times New Roman"/>
          <w:bCs/>
          <w:sz w:val="24"/>
          <w:szCs w:val="24"/>
        </w:rPr>
        <w:t xml:space="preserve">Диференциране от </w:t>
      </w:r>
      <w:r w:rsidRPr="00AE47C6">
        <w:rPr>
          <w:rFonts w:ascii="Times New Roman" w:eastAsia="SimSun" w:hAnsi="Times New Roman"/>
          <w:sz w:val="24"/>
          <w:szCs w:val="24"/>
        </w:rPr>
        <w:t xml:space="preserve">неепилептични пароксизмални състояния </w:t>
      </w:r>
      <w:r w:rsidRPr="00AE47C6">
        <w:rPr>
          <w:rFonts w:ascii="Times New Roman" w:eastAsia="SimSun" w:hAnsi="Times New Roman"/>
          <w:bCs/>
          <w:sz w:val="24"/>
          <w:szCs w:val="24"/>
        </w:rPr>
        <w:t>като: синкопи, мигрена, преходни исхемични атаки, двигателни разстройства, вкл. дистонни пристъпи, окулогирни кризи, нарушения на съня (парасомнии в  REM и не- REM съня), панически атаки и др.</w:t>
      </w:r>
    </w:p>
    <w:p w14:paraId="4FB1074E" w14:textId="77777777" w:rsidR="00BE0B19" w:rsidRPr="00AE47C6" w:rsidRDefault="00BE0B19" w:rsidP="00BE0B19">
      <w:pPr>
        <w:numPr>
          <w:ilvl w:val="0"/>
          <w:numId w:val="4"/>
        </w:numPr>
        <w:spacing w:after="0" w:line="360" w:lineRule="auto"/>
        <w:ind w:left="0" w:firstLine="0"/>
        <w:jc w:val="both"/>
        <w:rPr>
          <w:rFonts w:ascii="Times New Roman" w:eastAsia="SimSun" w:hAnsi="Times New Roman"/>
          <w:b/>
          <w:bCs/>
          <w:i/>
          <w:iCs/>
          <w:sz w:val="24"/>
          <w:szCs w:val="24"/>
        </w:rPr>
      </w:pPr>
      <w:r w:rsidRPr="00AE47C6">
        <w:rPr>
          <w:rFonts w:ascii="Times New Roman" w:eastAsia="SimSun" w:hAnsi="Times New Roman"/>
          <w:sz w:val="24"/>
          <w:szCs w:val="24"/>
        </w:rPr>
        <w:t xml:space="preserve">Разграничаване от </w:t>
      </w:r>
      <w:r w:rsidRPr="00AE47C6">
        <w:rPr>
          <w:rFonts w:ascii="Times New Roman" w:eastAsia="SimSun" w:hAnsi="Times New Roman"/>
          <w:bCs/>
          <w:sz w:val="24"/>
          <w:szCs w:val="24"/>
        </w:rPr>
        <w:t xml:space="preserve">неепилептични пристъпи </w:t>
      </w:r>
      <w:r w:rsidRPr="00AE47C6">
        <w:rPr>
          <w:rFonts w:ascii="Times New Roman" w:eastAsia="SimSun" w:hAnsi="Times New Roman"/>
          <w:sz w:val="24"/>
          <w:szCs w:val="24"/>
        </w:rPr>
        <w:t>(псевдоeпилептични пристъпи и синкопи с аноксичен пристъп, панически атаки).</w:t>
      </w:r>
    </w:p>
    <w:p w14:paraId="557210AE" w14:textId="77777777" w:rsidR="00BE0B19" w:rsidRPr="00AE47C6" w:rsidRDefault="00BE0B19" w:rsidP="00BE0B19">
      <w:pPr>
        <w:numPr>
          <w:ilvl w:val="0"/>
          <w:numId w:val="4"/>
        </w:numPr>
        <w:spacing w:after="0" w:line="360" w:lineRule="auto"/>
        <w:ind w:left="0" w:firstLine="0"/>
        <w:jc w:val="both"/>
        <w:rPr>
          <w:rFonts w:ascii="Times New Roman" w:eastAsia="SimSun" w:hAnsi="Times New Roman"/>
          <w:b/>
          <w:bCs/>
          <w:i/>
          <w:iCs/>
          <w:sz w:val="24"/>
          <w:szCs w:val="24"/>
        </w:rPr>
      </w:pPr>
      <w:r w:rsidRPr="00AE47C6">
        <w:rPr>
          <w:rFonts w:ascii="Times New Roman" w:eastAsia="SimSun" w:hAnsi="Times New Roman"/>
          <w:sz w:val="24"/>
          <w:szCs w:val="24"/>
        </w:rPr>
        <w:t xml:space="preserve">Разграничаване от </w:t>
      </w:r>
      <w:r w:rsidRPr="00AE47C6">
        <w:rPr>
          <w:rFonts w:ascii="Times New Roman" w:eastAsia="SimSun" w:hAnsi="Times New Roman"/>
          <w:bCs/>
          <w:sz w:val="24"/>
          <w:szCs w:val="24"/>
        </w:rPr>
        <w:t xml:space="preserve">пристъпите </w:t>
      </w:r>
      <w:r w:rsidRPr="00AE47C6">
        <w:rPr>
          <w:rFonts w:ascii="Times New Roman" w:eastAsia="SimSun" w:hAnsi="Times New Roman"/>
          <w:sz w:val="24"/>
          <w:szCs w:val="24"/>
        </w:rPr>
        <w:t>в хода на метаболитни нарушения, травми, инсулти, интоксикация с медикаменти, внезапно преустановяване на лечение, алкохол и алкохолна абстиненция и др., както и от фебрилни гърчове в детска възраст.</w:t>
      </w:r>
    </w:p>
    <w:p w14:paraId="13F6B8C8" w14:textId="77777777" w:rsidR="00BE0B19" w:rsidRPr="00AE47C6" w:rsidRDefault="00BE0B19" w:rsidP="00BE0B19">
      <w:pPr>
        <w:numPr>
          <w:ilvl w:val="0"/>
          <w:numId w:val="3"/>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Cs/>
          <w:sz w:val="24"/>
          <w:szCs w:val="24"/>
        </w:rPr>
        <w:t>Определяне на вида на епилептичния пристъп</w:t>
      </w:r>
      <w:r w:rsidRPr="00AE47C6">
        <w:rPr>
          <w:rFonts w:ascii="Times New Roman" w:eastAsia="SimSun" w:hAnsi="Times New Roman"/>
          <w:sz w:val="24"/>
          <w:szCs w:val="24"/>
        </w:rPr>
        <w:t xml:space="preserve"> (според Международната класификация на епилептичните пристъпи) според клиничната характеристика с оценка и на ЕЕГ характеристиката (ЕЕГ, видео-ЕЕГ) и невроизобразяващите изследвания (Таблица 11.8) </w:t>
      </w:r>
    </w:p>
    <w:p w14:paraId="7B1B94C3" w14:textId="77777777" w:rsidR="00BE0B19" w:rsidRPr="00AE47C6" w:rsidRDefault="00BE0B19" w:rsidP="00BE0B19">
      <w:pPr>
        <w:rPr>
          <w:rFonts w:ascii="Times New Roman" w:eastAsia="SimSun" w:hAnsi="Times New Roman"/>
          <w:sz w:val="24"/>
          <w:szCs w:val="24"/>
        </w:rPr>
      </w:pPr>
      <w:r w:rsidRPr="00AE47C6">
        <w:rPr>
          <w:rFonts w:ascii="Times New Roman" w:eastAsia="SimSun" w:hAnsi="Times New Roman"/>
          <w:b/>
          <w:bCs/>
          <w:sz w:val="24"/>
          <w:szCs w:val="24"/>
        </w:rPr>
        <w:t xml:space="preserve">Таблица 11.8. Аура и невроанатомична локализация </w:t>
      </w:r>
      <w:r w:rsidRPr="00AE47C6">
        <w:rPr>
          <w:rFonts w:ascii="Times New Roman" w:eastAsia="SimSun" w:hAnsi="Times New Roman"/>
          <w:sz w:val="24"/>
          <w:szCs w:val="24"/>
        </w:rPr>
        <w:t xml:space="preserve">(Wolf P., Benbadis S, Dimova PS et al. </w:t>
      </w:r>
      <w:r w:rsidRPr="00AE47C6">
        <w:rPr>
          <w:rFonts w:ascii="Times New Roman" w:eastAsia="SimSun" w:hAnsi="Times New Roman"/>
          <w:color w:val="212121"/>
          <w:sz w:val="24"/>
          <w:szCs w:val="24"/>
          <w:shd w:val="clear" w:color="auto" w:fill="FFFFFF"/>
        </w:rPr>
        <w:t>Epileptic Disord. 2020;22(1):15-31</w:t>
      </w:r>
      <w:r w:rsidRPr="00AE47C6">
        <w:rPr>
          <w:rFonts w:ascii="Times New Roman" w:eastAsia="SimSun" w:hAnsi="Times New Roman"/>
          <w:sz w:val="24"/>
          <w:szCs w:val="24"/>
        </w:rPr>
        <w: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32"/>
        <w:gridCol w:w="4140"/>
      </w:tblGrid>
      <w:tr w:rsidR="00BE0B19" w:rsidRPr="00AE47C6" w14:paraId="1924ED5B" w14:textId="77777777" w:rsidTr="00AD72E5">
        <w:trPr>
          <w:trHeight w:val="415"/>
          <w:tblHeader/>
        </w:trPr>
        <w:tc>
          <w:tcPr>
            <w:tcW w:w="5098" w:type="dxa"/>
            <w:shd w:val="clear" w:color="auto" w:fill="EEEEEE"/>
            <w:hideMark/>
          </w:tcPr>
          <w:p w14:paraId="6C270150" w14:textId="77777777" w:rsidR="00BE0B19" w:rsidRPr="00AE47C6" w:rsidRDefault="00BE0B19" w:rsidP="00BE0B19">
            <w:pPr>
              <w:rPr>
                <w:rFonts w:ascii="Times New Roman" w:eastAsia="SimSun" w:hAnsi="Times New Roman"/>
                <w:b/>
                <w:bCs/>
                <w:color w:val="000000"/>
              </w:rPr>
            </w:pPr>
            <w:r w:rsidRPr="00AE47C6">
              <w:rPr>
                <w:rFonts w:ascii="Times New Roman" w:eastAsia="SimSun" w:hAnsi="Times New Roman"/>
                <w:b/>
                <w:bCs/>
                <w:color w:val="000000"/>
              </w:rPr>
              <w:t>Феномени на аурата</w:t>
            </w:r>
          </w:p>
        </w:tc>
        <w:tc>
          <w:tcPr>
            <w:tcW w:w="4253" w:type="dxa"/>
            <w:shd w:val="clear" w:color="auto" w:fill="EEEEEE"/>
            <w:hideMark/>
          </w:tcPr>
          <w:p w14:paraId="2F6A394C" w14:textId="77777777" w:rsidR="00BE0B19" w:rsidRPr="00AE47C6" w:rsidRDefault="00BE0B19" w:rsidP="00BE0B19">
            <w:pPr>
              <w:rPr>
                <w:rFonts w:ascii="Times New Roman" w:eastAsia="SimSun" w:hAnsi="Times New Roman"/>
                <w:b/>
                <w:bCs/>
                <w:color w:val="000000"/>
              </w:rPr>
            </w:pPr>
            <w:r w:rsidRPr="00AE47C6">
              <w:rPr>
                <w:rFonts w:ascii="Times New Roman" w:eastAsia="SimSun" w:hAnsi="Times New Roman"/>
                <w:b/>
                <w:bCs/>
                <w:color w:val="000000"/>
              </w:rPr>
              <w:t>Вероятна локализация на епилептичната активност</w:t>
            </w:r>
          </w:p>
        </w:tc>
      </w:tr>
      <w:tr w:rsidR="00BE0B19" w:rsidRPr="00AE47C6" w14:paraId="089D17D6" w14:textId="77777777" w:rsidTr="00AD72E5">
        <w:tc>
          <w:tcPr>
            <w:tcW w:w="5098" w:type="dxa"/>
            <w:tcMar>
              <w:top w:w="180" w:type="dxa"/>
              <w:left w:w="180" w:type="dxa"/>
              <w:bottom w:w="0" w:type="dxa"/>
              <w:right w:w="180" w:type="dxa"/>
            </w:tcMar>
            <w:hideMark/>
          </w:tcPr>
          <w:p w14:paraId="38B2803E"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 xml:space="preserve">Афективна - страх, депресия, радост </w:t>
            </w:r>
          </w:p>
          <w:p w14:paraId="32EEAF9A"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Безпокойство (внезапно, кратко, интензивно, без съдържание)</w:t>
            </w:r>
          </w:p>
        </w:tc>
        <w:tc>
          <w:tcPr>
            <w:tcW w:w="4253" w:type="dxa"/>
            <w:tcMar>
              <w:top w:w="180" w:type="dxa"/>
              <w:left w:w="180" w:type="dxa"/>
              <w:bottom w:w="0" w:type="dxa"/>
              <w:right w:w="180" w:type="dxa"/>
            </w:tcMar>
            <w:hideMark/>
          </w:tcPr>
          <w:p w14:paraId="09D38210"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 xml:space="preserve">Темпорална </w:t>
            </w:r>
          </w:p>
          <w:p w14:paraId="12314E7F"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Амигдала</w:t>
            </w:r>
          </w:p>
        </w:tc>
      </w:tr>
      <w:tr w:rsidR="00BE0B19" w:rsidRPr="00AE47C6" w14:paraId="7E924095" w14:textId="77777777" w:rsidTr="00AD72E5">
        <w:tc>
          <w:tcPr>
            <w:tcW w:w="5098" w:type="dxa"/>
            <w:tcMar>
              <w:top w:w="180" w:type="dxa"/>
              <w:left w:w="180" w:type="dxa"/>
              <w:bottom w:w="0" w:type="dxa"/>
              <w:right w:w="180" w:type="dxa"/>
            </w:tcMar>
            <w:hideMark/>
          </w:tcPr>
          <w:p w14:paraId="0DA81AFA"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Слухова - звуци, шумове или единични тонове</w:t>
            </w:r>
          </w:p>
          <w:p w14:paraId="051F9F13"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 xml:space="preserve">Музика </w:t>
            </w:r>
          </w:p>
        </w:tc>
        <w:tc>
          <w:tcPr>
            <w:tcW w:w="4253" w:type="dxa"/>
            <w:tcMar>
              <w:top w:w="180" w:type="dxa"/>
              <w:left w:w="180" w:type="dxa"/>
              <w:bottom w:w="0" w:type="dxa"/>
              <w:right w:w="180" w:type="dxa"/>
            </w:tcMar>
            <w:hideMark/>
          </w:tcPr>
          <w:p w14:paraId="29263C7F"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 xml:space="preserve">Гирус на Heschl, ако е латерализирана от противоположната страна. </w:t>
            </w:r>
          </w:p>
          <w:p w14:paraId="3AEBAE80"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Темпорална</w:t>
            </w:r>
          </w:p>
        </w:tc>
      </w:tr>
      <w:tr w:rsidR="00BE0B19" w:rsidRPr="00AE47C6" w14:paraId="6862D161" w14:textId="77777777" w:rsidTr="00AD72E5">
        <w:tc>
          <w:tcPr>
            <w:tcW w:w="5098" w:type="dxa"/>
            <w:tcMar>
              <w:top w:w="180" w:type="dxa"/>
              <w:left w:w="180" w:type="dxa"/>
              <w:bottom w:w="0" w:type="dxa"/>
              <w:right w:w="180" w:type="dxa"/>
            </w:tcMar>
            <w:hideMark/>
          </w:tcPr>
          <w:p w14:paraId="4BC49D66"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 xml:space="preserve">Автоскопия, напр. усещане за раздвоение на личността  </w:t>
            </w:r>
          </w:p>
        </w:tc>
        <w:tc>
          <w:tcPr>
            <w:tcW w:w="4253" w:type="dxa"/>
            <w:tcMar>
              <w:top w:w="180" w:type="dxa"/>
              <w:left w:w="180" w:type="dxa"/>
              <w:bottom w:w="0" w:type="dxa"/>
              <w:right w:w="180" w:type="dxa"/>
            </w:tcMar>
            <w:hideMark/>
          </w:tcPr>
          <w:p w14:paraId="50D722E7"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Париетална, вероятно дясна</w:t>
            </w:r>
          </w:p>
        </w:tc>
      </w:tr>
      <w:tr w:rsidR="00BE0B19" w:rsidRPr="00AE47C6" w14:paraId="7E63535F" w14:textId="77777777" w:rsidTr="00AD72E5">
        <w:tc>
          <w:tcPr>
            <w:tcW w:w="5098" w:type="dxa"/>
            <w:tcMar>
              <w:top w:w="180" w:type="dxa"/>
              <w:left w:w="180" w:type="dxa"/>
              <w:bottom w:w="0" w:type="dxa"/>
              <w:right w:w="180" w:type="dxa"/>
            </w:tcMar>
            <w:hideMark/>
          </w:tcPr>
          <w:p w14:paraId="320771CC"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Цефалична, т.е. усещане в главата, напр. усещане за лекота в главата</w:t>
            </w:r>
          </w:p>
        </w:tc>
        <w:tc>
          <w:tcPr>
            <w:tcW w:w="4253" w:type="dxa"/>
            <w:tcMar>
              <w:top w:w="180" w:type="dxa"/>
              <w:left w:w="180" w:type="dxa"/>
              <w:bottom w:w="0" w:type="dxa"/>
              <w:right w:w="180" w:type="dxa"/>
            </w:tcMar>
            <w:hideMark/>
          </w:tcPr>
          <w:p w14:paraId="62A566BD"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Фронтална</w:t>
            </w:r>
          </w:p>
        </w:tc>
      </w:tr>
      <w:tr w:rsidR="00BE0B19" w:rsidRPr="00AE47C6" w14:paraId="524F2329" w14:textId="77777777" w:rsidTr="00AD72E5">
        <w:tc>
          <w:tcPr>
            <w:tcW w:w="5098" w:type="dxa"/>
            <w:tcMar>
              <w:top w:w="180" w:type="dxa"/>
              <w:left w:w="180" w:type="dxa"/>
              <w:bottom w:w="0" w:type="dxa"/>
              <w:right w:w="180" w:type="dxa"/>
            </w:tcMar>
            <w:hideMark/>
          </w:tcPr>
          <w:p w14:paraId="4382673C"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Дискогнитивна, т.е. нарушение на компонентите на когницията, напр. нарушено разбиране,  разкъсани мисли, съновидения</w:t>
            </w:r>
          </w:p>
        </w:tc>
        <w:tc>
          <w:tcPr>
            <w:tcW w:w="4253" w:type="dxa"/>
            <w:tcMar>
              <w:top w:w="180" w:type="dxa"/>
              <w:left w:w="180" w:type="dxa"/>
              <w:bottom w:w="0" w:type="dxa"/>
              <w:right w:w="180" w:type="dxa"/>
            </w:tcMar>
            <w:hideMark/>
          </w:tcPr>
          <w:p w14:paraId="7CBF4F38"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Темпорална</w:t>
            </w:r>
          </w:p>
        </w:tc>
      </w:tr>
      <w:tr w:rsidR="00BE0B19" w:rsidRPr="00AE47C6" w14:paraId="1043748C" w14:textId="77777777" w:rsidTr="00AD72E5">
        <w:tc>
          <w:tcPr>
            <w:tcW w:w="5098" w:type="dxa"/>
            <w:tcMar>
              <w:top w:w="180" w:type="dxa"/>
              <w:left w:w="180" w:type="dxa"/>
              <w:bottom w:w="0" w:type="dxa"/>
              <w:right w:w="180" w:type="dxa"/>
            </w:tcMar>
            <w:hideMark/>
          </w:tcPr>
          <w:p w14:paraId="4104B3A3"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Епигастрална, т.е. коремно усещане с възможно движение към гърдите или гърлото</w:t>
            </w:r>
          </w:p>
        </w:tc>
        <w:tc>
          <w:tcPr>
            <w:tcW w:w="4253" w:type="dxa"/>
            <w:tcMar>
              <w:top w:w="180" w:type="dxa"/>
              <w:left w:w="180" w:type="dxa"/>
              <w:bottom w:w="0" w:type="dxa"/>
              <w:right w:w="180" w:type="dxa"/>
            </w:tcMar>
            <w:hideMark/>
          </w:tcPr>
          <w:p w14:paraId="6C6C4296"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Темпорална (мезиална)</w:t>
            </w:r>
          </w:p>
        </w:tc>
      </w:tr>
      <w:tr w:rsidR="00BE0B19" w:rsidRPr="00AE47C6" w14:paraId="6E520759" w14:textId="77777777" w:rsidTr="00AD72E5">
        <w:tc>
          <w:tcPr>
            <w:tcW w:w="5098" w:type="dxa"/>
            <w:tcMar>
              <w:top w:w="180" w:type="dxa"/>
              <w:left w:w="180" w:type="dxa"/>
              <w:bottom w:w="0" w:type="dxa"/>
              <w:right w:w="180" w:type="dxa"/>
            </w:tcMar>
            <w:hideMark/>
          </w:tcPr>
          <w:p w14:paraId="06DAE2AC"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За нещо преживяно (припомняне на определени стари спомени)</w:t>
            </w:r>
          </w:p>
          <w:p w14:paraId="1636A2B9"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Принудителни мисли</w:t>
            </w:r>
          </w:p>
        </w:tc>
        <w:tc>
          <w:tcPr>
            <w:tcW w:w="4253" w:type="dxa"/>
            <w:tcMar>
              <w:top w:w="180" w:type="dxa"/>
              <w:left w:w="180" w:type="dxa"/>
              <w:bottom w:w="0" w:type="dxa"/>
              <w:right w:w="180" w:type="dxa"/>
            </w:tcMar>
            <w:hideMark/>
          </w:tcPr>
          <w:p w14:paraId="490D5C90"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Темпорална</w:t>
            </w:r>
          </w:p>
          <w:p w14:paraId="20A4D37C"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Фронтална, вероятно лява</w:t>
            </w:r>
          </w:p>
        </w:tc>
      </w:tr>
      <w:tr w:rsidR="00BE0B19" w:rsidRPr="00AE47C6" w14:paraId="4D2539B2" w14:textId="77777777" w:rsidTr="00AD72E5">
        <w:tc>
          <w:tcPr>
            <w:tcW w:w="5098" w:type="dxa"/>
            <w:tcMar>
              <w:top w:w="180" w:type="dxa"/>
              <w:left w:w="180" w:type="dxa"/>
              <w:bottom w:w="0" w:type="dxa"/>
              <w:right w:w="180" w:type="dxa"/>
            </w:tcMar>
            <w:hideMark/>
          </w:tcPr>
          <w:p w14:paraId="5BF0D039"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Вкусова, напр.  горчив, кисел или метален вкус</w:t>
            </w:r>
          </w:p>
        </w:tc>
        <w:tc>
          <w:tcPr>
            <w:tcW w:w="4253" w:type="dxa"/>
            <w:tcMar>
              <w:top w:w="180" w:type="dxa"/>
              <w:left w:w="180" w:type="dxa"/>
              <w:bottom w:w="0" w:type="dxa"/>
              <w:right w:w="180" w:type="dxa"/>
            </w:tcMar>
            <w:hideMark/>
          </w:tcPr>
          <w:p w14:paraId="40711451"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Темпорална</w:t>
            </w:r>
          </w:p>
        </w:tc>
      </w:tr>
      <w:tr w:rsidR="00BE0B19" w:rsidRPr="00AE47C6" w14:paraId="34A9CB47" w14:textId="77777777" w:rsidTr="00AD72E5">
        <w:tc>
          <w:tcPr>
            <w:tcW w:w="5098" w:type="dxa"/>
            <w:tcMar>
              <w:top w:w="180" w:type="dxa"/>
              <w:left w:w="180" w:type="dxa"/>
              <w:bottom w:w="0" w:type="dxa"/>
              <w:right w:w="180" w:type="dxa"/>
            </w:tcMar>
            <w:hideMark/>
          </w:tcPr>
          <w:p w14:paraId="28234C70"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Халюцинации, т.е. сложни перцепции, напр. слухови, зрителни</w:t>
            </w:r>
          </w:p>
          <w:p w14:paraId="6D38384E"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Хеминеглижиране</w:t>
            </w:r>
          </w:p>
        </w:tc>
        <w:tc>
          <w:tcPr>
            <w:tcW w:w="4253" w:type="dxa"/>
            <w:tcMar>
              <w:top w:w="180" w:type="dxa"/>
              <w:left w:w="180" w:type="dxa"/>
              <w:bottom w:w="0" w:type="dxa"/>
              <w:right w:w="180" w:type="dxa"/>
            </w:tcMar>
            <w:hideMark/>
          </w:tcPr>
          <w:p w14:paraId="20D4FD73"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 xml:space="preserve">Зависи от включените възприятия </w:t>
            </w:r>
          </w:p>
          <w:p w14:paraId="260BFB06"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Противоположен париетален дял</w:t>
            </w:r>
          </w:p>
        </w:tc>
      </w:tr>
      <w:tr w:rsidR="00BE0B19" w:rsidRPr="00AE47C6" w14:paraId="3E113E43" w14:textId="77777777" w:rsidTr="00AD72E5">
        <w:tc>
          <w:tcPr>
            <w:tcW w:w="5098" w:type="dxa"/>
            <w:tcMar>
              <w:top w:w="180" w:type="dxa"/>
              <w:left w:w="180" w:type="dxa"/>
              <w:bottom w:w="0" w:type="dxa"/>
              <w:right w:w="180" w:type="dxa"/>
            </w:tcMar>
            <w:hideMark/>
          </w:tcPr>
          <w:p w14:paraId="70E8422D"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Болка в крайниците</w:t>
            </w:r>
          </w:p>
          <w:p w14:paraId="193F9AF5"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Иктална  дисмнезия - déjà-vu или jamais-vu </w:t>
            </w:r>
          </w:p>
        </w:tc>
        <w:tc>
          <w:tcPr>
            <w:tcW w:w="4253" w:type="dxa"/>
            <w:tcMar>
              <w:top w:w="180" w:type="dxa"/>
              <w:left w:w="180" w:type="dxa"/>
              <w:bottom w:w="0" w:type="dxa"/>
              <w:right w:w="180" w:type="dxa"/>
            </w:tcMar>
            <w:hideMark/>
          </w:tcPr>
          <w:p w14:paraId="38285DFB"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 xml:space="preserve">Противоположен постцентрален гирус, париетален оперкулум, инсула </w:t>
            </w:r>
          </w:p>
          <w:p w14:paraId="7FAA29C4"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Темпорална</w:t>
            </w:r>
          </w:p>
        </w:tc>
      </w:tr>
      <w:tr w:rsidR="00BE0B19" w:rsidRPr="00AE47C6" w14:paraId="2B818AE6" w14:textId="77777777" w:rsidTr="00AD72E5">
        <w:tc>
          <w:tcPr>
            <w:tcW w:w="5098" w:type="dxa"/>
            <w:tcMar>
              <w:top w:w="180" w:type="dxa"/>
              <w:left w:w="180" w:type="dxa"/>
              <w:bottom w:w="0" w:type="dxa"/>
              <w:right w:w="180" w:type="dxa"/>
            </w:tcMar>
            <w:hideMark/>
          </w:tcPr>
          <w:p w14:paraId="368E6622"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Мирисни, обикновено неприятна миризма</w:t>
            </w:r>
          </w:p>
        </w:tc>
        <w:tc>
          <w:tcPr>
            <w:tcW w:w="4253" w:type="dxa"/>
            <w:tcMar>
              <w:top w:w="180" w:type="dxa"/>
              <w:left w:w="180" w:type="dxa"/>
              <w:bottom w:w="0" w:type="dxa"/>
              <w:right w:w="180" w:type="dxa"/>
            </w:tcMar>
            <w:hideMark/>
          </w:tcPr>
          <w:p w14:paraId="0FF0FF5F"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Темпорална (мезиална)</w:t>
            </w:r>
          </w:p>
        </w:tc>
      </w:tr>
      <w:tr w:rsidR="00BE0B19" w:rsidRPr="00AE47C6" w14:paraId="08DFECA5" w14:textId="77777777" w:rsidTr="00AD72E5">
        <w:tc>
          <w:tcPr>
            <w:tcW w:w="5098" w:type="dxa"/>
            <w:tcMar>
              <w:top w:w="180" w:type="dxa"/>
              <w:left w:w="180" w:type="dxa"/>
              <w:bottom w:w="0" w:type="dxa"/>
              <w:right w:w="180" w:type="dxa"/>
            </w:tcMar>
            <w:hideMark/>
          </w:tcPr>
          <w:p w14:paraId="23BA538D"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Соматосензорни</w:t>
            </w:r>
          </w:p>
        </w:tc>
        <w:tc>
          <w:tcPr>
            <w:tcW w:w="4253" w:type="dxa"/>
            <w:tcMar>
              <w:top w:w="180" w:type="dxa"/>
              <w:left w:w="180" w:type="dxa"/>
              <w:bottom w:w="0" w:type="dxa"/>
              <w:right w:w="180" w:type="dxa"/>
            </w:tcMar>
            <w:hideMark/>
          </w:tcPr>
          <w:p w14:paraId="3E241254"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Париетална; латерализирана противоположно</w:t>
            </w:r>
          </w:p>
        </w:tc>
      </w:tr>
      <w:tr w:rsidR="00BE0B19" w:rsidRPr="00AE47C6" w14:paraId="3F97E246" w14:textId="77777777" w:rsidTr="00AD72E5">
        <w:trPr>
          <w:trHeight w:val="673"/>
        </w:trPr>
        <w:tc>
          <w:tcPr>
            <w:tcW w:w="5098" w:type="dxa"/>
            <w:tcMar>
              <w:top w:w="180" w:type="dxa"/>
              <w:left w:w="180" w:type="dxa"/>
              <w:bottom w:w="180" w:type="dxa"/>
              <w:right w:w="180" w:type="dxa"/>
            </w:tcMar>
            <w:hideMark/>
          </w:tcPr>
          <w:p w14:paraId="11863E66"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Зрителна, напр. трепкащи светлини или амавроза</w:t>
            </w:r>
          </w:p>
        </w:tc>
        <w:tc>
          <w:tcPr>
            <w:tcW w:w="4253" w:type="dxa"/>
            <w:tcMar>
              <w:top w:w="180" w:type="dxa"/>
              <w:left w:w="180" w:type="dxa"/>
              <w:bottom w:w="180" w:type="dxa"/>
              <w:right w:w="180" w:type="dxa"/>
            </w:tcMar>
            <w:hideMark/>
          </w:tcPr>
          <w:p w14:paraId="66149B54" w14:textId="77777777" w:rsidR="00BE0B19" w:rsidRPr="00AE47C6" w:rsidRDefault="00BE0B19" w:rsidP="00BE0B19">
            <w:pPr>
              <w:numPr>
                <w:ilvl w:val="0"/>
                <w:numId w:val="417"/>
              </w:numPr>
              <w:spacing w:line="240" w:lineRule="auto"/>
              <w:ind w:left="0" w:firstLine="0"/>
              <w:jc w:val="both"/>
              <w:rPr>
                <w:rFonts w:ascii="Times New Roman" w:eastAsia="SimSun" w:hAnsi="Times New Roman"/>
                <w:color w:val="000000"/>
              </w:rPr>
            </w:pPr>
            <w:r w:rsidRPr="00AE47C6">
              <w:rPr>
                <w:rFonts w:ascii="Times New Roman" w:eastAsia="SimSun" w:hAnsi="Times New Roman"/>
                <w:color w:val="000000"/>
              </w:rPr>
              <w:t>Окципитална; латерализираща - ако е с определена посока</w:t>
            </w:r>
          </w:p>
        </w:tc>
      </w:tr>
    </w:tbl>
    <w:p w14:paraId="40D05B77" w14:textId="77777777" w:rsidR="00BE0B19" w:rsidRPr="00AE47C6" w:rsidRDefault="00BE0B19" w:rsidP="00BE0B19">
      <w:pPr>
        <w:spacing w:line="360" w:lineRule="auto"/>
        <w:jc w:val="both"/>
        <w:rPr>
          <w:rFonts w:ascii="Times New Roman" w:eastAsia="SimSun" w:hAnsi="Times New Roman"/>
        </w:rPr>
      </w:pPr>
    </w:p>
    <w:p w14:paraId="1451BB60" w14:textId="77777777" w:rsidR="00BE0B19" w:rsidRPr="00AE47C6" w:rsidRDefault="00BE0B19" w:rsidP="00BE0B19">
      <w:pPr>
        <w:numPr>
          <w:ilvl w:val="0"/>
          <w:numId w:val="3"/>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Изясняване на </w:t>
      </w:r>
      <w:r w:rsidRPr="00AE47C6">
        <w:rPr>
          <w:rFonts w:ascii="Times New Roman" w:eastAsia="SimSun" w:hAnsi="Times New Roman"/>
          <w:bCs/>
          <w:sz w:val="24"/>
          <w:szCs w:val="24"/>
        </w:rPr>
        <w:t xml:space="preserve">етиологията на заболяването </w:t>
      </w:r>
      <w:r w:rsidRPr="00AE47C6">
        <w:rPr>
          <w:rFonts w:ascii="Times New Roman" w:eastAsia="SimSun" w:hAnsi="Times New Roman"/>
          <w:sz w:val="24"/>
          <w:szCs w:val="24"/>
        </w:rPr>
        <w:t>с невроизобразяващи, лабораторни, метаболитни, генетични и други изследвания.</w:t>
      </w:r>
    </w:p>
    <w:p w14:paraId="1E8E0EDE" w14:textId="77777777" w:rsidR="00BE0B19" w:rsidRPr="00AE47C6" w:rsidRDefault="00BE0B19" w:rsidP="00BE0B19">
      <w:pPr>
        <w:spacing w:after="0" w:line="360" w:lineRule="auto"/>
        <w:jc w:val="both"/>
        <w:rPr>
          <w:rFonts w:ascii="Times New Roman" w:eastAsia="SimSun" w:hAnsi="Times New Roman"/>
          <w:b/>
          <w:bCs/>
          <w:spacing w:val="20"/>
          <w:sz w:val="24"/>
          <w:szCs w:val="24"/>
        </w:rPr>
      </w:pPr>
      <w:r w:rsidRPr="00AE47C6">
        <w:rPr>
          <w:rFonts w:ascii="Times New Roman" w:eastAsia="SimSun" w:hAnsi="Times New Roman"/>
          <w:caps/>
          <w:noProof/>
          <w:spacing w:val="20"/>
          <w:sz w:val="24"/>
          <w:szCs w:val="24"/>
          <w:lang w:eastAsia="bg-BG"/>
        </w:rPr>
        <w:drawing>
          <wp:inline distT="0" distB="0" distL="0" distR="0" wp14:anchorId="0D6E9CAB" wp14:editId="677CF614">
            <wp:extent cx="5943600" cy="3157538"/>
            <wp:effectExtent l="19050" t="0" r="0" b="0"/>
            <wp:docPr id="4" name="Picture 1" descr="E:\схема_консенсус.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схема_консенсус.bmp"/>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943903" cy="3157699"/>
                    </a:xfrm>
                    <a:prstGeom prst="rect">
                      <a:avLst/>
                    </a:prstGeom>
                    <a:noFill/>
                    <a:ln>
                      <a:noFill/>
                    </a:ln>
                  </pic:spPr>
                </pic:pic>
              </a:graphicData>
            </a:graphic>
          </wp:inline>
        </w:drawing>
      </w:r>
    </w:p>
    <w:p w14:paraId="4ADD2EF1"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Фиг. 11.2. Диагностичен процес при пациенти с епилептични пристъпи</w:t>
      </w:r>
    </w:p>
    <w:p w14:paraId="225EBAA7" w14:textId="77777777" w:rsidR="00BE0B19" w:rsidRPr="00AE47C6" w:rsidRDefault="00BE0B19" w:rsidP="00BE0B19">
      <w:pPr>
        <w:spacing w:after="0" w:line="360" w:lineRule="auto"/>
        <w:jc w:val="both"/>
        <w:rPr>
          <w:rFonts w:ascii="Times New Roman" w:eastAsia="SimSun" w:hAnsi="Times New Roman"/>
          <w:bCs/>
          <w:sz w:val="24"/>
          <w:szCs w:val="24"/>
        </w:rPr>
      </w:pPr>
    </w:p>
    <w:p w14:paraId="272B701C"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Необходимите изследвания за диагностициране и контролиране на лечението са ЕЕГ, невроизобразяващи изследвания и контрол на серумните нива на АЕЛ.</w:t>
      </w:r>
    </w:p>
    <w:p w14:paraId="4878BB09" w14:textId="77777777" w:rsidR="00BE0B19" w:rsidRPr="00AE47C6" w:rsidRDefault="00BE0B19" w:rsidP="00BE0B19">
      <w:pPr>
        <w:numPr>
          <w:ilvl w:val="0"/>
          <w:numId w:val="156"/>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Неврологично изследване - периодично.</w:t>
      </w:r>
    </w:p>
    <w:p w14:paraId="5AAC3271" w14:textId="77777777" w:rsidR="00BE0B19" w:rsidRPr="00AE47C6" w:rsidRDefault="00BE0B19" w:rsidP="00BE0B19">
      <w:pPr>
        <w:numPr>
          <w:ilvl w:val="0"/>
          <w:numId w:val="156"/>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ЕЕГ и периодичен ЕЕГ контрол в зависимост от терапевтичния ефект, при терапевтично овладени пристъпи - през 6 месеца. ЕЕГ е необходима за установяване вида на епилептичните пристъпи и за доказване на фотопароксизмален отговор (табл. 11.9). </w:t>
      </w:r>
      <w:r w:rsidRPr="00AE47C6">
        <w:rPr>
          <w:rFonts w:ascii="Times New Roman" w:eastAsia="SimSun" w:hAnsi="Times New Roman"/>
          <w:bCs/>
          <w:i/>
          <w:iCs/>
          <w:sz w:val="24"/>
          <w:szCs w:val="24"/>
        </w:rPr>
        <w:t>ЕЕГ по време на сън</w:t>
      </w:r>
      <w:r w:rsidRPr="00AE47C6">
        <w:rPr>
          <w:rFonts w:ascii="Times New Roman" w:eastAsia="SimSun" w:hAnsi="Times New Roman"/>
          <w:bCs/>
          <w:sz w:val="24"/>
          <w:szCs w:val="24"/>
        </w:rPr>
        <w:t xml:space="preserve"> се извършва при индикации при деца и млади хора след сънна депривация или употреба на melatonin. Видео-ЕЕГ е необходима при пациенти с диагностични затруднения. </w:t>
      </w:r>
    </w:p>
    <w:p w14:paraId="1B1801A7" w14:textId="77777777" w:rsidR="00BE0B19" w:rsidRPr="00AE47C6" w:rsidRDefault="00BE0B19" w:rsidP="00BE0B19">
      <w:pPr>
        <w:spacing w:after="0" w:line="360" w:lineRule="auto"/>
        <w:jc w:val="both"/>
        <w:rPr>
          <w:rFonts w:ascii="Times New Roman" w:eastAsia="SimSun" w:hAnsi="Times New Roman"/>
          <w:b/>
          <w:bCs/>
          <w:sz w:val="24"/>
          <w:szCs w:val="24"/>
        </w:rPr>
      </w:pPr>
    </w:p>
    <w:p w14:paraId="03042D07"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Таблица 11.9. Диференциална диагноза на епилептичните пристъпи според Международната класификация на епилептичните пристъпи на ILAE по клинични и ЕЕГ признаци</w:t>
      </w:r>
    </w:p>
    <w:tbl>
      <w:tblPr>
        <w:tblW w:w="9170" w:type="dxa"/>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27"/>
        <w:gridCol w:w="3925"/>
        <w:gridCol w:w="3118"/>
      </w:tblGrid>
      <w:tr w:rsidR="00BE0B19" w:rsidRPr="00AE47C6" w14:paraId="3E033706" w14:textId="77777777" w:rsidTr="00AD72E5">
        <w:trPr>
          <w:trHeight w:val="901"/>
        </w:trPr>
        <w:tc>
          <w:tcPr>
            <w:tcW w:w="2127" w:type="dxa"/>
            <w:vAlign w:val="center"/>
          </w:tcPr>
          <w:p w14:paraId="52401259" w14:textId="77777777" w:rsidR="00BE0B19" w:rsidRPr="00AE47C6" w:rsidRDefault="00BE0B19" w:rsidP="00BE0B19">
            <w:pPr>
              <w:numPr>
                <w:ilvl w:val="12"/>
                <w:numId w:val="0"/>
              </w:num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Епилепсия - пристъпи</w:t>
            </w:r>
          </w:p>
        </w:tc>
        <w:tc>
          <w:tcPr>
            <w:tcW w:w="3925" w:type="dxa"/>
            <w:vAlign w:val="center"/>
          </w:tcPr>
          <w:p w14:paraId="7F0CD1FF" w14:textId="77777777" w:rsidR="00BE0B19" w:rsidRPr="00AE47C6" w:rsidRDefault="00BE0B19" w:rsidP="00BE0B19">
            <w:pPr>
              <w:numPr>
                <w:ilvl w:val="12"/>
                <w:numId w:val="0"/>
              </w:num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ЕЕГ -иктална</w:t>
            </w:r>
          </w:p>
        </w:tc>
        <w:tc>
          <w:tcPr>
            <w:tcW w:w="3118" w:type="dxa"/>
            <w:vAlign w:val="center"/>
          </w:tcPr>
          <w:p w14:paraId="29E12989" w14:textId="77777777" w:rsidR="00BE0B19" w:rsidRPr="00AE47C6" w:rsidRDefault="00BE0B19" w:rsidP="00BE0B19">
            <w:pPr>
              <w:numPr>
                <w:ilvl w:val="12"/>
                <w:numId w:val="0"/>
              </w:num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ЕЕГ интериктална</w:t>
            </w:r>
          </w:p>
        </w:tc>
      </w:tr>
      <w:tr w:rsidR="00BE0B19" w:rsidRPr="00AE47C6" w14:paraId="12B6201A" w14:textId="77777777" w:rsidTr="00AD72E5">
        <w:tc>
          <w:tcPr>
            <w:tcW w:w="9170" w:type="dxa"/>
            <w:gridSpan w:val="3"/>
            <w:vAlign w:val="center"/>
          </w:tcPr>
          <w:p w14:paraId="1C62BB3F" w14:textId="77777777" w:rsidR="00BE0B19" w:rsidRPr="00AE47C6" w:rsidRDefault="00BE0B19" w:rsidP="00BE0B19">
            <w:pPr>
              <w:numPr>
                <w:ilvl w:val="12"/>
                <w:numId w:val="0"/>
              </w:num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І. Фокални пристъпи</w:t>
            </w:r>
          </w:p>
        </w:tc>
      </w:tr>
      <w:tr w:rsidR="00BE0B19" w:rsidRPr="00AE47C6" w14:paraId="61B66D4C" w14:textId="77777777" w:rsidTr="00AD72E5">
        <w:tc>
          <w:tcPr>
            <w:tcW w:w="2127" w:type="dxa"/>
          </w:tcPr>
          <w:p w14:paraId="6FFA5278"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Фокални - без увреда на съзнанието</w:t>
            </w:r>
          </w:p>
        </w:tc>
        <w:tc>
          <w:tcPr>
            <w:tcW w:w="3925" w:type="dxa"/>
          </w:tcPr>
          <w:p w14:paraId="713ABB4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Локални контралатерални разряди с начало от определена област. Не винаги се регистрира от скалпа</w:t>
            </w:r>
          </w:p>
        </w:tc>
        <w:tc>
          <w:tcPr>
            <w:tcW w:w="3118" w:type="dxa"/>
          </w:tcPr>
          <w:p w14:paraId="753086F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Локализиран контралатерален разряд</w:t>
            </w:r>
          </w:p>
        </w:tc>
      </w:tr>
      <w:tr w:rsidR="00BE0B19" w:rsidRPr="00AE47C6" w14:paraId="513C6E05" w14:textId="77777777" w:rsidTr="00AD72E5">
        <w:tc>
          <w:tcPr>
            <w:tcW w:w="2127" w:type="dxa"/>
          </w:tcPr>
          <w:p w14:paraId="2E8BE609" w14:textId="77777777" w:rsidR="00BE0B19" w:rsidRPr="00AE47C6" w:rsidRDefault="00BE0B19" w:rsidP="00BE0B19">
            <w:pPr>
              <w:numPr>
                <w:ilvl w:val="12"/>
                <w:numId w:val="0"/>
              </w:num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Фокални пристъпи с увреда на съзнанието</w:t>
            </w:r>
          </w:p>
        </w:tc>
        <w:tc>
          <w:tcPr>
            <w:tcW w:w="3925" w:type="dxa"/>
          </w:tcPr>
          <w:p w14:paraId="4804B08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Едностранни или по-често двустранни разряди, дифузни или фокални, темпорално или фронто-темпорално</w:t>
            </w:r>
          </w:p>
        </w:tc>
        <w:tc>
          <w:tcPr>
            <w:tcW w:w="3118" w:type="dxa"/>
          </w:tcPr>
          <w:p w14:paraId="76F5DD6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Едностранен или двустранен, по-често асинхронен фокус, обикновено T или F</w:t>
            </w:r>
          </w:p>
        </w:tc>
      </w:tr>
      <w:tr w:rsidR="00BE0B19" w:rsidRPr="00AE47C6" w14:paraId="73D2C1EB" w14:textId="77777777" w:rsidTr="00AD72E5">
        <w:tc>
          <w:tcPr>
            <w:tcW w:w="2127" w:type="dxa"/>
          </w:tcPr>
          <w:p w14:paraId="1655A457" w14:textId="77777777" w:rsidR="00BE0B19" w:rsidRPr="00AE47C6" w:rsidRDefault="00BE0B19" w:rsidP="00BE0B19">
            <w:pPr>
              <w:numPr>
                <w:ilvl w:val="12"/>
                <w:numId w:val="0"/>
              </w:num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Фокални пристъпи с еволюция към двустранни тонично-клонични</w:t>
            </w:r>
          </w:p>
        </w:tc>
        <w:tc>
          <w:tcPr>
            <w:tcW w:w="3925" w:type="dxa"/>
          </w:tcPr>
          <w:p w14:paraId="6E8E4E0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Гореописаните разряди генерализират бързо вторично </w:t>
            </w:r>
          </w:p>
        </w:tc>
        <w:tc>
          <w:tcPr>
            <w:tcW w:w="3118" w:type="dxa"/>
          </w:tcPr>
          <w:p w14:paraId="6453899A" w14:textId="77777777" w:rsidR="00BE0B19" w:rsidRPr="00AE47C6" w:rsidRDefault="00BE0B19" w:rsidP="00BE0B19">
            <w:pPr>
              <w:spacing w:after="0" w:line="360" w:lineRule="auto"/>
              <w:jc w:val="both"/>
              <w:rPr>
                <w:rFonts w:ascii="Times New Roman" w:eastAsia="SimSun" w:hAnsi="Times New Roman"/>
                <w:sz w:val="24"/>
                <w:szCs w:val="24"/>
              </w:rPr>
            </w:pPr>
          </w:p>
        </w:tc>
      </w:tr>
      <w:tr w:rsidR="00BE0B19" w:rsidRPr="00AE47C6" w14:paraId="28C7DF9B" w14:textId="77777777" w:rsidTr="00AD72E5">
        <w:tc>
          <w:tcPr>
            <w:tcW w:w="9170" w:type="dxa"/>
            <w:gridSpan w:val="3"/>
          </w:tcPr>
          <w:p w14:paraId="77664091"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ІІ. Генерализирани пристъпи</w:t>
            </w:r>
          </w:p>
        </w:tc>
      </w:tr>
      <w:tr w:rsidR="00BE0B19" w:rsidRPr="00AE47C6" w14:paraId="79FA9549" w14:textId="77777777" w:rsidTr="00AD72E5">
        <w:trPr>
          <w:trHeight w:val="2180"/>
        </w:trPr>
        <w:tc>
          <w:tcPr>
            <w:tcW w:w="2127" w:type="dxa"/>
          </w:tcPr>
          <w:p w14:paraId="16DA0A90"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Абсанси-</w:t>
            </w:r>
          </w:p>
          <w:p w14:paraId="45D3F43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съзнанието е нарушено</w:t>
            </w:r>
          </w:p>
          <w:p w14:paraId="6F4C4A13" w14:textId="77777777" w:rsidR="00BE0B19" w:rsidRPr="00AE47C6" w:rsidRDefault="00BE0B19" w:rsidP="00BE0B19">
            <w:pPr>
              <w:spacing w:after="0" w:line="360" w:lineRule="auto"/>
              <w:jc w:val="both"/>
              <w:rPr>
                <w:rFonts w:ascii="Times New Roman" w:eastAsia="SimSun" w:hAnsi="Times New Roman"/>
                <w:b/>
                <w:bCs/>
                <w:sz w:val="24"/>
                <w:szCs w:val="24"/>
              </w:rPr>
            </w:pPr>
          </w:p>
          <w:p w14:paraId="5CC2BD47" w14:textId="77777777" w:rsidR="00BE0B19" w:rsidRPr="00AE47C6" w:rsidRDefault="00BE0B19" w:rsidP="00BE0B19">
            <w:pPr>
              <w:spacing w:after="0" w:line="360" w:lineRule="auto"/>
              <w:jc w:val="both"/>
              <w:rPr>
                <w:rFonts w:ascii="Times New Roman" w:eastAsia="SimSun" w:hAnsi="Times New Roman"/>
                <w:b/>
                <w:bCs/>
                <w:sz w:val="24"/>
                <w:szCs w:val="24"/>
              </w:rPr>
            </w:pPr>
          </w:p>
          <w:p w14:paraId="35E428BB" w14:textId="77777777" w:rsidR="00BE0B19" w:rsidRPr="00AE47C6" w:rsidRDefault="00BE0B19" w:rsidP="00BE0B19">
            <w:pPr>
              <w:spacing w:after="0" w:line="360" w:lineRule="auto"/>
              <w:jc w:val="both"/>
              <w:rPr>
                <w:rFonts w:ascii="Times New Roman" w:eastAsia="SimSun" w:hAnsi="Times New Roman"/>
                <w:b/>
                <w:bCs/>
                <w:sz w:val="24"/>
                <w:szCs w:val="24"/>
              </w:rPr>
            </w:pPr>
          </w:p>
          <w:p w14:paraId="0CFB62E8" w14:textId="77777777" w:rsidR="00BE0B19" w:rsidRPr="00AE47C6" w:rsidRDefault="00BE0B19" w:rsidP="00BE0B19">
            <w:pPr>
              <w:spacing w:after="0" w:line="360" w:lineRule="auto"/>
              <w:jc w:val="both"/>
              <w:rPr>
                <w:rFonts w:ascii="Times New Roman" w:eastAsia="SimSun" w:hAnsi="Times New Roman"/>
                <w:b/>
                <w:bCs/>
                <w:sz w:val="24"/>
                <w:szCs w:val="24"/>
              </w:rPr>
            </w:pPr>
          </w:p>
        </w:tc>
        <w:tc>
          <w:tcPr>
            <w:tcW w:w="3925" w:type="dxa"/>
          </w:tcPr>
          <w:p w14:paraId="230E110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Правилни и симетрични 3 Hz, но възможни между 2 и 4 Hz комплекси острие-бавна вълна, понякога полиспайк-бавна вълна, двустранно синхронни, появяващи се на фона на нормална ЕЕГ.</w:t>
            </w:r>
          </w:p>
        </w:tc>
        <w:tc>
          <w:tcPr>
            <w:tcW w:w="3118" w:type="dxa"/>
          </w:tcPr>
          <w:p w14:paraId="6DAF527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Основната активност е в нормални граници, но често се наблюдават описаните пароксизмални прояви от комплекси острие-бавна вълна 3/s, правилни и симетрични.</w:t>
            </w:r>
          </w:p>
        </w:tc>
      </w:tr>
      <w:tr w:rsidR="00BE0B19" w:rsidRPr="00AE47C6" w14:paraId="3B4493A9" w14:textId="77777777" w:rsidTr="00AD72E5">
        <w:trPr>
          <w:trHeight w:val="852"/>
        </w:trPr>
        <w:tc>
          <w:tcPr>
            <w:tcW w:w="2127" w:type="dxa"/>
          </w:tcPr>
          <w:p w14:paraId="1D3E0270"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Атипични абсанси</w:t>
            </w:r>
          </w:p>
          <w:p w14:paraId="6EF0525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Могат да се придружават от промени в мускулния тонус</w:t>
            </w:r>
          </w:p>
          <w:p w14:paraId="14938A4E" w14:textId="77777777" w:rsidR="00BE0B19" w:rsidRPr="00AE47C6" w:rsidRDefault="00BE0B19" w:rsidP="00BE0B19">
            <w:pPr>
              <w:spacing w:after="0" w:line="360" w:lineRule="auto"/>
              <w:jc w:val="both"/>
              <w:rPr>
                <w:rFonts w:ascii="Times New Roman" w:eastAsia="SimSun" w:hAnsi="Times New Roman"/>
                <w:b/>
                <w:bCs/>
                <w:sz w:val="24"/>
                <w:szCs w:val="24"/>
              </w:rPr>
            </w:pPr>
          </w:p>
        </w:tc>
        <w:tc>
          <w:tcPr>
            <w:tcW w:w="3925" w:type="dxa"/>
          </w:tcPr>
          <w:p w14:paraId="7B2D9CE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Полифреквентни, асиметрични комплекси острие-бавна вълна, бърза активност или друг тип пароксизмална активност, появяващи се на фона на абнормна за възрастта основна активност. Промените са двустранни, но често нерегулярни и несиметрични.</w:t>
            </w:r>
          </w:p>
        </w:tc>
        <w:tc>
          <w:tcPr>
            <w:tcW w:w="3118" w:type="dxa"/>
          </w:tcPr>
          <w:p w14:paraId="1FE8A66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Промени в основната активност, неправилни и несиметрични комплекси острие-бавна вълна</w:t>
            </w:r>
          </w:p>
        </w:tc>
      </w:tr>
      <w:tr w:rsidR="00BE0B19" w:rsidRPr="00AE47C6" w14:paraId="1746F7DF" w14:textId="77777777" w:rsidTr="00AD72E5">
        <w:tc>
          <w:tcPr>
            <w:tcW w:w="2127" w:type="dxa"/>
          </w:tcPr>
          <w:p w14:paraId="50E196DB" w14:textId="77777777" w:rsidR="00BE0B19" w:rsidRPr="00AE47C6" w:rsidRDefault="00BE0B19" w:rsidP="00BE0B19">
            <w:pPr>
              <w:numPr>
                <w:ilvl w:val="12"/>
                <w:numId w:val="0"/>
              </w:num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Миоклонични пристъпи</w:t>
            </w:r>
          </w:p>
        </w:tc>
        <w:tc>
          <w:tcPr>
            <w:tcW w:w="3925" w:type="dxa"/>
          </w:tcPr>
          <w:p w14:paraId="79652EF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Комплекси полиспайк-бавна вълна и острие-бавна вълна</w:t>
            </w:r>
          </w:p>
        </w:tc>
        <w:tc>
          <w:tcPr>
            <w:tcW w:w="3118" w:type="dxa"/>
          </w:tcPr>
          <w:p w14:paraId="39C6B62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Същата като икталната активност</w:t>
            </w:r>
          </w:p>
        </w:tc>
      </w:tr>
      <w:tr w:rsidR="00BE0B19" w:rsidRPr="00AE47C6" w14:paraId="16547EA4" w14:textId="77777777" w:rsidTr="00AD72E5">
        <w:tc>
          <w:tcPr>
            <w:tcW w:w="2127" w:type="dxa"/>
          </w:tcPr>
          <w:p w14:paraId="189FE99A" w14:textId="77777777" w:rsidR="00BE0B19" w:rsidRPr="00AE47C6" w:rsidRDefault="00BE0B19" w:rsidP="00BE0B19">
            <w:pPr>
              <w:numPr>
                <w:ilvl w:val="12"/>
                <w:numId w:val="0"/>
              </w:num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Тонични пристъпи</w:t>
            </w:r>
          </w:p>
        </w:tc>
        <w:tc>
          <w:tcPr>
            <w:tcW w:w="3925" w:type="dxa"/>
          </w:tcPr>
          <w:p w14:paraId="49D1664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Бърза активност, или 9-10/s ритъм или с намаляване на честотата и увеличаване на амплитудата</w:t>
            </w:r>
          </w:p>
        </w:tc>
        <w:tc>
          <w:tcPr>
            <w:tcW w:w="3118" w:type="dxa"/>
          </w:tcPr>
          <w:p w14:paraId="014D878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Ритмични разряди от остри и бавни вълни, понякога асиметрични, често абнормна основна активност</w:t>
            </w:r>
          </w:p>
        </w:tc>
      </w:tr>
      <w:tr w:rsidR="00BE0B19" w:rsidRPr="00AE47C6" w14:paraId="200EC048" w14:textId="77777777" w:rsidTr="00AD72E5">
        <w:tc>
          <w:tcPr>
            <w:tcW w:w="2127" w:type="dxa"/>
          </w:tcPr>
          <w:p w14:paraId="428B0916" w14:textId="77777777" w:rsidR="00BE0B19" w:rsidRPr="00AE47C6" w:rsidRDefault="00BE0B19" w:rsidP="00BE0B19">
            <w:pPr>
              <w:numPr>
                <w:ilvl w:val="12"/>
                <w:numId w:val="0"/>
              </w:num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Клонични пристъпи</w:t>
            </w:r>
          </w:p>
        </w:tc>
        <w:tc>
          <w:tcPr>
            <w:tcW w:w="3925" w:type="dxa"/>
          </w:tcPr>
          <w:p w14:paraId="6AE8561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Бърза активност (10 в s или повече) и бавни вълни, рядко комплекси острие-бавна вълна</w:t>
            </w:r>
          </w:p>
        </w:tc>
        <w:tc>
          <w:tcPr>
            <w:tcW w:w="3118" w:type="dxa"/>
          </w:tcPr>
          <w:p w14:paraId="6E3C72D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Спайк-вълна или полиспайк-вълна разряди</w:t>
            </w:r>
          </w:p>
        </w:tc>
      </w:tr>
      <w:tr w:rsidR="00BE0B19" w:rsidRPr="00AE47C6" w14:paraId="67972DBC" w14:textId="77777777" w:rsidTr="00AD72E5">
        <w:tc>
          <w:tcPr>
            <w:tcW w:w="2127" w:type="dxa"/>
          </w:tcPr>
          <w:p w14:paraId="70F34EB7" w14:textId="77777777" w:rsidR="00BE0B19" w:rsidRPr="00AE47C6" w:rsidRDefault="00BE0B19" w:rsidP="00BE0B19">
            <w:pPr>
              <w:numPr>
                <w:ilvl w:val="12"/>
                <w:numId w:val="0"/>
              </w:num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Тонично-клонични пристъпи</w:t>
            </w:r>
          </w:p>
        </w:tc>
        <w:tc>
          <w:tcPr>
            <w:tcW w:w="3925" w:type="dxa"/>
          </w:tcPr>
          <w:p w14:paraId="411FA40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Ритъм от 10 или повече/s с намаляваща честота и нарастваща амплитуда по време на тоничната фаза, с прекъсвания от бавни вълни по време на клоничната фаза</w:t>
            </w:r>
          </w:p>
        </w:tc>
        <w:tc>
          <w:tcPr>
            <w:tcW w:w="3118" w:type="dxa"/>
          </w:tcPr>
          <w:p w14:paraId="75E4DA4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Полиспайк-вълна или спайк-вълна или остра-бавна комплекси</w:t>
            </w:r>
          </w:p>
        </w:tc>
      </w:tr>
      <w:tr w:rsidR="00BE0B19" w:rsidRPr="00AE47C6" w14:paraId="62446261" w14:textId="77777777" w:rsidTr="00AD72E5">
        <w:tc>
          <w:tcPr>
            <w:tcW w:w="2127" w:type="dxa"/>
          </w:tcPr>
          <w:p w14:paraId="2DC27205" w14:textId="77777777" w:rsidR="00BE0B19" w:rsidRPr="00AE47C6" w:rsidRDefault="00BE0B19" w:rsidP="00BE0B19">
            <w:pPr>
              <w:numPr>
                <w:ilvl w:val="12"/>
                <w:numId w:val="0"/>
              </w:num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Атонични пристъпи</w:t>
            </w:r>
          </w:p>
        </w:tc>
        <w:tc>
          <w:tcPr>
            <w:tcW w:w="3925" w:type="dxa"/>
          </w:tcPr>
          <w:p w14:paraId="179CF2C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Комплекси полиспайк-бавна вълна, по-рядко нисковолтажна бърза активност</w:t>
            </w:r>
          </w:p>
        </w:tc>
        <w:tc>
          <w:tcPr>
            <w:tcW w:w="3118" w:type="dxa"/>
          </w:tcPr>
          <w:p w14:paraId="7B1B52C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Полиспайк-бавна комплекси</w:t>
            </w:r>
          </w:p>
        </w:tc>
      </w:tr>
    </w:tbl>
    <w:p w14:paraId="747F1042" w14:textId="77777777" w:rsidR="00BE0B19" w:rsidRPr="00AE47C6" w:rsidRDefault="00BE0B19" w:rsidP="00BE0B19">
      <w:pPr>
        <w:tabs>
          <w:tab w:val="left" w:pos="720"/>
        </w:tabs>
        <w:spacing w:after="0" w:line="360" w:lineRule="auto"/>
        <w:jc w:val="both"/>
        <w:rPr>
          <w:rFonts w:ascii="Times New Roman" w:eastAsia="SimSun" w:hAnsi="Times New Roman"/>
          <w:sz w:val="24"/>
          <w:szCs w:val="24"/>
        </w:rPr>
      </w:pPr>
    </w:p>
    <w:p w14:paraId="499F98D4" w14:textId="77777777" w:rsidR="00BE0B19" w:rsidRPr="00AE47C6" w:rsidRDefault="00BE0B19" w:rsidP="00BE0B19">
      <w:pPr>
        <w:numPr>
          <w:ilvl w:val="0"/>
          <w:numId w:val="158"/>
        </w:numPr>
        <w:tabs>
          <w:tab w:val="clear" w:pos="1800"/>
          <w:tab w:val="left" w:pos="720"/>
          <w:tab w:val="num" w:pos="126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Липсата на абнормности в ЕЕГ не изключва диагнозата епилепсия.</w:t>
      </w:r>
    </w:p>
    <w:p w14:paraId="0AB6E9BD" w14:textId="77777777" w:rsidR="00BE0B19" w:rsidRPr="00AE47C6" w:rsidRDefault="00BE0B19" w:rsidP="00BE0B19">
      <w:pPr>
        <w:numPr>
          <w:ilvl w:val="0"/>
          <w:numId w:val="158"/>
        </w:numPr>
        <w:tabs>
          <w:tab w:val="clear" w:pos="1800"/>
          <w:tab w:val="left" w:pos="720"/>
          <w:tab w:val="num" w:pos="126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Липсата на епилептиформена активност в ЕЕГ в хода на провежданото противоепилептично лечение означава, че вероятно лечението е ефективно. </w:t>
      </w:r>
    </w:p>
    <w:p w14:paraId="2631C0A4" w14:textId="77777777" w:rsidR="00BE0B19" w:rsidRPr="00AE47C6" w:rsidRDefault="00BE0B19" w:rsidP="00BE0B19">
      <w:pPr>
        <w:numPr>
          <w:ilvl w:val="0"/>
          <w:numId w:val="158"/>
        </w:numPr>
        <w:tabs>
          <w:tab w:val="clear" w:pos="1800"/>
          <w:tab w:val="left" w:pos="720"/>
          <w:tab w:val="num" w:pos="126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Само въз основа на епилептиформена активност в ЕЕГ, но без съответна клинична изява, не може да се постави диагнозата епилепсия. </w:t>
      </w:r>
    </w:p>
    <w:p w14:paraId="5DB82A45" w14:textId="77777777" w:rsidR="00BE0B19" w:rsidRPr="00AE47C6" w:rsidRDefault="00BE0B19" w:rsidP="00BE0B19">
      <w:pPr>
        <w:tabs>
          <w:tab w:val="left" w:pos="720"/>
        </w:tabs>
        <w:spacing w:after="0" w:line="360" w:lineRule="auto"/>
        <w:jc w:val="both"/>
        <w:rPr>
          <w:rFonts w:ascii="Times New Roman" w:eastAsia="SimSun" w:hAnsi="Times New Roman"/>
          <w:sz w:val="24"/>
          <w:szCs w:val="24"/>
        </w:rPr>
      </w:pPr>
    </w:p>
    <w:p w14:paraId="7D3A78F9" w14:textId="77777777" w:rsidR="00BE0B19" w:rsidRPr="00AE47C6" w:rsidRDefault="00BE0B19" w:rsidP="00BE0B19">
      <w:pPr>
        <w:numPr>
          <w:ilvl w:val="0"/>
          <w:numId w:val="157"/>
        </w:numPr>
        <w:tabs>
          <w:tab w:val="clear" w:pos="1800"/>
          <w:tab w:val="num" w:pos="360"/>
          <w:tab w:val="left"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
          <w:bCs/>
          <w:sz w:val="24"/>
          <w:szCs w:val="24"/>
        </w:rPr>
        <w:t>Невроизобразяващи изследвания</w:t>
      </w:r>
    </w:p>
    <w:p w14:paraId="473FD57A" w14:textId="77777777" w:rsidR="00BE0B19" w:rsidRPr="00AE47C6" w:rsidRDefault="00BE0B19" w:rsidP="00BE0B19">
      <w:pPr>
        <w:spacing w:after="0" w:line="360" w:lineRule="auto"/>
        <w:ind w:left="720"/>
        <w:jc w:val="both"/>
        <w:rPr>
          <w:rFonts w:ascii="Times New Roman" w:eastAsia="SimSun" w:hAnsi="Times New Roman"/>
          <w:sz w:val="24"/>
          <w:szCs w:val="24"/>
        </w:rPr>
      </w:pPr>
      <w:r w:rsidRPr="00AE47C6">
        <w:rPr>
          <w:rFonts w:ascii="Times New Roman" w:eastAsia="SimSun" w:hAnsi="Times New Roman"/>
          <w:b/>
          <w:bCs/>
          <w:i/>
          <w:iCs/>
          <w:sz w:val="24"/>
          <w:szCs w:val="24"/>
        </w:rPr>
        <w:t>Спешни</w:t>
      </w:r>
      <w:r w:rsidRPr="00AE47C6">
        <w:rPr>
          <w:rFonts w:ascii="Times New Roman" w:eastAsia="SimSun" w:hAnsi="Times New Roman"/>
          <w:sz w:val="24"/>
          <w:szCs w:val="24"/>
        </w:rPr>
        <w:t xml:space="preserve">: </w:t>
      </w:r>
    </w:p>
    <w:p w14:paraId="76ED8E3F" w14:textId="77777777" w:rsidR="00BE0B19" w:rsidRPr="00AE47C6" w:rsidRDefault="00BE0B19" w:rsidP="00BE0B19">
      <w:pPr>
        <w:numPr>
          <w:ilvl w:val="0"/>
          <w:numId w:val="159"/>
        </w:numPr>
        <w:tabs>
          <w:tab w:val="clear" w:pos="720"/>
          <w:tab w:val="num" w:pos="1440"/>
        </w:tabs>
        <w:spacing w:after="0" w:line="360" w:lineRule="auto"/>
        <w:ind w:firstLine="0"/>
        <w:jc w:val="both"/>
        <w:rPr>
          <w:rFonts w:ascii="Times New Roman" w:eastAsia="SimSun" w:hAnsi="Times New Roman"/>
          <w:sz w:val="24"/>
          <w:szCs w:val="24"/>
        </w:rPr>
      </w:pPr>
      <w:r w:rsidRPr="00AE47C6">
        <w:rPr>
          <w:rFonts w:ascii="Times New Roman" w:eastAsia="SimSun" w:hAnsi="Times New Roman"/>
          <w:sz w:val="24"/>
          <w:szCs w:val="24"/>
        </w:rPr>
        <w:t xml:space="preserve"> Пациенти, получили за първи път епилептични пристъпи, с нововъзникнал огнищен неврологичен дефицит, увреда на съзнанието (с или без данни за интоксикация), температура, травма на главата, персистиращо главоболие, анамнеза за неоплазма или за прием на антикоагуланти, позитивност за HIV, наличие на фокални пристъпи при пациенти над 40 г. </w:t>
      </w:r>
    </w:p>
    <w:p w14:paraId="1276FA6E" w14:textId="77777777" w:rsidR="00BE0B19" w:rsidRPr="00AE47C6" w:rsidRDefault="00BE0B19" w:rsidP="00BE0B19">
      <w:pPr>
        <w:numPr>
          <w:ilvl w:val="0"/>
          <w:numId w:val="159"/>
        </w:numPr>
        <w:tabs>
          <w:tab w:val="clear" w:pos="720"/>
          <w:tab w:val="num" w:pos="1440"/>
        </w:tabs>
        <w:spacing w:after="0" w:line="360" w:lineRule="auto"/>
        <w:ind w:firstLine="0"/>
        <w:jc w:val="both"/>
        <w:rPr>
          <w:rFonts w:ascii="Times New Roman" w:eastAsia="SimSun" w:hAnsi="Times New Roman"/>
          <w:sz w:val="24"/>
          <w:szCs w:val="24"/>
        </w:rPr>
      </w:pPr>
      <w:r w:rsidRPr="00AE47C6">
        <w:rPr>
          <w:rFonts w:ascii="Times New Roman" w:eastAsia="SimSun" w:hAnsi="Times New Roman"/>
          <w:sz w:val="24"/>
          <w:szCs w:val="24"/>
        </w:rPr>
        <w:t xml:space="preserve">Пациенти с известна епилепсия при: съмнение на мозъчно-структурни лезии на базата на прогресиращ неврологичен дефицит; увреда на съзнанието (с или без интоксикация), температура, краниална травма, персистиращо главоболие, анамнеза за неоплазма, прием на антикоагуланти, промяна в типа на пристъпите, прогресиращ интелектуален дефицит. </w:t>
      </w:r>
    </w:p>
    <w:p w14:paraId="79720508" w14:textId="77777777" w:rsidR="00BE0B19" w:rsidRPr="00AE47C6" w:rsidRDefault="00BE0B19" w:rsidP="00BE0B19">
      <w:pPr>
        <w:numPr>
          <w:ilvl w:val="0"/>
          <w:numId w:val="5"/>
        </w:numPr>
        <w:tabs>
          <w:tab w:val="clear" w:pos="720"/>
          <w:tab w:val="num" w:pos="1440"/>
        </w:tabs>
        <w:autoSpaceDE w:val="0"/>
        <w:autoSpaceDN w:val="0"/>
        <w:adjustRightInd w:val="0"/>
        <w:spacing w:after="0" w:line="360" w:lineRule="auto"/>
        <w:ind w:firstLine="0"/>
        <w:jc w:val="both"/>
        <w:rPr>
          <w:rFonts w:ascii="Times New Roman" w:eastAsia="SimSun" w:hAnsi="Times New Roman"/>
          <w:sz w:val="24"/>
          <w:szCs w:val="24"/>
        </w:rPr>
      </w:pPr>
      <w:r w:rsidRPr="00AE47C6">
        <w:rPr>
          <w:rFonts w:ascii="Times New Roman" w:eastAsia="SimSun" w:hAnsi="Times New Roman"/>
          <w:b/>
          <w:bCs/>
          <w:sz w:val="24"/>
          <w:szCs w:val="24"/>
        </w:rPr>
        <w:t>Компютърна томография (КТ) на главен мозък</w:t>
      </w:r>
      <w:r w:rsidRPr="00AE47C6">
        <w:rPr>
          <w:rFonts w:ascii="Times New Roman" w:eastAsia="SimSun" w:hAnsi="Times New Roman"/>
          <w:sz w:val="24"/>
          <w:szCs w:val="24"/>
        </w:rPr>
        <w:t xml:space="preserve"> е показана в условия на спешност, както и за визуализиране на мозъчни калцификати (туберозна склероза и др.). КТ с контраст - за диференциране на артерио-венозна малформация, мозъчен тумор. Повторни КТ изследвания - при прогресиращи промени в неврологичния статус и терапевтична резистентност.</w:t>
      </w:r>
    </w:p>
    <w:p w14:paraId="2637F127" w14:textId="77777777" w:rsidR="00BE0B19" w:rsidRPr="00AE47C6" w:rsidRDefault="00BE0B19" w:rsidP="00BE0B19">
      <w:pPr>
        <w:numPr>
          <w:ilvl w:val="0"/>
          <w:numId w:val="5"/>
        </w:numPr>
        <w:tabs>
          <w:tab w:val="clear" w:pos="720"/>
          <w:tab w:val="num" w:pos="1440"/>
        </w:tabs>
        <w:autoSpaceDE w:val="0"/>
        <w:autoSpaceDN w:val="0"/>
        <w:adjustRightInd w:val="0"/>
        <w:spacing w:after="0" w:line="360" w:lineRule="auto"/>
        <w:ind w:firstLine="0"/>
        <w:jc w:val="both"/>
        <w:rPr>
          <w:rFonts w:ascii="Times New Roman" w:eastAsia="SimSun" w:hAnsi="Times New Roman"/>
          <w:sz w:val="24"/>
          <w:szCs w:val="24"/>
        </w:rPr>
      </w:pPr>
      <w:r w:rsidRPr="00AE47C6">
        <w:rPr>
          <w:rFonts w:ascii="Times New Roman" w:eastAsia="SimSun" w:hAnsi="Times New Roman"/>
          <w:b/>
          <w:bCs/>
          <w:sz w:val="24"/>
          <w:szCs w:val="24"/>
        </w:rPr>
        <w:t xml:space="preserve">Магнитно-резонансна томография (МРТ) на главен мозък </w:t>
      </w:r>
      <w:r w:rsidRPr="00AE47C6">
        <w:rPr>
          <w:rFonts w:ascii="Times New Roman" w:eastAsia="SimSun" w:hAnsi="Times New Roman"/>
          <w:sz w:val="24"/>
          <w:szCs w:val="24"/>
        </w:rPr>
        <w:t xml:space="preserve">e средство на избор при пациентите с епилепсия поради възможност за визуализиране на малки по обем лезии (корови дисплазии и дефекти в невронната миграция), хипокампална склероза и неоплазми. Показана е за пациентите с фокална епилепсия с изключение на доказаните идиопатични детски фокални епилепсии, както и при новоизявила се епилепсия след 25 г. възраст за уточняване на симптоматична етиология. Повторни МРТ изследвания - при терапевтична резистентност на епилепсията и/или прогресиращи промени в неврологичния статус. </w:t>
      </w:r>
    </w:p>
    <w:p w14:paraId="4B2B38B6" w14:textId="77777777" w:rsidR="00BE0B19" w:rsidRPr="00AE47C6" w:rsidRDefault="00BE0B19" w:rsidP="00BE0B19">
      <w:pPr>
        <w:numPr>
          <w:ilvl w:val="0"/>
          <w:numId w:val="5"/>
        </w:numPr>
        <w:tabs>
          <w:tab w:val="clear" w:pos="720"/>
          <w:tab w:val="num" w:pos="1440"/>
        </w:tabs>
        <w:autoSpaceDE w:val="0"/>
        <w:autoSpaceDN w:val="0"/>
        <w:adjustRightInd w:val="0"/>
        <w:spacing w:after="0" w:line="360" w:lineRule="auto"/>
        <w:ind w:firstLine="0"/>
        <w:jc w:val="both"/>
        <w:rPr>
          <w:rFonts w:ascii="Times New Roman" w:eastAsia="SimSun" w:hAnsi="Times New Roman"/>
          <w:sz w:val="24"/>
          <w:szCs w:val="24"/>
        </w:rPr>
      </w:pPr>
      <w:r w:rsidRPr="00AE47C6">
        <w:rPr>
          <w:rFonts w:ascii="Times New Roman" w:eastAsia="SimSun" w:hAnsi="Times New Roman"/>
          <w:b/>
          <w:bCs/>
          <w:sz w:val="24"/>
          <w:szCs w:val="24"/>
        </w:rPr>
        <w:t>Трансфонтанеална ехография –</w:t>
      </w:r>
      <w:r w:rsidRPr="00AE47C6">
        <w:rPr>
          <w:rFonts w:ascii="Times New Roman" w:eastAsia="SimSun" w:hAnsi="Times New Roman"/>
          <w:sz w:val="24"/>
          <w:szCs w:val="24"/>
        </w:rPr>
        <w:t xml:space="preserve"> в кърмаческа възраст. </w:t>
      </w:r>
    </w:p>
    <w:p w14:paraId="542B8C43" w14:textId="77777777" w:rsidR="00BE0B19" w:rsidRPr="00AE47C6" w:rsidRDefault="00BE0B19" w:rsidP="00BE0B19">
      <w:pPr>
        <w:numPr>
          <w:ilvl w:val="0"/>
          <w:numId w:val="156"/>
        </w:numPr>
        <w:tabs>
          <w:tab w:val="left"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
          <w:bCs/>
          <w:sz w:val="24"/>
          <w:szCs w:val="24"/>
        </w:rPr>
        <w:t xml:space="preserve">ПКК, трансаминази, електролити - </w:t>
      </w:r>
      <w:r w:rsidRPr="00AE47C6">
        <w:rPr>
          <w:rFonts w:ascii="Times New Roman" w:eastAsia="SimSun" w:hAnsi="Times New Roman"/>
          <w:sz w:val="24"/>
          <w:szCs w:val="24"/>
        </w:rPr>
        <w:t>в началото на лечението, както и други показатели при необходимост. При нормални стойности - контролни изследвания през 6 месеца.</w:t>
      </w:r>
    </w:p>
    <w:p w14:paraId="25B0C0A1" w14:textId="77777777" w:rsidR="00BE0B19" w:rsidRPr="00AE47C6" w:rsidRDefault="00BE0B19" w:rsidP="00BE0B19">
      <w:pPr>
        <w:numPr>
          <w:ilvl w:val="0"/>
          <w:numId w:val="156"/>
        </w:numPr>
        <w:tabs>
          <w:tab w:val="left"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
          <w:bCs/>
          <w:sz w:val="24"/>
          <w:szCs w:val="24"/>
        </w:rPr>
        <w:t xml:space="preserve">ЕКГ </w:t>
      </w:r>
      <w:r w:rsidRPr="00AE47C6">
        <w:rPr>
          <w:rFonts w:ascii="Times New Roman" w:eastAsia="SimSun" w:hAnsi="Times New Roman"/>
          <w:sz w:val="24"/>
          <w:szCs w:val="24"/>
        </w:rPr>
        <w:t>при деца и възрастни при съмнение за епилепсия и ДД със синкопи или ритъмни разстройства.</w:t>
      </w:r>
    </w:p>
    <w:p w14:paraId="08DAB59C" w14:textId="77777777" w:rsidR="00BE0B19" w:rsidRPr="00AE47C6" w:rsidRDefault="00BE0B19" w:rsidP="00BE0B19">
      <w:pPr>
        <w:numPr>
          <w:ilvl w:val="0"/>
          <w:numId w:val="156"/>
        </w:numPr>
        <w:tabs>
          <w:tab w:val="left" w:pos="720"/>
        </w:tabs>
        <w:spacing w:after="0" w:line="360" w:lineRule="auto"/>
        <w:ind w:left="0" w:firstLine="0"/>
        <w:jc w:val="both"/>
        <w:rPr>
          <w:rFonts w:ascii="Times New Roman" w:eastAsia="SimSun" w:hAnsi="Times New Roman"/>
          <w:b/>
          <w:bCs/>
          <w:sz w:val="24"/>
          <w:szCs w:val="24"/>
        </w:rPr>
      </w:pPr>
      <w:r w:rsidRPr="00AE47C6">
        <w:rPr>
          <w:rFonts w:ascii="Times New Roman" w:eastAsia="SimSun" w:hAnsi="Times New Roman"/>
          <w:b/>
          <w:bCs/>
          <w:sz w:val="24"/>
          <w:szCs w:val="24"/>
        </w:rPr>
        <w:t>Очен статус</w:t>
      </w:r>
    </w:p>
    <w:p w14:paraId="4975E256" w14:textId="77777777" w:rsidR="00BE0B19" w:rsidRPr="00AE47C6" w:rsidRDefault="00BE0B19" w:rsidP="00BE0B19">
      <w:pPr>
        <w:numPr>
          <w:ilvl w:val="0"/>
          <w:numId w:val="156"/>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
          <w:bCs/>
          <w:sz w:val="24"/>
          <w:szCs w:val="24"/>
        </w:rPr>
        <w:t xml:space="preserve">Изследвания на ниво на АГЛ - </w:t>
      </w:r>
      <w:r w:rsidRPr="00AE47C6">
        <w:rPr>
          <w:rFonts w:ascii="Times New Roman" w:eastAsia="SimSun" w:hAnsi="Times New Roman"/>
          <w:sz w:val="24"/>
          <w:szCs w:val="24"/>
        </w:rPr>
        <w:t>след приключване на титрирането на валпроати, carbamazepine, phenytoin, след което мониториране се извършва 1/годишно. При съмнение за ниско ниво или интоксикация, терапевтична резистентност, повече от 2 лекарства, чернодробна и бъбречна недостатъчност, съдебно-медицинска експертиза. При бременни жени – ежемесечен контрол на серумните нива.</w:t>
      </w:r>
    </w:p>
    <w:p w14:paraId="4A78CDB7" w14:textId="77777777" w:rsidR="00BE0B19" w:rsidRPr="00AE47C6" w:rsidRDefault="00BE0B19" w:rsidP="00BE0B19">
      <w:pPr>
        <w:numPr>
          <w:ilvl w:val="0"/>
          <w:numId w:val="156"/>
        </w:numPr>
        <w:tabs>
          <w:tab w:val="left"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
          <w:bCs/>
          <w:sz w:val="24"/>
          <w:szCs w:val="24"/>
        </w:rPr>
        <w:t xml:space="preserve">Психологично изследване </w:t>
      </w:r>
      <w:r w:rsidRPr="00AE47C6">
        <w:rPr>
          <w:rFonts w:ascii="Times New Roman" w:eastAsia="SimSun" w:hAnsi="Times New Roman"/>
          <w:sz w:val="24"/>
          <w:szCs w:val="24"/>
        </w:rPr>
        <w:t>при обучителни затруднения и периодичен контрол за оценка на възможен регрес в когнитивните функции.</w:t>
      </w:r>
    </w:p>
    <w:p w14:paraId="1778C278" w14:textId="77777777" w:rsidR="00BE0B19" w:rsidRPr="00AE47C6" w:rsidRDefault="00BE0B19" w:rsidP="00BE0B19">
      <w:pPr>
        <w:numPr>
          <w:ilvl w:val="0"/>
          <w:numId w:val="156"/>
        </w:numPr>
        <w:tabs>
          <w:tab w:val="left"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
          <w:bCs/>
          <w:sz w:val="24"/>
          <w:szCs w:val="24"/>
        </w:rPr>
        <w:t xml:space="preserve">Генетични изследвания </w:t>
      </w:r>
      <w:r w:rsidRPr="00AE47C6">
        <w:rPr>
          <w:rFonts w:ascii="Times New Roman" w:eastAsia="SimSun" w:hAnsi="Times New Roman"/>
          <w:sz w:val="24"/>
          <w:szCs w:val="24"/>
        </w:rPr>
        <w:t>(табл. 11.1,11.2,11.3,11.4)</w:t>
      </w:r>
    </w:p>
    <w:p w14:paraId="0EC93908" w14:textId="77777777" w:rsidR="00BE0B19" w:rsidRPr="00AE47C6" w:rsidRDefault="00BE0B19" w:rsidP="00BE0B19">
      <w:pPr>
        <w:tabs>
          <w:tab w:val="left" w:pos="720"/>
        </w:tabs>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При парциалните (фокални) епилепсии, наличие на ВГТКП и някои неопределени синдроми </w:t>
      </w:r>
      <w:r w:rsidRPr="00AE47C6">
        <w:rPr>
          <w:rFonts w:ascii="Times New Roman" w:eastAsia="SimSun" w:hAnsi="Times New Roman"/>
          <w:sz w:val="24"/>
          <w:szCs w:val="24"/>
        </w:rPr>
        <w:t>се осъществяват допълнително:</w:t>
      </w:r>
    </w:p>
    <w:p w14:paraId="589DADAA" w14:textId="77777777" w:rsidR="00BE0B19" w:rsidRPr="00AE47C6" w:rsidRDefault="00BE0B19" w:rsidP="00BE0B19">
      <w:pPr>
        <w:numPr>
          <w:ilvl w:val="0"/>
          <w:numId w:val="156"/>
        </w:numPr>
        <w:tabs>
          <w:tab w:val="left"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Доплерова и транскраниална доплерова сонография.</w:t>
      </w:r>
    </w:p>
    <w:p w14:paraId="341C30B8" w14:textId="77777777" w:rsidR="00BE0B19" w:rsidRPr="00AE47C6" w:rsidRDefault="00BE0B19" w:rsidP="00BE0B19">
      <w:pPr>
        <w:numPr>
          <w:ilvl w:val="0"/>
          <w:numId w:val="156"/>
        </w:numPr>
        <w:tabs>
          <w:tab w:val="left" w:pos="720"/>
        </w:tabs>
        <w:spacing w:after="0" w:line="360" w:lineRule="auto"/>
        <w:ind w:left="0" w:firstLine="0"/>
        <w:jc w:val="both"/>
        <w:rPr>
          <w:rFonts w:ascii="Times New Roman" w:eastAsia="SimSun" w:hAnsi="Times New Roman"/>
          <w:b/>
          <w:bCs/>
          <w:sz w:val="24"/>
          <w:szCs w:val="24"/>
        </w:rPr>
      </w:pPr>
      <w:r w:rsidRPr="00AE47C6">
        <w:rPr>
          <w:rFonts w:ascii="Times New Roman" w:eastAsia="SimSun" w:hAnsi="Times New Roman"/>
          <w:sz w:val="24"/>
          <w:szCs w:val="24"/>
        </w:rPr>
        <w:t>МР ангиография при съмнение за артериовенозни малформации (АVМ), стенози и хипоплазии на вътрешна сънна, средна мозъчна артерия.</w:t>
      </w:r>
    </w:p>
    <w:p w14:paraId="3885D424" w14:textId="77777777" w:rsidR="00BE0B19" w:rsidRPr="00AE47C6" w:rsidRDefault="00BE0B19" w:rsidP="00BE0B19">
      <w:pPr>
        <w:numPr>
          <w:ilvl w:val="0"/>
          <w:numId w:val="156"/>
        </w:numPr>
        <w:tabs>
          <w:tab w:val="left"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Мозъчна ангиография -при съмнение за мозъчно-съдови малформации след КТ, КТ с контраст, МР ангиография.</w:t>
      </w:r>
    </w:p>
    <w:p w14:paraId="012845FE" w14:textId="77777777" w:rsidR="00BE0B19" w:rsidRPr="00AE47C6" w:rsidRDefault="00BE0B19" w:rsidP="00BE0B19">
      <w:pPr>
        <w:numPr>
          <w:ilvl w:val="0"/>
          <w:numId w:val="156"/>
        </w:numPr>
        <w:tabs>
          <w:tab w:val="left"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Функционални невроизобразяващи изследвания – SPECT и PET за установяване на локална хипо-/хиперперфузия и хипо- или хиперметаболизъм.</w:t>
      </w:r>
    </w:p>
    <w:p w14:paraId="0111DDBF" w14:textId="77777777" w:rsidR="00BE0B19" w:rsidRPr="00AE47C6" w:rsidRDefault="00BE0B19" w:rsidP="00BE0B19">
      <w:pPr>
        <w:numPr>
          <w:ilvl w:val="0"/>
          <w:numId w:val="156"/>
        </w:numPr>
        <w:tabs>
          <w:tab w:val="left"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
          <w:bCs/>
          <w:sz w:val="24"/>
          <w:szCs w:val="24"/>
        </w:rPr>
        <w:t>Ликворно изследване</w:t>
      </w:r>
      <w:r w:rsidRPr="00AE47C6">
        <w:rPr>
          <w:rFonts w:ascii="Times New Roman" w:eastAsia="SimSun" w:hAnsi="Times New Roman"/>
          <w:sz w:val="24"/>
          <w:szCs w:val="24"/>
        </w:rPr>
        <w:t xml:space="preserve"> - при съмнение за менингит, остър или подостър енцефалит, субарахноиден кръвоизлив, левкодистрофия </w:t>
      </w:r>
    </w:p>
    <w:p w14:paraId="25748BE8" w14:textId="77777777" w:rsidR="00BE0B19" w:rsidRPr="00AE47C6" w:rsidRDefault="00BE0B19" w:rsidP="00BE0B19">
      <w:pPr>
        <w:numPr>
          <w:ilvl w:val="12"/>
          <w:numId w:val="0"/>
        </w:numPr>
        <w:overflowPunct w:val="0"/>
        <w:autoSpaceDE w:val="0"/>
        <w:autoSpaceDN w:val="0"/>
        <w:adjustRightInd w:val="0"/>
        <w:spacing w:after="0" w:line="360" w:lineRule="auto"/>
        <w:ind w:firstLine="720"/>
        <w:jc w:val="both"/>
        <w:textAlignment w:val="baseline"/>
        <w:rPr>
          <w:rFonts w:ascii="Times New Roman" w:eastAsia="SimSun" w:hAnsi="Times New Roman"/>
          <w:b/>
          <w:sz w:val="24"/>
          <w:szCs w:val="24"/>
        </w:rPr>
      </w:pPr>
    </w:p>
    <w:p w14:paraId="0328060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VII. Терапия</w:t>
      </w:r>
    </w:p>
    <w:p w14:paraId="317B20D4"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Своевременното диагностициране на вида на пристъпите и на епилептичния синдром е необходимо условие за правилния избор на антиепилептичната терапия, определяща в най-голяма степен прогнозата и психологичните и социално-икономични проблеми, съпътстващи епилепсията. Лечението на болните с епилепсия се осъществява от специалисти-невролози и/или детски невролози. Консултация с психиатър се извършва при наличие на психоза, промяна на личността, свързана с епилепсията и психо-социална дисфункция.</w:t>
      </w:r>
    </w:p>
    <w:p w14:paraId="5BA739A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Целите на антиепилептичното лечение са пълен контрол на епилептичните пристъпи или редукция на пристъпната честота и/или тежест, при добра поносимост, безопасност и съобразяване с лекарствените взаимодействия, потискане на субклиничната епилептична активност и на епилептогенезата, подобряване на качеството на живот.</w:t>
      </w:r>
    </w:p>
    <w:p w14:paraId="395B793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Терапията на епилепсията включва медикаментозно лечение (монотерапия, рационална политерапия) и при необходимост (медикаментозна резистентност или някои специфични синдроми) - неврохирургично лечение, алтернативни терапии (кетогенна диета и модификации, вагус-нерв стимулация). Изборът на антигърчово лекарство  (</w:t>
      </w:r>
      <w:r w:rsidRPr="00AE47C6">
        <w:rPr>
          <w:rFonts w:ascii="Times New Roman" w:eastAsia="SimSun" w:hAnsi="Times New Roman"/>
          <w:bCs/>
          <w:szCs w:val="20"/>
        </w:rPr>
        <w:t>АГЛ</w:t>
      </w:r>
      <w:r w:rsidRPr="00AE47C6">
        <w:rPr>
          <w:rFonts w:ascii="Times New Roman" w:eastAsia="SimSun" w:hAnsi="Times New Roman"/>
          <w:sz w:val="24"/>
          <w:szCs w:val="24"/>
        </w:rPr>
        <w:t xml:space="preserve">), продължителността на лечението, както и решението за хоспитализация се вземат от специалисти невролози и/или детски невролози. При лечението на епилепсията се спазват основни принципи. </w:t>
      </w:r>
    </w:p>
    <w:p w14:paraId="05464EAF" w14:textId="77777777" w:rsidR="00BE0B19" w:rsidRPr="00AE47C6" w:rsidRDefault="00BE0B19" w:rsidP="00BE0B19">
      <w:pPr>
        <w:tabs>
          <w:tab w:val="left" w:pos="720"/>
        </w:tabs>
        <w:overflowPunct w:val="0"/>
        <w:autoSpaceDE w:val="0"/>
        <w:autoSpaceDN w:val="0"/>
        <w:adjustRightInd w:val="0"/>
        <w:spacing w:after="0" w:line="360" w:lineRule="auto"/>
        <w:ind w:firstLine="720"/>
        <w:jc w:val="both"/>
        <w:textAlignment w:val="baseline"/>
        <w:rPr>
          <w:rFonts w:ascii="Times New Roman" w:eastAsia="SimSun" w:hAnsi="Times New Roman"/>
          <w:b/>
          <w:bCs/>
          <w:sz w:val="24"/>
          <w:szCs w:val="24"/>
        </w:rPr>
      </w:pPr>
      <w:r w:rsidRPr="00AE47C6">
        <w:rPr>
          <w:rFonts w:ascii="Times New Roman" w:eastAsia="SimSun" w:hAnsi="Times New Roman"/>
          <w:sz w:val="24"/>
          <w:szCs w:val="24"/>
        </w:rPr>
        <w:t>При</w:t>
      </w:r>
      <w:r w:rsidRPr="00AE47C6">
        <w:rPr>
          <w:rFonts w:ascii="Times New Roman" w:eastAsia="SimSun" w:hAnsi="Times New Roman"/>
          <w:b/>
          <w:bCs/>
          <w:sz w:val="24"/>
          <w:szCs w:val="24"/>
        </w:rPr>
        <w:t xml:space="preserve"> единствен тонично-клоничен епилептичен пристъп </w:t>
      </w:r>
      <w:r w:rsidRPr="00AE47C6">
        <w:rPr>
          <w:rFonts w:ascii="Times New Roman" w:eastAsia="SimSun" w:hAnsi="Times New Roman"/>
          <w:sz w:val="24"/>
          <w:szCs w:val="24"/>
        </w:rPr>
        <w:t>лечение се започва при висок риск от рецидиви: ЕЕГ с интериктални епилептиформени абнормности и/или персистираща причина за епилептични пристъпи като визуализирана в МРТ корова дисплазия; начален непровокиран епилептичен статус; анамнеза за предшестващи миоклонии, абсанси. Основната цел на лечението е пълен контрол на припадъците при минимален страничен ефект на АГЛ, с постигане на възможно най-добро качество на живот. Преценява се ползата и рисковете от продължителния прием на АГЛ при всеки конкретен болен.</w:t>
      </w:r>
    </w:p>
    <w:p w14:paraId="75455448" w14:textId="77777777" w:rsidR="00BE0B19" w:rsidRPr="00AE47C6" w:rsidRDefault="00BE0B19" w:rsidP="00BE0B19">
      <w:pPr>
        <w:tabs>
          <w:tab w:val="num" w:pos="0"/>
        </w:tabs>
        <w:spacing w:after="0" w:line="360" w:lineRule="auto"/>
        <w:ind w:firstLine="360"/>
        <w:jc w:val="both"/>
        <w:rPr>
          <w:rFonts w:ascii="Times New Roman" w:eastAsia="SimSun" w:hAnsi="Times New Roman"/>
          <w:sz w:val="24"/>
          <w:szCs w:val="24"/>
        </w:rPr>
      </w:pPr>
      <w:r w:rsidRPr="00AE47C6">
        <w:rPr>
          <w:rFonts w:ascii="Times New Roman" w:eastAsia="SimSun" w:hAnsi="Times New Roman"/>
          <w:sz w:val="24"/>
          <w:szCs w:val="24"/>
        </w:rPr>
        <w:tab/>
        <w:t xml:space="preserve">Лечението с АГЛ се започва </w:t>
      </w:r>
      <w:r w:rsidRPr="00AE47C6">
        <w:rPr>
          <w:rFonts w:ascii="Times New Roman" w:eastAsia="SimSun" w:hAnsi="Times New Roman"/>
          <w:b/>
          <w:bCs/>
          <w:i/>
          <w:iCs/>
          <w:sz w:val="24"/>
          <w:szCs w:val="24"/>
        </w:rPr>
        <w:t>при сигурна диагноза</w:t>
      </w:r>
      <w:r w:rsidRPr="00AE47C6">
        <w:rPr>
          <w:rFonts w:ascii="Times New Roman" w:eastAsia="SimSun" w:hAnsi="Times New Roman"/>
          <w:sz w:val="24"/>
          <w:szCs w:val="24"/>
        </w:rPr>
        <w:t xml:space="preserve">: според новата дефиниция след </w:t>
      </w:r>
      <w:r w:rsidRPr="00AE47C6">
        <w:rPr>
          <w:rFonts w:ascii="Times New Roman" w:eastAsia="SimSun" w:hAnsi="Times New Roman"/>
          <w:bCs/>
          <w:sz w:val="24"/>
          <w:szCs w:val="24"/>
        </w:rPr>
        <w:t xml:space="preserve">2 непровокирани или провокирани пристъпа, наблюдавани през период по-голям от 24 ч, след 1 непровокиран (или провокиран) поне 30 дни след невроинфекция, инсулт, мозъчна травма, или след поставена диагноза епилептичен синдром. </w:t>
      </w:r>
      <w:r w:rsidRPr="00AE47C6">
        <w:rPr>
          <w:rFonts w:ascii="Times New Roman" w:eastAsia="SimSun" w:hAnsi="Times New Roman"/>
          <w:sz w:val="24"/>
          <w:szCs w:val="24"/>
        </w:rPr>
        <w:t xml:space="preserve">Не винаги се налага лечение при идиопатичната детска фокална епилепсия с центротемпорални спайкове (Роландова), някои форми на фотосензитивни епилепсии, фебрилните гърчове или редки епилептични пристъпи (по-редки от веднъж годишно пристъпи или редки и леки нощни пристъпи) и при краткотрайни фокални пристъпи. </w:t>
      </w:r>
    </w:p>
    <w:p w14:paraId="7FBF3DA5" w14:textId="77777777" w:rsidR="00BE0B19" w:rsidRPr="00AE47C6" w:rsidRDefault="00BE0B19" w:rsidP="00BE0B19">
      <w:pPr>
        <w:tabs>
          <w:tab w:val="left" w:pos="720"/>
        </w:tabs>
        <w:overflowPunct w:val="0"/>
        <w:autoSpaceDE w:val="0"/>
        <w:autoSpaceDN w:val="0"/>
        <w:adjustRightInd w:val="0"/>
        <w:spacing w:after="0" w:line="360" w:lineRule="auto"/>
        <w:jc w:val="both"/>
        <w:textAlignment w:val="baseline"/>
        <w:rPr>
          <w:rFonts w:ascii="Times New Roman" w:eastAsia="SimSun" w:hAnsi="Times New Roman"/>
          <w:sz w:val="24"/>
          <w:szCs w:val="24"/>
        </w:rPr>
      </w:pPr>
    </w:p>
    <w:p w14:paraId="66ACEDEE" w14:textId="77777777" w:rsidR="00BE0B19" w:rsidRPr="00AE47C6" w:rsidRDefault="00BE0B19" w:rsidP="00BE0B19">
      <w:pPr>
        <w:overflowPunct w:val="0"/>
        <w:autoSpaceDE w:val="0"/>
        <w:autoSpaceDN w:val="0"/>
        <w:adjustRightInd w:val="0"/>
        <w:spacing w:after="0" w:line="360" w:lineRule="auto"/>
        <w:jc w:val="both"/>
        <w:textAlignment w:val="baseline"/>
        <w:rPr>
          <w:rFonts w:ascii="Times New Roman" w:eastAsia="SimSun" w:hAnsi="Times New Roman"/>
          <w:b/>
          <w:bCs/>
          <w:sz w:val="24"/>
          <w:szCs w:val="24"/>
        </w:rPr>
      </w:pPr>
      <w:r w:rsidRPr="00AE47C6">
        <w:rPr>
          <w:rFonts w:ascii="Times New Roman" w:eastAsia="SimSun" w:hAnsi="Times New Roman"/>
          <w:b/>
          <w:bCs/>
          <w:sz w:val="24"/>
          <w:szCs w:val="24"/>
        </w:rPr>
        <w:t xml:space="preserve">А. Принципи на лечение </w:t>
      </w:r>
    </w:p>
    <w:p w14:paraId="1330C191" w14:textId="77777777" w:rsidR="00BE0B19" w:rsidRPr="00AE47C6" w:rsidRDefault="00BE0B19" w:rsidP="00BE0B19">
      <w:pPr>
        <w:numPr>
          <w:ilvl w:val="0"/>
          <w:numId w:val="7"/>
        </w:numPr>
        <w:tabs>
          <w:tab w:val="left" w:pos="720"/>
        </w:tabs>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Оценява се вида на епилепсията, вида на пристъпите, индикации и рискови фактори за антиконвулсантно лечение</w:t>
      </w:r>
    </w:p>
    <w:p w14:paraId="507EA60D" w14:textId="77777777" w:rsidR="00BE0B19" w:rsidRPr="00AE47C6" w:rsidRDefault="00BE0B19" w:rsidP="00BE0B19">
      <w:pPr>
        <w:numPr>
          <w:ilvl w:val="0"/>
          <w:numId w:val="7"/>
        </w:numPr>
        <w:tabs>
          <w:tab w:val="left" w:pos="720"/>
        </w:tabs>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 xml:space="preserve">Започва се с монотерапия </w:t>
      </w:r>
      <w:r w:rsidRPr="00AE47C6">
        <w:rPr>
          <w:rFonts w:ascii="Times New Roman" w:eastAsia="SimSun" w:hAnsi="Times New Roman"/>
          <w:i/>
          <w:iCs/>
          <w:sz w:val="24"/>
          <w:szCs w:val="24"/>
        </w:rPr>
        <w:t>с АГЛ от първа линия</w:t>
      </w:r>
      <w:r w:rsidRPr="00AE47C6">
        <w:rPr>
          <w:rFonts w:ascii="Times New Roman" w:eastAsia="SimSun" w:hAnsi="Times New Roman"/>
          <w:sz w:val="24"/>
          <w:szCs w:val="24"/>
        </w:rPr>
        <w:t>, съобразен с вида на пристъпите, епилептичния синдром, възрастта на пациента, наличието на придружаващи заболявания, ко-медикации. Предимствата на монотерапията е ниска токсичност, добра поносимост, липса на лекарствени взаимодействия, минимизирани когнитивни нарушения и други нежелани реакции. Ефектът се контролира според клиничните симптоми (честотата и тежестта на пристъпите) и с ЕЕГ.</w:t>
      </w:r>
    </w:p>
    <w:p w14:paraId="25B51A6A" w14:textId="77777777" w:rsidR="00BE0B19" w:rsidRPr="00AE47C6" w:rsidRDefault="00BE0B19" w:rsidP="00BE0B19">
      <w:pPr>
        <w:numPr>
          <w:ilvl w:val="0"/>
          <w:numId w:val="7"/>
        </w:numPr>
        <w:tabs>
          <w:tab w:val="left" w:pos="720"/>
        </w:tabs>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Започва се с ниска доза, която се повишаване постепенно до контрол на пристъпите или изява на странични реакции.</w:t>
      </w:r>
    </w:p>
    <w:p w14:paraId="2FC3183F" w14:textId="77777777" w:rsidR="00BE0B19" w:rsidRPr="00AE47C6" w:rsidRDefault="00BE0B19" w:rsidP="00BE0B19">
      <w:pPr>
        <w:numPr>
          <w:ilvl w:val="0"/>
          <w:numId w:val="7"/>
        </w:numPr>
        <w:tabs>
          <w:tab w:val="left" w:pos="720"/>
        </w:tabs>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Мониториране на серумните нива.</w:t>
      </w:r>
    </w:p>
    <w:p w14:paraId="6A85E427" w14:textId="77777777" w:rsidR="00BE0B19" w:rsidRPr="00AE47C6" w:rsidRDefault="00BE0B19" w:rsidP="00BE0B19">
      <w:pPr>
        <w:numPr>
          <w:ilvl w:val="0"/>
          <w:numId w:val="7"/>
        </w:numPr>
        <w:tabs>
          <w:tab w:val="left" w:pos="720"/>
        </w:tabs>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Оценка на риск от възобновяване на пристъпите при спиране или промяна на лечението.</w:t>
      </w:r>
    </w:p>
    <w:p w14:paraId="2D8EA002" w14:textId="77777777" w:rsidR="00BE0B19" w:rsidRPr="00AE47C6" w:rsidRDefault="00BE0B19" w:rsidP="00BE0B19">
      <w:pPr>
        <w:numPr>
          <w:ilvl w:val="0"/>
          <w:numId w:val="7"/>
        </w:numPr>
        <w:tabs>
          <w:tab w:val="left" w:pos="720"/>
        </w:tabs>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Постигане на оптимално качество на живот.</w:t>
      </w:r>
    </w:p>
    <w:p w14:paraId="539D3F85" w14:textId="77777777" w:rsidR="00BE0B19" w:rsidRPr="00AE47C6" w:rsidRDefault="00BE0B19" w:rsidP="00BE0B19">
      <w:pPr>
        <w:numPr>
          <w:ilvl w:val="0"/>
          <w:numId w:val="7"/>
        </w:numPr>
        <w:tabs>
          <w:tab w:val="left" w:pos="720"/>
        </w:tabs>
        <w:overflowPunct w:val="0"/>
        <w:autoSpaceDE w:val="0"/>
        <w:autoSpaceDN w:val="0"/>
        <w:adjustRightInd w:val="0"/>
        <w:spacing w:after="0" w:line="360" w:lineRule="auto"/>
        <w:ind w:left="0" w:firstLine="0"/>
        <w:jc w:val="both"/>
        <w:textAlignment w:val="baseline"/>
        <w:rPr>
          <w:rFonts w:ascii="Times New Roman" w:eastAsia="SimSun" w:hAnsi="Times New Roman"/>
          <w:sz w:val="24"/>
          <w:szCs w:val="24"/>
        </w:rPr>
      </w:pPr>
      <w:r w:rsidRPr="00AE47C6">
        <w:rPr>
          <w:rFonts w:ascii="Times New Roman" w:eastAsia="SimSun" w:hAnsi="Times New Roman"/>
          <w:sz w:val="24"/>
          <w:szCs w:val="24"/>
        </w:rPr>
        <w:t>При терапевтично-резистентни епилепсии (неуспех от два адекватни АГЛ) – насочване към специализирани клиники за провеждане на изследвания за етиологично изясняване, определяне и провеждане на рационална политерапия и обсъждане за възможно неврохирургично лечение и кетогенна диета.</w:t>
      </w:r>
    </w:p>
    <w:p w14:paraId="529AC681" w14:textId="77777777" w:rsidR="00BE0B19" w:rsidRPr="00AE47C6" w:rsidRDefault="00BE0B19" w:rsidP="00BE0B19">
      <w:pPr>
        <w:tabs>
          <w:tab w:val="left" w:pos="720"/>
        </w:tabs>
        <w:overflowPunct w:val="0"/>
        <w:autoSpaceDE w:val="0"/>
        <w:autoSpaceDN w:val="0"/>
        <w:adjustRightInd w:val="0"/>
        <w:spacing w:after="0" w:line="360" w:lineRule="auto"/>
        <w:jc w:val="both"/>
        <w:textAlignment w:val="baseline"/>
        <w:rPr>
          <w:rFonts w:ascii="Times New Roman" w:eastAsia="SimSun" w:hAnsi="Times New Roman"/>
          <w:b/>
          <w:bCs/>
          <w:sz w:val="24"/>
          <w:szCs w:val="24"/>
        </w:rPr>
      </w:pPr>
    </w:p>
    <w:p w14:paraId="16BE2001" w14:textId="77777777" w:rsidR="00BE0B19" w:rsidRPr="00AE47C6" w:rsidRDefault="00BE0B19" w:rsidP="00BE0B19">
      <w:pPr>
        <w:widowControl w:val="0"/>
        <w:spacing w:after="0" w:line="360" w:lineRule="auto"/>
        <w:jc w:val="both"/>
        <w:rPr>
          <w:rFonts w:ascii="Times New Roman" w:eastAsia="MS Mincho" w:hAnsi="Times New Roman"/>
          <w:b/>
          <w:sz w:val="24"/>
          <w:szCs w:val="24"/>
        </w:rPr>
      </w:pPr>
      <w:r w:rsidRPr="00AE47C6">
        <w:rPr>
          <w:rFonts w:ascii="Times New Roman" w:eastAsia="MS Mincho" w:hAnsi="Times New Roman"/>
          <w:b/>
          <w:sz w:val="24"/>
          <w:szCs w:val="24"/>
        </w:rPr>
        <w:t>Б. Антигърчови лекарства</w:t>
      </w:r>
    </w:p>
    <w:p w14:paraId="16DE7160"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sz w:val="24"/>
          <w:szCs w:val="24"/>
        </w:rPr>
        <w:t xml:space="preserve">Съвременното лечение на епилепсията при деца и възрастни се осъществява със следните АГЛ според регистрираните индикации като монотерапия или рационална политерапия, адекватно на вида на епилепсията и вида на пристъпите, съобразено с възрастта, теглото на пациента и придружаващите соматични заболявания (чернодробни, бъбречни, кръвни и т.н.) и риска от тератогенност при млади жени с детероден потенциал: Carbamazepine (CBZ), Cannabidiol* (CBD), Сenobamate**, Clobazam**, Clonazepam (CZP), Eslicarbasepine (ESL), Ethosuximide (ESM), </w:t>
      </w:r>
      <w:r w:rsidRPr="00AE47C6">
        <w:rPr>
          <w:rFonts w:ascii="Times New Roman" w:eastAsia="SimSun" w:hAnsi="Times New Roman"/>
          <w:bCs/>
          <w:sz w:val="24"/>
          <w:szCs w:val="24"/>
        </w:rPr>
        <w:t>Fenfluramine*</w:t>
      </w:r>
      <w:r w:rsidRPr="00AE47C6">
        <w:rPr>
          <w:rFonts w:ascii="Times New Roman" w:eastAsia="SimSun" w:hAnsi="Times New Roman"/>
          <w:sz w:val="24"/>
          <w:szCs w:val="24"/>
        </w:rPr>
        <w:t xml:space="preserve"> (FFL), Gabapentin (GBP), Lacozamide (LCM), Lamotrigine (LTG), Levetiracetam (LEV), </w:t>
      </w:r>
      <w:r w:rsidRPr="00AE47C6">
        <w:rPr>
          <w:rFonts w:ascii="Times New Roman" w:eastAsia="SimSun" w:hAnsi="Times New Roman"/>
          <w:bCs/>
          <w:sz w:val="24"/>
          <w:szCs w:val="24"/>
        </w:rPr>
        <w:t>Nitrazepam**,</w:t>
      </w:r>
      <w:r w:rsidRPr="00AE47C6">
        <w:rPr>
          <w:rFonts w:ascii="Times New Roman" w:eastAsia="SimSun" w:hAnsi="Times New Roman"/>
          <w:sz w:val="24"/>
          <w:szCs w:val="24"/>
        </w:rPr>
        <w:t xml:space="preserve">Oxcarbazepine (OXC), Phenobarbital (PB), Phenytoin (PHT), Pregabalin (PGB), Rufinamide*, Stiripentol*, </w:t>
      </w:r>
      <w:r w:rsidRPr="00AE47C6">
        <w:rPr>
          <w:rFonts w:ascii="Times New Roman" w:eastAsia="SimSun" w:hAnsi="Times New Roman"/>
          <w:bCs/>
          <w:szCs w:val="20"/>
        </w:rPr>
        <w:t>Sulthiam**,</w:t>
      </w:r>
      <w:r w:rsidRPr="00AE47C6">
        <w:rPr>
          <w:rFonts w:ascii="Times New Roman" w:eastAsia="SimSun" w:hAnsi="Times New Roman"/>
          <w:sz w:val="24"/>
          <w:szCs w:val="24"/>
        </w:rPr>
        <w:t xml:space="preserve"> Tiagabine (TGB), Topiramate (TPM), Valproate (VPA), Vigabatrin (VGB)**, Zonizamide**, Methylprednisolon, Piracetam (PZT), Brivaracetam (BRV) (Таблици 11.10, 11.11, 11.12, 11.13, 11.14 , 11.15, 11.16). </w:t>
      </w:r>
    </w:p>
    <w:p w14:paraId="6EB02D63" w14:textId="77777777" w:rsidR="00BE0B19" w:rsidRPr="00AE47C6" w:rsidRDefault="00BE0B19" w:rsidP="00BE0B19">
      <w:pPr>
        <w:tabs>
          <w:tab w:val="left" w:pos="720"/>
        </w:tabs>
        <w:suppressAutoHyphens/>
        <w:spacing w:after="0" w:line="360" w:lineRule="auto"/>
        <w:ind w:left="360" w:firstLine="207"/>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 xml:space="preserve">* По Член 266, ал. 2 от ЗЛПХМ чл. 16, ал. 4 от Hapeдбa № l0 от 2011 г. за условията и реда за лечение с Hepaзрешени за употреба в Република България лекарствени продукти </w:t>
      </w:r>
    </w:p>
    <w:p w14:paraId="77CA3409"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sz w:val="24"/>
          <w:szCs w:val="24"/>
        </w:rPr>
        <w:t xml:space="preserve">**Регистрирани от ЕМА </w:t>
      </w:r>
    </w:p>
    <w:p w14:paraId="233B2DE4" w14:textId="77777777" w:rsidR="00BE0B19" w:rsidRPr="00AE47C6" w:rsidRDefault="00BE0B19" w:rsidP="00BE0B19">
      <w:pPr>
        <w:spacing w:after="0" w:line="360" w:lineRule="auto"/>
        <w:ind w:firstLine="567"/>
        <w:jc w:val="both"/>
        <w:rPr>
          <w:rFonts w:ascii="Times New Roman" w:eastAsia="SimSun" w:hAnsi="Times New Roman"/>
          <w:sz w:val="24"/>
          <w:szCs w:val="24"/>
        </w:rPr>
      </w:pPr>
      <w:r w:rsidRPr="00AE47C6">
        <w:rPr>
          <w:rFonts w:ascii="Times New Roman" w:eastAsia="SimSun" w:hAnsi="Times New Roman"/>
          <w:sz w:val="24"/>
          <w:szCs w:val="24"/>
        </w:rPr>
        <w:t xml:space="preserve">Отчита се възможността за суицидно поведение или идеация от прилаганите АЕЛ. </w:t>
      </w:r>
    </w:p>
    <w:p w14:paraId="305C379B" w14:textId="77777777" w:rsidR="00BE0B19" w:rsidRPr="00AE47C6" w:rsidRDefault="00BE0B19" w:rsidP="00BE0B19">
      <w:pPr>
        <w:spacing w:after="0" w:line="360" w:lineRule="auto"/>
        <w:ind w:firstLine="567"/>
        <w:jc w:val="both"/>
        <w:rPr>
          <w:rFonts w:ascii="Times New Roman" w:eastAsia="SimSun" w:hAnsi="Times New Roman"/>
          <w:sz w:val="24"/>
          <w:szCs w:val="24"/>
        </w:rPr>
      </w:pPr>
    </w:p>
    <w:p w14:paraId="5CCDFC7D" w14:textId="77777777" w:rsidR="00BE0B19" w:rsidRPr="00AE47C6" w:rsidRDefault="00BE0B19" w:rsidP="00BE0B19">
      <w:pPr>
        <w:widowControl w:val="0"/>
        <w:spacing w:after="0" w:line="360" w:lineRule="auto"/>
        <w:jc w:val="both"/>
        <w:rPr>
          <w:rFonts w:ascii="Times New Roman" w:eastAsia="MS Mincho" w:hAnsi="Times New Roman"/>
          <w:b/>
          <w:bCs/>
          <w:sz w:val="24"/>
          <w:szCs w:val="24"/>
        </w:rPr>
      </w:pPr>
      <w:r w:rsidRPr="00AE47C6">
        <w:rPr>
          <w:rFonts w:ascii="Times New Roman" w:eastAsia="MS Mincho" w:hAnsi="Times New Roman"/>
          <w:b/>
          <w:sz w:val="24"/>
          <w:szCs w:val="24"/>
        </w:rPr>
        <w:t>В. Начално лечение на епилепсията.</w:t>
      </w:r>
    </w:p>
    <w:p w14:paraId="655C36AD" w14:textId="77777777" w:rsidR="00BE0B19" w:rsidRPr="00AE47C6" w:rsidRDefault="00BE0B19" w:rsidP="00BE0B19">
      <w:pPr>
        <w:widowControl w:val="0"/>
        <w:spacing w:after="0" w:line="360" w:lineRule="auto"/>
        <w:jc w:val="both"/>
        <w:rPr>
          <w:rFonts w:ascii="Times New Roman" w:eastAsia="MS Mincho" w:hAnsi="Times New Roman"/>
          <w:b/>
          <w:bCs/>
          <w:sz w:val="24"/>
          <w:szCs w:val="24"/>
        </w:rPr>
      </w:pPr>
      <w:r w:rsidRPr="00AE47C6">
        <w:rPr>
          <w:rFonts w:ascii="Times New Roman" w:eastAsia="MS Mincho" w:hAnsi="Times New Roman"/>
          <w:sz w:val="24"/>
          <w:szCs w:val="24"/>
        </w:rPr>
        <w:t>Започва се монотерапия с медикамент на първи избор, съобразно вида на епилепсията и вида на припадъците след два непровокирани пристъпа (таблица 11.8), като се достига оптимална доза (таблица 11.9). Монотерапията е ефективна при 60% от новодиагностицираните пациенти (І монотерапия - 47% или ІІ монотерапия - при 13%).</w:t>
      </w:r>
    </w:p>
    <w:p w14:paraId="1DAA80F0" w14:textId="77777777" w:rsidR="00BE0B19" w:rsidRPr="00AE47C6" w:rsidRDefault="00BE0B19" w:rsidP="00BE0B19">
      <w:pPr>
        <w:widowControl w:val="0"/>
        <w:spacing w:after="0" w:line="360" w:lineRule="auto"/>
        <w:jc w:val="both"/>
        <w:rPr>
          <w:rFonts w:ascii="Times New Roman" w:eastAsia="MS Mincho" w:hAnsi="Times New Roman"/>
          <w:b/>
          <w:bCs/>
          <w:sz w:val="24"/>
          <w:szCs w:val="24"/>
        </w:rPr>
      </w:pPr>
      <w:r w:rsidRPr="00AE47C6">
        <w:rPr>
          <w:rFonts w:ascii="Times New Roman" w:eastAsia="MS Mincho" w:hAnsi="Times New Roman"/>
          <w:b/>
          <w:sz w:val="24"/>
          <w:szCs w:val="24"/>
          <w:u w:val="single"/>
        </w:rPr>
        <w:t>І монотерапия</w:t>
      </w:r>
      <w:r w:rsidRPr="00AE47C6">
        <w:rPr>
          <w:rFonts w:ascii="Times New Roman" w:eastAsia="MS Mincho" w:hAnsi="Times New Roman"/>
          <w:sz w:val="24"/>
          <w:szCs w:val="24"/>
        </w:rPr>
        <w:t xml:space="preserve"> (АГЛ на първи избор) са: </w:t>
      </w:r>
    </w:p>
    <w:p w14:paraId="312134DB" w14:textId="77777777" w:rsidR="00BE0B19" w:rsidRPr="00AE47C6" w:rsidRDefault="00BE0B19" w:rsidP="00BE0B19">
      <w:pPr>
        <w:widowControl w:val="0"/>
        <w:spacing w:after="0" w:line="360" w:lineRule="auto"/>
        <w:jc w:val="both"/>
        <w:rPr>
          <w:rFonts w:ascii="Times New Roman" w:eastAsia="MS Mincho" w:hAnsi="Times New Roman"/>
          <w:b/>
          <w:bCs/>
          <w:sz w:val="24"/>
          <w:szCs w:val="24"/>
        </w:rPr>
      </w:pPr>
      <w:r w:rsidRPr="00AE47C6">
        <w:rPr>
          <w:rFonts w:ascii="Times New Roman" w:eastAsia="MS Mincho" w:hAnsi="Times New Roman"/>
          <w:i/>
          <w:iCs/>
          <w:sz w:val="24"/>
          <w:szCs w:val="24"/>
        </w:rPr>
        <w:t xml:space="preserve">- </w:t>
      </w:r>
      <w:r w:rsidRPr="00AE47C6">
        <w:rPr>
          <w:rFonts w:ascii="Times New Roman" w:eastAsia="MS Mincho" w:hAnsi="Times New Roman"/>
          <w:sz w:val="24"/>
          <w:szCs w:val="24"/>
        </w:rPr>
        <w:t>Valproate - за генерализирани, фокални епилепсии или при съмнения при класифицирането на пристъпите, при синдром на West. Възможен е тератогенен ефект на VPA , поради което се прилага с внимание при момичета над 11 г., млади жени с детероден потенциал и бременни, само ако алтернативното лечение е неефективно</w:t>
      </w:r>
    </w:p>
    <w:p w14:paraId="61F57BD7" w14:textId="77777777" w:rsidR="00BE0B19" w:rsidRPr="00AE47C6" w:rsidRDefault="00BE0B19" w:rsidP="00BE0B19">
      <w:pPr>
        <w:widowControl w:val="0"/>
        <w:spacing w:after="0" w:line="360" w:lineRule="auto"/>
        <w:jc w:val="both"/>
        <w:rPr>
          <w:rFonts w:ascii="Times New Roman" w:eastAsia="MS Mincho" w:hAnsi="Times New Roman"/>
          <w:b/>
          <w:bCs/>
          <w:sz w:val="24"/>
          <w:szCs w:val="24"/>
        </w:rPr>
      </w:pPr>
      <w:r w:rsidRPr="00AE47C6">
        <w:rPr>
          <w:rFonts w:ascii="Times New Roman" w:eastAsia="MS Mincho" w:hAnsi="Times New Roman"/>
          <w:i/>
          <w:iCs/>
          <w:sz w:val="24"/>
          <w:szCs w:val="24"/>
        </w:rPr>
        <w:t xml:space="preserve">- </w:t>
      </w:r>
      <w:r w:rsidRPr="00AE47C6">
        <w:rPr>
          <w:rFonts w:ascii="Times New Roman" w:eastAsia="MS Mincho" w:hAnsi="Times New Roman"/>
          <w:sz w:val="24"/>
          <w:szCs w:val="24"/>
        </w:rPr>
        <w:t xml:space="preserve">Carbamazepine- за фокални епилепсии или Oxcarbazepine - в детската възраст. Препоръчват се ретардните форми на Carbamazepine. </w:t>
      </w:r>
    </w:p>
    <w:p w14:paraId="219CCF7C" w14:textId="77777777" w:rsidR="00BE0B19" w:rsidRPr="00AE47C6" w:rsidRDefault="00BE0B19" w:rsidP="00BE0B19">
      <w:pPr>
        <w:widowControl w:val="0"/>
        <w:spacing w:after="0" w:line="360" w:lineRule="auto"/>
        <w:jc w:val="both"/>
        <w:rPr>
          <w:rFonts w:ascii="Times New Roman" w:eastAsia="MS Mincho" w:hAnsi="Times New Roman"/>
          <w:b/>
          <w:bCs/>
          <w:sz w:val="24"/>
          <w:szCs w:val="24"/>
        </w:rPr>
      </w:pPr>
      <w:r w:rsidRPr="00AE47C6">
        <w:rPr>
          <w:rFonts w:ascii="Times New Roman" w:eastAsia="MS Mincho" w:hAnsi="Times New Roman"/>
          <w:sz w:val="24"/>
          <w:szCs w:val="24"/>
        </w:rPr>
        <w:t xml:space="preserve">- Ethosuximide, а при индикации и Lamotrigine, са медикаменти на първи избор при абсансите. </w:t>
      </w:r>
    </w:p>
    <w:p w14:paraId="17D07C80" w14:textId="77777777" w:rsidR="00BE0B19" w:rsidRPr="00AE47C6" w:rsidRDefault="00BE0B19" w:rsidP="00BE0B19">
      <w:pPr>
        <w:widowControl w:val="0"/>
        <w:spacing w:after="0" w:line="360" w:lineRule="auto"/>
        <w:jc w:val="both"/>
        <w:rPr>
          <w:rFonts w:ascii="Times New Roman" w:eastAsia="MS Mincho" w:hAnsi="Times New Roman"/>
          <w:b/>
          <w:bCs/>
          <w:sz w:val="24"/>
          <w:szCs w:val="24"/>
        </w:rPr>
      </w:pPr>
      <w:r w:rsidRPr="00AE47C6">
        <w:rPr>
          <w:rFonts w:ascii="Times New Roman" w:eastAsia="MS Mincho" w:hAnsi="Times New Roman"/>
          <w:sz w:val="24"/>
          <w:szCs w:val="24"/>
        </w:rPr>
        <w:t xml:space="preserve">- Широкоспектърни АЕЛ като Valproate, Lamotrigine, Levetiracetam, Topiramate са средства на първи избор при пациенти с </w:t>
      </w:r>
      <w:r w:rsidRPr="00AE47C6">
        <w:rPr>
          <w:rFonts w:ascii="Times New Roman" w:eastAsia="MS Mincho" w:hAnsi="Times New Roman"/>
          <w:iCs/>
          <w:sz w:val="24"/>
          <w:szCs w:val="24"/>
        </w:rPr>
        <w:t xml:space="preserve">повече от един тип пристъпи </w:t>
      </w:r>
      <w:r w:rsidRPr="00AE47C6">
        <w:rPr>
          <w:rFonts w:ascii="Times New Roman" w:eastAsia="MS Mincho" w:hAnsi="Times New Roman"/>
          <w:sz w:val="24"/>
          <w:szCs w:val="24"/>
        </w:rPr>
        <w:t>(особено ако има и абсанси, атонични и миоклонични пристъпи).</w:t>
      </w:r>
    </w:p>
    <w:p w14:paraId="3444F3AC" w14:textId="77777777" w:rsidR="00BE0B19" w:rsidRPr="00AE47C6" w:rsidRDefault="00BE0B19" w:rsidP="00BE0B19">
      <w:pPr>
        <w:widowControl w:val="0"/>
        <w:spacing w:after="0" w:line="360" w:lineRule="auto"/>
        <w:jc w:val="both"/>
        <w:rPr>
          <w:rFonts w:ascii="Times New Roman" w:eastAsia="MS Mincho" w:hAnsi="Times New Roman"/>
          <w:b/>
          <w:bCs/>
          <w:sz w:val="24"/>
          <w:szCs w:val="24"/>
        </w:rPr>
      </w:pPr>
      <w:r w:rsidRPr="00AE47C6">
        <w:rPr>
          <w:rFonts w:ascii="Times New Roman" w:eastAsia="MS Mincho" w:hAnsi="Times New Roman"/>
          <w:sz w:val="24"/>
          <w:szCs w:val="24"/>
        </w:rPr>
        <w:t xml:space="preserve">- Някои от новите АЕЛ (Lamotrigine, Охcarbazepine) могат да се прилагат като монотерапия при </w:t>
      </w:r>
      <w:r w:rsidRPr="00AE47C6">
        <w:rPr>
          <w:rFonts w:ascii="Times New Roman" w:eastAsia="MS Mincho" w:hAnsi="Times New Roman"/>
          <w:i/>
          <w:iCs/>
          <w:sz w:val="24"/>
          <w:szCs w:val="24"/>
        </w:rPr>
        <w:t xml:space="preserve">специални състояния </w:t>
      </w:r>
      <w:r w:rsidRPr="00AE47C6">
        <w:rPr>
          <w:rFonts w:ascii="Times New Roman" w:eastAsia="MS Mincho" w:hAnsi="Times New Roman"/>
          <w:sz w:val="24"/>
          <w:szCs w:val="24"/>
        </w:rPr>
        <w:t xml:space="preserve">(детско-юношеска възраст, млади жени и бременни, когнитивен дефицит), странични реакции или органна недостатъчност. </w:t>
      </w:r>
    </w:p>
    <w:p w14:paraId="5444D7A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u w:val="single"/>
        </w:rPr>
        <w:t>ІІ монотерапия</w:t>
      </w:r>
      <w:r w:rsidRPr="00AE47C6">
        <w:rPr>
          <w:rFonts w:ascii="Times New Roman" w:eastAsia="SimSun" w:hAnsi="Times New Roman"/>
          <w:b/>
          <w:bCs/>
          <w:sz w:val="24"/>
          <w:szCs w:val="24"/>
        </w:rPr>
        <w:t xml:space="preserve"> (алтернативна монотерапия) се прилага </w:t>
      </w:r>
      <w:r w:rsidRPr="00AE47C6">
        <w:rPr>
          <w:rFonts w:ascii="Times New Roman" w:eastAsia="SimSun" w:hAnsi="Times New Roman"/>
          <w:sz w:val="24"/>
          <w:szCs w:val="24"/>
        </w:rPr>
        <w:t>при липса на ефект от лечението, непоносимост, странични реакции или органна недостатъчност, като се добавя друг подходящ медикамент, като постепенно се изтегля първия:</w:t>
      </w:r>
    </w:p>
    <w:p w14:paraId="701267DA" w14:textId="77777777" w:rsidR="00BE0B19" w:rsidRPr="00AE47C6" w:rsidRDefault="00BE0B19" w:rsidP="00BE0B19">
      <w:pPr>
        <w:numPr>
          <w:ilvl w:val="0"/>
          <w:numId w:val="6"/>
        </w:numPr>
        <w:spacing w:after="0" w:line="360" w:lineRule="auto"/>
        <w:ind w:left="0"/>
        <w:jc w:val="both"/>
        <w:rPr>
          <w:rFonts w:ascii="Times New Roman" w:eastAsia="SimSun" w:hAnsi="Times New Roman"/>
          <w:sz w:val="24"/>
          <w:szCs w:val="24"/>
        </w:rPr>
      </w:pPr>
      <w:r w:rsidRPr="00AE47C6">
        <w:rPr>
          <w:rFonts w:ascii="Times New Roman" w:eastAsia="SimSun" w:hAnsi="Times New Roman"/>
          <w:sz w:val="24"/>
          <w:szCs w:val="24"/>
        </w:rPr>
        <w:t>при генерализирани и фокални пристъпи със и без вторична генерализация, полиморфни пристъпи, синдром на Lennox-Gastaut: LTG, LEV, TPM</w:t>
      </w:r>
    </w:p>
    <w:p w14:paraId="0D2700E6" w14:textId="77777777" w:rsidR="00BE0B19" w:rsidRPr="00AE47C6" w:rsidRDefault="00BE0B19" w:rsidP="00BE0B19">
      <w:pPr>
        <w:numPr>
          <w:ilvl w:val="0"/>
          <w:numId w:val="6"/>
        </w:numPr>
        <w:spacing w:after="0" w:line="360" w:lineRule="auto"/>
        <w:ind w:left="0"/>
        <w:jc w:val="both"/>
        <w:rPr>
          <w:rFonts w:ascii="Times New Roman" w:eastAsia="SimSun" w:hAnsi="Times New Roman"/>
          <w:sz w:val="24"/>
          <w:szCs w:val="24"/>
        </w:rPr>
      </w:pPr>
      <w:r w:rsidRPr="00AE47C6">
        <w:rPr>
          <w:rFonts w:ascii="Times New Roman" w:eastAsia="SimSun" w:hAnsi="Times New Roman"/>
          <w:sz w:val="24"/>
          <w:szCs w:val="24"/>
        </w:rPr>
        <w:t>при фокални и вторично-генерализирани пристъпи: OXC,  LCM (над 4 г.), ESL (над 18 г.)</w:t>
      </w:r>
    </w:p>
    <w:p w14:paraId="2C5A1DD8" w14:textId="77777777" w:rsidR="00BE0B19" w:rsidRPr="00AE47C6" w:rsidRDefault="00BE0B19" w:rsidP="00BE0B19">
      <w:pPr>
        <w:numPr>
          <w:ilvl w:val="0"/>
          <w:numId w:val="6"/>
        </w:numPr>
        <w:spacing w:after="0" w:line="360" w:lineRule="auto"/>
        <w:ind w:left="0"/>
        <w:jc w:val="both"/>
        <w:rPr>
          <w:rFonts w:ascii="Times New Roman" w:eastAsia="SimSun" w:hAnsi="Times New Roman"/>
          <w:sz w:val="24"/>
          <w:szCs w:val="24"/>
        </w:rPr>
      </w:pPr>
      <w:r w:rsidRPr="00AE47C6">
        <w:rPr>
          <w:rFonts w:ascii="Times New Roman" w:eastAsia="SimSun" w:hAnsi="Times New Roman"/>
          <w:sz w:val="24"/>
          <w:szCs w:val="24"/>
        </w:rPr>
        <w:t>при синдром на West - CZP, LTG, TPМ</w:t>
      </w:r>
    </w:p>
    <w:p w14:paraId="1837BA58" w14:textId="77777777" w:rsidR="00BE0B19" w:rsidRPr="00AE47C6" w:rsidRDefault="00BE0B19" w:rsidP="00BE0B19">
      <w:pPr>
        <w:spacing w:after="0" w:line="360" w:lineRule="auto"/>
        <w:ind w:firstLine="360"/>
        <w:jc w:val="both"/>
        <w:rPr>
          <w:rFonts w:ascii="Times New Roman" w:eastAsia="SimSun" w:hAnsi="Times New Roman"/>
          <w:sz w:val="24"/>
          <w:szCs w:val="24"/>
        </w:rPr>
      </w:pPr>
      <w:r w:rsidRPr="00AE47C6">
        <w:rPr>
          <w:rFonts w:ascii="Times New Roman" w:eastAsia="SimSun" w:hAnsi="Times New Roman"/>
          <w:sz w:val="24"/>
          <w:szCs w:val="24"/>
        </w:rPr>
        <w:t>Възможно е влошаване на някои епилептични пристъпи и синдроми от АЕЛ (таблица 11. 10). При лечение на абсанси и миоклонични пристъпи при деца и възрастни не се препоръчват carbamazepine, gabapentin, oxcarbazepine, phenytoin, pregabalin, tiagabine и vigabatrin, а при синдрома на Dravet и високи дози на lamotrigine поради риск от влошаване. Lamotrigine може да влоши и пациентите с ювенилна миоклонична епилепсия. При деца с идиопатични фокални епилепсии (Роландова, синдром на Panayiotopoulos и тип Gastaut) carbamazepine и oxcarbazepine могат влошат пациентите до изява на CSWS.</w:t>
      </w:r>
    </w:p>
    <w:p w14:paraId="2CF47166" w14:textId="77777777" w:rsidR="00BE0B19" w:rsidRPr="00AE47C6" w:rsidRDefault="00BE0B19" w:rsidP="00BE0B19">
      <w:pPr>
        <w:spacing w:after="0" w:line="360" w:lineRule="auto"/>
        <w:ind w:firstLine="360"/>
        <w:jc w:val="both"/>
        <w:rPr>
          <w:rFonts w:ascii="Times New Roman" w:eastAsia="SimSun" w:hAnsi="Times New Roman"/>
          <w:sz w:val="24"/>
          <w:szCs w:val="24"/>
        </w:rPr>
      </w:pPr>
      <w:r w:rsidRPr="00AE47C6">
        <w:rPr>
          <w:rFonts w:ascii="Times New Roman" w:eastAsia="SimSun" w:hAnsi="Times New Roman"/>
          <w:b/>
          <w:bCs/>
          <w:sz w:val="24"/>
          <w:szCs w:val="24"/>
        </w:rPr>
        <w:t>Причини за неуспех от монотерапията са</w:t>
      </w:r>
      <w:r w:rsidRPr="00AE47C6">
        <w:rPr>
          <w:rFonts w:ascii="Times New Roman" w:eastAsia="SimSun" w:hAnsi="Times New Roman"/>
          <w:sz w:val="24"/>
          <w:szCs w:val="24"/>
        </w:rPr>
        <w:t>:</w:t>
      </w:r>
    </w:p>
    <w:p w14:paraId="38AF2F12" w14:textId="77777777" w:rsidR="00BE0B19" w:rsidRPr="00AE47C6" w:rsidRDefault="00BE0B19" w:rsidP="00BE0B19">
      <w:pPr>
        <w:numPr>
          <w:ilvl w:val="0"/>
          <w:numId w:val="175"/>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Неправилна диагноза (мозъчни тумори, псевдоeпилептични пристъпи, синкоп, сърдечна аритмия и т.н.)</w:t>
      </w:r>
    </w:p>
    <w:p w14:paraId="33AD9749" w14:textId="77777777" w:rsidR="00BE0B19" w:rsidRPr="00AE47C6" w:rsidRDefault="00BE0B19" w:rsidP="00BE0B19">
      <w:pPr>
        <w:numPr>
          <w:ilvl w:val="0"/>
          <w:numId w:val="175"/>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Неправилен избор на АЕЛ (неподходящ за вида пристъпи, лекарствени взаимодействия)</w:t>
      </w:r>
    </w:p>
    <w:p w14:paraId="2591ABE1" w14:textId="77777777" w:rsidR="00BE0B19" w:rsidRPr="00AE47C6" w:rsidRDefault="00BE0B19" w:rsidP="00BE0B19">
      <w:pPr>
        <w:numPr>
          <w:ilvl w:val="0"/>
          <w:numId w:val="175"/>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Неподходяща доза, странични реакции</w:t>
      </w:r>
    </w:p>
    <w:p w14:paraId="607BA0D7" w14:textId="77777777" w:rsidR="00BE0B19" w:rsidRPr="00AE47C6" w:rsidRDefault="00BE0B19" w:rsidP="00BE0B19">
      <w:pPr>
        <w:numPr>
          <w:ilvl w:val="0"/>
          <w:numId w:val="175"/>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Неправилен начин на живот (алкохолизъм, лекарствена зависимост и т.н.)</w:t>
      </w:r>
    </w:p>
    <w:p w14:paraId="01D64A9A" w14:textId="77777777" w:rsidR="00BE0B19" w:rsidRPr="00AE47C6" w:rsidRDefault="00BE0B19" w:rsidP="00BE0B19">
      <w:pPr>
        <w:widowControl w:val="0"/>
        <w:spacing w:after="0" w:line="360" w:lineRule="auto"/>
        <w:jc w:val="both"/>
        <w:rPr>
          <w:rFonts w:ascii="Times New Roman" w:eastAsia="MS Mincho" w:hAnsi="Times New Roman"/>
          <w:sz w:val="24"/>
          <w:szCs w:val="24"/>
        </w:rPr>
      </w:pPr>
    </w:p>
    <w:p w14:paraId="14F8980A" w14:textId="77777777" w:rsidR="00BE0B19" w:rsidRPr="00AE47C6" w:rsidRDefault="00BE0B19" w:rsidP="00BE0B19">
      <w:pPr>
        <w:tabs>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b/>
          <w:bCs/>
          <w:sz w:val="24"/>
          <w:szCs w:val="24"/>
        </w:rPr>
      </w:pPr>
      <w:r w:rsidRPr="00AE47C6">
        <w:rPr>
          <w:rFonts w:ascii="Times New Roman" w:eastAsia="SimSun" w:hAnsi="Times New Roman"/>
          <w:b/>
          <w:bCs/>
          <w:sz w:val="24"/>
          <w:szCs w:val="24"/>
        </w:rPr>
        <w:t xml:space="preserve">Таблица 11.10. Антигърчови лекарства за лечение на епилепсиите (синдромите) и епилептичните пристъпи </w:t>
      </w:r>
    </w:p>
    <w:tbl>
      <w:tblPr>
        <w:tblW w:w="10019" w:type="dxa"/>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60"/>
        <w:gridCol w:w="2160"/>
        <w:gridCol w:w="4799"/>
      </w:tblGrid>
      <w:tr w:rsidR="00BE0B19" w:rsidRPr="00AE47C6" w14:paraId="4F3E89D0" w14:textId="77777777" w:rsidTr="00AD72E5">
        <w:tc>
          <w:tcPr>
            <w:tcW w:w="3060" w:type="dxa"/>
          </w:tcPr>
          <w:p w14:paraId="1FED83EA" w14:textId="77777777" w:rsidR="00BE0B19" w:rsidRPr="00AE47C6" w:rsidRDefault="00BE0B19" w:rsidP="00BE0B19">
            <w:pPr>
              <w:numPr>
                <w:ilvl w:val="12"/>
                <w:numId w:val="0"/>
              </w:numPr>
              <w:tabs>
                <w:tab w:val="left" w:pos="720"/>
              </w:tabs>
              <w:spacing w:line="360" w:lineRule="auto"/>
              <w:rPr>
                <w:rFonts w:ascii="Times New Roman" w:eastAsia="SimSun" w:hAnsi="Times New Roman"/>
                <w:b/>
                <w:bCs/>
                <w:caps/>
                <w:sz w:val="24"/>
                <w:szCs w:val="24"/>
              </w:rPr>
            </w:pPr>
            <w:r w:rsidRPr="00AE47C6">
              <w:rPr>
                <w:rFonts w:ascii="Times New Roman" w:eastAsia="SimSun" w:hAnsi="Times New Roman"/>
                <w:b/>
                <w:bCs/>
                <w:sz w:val="24"/>
                <w:szCs w:val="24"/>
              </w:rPr>
              <w:t>Вид епилепсия (синдром) епилептични пристъпи</w:t>
            </w:r>
          </w:p>
        </w:tc>
        <w:tc>
          <w:tcPr>
            <w:tcW w:w="2160" w:type="dxa"/>
          </w:tcPr>
          <w:p w14:paraId="75EA6F09"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І избор</w:t>
            </w:r>
          </w:p>
          <w:p w14:paraId="3DB2B3F7" w14:textId="77777777" w:rsidR="00BE0B19" w:rsidRPr="00AE47C6" w:rsidRDefault="00BE0B19" w:rsidP="00BE0B19">
            <w:pPr>
              <w:spacing w:before="240" w:after="240" w:line="360" w:lineRule="auto"/>
              <w:jc w:val="both"/>
              <w:outlineLvl w:val="4"/>
              <w:rPr>
                <w:rFonts w:ascii="Times New Roman" w:eastAsia="SimSun" w:hAnsi="Times New Roman"/>
                <w:b/>
                <w:bCs/>
                <w:iCs/>
                <w:sz w:val="24"/>
                <w:szCs w:val="24"/>
              </w:rPr>
            </w:pPr>
            <w:r w:rsidRPr="00AE47C6">
              <w:rPr>
                <w:rFonts w:ascii="Times New Roman" w:eastAsia="SimSun" w:hAnsi="Times New Roman"/>
                <w:b/>
                <w:bCs/>
                <w:iCs/>
                <w:sz w:val="24"/>
                <w:szCs w:val="24"/>
              </w:rPr>
              <w:t>Монотерапия</w:t>
            </w:r>
          </w:p>
        </w:tc>
        <w:tc>
          <w:tcPr>
            <w:tcW w:w="4799" w:type="dxa"/>
          </w:tcPr>
          <w:p w14:paraId="0BAEE2C6"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Алтернативна монотерапия или политерапия</w:t>
            </w:r>
          </w:p>
        </w:tc>
      </w:tr>
      <w:tr w:rsidR="00BE0B19" w:rsidRPr="00AE47C6" w14:paraId="20583D96" w14:textId="77777777" w:rsidTr="00AD72E5">
        <w:tc>
          <w:tcPr>
            <w:tcW w:w="10019" w:type="dxa"/>
            <w:gridSpan w:val="3"/>
          </w:tcPr>
          <w:p w14:paraId="2D39E022" w14:textId="77777777" w:rsidR="00BE0B19" w:rsidRPr="00AE47C6" w:rsidRDefault="00BE0B19" w:rsidP="00BE0B19">
            <w:pPr>
              <w:numPr>
                <w:ilvl w:val="12"/>
                <w:numId w:val="0"/>
              </w:numPr>
              <w:tabs>
                <w:tab w:val="left" w:pos="720"/>
              </w:tabs>
              <w:spacing w:line="360" w:lineRule="auto"/>
              <w:jc w:val="center"/>
              <w:rPr>
                <w:rFonts w:ascii="Times New Roman" w:eastAsia="SimSun" w:hAnsi="Times New Roman"/>
                <w:b/>
                <w:bCs/>
                <w:sz w:val="24"/>
                <w:szCs w:val="24"/>
              </w:rPr>
            </w:pPr>
            <w:r w:rsidRPr="00AE47C6">
              <w:rPr>
                <w:rFonts w:ascii="Times New Roman" w:eastAsia="SimSun" w:hAnsi="Times New Roman"/>
                <w:b/>
                <w:bCs/>
                <w:sz w:val="24"/>
                <w:szCs w:val="24"/>
              </w:rPr>
              <w:t>Първично-генерализирани (идиопатични/генетични</w:t>
            </w:r>
            <w:r w:rsidRPr="00AE47C6">
              <w:rPr>
                <w:rFonts w:ascii="Times New Roman" w:eastAsia="SimSun" w:hAnsi="Times New Roman"/>
                <w:sz w:val="24"/>
                <w:szCs w:val="24"/>
              </w:rPr>
              <w:t xml:space="preserve">) </w:t>
            </w:r>
            <w:r w:rsidRPr="00AE47C6">
              <w:rPr>
                <w:rFonts w:ascii="Times New Roman" w:eastAsia="SimSun" w:hAnsi="Times New Roman"/>
                <w:b/>
                <w:bCs/>
                <w:sz w:val="24"/>
                <w:szCs w:val="24"/>
              </w:rPr>
              <w:t>епилепсии/ генерализирани припадъци</w:t>
            </w:r>
          </w:p>
        </w:tc>
      </w:tr>
      <w:tr w:rsidR="00BE0B19" w:rsidRPr="00AE47C6" w14:paraId="695F84F8" w14:textId="77777777" w:rsidTr="00AD72E5">
        <w:tc>
          <w:tcPr>
            <w:tcW w:w="3060" w:type="dxa"/>
          </w:tcPr>
          <w:p w14:paraId="743F7709" w14:textId="77777777" w:rsidR="00BE0B19" w:rsidRPr="00AE47C6" w:rsidRDefault="00BE0B19" w:rsidP="00BE0B19">
            <w:pPr>
              <w:numPr>
                <w:ilvl w:val="12"/>
                <w:numId w:val="0"/>
              </w:numPr>
              <w:tabs>
                <w:tab w:val="left" w:pos="720"/>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Тонично-клонични припадъци</w:t>
            </w:r>
          </w:p>
        </w:tc>
        <w:tc>
          <w:tcPr>
            <w:tcW w:w="2160" w:type="dxa"/>
          </w:tcPr>
          <w:p w14:paraId="41C6826A"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CBZ,PHT,VPA</w:t>
            </w:r>
          </w:p>
        </w:tc>
        <w:tc>
          <w:tcPr>
            <w:tcW w:w="4799" w:type="dxa"/>
          </w:tcPr>
          <w:p w14:paraId="7785F6F1"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CZР, LTG, LEV, OXC, PB, TGB, TPM, ZNS**, Clobazam**</w:t>
            </w:r>
          </w:p>
        </w:tc>
      </w:tr>
      <w:tr w:rsidR="00BE0B19" w:rsidRPr="00AE47C6" w14:paraId="3893190F" w14:textId="77777777" w:rsidTr="00AD72E5">
        <w:tc>
          <w:tcPr>
            <w:tcW w:w="3060" w:type="dxa"/>
          </w:tcPr>
          <w:p w14:paraId="107CFD08"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Атонични пристъпи</w:t>
            </w:r>
          </w:p>
        </w:tc>
        <w:tc>
          <w:tcPr>
            <w:tcW w:w="2160" w:type="dxa"/>
          </w:tcPr>
          <w:p w14:paraId="2603D4B4"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VPA</w:t>
            </w:r>
          </w:p>
        </w:tc>
        <w:tc>
          <w:tcPr>
            <w:tcW w:w="4799" w:type="dxa"/>
          </w:tcPr>
          <w:p w14:paraId="7C03CB17"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LTG, CZP</w:t>
            </w:r>
          </w:p>
        </w:tc>
      </w:tr>
      <w:tr w:rsidR="00BE0B19" w:rsidRPr="00AE47C6" w14:paraId="7362F385" w14:textId="77777777" w:rsidTr="00AD72E5">
        <w:tc>
          <w:tcPr>
            <w:tcW w:w="3060" w:type="dxa"/>
          </w:tcPr>
          <w:p w14:paraId="7E3516E8"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Абсанси</w:t>
            </w:r>
          </w:p>
        </w:tc>
        <w:tc>
          <w:tcPr>
            <w:tcW w:w="2160" w:type="dxa"/>
          </w:tcPr>
          <w:p w14:paraId="55BCC6E7"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VPA, ESM</w:t>
            </w:r>
          </w:p>
        </w:tc>
        <w:tc>
          <w:tcPr>
            <w:tcW w:w="4799" w:type="dxa"/>
          </w:tcPr>
          <w:p w14:paraId="4627793D"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CZP, LTG, TPM</w:t>
            </w:r>
          </w:p>
        </w:tc>
      </w:tr>
      <w:tr w:rsidR="00BE0B19" w:rsidRPr="00AE47C6" w14:paraId="0283108E" w14:textId="77777777" w:rsidTr="00AD72E5">
        <w:tc>
          <w:tcPr>
            <w:tcW w:w="3060" w:type="dxa"/>
          </w:tcPr>
          <w:p w14:paraId="362537C4" w14:textId="77777777" w:rsidR="00BE0B19" w:rsidRPr="00AE47C6" w:rsidRDefault="00BE0B19" w:rsidP="00BE0B19">
            <w:pPr>
              <w:numPr>
                <w:ilvl w:val="12"/>
                <w:numId w:val="0"/>
              </w:numPr>
              <w:tabs>
                <w:tab w:val="left" w:pos="720"/>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миоклонични пристъпи</w:t>
            </w:r>
          </w:p>
        </w:tc>
        <w:tc>
          <w:tcPr>
            <w:tcW w:w="2160" w:type="dxa"/>
          </w:tcPr>
          <w:p w14:paraId="4CD93D2F"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VPA</w:t>
            </w:r>
          </w:p>
        </w:tc>
        <w:tc>
          <w:tcPr>
            <w:tcW w:w="4799" w:type="dxa"/>
          </w:tcPr>
          <w:p w14:paraId="450D0BE4"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CZP, ЕSM, LTG, LEV, TPM, ZNZ**, Clobazam**</w:t>
            </w:r>
          </w:p>
          <w:p w14:paraId="208DFF2C"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Кортикостероиди </w:t>
            </w:r>
          </w:p>
        </w:tc>
      </w:tr>
      <w:tr w:rsidR="00BE0B19" w:rsidRPr="00AE47C6" w14:paraId="403E9818" w14:textId="77777777" w:rsidTr="00AD72E5">
        <w:trPr>
          <w:trHeight w:val="862"/>
        </w:trPr>
        <w:tc>
          <w:tcPr>
            <w:tcW w:w="3060" w:type="dxa"/>
          </w:tcPr>
          <w:p w14:paraId="791EDBB1"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Ювенилна миоклонична епилепсия</w:t>
            </w:r>
          </w:p>
        </w:tc>
        <w:tc>
          <w:tcPr>
            <w:tcW w:w="2160" w:type="dxa"/>
          </w:tcPr>
          <w:p w14:paraId="2FDF19C7"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VPA</w:t>
            </w:r>
          </w:p>
        </w:tc>
        <w:tc>
          <w:tcPr>
            <w:tcW w:w="4799" w:type="dxa"/>
          </w:tcPr>
          <w:p w14:paraId="1CECB73E"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CZP, ЕSM, LTG, LEV, TPM, ZNZ**, Clobazam** </w:t>
            </w:r>
          </w:p>
        </w:tc>
      </w:tr>
      <w:tr w:rsidR="00BE0B19" w:rsidRPr="00AE47C6" w14:paraId="715C367F" w14:textId="77777777" w:rsidTr="00AD72E5">
        <w:tc>
          <w:tcPr>
            <w:tcW w:w="10019" w:type="dxa"/>
            <w:gridSpan w:val="3"/>
          </w:tcPr>
          <w:p w14:paraId="3C5DB101" w14:textId="77777777" w:rsidR="00BE0B19" w:rsidRPr="00AE47C6" w:rsidRDefault="00BE0B19" w:rsidP="00BE0B19">
            <w:pPr>
              <w:numPr>
                <w:ilvl w:val="12"/>
                <w:numId w:val="0"/>
              </w:numPr>
              <w:tabs>
                <w:tab w:val="left" w:pos="720"/>
              </w:tabs>
              <w:spacing w:line="360" w:lineRule="auto"/>
              <w:jc w:val="center"/>
              <w:rPr>
                <w:rFonts w:ascii="Times New Roman" w:eastAsia="SimSun" w:hAnsi="Times New Roman"/>
                <w:b/>
                <w:bCs/>
                <w:caps/>
                <w:sz w:val="24"/>
                <w:szCs w:val="24"/>
              </w:rPr>
            </w:pPr>
            <w:r w:rsidRPr="00AE47C6">
              <w:rPr>
                <w:rFonts w:ascii="Times New Roman" w:eastAsia="SimSun" w:hAnsi="Times New Roman"/>
                <w:b/>
                <w:bCs/>
                <w:sz w:val="24"/>
                <w:szCs w:val="24"/>
              </w:rPr>
              <w:t>Фокални  епилепсии / фокални епилептични пристъпи</w:t>
            </w:r>
          </w:p>
        </w:tc>
      </w:tr>
      <w:tr w:rsidR="00BE0B19" w:rsidRPr="00AE47C6" w14:paraId="0629A31C" w14:textId="77777777" w:rsidTr="00AD72E5">
        <w:trPr>
          <w:trHeight w:val="887"/>
        </w:trPr>
        <w:tc>
          <w:tcPr>
            <w:tcW w:w="3060" w:type="dxa"/>
          </w:tcPr>
          <w:p w14:paraId="79A39CBF"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Фокални пристъпи</w:t>
            </w:r>
          </w:p>
        </w:tc>
        <w:tc>
          <w:tcPr>
            <w:tcW w:w="2160" w:type="dxa"/>
          </w:tcPr>
          <w:p w14:paraId="14C139E9"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CBZ, VPA</w:t>
            </w:r>
          </w:p>
        </w:tc>
        <w:tc>
          <w:tcPr>
            <w:tcW w:w="4799" w:type="dxa"/>
          </w:tcPr>
          <w:p w14:paraId="53D7501F"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CZP, Cenobamate**, Clobazam**, GBP, LCM, LTG, LEV, OxCBZ, PB, PHT, PGB,  TGB, TPM, BRV, ESL, ZNS**</w:t>
            </w:r>
          </w:p>
        </w:tc>
      </w:tr>
      <w:tr w:rsidR="00BE0B19" w:rsidRPr="00AE47C6" w14:paraId="2AD63873" w14:textId="77777777" w:rsidTr="00AD72E5">
        <w:tc>
          <w:tcPr>
            <w:tcW w:w="3060" w:type="dxa"/>
          </w:tcPr>
          <w:p w14:paraId="06632797"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Фокални пристъпи с еволюция към двустранни тонично-клонични (вторично –генерализирани пристъпи)</w:t>
            </w:r>
          </w:p>
        </w:tc>
        <w:tc>
          <w:tcPr>
            <w:tcW w:w="2160" w:type="dxa"/>
          </w:tcPr>
          <w:p w14:paraId="24F28B19"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CBZ, PHT, VPA</w:t>
            </w:r>
          </w:p>
        </w:tc>
        <w:tc>
          <w:tcPr>
            <w:tcW w:w="4799" w:type="dxa"/>
          </w:tcPr>
          <w:p w14:paraId="07CEFD40"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CZP, Cenobamate**, Clobazam**, GBP, LCM, LTG, LEV, OxCBZ, PB, PHT, PGB,  TGB, TPM, BRV, ESL, ZNS**</w:t>
            </w:r>
          </w:p>
        </w:tc>
      </w:tr>
      <w:tr w:rsidR="00BE0B19" w:rsidRPr="00AE47C6" w14:paraId="2DD95FDF" w14:textId="77777777" w:rsidTr="00AD72E5">
        <w:tc>
          <w:tcPr>
            <w:tcW w:w="3060" w:type="dxa"/>
          </w:tcPr>
          <w:p w14:paraId="77405017"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Идиопатични фокални (Роландова и окципитални)</w:t>
            </w:r>
          </w:p>
        </w:tc>
        <w:tc>
          <w:tcPr>
            <w:tcW w:w="2160" w:type="dxa"/>
          </w:tcPr>
          <w:p w14:paraId="794D8B06"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CBZ, VPA, OxCBZ</w:t>
            </w:r>
          </w:p>
        </w:tc>
        <w:tc>
          <w:tcPr>
            <w:tcW w:w="4799" w:type="dxa"/>
          </w:tcPr>
          <w:p w14:paraId="2EDB4B02"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CZP, GBP, LTG, LEV, Clobazam**, ZNS**</w:t>
            </w:r>
          </w:p>
        </w:tc>
      </w:tr>
      <w:tr w:rsidR="00BE0B19" w:rsidRPr="00AE47C6" w14:paraId="34C8E908" w14:textId="77777777" w:rsidTr="00AD72E5">
        <w:tc>
          <w:tcPr>
            <w:tcW w:w="10019" w:type="dxa"/>
            <w:gridSpan w:val="3"/>
          </w:tcPr>
          <w:p w14:paraId="073FC72E"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Епилептични енцефалопатии/ енцефалопатии на развитието</w:t>
            </w:r>
          </w:p>
        </w:tc>
      </w:tr>
      <w:tr w:rsidR="00BE0B19" w:rsidRPr="00AE47C6" w14:paraId="0EBFB7AC" w14:textId="77777777" w:rsidTr="00AD72E5">
        <w:tc>
          <w:tcPr>
            <w:tcW w:w="3060" w:type="dxa"/>
          </w:tcPr>
          <w:p w14:paraId="1AA0B006"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Синдром с инфантилни спазми (синдром на West)</w:t>
            </w:r>
          </w:p>
        </w:tc>
        <w:tc>
          <w:tcPr>
            <w:tcW w:w="2160" w:type="dxa"/>
          </w:tcPr>
          <w:p w14:paraId="218DA109"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ACTH, VPA</w:t>
            </w:r>
          </w:p>
        </w:tc>
        <w:tc>
          <w:tcPr>
            <w:tcW w:w="4799" w:type="dxa"/>
          </w:tcPr>
          <w:p w14:paraId="51679B5A"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CZP, LTG, TPM, VGB**, ZNS**</w:t>
            </w:r>
          </w:p>
        </w:tc>
      </w:tr>
      <w:tr w:rsidR="00BE0B19" w:rsidRPr="00AE47C6" w14:paraId="6D687A15" w14:textId="77777777" w:rsidTr="00AD72E5">
        <w:tc>
          <w:tcPr>
            <w:tcW w:w="3060" w:type="dxa"/>
          </w:tcPr>
          <w:p w14:paraId="6BF5EB24"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Синдром на </w:t>
            </w:r>
          </w:p>
          <w:p w14:paraId="544AC3FB"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Lennox-Gastaut</w:t>
            </w:r>
          </w:p>
        </w:tc>
        <w:tc>
          <w:tcPr>
            <w:tcW w:w="2160" w:type="dxa"/>
          </w:tcPr>
          <w:p w14:paraId="534D506B" w14:textId="77777777" w:rsidR="00BE0B19" w:rsidRPr="00AE47C6" w:rsidRDefault="00BE0B19" w:rsidP="00BE0B19">
            <w:pPr>
              <w:spacing w:before="240" w:after="60" w:line="360" w:lineRule="auto"/>
              <w:jc w:val="both"/>
              <w:outlineLvl w:val="5"/>
              <w:rPr>
                <w:rFonts w:ascii="Times New Roman" w:eastAsia="SimSun" w:hAnsi="Times New Roman"/>
                <w:b/>
                <w:bCs/>
                <w:sz w:val="24"/>
                <w:szCs w:val="24"/>
              </w:rPr>
            </w:pPr>
            <w:r w:rsidRPr="00AE47C6">
              <w:rPr>
                <w:rFonts w:ascii="Times New Roman" w:eastAsia="SimSun" w:hAnsi="Times New Roman"/>
                <w:b/>
                <w:bCs/>
                <w:sz w:val="24"/>
                <w:szCs w:val="24"/>
              </w:rPr>
              <w:t>LTG, TPM, VPA</w:t>
            </w:r>
          </w:p>
        </w:tc>
        <w:tc>
          <w:tcPr>
            <w:tcW w:w="4799" w:type="dxa"/>
          </w:tcPr>
          <w:p w14:paraId="581309B6"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CBZ, CZP, PB, PHT, Rufinamide*, Cannabidiol* с Clobazam**,  ZNS**,  Fenfluramine*</w:t>
            </w:r>
          </w:p>
        </w:tc>
      </w:tr>
      <w:tr w:rsidR="00BE0B19" w:rsidRPr="00AE47C6" w14:paraId="517A8BC6" w14:textId="77777777" w:rsidTr="00AD72E5">
        <w:tc>
          <w:tcPr>
            <w:tcW w:w="3060" w:type="dxa"/>
          </w:tcPr>
          <w:p w14:paraId="5C207834"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I Синдром на Dravet (SMEI)</w:t>
            </w:r>
          </w:p>
        </w:tc>
        <w:tc>
          <w:tcPr>
            <w:tcW w:w="2160" w:type="dxa"/>
          </w:tcPr>
          <w:p w14:paraId="64B05767" w14:textId="77777777" w:rsidR="00BE0B19" w:rsidRPr="00AE47C6" w:rsidRDefault="00BE0B19" w:rsidP="00BE0B19">
            <w:pPr>
              <w:spacing w:before="240" w:after="60" w:line="360" w:lineRule="auto"/>
              <w:jc w:val="both"/>
              <w:outlineLvl w:val="5"/>
              <w:rPr>
                <w:rFonts w:ascii="Times New Roman" w:eastAsia="SimSun" w:hAnsi="Times New Roman"/>
                <w:b/>
                <w:bCs/>
                <w:sz w:val="24"/>
                <w:szCs w:val="24"/>
              </w:rPr>
            </w:pPr>
            <w:r w:rsidRPr="00AE47C6">
              <w:rPr>
                <w:rFonts w:ascii="Times New Roman" w:eastAsia="SimSun" w:hAnsi="Times New Roman"/>
                <w:b/>
                <w:bCs/>
                <w:sz w:val="24"/>
                <w:szCs w:val="24"/>
              </w:rPr>
              <w:t>VPA,TPM</w:t>
            </w:r>
          </w:p>
        </w:tc>
        <w:tc>
          <w:tcPr>
            <w:tcW w:w="4799" w:type="dxa"/>
          </w:tcPr>
          <w:p w14:paraId="5C15F590"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LEV, Stiripentol*, Cannabidiol* с  Clobazam**,  Fenfluramine*</w:t>
            </w:r>
          </w:p>
        </w:tc>
      </w:tr>
      <w:tr w:rsidR="00BE0B19" w:rsidRPr="00AE47C6" w14:paraId="6C631DA4" w14:textId="77777777" w:rsidTr="00AD72E5">
        <w:tc>
          <w:tcPr>
            <w:tcW w:w="3060" w:type="dxa"/>
          </w:tcPr>
          <w:p w14:paraId="65510B6F"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Епилептична енцефалопатия с CSWS или електричен статус по време на бавновълнов сън (ESES)</w:t>
            </w:r>
          </w:p>
        </w:tc>
        <w:tc>
          <w:tcPr>
            <w:tcW w:w="2160" w:type="dxa"/>
          </w:tcPr>
          <w:p w14:paraId="71309FBA" w14:textId="77777777" w:rsidR="00BE0B19" w:rsidRPr="00AE47C6" w:rsidRDefault="00BE0B19" w:rsidP="00BE0B19">
            <w:pPr>
              <w:spacing w:before="240" w:after="60" w:line="360" w:lineRule="auto"/>
              <w:jc w:val="both"/>
              <w:outlineLvl w:val="5"/>
              <w:rPr>
                <w:rFonts w:ascii="Times New Roman" w:eastAsia="SimSun" w:hAnsi="Times New Roman"/>
                <w:b/>
                <w:bCs/>
                <w:sz w:val="24"/>
                <w:szCs w:val="24"/>
              </w:rPr>
            </w:pPr>
            <w:r w:rsidRPr="00AE47C6">
              <w:rPr>
                <w:rFonts w:ascii="Times New Roman" w:eastAsia="SimSun" w:hAnsi="Times New Roman"/>
                <w:b/>
                <w:bCs/>
                <w:sz w:val="24"/>
                <w:szCs w:val="24"/>
              </w:rPr>
              <w:t>VPA, ESM</w:t>
            </w:r>
          </w:p>
        </w:tc>
        <w:tc>
          <w:tcPr>
            <w:tcW w:w="4799" w:type="dxa"/>
          </w:tcPr>
          <w:p w14:paraId="716C8CD1"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LEV, бензодиазепини, Clobazam**, кортикостероиди</w:t>
            </w:r>
          </w:p>
        </w:tc>
      </w:tr>
    </w:tbl>
    <w:p w14:paraId="31751630" w14:textId="77777777" w:rsidR="00BE0B19" w:rsidRPr="00AE47C6" w:rsidRDefault="00BE0B19" w:rsidP="00BE0B19">
      <w:pPr>
        <w:pBdr>
          <w:bottom w:val="single" w:sz="12" w:space="1" w:color="auto"/>
        </w:pBdr>
        <w:tabs>
          <w:tab w:val="center" w:pos="4153"/>
          <w:tab w:val="right" w:pos="8306"/>
        </w:tabs>
        <w:overflowPunct w:val="0"/>
        <w:autoSpaceDE w:val="0"/>
        <w:autoSpaceDN w:val="0"/>
        <w:adjustRightInd w:val="0"/>
        <w:spacing w:after="0" w:line="360" w:lineRule="auto"/>
        <w:ind w:left="360"/>
        <w:jc w:val="both"/>
        <w:textAlignment w:val="baseline"/>
        <w:rPr>
          <w:rFonts w:ascii="Times New Roman" w:eastAsia="SimSun" w:hAnsi="Times New Roman"/>
          <w:b/>
          <w:bCs/>
          <w:sz w:val="24"/>
          <w:szCs w:val="24"/>
        </w:rPr>
      </w:pPr>
      <w:r w:rsidRPr="00AE47C6">
        <w:rPr>
          <w:rFonts w:ascii="Times New Roman" w:eastAsia="SimSun" w:hAnsi="Times New Roman"/>
          <w:b/>
          <w:bCs/>
          <w:sz w:val="24"/>
          <w:szCs w:val="24"/>
        </w:rPr>
        <w:t xml:space="preserve">- </w:t>
      </w:r>
      <w:r w:rsidRPr="00AE47C6">
        <w:rPr>
          <w:rFonts w:ascii="Times New Roman" w:eastAsia="SimSun" w:hAnsi="Times New Roman"/>
          <w:b/>
          <w:sz w:val="24"/>
          <w:szCs w:val="24"/>
        </w:rPr>
        <w:t>АГЛ</w:t>
      </w:r>
      <w:r w:rsidRPr="00AE47C6">
        <w:rPr>
          <w:rFonts w:ascii="Times New Roman" w:eastAsia="SimSun" w:hAnsi="Times New Roman"/>
          <w:b/>
          <w:bCs/>
          <w:sz w:val="24"/>
          <w:szCs w:val="24"/>
        </w:rPr>
        <w:t xml:space="preserve">, разрешени за монотерапия и допълваща терапия: CBZ, CZP, ESM, GBP </w:t>
      </w:r>
      <w:r w:rsidRPr="00AE47C6">
        <w:rPr>
          <w:rFonts w:ascii="Times New Roman" w:eastAsia="SimSun" w:hAnsi="Times New Roman"/>
          <w:sz w:val="24"/>
          <w:szCs w:val="24"/>
        </w:rPr>
        <w:t xml:space="preserve">(над 12 г. монотерапия, над  6 г. допълваща терапия), ESL (над 18 г. монотерапия, над 6 г. допълваща терапия),  </w:t>
      </w:r>
      <w:r w:rsidRPr="00AE47C6">
        <w:rPr>
          <w:rFonts w:ascii="Times New Roman" w:eastAsia="SimSun" w:hAnsi="Times New Roman"/>
          <w:b/>
          <w:bCs/>
          <w:sz w:val="24"/>
          <w:szCs w:val="24"/>
        </w:rPr>
        <w:t>LTG</w:t>
      </w:r>
      <w:r w:rsidRPr="00AE47C6">
        <w:rPr>
          <w:rFonts w:ascii="Times New Roman" w:eastAsia="SimSun" w:hAnsi="Times New Roman"/>
          <w:sz w:val="24"/>
          <w:szCs w:val="24"/>
        </w:rPr>
        <w:t xml:space="preserve"> (над 2 г.),</w:t>
      </w:r>
      <w:r w:rsidRPr="00AE47C6">
        <w:rPr>
          <w:rFonts w:ascii="Times New Roman" w:eastAsia="SimSun" w:hAnsi="Times New Roman"/>
          <w:b/>
          <w:bCs/>
          <w:sz w:val="24"/>
          <w:szCs w:val="24"/>
        </w:rPr>
        <w:t xml:space="preserve"> LEV (</w:t>
      </w:r>
      <w:r w:rsidRPr="00AE47C6">
        <w:rPr>
          <w:rFonts w:ascii="Times New Roman" w:eastAsia="SimSun" w:hAnsi="Times New Roman"/>
          <w:sz w:val="24"/>
          <w:szCs w:val="24"/>
        </w:rPr>
        <w:t>над 16 г. - монотерапия, над 1 месец- политерапия)</w:t>
      </w:r>
      <w:r w:rsidRPr="00AE47C6">
        <w:rPr>
          <w:rFonts w:ascii="Times New Roman" w:eastAsia="SimSun" w:hAnsi="Times New Roman"/>
          <w:b/>
          <w:bCs/>
          <w:sz w:val="24"/>
          <w:szCs w:val="24"/>
        </w:rPr>
        <w:t xml:space="preserve">, LCM </w:t>
      </w:r>
      <w:r w:rsidRPr="00AE47C6">
        <w:rPr>
          <w:rFonts w:ascii="Times New Roman" w:eastAsia="SimSun" w:hAnsi="Times New Roman"/>
          <w:bCs/>
          <w:sz w:val="24"/>
          <w:szCs w:val="24"/>
        </w:rPr>
        <w:t>(над 4 г.),</w:t>
      </w:r>
      <w:r w:rsidRPr="00AE47C6">
        <w:rPr>
          <w:rFonts w:ascii="Times New Roman" w:eastAsia="SimSun" w:hAnsi="Times New Roman"/>
          <w:b/>
          <w:bCs/>
          <w:sz w:val="24"/>
          <w:szCs w:val="24"/>
        </w:rPr>
        <w:t xml:space="preserve"> OxCBZ, PHT, PB, TPM </w:t>
      </w:r>
      <w:r w:rsidRPr="00AE47C6">
        <w:rPr>
          <w:rFonts w:ascii="Times New Roman" w:eastAsia="SimSun" w:hAnsi="Times New Roman"/>
          <w:sz w:val="24"/>
          <w:szCs w:val="24"/>
        </w:rPr>
        <w:t xml:space="preserve"> (над 2 г.),</w:t>
      </w:r>
      <w:r w:rsidRPr="00AE47C6">
        <w:rPr>
          <w:rFonts w:ascii="Times New Roman" w:eastAsia="SimSun" w:hAnsi="Times New Roman"/>
          <w:b/>
          <w:bCs/>
          <w:sz w:val="24"/>
          <w:szCs w:val="24"/>
        </w:rPr>
        <w:t xml:space="preserve"> VPA. </w:t>
      </w:r>
    </w:p>
    <w:p w14:paraId="73E101C8" w14:textId="77777777" w:rsidR="00BE0B19" w:rsidRPr="00AE47C6" w:rsidRDefault="00BE0B19" w:rsidP="00BE0B19">
      <w:pPr>
        <w:pBdr>
          <w:bottom w:val="single" w:sz="12" w:space="1" w:color="auto"/>
        </w:pBdr>
        <w:tabs>
          <w:tab w:val="center" w:pos="4153"/>
          <w:tab w:val="right" w:pos="8306"/>
        </w:tabs>
        <w:overflowPunct w:val="0"/>
        <w:autoSpaceDE w:val="0"/>
        <w:autoSpaceDN w:val="0"/>
        <w:adjustRightInd w:val="0"/>
        <w:spacing w:after="0" w:line="360" w:lineRule="auto"/>
        <w:ind w:left="360"/>
        <w:jc w:val="both"/>
        <w:textAlignment w:val="baseline"/>
        <w:rPr>
          <w:rFonts w:ascii="Times New Roman" w:eastAsia="SimSun" w:hAnsi="Times New Roman"/>
          <w:sz w:val="24"/>
          <w:szCs w:val="24"/>
        </w:rPr>
      </w:pPr>
      <w:r w:rsidRPr="00AE47C6">
        <w:rPr>
          <w:rFonts w:ascii="Times New Roman" w:eastAsia="SimSun" w:hAnsi="Times New Roman"/>
          <w:b/>
          <w:bCs/>
          <w:sz w:val="24"/>
          <w:szCs w:val="24"/>
        </w:rPr>
        <w:t xml:space="preserve">- </w:t>
      </w:r>
      <w:r w:rsidRPr="00AE47C6">
        <w:rPr>
          <w:rFonts w:ascii="Times New Roman" w:eastAsia="SimSun" w:hAnsi="Times New Roman"/>
          <w:b/>
          <w:sz w:val="24"/>
          <w:szCs w:val="24"/>
        </w:rPr>
        <w:t>АГЛ</w:t>
      </w:r>
      <w:r w:rsidRPr="00AE47C6">
        <w:rPr>
          <w:rFonts w:ascii="Times New Roman" w:eastAsia="SimSun" w:hAnsi="Times New Roman"/>
          <w:b/>
          <w:bCs/>
          <w:sz w:val="24"/>
          <w:szCs w:val="24"/>
        </w:rPr>
        <w:t xml:space="preserve"> разрешени само за допълваща терапия: PGB </w:t>
      </w:r>
      <w:r w:rsidRPr="00AE47C6">
        <w:rPr>
          <w:rFonts w:ascii="Times New Roman" w:eastAsia="SimSun" w:hAnsi="Times New Roman"/>
          <w:sz w:val="24"/>
          <w:szCs w:val="24"/>
        </w:rPr>
        <w:t>(над 18 г.);</w:t>
      </w:r>
      <w:r w:rsidRPr="00AE47C6">
        <w:rPr>
          <w:rFonts w:ascii="Times New Roman" w:eastAsia="SimSun" w:hAnsi="Times New Roman"/>
          <w:b/>
          <w:bCs/>
          <w:sz w:val="24"/>
          <w:szCs w:val="24"/>
        </w:rPr>
        <w:t xml:space="preserve"> TGB</w:t>
      </w:r>
      <w:r w:rsidRPr="00AE47C6">
        <w:rPr>
          <w:rFonts w:ascii="Times New Roman" w:eastAsia="SimSun" w:hAnsi="Times New Roman"/>
          <w:sz w:val="24"/>
          <w:szCs w:val="24"/>
        </w:rPr>
        <w:t xml:space="preserve"> (над 12 г.), когато други подходящи лекарствени комбинации са се оказали незадоволителни или не са поносими , </w:t>
      </w:r>
      <w:r w:rsidRPr="00AE47C6">
        <w:rPr>
          <w:rFonts w:ascii="Times New Roman" w:eastAsia="SimSun" w:hAnsi="Times New Roman"/>
          <w:b/>
          <w:sz w:val="24"/>
          <w:szCs w:val="24"/>
        </w:rPr>
        <w:t>BRV</w:t>
      </w:r>
      <w:r w:rsidRPr="00AE47C6">
        <w:rPr>
          <w:rFonts w:ascii="Times New Roman" w:eastAsia="SimSun" w:hAnsi="Times New Roman"/>
          <w:sz w:val="24"/>
          <w:szCs w:val="24"/>
        </w:rPr>
        <w:t xml:space="preserve"> (над 2 г.).</w:t>
      </w:r>
    </w:p>
    <w:p w14:paraId="1A0E4766" w14:textId="77777777" w:rsidR="00BE0B19" w:rsidRPr="00AE47C6" w:rsidRDefault="00BE0B19" w:rsidP="00BE0B19">
      <w:pPr>
        <w:pBdr>
          <w:bottom w:val="single" w:sz="12" w:space="1" w:color="auto"/>
        </w:pBdr>
        <w:tabs>
          <w:tab w:val="center" w:pos="4153"/>
          <w:tab w:val="right" w:pos="8306"/>
        </w:tabs>
        <w:overflowPunct w:val="0"/>
        <w:autoSpaceDE w:val="0"/>
        <w:autoSpaceDN w:val="0"/>
        <w:adjustRightInd w:val="0"/>
        <w:spacing w:after="0" w:line="360" w:lineRule="auto"/>
        <w:ind w:left="360"/>
        <w:jc w:val="both"/>
        <w:textAlignment w:val="baseline"/>
        <w:rPr>
          <w:rFonts w:ascii="Times New Roman" w:eastAsia="SimSun" w:hAnsi="Times New Roman"/>
          <w:b/>
          <w:bCs/>
          <w:sz w:val="24"/>
          <w:szCs w:val="24"/>
        </w:rPr>
      </w:pPr>
      <w:r w:rsidRPr="00AE47C6">
        <w:rPr>
          <w:rFonts w:ascii="Times New Roman" w:eastAsia="SimSun" w:hAnsi="Times New Roman"/>
          <w:b/>
          <w:bCs/>
          <w:sz w:val="24"/>
          <w:szCs w:val="24"/>
        </w:rPr>
        <w:t xml:space="preserve">- Класически </w:t>
      </w:r>
      <w:r w:rsidRPr="00AE47C6">
        <w:rPr>
          <w:rFonts w:ascii="Times New Roman" w:eastAsia="SimSun" w:hAnsi="Times New Roman"/>
          <w:b/>
          <w:sz w:val="24"/>
          <w:szCs w:val="24"/>
        </w:rPr>
        <w:t>АГЛ</w:t>
      </w:r>
      <w:r w:rsidRPr="00AE47C6">
        <w:rPr>
          <w:rFonts w:ascii="Times New Roman" w:eastAsia="SimSun" w:hAnsi="Times New Roman"/>
          <w:b/>
          <w:bCs/>
          <w:sz w:val="24"/>
          <w:szCs w:val="24"/>
        </w:rPr>
        <w:t xml:space="preserve">: CBZ - </w:t>
      </w:r>
      <w:r w:rsidRPr="00AE47C6">
        <w:rPr>
          <w:rFonts w:ascii="Times New Roman" w:eastAsia="SimSun" w:hAnsi="Times New Roman"/>
          <w:sz w:val="24"/>
          <w:szCs w:val="24"/>
        </w:rPr>
        <w:t>carbamazepine</w:t>
      </w:r>
      <w:r w:rsidRPr="00AE47C6">
        <w:rPr>
          <w:rFonts w:ascii="Times New Roman" w:eastAsia="SimSun" w:hAnsi="Times New Roman"/>
          <w:b/>
          <w:bCs/>
          <w:sz w:val="24"/>
          <w:szCs w:val="24"/>
        </w:rPr>
        <w:t>; CZP-</w:t>
      </w:r>
      <w:r w:rsidRPr="00AE47C6">
        <w:rPr>
          <w:rFonts w:ascii="Times New Roman" w:eastAsia="SimSun" w:hAnsi="Times New Roman"/>
          <w:sz w:val="24"/>
          <w:szCs w:val="24"/>
        </w:rPr>
        <w:t>clonazepam</w:t>
      </w:r>
      <w:r w:rsidRPr="00AE47C6">
        <w:rPr>
          <w:rFonts w:ascii="Times New Roman" w:eastAsia="SimSun" w:hAnsi="Times New Roman"/>
          <w:b/>
          <w:bCs/>
          <w:sz w:val="24"/>
          <w:szCs w:val="24"/>
        </w:rPr>
        <w:t xml:space="preserve">; ESM– </w:t>
      </w:r>
      <w:r w:rsidRPr="00AE47C6">
        <w:rPr>
          <w:rFonts w:ascii="Times New Roman" w:eastAsia="SimSun" w:hAnsi="Times New Roman"/>
          <w:sz w:val="24"/>
          <w:szCs w:val="24"/>
        </w:rPr>
        <w:t>ethosuximide</w:t>
      </w:r>
      <w:r w:rsidRPr="00AE47C6">
        <w:rPr>
          <w:rFonts w:ascii="Times New Roman" w:eastAsia="SimSun" w:hAnsi="Times New Roman"/>
          <w:b/>
          <w:bCs/>
          <w:sz w:val="24"/>
          <w:szCs w:val="24"/>
        </w:rPr>
        <w:t xml:space="preserve">, PHT- </w:t>
      </w:r>
      <w:r w:rsidRPr="00AE47C6">
        <w:rPr>
          <w:rFonts w:ascii="Times New Roman" w:eastAsia="SimSun" w:hAnsi="Times New Roman"/>
          <w:sz w:val="24"/>
          <w:szCs w:val="24"/>
        </w:rPr>
        <w:t>phenytoin</w:t>
      </w:r>
      <w:r w:rsidRPr="00AE47C6">
        <w:rPr>
          <w:rFonts w:ascii="Times New Roman" w:eastAsia="SimSun" w:hAnsi="Times New Roman"/>
          <w:b/>
          <w:bCs/>
          <w:sz w:val="24"/>
          <w:szCs w:val="24"/>
        </w:rPr>
        <w:t>; PB-</w:t>
      </w:r>
      <w:r w:rsidRPr="00AE47C6">
        <w:rPr>
          <w:rFonts w:ascii="Times New Roman" w:eastAsia="SimSun" w:hAnsi="Times New Roman"/>
          <w:sz w:val="24"/>
          <w:szCs w:val="24"/>
        </w:rPr>
        <w:t>phenobarbital</w:t>
      </w:r>
      <w:r w:rsidRPr="00AE47C6">
        <w:rPr>
          <w:rFonts w:ascii="Times New Roman" w:eastAsia="SimSun" w:hAnsi="Times New Roman"/>
          <w:b/>
          <w:bCs/>
          <w:sz w:val="24"/>
          <w:szCs w:val="24"/>
        </w:rPr>
        <w:t>; VPA-</w:t>
      </w:r>
      <w:r w:rsidRPr="00AE47C6">
        <w:rPr>
          <w:rFonts w:ascii="Times New Roman" w:eastAsia="SimSun" w:hAnsi="Times New Roman"/>
          <w:sz w:val="24"/>
          <w:szCs w:val="24"/>
        </w:rPr>
        <w:t>valproate</w:t>
      </w:r>
    </w:p>
    <w:p w14:paraId="30D5E3B4" w14:textId="77777777" w:rsidR="00BE0B19" w:rsidRPr="00AE47C6" w:rsidRDefault="00BE0B19" w:rsidP="00BE0B19">
      <w:pPr>
        <w:pBdr>
          <w:bottom w:val="single" w:sz="12" w:space="1" w:color="auto"/>
        </w:pBdr>
        <w:tabs>
          <w:tab w:val="center" w:pos="4153"/>
          <w:tab w:val="right" w:pos="8306"/>
        </w:tabs>
        <w:overflowPunct w:val="0"/>
        <w:autoSpaceDE w:val="0"/>
        <w:autoSpaceDN w:val="0"/>
        <w:adjustRightInd w:val="0"/>
        <w:spacing w:after="0" w:line="360" w:lineRule="auto"/>
        <w:ind w:left="360"/>
        <w:jc w:val="both"/>
        <w:textAlignment w:val="baseline"/>
        <w:rPr>
          <w:rFonts w:ascii="Times New Roman" w:eastAsia="SimSun" w:hAnsi="Times New Roman"/>
          <w:sz w:val="24"/>
          <w:szCs w:val="24"/>
        </w:rPr>
      </w:pPr>
      <w:r w:rsidRPr="00AE47C6">
        <w:rPr>
          <w:rFonts w:ascii="Times New Roman" w:eastAsia="SimSun" w:hAnsi="Times New Roman"/>
          <w:b/>
          <w:bCs/>
          <w:sz w:val="24"/>
          <w:szCs w:val="24"/>
        </w:rPr>
        <w:t>- Нови АЕЛ: GBP-</w:t>
      </w:r>
      <w:r w:rsidRPr="00AE47C6">
        <w:rPr>
          <w:rFonts w:ascii="Times New Roman" w:eastAsia="SimSun" w:hAnsi="Times New Roman"/>
          <w:sz w:val="24"/>
          <w:szCs w:val="24"/>
        </w:rPr>
        <w:t>gabapentin</w:t>
      </w:r>
      <w:r w:rsidRPr="00AE47C6">
        <w:rPr>
          <w:rFonts w:ascii="Times New Roman" w:eastAsia="SimSun" w:hAnsi="Times New Roman"/>
          <w:b/>
          <w:bCs/>
          <w:sz w:val="24"/>
          <w:szCs w:val="24"/>
        </w:rPr>
        <w:t xml:space="preserve">; </w:t>
      </w:r>
      <w:r w:rsidRPr="00AE47C6">
        <w:rPr>
          <w:rFonts w:ascii="Times New Roman" w:eastAsia="SimSun" w:hAnsi="Times New Roman"/>
          <w:sz w:val="24"/>
          <w:szCs w:val="24"/>
        </w:rPr>
        <w:t>ESL- eslicarbazepine;</w:t>
      </w:r>
      <w:r w:rsidRPr="00AE47C6">
        <w:rPr>
          <w:rFonts w:ascii="Times New Roman" w:eastAsia="SimSun" w:hAnsi="Times New Roman"/>
          <w:b/>
          <w:bCs/>
          <w:sz w:val="24"/>
          <w:szCs w:val="24"/>
        </w:rPr>
        <w:t xml:space="preserve"> LTG </w:t>
      </w:r>
      <w:r w:rsidRPr="00AE47C6">
        <w:rPr>
          <w:rFonts w:ascii="Times New Roman" w:eastAsia="SimSun" w:hAnsi="Times New Roman"/>
          <w:sz w:val="24"/>
          <w:szCs w:val="24"/>
        </w:rPr>
        <w:t>- lamotrigine</w:t>
      </w:r>
      <w:r w:rsidRPr="00AE47C6">
        <w:rPr>
          <w:rFonts w:ascii="Times New Roman" w:eastAsia="SimSun" w:hAnsi="Times New Roman"/>
          <w:b/>
          <w:bCs/>
          <w:sz w:val="24"/>
          <w:szCs w:val="24"/>
        </w:rPr>
        <w:t xml:space="preserve">; LCM – </w:t>
      </w:r>
      <w:r w:rsidRPr="00AE47C6">
        <w:rPr>
          <w:rFonts w:ascii="Times New Roman" w:eastAsia="SimSun" w:hAnsi="Times New Roman"/>
          <w:sz w:val="24"/>
          <w:szCs w:val="24"/>
        </w:rPr>
        <w:t xml:space="preserve">lacosamide; </w:t>
      </w:r>
      <w:r w:rsidRPr="00AE47C6">
        <w:rPr>
          <w:rFonts w:ascii="Times New Roman" w:eastAsia="SimSun" w:hAnsi="Times New Roman"/>
          <w:b/>
          <w:bCs/>
          <w:sz w:val="24"/>
          <w:szCs w:val="24"/>
        </w:rPr>
        <w:t>LEV-</w:t>
      </w:r>
      <w:r w:rsidRPr="00AE47C6">
        <w:rPr>
          <w:rFonts w:ascii="Times New Roman" w:eastAsia="SimSun" w:hAnsi="Times New Roman"/>
          <w:sz w:val="24"/>
          <w:szCs w:val="24"/>
        </w:rPr>
        <w:t xml:space="preserve">levetiracetam; </w:t>
      </w:r>
      <w:r w:rsidRPr="00AE47C6">
        <w:rPr>
          <w:rFonts w:ascii="Times New Roman" w:eastAsia="SimSun" w:hAnsi="Times New Roman"/>
          <w:b/>
          <w:bCs/>
          <w:sz w:val="24"/>
          <w:szCs w:val="24"/>
        </w:rPr>
        <w:t xml:space="preserve">ОxCBZ - </w:t>
      </w:r>
      <w:r w:rsidRPr="00AE47C6">
        <w:rPr>
          <w:rFonts w:ascii="Times New Roman" w:eastAsia="SimSun" w:hAnsi="Times New Roman"/>
          <w:sz w:val="24"/>
          <w:szCs w:val="24"/>
        </w:rPr>
        <w:t>oxcarbazepine;</w:t>
      </w:r>
      <w:r w:rsidRPr="00AE47C6">
        <w:rPr>
          <w:rFonts w:ascii="Times New Roman" w:eastAsia="SimSun" w:hAnsi="Times New Roman"/>
          <w:b/>
          <w:bCs/>
          <w:sz w:val="24"/>
          <w:szCs w:val="24"/>
        </w:rPr>
        <w:t xml:space="preserve"> PGB </w:t>
      </w:r>
      <w:r w:rsidRPr="00AE47C6">
        <w:rPr>
          <w:rFonts w:ascii="Times New Roman" w:eastAsia="SimSun" w:hAnsi="Times New Roman"/>
          <w:sz w:val="24"/>
          <w:szCs w:val="24"/>
        </w:rPr>
        <w:t>– pregabalin</w:t>
      </w:r>
      <w:r w:rsidRPr="00AE47C6">
        <w:rPr>
          <w:rFonts w:ascii="Times New Roman" w:eastAsia="SimSun" w:hAnsi="Times New Roman"/>
          <w:b/>
          <w:bCs/>
          <w:sz w:val="24"/>
          <w:szCs w:val="24"/>
        </w:rPr>
        <w:t>; TGB-</w:t>
      </w:r>
      <w:r w:rsidRPr="00AE47C6">
        <w:rPr>
          <w:rFonts w:ascii="Times New Roman" w:eastAsia="SimSun" w:hAnsi="Times New Roman"/>
          <w:sz w:val="24"/>
          <w:szCs w:val="24"/>
        </w:rPr>
        <w:t>tiagabine</w:t>
      </w:r>
      <w:r w:rsidRPr="00AE47C6">
        <w:rPr>
          <w:rFonts w:ascii="Times New Roman" w:eastAsia="SimSun" w:hAnsi="Times New Roman"/>
          <w:b/>
          <w:bCs/>
          <w:sz w:val="24"/>
          <w:szCs w:val="24"/>
        </w:rPr>
        <w:t xml:space="preserve">; TPM – </w:t>
      </w:r>
      <w:r w:rsidRPr="00AE47C6">
        <w:rPr>
          <w:rFonts w:ascii="Times New Roman" w:eastAsia="SimSun" w:hAnsi="Times New Roman"/>
          <w:sz w:val="24"/>
          <w:szCs w:val="24"/>
        </w:rPr>
        <w:t xml:space="preserve">topiramate; </w:t>
      </w:r>
      <w:r w:rsidRPr="00AE47C6">
        <w:rPr>
          <w:rFonts w:ascii="Times New Roman" w:eastAsia="SimSun" w:hAnsi="Times New Roman"/>
          <w:b/>
          <w:sz w:val="24"/>
          <w:szCs w:val="24"/>
        </w:rPr>
        <w:t>Rufinamide</w:t>
      </w:r>
      <w:r w:rsidRPr="00AE47C6">
        <w:rPr>
          <w:rFonts w:ascii="Times New Roman" w:eastAsia="SimSun" w:hAnsi="Times New Roman"/>
          <w:sz w:val="24"/>
          <w:szCs w:val="24"/>
        </w:rPr>
        <w:t xml:space="preserve">*- за синдром на Lennox-Gastaut; </w:t>
      </w:r>
      <w:r w:rsidRPr="00AE47C6">
        <w:rPr>
          <w:rFonts w:ascii="Times New Roman" w:eastAsia="SimSun" w:hAnsi="Times New Roman"/>
          <w:b/>
          <w:bCs/>
          <w:sz w:val="24"/>
          <w:szCs w:val="24"/>
        </w:rPr>
        <w:t>Stiripentol*-</w:t>
      </w:r>
      <w:r w:rsidRPr="00AE47C6">
        <w:rPr>
          <w:rFonts w:ascii="Times New Roman" w:eastAsia="SimSun" w:hAnsi="Times New Roman"/>
          <w:sz w:val="24"/>
          <w:szCs w:val="24"/>
        </w:rPr>
        <w:t xml:space="preserve"> за синдром на Dravet; </w:t>
      </w:r>
      <w:r w:rsidRPr="00AE47C6">
        <w:rPr>
          <w:rFonts w:ascii="Times New Roman" w:eastAsia="SimSun" w:hAnsi="Times New Roman"/>
          <w:b/>
          <w:sz w:val="24"/>
          <w:szCs w:val="24"/>
        </w:rPr>
        <w:t>BRV – Brivaracetam</w:t>
      </w:r>
      <w:r w:rsidRPr="00AE47C6">
        <w:rPr>
          <w:rFonts w:ascii="Times New Roman" w:eastAsia="SimSun" w:hAnsi="Times New Roman"/>
          <w:sz w:val="24"/>
          <w:szCs w:val="24"/>
        </w:rPr>
        <w:t xml:space="preserve"> над 2 г.; </w:t>
      </w:r>
      <w:r w:rsidRPr="00AE47C6">
        <w:rPr>
          <w:rFonts w:ascii="Times New Roman" w:eastAsia="SimSun" w:hAnsi="Times New Roman"/>
          <w:b/>
          <w:sz w:val="24"/>
          <w:szCs w:val="24"/>
        </w:rPr>
        <w:t>CBD- Cannabidiol*</w:t>
      </w:r>
      <w:r w:rsidRPr="00AE47C6">
        <w:rPr>
          <w:rFonts w:ascii="Times New Roman" w:eastAsia="SimSun" w:hAnsi="Times New Roman"/>
          <w:sz w:val="24"/>
          <w:szCs w:val="24"/>
        </w:rPr>
        <w:t xml:space="preserve"> при епилептични пристъпи, свързани с туберозна склероза комплекс (TSC) при пациенти </w:t>
      </w:r>
      <w:r w:rsidRPr="00AE47C6">
        <w:rPr>
          <w:rFonts w:ascii="Times New Roman" w:eastAsia="SimSun" w:hAnsi="Times New Roman"/>
          <w:bCs/>
          <w:sz w:val="24"/>
          <w:szCs w:val="24"/>
        </w:rPr>
        <w:t>≥ 2 години;</w:t>
      </w:r>
      <w:r w:rsidRPr="00AE47C6">
        <w:rPr>
          <w:rFonts w:ascii="Times New Roman" w:eastAsia="SimSun" w:hAnsi="Times New Roman"/>
          <w:sz w:val="24"/>
          <w:szCs w:val="24"/>
        </w:rPr>
        <w:t xml:space="preserve"> </w:t>
      </w:r>
      <w:r w:rsidRPr="00AE47C6">
        <w:rPr>
          <w:rFonts w:ascii="Times New Roman" w:eastAsia="SimSun" w:hAnsi="Times New Roman"/>
          <w:b/>
          <w:sz w:val="24"/>
          <w:szCs w:val="24"/>
        </w:rPr>
        <w:t>CBD- Cannabidiol*</w:t>
      </w:r>
      <w:r w:rsidRPr="00AE47C6">
        <w:rPr>
          <w:rFonts w:ascii="Times New Roman" w:eastAsia="SimSun" w:hAnsi="Times New Roman"/>
          <w:sz w:val="24"/>
          <w:szCs w:val="24"/>
        </w:rPr>
        <w:t xml:space="preserve"> в комбинация с Clobazam** при синдром на Dravet и синдром на Lennox-Gastaut при пациенти </w:t>
      </w:r>
      <w:r w:rsidRPr="00AE47C6">
        <w:rPr>
          <w:rFonts w:ascii="Times New Roman" w:eastAsia="SimSun" w:hAnsi="Times New Roman"/>
          <w:bCs/>
          <w:sz w:val="24"/>
          <w:szCs w:val="24"/>
        </w:rPr>
        <w:t>≥ 2 години</w:t>
      </w:r>
      <w:r w:rsidRPr="00AE47C6">
        <w:rPr>
          <w:rFonts w:ascii="Times New Roman" w:eastAsia="SimSun" w:hAnsi="Times New Roman"/>
          <w:sz w:val="24"/>
          <w:szCs w:val="24"/>
        </w:rPr>
        <w:t>;</w:t>
      </w:r>
      <w:r w:rsidRPr="00AE47C6">
        <w:rPr>
          <w:rFonts w:ascii="Times New Roman" w:eastAsia="SimSun" w:hAnsi="Times New Roman"/>
          <w:bCs/>
          <w:sz w:val="24"/>
          <w:szCs w:val="24"/>
        </w:rPr>
        <w:t xml:space="preserve"> </w:t>
      </w:r>
      <w:r w:rsidRPr="00AE47C6">
        <w:rPr>
          <w:rFonts w:ascii="Times New Roman" w:eastAsia="SimSun" w:hAnsi="Times New Roman"/>
          <w:b/>
          <w:bCs/>
          <w:sz w:val="24"/>
          <w:szCs w:val="24"/>
        </w:rPr>
        <w:t>Fenfluramine*</w:t>
      </w:r>
      <w:r w:rsidRPr="00AE47C6">
        <w:rPr>
          <w:rFonts w:ascii="Times New Roman" w:eastAsia="SimSun" w:hAnsi="Times New Roman"/>
          <w:bCs/>
          <w:sz w:val="24"/>
          <w:szCs w:val="24"/>
        </w:rPr>
        <w:t xml:space="preserve">- </w:t>
      </w:r>
      <w:r w:rsidRPr="00AE47C6">
        <w:rPr>
          <w:rFonts w:ascii="Times New Roman" w:eastAsia="SimSun" w:hAnsi="Times New Roman"/>
          <w:sz w:val="24"/>
          <w:szCs w:val="24"/>
        </w:rPr>
        <w:t>при синдром на Dravet</w:t>
      </w:r>
      <w:r w:rsidRPr="00AE47C6">
        <w:rPr>
          <w:rFonts w:ascii="Times New Roman" w:eastAsia="SimSun" w:hAnsi="Times New Roman"/>
          <w:bCs/>
          <w:sz w:val="24"/>
          <w:szCs w:val="24"/>
        </w:rPr>
        <w:t>. и при синдром на Lennox-Gastaut≥ 2 г,</w:t>
      </w:r>
      <w:r w:rsidRPr="00AE47C6">
        <w:rPr>
          <w:rFonts w:ascii="Times New Roman" w:eastAsia="SimSun" w:hAnsi="Times New Roman"/>
          <w:b/>
          <w:bCs/>
          <w:sz w:val="24"/>
          <w:szCs w:val="24"/>
        </w:rPr>
        <w:t xml:space="preserve"> Сenobamate**-</w:t>
      </w:r>
      <w:r w:rsidRPr="00AE47C6">
        <w:rPr>
          <w:rFonts w:ascii="Times New Roman" w:eastAsia="SimSun" w:hAnsi="Times New Roman"/>
          <w:bCs/>
          <w:sz w:val="24"/>
          <w:szCs w:val="24"/>
        </w:rPr>
        <w:t xml:space="preserve"> при фокални и ВГТКП (ФДТКП) над 18 г.;</w:t>
      </w:r>
      <w:r w:rsidRPr="00AE47C6">
        <w:rPr>
          <w:rFonts w:ascii="Times New Roman" w:eastAsia="SimSun" w:hAnsi="Times New Roman"/>
          <w:b/>
          <w:bCs/>
          <w:sz w:val="24"/>
          <w:szCs w:val="24"/>
        </w:rPr>
        <w:t xml:space="preserve"> Zonisamide**</w:t>
      </w:r>
      <w:r w:rsidRPr="00AE47C6">
        <w:rPr>
          <w:rFonts w:ascii="Times New Roman" w:eastAsia="SimSun" w:hAnsi="Times New Roman"/>
          <w:sz w:val="24"/>
          <w:szCs w:val="24"/>
        </w:rPr>
        <w:t xml:space="preserve"> за лечение на </w:t>
      </w:r>
      <w:r w:rsidRPr="00AE47C6">
        <w:rPr>
          <w:rFonts w:ascii="Times New Roman" w:eastAsia="SimSun" w:hAnsi="Times New Roman"/>
          <w:bCs/>
          <w:sz w:val="24"/>
          <w:szCs w:val="24"/>
        </w:rPr>
        <w:t>ВГТКП (ФДТКП)</w:t>
      </w:r>
      <w:r w:rsidRPr="00AE47C6">
        <w:rPr>
          <w:rFonts w:ascii="Times New Roman" w:eastAsia="SimSun" w:hAnsi="Times New Roman"/>
          <w:sz w:val="24"/>
          <w:szCs w:val="24"/>
        </w:rPr>
        <w:t xml:space="preserve"> при възрастни и деца над 6 г., за миоклонични пристъпи, за синдром на Lennox-Gastaut;</w:t>
      </w:r>
    </w:p>
    <w:p w14:paraId="188D4D74"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lang w:eastAsia="bg-BG"/>
        </w:rPr>
      </w:pPr>
      <w:r w:rsidRPr="00AE47C6">
        <w:rPr>
          <w:rFonts w:ascii="Times New Roman" w:eastAsia="SimSun" w:hAnsi="Times New Roman"/>
          <w:b/>
          <w:sz w:val="24"/>
          <w:szCs w:val="24"/>
          <w:u w:val="single"/>
          <w:lang w:eastAsia="bg-BG"/>
        </w:rPr>
        <w:t xml:space="preserve">* По Член 266, ал. 2 от ЗЛПХМ </w:t>
      </w:r>
      <w:r w:rsidRPr="00AE47C6">
        <w:rPr>
          <w:rFonts w:ascii="Times New Roman" w:eastAsia="SimSun" w:hAnsi="Times New Roman"/>
          <w:b/>
          <w:sz w:val="24"/>
          <w:szCs w:val="24"/>
          <w:lang w:eastAsia="bg-BG"/>
        </w:rPr>
        <w:t xml:space="preserve">и чл. 16, ал. 4 от Hapeдбa № l0 от 2011 г. за условията и реда за лечение с Hepaзрешени за употреба в Република България лекарствени продукти:  </w:t>
      </w:r>
    </w:p>
    <w:p w14:paraId="7FE1258A"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lang w:eastAsia="bg-BG"/>
        </w:rPr>
      </w:pPr>
      <w:r w:rsidRPr="00AE47C6">
        <w:rPr>
          <w:rFonts w:ascii="Times New Roman" w:eastAsia="SimSun" w:hAnsi="Times New Roman"/>
          <w:b/>
          <w:bCs/>
          <w:sz w:val="24"/>
          <w:szCs w:val="24"/>
          <w:lang w:eastAsia="bg-BG"/>
        </w:rPr>
        <w:t xml:space="preserve">* </w:t>
      </w:r>
      <w:r w:rsidRPr="00AE47C6">
        <w:rPr>
          <w:rFonts w:ascii="Times New Roman" w:eastAsia="SimSun" w:hAnsi="Times New Roman"/>
          <w:b/>
          <w:bCs/>
          <w:i/>
          <w:sz w:val="24"/>
          <w:szCs w:val="24"/>
          <w:lang w:eastAsia="bg-BG"/>
        </w:rPr>
        <w:t xml:space="preserve">Rufinamide </w:t>
      </w:r>
      <w:r w:rsidRPr="00AE47C6">
        <w:rPr>
          <w:rFonts w:ascii="Times New Roman" w:eastAsia="SimSun" w:hAnsi="Times New Roman"/>
          <w:sz w:val="24"/>
          <w:szCs w:val="24"/>
          <w:lang w:eastAsia="bg-BG"/>
        </w:rPr>
        <w:t>за лечение на синдром на Lennox-Gastaut</w:t>
      </w:r>
      <w:r w:rsidRPr="00AE47C6">
        <w:rPr>
          <w:rFonts w:ascii="Times New Roman" w:eastAsia="SimSun" w:hAnsi="Times New Roman"/>
          <w:b/>
          <w:sz w:val="24"/>
          <w:szCs w:val="24"/>
          <w:lang w:eastAsia="bg-BG"/>
        </w:rPr>
        <w:t xml:space="preserve"> </w:t>
      </w:r>
    </w:p>
    <w:p w14:paraId="7B6A2D7E"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lang w:eastAsia="bg-BG"/>
        </w:rPr>
      </w:pPr>
      <w:r w:rsidRPr="00AE47C6">
        <w:rPr>
          <w:rFonts w:ascii="Times New Roman" w:eastAsia="SimSun" w:hAnsi="Times New Roman"/>
          <w:b/>
          <w:sz w:val="24"/>
          <w:szCs w:val="24"/>
          <w:lang w:eastAsia="bg-BG"/>
        </w:rPr>
        <w:t xml:space="preserve">* </w:t>
      </w:r>
      <w:r w:rsidRPr="00AE47C6">
        <w:rPr>
          <w:rFonts w:ascii="Times New Roman" w:eastAsia="SimSun" w:hAnsi="Times New Roman"/>
          <w:b/>
          <w:i/>
          <w:sz w:val="24"/>
          <w:szCs w:val="24"/>
          <w:lang w:eastAsia="bg-BG"/>
        </w:rPr>
        <w:t>Stiripentol</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за лечение на синдром на Dravet</w:t>
      </w:r>
      <w:r w:rsidRPr="00AE47C6">
        <w:rPr>
          <w:rFonts w:ascii="Times New Roman" w:eastAsia="SimSun" w:hAnsi="Times New Roman"/>
          <w:b/>
          <w:sz w:val="24"/>
          <w:szCs w:val="24"/>
          <w:lang w:eastAsia="bg-BG"/>
        </w:rPr>
        <w:t xml:space="preserve"> </w:t>
      </w:r>
    </w:p>
    <w:p w14:paraId="33603F79" w14:textId="77777777" w:rsidR="00BE0B19" w:rsidRPr="00AE47C6" w:rsidRDefault="00BE0B19" w:rsidP="00BE0B19">
      <w:pPr>
        <w:tabs>
          <w:tab w:val="left" w:pos="720"/>
        </w:tabs>
        <w:suppressAutoHyphens/>
        <w:spacing w:after="0"/>
        <w:ind w:left="357" w:firstLine="851"/>
        <w:jc w:val="both"/>
        <w:rPr>
          <w:rFonts w:ascii="Times New Roman" w:eastAsia="SimSun" w:hAnsi="Times New Roman"/>
          <w:b/>
          <w:bCs/>
          <w:sz w:val="24"/>
          <w:szCs w:val="24"/>
          <w:lang w:eastAsia="bg-BG"/>
        </w:rPr>
      </w:pPr>
      <w:r w:rsidRPr="00AE47C6">
        <w:rPr>
          <w:rFonts w:ascii="Times New Roman" w:eastAsia="SimSun" w:hAnsi="Times New Roman"/>
          <w:b/>
          <w:sz w:val="24"/>
          <w:szCs w:val="24"/>
          <w:lang w:eastAsia="bg-BG"/>
        </w:rPr>
        <w:t xml:space="preserve">* </w:t>
      </w:r>
      <w:r w:rsidRPr="00AE47C6">
        <w:rPr>
          <w:rFonts w:ascii="Times New Roman" w:eastAsia="SimSun" w:hAnsi="Times New Roman"/>
          <w:b/>
          <w:i/>
          <w:sz w:val="24"/>
          <w:szCs w:val="24"/>
          <w:lang w:eastAsia="bg-BG"/>
        </w:rPr>
        <w:t>Cannabidiol</w:t>
      </w:r>
      <w:r w:rsidRPr="00AE47C6">
        <w:rPr>
          <w:rFonts w:ascii="Times New Roman" w:eastAsia="SimSun" w:hAnsi="Times New Roman"/>
          <w:b/>
          <w:sz w:val="24"/>
          <w:szCs w:val="24"/>
          <w:lang w:eastAsia="bg-BG"/>
        </w:rPr>
        <w:t xml:space="preserve"> в комбинация с </w:t>
      </w:r>
      <w:r w:rsidRPr="00AE47C6">
        <w:rPr>
          <w:rFonts w:ascii="Times New Roman" w:eastAsia="SimSun" w:hAnsi="Times New Roman"/>
          <w:b/>
          <w:i/>
          <w:sz w:val="24"/>
          <w:szCs w:val="24"/>
          <w:lang w:eastAsia="bg-BG"/>
        </w:rPr>
        <w:t>Clobazam**</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при синдром на Dravet и синдром на Lennox-Gastaut при пациенти </w:t>
      </w:r>
      <w:r w:rsidRPr="00AE47C6">
        <w:rPr>
          <w:rFonts w:ascii="Times New Roman" w:eastAsia="SimSun" w:hAnsi="Times New Roman"/>
          <w:bCs/>
          <w:sz w:val="24"/>
          <w:szCs w:val="24"/>
          <w:lang w:eastAsia="bg-BG"/>
        </w:rPr>
        <w:t>≥ 2 години</w:t>
      </w:r>
      <w:r w:rsidRPr="00AE47C6">
        <w:rPr>
          <w:rFonts w:ascii="Times New Roman" w:eastAsia="SimSun" w:hAnsi="Times New Roman"/>
          <w:sz w:val="24"/>
          <w:szCs w:val="24"/>
          <w:lang w:eastAsia="bg-BG"/>
        </w:rPr>
        <w:t>;</w:t>
      </w:r>
      <w:r w:rsidRPr="00AE47C6">
        <w:rPr>
          <w:rFonts w:ascii="Times New Roman" w:eastAsia="SimSun" w:hAnsi="Times New Roman"/>
          <w:bCs/>
          <w:sz w:val="24"/>
          <w:szCs w:val="24"/>
          <w:lang w:eastAsia="bg-BG"/>
        </w:rPr>
        <w:t xml:space="preserve"> </w:t>
      </w:r>
      <w:r w:rsidRPr="00AE47C6">
        <w:rPr>
          <w:rFonts w:ascii="Times New Roman" w:eastAsia="SimSun" w:hAnsi="Times New Roman"/>
          <w:b/>
          <w:i/>
          <w:sz w:val="24"/>
          <w:szCs w:val="24"/>
          <w:lang w:eastAsia="bg-BG"/>
        </w:rPr>
        <w:t>* Cannabidiol</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при лечение на пристъпи, свързани с туберозна склероза комплекс (TSC) при пациенти </w:t>
      </w:r>
      <w:r w:rsidRPr="00AE47C6">
        <w:rPr>
          <w:rFonts w:ascii="Times New Roman" w:eastAsia="SimSun" w:hAnsi="Times New Roman"/>
          <w:bCs/>
          <w:sz w:val="24"/>
          <w:szCs w:val="24"/>
          <w:lang w:eastAsia="bg-BG"/>
        </w:rPr>
        <w:t>≥ 2 години</w:t>
      </w:r>
      <w:r w:rsidRPr="00AE47C6">
        <w:rPr>
          <w:rFonts w:ascii="Times New Roman" w:eastAsia="SimSun" w:hAnsi="Times New Roman"/>
          <w:b/>
          <w:bCs/>
          <w:sz w:val="24"/>
          <w:szCs w:val="24"/>
          <w:lang w:eastAsia="bg-BG"/>
        </w:rPr>
        <w:t xml:space="preserve"> </w:t>
      </w:r>
    </w:p>
    <w:p w14:paraId="0E6FD2D0" w14:textId="77777777" w:rsidR="00BE0B19" w:rsidRPr="00AE47C6" w:rsidRDefault="00BE0B19" w:rsidP="00BE0B19">
      <w:pPr>
        <w:tabs>
          <w:tab w:val="left" w:pos="720"/>
        </w:tabs>
        <w:suppressAutoHyphens/>
        <w:spacing w:after="0"/>
        <w:ind w:left="357" w:firstLine="851"/>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w:t>
      </w:r>
      <w:r w:rsidRPr="00AE47C6">
        <w:rPr>
          <w:rFonts w:ascii="Times New Roman" w:eastAsia="SimSun" w:hAnsi="Times New Roman"/>
          <w:b/>
          <w:bCs/>
          <w:i/>
          <w:sz w:val="24"/>
          <w:szCs w:val="24"/>
          <w:lang w:eastAsia="bg-BG"/>
        </w:rPr>
        <w:t>Fenfluramine</w:t>
      </w:r>
      <w:r w:rsidRPr="00AE47C6">
        <w:rPr>
          <w:rFonts w:ascii="Times New Roman" w:eastAsia="SimSun" w:hAnsi="Times New Roman"/>
          <w:b/>
          <w:bCs/>
          <w:sz w:val="24"/>
          <w:szCs w:val="24"/>
          <w:lang w:eastAsia="bg-BG"/>
        </w:rPr>
        <w:t xml:space="preserve">- </w:t>
      </w:r>
      <w:r w:rsidRPr="00AE47C6">
        <w:rPr>
          <w:rFonts w:ascii="Times New Roman" w:eastAsia="SimSun" w:hAnsi="Times New Roman"/>
          <w:sz w:val="24"/>
          <w:szCs w:val="24"/>
          <w:lang w:eastAsia="bg-BG"/>
        </w:rPr>
        <w:t>при синдром на Dravet</w:t>
      </w:r>
      <w:r w:rsidRPr="00AE47C6">
        <w:rPr>
          <w:rFonts w:ascii="Times New Roman" w:eastAsia="SimSun" w:hAnsi="Times New Roman"/>
          <w:bCs/>
          <w:sz w:val="24"/>
          <w:szCs w:val="24"/>
          <w:lang w:eastAsia="bg-BG"/>
        </w:rPr>
        <w:t xml:space="preserve"> и синдром на Lennox-Gastaut </w:t>
      </w:r>
      <w:r w:rsidRPr="00AE47C6">
        <w:rPr>
          <w:rFonts w:ascii="Times New Roman" w:eastAsia="SimSun" w:hAnsi="Times New Roman"/>
          <w:sz w:val="24"/>
          <w:szCs w:val="24"/>
          <w:lang w:eastAsia="bg-BG"/>
        </w:rPr>
        <w:t xml:space="preserve">при пациенти </w:t>
      </w:r>
      <w:r w:rsidRPr="00AE47C6">
        <w:rPr>
          <w:rFonts w:ascii="Times New Roman" w:eastAsia="SimSun" w:hAnsi="Times New Roman"/>
          <w:bCs/>
          <w:sz w:val="24"/>
          <w:szCs w:val="24"/>
          <w:lang w:eastAsia="bg-BG"/>
        </w:rPr>
        <w:t>≥ 2 години</w:t>
      </w:r>
    </w:p>
    <w:p w14:paraId="72F71E78" w14:textId="77777777" w:rsidR="00BE0B19" w:rsidRPr="00AE47C6" w:rsidRDefault="00BE0B19" w:rsidP="00BE0B19">
      <w:pPr>
        <w:tabs>
          <w:tab w:val="left" w:pos="720"/>
        </w:tabs>
        <w:suppressAutoHyphens/>
        <w:spacing w:after="0" w:line="360" w:lineRule="auto"/>
        <w:ind w:left="360" w:firstLine="851"/>
        <w:jc w:val="both"/>
        <w:rPr>
          <w:rFonts w:ascii="Times New Roman" w:eastAsia="SimSun" w:hAnsi="Times New Roman"/>
          <w:b/>
          <w:sz w:val="24"/>
          <w:szCs w:val="24"/>
          <w:u w:val="single"/>
          <w:lang w:eastAsia="bg-BG"/>
        </w:rPr>
      </w:pPr>
      <w:r w:rsidRPr="00AE47C6">
        <w:rPr>
          <w:rFonts w:ascii="Times New Roman" w:eastAsia="SimSun" w:hAnsi="Times New Roman"/>
          <w:b/>
          <w:sz w:val="24"/>
          <w:szCs w:val="24"/>
          <w:u w:val="single"/>
          <w:lang w:eastAsia="bg-BG"/>
        </w:rPr>
        <w:t>**Регистрирани от ЕМА:</w:t>
      </w:r>
    </w:p>
    <w:p w14:paraId="0D58E88B" w14:textId="77777777" w:rsidR="00BE0B19" w:rsidRPr="00AE47C6" w:rsidRDefault="00BE0B19" w:rsidP="00BE0B19">
      <w:pPr>
        <w:tabs>
          <w:tab w:val="left" w:pos="720"/>
        </w:tabs>
        <w:suppressAutoHyphens/>
        <w:spacing w:after="0" w:line="360" w:lineRule="auto"/>
        <w:ind w:left="360" w:firstLine="851"/>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Clobazam**</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за лечение на абсанси, ГТКП, миоклонии, синдром на Dravet и синдром на Lennox- Gastaut; </w:t>
      </w:r>
      <w:r w:rsidRPr="00AE47C6">
        <w:rPr>
          <w:rFonts w:ascii="Times New Roman" w:eastAsia="SimSun" w:hAnsi="Times New Roman"/>
          <w:b/>
          <w:bCs/>
          <w:sz w:val="24"/>
          <w:szCs w:val="24"/>
          <w:lang w:eastAsia="bg-BG"/>
        </w:rPr>
        <w:t>Nitrazepam**</w:t>
      </w:r>
      <w:r w:rsidRPr="00AE47C6">
        <w:rPr>
          <w:rFonts w:ascii="Times New Roman" w:eastAsia="SimSun" w:hAnsi="Times New Roman"/>
          <w:sz w:val="24"/>
          <w:szCs w:val="24"/>
          <w:lang w:eastAsia="bg-BG"/>
        </w:rPr>
        <w:t xml:space="preserve"> за лечение на синдром на West; </w:t>
      </w:r>
      <w:r w:rsidRPr="00AE47C6">
        <w:rPr>
          <w:rFonts w:ascii="Times New Roman" w:eastAsia="SimSun" w:hAnsi="Times New Roman"/>
          <w:b/>
          <w:bCs/>
          <w:sz w:val="24"/>
          <w:szCs w:val="24"/>
          <w:lang w:eastAsia="bg-BG"/>
        </w:rPr>
        <w:t>Sulthiam**</w:t>
      </w:r>
      <w:r w:rsidRPr="00AE47C6">
        <w:rPr>
          <w:rFonts w:ascii="Times New Roman" w:eastAsia="SimSun" w:hAnsi="Times New Roman"/>
          <w:sz w:val="24"/>
          <w:szCs w:val="24"/>
          <w:lang w:eastAsia="bg-BG"/>
        </w:rPr>
        <w:t xml:space="preserve"> за лечение на фокални пристъпи;</w:t>
      </w:r>
      <w:r w:rsidRPr="00AE47C6">
        <w:rPr>
          <w:rFonts w:ascii="Times New Roman" w:eastAsia="SimSun" w:hAnsi="Times New Roman"/>
          <w:b/>
          <w:bCs/>
          <w:sz w:val="24"/>
          <w:szCs w:val="24"/>
          <w:lang w:eastAsia="bg-BG"/>
        </w:rPr>
        <w:t xml:space="preserve"> Vigabatrin** </w:t>
      </w:r>
      <w:r w:rsidRPr="00AE47C6">
        <w:rPr>
          <w:rFonts w:ascii="Times New Roman" w:eastAsia="SimSun" w:hAnsi="Times New Roman"/>
          <w:sz w:val="24"/>
          <w:szCs w:val="24"/>
          <w:lang w:eastAsia="bg-BG"/>
        </w:rPr>
        <w:t xml:space="preserve">за лечение на синдром на West; </w:t>
      </w:r>
      <w:r w:rsidRPr="00AE47C6">
        <w:rPr>
          <w:rFonts w:ascii="Times New Roman" w:eastAsia="SimSun" w:hAnsi="Times New Roman"/>
          <w:b/>
          <w:bCs/>
          <w:sz w:val="24"/>
          <w:szCs w:val="24"/>
          <w:lang w:eastAsia="bg-BG"/>
        </w:rPr>
        <w:t>Zonisamide**</w:t>
      </w:r>
      <w:r w:rsidRPr="00AE47C6">
        <w:rPr>
          <w:rFonts w:ascii="Times New Roman" w:eastAsia="SimSun" w:hAnsi="Times New Roman"/>
          <w:sz w:val="24"/>
          <w:szCs w:val="24"/>
          <w:lang w:eastAsia="bg-BG"/>
        </w:rPr>
        <w:t xml:space="preserve"> за лечение на фокални и вторично генерализирани пристъпи  при възрастни и деца над 6 г., за миоклонични пристъпи, за синдром на Lennox-Gastaut; </w:t>
      </w:r>
      <w:r w:rsidRPr="00AE47C6">
        <w:rPr>
          <w:rFonts w:ascii="Times New Roman" w:eastAsia="SimSun" w:hAnsi="Times New Roman"/>
          <w:b/>
          <w:bCs/>
          <w:sz w:val="24"/>
          <w:szCs w:val="24"/>
          <w:lang w:eastAsia="bg-BG"/>
        </w:rPr>
        <w:t>Сenobamate**-</w:t>
      </w:r>
      <w:r w:rsidRPr="00AE47C6">
        <w:rPr>
          <w:rFonts w:ascii="Times New Roman" w:eastAsia="SimSun" w:hAnsi="Times New Roman"/>
          <w:bCs/>
          <w:sz w:val="24"/>
          <w:szCs w:val="24"/>
          <w:lang w:eastAsia="bg-BG"/>
        </w:rPr>
        <w:t xml:space="preserve"> при фокални и ВГТКП (ФДТКП) над 18 г;</w:t>
      </w:r>
      <w:r w:rsidRPr="00AE47C6">
        <w:rPr>
          <w:rFonts w:ascii="Times New Roman" w:eastAsia="SimSun" w:hAnsi="Times New Roman"/>
          <w:b/>
          <w:bCs/>
          <w:sz w:val="24"/>
          <w:szCs w:val="24"/>
          <w:lang w:eastAsia="bg-BG"/>
        </w:rPr>
        <w:t xml:space="preserve"> ACTH**</w:t>
      </w:r>
      <w:r w:rsidRPr="00AE47C6">
        <w:rPr>
          <w:rFonts w:ascii="Times New Roman" w:eastAsia="SimSun" w:hAnsi="Times New Roman"/>
          <w:sz w:val="24"/>
          <w:szCs w:val="24"/>
          <w:lang w:eastAsia="bg-BG"/>
        </w:rPr>
        <w:t xml:space="preserve"> за лечение на синдром на West. </w:t>
      </w:r>
    </w:p>
    <w:p w14:paraId="26DDD538"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4"/>
        </w:rPr>
      </w:pPr>
      <w:r w:rsidRPr="00AE47C6">
        <w:rPr>
          <w:rFonts w:ascii="Times New Roman" w:eastAsia="SimSun" w:hAnsi="Times New Roman"/>
          <w:b/>
          <w:bCs/>
          <w:sz w:val="24"/>
          <w:szCs w:val="24"/>
        </w:rPr>
        <w:t>Таблица 11.11. Видове и дозиране на антигърчовите лекарства</w:t>
      </w:r>
    </w:p>
    <w:tbl>
      <w:tblPr>
        <w:tblpPr w:leftFromText="180" w:rightFromText="180" w:vertAnchor="text" w:tblpX="-106" w:tblpY="1"/>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1291"/>
        <w:gridCol w:w="9"/>
        <w:gridCol w:w="1415"/>
        <w:gridCol w:w="1317"/>
        <w:gridCol w:w="1456"/>
        <w:gridCol w:w="1604"/>
      </w:tblGrid>
      <w:tr w:rsidR="00BE0B19" w:rsidRPr="00AE47C6" w14:paraId="3DB32BD0" w14:textId="77777777" w:rsidTr="00AD72E5">
        <w:trPr>
          <w:trHeight w:val="424"/>
        </w:trPr>
        <w:tc>
          <w:tcPr>
            <w:tcW w:w="1980" w:type="dxa"/>
            <w:vMerge w:val="restart"/>
            <w:tcBorders>
              <w:bottom w:val="single" w:sz="4" w:space="0" w:color="auto"/>
            </w:tcBorders>
          </w:tcPr>
          <w:p w14:paraId="27498C14"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Международно непатентно име (INN)</w:t>
            </w:r>
          </w:p>
        </w:tc>
        <w:tc>
          <w:tcPr>
            <w:tcW w:w="2715" w:type="dxa"/>
            <w:gridSpan w:val="3"/>
            <w:tcBorders>
              <w:bottom w:val="single" w:sz="4" w:space="0" w:color="auto"/>
            </w:tcBorders>
          </w:tcPr>
          <w:p w14:paraId="4B8FA0B9"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ДЕЦА</w:t>
            </w:r>
          </w:p>
        </w:tc>
        <w:tc>
          <w:tcPr>
            <w:tcW w:w="4377" w:type="dxa"/>
            <w:gridSpan w:val="3"/>
            <w:tcBorders>
              <w:bottom w:val="single" w:sz="4" w:space="0" w:color="auto"/>
            </w:tcBorders>
          </w:tcPr>
          <w:p w14:paraId="6015C1A8"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ВЪЗРАСТНИ</w:t>
            </w:r>
          </w:p>
        </w:tc>
      </w:tr>
      <w:tr w:rsidR="00BE0B19" w:rsidRPr="00AE47C6" w14:paraId="1DBAEB09" w14:textId="77777777" w:rsidTr="00AD72E5">
        <w:tc>
          <w:tcPr>
            <w:tcW w:w="1980" w:type="dxa"/>
            <w:vMerge/>
            <w:tcBorders>
              <w:right w:val="single" w:sz="4" w:space="0" w:color="auto"/>
            </w:tcBorders>
          </w:tcPr>
          <w:p w14:paraId="1DA4A5FA" w14:textId="77777777" w:rsidR="00BE0B19" w:rsidRPr="00AE47C6" w:rsidRDefault="00BE0B19" w:rsidP="00BE0B19">
            <w:pPr>
              <w:spacing w:line="360" w:lineRule="auto"/>
              <w:rPr>
                <w:rFonts w:ascii="Times New Roman" w:eastAsia="SimSun" w:hAnsi="Times New Roman"/>
                <w:b/>
                <w:bCs/>
                <w:sz w:val="24"/>
                <w:szCs w:val="24"/>
              </w:rPr>
            </w:pP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tcPr>
          <w:p w14:paraId="50803260"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Начална дневна доза (mg/kg)</w:t>
            </w:r>
          </w:p>
        </w:tc>
        <w:tc>
          <w:tcPr>
            <w:tcW w:w="1415" w:type="dxa"/>
            <w:tcBorders>
              <w:top w:val="single" w:sz="4" w:space="0" w:color="auto"/>
              <w:left w:val="single" w:sz="4" w:space="0" w:color="auto"/>
              <w:bottom w:val="single" w:sz="4" w:space="0" w:color="auto"/>
              <w:right w:val="single" w:sz="4" w:space="0" w:color="auto"/>
            </w:tcBorders>
            <w:shd w:val="clear" w:color="auto" w:fill="auto"/>
          </w:tcPr>
          <w:p w14:paraId="61195C72"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Оптимална дневна доза (mg/kg)</w:t>
            </w:r>
          </w:p>
        </w:tc>
        <w:tc>
          <w:tcPr>
            <w:tcW w:w="1317" w:type="dxa"/>
            <w:tcBorders>
              <w:top w:val="single" w:sz="4" w:space="0" w:color="auto"/>
              <w:left w:val="single" w:sz="4" w:space="0" w:color="auto"/>
              <w:bottom w:val="single" w:sz="4" w:space="0" w:color="auto"/>
              <w:right w:val="single" w:sz="4" w:space="0" w:color="auto"/>
            </w:tcBorders>
            <w:shd w:val="clear" w:color="auto" w:fill="auto"/>
          </w:tcPr>
          <w:p w14:paraId="24FC7DDF"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 xml:space="preserve">Начална дневна доза </w:t>
            </w:r>
          </w:p>
          <w:p w14:paraId="0575A28A"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(mg)</w:t>
            </w:r>
          </w:p>
        </w:tc>
        <w:tc>
          <w:tcPr>
            <w:tcW w:w="1456" w:type="dxa"/>
            <w:tcBorders>
              <w:left w:val="single" w:sz="4" w:space="0" w:color="auto"/>
            </w:tcBorders>
          </w:tcPr>
          <w:p w14:paraId="0CE94966"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Оптимална дневна доза</w:t>
            </w:r>
          </w:p>
          <w:p w14:paraId="6CB1898C"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(mg)</w:t>
            </w:r>
          </w:p>
        </w:tc>
        <w:tc>
          <w:tcPr>
            <w:tcW w:w="1604" w:type="dxa"/>
          </w:tcPr>
          <w:p w14:paraId="71F6A23D"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Максимална дневна доза (mg)</w:t>
            </w:r>
          </w:p>
        </w:tc>
      </w:tr>
      <w:tr w:rsidR="00BE0B19" w:rsidRPr="00AE47C6" w14:paraId="678E3807" w14:textId="77777777" w:rsidTr="00AD72E5">
        <w:tc>
          <w:tcPr>
            <w:tcW w:w="1980" w:type="dxa"/>
            <w:tcBorders>
              <w:right w:val="single" w:sz="4" w:space="0" w:color="auto"/>
            </w:tcBorders>
          </w:tcPr>
          <w:p w14:paraId="26D768E6"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Valproic acid</w:t>
            </w:r>
          </w:p>
        </w:tc>
        <w:tc>
          <w:tcPr>
            <w:tcW w:w="1291" w:type="dxa"/>
            <w:tcBorders>
              <w:top w:val="single" w:sz="4" w:space="0" w:color="auto"/>
              <w:left w:val="single" w:sz="4" w:space="0" w:color="auto"/>
              <w:bottom w:val="single" w:sz="4" w:space="0" w:color="auto"/>
              <w:right w:val="single" w:sz="4" w:space="0" w:color="auto"/>
            </w:tcBorders>
            <w:shd w:val="clear" w:color="auto" w:fill="auto"/>
          </w:tcPr>
          <w:p w14:paraId="30E014F9"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10-20 </w:t>
            </w:r>
          </w:p>
        </w:tc>
        <w:tc>
          <w:tcPr>
            <w:tcW w:w="1424" w:type="dxa"/>
            <w:gridSpan w:val="2"/>
            <w:tcBorders>
              <w:top w:val="single" w:sz="4" w:space="0" w:color="auto"/>
              <w:left w:val="single" w:sz="4" w:space="0" w:color="auto"/>
              <w:bottom w:val="single" w:sz="4" w:space="0" w:color="auto"/>
              <w:right w:val="single" w:sz="4" w:space="0" w:color="auto"/>
            </w:tcBorders>
            <w:shd w:val="clear" w:color="auto" w:fill="auto"/>
          </w:tcPr>
          <w:p w14:paraId="1F9170FF"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10-50</w:t>
            </w:r>
          </w:p>
        </w:tc>
        <w:tc>
          <w:tcPr>
            <w:tcW w:w="1317" w:type="dxa"/>
            <w:tcBorders>
              <w:top w:val="single" w:sz="4" w:space="0" w:color="auto"/>
              <w:left w:val="single" w:sz="4" w:space="0" w:color="auto"/>
              <w:bottom w:val="single" w:sz="4" w:space="0" w:color="auto"/>
              <w:right w:val="single" w:sz="4" w:space="0" w:color="auto"/>
            </w:tcBorders>
            <w:shd w:val="clear" w:color="auto" w:fill="auto"/>
          </w:tcPr>
          <w:p w14:paraId="29A8A6A1"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500</w:t>
            </w:r>
          </w:p>
        </w:tc>
        <w:tc>
          <w:tcPr>
            <w:tcW w:w="1456" w:type="dxa"/>
            <w:tcBorders>
              <w:left w:val="single" w:sz="4" w:space="0" w:color="auto"/>
            </w:tcBorders>
          </w:tcPr>
          <w:p w14:paraId="460D269C"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1000-2000</w:t>
            </w:r>
          </w:p>
        </w:tc>
        <w:tc>
          <w:tcPr>
            <w:tcW w:w="1604" w:type="dxa"/>
          </w:tcPr>
          <w:p w14:paraId="018F0A63"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 2100</w:t>
            </w:r>
          </w:p>
        </w:tc>
      </w:tr>
      <w:tr w:rsidR="00BE0B19" w:rsidRPr="00AE47C6" w14:paraId="10E91472" w14:textId="77777777" w:rsidTr="00AD72E5">
        <w:tc>
          <w:tcPr>
            <w:tcW w:w="1980" w:type="dxa"/>
          </w:tcPr>
          <w:p w14:paraId="560849FF"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Carbamazepine</w:t>
            </w:r>
          </w:p>
        </w:tc>
        <w:tc>
          <w:tcPr>
            <w:tcW w:w="1291" w:type="dxa"/>
            <w:tcBorders>
              <w:top w:val="single" w:sz="4" w:space="0" w:color="auto"/>
            </w:tcBorders>
            <w:shd w:val="clear" w:color="auto" w:fill="auto"/>
          </w:tcPr>
          <w:p w14:paraId="170B9EB2"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5 </w:t>
            </w:r>
          </w:p>
        </w:tc>
        <w:tc>
          <w:tcPr>
            <w:tcW w:w="1424" w:type="dxa"/>
            <w:gridSpan w:val="2"/>
            <w:tcBorders>
              <w:top w:val="single" w:sz="4" w:space="0" w:color="auto"/>
            </w:tcBorders>
            <w:shd w:val="clear" w:color="auto" w:fill="auto"/>
          </w:tcPr>
          <w:p w14:paraId="33D3CB16"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10-30</w:t>
            </w:r>
          </w:p>
        </w:tc>
        <w:tc>
          <w:tcPr>
            <w:tcW w:w="1317" w:type="dxa"/>
            <w:tcBorders>
              <w:top w:val="single" w:sz="4" w:space="0" w:color="auto"/>
            </w:tcBorders>
            <w:shd w:val="clear" w:color="auto" w:fill="auto"/>
          </w:tcPr>
          <w:p w14:paraId="5F22DC36"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200 </w:t>
            </w:r>
          </w:p>
        </w:tc>
        <w:tc>
          <w:tcPr>
            <w:tcW w:w="1456" w:type="dxa"/>
          </w:tcPr>
          <w:p w14:paraId="5766FFEC"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600-1200</w:t>
            </w:r>
          </w:p>
        </w:tc>
        <w:tc>
          <w:tcPr>
            <w:tcW w:w="1604" w:type="dxa"/>
          </w:tcPr>
          <w:p w14:paraId="2574E7B0"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1600</w:t>
            </w:r>
          </w:p>
        </w:tc>
      </w:tr>
      <w:tr w:rsidR="00BE0B19" w:rsidRPr="00AE47C6" w14:paraId="0690597F" w14:textId="77777777" w:rsidTr="00AD72E5">
        <w:tc>
          <w:tcPr>
            <w:tcW w:w="1980" w:type="dxa"/>
          </w:tcPr>
          <w:p w14:paraId="58C21428"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Oxcarbazepine</w:t>
            </w:r>
          </w:p>
        </w:tc>
        <w:tc>
          <w:tcPr>
            <w:tcW w:w="1291" w:type="dxa"/>
          </w:tcPr>
          <w:p w14:paraId="288C2BF5"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10 </w:t>
            </w:r>
          </w:p>
        </w:tc>
        <w:tc>
          <w:tcPr>
            <w:tcW w:w="1424" w:type="dxa"/>
            <w:gridSpan w:val="2"/>
          </w:tcPr>
          <w:p w14:paraId="247F1F49"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30-40</w:t>
            </w:r>
          </w:p>
        </w:tc>
        <w:tc>
          <w:tcPr>
            <w:tcW w:w="1317" w:type="dxa"/>
          </w:tcPr>
          <w:p w14:paraId="3BDFFFB9"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300-600</w:t>
            </w:r>
          </w:p>
        </w:tc>
        <w:tc>
          <w:tcPr>
            <w:tcW w:w="1456" w:type="dxa"/>
          </w:tcPr>
          <w:p w14:paraId="1B622BA2"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900-2400</w:t>
            </w:r>
          </w:p>
        </w:tc>
        <w:tc>
          <w:tcPr>
            <w:tcW w:w="1604" w:type="dxa"/>
          </w:tcPr>
          <w:p w14:paraId="2030AE03"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2400</w:t>
            </w:r>
          </w:p>
        </w:tc>
      </w:tr>
      <w:tr w:rsidR="00BE0B19" w:rsidRPr="00AE47C6" w14:paraId="6C58B252" w14:textId="77777777" w:rsidTr="00AD72E5">
        <w:tc>
          <w:tcPr>
            <w:tcW w:w="1980" w:type="dxa"/>
          </w:tcPr>
          <w:p w14:paraId="6AC61DA6"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Phenytoin</w:t>
            </w:r>
          </w:p>
        </w:tc>
        <w:tc>
          <w:tcPr>
            <w:tcW w:w="1291" w:type="dxa"/>
          </w:tcPr>
          <w:p w14:paraId="4D6C5234"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3-4</w:t>
            </w:r>
          </w:p>
        </w:tc>
        <w:tc>
          <w:tcPr>
            <w:tcW w:w="1424" w:type="dxa"/>
            <w:gridSpan w:val="2"/>
          </w:tcPr>
          <w:p w14:paraId="4F9A7A1E"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4-8</w:t>
            </w:r>
          </w:p>
        </w:tc>
        <w:tc>
          <w:tcPr>
            <w:tcW w:w="1317" w:type="dxa"/>
          </w:tcPr>
          <w:p w14:paraId="744BB9F2"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100</w:t>
            </w:r>
          </w:p>
        </w:tc>
        <w:tc>
          <w:tcPr>
            <w:tcW w:w="1456" w:type="dxa"/>
          </w:tcPr>
          <w:p w14:paraId="18296C15"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300-400</w:t>
            </w:r>
          </w:p>
        </w:tc>
        <w:tc>
          <w:tcPr>
            <w:tcW w:w="1604" w:type="dxa"/>
          </w:tcPr>
          <w:p w14:paraId="08241C27"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500</w:t>
            </w:r>
          </w:p>
        </w:tc>
      </w:tr>
      <w:tr w:rsidR="00BE0B19" w:rsidRPr="00AE47C6" w14:paraId="42B6E033" w14:textId="77777777" w:rsidTr="00AD72E5">
        <w:tc>
          <w:tcPr>
            <w:tcW w:w="1980" w:type="dxa"/>
          </w:tcPr>
          <w:p w14:paraId="21BDEFCC"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Phenobarbital</w:t>
            </w:r>
          </w:p>
        </w:tc>
        <w:tc>
          <w:tcPr>
            <w:tcW w:w="1291" w:type="dxa"/>
          </w:tcPr>
          <w:p w14:paraId="0EA53044"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w:t>
            </w:r>
          </w:p>
        </w:tc>
        <w:tc>
          <w:tcPr>
            <w:tcW w:w="1424" w:type="dxa"/>
            <w:gridSpan w:val="2"/>
          </w:tcPr>
          <w:p w14:paraId="72395B4B"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2-5</w:t>
            </w:r>
          </w:p>
        </w:tc>
        <w:tc>
          <w:tcPr>
            <w:tcW w:w="1317" w:type="dxa"/>
          </w:tcPr>
          <w:p w14:paraId="1D704E19"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60</w:t>
            </w:r>
          </w:p>
        </w:tc>
        <w:tc>
          <w:tcPr>
            <w:tcW w:w="1456" w:type="dxa"/>
          </w:tcPr>
          <w:p w14:paraId="7870E6AD"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90-250</w:t>
            </w:r>
          </w:p>
        </w:tc>
        <w:tc>
          <w:tcPr>
            <w:tcW w:w="1604" w:type="dxa"/>
          </w:tcPr>
          <w:p w14:paraId="1E4E73A2"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600</w:t>
            </w:r>
          </w:p>
        </w:tc>
      </w:tr>
      <w:tr w:rsidR="00BE0B19" w:rsidRPr="00AE47C6" w14:paraId="3133C15B" w14:textId="77777777" w:rsidTr="00AD72E5">
        <w:tc>
          <w:tcPr>
            <w:tcW w:w="1980" w:type="dxa"/>
          </w:tcPr>
          <w:p w14:paraId="7CC3CFE7"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Clonazepam</w:t>
            </w:r>
          </w:p>
        </w:tc>
        <w:tc>
          <w:tcPr>
            <w:tcW w:w="1291" w:type="dxa"/>
          </w:tcPr>
          <w:p w14:paraId="7F0BC6C7"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0,01</w:t>
            </w:r>
          </w:p>
        </w:tc>
        <w:tc>
          <w:tcPr>
            <w:tcW w:w="1424" w:type="dxa"/>
            <w:gridSpan w:val="2"/>
          </w:tcPr>
          <w:p w14:paraId="01D5B5DC"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 0,01-0,02–0,1-0,2 </w:t>
            </w:r>
          </w:p>
        </w:tc>
        <w:tc>
          <w:tcPr>
            <w:tcW w:w="1317" w:type="dxa"/>
          </w:tcPr>
          <w:p w14:paraId="7EAE6C3F"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0,5</w:t>
            </w:r>
          </w:p>
        </w:tc>
        <w:tc>
          <w:tcPr>
            <w:tcW w:w="1456" w:type="dxa"/>
          </w:tcPr>
          <w:p w14:paraId="047B96FE"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2-6</w:t>
            </w:r>
          </w:p>
        </w:tc>
        <w:tc>
          <w:tcPr>
            <w:tcW w:w="1604" w:type="dxa"/>
          </w:tcPr>
          <w:p w14:paraId="145C3A42"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8</w:t>
            </w:r>
          </w:p>
        </w:tc>
      </w:tr>
      <w:tr w:rsidR="00BE0B19" w:rsidRPr="00AE47C6" w14:paraId="68D9EB1B" w14:textId="77777777" w:rsidTr="00AD72E5">
        <w:tc>
          <w:tcPr>
            <w:tcW w:w="1980" w:type="dxa"/>
          </w:tcPr>
          <w:p w14:paraId="298D8F8F"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Lamotrigine</w:t>
            </w:r>
          </w:p>
        </w:tc>
        <w:tc>
          <w:tcPr>
            <w:tcW w:w="1291" w:type="dxa"/>
          </w:tcPr>
          <w:p w14:paraId="36C93013"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0,6 с ензимни индуктори </w:t>
            </w:r>
          </w:p>
          <w:p w14:paraId="5F461B8C"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0,15 при VPA </w:t>
            </w:r>
          </w:p>
          <w:p w14:paraId="1F9BB11D"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0,3 при моно-терапия</w:t>
            </w:r>
          </w:p>
        </w:tc>
        <w:tc>
          <w:tcPr>
            <w:tcW w:w="1424" w:type="dxa"/>
            <w:gridSpan w:val="2"/>
          </w:tcPr>
          <w:p w14:paraId="32E6648D"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5-15 с ензимни индуктори </w:t>
            </w:r>
          </w:p>
          <w:p w14:paraId="4BAC45D8"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 с VPA</w:t>
            </w:r>
          </w:p>
          <w:p w14:paraId="2B005A65"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15 при моно-терапия</w:t>
            </w:r>
          </w:p>
        </w:tc>
        <w:tc>
          <w:tcPr>
            <w:tcW w:w="1317" w:type="dxa"/>
          </w:tcPr>
          <w:p w14:paraId="47988FE2"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50 с ензимни индуктори </w:t>
            </w:r>
          </w:p>
          <w:p w14:paraId="42D4BDF9"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12,5 с VPA</w:t>
            </w:r>
          </w:p>
          <w:p w14:paraId="7688D05F"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25 при моно-терапия</w:t>
            </w:r>
          </w:p>
        </w:tc>
        <w:tc>
          <w:tcPr>
            <w:tcW w:w="1456" w:type="dxa"/>
          </w:tcPr>
          <w:p w14:paraId="79AEC152"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500-600 при ензимен индуктор</w:t>
            </w:r>
          </w:p>
          <w:p w14:paraId="403B6DE3"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300-400 при VPA</w:t>
            </w:r>
          </w:p>
          <w:p w14:paraId="42F3641F"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500 при моно-терапия</w:t>
            </w:r>
          </w:p>
        </w:tc>
        <w:tc>
          <w:tcPr>
            <w:tcW w:w="1604" w:type="dxa"/>
          </w:tcPr>
          <w:p w14:paraId="0E54DE1E"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700 при моно-терапия</w:t>
            </w:r>
          </w:p>
        </w:tc>
      </w:tr>
      <w:tr w:rsidR="00BE0B19" w:rsidRPr="00AE47C6" w14:paraId="117C0C77" w14:textId="77777777" w:rsidTr="00AD72E5">
        <w:tc>
          <w:tcPr>
            <w:tcW w:w="1980" w:type="dxa"/>
          </w:tcPr>
          <w:p w14:paraId="0B1D4C38"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Topiramate</w:t>
            </w:r>
          </w:p>
        </w:tc>
        <w:tc>
          <w:tcPr>
            <w:tcW w:w="1291" w:type="dxa"/>
          </w:tcPr>
          <w:p w14:paraId="7E01B8E9"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0,5-1,0 </w:t>
            </w:r>
          </w:p>
        </w:tc>
        <w:tc>
          <w:tcPr>
            <w:tcW w:w="1424" w:type="dxa"/>
            <w:gridSpan w:val="2"/>
          </w:tcPr>
          <w:p w14:paraId="231FC82B"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5-9 </w:t>
            </w:r>
          </w:p>
        </w:tc>
        <w:tc>
          <w:tcPr>
            <w:tcW w:w="1317" w:type="dxa"/>
          </w:tcPr>
          <w:p w14:paraId="154EE779"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25 </w:t>
            </w:r>
          </w:p>
        </w:tc>
        <w:tc>
          <w:tcPr>
            <w:tcW w:w="1456" w:type="dxa"/>
          </w:tcPr>
          <w:p w14:paraId="0F12DC3C"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200-400 </w:t>
            </w:r>
          </w:p>
        </w:tc>
        <w:tc>
          <w:tcPr>
            <w:tcW w:w="1604" w:type="dxa"/>
          </w:tcPr>
          <w:p w14:paraId="6197A404"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 500 </w:t>
            </w:r>
          </w:p>
        </w:tc>
      </w:tr>
      <w:tr w:rsidR="00BE0B19" w:rsidRPr="00AE47C6" w14:paraId="73168740" w14:textId="77777777" w:rsidTr="00AD72E5">
        <w:tc>
          <w:tcPr>
            <w:tcW w:w="1980" w:type="dxa"/>
          </w:tcPr>
          <w:p w14:paraId="5EF6F0FE"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Levetiracetam</w:t>
            </w:r>
          </w:p>
        </w:tc>
        <w:tc>
          <w:tcPr>
            <w:tcW w:w="1291" w:type="dxa"/>
          </w:tcPr>
          <w:p w14:paraId="42883037"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10 </w:t>
            </w:r>
          </w:p>
        </w:tc>
        <w:tc>
          <w:tcPr>
            <w:tcW w:w="1424" w:type="dxa"/>
            <w:gridSpan w:val="2"/>
          </w:tcPr>
          <w:p w14:paraId="7DAE960D"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40 </w:t>
            </w:r>
          </w:p>
        </w:tc>
        <w:tc>
          <w:tcPr>
            <w:tcW w:w="1317" w:type="dxa"/>
          </w:tcPr>
          <w:p w14:paraId="2DBF7C64"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1000 </w:t>
            </w:r>
          </w:p>
        </w:tc>
        <w:tc>
          <w:tcPr>
            <w:tcW w:w="1456" w:type="dxa"/>
          </w:tcPr>
          <w:p w14:paraId="2613D1FC"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2000-3000 </w:t>
            </w:r>
          </w:p>
        </w:tc>
        <w:tc>
          <w:tcPr>
            <w:tcW w:w="1604" w:type="dxa"/>
          </w:tcPr>
          <w:p w14:paraId="616B793A"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3000 </w:t>
            </w:r>
          </w:p>
        </w:tc>
      </w:tr>
      <w:tr w:rsidR="00BE0B19" w:rsidRPr="00AE47C6" w14:paraId="7C35A149" w14:textId="77777777" w:rsidTr="00AD72E5">
        <w:tc>
          <w:tcPr>
            <w:tcW w:w="1980" w:type="dxa"/>
          </w:tcPr>
          <w:p w14:paraId="424F92A5"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Tiagabine</w:t>
            </w:r>
          </w:p>
        </w:tc>
        <w:tc>
          <w:tcPr>
            <w:tcW w:w="1291" w:type="dxa"/>
          </w:tcPr>
          <w:p w14:paraId="01B9891B"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0,1 </w:t>
            </w:r>
          </w:p>
        </w:tc>
        <w:tc>
          <w:tcPr>
            <w:tcW w:w="1424" w:type="dxa"/>
            <w:gridSpan w:val="2"/>
          </w:tcPr>
          <w:p w14:paraId="45CD7706"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1 </w:t>
            </w:r>
          </w:p>
        </w:tc>
        <w:tc>
          <w:tcPr>
            <w:tcW w:w="1317" w:type="dxa"/>
          </w:tcPr>
          <w:p w14:paraId="765BED15"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5–10 </w:t>
            </w:r>
          </w:p>
        </w:tc>
        <w:tc>
          <w:tcPr>
            <w:tcW w:w="1456" w:type="dxa"/>
          </w:tcPr>
          <w:p w14:paraId="3FA32F8C"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60 </w:t>
            </w:r>
          </w:p>
        </w:tc>
        <w:tc>
          <w:tcPr>
            <w:tcW w:w="1604" w:type="dxa"/>
          </w:tcPr>
          <w:p w14:paraId="7263DD81"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70 </w:t>
            </w:r>
          </w:p>
        </w:tc>
      </w:tr>
      <w:tr w:rsidR="00BE0B19" w:rsidRPr="00AE47C6" w14:paraId="74D9386C" w14:textId="77777777" w:rsidTr="00AD72E5">
        <w:tc>
          <w:tcPr>
            <w:tcW w:w="1980" w:type="dxa"/>
          </w:tcPr>
          <w:p w14:paraId="30795E70"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Gabapentin</w:t>
            </w:r>
          </w:p>
        </w:tc>
        <w:tc>
          <w:tcPr>
            <w:tcW w:w="1291" w:type="dxa"/>
          </w:tcPr>
          <w:p w14:paraId="3B28BE56"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Над 6 г.</w:t>
            </w:r>
          </w:p>
          <w:p w14:paraId="251AC64E"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10-15 </w:t>
            </w:r>
          </w:p>
        </w:tc>
        <w:tc>
          <w:tcPr>
            <w:tcW w:w="1424" w:type="dxa"/>
            <w:gridSpan w:val="2"/>
          </w:tcPr>
          <w:p w14:paraId="0F3668BE"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25-35</w:t>
            </w:r>
          </w:p>
        </w:tc>
        <w:tc>
          <w:tcPr>
            <w:tcW w:w="1317" w:type="dxa"/>
          </w:tcPr>
          <w:p w14:paraId="355D02A9"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300</w:t>
            </w:r>
          </w:p>
        </w:tc>
        <w:tc>
          <w:tcPr>
            <w:tcW w:w="1456" w:type="dxa"/>
          </w:tcPr>
          <w:p w14:paraId="4C3BEBBB"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1200-1800-3600</w:t>
            </w:r>
          </w:p>
        </w:tc>
        <w:tc>
          <w:tcPr>
            <w:tcW w:w="1604" w:type="dxa"/>
          </w:tcPr>
          <w:p w14:paraId="31CF32B6"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3600 </w:t>
            </w:r>
          </w:p>
        </w:tc>
      </w:tr>
      <w:tr w:rsidR="00BE0B19" w:rsidRPr="00AE47C6" w14:paraId="18C1C980" w14:textId="77777777" w:rsidTr="00AD72E5">
        <w:trPr>
          <w:trHeight w:val="463"/>
        </w:trPr>
        <w:tc>
          <w:tcPr>
            <w:tcW w:w="1980" w:type="dxa"/>
          </w:tcPr>
          <w:p w14:paraId="4C566BF0"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Pregabalin</w:t>
            </w:r>
          </w:p>
        </w:tc>
        <w:tc>
          <w:tcPr>
            <w:tcW w:w="1291" w:type="dxa"/>
          </w:tcPr>
          <w:p w14:paraId="2A77B4D3"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w:t>
            </w:r>
          </w:p>
        </w:tc>
        <w:tc>
          <w:tcPr>
            <w:tcW w:w="1424" w:type="dxa"/>
            <w:gridSpan w:val="2"/>
          </w:tcPr>
          <w:p w14:paraId="4D60C5F0"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w:t>
            </w:r>
          </w:p>
        </w:tc>
        <w:tc>
          <w:tcPr>
            <w:tcW w:w="1317" w:type="dxa"/>
          </w:tcPr>
          <w:p w14:paraId="14966660"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150</w:t>
            </w:r>
          </w:p>
        </w:tc>
        <w:tc>
          <w:tcPr>
            <w:tcW w:w="1456" w:type="dxa"/>
          </w:tcPr>
          <w:p w14:paraId="68E230B6"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450-600</w:t>
            </w:r>
          </w:p>
        </w:tc>
        <w:tc>
          <w:tcPr>
            <w:tcW w:w="1604" w:type="dxa"/>
          </w:tcPr>
          <w:p w14:paraId="4873AD07"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600</w:t>
            </w:r>
          </w:p>
        </w:tc>
      </w:tr>
      <w:tr w:rsidR="00BE0B19" w:rsidRPr="00AE47C6" w14:paraId="396DFFD7" w14:textId="77777777" w:rsidTr="00AD72E5">
        <w:tc>
          <w:tcPr>
            <w:tcW w:w="1980" w:type="dxa"/>
          </w:tcPr>
          <w:p w14:paraId="5D5BF2D0"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Lacosamide</w:t>
            </w:r>
          </w:p>
        </w:tc>
        <w:tc>
          <w:tcPr>
            <w:tcW w:w="1291" w:type="dxa"/>
          </w:tcPr>
          <w:p w14:paraId="2B7F020F"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След 4 г.</w:t>
            </w:r>
          </w:p>
          <w:p w14:paraId="427ED3E3"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 mg/kg</w:t>
            </w:r>
          </w:p>
        </w:tc>
        <w:tc>
          <w:tcPr>
            <w:tcW w:w="1424" w:type="dxa"/>
            <w:gridSpan w:val="2"/>
          </w:tcPr>
          <w:p w14:paraId="16938E86"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200-400 mg/дн.</w:t>
            </w:r>
          </w:p>
        </w:tc>
        <w:tc>
          <w:tcPr>
            <w:tcW w:w="1317" w:type="dxa"/>
          </w:tcPr>
          <w:p w14:paraId="35CF631A"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100</w:t>
            </w:r>
          </w:p>
        </w:tc>
        <w:tc>
          <w:tcPr>
            <w:tcW w:w="1456" w:type="dxa"/>
          </w:tcPr>
          <w:p w14:paraId="7019ADAA"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200-400</w:t>
            </w:r>
          </w:p>
        </w:tc>
        <w:tc>
          <w:tcPr>
            <w:tcW w:w="1604" w:type="dxa"/>
          </w:tcPr>
          <w:p w14:paraId="24284F11"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600 mg или 10mg/kg при монотерапия при деца и юноши над 50 kg и 8 mg/kg при деца и юноши под 50 kg; 400 mg при допълваща терапия за деца и юноши над 50 kg и възрастни</w:t>
            </w:r>
          </w:p>
        </w:tc>
      </w:tr>
      <w:tr w:rsidR="00BE0B19" w:rsidRPr="00AE47C6" w14:paraId="1963EA77" w14:textId="77777777" w:rsidTr="00AD72E5">
        <w:tc>
          <w:tcPr>
            <w:tcW w:w="1980" w:type="dxa"/>
          </w:tcPr>
          <w:p w14:paraId="4BFCAB94"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 xml:space="preserve">Ethosuximide </w:t>
            </w:r>
          </w:p>
        </w:tc>
        <w:tc>
          <w:tcPr>
            <w:tcW w:w="1291" w:type="dxa"/>
          </w:tcPr>
          <w:p w14:paraId="374F29C1"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10 </w:t>
            </w:r>
          </w:p>
        </w:tc>
        <w:tc>
          <w:tcPr>
            <w:tcW w:w="1424" w:type="dxa"/>
            <w:gridSpan w:val="2"/>
          </w:tcPr>
          <w:p w14:paraId="7301948C"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40 </w:t>
            </w:r>
          </w:p>
        </w:tc>
        <w:tc>
          <w:tcPr>
            <w:tcW w:w="1317" w:type="dxa"/>
          </w:tcPr>
          <w:p w14:paraId="1EACAAFC"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500</w:t>
            </w:r>
          </w:p>
        </w:tc>
        <w:tc>
          <w:tcPr>
            <w:tcW w:w="1456" w:type="dxa"/>
          </w:tcPr>
          <w:p w14:paraId="61283D38"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1500</w:t>
            </w:r>
          </w:p>
        </w:tc>
        <w:tc>
          <w:tcPr>
            <w:tcW w:w="1604" w:type="dxa"/>
          </w:tcPr>
          <w:p w14:paraId="5FC1659C"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2000</w:t>
            </w:r>
          </w:p>
        </w:tc>
      </w:tr>
      <w:tr w:rsidR="00BE0B19" w:rsidRPr="00AE47C6" w14:paraId="54BAE11E" w14:textId="77777777" w:rsidTr="00AD72E5">
        <w:tc>
          <w:tcPr>
            <w:tcW w:w="1980" w:type="dxa"/>
          </w:tcPr>
          <w:p w14:paraId="29269413"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Stiripentol*</w:t>
            </w:r>
          </w:p>
        </w:tc>
        <w:tc>
          <w:tcPr>
            <w:tcW w:w="1291" w:type="dxa"/>
          </w:tcPr>
          <w:p w14:paraId="480B6343"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50 </w:t>
            </w:r>
          </w:p>
        </w:tc>
        <w:tc>
          <w:tcPr>
            <w:tcW w:w="1424" w:type="dxa"/>
            <w:gridSpan w:val="2"/>
          </w:tcPr>
          <w:p w14:paraId="77EBCA51"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до 100 </w:t>
            </w:r>
          </w:p>
        </w:tc>
        <w:tc>
          <w:tcPr>
            <w:tcW w:w="1317" w:type="dxa"/>
          </w:tcPr>
          <w:p w14:paraId="2BBD827C"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50 </w:t>
            </w:r>
          </w:p>
        </w:tc>
        <w:tc>
          <w:tcPr>
            <w:tcW w:w="1456" w:type="dxa"/>
          </w:tcPr>
          <w:p w14:paraId="204388AB"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до 100 </w:t>
            </w:r>
          </w:p>
        </w:tc>
        <w:tc>
          <w:tcPr>
            <w:tcW w:w="1604" w:type="dxa"/>
          </w:tcPr>
          <w:p w14:paraId="59DED5BF"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4000</w:t>
            </w:r>
          </w:p>
        </w:tc>
      </w:tr>
      <w:tr w:rsidR="00BE0B19" w:rsidRPr="00AE47C6" w14:paraId="573E1F17" w14:textId="77777777" w:rsidTr="00AD72E5">
        <w:tc>
          <w:tcPr>
            <w:tcW w:w="1980" w:type="dxa"/>
          </w:tcPr>
          <w:p w14:paraId="205B28D9"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Rufinamide*</w:t>
            </w:r>
          </w:p>
        </w:tc>
        <w:tc>
          <w:tcPr>
            <w:tcW w:w="1291" w:type="dxa"/>
          </w:tcPr>
          <w:p w14:paraId="643AC45A"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Над 4 г.- 10</w:t>
            </w:r>
            <w:r w:rsidRPr="00AE47C6">
              <w:rPr>
                <w:rFonts w:ascii="Times New Roman" w:eastAsia="Arial Unicode MS" w:hAnsi="Times New Roman"/>
                <w:sz w:val="24"/>
                <w:szCs w:val="24"/>
              </w:rPr>
              <w:t> </w:t>
            </w:r>
          </w:p>
        </w:tc>
        <w:tc>
          <w:tcPr>
            <w:tcW w:w="1424" w:type="dxa"/>
            <w:gridSpan w:val="2"/>
          </w:tcPr>
          <w:p w14:paraId="3D8BA163"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45 </w:t>
            </w:r>
          </w:p>
        </w:tc>
        <w:tc>
          <w:tcPr>
            <w:tcW w:w="1317" w:type="dxa"/>
          </w:tcPr>
          <w:p w14:paraId="30BB3400"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400 </w:t>
            </w:r>
          </w:p>
        </w:tc>
        <w:tc>
          <w:tcPr>
            <w:tcW w:w="1456" w:type="dxa"/>
          </w:tcPr>
          <w:p w14:paraId="18C6A018"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2400</w:t>
            </w:r>
          </w:p>
        </w:tc>
        <w:tc>
          <w:tcPr>
            <w:tcW w:w="1604" w:type="dxa"/>
          </w:tcPr>
          <w:p w14:paraId="16F8861F"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3200</w:t>
            </w:r>
          </w:p>
        </w:tc>
      </w:tr>
      <w:tr w:rsidR="00BE0B19" w:rsidRPr="00AE47C6" w14:paraId="1788B9C3" w14:textId="77777777" w:rsidTr="00AD72E5">
        <w:tc>
          <w:tcPr>
            <w:tcW w:w="1980" w:type="dxa"/>
          </w:tcPr>
          <w:p w14:paraId="053B884E"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Brivaracetam</w:t>
            </w:r>
          </w:p>
        </w:tc>
        <w:tc>
          <w:tcPr>
            <w:tcW w:w="1291" w:type="dxa"/>
          </w:tcPr>
          <w:p w14:paraId="57E8CEBC"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-Деца ≥ 2 г. и юноши</w:t>
            </w:r>
          </w:p>
          <w:p w14:paraId="194FD731"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≥50 kg  в доза 1 mg/kg</w:t>
            </w:r>
          </w:p>
          <w:p w14:paraId="26FF44ED" w14:textId="77777777" w:rsidR="00BE0B19" w:rsidRPr="00AE47C6" w:rsidRDefault="00BE0B19" w:rsidP="00BE0B19">
            <w:pPr>
              <w:spacing w:line="360" w:lineRule="auto"/>
              <w:rPr>
                <w:rFonts w:ascii="Times New Roman" w:eastAsia="SimSun" w:hAnsi="Times New Roman"/>
                <w:sz w:val="24"/>
                <w:szCs w:val="24"/>
              </w:rPr>
            </w:pPr>
          </w:p>
          <w:p w14:paraId="2A03EE92"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-Над 16 г.</w:t>
            </w:r>
          </w:p>
          <w:p w14:paraId="73E432E6"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50 - 100, разделена на две равни дози</w:t>
            </w:r>
          </w:p>
        </w:tc>
        <w:tc>
          <w:tcPr>
            <w:tcW w:w="1424" w:type="dxa"/>
            <w:gridSpan w:val="2"/>
          </w:tcPr>
          <w:p w14:paraId="148195EC"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 Деца ≥ 2 г. и юноши</w:t>
            </w:r>
          </w:p>
          <w:p w14:paraId="4A6135A8"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≥50 kg  в доза 2 mg/kg - 50-200 според на индивидуалния отговор и поносимост</w:t>
            </w:r>
          </w:p>
        </w:tc>
        <w:tc>
          <w:tcPr>
            <w:tcW w:w="1317" w:type="dxa"/>
          </w:tcPr>
          <w:p w14:paraId="0E544D58"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50 - 100, разделена на две равни дози</w:t>
            </w:r>
          </w:p>
        </w:tc>
        <w:tc>
          <w:tcPr>
            <w:tcW w:w="1456" w:type="dxa"/>
          </w:tcPr>
          <w:p w14:paraId="5327DE3E"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50-200  според индивидуалния отговор и поносимост </w:t>
            </w:r>
          </w:p>
        </w:tc>
        <w:tc>
          <w:tcPr>
            <w:tcW w:w="1604" w:type="dxa"/>
          </w:tcPr>
          <w:p w14:paraId="3B85CFFC"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200</w:t>
            </w:r>
          </w:p>
        </w:tc>
      </w:tr>
      <w:tr w:rsidR="00BE0B19" w:rsidRPr="00AE47C6" w14:paraId="252386A6" w14:textId="77777777" w:rsidTr="00AD72E5">
        <w:tc>
          <w:tcPr>
            <w:tcW w:w="1980" w:type="dxa"/>
          </w:tcPr>
          <w:p w14:paraId="734B1EB1"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Eslicarbazepine</w:t>
            </w:r>
          </w:p>
        </w:tc>
        <w:tc>
          <w:tcPr>
            <w:tcW w:w="1291" w:type="dxa"/>
          </w:tcPr>
          <w:p w14:paraId="23E556A0"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Деца над 6 г.-10  mg/kg/дневно</w:t>
            </w:r>
          </w:p>
          <w:p w14:paraId="30390860"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Над 60  kg - 400  mg</w:t>
            </w:r>
          </w:p>
        </w:tc>
        <w:tc>
          <w:tcPr>
            <w:tcW w:w="1424" w:type="dxa"/>
            <w:gridSpan w:val="2"/>
          </w:tcPr>
          <w:p w14:paraId="170312F5"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Деца над 6 г. -30  mg/kg</w:t>
            </w:r>
          </w:p>
        </w:tc>
        <w:tc>
          <w:tcPr>
            <w:tcW w:w="1317" w:type="dxa"/>
          </w:tcPr>
          <w:p w14:paraId="6BFB10CD"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400  еднократно</w:t>
            </w:r>
          </w:p>
        </w:tc>
        <w:tc>
          <w:tcPr>
            <w:tcW w:w="1456" w:type="dxa"/>
          </w:tcPr>
          <w:p w14:paraId="19C07379"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800-1200 до 1600  mg еднократно</w:t>
            </w:r>
          </w:p>
        </w:tc>
        <w:tc>
          <w:tcPr>
            <w:tcW w:w="1604" w:type="dxa"/>
          </w:tcPr>
          <w:p w14:paraId="071AAB1F"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1600</w:t>
            </w:r>
          </w:p>
        </w:tc>
      </w:tr>
      <w:tr w:rsidR="00BE0B19" w:rsidRPr="00AE47C6" w14:paraId="7A9CBDAC" w14:textId="77777777" w:rsidTr="00AD72E5">
        <w:tc>
          <w:tcPr>
            <w:tcW w:w="1980" w:type="dxa"/>
          </w:tcPr>
          <w:p w14:paraId="5EF16598"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Clobazam**</w:t>
            </w:r>
          </w:p>
          <w:p w14:paraId="6DD36982" w14:textId="77777777" w:rsidR="00BE0B19" w:rsidRPr="00AE47C6" w:rsidRDefault="00BE0B19" w:rsidP="00BE0B19">
            <w:pPr>
              <w:spacing w:line="360" w:lineRule="auto"/>
              <w:rPr>
                <w:rFonts w:ascii="Times New Roman" w:eastAsia="SimSun" w:hAnsi="Times New Roman"/>
                <w:b/>
                <w:bCs/>
                <w:sz w:val="24"/>
                <w:szCs w:val="24"/>
              </w:rPr>
            </w:pPr>
          </w:p>
        </w:tc>
        <w:tc>
          <w:tcPr>
            <w:tcW w:w="1291" w:type="dxa"/>
          </w:tcPr>
          <w:p w14:paraId="628392A4" w14:textId="77777777" w:rsidR="00BE0B19" w:rsidRPr="00AE47C6" w:rsidRDefault="00BE0B19" w:rsidP="00BE0B19">
            <w:pPr>
              <w:spacing w:line="360" w:lineRule="auto"/>
              <w:rPr>
                <w:rFonts w:ascii="Times New Roman" w:eastAsia="SimSun" w:hAnsi="Times New Roman"/>
                <w:bCs/>
                <w:sz w:val="24"/>
                <w:szCs w:val="24"/>
              </w:rPr>
            </w:pPr>
            <w:r w:rsidRPr="00AE47C6">
              <w:rPr>
                <w:rFonts w:ascii="Times New Roman" w:eastAsia="SimSun" w:hAnsi="Times New Roman"/>
                <w:sz w:val="24"/>
                <w:szCs w:val="24"/>
              </w:rPr>
              <w:t>Над 2 г.-</w:t>
            </w:r>
            <w:r w:rsidRPr="00AE47C6">
              <w:rPr>
                <w:rFonts w:ascii="Times New Roman" w:eastAsia="SimSun" w:hAnsi="Times New Roman"/>
                <w:bCs/>
                <w:sz w:val="24"/>
                <w:szCs w:val="24"/>
              </w:rPr>
              <w:t>0,4-1 mg/kg</w:t>
            </w:r>
          </w:p>
          <w:p w14:paraId="6C9D8580" w14:textId="77777777" w:rsidR="00BE0B19" w:rsidRPr="00AE47C6" w:rsidRDefault="00BE0B19" w:rsidP="00BE0B19">
            <w:pPr>
              <w:autoSpaceDE w:val="0"/>
              <w:autoSpaceDN w:val="0"/>
              <w:adjustRightInd w:val="0"/>
              <w:jc w:val="both"/>
              <w:rPr>
                <w:rFonts w:ascii="Times New Roman" w:eastAsia="SimSun" w:hAnsi="Times New Roman"/>
                <w:sz w:val="24"/>
                <w:szCs w:val="24"/>
              </w:rPr>
            </w:pPr>
          </w:p>
        </w:tc>
        <w:tc>
          <w:tcPr>
            <w:tcW w:w="1424" w:type="dxa"/>
            <w:gridSpan w:val="2"/>
          </w:tcPr>
          <w:p w14:paraId="72177D3A" w14:textId="77777777" w:rsidR="00BE0B19" w:rsidRPr="00AE47C6" w:rsidRDefault="00BE0B19" w:rsidP="00BE0B19">
            <w:pPr>
              <w:spacing w:line="360" w:lineRule="auto"/>
              <w:rPr>
                <w:rFonts w:ascii="Times New Roman" w:eastAsia="SimSun" w:hAnsi="Times New Roman"/>
                <w:bCs/>
                <w:sz w:val="24"/>
                <w:szCs w:val="24"/>
              </w:rPr>
            </w:pPr>
            <w:r w:rsidRPr="00AE47C6">
              <w:rPr>
                <w:rFonts w:ascii="Times New Roman" w:eastAsia="SimSun" w:hAnsi="Times New Roman"/>
                <w:bCs/>
                <w:sz w:val="24"/>
                <w:szCs w:val="24"/>
              </w:rPr>
              <w:t>Титриране до 1 mg/kg през 7 дни;</w:t>
            </w:r>
          </w:p>
          <w:p w14:paraId="0A2C127C"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 xml:space="preserve"> Под 30 </w:t>
            </w:r>
            <w:r w:rsidRPr="00AE47C6">
              <w:rPr>
                <w:rFonts w:ascii="Times New Roman" w:eastAsia="SimSun" w:hAnsi="Times New Roman"/>
                <w:bCs/>
                <w:sz w:val="24"/>
                <w:szCs w:val="24"/>
              </w:rPr>
              <w:t xml:space="preserve"> kg</w:t>
            </w:r>
            <w:r w:rsidRPr="00AE47C6">
              <w:rPr>
                <w:rFonts w:ascii="Times New Roman" w:eastAsia="SimSun" w:hAnsi="Times New Roman"/>
                <w:sz w:val="24"/>
                <w:szCs w:val="24"/>
              </w:rPr>
              <w:t xml:space="preserve"> - 20 mg; Над 30  kg - до 40 mg</w:t>
            </w:r>
          </w:p>
        </w:tc>
        <w:tc>
          <w:tcPr>
            <w:tcW w:w="1317" w:type="dxa"/>
          </w:tcPr>
          <w:p w14:paraId="57CDCEA0"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 mg</w:t>
            </w:r>
          </w:p>
        </w:tc>
        <w:tc>
          <w:tcPr>
            <w:tcW w:w="1456" w:type="dxa"/>
          </w:tcPr>
          <w:p w14:paraId="0D7CB714"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До 40 mg</w:t>
            </w:r>
          </w:p>
        </w:tc>
        <w:tc>
          <w:tcPr>
            <w:tcW w:w="1604" w:type="dxa"/>
          </w:tcPr>
          <w:p w14:paraId="048843C6"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color w:val="242424"/>
                <w:sz w:val="24"/>
                <w:szCs w:val="24"/>
                <w:shd w:val="clear" w:color="auto" w:fill="FFFFFF"/>
              </w:rPr>
              <w:t>40 mg </w:t>
            </w:r>
          </w:p>
        </w:tc>
      </w:tr>
      <w:tr w:rsidR="00BE0B19" w:rsidRPr="00AE47C6" w14:paraId="00A072E4" w14:textId="77777777" w:rsidTr="00AD72E5">
        <w:tc>
          <w:tcPr>
            <w:tcW w:w="1980" w:type="dxa"/>
          </w:tcPr>
          <w:p w14:paraId="6A2558E8"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Zonisamide**</w:t>
            </w:r>
          </w:p>
          <w:p w14:paraId="35D0AC00" w14:textId="77777777" w:rsidR="00BE0B19" w:rsidRPr="00AE47C6" w:rsidRDefault="00BE0B19" w:rsidP="00BE0B19">
            <w:pPr>
              <w:spacing w:line="360" w:lineRule="auto"/>
              <w:rPr>
                <w:rFonts w:ascii="Times New Roman" w:eastAsia="SimSun" w:hAnsi="Times New Roman"/>
                <w:b/>
                <w:bCs/>
                <w:sz w:val="24"/>
                <w:szCs w:val="24"/>
              </w:rPr>
            </w:pPr>
          </w:p>
        </w:tc>
        <w:tc>
          <w:tcPr>
            <w:tcW w:w="1291" w:type="dxa"/>
          </w:tcPr>
          <w:p w14:paraId="21634F2C" w14:textId="77777777" w:rsidR="00BE0B19" w:rsidRPr="00AE47C6" w:rsidRDefault="00BE0B19" w:rsidP="00BE0B19">
            <w:pPr>
              <w:spacing w:line="360" w:lineRule="auto"/>
              <w:rPr>
                <w:rFonts w:ascii="Times New Roman" w:eastAsia="SimSun" w:hAnsi="Times New Roman"/>
                <w:bCs/>
                <w:sz w:val="24"/>
                <w:szCs w:val="24"/>
              </w:rPr>
            </w:pPr>
            <w:r w:rsidRPr="00AE47C6">
              <w:rPr>
                <w:rFonts w:ascii="Times New Roman" w:eastAsia="SimSun" w:hAnsi="Times New Roman"/>
                <w:bCs/>
                <w:sz w:val="24"/>
                <w:szCs w:val="24"/>
              </w:rPr>
              <w:t>≥ 6 г. и юноши</w:t>
            </w:r>
          </w:p>
          <w:p w14:paraId="79E11649" w14:textId="77777777" w:rsidR="00BE0B19" w:rsidRPr="00AE47C6" w:rsidRDefault="00BE0B19" w:rsidP="00BE0B19">
            <w:pPr>
              <w:spacing w:line="360" w:lineRule="auto"/>
              <w:rPr>
                <w:rFonts w:ascii="Times New Roman" w:eastAsia="SimSun" w:hAnsi="Times New Roman"/>
                <w:bCs/>
                <w:sz w:val="24"/>
                <w:szCs w:val="24"/>
              </w:rPr>
            </w:pPr>
            <w:r w:rsidRPr="00AE47C6">
              <w:rPr>
                <w:rFonts w:ascii="Times New Roman" w:eastAsia="SimSun" w:hAnsi="Times New Roman"/>
                <w:bCs/>
                <w:sz w:val="24"/>
                <w:szCs w:val="24"/>
              </w:rPr>
              <w:t xml:space="preserve">≥50 kg- 1 mg/kg </w:t>
            </w:r>
          </w:p>
          <w:p w14:paraId="4B20DD6A" w14:textId="77777777" w:rsidR="00BE0B19" w:rsidRPr="00AE47C6" w:rsidRDefault="00BE0B19" w:rsidP="00BE0B19">
            <w:pPr>
              <w:autoSpaceDE w:val="0"/>
              <w:autoSpaceDN w:val="0"/>
              <w:adjustRightInd w:val="0"/>
              <w:jc w:val="both"/>
              <w:rPr>
                <w:rFonts w:ascii="Times New Roman" w:eastAsia="SimSun" w:hAnsi="Times New Roman"/>
                <w:sz w:val="24"/>
                <w:szCs w:val="24"/>
              </w:rPr>
            </w:pPr>
          </w:p>
        </w:tc>
        <w:tc>
          <w:tcPr>
            <w:tcW w:w="1424" w:type="dxa"/>
            <w:gridSpan w:val="2"/>
          </w:tcPr>
          <w:p w14:paraId="46DAFEC1"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bCs/>
                <w:sz w:val="24"/>
                <w:szCs w:val="24"/>
              </w:rPr>
              <w:t>Титриране  през 7 дни до</w:t>
            </w:r>
            <w:r w:rsidRPr="00AE47C6">
              <w:rPr>
                <w:rFonts w:ascii="Times New Roman" w:eastAsia="SimSun" w:hAnsi="Times New Roman"/>
                <w:b/>
                <w:bCs/>
                <w:sz w:val="24"/>
                <w:szCs w:val="24"/>
              </w:rPr>
              <w:t xml:space="preserve"> </w:t>
            </w:r>
            <w:r w:rsidRPr="00AE47C6">
              <w:rPr>
                <w:rFonts w:ascii="Times New Roman" w:eastAsia="SimSun" w:hAnsi="Times New Roman"/>
                <w:sz w:val="24"/>
                <w:szCs w:val="24"/>
                <w:shd w:val="clear" w:color="auto" w:fill="FFFFFF"/>
              </w:rPr>
              <w:t>4—8 mg/kg</w:t>
            </w:r>
          </w:p>
        </w:tc>
        <w:tc>
          <w:tcPr>
            <w:tcW w:w="1317" w:type="dxa"/>
          </w:tcPr>
          <w:p w14:paraId="5A6C0462"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100 mg</w:t>
            </w:r>
          </w:p>
        </w:tc>
        <w:tc>
          <w:tcPr>
            <w:tcW w:w="1456" w:type="dxa"/>
          </w:tcPr>
          <w:p w14:paraId="7CF10E5F"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300 mg</w:t>
            </w:r>
          </w:p>
        </w:tc>
        <w:tc>
          <w:tcPr>
            <w:tcW w:w="1604" w:type="dxa"/>
          </w:tcPr>
          <w:p w14:paraId="46C14C7F"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600 mg</w:t>
            </w:r>
          </w:p>
        </w:tc>
      </w:tr>
      <w:tr w:rsidR="00BE0B19" w:rsidRPr="00AE47C6" w14:paraId="4E3C5F3D" w14:textId="77777777" w:rsidTr="00AD72E5">
        <w:tc>
          <w:tcPr>
            <w:tcW w:w="1980" w:type="dxa"/>
          </w:tcPr>
          <w:p w14:paraId="266444A2"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Cannabidiol*</w:t>
            </w:r>
          </w:p>
          <w:p w14:paraId="6FA9D058" w14:textId="77777777" w:rsidR="00BE0B19" w:rsidRPr="00AE47C6" w:rsidRDefault="00BE0B19" w:rsidP="00BE0B19">
            <w:pPr>
              <w:spacing w:line="360" w:lineRule="auto"/>
              <w:rPr>
                <w:rFonts w:ascii="Times New Roman" w:eastAsia="SimSun" w:hAnsi="Times New Roman"/>
                <w:b/>
                <w:bCs/>
                <w:sz w:val="24"/>
                <w:szCs w:val="24"/>
              </w:rPr>
            </w:pPr>
          </w:p>
        </w:tc>
        <w:tc>
          <w:tcPr>
            <w:tcW w:w="1291" w:type="dxa"/>
          </w:tcPr>
          <w:p w14:paraId="60AAAEF9" w14:textId="77777777" w:rsidR="00BE0B19" w:rsidRPr="00AE47C6" w:rsidRDefault="00BE0B19" w:rsidP="00BE0B19">
            <w:pPr>
              <w:spacing w:line="360" w:lineRule="auto"/>
              <w:rPr>
                <w:rFonts w:ascii="Times New Roman" w:eastAsia="SimSun" w:hAnsi="Times New Roman"/>
                <w:bCs/>
                <w:sz w:val="24"/>
                <w:szCs w:val="24"/>
              </w:rPr>
            </w:pPr>
            <w:r w:rsidRPr="00AE47C6">
              <w:rPr>
                <w:rFonts w:ascii="Times New Roman" w:eastAsia="SimSun" w:hAnsi="Times New Roman"/>
                <w:b/>
                <w:bCs/>
                <w:sz w:val="24"/>
                <w:szCs w:val="24"/>
              </w:rPr>
              <w:t xml:space="preserve">≥ </w:t>
            </w:r>
            <w:r w:rsidRPr="00AE47C6">
              <w:rPr>
                <w:rFonts w:ascii="Times New Roman" w:eastAsia="SimSun" w:hAnsi="Times New Roman"/>
                <w:bCs/>
                <w:sz w:val="24"/>
                <w:szCs w:val="24"/>
              </w:rPr>
              <w:t>2 г. -</w:t>
            </w:r>
            <w:r w:rsidRPr="00AE47C6">
              <w:rPr>
                <w:rFonts w:ascii="Times New Roman" w:eastAsia="SimSun" w:hAnsi="Times New Roman"/>
                <w:sz w:val="24"/>
                <w:szCs w:val="24"/>
              </w:rPr>
              <w:t>2,5 mg/kg двукратно (</w:t>
            </w:r>
            <w:r w:rsidRPr="00AE47C6">
              <w:rPr>
                <w:rFonts w:ascii="Times New Roman" w:eastAsia="SimSun" w:hAnsi="Times New Roman"/>
                <w:bCs/>
                <w:sz w:val="24"/>
                <w:szCs w:val="24"/>
              </w:rPr>
              <w:t>5 mg/kg/дневно), титриране през 7 дни  до 10-20 mg/kg</w:t>
            </w:r>
          </w:p>
          <w:p w14:paraId="0F077761" w14:textId="77777777" w:rsidR="00BE0B19" w:rsidRPr="00AE47C6" w:rsidRDefault="00BE0B19" w:rsidP="00BE0B19">
            <w:pPr>
              <w:autoSpaceDE w:val="0"/>
              <w:autoSpaceDN w:val="0"/>
              <w:adjustRightInd w:val="0"/>
              <w:jc w:val="both"/>
              <w:rPr>
                <w:rFonts w:ascii="Times New Roman" w:eastAsia="SimSun" w:hAnsi="Times New Roman"/>
                <w:sz w:val="24"/>
                <w:szCs w:val="24"/>
              </w:rPr>
            </w:pPr>
          </w:p>
        </w:tc>
        <w:tc>
          <w:tcPr>
            <w:tcW w:w="1424" w:type="dxa"/>
            <w:gridSpan w:val="2"/>
          </w:tcPr>
          <w:p w14:paraId="2C7B6D73"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При LGS и Dravet  синдром -до 10 mg/kg/ден;</w:t>
            </w:r>
          </w:p>
          <w:p w14:paraId="1622AADF"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При TSC-10 mg/kg/ден</w:t>
            </w:r>
          </w:p>
        </w:tc>
        <w:tc>
          <w:tcPr>
            <w:tcW w:w="1317" w:type="dxa"/>
          </w:tcPr>
          <w:p w14:paraId="4B01FB89" w14:textId="77777777" w:rsidR="00BE0B19" w:rsidRPr="00AE47C6" w:rsidRDefault="00BE0B19" w:rsidP="00BE0B19">
            <w:pPr>
              <w:spacing w:line="360" w:lineRule="auto"/>
              <w:rPr>
                <w:rFonts w:ascii="Times New Roman" w:eastAsia="SimSun" w:hAnsi="Times New Roman"/>
                <w:sz w:val="24"/>
                <w:szCs w:val="24"/>
              </w:rPr>
            </w:pPr>
          </w:p>
        </w:tc>
        <w:tc>
          <w:tcPr>
            <w:tcW w:w="1456" w:type="dxa"/>
          </w:tcPr>
          <w:p w14:paraId="261B9E66" w14:textId="77777777" w:rsidR="00BE0B19" w:rsidRPr="00AE47C6" w:rsidRDefault="00BE0B19" w:rsidP="00BE0B19">
            <w:pPr>
              <w:spacing w:line="360" w:lineRule="auto"/>
              <w:rPr>
                <w:rFonts w:ascii="Times New Roman" w:eastAsia="SimSun" w:hAnsi="Times New Roman"/>
                <w:sz w:val="24"/>
                <w:szCs w:val="24"/>
              </w:rPr>
            </w:pPr>
          </w:p>
        </w:tc>
        <w:tc>
          <w:tcPr>
            <w:tcW w:w="1604" w:type="dxa"/>
          </w:tcPr>
          <w:p w14:paraId="0C986A8D"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При LGS  Dravet синдром - 20 mg/kg/ден; При TSC-25 mg/kg/ден</w:t>
            </w:r>
          </w:p>
        </w:tc>
      </w:tr>
      <w:tr w:rsidR="00BE0B19" w:rsidRPr="00AE47C6" w14:paraId="5BC05FB1" w14:textId="77777777" w:rsidTr="00AD72E5">
        <w:trPr>
          <w:trHeight w:val="2115"/>
        </w:trPr>
        <w:tc>
          <w:tcPr>
            <w:tcW w:w="1980" w:type="dxa"/>
          </w:tcPr>
          <w:p w14:paraId="7D1E93F4"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 xml:space="preserve">Fenfluramine*- ≥ </w:t>
            </w:r>
            <w:r w:rsidRPr="00AE47C6">
              <w:rPr>
                <w:rFonts w:ascii="Times New Roman" w:eastAsia="SimSun" w:hAnsi="Times New Roman"/>
                <w:bCs/>
                <w:sz w:val="24"/>
                <w:szCs w:val="24"/>
              </w:rPr>
              <w:t>2 г.- 0,2 mg/kg- до 0,7 mg/kg максимално до 26 mg/дневно</w:t>
            </w:r>
          </w:p>
        </w:tc>
        <w:tc>
          <w:tcPr>
            <w:tcW w:w="1291" w:type="dxa"/>
          </w:tcPr>
          <w:p w14:paraId="191EEDF5"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bCs/>
                <w:sz w:val="24"/>
                <w:szCs w:val="24"/>
              </w:rPr>
              <w:t>≥ 2 г.- 0,2 mg/kg- до 0,7 mg/kg максимално до 26 mg/kg</w:t>
            </w:r>
          </w:p>
        </w:tc>
        <w:tc>
          <w:tcPr>
            <w:tcW w:w="1424" w:type="dxa"/>
            <w:gridSpan w:val="2"/>
          </w:tcPr>
          <w:p w14:paraId="529B7C49"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 xml:space="preserve">При Dravet  синдром </w:t>
            </w:r>
            <w:r w:rsidRPr="00AE47C6">
              <w:rPr>
                <w:rFonts w:ascii="Times New Roman" w:eastAsia="SimSun" w:hAnsi="Times New Roman"/>
                <w:bCs/>
                <w:sz w:val="24"/>
                <w:szCs w:val="24"/>
              </w:rPr>
              <w:t xml:space="preserve">до 0.4 mg/kg със Stiripentol 0,7 mg/kg без Stiripentol; при LGS -  </w:t>
            </w:r>
            <w:r w:rsidRPr="00AE47C6">
              <w:rPr>
                <w:rFonts w:ascii="Times New Roman" w:eastAsia="SimSun" w:hAnsi="Times New Roman"/>
                <w:sz w:val="24"/>
                <w:szCs w:val="24"/>
              </w:rPr>
              <w:t xml:space="preserve"> </w:t>
            </w:r>
            <w:r w:rsidRPr="00AE47C6">
              <w:rPr>
                <w:rFonts w:ascii="Times New Roman" w:eastAsia="SimSun" w:hAnsi="Times New Roman"/>
                <w:bCs/>
                <w:sz w:val="24"/>
                <w:szCs w:val="24"/>
              </w:rPr>
              <w:t>0,2 mg/kg- до 0,7 mg/kg</w:t>
            </w:r>
          </w:p>
        </w:tc>
        <w:tc>
          <w:tcPr>
            <w:tcW w:w="1317" w:type="dxa"/>
          </w:tcPr>
          <w:p w14:paraId="31FBE3C6"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bCs/>
                <w:sz w:val="24"/>
                <w:szCs w:val="24"/>
              </w:rPr>
              <w:t>0,4 mg/kg</w:t>
            </w:r>
          </w:p>
        </w:tc>
        <w:tc>
          <w:tcPr>
            <w:tcW w:w="1456" w:type="dxa"/>
          </w:tcPr>
          <w:p w14:paraId="275DE1F2"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bCs/>
                <w:sz w:val="24"/>
                <w:szCs w:val="24"/>
              </w:rPr>
              <w:t>0,7 mg/kg,  максимално  до 26 mg/kg</w:t>
            </w:r>
          </w:p>
        </w:tc>
        <w:tc>
          <w:tcPr>
            <w:tcW w:w="1604" w:type="dxa"/>
          </w:tcPr>
          <w:p w14:paraId="57B1D189"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bCs/>
                <w:sz w:val="24"/>
                <w:szCs w:val="24"/>
              </w:rPr>
              <w:t>26 mg/kg</w:t>
            </w:r>
          </w:p>
        </w:tc>
      </w:tr>
      <w:tr w:rsidR="00BE0B19" w:rsidRPr="00AE47C6" w14:paraId="638F9E30" w14:textId="77777777" w:rsidTr="00AD72E5">
        <w:tc>
          <w:tcPr>
            <w:tcW w:w="1980" w:type="dxa"/>
          </w:tcPr>
          <w:p w14:paraId="7E23EADB"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Сenobamate**</w:t>
            </w:r>
          </w:p>
        </w:tc>
        <w:tc>
          <w:tcPr>
            <w:tcW w:w="1291" w:type="dxa"/>
          </w:tcPr>
          <w:p w14:paraId="42F5C06E" w14:textId="77777777" w:rsidR="00BE0B19" w:rsidRPr="00AE47C6" w:rsidRDefault="00BE0B19" w:rsidP="00BE0B19">
            <w:pPr>
              <w:autoSpaceDE w:val="0"/>
              <w:autoSpaceDN w:val="0"/>
              <w:adjustRightInd w:val="0"/>
              <w:jc w:val="both"/>
              <w:rPr>
                <w:rFonts w:ascii="Times New Roman" w:eastAsia="SimSun" w:hAnsi="Times New Roman"/>
                <w:b/>
                <w:bCs/>
                <w:sz w:val="24"/>
                <w:szCs w:val="24"/>
              </w:rPr>
            </w:pPr>
            <w:r w:rsidRPr="00AE47C6">
              <w:rPr>
                <w:rFonts w:ascii="Times New Roman" w:eastAsia="SimSun" w:hAnsi="Times New Roman"/>
                <w:b/>
                <w:bCs/>
                <w:sz w:val="24"/>
                <w:szCs w:val="24"/>
              </w:rPr>
              <w:t>-</w:t>
            </w:r>
          </w:p>
        </w:tc>
        <w:tc>
          <w:tcPr>
            <w:tcW w:w="1424" w:type="dxa"/>
            <w:gridSpan w:val="2"/>
          </w:tcPr>
          <w:p w14:paraId="68E412F3" w14:textId="77777777" w:rsidR="00BE0B19" w:rsidRPr="00AE47C6" w:rsidRDefault="00BE0B19" w:rsidP="00BE0B19">
            <w:pPr>
              <w:autoSpaceDE w:val="0"/>
              <w:autoSpaceDN w:val="0"/>
              <w:adjustRightInd w:val="0"/>
              <w:jc w:val="both"/>
              <w:rPr>
                <w:rFonts w:ascii="Times New Roman" w:eastAsia="SimSun" w:hAnsi="Times New Roman"/>
                <w:b/>
                <w:bCs/>
                <w:sz w:val="24"/>
                <w:szCs w:val="24"/>
              </w:rPr>
            </w:pPr>
            <w:r w:rsidRPr="00AE47C6">
              <w:rPr>
                <w:rFonts w:ascii="Times New Roman" w:eastAsia="SimSun" w:hAnsi="Times New Roman"/>
                <w:b/>
                <w:bCs/>
                <w:sz w:val="24"/>
                <w:szCs w:val="24"/>
              </w:rPr>
              <w:t>-</w:t>
            </w:r>
          </w:p>
        </w:tc>
        <w:tc>
          <w:tcPr>
            <w:tcW w:w="1317" w:type="dxa"/>
          </w:tcPr>
          <w:p w14:paraId="10B7F010"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12,5 mg еднократно</w:t>
            </w:r>
          </w:p>
        </w:tc>
        <w:tc>
          <w:tcPr>
            <w:tcW w:w="1456" w:type="dxa"/>
          </w:tcPr>
          <w:p w14:paraId="7B814BFB"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Титриране през 14 дни- 25 mg, 50 mg, 100 mg, 150 mg до 200 mg</w:t>
            </w:r>
          </w:p>
        </w:tc>
        <w:tc>
          <w:tcPr>
            <w:tcW w:w="1604" w:type="dxa"/>
          </w:tcPr>
          <w:p w14:paraId="2A4CE8E7" w14:textId="77777777" w:rsidR="00BE0B19" w:rsidRPr="00AE47C6" w:rsidRDefault="00BE0B19" w:rsidP="00BE0B19">
            <w:pPr>
              <w:spacing w:line="360" w:lineRule="auto"/>
              <w:rPr>
                <w:rFonts w:ascii="Times New Roman" w:eastAsia="SimSun" w:hAnsi="Times New Roman"/>
                <w:bCs/>
                <w:sz w:val="24"/>
                <w:szCs w:val="24"/>
              </w:rPr>
            </w:pPr>
            <w:r w:rsidRPr="00AE47C6">
              <w:rPr>
                <w:rFonts w:ascii="Times New Roman" w:eastAsia="SimSun" w:hAnsi="Times New Roman"/>
                <w:bCs/>
                <w:sz w:val="24"/>
                <w:szCs w:val="24"/>
              </w:rPr>
              <w:t>400 mg</w:t>
            </w:r>
          </w:p>
        </w:tc>
      </w:tr>
    </w:tbl>
    <w:p w14:paraId="17B48117"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lang w:eastAsia="bg-BG"/>
        </w:rPr>
      </w:pPr>
      <w:r w:rsidRPr="00AE47C6">
        <w:rPr>
          <w:rFonts w:ascii="Times New Roman" w:eastAsia="SimSun" w:hAnsi="Times New Roman"/>
          <w:b/>
          <w:sz w:val="24"/>
          <w:szCs w:val="24"/>
          <w:u w:val="single"/>
          <w:lang w:eastAsia="bg-BG"/>
        </w:rPr>
        <w:t xml:space="preserve">* По Член 266, ал. 2 от ЗЛПХМ </w:t>
      </w:r>
      <w:r w:rsidRPr="00AE47C6">
        <w:rPr>
          <w:rFonts w:ascii="Times New Roman" w:eastAsia="SimSun" w:hAnsi="Times New Roman"/>
          <w:b/>
          <w:sz w:val="24"/>
          <w:szCs w:val="24"/>
          <w:lang w:eastAsia="bg-BG"/>
        </w:rPr>
        <w:t xml:space="preserve">и чл. 16, ал. 4 от Hapeдбa № l0 от 2011 г. за условията и реда за лечение с Hepaзрешени за употреба в Република България лекарствени продукти:  </w:t>
      </w:r>
    </w:p>
    <w:p w14:paraId="02C9072E"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lang w:eastAsia="bg-BG"/>
        </w:rPr>
      </w:pPr>
      <w:r w:rsidRPr="00AE47C6">
        <w:rPr>
          <w:rFonts w:ascii="Times New Roman" w:eastAsia="SimSun" w:hAnsi="Times New Roman"/>
          <w:b/>
          <w:bCs/>
          <w:sz w:val="24"/>
          <w:szCs w:val="24"/>
          <w:lang w:eastAsia="bg-BG"/>
        </w:rPr>
        <w:t xml:space="preserve">* </w:t>
      </w:r>
      <w:r w:rsidRPr="00AE47C6">
        <w:rPr>
          <w:rFonts w:ascii="Times New Roman" w:eastAsia="SimSun" w:hAnsi="Times New Roman"/>
          <w:b/>
          <w:bCs/>
          <w:i/>
          <w:sz w:val="24"/>
          <w:szCs w:val="24"/>
          <w:lang w:eastAsia="bg-BG"/>
        </w:rPr>
        <w:t xml:space="preserve">Rufinamide </w:t>
      </w:r>
      <w:r w:rsidRPr="00AE47C6">
        <w:rPr>
          <w:rFonts w:ascii="Times New Roman" w:eastAsia="SimSun" w:hAnsi="Times New Roman"/>
          <w:sz w:val="24"/>
          <w:szCs w:val="24"/>
          <w:lang w:eastAsia="bg-BG"/>
        </w:rPr>
        <w:t>за лечение на синдром на Lennox-Gastaut</w:t>
      </w:r>
      <w:r w:rsidRPr="00AE47C6">
        <w:rPr>
          <w:rFonts w:ascii="Times New Roman" w:eastAsia="SimSun" w:hAnsi="Times New Roman"/>
          <w:b/>
          <w:sz w:val="24"/>
          <w:szCs w:val="24"/>
          <w:lang w:eastAsia="bg-BG"/>
        </w:rPr>
        <w:t xml:space="preserve"> </w:t>
      </w:r>
    </w:p>
    <w:p w14:paraId="75252F8C"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lang w:eastAsia="bg-BG"/>
        </w:rPr>
      </w:pPr>
      <w:r w:rsidRPr="00AE47C6">
        <w:rPr>
          <w:rFonts w:ascii="Times New Roman" w:eastAsia="SimSun" w:hAnsi="Times New Roman"/>
          <w:b/>
          <w:sz w:val="24"/>
          <w:szCs w:val="24"/>
          <w:lang w:eastAsia="bg-BG"/>
        </w:rPr>
        <w:t xml:space="preserve">* </w:t>
      </w:r>
      <w:r w:rsidRPr="00AE47C6">
        <w:rPr>
          <w:rFonts w:ascii="Times New Roman" w:eastAsia="SimSun" w:hAnsi="Times New Roman"/>
          <w:b/>
          <w:i/>
          <w:sz w:val="24"/>
          <w:szCs w:val="24"/>
          <w:lang w:eastAsia="bg-BG"/>
        </w:rPr>
        <w:t>Stiripentol</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за лечение на синдром на Dravet</w:t>
      </w:r>
      <w:r w:rsidRPr="00AE47C6">
        <w:rPr>
          <w:rFonts w:ascii="Times New Roman" w:eastAsia="SimSun" w:hAnsi="Times New Roman"/>
          <w:b/>
          <w:sz w:val="24"/>
          <w:szCs w:val="24"/>
          <w:lang w:eastAsia="bg-BG"/>
        </w:rPr>
        <w:t xml:space="preserve"> </w:t>
      </w:r>
    </w:p>
    <w:p w14:paraId="2E9E04C6" w14:textId="77777777" w:rsidR="00BE0B19" w:rsidRPr="00AE47C6" w:rsidRDefault="00BE0B19" w:rsidP="00BE0B19">
      <w:pPr>
        <w:tabs>
          <w:tab w:val="left" w:pos="720"/>
        </w:tabs>
        <w:suppressAutoHyphens/>
        <w:spacing w:after="0"/>
        <w:ind w:left="357" w:firstLine="851"/>
        <w:jc w:val="both"/>
        <w:rPr>
          <w:rFonts w:ascii="Times New Roman" w:eastAsia="SimSun" w:hAnsi="Times New Roman"/>
          <w:b/>
          <w:bCs/>
          <w:sz w:val="24"/>
          <w:szCs w:val="24"/>
          <w:lang w:eastAsia="bg-BG"/>
        </w:rPr>
      </w:pPr>
      <w:r w:rsidRPr="00AE47C6">
        <w:rPr>
          <w:rFonts w:ascii="Times New Roman" w:eastAsia="SimSun" w:hAnsi="Times New Roman"/>
          <w:b/>
          <w:sz w:val="24"/>
          <w:szCs w:val="24"/>
          <w:lang w:eastAsia="bg-BG"/>
        </w:rPr>
        <w:t xml:space="preserve">* </w:t>
      </w:r>
      <w:r w:rsidRPr="00AE47C6">
        <w:rPr>
          <w:rFonts w:ascii="Times New Roman" w:eastAsia="SimSun" w:hAnsi="Times New Roman"/>
          <w:b/>
          <w:i/>
          <w:sz w:val="24"/>
          <w:szCs w:val="24"/>
          <w:lang w:eastAsia="bg-BG"/>
        </w:rPr>
        <w:t>Cannabidiol</w:t>
      </w:r>
      <w:r w:rsidRPr="00AE47C6">
        <w:rPr>
          <w:rFonts w:ascii="Times New Roman" w:eastAsia="SimSun" w:hAnsi="Times New Roman"/>
          <w:b/>
          <w:sz w:val="24"/>
          <w:szCs w:val="24"/>
          <w:lang w:eastAsia="bg-BG"/>
        </w:rPr>
        <w:t xml:space="preserve"> в комбинация с </w:t>
      </w:r>
      <w:r w:rsidRPr="00AE47C6">
        <w:rPr>
          <w:rFonts w:ascii="Times New Roman" w:eastAsia="SimSun" w:hAnsi="Times New Roman"/>
          <w:b/>
          <w:i/>
          <w:sz w:val="24"/>
          <w:szCs w:val="24"/>
          <w:lang w:eastAsia="bg-BG"/>
        </w:rPr>
        <w:t>Clobazam**</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при синдром на Dravet и синдром на Lennox-Gastaut при пациенти </w:t>
      </w:r>
      <w:r w:rsidRPr="00AE47C6">
        <w:rPr>
          <w:rFonts w:ascii="Times New Roman" w:eastAsia="SimSun" w:hAnsi="Times New Roman"/>
          <w:bCs/>
          <w:sz w:val="24"/>
          <w:szCs w:val="24"/>
          <w:lang w:eastAsia="bg-BG"/>
        </w:rPr>
        <w:t>≥ 2 години</w:t>
      </w:r>
      <w:r w:rsidRPr="00AE47C6">
        <w:rPr>
          <w:rFonts w:ascii="Times New Roman" w:eastAsia="SimSun" w:hAnsi="Times New Roman"/>
          <w:sz w:val="24"/>
          <w:szCs w:val="24"/>
          <w:lang w:eastAsia="bg-BG"/>
        </w:rPr>
        <w:t>;</w:t>
      </w:r>
      <w:r w:rsidRPr="00AE47C6">
        <w:rPr>
          <w:rFonts w:ascii="Times New Roman" w:eastAsia="SimSun" w:hAnsi="Times New Roman"/>
          <w:bCs/>
          <w:sz w:val="24"/>
          <w:szCs w:val="24"/>
          <w:lang w:eastAsia="bg-BG"/>
        </w:rPr>
        <w:t xml:space="preserve"> </w:t>
      </w:r>
      <w:r w:rsidRPr="00AE47C6">
        <w:rPr>
          <w:rFonts w:ascii="Times New Roman" w:eastAsia="SimSun" w:hAnsi="Times New Roman"/>
          <w:b/>
          <w:i/>
          <w:sz w:val="24"/>
          <w:szCs w:val="24"/>
          <w:lang w:eastAsia="bg-BG"/>
        </w:rPr>
        <w:t>* Cannabidiol</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при лечение на пристъпи, свързани с туберозна склероза комплекс (TSC) при пациенти </w:t>
      </w:r>
      <w:r w:rsidRPr="00AE47C6">
        <w:rPr>
          <w:rFonts w:ascii="Times New Roman" w:eastAsia="SimSun" w:hAnsi="Times New Roman"/>
          <w:bCs/>
          <w:sz w:val="24"/>
          <w:szCs w:val="24"/>
          <w:lang w:eastAsia="bg-BG"/>
        </w:rPr>
        <w:t>≥ 2 години</w:t>
      </w:r>
      <w:r w:rsidRPr="00AE47C6">
        <w:rPr>
          <w:rFonts w:ascii="Times New Roman" w:eastAsia="SimSun" w:hAnsi="Times New Roman"/>
          <w:b/>
          <w:bCs/>
          <w:sz w:val="24"/>
          <w:szCs w:val="24"/>
          <w:lang w:eastAsia="bg-BG"/>
        </w:rPr>
        <w:t xml:space="preserve"> </w:t>
      </w:r>
    </w:p>
    <w:p w14:paraId="7F29F485" w14:textId="77777777" w:rsidR="00BE0B19" w:rsidRPr="00AE47C6" w:rsidRDefault="00BE0B19" w:rsidP="00BE0B19">
      <w:pPr>
        <w:tabs>
          <w:tab w:val="left" w:pos="720"/>
        </w:tabs>
        <w:suppressAutoHyphens/>
        <w:spacing w:after="0"/>
        <w:ind w:left="357" w:firstLine="851"/>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w:t>
      </w:r>
      <w:r w:rsidRPr="00AE47C6">
        <w:rPr>
          <w:rFonts w:ascii="Times New Roman" w:eastAsia="SimSun" w:hAnsi="Times New Roman"/>
          <w:b/>
          <w:bCs/>
          <w:i/>
          <w:sz w:val="24"/>
          <w:szCs w:val="24"/>
          <w:lang w:eastAsia="bg-BG"/>
        </w:rPr>
        <w:t>Fenfluramine</w:t>
      </w:r>
      <w:r w:rsidRPr="00AE47C6">
        <w:rPr>
          <w:rFonts w:ascii="Times New Roman" w:eastAsia="SimSun" w:hAnsi="Times New Roman"/>
          <w:b/>
          <w:bCs/>
          <w:sz w:val="24"/>
          <w:szCs w:val="24"/>
          <w:lang w:eastAsia="bg-BG"/>
        </w:rPr>
        <w:t xml:space="preserve">- </w:t>
      </w:r>
      <w:r w:rsidRPr="00AE47C6">
        <w:rPr>
          <w:rFonts w:ascii="Times New Roman" w:eastAsia="SimSun" w:hAnsi="Times New Roman"/>
          <w:sz w:val="24"/>
          <w:szCs w:val="24"/>
          <w:lang w:eastAsia="bg-BG"/>
        </w:rPr>
        <w:t>при синдром на Dravet</w:t>
      </w:r>
      <w:r w:rsidRPr="00AE47C6">
        <w:rPr>
          <w:rFonts w:ascii="Times New Roman" w:eastAsia="SimSun" w:hAnsi="Times New Roman"/>
          <w:bCs/>
          <w:sz w:val="24"/>
          <w:szCs w:val="24"/>
          <w:lang w:eastAsia="bg-BG"/>
        </w:rPr>
        <w:t xml:space="preserve"> и синдром на Lennox-Gastaut </w:t>
      </w:r>
      <w:r w:rsidRPr="00AE47C6">
        <w:rPr>
          <w:rFonts w:ascii="Times New Roman" w:eastAsia="SimSun" w:hAnsi="Times New Roman"/>
          <w:sz w:val="24"/>
          <w:szCs w:val="24"/>
          <w:lang w:eastAsia="bg-BG"/>
        </w:rPr>
        <w:t xml:space="preserve">при пациенти </w:t>
      </w:r>
      <w:r w:rsidRPr="00AE47C6">
        <w:rPr>
          <w:rFonts w:ascii="Times New Roman" w:eastAsia="SimSun" w:hAnsi="Times New Roman"/>
          <w:bCs/>
          <w:sz w:val="24"/>
          <w:szCs w:val="24"/>
          <w:lang w:eastAsia="bg-BG"/>
        </w:rPr>
        <w:t>≥ 2 години</w:t>
      </w:r>
    </w:p>
    <w:p w14:paraId="0796954B"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u w:val="single"/>
          <w:lang w:eastAsia="bg-BG"/>
        </w:rPr>
      </w:pPr>
      <w:r w:rsidRPr="00AE47C6">
        <w:rPr>
          <w:rFonts w:ascii="Times New Roman" w:eastAsia="SimSun" w:hAnsi="Times New Roman"/>
          <w:b/>
          <w:sz w:val="24"/>
          <w:szCs w:val="24"/>
          <w:u w:val="single"/>
          <w:lang w:eastAsia="bg-BG"/>
        </w:rPr>
        <w:t>**Регистрирани от ЕМА:</w:t>
      </w:r>
    </w:p>
    <w:p w14:paraId="36EA2534" w14:textId="77777777" w:rsidR="00BE0B19" w:rsidRPr="00AE47C6" w:rsidRDefault="00BE0B19" w:rsidP="00BE0B19">
      <w:pPr>
        <w:tabs>
          <w:tab w:val="left" w:pos="720"/>
        </w:tabs>
        <w:suppressAutoHyphens/>
        <w:spacing w:after="0" w:line="360" w:lineRule="auto"/>
        <w:ind w:left="360" w:firstLine="851"/>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Clobazam**</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за лечение на абсанси, ГТКП, миоклонии, синдром на Dravet и синдром на Lennox- Gastaut; </w:t>
      </w:r>
      <w:r w:rsidRPr="00AE47C6">
        <w:rPr>
          <w:rFonts w:ascii="Times New Roman" w:eastAsia="SimSun" w:hAnsi="Times New Roman"/>
          <w:b/>
          <w:bCs/>
          <w:sz w:val="24"/>
          <w:szCs w:val="24"/>
          <w:lang w:eastAsia="bg-BG"/>
        </w:rPr>
        <w:t>Nitrazepam**</w:t>
      </w:r>
      <w:r w:rsidRPr="00AE47C6">
        <w:rPr>
          <w:rFonts w:ascii="Times New Roman" w:eastAsia="SimSun" w:hAnsi="Times New Roman"/>
          <w:sz w:val="24"/>
          <w:szCs w:val="24"/>
          <w:lang w:eastAsia="bg-BG"/>
        </w:rPr>
        <w:t xml:space="preserve"> за лечение на синдром на West; </w:t>
      </w:r>
      <w:r w:rsidRPr="00AE47C6">
        <w:rPr>
          <w:rFonts w:ascii="Times New Roman" w:eastAsia="SimSun" w:hAnsi="Times New Roman"/>
          <w:b/>
          <w:bCs/>
          <w:sz w:val="24"/>
          <w:szCs w:val="24"/>
          <w:lang w:eastAsia="bg-BG"/>
        </w:rPr>
        <w:t>Sulthiam**</w:t>
      </w:r>
      <w:r w:rsidRPr="00AE47C6">
        <w:rPr>
          <w:rFonts w:ascii="Times New Roman" w:eastAsia="SimSun" w:hAnsi="Times New Roman"/>
          <w:sz w:val="24"/>
          <w:szCs w:val="24"/>
          <w:lang w:eastAsia="bg-BG"/>
        </w:rPr>
        <w:t xml:space="preserve"> за лечение на фокални пристъпи;</w:t>
      </w:r>
      <w:r w:rsidRPr="00AE47C6">
        <w:rPr>
          <w:rFonts w:ascii="Times New Roman" w:eastAsia="SimSun" w:hAnsi="Times New Roman"/>
          <w:b/>
          <w:bCs/>
          <w:sz w:val="24"/>
          <w:szCs w:val="24"/>
          <w:lang w:eastAsia="bg-BG"/>
        </w:rPr>
        <w:t xml:space="preserve"> Vigabatrin** </w:t>
      </w:r>
      <w:r w:rsidRPr="00AE47C6">
        <w:rPr>
          <w:rFonts w:ascii="Times New Roman" w:eastAsia="SimSun" w:hAnsi="Times New Roman"/>
          <w:sz w:val="24"/>
          <w:szCs w:val="24"/>
          <w:lang w:eastAsia="bg-BG"/>
        </w:rPr>
        <w:t xml:space="preserve">за лечение на синдром на West; </w:t>
      </w:r>
      <w:r w:rsidRPr="00AE47C6">
        <w:rPr>
          <w:rFonts w:ascii="Times New Roman" w:eastAsia="SimSun" w:hAnsi="Times New Roman"/>
          <w:b/>
          <w:bCs/>
          <w:sz w:val="24"/>
          <w:szCs w:val="24"/>
          <w:lang w:eastAsia="bg-BG"/>
        </w:rPr>
        <w:t>Zonisamide**</w:t>
      </w:r>
      <w:r w:rsidRPr="00AE47C6">
        <w:rPr>
          <w:rFonts w:ascii="Times New Roman" w:eastAsia="SimSun" w:hAnsi="Times New Roman"/>
          <w:sz w:val="24"/>
          <w:szCs w:val="24"/>
          <w:lang w:eastAsia="bg-BG"/>
        </w:rPr>
        <w:t xml:space="preserve"> за лечение на фокални и вторично генерализирани пристъпи  при възрастни и деца над 6 г., за миоклонични пристъпи, за синдром на Lennox-Gastaut; </w:t>
      </w:r>
      <w:r w:rsidRPr="00AE47C6">
        <w:rPr>
          <w:rFonts w:ascii="Times New Roman" w:eastAsia="SimSun" w:hAnsi="Times New Roman"/>
          <w:b/>
          <w:bCs/>
          <w:sz w:val="24"/>
          <w:szCs w:val="24"/>
          <w:lang w:eastAsia="bg-BG"/>
        </w:rPr>
        <w:t>Сenobamate**-</w:t>
      </w:r>
      <w:r w:rsidRPr="00AE47C6">
        <w:rPr>
          <w:rFonts w:ascii="Times New Roman" w:eastAsia="SimSun" w:hAnsi="Times New Roman"/>
          <w:bCs/>
          <w:sz w:val="24"/>
          <w:szCs w:val="24"/>
          <w:lang w:eastAsia="bg-BG"/>
        </w:rPr>
        <w:t xml:space="preserve"> при фокални и ВГТКП (ФДТКП) над 18 г;</w:t>
      </w:r>
      <w:r w:rsidRPr="00AE47C6">
        <w:rPr>
          <w:rFonts w:ascii="Times New Roman" w:eastAsia="SimSun" w:hAnsi="Times New Roman"/>
          <w:b/>
          <w:bCs/>
          <w:sz w:val="24"/>
          <w:szCs w:val="24"/>
          <w:lang w:eastAsia="bg-BG"/>
        </w:rPr>
        <w:t xml:space="preserve"> ACTH**</w:t>
      </w:r>
      <w:r w:rsidRPr="00AE47C6">
        <w:rPr>
          <w:rFonts w:ascii="Times New Roman" w:eastAsia="SimSun" w:hAnsi="Times New Roman"/>
          <w:sz w:val="24"/>
          <w:szCs w:val="24"/>
          <w:lang w:eastAsia="bg-BG"/>
        </w:rPr>
        <w:t xml:space="preserve"> за лечение на синдром на West. </w:t>
      </w:r>
    </w:p>
    <w:p w14:paraId="4FA21641" w14:textId="77777777" w:rsidR="00BE0B19" w:rsidRPr="00AE47C6" w:rsidRDefault="00BE0B19" w:rsidP="00BE0B19">
      <w:pPr>
        <w:spacing w:line="360" w:lineRule="auto"/>
        <w:jc w:val="center"/>
        <w:rPr>
          <w:rFonts w:ascii="Times New Roman" w:eastAsia="SimSun" w:hAnsi="Times New Roman"/>
          <w:b/>
          <w:bCs/>
        </w:rPr>
      </w:pPr>
    </w:p>
    <w:p w14:paraId="183C97B4" w14:textId="77777777" w:rsidR="00BE0B19" w:rsidRPr="00AE47C6" w:rsidRDefault="00BE0B19" w:rsidP="00BE0B19">
      <w:pPr>
        <w:tabs>
          <w:tab w:val="left" w:pos="720"/>
        </w:tabs>
        <w:suppressAutoHyphens/>
        <w:spacing w:after="0" w:line="360" w:lineRule="auto"/>
        <w:ind w:left="360" w:firstLine="851"/>
        <w:jc w:val="both"/>
        <w:rPr>
          <w:rFonts w:ascii="Times New Roman" w:eastAsia="SimSun" w:hAnsi="Times New Roman"/>
          <w:b/>
          <w:sz w:val="24"/>
          <w:szCs w:val="24"/>
          <w:u w:val="single"/>
          <w:lang w:eastAsia="bg-BG"/>
        </w:rPr>
      </w:pPr>
      <w:r w:rsidRPr="00AE47C6">
        <w:rPr>
          <w:rFonts w:ascii="Times New Roman" w:eastAsia="SimSun" w:hAnsi="Times New Roman"/>
          <w:b/>
          <w:sz w:val="24"/>
          <w:szCs w:val="24"/>
          <w:u w:val="single"/>
          <w:lang w:eastAsia="bg-BG"/>
        </w:rPr>
        <w:t>**Регистрирани от ЕМА:</w:t>
      </w:r>
    </w:p>
    <w:p w14:paraId="679490EE" w14:textId="77777777" w:rsidR="00BE0B19" w:rsidRPr="00AE47C6" w:rsidRDefault="00BE0B19" w:rsidP="00BE0B19">
      <w:pPr>
        <w:pBdr>
          <w:bottom w:val="single" w:sz="12" w:space="1" w:color="auto"/>
        </w:pBdr>
        <w:tabs>
          <w:tab w:val="center" w:pos="4153"/>
          <w:tab w:val="right" w:pos="8306"/>
        </w:tabs>
        <w:overflowPunct w:val="0"/>
        <w:autoSpaceDE w:val="0"/>
        <w:autoSpaceDN w:val="0"/>
        <w:adjustRightInd w:val="0"/>
        <w:spacing w:after="0" w:line="360" w:lineRule="auto"/>
        <w:ind w:left="360"/>
        <w:jc w:val="both"/>
        <w:textAlignment w:val="baseline"/>
        <w:rPr>
          <w:rFonts w:ascii="Times New Roman" w:eastAsia="SimSun" w:hAnsi="Times New Roman"/>
          <w:sz w:val="24"/>
          <w:szCs w:val="24"/>
        </w:rPr>
      </w:pPr>
      <w:r w:rsidRPr="00AE47C6">
        <w:rPr>
          <w:rFonts w:ascii="Times New Roman" w:eastAsia="SimSun" w:hAnsi="Times New Roman"/>
          <w:b/>
          <w:bCs/>
          <w:sz w:val="24"/>
          <w:szCs w:val="24"/>
        </w:rPr>
        <w:t>Clobazam**</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 xml:space="preserve">за лечение на абсанси, ГТКП, миоклонии, синдром на Dravet и синдром на Lennox- Gastaut; </w:t>
      </w:r>
      <w:r w:rsidRPr="00AE47C6">
        <w:rPr>
          <w:rFonts w:ascii="Times New Roman" w:eastAsia="SimSun" w:hAnsi="Times New Roman"/>
          <w:b/>
          <w:bCs/>
          <w:sz w:val="24"/>
          <w:szCs w:val="24"/>
        </w:rPr>
        <w:t>Nitrazepam**</w:t>
      </w:r>
      <w:r w:rsidRPr="00AE47C6">
        <w:rPr>
          <w:rFonts w:ascii="Times New Roman" w:eastAsia="SimSun" w:hAnsi="Times New Roman"/>
          <w:sz w:val="24"/>
          <w:szCs w:val="24"/>
        </w:rPr>
        <w:t xml:space="preserve"> за лечение на синдром на West; </w:t>
      </w:r>
      <w:r w:rsidRPr="00AE47C6">
        <w:rPr>
          <w:rFonts w:ascii="Times New Roman" w:eastAsia="SimSun" w:hAnsi="Times New Roman"/>
          <w:b/>
          <w:bCs/>
          <w:sz w:val="24"/>
          <w:szCs w:val="24"/>
        </w:rPr>
        <w:t>Sulthiam**</w:t>
      </w:r>
      <w:r w:rsidRPr="00AE47C6">
        <w:rPr>
          <w:rFonts w:ascii="Times New Roman" w:eastAsia="SimSun" w:hAnsi="Times New Roman"/>
          <w:sz w:val="24"/>
          <w:szCs w:val="24"/>
        </w:rPr>
        <w:t xml:space="preserve"> за лечение на фокални пристъпи;</w:t>
      </w:r>
      <w:r w:rsidRPr="00AE47C6">
        <w:rPr>
          <w:rFonts w:ascii="Times New Roman" w:eastAsia="SimSun" w:hAnsi="Times New Roman"/>
          <w:b/>
          <w:bCs/>
          <w:sz w:val="24"/>
          <w:szCs w:val="24"/>
        </w:rPr>
        <w:t xml:space="preserve"> Vigabatrin </w:t>
      </w:r>
      <w:r w:rsidRPr="00AE47C6">
        <w:rPr>
          <w:rFonts w:ascii="Times New Roman" w:eastAsia="SimSun" w:hAnsi="Times New Roman"/>
          <w:sz w:val="24"/>
          <w:szCs w:val="24"/>
        </w:rPr>
        <w:t xml:space="preserve">за лечение на синдром на West; </w:t>
      </w:r>
      <w:r w:rsidRPr="00AE47C6">
        <w:rPr>
          <w:rFonts w:ascii="Times New Roman" w:eastAsia="SimSun" w:hAnsi="Times New Roman"/>
          <w:b/>
          <w:bCs/>
          <w:sz w:val="24"/>
          <w:szCs w:val="24"/>
        </w:rPr>
        <w:t>Zonisamide**</w:t>
      </w:r>
      <w:r w:rsidRPr="00AE47C6">
        <w:rPr>
          <w:rFonts w:ascii="Times New Roman" w:eastAsia="SimSun" w:hAnsi="Times New Roman"/>
          <w:sz w:val="24"/>
          <w:szCs w:val="24"/>
        </w:rPr>
        <w:t xml:space="preserve"> за лечение на фокални и вторично генерализирани пристъпи  при възрастни и деца над 6 г., за миоклонични пристъпи, за синдром на Lennox-Gastaut; </w:t>
      </w:r>
      <w:r w:rsidRPr="00AE47C6">
        <w:rPr>
          <w:rFonts w:ascii="Times New Roman" w:eastAsia="SimSun" w:hAnsi="Times New Roman"/>
          <w:b/>
          <w:bCs/>
          <w:sz w:val="24"/>
          <w:szCs w:val="24"/>
        </w:rPr>
        <w:t>Сenobamate**-</w:t>
      </w:r>
      <w:r w:rsidRPr="00AE47C6">
        <w:rPr>
          <w:rFonts w:ascii="Times New Roman" w:eastAsia="SimSun" w:hAnsi="Times New Roman"/>
          <w:bCs/>
          <w:sz w:val="24"/>
          <w:szCs w:val="24"/>
        </w:rPr>
        <w:t xml:space="preserve"> при фокални и ВГТКП (ФДТКП) над 18 г.</w:t>
      </w:r>
      <w:r w:rsidRPr="00AE47C6">
        <w:rPr>
          <w:rFonts w:ascii="Times New Roman" w:eastAsia="SimSun" w:hAnsi="Times New Roman"/>
          <w:sz w:val="24"/>
          <w:szCs w:val="24"/>
        </w:rPr>
        <w:t xml:space="preserve"> </w:t>
      </w:r>
    </w:p>
    <w:p w14:paraId="4988F1AC" w14:textId="77777777" w:rsidR="00BE0B19" w:rsidRPr="00AE47C6" w:rsidRDefault="00BE0B19" w:rsidP="00BE0B19">
      <w:pPr>
        <w:pBdr>
          <w:bottom w:val="single" w:sz="12" w:space="1" w:color="auto"/>
        </w:pBdr>
        <w:tabs>
          <w:tab w:val="center" w:pos="4153"/>
          <w:tab w:val="right" w:pos="8306"/>
        </w:tabs>
        <w:overflowPunct w:val="0"/>
        <w:autoSpaceDE w:val="0"/>
        <w:autoSpaceDN w:val="0"/>
        <w:adjustRightInd w:val="0"/>
        <w:spacing w:after="0" w:line="240" w:lineRule="auto"/>
        <w:ind w:left="360"/>
        <w:jc w:val="both"/>
        <w:textAlignment w:val="baseline"/>
        <w:rPr>
          <w:rFonts w:ascii="Times New Roman" w:eastAsia="SimSun" w:hAnsi="Times New Roman"/>
          <w:sz w:val="24"/>
          <w:szCs w:val="24"/>
        </w:rPr>
      </w:pPr>
      <w:r w:rsidRPr="00AE47C6">
        <w:rPr>
          <w:rFonts w:ascii="Times New Roman" w:eastAsia="SimSun" w:hAnsi="Times New Roman"/>
          <w:b/>
          <w:bCs/>
          <w:sz w:val="24"/>
          <w:szCs w:val="24"/>
        </w:rPr>
        <w:t>ACTH** за лечение на синдром на West</w:t>
      </w:r>
    </w:p>
    <w:p w14:paraId="25AC2CF3" w14:textId="77777777" w:rsidR="00BE0B19" w:rsidRPr="00AE47C6" w:rsidRDefault="00BE0B19" w:rsidP="00BE0B19">
      <w:pPr>
        <w:widowControl w:val="0"/>
        <w:spacing w:after="0" w:line="360" w:lineRule="auto"/>
        <w:jc w:val="both"/>
        <w:rPr>
          <w:rFonts w:ascii="Times New Roman" w:eastAsia="MS Mincho" w:hAnsi="Times New Roman"/>
          <w:sz w:val="24"/>
          <w:szCs w:val="24"/>
        </w:rPr>
      </w:pPr>
    </w:p>
    <w:p w14:paraId="59453B78" w14:textId="77777777" w:rsidR="00BE0B19" w:rsidRPr="00AE47C6" w:rsidRDefault="00BE0B19" w:rsidP="00BE0B19">
      <w:pPr>
        <w:tabs>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b/>
          <w:bCs/>
          <w:i/>
          <w:iCs/>
          <w:sz w:val="24"/>
          <w:szCs w:val="24"/>
        </w:rPr>
      </w:pPr>
      <w:r w:rsidRPr="00AE47C6">
        <w:rPr>
          <w:rFonts w:ascii="Times New Roman" w:eastAsia="SimSun" w:hAnsi="Times New Roman"/>
          <w:b/>
          <w:bCs/>
          <w:sz w:val="24"/>
          <w:szCs w:val="24"/>
        </w:rPr>
        <w:t xml:space="preserve">Таблица 11.12. Възможно влошаване на епилептичните синдроми от АГЛ </w:t>
      </w:r>
    </w:p>
    <w:tbl>
      <w:tblPr>
        <w:tblW w:w="9072" w:type="dxa"/>
        <w:tblInd w:w="-10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020"/>
        <w:gridCol w:w="3676"/>
        <w:gridCol w:w="3376"/>
      </w:tblGrid>
      <w:tr w:rsidR="00BE0B19" w:rsidRPr="00AE47C6" w14:paraId="26759050" w14:textId="77777777" w:rsidTr="00AD72E5">
        <w:tc>
          <w:tcPr>
            <w:tcW w:w="2065" w:type="dxa"/>
            <w:tcBorders>
              <w:top w:val="single" w:sz="4" w:space="0" w:color="auto"/>
            </w:tcBorders>
          </w:tcPr>
          <w:p w14:paraId="50075896" w14:textId="77777777" w:rsidR="00BE0B19" w:rsidRPr="00AE47C6" w:rsidRDefault="00BE0B19" w:rsidP="00BE0B19">
            <w:pPr>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АГЛ</w:t>
            </w:r>
          </w:p>
        </w:tc>
        <w:tc>
          <w:tcPr>
            <w:tcW w:w="4133" w:type="dxa"/>
            <w:tcBorders>
              <w:top w:val="single" w:sz="4" w:space="0" w:color="auto"/>
            </w:tcBorders>
          </w:tcPr>
          <w:p w14:paraId="44DE6535" w14:textId="77777777" w:rsidR="00BE0B19" w:rsidRPr="00AE47C6" w:rsidRDefault="00BE0B19" w:rsidP="00BE0B19">
            <w:pPr>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Синдром</w:t>
            </w:r>
          </w:p>
        </w:tc>
        <w:tc>
          <w:tcPr>
            <w:tcW w:w="3795" w:type="dxa"/>
            <w:tcBorders>
              <w:top w:val="single" w:sz="4" w:space="0" w:color="auto"/>
            </w:tcBorders>
          </w:tcPr>
          <w:p w14:paraId="22DD7F9E" w14:textId="77777777" w:rsidR="00BE0B19" w:rsidRPr="00AE47C6" w:rsidRDefault="00BE0B19" w:rsidP="00BE0B19">
            <w:pPr>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Възможно влошаване</w:t>
            </w:r>
          </w:p>
        </w:tc>
      </w:tr>
      <w:tr w:rsidR="00BE0B19" w:rsidRPr="00AE47C6" w14:paraId="714FEF60" w14:textId="77777777" w:rsidTr="00AD72E5">
        <w:tc>
          <w:tcPr>
            <w:tcW w:w="2065" w:type="dxa"/>
          </w:tcPr>
          <w:p w14:paraId="072E2495"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Carbamazepine</w:t>
            </w:r>
          </w:p>
        </w:tc>
        <w:tc>
          <w:tcPr>
            <w:tcW w:w="4133" w:type="dxa"/>
          </w:tcPr>
          <w:p w14:paraId="103E219A" w14:textId="77777777" w:rsidR="00BE0B19" w:rsidRPr="00AE47C6" w:rsidRDefault="00BE0B19" w:rsidP="00BE0B19">
            <w:pPr>
              <w:numPr>
                <w:ilvl w:val="0"/>
                <w:numId w:val="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Абсансна епилепсия</w:t>
            </w:r>
          </w:p>
          <w:p w14:paraId="3A9BD0A3" w14:textId="77777777" w:rsidR="00BE0B19" w:rsidRPr="00AE47C6" w:rsidRDefault="00BE0B19" w:rsidP="00BE0B19">
            <w:pPr>
              <w:numPr>
                <w:ilvl w:val="0"/>
                <w:numId w:val="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Ювенилна миоклонична епилепсия</w:t>
            </w:r>
          </w:p>
          <w:p w14:paraId="069FBFD4" w14:textId="77777777" w:rsidR="00BE0B19" w:rsidRPr="00AE47C6" w:rsidRDefault="00BE0B19" w:rsidP="00BE0B19">
            <w:pPr>
              <w:numPr>
                <w:ilvl w:val="0"/>
                <w:numId w:val="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Прогресивна миоклонична епилепсия</w:t>
            </w:r>
          </w:p>
          <w:p w14:paraId="398EEDD9" w14:textId="77777777" w:rsidR="00BE0B19" w:rsidRPr="00AE47C6" w:rsidRDefault="00BE0B19" w:rsidP="00BE0B19">
            <w:pPr>
              <w:numPr>
                <w:ilvl w:val="0"/>
                <w:numId w:val="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Роландова епилепсия</w:t>
            </w:r>
          </w:p>
          <w:p w14:paraId="3B4782C3" w14:textId="77777777" w:rsidR="00BE0B19" w:rsidRPr="00AE47C6" w:rsidRDefault="00BE0B19" w:rsidP="00BE0B19">
            <w:pPr>
              <w:numPr>
                <w:ilvl w:val="0"/>
                <w:numId w:val="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Детска окципитална епилепсия</w:t>
            </w:r>
          </w:p>
          <w:p w14:paraId="41704004" w14:textId="77777777" w:rsidR="00BE0B19" w:rsidRPr="00AE47C6" w:rsidRDefault="00BE0B19" w:rsidP="00BE0B19">
            <w:pPr>
              <w:numPr>
                <w:ilvl w:val="0"/>
                <w:numId w:val="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Симптоматични генерализирани епилепсии</w:t>
            </w:r>
          </w:p>
          <w:p w14:paraId="0A54B6BE" w14:textId="77777777" w:rsidR="00BE0B19" w:rsidRPr="00AE47C6" w:rsidRDefault="00BE0B19" w:rsidP="00BE0B19">
            <w:pPr>
              <w:numPr>
                <w:ilvl w:val="0"/>
                <w:numId w:val="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Синдром на Angelman</w:t>
            </w:r>
          </w:p>
          <w:p w14:paraId="6EF34FF7" w14:textId="77777777" w:rsidR="00BE0B19" w:rsidRPr="00AE47C6" w:rsidRDefault="00BE0B19" w:rsidP="00BE0B19">
            <w:pPr>
              <w:numPr>
                <w:ilvl w:val="0"/>
                <w:numId w:val="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 Синдром на Landau-Kleffner</w:t>
            </w:r>
          </w:p>
        </w:tc>
        <w:tc>
          <w:tcPr>
            <w:tcW w:w="3795" w:type="dxa"/>
          </w:tcPr>
          <w:p w14:paraId="074FB8BC" w14:textId="77777777" w:rsidR="00BE0B19" w:rsidRPr="00AE47C6" w:rsidRDefault="00BE0B19" w:rsidP="00BE0B19">
            <w:pPr>
              <w:numPr>
                <w:ilvl w:val="0"/>
                <w:numId w:val="1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Абсанси, миоклонии</w:t>
            </w:r>
          </w:p>
          <w:p w14:paraId="186EBD78" w14:textId="77777777" w:rsidR="00BE0B19" w:rsidRPr="00AE47C6" w:rsidRDefault="00BE0B19" w:rsidP="00BE0B19">
            <w:pPr>
              <w:numPr>
                <w:ilvl w:val="0"/>
                <w:numId w:val="1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Миоклонични пристъпи</w:t>
            </w:r>
          </w:p>
          <w:p w14:paraId="6B676EC5" w14:textId="77777777" w:rsidR="00BE0B19" w:rsidRPr="00AE47C6" w:rsidRDefault="00BE0B19" w:rsidP="00BE0B19">
            <w:pPr>
              <w:numPr>
                <w:ilvl w:val="0"/>
                <w:numId w:val="1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Миоклонус</w:t>
            </w:r>
          </w:p>
          <w:p w14:paraId="7A117506" w14:textId="77777777" w:rsidR="00BE0B19" w:rsidRPr="00AE47C6" w:rsidRDefault="00BE0B19" w:rsidP="00BE0B19">
            <w:pPr>
              <w:numPr>
                <w:ilvl w:val="0"/>
                <w:numId w:val="1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CSWS</w:t>
            </w:r>
          </w:p>
          <w:p w14:paraId="0AC351F5" w14:textId="77777777" w:rsidR="00BE0B19" w:rsidRPr="00AE47C6" w:rsidRDefault="00BE0B19" w:rsidP="00BE0B19">
            <w:pPr>
              <w:numPr>
                <w:ilvl w:val="0"/>
                <w:numId w:val="1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ГТКП - рядко</w:t>
            </w:r>
          </w:p>
          <w:p w14:paraId="022BD157" w14:textId="77777777" w:rsidR="00BE0B19" w:rsidRPr="00AE47C6" w:rsidRDefault="00BE0B19" w:rsidP="00BE0B19">
            <w:pPr>
              <w:numPr>
                <w:ilvl w:val="0"/>
                <w:numId w:val="1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Фокални пристъпи - рядко</w:t>
            </w:r>
          </w:p>
          <w:p w14:paraId="660AA5F5" w14:textId="77777777" w:rsidR="00BE0B19" w:rsidRPr="00AE47C6" w:rsidRDefault="00BE0B19" w:rsidP="00BE0B19">
            <w:pPr>
              <w:numPr>
                <w:ilvl w:val="0"/>
                <w:numId w:val="1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Тонични пристъпи</w:t>
            </w:r>
          </w:p>
          <w:p w14:paraId="418DA06B" w14:textId="77777777" w:rsidR="00BE0B19" w:rsidRPr="00AE47C6" w:rsidRDefault="00BE0B19" w:rsidP="00BE0B19">
            <w:pPr>
              <w:numPr>
                <w:ilvl w:val="0"/>
                <w:numId w:val="1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Атонични пристъпи</w:t>
            </w:r>
          </w:p>
        </w:tc>
      </w:tr>
      <w:tr w:rsidR="00BE0B19" w:rsidRPr="00AE47C6" w14:paraId="2498C140" w14:textId="77777777" w:rsidTr="00AD72E5">
        <w:tc>
          <w:tcPr>
            <w:tcW w:w="2065" w:type="dxa"/>
          </w:tcPr>
          <w:p w14:paraId="229F3328"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Охcarbazepine</w:t>
            </w:r>
          </w:p>
        </w:tc>
        <w:tc>
          <w:tcPr>
            <w:tcW w:w="4133" w:type="dxa"/>
          </w:tcPr>
          <w:p w14:paraId="507A53FB" w14:textId="77777777" w:rsidR="00BE0B19" w:rsidRPr="00AE47C6" w:rsidRDefault="00BE0B19" w:rsidP="00BE0B19">
            <w:pPr>
              <w:numPr>
                <w:ilvl w:val="0"/>
                <w:numId w:val="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Абсансна епилепсия</w:t>
            </w:r>
          </w:p>
          <w:p w14:paraId="7FF4A4D6" w14:textId="77777777" w:rsidR="00BE0B19" w:rsidRPr="00AE47C6" w:rsidRDefault="00BE0B19" w:rsidP="00BE0B19">
            <w:pPr>
              <w:numPr>
                <w:ilvl w:val="0"/>
                <w:numId w:val="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Ювенилна миоклонична епилепсия</w:t>
            </w:r>
          </w:p>
          <w:p w14:paraId="6764B215" w14:textId="77777777" w:rsidR="00BE0B19" w:rsidRPr="00AE47C6" w:rsidRDefault="00BE0B19" w:rsidP="00BE0B19">
            <w:pPr>
              <w:numPr>
                <w:ilvl w:val="0"/>
                <w:numId w:val="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Роландова епилепсия</w:t>
            </w:r>
          </w:p>
        </w:tc>
        <w:tc>
          <w:tcPr>
            <w:tcW w:w="3795" w:type="dxa"/>
          </w:tcPr>
          <w:p w14:paraId="1D10B1B6" w14:textId="77777777" w:rsidR="00BE0B19" w:rsidRPr="00AE47C6" w:rsidRDefault="00BE0B19" w:rsidP="00BE0B19">
            <w:pPr>
              <w:numPr>
                <w:ilvl w:val="0"/>
                <w:numId w:val="1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Абсанси</w:t>
            </w:r>
          </w:p>
          <w:p w14:paraId="247E640B" w14:textId="77777777" w:rsidR="00BE0B19" w:rsidRPr="00AE47C6" w:rsidRDefault="00BE0B19" w:rsidP="00BE0B19">
            <w:pPr>
              <w:numPr>
                <w:ilvl w:val="0"/>
                <w:numId w:val="1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Миоклонии</w:t>
            </w:r>
          </w:p>
          <w:p w14:paraId="1FD0B411" w14:textId="77777777" w:rsidR="00BE0B19" w:rsidRPr="00AE47C6" w:rsidRDefault="00BE0B19" w:rsidP="00BE0B19">
            <w:pPr>
              <w:numPr>
                <w:ilvl w:val="0"/>
                <w:numId w:val="1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Фокални пристъпи</w:t>
            </w:r>
          </w:p>
        </w:tc>
      </w:tr>
      <w:tr w:rsidR="00BE0B19" w:rsidRPr="00AE47C6" w14:paraId="317587C1" w14:textId="77777777" w:rsidTr="00AD72E5">
        <w:tc>
          <w:tcPr>
            <w:tcW w:w="2065" w:type="dxa"/>
          </w:tcPr>
          <w:p w14:paraId="133A7C42"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Phenytoin</w:t>
            </w:r>
          </w:p>
        </w:tc>
        <w:tc>
          <w:tcPr>
            <w:tcW w:w="4133" w:type="dxa"/>
          </w:tcPr>
          <w:p w14:paraId="45BDB8CF" w14:textId="77777777" w:rsidR="00BE0B19" w:rsidRPr="00AE47C6" w:rsidRDefault="00BE0B19" w:rsidP="00BE0B19">
            <w:pPr>
              <w:numPr>
                <w:ilvl w:val="0"/>
                <w:numId w:val="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Абсансна епилепсия</w:t>
            </w:r>
          </w:p>
          <w:p w14:paraId="1A67A5F5" w14:textId="77777777" w:rsidR="00BE0B19" w:rsidRPr="00AE47C6" w:rsidRDefault="00BE0B19" w:rsidP="00BE0B19">
            <w:pPr>
              <w:numPr>
                <w:ilvl w:val="0"/>
                <w:numId w:val="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Прогресивна миоклонична епилепсия</w:t>
            </w:r>
          </w:p>
          <w:p w14:paraId="155669CB" w14:textId="77777777" w:rsidR="00BE0B19" w:rsidRPr="00AE47C6" w:rsidRDefault="00BE0B19" w:rsidP="00BE0B19">
            <w:pPr>
              <w:numPr>
                <w:ilvl w:val="0"/>
                <w:numId w:val="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Ювенилна миоклонична епилепсия</w:t>
            </w:r>
          </w:p>
          <w:p w14:paraId="2F2556A8" w14:textId="77777777" w:rsidR="00BE0B19" w:rsidRPr="00AE47C6" w:rsidRDefault="00BE0B19" w:rsidP="00BE0B19">
            <w:pPr>
              <w:numPr>
                <w:ilvl w:val="0"/>
                <w:numId w:val="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Синдром на Landau-Kleffner</w:t>
            </w:r>
          </w:p>
        </w:tc>
        <w:tc>
          <w:tcPr>
            <w:tcW w:w="3795" w:type="dxa"/>
          </w:tcPr>
          <w:p w14:paraId="467A3091" w14:textId="77777777" w:rsidR="00BE0B19" w:rsidRPr="00AE47C6" w:rsidRDefault="00BE0B19" w:rsidP="00BE0B19">
            <w:pPr>
              <w:numPr>
                <w:ilvl w:val="0"/>
                <w:numId w:val="1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Абсанси</w:t>
            </w:r>
          </w:p>
          <w:p w14:paraId="58A5F3BB" w14:textId="77777777" w:rsidR="00BE0B19" w:rsidRPr="00AE47C6" w:rsidRDefault="00BE0B19" w:rsidP="00BE0B19">
            <w:pPr>
              <w:numPr>
                <w:ilvl w:val="0"/>
                <w:numId w:val="1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Церебеларен синдром</w:t>
            </w:r>
          </w:p>
          <w:p w14:paraId="71842A97"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Миоклонични пристъпи</w:t>
            </w:r>
          </w:p>
          <w:p w14:paraId="7662E501"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Фокални пристъпи - рядко</w:t>
            </w:r>
          </w:p>
          <w:p w14:paraId="4AF844D5" w14:textId="77777777" w:rsidR="00BE0B19" w:rsidRPr="00AE47C6" w:rsidRDefault="00BE0B19" w:rsidP="00BE0B19">
            <w:pPr>
              <w:numPr>
                <w:ilvl w:val="0"/>
                <w:numId w:val="1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ГТКП</w:t>
            </w:r>
          </w:p>
        </w:tc>
      </w:tr>
      <w:tr w:rsidR="00BE0B19" w:rsidRPr="00AE47C6" w14:paraId="2575127D" w14:textId="77777777" w:rsidTr="00AD72E5">
        <w:tc>
          <w:tcPr>
            <w:tcW w:w="2065" w:type="dxa"/>
          </w:tcPr>
          <w:p w14:paraId="04E5D1EE"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Phenobarbital</w:t>
            </w:r>
          </w:p>
        </w:tc>
        <w:tc>
          <w:tcPr>
            <w:tcW w:w="4133" w:type="dxa"/>
          </w:tcPr>
          <w:p w14:paraId="7FB350A1" w14:textId="77777777" w:rsidR="00BE0B19" w:rsidRPr="00AE47C6" w:rsidRDefault="00BE0B19" w:rsidP="00BE0B19">
            <w:pPr>
              <w:numPr>
                <w:ilvl w:val="0"/>
                <w:numId w:val="123"/>
              </w:numPr>
              <w:spacing w:after="0" w:line="360" w:lineRule="auto"/>
              <w:ind w:left="309" w:hanging="283"/>
              <w:jc w:val="both"/>
              <w:rPr>
                <w:rFonts w:ascii="Times New Roman" w:eastAsia="SimSun" w:hAnsi="Times New Roman"/>
                <w:sz w:val="24"/>
                <w:szCs w:val="24"/>
              </w:rPr>
            </w:pPr>
            <w:r w:rsidRPr="00AE47C6">
              <w:rPr>
                <w:rFonts w:ascii="Times New Roman" w:eastAsia="SimSun" w:hAnsi="Times New Roman"/>
                <w:sz w:val="24"/>
                <w:szCs w:val="24"/>
              </w:rPr>
              <w:t>Абсансна епилепсия</w:t>
            </w:r>
          </w:p>
          <w:p w14:paraId="1D292108" w14:textId="77777777" w:rsidR="00BE0B19" w:rsidRPr="00AE47C6" w:rsidRDefault="00BE0B19" w:rsidP="00BE0B19">
            <w:pPr>
              <w:numPr>
                <w:ilvl w:val="0"/>
                <w:numId w:val="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Роландова епилепсия</w:t>
            </w:r>
          </w:p>
          <w:p w14:paraId="4DE50327" w14:textId="77777777" w:rsidR="00BE0B19" w:rsidRPr="00AE47C6" w:rsidRDefault="00BE0B19" w:rsidP="00BE0B19">
            <w:pPr>
              <w:numPr>
                <w:ilvl w:val="0"/>
                <w:numId w:val="123"/>
              </w:numPr>
              <w:spacing w:after="0" w:line="360" w:lineRule="auto"/>
              <w:ind w:left="309" w:hanging="283"/>
              <w:jc w:val="both"/>
              <w:rPr>
                <w:rFonts w:ascii="Times New Roman" w:eastAsia="SimSun" w:hAnsi="Times New Roman"/>
                <w:sz w:val="24"/>
                <w:szCs w:val="24"/>
              </w:rPr>
            </w:pPr>
            <w:r w:rsidRPr="00AE47C6">
              <w:rPr>
                <w:rFonts w:ascii="Times New Roman" w:eastAsia="SimSun" w:hAnsi="Times New Roman"/>
                <w:sz w:val="24"/>
                <w:szCs w:val="24"/>
              </w:rPr>
              <w:t>Синдром на Lennox-Gastaut</w:t>
            </w:r>
          </w:p>
        </w:tc>
        <w:tc>
          <w:tcPr>
            <w:tcW w:w="3795" w:type="dxa"/>
          </w:tcPr>
          <w:p w14:paraId="65B6C170" w14:textId="77777777" w:rsidR="00BE0B19" w:rsidRPr="00AE47C6" w:rsidRDefault="00BE0B19" w:rsidP="00BE0B19">
            <w:pPr>
              <w:numPr>
                <w:ilvl w:val="0"/>
                <w:numId w:val="123"/>
              </w:numPr>
              <w:tabs>
                <w:tab w:val="left" w:pos="392"/>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Абсанси (при високи дози)</w:t>
            </w:r>
          </w:p>
          <w:p w14:paraId="2F27D076" w14:textId="77777777" w:rsidR="00BE0B19" w:rsidRPr="00AE47C6" w:rsidRDefault="00BE0B19" w:rsidP="00BE0B19">
            <w:pPr>
              <w:numPr>
                <w:ilvl w:val="0"/>
                <w:numId w:val="123"/>
              </w:numPr>
              <w:tabs>
                <w:tab w:val="left" w:pos="392"/>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Миоклонични пристъпи</w:t>
            </w:r>
          </w:p>
        </w:tc>
      </w:tr>
      <w:tr w:rsidR="00BE0B19" w:rsidRPr="00AE47C6" w14:paraId="65568509" w14:textId="77777777" w:rsidTr="00AD72E5">
        <w:tc>
          <w:tcPr>
            <w:tcW w:w="2065" w:type="dxa"/>
          </w:tcPr>
          <w:p w14:paraId="1753142A"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Valproate (рядко)</w:t>
            </w:r>
          </w:p>
        </w:tc>
        <w:tc>
          <w:tcPr>
            <w:tcW w:w="4133" w:type="dxa"/>
          </w:tcPr>
          <w:p w14:paraId="69393F0F" w14:textId="77777777" w:rsidR="00BE0B19" w:rsidRPr="00AE47C6" w:rsidRDefault="00BE0B19" w:rsidP="00BE0B19">
            <w:pPr>
              <w:numPr>
                <w:ilvl w:val="0"/>
                <w:numId w:val="123"/>
              </w:numPr>
              <w:spacing w:after="0" w:line="360" w:lineRule="auto"/>
              <w:ind w:left="309" w:hanging="283"/>
              <w:jc w:val="both"/>
              <w:rPr>
                <w:rFonts w:ascii="Times New Roman" w:eastAsia="SimSun" w:hAnsi="Times New Roman"/>
                <w:sz w:val="24"/>
                <w:szCs w:val="24"/>
              </w:rPr>
            </w:pPr>
            <w:r w:rsidRPr="00AE47C6">
              <w:rPr>
                <w:rFonts w:ascii="Times New Roman" w:eastAsia="SimSun" w:hAnsi="Times New Roman"/>
                <w:sz w:val="24"/>
                <w:szCs w:val="24"/>
              </w:rPr>
              <w:t>Абсансна епилепсия</w:t>
            </w:r>
          </w:p>
          <w:p w14:paraId="54351E4E" w14:textId="77777777" w:rsidR="00BE0B19" w:rsidRPr="00AE47C6" w:rsidRDefault="00BE0B19" w:rsidP="00BE0B19">
            <w:pPr>
              <w:numPr>
                <w:ilvl w:val="0"/>
                <w:numId w:val="123"/>
              </w:numPr>
              <w:spacing w:after="0" w:line="360" w:lineRule="auto"/>
              <w:ind w:left="309" w:hanging="283"/>
              <w:jc w:val="both"/>
              <w:rPr>
                <w:rFonts w:ascii="Times New Roman" w:eastAsia="SimSun" w:hAnsi="Times New Roman"/>
                <w:sz w:val="24"/>
                <w:szCs w:val="24"/>
              </w:rPr>
            </w:pPr>
            <w:r w:rsidRPr="00AE47C6">
              <w:rPr>
                <w:rFonts w:ascii="Times New Roman" w:eastAsia="SimSun" w:hAnsi="Times New Roman"/>
                <w:sz w:val="24"/>
                <w:szCs w:val="24"/>
              </w:rPr>
              <w:t>Единични случаи при епилепсия с миоклонус и криптогенна фокална епилепсия</w:t>
            </w:r>
          </w:p>
        </w:tc>
        <w:tc>
          <w:tcPr>
            <w:tcW w:w="3795" w:type="dxa"/>
          </w:tcPr>
          <w:p w14:paraId="14D879D8"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Абсанси</w:t>
            </w:r>
          </w:p>
          <w:p w14:paraId="4FC70F56"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Миоклонични пристъпи</w:t>
            </w:r>
          </w:p>
          <w:p w14:paraId="22A4351B"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Фокални</w:t>
            </w:r>
          </w:p>
          <w:p w14:paraId="1095FEA4" w14:textId="77777777" w:rsidR="00BE0B19" w:rsidRPr="00AE47C6" w:rsidRDefault="00BE0B19" w:rsidP="00BE0B19">
            <w:pPr>
              <w:numPr>
                <w:ilvl w:val="0"/>
                <w:numId w:val="123"/>
              </w:numPr>
              <w:tabs>
                <w:tab w:val="left" w:pos="392"/>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ГТКП</w:t>
            </w:r>
          </w:p>
        </w:tc>
      </w:tr>
      <w:tr w:rsidR="00BE0B19" w:rsidRPr="00AE47C6" w14:paraId="3D873DDD" w14:textId="77777777" w:rsidTr="00AD72E5">
        <w:tc>
          <w:tcPr>
            <w:tcW w:w="2065" w:type="dxa"/>
          </w:tcPr>
          <w:p w14:paraId="433A9199"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Ethosuximide</w:t>
            </w:r>
          </w:p>
        </w:tc>
        <w:tc>
          <w:tcPr>
            <w:tcW w:w="4133" w:type="dxa"/>
          </w:tcPr>
          <w:p w14:paraId="38F06091"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Абсансна епилепсия</w:t>
            </w:r>
          </w:p>
          <w:p w14:paraId="78B5672D"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Епилепсия с миоклонус</w:t>
            </w:r>
          </w:p>
          <w:p w14:paraId="624414A5"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Епилепсия с ГТКП</w:t>
            </w:r>
          </w:p>
        </w:tc>
        <w:tc>
          <w:tcPr>
            <w:tcW w:w="3795" w:type="dxa"/>
          </w:tcPr>
          <w:p w14:paraId="68D8DBF9" w14:textId="77777777" w:rsidR="00BE0B19" w:rsidRPr="00AE47C6" w:rsidRDefault="00BE0B19" w:rsidP="00BE0B19">
            <w:pPr>
              <w:numPr>
                <w:ilvl w:val="0"/>
                <w:numId w:val="123"/>
              </w:numPr>
              <w:tabs>
                <w:tab w:val="left" w:pos="291"/>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Абсанси</w:t>
            </w:r>
          </w:p>
          <w:p w14:paraId="627BDE16" w14:textId="77777777" w:rsidR="00BE0B19" w:rsidRPr="00AE47C6" w:rsidRDefault="00BE0B19" w:rsidP="00BE0B19">
            <w:pPr>
              <w:numPr>
                <w:ilvl w:val="0"/>
                <w:numId w:val="123"/>
              </w:numPr>
              <w:tabs>
                <w:tab w:val="left" w:pos="291"/>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Миоклонични пристъпи</w:t>
            </w:r>
          </w:p>
          <w:p w14:paraId="4503CAC8" w14:textId="77777777" w:rsidR="00BE0B19" w:rsidRPr="00AE47C6" w:rsidRDefault="00BE0B19" w:rsidP="00BE0B19">
            <w:pPr>
              <w:numPr>
                <w:ilvl w:val="0"/>
                <w:numId w:val="123"/>
              </w:numPr>
              <w:tabs>
                <w:tab w:val="left" w:pos="291"/>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ГТКП</w:t>
            </w:r>
          </w:p>
        </w:tc>
      </w:tr>
      <w:tr w:rsidR="00BE0B19" w:rsidRPr="00AE47C6" w14:paraId="0A1475B8" w14:textId="77777777" w:rsidTr="00AD72E5">
        <w:tc>
          <w:tcPr>
            <w:tcW w:w="2065" w:type="dxa"/>
          </w:tcPr>
          <w:p w14:paraId="085D0DA6"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Бензодиазепини</w:t>
            </w:r>
          </w:p>
        </w:tc>
        <w:tc>
          <w:tcPr>
            <w:tcW w:w="4133" w:type="dxa"/>
          </w:tcPr>
          <w:p w14:paraId="74E13BEB" w14:textId="77777777" w:rsidR="00BE0B19" w:rsidRPr="00AE47C6" w:rsidRDefault="00BE0B19" w:rsidP="00BE0B19">
            <w:pPr>
              <w:numPr>
                <w:ilvl w:val="0"/>
                <w:numId w:val="122"/>
              </w:numPr>
              <w:tabs>
                <w:tab w:val="left" w:pos="309"/>
              </w:tabs>
              <w:spacing w:after="0" w:line="360" w:lineRule="auto"/>
              <w:ind w:left="26" w:firstLine="0"/>
              <w:rPr>
                <w:rFonts w:ascii="Times New Roman" w:eastAsia="SimSun" w:hAnsi="Times New Roman"/>
                <w:sz w:val="24"/>
                <w:szCs w:val="24"/>
              </w:rPr>
            </w:pPr>
            <w:r w:rsidRPr="00AE47C6">
              <w:rPr>
                <w:rFonts w:ascii="Times New Roman" w:eastAsia="SimSun" w:hAnsi="Times New Roman"/>
                <w:sz w:val="24"/>
                <w:szCs w:val="24"/>
              </w:rPr>
              <w:t>Синдром на Lennox-Gastaut</w:t>
            </w:r>
          </w:p>
        </w:tc>
        <w:tc>
          <w:tcPr>
            <w:tcW w:w="3795" w:type="dxa"/>
          </w:tcPr>
          <w:p w14:paraId="7FC4A36C" w14:textId="77777777" w:rsidR="00BE0B19" w:rsidRPr="00AE47C6" w:rsidRDefault="00BE0B19" w:rsidP="00BE0B19">
            <w:pPr>
              <w:numPr>
                <w:ilvl w:val="0"/>
                <w:numId w:val="122"/>
              </w:numPr>
              <w:spacing w:after="0" w:line="360" w:lineRule="auto"/>
              <w:ind w:left="291" w:hanging="291"/>
              <w:jc w:val="both"/>
              <w:rPr>
                <w:rFonts w:ascii="Times New Roman" w:eastAsia="SimSun" w:hAnsi="Times New Roman"/>
                <w:sz w:val="24"/>
                <w:szCs w:val="24"/>
              </w:rPr>
            </w:pPr>
            <w:r w:rsidRPr="00AE47C6">
              <w:rPr>
                <w:rFonts w:ascii="Times New Roman" w:eastAsia="SimSun" w:hAnsi="Times New Roman"/>
                <w:sz w:val="24"/>
                <w:szCs w:val="24"/>
              </w:rPr>
              <w:t>Тонични пристъпи</w:t>
            </w:r>
          </w:p>
          <w:p w14:paraId="35BE6C95" w14:textId="77777777" w:rsidR="00BE0B19" w:rsidRPr="00AE47C6" w:rsidRDefault="00BE0B19" w:rsidP="00BE0B19">
            <w:pPr>
              <w:numPr>
                <w:ilvl w:val="0"/>
                <w:numId w:val="122"/>
              </w:numPr>
              <w:spacing w:after="0" w:line="360" w:lineRule="auto"/>
              <w:ind w:left="291" w:hanging="291"/>
              <w:jc w:val="both"/>
              <w:rPr>
                <w:rFonts w:ascii="Times New Roman" w:eastAsia="SimSun" w:hAnsi="Times New Roman"/>
                <w:sz w:val="24"/>
                <w:szCs w:val="24"/>
              </w:rPr>
            </w:pPr>
            <w:r w:rsidRPr="00AE47C6">
              <w:rPr>
                <w:rFonts w:ascii="Times New Roman" w:eastAsia="SimSun" w:hAnsi="Times New Roman"/>
                <w:sz w:val="24"/>
                <w:szCs w:val="24"/>
              </w:rPr>
              <w:t>Абсанси</w:t>
            </w:r>
          </w:p>
          <w:p w14:paraId="65585DD4" w14:textId="77777777" w:rsidR="00BE0B19" w:rsidRPr="00AE47C6" w:rsidRDefault="00BE0B19" w:rsidP="00BE0B19">
            <w:pPr>
              <w:numPr>
                <w:ilvl w:val="0"/>
                <w:numId w:val="122"/>
              </w:numPr>
              <w:spacing w:after="0" w:line="360" w:lineRule="auto"/>
              <w:ind w:left="291" w:hanging="291"/>
              <w:jc w:val="both"/>
              <w:rPr>
                <w:rFonts w:ascii="Times New Roman" w:eastAsia="SimSun" w:hAnsi="Times New Roman"/>
                <w:sz w:val="24"/>
                <w:szCs w:val="24"/>
              </w:rPr>
            </w:pPr>
            <w:r w:rsidRPr="00AE47C6">
              <w:rPr>
                <w:rFonts w:ascii="Times New Roman" w:eastAsia="SimSun" w:hAnsi="Times New Roman"/>
                <w:sz w:val="24"/>
                <w:szCs w:val="24"/>
              </w:rPr>
              <w:t>Миоклонични пристъпи</w:t>
            </w:r>
          </w:p>
        </w:tc>
      </w:tr>
      <w:tr w:rsidR="00BE0B19" w:rsidRPr="00AE47C6" w14:paraId="3F3ED690" w14:textId="77777777" w:rsidTr="00AD72E5">
        <w:tc>
          <w:tcPr>
            <w:tcW w:w="2065" w:type="dxa"/>
          </w:tcPr>
          <w:p w14:paraId="4DF4D64E"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Vigabatrin</w:t>
            </w:r>
          </w:p>
        </w:tc>
        <w:tc>
          <w:tcPr>
            <w:tcW w:w="4133" w:type="dxa"/>
          </w:tcPr>
          <w:p w14:paraId="44CE4C99"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Абсансна епилепсия</w:t>
            </w:r>
          </w:p>
          <w:p w14:paraId="395D5064"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Епилепсии с миоклонус</w:t>
            </w:r>
          </w:p>
          <w:p w14:paraId="4BE1D8C1"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Синдром на Lennox-Gastaut</w:t>
            </w:r>
          </w:p>
        </w:tc>
        <w:tc>
          <w:tcPr>
            <w:tcW w:w="3795" w:type="dxa"/>
          </w:tcPr>
          <w:p w14:paraId="32454872"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Абсанси</w:t>
            </w:r>
          </w:p>
          <w:p w14:paraId="26F8F935"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Миоклонус</w:t>
            </w:r>
          </w:p>
          <w:p w14:paraId="387D3E25"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Фокални пристъпи</w:t>
            </w:r>
          </w:p>
          <w:p w14:paraId="37C5EDC1"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Тонични пристъпи</w:t>
            </w:r>
          </w:p>
        </w:tc>
      </w:tr>
      <w:tr w:rsidR="00BE0B19" w:rsidRPr="00AE47C6" w14:paraId="165085ED" w14:textId="77777777" w:rsidTr="00AD72E5">
        <w:tc>
          <w:tcPr>
            <w:tcW w:w="2065" w:type="dxa"/>
          </w:tcPr>
          <w:p w14:paraId="68BA16CB"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Gabapentin</w:t>
            </w:r>
          </w:p>
        </w:tc>
        <w:tc>
          <w:tcPr>
            <w:tcW w:w="4133" w:type="dxa"/>
          </w:tcPr>
          <w:p w14:paraId="46096AB3"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Абсансна епилепсия</w:t>
            </w:r>
          </w:p>
          <w:p w14:paraId="724F1FA7"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Епилепсия с миоклонус</w:t>
            </w:r>
          </w:p>
          <w:p w14:paraId="607E4692"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Синдром на Lennox-Gastaut</w:t>
            </w:r>
          </w:p>
        </w:tc>
        <w:tc>
          <w:tcPr>
            <w:tcW w:w="3795" w:type="dxa"/>
          </w:tcPr>
          <w:p w14:paraId="67664772"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Абсанси</w:t>
            </w:r>
          </w:p>
          <w:p w14:paraId="59CFDCA5"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Миоклонус</w:t>
            </w:r>
          </w:p>
        </w:tc>
      </w:tr>
      <w:tr w:rsidR="00BE0B19" w:rsidRPr="00AE47C6" w14:paraId="7CFEC494" w14:textId="77777777" w:rsidTr="00AD72E5">
        <w:tc>
          <w:tcPr>
            <w:tcW w:w="2065" w:type="dxa"/>
          </w:tcPr>
          <w:p w14:paraId="2A2EA2BA"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Lamotrigine</w:t>
            </w:r>
          </w:p>
        </w:tc>
        <w:tc>
          <w:tcPr>
            <w:tcW w:w="4133" w:type="dxa"/>
          </w:tcPr>
          <w:p w14:paraId="5A2573F0"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Ранна детска тежка миоклонична епилепсия (SMEI)</w:t>
            </w:r>
          </w:p>
          <w:p w14:paraId="69DDAB22"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Ювенилна миоклонична епилепсия</w:t>
            </w:r>
          </w:p>
          <w:p w14:paraId="77FB153C"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Роландова епилепсия</w:t>
            </w:r>
          </w:p>
        </w:tc>
        <w:tc>
          <w:tcPr>
            <w:tcW w:w="3795" w:type="dxa"/>
          </w:tcPr>
          <w:p w14:paraId="766A8F7C"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При високи дози</w:t>
            </w:r>
          </w:p>
          <w:p w14:paraId="710F8F71"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Миоклонични пристъпи</w:t>
            </w:r>
          </w:p>
        </w:tc>
      </w:tr>
      <w:tr w:rsidR="00BE0B19" w:rsidRPr="00AE47C6" w14:paraId="6AD8C0BC" w14:textId="77777777" w:rsidTr="00AD72E5">
        <w:tc>
          <w:tcPr>
            <w:tcW w:w="2065" w:type="dxa"/>
          </w:tcPr>
          <w:p w14:paraId="54C85C92"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Rufinamide</w:t>
            </w:r>
          </w:p>
        </w:tc>
        <w:tc>
          <w:tcPr>
            <w:tcW w:w="4133" w:type="dxa"/>
          </w:tcPr>
          <w:p w14:paraId="25944227"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Синдром на Lennox-Gastaut</w:t>
            </w:r>
          </w:p>
        </w:tc>
        <w:tc>
          <w:tcPr>
            <w:tcW w:w="3795" w:type="dxa"/>
          </w:tcPr>
          <w:p w14:paraId="43BAA856"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Атонични пристъпи</w:t>
            </w:r>
          </w:p>
        </w:tc>
      </w:tr>
      <w:tr w:rsidR="00BE0B19" w:rsidRPr="00AE47C6" w14:paraId="3747DC71" w14:textId="77777777" w:rsidTr="00AD72E5">
        <w:tc>
          <w:tcPr>
            <w:tcW w:w="2065" w:type="dxa"/>
          </w:tcPr>
          <w:p w14:paraId="1866CFCE"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Topiramate</w:t>
            </w:r>
          </w:p>
        </w:tc>
        <w:tc>
          <w:tcPr>
            <w:tcW w:w="4133" w:type="dxa"/>
          </w:tcPr>
          <w:p w14:paraId="3B3ECDB4"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Абсансна епилепсия</w:t>
            </w:r>
          </w:p>
        </w:tc>
        <w:tc>
          <w:tcPr>
            <w:tcW w:w="3795" w:type="dxa"/>
          </w:tcPr>
          <w:p w14:paraId="7366513F"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Абсанси</w:t>
            </w:r>
          </w:p>
        </w:tc>
      </w:tr>
      <w:tr w:rsidR="00BE0B19" w:rsidRPr="00AE47C6" w14:paraId="0E549DA2" w14:textId="77777777" w:rsidTr="00AD72E5">
        <w:tc>
          <w:tcPr>
            <w:tcW w:w="2065" w:type="dxa"/>
          </w:tcPr>
          <w:p w14:paraId="5AE0ACF2"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Tiagabine</w:t>
            </w:r>
          </w:p>
        </w:tc>
        <w:tc>
          <w:tcPr>
            <w:tcW w:w="4133" w:type="dxa"/>
          </w:tcPr>
          <w:p w14:paraId="7857AE35"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Абсансна епилепсия</w:t>
            </w:r>
          </w:p>
          <w:p w14:paraId="56C30F7A"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Епилепсия с миоклонус</w:t>
            </w:r>
          </w:p>
        </w:tc>
        <w:tc>
          <w:tcPr>
            <w:tcW w:w="3795" w:type="dxa"/>
          </w:tcPr>
          <w:p w14:paraId="1435AEA3"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Абсанси</w:t>
            </w:r>
          </w:p>
          <w:p w14:paraId="6A796B98"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Миоклонични пристъпи</w:t>
            </w:r>
          </w:p>
          <w:p w14:paraId="4F2191E4"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Фокални</w:t>
            </w:r>
          </w:p>
          <w:p w14:paraId="55E6B257"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ГТКП</w:t>
            </w:r>
          </w:p>
        </w:tc>
      </w:tr>
      <w:tr w:rsidR="00BE0B19" w:rsidRPr="00AE47C6" w14:paraId="0C9A7DCC" w14:textId="77777777" w:rsidTr="00AD72E5">
        <w:tc>
          <w:tcPr>
            <w:tcW w:w="2065" w:type="dxa"/>
          </w:tcPr>
          <w:p w14:paraId="5F300426"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Levetiracetam</w:t>
            </w:r>
          </w:p>
        </w:tc>
        <w:tc>
          <w:tcPr>
            <w:tcW w:w="4133" w:type="dxa"/>
          </w:tcPr>
          <w:p w14:paraId="501C1DC4" w14:textId="77777777" w:rsidR="00BE0B19" w:rsidRPr="00AE47C6" w:rsidRDefault="00BE0B19" w:rsidP="00BE0B19">
            <w:pPr>
              <w:numPr>
                <w:ilvl w:val="0"/>
                <w:numId w:val="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Ювенилна миоклонична епилепсия</w:t>
            </w:r>
          </w:p>
          <w:p w14:paraId="61AEBA9F"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Абсансна епилепсия</w:t>
            </w:r>
          </w:p>
          <w:p w14:paraId="073A5E7A"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Синдром на Lennox-Gastaut</w:t>
            </w:r>
          </w:p>
          <w:p w14:paraId="65471355"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Синдром на Dravet</w:t>
            </w:r>
          </w:p>
        </w:tc>
        <w:tc>
          <w:tcPr>
            <w:tcW w:w="3795" w:type="dxa"/>
          </w:tcPr>
          <w:p w14:paraId="72BD99BD"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Абсанси</w:t>
            </w:r>
          </w:p>
          <w:p w14:paraId="6EBFDD25"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Миоклонични пристъпи</w:t>
            </w:r>
          </w:p>
          <w:p w14:paraId="5193CD73"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Фокални</w:t>
            </w:r>
          </w:p>
          <w:p w14:paraId="2E3D9C1B"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ГТКП</w:t>
            </w:r>
          </w:p>
        </w:tc>
      </w:tr>
      <w:tr w:rsidR="00BE0B19" w:rsidRPr="00AE47C6" w14:paraId="08053887" w14:textId="77777777" w:rsidTr="00AD72E5">
        <w:tc>
          <w:tcPr>
            <w:tcW w:w="2065" w:type="dxa"/>
          </w:tcPr>
          <w:p w14:paraId="1DD8A140"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Pregabalin</w:t>
            </w:r>
          </w:p>
        </w:tc>
        <w:tc>
          <w:tcPr>
            <w:tcW w:w="4133" w:type="dxa"/>
          </w:tcPr>
          <w:p w14:paraId="1AAED930"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Абсансна епилепсия</w:t>
            </w:r>
          </w:p>
          <w:p w14:paraId="40CEBE1C"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Епилепсия с миоклонус</w:t>
            </w:r>
          </w:p>
        </w:tc>
        <w:tc>
          <w:tcPr>
            <w:tcW w:w="3795" w:type="dxa"/>
          </w:tcPr>
          <w:p w14:paraId="56601070"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Абсанси</w:t>
            </w:r>
          </w:p>
          <w:p w14:paraId="3E63717A"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Миоклонични пристъпи</w:t>
            </w:r>
          </w:p>
        </w:tc>
      </w:tr>
      <w:tr w:rsidR="00BE0B19" w:rsidRPr="00AE47C6" w14:paraId="69976544" w14:textId="77777777" w:rsidTr="00AD72E5">
        <w:tc>
          <w:tcPr>
            <w:tcW w:w="2065" w:type="dxa"/>
            <w:tcBorders>
              <w:bottom w:val="single" w:sz="4" w:space="0" w:color="auto"/>
            </w:tcBorders>
          </w:tcPr>
          <w:p w14:paraId="4B565966"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Lacosamide</w:t>
            </w:r>
          </w:p>
        </w:tc>
        <w:tc>
          <w:tcPr>
            <w:tcW w:w="4133" w:type="dxa"/>
            <w:tcBorders>
              <w:bottom w:val="single" w:sz="4" w:space="0" w:color="auto"/>
            </w:tcBorders>
          </w:tcPr>
          <w:p w14:paraId="4AB08D66" w14:textId="77777777" w:rsidR="00BE0B19" w:rsidRPr="00AE47C6" w:rsidRDefault="00BE0B19" w:rsidP="00BE0B19">
            <w:pPr>
              <w:numPr>
                <w:ilvl w:val="0"/>
                <w:numId w:val="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Синдром на Lennox-Gastaut</w:t>
            </w:r>
          </w:p>
        </w:tc>
        <w:tc>
          <w:tcPr>
            <w:tcW w:w="3795" w:type="dxa"/>
            <w:tcBorders>
              <w:bottom w:val="single" w:sz="4" w:space="0" w:color="auto"/>
            </w:tcBorders>
          </w:tcPr>
          <w:p w14:paraId="722D58BE"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Атипични абсанси</w:t>
            </w:r>
          </w:p>
          <w:p w14:paraId="50B2774B" w14:textId="77777777" w:rsidR="00BE0B19" w:rsidRPr="00AE47C6" w:rsidRDefault="00BE0B19" w:rsidP="00BE0B19">
            <w:pPr>
              <w:numPr>
                <w:ilvl w:val="0"/>
                <w:numId w:val="1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ГТКП</w:t>
            </w:r>
          </w:p>
        </w:tc>
      </w:tr>
    </w:tbl>
    <w:p w14:paraId="7014C68E" w14:textId="77777777" w:rsidR="00BE0B19" w:rsidRPr="00AE47C6" w:rsidRDefault="00BE0B19" w:rsidP="00BE0B19">
      <w:pPr>
        <w:tabs>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b/>
          <w:bCs/>
          <w:i/>
          <w:iCs/>
          <w:sz w:val="24"/>
          <w:szCs w:val="24"/>
        </w:rPr>
      </w:pPr>
    </w:p>
    <w:p w14:paraId="68122228" w14:textId="77777777" w:rsidR="00BE0B19" w:rsidRPr="00AE47C6" w:rsidRDefault="00BE0B19" w:rsidP="00BE0B19">
      <w:pPr>
        <w:widowControl w:val="0"/>
        <w:spacing w:after="0" w:line="360" w:lineRule="auto"/>
        <w:ind w:firstLine="720"/>
        <w:jc w:val="both"/>
        <w:rPr>
          <w:rFonts w:ascii="Times New Roman" w:eastAsia="MS Mincho" w:hAnsi="Times New Roman"/>
          <w:sz w:val="24"/>
          <w:szCs w:val="24"/>
        </w:rPr>
      </w:pPr>
      <w:r w:rsidRPr="00AE47C6">
        <w:rPr>
          <w:rFonts w:ascii="Times New Roman" w:eastAsia="MS Mincho" w:hAnsi="Times New Roman"/>
          <w:b/>
          <w:sz w:val="24"/>
          <w:szCs w:val="24"/>
        </w:rPr>
        <w:t>Г. Лечение с политерапия</w:t>
      </w:r>
      <w:r w:rsidRPr="00AE47C6">
        <w:rPr>
          <w:rFonts w:ascii="Times New Roman" w:eastAsia="MS Mincho" w:hAnsi="Times New Roman"/>
          <w:sz w:val="24"/>
          <w:szCs w:val="24"/>
        </w:rPr>
        <w:t xml:space="preserve"> - </w:t>
      </w:r>
      <w:r w:rsidRPr="00AE47C6">
        <w:rPr>
          <w:rFonts w:ascii="Times New Roman" w:eastAsia="MS Mincho" w:hAnsi="Times New Roman"/>
          <w:bCs/>
          <w:sz w:val="24"/>
          <w:szCs w:val="24"/>
        </w:rPr>
        <w:t xml:space="preserve">започва се при </w:t>
      </w:r>
      <w:r w:rsidRPr="00AE47C6">
        <w:rPr>
          <w:rFonts w:ascii="Times New Roman" w:eastAsia="MS Mincho" w:hAnsi="Times New Roman"/>
          <w:bCs/>
          <w:i/>
          <w:iCs/>
          <w:sz w:val="24"/>
          <w:szCs w:val="24"/>
        </w:rPr>
        <w:t xml:space="preserve">неповлияващи се </w:t>
      </w:r>
      <w:r w:rsidRPr="00AE47C6">
        <w:rPr>
          <w:rFonts w:ascii="Times New Roman" w:eastAsia="MS Mincho" w:hAnsi="Times New Roman"/>
          <w:bCs/>
          <w:sz w:val="24"/>
          <w:szCs w:val="24"/>
        </w:rPr>
        <w:t>болни от монотерапия с 2 АГЛ. Прилага се при около 40% от пациентите, при които монотерапията е неефективна: чести, тежки фокални или полиморфни пристъпи, специфични синдроми и епилептични енцефалопатии, напр. темпоралнодялова епилепсия при мезиотемпорална склероза, синдром на Dravet (SMEI), синдром на West, синдром на Lennox-Gastaut. При прибавяне на втори, респективно трети АГЛ, се препоръчва рационална политерапия, като се комбинират – 2 (3) АГЛ с различен механизъм на действие</w:t>
      </w:r>
      <w:r w:rsidRPr="00AE47C6">
        <w:rPr>
          <w:rFonts w:ascii="Times New Roman" w:eastAsia="MS Mincho" w:hAnsi="Times New Roman"/>
          <w:b/>
          <w:bCs/>
          <w:sz w:val="24"/>
          <w:szCs w:val="24"/>
        </w:rPr>
        <w:t xml:space="preserve"> </w:t>
      </w:r>
      <w:r w:rsidRPr="00AE47C6">
        <w:rPr>
          <w:rFonts w:ascii="Times New Roman" w:eastAsia="MS Mincho" w:hAnsi="Times New Roman"/>
          <w:sz w:val="24"/>
          <w:szCs w:val="24"/>
        </w:rPr>
        <w:t>(Таблица 11.13).</w:t>
      </w:r>
    </w:p>
    <w:p w14:paraId="1AB53A04"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Някои АГЛ</w:t>
      </w:r>
      <w:r w:rsidRPr="00AE47C6">
        <w:rPr>
          <w:rFonts w:ascii="Times New Roman" w:eastAsia="SimSun" w:hAnsi="Times New Roman"/>
          <w:sz w:val="24"/>
          <w:szCs w:val="24"/>
        </w:rPr>
        <w:t xml:space="preserve"> (lamotrigine, topiramate, valproic acid) имат множествени механизми на действие, други (phenytoin, carbamazepine, ethosuximide) – един основен механизъм на действие. АГЛ са разделени на следните групи според механизма на действие (Таблица 11.13):</w:t>
      </w:r>
    </w:p>
    <w:p w14:paraId="357F6AFE" w14:textId="77777777" w:rsidR="00BE0B19" w:rsidRPr="00AE47C6" w:rsidRDefault="00BE0B19" w:rsidP="00BE0B19">
      <w:pPr>
        <w:numPr>
          <w:ilvl w:val="0"/>
          <w:numId w:val="12"/>
        </w:numPr>
        <w:shd w:val="clear" w:color="auto" w:fill="FFFFFF"/>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Блокери на репетитивната активация на натриевите канали - phenytoin, carbamazepine, oxcarbazepine, lamotrigine, topiramate, rufinamide, zonizamide, cenobamate </w:t>
      </w:r>
    </w:p>
    <w:p w14:paraId="74386D4F" w14:textId="77777777" w:rsidR="00BE0B19" w:rsidRPr="00AE47C6" w:rsidRDefault="00BE0B19" w:rsidP="00BE0B19">
      <w:pPr>
        <w:numPr>
          <w:ilvl w:val="0"/>
          <w:numId w:val="12"/>
        </w:numPr>
        <w:shd w:val="clear" w:color="auto" w:fill="FFFFFF"/>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Засилващи бавната инактивация на натриевите канали - lacosamide</w:t>
      </w:r>
    </w:p>
    <w:p w14:paraId="33C66424" w14:textId="77777777" w:rsidR="00BE0B19" w:rsidRPr="00AE47C6" w:rsidRDefault="00BE0B19" w:rsidP="00BE0B19">
      <w:pPr>
        <w:numPr>
          <w:ilvl w:val="0"/>
          <w:numId w:val="12"/>
        </w:numPr>
        <w:shd w:val="clear" w:color="auto" w:fill="FFFFFF"/>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Повишаване на GABA - A рецепторите - phenobarbital, бензодиазепини, clobazam, zonizamide </w:t>
      </w:r>
    </w:p>
    <w:p w14:paraId="5CFC770B" w14:textId="77777777" w:rsidR="00BE0B19" w:rsidRPr="00AE47C6" w:rsidRDefault="00BE0B19" w:rsidP="00BE0B19">
      <w:pPr>
        <w:numPr>
          <w:ilvl w:val="0"/>
          <w:numId w:val="12"/>
        </w:numPr>
        <w:shd w:val="clear" w:color="auto" w:fill="FFFFFF"/>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Модулатори на Glutamate - topiramate, lamotrigine, zonizamide</w:t>
      </w:r>
    </w:p>
    <w:p w14:paraId="5C6FC327" w14:textId="77777777" w:rsidR="00BE0B19" w:rsidRPr="00AE47C6" w:rsidRDefault="00BE0B19" w:rsidP="00BE0B19">
      <w:pPr>
        <w:numPr>
          <w:ilvl w:val="0"/>
          <w:numId w:val="12"/>
        </w:numPr>
        <w:shd w:val="clear" w:color="auto" w:fill="FFFFFF"/>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Блокери на T - калциевите канали - ethosuximide, valproate, zonizamide  </w:t>
      </w:r>
    </w:p>
    <w:p w14:paraId="469E870F" w14:textId="77777777" w:rsidR="00BE0B19" w:rsidRPr="00AE47C6" w:rsidRDefault="00BE0B19" w:rsidP="00BE0B19">
      <w:pPr>
        <w:numPr>
          <w:ilvl w:val="0"/>
          <w:numId w:val="12"/>
        </w:numPr>
        <w:shd w:val="clear" w:color="auto" w:fill="FFFFFF"/>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Блокери на N- и L- калциевите канали - lamotrigine, topiramate, valproate </w:t>
      </w:r>
    </w:p>
    <w:p w14:paraId="4AB026C3" w14:textId="77777777" w:rsidR="00BE0B19" w:rsidRPr="00AE47C6" w:rsidRDefault="00BE0B19" w:rsidP="00BE0B19">
      <w:pPr>
        <w:numPr>
          <w:ilvl w:val="0"/>
          <w:numId w:val="12"/>
        </w:numPr>
        <w:shd w:val="clear" w:color="auto" w:fill="FFFFFF"/>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Модулатори на H-потоци - gabapentin, lamotrigine </w:t>
      </w:r>
    </w:p>
    <w:p w14:paraId="62CBD849" w14:textId="77777777" w:rsidR="00BE0B19" w:rsidRPr="00AE47C6" w:rsidRDefault="00BE0B19" w:rsidP="00BE0B19">
      <w:pPr>
        <w:numPr>
          <w:ilvl w:val="0"/>
          <w:numId w:val="12"/>
        </w:numPr>
        <w:shd w:val="clear" w:color="auto" w:fill="FFFFFF"/>
        <w:spacing w:after="0" w:line="360" w:lineRule="auto"/>
        <w:ind w:left="0" w:firstLine="0"/>
        <w:jc w:val="both"/>
        <w:rPr>
          <w:rFonts w:ascii="Times New Roman" w:eastAsia="TimesNewRomanPSMT" w:hAnsi="Times New Roman"/>
          <w:sz w:val="24"/>
          <w:szCs w:val="24"/>
        </w:rPr>
      </w:pPr>
      <w:r w:rsidRPr="00AE47C6">
        <w:rPr>
          <w:rFonts w:ascii="Times New Roman" w:eastAsia="SimSun" w:hAnsi="Times New Roman"/>
          <w:sz w:val="24"/>
          <w:szCs w:val="24"/>
        </w:rPr>
        <w:t xml:space="preserve">Блокери на необичайни места – levetiracetam, </w:t>
      </w:r>
      <w:r w:rsidRPr="00AE47C6">
        <w:rPr>
          <w:rFonts w:ascii="Times New Roman" w:eastAsia="TimesNewRomanPSMT" w:hAnsi="Times New Roman"/>
          <w:sz w:val="24"/>
          <w:szCs w:val="24"/>
          <w:lang w:eastAsia="bg-BG"/>
        </w:rPr>
        <w:t xml:space="preserve">brivaracetam (висок и селективен афинитет към протеин 2А (SV2A) на синаптичните везикули в мозъка, който модулира екзоцитозата на невротрансмитерите); fenfluramine - повлиява </w:t>
      </w:r>
      <w:r w:rsidRPr="00AE47C6">
        <w:rPr>
          <w:rFonts w:ascii="Times New Roman" w:eastAsia="SimSun" w:hAnsi="Times New Roman"/>
          <w:bCs/>
          <w:color w:val="202124"/>
          <w:sz w:val="24"/>
          <w:szCs w:val="24"/>
          <w:shd w:val="clear" w:color="auto" w:fill="FFFFFF"/>
        </w:rPr>
        <w:t>serotonin (5-HT)</w:t>
      </w:r>
      <w:r w:rsidRPr="00AE47C6">
        <w:rPr>
          <w:rFonts w:ascii="Times New Roman" w:eastAsia="TimesNewRomanPSMT" w:hAnsi="Times New Roman"/>
          <w:sz w:val="24"/>
          <w:szCs w:val="24"/>
          <w:lang w:eastAsia="bg-BG"/>
        </w:rPr>
        <w:t xml:space="preserve"> метаболизъм, </w:t>
      </w:r>
      <w:r w:rsidRPr="00AE47C6">
        <w:rPr>
          <w:rFonts w:ascii="Times New Roman" w:eastAsia="TimesNewRomanPSMT" w:hAnsi="Times New Roman"/>
          <w:bCs/>
          <w:sz w:val="24"/>
          <w:szCs w:val="24"/>
        </w:rPr>
        <w:t>σ1 (sigma-1) рецептори</w:t>
      </w:r>
      <w:r w:rsidRPr="00AE47C6">
        <w:rPr>
          <w:rFonts w:ascii="Times New Roman" w:eastAsia="TimesNewRomanPSMT" w:hAnsi="Times New Roman"/>
          <w:sz w:val="24"/>
          <w:szCs w:val="24"/>
          <w:lang w:eastAsia="bg-BG"/>
        </w:rPr>
        <w:t xml:space="preserve">; cannabidiol -чрез </w:t>
      </w:r>
      <w:r w:rsidRPr="00AE47C6">
        <w:rPr>
          <w:rFonts w:ascii="Times New Roman" w:eastAsia="SimSun" w:hAnsi="Times New Roman"/>
          <w:color w:val="212121"/>
          <w:sz w:val="24"/>
          <w:szCs w:val="24"/>
          <w:shd w:val="clear" w:color="auto" w:fill="FFFFFF"/>
        </w:rPr>
        <w:t>TRPV1, GPR55  и ENT-1 рецептори</w:t>
      </w:r>
    </w:p>
    <w:p w14:paraId="4135535E" w14:textId="77777777" w:rsidR="00BE0B19" w:rsidRPr="00AE47C6" w:rsidRDefault="00BE0B19" w:rsidP="00BE0B19">
      <w:pPr>
        <w:numPr>
          <w:ilvl w:val="0"/>
          <w:numId w:val="12"/>
        </w:numPr>
        <w:shd w:val="clear" w:color="auto" w:fill="FFFFFF"/>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Инхибитори на карбоанхидразата – topiramate</w:t>
      </w:r>
    </w:p>
    <w:p w14:paraId="35CC17BD" w14:textId="77777777" w:rsidR="00BE0B19" w:rsidRPr="00AE47C6" w:rsidRDefault="00BE0B19" w:rsidP="00BE0B19">
      <w:pPr>
        <w:shd w:val="clear" w:color="auto" w:fill="FFFFFF"/>
        <w:spacing w:after="0" w:line="360" w:lineRule="auto"/>
        <w:jc w:val="both"/>
        <w:rPr>
          <w:rFonts w:ascii="Times New Roman" w:eastAsia="SimSun" w:hAnsi="Times New Roman"/>
          <w:sz w:val="24"/>
          <w:szCs w:val="24"/>
        </w:rPr>
      </w:pPr>
    </w:p>
    <w:p w14:paraId="71B77849" w14:textId="77777777" w:rsidR="00BE0B19" w:rsidRPr="00AE47C6" w:rsidRDefault="00BE0B19" w:rsidP="00BE0B19">
      <w:pPr>
        <w:shd w:val="clear" w:color="auto" w:fill="FFFFFF"/>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Таблица 11. 13. Основни механизми на действие на АГЛ</w:t>
      </w:r>
    </w:p>
    <w:tbl>
      <w:tblPr>
        <w:tblW w:w="90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46"/>
        <w:gridCol w:w="1011"/>
        <w:gridCol w:w="1342"/>
        <w:gridCol w:w="1267"/>
        <w:gridCol w:w="1561"/>
        <w:gridCol w:w="1945"/>
      </w:tblGrid>
      <w:tr w:rsidR="00BE0B19" w:rsidRPr="00AE47C6" w14:paraId="30EE014D" w14:textId="77777777" w:rsidTr="00AD72E5">
        <w:tc>
          <w:tcPr>
            <w:tcW w:w="2127" w:type="dxa"/>
          </w:tcPr>
          <w:p w14:paraId="268E856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АЕМ</w:t>
            </w:r>
          </w:p>
        </w:tc>
        <w:tc>
          <w:tcPr>
            <w:tcW w:w="1093" w:type="dxa"/>
          </w:tcPr>
          <w:p w14:paraId="44A178A5"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Блокиране/ модулация на Na</w:t>
            </w:r>
            <w:r w:rsidRPr="00AE47C6">
              <w:rPr>
                <w:rFonts w:ascii="Times New Roman" w:eastAsia="SimSun" w:hAnsi="Times New Roman"/>
                <w:sz w:val="24"/>
                <w:szCs w:val="24"/>
                <w:vertAlign w:val="superscript"/>
              </w:rPr>
              <w:t xml:space="preserve">+ </w:t>
            </w:r>
            <w:r w:rsidRPr="00AE47C6">
              <w:rPr>
                <w:rFonts w:ascii="Times New Roman" w:eastAsia="SimSun" w:hAnsi="Times New Roman"/>
                <w:sz w:val="24"/>
                <w:szCs w:val="24"/>
              </w:rPr>
              <w:t>канали</w:t>
            </w:r>
          </w:p>
        </w:tc>
        <w:tc>
          <w:tcPr>
            <w:tcW w:w="1459" w:type="dxa"/>
          </w:tcPr>
          <w:p w14:paraId="019E27D0"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Блокиране/модулация на Сa</w:t>
            </w:r>
            <w:r w:rsidRPr="00AE47C6">
              <w:rPr>
                <w:rFonts w:ascii="Times New Roman" w:eastAsia="SimSun" w:hAnsi="Times New Roman"/>
                <w:sz w:val="24"/>
                <w:szCs w:val="24"/>
                <w:vertAlign w:val="superscript"/>
              </w:rPr>
              <w:t>2+</w:t>
            </w:r>
            <w:r w:rsidRPr="00AE47C6">
              <w:rPr>
                <w:rFonts w:ascii="Times New Roman" w:eastAsia="SimSun" w:hAnsi="Times New Roman"/>
                <w:sz w:val="24"/>
                <w:szCs w:val="24"/>
              </w:rPr>
              <w:t xml:space="preserve"> канали</w:t>
            </w:r>
          </w:p>
        </w:tc>
        <w:tc>
          <w:tcPr>
            <w:tcW w:w="1376" w:type="dxa"/>
          </w:tcPr>
          <w:p w14:paraId="2B6A102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GABA </w:t>
            </w:r>
          </w:p>
          <w:p w14:paraId="1EFBA8B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Повишава не</w:t>
            </w:r>
          </w:p>
        </w:tc>
        <w:tc>
          <w:tcPr>
            <w:tcW w:w="1701" w:type="dxa"/>
          </w:tcPr>
          <w:p w14:paraId="3783C74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Блокиране на глутаматните рецептори</w:t>
            </w:r>
          </w:p>
        </w:tc>
        <w:tc>
          <w:tcPr>
            <w:tcW w:w="2126" w:type="dxa"/>
          </w:tcPr>
          <w:p w14:paraId="55802A92"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Друг</w:t>
            </w:r>
          </w:p>
        </w:tc>
      </w:tr>
      <w:tr w:rsidR="00BE0B19" w:rsidRPr="00AE47C6" w14:paraId="0631CF4B" w14:textId="77777777" w:rsidTr="00AD72E5">
        <w:tc>
          <w:tcPr>
            <w:tcW w:w="2127" w:type="dxa"/>
          </w:tcPr>
          <w:p w14:paraId="35B4ADC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Phenytoin</w:t>
            </w:r>
          </w:p>
        </w:tc>
        <w:tc>
          <w:tcPr>
            <w:tcW w:w="1093" w:type="dxa"/>
          </w:tcPr>
          <w:p w14:paraId="6F7B9E15"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459" w:type="dxa"/>
          </w:tcPr>
          <w:p w14:paraId="746C6FF4"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376" w:type="dxa"/>
          </w:tcPr>
          <w:p w14:paraId="7F0FEC3B"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701" w:type="dxa"/>
          </w:tcPr>
          <w:p w14:paraId="20E698BC"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2126" w:type="dxa"/>
          </w:tcPr>
          <w:p w14:paraId="497E1D2B" w14:textId="77777777" w:rsidR="00BE0B19" w:rsidRPr="00AE47C6" w:rsidRDefault="00BE0B19" w:rsidP="00BE0B19">
            <w:pPr>
              <w:spacing w:after="0" w:line="360" w:lineRule="auto"/>
              <w:rPr>
                <w:rFonts w:ascii="Times New Roman" w:eastAsia="SimSun" w:hAnsi="Times New Roman"/>
                <w:b/>
                <w:bCs/>
                <w:sz w:val="24"/>
                <w:szCs w:val="24"/>
              </w:rPr>
            </w:pPr>
          </w:p>
        </w:tc>
      </w:tr>
      <w:tr w:rsidR="00BE0B19" w:rsidRPr="00AE47C6" w14:paraId="225D6965" w14:textId="77777777" w:rsidTr="00AD72E5">
        <w:tc>
          <w:tcPr>
            <w:tcW w:w="2127" w:type="dxa"/>
          </w:tcPr>
          <w:p w14:paraId="3FEA2D7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Carbamazepine</w:t>
            </w:r>
          </w:p>
        </w:tc>
        <w:tc>
          <w:tcPr>
            <w:tcW w:w="1093" w:type="dxa"/>
          </w:tcPr>
          <w:p w14:paraId="15DEF112"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459" w:type="dxa"/>
          </w:tcPr>
          <w:p w14:paraId="24D2F3EA"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376" w:type="dxa"/>
          </w:tcPr>
          <w:p w14:paraId="4BE43093"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701" w:type="dxa"/>
          </w:tcPr>
          <w:p w14:paraId="0C2845B5"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2126" w:type="dxa"/>
          </w:tcPr>
          <w:p w14:paraId="0006DD1E" w14:textId="77777777" w:rsidR="00BE0B19" w:rsidRPr="00AE47C6" w:rsidRDefault="00BE0B19" w:rsidP="00BE0B19">
            <w:pPr>
              <w:spacing w:after="0" w:line="360" w:lineRule="auto"/>
              <w:rPr>
                <w:rFonts w:ascii="Times New Roman" w:eastAsia="SimSun" w:hAnsi="Times New Roman"/>
                <w:b/>
                <w:bCs/>
                <w:sz w:val="24"/>
                <w:szCs w:val="24"/>
              </w:rPr>
            </w:pPr>
          </w:p>
        </w:tc>
      </w:tr>
      <w:tr w:rsidR="00BE0B19" w:rsidRPr="00AE47C6" w14:paraId="35503714" w14:textId="77777777" w:rsidTr="00AD72E5">
        <w:tc>
          <w:tcPr>
            <w:tcW w:w="2127" w:type="dxa"/>
          </w:tcPr>
          <w:p w14:paraId="74A1029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Phenobarbital</w:t>
            </w:r>
          </w:p>
        </w:tc>
        <w:tc>
          <w:tcPr>
            <w:tcW w:w="1093" w:type="dxa"/>
          </w:tcPr>
          <w:p w14:paraId="5FED1320"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459" w:type="dxa"/>
          </w:tcPr>
          <w:p w14:paraId="25039C5A"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376" w:type="dxa"/>
          </w:tcPr>
          <w:p w14:paraId="1691E77D"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701" w:type="dxa"/>
          </w:tcPr>
          <w:p w14:paraId="766A6220"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2126" w:type="dxa"/>
          </w:tcPr>
          <w:p w14:paraId="6A435CE9" w14:textId="77777777" w:rsidR="00BE0B19" w:rsidRPr="00AE47C6" w:rsidRDefault="00BE0B19" w:rsidP="00BE0B19">
            <w:pPr>
              <w:spacing w:after="0" w:line="360" w:lineRule="auto"/>
              <w:rPr>
                <w:rFonts w:ascii="Times New Roman" w:eastAsia="SimSun" w:hAnsi="Times New Roman"/>
                <w:b/>
                <w:bCs/>
                <w:sz w:val="24"/>
                <w:szCs w:val="24"/>
              </w:rPr>
            </w:pPr>
          </w:p>
        </w:tc>
      </w:tr>
      <w:tr w:rsidR="00BE0B19" w:rsidRPr="00AE47C6" w14:paraId="4E2446DA" w14:textId="77777777" w:rsidTr="00AD72E5">
        <w:tc>
          <w:tcPr>
            <w:tcW w:w="2127" w:type="dxa"/>
          </w:tcPr>
          <w:p w14:paraId="615DCB5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Primidone</w:t>
            </w:r>
          </w:p>
        </w:tc>
        <w:tc>
          <w:tcPr>
            <w:tcW w:w="1093" w:type="dxa"/>
          </w:tcPr>
          <w:p w14:paraId="664E909C"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459" w:type="dxa"/>
          </w:tcPr>
          <w:p w14:paraId="6F0E9FDD"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376" w:type="dxa"/>
          </w:tcPr>
          <w:p w14:paraId="1F17D068"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701" w:type="dxa"/>
          </w:tcPr>
          <w:p w14:paraId="6FA2E7A4"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2126" w:type="dxa"/>
          </w:tcPr>
          <w:p w14:paraId="579D71D1" w14:textId="77777777" w:rsidR="00BE0B19" w:rsidRPr="00AE47C6" w:rsidRDefault="00BE0B19" w:rsidP="00BE0B19">
            <w:pPr>
              <w:spacing w:after="0" w:line="360" w:lineRule="auto"/>
              <w:rPr>
                <w:rFonts w:ascii="Times New Roman" w:eastAsia="SimSun" w:hAnsi="Times New Roman"/>
                <w:b/>
                <w:bCs/>
                <w:sz w:val="24"/>
                <w:szCs w:val="24"/>
              </w:rPr>
            </w:pPr>
          </w:p>
        </w:tc>
      </w:tr>
      <w:tr w:rsidR="00BE0B19" w:rsidRPr="00AE47C6" w14:paraId="55F04F07" w14:textId="77777777" w:rsidTr="00AD72E5">
        <w:tc>
          <w:tcPr>
            <w:tcW w:w="2127" w:type="dxa"/>
          </w:tcPr>
          <w:p w14:paraId="60BEF08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Valproate</w:t>
            </w:r>
          </w:p>
        </w:tc>
        <w:tc>
          <w:tcPr>
            <w:tcW w:w="1093" w:type="dxa"/>
          </w:tcPr>
          <w:p w14:paraId="181F9636"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459" w:type="dxa"/>
          </w:tcPr>
          <w:p w14:paraId="0ED25D8D"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 (T-тип)</w:t>
            </w:r>
          </w:p>
        </w:tc>
        <w:tc>
          <w:tcPr>
            <w:tcW w:w="1376" w:type="dxa"/>
          </w:tcPr>
          <w:p w14:paraId="375BAC16"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1701" w:type="dxa"/>
          </w:tcPr>
          <w:p w14:paraId="52E594DE"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2126" w:type="dxa"/>
          </w:tcPr>
          <w:p w14:paraId="4C8CF06C" w14:textId="77777777" w:rsidR="00BE0B19" w:rsidRPr="00AE47C6" w:rsidRDefault="00BE0B19" w:rsidP="00BE0B19">
            <w:pPr>
              <w:spacing w:after="0" w:line="360" w:lineRule="auto"/>
              <w:rPr>
                <w:rFonts w:ascii="Times New Roman" w:eastAsia="SimSun" w:hAnsi="Times New Roman"/>
                <w:bCs/>
                <w:sz w:val="24"/>
                <w:szCs w:val="24"/>
              </w:rPr>
            </w:pPr>
          </w:p>
        </w:tc>
      </w:tr>
      <w:tr w:rsidR="00BE0B19" w:rsidRPr="00AE47C6" w14:paraId="12F7320C" w14:textId="77777777" w:rsidTr="00AD72E5">
        <w:tc>
          <w:tcPr>
            <w:tcW w:w="2127" w:type="dxa"/>
          </w:tcPr>
          <w:p w14:paraId="7F1499A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Ethosuximide</w:t>
            </w:r>
          </w:p>
        </w:tc>
        <w:tc>
          <w:tcPr>
            <w:tcW w:w="1093" w:type="dxa"/>
          </w:tcPr>
          <w:p w14:paraId="545895C1"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459" w:type="dxa"/>
          </w:tcPr>
          <w:p w14:paraId="6575FC88"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 (T- тип)</w:t>
            </w:r>
          </w:p>
        </w:tc>
        <w:tc>
          <w:tcPr>
            <w:tcW w:w="1376" w:type="dxa"/>
          </w:tcPr>
          <w:p w14:paraId="7A65CB10"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1701" w:type="dxa"/>
          </w:tcPr>
          <w:p w14:paraId="2E2C26F7"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2126" w:type="dxa"/>
          </w:tcPr>
          <w:p w14:paraId="6EDF98D6" w14:textId="77777777" w:rsidR="00BE0B19" w:rsidRPr="00AE47C6" w:rsidRDefault="00BE0B19" w:rsidP="00BE0B19">
            <w:pPr>
              <w:spacing w:after="0" w:line="360" w:lineRule="auto"/>
              <w:rPr>
                <w:rFonts w:ascii="Times New Roman" w:eastAsia="SimSun" w:hAnsi="Times New Roman"/>
                <w:bCs/>
                <w:sz w:val="24"/>
                <w:szCs w:val="24"/>
              </w:rPr>
            </w:pPr>
          </w:p>
        </w:tc>
      </w:tr>
      <w:tr w:rsidR="00BE0B19" w:rsidRPr="00AE47C6" w14:paraId="6A8271C9" w14:textId="77777777" w:rsidTr="00AD72E5">
        <w:tc>
          <w:tcPr>
            <w:tcW w:w="2127" w:type="dxa"/>
          </w:tcPr>
          <w:p w14:paraId="3047A3D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Clonazepam</w:t>
            </w:r>
          </w:p>
        </w:tc>
        <w:tc>
          <w:tcPr>
            <w:tcW w:w="1093" w:type="dxa"/>
          </w:tcPr>
          <w:p w14:paraId="476552C3"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459" w:type="dxa"/>
          </w:tcPr>
          <w:p w14:paraId="1524CCA6"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1376" w:type="dxa"/>
          </w:tcPr>
          <w:p w14:paraId="3FCBAC8F"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1701" w:type="dxa"/>
          </w:tcPr>
          <w:p w14:paraId="03A7C2E5"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2126" w:type="dxa"/>
          </w:tcPr>
          <w:p w14:paraId="55EC6F9B" w14:textId="77777777" w:rsidR="00BE0B19" w:rsidRPr="00AE47C6" w:rsidRDefault="00BE0B19" w:rsidP="00BE0B19">
            <w:pPr>
              <w:spacing w:after="0" w:line="360" w:lineRule="auto"/>
              <w:rPr>
                <w:rFonts w:ascii="Times New Roman" w:eastAsia="SimSun" w:hAnsi="Times New Roman"/>
                <w:bCs/>
                <w:sz w:val="24"/>
                <w:szCs w:val="24"/>
              </w:rPr>
            </w:pPr>
          </w:p>
        </w:tc>
      </w:tr>
      <w:tr w:rsidR="00BE0B19" w:rsidRPr="00AE47C6" w14:paraId="0E6FB27F" w14:textId="77777777" w:rsidTr="00AD72E5">
        <w:tc>
          <w:tcPr>
            <w:tcW w:w="2127" w:type="dxa"/>
          </w:tcPr>
          <w:p w14:paraId="29541C1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Gabapentin</w:t>
            </w:r>
          </w:p>
        </w:tc>
        <w:tc>
          <w:tcPr>
            <w:tcW w:w="1093" w:type="dxa"/>
          </w:tcPr>
          <w:p w14:paraId="1AC75430"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459" w:type="dxa"/>
          </w:tcPr>
          <w:p w14:paraId="6BF56C22"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 (L- тип)</w:t>
            </w:r>
          </w:p>
        </w:tc>
        <w:tc>
          <w:tcPr>
            <w:tcW w:w="1376" w:type="dxa"/>
          </w:tcPr>
          <w:p w14:paraId="4142451E"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1701" w:type="dxa"/>
          </w:tcPr>
          <w:p w14:paraId="266277FA"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2126" w:type="dxa"/>
          </w:tcPr>
          <w:p w14:paraId="2AA170C3" w14:textId="77777777" w:rsidR="00BE0B19" w:rsidRPr="00AE47C6" w:rsidRDefault="00BE0B19" w:rsidP="00BE0B19">
            <w:pPr>
              <w:spacing w:after="0" w:line="360" w:lineRule="auto"/>
              <w:rPr>
                <w:rFonts w:ascii="Times New Roman" w:eastAsia="SimSun" w:hAnsi="Times New Roman"/>
                <w:bCs/>
                <w:sz w:val="24"/>
                <w:szCs w:val="24"/>
              </w:rPr>
            </w:pPr>
          </w:p>
        </w:tc>
      </w:tr>
      <w:tr w:rsidR="00BE0B19" w:rsidRPr="00AE47C6" w14:paraId="6C95C7A8" w14:textId="77777777" w:rsidTr="00AD72E5">
        <w:tc>
          <w:tcPr>
            <w:tcW w:w="2127" w:type="dxa"/>
          </w:tcPr>
          <w:p w14:paraId="6E1F7AD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Lamotrigine</w:t>
            </w:r>
          </w:p>
        </w:tc>
        <w:tc>
          <w:tcPr>
            <w:tcW w:w="1093" w:type="dxa"/>
          </w:tcPr>
          <w:p w14:paraId="48B7851C"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459" w:type="dxa"/>
          </w:tcPr>
          <w:p w14:paraId="437A4D47"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 (L- тип)</w:t>
            </w:r>
          </w:p>
        </w:tc>
        <w:tc>
          <w:tcPr>
            <w:tcW w:w="1376" w:type="dxa"/>
          </w:tcPr>
          <w:p w14:paraId="45F368EC"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1701" w:type="dxa"/>
          </w:tcPr>
          <w:p w14:paraId="260CEE31"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2126" w:type="dxa"/>
          </w:tcPr>
          <w:p w14:paraId="591A9A14" w14:textId="77777777" w:rsidR="00BE0B19" w:rsidRPr="00AE47C6" w:rsidRDefault="00BE0B19" w:rsidP="00BE0B19">
            <w:pPr>
              <w:spacing w:after="0" w:line="360" w:lineRule="auto"/>
              <w:rPr>
                <w:rFonts w:ascii="Times New Roman" w:eastAsia="SimSun" w:hAnsi="Times New Roman"/>
                <w:bCs/>
                <w:sz w:val="24"/>
                <w:szCs w:val="24"/>
              </w:rPr>
            </w:pPr>
          </w:p>
        </w:tc>
      </w:tr>
      <w:tr w:rsidR="00BE0B19" w:rsidRPr="00AE47C6" w14:paraId="662EB990" w14:textId="77777777" w:rsidTr="00AD72E5">
        <w:tc>
          <w:tcPr>
            <w:tcW w:w="2127" w:type="dxa"/>
          </w:tcPr>
          <w:p w14:paraId="4919626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Oxcarbazepine</w:t>
            </w:r>
          </w:p>
        </w:tc>
        <w:tc>
          <w:tcPr>
            <w:tcW w:w="1093" w:type="dxa"/>
          </w:tcPr>
          <w:p w14:paraId="6DE1ED1A"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459" w:type="dxa"/>
          </w:tcPr>
          <w:p w14:paraId="0F51E1CE"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1376" w:type="dxa"/>
          </w:tcPr>
          <w:p w14:paraId="535049EA"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1701" w:type="dxa"/>
          </w:tcPr>
          <w:p w14:paraId="4A308B0C"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2126" w:type="dxa"/>
          </w:tcPr>
          <w:p w14:paraId="43531A8F" w14:textId="77777777" w:rsidR="00BE0B19" w:rsidRPr="00AE47C6" w:rsidRDefault="00BE0B19" w:rsidP="00BE0B19">
            <w:pPr>
              <w:spacing w:after="0" w:line="360" w:lineRule="auto"/>
              <w:rPr>
                <w:rFonts w:ascii="Times New Roman" w:eastAsia="SimSun" w:hAnsi="Times New Roman"/>
                <w:bCs/>
                <w:sz w:val="24"/>
                <w:szCs w:val="24"/>
              </w:rPr>
            </w:pPr>
          </w:p>
        </w:tc>
      </w:tr>
      <w:tr w:rsidR="00BE0B19" w:rsidRPr="00AE47C6" w14:paraId="04EBBA5C" w14:textId="77777777" w:rsidTr="00AD72E5">
        <w:tc>
          <w:tcPr>
            <w:tcW w:w="2127" w:type="dxa"/>
          </w:tcPr>
          <w:p w14:paraId="2991AC7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Eslicarbazepine</w:t>
            </w:r>
          </w:p>
        </w:tc>
        <w:tc>
          <w:tcPr>
            <w:tcW w:w="1093" w:type="dxa"/>
          </w:tcPr>
          <w:p w14:paraId="549150CD"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459" w:type="dxa"/>
          </w:tcPr>
          <w:p w14:paraId="65D5BBEF" w14:textId="77777777" w:rsidR="00BE0B19" w:rsidRPr="00AE47C6" w:rsidRDefault="00BE0B19" w:rsidP="00BE0B19">
            <w:pPr>
              <w:spacing w:after="0" w:line="360" w:lineRule="auto"/>
              <w:rPr>
                <w:rFonts w:ascii="Times New Roman" w:eastAsia="SimSun" w:hAnsi="Times New Roman"/>
                <w:bCs/>
                <w:sz w:val="24"/>
                <w:szCs w:val="24"/>
              </w:rPr>
            </w:pPr>
          </w:p>
        </w:tc>
        <w:tc>
          <w:tcPr>
            <w:tcW w:w="1376" w:type="dxa"/>
          </w:tcPr>
          <w:p w14:paraId="5397BC81" w14:textId="77777777" w:rsidR="00BE0B19" w:rsidRPr="00AE47C6" w:rsidRDefault="00BE0B19" w:rsidP="00BE0B19">
            <w:pPr>
              <w:spacing w:after="0" w:line="360" w:lineRule="auto"/>
              <w:rPr>
                <w:rFonts w:ascii="Times New Roman" w:eastAsia="SimSun" w:hAnsi="Times New Roman"/>
                <w:bCs/>
                <w:sz w:val="24"/>
                <w:szCs w:val="24"/>
              </w:rPr>
            </w:pPr>
          </w:p>
        </w:tc>
        <w:tc>
          <w:tcPr>
            <w:tcW w:w="1701" w:type="dxa"/>
          </w:tcPr>
          <w:p w14:paraId="7F27844A" w14:textId="77777777" w:rsidR="00BE0B19" w:rsidRPr="00AE47C6" w:rsidRDefault="00BE0B19" w:rsidP="00BE0B19">
            <w:pPr>
              <w:spacing w:after="0" w:line="360" w:lineRule="auto"/>
              <w:rPr>
                <w:rFonts w:ascii="Times New Roman" w:eastAsia="SimSun" w:hAnsi="Times New Roman"/>
                <w:bCs/>
                <w:sz w:val="24"/>
                <w:szCs w:val="24"/>
              </w:rPr>
            </w:pPr>
          </w:p>
        </w:tc>
        <w:tc>
          <w:tcPr>
            <w:tcW w:w="2126" w:type="dxa"/>
          </w:tcPr>
          <w:p w14:paraId="2A0B0C83" w14:textId="77777777" w:rsidR="00BE0B19" w:rsidRPr="00AE47C6" w:rsidRDefault="00BE0B19" w:rsidP="00BE0B19">
            <w:pPr>
              <w:spacing w:after="0" w:line="360" w:lineRule="auto"/>
              <w:rPr>
                <w:rFonts w:ascii="Times New Roman" w:eastAsia="SimSun" w:hAnsi="Times New Roman"/>
                <w:bCs/>
                <w:sz w:val="24"/>
                <w:szCs w:val="24"/>
              </w:rPr>
            </w:pPr>
          </w:p>
        </w:tc>
      </w:tr>
      <w:tr w:rsidR="00BE0B19" w:rsidRPr="00AE47C6" w14:paraId="2B209AD4" w14:textId="77777777" w:rsidTr="00AD72E5">
        <w:tc>
          <w:tcPr>
            <w:tcW w:w="2127" w:type="dxa"/>
          </w:tcPr>
          <w:p w14:paraId="62591AC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Topiramate</w:t>
            </w:r>
          </w:p>
        </w:tc>
        <w:tc>
          <w:tcPr>
            <w:tcW w:w="1093" w:type="dxa"/>
          </w:tcPr>
          <w:p w14:paraId="0F666AAB"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459" w:type="dxa"/>
          </w:tcPr>
          <w:p w14:paraId="6716D213"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 (L- тип)</w:t>
            </w:r>
          </w:p>
        </w:tc>
        <w:tc>
          <w:tcPr>
            <w:tcW w:w="1376" w:type="dxa"/>
          </w:tcPr>
          <w:p w14:paraId="71860654"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1701" w:type="dxa"/>
          </w:tcPr>
          <w:p w14:paraId="3DADC624"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 (AMPA)</w:t>
            </w:r>
          </w:p>
        </w:tc>
        <w:tc>
          <w:tcPr>
            <w:tcW w:w="2126" w:type="dxa"/>
          </w:tcPr>
          <w:p w14:paraId="4E973635"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Инхибира</w:t>
            </w:r>
          </w:p>
          <w:p w14:paraId="1A077502"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карбоанхидраза</w:t>
            </w:r>
          </w:p>
        </w:tc>
      </w:tr>
      <w:tr w:rsidR="00BE0B19" w:rsidRPr="00AE47C6" w14:paraId="270376C8" w14:textId="77777777" w:rsidTr="00AD72E5">
        <w:tc>
          <w:tcPr>
            <w:tcW w:w="2127" w:type="dxa"/>
          </w:tcPr>
          <w:p w14:paraId="1CE08D5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Tiagabine</w:t>
            </w:r>
          </w:p>
        </w:tc>
        <w:tc>
          <w:tcPr>
            <w:tcW w:w="1093" w:type="dxa"/>
          </w:tcPr>
          <w:p w14:paraId="6D9AD94E"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459" w:type="dxa"/>
          </w:tcPr>
          <w:p w14:paraId="688F86F6"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1376" w:type="dxa"/>
          </w:tcPr>
          <w:p w14:paraId="65396E7F"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1701" w:type="dxa"/>
          </w:tcPr>
          <w:p w14:paraId="6750E3E3"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+(NMDA)</w:t>
            </w:r>
          </w:p>
        </w:tc>
        <w:tc>
          <w:tcPr>
            <w:tcW w:w="2126" w:type="dxa"/>
          </w:tcPr>
          <w:p w14:paraId="25436EEE" w14:textId="77777777" w:rsidR="00BE0B19" w:rsidRPr="00AE47C6" w:rsidRDefault="00BE0B19" w:rsidP="00BE0B19">
            <w:pPr>
              <w:spacing w:after="0" w:line="360" w:lineRule="auto"/>
              <w:rPr>
                <w:rFonts w:ascii="Times New Roman" w:eastAsia="SimSun" w:hAnsi="Times New Roman"/>
                <w:bCs/>
                <w:sz w:val="24"/>
                <w:szCs w:val="24"/>
              </w:rPr>
            </w:pPr>
          </w:p>
        </w:tc>
      </w:tr>
      <w:tr w:rsidR="00BE0B19" w:rsidRPr="00AE47C6" w14:paraId="45283618" w14:textId="77777777" w:rsidTr="00AD72E5">
        <w:tc>
          <w:tcPr>
            <w:tcW w:w="2127" w:type="dxa"/>
          </w:tcPr>
          <w:p w14:paraId="4AF093B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Levetiracetam</w:t>
            </w:r>
          </w:p>
        </w:tc>
        <w:tc>
          <w:tcPr>
            <w:tcW w:w="1093" w:type="dxa"/>
          </w:tcPr>
          <w:p w14:paraId="0A5FFB79" w14:textId="77777777" w:rsidR="00BE0B19" w:rsidRPr="00AE47C6" w:rsidRDefault="00BE0B19" w:rsidP="00BE0B19">
            <w:pPr>
              <w:spacing w:after="0" w:line="360" w:lineRule="auto"/>
              <w:rPr>
                <w:rFonts w:ascii="Times New Roman" w:eastAsia="SimSun" w:hAnsi="Times New Roman"/>
                <w:b/>
                <w:bCs/>
                <w:sz w:val="24"/>
                <w:szCs w:val="24"/>
              </w:rPr>
            </w:pPr>
          </w:p>
        </w:tc>
        <w:tc>
          <w:tcPr>
            <w:tcW w:w="1459" w:type="dxa"/>
          </w:tcPr>
          <w:p w14:paraId="1F3F0D94" w14:textId="77777777" w:rsidR="00BE0B19" w:rsidRPr="00AE47C6" w:rsidRDefault="00BE0B19" w:rsidP="00BE0B19">
            <w:pPr>
              <w:spacing w:after="0" w:line="360" w:lineRule="auto"/>
              <w:rPr>
                <w:rFonts w:ascii="Times New Roman" w:eastAsia="SimSun" w:hAnsi="Times New Roman"/>
                <w:bCs/>
                <w:sz w:val="24"/>
                <w:szCs w:val="24"/>
              </w:rPr>
            </w:pPr>
          </w:p>
        </w:tc>
        <w:tc>
          <w:tcPr>
            <w:tcW w:w="1376" w:type="dxa"/>
          </w:tcPr>
          <w:p w14:paraId="50F89838" w14:textId="77777777" w:rsidR="00BE0B19" w:rsidRPr="00AE47C6" w:rsidRDefault="00BE0B19" w:rsidP="00BE0B19">
            <w:pPr>
              <w:spacing w:after="0" w:line="360" w:lineRule="auto"/>
              <w:rPr>
                <w:rFonts w:ascii="Times New Roman" w:eastAsia="SimSun" w:hAnsi="Times New Roman"/>
                <w:bCs/>
                <w:sz w:val="24"/>
                <w:szCs w:val="24"/>
              </w:rPr>
            </w:pPr>
          </w:p>
        </w:tc>
        <w:tc>
          <w:tcPr>
            <w:tcW w:w="1701" w:type="dxa"/>
          </w:tcPr>
          <w:p w14:paraId="6BF471AF" w14:textId="77777777" w:rsidR="00BE0B19" w:rsidRPr="00AE47C6" w:rsidRDefault="00BE0B19" w:rsidP="00BE0B19">
            <w:pPr>
              <w:spacing w:after="0" w:line="360" w:lineRule="auto"/>
              <w:rPr>
                <w:rFonts w:ascii="Times New Roman" w:eastAsia="SimSun" w:hAnsi="Times New Roman"/>
                <w:bCs/>
                <w:sz w:val="24"/>
                <w:szCs w:val="24"/>
              </w:rPr>
            </w:pPr>
          </w:p>
        </w:tc>
        <w:tc>
          <w:tcPr>
            <w:tcW w:w="2126" w:type="dxa"/>
          </w:tcPr>
          <w:p w14:paraId="1BBA4282"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Блокер на SV</w:t>
            </w:r>
          </w:p>
          <w:p w14:paraId="5396397C"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протеин</w:t>
            </w:r>
          </w:p>
        </w:tc>
      </w:tr>
      <w:tr w:rsidR="00BE0B19" w:rsidRPr="00AE47C6" w14:paraId="75AF5057" w14:textId="77777777" w:rsidTr="00AD72E5">
        <w:tc>
          <w:tcPr>
            <w:tcW w:w="2127" w:type="dxa"/>
          </w:tcPr>
          <w:p w14:paraId="32B00DB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Pregabalin</w:t>
            </w:r>
          </w:p>
        </w:tc>
        <w:tc>
          <w:tcPr>
            <w:tcW w:w="1093" w:type="dxa"/>
          </w:tcPr>
          <w:p w14:paraId="270AD48A" w14:textId="77777777" w:rsidR="00BE0B19" w:rsidRPr="00AE47C6" w:rsidRDefault="00BE0B19" w:rsidP="00BE0B19">
            <w:pPr>
              <w:spacing w:after="0" w:line="360" w:lineRule="auto"/>
              <w:rPr>
                <w:rFonts w:ascii="Times New Roman" w:eastAsia="SimSun" w:hAnsi="Times New Roman"/>
                <w:b/>
                <w:bCs/>
                <w:sz w:val="24"/>
                <w:szCs w:val="24"/>
              </w:rPr>
            </w:pPr>
          </w:p>
        </w:tc>
        <w:tc>
          <w:tcPr>
            <w:tcW w:w="1459" w:type="dxa"/>
          </w:tcPr>
          <w:p w14:paraId="6588684E"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1376" w:type="dxa"/>
          </w:tcPr>
          <w:p w14:paraId="3D165EB0"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1701" w:type="dxa"/>
          </w:tcPr>
          <w:p w14:paraId="1E3B646D" w14:textId="77777777" w:rsidR="00BE0B19" w:rsidRPr="00AE47C6" w:rsidRDefault="00BE0B19" w:rsidP="00BE0B19">
            <w:pPr>
              <w:spacing w:after="0" w:line="360" w:lineRule="auto"/>
              <w:rPr>
                <w:rFonts w:ascii="Times New Roman" w:eastAsia="SimSun" w:hAnsi="Times New Roman"/>
                <w:bCs/>
                <w:sz w:val="24"/>
                <w:szCs w:val="24"/>
              </w:rPr>
            </w:pPr>
          </w:p>
        </w:tc>
        <w:tc>
          <w:tcPr>
            <w:tcW w:w="2126" w:type="dxa"/>
          </w:tcPr>
          <w:p w14:paraId="67885EF2" w14:textId="77777777" w:rsidR="00BE0B19" w:rsidRPr="00AE47C6" w:rsidRDefault="00BE0B19" w:rsidP="00BE0B19">
            <w:pPr>
              <w:spacing w:after="0" w:line="360" w:lineRule="auto"/>
              <w:rPr>
                <w:rFonts w:ascii="Times New Roman" w:eastAsia="SimSun" w:hAnsi="Times New Roman"/>
                <w:bCs/>
                <w:sz w:val="24"/>
                <w:szCs w:val="24"/>
              </w:rPr>
            </w:pPr>
          </w:p>
        </w:tc>
      </w:tr>
      <w:tr w:rsidR="00BE0B19" w:rsidRPr="00AE47C6" w14:paraId="33CF4C22" w14:textId="77777777" w:rsidTr="00AD72E5">
        <w:tc>
          <w:tcPr>
            <w:tcW w:w="2127" w:type="dxa"/>
          </w:tcPr>
          <w:p w14:paraId="61A9FF0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Lacosamide</w:t>
            </w:r>
          </w:p>
        </w:tc>
        <w:tc>
          <w:tcPr>
            <w:tcW w:w="1093" w:type="dxa"/>
          </w:tcPr>
          <w:p w14:paraId="51AABA31"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459" w:type="dxa"/>
          </w:tcPr>
          <w:p w14:paraId="1DB5B82E" w14:textId="77777777" w:rsidR="00BE0B19" w:rsidRPr="00AE47C6" w:rsidRDefault="00BE0B19" w:rsidP="00BE0B19">
            <w:pPr>
              <w:spacing w:after="0" w:line="360" w:lineRule="auto"/>
              <w:rPr>
                <w:rFonts w:ascii="Times New Roman" w:eastAsia="SimSun" w:hAnsi="Times New Roman"/>
                <w:bCs/>
                <w:sz w:val="24"/>
                <w:szCs w:val="24"/>
              </w:rPr>
            </w:pPr>
          </w:p>
        </w:tc>
        <w:tc>
          <w:tcPr>
            <w:tcW w:w="1376" w:type="dxa"/>
          </w:tcPr>
          <w:p w14:paraId="5F677009" w14:textId="77777777" w:rsidR="00BE0B19" w:rsidRPr="00AE47C6" w:rsidRDefault="00BE0B19" w:rsidP="00BE0B19">
            <w:pPr>
              <w:spacing w:after="0" w:line="360" w:lineRule="auto"/>
              <w:rPr>
                <w:rFonts w:ascii="Times New Roman" w:eastAsia="SimSun" w:hAnsi="Times New Roman"/>
                <w:bCs/>
                <w:sz w:val="24"/>
                <w:szCs w:val="24"/>
              </w:rPr>
            </w:pPr>
          </w:p>
        </w:tc>
        <w:tc>
          <w:tcPr>
            <w:tcW w:w="1701" w:type="dxa"/>
          </w:tcPr>
          <w:p w14:paraId="1E41F35F" w14:textId="77777777" w:rsidR="00BE0B19" w:rsidRPr="00AE47C6" w:rsidRDefault="00BE0B19" w:rsidP="00BE0B19">
            <w:pPr>
              <w:spacing w:after="0" w:line="360" w:lineRule="auto"/>
              <w:rPr>
                <w:rFonts w:ascii="Times New Roman" w:eastAsia="SimSun" w:hAnsi="Times New Roman"/>
                <w:bCs/>
                <w:sz w:val="24"/>
                <w:szCs w:val="24"/>
              </w:rPr>
            </w:pPr>
          </w:p>
        </w:tc>
        <w:tc>
          <w:tcPr>
            <w:tcW w:w="2126" w:type="dxa"/>
          </w:tcPr>
          <w:p w14:paraId="63223EC7" w14:textId="77777777" w:rsidR="00BE0B19" w:rsidRPr="00AE47C6" w:rsidRDefault="00BE0B19" w:rsidP="00BE0B19">
            <w:pPr>
              <w:spacing w:after="0" w:line="360" w:lineRule="auto"/>
              <w:rPr>
                <w:rFonts w:ascii="Times New Roman" w:eastAsia="SimSun" w:hAnsi="Times New Roman"/>
                <w:bCs/>
                <w:sz w:val="24"/>
                <w:szCs w:val="24"/>
              </w:rPr>
            </w:pPr>
          </w:p>
        </w:tc>
      </w:tr>
      <w:tr w:rsidR="00BE0B19" w:rsidRPr="00AE47C6" w14:paraId="4BA72C83" w14:textId="77777777" w:rsidTr="00AD72E5">
        <w:tc>
          <w:tcPr>
            <w:tcW w:w="2127" w:type="dxa"/>
          </w:tcPr>
          <w:p w14:paraId="32A8872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Brivaracetam</w:t>
            </w:r>
          </w:p>
        </w:tc>
        <w:tc>
          <w:tcPr>
            <w:tcW w:w="1093" w:type="dxa"/>
          </w:tcPr>
          <w:p w14:paraId="06558BA2" w14:textId="77777777" w:rsidR="00BE0B19" w:rsidRPr="00AE47C6" w:rsidRDefault="00BE0B19" w:rsidP="00BE0B19">
            <w:pPr>
              <w:spacing w:after="0" w:line="360" w:lineRule="auto"/>
              <w:rPr>
                <w:rFonts w:ascii="Times New Roman" w:eastAsia="SimSun" w:hAnsi="Times New Roman"/>
                <w:b/>
                <w:bCs/>
                <w:sz w:val="24"/>
                <w:szCs w:val="24"/>
              </w:rPr>
            </w:pPr>
          </w:p>
        </w:tc>
        <w:tc>
          <w:tcPr>
            <w:tcW w:w="1459" w:type="dxa"/>
          </w:tcPr>
          <w:p w14:paraId="1ADA7CA0" w14:textId="77777777" w:rsidR="00BE0B19" w:rsidRPr="00AE47C6" w:rsidRDefault="00BE0B19" w:rsidP="00BE0B19">
            <w:pPr>
              <w:spacing w:after="0" w:line="360" w:lineRule="auto"/>
              <w:rPr>
                <w:rFonts w:ascii="Times New Roman" w:eastAsia="SimSun" w:hAnsi="Times New Roman"/>
                <w:bCs/>
                <w:sz w:val="24"/>
                <w:szCs w:val="24"/>
              </w:rPr>
            </w:pPr>
          </w:p>
        </w:tc>
        <w:tc>
          <w:tcPr>
            <w:tcW w:w="1376" w:type="dxa"/>
          </w:tcPr>
          <w:p w14:paraId="4AEBD77F" w14:textId="77777777" w:rsidR="00BE0B19" w:rsidRPr="00AE47C6" w:rsidRDefault="00BE0B19" w:rsidP="00BE0B19">
            <w:pPr>
              <w:spacing w:after="0" w:line="360" w:lineRule="auto"/>
              <w:rPr>
                <w:rFonts w:ascii="Times New Roman" w:eastAsia="SimSun" w:hAnsi="Times New Roman"/>
                <w:bCs/>
                <w:sz w:val="24"/>
                <w:szCs w:val="24"/>
              </w:rPr>
            </w:pPr>
          </w:p>
        </w:tc>
        <w:tc>
          <w:tcPr>
            <w:tcW w:w="1701" w:type="dxa"/>
          </w:tcPr>
          <w:p w14:paraId="54B70704" w14:textId="77777777" w:rsidR="00BE0B19" w:rsidRPr="00AE47C6" w:rsidRDefault="00BE0B19" w:rsidP="00BE0B19">
            <w:pPr>
              <w:spacing w:after="0" w:line="360" w:lineRule="auto"/>
              <w:rPr>
                <w:rFonts w:ascii="Times New Roman" w:eastAsia="SimSun" w:hAnsi="Times New Roman"/>
                <w:bCs/>
                <w:sz w:val="24"/>
                <w:szCs w:val="24"/>
              </w:rPr>
            </w:pPr>
          </w:p>
        </w:tc>
        <w:tc>
          <w:tcPr>
            <w:tcW w:w="2126" w:type="dxa"/>
          </w:tcPr>
          <w:p w14:paraId="0C95032A"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Блокер на SV2A протеин, модулира екзоцитозата на невротрансми-терите</w:t>
            </w:r>
          </w:p>
        </w:tc>
      </w:tr>
      <w:tr w:rsidR="00BE0B19" w:rsidRPr="00AE47C6" w14:paraId="293DBC58" w14:textId="77777777" w:rsidTr="00AD72E5">
        <w:tc>
          <w:tcPr>
            <w:tcW w:w="2127" w:type="dxa"/>
          </w:tcPr>
          <w:p w14:paraId="676377A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Clobazam</w:t>
            </w:r>
          </w:p>
        </w:tc>
        <w:tc>
          <w:tcPr>
            <w:tcW w:w="1093" w:type="dxa"/>
          </w:tcPr>
          <w:p w14:paraId="6DF2283E" w14:textId="77777777" w:rsidR="00BE0B19" w:rsidRPr="00AE47C6" w:rsidRDefault="00BE0B19" w:rsidP="00BE0B19">
            <w:pPr>
              <w:spacing w:after="0" w:line="360" w:lineRule="auto"/>
              <w:rPr>
                <w:rFonts w:ascii="Times New Roman" w:eastAsia="SimSun" w:hAnsi="Times New Roman"/>
                <w:b/>
                <w:bCs/>
                <w:sz w:val="24"/>
                <w:szCs w:val="24"/>
              </w:rPr>
            </w:pPr>
          </w:p>
        </w:tc>
        <w:tc>
          <w:tcPr>
            <w:tcW w:w="1459" w:type="dxa"/>
          </w:tcPr>
          <w:p w14:paraId="7DFEC5E9" w14:textId="77777777" w:rsidR="00BE0B19" w:rsidRPr="00AE47C6" w:rsidRDefault="00BE0B19" w:rsidP="00BE0B19">
            <w:pPr>
              <w:spacing w:after="0" w:line="360" w:lineRule="auto"/>
              <w:rPr>
                <w:rFonts w:ascii="Times New Roman" w:eastAsia="SimSun" w:hAnsi="Times New Roman"/>
                <w:bCs/>
                <w:sz w:val="24"/>
                <w:szCs w:val="24"/>
              </w:rPr>
            </w:pPr>
          </w:p>
        </w:tc>
        <w:tc>
          <w:tcPr>
            <w:tcW w:w="1376" w:type="dxa"/>
          </w:tcPr>
          <w:p w14:paraId="31FB715C"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1701" w:type="dxa"/>
          </w:tcPr>
          <w:p w14:paraId="163897B0" w14:textId="77777777" w:rsidR="00BE0B19" w:rsidRPr="00AE47C6" w:rsidRDefault="00BE0B19" w:rsidP="00BE0B19">
            <w:pPr>
              <w:spacing w:after="0" w:line="360" w:lineRule="auto"/>
              <w:rPr>
                <w:rFonts w:ascii="Times New Roman" w:eastAsia="SimSun" w:hAnsi="Times New Roman"/>
                <w:bCs/>
                <w:sz w:val="24"/>
                <w:szCs w:val="24"/>
              </w:rPr>
            </w:pPr>
          </w:p>
        </w:tc>
        <w:tc>
          <w:tcPr>
            <w:tcW w:w="2126" w:type="dxa"/>
          </w:tcPr>
          <w:p w14:paraId="141FF66F" w14:textId="77777777" w:rsidR="00BE0B19" w:rsidRPr="00AE47C6" w:rsidRDefault="00BE0B19" w:rsidP="00BE0B19">
            <w:pPr>
              <w:spacing w:after="0" w:line="360" w:lineRule="auto"/>
              <w:rPr>
                <w:rFonts w:ascii="Times New Roman" w:eastAsia="SimSun" w:hAnsi="Times New Roman"/>
                <w:bCs/>
                <w:sz w:val="24"/>
                <w:szCs w:val="24"/>
              </w:rPr>
            </w:pPr>
          </w:p>
        </w:tc>
      </w:tr>
      <w:tr w:rsidR="00BE0B19" w:rsidRPr="00AE47C6" w14:paraId="6EF73174" w14:textId="77777777" w:rsidTr="00AD72E5">
        <w:tc>
          <w:tcPr>
            <w:tcW w:w="2127" w:type="dxa"/>
          </w:tcPr>
          <w:p w14:paraId="406F426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Cannabidiol</w:t>
            </w:r>
          </w:p>
        </w:tc>
        <w:tc>
          <w:tcPr>
            <w:tcW w:w="1093" w:type="dxa"/>
          </w:tcPr>
          <w:p w14:paraId="0753395F" w14:textId="77777777" w:rsidR="00BE0B19" w:rsidRPr="00AE47C6" w:rsidRDefault="00BE0B19" w:rsidP="00BE0B19">
            <w:pPr>
              <w:spacing w:after="0" w:line="360" w:lineRule="auto"/>
              <w:rPr>
                <w:rFonts w:ascii="Times New Roman" w:eastAsia="SimSun" w:hAnsi="Times New Roman"/>
                <w:b/>
                <w:bCs/>
                <w:sz w:val="24"/>
                <w:szCs w:val="24"/>
              </w:rPr>
            </w:pPr>
          </w:p>
        </w:tc>
        <w:tc>
          <w:tcPr>
            <w:tcW w:w="1459" w:type="dxa"/>
          </w:tcPr>
          <w:p w14:paraId="1ECC9DB9" w14:textId="77777777" w:rsidR="00BE0B19" w:rsidRPr="00AE47C6" w:rsidRDefault="00BE0B19" w:rsidP="00BE0B19">
            <w:pPr>
              <w:spacing w:after="0" w:line="360" w:lineRule="auto"/>
              <w:rPr>
                <w:rFonts w:ascii="Times New Roman" w:eastAsia="SimSun" w:hAnsi="Times New Roman"/>
                <w:bCs/>
                <w:sz w:val="24"/>
                <w:szCs w:val="24"/>
              </w:rPr>
            </w:pPr>
          </w:p>
        </w:tc>
        <w:tc>
          <w:tcPr>
            <w:tcW w:w="1376" w:type="dxa"/>
          </w:tcPr>
          <w:p w14:paraId="2ACB7C21" w14:textId="77777777" w:rsidR="00BE0B19" w:rsidRPr="00AE47C6" w:rsidRDefault="00BE0B19" w:rsidP="00BE0B19">
            <w:pPr>
              <w:spacing w:after="0" w:line="360" w:lineRule="auto"/>
              <w:rPr>
                <w:rFonts w:ascii="Times New Roman" w:eastAsia="SimSun" w:hAnsi="Times New Roman"/>
                <w:bCs/>
                <w:sz w:val="24"/>
                <w:szCs w:val="24"/>
              </w:rPr>
            </w:pPr>
          </w:p>
        </w:tc>
        <w:tc>
          <w:tcPr>
            <w:tcW w:w="1701" w:type="dxa"/>
          </w:tcPr>
          <w:p w14:paraId="5B65C11F" w14:textId="77777777" w:rsidR="00BE0B19" w:rsidRPr="00AE47C6" w:rsidRDefault="00BE0B19" w:rsidP="00BE0B19">
            <w:pPr>
              <w:spacing w:after="0" w:line="360" w:lineRule="auto"/>
              <w:rPr>
                <w:rFonts w:ascii="Times New Roman" w:eastAsia="SimSun" w:hAnsi="Times New Roman"/>
                <w:bCs/>
                <w:sz w:val="24"/>
                <w:szCs w:val="24"/>
              </w:rPr>
            </w:pPr>
          </w:p>
        </w:tc>
        <w:tc>
          <w:tcPr>
            <w:tcW w:w="2126" w:type="dxa"/>
          </w:tcPr>
          <w:p w14:paraId="69AEB8DF"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color w:val="212121"/>
                <w:sz w:val="24"/>
                <w:szCs w:val="24"/>
                <w:shd w:val="clear" w:color="auto" w:fill="FFFFFF"/>
              </w:rPr>
              <w:t>TRPV1,GPR55, ENT-1</w:t>
            </w:r>
          </w:p>
        </w:tc>
      </w:tr>
      <w:tr w:rsidR="00BE0B19" w:rsidRPr="00AE47C6" w14:paraId="7759D60C" w14:textId="77777777" w:rsidTr="00AD72E5">
        <w:tc>
          <w:tcPr>
            <w:tcW w:w="2127" w:type="dxa"/>
          </w:tcPr>
          <w:p w14:paraId="1C31254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Fenfluramine</w:t>
            </w:r>
          </w:p>
        </w:tc>
        <w:tc>
          <w:tcPr>
            <w:tcW w:w="1093" w:type="dxa"/>
          </w:tcPr>
          <w:p w14:paraId="2470E60C" w14:textId="77777777" w:rsidR="00BE0B19" w:rsidRPr="00AE47C6" w:rsidRDefault="00BE0B19" w:rsidP="00BE0B19">
            <w:pPr>
              <w:spacing w:after="0" w:line="360" w:lineRule="auto"/>
              <w:rPr>
                <w:rFonts w:ascii="Times New Roman" w:eastAsia="SimSun" w:hAnsi="Times New Roman"/>
                <w:b/>
                <w:bCs/>
                <w:sz w:val="24"/>
                <w:szCs w:val="24"/>
              </w:rPr>
            </w:pPr>
          </w:p>
        </w:tc>
        <w:tc>
          <w:tcPr>
            <w:tcW w:w="1459" w:type="dxa"/>
          </w:tcPr>
          <w:p w14:paraId="1A36237E" w14:textId="77777777" w:rsidR="00BE0B19" w:rsidRPr="00AE47C6" w:rsidRDefault="00BE0B19" w:rsidP="00BE0B19">
            <w:pPr>
              <w:spacing w:after="0" w:line="360" w:lineRule="auto"/>
              <w:rPr>
                <w:rFonts w:ascii="Times New Roman" w:eastAsia="SimSun" w:hAnsi="Times New Roman"/>
                <w:bCs/>
                <w:sz w:val="24"/>
                <w:szCs w:val="24"/>
              </w:rPr>
            </w:pPr>
          </w:p>
        </w:tc>
        <w:tc>
          <w:tcPr>
            <w:tcW w:w="1376" w:type="dxa"/>
          </w:tcPr>
          <w:p w14:paraId="29FC570A" w14:textId="77777777" w:rsidR="00BE0B19" w:rsidRPr="00AE47C6" w:rsidRDefault="00BE0B19" w:rsidP="00BE0B19">
            <w:pPr>
              <w:spacing w:after="0" w:line="360" w:lineRule="auto"/>
              <w:rPr>
                <w:rFonts w:ascii="Times New Roman" w:eastAsia="SimSun" w:hAnsi="Times New Roman"/>
                <w:bCs/>
                <w:sz w:val="24"/>
                <w:szCs w:val="24"/>
              </w:rPr>
            </w:pPr>
          </w:p>
        </w:tc>
        <w:tc>
          <w:tcPr>
            <w:tcW w:w="1701" w:type="dxa"/>
          </w:tcPr>
          <w:p w14:paraId="50A3F24C" w14:textId="77777777" w:rsidR="00BE0B19" w:rsidRPr="00AE47C6" w:rsidRDefault="00BE0B19" w:rsidP="00BE0B19">
            <w:pPr>
              <w:spacing w:after="0" w:line="360" w:lineRule="auto"/>
              <w:rPr>
                <w:rFonts w:ascii="Times New Roman" w:eastAsia="SimSun" w:hAnsi="Times New Roman"/>
                <w:bCs/>
                <w:sz w:val="24"/>
                <w:szCs w:val="24"/>
              </w:rPr>
            </w:pPr>
          </w:p>
        </w:tc>
        <w:tc>
          <w:tcPr>
            <w:tcW w:w="2126" w:type="dxa"/>
          </w:tcPr>
          <w:p w14:paraId="3C933B61" w14:textId="77777777" w:rsidR="00BE0B19" w:rsidRPr="00AE47C6" w:rsidRDefault="00BE0B19" w:rsidP="00BE0B19">
            <w:pPr>
              <w:spacing w:after="120" w:line="360" w:lineRule="auto"/>
              <w:ind w:left="283"/>
              <w:rPr>
                <w:rFonts w:ascii="Times New Roman" w:eastAsia="SimSun" w:hAnsi="Times New Roman"/>
                <w:color w:val="202124"/>
                <w:sz w:val="24"/>
                <w:szCs w:val="24"/>
                <w:shd w:val="clear" w:color="auto" w:fill="FFFFFF"/>
              </w:rPr>
            </w:pPr>
            <w:r w:rsidRPr="00AE47C6">
              <w:rPr>
                <w:rFonts w:ascii="Times New Roman" w:eastAsia="SimSun" w:hAnsi="Times New Roman"/>
                <w:bCs/>
                <w:color w:val="202124"/>
                <w:sz w:val="24"/>
                <w:szCs w:val="24"/>
                <w:shd w:val="clear" w:color="auto" w:fill="FFFFFF"/>
              </w:rPr>
              <w:t xml:space="preserve">serotonin (5-HT) метаболизъм; </w:t>
            </w:r>
            <w:r w:rsidRPr="00AE47C6">
              <w:rPr>
                <w:rFonts w:ascii="Times New Roman" w:eastAsia="SimSun" w:hAnsi="Times New Roman"/>
                <w:color w:val="202124"/>
                <w:sz w:val="24"/>
                <w:szCs w:val="24"/>
                <w:shd w:val="clear" w:color="auto" w:fill="FFFFFF"/>
              </w:rPr>
              <w:t>σ1 (sigma-1) рецептори</w:t>
            </w:r>
          </w:p>
        </w:tc>
      </w:tr>
      <w:tr w:rsidR="00BE0B19" w:rsidRPr="00AE47C6" w14:paraId="6CC7A4E0" w14:textId="77777777" w:rsidTr="00AD72E5">
        <w:tc>
          <w:tcPr>
            <w:tcW w:w="2127" w:type="dxa"/>
          </w:tcPr>
          <w:p w14:paraId="4C75741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Cenobamate</w:t>
            </w:r>
          </w:p>
        </w:tc>
        <w:tc>
          <w:tcPr>
            <w:tcW w:w="1093" w:type="dxa"/>
          </w:tcPr>
          <w:p w14:paraId="50F32EDB"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459" w:type="dxa"/>
          </w:tcPr>
          <w:p w14:paraId="1C59709C" w14:textId="77777777" w:rsidR="00BE0B19" w:rsidRPr="00AE47C6" w:rsidRDefault="00BE0B19" w:rsidP="00BE0B19">
            <w:pPr>
              <w:spacing w:after="0" w:line="360" w:lineRule="auto"/>
              <w:rPr>
                <w:rFonts w:ascii="Times New Roman" w:eastAsia="SimSun" w:hAnsi="Times New Roman"/>
                <w:bCs/>
                <w:sz w:val="24"/>
                <w:szCs w:val="24"/>
              </w:rPr>
            </w:pPr>
          </w:p>
        </w:tc>
        <w:tc>
          <w:tcPr>
            <w:tcW w:w="1376" w:type="dxa"/>
          </w:tcPr>
          <w:p w14:paraId="2E41DD7A" w14:textId="77777777" w:rsidR="00BE0B19" w:rsidRPr="00AE47C6" w:rsidRDefault="00BE0B19" w:rsidP="00BE0B19">
            <w:pPr>
              <w:spacing w:after="0" w:line="360" w:lineRule="auto"/>
              <w:rPr>
                <w:rFonts w:ascii="Times New Roman" w:eastAsia="SimSun" w:hAnsi="Times New Roman"/>
                <w:bCs/>
                <w:sz w:val="24"/>
                <w:szCs w:val="24"/>
              </w:rPr>
            </w:pPr>
          </w:p>
        </w:tc>
        <w:tc>
          <w:tcPr>
            <w:tcW w:w="1701" w:type="dxa"/>
          </w:tcPr>
          <w:p w14:paraId="2FDA4BC4" w14:textId="77777777" w:rsidR="00BE0B19" w:rsidRPr="00AE47C6" w:rsidRDefault="00BE0B19" w:rsidP="00BE0B19">
            <w:pPr>
              <w:spacing w:after="0" w:line="360" w:lineRule="auto"/>
              <w:rPr>
                <w:rFonts w:ascii="Times New Roman" w:eastAsia="SimSun" w:hAnsi="Times New Roman"/>
                <w:bCs/>
                <w:sz w:val="24"/>
                <w:szCs w:val="24"/>
              </w:rPr>
            </w:pPr>
          </w:p>
        </w:tc>
        <w:tc>
          <w:tcPr>
            <w:tcW w:w="2126" w:type="dxa"/>
          </w:tcPr>
          <w:p w14:paraId="64996BC1" w14:textId="77777777" w:rsidR="00BE0B19" w:rsidRPr="00AE47C6" w:rsidRDefault="00BE0B19" w:rsidP="00BE0B19">
            <w:pPr>
              <w:spacing w:after="0" w:line="360" w:lineRule="auto"/>
              <w:rPr>
                <w:rFonts w:ascii="Times New Roman" w:eastAsia="SimSun" w:hAnsi="Times New Roman"/>
                <w:bCs/>
                <w:sz w:val="24"/>
                <w:szCs w:val="24"/>
              </w:rPr>
            </w:pPr>
          </w:p>
        </w:tc>
      </w:tr>
      <w:tr w:rsidR="00BE0B19" w:rsidRPr="00AE47C6" w14:paraId="6D8E977A" w14:textId="77777777" w:rsidTr="00AD72E5">
        <w:tc>
          <w:tcPr>
            <w:tcW w:w="2127" w:type="dxa"/>
          </w:tcPr>
          <w:p w14:paraId="420D167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Zonisamide</w:t>
            </w:r>
          </w:p>
        </w:tc>
        <w:tc>
          <w:tcPr>
            <w:tcW w:w="1093" w:type="dxa"/>
          </w:tcPr>
          <w:p w14:paraId="0B22CAA4" w14:textId="77777777" w:rsidR="00BE0B19" w:rsidRPr="00AE47C6" w:rsidRDefault="00BE0B19" w:rsidP="00BE0B19">
            <w:pPr>
              <w:spacing w:after="0" w:line="360" w:lineRule="auto"/>
              <w:rPr>
                <w:rFonts w:ascii="Times New Roman" w:eastAsia="SimSun" w:hAnsi="Times New Roman"/>
                <w:b/>
                <w:bCs/>
                <w:sz w:val="24"/>
                <w:szCs w:val="24"/>
              </w:rPr>
            </w:pPr>
            <w:r w:rsidRPr="00AE47C6">
              <w:rPr>
                <w:rFonts w:ascii="Times New Roman" w:eastAsia="SimSun" w:hAnsi="Times New Roman"/>
                <w:b/>
                <w:bCs/>
                <w:sz w:val="24"/>
                <w:szCs w:val="24"/>
              </w:rPr>
              <w:t>+</w:t>
            </w:r>
          </w:p>
        </w:tc>
        <w:tc>
          <w:tcPr>
            <w:tcW w:w="1459" w:type="dxa"/>
          </w:tcPr>
          <w:p w14:paraId="50C4A408"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 (T тип)</w:t>
            </w:r>
          </w:p>
        </w:tc>
        <w:tc>
          <w:tcPr>
            <w:tcW w:w="1376" w:type="dxa"/>
          </w:tcPr>
          <w:p w14:paraId="22D5B86D"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1701" w:type="dxa"/>
          </w:tcPr>
          <w:p w14:paraId="7C10E830" w14:textId="77777777" w:rsidR="00BE0B19" w:rsidRPr="00AE47C6" w:rsidRDefault="00BE0B19" w:rsidP="00BE0B19">
            <w:pPr>
              <w:spacing w:after="0" w:line="360" w:lineRule="auto"/>
              <w:rPr>
                <w:rFonts w:ascii="Times New Roman" w:eastAsia="SimSun" w:hAnsi="Times New Roman"/>
                <w:bCs/>
                <w:sz w:val="24"/>
                <w:szCs w:val="24"/>
              </w:rPr>
            </w:pPr>
            <w:r w:rsidRPr="00AE47C6">
              <w:rPr>
                <w:rFonts w:ascii="Times New Roman" w:eastAsia="SimSun" w:hAnsi="Times New Roman"/>
                <w:bCs/>
                <w:sz w:val="24"/>
                <w:szCs w:val="24"/>
              </w:rPr>
              <w:t>+</w:t>
            </w:r>
          </w:p>
        </w:tc>
        <w:tc>
          <w:tcPr>
            <w:tcW w:w="2126" w:type="dxa"/>
          </w:tcPr>
          <w:p w14:paraId="2FA87B4A" w14:textId="77777777" w:rsidR="00BE0B19" w:rsidRPr="00AE47C6" w:rsidRDefault="00BE0B19" w:rsidP="00BE0B19">
            <w:pPr>
              <w:spacing w:after="0" w:line="360" w:lineRule="auto"/>
              <w:rPr>
                <w:rFonts w:ascii="Times New Roman" w:eastAsia="SimSun" w:hAnsi="Times New Roman"/>
                <w:bCs/>
                <w:sz w:val="24"/>
                <w:szCs w:val="24"/>
              </w:rPr>
            </w:pPr>
          </w:p>
        </w:tc>
      </w:tr>
    </w:tbl>
    <w:p w14:paraId="12561C1C"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GABA= гама аминомаслена киселина</w:t>
      </w:r>
    </w:p>
    <w:p w14:paraId="0C810A2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AMPA=aminomethylisoxazolepropionate</w:t>
      </w:r>
    </w:p>
    <w:p w14:paraId="4D6F6BE9" w14:textId="77777777" w:rsidR="00BE0B19" w:rsidRPr="00AE47C6" w:rsidRDefault="00BE0B19" w:rsidP="00BE0B19">
      <w:p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NMDA=N-methyl-D-aspartat</w:t>
      </w:r>
    </w:p>
    <w:p w14:paraId="468B992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SV2A- синаптичен везикулен протеин 2A</w:t>
      </w:r>
    </w:p>
    <w:p w14:paraId="747EEF90" w14:textId="77777777" w:rsidR="00BE0B19" w:rsidRPr="00AE47C6" w:rsidRDefault="00BE0B19" w:rsidP="00BE0B19">
      <w:pPr>
        <w:shd w:val="clear" w:color="auto" w:fill="FFFFFF"/>
        <w:spacing w:after="0" w:line="360" w:lineRule="auto"/>
        <w:jc w:val="both"/>
        <w:rPr>
          <w:rFonts w:ascii="Times New Roman" w:eastAsia="SimSun" w:hAnsi="Times New Roman"/>
          <w:sz w:val="24"/>
          <w:szCs w:val="24"/>
        </w:rPr>
      </w:pPr>
    </w:p>
    <w:p w14:paraId="44B96052"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Препоръчват се някои удачни комбинации при резистентни припадъци (Таблица 11.12)</w:t>
      </w:r>
    </w:p>
    <w:p w14:paraId="16B1111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Cs/>
          <w:sz w:val="24"/>
          <w:szCs w:val="24"/>
        </w:rPr>
        <w:t>Според регистрираните индикации за допълваща терапия са следните нови АЕМ</w:t>
      </w:r>
      <w:r w:rsidRPr="00AE47C6">
        <w:rPr>
          <w:rFonts w:ascii="Times New Roman" w:eastAsia="SimSun" w:hAnsi="Times New Roman"/>
          <w:sz w:val="24"/>
          <w:szCs w:val="24"/>
        </w:rPr>
        <w:t xml:space="preserve">: </w:t>
      </w:r>
    </w:p>
    <w:p w14:paraId="21EA71E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 </w:t>
      </w:r>
      <w:r w:rsidRPr="00AE47C6">
        <w:rPr>
          <w:rFonts w:ascii="Times New Roman" w:eastAsia="SimSun" w:hAnsi="Times New Roman"/>
          <w:bCs/>
          <w:sz w:val="24"/>
          <w:szCs w:val="24"/>
        </w:rPr>
        <w:t>генерализирани</w:t>
      </w:r>
      <w:r w:rsidRPr="00AE47C6">
        <w:rPr>
          <w:rFonts w:ascii="Times New Roman" w:eastAsia="SimSun" w:hAnsi="Times New Roman"/>
          <w:sz w:val="24"/>
          <w:szCs w:val="24"/>
        </w:rPr>
        <w:t xml:space="preserve"> и </w:t>
      </w:r>
      <w:r w:rsidRPr="00AE47C6">
        <w:rPr>
          <w:rFonts w:ascii="Times New Roman" w:eastAsia="SimSun" w:hAnsi="Times New Roman"/>
          <w:bCs/>
          <w:sz w:val="24"/>
          <w:szCs w:val="24"/>
        </w:rPr>
        <w:t>фокални пристъпи: LTG, LEV, TPM</w:t>
      </w:r>
    </w:p>
    <w:p w14:paraId="3A1FB79B" w14:textId="77777777" w:rsidR="00BE0B19" w:rsidRPr="00AE47C6" w:rsidRDefault="00BE0B19" w:rsidP="00BE0B19">
      <w:pPr>
        <w:numPr>
          <w:ilvl w:val="0"/>
          <w:numId w:val="355"/>
        </w:numPr>
        <w:spacing w:before="100" w:beforeAutospacing="1" w:after="100" w:afterAutospacing="1" w:line="360" w:lineRule="auto"/>
        <w:rPr>
          <w:rFonts w:ascii="Times New Roman" w:eastAsia="SimSun" w:hAnsi="Times New Roman"/>
          <w:b/>
          <w:bCs/>
          <w:sz w:val="24"/>
          <w:szCs w:val="24"/>
        </w:rPr>
      </w:pPr>
      <w:r w:rsidRPr="00AE47C6">
        <w:rPr>
          <w:rFonts w:ascii="Times New Roman" w:eastAsia="SimSun" w:hAnsi="Times New Roman"/>
          <w:sz w:val="24"/>
          <w:szCs w:val="24"/>
        </w:rPr>
        <w:t>при</w:t>
      </w:r>
      <w:r w:rsidRPr="00AE47C6">
        <w:rPr>
          <w:rFonts w:ascii="Times New Roman" w:eastAsia="SimSun" w:hAnsi="Times New Roman"/>
          <w:b/>
          <w:bCs/>
          <w:sz w:val="24"/>
          <w:szCs w:val="24"/>
        </w:rPr>
        <w:t xml:space="preserve"> фокални и вторично-генерализирани пристъпи: </w:t>
      </w:r>
      <w:r w:rsidRPr="00AE47C6">
        <w:rPr>
          <w:rFonts w:ascii="Times New Roman" w:eastAsia="SimSun" w:hAnsi="Times New Roman"/>
          <w:bCs/>
          <w:sz w:val="24"/>
          <w:szCs w:val="24"/>
        </w:rPr>
        <w:t xml:space="preserve">GBP </w:t>
      </w:r>
      <w:r w:rsidRPr="00AE47C6">
        <w:rPr>
          <w:rFonts w:ascii="Times New Roman" w:eastAsia="SimSun" w:hAnsi="Times New Roman"/>
          <w:sz w:val="24"/>
          <w:szCs w:val="24"/>
        </w:rPr>
        <w:t xml:space="preserve">(над 6 г.), OxCBZ, </w:t>
      </w:r>
      <w:r w:rsidRPr="00AE47C6">
        <w:rPr>
          <w:rFonts w:ascii="Times New Roman" w:eastAsia="SimSun" w:hAnsi="Times New Roman"/>
          <w:bCs/>
          <w:sz w:val="24"/>
          <w:szCs w:val="24"/>
        </w:rPr>
        <w:t xml:space="preserve">PGB </w:t>
      </w:r>
      <w:r w:rsidRPr="00AE47C6">
        <w:rPr>
          <w:rFonts w:ascii="Times New Roman" w:eastAsia="SimSun" w:hAnsi="Times New Roman"/>
          <w:sz w:val="24"/>
          <w:szCs w:val="24"/>
        </w:rPr>
        <w:t xml:space="preserve">(над 18 г.), </w:t>
      </w:r>
      <w:r w:rsidRPr="00AE47C6">
        <w:rPr>
          <w:rFonts w:ascii="Times New Roman" w:eastAsia="SimSun" w:hAnsi="Times New Roman"/>
          <w:bCs/>
          <w:sz w:val="24"/>
          <w:szCs w:val="24"/>
        </w:rPr>
        <w:t xml:space="preserve">LCM </w:t>
      </w:r>
      <w:r w:rsidRPr="00AE47C6">
        <w:rPr>
          <w:rFonts w:ascii="Times New Roman" w:eastAsia="SimSun" w:hAnsi="Times New Roman"/>
          <w:sz w:val="24"/>
          <w:szCs w:val="24"/>
        </w:rPr>
        <w:t>(над 4 г.); BRV (</w:t>
      </w:r>
      <w:r w:rsidRPr="00AE47C6">
        <w:rPr>
          <w:rFonts w:ascii="Times New Roman" w:eastAsia="SimSun" w:hAnsi="Times New Roman"/>
          <w:bCs/>
          <w:sz w:val="24"/>
          <w:szCs w:val="24"/>
        </w:rPr>
        <w:t>≥</w:t>
      </w:r>
      <w:r w:rsidRPr="00AE47C6">
        <w:rPr>
          <w:rFonts w:ascii="Times New Roman" w:eastAsia="SimSun" w:hAnsi="Times New Roman"/>
          <w:sz w:val="24"/>
          <w:szCs w:val="24"/>
        </w:rPr>
        <w:t xml:space="preserve"> 2 г.); ESL (над 6 г.); </w:t>
      </w:r>
      <w:r w:rsidRPr="00AE47C6">
        <w:rPr>
          <w:rFonts w:ascii="Times New Roman" w:eastAsia="SimSun" w:hAnsi="Times New Roman"/>
          <w:bCs/>
          <w:sz w:val="24"/>
          <w:szCs w:val="24"/>
        </w:rPr>
        <w:t xml:space="preserve">TGB </w:t>
      </w:r>
      <w:r w:rsidRPr="00AE47C6">
        <w:rPr>
          <w:rFonts w:ascii="Times New Roman" w:eastAsia="SimSun" w:hAnsi="Times New Roman"/>
          <w:sz w:val="24"/>
          <w:szCs w:val="24"/>
        </w:rPr>
        <w:t xml:space="preserve">над 12 г., при които други подходящи лекарствени комбинации са се оказали незадоволителни или не са поносими; Cenobamate- при фокални и ВГТКП </w:t>
      </w:r>
      <w:r w:rsidRPr="00AE47C6">
        <w:rPr>
          <w:rFonts w:ascii="Times New Roman" w:eastAsia="SimSun" w:hAnsi="Times New Roman"/>
          <w:bCs/>
          <w:sz w:val="24"/>
          <w:szCs w:val="24"/>
        </w:rPr>
        <w:t>(ФДКТП) ≥</w:t>
      </w:r>
      <w:r w:rsidRPr="00AE47C6">
        <w:rPr>
          <w:rFonts w:ascii="Times New Roman" w:eastAsia="SimSun" w:hAnsi="Times New Roman"/>
          <w:sz w:val="24"/>
          <w:szCs w:val="24"/>
        </w:rPr>
        <w:t xml:space="preserve"> 18 г.; Cannabidiol* при пристъпи, свързани с туберозна склероза комплекс (TSC) при пациенти ≥ 2 г.</w:t>
      </w:r>
    </w:p>
    <w:p w14:paraId="6DD37A3D" w14:textId="77777777" w:rsidR="00BE0B19" w:rsidRPr="00AE47C6" w:rsidRDefault="00BE0B19" w:rsidP="00BE0B19">
      <w:pPr>
        <w:numPr>
          <w:ilvl w:val="0"/>
          <w:numId w:val="355"/>
        </w:numPr>
        <w:spacing w:before="100" w:beforeAutospacing="1" w:after="100" w:afterAutospacing="1" w:line="360" w:lineRule="auto"/>
        <w:rPr>
          <w:rFonts w:ascii="Times New Roman" w:eastAsia="SimSun" w:hAnsi="Times New Roman"/>
          <w:b/>
          <w:bCs/>
          <w:sz w:val="24"/>
          <w:szCs w:val="24"/>
        </w:rPr>
      </w:pPr>
      <w:r w:rsidRPr="00AE47C6">
        <w:rPr>
          <w:rFonts w:ascii="Times New Roman" w:eastAsia="SimSun" w:hAnsi="Times New Roman"/>
          <w:sz w:val="24"/>
          <w:szCs w:val="24"/>
        </w:rPr>
        <w:t>при</w:t>
      </w:r>
      <w:r w:rsidRPr="00AE47C6">
        <w:rPr>
          <w:rFonts w:ascii="Times New Roman" w:eastAsia="SimSun" w:hAnsi="Times New Roman"/>
          <w:b/>
          <w:bCs/>
          <w:sz w:val="24"/>
          <w:szCs w:val="24"/>
        </w:rPr>
        <w:t xml:space="preserve"> синдром на Lennox-Gastaut - </w:t>
      </w:r>
      <w:r w:rsidRPr="00AE47C6">
        <w:rPr>
          <w:rFonts w:ascii="Times New Roman" w:eastAsia="SimSun" w:hAnsi="Times New Roman"/>
          <w:sz w:val="24"/>
          <w:szCs w:val="24"/>
        </w:rPr>
        <w:t xml:space="preserve">LTG, TPM, Rufinamide*, Cannabidiol  * в комбинация с Clobazam** ≥ 2 г., </w:t>
      </w:r>
      <w:r w:rsidRPr="00AE47C6">
        <w:rPr>
          <w:rFonts w:ascii="Times New Roman" w:eastAsia="SimSun" w:hAnsi="Times New Roman"/>
          <w:bCs/>
          <w:sz w:val="24"/>
          <w:szCs w:val="24"/>
        </w:rPr>
        <w:t>Fenfluramine*- ≥</w:t>
      </w:r>
      <w:r w:rsidRPr="00AE47C6">
        <w:rPr>
          <w:rFonts w:ascii="Times New Roman" w:eastAsia="SimSun" w:hAnsi="Times New Roman"/>
          <w:sz w:val="24"/>
          <w:szCs w:val="24"/>
        </w:rPr>
        <w:t xml:space="preserve"> 2 г.</w:t>
      </w:r>
    </w:p>
    <w:p w14:paraId="65057A8E" w14:textId="77777777" w:rsidR="00BE0B19" w:rsidRPr="00AE47C6" w:rsidRDefault="00BE0B19" w:rsidP="00BE0B19">
      <w:pPr>
        <w:numPr>
          <w:ilvl w:val="0"/>
          <w:numId w:val="355"/>
        </w:numPr>
        <w:spacing w:before="100" w:beforeAutospacing="1" w:after="100" w:afterAutospacing="1" w:line="360" w:lineRule="auto"/>
        <w:rPr>
          <w:rFonts w:ascii="Times New Roman" w:eastAsia="SimSun" w:hAnsi="Times New Roman"/>
          <w:bCs/>
          <w:sz w:val="24"/>
          <w:szCs w:val="24"/>
        </w:rPr>
      </w:pPr>
      <w:r w:rsidRPr="00AE47C6">
        <w:rPr>
          <w:rFonts w:ascii="Times New Roman" w:eastAsia="SimSun" w:hAnsi="Times New Roman"/>
          <w:sz w:val="24"/>
          <w:szCs w:val="24"/>
        </w:rPr>
        <w:t>при</w:t>
      </w:r>
      <w:r w:rsidRPr="00AE47C6">
        <w:rPr>
          <w:rFonts w:ascii="Times New Roman" w:eastAsia="SimSun" w:hAnsi="Times New Roman"/>
          <w:b/>
          <w:bCs/>
          <w:sz w:val="24"/>
          <w:szCs w:val="24"/>
        </w:rPr>
        <w:t xml:space="preserve"> синдром на Dravet (SMEI) - </w:t>
      </w:r>
      <w:r w:rsidRPr="00AE47C6">
        <w:rPr>
          <w:rFonts w:ascii="Times New Roman" w:eastAsia="SimSun" w:hAnsi="Times New Roman"/>
          <w:sz w:val="24"/>
          <w:szCs w:val="24"/>
        </w:rPr>
        <w:t xml:space="preserve">LEV, TPM, Stiripentol*, Cannabidiol* в комбинация с Clobazam** ≥ 2 г., </w:t>
      </w:r>
      <w:r w:rsidRPr="00AE47C6">
        <w:rPr>
          <w:rFonts w:ascii="Times New Roman" w:eastAsia="SimSun" w:hAnsi="Times New Roman"/>
          <w:bCs/>
          <w:sz w:val="24"/>
          <w:szCs w:val="24"/>
        </w:rPr>
        <w:t>Fenfluramine*- ≥</w:t>
      </w:r>
      <w:r w:rsidRPr="00AE47C6">
        <w:rPr>
          <w:rFonts w:ascii="Times New Roman" w:eastAsia="SimSun" w:hAnsi="Times New Roman"/>
          <w:sz w:val="24"/>
          <w:szCs w:val="24"/>
        </w:rPr>
        <w:t xml:space="preserve"> 2 г.</w:t>
      </w:r>
    </w:p>
    <w:p w14:paraId="1E3B984B"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Таблица 11.14</w:t>
      </w:r>
      <w:r w:rsidRPr="00AE47C6">
        <w:rPr>
          <w:rFonts w:ascii="Times New Roman" w:eastAsia="SimSun" w:hAnsi="Times New Roman"/>
          <w:sz w:val="24"/>
          <w:szCs w:val="24"/>
        </w:rPr>
        <w:t xml:space="preserve">. </w:t>
      </w:r>
      <w:r w:rsidRPr="00AE47C6">
        <w:rPr>
          <w:rFonts w:ascii="Times New Roman" w:eastAsia="SimSun" w:hAnsi="Times New Roman"/>
          <w:b/>
          <w:sz w:val="24"/>
          <w:szCs w:val="24"/>
        </w:rPr>
        <w:t xml:space="preserve">Препоръчителни комбинации от АГЛ за медикаментозно-резистентни пристъпи </w:t>
      </w:r>
    </w:p>
    <w:tbl>
      <w:tblPr>
        <w:tblW w:w="8973" w:type="dxa"/>
        <w:jc w:val="center"/>
        <w:tblCellSpacing w:w="0" w:type="dxa"/>
        <w:tblCellMar>
          <w:left w:w="0" w:type="dxa"/>
          <w:right w:w="0" w:type="dxa"/>
        </w:tblCellMar>
        <w:tblLook w:val="0000" w:firstRow="0" w:lastRow="0" w:firstColumn="0" w:lastColumn="0" w:noHBand="0" w:noVBand="0"/>
      </w:tblPr>
      <w:tblGrid>
        <w:gridCol w:w="3003"/>
        <w:gridCol w:w="2420"/>
        <w:gridCol w:w="3550"/>
      </w:tblGrid>
      <w:tr w:rsidR="00BE0B19" w:rsidRPr="00AE47C6" w14:paraId="538F2F1A" w14:textId="77777777" w:rsidTr="00AD72E5">
        <w:trPr>
          <w:trHeight w:val="345"/>
          <w:tblCellSpacing w:w="0" w:type="dxa"/>
          <w:jc w:val="center"/>
        </w:trPr>
        <w:tc>
          <w:tcPr>
            <w:tcW w:w="3003" w:type="dxa"/>
            <w:tcBorders>
              <w:top w:val="single" w:sz="12" w:space="0" w:color="000000"/>
              <w:left w:val="single" w:sz="12" w:space="0" w:color="000000"/>
              <w:bottom w:val="single" w:sz="6" w:space="0" w:color="000000"/>
              <w:right w:val="single" w:sz="6" w:space="0" w:color="000000"/>
            </w:tcBorders>
          </w:tcPr>
          <w:p w14:paraId="6F4E2EA3" w14:textId="77777777" w:rsidR="00BE0B19" w:rsidRPr="00AE47C6" w:rsidRDefault="00BE0B19" w:rsidP="00BE0B19">
            <w:pPr>
              <w:spacing w:after="0" w:line="360" w:lineRule="auto"/>
              <w:ind w:left="236"/>
              <w:jc w:val="both"/>
              <w:rPr>
                <w:rFonts w:ascii="Times New Roman" w:eastAsia="SimSun" w:hAnsi="Times New Roman"/>
                <w:sz w:val="24"/>
                <w:szCs w:val="24"/>
              </w:rPr>
            </w:pPr>
            <w:r w:rsidRPr="00AE47C6">
              <w:rPr>
                <w:rFonts w:ascii="Times New Roman" w:eastAsia="SimSun" w:hAnsi="Times New Roman"/>
                <w:sz w:val="24"/>
                <w:szCs w:val="24"/>
              </w:rPr>
              <w:t>Комбинации</w:t>
            </w:r>
          </w:p>
        </w:tc>
        <w:tc>
          <w:tcPr>
            <w:tcW w:w="2420" w:type="dxa"/>
            <w:tcBorders>
              <w:top w:val="single" w:sz="12" w:space="0" w:color="000000"/>
              <w:left w:val="single" w:sz="6" w:space="0" w:color="000000"/>
              <w:bottom w:val="single" w:sz="6" w:space="0" w:color="000000"/>
              <w:right w:val="single" w:sz="6" w:space="0" w:color="000000"/>
            </w:tcBorders>
          </w:tcPr>
          <w:p w14:paraId="256028AA" w14:textId="77777777" w:rsidR="00BE0B19" w:rsidRPr="00AE47C6" w:rsidRDefault="00BE0B19" w:rsidP="00BE0B19">
            <w:pPr>
              <w:spacing w:after="0" w:line="360" w:lineRule="auto"/>
              <w:ind w:left="236"/>
              <w:jc w:val="both"/>
              <w:rPr>
                <w:rFonts w:ascii="Times New Roman" w:eastAsia="SimSun" w:hAnsi="Times New Roman"/>
                <w:sz w:val="24"/>
                <w:szCs w:val="24"/>
              </w:rPr>
            </w:pPr>
            <w:r w:rsidRPr="00AE47C6">
              <w:rPr>
                <w:rFonts w:ascii="Times New Roman" w:eastAsia="SimSun" w:hAnsi="Times New Roman"/>
                <w:sz w:val="24"/>
                <w:szCs w:val="24"/>
              </w:rPr>
              <w:t>Подходящи</w:t>
            </w:r>
          </w:p>
        </w:tc>
        <w:tc>
          <w:tcPr>
            <w:tcW w:w="3550" w:type="dxa"/>
            <w:tcBorders>
              <w:top w:val="single" w:sz="12" w:space="0" w:color="000000"/>
              <w:left w:val="single" w:sz="6" w:space="0" w:color="000000"/>
              <w:bottom w:val="single" w:sz="6" w:space="0" w:color="000000"/>
              <w:right w:val="single" w:sz="12" w:space="0" w:color="000000"/>
            </w:tcBorders>
          </w:tcPr>
          <w:p w14:paraId="7504C890" w14:textId="77777777" w:rsidR="00BE0B19" w:rsidRPr="00AE47C6" w:rsidRDefault="00BE0B19" w:rsidP="00BE0B19">
            <w:pPr>
              <w:spacing w:after="0" w:line="360" w:lineRule="auto"/>
              <w:ind w:left="236"/>
              <w:jc w:val="both"/>
              <w:rPr>
                <w:rFonts w:ascii="Times New Roman" w:eastAsia="SimSun" w:hAnsi="Times New Roman"/>
                <w:sz w:val="24"/>
                <w:szCs w:val="24"/>
              </w:rPr>
            </w:pPr>
            <w:r w:rsidRPr="00AE47C6">
              <w:rPr>
                <w:rFonts w:ascii="Times New Roman" w:eastAsia="SimSun" w:hAnsi="Times New Roman"/>
                <w:sz w:val="24"/>
                <w:szCs w:val="24"/>
              </w:rPr>
              <w:t>Причини</w:t>
            </w:r>
          </w:p>
        </w:tc>
      </w:tr>
      <w:tr w:rsidR="00BE0B19" w:rsidRPr="00AE47C6" w14:paraId="50387A16" w14:textId="77777777" w:rsidTr="00AD72E5">
        <w:trPr>
          <w:trHeight w:val="315"/>
          <w:tblCellSpacing w:w="0" w:type="dxa"/>
          <w:jc w:val="center"/>
        </w:trPr>
        <w:tc>
          <w:tcPr>
            <w:tcW w:w="8973" w:type="dxa"/>
            <w:gridSpan w:val="3"/>
            <w:tcBorders>
              <w:top w:val="single" w:sz="6" w:space="0" w:color="000000"/>
              <w:left w:val="single" w:sz="6" w:space="0" w:color="000000"/>
              <w:bottom w:val="single" w:sz="6" w:space="0" w:color="000000"/>
              <w:right w:val="single" w:sz="6" w:space="0" w:color="000000"/>
            </w:tcBorders>
          </w:tcPr>
          <w:p w14:paraId="370EDCC6" w14:textId="77777777" w:rsidR="00BE0B19" w:rsidRPr="00AE47C6" w:rsidRDefault="00BE0B19" w:rsidP="00BE0B19">
            <w:pPr>
              <w:spacing w:after="0" w:line="360" w:lineRule="auto"/>
              <w:ind w:left="236"/>
              <w:rPr>
                <w:rFonts w:ascii="Times New Roman" w:eastAsia="SimSun" w:hAnsi="Times New Roman"/>
                <w:sz w:val="24"/>
                <w:szCs w:val="24"/>
              </w:rPr>
            </w:pPr>
            <w:r w:rsidRPr="00AE47C6">
              <w:rPr>
                <w:rFonts w:ascii="Times New Roman" w:eastAsia="SimSun" w:hAnsi="Times New Roman"/>
                <w:sz w:val="24"/>
                <w:szCs w:val="24"/>
              </w:rPr>
              <w:t>PHT или CBZ+</w:t>
            </w:r>
          </w:p>
        </w:tc>
      </w:tr>
      <w:tr w:rsidR="00BE0B19" w:rsidRPr="00AE47C6" w14:paraId="470CD57D" w14:textId="77777777" w:rsidTr="00AD72E5">
        <w:trPr>
          <w:trHeight w:val="315"/>
          <w:tblCellSpacing w:w="0" w:type="dxa"/>
          <w:jc w:val="center"/>
        </w:trPr>
        <w:tc>
          <w:tcPr>
            <w:tcW w:w="3003" w:type="dxa"/>
            <w:tcBorders>
              <w:top w:val="single" w:sz="6" w:space="0" w:color="000000"/>
              <w:left w:val="single" w:sz="12" w:space="0" w:color="000000"/>
              <w:bottom w:val="single" w:sz="6" w:space="0" w:color="000000"/>
              <w:right w:val="single" w:sz="6" w:space="0" w:color="000000"/>
            </w:tcBorders>
          </w:tcPr>
          <w:p w14:paraId="21B075E3" w14:textId="77777777" w:rsidR="00BE0B19" w:rsidRPr="00AE47C6" w:rsidRDefault="00BE0B19" w:rsidP="00BE0B19">
            <w:pPr>
              <w:spacing w:after="0" w:line="360" w:lineRule="auto"/>
              <w:ind w:left="236"/>
              <w:jc w:val="both"/>
              <w:rPr>
                <w:rFonts w:ascii="Times New Roman" w:eastAsia="SimSun" w:hAnsi="Times New Roman"/>
                <w:sz w:val="24"/>
                <w:szCs w:val="24"/>
              </w:rPr>
            </w:pPr>
            <w:r w:rsidRPr="00AE47C6">
              <w:rPr>
                <w:rFonts w:ascii="Times New Roman" w:eastAsia="SimSun" w:hAnsi="Times New Roman"/>
                <w:sz w:val="24"/>
                <w:szCs w:val="24"/>
              </w:rPr>
              <w:t>LTG</w:t>
            </w:r>
          </w:p>
        </w:tc>
        <w:tc>
          <w:tcPr>
            <w:tcW w:w="2420" w:type="dxa"/>
            <w:tcBorders>
              <w:top w:val="single" w:sz="6" w:space="0" w:color="000000"/>
              <w:left w:val="single" w:sz="6" w:space="0" w:color="000000"/>
              <w:bottom w:val="single" w:sz="6" w:space="0" w:color="000000"/>
              <w:right w:val="single" w:sz="6" w:space="0" w:color="000000"/>
            </w:tcBorders>
          </w:tcPr>
          <w:p w14:paraId="09A73B6B" w14:textId="77777777" w:rsidR="00BE0B19" w:rsidRPr="00AE47C6" w:rsidRDefault="00BE0B19" w:rsidP="00BE0B19">
            <w:pPr>
              <w:spacing w:after="0" w:line="360" w:lineRule="auto"/>
              <w:ind w:left="236"/>
              <w:rPr>
                <w:rFonts w:ascii="Times New Roman" w:eastAsia="SimSun" w:hAnsi="Times New Roman"/>
                <w:sz w:val="24"/>
                <w:szCs w:val="24"/>
              </w:rPr>
            </w:pPr>
            <w:r w:rsidRPr="00AE47C6">
              <w:rPr>
                <w:rFonts w:ascii="Times New Roman" w:eastAsia="SimSun" w:hAnsi="Times New Roman"/>
                <w:sz w:val="24"/>
                <w:szCs w:val="24"/>
              </w:rPr>
              <w:t>-</w:t>
            </w:r>
          </w:p>
        </w:tc>
        <w:tc>
          <w:tcPr>
            <w:tcW w:w="3550" w:type="dxa"/>
            <w:tcBorders>
              <w:top w:val="single" w:sz="6" w:space="0" w:color="000000"/>
              <w:left w:val="single" w:sz="6" w:space="0" w:color="000000"/>
              <w:bottom w:val="single" w:sz="6" w:space="0" w:color="000000"/>
              <w:right w:val="single" w:sz="12" w:space="0" w:color="000000"/>
            </w:tcBorders>
          </w:tcPr>
          <w:p w14:paraId="6F9F22F4" w14:textId="77777777" w:rsidR="00BE0B19" w:rsidRPr="00AE47C6" w:rsidRDefault="00BE0B19" w:rsidP="00BE0B19">
            <w:pPr>
              <w:spacing w:after="0" w:line="360" w:lineRule="auto"/>
              <w:ind w:left="236"/>
              <w:jc w:val="both"/>
              <w:rPr>
                <w:rFonts w:ascii="Times New Roman" w:eastAsia="SimSun" w:hAnsi="Times New Roman"/>
                <w:b/>
                <w:bCs/>
                <w:sz w:val="24"/>
                <w:szCs w:val="24"/>
              </w:rPr>
            </w:pPr>
            <w:r w:rsidRPr="00AE47C6">
              <w:rPr>
                <w:rFonts w:ascii="Times New Roman" w:eastAsia="SimSun" w:hAnsi="Times New Roman"/>
                <w:b/>
                <w:bCs/>
                <w:sz w:val="24"/>
                <w:szCs w:val="24"/>
              </w:rPr>
              <w:t>Невротоксични стр. реакции</w:t>
            </w:r>
          </w:p>
        </w:tc>
      </w:tr>
      <w:tr w:rsidR="00BE0B19" w:rsidRPr="00AE47C6" w14:paraId="00E5CD4A" w14:textId="77777777" w:rsidTr="00AD72E5">
        <w:trPr>
          <w:trHeight w:val="315"/>
          <w:tblCellSpacing w:w="0" w:type="dxa"/>
          <w:jc w:val="center"/>
        </w:trPr>
        <w:tc>
          <w:tcPr>
            <w:tcW w:w="3003" w:type="dxa"/>
            <w:tcBorders>
              <w:top w:val="single" w:sz="6" w:space="0" w:color="000000"/>
              <w:left w:val="single" w:sz="12" w:space="0" w:color="000000"/>
              <w:bottom w:val="single" w:sz="6" w:space="0" w:color="000000"/>
              <w:right w:val="single" w:sz="6" w:space="0" w:color="000000"/>
            </w:tcBorders>
          </w:tcPr>
          <w:p w14:paraId="5266F726" w14:textId="77777777" w:rsidR="00BE0B19" w:rsidRPr="00AE47C6" w:rsidRDefault="00BE0B19" w:rsidP="00BE0B19">
            <w:pPr>
              <w:spacing w:after="0" w:line="360" w:lineRule="auto"/>
              <w:ind w:left="236"/>
              <w:jc w:val="both"/>
              <w:rPr>
                <w:rFonts w:ascii="Times New Roman" w:eastAsia="SimSun" w:hAnsi="Times New Roman"/>
                <w:sz w:val="24"/>
                <w:szCs w:val="24"/>
              </w:rPr>
            </w:pPr>
            <w:r w:rsidRPr="00AE47C6">
              <w:rPr>
                <w:rFonts w:ascii="Times New Roman" w:eastAsia="SimSun" w:hAnsi="Times New Roman"/>
                <w:sz w:val="24"/>
                <w:szCs w:val="24"/>
              </w:rPr>
              <w:t>OXC</w:t>
            </w:r>
          </w:p>
        </w:tc>
        <w:tc>
          <w:tcPr>
            <w:tcW w:w="2420" w:type="dxa"/>
            <w:tcBorders>
              <w:top w:val="single" w:sz="6" w:space="0" w:color="000000"/>
              <w:left w:val="single" w:sz="6" w:space="0" w:color="000000"/>
              <w:bottom w:val="single" w:sz="6" w:space="0" w:color="000000"/>
              <w:right w:val="single" w:sz="6" w:space="0" w:color="000000"/>
            </w:tcBorders>
          </w:tcPr>
          <w:p w14:paraId="5324455E" w14:textId="77777777" w:rsidR="00BE0B19" w:rsidRPr="00AE47C6" w:rsidRDefault="00BE0B19" w:rsidP="00BE0B19">
            <w:pPr>
              <w:spacing w:after="0" w:line="360" w:lineRule="auto"/>
              <w:ind w:left="236"/>
              <w:rPr>
                <w:rFonts w:ascii="Times New Roman" w:eastAsia="SimSun" w:hAnsi="Times New Roman"/>
                <w:sz w:val="24"/>
                <w:szCs w:val="24"/>
              </w:rPr>
            </w:pPr>
            <w:r w:rsidRPr="00AE47C6">
              <w:rPr>
                <w:rFonts w:ascii="Times New Roman" w:eastAsia="SimSun" w:hAnsi="Times New Roman"/>
                <w:sz w:val="24"/>
                <w:szCs w:val="24"/>
              </w:rPr>
              <w:t>-</w:t>
            </w:r>
          </w:p>
        </w:tc>
        <w:tc>
          <w:tcPr>
            <w:tcW w:w="3550" w:type="dxa"/>
            <w:tcBorders>
              <w:top w:val="single" w:sz="6" w:space="0" w:color="000000"/>
              <w:left w:val="single" w:sz="6" w:space="0" w:color="000000"/>
              <w:bottom w:val="single" w:sz="6" w:space="0" w:color="000000"/>
              <w:right w:val="single" w:sz="12" w:space="0" w:color="000000"/>
            </w:tcBorders>
          </w:tcPr>
          <w:p w14:paraId="31861BD0" w14:textId="77777777" w:rsidR="00BE0B19" w:rsidRPr="00AE47C6" w:rsidRDefault="00BE0B19" w:rsidP="00BE0B19">
            <w:pPr>
              <w:spacing w:after="0" w:line="360" w:lineRule="auto"/>
              <w:ind w:left="236"/>
              <w:jc w:val="both"/>
              <w:rPr>
                <w:rFonts w:ascii="Times New Roman" w:eastAsia="SimSun" w:hAnsi="Times New Roman"/>
                <w:b/>
                <w:bCs/>
                <w:sz w:val="24"/>
                <w:szCs w:val="24"/>
              </w:rPr>
            </w:pPr>
            <w:r w:rsidRPr="00AE47C6">
              <w:rPr>
                <w:rFonts w:ascii="Times New Roman" w:eastAsia="SimSun" w:hAnsi="Times New Roman"/>
                <w:b/>
                <w:bCs/>
                <w:sz w:val="24"/>
                <w:szCs w:val="24"/>
              </w:rPr>
              <w:t>Невротоксични стр. реакции</w:t>
            </w:r>
          </w:p>
        </w:tc>
      </w:tr>
      <w:tr w:rsidR="00BE0B19" w:rsidRPr="00AE47C6" w14:paraId="48D577EB" w14:textId="77777777" w:rsidTr="00AD72E5">
        <w:trPr>
          <w:trHeight w:val="315"/>
          <w:tblCellSpacing w:w="0" w:type="dxa"/>
          <w:jc w:val="center"/>
        </w:trPr>
        <w:tc>
          <w:tcPr>
            <w:tcW w:w="3003" w:type="dxa"/>
            <w:tcBorders>
              <w:top w:val="single" w:sz="6" w:space="0" w:color="000000"/>
              <w:left w:val="single" w:sz="12" w:space="0" w:color="000000"/>
              <w:bottom w:val="single" w:sz="6" w:space="0" w:color="000000"/>
              <w:right w:val="single" w:sz="6" w:space="0" w:color="000000"/>
            </w:tcBorders>
          </w:tcPr>
          <w:p w14:paraId="0B013161" w14:textId="77777777" w:rsidR="00BE0B19" w:rsidRPr="00AE47C6" w:rsidRDefault="00BE0B19" w:rsidP="00BE0B19">
            <w:pPr>
              <w:spacing w:after="0" w:line="360" w:lineRule="auto"/>
              <w:ind w:left="236"/>
              <w:jc w:val="both"/>
              <w:rPr>
                <w:rFonts w:ascii="Times New Roman" w:eastAsia="SimSun" w:hAnsi="Times New Roman"/>
                <w:sz w:val="24"/>
                <w:szCs w:val="24"/>
              </w:rPr>
            </w:pPr>
            <w:r w:rsidRPr="00AE47C6">
              <w:rPr>
                <w:rFonts w:ascii="Times New Roman" w:eastAsia="SimSun" w:hAnsi="Times New Roman"/>
                <w:sz w:val="24"/>
                <w:szCs w:val="24"/>
              </w:rPr>
              <w:t>ЕSL</w:t>
            </w:r>
          </w:p>
        </w:tc>
        <w:tc>
          <w:tcPr>
            <w:tcW w:w="2420" w:type="dxa"/>
            <w:tcBorders>
              <w:top w:val="single" w:sz="6" w:space="0" w:color="000000"/>
              <w:left w:val="single" w:sz="6" w:space="0" w:color="000000"/>
              <w:bottom w:val="single" w:sz="6" w:space="0" w:color="000000"/>
              <w:right w:val="single" w:sz="6" w:space="0" w:color="000000"/>
            </w:tcBorders>
          </w:tcPr>
          <w:p w14:paraId="47D01122" w14:textId="77777777" w:rsidR="00BE0B19" w:rsidRPr="00AE47C6" w:rsidRDefault="00BE0B19" w:rsidP="00BE0B19">
            <w:pPr>
              <w:spacing w:after="0" w:line="360" w:lineRule="auto"/>
              <w:ind w:left="236"/>
              <w:rPr>
                <w:rFonts w:ascii="Times New Roman" w:eastAsia="SimSun" w:hAnsi="Times New Roman"/>
                <w:sz w:val="24"/>
                <w:szCs w:val="24"/>
              </w:rPr>
            </w:pPr>
            <w:r w:rsidRPr="00AE47C6">
              <w:rPr>
                <w:rFonts w:ascii="Times New Roman" w:eastAsia="SimSun" w:hAnsi="Times New Roman"/>
                <w:sz w:val="24"/>
                <w:szCs w:val="24"/>
              </w:rPr>
              <w:t>-</w:t>
            </w:r>
          </w:p>
        </w:tc>
        <w:tc>
          <w:tcPr>
            <w:tcW w:w="3550" w:type="dxa"/>
            <w:tcBorders>
              <w:top w:val="single" w:sz="6" w:space="0" w:color="000000"/>
              <w:left w:val="single" w:sz="6" w:space="0" w:color="000000"/>
              <w:bottom w:val="single" w:sz="6" w:space="0" w:color="000000"/>
              <w:right w:val="single" w:sz="12" w:space="0" w:color="000000"/>
            </w:tcBorders>
          </w:tcPr>
          <w:p w14:paraId="142E21DB" w14:textId="77777777" w:rsidR="00BE0B19" w:rsidRPr="00AE47C6" w:rsidRDefault="00BE0B19" w:rsidP="00BE0B19">
            <w:pPr>
              <w:spacing w:after="0" w:line="360" w:lineRule="auto"/>
              <w:ind w:left="236"/>
              <w:jc w:val="both"/>
              <w:rPr>
                <w:rFonts w:ascii="Times New Roman" w:eastAsia="SimSun" w:hAnsi="Times New Roman"/>
                <w:b/>
                <w:bCs/>
                <w:sz w:val="24"/>
                <w:szCs w:val="24"/>
              </w:rPr>
            </w:pPr>
            <w:r w:rsidRPr="00AE47C6">
              <w:rPr>
                <w:rFonts w:ascii="Times New Roman" w:eastAsia="SimSun" w:hAnsi="Times New Roman"/>
                <w:b/>
                <w:bCs/>
                <w:sz w:val="24"/>
                <w:szCs w:val="24"/>
              </w:rPr>
              <w:t>Невротоксични стр. реакции</w:t>
            </w:r>
          </w:p>
        </w:tc>
      </w:tr>
      <w:tr w:rsidR="00BE0B19" w:rsidRPr="00AE47C6" w14:paraId="1CC3843C" w14:textId="77777777" w:rsidTr="00AD72E5">
        <w:trPr>
          <w:trHeight w:val="330"/>
          <w:tblCellSpacing w:w="0" w:type="dxa"/>
          <w:jc w:val="center"/>
        </w:trPr>
        <w:tc>
          <w:tcPr>
            <w:tcW w:w="3003" w:type="dxa"/>
            <w:tcBorders>
              <w:top w:val="single" w:sz="6" w:space="0" w:color="000000"/>
              <w:left w:val="single" w:sz="12" w:space="0" w:color="000000"/>
              <w:bottom w:val="single" w:sz="6" w:space="0" w:color="000000"/>
              <w:right w:val="single" w:sz="6" w:space="0" w:color="000000"/>
            </w:tcBorders>
          </w:tcPr>
          <w:p w14:paraId="40665667" w14:textId="77777777" w:rsidR="00BE0B19" w:rsidRPr="00AE47C6" w:rsidRDefault="00BE0B19" w:rsidP="00BE0B19">
            <w:pPr>
              <w:spacing w:after="0" w:line="360" w:lineRule="auto"/>
              <w:ind w:left="236"/>
              <w:jc w:val="both"/>
              <w:rPr>
                <w:rFonts w:ascii="Times New Roman" w:eastAsia="SimSun" w:hAnsi="Times New Roman"/>
                <w:sz w:val="24"/>
                <w:szCs w:val="24"/>
              </w:rPr>
            </w:pPr>
            <w:r w:rsidRPr="00AE47C6">
              <w:rPr>
                <w:rFonts w:ascii="Times New Roman" w:eastAsia="SimSun" w:hAnsi="Times New Roman"/>
                <w:sz w:val="24"/>
                <w:szCs w:val="24"/>
              </w:rPr>
              <w:t>TPM</w:t>
            </w:r>
          </w:p>
        </w:tc>
        <w:tc>
          <w:tcPr>
            <w:tcW w:w="2420" w:type="dxa"/>
            <w:tcBorders>
              <w:top w:val="single" w:sz="6" w:space="0" w:color="000000"/>
              <w:left w:val="single" w:sz="6" w:space="0" w:color="000000"/>
              <w:bottom w:val="single" w:sz="6" w:space="0" w:color="000000"/>
              <w:right w:val="single" w:sz="6" w:space="0" w:color="000000"/>
            </w:tcBorders>
          </w:tcPr>
          <w:p w14:paraId="310D73B4" w14:textId="77777777" w:rsidR="00BE0B19" w:rsidRPr="00AE47C6" w:rsidRDefault="00BE0B19" w:rsidP="00BE0B19">
            <w:pPr>
              <w:spacing w:after="0" w:line="360" w:lineRule="auto"/>
              <w:ind w:left="236"/>
              <w:rPr>
                <w:rFonts w:ascii="Times New Roman" w:eastAsia="SimSun" w:hAnsi="Times New Roman"/>
                <w:sz w:val="24"/>
                <w:szCs w:val="24"/>
              </w:rPr>
            </w:pPr>
            <w:r w:rsidRPr="00AE47C6">
              <w:rPr>
                <w:rFonts w:ascii="Times New Roman" w:eastAsia="SimSun" w:hAnsi="Times New Roman"/>
                <w:sz w:val="24"/>
                <w:szCs w:val="24"/>
              </w:rPr>
              <w:t>-</w:t>
            </w:r>
          </w:p>
        </w:tc>
        <w:tc>
          <w:tcPr>
            <w:tcW w:w="3550" w:type="dxa"/>
            <w:tcBorders>
              <w:top w:val="single" w:sz="6" w:space="0" w:color="000000"/>
              <w:left w:val="single" w:sz="6" w:space="0" w:color="000000"/>
              <w:bottom w:val="single" w:sz="6" w:space="0" w:color="000000"/>
              <w:right w:val="single" w:sz="12" w:space="0" w:color="000000"/>
            </w:tcBorders>
          </w:tcPr>
          <w:p w14:paraId="6C1C8266" w14:textId="77777777" w:rsidR="00BE0B19" w:rsidRPr="00AE47C6" w:rsidRDefault="00BE0B19" w:rsidP="00BE0B19">
            <w:pPr>
              <w:spacing w:after="0" w:line="360" w:lineRule="auto"/>
              <w:ind w:left="236"/>
              <w:jc w:val="both"/>
              <w:rPr>
                <w:rFonts w:ascii="Times New Roman" w:eastAsia="SimSun" w:hAnsi="Times New Roman"/>
                <w:b/>
                <w:bCs/>
                <w:sz w:val="24"/>
                <w:szCs w:val="24"/>
              </w:rPr>
            </w:pPr>
            <w:r w:rsidRPr="00AE47C6">
              <w:rPr>
                <w:rFonts w:ascii="Times New Roman" w:eastAsia="SimSun" w:hAnsi="Times New Roman"/>
                <w:b/>
                <w:bCs/>
                <w:sz w:val="24"/>
                <w:szCs w:val="24"/>
              </w:rPr>
              <w:t>Невротоксични стр. реакции</w:t>
            </w:r>
          </w:p>
        </w:tc>
      </w:tr>
      <w:tr w:rsidR="00BE0B19" w:rsidRPr="00AE47C6" w14:paraId="552CF560" w14:textId="77777777" w:rsidTr="00AD72E5">
        <w:trPr>
          <w:trHeight w:val="345"/>
          <w:tblCellSpacing w:w="0" w:type="dxa"/>
          <w:jc w:val="center"/>
        </w:trPr>
        <w:tc>
          <w:tcPr>
            <w:tcW w:w="3003" w:type="dxa"/>
            <w:tcBorders>
              <w:top w:val="single" w:sz="6" w:space="0" w:color="000000"/>
              <w:left w:val="single" w:sz="12" w:space="0" w:color="000000"/>
              <w:bottom w:val="single" w:sz="6" w:space="0" w:color="000000"/>
              <w:right w:val="single" w:sz="6" w:space="0" w:color="000000"/>
            </w:tcBorders>
          </w:tcPr>
          <w:p w14:paraId="13B4AAF8" w14:textId="77777777" w:rsidR="00BE0B19" w:rsidRPr="00AE47C6" w:rsidRDefault="00BE0B19" w:rsidP="00BE0B19">
            <w:pPr>
              <w:spacing w:after="0" w:line="360" w:lineRule="auto"/>
              <w:ind w:left="236"/>
              <w:jc w:val="both"/>
              <w:rPr>
                <w:rFonts w:ascii="Times New Roman" w:eastAsia="SimSun" w:hAnsi="Times New Roman"/>
                <w:sz w:val="24"/>
                <w:szCs w:val="24"/>
              </w:rPr>
            </w:pPr>
            <w:r w:rsidRPr="00AE47C6">
              <w:rPr>
                <w:rFonts w:ascii="Times New Roman" w:eastAsia="SimSun" w:hAnsi="Times New Roman"/>
                <w:sz w:val="24"/>
                <w:szCs w:val="24"/>
              </w:rPr>
              <w:t>LEV</w:t>
            </w:r>
          </w:p>
        </w:tc>
        <w:tc>
          <w:tcPr>
            <w:tcW w:w="2420" w:type="dxa"/>
            <w:tcBorders>
              <w:top w:val="single" w:sz="6" w:space="0" w:color="000000"/>
              <w:left w:val="single" w:sz="6" w:space="0" w:color="000000"/>
              <w:bottom w:val="single" w:sz="6" w:space="0" w:color="000000"/>
              <w:right w:val="single" w:sz="6" w:space="0" w:color="000000"/>
            </w:tcBorders>
          </w:tcPr>
          <w:p w14:paraId="150FB647" w14:textId="77777777" w:rsidR="00BE0B19" w:rsidRPr="00AE47C6" w:rsidRDefault="00BE0B19" w:rsidP="00BE0B19">
            <w:pPr>
              <w:spacing w:after="0" w:line="360" w:lineRule="auto"/>
              <w:ind w:left="236"/>
              <w:rPr>
                <w:rFonts w:ascii="Times New Roman" w:eastAsia="SimSun" w:hAnsi="Times New Roman"/>
                <w:sz w:val="24"/>
                <w:szCs w:val="24"/>
              </w:rPr>
            </w:pPr>
            <w:r w:rsidRPr="00AE47C6">
              <w:rPr>
                <w:rFonts w:ascii="Times New Roman" w:eastAsia="SimSun" w:hAnsi="Times New Roman"/>
                <w:sz w:val="24"/>
                <w:szCs w:val="24"/>
              </w:rPr>
              <w:t>+</w:t>
            </w:r>
          </w:p>
        </w:tc>
        <w:tc>
          <w:tcPr>
            <w:tcW w:w="3550" w:type="dxa"/>
            <w:tcBorders>
              <w:top w:val="single" w:sz="6" w:space="0" w:color="000000"/>
              <w:left w:val="single" w:sz="6" w:space="0" w:color="000000"/>
              <w:bottom w:val="single" w:sz="6" w:space="0" w:color="000000"/>
              <w:right w:val="single" w:sz="12" w:space="0" w:color="000000"/>
            </w:tcBorders>
          </w:tcPr>
          <w:p w14:paraId="16D06E87" w14:textId="77777777" w:rsidR="00BE0B19" w:rsidRPr="00AE47C6" w:rsidRDefault="00BE0B19" w:rsidP="00BE0B19">
            <w:pPr>
              <w:spacing w:after="0" w:line="360" w:lineRule="auto"/>
              <w:ind w:left="236"/>
              <w:jc w:val="both"/>
              <w:rPr>
                <w:rFonts w:ascii="Times New Roman" w:eastAsia="SimSun" w:hAnsi="Times New Roman"/>
                <w:b/>
                <w:bCs/>
                <w:sz w:val="24"/>
                <w:szCs w:val="24"/>
              </w:rPr>
            </w:pPr>
            <w:r w:rsidRPr="00AE47C6">
              <w:rPr>
                <w:rFonts w:ascii="Times New Roman" w:eastAsia="SimSun" w:hAnsi="Times New Roman"/>
                <w:b/>
                <w:bCs/>
                <w:sz w:val="24"/>
                <w:szCs w:val="24"/>
              </w:rPr>
              <w:t>Синергизъм</w:t>
            </w:r>
          </w:p>
        </w:tc>
      </w:tr>
      <w:tr w:rsidR="00BE0B19" w:rsidRPr="00AE47C6" w14:paraId="5869AC4D" w14:textId="77777777" w:rsidTr="00AD72E5">
        <w:trPr>
          <w:trHeight w:val="345"/>
          <w:tblCellSpacing w:w="0" w:type="dxa"/>
          <w:jc w:val="center"/>
        </w:trPr>
        <w:tc>
          <w:tcPr>
            <w:tcW w:w="3003" w:type="dxa"/>
            <w:tcBorders>
              <w:top w:val="single" w:sz="6" w:space="0" w:color="000000"/>
              <w:left w:val="single" w:sz="12" w:space="0" w:color="000000"/>
              <w:bottom w:val="single" w:sz="6" w:space="0" w:color="000000"/>
              <w:right w:val="single" w:sz="6" w:space="0" w:color="000000"/>
            </w:tcBorders>
          </w:tcPr>
          <w:p w14:paraId="38CE56E4" w14:textId="77777777" w:rsidR="00BE0B19" w:rsidRPr="00AE47C6" w:rsidRDefault="00BE0B19" w:rsidP="00BE0B19">
            <w:pPr>
              <w:spacing w:after="0" w:line="360" w:lineRule="auto"/>
              <w:ind w:left="236"/>
              <w:jc w:val="both"/>
              <w:rPr>
                <w:rFonts w:ascii="Times New Roman" w:eastAsia="SimSun" w:hAnsi="Times New Roman"/>
                <w:sz w:val="24"/>
                <w:szCs w:val="24"/>
              </w:rPr>
            </w:pPr>
            <w:r w:rsidRPr="00AE47C6">
              <w:rPr>
                <w:rFonts w:ascii="Times New Roman" w:eastAsia="SimSun" w:hAnsi="Times New Roman"/>
                <w:sz w:val="24"/>
                <w:szCs w:val="24"/>
              </w:rPr>
              <w:t>BRV</w:t>
            </w:r>
          </w:p>
        </w:tc>
        <w:tc>
          <w:tcPr>
            <w:tcW w:w="2420" w:type="dxa"/>
            <w:tcBorders>
              <w:top w:val="single" w:sz="6" w:space="0" w:color="000000"/>
              <w:left w:val="single" w:sz="6" w:space="0" w:color="000000"/>
              <w:bottom w:val="single" w:sz="6" w:space="0" w:color="000000"/>
              <w:right w:val="single" w:sz="6" w:space="0" w:color="000000"/>
            </w:tcBorders>
          </w:tcPr>
          <w:p w14:paraId="5EE83BB2" w14:textId="77777777" w:rsidR="00BE0B19" w:rsidRPr="00AE47C6" w:rsidRDefault="00BE0B19" w:rsidP="00BE0B19">
            <w:pPr>
              <w:spacing w:after="0" w:line="360" w:lineRule="auto"/>
              <w:ind w:left="236"/>
              <w:rPr>
                <w:rFonts w:ascii="Times New Roman" w:eastAsia="SimSun" w:hAnsi="Times New Roman"/>
                <w:sz w:val="24"/>
                <w:szCs w:val="24"/>
              </w:rPr>
            </w:pPr>
            <w:r w:rsidRPr="00AE47C6">
              <w:rPr>
                <w:rFonts w:ascii="Times New Roman" w:eastAsia="SimSun" w:hAnsi="Times New Roman"/>
                <w:sz w:val="24"/>
                <w:szCs w:val="24"/>
              </w:rPr>
              <w:t>+</w:t>
            </w:r>
          </w:p>
        </w:tc>
        <w:tc>
          <w:tcPr>
            <w:tcW w:w="3550" w:type="dxa"/>
            <w:tcBorders>
              <w:top w:val="single" w:sz="6" w:space="0" w:color="000000"/>
              <w:left w:val="single" w:sz="6" w:space="0" w:color="000000"/>
              <w:bottom w:val="single" w:sz="6" w:space="0" w:color="000000"/>
              <w:right w:val="single" w:sz="12" w:space="0" w:color="000000"/>
            </w:tcBorders>
          </w:tcPr>
          <w:p w14:paraId="0E4717D3" w14:textId="77777777" w:rsidR="00BE0B19" w:rsidRPr="00AE47C6" w:rsidRDefault="00BE0B19" w:rsidP="00BE0B19">
            <w:pPr>
              <w:spacing w:after="0" w:line="360" w:lineRule="auto"/>
              <w:ind w:left="236"/>
              <w:jc w:val="both"/>
              <w:rPr>
                <w:rFonts w:ascii="Times New Roman" w:eastAsia="SimSun" w:hAnsi="Times New Roman"/>
                <w:b/>
                <w:bCs/>
                <w:sz w:val="24"/>
                <w:szCs w:val="24"/>
              </w:rPr>
            </w:pPr>
            <w:r w:rsidRPr="00AE47C6">
              <w:rPr>
                <w:rFonts w:ascii="Times New Roman" w:eastAsia="SimSun" w:hAnsi="Times New Roman"/>
                <w:b/>
                <w:bCs/>
                <w:sz w:val="24"/>
                <w:szCs w:val="24"/>
              </w:rPr>
              <w:t>Синергизъм?</w:t>
            </w:r>
          </w:p>
        </w:tc>
      </w:tr>
      <w:tr w:rsidR="00BE0B19" w:rsidRPr="00AE47C6" w14:paraId="59374BFC" w14:textId="77777777" w:rsidTr="00AD72E5">
        <w:trPr>
          <w:trHeight w:val="315"/>
          <w:tblCellSpacing w:w="0" w:type="dxa"/>
          <w:jc w:val="center"/>
        </w:trPr>
        <w:tc>
          <w:tcPr>
            <w:tcW w:w="8973" w:type="dxa"/>
            <w:gridSpan w:val="3"/>
            <w:tcBorders>
              <w:top w:val="single" w:sz="6" w:space="0" w:color="000000"/>
              <w:left w:val="single" w:sz="12" w:space="0" w:color="000000"/>
              <w:bottom w:val="single" w:sz="6" w:space="0" w:color="000000"/>
            </w:tcBorders>
          </w:tcPr>
          <w:p w14:paraId="6903FE15" w14:textId="77777777" w:rsidR="00BE0B19" w:rsidRPr="00AE47C6" w:rsidRDefault="00BE0B19" w:rsidP="00BE0B19">
            <w:pPr>
              <w:spacing w:after="0" w:line="360" w:lineRule="auto"/>
              <w:ind w:left="236"/>
              <w:rPr>
                <w:rFonts w:ascii="Times New Roman" w:eastAsia="SimSun" w:hAnsi="Times New Roman"/>
                <w:sz w:val="24"/>
                <w:szCs w:val="24"/>
              </w:rPr>
            </w:pPr>
            <w:r w:rsidRPr="00AE47C6">
              <w:rPr>
                <w:rFonts w:ascii="Times New Roman" w:eastAsia="SimSun" w:hAnsi="Times New Roman"/>
                <w:sz w:val="24"/>
                <w:szCs w:val="24"/>
              </w:rPr>
              <w:t>LTG или OXC+</w:t>
            </w:r>
          </w:p>
        </w:tc>
      </w:tr>
      <w:tr w:rsidR="00BE0B19" w:rsidRPr="00AE47C6" w14:paraId="1F107EC6" w14:textId="77777777" w:rsidTr="00AD72E5">
        <w:trPr>
          <w:trHeight w:val="345"/>
          <w:tblCellSpacing w:w="0" w:type="dxa"/>
          <w:jc w:val="center"/>
        </w:trPr>
        <w:tc>
          <w:tcPr>
            <w:tcW w:w="3003" w:type="dxa"/>
            <w:tcBorders>
              <w:top w:val="single" w:sz="6" w:space="0" w:color="000000"/>
              <w:left w:val="single" w:sz="12" w:space="0" w:color="000000"/>
              <w:bottom w:val="single" w:sz="6" w:space="0" w:color="000000"/>
              <w:right w:val="single" w:sz="6" w:space="0" w:color="000000"/>
            </w:tcBorders>
          </w:tcPr>
          <w:p w14:paraId="396AF304" w14:textId="77777777" w:rsidR="00BE0B19" w:rsidRPr="00AE47C6" w:rsidRDefault="00BE0B19" w:rsidP="00BE0B19">
            <w:pPr>
              <w:spacing w:after="0" w:line="360" w:lineRule="auto"/>
              <w:ind w:left="236"/>
              <w:jc w:val="both"/>
              <w:rPr>
                <w:rFonts w:ascii="Times New Roman" w:eastAsia="SimSun" w:hAnsi="Times New Roman"/>
                <w:sz w:val="24"/>
                <w:szCs w:val="24"/>
              </w:rPr>
            </w:pPr>
            <w:r w:rsidRPr="00AE47C6">
              <w:rPr>
                <w:rFonts w:ascii="Times New Roman" w:eastAsia="SimSun" w:hAnsi="Times New Roman"/>
                <w:sz w:val="24"/>
                <w:szCs w:val="24"/>
              </w:rPr>
              <w:t>Gabapentin</w:t>
            </w:r>
          </w:p>
        </w:tc>
        <w:tc>
          <w:tcPr>
            <w:tcW w:w="2420" w:type="dxa"/>
            <w:tcBorders>
              <w:top w:val="single" w:sz="6" w:space="0" w:color="000000"/>
              <w:left w:val="single" w:sz="6" w:space="0" w:color="000000"/>
              <w:bottom w:val="single" w:sz="6" w:space="0" w:color="000000"/>
              <w:right w:val="single" w:sz="6" w:space="0" w:color="000000"/>
            </w:tcBorders>
          </w:tcPr>
          <w:p w14:paraId="56F9AC94" w14:textId="77777777" w:rsidR="00BE0B19" w:rsidRPr="00AE47C6" w:rsidRDefault="00BE0B19" w:rsidP="00BE0B19">
            <w:pPr>
              <w:spacing w:after="0" w:line="360" w:lineRule="auto"/>
              <w:ind w:left="236"/>
              <w:rPr>
                <w:rFonts w:ascii="Times New Roman" w:eastAsia="SimSun" w:hAnsi="Times New Roman"/>
                <w:sz w:val="24"/>
                <w:szCs w:val="24"/>
              </w:rPr>
            </w:pPr>
            <w:r w:rsidRPr="00AE47C6">
              <w:rPr>
                <w:rFonts w:ascii="Times New Roman" w:eastAsia="SimSun" w:hAnsi="Times New Roman"/>
                <w:sz w:val="24"/>
                <w:szCs w:val="24"/>
              </w:rPr>
              <w:t>++</w:t>
            </w:r>
          </w:p>
        </w:tc>
        <w:tc>
          <w:tcPr>
            <w:tcW w:w="3550" w:type="dxa"/>
            <w:tcBorders>
              <w:top w:val="single" w:sz="6" w:space="0" w:color="000000"/>
              <w:left w:val="single" w:sz="6" w:space="0" w:color="000000"/>
              <w:bottom w:val="single" w:sz="6" w:space="0" w:color="000000"/>
              <w:right w:val="single" w:sz="12" w:space="0" w:color="000000"/>
            </w:tcBorders>
          </w:tcPr>
          <w:p w14:paraId="435E9896" w14:textId="77777777" w:rsidR="00BE0B19" w:rsidRPr="00AE47C6" w:rsidRDefault="00BE0B19" w:rsidP="00BE0B19">
            <w:pPr>
              <w:spacing w:after="0" w:line="360" w:lineRule="auto"/>
              <w:ind w:left="236"/>
              <w:jc w:val="both"/>
              <w:rPr>
                <w:rFonts w:ascii="Times New Roman" w:eastAsia="SimSun" w:hAnsi="Times New Roman"/>
                <w:b/>
                <w:bCs/>
                <w:sz w:val="24"/>
                <w:szCs w:val="24"/>
              </w:rPr>
            </w:pPr>
            <w:r w:rsidRPr="00AE47C6">
              <w:rPr>
                <w:rFonts w:ascii="Times New Roman" w:eastAsia="SimSun" w:hAnsi="Times New Roman"/>
                <w:b/>
                <w:bCs/>
                <w:sz w:val="24"/>
                <w:szCs w:val="24"/>
              </w:rPr>
              <w:t>Синергизъм</w:t>
            </w:r>
          </w:p>
        </w:tc>
      </w:tr>
      <w:tr w:rsidR="00BE0B19" w:rsidRPr="00AE47C6" w14:paraId="22B4CD4E" w14:textId="77777777" w:rsidTr="00AD72E5">
        <w:trPr>
          <w:trHeight w:val="345"/>
          <w:tblCellSpacing w:w="0" w:type="dxa"/>
          <w:jc w:val="center"/>
        </w:trPr>
        <w:tc>
          <w:tcPr>
            <w:tcW w:w="3003" w:type="dxa"/>
            <w:tcBorders>
              <w:top w:val="single" w:sz="6" w:space="0" w:color="000000"/>
              <w:left w:val="single" w:sz="12" w:space="0" w:color="000000"/>
              <w:bottom w:val="single" w:sz="6" w:space="0" w:color="000000"/>
              <w:right w:val="single" w:sz="6" w:space="0" w:color="000000"/>
            </w:tcBorders>
          </w:tcPr>
          <w:p w14:paraId="56DC21F5" w14:textId="77777777" w:rsidR="00BE0B19" w:rsidRPr="00AE47C6" w:rsidRDefault="00BE0B19" w:rsidP="00BE0B19">
            <w:pPr>
              <w:spacing w:after="0" w:line="360" w:lineRule="auto"/>
              <w:ind w:left="236"/>
              <w:jc w:val="both"/>
              <w:rPr>
                <w:rFonts w:ascii="Times New Roman" w:eastAsia="SimSun" w:hAnsi="Times New Roman"/>
                <w:sz w:val="24"/>
                <w:szCs w:val="24"/>
              </w:rPr>
            </w:pPr>
            <w:r w:rsidRPr="00AE47C6">
              <w:rPr>
                <w:rFonts w:ascii="Times New Roman" w:eastAsia="SimSun" w:hAnsi="Times New Roman"/>
                <w:sz w:val="24"/>
                <w:szCs w:val="24"/>
              </w:rPr>
              <w:t>Pregabalin</w:t>
            </w:r>
          </w:p>
        </w:tc>
        <w:tc>
          <w:tcPr>
            <w:tcW w:w="2420" w:type="dxa"/>
            <w:tcBorders>
              <w:top w:val="single" w:sz="6" w:space="0" w:color="000000"/>
              <w:left w:val="single" w:sz="6" w:space="0" w:color="000000"/>
              <w:bottom w:val="single" w:sz="6" w:space="0" w:color="000000"/>
              <w:right w:val="single" w:sz="6" w:space="0" w:color="000000"/>
            </w:tcBorders>
          </w:tcPr>
          <w:p w14:paraId="560F9E67" w14:textId="77777777" w:rsidR="00BE0B19" w:rsidRPr="00AE47C6" w:rsidRDefault="00BE0B19" w:rsidP="00BE0B19">
            <w:pPr>
              <w:spacing w:after="0" w:line="360" w:lineRule="auto"/>
              <w:ind w:left="236"/>
              <w:rPr>
                <w:rFonts w:ascii="Times New Roman" w:eastAsia="SimSun" w:hAnsi="Times New Roman"/>
                <w:sz w:val="24"/>
                <w:szCs w:val="24"/>
              </w:rPr>
            </w:pPr>
            <w:r w:rsidRPr="00AE47C6">
              <w:rPr>
                <w:rFonts w:ascii="Times New Roman" w:eastAsia="SimSun" w:hAnsi="Times New Roman"/>
                <w:sz w:val="24"/>
                <w:szCs w:val="24"/>
              </w:rPr>
              <w:t>++</w:t>
            </w:r>
          </w:p>
        </w:tc>
        <w:tc>
          <w:tcPr>
            <w:tcW w:w="3550" w:type="dxa"/>
            <w:tcBorders>
              <w:top w:val="single" w:sz="6" w:space="0" w:color="000000"/>
              <w:left w:val="single" w:sz="6" w:space="0" w:color="000000"/>
              <w:bottom w:val="single" w:sz="6" w:space="0" w:color="000000"/>
              <w:right w:val="single" w:sz="12" w:space="0" w:color="000000"/>
            </w:tcBorders>
          </w:tcPr>
          <w:p w14:paraId="303CAC90" w14:textId="77777777" w:rsidR="00BE0B19" w:rsidRPr="00AE47C6" w:rsidRDefault="00BE0B19" w:rsidP="00BE0B19">
            <w:pPr>
              <w:spacing w:after="0" w:line="360" w:lineRule="auto"/>
              <w:ind w:left="236"/>
              <w:jc w:val="both"/>
              <w:rPr>
                <w:rFonts w:ascii="Times New Roman" w:eastAsia="SimSun" w:hAnsi="Times New Roman"/>
                <w:b/>
                <w:bCs/>
                <w:sz w:val="24"/>
                <w:szCs w:val="24"/>
              </w:rPr>
            </w:pPr>
            <w:r w:rsidRPr="00AE47C6">
              <w:rPr>
                <w:rFonts w:ascii="Times New Roman" w:eastAsia="SimSun" w:hAnsi="Times New Roman"/>
                <w:b/>
                <w:bCs/>
                <w:sz w:val="24"/>
                <w:szCs w:val="24"/>
              </w:rPr>
              <w:t>Синергизъм</w:t>
            </w:r>
          </w:p>
        </w:tc>
      </w:tr>
      <w:tr w:rsidR="00BE0B19" w:rsidRPr="00AE47C6" w14:paraId="48B94479" w14:textId="77777777" w:rsidTr="00AD72E5">
        <w:trPr>
          <w:trHeight w:val="345"/>
          <w:tblCellSpacing w:w="0" w:type="dxa"/>
          <w:jc w:val="center"/>
        </w:trPr>
        <w:tc>
          <w:tcPr>
            <w:tcW w:w="3003" w:type="dxa"/>
            <w:tcBorders>
              <w:top w:val="single" w:sz="6" w:space="0" w:color="000000"/>
              <w:left w:val="single" w:sz="12" w:space="0" w:color="000000"/>
              <w:bottom w:val="single" w:sz="6" w:space="0" w:color="000000"/>
              <w:right w:val="single" w:sz="6" w:space="0" w:color="000000"/>
            </w:tcBorders>
          </w:tcPr>
          <w:p w14:paraId="0D34FDA2" w14:textId="77777777" w:rsidR="00BE0B19" w:rsidRPr="00AE47C6" w:rsidRDefault="00BE0B19" w:rsidP="00BE0B19">
            <w:pPr>
              <w:spacing w:after="0" w:line="360" w:lineRule="auto"/>
              <w:ind w:left="236"/>
              <w:jc w:val="both"/>
              <w:rPr>
                <w:rFonts w:ascii="Times New Roman" w:eastAsia="SimSun" w:hAnsi="Times New Roman"/>
                <w:sz w:val="24"/>
                <w:szCs w:val="24"/>
              </w:rPr>
            </w:pPr>
            <w:r w:rsidRPr="00AE47C6">
              <w:rPr>
                <w:rFonts w:ascii="Times New Roman" w:eastAsia="SimSun" w:hAnsi="Times New Roman"/>
                <w:sz w:val="24"/>
                <w:szCs w:val="24"/>
              </w:rPr>
              <w:t>LEV</w:t>
            </w:r>
          </w:p>
        </w:tc>
        <w:tc>
          <w:tcPr>
            <w:tcW w:w="2420" w:type="dxa"/>
            <w:tcBorders>
              <w:top w:val="single" w:sz="6" w:space="0" w:color="000000"/>
              <w:left w:val="single" w:sz="6" w:space="0" w:color="000000"/>
              <w:bottom w:val="single" w:sz="6" w:space="0" w:color="000000"/>
              <w:right w:val="single" w:sz="6" w:space="0" w:color="000000"/>
            </w:tcBorders>
          </w:tcPr>
          <w:p w14:paraId="44F2F097" w14:textId="77777777" w:rsidR="00BE0B19" w:rsidRPr="00AE47C6" w:rsidRDefault="00BE0B19" w:rsidP="00BE0B19">
            <w:pPr>
              <w:spacing w:after="0" w:line="360" w:lineRule="auto"/>
              <w:ind w:left="236"/>
              <w:rPr>
                <w:rFonts w:ascii="Times New Roman" w:eastAsia="SimSun" w:hAnsi="Times New Roman"/>
                <w:sz w:val="24"/>
                <w:szCs w:val="24"/>
              </w:rPr>
            </w:pPr>
            <w:r w:rsidRPr="00AE47C6">
              <w:rPr>
                <w:rFonts w:ascii="Times New Roman" w:eastAsia="SimSun" w:hAnsi="Times New Roman"/>
                <w:sz w:val="24"/>
                <w:szCs w:val="24"/>
              </w:rPr>
              <w:t>++</w:t>
            </w:r>
          </w:p>
        </w:tc>
        <w:tc>
          <w:tcPr>
            <w:tcW w:w="3550" w:type="dxa"/>
            <w:tcBorders>
              <w:top w:val="single" w:sz="6" w:space="0" w:color="000000"/>
              <w:left w:val="single" w:sz="6" w:space="0" w:color="000000"/>
              <w:bottom w:val="single" w:sz="6" w:space="0" w:color="000000"/>
              <w:right w:val="single" w:sz="12" w:space="0" w:color="000000"/>
            </w:tcBorders>
          </w:tcPr>
          <w:p w14:paraId="3704A84C" w14:textId="77777777" w:rsidR="00BE0B19" w:rsidRPr="00AE47C6" w:rsidRDefault="00BE0B19" w:rsidP="00BE0B19">
            <w:pPr>
              <w:spacing w:after="0" w:line="360" w:lineRule="auto"/>
              <w:ind w:left="236"/>
              <w:jc w:val="both"/>
              <w:rPr>
                <w:rFonts w:ascii="Times New Roman" w:eastAsia="SimSun" w:hAnsi="Times New Roman"/>
                <w:b/>
                <w:bCs/>
                <w:sz w:val="24"/>
                <w:szCs w:val="24"/>
              </w:rPr>
            </w:pPr>
            <w:r w:rsidRPr="00AE47C6">
              <w:rPr>
                <w:rFonts w:ascii="Times New Roman" w:eastAsia="SimSun" w:hAnsi="Times New Roman"/>
                <w:b/>
                <w:bCs/>
                <w:sz w:val="24"/>
                <w:szCs w:val="24"/>
              </w:rPr>
              <w:t>Синергизъм</w:t>
            </w:r>
          </w:p>
        </w:tc>
      </w:tr>
      <w:tr w:rsidR="00BE0B19" w:rsidRPr="00AE47C6" w14:paraId="643C56C9" w14:textId="77777777" w:rsidTr="00AD72E5">
        <w:trPr>
          <w:trHeight w:val="345"/>
          <w:tblCellSpacing w:w="0" w:type="dxa"/>
          <w:jc w:val="center"/>
        </w:trPr>
        <w:tc>
          <w:tcPr>
            <w:tcW w:w="3003" w:type="dxa"/>
            <w:tcBorders>
              <w:top w:val="single" w:sz="6" w:space="0" w:color="000000"/>
              <w:left w:val="single" w:sz="12" w:space="0" w:color="000000"/>
              <w:bottom w:val="single" w:sz="6" w:space="0" w:color="000000"/>
              <w:right w:val="single" w:sz="6" w:space="0" w:color="000000"/>
            </w:tcBorders>
          </w:tcPr>
          <w:p w14:paraId="0684C022" w14:textId="77777777" w:rsidR="00BE0B19" w:rsidRPr="00AE47C6" w:rsidRDefault="00BE0B19" w:rsidP="00BE0B19">
            <w:pPr>
              <w:spacing w:after="0" w:line="360" w:lineRule="auto"/>
              <w:ind w:left="236"/>
              <w:jc w:val="both"/>
              <w:rPr>
                <w:rFonts w:ascii="Times New Roman" w:eastAsia="SimSun" w:hAnsi="Times New Roman"/>
                <w:sz w:val="24"/>
                <w:szCs w:val="24"/>
              </w:rPr>
            </w:pPr>
            <w:r w:rsidRPr="00AE47C6">
              <w:rPr>
                <w:rFonts w:ascii="Times New Roman" w:eastAsia="SimSun" w:hAnsi="Times New Roman"/>
                <w:sz w:val="24"/>
                <w:szCs w:val="24"/>
              </w:rPr>
              <w:t>BRV</w:t>
            </w:r>
          </w:p>
        </w:tc>
        <w:tc>
          <w:tcPr>
            <w:tcW w:w="2420" w:type="dxa"/>
            <w:tcBorders>
              <w:top w:val="single" w:sz="6" w:space="0" w:color="000000"/>
              <w:left w:val="single" w:sz="6" w:space="0" w:color="000000"/>
              <w:bottom w:val="single" w:sz="6" w:space="0" w:color="000000"/>
              <w:right w:val="single" w:sz="6" w:space="0" w:color="000000"/>
            </w:tcBorders>
          </w:tcPr>
          <w:p w14:paraId="2DCB9A97" w14:textId="77777777" w:rsidR="00BE0B19" w:rsidRPr="00AE47C6" w:rsidRDefault="00BE0B19" w:rsidP="00BE0B19">
            <w:pPr>
              <w:spacing w:after="0" w:line="360" w:lineRule="auto"/>
              <w:ind w:left="236"/>
              <w:rPr>
                <w:rFonts w:ascii="Times New Roman" w:eastAsia="SimSun" w:hAnsi="Times New Roman"/>
                <w:sz w:val="24"/>
                <w:szCs w:val="24"/>
              </w:rPr>
            </w:pPr>
            <w:r w:rsidRPr="00AE47C6">
              <w:rPr>
                <w:rFonts w:ascii="Times New Roman" w:eastAsia="SimSun" w:hAnsi="Times New Roman"/>
                <w:sz w:val="24"/>
                <w:szCs w:val="24"/>
              </w:rPr>
              <w:t>++</w:t>
            </w:r>
          </w:p>
        </w:tc>
        <w:tc>
          <w:tcPr>
            <w:tcW w:w="3550" w:type="dxa"/>
            <w:tcBorders>
              <w:top w:val="single" w:sz="6" w:space="0" w:color="000000"/>
              <w:left w:val="single" w:sz="6" w:space="0" w:color="000000"/>
              <w:bottom w:val="single" w:sz="6" w:space="0" w:color="000000"/>
              <w:right w:val="single" w:sz="12" w:space="0" w:color="000000"/>
            </w:tcBorders>
          </w:tcPr>
          <w:p w14:paraId="76F65C35" w14:textId="77777777" w:rsidR="00BE0B19" w:rsidRPr="00AE47C6" w:rsidRDefault="00BE0B19" w:rsidP="00BE0B19">
            <w:pPr>
              <w:spacing w:after="0" w:line="360" w:lineRule="auto"/>
              <w:ind w:left="236"/>
              <w:jc w:val="both"/>
              <w:rPr>
                <w:rFonts w:ascii="Times New Roman" w:eastAsia="SimSun" w:hAnsi="Times New Roman"/>
                <w:b/>
                <w:bCs/>
                <w:sz w:val="24"/>
                <w:szCs w:val="24"/>
              </w:rPr>
            </w:pPr>
            <w:r w:rsidRPr="00AE47C6">
              <w:rPr>
                <w:rFonts w:ascii="Times New Roman" w:eastAsia="SimSun" w:hAnsi="Times New Roman"/>
                <w:b/>
                <w:bCs/>
                <w:sz w:val="24"/>
                <w:szCs w:val="24"/>
              </w:rPr>
              <w:t>Синергизъм?</w:t>
            </w:r>
          </w:p>
        </w:tc>
      </w:tr>
      <w:tr w:rsidR="00BE0B19" w:rsidRPr="00AE47C6" w14:paraId="590A2E86" w14:textId="77777777" w:rsidTr="00AD72E5">
        <w:trPr>
          <w:trHeight w:val="345"/>
          <w:tblCellSpacing w:w="0" w:type="dxa"/>
          <w:jc w:val="center"/>
        </w:trPr>
        <w:tc>
          <w:tcPr>
            <w:tcW w:w="3003" w:type="dxa"/>
            <w:tcBorders>
              <w:top w:val="single" w:sz="6" w:space="0" w:color="000000"/>
              <w:left w:val="single" w:sz="12" w:space="0" w:color="000000"/>
              <w:bottom w:val="single" w:sz="6" w:space="0" w:color="000000"/>
              <w:right w:val="single" w:sz="6" w:space="0" w:color="000000"/>
            </w:tcBorders>
          </w:tcPr>
          <w:p w14:paraId="79DA4ED5" w14:textId="77777777" w:rsidR="00BE0B19" w:rsidRPr="00AE47C6" w:rsidRDefault="00BE0B19" w:rsidP="00BE0B19">
            <w:pPr>
              <w:spacing w:after="0" w:line="360" w:lineRule="auto"/>
              <w:ind w:left="236"/>
              <w:jc w:val="both"/>
              <w:rPr>
                <w:rFonts w:ascii="Times New Roman" w:eastAsia="SimSun" w:hAnsi="Times New Roman"/>
                <w:sz w:val="24"/>
                <w:szCs w:val="24"/>
              </w:rPr>
            </w:pPr>
            <w:r w:rsidRPr="00AE47C6">
              <w:rPr>
                <w:rFonts w:ascii="Times New Roman" w:eastAsia="SimSun" w:hAnsi="Times New Roman"/>
                <w:sz w:val="24"/>
                <w:szCs w:val="24"/>
              </w:rPr>
              <w:t>TPM</w:t>
            </w:r>
          </w:p>
        </w:tc>
        <w:tc>
          <w:tcPr>
            <w:tcW w:w="2420" w:type="dxa"/>
            <w:tcBorders>
              <w:top w:val="single" w:sz="6" w:space="0" w:color="000000"/>
              <w:left w:val="single" w:sz="6" w:space="0" w:color="000000"/>
              <w:bottom w:val="single" w:sz="6" w:space="0" w:color="000000"/>
              <w:right w:val="single" w:sz="6" w:space="0" w:color="000000"/>
            </w:tcBorders>
          </w:tcPr>
          <w:p w14:paraId="470F3E36" w14:textId="77777777" w:rsidR="00BE0B19" w:rsidRPr="00AE47C6" w:rsidRDefault="00BE0B19" w:rsidP="00BE0B19">
            <w:pPr>
              <w:spacing w:after="0" w:line="360" w:lineRule="auto"/>
              <w:ind w:left="236"/>
              <w:rPr>
                <w:rFonts w:ascii="Times New Roman" w:eastAsia="SimSun" w:hAnsi="Times New Roman"/>
                <w:sz w:val="24"/>
                <w:szCs w:val="24"/>
              </w:rPr>
            </w:pPr>
            <w:r w:rsidRPr="00AE47C6">
              <w:rPr>
                <w:rFonts w:ascii="Times New Roman" w:eastAsia="SimSun" w:hAnsi="Times New Roman"/>
                <w:sz w:val="24"/>
                <w:szCs w:val="24"/>
              </w:rPr>
              <w:t>+</w:t>
            </w:r>
          </w:p>
        </w:tc>
        <w:tc>
          <w:tcPr>
            <w:tcW w:w="3550" w:type="dxa"/>
            <w:tcBorders>
              <w:top w:val="single" w:sz="6" w:space="0" w:color="000000"/>
              <w:left w:val="single" w:sz="6" w:space="0" w:color="000000"/>
              <w:bottom w:val="single" w:sz="6" w:space="0" w:color="000000"/>
              <w:right w:val="single" w:sz="12" w:space="0" w:color="000000"/>
            </w:tcBorders>
          </w:tcPr>
          <w:p w14:paraId="2ED268C6" w14:textId="77777777" w:rsidR="00BE0B19" w:rsidRPr="00AE47C6" w:rsidRDefault="00BE0B19" w:rsidP="00BE0B19">
            <w:pPr>
              <w:spacing w:after="0" w:line="360" w:lineRule="auto"/>
              <w:ind w:left="236"/>
              <w:jc w:val="both"/>
              <w:rPr>
                <w:rFonts w:ascii="Times New Roman" w:eastAsia="SimSun" w:hAnsi="Times New Roman"/>
                <w:b/>
                <w:bCs/>
                <w:sz w:val="24"/>
                <w:szCs w:val="24"/>
              </w:rPr>
            </w:pPr>
            <w:r w:rsidRPr="00AE47C6">
              <w:rPr>
                <w:rFonts w:ascii="Times New Roman" w:eastAsia="SimSun" w:hAnsi="Times New Roman"/>
                <w:b/>
                <w:bCs/>
                <w:sz w:val="24"/>
                <w:szCs w:val="24"/>
              </w:rPr>
              <w:t>Синергизъм</w:t>
            </w:r>
          </w:p>
        </w:tc>
      </w:tr>
      <w:tr w:rsidR="00BE0B19" w:rsidRPr="00AE47C6" w14:paraId="189E9125" w14:textId="77777777" w:rsidTr="00AD72E5">
        <w:trPr>
          <w:trHeight w:val="315"/>
          <w:tblCellSpacing w:w="0" w:type="dxa"/>
          <w:jc w:val="center"/>
        </w:trPr>
        <w:tc>
          <w:tcPr>
            <w:tcW w:w="8973" w:type="dxa"/>
            <w:gridSpan w:val="3"/>
            <w:tcBorders>
              <w:top w:val="single" w:sz="6" w:space="0" w:color="000000"/>
              <w:left w:val="single" w:sz="12" w:space="0" w:color="000000"/>
              <w:bottom w:val="single" w:sz="6" w:space="0" w:color="000000"/>
            </w:tcBorders>
          </w:tcPr>
          <w:p w14:paraId="76A7A62A" w14:textId="77777777" w:rsidR="00BE0B19" w:rsidRPr="00AE47C6" w:rsidRDefault="00BE0B19" w:rsidP="00BE0B19">
            <w:pPr>
              <w:spacing w:after="0" w:line="360" w:lineRule="auto"/>
              <w:ind w:left="236"/>
              <w:rPr>
                <w:rFonts w:ascii="Times New Roman" w:eastAsia="SimSun" w:hAnsi="Times New Roman"/>
                <w:sz w:val="24"/>
                <w:szCs w:val="24"/>
              </w:rPr>
            </w:pPr>
            <w:r w:rsidRPr="00AE47C6">
              <w:rPr>
                <w:rFonts w:ascii="Times New Roman" w:eastAsia="SimSun" w:hAnsi="Times New Roman"/>
                <w:sz w:val="24"/>
                <w:szCs w:val="24"/>
              </w:rPr>
              <w:t>VPA +</w:t>
            </w:r>
          </w:p>
        </w:tc>
      </w:tr>
      <w:tr w:rsidR="00BE0B19" w:rsidRPr="00AE47C6" w14:paraId="2390B014" w14:textId="77777777" w:rsidTr="00AD72E5">
        <w:trPr>
          <w:trHeight w:val="315"/>
          <w:tblCellSpacing w:w="0" w:type="dxa"/>
          <w:jc w:val="center"/>
        </w:trPr>
        <w:tc>
          <w:tcPr>
            <w:tcW w:w="3003" w:type="dxa"/>
            <w:tcBorders>
              <w:top w:val="single" w:sz="6" w:space="0" w:color="000000"/>
              <w:left w:val="single" w:sz="12" w:space="0" w:color="000000"/>
              <w:bottom w:val="single" w:sz="6" w:space="0" w:color="000000"/>
              <w:right w:val="single" w:sz="6" w:space="0" w:color="000000"/>
            </w:tcBorders>
          </w:tcPr>
          <w:p w14:paraId="163303E6" w14:textId="77777777" w:rsidR="00BE0B19" w:rsidRPr="00AE47C6" w:rsidRDefault="00BE0B19" w:rsidP="00BE0B19">
            <w:pPr>
              <w:spacing w:after="0" w:line="360" w:lineRule="auto"/>
              <w:ind w:left="236"/>
              <w:jc w:val="both"/>
              <w:rPr>
                <w:rFonts w:ascii="Times New Roman" w:eastAsia="SimSun" w:hAnsi="Times New Roman"/>
                <w:sz w:val="24"/>
                <w:szCs w:val="24"/>
              </w:rPr>
            </w:pPr>
            <w:r w:rsidRPr="00AE47C6">
              <w:rPr>
                <w:rFonts w:ascii="Times New Roman" w:eastAsia="SimSun" w:hAnsi="Times New Roman"/>
                <w:sz w:val="24"/>
                <w:szCs w:val="24"/>
              </w:rPr>
              <w:t>PHT</w:t>
            </w:r>
          </w:p>
        </w:tc>
        <w:tc>
          <w:tcPr>
            <w:tcW w:w="2420" w:type="dxa"/>
            <w:tcBorders>
              <w:top w:val="single" w:sz="6" w:space="0" w:color="000000"/>
              <w:left w:val="single" w:sz="6" w:space="0" w:color="000000"/>
              <w:bottom w:val="single" w:sz="6" w:space="0" w:color="000000"/>
              <w:right w:val="single" w:sz="6" w:space="0" w:color="000000"/>
            </w:tcBorders>
          </w:tcPr>
          <w:p w14:paraId="3E293EA9" w14:textId="77777777" w:rsidR="00BE0B19" w:rsidRPr="00AE47C6" w:rsidRDefault="00BE0B19" w:rsidP="00BE0B19">
            <w:pPr>
              <w:spacing w:after="0" w:line="360" w:lineRule="auto"/>
              <w:ind w:left="236"/>
              <w:rPr>
                <w:rFonts w:ascii="Times New Roman" w:eastAsia="SimSun" w:hAnsi="Times New Roman"/>
                <w:sz w:val="24"/>
                <w:szCs w:val="24"/>
              </w:rPr>
            </w:pPr>
            <w:r w:rsidRPr="00AE47C6">
              <w:rPr>
                <w:rFonts w:ascii="Times New Roman" w:eastAsia="SimSun" w:hAnsi="Times New Roman"/>
                <w:sz w:val="24"/>
                <w:szCs w:val="24"/>
              </w:rPr>
              <w:t>-</w:t>
            </w:r>
          </w:p>
        </w:tc>
        <w:tc>
          <w:tcPr>
            <w:tcW w:w="3550" w:type="dxa"/>
            <w:tcBorders>
              <w:top w:val="single" w:sz="6" w:space="0" w:color="000000"/>
              <w:left w:val="single" w:sz="6" w:space="0" w:color="000000"/>
              <w:bottom w:val="single" w:sz="6" w:space="0" w:color="000000"/>
              <w:right w:val="single" w:sz="12" w:space="0" w:color="000000"/>
            </w:tcBorders>
          </w:tcPr>
          <w:p w14:paraId="4F55A466" w14:textId="77777777" w:rsidR="00BE0B19" w:rsidRPr="00AE47C6" w:rsidRDefault="00BE0B19" w:rsidP="00BE0B19">
            <w:pPr>
              <w:spacing w:after="0" w:line="360" w:lineRule="auto"/>
              <w:ind w:left="236"/>
              <w:jc w:val="both"/>
              <w:rPr>
                <w:rFonts w:ascii="Times New Roman" w:eastAsia="SimSun" w:hAnsi="Times New Roman"/>
                <w:sz w:val="24"/>
                <w:szCs w:val="24"/>
              </w:rPr>
            </w:pPr>
          </w:p>
        </w:tc>
      </w:tr>
      <w:tr w:rsidR="00BE0B19" w:rsidRPr="00AE47C6" w14:paraId="4F033F8A" w14:textId="77777777" w:rsidTr="00AD72E5">
        <w:trPr>
          <w:trHeight w:val="315"/>
          <w:tblCellSpacing w:w="0" w:type="dxa"/>
          <w:jc w:val="center"/>
        </w:trPr>
        <w:tc>
          <w:tcPr>
            <w:tcW w:w="3003" w:type="dxa"/>
            <w:tcBorders>
              <w:top w:val="single" w:sz="6" w:space="0" w:color="000000"/>
              <w:left w:val="single" w:sz="12" w:space="0" w:color="000000"/>
              <w:bottom w:val="single" w:sz="6" w:space="0" w:color="000000"/>
              <w:right w:val="single" w:sz="6" w:space="0" w:color="000000"/>
            </w:tcBorders>
          </w:tcPr>
          <w:p w14:paraId="00BFACA3" w14:textId="77777777" w:rsidR="00BE0B19" w:rsidRPr="00AE47C6" w:rsidRDefault="00BE0B19" w:rsidP="00BE0B19">
            <w:pPr>
              <w:spacing w:after="0" w:line="360" w:lineRule="auto"/>
              <w:ind w:left="236"/>
              <w:jc w:val="both"/>
              <w:rPr>
                <w:rFonts w:ascii="Times New Roman" w:eastAsia="SimSun" w:hAnsi="Times New Roman"/>
                <w:sz w:val="24"/>
                <w:szCs w:val="24"/>
              </w:rPr>
            </w:pPr>
            <w:r w:rsidRPr="00AE47C6">
              <w:rPr>
                <w:rFonts w:ascii="Times New Roman" w:eastAsia="SimSun" w:hAnsi="Times New Roman"/>
                <w:sz w:val="24"/>
                <w:szCs w:val="24"/>
              </w:rPr>
              <w:t>CBZ</w:t>
            </w:r>
          </w:p>
        </w:tc>
        <w:tc>
          <w:tcPr>
            <w:tcW w:w="2420" w:type="dxa"/>
            <w:tcBorders>
              <w:top w:val="single" w:sz="6" w:space="0" w:color="000000"/>
              <w:left w:val="single" w:sz="6" w:space="0" w:color="000000"/>
              <w:bottom w:val="single" w:sz="6" w:space="0" w:color="000000"/>
              <w:right w:val="single" w:sz="6" w:space="0" w:color="000000"/>
            </w:tcBorders>
          </w:tcPr>
          <w:p w14:paraId="544E93A0" w14:textId="77777777" w:rsidR="00BE0B19" w:rsidRPr="00AE47C6" w:rsidRDefault="00BE0B19" w:rsidP="00BE0B19">
            <w:pPr>
              <w:spacing w:after="0" w:line="360" w:lineRule="auto"/>
              <w:ind w:left="236"/>
              <w:rPr>
                <w:rFonts w:ascii="Times New Roman" w:eastAsia="SimSun" w:hAnsi="Times New Roman"/>
                <w:sz w:val="24"/>
                <w:szCs w:val="24"/>
              </w:rPr>
            </w:pPr>
            <w:r w:rsidRPr="00AE47C6">
              <w:rPr>
                <w:rFonts w:ascii="Times New Roman" w:eastAsia="SimSun" w:hAnsi="Times New Roman"/>
                <w:sz w:val="24"/>
                <w:szCs w:val="24"/>
              </w:rPr>
              <w:t>-</w:t>
            </w:r>
          </w:p>
        </w:tc>
        <w:tc>
          <w:tcPr>
            <w:tcW w:w="3550" w:type="dxa"/>
            <w:tcBorders>
              <w:top w:val="single" w:sz="6" w:space="0" w:color="000000"/>
              <w:left w:val="single" w:sz="6" w:space="0" w:color="000000"/>
              <w:bottom w:val="single" w:sz="6" w:space="0" w:color="000000"/>
              <w:right w:val="single" w:sz="12" w:space="0" w:color="000000"/>
            </w:tcBorders>
          </w:tcPr>
          <w:p w14:paraId="6582339F" w14:textId="77777777" w:rsidR="00BE0B19" w:rsidRPr="00AE47C6" w:rsidRDefault="00BE0B19" w:rsidP="00BE0B19">
            <w:pPr>
              <w:spacing w:after="0" w:line="360" w:lineRule="auto"/>
              <w:ind w:left="236"/>
              <w:jc w:val="both"/>
              <w:rPr>
                <w:rFonts w:ascii="Times New Roman" w:eastAsia="SimSun" w:hAnsi="Times New Roman"/>
                <w:sz w:val="24"/>
                <w:szCs w:val="24"/>
              </w:rPr>
            </w:pPr>
            <w:r w:rsidRPr="00AE47C6">
              <w:rPr>
                <w:rFonts w:ascii="Times New Roman" w:eastAsia="SimSun" w:hAnsi="Times New Roman"/>
                <w:sz w:val="24"/>
                <w:szCs w:val="24"/>
              </w:rPr>
              <w:t> </w:t>
            </w:r>
          </w:p>
        </w:tc>
      </w:tr>
      <w:tr w:rsidR="00BE0B19" w:rsidRPr="00AE47C6" w14:paraId="04170A4D" w14:textId="77777777" w:rsidTr="00AD72E5">
        <w:trPr>
          <w:trHeight w:val="315"/>
          <w:tblCellSpacing w:w="0" w:type="dxa"/>
          <w:jc w:val="center"/>
        </w:trPr>
        <w:tc>
          <w:tcPr>
            <w:tcW w:w="3003" w:type="dxa"/>
            <w:tcBorders>
              <w:top w:val="single" w:sz="6" w:space="0" w:color="000000"/>
              <w:left w:val="single" w:sz="12" w:space="0" w:color="000000"/>
              <w:bottom w:val="single" w:sz="6" w:space="0" w:color="000000"/>
              <w:right w:val="single" w:sz="6" w:space="0" w:color="000000"/>
            </w:tcBorders>
          </w:tcPr>
          <w:p w14:paraId="4AA976BC" w14:textId="77777777" w:rsidR="00BE0B19" w:rsidRPr="00AE47C6" w:rsidRDefault="00BE0B19" w:rsidP="00BE0B19">
            <w:pPr>
              <w:spacing w:after="0" w:line="360" w:lineRule="auto"/>
              <w:ind w:left="236"/>
              <w:jc w:val="both"/>
              <w:rPr>
                <w:rFonts w:ascii="Times New Roman" w:eastAsia="SimSun" w:hAnsi="Times New Roman"/>
                <w:sz w:val="24"/>
                <w:szCs w:val="24"/>
              </w:rPr>
            </w:pPr>
            <w:r w:rsidRPr="00AE47C6">
              <w:rPr>
                <w:rFonts w:ascii="Times New Roman" w:eastAsia="SimSun" w:hAnsi="Times New Roman"/>
                <w:sz w:val="24"/>
                <w:szCs w:val="24"/>
              </w:rPr>
              <w:t>LTG</w:t>
            </w:r>
          </w:p>
        </w:tc>
        <w:tc>
          <w:tcPr>
            <w:tcW w:w="2420" w:type="dxa"/>
            <w:tcBorders>
              <w:top w:val="single" w:sz="6" w:space="0" w:color="000000"/>
              <w:left w:val="single" w:sz="6" w:space="0" w:color="000000"/>
              <w:bottom w:val="single" w:sz="6" w:space="0" w:color="000000"/>
              <w:right w:val="single" w:sz="6" w:space="0" w:color="000000"/>
            </w:tcBorders>
          </w:tcPr>
          <w:p w14:paraId="623CEFD3" w14:textId="77777777" w:rsidR="00BE0B19" w:rsidRPr="00AE47C6" w:rsidRDefault="00BE0B19" w:rsidP="00BE0B19">
            <w:pPr>
              <w:spacing w:after="0" w:line="360" w:lineRule="auto"/>
              <w:ind w:left="236"/>
              <w:rPr>
                <w:rFonts w:ascii="Times New Roman" w:eastAsia="SimSun" w:hAnsi="Times New Roman"/>
                <w:sz w:val="24"/>
                <w:szCs w:val="24"/>
              </w:rPr>
            </w:pPr>
            <w:r w:rsidRPr="00AE47C6">
              <w:rPr>
                <w:rFonts w:ascii="Times New Roman" w:eastAsia="SimSun" w:hAnsi="Times New Roman"/>
                <w:sz w:val="24"/>
                <w:szCs w:val="24"/>
              </w:rPr>
              <w:t>±</w:t>
            </w:r>
          </w:p>
        </w:tc>
        <w:tc>
          <w:tcPr>
            <w:tcW w:w="3550" w:type="dxa"/>
            <w:tcBorders>
              <w:top w:val="single" w:sz="6" w:space="0" w:color="000000"/>
              <w:left w:val="single" w:sz="6" w:space="0" w:color="000000"/>
              <w:bottom w:val="single" w:sz="6" w:space="0" w:color="000000"/>
              <w:right w:val="single" w:sz="12" w:space="0" w:color="000000"/>
            </w:tcBorders>
          </w:tcPr>
          <w:p w14:paraId="56C95036" w14:textId="77777777" w:rsidR="00BE0B19" w:rsidRPr="00AE47C6" w:rsidRDefault="00BE0B19" w:rsidP="00BE0B19">
            <w:pPr>
              <w:spacing w:after="0" w:line="360" w:lineRule="auto"/>
              <w:ind w:left="236"/>
              <w:jc w:val="both"/>
              <w:rPr>
                <w:rFonts w:ascii="Times New Roman" w:eastAsia="SimSun" w:hAnsi="Times New Roman"/>
                <w:b/>
                <w:bCs/>
                <w:sz w:val="24"/>
                <w:szCs w:val="24"/>
              </w:rPr>
            </w:pPr>
            <w:r w:rsidRPr="00AE47C6">
              <w:rPr>
                <w:rFonts w:ascii="Times New Roman" w:eastAsia="SimSun" w:hAnsi="Times New Roman"/>
                <w:b/>
                <w:bCs/>
                <w:sz w:val="24"/>
                <w:szCs w:val="24"/>
              </w:rPr>
              <w:t>Риск от обриви</w:t>
            </w:r>
          </w:p>
        </w:tc>
      </w:tr>
      <w:tr w:rsidR="00BE0B19" w:rsidRPr="00AE47C6" w14:paraId="27F5EEC3" w14:textId="77777777" w:rsidTr="00AD72E5">
        <w:trPr>
          <w:trHeight w:val="315"/>
          <w:tblCellSpacing w:w="0" w:type="dxa"/>
          <w:jc w:val="center"/>
        </w:trPr>
        <w:tc>
          <w:tcPr>
            <w:tcW w:w="3003" w:type="dxa"/>
            <w:tcBorders>
              <w:top w:val="single" w:sz="6" w:space="0" w:color="000000"/>
              <w:left w:val="single" w:sz="12" w:space="0" w:color="000000"/>
              <w:bottom w:val="single" w:sz="6" w:space="0" w:color="000000"/>
              <w:right w:val="single" w:sz="6" w:space="0" w:color="000000"/>
            </w:tcBorders>
          </w:tcPr>
          <w:p w14:paraId="02F2E7EB" w14:textId="77777777" w:rsidR="00BE0B19" w:rsidRPr="00AE47C6" w:rsidRDefault="00BE0B19" w:rsidP="00BE0B19">
            <w:pPr>
              <w:spacing w:after="0" w:line="360" w:lineRule="auto"/>
              <w:ind w:left="-48"/>
              <w:jc w:val="both"/>
              <w:rPr>
                <w:rFonts w:ascii="Times New Roman" w:eastAsia="SimSun" w:hAnsi="Times New Roman"/>
                <w:sz w:val="24"/>
                <w:szCs w:val="24"/>
              </w:rPr>
            </w:pPr>
            <w:r w:rsidRPr="00AE47C6">
              <w:rPr>
                <w:rFonts w:ascii="Times New Roman" w:eastAsia="SimSun" w:hAnsi="Times New Roman"/>
                <w:sz w:val="24"/>
                <w:szCs w:val="24"/>
              </w:rPr>
              <w:t xml:space="preserve"> TPM</w:t>
            </w:r>
          </w:p>
        </w:tc>
        <w:tc>
          <w:tcPr>
            <w:tcW w:w="2420" w:type="dxa"/>
            <w:tcBorders>
              <w:top w:val="single" w:sz="6" w:space="0" w:color="000000"/>
              <w:left w:val="single" w:sz="6" w:space="0" w:color="000000"/>
              <w:bottom w:val="single" w:sz="6" w:space="0" w:color="000000"/>
              <w:right w:val="single" w:sz="6" w:space="0" w:color="000000"/>
            </w:tcBorders>
          </w:tcPr>
          <w:p w14:paraId="3BB7E1D6" w14:textId="77777777" w:rsidR="00BE0B19" w:rsidRPr="00AE47C6" w:rsidRDefault="00BE0B19" w:rsidP="00BE0B19">
            <w:pPr>
              <w:spacing w:after="0" w:line="360" w:lineRule="auto"/>
              <w:ind w:left="-48"/>
              <w:rPr>
                <w:rFonts w:ascii="Times New Roman" w:eastAsia="SimSun" w:hAnsi="Times New Roman"/>
                <w:sz w:val="24"/>
                <w:szCs w:val="24"/>
              </w:rPr>
            </w:pPr>
            <w:r w:rsidRPr="00AE47C6">
              <w:rPr>
                <w:rFonts w:ascii="Times New Roman" w:eastAsia="SimSun" w:hAnsi="Times New Roman"/>
                <w:sz w:val="24"/>
                <w:szCs w:val="24"/>
              </w:rPr>
              <w:t>±</w:t>
            </w:r>
          </w:p>
        </w:tc>
        <w:tc>
          <w:tcPr>
            <w:tcW w:w="3550" w:type="dxa"/>
            <w:tcBorders>
              <w:top w:val="single" w:sz="6" w:space="0" w:color="000000"/>
              <w:left w:val="single" w:sz="6" w:space="0" w:color="000000"/>
              <w:bottom w:val="single" w:sz="6" w:space="0" w:color="000000"/>
              <w:right w:val="single" w:sz="12" w:space="0" w:color="000000"/>
            </w:tcBorders>
          </w:tcPr>
          <w:p w14:paraId="185FA2D1" w14:textId="77777777" w:rsidR="00BE0B19" w:rsidRPr="00AE47C6" w:rsidRDefault="00BE0B19" w:rsidP="00BE0B19">
            <w:pPr>
              <w:spacing w:after="0" w:line="360" w:lineRule="auto"/>
              <w:ind w:left="-48"/>
              <w:jc w:val="both"/>
              <w:rPr>
                <w:rFonts w:ascii="Times New Roman" w:eastAsia="SimSun" w:hAnsi="Times New Roman"/>
                <w:b/>
                <w:bCs/>
                <w:sz w:val="24"/>
                <w:szCs w:val="24"/>
              </w:rPr>
            </w:pPr>
            <w:r w:rsidRPr="00AE47C6">
              <w:rPr>
                <w:rFonts w:ascii="Times New Roman" w:eastAsia="SimSun" w:hAnsi="Times New Roman"/>
                <w:b/>
                <w:bCs/>
                <w:sz w:val="24"/>
                <w:szCs w:val="24"/>
              </w:rPr>
              <w:t>Невротоксични стр. реакции</w:t>
            </w:r>
          </w:p>
        </w:tc>
      </w:tr>
      <w:tr w:rsidR="00BE0B19" w:rsidRPr="00AE47C6" w14:paraId="441E996F" w14:textId="77777777" w:rsidTr="00AD72E5">
        <w:trPr>
          <w:trHeight w:val="315"/>
          <w:tblCellSpacing w:w="0" w:type="dxa"/>
          <w:jc w:val="center"/>
        </w:trPr>
        <w:tc>
          <w:tcPr>
            <w:tcW w:w="3003" w:type="dxa"/>
            <w:tcBorders>
              <w:top w:val="single" w:sz="6" w:space="0" w:color="000000"/>
              <w:left w:val="single" w:sz="12" w:space="0" w:color="000000"/>
              <w:bottom w:val="single" w:sz="6" w:space="0" w:color="000000"/>
              <w:right w:val="single" w:sz="6" w:space="0" w:color="000000"/>
            </w:tcBorders>
          </w:tcPr>
          <w:p w14:paraId="20D58995" w14:textId="77777777" w:rsidR="00BE0B19" w:rsidRPr="00AE47C6" w:rsidRDefault="00BE0B19" w:rsidP="00BE0B19">
            <w:pPr>
              <w:spacing w:after="0" w:line="360" w:lineRule="auto"/>
              <w:ind w:left="-48"/>
              <w:jc w:val="both"/>
              <w:rPr>
                <w:rFonts w:ascii="Times New Roman" w:eastAsia="SimSun" w:hAnsi="Times New Roman"/>
                <w:sz w:val="24"/>
                <w:szCs w:val="24"/>
              </w:rPr>
            </w:pPr>
            <w:r w:rsidRPr="00AE47C6">
              <w:rPr>
                <w:rFonts w:ascii="Times New Roman" w:eastAsia="SimSun" w:hAnsi="Times New Roman"/>
                <w:sz w:val="24"/>
                <w:szCs w:val="24"/>
              </w:rPr>
              <w:t xml:space="preserve"> LEV</w:t>
            </w:r>
          </w:p>
        </w:tc>
        <w:tc>
          <w:tcPr>
            <w:tcW w:w="2420" w:type="dxa"/>
            <w:tcBorders>
              <w:top w:val="single" w:sz="6" w:space="0" w:color="000000"/>
              <w:left w:val="single" w:sz="6" w:space="0" w:color="000000"/>
              <w:bottom w:val="single" w:sz="6" w:space="0" w:color="000000"/>
              <w:right w:val="single" w:sz="6" w:space="0" w:color="000000"/>
            </w:tcBorders>
          </w:tcPr>
          <w:p w14:paraId="3B0BCB55" w14:textId="77777777" w:rsidR="00BE0B19" w:rsidRPr="00AE47C6" w:rsidRDefault="00BE0B19" w:rsidP="00BE0B19">
            <w:pPr>
              <w:spacing w:after="0" w:line="360" w:lineRule="auto"/>
              <w:ind w:left="-48"/>
              <w:rPr>
                <w:rFonts w:ascii="Times New Roman" w:eastAsia="SimSun" w:hAnsi="Times New Roman"/>
                <w:sz w:val="24"/>
                <w:szCs w:val="24"/>
              </w:rPr>
            </w:pPr>
            <w:r w:rsidRPr="00AE47C6">
              <w:rPr>
                <w:rFonts w:ascii="Times New Roman" w:eastAsia="SimSun" w:hAnsi="Times New Roman"/>
                <w:sz w:val="24"/>
                <w:szCs w:val="24"/>
              </w:rPr>
              <w:t>++</w:t>
            </w:r>
          </w:p>
        </w:tc>
        <w:tc>
          <w:tcPr>
            <w:tcW w:w="3550" w:type="dxa"/>
            <w:tcBorders>
              <w:top w:val="single" w:sz="6" w:space="0" w:color="000000"/>
              <w:left w:val="single" w:sz="6" w:space="0" w:color="000000"/>
              <w:bottom w:val="single" w:sz="6" w:space="0" w:color="000000"/>
              <w:right w:val="single" w:sz="12" w:space="0" w:color="000000"/>
            </w:tcBorders>
          </w:tcPr>
          <w:p w14:paraId="4E844A2E" w14:textId="77777777" w:rsidR="00BE0B19" w:rsidRPr="00AE47C6" w:rsidRDefault="00BE0B19" w:rsidP="00BE0B19">
            <w:pPr>
              <w:spacing w:after="0" w:line="360" w:lineRule="auto"/>
              <w:ind w:left="-48"/>
              <w:jc w:val="both"/>
              <w:rPr>
                <w:rFonts w:ascii="Times New Roman" w:eastAsia="SimSun" w:hAnsi="Times New Roman"/>
                <w:b/>
                <w:bCs/>
                <w:sz w:val="24"/>
                <w:szCs w:val="24"/>
              </w:rPr>
            </w:pPr>
            <w:r w:rsidRPr="00AE47C6">
              <w:rPr>
                <w:rFonts w:ascii="Times New Roman" w:eastAsia="SimSun" w:hAnsi="Times New Roman"/>
                <w:b/>
                <w:bCs/>
                <w:sz w:val="24"/>
                <w:szCs w:val="24"/>
              </w:rPr>
              <w:t>Синергизъм</w:t>
            </w:r>
          </w:p>
        </w:tc>
      </w:tr>
      <w:tr w:rsidR="00BE0B19" w:rsidRPr="00AE47C6" w14:paraId="2A5E30C2" w14:textId="77777777" w:rsidTr="00AD72E5">
        <w:trPr>
          <w:trHeight w:val="315"/>
          <w:tblCellSpacing w:w="0" w:type="dxa"/>
          <w:jc w:val="center"/>
        </w:trPr>
        <w:tc>
          <w:tcPr>
            <w:tcW w:w="3003" w:type="dxa"/>
            <w:tcBorders>
              <w:top w:val="single" w:sz="6" w:space="0" w:color="000000"/>
              <w:left w:val="single" w:sz="12" w:space="0" w:color="000000"/>
              <w:bottom w:val="single" w:sz="6" w:space="0" w:color="000000"/>
              <w:right w:val="single" w:sz="6" w:space="0" w:color="000000"/>
            </w:tcBorders>
          </w:tcPr>
          <w:p w14:paraId="64F0FF2E" w14:textId="77777777" w:rsidR="00BE0B19" w:rsidRPr="00AE47C6" w:rsidRDefault="00BE0B19" w:rsidP="00BE0B19">
            <w:pPr>
              <w:spacing w:after="0" w:line="360" w:lineRule="auto"/>
              <w:ind w:left="-48"/>
              <w:jc w:val="both"/>
              <w:rPr>
                <w:rFonts w:ascii="Times New Roman" w:eastAsia="SimSun" w:hAnsi="Times New Roman"/>
                <w:sz w:val="24"/>
                <w:szCs w:val="24"/>
              </w:rPr>
            </w:pPr>
            <w:r w:rsidRPr="00AE47C6">
              <w:rPr>
                <w:rFonts w:ascii="Times New Roman" w:eastAsia="SimSun" w:hAnsi="Times New Roman"/>
                <w:sz w:val="24"/>
                <w:szCs w:val="24"/>
              </w:rPr>
              <w:t xml:space="preserve"> BRV</w:t>
            </w:r>
          </w:p>
        </w:tc>
        <w:tc>
          <w:tcPr>
            <w:tcW w:w="2420" w:type="dxa"/>
            <w:tcBorders>
              <w:top w:val="single" w:sz="6" w:space="0" w:color="000000"/>
              <w:left w:val="single" w:sz="6" w:space="0" w:color="000000"/>
              <w:bottom w:val="single" w:sz="6" w:space="0" w:color="000000"/>
              <w:right w:val="single" w:sz="6" w:space="0" w:color="000000"/>
            </w:tcBorders>
          </w:tcPr>
          <w:p w14:paraId="0C7A68F9" w14:textId="77777777" w:rsidR="00BE0B19" w:rsidRPr="00AE47C6" w:rsidRDefault="00BE0B19" w:rsidP="00BE0B19">
            <w:pPr>
              <w:spacing w:after="0" w:line="360" w:lineRule="auto"/>
              <w:ind w:left="-48"/>
              <w:rPr>
                <w:rFonts w:ascii="Times New Roman" w:eastAsia="SimSun" w:hAnsi="Times New Roman"/>
                <w:sz w:val="24"/>
                <w:szCs w:val="24"/>
              </w:rPr>
            </w:pPr>
            <w:r w:rsidRPr="00AE47C6">
              <w:rPr>
                <w:rFonts w:ascii="Times New Roman" w:eastAsia="SimSun" w:hAnsi="Times New Roman"/>
                <w:sz w:val="24"/>
                <w:szCs w:val="24"/>
              </w:rPr>
              <w:t>++</w:t>
            </w:r>
          </w:p>
        </w:tc>
        <w:tc>
          <w:tcPr>
            <w:tcW w:w="3550" w:type="dxa"/>
            <w:tcBorders>
              <w:top w:val="single" w:sz="6" w:space="0" w:color="000000"/>
              <w:left w:val="single" w:sz="6" w:space="0" w:color="000000"/>
              <w:bottom w:val="single" w:sz="6" w:space="0" w:color="000000"/>
              <w:right w:val="single" w:sz="12" w:space="0" w:color="000000"/>
            </w:tcBorders>
          </w:tcPr>
          <w:p w14:paraId="4F19C317" w14:textId="77777777" w:rsidR="00BE0B19" w:rsidRPr="00AE47C6" w:rsidRDefault="00BE0B19" w:rsidP="00BE0B19">
            <w:pPr>
              <w:spacing w:after="0" w:line="360" w:lineRule="auto"/>
              <w:ind w:left="-48"/>
              <w:jc w:val="both"/>
              <w:rPr>
                <w:rFonts w:ascii="Times New Roman" w:eastAsia="SimSun" w:hAnsi="Times New Roman"/>
                <w:b/>
                <w:bCs/>
                <w:sz w:val="24"/>
                <w:szCs w:val="24"/>
              </w:rPr>
            </w:pPr>
            <w:r w:rsidRPr="00AE47C6">
              <w:rPr>
                <w:rFonts w:ascii="Times New Roman" w:eastAsia="SimSun" w:hAnsi="Times New Roman"/>
                <w:b/>
                <w:bCs/>
                <w:sz w:val="24"/>
                <w:szCs w:val="24"/>
              </w:rPr>
              <w:t>Синергизъм?</w:t>
            </w:r>
          </w:p>
        </w:tc>
      </w:tr>
      <w:tr w:rsidR="00BE0B19" w:rsidRPr="00AE47C6" w14:paraId="76562E0B" w14:textId="77777777" w:rsidTr="00AD72E5">
        <w:trPr>
          <w:trHeight w:val="315"/>
          <w:tblCellSpacing w:w="0" w:type="dxa"/>
          <w:jc w:val="center"/>
        </w:trPr>
        <w:tc>
          <w:tcPr>
            <w:tcW w:w="3003" w:type="dxa"/>
            <w:tcBorders>
              <w:top w:val="single" w:sz="6" w:space="0" w:color="000000"/>
              <w:left w:val="single" w:sz="12" w:space="0" w:color="000000"/>
              <w:bottom w:val="single" w:sz="6" w:space="0" w:color="000000"/>
              <w:right w:val="single" w:sz="6" w:space="0" w:color="000000"/>
            </w:tcBorders>
          </w:tcPr>
          <w:p w14:paraId="7A814F6D" w14:textId="77777777" w:rsidR="00BE0B19" w:rsidRPr="00AE47C6" w:rsidRDefault="00BE0B19" w:rsidP="00BE0B19">
            <w:pPr>
              <w:spacing w:after="0" w:line="360" w:lineRule="auto"/>
              <w:ind w:left="-48"/>
              <w:jc w:val="both"/>
              <w:rPr>
                <w:rFonts w:ascii="Times New Roman" w:eastAsia="SimSun" w:hAnsi="Times New Roman"/>
                <w:sz w:val="24"/>
                <w:szCs w:val="24"/>
              </w:rPr>
            </w:pPr>
            <w:r w:rsidRPr="00AE47C6">
              <w:rPr>
                <w:rFonts w:ascii="Times New Roman" w:eastAsia="SimSun" w:hAnsi="Times New Roman"/>
                <w:sz w:val="24"/>
                <w:szCs w:val="24"/>
              </w:rPr>
              <w:t xml:space="preserve"> LCM</w:t>
            </w:r>
          </w:p>
        </w:tc>
        <w:tc>
          <w:tcPr>
            <w:tcW w:w="2420" w:type="dxa"/>
            <w:tcBorders>
              <w:top w:val="single" w:sz="6" w:space="0" w:color="000000"/>
              <w:left w:val="single" w:sz="6" w:space="0" w:color="000000"/>
              <w:bottom w:val="single" w:sz="6" w:space="0" w:color="000000"/>
              <w:right w:val="single" w:sz="6" w:space="0" w:color="000000"/>
            </w:tcBorders>
          </w:tcPr>
          <w:p w14:paraId="4DD0F757" w14:textId="77777777" w:rsidR="00BE0B19" w:rsidRPr="00AE47C6" w:rsidRDefault="00BE0B19" w:rsidP="00BE0B19">
            <w:pPr>
              <w:spacing w:after="0" w:line="360" w:lineRule="auto"/>
              <w:ind w:left="-48"/>
              <w:rPr>
                <w:rFonts w:ascii="Times New Roman" w:eastAsia="SimSun" w:hAnsi="Times New Roman"/>
                <w:sz w:val="24"/>
                <w:szCs w:val="24"/>
              </w:rPr>
            </w:pPr>
            <w:r w:rsidRPr="00AE47C6">
              <w:rPr>
                <w:rFonts w:ascii="Times New Roman" w:eastAsia="SimSun" w:hAnsi="Times New Roman"/>
                <w:sz w:val="24"/>
                <w:szCs w:val="24"/>
              </w:rPr>
              <w:t>+</w:t>
            </w:r>
          </w:p>
        </w:tc>
        <w:tc>
          <w:tcPr>
            <w:tcW w:w="3550" w:type="dxa"/>
            <w:tcBorders>
              <w:top w:val="single" w:sz="6" w:space="0" w:color="000000"/>
              <w:left w:val="single" w:sz="6" w:space="0" w:color="000000"/>
              <w:bottom w:val="single" w:sz="6" w:space="0" w:color="000000"/>
              <w:right w:val="single" w:sz="12" w:space="0" w:color="000000"/>
            </w:tcBorders>
          </w:tcPr>
          <w:p w14:paraId="64ADB06D" w14:textId="77777777" w:rsidR="00BE0B19" w:rsidRPr="00AE47C6" w:rsidRDefault="00BE0B19" w:rsidP="00BE0B19">
            <w:pPr>
              <w:spacing w:after="0" w:line="360" w:lineRule="auto"/>
              <w:ind w:left="-48"/>
              <w:jc w:val="both"/>
              <w:rPr>
                <w:rFonts w:ascii="Times New Roman" w:eastAsia="SimSun" w:hAnsi="Times New Roman"/>
                <w:b/>
                <w:bCs/>
                <w:sz w:val="24"/>
                <w:szCs w:val="24"/>
              </w:rPr>
            </w:pPr>
            <w:r w:rsidRPr="00AE47C6">
              <w:rPr>
                <w:rFonts w:ascii="Times New Roman" w:eastAsia="SimSun" w:hAnsi="Times New Roman"/>
                <w:b/>
                <w:bCs/>
                <w:sz w:val="24"/>
                <w:szCs w:val="24"/>
              </w:rPr>
              <w:t>Синергизъм</w:t>
            </w:r>
          </w:p>
        </w:tc>
      </w:tr>
    </w:tbl>
    <w:p w14:paraId="63316424" w14:textId="77777777" w:rsidR="00BE0B19" w:rsidRPr="00AE47C6" w:rsidRDefault="00BE0B19" w:rsidP="00BE0B19">
      <w:pPr>
        <w:spacing w:after="0" w:line="360" w:lineRule="auto"/>
        <w:ind w:firstLine="720"/>
        <w:jc w:val="both"/>
        <w:rPr>
          <w:rFonts w:ascii="Times New Roman" w:eastAsia="SimSun" w:hAnsi="Times New Roman"/>
          <w:bCs/>
          <w:i/>
          <w:iCs/>
          <w:sz w:val="24"/>
          <w:szCs w:val="24"/>
        </w:rPr>
      </w:pPr>
      <w:r w:rsidRPr="00AE47C6">
        <w:rPr>
          <w:rFonts w:ascii="Times New Roman" w:eastAsia="SimSun" w:hAnsi="Times New Roman"/>
          <w:bCs/>
          <w:sz w:val="24"/>
          <w:szCs w:val="24"/>
        </w:rPr>
        <w:t>*Към всички AГЛ може да се добави Clonazepam</w:t>
      </w:r>
    </w:p>
    <w:p w14:paraId="78DB9490" w14:textId="77777777" w:rsidR="00BE0B19" w:rsidRPr="00AE47C6" w:rsidRDefault="00BE0B19" w:rsidP="00BE0B19">
      <w:pPr>
        <w:spacing w:after="0" w:line="360" w:lineRule="auto"/>
        <w:jc w:val="both"/>
        <w:rPr>
          <w:rFonts w:ascii="Times New Roman" w:eastAsia="SimSun" w:hAnsi="Times New Roman"/>
          <w:b/>
          <w:bCs/>
          <w:sz w:val="24"/>
          <w:szCs w:val="24"/>
        </w:rPr>
      </w:pPr>
    </w:p>
    <w:p w14:paraId="1ADF503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Д. </w:t>
      </w:r>
      <w:r w:rsidRPr="00AE47C6">
        <w:rPr>
          <w:rFonts w:ascii="Times New Roman" w:eastAsia="SimSun" w:hAnsi="Times New Roman"/>
          <w:b/>
          <w:sz w:val="24"/>
          <w:szCs w:val="24"/>
        </w:rPr>
        <w:t>Особености при приложението на АГЛ при различни типове епилепсия при деца, бременни жени, пациенти в старческа възраст и пациенти с интелектуален дефицит, с депресия, с чернодробна или бъбречна недостатъчност</w:t>
      </w:r>
      <w:r w:rsidRPr="00AE47C6">
        <w:rPr>
          <w:rFonts w:ascii="Times New Roman" w:eastAsia="SimSun" w:hAnsi="Times New Roman"/>
          <w:sz w:val="24"/>
          <w:szCs w:val="24"/>
        </w:rPr>
        <w:t xml:space="preserve"> </w:t>
      </w:r>
    </w:p>
    <w:p w14:paraId="04147FFC"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Епилепсия в детска възраст.</w:t>
      </w:r>
      <w:r w:rsidRPr="00AE47C6">
        <w:rPr>
          <w:rFonts w:ascii="Times New Roman" w:eastAsia="SimSun" w:hAnsi="Times New Roman"/>
          <w:sz w:val="24"/>
          <w:szCs w:val="24"/>
          <w:lang w:eastAsia="bg-BG"/>
        </w:rPr>
        <w:t xml:space="preserve"> Изборът на АГЛ за различните типове епилепсии и синдроми в детската възраст е представени на таблица 11.10 и таблица 11.15 и 11.16, а началните и оптимални дози - на таблица 11.11.</w:t>
      </w:r>
    </w:p>
    <w:p w14:paraId="217E96A7" w14:textId="77777777" w:rsidR="00BE0B19" w:rsidRPr="00AE47C6" w:rsidRDefault="00BE0B19" w:rsidP="00BE0B19">
      <w:pPr>
        <w:spacing w:after="0" w:line="360" w:lineRule="auto"/>
        <w:jc w:val="both"/>
        <w:rPr>
          <w:rFonts w:ascii="Times New Roman" w:eastAsia="SimSun" w:hAnsi="Times New Roman"/>
          <w:b/>
          <w:sz w:val="24"/>
          <w:szCs w:val="24"/>
        </w:rPr>
      </w:pPr>
    </w:p>
    <w:p w14:paraId="10664FAD"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Таблица 11.15. Избор на АЕЛ в детската възраст при епилепсиите/ епилептичните синдроми - І, ІІ монотерапия, допълваща терапия </w:t>
      </w:r>
    </w:p>
    <w:tbl>
      <w:tblPr>
        <w:tblW w:w="90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7"/>
        <w:gridCol w:w="1726"/>
        <w:gridCol w:w="2253"/>
        <w:gridCol w:w="2456"/>
      </w:tblGrid>
      <w:tr w:rsidR="00BE0B19" w:rsidRPr="00AE47C6" w14:paraId="7219445B" w14:textId="77777777" w:rsidTr="00AD72E5">
        <w:trPr>
          <w:trHeight w:val="840"/>
        </w:trPr>
        <w:tc>
          <w:tcPr>
            <w:tcW w:w="2783" w:type="dxa"/>
          </w:tcPr>
          <w:p w14:paraId="400B4C81"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Епилепсия/</w:t>
            </w:r>
          </w:p>
          <w:p w14:paraId="0C82D499"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синдром </w:t>
            </w:r>
          </w:p>
        </w:tc>
        <w:tc>
          <w:tcPr>
            <w:tcW w:w="1776" w:type="dxa"/>
          </w:tcPr>
          <w:p w14:paraId="12229BFF"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І монотерапия </w:t>
            </w:r>
          </w:p>
        </w:tc>
        <w:tc>
          <w:tcPr>
            <w:tcW w:w="2416" w:type="dxa"/>
          </w:tcPr>
          <w:p w14:paraId="54C731C5"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Алтернативна моно-/допълваща терапия </w:t>
            </w:r>
          </w:p>
        </w:tc>
        <w:tc>
          <w:tcPr>
            <w:tcW w:w="2765" w:type="dxa"/>
          </w:tcPr>
          <w:p w14:paraId="78CD2BE1"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Възможна моно-/допълваща терапия </w:t>
            </w:r>
          </w:p>
        </w:tc>
      </w:tr>
      <w:tr w:rsidR="00BE0B19" w:rsidRPr="00AE47C6" w14:paraId="4A54C4E4" w14:textId="77777777" w:rsidTr="00AD72E5">
        <w:trPr>
          <w:trHeight w:val="150"/>
        </w:trPr>
        <w:tc>
          <w:tcPr>
            <w:tcW w:w="2783" w:type="dxa"/>
          </w:tcPr>
          <w:p w14:paraId="4E604D5F"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Синдром на West </w:t>
            </w:r>
          </w:p>
        </w:tc>
        <w:tc>
          <w:tcPr>
            <w:tcW w:w="1776" w:type="dxa"/>
          </w:tcPr>
          <w:p w14:paraId="5F850828"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 xml:space="preserve">ACTH </w:t>
            </w:r>
          </w:p>
        </w:tc>
        <w:tc>
          <w:tcPr>
            <w:tcW w:w="2416" w:type="dxa"/>
          </w:tcPr>
          <w:p w14:paraId="0D96CDC9"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 VPA</w:t>
            </w:r>
          </w:p>
        </w:tc>
        <w:tc>
          <w:tcPr>
            <w:tcW w:w="2765" w:type="dxa"/>
          </w:tcPr>
          <w:p w14:paraId="6D615708"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Бензодиазепини, TPM, VGB**</w:t>
            </w:r>
          </w:p>
        </w:tc>
      </w:tr>
      <w:tr w:rsidR="00BE0B19" w:rsidRPr="00AE47C6" w14:paraId="5F212F6F" w14:textId="77777777" w:rsidTr="00AD72E5">
        <w:trPr>
          <w:trHeight w:val="271"/>
        </w:trPr>
        <w:tc>
          <w:tcPr>
            <w:tcW w:w="2783" w:type="dxa"/>
          </w:tcPr>
          <w:p w14:paraId="311249C1"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С-м на Dravet (SMEI)</w:t>
            </w:r>
          </w:p>
        </w:tc>
        <w:tc>
          <w:tcPr>
            <w:tcW w:w="1776" w:type="dxa"/>
          </w:tcPr>
          <w:p w14:paraId="25A42C4F"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VPA, TPM</w:t>
            </w:r>
          </w:p>
        </w:tc>
        <w:tc>
          <w:tcPr>
            <w:tcW w:w="2416" w:type="dxa"/>
          </w:tcPr>
          <w:p w14:paraId="26449935"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Бензодиазепини, VPA</w:t>
            </w:r>
          </w:p>
        </w:tc>
        <w:tc>
          <w:tcPr>
            <w:tcW w:w="2765" w:type="dxa"/>
          </w:tcPr>
          <w:p w14:paraId="30B65D2C"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LEV, Stiripentol*, CBD* в комбинация с Clobazam**≥2 г., ZNS**</w:t>
            </w:r>
            <w:r w:rsidRPr="00AE47C6">
              <w:rPr>
                <w:rFonts w:ascii="Times New Roman" w:eastAsia="Calibri" w:hAnsi="Times New Roman"/>
                <w:color w:val="000000" w:themeColor="dark1"/>
                <w:kern w:val="24"/>
                <w:sz w:val="28"/>
                <w:szCs w:val="28"/>
              </w:rPr>
              <w:t xml:space="preserve"> </w:t>
            </w:r>
            <w:r w:rsidRPr="00AE47C6">
              <w:rPr>
                <w:rFonts w:ascii="Times New Roman" w:eastAsia="SimSun" w:hAnsi="Times New Roman"/>
                <w:sz w:val="24"/>
                <w:szCs w:val="20"/>
              </w:rPr>
              <w:t>≥6 г.,</w:t>
            </w:r>
            <w:r w:rsidRPr="00AE47C6">
              <w:rPr>
                <w:rFonts w:ascii="Times New Roman" w:eastAsiaTheme="minorEastAsia" w:hAnsi="Times New Roman"/>
                <w:b/>
                <w:bCs/>
                <w:color w:val="511EE0"/>
                <w:kern w:val="24"/>
                <w:sz w:val="32"/>
                <w:szCs w:val="32"/>
              </w:rPr>
              <w:t xml:space="preserve"> </w:t>
            </w:r>
            <w:r w:rsidRPr="00AE47C6">
              <w:rPr>
                <w:rFonts w:ascii="Times New Roman" w:eastAsia="SimSun" w:hAnsi="Times New Roman"/>
                <w:bCs/>
                <w:sz w:val="24"/>
                <w:szCs w:val="20"/>
              </w:rPr>
              <w:t xml:space="preserve">Fenfluramine </w:t>
            </w:r>
            <w:r w:rsidRPr="00AE47C6">
              <w:rPr>
                <w:rFonts w:ascii="Times New Roman" w:eastAsia="SimSun" w:hAnsi="Times New Roman"/>
                <w:sz w:val="24"/>
                <w:szCs w:val="20"/>
              </w:rPr>
              <w:t>*</w:t>
            </w:r>
            <w:r w:rsidRPr="00AE47C6">
              <w:rPr>
                <w:rFonts w:ascii="Times New Roman" w:eastAsia="SimSun" w:hAnsi="Times New Roman"/>
                <w:bCs/>
                <w:sz w:val="24"/>
                <w:szCs w:val="20"/>
              </w:rPr>
              <w:t xml:space="preserve"> ≥</w:t>
            </w:r>
            <w:r w:rsidRPr="00AE47C6">
              <w:rPr>
                <w:rFonts w:ascii="Times New Roman" w:eastAsia="SimSun" w:hAnsi="Times New Roman"/>
                <w:sz w:val="24"/>
                <w:szCs w:val="20"/>
              </w:rPr>
              <w:t xml:space="preserve"> 2 г.</w:t>
            </w:r>
          </w:p>
        </w:tc>
      </w:tr>
      <w:tr w:rsidR="00BE0B19" w:rsidRPr="00AE47C6" w14:paraId="6804A490" w14:textId="77777777" w:rsidTr="00AD72E5">
        <w:trPr>
          <w:trHeight w:val="1974"/>
        </w:trPr>
        <w:tc>
          <w:tcPr>
            <w:tcW w:w="2783" w:type="dxa"/>
          </w:tcPr>
          <w:p w14:paraId="172595FC"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Синдром на Lennox-Gastaut </w:t>
            </w:r>
          </w:p>
        </w:tc>
        <w:tc>
          <w:tcPr>
            <w:tcW w:w="1776" w:type="dxa"/>
          </w:tcPr>
          <w:p w14:paraId="17F7A42A"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VPA, VPA + LTG</w:t>
            </w:r>
          </w:p>
        </w:tc>
        <w:tc>
          <w:tcPr>
            <w:tcW w:w="2416" w:type="dxa"/>
          </w:tcPr>
          <w:p w14:paraId="12619AE7"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LTG, TPM</w:t>
            </w:r>
          </w:p>
        </w:tc>
        <w:tc>
          <w:tcPr>
            <w:tcW w:w="2765" w:type="dxa"/>
          </w:tcPr>
          <w:p w14:paraId="458059DF"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 xml:space="preserve">Бензодиазепини, CBZ, GBP, LEV, Rufinamide* над 4 г., CBD* в комбинация с Clobazam**≥2 г., </w:t>
            </w:r>
            <w:r w:rsidRPr="00AE47C6">
              <w:rPr>
                <w:rFonts w:ascii="Times New Roman" w:eastAsia="SimSun" w:hAnsi="Times New Roman"/>
                <w:bCs/>
                <w:sz w:val="24"/>
                <w:szCs w:val="20"/>
              </w:rPr>
              <w:t xml:space="preserve">Fenfluramine </w:t>
            </w:r>
            <w:r w:rsidRPr="00AE47C6">
              <w:rPr>
                <w:rFonts w:ascii="Times New Roman" w:eastAsia="SimSun" w:hAnsi="Times New Roman"/>
                <w:sz w:val="24"/>
                <w:szCs w:val="20"/>
              </w:rPr>
              <w:t>*</w:t>
            </w:r>
            <w:r w:rsidRPr="00AE47C6">
              <w:rPr>
                <w:rFonts w:ascii="Times New Roman" w:eastAsia="SimSun" w:hAnsi="Times New Roman"/>
                <w:bCs/>
                <w:sz w:val="24"/>
                <w:szCs w:val="20"/>
              </w:rPr>
              <w:t xml:space="preserve"> ≥</w:t>
            </w:r>
            <w:r w:rsidRPr="00AE47C6">
              <w:rPr>
                <w:rFonts w:ascii="Times New Roman" w:eastAsia="SimSun" w:hAnsi="Times New Roman"/>
                <w:sz w:val="24"/>
                <w:szCs w:val="20"/>
              </w:rPr>
              <w:t xml:space="preserve"> 2 г., ZNS**≥6 г.,</w:t>
            </w:r>
          </w:p>
        </w:tc>
      </w:tr>
      <w:tr w:rsidR="00BE0B19" w:rsidRPr="00AE47C6" w14:paraId="7820849E" w14:textId="77777777" w:rsidTr="00AD72E5">
        <w:trPr>
          <w:trHeight w:val="384"/>
        </w:trPr>
        <w:tc>
          <w:tcPr>
            <w:tcW w:w="2783" w:type="dxa"/>
          </w:tcPr>
          <w:p w14:paraId="152A1F60"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Епилептична енцефалопатия с CSWS или Електричен статус по време на бавновълнов сън (ESES)</w:t>
            </w:r>
          </w:p>
        </w:tc>
        <w:tc>
          <w:tcPr>
            <w:tcW w:w="1776" w:type="dxa"/>
          </w:tcPr>
          <w:p w14:paraId="0C027168"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VPA, ESM</w:t>
            </w:r>
          </w:p>
        </w:tc>
        <w:tc>
          <w:tcPr>
            <w:tcW w:w="2416" w:type="dxa"/>
          </w:tcPr>
          <w:p w14:paraId="54C559DA"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Бензодиазепини, кортикостероиди</w:t>
            </w:r>
          </w:p>
        </w:tc>
        <w:tc>
          <w:tcPr>
            <w:tcW w:w="2765" w:type="dxa"/>
          </w:tcPr>
          <w:p w14:paraId="3214ED71"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LEV, ZNS**≥6 г., Clobazam**</w:t>
            </w:r>
          </w:p>
          <w:p w14:paraId="67E5DB72"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p>
        </w:tc>
      </w:tr>
      <w:tr w:rsidR="00BE0B19" w:rsidRPr="00AE47C6" w14:paraId="4E971A6E" w14:textId="77777777" w:rsidTr="00AD72E5">
        <w:trPr>
          <w:trHeight w:val="268"/>
        </w:trPr>
        <w:tc>
          <w:tcPr>
            <w:tcW w:w="2783" w:type="dxa"/>
          </w:tcPr>
          <w:p w14:paraId="128CAA4C"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ИГЕ с абсанси </w:t>
            </w:r>
          </w:p>
        </w:tc>
        <w:tc>
          <w:tcPr>
            <w:tcW w:w="1776" w:type="dxa"/>
          </w:tcPr>
          <w:p w14:paraId="396DD3B1"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 xml:space="preserve">VPA </w:t>
            </w:r>
          </w:p>
        </w:tc>
        <w:tc>
          <w:tcPr>
            <w:tcW w:w="2416" w:type="dxa"/>
          </w:tcPr>
          <w:p w14:paraId="455EFBFA"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LTG, ESM</w:t>
            </w:r>
          </w:p>
        </w:tc>
        <w:tc>
          <w:tcPr>
            <w:tcW w:w="2765" w:type="dxa"/>
          </w:tcPr>
          <w:p w14:paraId="67F57504"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Бензодиазепини</w:t>
            </w:r>
          </w:p>
        </w:tc>
      </w:tr>
      <w:tr w:rsidR="00BE0B19" w:rsidRPr="00AE47C6" w14:paraId="03D319B1" w14:textId="77777777" w:rsidTr="00AD72E5">
        <w:trPr>
          <w:trHeight w:val="415"/>
        </w:trPr>
        <w:tc>
          <w:tcPr>
            <w:tcW w:w="2783" w:type="dxa"/>
          </w:tcPr>
          <w:p w14:paraId="15DDD118"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ИГЕ с миоклонус с или без ГТКП </w:t>
            </w:r>
          </w:p>
        </w:tc>
        <w:tc>
          <w:tcPr>
            <w:tcW w:w="1776" w:type="dxa"/>
          </w:tcPr>
          <w:p w14:paraId="79AB451B"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VPA</w:t>
            </w:r>
          </w:p>
        </w:tc>
        <w:tc>
          <w:tcPr>
            <w:tcW w:w="2416" w:type="dxa"/>
          </w:tcPr>
          <w:p w14:paraId="3A871046"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LTG, ESM</w:t>
            </w:r>
          </w:p>
        </w:tc>
        <w:tc>
          <w:tcPr>
            <w:tcW w:w="2765" w:type="dxa"/>
          </w:tcPr>
          <w:p w14:paraId="6A8823D2"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Бензодиазепини, LEV, PB, TPM , ZNS**≥6 г., Clobazam**</w:t>
            </w:r>
          </w:p>
        </w:tc>
      </w:tr>
      <w:tr w:rsidR="00BE0B19" w:rsidRPr="00AE47C6" w14:paraId="782566E0" w14:textId="77777777" w:rsidTr="00AD72E5">
        <w:trPr>
          <w:trHeight w:val="600"/>
        </w:trPr>
        <w:tc>
          <w:tcPr>
            <w:tcW w:w="2783" w:type="dxa"/>
          </w:tcPr>
          <w:p w14:paraId="548D4C14"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ИГЕ с миоклонуси ГТКП</w:t>
            </w:r>
          </w:p>
        </w:tc>
        <w:tc>
          <w:tcPr>
            <w:tcW w:w="1776" w:type="dxa"/>
          </w:tcPr>
          <w:p w14:paraId="4BAC7E9F"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 xml:space="preserve">VPA </w:t>
            </w:r>
          </w:p>
        </w:tc>
        <w:tc>
          <w:tcPr>
            <w:tcW w:w="2416" w:type="dxa"/>
          </w:tcPr>
          <w:p w14:paraId="33826E0F"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 xml:space="preserve">LTG, TPM </w:t>
            </w:r>
          </w:p>
        </w:tc>
        <w:tc>
          <w:tcPr>
            <w:tcW w:w="2765" w:type="dxa"/>
          </w:tcPr>
          <w:p w14:paraId="2DC4F630"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Бензодиазепини, LEV, PB, ZNS**≥6 г., Clobazam**</w:t>
            </w:r>
          </w:p>
        </w:tc>
      </w:tr>
      <w:tr w:rsidR="00BE0B19" w:rsidRPr="00AE47C6" w14:paraId="206692E1" w14:textId="77777777" w:rsidTr="00AD72E5">
        <w:trPr>
          <w:trHeight w:val="375"/>
        </w:trPr>
        <w:tc>
          <w:tcPr>
            <w:tcW w:w="2783" w:type="dxa"/>
          </w:tcPr>
          <w:p w14:paraId="4DE89E9A"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ИГЕ с ГТКП </w:t>
            </w:r>
          </w:p>
        </w:tc>
        <w:tc>
          <w:tcPr>
            <w:tcW w:w="1776" w:type="dxa"/>
          </w:tcPr>
          <w:p w14:paraId="70196444"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VPA</w:t>
            </w:r>
          </w:p>
        </w:tc>
        <w:tc>
          <w:tcPr>
            <w:tcW w:w="2416" w:type="dxa"/>
          </w:tcPr>
          <w:p w14:paraId="19287B3E"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LTG, TPM</w:t>
            </w:r>
          </w:p>
        </w:tc>
        <w:tc>
          <w:tcPr>
            <w:tcW w:w="2765" w:type="dxa"/>
          </w:tcPr>
          <w:p w14:paraId="410CBAC9"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LEV, PB, Бензодиазепини, ZNS**≥6 г., Clobazam**</w:t>
            </w:r>
          </w:p>
        </w:tc>
      </w:tr>
      <w:tr w:rsidR="00BE0B19" w:rsidRPr="00AE47C6" w14:paraId="2A8CE98A" w14:textId="77777777" w:rsidTr="00AD72E5">
        <w:trPr>
          <w:trHeight w:val="812"/>
        </w:trPr>
        <w:tc>
          <w:tcPr>
            <w:tcW w:w="2783" w:type="dxa"/>
          </w:tcPr>
          <w:p w14:paraId="1A1D7DC2"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 Фокална</w:t>
            </w:r>
          </w:p>
        </w:tc>
        <w:tc>
          <w:tcPr>
            <w:tcW w:w="1776" w:type="dxa"/>
          </w:tcPr>
          <w:p w14:paraId="786E41E8"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CBZ, OХC, VPA</w:t>
            </w:r>
          </w:p>
        </w:tc>
        <w:tc>
          <w:tcPr>
            <w:tcW w:w="2416" w:type="dxa"/>
          </w:tcPr>
          <w:p w14:paraId="38E35798"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 xml:space="preserve">LTG, TPM, GBP </w:t>
            </w:r>
          </w:p>
        </w:tc>
        <w:tc>
          <w:tcPr>
            <w:tcW w:w="2765" w:type="dxa"/>
          </w:tcPr>
          <w:p w14:paraId="04A434DE"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LEV, PB, LCM ≥ 4 г., BRV ≥ 2 г., ESL ≥ 6 г.</w:t>
            </w:r>
          </w:p>
        </w:tc>
      </w:tr>
      <w:tr w:rsidR="00BE0B19" w:rsidRPr="00AE47C6" w14:paraId="10AC0709" w14:textId="77777777" w:rsidTr="00AD72E5">
        <w:trPr>
          <w:trHeight w:val="164"/>
        </w:trPr>
        <w:tc>
          <w:tcPr>
            <w:tcW w:w="2783" w:type="dxa"/>
          </w:tcPr>
          <w:p w14:paraId="7AE81225"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Некласифицируеми</w:t>
            </w:r>
          </w:p>
        </w:tc>
        <w:tc>
          <w:tcPr>
            <w:tcW w:w="1776" w:type="dxa"/>
          </w:tcPr>
          <w:p w14:paraId="340D0C6E"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VPA</w:t>
            </w:r>
          </w:p>
        </w:tc>
        <w:tc>
          <w:tcPr>
            <w:tcW w:w="2416" w:type="dxa"/>
          </w:tcPr>
          <w:p w14:paraId="73A29C84"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TPM</w:t>
            </w:r>
          </w:p>
        </w:tc>
        <w:tc>
          <w:tcPr>
            <w:tcW w:w="2765" w:type="dxa"/>
          </w:tcPr>
          <w:p w14:paraId="405B7BE0"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LTG, LEV</w:t>
            </w:r>
          </w:p>
        </w:tc>
      </w:tr>
      <w:tr w:rsidR="00BE0B19" w:rsidRPr="00AE47C6" w14:paraId="120FB5E1" w14:textId="77777777" w:rsidTr="00AD72E5">
        <w:trPr>
          <w:trHeight w:val="164"/>
        </w:trPr>
        <w:tc>
          <w:tcPr>
            <w:tcW w:w="2783" w:type="dxa"/>
          </w:tcPr>
          <w:p w14:paraId="3296A2C3"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Неонатални гърчове</w:t>
            </w:r>
          </w:p>
        </w:tc>
        <w:tc>
          <w:tcPr>
            <w:tcW w:w="1776" w:type="dxa"/>
          </w:tcPr>
          <w:p w14:paraId="57EED90C"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PB</w:t>
            </w:r>
          </w:p>
        </w:tc>
        <w:tc>
          <w:tcPr>
            <w:tcW w:w="2416" w:type="dxa"/>
          </w:tcPr>
          <w:p w14:paraId="010982C5"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p>
        </w:tc>
        <w:tc>
          <w:tcPr>
            <w:tcW w:w="2765" w:type="dxa"/>
          </w:tcPr>
          <w:p w14:paraId="64EA7823"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p>
        </w:tc>
      </w:tr>
    </w:tbl>
    <w:p w14:paraId="7FC12B89"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lang w:eastAsia="bg-BG"/>
        </w:rPr>
      </w:pPr>
      <w:r w:rsidRPr="00AE47C6">
        <w:rPr>
          <w:rFonts w:ascii="Times New Roman" w:eastAsia="SimSun" w:hAnsi="Times New Roman"/>
          <w:b/>
          <w:sz w:val="24"/>
          <w:szCs w:val="24"/>
          <w:u w:val="single"/>
          <w:lang w:eastAsia="bg-BG"/>
        </w:rPr>
        <w:t xml:space="preserve">* По Член 266, ал. 2 от ЗЛПХМ </w:t>
      </w:r>
      <w:r w:rsidRPr="00AE47C6">
        <w:rPr>
          <w:rFonts w:ascii="Times New Roman" w:eastAsia="SimSun" w:hAnsi="Times New Roman"/>
          <w:b/>
          <w:sz w:val="24"/>
          <w:szCs w:val="24"/>
          <w:lang w:eastAsia="bg-BG"/>
        </w:rPr>
        <w:t xml:space="preserve">и чл. 16, ал. 4 от Hapeдбa № l0 от 2011 г. за условията и реда за лечение с Hepaзрешени за употреба в Република България лекарствени продукти:  </w:t>
      </w:r>
    </w:p>
    <w:p w14:paraId="30B02CD1"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lang w:eastAsia="bg-BG"/>
        </w:rPr>
      </w:pPr>
      <w:r w:rsidRPr="00AE47C6">
        <w:rPr>
          <w:rFonts w:ascii="Times New Roman" w:eastAsia="SimSun" w:hAnsi="Times New Roman"/>
          <w:b/>
          <w:bCs/>
          <w:sz w:val="24"/>
          <w:szCs w:val="24"/>
          <w:lang w:eastAsia="bg-BG"/>
        </w:rPr>
        <w:t xml:space="preserve">* </w:t>
      </w:r>
      <w:r w:rsidRPr="00AE47C6">
        <w:rPr>
          <w:rFonts w:ascii="Times New Roman" w:eastAsia="SimSun" w:hAnsi="Times New Roman"/>
          <w:b/>
          <w:bCs/>
          <w:i/>
          <w:sz w:val="24"/>
          <w:szCs w:val="24"/>
          <w:lang w:eastAsia="bg-BG"/>
        </w:rPr>
        <w:t xml:space="preserve">Rufinamide </w:t>
      </w:r>
      <w:r w:rsidRPr="00AE47C6">
        <w:rPr>
          <w:rFonts w:ascii="Times New Roman" w:eastAsia="SimSun" w:hAnsi="Times New Roman"/>
          <w:sz w:val="24"/>
          <w:szCs w:val="24"/>
          <w:lang w:eastAsia="bg-BG"/>
        </w:rPr>
        <w:t>за лечение на синдром на Lennox-Gastaut</w:t>
      </w:r>
      <w:r w:rsidRPr="00AE47C6">
        <w:rPr>
          <w:rFonts w:ascii="Times New Roman" w:eastAsia="SimSun" w:hAnsi="Times New Roman"/>
          <w:b/>
          <w:sz w:val="24"/>
          <w:szCs w:val="24"/>
          <w:lang w:eastAsia="bg-BG"/>
        </w:rPr>
        <w:t xml:space="preserve"> </w:t>
      </w:r>
    </w:p>
    <w:p w14:paraId="71B4261D"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lang w:eastAsia="bg-BG"/>
        </w:rPr>
      </w:pPr>
      <w:r w:rsidRPr="00AE47C6">
        <w:rPr>
          <w:rFonts w:ascii="Times New Roman" w:eastAsia="SimSun" w:hAnsi="Times New Roman"/>
          <w:b/>
          <w:sz w:val="24"/>
          <w:szCs w:val="24"/>
          <w:lang w:eastAsia="bg-BG"/>
        </w:rPr>
        <w:t xml:space="preserve">* </w:t>
      </w:r>
      <w:r w:rsidRPr="00AE47C6">
        <w:rPr>
          <w:rFonts w:ascii="Times New Roman" w:eastAsia="SimSun" w:hAnsi="Times New Roman"/>
          <w:b/>
          <w:i/>
          <w:sz w:val="24"/>
          <w:szCs w:val="24"/>
          <w:lang w:eastAsia="bg-BG"/>
        </w:rPr>
        <w:t>Stiripentol</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за лечение на синдром на Dravet</w:t>
      </w:r>
      <w:r w:rsidRPr="00AE47C6">
        <w:rPr>
          <w:rFonts w:ascii="Times New Roman" w:eastAsia="SimSun" w:hAnsi="Times New Roman"/>
          <w:b/>
          <w:sz w:val="24"/>
          <w:szCs w:val="24"/>
          <w:lang w:eastAsia="bg-BG"/>
        </w:rPr>
        <w:t xml:space="preserve"> </w:t>
      </w:r>
    </w:p>
    <w:p w14:paraId="27271EB9" w14:textId="77777777" w:rsidR="00BE0B19" w:rsidRPr="00AE47C6" w:rsidRDefault="00BE0B19" w:rsidP="00BE0B19">
      <w:pPr>
        <w:tabs>
          <w:tab w:val="left" w:pos="720"/>
        </w:tabs>
        <w:suppressAutoHyphens/>
        <w:spacing w:after="0"/>
        <w:ind w:left="357" w:firstLine="851"/>
        <w:jc w:val="both"/>
        <w:rPr>
          <w:rFonts w:ascii="Times New Roman" w:eastAsia="SimSun" w:hAnsi="Times New Roman"/>
          <w:b/>
          <w:bCs/>
          <w:sz w:val="24"/>
          <w:szCs w:val="24"/>
          <w:lang w:eastAsia="bg-BG"/>
        </w:rPr>
      </w:pPr>
      <w:r w:rsidRPr="00AE47C6">
        <w:rPr>
          <w:rFonts w:ascii="Times New Roman" w:eastAsia="SimSun" w:hAnsi="Times New Roman"/>
          <w:b/>
          <w:sz w:val="24"/>
          <w:szCs w:val="24"/>
          <w:lang w:eastAsia="bg-BG"/>
        </w:rPr>
        <w:t xml:space="preserve">* </w:t>
      </w:r>
      <w:r w:rsidRPr="00AE47C6">
        <w:rPr>
          <w:rFonts w:ascii="Times New Roman" w:eastAsia="SimSun" w:hAnsi="Times New Roman"/>
          <w:b/>
          <w:i/>
          <w:sz w:val="24"/>
          <w:szCs w:val="24"/>
          <w:lang w:eastAsia="bg-BG"/>
        </w:rPr>
        <w:t>Cannabidiol</w:t>
      </w:r>
      <w:r w:rsidRPr="00AE47C6">
        <w:rPr>
          <w:rFonts w:ascii="Times New Roman" w:eastAsia="SimSun" w:hAnsi="Times New Roman"/>
          <w:b/>
          <w:sz w:val="24"/>
          <w:szCs w:val="24"/>
          <w:lang w:eastAsia="bg-BG"/>
        </w:rPr>
        <w:t xml:space="preserve"> в комбинация с </w:t>
      </w:r>
      <w:r w:rsidRPr="00AE47C6">
        <w:rPr>
          <w:rFonts w:ascii="Times New Roman" w:eastAsia="SimSun" w:hAnsi="Times New Roman"/>
          <w:b/>
          <w:i/>
          <w:sz w:val="24"/>
          <w:szCs w:val="24"/>
          <w:lang w:eastAsia="bg-BG"/>
        </w:rPr>
        <w:t>Clobazam**</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при синдром на Dravet и синдром на Lennox-Gastaut при пациенти </w:t>
      </w:r>
      <w:r w:rsidRPr="00AE47C6">
        <w:rPr>
          <w:rFonts w:ascii="Times New Roman" w:eastAsia="SimSun" w:hAnsi="Times New Roman"/>
          <w:bCs/>
          <w:sz w:val="24"/>
          <w:szCs w:val="24"/>
          <w:lang w:eastAsia="bg-BG"/>
        </w:rPr>
        <w:t>≥ 2 години</w:t>
      </w:r>
      <w:r w:rsidRPr="00AE47C6">
        <w:rPr>
          <w:rFonts w:ascii="Times New Roman" w:eastAsia="SimSun" w:hAnsi="Times New Roman"/>
          <w:sz w:val="24"/>
          <w:szCs w:val="24"/>
          <w:lang w:eastAsia="bg-BG"/>
        </w:rPr>
        <w:t>;</w:t>
      </w:r>
      <w:r w:rsidRPr="00AE47C6">
        <w:rPr>
          <w:rFonts w:ascii="Times New Roman" w:eastAsia="SimSun" w:hAnsi="Times New Roman"/>
          <w:bCs/>
          <w:sz w:val="24"/>
          <w:szCs w:val="24"/>
          <w:lang w:eastAsia="bg-BG"/>
        </w:rPr>
        <w:t xml:space="preserve"> </w:t>
      </w:r>
      <w:r w:rsidRPr="00AE47C6">
        <w:rPr>
          <w:rFonts w:ascii="Times New Roman" w:eastAsia="SimSun" w:hAnsi="Times New Roman"/>
          <w:b/>
          <w:i/>
          <w:sz w:val="24"/>
          <w:szCs w:val="24"/>
          <w:lang w:eastAsia="bg-BG"/>
        </w:rPr>
        <w:t>* Cannabidiol</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при лечение на пристъпи, свързани с туберозна склероза комплекс (TSC) при пациенти </w:t>
      </w:r>
      <w:r w:rsidRPr="00AE47C6">
        <w:rPr>
          <w:rFonts w:ascii="Times New Roman" w:eastAsia="SimSun" w:hAnsi="Times New Roman"/>
          <w:bCs/>
          <w:sz w:val="24"/>
          <w:szCs w:val="24"/>
          <w:lang w:eastAsia="bg-BG"/>
        </w:rPr>
        <w:t>≥ 2 години</w:t>
      </w:r>
      <w:r w:rsidRPr="00AE47C6">
        <w:rPr>
          <w:rFonts w:ascii="Times New Roman" w:eastAsia="SimSun" w:hAnsi="Times New Roman"/>
          <w:b/>
          <w:bCs/>
          <w:sz w:val="24"/>
          <w:szCs w:val="24"/>
          <w:lang w:eastAsia="bg-BG"/>
        </w:rPr>
        <w:t xml:space="preserve"> </w:t>
      </w:r>
    </w:p>
    <w:p w14:paraId="22D2602C" w14:textId="77777777" w:rsidR="00BE0B19" w:rsidRPr="00AE47C6" w:rsidRDefault="00BE0B19" w:rsidP="00BE0B19">
      <w:pPr>
        <w:tabs>
          <w:tab w:val="left" w:pos="720"/>
        </w:tabs>
        <w:suppressAutoHyphens/>
        <w:spacing w:after="0"/>
        <w:ind w:left="357" w:firstLine="851"/>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w:t>
      </w:r>
      <w:r w:rsidRPr="00AE47C6">
        <w:rPr>
          <w:rFonts w:ascii="Times New Roman" w:eastAsia="SimSun" w:hAnsi="Times New Roman"/>
          <w:b/>
          <w:bCs/>
          <w:i/>
          <w:sz w:val="24"/>
          <w:szCs w:val="24"/>
          <w:lang w:eastAsia="bg-BG"/>
        </w:rPr>
        <w:t>Fenfluramine</w:t>
      </w:r>
      <w:r w:rsidRPr="00AE47C6">
        <w:rPr>
          <w:rFonts w:ascii="Times New Roman" w:eastAsia="SimSun" w:hAnsi="Times New Roman"/>
          <w:b/>
          <w:bCs/>
          <w:sz w:val="24"/>
          <w:szCs w:val="24"/>
          <w:lang w:eastAsia="bg-BG"/>
        </w:rPr>
        <w:t xml:space="preserve">- </w:t>
      </w:r>
      <w:r w:rsidRPr="00AE47C6">
        <w:rPr>
          <w:rFonts w:ascii="Times New Roman" w:eastAsia="SimSun" w:hAnsi="Times New Roman"/>
          <w:sz w:val="24"/>
          <w:szCs w:val="24"/>
          <w:lang w:eastAsia="bg-BG"/>
        </w:rPr>
        <w:t>при синдром на Dravet</w:t>
      </w:r>
      <w:r w:rsidRPr="00AE47C6">
        <w:rPr>
          <w:rFonts w:ascii="Times New Roman" w:eastAsia="SimSun" w:hAnsi="Times New Roman"/>
          <w:bCs/>
          <w:sz w:val="24"/>
          <w:szCs w:val="24"/>
          <w:lang w:eastAsia="bg-BG"/>
        </w:rPr>
        <w:t xml:space="preserve"> и синдром на Lennox-Gastaut </w:t>
      </w:r>
      <w:r w:rsidRPr="00AE47C6">
        <w:rPr>
          <w:rFonts w:ascii="Times New Roman" w:eastAsia="SimSun" w:hAnsi="Times New Roman"/>
          <w:sz w:val="24"/>
          <w:szCs w:val="24"/>
          <w:lang w:eastAsia="bg-BG"/>
        </w:rPr>
        <w:t xml:space="preserve">при пациенти </w:t>
      </w:r>
      <w:r w:rsidRPr="00AE47C6">
        <w:rPr>
          <w:rFonts w:ascii="Times New Roman" w:eastAsia="SimSun" w:hAnsi="Times New Roman"/>
          <w:bCs/>
          <w:sz w:val="24"/>
          <w:szCs w:val="24"/>
          <w:lang w:eastAsia="bg-BG"/>
        </w:rPr>
        <w:t>≥ 2 години</w:t>
      </w:r>
    </w:p>
    <w:p w14:paraId="7BC03DF7" w14:textId="77777777" w:rsidR="00BE0B19" w:rsidRPr="00AE47C6" w:rsidRDefault="00BE0B19" w:rsidP="00BE0B19">
      <w:pPr>
        <w:tabs>
          <w:tab w:val="left" w:pos="720"/>
        </w:tabs>
        <w:suppressAutoHyphens/>
        <w:spacing w:after="0" w:line="360" w:lineRule="auto"/>
        <w:ind w:left="360" w:firstLine="851"/>
        <w:jc w:val="both"/>
        <w:rPr>
          <w:rFonts w:ascii="Times New Roman" w:eastAsia="SimSun" w:hAnsi="Times New Roman"/>
          <w:b/>
          <w:sz w:val="24"/>
          <w:szCs w:val="24"/>
          <w:u w:val="single"/>
          <w:lang w:eastAsia="bg-BG"/>
        </w:rPr>
      </w:pPr>
      <w:r w:rsidRPr="00AE47C6">
        <w:rPr>
          <w:rFonts w:ascii="Times New Roman" w:eastAsia="SimSun" w:hAnsi="Times New Roman"/>
          <w:b/>
          <w:sz w:val="24"/>
          <w:szCs w:val="24"/>
          <w:u w:val="single"/>
          <w:lang w:eastAsia="bg-BG"/>
        </w:rPr>
        <w:t>**Регистрирани от ЕМА:</w:t>
      </w:r>
    </w:p>
    <w:p w14:paraId="19161F99" w14:textId="77777777" w:rsidR="00BE0B19" w:rsidRPr="00AE47C6" w:rsidRDefault="00BE0B19" w:rsidP="00BE0B19">
      <w:pPr>
        <w:tabs>
          <w:tab w:val="left" w:pos="720"/>
        </w:tabs>
        <w:suppressAutoHyphens/>
        <w:spacing w:after="0" w:line="360" w:lineRule="auto"/>
        <w:ind w:left="360" w:firstLine="851"/>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Clobazam**</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за лечение на абсанси, ГТКП, миоклонии, синдром на Dravet и синдром на Lennox- Gastaut; </w:t>
      </w:r>
      <w:r w:rsidRPr="00AE47C6">
        <w:rPr>
          <w:rFonts w:ascii="Times New Roman" w:eastAsia="SimSun" w:hAnsi="Times New Roman"/>
          <w:b/>
          <w:bCs/>
          <w:sz w:val="24"/>
          <w:szCs w:val="24"/>
          <w:lang w:eastAsia="bg-BG"/>
        </w:rPr>
        <w:t>Nitrazepam**</w:t>
      </w:r>
      <w:r w:rsidRPr="00AE47C6">
        <w:rPr>
          <w:rFonts w:ascii="Times New Roman" w:eastAsia="SimSun" w:hAnsi="Times New Roman"/>
          <w:sz w:val="24"/>
          <w:szCs w:val="24"/>
          <w:lang w:eastAsia="bg-BG"/>
        </w:rPr>
        <w:t xml:space="preserve"> за лечение на синдром на West; </w:t>
      </w:r>
      <w:r w:rsidRPr="00AE47C6">
        <w:rPr>
          <w:rFonts w:ascii="Times New Roman" w:eastAsia="SimSun" w:hAnsi="Times New Roman"/>
          <w:b/>
          <w:bCs/>
          <w:sz w:val="24"/>
          <w:szCs w:val="24"/>
          <w:lang w:eastAsia="bg-BG"/>
        </w:rPr>
        <w:t>Sulthiam**</w:t>
      </w:r>
      <w:r w:rsidRPr="00AE47C6">
        <w:rPr>
          <w:rFonts w:ascii="Times New Roman" w:eastAsia="SimSun" w:hAnsi="Times New Roman"/>
          <w:sz w:val="24"/>
          <w:szCs w:val="24"/>
          <w:lang w:eastAsia="bg-BG"/>
        </w:rPr>
        <w:t xml:space="preserve"> за лечение на фокални пристъпи;</w:t>
      </w:r>
      <w:r w:rsidRPr="00AE47C6">
        <w:rPr>
          <w:rFonts w:ascii="Times New Roman" w:eastAsia="SimSun" w:hAnsi="Times New Roman"/>
          <w:b/>
          <w:bCs/>
          <w:sz w:val="24"/>
          <w:szCs w:val="24"/>
          <w:lang w:eastAsia="bg-BG"/>
        </w:rPr>
        <w:t xml:space="preserve"> Vigabatrin** </w:t>
      </w:r>
      <w:r w:rsidRPr="00AE47C6">
        <w:rPr>
          <w:rFonts w:ascii="Times New Roman" w:eastAsia="SimSun" w:hAnsi="Times New Roman"/>
          <w:sz w:val="24"/>
          <w:szCs w:val="24"/>
          <w:lang w:eastAsia="bg-BG"/>
        </w:rPr>
        <w:t xml:space="preserve">за лечение на синдром на West; </w:t>
      </w:r>
      <w:r w:rsidRPr="00AE47C6">
        <w:rPr>
          <w:rFonts w:ascii="Times New Roman" w:eastAsia="SimSun" w:hAnsi="Times New Roman"/>
          <w:b/>
          <w:bCs/>
          <w:sz w:val="24"/>
          <w:szCs w:val="24"/>
          <w:lang w:eastAsia="bg-BG"/>
        </w:rPr>
        <w:t>Zonisamide**</w:t>
      </w:r>
      <w:r w:rsidRPr="00AE47C6">
        <w:rPr>
          <w:rFonts w:ascii="Times New Roman" w:eastAsia="SimSun" w:hAnsi="Times New Roman"/>
          <w:sz w:val="24"/>
          <w:szCs w:val="24"/>
          <w:lang w:eastAsia="bg-BG"/>
        </w:rPr>
        <w:t xml:space="preserve"> за лечение на фокални и вторично генерализирани пристъпи  при възрастни и деца над 6 г., за миоклонични пристъпи, за синдром на Lennox-Gastaut; </w:t>
      </w:r>
      <w:r w:rsidRPr="00AE47C6">
        <w:rPr>
          <w:rFonts w:ascii="Times New Roman" w:eastAsia="SimSun" w:hAnsi="Times New Roman"/>
          <w:b/>
          <w:bCs/>
          <w:sz w:val="24"/>
          <w:szCs w:val="24"/>
          <w:lang w:eastAsia="bg-BG"/>
        </w:rPr>
        <w:t>Сenobamate**-</w:t>
      </w:r>
      <w:r w:rsidRPr="00AE47C6">
        <w:rPr>
          <w:rFonts w:ascii="Times New Roman" w:eastAsia="SimSun" w:hAnsi="Times New Roman"/>
          <w:bCs/>
          <w:sz w:val="24"/>
          <w:szCs w:val="24"/>
          <w:lang w:eastAsia="bg-BG"/>
        </w:rPr>
        <w:t xml:space="preserve"> при фокални и ВГТКП (ФДТКП) над 18 г;</w:t>
      </w:r>
      <w:r w:rsidRPr="00AE47C6">
        <w:rPr>
          <w:rFonts w:ascii="Times New Roman" w:eastAsia="SimSun" w:hAnsi="Times New Roman"/>
          <w:b/>
          <w:bCs/>
          <w:sz w:val="24"/>
          <w:szCs w:val="24"/>
          <w:lang w:eastAsia="bg-BG"/>
        </w:rPr>
        <w:t xml:space="preserve"> ACTH**</w:t>
      </w:r>
      <w:r w:rsidRPr="00AE47C6">
        <w:rPr>
          <w:rFonts w:ascii="Times New Roman" w:eastAsia="SimSun" w:hAnsi="Times New Roman"/>
          <w:sz w:val="24"/>
          <w:szCs w:val="24"/>
          <w:lang w:eastAsia="bg-BG"/>
        </w:rPr>
        <w:t xml:space="preserve"> за лечение на синдром на West. </w:t>
      </w:r>
    </w:p>
    <w:p w14:paraId="00C6F598" w14:textId="77777777" w:rsidR="00BE0B19" w:rsidRPr="00AE47C6" w:rsidRDefault="00BE0B19" w:rsidP="00BE0B19">
      <w:pPr>
        <w:spacing w:line="360" w:lineRule="auto"/>
        <w:jc w:val="center"/>
        <w:rPr>
          <w:rFonts w:ascii="Times New Roman" w:eastAsia="SimSun" w:hAnsi="Times New Roman"/>
          <w:b/>
          <w:bCs/>
        </w:rPr>
      </w:pPr>
    </w:p>
    <w:p w14:paraId="6BC886DB" w14:textId="77777777" w:rsidR="00BE0B19" w:rsidRPr="00AE47C6" w:rsidRDefault="00BE0B19" w:rsidP="00BE0B19">
      <w:pPr>
        <w:tabs>
          <w:tab w:val="left" w:pos="720"/>
        </w:tabs>
        <w:suppressAutoHyphens/>
        <w:spacing w:after="0" w:line="360" w:lineRule="auto"/>
        <w:ind w:left="357" w:firstLine="851"/>
        <w:jc w:val="both"/>
        <w:rPr>
          <w:rFonts w:ascii="Times New Roman" w:eastAsia="SimSun" w:hAnsi="Times New Roman"/>
          <w:b/>
          <w:sz w:val="24"/>
          <w:szCs w:val="24"/>
          <w:u w:val="single"/>
          <w:lang w:eastAsia="bg-BG"/>
        </w:rPr>
      </w:pPr>
      <w:r w:rsidRPr="00AE47C6">
        <w:rPr>
          <w:rFonts w:ascii="Times New Roman" w:eastAsia="SimSun" w:hAnsi="Times New Roman"/>
          <w:b/>
          <w:sz w:val="24"/>
          <w:szCs w:val="24"/>
          <w:u w:val="single"/>
          <w:lang w:eastAsia="bg-BG"/>
        </w:rPr>
        <w:t>**Регистрирани от ЕМА:</w:t>
      </w:r>
    </w:p>
    <w:p w14:paraId="06EA7A12" w14:textId="77777777" w:rsidR="00BE0B19" w:rsidRPr="00AE47C6" w:rsidRDefault="00BE0B19" w:rsidP="00BE0B19">
      <w:pPr>
        <w:pBdr>
          <w:bottom w:val="single" w:sz="12" w:space="1" w:color="auto"/>
        </w:pBdr>
        <w:tabs>
          <w:tab w:val="center" w:pos="4153"/>
          <w:tab w:val="right" w:pos="8306"/>
        </w:tabs>
        <w:overflowPunct w:val="0"/>
        <w:autoSpaceDE w:val="0"/>
        <w:autoSpaceDN w:val="0"/>
        <w:adjustRightInd w:val="0"/>
        <w:spacing w:after="0" w:line="360" w:lineRule="auto"/>
        <w:ind w:left="357"/>
        <w:jc w:val="both"/>
        <w:textAlignment w:val="baseline"/>
        <w:rPr>
          <w:rFonts w:ascii="Times New Roman" w:eastAsia="SimSun" w:hAnsi="Times New Roman"/>
          <w:sz w:val="24"/>
          <w:szCs w:val="20"/>
        </w:rPr>
      </w:pPr>
      <w:r w:rsidRPr="00AE47C6">
        <w:rPr>
          <w:rFonts w:ascii="Times New Roman" w:eastAsia="SimSun" w:hAnsi="Times New Roman"/>
          <w:b/>
          <w:bCs/>
          <w:sz w:val="24"/>
          <w:szCs w:val="20"/>
        </w:rPr>
        <w:t>Clobazam**</w:t>
      </w:r>
      <w:r w:rsidRPr="00AE47C6">
        <w:rPr>
          <w:rFonts w:ascii="Times New Roman" w:eastAsia="SimSun" w:hAnsi="Times New Roman"/>
          <w:b/>
          <w:sz w:val="24"/>
          <w:szCs w:val="20"/>
        </w:rPr>
        <w:t xml:space="preserve"> </w:t>
      </w:r>
      <w:r w:rsidRPr="00AE47C6">
        <w:rPr>
          <w:rFonts w:ascii="Times New Roman" w:eastAsia="SimSun" w:hAnsi="Times New Roman"/>
          <w:sz w:val="24"/>
          <w:szCs w:val="20"/>
        </w:rPr>
        <w:t xml:space="preserve">за лечение на абсанси, ГТКП, миоклонии, синдром на Dravet и синдром на Lennox- Gastaut; </w:t>
      </w:r>
      <w:r w:rsidRPr="00AE47C6">
        <w:rPr>
          <w:rFonts w:ascii="Times New Roman" w:eastAsia="SimSun" w:hAnsi="Times New Roman"/>
          <w:b/>
          <w:bCs/>
          <w:sz w:val="24"/>
          <w:szCs w:val="20"/>
        </w:rPr>
        <w:t>Nitrazepam**</w:t>
      </w:r>
      <w:r w:rsidRPr="00AE47C6">
        <w:rPr>
          <w:rFonts w:ascii="Times New Roman" w:eastAsia="SimSun" w:hAnsi="Times New Roman"/>
          <w:sz w:val="24"/>
          <w:szCs w:val="20"/>
        </w:rPr>
        <w:t xml:space="preserve"> за лечение на синдром на West; </w:t>
      </w:r>
      <w:r w:rsidRPr="00AE47C6">
        <w:rPr>
          <w:rFonts w:ascii="Times New Roman" w:eastAsia="SimSun" w:hAnsi="Times New Roman"/>
          <w:b/>
          <w:bCs/>
          <w:sz w:val="24"/>
          <w:szCs w:val="20"/>
        </w:rPr>
        <w:t>Sulthiam**</w:t>
      </w:r>
      <w:r w:rsidRPr="00AE47C6">
        <w:rPr>
          <w:rFonts w:ascii="Times New Roman" w:eastAsia="SimSun" w:hAnsi="Times New Roman"/>
          <w:sz w:val="24"/>
          <w:szCs w:val="20"/>
        </w:rPr>
        <w:t xml:space="preserve"> за лечение на фокални пристъпи;</w:t>
      </w:r>
      <w:r w:rsidRPr="00AE47C6">
        <w:rPr>
          <w:rFonts w:ascii="Times New Roman" w:eastAsia="SimSun" w:hAnsi="Times New Roman"/>
          <w:b/>
          <w:bCs/>
          <w:sz w:val="24"/>
          <w:szCs w:val="20"/>
        </w:rPr>
        <w:t xml:space="preserve"> Vigabatrin** </w:t>
      </w:r>
      <w:r w:rsidRPr="00AE47C6">
        <w:rPr>
          <w:rFonts w:ascii="Times New Roman" w:eastAsia="SimSun" w:hAnsi="Times New Roman"/>
          <w:sz w:val="24"/>
          <w:szCs w:val="20"/>
        </w:rPr>
        <w:t xml:space="preserve">за лечение на синдром на West; </w:t>
      </w:r>
      <w:r w:rsidRPr="00AE47C6">
        <w:rPr>
          <w:rFonts w:ascii="Times New Roman" w:eastAsia="SimSun" w:hAnsi="Times New Roman"/>
          <w:b/>
          <w:bCs/>
          <w:sz w:val="24"/>
          <w:szCs w:val="20"/>
        </w:rPr>
        <w:t>Zonisamide**</w:t>
      </w:r>
      <w:r w:rsidRPr="00AE47C6">
        <w:rPr>
          <w:rFonts w:ascii="Times New Roman" w:eastAsia="SimSun" w:hAnsi="Times New Roman"/>
          <w:sz w:val="24"/>
          <w:szCs w:val="20"/>
        </w:rPr>
        <w:t xml:space="preserve"> за лечение на фокални и вторично генерализирани пристъпи  при възрастни и деца над 6 г., за миоклонични пристъпи, за синдром на Lennox-Gastaut; </w:t>
      </w:r>
      <w:r w:rsidRPr="00AE47C6">
        <w:rPr>
          <w:rFonts w:ascii="Times New Roman" w:eastAsia="SimSun" w:hAnsi="Times New Roman"/>
          <w:b/>
          <w:bCs/>
          <w:sz w:val="24"/>
          <w:szCs w:val="20"/>
        </w:rPr>
        <w:t>Сenobamate**-</w:t>
      </w:r>
      <w:r w:rsidRPr="00AE47C6">
        <w:rPr>
          <w:rFonts w:ascii="Times New Roman" w:eastAsia="SimSun" w:hAnsi="Times New Roman"/>
          <w:bCs/>
          <w:sz w:val="24"/>
          <w:szCs w:val="20"/>
        </w:rPr>
        <w:t xml:space="preserve"> при фокални и ВГТКП (ФДТКП) над 18 г.</w:t>
      </w:r>
      <w:r w:rsidRPr="00AE47C6">
        <w:rPr>
          <w:rFonts w:ascii="Times New Roman" w:eastAsia="SimSun" w:hAnsi="Times New Roman"/>
          <w:sz w:val="24"/>
          <w:szCs w:val="20"/>
        </w:rPr>
        <w:t xml:space="preserve"> </w:t>
      </w:r>
    </w:p>
    <w:p w14:paraId="6C59C2F4" w14:textId="77777777" w:rsidR="00BE0B19" w:rsidRPr="00AE47C6" w:rsidRDefault="00BE0B19" w:rsidP="00BE0B19">
      <w:pPr>
        <w:pBdr>
          <w:bottom w:val="single" w:sz="12" w:space="1" w:color="auto"/>
        </w:pBdr>
        <w:tabs>
          <w:tab w:val="center" w:pos="4153"/>
          <w:tab w:val="right" w:pos="8306"/>
        </w:tabs>
        <w:overflowPunct w:val="0"/>
        <w:autoSpaceDE w:val="0"/>
        <w:autoSpaceDN w:val="0"/>
        <w:adjustRightInd w:val="0"/>
        <w:spacing w:after="0" w:line="240" w:lineRule="auto"/>
        <w:ind w:left="360"/>
        <w:jc w:val="both"/>
        <w:textAlignment w:val="baseline"/>
        <w:rPr>
          <w:rFonts w:ascii="Times New Roman" w:eastAsia="SimSun" w:hAnsi="Times New Roman"/>
          <w:sz w:val="24"/>
          <w:szCs w:val="20"/>
        </w:rPr>
      </w:pPr>
      <w:r w:rsidRPr="00AE47C6">
        <w:rPr>
          <w:rFonts w:ascii="Times New Roman" w:eastAsia="SimSun" w:hAnsi="Times New Roman"/>
          <w:b/>
          <w:bCs/>
          <w:sz w:val="24"/>
          <w:szCs w:val="20"/>
        </w:rPr>
        <w:t>ACTH** за лечение на синдром на West</w:t>
      </w:r>
    </w:p>
    <w:p w14:paraId="4A98F03E" w14:textId="77777777" w:rsidR="00BE0B19" w:rsidRPr="00AE47C6" w:rsidRDefault="00BE0B19" w:rsidP="00BE0B19">
      <w:pPr>
        <w:spacing w:line="360" w:lineRule="auto"/>
        <w:jc w:val="center"/>
        <w:rPr>
          <w:rFonts w:ascii="Times New Roman" w:eastAsia="SimSun" w:hAnsi="Times New Roman"/>
          <w:b/>
          <w:bCs/>
        </w:rPr>
      </w:pPr>
    </w:p>
    <w:p w14:paraId="6845600D" w14:textId="77777777" w:rsidR="00BE0B19" w:rsidRPr="00AE47C6" w:rsidRDefault="00BE0B19" w:rsidP="00BE0B19">
      <w:pPr>
        <w:spacing w:line="360" w:lineRule="auto"/>
        <w:jc w:val="center"/>
        <w:rPr>
          <w:rFonts w:ascii="Times New Roman" w:eastAsia="SimSun" w:hAnsi="Times New Roman"/>
          <w:b/>
          <w:bCs/>
          <w:sz w:val="24"/>
          <w:szCs w:val="24"/>
        </w:rPr>
      </w:pPr>
      <w:r w:rsidRPr="00AE47C6">
        <w:rPr>
          <w:rFonts w:ascii="Times New Roman" w:eastAsia="SimSun" w:hAnsi="Times New Roman"/>
          <w:b/>
          <w:bCs/>
          <w:sz w:val="24"/>
          <w:szCs w:val="24"/>
        </w:rPr>
        <w:t>Таблица 11.16. Видове регистрирани АГЛ за монотерапия и допълваща терапия с индикации, вкл. за детската възраст</w:t>
      </w:r>
    </w:p>
    <w:tbl>
      <w:tblPr>
        <w:tblW w:w="9346" w:type="dxa"/>
        <w:tblCellMar>
          <w:left w:w="0" w:type="dxa"/>
          <w:right w:w="0" w:type="dxa"/>
        </w:tblCellMar>
        <w:tblLook w:val="0600" w:firstRow="0" w:lastRow="0" w:firstColumn="0" w:lastColumn="0" w:noHBand="1" w:noVBand="1"/>
      </w:tblPr>
      <w:tblGrid>
        <w:gridCol w:w="2912"/>
        <w:gridCol w:w="2465"/>
        <w:gridCol w:w="3969"/>
      </w:tblGrid>
      <w:tr w:rsidR="00BE0B19" w:rsidRPr="00AE47C6" w14:paraId="2202D730" w14:textId="77777777" w:rsidTr="00AD72E5">
        <w:trPr>
          <w:trHeight w:val="209"/>
        </w:trPr>
        <w:tc>
          <w:tcPr>
            <w:tcW w:w="2912" w:type="dxa"/>
            <w:tcBorders>
              <w:top w:val="single" w:sz="8" w:space="0" w:color="000000"/>
              <w:left w:val="single" w:sz="8" w:space="0" w:color="000000"/>
              <w:bottom w:val="single" w:sz="8" w:space="0" w:color="000000"/>
              <w:right w:val="single" w:sz="8" w:space="0" w:color="000000"/>
            </w:tcBorders>
            <w:shd w:val="clear" w:color="auto" w:fill="auto"/>
            <w:tcMar>
              <w:top w:w="4" w:type="dxa"/>
              <w:left w:w="31" w:type="dxa"/>
              <w:bottom w:w="0" w:type="dxa"/>
              <w:right w:w="31" w:type="dxa"/>
            </w:tcMar>
            <w:hideMark/>
          </w:tcPr>
          <w:p w14:paraId="4882B148" w14:textId="77777777" w:rsidR="00BE0B19" w:rsidRPr="00AE47C6" w:rsidRDefault="00BE0B19" w:rsidP="00BE0B19">
            <w:pPr>
              <w:spacing w:line="360" w:lineRule="auto"/>
              <w:jc w:val="center"/>
              <w:rPr>
                <w:rFonts w:ascii="Times New Roman" w:eastAsia="SimSun" w:hAnsi="Times New Roman"/>
                <w:b/>
                <w:bCs/>
                <w:sz w:val="24"/>
                <w:szCs w:val="24"/>
              </w:rPr>
            </w:pPr>
            <w:r w:rsidRPr="00AE47C6">
              <w:rPr>
                <w:rFonts w:ascii="Times New Roman" w:eastAsia="SimSun" w:hAnsi="Times New Roman"/>
                <w:b/>
                <w:bCs/>
                <w:sz w:val="24"/>
                <w:szCs w:val="24"/>
              </w:rPr>
              <w:t xml:space="preserve">АЕЛ </w:t>
            </w:r>
          </w:p>
        </w:tc>
        <w:tc>
          <w:tcPr>
            <w:tcW w:w="2465" w:type="dxa"/>
            <w:tcBorders>
              <w:top w:val="single" w:sz="8" w:space="0" w:color="000000"/>
              <w:left w:val="single" w:sz="8" w:space="0" w:color="000000"/>
              <w:bottom w:val="single" w:sz="8" w:space="0" w:color="000000"/>
              <w:right w:val="single" w:sz="8" w:space="0" w:color="000000"/>
            </w:tcBorders>
            <w:shd w:val="clear" w:color="auto" w:fill="auto"/>
            <w:tcMar>
              <w:top w:w="4" w:type="dxa"/>
              <w:left w:w="31" w:type="dxa"/>
              <w:bottom w:w="0" w:type="dxa"/>
              <w:right w:w="31" w:type="dxa"/>
            </w:tcMar>
            <w:hideMark/>
          </w:tcPr>
          <w:p w14:paraId="58D7F9D6" w14:textId="77777777" w:rsidR="00BE0B19" w:rsidRPr="00AE47C6" w:rsidRDefault="00BE0B19" w:rsidP="00BE0B19">
            <w:pPr>
              <w:spacing w:line="360" w:lineRule="auto"/>
              <w:jc w:val="center"/>
              <w:rPr>
                <w:rFonts w:ascii="Times New Roman" w:eastAsia="SimSun" w:hAnsi="Times New Roman"/>
                <w:b/>
                <w:bCs/>
                <w:sz w:val="24"/>
                <w:szCs w:val="24"/>
              </w:rPr>
            </w:pPr>
            <w:r w:rsidRPr="00AE47C6">
              <w:rPr>
                <w:rFonts w:ascii="Times New Roman" w:eastAsia="SimSun" w:hAnsi="Times New Roman"/>
                <w:b/>
                <w:bCs/>
                <w:sz w:val="24"/>
                <w:szCs w:val="24"/>
              </w:rPr>
              <w:t>Монотерапия</w:t>
            </w:r>
          </w:p>
        </w:tc>
        <w:tc>
          <w:tcPr>
            <w:tcW w:w="3969" w:type="dxa"/>
            <w:tcBorders>
              <w:top w:val="single" w:sz="8" w:space="0" w:color="000000"/>
              <w:left w:val="single" w:sz="8" w:space="0" w:color="000000"/>
              <w:bottom w:val="single" w:sz="8" w:space="0" w:color="000000"/>
              <w:right w:val="single" w:sz="8" w:space="0" w:color="000000"/>
            </w:tcBorders>
            <w:shd w:val="clear" w:color="auto" w:fill="auto"/>
            <w:tcMar>
              <w:top w:w="4" w:type="dxa"/>
              <w:left w:w="31" w:type="dxa"/>
              <w:bottom w:w="0" w:type="dxa"/>
              <w:right w:w="31" w:type="dxa"/>
            </w:tcMar>
            <w:hideMark/>
          </w:tcPr>
          <w:p w14:paraId="7098690C" w14:textId="77777777" w:rsidR="00BE0B19" w:rsidRPr="00AE47C6" w:rsidRDefault="00BE0B19" w:rsidP="00BE0B19">
            <w:pPr>
              <w:spacing w:line="360" w:lineRule="auto"/>
              <w:jc w:val="center"/>
              <w:rPr>
                <w:rFonts w:ascii="Times New Roman" w:eastAsia="SimSun" w:hAnsi="Times New Roman"/>
                <w:b/>
                <w:bCs/>
                <w:sz w:val="24"/>
                <w:szCs w:val="24"/>
              </w:rPr>
            </w:pPr>
            <w:r w:rsidRPr="00AE47C6">
              <w:rPr>
                <w:rFonts w:ascii="Times New Roman" w:eastAsia="SimSun" w:hAnsi="Times New Roman"/>
                <w:b/>
                <w:bCs/>
                <w:sz w:val="24"/>
                <w:szCs w:val="24"/>
              </w:rPr>
              <w:t>Допълваща терапия</w:t>
            </w:r>
          </w:p>
        </w:tc>
      </w:tr>
      <w:tr w:rsidR="00BE0B19" w:rsidRPr="00AE47C6" w14:paraId="7410A393" w14:textId="77777777" w:rsidTr="00AD72E5">
        <w:trPr>
          <w:trHeight w:val="380"/>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62062095" w14:textId="77777777" w:rsidR="00BE0B19" w:rsidRPr="00AE47C6" w:rsidRDefault="00BE0B19" w:rsidP="00BE0B19">
            <w:pPr>
              <w:spacing w:line="360" w:lineRule="auto"/>
              <w:jc w:val="center"/>
              <w:rPr>
                <w:rFonts w:ascii="Times New Roman" w:eastAsia="SimSun" w:hAnsi="Times New Roman"/>
                <w:b/>
                <w:bCs/>
                <w:sz w:val="24"/>
                <w:szCs w:val="24"/>
              </w:rPr>
            </w:pPr>
            <w:r w:rsidRPr="00AE47C6">
              <w:rPr>
                <w:rFonts w:ascii="Times New Roman" w:eastAsia="SimSun" w:hAnsi="Times New Roman"/>
                <w:b/>
                <w:bCs/>
                <w:sz w:val="24"/>
                <w:szCs w:val="24"/>
              </w:rPr>
              <w:t>Valproate (10-50 mg/kg)</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201CCD4C"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Абсанси,  ГТКП, фокални, ВГТКП</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0BFC95EF"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Абсанси,  ГТКП, фокални, ВГТКП (ФДКТП)</w:t>
            </w:r>
          </w:p>
        </w:tc>
      </w:tr>
      <w:tr w:rsidR="00BE0B19" w:rsidRPr="00AE47C6" w14:paraId="72604DF6" w14:textId="77777777" w:rsidTr="00AD72E5">
        <w:trPr>
          <w:trHeight w:val="380"/>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3D602F9F" w14:textId="77777777" w:rsidR="00BE0B19" w:rsidRPr="00AE47C6" w:rsidRDefault="00BE0B19" w:rsidP="00BE0B19">
            <w:pPr>
              <w:spacing w:line="360" w:lineRule="auto"/>
              <w:jc w:val="center"/>
              <w:rPr>
                <w:rFonts w:ascii="Times New Roman" w:eastAsia="SimSun" w:hAnsi="Times New Roman"/>
                <w:b/>
                <w:bCs/>
                <w:sz w:val="24"/>
                <w:szCs w:val="24"/>
              </w:rPr>
            </w:pPr>
            <w:r w:rsidRPr="00AE47C6">
              <w:rPr>
                <w:rFonts w:ascii="Times New Roman" w:eastAsia="SimSun" w:hAnsi="Times New Roman"/>
                <w:b/>
                <w:bCs/>
                <w:sz w:val="24"/>
                <w:szCs w:val="24"/>
              </w:rPr>
              <w:t>Carbamazepin (10-20 mg/kg)</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2E0FABEC"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фокални, ВГТКП</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2A434950"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ГТКП, фокални, ВГТКП (ФДКТП)</w:t>
            </w:r>
          </w:p>
        </w:tc>
      </w:tr>
      <w:tr w:rsidR="00BE0B19" w:rsidRPr="00AE47C6" w14:paraId="0D7FAC87" w14:textId="77777777" w:rsidTr="00AD72E5">
        <w:trPr>
          <w:trHeight w:val="380"/>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739BD6A4" w14:textId="77777777" w:rsidR="00BE0B19" w:rsidRPr="00AE47C6" w:rsidRDefault="00BE0B19" w:rsidP="00BE0B19">
            <w:pPr>
              <w:spacing w:line="360" w:lineRule="auto"/>
              <w:jc w:val="center"/>
              <w:rPr>
                <w:rFonts w:ascii="Times New Roman" w:eastAsia="SimSun" w:hAnsi="Times New Roman"/>
                <w:b/>
                <w:bCs/>
                <w:sz w:val="24"/>
                <w:szCs w:val="24"/>
              </w:rPr>
            </w:pPr>
            <w:r w:rsidRPr="00AE47C6">
              <w:rPr>
                <w:rFonts w:ascii="Times New Roman" w:eastAsia="SimSun" w:hAnsi="Times New Roman"/>
                <w:b/>
                <w:bCs/>
                <w:sz w:val="24"/>
                <w:szCs w:val="24"/>
              </w:rPr>
              <w:t>Ethosuximide (15-30 mg/kg)</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3C865095"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Абсанси</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07CE397A" w14:textId="77777777" w:rsidR="00BE0B19" w:rsidRPr="00AE47C6" w:rsidRDefault="00BE0B19" w:rsidP="00BE0B19">
            <w:pPr>
              <w:spacing w:line="360" w:lineRule="auto"/>
              <w:jc w:val="center"/>
              <w:rPr>
                <w:rFonts w:ascii="Times New Roman" w:eastAsia="SimSun" w:hAnsi="Times New Roman"/>
                <w:bCs/>
                <w:sz w:val="24"/>
                <w:szCs w:val="24"/>
              </w:rPr>
            </w:pPr>
          </w:p>
        </w:tc>
      </w:tr>
      <w:tr w:rsidR="00BE0B19" w:rsidRPr="00AE47C6" w14:paraId="2B65C537" w14:textId="77777777" w:rsidTr="00AD72E5">
        <w:trPr>
          <w:trHeight w:val="360"/>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760A7B26" w14:textId="77777777" w:rsidR="00BE0B19" w:rsidRPr="00AE47C6" w:rsidRDefault="00BE0B19" w:rsidP="00BE0B19">
            <w:pPr>
              <w:spacing w:line="360" w:lineRule="auto"/>
              <w:jc w:val="center"/>
              <w:rPr>
                <w:rFonts w:ascii="Times New Roman" w:eastAsia="SimSun" w:hAnsi="Times New Roman"/>
                <w:b/>
                <w:bCs/>
                <w:sz w:val="24"/>
                <w:szCs w:val="24"/>
              </w:rPr>
            </w:pPr>
            <w:r w:rsidRPr="00AE47C6">
              <w:rPr>
                <w:rFonts w:ascii="Times New Roman" w:eastAsia="SimSun" w:hAnsi="Times New Roman"/>
                <w:b/>
                <w:bCs/>
                <w:sz w:val="24"/>
                <w:szCs w:val="24"/>
              </w:rPr>
              <w:t>Phenytoin (3-8 mg/kg)</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0B236548"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ГТКП, фокални, ВГТКП</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67F13406"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ГТКП, фокални, ВГТКП (ФДКТП)</w:t>
            </w:r>
          </w:p>
        </w:tc>
      </w:tr>
      <w:tr w:rsidR="00BE0B19" w:rsidRPr="00AE47C6" w14:paraId="38444130" w14:textId="77777777" w:rsidTr="00AD72E5">
        <w:trPr>
          <w:trHeight w:val="1098"/>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7A4B8C32" w14:textId="77777777" w:rsidR="00BE0B19" w:rsidRPr="00AE47C6" w:rsidRDefault="00BE0B19" w:rsidP="00BE0B19">
            <w:pPr>
              <w:spacing w:line="360" w:lineRule="auto"/>
              <w:jc w:val="center"/>
              <w:rPr>
                <w:rFonts w:ascii="Times New Roman" w:eastAsia="SimSun" w:hAnsi="Times New Roman"/>
                <w:b/>
                <w:bCs/>
                <w:sz w:val="24"/>
                <w:szCs w:val="24"/>
              </w:rPr>
            </w:pPr>
            <w:r w:rsidRPr="00AE47C6">
              <w:rPr>
                <w:rFonts w:ascii="Times New Roman" w:eastAsia="SimSun" w:hAnsi="Times New Roman"/>
                <w:b/>
                <w:bCs/>
                <w:sz w:val="24"/>
                <w:szCs w:val="24"/>
              </w:rPr>
              <w:t>Lamotrigine (3-10 mg/kg)</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3F4E435D"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Абсанси- начална терапия</w:t>
            </w:r>
          </w:p>
          <w:p w14:paraId="387B2186"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 xml:space="preserve">2-12 г. - монотерапия на ИГЕ, фокални пристъпи, LGS </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66C1EA3E"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Над 2 г. - допълваща терапия на ИГЕ, фокални пристъпи, синдром на Lennox-Gastaut</w:t>
            </w:r>
          </w:p>
        </w:tc>
      </w:tr>
      <w:tr w:rsidR="00BE0B19" w:rsidRPr="00AE47C6" w14:paraId="727439DF" w14:textId="77777777" w:rsidTr="00AD72E5">
        <w:trPr>
          <w:trHeight w:val="724"/>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2D85A129" w14:textId="77777777" w:rsidR="00BE0B19" w:rsidRPr="00AE47C6" w:rsidRDefault="00BE0B19" w:rsidP="00BE0B19">
            <w:pPr>
              <w:spacing w:line="360" w:lineRule="auto"/>
              <w:jc w:val="center"/>
              <w:rPr>
                <w:rFonts w:ascii="Times New Roman" w:eastAsia="SimSun" w:hAnsi="Times New Roman"/>
                <w:b/>
                <w:bCs/>
                <w:sz w:val="24"/>
                <w:szCs w:val="24"/>
              </w:rPr>
            </w:pPr>
            <w:r w:rsidRPr="00AE47C6">
              <w:rPr>
                <w:rFonts w:ascii="Times New Roman" w:eastAsia="SimSun" w:hAnsi="Times New Roman"/>
                <w:b/>
                <w:bCs/>
                <w:sz w:val="24"/>
                <w:szCs w:val="24"/>
              </w:rPr>
              <w:t>Topiramat (3-9 mg/kg)</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7A8469BF"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Над 2 г.- генерализирана и фокална епилепсия</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44D9CC02"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Над 2 г.- генерализирана и фокална епилепсия, синдром на Lennox-Gastaut</w:t>
            </w:r>
          </w:p>
        </w:tc>
      </w:tr>
      <w:tr w:rsidR="00BE0B19" w:rsidRPr="00AE47C6" w14:paraId="66551AEC" w14:textId="77777777" w:rsidTr="00AD72E5">
        <w:trPr>
          <w:trHeight w:val="915"/>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6FDD1559" w14:textId="77777777" w:rsidR="00BE0B19" w:rsidRPr="00AE47C6" w:rsidRDefault="00BE0B19" w:rsidP="00BE0B19">
            <w:pPr>
              <w:spacing w:line="360" w:lineRule="auto"/>
              <w:jc w:val="center"/>
              <w:rPr>
                <w:rFonts w:ascii="Times New Roman" w:eastAsia="SimSun" w:hAnsi="Times New Roman"/>
                <w:b/>
                <w:bCs/>
                <w:sz w:val="24"/>
                <w:szCs w:val="24"/>
              </w:rPr>
            </w:pPr>
            <w:r w:rsidRPr="00AE47C6">
              <w:rPr>
                <w:rFonts w:ascii="Times New Roman" w:eastAsia="SimSun" w:hAnsi="Times New Roman"/>
                <w:b/>
                <w:bCs/>
                <w:sz w:val="24"/>
                <w:szCs w:val="24"/>
              </w:rPr>
              <w:t>Levetiracetam (40-60 mg/kg)</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0F88E28F"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Над 16 г.- начална фокални пристъпи</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116838BB"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Над 1 месец- фокални и ВГТКП (ФДКТП); над 12 г.-миоклонични пристъпи при  ювенилна миоклонична епилепсия и  ГТКП</w:t>
            </w:r>
          </w:p>
        </w:tc>
      </w:tr>
      <w:tr w:rsidR="00BE0B19" w:rsidRPr="00AE47C6" w14:paraId="69339C48" w14:textId="77777777" w:rsidTr="00AD72E5">
        <w:trPr>
          <w:trHeight w:val="511"/>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69F6CA64" w14:textId="77777777" w:rsidR="00BE0B19" w:rsidRPr="00AE47C6" w:rsidRDefault="00BE0B19" w:rsidP="00BE0B19">
            <w:pPr>
              <w:spacing w:line="360" w:lineRule="auto"/>
              <w:jc w:val="center"/>
              <w:rPr>
                <w:rFonts w:ascii="Times New Roman" w:eastAsia="SimSun" w:hAnsi="Times New Roman"/>
                <w:b/>
                <w:bCs/>
                <w:sz w:val="24"/>
                <w:szCs w:val="24"/>
              </w:rPr>
            </w:pPr>
            <w:r w:rsidRPr="00AE47C6">
              <w:rPr>
                <w:rFonts w:ascii="Times New Roman" w:eastAsia="SimSun" w:hAnsi="Times New Roman"/>
                <w:b/>
                <w:bCs/>
                <w:sz w:val="24"/>
                <w:szCs w:val="24"/>
              </w:rPr>
              <w:t>Охcarbazepine (30-46 mg/kg)</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3BBF456E"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Над 6 г. фокални и ВГТКП</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33D76467"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Над 6 г. - фокални и ВГТКП (ФДКТП)</w:t>
            </w:r>
          </w:p>
        </w:tc>
      </w:tr>
      <w:tr w:rsidR="00BE0B19" w:rsidRPr="00AE47C6" w14:paraId="6AD24FC8" w14:textId="77777777" w:rsidTr="00AD72E5">
        <w:trPr>
          <w:trHeight w:val="611"/>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7BFF6054" w14:textId="77777777" w:rsidR="00BE0B19" w:rsidRPr="00AE47C6" w:rsidRDefault="00BE0B19" w:rsidP="00BE0B19">
            <w:pPr>
              <w:spacing w:line="360" w:lineRule="auto"/>
              <w:jc w:val="center"/>
              <w:rPr>
                <w:rFonts w:ascii="Times New Roman" w:eastAsia="SimSun" w:hAnsi="Times New Roman"/>
                <w:b/>
                <w:bCs/>
                <w:sz w:val="24"/>
                <w:szCs w:val="24"/>
              </w:rPr>
            </w:pPr>
            <w:r w:rsidRPr="00AE47C6">
              <w:rPr>
                <w:rFonts w:ascii="Times New Roman" w:eastAsia="SimSun" w:hAnsi="Times New Roman"/>
                <w:b/>
                <w:bCs/>
                <w:sz w:val="24"/>
                <w:szCs w:val="24"/>
              </w:rPr>
              <w:t>Brivaracetam  (1-4 mg/kg)</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0F1F5F1E"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4190CB41"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Над 2 г. - за допълваща терапия при фокални и ВГТКП(ФДКТП)</w:t>
            </w:r>
          </w:p>
        </w:tc>
      </w:tr>
      <w:tr w:rsidR="00BE0B19" w:rsidRPr="00AE47C6" w14:paraId="7FB11973" w14:textId="77777777" w:rsidTr="00AD72E5">
        <w:trPr>
          <w:trHeight w:val="427"/>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214B9D53" w14:textId="77777777" w:rsidR="00BE0B19" w:rsidRPr="00AE47C6" w:rsidRDefault="00BE0B19" w:rsidP="00BE0B19">
            <w:pPr>
              <w:spacing w:line="360" w:lineRule="auto"/>
              <w:jc w:val="center"/>
              <w:rPr>
                <w:rFonts w:ascii="Times New Roman" w:eastAsia="SimSun" w:hAnsi="Times New Roman"/>
                <w:b/>
                <w:bCs/>
                <w:sz w:val="24"/>
                <w:szCs w:val="24"/>
              </w:rPr>
            </w:pPr>
            <w:r w:rsidRPr="00AE47C6">
              <w:rPr>
                <w:rFonts w:ascii="Times New Roman" w:eastAsia="SimSun" w:hAnsi="Times New Roman"/>
                <w:b/>
                <w:bCs/>
                <w:sz w:val="24"/>
                <w:szCs w:val="24"/>
              </w:rPr>
              <w:t>Gabapentin (40 mg/kg)</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6CDF41C1"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Над 12 г. - фокални пристъпи</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4BEA89B1"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Над 6 г. -допълваща терапия при фокални пристъпи</w:t>
            </w:r>
          </w:p>
        </w:tc>
      </w:tr>
      <w:tr w:rsidR="00BE0B19" w:rsidRPr="00AE47C6" w14:paraId="0EEEB34F" w14:textId="77777777" w:rsidTr="00AD72E5">
        <w:trPr>
          <w:trHeight w:val="506"/>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482A3BED" w14:textId="77777777" w:rsidR="00BE0B19" w:rsidRPr="00AE47C6" w:rsidRDefault="00BE0B19" w:rsidP="00BE0B19">
            <w:pPr>
              <w:spacing w:line="360" w:lineRule="auto"/>
              <w:jc w:val="center"/>
              <w:rPr>
                <w:rFonts w:ascii="Times New Roman" w:eastAsia="SimSun" w:hAnsi="Times New Roman"/>
                <w:b/>
                <w:bCs/>
                <w:sz w:val="24"/>
                <w:szCs w:val="24"/>
              </w:rPr>
            </w:pPr>
            <w:r w:rsidRPr="00AE47C6">
              <w:rPr>
                <w:rFonts w:ascii="Times New Roman" w:eastAsia="SimSun" w:hAnsi="Times New Roman"/>
                <w:b/>
                <w:bCs/>
                <w:sz w:val="24"/>
                <w:szCs w:val="24"/>
              </w:rPr>
              <w:t>Lacosamide (8-10 mg/kg)</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1749C359"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На и над 4 г. - монотерапия при фокални пристъпи</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03D7F56B"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Над 4 г. - допълваща терапия при фокални пристъпи</w:t>
            </w:r>
          </w:p>
        </w:tc>
      </w:tr>
      <w:tr w:rsidR="00BE0B19" w:rsidRPr="00AE47C6" w14:paraId="16DDD7C9" w14:textId="77777777" w:rsidTr="00AD72E5">
        <w:trPr>
          <w:trHeight w:val="611"/>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7661A255" w14:textId="77777777" w:rsidR="00BE0B19" w:rsidRPr="00AE47C6" w:rsidRDefault="00BE0B19" w:rsidP="00BE0B19">
            <w:pPr>
              <w:spacing w:line="360" w:lineRule="auto"/>
              <w:jc w:val="center"/>
              <w:rPr>
                <w:rFonts w:ascii="Times New Roman" w:eastAsia="SimSun" w:hAnsi="Times New Roman"/>
                <w:b/>
                <w:bCs/>
                <w:sz w:val="24"/>
                <w:szCs w:val="24"/>
              </w:rPr>
            </w:pPr>
            <w:r w:rsidRPr="00AE47C6">
              <w:rPr>
                <w:rFonts w:ascii="Times New Roman" w:eastAsia="SimSun" w:hAnsi="Times New Roman"/>
                <w:b/>
                <w:bCs/>
                <w:sz w:val="24"/>
                <w:szCs w:val="24"/>
              </w:rPr>
              <w:t>Tiagabine (0,1- 1 mg/kg)</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1A9D7F68"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272D7B3F"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Над 12 г. - допълваща терапия при фокални пристъпи</w:t>
            </w:r>
          </w:p>
        </w:tc>
      </w:tr>
      <w:tr w:rsidR="00BE0B19" w:rsidRPr="00AE47C6" w14:paraId="64A9EB78" w14:textId="77777777" w:rsidTr="00AD72E5">
        <w:trPr>
          <w:trHeight w:val="979"/>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57AC00D3" w14:textId="77777777" w:rsidR="00BE0B19" w:rsidRPr="00AE47C6" w:rsidRDefault="00BE0B19" w:rsidP="00BE0B19">
            <w:pPr>
              <w:spacing w:line="360" w:lineRule="auto"/>
              <w:jc w:val="center"/>
              <w:rPr>
                <w:rFonts w:ascii="Times New Roman" w:eastAsia="SimSun" w:hAnsi="Times New Roman"/>
                <w:b/>
                <w:bCs/>
                <w:sz w:val="24"/>
                <w:szCs w:val="24"/>
              </w:rPr>
            </w:pPr>
            <w:r w:rsidRPr="00AE47C6">
              <w:rPr>
                <w:rFonts w:ascii="Times New Roman" w:eastAsia="SimSun" w:hAnsi="Times New Roman"/>
                <w:b/>
                <w:bCs/>
                <w:sz w:val="24"/>
                <w:szCs w:val="24"/>
              </w:rPr>
              <w:t>Eslicarbazepine (10-30 mg/kg)</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7CA89170"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Над 18 г. Фокални и ВГТКП</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hideMark/>
          </w:tcPr>
          <w:p w14:paraId="69E08061" w14:textId="77777777" w:rsidR="00BE0B19" w:rsidRPr="00AE47C6" w:rsidRDefault="00BE0B19" w:rsidP="00BE0B19">
            <w:pPr>
              <w:spacing w:line="360" w:lineRule="auto"/>
              <w:jc w:val="center"/>
              <w:rPr>
                <w:rFonts w:ascii="Times New Roman" w:eastAsia="SimSun" w:hAnsi="Times New Roman"/>
                <w:bCs/>
                <w:sz w:val="24"/>
                <w:szCs w:val="24"/>
              </w:rPr>
            </w:pPr>
            <w:r w:rsidRPr="00AE47C6">
              <w:rPr>
                <w:rFonts w:ascii="Times New Roman" w:eastAsia="SimSun" w:hAnsi="Times New Roman"/>
                <w:bCs/>
                <w:sz w:val="24"/>
                <w:szCs w:val="24"/>
              </w:rPr>
              <w:t> Над 6 г.- допълваща терапия при фокални и ВГТКП (ФДКТП)</w:t>
            </w:r>
          </w:p>
        </w:tc>
      </w:tr>
      <w:tr w:rsidR="00BE0B19" w:rsidRPr="00AE47C6" w14:paraId="5C41F75A" w14:textId="77777777" w:rsidTr="00AD72E5">
        <w:trPr>
          <w:trHeight w:val="979"/>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65BB3973" w14:textId="77777777" w:rsidR="00BE0B19" w:rsidRPr="00AE47C6" w:rsidRDefault="00BE0B19" w:rsidP="00BE0B19">
            <w:pPr>
              <w:spacing w:after="160" w:line="240" w:lineRule="auto"/>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Vigabatrin**</w:t>
            </w:r>
            <w:r w:rsidRPr="00AE47C6">
              <w:rPr>
                <w:rFonts w:ascii="Times New Roman" w:eastAsia="SimSun" w:hAnsi="Times New Roman"/>
                <w:kern w:val="24"/>
                <w:sz w:val="24"/>
                <w:szCs w:val="24"/>
                <w:lang w:eastAsia="bg-BG"/>
              </w:rPr>
              <w:t xml:space="preserve"> от 4 mg/kg титриране до 100-150 mg/kg</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5A97EF54" w14:textId="77777777" w:rsidR="00BE0B19" w:rsidRPr="00AE47C6" w:rsidRDefault="00BE0B19" w:rsidP="00BE0B19">
            <w:pPr>
              <w:spacing w:after="160" w:line="256" w:lineRule="auto"/>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Синдром на West</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11C561B4" w14:textId="77777777" w:rsidR="00BE0B19" w:rsidRPr="00AE47C6" w:rsidRDefault="00BE0B19" w:rsidP="00BE0B19">
            <w:pPr>
              <w:spacing w:after="160" w:line="256" w:lineRule="auto"/>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Синдром на West</w:t>
            </w:r>
          </w:p>
        </w:tc>
      </w:tr>
      <w:tr w:rsidR="00BE0B19" w:rsidRPr="00AE47C6" w14:paraId="1B13FD5D" w14:textId="77777777" w:rsidTr="00AD72E5">
        <w:trPr>
          <w:trHeight w:val="979"/>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69BB240A" w14:textId="77777777" w:rsidR="00BE0B19" w:rsidRPr="00AE47C6" w:rsidRDefault="00BE0B19" w:rsidP="00BE0B19">
            <w:pPr>
              <w:spacing w:after="160" w:line="240" w:lineRule="auto"/>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Rufinamide</w:t>
            </w:r>
            <w:r w:rsidRPr="00AE47C6">
              <w:rPr>
                <w:rFonts w:ascii="Times New Roman" w:eastAsia="SimSun" w:hAnsi="Times New Roman"/>
                <w:kern w:val="24"/>
                <w:sz w:val="24"/>
                <w:szCs w:val="24"/>
                <w:lang w:eastAsia="bg-BG"/>
              </w:rPr>
              <w:t>* - 45 mg/kg</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4B62867F" w14:textId="77777777" w:rsidR="00BE0B19" w:rsidRPr="00AE47C6" w:rsidRDefault="00BE0B19" w:rsidP="00BE0B19">
            <w:pPr>
              <w:spacing w:after="160" w:line="256" w:lineRule="auto"/>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1DCEA170" w14:textId="77777777" w:rsidR="00BE0B19" w:rsidRPr="00AE47C6" w:rsidRDefault="00BE0B19" w:rsidP="00BE0B19">
            <w:pPr>
              <w:spacing w:after="160" w:line="256" w:lineRule="auto"/>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Синдром на Lennox-Gastaut ≥ 4 години, възможно при епилептични спазми, миоклонично-астатична епилепсия</w:t>
            </w:r>
          </w:p>
        </w:tc>
      </w:tr>
      <w:tr w:rsidR="00BE0B19" w:rsidRPr="00AE47C6" w14:paraId="74BF1BA5" w14:textId="77777777" w:rsidTr="00AD72E5">
        <w:trPr>
          <w:trHeight w:val="979"/>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68EB8AAF" w14:textId="77777777" w:rsidR="00BE0B19" w:rsidRPr="00AE47C6" w:rsidRDefault="00BE0B19" w:rsidP="00BE0B19">
            <w:pPr>
              <w:spacing w:after="160" w:line="240" w:lineRule="auto"/>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 xml:space="preserve">Stiripentol* </w:t>
            </w:r>
            <w:r w:rsidRPr="00AE47C6">
              <w:rPr>
                <w:rFonts w:ascii="Times New Roman" w:eastAsia="SimSun" w:hAnsi="Times New Roman"/>
                <w:kern w:val="24"/>
                <w:sz w:val="24"/>
                <w:szCs w:val="24"/>
                <w:lang w:eastAsia="bg-BG"/>
              </w:rPr>
              <w:t xml:space="preserve">- 50- 100 </w:t>
            </w:r>
            <w:r w:rsidRPr="00AE47C6">
              <w:rPr>
                <w:rFonts w:ascii="Times New Roman" w:eastAsia="SimSun" w:hAnsi="Times New Roman"/>
                <w:b/>
                <w:bCs/>
                <w:sz w:val="24"/>
                <w:szCs w:val="24"/>
                <w:lang w:eastAsia="bg-BG"/>
              </w:rPr>
              <w:t>mg/kg</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2F345ABB" w14:textId="77777777" w:rsidR="00BE0B19" w:rsidRPr="00AE47C6" w:rsidRDefault="00BE0B19" w:rsidP="00BE0B19">
            <w:pPr>
              <w:spacing w:after="160" w:line="256" w:lineRule="auto"/>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068974C7" w14:textId="77777777" w:rsidR="00BE0B19" w:rsidRPr="00AE47C6" w:rsidRDefault="00BE0B19" w:rsidP="00BE0B19">
            <w:pPr>
              <w:spacing w:after="160" w:line="256" w:lineRule="auto"/>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Синдром на Dravet (SMEI) ≥ 3 години</w:t>
            </w:r>
          </w:p>
          <w:p w14:paraId="6251BCA6" w14:textId="77777777" w:rsidR="00BE0B19" w:rsidRPr="00AE47C6" w:rsidRDefault="00BE0B19" w:rsidP="00BE0B19">
            <w:pPr>
              <w:spacing w:after="160" w:line="256" w:lineRule="auto"/>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Резистентни фокални пристъпи, епилептичен статус</w:t>
            </w:r>
          </w:p>
        </w:tc>
      </w:tr>
      <w:tr w:rsidR="00BE0B19" w:rsidRPr="00AE47C6" w14:paraId="777912B2" w14:textId="77777777" w:rsidTr="00AD72E5">
        <w:trPr>
          <w:trHeight w:val="979"/>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629485FF" w14:textId="77777777" w:rsidR="00BE0B19" w:rsidRPr="00AE47C6" w:rsidRDefault="00BE0B19" w:rsidP="00BE0B19">
            <w:pPr>
              <w:spacing w:after="160" w:line="240" w:lineRule="auto"/>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 xml:space="preserve">Sulthiam** </w:t>
            </w:r>
            <w:r w:rsidRPr="00AE47C6">
              <w:rPr>
                <w:rFonts w:ascii="Times New Roman" w:eastAsia="SimSun" w:hAnsi="Times New Roman"/>
                <w:kern w:val="24"/>
                <w:sz w:val="24"/>
                <w:szCs w:val="24"/>
                <w:lang w:eastAsia="bg-BG"/>
              </w:rPr>
              <w:t xml:space="preserve">  от 3 mg/kg, титриране до 5 - 10 mg/kg</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76E5679E" w14:textId="77777777" w:rsidR="00BE0B19" w:rsidRPr="00AE47C6" w:rsidRDefault="00BE0B19" w:rsidP="00BE0B19">
            <w:pPr>
              <w:spacing w:after="160" w:line="256" w:lineRule="auto"/>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59C50C63" w14:textId="77777777" w:rsidR="00BE0B19" w:rsidRPr="00AE47C6" w:rsidRDefault="00BE0B19" w:rsidP="00BE0B19">
            <w:pPr>
              <w:spacing w:after="160" w:line="256" w:lineRule="auto"/>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 xml:space="preserve">Роландова епилепсия след неуспех от други АЕЛ; фокални пристъпи и ВГТКП </w:t>
            </w:r>
            <w:r w:rsidRPr="00AE47C6">
              <w:rPr>
                <w:rFonts w:ascii="Times New Roman" w:eastAsia="SimSun" w:hAnsi="Times New Roman"/>
                <w:bCs/>
                <w:sz w:val="24"/>
                <w:szCs w:val="24"/>
                <w:lang w:eastAsia="bg-BG"/>
              </w:rPr>
              <w:t>(ФДКТП)</w:t>
            </w:r>
            <w:r w:rsidRPr="00AE47C6">
              <w:rPr>
                <w:rFonts w:ascii="Times New Roman" w:eastAsia="SimSun" w:hAnsi="Times New Roman"/>
                <w:bCs/>
                <w:kern w:val="24"/>
                <w:sz w:val="24"/>
                <w:szCs w:val="24"/>
                <w:lang w:eastAsia="bg-BG"/>
              </w:rPr>
              <w:t>, синдром на Rett, eпилептични енцефалопатии</w:t>
            </w:r>
          </w:p>
        </w:tc>
      </w:tr>
      <w:tr w:rsidR="00BE0B19" w:rsidRPr="00AE47C6" w14:paraId="2ABD2047" w14:textId="77777777" w:rsidTr="00AD72E5">
        <w:trPr>
          <w:trHeight w:val="979"/>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7ACF239B" w14:textId="77777777" w:rsidR="00BE0B19" w:rsidRPr="00AE47C6" w:rsidRDefault="00BE0B19" w:rsidP="00BE0B19">
            <w:pPr>
              <w:spacing w:after="160" w:line="240" w:lineRule="auto"/>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Clobazam**</w:t>
            </w:r>
          </w:p>
          <w:p w14:paraId="7795F5B4" w14:textId="77777777" w:rsidR="00BE0B19" w:rsidRPr="00AE47C6" w:rsidRDefault="00BE0B19" w:rsidP="00BE0B19">
            <w:pPr>
              <w:spacing w:after="160" w:line="240" w:lineRule="auto"/>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0,4-1 mg/kg</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4EFFF918" w14:textId="77777777" w:rsidR="00BE0B19" w:rsidRPr="00AE47C6" w:rsidRDefault="00BE0B19" w:rsidP="00BE0B19">
            <w:pPr>
              <w:spacing w:after="160" w:line="256" w:lineRule="auto"/>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 -</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4D03ED8D" w14:textId="77777777" w:rsidR="00BE0B19" w:rsidRPr="00AE47C6" w:rsidRDefault="00BE0B19" w:rsidP="00BE0B19">
            <w:pPr>
              <w:spacing w:after="160" w:line="256" w:lineRule="auto"/>
              <w:rPr>
                <w:rFonts w:ascii="Times New Roman" w:eastAsia="SimSun" w:hAnsi="Times New Roman"/>
                <w:sz w:val="24"/>
                <w:szCs w:val="24"/>
                <w:lang w:eastAsia="bg-BG"/>
              </w:rPr>
            </w:pPr>
            <w:r w:rsidRPr="00AE47C6">
              <w:rPr>
                <w:rFonts w:ascii="Times New Roman" w:eastAsia="Calibri" w:hAnsi="Times New Roman"/>
                <w:bCs/>
                <w:kern w:val="24"/>
                <w:sz w:val="24"/>
                <w:szCs w:val="24"/>
                <w:lang w:eastAsia="bg-BG"/>
              </w:rPr>
              <w:t xml:space="preserve">Синдром на Lennox-Gastaut ≥ 2 години,  синдром на </w:t>
            </w:r>
            <w:r w:rsidRPr="00AE47C6">
              <w:rPr>
                <w:rFonts w:ascii="Times New Roman" w:eastAsia="SimSun" w:hAnsi="Times New Roman"/>
                <w:bCs/>
                <w:kern w:val="24"/>
                <w:sz w:val="24"/>
                <w:szCs w:val="24"/>
                <w:lang w:eastAsia="bg-BG"/>
              </w:rPr>
              <w:t>синдром на Dravet</w:t>
            </w:r>
            <w:r w:rsidRPr="00AE47C6">
              <w:rPr>
                <w:rFonts w:ascii="Times New Roman" w:eastAsia="Calibri" w:hAnsi="Times New Roman"/>
                <w:bCs/>
                <w:kern w:val="24"/>
                <w:sz w:val="24"/>
                <w:szCs w:val="24"/>
                <w:lang w:eastAsia="bg-BG"/>
              </w:rPr>
              <w:t>≥ 2 години; Фокални и генерализирани пристъпи с терапевтична резистентност</w:t>
            </w:r>
          </w:p>
        </w:tc>
      </w:tr>
      <w:tr w:rsidR="00BE0B19" w:rsidRPr="00AE47C6" w14:paraId="1AEB2D64" w14:textId="77777777" w:rsidTr="00AD72E5">
        <w:trPr>
          <w:trHeight w:val="1719"/>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348C0668" w14:textId="77777777" w:rsidR="00BE0B19" w:rsidRPr="00AE47C6" w:rsidRDefault="00BE0B19" w:rsidP="00BE0B19">
            <w:pPr>
              <w:spacing w:after="160" w:line="240" w:lineRule="auto"/>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Zonisamide**</w:t>
            </w:r>
          </w:p>
          <w:p w14:paraId="7ADE899C" w14:textId="77777777" w:rsidR="00BE0B19" w:rsidRPr="00AE47C6" w:rsidRDefault="00BE0B19" w:rsidP="00BE0B19">
            <w:pPr>
              <w:spacing w:after="160" w:line="240" w:lineRule="auto"/>
              <w:jc w:val="both"/>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 6 г. и юноши</w:t>
            </w:r>
          </w:p>
          <w:p w14:paraId="465230F7" w14:textId="77777777" w:rsidR="00BE0B19" w:rsidRPr="00AE47C6" w:rsidRDefault="00BE0B19" w:rsidP="00BE0B19">
            <w:pPr>
              <w:spacing w:after="160" w:line="240" w:lineRule="auto"/>
              <w:jc w:val="both"/>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 xml:space="preserve">≥50 kg- 1 mg/kg титриране до 8-12 </w:t>
            </w:r>
            <w:r w:rsidRPr="00AE47C6">
              <w:rPr>
                <w:rFonts w:ascii="Times New Roman" w:eastAsia="SimSun" w:hAnsi="Times New Roman"/>
                <w:sz w:val="24"/>
                <w:szCs w:val="24"/>
                <w:lang w:eastAsia="bg-BG"/>
              </w:rPr>
              <w:t>mg/kg</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5A2D40FB" w14:textId="77777777" w:rsidR="00BE0B19" w:rsidRPr="00AE47C6" w:rsidRDefault="00BE0B19" w:rsidP="00BE0B19">
            <w:pPr>
              <w:spacing w:after="160" w:line="256" w:lineRule="auto"/>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 -</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1522C171" w14:textId="77777777" w:rsidR="00BE0B19" w:rsidRPr="00AE47C6" w:rsidRDefault="00BE0B19" w:rsidP="00BE0B19">
            <w:pPr>
              <w:spacing w:after="160" w:line="256" w:lineRule="auto"/>
              <w:rPr>
                <w:rFonts w:ascii="Times New Roman" w:eastAsia="SimSun" w:hAnsi="Times New Roman"/>
                <w:sz w:val="24"/>
                <w:szCs w:val="24"/>
                <w:lang w:eastAsia="bg-BG"/>
              </w:rPr>
            </w:pPr>
            <w:r w:rsidRPr="00AE47C6">
              <w:rPr>
                <w:rFonts w:ascii="Times New Roman" w:eastAsia="Calibri" w:hAnsi="Times New Roman"/>
                <w:bCs/>
                <w:kern w:val="24"/>
                <w:sz w:val="24"/>
                <w:szCs w:val="24"/>
                <w:lang w:eastAsia="bg-BG"/>
              </w:rPr>
              <w:t xml:space="preserve">Фокални  и ВГТКП  </w:t>
            </w:r>
            <w:r w:rsidRPr="00AE47C6">
              <w:rPr>
                <w:rFonts w:ascii="Times New Roman" w:eastAsia="Calibri" w:hAnsi="Times New Roman"/>
                <w:kern w:val="24"/>
                <w:sz w:val="24"/>
                <w:szCs w:val="24"/>
                <w:lang w:eastAsia="bg-BG"/>
              </w:rPr>
              <w:t>≥ 6 години</w:t>
            </w:r>
          </w:p>
          <w:p w14:paraId="7163C0DF" w14:textId="77777777" w:rsidR="00BE0B19" w:rsidRPr="00AE47C6" w:rsidRDefault="00BE0B19" w:rsidP="00BE0B19">
            <w:pPr>
              <w:spacing w:after="160" w:line="256" w:lineRule="auto"/>
              <w:rPr>
                <w:rFonts w:ascii="Times New Roman" w:eastAsia="SimSun" w:hAnsi="Times New Roman"/>
                <w:sz w:val="24"/>
                <w:szCs w:val="24"/>
                <w:lang w:eastAsia="bg-BG"/>
              </w:rPr>
            </w:pPr>
            <w:r w:rsidRPr="00AE47C6">
              <w:rPr>
                <w:rFonts w:ascii="Times New Roman" w:eastAsia="Calibri" w:hAnsi="Times New Roman"/>
                <w:bCs/>
                <w:kern w:val="24"/>
                <w:sz w:val="24"/>
                <w:szCs w:val="24"/>
                <w:lang w:eastAsia="bg-BG"/>
              </w:rPr>
              <w:t>ИГЕ с ГТКП, ЮМЕ; Синдром на West, Lennox-Gastaut, миоклонично-астатична епилепсия</w:t>
            </w:r>
          </w:p>
        </w:tc>
      </w:tr>
      <w:tr w:rsidR="00BE0B19" w:rsidRPr="00AE47C6" w14:paraId="06C6EF37" w14:textId="77777777" w:rsidTr="00AD72E5">
        <w:trPr>
          <w:trHeight w:val="979"/>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4B390AE7" w14:textId="77777777" w:rsidR="00BE0B19" w:rsidRPr="00AE47C6" w:rsidRDefault="00BE0B19" w:rsidP="00BE0B19">
            <w:pPr>
              <w:spacing w:after="160" w:line="240" w:lineRule="auto"/>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Cannabidiol*</w:t>
            </w:r>
          </w:p>
          <w:p w14:paraId="666414E2" w14:textId="77777777" w:rsidR="00BE0B19" w:rsidRPr="00AE47C6" w:rsidRDefault="00BE0B19" w:rsidP="00BE0B19">
            <w:pPr>
              <w:spacing w:after="160" w:line="240" w:lineRule="auto"/>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5 mg/kg/дневно, титриране до 10-  20 mg/kg</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2882218E" w14:textId="77777777" w:rsidR="00BE0B19" w:rsidRPr="00AE47C6" w:rsidRDefault="00BE0B19" w:rsidP="00BE0B19">
            <w:pPr>
              <w:spacing w:after="160" w:line="256" w:lineRule="auto"/>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 -</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234E1D4E" w14:textId="77777777" w:rsidR="00BE0B19" w:rsidRPr="00AE47C6" w:rsidRDefault="00BE0B19" w:rsidP="00BE0B19">
            <w:pPr>
              <w:spacing w:after="0" w:line="256" w:lineRule="auto"/>
              <w:rPr>
                <w:rFonts w:ascii="Times New Roman" w:eastAsia="SimSun" w:hAnsi="Times New Roman"/>
                <w:bCs/>
                <w:kern w:val="24"/>
                <w:sz w:val="24"/>
                <w:szCs w:val="24"/>
                <w:lang w:eastAsia="bg-BG"/>
              </w:rPr>
            </w:pPr>
            <w:r w:rsidRPr="00AE47C6">
              <w:rPr>
                <w:rFonts w:ascii="Times New Roman" w:eastAsia="SimSun" w:hAnsi="Times New Roman"/>
                <w:bCs/>
                <w:kern w:val="24"/>
                <w:sz w:val="24"/>
                <w:szCs w:val="24"/>
                <w:lang w:eastAsia="bg-BG"/>
              </w:rPr>
              <w:t>Синдром на Lennox-Gastaut и синдром на Dravet, в комбинация с clobazam за пациенти ≥ 2 години. Лечение на пристъпи, свързани със туберозна склероза комплекс ( TSK)</w:t>
            </w:r>
          </w:p>
        </w:tc>
      </w:tr>
      <w:tr w:rsidR="00BE0B19" w:rsidRPr="00AE47C6" w14:paraId="081E4052" w14:textId="77777777" w:rsidTr="00AD72E5">
        <w:trPr>
          <w:trHeight w:val="979"/>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18D3B519" w14:textId="77777777" w:rsidR="00BE0B19" w:rsidRPr="00AE47C6" w:rsidRDefault="00BE0B19" w:rsidP="00BE0B19">
            <w:pPr>
              <w:spacing w:after="160" w:line="240" w:lineRule="auto"/>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Fenfluramine*- ≥</w:t>
            </w:r>
            <w:r w:rsidRPr="00AE47C6">
              <w:rPr>
                <w:rFonts w:ascii="Times New Roman" w:eastAsia="SimSun" w:hAnsi="Times New Roman"/>
                <w:kern w:val="24"/>
                <w:sz w:val="24"/>
                <w:szCs w:val="24"/>
                <w:lang w:eastAsia="bg-BG"/>
              </w:rPr>
              <w:t xml:space="preserve"> 2 г.- </w:t>
            </w:r>
            <w:r w:rsidRPr="00AE47C6">
              <w:rPr>
                <w:rFonts w:ascii="Times New Roman" w:eastAsiaTheme="minorEastAsia" w:hAnsi="Times New Roman"/>
                <w:kern w:val="24"/>
                <w:sz w:val="24"/>
                <w:szCs w:val="24"/>
                <w:lang w:eastAsia="bg-BG"/>
              </w:rPr>
              <w:t>0,2 mg/kg- до 0,7 mg/kg максимално до 26 mg/дневно</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0CD748B1" w14:textId="77777777" w:rsidR="00BE0B19" w:rsidRPr="00AE47C6" w:rsidRDefault="00BE0B19" w:rsidP="00BE0B19">
            <w:pPr>
              <w:spacing w:after="160" w:line="256" w:lineRule="auto"/>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 -</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3A0C6227" w14:textId="77777777" w:rsidR="00BE0B19" w:rsidRPr="00AE47C6" w:rsidRDefault="00BE0B19" w:rsidP="00BE0B19">
            <w:pPr>
              <w:spacing w:after="160" w:line="256" w:lineRule="auto"/>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Синдром на Dravet, Синдром на Lennox-Gastaut</w:t>
            </w:r>
          </w:p>
        </w:tc>
      </w:tr>
      <w:tr w:rsidR="00BE0B19" w:rsidRPr="00AE47C6" w14:paraId="18E1ECC5" w14:textId="77777777" w:rsidTr="00AD72E5">
        <w:trPr>
          <w:trHeight w:val="979"/>
        </w:trPr>
        <w:tc>
          <w:tcPr>
            <w:tcW w:w="2912"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0B964E94" w14:textId="77777777" w:rsidR="00BE0B19" w:rsidRPr="00AE47C6" w:rsidRDefault="00BE0B19" w:rsidP="00BE0B19">
            <w:pPr>
              <w:spacing w:after="160" w:line="240" w:lineRule="auto"/>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 xml:space="preserve">Felbamate </w:t>
            </w:r>
            <w:r w:rsidRPr="00AE47C6">
              <w:rPr>
                <w:rFonts w:ascii="Times New Roman" w:eastAsia="SimSun" w:hAnsi="Times New Roman"/>
                <w:kern w:val="24"/>
                <w:sz w:val="24"/>
                <w:szCs w:val="24"/>
                <w:lang w:eastAsia="bg-BG"/>
              </w:rPr>
              <w:t>от 15 mg/kg титриране до 30-60 mg/kg до 12 г.</w:t>
            </w:r>
          </w:p>
        </w:tc>
        <w:tc>
          <w:tcPr>
            <w:tcW w:w="2465"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20512D81" w14:textId="77777777" w:rsidR="00BE0B19" w:rsidRPr="00AE47C6" w:rsidRDefault="00BE0B19" w:rsidP="00BE0B19">
            <w:pPr>
              <w:spacing w:after="160" w:line="256" w:lineRule="auto"/>
              <w:rPr>
                <w:rFonts w:ascii="Times New Roman" w:eastAsia="SimSun" w:hAnsi="Times New Roman"/>
                <w:sz w:val="24"/>
                <w:szCs w:val="24"/>
                <w:lang w:eastAsia="bg-BG"/>
              </w:rPr>
            </w:pPr>
            <w:r w:rsidRPr="00AE47C6">
              <w:rPr>
                <w:rFonts w:ascii="Times New Roman" w:eastAsia="SimSun" w:hAnsi="Times New Roman"/>
                <w:kern w:val="24"/>
                <w:sz w:val="24"/>
                <w:szCs w:val="24"/>
                <w:lang w:eastAsia="bg-BG"/>
              </w:rPr>
              <w:t> -</w:t>
            </w:r>
          </w:p>
        </w:tc>
        <w:tc>
          <w:tcPr>
            <w:tcW w:w="3969" w:type="dxa"/>
            <w:tcBorders>
              <w:top w:val="single" w:sz="8" w:space="0" w:color="000000"/>
              <w:left w:val="single" w:sz="8" w:space="0" w:color="000000"/>
              <w:bottom w:val="single" w:sz="8" w:space="0" w:color="000000"/>
              <w:right w:val="single" w:sz="8" w:space="0" w:color="000000"/>
            </w:tcBorders>
            <w:shd w:val="clear" w:color="auto" w:fill="FFFFFF"/>
            <w:tcMar>
              <w:top w:w="4" w:type="dxa"/>
              <w:left w:w="31" w:type="dxa"/>
              <w:bottom w:w="0" w:type="dxa"/>
              <w:right w:w="31" w:type="dxa"/>
            </w:tcMar>
          </w:tcPr>
          <w:p w14:paraId="654B6801" w14:textId="77777777" w:rsidR="00BE0B19" w:rsidRPr="00AE47C6" w:rsidRDefault="00BE0B19" w:rsidP="00BE0B19">
            <w:pPr>
              <w:spacing w:after="160" w:line="256" w:lineRule="auto"/>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 xml:space="preserve">Синдром на West, Lennox-Gastaut, West, Landau-Kleffner, ЮМЕ, но при неуспех от други АЕЛ поради сериозни нежелани лекарствени реакции (чернодробни увреди, апластична анемия и др.). </w:t>
            </w:r>
          </w:p>
        </w:tc>
      </w:tr>
    </w:tbl>
    <w:p w14:paraId="2E450574"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lang w:eastAsia="bg-BG"/>
        </w:rPr>
      </w:pPr>
      <w:r w:rsidRPr="00AE47C6">
        <w:rPr>
          <w:rFonts w:ascii="Times New Roman" w:eastAsia="SimSun" w:hAnsi="Times New Roman"/>
          <w:b/>
          <w:sz w:val="24"/>
          <w:szCs w:val="24"/>
          <w:u w:val="single"/>
          <w:lang w:eastAsia="bg-BG"/>
        </w:rPr>
        <w:t xml:space="preserve">* По Член 266, ал. 2 от ЗЛПХМ </w:t>
      </w:r>
      <w:r w:rsidRPr="00AE47C6">
        <w:rPr>
          <w:rFonts w:ascii="Times New Roman" w:eastAsia="SimSun" w:hAnsi="Times New Roman"/>
          <w:b/>
          <w:sz w:val="24"/>
          <w:szCs w:val="24"/>
          <w:lang w:eastAsia="bg-BG"/>
        </w:rPr>
        <w:t xml:space="preserve">и чл. 16, ал. 4 от Hapeдбa № l0 от 2011 г. за условията и реда за лечение с Hepaзрешени за употреба в Република България лекарствени продукти:  </w:t>
      </w:r>
    </w:p>
    <w:p w14:paraId="28EEFC59"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lang w:eastAsia="bg-BG"/>
        </w:rPr>
      </w:pPr>
      <w:r w:rsidRPr="00AE47C6">
        <w:rPr>
          <w:rFonts w:ascii="Times New Roman" w:eastAsia="SimSun" w:hAnsi="Times New Roman"/>
          <w:b/>
          <w:bCs/>
          <w:sz w:val="24"/>
          <w:szCs w:val="24"/>
          <w:lang w:eastAsia="bg-BG"/>
        </w:rPr>
        <w:t xml:space="preserve">* </w:t>
      </w:r>
      <w:r w:rsidRPr="00AE47C6">
        <w:rPr>
          <w:rFonts w:ascii="Times New Roman" w:eastAsia="SimSun" w:hAnsi="Times New Roman"/>
          <w:b/>
          <w:bCs/>
          <w:i/>
          <w:sz w:val="24"/>
          <w:szCs w:val="24"/>
          <w:lang w:eastAsia="bg-BG"/>
        </w:rPr>
        <w:t xml:space="preserve">Rufinamide </w:t>
      </w:r>
      <w:r w:rsidRPr="00AE47C6">
        <w:rPr>
          <w:rFonts w:ascii="Times New Roman" w:eastAsia="SimSun" w:hAnsi="Times New Roman"/>
          <w:sz w:val="24"/>
          <w:szCs w:val="24"/>
          <w:lang w:eastAsia="bg-BG"/>
        </w:rPr>
        <w:t>за лечение на синдром на Lennox-Gastaut</w:t>
      </w:r>
      <w:r w:rsidRPr="00AE47C6">
        <w:rPr>
          <w:rFonts w:ascii="Times New Roman" w:eastAsia="SimSun" w:hAnsi="Times New Roman"/>
          <w:b/>
          <w:sz w:val="24"/>
          <w:szCs w:val="24"/>
          <w:lang w:eastAsia="bg-BG"/>
        </w:rPr>
        <w:t xml:space="preserve"> </w:t>
      </w:r>
    </w:p>
    <w:p w14:paraId="7353A790"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lang w:eastAsia="bg-BG"/>
        </w:rPr>
      </w:pPr>
      <w:r w:rsidRPr="00AE47C6">
        <w:rPr>
          <w:rFonts w:ascii="Times New Roman" w:eastAsia="SimSun" w:hAnsi="Times New Roman"/>
          <w:b/>
          <w:sz w:val="24"/>
          <w:szCs w:val="24"/>
          <w:lang w:eastAsia="bg-BG"/>
        </w:rPr>
        <w:t xml:space="preserve">* </w:t>
      </w:r>
      <w:r w:rsidRPr="00AE47C6">
        <w:rPr>
          <w:rFonts w:ascii="Times New Roman" w:eastAsia="SimSun" w:hAnsi="Times New Roman"/>
          <w:b/>
          <w:i/>
          <w:sz w:val="24"/>
          <w:szCs w:val="24"/>
          <w:lang w:eastAsia="bg-BG"/>
        </w:rPr>
        <w:t>Stiripentol</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за лечение на синдром на Dravet</w:t>
      </w:r>
      <w:r w:rsidRPr="00AE47C6">
        <w:rPr>
          <w:rFonts w:ascii="Times New Roman" w:eastAsia="SimSun" w:hAnsi="Times New Roman"/>
          <w:b/>
          <w:sz w:val="24"/>
          <w:szCs w:val="24"/>
          <w:lang w:eastAsia="bg-BG"/>
        </w:rPr>
        <w:t xml:space="preserve"> </w:t>
      </w:r>
    </w:p>
    <w:p w14:paraId="6B503938" w14:textId="77777777" w:rsidR="00BE0B19" w:rsidRPr="00AE47C6" w:rsidRDefault="00BE0B19" w:rsidP="00BE0B19">
      <w:pPr>
        <w:tabs>
          <w:tab w:val="left" w:pos="720"/>
        </w:tabs>
        <w:suppressAutoHyphens/>
        <w:spacing w:after="0"/>
        <w:ind w:left="357" w:firstLine="851"/>
        <w:jc w:val="both"/>
        <w:rPr>
          <w:rFonts w:ascii="Times New Roman" w:eastAsia="SimSun" w:hAnsi="Times New Roman"/>
          <w:b/>
          <w:bCs/>
          <w:sz w:val="24"/>
          <w:szCs w:val="24"/>
          <w:lang w:eastAsia="bg-BG"/>
        </w:rPr>
      </w:pPr>
      <w:r w:rsidRPr="00AE47C6">
        <w:rPr>
          <w:rFonts w:ascii="Times New Roman" w:eastAsia="SimSun" w:hAnsi="Times New Roman"/>
          <w:b/>
          <w:sz w:val="24"/>
          <w:szCs w:val="24"/>
          <w:lang w:eastAsia="bg-BG"/>
        </w:rPr>
        <w:t xml:space="preserve">* </w:t>
      </w:r>
      <w:r w:rsidRPr="00AE47C6">
        <w:rPr>
          <w:rFonts w:ascii="Times New Roman" w:eastAsia="SimSun" w:hAnsi="Times New Roman"/>
          <w:b/>
          <w:i/>
          <w:sz w:val="24"/>
          <w:szCs w:val="24"/>
          <w:lang w:eastAsia="bg-BG"/>
        </w:rPr>
        <w:t>Cannabidiol</w:t>
      </w:r>
      <w:r w:rsidRPr="00AE47C6">
        <w:rPr>
          <w:rFonts w:ascii="Times New Roman" w:eastAsia="SimSun" w:hAnsi="Times New Roman"/>
          <w:b/>
          <w:sz w:val="24"/>
          <w:szCs w:val="24"/>
          <w:lang w:eastAsia="bg-BG"/>
        </w:rPr>
        <w:t xml:space="preserve"> в комбинация с </w:t>
      </w:r>
      <w:r w:rsidRPr="00AE47C6">
        <w:rPr>
          <w:rFonts w:ascii="Times New Roman" w:eastAsia="SimSun" w:hAnsi="Times New Roman"/>
          <w:b/>
          <w:i/>
          <w:sz w:val="24"/>
          <w:szCs w:val="24"/>
          <w:lang w:eastAsia="bg-BG"/>
        </w:rPr>
        <w:t>Clobazam**</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при синдром на Dravet и синдром на Lennox-Gastaut при пациенти </w:t>
      </w:r>
      <w:r w:rsidRPr="00AE47C6">
        <w:rPr>
          <w:rFonts w:ascii="Times New Roman" w:eastAsia="SimSun" w:hAnsi="Times New Roman"/>
          <w:bCs/>
          <w:sz w:val="24"/>
          <w:szCs w:val="24"/>
          <w:lang w:eastAsia="bg-BG"/>
        </w:rPr>
        <w:t>≥ 2 години</w:t>
      </w:r>
      <w:r w:rsidRPr="00AE47C6">
        <w:rPr>
          <w:rFonts w:ascii="Times New Roman" w:eastAsia="SimSun" w:hAnsi="Times New Roman"/>
          <w:sz w:val="24"/>
          <w:szCs w:val="24"/>
          <w:lang w:eastAsia="bg-BG"/>
        </w:rPr>
        <w:t>;</w:t>
      </w:r>
      <w:r w:rsidRPr="00AE47C6">
        <w:rPr>
          <w:rFonts w:ascii="Times New Roman" w:eastAsia="SimSun" w:hAnsi="Times New Roman"/>
          <w:bCs/>
          <w:sz w:val="24"/>
          <w:szCs w:val="24"/>
          <w:lang w:eastAsia="bg-BG"/>
        </w:rPr>
        <w:t xml:space="preserve"> </w:t>
      </w:r>
      <w:r w:rsidRPr="00AE47C6">
        <w:rPr>
          <w:rFonts w:ascii="Times New Roman" w:eastAsia="SimSun" w:hAnsi="Times New Roman"/>
          <w:b/>
          <w:i/>
          <w:sz w:val="24"/>
          <w:szCs w:val="24"/>
          <w:lang w:eastAsia="bg-BG"/>
        </w:rPr>
        <w:t>* Cannabidiol</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при лечение на пристъпи, свързани с туберозна склероза комплекс (TSC) при пациенти </w:t>
      </w:r>
      <w:r w:rsidRPr="00AE47C6">
        <w:rPr>
          <w:rFonts w:ascii="Times New Roman" w:eastAsia="SimSun" w:hAnsi="Times New Roman"/>
          <w:bCs/>
          <w:sz w:val="24"/>
          <w:szCs w:val="24"/>
          <w:lang w:eastAsia="bg-BG"/>
        </w:rPr>
        <w:t>≥ 2 години</w:t>
      </w:r>
      <w:r w:rsidRPr="00AE47C6">
        <w:rPr>
          <w:rFonts w:ascii="Times New Roman" w:eastAsia="SimSun" w:hAnsi="Times New Roman"/>
          <w:b/>
          <w:bCs/>
          <w:sz w:val="24"/>
          <w:szCs w:val="24"/>
          <w:lang w:eastAsia="bg-BG"/>
        </w:rPr>
        <w:t xml:space="preserve"> </w:t>
      </w:r>
    </w:p>
    <w:p w14:paraId="7FB0078F" w14:textId="77777777" w:rsidR="00BE0B19" w:rsidRPr="00AE47C6" w:rsidRDefault="00BE0B19" w:rsidP="00BE0B19">
      <w:pPr>
        <w:tabs>
          <w:tab w:val="left" w:pos="720"/>
        </w:tabs>
        <w:suppressAutoHyphens/>
        <w:spacing w:after="0"/>
        <w:ind w:left="357" w:firstLine="851"/>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w:t>
      </w:r>
      <w:r w:rsidRPr="00AE47C6">
        <w:rPr>
          <w:rFonts w:ascii="Times New Roman" w:eastAsia="SimSun" w:hAnsi="Times New Roman"/>
          <w:b/>
          <w:bCs/>
          <w:i/>
          <w:sz w:val="24"/>
          <w:szCs w:val="24"/>
          <w:lang w:eastAsia="bg-BG"/>
        </w:rPr>
        <w:t>Fenfluramine</w:t>
      </w:r>
      <w:r w:rsidRPr="00AE47C6">
        <w:rPr>
          <w:rFonts w:ascii="Times New Roman" w:eastAsia="SimSun" w:hAnsi="Times New Roman"/>
          <w:b/>
          <w:bCs/>
          <w:sz w:val="24"/>
          <w:szCs w:val="24"/>
          <w:lang w:eastAsia="bg-BG"/>
        </w:rPr>
        <w:t xml:space="preserve">- </w:t>
      </w:r>
      <w:r w:rsidRPr="00AE47C6">
        <w:rPr>
          <w:rFonts w:ascii="Times New Roman" w:eastAsia="SimSun" w:hAnsi="Times New Roman"/>
          <w:sz w:val="24"/>
          <w:szCs w:val="24"/>
          <w:lang w:eastAsia="bg-BG"/>
        </w:rPr>
        <w:t>при синдром на Dravet</w:t>
      </w:r>
      <w:r w:rsidRPr="00AE47C6">
        <w:rPr>
          <w:rFonts w:ascii="Times New Roman" w:eastAsia="SimSun" w:hAnsi="Times New Roman"/>
          <w:bCs/>
          <w:sz w:val="24"/>
          <w:szCs w:val="24"/>
          <w:lang w:eastAsia="bg-BG"/>
        </w:rPr>
        <w:t xml:space="preserve"> и синдром на Lennox-Gastaut </w:t>
      </w:r>
      <w:r w:rsidRPr="00AE47C6">
        <w:rPr>
          <w:rFonts w:ascii="Times New Roman" w:eastAsia="SimSun" w:hAnsi="Times New Roman"/>
          <w:sz w:val="24"/>
          <w:szCs w:val="24"/>
          <w:lang w:eastAsia="bg-BG"/>
        </w:rPr>
        <w:t xml:space="preserve">при пациенти </w:t>
      </w:r>
      <w:r w:rsidRPr="00AE47C6">
        <w:rPr>
          <w:rFonts w:ascii="Times New Roman" w:eastAsia="SimSun" w:hAnsi="Times New Roman"/>
          <w:bCs/>
          <w:sz w:val="24"/>
          <w:szCs w:val="24"/>
          <w:lang w:eastAsia="bg-BG"/>
        </w:rPr>
        <w:t>≥ 2 години</w:t>
      </w:r>
    </w:p>
    <w:p w14:paraId="1F1F00A6" w14:textId="77777777" w:rsidR="00BE0B19" w:rsidRPr="00AE47C6" w:rsidRDefault="00BE0B19" w:rsidP="00BE0B19">
      <w:pPr>
        <w:tabs>
          <w:tab w:val="left" w:pos="720"/>
        </w:tabs>
        <w:suppressAutoHyphens/>
        <w:spacing w:after="0" w:line="360" w:lineRule="auto"/>
        <w:ind w:left="360" w:firstLine="851"/>
        <w:jc w:val="both"/>
        <w:rPr>
          <w:rFonts w:ascii="Times New Roman" w:eastAsia="SimSun" w:hAnsi="Times New Roman"/>
          <w:b/>
          <w:sz w:val="24"/>
          <w:szCs w:val="24"/>
          <w:u w:val="single"/>
          <w:lang w:eastAsia="bg-BG"/>
        </w:rPr>
      </w:pPr>
      <w:r w:rsidRPr="00AE47C6">
        <w:rPr>
          <w:rFonts w:ascii="Times New Roman" w:eastAsia="SimSun" w:hAnsi="Times New Roman"/>
          <w:b/>
          <w:sz w:val="24"/>
          <w:szCs w:val="24"/>
          <w:u w:val="single"/>
          <w:lang w:eastAsia="bg-BG"/>
        </w:rPr>
        <w:t>**Регистрирани от ЕМА:</w:t>
      </w:r>
    </w:p>
    <w:p w14:paraId="036891FC" w14:textId="77777777" w:rsidR="00BE0B19" w:rsidRPr="00AE47C6" w:rsidRDefault="00BE0B19" w:rsidP="00BE0B19">
      <w:pPr>
        <w:tabs>
          <w:tab w:val="left" w:pos="720"/>
        </w:tabs>
        <w:suppressAutoHyphens/>
        <w:spacing w:after="0" w:line="360" w:lineRule="auto"/>
        <w:ind w:left="360" w:firstLine="851"/>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Clobazam**</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за лечение на абсанси, ГТКП, миоклонии, синдром на Dravet и синдром на Lennox- Gastaut; </w:t>
      </w:r>
      <w:r w:rsidRPr="00AE47C6">
        <w:rPr>
          <w:rFonts w:ascii="Times New Roman" w:eastAsia="SimSun" w:hAnsi="Times New Roman"/>
          <w:b/>
          <w:bCs/>
          <w:sz w:val="24"/>
          <w:szCs w:val="24"/>
          <w:lang w:eastAsia="bg-BG"/>
        </w:rPr>
        <w:t>Nitrazepam**</w:t>
      </w:r>
      <w:r w:rsidRPr="00AE47C6">
        <w:rPr>
          <w:rFonts w:ascii="Times New Roman" w:eastAsia="SimSun" w:hAnsi="Times New Roman"/>
          <w:sz w:val="24"/>
          <w:szCs w:val="24"/>
          <w:lang w:eastAsia="bg-BG"/>
        </w:rPr>
        <w:t xml:space="preserve"> за лечение на синдром на West; </w:t>
      </w:r>
      <w:r w:rsidRPr="00AE47C6">
        <w:rPr>
          <w:rFonts w:ascii="Times New Roman" w:eastAsia="SimSun" w:hAnsi="Times New Roman"/>
          <w:b/>
          <w:bCs/>
          <w:sz w:val="24"/>
          <w:szCs w:val="24"/>
          <w:lang w:eastAsia="bg-BG"/>
        </w:rPr>
        <w:t>Sulthiam**</w:t>
      </w:r>
      <w:r w:rsidRPr="00AE47C6">
        <w:rPr>
          <w:rFonts w:ascii="Times New Roman" w:eastAsia="SimSun" w:hAnsi="Times New Roman"/>
          <w:sz w:val="24"/>
          <w:szCs w:val="24"/>
          <w:lang w:eastAsia="bg-BG"/>
        </w:rPr>
        <w:t xml:space="preserve"> за лечение на фокални пристъпи;</w:t>
      </w:r>
      <w:r w:rsidRPr="00AE47C6">
        <w:rPr>
          <w:rFonts w:ascii="Times New Roman" w:eastAsia="SimSun" w:hAnsi="Times New Roman"/>
          <w:b/>
          <w:bCs/>
          <w:sz w:val="24"/>
          <w:szCs w:val="24"/>
          <w:lang w:eastAsia="bg-BG"/>
        </w:rPr>
        <w:t xml:space="preserve"> Vigabatrin** </w:t>
      </w:r>
      <w:r w:rsidRPr="00AE47C6">
        <w:rPr>
          <w:rFonts w:ascii="Times New Roman" w:eastAsia="SimSun" w:hAnsi="Times New Roman"/>
          <w:sz w:val="24"/>
          <w:szCs w:val="24"/>
          <w:lang w:eastAsia="bg-BG"/>
        </w:rPr>
        <w:t xml:space="preserve">за лечение на синдром на West; </w:t>
      </w:r>
      <w:r w:rsidRPr="00AE47C6">
        <w:rPr>
          <w:rFonts w:ascii="Times New Roman" w:eastAsia="SimSun" w:hAnsi="Times New Roman"/>
          <w:b/>
          <w:bCs/>
          <w:sz w:val="24"/>
          <w:szCs w:val="24"/>
          <w:lang w:eastAsia="bg-BG"/>
        </w:rPr>
        <w:t>Zonisamide**</w:t>
      </w:r>
      <w:r w:rsidRPr="00AE47C6">
        <w:rPr>
          <w:rFonts w:ascii="Times New Roman" w:eastAsia="SimSun" w:hAnsi="Times New Roman"/>
          <w:sz w:val="24"/>
          <w:szCs w:val="24"/>
          <w:lang w:eastAsia="bg-BG"/>
        </w:rPr>
        <w:t xml:space="preserve"> за лечение на фокални и вторично генерализирани пристъпи  при възрастни и деца над 6 г., за миоклонични пристъпи, за синдром на Lennox-Gastaut; </w:t>
      </w:r>
      <w:r w:rsidRPr="00AE47C6">
        <w:rPr>
          <w:rFonts w:ascii="Times New Roman" w:eastAsia="SimSun" w:hAnsi="Times New Roman"/>
          <w:b/>
          <w:bCs/>
          <w:sz w:val="24"/>
          <w:szCs w:val="24"/>
          <w:lang w:eastAsia="bg-BG"/>
        </w:rPr>
        <w:t>Сenobamate**-</w:t>
      </w:r>
      <w:r w:rsidRPr="00AE47C6">
        <w:rPr>
          <w:rFonts w:ascii="Times New Roman" w:eastAsia="SimSun" w:hAnsi="Times New Roman"/>
          <w:bCs/>
          <w:sz w:val="24"/>
          <w:szCs w:val="24"/>
          <w:lang w:eastAsia="bg-BG"/>
        </w:rPr>
        <w:t xml:space="preserve"> при фокални и ВГТКП (ФДТКП) над 18 г;</w:t>
      </w:r>
      <w:r w:rsidRPr="00AE47C6">
        <w:rPr>
          <w:rFonts w:ascii="Times New Roman" w:eastAsia="SimSun" w:hAnsi="Times New Roman"/>
          <w:b/>
          <w:bCs/>
          <w:sz w:val="24"/>
          <w:szCs w:val="24"/>
          <w:lang w:eastAsia="bg-BG"/>
        </w:rPr>
        <w:t xml:space="preserve"> ACTH**</w:t>
      </w:r>
      <w:r w:rsidRPr="00AE47C6">
        <w:rPr>
          <w:rFonts w:ascii="Times New Roman" w:eastAsia="SimSun" w:hAnsi="Times New Roman"/>
          <w:sz w:val="24"/>
          <w:szCs w:val="24"/>
          <w:lang w:eastAsia="bg-BG"/>
        </w:rPr>
        <w:t xml:space="preserve"> за лечение на синдром на West. </w:t>
      </w:r>
    </w:p>
    <w:p w14:paraId="5DB5346E" w14:textId="77777777" w:rsidR="00BE0B19" w:rsidRPr="00AE47C6" w:rsidRDefault="00BE0B19" w:rsidP="00BE0B19">
      <w:pPr>
        <w:spacing w:line="360" w:lineRule="auto"/>
        <w:jc w:val="center"/>
        <w:rPr>
          <w:rFonts w:ascii="Times New Roman" w:eastAsia="SimSun" w:hAnsi="Times New Roman"/>
          <w:b/>
          <w:bCs/>
        </w:rPr>
      </w:pPr>
    </w:p>
    <w:p w14:paraId="0BA94F88" w14:textId="77777777" w:rsidR="00BE0B19" w:rsidRPr="00AE47C6" w:rsidRDefault="00BE0B19" w:rsidP="00BE0B19">
      <w:pPr>
        <w:spacing w:line="360" w:lineRule="auto"/>
        <w:jc w:val="center"/>
        <w:rPr>
          <w:rFonts w:ascii="Times New Roman" w:eastAsia="SimSun" w:hAnsi="Times New Roman"/>
          <w:b/>
          <w:bCs/>
        </w:rPr>
      </w:pPr>
    </w:p>
    <w:p w14:paraId="795CD9A3" w14:textId="77777777" w:rsidR="00BE0B19" w:rsidRPr="00AE47C6" w:rsidRDefault="00BE0B19" w:rsidP="00BE0B19">
      <w:pPr>
        <w:tabs>
          <w:tab w:val="left" w:pos="720"/>
        </w:tabs>
        <w:suppressAutoHyphens/>
        <w:spacing w:after="0" w:line="360" w:lineRule="auto"/>
        <w:ind w:left="360" w:firstLine="851"/>
        <w:jc w:val="both"/>
        <w:rPr>
          <w:rFonts w:ascii="Times New Roman" w:eastAsia="SimSun" w:hAnsi="Times New Roman"/>
          <w:b/>
          <w:sz w:val="24"/>
          <w:szCs w:val="24"/>
          <w:u w:val="single"/>
          <w:lang w:eastAsia="bg-BG"/>
        </w:rPr>
      </w:pPr>
      <w:r w:rsidRPr="00AE47C6">
        <w:rPr>
          <w:rFonts w:ascii="Times New Roman" w:eastAsia="SimSun" w:hAnsi="Times New Roman"/>
          <w:b/>
          <w:sz w:val="24"/>
          <w:szCs w:val="24"/>
          <w:u w:val="single"/>
          <w:lang w:eastAsia="bg-BG"/>
        </w:rPr>
        <w:t>**Регистрирани от ЕМА:</w:t>
      </w:r>
    </w:p>
    <w:p w14:paraId="7A163C1F" w14:textId="77777777" w:rsidR="00BE0B19" w:rsidRPr="00AE47C6" w:rsidRDefault="00BE0B19" w:rsidP="00BE0B19">
      <w:pPr>
        <w:pBdr>
          <w:bottom w:val="single" w:sz="12" w:space="1" w:color="auto"/>
        </w:pBdr>
        <w:tabs>
          <w:tab w:val="center" w:pos="4153"/>
          <w:tab w:val="right" w:pos="8306"/>
        </w:tabs>
        <w:overflowPunct w:val="0"/>
        <w:autoSpaceDE w:val="0"/>
        <w:autoSpaceDN w:val="0"/>
        <w:adjustRightInd w:val="0"/>
        <w:spacing w:after="0" w:line="360" w:lineRule="auto"/>
        <w:ind w:left="357"/>
        <w:jc w:val="both"/>
        <w:textAlignment w:val="baseline"/>
        <w:rPr>
          <w:rFonts w:ascii="Times New Roman" w:eastAsia="SimSun" w:hAnsi="Times New Roman"/>
          <w:sz w:val="24"/>
          <w:szCs w:val="20"/>
        </w:rPr>
      </w:pPr>
      <w:r w:rsidRPr="00AE47C6">
        <w:rPr>
          <w:rFonts w:ascii="Times New Roman" w:eastAsia="SimSun" w:hAnsi="Times New Roman"/>
          <w:b/>
          <w:bCs/>
          <w:sz w:val="24"/>
          <w:szCs w:val="20"/>
        </w:rPr>
        <w:t>Clobazam**</w:t>
      </w:r>
      <w:r w:rsidRPr="00AE47C6">
        <w:rPr>
          <w:rFonts w:ascii="Times New Roman" w:eastAsia="SimSun" w:hAnsi="Times New Roman"/>
          <w:b/>
          <w:sz w:val="24"/>
          <w:szCs w:val="20"/>
        </w:rPr>
        <w:t xml:space="preserve"> </w:t>
      </w:r>
      <w:r w:rsidRPr="00AE47C6">
        <w:rPr>
          <w:rFonts w:ascii="Times New Roman" w:eastAsia="SimSun" w:hAnsi="Times New Roman"/>
          <w:sz w:val="24"/>
          <w:szCs w:val="20"/>
        </w:rPr>
        <w:t xml:space="preserve">за лечение на абсанси, ГТКП, миоклонии, синдром на Dravet и синдром на Lennox- Gastaut; </w:t>
      </w:r>
      <w:r w:rsidRPr="00AE47C6">
        <w:rPr>
          <w:rFonts w:ascii="Times New Roman" w:eastAsia="SimSun" w:hAnsi="Times New Roman"/>
          <w:b/>
          <w:bCs/>
          <w:sz w:val="24"/>
          <w:szCs w:val="20"/>
        </w:rPr>
        <w:t>Nitrazepam**</w:t>
      </w:r>
      <w:r w:rsidRPr="00AE47C6">
        <w:rPr>
          <w:rFonts w:ascii="Times New Roman" w:eastAsia="SimSun" w:hAnsi="Times New Roman"/>
          <w:sz w:val="24"/>
          <w:szCs w:val="20"/>
        </w:rPr>
        <w:t xml:space="preserve"> за лечение на синдром на West; </w:t>
      </w:r>
      <w:r w:rsidRPr="00AE47C6">
        <w:rPr>
          <w:rFonts w:ascii="Times New Roman" w:eastAsia="SimSun" w:hAnsi="Times New Roman"/>
          <w:b/>
          <w:bCs/>
          <w:sz w:val="24"/>
          <w:szCs w:val="20"/>
        </w:rPr>
        <w:t>Sulthiam**</w:t>
      </w:r>
      <w:r w:rsidRPr="00AE47C6">
        <w:rPr>
          <w:rFonts w:ascii="Times New Roman" w:eastAsia="SimSun" w:hAnsi="Times New Roman"/>
          <w:sz w:val="24"/>
          <w:szCs w:val="20"/>
        </w:rPr>
        <w:t xml:space="preserve"> за лечение на фокални пристъпи;</w:t>
      </w:r>
      <w:r w:rsidRPr="00AE47C6">
        <w:rPr>
          <w:rFonts w:ascii="Times New Roman" w:eastAsia="SimSun" w:hAnsi="Times New Roman"/>
          <w:b/>
          <w:bCs/>
          <w:sz w:val="24"/>
          <w:szCs w:val="20"/>
        </w:rPr>
        <w:t xml:space="preserve"> Vigabatrin** </w:t>
      </w:r>
      <w:r w:rsidRPr="00AE47C6">
        <w:rPr>
          <w:rFonts w:ascii="Times New Roman" w:eastAsia="SimSun" w:hAnsi="Times New Roman"/>
          <w:sz w:val="24"/>
          <w:szCs w:val="20"/>
        </w:rPr>
        <w:t xml:space="preserve">за лечение на синдром на West; </w:t>
      </w:r>
      <w:r w:rsidRPr="00AE47C6">
        <w:rPr>
          <w:rFonts w:ascii="Times New Roman" w:eastAsia="SimSun" w:hAnsi="Times New Roman"/>
          <w:b/>
          <w:bCs/>
          <w:sz w:val="24"/>
          <w:szCs w:val="20"/>
        </w:rPr>
        <w:t>Zonisamide**</w:t>
      </w:r>
      <w:r w:rsidRPr="00AE47C6">
        <w:rPr>
          <w:rFonts w:ascii="Times New Roman" w:eastAsia="SimSun" w:hAnsi="Times New Roman"/>
          <w:sz w:val="24"/>
          <w:szCs w:val="20"/>
        </w:rPr>
        <w:t xml:space="preserve"> за лечение на фокални и вторично генерализирани пристъпи  при възрастни и деца над 6 г., за миоклонични пристъпи, за синдром на Lennox-Gastaut; </w:t>
      </w:r>
      <w:r w:rsidRPr="00AE47C6">
        <w:rPr>
          <w:rFonts w:ascii="Times New Roman" w:eastAsia="SimSun" w:hAnsi="Times New Roman"/>
          <w:b/>
          <w:bCs/>
          <w:sz w:val="24"/>
          <w:szCs w:val="20"/>
        </w:rPr>
        <w:t>Сenobamate**-</w:t>
      </w:r>
      <w:r w:rsidRPr="00AE47C6">
        <w:rPr>
          <w:rFonts w:ascii="Times New Roman" w:eastAsia="SimSun" w:hAnsi="Times New Roman"/>
          <w:bCs/>
          <w:sz w:val="24"/>
          <w:szCs w:val="20"/>
        </w:rPr>
        <w:t xml:space="preserve"> при фокални и ВГТКП (ФДТКП) над 18 г.</w:t>
      </w:r>
      <w:r w:rsidRPr="00AE47C6">
        <w:rPr>
          <w:rFonts w:ascii="Times New Roman" w:eastAsia="SimSun" w:hAnsi="Times New Roman"/>
          <w:sz w:val="24"/>
          <w:szCs w:val="20"/>
        </w:rPr>
        <w:t xml:space="preserve"> </w:t>
      </w:r>
    </w:p>
    <w:p w14:paraId="420D5F7B" w14:textId="77777777" w:rsidR="00BE0B19" w:rsidRPr="00AE47C6" w:rsidRDefault="00BE0B19" w:rsidP="00BE0B19">
      <w:pPr>
        <w:spacing w:line="360" w:lineRule="auto"/>
        <w:jc w:val="center"/>
        <w:rPr>
          <w:rFonts w:ascii="Times New Roman" w:eastAsia="SimSun" w:hAnsi="Times New Roman"/>
          <w:b/>
          <w:bCs/>
        </w:rPr>
      </w:pPr>
    </w:p>
    <w:p w14:paraId="1614D305" w14:textId="77777777" w:rsidR="00BE0B19" w:rsidRPr="00AE47C6" w:rsidRDefault="00BE0B19" w:rsidP="00BE0B19">
      <w:pPr>
        <w:spacing w:after="0" w:line="360" w:lineRule="auto"/>
        <w:jc w:val="both"/>
        <w:rPr>
          <w:rFonts w:ascii="Times New Roman" w:eastAsia="SimSun" w:hAnsi="Times New Roman"/>
          <w:b/>
          <w:bCs/>
          <w:caps/>
          <w:sz w:val="24"/>
          <w:szCs w:val="24"/>
        </w:rPr>
      </w:pPr>
      <w:r w:rsidRPr="00AE47C6">
        <w:rPr>
          <w:rFonts w:ascii="Times New Roman" w:eastAsia="SimSun" w:hAnsi="Times New Roman"/>
          <w:b/>
          <w:bCs/>
          <w:sz w:val="24"/>
          <w:szCs w:val="24"/>
        </w:rPr>
        <w:t>Лечение при фебрилни гърчове (ФГ)</w:t>
      </w:r>
    </w:p>
    <w:p w14:paraId="37F0186B"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 xml:space="preserve">1. </w:t>
      </w:r>
      <w:r w:rsidRPr="00AE47C6">
        <w:rPr>
          <w:rFonts w:ascii="Times New Roman" w:eastAsia="SimSun" w:hAnsi="Times New Roman"/>
          <w:b/>
          <w:bCs/>
          <w:sz w:val="24"/>
          <w:szCs w:val="24"/>
          <w:lang w:eastAsia="bg-BG"/>
        </w:rPr>
        <w:t>Острото лечение</w:t>
      </w:r>
      <w:r w:rsidRPr="00AE47C6">
        <w:rPr>
          <w:rFonts w:ascii="Times New Roman" w:eastAsia="SimSun" w:hAnsi="Times New Roman"/>
          <w:sz w:val="24"/>
          <w:szCs w:val="24"/>
          <w:lang w:eastAsia="bg-BG"/>
        </w:rPr>
        <w:t xml:space="preserve"> при фебрилни гърчове включва лечение на основното заболяване и на продължителния ФГ както при епилептичен статус с Diazepam - 0,3-0,5 mg/kg ректално или интравенозно. Антипиретичното лечение с Paracetamol (Acetaminophen) и Ibuprofen не променя риска от рецидивиращи ФГ, но подобрява общото състояние на детето при понижаването на температурата.</w:t>
      </w:r>
    </w:p>
    <w:p w14:paraId="10E5A427"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b/>
          <w:sz w:val="24"/>
          <w:szCs w:val="24"/>
          <w:lang w:eastAsia="bg-BG"/>
        </w:rPr>
        <w:t xml:space="preserve">2. </w:t>
      </w:r>
      <w:r w:rsidRPr="00AE47C6">
        <w:rPr>
          <w:rFonts w:ascii="Times New Roman" w:eastAsia="SimSun" w:hAnsi="Times New Roman"/>
          <w:b/>
          <w:bCs/>
          <w:sz w:val="24"/>
          <w:szCs w:val="24"/>
          <w:lang w:eastAsia="bg-BG"/>
        </w:rPr>
        <w:t>Профилактично лечение</w:t>
      </w:r>
      <w:r w:rsidRPr="00AE47C6">
        <w:rPr>
          <w:rFonts w:ascii="Times New Roman" w:eastAsia="SimSun" w:hAnsi="Times New Roman"/>
          <w:sz w:val="24"/>
          <w:szCs w:val="24"/>
          <w:lang w:eastAsia="bg-BG"/>
        </w:rPr>
        <w:t xml:space="preserve">. Препоръчва се интермитентна профилактика с Diazepam или постоянно лечение с Valproate според риска от рецидивиращи ФГ. Не се налага лечение при прости ФГ. Интермитентната профилактика на ФГ с </w:t>
      </w:r>
      <w:r w:rsidRPr="00AE47C6">
        <w:rPr>
          <w:rFonts w:ascii="Times New Roman" w:eastAsia="SimSun" w:hAnsi="Times New Roman"/>
          <w:bCs/>
          <w:sz w:val="24"/>
          <w:szCs w:val="24"/>
          <w:lang w:eastAsia="bg-BG"/>
        </w:rPr>
        <w:t>diazepam</w:t>
      </w:r>
      <w:r w:rsidRPr="00AE47C6">
        <w:rPr>
          <w:rFonts w:ascii="Times New Roman" w:eastAsia="SimSun" w:hAnsi="Times New Roman"/>
          <w:sz w:val="24"/>
          <w:szCs w:val="24"/>
          <w:lang w:eastAsia="bg-BG"/>
        </w:rPr>
        <w:t xml:space="preserve">, снижава риска за рецидивиращи ФГ. Постоянното лечение с антиконвулсанти при ФГ не профилактира риска за епилепсия. </w:t>
      </w:r>
    </w:p>
    <w:p w14:paraId="54D7397E" w14:textId="77777777" w:rsidR="00BE0B19" w:rsidRPr="00AE47C6" w:rsidRDefault="00BE0B19" w:rsidP="00BE0B19">
      <w:pPr>
        <w:numPr>
          <w:ilvl w:val="0"/>
          <w:numId w:val="165"/>
        </w:numPr>
        <w:tabs>
          <w:tab w:val="left" w:pos="720"/>
        </w:tabs>
        <w:suppressAutoHyphens/>
        <w:spacing w:after="0" w:line="360" w:lineRule="auto"/>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 xml:space="preserve">Интермитентна профилактика с ректален или орален Diazepam </w:t>
      </w:r>
      <w:r w:rsidRPr="00AE47C6">
        <w:rPr>
          <w:rFonts w:ascii="Times New Roman" w:eastAsia="SimSun" w:hAnsi="Times New Roman"/>
          <w:bCs/>
          <w:sz w:val="24"/>
          <w:szCs w:val="24"/>
          <w:lang w:eastAsia="bg-BG"/>
        </w:rPr>
        <w:t xml:space="preserve">се препоръчва при </w:t>
      </w:r>
      <w:r w:rsidRPr="00AE47C6">
        <w:rPr>
          <w:rFonts w:ascii="Times New Roman" w:eastAsia="SimSun" w:hAnsi="Times New Roman"/>
          <w:sz w:val="24"/>
          <w:szCs w:val="24"/>
          <w:lang w:eastAsia="bg-BG"/>
        </w:rPr>
        <w:t xml:space="preserve">ФГ с начало под 1 г.; фамилност за ФГ в един от родителите; 2 или повече ФГ или чести ФГ (2 за 12 </w:t>
      </w:r>
      <w:r w:rsidRPr="00AE47C6">
        <w:rPr>
          <w:rFonts w:ascii="Times New Roman" w:eastAsia="SimSun" w:hAnsi="Times New Roman"/>
          <w:b/>
          <w:bCs/>
          <w:sz w:val="24"/>
          <w:szCs w:val="24"/>
          <w:lang w:eastAsia="bg-BG"/>
        </w:rPr>
        <w:t>часа</w:t>
      </w:r>
      <w:r w:rsidRPr="00AE47C6">
        <w:rPr>
          <w:rFonts w:ascii="Times New Roman" w:eastAsia="SimSun" w:hAnsi="Times New Roman"/>
          <w:sz w:val="24"/>
          <w:szCs w:val="24"/>
          <w:lang w:eastAsia="bg-BG"/>
        </w:rPr>
        <w:t xml:space="preserve">, 3 за 6 месеца или 4 за 1 г.): Diazepam - 0,3-0,5 mg/kg </w:t>
      </w:r>
      <w:r w:rsidRPr="00AE47C6">
        <w:rPr>
          <w:rFonts w:ascii="Times New Roman" w:eastAsia="SimSun" w:hAnsi="Times New Roman"/>
          <w:iCs/>
          <w:sz w:val="24"/>
          <w:szCs w:val="24"/>
          <w:lang w:eastAsia="bg-BG"/>
        </w:rPr>
        <w:t>ректално</w:t>
      </w:r>
      <w:r w:rsidRPr="00AE47C6">
        <w:rPr>
          <w:rFonts w:ascii="Times New Roman" w:eastAsia="SimSun" w:hAnsi="Times New Roman"/>
          <w:sz w:val="24"/>
          <w:szCs w:val="24"/>
          <w:lang w:eastAsia="bg-BG"/>
        </w:rPr>
        <w:t xml:space="preserve"> при t</w:t>
      </w:r>
      <w:r w:rsidRPr="00AE47C6">
        <w:rPr>
          <w:rFonts w:ascii="Times New Roman" w:eastAsia="SimSun" w:hAnsi="Times New Roman"/>
          <w:sz w:val="24"/>
          <w:szCs w:val="24"/>
          <w:vertAlign w:val="superscript"/>
          <w:lang w:eastAsia="bg-BG"/>
        </w:rPr>
        <w:t xml:space="preserve">о </w:t>
      </w:r>
      <w:r w:rsidRPr="00AE47C6">
        <w:rPr>
          <w:rFonts w:ascii="Times New Roman" w:eastAsia="SimSun" w:hAnsi="Times New Roman"/>
          <w:sz w:val="24"/>
          <w:szCs w:val="24"/>
          <w:lang w:eastAsia="bg-BG"/>
        </w:rPr>
        <w:t>над 37,5</w:t>
      </w:r>
      <w:r w:rsidRPr="00AE47C6">
        <w:rPr>
          <w:rFonts w:ascii="Times New Roman" w:eastAsia="SimSun" w:hAnsi="Times New Roman"/>
          <w:sz w:val="24"/>
          <w:szCs w:val="24"/>
          <w:vertAlign w:val="superscript"/>
          <w:lang w:eastAsia="bg-BG"/>
        </w:rPr>
        <w:t>о</w:t>
      </w:r>
      <w:r w:rsidRPr="00AE47C6">
        <w:rPr>
          <w:rFonts w:ascii="Times New Roman" w:eastAsia="SimSun" w:hAnsi="Times New Roman"/>
          <w:sz w:val="24"/>
          <w:szCs w:val="24"/>
          <w:lang w:eastAsia="bg-BG"/>
        </w:rPr>
        <w:t xml:space="preserve"> С през 12 часа (терапевтична плазмена концентрация след 2-4 мин.) или </w:t>
      </w:r>
      <w:r w:rsidRPr="00AE47C6">
        <w:rPr>
          <w:rFonts w:ascii="Times New Roman" w:eastAsia="SimSun" w:hAnsi="Times New Roman"/>
          <w:iCs/>
          <w:sz w:val="24"/>
          <w:szCs w:val="24"/>
          <w:lang w:eastAsia="bg-BG"/>
        </w:rPr>
        <w:t xml:space="preserve">орален </w:t>
      </w:r>
      <w:r w:rsidRPr="00AE47C6">
        <w:rPr>
          <w:rFonts w:ascii="Times New Roman" w:eastAsia="SimSun" w:hAnsi="Times New Roman"/>
          <w:sz w:val="24"/>
          <w:szCs w:val="24"/>
          <w:lang w:eastAsia="bg-BG"/>
        </w:rPr>
        <w:t>Diazepam</w:t>
      </w:r>
      <w:r w:rsidRPr="00AE47C6">
        <w:rPr>
          <w:rFonts w:ascii="Times New Roman" w:eastAsia="SimSun" w:hAnsi="Times New Roman"/>
          <w:i/>
          <w:iCs/>
          <w:sz w:val="24"/>
          <w:szCs w:val="24"/>
          <w:lang w:eastAsia="bg-BG"/>
        </w:rPr>
        <w:t xml:space="preserve"> - </w:t>
      </w:r>
      <w:r w:rsidRPr="00AE47C6">
        <w:rPr>
          <w:rFonts w:ascii="Times New Roman" w:eastAsia="SimSun" w:hAnsi="Times New Roman"/>
          <w:sz w:val="24"/>
          <w:szCs w:val="24"/>
          <w:lang w:eastAsia="bg-BG"/>
        </w:rPr>
        <w:t>0,3 mg/kg през 8 часа (терапевтична плазмена концентрация след 30-90 мин.) до афебрилни 24 ч. (прием до 3 дни).</w:t>
      </w:r>
    </w:p>
    <w:p w14:paraId="5FC581FF" w14:textId="77777777" w:rsidR="00BE0B19" w:rsidRPr="00AE47C6" w:rsidRDefault="00BE0B19" w:rsidP="00BE0B19">
      <w:pPr>
        <w:numPr>
          <w:ilvl w:val="0"/>
          <w:numId w:val="165"/>
        </w:numPr>
        <w:tabs>
          <w:tab w:val="left" w:pos="720"/>
        </w:tabs>
        <w:suppressAutoHyphens/>
        <w:spacing w:after="0" w:line="360" w:lineRule="auto"/>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При висок риск от рецидивиращи ФГ</w:t>
      </w:r>
      <w:r w:rsidRPr="00AE47C6">
        <w:rPr>
          <w:rFonts w:ascii="Times New Roman" w:eastAsia="SimSun" w:hAnsi="Times New Roman"/>
          <w:sz w:val="24"/>
          <w:szCs w:val="24"/>
          <w:lang w:eastAsia="bg-BG"/>
        </w:rPr>
        <w:t xml:space="preserve"> (съчетание от усложнени пролонгирани ФГ &gt;15 мин., неврологичен дефицит, възраст под 1 г., чести ФГ, ФГ в първия час на фебрилното заболяване или при t</w:t>
      </w:r>
      <w:r w:rsidRPr="00AE47C6">
        <w:rPr>
          <w:rFonts w:ascii="Times New Roman" w:eastAsia="SimSun" w:hAnsi="Times New Roman"/>
          <w:sz w:val="24"/>
          <w:szCs w:val="24"/>
          <w:vertAlign w:val="superscript"/>
          <w:lang w:eastAsia="bg-BG"/>
        </w:rPr>
        <w:t>o</w:t>
      </w:r>
      <w:r w:rsidRPr="00AE47C6">
        <w:rPr>
          <w:rFonts w:ascii="Times New Roman" w:eastAsia="SimSun" w:hAnsi="Times New Roman"/>
          <w:sz w:val="24"/>
          <w:szCs w:val="24"/>
          <w:lang w:eastAsia="bg-BG"/>
        </w:rPr>
        <w:t>&lt;38</w:t>
      </w:r>
      <w:r w:rsidRPr="00AE47C6">
        <w:rPr>
          <w:rFonts w:ascii="Times New Roman" w:eastAsia="SimSun" w:hAnsi="Times New Roman"/>
          <w:sz w:val="24"/>
          <w:szCs w:val="24"/>
          <w:vertAlign w:val="superscript"/>
          <w:lang w:eastAsia="bg-BG"/>
        </w:rPr>
        <w:t>0</w:t>
      </w:r>
      <w:r w:rsidRPr="00AE47C6">
        <w:rPr>
          <w:rFonts w:ascii="Times New Roman" w:eastAsia="SimSun" w:hAnsi="Times New Roman"/>
          <w:sz w:val="24"/>
          <w:szCs w:val="24"/>
          <w:lang w:eastAsia="bg-BG"/>
        </w:rPr>
        <w:t>) се препоръчва постоянното профилактично лечение с Valproate 30 mg/kg за 1-2 г. при изследвания за чернодробни функции.</w:t>
      </w:r>
    </w:p>
    <w:p w14:paraId="3718EAB4"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51F0D7C7" w14:textId="77777777" w:rsidR="00BE0B19" w:rsidRPr="00AE47C6" w:rsidRDefault="00BE0B19" w:rsidP="00BE0B19">
      <w:pPr>
        <w:shd w:val="clear" w:color="auto" w:fill="FFFFFF"/>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Контрацепция при жени с епилепсия, лечение при бременност и кърмене</w:t>
      </w:r>
    </w:p>
    <w:p w14:paraId="1F92C5B6"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
          <w:sz w:val="24"/>
          <w:szCs w:val="24"/>
        </w:rPr>
      </w:pPr>
      <w:r w:rsidRPr="00AE47C6">
        <w:rPr>
          <w:rFonts w:ascii="Times New Roman" w:eastAsia="SimSun" w:hAnsi="Times New Roman"/>
          <w:bCs/>
          <w:sz w:val="24"/>
          <w:szCs w:val="24"/>
        </w:rPr>
        <w:t>При жените с епилепсия трябва да се предлага ефективна контрацепция за избягване на непланирана бременност. Рисковете за забременяване, въпреки контрацепцията, както и за краткосрочните и дългосрочни странични ефекти от всеки метод на контрацепция трябва да се обясняват внимателно.</w:t>
      </w:r>
      <w:r w:rsidRPr="00AE47C6">
        <w:rPr>
          <w:rFonts w:ascii="Times New Roman" w:eastAsia="SimSun" w:hAnsi="Times New Roman"/>
          <w:sz w:val="24"/>
          <w:szCs w:val="24"/>
        </w:rPr>
        <w:t xml:space="preserve"> Рискът от неуспешна контрацепция при жени на лечение с АГЛ ензимни индуктори е 3 пъти по-висок в сравнение със здравите жени. В терапевтични дози под 200 mg/дн. ТРМ не взаимодейства с пероралните контрацептиви, съдържащи norethisterone и ethinylestradiol. В по-високи дози (200–800 mg/дн.) ТРМ може да увеличи слабо клирънса на ethinylestradiol. При жени на лечение с АГЛ ензимни индуктори ефективността на пероралните контрацептиви може да се повиши с увеличаване дозата на естрогените до 50 μg (максимум 70 μg), намаляване на свободния от лекарства интервал от 7 до 4 дни и въвеждане на троен цикъл (прием на 3 опаковки една след друга). Уместно е комбиниране с други методи за контрацепция – бариерни методи, трансдермални пластири и др. За контрацепция след полов акт се препоръчва двойна доза levonorgestrel (6 mg в рамките на 120 часа след половия акт). Пероралните контрацептиви могат да променят ефикасността на някои АГЛ – напр. на LTG, особено в първите 3 дни при монотерапия с LTG и при естроген-съдържащи контрацептиви. Липсват достатъчно доказателства за ефективността на контрацептиви съдържащи само прогестерон при жени на лечение с АГЛ - ензимни индуктори.</w:t>
      </w:r>
    </w:p>
    <w:p w14:paraId="5CB7977B"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p>
    <w:p w14:paraId="0A3B24A6"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Рискове за бременната жена:</w:t>
      </w:r>
    </w:p>
    <w:p w14:paraId="19F9BB6A" w14:textId="77777777" w:rsidR="00BE0B19" w:rsidRPr="00AE47C6" w:rsidRDefault="00BE0B19" w:rsidP="00BE0B19">
      <w:pPr>
        <w:numPr>
          <w:ilvl w:val="0"/>
          <w:numId w:val="162"/>
        </w:numPr>
        <w:spacing w:after="0" w:line="360" w:lineRule="auto"/>
        <w:ind w:left="0" w:firstLine="0"/>
        <w:jc w:val="both"/>
        <w:rPr>
          <w:rFonts w:ascii="Times New Roman" w:eastAsia="SimSun" w:hAnsi="Times New Roman"/>
          <w:b/>
          <w:bCs/>
          <w:sz w:val="24"/>
          <w:szCs w:val="24"/>
        </w:rPr>
      </w:pPr>
      <w:r w:rsidRPr="00AE47C6">
        <w:rPr>
          <w:rFonts w:ascii="Times New Roman" w:eastAsia="SimSun" w:hAnsi="Times New Roman"/>
          <w:b/>
          <w:bCs/>
          <w:sz w:val="24"/>
          <w:szCs w:val="24"/>
        </w:rPr>
        <w:t xml:space="preserve">Риск от учестяване на пристъпите </w:t>
      </w:r>
      <w:r w:rsidRPr="00AE47C6">
        <w:rPr>
          <w:rFonts w:ascii="Times New Roman" w:eastAsia="SimSun" w:hAnsi="Times New Roman"/>
          <w:sz w:val="24"/>
          <w:szCs w:val="24"/>
        </w:rPr>
        <w:t>(увеличен обем на разпределение на лекарствата, протеиново свързване и чернодробен метаболизъм) - дозировката се повишава по преценка след изследване на серумно ниво.</w:t>
      </w:r>
    </w:p>
    <w:p w14:paraId="1C979372" w14:textId="77777777" w:rsidR="00BE0B19" w:rsidRPr="00AE47C6" w:rsidRDefault="00BE0B19" w:rsidP="00BE0B19">
      <w:pPr>
        <w:numPr>
          <w:ilvl w:val="0"/>
          <w:numId w:val="162"/>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
          <w:bCs/>
          <w:sz w:val="24"/>
          <w:szCs w:val="24"/>
        </w:rPr>
        <w:t xml:space="preserve">Риск за усложнения на майката - </w:t>
      </w:r>
      <w:r w:rsidRPr="00AE47C6">
        <w:rPr>
          <w:rFonts w:ascii="Times New Roman" w:eastAsia="SimSun" w:hAnsi="Times New Roman"/>
          <w:sz w:val="24"/>
          <w:szCs w:val="24"/>
        </w:rPr>
        <w:t>прееклампсия, хиперемезис, преждевременно раждане, анемия.</w:t>
      </w:r>
    </w:p>
    <w:p w14:paraId="7E005041" w14:textId="77777777" w:rsidR="00BE0B19" w:rsidRPr="00AE47C6" w:rsidRDefault="00BE0B19" w:rsidP="00BE0B19">
      <w:pPr>
        <w:numPr>
          <w:ilvl w:val="0"/>
          <w:numId w:val="162"/>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
          <w:bCs/>
          <w:sz w:val="24"/>
          <w:szCs w:val="24"/>
        </w:rPr>
        <w:t>При раждане -</w:t>
      </w:r>
      <w:r w:rsidRPr="00AE47C6">
        <w:rPr>
          <w:rFonts w:ascii="Times New Roman" w:eastAsia="SimSun" w:hAnsi="Times New Roman"/>
          <w:sz w:val="24"/>
          <w:szCs w:val="24"/>
        </w:rPr>
        <w:t xml:space="preserve"> 1-2% от жените с епилепсия получават припадъци.</w:t>
      </w:r>
    </w:p>
    <w:p w14:paraId="6D13D7A1" w14:textId="77777777" w:rsidR="00BE0B19" w:rsidRPr="00AE47C6" w:rsidRDefault="00BE0B19" w:rsidP="00BE0B19">
      <w:pPr>
        <w:numPr>
          <w:ilvl w:val="0"/>
          <w:numId w:val="162"/>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
          <w:bCs/>
          <w:sz w:val="24"/>
          <w:szCs w:val="24"/>
        </w:rPr>
        <w:t>Неврологът не взема отношение за воденето на раждането, вида на родоразрешението и акушерското поведение</w:t>
      </w:r>
    </w:p>
    <w:p w14:paraId="2D442BCF"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Рискове за плода:</w:t>
      </w:r>
    </w:p>
    <w:p w14:paraId="2B516277" w14:textId="77777777" w:rsidR="00BE0B19" w:rsidRPr="00AE47C6" w:rsidRDefault="00BE0B19" w:rsidP="00BE0B19">
      <w:pPr>
        <w:numPr>
          <w:ilvl w:val="0"/>
          <w:numId w:val="163"/>
        </w:numPr>
        <w:spacing w:after="0" w:line="360" w:lineRule="auto"/>
        <w:ind w:left="0" w:firstLine="0"/>
        <w:jc w:val="both"/>
        <w:rPr>
          <w:rFonts w:ascii="Times New Roman" w:eastAsia="SimSun" w:hAnsi="Times New Roman"/>
          <w:b/>
          <w:bCs/>
          <w:sz w:val="24"/>
          <w:szCs w:val="24"/>
        </w:rPr>
      </w:pPr>
      <w:r w:rsidRPr="00AE47C6">
        <w:rPr>
          <w:rFonts w:ascii="Times New Roman" w:eastAsia="SimSun" w:hAnsi="Times New Roman"/>
          <w:b/>
          <w:bCs/>
          <w:sz w:val="24"/>
          <w:szCs w:val="24"/>
        </w:rPr>
        <w:t xml:space="preserve">Риск за малформации - </w:t>
      </w:r>
      <w:r w:rsidRPr="00AE47C6">
        <w:rPr>
          <w:rFonts w:ascii="Times New Roman" w:eastAsia="SimSun" w:hAnsi="Times New Roman"/>
          <w:sz w:val="24"/>
          <w:szCs w:val="24"/>
        </w:rPr>
        <w:t xml:space="preserve">25% по висок за жените с епилепсия в сравнение с общата популация и почти 2 пъти по-висок при антиконвулсантно лечение - големи малформации (дефекти на невралната тръба като spina bifida, орофациални дефекти като pallatum fissum, сърдечни малформации, хипоспадиа) и малки (хипертелоризъм, епикантуси, хипопластични пръсти). Препоръчват се ултразвукови изследвания на плода – в началото на бременността, през 3-ти, 6-ти и началото на 9-ти л.м., а при съмнение за малформация - изследване на алфа-фетопротеин и амниоцентеза. </w:t>
      </w:r>
      <w:r w:rsidRPr="00AE47C6">
        <w:rPr>
          <w:rFonts w:ascii="Times New Roman" w:eastAsia="SimSun" w:hAnsi="Times New Roman"/>
          <w:b/>
          <w:bCs/>
          <w:sz w:val="24"/>
          <w:szCs w:val="24"/>
        </w:rPr>
        <w:tab/>
      </w:r>
    </w:p>
    <w:p w14:paraId="6C3B46E5" w14:textId="77777777" w:rsidR="00BE0B19" w:rsidRPr="00AE47C6" w:rsidRDefault="00BE0B19" w:rsidP="00BE0B19">
      <w:pPr>
        <w:numPr>
          <w:ilvl w:val="0"/>
          <w:numId w:val="163"/>
        </w:numPr>
        <w:spacing w:after="0" w:line="360" w:lineRule="auto"/>
        <w:ind w:left="0" w:firstLine="0"/>
        <w:jc w:val="both"/>
        <w:rPr>
          <w:rFonts w:ascii="Times New Roman" w:eastAsia="SimSun" w:hAnsi="Times New Roman"/>
          <w:b/>
          <w:bCs/>
          <w:sz w:val="24"/>
          <w:szCs w:val="24"/>
        </w:rPr>
      </w:pPr>
      <w:r w:rsidRPr="00AE47C6">
        <w:rPr>
          <w:rFonts w:ascii="Times New Roman" w:eastAsia="SimSun" w:hAnsi="Times New Roman"/>
          <w:b/>
          <w:bCs/>
          <w:sz w:val="24"/>
          <w:szCs w:val="24"/>
        </w:rPr>
        <w:t xml:space="preserve">Препоръки за поведение при бременни и кърмещи жени с епилепсия от 2016 г. </w:t>
      </w:r>
    </w:p>
    <w:p w14:paraId="391BACF6"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ab/>
      </w:r>
      <w:r w:rsidRPr="00AE47C6">
        <w:rPr>
          <w:rFonts w:ascii="Times New Roman" w:eastAsia="SimSun" w:hAnsi="Times New Roman"/>
          <w:bCs/>
          <w:sz w:val="24"/>
          <w:szCs w:val="24"/>
        </w:rPr>
        <w:t xml:space="preserve">1. При жени с пристъпи по време на втората половина на бременността, които не могат със сигурност да се определят като епилептични, се започва лечение като за еклампсия (магнезиев сулфат) до пълното диагностично уточняване. </w:t>
      </w:r>
      <w:r w:rsidRPr="00AE47C6">
        <w:rPr>
          <w:rFonts w:ascii="Times New Roman" w:eastAsia="SimSun" w:hAnsi="Times New Roman"/>
          <w:sz w:val="24"/>
          <w:szCs w:val="24"/>
        </w:rPr>
        <w:t xml:space="preserve">МРТ и КТ се считат за безопасни, а рискът за плода при еднократна експозиция е минимален. </w:t>
      </w:r>
    </w:p>
    <w:p w14:paraId="75C73740"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
          <w:bCs/>
          <w:sz w:val="24"/>
          <w:szCs w:val="24"/>
        </w:rPr>
      </w:pPr>
      <w:r w:rsidRPr="00AE47C6">
        <w:rPr>
          <w:rFonts w:ascii="Times New Roman" w:eastAsia="SimSun" w:hAnsi="Times New Roman"/>
          <w:sz w:val="24"/>
          <w:szCs w:val="24"/>
        </w:rPr>
        <w:tab/>
        <w:t xml:space="preserve">2. </w:t>
      </w:r>
      <w:r w:rsidRPr="00AE47C6">
        <w:rPr>
          <w:rFonts w:ascii="Times New Roman" w:eastAsia="SimSun" w:hAnsi="Times New Roman"/>
          <w:bCs/>
          <w:sz w:val="24"/>
          <w:szCs w:val="24"/>
        </w:rPr>
        <w:t>При всички жени с епилепсия се препоръчва прием на фолиева киселина 5 mg/d преди забременяването и поне до края на първия триместър на бременността с цел намаляване на риска от вродени аномалии.</w:t>
      </w:r>
      <w:r w:rsidRPr="00AE47C6">
        <w:rPr>
          <w:rFonts w:ascii="Times New Roman" w:eastAsia="SimSun" w:hAnsi="Times New Roman"/>
          <w:sz w:val="24"/>
          <w:szCs w:val="24"/>
        </w:rPr>
        <w:t xml:space="preserve"> Рискът от големи вродени аномалии зависи от вида, броя и дозата на АГЛ. LTG (под 300 mg/дн.) и CBZ (под 400 mg/дн.) са свързани с най-малък риск. Най-висок е рискът при прием на VPA (10,7/100) или политерапия (16,8/100) в сравнение с 2,3/ 100 при жени без епилепсия. Според регистри на Великобритания и Ирландия, рискът при монотерапия с LEV (0,7/100), също е по-нисък в сравнение с политерапия (5,6/100). Липсват достатъчно доказателства за риска при монотерапия с другите АГЛ. Рискът за повторна вродена аномалия е по-висок (16,8/ 100) при жени, които имат вече дете с вродена аномалия. </w:t>
      </w:r>
    </w:p>
    <w:p w14:paraId="769F82F0"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3. Приемът на VPA и политерапия с други АГЛ трябва да се минимизира преди забременяването след внимателна преценка от епилептолог. VPA да не се употребява при момичета в юношеска възраст и млади жени с детероден потенциал, освен при липса на ефект от други алтернативни антиепилептични лекарствени средства.</w:t>
      </w:r>
    </w:p>
    <w:p w14:paraId="606F3895" w14:textId="77777777" w:rsidR="00BE0B19" w:rsidRPr="00AE47C6" w:rsidRDefault="00BE0B19" w:rsidP="00BE0B19">
      <w:pPr>
        <w:autoSpaceDE w:val="0"/>
        <w:autoSpaceDN w:val="0"/>
        <w:adjustRightInd w:val="0"/>
        <w:spacing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4. Приемът на Топирамат е противопоказан при жени с детероден потенциал, освен ако няма друго алтернативно лечение и ако използват високоефективна контрацепция. Според последни проучвания при деца, изложени на терапия с topiramat като монотерапия по време на бременността имат приблизително 3 пъти по-висок риск от големи вродени аномалии, вкл. цепка на устата и небцето, хипоспадиа и аномалии на различни органи и системи в сравнение с референтна група, неизложена на АГЛ. Рисковете за големи вродени аномалии са от 4.3% ( 1.4% в референтната група) до 9.5% ( 3% в референтната група). Съобщава се за по-висока честота на новородени с ниско тегло при раждането (под 2 500 грама) и с по-ниско тегло според гестационната възраст при монотерапия с topiramat на майките с епилепсия. Съобщава се за по-висока честота на новородени с Разстройства от аутистичния спектър, интелектуален дефицит и Синдром на дефицит на внимание и хиперактивност (ADHD)  при майки с епилепсия, приемали topiramat по време на бременността, в сравнение с деца с родени от майки с епилепсия, неприемали АГЛ. </w:t>
      </w:r>
    </w:p>
    <w:p w14:paraId="25DA8EA9"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ab/>
        <w:t>5. На всички новородени на жени с епилепсия лекувани с АГЛ ензимни индуктори (CBZ, PHT, PB, PRM, OCBZ, TPM, ESL), трябва да се прилага 1 mg витамин K интрамускулно с цел превенция на хеморагична болест на новороденото. Липсват достатъчно доказателства за необходимостта от прилагане на витамин K при жените с епилепсия за превенция на хеморагии след раждането.</w:t>
      </w:r>
    </w:p>
    <w:p w14:paraId="4C9FBDC3"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6. Приемът (перорален или при необходимост парентерален) на АГЛ трябва да продължи по време на раждането. Липсват проучвания за оптимален избор на АГЛ при пристъп по време на раждане. При епилептичен статус за предпочитане са АГЛ от групата на бензодиазепините.</w:t>
      </w:r>
    </w:p>
    <w:p w14:paraId="273FCFE9"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7. Препоръчително е продължително мониториране на плода при жени с висок риск от пристъп по време на раждане, както и след получен пристъп по време на раждането. </w:t>
      </w:r>
    </w:p>
    <w:p w14:paraId="5617F0F7" w14:textId="77777777" w:rsidR="00BE0B19" w:rsidRPr="00AE47C6" w:rsidRDefault="00BE0B19" w:rsidP="00BE0B19">
      <w:pPr>
        <w:autoSpaceDE w:val="0"/>
        <w:autoSpaceDN w:val="0"/>
        <w:adjustRightInd w:val="0"/>
        <w:spacing w:after="0" w:line="360" w:lineRule="auto"/>
        <w:jc w:val="both"/>
        <w:rPr>
          <w:rFonts w:ascii="Times New Roman" w:eastAsia="SimSun" w:hAnsi="Times New Roman"/>
          <w:iCs/>
          <w:sz w:val="24"/>
          <w:szCs w:val="24"/>
        </w:rPr>
      </w:pPr>
      <w:r w:rsidRPr="00AE47C6">
        <w:rPr>
          <w:rFonts w:ascii="Times New Roman" w:eastAsia="SimSun" w:hAnsi="Times New Roman"/>
          <w:bCs/>
          <w:sz w:val="24"/>
          <w:szCs w:val="24"/>
        </w:rPr>
        <w:tab/>
        <w:t xml:space="preserve">8. Облекчаването на болката по време на раждане при жени с епилепсия е много важно с цел минимизиране на провокиращи фактори за пристъпите. Локалната анестезия (епидурална, спинална, комбинирана) е безопасна. </w:t>
      </w:r>
      <w:r w:rsidRPr="00AE47C6">
        <w:rPr>
          <w:rFonts w:ascii="Times New Roman" w:eastAsia="SimSun" w:hAnsi="Times New Roman"/>
          <w:sz w:val="24"/>
          <w:szCs w:val="24"/>
        </w:rPr>
        <w:t xml:space="preserve">Diamorphine е за предпочитане пред pethidine (епилептогенен ефект) за аналгезия по време на раждане. При необходимост от обща анестезия е за предпочитане да се избягват анестетици като pethidine, ketamine и sevoflurane. </w:t>
      </w:r>
    </w:p>
    <w:p w14:paraId="6F840CF8" w14:textId="77777777" w:rsidR="00BE0B19" w:rsidRPr="00AE47C6" w:rsidRDefault="00BE0B19" w:rsidP="00BE0B19">
      <w:pPr>
        <w:tabs>
          <w:tab w:val="left" w:pos="709"/>
        </w:tabs>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9. Липсват контраиндикации за прилагане на индуциращи раждането медикаменти при жени с епилепсия на лечение с АГЛ. </w:t>
      </w:r>
    </w:p>
    <w:p w14:paraId="37F26CBF"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sz w:val="24"/>
          <w:szCs w:val="24"/>
        </w:rPr>
      </w:pPr>
      <w:r w:rsidRPr="00AE47C6">
        <w:rPr>
          <w:rFonts w:ascii="Times New Roman" w:eastAsia="SimSun" w:hAnsi="Times New Roman"/>
          <w:bCs/>
          <w:sz w:val="24"/>
          <w:szCs w:val="24"/>
        </w:rPr>
        <w:t>10. При жените с епилепсия трябва да се препоръчва да продължат приема на АГЛ след раждането.</w:t>
      </w:r>
      <w:r w:rsidRPr="00AE47C6">
        <w:rPr>
          <w:rFonts w:ascii="Times New Roman" w:eastAsia="SimSun" w:hAnsi="Times New Roman"/>
          <w:sz w:val="24"/>
          <w:szCs w:val="24"/>
        </w:rPr>
        <w:t xml:space="preserve"> Преценката за кърмене е индивидуална, но трябва да се има предвид, че LTG, LEV, TPM преминават в по-голяма степен в кърмата в сравнение с VPA, CBZ, PHT. </w:t>
      </w:r>
    </w:p>
    <w:p w14:paraId="6A42AF87"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11. След раждането е препоръчителна подкрепа при майките с епилепсия, с която да се минимизират провокиращите пристъпи фактори като сънна депривация, стрес, болка. </w:t>
      </w:r>
    </w:p>
    <w:p w14:paraId="1B54CD93"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12. Ако дозата на АГЛ е била завишена по време на бременността, трябва да бъде ревизирана в рамките на 10 дни след раждането с цел избягване на постпартална токсичност.</w:t>
      </w:r>
    </w:p>
    <w:p w14:paraId="1F5F39BA" w14:textId="77777777" w:rsidR="00BE0B19" w:rsidRPr="00AE47C6" w:rsidRDefault="00BE0B19" w:rsidP="00BE0B19">
      <w:pPr>
        <w:spacing w:after="0" w:line="360" w:lineRule="auto"/>
        <w:ind w:firstLine="720"/>
        <w:jc w:val="both"/>
        <w:rPr>
          <w:rFonts w:ascii="Times New Roman" w:eastAsia="SimSun" w:hAnsi="Times New Roman"/>
          <w:b/>
          <w:bCs/>
          <w:sz w:val="24"/>
          <w:szCs w:val="24"/>
          <w:u w:val="single"/>
        </w:rPr>
      </w:pPr>
      <w:r w:rsidRPr="00AE47C6">
        <w:rPr>
          <w:rFonts w:ascii="Times New Roman" w:eastAsia="SimSun" w:hAnsi="Times New Roman"/>
          <w:b/>
          <w:bCs/>
          <w:sz w:val="24"/>
          <w:szCs w:val="24"/>
        </w:rPr>
        <w:t xml:space="preserve">При лечение в старческа възраст </w:t>
      </w:r>
      <w:r w:rsidRPr="00AE47C6">
        <w:rPr>
          <w:rFonts w:ascii="Times New Roman" w:eastAsia="SimSun" w:hAnsi="Times New Roman"/>
          <w:sz w:val="24"/>
          <w:szCs w:val="24"/>
        </w:rPr>
        <w:t xml:space="preserve">се препоръчва по-ниски дози на АГЛ, поради забавен чернодробен метаболизъм и снижен бъбречен клирънс. При пациенти с епилепсия в старческа възраст и епилепсия и интелектуален дефицит (IQ&lt;70) се препоръчват медикаменти, неповлияващи когнитивните функции, а при депресия - медикаменти, неповлияващи поведението (таблица 11.17). </w:t>
      </w:r>
    </w:p>
    <w:p w14:paraId="23364653" w14:textId="77777777" w:rsidR="00BE0B19" w:rsidRPr="00AE47C6" w:rsidRDefault="00BE0B19" w:rsidP="00BE0B19">
      <w:pPr>
        <w:spacing w:after="0" w:line="360" w:lineRule="auto"/>
        <w:jc w:val="both"/>
        <w:rPr>
          <w:rFonts w:ascii="Times New Roman" w:eastAsia="SimSun" w:hAnsi="Times New Roman"/>
          <w:b/>
          <w:bCs/>
          <w:sz w:val="24"/>
          <w:szCs w:val="24"/>
        </w:rPr>
      </w:pPr>
    </w:p>
    <w:p w14:paraId="7434A901"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Таблица 11.17. Ефекти на АГЛ върху когнитивните функции и поведението</w:t>
      </w:r>
    </w:p>
    <w:tbl>
      <w:tblPr>
        <w:tblW w:w="91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5"/>
        <w:gridCol w:w="2593"/>
        <w:gridCol w:w="3485"/>
      </w:tblGrid>
      <w:tr w:rsidR="00BE0B19" w:rsidRPr="00AE47C6" w14:paraId="330A490C" w14:textId="77777777" w:rsidTr="00AD72E5">
        <w:tc>
          <w:tcPr>
            <w:tcW w:w="3095" w:type="dxa"/>
          </w:tcPr>
          <w:p w14:paraId="234476D0"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АЕЛ</w:t>
            </w:r>
          </w:p>
        </w:tc>
        <w:tc>
          <w:tcPr>
            <w:tcW w:w="2593" w:type="dxa"/>
          </w:tcPr>
          <w:p w14:paraId="148ECF53"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Когнитивни функции</w:t>
            </w:r>
          </w:p>
        </w:tc>
        <w:tc>
          <w:tcPr>
            <w:tcW w:w="3485" w:type="dxa"/>
          </w:tcPr>
          <w:p w14:paraId="45B45AC0"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Поведение</w:t>
            </w:r>
          </w:p>
        </w:tc>
      </w:tr>
      <w:tr w:rsidR="00BE0B19" w:rsidRPr="00AE47C6" w14:paraId="2554C3E9" w14:textId="77777777" w:rsidTr="00AD72E5">
        <w:tc>
          <w:tcPr>
            <w:tcW w:w="3095" w:type="dxa"/>
          </w:tcPr>
          <w:p w14:paraId="2CA12E46"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Carbamazepine</w:t>
            </w:r>
          </w:p>
        </w:tc>
        <w:tc>
          <w:tcPr>
            <w:tcW w:w="2593" w:type="dxa"/>
          </w:tcPr>
          <w:p w14:paraId="3E78EFE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Минимален</w:t>
            </w:r>
          </w:p>
        </w:tc>
        <w:tc>
          <w:tcPr>
            <w:tcW w:w="3485" w:type="dxa"/>
          </w:tcPr>
          <w:p w14:paraId="4098146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Стабилизатор на настроението</w:t>
            </w:r>
          </w:p>
        </w:tc>
      </w:tr>
      <w:tr w:rsidR="00BE0B19" w:rsidRPr="00AE47C6" w14:paraId="09802797" w14:textId="77777777" w:rsidTr="00AD72E5">
        <w:tc>
          <w:tcPr>
            <w:tcW w:w="3095" w:type="dxa"/>
          </w:tcPr>
          <w:p w14:paraId="3FEC9677"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Phenytoin</w:t>
            </w:r>
          </w:p>
        </w:tc>
        <w:tc>
          <w:tcPr>
            <w:tcW w:w="2593" w:type="dxa"/>
          </w:tcPr>
          <w:p w14:paraId="72551E6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Увреждане</w:t>
            </w:r>
          </w:p>
        </w:tc>
        <w:tc>
          <w:tcPr>
            <w:tcW w:w="3485" w:type="dxa"/>
          </w:tcPr>
          <w:p w14:paraId="467B768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Неизяснено</w:t>
            </w:r>
          </w:p>
        </w:tc>
      </w:tr>
      <w:tr w:rsidR="00BE0B19" w:rsidRPr="00AE47C6" w14:paraId="1E7B9F78" w14:textId="77777777" w:rsidTr="00AD72E5">
        <w:tc>
          <w:tcPr>
            <w:tcW w:w="3095" w:type="dxa"/>
          </w:tcPr>
          <w:p w14:paraId="147B84F4"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Phenobarbital</w:t>
            </w:r>
          </w:p>
        </w:tc>
        <w:tc>
          <w:tcPr>
            <w:tcW w:w="2593" w:type="dxa"/>
          </w:tcPr>
          <w:p w14:paraId="61A847D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Увреждане</w:t>
            </w:r>
          </w:p>
        </w:tc>
        <w:tc>
          <w:tcPr>
            <w:tcW w:w="3485" w:type="dxa"/>
          </w:tcPr>
          <w:p w14:paraId="0FD94D6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Депресия</w:t>
            </w:r>
          </w:p>
        </w:tc>
      </w:tr>
      <w:tr w:rsidR="00BE0B19" w:rsidRPr="00AE47C6" w14:paraId="6974839C" w14:textId="77777777" w:rsidTr="00AD72E5">
        <w:tc>
          <w:tcPr>
            <w:tcW w:w="3095" w:type="dxa"/>
          </w:tcPr>
          <w:p w14:paraId="07A18EC5"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Valproate</w:t>
            </w:r>
          </w:p>
        </w:tc>
        <w:tc>
          <w:tcPr>
            <w:tcW w:w="2593" w:type="dxa"/>
          </w:tcPr>
          <w:p w14:paraId="5BEEDCA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Минимален</w:t>
            </w:r>
          </w:p>
        </w:tc>
        <w:tc>
          <w:tcPr>
            <w:tcW w:w="3485" w:type="dxa"/>
          </w:tcPr>
          <w:p w14:paraId="7594D32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Стабилизатор на настроението</w:t>
            </w:r>
          </w:p>
        </w:tc>
      </w:tr>
      <w:tr w:rsidR="00BE0B19" w:rsidRPr="00AE47C6" w14:paraId="07221CA3" w14:textId="77777777" w:rsidTr="00AD72E5">
        <w:tc>
          <w:tcPr>
            <w:tcW w:w="3095" w:type="dxa"/>
          </w:tcPr>
          <w:p w14:paraId="35E9E3CB"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Clonazepam</w:t>
            </w:r>
          </w:p>
        </w:tc>
        <w:tc>
          <w:tcPr>
            <w:tcW w:w="2593" w:type="dxa"/>
          </w:tcPr>
          <w:p w14:paraId="68D4C0B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Увреждане</w:t>
            </w:r>
          </w:p>
        </w:tc>
        <w:tc>
          <w:tcPr>
            <w:tcW w:w="3485" w:type="dxa"/>
          </w:tcPr>
          <w:p w14:paraId="44F1B10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Стабилизатор на настроението?</w:t>
            </w:r>
          </w:p>
        </w:tc>
      </w:tr>
      <w:tr w:rsidR="00BE0B19" w:rsidRPr="00AE47C6" w14:paraId="35369B64" w14:textId="77777777" w:rsidTr="00AD72E5">
        <w:tc>
          <w:tcPr>
            <w:tcW w:w="3095" w:type="dxa"/>
          </w:tcPr>
          <w:p w14:paraId="42B155AF"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Gabapentin</w:t>
            </w:r>
          </w:p>
        </w:tc>
        <w:tc>
          <w:tcPr>
            <w:tcW w:w="2593" w:type="dxa"/>
          </w:tcPr>
          <w:p w14:paraId="2830E47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Минимален</w:t>
            </w:r>
          </w:p>
        </w:tc>
        <w:tc>
          <w:tcPr>
            <w:tcW w:w="3485" w:type="dxa"/>
          </w:tcPr>
          <w:p w14:paraId="76B913B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Минимален</w:t>
            </w:r>
          </w:p>
        </w:tc>
      </w:tr>
      <w:tr w:rsidR="00BE0B19" w:rsidRPr="00AE47C6" w14:paraId="69FF25B2" w14:textId="77777777" w:rsidTr="00AD72E5">
        <w:tc>
          <w:tcPr>
            <w:tcW w:w="3095" w:type="dxa"/>
          </w:tcPr>
          <w:p w14:paraId="0AF4167C"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Lamotrigine</w:t>
            </w:r>
          </w:p>
        </w:tc>
        <w:tc>
          <w:tcPr>
            <w:tcW w:w="2593" w:type="dxa"/>
          </w:tcPr>
          <w:p w14:paraId="510F4DA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Минимален</w:t>
            </w:r>
          </w:p>
        </w:tc>
        <w:tc>
          <w:tcPr>
            <w:tcW w:w="3485" w:type="dxa"/>
          </w:tcPr>
          <w:p w14:paraId="5322681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Минимален</w:t>
            </w:r>
          </w:p>
        </w:tc>
      </w:tr>
      <w:tr w:rsidR="00BE0B19" w:rsidRPr="00AE47C6" w14:paraId="17F4D9C0" w14:textId="77777777" w:rsidTr="00AD72E5">
        <w:tc>
          <w:tcPr>
            <w:tcW w:w="3095" w:type="dxa"/>
          </w:tcPr>
          <w:p w14:paraId="7C560F7A"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Levetiracetam</w:t>
            </w:r>
          </w:p>
        </w:tc>
        <w:tc>
          <w:tcPr>
            <w:tcW w:w="2593" w:type="dxa"/>
          </w:tcPr>
          <w:p w14:paraId="0C9CB82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Минимален</w:t>
            </w:r>
          </w:p>
        </w:tc>
        <w:tc>
          <w:tcPr>
            <w:tcW w:w="3485" w:type="dxa"/>
          </w:tcPr>
          <w:p w14:paraId="73517B5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Минимален</w:t>
            </w:r>
          </w:p>
        </w:tc>
      </w:tr>
      <w:tr w:rsidR="00BE0B19" w:rsidRPr="00AE47C6" w14:paraId="68DB9799" w14:textId="77777777" w:rsidTr="00AD72E5">
        <w:tc>
          <w:tcPr>
            <w:tcW w:w="3095" w:type="dxa"/>
          </w:tcPr>
          <w:p w14:paraId="27525007"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Oxcarbazepine</w:t>
            </w:r>
          </w:p>
        </w:tc>
        <w:tc>
          <w:tcPr>
            <w:tcW w:w="2593" w:type="dxa"/>
          </w:tcPr>
          <w:p w14:paraId="1BD4D5A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Минимален</w:t>
            </w:r>
          </w:p>
        </w:tc>
        <w:tc>
          <w:tcPr>
            <w:tcW w:w="3485" w:type="dxa"/>
          </w:tcPr>
          <w:p w14:paraId="4F14B7C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Минимален</w:t>
            </w:r>
          </w:p>
        </w:tc>
      </w:tr>
      <w:tr w:rsidR="00BE0B19" w:rsidRPr="00AE47C6" w14:paraId="6A4CB451" w14:textId="77777777" w:rsidTr="00AD72E5">
        <w:tc>
          <w:tcPr>
            <w:tcW w:w="3095" w:type="dxa"/>
          </w:tcPr>
          <w:p w14:paraId="4B53B2E8"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Tiagabine</w:t>
            </w:r>
          </w:p>
        </w:tc>
        <w:tc>
          <w:tcPr>
            <w:tcW w:w="2593" w:type="dxa"/>
          </w:tcPr>
          <w:p w14:paraId="65033E7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Минимален</w:t>
            </w:r>
          </w:p>
        </w:tc>
        <w:tc>
          <w:tcPr>
            <w:tcW w:w="3485" w:type="dxa"/>
          </w:tcPr>
          <w:p w14:paraId="487FCF9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Минимален</w:t>
            </w:r>
          </w:p>
        </w:tc>
      </w:tr>
      <w:tr w:rsidR="00BE0B19" w:rsidRPr="00AE47C6" w14:paraId="5A646F59" w14:textId="77777777" w:rsidTr="00AD72E5">
        <w:tc>
          <w:tcPr>
            <w:tcW w:w="3095" w:type="dxa"/>
          </w:tcPr>
          <w:p w14:paraId="1BAE720D"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Topiramate</w:t>
            </w:r>
          </w:p>
        </w:tc>
        <w:tc>
          <w:tcPr>
            <w:tcW w:w="2593" w:type="dxa"/>
          </w:tcPr>
          <w:p w14:paraId="0E5A226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Увреждане</w:t>
            </w:r>
          </w:p>
        </w:tc>
        <w:tc>
          <w:tcPr>
            <w:tcW w:w="3485" w:type="dxa"/>
          </w:tcPr>
          <w:p w14:paraId="32E6C6C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Минимален, съобщения за психози</w:t>
            </w:r>
          </w:p>
        </w:tc>
      </w:tr>
      <w:tr w:rsidR="00BE0B19" w:rsidRPr="00AE47C6" w14:paraId="22F972C3" w14:textId="77777777" w:rsidTr="00AD72E5">
        <w:tc>
          <w:tcPr>
            <w:tcW w:w="3095" w:type="dxa"/>
          </w:tcPr>
          <w:p w14:paraId="5A1085DE"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LCM</w:t>
            </w:r>
          </w:p>
        </w:tc>
        <w:tc>
          <w:tcPr>
            <w:tcW w:w="2593" w:type="dxa"/>
          </w:tcPr>
          <w:p w14:paraId="46EC7C0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Неизвестен</w:t>
            </w:r>
          </w:p>
        </w:tc>
        <w:tc>
          <w:tcPr>
            <w:tcW w:w="3485" w:type="dxa"/>
          </w:tcPr>
          <w:p w14:paraId="795DEA7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Минимален</w:t>
            </w:r>
          </w:p>
        </w:tc>
      </w:tr>
      <w:tr w:rsidR="00BE0B19" w:rsidRPr="00AE47C6" w14:paraId="05F9D540" w14:textId="77777777" w:rsidTr="00AD72E5">
        <w:tc>
          <w:tcPr>
            <w:tcW w:w="3095" w:type="dxa"/>
          </w:tcPr>
          <w:p w14:paraId="56B462E7"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BRV</w:t>
            </w:r>
          </w:p>
        </w:tc>
        <w:tc>
          <w:tcPr>
            <w:tcW w:w="2593" w:type="dxa"/>
          </w:tcPr>
          <w:p w14:paraId="61431D5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Минимален</w:t>
            </w:r>
          </w:p>
        </w:tc>
        <w:tc>
          <w:tcPr>
            <w:tcW w:w="3485" w:type="dxa"/>
          </w:tcPr>
          <w:p w14:paraId="66CA9D1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Минимален, съобщения за психози</w:t>
            </w:r>
          </w:p>
        </w:tc>
      </w:tr>
    </w:tbl>
    <w:p w14:paraId="5C76B3D1"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50DD4246"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При пациенти с бъбречна и чернодробна недостатъчност</w:t>
      </w:r>
      <w:r w:rsidRPr="00AE47C6">
        <w:rPr>
          <w:rFonts w:ascii="Times New Roman" w:eastAsia="SimSun" w:hAnsi="Times New Roman"/>
          <w:sz w:val="24"/>
          <w:szCs w:val="24"/>
          <w:lang w:eastAsia="bg-BG"/>
        </w:rPr>
        <w:t xml:space="preserve"> изборът на АГЛ е съобразен с мястото на метаболизма и екскрецията на АГЛ. Phenytoin не се препоръчва поради нелинеарна кинетика, чернодробна автоиндукция, множество лекарствени взаимодействия и висока степен на протеиново свързване. Phenytoin и валпроати могат да предизвикат чернодробна увреда. Gabapentin и levetiracetam се екскретират главно през бъбреците и дозирането им се съобразява с бъбречната недостатъчност. Те се прилагат при чернодробна недостатъчност и при възможна лекарствено индуцирана етиология. Lamotrigine, който се метаболизира чрез глюкоронизиране, също се прилага при някои пациенти с чернодробна недостатъчност.</w:t>
      </w:r>
    </w:p>
    <w:p w14:paraId="5344601B"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Лечение при провокираните пристъпи:</w:t>
      </w:r>
      <w:r w:rsidRPr="00AE47C6">
        <w:rPr>
          <w:rFonts w:ascii="Times New Roman" w:eastAsia="SimSun" w:hAnsi="Times New Roman"/>
          <w:sz w:val="24"/>
          <w:szCs w:val="24"/>
          <w:lang w:eastAsia="bg-BG"/>
        </w:rPr>
        <w:t xml:space="preserve"> Краткотрайно лечение с бензодиазепини редуцира риска от пристъпи при преустановяване на алкохол и delirium tremens. След остър мозъчен инсулт или неврохирургия не е необходимо профилактично лечение с АГЛ. Започнатите АГЛ след остър мозъчен инсулт се изключват постепенно. Лечение с АГЛ се провежда при непровокирани пристъпи с постинсултна причина.</w:t>
      </w:r>
    </w:p>
    <w:p w14:paraId="0127BC23"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p>
    <w:p w14:paraId="6C693366" w14:textId="77777777" w:rsidR="00BE0B19" w:rsidRPr="00AE47C6" w:rsidRDefault="00BE0B19" w:rsidP="00BE0B19">
      <w:pPr>
        <w:tabs>
          <w:tab w:val="left" w:pos="720"/>
        </w:tabs>
        <w:suppressAutoHyphens/>
        <w:spacing w:after="0" w:line="360" w:lineRule="auto"/>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Е. Лабораторен контрол</w:t>
      </w:r>
    </w:p>
    <w:p w14:paraId="1AE5C219" w14:textId="77777777" w:rsidR="00BE0B19" w:rsidRPr="00AE47C6" w:rsidRDefault="00BE0B19" w:rsidP="00BE0B19">
      <w:pPr>
        <w:tabs>
          <w:tab w:val="left" w:pos="720"/>
        </w:tabs>
        <w:suppressAutoHyphens/>
        <w:spacing w:after="0" w:line="360" w:lineRule="auto"/>
        <w:jc w:val="both"/>
        <w:rPr>
          <w:rFonts w:ascii="Times New Roman" w:eastAsia="SimSun" w:hAnsi="Times New Roman"/>
          <w:sz w:val="24"/>
          <w:szCs w:val="24"/>
          <w:lang w:eastAsia="bg-BG"/>
        </w:rPr>
      </w:pPr>
    </w:p>
    <w:p w14:paraId="7B5409A0" w14:textId="77777777" w:rsidR="00BE0B19" w:rsidRPr="00AE47C6" w:rsidRDefault="00BE0B19" w:rsidP="00BE0B19">
      <w:pPr>
        <w:numPr>
          <w:ilvl w:val="0"/>
          <w:numId w:val="164"/>
        </w:numPr>
        <w:suppressAutoHyphens/>
        <w:spacing w:after="0" w:line="360" w:lineRule="auto"/>
        <w:ind w:left="0" w:firstLine="0"/>
        <w:jc w:val="both"/>
        <w:rPr>
          <w:rFonts w:ascii="Times New Roman" w:eastAsia="SimSun" w:hAnsi="Times New Roman"/>
          <w:sz w:val="24"/>
          <w:szCs w:val="24"/>
          <w:lang w:eastAsia="bg-BG"/>
        </w:rPr>
      </w:pPr>
      <w:r w:rsidRPr="00AE47C6">
        <w:rPr>
          <w:rFonts w:ascii="Times New Roman" w:eastAsia="SimSun" w:hAnsi="Times New Roman"/>
          <w:sz w:val="24"/>
          <w:szCs w:val="24"/>
          <w:lang w:eastAsia="bg-BG"/>
        </w:rPr>
        <w:t>ПКК, коагулационен профил, чернодробни и бъбречни функции, съобразно нежеланите реакции на приеманите АГЛ, когато е необходим.</w:t>
      </w:r>
    </w:p>
    <w:p w14:paraId="62024971" w14:textId="77777777" w:rsidR="00BE0B19" w:rsidRPr="00AE47C6" w:rsidRDefault="00BE0B19" w:rsidP="00BE0B19">
      <w:pPr>
        <w:numPr>
          <w:ilvl w:val="0"/>
          <w:numId w:val="164"/>
        </w:numPr>
        <w:suppressAutoHyphens/>
        <w:spacing w:after="0" w:line="360" w:lineRule="auto"/>
        <w:ind w:left="0" w:firstLine="0"/>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 xml:space="preserve">Лекарствено мониториране – </w:t>
      </w:r>
      <w:r w:rsidRPr="00AE47C6">
        <w:rPr>
          <w:rFonts w:ascii="Times New Roman" w:eastAsia="SimSun" w:hAnsi="Times New Roman"/>
          <w:sz w:val="24"/>
          <w:szCs w:val="24"/>
          <w:lang w:eastAsia="bg-BG"/>
        </w:rPr>
        <w:t>при уточняване на дозата на VPA, CBZ и Phenytoin след което мониториране се извършва 1/годишно и при необходимост (политерапия, токсични реакции, прием на phenytoin, чернодробна и бъбречна недостатъчност, съдебно-медицинска експертиза), ежемесечен контрол при бременни.</w:t>
      </w:r>
    </w:p>
    <w:p w14:paraId="0CC859E2" w14:textId="77777777" w:rsidR="00BE0B19" w:rsidRPr="00AE47C6" w:rsidRDefault="00BE0B19" w:rsidP="00BE0B19">
      <w:pPr>
        <w:spacing w:after="0" w:line="360" w:lineRule="auto"/>
        <w:jc w:val="both"/>
        <w:rPr>
          <w:rFonts w:ascii="Times New Roman" w:eastAsia="SimSun" w:hAnsi="Times New Roman"/>
          <w:sz w:val="24"/>
          <w:szCs w:val="24"/>
        </w:rPr>
      </w:pPr>
    </w:p>
    <w:p w14:paraId="7D2CE0C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Ж. Преустановяване на лечението с АГЛ</w:t>
      </w:r>
    </w:p>
    <w:p w14:paraId="3DB93765"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След 2-5 г. безпристъпен период се преценява необходимостта от редукция и преустановяване на лечението с АГЛ, което е индивидуално за всеки пациент според вида на епилепсията, неврологичния и интелектуален статус. Идиопатичните фокални детски епилепсии обикновено са с добра прогноза и без последващи рецидиви. Ювенилната миоклонична епилепсия е с добър контрол на пристъпите при ниски дози, но с рецидиви при 80-90% след преустановяване на лечението в първите 2 г. и налага продължително лечение. Рецидивите при възрастните са 40-50%, при децата - около 25%. По-благоприятна е прогнозата за риск от рецидиви след спиране на АГЛ при пациентите с нормална ЕЕГ след сънна депривация и нормална мозъчна МРТ, отколкото при пациенти с епилептиформени или фокални абнормности при сънна депривация и/или фокални корови абнормности в МРТ. Други фактори за риск от рецидиви след АГЛ преустановяване са:</w:t>
      </w:r>
    </w:p>
    <w:p w14:paraId="058F0193" w14:textId="77777777" w:rsidR="00BE0B19" w:rsidRPr="00AE47C6" w:rsidRDefault="00BE0B19" w:rsidP="00BE0B19">
      <w:pPr>
        <w:numPr>
          <w:ilvl w:val="0"/>
          <w:numId w:val="166"/>
        </w:numPr>
        <w:shd w:val="clear" w:color="auto" w:fill="FFFFFF"/>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Абнормна ЕЕГ (по-неблагоприятни са персистиращи епилептиформени разряди или фокални абнормности) </w:t>
      </w:r>
    </w:p>
    <w:p w14:paraId="5A3C1CBF" w14:textId="77777777" w:rsidR="00BE0B19" w:rsidRPr="00AE47C6" w:rsidRDefault="00BE0B19" w:rsidP="00BE0B19">
      <w:pPr>
        <w:numPr>
          <w:ilvl w:val="0"/>
          <w:numId w:val="166"/>
        </w:numPr>
        <w:shd w:val="clear" w:color="auto" w:fill="FFFFFF"/>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Абнормна мозъчна МРТ (особено в коровите и лимбични области)</w:t>
      </w:r>
    </w:p>
    <w:p w14:paraId="4F27BC01" w14:textId="77777777" w:rsidR="00BE0B19" w:rsidRPr="00AE47C6" w:rsidRDefault="00BE0B19" w:rsidP="00BE0B19">
      <w:pPr>
        <w:numPr>
          <w:ilvl w:val="0"/>
          <w:numId w:val="166"/>
        </w:numPr>
        <w:shd w:val="clear" w:color="auto" w:fill="FFFFFF"/>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Вид пристъпи (по-неблагоприятни са тоничните или атонични пристъпи)</w:t>
      </w:r>
    </w:p>
    <w:p w14:paraId="42644C6D" w14:textId="77777777" w:rsidR="00BE0B19" w:rsidRPr="00AE47C6" w:rsidRDefault="00BE0B19" w:rsidP="00BE0B19">
      <w:pPr>
        <w:numPr>
          <w:ilvl w:val="0"/>
          <w:numId w:val="166"/>
        </w:numPr>
        <w:shd w:val="clear" w:color="auto" w:fill="FFFFFF"/>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Съчетание на различни видове пристъпи </w:t>
      </w:r>
    </w:p>
    <w:p w14:paraId="1CD4D82D" w14:textId="77777777" w:rsidR="00BE0B19" w:rsidRPr="00AE47C6" w:rsidRDefault="00BE0B19" w:rsidP="00BE0B19">
      <w:pPr>
        <w:numPr>
          <w:ilvl w:val="0"/>
          <w:numId w:val="166"/>
        </w:numPr>
        <w:shd w:val="clear" w:color="auto" w:fill="FFFFFF"/>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Голям брой и честота на пристъпите </w:t>
      </w:r>
    </w:p>
    <w:p w14:paraId="2C760360" w14:textId="77777777" w:rsidR="00BE0B19" w:rsidRPr="00AE47C6" w:rsidRDefault="00BE0B19" w:rsidP="00BE0B19">
      <w:pPr>
        <w:numPr>
          <w:ilvl w:val="0"/>
          <w:numId w:val="166"/>
        </w:numPr>
        <w:shd w:val="clear" w:color="auto" w:fill="FFFFFF"/>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Голяма продължителност на епилепсията преди тя да бъде контролирана </w:t>
      </w:r>
    </w:p>
    <w:p w14:paraId="466C4939" w14:textId="77777777" w:rsidR="00BE0B19" w:rsidRPr="00AE47C6" w:rsidRDefault="00BE0B19" w:rsidP="00BE0B19">
      <w:pPr>
        <w:numPr>
          <w:ilvl w:val="0"/>
          <w:numId w:val="166"/>
        </w:numPr>
        <w:shd w:val="clear" w:color="auto" w:fill="FFFFFF"/>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Кратка продължителност на периодите без пристъпи.</w:t>
      </w:r>
    </w:p>
    <w:p w14:paraId="4341F742"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Около 75% от рецидивите след спиране на АГЛ са през първата година, 50% - в първите 3 месеца. АГЛ се редуцират бавно, особено phenobarbital и бензодиазепини. </w:t>
      </w:r>
    </w:p>
    <w:p w14:paraId="54B779DD" w14:textId="77777777" w:rsidR="00BE0B19" w:rsidRPr="00AE47C6" w:rsidRDefault="00BE0B19" w:rsidP="00BE0B19">
      <w:pPr>
        <w:spacing w:after="0" w:line="360" w:lineRule="auto"/>
        <w:jc w:val="both"/>
        <w:rPr>
          <w:rFonts w:ascii="Times New Roman" w:eastAsia="SimSun" w:hAnsi="Times New Roman"/>
          <w:b/>
          <w:bCs/>
          <w:sz w:val="24"/>
          <w:szCs w:val="24"/>
          <w:u w:val="single"/>
        </w:rPr>
      </w:pPr>
    </w:p>
    <w:p w14:paraId="1DCAF9C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З. Лечението на епилептичен статус</w:t>
      </w:r>
      <w:r w:rsidRPr="00AE47C6">
        <w:rPr>
          <w:rFonts w:ascii="Times New Roman" w:eastAsia="SimSun" w:hAnsi="Times New Roman"/>
          <w:sz w:val="24"/>
          <w:szCs w:val="24"/>
        </w:rPr>
        <w:t xml:space="preserve"> се извършва в отделение с възможност за интензивно лечение и дихателна реанимация, където се осъществяват електрофизиологични, невроизобразяващи, биохимични, ликворни изследвания, серумни нива на медикаменти, рентгенография на бял дроб, мониториране и поддържане на жизненоважните функции, включително наркоза при интубация и поддържане на изкуствена белодробна вентилация. Мерки за агресивно антиепилептично лечение и поведение като при ЕС се предприемат, ако припадъците продължават над 10 мин</w:t>
      </w:r>
      <w:r w:rsidRPr="00AE47C6">
        <w:rPr>
          <w:rFonts w:ascii="Times New Roman" w:eastAsia="SimSun" w:hAnsi="Times New Roman"/>
          <w:b/>
          <w:bCs/>
          <w:sz w:val="24"/>
          <w:szCs w:val="24"/>
        </w:rPr>
        <w:t>.</w:t>
      </w:r>
    </w:p>
    <w:p w14:paraId="0EDD8072"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Доболнично лечение на ЕС:</w:t>
      </w:r>
    </w:p>
    <w:p w14:paraId="62954285" w14:textId="77777777" w:rsidR="00BE0B19" w:rsidRPr="00AE47C6" w:rsidRDefault="00BE0B19" w:rsidP="00BE0B19">
      <w:pPr>
        <w:numPr>
          <w:ilvl w:val="0"/>
          <w:numId w:val="14"/>
        </w:numPr>
        <w:tabs>
          <w:tab w:val="clear" w:pos="2120"/>
          <w:tab w:val="num" w:pos="540"/>
        </w:tabs>
        <w:spacing w:after="0" w:line="360" w:lineRule="auto"/>
        <w:ind w:left="0" w:firstLine="0"/>
        <w:jc w:val="both"/>
        <w:rPr>
          <w:rFonts w:ascii="Times New Roman" w:eastAsia="SimSun" w:hAnsi="Times New Roman"/>
          <w:b/>
          <w:bCs/>
          <w:sz w:val="24"/>
          <w:szCs w:val="24"/>
        </w:rPr>
      </w:pPr>
      <w:r w:rsidRPr="00AE47C6">
        <w:rPr>
          <w:rFonts w:ascii="Times New Roman" w:eastAsia="SimSun" w:hAnsi="Times New Roman"/>
          <w:sz w:val="24"/>
          <w:szCs w:val="24"/>
        </w:rPr>
        <w:t>Осигуряване на проходимост на дихателните пътища</w:t>
      </w:r>
    </w:p>
    <w:p w14:paraId="1325CF7F" w14:textId="77777777" w:rsidR="00BE0B19" w:rsidRPr="00AE47C6" w:rsidRDefault="00BE0B19" w:rsidP="00BE0B19">
      <w:pPr>
        <w:numPr>
          <w:ilvl w:val="0"/>
          <w:numId w:val="14"/>
        </w:numPr>
        <w:tabs>
          <w:tab w:val="clear" w:pos="2120"/>
          <w:tab w:val="num" w:pos="54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Осигуряване на постоянен венозен път</w:t>
      </w:r>
    </w:p>
    <w:p w14:paraId="2C95F32F" w14:textId="77777777" w:rsidR="00BE0B19" w:rsidRPr="00AE47C6" w:rsidRDefault="00BE0B19" w:rsidP="00BE0B19">
      <w:pPr>
        <w:numPr>
          <w:ilvl w:val="0"/>
          <w:numId w:val="14"/>
        </w:numPr>
        <w:tabs>
          <w:tab w:val="clear" w:pos="2120"/>
          <w:tab w:val="num" w:pos="54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
          <w:bCs/>
          <w:i/>
          <w:iCs/>
          <w:sz w:val="24"/>
          <w:szCs w:val="24"/>
        </w:rPr>
        <w:t>Diazepam</w:t>
      </w:r>
      <w:r w:rsidRPr="00AE47C6">
        <w:rPr>
          <w:rFonts w:ascii="Times New Roman" w:eastAsia="SimSun" w:hAnsi="Times New Roman"/>
          <w:i/>
          <w:iCs/>
          <w:sz w:val="24"/>
          <w:szCs w:val="24"/>
        </w:rPr>
        <w:t xml:space="preserve">– </w:t>
      </w:r>
      <w:r w:rsidRPr="00AE47C6">
        <w:rPr>
          <w:rFonts w:ascii="Times New Roman" w:eastAsia="SimSun" w:hAnsi="Times New Roman"/>
          <w:iCs/>
          <w:sz w:val="24"/>
          <w:szCs w:val="24"/>
        </w:rPr>
        <w:t xml:space="preserve">венозно </w:t>
      </w:r>
      <w:r w:rsidRPr="00AE47C6">
        <w:rPr>
          <w:rFonts w:ascii="Times New Roman" w:eastAsia="SimSun" w:hAnsi="Times New Roman"/>
          <w:sz w:val="24"/>
          <w:szCs w:val="24"/>
        </w:rPr>
        <w:t xml:space="preserve">0,2 mg/kg., при деца 0,3 mg/kg, </w:t>
      </w:r>
      <w:r w:rsidRPr="00AE47C6">
        <w:rPr>
          <w:rFonts w:ascii="Times New Roman" w:eastAsia="SimSun" w:hAnsi="Times New Roman"/>
          <w:iCs/>
          <w:sz w:val="24"/>
          <w:szCs w:val="24"/>
        </w:rPr>
        <w:t>ректално</w:t>
      </w:r>
      <w:r w:rsidRPr="00AE47C6">
        <w:rPr>
          <w:rFonts w:ascii="Times New Roman" w:eastAsia="SimSun" w:hAnsi="Times New Roman"/>
          <w:sz w:val="24"/>
          <w:szCs w:val="24"/>
        </w:rPr>
        <w:t xml:space="preserve"> 0,3 mg/kg, при деца до 0,5 mg/kg, </w:t>
      </w:r>
      <w:r w:rsidRPr="00AE47C6">
        <w:rPr>
          <w:rFonts w:ascii="Times New Roman" w:eastAsia="SimSun" w:hAnsi="Times New Roman"/>
          <w:b/>
          <w:bCs/>
          <w:i/>
          <w:iCs/>
          <w:sz w:val="24"/>
          <w:szCs w:val="24"/>
        </w:rPr>
        <w:t xml:space="preserve">Phenobarbital </w:t>
      </w:r>
      <w:r w:rsidRPr="00AE47C6">
        <w:rPr>
          <w:rFonts w:ascii="Times New Roman" w:eastAsia="SimSun" w:hAnsi="Times New Roman"/>
          <w:sz w:val="24"/>
          <w:szCs w:val="24"/>
        </w:rPr>
        <w:t>10-20 mg/kg i.m.</w:t>
      </w:r>
    </w:p>
    <w:p w14:paraId="0F9F26D2"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Болнично лечение на ЕС: </w:t>
      </w:r>
    </w:p>
    <w:p w14:paraId="67A10A79" w14:textId="77777777" w:rsidR="00BE0B19" w:rsidRPr="00AE47C6" w:rsidRDefault="00BE0B19" w:rsidP="00BE0B19">
      <w:pPr>
        <w:numPr>
          <w:ilvl w:val="0"/>
          <w:numId w:val="13"/>
        </w:numPr>
        <w:tabs>
          <w:tab w:val="clear" w:pos="2120"/>
          <w:tab w:val="num" w:pos="567"/>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Осигуряване на проходимост на дихателните пътища, поддържане дишането, артериалното налягане и циркулацията, осигуряване на венозен път; мониториране на телесната Т, АН, ЕКГ и дихателната функция.</w:t>
      </w:r>
    </w:p>
    <w:p w14:paraId="281BA909" w14:textId="77777777" w:rsidR="00BE0B19" w:rsidRPr="00AE47C6" w:rsidRDefault="00BE0B19" w:rsidP="00BE0B19">
      <w:pPr>
        <w:numPr>
          <w:ilvl w:val="0"/>
          <w:numId w:val="13"/>
        </w:numPr>
        <w:tabs>
          <w:tab w:val="clear" w:pos="2120"/>
          <w:tab w:val="num" w:pos="567"/>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Изследване на серумни електролити, пълна кръвна картина, урея, кръвна захар, АКР и газов състав на кръвта, чернодробни функции, нива на антиконвулсанти, алкохол, токсикологичен скрининг и съответна корекция.</w:t>
      </w:r>
    </w:p>
    <w:p w14:paraId="48309962" w14:textId="77777777" w:rsidR="00BE0B19" w:rsidRPr="00AE47C6" w:rsidRDefault="00BE0B19" w:rsidP="00BE0B19">
      <w:pPr>
        <w:numPr>
          <w:ilvl w:val="0"/>
          <w:numId w:val="13"/>
        </w:numPr>
        <w:tabs>
          <w:tab w:val="clear" w:pos="2120"/>
          <w:tab w:val="num" w:pos="567"/>
        </w:tabs>
        <w:spacing w:after="0" w:line="360" w:lineRule="auto"/>
        <w:ind w:left="0" w:firstLine="0"/>
        <w:jc w:val="both"/>
        <w:rPr>
          <w:rFonts w:ascii="Times New Roman" w:eastAsia="SimSun" w:hAnsi="Times New Roman"/>
          <w:b/>
          <w:bCs/>
          <w:sz w:val="24"/>
          <w:szCs w:val="24"/>
          <w:u w:val="single"/>
        </w:rPr>
      </w:pPr>
      <w:r w:rsidRPr="00AE47C6">
        <w:rPr>
          <w:rFonts w:ascii="Times New Roman" w:eastAsia="SimSun" w:hAnsi="Times New Roman"/>
          <w:sz w:val="24"/>
          <w:szCs w:val="24"/>
        </w:rPr>
        <w:t>Болусно въвеждане на глюкоза</w:t>
      </w:r>
      <w:r w:rsidRPr="00AE47C6">
        <w:rPr>
          <w:rFonts w:ascii="Times New Roman" w:eastAsia="SimSun" w:hAnsi="Times New Roman"/>
          <w:b/>
          <w:bCs/>
          <w:sz w:val="24"/>
          <w:szCs w:val="24"/>
        </w:rPr>
        <w:t xml:space="preserve"> (</w:t>
      </w:r>
      <w:r w:rsidRPr="00AE47C6">
        <w:rPr>
          <w:rFonts w:ascii="Times New Roman" w:eastAsia="SimSun" w:hAnsi="Times New Roman"/>
          <w:sz w:val="24"/>
          <w:szCs w:val="24"/>
        </w:rPr>
        <w:t xml:space="preserve">40% 60 ml), </w:t>
      </w:r>
      <w:r w:rsidRPr="00AE47C6">
        <w:rPr>
          <w:rFonts w:ascii="Times New Roman" w:eastAsia="SimSun" w:hAnsi="Times New Roman"/>
          <w:bCs/>
          <w:sz w:val="24"/>
          <w:szCs w:val="24"/>
        </w:rPr>
        <w:t>Thiamine</w:t>
      </w:r>
      <w:r w:rsidRPr="00AE47C6">
        <w:rPr>
          <w:rFonts w:ascii="Times New Roman" w:eastAsia="SimSun" w:hAnsi="Times New Roman"/>
          <w:sz w:val="24"/>
          <w:szCs w:val="24"/>
        </w:rPr>
        <w:t xml:space="preserve"> 160 mg i.v. (при деца и Vit B</w:t>
      </w:r>
      <w:r w:rsidRPr="00AE47C6">
        <w:rPr>
          <w:rFonts w:ascii="Times New Roman" w:eastAsia="SimSun" w:hAnsi="Times New Roman"/>
          <w:sz w:val="24"/>
          <w:szCs w:val="24"/>
          <w:vertAlign w:val="subscript"/>
        </w:rPr>
        <w:t>6</w:t>
      </w:r>
      <w:r w:rsidRPr="00AE47C6">
        <w:rPr>
          <w:rFonts w:ascii="Times New Roman" w:eastAsia="SimSun" w:hAnsi="Times New Roman"/>
          <w:sz w:val="24"/>
          <w:szCs w:val="24"/>
        </w:rPr>
        <w:t xml:space="preserve">) при възможна хипогликемия или алкохолна интоксикация </w:t>
      </w:r>
    </w:p>
    <w:p w14:paraId="0B7919A6" w14:textId="77777777" w:rsidR="00BE0B19" w:rsidRPr="00AE47C6" w:rsidRDefault="00BE0B19" w:rsidP="00BE0B19">
      <w:pPr>
        <w:numPr>
          <w:ilvl w:val="0"/>
          <w:numId w:val="13"/>
        </w:numPr>
        <w:tabs>
          <w:tab w:val="clear" w:pos="2120"/>
          <w:tab w:val="left" w:pos="567"/>
        </w:tabs>
        <w:spacing w:after="0" w:line="360" w:lineRule="auto"/>
        <w:ind w:left="0" w:firstLine="0"/>
        <w:jc w:val="both"/>
        <w:rPr>
          <w:rFonts w:ascii="Times New Roman" w:eastAsia="SimSun" w:hAnsi="Times New Roman"/>
          <w:b/>
          <w:bCs/>
          <w:sz w:val="24"/>
          <w:szCs w:val="24"/>
          <w:u w:val="single"/>
        </w:rPr>
      </w:pPr>
      <w:r w:rsidRPr="00AE47C6">
        <w:rPr>
          <w:rFonts w:ascii="Times New Roman" w:eastAsia="SimSun" w:hAnsi="Times New Roman"/>
          <w:b/>
          <w:bCs/>
          <w:sz w:val="24"/>
          <w:szCs w:val="24"/>
          <w:u w:val="single"/>
        </w:rPr>
        <w:t>Бензодиазепини</w:t>
      </w:r>
    </w:p>
    <w:p w14:paraId="3FD9AF00" w14:textId="77777777" w:rsidR="00BE0B19" w:rsidRPr="00AE47C6" w:rsidRDefault="00BE0B19" w:rsidP="00BE0B19">
      <w:pPr>
        <w:numPr>
          <w:ilvl w:val="0"/>
          <w:numId w:val="15"/>
        </w:numPr>
        <w:tabs>
          <w:tab w:val="clear" w:pos="2120"/>
          <w:tab w:val="num" w:pos="126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
          <w:bCs/>
          <w:sz w:val="24"/>
          <w:szCs w:val="24"/>
        </w:rPr>
        <w:t>Diazepam</w:t>
      </w:r>
      <w:r w:rsidRPr="00AE47C6">
        <w:rPr>
          <w:rFonts w:ascii="Times New Roman" w:eastAsia="SimSun" w:hAnsi="Times New Roman"/>
          <w:sz w:val="24"/>
          <w:szCs w:val="24"/>
        </w:rPr>
        <w:t xml:space="preserve"> – венозно - 0,2 mg/kg (за деца - 0,3 mg/kg) или ректално 5-10 mg (за деца 0,5 mg/kg); повтаряне на дозата след 30 мин, за 1 час - до 60 mg, за 24 часа - до 200 mg при готовност за оротрахеална интубация. Купирането на пристъпа е в пропорционална зависимост от скоростта на въвеждане на Diazepam, но при бързото венозно въвеждане съществува риск от депресия на дишането и артериална хипотония, което налага готовност за асистирано дишане.</w:t>
      </w:r>
    </w:p>
    <w:p w14:paraId="1D1B6799" w14:textId="77777777" w:rsidR="00BE0B19" w:rsidRPr="00AE47C6" w:rsidRDefault="00BE0B19" w:rsidP="00BE0B19">
      <w:pPr>
        <w:numPr>
          <w:ilvl w:val="4"/>
          <w:numId w:val="13"/>
        </w:numPr>
        <w:tabs>
          <w:tab w:val="clear" w:pos="4280"/>
          <w:tab w:val="left" w:pos="540"/>
        </w:tabs>
        <w:spacing w:after="0" w:line="360" w:lineRule="auto"/>
        <w:ind w:left="0" w:firstLine="0"/>
        <w:jc w:val="both"/>
        <w:rPr>
          <w:rFonts w:ascii="Times New Roman" w:eastAsia="SimSun" w:hAnsi="Times New Roman"/>
          <w:b/>
          <w:bCs/>
          <w:i/>
          <w:iCs/>
          <w:sz w:val="24"/>
          <w:szCs w:val="24"/>
        </w:rPr>
      </w:pPr>
      <w:r w:rsidRPr="00AE47C6">
        <w:rPr>
          <w:rFonts w:ascii="Times New Roman" w:eastAsia="SimSun" w:hAnsi="Times New Roman"/>
          <w:b/>
          <w:bCs/>
          <w:sz w:val="24"/>
          <w:szCs w:val="24"/>
        </w:rPr>
        <w:t xml:space="preserve">VPA </w:t>
      </w:r>
      <w:r w:rsidRPr="00AE47C6">
        <w:rPr>
          <w:rFonts w:ascii="Times New Roman" w:eastAsia="SimSun" w:hAnsi="Times New Roman"/>
          <w:sz w:val="24"/>
          <w:szCs w:val="24"/>
        </w:rPr>
        <w:t xml:space="preserve"> - 15-20 mg/kg болус i.v. (50 mg/мин), поддържаща доза 1 mg/kg/час</w:t>
      </w:r>
    </w:p>
    <w:p w14:paraId="3F620ED5" w14:textId="77777777" w:rsidR="00BE0B19" w:rsidRPr="00AE47C6" w:rsidRDefault="00BE0B19" w:rsidP="00BE0B19">
      <w:pPr>
        <w:numPr>
          <w:ilvl w:val="2"/>
          <w:numId w:val="13"/>
        </w:numPr>
        <w:tabs>
          <w:tab w:val="clear" w:pos="2840"/>
          <w:tab w:val="num" w:pos="567"/>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
          <w:bCs/>
          <w:sz w:val="24"/>
          <w:szCs w:val="24"/>
        </w:rPr>
        <w:t xml:space="preserve">Phenytoin - </w:t>
      </w:r>
      <w:r w:rsidRPr="00AE47C6">
        <w:rPr>
          <w:rFonts w:ascii="Times New Roman" w:eastAsia="SimSun" w:hAnsi="Times New Roman"/>
          <w:sz w:val="24"/>
          <w:szCs w:val="24"/>
        </w:rPr>
        <w:t>натоварване - 20 mg/kg бавно i.v. (50 mg/мин), за 24 часа - до 2000 mg; Предимство - дълготрайно действие.</w:t>
      </w:r>
    </w:p>
    <w:p w14:paraId="2FDFC856" w14:textId="77777777" w:rsidR="00BE0B19" w:rsidRPr="00AE47C6" w:rsidRDefault="00BE0B19" w:rsidP="00BE0B19">
      <w:pPr>
        <w:spacing w:after="0" w:line="360" w:lineRule="auto"/>
        <w:jc w:val="both"/>
        <w:rPr>
          <w:rFonts w:ascii="Times New Roman" w:eastAsia="SimSun" w:hAnsi="Times New Roman"/>
          <w:b/>
          <w:bCs/>
          <w:i/>
          <w:iCs/>
          <w:sz w:val="24"/>
          <w:szCs w:val="24"/>
        </w:rPr>
      </w:pPr>
      <w:r w:rsidRPr="00AE47C6">
        <w:rPr>
          <w:rFonts w:ascii="Times New Roman" w:eastAsia="SimSun" w:hAnsi="Times New Roman"/>
          <w:b/>
          <w:bCs/>
          <w:i/>
          <w:iCs/>
          <w:sz w:val="24"/>
          <w:szCs w:val="24"/>
        </w:rPr>
        <w:t xml:space="preserve">При ЕС, продължаващ над 60 мин. - </w:t>
      </w:r>
      <w:r w:rsidRPr="00AE47C6">
        <w:rPr>
          <w:rFonts w:ascii="Times New Roman" w:eastAsia="SimSun" w:hAnsi="Times New Roman"/>
          <w:sz w:val="24"/>
          <w:szCs w:val="24"/>
        </w:rPr>
        <w:t>въвеждане в наркоза (при интубиран болен):</w:t>
      </w:r>
    </w:p>
    <w:p w14:paraId="3715659B" w14:textId="77777777" w:rsidR="00BE0B19" w:rsidRPr="00AE47C6" w:rsidRDefault="00BE0B19" w:rsidP="00BE0B19">
      <w:pPr>
        <w:numPr>
          <w:ilvl w:val="0"/>
          <w:numId w:val="16"/>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
          <w:bCs/>
          <w:sz w:val="24"/>
          <w:szCs w:val="24"/>
        </w:rPr>
        <w:t xml:space="preserve">Midazolam </w:t>
      </w:r>
      <w:r w:rsidRPr="00AE47C6">
        <w:rPr>
          <w:rFonts w:ascii="Times New Roman" w:eastAsia="SimSun" w:hAnsi="Times New Roman"/>
          <w:sz w:val="24"/>
          <w:szCs w:val="24"/>
        </w:rPr>
        <w:t>натоварваща доза - 0,15-0,20 mg/kg (&lt;0,4 mg/мин), поддържаща - 0,1-0,4 mg/kg/час.</w:t>
      </w:r>
    </w:p>
    <w:p w14:paraId="4AE7C765" w14:textId="77777777" w:rsidR="00BE0B19" w:rsidRPr="00AE47C6" w:rsidRDefault="00BE0B19" w:rsidP="00BE0B19">
      <w:pPr>
        <w:numPr>
          <w:ilvl w:val="0"/>
          <w:numId w:val="16"/>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
          <w:bCs/>
          <w:sz w:val="24"/>
          <w:szCs w:val="24"/>
        </w:rPr>
        <w:t xml:space="preserve">Tiopental Na </w:t>
      </w:r>
      <w:r w:rsidRPr="00AE47C6">
        <w:rPr>
          <w:rFonts w:ascii="Times New Roman" w:eastAsia="SimSun" w:hAnsi="Times New Roman"/>
          <w:sz w:val="24"/>
          <w:szCs w:val="24"/>
        </w:rPr>
        <w:t xml:space="preserve">5-6 mg/kg до 500 mg бавно i.v. за 3-5 мин. и поддържане с 1-5 mg/kg/час до поява на ЕЕГ патерн на потиснати залпове. </w:t>
      </w:r>
    </w:p>
    <w:p w14:paraId="38D95099" w14:textId="77777777" w:rsidR="00BE0B19" w:rsidRPr="00AE47C6" w:rsidRDefault="00BE0B19" w:rsidP="00BE0B19">
      <w:pPr>
        <w:numPr>
          <w:ilvl w:val="0"/>
          <w:numId w:val="16"/>
        </w:numPr>
        <w:spacing w:after="0" w:line="360" w:lineRule="auto"/>
        <w:ind w:left="0" w:firstLine="0"/>
        <w:jc w:val="both"/>
        <w:rPr>
          <w:rFonts w:ascii="Times New Roman" w:eastAsia="SimSun" w:hAnsi="Times New Roman"/>
          <w:b/>
          <w:bCs/>
          <w:sz w:val="24"/>
          <w:szCs w:val="24"/>
        </w:rPr>
      </w:pPr>
      <w:r w:rsidRPr="00AE47C6">
        <w:rPr>
          <w:rFonts w:ascii="Times New Roman" w:eastAsia="SimSun" w:hAnsi="Times New Roman"/>
          <w:b/>
          <w:bCs/>
          <w:sz w:val="24"/>
          <w:szCs w:val="24"/>
        </w:rPr>
        <w:t xml:space="preserve">Propofol </w:t>
      </w:r>
      <w:r w:rsidRPr="00AE47C6">
        <w:rPr>
          <w:rFonts w:ascii="Times New Roman" w:eastAsia="SimSun" w:hAnsi="Times New Roman"/>
          <w:sz w:val="24"/>
          <w:szCs w:val="24"/>
        </w:rPr>
        <w:t>натоварваща доза- 1-2 mg/kg, поддържаща- 3-10 mg/kg/час.</w:t>
      </w:r>
    </w:p>
    <w:p w14:paraId="03F5CE6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bCs/>
          <w:i/>
          <w:iCs/>
          <w:sz w:val="24"/>
          <w:szCs w:val="24"/>
        </w:rPr>
        <w:t>Лечение на усложненията на ЕС</w:t>
      </w:r>
      <w:r w:rsidRPr="00AE47C6">
        <w:rPr>
          <w:rFonts w:ascii="Times New Roman" w:eastAsia="SimSun" w:hAnsi="Times New Roman"/>
          <w:b/>
          <w:bCs/>
          <w:sz w:val="24"/>
          <w:szCs w:val="24"/>
        </w:rPr>
        <w:t>:</w:t>
      </w:r>
      <w:r w:rsidRPr="00AE47C6">
        <w:rPr>
          <w:rFonts w:ascii="Times New Roman" w:eastAsia="SimSun" w:hAnsi="Times New Roman"/>
          <w:sz w:val="24"/>
          <w:szCs w:val="24"/>
        </w:rPr>
        <w:t xml:space="preserve"> на рабдомиозита - поддържане нормална диуреза с водно-солеви разтвори за предпазване от бъбречна недостатъчност, на хипертермията</w:t>
      </w:r>
      <w:r w:rsidRPr="00AE47C6">
        <w:rPr>
          <w:rFonts w:ascii="Times New Roman" w:eastAsia="SimSun" w:hAnsi="Times New Roman"/>
          <w:b/>
          <w:bCs/>
          <w:sz w:val="24"/>
          <w:szCs w:val="24"/>
        </w:rPr>
        <w:t xml:space="preserve">, </w:t>
      </w:r>
      <w:r w:rsidRPr="00AE47C6">
        <w:rPr>
          <w:rFonts w:ascii="Times New Roman" w:eastAsia="SimSun" w:hAnsi="Times New Roman"/>
          <w:sz w:val="24"/>
          <w:szCs w:val="24"/>
        </w:rPr>
        <w:t>на мозъчния оток – съчетание на хипервентилация с Mannitol, кортикостероиди, на съпътстващи инфекции</w:t>
      </w:r>
      <w:r w:rsidRPr="00AE47C6">
        <w:rPr>
          <w:rFonts w:ascii="Times New Roman" w:eastAsia="SimSun" w:hAnsi="Times New Roman"/>
          <w:bCs/>
          <w:sz w:val="24"/>
          <w:szCs w:val="24"/>
        </w:rPr>
        <w:t>-</w:t>
      </w:r>
      <w:r w:rsidRPr="00AE47C6">
        <w:rPr>
          <w:rFonts w:ascii="Times New Roman" w:eastAsia="SimSun" w:hAnsi="Times New Roman"/>
          <w:sz w:val="24"/>
          <w:szCs w:val="24"/>
        </w:rPr>
        <w:t xml:space="preserve"> антибиотична терапия. Поддържане на сърдечно-съдовата функция, при хипотония – Dopamine i.v.</w:t>
      </w:r>
    </w:p>
    <w:p w14:paraId="07FD2B6E" w14:textId="77777777" w:rsidR="00BE0B19" w:rsidRPr="00AE47C6" w:rsidRDefault="00BE0B19" w:rsidP="00BE0B19">
      <w:pPr>
        <w:spacing w:after="0" w:line="360" w:lineRule="auto"/>
        <w:jc w:val="both"/>
        <w:rPr>
          <w:rFonts w:ascii="Times New Roman" w:eastAsia="SimSun" w:hAnsi="Times New Roman"/>
          <w:sz w:val="24"/>
          <w:szCs w:val="24"/>
        </w:rPr>
      </w:pPr>
    </w:p>
    <w:p w14:paraId="1677C9C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caps/>
          <w:sz w:val="24"/>
          <w:szCs w:val="24"/>
        </w:rPr>
        <w:t xml:space="preserve">И. </w:t>
      </w:r>
      <w:r w:rsidRPr="00AE47C6">
        <w:rPr>
          <w:rFonts w:ascii="Times New Roman" w:eastAsia="SimSun" w:hAnsi="Times New Roman"/>
          <w:b/>
          <w:bCs/>
          <w:sz w:val="24"/>
          <w:szCs w:val="24"/>
        </w:rPr>
        <w:t>Неврохирургично лечение</w:t>
      </w:r>
      <w:r w:rsidRPr="00AE47C6">
        <w:rPr>
          <w:rFonts w:ascii="Times New Roman" w:eastAsia="SimSun" w:hAnsi="Times New Roman"/>
          <w:b/>
          <w:bCs/>
          <w:i/>
          <w:iCs/>
          <w:sz w:val="24"/>
          <w:szCs w:val="24"/>
        </w:rPr>
        <w:t xml:space="preserve"> - </w:t>
      </w:r>
      <w:r w:rsidRPr="00AE47C6">
        <w:rPr>
          <w:rFonts w:ascii="Times New Roman" w:eastAsia="SimSun" w:hAnsi="Times New Roman"/>
          <w:sz w:val="24"/>
          <w:szCs w:val="24"/>
        </w:rPr>
        <w:t>при терапевтично-резистентни епилепсии и някои епилептични енцефалопатии в детска възраст</w:t>
      </w:r>
      <w:r w:rsidRPr="00AE47C6">
        <w:rPr>
          <w:rFonts w:ascii="Times New Roman" w:eastAsia="SimSun" w:hAnsi="Times New Roman"/>
          <w:bCs/>
          <w:sz w:val="24"/>
          <w:szCs w:val="24"/>
        </w:rPr>
        <w:t xml:space="preserve">. </w:t>
      </w:r>
      <w:r w:rsidRPr="00AE47C6">
        <w:rPr>
          <w:rFonts w:ascii="Times New Roman" w:eastAsia="SimSun" w:hAnsi="Times New Roman"/>
          <w:sz w:val="24"/>
          <w:szCs w:val="24"/>
        </w:rPr>
        <w:t xml:space="preserve">Цел на оперативното лечение е отстраняване на епилептогенната зона, генерираща пристъпите, или предотвратяване разпространението на епилептичните разряди, а в редки случаи при множествени фокуси - локализиране до единствен фокус. </w:t>
      </w:r>
    </w:p>
    <w:p w14:paraId="0C85386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 xml:space="preserve">Неврохирургично </w:t>
      </w:r>
      <w:r w:rsidRPr="00AE47C6">
        <w:rPr>
          <w:rFonts w:ascii="Times New Roman" w:eastAsia="SimSun" w:hAnsi="Times New Roman"/>
          <w:b/>
          <w:sz w:val="24"/>
          <w:szCs w:val="24"/>
        </w:rPr>
        <w:t xml:space="preserve">лечение </w:t>
      </w:r>
      <w:r w:rsidRPr="00AE47C6">
        <w:rPr>
          <w:rFonts w:ascii="Times New Roman" w:eastAsia="SimSun" w:hAnsi="Times New Roman"/>
          <w:sz w:val="24"/>
          <w:szCs w:val="24"/>
        </w:rPr>
        <w:t>на епилепсиите се провежда при около 10-15% от епилептично болните. Кандидати за епилептична хирургия са:</w:t>
      </w:r>
    </w:p>
    <w:p w14:paraId="6DD0AD96" w14:textId="77777777" w:rsidR="00BE0B19" w:rsidRPr="00AE47C6" w:rsidRDefault="00BE0B19" w:rsidP="00BE0B19">
      <w:pPr>
        <w:numPr>
          <w:ilvl w:val="0"/>
          <w:numId w:val="161"/>
        </w:numPr>
        <w:tabs>
          <w:tab w:val="clear" w:pos="1440"/>
          <w:tab w:val="num" w:pos="54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Резистентни форми спрямо адекватна терапия, провеждана за достатъчен период от време, с повече от 2 АГЛ, самостоятелно или като политерапия; </w:t>
      </w:r>
    </w:p>
    <w:p w14:paraId="79A05737" w14:textId="77777777" w:rsidR="00BE0B19" w:rsidRPr="00AE47C6" w:rsidRDefault="00BE0B19" w:rsidP="00BE0B19">
      <w:pPr>
        <w:numPr>
          <w:ilvl w:val="0"/>
          <w:numId w:val="161"/>
        </w:numPr>
        <w:tabs>
          <w:tab w:val="clear" w:pos="1440"/>
          <w:tab w:val="num" w:pos="54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Уточнена епилептогенна зона, локализирана в „тиха” корова област (т.е. без или с относително нисък риск за постоперативен неврологичен дефицит); липса на контраиндикации за хирургично лечение.</w:t>
      </w:r>
    </w:p>
    <w:p w14:paraId="173EBF69" w14:textId="77777777" w:rsidR="00BE0B19" w:rsidRPr="00AE47C6" w:rsidRDefault="00BE0B19" w:rsidP="00BE0B19">
      <w:pPr>
        <w:spacing w:after="0" w:line="360" w:lineRule="auto"/>
        <w:jc w:val="both"/>
        <w:rPr>
          <w:rFonts w:ascii="Times New Roman" w:eastAsia="SimSun" w:hAnsi="Times New Roman"/>
          <w:sz w:val="24"/>
          <w:szCs w:val="24"/>
        </w:rPr>
      </w:pPr>
    </w:p>
    <w:p w14:paraId="5D41DE4F"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Епилепсии без индикация за епилептична хирургия са:</w:t>
      </w:r>
    </w:p>
    <w:p w14:paraId="42FA5B42" w14:textId="77777777" w:rsidR="00BE0B19" w:rsidRPr="00AE47C6" w:rsidRDefault="00BE0B19" w:rsidP="00BE0B19">
      <w:pPr>
        <w:numPr>
          <w:ilvl w:val="0"/>
          <w:numId w:val="172"/>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Пациенти с много видове пристъпи от различни области на мозъка, освен ако 1 вид не е доминиращ и инвалидизиращ. Задължителна оценка с продължително видео-ЕЕГ мониториране.</w:t>
      </w:r>
    </w:p>
    <w:p w14:paraId="198BD5A9" w14:textId="77777777" w:rsidR="00BE0B19" w:rsidRPr="00AE47C6" w:rsidRDefault="00BE0B19" w:rsidP="00BE0B19">
      <w:pPr>
        <w:numPr>
          <w:ilvl w:val="0"/>
          <w:numId w:val="172"/>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Пациенти с двустранна хипокампална атрофия в МРТ.</w:t>
      </w:r>
    </w:p>
    <w:p w14:paraId="24907057" w14:textId="77777777" w:rsidR="00BE0B19" w:rsidRPr="00AE47C6" w:rsidRDefault="00BE0B19" w:rsidP="00BE0B19">
      <w:pPr>
        <w:numPr>
          <w:ilvl w:val="0"/>
          <w:numId w:val="172"/>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Пациенти с идиопатични (генетични) генерализирани епилепсии, със самоограничаващи се детски епилепсии и повечето рефлексни епилепсии.</w:t>
      </w:r>
    </w:p>
    <w:p w14:paraId="54327912" w14:textId="77777777" w:rsidR="00BE0B19" w:rsidRPr="00AE47C6" w:rsidRDefault="00BE0B19" w:rsidP="00BE0B19">
      <w:pPr>
        <w:numPr>
          <w:ilvl w:val="0"/>
          <w:numId w:val="172"/>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Възрастни с дифузна (мултилобарна) и особено двустранна полимикрогирия или субкортикална лентовидна хетеротопия.</w:t>
      </w:r>
    </w:p>
    <w:p w14:paraId="2F5B7B9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Интелектуалният дефицит, особено в детска възраст и при някои синдроми, не е противопоказание за резективна или палиативна интервенция; в много случаи предотвратяването на инвалидизиращите пристъпи и подобряването на ЕЕГ (изчезване на хипсаритмия, на обичайните абнормности при синдрома на Lennox-Gastaut) води дори до подобрено когнитивно функциониране.</w:t>
      </w:r>
    </w:p>
    <w:p w14:paraId="63A1E1D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Неврохирургично лечение се предприема след предварителна мултидисциплинарна оценка на базата на извършени прехирургични изследвания по протокол</w:t>
      </w:r>
      <w:r w:rsidRPr="00AE47C6">
        <w:rPr>
          <w:rFonts w:ascii="Times New Roman" w:eastAsia="SimSun" w:hAnsi="Times New Roman"/>
          <w:sz w:val="24"/>
          <w:szCs w:val="24"/>
        </w:rPr>
        <w:t xml:space="preserve"> (приложение).</w:t>
      </w:r>
    </w:p>
    <w:p w14:paraId="5462E574" w14:textId="77777777" w:rsidR="00BE0B19" w:rsidRPr="00AE47C6" w:rsidRDefault="00BE0B19" w:rsidP="00BE0B19">
      <w:pPr>
        <w:spacing w:after="0" w:line="360" w:lineRule="auto"/>
        <w:jc w:val="both"/>
        <w:rPr>
          <w:rFonts w:ascii="Times New Roman" w:eastAsia="SimSun" w:hAnsi="Times New Roman"/>
          <w:b/>
          <w:bCs/>
          <w:sz w:val="24"/>
          <w:szCs w:val="24"/>
        </w:rPr>
      </w:pPr>
    </w:p>
    <w:p w14:paraId="71096AE1" w14:textId="77777777" w:rsidR="00BE0B19" w:rsidRPr="00AE47C6" w:rsidRDefault="00BE0B19" w:rsidP="00BE0B19">
      <w:pPr>
        <w:spacing w:after="0" w:line="360" w:lineRule="auto"/>
        <w:jc w:val="both"/>
        <w:rPr>
          <w:rFonts w:ascii="Times New Roman" w:eastAsia="SimSun" w:hAnsi="Times New Roman"/>
          <w:b/>
          <w:bCs/>
          <w:caps/>
          <w:sz w:val="24"/>
          <w:szCs w:val="24"/>
        </w:rPr>
      </w:pPr>
      <w:r w:rsidRPr="00AE47C6">
        <w:rPr>
          <w:rFonts w:ascii="Times New Roman" w:eastAsia="SimSun" w:hAnsi="Times New Roman"/>
          <w:b/>
          <w:bCs/>
          <w:sz w:val="24"/>
          <w:szCs w:val="24"/>
        </w:rPr>
        <w:t>Протокол</w:t>
      </w:r>
    </w:p>
    <w:p w14:paraId="11562E7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І етап – Избор на кандидати</w:t>
      </w:r>
      <w:r w:rsidRPr="00AE47C6">
        <w:rPr>
          <w:rFonts w:ascii="Times New Roman" w:eastAsia="SimSun" w:hAnsi="Times New Roman"/>
          <w:sz w:val="24"/>
          <w:szCs w:val="24"/>
        </w:rPr>
        <w:t xml:space="preserve"> (съгласно Schuele&amp;Lueders, Intractable epilepsy: management and therapeutic alternatives. The Lancet Neurology, 2008,</w:t>
      </w:r>
      <w:r w:rsidRPr="00AE47C6">
        <w:rPr>
          <w:rFonts w:ascii="Times New Roman" w:eastAsia="SimSun" w:hAnsi="Times New Roman"/>
          <w:i/>
          <w:iCs/>
          <w:sz w:val="24"/>
          <w:szCs w:val="24"/>
        </w:rPr>
        <w:t>7)</w:t>
      </w:r>
      <w:r w:rsidRPr="00AE47C6">
        <w:rPr>
          <w:rFonts w:ascii="Times New Roman" w:eastAsia="SimSun" w:hAnsi="Times New Roman"/>
          <w:sz w:val="24"/>
          <w:szCs w:val="24"/>
        </w:rPr>
        <w:t>.</w:t>
      </w:r>
    </w:p>
    <w:p w14:paraId="3241D82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ІІ етап – Прехирургична диагностика</w:t>
      </w:r>
    </w:p>
    <w:p w14:paraId="230E6E92"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1-ва фаза – Неинвазивни изследвания</w:t>
      </w:r>
    </w:p>
    <w:p w14:paraId="7BB48A10" w14:textId="77777777" w:rsidR="00BE0B19" w:rsidRPr="00AE47C6" w:rsidRDefault="00BE0B19" w:rsidP="00BE0B19">
      <w:pPr>
        <w:numPr>
          <w:ilvl w:val="0"/>
          <w:numId w:val="167"/>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Продължително видео-ЕЕГ мониториране в специализирано отделение на епилептичен център – регистрация на пристъпи едновременно с ЕЕГ и видео. В някои случаи се налага редуциране и дори спиране на АГЛ, и сънна депривация. В повечето случаи се провежда ЕЕГ по разширена електродна схема – използване на предни темпорални (темпоро-базални) електроди и темпоро-постериорни (ретроаурикуларни) електроди, задължително с отвеждане и на ЕКГ. </w:t>
      </w:r>
    </w:p>
    <w:p w14:paraId="58217C66" w14:textId="77777777" w:rsidR="00BE0B19" w:rsidRPr="00AE47C6" w:rsidRDefault="00BE0B19" w:rsidP="00BE0B19">
      <w:pPr>
        <w:spacing w:after="0" w:line="360" w:lineRule="auto"/>
        <w:jc w:val="both"/>
        <w:rPr>
          <w:rFonts w:ascii="Times New Roman" w:eastAsia="SimSun" w:hAnsi="Times New Roman"/>
          <w:b/>
          <w:bCs/>
          <w:i/>
          <w:iCs/>
          <w:sz w:val="24"/>
          <w:szCs w:val="24"/>
        </w:rPr>
      </w:pPr>
      <w:r w:rsidRPr="00AE47C6">
        <w:rPr>
          <w:rFonts w:ascii="Times New Roman" w:eastAsia="SimSun" w:hAnsi="Times New Roman"/>
          <w:b/>
          <w:bCs/>
          <w:i/>
          <w:iCs/>
          <w:sz w:val="24"/>
          <w:szCs w:val="24"/>
        </w:rPr>
        <w:t>Интериктална ЕЕГ</w:t>
      </w:r>
    </w:p>
    <w:p w14:paraId="17AE472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Основно 30-минутно изследване</w:t>
      </w:r>
      <w:r w:rsidRPr="00AE47C6">
        <w:rPr>
          <w:rFonts w:ascii="Times New Roman" w:eastAsia="SimSun" w:hAnsi="Times New Roman"/>
          <w:sz w:val="24"/>
          <w:szCs w:val="24"/>
        </w:rPr>
        <w:t xml:space="preserve"> – задължително за всички кандидати</w:t>
      </w:r>
    </w:p>
    <w:p w14:paraId="13ED2EF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Достатъчна регистрация на ЕЕГ в будност и сън -задължително за всички кандидати – за оценка на бавновълнови и епилептиформени промени (насока за локализацията на лезионната зона и иритативната зона)</w:t>
      </w:r>
    </w:p>
    <w:p w14:paraId="0D2F7441" w14:textId="77777777" w:rsidR="00BE0B19" w:rsidRPr="00AE47C6" w:rsidRDefault="00BE0B19" w:rsidP="00BE0B19">
      <w:pPr>
        <w:spacing w:after="0" w:line="360" w:lineRule="auto"/>
        <w:jc w:val="both"/>
        <w:rPr>
          <w:rFonts w:ascii="Times New Roman" w:eastAsia="SimSun" w:hAnsi="Times New Roman"/>
          <w:b/>
          <w:bCs/>
          <w:i/>
          <w:iCs/>
          <w:sz w:val="24"/>
          <w:szCs w:val="24"/>
        </w:rPr>
      </w:pPr>
      <w:r w:rsidRPr="00AE47C6">
        <w:rPr>
          <w:rFonts w:ascii="Times New Roman" w:eastAsia="SimSun" w:hAnsi="Times New Roman"/>
          <w:b/>
          <w:bCs/>
          <w:i/>
          <w:iCs/>
          <w:sz w:val="24"/>
          <w:szCs w:val="24"/>
        </w:rPr>
        <w:t>Иктална скалпова-ЕЕГ +/- сфеноидални (семи-инвазивни) електроди</w:t>
      </w:r>
    </w:p>
    <w:p w14:paraId="708B8FC4" w14:textId="77777777" w:rsidR="00BE0B19" w:rsidRPr="00AE47C6" w:rsidRDefault="00BE0B19" w:rsidP="00BE0B19">
      <w:pPr>
        <w:numPr>
          <w:ilvl w:val="0"/>
          <w:numId w:val="17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При пациенти с TLE </w:t>
      </w:r>
    </w:p>
    <w:p w14:paraId="35174E36" w14:textId="77777777" w:rsidR="00BE0B19" w:rsidRPr="00AE47C6" w:rsidRDefault="00BE0B19" w:rsidP="00BE0B19">
      <w:pPr>
        <w:numPr>
          <w:ilvl w:val="0"/>
          <w:numId w:val="170"/>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Незадължителна при пациенти с едностранна TLE: с 1) клинична семиология на мезио-темпорални пристъпи; 2) интериктална ЕЕГ с данни за бавновълнова и епилептиформена активност в отвежданията, съответстващи на мезиалните структури; 3) категорични данни за хипокампална патология в МРТ. При такива пациенти се приема, че има пълна корелация между семиология, ЕЕГ и МРТ и може да се пристъпи към темпорални резективни интервенции.</w:t>
      </w:r>
    </w:p>
    <w:p w14:paraId="5A2038C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bCs/>
          <w:i/>
          <w:iCs/>
          <w:sz w:val="24"/>
          <w:szCs w:val="24"/>
        </w:rPr>
        <w:t xml:space="preserve">Иктална скалпова-ЕЕГ </w:t>
      </w:r>
    </w:p>
    <w:p w14:paraId="212EBE8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При всички кандидати е необходима видео - ЕЕГ регистрация на поне 3 пристъпа, ако пациентът има един вид пристъпи, или на повече - при анамнеза за няколко вида пристъпи. В повечето случаи се налага мониториране поне за 24 часа, с регистрация и на спонтанен сън.</w:t>
      </w:r>
    </w:p>
    <w:p w14:paraId="194FF62B" w14:textId="77777777" w:rsidR="00BE0B19" w:rsidRPr="00AE47C6" w:rsidRDefault="00BE0B19" w:rsidP="00BE0B19">
      <w:pPr>
        <w:numPr>
          <w:ilvl w:val="0"/>
          <w:numId w:val="167"/>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u w:val="single"/>
        </w:rPr>
        <w:t>Високоразделителна МРТ на главен мозък</w:t>
      </w:r>
      <w:r w:rsidRPr="00AE47C6">
        <w:rPr>
          <w:rFonts w:ascii="Times New Roman" w:eastAsia="SimSun" w:hAnsi="Times New Roman"/>
          <w:sz w:val="24"/>
          <w:szCs w:val="24"/>
        </w:rPr>
        <w:t xml:space="preserve"> – при провеждане съгласно т.нар. «протокол за епилепсия» - по утвърдени международни стандарти и адаптиран в конкретен неврорадиологичен център с наличие на специалисти в невроизобразяване на епилепсия. При недостатъчна локализация на пристъпите с видео-ЕЕГ и МРТ по епилептичен протокол, в някои случаи се налага използването на допълнителни МРТ техники. </w:t>
      </w:r>
    </w:p>
    <w:p w14:paraId="2BA3A125" w14:textId="77777777" w:rsidR="00BE0B19" w:rsidRPr="00AE47C6" w:rsidRDefault="00BE0B19" w:rsidP="00BE0B19">
      <w:pPr>
        <w:numPr>
          <w:ilvl w:val="0"/>
          <w:numId w:val="167"/>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u w:val="single"/>
        </w:rPr>
        <w:t>Невропсихологично изследване</w:t>
      </w:r>
      <w:r w:rsidRPr="00AE47C6">
        <w:rPr>
          <w:rFonts w:ascii="Times New Roman" w:eastAsia="SimSun" w:hAnsi="Times New Roman"/>
          <w:sz w:val="24"/>
          <w:szCs w:val="24"/>
        </w:rPr>
        <w:t xml:space="preserve"> (има допълващо значение) – латерализира и понякога локализира дефицити във висшите корови функции, което допълва данните за локализацията на епилептогенната зона. Данните за налични дефицити могат да помогнат за определяне на възможен постоперативен функционален риск за ВКФ, когато епилептогенната зона е в или близо до функционално необходима кора. </w:t>
      </w:r>
    </w:p>
    <w:p w14:paraId="3F69D3E5" w14:textId="77777777" w:rsidR="00BE0B19" w:rsidRPr="00AE47C6" w:rsidRDefault="00BE0B19" w:rsidP="00BE0B19">
      <w:pPr>
        <w:numPr>
          <w:ilvl w:val="0"/>
          <w:numId w:val="16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Когато резултатите от тези изследвания показват пълна анатомо-електро-клинична корелация по отношение локализацията на епилептогенната зона (например, клинична семиология според анамнезата и видео-регистрация отговаря на мезио-темпорални пристъпи + ЕЕГ демонстрира начало на пристъпите в темпоралните отвеждания, съответни на мезиалните структури + МРТ визуализира хипокампална склероза или друга лезия в мезио-темпоралните структури) може да се пристъпи към ограничена резективна интервенция (например, предна темпорална лобектомия или селективна амигдалохипокампектомия при MTLE - най-честата симптоматична терапевтично-резистентна фокална епилепсия, особено при възрастни).</w:t>
      </w:r>
    </w:p>
    <w:p w14:paraId="59F2CEA8" w14:textId="77777777" w:rsidR="00BE0B19" w:rsidRPr="00AE47C6" w:rsidRDefault="00BE0B19" w:rsidP="00BE0B19">
      <w:pPr>
        <w:numPr>
          <w:ilvl w:val="0"/>
          <w:numId w:val="16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Когато липсват достатъчно данни (например, негативна МРТ), трябва да се извършат допълнителни функционални невроизобразяващи изследвания (FDG-PET или SPECT) за идентифициране на епилептогенната зона.</w:t>
      </w:r>
    </w:p>
    <w:p w14:paraId="52EEF466" w14:textId="77777777" w:rsidR="00BE0B19" w:rsidRPr="00AE47C6" w:rsidRDefault="00BE0B19" w:rsidP="00BE0B19">
      <w:pPr>
        <w:numPr>
          <w:ilvl w:val="0"/>
          <w:numId w:val="16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След провеждане на РЕТ ко-регистрацията с МРТ увеличава вероятността за по-точно корелиране на зоната на интериктален хипометаболизъм (в РЕТ) с анатомичната структура (в МРТ). </w:t>
      </w:r>
    </w:p>
    <w:p w14:paraId="3422C014" w14:textId="77777777" w:rsidR="00BE0B19" w:rsidRPr="00AE47C6" w:rsidRDefault="00BE0B19" w:rsidP="00BE0B19">
      <w:pPr>
        <w:numPr>
          <w:ilvl w:val="0"/>
          <w:numId w:val="16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Извършва се интериктален и/или иктален SPECT, демонстриращи междупристъпна хипоперфузия и иктална хиперперфузия в областта на епилептичното огнище. Най-удачно е извършването на т.нар. субтракция на двата поотделно получени образа и последваща корегистрация с МРТ (SISCOM).</w:t>
      </w:r>
    </w:p>
    <w:p w14:paraId="342F7CA2" w14:textId="77777777" w:rsidR="00BE0B19" w:rsidRPr="00AE47C6" w:rsidRDefault="00BE0B19" w:rsidP="00BE0B19">
      <w:pPr>
        <w:numPr>
          <w:ilvl w:val="0"/>
          <w:numId w:val="169"/>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Функционална МРТ е задължителна при явни лезии близо до елоквентна кора, които са с доказана семиологично и ЕЕГ епилептогенност – с цел определяне границите на възможната резекция и нуждата от интраоперативна корова електростимулация.</w:t>
      </w:r>
    </w:p>
    <w:p w14:paraId="1CCD23A0" w14:textId="77777777" w:rsidR="00BE0B19" w:rsidRPr="00AE47C6" w:rsidRDefault="00BE0B19" w:rsidP="00BE0B19">
      <w:pPr>
        <w:numPr>
          <w:ilvl w:val="0"/>
          <w:numId w:val="168"/>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Когато липсва корелация (например: негативна МРТ, несъответна на лезията семиология на пристъпите, неясно иктално ЕЕГ-начало), пациентът се насочва за провеждане на инвазивни прехирургични изследвания.</w:t>
      </w:r>
    </w:p>
    <w:p w14:paraId="04DC83A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2-ра фаза – Инвазивни изследвания</w:t>
      </w:r>
      <w:r w:rsidRPr="00AE47C6">
        <w:rPr>
          <w:rFonts w:ascii="Times New Roman" w:eastAsia="SimSun" w:hAnsi="Times New Roman"/>
          <w:b/>
          <w:bCs/>
          <w:i/>
          <w:iCs/>
          <w:sz w:val="24"/>
          <w:szCs w:val="24"/>
        </w:rPr>
        <w:t xml:space="preserve"> –</w:t>
      </w:r>
      <w:r w:rsidRPr="00AE47C6">
        <w:rPr>
          <w:rFonts w:ascii="Times New Roman" w:eastAsia="SimSun" w:hAnsi="Times New Roman"/>
          <w:sz w:val="24"/>
          <w:szCs w:val="24"/>
        </w:rPr>
        <w:t xml:space="preserve"> включват ЕЕГ-мониториране с интракраниални електроди и Wada-тест.</w:t>
      </w:r>
    </w:p>
    <w:p w14:paraId="1AB2441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Отнася се за следните групи епилепсии, но без ограничения до тях:</w:t>
      </w:r>
    </w:p>
    <w:p w14:paraId="43EA7A86"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(1) TLE, при която липсва сигурна латерализация; </w:t>
      </w:r>
    </w:p>
    <w:p w14:paraId="156B368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(2) двойна патология (например, хипокампална склероза и фокална кортикална дисплазия); </w:t>
      </w:r>
    </w:p>
    <w:p w14:paraId="4D18B13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(3) лезия при нелокализираща ЕЕГ; </w:t>
      </w:r>
    </w:p>
    <w:p w14:paraId="475262D7"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(4) локализираща интериктална и/или иктална ЕЕГ, и/или функционално невроизобразяване при липса на ясно видима лезия в МРТ.</w:t>
      </w:r>
    </w:p>
    <w:p w14:paraId="3EA6BB3B" w14:textId="77777777" w:rsidR="00BE0B19" w:rsidRPr="00AE47C6" w:rsidRDefault="00BE0B19" w:rsidP="00BE0B19">
      <w:pPr>
        <w:spacing w:after="0" w:line="360" w:lineRule="auto"/>
        <w:jc w:val="both"/>
        <w:rPr>
          <w:rFonts w:ascii="Times New Roman" w:eastAsia="SimSun" w:hAnsi="Times New Roman"/>
          <w:sz w:val="24"/>
          <w:szCs w:val="24"/>
        </w:rPr>
      </w:pPr>
    </w:p>
    <w:p w14:paraId="1D699A35" w14:textId="77777777" w:rsidR="00BE0B19" w:rsidRPr="00AE47C6" w:rsidRDefault="00BE0B19" w:rsidP="00BE0B19">
      <w:pPr>
        <w:numPr>
          <w:ilvl w:val="0"/>
          <w:numId w:val="168"/>
        </w:numPr>
        <w:spacing w:after="0" w:line="360" w:lineRule="auto"/>
        <w:ind w:left="0" w:firstLine="0"/>
        <w:jc w:val="both"/>
        <w:rPr>
          <w:rFonts w:ascii="Times New Roman" w:eastAsia="SimSun" w:hAnsi="Times New Roman"/>
          <w:b/>
          <w:bCs/>
          <w:sz w:val="24"/>
          <w:szCs w:val="24"/>
        </w:rPr>
      </w:pPr>
      <w:r w:rsidRPr="00AE47C6">
        <w:rPr>
          <w:rFonts w:ascii="Times New Roman" w:eastAsia="SimSun" w:hAnsi="Times New Roman"/>
          <w:b/>
          <w:bCs/>
          <w:sz w:val="24"/>
          <w:szCs w:val="24"/>
        </w:rPr>
        <w:t>Интракраниално ЕЕГ-мониториране</w:t>
      </w:r>
    </w:p>
    <w:p w14:paraId="774D999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При наличието на модерни невроизобразяващи технологии, само 10-20% от хирургичните кандидати изискват този вид диагностика. Задължителна е при:</w:t>
      </w:r>
    </w:p>
    <w:p w14:paraId="770990B0" w14:textId="77777777" w:rsidR="00BE0B19" w:rsidRPr="00AE47C6" w:rsidRDefault="00BE0B19" w:rsidP="00BE0B19">
      <w:pPr>
        <w:numPr>
          <w:ilvl w:val="0"/>
          <w:numId w:val="17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Двустранни и предполагаемо независими темпорални пристъпи </w:t>
      </w:r>
    </w:p>
    <w:p w14:paraId="4500AC8B" w14:textId="77777777" w:rsidR="00BE0B19" w:rsidRPr="00AE47C6" w:rsidRDefault="00BE0B19" w:rsidP="00BE0B19">
      <w:pPr>
        <w:numPr>
          <w:ilvl w:val="0"/>
          <w:numId w:val="17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Екстратемпорални пристъпи с пропагация към мезиотемпоралните структури</w:t>
      </w:r>
    </w:p>
    <w:p w14:paraId="45E82D08" w14:textId="77777777" w:rsidR="00BE0B19" w:rsidRPr="00AE47C6" w:rsidRDefault="00BE0B19" w:rsidP="00BE0B19">
      <w:pPr>
        <w:numPr>
          <w:ilvl w:val="0"/>
          <w:numId w:val="17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Темпорални пристъпи с доказано ЕЕГ начало, но негативна МРТ и FDG-PET </w:t>
      </w:r>
    </w:p>
    <w:p w14:paraId="77147241" w14:textId="77777777" w:rsidR="00BE0B19" w:rsidRPr="00AE47C6" w:rsidRDefault="00BE0B19" w:rsidP="00BE0B19">
      <w:pPr>
        <w:numPr>
          <w:ilvl w:val="0"/>
          <w:numId w:val="17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Липса на корелация между ЕЕГ- локализацията и находката в МРТ</w:t>
      </w:r>
    </w:p>
    <w:p w14:paraId="66702C76" w14:textId="77777777" w:rsidR="00BE0B19" w:rsidRPr="00AE47C6" w:rsidRDefault="00BE0B19" w:rsidP="00BE0B19">
      <w:pPr>
        <w:numPr>
          <w:ilvl w:val="0"/>
          <w:numId w:val="17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Невъзможно разграничаване между неокортикална и мезиална TLE</w:t>
      </w:r>
    </w:p>
    <w:p w14:paraId="786686A7" w14:textId="77777777" w:rsidR="00BE0B19" w:rsidRPr="00AE47C6" w:rsidRDefault="00BE0B19" w:rsidP="00BE0B19">
      <w:pPr>
        <w:numPr>
          <w:ilvl w:val="0"/>
          <w:numId w:val="17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Латерализация/локализация на пристъпите в определена хемисфера/мозъчен дял, но без патологична находка в МРТ и/или функционалното невроизобразяване (РЕТ, SPECT)</w:t>
      </w:r>
    </w:p>
    <w:p w14:paraId="1048A211" w14:textId="77777777" w:rsidR="00BE0B19" w:rsidRPr="00AE47C6" w:rsidRDefault="00BE0B19" w:rsidP="00BE0B19">
      <w:pPr>
        <w:numPr>
          <w:ilvl w:val="0"/>
          <w:numId w:val="171"/>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 xml:space="preserve">Епилептогенна зона в или близо до функционално необходима мозъчна кора, което изисква и интраоперативна корова стимулация. </w:t>
      </w:r>
    </w:p>
    <w:p w14:paraId="4D7E2125" w14:textId="77777777" w:rsidR="00BE0B19" w:rsidRPr="00AE47C6" w:rsidRDefault="00BE0B19" w:rsidP="00BE0B19">
      <w:pPr>
        <w:spacing w:after="0" w:line="360" w:lineRule="auto"/>
        <w:jc w:val="both"/>
        <w:rPr>
          <w:rFonts w:ascii="Times New Roman" w:eastAsia="SimSun" w:hAnsi="Times New Roman"/>
          <w:sz w:val="24"/>
          <w:szCs w:val="24"/>
        </w:rPr>
      </w:pPr>
    </w:p>
    <w:p w14:paraId="7ACA606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Извършва се с дълбоки електроди (стереотаксична имплантация, SEEG) или със субдурални електроди (електродни решетки, ленти), съответно на основната хипотеза за разположението на епилептогенната зона на основата на данните от видео-ЕЕГ. Пристъпването към този етап се извършва при обсъждане от невролог (извършил неврофизиологичната оценка на пациента по време на първата фаза) и неврохирург, с последващо участие на пациента. Задължителна е регистрацията поне на един от хабитуалните пристъпи на пациента, като задължително се осъществява и тестване с електрическа стимулация с цел определяне на границите на епилептогенната зона при провокация на идентични пристъпи и евентуалната близост/припокриване с елоквентна кора.</w:t>
      </w:r>
    </w:p>
    <w:p w14:paraId="40E15910" w14:textId="77777777" w:rsidR="00BE0B19" w:rsidRPr="00AE47C6" w:rsidRDefault="00BE0B19" w:rsidP="00BE0B19">
      <w:pPr>
        <w:numPr>
          <w:ilvl w:val="0"/>
          <w:numId w:val="168"/>
        </w:numPr>
        <w:spacing w:after="0" w:line="360" w:lineRule="auto"/>
        <w:ind w:left="0" w:firstLine="0"/>
        <w:jc w:val="both"/>
        <w:rPr>
          <w:rFonts w:ascii="Times New Roman" w:eastAsia="SimSun" w:hAnsi="Times New Roman"/>
          <w:b/>
          <w:bCs/>
          <w:sz w:val="24"/>
          <w:szCs w:val="24"/>
        </w:rPr>
      </w:pPr>
      <w:r w:rsidRPr="00AE47C6">
        <w:rPr>
          <w:rFonts w:ascii="Times New Roman" w:eastAsia="SimSun" w:hAnsi="Times New Roman"/>
          <w:b/>
          <w:bCs/>
          <w:sz w:val="24"/>
          <w:szCs w:val="24"/>
        </w:rPr>
        <w:t>Wada-тест</w:t>
      </w:r>
    </w:p>
    <w:p w14:paraId="20228837" w14:textId="77777777" w:rsidR="00BE0B19" w:rsidRPr="00AE47C6" w:rsidRDefault="00BE0B19" w:rsidP="00BE0B19">
      <w:pPr>
        <w:numPr>
          <w:ilvl w:val="0"/>
          <w:numId w:val="168"/>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Интракаротидната амобарбитална процедура (IAP) (амобарбитал или натриев метохекситал; напоследък се прилага успешно и Propofol) временно инактивира ипсилатералната мозъчна хемисфера, което позволява независимото тестване на паметта и речта в контралатералната хемисфера. Независимо от по-широкото навлизане на функционалната МРТ за определяне на латерализация и локализация на ВКФ, поради противоречивите данни при някои от кандидатите, все още Wada-тестът e златен стандарт в предоперативната оценка на ВКФ. </w:t>
      </w:r>
    </w:p>
    <w:p w14:paraId="67D071CE" w14:textId="77777777" w:rsidR="00BE0B19" w:rsidRPr="00AE47C6" w:rsidRDefault="00BE0B19" w:rsidP="00BE0B19">
      <w:pPr>
        <w:spacing w:after="0" w:line="360" w:lineRule="auto"/>
        <w:jc w:val="both"/>
        <w:rPr>
          <w:rFonts w:ascii="Times New Roman" w:eastAsia="SimSun" w:hAnsi="Times New Roman"/>
          <w:sz w:val="24"/>
          <w:szCs w:val="24"/>
        </w:rPr>
      </w:pPr>
    </w:p>
    <w:p w14:paraId="42AAE52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3-та Фаза</w:t>
      </w:r>
      <w:r w:rsidRPr="00AE47C6">
        <w:rPr>
          <w:rFonts w:ascii="Times New Roman" w:eastAsia="SimSun" w:hAnsi="Times New Roman"/>
          <w:sz w:val="24"/>
          <w:szCs w:val="24"/>
        </w:rPr>
        <w:t xml:space="preserve"> – </w:t>
      </w:r>
      <w:r w:rsidRPr="00AE47C6">
        <w:rPr>
          <w:rFonts w:ascii="Times New Roman" w:eastAsia="SimSun" w:hAnsi="Times New Roman"/>
          <w:b/>
          <w:bCs/>
          <w:i/>
          <w:iCs/>
          <w:sz w:val="24"/>
          <w:szCs w:val="24"/>
        </w:rPr>
        <w:t xml:space="preserve">Мултидисциплинарно обсъждане на </w:t>
      </w:r>
      <w:r w:rsidRPr="00AE47C6">
        <w:rPr>
          <w:rFonts w:ascii="Times New Roman" w:eastAsia="SimSun" w:hAnsi="Times New Roman"/>
          <w:b/>
          <w:i/>
          <w:sz w:val="24"/>
          <w:szCs w:val="24"/>
        </w:rPr>
        <w:t>кандидатите за епилептична хирургия</w:t>
      </w:r>
    </w:p>
    <w:p w14:paraId="3125993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И след 1-ва, и след 2-ра фаза кандидатите за епилептична хирургия се обсъждат от мултидисциплинарен екип, включващ задължително невролози-епилептолози, неврохирурзи със специализация в епилептична хирургия, а при необходимост и невропсихолог, логопед, неврорадиолог, психиатър. Обсъждат се подробно клиничните, ЕЕГ, МРТ данни, невропсихологичните тестове и др. резултати (например речеви функции, социални проблеми и пр.). Потенциалните усложнения се обсъждат с пациента/семейството, особено при епилепсия в доминантната хемисфера. </w:t>
      </w:r>
    </w:p>
    <w:p w14:paraId="0A7334C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Пациентите, получили от мултидисциплинарния екип становище за оперативна интервенция задължително се насочват към специалист – епилептолог за второ мнение относно предлаганата оперативна намеса.</w:t>
      </w:r>
    </w:p>
    <w:p w14:paraId="00BCD525" w14:textId="77777777" w:rsidR="00BE0B19" w:rsidRPr="00AE47C6" w:rsidRDefault="00BE0B19" w:rsidP="00BE0B19">
      <w:pPr>
        <w:spacing w:after="0" w:line="360" w:lineRule="auto"/>
        <w:ind w:firstLine="720"/>
        <w:jc w:val="both"/>
        <w:rPr>
          <w:rFonts w:ascii="Times New Roman" w:eastAsia="SimSun" w:hAnsi="Times New Roman"/>
          <w:sz w:val="24"/>
          <w:szCs w:val="24"/>
          <w:lang w:eastAsia="bg-BG"/>
        </w:rPr>
      </w:pPr>
      <w:r w:rsidRPr="00AE47C6">
        <w:rPr>
          <w:rFonts w:ascii="Times New Roman" w:eastAsia="SimSun" w:hAnsi="Times New Roman"/>
          <w:sz w:val="24"/>
          <w:szCs w:val="24"/>
        </w:rPr>
        <w:t xml:space="preserve">При конкордантни (съвпадащи) резултати и цели на пациента, екипа и мнението на епилептолога, се насрочва съответната оперативна интервенция. </w:t>
      </w:r>
    </w:p>
    <w:p w14:paraId="6749A2EA" w14:textId="77777777" w:rsidR="00BE0B19" w:rsidRPr="00AE47C6" w:rsidRDefault="00BE0B19" w:rsidP="00BE0B19">
      <w:pPr>
        <w:spacing w:after="0" w:line="360" w:lineRule="auto"/>
        <w:jc w:val="both"/>
        <w:rPr>
          <w:rFonts w:ascii="Times New Roman" w:eastAsia="SimSun" w:hAnsi="Times New Roman"/>
          <w:sz w:val="24"/>
          <w:szCs w:val="24"/>
          <w:lang w:eastAsia="bg-BG"/>
        </w:rPr>
      </w:pPr>
    </w:p>
    <w:p w14:paraId="0EFBC6E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bCs/>
          <w:i/>
          <w:iCs/>
          <w:sz w:val="24"/>
          <w:szCs w:val="24"/>
        </w:rPr>
        <w:t>Хирургични процедури</w:t>
      </w:r>
      <w:r w:rsidRPr="00AE47C6">
        <w:rPr>
          <w:rFonts w:ascii="Times New Roman" w:eastAsia="SimSun" w:hAnsi="Times New Roman"/>
          <w:sz w:val="24"/>
          <w:szCs w:val="24"/>
        </w:rPr>
        <w:t xml:space="preserve">: </w:t>
      </w:r>
    </w:p>
    <w:p w14:paraId="6C093279"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u w:val="single"/>
        </w:rPr>
        <w:t>1. Куративни = лечебни</w:t>
      </w:r>
      <w:r w:rsidRPr="00AE47C6">
        <w:rPr>
          <w:rFonts w:ascii="Times New Roman" w:eastAsia="SimSun" w:hAnsi="Times New Roman"/>
          <w:b/>
          <w:sz w:val="24"/>
          <w:szCs w:val="24"/>
        </w:rPr>
        <w:t xml:space="preserve"> (най-често резективни)</w:t>
      </w:r>
    </w:p>
    <w:p w14:paraId="37E24784" w14:textId="77777777" w:rsidR="00BE0B19" w:rsidRPr="00AE47C6" w:rsidRDefault="00BE0B19" w:rsidP="00BE0B19">
      <w:pPr>
        <w:numPr>
          <w:ilvl w:val="0"/>
          <w:numId w:val="176"/>
        </w:num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Предна темпорална лобектомия</w:t>
      </w:r>
    </w:p>
    <w:p w14:paraId="7EDE5AA8" w14:textId="77777777" w:rsidR="00BE0B19" w:rsidRPr="00AE47C6" w:rsidRDefault="00BE0B19" w:rsidP="00BE0B19">
      <w:pPr>
        <w:numPr>
          <w:ilvl w:val="0"/>
          <w:numId w:val="176"/>
        </w:num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Селективна амигдалохипокампектомия</w:t>
      </w:r>
    </w:p>
    <w:p w14:paraId="3348D8B7" w14:textId="77777777" w:rsidR="00BE0B19" w:rsidRPr="00AE47C6" w:rsidRDefault="00BE0B19" w:rsidP="00BE0B19">
      <w:pPr>
        <w:numPr>
          <w:ilvl w:val="0"/>
          <w:numId w:val="176"/>
        </w:num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Лезионектомия</w:t>
      </w:r>
      <w:r w:rsidRPr="00AE47C6">
        <w:rPr>
          <w:rFonts w:ascii="Times New Roman" w:eastAsia="SimSun" w:hAnsi="Times New Roman"/>
          <w:sz w:val="24"/>
          <w:szCs w:val="24"/>
        </w:rPr>
        <w:t xml:space="preserve"> (отстраняване на епилептогенната лезия според МРТ данните - темпорална, екстратемпорална)</w:t>
      </w:r>
    </w:p>
    <w:p w14:paraId="0CAEBDB9" w14:textId="77777777" w:rsidR="00BE0B19" w:rsidRPr="00AE47C6" w:rsidRDefault="00BE0B19" w:rsidP="00BE0B19">
      <w:pPr>
        <w:numPr>
          <w:ilvl w:val="0"/>
          <w:numId w:val="176"/>
        </w:num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„Индивидуално приспособена” неокортикална резекция</w:t>
      </w:r>
      <w:r w:rsidRPr="00AE47C6">
        <w:rPr>
          <w:rFonts w:ascii="Times New Roman" w:eastAsia="SimSun" w:hAnsi="Times New Roman"/>
          <w:sz w:val="24"/>
          <w:szCs w:val="24"/>
        </w:rPr>
        <w:t xml:space="preserve"> – според данните от ЕЕГ, МРТ и функционалните изследвания: съхранява елоквентната кора </w:t>
      </w:r>
    </w:p>
    <w:p w14:paraId="26B1227F" w14:textId="77777777" w:rsidR="00BE0B19" w:rsidRPr="00AE47C6" w:rsidRDefault="00BE0B19" w:rsidP="00BE0B19">
      <w:pPr>
        <w:numPr>
          <w:ilvl w:val="0"/>
          <w:numId w:val="176"/>
        </w:num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Хемисферектомия и функционална хемисферотомия</w:t>
      </w:r>
    </w:p>
    <w:p w14:paraId="74853621" w14:textId="77777777" w:rsidR="00BE0B19" w:rsidRPr="00AE47C6" w:rsidRDefault="00BE0B19" w:rsidP="00BE0B19">
      <w:pPr>
        <w:numPr>
          <w:ilvl w:val="0"/>
          <w:numId w:val="176"/>
        </w:num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Множествена субпиална транссекция</w:t>
      </w:r>
    </w:p>
    <w:p w14:paraId="357A8195" w14:textId="77777777" w:rsidR="00BE0B19" w:rsidRPr="00AE47C6" w:rsidRDefault="00BE0B19" w:rsidP="00BE0B19">
      <w:pPr>
        <w:spacing w:after="0" w:line="360" w:lineRule="auto"/>
        <w:jc w:val="both"/>
        <w:rPr>
          <w:rFonts w:ascii="Times New Roman" w:eastAsia="SimSun" w:hAnsi="Times New Roman"/>
          <w:b/>
          <w:sz w:val="24"/>
          <w:szCs w:val="24"/>
          <w:u w:val="single"/>
        </w:rPr>
      </w:pPr>
      <w:r w:rsidRPr="00AE47C6">
        <w:rPr>
          <w:rFonts w:ascii="Times New Roman" w:eastAsia="SimSun" w:hAnsi="Times New Roman"/>
          <w:b/>
          <w:sz w:val="24"/>
          <w:szCs w:val="24"/>
          <w:u w:val="single"/>
        </w:rPr>
        <w:t xml:space="preserve">2. Палиативни </w:t>
      </w:r>
    </w:p>
    <w:p w14:paraId="37C9F2B1" w14:textId="77777777" w:rsidR="00BE0B19" w:rsidRPr="00AE47C6" w:rsidRDefault="00BE0B19" w:rsidP="00BE0B19">
      <w:pPr>
        <w:numPr>
          <w:ilvl w:val="0"/>
          <w:numId w:val="176"/>
        </w:num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Калозотомия</w:t>
      </w:r>
      <w:r w:rsidRPr="00AE47C6">
        <w:rPr>
          <w:rFonts w:ascii="Times New Roman" w:eastAsia="SimSun" w:hAnsi="Times New Roman"/>
          <w:sz w:val="24"/>
          <w:szCs w:val="24"/>
        </w:rPr>
        <w:t xml:space="preserve"> (тотална – при млади пациенти с полиморфни пристъпи; предна - при пациенти над 15 г. с цел избягване на тежък деконективен синдром; селективна задна – при дроп-атаки)</w:t>
      </w:r>
    </w:p>
    <w:p w14:paraId="597047AA" w14:textId="77777777" w:rsidR="00BE0B19" w:rsidRPr="00AE47C6" w:rsidRDefault="00BE0B19" w:rsidP="00BE0B19">
      <w:pPr>
        <w:numPr>
          <w:ilvl w:val="0"/>
          <w:numId w:val="176"/>
        </w:numPr>
        <w:shd w:val="clear" w:color="auto" w:fill="FFFFFF"/>
        <w:spacing w:after="180" w:line="360" w:lineRule="atLeast"/>
        <w:jc w:val="both"/>
        <w:rPr>
          <w:rFonts w:ascii="Times New Roman" w:eastAsia="SimSun" w:hAnsi="Times New Roman"/>
          <w:sz w:val="24"/>
          <w:szCs w:val="24"/>
          <w:shd w:val="clear" w:color="auto" w:fill="FFFFFF"/>
          <w:lang w:eastAsia="bg-BG"/>
        </w:rPr>
      </w:pPr>
      <w:r w:rsidRPr="00AE47C6">
        <w:rPr>
          <w:rFonts w:ascii="Times New Roman" w:eastAsia="SimSun" w:hAnsi="Times New Roman"/>
          <w:b/>
          <w:sz w:val="24"/>
          <w:szCs w:val="24"/>
          <w:lang w:eastAsia="bg-BG"/>
        </w:rPr>
        <w:t xml:space="preserve">Стимулация на n. Vagus (VNS) </w:t>
      </w:r>
      <w:r w:rsidRPr="00AE47C6">
        <w:rPr>
          <w:rFonts w:ascii="Times New Roman" w:eastAsia="SimSun" w:hAnsi="Times New Roman"/>
          <w:sz w:val="24"/>
          <w:szCs w:val="24"/>
          <w:lang w:eastAsia="bg-BG"/>
        </w:rPr>
        <w:t xml:space="preserve">e с индикация като допълваща терапия за редукция на пристъпната честота при </w:t>
      </w:r>
      <w:r w:rsidRPr="00AE47C6">
        <w:rPr>
          <w:rFonts w:ascii="Times New Roman" w:eastAsia="SimSun" w:hAnsi="Times New Roman"/>
          <w:color w:val="222222"/>
          <w:sz w:val="24"/>
          <w:szCs w:val="24"/>
          <w:shd w:val="clear" w:color="auto" w:fill="FFFFFF"/>
          <w:lang w:eastAsia="bg-BG"/>
        </w:rPr>
        <w:t>медикаментозно-резистентна епилепсия при възрастни пациенти и деца над 4 г.</w:t>
      </w:r>
      <w:r w:rsidRPr="00AE47C6">
        <w:rPr>
          <w:rFonts w:ascii="Times New Roman" w:eastAsia="SimSun" w:hAnsi="Times New Roman"/>
          <w:color w:val="111111"/>
          <w:sz w:val="24"/>
          <w:szCs w:val="24"/>
          <w:lang w:eastAsia="bg-BG"/>
        </w:rPr>
        <w:t xml:space="preserve">, които не са подходящи за резективна епилептична хирургия или епилептичната хирургия е неефективна. Препоръчва се и при фокални епилептични пристъпи с или без вторична генерализация или генерализирани пристъпи, посттравматична епилепсия и туберозна склероза, </w:t>
      </w:r>
      <w:r w:rsidRPr="00AE47C6">
        <w:rPr>
          <w:rFonts w:ascii="Times New Roman" w:eastAsia="SimSun" w:hAnsi="Times New Roman"/>
          <w:sz w:val="24"/>
          <w:szCs w:val="24"/>
          <w:shd w:val="clear" w:color="auto" w:fill="FFFFFF"/>
          <w:lang w:eastAsia="bg-BG"/>
        </w:rPr>
        <w:t>при пациенти със синдром на Lennox- Gastaut (добър ефект при генерализираните тонично-клонични и тонични пристъпи, но несъществен при атоничните, миоклонични и атипичните абсанси). Чрез стимулацията на n. Vagus се постига редукция на пристъпната честота средно с 50 % при около 45%- 55% от пациентите, като ефектът се подобрява със времето (ниво C).</w:t>
      </w:r>
    </w:p>
    <w:p w14:paraId="437A3D05" w14:textId="77777777" w:rsidR="00BE0B19" w:rsidRPr="00AE47C6" w:rsidRDefault="00BE0B19" w:rsidP="00BE0B19">
      <w:pPr>
        <w:spacing w:after="0" w:line="360" w:lineRule="auto"/>
        <w:ind w:left="720"/>
        <w:jc w:val="both"/>
        <w:rPr>
          <w:rFonts w:ascii="Times New Roman" w:eastAsia="SimSun" w:hAnsi="Times New Roman"/>
          <w:b/>
          <w:bCs/>
          <w:sz w:val="24"/>
          <w:szCs w:val="24"/>
        </w:rPr>
      </w:pPr>
    </w:p>
    <w:p w14:paraId="4383B0BF" w14:textId="77777777" w:rsidR="00BE0B19" w:rsidRPr="00AE47C6" w:rsidRDefault="00BE0B19" w:rsidP="00BE0B19">
      <w:pPr>
        <w:spacing w:after="0" w:line="360" w:lineRule="auto"/>
        <w:ind w:left="720"/>
        <w:jc w:val="both"/>
        <w:rPr>
          <w:rFonts w:ascii="Times New Roman" w:eastAsia="SimSun" w:hAnsi="Times New Roman"/>
          <w:b/>
          <w:bCs/>
          <w:sz w:val="24"/>
          <w:szCs w:val="24"/>
        </w:rPr>
      </w:pPr>
      <w:r w:rsidRPr="00AE47C6">
        <w:rPr>
          <w:rFonts w:ascii="Times New Roman" w:eastAsia="SimSun" w:hAnsi="Times New Roman"/>
          <w:b/>
          <w:bCs/>
          <w:sz w:val="24"/>
          <w:szCs w:val="24"/>
        </w:rPr>
        <w:t>К. Нефармакологични методи за лечение на детските епилепсии</w:t>
      </w:r>
    </w:p>
    <w:p w14:paraId="2E20779D" w14:textId="77777777" w:rsidR="00BE0B19" w:rsidRPr="00AE47C6" w:rsidRDefault="00BE0B19" w:rsidP="00BE0B19">
      <w:pPr>
        <w:numPr>
          <w:ilvl w:val="0"/>
          <w:numId w:val="173"/>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b/>
          <w:bCs/>
          <w:sz w:val="24"/>
          <w:szCs w:val="24"/>
        </w:rPr>
        <w:t>Кетогенната диета</w:t>
      </w:r>
      <w:r w:rsidRPr="00AE47C6">
        <w:rPr>
          <w:rFonts w:ascii="Times New Roman" w:eastAsia="SimSun" w:hAnsi="Times New Roman"/>
          <w:sz w:val="24"/>
          <w:szCs w:val="24"/>
        </w:rPr>
        <w:t xml:space="preserve"> е допълваща при лечение на някои терапевтично резистентни епилепсии в детската възраст. Цели промяна на съотношението мазнини: въглехидрати + протеини = 2:1 до 5:1. Повишените стойности на кетонни тела могат да редуцират честотата на епилептичните пристъпи. Прилагат се и модифицирани кетогенни диети. Установен е ефект при синдрома на Dravet (SMEI), инфантилни спазми, миоклонично-астатична епилепсия (Синдром на Doose), комплекса туберозна склероза и вродени метаболитни дефекти (пируват-дехидрогеназен дефицит, дефицит на GLUT-1).</w:t>
      </w:r>
    </w:p>
    <w:p w14:paraId="2E998EEA"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Епилептични синдроми, при които има вероятна ефективност от кетогенната диета (поне 2 научни публикации)</w:t>
      </w:r>
    </w:p>
    <w:p w14:paraId="540C686B" w14:textId="77777777" w:rsidR="00BE0B19" w:rsidRPr="00AE47C6" w:rsidRDefault="00BE0B19" w:rsidP="00BE0B19">
      <w:pPr>
        <w:numPr>
          <w:ilvl w:val="0"/>
          <w:numId w:val="173"/>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Глюкозен транспортерен протеин 1 (GLUT-1) дефицит</w:t>
      </w:r>
    </w:p>
    <w:p w14:paraId="7B0EC0A9" w14:textId="77777777" w:rsidR="00BE0B19" w:rsidRPr="00AE47C6" w:rsidRDefault="00BE0B19" w:rsidP="00BE0B19">
      <w:pPr>
        <w:numPr>
          <w:ilvl w:val="0"/>
          <w:numId w:val="173"/>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Пируват-дехидрогеназен дефицит</w:t>
      </w:r>
    </w:p>
    <w:p w14:paraId="000213E7" w14:textId="77777777" w:rsidR="00BE0B19" w:rsidRPr="00AE47C6" w:rsidRDefault="00BE0B19" w:rsidP="00BE0B19">
      <w:pPr>
        <w:numPr>
          <w:ilvl w:val="0"/>
          <w:numId w:val="173"/>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Миоклонично-астатична епилепсия (Синдром на Doose)</w:t>
      </w:r>
    </w:p>
    <w:p w14:paraId="6AC225CF" w14:textId="77777777" w:rsidR="00BE0B19" w:rsidRPr="00AE47C6" w:rsidRDefault="00BE0B19" w:rsidP="00BE0B19">
      <w:pPr>
        <w:numPr>
          <w:ilvl w:val="0"/>
          <w:numId w:val="173"/>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Туберозна склероза</w:t>
      </w:r>
    </w:p>
    <w:p w14:paraId="35316C70" w14:textId="77777777" w:rsidR="00BE0B19" w:rsidRPr="00AE47C6" w:rsidRDefault="00BE0B19" w:rsidP="00BE0B19">
      <w:pPr>
        <w:numPr>
          <w:ilvl w:val="0"/>
          <w:numId w:val="173"/>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Rett синдром</w:t>
      </w:r>
    </w:p>
    <w:p w14:paraId="4419DE27" w14:textId="77777777" w:rsidR="00BE0B19" w:rsidRPr="00AE47C6" w:rsidRDefault="00BE0B19" w:rsidP="00BE0B19">
      <w:pPr>
        <w:numPr>
          <w:ilvl w:val="0"/>
          <w:numId w:val="173"/>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Синдром на Dravet (SMEI)</w:t>
      </w:r>
    </w:p>
    <w:p w14:paraId="2F6C535D" w14:textId="77777777" w:rsidR="00BE0B19" w:rsidRPr="00AE47C6" w:rsidRDefault="00BE0B19" w:rsidP="00BE0B19">
      <w:pPr>
        <w:numPr>
          <w:ilvl w:val="0"/>
          <w:numId w:val="173"/>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Инфантилни спазми</w:t>
      </w:r>
    </w:p>
    <w:p w14:paraId="69C6DE6A" w14:textId="77777777" w:rsidR="00BE0B19" w:rsidRPr="00AE47C6" w:rsidRDefault="00BE0B19" w:rsidP="00BE0B19">
      <w:pPr>
        <w:numPr>
          <w:ilvl w:val="0"/>
          <w:numId w:val="173"/>
        </w:numPr>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Деца хранени ентерално</w:t>
      </w:r>
    </w:p>
    <w:p w14:paraId="0D4F7B3A" w14:textId="77777777" w:rsidR="00BE0B19" w:rsidRPr="00AE47C6" w:rsidRDefault="00BE0B19" w:rsidP="00BE0B19">
      <w:pPr>
        <w:spacing w:after="0" w:line="360" w:lineRule="auto"/>
        <w:jc w:val="both"/>
        <w:rPr>
          <w:rFonts w:ascii="Times New Roman" w:eastAsia="SimSun" w:hAnsi="Times New Roman"/>
          <w:sz w:val="24"/>
          <w:szCs w:val="24"/>
        </w:rPr>
      </w:pPr>
    </w:p>
    <w:p w14:paraId="3D371711"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Епилептични синдроми, при които има възможна ефективност от кетогенната диета (1 научна публикация)</w:t>
      </w:r>
    </w:p>
    <w:p w14:paraId="057CCD75" w14:textId="77777777" w:rsidR="00BE0B19" w:rsidRPr="00AE47C6" w:rsidRDefault="00BE0B19" w:rsidP="00BE0B19">
      <w:pPr>
        <w:numPr>
          <w:ilvl w:val="0"/>
          <w:numId w:val="174"/>
        </w:numPr>
        <w:tabs>
          <w:tab w:val="clear" w:pos="108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Някои митохондриални болести</w:t>
      </w:r>
    </w:p>
    <w:p w14:paraId="1FE2B2A9" w14:textId="77777777" w:rsidR="00BE0B19" w:rsidRPr="00AE47C6" w:rsidRDefault="00BE0B19" w:rsidP="00BE0B19">
      <w:pPr>
        <w:numPr>
          <w:ilvl w:val="0"/>
          <w:numId w:val="174"/>
        </w:numPr>
        <w:tabs>
          <w:tab w:val="clear" w:pos="108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Гликогеноза тип V</w:t>
      </w:r>
    </w:p>
    <w:p w14:paraId="56ECB6DD" w14:textId="77777777" w:rsidR="00BE0B19" w:rsidRPr="00AE47C6" w:rsidRDefault="00BE0B19" w:rsidP="00BE0B19">
      <w:pPr>
        <w:numPr>
          <w:ilvl w:val="0"/>
          <w:numId w:val="174"/>
        </w:numPr>
        <w:tabs>
          <w:tab w:val="clear" w:pos="108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Синдром на Landau-Kleffner</w:t>
      </w:r>
    </w:p>
    <w:p w14:paraId="52302256" w14:textId="77777777" w:rsidR="00BE0B19" w:rsidRPr="00AE47C6" w:rsidRDefault="00BE0B19" w:rsidP="00BE0B19">
      <w:pPr>
        <w:numPr>
          <w:ilvl w:val="0"/>
          <w:numId w:val="174"/>
        </w:numPr>
        <w:tabs>
          <w:tab w:val="clear" w:pos="1080"/>
          <w:tab w:val="num" w:pos="720"/>
        </w:tabs>
        <w:spacing w:after="0" w:line="360" w:lineRule="auto"/>
        <w:ind w:left="0" w:firstLine="0"/>
        <w:jc w:val="both"/>
        <w:rPr>
          <w:rFonts w:ascii="Times New Roman" w:eastAsia="SimSun" w:hAnsi="Times New Roman"/>
          <w:sz w:val="24"/>
          <w:szCs w:val="24"/>
        </w:rPr>
      </w:pPr>
      <w:r w:rsidRPr="00AE47C6">
        <w:rPr>
          <w:rFonts w:ascii="Times New Roman" w:eastAsia="SimSun" w:hAnsi="Times New Roman"/>
          <w:sz w:val="24"/>
          <w:szCs w:val="24"/>
        </w:rPr>
        <w:t>Болест на Lafora</w:t>
      </w:r>
    </w:p>
    <w:p w14:paraId="1BA22638" w14:textId="77777777" w:rsidR="00BE0B19" w:rsidRPr="00AE47C6" w:rsidRDefault="00BE0B19" w:rsidP="00BE0B19">
      <w:pPr>
        <w:numPr>
          <w:ilvl w:val="0"/>
          <w:numId w:val="174"/>
        </w:numPr>
        <w:tabs>
          <w:tab w:val="clear" w:pos="1080"/>
          <w:tab w:val="num" w:pos="720"/>
        </w:tabs>
        <w:spacing w:after="0" w:line="360" w:lineRule="auto"/>
        <w:ind w:left="0" w:firstLine="0"/>
        <w:jc w:val="both"/>
        <w:rPr>
          <w:rFonts w:ascii="Times New Roman" w:eastAsia="SimSun" w:hAnsi="Times New Roman"/>
          <w:b/>
          <w:bCs/>
          <w:sz w:val="24"/>
          <w:szCs w:val="24"/>
        </w:rPr>
      </w:pPr>
      <w:r w:rsidRPr="00AE47C6">
        <w:rPr>
          <w:rFonts w:ascii="Times New Roman" w:eastAsia="SimSun" w:hAnsi="Times New Roman"/>
          <w:sz w:val="24"/>
          <w:szCs w:val="24"/>
        </w:rPr>
        <w:t>SSPE</w:t>
      </w:r>
    </w:p>
    <w:p w14:paraId="36A0F82E" w14:textId="77777777" w:rsidR="00BE0B19" w:rsidRPr="00AE47C6" w:rsidRDefault="00BE0B19" w:rsidP="00BE0B19">
      <w:pPr>
        <w:spacing w:after="0" w:line="360" w:lineRule="auto"/>
        <w:jc w:val="both"/>
        <w:rPr>
          <w:rFonts w:ascii="Times New Roman" w:eastAsia="SimSun" w:hAnsi="Times New Roman"/>
          <w:b/>
          <w:bCs/>
          <w:sz w:val="24"/>
          <w:szCs w:val="24"/>
        </w:rPr>
      </w:pPr>
    </w:p>
    <w:p w14:paraId="585DBB46" w14:textId="77777777" w:rsidR="00BE0B19" w:rsidRPr="00AE47C6" w:rsidRDefault="00BE0B19" w:rsidP="00BE0B19">
      <w:pPr>
        <w:overflowPunct w:val="0"/>
        <w:autoSpaceDE w:val="0"/>
        <w:autoSpaceDN w:val="0"/>
        <w:adjustRightInd w:val="0"/>
        <w:spacing w:after="0" w:line="360" w:lineRule="auto"/>
        <w:jc w:val="center"/>
        <w:textAlignment w:val="baseline"/>
        <w:rPr>
          <w:rFonts w:ascii="Times New Roman" w:eastAsia="SimSun" w:hAnsi="Times New Roman"/>
          <w:b/>
          <w:bCs/>
          <w:sz w:val="24"/>
          <w:szCs w:val="20"/>
        </w:rPr>
      </w:pPr>
      <w:r w:rsidRPr="00AE47C6">
        <w:rPr>
          <w:rFonts w:ascii="Times New Roman" w:eastAsia="SimSun" w:hAnsi="Times New Roman"/>
          <w:b/>
          <w:bCs/>
          <w:sz w:val="24"/>
          <w:szCs w:val="20"/>
        </w:rPr>
        <w:t>Нива на лечение на епилепсията</w:t>
      </w:r>
    </w:p>
    <w:p w14:paraId="1EE65FF9"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bCs/>
          <w:sz w:val="24"/>
          <w:szCs w:val="20"/>
        </w:rPr>
      </w:pPr>
      <w:r w:rsidRPr="00AE47C6">
        <w:rPr>
          <w:rFonts w:ascii="Times New Roman" w:eastAsia="SimSun" w:hAnsi="Times New Roman"/>
          <w:b/>
          <w:bCs/>
          <w:sz w:val="24"/>
          <w:szCs w:val="20"/>
        </w:rPr>
        <w:t xml:space="preserve">Лечение в условията на извънболничната специализирана медицинска помощ </w:t>
      </w:r>
      <w:r w:rsidRPr="00AE47C6">
        <w:rPr>
          <w:rFonts w:ascii="Times New Roman" w:eastAsia="SimSun" w:hAnsi="Times New Roman"/>
          <w:sz w:val="24"/>
          <w:szCs w:val="20"/>
        </w:rPr>
        <w:t>се извършва от специалист-невролог или детски невролог с началната монотерапия с адекватен за типа на епилепсията и на епилептичните пристъпи медикамент в оптимална доза при контролиране на серумните нива. При неефективност първата монотерапия или странични реакции, първият АГЛ</w:t>
      </w:r>
      <w:r w:rsidRPr="00AE47C6">
        <w:rPr>
          <w:rFonts w:ascii="Times New Roman" w:eastAsia="SimSun" w:hAnsi="Times New Roman"/>
          <w:bCs/>
          <w:sz w:val="24"/>
          <w:szCs w:val="20"/>
        </w:rPr>
        <w:t xml:space="preserve"> </w:t>
      </w:r>
      <w:r w:rsidRPr="00AE47C6">
        <w:rPr>
          <w:rFonts w:ascii="Times New Roman" w:eastAsia="SimSun" w:hAnsi="Times New Roman"/>
          <w:sz w:val="24"/>
          <w:szCs w:val="20"/>
        </w:rPr>
        <w:t>се заменя с друг АГЛ, подходящ за типа припадъци и епилепсията (ІІ монотерапия). При неефективност се добавя втори и трети АГЛ</w:t>
      </w:r>
      <w:r w:rsidRPr="00AE47C6">
        <w:rPr>
          <w:rFonts w:ascii="Times New Roman" w:eastAsia="SimSun" w:hAnsi="Times New Roman"/>
          <w:bCs/>
          <w:sz w:val="24"/>
          <w:szCs w:val="20"/>
        </w:rPr>
        <w:t xml:space="preserve"> </w:t>
      </w:r>
      <w:r w:rsidRPr="00AE47C6">
        <w:rPr>
          <w:rFonts w:ascii="Times New Roman" w:eastAsia="SimSun" w:hAnsi="Times New Roman"/>
          <w:sz w:val="24"/>
          <w:szCs w:val="20"/>
        </w:rPr>
        <w:t>(рационална политерапия), за комбинации от новите АГЛ</w:t>
      </w:r>
      <w:r w:rsidRPr="00AE47C6">
        <w:rPr>
          <w:rFonts w:ascii="Times New Roman" w:eastAsia="SimSun" w:hAnsi="Times New Roman"/>
          <w:bCs/>
          <w:sz w:val="24"/>
          <w:szCs w:val="20"/>
        </w:rPr>
        <w:t xml:space="preserve"> </w:t>
      </w:r>
      <w:r w:rsidRPr="00AE47C6">
        <w:rPr>
          <w:rFonts w:ascii="Times New Roman" w:eastAsia="SimSun" w:hAnsi="Times New Roman"/>
          <w:sz w:val="24"/>
          <w:szCs w:val="20"/>
        </w:rPr>
        <w:t>- след решения от експертни комисии към УМБАЛ.</w:t>
      </w:r>
    </w:p>
    <w:p w14:paraId="06FC8A62" w14:textId="77777777" w:rsidR="00BE0B19" w:rsidRPr="00AE47C6" w:rsidRDefault="00BE0B19" w:rsidP="00BE0B19">
      <w:pPr>
        <w:overflowPunct w:val="0"/>
        <w:autoSpaceDE w:val="0"/>
        <w:autoSpaceDN w:val="0"/>
        <w:adjustRightInd w:val="0"/>
        <w:spacing w:after="0" w:line="360" w:lineRule="auto"/>
        <w:ind w:firstLine="720"/>
        <w:jc w:val="both"/>
        <w:textAlignment w:val="baseline"/>
        <w:rPr>
          <w:rFonts w:ascii="Times New Roman" w:eastAsia="SimSun" w:hAnsi="Times New Roman"/>
          <w:sz w:val="24"/>
          <w:szCs w:val="20"/>
        </w:rPr>
      </w:pPr>
      <w:r w:rsidRPr="00AE47C6">
        <w:rPr>
          <w:rFonts w:ascii="Times New Roman" w:eastAsia="SimSun" w:hAnsi="Times New Roman"/>
          <w:b/>
          <w:bCs/>
          <w:sz w:val="24"/>
          <w:szCs w:val="20"/>
        </w:rPr>
        <w:t xml:space="preserve">Болнично лечение </w:t>
      </w:r>
      <w:r w:rsidRPr="00AE47C6">
        <w:rPr>
          <w:rFonts w:ascii="Times New Roman" w:eastAsia="SimSun" w:hAnsi="Times New Roman"/>
          <w:sz w:val="24"/>
          <w:szCs w:val="20"/>
        </w:rPr>
        <w:t xml:space="preserve">се провежда при: </w:t>
      </w:r>
    </w:p>
    <w:p w14:paraId="21558A8D" w14:textId="77777777" w:rsidR="00BE0B19" w:rsidRPr="00AE47C6" w:rsidRDefault="00BE0B19" w:rsidP="00BE0B19">
      <w:pPr>
        <w:numPr>
          <w:ilvl w:val="0"/>
          <w:numId w:val="418"/>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Епилептичен статус - конвулсивният е заплашващо живота състояние, а неконвулсивният обуславя когнитивни увреди; </w:t>
      </w:r>
    </w:p>
    <w:p w14:paraId="69B0F87F" w14:textId="77777777" w:rsidR="00BE0B19" w:rsidRPr="00AE47C6" w:rsidRDefault="00BE0B19" w:rsidP="00BE0B19">
      <w:pPr>
        <w:numPr>
          <w:ilvl w:val="0"/>
          <w:numId w:val="418"/>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Серийни припадъци;</w:t>
      </w:r>
    </w:p>
    <w:p w14:paraId="4539FF98" w14:textId="77777777" w:rsidR="00BE0B19" w:rsidRPr="00AE47C6" w:rsidRDefault="00BE0B19" w:rsidP="00BE0B19">
      <w:pPr>
        <w:numPr>
          <w:ilvl w:val="0"/>
          <w:numId w:val="418"/>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Болни с новооткрита епилепсия и чести епилептични припадъци; </w:t>
      </w:r>
    </w:p>
    <w:p w14:paraId="5D0F53CB" w14:textId="77777777" w:rsidR="00BE0B19" w:rsidRPr="00AE47C6" w:rsidRDefault="00BE0B19" w:rsidP="00BE0B19">
      <w:pPr>
        <w:numPr>
          <w:ilvl w:val="0"/>
          <w:numId w:val="418"/>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Новооткрита епилепсия в детска възраст, налагаща невроизобразяващи изследвания и ЕЕГ под наркоза; </w:t>
      </w:r>
    </w:p>
    <w:p w14:paraId="300E69F7" w14:textId="77777777" w:rsidR="00BE0B19" w:rsidRPr="00AE47C6" w:rsidRDefault="00BE0B19" w:rsidP="00BE0B19">
      <w:pPr>
        <w:numPr>
          <w:ilvl w:val="0"/>
          <w:numId w:val="418"/>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Зачестяване на припадъците и неповлияване от лечението, което налага специализирани изследвания с оглед симптоматична епилепсия; </w:t>
      </w:r>
    </w:p>
    <w:p w14:paraId="3403ECB1" w14:textId="77777777" w:rsidR="00BE0B19" w:rsidRPr="00AE47C6" w:rsidRDefault="00BE0B19" w:rsidP="00BE0B19">
      <w:pPr>
        <w:numPr>
          <w:ilvl w:val="0"/>
          <w:numId w:val="418"/>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Прогресиращ неврологичен дефицит и развитие на деменция с оглед редиагностициране на етиологията; </w:t>
      </w:r>
    </w:p>
    <w:p w14:paraId="159C127A" w14:textId="77777777" w:rsidR="00BE0B19" w:rsidRPr="00AE47C6" w:rsidRDefault="00BE0B19" w:rsidP="00BE0B19">
      <w:pPr>
        <w:numPr>
          <w:ilvl w:val="0"/>
          <w:numId w:val="418"/>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Болни с неповлияване от амбулаторното лечение вкл. и с новите АГЛ, с епилептични статуси в анамнезата, при които се налага смяна на лечението в болнични условия; </w:t>
      </w:r>
    </w:p>
    <w:p w14:paraId="1F7D936F" w14:textId="77777777" w:rsidR="00BE0B19" w:rsidRPr="00AE47C6" w:rsidRDefault="00BE0B19" w:rsidP="00BE0B19">
      <w:pPr>
        <w:numPr>
          <w:ilvl w:val="0"/>
          <w:numId w:val="418"/>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Болни с тежки форми с множествени полиморфни припадъци, прогресиращи форми, некласифицирани форми, и с усложнения; </w:t>
      </w:r>
    </w:p>
    <w:p w14:paraId="2F8DDD3F" w14:textId="77777777" w:rsidR="00BE0B19" w:rsidRPr="00AE47C6" w:rsidRDefault="00BE0B19" w:rsidP="00BE0B19">
      <w:pPr>
        <w:numPr>
          <w:ilvl w:val="0"/>
          <w:numId w:val="418"/>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Болните, при които се налагат специализирани изследвания с оглед неврохирургично лечение на епилепсията; </w:t>
      </w:r>
    </w:p>
    <w:p w14:paraId="706D7E25" w14:textId="77777777" w:rsidR="00BE0B19" w:rsidRPr="00AE47C6" w:rsidRDefault="00BE0B19" w:rsidP="00BE0B19">
      <w:pPr>
        <w:numPr>
          <w:ilvl w:val="0"/>
          <w:numId w:val="418"/>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Усложнения;</w:t>
      </w:r>
    </w:p>
    <w:p w14:paraId="338D3D7D" w14:textId="77777777" w:rsidR="00BE0B19" w:rsidRPr="00AE47C6" w:rsidRDefault="00BE0B19" w:rsidP="00BE0B19">
      <w:pPr>
        <w:numPr>
          <w:ilvl w:val="0"/>
          <w:numId w:val="418"/>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Експертни случаи за уточняване на диагнозата, при които може да се наложи спиране на лечението под лекарски контрол.</w:t>
      </w:r>
    </w:p>
    <w:p w14:paraId="4C7CBB8D" w14:textId="77777777" w:rsidR="00BE0B19" w:rsidRPr="00AE47C6" w:rsidRDefault="00BE0B19" w:rsidP="00BE0B19">
      <w:pPr>
        <w:tabs>
          <w:tab w:val="num" w:pos="144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Болничното лечение</w:t>
      </w:r>
      <w:r w:rsidRPr="00AE47C6">
        <w:rPr>
          <w:rFonts w:ascii="Times New Roman" w:eastAsia="SimSun" w:hAnsi="Times New Roman"/>
          <w:sz w:val="24"/>
          <w:szCs w:val="24"/>
        </w:rPr>
        <w:t xml:space="preserve"> на епилепсията може да се провежда в неврологично, детско или профилирано епилептологично отделение или неврологична клиника/детска неврологична клиника (сектор) на УБ, според тежестта на заболяването и усложненията му. Медикаменти от групата на “новите” противоепилептични средства се въвеждат при доказана неефективност от класическите АГЛ, специални групи пациенти (деца, стари хора, бременни, болни с чернодробна или бъбречна недостатъчност), странични реакции или органна недостатъчност. </w:t>
      </w:r>
    </w:p>
    <w:p w14:paraId="6833F393" w14:textId="77777777" w:rsidR="00BE0B19" w:rsidRPr="00AE47C6" w:rsidRDefault="00BE0B19" w:rsidP="00BE0B19">
      <w:pPr>
        <w:tabs>
          <w:tab w:val="num" w:pos="144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Стабилизирането и влизането в ремисия позволява по-нататъшният амбулаторен контрол, лечение и проследяване на пациента да се провеждат 2/годишно. Лечението за епилепсия се провежда 2-5 г. или по-продължително според вида на епилепсията/ епилептичния синдром. Преустановяването на лечението се предприема от специалист- невролог/детски невролог.</w:t>
      </w:r>
    </w:p>
    <w:p w14:paraId="2C144910"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b/>
          <w:bCs/>
          <w:sz w:val="24"/>
          <w:szCs w:val="24"/>
        </w:rPr>
        <w:t>Епилепсия и ваксини</w:t>
      </w:r>
    </w:p>
    <w:p w14:paraId="2143AB8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Имунизациите като комплекс от профилактични мерки, които целят създаване на специфична невъзприемчивост към редица сериозни инфекциозни заболявания, допринесоха значимо за намаляване детската смъртност и ранната инвалидизация. </w:t>
      </w:r>
    </w:p>
    <w:p w14:paraId="3C1917AA"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b/>
          <w:bCs/>
          <w:sz w:val="24"/>
          <w:szCs w:val="24"/>
        </w:rPr>
        <w:t>Риск от имунизации.</w:t>
      </w:r>
      <w:r w:rsidRPr="00AE47C6">
        <w:rPr>
          <w:rFonts w:ascii="Times New Roman" w:eastAsia="SimSun" w:hAnsi="Times New Roman"/>
          <w:sz w:val="24"/>
          <w:szCs w:val="24"/>
        </w:rPr>
        <w:t xml:space="preserve"> Описани редки постваксинални усложнения от приложението на дифтерия-тетанус-коклюш (ДТК) и морбили-паротит-рубеола в големи популационни изследвания с обща честота 5,2/100 000 имунизирани: демиелинизиращи процеси, фебрилни гърчове, афебрилни епилептични пристъпи, енцефалопатията и инфантилни спазми при / от приложението на първите живи ваксини. Съвременните ваксини се произвеждат по нови технологии и са значимо по-безопасни и надеждни. </w:t>
      </w:r>
    </w:p>
    <w:p w14:paraId="29ADADA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 </w:t>
      </w:r>
      <w:r w:rsidRPr="00AE47C6">
        <w:rPr>
          <w:rFonts w:ascii="Times New Roman" w:eastAsia="SimSun" w:hAnsi="Times New Roman"/>
          <w:i/>
          <w:iCs/>
          <w:sz w:val="24"/>
          <w:szCs w:val="24"/>
        </w:rPr>
        <w:t>пертусисната цялоклетъчна ваксина</w:t>
      </w:r>
      <w:r w:rsidRPr="00AE47C6">
        <w:rPr>
          <w:rFonts w:ascii="Times New Roman" w:eastAsia="SimSun" w:hAnsi="Times New Roman"/>
          <w:sz w:val="24"/>
          <w:szCs w:val="24"/>
        </w:rPr>
        <w:t xml:space="preserve"> са възможни гърчове, колапсоподобни епизоди и енцефалопатия. Има повишен риск от фебрилни гърчове в първия ден след дифтерия-тетанус-коклюш (ДТК) и между 8 и 14 ден след морбили- паротит- рубеола (МПР), но не се установява повишен риск от последващи гърчове и късни реакции и неврологични усложнения. Причинна връзка между цялоклетъчната ваксина противококлюшна ваксина и инфантилни спазми, предполагана в миналото, сега се смята за изключена. Колапсоподобните (синкопални) епизоди са без последици. Те възникват в първите 24 ч. с най-малко 12 ч. интервал от момента на приложение на ваксината. Гърчовете, асоциирани с ДТК имат характер на фебрилни, но няма доказателства за ролята на пертусисния токсин за постваксиналните реакции. Не е установена връзка между имунизацията и началото на епилепсия, инфантилни спазми или ЦНС инфекция. </w:t>
      </w:r>
    </w:p>
    <w:p w14:paraId="06EA96F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Ацелуларната ваксина против пертусис</w:t>
      </w:r>
      <w:r w:rsidRPr="00AE47C6">
        <w:rPr>
          <w:rFonts w:ascii="Times New Roman" w:eastAsia="SimSun" w:hAnsi="Times New Roman"/>
          <w:sz w:val="24"/>
          <w:szCs w:val="24"/>
        </w:rPr>
        <w:t xml:space="preserve"> води до имунитет, но не съдържа ендотоксин, отговорен за локалната реакция и температурата. При деца с хронични мозъчни увреждания (детска церебрална парализа, епилепсия, умствено изоставане) се препоръчва приложението на ацелуларна ваксина поради повишен риск при респираторни заболявания. Фамилно обременените с гърчове деца не би следвало да се отлагат от ДТК имунизации.</w:t>
      </w:r>
    </w:p>
    <w:p w14:paraId="70AD376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 </w:t>
      </w:r>
      <w:r w:rsidRPr="00AE47C6">
        <w:rPr>
          <w:rFonts w:ascii="Times New Roman" w:eastAsia="SimSun" w:hAnsi="Times New Roman"/>
          <w:i/>
          <w:iCs/>
          <w:sz w:val="24"/>
          <w:szCs w:val="24"/>
        </w:rPr>
        <w:t>морбилната имунизация</w:t>
      </w:r>
      <w:r w:rsidRPr="00AE47C6">
        <w:rPr>
          <w:rFonts w:ascii="Times New Roman" w:eastAsia="SimSun" w:hAnsi="Times New Roman"/>
          <w:sz w:val="24"/>
          <w:szCs w:val="24"/>
        </w:rPr>
        <w:t xml:space="preserve"> са възможни фебрилните гърчове през втората седмица след имунизацията. Ваксините за морбили, произведени след 1978 г. с инактивиран морбилен вирус са с по-малко локални странични прояви. Не е установена сигурна причинно-следствена връзка между ваксината и появата на аутизъм. Американската педиатрична академия препоръчва и децата с лична или фамилна обремененост с гърчове да бъдат имунизирани против морбили, тъй като боледуване от морбили може да доведе до много по-чести и тежки усложнения, в сравнение с един фебрилен гърч. </w:t>
      </w:r>
    </w:p>
    <w:p w14:paraId="403419F4" w14:textId="77777777" w:rsidR="00BE0B19" w:rsidRPr="00AE47C6" w:rsidRDefault="00BE0B19" w:rsidP="00BE0B19">
      <w:pPr>
        <w:tabs>
          <w:tab w:val="left" w:pos="540"/>
        </w:tabs>
        <w:spacing w:after="0" w:line="360" w:lineRule="auto"/>
        <w:ind w:firstLine="539"/>
        <w:jc w:val="both"/>
        <w:rPr>
          <w:rFonts w:ascii="Times New Roman" w:eastAsia="SimSun" w:hAnsi="Times New Roman"/>
          <w:sz w:val="24"/>
          <w:szCs w:val="24"/>
        </w:rPr>
      </w:pPr>
      <w:r w:rsidRPr="00AE47C6">
        <w:rPr>
          <w:rFonts w:ascii="Times New Roman" w:eastAsia="SimSun" w:hAnsi="Times New Roman"/>
          <w:sz w:val="24"/>
          <w:szCs w:val="24"/>
        </w:rPr>
        <w:t xml:space="preserve">При </w:t>
      </w:r>
      <w:r w:rsidRPr="00AE47C6">
        <w:rPr>
          <w:rFonts w:ascii="Times New Roman" w:eastAsia="SimSun" w:hAnsi="Times New Roman"/>
          <w:iCs/>
          <w:sz w:val="24"/>
          <w:szCs w:val="24"/>
        </w:rPr>
        <w:t>противопаротитната, противорубеолната, противобясната, срещу Haemophilus influenzae В, противохепатитната и противополиомиелитната ваксини</w:t>
      </w:r>
      <w:r w:rsidRPr="00AE47C6">
        <w:rPr>
          <w:rFonts w:ascii="Times New Roman" w:eastAsia="SimSun" w:hAnsi="Times New Roman"/>
          <w:sz w:val="24"/>
          <w:szCs w:val="24"/>
        </w:rPr>
        <w:t xml:space="preserve"> не са наблюдавани усложнения от тип епилептични пристъпи.</w:t>
      </w:r>
    </w:p>
    <w:p w14:paraId="29D478E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Обобщено: Ваксинации с убити  ваксини, базирани на токсоид, бактериални антигени, протеинни субединици или имуногенни, протеини получени чрез рекомбинантни технологии, не са противопоказани при децата с неврологични заболявания, вкл. с епилепсия. В тази категория влизат ваксините за тетанус, дифтерия, коклюш, полиомиелит, хепатит В (</w:t>
      </w:r>
      <w:r w:rsidRPr="00AE47C6">
        <w:rPr>
          <w:rFonts w:ascii="Times New Roman" w:eastAsia="SimSun" w:hAnsi="Times New Roman"/>
          <w:sz w:val="24"/>
          <w:szCs w:val="24"/>
          <w:lang w:eastAsia="bg-BG"/>
        </w:rPr>
        <w:t>HBV</w:t>
      </w:r>
      <w:r w:rsidRPr="00AE47C6">
        <w:rPr>
          <w:rFonts w:ascii="Times New Roman" w:eastAsia="SimSun" w:hAnsi="Times New Roman"/>
          <w:sz w:val="24"/>
          <w:szCs w:val="24"/>
        </w:rPr>
        <w:t xml:space="preserve">), грип, </w:t>
      </w:r>
      <w:r w:rsidRPr="00AE47C6">
        <w:rPr>
          <w:rFonts w:ascii="Times New Roman" w:eastAsia="SimSun" w:hAnsi="Times New Roman"/>
          <w:iCs/>
          <w:color w:val="000000"/>
          <w:sz w:val="24"/>
          <w:szCs w:val="24"/>
          <w:lang w:eastAsia="bg-BG"/>
        </w:rPr>
        <w:t>Haemophilus influenzae </w:t>
      </w:r>
      <w:r w:rsidRPr="00AE47C6">
        <w:rPr>
          <w:rFonts w:ascii="Times New Roman" w:eastAsia="SimSun" w:hAnsi="Times New Roman"/>
          <w:color w:val="000000"/>
          <w:sz w:val="24"/>
          <w:szCs w:val="24"/>
          <w:lang w:eastAsia="bg-BG"/>
        </w:rPr>
        <w:t>type b</w:t>
      </w:r>
      <w:r w:rsidRPr="00AE47C6">
        <w:rPr>
          <w:rFonts w:ascii="Times New Roman" w:eastAsia="SimSun" w:hAnsi="Times New Roman"/>
          <w:sz w:val="24"/>
          <w:szCs w:val="24"/>
          <w:lang w:eastAsia="bg-BG"/>
        </w:rPr>
        <w:t xml:space="preserve"> (Hib)</w:t>
      </w:r>
      <w:r w:rsidRPr="00AE47C6">
        <w:rPr>
          <w:rFonts w:ascii="Times New Roman" w:eastAsia="SimSun" w:hAnsi="Times New Roman"/>
          <w:sz w:val="24"/>
          <w:szCs w:val="24"/>
        </w:rPr>
        <w:t>, пневмокок и менингокок.</w:t>
      </w:r>
    </w:p>
    <w:p w14:paraId="572E6EBC" w14:textId="77777777" w:rsidR="00BE0B19" w:rsidRPr="00AE47C6" w:rsidRDefault="00BE0B19" w:rsidP="00BE0B19">
      <w:pPr>
        <w:spacing w:after="0" w:line="360" w:lineRule="auto"/>
        <w:ind w:firstLine="539"/>
        <w:jc w:val="both"/>
        <w:rPr>
          <w:rFonts w:ascii="Times New Roman" w:eastAsia="SimSun" w:hAnsi="Times New Roman"/>
          <w:sz w:val="24"/>
          <w:szCs w:val="24"/>
        </w:rPr>
      </w:pPr>
      <w:r w:rsidRPr="00AE47C6">
        <w:rPr>
          <w:rFonts w:ascii="Times New Roman" w:eastAsia="SimSun" w:hAnsi="Times New Roman"/>
          <w:sz w:val="24"/>
          <w:szCs w:val="24"/>
        </w:rPr>
        <w:t>Противопоказания за ваксиниране са децата с неконтролирани епилептични пристъпи основно при синдром на West и медикаментозно резистентни епилепсии.</w:t>
      </w:r>
    </w:p>
    <w:p w14:paraId="2B5B0D12" w14:textId="77777777" w:rsidR="00BE0B19" w:rsidRPr="00AE47C6" w:rsidRDefault="00BE0B19" w:rsidP="00BE0B19">
      <w:pPr>
        <w:spacing w:after="0" w:line="360" w:lineRule="auto"/>
        <w:ind w:firstLine="539"/>
        <w:jc w:val="both"/>
        <w:rPr>
          <w:rFonts w:ascii="Times New Roman" w:eastAsia="SimSun" w:hAnsi="Times New Roman"/>
          <w:sz w:val="24"/>
          <w:szCs w:val="24"/>
        </w:rPr>
      </w:pPr>
      <w:r w:rsidRPr="00AE47C6">
        <w:rPr>
          <w:rFonts w:ascii="Times New Roman" w:eastAsia="SimSun" w:hAnsi="Times New Roman"/>
          <w:sz w:val="24"/>
          <w:szCs w:val="24"/>
        </w:rPr>
        <w:t xml:space="preserve">Използваните понастоящем ваксини имат отлична надеждност и поносимост, значимо снижават заболяемостта и смъртността, предизвикана от инфекции у децата и възрастните. Лекарите трябва да съдействат за прилагането им, като са информирани за възможните странични реакции и да търсят и откриват причинна връзка между тях и възможните неврологични усложнения. </w:t>
      </w:r>
    </w:p>
    <w:p w14:paraId="5F113F2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Прогнозата при епилепсиите</w:t>
      </w:r>
      <w:r w:rsidRPr="00AE47C6">
        <w:rPr>
          <w:rFonts w:ascii="Times New Roman" w:eastAsia="SimSun" w:hAnsi="Times New Roman"/>
          <w:sz w:val="24"/>
          <w:szCs w:val="24"/>
        </w:rPr>
        <w:t xml:space="preserve"> зависи от формата, податливостта на лечение, давността, наследствени и придобити фактори. При нелекуваните или неправилно лекувани болни заболяването прогресира с по-тежки и по-чести пристъпи. При благоприятно протичане (около 60-70% от случаите) лечението трае от 2 до 5 години. 20 - 25% от болните са “медикаментозно-резистентни”, което налага политерапия и приложение на “новите” антиепилептични медикаменти или хирургично лечение (таблица 11.18). </w:t>
      </w:r>
    </w:p>
    <w:p w14:paraId="33B0D6A5" w14:textId="77777777" w:rsidR="00BE0B19" w:rsidRPr="00AE47C6" w:rsidRDefault="00BE0B19" w:rsidP="00BE0B19">
      <w:pPr>
        <w:spacing w:after="0" w:line="360" w:lineRule="auto"/>
        <w:jc w:val="both"/>
        <w:rPr>
          <w:rFonts w:ascii="Times New Roman" w:eastAsia="SimSun" w:hAnsi="Times New Roman"/>
          <w:sz w:val="24"/>
          <w:szCs w:val="24"/>
        </w:rPr>
      </w:pPr>
    </w:p>
    <w:p w14:paraId="22274E1C" w14:textId="77777777" w:rsidR="00BE0B19" w:rsidRPr="00AE47C6" w:rsidRDefault="00BE0B19" w:rsidP="00BE0B19">
      <w:pPr>
        <w:tabs>
          <w:tab w:val="left" w:pos="1701"/>
        </w:tabs>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Таблица 11.18. Прогноза при епилепсиите</w:t>
      </w:r>
    </w:p>
    <w:p w14:paraId="58EC5DAA" w14:textId="77777777" w:rsidR="00BE0B19" w:rsidRPr="00AE47C6" w:rsidRDefault="00BE0B19" w:rsidP="00BE0B19">
      <w:pPr>
        <w:tabs>
          <w:tab w:val="left" w:pos="1701"/>
        </w:tabs>
        <w:spacing w:line="360" w:lineRule="auto"/>
        <w:jc w:val="both"/>
        <w:rPr>
          <w:rFonts w:ascii="Times New Roman" w:eastAsia="SimSun" w:hAnsi="Times New Roman"/>
          <w:b/>
          <w:bCs/>
        </w:rPr>
      </w:pPr>
    </w:p>
    <w:tbl>
      <w:tblPr>
        <w:tblW w:w="10019" w:type="dxa"/>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395"/>
        <w:gridCol w:w="5624"/>
      </w:tblGrid>
      <w:tr w:rsidR="00BE0B19" w:rsidRPr="00AE47C6" w14:paraId="6C8C51F9" w14:textId="77777777" w:rsidTr="00AD72E5">
        <w:tc>
          <w:tcPr>
            <w:tcW w:w="4395" w:type="dxa"/>
            <w:vAlign w:val="center"/>
          </w:tcPr>
          <w:p w14:paraId="7ED2264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Добра прогноза</w:t>
            </w:r>
          </w:p>
        </w:tc>
        <w:tc>
          <w:tcPr>
            <w:tcW w:w="5624" w:type="dxa"/>
            <w:vAlign w:val="center"/>
          </w:tcPr>
          <w:p w14:paraId="5F12BA9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Неблагоприятна прогноза</w:t>
            </w:r>
          </w:p>
        </w:tc>
      </w:tr>
      <w:tr w:rsidR="00BE0B19" w:rsidRPr="00AE47C6" w14:paraId="2BE37F25" w14:textId="77777777" w:rsidTr="00AD72E5">
        <w:tc>
          <w:tcPr>
            <w:tcW w:w="4395" w:type="dxa"/>
          </w:tcPr>
          <w:p w14:paraId="5E319C9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Детска абсансна</w:t>
            </w:r>
          </w:p>
          <w:p w14:paraId="3052274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Самоограничаващи се детски епилепсии: </w:t>
            </w:r>
            <w:r w:rsidRPr="00AE47C6">
              <w:rPr>
                <w:rFonts w:ascii="Times New Roman" w:eastAsia="SimSun" w:hAnsi="Times New Roman"/>
                <w:bCs/>
                <w:sz w:val="24"/>
                <w:szCs w:val="24"/>
              </w:rPr>
              <w:t>Самоограничаваща се епилепсия с центротемпорални спайкове (Роландова), Самоограничаваща се епилепсия с автономни пристъпи (тип</w:t>
            </w:r>
            <w:r w:rsidRPr="00AE47C6">
              <w:rPr>
                <w:rFonts w:ascii="Times New Roman" w:eastAsia="SimSun" w:hAnsi="Times New Roman"/>
                <w:sz w:val="24"/>
                <w:szCs w:val="24"/>
              </w:rPr>
              <w:t xml:space="preserve"> Panayiotopoulos),</w:t>
            </w:r>
            <w:r w:rsidRPr="00AE47C6">
              <w:rPr>
                <w:rFonts w:ascii="Times New Roman" w:eastAsia="SimSun" w:hAnsi="Times New Roman"/>
                <w:bCs/>
                <w:sz w:val="24"/>
                <w:szCs w:val="24"/>
              </w:rPr>
              <w:t xml:space="preserve"> Детска окципитална зрителна епилепсия</w:t>
            </w:r>
            <w:r w:rsidRPr="00AE47C6">
              <w:rPr>
                <w:rFonts w:ascii="Times New Roman" w:eastAsia="SimSun" w:hAnsi="Times New Roman"/>
                <w:sz w:val="24"/>
                <w:szCs w:val="24"/>
              </w:rPr>
              <w:t xml:space="preserve"> (тип Gastaut)</w:t>
            </w:r>
          </w:p>
          <w:p w14:paraId="5AB8918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Епилепсия в старческа възраст</w:t>
            </w:r>
          </w:p>
          <w:p w14:paraId="75B3A24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Фебрилни гърчове</w:t>
            </w:r>
          </w:p>
          <w:p w14:paraId="0764C35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Бенигнени идиопатични </w:t>
            </w:r>
          </w:p>
          <w:p w14:paraId="3FA7137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неонатални конвулсии</w:t>
            </w:r>
          </w:p>
        </w:tc>
        <w:tc>
          <w:tcPr>
            <w:tcW w:w="5624" w:type="dxa"/>
          </w:tcPr>
          <w:p w14:paraId="07A25F7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Синдром с инфантилни спазми (синдром на West*</w:t>
            </w:r>
          </w:p>
          <w:p w14:paraId="7B34807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Ранна кърмаческа епилептична</w:t>
            </w:r>
          </w:p>
          <w:p w14:paraId="283220B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енцефалопатия*</w:t>
            </w:r>
          </w:p>
          <w:p w14:paraId="261DD62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Синдром на Dravet*</w:t>
            </w:r>
          </w:p>
          <w:p w14:paraId="61ACC56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Синдром на Lennox-Gastaut*</w:t>
            </w:r>
          </w:p>
          <w:p w14:paraId="3C1D94E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Epilepsia partialis continua*</w:t>
            </w:r>
          </w:p>
          <w:p w14:paraId="55E51F6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Прогресивна миоклонус епилепсия*</w:t>
            </w:r>
          </w:p>
          <w:p w14:paraId="51F29DF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Ювенилна миоклонус епилепсия</w:t>
            </w:r>
          </w:p>
          <w:p w14:paraId="63A1F32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Синдром на Landau-Kleffner*</w:t>
            </w:r>
          </w:p>
          <w:p w14:paraId="56F904E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Темпоралнодялова епилепсия </w:t>
            </w:r>
          </w:p>
          <w:p w14:paraId="2A3D78BE"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Епилепсия при корови дисплазии</w:t>
            </w:r>
          </w:p>
          <w:p w14:paraId="134DE9A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______________________________</w:t>
            </w:r>
          </w:p>
          <w:p w14:paraId="2F09F407"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Прогнозата е неблагоприятна поради неврологичен и умствен дефицит</w:t>
            </w:r>
          </w:p>
        </w:tc>
      </w:tr>
    </w:tbl>
    <w:p w14:paraId="519176AC" w14:textId="77777777" w:rsidR="00BE0B19" w:rsidRPr="00AE47C6" w:rsidRDefault="00BE0B19" w:rsidP="00BE0B19">
      <w:pPr>
        <w:spacing w:after="0" w:line="360" w:lineRule="auto"/>
        <w:jc w:val="both"/>
        <w:rPr>
          <w:rFonts w:ascii="Times New Roman" w:eastAsia="SimSun" w:hAnsi="Times New Roman"/>
          <w:b/>
          <w:sz w:val="24"/>
          <w:szCs w:val="24"/>
          <w:u w:val="single"/>
          <w:lang w:eastAsia="ja-JP"/>
        </w:rPr>
      </w:pPr>
    </w:p>
    <w:p w14:paraId="54828238" w14:textId="77777777" w:rsidR="00BE0B19" w:rsidRPr="00AE47C6" w:rsidRDefault="00BE0B19" w:rsidP="00BE0B19">
      <w:pPr>
        <w:keepNext/>
        <w:keepLines/>
        <w:pageBreakBefore/>
        <w:spacing w:before="480" w:after="480"/>
        <w:outlineLvl w:val="0"/>
        <w:rPr>
          <w:rFonts w:ascii="Times New Roman" w:eastAsia="SimSun" w:hAnsi="Times New Roman"/>
          <w:b/>
          <w:bCs/>
          <w:sz w:val="28"/>
          <w:szCs w:val="28"/>
          <w:lang w:eastAsia="ja-JP"/>
        </w:rPr>
      </w:pPr>
      <w:bookmarkStart w:id="273" w:name="_Toc155651816"/>
      <w:bookmarkStart w:id="274" w:name="_Toc164075950"/>
      <w:r w:rsidRPr="00AE47C6">
        <w:rPr>
          <w:rFonts w:ascii="Times New Roman" w:eastAsia="SimSun" w:hAnsi="Times New Roman"/>
          <w:b/>
          <w:bCs/>
          <w:sz w:val="28"/>
          <w:szCs w:val="28"/>
          <w:lang w:eastAsia="ja-JP"/>
        </w:rPr>
        <w:t>12. Детска церебрална парализа  (ДЦП, ЦП)</w:t>
      </w:r>
      <w:bookmarkEnd w:id="273"/>
      <w:bookmarkEnd w:id="274"/>
      <w:r w:rsidRPr="00AE47C6">
        <w:rPr>
          <w:rFonts w:ascii="Times New Roman" w:eastAsia="SimSun" w:hAnsi="Times New Roman"/>
          <w:b/>
          <w:bCs/>
          <w:sz w:val="28"/>
          <w:szCs w:val="28"/>
          <w:lang w:eastAsia="ja-JP"/>
        </w:rPr>
        <w:t xml:space="preserve"> </w:t>
      </w:r>
    </w:p>
    <w:p w14:paraId="2DCA811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 xml:space="preserve">12.1. Определение. </w:t>
      </w:r>
      <w:r w:rsidRPr="00AE47C6">
        <w:rPr>
          <w:rFonts w:ascii="Times New Roman" w:eastAsia="SimSun" w:hAnsi="Times New Roman"/>
          <w:sz w:val="24"/>
          <w:szCs w:val="24"/>
        </w:rPr>
        <w:t>Терминът „</w:t>
      </w:r>
      <w:r w:rsidRPr="00AE47C6">
        <w:rPr>
          <w:rFonts w:ascii="Times New Roman" w:eastAsia="SimSun" w:hAnsi="Times New Roman"/>
          <w:i/>
          <w:sz w:val="24"/>
          <w:szCs w:val="24"/>
          <w:lang w:eastAsia="ja-JP"/>
        </w:rPr>
        <w:t>Детска церебрална парализа  (ДЦП)“ ил</w:t>
      </w:r>
      <w:r w:rsidRPr="00AE47C6">
        <w:rPr>
          <w:rFonts w:ascii="Times New Roman" w:eastAsia="SimSun" w:hAnsi="Times New Roman"/>
          <w:sz w:val="24"/>
          <w:szCs w:val="24"/>
          <w:lang w:eastAsia="ja-JP"/>
        </w:rPr>
        <w:t xml:space="preserve">и </w:t>
      </w:r>
      <w:r w:rsidRPr="00AE47C6">
        <w:rPr>
          <w:rFonts w:ascii="Times New Roman" w:eastAsia="SimSun" w:hAnsi="Times New Roman"/>
          <w:b/>
          <w:i/>
          <w:iCs/>
          <w:sz w:val="24"/>
          <w:szCs w:val="24"/>
        </w:rPr>
        <w:t>“</w:t>
      </w:r>
      <w:r w:rsidRPr="00AE47C6">
        <w:rPr>
          <w:rFonts w:ascii="Times New Roman" w:eastAsia="SimSun" w:hAnsi="Times New Roman"/>
          <w:i/>
          <w:iCs/>
          <w:sz w:val="24"/>
          <w:szCs w:val="24"/>
        </w:rPr>
        <w:t>Церебрална парализа (ЦП)”</w:t>
      </w:r>
      <w:r w:rsidRPr="00AE47C6">
        <w:rPr>
          <w:rFonts w:ascii="Times New Roman" w:eastAsia="SimSun" w:hAnsi="Times New Roman"/>
          <w:sz w:val="24"/>
          <w:szCs w:val="24"/>
        </w:rPr>
        <w:t xml:space="preserve"> обединява група непрогресиращи, остатъчни синдроми с двигателни прояви (парези, нарушения на мускулния тонус, координацията, промени в позата и неволеви движения), често съчетавани с умствен дефицит, говорни увреждания, увреждания на сетивността, познавателните способности, комуникацията, перцепцията и/или поведението и симптоматична епилепсия поради неразвитие или увреждане на мозъка в пренаталния, перинаталния и постнаталния период. </w:t>
      </w:r>
    </w:p>
    <w:p w14:paraId="4CC7855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 xml:space="preserve">12.2. Честота. </w:t>
      </w:r>
      <w:r w:rsidRPr="00AE47C6">
        <w:rPr>
          <w:rFonts w:ascii="Times New Roman" w:eastAsia="SimSun" w:hAnsi="Times New Roman"/>
          <w:sz w:val="24"/>
          <w:szCs w:val="24"/>
        </w:rPr>
        <w:t>Болестността на ЦП е 2,1 - 2,5 на 1000 новородени деца. Честотата нараства в страните с ниска неонатална смъртност. Наблюдава се много по-често при следните групи новородени с:</w:t>
      </w:r>
    </w:p>
    <w:p w14:paraId="1D53D5C4" w14:textId="77777777" w:rsidR="00BE0B19" w:rsidRPr="00AE47C6" w:rsidRDefault="00BE0B19" w:rsidP="00BE0B19">
      <w:pPr>
        <w:numPr>
          <w:ilvl w:val="0"/>
          <w:numId w:val="37"/>
        </w:numPr>
        <w:tabs>
          <w:tab w:val="clear" w:pos="1080"/>
          <w:tab w:val="num" w:pos="0"/>
          <w:tab w:val="num" w:pos="900"/>
        </w:tabs>
        <w:spacing w:after="0" w:line="360" w:lineRule="auto"/>
        <w:ind w:left="900" w:firstLine="720"/>
        <w:jc w:val="both"/>
        <w:rPr>
          <w:rFonts w:ascii="Times New Roman" w:eastAsia="SimSun" w:hAnsi="Times New Roman"/>
          <w:sz w:val="24"/>
          <w:szCs w:val="24"/>
        </w:rPr>
      </w:pPr>
      <w:r w:rsidRPr="00AE47C6">
        <w:rPr>
          <w:rFonts w:ascii="Times New Roman" w:eastAsia="SimSun" w:hAnsi="Times New Roman"/>
          <w:b/>
          <w:bCs/>
          <w:sz w:val="24"/>
          <w:szCs w:val="24"/>
        </w:rPr>
        <w:t xml:space="preserve">Недоносеност. </w:t>
      </w:r>
      <w:r w:rsidRPr="00AE47C6">
        <w:rPr>
          <w:rFonts w:ascii="Times New Roman" w:eastAsia="SimSun" w:hAnsi="Times New Roman"/>
          <w:sz w:val="24"/>
          <w:szCs w:val="24"/>
        </w:rPr>
        <w:t>При раждане преди 33 гестационна седмица (г.с.) ЦП е 30 пъти по-честа, като 24,8‰ са с ЦП, а 111,80 на 1000 живородени преди 28 г.с. са с ЦП.</w:t>
      </w:r>
    </w:p>
    <w:p w14:paraId="343C94A6" w14:textId="77777777" w:rsidR="00BE0B19" w:rsidRPr="00AE47C6" w:rsidRDefault="00BE0B19" w:rsidP="00BE0B19">
      <w:pPr>
        <w:numPr>
          <w:ilvl w:val="0"/>
          <w:numId w:val="37"/>
        </w:numPr>
        <w:tabs>
          <w:tab w:val="clear" w:pos="1080"/>
          <w:tab w:val="num" w:pos="0"/>
          <w:tab w:val="num" w:pos="900"/>
        </w:tabs>
        <w:spacing w:after="0" w:line="360" w:lineRule="auto"/>
        <w:ind w:left="900" w:firstLine="720"/>
        <w:jc w:val="both"/>
        <w:rPr>
          <w:rFonts w:ascii="Times New Roman" w:eastAsia="SimSun" w:hAnsi="Times New Roman"/>
          <w:sz w:val="24"/>
          <w:szCs w:val="24"/>
        </w:rPr>
      </w:pPr>
      <w:r w:rsidRPr="00AE47C6">
        <w:rPr>
          <w:rFonts w:ascii="Times New Roman" w:eastAsia="SimSun" w:hAnsi="Times New Roman"/>
          <w:b/>
          <w:bCs/>
          <w:sz w:val="24"/>
          <w:szCs w:val="24"/>
        </w:rPr>
        <w:t>Незрялост</w:t>
      </w:r>
      <w:r w:rsidRPr="00AE47C6">
        <w:rPr>
          <w:rFonts w:ascii="Times New Roman" w:eastAsia="SimSun" w:hAnsi="Times New Roman"/>
          <w:sz w:val="24"/>
          <w:szCs w:val="24"/>
        </w:rPr>
        <w:t xml:space="preserve"> (ниско тегло за термина). От родените с тегло &lt; 1500 g  – 60-80‰ са ЦП.</w:t>
      </w:r>
    </w:p>
    <w:p w14:paraId="131F72FC" w14:textId="77777777" w:rsidR="00BE0B19" w:rsidRPr="00AE47C6" w:rsidRDefault="00BE0B19" w:rsidP="00BE0B19">
      <w:pPr>
        <w:numPr>
          <w:ilvl w:val="0"/>
          <w:numId w:val="37"/>
        </w:numPr>
        <w:tabs>
          <w:tab w:val="clear" w:pos="1080"/>
          <w:tab w:val="num" w:pos="0"/>
          <w:tab w:val="num" w:pos="900"/>
        </w:tabs>
        <w:spacing w:after="0" w:line="360" w:lineRule="auto"/>
        <w:ind w:left="900" w:firstLine="720"/>
        <w:jc w:val="both"/>
        <w:rPr>
          <w:rFonts w:ascii="Times New Roman" w:eastAsia="SimSun" w:hAnsi="Times New Roman"/>
          <w:sz w:val="24"/>
          <w:szCs w:val="24"/>
        </w:rPr>
      </w:pPr>
      <w:r w:rsidRPr="00AE47C6">
        <w:rPr>
          <w:rFonts w:ascii="Times New Roman" w:eastAsia="SimSun" w:hAnsi="Times New Roman"/>
          <w:b/>
          <w:bCs/>
          <w:sz w:val="24"/>
          <w:szCs w:val="24"/>
        </w:rPr>
        <w:t>Асфиксия</w:t>
      </w:r>
      <w:r w:rsidRPr="00AE47C6">
        <w:rPr>
          <w:rFonts w:ascii="Times New Roman" w:eastAsia="SimSun" w:hAnsi="Times New Roman"/>
          <w:sz w:val="24"/>
          <w:szCs w:val="24"/>
        </w:rPr>
        <w:t>: При ниски стойности на APCA, неонатални синдроми и  неонатални гърчове: ЦП се установява при 1,3 – 545,5‰.</w:t>
      </w:r>
    </w:p>
    <w:p w14:paraId="388AD662" w14:textId="77777777" w:rsidR="00BE0B19" w:rsidRPr="00AE47C6" w:rsidRDefault="00BE0B19" w:rsidP="00BE0B19">
      <w:pPr>
        <w:numPr>
          <w:ilvl w:val="0"/>
          <w:numId w:val="37"/>
        </w:numPr>
        <w:tabs>
          <w:tab w:val="clear" w:pos="1080"/>
          <w:tab w:val="num" w:pos="0"/>
          <w:tab w:val="num" w:pos="900"/>
        </w:tabs>
        <w:spacing w:after="0" w:line="360" w:lineRule="auto"/>
        <w:ind w:left="900" w:firstLine="720"/>
        <w:jc w:val="both"/>
        <w:rPr>
          <w:rFonts w:ascii="Times New Roman" w:eastAsia="SimSun" w:hAnsi="Times New Roman"/>
          <w:sz w:val="24"/>
          <w:szCs w:val="24"/>
        </w:rPr>
      </w:pPr>
      <w:r w:rsidRPr="00AE47C6">
        <w:rPr>
          <w:rFonts w:ascii="Times New Roman" w:eastAsia="SimSun" w:hAnsi="Times New Roman"/>
          <w:b/>
          <w:bCs/>
          <w:sz w:val="24"/>
          <w:szCs w:val="24"/>
        </w:rPr>
        <w:t>Мозъчен кръвоизлив и/или перивентрикулна левкомалация</w:t>
      </w:r>
      <w:r w:rsidRPr="00AE47C6">
        <w:rPr>
          <w:rFonts w:ascii="Times New Roman" w:eastAsia="SimSun" w:hAnsi="Times New Roman"/>
          <w:sz w:val="24"/>
          <w:szCs w:val="24"/>
        </w:rPr>
        <w:t xml:space="preserve">. От родените с мозъчен кръвоизлив 50-100‰ – 48% са с ЦП;  80-100%  от децата с </w:t>
      </w:r>
      <w:r w:rsidRPr="00AE47C6">
        <w:rPr>
          <w:rFonts w:ascii="Times New Roman" w:eastAsia="SimSun" w:hAnsi="Times New Roman"/>
          <w:bCs/>
          <w:sz w:val="24"/>
          <w:szCs w:val="24"/>
        </w:rPr>
        <w:t>перивентрикулна левкомалация</w:t>
      </w:r>
      <w:r w:rsidRPr="00AE47C6">
        <w:rPr>
          <w:rFonts w:ascii="Times New Roman" w:eastAsia="SimSun" w:hAnsi="Times New Roman"/>
          <w:sz w:val="24"/>
          <w:szCs w:val="24"/>
        </w:rPr>
        <w:t xml:space="preserve"> (PVL) са с ЦП. </w:t>
      </w:r>
    </w:p>
    <w:p w14:paraId="414F4737" w14:textId="77777777" w:rsidR="00BE0B19" w:rsidRPr="00AE47C6" w:rsidRDefault="00BE0B19" w:rsidP="00BE0B19">
      <w:pPr>
        <w:numPr>
          <w:ilvl w:val="0"/>
          <w:numId w:val="37"/>
        </w:numPr>
        <w:tabs>
          <w:tab w:val="clear" w:pos="1080"/>
          <w:tab w:val="num" w:pos="0"/>
          <w:tab w:val="num" w:pos="900"/>
        </w:tabs>
        <w:spacing w:after="0" w:line="360" w:lineRule="auto"/>
        <w:ind w:left="900" w:firstLine="720"/>
        <w:jc w:val="both"/>
        <w:rPr>
          <w:rFonts w:ascii="Times New Roman" w:eastAsia="SimSun" w:hAnsi="Times New Roman"/>
          <w:sz w:val="24"/>
          <w:szCs w:val="24"/>
        </w:rPr>
      </w:pPr>
      <w:r w:rsidRPr="00AE47C6">
        <w:rPr>
          <w:rFonts w:ascii="Times New Roman" w:eastAsia="SimSun" w:hAnsi="Times New Roman"/>
          <w:b/>
          <w:bCs/>
          <w:sz w:val="24"/>
          <w:szCs w:val="24"/>
        </w:rPr>
        <w:t>Многоплодна бременност</w:t>
      </w:r>
      <w:r w:rsidRPr="00AE47C6">
        <w:rPr>
          <w:rFonts w:ascii="Times New Roman" w:eastAsia="SimSun" w:hAnsi="Times New Roman"/>
          <w:sz w:val="24"/>
          <w:szCs w:val="24"/>
        </w:rPr>
        <w:t>. ЦП е  2,44 – 7,23 пъти по-честа при близнаци и 47,4 – 52,6  пъти по-честа при тризнаци.</w:t>
      </w:r>
    </w:p>
    <w:p w14:paraId="196BEC1D"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p>
    <w:p w14:paraId="5C4DD3EC"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b/>
          <w:bCs/>
          <w:sz w:val="24"/>
          <w:szCs w:val="24"/>
        </w:rPr>
        <w:t xml:space="preserve">12.3. Етиология. </w:t>
      </w:r>
      <w:r w:rsidRPr="00AE47C6">
        <w:rPr>
          <w:rFonts w:ascii="Times New Roman" w:eastAsia="SimSun" w:hAnsi="Times New Roman"/>
          <w:sz w:val="24"/>
          <w:szCs w:val="24"/>
        </w:rPr>
        <w:t>Основните причини за ЦП се групират според времето на изява.</w:t>
      </w:r>
    </w:p>
    <w:p w14:paraId="30C7F833" w14:textId="77777777" w:rsidR="00BE0B19" w:rsidRPr="00AE47C6" w:rsidRDefault="00BE0B19" w:rsidP="00BE0B19">
      <w:pPr>
        <w:numPr>
          <w:ilvl w:val="0"/>
          <w:numId w:val="318"/>
        </w:numPr>
        <w:spacing w:after="0" w:line="360" w:lineRule="auto"/>
        <w:ind w:firstLine="720"/>
        <w:jc w:val="both"/>
        <w:rPr>
          <w:rFonts w:ascii="Times New Roman" w:eastAsia="SimSun" w:hAnsi="Times New Roman"/>
          <w:kern w:val="36"/>
          <w:sz w:val="24"/>
          <w:szCs w:val="24"/>
          <w:lang w:eastAsia="bg-BG"/>
        </w:rPr>
      </w:pPr>
      <w:r w:rsidRPr="00AE47C6">
        <w:rPr>
          <w:rFonts w:ascii="Times New Roman" w:eastAsia="SimSun" w:hAnsi="Times New Roman"/>
          <w:b/>
          <w:bCs/>
          <w:sz w:val="24"/>
          <w:szCs w:val="24"/>
          <w:lang w:eastAsia="bg-BG"/>
        </w:rPr>
        <w:t>Пренаталните фактори</w:t>
      </w:r>
      <w:r w:rsidRPr="00AE47C6">
        <w:rPr>
          <w:rFonts w:ascii="Times New Roman" w:eastAsia="SimSun" w:hAnsi="Times New Roman"/>
          <w:sz w:val="24"/>
          <w:szCs w:val="24"/>
          <w:lang w:eastAsia="bg-BG"/>
        </w:rPr>
        <w:t xml:space="preserve"> са генетични, физически, химически и инфекциозни, които обуславят различни мозъчни малформации или вродени енцефалити (cytomegalovirus, herpes simplex virus, rubella, toxoplasma). Те причиняват от 30 до 80% от ЦП. Генетични фактори причиняват: 1. Някои </w:t>
      </w:r>
      <w:r w:rsidRPr="00AE47C6">
        <w:rPr>
          <w:rFonts w:ascii="Times New Roman" w:eastAsia="SimSun" w:hAnsi="Times New Roman"/>
          <w:i/>
          <w:iCs/>
          <w:sz w:val="24"/>
          <w:szCs w:val="24"/>
          <w:lang w:eastAsia="bg-BG"/>
        </w:rPr>
        <w:t>мозъчни малформации</w:t>
      </w:r>
      <w:r w:rsidRPr="00AE47C6">
        <w:rPr>
          <w:rFonts w:ascii="Times New Roman" w:eastAsia="SimSun" w:hAnsi="Times New Roman"/>
          <w:sz w:val="24"/>
          <w:szCs w:val="24"/>
          <w:lang w:eastAsia="bg-BG"/>
        </w:rPr>
        <w:t xml:space="preserve"> (</w:t>
      </w:r>
      <w:r w:rsidRPr="00AE47C6">
        <w:rPr>
          <w:rFonts w:ascii="Times New Roman" w:eastAsia="SimSun" w:hAnsi="Times New Roman"/>
          <w:i/>
          <w:iCs/>
          <w:sz w:val="24"/>
          <w:szCs w:val="24"/>
          <w:lang w:eastAsia="bg-BG"/>
        </w:rPr>
        <w:t>лисенцефалия</w:t>
      </w:r>
      <w:r w:rsidRPr="00AE47C6">
        <w:rPr>
          <w:rFonts w:ascii="Times New Roman" w:eastAsia="SimSun" w:hAnsi="Times New Roman"/>
          <w:sz w:val="24"/>
          <w:szCs w:val="24"/>
          <w:lang w:eastAsia="bg-BG"/>
        </w:rPr>
        <w:t xml:space="preserve"> с генни дефекти в </w:t>
      </w:r>
      <w:r w:rsidRPr="00AE47C6">
        <w:rPr>
          <w:rFonts w:ascii="Times New Roman" w:eastAsia="SimSun" w:hAnsi="Times New Roman"/>
          <w:i/>
          <w:sz w:val="24"/>
          <w:szCs w:val="24"/>
          <w:lang w:eastAsia="bg-BG"/>
        </w:rPr>
        <w:t xml:space="preserve">LIS1 </w:t>
      </w:r>
      <w:r w:rsidRPr="00AE47C6">
        <w:rPr>
          <w:rFonts w:ascii="Times New Roman" w:eastAsia="SimSun" w:hAnsi="Times New Roman"/>
          <w:sz w:val="24"/>
          <w:szCs w:val="24"/>
          <w:lang w:eastAsia="bg-BG"/>
        </w:rPr>
        <w:t xml:space="preserve">гена в 17р13.3, </w:t>
      </w:r>
      <w:r w:rsidRPr="00AE47C6">
        <w:rPr>
          <w:rFonts w:ascii="Times New Roman" w:eastAsia="SimSun" w:hAnsi="Times New Roman"/>
          <w:i/>
          <w:sz w:val="24"/>
          <w:szCs w:val="24"/>
          <w:lang w:eastAsia="bg-BG"/>
        </w:rPr>
        <w:t xml:space="preserve">DXC </w:t>
      </w:r>
      <w:r w:rsidRPr="00AE47C6">
        <w:rPr>
          <w:rFonts w:ascii="Times New Roman" w:eastAsia="SimSun" w:hAnsi="Times New Roman"/>
          <w:sz w:val="24"/>
          <w:szCs w:val="24"/>
          <w:lang w:eastAsia="bg-BG"/>
        </w:rPr>
        <w:t xml:space="preserve">гена в Xq22.3-q23, </w:t>
      </w:r>
      <w:r w:rsidRPr="00AE47C6">
        <w:rPr>
          <w:rFonts w:ascii="Times New Roman" w:eastAsia="SimSun" w:hAnsi="Times New Roman"/>
          <w:i/>
          <w:sz w:val="24"/>
          <w:szCs w:val="24"/>
          <w:lang w:eastAsia="bg-BG"/>
        </w:rPr>
        <w:t xml:space="preserve">ARX </w:t>
      </w:r>
      <w:r w:rsidRPr="00AE47C6">
        <w:rPr>
          <w:rFonts w:ascii="Times New Roman" w:eastAsia="SimSun" w:hAnsi="Times New Roman"/>
          <w:sz w:val="24"/>
          <w:szCs w:val="24"/>
          <w:lang w:eastAsia="bg-BG"/>
        </w:rPr>
        <w:t xml:space="preserve">гена в </w:t>
      </w:r>
      <w:r w:rsidRPr="00AE47C6">
        <w:rPr>
          <w:rFonts w:ascii="Times New Roman" w:eastAsia="SimSun" w:hAnsi="Times New Roman"/>
          <w:kern w:val="24"/>
          <w:sz w:val="24"/>
          <w:szCs w:val="24"/>
          <w:lang w:eastAsia="bg-BG"/>
        </w:rPr>
        <w:t xml:space="preserve">Xp22.3-p21.1, </w:t>
      </w:r>
      <w:r w:rsidRPr="00AE47C6">
        <w:rPr>
          <w:rFonts w:ascii="Times New Roman" w:eastAsia="SimSun" w:hAnsi="Times New Roman"/>
          <w:i/>
          <w:kern w:val="24"/>
          <w:sz w:val="24"/>
          <w:szCs w:val="24"/>
          <w:lang w:eastAsia="bg-BG"/>
        </w:rPr>
        <w:t>RELN</w:t>
      </w:r>
      <w:r w:rsidRPr="00AE47C6">
        <w:rPr>
          <w:rFonts w:ascii="Times New Roman" w:eastAsia="SimSun" w:hAnsi="Times New Roman"/>
          <w:kern w:val="24"/>
          <w:sz w:val="24"/>
          <w:szCs w:val="24"/>
          <w:lang w:eastAsia="bg-BG"/>
        </w:rPr>
        <w:t xml:space="preserve"> гена в  7q22, </w:t>
      </w:r>
      <w:r w:rsidRPr="00AE47C6">
        <w:rPr>
          <w:rFonts w:ascii="Times New Roman" w:eastAsia="SimSun" w:hAnsi="Times New Roman"/>
          <w:i/>
          <w:kern w:val="24"/>
          <w:sz w:val="24"/>
          <w:szCs w:val="24"/>
          <w:lang w:eastAsia="bg-BG"/>
        </w:rPr>
        <w:t>TUBA1A</w:t>
      </w:r>
      <w:r w:rsidRPr="00AE47C6">
        <w:rPr>
          <w:rFonts w:ascii="Times New Roman" w:eastAsia="SimSun" w:hAnsi="Times New Roman"/>
          <w:kern w:val="24"/>
          <w:sz w:val="24"/>
          <w:szCs w:val="24"/>
          <w:lang w:eastAsia="bg-BG"/>
        </w:rPr>
        <w:t xml:space="preserve"> гена в 12q13</w:t>
      </w:r>
      <w:r w:rsidRPr="00AE47C6">
        <w:rPr>
          <w:rFonts w:ascii="Times New Roman" w:eastAsia="SimSun" w:hAnsi="Times New Roman"/>
          <w:sz w:val="24"/>
          <w:szCs w:val="24"/>
          <w:lang w:eastAsia="bg-BG"/>
        </w:rPr>
        <w:t xml:space="preserve">, </w:t>
      </w:r>
      <w:r w:rsidRPr="00AE47C6">
        <w:rPr>
          <w:rFonts w:ascii="Times New Roman" w:eastAsia="SimSun" w:hAnsi="Times New Roman"/>
          <w:i/>
          <w:kern w:val="24"/>
          <w:sz w:val="24"/>
          <w:szCs w:val="24"/>
          <w:lang w:eastAsia="bg-BG"/>
        </w:rPr>
        <w:t>YWHAE</w:t>
      </w:r>
      <w:r w:rsidRPr="00AE47C6">
        <w:rPr>
          <w:rFonts w:ascii="Times New Roman" w:eastAsia="SimSun" w:hAnsi="Times New Roman"/>
          <w:kern w:val="24"/>
          <w:sz w:val="24"/>
          <w:szCs w:val="24"/>
          <w:lang w:eastAsia="bg-BG"/>
        </w:rPr>
        <w:t xml:space="preserve"> гена в 17p13</w:t>
      </w:r>
      <w:r w:rsidRPr="00AE47C6">
        <w:rPr>
          <w:rFonts w:ascii="Times New Roman" w:eastAsia="SimSun" w:hAnsi="Times New Roman"/>
          <w:sz w:val="24"/>
          <w:szCs w:val="24"/>
          <w:lang w:eastAsia="bg-BG"/>
        </w:rPr>
        <w:t xml:space="preserve">; </w:t>
      </w:r>
      <w:r w:rsidRPr="00AE47C6">
        <w:rPr>
          <w:rFonts w:ascii="Times New Roman" w:eastAsia="SimSun" w:hAnsi="Times New Roman"/>
          <w:i/>
          <w:iCs/>
          <w:sz w:val="24"/>
          <w:szCs w:val="24"/>
          <w:lang w:eastAsia="bg-BG"/>
        </w:rPr>
        <w:t>полимикрогирия</w:t>
      </w:r>
      <w:r w:rsidRPr="00AE47C6">
        <w:rPr>
          <w:rFonts w:ascii="Times New Roman" w:eastAsia="SimSun" w:hAnsi="Times New Roman"/>
          <w:sz w:val="24"/>
          <w:szCs w:val="24"/>
          <w:lang w:eastAsia="bg-BG"/>
        </w:rPr>
        <w:t xml:space="preserve"> при генни дефекти в </w:t>
      </w:r>
      <w:r w:rsidRPr="00AE47C6">
        <w:rPr>
          <w:rFonts w:ascii="Times New Roman" w:eastAsia="SimSun" w:hAnsi="Times New Roman"/>
          <w:i/>
          <w:sz w:val="24"/>
          <w:szCs w:val="24"/>
          <w:lang w:eastAsia="bg-BG"/>
        </w:rPr>
        <w:t>SRPX2</w:t>
      </w:r>
      <w:r w:rsidRPr="00AE47C6">
        <w:rPr>
          <w:rFonts w:ascii="Times New Roman" w:eastAsia="SimSun" w:hAnsi="Times New Roman"/>
          <w:sz w:val="24"/>
          <w:szCs w:val="24"/>
          <w:lang w:eastAsia="bg-BG"/>
        </w:rPr>
        <w:t xml:space="preserve"> в Xq21.33-q23, </w:t>
      </w:r>
      <w:r w:rsidRPr="00AE47C6">
        <w:rPr>
          <w:rFonts w:ascii="Times New Roman" w:eastAsia="SimSun" w:hAnsi="Times New Roman"/>
          <w:i/>
          <w:sz w:val="24"/>
          <w:szCs w:val="24"/>
          <w:lang w:eastAsia="bg-BG"/>
        </w:rPr>
        <w:t>RAB3GAP1</w:t>
      </w:r>
      <w:r w:rsidRPr="00AE47C6">
        <w:rPr>
          <w:rFonts w:ascii="Times New Roman" w:eastAsia="SimSun" w:hAnsi="Times New Roman"/>
          <w:sz w:val="24"/>
          <w:szCs w:val="24"/>
          <w:lang w:eastAsia="bg-BG"/>
        </w:rPr>
        <w:t xml:space="preserve"> в 2q21.3, </w:t>
      </w:r>
      <w:r w:rsidRPr="00AE47C6">
        <w:rPr>
          <w:rFonts w:ascii="Times New Roman" w:eastAsia="SimSun" w:hAnsi="Times New Roman"/>
          <w:i/>
          <w:sz w:val="24"/>
          <w:szCs w:val="24"/>
          <w:lang w:eastAsia="bg-BG"/>
        </w:rPr>
        <w:t>EOMES</w:t>
      </w:r>
      <w:r w:rsidRPr="00AE47C6">
        <w:rPr>
          <w:rFonts w:ascii="Times New Roman" w:eastAsia="SimSun" w:hAnsi="Times New Roman"/>
          <w:sz w:val="24"/>
          <w:szCs w:val="24"/>
          <w:lang w:eastAsia="bg-BG"/>
        </w:rPr>
        <w:t xml:space="preserve"> в 3p21.3-p21.2, </w:t>
      </w:r>
      <w:r w:rsidRPr="00AE47C6">
        <w:rPr>
          <w:rFonts w:ascii="Times New Roman" w:eastAsia="SimSun" w:hAnsi="Times New Roman"/>
          <w:i/>
          <w:sz w:val="24"/>
          <w:szCs w:val="24"/>
          <w:lang w:eastAsia="bg-BG"/>
        </w:rPr>
        <w:t xml:space="preserve">TUBB2B </w:t>
      </w:r>
      <w:r w:rsidRPr="00AE47C6">
        <w:rPr>
          <w:rFonts w:ascii="Times New Roman" w:eastAsia="SimSun" w:hAnsi="Times New Roman"/>
          <w:sz w:val="24"/>
          <w:szCs w:val="24"/>
          <w:lang w:eastAsia="bg-BG"/>
        </w:rPr>
        <w:t xml:space="preserve">в 6p25, </w:t>
      </w:r>
      <w:r w:rsidRPr="00AE47C6">
        <w:rPr>
          <w:rFonts w:ascii="Times New Roman" w:eastAsia="SimSun" w:hAnsi="Times New Roman"/>
          <w:i/>
          <w:sz w:val="24"/>
          <w:szCs w:val="24"/>
          <w:lang w:eastAsia="bg-BG"/>
        </w:rPr>
        <w:t>KIAA1279</w:t>
      </w:r>
      <w:r w:rsidRPr="00AE47C6">
        <w:rPr>
          <w:rFonts w:ascii="Times New Roman" w:eastAsia="SimSun" w:hAnsi="Times New Roman"/>
          <w:sz w:val="24"/>
          <w:szCs w:val="24"/>
          <w:lang w:eastAsia="bg-BG"/>
        </w:rPr>
        <w:t xml:space="preserve"> в 10q22.1, </w:t>
      </w:r>
      <w:r w:rsidRPr="00AE47C6">
        <w:rPr>
          <w:rFonts w:ascii="Times New Roman" w:eastAsia="SimSun" w:hAnsi="Times New Roman"/>
          <w:i/>
          <w:sz w:val="24"/>
          <w:szCs w:val="24"/>
          <w:lang w:eastAsia="bg-BG"/>
        </w:rPr>
        <w:t xml:space="preserve">PAX6 </w:t>
      </w:r>
      <w:r w:rsidRPr="00AE47C6">
        <w:rPr>
          <w:rFonts w:ascii="Times New Roman" w:eastAsia="SimSun" w:hAnsi="Times New Roman"/>
          <w:sz w:val="24"/>
          <w:szCs w:val="24"/>
          <w:lang w:eastAsia="bg-BG"/>
        </w:rPr>
        <w:t xml:space="preserve">в 11p13, </w:t>
      </w:r>
      <w:r w:rsidRPr="00AE47C6">
        <w:rPr>
          <w:rFonts w:ascii="Times New Roman" w:eastAsia="SimSun" w:hAnsi="Times New Roman"/>
          <w:i/>
          <w:sz w:val="24"/>
          <w:szCs w:val="24"/>
          <w:lang w:eastAsia="bg-BG"/>
        </w:rPr>
        <w:t>COL18A1</w:t>
      </w:r>
      <w:r w:rsidRPr="00AE47C6">
        <w:rPr>
          <w:rFonts w:ascii="Times New Roman" w:eastAsia="SimSun" w:hAnsi="Times New Roman"/>
          <w:sz w:val="24"/>
          <w:szCs w:val="24"/>
          <w:lang w:eastAsia="bg-BG"/>
        </w:rPr>
        <w:t xml:space="preserve"> и множествени гени в 22q11.2) и др.; 2. Предразположение към </w:t>
      </w:r>
      <w:r w:rsidRPr="00AE47C6">
        <w:rPr>
          <w:rFonts w:ascii="Times New Roman" w:eastAsia="SimSun" w:hAnsi="Times New Roman"/>
          <w:i/>
          <w:iCs/>
          <w:sz w:val="24"/>
          <w:szCs w:val="24"/>
          <w:lang w:eastAsia="bg-BG"/>
        </w:rPr>
        <w:t>тромбофилии</w:t>
      </w:r>
      <w:r w:rsidRPr="00AE47C6">
        <w:rPr>
          <w:rFonts w:ascii="Times New Roman" w:eastAsia="SimSun" w:hAnsi="Times New Roman"/>
          <w:sz w:val="24"/>
          <w:szCs w:val="24"/>
          <w:lang w:eastAsia="bg-BG"/>
        </w:rPr>
        <w:t xml:space="preserve">; 3. Някои много редки </w:t>
      </w:r>
      <w:r w:rsidRPr="00AE47C6">
        <w:rPr>
          <w:rFonts w:ascii="Times New Roman" w:eastAsia="SimSun" w:hAnsi="Times New Roman"/>
          <w:i/>
          <w:iCs/>
          <w:sz w:val="24"/>
          <w:szCs w:val="24"/>
          <w:lang w:eastAsia="bg-BG"/>
        </w:rPr>
        <w:t>ензимни дефицити</w:t>
      </w:r>
      <w:r w:rsidRPr="00AE47C6">
        <w:rPr>
          <w:rFonts w:ascii="Times New Roman" w:eastAsia="SimSun" w:hAnsi="Times New Roman"/>
          <w:sz w:val="24"/>
          <w:szCs w:val="24"/>
          <w:lang w:eastAsia="bg-BG"/>
        </w:rPr>
        <w:t xml:space="preserve"> като глутамат- декарбоксилазен дефицит при хомозиготни мутации в гена, кодиращ глутамат-декарбоксилаза 1 (GAD1) в 2-ра хромозома (2q31) и причиняващ автозомно-рецесивна спастична церебрална парализа 1 (603513, Cerebral palsy, Spastic quadriplegic 1; CPSQ1); При CPSQ2 (OMIM </w:t>
      </w:r>
      <w:hyperlink r:id="rId153" w:history="1">
        <w:r w:rsidRPr="00AE47C6">
          <w:rPr>
            <w:rFonts w:ascii="Times New Roman" w:eastAsia="SimSun" w:hAnsi="Times New Roman"/>
            <w:sz w:val="24"/>
            <w:szCs w:val="24"/>
            <w:lang w:eastAsia="bg-BG"/>
          </w:rPr>
          <w:t>612900</w:t>
        </w:r>
      </w:hyperlink>
      <w:r w:rsidRPr="00AE47C6">
        <w:rPr>
          <w:rFonts w:ascii="Times New Roman" w:eastAsia="SimSun" w:hAnsi="Times New Roman"/>
          <w:sz w:val="24"/>
          <w:szCs w:val="24"/>
          <w:lang w:eastAsia="bg-BG"/>
        </w:rPr>
        <w:t xml:space="preserve">), e описана делеция в </w:t>
      </w:r>
      <w:r w:rsidRPr="00AE47C6">
        <w:rPr>
          <w:rFonts w:ascii="Times New Roman" w:eastAsia="SimSun" w:hAnsi="Times New Roman"/>
          <w:i/>
          <w:sz w:val="24"/>
          <w:szCs w:val="24"/>
          <w:lang w:eastAsia="bg-BG"/>
        </w:rPr>
        <w:t>ANKRD 15</w:t>
      </w:r>
      <w:r w:rsidRPr="00AE47C6">
        <w:rPr>
          <w:rFonts w:ascii="Times New Roman" w:eastAsia="SimSun" w:hAnsi="Times New Roman"/>
          <w:sz w:val="24"/>
          <w:szCs w:val="24"/>
          <w:lang w:eastAsia="bg-BG"/>
        </w:rPr>
        <w:t xml:space="preserve"> гена (KANK1; </w:t>
      </w:r>
      <w:hyperlink r:id="rId154" w:history="1">
        <w:r w:rsidRPr="00AE47C6">
          <w:rPr>
            <w:rFonts w:ascii="Times New Roman" w:eastAsia="SimSun" w:hAnsi="Times New Roman"/>
            <w:sz w:val="24"/>
            <w:szCs w:val="24"/>
            <w:lang w:eastAsia="bg-BG"/>
          </w:rPr>
          <w:t>607704</w:t>
        </w:r>
      </w:hyperlink>
      <w:r w:rsidRPr="00AE47C6">
        <w:rPr>
          <w:rFonts w:ascii="Times New Roman" w:eastAsia="SimSun" w:hAnsi="Times New Roman"/>
          <w:sz w:val="24"/>
          <w:szCs w:val="24"/>
          <w:lang w:eastAsia="bg-BG"/>
        </w:rPr>
        <w:t>) в 9q24.3. Описани са и фамилии със спастична квадрипареза и пируват дехидрогеназен дефицит</w:t>
      </w:r>
      <w:r w:rsidRPr="00AE47C6">
        <w:rPr>
          <w:rFonts w:ascii="Times New Roman" w:eastAsia="SimSun" w:hAnsi="Times New Roman"/>
          <w:kern w:val="36"/>
          <w:sz w:val="24"/>
          <w:szCs w:val="24"/>
          <w:lang w:eastAsia="bg-BG"/>
        </w:rPr>
        <w:t>.</w:t>
      </w:r>
    </w:p>
    <w:p w14:paraId="028992D9" w14:textId="77777777" w:rsidR="00BE0B19" w:rsidRPr="00AE47C6" w:rsidRDefault="00BE0B19" w:rsidP="00BE0B19">
      <w:pPr>
        <w:numPr>
          <w:ilvl w:val="0"/>
          <w:numId w:val="318"/>
        </w:num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Перинаталните фактори</w:t>
      </w:r>
      <w:r w:rsidRPr="00AE47C6">
        <w:rPr>
          <w:rFonts w:ascii="Times New Roman" w:eastAsia="SimSun" w:hAnsi="Times New Roman"/>
          <w:sz w:val="24"/>
          <w:szCs w:val="24"/>
        </w:rPr>
        <w:t xml:space="preserve"> са родовата асфиксия, хипоксично - исхемичната енцефалопатия (ХИЕ), мозъчните кръвоизливи и травми, които обуславят между 30 и 60% от ЦП. Значително по-раними са недоносените новородени под 30 гестационна седмица, както и тези с тегло под 1500 g - около 40% от тях развиват ЦП.</w:t>
      </w:r>
    </w:p>
    <w:p w14:paraId="72D34BE5" w14:textId="77777777" w:rsidR="00BE0B19" w:rsidRPr="00AE47C6" w:rsidRDefault="00BE0B19" w:rsidP="00BE0B19">
      <w:pPr>
        <w:numPr>
          <w:ilvl w:val="0"/>
          <w:numId w:val="318"/>
        </w:num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Постнатални фактори</w:t>
      </w:r>
      <w:r w:rsidRPr="00AE47C6">
        <w:rPr>
          <w:rFonts w:ascii="Times New Roman" w:eastAsia="SimSun" w:hAnsi="Times New Roman"/>
          <w:sz w:val="24"/>
          <w:szCs w:val="24"/>
        </w:rPr>
        <w:t xml:space="preserve"> – енцефалити, менингити, дихателна недостатъчност, дехидратация, краниални травми, хипогликемия, Rh-несъвместимост и тежка билирубинемия в неонаталния период обуславят около 10% от случаите на ЦП.</w:t>
      </w:r>
    </w:p>
    <w:p w14:paraId="2F1391D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Най-съществена за възникването на ЦП е тежката асфиксия, особено при доносени новородени. В много случаи причините не се изясняват. Предполага се, че тя е резултат от явни единични причини, но по-често патогенезата е комплексна.</w:t>
      </w:r>
    </w:p>
    <w:p w14:paraId="1CCDF8F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 xml:space="preserve">12.4. Диагностициране на ЦП - </w:t>
      </w:r>
      <w:r w:rsidRPr="00AE47C6">
        <w:rPr>
          <w:rFonts w:ascii="Times New Roman" w:eastAsia="SimSun" w:hAnsi="Times New Roman"/>
          <w:sz w:val="24"/>
          <w:szCs w:val="24"/>
        </w:rPr>
        <w:t>Времето на поставяне на диагнозата е от съществено значение, но и най-новата дефиниция на ЦП не определя минималната възраст, когато един случай може да бъде диагностициран като ЦП. Минималната възраст, на която ЦП може да бъде потвърдена със сигурност е вариабилна, независимо от въвеждане на новите технологии за ранно разкриване на ЦП - ултразвуково наблюдение на спонтанните движения и пренатално определяне на мозъчния интегритет чрез мозъчното скениране. Диагностицирането на ЦП става при установено забавено моторното развитие, подкрепено от патология в невроизобразяващите изследвания.</w:t>
      </w:r>
    </w:p>
    <w:p w14:paraId="24D5B144" w14:textId="77777777" w:rsidR="00BE0B19" w:rsidRPr="00AE47C6" w:rsidRDefault="00BE0B19" w:rsidP="00BE0B19">
      <w:pPr>
        <w:spacing w:after="0" w:line="360" w:lineRule="auto"/>
        <w:ind w:firstLine="720"/>
        <w:jc w:val="both"/>
        <w:rPr>
          <w:rFonts w:ascii="Times New Roman" w:eastAsia="SimSun" w:hAnsi="Times New Roman"/>
          <w:i/>
          <w:iCs/>
          <w:sz w:val="24"/>
          <w:szCs w:val="24"/>
        </w:rPr>
      </w:pPr>
      <w:r w:rsidRPr="00AE47C6">
        <w:rPr>
          <w:rFonts w:ascii="Times New Roman" w:eastAsia="SimSun" w:hAnsi="Times New Roman"/>
          <w:b/>
          <w:bCs/>
          <w:sz w:val="24"/>
          <w:szCs w:val="24"/>
        </w:rPr>
        <w:t>Минимална възраст за поставяне на диагнозата ЦП в България е 18-ия месец</w:t>
      </w:r>
      <w:r w:rsidRPr="00AE47C6">
        <w:rPr>
          <w:rFonts w:ascii="Times New Roman" w:eastAsia="SimSun" w:hAnsi="Times New Roman"/>
          <w:sz w:val="24"/>
          <w:szCs w:val="24"/>
        </w:rPr>
        <w:t xml:space="preserve">, </w:t>
      </w:r>
      <w:r w:rsidRPr="00AE47C6">
        <w:rPr>
          <w:rFonts w:ascii="Times New Roman" w:eastAsia="SimSun" w:hAnsi="Times New Roman"/>
          <w:i/>
          <w:iCs/>
          <w:sz w:val="24"/>
          <w:szCs w:val="24"/>
        </w:rPr>
        <w:t>но при визуализирани с компютърна томография (КТ) или магнитнорезонансна томография (МРТ) лезии и установен неврологичен дефицит, диагнозата може да се постави и по-рано.</w:t>
      </w:r>
    </w:p>
    <w:p w14:paraId="34FE4FC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Диагнозата „</w:t>
      </w:r>
      <w:r w:rsidRPr="00AE47C6">
        <w:rPr>
          <w:rFonts w:ascii="Times New Roman" w:eastAsia="SimSun" w:hAnsi="Times New Roman"/>
          <w:b/>
          <w:sz w:val="24"/>
          <w:szCs w:val="24"/>
        </w:rPr>
        <w:t>Специфично разстройство в развитието на двигателните функции</w:t>
      </w:r>
      <w:r w:rsidRPr="00AE47C6">
        <w:rPr>
          <w:rFonts w:ascii="Times New Roman" w:eastAsia="SimSun" w:hAnsi="Times New Roman"/>
          <w:sz w:val="24"/>
          <w:szCs w:val="24"/>
        </w:rPr>
        <w:t>” се поставя до 18 месечна възраст при определени клинични белези, при необходимост подкрепени и от образни изследвания (КТ или МРТ).</w:t>
      </w:r>
      <w:r w:rsidRPr="00AE47C6">
        <w:rPr>
          <w:rFonts w:ascii="Times New Roman" w:eastAsia="SimSun" w:hAnsi="Times New Roman"/>
          <w:b/>
          <w:bCs/>
          <w:sz w:val="24"/>
          <w:szCs w:val="24"/>
        </w:rPr>
        <w:t xml:space="preserve"> </w:t>
      </w:r>
      <w:r w:rsidRPr="00AE47C6">
        <w:rPr>
          <w:rFonts w:ascii="Times New Roman" w:eastAsia="SimSun" w:hAnsi="Times New Roman"/>
          <w:bCs/>
          <w:sz w:val="24"/>
          <w:szCs w:val="24"/>
        </w:rPr>
        <w:t xml:space="preserve">Диагнозата </w:t>
      </w:r>
      <w:r w:rsidRPr="00AE47C6">
        <w:rPr>
          <w:rFonts w:ascii="Times New Roman" w:eastAsia="SimSun" w:hAnsi="Times New Roman"/>
          <w:sz w:val="24"/>
          <w:szCs w:val="24"/>
        </w:rPr>
        <w:t xml:space="preserve">„Специфично разстройство в развитието на двигателните функции “ (СРРДФ)  с код F82 по МКБ 10 се подкрепя с термина «Централно координационно смущение (ЦКС) със степен (много лека, лека, средна и тежка) и риск от (хипотонична, спастична, дистонична форма, с асиметрично разпределение на мускулния тонус, хомогенно двигателно изоставане). Поставя се при деца от рисковите групи (недоносени, с ниско тегло, след асфиксия, след мозъчен кръвоизлив, близнаци) при наличие на двигателно изоставане, отклонения в позиционната реактивност, персистиране на примитивни рефлекси и нарушена координация на движенията, подкрепени или не от резултатите на образната диагностика. Диагнозата е преходна, насочва към определена степен на риск за развитие на ЦП и подчертава необходимостта от проследяване и включване на адекватна физикална терапия и лечение при необходимост. </w:t>
      </w:r>
    </w:p>
    <w:p w14:paraId="1B464E9F"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p>
    <w:p w14:paraId="7342E36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rPr>
        <w:t xml:space="preserve">12.5. Класификация на ЦП </w:t>
      </w:r>
    </w:p>
    <w:p w14:paraId="6819F43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Класифицирането на различните типове церебрална парализа се базира на клиничното описание на типа, топографията и тежестта на моторните увреждания:</w:t>
      </w:r>
    </w:p>
    <w:p w14:paraId="46BB35CD" w14:textId="77777777" w:rsidR="00BE0B19" w:rsidRPr="00AE47C6" w:rsidRDefault="00BE0B19" w:rsidP="00BE0B19">
      <w:pPr>
        <w:spacing w:after="0" w:line="360" w:lineRule="auto"/>
        <w:ind w:firstLine="720"/>
        <w:jc w:val="both"/>
        <w:rPr>
          <w:rFonts w:ascii="Times New Roman" w:eastAsia="SimSun" w:hAnsi="Times New Roman"/>
          <w:i/>
          <w:iCs/>
          <w:sz w:val="24"/>
          <w:szCs w:val="24"/>
          <w:u w:val="single"/>
        </w:rPr>
      </w:pPr>
      <w:r w:rsidRPr="00AE47C6">
        <w:rPr>
          <w:rFonts w:ascii="Times New Roman" w:eastAsia="SimSun" w:hAnsi="Times New Roman"/>
          <w:i/>
          <w:iCs/>
          <w:sz w:val="24"/>
          <w:szCs w:val="24"/>
          <w:u w:val="single"/>
        </w:rPr>
        <w:t xml:space="preserve">По клинична картина: </w:t>
      </w:r>
    </w:p>
    <w:p w14:paraId="170BE66C" w14:textId="77777777" w:rsidR="00BE0B19" w:rsidRPr="00AE47C6" w:rsidRDefault="00BE0B19" w:rsidP="00BE0B19">
      <w:pPr>
        <w:numPr>
          <w:ilvl w:val="0"/>
          <w:numId w:val="38"/>
        </w:numPr>
        <w:tabs>
          <w:tab w:val="clear" w:pos="1428"/>
          <w:tab w:val="num" w:pos="0"/>
        </w:tabs>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sz w:val="24"/>
          <w:szCs w:val="24"/>
        </w:rPr>
        <w:t>Спастична (централна квадрипареза, хемипареза или парапареза) - 70-80%</w:t>
      </w:r>
    </w:p>
    <w:p w14:paraId="3E9374C2" w14:textId="77777777" w:rsidR="00BE0B19" w:rsidRPr="00AE47C6" w:rsidRDefault="00BE0B19" w:rsidP="00BE0B19">
      <w:pPr>
        <w:numPr>
          <w:ilvl w:val="0"/>
          <w:numId w:val="38"/>
        </w:numPr>
        <w:tabs>
          <w:tab w:val="clear" w:pos="1428"/>
          <w:tab w:val="num" w:pos="0"/>
        </w:tabs>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sz w:val="24"/>
          <w:szCs w:val="24"/>
        </w:rPr>
        <w:t>Дизкинетична (атетозна)- 20%</w:t>
      </w:r>
    </w:p>
    <w:p w14:paraId="39F300CE" w14:textId="77777777" w:rsidR="00BE0B19" w:rsidRPr="00AE47C6" w:rsidRDefault="00BE0B19" w:rsidP="00BE0B19">
      <w:pPr>
        <w:numPr>
          <w:ilvl w:val="0"/>
          <w:numId w:val="38"/>
        </w:numPr>
        <w:tabs>
          <w:tab w:val="clear" w:pos="1428"/>
          <w:tab w:val="num" w:pos="0"/>
        </w:tabs>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sz w:val="24"/>
          <w:szCs w:val="24"/>
        </w:rPr>
        <w:t>Атаксична/хипотонична- 5-10%</w:t>
      </w:r>
    </w:p>
    <w:p w14:paraId="3A72BFDE" w14:textId="77777777" w:rsidR="00BE0B19" w:rsidRPr="00AE47C6" w:rsidRDefault="00BE0B19" w:rsidP="00BE0B19">
      <w:pPr>
        <w:numPr>
          <w:ilvl w:val="0"/>
          <w:numId w:val="38"/>
        </w:numPr>
        <w:tabs>
          <w:tab w:val="clear" w:pos="1428"/>
          <w:tab w:val="num" w:pos="0"/>
        </w:tabs>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sz w:val="24"/>
          <w:szCs w:val="24"/>
        </w:rPr>
        <w:t>Смесени</w:t>
      </w:r>
    </w:p>
    <w:p w14:paraId="5F378A1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Различните типове на двигателни разстройства могат да съществуват едновременно. Повечето специалисти класифицират съгласно доминиращата форма, но тя варира във времето при всеки отделен случай.</w:t>
      </w:r>
    </w:p>
    <w:p w14:paraId="70B9FB35" w14:textId="77777777" w:rsidR="00BE0B19" w:rsidRPr="00AE47C6" w:rsidRDefault="00BE0B19" w:rsidP="00BE0B19">
      <w:pPr>
        <w:spacing w:after="0" w:line="360" w:lineRule="auto"/>
        <w:ind w:firstLine="720"/>
        <w:jc w:val="both"/>
        <w:rPr>
          <w:rFonts w:ascii="Times New Roman" w:eastAsia="SimSun" w:hAnsi="Times New Roman"/>
          <w:i/>
          <w:iCs/>
          <w:sz w:val="24"/>
          <w:szCs w:val="24"/>
          <w:u w:val="single"/>
        </w:rPr>
      </w:pPr>
      <w:r w:rsidRPr="00AE47C6">
        <w:rPr>
          <w:rFonts w:ascii="Times New Roman" w:eastAsia="SimSun" w:hAnsi="Times New Roman"/>
          <w:i/>
          <w:iCs/>
          <w:sz w:val="24"/>
          <w:szCs w:val="24"/>
          <w:u w:val="single"/>
        </w:rPr>
        <w:t>По топография:</w:t>
      </w:r>
    </w:p>
    <w:p w14:paraId="29E7127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Прилага се най-много при спастичния тип, защото обикновенно при другите форми е включено цялото тяло. </w:t>
      </w:r>
    </w:p>
    <w:p w14:paraId="20BB725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1. </w:t>
      </w:r>
      <w:r w:rsidRPr="00AE47C6">
        <w:rPr>
          <w:rFonts w:ascii="Times New Roman" w:eastAsia="SimSun" w:hAnsi="Times New Roman"/>
          <w:i/>
          <w:iCs/>
          <w:sz w:val="24"/>
          <w:szCs w:val="24"/>
        </w:rPr>
        <w:t>Квадриплегия</w:t>
      </w:r>
      <w:r w:rsidRPr="00AE47C6">
        <w:rPr>
          <w:rFonts w:ascii="Times New Roman" w:eastAsia="SimSun" w:hAnsi="Times New Roman"/>
          <w:sz w:val="24"/>
          <w:szCs w:val="24"/>
        </w:rPr>
        <w:t xml:space="preserve">- налице е централна квадрипареза със засягане на четирите крайника, като ръцете са еднакво или повече увредени от краката. Синоними са тетраплегията и двойна хемиплегия. </w:t>
      </w:r>
    </w:p>
    <w:p w14:paraId="521F102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2. </w:t>
      </w:r>
      <w:r w:rsidRPr="00AE47C6">
        <w:rPr>
          <w:rFonts w:ascii="Times New Roman" w:eastAsia="SimSun" w:hAnsi="Times New Roman"/>
          <w:i/>
          <w:iCs/>
          <w:sz w:val="24"/>
          <w:szCs w:val="24"/>
        </w:rPr>
        <w:t>Диплегия</w:t>
      </w:r>
      <w:r w:rsidRPr="00AE47C6">
        <w:rPr>
          <w:rFonts w:ascii="Times New Roman" w:eastAsia="SimSun" w:hAnsi="Times New Roman"/>
          <w:sz w:val="24"/>
          <w:szCs w:val="24"/>
        </w:rPr>
        <w:t xml:space="preserve">- краката са по-тежко увредени от ръцете. Някой клиницисти разграничават </w:t>
      </w:r>
      <w:r w:rsidRPr="00AE47C6">
        <w:rPr>
          <w:rFonts w:ascii="Times New Roman" w:eastAsia="SimSun" w:hAnsi="Times New Roman"/>
          <w:i/>
          <w:iCs/>
          <w:sz w:val="24"/>
          <w:szCs w:val="24"/>
        </w:rPr>
        <w:t>параплегия (парапареза) или диплегия І</w:t>
      </w:r>
      <w:r w:rsidRPr="00AE47C6">
        <w:rPr>
          <w:rFonts w:ascii="Times New Roman" w:eastAsia="SimSun" w:hAnsi="Times New Roman"/>
          <w:sz w:val="24"/>
          <w:szCs w:val="24"/>
        </w:rPr>
        <w:t xml:space="preserve">, при които ръцете са нормални или минимално засегнати, от </w:t>
      </w:r>
      <w:r w:rsidRPr="00AE47C6">
        <w:rPr>
          <w:rFonts w:ascii="Times New Roman" w:eastAsia="SimSun" w:hAnsi="Times New Roman"/>
          <w:i/>
          <w:iCs/>
          <w:sz w:val="24"/>
          <w:szCs w:val="24"/>
        </w:rPr>
        <w:t>диплегия ІІ</w:t>
      </w:r>
      <w:r w:rsidRPr="00AE47C6">
        <w:rPr>
          <w:rFonts w:ascii="Times New Roman" w:eastAsia="SimSun" w:hAnsi="Times New Roman"/>
          <w:sz w:val="24"/>
          <w:szCs w:val="24"/>
        </w:rPr>
        <w:t>, където ръцете са видимо засегнати. В повечето случаи тези подгрупи се възприемат заедно като диплегия.</w:t>
      </w:r>
    </w:p>
    <w:p w14:paraId="0CBCAFF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3. </w:t>
      </w:r>
      <w:r w:rsidRPr="00AE47C6">
        <w:rPr>
          <w:rFonts w:ascii="Times New Roman" w:eastAsia="SimSun" w:hAnsi="Times New Roman"/>
          <w:i/>
          <w:iCs/>
          <w:sz w:val="24"/>
          <w:szCs w:val="24"/>
        </w:rPr>
        <w:t>Хемиплегия</w:t>
      </w:r>
      <w:r w:rsidRPr="00AE47C6">
        <w:rPr>
          <w:rFonts w:ascii="Times New Roman" w:eastAsia="SimSun" w:hAnsi="Times New Roman"/>
          <w:sz w:val="24"/>
          <w:szCs w:val="24"/>
        </w:rPr>
        <w:t xml:space="preserve"> (хемипареза), като по-често е по-увреден горния крайник.</w:t>
      </w:r>
    </w:p>
    <w:p w14:paraId="3DB78F3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Понякога се наблюдават и по-малка симетричност в разпределението, което позволява появата на термини, като </w:t>
      </w:r>
      <w:r w:rsidRPr="00AE47C6">
        <w:rPr>
          <w:rFonts w:ascii="Times New Roman" w:eastAsia="SimSun" w:hAnsi="Times New Roman"/>
          <w:i/>
          <w:iCs/>
          <w:sz w:val="24"/>
          <w:szCs w:val="24"/>
        </w:rPr>
        <w:t>моноплегия и триплегия</w:t>
      </w:r>
      <w:r w:rsidRPr="00AE47C6">
        <w:rPr>
          <w:rFonts w:ascii="Times New Roman" w:eastAsia="SimSun" w:hAnsi="Times New Roman"/>
          <w:sz w:val="24"/>
          <w:szCs w:val="24"/>
        </w:rPr>
        <w:t>.</w:t>
      </w:r>
    </w:p>
    <w:p w14:paraId="45FE0DD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Белезите по клинична картина и по топография съотнесени към </w:t>
      </w:r>
      <w:r w:rsidRPr="00AE47C6">
        <w:rPr>
          <w:rFonts w:ascii="Times New Roman" w:eastAsia="SimSun" w:hAnsi="Times New Roman"/>
          <w:i/>
          <w:iCs/>
          <w:sz w:val="24"/>
          <w:szCs w:val="24"/>
        </w:rPr>
        <w:t>МКБ-10</w:t>
      </w:r>
      <w:r w:rsidRPr="00AE47C6">
        <w:rPr>
          <w:rFonts w:ascii="Times New Roman" w:eastAsia="SimSun" w:hAnsi="Times New Roman"/>
          <w:sz w:val="24"/>
          <w:szCs w:val="24"/>
        </w:rPr>
        <w:t xml:space="preserve">, имат следния вид: </w:t>
      </w:r>
    </w:p>
    <w:p w14:paraId="3E64E6CA" w14:textId="77777777" w:rsidR="00BE0B19" w:rsidRPr="00AE47C6" w:rsidRDefault="00BE0B19" w:rsidP="00BE0B19">
      <w:pPr>
        <w:spacing w:after="0" w:line="360" w:lineRule="auto"/>
        <w:ind w:firstLine="720"/>
        <w:rPr>
          <w:rFonts w:ascii="Times New Roman" w:eastAsia="SimSun" w:hAnsi="Times New Roman"/>
          <w:i/>
          <w:iCs/>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r>
      <w:r w:rsidRPr="00AE47C6">
        <w:rPr>
          <w:rFonts w:ascii="Times New Roman" w:eastAsia="SimSun" w:hAnsi="Times New Roman"/>
          <w:i/>
          <w:iCs/>
          <w:sz w:val="24"/>
          <w:szCs w:val="24"/>
        </w:rPr>
        <w:t>Спастична</w:t>
      </w:r>
      <w:r w:rsidRPr="00AE47C6">
        <w:rPr>
          <w:rFonts w:ascii="Times New Roman" w:eastAsia="SimSun" w:hAnsi="Times New Roman"/>
          <w:sz w:val="24"/>
          <w:szCs w:val="24"/>
        </w:rPr>
        <w:t>-</w:t>
      </w:r>
      <w:r w:rsidRPr="00AE47C6">
        <w:rPr>
          <w:rFonts w:ascii="Times New Roman" w:eastAsia="SimSun" w:hAnsi="Times New Roman"/>
          <w:sz w:val="24"/>
          <w:szCs w:val="24"/>
        </w:rPr>
        <w:tab/>
        <w:t>квадрипареза</w:t>
      </w:r>
      <w:r w:rsidRPr="00AE47C6">
        <w:rPr>
          <w:rFonts w:ascii="Times New Roman" w:eastAsia="SimSun" w:hAnsi="Times New Roman"/>
          <w:sz w:val="24"/>
          <w:szCs w:val="24"/>
        </w:rPr>
        <w:tab/>
      </w:r>
      <w:r w:rsidRPr="00AE47C6">
        <w:rPr>
          <w:rFonts w:ascii="Times New Roman" w:eastAsia="SimSun" w:hAnsi="Times New Roman"/>
          <w:sz w:val="24"/>
          <w:szCs w:val="24"/>
        </w:rPr>
        <w:tab/>
      </w:r>
      <w:r w:rsidRPr="00AE47C6">
        <w:rPr>
          <w:rFonts w:ascii="Times New Roman" w:eastAsia="SimSun" w:hAnsi="Times New Roman"/>
          <w:i/>
          <w:iCs/>
          <w:sz w:val="24"/>
          <w:szCs w:val="24"/>
        </w:rPr>
        <w:t>G80.0</w:t>
      </w:r>
    </w:p>
    <w:p w14:paraId="3FF6A162" w14:textId="77777777" w:rsidR="00BE0B19" w:rsidRPr="00AE47C6" w:rsidRDefault="00BE0B19" w:rsidP="00BE0B19">
      <w:pPr>
        <w:spacing w:after="0" w:line="360" w:lineRule="auto"/>
        <w:ind w:firstLine="720"/>
        <w:rPr>
          <w:rFonts w:ascii="Times New Roman" w:eastAsia="SimSun" w:hAnsi="Times New Roman"/>
          <w:i/>
          <w:iCs/>
          <w:sz w:val="24"/>
          <w:szCs w:val="24"/>
        </w:rPr>
      </w:pPr>
      <w:r w:rsidRPr="00AE47C6">
        <w:rPr>
          <w:rFonts w:ascii="Times New Roman" w:eastAsia="SimSun" w:hAnsi="Times New Roman"/>
          <w:i/>
          <w:iCs/>
          <w:sz w:val="24"/>
          <w:szCs w:val="24"/>
        </w:rPr>
        <w:tab/>
      </w:r>
      <w:r w:rsidRPr="00AE47C6">
        <w:rPr>
          <w:rFonts w:ascii="Times New Roman" w:eastAsia="SimSun" w:hAnsi="Times New Roman"/>
          <w:i/>
          <w:iCs/>
          <w:sz w:val="24"/>
          <w:szCs w:val="24"/>
        </w:rPr>
        <w:tab/>
      </w:r>
      <w:r w:rsidRPr="00AE47C6">
        <w:rPr>
          <w:rFonts w:ascii="Times New Roman" w:eastAsia="SimSun" w:hAnsi="Times New Roman"/>
          <w:i/>
          <w:iCs/>
          <w:sz w:val="24"/>
          <w:szCs w:val="24"/>
        </w:rPr>
        <w:tab/>
      </w:r>
      <w:r w:rsidRPr="00AE47C6">
        <w:rPr>
          <w:rFonts w:ascii="Times New Roman" w:eastAsia="SimSun" w:hAnsi="Times New Roman"/>
          <w:i/>
          <w:iCs/>
          <w:sz w:val="24"/>
          <w:szCs w:val="24"/>
        </w:rPr>
        <w:tab/>
      </w:r>
      <w:r w:rsidRPr="00AE47C6">
        <w:rPr>
          <w:rFonts w:ascii="Times New Roman" w:eastAsia="SimSun" w:hAnsi="Times New Roman"/>
          <w:sz w:val="24"/>
          <w:szCs w:val="24"/>
        </w:rPr>
        <w:t>дипареза</w:t>
      </w:r>
      <w:r w:rsidRPr="00AE47C6">
        <w:rPr>
          <w:rFonts w:ascii="Times New Roman" w:eastAsia="SimSun" w:hAnsi="Times New Roman"/>
          <w:sz w:val="24"/>
          <w:szCs w:val="24"/>
        </w:rPr>
        <w:tab/>
      </w:r>
      <w:r w:rsidRPr="00AE47C6">
        <w:rPr>
          <w:rFonts w:ascii="Times New Roman" w:eastAsia="SimSun" w:hAnsi="Times New Roman"/>
          <w:sz w:val="24"/>
          <w:szCs w:val="24"/>
        </w:rPr>
        <w:tab/>
      </w:r>
      <w:r w:rsidRPr="00AE47C6">
        <w:rPr>
          <w:rFonts w:ascii="Times New Roman" w:eastAsia="SimSun" w:hAnsi="Times New Roman"/>
          <w:i/>
          <w:iCs/>
          <w:sz w:val="24"/>
          <w:szCs w:val="24"/>
        </w:rPr>
        <w:t>G80.1</w:t>
      </w:r>
    </w:p>
    <w:p w14:paraId="739A09CF" w14:textId="77777777" w:rsidR="00BE0B19" w:rsidRPr="00AE47C6" w:rsidRDefault="00BE0B19" w:rsidP="00BE0B19">
      <w:pPr>
        <w:spacing w:after="0" w:line="360" w:lineRule="auto"/>
        <w:ind w:firstLine="720"/>
        <w:rPr>
          <w:rFonts w:ascii="Times New Roman" w:eastAsia="SimSun" w:hAnsi="Times New Roman"/>
          <w:i/>
          <w:iCs/>
          <w:sz w:val="24"/>
          <w:szCs w:val="24"/>
        </w:rPr>
      </w:pPr>
      <w:r w:rsidRPr="00AE47C6">
        <w:rPr>
          <w:rFonts w:ascii="Times New Roman" w:eastAsia="SimSun" w:hAnsi="Times New Roman"/>
          <w:i/>
          <w:iCs/>
          <w:sz w:val="24"/>
          <w:szCs w:val="24"/>
        </w:rPr>
        <w:tab/>
      </w:r>
      <w:r w:rsidRPr="00AE47C6">
        <w:rPr>
          <w:rFonts w:ascii="Times New Roman" w:eastAsia="SimSun" w:hAnsi="Times New Roman"/>
          <w:i/>
          <w:iCs/>
          <w:sz w:val="24"/>
          <w:szCs w:val="24"/>
        </w:rPr>
        <w:tab/>
      </w:r>
      <w:r w:rsidRPr="00AE47C6">
        <w:rPr>
          <w:rFonts w:ascii="Times New Roman" w:eastAsia="SimSun" w:hAnsi="Times New Roman"/>
          <w:i/>
          <w:iCs/>
          <w:sz w:val="24"/>
          <w:szCs w:val="24"/>
        </w:rPr>
        <w:tab/>
      </w:r>
      <w:r w:rsidRPr="00AE47C6">
        <w:rPr>
          <w:rFonts w:ascii="Times New Roman" w:eastAsia="SimSun" w:hAnsi="Times New Roman"/>
          <w:i/>
          <w:iCs/>
          <w:sz w:val="24"/>
          <w:szCs w:val="24"/>
        </w:rPr>
        <w:tab/>
      </w:r>
      <w:r w:rsidRPr="00AE47C6">
        <w:rPr>
          <w:rFonts w:ascii="Times New Roman" w:eastAsia="SimSun" w:hAnsi="Times New Roman"/>
          <w:sz w:val="24"/>
          <w:szCs w:val="24"/>
        </w:rPr>
        <w:t>хемипареза</w:t>
      </w:r>
      <w:r w:rsidRPr="00AE47C6">
        <w:rPr>
          <w:rFonts w:ascii="Times New Roman" w:eastAsia="SimSun" w:hAnsi="Times New Roman"/>
          <w:i/>
          <w:iCs/>
          <w:sz w:val="24"/>
          <w:szCs w:val="24"/>
        </w:rPr>
        <w:tab/>
      </w:r>
      <w:r w:rsidRPr="00AE47C6">
        <w:rPr>
          <w:rFonts w:ascii="Times New Roman" w:eastAsia="SimSun" w:hAnsi="Times New Roman"/>
          <w:i/>
          <w:iCs/>
          <w:sz w:val="24"/>
          <w:szCs w:val="24"/>
        </w:rPr>
        <w:tab/>
        <w:t>G80.2</w:t>
      </w:r>
    </w:p>
    <w:p w14:paraId="777748E6" w14:textId="77777777" w:rsidR="00BE0B19" w:rsidRPr="00AE47C6" w:rsidRDefault="00BE0B19" w:rsidP="00BE0B19">
      <w:pPr>
        <w:spacing w:after="0" w:line="360" w:lineRule="auto"/>
        <w:ind w:firstLine="720"/>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r>
      <w:r w:rsidRPr="00AE47C6">
        <w:rPr>
          <w:rFonts w:ascii="Times New Roman" w:eastAsia="SimSun" w:hAnsi="Times New Roman"/>
          <w:sz w:val="24"/>
          <w:szCs w:val="24"/>
        </w:rPr>
        <w:tab/>
      </w:r>
      <w:r w:rsidRPr="00AE47C6">
        <w:rPr>
          <w:rFonts w:ascii="Times New Roman" w:eastAsia="SimSun" w:hAnsi="Times New Roman"/>
          <w:sz w:val="24"/>
          <w:szCs w:val="24"/>
        </w:rPr>
        <w:tab/>
      </w:r>
      <w:r w:rsidRPr="00AE47C6">
        <w:rPr>
          <w:rFonts w:ascii="Times New Roman" w:eastAsia="SimSun" w:hAnsi="Times New Roman"/>
          <w:i/>
          <w:iCs/>
          <w:sz w:val="24"/>
          <w:szCs w:val="24"/>
        </w:rPr>
        <w:t>Дизкинетична</w:t>
      </w:r>
      <w:r w:rsidRPr="00AE47C6">
        <w:rPr>
          <w:rFonts w:ascii="Times New Roman" w:eastAsia="SimSun" w:hAnsi="Times New Roman"/>
          <w:sz w:val="24"/>
          <w:szCs w:val="24"/>
        </w:rPr>
        <w:t>-</w:t>
      </w:r>
      <w:r w:rsidRPr="00AE47C6">
        <w:rPr>
          <w:rFonts w:ascii="Times New Roman" w:eastAsia="SimSun" w:hAnsi="Times New Roman"/>
          <w:sz w:val="24"/>
          <w:szCs w:val="24"/>
        </w:rPr>
        <w:tab/>
      </w:r>
      <w:r w:rsidRPr="00AE47C6">
        <w:rPr>
          <w:rFonts w:ascii="Times New Roman" w:eastAsia="SimSun" w:hAnsi="Times New Roman"/>
          <w:i/>
          <w:iCs/>
          <w:sz w:val="24"/>
          <w:szCs w:val="24"/>
        </w:rPr>
        <w:t>G80.3</w:t>
      </w:r>
    </w:p>
    <w:p w14:paraId="3634A5C1" w14:textId="77777777" w:rsidR="00BE0B19" w:rsidRPr="00AE47C6" w:rsidRDefault="00BE0B19" w:rsidP="00BE0B19">
      <w:pPr>
        <w:spacing w:after="0" w:line="360" w:lineRule="auto"/>
        <w:ind w:firstLine="720"/>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r>
      <w:r w:rsidRPr="00AE47C6">
        <w:rPr>
          <w:rFonts w:ascii="Times New Roman" w:eastAsia="SimSun" w:hAnsi="Times New Roman"/>
          <w:sz w:val="24"/>
          <w:szCs w:val="24"/>
        </w:rPr>
        <w:tab/>
      </w:r>
      <w:r w:rsidRPr="00AE47C6">
        <w:rPr>
          <w:rFonts w:ascii="Times New Roman" w:eastAsia="SimSun" w:hAnsi="Times New Roman"/>
          <w:sz w:val="24"/>
          <w:szCs w:val="24"/>
        </w:rPr>
        <w:tab/>
      </w:r>
      <w:r w:rsidRPr="00AE47C6">
        <w:rPr>
          <w:rFonts w:ascii="Times New Roman" w:eastAsia="SimSun" w:hAnsi="Times New Roman"/>
          <w:i/>
          <w:iCs/>
          <w:sz w:val="24"/>
          <w:szCs w:val="24"/>
        </w:rPr>
        <w:t>Атаксична</w:t>
      </w:r>
      <w:r w:rsidRPr="00AE47C6">
        <w:rPr>
          <w:rFonts w:ascii="Times New Roman" w:eastAsia="SimSun" w:hAnsi="Times New Roman"/>
          <w:sz w:val="24"/>
          <w:szCs w:val="24"/>
        </w:rPr>
        <w:t>-</w:t>
      </w:r>
      <w:r w:rsidRPr="00AE47C6">
        <w:rPr>
          <w:rFonts w:ascii="Times New Roman" w:eastAsia="SimSun" w:hAnsi="Times New Roman"/>
          <w:sz w:val="24"/>
          <w:szCs w:val="24"/>
        </w:rPr>
        <w:tab/>
      </w:r>
      <w:r w:rsidRPr="00AE47C6">
        <w:rPr>
          <w:rFonts w:ascii="Times New Roman" w:eastAsia="SimSun" w:hAnsi="Times New Roman"/>
          <w:sz w:val="24"/>
          <w:szCs w:val="24"/>
        </w:rPr>
        <w:tab/>
      </w:r>
      <w:r w:rsidRPr="00AE47C6">
        <w:rPr>
          <w:rFonts w:ascii="Times New Roman" w:eastAsia="SimSun" w:hAnsi="Times New Roman"/>
          <w:i/>
          <w:iCs/>
          <w:sz w:val="24"/>
          <w:szCs w:val="24"/>
        </w:rPr>
        <w:t>G80.4</w:t>
      </w:r>
    </w:p>
    <w:p w14:paraId="1CC79CE1" w14:textId="77777777" w:rsidR="00BE0B19" w:rsidRPr="00AE47C6" w:rsidRDefault="00BE0B19" w:rsidP="00BE0B19">
      <w:pPr>
        <w:tabs>
          <w:tab w:val="num" w:pos="720"/>
        </w:tabs>
        <w:spacing w:after="0" w:line="360" w:lineRule="auto"/>
        <w:ind w:firstLine="720"/>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r>
      <w:r w:rsidRPr="00AE47C6">
        <w:rPr>
          <w:rFonts w:ascii="Times New Roman" w:eastAsia="SimSun" w:hAnsi="Times New Roman"/>
          <w:sz w:val="24"/>
          <w:szCs w:val="24"/>
        </w:rPr>
        <w:tab/>
      </w:r>
      <w:r w:rsidRPr="00AE47C6">
        <w:rPr>
          <w:rFonts w:ascii="Times New Roman" w:eastAsia="SimSun" w:hAnsi="Times New Roman"/>
          <w:sz w:val="24"/>
          <w:szCs w:val="24"/>
        </w:rPr>
        <w:tab/>
      </w:r>
      <w:r w:rsidRPr="00AE47C6">
        <w:rPr>
          <w:rFonts w:ascii="Times New Roman" w:eastAsia="SimSun" w:hAnsi="Times New Roman"/>
          <w:i/>
          <w:iCs/>
          <w:sz w:val="24"/>
          <w:szCs w:val="24"/>
        </w:rPr>
        <w:t>Смесени</w:t>
      </w:r>
      <w:r w:rsidRPr="00AE47C6">
        <w:rPr>
          <w:rFonts w:ascii="Times New Roman" w:eastAsia="SimSun" w:hAnsi="Times New Roman"/>
          <w:sz w:val="24"/>
          <w:szCs w:val="24"/>
        </w:rPr>
        <w:t xml:space="preserve">- </w:t>
      </w:r>
      <w:r w:rsidRPr="00AE47C6">
        <w:rPr>
          <w:rFonts w:ascii="Times New Roman" w:eastAsia="SimSun" w:hAnsi="Times New Roman"/>
          <w:sz w:val="24"/>
          <w:szCs w:val="24"/>
        </w:rPr>
        <w:tab/>
      </w:r>
      <w:r w:rsidRPr="00AE47C6">
        <w:rPr>
          <w:rFonts w:ascii="Times New Roman" w:eastAsia="SimSun" w:hAnsi="Times New Roman"/>
          <w:sz w:val="24"/>
          <w:szCs w:val="24"/>
        </w:rPr>
        <w:tab/>
      </w:r>
      <w:r w:rsidRPr="00AE47C6">
        <w:rPr>
          <w:rFonts w:ascii="Times New Roman" w:eastAsia="SimSun" w:hAnsi="Times New Roman"/>
          <w:i/>
          <w:iCs/>
          <w:sz w:val="24"/>
          <w:szCs w:val="24"/>
        </w:rPr>
        <w:t>G80.8</w:t>
      </w:r>
    </w:p>
    <w:p w14:paraId="30DA2D52" w14:textId="77777777" w:rsidR="00BE0B19" w:rsidRPr="00AE47C6" w:rsidRDefault="00BE0B19" w:rsidP="00BE0B19">
      <w:pPr>
        <w:spacing w:after="0" w:line="360" w:lineRule="auto"/>
        <w:ind w:firstLine="720"/>
        <w:rPr>
          <w:rFonts w:ascii="Times New Roman" w:eastAsia="SimSun" w:hAnsi="Times New Roman"/>
          <w:sz w:val="24"/>
          <w:szCs w:val="24"/>
        </w:rPr>
      </w:pPr>
    </w:p>
    <w:p w14:paraId="3D09648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u w:val="single"/>
        </w:rPr>
        <w:t>По етиология</w:t>
      </w:r>
      <w:r w:rsidRPr="00AE47C6">
        <w:rPr>
          <w:rFonts w:ascii="Times New Roman" w:eastAsia="SimSun" w:hAnsi="Times New Roman"/>
          <w:sz w:val="24"/>
          <w:szCs w:val="24"/>
          <w:u w:val="single"/>
        </w:rPr>
        <w:t>:</w:t>
      </w:r>
    </w:p>
    <w:p w14:paraId="2C6167C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Значителна част от ЦП има мултифакторна етиология, което налага невроизобразяващи изследвания (КТ или МРТ), изследвания за тромбофилии, при необходимост генетични и метаболитни изследвания. </w:t>
      </w:r>
    </w:p>
    <w:p w14:paraId="2FD8137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През последното десетилетие е утвърдена класификацията с групиране на клиничните белези в четири основни групи, като всяка група е с определени нива на функционални възможности в 4 направления</w:t>
      </w:r>
    </w:p>
    <w:p w14:paraId="0F709175"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ab/>
        <w:t xml:space="preserve">I. </w:t>
      </w:r>
      <w:r w:rsidRPr="00AE47C6">
        <w:rPr>
          <w:rFonts w:ascii="Times New Roman" w:eastAsia="SimSun" w:hAnsi="Times New Roman"/>
          <w:i/>
          <w:iCs/>
          <w:sz w:val="24"/>
          <w:szCs w:val="24"/>
          <w:u w:val="single"/>
        </w:rPr>
        <w:t>Моторни отклонения</w:t>
      </w:r>
    </w:p>
    <w:p w14:paraId="6C88F052" w14:textId="77777777" w:rsidR="00BE0B19" w:rsidRPr="00AE47C6" w:rsidRDefault="00BE0B19" w:rsidP="00BE0B19">
      <w:pPr>
        <w:numPr>
          <w:ilvl w:val="1"/>
          <w:numId w:val="310"/>
        </w:num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Типологични</w:t>
      </w:r>
    </w:p>
    <w:p w14:paraId="5C786A2E" w14:textId="77777777" w:rsidR="00BE0B19" w:rsidRPr="00AE47C6" w:rsidRDefault="00BE0B19" w:rsidP="00BE0B19">
      <w:pPr>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t>Спастичност  (едностранна или двустранна)</w:t>
      </w:r>
    </w:p>
    <w:p w14:paraId="128E523C" w14:textId="77777777" w:rsidR="00BE0B19" w:rsidRPr="00AE47C6" w:rsidRDefault="00BE0B19" w:rsidP="00BE0B19">
      <w:pPr>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t>Дистония или атетоза</w:t>
      </w:r>
    </w:p>
    <w:p w14:paraId="78F5945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r>
      <w:r w:rsidRPr="00AE47C6">
        <w:rPr>
          <w:rFonts w:ascii="Times New Roman" w:eastAsia="SimSun" w:hAnsi="Times New Roman"/>
          <w:sz w:val="24"/>
          <w:szCs w:val="24"/>
        </w:rPr>
        <w:tab/>
        <w:t>Атаксия</w:t>
      </w:r>
    </w:p>
    <w:p w14:paraId="0049F2C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r>
      <w:r w:rsidRPr="00AE47C6">
        <w:rPr>
          <w:rFonts w:ascii="Times New Roman" w:eastAsia="SimSun" w:hAnsi="Times New Roman"/>
          <w:sz w:val="24"/>
          <w:szCs w:val="24"/>
        </w:rPr>
        <w:tab/>
        <w:t>Смесени</w:t>
      </w:r>
    </w:p>
    <w:p w14:paraId="2FF39648" w14:textId="77777777" w:rsidR="00BE0B19" w:rsidRPr="00AE47C6" w:rsidRDefault="00BE0B19" w:rsidP="00BE0B19">
      <w:pPr>
        <w:numPr>
          <w:ilvl w:val="1"/>
          <w:numId w:val="311"/>
        </w:num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Функционални възможности: </w:t>
      </w:r>
    </w:p>
    <w:p w14:paraId="2ED927C5" w14:textId="77777777" w:rsidR="00BE0B19" w:rsidRPr="00AE47C6" w:rsidRDefault="00BE0B19" w:rsidP="00BE0B19">
      <w:pPr>
        <w:spacing w:after="0" w:line="360" w:lineRule="auto"/>
        <w:ind w:left="1080" w:firstLine="720"/>
        <w:jc w:val="both"/>
        <w:rPr>
          <w:rFonts w:ascii="Times New Roman" w:eastAsia="SimSun" w:hAnsi="Times New Roman"/>
          <w:b/>
          <w:bCs/>
          <w:sz w:val="24"/>
          <w:szCs w:val="24"/>
        </w:rPr>
      </w:pPr>
      <w:r w:rsidRPr="00AE47C6">
        <w:rPr>
          <w:rFonts w:ascii="Times New Roman" w:eastAsia="SimSun" w:hAnsi="Times New Roman"/>
          <w:b/>
          <w:bCs/>
          <w:sz w:val="24"/>
          <w:szCs w:val="24"/>
        </w:rPr>
        <w:t xml:space="preserve">GMFCS – </w:t>
      </w:r>
      <w:r w:rsidRPr="00AE47C6">
        <w:rPr>
          <w:rFonts w:ascii="Times New Roman" w:eastAsia="SimSun" w:hAnsi="Times New Roman"/>
          <w:sz w:val="24"/>
          <w:szCs w:val="24"/>
        </w:rPr>
        <w:t>Gross Motor Function Classification System (Класификационна система за груби моторни функции)</w:t>
      </w:r>
    </w:p>
    <w:p w14:paraId="5BD769BC" w14:textId="77777777" w:rsidR="00BE0B19" w:rsidRPr="00AE47C6" w:rsidRDefault="00BE0B19" w:rsidP="00BE0B19">
      <w:pPr>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b/>
          <w:bCs/>
          <w:sz w:val="24"/>
          <w:szCs w:val="24"/>
        </w:rPr>
        <w:t xml:space="preserve">MACS – </w:t>
      </w:r>
      <w:r w:rsidRPr="00AE47C6">
        <w:rPr>
          <w:rFonts w:ascii="Times New Roman" w:eastAsia="SimSun" w:hAnsi="Times New Roman"/>
          <w:sz w:val="24"/>
          <w:szCs w:val="24"/>
        </w:rPr>
        <w:t xml:space="preserve">Manual Ability Classification System (Класификационна система за умения на ръцете); </w:t>
      </w:r>
    </w:p>
    <w:p w14:paraId="720041D6" w14:textId="77777777" w:rsidR="00BE0B19" w:rsidRPr="00AE47C6" w:rsidRDefault="00BE0B19" w:rsidP="00BE0B19">
      <w:pPr>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b/>
          <w:bCs/>
          <w:sz w:val="24"/>
          <w:szCs w:val="24"/>
        </w:rPr>
        <w:t xml:space="preserve">CFCS – </w:t>
      </w:r>
      <w:r w:rsidRPr="00AE47C6">
        <w:rPr>
          <w:rFonts w:ascii="Times New Roman" w:eastAsia="SimSun" w:hAnsi="Times New Roman"/>
          <w:sz w:val="24"/>
          <w:szCs w:val="24"/>
        </w:rPr>
        <w:t>Communication Function Classification System (Класификационна система за комуникационни функции)</w:t>
      </w:r>
    </w:p>
    <w:p w14:paraId="0EEAA834" w14:textId="77777777" w:rsidR="00BE0B19" w:rsidRPr="00AE47C6" w:rsidRDefault="00BE0B19" w:rsidP="00BE0B19">
      <w:pPr>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b/>
          <w:bCs/>
          <w:sz w:val="24"/>
          <w:szCs w:val="24"/>
        </w:rPr>
        <w:t xml:space="preserve">EDACS – </w:t>
      </w:r>
      <w:r w:rsidRPr="00AE47C6">
        <w:rPr>
          <w:rFonts w:ascii="Times New Roman" w:eastAsia="SimSun" w:hAnsi="Times New Roman"/>
          <w:sz w:val="24"/>
          <w:szCs w:val="24"/>
        </w:rPr>
        <w:t>Eating and Drinking  Ability Classification System (Класификационна система за умения при хранене и пиене).</w:t>
      </w:r>
    </w:p>
    <w:p w14:paraId="5B43974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Използват се и специфични моторни тестове, отразяващи динамиката в развитието на грубите и фините моторни умения при децата с ЦП:</w:t>
      </w:r>
    </w:p>
    <w:p w14:paraId="4B103898" w14:textId="77777777" w:rsidR="00BE0B19" w:rsidRPr="00AE47C6" w:rsidRDefault="00BE0B19" w:rsidP="00BE0B19">
      <w:pPr>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b/>
          <w:bCs/>
          <w:sz w:val="24"/>
          <w:szCs w:val="24"/>
        </w:rPr>
        <w:t xml:space="preserve">GMFM 88/66 – </w:t>
      </w:r>
      <w:r w:rsidRPr="00AE47C6">
        <w:rPr>
          <w:rFonts w:ascii="Times New Roman" w:eastAsia="SimSun" w:hAnsi="Times New Roman"/>
          <w:sz w:val="24"/>
          <w:szCs w:val="24"/>
        </w:rPr>
        <w:t>Gross Motor Function Measurement (Измерване на груби моторни функции 88/66 точки)</w:t>
      </w:r>
    </w:p>
    <w:p w14:paraId="4857EDF8" w14:textId="77777777" w:rsidR="00BE0B19" w:rsidRPr="00AE47C6" w:rsidRDefault="00BE0B19" w:rsidP="00BE0B19">
      <w:pPr>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b/>
          <w:bCs/>
          <w:sz w:val="24"/>
          <w:szCs w:val="24"/>
        </w:rPr>
        <w:t>BFMF –</w:t>
      </w:r>
      <w:r w:rsidRPr="00AE47C6">
        <w:rPr>
          <w:rFonts w:ascii="Times New Roman" w:eastAsia="SimSun" w:hAnsi="Times New Roman"/>
          <w:sz w:val="24"/>
          <w:szCs w:val="24"/>
        </w:rPr>
        <w:t xml:space="preserve">Bimanual Fine Motor Function (Фини моторни функции на двете ръце). </w:t>
      </w:r>
    </w:p>
    <w:p w14:paraId="7051194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У нас цитираните по-горе класификационни системи и моторни тестове се прилагат в СБРДЦП" Св. София" (</w:t>
      </w:r>
      <w:hyperlink r:id="rId155" w:history="1">
        <w:r w:rsidRPr="00AE47C6">
          <w:rPr>
            <w:rFonts w:ascii="Times New Roman" w:eastAsia="SimSun" w:hAnsi="Times New Roman"/>
            <w:sz w:val="24"/>
            <w:szCs w:val="24"/>
          </w:rPr>
          <w:t>www.cpcentresof-bg.com</w:t>
        </w:r>
      </w:hyperlink>
      <w:r w:rsidRPr="00AE47C6">
        <w:rPr>
          <w:rFonts w:ascii="Times New Roman" w:eastAsia="SimSun" w:hAnsi="Times New Roman"/>
          <w:sz w:val="24"/>
          <w:szCs w:val="24"/>
        </w:rPr>
        <w:t xml:space="preserve">), за оценяване състоянието на пациента в динамика и да се изработва адекватната рехабилитационна програма свързана с моторното прогнозиране при пациента.  </w:t>
      </w:r>
    </w:p>
    <w:p w14:paraId="7242F4D5" w14:textId="77777777" w:rsidR="00BE0B19" w:rsidRPr="00AE47C6" w:rsidRDefault="00BE0B19" w:rsidP="00BE0B19">
      <w:pPr>
        <w:spacing w:after="0" w:line="360" w:lineRule="auto"/>
        <w:ind w:left="1080" w:firstLine="720"/>
        <w:jc w:val="both"/>
        <w:rPr>
          <w:rFonts w:ascii="Times New Roman" w:eastAsia="SimSun" w:hAnsi="Times New Roman"/>
          <w:i/>
          <w:iCs/>
          <w:sz w:val="24"/>
          <w:szCs w:val="24"/>
          <w:u w:val="single"/>
        </w:rPr>
      </w:pPr>
      <w:r w:rsidRPr="00AE47C6">
        <w:rPr>
          <w:rFonts w:ascii="Times New Roman" w:eastAsia="SimSun" w:hAnsi="Times New Roman"/>
          <w:i/>
          <w:iCs/>
          <w:sz w:val="24"/>
          <w:szCs w:val="24"/>
        </w:rPr>
        <w:t xml:space="preserve">II. </w:t>
      </w:r>
      <w:r w:rsidRPr="00AE47C6">
        <w:rPr>
          <w:rFonts w:ascii="Times New Roman" w:eastAsia="SimSun" w:hAnsi="Times New Roman"/>
          <w:i/>
          <w:iCs/>
          <w:sz w:val="24"/>
          <w:szCs w:val="24"/>
          <w:u w:val="single"/>
        </w:rPr>
        <w:t>Анатомични и невроизобразяващи  белези</w:t>
      </w:r>
    </w:p>
    <w:p w14:paraId="0DB772F6" w14:textId="77777777" w:rsidR="00BE0B19" w:rsidRPr="00AE47C6" w:rsidRDefault="00BE0B19" w:rsidP="00BE0B19">
      <w:pPr>
        <w:spacing w:after="0" w:line="360" w:lineRule="auto"/>
        <w:ind w:left="1080" w:firstLine="720"/>
        <w:jc w:val="both"/>
        <w:rPr>
          <w:rFonts w:ascii="Times New Roman" w:eastAsia="SimSun" w:hAnsi="Times New Roman"/>
          <w:i/>
          <w:iCs/>
          <w:sz w:val="24"/>
          <w:szCs w:val="24"/>
        </w:rPr>
      </w:pPr>
      <w:r w:rsidRPr="00AE47C6">
        <w:rPr>
          <w:rFonts w:ascii="Times New Roman" w:eastAsia="SimSun" w:hAnsi="Times New Roman"/>
          <w:b/>
          <w:bCs/>
          <w:sz w:val="24"/>
          <w:szCs w:val="24"/>
        </w:rPr>
        <w:tab/>
      </w:r>
      <w:r w:rsidRPr="00AE47C6">
        <w:rPr>
          <w:rFonts w:ascii="Times New Roman" w:eastAsia="SimSun" w:hAnsi="Times New Roman"/>
          <w:b/>
          <w:bCs/>
          <w:sz w:val="24"/>
          <w:szCs w:val="24"/>
        </w:rPr>
        <w:tab/>
      </w:r>
      <w:r w:rsidRPr="00AE47C6">
        <w:rPr>
          <w:rFonts w:ascii="Times New Roman" w:eastAsia="SimSun" w:hAnsi="Times New Roman"/>
          <w:i/>
          <w:iCs/>
          <w:sz w:val="24"/>
          <w:szCs w:val="24"/>
        </w:rPr>
        <w:t>Анатомични форми</w:t>
      </w:r>
    </w:p>
    <w:p w14:paraId="51C20A47" w14:textId="77777777" w:rsidR="00BE0B19" w:rsidRPr="00AE47C6" w:rsidRDefault="00BE0B19" w:rsidP="00BE0B19">
      <w:pPr>
        <w:spacing w:after="0" w:line="360" w:lineRule="auto"/>
        <w:ind w:left="1800" w:firstLine="720"/>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t>Едностранна (Унилатерална)</w:t>
      </w:r>
    </w:p>
    <w:p w14:paraId="1C112781" w14:textId="77777777" w:rsidR="00BE0B19" w:rsidRPr="00AE47C6" w:rsidRDefault="00BE0B19" w:rsidP="00BE0B19">
      <w:pPr>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r>
      <w:r w:rsidRPr="00AE47C6">
        <w:rPr>
          <w:rFonts w:ascii="Times New Roman" w:eastAsia="SimSun" w:hAnsi="Times New Roman"/>
          <w:sz w:val="24"/>
          <w:szCs w:val="24"/>
        </w:rPr>
        <w:tab/>
        <w:t>Двустранна (Билатерална)</w:t>
      </w:r>
    </w:p>
    <w:p w14:paraId="59252DF1" w14:textId="77777777" w:rsidR="00BE0B19" w:rsidRPr="00AE47C6" w:rsidRDefault="00BE0B19" w:rsidP="00BE0B19">
      <w:pPr>
        <w:spacing w:after="0" w:line="360" w:lineRule="auto"/>
        <w:ind w:left="1080" w:firstLine="720"/>
        <w:jc w:val="both"/>
        <w:rPr>
          <w:rFonts w:ascii="Times New Roman" w:eastAsia="SimSun" w:hAnsi="Times New Roman"/>
          <w:i/>
          <w:iCs/>
          <w:sz w:val="24"/>
          <w:szCs w:val="24"/>
        </w:rPr>
      </w:pPr>
      <w:r w:rsidRPr="00AE47C6">
        <w:rPr>
          <w:rFonts w:ascii="Times New Roman" w:eastAsia="SimSun" w:hAnsi="Times New Roman"/>
          <w:i/>
          <w:iCs/>
          <w:sz w:val="24"/>
          <w:szCs w:val="24"/>
        </w:rPr>
        <w:tab/>
      </w:r>
      <w:r w:rsidRPr="00AE47C6">
        <w:rPr>
          <w:rFonts w:ascii="Times New Roman" w:eastAsia="SimSun" w:hAnsi="Times New Roman"/>
          <w:i/>
          <w:iCs/>
          <w:sz w:val="24"/>
          <w:szCs w:val="24"/>
        </w:rPr>
        <w:tab/>
        <w:t>Невроизобразяващи форми</w:t>
      </w:r>
    </w:p>
    <w:p w14:paraId="02606B98" w14:textId="77777777" w:rsidR="00BE0B19" w:rsidRPr="00AE47C6" w:rsidRDefault="00BE0B19" w:rsidP="00BE0B19">
      <w:pPr>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r>
      <w:r w:rsidRPr="00AE47C6">
        <w:rPr>
          <w:rFonts w:ascii="Times New Roman" w:eastAsia="SimSun" w:hAnsi="Times New Roman"/>
          <w:sz w:val="24"/>
          <w:szCs w:val="24"/>
        </w:rPr>
        <w:tab/>
        <w:t>Разширени вентрикули</w:t>
      </w:r>
    </w:p>
    <w:p w14:paraId="480C4F0E" w14:textId="77777777" w:rsidR="00BE0B19" w:rsidRPr="00AE47C6" w:rsidRDefault="00BE0B19" w:rsidP="00BE0B19">
      <w:pPr>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r>
      <w:r w:rsidRPr="00AE47C6">
        <w:rPr>
          <w:rFonts w:ascii="Times New Roman" w:eastAsia="SimSun" w:hAnsi="Times New Roman"/>
          <w:sz w:val="24"/>
          <w:szCs w:val="24"/>
        </w:rPr>
        <w:tab/>
        <w:t>Загуба на бяло мозъчно вещество</w:t>
      </w:r>
    </w:p>
    <w:p w14:paraId="1B41A5B5" w14:textId="77777777" w:rsidR="00BE0B19" w:rsidRPr="00AE47C6" w:rsidRDefault="00BE0B19" w:rsidP="00BE0B19">
      <w:pPr>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r>
      <w:r w:rsidRPr="00AE47C6">
        <w:rPr>
          <w:rFonts w:ascii="Times New Roman" w:eastAsia="SimSun" w:hAnsi="Times New Roman"/>
          <w:sz w:val="24"/>
          <w:szCs w:val="24"/>
        </w:rPr>
        <w:tab/>
        <w:t>Мозъчни малформации</w:t>
      </w:r>
    </w:p>
    <w:p w14:paraId="407EBE29" w14:textId="77777777" w:rsidR="00BE0B19" w:rsidRPr="00AE47C6" w:rsidRDefault="00BE0B19" w:rsidP="00BE0B19">
      <w:pPr>
        <w:spacing w:after="0" w:line="360" w:lineRule="auto"/>
        <w:ind w:left="1080" w:firstLine="720"/>
        <w:jc w:val="both"/>
        <w:rPr>
          <w:rFonts w:ascii="Times New Roman" w:eastAsia="SimSun" w:hAnsi="Times New Roman"/>
          <w:sz w:val="24"/>
          <w:szCs w:val="24"/>
          <w:u w:val="single"/>
        </w:rPr>
      </w:pPr>
      <w:r w:rsidRPr="00AE47C6">
        <w:rPr>
          <w:rFonts w:ascii="Times New Roman" w:eastAsia="SimSun" w:hAnsi="Times New Roman"/>
          <w:sz w:val="24"/>
          <w:szCs w:val="24"/>
        </w:rPr>
        <w:t xml:space="preserve">III. </w:t>
      </w:r>
      <w:r w:rsidRPr="00AE47C6">
        <w:rPr>
          <w:rFonts w:ascii="Times New Roman" w:eastAsia="SimSun" w:hAnsi="Times New Roman"/>
          <w:sz w:val="24"/>
          <w:szCs w:val="24"/>
          <w:u w:val="single"/>
        </w:rPr>
        <w:t>Причина и време на появяване</w:t>
      </w:r>
    </w:p>
    <w:p w14:paraId="59520794" w14:textId="77777777" w:rsidR="00BE0B19" w:rsidRPr="00AE47C6" w:rsidRDefault="00BE0B19" w:rsidP="00BE0B19">
      <w:pPr>
        <w:spacing w:after="0" w:line="360" w:lineRule="auto"/>
        <w:ind w:left="1080" w:firstLine="720"/>
        <w:jc w:val="both"/>
        <w:rPr>
          <w:rFonts w:ascii="Times New Roman" w:eastAsia="SimSun" w:hAnsi="Times New Roman"/>
          <w:sz w:val="24"/>
          <w:szCs w:val="24"/>
          <w:u w:val="single"/>
        </w:rPr>
      </w:pPr>
      <w:r w:rsidRPr="00AE47C6">
        <w:rPr>
          <w:rFonts w:ascii="Times New Roman" w:eastAsia="SimSun" w:hAnsi="Times New Roman"/>
          <w:sz w:val="24"/>
          <w:szCs w:val="24"/>
        </w:rPr>
        <w:t xml:space="preserve">IV. </w:t>
      </w:r>
      <w:r w:rsidRPr="00AE47C6">
        <w:rPr>
          <w:rFonts w:ascii="Times New Roman" w:eastAsia="SimSun" w:hAnsi="Times New Roman"/>
          <w:sz w:val="24"/>
          <w:szCs w:val="24"/>
          <w:u w:val="single"/>
        </w:rPr>
        <w:t>Съпътстващи увреждания</w:t>
      </w:r>
    </w:p>
    <w:p w14:paraId="3AF9AD0E" w14:textId="77777777" w:rsidR="00BE0B19" w:rsidRPr="00AE47C6" w:rsidRDefault="00BE0B19" w:rsidP="00BE0B19">
      <w:pPr>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t>Епилепсия</w:t>
      </w:r>
    </w:p>
    <w:p w14:paraId="1770C855" w14:textId="77777777" w:rsidR="00BE0B19" w:rsidRPr="00AE47C6" w:rsidRDefault="00BE0B19" w:rsidP="00BE0B19">
      <w:pPr>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t>Слухови и зрителни проблеми</w:t>
      </w:r>
    </w:p>
    <w:p w14:paraId="5CC21AFA" w14:textId="77777777" w:rsidR="00BE0B19" w:rsidRPr="00AE47C6" w:rsidRDefault="00BE0B19" w:rsidP="00BE0B19">
      <w:pPr>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t>Дефицит на мисленето и вниманието</w:t>
      </w:r>
    </w:p>
    <w:p w14:paraId="1D91C835" w14:textId="77777777" w:rsidR="00BE0B19" w:rsidRPr="00AE47C6" w:rsidRDefault="00BE0B19" w:rsidP="00BE0B19">
      <w:pPr>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t>Емоционални и поведенчески отклонения</w:t>
      </w:r>
    </w:p>
    <w:p w14:paraId="7CBA557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sz w:val="24"/>
          <w:szCs w:val="24"/>
        </w:rPr>
        <w:t>12.6. Клинична картина на различните форми:</w:t>
      </w:r>
    </w:p>
    <w:p w14:paraId="136EC47A" w14:textId="77777777" w:rsidR="00BE0B19" w:rsidRPr="00AE47C6" w:rsidRDefault="00BE0B19" w:rsidP="00BE0B19">
      <w:pPr>
        <w:tabs>
          <w:tab w:val="left" w:pos="360"/>
        </w:tabs>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ab/>
        <w:t>12.6.1. Специфично разстройство в развитието на двигателните функции с централно координационно смущение (СРРДФ-ЦКС)</w:t>
      </w:r>
    </w:p>
    <w:p w14:paraId="1B743FFC" w14:textId="77777777" w:rsidR="00BE0B19" w:rsidRPr="00AE47C6" w:rsidRDefault="00BE0B19" w:rsidP="00BE0B19">
      <w:pPr>
        <w:numPr>
          <w:ilvl w:val="0"/>
          <w:numId w:val="309"/>
        </w:numPr>
        <w:tabs>
          <w:tab w:val="left" w:pos="360"/>
          <w:tab w:val="num" w:pos="720"/>
        </w:tabs>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Изоставане на двигателното развитие и позиционно-балансните механизми</w:t>
      </w:r>
    </w:p>
    <w:p w14:paraId="55C75AD9" w14:textId="77777777" w:rsidR="00BE0B19" w:rsidRPr="00AE47C6" w:rsidRDefault="00BE0B19" w:rsidP="00BE0B19">
      <w:pPr>
        <w:numPr>
          <w:ilvl w:val="0"/>
          <w:numId w:val="309"/>
        </w:numPr>
        <w:tabs>
          <w:tab w:val="left" w:pos="360"/>
          <w:tab w:val="num" w:pos="720"/>
        </w:tabs>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Изоставане или абнормна позиционна реактивност</w:t>
      </w:r>
    </w:p>
    <w:p w14:paraId="5BF5086D" w14:textId="77777777" w:rsidR="00BE0B19" w:rsidRPr="00AE47C6" w:rsidRDefault="00BE0B19" w:rsidP="00BE0B19">
      <w:pPr>
        <w:numPr>
          <w:ilvl w:val="0"/>
          <w:numId w:val="309"/>
        </w:numPr>
        <w:tabs>
          <w:tab w:val="left" w:pos="360"/>
          <w:tab w:val="num" w:pos="720"/>
        </w:tabs>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Хипотония на тялото, комбинирана с промени в мускулния тонус на крайниците от хипо-, хипер- и дистоничен характер</w:t>
      </w:r>
    </w:p>
    <w:p w14:paraId="62513661" w14:textId="77777777" w:rsidR="00BE0B19" w:rsidRPr="00AE47C6" w:rsidRDefault="00BE0B19" w:rsidP="00BE0B19">
      <w:pPr>
        <w:numPr>
          <w:ilvl w:val="0"/>
          <w:numId w:val="309"/>
        </w:numPr>
        <w:tabs>
          <w:tab w:val="left" w:pos="360"/>
          <w:tab w:val="num" w:pos="720"/>
        </w:tabs>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 xml:space="preserve">Персистиране на примитивни рефлекси </w:t>
      </w:r>
    </w:p>
    <w:p w14:paraId="60A01FF2" w14:textId="77777777" w:rsidR="00BE0B19" w:rsidRPr="00AE47C6" w:rsidRDefault="00BE0B19" w:rsidP="00BE0B19">
      <w:pPr>
        <w:numPr>
          <w:ilvl w:val="0"/>
          <w:numId w:val="309"/>
        </w:numPr>
        <w:tabs>
          <w:tab w:val="left" w:pos="360"/>
          <w:tab w:val="num" w:pos="720"/>
        </w:tabs>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Рефлексна хипервъзбудимост и наличие на патологични рефлекси</w:t>
      </w:r>
    </w:p>
    <w:p w14:paraId="79F678A7" w14:textId="77777777" w:rsidR="00BE0B19" w:rsidRPr="00AE47C6" w:rsidRDefault="00BE0B19" w:rsidP="00BE0B19">
      <w:pPr>
        <w:numPr>
          <w:ilvl w:val="0"/>
          <w:numId w:val="309"/>
        </w:numPr>
        <w:tabs>
          <w:tab w:val="left" w:pos="360"/>
          <w:tab w:val="num" w:pos="720"/>
        </w:tabs>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Страбизъм – конвергиращ/дивергиращ след 5-ия месец, предимно конкомитиращ двустранен или едностранен</w:t>
      </w:r>
    </w:p>
    <w:p w14:paraId="7F7F9487" w14:textId="77777777" w:rsidR="00BE0B19" w:rsidRPr="00AE47C6" w:rsidRDefault="00BE0B19" w:rsidP="00BE0B19">
      <w:pPr>
        <w:numPr>
          <w:ilvl w:val="0"/>
          <w:numId w:val="309"/>
        </w:numPr>
        <w:tabs>
          <w:tab w:val="left" w:pos="360"/>
          <w:tab w:val="num" w:pos="720"/>
        </w:tabs>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Проблеми с храненето – дискоординация между сукане/преглъщане и дишане</w:t>
      </w:r>
    </w:p>
    <w:p w14:paraId="5C71F49B" w14:textId="77777777" w:rsidR="00BE0B19" w:rsidRPr="00AE47C6" w:rsidRDefault="00BE0B19" w:rsidP="00BE0B19">
      <w:pPr>
        <w:numPr>
          <w:ilvl w:val="0"/>
          <w:numId w:val="309"/>
        </w:numPr>
        <w:tabs>
          <w:tab w:val="left" w:pos="360"/>
          <w:tab w:val="num" w:pos="720"/>
        </w:tabs>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Инсуфициенция в идеацията на движенията</w:t>
      </w:r>
    </w:p>
    <w:p w14:paraId="1AC1B800" w14:textId="77777777" w:rsidR="00BE0B19" w:rsidRPr="00AE47C6" w:rsidRDefault="00BE0B19" w:rsidP="00BE0B19">
      <w:pPr>
        <w:tabs>
          <w:tab w:val="left" w:pos="360"/>
        </w:tabs>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ab/>
        <w:t>12.6.2. Церебрална парализа (ЦП)</w:t>
      </w:r>
    </w:p>
    <w:p w14:paraId="14BC9BBD" w14:textId="77777777" w:rsidR="00BE0B19" w:rsidRPr="00AE47C6" w:rsidRDefault="00BE0B19" w:rsidP="00BE0B19">
      <w:pPr>
        <w:spacing w:after="0" w:line="360" w:lineRule="auto"/>
        <w:ind w:firstLine="720"/>
        <w:jc w:val="both"/>
        <w:rPr>
          <w:rFonts w:ascii="Times New Roman" w:eastAsia="SimSun" w:hAnsi="Times New Roman"/>
          <w:sz w:val="24"/>
          <w:szCs w:val="24"/>
          <w:u w:val="single"/>
        </w:rPr>
      </w:pPr>
      <w:r w:rsidRPr="00AE47C6">
        <w:rPr>
          <w:rFonts w:ascii="Times New Roman" w:eastAsia="SimSun" w:hAnsi="Times New Roman"/>
          <w:sz w:val="24"/>
          <w:szCs w:val="24"/>
          <w:u w:val="single"/>
        </w:rPr>
        <w:t>Общи  белези при всички форми на ЦП са:</w:t>
      </w:r>
    </w:p>
    <w:p w14:paraId="22AF5CEE" w14:textId="77777777" w:rsidR="00BE0B19" w:rsidRPr="00AE47C6" w:rsidRDefault="00BE0B19" w:rsidP="00BE0B19">
      <w:pPr>
        <w:numPr>
          <w:ilvl w:val="0"/>
          <w:numId w:val="39"/>
        </w:numPr>
        <w:tabs>
          <w:tab w:val="clear" w:pos="1068"/>
          <w:tab w:val="num" w:pos="0"/>
        </w:tabs>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sz w:val="24"/>
          <w:szCs w:val="24"/>
        </w:rPr>
        <w:t>Двигателно изоставане поради забавяне или абнормно развитие на позиционно-балансните механизми, които са вътрешна част от моторните умения и тяхното усвояване.</w:t>
      </w:r>
    </w:p>
    <w:p w14:paraId="3C8CE3F0" w14:textId="77777777" w:rsidR="00BE0B19" w:rsidRPr="00AE47C6" w:rsidRDefault="00BE0B19" w:rsidP="00BE0B19">
      <w:pPr>
        <w:numPr>
          <w:ilvl w:val="0"/>
          <w:numId w:val="39"/>
        </w:numPr>
        <w:tabs>
          <w:tab w:val="clear" w:pos="1068"/>
          <w:tab w:val="num" w:pos="0"/>
        </w:tabs>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sz w:val="24"/>
          <w:szCs w:val="24"/>
        </w:rPr>
        <w:t>Персистиране на примитивни рефлекси и механизми, блокиращи или деформиращи позиционно-балансните механизми на новороденото</w:t>
      </w:r>
    </w:p>
    <w:p w14:paraId="041140FD" w14:textId="77777777" w:rsidR="00BE0B19" w:rsidRPr="00AE47C6" w:rsidRDefault="00BE0B19" w:rsidP="00BE0B19">
      <w:pPr>
        <w:numPr>
          <w:ilvl w:val="0"/>
          <w:numId w:val="39"/>
        </w:numPr>
        <w:tabs>
          <w:tab w:val="clear" w:pos="1068"/>
          <w:tab w:val="num" w:pos="0"/>
        </w:tabs>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sz w:val="24"/>
          <w:szCs w:val="24"/>
        </w:rPr>
        <w:t>Увредена моторна координация, сръчност и обратна връзка</w:t>
      </w:r>
    </w:p>
    <w:p w14:paraId="24F6D260" w14:textId="77777777" w:rsidR="00BE0B19" w:rsidRPr="00AE47C6" w:rsidRDefault="00BE0B19" w:rsidP="00BE0B19">
      <w:pPr>
        <w:numPr>
          <w:ilvl w:val="0"/>
          <w:numId w:val="39"/>
        </w:numPr>
        <w:tabs>
          <w:tab w:val="clear" w:pos="1068"/>
          <w:tab w:val="num" w:pos="0"/>
        </w:tabs>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sz w:val="24"/>
          <w:szCs w:val="24"/>
        </w:rPr>
        <w:t xml:space="preserve">Слабост на аксиалната мускулатура комбинирана с тонусови отклонения (хипертония, хипотония, дистония) и слабост в крайниците. </w:t>
      </w:r>
    </w:p>
    <w:p w14:paraId="2BF163A6" w14:textId="77777777" w:rsidR="00BE0B19" w:rsidRPr="00AE47C6" w:rsidRDefault="00BE0B19" w:rsidP="00BE0B19">
      <w:pPr>
        <w:numPr>
          <w:ilvl w:val="0"/>
          <w:numId w:val="39"/>
        </w:numPr>
        <w:tabs>
          <w:tab w:val="clear" w:pos="1068"/>
          <w:tab w:val="num" w:pos="0"/>
        </w:tabs>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sz w:val="24"/>
          <w:szCs w:val="24"/>
        </w:rPr>
        <w:t>Неадекватни позиции и свързани с тях положения</w:t>
      </w:r>
    </w:p>
    <w:p w14:paraId="6688A8AD" w14:textId="77777777" w:rsidR="00BE0B19" w:rsidRPr="00AE47C6" w:rsidRDefault="00BE0B19" w:rsidP="00BE0B19">
      <w:pPr>
        <w:numPr>
          <w:ilvl w:val="0"/>
          <w:numId w:val="39"/>
        </w:numPr>
        <w:tabs>
          <w:tab w:val="clear" w:pos="1068"/>
          <w:tab w:val="num" w:pos="0"/>
        </w:tabs>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sz w:val="24"/>
          <w:szCs w:val="24"/>
        </w:rPr>
        <w:t>Изразена рефлексна възбудимост</w:t>
      </w:r>
    </w:p>
    <w:p w14:paraId="23BBD8BB" w14:textId="77777777" w:rsidR="00BE0B19" w:rsidRPr="00AE47C6" w:rsidRDefault="00BE0B19" w:rsidP="00BE0B19">
      <w:pPr>
        <w:numPr>
          <w:ilvl w:val="0"/>
          <w:numId w:val="39"/>
        </w:numPr>
        <w:tabs>
          <w:tab w:val="clear" w:pos="1068"/>
          <w:tab w:val="num" w:pos="0"/>
        </w:tabs>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sz w:val="24"/>
          <w:szCs w:val="24"/>
        </w:rPr>
        <w:t>Мускулна биомеханична трансформация – промяна във виско-еластичните свойства</w:t>
      </w:r>
    </w:p>
    <w:p w14:paraId="78763647" w14:textId="77777777" w:rsidR="00BE0B19" w:rsidRPr="00AE47C6" w:rsidRDefault="00BE0B19" w:rsidP="00BE0B19">
      <w:pPr>
        <w:numPr>
          <w:ilvl w:val="0"/>
          <w:numId w:val="39"/>
        </w:numPr>
        <w:tabs>
          <w:tab w:val="clear" w:pos="1068"/>
          <w:tab w:val="num" w:pos="0"/>
        </w:tabs>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sz w:val="24"/>
          <w:szCs w:val="24"/>
        </w:rPr>
        <w:t>Костни и ставни деформации при израстването на детето</w:t>
      </w:r>
    </w:p>
    <w:p w14:paraId="6A0D3268" w14:textId="77777777" w:rsidR="00BE0B19" w:rsidRPr="00AE47C6" w:rsidRDefault="00BE0B19" w:rsidP="00BE0B19">
      <w:pPr>
        <w:spacing w:after="0" w:line="360" w:lineRule="auto"/>
        <w:ind w:left="708" w:firstLine="720"/>
        <w:jc w:val="both"/>
        <w:rPr>
          <w:rFonts w:ascii="Times New Roman" w:eastAsia="SimSun" w:hAnsi="Times New Roman"/>
          <w:sz w:val="24"/>
          <w:szCs w:val="24"/>
        </w:rPr>
      </w:pPr>
    </w:p>
    <w:p w14:paraId="1753C049" w14:textId="77777777" w:rsidR="00BE0B19" w:rsidRPr="00AE47C6" w:rsidRDefault="00BE0B19" w:rsidP="00BE0B19">
      <w:pPr>
        <w:spacing w:after="0" w:line="360" w:lineRule="auto"/>
        <w:ind w:firstLine="720"/>
        <w:jc w:val="both"/>
        <w:rPr>
          <w:rFonts w:ascii="Times New Roman" w:eastAsia="SimSun" w:hAnsi="Times New Roman"/>
          <w:sz w:val="24"/>
          <w:szCs w:val="24"/>
          <w:u w:val="single"/>
        </w:rPr>
      </w:pPr>
      <w:r w:rsidRPr="00AE47C6">
        <w:rPr>
          <w:rFonts w:ascii="Times New Roman" w:eastAsia="SimSun" w:hAnsi="Times New Roman"/>
          <w:b/>
          <w:bCs/>
          <w:i/>
          <w:iCs/>
          <w:sz w:val="24"/>
          <w:szCs w:val="24"/>
          <w:u w:val="single"/>
        </w:rPr>
        <w:t>Спастична церебрална парализа</w:t>
      </w:r>
      <w:r w:rsidRPr="00AE47C6">
        <w:rPr>
          <w:rFonts w:ascii="Times New Roman" w:eastAsia="SimSun" w:hAnsi="Times New Roman"/>
          <w:sz w:val="24"/>
          <w:szCs w:val="24"/>
          <w:u w:val="single"/>
        </w:rPr>
        <w:t>:</w:t>
      </w:r>
    </w:p>
    <w:p w14:paraId="030477B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Общи характеристики</w:t>
      </w:r>
      <w:r w:rsidRPr="00AE47C6">
        <w:rPr>
          <w:rFonts w:ascii="Times New Roman" w:eastAsia="SimSun" w:hAnsi="Times New Roman"/>
          <w:sz w:val="24"/>
          <w:szCs w:val="24"/>
        </w:rPr>
        <w:t>: Спастично повишен мускулен тонус, който се засилва при възбуда, страх или болка; абнормни позиции, свързани с антигравитационната мускулатура на екстензорите на долните крайници и флексорите на горните крайници; волевите движения са бавни, тромави; мускулна ко-контракция, водеща до загуба на изолирани и дискретни движения свързани с фината координация.</w:t>
      </w:r>
    </w:p>
    <w:p w14:paraId="5D70FD4B" w14:textId="77777777" w:rsidR="00BE0B19" w:rsidRPr="00AE47C6" w:rsidRDefault="00BE0B19" w:rsidP="00BE0B19">
      <w:pPr>
        <w:numPr>
          <w:ilvl w:val="0"/>
          <w:numId w:val="320"/>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b/>
          <w:bCs/>
          <w:i/>
          <w:iCs/>
          <w:sz w:val="24"/>
          <w:szCs w:val="24"/>
        </w:rPr>
        <w:t>Диплегия</w:t>
      </w:r>
      <w:r w:rsidRPr="00AE47C6">
        <w:rPr>
          <w:rFonts w:ascii="Times New Roman" w:eastAsia="SimSun" w:hAnsi="Times New Roman"/>
          <w:b/>
          <w:bCs/>
          <w:sz w:val="24"/>
          <w:szCs w:val="24"/>
        </w:rPr>
        <w:t>.</w:t>
      </w:r>
      <w:r w:rsidRPr="00AE47C6">
        <w:rPr>
          <w:rFonts w:ascii="Times New Roman" w:eastAsia="SimSun" w:hAnsi="Times New Roman"/>
          <w:sz w:val="24"/>
          <w:szCs w:val="24"/>
        </w:rPr>
        <w:t xml:space="preserve"> Неврологично се установява долна спастична парапареза или квадрипаретичен синдром с преобладаване на долната парапареза с контрактури на Ахиловите сухожилия, коленните стави, аддукторни и/или вътрешно-ротаторни контрактури на тазобедрените стави, патологични рефлекси от групата на Babinski двустранно, клонуси на стъпалата. Тази форма е по-благоприятна, тъй като по-рядко има епилептични припадъци (16 - 27%) и интелектуален дефицит.</w:t>
      </w:r>
    </w:p>
    <w:p w14:paraId="52B21C56" w14:textId="77777777" w:rsidR="00BE0B19" w:rsidRPr="00AE47C6" w:rsidRDefault="00BE0B19" w:rsidP="00BE0B19">
      <w:pPr>
        <w:numPr>
          <w:ilvl w:val="0"/>
          <w:numId w:val="320"/>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b/>
          <w:bCs/>
          <w:i/>
          <w:iCs/>
          <w:sz w:val="24"/>
          <w:szCs w:val="24"/>
        </w:rPr>
        <w:t>Хемиплегия</w:t>
      </w:r>
      <w:r w:rsidRPr="00AE47C6">
        <w:rPr>
          <w:rFonts w:ascii="Times New Roman" w:eastAsia="SimSun" w:hAnsi="Times New Roman"/>
          <w:sz w:val="24"/>
          <w:szCs w:val="24"/>
        </w:rPr>
        <w:t>. Неврологично се установява централна хемипареза с лезия на n. facialis по централен тип. Мускулният тонус е спастично повишен във флексорите на ръката и екстензорите на крака. Сухожилните рефлекси са оживени, има патологични рефлекси от групата на Babinski и Rossolimo, клонуси на стъпалото, контрактури, възможни са атетозни хиперкинези в паретичната ръка дистално. Паретичните крайници често са хипотрофични. Болните прохождат по-късно с походка тип “Wernicke - Mann”. При 68% се установява и хемихипестезия, най-често стереоагнозия, нарушен двумерно-пространствен усет. Моторна дизлалия и дизартрия се установяват при около 25%. Нарушенията на висшите корови функции (праксис, гнозис, телесна ориентация) затрудняват обучението. Над 50% от случаите са с фокални и/или вторично-генерализирани епилептични припадъци, често с ранно начало (преди 18 месечна възраст).</w:t>
      </w:r>
    </w:p>
    <w:p w14:paraId="15F5E3EA" w14:textId="77777777" w:rsidR="00BE0B19" w:rsidRPr="00AE47C6" w:rsidRDefault="00BE0B19" w:rsidP="00BE0B19">
      <w:pPr>
        <w:numPr>
          <w:ilvl w:val="0"/>
          <w:numId w:val="320"/>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b/>
          <w:bCs/>
          <w:i/>
          <w:iCs/>
          <w:sz w:val="24"/>
          <w:szCs w:val="24"/>
        </w:rPr>
        <w:t>Квадриплегия</w:t>
      </w:r>
      <w:r w:rsidRPr="00AE47C6">
        <w:rPr>
          <w:rFonts w:ascii="Times New Roman" w:eastAsia="SimSun" w:hAnsi="Times New Roman"/>
          <w:i/>
          <w:iCs/>
          <w:sz w:val="24"/>
          <w:szCs w:val="24"/>
        </w:rPr>
        <w:t xml:space="preserve">. </w:t>
      </w:r>
      <w:r w:rsidRPr="00AE47C6">
        <w:rPr>
          <w:rFonts w:ascii="Times New Roman" w:eastAsia="SimSun" w:hAnsi="Times New Roman"/>
          <w:sz w:val="24"/>
          <w:szCs w:val="24"/>
        </w:rPr>
        <w:t>Неврологично се установяват: централна квадрипареза, със спастично повишен тонус с флексия на ръцете и екстензия, аддукция и вътрешна ротация в долните крайници, контрактури, много живи сухожилни рефлекси с разширени рефлексогенни зони, патологични рефлекси от групите на Babinski и Rossolimo; псевдобулбарен синдром; екстрапирамиден синдром с дистални  хиперкинези или дистонии; очедвигателна симптоматика, атрофия на зрителните нерви, изоставане в говорното развитие и интелектуален дефицит. Епилептични пристъпи са налице в над 52% от случаите.</w:t>
      </w:r>
    </w:p>
    <w:p w14:paraId="1535453A" w14:textId="77777777" w:rsidR="00BE0B19" w:rsidRPr="00AE47C6" w:rsidRDefault="00BE0B19" w:rsidP="00BE0B19">
      <w:pPr>
        <w:spacing w:after="0" w:line="360" w:lineRule="auto"/>
        <w:ind w:firstLine="720"/>
        <w:jc w:val="both"/>
        <w:rPr>
          <w:rFonts w:ascii="Times New Roman" w:eastAsia="SimSun" w:hAnsi="Times New Roman"/>
          <w:sz w:val="24"/>
          <w:szCs w:val="24"/>
          <w:u w:val="single"/>
        </w:rPr>
      </w:pPr>
      <w:r w:rsidRPr="00AE47C6">
        <w:rPr>
          <w:rFonts w:ascii="Times New Roman" w:eastAsia="SimSun" w:hAnsi="Times New Roman"/>
          <w:b/>
          <w:bCs/>
          <w:i/>
          <w:iCs/>
          <w:sz w:val="24"/>
          <w:szCs w:val="24"/>
          <w:u w:val="single"/>
        </w:rPr>
        <w:t>Дизкинетична (атетозна) церебрална парализа</w:t>
      </w:r>
      <w:r w:rsidRPr="00AE47C6">
        <w:rPr>
          <w:rFonts w:ascii="Times New Roman" w:eastAsia="SimSun" w:hAnsi="Times New Roman"/>
          <w:sz w:val="24"/>
          <w:szCs w:val="24"/>
        </w:rPr>
        <w:t>: Екстрапирамидният синдром се манифестира постепенно през първите години от живота. В началото е налице мускулна хипотония. Атетозните и дистонни хиперкинези се появяват най-често от сетивни стимули, емоции. Установява се екстрапирамидна дизартрия. Децата прохождат късно (между 2,5 и 4 г. възраст), в зависимост от персистирането, често между 1 и 2 годишна възраст. Локализират се в мускулатурата на крайниците, езика, гълтателната и фонаторна мускулатура, активират се шийните тонични рефлекси и има съпътстващи пирамидни увреждания. Интелектът е нормален, но училищните умения са затруднени от непрекъснатите екстрапирамидни хиперкинези, нарушената артикулация и съпътстващата в някои случаи глухота.</w:t>
      </w:r>
    </w:p>
    <w:p w14:paraId="37AD84E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bCs/>
          <w:i/>
          <w:iCs/>
          <w:sz w:val="24"/>
          <w:szCs w:val="24"/>
          <w:u w:val="single"/>
        </w:rPr>
        <w:t>Атаксична/хипотонична церебрална парализа</w:t>
      </w:r>
      <w:r w:rsidRPr="00AE47C6">
        <w:rPr>
          <w:rFonts w:ascii="Times New Roman" w:eastAsia="SimSun" w:hAnsi="Times New Roman"/>
          <w:sz w:val="24"/>
          <w:szCs w:val="24"/>
          <w:u w:val="single"/>
        </w:rPr>
        <w:t>:</w:t>
      </w:r>
      <w:r w:rsidRPr="00AE47C6">
        <w:rPr>
          <w:rFonts w:ascii="Times New Roman" w:eastAsia="SimSun" w:hAnsi="Times New Roman"/>
          <w:sz w:val="24"/>
          <w:szCs w:val="24"/>
        </w:rPr>
        <w:t xml:space="preserve"> Изявява се с ранна мускулна хипотония и по-късно с прояви на статична и локомоторна атаксия. Установяват се и сухожилна хиперрефлексия, патологични рефлекси, речеви  нарушения и интелектуален дефицит (50%).</w:t>
      </w:r>
    </w:p>
    <w:p w14:paraId="16D0930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 xml:space="preserve">При  ЦП са налице и </w:t>
      </w:r>
      <w:r w:rsidRPr="00AE47C6">
        <w:rPr>
          <w:rFonts w:ascii="Times New Roman" w:eastAsia="SimSun" w:hAnsi="Times New Roman"/>
          <w:b/>
          <w:bCs/>
          <w:i/>
          <w:iCs/>
          <w:sz w:val="24"/>
          <w:szCs w:val="24"/>
          <w:u w:val="single"/>
        </w:rPr>
        <w:t>съпътстващи синдроми</w:t>
      </w:r>
      <w:r w:rsidRPr="00AE47C6">
        <w:rPr>
          <w:rFonts w:ascii="Times New Roman" w:eastAsia="SimSun" w:hAnsi="Times New Roman"/>
          <w:sz w:val="24"/>
          <w:szCs w:val="24"/>
        </w:rPr>
        <w:t xml:space="preserve"> (симптоматична епилепсия при около 25%, интелектуален дефицит при около 50%, речеви нарушени при 25%, поведенчески отклонения при 25%,  разстройства на съня при 25% и зрителни нарушения при около 10%</w:t>
      </w:r>
      <w:r w:rsidRPr="00AE47C6">
        <w:rPr>
          <w:rFonts w:ascii="Times New Roman" w:eastAsia="SimSun" w:hAnsi="Times New Roman"/>
          <w:i/>
          <w:iCs/>
          <w:sz w:val="24"/>
          <w:szCs w:val="24"/>
        </w:rPr>
        <w:t>)</w:t>
      </w:r>
      <w:r w:rsidRPr="00AE47C6">
        <w:rPr>
          <w:rFonts w:ascii="Times New Roman" w:eastAsia="SimSun" w:hAnsi="Times New Roman"/>
          <w:sz w:val="24"/>
          <w:szCs w:val="24"/>
        </w:rPr>
        <w:t xml:space="preserve"> с  обща етиология – абнормно развитие или ранни увреди на мозъчните структури в пре- или перинаталния период. Съпътстващата симптоматична епилепсия е налице при 15 до 60% от децата с ЦП и достига до 71 - 74% от децата с ЦП и умствена изостаналост. Най-често е с ранно начало и терапевтична резистентност поради синдром на West и електричен статус по време на сън (ESES).</w:t>
      </w:r>
    </w:p>
    <w:p w14:paraId="5AA4FF61" w14:textId="77777777" w:rsidR="00BE0B19" w:rsidRPr="00AE47C6" w:rsidRDefault="00BE0B19" w:rsidP="00BE0B19">
      <w:p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b/>
          <w:bCs/>
          <w:sz w:val="24"/>
          <w:szCs w:val="24"/>
        </w:rPr>
        <w:t>12.7. Диагностична методология при деца с ЦКС и ЦП и моторно прогнозиране</w:t>
      </w:r>
    </w:p>
    <w:p w14:paraId="06E620E8" w14:textId="77777777" w:rsidR="00BE0B19" w:rsidRPr="00AE47C6" w:rsidRDefault="00BE0B19" w:rsidP="00BE0B19">
      <w:pPr>
        <w:spacing w:after="0" w:line="360" w:lineRule="auto"/>
        <w:ind w:firstLine="720"/>
        <w:jc w:val="both"/>
        <w:rPr>
          <w:rFonts w:ascii="Times New Roman" w:eastAsia="SimSun" w:hAnsi="Times New Roman"/>
          <w:b/>
          <w:bCs/>
          <w:i/>
          <w:iCs/>
          <w:sz w:val="24"/>
          <w:szCs w:val="24"/>
          <w:u w:val="single"/>
        </w:rPr>
      </w:pPr>
      <w:r w:rsidRPr="00AE47C6">
        <w:rPr>
          <w:rFonts w:ascii="Times New Roman" w:eastAsia="SimSun" w:hAnsi="Times New Roman"/>
          <w:b/>
          <w:bCs/>
          <w:i/>
          <w:iCs/>
          <w:sz w:val="24"/>
          <w:szCs w:val="24"/>
          <w:u w:val="single"/>
        </w:rPr>
        <w:t>Клинични изследвания:</w:t>
      </w:r>
    </w:p>
    <w:p w14:paraId="458910A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12.7. 1. </w:t>
      </w:r>
      <w:r w:rsidRPr="00AE47C6">
        <w:rPr>
          <w:rFonts w:ascii="Times New Roman" w:eastAsia="SimSun" w:hAnsi="Times New Roman"/>
          <w:i/>
          <w:iCs/>
          <w:sz w:val="24"/>
          <w:szCs w:val="24"/>
        </w:rPr>
        <w:t>Мотоскопия и моторно тестуване</w:t>
      </w:r>
      <w:r w:rsidRPr="00AE47C6">
        <w:rPr>
          <w:rFonts w:ascii="Times New Roman" w:eastAsia="SimSun" w:hAnsi="Times New Roman"/>
          <w:sz w:val="24"/>
          <w:szCs w:val="24"/>
        </w:rPr>
        <w:t xml:space="preserve"> - наблюдение на спонтанната активност на ЦНС в двигателен аспект, обследване стъпалата на двигателно развитие и ключовите локомоторни умения, както и провеждане на тестове за груба и фина моторика (GMFM, GMFCS, BFMF, MACS), самостоятелност, дейности от ежедневието. Извършва се мотоскопията за периода на новороденото и следващите 2- 3 месеца. Мотоскопията на новороденото дава информация за "General movements" по Prechtl, които имат доказано прогностично значение. Екстензорна трупна хипертония, неадекватна на гестационната възраст хипотония, ексцесивна възбудимост със съответна двигателна активност  са също маркери за неврологична увреда и риск от ЦП.</w:t>
      </w:r>
    </w:p>
    <w:p w14:paraId="36502B6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12.7. 2. </w:t>
      </w:r>
      <w:r w:rsidRPr="00AE47C6">
        <w:rPr>
          <w:rFonts w:ascii="Times New Roman" w:eastAsia="SimSun" w:hAnsi="Times New Roman"/>
          <w:i/>
          <w:iCs/>
          <w:sz w:val="24"/>
          <w:szCs w:val="24"/>
        </w:rPr>
        <w:t>Компютърно-базиран видео анализ</w:t>
      </w:r>
      <w:r w:rsidRPr="00AE47C6">
        <w:rPr>
          <w:rFonts w:ascii="Times New Roman" w:eastAsia="SimSun" w:hAnsi="Times New Roman"/>
          <w:sz w:val="24"/>
          <w:szCs w:val="24"/>
        </w:rPr>
        <w:t xml:space="preserve"> (Computer-Based Video Analysis) основан на General Motor Assessment. Оценката на т.нар. general movements по Prechtl и съвт., 1997, представлява визуален анализ на качеството на спонтанната двигателна активност. Изследват се General movements при недоносени и доносени новородени до 4 седмици коригирана възраст, и техния вариант – т.нар. fidgety movements, които би трябвало да са налице между 9-та и 20-та седмица коригирана възраст. Тежките абнормности в тези движения определят повишен риск от ЦП. Анализът на тези движения по правило се извършва на видеозапис, но директният визуален анализ не намалява прогностичната им точност. Резултатите от това изследване корелират със съответните по време клинични и мозъчно-ехографски изследвания. Въвежда се и компютърен анализ на стереотипността в General movements с доказана прогностична стойност по отношение ЦП.</w:t>
      </w:r>
    </w:p>
    <w:p w14:paraId="3C9F229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12.7. 3</w:t>
      </w:r>
      <w:r w:rsidRPr="00AE47C6">
        <w:rPr>
          <w:rFonts w:ascii="Times New Roman" w:eastAsia="SimSun" w:hAnsi="Times New Roman"/>
          <w:i/>
          <w:iCs/>
          <w:sz w:val="24"/>
          <w:szCs w:val="24"/>
        </w:rPr>
        <w:t>. Динамика на примитивни рефлекси.</w:t>
      </w:r>
    </w:p>
    <w:p w14:paraId="3FFE7F2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12.7. 4. </w:t>
      </w:r>
      <w:r w:rsidRPr="00AE47C6">
        <w:rPr>
          <w:rFonts w:ascii="Times New Roman" w:eastAsia="SimSun" w:hAnsi="Times New Roman"/>
          <w:i/>
          <w:iCs/>
          <w:sz w:val="24"/>
          <w:szCs w:val="24"/>
        </w:rPr>
        <w:t>Изследване на сухожилните и патологични рефлекси.</w:t>
      </w:r>
    </w:p>
    <w:p w14:paraId="215FD60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12.7. 5. </w:t>
      </w:r>
      <w:r w:rsidRPr="00AE47C6">
        <w:rPr>
          <w:rFonts w:ascii="Times New Roman" w:eastAsia="SimSun" w:hAnsi="Times New Roman"/>
          <w:i/>
          <w:iCs/>
          <w:sz w:val="24"/>
          <w:szCs w:val="24"/>
        </w:rPr>
        <w:t>Изследване мускулния тонус</w:t>
      </w:r>
      <w:r w:rsidRPr="00AE47C6">
        <w:rPr>
          <w:rFonts w:ascii="Times New Roman" w:eastAsia="SimSun" w:hAnsi="Times New Roman"/>
          <w:sz w:val="24"/>
          <w:szCs w:val="24"/>
        </w:rPr>
        <w:t>: Модифицирана скала на  Ashworth (MAS); Модифицирана Tardieu Scale (MTS).</w:t>
      </w:r>
    </w:p>
    <w:p w14:paraId="74A2977E" w14:textId="77777777" w:rsidR="00BE0B19" w:rsidRPr="00AE47C6" w:rsidRDefault="00BE0B19" w:rsidP="00BE0B19">
      <w:pPr>
        <w:spacing w:after="0" w:line="360" w:lineRule="auto"/>
        <w:ind w:firstLine="360"/>
        <w:jc w:val="both"/>
        <w:rPr>
          <w:rFonts w:ascii="Times New Roman" w:eastAsia="SimSun" w:hAnsi="Times New Roman"/>
          <w:sz w:val="24"/>
          <w:szCs w:val="24"/>
        </w:rPr>
      </w:pPr>
      <w:r w:rsidRPr="00AE47C6">
        <w:rPr>
          <w:rFonts w:ascii="Times New Roman" w:eastAsia="SimSun" w:hAnsi="Times New Roman"/>
          <w:sz w:val="24"/>
          <w:szCs w:val="24"/>
        </w:rPr>
        <w:t xml:space="preserve">12.7. 6. </w:t>
      </w:r>
      <w:r w:rsidRPr="00AE47C6">
        <w:rPr>
          <w:rFonts w:ascii="Times New Roman" w:eastAsia="SimSun" w:hAnsi="Times New Roman"/>
          <w:i/>
          <w:iCs/>
          <w:sz w:val="24"/>
          <w:szCs w:val="24"/>
        </w:rPr>
        <w:t>Неврокинезиологичен скрининг</w:t>
      </w:r>
      <w:r w:rsidRPr="00AE47C6">
        <w:rPr>
          <w:rFonts w:ascii="Times New Roman" w:eastAsia="SimSun" w:hAnsi="Times New Roman"/>
          <w:sz w:val="24"/>
          <w:szCs w:val="24"/>
        </w:rPr>
        <w:t xml:space="preserve"> (Neurokineziologische  Diagnostiknach V. Vojta - 7 Lage-Reactionen). Методът е за стимулиране на позиционната двигателна реактивност на ЦНС и автоматични ключови двигателни модели на стимулирано поведение. Богат е на двигателни реакции и сигурен в неонаталния период, защото не зависи от вегетативните или емоционални реакции на новороденото и кърмачето. Поставя се диагнозата "Централно координационно смущение" много лека, лека средна и тежка степен, която е с преходен характер. Много леката степен подлежи на динамично наблюдение, а леката, средната и тежката степени подлежат на ранна специализирана невро-развойна терапия.</w:t>
      </w:r>
    </w:p>
    <w:p w14:paraId="1C9AAB8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12.7. 7. Наблюдение и диагностика на храненето</w:t>
      </w:r>
      <w:r w:rsidRPr="00AE47C6">
        <w:rPr>
          <w:rFonts w:ascii="Times New Roman" w:eastAsia="SimSun" w:hAnsi="Times New Roman"/>
          <w:sz w:val="24"/>
          <w:szCs w:val="24"/>
        </w:rPr>
        <w:t xml:space="preserve"> – координация между сукане-преглъщане-дишане, чието нарушение е един от първите белези за проблеми в координацията на движенията с вероятно развитие на ЦП.</w:t>
      </w:r>
    </w:p>
    <w:p w14:paraId="74B2D2C6" w14:textId="77777777" w:rsidR="00BE0B19" w:rsidRPr="00AE47C6" w:rsidRDefault="00BE0B19" w:rsidP="00BE0B19">
      <w:pPr>
        <w:spacing w:after="0" w:line="360" w:lineRule="auto"/>
        <w:ind w:firstLine="720"/>
        <w:jc w:val="both"/>
        <w:rPr>
          <w:rFonts w:ascii="Times New Roman" w:eastAsia="SimSun" w:hAnsi="Times New Roman"/>
          <w:i/>
          <w:iCs/>
          <w:sz w:val="24"/>
          <w:szCs w:val="24"/>
        </w:rPr>
      </w:pPr>
      <w:r w:rsidRPr="00AE47C6">
        <w:rPr>
          <w:rFonts w:ascii="Times New Roman" w:eastAsia="SimSun" w:hAnsi="Times New Roman"/>
          <w:i/>
          <w:iCs/>
          <w:sz w:val="24"/>
          <w:szCs w:val="24"/>
        </w:rPr>
        <w:t>12.7. 8. Тестуване на говорно, когнитивно и социално развитие.</w:t>
      </w:r>
    </w:p>
    <w:p w14:paraId="0B4CDE62" w14:textId="77777777" w:rsidR="00BE0B19" w:rsidRPr="00AE47C6" w:rsidRDefault="00BE0B19" w:rsidP="00BE0B19">
      <w:pPr>
        <w:spacing w:after="0" w:line="360" w:lineRule="auto"/>
        <w:ind w:firstLine="720"/>
        <w:jc w:val="both"/>
        <w:rPr>
          <w:rFonts w:ascii="Times New Roman" w:eastAsia="SimSun" w:hAnsi="Times New Roman"/>
          <w:b/>
          <w:bCs/>
          <w:i/>
          <w:iCs/>
          <w:sz w:val="24"/>
          <w:szCs w:val="24"/>
          <w:u w:val="single"/>
        </w:rPr>
      </w:pPr>
      <w:r w:rsidRPr="00AE47C6">
        <w:rPr>
          <w:rFonts w:ascii="Times New Roman" w:eastAsia="SimSun" w:hAnsi="Times New Roman"/>
          <w:b/>
          <w:bCs/>
          <w:i/>
          <w:iCs/>
          <w:sz w:val="24"/>
          <w:szCs w:val="24"/>
          <w:u w:val="single"/>
        </w:rPr>
        <w:t xml:space="preserve">Образна диагностика : </w:t>
      </w:r>
    </w:p>
    <w:p w14:paraId="1EFC112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1. </w:t>
      </w:r>
      <w:r w:rsidRPr="00AE47C6">
        <w:rPr>
          <w:rFonts w:ascii="Times New Roman" w:eastAsia="SimSun" w:hAnsi="Times New Roman"/>
          <w:i/>
          <w:iCs/>
          <w:sz w:val="24"/>
          <w:szCs w:val="24"/>
        </w:rPr>
        <w:t>Трансфонтанеалната ехография</w:t>
      </w:r>
      <w:r w:rsidRPr="00AE47C6">
        <w:rPr>
          <w:rFonts w:ascii="Times New Roman" w:eastAsia="SimSun" w:hAnsi="Times New Roman"/>
          <w:sz w:val="24"/>
          <w:szCs w:val="24"/>
        </w:rPr>
        <w:t xml:space="preserve"> - до 6 месечна възраст се прилага за диагностика и проследяване. Визуализират се аномалии на мозъчното развитие, огнищни и дифузни хиперехогенности, интракраниални хеморагии, корови и перивентрикулни атрофични лезии, мултикистична енцефаломалация и др.</w:t>
      </w:r>
    </w:p>
    <w:p w14:paraId="472B87F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iCs/>
          <w:sz w:val="24"/>
          <w:szCs w:val="24"/>
        </w:rPr>
        <w:t xml:space="preserve">2.  Невроизобразяващите изследвания </w:t>
      </w:r>
      <w:r w:rsidRPr="00AE47C6">
        <w:rPr>
          <w:rFonts w:ascii="Times New Roman" w:eastAsia="SimSun" w:hAnsi="Times New Roman"/>
          <w:sz w:val="24"/>
          <w:szCs w:val="24"/>
        </w:rPr>
        <w:t xml:space="preserve">са най-информативни за етиологичното изясняване на ЦП. </w:t>
      </w:r>
    </w:p>
    <w:p w14:paraId="6C0C1DC4" w14:textId="77777777" w:rsidR="00BE0B19" w:rsidRPr="00AE47C6" w:rsidRDefault="00BE0B19" w:rsidP="00BE0B19">
      <w:pPr>
        <w:numPr>
          <w:ilvl w:val="0"/>
          <w:numId w:val="321"/>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iCs/>
          <w:sz w:val="24"/>
          <w:szCs w:val="24"/>
        </w:rPr>
        <w:t>КТ на главния мозък</w:t>
      </w:r>
      <w:r w:rsidRPr="00AE47C6">
        <w:rPr>
          <w:rFonts w:ascii="Times New Roman" w:eastAsia="SimSun" w:hAnsi="Times New Roman"/>
          <w:sz w:val="24"/>
          <w:szCs w:val="24"/>
        </w:rPr>
        <w:t xml:space="preserve"> е патологична при 77% от децата с ЦП и разкрива кисти, корова атрофия, симетрична или асиметрична вентрикулна дилатация. </w:t>
      </w:r>
    </w:p>
    <w:p w14:paraId="27DEDEE4" w14:textId="77777777" w:rsidR="00BE0B19" w:rsidRPr="00AE47C6" w:rsidRDefault="00BE0B19" w:rsidP="00BE0B19">
      <w:pPr>
        <w:numPr>
          <w:ilvl w:val="0"/>
          <w:numId w:val="321"/>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iCs/>
          <w:sz w:val="24"/>
          <w:szCs w:val="24"/>
        </w:rPr>
        <w:t>МРТ на главния мозък</w:t>
      </w:r>
      <w:r w:rsidRPr="00AE47C6">
        <w:rPr>
          <w:rFonts w:ascii="Times New Roman" w:eastAsia="SimSun" w:hAnsi="Times New Roman"/>
          <w:sz w:val="24"/>
          <w:szCs w:val="24"/>
        </w:rPr>
        <w:t xml:space="preserve"> е патологична при 95,3% от случаите с ЦП и е най-информативна за визуализиране на мозъчни малформации (лисенцефалия/ пахигирия, полимикрогирия, корови дисплазии, тубери при туберозна склероза, субкортикални и нодуларни хетеротопии), перивентрикулна левкомалация и други глиозни промени,  забавена миелинизация, постисхемични и кистични лезии.</w:t>
      </w:r>
    </w:p>
    <w:p w14:paraId="2C199FE1" w14:textId="77777777" w:rsidR="00BE0B19" w:rsidRPr="00AE47C6" w:rsidRDefault="00BE0B19" w:rsidP="00BE0B19">
      <w:pPr>
        <w:numPr>
          <w:ilvl w:val="0"/>
          <w:numId w:val="321"/>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SPECT (Single Photon Emission Сomputer Tomography) се ползва за определяне състоянието на мозъчния кръвоток и  метаболизъм. В САЩ се ползва при ЦП преди и след лечение с хипербарна оксигенация.</w:t>
      </w:r>
    </w:p>
    <w:p w14:paraId="6E17466A" w14:textId="77777777" w:rsidR="00BE0B19" w:rsidRPr="00AE47C6" w:rsidRDefault="00BE0B19" w:rsidP="00BE0B19">
      <w:pPr>
        <w:numPr>
          <w:ilvl w:val="0"/>
          <w:numId w:val="321"/>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DTI (Diffusion Tensor Imagining, Diffusion Tensor MRI, Diffusion Tensor Tractography) се ползва при определяне на мозъчното развитие и уврежданията на бялото вещество. Сензорните пътища може да са засегнати по-тежко от моторните, въпреки че засягането на кортико-спиналния път се счита за определящо при моторните увреждания на ЦП. </w:t>
      </w:r>
    </w:p>
    <w:p w14:paraId="0DF53BE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Изясняването на патологията в невроизобразяващите изследвания е важна при диагностицирането на ЦП. Поради изразена мозъчна пластичност някои недоносени новородени с обширни мозъчни лезии могат да имат относително добро развитие. </w:t>
      </w:r>
    </w:p>
    <w:p w14:paraId="14070BD2" w14:textId="77777777" w:rsidR="00BE0B19" w:rsidRPr="00AE47C6" w:rsidRDefault="00BE0B19" w:rsidP="00BE0B19">
      <w:pPr>
        <w:spacing w:after="0" w:line="360" w:lineRule="auto"/>
        <w:ind w:firstLine="720"/>
        <w:jc w:val="both"/>
        <w:rPr>
          <w:rFonts w:ascii="Times New Roman" w:eastAsia="SimSun" w:hAnsi="Times New Roman"/>
          <w:b/>
          <w:bCs/>
          <w:i/>
          <w:iCs/>
          <w:sz w:val="24"/>
          <w:szCs w:val="24"/>
          <w:u w:val="single"/>
        </w:rPr>
      </w:pPr>
      <w:r w:rsidRPr="00AE47C6">
        <w:rPr>
          <w:rFonts w:ascii="Times New Roman" w:eastAsia="SimSun" w:hAnsi="Times New Roman"/>
          <w:b/>
          <w:bCs/>
          <w:i/>
          <w:iCs/>
          <w:sz w:val="24"/>
          <w:szCs w:val="24"/>
          <w:u w:val="single"/>
        </w:rPr>
        <w:t>Лабораторни изследвания:</w:t>
      </w:r>
    </w:p>
    <w:p w14:paraId="6D5D2C09" w14:textId="77777777" w:rsidR="00BE0B19" w:rsidRPr="00AE47C6" w:rsidRDefault="00BE0B19" w:rsidP="00BE0B19">
      <w:pPr>
        <w:numPr>
          <w:ilvl w:val="0"/>
          <w:numId w:val="32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iCs/>
          <w:sz w:val="24"/>
          <w:szCs w:val="24"/>
        </w:rPr>
        <w:t xml:space="preserve">Цитогенетичните и </w:t>
      </w:r>
      <w:r w:rsidRPr="00AE47C6">
        <w:rPr>
          <w:rFonts w:ascii="Times New Roman" w:eastAsia="SimSun" w:hAnsi="Times New Roman"/>
          <w:sz w:val="24"/>
          <w:szCs w:val="24"/>
        </w:rPr>
        <w:t>евентуално</w:t>
      </w:r>
      <w:r w:rsidRPr="00AE47C6">
        <w:rPr>
          <w:rFonts w:ascii="Times New Roman" w:eastAsia="SimSun" w:hAnsi="Times New Roman"/>
          <w:i/>
          <w:iCs/>
          <w:sz w:val="24"/>
          <w:szCs w:val="24"/>
        </w:rPr>
        <w:t xml:space="preserve"> молекулярно-генетичните изследвания</w:t>
      </w:r>
      <w:r w:rsidRPr="00AE47C6">
        <w:rPr>
          <w:rFonts w:ascii="Times New Roman" w:eastAsia="SimSun" w:hAnsi="Times New Roman"/>
          <w:sz w:val="24"/>
          <w:szCs w:val="24"/>
        </w:rPr>
        <w:t xml:space="preserve"> са индицирани при всички пациенти с полималформативен синдром или при изразена дизморфия и липса на установена етиология. При суспектен моногенен синдром може да се подходи директно към доказване мутация в съответния ген. </w:t>
      </w:r>
      <w:r w:rsidRPr="00AE47C6">
        <w:rPr>
          <w:rFonts w:ascii="Times New Roman" w:eastAsia="SimSun" w:hAnsi="Times New Roman"/>
          <w:i/>
          <w:iCs/>
          <w:sz w:val="24"/>
          <w:szCs w:val="24"/>
        </w:rPr>
        <w:t>Метаболитни</w:t>
      </w:r>
      <w:r w:rsidRPr="00AE47C6">
        <w:rPr>
          <w:rFonts w:ascii="Times New Roman" w:eastAsia="SimSun" w:hAnsi="Times New Roman"/>
          <w:sz w:val="24"/>
          <w:szCs w:val="24"/>
        </w:rPr>
        <w:t xml:space="preserve"> изследвания се извършват при липса на друга причина или  прогресия.    </w:t>
      </w:r>
    </w:p>
    <w:p w14:paraId="2A6F50AE" w14:textId="77777777" w:rsidR="00BE0B19" w:rsidRPr="00AE47C6" w:rsidRDefault="00BE0B19" w:rsidP="00BE0B19">
      <w:pPr>
        <w:numPr>
          <w:ilvl w:val="0"/>
          <w:numId w:val="32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iCs/>
          <w:sz w:val="24"/>
          <w:szCs w:val="24"/>
        </w:rPr>
        <w:t>Изследванията за тромбофилии</w:t>
      </w:r>
      <w:r w:rsidRPr="00AE47C6">
        <w:rPr>
          <w:rFonts w:ascii="Times New Roman" w:eastAsia="SimSun" w:hAnsi="Times New Roman"/>
          <w:sz w:val="24"/>
          <w:szCs w:val="24"/>
        </w:rPr>
        <w:t xml:space="preserve"> при 13-37% от децата с пре- и перинатални мозъчни инфаркти и хемиплегична форма на ЦП разкриват мутация на фактор V на Leiden, protrombin G20210A, дефицит на протеин С или протеин S дефицит или антифосфолипидни антитела. </w:t>
      </w:r>
    </w:p>
    <w:p w14:paraId="0B76DCFC" w14:textId="77777777" w:rsidR="00BE0B19" w:rsidRPr="00AE47C6" w:rsidRDefault="00BE0B19" w:rsidP="00BE0B19">
      <w:pPr>
        <w:numPr>
          <w:ilvl w:val="0"/>
          <w:numId w:val="322"/>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iCs/>
          <w:sz w:val="24"/>
          <w:szCs w:val="24"/>
        </w:rPr>
        <w:t xml:space="preserve">Електроенцефалографията (ЕЕГ) </w:t>
      </w:r>
      <w:r w:rsidRPr="00AE47C6">
        <w:rPr>
          <w:rFonts w:ascii="Times New Roman" w:eastAsia="SimSun" w:hAnsi="Times New Roman"/>
          <w:sz w:val="24"/>
          <w:szCs w:val="24"/>
        </w:rPr>
        <w:t>е необходима при съпътстваща симптоматична  епилепсия, установяваща се при около 15-60% от децата с ЦП; при ЕЕГ по време на сън може да бъде установен и електричен статус в някои случаи.</w:t>
      </w:r>
    </w:p>
    <w:p w14:paraId="6A0864BE" w14:textId="77777777" w:rsidR="00BE0B19" w:rsidRPr="00AE47C6" w:rsidRDefault="00BE0B19" w:rsidP="00BE0B19">
      <w:pPr>
        <w:spacing w:after="0" w:line="360" w:lineRule="auto"/>
        <w:ind w:firstLine="720"/>
        <w:jc w:val="both"/>
        <w:rPr>
          <w:rFonts w:ascii="Times New Roman" w:eastAsia="SimSun" w:hAnsi="Times New Roman"/>
          <w:b/>
          <w:bCs/>
          <w:i/>
          <w:iCs/>
          <w:sz w:val="24"/>
          <w:szCs w:val="24"/>
          <w:u w:val="single"/>
        </w:rPr>
      </w:pPr>
      <w:r w:rsidRPr="00AE47C6">
        <w:rPr>
          <w:rFonts w:ascii="Times New Roman" w:eastAsia="SimSun" w:hAnsi="Times New Roman"/>
          <w:b/>
          <w:bCs/>
          <w:i/>
          <w:iCs/>
          <w:sz w:val="24"/>
          <w:szCs w:val="24"/>
          <w:u w:val="single"/>
        </w:rPr>
        <w:t xml:space="preserve">Моторно прогнозиране: </w:t>
      </w:r>
    </w:p>
    <w:p w14:paraId="5F0DCBE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Разбирането как се развиват грубите моторни функции (ГМФ) на хора с ЦП през времето - от ранното детство до възрастния, е от изключително значение по няколко причини: 1. Помага на индивидите с ЦП и техните асистенти, като цяло да разберат грубите моторни функции; 2. Помага на клиницистите да определят индивидуалните моторни функции, чрез подходящо клинично сравнение с други индивиди с подобна възраст и тежест на ЦП; 3. Познанията върху грубите моторни функции позволява на терапевтите и клиницистите да плануват рехабилитация, фокусирана върху подобряване на грубите моторни функции и евентуално подобряване на функционирането в ежедневните дейности.</w:t>
      </w:r>
    </w:p>
    <w:p w14:paraId="2F533E12" w14:textId="77777777" w:rsidR="00BE0B19" w:rsidRPr="00AE47C6" w:rsidRDefault="00BE0B19" w:rsidP="00BE0B19">
      <w:pPr>
        <w:spacing w:after="0" w:line="360" w:lineRule="auto"/>
        <w:ind w:firstLine="720"/>
        <w:jc w:val="both"/>
        <w:rPr>
          <w:rFonts w:ascii="Times New Roman" w:eastAsia="SimSun" w:hAnsi="Times New Roman"/>
          <w:b/>
          <w:bCs/>
          <w:i/>
          <w:iCs/>
          <w:sz w:val="24"/>
          <w:szCs w:val="24"/>
          <w:u w:val="single"/>
        </w:rPr>
      </w:pPr>
      <w:r w:rsidRPr="00AE47C6">
        <w:rPr>
          <w:rFonts w:ascii="Times New Roman" w:eastAsia="SimSun" w:hAnsi="Times New Roman"/>
          <w:sz w:val="24"/>
          <w:szCs w:val="24"/>
        </w:rPr>
        <w:t>Специфична доказателствено-базирана информация за ГМФ при лица с ЦП и тяхната динамика, беше обобщена  за период от последните 20 години.</w:t>
      </w:r>
    </w:p>
    <w:p w14:paraId="27810F62" w14:textId="77777777" w:rsidR="00BE0B19" w:rsidRPr="00AE47C6" w:rsidRDefault="00BE0B19" w:rsidP="00BE0B19">
      <w:pPr>
        <w:spacing w:after="0" w:line="360" w:lineRule="auto"/>
        <w:ind w:firstLine="720"/>
        <w:jc w:val="both"/>
        <w:rPr>
          <w:rFonts w:ascii="Times New Roman" w:eastAsia="SimSun" w:hAnsi="Times New Roman"/>
          <w:b/>
          <w:bCs/>
          <w:i/>
          <w:iCs/>
          <w:sz w:val="24"/>
          <w:szCs w:val="24"/>
          <w:u w:val="single"/>
        </w:rPr>
      </w:pPr>
      <w:r w:rsidRPr="00AE47C6">
        <w:rPr>
          <w:rFonts w:ascii="Times New Roman" w:eastAsia="SimSun" w:hAnsi="Times New Roman"/>
          <w:sz w:val="24"/>
          <w:szCs w:val="24"/>
        </w:rPr>
        <w:t>ГМФ се отнасят до ползването на големи групи от мускули поддържащи баланса и променящи позицията, например сядане, пълзене, стоене, ходене, тичане и скачане, като тези способности се утвърждават специфично при навършване на 5 години. При децата с ЦП обаче, ГМФ изобщо не се утвърждават напълно на възраст 5 години, както и на по-голяма възраст.</w:t>
      </w:r>
    </w:p>
    <w:p w14:paraId="1D37EA1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Кръстосани проучвания демонстрират различни модели на развитие на ГМФ в зависимост от тежестта на клиничната картина. В моделите е заложено използването на стандартизиран 66-точков тест за ГМФ (Gross Motor Function Measurement- 66 /GMFM-66/ и валидизираната пет-степенна класификационна система за тежестта на ЦП (Gross Motor Function Classification System, GMFCS). Цитираните тестове са на сайта на СБДПЛРДЦП "Св. София": </w:t>
      </w:r>
      <w:hyperlink r:id="rId156" w:history="1">
        <w:r w:rsidRPr="00AE47C6">
          <w:rPr>
            <w:rFonts w:ascii="Times New Roman" w:eastAsia="SimSun" w:hAnsi="Times New Roman"/>
            <w:sz w:val="24"/>
            <w:szCs w:val="24"/>
          </w:rPr>
          <w:t>www.cpcentresof-bg.com</w:t>
        </w:r>
      </w:hyperlink>
      <w:r w:rsidRPr="00AE47C6">
        <w:rPr>
          <w:rFonts w:ascii="Times New Roman" w:eastAsia="SimSun" w:hAnsi="Times New Roman"/>
          <w:sz w:val="24"/>
          <w:szCs w:val="24"/>
        </w:rPr>
        <w:t>.</w:t>
      </w:r>
    </w:p>
    <w:p w14:paraId="051C0C6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Първият разработен модел е "</w:t>
      </w:r>
      <w:r w:rsidRPr="00AE47C6">
        <w:rPr>
          <w:rFonts w:ascii="Times New Roman" w:eastAsia="SimSun" w:hAnsi="Times New Roman"/>
          <w:b/>
          <w:bCs/>
          <w:sz w:val="24"/>
          <w:szCs w:val="24"/>
        </w:rPr>
        <w:t>Stable Limit Model - SML</w:t>
      </w:r>
      <w:r w:rsidRPr="00AE47C6">
        <w:rPr>
          <w:rFonts w:ascii="Times New Roman" w:eastAsia="SimSun" w:hAnsi="Times New Roman"/>
          <w:sz w:val="24"/>
          <w:szCs w:val="24"/>
        </w:rPr>
        <w:t>" (Модел на стабилните ограничения) чрез серията данни от проучването на Ontario Motor Growth (OMG). Този модел показва една бърза прогресия на ГМФ в първите години от живота на детето и плато (или стабилно ограничение) след възрастта 5 години. Децата от първо ниво на GMFCS не достигат максималната сума от 100 точки по GMFM-66. Усреднената възраст за достигане на 90% моторни възможности варира от 4,8 г. (за първо /най-леко/ ниво GMFCS) до 2,7 год. (за пето /най-тежко/ ниво GMFCS). За ниво първо и второ на GMFCS се очаква 50% от децата да достигнат 90% от моторните си възможности на възраст от 5 г. 8 мес. Децата в нива три, четири и пет на GMFCS достигат по-бързо техните максимални моторни възможности, сравнени с тези от ниво първо.</w:t>
      </w:r>
    </w:p>
    <w:p w14:paraId="2014D76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Вторият модел е </w:t>
      </w:r>
      <w:r w:rsidRPr="00AE47C6">
        <w:rPr>
          <w:rFonts w:ascii="Times New Roman" w:eastAsia="SimSun" w:hAnsi="Times New Roman"/>
          <w:b/>
          <w:bCs/>
          <w:sz w:val="24"/>
          <w:szCs w:val="24"/>
        </w:rPr>
        <w:t xml:space="preserve">"Peak and Decline Model - PDM" </w:t>
      </w:r>
      <w:r w:rsidRPr="00AE47C6">
        <w:rPr>
          <w:rFonts w:ascii="Times New Roman" w:eastAsia="SimSun" w:hAnsi="Times New Roman"/>
          <w:sz w:val="24"/>
          <w:szCs w:val="24"/>
        </w:rPr>
        <w:t>(модел на връх и влошаване) за серия от данни, включващи OMG-проучването и неговото продължение в проучването ASQME (Adolescent Study on Quality of life, Mobility and Exercise) с данни, събрани от деца и младежи на възраст от 1 до 21 години. Този модел показва една подобна бърза прогресия в ранните години, но също и влошаване, даващо впечатлението за максимум в ГМФ на възраст от около 7 години. За децата от първо и второ ниво на GMFCS (индивиди с възможности за ходене без устройства за придвижване) не са открити доказателства за влошаване. В противовес, децата от нива 3, 4 и 5 на GMFCS (индивиди ползващи инвалидни колички или в най-добрия случай придвижващи се с мобилни устройства) показват усреднено, едно значително влошаване на техните ГМФ (съгласно тест GMFM-66). Конкретно  от ниво 3 на GMFCS загуба на: стоеж, ходене с опора, сядане; от ниво 4 - загуба на: пълзене, заемане на ЦКС, сядане на ръба; и от ниво 5 - загуба на: повдигане на главата от корем и гръб; след като е достигнат един максимум на възраст 7 години, като най-силно влошаване се наблюдава в ниво 4 на GMFCS, съгласно PDM-модела.</w:t>
      </w:r>
    </w:p>
    <w:p w14:paraId="5A97B021" w14:textId="77777777" w:rsidR="00BE0B19" w:rsidRPr="00AE47C6" w:rsidRDefault="00BE0B19" w:rsidP="00BE0B19">
      <w:pPr>
        <w:spacing w:after="0" w:line="360" w:lineRule="auto"/>
        <w:ind w:left="360" w:firstLine="720"/>
        <w:jc w:val="both"/>
        <w:rPr>
          <w:rFonts w:ascii="Times New Roman" w:eastAsia="SimSun" w:hAnsi="Times New Roman"/>
          <w:b/>
          <w:bCs/>
          <w:sz w:val="24"/>
          <w:szCs w:val="24"/>
        </w:rPr>
      </w:pPr>
      <w:r w:rsidRPr="00AE47C6">
        <w:rPr>
          <w:rFonts w:ascii="Times New Roman" w:eastAsia="SimSun" w:hAnsi="Times New Roman"/>
          <w:b/>
          <w:bCs/>
          <w:sz w:val="24"/>
          <w:szCs w:val="24"/>
        </w:rPr>
        <w:t xml:space="preserve">12.8. Диференциална диагноза. </w:t>
      </w:r>
    </w:p>
    <w:p w14:paraId="084CC08D" w14:textId="77777777" w:rsidR="00BE0B19" w:rsidRPr="00AE47C6" w:rsidRDefault="00BE0B19" w:rsidP="00BE0B19">
      <w:pPr>
        <w:spacing w:after="0" w:line="360" w:lineRule="auto"/>
        <w:ind w:left="360" w:firstLine="720"/>
        <w:jc w:val="both"/>
        <w:rPr>
          <w:rFonts w:ascii="Times New Roman" w:eastAsia="SimSun" w:hAnsi="Times New Roman"/>
          <w:b/>
          <w:bCs/>
          <w:sz w:val="24"/>
          <w:szCs w:val="24"/>
        </w:rPr>
      </w:pPr>
      <w:r w:rsidRPr="00AE47C6">
        <w:rPr>
          <w:rFonts w:ascii="Times New Roman" w:eastAsia="SimSun" w:hAnsi="Times New Roman"/>
          <w:b/>
          <w:bCs/>
          <w:sz w:val="24"/>
          <w:szCs w:val="24"/>
        </w:rPr>
        <w:tab/>
        <w:t xml:space="preserve">ЦП е резултат от непрогресираща, стационирана увреда на главния мозък в резултат от неразвитие (малформации) или увреждане на главния мозък </w:t>
      </w:r>
      <w:r w:rsidRPr="00AE47C6">
        <w:rPr>
          <w:rFonts w:ascii="Times New Roman" w:eastAsia="SimSun" w:hAnsi="Times New Roman"/>
          <w:sz w:val="24"/>
          <w:szCs w:val="24"/>
        </w:rPr>
        <w:t xml:space="preserve">в пре-/перинаталния или ранния постнатален период на детето </w:t>
      </w:r>
      <w:r w:rsidRPr="00AE47C6">
        <w:rPr>
          <w:rFonts w:ascii="Times New Roman" w:eastAsia="SimSun" w:hAnsi="Times New Roman"/>
          <w:b/>
          <w:bCs/>
          <w:sz w:val="24"/>
          <w:szCs w:val="24"/>
        </w:rPr>
        <w:t>и се разграничава от:</w:t>
      </w:r>
    </w:p>
    <w:p w14:paraId="03839D8B" w14:textId="77777777" w:rsidR="00BE0B19" w:rsidRPr="00AE47C6" w:rsidRDefault="00BE0B19" w:rsidP="00BE0B19">
      <w:pPr>
        <w:numPr>
          <w:ilvl w:val="0"/>
          <w:numId w:val="32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iCs/>
          <w:sz w:val="24"/>
          <w:szCs w:val="24"/>
        </w:rPr>
        <w:t xml:space="preserve">Наследствени метаболитни енцефалопатии </w:t>
      </w:r>
      <w:r w:rsidRPr="00AE47C6">
        <w:rPr>
          <w:rFonts w:ascii="Times New Roman" w:eastAsia="SimSun" w:hAnsi="Times New Roman"/>
          <w:sz w:val="24"/>
          <w:szCs w:val="24"/>
        </w:rPr>
        <w:t xml:space="preserve">(фенилкетонурия, хистидинемия, пируват-дехидрогеназен дефицит), инфантилните форми на </w:t>
      </w:r>
      <w:r w:rsidRPr="00AE47C6">
        <w:rPr>
          <w:rFonts w:ascii="Times New Roman" w:eastAsia="SimSun" w:hAnsi="Times New Roman"/>
          <w:i/>
          <w:iCs/>
          <w:sz w:val="24"/>
          <w:szCs w:val="24"/>
        </w:rPr>
        <w:t xml:space="preserve">невролипидози </w:t>
      </w:r>
      <w:r w:rsidRPr="00AE47C6">
        <w:rPr>
          <w:rFonts w:ascii="Times New Roman" w:eastAsia="SimSun" w:hAnsi="Times New Roman"/>
          <w:sz w:val="24"/>
          <w:szCs w:val="24"/>
        </w:rPr>
        <w:t>(ганглиозидози, цероид - липофусцинози и сиалидози)</w:t>
      </w:r>
      <w:r w:rsidRPr="00AE47C6">
        <w:rPr>
          <w:rFonts w:ascii="Times New Roman" w:eastAsia="SimSun" w:hAnsi="Times New Roman"/>
          <w:i/>
          <w:iCs/>
          <w:sz w:val="24"/>
          <w:szCs w:val="24"/>
        </w:rPr>
        <w:t xml:space="preserve"> и левкодистрофии </w:t>
      </w:r>
      <w:r w:rsidRPr="00AE47C6">
        <w:rPr>
          <w:rFonts w:ascii="Times New Roman" w:eastAsia="SimSun" w:hAnsi="Times New Roman"/>
          <w:sz w:val="24"/>
          <w:szCs w:val="24"/>
        </w:rPr>
        <w:t xml:space="preserve">(метахроматична, тип Krabbe, тип Alexander, тип Canavan и тип Pelizeaus - Merzbacher). При тях </w:t>
      </w:r>
      <w:r w:rsidRPr="00AE47C6">
        <w:rPr>
          <w:rFonts w:ascii="Times New Roman" w:eastAsia="SimSun" w:hAnsi="Times New Roman"/>
          <w:i/>
          <w:iCs/>
          <w:sz w:val="24"/>
          <w:szCs w:val="24"/>
        </w:rPr>
        <w:t>прогресиращо</w:t>
      </w:r>
      <w:r w:rsidRPr="00AE47C6">
        <w:rPr>
          <w:rFonts w:ascii="Times New Roman" w:eastAsia="SimSun" w:hAnsi="Times New Roman"/>
          <w:sz w:val="24"/>
          <w:szCs w:val="24"/>
        </w:rPr>
        <w:t xml:space="preserve"> се развиват квадрипаретичен, церебеларен синдром, интелектуален регрес, амавроза и епилептични припадъци и се установява специфичен метаболитен дефект или ензимен дефицит, а в КТ и МРТ- обширна демиелинизация при левкодистрофиите, прогресираща мозъчна атрофия при болестите с натрупване в лизозомите</w:t>
      </w:r>
      <w:r w:rsidRPr="00AE47C6">
        <w:rPr>
          <w:rFonts w:ascii="Times New Roman" w:eastAsia="SimSun" w:hAnsi="Times New Roman"/>
          <w:i/>
          <w:iCs/>
          <w:sz w:val="24"/>
          <w:szCs w:val="24"/>
        </w:rPr>
        <w:t>.</w:t>
      </w:r>
    </w:p>
    <w:p w14:paraId="6B3F9970" w14:textId="77777777" w:rsidR="00BE0B19" w:rsidRPr="00AE47C6" w:rsidRDefault="00BE0B19" w:rsidP="00BE0B19">
      <w:pPr>
        <w:numPr>
          <w:ilvl w:val="0"/>
          <w:numId w:val="32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iCs/>
          <w:sz w:val="24"/>
          <w:szCs w:val="24"/>
        </w:rPr>
        <w:t>Невромускулни заболявания</w:t>
      </w:r>
      <w:r w:rsidRPr="00AE47C6">
        <w:rPr>
          <w:rFonts w:ascii="Times New Roman" w:eastAsia="SimSun" w:hAnsi="Times New Roman"/>
          <w:sz w:val="24"/>
          <w:szCs w:val="24"/>
        </w:rPr>
        <w:t xml:space="preserve">, с мускулна хипотония, забавено моторно развитие: </w:t>
      </w:r>
      <w:r w:rsidRPr="00AE47C6">
        <w:rPr>
          <w:rFonts w:ascii="Times New Roman" w:eastAsia="SimSun" w:hAnsi="Times New Roman"/>
          <w:i/>
          <w:iCs/>
          <w:sz w:val="24"/>
          <w:szCs w:val="24"/>
        </w:rPr>
        <w:t>спинална мускулна атрофия І-ІІ тип; вродени миопатии; конгенитална мускулна дистрофия; наследствена сетивно-моторна невропатия - тип ІІІ (Dejerine - Sottas</w:t>
      </w:r>
      <w:r w:rsidRPr="00AE47C6">
        <w:rPr>
          <w:rFonts w:ascii="Times New Roman" w:eastAsia="SimSun" w:hAnsi="Times New Roman"/>
          <w:sz w:val="24"/>
          <w:szCs w:val="24"/>
        </w:rPr>
        <w:t>). В тези случаи се установяват характерни ЕМГ промени и генетични дефекти.</w:t>
      </w:r>
    </w:p>
    <w:p w14:paraId="01EE4385" w14:textId="77777777" w:rsidR="00BE0B19" w:rsidRPr="00AE47C6" w:rsidRDefault="00BE0B19" w:rsidP="00BE0B19">
      <w:pPr>
        <w:numPr>
          <w:ilvl w:val="0"/>
          <w:numId w:val="32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iCs/>
          <w:sz w:val="24"/>
          <w:szCs w:val="24"/>
        </w:rPr>
        <w:t xml:space="preserve">Наследствени атаксии с ранно начало като синдром на Louis-Barr (атаксия телангиектазия) и </w:t>
      </w:r>
      <w:r w:rsidRPr="00AE47C6">
        <w:rPr>
          <w:rFonts w:ascii="Times New Roman" w:eastAsia="SimSun" w:hAnsi="Times New Roman"/>
          <w:i/>
          <w:sz w:val="24"/>
          <w:szCs w:val="24"/>
        </w:rPr>
        <w:t>понтоцеребеларна хипоплазия</w:t>
      </w:r>
      <w:r w:rsidRPr="00AE47C6">
        <w:rPr>
          <w:rFonts w:ascii="Times New Roman" w:eastAsia="SimSun" w:hAnsi="Times New Roman"/>
          <w:sz w:val="24"/>
          <w:szCs w:val="24"/>
        </w:rPr>
        <w:t>, могат да имитират ЦП, но заболяванията протичат с прогресиращ церебеларен синдром.</w:t>
      </w:r>
    </w:p>
    <w:p w14:paraId="2CA0F319" w14:textId="77777777" w:rsidR="00BE0B19" w:rsidRPr="00AE47C6" w:rsidRDefault="00BE0B19" w:rsidP="00BE0B19">
      <w:pPr>
        <w:numPr>
          <w:ilvl w:val="0"/>
          <w:numId w:val="32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iCs/>
          <w:sz w:val="24"/>
          <w:szCs w:val="24"/>
        </w:rPr>
        <w:t xml:space="preserve">Синдром на Rett – </w:t>
      </w:r>
      <w:r w:rsidRPr="00AE47C6">
        <w:rPr>
          <w:rFonts w:ascii="Times New Roman" w:eastAsia="SimSun" w:hAnsi="Times New Roman"/>
          <w:sz w:val="24"/>
          <w:szCs w:val="24"/>
        </w:rPr>
        <w:t>при нормално развити деца започват невропсихологичен регрес, изявяват се аутизъм, стереотипни движения на ръцете, епилептични припадъци. Необходими са генетични изследвания.</w:t>
      </w:r>
    </w:p>
    <w:p w14:paraId="359ADF40" w14:textId="77777777" w:rsidR="00BE0B19" w:rsidRPr="00AE47C6" w:rsidRDefault="00BE0B19" w:rsidP="00BE0B19">
      <w:pPr>
        <w:numPr>
          <w:ilvl w:val="0"/>
          <w:numId w:val="32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iCs/>
          <w:sz w:val="24"/>
          <w:szCs w:val="24"/>
        </w:rPr>
        <w:t xml:space="preserve">Енцефалопатии при HIV </w:t>
      </w:r>
      <w:r w:rsidRPr="00AE47C6">
        <w:rPr>
          <w:rFonts w:ascii="Times New Roman" w:eastAsia="SimSun" w:hAnsi="Times New Roman"/>
          <w:sz w:val="24"/>
          <w:szCs w:val="24"/>
        </w:rPr>
        <w:t xml:space="preserve">(стационирани и прогресиращи). Установяват се серологични данни за  </w:t>
      </w:r>
      <w:r w:rsidRPr="00AE47C6">
        <w:rPr>
          <w:rFonts w:ascii="Times New Roman" w:eastAsia="SimSun" w:hAnsi="Times New Roman"/>
          <w:i/>
          <w:iCs/>
          <w:sz w:val="24"/>
          <w:szCs w:val="24"/>
        </w:rPr>
        <w:t>HIV</w:t>
      </w:r>
      <w:r w:rsidRPr="00AE47C6">
        <w:rPr>
          <w:rFonts w:ascii="Times New Roman" w:eastAsia="SimSun" w:hAnsi="Times New Roman"/>
          <w:sz w:val="24"/>
          <w:szCs w:val="24"/>
        </w:rPr>
        <w:t xml:space="preserve">  инфекция и прогресираща енцефалопатия при невроизобразяващите изследвания.</w:t>
      </w:r>
    </w:p>
    <w:p w14:paraId="11736A94" w14:textId="77777777" w:rsidR="00BE0B19" w:rsidRPr="00AE47C6" w:rsidRDefault="00BE0B19" w:rsidP="00BE0B19">
      <w:pPr>
        <w:numPr>
          <w:ilvl w:val="0"/>
          <w:numId w:val="323"/>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i/>
          <w:iCs/>
          <w:sz w:val="24"/>
          <w:szCs w:val="24"/>
        </w:rPr>
        <w:t xml:space="preserve">Мозъчни тумори (дизембрионални, съдови) с </w:t>
      </w:r>
      <w:r w:rsidRPr="00AE47C6">
        <w:rPr>
          <w:rFonts w:ascii="Times New Roman" w:eastAsia="SimSun" w:hAnsi="Times New Roman"/>
          <w:sz w:val="24"/>
          <w:szCs w:val="24"/>
        </w:rPr>
        <w:t>бавно прогресиращ неврологичен дефицит. За диагностицирането им са необходими невроизобразяващи изследвания (КТ или МРТ на главен мозък)</w:t>
      </w:r>
    </w:p>
    <w:p w14:paraId="13CC5874" w14:textId="77777777" w:rsidR="00BE0B19" w:rsidRPr="00AE47C6" w:rsidRDefault="00BE0B19" w:rsidP="00BE0B19">
      <w:pPr>
        <w:spacing w:after="0" w:line="360" w:lineRule="auto"/>
        <w:ind w:left="720" w:firstLine="720"/>
        <w:jc w:val="both"/>
        <w:rPr>
          <w:rFonts w:ascii="Times New Roman" w:eastAsia="SimSun" w:hAnsi="Times New Roman"/>
          <w:sz w:val="24"/>
          <w:szCs w:val="24"/>
        </w:rPr>
      </w:pPr>
    </w:p>
    <w:p w14:paraId="216A25D2" w14:textId="77777777" w:rsidR="00BE0B19" w:rsidRPr="00AE47C6" w:rsidRDefault="00BE0B19" w:rsidP="00BE0B19">
      <w:pPr>
        <w:spacing w:after="0" w:line="360" w:lineRule="auto"/>
        <w:ind w:left="180" w:firstLine="720"/>
        <w:jc w:val="both"/>
        <w:rPr>
          <w:rFonts w:ascii="Times New Roman" w:eastAsia="SimSun" w:hAnsi="Times New Roman"/>
          <w:b/>
          <w:bCs/>
          <w:sz w:val="24"/>
          <w:szCs w:val="24"/>
        </w:rPr>
      </w:pPr>
      <w:r w:rsidRPr="00AE47C6">
        <w:rPr>
          <w:rFonts w:ascii="Times New Roman" w:eastAsia="SimSun" w:hAnsi="Times New Roman"/>
          <w:b/>
          <w:bCs/>
          <w:sz w:val="24"/>
          <w:szCs w:val="24"/>
        </w:rPr>
        <w:t>12.9. Терапия и рехабилитация:</w:t>
      </w:r>
    </w:p>
    <w:p w14:paraId="0039AE4D" w14:textId="77777777" w:rsidR="00BE0B19" w:rsidRPr="00AE47C6" w:rsidRDefault="00BE0B19" w:rsidP="00BE0B19">
      <w:pPr>
        <w:tabs>
          <w:tab w:val="num" w:pos="1647"/>
        </w:tabs>
        <w:spacing w:after="0" w:line="360" w:lineRule="auto"/>
        <w:jc w:val="both"/>
        <w:rPr>
          <w:rFonts w:ascii="Times New Roman" w:eastAsia="SimSun" w:hAnsi="Times New Roman"/>
          <w:b/>
          <w:bCs/>
          <w:i/>
          <w:iCs/>
          <w:sz w:val="24"/>
          <w:szCs w:val="24"/>
          <w:u w:val="single"/>
        </w:rPr>
      </w:pPr>
      <w:r w:rsidRPr="00AE47C6">
        <w:rPr>
          <w:rFonts w:ascii="Times New Roman" w:eastAsia="SimSun" w:hAnsi="Times New Roman"/>
          <w:b/>
          <w:bCs/>
          <w:sz w:val="24"/>
          <w:szCs w:val="24"/>
          <w:u w:val="single"/>
        </w:rPr>
        <w:t xml:space="preserve">12.9.1. Медикаментозна терапия </w:t>
      </w:r>
    </w:p>
    <w:p w14:paraId="3FE07E9D" w14:textId="77777777" w:rsidR="00BE0B19" w:rsidRPr="00AE47C6" w:rsidRDefault="00BE0B19" w:rsidP="00BE0B19">
      <w:pPr>
        <w:numPr>
          <w:ilvl w:val="1"/>
          <w:numId w:val="40"/>
        </w:numPr>
        <w:tabs>
          <w:tab w:val="num" w:pos="540"/>
        </w:tabs>
        <w:spacing w:after="0" w:line="360" w:lineRule="auto"/>
        <w:ind w:left="540" w:firstLine="720"/>
        <w:jc w:val="both"/>
        <w:rPr>
          <w:rFonts w:ascii="Times New Roman" w:eastAsia="SimSun" w:hAnsi="Times New Roman"/>
          <w:b/>
          <w:bCs/>
          <w:i/>
          <w:iCs/>
          <w:sz w:val="24"/>
          <w:szCs w:val="24"/>
        </w:rPr>
      </w:pPr>
      <w:r w:rsidRPr="00AE47C6">
        <w:rPr>
          <w:rFonts w:ascii="Times New Roman" w:eastAsia="SimSun" w:hAnsi="Times New Roman"/>
          <w:i/>
          <w:iCs/>
          <w:sz w:val="24"/>
          <w:szCs w:val="24"/>
        </w:rPr>
        <w:t xml:space="preserve">Лечение на </w:t>
      </w:r>
      <w:r w:rsidRPr="00AE47C6">
        <w:rPr>
          <w:rFonts w:ascii="Times New Roman" w:eastAsia="SimSun" w:hAnsi="Times New Roman"/>
          <w:b/>
          <w:bCs/>
          <w:i/>
          <w:iCs/>
          <w:sz w:val="24"/>
          <w:szCs w:val="24"/>
        </w:rPr>
        <w:t>спастицитета</w:t>
      </w:r>
      <w:r w:rsidRPr="00AE47C6">
        <w:rPr>
          <w:rFonts w:ascii="Times New Roman" w:eastAsia="SimSun" w:hAnsi="Times New Roman"/>
          <w:sz w:val="24"/>
          <w:szCs w:val="24"/>
        </w:rPr>
        <w:t xml:space="preserve">. </w:t>
      </w:r>
    </w:p>
    <w:p w14:paraId="2266212F" w14:textId="77777777" w:rsidR="00BE0B19" w:rsidRPr="00AE47C6" w:rsidRDefault="00BE0B19" w:rsidP="00BE0B19">
      <w:pPr>
        <w:numPr>
          <w:ilvl w:val="2"/>
          <w:numId w:val="41"/>
        </w:numPr>
        <w:tabs>
          <w:tab w:val="clear" w:pos="2160"/>
          <w:tab w:val="num" w:pos="1080"/>
        </w:tabs>
        <w:spacing w:after="0" w:line="360" w:lineRule="auto"/>
        <w:ind w:left="1080" w:firstLine="720"/>
        <w:jc w:val="both"/>
        <w:rPr>
          <w:rFonts w:ascii="Times New Roman" w:eastAsia="SimSun" w:hAnsi="Times New Roman"/>
          <w:b/>
          <w:bCs/>
          <w:i/>
          <w:iCs/>
          <w:sz w:val="24"/>
          <w:szCs w:val="24"/>
        </w:rPr>
      </w:pPr>
      <w:r w:rsidRPr="00AE47C6">
        <w:rPr>
          <w:rFonts w:ascii="Times New Roman" w:eastAsia="SimSun" w:hAnsi="Times New Roman"/>
          <w:i/>
          <w:iCs/>
          <w:sz w:val="24"/>
          <w:szCs w:val="24"/>
        </w:rPr>
        <w:t>Baclofen</w:t>
      </w:r>
      <w:r w:rsidRPr="00AE47C6">
        <w:rPr>
          <w:rFonts w:ascii="Times New Roman" w:eastAsia="SimSun" w:hAnsi="Times New Roman"/>
          <w:sz w:val="24"/>
          <w:szCs w:val="24"/>
        </w:rPr>
        <w:t xml:space="preserve"> - 0,4 до 2 mg/kg с ниска начална доза в 3 - 4 приема и повишаване през 3 дни съобразно ефекта. При деца на 1 - 2 г. дозата е 10 - 20 mg/дневно, на 2-6 г.- 20 - 30 mg/дневно, 6 - 10 г.- 30 - 60 mg/дневно. </w:t>
      </w:r>
    </w:p>
    <w:p w14:paraId="4313C943" w14:textId="77777777" w:rsidR="00BE0B19" w:rsidRPr="00AE47C6" w:rsidRDefault="00BE0B19" w:rsidP="00BE0B19">
      <w:pPr>
        <w:numPr>
          <w:ilvl w:val="2"/>
          <w:numId w:val="41"/>
        </w:numPr>
        <w:tabs>
          <w:tab w:val="clear" w:pos="2160"/>
          <w:tab w:val="num" w:pos="1080"/>
        </w:tabs>
        <w:spacing w:after="0" w:line="360" w:lineRule="auto"/>
        <w:ind w:left="1080" w:firstLine="720"/>
        <w:jc w:val="both"/>
        <w:rPr>
          <w:rFonts w:ascii="Times New Roman" w:eastAsia="SimSun" w:hAnsi="Times New Roman"/>
          <w:b/>
          <w:bCs/>
          <w:i/>
          <w:iCs/>
          <w:sz w:val="24"/>
          <w:szCs w:val="24"/>
        </w:rPr>
      </w:pPr>
      <w:r w:rsidRPr="00AE47C6">
        <w:rPr>
          <w:rFonts w:ascii="Times New Roman" w:eastAsia="SimSun" w:hAnsi="Times New Roman"/>
          <w:i/>
          <w:iCs/>
          <w:sz w:val="24"/>
          <w:szCs w:val="24"/>
        </w:rPr>
        <w:t>Biperiden</w:t>
      </w:r>
      <w:r w:rsidRPr="00AE47C6">
        <w:rPr>
          <w:rFonts w:ascii="Times New Roman" w:eastAsia="SimSun" w:hAnsi="Times New Roman"/>
          <w:sz w:val="24"/>
          <w:szCs w:val="24"/>
        </w:rPr>
        <w:t xml:space="preserve"> - 0,5 - 1 mg/дневно за деца от 1 до 3 г., от 1 до 3 мг/дневно при деца от 3 до 15 г. </w:t>
      </w:r>
    </w:p>
    <w:p w14:paraId="691CEA3A" w14:textId="77777777" w:rsidR="00BE0B19" w:rsidRPr="00AE47C6" w:rsidRDefault="00BE0B19" w:rsidP="00BE0B19">
      <w:pPr>
        <w:numPr>
          <w:ilvl w:val="2"/>
          <w:numId w:val="41"/>
        </w:numPr>
        <w:tabs>
          <w:tab w:val="clear" w:pos="2160"/>
          <w:tab w:val="num" w:pos="1080"/>
        </w:tabs>
        <w:spacing w:after="0" w:line="360" w:lineRule="auto"/>
        <w:ind w:left="1080" w:firstLine="720"/>
        <w:jc w:val="both"/>
        <w:rPr>
          <w:rFonts w:ascii="Times New Roman" w:eastAsia="SimSun" w:hAnsi="Times New Roman"/>
          <w:b/>
          <w:bCs/>
          <w:sz w:val="24"/>
          <w:szCs w:val="24"/>
        </w:rPr>
      </w:pPr>
      <w:r w:rsidRPr="00AE47C6">
        <w:rPr>
          <w:rFonts w:ascii="Times New Roman" w:eastAsia="SimSun" w:hAnsi="Times New Roman"/>
          <w:i/>
          <w:iCs/>
          <w:sz w:val="24"/>
          <w:szCs w:val="24"/>
        </w:rPr>
        <w:t>Botulinum Toxin А</w:t>
      </w:r>
      <w:r w:rsidRPr="00AE47C6">
        <w:rPr>
          <w:rFonts w:ascii="Times New Roman" w:eastAsia="SimSun" w:hAnsi="Times New Roman"/>
          <w:sz w:val="24"/>
          <w:szCs w:val="24"/>
        </w:rPr>
        <w:t xml:space="preserve"> чрез локални апликации в спастичния мускул редуцира рязко спастицитета за 4 до 8 месеца.</w:t>
      </w:r>
    </w:p>
    <w:p w14:paraId="15529993" w14:textId="77777777" w:rsidR="00BE0B19" w:rsidRPr="00AE47C6" w:rsidRDefault="00BE0B19" w:rsidP="00BE0B19">
      <w:pPr>
        <w:numPr>
          <w:ilvl w:val="1"/>
          <w:numId w:val="40"/>
        </w:numPr>
        <w:tabs>
          <w:tab w:val="num" w:pos="540"/>
        </w:tabs>
        <w:spacing w:after="0" w:line="360" w:lineRule="auto"/>
        <w:ind w:left="540" w:firstLine="720"/>
        <w:jc w:val="both"/>
        <w:rPr>
          <w:rFonts w:ascii="Times New Roman" w:eastAsia="SimSun" w:hAnsi="Times New Roman"/>
          <w:b/>
          <w:bCs/>
          <w:i/>
          <w:iCs/>
          <w:sz w:val="24"/>
          <w:szCs w:val="24"/>
        </w:rPr>
      </w:pPr>
      <w:r w:rsidRPr="00AE47C6">
        <w:rPr>
          <w:rFonts w:ascii="Times New Roman" w:eastAsia="SimSun" w:hAnsi="Times New Roman"/>
          <w:b/>
          <w:bCs/>
          <w:i/>
          <w:iCs/>
          <w:sz w:val="24"/>
          <w:szCs w:val="24"/>
        </w:rPr>
        <w:t xml:space="preserve"> Ноотропно лечение. </w:t>
      </w:r>
    </w:p>
    <w:p w14:paraId="1CDA6276" w14:textId="77777777" w:rsidR="00BE0B19" w:rsidRPr="00AE47C6" w:rsidRDefault="00BE0B19" w:rsidP="00BE0B19">
      <w:pPr>
        <w:numPr>
          <w:ilvl w:val="2"/>
          <w:numId w:val="42"/>
        </w:numPr>
        <w:tabs>
          <w:tab w:val="clear" w:pos="2160"/>
          <w:tab w:val="num" w:pos="1080"/>
        </w:tabs>
        <w:spacing w:after="0" w:line="360" w:lineRule="auto"/>
        <w:ind w:left="1080" w:firstLine="720"/>
        <w:jc w:val="both"/>
        <w:rPr>
          <w:rFonts w:ascii="Times New Roman" w:eastAsia="SimSun" w:hAnsi="Times New Roman"/>
          <w:b/>
          <w:bCs/>
          <w:i/>
          <w:iCs/>
          <w:sz w:val="24"/>
          <w:szCs w:val="24"/>
        </w:rPr>
      </w:pPr>
      <w:r w:rsidRPr="00AE47C6">
        <w:rPr>
          <w:rFonts w:ascii="Times New Roman" w:eastAsia="SimSun" w:hAnsi="Times New Roman"/>
          <w:i/>
          <w:iCs/>
          <w:sz w:val="24"/>
          <w:szCs w:val="24"/>
        </w:rPr>
        <w:t>Piracetam</w:t>
      </w:r>
      <w:r w:rsidRPr="00AE47C6">
        <w:rPr>
          <w:rFonts w:ascii="Times New Roman" w:eastAsia="SimSun" w:hAnsi="Times New Roman"/>
          <w:sz w:val="24"/>
          <w:szCs w:val="24"/>
        </w:rPr>
        <w:t xml:space="preserve"> - 30-50 mg/kg.</w:t>
      </w:r>
    </w:p>
    <w:p w14:paraId="01001C57" w14:textId="77777777" w:rsidR="00BE0B19" w:rsidRPr="00AE47C6" w:rsidRDefault="00BE0B19" w:rsidP="00BE0B19">
      <w:pPr>
        <w:numPr>
          <w:ilvl w:val="2"/>
          <w:numId w:val="42"/>
        </w:numPr>
        <w:tabs>
          <w:tab w:val="clear" w:pos="2160"/>
          <w:tab w:val="num" w:pos="1080"/>
        </w:tabs>
        <w:spacing w:after="0" w:line="360" w:lineRule="auto"/>
        <w:ind w:left="1080" w:firstLine="720"/>
        <w:jc w:val="both"/>
        <w:rPr>
          <w:rFonts w:ascii="Times New Roman" w:eastAsia="SimSun" w:hAnsi="Times New Roman"/>
          <w:b/>
          <w:bCs/>
          <w:i/>
          <w:iCs/>
          <w:sz w:val="24"/>
          <w:szCs w:val="24"/>
        </w:rPr>
      </w:pPr>
      <w:r w:rsidRPr="00AE47C6">
        <w:rPr>
          <w:rFonts w:ascii="Times New Roman" w:eastAsia="SimSun" w:hAnsi="Times New Roman"/>
          <w:i/>
          <w:iCs/>
          <w:sz w:val="24"/>
          <w:szCs w:val="24"/>
        </w:rPr>
        <w:t>Cerebrolysin</w:t>
      </w:r>
      <w:r w:rsidRPr="00AE47C6">
        <w:rPr>
          <w:rFonts w:ascii="Times New Roman" w:eastAsia="SimSun" w:hAnsi="Times New Roman"/>
          <w:sz w:val="24"/>
          <w:szCs w:val="24"/>
        </w:rPr>
        <w:t xml:space="preserve">   1,0 ml- 1-2 amp./дневно 15-20 дни, през ден 2-3 седмици</w:t>
      </w:r>
    </w:p>
    <w:p w14:paraId="7C4BF66A" w14:textId="77777777" w:rsidR="00BE0B19" w:rsidRPr="00AE47C6" w:rsidRDefault="00BE0B19" w:rsidP="00BE0B19">
      <w:pPr>
        <w:numPr>
          <w:ilvl w:val="1"/>
          <w:numId w:val="40"/>
        </w:numPr>
        <w:tabs>
          <w:tab w:val="num" w:pos="540"/>
        </w:tabs>
        <w:spacing w:after="0" w:line="360" w:lineRule="auto"/>
        <w:ind w:left="540" w:firstLine="720"/>
        <w:jc w:val="both"/>
        <w:rPr>
          <w:rFonts w:ascii="Times New Roman" w:eastAsia="SimSun" w:hAnsi="Times New Roman"/>
          <w:b/>
          <w:bCs/>
          <w:i/>
          <w:iCs/>
          <w:sz w:val="24"/>
          <w:szCs w:val="24"/>
        </w:rPr>
      </w:pPr>
      <w:r w:rsidRPr="00AE47C6">
        <w:rPr>
          <w:rFonts w:ascii="Times New Roman" w:eastAsia="SimSun" w:hAnsi="Times New Roman"/>
          <w:b/>
          <w:bCs/>
          <w:i/>
          <w:iCs/>
          <w:sz w:val="24"/>
          <w:szCs w:val="24"/>
        </w:rPr>
        <w:t xml:space="preserve">Антигърчово лечение </w:t>
      </w:r>
      <w:r w:rsidRPr="00AE47C6">
        <w:rPr>
          <w:rFonts w:ascii="Times New Roman" w:eastAsia="SimSun" w:hAnsi="Times New Roman"/>
          <w:sz w:val="24"/>
          <w:szCs w:val="24"/>
        </w:rPr>
        <w:t xml:space="preserve">се прилага при съпътстващ епилептичен синдром според вида на епилептичните припадъци /valproate (VPA), carbamazepine (CBZ), oxcarbazepine (OXC), lamotrigine (LTG), topiramate (TPM), levetiracetam (LEV), gabapentin (GBP), tiagabine (TGB), clonazepam (CLZ), ethosuximide (ESM), lacosamide (LCM), stiripentol*, rufinamide*, </w:t>
      </w:r>
      <w:r w:rsidRPr="00AE47C6">
        <w:rPr>
          <w:rFonts w:ascii="Times New Roman" w:eastAsia="SimSun" w:hAnsi="Times New Roman"/>
        </w:rPr>
        <w:t>CBD* в комбинация с Clobazam**≥2 г,</w:t>
      </w:r>
      <w:r w:rsidRPr="00AE47C6">
        <w:rPr>
          <w:rFonts w:ascii="Times New Roman" w:eastAsia="SimSun" w:hAnsi="Times New Roman"/>
          <w:bCs/>
        </w:rPr>
        <w:t xml:space="preserve"> Fenfluramine </w:t>
      </w:r>
      <w:r w:rsidRPr="00AE47C6">
        <w:rPr>
          <w:rFonts w:ascii="Times New Roman" w:eastAsia="SimSun" w:hAnsi="Times New Roman"/>
        </w:rPr>
        <w:t>*</w:t>
      </w:r>
      <w:r w:rsidRPr="00AE47C6">
        <w:rPr>
          <w:rFonts w:ascii="Times New Roman" w:eastAsia="SimSun" w:hAnsi="Times New Roman"/>
          <w:bCs/>
        </w:rPr>
        <w:t xml:space="preserve"> ≥</w:t>
      </w:r>
      <w:r w:rsidRPr="00AE47C6">
        <w:rPr>
          <w:rFonts w:ascii="Times New Roman" w:eastAsia="SimSun" w:hAnsi="Times New Roman"/>
        </w:rPr>
        <w:t xml:space="preserve"> 2 г.</w:t>
      </w:r>
      <w:r w:rsidRPr="00AE47C6">
        <w:rPr>
          <w:rFonts w:ascii="Times New Roman" w:eastAsia="SimSun" w:hAnsi="Times New Roman"/>
          <w:sz w:val="24"/>
          <w:szCs w:val="24"/>
        </w:rPr>
        <w:t xml:space="preserve"> кортикостероиди (</w:t>
      </w:r>
      <w:r w:rsidRPr="00AE47C6">
        <w:rPr>
          <w:rFonts w:ascii="Times New Roman" w:eastAsia="SimSun" w:hAnsi="Times New Roman"/>
          <w:bCs/>
          <w:sz w:val="24"/>
          <w:szCs w:val="24"/>
        </w:rPr>
        <w:t>Таблица 12.1, Таблица 12.2</w:t>
      </w:r>
      <w:r w:rsidRPr="00AE47C6">
        <w:rPr>
          <w:rFonts w:ascii="Times New Roman" w:eastAsia="SimSun" w:hAnsi="Times New Roman"/>
          <w:sz w:val="24"/>
          <w:szCs w:val="24"/>
        </w:rPr>
        <w:t xml:space="preserve">). Своевременното адекватно лечение на съпътстващата симптоматична епилепсия има важно значение за възможността и за ранна и пълноценна рехабилитация и подобряване на качеството на живот. </w:t>
      </w:r>
    </w:p>
    <w:p w14:paraId="09394549" w14:textId="77777777" w:rsidR="00BE0B19" w:rsidRPr="00AE47C6" w:rsidRDefault="00BE0B19" w:rsidP="00BE0B19">
      <w:pPr>
        <w:tabs>
          <w:tab w:val="num" w:pos="1440"/>
        </w:tabs>
        <w:spacing w:after="0" w:line="360" w:lineRule="auto"/>
        <w:ind w:left="1260"/>
        <w:jc w:val="both"/>
        <w:rPr>
          <w:rFonts w:ascii="Times New Roman" w:eastAsia="SimSun" w:hAnsi="Times New Roman"/>
          <w:b/>
          <w:bCs/>
          <w:i/>
          <w:iCs/>
          <w:sz w:val="24"/>
          <w:szCs w:val="24"/>
        </w:rPr>
      </w:pPr>
    </w:p>
    <w:p w14:paraId="7523BB70" w14:textId="77777777" w:rsidR="00BE0B19" w:rsidRPr="00AE47C6" w:rsidRDefault="00BE0B19" w:rsidP="00BE0B19">
      <w:pPr>
        <w:spacing w:after="0" w:line="360" w:lineRule="auto"/>
        <w:ind w:left="360"/>
        <w:rPr>
          <w:rFonts w:ascii="Times New Roman" w:eastAsia="SimSun" w:hAnsi="Times New Roman"/>
          <w:b/>
          <w:sz w:val="24"/>
          <w:szCs w:val="20"/>
        </w:rPr>
      </w:pPr>
      <w:r w:rsidRPr="00AE47C6">
        <w:rPr>
          <w:rFonts w:ascii="Times New Roman" w:eastAsia="SimSun" w:hAnsi="Times New Roman"/>
          <w:b/>
          <w:bCs/>
          <w:sz w:val="24"/>
          <w:szCs w:val="24"/>
        </w:rPr>
        <w:t xml:space="preserve">Таблица 12.1. </w:t>
      </w:r>
      <w:r w:rsidRPr="00AE47C6">
        <w:rPr>
          <w:rFonts w:ascii="Times New Roman" w:eastAsia="SimSun" w:hAnsi="Times New Roman"/>
          <w:b/>
          <w:sz w:val="24"/>
          <w:szCs w:val="20"/>
        </w:rPr>
        <w:t xml:space="preserve">Таблица 15. Избор на </w:t>
      </w:r>
      <w:r w:rsidRPr="00AE47C6">
        <w:rPr>
          <w:rFonts w:ascii="Times New Roman" w:eastAsia="SimSun" w:hAnsi="Times New Roman"/>
          <w:b/>
          <w:bCs/>
          <w:sz w:val="24"/>
          <w:szCs w:val="20"/>
        </w:rPr>
        <w:t>АГЛ</w:t>
      </w:r>
      <w:r w:rsidRPr="00AE47C6">
        <w:rPr>
          <w:rFonts w:ascii="Times New Roman" w:eastAsia="SimSun" w:hAnsi="Times New Roman"/>
          <w:b/>
          <w:sz w:val="24"/>
          <w:szCs w:val="20"/>
        </w:rPr>
        <w:t xml:space="preserve"> в детската възраст при епилепсиите/ епилептичните синдроми - І, ІІ монотерапия, допълваща терапия </w:t>
      </w:r>
    </w:p>
    <w:tbl>
      <w:tblPr>
        <w:tblW w:w="90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7"/>
        <w:gridCol w:w="1726"/>
        <w:gridCol w:w="2253"/>
        <w:gridCol w:w="2456"/>
      </w:tblGrid>
      <w:tr w:rsidR="00BE0B19" w:rsidRPr="00AE47C6" w14:paraId="381EC2A3" w14:textId="77777777" w:rsidTr="00AD72E5">
        <w:trPr>
          <w:trHeight w:val="840"/>
        </w:trPr>
        <w:tc>
          <w:tcPr>
            <w:tcW w:w="2783" w:type="dxa"/>
          </w:tcPr>
          <w:p w14:paraId="76DAA12F"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Епилепсия/</w:t>
            </w:r>
          </w:p>
          <w:p w14:paraId="3C667EB0"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синдром </w:t>
            </w:r>
          </w:p>
        </w:tc>
        <w:tc>
          <w:tcPr>
            <w:tcW w:w="1776" w:type="dxa"/>
          </w:tcPr>
          <w:p w14:paraId="4316EE18"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І монотерапия </w:t>
            </w:r>
          </w:p>
        </w:tc>
        <w:tc>
          <w:tcPr>
            <w:tcW w:w="2416" w:type="dxa"/>
          </w:tcPr>
          <w:p w14:paraId="61B8E57C"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Алтернативна моно-/допълваща терапия </w:t>
            </w:r>
          </w:p>
        </w:tc>
        <w:tc>
          <w:tcPr>
            <w:tcW w:w="2765" w:type="dxa"/>
          </w:tcPr>
          <w:p w14:paraId="0D48ACED"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Възможна моно-/допълваща терапия </w:t>
            </w:r>
          </w:p>
        </w:tc>
      </w:tr>
      <w:tr w:rsidR="00BE0B19" w:rsidRPr="00AE47C6" w14:paraId="16DF902A" w14:textId="77777777" w:rsidTr="00AD72E5">
        <w:trPr>
          <w:trHeight w:val="150"/>
        </w:trPr>
        <w:tc>
          <w:tcPr>
            <w:tcW w:w="2783" w:type="dxa"/>
          </w:tcPr>
          <w:p w14:paraId="0F1DA615"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Синдром на West </w:t>
            </w:r>
          </w:p>
        </w:tc>
        <w:tc>
          <w:tcPr>
            <w:tcW w:w="1776" w:type="dxa"/>
          </w:tcPr>
          <w:p w14:paraId="7F793650"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 xml:space="preserve">ACTH </w:t>
            </w:r>
          </w:p>
        </w:tc>
        <w:tc>
          <w:tcPr>
            <w:tcW w:w="2416" w:type="dxa"/>
          </w:tcPr>
          <w:p w14:paraId="68258E3A"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 VPA</w:t>
            </w:r>
          </w:p>
        </w:tc>
        <w:tc>
          <w:tcPr>
            <w:tcW w:w="2765" w:type="dxa"/>
          </w:tcPr>
          <w:p w14:paraId="03CE27F5"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Бензодиазепини, TPM, VGB**</w:t>
            </w:r>
          </w:p>
        </w:tc>
      </w:tr>
      <w:tr w:rsidR="00BE0B19" w:rsidRPr="00AE47C6" w14:paraId="7C5D1D84" w14:textId="77777777" w:rsidTr="00AD72E5">
        <w:trPr>
          <w:trHeight w:val="271"/>
        </w:trPr>
        <w:tc>
          <w:tcPr>
            <w:tcW w:w="2783" w:type="dxa"/>
          </w:tcPr>
          <w:p w14:paraId="19AA4A8A"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С-м на Dravet (SMEI)</w:t>
            </w:r>
          </w:p>
        </w:tc>
        <w:tc>
          <w:tcPr>
            <w:tcW w:w="1776" w:type="dxa"/>
          </w:tcPr>
          <w:p w14:paraId="34FA5B36"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VPA, TPM</w:t>
            </w:r>
          </w:p>
        </w:tc>
        <w:tc>
          <w:tcPr>
            <w:tcW w:w="2416" w:type="dxa"/>
          </w:tcPr>
          <w:p w14:paraId="038A009C"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Бензодиазепини, VPA</w:t>
            </w:r>
          </w:p>
        </w:tc>
        <w:tc>
          <w:tcPr>
            <w:tcW w:w="2765" w:type="dxa"/>
          </w:tcPr>
          <w:p w14:paraId="604619EA"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LEV, Stiripentol*, CBD* в комбинация с Clobazam**≥2 г., ZNS**</w:t>
            </w:r>
            <w:r w:rsidRPr="00AE47C6">
              <w:rPr>
                <w:rFonts w:ascii="Times New Roman" w:eastAsia="Calibri" w:hAnsi="Times New Roman"/>
                <w:color w:val="000000" w:themeColor="dark1"/>
                <w:kern w:val="24"/>
                <w:sz w:val="28"/>
                <w:szCs w:val="28"/>
              </w:rPr>
              <w:t xml:space="preserve"> </w:t>
            </w:r>
            <w:r w:rsidRPr="00AE47C6">
              <w:rPr>
                <w:rFonts w:ascii="Times New Roman" w:eastAsia="SimSun" w:hAnsi="Times New Roman"/>
                <w:sz w:val="24"/>
                <w:szCs w:val="20"/>
              </w:rPr>
              <w:t>≥6 г.,</w:t>
            </w:r>
            <w:r w:rsidRPr="00AE47C6">
              <w:rPr>
                <w:rFonts w:ascii="Times New Roman" w:eastAsiaTheme="minorEastAsia" w:hAnsi="Times New Roman"/>
                <w:b/>
                <w:bCs/>
                <w:color w:val="511EE0"/>
                <w:kern w:val="24"/>
                <w:sz w:val="32"/>
                <w:szCs w:val="32"/>
              </w:rPr>
              <w:t xml:space="preserve"> </w:t>
            </w:r>
            <w:r w:rsidRPr="00AE47C6">
              <w:rPr>
                <w:rFonts w:ascii="Times New Roman" w:eastAsia="SimSun" w:hAnsi="Times New Roman"/>
                <w:bCs/>
                <w:sz w:val="24"/>
                <w:szCs w:val="20"/>
              </w:rPr>
              <w:t xml:space="preserve">Fenfluramine </w:t>
            </w:r>
            <w:r w:rsidRPr="00AE47C6">
              <w:rPr>
                <w:rFonts w:ascii="Times New Roman" w:eastAsia="SimSun" w:hAnsi="Times New Roman"/>
                <w:sz w:val="24"/>
                <w:szCs w:val="20"/>
              </w:rPr>
              <w:t>*</w:t>
            </w:r>
            <w:r w:rsidRPr="00AE47C6">
              <w:rPr>
                <w:rFonts w:ascii="Times New Roman" w:eastAsia="SimSun" w:hAnsi="Times New Roman"/>
                <w:bCs/>
                <w:sz w:val="24"/>
                <w:szCs w:val="20"/>
              </w:rPr>
              <w:t xml:space="preserve"> ≥</w:t>
            </w:r>
            <w:r w:rsidRPr="00AE47C6">
              <w:rPr>
                <w:rFonts w:ascii="Times New Roman" w:eastAsia="SimSun" w:hAnsi="Times New Roman"/>
                <w:sz w:val="24"/>
                <w:szCs w:val="20"/>
              </w:rPr>
              <w:t xml:space="preserve"> 2 г.</w:t>
            </w:r>
          </w:p>
        </w:tc>
      </w:tr>
      <w:tr w:rsidR="00BE0B19" w:rsidRPr="00AE47C6" w14:paraId="4E9E4C41" w14:textId="77777777" w:rsidTr="00AD72E5">
        <w:trPr>
          <w:trHeight w:val="1974"/>
        </w:trPr>
        <w:tc>
          <w:tcPr>
            <w:tcW w:w="2783" w:type="dxa"/>
          </w:tcPr>
          <w:p w14:paraId="1B42464B"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Синдром на Lennox-Gastaut </w:t>
            </w:r>
          </w:p>
        </w:tc>
        <w:tc>
          <w:tcPr>
            <w:tcW w:w="1776" w:type="dxa"/>
          </w:tcPr>
          <w:p w14:paraId="588F701B"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VPA, VPA + LTG</w:t>
            </w:r>
          </w:p>
        </w:tc>
        <w:tc>
          <w:tcPr>
            <w:tcW w:w="2416" w:type="dxa"/>
          </w:tcPr>
          <w:p w14:paraId="11CC92E1"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LTG, TPM</w:t>
            </w:r>
          </w:p>
        </w:tc>
        <w:tc>
          <w:tcPr>
            <w:tcW w:w="2765" w:type="dxa"/>
          </w:tcPr>
          <w:p w14:paraId="702B77C2"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 xml:space="preserve">Бензодиазепини, CBZ, GBP, LEV, Rufinamide* над 4 г., CBD* в комбинация с Clobazam**≥2 г., </w:t>
            </w:r>
            <w:r w:rsidRPr="00AE47C6">
              <w:rPr>
                <w:rFonts w:ascii="Times New Roman" w:eastAsia="SimSun" w:hAnsi="Times New Roman"/>
                <w:bCs/>
                <w:sz w:val="24"/>
                <w:szCs w:val="20"/>
              </w:rPr>
              <w:t xml:space="preserve">Fenfluramine </w:t>
            </w:r>
            <w:r w:rsidRPr="00AE47C6">
              <w:rPr>
                <w:rFonts w:ascii="Times New Roman" w:eastAsia="SimSun" w:hAnsi="Times New Roman"/>
                <w:sz w:val="24"/>
                <w:szCs w:val="20"/>
              </w:rPr>
              <w:t>*</w:t>
            </w:r>
            <w:r w:rsidRPr="00AE47C6">
              <w:rPr>
                <w:rFonts w:ascii="Times New Roman" w:eastAsia="SimSun" w:hAnsi="Times New Roman"/>
                <w:bCs/>
                <w:sz w:val="24"/>
                <w:szCs w:val="20"/>
              </w:rPr>
              <w:t xml:space="preserve"> ≥</w:t>
            </w:r>
            <w:r w:rsidRPr="00AE47C6">
              <w:rPr>
                <w:rFonts w:ascii="Times New Roman" w:eastAsia="SimSun" w:hAnsi="Times New Roman"/>
                <w:sz w:val="24"/>
                <w:szCs w:val="20"/>
              </w:rPr>
              <w:t xml:space="preserve"> 2 г., ZNS**≥6 г.,</w:t>
            </w:r>
          </w:p>
        </w:tc>
      </w:tr>
      <w:tr w:rsidR="00BE0B19" w:rsidRPr="00AE47C6" w14:paraId="5941BB4D" w14:textId="77777777" w:rsidTr="00AD72E5">
        <w:trPr>
          <w:trHeight w:val="384"/>
        </w:trPr>
        <w:tc>
          <w:tcPr>
            <w:tcW w:w="2783" w:type="dxa"/>
          </w:tcPr>
          <w:p w14:paraId="29E04057"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Епилептична енцефалопатия с CSWS или Електричен статус по време на бавновълнов сън (ESES)</w:t>
            </w:r>
          </w:p>
        </w:tc>
        <w:tc>
          <w:tcPr>
            <w:tcW w:w="1776" w:type="dxa"/>
          </w:tcPr>
          <w:p w14:paraId="1B112492"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VPA, ESM</w:t>
            </w:r>
          </w:p>
        </w:tc>
        <w:tc>
          <w:tcPr>
            <w:tcW w:w="2416" w:type="dxa"/>
          </w:tcPr>
          <w:p w14:paraId="7BB4BC25"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Бензодиазепини, кортикостероиди</w:t>
            </w:r>
          </w:p>
        </w:tc>
        <w:tc>
          <w:tcPr>
            <w:tcW w:w="2765" w:type="dxa"/>
          </w:tcPr>
          <w:p w14:paraId="5FA2BFBD"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LEV, ZNS**≥6 г., Clobazam**</w:t>
            </w:r>
          </w:p>
          <w:p w14:paraId="01A2AFDF"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p>
        </w:tc>
      </w:tr>
      <w:tr w:rsidR="00BE0B19" w:rsidRPr="00AE47C6" w14:paraId="226B3D7F" w14:textId="77777777" w:rsidTr="00AD72E5">
        <w:trPr>
          <w:trHeight w:val="268"/>
        </w:trPr>
        <w:tc>
          <w:tcPr>
            <w:tcW w:w="2783" w:type="dxa"/>
          </w:tcPr>
          <w:p w14:paraId="49BB6924"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ИГЕ с абсанси </w:t>
            </w:r>
          </w:p>
        </w:tc>
        <w:tc>
          <w:tcPr>
            <w:tcW w:w="1776" w:type="dxa"/>
          </w:tcPr>
          <w:p w14:paraId="35BD6C29"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 xml:space="preserve">VPA </w:t>
            </w:r>
          </w:p>
        </w:tc>
        <w:tc>
          <w:tcPr>
            <w:tcW w:w="2416" w:type="dxa"/>
          </w:tcPr>
          <w:p w14:paraId="3EEB31D1"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LTG, ESM</w:t>
            </w:r>
          </w:p>
        </w:tc>
        <w:tc>
          <w:tcPr>
            <w:tcW w:w="2765" w:type="dxa"/>
          </w:tcPr>
          <w:p w14:paraId="5FE2FF5B"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Бензодиазепини</w:t>
            </w:r>
          </w:p>
        </w:tc>
      </w:tr>
      <w:tr w:rsidR="00BE0B19" w:rsidRPr="00AE47C6" w14:paraId="3012A0FB" w14:textId="77777777" w:rsidTr="00AD72E5">
        <w:trPr>
          <w:trHeight w:val="415"/>
        </w:trPr>
        <w:tc>
          <w:tcPr>
            <w:tcW w:w="2783" w:type="dxa"/>
          </w:tcPr>
          <w:p w14:paraId="0722F926"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ИГЕ с миоклонус с или без ГТКП </w:t>
            </w:r>
          </w:p>
        </w:tc>
        <w:tc>
          <w:tcPr>
            <w:tcW w:w="1776" w:type="dxa"/>
          </w:tcPr>
          <w:p w14:paraId="63BCC945"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VPA</w:t>
            </w:r>
          </w:p>
        </w:tc>
        <w:tc>
          <w:tcPr>
            <w:tcW w:w="2416" w:type="dxa"/>
          </w:tcPr>
          <w:p w14:paraId="5C824B2F"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LTG, ESM</w:t>
            </w:r>
          </w:p>
        </w:tc>
        <w:tc>
          <w:tcPr>
            <w:tcW w:w="2765" w:type="dxa"/>
          </w:tcPr>
          <w:p w14:paraId="0D8B323A"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Бензодиазепини, LEV, PB, TPM , ZNS**≥6 г., Clobazam**</w:t>
            </w:r>
          </w:p>
        </w:tc>
      </w:tr>
      <w:tr w:rsidR="00BE0B19" w:rsidRPr="00AE47C6" w14:paraId="00A507AD" w14:textId="77777777" w:rsidTr="00AD72E5">
        <w:trPr>
          <w:trHeight w:val="600"/>
        </w:trPr>
        <w:tc>
          <w:tcPr>
            <w:tcW w:w="2783" w:type="dxa"/>
          </w:tcPr>
          <w:p w14:paraId="55B682B7"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ИГЕ с миоклонуси ГТКП</w:t>
            </w:r>
          </w:p>
        </w:tc>
        <w:tc>
          <w:tcPr>
            <w:tcW w:w="1776" w:type="dxa"/>
          </w:tcPr>
          <w:p w14:paraId="55C195E6"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 xml:space="preserve">VPA </w:t>
            </w:r>
          </w:p>
        </w:tc>
        <w:tc>
          <w:tcPr>
            <w:tcW w:w="2416" w:type="dxa"/>
          </w:tcPr>
          <w:p w14:paraId="7EA07636"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 xml:space="preserve">LTG, TPM </w:t>
            </w:r>
          </w:p>
        </w:tc>
        <w:tc>
          <w:tcPr>
            <w:tcW w:w="2765" w:type="dxa"/>
          </w:tcPr>
          <w:p w14:paraId="6CE3F7C4"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Бензодиазепини, LEV, PB, ZNS**≥6 г., Clobazam**</w:t>
            </w:r>
          </w:p>
        </w:tc>
      </w:tr>
      <w:tr w:rsidR="00BE0B19" w:rsidRPr="00AE47C6" w14:paraId="4B229151" w14:textId="77777777" w:rsidTr="00AD72E5">
        <w:trPr>
          <w:trHeight w:val="375"/>
        </w:trPr>
        <w:tc>
          <w:tcPr>
            <w:tcW w:w="2783" w:type="dxa"/>
          </w:tcPr>
          <w:p w14:paraId="562439DC"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ИГЕ с ГТКП </w:t>
            </w:r>
          </w:p>
        </w:tc>
        <w:tc>
          <w:tcPr>
            <w:tcW w:w="1776" w:type="dxa"/>
          </w:tcPr>
          <w:p w14:paraId="46CC87BC"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VPA</w:t>
            </w:r>
          </w:p>
        </w:tc>
        <w:tc>
          <w:tcPr>
            <w:tcW w:w="2416" w:type="dxa"/>
          </w:tcPr>
          <w:p w14:paraId="2F80224C"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LTG, TPM</w:t>
            </w:r>
          </w:p>
        </w:tc>
        <w:tc>
          <w:tcPr>
            <w:tcW w:w="2765" w:type="dxa"/>
          </w:tcPr>
          <w:p w14:paraId="61B07FC5"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LEV, PB, Бензодиазепини, ZNS**≥6 г., Clobazam**</w:t>
            </w:r>
          </w:p>
        </w:tc>
      </w:tr>
      <w:tr w:rsidR="00BE0B19" w:rsidRPr="00AE47C6" w14:paraId="164111AC" w14:textId="77777777" w:rsidTr="00AD72E5">
        <w:trPr>
          <w:trHeight w:val="812"/>
        </w:trPr>
        <w:tc>
          <w:tcPr>
            <w:tcW w:w="2783" w:type="dxa"/>
          </w:tcPr>
          <w:p w14:paraId="082DA7B9"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 Фокална</w:t>
            </w:r>
          </w:p>
        </w:tc>
        <w:tc>
          <w:tcPr>
            <w:tcW w:w="1776" w:type="dxa"/>
          </w:tcPr>
          <w:p w14:paraId="5A8808C5"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CBZ, OХC, VPA</w:t>
            </w:r>
          </w:p>
        </w:tc>
        <w:tc>
          <w:tcPr>
            <w:tcW w:w="2416" w:type="dxa"/>
          </w:tcPr>
          <w:p w14:paraId="2FC55FFC"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 xml:space="preserve">LTG, TPM, GBP </w:t>
            </w:r>
          </w:p>
        </w:tc>
        <w:tc>
          <w:tcPr>
            <w:tcW w:w="2765" w:type="dxa"/>
          </w:tcPr>
          <w:p w14:paraId="42000809"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LEV, PB, LCM ≥ 4 г., BRV ≥ 2 г., ESL ≥ 6 г.</w:t>
            </w:r>
          </w:p>
        </w:tc>
      </w:tr>
      <w:tr w:rsidR="00BE0B19" w:rsidRPr="00AE47C6" w14:paraId="2E3DAFB7" w14:textId="77777777" w:rsidTr="00AD72E5">
        <w:trPr>
          <w:trHeight w:val="164"/>
        </w:trPr>
        <w:tc>
          <w:tcPr>
            <w:tcW w:w="2783" w:type="dxa"/>
          </w:tcPr>
          <w:p w14:paraId="594FA323"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Некласифицируеми</w:t>
            </w:r>
          </w:p>
        </w:tc>
        <w:tc>
          <w:tcPr>
            <w:tcW w:w="1776" w:type="dxa"/>
          </w:tcPr>
          <w:p w14:paraId="5F3263A2"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VPA</w:t>
            </w:r>
          </w:p>
        </w:tc>
        <w:tc>
          <w:tcPr>
            <w:tcW w:w="2416" w:type="dxa"/>
          </w:tcPr>
          <w:p w14:paraId="2B25299A"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TPM</w:t>
            </w:r>
          </w:p>
        </w:tc>
        <w:tc>
          <w:tcPr>
            <w:tcW w:w="2765" w:type="dxa"/>
          </w:tcPr>
          <w:p w14:paraId="4BB9B410"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LTG, LEV</w:t>
            </w:r>
          </w:p>
        </w:tc>
      </w:tr>
      <w:tr w:rsidR="00BE0B19" w:rsidRPr="00AE47C6" w14:paraId="1B6D2E8D" w14:textId="77777777" w:rsidTr="00AD72E5">
        <w:trPr>
          <w:trHeight w:val="164"/>
        </w:trPr>
        <w:tc>
          <w:tcPr>
            <w:tcW w:w="2783" w:type="dxa"/>
          </w:tcPr>
          <w:p w14:paraId="0F8ADA86"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0"/>
              </w:rPr>
              <w:t>Неонатални гърчове</w:t>
            </w:r>
          </w:p>
        </w:tc>
        <w:tc>
          <w:tcPr>
            <w:tcW w:w="1776" w:type="dxa"/>
          </w:tcPr>
          <w:p w14:paraId="5CEDEE64"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r w:rsidRPr="00AE47C6">
              <w:rPr>
                <w:rFonts w:ascii="Times New Roman" w:eastAsia="SimSun" w:hAnsi="Times New Roman"/>
                <w:sz w:val="24"/>
                <w:szCs w:val="20"/>
              </w:rPr>
              <w:t>PB</w:t>
            </w:r>
          </w:p>
        </w:tc>
        <w:tc>
          <w:tcPr>
            <w:tcW w:w="2416" w:type="dxa"/>
          </w:tcPr>
          <w:p w14:paraId="2EDF5682"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p>
        </w:tc>
        <w:tc>
          <w:tcPr>
            <w:tcW w:w="2765" w:type="dxa"/>
          </w:tcPr>
          <w:p w14:paraId="49068D72"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sz w:val="24"/>
                <w:szCs w:val="20"/>
              </w:rPr>
            </w:pPr>
          </w:p>
        </w:tc>
      </w:tr>
    </w:tbl>
    <w:p w14:paraId="469F8C6C" w14:textId="77777777" w:rsidR="00BE0B19" w:rsidRPr="00AE47C6" w:rsidRDefault="00BE0B19" w:rsidP="00BE0B19">
      <w:pPr>
        <w:tabs>
          <w:tab w:val="left" w:pos="720"/>
        </w:tabs>
        <w:suppressAutoHyphens/>
        <w:spacing w:after="0" w:line="360" w:lineRule="auto"/>
        <w:ind w:left="360" w:firstLine="851"/>
        <w:jc w:val="both"/>
        <w:rPr>
          <w:rFonts w:ascii="Times New Roman" w:eastAsia="SimSun" w:hAnsi="Times New Roman"/>
          <w:b/>
          <w:sz w:val="24"/>
          <w:szCs w:val="24"/>
          <w:lang w:eastAsia="bg-BG"/>
        </w:rPr>
      </w:pPr>
      <w:r w:rsidRPr="00AE47C6">
        <w:rPr>
          <w:rFonts w:ascii="Times New Roman" w:eastAsia="SimSun" w:hAnsi="Times New Roman"/>
          <w:b/>
          <w:sz w:val="24"/>
          <w:szCs w:val="24"/>
          <w:u w:val="single"/>
          <w:lang w:eastAsia="bg-BG"/>
        </w:rPr>
        <w:t xml:space="preserve">* По Член 266, ал. 2 от ЗЛПХМ </w:t>
      </w:r>
      <w:r w:rsidRPr="00AE47C6">
        <w:rPr>
          <w:rFonts w:ascii="Times New Roman" w:eastAsia="SimSun" w:hAnsi="Times New Roman"/>
          <w:b/>
          <w:sz w:val="24"/>
          <w:szCs w:val="24"/>
          <w:lang w:eastAsia="bg-BG"/>
        </w:rPr>
        <w:t xml:space="preserve">и чл. 16, ал. 4 от Hapeдбa № l0 от 2011 г. за условията и реда за лечение с Hepaзрешени за употреба в Република България лекарствени продукти:  </w:t>
      </w:r>
    </w:p>
    <w:p w14:paraId="71DAE3B9" w14:textId="77777777" w:rsidR="00BE0B19" w:rsidRPr="00AE47C6" w:rsidRDefault="00BE0B19" w:rsidP="00BE0B19">
      <w:pPr>
        <w:tabs>
          <w:tab w:val="left" w:pos="720"/>
        </w:tabs>
        <w:suppressAutoHyphens/>
        <w:spacing w:after="0" w:line="360" w:lineRule="auto"/>
        <w:ind w:left="360" w:firstLine="851"/>
        <w:jc w:val="both"/>
        <w:rPr>
          <w:rFonts w:ascii="Times New Roman" w:eastAsia="SimSun" w:hAnsi="Times New Roman"/>
          <w:b/>
          <w:sz w:val="24"/>
          <w:szCs w:val="24"/>
          <w:lang w:eastAsia="bg-BG"/>
        </w:rPr>
      </w:pPr>
      <w:r w:rsidRPr="00AE47C6">
        <w:rPr>
          <w:rFonts w:ascii="Times New Roman" w:eastAsia="SimSun" w:hAnsi="Times New Roman"/>
          <w:b/>
          <w:bCs/>
          <w:sz w:val="24"/>
          <w:szCs w:val="24"/>
          <w:lang w:eastAsia="bg-BG"/>
        </w:rPr>
        <w:t xml:space="preserve">* </w:t>
      </w:r>
      <w:r w:rsidRPr="00AE47C6">
        <w:rPr>
          <w:rFonts w:ascii="Times New Roman" w:eastAsia="SimSun" w:hAnsi="Times New Roman"/>
          <w:b/>
          <w:bCs/>
          <w:i/>
          <w:sz w:val="24"/>
          <w:szCs w:val="24"/>
          <w:lang w:eastAsia="bg-BG"/>
        </w:rPr>
        <w:t xml:space="preserve">Rufinamide </w:t>
      </w:r>
      <w:r w:rsidRPr="00AE47C6">
        <w:rPr>
          <w:rFonts w:ascii="Times New Roman" w:eastAsia="SimSun" w:hAnsi="Times New Roman"/>
          <w:sz w:val="24"/>
          <w:szCs w:val="24"/>
          <w:lang w:eastAsia="bg-BG"/>
        </w:rPr>
        <w:t>за лечение на синдром на Lennox-Gastaut</w:t>
      </w:r>
      <w:r w:rsidRPr="00AE47C6">
        <w:rPr>
          <w:rFonts w:ascii="Times New Roman" w:eastAsia="SimSun" w:hAnsi="Times New Roman"/>
          <w:b/>
          <w:sz w:val="24"/>
          <w:szCs w:val="24"/>
          <w:lang w:eastAsia="bg-BG"/>
        </w:rPr>
        <w:t xml:space="preserve"> </w:t>
      </w:r>
    </w:p>
    <w:p w14:paraId="755F1DE6" w14:textId="77777777" w:rsidR="00BE0B19" w:rsidRPr="00AE47C6" w:rsidRDefault="00BE0B19" w:rsidP="00BE0B19">
      <w:pPr>
        <w:tabs>
          <w:tab w:val="left" w:pos="720"/>
        </w:tabs>
        <w:suppressAutoHyphens/>
        <w:spacing w:after="0" w:line="360" w:lineRule="auto"/>
        <w:ind w:left="360" w:firstLine="851"/>
        <w:jc w:val="both"/>
        <w:rPr>
          <w:rFonts w:ascii="Times New Roman" w:eastAsia="SimSun" w:hAnsi="Times New Roman"/>
          <w:b/>
          <w:sz w:val="24"/>
          <w:szCs w:val="24"/>
          <w:lang w:eastAsia="bg-BG"/>
        </w:rPr>
      </w:pPr>
      <w:r w:rsidRPr="00AE47C6">
        <w:rPr>
          <w:rFonts w:ascii="Times New Roman" w:eastAsia="SimSun" w:hAnsi="Times New Roman"/>
          <w:b/>
          <w:sz w:val="24"/>
          <w:szCs w:val="24"/>
          <w:lang w:eastAsia="bg-BG"/>
        </w:rPr>
        <w:t xml:space="preserve">* </w:t>
      </w:r>
      <w:r w:rsidRPr="00AE47C6">
        <w:rPr>
          <w:rFonts w:ascii="Times New Roman" w:eastAsia="SimSun" w:hAnsi="Times New Roman"/>
          <w:b/>
          <w:i/>
          <w:sz w:val="24"/>
          <w:szCs w:val="24"/>
          <w:lang w:eastAsia="bg-BG"/>
        </w:rPr>
        <w:t>Stiripentol</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за лечение на синдром на Dravet</w:t>
      </w:r>
      <w:r w:rsidRPr="00AE47C6">
        <w:rPr>
          <w:rFonts w:ascii="Times New Roman" w:eastAsia="SimSun" w:hAnsi="Times New Roman"/>
          <w:b/>
          <w:sz w:val="24"/>
          <w:szCs w:val="24"/>
          <w:lang w:eastAsia="bg-BG"/>
        </w:rPr>
        <w:t xml:space="preserve"> </w:t>
      </w:r>
    </w:p>
    <w:p w14:paraId="5D0AFDC2" w14:textId="77777777" w:rsidR="00BE0B19" w:rsidRPr="00AE47C6" w:rsidRDefault="00BE0B19" w:rsidP="00BE0B19">
      <w:pPr>
        <w:tabs>
          <w:tab w:val="left" w:pos="720"/>
        </w:tabs>
        <w:suppressAutoHyphens/>
        <w:spacing w:after="0" w:line="360" w:lineRule="auto"/>
        <w:ind w:left="357" w:firstLine="851"/>
        <w:jc w:val="both"/>
        <w:rPr>
          <w:rFonts w:ascii="Times New Roman" w:eastAsia="SimSun" w:hAnsi="Times New Roman"/>
          <w:b/>
          <w:bCs/>
          <w:sz w:val="24"/>
          <w:szCs w:val="24"/>
          <w:lang w:eastAsia="bg-BG"/>
        </w:rPr>
      </w:pPr>
      <w:r w:rsidRPr="00AE47C6">
        <w:rPr>
          <w:rFonts w:ascii="Times New Roman" w:eastAsia="SimSun" w:hAnsi="Times New Roman"/>
          <w:b/>
          <w:sz w:val="24"/>
          <w:szCs w:val="24"/>
          <w:lang w:eastAsia="bg-BG"/>
        </w:rPr>
        <w:t xml:space="preserve">* </w:t>
      </w:r>
      <w:r w:rsidRPr="00AE47C6">
        <w:rPr>
          <w:rFonts w:ascii="Times New Roman" w:eastAsia="SimSun" w:hAnsi="Times New Roman"/>
          <w:b/>
          <w:i/>
          <w:sz w:val="24"/>
          <w:szCs w:val="24"/>
          <w:lang w:eastAsia="bg-BG"/>
        </w:rPr>
        <w:t>Cannabidiol</w:t>
      </w:r>
      <w:r w:rsidRPr="00AE47C6">
        <w:rPr>
          <w:rFonts w:ascii="Times New Roman" w:eastAsia="SimSun" w:hAnsi="Times New Roman"/>
          <w:b/>
          <w:sz w:val="24"/>
          <w:szCs w:val="24"/>
          <w:lang w:eastAsia="bg-BG"/>
        </w:rPr>
        <w:t xml:space="preserve"> в комбинация с </w:t>
      </w:r>
      <w:r w:rsidRPr="00AE47C6">
        <w:rPr>
          <w:rFonts w:ascii="Times New Roman" w:eastAsia="SimSun" w:hAnsi="Times New Roman"/>
          <w:b/>
          <w:i/>
          <w:sz w:val="24"/>
          <w:szCs w:val="24"/>
          <w:lang w:eastAsia="bg-BG"/>
        </w:rPr>
        <w:t>Clobazam**</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при синдром на Dravet и синдром на Lennox-Gastaut при пациенти </w:t>
      </w:r>
      <w:r w:rsidRPr="00AE47C6">
        <w:rPr>
          <w:rFonts w:ascii="Times New Roman" w:eastAsia="SimSun" w:hAnsi="Times New Roman"/>
          <w:bCs/>
          <w:sz w:val="24"/>
          <w:szCs w:val="24"/>
          <w:lang w:eastAsia="bg-BG"/>
        </w:rPr>
        <w:t>≥ 2 години</w:t>
      </w:r>
      <w:r w:rsidRPr="00AE47C6">
        <w:rPr>
          <w:rFonts w:ascii="Times New Roman" w:eastAsia="SimSun" w:hAnsi="Times New Roman"/>
          <w:sz w:val="24"/>
          <w:szCs w:val="24"/>
          <w:lang w:eastAsia="bg-BG"/>
        </w:rPr>
        <w:t>;</w:t>
      </w:r>
      <w:r w:rsidRPr="00AE47C6">
        <w:rPr>
          <w:rFonts w:ascii="Times New Roman" w:eastAsia="SimSun" w:hAnsi="Times New Roman"/>
          <w:bCs/>
          <w:sz w:val="24"/>
          <w:szCs w:val="24"/>
          <w:lang w:eastAsia="bg-BG"/>
        </w:rPr>
        <w:t xml:space="preserve"> </w:t>
      </w:r>
      <w:r w:rsidRPr="00AE47C6">
        <w:rPr>
          <w:rFonts w:ascii="Times New Roman" w:eastAsia="SimSun" w:hAnsi="Times New Roman"/>
          <w:b/>
          <w:i/>
          <w:sz w:val="24"/>
          <w:szCs w:val="24"/>
          <w:lang w:eastAsia="bg-BG"/>
        </w:rPr>
        <w:t>* Cannabidiol</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при лечение на пристъпи, свързани с туберозна склероза комплекс (TSC) при пациенти </w:t>
      </w:r>
      <w:r w:rsidRPr="00AE47C6">
        <w:rPr>
          <w:rFonts w:ascii="Times New Roman" w:eastAsia="SimSun" w:hAnsi="Times New Roman"/>
          <w:bCs/>
          <w:sz w:val="24"/>
          <w:szCs w:val="24"/>
          <w:lang w:eastAsia="bg-BG"/>
        </w:rPr>
        <w:t>≥ 2 години</w:t>
      </w:r>
      <w:r w:rsidRPr="00AE47C6">
        <w:rPr>
          <w:rFonts w:ascii="Times New Roman" w:eastAsia="SimSun" w:hAnsi="Times New Roman"/>
          <w:b/>
          <w:bCs/>
          <w:sz w:val="24"/>
          <w:szCs w:val="24"/>
          <w:lang w:eastAsia="bg-BG"/>
        </w:rPr>
        <w:t xml:space="preserve"> </w:t>
      </w:r>
    </w:p>
    <w:p w14:paraId="09B5E966" w14:textId="77777777" w:rsidR="00BE0B19" w:rsidRPr="00AE47C6" w:rsidRDefault="00BE0B19" w:rsidP="00BE0B19">
      <w:pPr>
        <w:tabs>
          <w:tab w:val="left" w:pos="720"/>
        </w:tabs>
        <w:suppressAutoHyphens/>
        <w:spacing w:after="0" w:line="360" w:lineRule="auto"/>
        <w:ind w:left="357" w:firstLine="851"/>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w:t>
      </w:r>
      <w:r w:rsidRPr="00AE47C6">
        <w:rPr>
          <w:rFonts w:ascii="Times New Roman" w:eastAsia="SimSun" w:hAnsi="Times New Roman"/>
          <w:b/>
          <w:bCs/>
          <w:i/>
          <w:sz w:val="24"/>
          <w:szCs w:val="24"/>
          <w:lang w:eastAsia="bg-BG"/>
        </w:rPr>
        <w:t>Fenfluramine</w:t>
      </w:r>
      <w:r w:rsidRPr="00AE47C6">
        <w:rPr>
          <w:rFonts w:ascii="Times New Roman" w:eastAsia="SimSun" w:hAnsi="Times New Roman"/>
          <w:b/>
          <w:bCs/>
          <w:sz w:val="24"/>
          <w:szCs w:val="24"/>
          <w:lang w:eastAsia="bg-BG"/>
        </w:rPr>
        <w:t xml:space="preserve">- </w:t>
      </w:r>
      <w:r w:rsidRPr="00AE47C6">
        <w:rPr>
          <w:rFonts w:ascii="Times New Roman" w:eastAsia="SimSun" w:hAnsi="Times New Roman"/>
          <w:sz w:val="24"/>
          <w:szCs w:val="24"/>
          <w:lang w:eastAsia="bg-BG"/>
        </w:rPr>
        <w:t>при синдром на Dravet</w:t>
      </w:r>
      <w:r w:rsidRPr="00AE47C6">
        <w:rPr>
          <w:rFonts w:ascii="Times New Roman" w:eastAsia="SimSun" w:hAnsi="Times New Roman"/>
          <w:bCs/>
          <w:sz w:val="24"/>
          <w:szCs w:val="24"/>
          <w:lang w:eastAsia="bg-BG"/>
        </w:rPr>
        <w:t xml:space="preserve"> и синдром на Lennox-Gastaut </w:t>
      </w:r>
      <w:r w:rsidRPr="00AE47C6">
        <w:rPr>
          <w:rFonts w:ascii="Times New Roman" w:eastAsia="SimSun" w:hAnsi="Times New Roman"/>
          <w:sz w:val="24"/>
          <w:szCs w:val="24"/>
          <w:lang w:eastAsia="bg-BG"/>
        </w:rPr>
        <w:t xml:space="preserve">при пациенти </w:t>
      </w:r>
      <w:r w:rsidRPr="00AE47C6">
        <w:rPr>
          <w:rFonts w:ascii="Times New Roman" w:eastAsia="SimSun" w:hAnsi="Times New Roman"/>
          <w:bCs/>
          <w:sz w:val="24"/>
          <w:szCs w:val="24"/>
          <w:lang w:eastAsia="bg-BG"/>
        </w:rPr>
        <w:t>≥ 2 години</w:t>
      </w:r>
    </w:p>
    <w:p w14:paraId="22C7B371" w14:textId="77777777" w:rsidR="00BE0B19" w:rsidRPr="00AE47C6" w:rsidRDefault="00BE0B19" w:rsidP="00BE0B19">
      <w:pPr>
        <w:tabs>
          <w:tab w:val="left" w:pos="720"/>
        </w:tabs>
        <w:suppressAutoHyphens/>
        <w:spacing w:after="0" w:line="360" w:lineRule="auto"/>
        <w:ind w:left="360" w:firstLine="851"/>
        <w:jc w:val="both"/>
        <w:rPr>
          <w:rFonts w:ascii="Times New Roman" w:eastAsia="SimSun" w:hAnsi="Times New Roman"/>
          <w:b/>
          <w:sz w:val="24"/>
          <w:szCs w:val="24"/>
          <w:u w:val="single"/>
          <w:lang w:eastAsia="bg-BG"/>
        </w:rPr>
      </w:pPr>
      <w:r w:rsidRPr="00AE47C6">
        <w:rPr>
          <w:rFonts w:ascii="Times New Roman" w:eastAsia="SimSun" w:hAnsi="Times New Roman"/>
          <w:b/>
          <w:sz w:val="24"/>
          <w:szCs w:val="24"/>
          <w:u w:val="single"/>
          <w:lang w:eastAsia="bg-BG"/>
        </w:rPr>
        <w:t>**Регистрирани от ЕМА:</w:t>
      </w:r>
    </w:p>
    <w:p w14:paraId="623BB12B" w14:textId="77777777" w:rsidR="00BE0B19" w:rsidRPr="00AE47C6" w:rsidRDefault="00BE0B19" w:rsidP="00BE0B19">
      <w:pPr>
        <w:tabs>
          <w:tab w:val="left" w:pos="720"/>
        </w:tabs>
        <w:suppressAutoHyphens/>
        <w:spacing w:after="0" w:line="360" w:lineRule="auto"/>
        <w:ind w:left="360" w:firstLine="851"/>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Clobazam**</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за лечение на абсанси, ГТКП, миоклонии, синдром на Dravet и синдром на Lennox- Gastaut; </w:t>
      </w:r>
      <w:r w:rsidRPr="00AE47C6">
        <w:rPr>
          <w:rFonts w:ascii="Times New Roman" w:eastAsia="SimSun" w:hAnsi="Times New Roman"/>
          <w:b/>
          <w:bCs/>
          <w:sz w:val="24"/>
          <w:szCs w:val="24"/>
          <w:lang w:eastAsia="bg-BG"/>
        </w:rPr>
        <w:t>Nitrazepam**</w:t>
      </w:r>
      <w:r w:rsidRPr="00AE47C6">
        <w:rPr>
          <w:rFonts w:ascii="Times New Roman" w:eastAsia="SimSun" w:hAnsi="Times New Roman"/>
          <w:sz w:val="24"/>
          <w:szCs w:val="24"/>
          <w:lang w:eastAsia="bg-BG"/>
        </w:rPr>
        <w:t xml:space="preserve"> за лечение на синдром на West; </w:t>
      </w:r>
      <w:r w:rsidRPr="00AE47C6">
        <w:rPr>
          <w:rFonts w:ascii="Times New Roman" w:eastAsia="SimSun" w:hAnsi="Times New Roman"/>
          <w:b/>
          <w:bCs/>
          <w:sz w:val="24"/>
          <w:szCs w:val="24"/>
          <w:lang w:eastAsia="bg-BG"/>
        </w:rPr>
        <w:t>Sulthiam**</w:t>
      </w:r>
      <w:r w:rsidRPr="00AE47C6">
        <w:rPr>
          <w:rFonts w:ascii="Times New Roman" w:eastAsia="SimSun" w:hAnsi="Times New Roman"/>
          <w:sz w:val="24"/>
          <w:szCs w:val="24"/>
          <w:lang w:eastAsia="bg-BG"/>
        </w:rPr>
        <w:t xml:space="preserve"> за лечение на фокални пристъпи;</w:t>
      </w:r>
      <w:r w:rsidRPr="00AE47C6">
        <w:rPr>
          <w:rFonts w:ascii="Times New Roman" w:eastAsia="SimSun" w:hAnsi="Times New Roman"/>
          <w:b/>
          <w:bCs/>
          <w:sz w:val="24"/>
          <w:szCs w:val="24"/>
          <w:lang w:eastAsia="bg-BG"/>
        </w:rPr>
        <w:t xml:space="preserve"> Vigabatrin** </w:t>
      </w:r>
      <w:r w:rsidRPr="00AE47C6">
        <w:rPr>
          <w:rFonts w:ascii="Times New Roman" w:eastAsia="SimSun" w:hAnsi="Times New Roman"/>
          <w:sz w:val="24"/>
          <w:szCs w:val="24"/>
          <w:lang w:eastAsia="bg-BG"/>
        </w:rPr>
        <w:t xml:space="preserve">за лечение на синдром на West; </w:t>
      </w:r>
      <w:r w:rsidRPr="00AE47C6">
        <w:rPr>
          <w:rFonts w:ascii="Times New Roman" w:eastAsia="SimSun" w:hAnsi="Times New Roman"/>
          <w:b/>
          <w:bCs/>
          <w:sz w:val="24"/>
          <w:szCs w:val="24"/>
          <w:lang w:eastAsia="bg-BG"/>
        </w:rPr>
        <w:t>Zonisamide**</w:t>
      </w:r>
      <w:r w:rsidRPr="00AE47C6">
        <w:rPr>
          <w:rFonts w:ascii="Times New Roman" w:eastAsia="SimSun" w:hAnsi="Times New Roman"/>
          <w:sz w:val="24"/>
          <w:szCs w:val="24"/>
          <w:lang w:eastAsia="bg-BG"/>
        </w:rPr>
        <w:t xml:space="preserve"> за лечение на фокални и вторично генерализирани пристъпи  при възрастни и деца над 6 г., за миоклонични пристъпи, за синдром на Lennox-Gastaut; </w:t>
      </w:r>
      <w:r w:rsidRPr="00AE47C6">
        <w:rPr>
          <w:rFonts w:ascii="Times New Roman" w:eastAsia="SimSun" w:hAnsi="Times New Roman"/>
          <w:b/>
          <w:bCs/>
          <w:sz w:val="24"/>
          <w:szCs w:val="24"/>
          <w:lang w:eastAsia="bg-BG"/>
        </w:rPr>
        <w:t>Сenobamate**-</w:t>
      </w:r>
      <w:r w:rsidRPr="00AE47C6">
        <w:rPr>
          <w:rFonts w:ascii="Times New Roman" w:eastAsia="SimSun" w:hAnsi="Times New Roman"/>
          <w:bCs/>
          <w:sz w:val="24"/>
          <w:szCs w:val="24"/>
          <w:lang w:eastAsia="bg-BG"/>
        </w:rPr>
        <w:t xml:space="preserve"> при фокални и ВГТКП (ФДТКП) над 18 г;</w:t>
      </w:r>
      <w:r w:rsidRPr="00AE47C6">
        <w:rPr>
          <w:rFonts w:ascii="Times New Roman" w:eastAsia="SimSun" w:hAnsi="Times New Roman"/>
          <w:b/>
          <w:bCs/>
          <w:sz w:val="24"/>
          <w:szCs w:val="24"/>
          <w:lang w:eastAsia="bg-BG"/>
        </w:rPr>
        <w:t xml:space="preserve"> ACTH**</w:t>
      </w:r>
      <w:r w:rsidRPr="00AE47C6">
        <w:rPr>
          <w:rFonts w:ascii="Times New Roman" w:eastAsia="SimSun" w:hAnsi="Times New Roman"/>
          <w:sz w:val="24"/>
          <w:szCs w:val="24"/>
          <w:lang w:eastAsia="bg-BG"/>
        </w:rPr>
        <w:t xml:space="preserve"> за лечение на синдром на West. </w:t>
      </w:r>
    </w:p>
    <w:p w14:paraId="7897B370" w14:textId="77777777" w:rsidR="00BE0B19" w:rsidRPr="00AE47C6" w:rsidRDefault="00BE0B19" w:rsidP="00BE0B19">
      <w:pPr>
        <w:spacing w:line="360" w:lineRule="auto"/>
        <w:jc w:val="center"/>
        <w:rPr>
          <w:rFonts w:ascii="Times New Roman" w:eastAsia="SimSun" w:hAnsi="Times New Roman"/>
          <w:b/>
          <w:bCs/>
        </w:rPr>
      </w:pPr>
    </w:p>
    <w:p w14:paraId="6ECBD62E" w14:textId="77777777" w:rsidR="00BE0B19" w:rsidRPr="00AE47C6" w:rsidRDefault="00BE0B19" w:rsidP="00BE0B19">
      <w:pPr>
        <w:tabs>
          <w:tab w:val="center" w:pos="4153"/>
          <w:tab w:val="right" w:pos="8306"/>
        </w:tabs>
        <w:overflowPunct w:val="0"/>
        <w:autoSpaceDE w:val="0"/>
        <w:autoSpaceDN w:val="0"/>
        <w:adjustRightInd w:val="0"/>
        <w:spacing w:after="0" w:line="360" w:lineRule="auto"/>
        <w:textAlignment w:val="baseline"/>
        <w:rPr>
          <w:rFonts w:ascii="Times New Roman" w:eastAsia="SimSun" w:hAnsi="Times New Roman"/>
          <w:b/>
          <w:bCs/>
          <w:sz w:val="24"/>
          <w:szCs w:val="20"/>
        </w:rPr>
      </w:pPr>
      <w:r w:rsidRPr="00AE47C6">
        <w:rPr>
          <w:rFonts w:ascii="Times New Roman" w:eastAsia="SimSun" w:hAnsi="Times New Roman"/>
          <w:b/>
          <w:bCs/>
          <w:sz w:val="24"/>
          <w:szCs w:val="24"/>
        </w:rPr>
        <w:t xml:space="preserve">Таблица 12. 2. </w:t>
      </w:r>
      <w:r w:rsidRPr="00AE47C6">
        <w:rPr>
          <w:rFonts w:ascii="Times New Roman" w:eastAsia="SimSun" w:hAnsi="Times New Roman"/>
          <w:b/>
          <w:bCs/>
          <w:sz w:val="24"/>
          <w:szCs w:val="20"/>
        </w:rPr>
        <w:t>Видове и дозиране на антигърчовите лекарства</w:t>
      </w:r>
    </w:p>
    <w:tbl>
      <w:tblPr>
        <w:tblpPr w:leftFromText="180" w:rightFromText="180" w:vertAnchor="text" w:tblpX="-106" w:tblpY="1"/>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1291"/>
        <w:gridCol w:w="9"/>
        <w:gridCol w:w="1415"/>
        <w:gridCol w:w="1317"/>
        <w:gridCol w:w="1456"/>
        <w:gridCol w:w="1604"/>
      </w:tblGrid>
      <w:tr w:rsidR="00BE0B19" w:rsidRPr="00AE47C6" w14:paraId="023728EE" w14:textId="77777777" w:rsidTr="00AD72E5">
        <w:trPr>
          <w:trHeight w:val="424"/>
        </w:trPr>
        <w:tc>
          <w:tcPr>
            <w:tcW w:w="1980" w:type="dxa"/>
            <w:vMerge w:val="restart"/>
            <w:tcBorders>
              <w:top w:val="single" w:sz="4" w:space="0" w:color="auto"/>
              <w:left w:val="single" w:sz="4" w:space="0" w:color="auto"/>
              <w:bottom w:val="single" w:sz="4" w:space="0" w:color="auto"/>
              <w:right w:val="single" w:sz="4" w:space="0" w:color="auto"/>
            </w:tcBorders>
          </w:tcPr>
          <w:p w14:paraId="1CE4A4B7"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Международно непатентно име (INN)</w:t>
            </w:r>
          </w:p>
        </w:tc>
        <w:tc>
          <w:tcPr>
            <w:tcW w:w="2715" w:type="dxa"/>
            <w:gridSpan w:val="3"/>
            <w:tcBorders>
              <w:top w:val="single" w:sz="4" w:space="0" w:color="auto"/>
              <w:left w:val="single" w:sz="4" w:space="0" w:color="auto"/>
              <w:bottom w:val="single" w:sz="4" w:space="0" w:color="auto"/>
              <w:right w:val="single" w:sz="4" w:space="0" w:color="auto"/>
            </w:tcBorders>
          </w:tcPr>
          <w:p w14:paraId="0A8FB9A8"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ДЕЦА</w:t>
            </w:r>
          </w:p>
        </w:tc>
        <w:tc>
          <w:tcPr>
            <w:tcW w:w="4377" w:type="dxa"/>
            <w:gridSpan w:val="3"/>
            <w:tcBorders>
              <w:top w:val="single" w:sz="4" w:space="0" w:color="auto"/>
              <w:left w:val="single" w:sz="4" w:space="0" w:color="auto"/>
              <w:bottom w:val="single" w:sz="4" w:space="0" w:color="auto"/>
              <w:right w:val="single" w:sz="4" w:space="0" w:color="auto"/>
            </w:tcBorders>
          </w:tcPr>
          <w:p w14:paraId="46D205D9"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ВЪЗРАСТНИ</w:t>
            </w:r>
          </w:p>
        </w:tc>
      </w:tr>
      <w:tr w:rsidR="00BE0B19" w:rsidRPr="00AE47C6" w14:paraId="67C58B32" w14:textId="77777777" w:rsidTr="00AD72E5">
        <w:tc>
          <w:tcPr>
            <w:tcW w:w="1980" w:type="dxa"/>
            <w:vMerge/>
            <w:tcBorders>
              <w:top w:val="single" w:sz="4" w:space="0" w:color="auto"/>
              <w:left w:val="single" w:sz="4" w:space="0" w:color="auto"/>
              <w:bottom w:val="single" w:sz="4" w:space="0" w:color="auto"/>
              <w:right w:val="single" w:sz="4" w:space="0" w:color="auto"/>
            </w:tcBorders>
          </w:tcPr>
          <w:p w14:paraId="1929F6CC" w14:textId="77777777" w:rsidR="00BE0B19" w:rsidRPr="00AE47C6" w:rsidRDefault="00BE0B19" w:rsidP="00BE0B19">
            <w:pPr>
              <w:spacing w:line="360" w:lineRule="auto"/>
              <w:rPr>
                <w:rFonts w:ascii="Times New Roman" w:eastAsia="SimSun" w:hAnsi="Times New Roman"/>
                <w:b/>
                <w:bCs/>
                <w:sz w:val="24"/>
                <w:szCs w:val="24"/>
              </w:rPr>
            </w:pP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tcPr>
          <w:p w14:paraId="79EDBCC3"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Начална дневна доза (mg/kg)</w:t>
            </w:r>
          </w:p>
        </w:tc>
        <w:tc>
          <w:tcPr>
            <w:tcW w:w="1415" w:type="dxa"/>
            <w:tcBorders>
              <w:top w:val="single" w:sz="4" w:space="0" w:color="auto"/>
              <w:left w:val="single" w:sz="4" w:space="0" w:color="auto"/>
              <w:bottom w:val="single" w:sz="4" w:space="0" w:color="auto"/>
              <w:right w:val="single" w:sz="4" w:space="0" w:color="auto"/>
            </w:tcBorders>
            <w:shd w:val="clear" w:color="auto" w:fill="auto"/>
          </w:tcPr>
          <w:p w14:paraId="306F6EB7"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Оптимална дневна доза (mg/kg)</w:t>
            </w:r>
          </w:p>
        </w:tc>
        <w:tc>
          <w:tcPr>
            <w:tcW w:w="1317" w:type="dxa"/>
            <w:tcBorders>
              <w:top w:val="single" w:sz="4" w:space="0" w:color="auto"/>
              <w:left w:val="single" w:sz="4" w:space="0" w:color="auto"/>
              <w:bottom w:val="single" w:sz="4" w:space="0" w:color="auto"/>
              <w:right w:val="single" w:sz="4" w:space="0" w:color="auto"/>
            </w:tcBorders>
            <w:shd w:val="clear" w:color="auto" w:fill="auto"/>
          </w:tcPr>
          <w:p w14:paraId="3DF72F48"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 xml:space="preserve">Начална дневна доза </w:t>
            </w:r>
          </w:p>
          <w:p w14:paraId="4EDDBDF7"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(mg)</w:t>
            </w:r>
          </w:p>
        </w:tc>
        <w:tc>
          <w:tcPr>
            <w:tcW w:w="1456" w:type="dxa"/>
            <w:tcBorders>
              <w:top w:val="single" w:sz="4" w:space="0" w:color="auto"/>
              <w:left w:val="single" w:sz="4" w:space="0" w:color="auto"/>
              <w:bottom w:val="single" w:sz="4" w:space="0" w:color="auto"/>
              <w:right w:val="single" w:sz="4" w:space="0" w:color="auto"/>
            </w:tcBorders>
          </w:tcPr>
          <w:p w14:paraId="2BCD7A48"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Оптимална дневна доза</w:t>
            </w:r>
          </w:p>
          <w:p w14:paraId="04D8F5ED"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(mg)</w:t>
            </w:r>
          </w:p>
        </w:tc>
        <w:tc>
          <w:tcPr>
            <w:tcW w:w="1604" w:type="dxa"/>
            <w:tcBorders>
              <w:top w:val="single" w:sz="4" w:space="0" w:color="auto"/>
              <w:left w:val="single" w:sz="4" w:space="0" w:color="auto"/>
              <w:bottom w:val="single" w:sz="4" w:space="0" w:color="auto"/>
              <w:right w:val="single" w:sz="4" w:space="0" w:color="auto"/>
            </w:tcBorders>
          </w:tcPr>
          <w:p w14:paraId="125F2971"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Максимална дневна доза (mg)</w:t>
            </w:r>
          </w:p>
        </w:tc>
      </w:tr>
      <w:tr w:rsidR="00BE0B19" w:rsidRPr="00AE47C6" w14:paraId="7A8C56FB" w14:textId="77777777" w:rsidTr="00AD72E5">
        <w:tc>
          <w:tcPr>
            <w:tcW w:w="1980" w:type="dxa"/>
            <w:tcBorders>
              <w:top w:val="single" w:sz="4" w:space="0" w:color="auto"/>
              <w:left w:val="single" w:sz="4" w:space="0" w:color="auto"/>
              <w:bottom w:val="single" w:sz="4" w:space="0" w:color="auto"/>
              <w:right w:val="single" w:sz="4" w:space="0" w:color="auto"/>
            </w:tcBorders>
          </w:tcPr>
          <w:p w14:paraId="2079F161"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Valproic acid</w:t>
            </w:r>
          </w:p>
        </w:tc>
        <w:tc>
          <w:tcPr>
            <w:tcW w:w="1291" w:type="dxa"/>
            <w:tcBorders>
              <w:top w:val="single" w:sz="4" w:space="0" w:color="auto"/>
              <w:left w:val="single" w:sz="4" w:space="0" w:color="auto"/>
              <w:bottom w:val="single" w:sz="4" w:space="0" w:color="auto"/>
              <w:right w:val="single" w:sz="4" w:space="0" w:color="auto"/>
            </w:tcBorders>
            <w:shd w:val="clear" w:color="auto" w:fill="auto"/>
          </w:tcPr>
          <w:p w14:paraId="012DE584"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10-20 </w:t>
            </w:r>
          </w:p>
        </w:tc>
        <w:tc>
          <w:tcPr>
            <w:tcW w:w="1424" w:type="dxa"/>
            <w:gridSpan w:val="2"/>
            <w:tcBorders>
              <w:top w:val="single" w:sz="4" w:space="0" w:color="auto"/>
              <w:left w:val="single" w:sz="4" w:space="0" w:color="auto"/>
              <w:bottom w:val="single" w:sz="4" w:space="0" w:color="auto"/>
              <w:right w:val="single" w:sz="4" w:space="0" w:color="auto"/>
            </w:tcBorders>
            <w:shd w:val="clear" w:color="auto" w:fill="auto"/>
          </w:tcPr>
          <w:p w14:paraId="58CAB32C"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10-50</w:t>
            </w:r>
          </w:p>
        </w:tc>
        <w:tc>
          <w:tcPr>
            <w:tcW w:w="1317" w:type="dxa"/>
            <w:tcBorders>
              <w:top w:val="single" w:sz="4" w:space="0" w:color="auto"/>
              <w:left w:val="single" w:sz="4" w:space="0" w:color="auto"/>
              <w:bottom w:val="single" w:sz="4" w:space="0" w:color="auto"/>
              <w:right w:val="single" w:sz="4" w:space="0" w:color="auto"/>
            </w:tcBorders>
            <w:shd w:val="clear" w:color="auto" w:fill="auto"/>
          </w:tcPr>
          <w:p w14:paraId="73487DFE"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500</w:t>
            </w:r>
          </w:p>
        </w:tc>
        <w:tc>
          <w:tcPr>
            <w:tcW w:w="1456" w:type="dxa"/>
            <w:tcBorders>
              <w:top w:val="single" w:sz="4" w:space="0" w:color="auto"/>
              <w:left w:val="single" w:sz="4" w:space="0" w:color="auto"/>
              <w:bottom w:val="single" w:sz="4" w:space="0" w:color="auto"/>
              <w:right w:val="single" w:sz="4" w:space="0" w:color="auto"/>
            </w:tcBorders>
          </w:tcPr>
          <w:p w14:paraId="3F166ADD"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1000-2000</w:t>
            </w:r>
          </w:p>
        </w:tc>
        <w:tc>
          <w:tcPr>
            <w:tcW w:w="1604" w:type="dxa"/>
            <w:tcBorders>
              <w:top w:val="single" w:sz="4" w:space="0" w:color="auto"/>
              <w:left w:val="single" w:sz="4" w:space="0" w:color="auto"/>
              <w:bottom w:val="single" w:sz="4" w:space="0" w:color="auto"/>
              <w:right w:val="single" w:sz="4" w:space="0" w:color="auto"/>
            </w:tcBorders>
          </w:tcPr>
          <w:p w14:paraId="5A0E8836"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 2100</w:t>
            </w:r>
          </w:p>
        </w:tc>
      </w:tr>
      <w:tr w:rsidR="00BE0B19" w:rsidRPr="00AE47C6" w14:paraId="53DCBF05" w14:textId="77777777" w:rsidTr="00AD72E5">
        <w:tc>
          <w:tcPr>
            <w:tcW w:w="1980" w:type="dxa"/>
            <w:tcBorders>
              <w:top w:val="single" w:sz="4" w:space="0" w:color="auto"/>
              <w:left w:val="single" w:sz="4" w:space="0" w:color="auto"/>
              <w:bottom w:val="single" w:sz="4" w:space="0" w:color="auto"/>
              <w:right w:val="single" w:sz="4" w:space="0" w:color="auto"/>
            </w:tcBorders>
          </w:tcPr>
          <w:p w14:paraId="74F1D371"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Carbamazepine</w:t>
            </w:r>
          </w:p>
        </w:tc>
        <w:tc>
          <w:tcPr>
            <w:tcW w:w="1291" w:type="dxa"/>
            <w:tcBorders>
              <w:top w:val="single" w:sz="4" w:space="0" w:color="auto"/>
              <w:left w:val="single" w:sz="4" w:space="0" w:color="auto"/>
              <w:bottom w:val="single" w:sz="4" w:space="0" w:color="auto"/>
              <w:right w:val="single" w:sz="4" w:space="0" w:color="auto"/>
            </w:tcBorders>
            <w:shd w:val="clear" w:color="auto" w:fill="auto"/>
          </w:tcPr>
          <w:p w14:paraId="7C49846B"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5 </w:t>
            </w:r>
          </w:p>
        </w:tc>
        <w:tc>
          <w:tcPr>
            <w:tcW w:w="1424" w:type="dxa"/>
            <w:gridSpan w:val="2"/>
            <w:tcBorders>
              <w:top w:val="single" w:sz="4" w:space="0" w:color="auto"/>
              <w:left w:val="single" w:sz="4" w:space="0" w:color="auto"/>
              <w:bottom w:val="single" w:sz="4" w:space="0" w:color="auto"/>
              <w:right w:val="single" w:sz="4" w:space="0" w:color="auto"/>
            </w:tcBorders>
            <w:shd w:val="clear" w:color="auto" w:fill="auto"/>
          </w:tcPr>
          <w:p w14:paraId="2B69EC24"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10-30</w:t>
            </w:r>
          </w:p>
        </w:tc>
        <w:tc>
          <w:tcPr>
            <w:tcW w:w="1317" w:type="dxa"/>
            <w:tcBorders>
              <w:top w:val="single" w:sz="4" w:space="0" w:color="auto"/>
              <w:left w:val="single" w:sz="4" w:space="0" w:color="auto"/>
              <w:bottom w:val="single" w:sz="4" w:space="0" w:color="auto"/>
              <w:right w:val="single" w:sz="4" w:space="0" w:color="auto"/>
            </w:tcBorders>
            <w:shd w:val="clear" w:color="auto" w:fill="auto"/>
          </w:tcPr>
          <w:p w14:paraId="1994F0E1"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200 </w:t>
            </w:r>
          </w:p>
        </w:tc>
        <w:tc>
          <w:tcPr>
            <w:tcW w:w="1456" w:type="dxa"/>
            <w:tcBorders>
              <w:top w:val="single" w:sz="4" w:space="0" w:color="auto"/>
              <w:left w:val="single" w:sz="4" w:space="0" w:color="auto"/>
              <w:bottom w:val="single" w:sz="4" w:space="0" w:color="auto"/>
              <w:right w:val="single" w:sz="4" w:space="0" w:color="auto"/>
            </w:tcBorders>
          </w:tcPr>
          <w:p w14:paraId="01E9AC60"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600-1200</w:t>
            </w:r>
          </w:p>
        </w:tc>
        <w:tc>
          <w:tcPr>
            <w:tcW w:w="1604" w:type="dxa"/>
            <w:tcBorders>
              <w:top w:val="single" w:sz="4" w:space="0" w:color="auto"/>
              <w:left w:val="single" w:sz="4" w:space="0" w:color="auto"/>
              <w:bottom w:val="single" w:sz="4" w:space="0" w:color="auto"/>
              <w:right w:val="single" w:sz="4" w:space="0" w:color="auto"/>
            </w:tcBorders>
          </w:tcPr>
          <w:p w14:paraId="7C86A109"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1600</w:t>
            </w:r>
          </w:p>
        </w:tc>
      </w:tr>
      <w:tr w:rsidR="00BE0B19" w:rsidRPr="00AE47C6" w14:paraId="4D89DEF9" w14:textId="77777777" w:rsidTr="00AD72E5">
        <w:tc>
          <w:tcPr>
            <w:tcW w:w="1980" w:type="dxa"/>
            <w:tcBorders>
              <w:top w:val="single" w:sz="4" w:space="0" w:color="auto"/>
              <w:left w:val="single" w:sz="4" w:space="0" w:color="auto"/>
              <w:bottom w:val="single" w:sz="4" w:space="0" w:color="auto"/>
              <w:right w:val="single" w:sz="4" w:space="0" w:color="auto"/>
            </w:tcBorders>
          </w:tcPr>
          <w:p w14:paraId="5699112F"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Oxcarbazepine</w:t>
            </w:r>
          </w:p>
        </w:tc>
        <w:tc>
          <w:tcPr>
            <w:tcW w:w="1291" w:type="dxa"/>
            <w:tcBorders>
              <w:top w:val="single" w:sz="4" w:space="0" w:color="auto"/>
              <w:left w:val="single" w:sz="4" w:space="0" w:color="auto"/>
              <w:bottom w:val="single" w:sz="4" w:space="0" w:color="auto"/>
              <w:right w:val="single" w:sz="4" w:space="0" w:color="auto"/>
            </w:tcBorders>
          </w:tcPr>
          <w:p w14:paraId="49352744"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10 </w:t>
            </w:r>
          </w:p>
        </w:tc>
        <w:tc>
          <w:tcPr>
            <w:tcW w:w="1424" w:type="dxa"/>
            <w:gridSpan w:val="2"/>
            <w:tcBorders>
              <w:top w:val="single" w:sz="4" w:space="0" w:color="auto"/>
              <w:left w:val="single" w:sz="4" w:space="0" w:color="auto"/>
              <w:bottom w:val="single" w:sz="4" w:space="0" w:color="auto"/>
              <w:right w:val="single" w:sz="4" w:space="0" w:color="auto"/>
            </w:tcBorders>
          </w:tcPr>
          <w:p w14:paraId="17304AD3"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30-40</w:t>
            </w:r>
          </w:p>
        </w:tc>
        <w:tc>
          <w:tcPr>
            <w:tcW w:w="1317" w:type="dxa"/>
            <w:tcBorders>
              <w:top w:val="single" w:sz="4" w:space="0" w:color="auto"/>
              <w:left w:val="single" w:sz="4" w:space="0" w:color="auto"/>
              <w:bottom w:val="single" w:sz="4" w:space="0" w:color="auto"/>
              <w:right w:val="single" w:sz="4" w:space="0" w:color="auto"/>
            </w:tcBorders>
          </w:tcPr>
          <w:p w14:paraId="32B34271"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300-600</w:t>
            </w:r>
          </w:p>
        </w:tc>
        <w:tc>
          <w:tcPr>
            <w:tcW w:w="1456" w:type="dxa"/>
            <w:tcBorders>
              <w:top w:val="single" w:sz="4" w:space="0" w:color="auto"/>
              <w:left w:val="single" w:sz="4" w:space="0" w:color="auto"/>
              <w:bottom w:val="single" w:sz="4" w:space="0" w:color="auto"/>
              <w:right w:val="single" w:sz="4" w:space="0" w:color="auto"/>
            </w:tcBorders>
          </w:tcPr>
          <w:p w14:paraId="2208AEF6"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900-2400</w:t>
            </w:r>
          </w:p>
        </w:tc>
        <w:tc>
          <w:tcPr>
            <w:tcW w:w="1604" w:type="dxa"/>
            <w:tcBorders>
              <w:top w:val="single" w:sz="4" w:space="0" w:color="auto"/>
              <w:left w:val="single" w:sz="4" w:space="0" w:color="auto"/>
              <w:bottom w:val="single" w:sz="4" w:space="0" w:color="auto"/>
              <w:right w:val="single" w:sz="4" w:space="0" w:color="auto"/>
            </w:tcBorders>
          </w:tcPr>
          <w:p w14:paraId="422CD8E7"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2400</w:t>
            </w:r>
          </w:p>
        </w:tc>
      </w:tr>
      <w:tr w:rsidR="00BE0B19" w:rsidRPr="00AE47C6" w14:paraId="7ACCD16F" w14:textId="77777777" w:rsidTr="00AD72E5">
        <w:tc>
          <w:tcPr>
            <w:tcW w:w="1980" w:type="dxa"/>
            <w:tcBorders>
              <w:top w:val="single" w:sz="4" w:space="0" w:color="auto"/>
              <w:left w:val="single" w:sz="4" w:space="0" w:color="auto"/>
              <w:bottom w:val="single" w:sz="4" w:space="0" w:color="auto"/>
              <w:right w:val="single" w:sz="4" w:space="0" w:color="auto"/>
            </w:tcBorders>
          </w:tcPr>
          <w:p w14:paraId="3D3BD41E"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Phenytoin</w:t>
            </w:r>
          </w:p>
        </w:tc>
        <w:tc>
          <w:tcPr>
            <w:tcW w:w="1291" w:type="dxa"/>
            <w:tcBorders>
              <w:top w:val="single" w:sz="4" w:space="0" w:color="auto"/>
              <w:left w:val="single" w:sz="4" w:space="0" w:color="auto"/>
              <w:bottom w:val="single" w:sz="4" w:space="0" w:color="auto"/>
              <w:right w:val="single" w:sz="4" w:space="0" w:color="auto"/>
            </w:tcBorders>
          </w:tcPr>
          <w:p w14:paraId="3B455EB0"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3-4</w:t>
            </w:r>
          </w:p>
        </w:tc>
        <w:tc>
          <w:tcPr>
            <w:tcW w:w="1424" w:type="dxa"/>
            <w:gridSpan w:val="2"/>
            <w:tcBorders>
              <w:top w:val="single" w:sz="4" w:space="0" w:color="auto"/>
              <w:left w:val="single" w:sz="4" w:space="0" w:color="auto"/>
              <w:bottom w:val="single" w:sz="4" w:space="0" w:color="auto"/>
              <w:right w:val="single" w:sz="4" w:space="0" w:color="auto"/>
            </w:tcBorders>
          </w:tcPr>
          <w:p w14:paraId="6F4E4CF8"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4-8</w:t>
            </w:r>
          </w:p>
        </w:tc>
        <w:tc>
          <w:tcPr>
            <w:tcW w:w="1317" w:type="dxa"/>
            <w:tcBorders>
              <w:top w:val="single" w:sz="4" w:space="0" w:color="auto"/>
              <w:left w:val="single" w:sz="4" w:space="0" w:color="auto"/>
              <w:bottom w:val="single" w:sz="4" w:space="0" w:color="auto"/>
              <w:right w:val="single" w:sz="4" w:space="0" w:color="auto"/>
            </w:tcBorders>
          </w:tcPr>
          <w:p w14:paraId="29EBA76D"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100</w:t>
            </w:r>
          </w:p>
        </w:tc>
        <w:tc>
          <w:tcPr>
            <w:tcW w:w="1456" w:type="dxa"/>
            <w:tcBorders>
              <w:top w:val="single" w:sz="4" w:space="0" w:color="auto"/>
              <w:left w:val="single" w:sz="4" w:space="0" w:color="auto"/>
              <w:bottom w:val="single" w:sz="4" w:space="0" w:color="auto"/>
              <w:right w:val="single" w:sz="4" w:space="0" w:color="auto"/>
            </w:tcBorders>
          </w:tcPr>
          <w:p w14:paraId="5082D8A3"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300-400</w:t>
            </w:r>
          </w:p>
        </w:tc>
        <w:tc>
          <w:tcPr>
            <w:tcW w:w="1604" w:type="dxa"/>
            <w:tcBorders>
              <w:top w:val="single" w:sz="4" w:space="0" w:color="auto"/>
              <w:left w:val="single" w:sz="4" w:space="0" w:color="auto"/>
              <w:bottom w:val="single" w:sz="4" w:space="0" w:color="auto"/>
              <w:right w:val="single" w:sz="4" w:space="0" w:color="auto"/>
            </w:tcBorders>
          </w:tcPr>
          <w:p w14:paraId="46BDCF77"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500</w:t>
            </w:r>
          </w:p>
        </w:tc>
      </w:tr>
      <w:tr w:rsidR="00BE0B19" w:rsidRPr="00AE47C6" w14:paraId="79EA5206" w14:textId="77777777" w:rsidTr="00AD72E5">
        <w:tc>
          <w:tcPr>
            <w:tcW w:w="1980" w:type="dxa"/>
            <w:tcBorders>
              <w:top w:val="single" w:sz="4" w:space="0" w:color="auto"/>
              <w:left w:val="single" w:sz="4" w:space="0" w:color="auto"/>
              <w:bottom w:val="single" w:sz="4" w:space="0" w:color="auto"/>
              <w:right w:val="single" w:sz="4" w:space="0" w:color="auto"/>
            </w:tcBorders>
          </w:tcPr>
          <w:p w14:paraId="1E8B7AEC"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Phenobarbital</w:t>
            </w:r>
          </w:p>
        </w:tc>
        <w:tc>
          <w:tcPr>
            <w:tcW w:w="1291" w:type="dxa"/>
            <w:tcBorders>
              <w:top w:val="single" w:sz="4" w:space="0" w:color="auto"/>
              <w:left w:val="single" w:sz="4" w:space="0" w:color="auto"/>
              <w:bottom w:val="single" w:sz="4" w:space="0" w:color="auto"/>
              <w:right w:val="single" w:sz="4" w:space="0" w:color="auto"/>
            </w:tcBorders>
          </w:tcPr>
          <w:p w14:paraId="67F78347"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w:t>
            </w:r>
          </w:p>
        </w:tc>
        <w:tc>
          <w:tcPr>
            <w:tcW w:w="1424" w:type="dxa"/>
            <w:gridSpan w:val="2"/>
            <w:tcBorders>
              <w:top w:val="single" w:sz="4" w:space="0" w:color="auto"/>
              <w:left w:val="single" w:sz="4" w:space="0" w:color="auto"/>
              <w:bottom w:val="single" w:sz="4" w:space="0" w:color="auto"/>
              <w:right w:val="single" w:sz="4" w:space="0" w:color="auto"/>
            </w:tcBorders>
          </w:tcPr>
          <w:p w14:paraId="1D7428F1"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2-5</w:t>
            </w:r>
          </w:p>
        </w:tc>
        <w:tc>
          <w:tcPr>
            <w:tcW w:w="1317" w:type="dxa"/>
            <w:tcBorders>
              <w:top w:val="single" w:sz="4" w:space="0" w:color="auto"/>
              <w:left w:val="single" w:sz="4" w:space="0" w:color="auto"/>
              <w:bottom w:val="single" w:sz="4" w:space="0" w:color="auto"/>
              <w:right w:val="single" w:sz="4" w:space="0" w:color="auto"/>
            </w:tcBorders>
          </w:tcPr>
          <w:p w14:paraId="0C53597B"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60</w:t>
            </w:r>
          </w:p>
        </w:tc>
        <w:tc>
          <w:tcPr>
            <w:tcW w:w="1456" w:type="dxa"/>
            <w:tcBorders>
              <w:top w:val="single" w:sz="4" w:space="0" w:color="auto"/>
              <w:left w:val="single" w:sz="4" w:space="0" w:color="auto"/>
              <w:bottom w:val="single" w:sz="4" w:space="0" w:color="auto"/>
              <w:right w:val="single" w:sz="4" w:space="0" w:color="auto"/>
            </w:tcBorders>
          </w:tcPr>
          <w:p w14:paraId="749C7270"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90-250</w:t>
            </w:r>
          </w:p>
        </w:tc>
        <w:tc>
          <w:tcPr>
            <w:tcW w:w="1604" w:type="dxa"/>
            <w:tcBorders>
              <w:top w:val="single" w:sz="4" w:space="0" w:color="auto"/>
              <w:left w:val="single" w:sz="4" w:space="0" w:color="auto"/>
              <w:bottom w:val="single" w:sz="4" w:space="0" w:color="auto"/>
              <w:right w:val="single" w:sz="4" w:space="0" w:color="auto"/>
            </w:tcBorders>
          </w:tcPr>
          <w:p w14:paraId="30DF19B7"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600</w:t>
            </w:r>
          </w:p>
        </w:tc>
      </w:tr>
      <w:tr w:rsidR="00BE0B19" w:rsidRPr="00AE47C6" w14:paraId="2C8CBC7B" w14:textId="77777777" w:rsidTr="00AD72E5">
        <w:tc>
          <w:tcPr>
            <w:tcW w:w="1980" w:type="dxa"/>
            <w:tcBorders>
              <w:top w:val="single" w:sz="4" w:space="0" w:color="auto"/>
              <w:left w:val="single" w:sz="4" w:space="0" w:color="auto"/>
              <w:bottom w:val="single" w:sz="4" w:space="0" w:color="auto"/>
              <w:right w:val="single" w:sz="4" w:space="0" w:color="auto"/>
            </w:tcBorders>
          </w:tcPr>
          <w:p w14:paraId="2D59BA80"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Clonazepam</w:t>
            </w:r>
          </w:p>
        </w:tc>
        <w:tc>
          <w:tcPr>
            <w:tcW w:w="1291" w:type="dxa"/>
            <w:tcBorders>
              <w:top w:val="single" w:sz="4" w:space="0" w:color="auto"/>
              <w:left w:val="single" w:sz="4" w:space="0" w:color="auto"/>
              <w:bottom w:val="single" w:sz="4" w:space="0" w:color="auto"/>
              <w:right w:val="single" w:sz="4" w:space="0" w:color="auto"/>
            </w:tcBorders>
          </w:tcPr>
          <w:p w14:paraId="66547FF6"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0,01</w:t>
            </w:r>
          </w:p>
        </w:tc>
        <w:tc>
          <w:tcPr>
            <w:tcW w:w="1424" w:type="dxa"/>
            <w:gridSpan w:val="2"/>
            <w:tcBorders>
              <w:top w:val="single" w:sz="4" w:space="0" w:color="auto"/>
              <w:left w:val="single" w:sz="4" w:space="0" w:color="auto"/>
              <w:bottom w:val="single" w:sz="4" w:space="0" w:color="auto"/>
              <w:right w:val="single" w:sz="4" w:space="0" w:color="auto"/>
            </w:tcBorders>
          </w:tcPr>
          <w:p w14:paraId="52BDFACD"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 0,01-0,02–0,1-0,2 </w:t>
            </w:r>
          </w:p>
        </w:tc>
        <w:tc>
          <w:tcPr>
            <w:tcW w:w="1317" w:type="dxa"/>
            <w:tcBorders>
              <w:top w:val="single" w:sz="4" w:space="0" w:color="auto"/>
              <w:left w:val="single" w:sz="4" w:space="0" w:color="auto"/>
              <w:bottom w:val="single" w:sz="4" w:space="0" w:color="auto"/>
              <w:right w:val="single" w:sz="4" w:space="0" w:color="auto"/>
            </w:tcBorders>
          </w:tcPr>
          <w:p w14:paraId="5D4B5CAB"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0,5</w:t>
            </w:r>
          </w:p>
        </w:tc>
        <w:tc>
          <w:tcPr>
            <w:tcW w:w="1456" w:type="dxa"/>
            <w:tcBorders>
              <w:top w:val="single" w:sz="4" w:space="0" w:color="auto"/>
              <w:left w:val="single" w:sz="4" w:space="0" w:color="auto"/>
              <w:bottom w:val="single" w:sz="4" w:space="0" w:color="auto"/>
              <w:right w:val="single" w:sz="4" w:space="0" w:color="auto"/>
            </w:tcBorders>
          </w:tcPr>
          <w:p w14:paraId="2F2EEFED"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2-6</w:t>
            </w:r>
          </w:p>
        </w:tc>
        <w:tc>
          <w:tcPr>
            <w:tcW w:w="1604" w:type="dxa"/>
            <w:tcBorders>
              <w:top w:val="single" w:sz="4" w:space="0" w:color="auto"/>
              <w:left w:val="single" w:sz="4" w:space="0" w:color="auto"/>
              <w:bottom w:val="single" w:sz="4" w:space="0" w:color="auto"/>
              <w:right w:val="single" w:sz="4" w:space="0" w:color="auto"/>
            </w:tcBorders>
          </w:tcPr>
          <w:p w14:paraId="36B72ED7"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8</w:t>
            </w:r>
          </w:p>
        </w:tc>
      </w:tr>
      <w:tr w:rsidR="00BE0B19" w:rsidRPr="00AE47C6" w14:paraId="58EEB03A" w14:textId="77777777" w:rsidTr="00AD72E5">
        <w:tc>
          <w:tcPr>
            <w:tcW w:w="1980" w:type="dxa"/>
            <w:tcBorders>
              <w:top w:val="single" w:sz="4" w:space="0" w:color="auto"/>
              <w:left w:val="single" w:sz="4" w:space="0" w:color="auto"/>
              <w:bottom w:val="single" w:sz="4" w:space="0" w:color="auto"/>
              <w:right w:val="single" w:sz="4" w:space="0" w:color="auto"/>
            </w:tcBorders>
          </w:tcPr>
          <w:p w14:paraId="2E279460"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Lamotrigine</w:t>
            </w:r>
          </w:p>
        </w:tc>
        <w:tc>
          <w:tcPr>
            <w:tcW w:w="1291" w:type="dxa"/>
            <w:tcBorders>
              <w:top w:val="single" w:sz="4" w:space="0" w:color="auto"/>
              <w:left w:val="single" w:sz="4" w:space="0" w:color="auto"/>
              <w:bottom w:val="single" w:sz="4" w:space="0" w:color="auto"/>
              <w:right w:val="single" w:sz="4" w:space="0" w:color="auto"/>
            </w:tcBorders>
          </w:tcPr>
          <w:p w14:paraId="3F73EA9C"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0,6 с ензимни индуктори </w:t>
            </w:r>
          </w:p>
          <w:p w14:paraId="5CFC444D"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0,15 при VPA </w:t>
            </w:r>
          </w:p>
          <w:p w14:paraId="54D531D0"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0,3 при моно-терапия</w:t>
            </w:r>
          </w:p>
        </w:tc>
        <w:tc>
          <w:tcPr>
            <w:tcW w:w="1424" w:type="dxa"/>
            <w:gridSpan w:val="2"/>
            <w:tcBorders>
              <w:top w:val="single" w:sz="4" w:space="0" w:color="auto"/>
              <w:left w:val="single" w:sz="4" w:space="0" w:color="auto"/>
              <w:bottom w:val="single" w:sz="4" w:space="0" w:color="auto"/>
              <w:right w:val="single" w:sz="4" w:space="0" w:color="auto"/>
            </w:tcBorders>
          </w:tcPr>
          <w:p w14:paraId="11E4CB5D"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5-15 с ензимни индуктори </w:t>
            </w:r>
          </w:p>
          <w:p w14:paraId="115A5740"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 с VPA</w:t>
            </w:r>
          </w:p>
          <w:p w14:paraId="51D1E906"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15 при моно-терапия</w:t>
            </w:r>
          </w:p>
        </w:tc>
        <w:tc>
          <w:tcPr>
            <w:tcW w:w="1317" w:type="dxa"/>
            <w:tcBorders>
              <w:top w:val="single" w:sz="4" w:space="0" w:color="auto"/>
              <w:left w:val="single" w:sz="4" w:space="0" w:color="auto"/>
              <w:bottom w:val="single" w:sz="4" w:space="0" w:color="auto"/>
              <w:right w:val="single" w:sz="4" w:space="0" w:color="auto"/>
            </w:tcBorders>
          </w:tcPr>
          <w:p w14:paraId="7CE55C8C"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50 с ензимни индуктори </w:t>
            </w:r>
          </w:p>
          <w:p w14:paraId="061C711B"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12,5 с VPA</w:t>
            </w:r>
          </w:p>
          <w:p w14:paraId="0C2BD13C"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25 при моно-терапия</w:t>
            </w:r>
          </w:p>
        </w:tc>
        <w:tc>
          <w:tcPr>
            <w:tcW w:w="1456" w:type="dxa"/>
            <w:tcBorders>
              <w:top w:val="single" w:sz="4" w:space="0" w:color="auto"/>
              <w:left w:val="single" w:sz="4" w:space="0" w:color="auto"/>
              <w:bottom w:val="single" w:sz="4" w:space="0" w:color="auto"/>
              <w:right w:val="single" w:sz="4" w:space="0" w:color="auto"/>
            </w:tcBorders>
          </w:tcPr>
          <w:p w14:paraId="080695A9"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500-600 при ензимен индуктор</w:t>
            </w:r>
          </w:p>
          <w:p w14:paraId="7FA823F8"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300-400 при VPA</w:t>
            </w:r>
          </w:p>
          <w:p w14:paraId="7078EE68"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500 при моно-терапия</w:t>
            </w:r>
          </w:p>
        </w:tc>
        <w:tc>
          <w:tcPr>
            <w:tcW w:w="1604" w:type="dxa"/>
            <w:tcBorders>
              <w:top w:val="single" w:sz="4" w:space="0" w:color="auto"/>
              <w:left w:val="single" w:sz="4" w:space="0" w:color="auto"/>
              <w:bottom w:val="single" w:sz="4" w:space="0" w:color="auto"/>
              <w:right w:val="single" w:sz="4" w:space="0" w:color="auto"/>
            </w:tcBorders>
          </w:tcPr>
          <w:p w14:paraId="6A5EFBCC"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700 при моно-терапия</w:t>
            </w:r>
          </w:p>
        </w:tc>
      </w:tr>
      <w:tr w:rsidR="00BE0B19" w:rsidRPr="00AE47C6" w14:paraId="2FA8B2F0" w14:textId="77777777" w:rsidTr="00AD72E5">
        <w:tc>
          <w:tcPr>
            <w:tcW w:w="1980" w:type="dxa"/>
            <w:tcBorders>
              <w:top w:val="single" w:sz="4" w:space="0" w:color="auto"/>
              <w:left w:val="single" w:sz="4" w:space="0" w:color="auto"/>
              <w:bottom w:val="single" w:sz="4" w:space="0" w:color="auto"/>
              <w:right w:val="single" w:sz="4" w:space="0" w:color="auto"/>
            </w:tcBorders>
          </w:tcPr>
          <w:p w14:paraId="57EB8938"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Topiramate</w:t>
            </w:r>
          </w:p>
        </w:tc>
        <w:tc>
          <w:tcPr>
            <w:tcW w:w="1291" w:type="dxa"/>
            <w:tcBorders>
              <w:top w:val="single" w:sz="4" w:space="0" w:color="auto"/>
              <w:left w:val="single" w:sz="4" w:space="0" w:color="auto"/>
              <w:bottom w:val="single" w:sz="4" w:space="0" w:color="auto"/>
              <w:right w:val="single" w:sz="4" w:space="0" w:color="auto"/>
            </w:tcBorders>
          </w:tcPr>
          <w:p w14:paraId="01FC159F"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0,5-1,0 </w:t>
            </w:r>
          </w:p>
        </w:tc>
        <w:tc>
          <w:tcPr>
            <w:tcW w:w="1424" w:type="dxa"/>
            <w:gridSpan w:val="2"/>
            <w:tcBorders>
              <w:top w:val="single" w:sz="4" w:space="0" w:color="auto"/>
              <w:left w:val="single" w:sz="4" w:space="0" w:color="auto"/>
              <w:bottom w:val="single" w:sz="4" w:space="0" w:color="auto"/>
              <w:right w:val="single" w:sz="4" w:space="0" w:color="auto"/>
            </w:tcBorders>
          </w:tcPr>
          <w:p w14:paraId="3ED613EF"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5-9 </w:t>
            </w:r>
          </w:p>
        </w:tc>
        <w:tc>
          <w:tcPr>
            <w:tcW w:w="1317" w:type="dxa"/>
            <w:tcBorders>
              <w:top w:val="single" w:sz="4" w:space="0" w:color="auto"/>
              <w:left w:val="single" w:sz="4" w:space="0" w:color="auto"/>
              <w:bottom w:val="single" w:sz="4" w:space="0" w:color="auto"/>
              <w:right w:val="single" w:sz="4" w:space="0" w:color="auto"/>
            </w:tcBorders>
          </w:tcPr>
          <w:p w14:paraId="35C780E2"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25 </w:t>
            </w:r>
          </w:p>
        </w:tc>
        <w:tc>
          <w:tcPr>
            <w:tcW w:w="1456" w:type="dxa"/>
            <w:tcBorders>
              <w:top w:val="single" w:sz="4" w:space="0" w:color="auto"/>
              <w:left w:val="single" w:sz="4" w:space="0" w:color="auto"/>
              <w:bottom w:val="single" w:sz="4" w:space="0" w:color="auto"/>
              <w:right w:val="single" w:sz="4" w:space="0" w:color="auto"/>
            </w:tcBorders>
          </w:tcPr>
          <w:p w14:paraId="41A82C67"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200-400 </w:t>
            </w:r>
          </w:p>
        </w:tc>
        <w:tc>
          <w:tcPr>
            <w:tcW w:w="1604" w:type="dxa"/>
            <w:tcBorders>
              <w:top w:val="single" w:sz="4" w:space="0" w:color="auto"/>
              <w:left w:val="single" w:sz="4" w:space="0" w:color="auto"/>
              <w:bottom w:val="single" w:sz="4" w:space="0" w:color="auto"/>
              <w:right w:val="single" w:sz="4" w:space="0" w:color="auto"/>
            </w:tcBorders>
          </w:tcPr>
          <w:p w14:paraId="6BBC3E23"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 500 </w:t>
            </w:r>
          </w:p>
        </w:tc>
      </w:tr>
      <w:tr w:rsidR="00BE0B19" w:rsidRPr="00AE47C6" w14:paraId="1CFD7B50" w14:textId="77777777" w:rsidTr="00AD72E5">
        <w:tc>
          <w:tcPr>
            <w:tcW w:w="1980" w:type="dxa"/>
            <w:tcBorders>
              <w:top w:val="single" w:sz="4" w:space="0" w:color="auto"/>
              <w:left w:val="single" w:sz="4" w:space="0" w:color="auto"/>
              <w:bottom w:val="single" w:sz="4" w:space="0" w:color="auto"/>
              <w:right w:val="single" w:sz="4" w:space="0" w:color="auto"/>
            </w:tcBorders>
          </w:tcPr>
          <w:p w14:paraId="75E55C27"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Levetiracetam</w:t>
            </w:r>
          </w:p>
        </w:tc>
        <w:tc>
          <w:tcPr>
            <w:tcW w:w="1291" w:type="dxa"/>
            <w:tcBorders>
              <w:top w:val="single" w:sz="4" w:space="0" w:color="auto"/>
              <w:left w:val="single" w:sz="4" w:space="0" w:color="auto"/>
              <w:bottom w:val="single" w:sz="4" w:space="0" w:color="auto"/>
              <w:right w:val="single" w:sz="4" w:space="0" w:color="auto"/>
            </w:tcBorders>
          </w:tcPr>
          <w:p w14:paraId="7B0D427E"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10 </w:t>
            </w:r>
          </w:p>
        </w:tc>
        <w:tc>
          <w:tcPr>
            <w:tcW w:w="1424" w:type="dxa"/>
            <w:gridSpan w:val="2"/>
            <w:tcBorders>
              <w:top w:val="single" w:sz="4" w:space="0" w:color="auto"/>
              <w:left w:val="single" w:sz="4" w:space="0" w:color="auto"/>
              <w:bottom w:val="single" w:sz="4" w:space="0" w:color="auto"/>
              <w:right w:val="single" w:sz="4" w:space="0" w:color="auto"/>
            </w:tcBorders>
          </w:tcPr>
          <w:p w14:paraId="46BCE591"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40 </w:t>
            </w:r>
          </w:p>
        </w:tc>
        <w:tc>
          <w:tcPr>
            <w:tcW w:w="1317" w:type="dxa"/>
            <w:tcBorders>
              <w:top w:val="single" w:sz="4" w:space="0" w:color="auto"/>
              <w:left w:val="single" w:sz="4" w:space="0" w:color="auto"/>
              <w:bottom w:val="single" w:sz="4" w:space="0" w:color="auto"/>
              <w:right w:val="single" w:sz="4" w:space="0" w:color="auto"/>
            </w:tcBorders>
          </w:tcPr>
          <w:p w14:paraId="57BFC703"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1000 </w:t>
            </w:r>
          </w:p>
        </w:tc>
        <w:tc>
          <w:tcPr>
            <w:tcW w:w="1456" w:type="dxa"/>
            <w:tcBorders>
              <w:top w:val="single" w:sz="4" w:space="0" w:color="auto"/>
              <w:left w:val="single" w:sz="4" w:space="0" w:color="auto"/>
              <w:bottom w:val="single" w:sz="4" w:space="0" w:color="auto"/>
              <w:right w:val="single" w:sz="4" w:space="0" w:color="auto"/>
            </w:tcBorders>
          </w:tcPr>
          <w:p w14:paraId="7342A809"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2000-3000 </w:t>
            </w:r>
          </w:p>
        </w:tc>
        <w:tc>
          <w:tcPr>
            <w:tcW w:w="1604" w:type="dxa"/>
            <w:tcBorders>
              <w:top w:val="single" w:sz="4" w:space="0" w:color="auto"/>
              <w:left w:val="single" w:sz="4" w:space="0" w:color="auto"/>
              <w:bottom w:val="single" w:sz="4" w:space="0" w:color="auto"/>
              <w:right w:val="single" w:sz="4" w:space="0" w:color="auto"/>
            </w:tcBorders>
          </w:tcPr>
          <w:p w14:paraId="5F355B53"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3000 </w:t>
            </w:r>
          </w:p>
        </w:tc>
      </w:tr>
      <w:tr w:rsidR="00BE0B19" w:rsidRPr="00AE47C6" w14:paraId="4E80A4EA" w14:textId="77777777" w:rsidTr="00AD72E5">
        <w:tc>
          <w:tcPr>
            <w:tcW w:w="1980" w:type="dxa"/>
            <w:tcBorders>
              <w:top w:val="single" w:sz="4" w:space="0" w:color="auto"/>
              <w:left w:val="single" w:sz="4" w:space="0" w:color="auto"/>
              <w:bottom w:val="single" w:sz="4" w:space="0" w:color="auto"/>
              <w:right w:val="single" w:sz="4" w:space="0" w:color="auto"/>
            </w:tcBorders>
          </w:tcPr>
          <w:p w14:paraId="43705EB7"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Tiagabine</w:t>
            </w:r>
          </w:p>
        </w:tc>
        <w:tc>
          <w:tcPr>
            <w:tcW w:w="1291" w:type="dxa"/>
            <w:tcBorders>
              <w:top w:val="single" w:sz="4" w:space="0" w:color="auto"/>
              <w:left w:val="single" w:sz="4" w:space="0" w:color="auto"/>
              <w:bottom w:val="single" w:sz="4" w:space="0" w:color="auto"/>
              <w:right w:val="single" w:sz="4" w:space="0" w:color="auto"/>
            </w:tcBorders>
          </w:tcPr>
          <w:p w14:paraId="48EE643A"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0,1 </w:t>
            </w:r>
          </w:p>
        </w:tc>
        <w:tc>
          <w:tcPr>
            <w:tcW w:w="1424" w:type="dxa"/>
            <w:gridSpan w:val="2"/>
            <w:tcBorders>
              <w:top w:val="single" w:sz="4" w:space="0" w:color="auto"/>
              <w:left w:val="single" w:sz="4" w:space="0" w:color="auto"/>
              <w:bottom w:val="single" w:sz="4" w:space="0" w:color="auto"/>
              <w:right w:val="single" w:sz="4" w:space="0" w:color="auto"/>
            </w:tcBorders>
          </w:tcPr>
          <w:p w14:paraId="7C87E56D"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1 </w:t>
            </w:r>
          </w:p>
        </w:tc>
        <w:tc>
          <w:tcPr>
            <w:tcW w:w="1317" w:type="dxa"/>
            <w:tcBorders>
              <w:top w:val="single" w:sz="4" w:space="0" w:color="auto"/>
              <w:left w:val="single" w:sz="4" w:space="0" w:color="auto"/>
              <w:bottom w:val="single" w:sz="4" w:space="0" w:color="auto"/>
              <w:right w:val="single" w:sz="4" w:space="0" w:color="auto"/>
            </w:tcBorders>
          </w:tcPr>
          <w:p w14:paraId="04797712"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5–10 </w:t>
            </w:r>
          </w:p>
        </w:tc>
        <w:tc>
          <w:tcPr>
            <w:tcW w:w="1456" w:type="dxa"/>
            <w:tcBorders>
              <w:top w:val="single" w:sz="4" w:space="0" w:color="auto"/>
              <w:left w:val="single" w:sz="4" w:space="0" w:color="auto"/>
              <w:bottom w:val="single" w:sz="4" w:space="0" w:color="auto"/>
              <w:right w:val="single" w:sz="4" w:space="0" w:color="auto"/>
            </w:tcBorders>
          </w:tcPr>
          <w:p w14:paraId="42D99361"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60 </w:t>
            </w:r>
          </w:p>
        </w:tc>
        <w:tc>
          <w:tcPr>
            <w:tcW w:w="1604" w:type="dxa"/>
            <w:tcBorders>
              <w:top w:val="single" w:sz="4" w:space="0" w:color="auto"/>
              <w:left w:val="single" w:sz="4" w:space="0" w:color="auto"/>
              <w:bottom w:val="single" w:sz="4" w:space="0" w:color="auto"/>
              <w:right w:val="single" w:sz="4" w:space="0" w:color="auto"/>
            </w:tcBorders>
          </w:tcPr>
          <w:p w14:paraId="2FF7BFAA"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70 </w:t>
            </w:r>
          </w:p>
        </w:tc>
      </w:tr>
      <w:tr w:rsidR="00BE0B19" w:rsidRPr="00AE47C6" w14:paraId="739BDA5B" w14:textId="77777777" w:rsidTr="00AD72E5">
        <w:tc>
          <w:tcPr>
            <w:tcW w:w="1980" w:type="dxa"/>
            <w:tcBorders>
              <w:top w:val="single" w:sz="4" w:space="0" w:color="auto"/>
              <w:left w:val="single" w:sz="4" w:space="0" w:color="auto"/>
              <w:bottom w:val="single" w:sz="4" w:space="0" w:color="auto"/>
              <w:right w:val="single" w:sz="4" w:space="0" w:color="auto"/>
            </w:tcBorders>
          </w:tcPr>
          <w:p w14:paraId="38437BC7"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Gabapentin</w:t>
            </w:r>
          </w:p>
        </w:tc>
        <w:tc>
          <w:tcPr>
            <w:tcW w:w="1291" w:type="dxa"/>
            <w:tcBorders>
              <w:top w:val="single" w:sz="4" w:space="0" w:color="auto"/>
              <w:left w:val="single" w:sz="4" w:space="0" w:color="auto"/>
              <w:bottom w:val="single" w:sz="4" w:space="0" w:color="auto"/>
              <w:right w:val="single" w:sz="4" w:space="0" w:color="auto"/>
            </w:tcBorders>
          </w:tcPr>
          <w:p w14:paraId="0FF041CF"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Над 6 г.</w:t>
            </w:r>
          </w:p>
          <w:p w14:paraId="0F1964BD"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10-15 </w:t>
            </w:r>
          </w:p>
        </w:tc>
        <w:tc>
          <w:tcPr>
            <w:tcW w:w="1424" w:type="dxa"/>
            <w:gridSpan w:val="2"/>
            <w:tcBorders>
              <w:top w:val="single" w:sz="4" w:space="0" w:color="auto"/>
              <w:left w:val="single" w:sz="4" w:space="0" w:color="auto"/>
              <w:bottom w:val="single" w:sz="4" w:space="0" w:color="auto"/>
              <w:right w:val="single" w:sz="4" w:space="0" w:color="auto"/>
            </w:tcBorders>
          </w:tcPr>
          <w:p w14:paraId="5C3A6586"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25-35</w:t>
            </w:r>
          </w:p>
        </w:tc>
        <w:tc>
          <w:tcPr>
            <w:tcW w:w="1317" w:type="dxa"/>
            <w:tcBorders>
              <w:top w:val="single" w:sz="4" w:space="0" w:color="auto"/>
              <w:left w:val="single" w:sz="4" w:space="0" w:color="auto"/>
              <w:bottom w:val="single" w:sz="4" w:space="0" w:color="auto"/>
              <w:right w:val="single" w:sz="4" w:space="0" w:color="auto"/>
            </w:tcBorders>
          </w:tcPr>
          <w:p w14:paraId="4755AEBB"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300</w:t>
            </w:r>
          </w:p>
        </w:tc>
        <w:tc>
          <w:tcPr>
            <w:tcW w:w="1456" w:type="dxa"/>
            <w:tcBorders>
              <w:top w:val="single" w:sz="4" w:space="0" w:color="auto"/>
              <w:left w:val="single" w:sz="4" w:space="0" w:color="auto"/>
              <w:bottom w:val="single" w:sz="4" w:space="0" w:color="auto"/>
              <w:right w:val="single" w:sz="4" w:space="0" w:color="auto"/>
            </w:tcBorders>
          </w:tcPr>
          <w:p w14:paraId="3D1D08BC"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1200-1800-3600</w:t>
            </w:r>
          </w:p>
        </w:tc>
        <w:tc>
          <w:tcPr>
            <w:tcW w:w="1604" w:type="dxa"/>
            <w:tcBorders>
              <w:top w:val="single" w:sz="4" w:space="0" w:color="auto"/>
              <w:left w:val="single" w:sz="4" w:space="0" w:color="auto"/>
              <w:bottom w:val="single" w:sz="4" w:space="0" w:color="auto"/>
              <w:right w:val="single" w:sz="4" w:space="0" w:color="auto"/>
            </w:tcBorders>
          </w:tcPr>
          <w:p w14:paraId="1DE4F51B"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3600 </w:t>
            </w:r>
          </w:p>
        </w:tc>
      </w:tr>
      <w:tr w:rsidR="00BE0B19" w:rsidRPr="00AE47C6" w14:paraId="55A91185" w14:textId="77777777" w:rsidTr="00AD72E5">
        <w:trPr>
          <w:trHeight w:val="463"/>
        </w:trPr>
        <w:tc>
          <w:tcPr>
            <w:tcW w:w="1980" w:type="dxa"/>
            <w:tcBorders>
              <w:top w:val="single" w:sz="4" w:space="0" w:color="auto"/>
            </w:tcBorders>
          </w:tcPr>
          <w:p w14:paraId="3D14D530"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Pregabalin</w:t>
            </w:r>
          </w:p>
        </w:tc>
        <w:tc>
          <w:tcPr>
            <w:tcW w:w="1291" w:type="dxa"/>
            <w:tcBorders>
              <w:top w:val="single" w:sz="4" w:space="0" w:color="auto"/>
            </w:tcBorders>
          </w:tcPr>
          <w:p w14:paraId="63435D4A"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w:t>
            </w:r>
          </w:p>
        </w:tc>
        <w:tc>
          <w:tcPr>
            <w:tcW w:w="1424" w:type="dxa"/>
            <w:gridSpan w:val="2"/>
            <w:tcBorders>
              <w:top w:val="single" w:sz="4" w:space="0" w:color="auto"/>
            </w:tcBorders>
          </w:tcPr>
          <w:p w14:paraId="2A5ECB55"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w:t>
            </w:r>
          </w:p>
        </w:tc>
        <w:tc>
          <w:tcPr>
            <w:tcW w:w="1317" w:type="dxa"/>
            <w:tcBorders>
              <w:top w:val="single" w:sz="4" w:space="0" w:color="auto"/>
            </w:tcBorders>
          </w:tcPr>
          <w:p w14:paraId="11AB417E"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150</w:t>
            </w:r>
          </w:p>
        </w:tc>
        <w:tc>
          <w:tcPr>
            <w:tcW w:w="1456" w:type="dxa"/>
            <w:tcBorders>
              <w:top w:val="single" w:sz="4" w:space="0" w:color="auto"/>
            </w:tcBorders>
          </w:tcPr>
          <w:p w14:paraId="71FC286E"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450-600</w:t>
            </w:r>
          </w:p>
        </w:tc>
        <w:tc>
          <w:tcPr>
            <w:tcW w:w="1604" w:type="dxa"/>
            <w:tcBorders>
              <w:top w:val="single" w:sz="4" w:space="0" w:color="auto"/>
            </w:tcBorders>
          </w:tcPr>
          <w:p w14:paraId="71A803DC"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600</w:t>
            </w:r>
          </w:p>
        </w:tc>
      </w:tr>
      <w:tr w:rsidR="00BE0B19" w:rsidRPr="00AE47C6" w14:paraId="6AECAE13" w14:textId="77777777" w:rsidTr="00AD72E5">
        <w:tc>
          <w:tcPr>
            <w:tcW w:w="1980" w:type="dxa"/>
          </w:tcPr>
          <w:p w14:paraId="52120C3C"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Lacosamide</w:t>
            </w:r>
          </w:p>
        </w:tc>
        <w:tc>
          <w:tcPr>
            <w:tcW w:w="1291" w:type="dxa"/>
          </w:tcPr>
          <w:p w14:paraId="196C2960"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След 4 г.</w:t>
            </w:r>
          </w:p>
          <w:p w14:paraId="657BF79A"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 mg/kg</w:t>
            </w:r>
          </w:p>
        </w:tc>
        <w:tc>
          <w:tcPr>
            <w:tcW w:w="1424" w:type="dxa"/>
            <w:gridSpan w:val="2"/>
          </w:tcPr>
          <w:p w14:paraId="5FD6C3D5"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200-400 mg/дн.</w:t>
            </w:r>
          </w:p>
        </w:tc>
        <w:tc>
          <w:tcPr>
            <w:tcW w:w="1317" w:type="dxa"/>
          </w:tcPr>
          <w:p w14:paraId="4D23AA01"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100</w:t>
            </w:r>
          </w:p>
        </w:tc>
        <w:tc>
          <w:tcPr>
            <w:tcW w:w="1456" w:type="dxa"/>
          </w:tcPr>
          <w:p w14:paraId="6C3DCA38"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200-400</w:t>
            </w:r>
          </w:p>
        </w:tc>
        <w:tc>
          <w:tcPr>
            <w:tcW w:w="1604" w:type="dxa"/>
          </w:tcPr>
          <w:p w14:paraId="1983A8BA"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600 mg или 10mg/kg при монотерапия при деца и юноши над 50 kg и 8 mg/kg при деца и юноши под 50 kg; 400 mg при допълваща терапия за деца и юноши над 50 kg и възрастни</w:t>
            </w:r>
          </w:p>
        </w:tc>
      </w:tr>
      <w:tr w:rsidR="00BE0B19" w:rsidRPr="00AE47C6" w14:paraId="0EBF2BDD" w14:textId="77777777" w:rsidTr="00AD72E5">
        <w:tc>
          <w:tcPr>
            <w:tcW w:w="1980" w:type="dxa"/>
          </w:tcPr>
          <w:p w14:paraId="14DF0C2F"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 xml:space="preserve">Ethosuximide </w:t>
            </w:r>
          </w:p>
        </w:tc>
        <w:tc>
          <w:tcPr>
            <w:tcW w:w="1291" w:type="dxa"/>
          </w:tcPr>
          <w:p w14:paraId="4BE33586"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10 </w:t>
            </w:r>
          </w:p>
        </w:tc>
        <w:tc>
          <w:tcPr>
            <w:tcW w:w="1424" w:type="dxa"/>
            <w:gridSpan w:val="2"/>
          </w:tcPr>
          <w:p w14:paraId="66893656"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40 </w:t>
            </w:r>
          </w:p>
        </w:tc>
        <w:tc>
          <w:tcPr>
            <w:tcW w:w="1317" w:type="dxa"/>
          </w:tcPr>
          <w:p w14:paraId="38F66738"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500</w:t>
            </w:r>
          </w:p>
        </w:tc>
        <w:tc>
          <w:tcPr>
            <w:tcW w:w="1456" w:type="dxa"/>
          </w:tcPr>
          <w:p w14:paraId="5FE2B159"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1500</w:t>
            </w:r>
          </w:p>
        </w:tc>
        <w:tc>
          <w:tcPr>
            <w:tcW w:w="1604" w:type="dxa"/>
          </w:tcPr>
          <w:p w14:paraId="16BA93A7"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2000</w:t>
            </w:r>
          </w:p>
        </w:tc>
      </w:tr>
      <w:tr w:rsidR="00BE0B19" w:rsidRPr="00AE47C6" w14:paraId="781CC850" w14:textId="77777777" w:rsidTr="00AD72E5">
        <w:tc>
          <w:tcPr>
            <w:tcW w:w="1980" w:type="dxa"/>
          </w:tcPr>
          <w:p w14:paraId="5702679E"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Stiripentol*</w:t>
            </w:r>
          </w:p>
        </w:tc>
        <w:tc>
          <w:tcPr>
            <w:tcW w:w="1291" w:type="dxa"/>
          </w:tcPr>
          <w:p w14:paraId="124E0A4B"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50 </w:t>
            </w:r>
          </w:p>
        </w:tc>
        <w:tc>
          <w:tcPr>
            <w:tcW w:w="1424" w:type="dxa"/>
            <w:gridSpan w:val="2"/>
          </w:tcPr>
          <w:p w14:paraId="56ED9651"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до 100 </w:t>
            </w:r>
          </w:p>
        </w:tc>
        <w:tc>
          <w:tcPr>
            <w:tcW w:w="1317" w:type="dxa"/>
          </w:tcPr>
          <w:p w14:paraId="73AC8EAB"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50 </w:t>
            </w:r>
          </w:p>
        </w:tc>
        <w:tc>
          <w:tcPr>
            <w:tcW w:w="1456" w:type="dxa"/>
          </w:tcPr>
          <w:p w14:paraId="3DEA2FE1"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до 100 </w:t>
            </w:r>
          </w:p>
        </w:tc>
        <w:tc>
          <w:tcPr>
            <w:tcW w:w="1604" w:type="dxa"/>
          </w:tcPr>
          <w:p w14:paraId="5C3BAB05"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4000</w:t>
            </w:r>
          </w:p>
        </w:tc>
      </w:tr>
      <w:tr w:rsidR="00BE0B19" w:rsidRPr="00AE47C6" w14:paraId="554A198C" w14:textId="77777777" w:rsidTr="00AD72E5">
        <w:tc>
          <w:tcPr>
            <w:tcW w:w="1980" w:type="dxa"/>
          </w:tcPr>
          <w:p w14:paraId="033D9BAE"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Rufinamide*</w:t>
            </w:r>
          </w:p>
        </w:tc>
        <w:tc>
          <w:tcPr>
            <w:tcW w:w="1291" w:type="dxa"/>
          </w:tcPr>
          <w:p w14:paraId="6D8A0400"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Над 4 г.- 10</w:t>
            </w:r>
            <w:r w:rsidRPr="00AE47C6">
              <w:rPr>
                <w:rFonts w:ascii="Times New Roman" w:eastAsia="Arial Unicode MS" w:hAnsi="Times New Roman"/>
                <w:sz w:val="24"/>
                <w:szCs w:val="24"/>
              </w:rPr>
              <w:t> </w:t>
            </w:r>
          </w:p>
        </w:tc>
        <w:tc>
          <w:tcPr>
            <w:tcW w:w="1424" w:type="dxa"/>
            <w:gridSpan w:val="2"/>
          </w:tcPr>
          <w:p w14:paraId="62C87121"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45 </w:t>
            </w:r>
          </w:p>
        </w:tc>
        <w:tc>
          <w:tcPr>
            <w:tcW w:w="1317" w:type="dxa"/>
          </w:tcPr>
          <w:p w14:paraId="3EA8FCF1"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400 </w:t>
            </w:r>
          </w:p>
        </w:tc>
        <w:tc>
          <w:tcPr>
            <w:tcW w:w="1456" w:type="dxa"/>
          </w:tcPr>
          <w:p w14:paraId="73FC9059"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2400</w:t>
            </w:r>
          </w:p>
        </w:tc>
        <w:tc>
          <w:tcPr>
            <w:tcW w:w="1604" w:type="dxa"/>
          </w:tcPr>
          <w:p w14:paraId="3B3AAEA1"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3200</w:t>
            </w:r>
          </w:p>
        </w:tc>
      </w:tr>
      <w:tr w:rsidR="00BE0B19" w:rsidRPr="00AE47C6" w14:paraId="659828D4" w14:textId="77777777" w:rsidTr="00AD72E5">
        <w:tc>
          <w:tcPr>
            <w:tcW w:w="1980" w:type="dxa"/>
          </w:tcPr>
          <w:p w14:paraId="16C2FF81"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Brivaracetam</w:t>
            </w:r>
          </w:p>
        </w:tc>
        <w:tc>
          <w:tcPr>
            <w:tcW w:w="1291" w:type="dxa"/>
          </w:tcPr>
          <w:p w14:paraId="51D0C411"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-Деца ≥ 2 г. и юноши</w:t>
            </w:r>
          </w:p>
          <w:p w14:paraId="50FE8F99"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≥50 kg  в доза 1 mg/kg</w:t>
            </w:r>
          </w:p>
          <w:p w14:paraId="50D7CF1A" w14:textId="77777777" w:rsidR="00BE0B19" w:rsidRPr="00AE47C6" w:rsidRDefault="00BE0B19" w:rsidP="00BE0B19">
            <w:pPr>
              <w:spacing w:line="360" w:lineRule="auto"/>
              <w:rPr>
                <w:rFonts w:ascii="Times New Roman" w:eastAsia="SimSun" w:hAnsi="Times New Roman"/>
                <w:sz w:val="24"/>
                <w:szCs w:val="24"/>
              </w:rPr>
            </w:pPr>
          </w:p>
          <w:p w14:paraId="0230EF37"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-Над 16 г.</w:t>
            </w:r>
          </w:p>
          <w:p w14:paraId="2A55D17F"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50 - 100, разделена на две равни дози</w:t>
            </w:r>
          </w:p>
        </w:tc>
        <w:tc>
          <w:tcPr>
            <w:tcW w:w="1424" w:type="dxa"/>
            <w:gridSpan w:val="2"/>
          </w:tcPr>
          <w:p w14:paraId="3952B7AD"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 Деца ≥ 2 г. и юноши</w:t>
            </w:r>
          </w:p>
          <w:p w14:paraId="355D3DB7"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≥50 kg  в доза 2 mg/kg - 50-200 според на индивидуалния отговор и поносимост</w:t>
            </w:r>
          </w:p>
        </w:tc>
        <w:tc>
          <w:tcPr>
            <w:tcW w:w="1317" w:type="dxa"/>
          </w:tcPr>
          <w:p w14:paraId="55157576"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50 - 100, разделена на две равни дози</w:t>
            </w:r>
          </w:p>
        </w:tc>
        <w:tc>
          <w:tcPr>
            <w:tcW w:w="1456" w:type="dxa"/>
          </w:tcPr>
          <w:p w14:paraId="334823DB"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 xml:space="preserve">50-200  според индивидуалния отговор и поносимост </w:t>
            </w:r>
          </w:p>
        </w:tc>
        <w:tc>
          <w:tcPr>
            <w:tcW w:w="1604" w:type="dxa"/>
          </w:tcPr>
          <w:p w14:paraId="7194694A"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200</w:t>
            </w:r>
          </w:p>
        </w:tc>
      </w:tr>
      <w:tr w:rsidR="00BE0B19" w:rsidRPr="00AE47C6" w14:paraId="73FDDD0E" w14:textId="77777777" w:rsidTr="00AD72E5">
        <w:tc>
          <w:tcPr>
            <w:tcW w:w="1980" w:type="dxa"/>
          </w:tcPr>
          <w:p w14:paraId="19632B0E"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Eslicarbazepine</w:t>
            </w:r>
          </w:p>
        </w:tc>
        <w:tc>
          <w:tcPr>
            <w:tcW w:w="1291" w:type="dxa"/>
          </w:tcPr>
          <w:p w14:paraId="0C7769FE"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Деца над 6 г.-10  mg/kg/дневно</w:t>
            </w:r>
          </w:p>
          <w:p w14:paraId="5C29E7B3"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Над 60  kg - 400  mg</w:t>
            </w:r>
          </w:p>
        </w:tc>
        <w:tc>
          <w:tcPr>
            <w:tcW w:w="1424" w:type="dxa"/>
            <w:gridSpan w:val="2"/>
          </w:tcPr>
          <w:p w14:paraId="4EAAA13B"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Деца над 6 г. -30  mg/kg</w:t>
            </w:r>
          </w:p>
        </w:tc>
        <w:tc>
          <w:tcPr>
            <w:tcW w:w="1317" w:type="dxa"/>
          </w:tcPr>
          <w:p w14:paraId="02F84129"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400  еднократно</w:t>
            </w:r>
          </w:p>
        </w:tc>
        <w:tc>
          <w:tcPr>
            <w:tcW w:w="1456" w:type="dxa"/>
          </w:tcPr>
          <w:p w14:paraId="08E86484"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800-1200 до 1600  mg еднократно</w:t>
            </w:r>
          </w:p>
        </w:tc>
        <w:tc>
          <w:tcPr>
            <w:tcW w:w="1604" w:type="dxa"/>
          </w:tcPr>
          <w:p w14:paraId="5664CC48"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1600</w:t>
            </w:r>
          </w:p>
        </w:tc>
      </w:tr>
      <w:tr w:rsidR="00BE0B19" w:rsidRPr="00AE47C6" w14:paraId="66EAE849" w14:textId="77777777" w:rsidTr="00AD72E5">
        <w:tc>
          <w:tcPr>
            <w:tcW w:w="1980" w:type="dxa"/>
          </w:tcPr>
          <w:p w14:paraId="6D165D1E"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Clobazam**</w:t>
            </w:r>
          </w:p>
          <w:p w14:paraId="0DFF2BA2" w14:textId="77777777" w:rsidR="00BE0B19" w:rsidRPr="00AE47C6" w:rsidRDefault="00BE0B19" w:rsidP="00BE0B19">
            <w:pPr>
              <w:spacing w:line="360" w:lineRule="auto"/>
              <w:rPr>
                <w:rFonts w:ascii="Times New Roman" w:eastAsia="SimSun" w:hAnsi="Times New Roman"/>
                <w:b/>
                <w:bCs/>
                <w:sz w:val="24"/>
                <w:szCs w:val="24"/>
              </w:rPr>
            </w:pPr>
          </w:p>
        </w:tc>
        <w:tc>
          <w:tcPr>
            <w:tcW w:w="1291" w:type="dxa"/>
          </w:tcPr>
          <w:p w14:paraId="11399057" w14:textId="77777777" w:rsidR="00BE0B19" w:rsidRPr="00AE47C6" w:rsidRDefault="00BE0B19" w:rsidP="00BE0B19">
            <w:pPr>
              <w:spacing w:line="360" w:lineRule="auto"/>
              <w:rPr>
                <w:rFonts w:ascii="Times New Roman" w:eastAsia="SimSun" w:hAnsi="Times New Roman"/>
                <w:bCs/>
                <w:sz w:val="24"/>
                <w:szCs w:val="24"/>
              </w:rPr>
            </w:pPr>
            <w:r w:rsidRPr="00AE47C6">
              <w:rPr>
                <w:rFonts w:ascii="Times New Roman" w:eastAsia="SimSun" w:hAnsi="Times New Roman"/>
                <w:sz w:val="24"/>
                <w:szCs w:val="24"/>
              </w:rPr>
              <w:t>Над 2 г.-</w:t>
            </w:r>
            <w:r w:rsidRPr="00AE47C6">
              <w:rPr>
                <w:rFonts w:ascii="Times New Roman" w:eastAsia="SimSun" w:hAnsi="Times New Roman"/>
                <w:bCs/>
                <w:sz w:val="24"/>
                <w:szCs w:val="24"/>
              </w:rPr>
              <w:t>0,4-1 mg/kg</w:t>
            </w:r>
          </w:p>
          <w:p w14:paraId="68630CB4" w14:textId="77777777" w:rsidR="00BE0B19" w:rsidRPr="00AE47C6" w:rsidRDefault="00BE0B19" w:rsidP="00BE0B19">
            <w:pPr>
              <w:autoSpaceDE w:val="0"/>
              <w:autoSpaceDN w:val="0"/>
              <w:adjustRightInd w:val="0"/>
              <w:jc w:val="both"/>
              <w:rPr>
                <w:rFonts w:ascii="Times New Roman" w:eastAsia="SimSun" w:hAnsi="Times New Roman"/>
                <w:sz w:val="24"/>
                <w:szCs w:val="24"/>
              </w:rPr>
            </w:pPr>
          </w:p>
        </w:tc>
        <w:tc>
          <w:tcPr>
            <w:tcW w:w="1424" w:type="dxa"/>
            <w:gridSpan w:val="2"/>
          </w:tcPr>
          <w:p w14:paraId="3AEB50F3" w14:textId="77777777" w:rsidR="00BE0B19" w:rsidRPr="00AE47C6" w:rsidRDefault="00BE0B19" w:rsidP="00BE0B19">
            <w:pPr>
              <w:spacing w:line="360" w:lineRule="auto"/>
              <w:rPr>
                <w:rFonts w:ascii="Times New Roman" w:eastAsia="SimSun" w:hAnsi="Times New Roman"/>
                <w:bCs/>
                <w:sz w:val="24"/>
                <w:szCs w:val="24"/>
              </w:rPr>
            </w:pPr>
            <w:r w:rsidRPr="00AE47C6">
              <w:rPr>
                <w:rFonts w:ascii="Times New Roman" w:eastAsia="SimSun" w:hAnsi="Times New Roman"/>
                <w:bCs/>
                <w:sz w:val="24"/>
                <w:szCs w:val="24"/>
              </w:rPr>
              <w:t>Титриране до 1 mg/kg през 7 дни;</w:t>
            </w:r>
          </w:p>
          <w:p w14:paraId="708D41E8"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 xml:space="preserve"> Под 30 </w:t>
            </w:r>
            <w:r w:rsidRPr="00AE47C6">
              <w:rPr>
                <w:rFonts w:ascii="Times New Roman" w:eastAsia="SimSun" w:hAnsi="Times New Roman"/>
                <w:bCs/>
                <w:sz w:val="24"/>
                <w:szCs w:val="24"/>
              </w:rPr>
              <w:t xml:space="preserve"> kg</w:t>
            </w:r>
            <w:r w:rsidRPr="00AE47C6">
              <w:rPr>
                <w:rFonts w:ascii="Times New Roman" w:eastAsia="SimSun" w:hAnsi="Times New Roman"/>
                <w:sz w:val="24"/>
                <w:szCs w:val="24"/>
              </w:rPr>
              <w:t xml:space="preserve"> - 20 mg; Над 30  kg - до 40 mg</w:t>
            </w:r>
          </w:p>
        </w:tc>
        <w:tc>
          <w:tcPr>
            <w:tcW w:w="1317" w:type="dxa"/>
          </w:tcPr>
          <w:p w14:paraId="762653FE"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5 mg</w:t>
            </w:r>
          </w:p>
        </w:tc>
        <w:tc>
          <w:tcPr>
            <w:tcW w:w="1456" w:type="dxa"/>
          </w:tcPr>
          <w:p w14:paraId="37713B13"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До 40 mg</w:t>
            </w:r>
          </w:p>
        </w:tc>
        <w:tc>
          <w:tcPr>
            <w:tcW w:w="1604" w:type="dxa"/>
          </w:tcPr>
          <w:p w14:paraId="0DF40EDD"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color w:val="242424"/>
                <w:sz w:val="24"/>
                <w:szCs w:val="24"/>
                <w:shd w:val="clear" w:color="auto" w:fill="FFFFFF"/>
              </w:rPr>
              <w:t>40 mg </w:t>
            </w:r>
          </w:p>
        </w:tc>
      </w:tr>
      <w:tr w:rsidR="00BE0B19" w:rsidRPr="00AE47C6" w14:paraId="26CD991A" w14:textId="77777777" w:rsidTr="00AD72E5">
        <w:tc>
          <w:tcPr>
            <w:tcW w:w="1980" w:type="dxa"/>
          </w:tcPr>
          <w:p w14:paraId="5CDE149B"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Zonisamide**</w:t>
            </w:r>
          </w:p>
          <w:p w14:paraId="4EC96137" w14:textId="77777777" w:rsidR="00BE0B19" w:rsidRPr="00AE47C6" w:rsidRDefault="00BE0B19" w:rsidP="00BE0B19">
            <w:pPr>
              <w:spacing w:line="360" w:lineRule="auto"/>
              <w:rPr>
                <w:rFonts w:ascii="Times New Roman" w:eastAsia="SimSun" w:hAnsi="Times New Roman"/>
                <w:b/>
                <w:bCs/>
                <w:sz w:val="24"/>
                <w:szCs w:val="24"/>
              </w:rPr>
            </w:pPr>
          </w:p>
        </w:tc>
        <w:tc>
          <w:tcPr>
            <w:tcW w:w="1291" w:type="dxa"/>
          </w:tcPr>
          <w:p w14:paraId="1EA34BD5" w14:textId="77777777" w:rsidR="00BE0B19" w:rsidRPr="00AE47C6" w:rsidRDefault="00BE0B19" w:rsidP="00BE0B19">
            <w:pPr>
              <w:spacing w:line="360" w:lineRule="auto"/>
              <w:rPr>
                <w:rFonts w:ascii="Times New Roman" w:eastAsia="SimSun" w:hAnsi="Times New Roman"/>
                <w:bCs/>
                <w:sz w:val="24"/>
                <w:szCs w:val="24"/>
              </w:rPr>
            </w:pPr>
            <w:r w:rsidRPr="00AE47C6">
              <w:rPr>
                <w:rFonts w:ascii="Times New Roman" w:eastAsia="SimSun" w:hAnsi="Times New Roman"/>
                <w:bCs/>
                <w:sz w:val="24"/>
                <w:szCs w:val="24"/>
              </w:rPr>
              <w:t>≥ 6 г. и юноши</w:t>
            </w:r>
          </w:p>
          <w:p w14:paraId="79A0DD7A" w14:textId="77777777" w:rsidR="00BE0B19" w:rsidRPr="00AE47C6" w:rsidRDefault="00BE0B19" w:rsidP="00BE0B19">
            <w:pPr>
              <w:spacing w:line="360" w:lineRule="auto"/>
              <w:rPr>
                <w:rFonts w:ascii="Times New Roman" w:eastAsia="SimSun" w:hAnsi="Times New Roman"/>
                <w:bCs/>
                <w:sz w:val="24"/>
                <w:szCs w:val="24"/>
              </w:rPr>
            </w:pPr>
            <w:r w:rsidRPr="00AE47C6">
              <w:rPr>
                <w:rFonts w:ascii="Times New Roman" w:eastAsia="SimSun" w:hAnsi="Times New Roman"/>
                <w:bCs/>
                <w:sz w:val="24"/>
                <w:szCs w:val="24"/>
              </w:rPr>
              <w:t xml:space="preserve">≥50 kg- 1 mg/kg </w:t>
            </w:r>
          </w:p>
          <w:p w14:paraId="2B5D8CE1" w14:textId="77777777" w:rsidR="00BE0B19" w:rsidRPr="00AE47C6" w:rsidRDefault="00BE0B19" w:rsidP="00BE0B19">
            <w:pPr>
              <w:autoSpaceDE w:val="0"/>
              <w:autoSpaceDN w:val="0"/>
              <w:adjustRightInd w:val="0"/>
              <w:jc w:val="both"/>
              <w:rPr>
                <w:rFonts w:ascii="Times New Roman" w:eastAsia="SimSun" w:hAnsi="Times New Roman"/>
                <w:sz w:val="24"/>
                <w:szCs w:val="24"/>
              </w:rPr>
            </w:pPr>
          </w:p>
        </w:tc>
        <w:tc>
          <w:tcPr>
            <w:tcW w:w="1424" w:type="dxa"/>
            <w:gridSpan w:val="2"/>
          </w:tcPr>
          <w:p w14:paraId="3EF25B72"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bCs/>
                <w:sz w:val="24"/>
                <w:szCs w:val="24"/>
              </w:rPr>
              <w:t>Титриране  през 7 дни до</w:t>
            </w:r>
            <w:r w:rsidRPr="00AE47C6">
              <w:rPr>
                <w:rFonts w:ascii="Times New Roman" w:eastAsia="SimSun" w:hAnsi="Times New Roman"/>
                <w:b/>
                <w:bCs/>
                <w:sz w:val="24"/>
                <w:szCs w:val="24"/>
              </w:rPr>
              <w:t xml:space="preserve"> </w:t>
            </w:r>
            <w:r w:rsidRPr="00AE47C6">
              <w:rPr>
                <w:rFonts w:ascii="Times New Roman" w:eastAsia="SimSun" w:hAnsi="Times New Roman"/>
                <w:sz w:val="24"/>
                <w:szCs w:val="24"/>
                <w:shd w:val="clear" w:color="auto" w:fill="FFFFFF"/>
              </w:rPr>
              <w:t>4—8 mg/kg</w:t>
            </w:r>
          </w:p>
        </w:tc>
        <w:tc>
          <w:tcPr>
            <w:tcW w:w="1317" w:type="dxa"/>
          </w:tcPr>
          <w:p w14:paraId="72AAF7BB"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100 mg</w:t>
            </w:r>
          </w:p>
        </w:tc>
        <w:tc>
          <w:tcPr>
            <w:tcW w:w="1456" w:type="dxa"/>
          </w:tcPr>
          <w:p w14:paraId="23EEC08A"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300 mg</w:t>
            </w:r>
          </w:p>
        </w:tc>
        <w:tc>
          <w:tcPr>
            <w:tcW w:w="1604" w:type="dxa"/>
          </w:tcPr>
          <w:p w14:paraId="195D2E80"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600 mg</w:t>
            </w:r>
          </w:p>
        </w:tc>
      </w:tr>
      <w:tr w:rsidR="00BE0B19" w:rsidRPr="00AE47C6" w14:paraId="2CAB2578" w14:textId="77777777" w:rsidTr="00AD72E5">
        <w:tc>
          <w:tcPr>
            <w:tcW w:w="1980" w:type="dxa"/>
          </w:tcPr>
          <w:p w14:paraId="3877418E"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Cannabidiol*</w:t>
            </w:r>
          </w:p>
          <w:p w14:paraId="521AA686" w14:textId="77777777" w:rsidR="00BE0B19" w:rsidRPr="00AE47C6" w:rsidRDefault="00BE0B19" w:rsidP="00BE0B19">
            <w:pPr>
              <w:spacing w:line="360" w:lineRule="auto"/>
              <w:rPr>
                <w:rFonts w:ascii="Times New Roman" w:eastAsia="SimSun" w:hAnsi="Times New Roman"/>
                <w:b/>
                <w:bCs/>
                <w:sz w:val="24"/>
                <w:szCs w:val="24"/>
              </w:rPr>
            </w:pPr>
          </w:p>
        </w:tc>
        <w:tc>
          <w:tcPr>
            <w:tcW w:w="1291" w:type="dxa"/>
          </w:tcPr>
          <w:p w14:paraId="63733686" w14:textId="77777777" w:rsidR="00BE0B19" w:rsidRPr="00AE47C6" w:rsidRDefault="00BE0B19" w:rsidP="00BE0B19">
            <w:pPr>
              <w:spacing w:line="360" w:lineRule="auto"/>
              <w:rPr>
                <w:rFonts w:ascii="Times New Roman" w:eastAsia="SimSun" w:hAnsi="Times New Roman"/>
                <w:bCs/>
                <w:sz w:val="24"/>
                <w:szCs w:val="24"/>
              </w:rPr>
            </w:pPr>
            <w:r w:rsidRPr="00AE47C6">
              <w:rPr>
                <w:rFonts w:ascii="Times New Roman" w:eastAsia="SimSun" w:hAnsi="Times New Roman"/>
                <w:b/>
                <w:bCs/>
                <w:sz w:val="24"/>
                <w:szCs w:val="24"/>
              </w:rPr>
              <w:t xml:space="preserve">≥ </w:t>
            </w:r>
            <w:r w:rsidRPr="00AE47C6">
              <w:rPr>
                <w:rFonts w:ascii="Times New Roman" w:eastAsia="SimSun" w:hAnsi="Times New Roman"/>
                <w:bCs/>
                <w:sz w:val="24"/>
                <w:szCs w:val="24"/>
              </w:rPr>
              <w:t>2 г. -</w:t>
            </w:r>
            <w:r w:rsidRPr="00AE47C6">
              <w:rPr>
                <w:rFonts w:ascii="Times New Roman" w:eastAsia="SimSun" w:hAnsi="Times New Roman"/>
                <w:sz w:val="24"/>
                <w:szCs w:val="24"/>
              </w:rPr>
              <w:t>2,5 mg/kg двукратно (</w:t>
            </w:r>
            <w:r w:rsidRPr="00AE47C6">
              <w:rPr>
                <w:rFonts w:ascii="Times New Roman" w:eastAsia="SimSun" w:hAnsi="Times New Roman"/>
                <w:bCs/>
                <w:sz w:val="24"/>
                <w:szCs w:val="24"/>
              </w:rPr>
              <w:t>5 mg/kg/дневно), титриране през 7 дни  до 10-20 mg/kg</w:t>
            </w:r>
          </w:p>
          <w:p w14:paraId="55FF9655" w14:textId="77777777" w:rsidR="00BE0B19" w:rsidRPr="00AE47C6" w:rsidRDefault="00BE0B19" w:rsidP="00BE0B19">
            <w:pPr>
              <w:autoSpaceDE w:val="0"/>
              <w:autoSpaceDN w:val="0"/>
              <w:adjustRightInd w:val="0"/>
              <w:jc w:val="both"/>
              <w:rPr>
                <w:rFonts w:ascii="Times New Roman" w:eastAsia="SimSun" w:hAnsi="Times New Roman"/>
                <w:sz w:val="24"/>
                <w:szCs w:val="24"/>
              </w:rPr>
            </w:pPr>
          </w:p>
        </w:tc>
        <w:tc>
          <w:tcPr>
            <w:tcW w:w="1424" w:type="dxa"/>
            <w:gridSpan w:val="2"/>
          </w:tcPr>
          <w:p w14:paraId="49372B0C"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При LGS и Dravet  синдром -до 10 mg/kg/ден;</w:t>
            </w:r>
          </w:p>
          <w:p w14:paraId="647B41F9"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При TSC-10 mg/kg/ден</w:t>
            </w:r>
          </w:p>
        </w:tc>
        <w:tc>
          <w:tcPr>
            <w:tcW w:w="1317" w:type="dxa"/>
          </w:tcPr>
          <w:p w14:paraId="679EECC2" w14:textId="77777777" w:rsidR="00BE0B19" w:rsidRPr="00AE47C6" w:rsidRDefault="00BE0B19" w:rsidP="00BE0B19">
            <w:pPr>
              <w:spacing w:line="360" w:lineRule="auto"/>
              <w:rPr>
                <w:rFonts w:ascii="Times New Roman" w:eastAsia="SimSun" w:hAnsi="Times New Roman"/>
                <w:sz w:val="24"/>
                <w:szCs w:val="24"/>
              </w:rPr>
            </w:pPr>
          </w:p>
        </w:tc>
        <w:tc>
          <w:tcPr>
            <w:tcW w:w="1456" w:type="dxa"/>
          </w:tcPr>
          <w:p w14:paraId="56EDBF9E" w14:textId="77777777" w:rsidR="00BE0B19" w:rsidRPr="00AE47C6" w:rsidRDefault="00BE0B19" w:rsidP="00BE0B19">
            <w:pPr>
              <w:spacing w:line="360" w:lineRule="auto"/>
              <w:rPr>
                <w:rFonts w:ascii="Times New Roman" w:eastAsia="SimSun" w:hAnsi="Times New Roman"/>
                <w:sz w:val="24"/>
                <w:szCs w:val="24"/>
              </w:rPr>
            </w:pPr>
          </w:p>
        </w:tc>
        <w:tc>
          <w:tcPr>
            <w:tcW w:w="1604" w:type="dxa"/>
          </w:tcPr>
          <w:p w14:paraId="79DCF4E0"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При LGS  Dravet синдром - 20 mg/kg/ден; При TSC-25 mg/kg/ден</w:t>
            </w:r>
          </w:p>
        </w:tc>
      </w:tr>
      <w:tr w:rsidR="00BE0B19" w:rsidRPr="00AE47C6" w14:paraId="4D5A0414" w14:textId="77777777" w:rsidTr="00AD72E5">
        <w:trPr>
          <w:trHeight w:val="2115"/>
        </w:trPr>
        <w:tc>
          <w:tcPr>
            <w:tcW w:w="1980" w:type="dxa"/>
          </w:tcPr>
          <w:p w14:paraId="3CC93C3E"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 xml:space="preserve">Fenfluramine*- ≥ </w:t>
            </w:r>
            <w:r w:rsidRPr="00AE47C6">
              <w:rPr>
                <w:rFonts w:ascii="Times New Roman" w:eastAsia="SimSun" w:hAnsi="Times New Roman"/>
                <w:bCs/>
                <w:sz w:val="24"/>
                <w:szCs w:val="24"/>
              </w:rPr>
              <w:t>2 г.- 0,2 mg/kg- до 0,7 mg/kg максимално до 26 mg/дневно</w:t>
            </w:r>
          </w:p>
        </w:tc>
        <w:tc>
          <w:tcPr>
            <w:tcW w:w="1291" w:type="dxa"/>
          </w:tcPr>
          <w:p w14:paraId="0F18F396"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bCs/>
                <w:sz w:val="24"/>
                <w:szCs w:val="24"/>
              </w:rPr>
              <w:t>≥ 2 г.- 0,2 mg/kg- до 0,7 mg/kg максимално до 26 mg/kg</w:t>
            </w:r>
          </w:p>
        </w:tc>
        <w:tc>
          <w:tcPr>
            <w:tcW w:w="1424" w:type="dxa"/>
            <w:gridSpan w:val="2"/>
          </w:tcPr>
          <w:p w14:paraId="4B458BE5" w14:textId="77777777" w:rsidR="00BE0B19" w:rsidRPr="00AE47C6" w:rsidRDefault="00BE0B19" w:rsidP="00BE0B19">
            <w:pPr>
              <w:autoSpaceDE w:val="0"/>
              <w:autoSpaceDN w:val="0"/>
              <w:adjustRightInd w:val="0"/>
              <w:jc w:val="both"/>
              <w:rPr>
                <w:rFonts w:ascii="Times New Roman" w:eastAsia="SimSun" w:hAnsi="Times New Roman"/>
                <w:sz w:val="24"/>
                <w:szCs w:val="24"/>
              </w:rPr>
            </w:pPr>
            <w:r w:rsidRPr="00AE47C6">
              <w:rPr>
                <w:rFonts w:ascii="Times New Roman" w:eastAsia="SimSun" w:hAnsi="Times New Roman"/>
                <w:sz w:val="24"/>
                <w:szCs w:val="24"/>
              </w:rPr>
              <w:t xml:space="preserve">При Dravet  синдром </w:t>
            </w:r>
            <w:r w:rsidRPr="00AE47C6">
              <w:rPr>
                <w:rFonts w:ascii="Times New Roman" w:eastAsia="SimSun" w:hAnsi="Times New Roman"/>
                <w:bCs/>
                <w:sz w:val="24"/>
                <w:szCs w:val="24"/>
              </w:rPr>
              <w:t xml:space="preserve">до 0.4 mg/kg със Stiripentol 0,7 mg/kg без Stiripentol; при LGS -  </w:t>
            </w:r>
            <w:r w:rsidRPr="00AE47C6">
              <w:rPr>
                <w:rFonts w:ascii="Times New Roman" w:eastAsia="SimSun" w:hAnsi="Times New Roman"/>
                <w:sz w:val="24"/>
                <w:szCs w:val="24"/>
              </w:rPr>
              <w:t xml:space="preserve"> </w:t>
            </w:r>
            <w:r w:rsidRPr="00AE47C6">
              <w:rPr>
                <w:rFonts w:ascii="Times New Roman" w:eastAsia="SimSun" w:hAnsi="Times New Roman"/>
                <w:bCs/>
                <w:sz w:val="24"/>
                <w:szCs w:val="24"/>
              </w:rPr>
              <w:t>0,2 mg/kg- до 0,7 mg/kg</w:t>
            </w:r>
          </w:p>
        </w:tc>
        <w:tc>
          <w:tcPr>
            <w:tcW w:w="1317" w:type="dxa"/>
          </w:tcPr>
          <w:p w14:paraId="4614B831"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bCs/>
                <w:sz w:val="24"/>
                <w:szCs w:val="24"/>
              </w:rPr>
              <w:t>0,4 mg/kg</w:t>
            </w:r>
          </w:p>
        </w:tc>
        <w:tc>
          <w:tcPr>
            <w:tcW w:w="1456" w:type="dxa"/>
          </w:tcPr>
          <w:p w14:paraId="23EB0E23"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bCs/>
                <w:sz w:val="24"/>
                <w:szCs w:val="24"/>
              </w:rPr>
              <w:t>0,7 mg/kg,  максимално  до 26 mg/kg</w:t>
            </w:r>
          </w:p>
        </w:tc>
        <w:tc>
          <w:tcPr>
            <w:tcW w:w="1604" w:type="dxa"/>
          </w:tcPr>
          <w:p w14:paraId="0B8A227E"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bCs/>
                <w:sz w:val="24"/>
                <w:szCs w:val="24"/>
              </w:rPr>
              <w:t>26 mg/kg</w:t>
            </w:r>
          </w:p>
        </w:tc>
      </w:tr>
      <w:tr w:rsidR="00BE0B19" w:rsidRPr="00AE47C6" w14:paraId="5CC3F6AF" w14:textId="77777777" w:rsidTr="00AD72E5">
        <w:tc>
          <w:tcPr>
            <w:tcW w:w="1980" w:type="dxa"/>
          </w:tcPr>
          <w:p w14:paraId="115B57F9" w14:textId="77777777" w:rsidR="00BE0B19" w:rsidRPr="00AE47C6" w:rsidRDefault="00BE0B19" w:rsidP="00BE0B19">
            <w:pPr>
              <w:spacing w:line="360" w:lineRule="auto"/>
              <w:rPr>
                <w:rFonts w:ascii="Times New Roman" w:eastAsia="SimSun" w:hAnsi="Times New Roman"/>
                <w:b/>
                <w:bCs/>
                <w:sz w:val="24"/>
                <w:szCs w:val="24"/>
              </w:rPr>
            </w:pPr>
            <w:r w:rsidRPr="00AE47C6">
              <w:rPr>
                <w:rFonts w:ascii="Times New Roman" w:eastAsia="SimSun" w:hAnsi="Times New Roman"/>
                <w:b/>
                <w:bCs/>
                <w:sz w:val="24"/>
                <w:szCs w:val="24"/>
              </w:rPr>
              <w:t>Сenobamate**</w:t>
            </w:r>
          </w:p>
        </w:tc>
        <w:tc>
          <w:tcPr>
            <w:tcW w:w="1291" w:type="dxa"/>
          </w:tcPr>
          <w:p w14:paraId="784AA3BA" w14:textId="77777777" w:rsidR="00BE0B19" w:rsidRPr="00AE47C6" w:rsidRDefault="00BE0B19" w:rsidP="00BE0B19">
            <w:pPr>
              <w:autoSpaceDE w:val="0"/>
              <w:autoSpaceDN w:val="0"/>
              <w:adjustRightInd w:val="0"/>
              <w:jc w:val="both"/>
              <w:rPr>
                <w:rFonts w:ascii="Times New Roman" w:eastAsia="SimSun" w:hAnsi="Times New Roman"/>
                <w:b/>
                <w:bCs/>
                <w:sz w:val="24"/>
                <w:szCs w:val="24"/>
              </w:rPr>
            </w:pPr>
            <w:r w:rsidRPr="00AE47C6">
              <w:rPr>
                <w:rFonts w:ascii="Times New Roman" w:eastAsia="SimSun" w:hAnsi="Times New Roman"/>
                <w:b/>
                <w:bCs/>
                <w:sz w:val="24"/>
                <w:szCs w:val="24"/>
              </w:rPr>
              <w:t>-</w:t>
            </w:r>
          </w:p>
        </w:tc>
        <w:tc>
          <w:tcPr>
            <w:tcW w:w="1424" w:type="dxa"/>
            <w:gridSpan w:val="2"/>
          </w:tcPr>
          <w:p w14:paraId="62780038" w14:textId="77777777" w:rsidR="00BE0B19" w:rsidRPr="00AE47C6" w:rsidRDefault="00BE0B19" w:rsidP="00BE0B19">
            <w:pPr>
              <w:autoSpaceDE w:val="0"/>
              <w:autoSpaceDN w:val="0"/>
              <w:adjustRightInd w:val="0"/>
              <w:jc w:val="both"/>
              <w:rPr>
                <w:rFonts w:ascii="Times New Roman" w:eastAsia="SimSun" w:hAnsi="Times New Roman"/>
                <w:b/>
                <w:bCs/>
                <w:sz w:val="24"/>
                <w:szCs w:val="24"/>
              </w:rPr>
            </w:pPr>
            <w:r w:rsidRPr="00AE47C6">
              <w:rPr>
                <w:rFonts w:ascii="Times New Roman" w:eastAsia="SimSun" w:hAnsi="Times New Roman"/>
                <w:b/>
                <w:bCs/>
                <w:sz w:val="24"/>
                <w:szCs w:val="24"/>
              </w:rPr>
              <w:t>-</w:t>
            </w:r>
          </w:p>
        </w:tc>
        <w:tc>
          <w:tcPr>
            <w:tcW w:w="1317" w:type="dxa"/>
          </w:tcPr>
          <w:p w14:paraId="30AD42AE"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12,5 mg еднократно</w:t>
            </w:r>
          </w:p>
        </w:tc>
        <w:tc>
          <w:tcPr>
            <w:tcW w:w="1456" w:type="dxa"/>
          </w:tcPr>
          <w:p w14:paraId="01E3DAFE" w14:textId="77777777" w:rsidR="00BE0B19" w:rsidRPr="00AE47C6" w:rsidRDefault="00BE0B19" w:rsidP="00BE0B19">
            <w:pPr>
              <w:spacing w:line="360" w:lineRule="auto"/>
              <w:rPr>
                <w:rFonts w:ascii="Times New Roman" w:eastAsia="SimSun" w:hAnsi="Times New Roman"/>
                <w:sz w:val="24"/>
                <w:szCs w:val="24"/>
              </w:rPr>
            </w:pPr>
            <w:r w:rsidRPr="00AE47C6">
              <w:rPr>
                <w:rFonts w:ascii="Times New Roman" w:eastAsia="SimSun" w:hAnsi="Times New Roman"/>
                <w:sz w:val="24"/>
                <w:szCs w:val="24"/>
              </w:rPr>
              <w:t>Титриране през 14 дни- 25 mg, 50 mg, 100 mg, 150 mg до 200 mg</w:t>
            </w:r>
          </w:p>
        </w:tc>
        <w:tc>
          <w:tcPr>
            <w:tcW w:w="1604" w:type="dxa"/>
          </w:tcPr>
          <w:p w14:paraId="1D54E438" w14:textId="77777777" w:rsidR="00BE0B19" w:rsidRPr="00AE47C6" w:rsidRDefault="00BE0B19" w:rsidP="00BE0B19">
            <w:pPr>
              <w:spacing w:line="360" w:lineRule="auto"/>
              <w:rPr>
                <w:rFonts w:ascii="Times New Roman" w:eastAsia="SimSun" w:hAnsi="Times New Roman"/>
                <w:bCs/>
                <w:sz w:val="24"/>
                <w:szCs w:val="24"/>
              </w:rPr>
            </w:pPr>
            <w:r w:rsidRPr="00AE47C6">
              <w:rPr>
                <w:rFonts w:ascii="Times New Roman" w:eastAsia="SimSun" w:hAnsi="Times New Roman"/>
                <w:bCs/>
                <w:sz w:val="24"/>
                <w:szCs w:val="24"/>
              </w:rPr>
              <w:t>400 mg</w:t>
            </w:r>
          </w:p>
        </w:tc>
      </w:tr>
    </w:tbl>
    <w:p w14:paraId="64DB8D36"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lang w:eastAsia="bg-BG"/>
        </w:rPr>
      </w:pPr>
      <w:r w:rsidRPr="00AE47C6">
        <w:rPr>
          <w:rFonts w:ascii="Times New Roman" w:eastAsia="SimSun" w:hAnsi="Times New Roman"/>
          <w:b/>
          <w:sz w:val="24"/>
          <w:szCs w:val="24"/>
          <w:u w:val="single"/>
          <w:lang w:eastAsia="bg-BG"/>
        </w:rPr>
        <w:t xml:space="preserve">* По Член 266, ал. 2 от ЗЛПХМ </w:t>
      </w:r>
      <w:r w:rsidRPr="00AE47C6">
        <w:rPr>
          <w:rFonts w:ascii="Times New Roman" w:eastAsia="SimSun" w:hAnsi="Times New Roman"/>
          <w:b/>
          <w:sz w:val="24"/>
          <w:szCs w:val="24"/>
          <w:lang w:eastAsia="bg-BG"/>
        </w:rPr>
        <w:t xml:space="preserve">и чл. 16, ал. 4 от Hapeдбa № l0 от 2011 г. за условията и реда за лечение с Hepaзрешени за употреба в Република България лекарствени продукти:  </w:t>
      </w:r>
    </w:p>
    <w:p w14:paraId="55C53133"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lang w:eastAsia="bg-BG"/>
        </w:rPr>
      </w:pPr>
      <w:r w:rsidRPr="00AE47C6">
        <w:rPr>
          <w:rFonts w:ascii="Times New Roman" w:eastAsia="SimSun" w:hAnsi="Times New Roman"/>
          <w:b/>
          <w:bCs/>
          <w:sz w:val="24"/>
          <w:szCs w:val="24"/>
          <w:lang w:eastAsia="bg-BG"/>
        </w:rPr>
        <w:t xml:space="preserve">* </w:t>
      </w:r>
      <w:r w:rsidRPr="00AE47C6">
        <w:rPr>
          <w:rFonts w:ascii="Times New Roman" w:eastAsia="SimSun" w:hAnsi="Times New Roman"/>
          <w:b/>
          <w:bCs/>
          <w:i/>
          <w:sz w:val="24"/>
          <w:szCs w:val="24"/>
          <w:lang w:eastAsia="bg-BG"/>
        </w:rPr>
        <w:t xml:space="preserve">Rufinamide </w:t>
      </w:r>
      <w:r w:rsidRPr="00AE47C6">
        <w:rPr>
          <w:rFonts w:ascii="Times New Roman" w:eastAsia="SimSun" w:hAnsi="Times New Roman"/>
          <w:sz w:val="24"/>
          <w:szCs w:val="24"/>
          <w:lang w:eastAsia="bg-BG"/>
        </w:rPr>
        <w:t>за лечение на синдром на Lennox-Gastaut</w:t>
      </w:r>
      <w:r w:rsidRPr="00AE47C6">
        <w:rPr>
          <w:rFonts w:ascii="Times New Roman" w:eastAsia="SimSun" w:hAnsi="Times New Roman"/>
          <w:b/>
          <w:sz w:val="24"/>
          <w:szCs w:val="24"/>
          <w:lang w:eastAsia="bg-BG"/>
        </w:rPr>
        <w:t xml:space="preserve"> </w:t>
      </w:r>
    </w:p>
    <w:p w14:paraId="08FD508A"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lang w:eastAsia="bg-BG"/>
        </w:rPr>
      </w:pPr>
      <w:r w:rsidRPr="00AE47C6">
        <w:rPr>
          <w:rFonts w:ascii="Times New Roman" w:eastAsia="SimSun" w:hAnsi="Times New Roman"/>
          <w:b/>
          <w:sz w:val="24"/>
          <w:szCs w:val="24"/>
          <w:lang w:eastAsia="bg-BG"/>
        </w:rPr>
        <w:t xml:space="preserve">* </w:t>
      </w:r>
      <w:r w:rsidRPr="00AE47C6">
        <w:rPr>
          <w:rFonts w:ascii="Times New Roman" w:eastAsia="SimSun" w:hAnsi="Times New Roman"/>
          <w:b/>
          <w:i/>
          <w:sz w:val="24"/>
          <w:szCs w:val="24"/>
          <w:lang w:eastAsia="bg-BG"/>
        </w:rPr>
        <w:t>Stiripentol</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за лечение на синдром на Dravet</w:t>
      </w:r>
      <w:r w:rsidRPr="00AE47C6">
        <w:rPr>
          <w:rFonts w:ascii="Times New Roman" w:eastAsia="SimSun" w:hAnsi="Times New Roman"/>
          <w:b/>
          <w:sz w:val="24"/>
          <w:szCs w:val="24"/>
          <w:lang w:eastAsia="bg-BG"/>
        </w:rPr>
        <w:t xml:space="preserve"> </w:t>
      </w:r>
    </w:p>
    <w:p w14:paraId="79077DE5" w14:textId="77777777" w:rsidR="00BE0B19" w:rsidRPr="00AE47C6" w:rsidRDefault="00BE0B19" w:rsidP="00BE0B19">
      <w:pPr>
        <w:tabs>
          <w:tab w:val="left" w:pos="720"/>
        </w:tabs>
        <w:suppressAutoHyphens/>
        <w:spacing w:after="0"/>
        <w:ind w:left="357" w:firstLine="851"/>
        <w:jc w:val="both"/>
        <w:rPr>
          <w:rFonts w:ascii="Times New Roman" w:eastAsia="SimSun" w:hAnsi="Times New Roman"/>
          <w:b/>
          <w:bCs/>
          <w:sz w:val="24"/>
          <w:szCs w:val="24"/>
          <w:lang w:eastAsia="bg-BG"/>
        </w:rPr>
      </w:pPr>
      <w:r w:rsidRPr="00AE47C6">
        <w:rPr>
          <w:rFonts w:ascii="Times New Roman" w:eastAsia="SimSun" w:hAnsi="Times New Roman"/>
          <w:b/>
          <w:sz w:val="24"/>
          <w:szCs w:val="24"/>
          <w:lang w:eastAsia="bg-BG"/>
        </w:rPr>
        <w:t xml:space="preserve">* </w:t>
      </w:r>
      <w:r w:rsidRPr="00AE47C6">
        <w:rPr>
          <w:rFonts w:ascii="Times New Roman" w:eastAsia="SimSun" w:hAnsi="Times New Roman"/>
          <w:b/>
          <w:i/>
          <w:sz w:val="24"/>
          <w:szCs w:val="24"/>
          <w:lang w:eastAsia="bg-BG"/>
        </w:rPr>
        <w:t>Cannabidiol</w:t>
      </w:r>
      <w:r w:rsidRPr="00AE47C6">
        <w:rPr>
          <w:rFonts w:ascii="Times New Roman" w:eastAsia="SimSun" w:hAnsi="Times New Roman"/>
          <w:b/>
          <w:sz w:val="24"/>
          <w:szCs w:val="24"/>
          <w:lang w:eastAsia="bg-BG"/>
        </w:rPr>
        <w:t xml:space="preserve"> в комбинация с </w:t>
      </w:r>
      <w:r w:rsidRPr="00AE47C6">
        <w:rPr>
          <w:rFonts w:ascii="Times New Roman" w:eastAsia="SimSun" w:hAnsi="Times New Roman"/>
          <w:b/>
          <w:i/>
          <w:sz w:val="24"/>
          <w:szCs w:val="24"/>
          <w:lang w:eastAsia="bg-BG"/>
        </w:rPr>
        <w:t>Clobazam**</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при синдром на Dravet и синдром на Lennox-Gastaut при пациенти </w:t>
      </w:r>
      <w:r w:rsidRPr="00AE47C6">
        <w:rPr>
          <w:rFonts w:ascii="Times New Roman" w:eastAsia="SimSun" w:hAnsi="Times New Roman"/>
          <w:bCs/>
          <w:sz w:val="24"/>
          <w:szCs w:val="24"/>
          <w:lang w:eastAsia="bg-BG"/>
        </w:rPr>
        <w:t>≥ 2 години</w:t>
      </w:r>
      <w:r w:rsidRPr="00AE47C6">
        <w:rPr>
          <w:rFonts w:ascii="Times New Roman" w:eastAsia="SimSun" w:hAnsi="Times New Roman"/>
          <w:sz w:val="24"/>
          <w:szCs w:val="24"/>
          <w:lang w:eastAsia="bg-BG"/>
        </w:rPr>
        <w:t>;</w:t>
      </w:r>
      <w:r w:rsidRPr="00AE47C6">
        <w:rPr>
          <w:rFonts w:ascii="Times New Roman" w:eastAsia="SimSun" w:hAnsi="Times New Roman"/>
          <w:bCs/>
          <w:sz w:val="24"/>
          <w:szCs w:val="24"/>
          <w:lang w:eastAsia="bg-BG"/>
        </w:rPr>
        <w:t xml:space="preserve"> </w:t>
      </w:r>
      <w:r w:rsidRPr="00AE47C6">
        <w:rPr>
          <w:rFonts w:ascii="Times New Roman" w:eastAsia="SimSun" w:hAnsi="Times New Roman"/>
          <w:b/>
          <w:i/>
          <w:sz w:val="24"/>
          <w:szCs w:val="24"/>
          <w:lang w:eastAsia="bg-BG"/>
        </w:rPr>
        <w:t>* Cannabidiol</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при лечение на пристъпи, свързани с туберозна склероза комплекс (TSC) при пациенти </w:t>
      </w:r>
      <w:r w:rsidRPr="00AE47C6">
        <w:rPr>
          <w:rFonts w:ascii="Times New Roman" w:eastAsia="SimSun" w:hAnsi="Times New Roman"/>
          <w:bCs/>
          <w:sz w:val="24"/>
          <w:szCs w:val="24"/>
          <w:lang w:eastAsia="bg-BG"/>
        </w:rPr>
        <w:t>≥ 2 години</w:t>
      </w:r>
      <w:r w:rsidRPr="00AE47C6">
        <w:rPr>
          <w:rFonts w:ascii="Times New Roman" w:eastAsia="SimSun" w:hAnsi="Times New Roman"/>
          <w:b/>
          <w:bCs/>
          <w:sz w:val="24"/>
          <w:szCs w:val="24"/>
          <w:lang w:eastAsia="bg-BG"/>
        </w:rPr>
        <w:t xml:space="preserve"> </w:t>
      </w:r>
    </w:p>
    <w:p w14:paraId="2F75AA23" w14:textId="77777777" w:rsidR="00BE0B19" w:rsidRPr="00AE47C6" w:rsidRDefault="00BE0B19" w:rsidP="00BE0B19">
      <w:pPr>
        <w:tabs>
          <w:tab w:val="left" w:pos="720"/>
        </w:tabs>
        <w:suppressAutoHyphens/>
        <w:spacing w:after="0"/>
        <w:ind w:left="357" w:firstLine="851"/>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w:t>
      </w:r>
      <w:r w:rsidRPr="00AE47C6">
        <w:rPr>
          <w:rFonts w:ascii="Times New Roman" w:eastAsia="SimSun" w:hAnsi="Times New Roman"/>
          <w:b/>
          <w:bCs/>
          <w:i/>
          <w:sz w:val="24"/>
          <w:szCs w:val="24"/>
          <w:lang w:eastAsia="bg-BG"/>
        </w:rPr>
        <w:t>Fenfluramine</w:t>
      </w:r>
      <w:r w:rsidRPr="00AE47C6">
        <w:rPr>
          <w:rFonts w:ascii="Times New Roman" w:eastAsia="SimSun" w:hAnsi="Times New Roman"/>
          <w:b/>
          <w:bCs/>
          <w:sz w:val="24"/>
          <w:szCs w:val="24"/>
          <w:lang w:eastAsia="bg-BG"/>
        </w:rPr>
        <w:t xml:space="preserve">- </w:t>
      </w:r>
      <w:r w:rsidRPr="00AE47C6">
        <w:rPr>
          <w:rFonts w:ascii="Times New Roman" w:eastAsia="SimSun" w:hAnsi="Times New Roman"/>
          <w:sz w:val="24"/>
          <w:szCs w:val="24"/>
          <w:lang w:eastAsia="bg-BG"/>
        </w:rPr>
        <w:t>при синдром на Dravet</w:t>
      </w:r>
      <w:r w:rsidRPr="00AE47C6">
        <w:rPr>
          <w:rFonts w:ascii="Times New Roman" w:eastAsia="SimSun" w:hAnsi="Times New Roman"/>
          <w:bCs/>
          <w:sz w:val="24"/>
          <w:szCs w:val="24"/>
          <w:lang w:eastAsia="bg-BG"/>
        </w:rPr>
        <w:t xml:space="preserve"> и синдром на Lennox-Gastaut </w:t>
      </w:r>
      <w:r w:rsidRPr="00AE47C6">
        <w:rPr>
          <w:rFonts w:ascii="Times New Roman" w:eastAsia="SimSun" w:hAnsi="Times New Roman"/>
          <w:sz w:val="24"/>
          <w:szCs w:val="24"/>
          <w:lang w:eastAsia="bg-BG"/>
        </w:rPr>
        <w:t xml:space="preserve">при пациенти </w:t>
      </w:r>
      <w:r w:rsidRPr="00AE47C6">
        <w:rPr>
          <w:rFonts w:ascii="Times New Roman" w:eastAsia="SimSun" w:hAnsi="Times New Roman"/>
          <w:bCs/>
          <w:sz w:val="24"/>
          <w:szCs w:val="24"/>
          <w:lang w:eastAsia="bg-BG"/>
        </w:rPr>
        <w:t>≥ 2 години</w:t>
      </w:r>
    </w:p>
    <w:p w14:paraId="500CC293" w14:textId="77777777" w:rsidR="00BE0B19" w:rsidRPr="00AE47C6" w:rsidRDefault="00BE0B19" w:rsidP="00BE0B19">
      <w:pPr>
        <w:tabs>
          <w:tab w:val="left" w:pos="720"/>
        </w:tabs>
        <w:suppressAutoHyphens/>
        <w:spacing w:after="0" w:line="360" w:lineRule="auto"/>
        <w:ind w:left="360" w:firstLine="851"/>
        <w:jc w:val="both"/>
        <w:rPr>
          <w:rFonts w:ascii="Times New Roman" w:eastAsia="SimSun" w:hAnsi="Times New Roman"/>
          <w:b/>
          <w:sz w:val="24"/>
          <w:szCs w:val="24"/>
          <w:u w:val="single"/>
          <w:lang w:eastAsia="bg-BG"/>
        </w:rPr>
      </w:pPr>
      <w:r w:rsidRPr="00AE47C6">
        <w:rPr>
          <w:rFonts w:ascii="Times New Roman" w:eastAsia="SimSun" w:hAnsi="Times New Roman"/>
          <w:b/>
          <w:sz w:val="24"/>
          <w:szCs w:val="24"/>
          <w:u w:val="single"/>
          <w:lang w:eastAsia="bg-BG"/>
        </w:rPr>
        <w:t>**Регистрирани от ЕМА:</w:t>
      </w:r>
    </w:p>
    <w:p w14:paraId="149174A5" w14:textId="77777777" w:rsidR="00BE0B19" w:rsidRPr="00AE47C6" w:rsidRDefault="00BE0B19" w:rsidP="00BE0B19">
      <w:pPr>
        <w:tabs>
          <w:tab w:val="left" w:pos="720"/>
        </w:tabs>
        <w:suppressAutoHyphens/>
        <w:spacing w:after="0" w:line="360" w:lineRule="auto"/>
        <w:ind w:left="360" w:firstLine="851"/>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Clobazam**</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за лечение на абсанси, ГТКП, миоклонии, синдром на Dravet и синдром на Lennox- Gastaut; </w:t>
      </w:r>
      <w:r w:rsidRPr="00AE47C6">
        <w:rPr>
          <w:rFonts w:ascii="Times New Roman" w:eastAsia="SimSun" w:hAnsi="Times New Roman"/>
          <w:b/>
          <w:bCs/>
          <w:sz w:val="24"/>
          <w:szCs w:val="24"/>
          <w:lang w:eastAsia="bg-BG"/>
        </w:rPr>
        <w:t>Nitrazepam**</w:t>
      </w:r>
      <w:r w:rsidRPr="00AE47C6">
        <w:rPr>
          <w:rFonts w:ascii="Times New Roman" w:eastAsia="SimSun" w:hAnsi="Times New Roman"/>
          <w:sz w:val="24"/>
          <w:szCs w:val="24"/>
          <w:lang w:eastAsia="bg-BG"/>
        </w:rPr>
        <w:t xml:space="preserve"> за лечение на синдром на West; </w:t>
      </w:r>
      <w:r w:rsidRPr="00AE47C6">
        <w:rPr>
          <w:rFonts w:ascii="Times New Roman" w:eastAsia="SimSun" w:hAnsi="Times New Roman"/>
          <w:b/>
          <w:bCs/>
          <w:sz w:val="24"/>
          <w:szCs w:val="24"/>
          <w:lang w:eastAsia="bg-BG"/>
        </w:rPr>
        <w:t>Sulthiam**</w:t>
      </w:r>
      <w:r w:rsidRPr="00AE47C6">
        <w:rPr>
          <w:rFonts w:ascii="Times New Roman" w:eastAsia="SimSun" w:hAnsi="Times New Roman"/>
          <w:sz w:val="24"/>
          <w:szCs w:val="24"/>
          <w:lang w:eastAsia="bg-BG"/>
        </w:rPr>
        <w:t xml:space="preserve"> за лечение на фокални пристъпи;</w:t>
      </w:r>
      <w:r w:rsidRPr="00AE47C6">
        <w:rPr>
          <w:rFonts w:ascii="Times New Roman" w:eastAsia="SimSun" w:hAnsi="Times New Roman"/>
          <w:b/>
          <w:bCs/>
          <w:sz w:val="24"/>
          <w:szCs w:val="24"/>
          <w:lang w:eastAsia="bg-BG"/>
        </w:rPr>
        <w:t xml:space="preserve"> Vigabatrin** </w:t>
      </w:r>
      <w:r w:rsidRPr="00AE47C6">
        <w:rPr>
          <w:rFonts w:ascii="Times New Roman" w:eastAsia="SimSun" w:hAnsi="Times New Roman"/>
          <w:sz w:val="24"/>
          <w:szCs w:val="24"/>
          <w:lang w:eastAsia="bg-BG"/>
        </w:rPr>
        <w:t xml:space="preserve">за лечение на синдром на West; </w:t>
      </w:r>
      <w:r w:rsidRPr="00AE47C6">
        <w:rPr>
          <w:rFonts w:ascii="Times New Roman" w:eastAsia="SimSun" w:hAnsi="Times New Roman"/>
          <w:b/>
          <w:bCs/>
          <w:sz w:val="24"/>
          <w:szCs w:val="24"/>
          <w:lang w:eastAsia="bg-BG"/>
        </w:rPr>
        <w:t>Zonisamide**</w:t>
      </w:r>
      <w:r w:rsidRPr="00AE47C6">
        <w:rPr>
          <w:rFonts w:ascii="Times New Roman" w:eastAsia="SimSun" w:hAnsi="Times New Roman"/>
          <w:sz w:val="24"/>
          <w:szCs w:val="24"/>
          <w:lang w:eastAsia="bg-BG"/>
        </w:rPr>
        <w:t xml:space="preserve"> за лечение на фокални и вторично генерализирани пристъпи  при възрастни и деца над 6 г., за миоклонични пристъпи, за синдром на Lennox-Gastaut; </w:t>
      </w:r>
      <w:r w:rsidRPr="00AE47C6">
        <w:rPr>
          <w:rFonts w:ascii="Times New Roman" w:eastAsia="SimSun" w:hAnsi="Times New Roman"/>
          <w:b/>
          <w:bCs/>
          <w:sz w:val="24"/>
          <w:szCs w:val="24"/>
          <w:lang w:eastAsia="bg-BG"/>
        </w:rPr>
        <w:t>Сenobamate**-</w:t>
      </w:r>
      <w:r w:rsidRPr="00AE47C6">
        <w:rPr>
          <w:rFonts w:ascii="Times New Roman" w:eastAsia="SimSun" w:hAnsi="Times New Roman"/>
          <w:bCs/>
          <w:sz w:val="24"/>
          <w:szCs w:val="24"/>
          <w:lang w:eastAsia="bg-BG"/>
        </w:rPr>
        <w:t xml:space="preserve"> при фокални и ВГТКП (ФДТКП) над 18 г;</w:t>
      </w:r>
      <w:r w:rsidRPr="00AE47C6">
        <w:rPr>
          <w:rFonts w:ascii="Times New Roman" w:eastAsia="SimSun" w:hAnsi="Times New Roman"/>
          <w:b/>
          <w:bCs/>
          <w:sz w:val="24"/>
          <w:szCs w:val="24"/>
          <w:lang w:eastAsia="bg-BG"/>
        </w:rPr>
        <w:t xml:space="preserve"> ACTH**</w:t>
      </w:r>
      <w:r w:rsidRPr="00AE47C6">
        <w:rPr>
          <w:rFonts w:ascii="Times New Roman" w:eastAsia="SimSun" w:hAnsi="Times New Roman"/>
          <w:sz w:val="24"/>
          <w:szCs w:val="24"/>
          <w:lang w:eastAsia="bg-BG"/>
        </w:rPr>
        <w:t xml:space="preserve"> за лечение на синдром на West. </w:t>
      </w:r>
    </w:p>
    <w:p w14:paraId="2B349F5B" w14:textId="77777777" w:rsidR="00BE0B19" w:rsidRPr="00AE47C6" w:rsidRDefault="00BE0B19" w:rsidP="00BE0B19">
      <w:pPr>
        <w:spacing w:line="360" w:lineRule="auto"/>
        <w:jc w:val="center"/>
        <w:rPr>
          <w:rFonts w:ascii="Times New Roman" w:eastAsia="SimSun" w:hAnsi="Times New Roman"/>
          <w:b/>
          <w:bCs/>
        </w:rPr>
      </w:pPr>
    </w:p>
    <w:p w14:paraId="1CD22F7E" w14:textId="77777777" w:rsidR="00BE0B19" w:rsidRPr="00AE47C6" w:rsidRDefault="00BE0B19" w:rsidP="00BE0B19">
      <w:pPr>
        <w:tabs>
          <w:tab w:val="num" w:pos="1647"/>
        </w:tabs>
        <w:spacing w:after="0" w:line="360" w:lineRule="auto"/>
        <w:jc w:val="both"/>
        <w:rPr>
          <w:rFonts w:ascii="Times New Roman" w:eastAsia="SimSun" w:hAnsi="Times New Roman"/>
          <w:b/>
          <w:bCs/>
          <w:sz w:val="24"/>
          <w:szCs w:val="24"/>
          <w:u w:val="single"/>
        </w:rPr>
      </w:pPr>
      <w:r w:rsidRPr="00AE47C6">
        <w:rPr>
          <w:rFonts w:ascii="Times New Roman" w:eastAsia="SimSun" w:hAnsi="Times New Roman"/>
          <w:b/>
          <w:bCs/>
          <w:sz w:val="24"/>
          <w:szCs w:val="24"/>
          <w:u w:val="single"/>
        </w:rPr>
        <w:t xml:space="preserve">12.9.2. Физикална терапия и рехабилитация </w:t>
      </w:r>
    </w:p>
    <w:p w14:paraId="4674A88C" w14:textId="77777777" w:rsidR="00BE0B19" w:rsidRPr="00AE47C6" w:rsidRDefault="00BE0B19" w:rsidP="00BE0B19">
      <w:pPr>
        <w:numPr>
          <w:ilvl w:val="0"/>
          <w:numId w:val="32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u w:val="single"/>
        </w:rPr>
        <w:t>Кинезитерапия</w:t>
      </w:r>
      <w:r w:rsidRPr="00AE47C6">
        <w:rPr>
          <w:rFonts w:ascii="Times New Roman" w:eastAsia="SimSun" w:hAnsi="Times New Roman"/>
          <w:sz w:val="24"/>
          <w:szCs w:val="24"/>
        </w:rPr>
        <w:t xml:space="preserve"> – стимулира координацията на движенията; потиска примитивните механизми и модели на движения; активира механизмите на вертикализация; засилва определени мускули и мускулни групи; стимулира равновесните механизми и ориентацията в схемата на тялото и пространството; засилва трофиката и ускорява кръвотока на мускула; стимули рецепторния апарат в мускулите, ПНС и ЦНС; поддържа еластичността на мускулите и разтегливостта на сухожилните връзки и капсули; стимулира сензорната интеграция.</w:t>
      </w:r>
    </w:p>
    <w:p w14:paraId="0472F069" w14:textId="77777777" w:rsidR="00BE0B19" w:rsidRPr="00AE47C6" w:rsidRDefault="00BE0B19" w:rsidP="00BE0B19">
      <w:pPr>
        <w:numPr>
          <w:ilvl w:val="0"/>
          <w:numId w:val="324"/>
        </w:numPr>
        <w:spacing w:after="0" w:line="360" w:lineRule="auto"/>
        <w:contextualSpacing/>
        <w:jc w:val="both"/>
        <w:rPr>
          <w:rFonts w:ascii="Times New Roman" w:eastAsia="SimSun" w:hAnsi="Times New Roman"/>
          <w:sz w:val="24"/>
          <w:szCs w:val="24"/>
          <w:u w:val="single"/>
        </w:rPr>
      </w:pPr>
      <w:r w:rsidRPr="00AE47C6">
        <w:rPr>
          <w:rFonts w:ascii="Times New Roman" w:eastAsia="SimSun" w:hAnsi="Times New Roman"/>
          <w:sz w:val="24"/>
          <w:szCs w:val="24"/>
          <w:u w:val="single"/>
        </w:rPr>
        <w:t>Нискочестотно импулсно магнитно поле, транскраниално</w:t>
      </w:r>
      <w:r w:rsidRPr="00AE47C6">
        <w:rPr>
          <w:rFonts w:ascii="Times New Roman" w:eastAsia="SimSun" w:hAnsi="Times New Roman"/>
          <w:sz w:val="24"/>
          <w:szCs w:val="24"/>
        </w:rPr>
        <w:t xml:space="preserve"> – подобрява отлагането на кислород в тъканите, стимулира оксидативните процеси,  има хепариноподобно действие, противооточно действие и стимулира аксонната реинервация.</w:t>
      </w:r>
    </w:p>
    <w:p w14:paraId="487D8EB0" w14:textId="77777777" w:rsidR="00BE0B19" w:rsidRPr="00AE47C6" w:rsidRDefault="00BE0B19" w:rsidP="00BE0B19">
      <w:pPr>
        <w:numPr>
          <w:ilvl w:val="0"/>
          <w:numId w:val="324"/>
        </w:numPr>
        <w:spacing w:after="0" w:line="360" w:lineRule="auto"/>
        <w:contextualSpacing/>
        <w:jc w:val="both"/>
        <w:rPr>
          <w:rFonts w:ascii="Times New Roman" w:eastAsia="SimSun" w:hAnsi="Times New Roman"/>
          <w:sz w:val="24"/>
          <w:szCs w:val="24"/>
          <w:u w:val="single"/>
        </w:rPr>
      </w:pPr>
      <w:r w:rsidRPr="00AE47C6">
        <w:rPr>
          <w:rFonts w:ascii="Times New Roman" w:eastAsia="SimSun" w:hAnsi="Times New Roman"/>
          <w:sz w:val="24"/>
          <w:szCs w:val="24"/>
          <w:u w:val="single"/>
        </w:rPr>
        <w:t>Електростимулации</w:t>
      </w:r>
      <w:r w:rsidRPr="00AE47C6">
        <w:rPr>
          <w:rFonts w:ascii="Times New Roman" w:eastAsia="SimSun" w:hAnsi="Times New Roman"/>
          <w:sz w:val="24"/>
          <w:szCs w:val="24"/>
        </w:rPr>
        <w:t xml:space="preserve"> – засилване на отслабените мускули антагонисти на спастичните, поддържане на сензорната интеграция и еластичността на мускулите.</w:t>
      </w:r>
    </w:p>
    <w:p w14:paraId="13D7C5AA" w14:textId="77777777" w:rsidR="00BE0B19" w:rsidRPr="00AE47C6" w:rsidRDefault="00BE0B19" w:rsidP="00BE0B19">
      <w:pPr>
        <w:numPr>
          <w:ilvl w:val="0"/>
          <w:numId w:val="324"/>
        </w:numPr>
        <w:spacing w:after="0" w:line="360" w:lineRule="auto"/>
        <w:contextualSpacing/>
        <w:jc w:val="both"/>
        <w:rPr>
          <w:rFonts w:ascii="Times New Roman" w:eastAsia="SimSun" w:hAnsi="Times New Roman"/>
          <w:sz w:val="24"/>
          <w:szCs w:val="24"/>
          <w:u w:val="single"/>
        </w:rPr>
      </w:pPr>
      <w:r w:rsidRPr="00AE47C6">
        <w:rPr>
          <w:rFonts w:ascii="Times New Roman" w:eastAsia="SimSun" w:hAnsi="Times New Roman"/>
          <w:sz w:val="24"/>
          <w:szCs w:val="24"/>
          <w:u w:val="single"/>
        </w:rPr>
        <w:t>Термотерапия</w:t>
      </w:r>
      <w:r w:rsidRPr="00AE47C6">
        <w:rPr>
          <w:rFonts w:ascii="Times New Roman" w:eastAsia="SimSun" w:hAnsi="Times New Roman"/>
          <w:sz w:val="24"/>
          <w:szCs w:val="24"/>
        </w:rPr>
        <w:t xml:space="preserve"> – миорелаксиращ и трофичен ефект.</w:t>
      </w:r>
    </w:p>
    <w:p w14:paraId="57C6C86C" w14:textId="77777777" w:rsidR="00BE0B19" w:rsidRPr="00AE47C6" w:rsidRDefault="00BE0B19" w:rsidP="00BE0B19">
      <w:pPr>
        <w:numPr>
          <w:ilvl w:val="0"/>
          <w:numId w:val="32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u w:val="single"/>
        </w:rPr>
        <w:t>Хидротерапия</w:t>
      </w:r>
      <w:r w:rsidRPr="00AE47C6">
        <w:rPr>
          <w:rFonts w:ascii="Times New Roman" w:eastAsia="SimSun" w:hAnsi="Times New Roman"/>
          <w:sz w:val="24"/>
          <w:szCs w:val="24"/>
        </w:rPr>
        <w:t xml:space="preserve">  - миорелаксиращ и трофичен ефект, както и стимулиране на сензорната интеграция.</w:t>
      </w:r>
    </w:p>
    <w:p w14:paraId="0003C3E2" w14:textId="77777777" w:rsidR="00BE0B19" w:rsidRPr="00AE47C6" w:rsidRDefault="00BE0B19" w:rsidP="00BE0B19">
      <w:pPr>
        <w:numPr>
          <w:ilvl w:val="0"/>
          <w:numId w:val="32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u w:val="single"/>
        </w:rPr>
        <w:t>Механотерапия</w:t>
      </w:r>
      <w:r w:rsidRPr="00AE47C6">
        <w:rPr>
          <w:rFonts w:ascii="Times New Roman" w:eastAsia="SimSun" w:hAnsi="Times New Roman"/>
          <w:sz w:val="24"/>
          <w:szCs w:val="24"/>
        </w:rPr>
        <w:t xml:space="preserve"> – засилване определени мускули и мускулни групи, както и координацията на определени движения и елементи от двигателния акт  посредством  определени уреди.</w:t>
      </w:r>
    </w:p>
    <w:p w14:paraId="2B7E771D" w14:textId="77777777" w:rsidR="00BE0B19" w:rsidRPr="00AE47C6" w:rsidRDefault="00BE0B19" w:rsidP="00BE0B19">
      <w:pPr>
        <w:numPr>
          <w:ilvl w:val="0"/>
          <w:numId w:val="32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u w:val="single"/>
        </w:rPr>
        <w:t>Ерготерапия</w:t>
      </w:r>
      <w:r w:rsidRPr="00AE47C6">
        <w:rPr>
          <w:rFonts w:ascii="Times New Roman" w:eastAsia="SimSun" w:hAnsi="Times New Roman"/>
          <w:sz w:val="24"/>
          <w:szCs w:val="24"/>
        </w:rPr>
        <w:t xml:space="preserve"> - интервенцията за деца с ЦП е насочена към проблемите от ежедневието, с които се е сблъскало детето или юношата. Лечението започва с  конкретен и разумен въпрос към детето или към пряко полагащия грижи за него. </w:t>
      </w:r>
    </w:p>
    <w:p w14:paraId="2DAC6E5A" w14:textId="77777777" w:rsidR="00BE0B19" w:rsidRPr="00AE47C6" w:rsidRDefault="00BE0B19" w:rsidP="00BE0B19">
      <w:pPr>
        <w:numPr>
          <w:ilvl w:val="0"/>
          <w:numId w:val="32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Необходима е добра оценка, за да се разбере какви възможности има за постигане определено качество на живот, максимално участие в ежедневието, без или с минимална патология. Така че, няма определен протокол за работа при дете с ЦП. Индивидуално насочената помощ е най-добрия начин за постигане на ефективност.</w:t>
      </w:r>
    </w:p>
    <w:p w14:paraId="4B1239B1" w14:textId="77777777" w:rsidR="00BE0B19" w:rsidRPr="00AE47C6" w:rsidRDefault="00BE0B19" w:rsidP="00BE0B19">
      <w:pPr>
        <w:numPr>
          <w:ilvl w:val="0"/>
          <w:numId w:val="324"/>
        </w:numPr>
        <w:spacing w:after="0" w:line="360" w:lineRule="auto"/>
        <w:contextualSpacing/>
        <w:jc w:val="both"/>
        <w:rPr>
          <w:rFonts w:ascii="Times New Roman" w:eastAsia="SimSun" w:hAnsi="Times New Roman"/>
          <w:sz w:val="24"/>
          <w:szCs w:val="24"/>
          <w:u w:val="single"/>
        </w:rPr>
      </w:pPr>
      <w:r w:rsidRPr="00AE47C6">
        <w:rPr>
          <w:rFonts w:ascii="Times New Roman" w:eastAsia="SimSun" w:hAnsi="Times New Roman"/>
          <w:sz w:val="24"/>
          <w:szCs w:val="24"/>
          <w:u w:val="single"/>
        </w:rPr>
        <w:t>Позиционно лечение</w:t>
      </w:r>
      <w:r w:rsidRPr="00AE47C6">
        <w:rPr>
          <w:rFonts w:ascii="Times New Roman" w:eastAsia="SimSun" w:hAnsi="Times New Roman"/>
          <w:sz w:val="24"/>
          <w:szCs w:val="24"/>
        </w:rPr>
        <w:t xml:space="preserve"> – стимулиране на сензорната интеграция,  стимулиране контрола на главата, трупа и крайниците, подобряване ориентацията в пространството, стимулиране на антигравитационните механизми.</w:t>
      </w:r>
    </w:p>
    <w:p w14:paraId="153C05F8" w14:textId="77777777" w:rsidR="00BE0B19" w:rsidRPr="00AE47C6" w:rsidRDefault="00BE0B19" w:rsidP="00BE0B19">
      <w:pPr>
        <w:numPr>
          <w:ilvl w:val="0"/>
          <w:numId w:val="324"/>
        </w:numPr>
        <w:spacing w:after="0" w:line="360" w:lineRule="auto"/>
        <w:contextualSpacing/>
        <w:jc w:val="both"/>
        <w:rPr>
          <w:rFonts w:ascii="Times New Roman" w:eastAsia="SimSun" w:hAnsi="Times New Roman"/>
          <w:sz w:val="24"/>
          <w:szCs w:val="24"/>
          <w:u w:val="single"/>
        </w:rPr>
      </w:pPr>
      <w:r w:rsidRPr="00AE47C6">
        <w:rPr>
          <w:rFonts w:ascii="Times New Roman" w:eastAsia="SimSun" w:hAnsi="Times New Roman"/>
          <w:sz w:val="24"/>
          <w:szCs w:val="24"/>
          <w:u w:val="single"/>
        </w:rPr>
        <w:t>Вестибуларно стимулиране</w:t>
      </w:r>
      <w:r w:rsidRPr="00AE47C6">
        <w:rPr>
          <w:rFonts w:ascii="Times New Roman" w:eastAsia="SimSun" w:hAnsi="Times New Roman"/>
          <w:sz w:val="24"/>
          <w:szCs w:val="24"/>
        </w:rPr>
        <w:t xml:space="preserve"> - стимулиране баланса от различни опорни равнини и точки, стимулиране взаимодействието на вентрални и дорзални мускулни групи и вериги; активиране и стабилизиране на ориентацията в пространството.</w:t>
      </w:r>
    </w:p>
    <w:p w14:paraId="3ABDC1FA" w14:textId="77777777" w:rsidR="00BE0B19" w:rsidRPr="00AE47C6" w:rsidRDefault="00BE0B19" w:rsidP="00BE0B19">
      <w:pPr>
        <w:numPr>
          <w:ilvl w:val="0"/>
          <w:numId w:val="324"/>
        </w:numPr>
        <w:spacing w:after="0" w:line="360" w:lineRule="auto"/>
        <w:contextualSpacing/>
        <w:jc w:val="both"/>
        <w:rPr>
          <w:rFonts w:ascii="Times New Roman" w:eastAsia="SimSun" w:hAnsi="Times New Roman"/>
          <w:sz w:val="24"/>
          <w:szCs w:val="24"/>
          <w:u w:val="single"/>
        </w:rPr>
      </w:pPr>
      <w:r w:rsidRPr="00AE47C6">
        <w:rPr>
          <w:rFonts w:ascii="Times New Roman" w:eastAsia="SimSun" w:hAnsi="Times New Roman"/>
          <w:sz w:val="24"/>
          <w:szCs w:val="24"/>
          <w:u w:val="single"/>
        </w:rPr>
        <w:t xml:space="preserve">Рехабилитация на ръка </w:t>
      </w:r>
      <w:r w:rsidRPr="00AE47C6">
        <w:rPr>
          <w:rFonts w:ascii="Times New Roman" w:eastAsia="SimSun" w:hAnsi="Times New Roman"/>
          <w:sz w:val="24"/>
          <w:szCs w:val="24"/>
        </w:rPr>
        <w:t>- активни, пасивни и подпомогнати движения, насочени конкретно за засегнатия горен крайник - раменна, лакътна, гривнена и фалангеални стави, мото-сензорно стимулиране, блокиращо-стимулационна терапия (Constrained-Induce Movement Therapy - CIMT).</w:t>
      </w:r>
    </w:p>
    <w:p w14:paraId="1CC76738" w14:textId="77777777" w:rsidR="00BE0B19" w:rsidRPr="00AE47C6" w:rsidRDefault="00BE0B19" w:rsidP="00BE0B19">
      <w:pPr>
        <w:numPr>
          <w:ilvl w:val="0"/>
          <w:numId w:val="324"/>
        </w:numPr>
        <w:spacing w:after="0" w:line="360" w:lineRule="auto"/>
        <w:contextualSpacing/>
        <w:jc w:val="both"/>
        <w:rPr>
          <w:rFonts w:ascii="Times New Roman" w:eastAsia="SimSun" w:hAnsi="Times New Roman"/>
          <w:sz w:val="24"/>
          <w:szCs w:val="24"/>
          <w:u w:val="single"/>
        </w:rPr>
      </w:pPr>
      <w:r w:rsidRPr="00AE47C6">
        <w:rPr>
          <w:rFonts w:ascii="Times New Roman" w:eastAsia="SimSun" w:hAnsi="Times New Roman"/>
          <w:sz w:val="24"/>
          <w:szCs w:val="24"/>
        </w:rPr>
        <w:t>Електромиографски фийдбек (ЕMG-feedback) със/без електро-стимулации - стимулиране и контролиране на мускулната сила и издръжливост на отслабените мускули при децата с ЦП, антагонисти на спастичните чрез мускулна електрическа обратна връзка под формата на игра, мотивираща участието на детето, подобряване на активния и пасивен обем на движение в засегнатите стави; насложена електростимулация върху максимална мускулна контракция за супрамаксимално активиране на отслабения мускул; контролиране и регулиране напрегнатостта на спастичния мускул.</w:t>
      </w:r>
    </w:p>
    <w:p w14:paraId="28CF8931" w14:textId="77777777" w:rsidR="00BE0B19" w:rsidRPr="00AE47C6" w:rsidRDefault="00BE0B19" w:rsidP="00BE0B19">
      <w:pPr>
        <w:numPr>
          <w:ilvl w:val="0"/>
          <w:numId w:val="324"/>
        </w:numPr>
        <w:spacing w:after="0" w:line="360" w:lineRule="auto"/>
        <w:contextualSpacing/>
        <w:jc w:val="both"/>
        <w:rPr>
          <w:rFonts w:ascii="Times New Roman" w:eastAsia="SimSun" w:hAnsi="Times New Roman"/>
          <w:sz w:val="24"/>
          <w:szCs w:val="24"/>
          <w:u w:val="single"/>
        </w:rPr>
      </w:pPr>
      <w:r w:rsidRPr="00AE47C6">
        <w:rPr>
          <w:rFonts w:ascii="Times New Roman" w:eastAsia="SimSun" w:hAnsi="Times New Roman"/>
          <w:sz w:val="24"/>
          <w:szCs w:val="24"/>
        </w:rPr>
        <w:t>Ударно-вълнова терапия (Radial Shock Wave Therapy - RSWT) - намаляване повишения мускулен тонус на спастични мускули при функционални контрактури.</w:t>
      </w:r>
    </w:p>
    <w:p w14:paraId="3CCED8F8" w14:textId="77777777" w:rsidR="00BE0B19" w:rsidRPr="00AE47C6" w:rsidRDefault="00BE0B19" w:rsidP="00BE0B19">
      <w:pPr>
        <w:numPr>
          <w:ilvl w:val="0"/>
          <w:numId w:val="32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rPr>
        <w:t>Продължителни пасивни движения  (Continuos Passive Movements - CPM) - апаратно стимулиране от облекчена позиция и поддържане на еластичността на мускули и мускулни групи, както и като подготовка за роботизирана рехабилитация.</w:t>
      </w:r>
    </w:p>
    <w:p w14:paraId="66667676" w14:textId="77777777" w:rsidR="00BE0B19" w:rsidRPr="00AE47C6" w:rsidRDefault="00BE0B19" w:rsidP="00BE0B19">
      <w:pPr>
        <w:numPr>
          <w:ilvl w:val="0"/>
          <w:numId w:val="324"/>
        </w:numPr>
        <w:spacing w:after="0" w:line="360" w:lineRule="auto"/>
        <w:contextualSpacing/>
        <w:jc w:val="both"/>
        <w:rPr>
          <w:rFonts w:ascii="Times New Roman" w:eastAsia="SimSun" w:hAnsi="Times New Roman"/>
          <w:sz w:val="24"/>
          <w:szCs w:val="24"/>
        </w:rPr>
      </w:pPr>
      <w:r w:rsidRPr="00AE47C6">
        <w:rPr>
          <w:rFonts w:ascii="Times New Roman" w:eastAsia="SimSun" w:hAnsi="Times New Roman"/>
          <w:sz w:val="24"/>
          <w:szCs w:val="24"/>
          <w:u w:val="single"/>
        </w:rPr>
        <w:t>Роботизирана рехабилитация (РР)</w:t>
      </w:r>
      <w:r w:rsidRPr="00AE47C6">
        <w:rPr>
          <w:rFonts w:ascii="Times New Roman" w:eastAsia="SimSun" w:hAnsi="Times New Roman"/>
          <w:sz w:val="24"/>
          <w:szCs w:val="24"/>
        </w:rPr>
        <w:t xml:space="preserve"> се осъществява от механични моторизирани интерактивни устройства, или т.н. рехабилитационни роботи. РР дава различна, по-голяма и по-качествена възможност на децата и юношите с ЦП за правилно изграждане и усвояване на локомоторната координация и овладяване на центъра на тежестта при ходене, както и координацията и силата на движенията на горни крайници при манипулации. Прилагането на видео игри с обратна връзка по време на и като част от РР, повишава мотивацията на децата, което активира допълнително пластичността на нервната система. Участието на субективния фактор при обучението в ходене/манипулиране – терапевтът, е сведено до минимум, чрез автоматизирано и високо репродуктивно моторно обучение, компютъризиране и обективно контролиране на терапевтичната сесия, адаптирана към прогреса на детето. Пациентът е фиксиран в рехабилитационния робот, което го учи да движи краката/ръцете си, многократно по нормалния физиологичен модел. Прилагането на РР дава възможност за много по-продължително и често стимулиране на ходенето/манипулирането по един стандартен и постоянен модел, като по този начин се избягва субективния фактор свързан с персоналната отговорност, физическата и психологична издръжливост и познания на терапевта в сферата на прохождането и вървенето или на движенията с ръцете и манипулирането. Роботизираната рехабилитация в България предлага: </w:t>
      </w:r>
    </w:p>
    <w:p w14:paraId="03DB7AF1" w14:textId="77777777" w:rsidR="00BE0B19" w:rsidRPr="00AE47C6" w:rsidRDefault="00BE0B19" w:rsidP="00BE0B19">
      <w:pPr>
        <w:spacing w:after="0" w:line="360" w:lineRule="auto"/>
        <w:ind w:left="567" w:firstLine="720"/>
        <w:jc w:val="both"/>
        <w:rPr>
          <w:rFonts w:ascii="Times New Roman" w:eastAsia="SimSun" w:hAnsi="Times New Roman"/>
          <w:sz w:val="24"/>
          <w:szCs w:val="24"/>
        </w:rPr>
      </w:pPr>
      <w:r w:rsidRPr="00AE47C6">
        <w:rPr>
          <w:rFonts w:ascii="Times New Roman" w:eastAsia="SimSun" w:hAnsi="Times New Roman"/>
          <w:sz w:val="24"/>
          <w:szCs w:val="24"/>
        </w:rPr>
        <w:t xml:space="preserve">1. "Робот-Асистирана Терапия - обучение в ходене по бягаща пътека" </w:t>
      </w:r>
    </w:p>
    <w:p w14:paraId="16081C83" w14:textId="77777777" w:rsidR="00BE0B19" w:rsidRPr="00AE47C6" w:rsidRDefault="00BE0B19" w:rsidP="00BE0B19">
      <w:pPr>
        <w:spacing w:after="0" w:line="360" w:lineRule="auto"/>
        <w:ind w:left="567" w:firstLine="720"/>
        <w:jc w:val="both"/>
        <w:rPr>
          <w:rFonts w:ascii="Times New Roman" w:eastAsia="SimSun" w:hAnsi="Times New Roman"/>
          <w:sz w:val="24"/>
          <w:szCs w:val="24"/>
        </w:rPr>
      </w:pPr>
      <w:r w:rsidRPr="00AE47C6">
        <w:rPr>
          <w:rFonts w:ascii="Times New Roman" w:eastAsia="SimSun" w:hAnsi="Times New Roman"/>
          <w:sz w:val="24"/>
          <w:szCs w:val="24"/>
        </w:rPr>
        <w:t>По модел:  "workstationend-effector".</w:t>
      </w:r>
    </w:p>
    <w:p w14:paraId="503A8077" w14:textId="77777777" w:rsidR="00BE0B19" w:rsidRPr="00AE47C6" w:rsidRDefault="00BE0B19" w:rsidP="00BE0B19">
      <w:pPr>
        <w:spacing w:after="0" w:line="360" w:lineRule="auto"/>
        <w:ind w:left="567" w:firstLine="720"/>
        <w:jc w:val="both"/>
        <w:rPr>
          <w:rFonts w:ascii="Times New Roman" w:eastAsia="SimSun" w:hAnsi="Times New Roman"/>
          <w:sz w:val="24"/>
          <w:szCs w:val="24"/>
        </w:rPr>
      </w:pPr>
      <w:r w:rsidRPr="00AE47C6">
        <w:rPr>
          <w:rFonts w:ascii="Times New Roman" w:eastAsia="SimSun" w:hAnsi="Times New Roman"/>
          <w:sz w:val="24"/>
          <w:szCs w:val="24"/>
        </w:rPr>
        <w:t>2.  "Робот-Асистирана Терапия - обучение в наземно ходене"</w:t>
      </w:r>
    </w:p>
    <w:p w14:paraId="6F5F3BE1" w14:textId="77777777" w:rsidR="00BE0B19" w:rsidRPr="00AE47C6" w:rsidRDefault="00BE0B19" w:rsidP="00BE0B19">
      <w:pPr>
        <w:spacing w:after="0" w:line="360" w:lineRule="auto"/>
        <w:ind w:left="567" w:firstLine="720"/>
        <w:jc w:val="both"/>
        <w:rPr>
          <w:rFonts w:ascii="Times New Roman" w:eastAsia="SimSun" w:hAnsi="Times New Roman"/>
          <w:sz w:val="24"/>
          <w:szCs w:val="24"/>
        </w:rPr>
      </w:pPr>
      <w:r w:rsidRPr="00AE47C6">
        <w:rPr>
          <w:rFonts w:ascii="Times New Roman" w:eastAsia="SimSun" w:hAnsi="Times New Roman"/>
          <w:sz w:val="24"/>
          <w:szCs w:val="24"/>
        </w:rPr>
        <w:t>По модел:  "mouvableend-effector"</w:t>
      </w:r>
    </w:p>
    <w:p w14:paraId="33892119" w14:textId="77777777" w:rsidR="00BE0B19" w:rsidRPr="00AE47C6" w:rsidRDefault="00BE0B19" w:rsidP="00BE0B19">
      <w:pPr>
        <w:spacing w:after="0" w:line="360" w:lineRule="auto"/>
        <w:ind w:left="567" w:firstLine="720"/>
        <w:jc w:val="both"/>
        <w:rPr>
          <w:rFonts w:ascii="Times New Roman" w:eastAsia="SimSun" w:hAnsi="Times New Roman"/>
          <w:sz w:val="24"/>
          <w:szCs w:val="24"/>
        </w:rPr>
      </w:pPr>
      <w:r w:rsidRPr="00AE47C6">
        <w:rPr>
          <w:rFonts w:ascii="Times New Roman" w:eastAsia="SimSun" w:hAnsi="Times New Roman"/>
          <w:sz w:val="24"/>
          <w:szCs w:val="24"/>
        </w:rPr>
        <w:t>3. "Робот-Асистирана Терапия - обучение в дейности с горни крайници"</w:t>
      </w:r>
    </w:p>
    <w:p w14:paraId="2EC78763" w14:textId="77777777" w:rsidR="00BE0B19" w:rsidRPr="00AE47C6" w:rsidRDefault="00BE0B19" w:rsidP="00BE0B19">
      <w:pPr>
        <w:spacing w:after="0" w:line="360" w:lineRule="auto"/>
        <w:ind w:left="567" w:firstLine="720"/>
        <w:jc w:val="both"/>
        <w:rPr>
          <w:rFonts w:ascii="Times New Roman" w:eastAsia="SimSun" w:hAnsi="Times New Roman"/>
          <w:sz w:val="24"/>
          <w:szCs w:val="24"/>
        </w:rPr>
      </w:pPr>
      <w:r w:rsidRPr="00AE47C6">
        <w:rPr>
          <w:rFonts w:ascii="Times New Roman" w:eastAsia="SimSun" w:hAnsi="Times New Roman"/>
          <w:sz w:val="24"/>
          <w:szCs w:val="24"/>
        </w:rPr>
        <w:t>По модел:  "work station end-effector"</w:t>
      </w:r>
    </w:p>
    <w:p w14:paraId="37A1A97F" w14:textId="77777777" w:rsidR="00BE0B19" w:rsidRPr="00AE47C6" w:rsidRDefault="00BE0B19" w:rsidP="00BE0B19">
      <w:pPr>
        <w:spacing w:after="0" w:line="360" w:lineRule="auto"/>
        <w:ind w:left="567" w:firstLine="720"/>
        <w:jc w:val="both"/>
        <w:rPr>
          <w:rFonts w:ascii="Times New Roman" w:eastAsia="SimSun" w:hAnsi="Times New Roman"/>
          <w:sz w:val="24"/>
          <w:szCs w:val="24"/>
        </w:rPr>
      </w:pPr>
      <w:r w:rsidRPr="00AE47C6">
        <w:rPr>
          <w:rFonts w:ascii="Times New Roman" w:eastAsia="SimSun" w:hAnsi="Times New Roman"/>
          <w:sz w:val="24"/>
          <w:szCs w:val="24"/>
        </w:rPr>
        <w:t>По модел:  "work station exoskeleton"</w:t>
      </w:r>
    </w:p>
    <w:p w14:paraId="4FF04062" w14:textId="77777777" w:rsidR="00BE0B19" w:rsidRPr="00AE47C6" w:rsidRDefault="00BE0B19" w:rsidP="00BE0B19">
      <w:pPr>
        <w:spacing w:after="0" w:line="360" w:lineRule="auto"/>
        <w:ind w:left="284" w:firstLine="720"/>
        <w:contextualSpacing/>
        <w:jc w:val="both"/>
        <w:rPr>
          <w:rFonts w:ascii="Times New Roman" w:eastAsia="SimSun" w:hAnsi="Times New Roman"/>
          <w:b/>
          <w:bCs/>
          <w:sz w:val="24"/>
          <w:szCs w:val="24"/>
          <w:u w:val="single"/>
        </w:rPr>
      </w:pPr>
    </w:p>
    <w:p w14:paraId="4EE2C1DF"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u w:val="single"/>
        </w:rPr>
        <w:t xml:space="preserve">12.9.3. Хипербарна оксигенация </w:t>
      </w:r>
      <w:r w:rsidRPr="00AE47C6">
        <w:rPr>
          <w:rFonts w:ascii="Times New Roman" w:eastAsia="SimSun" w:hAnsi="Times New Roman"/>
          <w:sz w:val="24"/>
          <w:szCs w:val="24"/>
        </w:rPr>
        <w:t xml:space="preserve">- Реактивира "бездейните" (idling) неврони; повишава пластичността на ЦНС; подобрява разпространението на кислорода, чрез покачване кислородна наличност в тъканта; стимулира фагоцитозата; възстановява интегритета на кръвно-мозъчната бариера и клетъчните мембрани;  увеличава клетъчното дишане и намалява клетъчните странични продукти - цитокините; стимулира неоваскуларизацията. Стимулира двигателната активност и отключването на нови двигателни умения, редуцира променливо мускулния тонус, активира активния и пасивния говор на детето с ЦП. </w:t>
      </w:r>
    </w:p>
    <w:p w14:paraId="6C3472C8" w14:textId="77777777" w:rsidR="00BE0B19" w:rsidRPr="00AE47C6" w:rsidRDefault="00BE0B19" w:rsidP="00BE0B19">
      <w:pPr>
        <w:tabs>
          <w:tab w:val="num" w:pos="1647"/>
        </w:tabs>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u w:val="single"/>
        </w:rPr>
        <w:t>12.9.4. Рекреация</w:t>
      </w:r>
      <w:r w:rsidRPr="00AE47C6">
        <w:rPr>
          <w:rFonts w:ascii="Times New Roman" w:eastAsia="SimSun" w:hAnsi="Times New Roman"/>
          <w:sz w:val="24"/>
          <w:szCs w:val="24"/>
        </w:rPr>
        <w:t xml:space="preserve"> – чрез адаптирани спортни и/или двигателни занимания и дейности с техните педагогически и психологични аспекти (“фит&amp;фън”) се стимулира двигателното развитие и емоционалното равновесие на детето и се улеснява социалната му адаптация – танци, плуване, терапевтична езда, баскетбол и други</w:t>
      </w:r>
      <w:r w:rsidRPr="00AE47C6">
        <w:rPr>
          <w:rFonts w:ascii="Times New Roman" w:eastAsia="SimSun" w:hAnsi="Times New Roman"/>
          <w:b/>
          <w:bCs/>
          <w:sz w:val="24"/>
          <w:szCs w:val="24"/>
        </w:rPr>
        <w:t>.</w:t>
      </w:r>
    </w:p>
    <w:p w14:paraId="33245CA4" w14:textId="77777777" w:rsidR="00BE0B19" w:rsidRPr="00AE47C6" w:rsidRDefault="00BE0B19" w:rsidP="00BE0B19">
      <w:pPr>
        <w:spacing w:after="0" w:line="360" w:lineRule="auto"/>
        <w:ind w:left="360" w:firstLine="720"/>
        <w:jc w:val="both"/>
        <w:rPr>
          <w:rFonts w:ascii="Times New Roman" w:eastAsia="SimSun" w:hAnsi="Times New Roman"/>
          <w:i/>
          <w:iCs/>
          <w:sz w:val="24"/>
          <w:szCs w:val="24"/>
        </w:rPr>
      </w:pPr>
      <w:r w:rsidRPr="00AE47C6">
        <w:rPr>
          <w:rFonts w:ascii="Times New Roman" w:eastAsia="SimSun" w:hAnsi="Times New Roman"/>
          <w:b/>
          <w:bCs/>
          <w:sz w:val="24"/>
          <w:szCs w:val="24"/>
        </w:rPr>
        <w:t>**</w:t>
      </w:r>
      <w:r w:rsidRPr="00AE47C6">
        <w:rPr>
          <w:rFonts w:ascii="Times New Roman" w:eastAsia="SimSun" w:hAnsi="Times New Roman"/>
          <w:i/>
          <w:iCs/>
          <w:sz w:val="24"/>
          <w:szCs w:val="24"/>
        </w:rPr>
        <w:t>Подробностите по показания, противопоказания и методология на физикалната терапия и рехабилитация, са публикувани във “Физикална Медицина, Рехабилитация и Здраве.</w:t>
      </w:r>
      <w:r w:rsidRPr="00AE47C6">
        <w:rPr>
          <w:rFonts w:ascii="Times New Roman" w:eastAsia="SimSun" w:hAnsi="Times New Roman"/>
          <w:b/>
          <w:bCs/>
          <w:i/>
          <w:iCs/>
          <w:sz w:val="24"/>
          <w:szCs w:val="24"/>
        </w:rPr>
        <w:t>”</w:t>
      </w:r>
    </w:p>
    <w:p w14:paraId="1502CE5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b/>
          <w:bCs/>
          <w:sz w:val="24"/>
          <w:szCs w:val="24"/>
          <w:u w:val="single"/>
        </w:rPr>
        <w:t>12.9.5. Лечение с ортези и сплинтове (шини)</w:t>
      </w:r>
      <w:r w:rsidRPr="00AE47C6">
        <w:rPr>
          <w:rFonts w:ascii="Times New Roman" w:eastAsia="SimSun" w:hAnsi="Times New Roman"/>
          <w:sz w:val="24"/>
          <w:szCs w:val="24"/>
        </w:rPr>
        <w:t xml:space="preserve"> </w:t>
      </w:r>
      <w:r w:rsidRPr="00AE47C6">
        <w:rPr>
          <w:rFonts w:ascii="Times New Roman" w:eastAsia="SimSun" w:hAnsi="Times New Roman"/>
          <w:b/>
          <w:bCs/>
          <w:sz w:val="24"/>
          <w:szCs w:val="24"/>
        </w:rPr>
        <w:t xml:space="preserve">- </w:t>
      </w:r>
      <w:r w:rsidRPr="00AE47C6">
        <w:rPr>
          <w:rFonts w:ascii="Times New Roman" w:eastAsia="SimSun" w:hAnsi="Times New Roman"/>
          <w:sz w:val="24"/>
          <w:szCs w:val="24"/>
        </w:rPr>
        <w:t xml:space="preserve">Изборът на най-адекватната ортеза за всяко дете се основава на точната диагноза по SCPE и определената степен по GMFCS. Дизайнът на ортезите и целите, с които те се назначават, са специфични при нестоящи, стоящи и ходещи деца. Използването на ортези може да има за цел: </w:t>
      </w:r>
    </w:p>
    <w:p w14:paraId="27B242A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1. Предпазване от вторични деформации; </w:t>
      </w:r>
    </w:p>
    <w:p w14:paraId="7CB5091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2. Осигуряване на стабилна опорна повърхност; </w:t>
      </w:r>
    </w:p>
    <w:p w14:paraId="4829B4A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3. Улесняване усвояването на умения; </w:t>
      </w:r>
    </w:p>
    <w:p w14:paraId="0305597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4. Подобряване ефективността на походката.</w:t>
      </w:r>
    </w:p>
    <w:p w14:paraId="7F4522E8" w14:textId="77777777" w:rsidR="00BE0B19" w:rsidRPr="00AE47C6" w:rsidRDefault="00BE0B19" w:rsidP="00BE0B19">
      <w:pPr>
        <w:spacing w:after="0" w:line="360" w:lineRule="auto"/>
        <w:jc w:val="both"/>
        <w:rPr>
          <w:rFonts w:ascii="Times New Roman" w:eastAsia="SimSun" w:hAnsi="Times New Roman"/>
          <w:b/>
          <w:bCs/>
          <w:sz w:val="24"/>
          <w:szCs w:val="24"/>
          <w:u w:val="single"/>
        </w:rPr>
      </w:pPr>
      <w:r w:rsidRPr="00AE47C6">
        <w:rPr>
          <w:rFonts w:ascii="Times New Roman" w:eastAsia="SimSun" w:hAnsi="Times New Roman"/>
          <w:b/>
          <w:bCs/>
          <w:sz w:val="24"/>
          <w:szCs w:val="24"/>
          <w:u w:val="single"/>
        </w:rPr>
        <w:t>12.9.6. Оперативно лечение</w:t>
      </w:r>
    </w:p>
    <w:p w14:paraId="1A591CD7" w14:textId="77777777" w:rsidR="00BE0B19" w:rsidRPr="00AE47C6" w:rsidRDefault="00BE0B19" w:rsidP="00BE0B19">
      <w:pPr>
        <w:numPr>
          <w:ilvl w:val="0"/>
          <w:numId w:val="43"/>
        </w:numPr>
        <w:tabs>
          <w:tab w:val="clear" w:pos="360"/>
          <w:tab w:val="num" w:pos="927"/>
          <w:tab w:val="num" w:pos="2160"/>
        </w:tabs>
        <w:spacing w:after="0" w:line="360" w:lineRule="auto"/>
        <w:ind w:left="927" w:firstLine="720"/>
        <w:jc w:val="both"/>
        <w:rPr>
          <w:rFonts w:ascii="Times New Roman" w:eastAsia="SimSun" w:hAnsi="Times New Roman"/>
          <w:i/>
          <w:iCs/>
          <w:sz w:val="24"/>
          <w:szCs w:val="24"/>
        </w:rPr>
      </w:pPr>
      <w:r w:rsidRPr="00AE47C6">
        <w:rPr>
          <w:rFonts w:ascii="Times New Roman" w:eastAsia="SimSun" w:hAnsi="Times New Roman"/>
          <w:b/>
          <w:bCs/>
          <w:i/>
          <w:iCs/>
          <w:sz w:val="24"/>
          <w:szCs w:val="24"/>
        </w:rPr>
        <w:t>Неврохирургично лечение</w:t>
      </w:r>
    </w:p>
    <w:p w14:paraId="67B42691" w14:textId="77777777" w:rsidR="00BE0B19" w:rsidRPr="00AE47C6" w:rsidRDefault="00BE0B19" w:rsidP="00BE0B19">
      <w:pPr>
        <w:numPr>
          <w:ilvl w:val="0"/>
          <w:numId w:val="319"/>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При прогресираща вътрешна хидроцефалия и при кисти протичащи с повишено вътречерепно налягане - поставяне на шънтове;</w:t>
      </w:r>
    </w:p>
    <w:p w14:paraId="053866F1" w14:textId="77777777" w:rsidR="00BE0B19" w:rsidRPr="00AE47C6" w:rsidRDefault="00BE0B19" w:rsidP="00BE0B19">
      <w:pPr>
        <w:numPr>
          <w:ilvl w:val="0"/>
          <w:numId w:val="319"/>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 терапевтично-резистентни чести фокални епилептични пристъпи след прецизна прехирургична оценка - локална резекция на лезията; </w:t>
      </w:r>
    </w:p>
    <w:p w14:paraId="5FD1CBFE" w14:textId="77777777" w:rsidR="00BE0B19" w:rsidRPr="00AE47C6" w:rsidRDefault="00BE0B19" w:rsidP="00BE0B19">
      <w:pPr>
        <w:numPr>
          <w:ilvl w:val="0"/>
          <w:numId w:val="319"/>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При силен неповлияващ се спастицитет - задна дорзална ризотомия; имплантация на баклофенова помпа; </w:t>
      </w:r>
    </w:p>
    <w:p w14:paraId="0E8BC211" w14:textId="77777777" w:rsidR="00BE0B19" w:rsidRPr="00AE47C6" w:rsidRDefault="00BE0B19" w:rsidP="00BE0B19">
      <w:pPr>
        <w:numPr>
          <w:ilvl w:val="0"/>
          <w:numId w:val="319"/>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При тежка хореоатетоза/тремор - стереотаксични оперативни интервенции в дълбоки мозъчни структури.</w:t>
      </w:r>
    </w:p>
    <w:p w14:paraId="22A0C425" w14:textId="77777777" w:rsidR="00BE0B19" w:rsidRPr="00AE47C6" w:rsidRDefault="00BE0B19" w:rsidP="00BE0B19">
      <w:pPr>
        <w:numPr>
          <w:ilvl w:val="0"/>
          <w:numId w:val="43"/>
        </w:numPr>
        <w:tabs>
          <w:tab w:val="clear" w:pos="360"/>
          <w:tab w:val="num" w:pos="927"/>
          <w:tab w:val="num" w:pos="2160"/>
        </w:tabs>
        <w:spacing w:after="0" w:line="360" w:lineRule="auto"/>
        <w:ind w:left="927" w:firstLine="720"/>
        <w:jc w:val="both"/>
        <w:rPr>
          <w:rFonts w:ascii="Times New Roman" w:eastAsia="SimSun" w:hAnsi="Times New Roman"/>
          <w:sz w:val="24"/>
          <w:szCs w:val="24"/>
        </w:rPr>
      </w:pPr>
      <w:r w:rsidRPr="00AE47C6">
        <w:rPr>
          <w:rFonts w:ascii="Times New Roman" w:eastAsia="SimSun" w:hAnsi="Times New Roman"/>
          <w:b/>
          <w:bCs/>
          <w:i/>
          <w:iCs/>
          <w:sz w:val="24"/>
          <w:szCs w:val="24"/>
        </w:rPr>
        <w:t>Ортопедично хирургично лечение</w:t>
      </w:r>
      <w:r w:rsidRPr="00AE47C6">
        <w:rPr>
          <w:rFonts w:ascii="Times New Roman" w:eastAsia="SimSun" w:hAnsi="Times New Roman"/>
          <w:b/>
          <w:bCs/>
          <w:sz w:val="24"/>
          <w:szCs w:val="24"/>
        </w:rPr>
        <w:t>.</w:t>
      </w:r>
      <w:r w:rsidRPr="00AE47C6">
        <w:rPr>
          <w:rFonts w:ascii="Times New Roman" w:eastAsia="SimSun" w:hAnsi="Times New Roman"/>
          <w:sz w:val="24"/>
          <w:szCs w:val="24"/>
        </w:rPr>
        <w:t xml:space="preserve"> Цели стабилизиране на позата на крайниците и тялото, осигуряване пасивен обем на движение, както и на адекватни опорни точки и равни при изразени контрактури или деформации, посредством мекотъканни и костни операции. </w:t>
      </w:r>
      <w:r w:rsidRPr="00AE47C6">
        <w:rPr>
          <w:rFonts w:ascii="Times New Roman" w:eastAsia="SimSun" w:hAnsi="Times New Roman"/>
          <w:i/>
          <w:iCs/>
          <w:sz w:val="24"/>
          <w:szCs w:val="24"/>
        </w:rPr>
        <w:t xml:space="preserve">Миофибротомията </w:t>
      </w:r>
      <w:r w:rsidRPr="00AE47C6">
        <w:rPr>
          <w:rFonts w:ascii="Times New Roman" w:eastAsia="SimSun" w:hAnsi="Times New Roman"/>
          <w:sz w:val="24"/>
          <w:szCs w:val="24"/>
        </w:rPr>
        <w:t>e ефективна при лека степен на повишен мускулен тонус – І-ІІ степен по класификацията GMFSC и при тези случаи е алтернатива на приложението на ботулинов токсин. Миофибротомията не е ефективна при тежка спастичност с мускулни контрактури по GMFSC ІІІ-V степен и при ставни контрактури, деформитети и сколиози. Мултиплена фибротенотомия може да се осъществява в България. Решение за оперативно лечение да се взима от лекарски екип ортопед-хирург с детски невролог или лекар по Физикална и Рехабилитационна Медицина</w:t>
      </w:r>
    </w:p>
    <w:p w14:paraId="0C917B3D" w14:textId="77777777" w:rsidR="00BE0B19" w:rsidRPr="00AE47C6" w:rsidRDefault="00BE0B19" w:rsidP="00BE0B19">
      <w:pPr>
        <w:tabs>
          <w:tab w:val="num" w:pos="2160"/>
        </w:tabs>
        <w:spacing w:after="0" w:line="360" w:lineRule="auto"/>
        <w:ind w:firstLine="720"/>
        <w:jc w:val="both"/>
        <w:rPr>
          <w:rFonts w:ascii="Times New Roman" w:eastAsia="SimSun" w:hAnsi="Times New Roman"/>
          <w:b/>
          <w:bCs/>
          <w:i/>
          <w:iCs/>
          <w:sz w:val="24"/>
          <w:szCs w:val="24"/>
          <w:u w:val="single"/>
        </w:rPr>
      </w:pPr>
    </w:p>
    <w:p w14:paraId="443184B0" w14:textId="77777777" w:rsidR="00BE0B19" w:rsidRPr="00AE47C6" w:rsidRDefault="00BE0B19" w:rsidP="00BE0B19">
      <w:pPr>
        <w:tabs>
          <w:tab w:val="num" w:pos="2160"/>
        </w:tabs>
        <w:spacing w:after="0" w:line="360" w:lineRule="auto"/>
        <w:ind w:firstLine="720"/>
        <w:jc w:val="both"/>
        <w:rPr>
          <w:rFonts w:ascii="Times New Roman" w:eastAsia="SimSun" w:hAnsi="Times New Roman"/>
          <w:b/>
          <w:i/>
          <w:iCs/>
          <w:sz w:val="24"/>
          <w:szCs w:val="24"/>
          <w:u w:val="single"/>
        </w:rPr>
      </w:pPr>
      <w:r w:rsidRPr="00AE47C6">
        <w:rPr>
          <w:rFonts w:ascii="Times New Roman" w:eastAsia="SimSun" w:hAnsi="Times New Roman"/>
          <w:b/>
          <w:bCs/>
          <w:i/>
          <w:iCs/>
          <w:sz w:val="24"/>
          <w:szCs w:val="24"/>
          <w:u w:val="single"/>
        </w:rPr>
        <w:t>12.9.7. Лечение със стволови клетки</w:t>
      </w:r>
      <w:r w:rsidRPr="00AE47C6">
        <w:rPr>
          <w:rFonts w:ascii="Times New Roman" w:eastAsia="SimSun" w:hAnsi="Times New Roman"/>
          <w:i/>
          <w:iCs/>
          <w:sz w:val="24"/>
          <w:szCs w:val="24"/>
        </w:rPr>
        <w:t xml:space="preserve">. </w:t>
      </w:r>
      <w:r w:rsidRPr="00AE47C6">
        <w:rPr>
          <w:rFonts w:ascii="Times New Roman" w:eastAsia="SimSun" w:hAnsi="Times New Roman"/>
          <w:sz w:val="24"/>
          <w:szCs w:val="24"/>
        </w:rPr>
        <w:t>Няма медицински доказателства за ефективността от този тип терапия при деца с ЦП.</w:t>
      </w:r>
    </w:p>
    <w:p w14:paraId="3ABC3040"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p>
    <w:p w14:paraId="6093D8B2"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b/>
          <w:bCs/>
          <w:sz w:val="24"/>
          <w:szCs w:val="24"/>
        </w:rPr>
        <w:t xml:space="preserve">12.10. </w:t>
      </w:r>
      <w:r w:rsidRPr="00AE47C6">
        <w:rPr>
          <w:rFonts w:ascii="Times New Roman" w:eastAsia="SimSun" w:hAnsi="Times New Roman"/>
          <w:b/>
          <w:bCs/>
          <w:sz w:val="24"/>
          <w:szCs w:val="24"/>
          <w:u w:val="single"/>
        </w:rPr>
        <w:t>Алгоритъм на рехабилитация и лечение при деца с ЦП, свързан с възрастта им</w:t>
      </w:r>
      <w:r w:rsidRPr="00AE47C6">
        <w:rPr>
          <w:rFonts w:ascii="Times New Roman" w:eastAsia="SimSun" w:hAnsi="Times New Roman"/>
          <w:b/>
          <w:bCs/>
          <w:sz w:val="24"/>
          <w:szCs w:val="24"/>
        </w:rPr>
        <w:t xml:space="preserve">. </w:t>
      </w:r>
      <w:r w:rsidRPr="00AE47C6">
        <w:rPr>
          <w:rFonts w:ascii="Times New Roman" w:eastAsia="SimSun" w:hAnsi="Times New Roman"/>
          <w:sz w:val="24"/>
          <w:szCs w:val="24"/>
        </w:rPr>
        <w:t>Включва определени форми на рехабилитация и физикална терапия, както и медикаментозно и/или оперативно лечение (неврохирургично или ортопедично лечение) според необходимостта на всеки конкретен пациент.</w:t>
      </w:r>
    </w:p>
    <w:p w14:paraId="22ED0F84" w14:textId="77777777" w:rsidR="00BE0B19" w:rsidRPr="00AE47C6" w:rsidRDefault="00BE0B19" w:rsidP="00BE0B19">
      <w:pPr>
        <w:tabs>
          <w:tab w:val="num" w:pos="2160"/>
        </w:tabs>
        <w:spacing w:after="0" w:line="360" w:lineRule="auto"/>
        <w:ind w:left="720" w:firstLine="720"/>
        <w:jc w:val="both"/>
        <w:rPr>
          <w:rFonts w:ascii="Times New Roman" w:eastAsia="SimSun" w:hAnsi="Times New Roman"/>
          <w:sz w:val="24"/>
          <w:szCs w:val="24"/>
          <w:u w:val="single"/>
        </w:rPr>
      </w:pPr>
      <w:r w:rsidRPr="00AE47C6">
        <w:rPr>
          <w:rFonts w:ascii="Times New Roman" w:eastAsia="SimSun" w:hAnsi="Times New Roman"/>
          <w:b/>
          <w:bCs/>
          <w:sz w:val="24"/>
          <w:szCs w:val="24"/>
          <w:u w:val="single"/>
        </w:rPr>
        <w:t>От 1 месец  до 1 г. 6 месеца</w:t>
      </w:r>
      <w:r w:rsidRPr="00AE47C6">
        <w:rPr>
          <w:rFonts w:ascii="Times New Roman" w:eastAsia="SimSun" w:hAnsi="Times New Roman"/>
          <w:sz w:val="24"/>
          <w:szCs w:val="24"/>
          <w:u w:val="single"/>
        </w:rPr>
        <w:t xml:space="preserve">. </w:t>
      </w:r>
    </w:p>
    <w:p w14:paraId="7B78EF2D" w14:textId="77777777" w:rsidR="00BE0B19" w:rsidRPr="00AE47C6" w:rsidRDefault="00BE0B19" w:rsidP="00BE0B19">
      <w:pPr>
        <w:numPr>
          <w:ilvl w:val="0"/>
          <w:numId w:val="294"/>
        </w:numPr>
        <w:tabs>
          <w:tab w:val="num" w:pos="900"/>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Кинезитерапия </w:t>
      </w:r>
    </w:p>
    <w:p w14:paraId="697C8256" w14:textId="77777777" w:rsidR="00BE0B19" w:rsidRPr="00AE47C6" w:rsidRDefault="00BE0B19" w:rsidP="00BE0B19">
      <w:pPr>
        <w:numPr>
          <w:ilvl w:val="1"/>
          <w:numId w:val="294"/>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Рефлексно-предизвикано придвижване по Vojta</w:t>
      </w:r>
    </w:p>
    <w:p w14:paraId="68A11A25" w14:textId="77777777" w:rsidR="00BE0B19" w:rsidRPr="00AE47C6" w:rsidRDefault="00BE0B19" w:rsidP="00BE0B19">
      <w:pPr>
        <w:numPr>
          <w:ilvl w:val="1"/>
          <w:numId w:val="294"/>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Невроразвойно лечение по Bobath</w:t>
      </w:r>
    </w:p>
    <w:p w14:paraId="0774F5C8" w14:textId="77777777" w:rsidR="00BE0B19" w:rsidRPr="00AE47C6" w:rsidRDefault="00BE0B19" w:rsidP="00BE0B19">
      <w:pPr>
        <w:numPr>
          <w:ilvl w:val="0"/>
          <w:numId w:val="294"/>
        </w:numPr>
        <w:tabs>
          <w:tab w:val="num" w:pos="900"/>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Ерготерапия</w:t>
      </w:r>
    </w:p>
    <w:p w14:paraId="2D05A232" w14:textId="77777777" w:rsidR="00BE0B19" w:rsidRPr="00AE47C6" w:rsidRDefault="00BE0B19" w:rsidP="00BE0B19">
      <w:pPr>
        <w:numPr>
          <w:ilvl w:val="0"/>
          <w:numId w:val="313"/>
        </w:num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Вестибуларно стимулиране</w:t>
      </w:r>
    </w:p>
    <w:p w14:paraId="4C2C15E8" w14:textId="77777777" w:rsidR="00BE0B19" w:rsidRPr="00AE47C6" w:rsidRDefault="00BE0B19" w:rsidP="00BE0B19">
      <w:pPr>
        <w:numPr>
          <w:ilvl w:val="0"/>
          <w:numId w:val="313"/>
        </w:num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Позиционно лечение</w:t>
      </w:r>
    </w:p>
    <w:p w14:paraId="52513288" w14:textId="77777777" w:rsidR="00BE0B19" w:rsidRPr="00AE47C6" w:rsidRDefault="00BE0B19" w:rsidP="00BE0B19">
      <w:pPr>
        <w:numPr>
          <w:ilvl w:val="0"/>
          <w:numId w:val="294"/>
        </w:numPr>
        <w:tabs>
          <w:tab w:val="num" w:pos="900"/>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Нискочестотно импулсно магнитно поле - транскраниално</w:t>
      </w:r>
    </w:p>
    <w:p w14:paraId="100C6FAA" w14:textId="77777777" w:rsidR="00BE0B19" w:rsidRPr="00AE47C6" w:rsidRDefault="00BE0B19" w:rsidP="00BE0B19">
      <w:pPr>
        <w:numPr>
          <w:ilvl w:val="0"/>
          <w:numId w:val="294"/>
        </w:numPr>
        <w:tabs>
          <w:tab w:val="num" w:pos="900"/>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Електростимулации – при специфични индикации, след 6 м., на отслабени мускули</w:t>
      </w:r>
    </w:p>
    <w:p w14:paraId="48248195" w14:textId="77777777" w:rsidR="00BE0B19" w:rsidRPr="00AE47C6" w:rsidRDefault="00BE0B19" w:rsidP="00BE0B19">
      <w:pPr>
        <w:numPr>
          <w:ilvl w:val="0"/>
          <w:numId w:val="294"/>
        </w:numPr>
        <w:tabs>
          <w:tab w:val="num" w:pos="900"/>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Хипербарна оксигенация</w:t>
      </w:r>
    </w:p>
    <w:p w14:paraId="3B8C0D24" w14:textId="77777777" w:rsidR="00BE0B19" w:rsidRPr="00AE47C6" w:rsidRDefault="00BE0B19" w:rsidP="00BE0B19">
      <w:pPr>
        <w:numPr>
          <w:ilvl w:val="0"/>
          <w:numId w:val="294"/>
        </w:numPr>
        <w:tabs>
          <w:tab w:val="num" w:pos="900"/>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Психологична диагностика и интервенция - фамилна</w:t>
      </w:r>
    </w:p>
    <w:p w14:paraId="06E0FA05" w14:textId="77777777" w:rsidR="00BE0B19" w:rsidRPr="00AE47C6" w:rsidRDefault="00BE0B19" w:rsidP="00BE0B19">
      <w:pPr>
        <w:numPr>
          <w:ilvl w:val="0"/>
          <w:numId w:val="294"/>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Логопедична диагностика и интервенция </w:t>
      </w:r>
    </w:p>
    <w:p w14:paraId="7FE4406B" w14:textId="77777777" w:rsidR="00BE0B19" w:rsidRPr="00AE47C6" w:rsidRDefault="00BE0B19" w:rsidP="00BE0B19">
      <w:pPr>
        <w:numPr>
          <w:ilvl w:val="1"/>
          <w:numId w:val="294"/>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хранителна терапия </w:t>
      </w:r>
    </w:p>
    <w:p w14:paraId="72884852" w14:textId="77777777" w:rsidR="00BE0B19" w:rsidRPr="00AE47C6" w:rsidRDefault="00BE0B19" w:rsidP="00BE0B19">
      <w:pPr>
        <w:numPr>
          <w:ilvl w:val="1"/>
          <w:numId w:val="294"/>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пред-речева рехабилитация </w:t>
      </w:r>
    </w:p>
    <w:p w14:paraId="714B70F1" w14:textId="77777777" w:rsidR="00BE0B19" w:rsidRPr="00AE47C6" w:rsidRDefault="00BE0B19" w:rsidP="00BE0B19">
      <w:pPr>
        <w:numPr>
          <w:ilvl w:val="0"/>
          <w:numId w:val="294"/>
        </w:numPr>
        <w:tabs>
          <w:tab w:val="num" w:pos="900"/>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Медикаментозно лечение</w:t>
      </w:r>
    </w:p>
    <w:p w14:paraId="7638B0D4" w14:textId="77777777" w:rsidR="00BE0B19" w:rsidRPr="00AE47C6" w:rsidRDefault="00BE0B19" w:rsidP="00BE0B19">
      <w:pPr>
        <w:numPr>
          <w:ilvl w:val="1"/>
          <w:numId w:val="294"/>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Антиепилептични медикаменти  (при индикации) </w:t>
      </w:r>
    </w:p>
    <w:p w14:paraId="77E4A8C7" w14:textId="77777777" w:rsidR="00BE0B19" w:rsidRPr="00AE47C6" w:rsidRDefault="00BE0B19" w:rsidP="00BE0B19">
      <w:pPr>
        <w:tabs>
          <w:tab w:val="num" w:pos="2160"/>
        </w:tabs>
        <w:spacing w:after="0" w:line="360" w:lineRule="auto"/>
        <w:ind w:left="720" w:firstLine="720"/>
        <w:jc w:val="both"/>
        <w:rPr>
          <w:rFonts w:ascii="Times New Roman" w:eastAsia="SimSun" w:hAnsi="Times New Roman"/>
          <w:sz w:val="24"/>
          <w:szCs w:val="24"/>
        </w:rPr>
      </w:pPr>
    </w:p>
    <w:p w14:paraId="1A2BCC90" w14:textId="77777777" w:rsidR="00BE0B19" w:rsidRPr="00AE47C6" w:rsidRDefault="00BE0B19" w:rsidP="00BE0B19">
      <w:pPr>
        <w:tabs>
          <w:tab w:val="num" w:pos="2160"/>
        </w:tabs>
        <w:spacing w:after="0" w:line="360" w:lineRule="auto"/>
        <w:ind w:left="720" w:firstLine="720"/>
        <w:jc w:val="both"/>
        <w:rPr>
          <w:rFonts w:ascii="Times New Roman" w:eastAsia="SimSun" w:hAnsi="Times New Roman"/>
          <w:b/>
          <w:bCs/>
          <w:sz w:val="24"/>
          <w:szCs w:val="24"/>
          <w:u w:val="single"/>
        </w:rPr>
      </w:pPr>
      <w:r w:rsidRPr="00AE47C6">
        <w:rPr>
          <w:rFonts w:ascii="Times New Roman" w:eastAsia="SimSun" w:hAnsi="Times New Roman"/>
          <w:b/>
          <w:bCs/>
          <w:sz w:val="24"/>
          <w:szCs w:val="24"/>
          <w:u w:val="single"/>
        </w:rPr>
        <w:t xml:space="preserve">От 1г. 6 месеца до 3 години </w:t>
      </w:r>
    </w:p>
    <w:p w14:paraId="1D5363F1" w14:textId="77777777" w:rsidR="00BE0B19" w:rsidRPr="00AE47C6" w:rsidRDefault="00BE0B19" w:rsidP="00BE0B19">
      <w:pPr>
        <w:numPr>
          <w:ilvl w:val="0"/>
          <w:numId w:val="295"/>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Кинезитерапия </w:t>
      </w:r>
    </w:p>
    <w:p w14:paraId="232DCDCC" w14:textId="77777777" w:rsidR="00BE0B19" w:rsidRPr="00AE47C6" w:rsidRDefault="00BE0B19" w:rsidP="00BE0B19">
      <w:pPr>
        <w:numPr>
          <w:ilvl w:val="1"/>
          <w:numId w:val="295"/>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Рефлексно-предизвикано придвижване по Vojta</w:t>
      </w:r>
    </w:p>
    <w:p w14:paraId="2F3CDC42" w14:textId="77777777" w:rsidR="00BE0B19" w:rsidRPr="00AE47C6" w:rsidRDefault="00BE0B19" w:rsidP="00BE0B19">
      <w:pPr>
        <w:numPr>
          <w:ilvl w:val="1"/>
          <w:numId w:val="295"/>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Невроразвойно лечение по Bobath</w:t>
      </w:r>
    </w:p>
    <w:p w14:paraId="4CDA9EF3" w14:textId="77777777" w:rsidR="00BE0B19" w:rsidRPr="00AE47C6" w:rsidRDefault="00BE0B19" w:rsidP="00BE0B19">
      <w:pPr>
        <w:numPr>
          <w:ilvl w:val="1"/>
          <w:numId w:val="295"/>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други</w:t>
      </w:r>
    </w:p>
    <w:p w14:paraId="7A10BB59" w14:textId="77777777" w:rsidR="00BE0B19" w:rsidRPr="00AE47C6" w:rsidRDefault="00BE0B19" w:rsidP="00BE0B19">
      <w:pPr>
        <w:numPr>
          <w:ilvl w:val="0"/>
          <w:numId w:val="295"/>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Ерготерапия</w:t>
      </w:r>
    </w:p>
    <w:p w14:paraId="6EF034D3" w14:textId="77777777" w:rsidR="00BE0B19" w:rsidRPr="00AE47C6" w:rsidRDefault="00BE0B19" w:rsidP="00BE0B19">
      <w:pPr>
        <w:numPr>
          <w:ilvl w:val="0"/>
          <w:numId w:val="312"/>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Вестибуларно стимулиране</w:t>
      </w:r>
    </w:p>
    <w:p w14:paraId="10276749" w14:textId="77777777" w:rsidR="00BE0B19" w:rsidRPr="00AE47C6" w:rsidRDefault="00BE0B19" w:rsidP="00BE0B19">
      <w:pPr>
        <w:numPr>
          <w:ilvl w:val="0"/>
          <w:numId w:val="312"/>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Позиционна терапия</w:t>
      </w:r>
    </w:p>
    <w:p w14:paraId="52B20CE5" w14:textId="77777777" w:rsidR="00BE0B19" w:rsidRPr="00AE47C6" w:rsidRDefault="00BE0B19" w:rsidP="00BE0B19">
      <w:pPr>
        <w:numPr>
          <w:ilvl w:val="0"/>
          <w:numId w:val="312"/>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Рехабилитация на ръка </w:t>
      </w:r>
    </w:p>
    <w:p w14:paraId="13A5A1EF" w14:textId="77777777" w:rsidR="00BE0B19" w:rsidRPr="00AE47C6" w:rsidRDefault="00BE0B19" w:rsidP="00BE0B19">
      <w:pPr>
        <w:numPr>
          <w:ilvl w:val="0"/>
          <w:numId w:val="295"/>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Електростимулации</w:t>
      </w:r>
    </w:p>
    <w:p w14:paraId="54420126" w14:textId="77777777" w:rsidR="00BE0B19" w:rsidRPr="00AE47C6" w:rsidRDefault="00BE0B19" w:rsidP="00BE0B19">
      <w:pPr>
        <w:numPr>
          <w:ilvl w:val="0"/>
          <w:numId w:val="295"/>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Термотерапия (топлинна или студова)</w:t>
      </w:r>
    </w:p>
    <w:p w14:paraId="0332F8E8" w14:textId="77777777" w:rsidR="00BE0B19" w:rsidRPr="00AE47C6" w:rsidRDefault="00BE0B19" w:rsidP="00BE0B19">
      <w:pPr>
        <w:numPr>
          <w:ilvl w:val="0"/>
          <w:numId w:val="295"/>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Ударно-вълнова терапия </w:t>
      </w:r>
    </w:p>
    <w:p w14:paraId="5583978C" w14:textId="77777777" w:rsidR="00BE0B19" w:rsidRPr="00AE47C6" w:rsidRDefault="00BE0B19" w:rsidP="00BE0B19">
      <w:pPr>
        <w:numPr>
          <w:ilvl w:val="0"/>
          <w:numId w:val="295"/>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Хипербарна оксигенация</w:t>
      </w:r>
    </w:p>
    <w:p w14:paraId="3459C9B4" w14:textId="77777777" w:rsidR="00BE0B19" w:rsidRPr="00AE47C6" w:rsidRDefault="00BE0B19" w:rsidP="00BE0B19">
      <w:pPr>
        <w:numPr>
          <w:ilvl w:val="0"/>
          <w:numId w:val="295"/>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Психологични интервенция</w:t>
      </w:r>
    </w:p>
    <w:p w14:paraId="739BC1D3" w14:textId="77777777" w:rsidR="00BE0B19" w:rsidRPr="00AE47C6" w:rsidRDefault="00BE0B19" w:rsidP="00BE0B19">
      <w:pPr>
        <w:numPr>
          <w:ilvl w:val="0"/>
          <w:numId w:val="304"/>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индивидуална  </w:t>
      </w:r>
    </w:p>
    <w:p w14:paraId="3967A7C6" w14:textId="77777777" w:rsidR="00BE0B19" w:rsidRPr="00AE47C6" w:rsidRDefault="00BE0B19" w:rsidP="00BE0B19">
      <w:pPr>
        <w:numPr>
          <w:ilvl w:val="0"/>
          <w:numId w:val="304"/>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фамилна </w:t>
      </w:r>
    </w:p>
    <w:p w14:paraId="589C34F7" w14:textId="77777777" w:rsidR="00BE0B19" w:rsidRPr="00AE47C6" w:rsidRDefault="00BE0B19" w:rsidP="00BE0B19">
      <w:pPr>
        <w:numPr>
          <w:ilvl w:val="0"/>
          <w:numId w:val="295"/>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Логопедична интервенция:</w:t>
      </w:r>
    </w:p>
    <w:p w14:paraId="7BA8BFFE" w14:textId="77777777" w:rsidR="00BE0B19" w:rsidRPr="00AE47C6" w:rsidRDefault="00BE0B19" w:rsidP="00BE0B19">
      <w:pPr>
        <w:numPr>
          <w:ilvl w:val="0"/>
          <w:numId w:val="299"/>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хранителна терапия</w:t>
      </w:r>
    </w:p>
    <w:p w14:paraId="13DA726E" w14:textId="77777777" w:rsidR="00BE0B19" w:rsidRPr="00AE47C6" w:rsidRDefault="00BE0B19" w:rsidP="00BE0B19">
      <w:pPr>
        <w:numPr>
          <w:ilvl w:val="0"/>
          <w:numId w:val="299"/>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пред-речева рехабилитация</w:t>
      </w:r>
    </w:p>
    <w:p w14:paraId="3E64A2E1" w14:textId="77777777" w:rsidR="00BE0B19" w:rsidRPr="00AE47C6" w:rsidRDefault="00BE0B19" w:rsidP="00BE0B19">
      <w:pPr>
        <w:numPr>
          <w:ilvl w:val="0"/>
          <w:numId w:val="295"/>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Лечение с ортези и сплинтове (шини)</w:t>
      </w:r>
    </w:p>
    <w:p w14:paraId="35C95F11" w14:textId="77777777" w:rsidR="00BE0B19" w:rsidRPr="00AE47C6" w:rsidRDefault="00BE0B19" w:rsidP="00BE0B19">
      <w:pPr>
        <w:numPr>
          <w:ilvl w:val="0"/>
          <w:numId w:val="295"/>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 Медикаментозно лечение: </w:t>
      </w:r>
    </w:p>
    <w:p w14:paraId="0950D40A" w14:textId="77777777" w:rsidR="00BE0B19" w:rsidRPr="00AE47C6" w:rsidRDefault="00BE0B19" w:rsidP="00BE0B19">
      <w:pPr>
        <w:numPr>
          <w:ilvl w:val="1"/>
          <w:numId w:val="295"/>
        </w:numPr>
        <w:tabs>
          <w:tab w:val="clear" w:pos="1647"/>
          <w:tab w:val="num" w:pos="1440"/>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Антиепилептични медикаменти  (при индикации) </w:t>
      </w:r>
    </w:p>
    <w:p w14:paraId="7CE33455" w14:textId="77777777" w:rsidR="00BE0B19" w:rsidRPr="00AE47C6" w:rsidRDefault="00BE0B19" w:rsidP="00BE0B19">
      <w:pPr>
        <w:numPr>
          <w:ilvl w:val="1"/>
          <w:numId w:val="295"/>
        </w:numPr>
        <w:tabs>
          <w:tab w:val="clear" w:pos="1647"/>
          <w:tab w:val="num" w:pos="1440"/>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Миорелаксанти – Ashworth&gt; 2ст.: </w:t>
      </w:r>
    </w:p>
    <w:p w14:paraId="335BA3A1" w14:textId="77777777" w:rsidR="00BE0B19" w:rsidRPr="00AE47C6" w:rsidRDefault="00BE0B19" w:rsidP="00BE0B19">
      <w:pPr>
        <w:numPr>
          <w:ilvl w:val="0"/>
          <w:numId w:val="316"/>
        </w:num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перорално - Baclofen, Tolperisone и др. </w:t>
      </w:r>
    </w:p>
    <w:p w14:paraId="5DA12FFA" w14:textId="77777777" w:rsidR="00BE0B19" w:rsidRPr="00AE47C6" w:rsidRDefault="00BE0B19" w:rsidP="00BE0B19">
      <w:pPr>
        <w:numPr>
          <w:ilvl w:val="0"/>
          <w:numId w:val="316"/>
        </w:num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интрамускулно- Ботулинов токсин А след 2 годишна възраст</w:t>
      </w:r>
    </w:p>
    <w:p w14:paraId="0BBA7785" w14:textId="77777777" w:rsidR="00BE0B19" w:rsidRPr="00AE47C6" w:rsidRDefault="00BE0B19" w:rsidP="00BE0B19">
      <w:pPr>
        <w:tabs>
          <w:tab w:val="num" w:pos="2160"/>
        </w:tabs>
        <w:spacing w:after="0" w:line="360" w:lineRule="auto"/>
        <w:ind w:left="720" w:firstLine="720"/>
        <w:jc w:val="both"/>
        <w:rPr>
          <w:rFonts w:ascii="Times New Roman" w:eastAsia="SimSun" w:hAnsi="Times New Roman"/>
          <w:b/>
          <w:bCs/>
          <w:sz w:val="24"/>
          <w:szCs w:val="24"/>
          <w:u w:val="single"/>
        </w:rPr>
      </w:pPr>
      <w:r w:rsidRPr="00AE47C6">
        <w:rPr>
          <w:rFonts w:ascii="Times New Roman" w:eastAsia="SimSun" w:hAnsi="Times New Roman"/>
          <w:b/>
          <w:bCs/>
          <w:sz w:val="24"/>
          <w:szCs w:val="24"/>
          <w:u w:val="single"/>
        </w:rPr>
        <w:t>От 3 до 7 години</w:t>
      </w:r>
    </w:p>
    <w:p w14:paraId="0B87D9CC" w14:textId="77777777" w:rsidR="00BE0B19" w:rsidRPr="00AE47C6" w:rsidRDefault="00BE0B19" w:rsidP="00BE0B19">
      <w:pPr>
        <w:numPr>
          <w:ilvl w:val="0"/>
          <w:numId w:val="296"/>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Кинезитерапия </w:t>
      </w:r>
    </w:p>
    <w:p w14:paraId="75BB2E97" w14:textId="77777777" w:rsidR="00BE0B19" w:rsidRPr="00AE47C6" w:rsidRDefault="00BE0B19" w:rsidP="00BE0B19">
      <w:pPr>
        <w:numPr>
          <w:ilvl w:val="1"/>
          <w:numId w:val="296"/>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Рефлексно предизвикано придвижване по Vojta</w:t>
      </w:r>
    </w:p>
    <w:p w14:paraId="28F73BA3" w14:textId="77777777" w:rsidR="00BE0B19" w:rsidRPr="00AE47C6" w:rsidRDefault="00BE0B19" w:rsidP="00BE0B19">
      <w:pPr>
        <w:numPr>
          <w:ilvl w:val="1"/>
          <w:numId w:val="296"/>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Невроразвойно лечение по Bobath</w:t>
      </w:r>
    </w:p>
    <w:p w14:paraId="2FB79B88" w14:textId="77777777" w:rsidR="00BE0B19" w:rsidRPr="00AE47C6" w:rsidRDefault="00BE0B19" w:rsidP="00BE0B19">
      <w:pPr>
        <w:numPr>
          <w:ilvl w:val="1"/>
          <w:numId w:val="296"/>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Аналитична кинезитерапия</w:t>
      </w:r>
    </w:p>
    <w:p w14:paraId="31D6768A" w14:textId="77777777" w:rsidR="00BE0B19" w:rsidRPr="00AE47C6" w:rsidRDefault="00BE0B19" w:rsidP="00BE0B19">
      <w:pPr>
        <w:numPr>
          <w:ilvl w:val="1"/>
          <w:numId w:val="296"/>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други</w:t>
      </w:r>
    </w:p>
    <w:p w14:paraId="0B8E6693" w14:textId="77777777" w:rsidR="00BE0B19" w:rsidRPr="00AE47C6" w:rsidRDefault="00BE0B19" w:rsidP="00BE0B19">
      <w:pPr>
        <w:numPr>
          <w:ilvl w:val="0"/>
          <w:numId w:val="296"/>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Ерготерапия</w:t>
      </w:r>
    </w:p>
    <w:p w14:paraId="7101D217" w14:textId="77777777" w:rsidR="00BE0B19" w:rsidRPr="00AE47C6" w:rsidRDefault="00BE0B19" w:rsidP="00BE0B19">
      <w:pPr>
        <w:numPr>
          <w:ilvl w:val="0"/>
          <w:numId w:val="314"/>
        </w:num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Вестибуларно стимулиране</w:t>
      </w:r>
    </w:p>
    <w:p w14:paraId="6DE5C180" w14:textId="77777777" w:rsidR="00BE0B19" w:rsidRPr="00AE47C6" w:rsidRDefault="00BE0B19" w:rsidP="00BE0B19">
      <w:pPr>
        <w:numPr>
          <w:ilvl w:val="0"/>
          <w:numId w:val="314"/>
        </w:num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Позиционна терапия</w:t>
      </w:r>
    </w:p>
    <w:p w14:paraId="223D432A" w14:textId="77777777" w:rsidR="00BE0B19" w:rsidRPr="00AE47C6" w:rsidRDefault="00BE0B19" w:rsidP="00BE0B19">
      <w:pPr>
        <w:numPr>
          <w:ilvl w:val="0"/>
          <w:numId w:val="314"/>
        </w:num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Рехабилитация на ръка </w:t>
      </w:r>
    </w:p>
    <w:p w14:paraId="234658E2" w14:textId="77777777" w:rsidR="00BE0B19" w:rsidRPr="00AE47C6" w:rsidRDefault="00BE0B19" w:rsidP="00BE0B19">
      <w:pPr>
        <w:numPr>
          <w:ilvl w:val="0"/>
          <w:numId w:val="314"/>
        </w:numPr>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Дейности от ежедневието</w:t>
      </w:r>
    </w:p>
    <w:p w14:paraId="5CCC9989" w14:textId="77777777" w:rsidR="00BE0B19" w:rsidRPr="00AE47C6" w:rsidRDefault="00BE0B19" w:rsidP="00BE0B19">
      <w:pPr>
        <w:numPr>
          <w:ilvl w:val="0"/>
          <w:numId w:val="296"/>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Механотерапия </w:t>
      </w:r>
    </w:p>
    <w:p w14:paraId="302B08E4" w14:textId="77777777" w:rsidR="00BE0B19" w:rsidRPr="00AE47C6" w:rsidRDefault="00BE0B19" w:rsidP="00BE0B19">
      <w:pPr>
        <w:numPr>
          <w:ilvl w:val="0"/>
          <w:numId w:val="296"/>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Електростимулации </w:t>
      </w:r>
    </w:p>
    <w:p w14:paraId="7E00F0C9" w14:textId="77777777" w:rsidR="00BE0B19" w:rsidRPr="00AE47C6" w:rsidRDefault="00BE0B19" w:rsidP="00BE0B19">
      <w:pPr>
        <w:numPr>
          <w:ilvl w:val="0"/>
          <w:numId w:val="296"/>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Термотерапия (топлинна или студова)</w:t>
      </w:r>
    </w:p>
    <w:p w14:paraId="052246AF" w14:textId="77777777" w:rsidR="00BE0B19" w:rsidRPr="00AE47C6" w:rsidRDefault="00BE0B19" w:rsidP="00BE0B19">
      <w:pPr>
        <w:numPr>
          <w:ilvl w:val="0"/>
          <w:numId w:val="296"/>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Хидротерапия</w:t>
      </w:r>
    </w:p>
    <w:p w14:paraId="0EFE5E33" w14:textId="77777777" w:rsidR="00BE0B19" w:rsidRPr="00AE47C6" w:rsidRDefault="00BE0B19" w:rsidP="00BE0B19">
      <w:pPr>
        <w:numPr>
          <w:ilvl w:val="0"/>
          <w:numId w:val="296"/>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Ударно-вълнова терапия </w:t>
      </w:r>
    </w:p>
    <w:p w14:paraId="4F708DF6" w14:textId="77777777" w:rsidR="00BE0B19" w:rsidRPr="00AE47C6" w:rsidRDefault="00BE0B19" w:rsidP="00BE0B19">
      <w:pPr>
        <w:numPr>
          <w:ilvl w:val="0"/>
          <w:numId w:val="296"/>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Електромиографски-фийдбек (miofeed back) (след 4 - 5 година)</w:t>
      </w:r>
    </w:p>
    <w:p w14:paraId="2C03027E" w14:textId="77777777" w:rsidR="00BE0B19" w:rsidRPr="00AE47C6" w:rsidRDefault="00BE0B19" w:rsidP="00BE0B19">
      <w:pPr>
        <w:numPr>
          <w:ilvl w:val="0"/>
          <w:numId w:val="296"/>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Роботизирана рехабилитация - обучение в ходене/манипулиране (след 4 - 5 година)</w:t>
      </w:r>
    </w:p>
    <w:p w14:paraId="0A835360" w14:textId="77777777" w:rsidR="00BE0B19" w:rsidRPr="00AE47C6" w:rsidRDefault="00BE0B19" w:rsidP="00BE0B19">
      <w:pPr>
        <w:numPr>
          <w:ilvl w:val="0"/>
          <w:numId w:val="296"/>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Хипербарна оксигенация</w:t>
      </w:r>
    </w:p>
    <w:p w14:paraId="6B2234CE" w14:textId="77777777" w:rsidR="00BE0B19" w:rsidRPr="00AE47C6" w:rsidRDefault="00BE0B19" w:rsidP="00BE0B19">
      <w:pPr>
        <w:numPr>
          <w:ilvl w:val="0"/>
          <w:numId w:val="296"/>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Психологична интервенция:</w:t>
      </w:r>
    </w:p>
    <w:p w14:paraId="1A50C61D" w14:textId="77777777" w:rsidR="00BE0B19" w:rsidRPr="00AE47C6" w:rsidRDefault="00BE0B19" w:rsidP="00BE0B19">
      <w:pPr>
        <w:numPr>
          <w:ilvl w:val="0"/>
          <w:numId w:val="300"/>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Индивидуална </w:t>
      </w:r>
    </w:p>
    <w:p w14:paraId="27CD0301" w14:textId="77777777" w:rsidR="00BE0B19" w:rsidRPr="00AE47C6" w:rsidRDefault="00BE0B19" w:rsidP="00BE0B19">
      <w:pPr>
        <w:numPr>
          <w:ilvl w:val="0"/>
          <w:numId w:val="300"/>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Фамилна </w:t>
      </w:r>
    </w:p>
    <w:p w14:paraId="7EF9073D" w14:textId="77777777" w:rsidR="00BE0B19" w:rsidRPr="00AE47C6" w:rsidRDefault="00BE0B19" w:rsidP="00BE0B19">
      <w:pPr>
        <w:numPr>
          <w:ilvl w:val="0"/>
          <w:numId w:val="296"/>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Логопедична интервенция: </w:t>
      </w:r>
    </w:p>
    <w:p w14:paraId="3297B31C" w14:textId="77777777" w:rsidR="00BE0B19" w:rsidRPr="00AE47C6" w:rsidRDefault="00BE0B19" w:rsidP="00BE0B19">
      <w:pPr>
        <w:numPr>
          <w:ilvl w:val="0"/>
          <w:numId w:val="301"/>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Хранителна</w:t>
      </w:r>
    </w:p>
    <w:p w14:paraId="00BF0E12" w14:textId="77777777" w:rsidR="00BE0B19" w:rsidRPr="00AE47C6" w:rsidRDefault="00BE0B19" w:rsidP="00BE0B19">
      <w:pPr>
        <w:numPr>
          <w:ilvl w:val="0"/>
          <w:numId w:val="301"/>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Говорна </w:t>
      </w:r>
    </w:p>
    <w:p w14:paraId="3C8B744C" w14:textId="77777777" w:rsidR="00BE0B19" w:rsidRPr="00AE47C6" w:rsidRDefault="00BE0B19" w:rsidP="00BE0B19">
      <w:pPr>
        <w:numPr>
          <w:ilvl w:val="0"/>
          <w:numId w:val="301"/>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Речева</w:t>
      </w:r>
    </w:p>
    <w:p w14:paraId="4CF96472" w14:textId="77777777" w:rsidR="00BE0B19" w:rsidRPr="00AE47C6" w:rsidRDefault="00BE0B19" w:rsidP="00BE0B19">
      <w:pPr>
        <w:numPr>
          <w:ilvl w:val="0"/>
          <w:numId w:val="296"/>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Дефектологична интервенция </w:t>
      </w:r>
    </w:p>
    <w:p w14:paraId="168F50BE" w14:textId="77777777" w:rsidR="00BE0B19" w:rsidRPr="00AE47C6" w:rsidRDefault="00BE0B19" w:rsidP="00BE0B19">
      <w:pPr>
        <w:numPr>
          <w:ilvl w:val="0"/>
          <w:numId w:val="302"/>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Монтесоритерапия </w:t>
      </w:r>
    </w:p>
    <w:p w14:paraId="13194F02" w14:textId="77777777" w:rsidR="00BE0B19" w:rsidRPr="00AE47C6" w:rsidRDefault="00BE0B19" w:rsidP="00BE0B19">
      <w:pPr>
        <w:numPr>
          <w:ilvl w:val="0"/>
          <w:numId w:val="302"/>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Приложни игри и занимания </w:t>
      </w:r>
    </w:p>
    <w:p w14:paraId="4CF8CC3A" w14:textId="77777777" w:rsidR="00BE0B19" w:rsidRPr="00AE47C6" w:rsidRDefault="00BE0B19" w:rsidP="00BE0B19">
      <w:pPr>
        <w:numPr>
          <w:ilvl w:val="0"/>
          <w:numId w:val="302"/>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Дейности от ежедневния живот </w:t>
      </w:r>
    </w:p>
    <w:p w14:paraId="7FBFB85D" w14:textId="77777777" w:rsidR="00BE0B19" w:rsidRPr="00AE47C6" w:rsidRDefault="00BE0B19" w:rsidP="00BE0B19">
      <w:pPr>
        <w:numPr>
          <w:ilvl w:val="0"/>
          <w:numId w:val="296"/>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Лечение с ортези и сплинтове (шини)</w:t>
      </w:r>
    </w:p>
    <w:p w14:paraId="7910CC2E" w14:textId="77777777" w:rsidR="00BE0B19" w:rsidRPr="00AE47C6" w:rsidRDefault="00BE0B19" w:rsidP="00BE0B19">
      <w:pPr>
        <w:numPr>
          <w:ilvl w:val="0"/>
          <w:numId w:val="296"/>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Медикаментозно лечение:</w:t>
      </w:r>
    </w:p>
    <w:p w14:paraId="1475FF6B" w14:textId="77777777" w:rsidR="00BE0B19" w:rsidRPr="00AE47C6" w:rsidRDefault="00BE0B19" w:rsidP="00BE0B19">
      <w:pPr>
        <w:numPr>
          <w:ilvl w:val="1"/>
          <w:numId w:val="296"/>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Антиепилептични медикаменти  (при индикации) </w:t>
      </w:r>
    </w:p>
    <w:p w14:paraId="0DD46558" w14:textId="77777777" w:rsidR="00BE0B19" w:rsidRPr="00AE47C6" w:rsidRDefault="00BE0B19" w:rsidP="00BE0B19">
      <w:pPr>
        <w:numPr>
          <w:ilvl w:val="1"/>
          <w:numId w:val="296"/>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Миорелаксанти</w:t>
      </w:r>
    </w:p>
    <w:p w14:paraId="2840A0A9" w14:textId="77777777" w:rsidR="00BE0B19" w:rsidRPr="00AE47C6" w:rsidRDefault="00BE0B19" w:rsidP="00BE0B19">
      <w:pPr>
        <w:spacing w:after="0" w:line="360" w:lineRule="auto"/>
        <w:ind w:left="1800" w:firstLine="720"/>
        <w:jc w:val="both"/>
        <w:rPr>
          <w:rFonts w:ascii="Times New Roman" w:eastAsia="SimSun" w:hAnsi="Times New Roman"/>
          <w:sz w:val="24"/>
          <w:szCs w:val="24"/>
        </w:rPr>
      </w:pPr>
      <w:r w:rsidRPr="00AE47C6">
        <w:rPr>
          <w:rFonts w:ascii="Times New Roman" w:eastAsia="SimSun" w:hAnsi="Times New Roman"/>
          <w:sz w:val="24"/>
          <w:szCs w:val="24"/>
        </w:rPr>
        <w:t xml:space="preserve">перорални - Baclofen, Tolperisone и др. </w:t>
      </w:r>
    </w:p>
    <w:p w14:paraId="52603601" w14:textId="77777777" w:rsidR="00BE0B19" w:rsidRPr="00AE47C6" w:rsidRDefault="00BE0B19" w:rsidP="00BE0B19">
      <w:pPr>
        <w:spacing w:after="0" w:line="360" w:lineRule="auto"/>
        <w:ind w:left="1800" w:firstLine="720"/>
        <w:jc w:val="both"/>
        <w:rPr>
          <w:rFonts w:ascii="Times New Roman" w:eastAsia="SimSun" w:hAnsi="Times New Roman"/>
          <w:sz w:val="24"/>
          <w:szCs w:val="24"/>
        </w:rPr>
      </w:pPr>
      <w:r w:rsidRPr="00AE47C6">
        <w:rPr>
          <w:rFonts w:ascii="Times New Roman" w:eastAsia="SimSun" w:hAnsi="Times New Roman"/>
          <w:sz w:val="24"/>
          <w:szCs w:val="24"/>
        </w:rPr>
        <w:t>интрамускулни апликации - Ботулинов токсин А.</w:t>
      </w:r>
    </w:p>
    <w:p w14:paraId="5004B08F" w14:textId="77777777" w:rsidR="00BE0B19" w:rsidRPr="00AE47C6" w:rsidRDefault="00BE0B19" w:rsidP="00BE0B19">
      <w:pPr>
        <w:numPr>
          <w:ilvl w:val="0"/>
          <w:numId w:val="296"/>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Хирургично лечение </w:t>
      </w:r>
    </w:p>
    <w:p w14:paraId="5EF642E0" w14:textId="77777777" w:rsidR="00BE0B19" w:rsidRPr="00AE47C6" w:rsidRDefault="00BE0B19" w:rsidP="00BE0B19">
      <w:pPr>
        <w:numPr>
          <w:ilvl w:val="0"/>
          <w:numId w:val="317"/>
        </w:num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неврохирургично - дорзална ризотомия, баклофенова помпа, стереотаксични намеси - при определени показания с повишен или променлив мускулен тонус.</w:t>
      </w:r>
    </w:p>
    <w:p w14:paraId="28707EEB" w14:textId="77777777" w:rsidR="00BE0B19" w:rsidRPr="00AE47C6" w:rsidRDefault="00BE0B19" w:rsidP="00BE0B19">
      <w:pPr>
        <w:numPr>
          <w:ilvl w:val="0"/>
          <w:numId w:val="317"/>
        </w:num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ортопедично - мекотъканно (при поява на статични и/или динамични контрактури за увеличаване пасивния обем на движение след 5 – 7 година или по-рано при определени показания) или костно-ставно (при поява на деформитети за осигуряване на пасивното движение на ставите в определена равнина). Решение за оперативно лечение да се взима от лекарски екип- ортопед-хирург с детски невролог или лекар по Физикална и Рехабилитационна Медицина. </w:t>
      </w:r>
    </w:p>
    <w:p w14:paraId="7EC1B44A" w14:textId="77777777" w:rsidR="00BE0B19" w:rsidRPr="00AE47C6" w:rsidRDefault="00BE0B19" w:rsidP="00BE0B19">
      <w:pPr>
        <w:tabs>
          <w:tab w:val="num" w:pos="2160"/>
        </w:tabs>
        <w:spacing w:after="0" w:line="360" w:lineRule="auto"/>
        <w:ind w:left="720" w:firstLine="720"/>
        <w:jc w:val="both"/>
        <w:rPr>
          <w:rFonts w:ascii="Times New Roman" w:eastAsia="SimSun" w:hAnsi="Times New Roman"/>
          <w:b/>
          <w:bCs/>
          <w:sz w:val="24"/>
          <w:szCs w:val="24"/>
          <w:u w:val="single"/>
        </w:rPr>
      </w:pPr>
    </w:p>
    <w:p w14:paraId="682E808E" w14:textId="77777777" w:rsidR="00BE0B19" w:rsidRPr="00AE47C6" w:rsidRDefault="00BE0B19" w:rsidP="00BE0B19">
      <w:pPr>
        <w:tabs>
          <w:tab w:val="num" w:pos="2160"/>
        </w:tabs>
        <w:spacing w:after="0" w:line="360" w:lineRule="auto"/>
        <w:ind w:left="720" w:firstLine="720"/>
        <w:jc w:val="both"/>
        <w:rPr>
          <w:rFonts w:ascii="Times New Roman" w:eastAsia="SimSun" w:hAnsi="Times New Roman"/>
          <w:b/>
          <w:bCs/>
          <w:sz w:val="24"/>
          <w:szCs w:val="24"/>
          <w:u w:val="single"/>
        </w:rPr>
      </w:pPr>
      <w:r w:rsidRPr="00AE47C6">
        <w:rPr>
          <w:rFonts w:ascii="Times New Roman" w:eastAsia="SimSun" w:hAnsi="Times New Roman"/>
          <w:b/>
          <w:bCs/>
          <w:sz w:val="24"/>
          <w:szCs w:val="24"/>
          <w:u w:val="single"/>
        </w:rPr>
        <w:t xml:space="preserve">От 7 до 18 години  </w:t>
      </w:r>
    </w:p>
    <w:p w14:paraId="5B06A339" w14:textId="77777777" w:rsidR="00BE0B19" w:rsidRPr="00AE47C6" w:rsidRDefault="00BE0B19" w:rsidP="00BE0B19">
      <w:pPr>
        <w:numPr>
          <w:ilvl w:val="0"/>
          <w:numId w:val="297"/>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Кинезитерапия </w:t>
      </w:r>
    </w:p>
    <w:p w14:paraId="28B0A12B" w14:textId="77777777" w:rsidR="00BE0B19" w:rsidRPr="00AE47C6" w:rsidRDefault="00BE0B19" w:rsidP="00BE0B19">
      <w:pPr>
        <w:numPr>
          <w:ilvl w:val="1"/>
          <w:numId w:val="298"/>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Функционална кинезитерапия</w:t>
      </w:r>
    </w:p>
    <w:p w14:paraId="1B23B1D6" w14:textId="77777777" w:rsidR="00BE0B19" w:rsidRPr="00AE47C6" w:rsidRDefault="00BE0B19" w:rsidP="00BE0B19">
      <w:pPr>
        <w:numPr>
          <w:ilvl w:val="1"/>
          <w:numId w:val="298"/>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Аналитична кинезитерапия</w:t>
      </w:r>
    </w:p>
    <w:p w14:paraId="436A0F98" w14:textId="77777777" w:rsidR="00BE0B19" w:rsidRPr="00AE47C6" w:rsidRDefault="00BE0B19" w:rsidP="00BE0B19">
      <w:pPr>
        <w:numPr>
          <w:ilvl w:val="1"/>
          <w:numId w:val="298"/>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Други</w:t>
      </w:r>
    </w:p>
    <w:p w14:paraId="56E5248A" w14:textId="77777777" w:rsidR="00BE0B19" w:rsidRPr="00AE47C6" w:rsidRDefault="00BE0B19" w:rsidP="00BE0B19">
      <w:pPr>
        <w:numPr>
          <w:ilvl w:val="0"/>
          <w:numId w:val="29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Ерготерапия</w:t>
      </w:r>
    </w:p>
    <w:p w14:paraId="2FB7B8AC" w14:textId="77777777" w:rsidR="00BE0B19" w:rsidRPr="00AE47C6" w:rsidRDefault="00BE0B19" w:rsidP="00BE0B19">
      <w:pPr>
        <w:numPr>
          <w:ilvl w:val="0"/>
          <w:numId w:val="315"/>
        </w:num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позициониране</w:t>
      </w:r>
    </w:p>
    <w:p w14:paraId="36345F99" w14:textId="77777777" w:rsidR="00BE0B19" w:rsidRPr="00AE47C6" w:rsidRDefault="00BE0B19" w:rsidP="00BE0B19">
      <w:pPr>
        <w:numPr>
          <w:ilvl w:val="0"/>
          <w:numId w:val="315"/>
        </w:num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рехабилитация на ръка</w:t>
      </w:r>
    </w:p>
    <w:p w14:paraId="12444481" w14:textId="77777777" w:rsidR="00BE0B19" w:rsidRPr="00AE47C6" w:rsidRDefault="00BE0B19" w:rsidP="00BE0B19">
      <w:pPr>
        <w:numPr>
          <w:ilvl w:val="0"/>
          <w:numId w:val="29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Механотерапия</w:t>
      </w:r>
    </w:p>
    <w:p w14:paraId="6004CD1F" w14:textId="77777777" w:rsidR="00BE0B19" w:rsidRPr="00AE47C6" w:rsidRDefault="00BE0B19" w:rsidP="00BE0B19">
      <w:pPr>
        <w:numPr>
          <w:ilvl w:val="0"/>
          <w:numId w:val="29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Електростимулации </w:t>
      </w:r>
    </w:p>
    <w:p w14:paraId="333E0A4F" w14:textId="77777777" w:rsidR="00BE0B19" w:rsidRPr="00AE47C6" w:rsidRDefault="00BE0B19" w:rsidP="00BE0B19">
      <w:pPr>
        <w:numPr>
          <w:ilvl w:val="0"/>
          <w:numId w:val="29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Термотерапия (топлинна или студова)</w:t>
      </w:r>
    </w:p>
    <w:p w14:paraId="6E1E4FB0" w14:textId="77777777" w:rsidR="00BE0B19" w:rsidRPr="00AE47C6" w:rsidRDefault="00BE0B19" w:rsidP="00BE0B19">
      <w:pPr>
        <w:numPr>
          <w:ilvl w:val="0"/>
          <w:numId w:val="29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Хидротерапия</w:t>
      </w:r>
    </w:p>
    <w:p w14:paraId="1BE40EB9" w14:textId="77777777" w:rsidR="00BE0B19" w:rsidRPr="00AE47C6" w:rsidRDefault="00BE0B19" w:rsidP="00BE0B19">
      <w:pPr>
        <w:numPr>
          <w:ilvl w:val="0"/>
          <w:numId w:val="29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Ударно-вълнова терапия </w:t>
      </w:r>
    </w:p>
    <w:p w14:paraId="17158562" w14:textId="77777777" w:rsidR="00BE0B19" w:rsidRPr="00AE47C6" w:rsidRDefault="00BE0B19" w:rsidP="00BE0B19">
      <w:pPr>
        <w:numPr>
          <w:ilvl w:val="0"/>
          <w:numId w:val="29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Електромиографски фийдбек (myofeed back)</w:t>
      </w:r>
    </w:p>
    <w:p w14:paraId="2FAAC097" w14:textId="77777777" w:rsidR="00BE0B19" w:rsidRPr="00AE47C6" w:rsidRDefault="00BE0B19" w:rsidP="00BE0B19">
      <w:pPr>
        <w:numPr>
          <w:ilvl w:val="0"/>
          <w:numId w:val="297"/>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Роботизирана рехабилитация - обучение в ходене/манипулиране</w:t>
      </w:r>
    </w:p>
    <w:p w14:paraId="44AB3F57" w14:textId="77777777" w:rsidR="00BE0B19" w:rsidRPr="00AE47C6" w:rsidRDefault="00BE0B19" w:rsidP="00BE0B19">
      <w:pPr>
        <w:numPr>
          <w:ilvl w:val="0"/>
          <w:numId w:val="29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Медикаментозно лечение: </w:t>
      </w:r>
    </w:p>
    <w:p w14:paraId="78A9C851" w14:textId="77777777" w:rsidR="00BE0B19" w:rsidRPr="00AE47C6" w:rsidRDefault="00BE0B19" w:rsidP="00BE0B19">
      <w:pPr>
        <w:numPr>
          <w:ilvl w:val="0"/>
          <w:numId w:val="303"/>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Антиепилептични медикаменти (при показания)</w:t>
      </w:r>
    </w:p>
    <w:p w14:paraId="2476B1DB" w14:textId="77777777" w:rsidR="00BE0B19" w:rsidRPr="00AE47C6" w:rsidRDefault="00BE0B19" w:rsidP="00BE0B19">
      <w:pPr>
        <w:numPr>
          <w:ilvl w:val="0"/>
          <w:numId w:val="303"/>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Миорелаксанти </w:t>
      </w:r>
      <w:r w:rsidRPr="00AE47C6">
        <w:rPr>
          <w:rFonts w:ascii="Times New Roman" w:eastAsia="SimSun" w:hAnsi="Times New Roman"/>
          <w:b/>
          <w:bCs/>
          <w:sz w:val="24"/>
          <w:szCs w:val="24"/>
        </w:rPr>
        <w:t xml:space="preserve">- </w:t>
      </w:r>
    </w:p>
    <w:p w14:paraId="7891DDB8" w14:textId="77777777" w:rsidR="00BE0B19" w:rsidRPr="00AE47C6" w:rsidRDefault="00BE0B19" w:rsidP="00BE0B19">
      <w:pPr>
        <w:spacing w:after="0" w:line="360" w:lineRule="auto"/>
        <w:ind w:left="1800" w:firstLine="720"/>
        <w:jc w:val="both"/>
        <w:rPr>
          <w:rFonts w:ascii="Times New Roman" w:eastAsia="SimSun" w:hAnsi="Times New Roman"/>
          <w:sz w:val="24"/>
          <w:szCs w:val="24"/>
        </w:rPr>
      </w:pPr>
      <w:r w:rsidRPr="00AE47C6">
        <w:rPr>
          <w:rFonts w:ascii="Times New Roman" w:eastAsia="SimSun" w:hAnsi="Times New Roman"/>
          <w:sz w:val="24"/>
          <w:szCs w:val="24"/>
        </w:rPr>
        <w:t xml:space="preserve">перорално - Baclofen, Tolperisone и др. </w:t>
      </w:r>
    </w:p>
    <w:p w14:paraId="0EF3E0C5" w14:textId="77777777" w:rsidR="00BE0B19" w:rsidRPr="00AE47C6" w:rsidRDefault="00BE0B19" w:rsidP="00BE0B19">
      <w:pPr>
        <w:spacing w:after="0" w:line="360" w:lineRule="auto"/>
        <w:ind w:left="1800" w:firstLine="720"/>
        <w:jc w:val="both"/>
        <w:rPr>
          <w:rFonts w:ascii="Times New Roman" w:eastAsia="SimSun" w:hAnsi="Times New Roman"/>
          <w:b/>
          <w:bCs/>
          <w:sz w:val="24"/>
          <w:szCs w:val="24"/>
        </w:rPr>
      </w:pPr>
      <w:r w:rsidRPr="00AE47C6">
        <w:rPr>
          <w:rFonts w:ascii="Times New Roman" w:eastAsia="SimSun" w:hAnsi="Times New Roman"/>
          <w:sz w:val="24"/>
          <w:szCs w:val="24"/>
        </w:rPr>
        <w:t>интрамускулни апликации - Ботулинов токсин А.</w:t>
      </w:r>
    </w:p>
    <w:p w14:paraId="3D02A209" w14:textId="77777777" w:rsidR="00BE0B19" w:rsidRPr="00AE47C6" w:rsidRDefault="00BE0B19" w:rsidP="00BE0B19">
      <w:pPr>
        <w:numPr>
          <w:ilvl w:val="0"/>
          <w:numId w:val="29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Психологична интервенция:</w:t>
      </w:r>
    </w:p>
    <w:p w14:paraId="290EFD27" w14:textId="77777777" w:rsidR="00BE0B19" w:rsidRPr="00AE47C6" w:rsidRDefault="00BE0B19" w:rsidP="00BE0B19">
      <w:pPr>
        <w:numPr>
          <w:ilvl w:val="0"/>
          <w:numId w:val="305"/>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Индивидуална </w:t>
      </w:r>
    </w:p>
    <w:p w14:paraId="3F127864" w14:textId="77777777" w:rsidR="00BE0B19" w:rsidRPr="00AE47C6" w:rsidRDefault="00BE0B19" w:rsidP="00BE0B19">
      <w:pPr>
        <w:numPr>
          <w:ilvl w:val="0"/>
          <w:numId w:val="305"/>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Фамилна</w:t>
      </w:r>
    </w:p>
    <w:p w14:paraId="42A16926" w14:textId="77777777" w:rsidR="00BE0B19" w:rsidRPr="00AE47C6" w:rsidRDefault="00BE0B19" w:rsidP="00BE0B19">
      <w:pPr>
        <w:numPr>
          <w:ilvl w:val="0"/>
          <w:numId w:val="29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Логопедична интервенция:</w:t>
      </w:r>
    </w:p>
    <w:p w14:paraId="454BA1F5" w14:textId="77777777" w:rsidR="00BE0B19" w:rsidRPr="00AE47C6" w:rsidRDefault="00BE0B19" w:rsidP="00BE0B19">
      <w:pPr>
        <w:numPr>
          <w:ilvl w:val="0"/>
          <w:numId w:val="306"/>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Говорна рехабилитация</w:t>
      </w:r>
    </w:p>
    <w:p w14:paraId="019114F7" w14:textId="77777777" w:rsidR="00BE0B19" w:rsidRPr="00AE47C6" w:rsidRDefault="00BE0B19" w:rsidP="00BE0B19">
      <w:pPr>
        <w:numPr>
          <w:ilvl w:val="0"/>
          <w:numId w:val="306"/>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Речева рехабилитация </w:t>
      </w:r>
    </w:p>
    <w:p w14:paraId="35DDFCDB" w14:textId="77777777" w:rsidR="00BE0B19" w:rsidRPr="00AE47C6" w:rsidRDefault="00BE0B19" w:rsidP="00BE0B19">
      <w:pPr>
        <w:numPr>
          <w:ilvl w:val="0"/>
          <w:numId w:val="29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Учебни занимания и професионално ориентиране.</w:t>
      </w:r>
    </w:p>
    <w:p w14:paraId="203A2F16" w14:textId="77777777" w:rsidR="00BE0B19" w:rsidRPr="00AE47C6" w:rsidRDefault="00BE0B19" w:rsidP="00BE0B19">
      <w:pPr>
        <w:numPr>
          <w:ilvl w:val="0"/>
          <w:numId w:val="29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Рекреация – спортни дейности, адаптирана физическа активност</w:t>
      </w:r>
    </w:p>
    <w:p w14:paraId="732D0F8B" w14:textId="77777777" w:rsidR="00BE0B19" w:rsidRPr="00AE47C6" w:rsidRDefault="00BE0B19" w:rsidP="00BE0B19">
      <w:pPr>
        <w:numPr>
          <w:ilvl w:val="0"/>
          <w:numId w:val="29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Лечение с ортези и сплинтове (шини)</w:t>
      </w:r>
    </w:p>
    <w:p w14:paraId="22BA3C50" w14:textId="77777777" w:rsidR="00BE0B19" w:rsidRPr="00AE47C6" w:rsidRDefault="00BE0B19" w:rsidP="00BE0B19">
      <w:pPr>
        <w:numPr>
          <w:ilvl w:val="0"/>
          <w:numId w:val="296"/>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Хирургично лечение </w:t>
      </w:r>
    </w:p>
    <w:p w14:paraId="5DA8836E" w14:textId="77777777" w:rsidR="00BE0B19" w:rsidRPr="00AE47C6" w:rsidRDefault="00BE0B19" w:rsidP="00BE0B19">
      <w:pPr>
        <w:numPr>
          <w:ilvl w:val="0"/>
          <w:numId w:val="317"/>
        </w:num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неврохирургично - дорзална ризотомия, баклофенова помпа, стереотаксични намеси - при определени показания с повишен или променлив мускулен тонус.</w:t>
      </w:r>
    </w:p>
    <w:p w14:paraId="24C6FFE9" w14:textId="77777777" w:rsidR="00BE0B19" w:rsidRPr="00AE47C6" w:rsidRDefault="00BE0B19" w:rsidP="00BE0B19">
      <w:pPr>
        <w:numPr>
          <w:ilvl w:val="0"/>
          <w:numId w:val="317"/>
        </w:num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ортопедично - мекотъканно (при поява на статични и/или динамични контрактури за увеличаване пасивния обем на движение след 5-7 година или по-рано при определени показания) или костно-ставно (при поява на деформитети за осигуряване на пасивното движение на ставите в определена равнина). Решение за оперативно лечение да се взима от лекарски екип- ортопед-хирург с детски невролог или лекар по Физикална и Рехабилитационна Медицина</w:t>
      </w:r>
    </w:p>
    <w:p w14:paraId="0154452C" w14:textId="77777777" w:rsidR="00BE0B19" w:rsidRPr="00AE47C6" w:rsidRDefault="00BE0B19" w:rsidP="00BE0B19">
      <w:pPr>
        <w:tabs>
          <w:tab w:val="num" w:pos="2160"/>
        </w:tabs>
        <w:spacing w:after="0" w:line="360" w:lineRule="auto"/>
        <w:ind w:left="720" w:firstLine="720"/>
        <w:jc w:val="both"/>
        <w:rPr>
          <w:rFonts w:ascii="Times New Roman" w:eastAsia="SimSun" w:hAnsi="Times New Roman"/>
          <w:sz w:val="24"/>
          <w:szCs w:val="24"/>
        </w:rPr>
      </w:pPr>
    </w:p>
    <w:p w14:paraId="18EE4CF4" w14:textId="77777777" w:rsidR="00BE0B19" w:rsidRPr="00AE47C6" w:rsidRDefault="00BE0B19" w:rsidP="00BE0B19">
      <w:pPr>
        <w:tabs>
          <w:tab w:val="num" w:pos="2160"/>
        </w:tabs>
        <w:spacing w:after="0" w:line="360" w:lineRule="auto"/>
        <w:ind w:left="720" w:firstLine="720"/>
        <w:jc w:val="both"/>
        <w:rPr>
          <w:rFonts w:ascii="Times New Roman" w:eastAsia="SimSun" w:hAnsi="Times New Roman"/>
          <w:b/>
          <w:bCs/>
          <w:sz w:val="24"/>
          <w:szCs w:val="24"/>
          <w:u w:val="single"/>
        </w:rPr>
      </w:pPr>
      <w:r w:rsidRPr="00AE47C6">
        <w:rPr>
          <w:rFonts w:ascii="Times New Roman" w:eastAsia="SimSun" w:hAnsi="Times New Roman"/>
          <w:b/>
          <w:bCs/>
          <w:sz w:val="24"/>
          <w:szCs w:val="24"/>
          <w:u w:val="single"/>
        </w:rPr>
        <w:t>Над 18 години</w:t>
      </w:r>
    </w:p>
    <w:p w14:paraId="090AE750" w14:textId="77777777" w:rsidR="00BE0B19" w:rsidRPr="00AE47C6" w:rsidRDefault="00BE0B19" w:rsidP="00BE0B19">
      <w:pPr>
        <w:numPr>
          <w:ilvl w:val="0"/>
          <w:numId w:val="307"/>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Кинезитерапия </w:t>
      </w:r>
    </w:p>
    <w:p w14:paraId="0258AFA9" w14:textId="77777777" w:rsidR="00BE0B19" w:rsidRPr="00AE47C6" w:rsidRDefault="00BE0B19" w:rsidP="00BE0B19">
      <w:pPr>
        <w:numPr>
          <w:ilvl w:val="0"/>
          <w:numId w:val="30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Ерготерапия</w:t>
      </w:r>
    </w:p>
    <w:p w14:paraId="1F579C15" w14:textId="77777777" w:rsidR="00BE0B19" w:rsidRPr="00AE47C6" w:rsidRDefault="00BE0B19" w:rsidP="00BE0B19">
      <w:pPr>
        <w:numPr>
          <w:ilvl w:val="0"/>
          <w:numId w:val="30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Механотерапия</w:t>
      </w:r>
    </w:p>
    <w:p w14:paraId="7F0B9DDE" w14:textId="77777777" w:rsidR="00BE0B19" w:rsidRPr="00AE47C6" w:rsidRDefault="00BE0B19" w:rsidP="00BE0B19">
      <w:pPr>
        <w:numPr>
          <w:ilvl w:val="0"/>
          <w:numId w:val="30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Електростимулации </w:t>
      </w:r>
    </w:p>
    <w:p w14:paraId="7BB44ABD" w14:textId="77777777" w:rsidR="00BE0B19" w:rsidRPr="00AE47C6" w:rsidRDefault="00BE0B19" w:rsidP="00BE0B19">
      <w:pPr>
        <w:numPr>
          <w:ilvl w:val="0"/>
          <w:numId w:val="30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Топлинни процедури</w:t>
      </w:r>
    </w:p>
    <w:p w14:paraId="4EA42B45" w14:textId="77777777" w:rsidR="00BE0B19" w:rsidRPr="00AE47C6" w:rsidRDefault="00BE0B19" w:rsidP="00BE0B19">
      <w:pPr>
        <w:numPr>
          <w:ilvl w:val="0"/>
          <w:numId w:val="30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Хидротерапия</w:t>
      </w:r>
    </w:p>
    <w:p w14:paraId="0B1CE497" w14:textId="77777777" w:rsidR="00BE0B19" w:rsidRPr="00AE47C6" w:rsidRDefault="00BE0B19" w:rsidP="00BE0B19">
      <w:pPr>
        <w:numPr>
          <w:ilvl w:val="0"/>
          <w:numId w:val="30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Ударно-вълнова терапия </w:t>
      </w:r>
    </w:p>
    <w:p w14:paraId="6E7A2542" w14:textId="77777777" w:rsidR="00BE0B19" w:rsidRPr="00AE47C6" w:rsidRDefault="00BE0B19" w:rsidP="00BE0B19">
      <w:pPr>
        <w:numPr>
          <w:ilvl w:val="0"/>
          <w:numId w:val="30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Електромиографски-фийдбек (myofeed back)</w:t>
      </w:r>
    </w:p>
    <w:p w14:paraId="5EF43BDA" w14:textId="77777777" w:rsidR="00BE0B19" w:rsidRPr="00AE47C6" w:rsidRDefault="00BE0B19" w:rsidP="00BE0B19">
      <w:pPr>
        <w:numPr>
          <w:ilvl w:val="0"/>
          <w:numId w:val="307"/>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Роботизирана рехабилитация - обучение в ходене/манипулиране</w:t>
      </w:r>
    </w:p>
    <w:p w14:paraId="5AA9032B" w14:textId="77777777" w:rsidR="00BE0B19" w:rsidRPr="00AE47C6" w:rsidRDefault="00BE0B19" w:rsidP="00BE0B19">
      <w:pPr>
        <w:numPr>
          <w:ilvl w:val="0"/>
          <w:numId w:val="30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 xml:space="preserve">Медикаментозно лечение: </w:t>
      </w:r>
    </w:p>
    <w:p w14:paraId="20EB74D2" w14:textId="77777777" w:rsidR="00BE0B19" w:rsidRPr="00AE47C6" w:rsidRDefault="00BE0B19" w:rsidP="00BE0B19">
      <w:pPr>
        <w:numPr>
          <w:ilvl w:val="0"/>
          <w:numId w:val="308"/>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Антиепилептични медикаменти  (при индикации) </w:t>
      </w:r>
    </w:p>
    <w:p w14:paraId="03ED5ADC" w14:textId="77777777" w:rsidR="00BE0B19" w:rsidRPr="00AE47C6" w:rsidRDefault="00BE0B19" w:rsidP="00BE0B19">
      <w:pPr>
        <w:numPr>
          <w:ilvl w:val="0"/>
          <w:numId w:val="308"/>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Миорелаксанти</w:t>
      </w:r>
    </w:p>
    <w:p w14:paraId="43C350BC" w14:textId="77777777" w:rsidR="00BE0B19" w:rsidRPr="00AE47C6" w:rsidRDefault="00BE0B19" w:rsidP="00BE0B19">
      <w:pPr>
        <w:numPr>
          <w:ilvl w:val="0"/>
          <w:numId w:val="299"/>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перорални - Baclofen, Tolperisone и др. </w:t>
      </w:r>
    </w:p>
    <w:p w14:paraId="36FD1995" w14:textId="77777777" w:rsidR="00BE0B19" w:rsidRPr="00AE47C6" w:rsidRDefault="00BE0B19" w:rsidP="00BE0B19">
      <w:pPr>
        <w:numPr>
          <w:ilvl w:val="0"/>
          <w:numId w:val="299"/>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интрамускулни  апликации - Ботулинов токсин А.</w:t>
      </w:r>
    </w:p>
    <w:p w14:paraId="26CB4871" w14:textId="77777777" w:rsidR="00BE0B19" w:rsidRPr="00AE47C6" w:rsidRDefault="00BE0B19" w:rsidP="00BE0B19">
      <w:pPr>
        <w:numPr>
          <w:ilvl w:val="0"/>
          <w:numId w:val="30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Психологични интервенции</w:t>
      </w:r>
    </w:p>
    <w:p w14:paraId="5FA6CC53" w14:textId="77777777" w:rsidR="00BE0B19" w:rsidRPr="00AE47C6" w:rsidRDefault="00BE0B19" w:rsidP="00BE0B19">
      <w:pPr>
        <w:numPr>
          <w:ilvl w:val="0"/>
          <w:numId w:val="307"/>
        </w:numPr>
        <w:tabs>
          <w:tab w:val="num" w:pos="2160"/>
        </w:tabs>
        <w:spacing w:after="0" w:line="360" w:lineRule="auto"/>
        <w:ind w:firstLine="720"/>
        <w:jc w:val="both"/>
        <w:rPr>
          <w:rFonts w:ascii="Times New Roman" w:eastAsia="SimSun" w:hAnsi="Times New Roman"/>
          <w:b/>
          <w:bCs/>
          <w:sz w:val="24"/>
          <w:szCs w:val="24"/>
        </w:rPr>
      </w:pPr>
      <w:r w:rsidRPr="00AE47C6">
        <w:rPr>
          <w:rFonts w:ascii="Times New Roman" w:eastAsia="SimSun" w:hAnsi="Times New Roman"/>
          <w:sz w:val="24"/>
          <w:szCs w:val="24"/>
        </w:rPr>
        <w:t>Рекреация (fit&amp;fun)</w:t>
      </w:r>
    </w:p>
    <w:p w14:paraId="1CF96B9D" w14:textId="77777777" w:rsidR="00BE0B19" w:rsidRPr="00AE47C6" w:rsidRDefault="00BE0B19" w:rsidP="00BE0B19">
      <w:pPr>
        <w:numPr>
          <w:ilvl w:val="0"/>
          <w:numId w:val="307"/>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Лечение с ортези и сплинтове (шини)</w:t>
      </w:r>
    </w:p>
    <w:p w14:paraId="27A2293F" w14:textId="77777777" w:rsidR="00BE0B19" w:rsidRPr="00AE47C6" w:rsidRDefault="00BE0B19" w:rsidP="00BE0B19">
      <w:pPr>
        <w:numPr>
          <w:ilvl w:val="0"/>
          <w:numId w:val="307"/>
        </w:numPr>
        <w:tabs>
          <w:tab w:val="num" w:pos="216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Хирургично лечение </w:t>
      </w:r>
    </w:p>
    <w:p w14:paraId="13152D1B" w14:textId="77777777" w:rsidR="00BE0B19" w:rsidRPr="00AE47C6" w:rsidRDefault="00BE0B19" w:rsidP="00BE0B19">
      <w:pPr>
        <w:numPr>
          <w:ilvl w:val="0"/>
          <w:numId w:val="317"/>
        </w:num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неврохирургично - дорзална ризотомия, баклофенова помпа, стереотаксични намеси - при определени показания с повишен или променлив мускулен тонус.</w:t>
      </w:r>
    </w:p>
    <w:p w14:paraId="2E7028C5" w14:textId="77777777" w:rsidR="00BE0B19" w:rsidRPr="00AE47C6" w:rsidRDefault="00BE0B19" w:rsidP="00BE0B19">
      <w:pPr>
        <w:numPr>
          <w:ilvl w:val="0"/>
          <w:numId w:val="317"/>
        </w:num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ортопедично - мекотъканно (при поява на статични и/или динамични контрактури за увеличаване пасивния обем на движение след 6-7 година или по-рано при определени показания) или костно-ставно (при поява на деформитети за осигуряване на пасивното движение на ставите в определена равнина). Решение за оперативно лечение да се взима от лекарски екип- ортопед-хирург с детски невролог или лекар по Физикална и Рехабилитационна Медицина.</w:t>
      </w:r>
    </w:p>
    <w:p w14:paraId="1FD8DDBE" w14:textId="77777777" w:rsidR="00BE0B19" w:rsidRPr="00AE47C6" w:rsidRDefault="00BE0B19" w:rsidP="00BE0B19">
      <w:pPr>
        <w:tabs>
          <w:tab w:val="num" w:pos="1992"/>
          <w:tab w:val="num" w:pos="2160"/>
        </w:tabs>
        <w:spacing w:after="0" w:line="360" w:lineRule="auto"/>
        <w:ind w:left="720" w:firstLine="720"/>
        <w:jc w:val="both"/>
        <w:rPr>
          <w:rFonts w:ascii="Times New Roman" w:eastAsia="SimSun" w:hAnsi="Times New Roman"/>
          <w:sz w:val="24"/>
          <w:szCs w:val="24"/>
        </w:rPr>
      </w:pPr>
    </w:p>
    <w:p w14:paraId="5DBF8322" w14:textId="77777777" w:rsidR="00BE0B19" w:rsidRPr="00AE47C6" w:rsidRDefault="00BE0B19" w:rsidP="00BE0B19">
      <w:pPr>
        <w:keepNext/>
        <w:keepLines/>
        <w:pageBreakBefore/>
        <w:spacing w:before="480" w:after="480"/>
        <w:outlineLvl w:val="0"/>
        <w:rPr>
          <w:rFonts w:ascii="Times New Roman" w:eastAsia="SimSun" w:hAnsi="Times New Roman"/>
          <w:b/>
          <w:bCs/>
          <w:sz w:val="28"/>
          <w:szCs w:val="28"/>
        </w:rPr>
      </w:pPr>
      <w:bookmarkStart w:id="275" w:name="_Toc155651817"/>
      <w:bookmarkStart w:id="276" w:name="_Toc164075951"/>
      <w:r w:rsidRPr="00AE47C6">
        <w:rPr>
          <w:rFonts w:ascii="Times New Roman" w:eastAsia="SimSun" w:hAnsi="Times New Roman"/>
          <w:b/>
          <w:bCs/>
          <w:sz w:val="28"/>
          <w:szCs w:val="28"/>
        </w:rPr>
        <w:t>13. Главоболие</w:t>
      </w:r>
      <w:bookmarkEnd w:id="275"/>
      <w:bookmarkEnd w:id="276"/>
    </w:p>
    <w:p w14:paraId="1716A9A3" w14:textId="77777777" w:rsidR="00BE0B19" w:rsidRPr="00AE47C6" w:rsidRDefault="00BE0B19" w:rsidP="00BE0B19">
      <w:pPr>
        <w:tabs>
          <w:tab w:val="left" w:pos="851"/>
        </w:tabs>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ab/>
      </w:r>
      <w:r w:rsidRPr="00AE47C6">
        <w:rPr>
          <w:rFonts w:ascii="Times New Roman" w:eastAsia="SimSun" w:hAnsi="Times New Roman"/>
          <w:sz w:val="24"/>
          <w:szCs w:val="24"/>
        </w:rPr>
        <w:t>Главоболието е най-честото оплакване, което пациентите съобщават при посещенията си при различни медицински специалисти. В много случаи то е симптом на неврологично, психично или соматично заболяване. В третото издание на Международната класификация на главоболията (Cephalalgia, 2018 г.) са отдиференцирани първичните и вторични главоболия, които се дължат на друго заболяване и следователно лечението е насочено към основното заболяване.</w:t>
      </w:r>
    </w:p>
    <w:p w14:paraId="5B769679" w14:textId="77777777" w:rsidR="00BE0B19" w:rsidRPr="00AE47C6" w:rsidRDefault="00BE0B19" w:rsidP="00BE0B19">
      <w:pPr>
        <w:tabs>
          <w:tab w:val="left" w:pos="851"/>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b/>
          <w:sz w:val="24"/>
          <w:szCs w:val="24"/>
        </w:rPr>
        <w:t>Първичните типове главоболие</w:t>
      </w:r>
      <w:r w:rsidRPr="00AE47C6">
        <w:rPr>
          <w:rFonts w:ascii="Times New Roman" w:eastAsia="SimSun" w:hAnsi="Times New Roman"/>
          <w:sz w:val="24"/>
          <w:szCs w:val="24"/>
        </w:rPr>
        <w:t xml:space="preserve"> включват мигрената, тензионният тип главоболие и тригеминалните автономни цефалгии. В първичните главоболия е отделена група на други първични главоболия, които са клинично хетерогенни, срещат се по-рядко и не са добре проучени. Те включват главоболие при кашлица, при физическа активност, свързано със сексуална активност, тип ”гръмотевичен удар”, </w:t>
      </w:r>
      <w:bookmarkStart w:id="277" w:name="OLE_LINK1"/>
      <w:r w:rsidRPr="00AE47C6">
        <w:rPr>
          <w:rFonts w:ascii="Times New Roman" w:eastAsia="SimSun" w:hAnsi="Times New Roman"/>
          <w:sz w:val="24"/>
          <w:szCs w:val="24"/>
        </w:rPr>
        <w:t xml:space="preserve">при студени стимули приложени външно, </w:t>
      </w:r>
      <w:bookmarkEnd w:id="277"/>
      <w:r w:rsidRPr="00AE47C6">
        <w:rPr>
          <w:rFonts w:ascii="Times New Roman" w:eastAsia="SimSun" w:hAnsi="Times New Roman"/>
          <w:sz w:val="24"/>
          <w:szCs w:val="24"/>
        </w:rPr>
        <w:t xml:space="preserve">при инхалиране или поглъщане на студени стимули, при натиск, при компресия, при тракция, пробождащо, като монета, хипнагогно и ново ежедневно персистиращо главоболие. </w:t>
      </w:r>
    </w:p>
    <w:p w14:paraId="6F778C00" w14:textId="77777777" w:rsidR="00BE0B19" w:rsidRPr="00AE47C6" w:rsidRDefault="00BE0B19" w:rsidP="00BE0B19">
      <w:pPr>
        <w:tabs>
          <w:tab w:val="left" w:pos="851"/>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Вторичните типове главоболие</w:t>
      </w:r>
      <w:r w:rsidRPr="00AE47C6">
        <w:rPr>
          <w:rFonts w:ascii="Times New Roman" w:eastAsia="SimSun" w:hAnsi="Times New Roman"/>
          <w:sz w:val="24"/>
          <w:szCs w:val="24"/>
        </w:rPr>
        <w:t xml:space="preserve"> включват главоболие при травма или увреждане на главата и шията, при краниално и/или цервикално съдово заболяване, при несъдово интракраниално увреждане, при прием на субстанции или спиране на техния прием, при инфекция, при нарушение на хомеостазата, главоболие или лицева болка при уврежда на краниума, шията, очите, ушите, носа, синусите, зъбите, устата или други лицеви и шийни структури, при психични заболявания, болезнени лезии на краниалните нерви и други лицеви болки и други главоболия. </w:t>
      </w:r>
    </w:p>
    <w:p w14:paraId="5842D95B" w14:textId="77777777" w:rsidR="00BE0B19" w:rsidRPr="00AE47C6" w:rsidRDefault="00BE0B19" w:rsidP="00BE0B19">
      <w:pPr>
        <w:tabs>
          <w:tab w:val="left" w:pos="851"/>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Епидемиологичните</w:t>
      </w:r>
      <w:r w:rsidRPr="00AE47C6">
        <w:rPr>
          <w:rFonts w:ascii="Times New Roman" w:eastAsia="SimSun" w:hAnsi="Times New Roman"/>
          <w:sz w:val="24"/>
          <w:szCs w:val="24"/>
        </w:rPr>
        <w:t xml:space="preserve"> проучвания показват, че </w:t>
      </w:r>
      <w:r w:rsidRPr="00AE47C6">
        <w:rPr>
          <w:rFonts w:ascii="Times New Roman" w:eastAsia="SimSun" w:hAnsi="Times New Roman"/>
          <w:bCs/>
          <w:sz w:val="24"/>
          <w:szCs w:val="24"/>
        </w:rPr>
        <w:t xml:space="preserve">около 51% от популацията (56% от жените и 39% от мъжете) страда от първично главоболие, като често пациентите имат два или повече различни видове главоболие. </w:t>
      </w:r>
      <w:r w:rsidRPr="00AE47C6">
        <w:rPr>
          <w:rFonts w:ascii="Times New Roman" w:eastAsia="SimSun" w:hAnsi="Times New Roman"/>
          <w:sz w:val="24"/>
          <w:szCs w:val="24"/>
        </w:rPr>
        <w:t xml:space="preserve">Болестността от мигрена при мъжете е около 6%, а при жените е 3 пъти по-висока и достига до 18%. Средно за популацията болестността е 10-14%. Кластърното главоболие се среща по рядко, при </w:t>
      </w:r>
      <w:r w:rsidRPr="00AE47C6">
        <w:rPr>
          <w:rFonts w:ascii="Times New Roman" w:eastAsia="SimSun" w:hAnsi="Times New Roman"/>
          <w:bCs/>
          <w:sz w:val="24"/>
          <w:szCs w:val="24"/>
        </w:rPr>
        <w:t>0,07 до 0,4% от популацията</w:t>
      </w:r>
      <w:r w:rsidRPr="00AE47C6">
        <w:rPr>
          <w:rFonts w:ascii="Times New Roman" w:eastAsia="SimSun" w:hAnsi="Times New Roman"/>
          <w:sz w:val="24"/>
          <w:szCs w:val="24"/>
        </w:rPr>
        <w:t xml:space="preserve">, </w:t>
      </w:r>
      <w:r w:rsidRPr="00AE47C6">
        <w:rPr>
          <w:rFonts w:ascii="Times New Roman" w:eastAsia="SimSun" w:hAnsi="Times New Roman"/>
          <w:bCs/>
          <w:sz w:val="24"/>
          <w:szCs w:val="24"/>
        </w:rPr>
        <w:t>4-</w:t>
      </w:r>
      <w:r w:rsidRPr="00AE47C6">
        <w:rPr>
          <w:rFonts w:ascii="Times New Roman" w:eastAsia="SimSun" w:hAnsi="Times New Roman"/>
          <w:sz w:val="24"/>
          <w:szCs w:val="24"/>
        </w:rPr>
        <w:t>6 пъти по-често при мъже. Епизодичното тензионен тип главоболие се среща при 80% от популацията. Хроничното главоболие се среща по-рядко, при 40% от хората. Тензионното главоболие е малко по-често при жени, отколкото при мъже, в съотношение 1,16:1.</w:t>
      </w:r>
    </w:p>
    <w:p w14:paraId="17994D8E"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Патофизиологичните механизми</w:t>
      </w:r>
      <w:r w:rsidRPr="00AE47C6">
        <w:rPr>
          <w:rFonts w:ascii="Times New Roman" w:eastAsia="SimSun" w:hAnsi="Times New Roman"/>
          <w:bCs/>
          <w:sz w:val="24"/>
          <w:szCs w:val="24"/>
        </w:rPr>
        <w:t xml:space="preserve"> на възникването, модулацията и продължителността на главоболието са едни и същи за всички видове. Те са свързани с деполяризация и активиране на ноцицептивните неврони на краниалните нерви (trigeminus, vagus, glossopharyngeus) или горните шийни гръбначномозъчни коренчета. Активацията се предизвиква от механична, химична или възпалителна стимулация на ноцицепторите. След възникването на ноцицептивната аферентация, тя не се различава според стимула, който я предизвиква. </w:t>
      </w:r>
    </w:p>
    <w:p w14:paraId="6F40FDBA"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iCs/>
          <w:sz w:val="24"/>
          <w:szCs w:val="24"/>
        </w:rPr>
        <w:t>Диагнозата</w:t>
      </w:r>
      <w:r w:rsidRPr="00AE47C6">
        <w:rPr>
          <w:rFonts w:ascii="Times New Roman" w:eastAsia="SimSun" w:hAnsi="Times New Roman"/>
          <w:bCs/>
          <w:sz w:val="24"/>
          <w:szCs w:val="24"/>
        </w:rPr>
        <w:t xml:space="preserve"> се поставя въз основа на детайлното описание на главоболието при използване на критериите на Международното Дружество по Главоболие (IHS) от 2018 г. </w:t>
      </w:r>
      <w:r w:rsidRPr="00AE47C6">
        <w:rPr>
          <w:rFonts w:ascii="Times New Roman" w:eastAsia="SimSun" w:hAnsi="Times New Roman"/>
          <w:sz w:val="24"/>
          <w:szCs w:val="24"/>
        </w:rPr>
        <w:t>Преди поставяне на окончателната диагноза и започване на лечението е необходимо пациентът да представи дневник на главоболието, в който поне в продължение на един месец е отбелязвал дните с главоболие от месеца, продължителността и силата на болката (слаба, умерена, силна) и часовете с най-силно главоболие от денонощието.</w:t>
      </w:r>
    </w:p>
    <w:p w14:paraId="2B52AAC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Задълбочената </w:t>
      </w:r>
      <w:r w:rsidRPr="00AE47C6">
        <w:rPr>
          <w:rFonts w:ascii="Times New Roman" w:eastAsia="SimSun" w:hAnsi="Times New Roman"/>
          <w:b/>
          <w:sz w:val="24"/>
          <w:szCs w:val="24"/>
        </w:rPr>
        <w:t>анамнеза</w:t>
      </w:r>
      <w:r w:rsidRPr="00AE47C6">
        <w:rPr>
          <w:rFonts w:ascii="Times New Roman" w:eastAsia="SimSun" w:hAnsi="Times New Roman"/>
          <w:sz w:val="24"/>
          <w:szCs w:val="24"/>
        </w:rPr>
        <w:t xml:space="preserve"> с изясняване на характеристиките на главоболието е най-важна за поставяне на диагнозата, особено при пациенти с повече от един вид главоболие:  </w:t>
      </w:r>
    </w:p>
    <w:p w14:paraId="1D6F5969" w14:textId="77777777" w:rsidR="00BE0B19" w:rsidRPr="00AE47C6" w:rsidRDefault="00BE0B19" w:rsidP="00BE0B19">
      <w:pPr>
        <w:numPr>
          <w:ilvl w:val="0"/>
          <w:numId w:val="182"/>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Ново или старо е главоболието? Първичните главоболия са стари и се проявяват с една и съща характеристика във времето. Най-трудно се поставя диагнозата при пациенти с главоболие започнало през последния месец. Новото главоболие може да бъде старо, което е променило своята характеристика. Промяната само в честотата и силата на старо главоболие не го прави ново.</w:t>
      </w:r>
    </w:p>
    <w:p w14:paraId="53C5C9F0" w14:textId="77777777" w:rsidR="00BE0B19" w:rsidRPr="00AE47C6" w:rsidRDefault="00BE0B19" w:rsidP="00BE0B19">
      <w:pPr>
        <w:numPr>
          <w:ilvl w:val="0"/>
          <w:numId w:val="182"/>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На каква възраст е започнало (каква е неговата продължителност)? Продължителността на главоболието насочва към хронично или злокачествено заболяване. Остро започналото главоболие, особено при наличие на неврологични симптоми изисква спешно и задълбочено изясняване.</w:t>
      </w:r>
    </w:p>
    <w:p w14:paraId="65E0F040" w14:textId="77777777" w:rsidR="00BE0B19" w:rsidRPr="00AE47C6" w:rsidRDefault="00BE0B19" w:rsidP="00BE0B19">
      <w:pPr>
        <w:numPr>
          <w:ilvl w:val="0"/>
          <w:numId w:val="182"/>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 При какви обстоятелства е започнало? </w:t>
      </w:r>
    </w:p>
    <w:p w14:paraId="016DAEF4" w14:textId="77777777" w:rsidR="00BE0B19" w:rsidRPr="00AE47C6" w:rsidRDefault="00BE0B19" w:rsidP="00BE0B19">
      <w:pPr>
        <w:numPr>
          <w:ilvl w:val="0"/>
          <w:numId w:val="182"/>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По кое време на деня започва? </w:t>
      </w:r>
    </w:p>
    <w:p w14:paraId="67DD891A" w14:textId="77777777" w:rsidR="00BE0B19" w:rsidRPr="00AE47C6" w:rsidRDefault="00BE0B19" w:rsidP="00BE0B19">
      <w:pPr>
        <w:numPr>
          <w:ilvl w:val="0"/>
          <w:numId w:val="182"/>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Колко време продължава?</w:t>
      </w:r>
    </w:p>
    <w:p w14:paraId="38E188B5" w14:textId="77777777" w:rsidR="00BE0B19" w:rsidRPr="00AE47C6" w:rsidRDefault="00BE0B19" w:rsidP="00BE0B19">
      <w:pPr>
        <w:numPr>
          <w:ilvl w:val="0"/>
          <w:numId w:val="182"/>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Връзката му с менструалния цикъл, пубертета, бременността и менопаузата. </w:t>
      </w:r>
    </w:p>
    <w:p w14:paraId="3F465A07" w14:textId="77777777" w:rsidR="00BE0B19" w:rsidRPr="00AE47C6" w:rsidRDefault="00BE0B19" w:rsidP="00BE0B19">
      <w:pPr>
        <w:numPr>
          <w:ilvl w:val="0"/>
          <w:numId w:val="182"/>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Честота. </w:t>
      </w:r>
    </w:p>
    <w:p w14:paraId="08F882F5" w14:textId="77777777" w:rsidR="00BE0B19" w:rsidRPr="00AE47C6" w:rsidRDefault="00BE0B19" w:rsidP="00BE0B19">
      <w:pPr>
        <w:numPr>
          <w:ilvl w:val="0"/>
          <w:numId w:val="182"/>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 Локализацията на болката. </w:t>
      </w:r>
    </w:p>
    <w:p w14:paraId="40C49E43" w14:textId="77777777" w:rsidR="00BE0B19" w:rsidRPr="00AE47C6" w:rsidRDefault="00BE0B19" w:rsidP="00BE0B19">
      <w:pPr>
        <w:numPr>
          <w:ilvl w:val="0"/>
          <w:numId w:val="182"/>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Характеристиката на болката. </w:t>
      </w:r>
    </w:p>
    <w:p w14:paraId="51F83F17" w14:textId="77777777" w:rsidR="00BE0B19" w:rsidRPr="00AE47C6" w:rsidRDefault="00BE0B19" w:rsidP="00BE0B19">
      <w:pPr>
        <w:numPr>
          <w:ilvl w:val="0"/>
          <w:numId w:val="182"/>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Придружаващи симптоми</w:t>
      </w:r>
    </w:p>
    <w:p w14:paraId="3B992B86" w14:textId="77777777" w:rsidR="00BE0B19" w:rsidRPr="00AE47C6" w:rsidRDefault="00BE0B19" w:rsidP="00BE0B19">
      <w:pPr>
        <w:numPr>
          <w:ilvl w:val="0"/>
          <w:numId w:val="182"/>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 xml:space="preserve">Какви медикаменти е приемал пациента, в какви дози и какъв е бил техният ефект? </w:t>
      </w:r>
    </w:p>
    <w:p w14:paraId="7E27892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Диагностични методи</w:t>
      </w:r>
      <w:r w:rsidRPr="00AE47C6">
        <w:rPr>
          <w:rFonts w:ascii="Times New Roman" w:eastAsia="SimSun" w:hAnsi="Times New Roman"/>
          <w:sz w:val="24"/>
          <w:szCs w:val="24"/>
        </w:rPr>
        <w:t xml:space="preserve"> или тестове, специфични за поставяне на диагнозата няма. Заболяването се диагностицира чрез строгото спазване на представените критерии за различните главоболия. Провежданите параклинични изследвания спомагат да се изключат вторични главоболия.</w:t>
      </w:r>
    </w:p>
    <w:p w14:paraId="4DC6407D" w14:textId="77777777" w:rsidR="00BE0B19" w:rsidRPr="00AE47C6" w:rsidRDefault="00BE0B19" w:rsidP="00BE0B19">
      <w:pPr>
        <w:numPr>
          <w:ilvl w:val="0"/>
          <w:numId w:val="182"/>
        </w:numPr>
        <w:spacing w:after="0" w:line="360" w:lineRule="auto"/>
        <w:jc w:val="both"/>
        <w:rPr>
          <w:rFonts w:ascii="Times New Roman" w:eastAsia="SimSun" w:hAnsi="Times New Roman"/>
          <w:bCs/>
          <w:sz w:val="24"/>
          <w:szCs w:val="24"/>
        </w:rPr>
      </w:pPr>
      <w:r w:rsidRPr="00AE47C6">
        <w:rPr>
          <w:rFonts w:ascii="Times New Roman" w:eastAsia="SimSun" w:hAnsi="Times New Roman"/>
          <w:b/>
          <w:bCs/>
          <w:iCs/>
          <w:sz w:val="24"/>
          <w:szCs w:val="24"/>
        </w:rPr>
        <w:t>Лабораторните изследвания</w:t>
      </w:r>
      <w:r w:rsidRPr="00AE47C6">
        <w:rPr>
          <w:rFonts w:ascii="Times New Roman" w:eastAsia="SimSun" w:hAnsi="Times New Roman"/>
          <w:bCs/>
          <w:sz w:val="24"/>
          <w:szCs w:val="24"/>
        </w:rPr>
        <w:t xml:space="preserve"> включват пълна кръвна картина, СУЕ (за изключване на темпорален артериит над 45 годишна възраст), биохимия и изследване на урина. При показания се изследват </w:t>
      </w:r>
      <w:r w:rsidRPr="00AE47C6">
        <w:rPr>
          <w:rFonts w:ascii="Times New Roman" w:eastAsia="SimSun" w:hAnsi="Times New Roman"/>
          <w:sz w:val="24"/>
          <w:szCs w:val="24"/>
        </w:rPr>
        <w:t xml:space="preserve">антинуклеарни антитела, </w:t>
      </w:r>
      <w:r w:rsidRPr="00AE47C6">
        <w:rPr>
          <w:rFonts w:ascii="Times New Roman" w:eastAsia="SimSun" w:hAnsi="Times New Roman"/>
          <w:bCs/>
          <w:sz w:val="24"/>
          <w:szCs w:val="24"/>
        </w:rPr>
        <w:t xml:space="preserve">хормони на щитовидната жлеза, пролактин и серология. </w:t>
      </w:r>
    </w:p>
    <w:p w14:paraId="49A4DDA4" w14:textId="77777777" w:rsidR="00BE0B19" w:rsidRPr="00AE47C6" w:rsidRDefault="00BE0B19" w:rsidP="00BE0B19">
      <w:pPr>
        <w:numPr>
          <w:ilvl w:val="0"/>
          <w:numId w:val="182"/>
        </w:num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Невроизобразяващи изследвания</w:t>
      </w:r>
      <w:r w:rsidRPr="00AE47C6">
        <w:rPr>
          <w:rFonts w:ascii="Times New Roman" w:eastAsia="SimSun" w:hAnsi="Times New Roman"/>
          <w:sz w:val="24"/>
          <w:szCs w:val="24"/>
        </w:rPr>
        <w:t xml:space="preserve"> на мозъка се провеждат след консултация с невролог при съмнение за вторично главоболие. </w:t>
      </w:r>
    </w:p>
    <w:p w14:paraId="54D7BB70" w14:textId="77777777" w:rsidR="00BE0B19" w:rsidRPr="00AE47C6" w:rsidRDefault="00BE0B19" w:rsidP="00BE0B19">
      <w:pPr>
        <w:numPr>
          <w:ilvl w:val="1"/>
          <w:numId w:val="182"/>
        </w:numPr>
        <w:spacing w:after="0" w:line="360" w:lineRule="auto"/>
        <w:jc w:val="both"/>
        <w:rPr>
          <w:rFonts w:ascii="Times New Roman" w:eastAsia="SimSun" w:hAnsi="Times New Roman"/>
          <w:bCs/>
          <w:sz w:val="24"/>
          <w:szCs w:val="24"/>
        </w:rPr>
      </w:pPr>
      <w:r w:rsidRPr="00AE47C6">
        <w:rPr>
          <w:rFonts w:ascii="Times New Roman" w:eastAsia="SimSun" w:hAnsi="Times New Roman"/>
          <w:bCs/>
          <w:i/>
          <w:sz w:val="24"/>
          <w:szCs w:val="24"/>
        </w:rPr>
        <w:t>Рентгенография</w:t>
      </w:r>
      <w:r w:rsidRPr="00AE47C6">
        <w:rPr>
          <w:rFonts w:ascii="Times New Roman" w:eastAsia="SimSun" w:hAnsi="Times New Roman"/>
          <w:bCs/>
          <w:sz w:val="24"/>
          <w:szCs w:val="24"/>
        </w:rPr>
        <w:t xml:space="preserve"> се провежда </w:t>
      </w:r>
      <w:r w:rsidRPr="00AE47C6">
        <w:rPr>
          <w:rFonts w:ascii="Times New Roman" w:eastAsia="SimSun" w:hAnsi="Times New Roman"/>
          <w:sz w:val="24"/>
          <w:szCs w:val="24"/>
        </w:rPr>
        <w:t xml:space="preserve">при съмнение за шийна или патология на </w:t>
      </w:r>
      <w:r w:rsidRPr="00AE47C6">
        <w:rPr>
          <w:rFonts w:ascii="Times New Roman" w:eastAsia="SimSun" w:hAnsi="Times New Roman"/>
          <w:bCs/>
          <w:sz w:val="24"/>
          <w:szCs w:val="24"/>
        </w:rPr>
        <w:t xml:space="preserve">темпоромандибуларната става при пациенти с тензионен тип главоболие. </w:t>
      </w:r>
      <w:r w:rsidRPr="00AE47C6">
        <w:rPr>
          <w:rFonts w:ascii="Times New Roman" w:eastAsia="SimSun" w:hAnsi="Times New Roman"/>
          <w:sz w:val="24"/>
          <w:szCs w:val="24"/>
        </w:rPr>
        <w:t>Рентгенологичните данни за цервикална спондилоза рядко са причина за главоболие</w:t>
      </w:r>
      <w:r w:rsidRPr="00AE47C6">
        <w:rPr>
          <w:rFonts w:ascii="Times New Roman" w:eastAsia="SimSun" w:hAnsi="Times New Roman"/>
          <w:bCs/>
          <w:sz w:val="24"/>
          <w:szCs w:val="24"/>
        </w:rPr>
        <w:t>.</w:t>
      </w:r>
    </w:p>
    <w:p w14:paraId="733E8FE0" w14:textId="77777777" w:rsidR="00BE0B19" w:rsidRPr="00AE47C6" w:rsidRDefault="00BE0B19" w:rsidP="00BE0B19">
      <w:pPr>
        <w:numPr>
          <w:ilvl w:val="1"/>
          <w:numId w:val="182"/>
        </w:numPr>
        <w:spacing w:after="0" w:line="360" w:lineRule="auto"/>
        <w:jc w:val="both"/>
        <w:rPr>
          <w:rFonts w:ascii="Times New Roman" w:eastAsia="SimSun" w:hAnsi="Times New Roman"/>
          <w:bCs/>
          <w:sz w:val="24"/>
          <w:szCs w:val="24"/>
        </w:rPr>
      </w:pPr>
      <w:r w:rsidRPr="00AE47C6">
        <w:rPr>
          <w:rFonts w:ascii="Times New Roman" w:eastAsia="SimSun" w:hAnsi="Times New Roman"/>
          <w:bCs/>
          <w:i/>
          <w:iCs/>
          <w:sz w:val="24"/>
          <w:szCs w:val="24"/>
        </w:rPr>
        <w:t>Компютърната томография</w:t>
      </w:r>
      <w:r w:rsidRPr="00AE47C6">
        <w:rPr>
          <w:rFonts w:ascii="Times New Roman" w:eastAsia="SimSun" w:hAnsi="Times New Roman"/>
          <w:bCs/>
          <w:sz w:val="24"/>
          <w:szCs w:val="24"/>
        </w:rPr>
        <w:t xml:space="preserve"> (КТ) се провежда при съмнение за обемен процес в мозъка, абсцес, хидроцефалия, мозъчен оток, инфаркт или кръвоизлив. Чрез КТ не могат да се установят мозъчни аневризми, но те рядко предизвикват главоболие преди да руптурират. Показанията за КТ са установяване на неврологични симптоми, наскоро започнало главоболие и промяна в характера на главоболие, настъпило отдавна. </w:t>
      </w:r>
    </w:p>
    <w:p w14:paraId="42227C8F" w14:textId="77777777" w:rsidR="00BE0B19" w:rsidRPr="00AE47C6" w:rsidRDefault="00BE0B19" w:rsidP="00BE0B19">
      <w:pPr>
        <w:numPr>
          <w:ilvl w:val="1"/>
          <w:numId w:val="182"/>
        </w:numPr>
        <w:spacing w:after="0" w:line="360" w:lineRule="auto"/>
        <w:jc w:val="both"/>
        <w:rPr>
          <w:rFonts w:ascii="Times New Roman" w:eastAsia="SimSun" w:hAnsi="Times New Roman"/>
          <w:bCs/>
          <w:sz w:val="24"/>
          <w:szCs w:val="24"/>
        </w:rPr>
      </w:pPr>
      <w:r w:rsidRPr="00AE47C6">
        <w:rPr>
          <w:rFonts w:ascii="Times New Roman" w:eastAsia="SimSun" w:hAnsi="Times New Roman"/>
          <w:bCs/>
          <w:i/>
          <w:iCs/>
          <w:sz w:val="24"/>
          <w:szCs w:val="24"/>
        </w:rPr>
        <w:t>Магнитно-резонансната томография</w:t>
      </w:r>
      <w:r w:rsidRPr="00AE47C6">
        <w:rPr>
          <w:rFonts w:ascii="Times New Roman" w:eastAsia="SimSun" w:hAnsi="Times New Roman"/>
          <w:bCs/>
          <w:i/>
          <w:sz w:val="24"/>
          <w:szCs w:val="24"/>
        </w:rPr>
        <w:t xml:space="preserve"> (МРТ)</w:t>
      </w:r>
      <w:r w:rsidRPr="00AE47C6">
        <w:rPr>
          <w:rFonts w:ascii="Times New Roman" w:eastAsia="SimSun" w:hAnsi="Times New Roman"/>
          <w:bCs/>
          <w:sz w:val="24"/>
          <w:szCs w:val="24"/>
        </w:rPr>
        <w:t xml:space="preserve"> дава възможност за по-ранно визуализиране на патологията на меките тъкани. Показана е при пациенти със съмнение за обемен процес в задната черепна ямка (която не се визуализира добре с КТ) и ствола, както и демиелинизиращ процес. МРТ ангиография е показана за идентифициране на малки аневризми и мозъчен ангиит. </w:t>
      </w:r>
    </w:p>
    <w:p w14:paraId="40116147" w14:textId="77777777" w:rsidR="00BE0B19" w:rsidRPr="00AE47C6" w:rsidRDefault="00BE0B19" w:rsidP="00BE0B19">
      <w:pPr>
        <w:numPr>
          <w:ilvl w:val="0"/>
          <w:numId w:val="182"/>
        </w:num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Ултразвуковите методи</w:t>
      </w:r>
      <w:r w:rsidRPr="00AE47C6">
        <w:rPr>
          <w:rFonts w:ascii="Times New Roman" w:eastAsia="SimSun" w:hAnsi="Times New Roman"/>
          <w:sz w:val="24"/>
          <w:szCs w:val="24"/>
        </w:rPr>
        <w:t xml:space="preserve"> за изследване на нервната система (недоплерови, доплерови и комбинирани) се прилагат при съмнение за вторично главоболие. Пациентът се насочва за това изследване от невролог. </w:t>
      </w:r>
    </w:p>
    <w:p w14:paraId="75CDA6C6" w14:textId="77777777" w:rsidR="00BE0B19" w:rsidRPr="00AE47C6" w:rsidRDefault="00BE0B19" w:rsidP="00BE0B19">
      <w:pPr>
        <w:numPr>
          <w:ilvl w:val="0"/>
          <w:numId w:val="182"/>
        </w:num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Неврофизиологичните изследвания</w:t>
      </w:r>
      <w:r w:rsidRPr="00AE47C6">
        <w:rPr>
          <w:rFonts w:ascii="Times New Roman" w:eastAsia="SimSun" w:hAnsi="Times New Roman"/>
          <w:sz w:val="24"/>
          <w:szCs w:val="24"/>
        </w:rPr>
        <w:t xml:space="preserve"> (ЕЕГ, евокирани потенциали, транскраниалната магнитна стимулация) показват променена корова възбудимост, по време на пристъп и в междупристъпния период. Тези неспецифични промени, както и отклоненията в ЕЕГ, които се намират при около 20% от пациентите  нямат диагностична стойност. Неврофизиологичните изследвания може да имат диагностична стойност за изключване на вторично главоболие. Преценка за провеждането се прави от невролог.</w:t>
      </w:r>
    </w:p>
    <w:p w14:paraId="6D83ECCB" w14:textId="77777777" w:rsidR="00BE0B19" w:rsidRPr="00AE47C6" w:rsidRDefault="00BE0B19" w:rsidP="00BE0B19">
      <w:pPr>
        <w:numPr>
          <w:ilvl w:val="0"/>
          <w:numId w:val="182"/>
        </w:numPr>
        <w:spacing w:after="0" w:line="360" w:lineRule="auto"/>
        <w:jc w:val="both"/>
        <w:rPr>
          <w:rFonts w:ascii="Times New Roman" w:eastAsia="SimSun" w:hAnsi="Times New Roman"/>
          <w:bCs/>
          <w:sz w:val="24"/>
          <w:szCs w:val="24"/>
        </w:rPr>
      </w:pPr>
      <w:r w:rsidRPr="00AE47C6">
        <w:rPr>
          <w:rFonts w:ascii="Times New Roman" w:eastAsia="SimSun" w:hAnsi="Times New Roman"/>
          <w:b/>
          <w:sz w:val="24"/>
          <w:szCs w:val="24"/>
        </w:rPr>
        <w:t>Биопсия</w:t>
      </w:r>
      <w:r w:rsidRPr="00AE47C6">
        <w:rPr>
          <w:rFonts w:ascii="Times New Roman" w:eastAsia="SimSun" w:hAnsi="Times New Roman"/>
          <w:sz w:val="24"/>
          <w:szCs w:val="24"/>
        </w:rPr>
        <w:t xml:space="preserve"> от темпоралната артерия се извършват при съмнения за темпорален артериит.</w:t>
      </w:r>
    </w:p>
    <w:p w14:paraId="7920131D" w14:textId="77777777" w:rsidR="00BE0B19" w:rsidRPr="00AE47C6" w:rsidRDefault="00BE0B19" w:rsidP="00BE0B19">
      <w:pPr>
        <w:numPr>
          <w:ilvl w:val="0"/>
          <w:numId w:val="182"/>
        </w:numPr>
        <w:spacing w:after="0" w:line="360" w:lineRule="auto"/>
        <w:jc w:val="both"/>
        <w:rPr>
          <w:rFonts w:ascii="Times New Roman" w:eastAsia="SimSun" w:hAnsi="Times New Roman"/>
          <w:bCs/>
          <w:sz w:val="24"/>
          <w:szCs w:val="24"/>
        </w:rPr>
      </w:pPr>
      <w:r w:rsidRPr="00AE47C6">
        <w:rPr>
          <w:rFonts w:ascii="Times New Roman" w:eastAsia="SimSun" w:hAnsi="Times New Roman"/>
          <w:b/>
          <w:bCs/>
          <w:sz w:val="24"/>
          <w:szCs w:val="24"/>
        </w:rPr>
        <w:t>Лумбалната пункция</w:t>
      </w:r>
      <w:r w:rsidRPr="00AE47C6">
        <w:rPr>
          <w:rFonts w:ascii="Times New Roman" w:eastAsia="SimSun" w:hAnsi="Times New Roman"/>
          <w:bCs/>
          <w:sz w:val="24"/>
          <w:szCs w:val="24"/>
        </w:rPr>
        <w:t xml:space="preserve"> е необходима при съмнение за повишено вътречерепно налягане, грануломатозно възпаление, като саркоидоза, менингеално засягане от малигнен процес, Лаймска болест, криптококова инфекция и туберкулоза. </w:t>
      </w:r>
    </w:p>
    <w:p w14:paraId="5E8A4AFA" w14:textId="77777777" w:rsidR="00BE0B19" w:rsidRPr="00AE47C6" w:rsidRDefault="00BE0B19" w:rsidP="00BE0B19">
      <w:pPr>
        <w:numPr>
          <w:ilvl w:val="0"/>
          <w:numId w:val="182"/>
        </w:numPr>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Офталмологично изследване</w:t>
      </w:r>
      <w:r w:rsidRPr="00AE47C6">
        <w:rPr>
          <w:rFonts w:ascii="Times New Roman" w:eastAsia="SimSun" w:hAnsi="Times New Roman"/>
          <w:sz w:val="24"/>
          <w:szCs w:val="24"/>
        </w:rPr>
        <w:t xml:space="preserve"> се налага при съмнение за остро настъпила глаукома и за евентуална корекция на рефракцията.</w:t>
      </w:r>
    </w:p>
    <w:p w14:paraId="7A6B3401"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bCs/>
          <w:sz w:val="24"/>
          <w:szCs w:val="24"/>
        </w:rPr>
        <w:t>Работоспособността</w:t>
      </w:r>
      <w:r w:rsidRPr="00AE47C6">
        <w:rPr>
          <w:rFonts w:ascii="Times New Roman" w:eastAsia="SimSun" w:hAnsi="Times New Roman"/>
          <w:bCs/>
          <w:sz w:val="24"/>
          <w:szCs w:val="24"/>
        </w:rPr>
        <w:t xml:space="preserve"> при 15% от пациентите по време на пристъп от главоболие е намалена и те отсъстват от работа. Пациентите с мигрена не могат да работят 2-6 дни в месеца. Тензионният тип главоболие се отразява по-малко на работоспособността отколкото мигрената, при която пристъпите са тежки. Социалната значимост на тензионният тип главоболие обаче не е по-малка, защото то се среща по-често. </w:t>
      </w:r>
    </w:p>
    <w:p w14:paraId="7DB70CBC" w14:textId="77777777" w:rsidR="00BE0B19" w:rsidRPr="00AE47C6" w:rsidRDefault="00BE0B19" w:rsidP="00BE0B19">
      <w:pPr>
        <w:tabs>
          <w:tab w:val="left" w:pos="851"/>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Пациентите в голям процент от случаите провеждат самолечение, предимно с неопиатни аналгетици, което довежда до привикване поради използването им в големи количества, без особен ефект, хронифициране на страданието и съчетаването му с медикаментозно предизвикано главоболие. От друга страна една трета от страдащите или никога не са посещавали лекар, или много скоро прекратяват визитите поради недостатъчния ефект от провежданото лечение. Самите лекари не винаги имат необходимите знания и опит за диагностициране и адекватно лечение на тези типове главоболия и нерядко пациентите излишно се насочват за диагностично уточняване в болнична обстановка, като се провеждат множество излишни изследвания, което допълнително ги оскъпява. </w:t>
      </w:r>
    </w:p>
    <w:p w14:paraId="72708A98"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bCs/>
          <w:sz w:val="24"/>
          <w:szCs w:val="24"/>
        </w:rPr>
        <w:t>Диференциалната диагноза</w:t>
      </w:r>
      <w:r w:rsidRPr="00AE47C6">
        <w:rPr>
          <w:rFonts w:ascii="Times New Roman" w:eastAsia="SimSun" w:hAnsi="Times New Roman"/>
          <w:bCs/>
          <w:sz w:val="24"/>
          <w:szCs w:val="24"/>
        </w:rPr>
        <w:t xml:space="preserve"> на главоболието включва на първо място отдиференциране на първичните от вторични главоболия. За отдиференциране на вторичните главоболия голямо значение имат т.н. “червени знамена”: остро започнало главоболие, което е необичайно силно или се влошава в рамките на 24 часа, начало над 50 годишна възраст, прогресиращо развитие, промяна в патерна на съществуващо главоболие, провокиращо се или внезапно започнало от физическо усилие, поява на температура, общи или неврологични симптоми. Наличието на „червени знамена” налага използване на диагностични методи за отдиференциране на основното заболяване.</w:t>
      </w:r>
    </w:p>
    <w:p w14:paraId="6281E4A0"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На второ място се прави диференциална диагноза между различните първични главоболия.</w:t>
      </w:r>
    </w:p>
    <w:p w14:paraId="4925F58A"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278" w:name="_Toc155651818"/>
      <w:bookmarkStart w:id="279" w:name="_Toc164075952"/>
      <w:r w:rsidRPr="00AE47C6">
        <w:rPr>
          <w:rFonts w:ascii="Times New Roman" w:eastAsia="SimSun" w:hAnsi="Times New Roman"/>
          <w:b/>
          <w:sz w:val="24"/>
          <w:szCs w:val="24"/>
        </w:rPr>
        <w:t>13.1. Мигрена</w:t>
      </w:r>
      <w:bookmarkEnd w:id="278"/>
      <w:bookmarkEnd w:id="279"/>
    </w:p>
    <w:p w14:paraId="5049879F"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Определение </w:t>
      </w:r>
    </w:p>
    <w:p w14:paraId="2FE4CC75" w14:textId="77777777" w:rsidR="00BE0B19" w:rsidRPr="00AE47C6" w:rsidRDefault="00BE0B19" w:rsidP="00BE0B19">
      <w:pPr>
        <w:numPr>
          <w:ilvl w:val="0"/>
          <w:numId w:val="331"/>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Мигрената е идиопатично хронично заболяване, което се характеризира с пристъпи от повтарящо се главоболие, продължаващо 4 -72 часа. В типичните случаи то се представя с едностранна локализация, пулсиращ характер, умерено или тежко по интензивност, засилващо се от обичайна ежедневна активност и се придружава от гадене, повръщане, фото- и фонофобия. </w:t>
      </w:r>
    </w:p>
    <w:p w14:paraId="77847B58"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307CCCD1"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sz w:val="24"/>
          <w:szCs w:val="24"/>
        </w:rPr>
        <w:t>Патофизиологията</w:t>
      </w:r>
      <w:r w:rsidRPr="00AE47C6">
        <w:rPr>
          <w:rFonts w:ascii="Times New Roman" w:eastAsia="SimSun" w:hAnsi="Times New Roman"/>
          <w:sz w:val="24"/>
          <w:szCs w:val="24"/>
        </w:rPr>
        <w:t xml:space="preserve"> е свързана с </w:t>
      </w:r>
      <w:r w:rsidRPr="00AE47C6">
        <w:rPr>
          <w:rFonts w:ascii="Times New Roman" w:eastAsia="SimSun" w:hAnsi="Times New Roman"/>
          <w:bCs/>
          <w:sz w:val="24"/>
          <w:szCs w:val="24"/>
        </w:rPr>
        <w:t>повишена мозъчна възбудимост, вследствие на абнормности в калциевите мембранни канали и вторични съдови промени</w:t>
      </w:r>
      <w:r w:rsidRPr="00AE47C6">
        <w:rPr>
          <w:rFonts w:ascii="Times New Roman" w:eastAsia="SimSun" w:hAnsi="Times New Roman"/>
          <w:sz w:val="24"/>
          <w:szCs w:val="24"/>
        </w:rPr>
        <w:t>. Особено важна е първоначалната активация на тригеминоваскуларната система от вълната на</w:t>
      </w:r>
      <w:r w:rsidRPr="00AE47C6">
        <w:rPr>
          <w:rFonts w:ascii="Times New Roman" w:eastAsia="SimSun" w:hAnsi="Times New Roman"/>
          <w:bCs/>
          <w:sz w:val="24"/>
          <w:szCs w:val="24"/>
        </w:rPr>
        <w:t xml:space="preserve"> деполяризация (невронна и глиална хипервъзбудимост) в мозъчната кора</w:t>
      </w:r>
      <w:r w:rsidRPr="00AE47C6">
        <w:rPr>
          <w:rFonts w:ascii="Times New Roman" w:eastAsia="SimSun" w:hAnsi="Times New Roman"/>
          <w:sz w:val="24"/>
          <w:szCs w:val="24"/>
        </w:rPr>
        <w:t xml:space="preserve">, която предизвиква аурата. Разпространяващата се корова деполяризация (депресия) предизвиква промени и в мозъчния кръвоток – настъпва олигемия, с продължителност от 2 до 6 часа, следваща скоростта и посоката на вълната. </w:t>
      </w:r>
      <w:r w:rsidRPr="00AE47C6">
        <w:rPr>
          <w:rFonts w:ascii="Times New Roman" w:eastAsia="SimSun" w:hAnsi="Times New Roman"/>
          <w:bCs/>
          <w:sz w:val="24"/>
          <w:szCs w:val="24"/>
        </w:rPr>
        <w:t>Локалното освобождаване на невропептиди (субстанция Р, неврокинин А и</w:t>
      </w:r>
      <w:r w:rsidRPr="00AE47C6">
        <w:rPr>
          <w:rFonts w:ascii="Times New Roman" w:eastAsia="SimSun" w:hAnsi="Times New Roman"/>
          <w:sz w:val="24"/>
          <w:szCs w:val="24"/>
        </w:rPr>
        <w:t xml:space="preserve"> </w:t>
      </w:r>
      <w:r w:rsidRPr="00AE47C6">
        <w:rPr>
          <w:rFonts w:ascii="Times New Roman" w:eastAsia="SimSun" w:hAnsi="Times New Roman"/>
          <w:bCs/>
          <w:sz w:val="24"/>
          <w:szCs w:val="24"/>
        </w:rPr>
        <w:t xml:space="preserve">калцитонин генно свързан пептид - CGRP) води до вазодилатация и асептично неврогенно възпаление на дуралните и менингеалните кръвоносни съдове. </w:t>
      </w:r>
      <w:r w:rsidRPr="00AE47C6">
        <w:rPr>
          <w:rFonts w:ascii="Times New Roman" w:eastAsia="SimSun" w:hAnsi="Times New Roman"/>
          <w:sz w:val="24"/>
          <w:szCs w:val="24"/>
        </w:rPr>
        <w:t xml:space="preserve">Съдовите промени засягат предимно малките кръвоносни съдове и представляват епифеномен, предизвикан вторично от неврогенните механизми. </w:t>
      </w:r>
      <w:r w:rsidRPr="00AE47C6">
        <w:rPr>
          <w:rFonts w:ascii="Times New Roman" w:eastAsia="SimSun" w:hAnsi="Times New Roman"/>
          <w:bCs/>
          <w:sz w:val="24"/>
          <w:szCs w:val="24"/>
        </w:rPr>
        <w:t>Разширяването и асептичното възпаление на дуралните съдове е под серотонинергичен контрол. Агонистите на 5-HT</w:t>
      </w:r>
      <w:r w:rsidRPr="00AE47C6">
        <w:rPr>
          <w:rFonts w:ascii="Times New Roman" w:eastAsia="SimSun" w:hAnsi="Times New Roman"/>
          <w:bCs/>
          <w:sz w:val="24"/>
          <w:szCs w:val="24"/>
          <w:vertAlign w:val="subscript"/>
        </w:rPr>
        <w:t>1B/1D</w:t>
      </w:r>
      <w:r w:rsidRPr="00AE47C6">
        <w:rPr>
          <w:rFonts w:ascii="Times New Roman" w:eastAsia="SimSun" w:hAnsi="Times New Roman"/>
          <w:bCs/>
          <w:sz w:val="24"/>
          <w:szCs w:val="24"/>
        </w:rPr>
        <w:t xml:space="preserve"> рецепторите потискат освобождаването на невропептиди и прекратяват вазодилатацията, стерилното възпаление и главоболието. </w:t>
      </w:r>
    </w:p>
    <w:p w14:paraId="3ECA2C7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Класификацията</w:t>
      </w:r>
      <w:r w:rsidRPr="00AE47C6">
        <w:rPr>
          <w:rFonts w:ascii="Times New Roman" w:eastAsia="SimSun" w:hAnsi="Times New Roman"/>
          <w:sz w:val="24"/>
          <w:szCs w:val="24"/>
        </w:rPr>
        <w:t xml:space="preserve"> включва основно два типа мигрена – без аура и с аура. Подразделя се също на епизодична и хронична. Когато пристъпите са повече от 15 месечно (от които поне 8 са типични мигренни) в продължение на повече от 3 месеца е налице хронична мигрена.</w:t>
      </w:r>
      <w:r w:rsidRPr="00AE47C6">
        <w:rPr>
          <w:rFonts w:ascii="Times New Roman" w:eastAsia="SimSun" w:hAnsi="Times New Roman"/>
        </w:rPr>
        <w:t xml:space="preserve"> </w:t>
      </w:r>
      <w:r w:rsidRPr="00AE47C6">
        <w:rPr>
          <w:rFonts w:ascii="Times New Roman" w:eastAsia="SimSun" w:hAnsi="Times New Roman"/>
          <w:bCs/>
          <w:sz w:val="24"/>
          <w:szCs w:val="24"/>
        </w:rPr>
        <w:t xml:space="preserve">Различават се и различни </w:t>
      </w:r>
      <w:r w:rsidRPr="00AE47C6">
        <w:rPr>
          <w:rFonts w:ascii="Times New Roman" w:eastAsia="SimSun" w:hAnsi="Times New Roman"/>
          <w:bCs/>
          <w:i/>
          <w:sz w:val="24"/>
          <w:szCs w:val="24"/>
        </w:rPr>
        <w:t>варианти</w:t>
      </w:r>
      <w:r w:rsidRPr="00AE47C6">
        <w:rPr>
          <w:rFonts w:ascii="Times New Roman" w:eastAsia="SimSun" w:hAnsi="Times New Roman"/>
          <w:bCs/>
          <w:sz w:val="24"/>
          <w:szCs w:val="24"/>
        </w:rPr>
        <w:t>. Вариантите на мигрената с аура са: типична аура с мигренно главоболие, типична аура без главоболие, мигрена със стволова аура, хемиплегична мигрена и ретинна мигрена. Периодичните синдроми в детска възраст, предшественици на мигрената включват: рекурентни гастроинтестинални нарушения (циклично повръщане, абдоминална мигрена), бенигнено пароксизмално вертиго и бенигнен пароксизмален тортиколис в детска възраст. Усложненията на мигрената включват мигренен статус (мигренен пристъп продължаващ над 72 часа), персистираща аура без мозъчен инфаркт, мигренен мозъчен инфаркт и тригерирани от мигренна аура епилептични припадъци. При 10% от жените мигрената настъпва предимно по време на менструалния цикъл и е типично без аура. Тези пристъпи са с по-дълга продължителност и се придружават от изразено гадене.</w:t>
      </w:r>
      <w:r w:rsidRPr="00AE47C6">
        <w:rPr>
          <w:rFonts w:ascii="Times New Roman" w:eastAsia="SimSun" w:hAnsi="Times New Roman"/>
          <w:bCs/>
          <w:i/>
          <w:sz w:val="24"/>
          <w:szCs w:val="24"/>
        </w:rPr>
        <w:t xml:space="preserve"> Менструалната мигрена</w:t>
      </w:r>
      <w:r w:rsidRPr="00AE47C6">
        <w:rPr>
          <w:rFonts w:ascii="Times New Roman" w:eastAsia="SimSun" w:hAnsi="Times New Roman"/>
          <w:bCs/>
          <w:sz w:val="24"/>
          <w:szCs w:val="24"/>
        </w:rPr>
        <w:t xml:space="preserve"> се определя като пристъпи, които настъпват само от 2 дни преди менструацията до третия ден от менструалния цикъл. Диагнозата се поставя при наличие на главоболие при два от три менструални цикъла. Може да се определи като менструална мигрена без аура, менструална мигрена с аура или менструално свързана мигрена (главоболието възниква и извън менструалния цикъл) с и без аура.</w:t>
      </w:r>
    </w:p>
    <w:p w14:paraId="6D19AAF2"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bCs/>
          <w:sz w:val="24"/>
          <w:szCs w:val="24"/>
        </w:rPr>
        <w:t>Клинично</w:t>
      </w:r>
      <w:r w:rsidRPr="00AE47C6">
        <w:rPr>
          <w:rFonts w:ascii="Times New Roman" w:eastAsia="SimSun" w:hAnsi="Times New Roman"/>
          <w:bCs/>
          <w:sz w:val="24"/>
          <w:szCs w:val="24"/>
        </w:rPr>
        <w:t xml:space="preserve"> напълно разгърнатия мигренен пристъп протича в четири фази: продроми, аура, главоболие и придружаващи симптоми, постдроми. </w:t>
      </w:r>
    </w:p>
    <w:p w14:paraId="0CC00991"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i/>
          <w:sz w:val="24"/>
          <w:szCs w:val="24"/>
        </w:rPr>
        <w:t>Продромите</w:t>
      </w:r>
      <w:r w:rsidRPr="00AE47C6">
        <w:rPr>
          <w:rFonts w:ascii="Times New Roman" w:eastAsia="SimSun" w:hAnsi="Times New Roman"/>
          <w:bCs/>
          <w:sz w:val="24"/>
          <w:szCs w:val="24"/>
        </w:rPr>
        <w:t xml:space="preserve"> се наблюдават при 60-90% от пациентите, часове или 1-2 дни преди пристъпа, по-често при мигрена без аура. Най-честите симптоми са тревожност (46%), стягане в шията, фонофобия (42%), фотофобия, раздразнителност (42%), прозяване, (30%), нарушения на настроението (депресия или еуфория) и апетита, ненаситно желание за консумация на шоколад, умора, сънливост, гадене, размазано зрение, прозяване, бледост и други автономни симптоми. </w:t>
      </w:r>
    </w:p>
    <w:p w14:paraId="3E3BB8B2"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i/>
          <w:sz w:val="24"/>
          <w:szCs w:val="24"/>
        </w:rPr>
        <w:t>Аурата</w:t>
      </w:r>
      <w:r w:rsidRPr="00AE47C6">
        <w:rPr>
          <w:rFonts w:ascii="Times New Roman" w:eastAsia="SimSun" w:hAnsi="Times New Roman"/>
          <w:bCs/>
          <w:sz w:val="24"/>
          <w:szCs w:val="24"/>
        </w:rPr>
        <w:t xml:space="preserve"> е комплекс от пристъпни фокални неврологични симптоми, които предшестват и по-рядко придружават главоболието. Наблюдава се при 15-20% от пациентите, но и тези пациенти имат аура само преди някои от пристъпите. Най-честа (при 90%) е зрителната аура. Следващи по честота са сетивните нарушения, изразени в боцкания и изтръпвания, които се разпространяват едностранно в областта на тялото, лицето и езика. По-рядко възникват афатични нарушения на речта. При всеки пациент по време на различни пристъпи могат да възникнат и трите вида аура, както самостоятелно, така и последователно един след друг. Могат да възникнат и симптоми на стволова аура, които ако са свързани с мускулна слабост, заболяването се определя като хемиплегична мигрена, която има различна генетична и патофизиологична характеристика.</w:t>
      </w:r>
    </w:p>
    <w:p w14:paraId="14296746"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i/>
          <w:sz w:val="24"/>
          <w:szCs w:val="24"/>
        </w:rPr>
        <w:t>Главоболието</w:t>
      </w:r>
      <w:r w:rsidRPr="00AE47C6">
        <w:rPr>
          <w:rFonts w:ascii="Times New Roman" w:eastAsia="SimSun" w:hAnsi="Times New Roman"/>
          <w:bCs/>
          <w:sz w:val="24"/>
          <w:szCs w:val="24"/>
        </w:rPr>
        <w:t xml:space="preserve"> е обикновено фронтотемпорално, едностранно. Само при 15% от пациентите болката е винаги от една и съща страна. Силата на болката е различна при всеки пристъп и при различните пациенти. </w:t>
      </w:r>
      <w:r w:rsidRPr="00AE47C6">
        <w:rPr>
          <w:rFonts w:ascii="Times New Roman" w:eastAsia="SimSun" w:hAnsi="Times New Roman"/>
          <w:bCs/>
          <w:i/>
          <w:sz w:val="24"/>
          <w:szCs w:val="24"/>
        </w:rPr>
        <w:t>Кожната алодиния</w:t>
      </w:r>
      <w:r w:rsidRPr="00AE47C6">
        <w:rPr>
          <w:rFonts w:ascii="Times New Roman" w:eastAsia="SimSun" w:hAnsi="Times New Roman"/>
          <w:bCs/>
          <w:sz w:val="24"/>
          <w:szCs w:val="24"/>
        </w:rPr>
        <w:t xml:space="preserve"> се появява в напреднал стадий на пристъпа при 80% от пациентите. Дължи се на централна сензитизация на тригеминоваскуларните неврони в спиналните тригеминални ядра. Могат да се добавят и краниални автономни симптоми. </w:t>
      </w:r>
    </w:p>
    <w:p w14:paraId="136B9D68"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i/>
          <w:sz w:val="24"/>
          <w:szCs w:val="24"/>
        </w:rPr>
        <w:t>Постдромите</w:t>
      </w:r>
      <w:r w:rsidRPr="00AE47C6">
        <w:rPr>
          <w:rFonts w:ascii="Times New Roman" w:eastAsia="SimSun" w:hAnsi="Times New Roman"/>
          <w:bCs/>
          <w:sz w:val="24"/>
          <w:szCs w:val="24"/>
        </w:rPr>
        <w:t xml:space="preserve"> се проявяват при 80% от пациентите и продължават от няколко часа до 2 дни. Най-често се проявяват като астения, стегнатост в шията, умора, сомнолентност и затруднена концентрация.</w:t>
      </w:r>
    </w:p>
    <w:p w14:paraId="2282625E"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i/>
          <w:sz w:val="24"/>
          <w:szCs w:val="24"/>
        </w:rPr>
        <w:t>Тригерни фактори</w:t>
      </w:r>
      <w:r w:rsidRPr="00AE47C6">
        <w:rPr>
          <w:rFonts w:ascii="Times New Roman" w:eastAsia="SimSun" w:hAnsi="Times New Roman"/>
          <w:bCs/>
          <w:sz w:val="24"/>
          <w:szCs w:val="24"/>
        </w:rPr>
        <w:t xml:space="preserve"> са тези външни фактори, предизвикващи мигренен пристъп при 65-95% от пациентите в рамките на 48 часа от възникването им. Те могат да не предизвикват директно пристъп, а да повишават техния месечен брой. Установени са множество тригерни фактори: стрес, психично напрежение, тревожност, депресия, хормонални фактори (менструация, овулация, ановулационни медикаменти), промяна в начина на живот (сън, хранене), промяна във времето, преминаване в други часови зони, сетивни стимули (светлина, шум, миризми), диета, алкохол (особено шампанско, бели и червени вина, бира), медикаменти (nitroglycerine, reserpine, естрогени) и физическа преумора. По-дългият сън е причина за мигрената на уикенда. При някои пациенти ролята на тригерни фактори играят определени храни, като шоколад, зрели сирена, цитрусови плодове, консервирани меса, храна съдържаща нитрити, аспартам, monosodium glutamat (Китайска храна) и пържени храни. По-рядко тригерни храни могат да бъдат домати, лук, чесън, киви, ядки, стриди, миди и раци.</w:t>
      </w:r>
    </w:p>
    <w:p w14:paraId="7F0483D7"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bCs/>
          <w:sz w:val="24"/>
          <w:szCs w:val="24"/>
        </w:rPr>
        <w:t>Хроничната мигрена</w:t>
      </w:r>
      <w:r w:rsidRPr="00AE47C6">
        <w:rPr>
          <w:rFonts w:ascii="Times New Roman" w:eastAsia="SimSun" w:hAnsi="Times New Roman"/>
          <w:bCs/>
          <w:sz w:val="24"/>
          <w:szCs w:val="24"/>
        </w:rPr>
        <w:t xml:space="preserve"> е мигрена с много чести пристъпи. Трансформацията на епизодичната в хронична мигрена е свързана и с естествения ход на заболяването, и с наличието на рискови фактори. След множество мигренни пристъпи с аура се установяват дефинитивни мозъчни лезии в дълбокото бяло мозъчно вещество или мозъчни инсулти. Броят на пристъпите зачестява в продължение на много години и до хронична мигрена се достига постепенно при жени около 40 годишна възраст. Характерът на мигренния пристъп се променя във времето – главоболието намалява по сила, придружаващите симптоми стават по-слаби и се появяват по-рядко. Развива се ежедневно главоболие, което се състои от продължително фоново (тензионен тип или главоболие поради злоупотреба с медикаменти), върху което се наслагват пристъпи от мигренно главоболие. При повечето пациенти главоболието се засилва в края на деня.</w:t>
      </w:r>
    </w:p>
    <w:p w14:paraId="6B42CB2F"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bCs/>
          <w:sz w:val="24"/>
          <w:szCs w:val="24"/>
        </w:rPr>
        <w:t>Главоболие при злоупотреба с медикаменти</w:t>
      </w:r>
      <w:r w:rsidRPr="00AE47C6">
        <w:rPr>
          <w:rFonts w:ascii="Times New Roman" w:eastAsia="SimSun" w:hAnsi="Times New Roman"/>
          <w:bCs/>
          <w:sz w:val="24"/>
          <w:szCs w:val="24"/>
        </w:rPr>
        <w:t xml:space="preserve"> се развива при пациенти  злоупотребявали години наред с медикаменти за лечение на главоболието. Злоупотребата с аналгетици променя активността на серотониновите рецептори и увеличава предразположението към главоболие. </w:t>
      </w:r>
    </w:p>
    <w:p w14:paraId="7C79C27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Диагнозата</w:t>
      </w:r>
      <w:r w:rsidRPr="00AE47C6">
        <w:rPr>
          <w:rFonts w:ascii="Times New Roman" w:eastAsia="SimSun" w:hAnsi="Times New Roman"/>
          <w:sz w:val="24"/>
          <w:szCs w:val="24"/>
        </w:rPr>
        <w:t xml:space="preserve"> се поставя при повторяемост на сравнително еднотипни пристъпи. Всеки човек може да преживее мигренен пристъп по време на своя живот, но това не означава, че е налице мигрена. </w:t>
      </w:r>
    </w:p>
    <w:p w14:paraId="6626E4F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За да бъде поставена диагнозата</w:t>
      </w:r>
      <w:r w:rsidRPr="00AE47C6">
        <w:rPr>
          <w:rFonts w:ascii="Times New Roman" w:eastAsia="SimSun" w:hAnsi="Times New Roman"/>
          <w:b/>
          <w:sz w:val="24"/>
          <w:szCs w:val="24"/>
        </w:rPr>
        <w:t xml:space="preserve"> “мигрена без аура”</w:t>
      </w:r>
      <w:r w:rsidRPr="00AE47C6">
        <w:rPr>
          <w:rFonts w:ascii="Times New Roman" w:eastAsia="SimSun" w:hAnsi="Times New Roman"/>
          <w:sz w:val="24"/>
          <w:szCs w:val="24"/>
        </w:rPr>
        <w:t xml:space="preserve"> трябва да са налице следните критерии:</w:t>
      </w:r>
    </w:p>
    <w:p w14:paraId="7D2BA4E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1. Най-малко 5 пристъпа, отговарящи на критериите от 2 до 4. </w:t>
      </w:r>
    </w:p>
    <w:p w14:paraId="0E635BA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2. Пристъпи от главоболие, продължаващи 4-72 часа (нелекувани или без ефект от прилаганото лечение).</w:t>
      </w:r>
    </w:p>
    <w:p w14:paraId="14C03F8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3. Главоболието да отговаря поне на 2 от следните критерии:</w:t>
      </w:r>
    </w:p>
    <w:p w14:paraId="2E5215C8" w14:textId="77777777" w:rsidR="00BE0B19" w:rsidRPr="00AE47C6" w:rsidRDefault="00BE0B19" w:rsidP="00BE0B19">
      <w:pPr>
        <w:numPr>
          <w:ilvl w:val="0"/>
          <w:numId w:val="329"/>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Едностранна локализация</w:t>
      </w:r>
    </w:p>
    <w:p w14:paraId="1E1A572D" w14:textId="77777777" w:rsidR="00BE0B19" w:rsidRPr="00AE47C6" w:rsidRDefault="00BE0B19" w:rsidP="00BE0B19">
      <w:pPr>
        <w:numPr>
          <w:ilvl w:val="0"/>
          <w:numId w:val="329"/>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Пулсиращ характер</w:t>
      </w:r>
    </w:p>
    <w:p w14:paraId="738F11B1" w14:textId="77777777" w:rsidR="00BE0B19" w:rsidRPr="00AE47C6" w:rsidRDefault="00BE0B19" w:rsidP="00BE0B19">
      <w:pPr>
        <w:numPr>
          <w:ilvl w:val="0"/>
          <w:numId w:val="329"/>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Умерено или силно по интензивност</w:t>
      </w:r>
    </w:p>
    <w:p w14:paraId="52A6A3EB" w14:textId="77777777" w:rsidR="00BE0B19" w:rsidRPr="00AE47C6" w:rsidRDefault="00BE0B19" w:rsidP="00BE0B19">
      <w:pPr>
        <w:numPr>
          <w:ilvl w:val="0"/>
          <w:numId w:val="329"/>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Усилващо се при обичайна физическа активност</w:t>
      </w:r>
    </w:p>
    <w:p w14:paraId="5DEB488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4. По време на главоболието да е налице поне 1 от следните симптоми:</w:t>
      </w:r>
    </w:p>
    <w:p w14:paraId="264990C6" w14:textId="77777777" w:rsidR="00BE0B19" w:rsidRPr="00AE47C6" w:rsidRDefault="00BE0B19" w:rsidP="00BE0B19">
      <w:pPr>
        <w:numPr>
          <w:ilvl w:val="0"/>
          <w:numId w:val="330"/>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Гадене и/или повръщане</w:t>
      </w:r>
    </w:p>
    <w:p w14:paraId="6F43C4D5" w14:textId="77777777" w:rsidR="00BE0B19" w:rsidRPr="00AE47C6" w:rsidRDefault="00BE0B19" w:rsidP="00BE0B19">
      <w:pPr>
        <w:numPr>
          <w:ilvl w:val="0"/>
          <w:numId w:val="330"/>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Фотофобия или фонофобия</w:t>
      </w:r>
    </w:p>
    <w:p w14:paraId="15E3157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5. Симптомите не могат да бъдат по-добре обяснени с друг вид главоболие.</w:t>
      </w:r>
    </w:p>
    <w:p w14:paraId="43BB5A43"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При наличие на по-малко от 5 пристъпа се поставя диагнозата вероятна мигрена.</w:t>
      </w:r>
    </w:p>
    <w:p w14:paraId="058282A0"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При деца</w:t>
      </w:r>
      <w:r w:rsidRPr="00AE47C6">
        <w:rPr>
          <w:rFonts w:ascii="Times New Roman" w:eastAsia="SimSun" w:hAnsi="Times New Roman"/>
          <w:sz w:val="24"/>
          <w:szCs w:val="24"/>
        </w:rPr>
        <w:t xml:space="preserve"> до 18 годишна възраст се използват същите критерии, като продължителността на главоболието е от 2 до 72 часа и то е често двустранно и фронтотемпорално.</w:t>
      </w:r>
    </w:p>
    <w:p w14:paraId="7AD9F62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За да бъде поставена диагнозата</w:t>
      </w:r>
      <w:r w:rsidRPr="00AE47C6">
        <w:rPr>
          <w:rFonts w:ascii="Times New Roman" w:eastAsia="SimSun" w:hAnsi="Times New Roman"/>
          <w:b/>
          <w:sz w:val="24"/>
          <w:szCs w:val="24"/>
        </w:rPr>
        <w:t xml:space="preserve"> “мигрена с аура”</w:t>
      </w:r>
      <w:r w:rsidRPr="00AE47C6">
        <w:rPr>
          <w:rFonts w:ascii="Times New Roman" w:eastAsia="SimSun" w:hAnsi="Times New Roman"/>
          <w:sz w:val="24"/>
          <w:szCs w:val="24"/>
        </w:rPr>
        <w:t xml:space="preserve"> трябва да са налице следните критерии:</w:t>
      </w:r>
    </w:p>
    <w:p w14:paraId="16C4778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1. Най-малко 2 пристъпа, отговарящи на критериите от 2 и 3. </w:t>
      </w:r>
    </w:p>
    <w:p w14:paraId="0A2A559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2. Поява на един или повече напълно възвратими симптоми на аура: </w:t>
      </w:r>
    </w:p>
    <w:p w14:paraId="1521D8F3"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зрителни</w:t>
      </w:r>
    </w:p>
    <w:p w14:paraId="4E8C8F02"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 xml:space="preserve">сетивни </w:t>
      </w:r>
    </w:p>
    <w:p w14:paraId="01572A6E"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на речта и езика</w:t>
      </w:r>
    </w:p>
    <w:p w14:paraId="08036441"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двигателни</w:t>
      </w:r>
    </w:p>
    <w:p w14:paraId="0529BE20"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стволови</w:t>
      </w:r>
    </w:p>
    <w:p w14:paraId="2D6F8C8F"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ретинни</w:t>
      </w:r>
    </w:p>
    <w:p w14:paraId="2B700B40"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sz w:val="24"/>
          <w:szCs w:val="24"/>
        </w:rPr>
        <w:t xml:space="preserve">3. Наличие на поне </w:t>
      </w:r>
      <w:r w:rsidRPr="00AE47C6">
        <w:rPr>
          <w:rFonts w:ascii="Times New Roman" w:eastAsia="SimSun" w:hAnsi="Times New Roman"/>
          <w:bCs/>
          <w:sz w:val="24"/>
          <w:szCs w:val="24"/>
        </w:rPr>
        <w:t xml:space="preserve">3 от 6 характеристики: </w:t>
      </w:r>
    </w:p>
    <w:p w14:paraId="046C686A"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поне един от симптомите на аурата се развива постепенно в рамките на 5 или повече минути</w:t>
      </w:r>
    </w:p>
    <w:p w14:paraId="4DEE5148"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два или повече симптоми на аурата се появяват последователно</w:t>
      </w:r>
    </w:p>
    <w:p w14:paraId="4AB12424"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всеки симптом продължава между 5 и 60 минути</w:t>
      </w:r>
    </w:p>
    <w:p w14:paraId="08C4474F"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поне един симптом на аурата е едностранен</w:t>
      </w:r>
    </w:p>
    <w:p w14:paraId="6CF04716"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поне един симптом на аурата е позитивен</w:t>
      </w:r>
    </w:p>
    <w:p w14:paraId="58E40955"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аурата се придружава или последва до 60 минути от главоболие</w:t>
      </w:r>
    </w:p>
    <w:p w14:paraId="3F46E2E9"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4. Симптомите не могат да бъдат по-добре обяснени с друг вид главоболие.</w:t>
      </w:r>
    </w:p>
    <w:p w14:paraId="1D7BE71A"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Типичната аура се проявява със зрителни, сетивни и симптоми от страна на речта и езика, без двигателни, стволови и ретинни симптоми. Типичната аура може да възникне и без главоболие. Когато настъпва за първи път над 40 годишна възраст, симптомите са предимно негативни (хемианопсия), когато аурата е пролонгирана или много къса, трябва да се отдиференцира от транзиторните исхемични атаки. Двигателните симптоми на аурата могат да продължат до 72 часа. Афазията винаги се приема като едностранен симптом, но дизартрията може да бъде едностранна или двустранна. Сцинтилациите и боцканията са позитивни симптоми на аурата. </w:t>
      </w:r>
    </w:p>
    <w:p w14:paraId="355D9DD9"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Същите критерии важат и за деца под 18 годишна възраст.</w:t>
      </w:r>
    </w:p>
    <w:p w14:paraId="637D59A8"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Диагнозата </w:t>
      </w:r>
      <w:r w:rsidRPr="00AE47C6">
        <w:rPr>
          <w:rFonts w:ascii="Times New Roman" w:eastAsia="SimSun" w:hAnsi="Times New Roman"/>
          <w:b/>
          <w:sz w:val="24"/>
          <w:szCs w:val="24"/>
        </w:rPr>
        <w:t>хемиплегична мигрена</w:t>
      </w:r>
      <w:r w:rsidRPr="00AE47C6">
        <w:rPr>
          <w:rFonts w:ascii="Times New Roman" w:eastAsia="SimSun" w:hAnsi="Times New Roman"/>
          <w:sz w:val="24"/>
          <w:szCs w:val="24"/>
        </w:rPr>
        <w:t xml:space="preserve"> се поставя при пациенти с мигрена с аура, която отговаря на следните критерии:</w:t>
      </w:r>
    </w:p>
    <w:p w14:paraId="5AE57B57"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1. Напълно възвратима мускулна слабост</w:t>
      </w:r>
    </w:p>
    <w:p w14:paraId="30B9955E"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2. Напълно възвратими зрителни, сетивни и/или говорни симптоми</w:t>
      </w:r>
    </w:p>
    <w:p w14:paraId="5AA40C0A"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Различават се няколко форми на хемиплегична мигрена: фамилна хемиплегична тип 1, 2, 3 или свързана с други локуси и спорадична хемиплегична форма.</w:t>
      </w:r>
    </w:p>
    <w:p w14:paraId="626ED41E"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При наличие на най-малко един родственик от първи или втори ред с мигренна аура, включваща двигателна слабост се поставя диагнозата фамилна хемиплегична мигрена, а при липса на родственици с такива симптоми – спорадична хемиплегична мигрена.</w:t>
      </w:r>
    </w:p>
    <w:p w14:paraId="50CC5FBC"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Диагнозата </w:t>
      </w:r>
      <w:r w:rsidRPr="00AE47C6">
        <w:rPr>
          <w:rFonts w:ascii="Times New Roman" w:eastAsia="SimSun" w:hAnsi="Times New Roman"/>
          <w:b/>
          <w:sz w:val="24"/>
          <w:szCs w:val="24"/>
        </w:rPr>
        <w:t>ретинна мигрена</w:t>
      </w:r>
      <w:r w:rsidRPr="00AE47C6">
        <w:rPr>
          <w:rFonts w:ascii="Times New Roman" w:eastAsia="SimSun" w:hAnsi="Times New Roman"/>
          <w:sz w:val="24"/>
          <w:szCs w:val="24"/>
        </w:rPr>
        <w:t xml:space="preserve"> (наричана по-рано офталмична) се поставя при пациенти с мигрена с аура, която отговаря на следните два критерия: </w:t>
      </w:r>
    </w:p>
    <w:p w14:paraId="4B818B29"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1. Напълно възвратими монокулярни, позитивни или негативни зрителни феномени (сцинтилации, скотоми или слепота), потвърдени по време на пристъпа посредством един или два от следните методи:</w:t>
      </w:r>
    </w:p>
    <w:p w14:paraId="43C471E5"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клинично изследване на зрителни полета</w:t>
      </w:r>
    </w:p>
    <w:p w14:paraId="62523B67"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пациента рисува монокулярния си зрителен дефект  </w:t>
      </w:r>
    </w:p>
    <w:p w14:paraId="07BDB6C3"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2. Поне две от следващите:</w:t>
      </w:r>
    </w:p>
    <w:p w14:paraId="1419103D"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Симптомите се разпространяват постепенно за 5 и повече минути</w:t>
      </w:r>
    </w:p>
    <w:p w14:paraId="2090ACE2"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Симптомите продължават от 5 до 60 минути</w:t>
      </w:r>
    </w:p>
    <w:p w14:paraId="694520D5"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Придружават се или се последват до 60 минути от главоболие</w:t>
      </w:r>
    </w:p>
    <w:p w14:paraId="1C097734"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3. Симптомите не могат да бъдат по-добре обяснени с друг вид главоболие и е изключена amaurosis fugax.</w:t>
      </w:r>
    </w:p>
    <w:p w14:paraId="322EC7FB"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Диагнозата</w:t>
      </w:r>
      <w:r w:rsidRPr="00AE47C6">
        <w:rPr>
          <w:rFonts w:ascii="Times New Roman" w:eastAsia="SimSun" w:hAnsi="Times New Roman"/>
          <w:b/>
          <w:bCs/>
          <w:sz w:val="24"/>
          <w:szCs w:val="24"/>
        </w:rPr>
        <w:t xml:space="preserve"> менструална мигрена без аура</w:t>
      </w:r>
      <w:r w:rsidRPr="00AE47C6">
        <w:rPr>
          <w:rFonts w:ascii="Times New Roman" w:eastAsia="SimSun" w:hAnsi="Times New Roman"/>
          <w:sz w:val="24"/>
          <w:szCs w:val="24"/>
        </w:rPr>
        <w:t xml:space="preserve"> се поставя при пристъпи, които се проявяват при 2 от три менструални цикъла, отговарящи на критериите за мигрена без аура, които настъпват от 2 дни преди менструацията до третия ден от менструалния цикъл. Пациентките нямат пристъпи извън менструалния цикъл и не получават аура.</w:t>
      </w:r>
    </w:p>
    <w:p w14:paraId="47BAA39A"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Диагнозата</w:t>
      </w:r>
      <w:r w:rsidRPr="00AE47C6">
        <w:rPr>
          <w:rFonts w:ascii="Times New Roman" w:eastAsia="SimSun" w:hAnsi="Times New Roman"/>
          <w:b/>
          <w:bCs/>
          <w:sz w:val="24"/>
          <w:szCs w:val="24"/>
        </w:rPr>
        <w:t xml:space="preserve"> менструално свързаната мигрена без </w:t>
      </w:r>
      <w:r w:rsidRPr="00AE47C6">
        <w:rPr>
          <w:rFonts w:ascii="Times New Roman" w:eastAsia="SimSun" w:hAnsi="Times New Roman"/>
          <w:sz w:val="24"/>
          <w:szCs w:val="24"/>
        </w:rPr>
        <w:t>аура се поставя при пациентки, които отговарят на критериите за менструална мигрена, но имат пристъпи и извън менструалния цикъл.</w:t>
      </w:r>
    </w:p>
    <w:p w14:paraId="5E23265B"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sz w:val="24"/>
          <w:szCs w:val="24"/>
        </w:rPr>
        <w:t>Диагнозата</w:t>
      </w:r>
      <w:r w:rsidRPr="00AE47C6">
        <w:rPr>
          <w:rFonts w:ascii="Times New Roman" w:eastAsia="SimSun" w:hAnsi="Times New Roman"/>
          <w:b/>
          <w:iCs/>
          <w:sz w:val="24"/>
          <w:szCs w:val="24"/>
        </w:rPr>
        <w:t xml:space="preserve"> менструална мигрена</w:t>
      </w:r>
      <w:r w:rsidRPr="00AE47C6">
        <w:rPr>
          <w:rFonts w:ascii="Times New Roman" w:eastAsia="SimSun" w:hAnsi="Times New Roman"/>
          <w:bCs/>
          <w:sz w:val="24"/>
          <w:szCs w:val="24"/>
        </w:rPr>
        <w:t xml:space="preserve"> </w:t>
      </w:r>
      <w:r w:rsidRPr="00AE47C6">
        <w:rPr>
          <w:rFonts w:ascii="Times New Roman" w:eastAsia="SimSun" w:hAnsi="Times New Roman"/>
          <w:b/>
          <w:sz w:val="24"/>
          <w:szCs w:val="24"/>
        </w:rPr>
        <w:t>с аура</w:t>
      </w:r>
      <w:r w:rsidRPr="00AE47C6">
        <w:rPr>
          <w:rFonts w:ascii="Times New Roman" w:eastAsia="SimSun" w:hAnsi="Times New Roman"/>
          <w:bCs/>
          <w:sz w:val="24"/>
          <w:szCs w:val="24"/>
        </w:rPr>
        <w:t xml:space="preserve"> се поставя при пристъпи отговарящи на критериите за мигрена с аура и менструална мигрена.</w:t>
      </w:r>
    </w:p>
    <w:p w14:paraId="058361FB"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iCs/>
          <w:sz w:val="24"/>
          <w:szCs w:val="24"/>
        </w:rPr>
        <w:t>Менструално свързаната мигрена</w:t>
      </w:r>
      <w:r w:rsidRPr="00AE47C6">
        <w:rPr>
          <w:rFonts w:ascii="Times New Roman" w:eastAsia="SimSun" w:hAnsi="Times New Roman"/>
          <w:bCs/>
          <w:i/>
          <w:sz w:val="24"/>
          <w:szCs w:val="24"/>
        </w:rPr>
        <w:t xml:space="preserve"> </w:t>
      </w:r>
      <w:r w:rsidRPr="00AE47C6">
        <w:rPr>
          <w:rFonts w:ascii="Times New Roman" w:eastAsia="SimSun" w:hAnsi="Times New Roman"/>
          <w:b/>
          <w:iCs/>
          <w:sz w:val="24"/>
          <w:szCs w:val="24"/>
        </w:rPr>
        <w:t>с аура</w:t>
      </w:r>
      <w:r w:rsidRPr="00AE47C6">
        <w:rPr>
          <w:rFonts w:ascii="Times New Roman" w:eastAsia="SimSun" w:hAnsi="Times New Roman"/>
          <w:bCs/>
          <w:i/>
          <w:sz w:val="24"/>
          <w:szCs w:val="24"/>
        </w:rPr>
        <w:t xml:space="preserve"> </w:t>
      </w:r>
      <w:r w:rsidRPr="00AE47C6">
        <w:rPr>
          <w:rFonts w:ascii="Times New Roman" w:eastAsia="SimSun" w:hAnsi="Times New Roman"/>
          <w:bCs/>
          <w:sz w:val="24"/>
          <w:szCs w:val="24"/>
        </w:rPr>
        <w:t>отговаря на критериите за мигрена с аура и менструално свързана мигрена.</w:t>
      </w:r>
    </w:p>
    <w:p w14:paraId="1C528366"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0"/>
        </w:rPr>
      </w:pPr>
      <w:r w:rsidRPr="00AE47C6">
        <w:rPr>
          <w:rFonts w:ascii="Times New Roman" w:eastAsia="SimSun" w:hAnsi="Times New Roman"/>
          <w:sz w:val="24"/>
          <w:szCs w:val="20"/>
        </w:rPr>
        <w:t xml:space="preserve">Диагнозата </w:t>
      </w:r>
      <w:r w:rsidRPr="00AE47C6">
        <w:rPr>
          <w:rFonts w:ascii="Times New Roman" w:eastAsia="SimSun" w:hAnsi="Times New Roman"/>
          <w:b/>
          <w:sz w:val="24"/>
          <w:szCs w:val="20"/>
        </w:rPr>
        <w:t>хронична мигрена</w:t>
      </w:r>
      <w:r w:rsidRPr="00AE47C6">
        <w:rPr>
          <w:rFonts w:ascii="Times New Roman" w:eastAsia="SimSun" w:hAnsi="Times New Roman"/>
          <w:sz w:val="24"/>
          <w:szCs w:val="20"/>
        </w:rPr>
        <w:t xml:space="preserve"> се поставя при изпълняване на следните критерии:</w:t>
      </w:r>
    </w:p>
    <w:p w14:paraId="24878FC9"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0"/>
        </w:rPr>
      </w:pPr>
      <w:r w:rsidRPr="00AE47C6">
        <w:rPr>
          <w:rFonts w:ascii="Times New Roman" w:eastAsia="SimSun" w:hAnsi="Times New Roman"/>
          <w:sz w:val="24"/>
          <w:szCs w:val="20"/>
        </w:rPr>
        <w:t>1. Главоболие (приличащо на мигрена или тензионно) появяващо се за 15 или повече дни в месеца в продължение на поне 3 месеца и изпълняващо критерии 2 и 3.</w:t>
      </w:r>
    </w:p>
    <w:p w14:paraId="7FA3E08A"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0"/>
        </w:rPr>
      </w:pPr>
      <w:r w:rsidRPr="00AE47C6">
        <w:rPr>
          <w:rFonts w:ascii="Times New Roman" w:eastAsia="SimSun" w:hAnsi="Times New Roman"/>
          <w:sz w:val="24"/>
          <w:szCs w:val="20"/>
        </w:rPr>
        <w:t>2. Проявява се при пациенти които имат поне 8 пристъпа изпълняващи критериите за мигрена с или без аура.</w:t>
      </w:r>
    </w:p>
    <w:p w14:paraId="4CEA1C1F"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0"/>
        </w:rPr>
      </w:pPr>
      <w:r w:rsidRPr="00AE47C6">
        <w:rPr>
          <w:rFonts w:ascii="Times New Roman" w:eastAsia="SimSun" w:hAnsi="Times New Roman"/>
          <w:sz w:val="24"/>
          <w:szCs w:val="20"/>
        </w:rPr>
        <w:t>3. За 8 или повече дни в месеца за повече от 3 месеца изпълняват някой от критериите:</w:t>
      </w:r>
    </w:p>
    <w:p w14:paraId="4C45B331"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rPr>
      </w:pPr>
      <w:r w:rsidRPr="00AE47C6">
        <w:rPr>
          <w:rFonts w:ascii="Times New Roman" w:eastAsia="SimSun" w:hAnsi="Times New Roman"/>
        </w:rPr>
        <w:t>За мигрена без аура</w:t>
      </w:r>
    </w:p>
    <w:p w14:paraId="28F84827"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rPr>
      </w:pPr>
      <w:r w:rsidRPr="00AE47C6">
        <w:rPr>
          <w:rFonts w:ascii="Times New Roman" w:eastAsia="SimSun" w:hAnsi="Times New Roman"/>
        </w:rPr>
        <w:t>За мигрена с аура</w:t>
      </w:r>
    </w:p>
    <w:p w14:paraId="57F4C27A"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rPr>
      </w:pPr>
      <w:r w:rsidRPr="00AE47C6">
        <w:rPr>
          <w:rFonts w:ascii="Times New Roman" w:eastAsia="SimSun" w:hAnsi="Times New Roman"/>
        </w:rPr>
        <w:t>Според пациента в началото на заболяването главоболието е било мигрена и се е повлиявало от триптани или ерготаминови деривати</w:t>
      </w:r>
    </w:p>
    <w:p w14:paraId="63D5B901"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0"/>
        </w:rPr>
      </w:pPr>
      <w:r w:rsidRPr="00AE47C6">
        <w:rPr>
          <w:rFonts w:ascii="Times New Roman" w:eastAsia="SimSun" w:hAnsi="Times New Roman"/>
          <w:sz w:val="24"/>
          <w:szCs w:val="20"/>
        </w:rPr>
        <w:t>4. Симптомите не могат да бъдат по-добре обяснени с друг вид главоболие</w:t>
      </w:r>
    </w:p>
    <w:p w14:paraId="192750C7"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Диагнозата </w:t>
      </w:r>
      <w:r w:rsidRPr="00AE47C6">
        <w:rPr>
          <w:rFonts w:ascii="Times New Roman" w:eastAsia="SimSun" w:hAnsi="Times New Roman"/>
          <w:b/>
          <w:sz w:val="24"/>
          <w:szCs w:val="24"/>
        </w:rPr>
        <w:t>хронична мигрена</w:t>
      </w:r>
      <w:r w:rsidRPr="00AE47C6">
        <w:rPr>
          <w:rFonts w:ascii="Times New Roman" w:eastAsia="SimSun" w:hAnsi="Times New Roman"/>
          <w:sz w:val="24"/>
          <w:szCs w:val="24"/>
        </w:rPr>
        <w:t xml:space="preserve"> се поставя при изпълняване на следните критерии:</w:t>
      </w:r>
    </w:p>
    <w:p w14:paraId="1452ADF9"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1. Главоболие (приличащо на мигрена или тензионно) появяващо се за 15 или повече дни в месеца, в продължение на поне 3 месеца и изпълняващо критерии 2 и 3.</w:t>
      </w:r>
    </w:p>
    <w:p w14:paraId="42E8EE77"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2. Проявява се при пациенти, които имат поне 5 пристъпа изпълняващи критериите за мигрена с или без аура.</w:t>
      </w:r>
    </w:p>
    <w:p w14:paraId="7D11303B"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3. За 8 или повече дни в месеца, за повече от 3 месеца, изпълняват някой от критериите:</w:t>
      </w:r>
    </w:p>
    <w:p w14:paraId="177441F2"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За мигрена без аура</w:t>
      </w:r>
    </w:p>
    <w:p w14:paraId="621293CA"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За мигрена с аура</w:t>
      </w:r>
    </w:p>
    <w:p w14:paraId="7DBC9308"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Според пациента в началото на заболяването главоболието е било мигрена и се е повлиявало от триптани или ерготаминови деривати</w:t>
      </w:r>
    </w:p>
    <w:p w14:paraId="46619444"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4. Симптомите не могат да бъдат по-добре обяснени с друг вид главоболие</w:t>
      </w:r>
    </w:p>
    <w:p w14:paraId="2881C002"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Диагностичните методи включват диагностичните критерии за поставяне на диагнозата. </w:t>
      </w:r>
    </w:p>
    <w:p w14:paraId="14AFD543" w14:textId="77777777" w:rsidR="00BE0B19" w:rsidRPr="00AE47C6" w:rsidRDefault="00BE0B19" w:rsidP="00BE0B19">
      <w:pPr>
        <w:numPr>
          <w:ilvl w:val="0"/>
          <w:numId w:val="328"/>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Може да се проведе фармакологичен тест с една таблетка </w:t>
      </w:r>
      <w:r w:rsidRPr="00AE47C6">
        <w:rPr>
          <w:rFonts w:ascii="Times New Roman" w:eastAsia="SimSun" w:hAnsi="Times New Roman"/>
          <w:b/>
          <w:sz w:val="24"/>
          <w:szCs w:val="24"/>
        </w:rPr>
        <w:t>нитроглицерин</w:t>
      </w:r>
      <w:r w:rsidRPr="00AE47C6">
        <w:rPr>
          <w:rFonts w:ascii="Times New Roman" w:eastAsia="SimSun" w:hAnsi="Times New Roman"/>
          <w:sz w:val="24"/>
          <w:szCs w:val="24"/>
        </w:rPr>
        <w:t>, при което възниква мигреноподобно главоболие (без аура), ако при пациентите е налице мигрена. Диагностичната стойност на фармакологичния тест е малка.</w:t>
      </w:r>
    </w:p>
    <w:p w14:paraId="3895183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Диференциалната диагноза </w:t>
      </w:r>
      <w:r w:rsidRPr="00AE47C6">
        <w:rPr>
          <w:rFonts w:ascii="Times New Roman" w:eastAsia="SimSun" w:hAnsi="Times New Roman"/>
          <w:sz w:val="24"/>
          <w:szCs w:val="24"/>
        </w:rPr>
        <w:t xml:space="preserve">се прави с други първични и с вторични главоболия. </w:t>
      </w:r>
    </w:p>
    <w:p w14:paraId="4ACF14FA" w14:textId="77777777" w:rsidR="00BE0B19" w:rsidRPr="00AE47C6" w:rsidRDefault="00BE0B19" w:rsidP="00BE0B19">
      <w:pPr>
        <w:spacing w:after="0" w:line="360" w:lineRule="auto"/>
        <w:ind w:left="720"/>
        <w:jc w:val="both"/>
        <w:rPr>
          <w:rFonts w:ascii="Times New Roman" w:eastAsia="SimSun" w:hAnsi="Times New Roman"/>
          <w:b/>
          <w:sz w:val="24"/>
          <w:szCs w:val="24"/>
        </w:rPr>
      </w:pPr>
      <w:r w:rsidRPr="00AE47C6">
        <w:rPr>
          <w:rFonts w:ascii="Times New Roman" w:eastAsia="SimSun" w:hAnsi="Times New Roman"/>
          <w:b/>
          <w:sz w:val="24"/>
          <w:szCs w:val="24"/>
        </w:rPr>
        <w:t>1. Диференциална диагноза с други типове първично главоболие</w:t>
      </w:r>
    </w:p>
    <w:p w14:paraId="0564A59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а/ </w:t>
      </w:r>
      <w:r w:rsidRPr="00AE47C6">
        <w:rPr>
          <w:rFonts w:ascii="Times New Roman" w:eastAsia="SimSun" w:hAnsi="Times New Roman"/>
          <w:b/>
          <w:sz w:val="24"/>
          <w:szCs w:val="24"/>
        </w:rPr>
        <w:t>тензионен тип главоболие</w:t>
      </w:r>
      <w:r w:rsidRPr="00AE47C6">
        <w:rPr>
          <w:rFonts w:ascii="Times New Roman" w:eastAsia="SimSun" w:hAnsi="Times New Roman"/>
          <w:sz w:val="24"/>
          <w:szCs w:val="24"/>
        </w:rPr>
        <w:t xml:space="preserve"> – двустранно, много често тилно, стягащо или притискащо, слабо или умерено, не се засилва от обичайна ежедневна активност и е с по-голяма продължителност. Не трябва да се забравя, че мигрената може да бъде съчетана с тензионен тип главоболие при един и същ болен.</w:t>
      </w:r>
    </w:p>
    <w:p w14:paraId="01318BD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б/ </w:t>
      </w:r>
      <w:r w:rsidRPr="00AE47C6">
        <w:rPr>
          <w:rFonts w:ascii="Times New Roman" w:eastAsia="SimSun" w:hAnsi="Times New Roman"/>
          <w:b/>
          <w:sz w:val="24"/>
          <w:szCs w:val="24"/>
        </w:rPr>
        <w:t>кластърно главоболие</w:t>
      </w:r>
      <w:r w:rsidRPr="00AE47C6">
        <w:rPr>
          <w:rFonts w:ascii="Times New Roman" w:eastAsia="SimSun" w:hAnsi="Times New Roman"/>
          <w:sz w:val="24"/>
          <w:szCs w:val="24"/>
        </w:rPr>
        <w:t xml:space="preserve"> – едностранно, най-често орбитално, пробождащо, много силно и с продължителност 15-180 минути. Страдат предимно мъже и пристъпите са предимно нощно време. Налице са придружаващи симптоми, които не се срещат при другите типове първично главоболие.</w:t>
      </w:r>
      <w:r w:rsidRPr="00AE47C6">
        <w:rPr>
          <w:rFonts w:ascii="Times New Roman" w:eastAsia="SimSun" w:hAnsi="Times New Roman"/>
          <w:bCs/>
          <w:sz w:val="24"/>
          <w:szCs w:val="24"/>
        </w:rPr>
        <w:t xml:space="preserve"> Мигренното главоболие може да сменя страната си при различните пристъпи, докато кластърното остава от същата страна по време на всеки период.</w:t>
      </w:r>
    </w:p>
    <w:p w14:paraId="64CE85D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в/ </w:t>
      </w:r>
      <w:r w:rsidRPr="00AE47C6">
        <w:rPr>
          <w:rFonts w:ascii="Times New Roman" w:eastAsia="SimSun" w:hAnsi="Times New Roman"/>
          <w:b/>
          <w:sz w:val="24"/>
          <w:szCs w:val="24"/>
        </w:rPr>
        <w:t>хронична пароксизмална хемикрания</w:t>
      </w:r>
      <w:r w:rsidRPr="00AE47C6">
        <w:rPr>
          <w:rFonts w:ascii="Times New Roman" w:eastAsia="SimSun" w:hAnsi="Times New Roman"/>
          <w:sz w:val="24"/>
          <w:szCs w:val="24"/>
        </w:rPr>
        <w:t xml:space="preserve"> – нейните симптоми наподобяват кластърно главоболие, но пристъпите са по-краткотрайни и се среща предимно при жени.</w:t>
      </w:r>
    </w:p>
    <w:p w14:paraId="61F1F8BA" w14:textId="77777777" w:rsidR="00BE0B19" w:rsidRPr="00AE47C6" w:rsidRDefault="00BE0B19" w:rsidP="00BE0B19">
      <w:pPr>
        <w:numPr>
          <w:ilvl w:val="0"/>
          <w:numId w:val="327"/>
        </w:numPr>
        <w:spacing w:after="0" w:line="360" w:lineRule="auto"/>
        <w:ind w:left="0" w:firstLine="720"/>
        <w:jc w:val="both"/>
        <w:rPr>
          <w:rFonts w:ascii="Times New Roman" w:eastAsia="SimSun" w:hAnsi="Times New Roman"/>
          <w:b/>
          <w:sz w:val="24"/>
          <w:szCs w:val="24"/>
        </w:rPr>
      </w:pPr>
      <w:r w:rsidRPr="00AE47C6">
        <w:rPr>
          <w:rFonts w:ascii="Times New Roman" w:eastAsia="SimSun" w:hAnsi="Times New Roman"/>
          <w:b/>
          <w:sz w:val="24"/>
          <w:szCs w:val="24"/>
        </w:rPr>
        <w:t>Диференциална диагноза с различни типове вторично главоболие</w:t>
      </w:r>
    </w:p>
    <w:p w14:paraId="1ADFD88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а/ главоболие при </w:t>
      </w:r>
      <w:r w:rsidRPr="00AE47C6">
        <w:rPr>
          <w:rFonts w:ascii="Times New Roman" w:eastAsia="SimSun" w:hAnsi="Times New Roman"/>
          <w:b/>
          <w:sz w:val="24"/>
          <w:szCs w:val="24"/>
        </w:rPr>
        <w:t>субарахноиден кръвоизлив</w:t>
      </w:r>
      <w:r w:rsidRPr="00AE47C6">
        <w:rPr>
          <w:rFonts w:ascii="Times New Roman" w:eastAsia="SimSun" w:hAnsi="Times New Roman"/>
          <w:sz w:val="24"/>
          <w:szCs w:val="24"/>
        </w:rPr>
        <w:t xml:space="preserve"> – настъпва внезапно при физическо усилие, тилно е и е налице синдром на менингорадикулерно дразнене.</w:t>
      </w:r>
    </w:p>
    <w:p w14:paraId="18828E8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б/ главоболие при </w:t>
      </w:r>
      <w:r w:rsidRPr="00AE47C6">
        <w:rPr>
          <w:rFonts w:ascii="Times New Roman" w:eastAsia="SimSun" w:hAnsi="Times New Roman"/>
          <w:b/>
          <w:sz w:val="24"/>
          <w:szCs w:val="24"/>
        </w:rPr>
        <w:t>тромбоза на мозъчни вени и синуси</w:t>
      </w:r>
      <w:r w:rsidRPr="00AE47C6">
        <w:rPr>
          <w:rFonts w:ascii="Times New Roman" w:eastAsia="SimSun" w:hAnsi="Times New Roman"/>
          <w:sz w:val="24"/>
          <w:szCs w:val="24"/>
        </w:rPr>
        <w:t xml:space="preserve"> – дифузно, разпъващо, с постепенно нарастваща интензивност и данни за огнищна неврологична симптоматика.</w:t>
      </w:r>
    </w:p>
    <w:p w14:paraId="63A2C8E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в/ </w:t>
      </w:r>
      <w:r w:rsidRPr="00AE47C6">
        <w:rPr>
          <w:rFonts w:ascii="Times New Roman" w:eastAsia="SimSun" w:hAnsi="Times New Roman"/>
          <w:b/>
          <w:sz w:val="24"/>
          <w:szCs w:val="24"/>
        </w:rPr>
        <w:t>транзиторните исхемични атаки</w:t>
      </w:r>
      <w:r w:rsidRPr="00AE47C6">
        <w:rPr>
          <w:rFonts w:ascii="Times New Roman" w:eastAsia="SimSun" w:hAnsi="Times New Roman"/>
          <w:sz w:val="24"/>
          <w:szCs w:val="24"/>
        </w:rPr>
        <w:t xml:space="preserve"> започват след 50 годишна възраст, за разлика от мигрената. Развиват се бързо, появяват се само негативни двигателни симптоми, продължават под 10 минути и не се установяват данни за наследственост.</w:t>
      </w:r>
    </w:p>
    <w:p w14:paraId="77031DE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г/ главоболие при </w:t>
      </w:r>
      <w:r w:rsidRPr="00AE47C6">
        <w:rPr>
          <w:rFonts w:ascii="Times New Roman" w:eastAsia="SimSun" w:hAnsi="Times New Roman"/>
          <w:b/>
          <w:sz w:val="24"/>
          <w:szCs w:val="24"/>
        </w:rPr>
        <w:t>мозъчни тумори</w:t>
      </w:r>
      <w:r w:rsidRPr="00AE47C6">
        <w:rPr>
          <w:rFonts w:ascii="Times New Roman" w:eastAsia="SimSun" w:hAnsi="Times New Roman"/>
          <w:sz w:val="24"/>
          <w:szCs w:val="24"/>
        </w:rPr>
        <w:t xml:space="preserve"> – настъпва постепенно, прогресивно се усилва, особено през нощта и ранните сутрешни часове и скоро се добавят общомозъчна и огнищна неврологична симптоматика.</w:t>
      </w:r>
    </w:p>
    <w:p w14:paraId="4D9F707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д/ главоболие при </w:t>
      </w:r>
      <w:r w:rsidRPr="00AE47C6">
        <w:rPr>
          <w:rFonts w:ascii="Times New Roman" w:eastAsia="SimSun" w:hAnsi="Times New Roman"/>
          <w:b/>
          <w:sz w:val="24"/>
          <w:szCs w:val="24"/>
        </w:rPr>
        <w:t>остра глаукома</w:t>
      </w:r>
      <w:r w:rsidRPr="00AE47C6">
        <w:rPr>
          <w:rFonts w:ascii="Times New Roman" w:eastAsia="SimSun" w:hAnsi="Times New Roman"/>
          <w:sz w:val="24"/>
          <w:szCs w:val="24"/>
        </w:rPr>
        <w:t xml:space="preserve"> – остро нощно главоболие, орбитално и ретроорбитално, което най-често възниква при по-възрастни хора с хиперметропия. Увредената очна ябълка е твърда при палпация, ипсилатералната зеница е дилатирана, корнеята е мътна.</w:t>
      </w:r>
    </w:p>
    <w:p w14:paraId="78AAC37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е/ </w:t>
      </w:r>
      <w:r w:rsidRPr="00AE47C6">
        <w:rPr>
          <w:rFonts w:ascii="Times New Roman" w:eastAsia="SimSun" w:hAnsi="Times New Roman"/>
          <w:b/>
          <w:sz w:val="24"/>
          <w:szCs w:val="24"/>
        </w:rPr>
        <w:t>Темпоралният (гигантоклетъчен) артериит</w:t>
      </w:r>
      <w:r w:rsidRPr="00AE47C6">
        <w:rPr>
          <w:rFonts w:ascii="Times New Roman" w:eastAsia="SimSun" w:hAnsi="Times New Roman"/>
          <w:sz w:val="24"/>
          <w:szCs w:val="24"/>
        </w:rPr>
        <w:t xml:space="preserve"> протича с главоболие, придружено от повишена чувствителност на скалпа, умора при дъвчене, зрителни нарушения и субфебрилна температура. При 26% от пациентите протича със зрителни исхемични усложнения, а при 15% - със слепота. Необходимо е да се изследват СУЕ, хематокрита и да се проведе биопсия на темпоралната артерия.</w:t>
      </w:r>
    </w:p>
    <w:p w14:paraId="4A19D9E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Това са само част от заболяванията, които могат да създадат затруднения при диагнозата мигрена. Не трябва да се забравя, че всяко неврологично, психично и соматично заболяване може да започне с главоболие или то да се появи впоследствие.</w:t>
      </w:r>
    </w:p>
    <w:p w14:paraId="5CC9C1A5"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4316B666" w14:textId="77777777" w:rsidR="00BE0B19" w:rsidRPr="00AE47C6" w:rsidRDefault="00BE0B19" w:rsidP="00BE0B19">
      <w:pPr>
        <w:spacing w:after="0" w:line="240" w:lineRule="auto"/>
        <w:rPr>
          <w:rFonts w:ascii="Times New Roman" w:eastAsia="SimSun" w:hAnsi="Times New Roman"/>
          <w:sz w:val="24"/>
          <w:szCs w:val="24"/>
        </w:rPr>
      </w:pPr>
      <w:r w:rsidRPr="00AE47C6">
        <w:rPr>
          <w:rFonts w:ascii="Times New Roman" w:eastAsia="SimSun" w:hAnsi="Times New Roman"/>
          <w:sz w:val="24"/>
          <w:szCs w:val="24"/>
        </w:rPr>
        <w:br w:type="page"/>
      </w:r>
    </w:p>
    <w:p w14:paraId="596050A1"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5F0207B4"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Лечение</w:t>
      </w:r>
    </w:p>
    <w:p w14:paraId="6BEE6EB6" w14:textId="77777777" w:rsidR="00BE0B19" w:rsidRPr="00AE47C6" w:rsidRDefault="00BE0B19" w:rsidP="00BE0B19">
      <w:pPr>
        <w:spacing w:after="0" w:line="360" w:lineRule="auto"/>
        <w:rPr>
          <w:rFonts w:ascii="Times New Roman" w:eastAsia="SimSun" w:hAnsi="Times New Roman"/>
          <w:sz w:val="24"/>
          <w:szCs w:val="24"/>
        </w:rPr>
      </w:pPr>
      <w:r w:rsidRPr="00AE47C6">
        <w:rPr>
          <w:rFonts w:ascii="Times New Roman" w:eastAsia="SimSun" w:hAnsi="Times New Roman"/>
          <w:sz w:val="24"/>
          <w:szCs w:val="24"/>
        </w:rPr>
        <w:tab/>
        <w:t>Лечението на мигрената включва лечение на мигренните пристъпи и профилактично лечение (фигура 13.1.)</w:t>
      </w:r>
      <w:r w:rsidRPr="00AE47C6">
        <w:rPr>
          <w:rFonts w:ascii="Times New Roman" w:eastAsia="SimSun" w:hAnsi="Times New Roman"/>
          <w:noProof/>
          <w:sz w:val="24"/>
          <w:szCs w:val="24"/>
          <w:lang w:eastAsia="bg-BG"/>
        </w:rPr>
        <w:drawing>
          <wp:inline distT="0" distB="0" distL="0" distR="0" wp14:anchorId="3FF952AE" wp14:editId="5AE5A8E3">
            <wp:extent cx="5395595" cy="4191000"/>
            <wp:effectExtent l="0" t="0" r="0" b="0"/>
            <wp:docPr id="300" name="Diagram 30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7" r:lo="rId158" r:qs="rId159" r:cs="rId160"/>
              </a:graphicData>
            </a:graphic>
          </wp:inline>
        </w:drawing>
      </w:r>
    </w:p>
    <w:p w14:paraId="351A32A8" w14:textId="77777777" w:rsidR="00BE0B19" w:rsidRPr="00AE47C6" w:rsidRDefault="00BE0B19" w:rsidP="00BE0B19">
      <w:pPr>
        <w:tabs>
          <w:tab w:val="left" w:pos="1170"/>
        </w:tabs>
        <w:spacing w:after="0" w:line="360" w:lineRule="auto"/>
        <w:jc w:val="both"/>
        <w:rPr>
          <w:rFonts w:ascii="Times New Roman" w:eastAsia="SimSun" w:hAnsi="Times New Roman"/>
          <w:sz w:val="24"/>
          <w:szCs w:val="24"/>
        </w:rPr>
      </w:pPr>
      <w:r w:rsidRPr="00AE47C6">
        <w:rPr>
          <w:rFonts w:ascii="Times New Roman" w:eastAsia="SimSun" w:hAnsi="Times New Roman"/>
          <w:b/>
          <w:sz w:val="24"/>
          <w:szCs w:val="24"/>
        </w:rPr>
        <w:t xml:space="preserve">Фигура.13.1. </w:t>
      </w:r>
      <w:r w:rsidRPr="00AE47C6">
        <w:rPr>
          <w:rFonts w:ascii="Times New Roman" w:eastAsia="SimSun" w:hAnsi="Times New Roman"/>
          <w:sz w:val="24"/>
          <w:szCs w:val="24"/>
        </w:rPr>
        <w:t>Лечение на мигрената</w:t>
      </w:r>
    </w:p>
    <w:p w14:paraId="4916184B" w14:textId="77777777" w:rsidR="00BE0B19" w:rsidRPr="00AE47C6" w:rsidRDefault="00BE0B19" w:rsidP="00BE0B19">
      <w:pPr>
        <w:tabs>
          <w:tab w:val="left" w:pos="1170"/>
        </w:tabs>
        <w:spacing w:after="0" w:line="360" w:lineRule="auto"/>
        <w:jc w:val="both"/>
        <w:rPr>
          <w:rFonts w:ascii="Times New Roman" w:eastAsia="SimSun" w:hAnsi="Times New Roman"/>
          <w:b/>
          <w:sz w:val="24"/>
          <w:szCs w:val="24"/>
        </w:rPr>
      </w:pPr>
      <w:r w:rsidRPr="00AE47C6">
        <w:rPr>
          <w:rFonts w:ascii="Times New Roman" w:eastAsia="SimSun" w:hAnsi="Times New Roman"/>
          <w:sz w:val="24"/>
          <w:szCs w:val="24"/>
        </w:rPr>
        <w:t>1. Лечение на мигренни пристъпи</w:t>
      </w:r>
    </w:p>
    <w:p w14:paraId="6FAED71A" w14:textId="77777777" w:rsidR="00BE0B19" w:rsidRPr="00AE47C6" w:rsidRDefault="00BE0B19" w:rsidP="00BE0B19">
      <w:pPr>
        <w:tabs>
          <w:tab w:val="left" w:pos="117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Симптоматичното лечение има за цел да намали силата и продължителността на пристъпите от главоболие, придружаващите симптоми, прекомерната употреба на аналгетици и да предотврати хронифицирането на заболяването. Лечението може да се провежда чрез две различни тактики – стъпаловидна или стратифицирана. При стъпаловидният подход пристъпите първоначално се лекуват с неспецифични медикаменти и ако те не са ефективни се преминава към лечение със специфични медикаменти. При стратифицирания подход медикаментът се избира според тежестта на пристъпа – леките пристъпи се лекуват с неспецифични медикаменти, а тежките – със специфични. Предпочита се стратифицираният подход на лечение, защото той взема предвид различните нужди на пациента при различните пристъпи. Необходимо е да се осигури ефективно симптоматично лечение за тежките пристъпи, при строго проследяване честотата на употреба на медикаментите. При леки и умерени пристъпи е необходимо прилагането на алтернативни медикаменти, с по-малко странични ефекти. Лечението на пристъпа не е желателно да се прилага за повече от 2 дни в седмицата, поради опасност от възникване на главоболие вследствие на злоупотреба с медикаменти.</w:t>
      </w:r>
    </w:p>
    <w:p w14:paraId="217EE2D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Критериите</w:t>
      </w:r>
      <w:r w:rsidRPr="00AE47C6">
        <w:rPr>
          <w:rFonts w:ascii="Times New Roman" w:eastAsia="SimSun" w:hAnsi="Times New Roman"/>
          <w:sz w:val="24"/>
          <w:szCs w:val="24"/>
        </w:rPr>
        <w:t xml:space="preserve"> за самостоятелно симптоматично лечение са:</w:t>
      </w:r>
    </w:p>
    <w:p w14:paraId="1BD0A587" w14:textId="77777777" w:rsidR="00BE0B19" w:rsidRPr="00AE47C6" w:rsidRDefault="00BE0B19" w:rsidP="00BE0B19">
      <w:pPr>
        <w:tabs>
          <w:tab w:val="left" w:pos="117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w:t>
      </w:r>
      <w:r w:rsidRPr="00AE47C6">
        <w:rPr>
          <w:rFonts w:ascii="Times New Roman" w:eastAsia="SimSun" w:hAnsi="Times New Roman"/>
          <w:sz w:val="24"/>
          <w:szCs w:val="24"/>
        </w:rPr>
        <w:tab/>
        <w:t>пристъпите да са до 2-3 месечно</w:t>
      </w:r>
    </w:p>
    <w:p w14:paraId="2E6ADC99" w14:textId="77777777" w:rsidR="00BE0B19" w:rsidRPr="00AE47C6" w:rsidRDefault="00BE0B19" w:rsidP="00BE0B19">
      <w:pPr>
        <w:tabs>
          <w:tab w:val="left" w:pos="117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w:t>
      </w:r>
      <w:r w:rsidRPr="00AE47C6">
        <w:rPr>
          <w:rFonts w:ascii="Times New Roman" w:eastAsia="SimSun" w:hAnsi="Times New Roman"/>
          <w:sz w:val="24"/>
          <w:szCs w:val="24"/>
        </w:rPr>
        <w:tab/>
        <w:t xml:space="preserve">лечението да е ефективно и да не уврежда други системи в организма </w:t>
      </w:r>
    </w:p>
    <w:p w14:paraId="549DA808" w14:textId="77777777" w:rsidR="00BE0B19" w:rsidRPr="00AE47C6" w:rsidRDefault="00BE0B19" w:rsidP="00BE0B19">
      <w:pPr>
        <w:spacing w:after="0" w:line="360" w:lineRule="auto"/>
        <w:ind w:left="720"/>
        <w:jc w:val="both"/>
        <w:rPr>
          <w:rFonts w:ascii="Times New Roman" w:eastAsia="SimSun" w:hAnsi="Times New Roman"/>
          <w:b/>
          <w:sz w:val="24"/>
          <w:szCs w:val="24"/>
        </w:rPr>
      </w:pPr>
      <w:r w:rsidRPr="00AE47C6">
        <w:rPr>
          <w:rFonts w:ascii="Times New Roman" w:eastAsia="SimSun" w:hAnsi="Times New Roman"/>
          <w:b/>
          <w:sz w:val="24"/>
          <w:szCs w:val="24"/>
        </w:rPr>
        <w:t>1. Неспецифични медикаменти за лечение на леки и умерени пристъпи</w:t>
      </w:r>
    </w:p>
    <w:p w14:paraId="3F441B90"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sz w:val="24"/>
          <w:szCs w:val="24"/>
        </w:rPr>
        <w:t>Използват</w:t>
      </w:r>
      <w:r w:rsidRPr="00AE47C6">
        <w:rPr>
          <w:rFonts w:ascii="Times New Roman" w:eastAsia="SimSun" w:hAnsi="Times New Roman"/>
          <w:bCs/>
          <w:sz w:val="24"/>
          <w:szCs w:val="24"/>
        </w:rPr>
        <w:t xml:space="preserve"> се за лечение на по-леки мигренни пристъпи, при пациенти, които имат противопоказания за използване на триптани и при пациенти злоупотребяващи с триптани през периода на спирането им. Не бива да се използват за повече от 15 дни месечно, независимо от дневната доза.</w:t>
      </w:r>
    </w:p>
    <w:p w14:paraId="32E2494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i/>
          <w:sz w:val="24"/>
          <w:szCs w:val="24"/>
        </w:rPr>
        <w:t>а</w:t>
      </w:r>
      <w:r w:rsidRPr="00AE47C6">
        <w:rPr>
          <w:rFonts w:ascii="Times New Roman" w:eastAsia="SimSun" w:hAnsi="Times New Roman"/>
          <w:sz w:val="24"/>
          <w:szCs w:val="24"/>
        </w:rPr>
        <w:t>/ Paracetamol – 1 g в началото на пристъпа е по-</w:t>
      </w:r>
      <w:r w:rsidRPr="00AE47C6">
        <w:rPr>
          <w:rFonts w:ascii="Times New Roman" w:eastAsia="SimSun" w:hAnsi="Times New Roman"/>
          <w:bCs/>
          <w:sz w:val="24"/>
          <w:szCs w:val="24"/>
        </w:rPr>
        <w:t>слабо ефективен</w:t>
      </w:r>
      <w:r w:rsidRPr="00AE47C6">
        <w:rPr>
          <w:rFonts w:ascii="Times New Roman" w:eastAsia="SimSun" w:hAnsi="Times New Roman"/>
          <w:sz w:val="24"/>
          <w:szCs w:val="24"/>
        </w:rPr>
        <w:t>.</w:t>
      </w:r>
    </w:p>
    <w:p w14:paraId="2E227DE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i/>
          <w:sz w:val="24"/>
          <w:szCs w:val="24"/>
        </w:rPr>
        <w:t>б/ нестероидните противовъзпалителни средства</w:t>
      </w:r>
      <w:r w:rsidRPr="00AE47C6">
        <w:rPr>
          <w:rFonts w:ascii="Times New Roman" w:eastAsia="SimSun" w:hAnsi="Times New Roman"/>
          <w:sz w:val="24"/>
          <w:szCs w:val="24"/>
        </w:rPr>
        <w:t xml:space="preserve"> (НСПВС) потискат простагландиновата синтеза и повлияват предаването на болковите импулси в тригемино-васкуларната система. Не бива да се използват повече от 10-14 дни в месеца. Най-често се прилагат:</w:t>
      </w:r>
    </w:p>
    <w:p w14:paraId="7C445DC7" w14:textId="77777777" w:rsidR="00BE0B19" w:rsidRPr="00AE47C6" w:rsidRDefault="00BE0B19" w:rsidP="00BE0B19">
      <w:pPr>
        <w:numPr>
          <w:ilvl w:val="0"/>
          <w:numId w:val="183"/>
        </w:numPr>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i/>
          <w:sz w:val="24"/>
          <w:szCs w:val="24"/>
        </w:rPr>
        <w:t>Diclofenac</w:t>
      </w:r>
      <w:r w:rsidRPr="00AE47C6">
        <w:rPr>
          <w:rFonts w:ascii="Times New Roman" w:eastAsia="SimSun" w:hAnsi="Times New Roman"/>
          <w:sz w:val="24"/>
          <w:szCs w:val="24"/>
        </w:rPr>
        <w:t xml:space="preserve"> в доза от 50 – 100 mg за пристъп</w:t>
      </w:r>
    </w:p>
    <w:p w14:paraId="65CEA635" w14:textId="77777777" w:rsidR="00BE0B19" w:rsidRPr="00AE47C6" w:rsidRDefault="00BE0B19" w:rsidP="00BE0B19">
      <w:pPr>
        <w:numPr>
          <w:ilvl w:val="0"/>
          <w:numId w:val="183"/>
        </w:numPr>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i/>
          <w:sz w:val="24"/>
          <w:szCs w:val="24"/>
        </w:rPr>
        <w:t>Ibuprofen</w:t>
      </w:r>
      <w:r w:rsidRPr="00AE47C6">
        <w:rPr>
          <w:rFonts w:ascii="Times New Roman" w:eastAsia="SimSun" w:hAnsi="Times New Roman"/>
          <w:sz w:val="24"/>
          <w:szCs w:val="24"/>
        </w:rPr>
        <w:t xml:space="preserve"> в доза 400 – 800 mg за пристъп</w:t>
      </w:r>
    </w:p>
    <w:p w14:paraId="43CB3677" w14:textId="77777777" w:rsidR="00BE0B19" w:rsidRPr="00AE47C6" w:rsidRDefault="00BE0B19" w:rsidP="00BE0B19">
      <w:pPr>
        <w:numPr>
          <w:ilvl w:val="0"/>
          <w:numId w:val="183"/>
        </w:numPr>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i/>
          <w:sz w:val="24"/>
          <w:szCs w:val="24"/>
        </w:rPr>
        <w:t>Naproxen</w:t>
      </w:r>
      <w:r w:rsidRPr="00AE47C6">
        <w:rPr>
          <w:rFonts w:ascii="Times New Roman" w:eastAsia="SimSun" w:hAnsi="Times New Roman"/>
          <w:sz w:val="24"/>
          <w:szCs w:val="24"/>
        </w:rPr>
        <w:t xml:space="preserve"> в доза 500 – 1000 mg за пристъп</w:t>
      </w:r>
    </w:p>
    <w:p w14:paraId="65F54CB1" w14:textId="77777777" w:rsidR="00BE0B19" w:rsidRPr="00AE47C6" w:rsidRDefault="00BE0B19" w:rsidP="00BE0B19">
      <w:pPr>
        <w:numPr>
          <w:ilvl w:val="0"/>
          <w:numId w:val="183"/>
        </w:numPr>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i/>
          <w:sz w:val="24"/>
          <w:szCs w:val="24"/>
        </w:rPr>
        <w:t>Dexketoprofen</w:t>
      </w:r>
      <w:r w:rsidRPr="00AE47C6">
        <w:rPr>
          <w:rFonts w:ascii="Times New Roman" w:eastAsia="SimSun" w:hAnsi="Times New Roman"/>
          <w:sz w:val="24"/>
          <w:szCs w:val="24"/>
        </w:rPr>
        <w:t xml:space="preserve"> - 25 mg -75 mg дневно</w:t>
      </w:r>
    </w:p>
    <w:p w14:paraId="0E8C1DDC" w14:textId="77777777" w:rsidR="00BE0B19" w:rsidRPr="00AE47C6" w:rsidRDefault="00BE0B19" w:rsidP="00BE0B19">
      <w:pPr>
        <w:spacing w:after="0" w:line="360" w:lineRule="auto"/>
        <w:ind w:left="720" w:firstLine="720"/>
        <w:jc w:val="both"/>
        <w:rPr>
          <w:rFonts w:ascii="Times New Roman" w:eastAsia="SimSun" w:hAnsi="Times New Roman"/>
          <w:sz w:val="24"/>
          <w:szCs w:val="24"/>
        </w:rPr>
      </w:pPr>
      <w:r w:rsidRPr="00AE47C6">
        <w:rPr>
          <w:rFonts w:ascii="Times New Roman" w:eastAsia="SimSun" w:hAnsi="Times New Roman"/>
          <w:i/>
          <w:sz w:val="24"/>
          <w:szCs w:val="24"/>
        </w:rPr>
        <w:t>в/ антиеметици</w:t>
      </w:r>
      <w:r w:rsidRPr="00AE47C6">
        <w:rPr>
          <w:rFonts w:ascii="Times New Roman" w:eastAsia="SimSun" w:hAnsi="Times New Roman"/>
          <w:sz w:val="24"/>
          <w:szCs w:val="24"/>
        </w:rPr>
        <w:t xml:space="preserve"> – по време на пристъп поради стомашна стаза абсорбцията на оралните медикаменти е намалена, дори и при отсъствие на гадене и повръщане. Това налага приемането на антиеметици половин час преди вземането на специфични или неспецифични медикаменти. Алтернативно могат да се използват парентерални форми на медикаментите.</w:t>
      </w:r>
    </w:p>
    <w:p w14:paraId="3062488E" w14:textId="77777777" w:rsidR="00BE0B19" w:rsidRPr="00AE47C6" w:rsidRDefault="00BE0B19" w:rsidP="00BE0B19">
      <w:pPr>
        <w:numPr>
          <w:ilvl w:val="0"/>
          <w:numId w:val="183"/>
        </w:numPr>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i/>
          <w:sz w:val="24"/>
          <w:szCs w:val="24"/>
        </w:rPr>
        <w:t xml:space="preserve">Metoclopramide </w:t>
      </w:r>
      <w:r w:rsidRPr="00AE47C6">
        <w:rPr>
          <w:rFonts w:ascii="Times New Roman" w:eastAsia="SimSun" w:hAnsi="Times New Roman"/>
          <w:sz w:val="24"/>
          <w:szCs w:val="24"/>
        </w:rPr>
        <w:t>10 mg за пристъп. При деца 0,1 mg/kg  еднократна доза, максимална дневна доза 0,5 mg/kg.</w:t>
      </w:r>
    </w:p>
    <w:p w14:paraId="45863BF0" w14:textId="77777777" w:rsidR="00BE0B19" w:rsidRPr="00AE47C6" w:rsidRDefault="00BE0B19" w:rsidP="00BE0B19">
      <w:pPr>
        <w:numPr>
          <w:ilvl w:val="0"/>
          <w:numId w:val="183"/>
        </w:numPr>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i/>
          <w:sz w:val="24"/>
          <w:szCs w:val="24"/>
        </w:rPr>
        <w:t>Domperidone</w:t>
      </w:r>
      <w:r w:rsidRPr="00AE47C6">
        <w:rPr>
          <w:rFonts w:ascii="Times New Roman" w:eastAsia="SimSun" w:hAnsi="Times New Roman"/>
          <w:sz w:val="24"/>
          <w:szCs w:val="24"/>
        </w:rPr>
        <w:t xml:space="preserve"> 20 mg за пристъп</w:t>
      </w:r>
    </w:p>
    <w:p w14:paraId="49B6438C" w14:textId="77777777" w:rsidR="00BE0B19" w:rsidRPr="00AE47C6" w:rsidRDefault="00BE0B19" w:rsidP="00BE0B19">
      <w:pPr>
        <w:spacing w:after="0" w:line="360" w:lineRule="auto"/>
        <w:ind w:left="720" w:firstLine="720"/>
        <w:jc w:val="both"/>
        <w:rPr>
          <w:rFonts w:ascii="Times New Roman" w:eastAsia="SimSun" w:hAnsi="Times New Roman"/>
          <w:bCs/>
          <w:sz w:val="24"/>
          <w:szCs w:val="24"/>
        </w:rPr>
      </w:pPr>
      <w:r w:rsidRPr="00AE47C6">
        <w:rPr>
          <w:rFonts w:ascii="Times New Roman" w:eastAsia="SimSun" w:hAnsi="Times New Roman"/>
          <w:bCs/>
          <w:i/>
          <w:sz w:val="24"/>
          <w:szCs w:val="24"/>
        </w:rPr>
        <w:t>г/ Кортикостероидите</w:t>
      </w:r>
      <w:r w:rsidRPr="00AE47C6">
        <w:rPr>
          <w:rFonts w:ascii="Times New Roman" w:eastAsia="SimSun" w:hAnsi="Times New Roman"/>
          <w:bCs/>
          <w:sz w:val="24"/>
          <w:szCs w:val="24"/>
        </w:rPr>
        <w:t xml:space="preserve"> се използват за лечение на продължителни и рефрактерни на лечение пристъпи, предимно при мигренен статус.</w:t>
      </w:r>
    </w:p>
    <w:p w14:paraId="704A3822" w14:textId="77777777" w:rsidR="00BE0B19" w:rsidRPr="00AE47C6" w:rsidRDefault="00BE0B19" w:rsidP="00BE0B19">
      <w:pPr>
        <w:numPr>
          <w:ilvl w:val="0"/>
          <w:numId w:val="186"/>
        </w:numPr>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 xml:space="preserve">prednisone в дневна доза 40-60 mg дневно перорално в продължение на 3 до 5 дни </w:t>
      </w:r>
    </w:p>
    <w:p w14:paraId="6A586E3B" w14:textId="77777777" w:rsidR="00BE0B19" w:rsidRPr="00AE47C6" w:rsidRDefault="00BE0B19" w:rsidP="00BE0B19">
      <w:pPr>
        <w:numPr>
          <w:ilvl w:val="0"/>
          <w:numId w:val="186"/>
        </w:numPr>
        <w:spacing w:after="0" w:line="360" w:lineRule="auto"/>
        <w:jc w:val="both"/>
        <w:rPr>
          <w:rFonts w:ascii="Times New Roman" w:eastAsia="SimSun" w:hAnsi="Times New Roman"/>
          <w:sz w:val="24"/>
          <w:szCs w:val="24"/>
        </w:rPr>
      </w:pPr>
      <w:r w:rsidRPr="00AE47C6">
        <w:rPr>
          <w:rFonts w:ascii="Times New Roman" w:eastAsia="SimSun" w:hAnsi="Times New Roman"/>
          <w:bCs/>
          <w:sz w:val="24"/>
          <w:szCs w:val="24"/>
        </w:rPr>
        <w:t>dexamethasone 8-16 mg интрамускулно при пристъп</w:t>
      </w:r>
    </w:p>
    <w:p w14:paraId="5D89AD44" w14:textId="77777777" w:rsidR="00BE0B19" w:rsidRPr="00AE47C6" w:rsidRDefault="00BE0B19" w:rsidP="00BE0B19">
      <w:pPr>
        <w:spacing w:after="0" w:line="360" w:lineRule="auto"/>
        <w:ind w:left="284" w:firstLine="720"/>
        <w:jc w:val="both"/>
        <w:rPr>
          <w:rFonts w:ascii="Times New Roman" w:eastAsia="SimSun" w:hAnsi="Times New Roman"/>
          <w:sz w:val="24"/>
          <w:szCs w:val="24"/>
        </w:rPr>
      </w:pPr>
      <w:r w:rsidRPr="00AE47C6">
        <w:rPr>
          <w:rFonts w:ascii="Times New Roman" w:eastAsia="SimSun" w:hAnsi="Times New Roman"/>
          <w:b/>
          <w:bCs/>
          <w:sz w:val="24"/>
          <w:szCs w:val="24"/>
        </w:rPr>
        <w:t>Не се препоръчват</w:t>
      </w:r>
      <w:r w:rsidRPr="00AE47C6">
        <w:rPr>
          <w:rFonts w:ascii="Times New Roman" w:eastAsia="SimSun" w:hAnsi="Times New Roman"/>
          <w:bCs/>
          <w:sz w:val="24"/>
          <w:szCs w:val="24"/>
        </w:rPr>
        <w:t xml:space="preserve"> за лечение на мигренен пристъп</w:t>
      </w:r>
      <w:r w:rsidRPr="00AE47C6">
        <w:rPr>
          <w:rFonts w:ascii="Times New Roman" w:eastAsia="SimSun" w:hAnsi="Times New Roman"/>
          <w:sz w:val="24"/>
          <w:szCs w:val="24"/>
        </w:rPr>
        <w:t xml:space="preserve"> аналгетици </w:t>
      </w:r>
      <w:r w:rsidRPr="00AE47C6">
        <w:rPr>
          <w:rFonts w:ascii="Times New Roman" w:eastAsia="SimSun" w:hAnsi="Times New Roman"/>
          <w:bCs/>
          <w:sz w:val="24"/>
          <w:szCs w:val="24"/>
        </w:rPr>
        <w:t>(наркотични и ненаркотични) и аналгетични комбинации, поради опасност от злоупотреба и усложнение на главоболието.</w:t>
      </w:r>
    </w:p>
    <w:p w14:paraId="05C8EFC2" w14:textId="77777777" w:rsidR="00BE0B19" w:rsidRPr="00AE47C6" w:rsidRDefault="00BE0B19" w:rsidP="00BE0B19">
      <w:pPr>
        <w:spacing w:after="0" w:line="360" w:lineRule="auto"/>
        <w:ind w:left="284" w:firstLine="720"/>
        <w:jc w:val="both"/>
        <w:rPr>
          <w:rFonts w:ascii="Times New Roman" w:eastAsia="SimSun" w:hAnsi="Times New Roman"/>
          <w:sz w:val="24"/>
          <w:szCs w:val="24"/>
        </w:rPr>
      </w:pPr>
      <w:r w:rsidRPr="00AE47C6">
        <w:rPr>
          <w:rFonts w:ascii="Times New Roman" w:eastAsia="SimSun" w:hAnsi="Times New Roman"/>
          <w:bCs/>
          <w:sz w:val="24"/>
          <w:szCs w:val="24"/>
        </w:rPr>
        <w:t xml:space="preserve">В </w:t>
      </w:r>
      <w:r w:rsidRPr="00AE47C6">
        <w:rPr>
          <w:rFonts w:ascii="Times New Roman" w:eastAsia="SimSun" w:hAnsi="Times New Roman"/>
          <w:b/>
          <w:bCs/>
          <w:i/>
          <w:sz w:val="24"/>
          <w:szCs w:val="24"/>
        </w:rPr>
        <w:t>детската възраст</w:t>
      </w:r>
      <w:r w:rsidRPr="00AE47C6">
        <w:rPr>
          <w:rFonts w:ascii="Times New Roman" w:eastAsia="SimSun" w:hAnsi="Times New Roman"/>
          <w:bCs/>
          <w:sz w:val="24"/>
          <w:szCs w:val="24"/>
        </w:rPr>
        <w:t xml:space="preserve"> се използват </w:t>
      </w:r>
      <w:r w:rsidRPr="00AE47C6">
        <w:rPr>
          <w:rFonts w:ascii="Times New Roman" w:eastAsia="SimSun" w:hAnsi="Times New Roman"/>
          <w:bCs/>
          <w:i/>
          <w:sz w:val="24"/>
          <w:szCs w:val="24"/>
        </w:rPr>
        <w:t xml:space="preserve">ibuprofen </w:t>
      </w:r>
      <w:r w:rsidRPr="00AE47C6">
        <w:rPr>
          <w:rFonts w:ascii="Times New Roman" w:eastAsia="SimSun" w:hAnsi="Times New Roman"/>
          <w:bCs/>
          <w:sz w:val="24"/>
          <w:szCs w:val="24"/>
        </w:rPr>
        <w:t xml:space="preserve">(10 mg/kg) и </w:t>
      </w:r>
      <w:r w:rsidRPr="00AE47C6">
        <w:rPr>
          <w:rFonts w:ascii="Times New Roman" w:eastAsia="SimSun" w:hAnsi="Times New Roman"/>
          <w:i/>
          <w:sz w:val="24"/>
          <w:szCs w:val="24"/>
        </w:rPr>
        <w:t>paracetamol</w:t>
      </w:r>
      <w:r w:rsidRPr="00AE47C6">
        <w:rPr>
          <w:rFonts w:ascii="Times New Roman" w:eastAsia="SimSun" w:hAnsi="Times New Roman"/>
          <w:bCs/>
          <w:sz w:val="24"/>
          <w:szCs w:val="24"/>
        </w:rPr>
        <w:t xml:space="preserve"> (15 mg/kg, до 1g). Acetylsalicylic acid е ефективен, но не бива да се използва под 15 годишна възраст, поради опасността от синдрома на Reye.</w:t>
      </w:r>
    </w:p>
    <w:p w14:paraId="08A2A817" w14:textId="77777777" w:rsidR="00BE0B19" w:rsidRPr="00AE47C6" w:rsidRDefault="00BE0B19" w:rsidP="00BE0B19">
      <w:pPr>
        <w:numPr>
          <w:ilvl w:val="0"/>
          <w:numId w:val="184"/>
        </w:numPr>
        <w:spacing w:after="0" w:line="360" w:lineRule="auto"/>
        <w:ind w:left="0"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Специфични медикаменти за лечение на умерени и тежки пристъпи </w:t>
      </w:r>
      <w:r w:rsidRPr="00AE47C6">
        <w:rPr>
          <w:rFonts w:ascii="Times New Roman" w:eastAsia="SimSun" w:hAnsi="Times New Roman"/>
          <w:bCs/>
          <w:sz w:val="24"/>
          <w:szCs w:val="24"/>
        </w:rPr>
        <w:t xml:space="preserve">включват </w:t>
      </w:r>
      <w:r w:rsidRPr="00AE47C6">
        <w:rPr>
          <w:rFonts w:ascii="Times New Roman" w:eastAsia="SimSun" w:hAnsi="Times New Roman"/>
          <w:bCs/>
          <w:iCs/>
          <w:sz w:val="24"/>
          <w:szCs w:val="24"/>
        </w:rPr>
        <w:t>селективните серотонинови агонисти</w:t>
      </w:r>
      <w:r w:rsidRPr="00AE47C6">
        <w:rPr>
          <w:rFonts w:ascii="Times New Roman" w:eastAsia="SimSun" w:hAnsi="Times New Roman"/>
          <w:b/>
          <w:i/>
          <w:sz w:val="24"/>
          <w:szCs w:val="24"/>
        </w:rPr>
        <w:t xml:space="preserve"> </w:t>
      </w:r>
      <w:r w:rsidRPr="00AE47C6">
        <w:rPr>
          <w:rFonts w:ascii="Times New Roman" w:eastAsia="SimSun" w:hAnsi="Times New Roman"/>
          <w:bCs/>
          <w:iCs/>
          <w:sz w:val="24"/>
          <w:szCs w:val="24"/>
        </w:rPr>
        <w:t xml:space="preserve">и </w:t>
      </w:r>
      <w:r w:rsidRPr="00AE47C6">
        <w:rPr>
          <w:rFonts w:ascii="Times New Roman" w:eastAsia="SimSun" w:hAnsi="Times New Roman"/>
          <w:bCs/>
          <w:sz w:val="24"/>
          <w:szCs w:val="24"/>
        </w:rPr>
        <w:t>CGRP рецепторните антагонисти.</w:t>
      </w:r>
    </w:p>
    <w:p w14:paraId="63174030" w14:textId="77777777" w:rsidR="00BE0B19" w:rsidRPr="00AE47C6" w:rsidRDefault="00BE0B19" w:rsidP="00BE0B19">
      <w:pPr>
        <w:spacing w:after="0" w:line="360" w:lineRule="auto"/>
        <w:jc w:val="both"/>
        <w:rPr>
          <w:rFonts w:ascii="Times New Roman" w:eastAsia="SimSun" w:hAnsi="Times New Roman"/>
          <w:b/>
          <w:sz w:val="24"/>
          <w:szCs w:val="24"/>
        </w:rPr>
      </w:pPr>
    </w:p>
    <w:p w14:paraId="0E06565F"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i/>
          <w:sz w:val="24"/>
          <w:szCs w:val="24"/>
        </w:rPr>
        <w:t>Селективните серотонинови агонисти (триптани)</w:t>
      </w:r>
      <w:r w:rsidRPr="00AE47C6">
        <w:rPr>
          <w:rFonts w:ascii="Times New Roman" w:eastAsia="SimSun" w:hAnsi="Times New Roman"/>
          <w:sz w:val="24"/>
          <w:szCs w:val="24"/>
        </w:rPr>
        <w:t xml:space="preserve"> потискат дуралното неврогенно възпаление, директно въздействат върху възбудимостта на клетките в тригеминалните ядра в мозъчния ствол чрез стимулиране на 5-НТ</w:t>
      </w:r>
      <w:r w:rsidRPr="00AE47C6">
        <w:rPr>
          <w:rFonts w:ascii="Times New Roman" w:eastAsia="SimSun" w:hAnsi="Times New Roman"/>
          <w:sz w:val="24"/>
          <w:szCs w:val="24"/>
          <w:vertAlign w:val="subscript"/>
        </w:rPr>
        <w:t>1B/1D</w:t>
      </w:r>
      <w:r w:rsidRPr="00AE47C6">
        <w:rPr>
          <w:rFonts w:ascii="Times New Roman" w:eastAsia="SimSun" w:hAnsi="Times New Roman"/>
          <w:sz w:val="24"/>
          <w:szCs w:val="24"/>
        </w:rPr>
        <w:t xml:space="preserve"> рецепторите и предизвикват вазоконстрикция на менингеалните, дуралните, церебралните и пиалните съдове. </w:t>
      </w:r>
      <w:r w:rsidRPr="00AE47C6">
        <w:rPr>
          <w:rFonts w:ascii="Times New Roman" w:eastAsia="SimSun" w:hAnsi="Times New Roman"/>
          <w:bCs/>
          <w:sz w:val="24"/>
          <w:szCs w:val="24"/>
        </w:rPr>
        <w:t>Различават се и по лекарствената форма (перорална, парентерална), времето за достигане на максимални плазмени концентрации, време на полуживот, бионаличността, продължителност на ефекта и необходимо време за настъпване на ефекта, скорост на началото на действие (скорост за достигане на максимална плазмена концентрация по време на пристъп T</w:t>
      </w:r>
      <w:r w:rsidRPr="00AE47C6">
        <w:rPr>
          <w:rFonts w:ascii="Times New Roman" w:eastAsia="SimSun" w:hAnsi="Times New Roman"/>
          <w:bCs/>
          <w:sz w:val="24"/>
          <w:szCs w:val="24"/>
          <w:vertAlign w:val="subscript"/>
        </w:rPr>
        <w:t>max</w:t>
      </w:r>
      <w:r w:rsidRPr="00AE47C6">
        <w:rPr>
          <w:rFonts w:ascii="Times New Roman" w:eastAsia="SimSun" w:hAnsi="Times New Roman"/>
          <w:bCs/>
          <w:sz w:val="24"/>
          <w:szCs w:val="24"/>
        </w:rPr>
        <w:t>), отговор на главоболието на втория час от приема (пациенти без болка), период без болка, възвръщане на болката за 24 часа, продължителен отговор на главоболие, повторяемост на ефекта, съвместимост, нежелани реакции и безопасност и лекарствени взаимодействия. Най-общо те се разделят на две групи.</w:t>
      </w:r>
    </w:p>
    <w:p w14:paraId="242C215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Cs/>
          <w:i/>
          <w:sz w:val="24"/>
          <w:szCs w:val="24"/>
        </w:rPr>
        <w:t xml:space="preserve">Първата </w:t>
      </w:r>
      <w:r w:rsidRPr="00AE47C6">
        <w:rPr>
          <w:rFonts w:ascii="Times New Roman" w:eastAsia="SimSun" w:hAnsi="Times New Roman"/>
          <w:bCs/>
          <w:sz w:val="24"/>
          <w:szCs w:val="24"/>
        </w:rPr>
        <w:t>група</w:t>
      </w:r>
      <w:r w:rsidRPr="00AE47C6">
        <w:rPr>
          <w:rFonts w:ascii="Times New Roman" w:eastAsia="SimSun" w:hAnsi="Times New Roman"/>
          <w:bCs/>
          <w:i/>
          <w:sz w:val="24"/>
          <w:szCs w:val="24"/>
        </w:rPr>
        <w:t xml:space="preserve"> триптани</w:t>
      </w:r>
      <w:r w:rsidRPr="00AE47C6">
        <w:rPr>
          <w:rFonts w:ascii="Times New Roman" w:eastAsia="SimSun" w:hAnsi="Times New Roman"/>
          <w:bCs/>
          <w:sz w:val="24"/>
          <w:szCs w:val="24"/>
        </w:rPr>
        <w:t xml:space="preserve"> са с бързо начало, но по-кратко действие (полуживот 2-4 часа) и включват:</w:t>
      </w:r>
    </w:p>
    <w:p w14:paraId="4C074A70" w14:textId="77777777" w:rsidR="00BE0B19" w:rsidRPr="00AE47C6" w:rsidRDefault="00BE0B19" w:rsidP="00BE0B19">
      <w:pPr>
        <w:numPr>
          <w:ilvl w:val="0"/>
          <w:numId w:val="185"/>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Cs/>
          <w:i/>
          <w:sz w:val="24"/>
          <w:szCs w:val="24"/>
        </w:rPr>
        <w:t>eletriptan</w:t>
      </w:r>
      <w:r w:rsidRPr="00AE47C6">
        <w:rPr>
          <w:rFonts w:ascii="Times New Roman" w:eastAsia="SimSun" w:hAnsi="Times New Roman"/>
          <w:bCs/>
          <w:sz w:val="24"/>
          <w:szCs w:val="24"/>
        </w:rPr>
        <w:t xml:space="preserve"> таблетки 20, 40 и 80 mg – един от най-ефективните и бързодействащи триптани, с по-дълга продължителност на ефекта, която го доближава до групата на триптаните с дълго действие. </w:t>
      </w:r>
      <w:r w:rsidRPr="00AE47C6">
        <w:rPr>
          <w:rFonts w:ascii="Times New Roman" w:eastAsia="SimSun" w:hAnsi="Times New Roman"/>
          <w:sz w:val="24"/>
          <w:szCs w:val="24"/>
        </w:rPr>
        <w:t>Еднократната доза е обичайно 40 mg, максималната доза за 24 часа е 80 mg.</w:t>
      </w:r>
    </w:p>
    <w:p w14:paraId="4EBF89FF" w14:textId="77777777" w:rsidR="00BE0B19" w:rsidRPr="00AE47C6" w:rsidRDefault="00BE0B19" w:rsidP="00BE0B19">
      <w:pPr>
        <w:numPr>
          <w:ilvl w:val="0"/>
          <w:numId w:val="185"/>
        </w:numPr>
        <w:spacing w:after="0" w:line="360" w:lineRule="auto"/>
        <w:ind w:left="0" w:firstLine="720"/>
        <w:jc w:val="both"/>
        <w:rPr>
          <w:rFonts w:ascii="Times New Roman" w:eastAsia="SimSun" w:hAnsi="Times New Roman"/>
          <w:bCs/>
          <w:sz w:val="24"/>
          <w:szCs w:val="24"/>
        </w:rPr>
      </w:pPr>
      <w:r w:rsidRPr="00AE47C6">
        <w:rPr>
          <w:rFonts w:ascii="Times New Roman" w:eastAsia="SimSun" w:hAnsi="Times New Roman"/>
          <w:bCs/>
          <w:sz w:val="24"/>
          <w:szCs w:val="24"/>
        </w:rPr>
        <w:t>frovatriptan таблетки 2,5 mg – един от най-ефективните и бързодействащи триптани, с по-дълга продължителност на ефекта която го доближава до групата на триптаните с дълго действие. Еднократната доза е обичайно 2,5 mg, максималната доза за 24 часа е 5 mg.</w:t>
      </w:r>
    </w:p>
    <w:p w14:paraId="251DD747" w14:textId="77777777" w:rsidR="00BE0B19" w:rsidRPr="00AE47C6" w:rsidRDefault="00BE0B19" w:rsidP="00BE0B19">
      <w:pPr>
        <w:numPr>
          <w:ilvl w:val="0"/>
          <w:numId w:val="185"/>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Cs/>
          <w:i/>
          <w:sz w:val="24"/>
          <w:szCs w:val="24"/>
        </w:rPr>
        <w:t>rizatriptan</w:t>
      </w:r>
      <w:r w:rsidRPr="00AE47C6">
        <w:rPr>
          <w:rFonts w:ascii="Times New Roman" w:eastAsia="SimSun" w:hAnsi="Times New Roman"/>
          <w:bCs/>
          <w:sz w:val="24"/>
          <w:szCs w:val="24"/>
        </w:rPr>
        <w:t xml:space="preserve"> таблетки 5 и 10 mg</w:t>
      </w:r>
      <w:r w:rsidRPr="00AE47C6">
        <w:rPr>
          <w:rFonts w:ascii="Times New Roman" w:eastAsia="SimSun" w:hAnsi="Times New Roman"/>
          <w:sz w:val="24"/>
          <w:szCs w:val="24"/>
        </w:rPr>
        <w:t xml:space="preserve"> – характеризира се с много добра абсорбция, не влияеща се от стомашната стаза по време на пристъп. </w:t>
      </w:r>
      <w:r w:rsidRPr="00AE47C6">
        <w:rPr>
          <w:rFonts w:ascii="Times New Roman" w:eastAsia="SimSun" w:hAnsi="Times New Roman"/>
          <w:bCs/>
          <w:sz w:val="24"/>
          <w:szCs w:val="24"/>
        </w:rPr>
        <w:t xml:space="preserve">Един от най-бързодействащите и ефективните триптани, който повлиява болката през първите 2 часа при най-много пациенти. </w:t>
      </w:r>
      <w:r w:rsidRPr="00AE47C6">
        <w:rPr>
          <w:rFonts w:ascii="Times New Roman" w:eastAsia="SimSun" w:hAnsi="Times New Roman"/>
          <w:sz w:val="24"/>
          <w:szCs w:val="24"/>
        </w:rPr>
        <w:t>При около 30% от пациентите болката се възобновява след 2 часа, което налага повторен прием на медикамента. Еднократната доза е 10 mg, максималната доза за 24 часа е 30 mg.</w:t>
      </w:r>
    </w:p>
    <w:p w14:paraId="04D877E4" w14:textId="77777777" w:rsidR="00BE0B19" w:rsidRPr="00AE47C6" w:rsidRDefault="00BE0B19" w:rsidP="00BE0B19">
      <w:pPr>
        <w:numPr>
          <w:ilvl w:val="0"/>
          <w:numId w:val="185"/>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Cs/>
          <w:i/>
          <w:sz w:val="24"/>
          <w:szCs w:val="24"/>
        </w:rPr>
        <w:t>zolmitriptan</w:t>
      </w:r>
      <w:r w:rsidRPr="00AE47C6">
        <w:rPr>
          <w:rFonts w:ascii="Times New Roman" w:eastAsia="SimSun" w:hAnsi="Times New Roman"/>
          <w:bCs/>
          <w:sz w:val="24"/>
          <w:szCs w:val="24"/>
        </w:rPr>
        <w:t xml:space="preserve"> таблетки 2,5 и 5 mg</w:t>
      </w:r>
      <w:r w:rsidRPr="00AE47C6">
        <w:rPr>
          <w:rFonts w:ascii="Times New Roman" w:eastAsia="SimSun" w:hAnsi="Times New Roman"/>
          <w:sz w:val="24"/>
          <w:szCs w:val="24"/>
        </w:rPr>
        <w:t xml:space="preserve">– действието на медикамента настъпва по-бавно от </w:t>
      </w:r>
      <w:r w:rsidRPr="00AE47C6">
        <w:rPr>
          <w:rFonts w:ascii="Times New Roman" w:eastAsia="SimSun" w:hAnsi="Times New Roman"/>
          <w:bCs/>
          <w:sz w:val="24"/>
          <w:szCs w:val="24"/>
        </w:rPr>
        <w:t>rizatriptan</w:t>
      </w:r>
      <w:r w:rsidRPr="00AE47C6">
        <w:rPr>
          <w:rFonts w:ascii="Times New Roman" w:eastAsia="SimSun" w:hAnsi="Times New Roman"/>
          <w:sz w:val="24"/>
          <w:szCs w:val="24"/>
        </w:rPr>
        <w:t xml:space="preserve">, бионаличността му е най-малка в сравнение с другите триптани. Има най-силно изразени странични кардиални и некардиални (гадене, замаяност, сънливост, астения и др.) ефекти в сравнение с останалите триптани, което ограничава неговото приложение. Еднократната доза е 2,5 mg, максималната доза за 24 часа е 5 mg. </w:t>
      </w:r>
    </w:p>
    <w:p w14:paraId="7F7C2909" w14:textId="77777777" w:rsidR="00BE0B19" w:rsidRPr="00AE47C6" w:rsidRDefault="00BE0B19" w:rsidP="00BE0B19">
      <w:pPr>
        <w:numPr>
          <w:ilvl w:val="0"/>
          <w:numId w:val="185"/>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Cs/>
          <w:i/>
          <w:sz w:val="24"/>
          <w:szCs w:val="24"/>
        </w:rPr>
        <w:t>sumatriptan</w:t>
      </w:r>
      <w:r w:rsidRPr="00AE47C6">
        <w:rPr>
          <w:rFonts w:ascii="Times New Roman" w:eastAsia="SimSun" w:hAnsi="Times New Roman"/>
          <w:bCs/>
          <w:sz w:val="24"/>
          <w:szCs w:val="24"/>
        </w:rPr>
        <w:t xml:space="preserve"> таблетки 25, 50 и 100 mg. </w:t>
      </w:r>
      <w:r w:rsidRPr="00AE47C6">
        <w:rPr>
          <w:rFonts w:ascii="Times New Roman" w:eastAsia="SimSun" w:hAnsi="Times New Roman"/>
          <w:sz w:val="24"/>
          <w:szCs w:val="24"/>
        </w:rPr>
        <w:t xml:space="preserve">Еднократната доза е 50-100 mg, максималната доза за 24 часа е 200 mg. </w:t>
      </w:r>
      <w:r w:rsidRPr="00AE47C6">
        <w:rPr>
          <w:rFonts w:ascii="Times New Roman" w:eastAsia="SimSun" w:hAnsi="Times New Roman"/>
          <w:bCs/>
          <w:sz w:val="24"/>
          <w:szCs w:val="24"/>
        </w:rPr>
        <w:t>Има ниска орална бионаличност, не преминава кръвно-мозъчната бариера, предизвиква вазоконстрикция на коронарните и мозъчни артерии, тревожност, болки в гърдите, парестезии.</w:t>
      </w:r>
    </w:p>
    <w:p w14:paraId="593F3BD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Cs/>
          <w:i/>
          <w:sz w:val="24"/>
          <w:szCs w:val="24"/>
        </w:rPr>
        <w:t>Втора група триптани</w:t>
      </w:r>
      <w:r w:rsidRPr="00AE47C6">
        <w:rPr>
          <w:rFonts w:ascii="Times New Roman" w:eastAsia="SimSun" w:hAnsi="Times New Roman"/>
          <w:bCs/>
          <w:sz w:val="24"/>
          <w:szCs w:val="24"/>
        </w:rPr>
        <w:t xml:space="preserve"> с бавно начало, но по-дълго действие включва:</w:t>
      </w:r>
    </w:p>
    <w:p w14:paraId="69E7DE27" w14:textId="77777777" w:rsidR="00BE0B19" w:rsidRPr="00AE47C6" w:rsidRDefault="00BE0B19" w:rsidP="00BE0B19">
      <w:pPr>
        <w:numPr>
          <w:ilvl w:val="0"/>
          <w:numId w:val="185"/>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Cs/>
          <w:i/>
          <w:sz w:val="24"/>
          <w:szCs w:val="24"/>
        </w:rPr>
        <w:t>naratriptan (2,5 mg)</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 xml:space="preserve"> действието на медикамента настъпва по-бавно, като максималната му ефективност се достига на четвъртия час след приема, но осигурява не по-малко от 24-часов период на повлияване на болката, поради което се предпочита при пациенти с възобновяващо се главоболие. Има дълъг плазмен полуживот (6 часа) и висока орална бионаличност, което обяснява продължителния му терапевтичен ефект и по-малкото случаи на възобновяващо се главоболие. Еднократната доза е 2,5 mg, максималната доза за 24 часа е 5 mg. </w:t>
      </w:r>
    </w:p>
    <w:p w14:paraId="7F4274B3"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Изборът на триптан от едната или другата група зависи от повлияването на пациента. При всички случай се предпочитат медикаменти с бързо действие, но при част от пациентите главоболието се завръща на втория час след приема на триптана, което налага прием на втора доза. В тези случаи може да се предпочете триптан с бавно начало, но по-продължително действие. Ако и след втората доза главоболието се възвърне се прилагат НСПВС. Пациенти при които главоболието се възвръща при всеки пристъп след употребата на триптан могат да използват в началото на пристъпа едновременно триптан и НСПВС.</w:t>
      </w:r>
    </w:p>
    <w:p w14:paraId="338404DE"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 xml:space="preserve">Приемът на триптани води до поява на “триптанови симптоми” – изтръпвания, безчувственост, затопляне, тежест и стягане в различни части на тялото, включително в гърдите. Торакалните симптоми се дължат на промени в мотилитета на хранопровода, ефекти върху скелетните мускули, централна сензитизация на болковите пътища и промени в белодробната васкуларизация. Те имитират стенокардни пристъпи, но не са установени промени в коронарното кръвоснабдяване. Независимо от това всички триптани са противопоказни при пациенти със сърдечно-съдови и изразени мозъчно-съдови заболявания, тежка, неконтролирана артериална хипертония, периферна и мозъчна васкулопатия, синдром на Raynaud, при пациенти с пролонгирана или неспецифична аура, </w:t>
      </w:r>
      <w:r w:rsidRPr="00AE47C6">
        <w:rPr>
          <w:rFonts w:ascii="Times New Roman" w:eastAsia="SimSun" w:hAnsi="Times New Roman"/>
          <w:sz w:val="24"/>
          <w:szCs w:val="24"/>
        </w:rPr>
        <w:t>мигрена със стволова аура</w:t>
      </w:r>
      <w:r w:rsidRPr="00AE47C6">
        <w:rPr>
          <w:rFonts w:ascii="Times New Roman" w:eastAsia="SimSun" w:hAnsi="Times New Roman"/>
          <w:bCs/>
          <w:sz w:val="24"/>
          <w:szCs w:val="24"/>
        </w:rPr>
        <w:t xml:space="preserve"> и хемиплегична мигрена. Противопоказани са и при пациенти на възраст под 18 или над 65 години. Противопоказани са за едновременно приложение с инхибитори на обратния захват на серотонина, поради опасност от серотонинов синдром. Противопоказани са за прием с МАО-А инхибитори, като moclobemide, защото се метаболизират чрез МАО-А ензима. Ако се приемат заедно със cimetidine, орални контрацептиви, ciprofloxacin, erythromycin, clarithromycin, ritonavir, indinavir или propranolol, техните серумни нива нарастват, което засилва страничните ефекти. Приемането на naratriptan при пушачи води до повишаване на неговите плазмени концентрации. </w:t>
      </w:r>
    </w:p>
    <w:p w14:paraId="6ABB8CA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iCs/>
          <w:sz w:val="24"/>
          <w:szCs w:val="24"/>
        </w:rPr>
        <w:t>CGRP рецепторните антагонисти</w:t>
      </w:r>
      <w:r w:rsidRPr="00AE47C6">
        <w:rPr>
          <w:rFonts w:ascii="Times New Roman" w:eastAsia="SimSun" w:hAnsi="Times New Roman"/>
          <w:sz w:val="24"/>
          <w:szCs w:val="24"/>
        </w:rPr>
        <w:t>, малки молекулни инхибитори на CGRP (гепанти) са ефективни за лечение на мигренен пристъп.</w:t>
      </w:r>
      <w:r w:rsidRPr="00AE47C6">
        <w:rPr>
          <w:rFonts w:ascii="Times New Roman" w:eastAsia="SimSun" w:hAnsi="Times New Roman"/>
          <w:color w:val="141413"/>
          <w:sz w:val="24"/>
          <w:szCs w:val="24"/>
        </w:rPr>
        <w:t xml:space="preserve"> Действието им се осъществява чрез свързване с CGRP рецепторите и повлияване на индуцираното от CGRP неврогенно възпаление и вазодилатация и тригеминоваскуларното ноцицептивно активиране. Антагонизмът на CGRP рецепторите върху мастоцитите, сателитните глиални клетки и астроцитите предотвратява индуцираното от CGRP невровъзпаление. Гепантите потискат CGRP-индуцираната вазодилатация, без да предизвиква вазоконстрикция, което ги прави предпочитана алтернатива при пациенти с контраиндикации за лечение с триптани. </w:t>
      </w:r>
      <w:r w:rsidRPr="00AE47C6">
        <w:rPr>
          <w:rFonts w:ascii="Times New Roman" w:eastAsia="SimSun" w:hAnsi="Times New Roman"/>
          <w:sz w:val="24"/>
          <w:szCs w:val="24"/>
        </w:rPr>
        <w:t>Като се има предвид, че 30-40% от пациентите не се повлияват от лечението с триптани, разработването на тази група медикаменти дава надежда за ефективно лечение на мигренните пристъпи.</w:t>
      </w:r>
      <w:r w:rsidRPr="00AE47C6">
        <w:rPr>
          <w:rFonts w:ascii="Times New Roman" w:eastAsia="SimSun" w:hAnsi="Times New Roman"/>
          <w:color w:val="141413"/>
          <w:sz w:val="24"/>
          <w:szCs w:val="24"/>
        </w:rPr>
        <w:t xml:space="preserve"> Гепантите се препоръчват за лечение на мигренен пристъп при липса на адекватен ефект от приложението на два или повече различни триптана. Честия прием на гепанти не води до главоболие вследствие на злоупотреба с медикаменти.</w:t>
      </w:r>
    </w:p>
    <w:p w14:paraId="380F612C"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i/>
          <w:iCs/>
          <w:color w:val="141413"/>
          <w:sz w:val="24"/>
          <w:szCs w:val="24"/>
        </w:rPr>
        <w:t>Rimegepant</w:t>
      </w:r>
      <w:r w:rsidRPr="00AE47C6">
        <w:rPr>
          <w:rFonts w:ascii="Times New Roman" w:eastAsia="SimSun" w:hAnsi="Times New Roman"/>
          <w:color w:val="141413"/>
          <w:sz w:val="24"/>
          <w:szCs w:val="24"/>
        </w:rPr>
        <w:t xml:space="preserve"> е CGRP рецепторен антагонист, който повлиява болката и придружаващите симптоми до 2 часа след приема на медикамента и с продължителност на ефекта 24-48 часа. Прилага се в доза 75 mg перорално при пристъп. Страничните ефекти са замаяност, гадене и уринарни инфекции. </w:t>
      </w:r>
    </w:p>
    <w:p w14:paraId="410F968C"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 xml:space="preserve">В </w:t>
      </w:r>
      <w:r w:rsidRPr="00AE47C6">
        <w:rPr>
          <w:rFonts w:ascii="Times New Roman" w:eastAsia="SimSun" w:hAnsi="Times New Roman"/>
          <w:b/>
          <w:bCs/>
          <w:i/>
          <w:sz w:val="24"/>
          <w:szCs w:val="24"/>
        </w:rPr>
        <w:t>детската възраст</w:t>
      </w:r>
      <w:r w:rsidRPr="00AE47C6">
        <w:rPr>
          <w:rFonts w:ascii="Times New Roman" w:eastAsia="SimSun" w:hAnsi="Times New Roman"/>
          <w:bCs/>
          <w:sz w:val="24"/>
          <w:szCs w:val="24"/>
        </w:rPr>
        <w:t xml:space="preserve"> могат да се използват </w:t>
      </w:r>
      <w:r w:rsidRPr="00AE47C6">
        <w:rPr>
          <w:rFonts w:ascii="Times New Roman" w:eastAsia="SimSun" w:hAnsi="Times New Roman"/>
          <w:bCs/>
          <w:i/>
          <w:sz w:val="24"/>
          <w:szCs w:val="24"/>
        </w:rPr>
        <w:t>sumatriptan</w:t>
      </w:r>
      <w:r w:rsidRPr="00AE47C6">
        <w:rPr>
          <w:rFonts w:ascii="Times New Roman" w:eastAsia="SimSun" w:hAnsi="Times New Roman"/>
          <w:bCs/>
          <w:sz w:val="24"/>
          <w:szCs w:val="24"/>
        </w:rPr>
        <w:t xml:space="preserve"> назален спрей при деца и юноши (10 mg при тегло под 40 kg и 20 mg при тегло над 40 kg), </w:t>
      </w:r>
      <w:r w:rsidRPr="00AE47C6">
        <w:rPr>
          <w:rFonts w:ascii="Times New Roman" w:eastAsia="SimSun" w:hAnsi="Times New Roman"/>
          <w:bCs/>
          <w:i/>
          <w:sz w:val="24"/>
          <w:szCs w:val="24"/>
        </w:rPr>
        <w:t>zolmitriptan</w:t>
      </w:r>
      <w:r w:rsidRPr="00AE47C6">
        <w:rPr>
          <w:rFonts w:ascii="Times New Roman" w:eastAsia="SimSun" w:hAnsi="Times New Roman"/>
          <w:bCs/>
          <w:sz w:val="24"/>
          <w:szCs w:val="24"/>
        </w:rPr>
        <w:t xml:space="preserve"> назален спрей (2,5-10 mg) над 12 г., </w:t>
      </w:r>
      <w:r w:rsidRPr="00AE47C6">
        <w:rPr>
          <w:rFonts w:ascii="Times New Roman" w:eastAsia="SimSun" w:hAnsi="Times New Roman"/>
          <w:bCs/>
          <w:i/>
          <w:sz w:val="24"/>
          <w:szCs w:val="24"/>
        </w:rPr>
        <w:t>rizatriptan</w:t>
      </w:r>
      <w:r w:rsidRPr="00AE47C6">
        <w:rPr>
          <w:rFonts w:ascii="Times New Roman" w:eastAsia="SimSun" w:hAnsi="Times New Roman"/>
          <w:bCs/>
          <w:sz w:val="24"/>
          <w:szCs w:val="24"/>
        </w:rPr>
        <w:t xml:space="preserve"> табл. при деца над 6 г. и юноши (5 mg при телесно тегло между 20 и 40 kg и 10 mg при тегло над 40 kg), </w:t>
      </w:r>
      <w:r w:rsidRPr="00AE47C6">
        <w:rPr>
          <w:rFonts w:ascii="Times New Roman" w:eastAsia="SimSun" w:hAnsi="Times New Roman"/>
          <w:bCs/>
          <w:i/>
          <w:sz w:val="24"/>
          <w:szCs w:val="24"/>
        </w:rPr>
        <w:t>almotriptan</w:t>
      </w:r>
      <w:r w:rsidRPr="00AE47C6">
        <w:rPr>
          <w:rFonts w:ascii="Times New Roman" w:eastAsia="SimSun" w:hAnsi="Times New Roman"/>
          <w:bCs/>
          <w:sz w:val="24"/>
          <w:szCs w:val="24"/>
        </w:rPr>
        <w:t xml:space="preserve"> при юноши над 12 г. (6,25-12,5 mg) и </w:t>
      </w:r>
      <w:r w:rsidRPr="00AE47C6">
        <w:rPr>
          <w:rFonts w:ascii="Times New Roman" w:eastAsia="SimSun" w:hAnsi="Times New Roman"/>
          <w:bCs/>
          <w:i/>
          <w:sz w:val="24"/>
          <w:szCs w:val="24"/>
        </w:rPr>
        <w:t>eletriptan</w:t>
      </w:r>
      <w:r w:rsidRPr="00AE47C6">
        <w:rPr>
          <w:rFonts w:ascii="Times New Roman" w:eastAsia="SimSun" w:hAnsi="Times New Roman"/>
          <w:bCs/>
          <w:sz w:val="24"/>
          <w:szCs w:val="24"/>
        </w:rPr>
        <w:t xml:space="preserve"> 40 mg.</w:t>
      </w:r>
    </w:p>
    <w:p w14:paraId="0E0F503B"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bCs/>
          <w:i/>
          <w:sz w:val="24"/>
          <w:szCs w:val="24"/>
        </w:rPr>
        <w:t>По време на бременност</w:t>
      </w:r>
      <w:r w:rsidRPr="00AE47C6">
        <w:rPr>
          <w:rFonts w:ascii="Times New Roman" w:eastAsia="SimSun" w:hAnsi="Times New Roman"/>
          <w:bCs/>
          <w:sz w:val="24"/>
          <w:szCs w:val="24"/>
        </w:rPr>
        <w:t xml:space="preserve"> може да се използва paracetamol през първия триместър и НСПВС през втория и третия триместър. Може да се прилага domperidone, не е желателно да се прилагат триптани. </w:t>
      </w:r>
    </w:p>
    <w:p w14:paraId="7C8592F7"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bCs/>
          <w:sz w:val="24"/>
          <w:szCs w:val="24"/>
        </w:rPr>
        <w:t>Не бива да се използват</w:t>
      </w:r>
      <w:r w:rsidRPr="00AE47C6">
        <w:rPr>
          <w:rFonts w:ascii="Times New Roman" w:eastAsia="SimSun" w:hAnsi="Times New Roman"/>
          <w:i/>
          <w:sz w:val="24"/>
          <w:szCs w:val="24"/>
        </w:rPr>
        <w:t xml:space="preserve"> алкалоидите на ерготамина</w:t>
      </w:r>
      <w:r w:rsidRPr="00AE47C6">
        <w:rPr>
          <w:rFonts w:ascii="Times New Roman" w:eastAsia="SimSun" w:hAnsi="Times New Roman"/>
          <w:sz w:val="24"/>
          <w:szCs w:val="24"/>
        </w:rPr>
        <w:t xml:space="preserve"> (</w:t>
      </w:r>
      <w:r w:rsidRPr="00AE47C6">
        <w:rPr>
          <w:rFonts w:ascii="Times New Roman" w:eastAsia="SimSun" w:hAnsi="Times New Roman"/>
          <w:bCs/>
          <w:sz w:val="24"/>
          <w:szCs w:val="24"/>
        </w:rPr>
        <w:t>ergotamine tartarate</w:t>
      </w:r>
      <w:r w:rsidRPr="00AE47C6">
        <w:rPr>
          <w:rFonts w:ascii="Times New Roman" w:eastAsia="SimSun" w:hAnsi="Times New Roman"/>
          <w:sz w:val="24"/>
          <w:szCs w:val="24"/>
        </w:rPr>
        <w:t xml:space="preserve"> 2 mg перорално) </w:t>
      </w:r>
      <w:r w:rsidRPr="00AE47C6">
        <w:rPr>
          <w:rFonts w:ascii="Times New Roman" w:eastAsia="SimSun" w:hAnsi="Times New Roman"/>
          <w:bCs/>
          <w:sz w:val="24"/>
          <w:szCs w:val="24"/>
        </w:rPr>
        <w:t>съгласно препоръка на ЕМА от 2013 г., защото риска надхвърля ползата от тяхното прилагане.</w:t>
      </w:r>
      <w:r w:rsidRPr="00AE47C6">
        <w:rPr>
          <w:rFonts w:ascii="Times New Roman" w:eastAsia="SimSun" w:hAnsi="Times New Roman"/>
          <w:sz w:val="24"/>
          <w:szCs w:val="24"/>
        </w:rPr>
        <w:t xml:space="preserve"> Предизвикват генерализирана вазоконстрикция поради въздействието си върху различни типове серотонинови, алфа-адренергични и допаминергични рецептори. </w:t>
      </w:r>
      <w:r w:rsidRPr="00AE47C6">
        <w:rPr>
          <w:rFonts w:ascii="Times New Roman" w:eastAsia="SimSun" w:hAnsi="Times New Roman"/>
          <w:bCs/>
          <w:sz w:val="24"/>
          <w:szCs w:val="24"/>
        </w:rPr>
        <w:t>Могат по изключение да се прилагат само при пациенти, които са ги използвали дълго време, нямат съдови противопоказания и чести пристъпи и имат ефект.</w:t>
      </w:r>
    </w:p>
    <w:p w14:paraId="2B63FC07" w14:textId="77777777" w:rsidR="00BE0B19" w:rsidRPr="00AE47C6" w:rsidRDefault="00BE0B19" w:rsidP="00BE0B19">
      <w:pPr>
        <w:numPr>
          <w:ilvl w:val="0"/>
          <w:numId w:val="185"/>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Cs/>
          <w:sz w:val="24"/>
          <w:szCs w:val="24"/>
        </w:rPr>
        <w:t>ergotamine tartarate в доза 2 mg перорално в началото на пристъпа</w:t>
      </w:r>
    </w:p>
    <w:p w14:paraId="35C85A68" w14:textId="77777777" w:rsidR="00BE0B19" w:rsidRPr="00AE47C6" w:rsidRDefault="00BE0B19" w:rsidP="00BE0B19">
      <w:pPr>
        <w:spacing w:after="0" w:line="360" w:lineRule="auto"/>
        <w:ind w:left="283"/>
        <w:jc w:val="both"/>
        <w:rPr>
          <w:rFonts w:ascii="Times New Roman" w:eastAsia="SimSun" w:hAnsi="Times New Roman"/>
          <w:bCs/>
          <w:sz w:val="24"/>
          <w:szCs w:val="24"/>
        </w:rPr>
      </w:pPr>
      <w:r w:rsidRPr="00AE47C6">
        <w:rPr>
          <w:rFonts w:ascii="Times New Roman" w:eastAsia="SimSun" w:hAnsi="Times New Roman"/>
          <w:b/>
          <w:bCs/>
          <w:sz w:val="24"/>
          <w:szCs w:val="24"/>
        </w:rPr>
        <w:t>3. Невромодулиращи методи за лечение на пристъп</w:t>
      </w:r>
      <w:r w:rsidRPr="00AE47C6">
        <w:rPr>
          <w:rFonts w:ascii="Times New Roman" w:eastAsia="SimSun" w:hAnsi="Times New Roman"/>
          <w:bCs/>
          <w:sz w:val="24"/>
          <w:szCs w:val="24"/>
        </w:rPr>
        <w:t xml:space="preserve"> от мигрена: </w:t>
      </w:r>
    </w:p>
    <w:p w14:paraId="624114A8" w14:textId="77777777" w:rsidR="00BE0B19" w:rsidRPr="00AE47C6" w:rsidRDefault="00BE0B19" w:rsidP="00BE0B19">
      <w:pPr>
        <w:numPr>
          <w:ilvl w:val="0"/>
          <w:numId w:val="332"/>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Еднопулсовата транскраниална магнитна стимулация (еп. ТМС) се прилага окципитално от пациента при пристъп от мигрена с аура, по време на аурата или при стартиране на главоболието.</w:t>
      </w:r>
    </w:p>
    <w:p w14:paraId="75C258CE" w14:textId="77777777" w:rsidR="00BE0B19" w:rsidRPr="00AE47C6" w:rsidRDefault="00BE0B19" w:rsidP="00BE0B19">
      <w:pPr>
        <w:numPr>
          <w:ilvl w:val="0"/>
          <w:numId w:val="332"/>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Неинвазивна вагусова нервна стимулация (нВНС). Портативното устройство (gamma Core) се поставя на врата (цервикалния клон на n. vagus). Провеждат се 2 последователни (една от ляво и една отдясно) 2-минутни стимулации при начало на болката. При необходимост сеанса може да се повтори след 20 минути и след 2 часа.</w:t>
      </w:r>
    </w:p>
    <w:p w14:paraId="3BD5C6A1" w14:textId="77777777" w:rsidR="00BE0B19" w:rsidRPr="00AE47C6" w:rsidRDefault="00BE0B19" w:rsidP="00BE0B19">
      <w:pPr>
        <w:numPr>
          <w:ilvl w:val="0"/>
          <w:numId w:val="332"/>
        </w:numPr>
        <w:spacing w:after="0" w:line="360" w:lineRule="auto"/>
        <w:jc w:val="both"/>
        <w:rPr>
          <w:rFonts w:ascii="Times New Roman" w:eastAsia="SimSun" w:hAnsi="Times New Roman"/>
          <w:bCs/>
          <w:sz w:val="24"/>
          <w:szCs w:val="24"/>
        </w:rPr>
      </w:pPr>
      <w:r w:rsidRPr="00AE47C6">
        <w:rPr>
          <w:rFonts w:ascii="Times New Roman" w:eastAsia="SimSun" w:hAnsi="Times New Roman"/>
          <w:bCs/>
          <w:sz w:val="24"/>
          <w:szCs w:val="24"/>
        </w:rPr>
        <w:t>Супраорбитална/супратрохлеарна транскутанна стимулация (Cefaly) се прилага в началото на пристъп от главоболие. Осъществява се чрез портативен стимулатор с формата на диадема/ромб, който се позиционира на челото. Представлява нискочестотна стимулация, насочена към горните клонове на n. trigeminus.</w:t>
      </w:r>
    </w:p>
    <w:p w14:paraId="1331E8A1" w14:textId="77777777" w:rsidR="00BE0B19" w:rsidRPr="00AE47C6" w:rsidRDefault="00BE0B19" w:rsidP="00BE0B19">
      <w:pPr>
        <w:spacing w:after="120"/>
        <w:ind w:left="283"/>
        <w:rPr>
          <w:rFonts w:ascii="Times New Roman" w:eastAsia="SimSun" w:hAnsi="Times New Roman"/>
          <w:bCs/>
        </w:rPr>
      </w:pPr>
      <w:r w:rsidRPr="00AE47C6">
        <w:rPr>
          <w:rFonts w:ascii="Times New Roman" w:eastAsia="SimSun" w:hAnsi="Times New Roman"/>
          <w:bCs/>
        </w:rPr>
        <w:t xml:space="preserve">          </w:t>
      </w:r>
    </w:p>
    <w:p w14:paraId="7CB62FAB" w14:textId="77777777" w:rsidR="00BE0B19" w:rsidRPr="00AE47C6" w:rsidRDefault="00BE0B19" w:rsidP="00BE0B19">
      <w:pPr>
        <w:numPr>
          <w:ilvl w:val="0"/>
          <w:numId w:val="188"/>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b/>
          <w:sz w:val="24"/>
          <w:szCs w:val="20"/>
        </w:rPr>
      </w:pPr>
      <w:r w:rsidRPr="00AE47C6">
        <w:rPr>
          <w:rFonts w:ascii="Times New Roman" w:eastAsia="SimSun" w:hAnsi="Times New Roman"/>
          <w:b/>
          <w:sz w:val="24"/>
          <w:szCs w:val="20"/>
        </w:rPr>
        <w:t xml:space="preserve">Приемането на </w:t>
      </w:r>
      <w:r w:rsidRPr="00AE47C6">
        <w:rPr>
          <w:rFonts w:ascii="Times New Roman" w:eastAsia="SimSun" w:hAnsi="Times New Roman"/>
          <w:b/>
          <w:bCs/>
          <w:sz w:val="24"/>
          <w:szCs w:val="20"/>
        </w:rPr>
        <w:t>ergotamine</w:t>
      </w:r>
      <w:r w:rsidRPr="00AE47C6">
        <w:rPr>
          <w:rFonts w:ascii="Times New Roman" w:eastAsia="SimSun" w:hAnsi="Times New Roman"/>
          <w:b/>
          <w:sz w:val="24"/>
          <w:szCs w:val="20"/>
        </w:rPr>
        <w:t xml:space="preserve"> в доза 2 mg дневно в продължение на повече от 3 месеца може да предизвика медикаментозно главоболие и други усложнения. </w:t>
      </w:r>
    </w:p>
    <w:p w14:paraId="744FA263" w14:textId="77777777" w:rsidR="00BE0B19" w:rsidRPr="00AE47C6" w:rsidRDefault="00BE0B19" w:rsidP="00BE0B19">
      <w:pPr>
        <w:numPr>
          <w:ilvl w:val="0"/>
          <w:numId w:val="188"/>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b/>
          <w:sz w:val="24"/>
          <w:szCs w:val="20"/>
        </w:rPr>
      </w:pPr>
      <w:r w:rsidRPr="00AE47C6">
        <w:rPr>
          <w:rFonts w:ascii="Times New Roman" w:eastAsia="SimSun" w:hAnsi="Times New Roman"/>
          <w:b/>
          <w:sz w:val="24"/>
          <w:szCs w:val="20"/>
        </w:rPr>
        <w:t>При наличие на такава зависимост неврологът трябва да проведе дезинтоксикация в амбулаторни условия или в болнична обстановка, като осигури адекватно лечение на възникнали мигренни пристъпи.</w:t>
      </w:r>
    </w:p>
    <w:p w14:paraId="2E15A621" w14:textId="77777777" w:rsidR="00BE0B19" w:rsidRPr="00AE47C6" w:rsidRDefault="00BE0B19" w:rsidP="00BE0B19">
      <w:pPr>
        <w:spacing w:line="360" w:lineRule="auto"/>
        <w:ind w:firstLine="720"/>
        <w:jc w:val="both"/>
        <w:rPr>
          <w:rFonts w:ascii="Times New Roman" w:eastAsia="SimSun" w:hAnsi="Times New Roman"/>
        </w:rPr>
      </w:pPr>
    </w:p>
    <w:p w14:paraId="0F9304B3" w14:textId="77777777" w:rsidR="00BE0B19" w:rsidRPr="00AE47C6" w:rsidRDefault="00BE0B19" w:rsidP="00BE0B19">
      <w:pPr>
        <w:spacing w:line="360" w:lineRule="auto"/>
        <w:ind w:firstLine="720"/>
        <w:jc w:val="both"/>
        <w:rPr>
          <w:rFonts w:ascii="Times New Roman" w:eastAsia="SimSun" w:hAnsi="Times New Roman"/>
        </w:rPr>
      </w:pPr>
    </w:p>
    <w:p w14:paraId="16281029" w14:textId="77777777" w:rsidR="00BE0B19" w:rsidRPr="00AE47C6" w:rsidRDefault="00BE0B19" w:rsidP="00BE0B19">
      <w:pPr>
        <w:numPr>
          <w:ilvl w:val="0"/>
          <w:numId w:val="188"/>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b/>
          <w:sz w:val="24"/>
          <w:szCs w:val="20"/>
        </w:rPr>
      </w:pPr>
      <w:r w:rsidRPr="00AE47C6">
        <w:rPr>
          <w:rFonts w:ascii="Times New Roman" w:eastAsia="SimSun" w:hAnsi="Times New Roman"/>
          <w:b/>
          <w:sz w:val="24"/>
          <w:szCs w:val="20"/>
        </w:rPr>
        <w:t xml:space="preserve">Лечението на мигренните пристъпи се провежда от невролог според силата и продължителността на пристъпите. </w:t>
      </w:r>
    </w:p>
    <w:p w14:paraId="1A00B32A" w14:textId="77777777" w:rsidR="00BE0B19" w:rsidRPr="00AE47C6" w:rsidRDefault="00BE0B19" w:rsidP="00BE0B19">
      <w:pPr>
        <w:numPr>
          <w:ilvl w:val="0"/>
          <w:numId w:val="188"/>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b/>
          <w:sz w:val="24"/>
          <w:szCs w:val="20"/>
        </w:rPr>
      </w:pPr>
      <w:r w:rsidRPr="00AE47C6">
        <w:rPr>
          <w:rFonts w:ascii="Times New Roman" w:eastAsia="SimSun" w:hAnsi="Times New Roman"/>
          <w:b/>
          <w:sz w:val="24"/>
          <w:szCs w:val="20"/>
        </w:rPr>
        <w:t xml:space="preserve">При </w:t>
      </w:r>
      <w:r w:rsidRPr="00AE47C6">
        <w:rPr>
          <w:rFonts w:ascii="Times New Roman" w:eastAsia="SimSun" w:hAnsi="Times New Roman"/>
          <w:b/>
          <w:bCs/>
          <w:sz w:val="24"/>
          <w:szCs w:val="20"/>
        </w:rPr>
        <w:t>леки</w:t>
      </w:r>
      <w:r w:rsidRPr="00AE47C6">
        <w:rPr>
          <w:rFonts w:ascii="Times New Roman" w:eastAsia="SimSun" w:hAnsi="Times New Roman"/>
          <w:b/>
          <w:sz w:val="24"/>
          <w:szCs w:val="20"/>
        </w:rPr>
        <w:t xml:space="preserve"> и умерено тежки пристъпи се прилагат неспецифични медикаменти.</w:t>
      </w:r>
    </w:p>
    <w:p w14:paraId="27E60390" w14:textId="77777777" w:rsidR="00BE0B19" w:rsidRPr="00AE47C6" w:rsidRDefault="00BE0B19" w:rsidP="00BE0B19">
      <w:pPr>
        <w:numPr>
          <w:ilvl w:val="0"/>
          <w:numId w:val="188"/>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b/>
          <w:sz w:val="24"/>
          <w:szCs w:val="20"/>
        </w:rPr>
      </w:pPr>
      <w:r w:rsidRPr="00AE47C6">
        <w:rPr>
          <w:rFonts w:ascii="Times New Roman" w:eastAsia="SimSun" w:hAnsi="Times New Roman"/>
          <w:b/>
          <w:sz w:val="24"/>
          <w:szCs w:val="20"/>
        </w:rPr>
        <w:t xml:space="preserve">При умерено тежки и </w:t>
      </w:r>
      <w:r w:rsidRPr="00AE47C6">
        <w:rPr>
          <w:rFonts w:ascii="Times New Roman" w:eastAsia="SimSun" w:hAnsi="Times New Roman"/>
          <w:b/>
          <w:bCs/>
          <w:sz w:val="24"/>
          <w:szCs w:val="20"/>
        </w:rPr>
        <w:t>тежки</w:t>
      </w:r>
      <w:r w:rsidRPr="00AE47C6">
        <w:rPr>
          <w:rFonts w:ascii="Times New Roman" w:eastAsia="SimSun" w:hAnsi="Times New Roman"/>
          <w:b/>
          <w:sz w:val="24"/>
          <w:szCs w:val="20"/>
        </w:rPr>
        <w:t xml:space="preserve"> пристъпи се прилагат специфични медикаменти.</w:t>
      </w:r>
    </w:p>
    <w:p w14:paraId="3E2372B8" w14:textId="77777777" w:rsidR="00BE0B19" w:rsidRPr="00AE47C6" w:rsidRDefault="00BE0B19" w:rsidP="00BE0B19">
      <w:pPr>
        <w:numPr>
          <w:ilvl w:val="0"/>
          <w:numId w:val="188"/>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b/>
          <w:sz w:val="24"/>
          <w:szCs w:val="20"/>
        </w:rPr>
      </w:pPr>
      <w:r w:rsidRPr="00AE47C6">
        <w:rPr>
          <w:rFonts w:ascii="Times New Roman" w:eastAsia="SimSun" w:hAnsi="Times New Roman"/>
          <w:b/>
          <w:sz w:val="24"/>
          <w:szCs w:val="20"/>
        </w:rPr>
        <w:t xml:space="preserve">Медикаменти на </w:t>
      </w:r>
      <w:r w:rsidRPr="00AE47C6">
        <w:rPr>
          <w:rFonts w:ascii="Times New Roman" w:eastAsia="SimSun" w:hAnsi="Times New Roman"/>
          <w:b/>
          <w:i/>
          <w:iCs/>
          <w:sz w:val="24"/>
          <w:szCs w:val="20"/>
        </w:rPr>
        <w:t>първи избор</w:t>
      </w:r>
      <w:r w:rsidRPr="00AE47C6">
        <w:rPr>
          <w:rFonts w:ascii="Times New Roman" w:eastAsia="SimSun" w:hAnsi="Times New Roman"/>
          <w:b/>
          <w:sz w:val="24"/>
          <w:szCs w:val="20"/>
        </w:rPr>
        <w:t xml:space="preserve"> са </w:t>
      </w:r>
      <w:r w:rsidRPr="00AE47C6">
        <w:rPr>
          <w:rFonts w:ascii="Times New Roman" w:eastAsia="SimSun" w:hAnsi="Times New Roman"/>
          <w:b/>
          <w:bCs/>
          <w:iCs/>
          <w:sz w:val="24"/>
          <w:szCs w:val="20"/>
        </w:rPr>
        <w:t xml:space="preserve">селективните серотонинови агонисти. При недостатъчен ефект могат да се добавят и неспецифични медикаменти. </w:t>
      </w:r>
    </w:p>
    <w:p w14:paraId="70F4DAA7" w14:textId="77777777" w:rsidR="00BE0B19" w:rsidRPr="00AE47C6" w:rsidRDefault="00BE0B19" w:rsidP="00BE0B19">
      <w:pPr>
        <w:numPr>
          <w:ilvl w:val="0"/>
          <w:numId w:val="188"/>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b/>
          <w:bCs/>
          <w:iCs/>
          <w:sz w:val="24"/>
          <w:szCs w:val="20"/>
        </w:rPr>
      </w:pPr>
      <w:r w:rsidRPr="00AE47C6">
        <w:rPr>
          <w:rFonts w:ascii="Times New Roman" w:eastAsia="SimSun" w:hAnsi="Times New Roman"/>
          <w:b/>
          <w:bCs/>
          <w:iCs/>
          <w:sz w:val="24"/>
          <w:szCs w:val="20"/>
        </w:rPr>
        <w:t xml:space="preserve">Медикаменти на </w:t>
      </w:r>
      <w:r w:rsidRPr="00AE47C6">
        <w:rPr>
          <w:rFonts w:ascii="Times New Roman" w:eastAsia="SimSun" w:hAnsi="Times New Roman"/>
          <w:b/>
          <w:bCs/>
          <w:i/>
          <w:sz w:val="24"/>
          <w:szCs w:val="20"/>
        </w:rPr>
        <w:t>втори избор</w:t>
      </w:r>
      <w:r w:rsidRPr="00AE47C6">
        <w:rPr>
          <w:rFonts w:ascii="Times New Roman" w:eastAsia="SimSun" w:hAnsi="Times New Roman"/>
          <w:b/>
          <w:bCs/>
          <w:iCs/>
          <w:sz w:val="24"/>
          <w:szCs w:val="20"/>
        </w:rPr>
        <w:t xml:space="preserve"> са CGRP рецепторните антагонисти. Прилагат се при липса на ефект от три различни селективните серотонинови агонисти. При недостатъчен ефект се прилагат допълнително и невромодулиращи методи за лечение на пристъп.</w:t>
      </w:r>
    </w:p>
    <w:p w14:paraId="7C752263" w14:textId="77777777" w:rsidR="00BE0B19" w:rsidRPr="00AE47C6" w:rsidRDefault="00BE0B19" w:rsidP="00BE0B19">
      <w:pPr>
        <w:numPr>
          <w:ilvl w:val="0"/>
          <w:numId w:val="188"/>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b/>
          <w:sz w:val="24"/>
          <w:szCs w:val="20"/>
        </w:rPr>
      </w:pPr>
      <w:r w:rsidRPr="00AE47C6">
        <w:rPr>
          <w:rFonts w:ascii="Times New Roman" w:eastAsia="SimSun" w:hAnsi="Times New Roman"/>
          <w:b/>
          <w:sz w:val="24"/>
          <w:szCs w:val="20"/>
        </w:rPr>
        <w:t>При неповлияване на пристъпите, пациента се насочва за консултация в специализиран кабинет или клиника за лечение на болката.</w:t>
      </w:r>
    </w:p>
    <w:p w14:paraId="34B53B8F" w14:textId="77777777" w:rsidR="00BE0B19" w:rsidRPr="00AE47C6" w:rsidRDefault="00BE0B19" w:rsidP="00BE0B19">
      <w:pPr>
        <w:spacing w:line="360" w:lineRule="auto"/>
        <w:ind w:firstLine="720"/>
        <w:jc w:val="both"/>
        <w:rPr>
          <w:rFonts w:ascii="Times New Roman" w:eastAsia="SimSun" w:hAnsi="Times New Roman"/>
        </w:rPr>
      </w:pPr>
    </w:p>
    <w:p w14:paraId="27BA9FB6" w14:textId="77777777" w:rsidR="00BE0B19" w:rsidRPr="00AE47C6" w:rsidRDefault="00BE0B19" w:rsidP="00BE0B19">
      <w:pPr>
        <w:numPr>
          <w:ilvl w:val="0"/>
          <w:numId w:val="188"/>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b/>
          <w:sz w:val="24"/>
          <w:szCs w:val="20"/>
        </w:rPr>
      </w:pPr>
      <w:r w:rsidRPr="00AE47C6">
        <w:rPr>
          <w:rFonts w:ascii="Times New Roman" w:eastAsia="SimSun" w:hAnsi="Times New Roman"/>
          <w:b/>
          <w:sz w:val="24"/>
          <w:szCs w:val="20"/>
        </w:rPr>
        <w:t>При неповлияващо се главоболие в рамките на 72 часа, при тежки пристъпи, при които има предозиране на медикаменти или те са абсолютно неефективни или са налице други, застрашаващи синдроми пациентите се насочват за спешна хоспитализация.</w:t>
      </w:r>
    </w:p>
    <w:p w14:paraId="3D8DDCE3" w14:textId="77777777" w:rsidR="00BE0B19" w:rsidRPr="00AE47C6" w:rsidRDefault="00BE0B19" w:rsidP="00BE0B19">
      <w:pPr>
        <w:spacing w:line="360" w:lineRule="auto"/>
        <w:ind w:firstLine="720"/>
        <w:jc w:val="both"/>
        <w:rPr>
          <w:rFonts w:ascii="Times New Roman" w:eastAsia="SimSun" w:hAnsi="Times New Roman"/>
        </w:rPr>
      </w:pPr>
    </w:p>
    <w:p w14:paraId="065FCD28" w14:textId="77777777" w:rsidR="00BE0B19" w:rsidRPr="00AE47C6" w:rsidRDefault="00BE0B19" w:rsidP="00BE0B19">
      <w:pPr>
        <w:tabs>
          <w:tab w:val="left" w:pos="851"/>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Мигренния статус</w:t>
      </w:r>
      <w:r w:rsidRPr="00AE47C6">
        <w:rPr>
          <w:rFonts w:ascii="Times New Roman" w:eastAsia="SimSun" w:hAnsi="Times New Roman"/>
          <w:sz w:val="24"/>
          <w:szCs w:val="24"/>
        </w:rPr>
        <w:t xml:space="preserve"> е едно от усложненията на мигрената. При него главоболието е силно и продължава повече от 72 часа, без ремисия, независимо от провежданото лечение. Налице са гадене, повръщане, диарии, които водят до дехидратация и електролитни нарушения. Сънят и храненето са нарушени. Възможно е, по време на мигренния статус, пациента да развие мозъчен инфаркт.</w:t>
      </w:r>
    </w:p>
    <w:p w14:paraId="244E1F18" w14:textId="77777777" w:rsidR="00BE0B19" w:rsidRPr="00AE47C6" w:rsidRDefault="00BE0B19" w:rsidP="00BE0B19">
      <w:pPr>
        <w:tabs>
          <w:tab w:val="left" w:pos="851"/>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Лечението изисква хоспитализация за 2 до 4 дни, прием на подходящи медикаменти, контрол на метаболизма, психична подкрепа, покой и сън. Първата стъпка е </w:t>
      </w:r>
      <w:r w:rsidRPr="00AE47C6">
        <w:rPr>
          <w:rFonts w:ascii="Times New Roman" w:eastAsia="SimSun" w:hAnsi="Times New Roman"/>
          <w:i/>
          <w:sz w:val="24"/>
          <w:szCs w:val="24"/>
        </w:rPr>
        <w:t>рехидратирането</w:t>
      </w:r>
      <w:r w:rsidRPr="00AE47C6">
        <w:rPr>
          <w:rFonts w:ascii="Times New Roman" w:eastAsia="SimSun" w:hAnsi="Times New Roman"/>
          <w:sz w:val="24"/>
          <w:szCs w:val="24"/>
        </w:rPr>
        <w:t xml:space="preserve"> на пациента и прилагането на </w:t>
      </w:r>
      <w:r w:rsidRPr="00AE47C6">
        <w:rPr>
          <w:rFonts w:ascii="Times New Roman" w:eastAsia="SimSun" w:hAnsi="Times New Roman"/>
          <w:i/>
          <w:sz w:val="24"/>
          <w:szCs w:val="24"/>
        </w:rPr>
        <w:t>metoclopramide 10 mg</w:t>
      </w:r>
      <w:r w:rsidRPr="00AE47C6">
        <w:rPr>
          <w:rFonts w:ascii="Times New Roman" w:eastAsia="SimSun" w:hAnsi="Times New Roman"/>
          <w:sz w:val="24"/>
          <w:szCs w:val="24"/>
        </w:rPr>
        <w:t xml:space="preserve"> интравенозно (за 1 минута). Прилага се </w:t>
      </w:r>
      <w:r w:rsidRPr="00AE47C6">
        <w:rPr>
          <w:rFonts w:ascii="Times New Roman" w:eastAsia="SimSun" w:hAnsi="Times New Roman"/>
          <w:i/>
          <w:sz w:val="24"/>
          <w:szCs w:val="24"/>
        </w:rPr>
        <w:t>dexamethasone 4 mg</w:t>
      </w:r>
      <w:r w:rsidRPr="00AE47C6">
        <w:rPr>
          <w:rFonts w:ascii="Times New Roman" w:eastAsia="SimSun" w:hAnsi="Times New Roman"/>
          <w:sz w:val="24"/>
          <w:szCs w:val="24"/>
        </w:rPr>
        <w:t xml:space="preserve"> интравенозно или </w:t>
      </w:r>
      <w:r w:rsidRPr="00AE47C6">
        <w:rPr>
          <w:rFonts w:ascii="Times New Roman" w:eastAsia="SimSun" w:hAnsi="Times New Roman"/>
          <w:i/>
          <w:sz w:val="24"/>
          <w:szCs w:val="24"/>
        </w:rPr>
        <w:t>prednisone 80-100 mg</w:t>
      </w:r>
      <w:r w:rsidRPr="00AE47C6">
        <w:rPr>
          <w:rFonts w:ascii="Times New Roman" w:eastAsia="SimSun" w:hAnsi="Times New Roman"/>
          <w:sz w:val="24"/>
          <w:szCs w:val="24"/>
        </w:rPr>
        <w:t xml:space="preserve"> дневно. Прилага се </w:t>
      </w:r>
      <w:r w:rsidRPr="00AE47C6">
        <w:rPr>
          <w:rFonts w:ascii="Times New Roman" w:eastAsia="SimSun" w:hAnsi="Times New Roman"/>
          <w:i/>
          <w:sz w:val="24"/>
          <w:szCs w:val="24"/>
        </w:rPr>
        <w:t>sumatriptan</w:t>
      </w:r>
      <w:r w:rsidRPr="00AE47C6">
        <w:rPr>
          <w:rFonts w:ascii="Times New Roman" w:eastAsia="SimSun" w:hAnsi="Times New Roman"/>
          <w:sz w:val="24"/>
          <w:szCs w:val="24"/>
        </w:rPr>
        <w:t xml:space="preserve"> (6 mg s.c дн.) или </w:t>
      </w:r>
      <w:r w:rsidRPr="00AE47C6">
        <w:rPr>
          <w:rFonts w:ascii="Times New Roman" w:eastAsia="SimSun" w:hAnsi="Times New Roman"/>
          <w:i/>
          <w:sz w:val="24"/>
          <w:szCs w:val="24"/>
        </w:rPr>
        <w:t>naratriptan</w:t>
      </w:r>
      <w:r w:rsidRPr="00AE47C6">
        <w:rPr>
          <w:rFonts w:ascii="Times New Roman" w:eastAsia="SimSun" w:hAnsi="Times New Roman"/>
          <w:sz w:val="24"/>
          <w:szCs w:val="24"/>
        </w:rPr>
        <w:t xml:space="preserve">, в случай че пациентът не е злоупотребявал с тези медикаменти. Ако са прилагани ерготамини, трябва да изминат поне 24 часа. Профилактичните медикаменти се прилагат едновременно със симптоматичните, за да се избегне възвръщането на главоболието, което е сериозен проблем. Прилагането на </w:t>
      </w:r>
      <w:r w:rsidRPr="00AE47C6">
        <w:rPr>
          <w:rFonts w:ascii="Times New Roman" w:eastAsia="SimSun" w:hAnsi="Times New Roman"/>
          <w:i/>
          <w:sz w:val="24"/>
          <w:szCs w:val="24"/>
        </w:rPr>
        <w:t>sodium valproate интравенозно</w:t>
      </w:r>
      <w:r w:rsidRPr="00AE47C6">
        <w:rPr>
          <w:rFonts w:ascii="Times New Roman" w:eastAsia="SimSun" w:hAnsi="Times New Roman"/>
          <w:sz w:val="24"/>
          <w:szCs w:val="24"/>
        </w:rPr>
        <w:t xml:space="preserve"> (500 mg/час или 750-1000 mg дневно) е ефективно при 70% от пациентите. Серумната концентрация трябва да се поддържа под 100 mg/ml.</w:t>
      </w:r>
    </w:p>
    <w:p w14:paraId="640BB1F6" w14:textId="77777777" w:rsidR="00BE0B19" w:rsidRPr="00AE47C6" w:rsidRDefault="00BE0B19" w:rsidP="00BE0B19">
      <w:pPr>
        <w:tabs>
          <w:tab w:val="left" w:pos="851"/>
        </w:tabs>
        <w:spacing w:after="0" w:line="360" w:lineRule="auto"/>
        <w:ind w:firstLine="720"/>
        <w:jc w:val="both"/>
        <w:rPr>
          <w:rFonts w:ascii="Times New Roman" w:eastAsia="SimSun" w:hAnsi="Times New Roman"/>
          <w:sz w:val="24"/>
          <w:szCs w:val="24"/>
        </w:rPr>
      </w:pPr>
    </w:p>
    <w:p w14:paraId="2FB706D4" w14:textId="77777777" w:rsidR="00BE0B19" w:rsidRPr="00AE47C6" w:rsidRDefault="00BE0B19" w:rsidP="00BE0B19">
      <w:pPr>
        <w:numPr>
          <w:ilvl w:val="0"/>
          <w:numId w:val="189"/>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Мигренният статус е спешно състояние. При установяване на мигренен статус  пациентът незабавно трябва да хоспитализира пациента в неврологично отделение. Там се провежда рехидратация, парентерално се включват кортикостероиди и антиеметици и се мониторират виталните функции.</w:t>
      </w:r>
    </w:p>
    <w:p w14:paraId="1B8DD267"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2ACD75A9"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 xml:space="preserve">Лечението на </w:t>
      </w:r>
      <w:r w:rsidRPr="00AE47C6">
        <w:rPr>
          <w:rFonts w:ascii="Times New Roman" w:eastAsia="SimSun" w:hAnsi="Times New Roman"/>
          <w:b/>
          <w:bCs/>
          <w:i/>
          <w:sz w:val="24"/>
          <w:szCs w:val="24"/>
        </w:rPr>
        <w:t>менструалната мигрена</w:t>
      </w:r>
      <w:r w:rsidRPr="00AE47C6">
        <w:rPr>
          <w:rFonts w:ascii="Times New Roman" w:eastAsia="SimSun" w:hAnsi="Times New Roman"/>
          <w:bCs/>
          <w:sz w:val="24"/>
          <w:szCs w:val="24"/>
        </w:rPr>
        <w:t xml:space="preserve"> се провежда при пристъп и като краткотрайна профилактика около менструалния цикъл. При пристъп се използват същите медикаменти, както при мигрена – НСПВС (</w:t>
      </w:r>
      <w:r w:rsidRPr="00AE47C6">
        <w:rPr>
          <w:rFonts w:ascii="Times New Roman" w:eastAsia="SimSun" w:hAnsi="Times New Roman"/>
          <w:bCs/>
          <w:i/>
          <w:sz w:val="24"/>
          <w:szCs w:val="24"/>
        </w:rPr>
        <w:t>naproxen</w:t>
      </w:r>
      <w:r w:rsidRPr="00AE47C6">
        <w:rPr>
          <w:rFonts w:ascii="Times New Roman" w:eastAsia="SimSun" w:hAnsi="Times New Roman"/>
          <w:bCs/>
          <w:sz w:val="24"/>
          <w:szCs w:val="24"/>
        </w:rPr>
        <w:t xml:space="preserve"> 2 пъти по 550 mg дн.), </w:t>
      </w:r>
      <w:r w:rsidRPr="00AE47C6">
        <w:rPr>
          <w:rFonts w:ascii="Times New Roman" w:eastAsia="SimSun" w:hAnsi="Times New Roman"/>
          <w:bCs/>
          <w:i/>
          <w:sz w:val="24"/>
          <w:szCs w:val="24"/>
        </w:rPr>
        <w:t xml:space="preserve">dexketoprofen </w:t>
      </w:r>
      <w:r w:rsidRPr="00AE47C6">
        <w:rPr>
          <w:rFonts w:ascii="Times New Roman" w:eastAsia="SimSun" w:hAnsi="Times New Roman"/>
          <w:bCs/>
          <w:sz w:val="24"/>
          <w:szCs w:val="24"/>
        </w:rPr>
        <w:t xml:space="preserve">25 mg- 50 до 75 mg и </w:t>
      </w:r>
      <w:r w:rsidRPr="00AE47C6">
        <w:rPr>
          <w:rFonts w:ascii="Times New Roman" w:eastAsia="SimSun" w:hAnsi="Times New Roman"/>
          <w:bCs/>
          <w:i/>
          <w:sz w:val="24"/>
          <w:szCs w:val="24"/>
        </w:rPr>
        <w:t>триптани</w:t>
      </w:r>
      <w:r w:rsidRPr="00AE47C6">
        <w:rPr>
          <w:rFonts w:ascii="Times New Roman" w:eastAsia="SimSun" w:hAnsi="Times New Roman"/>
          <w:bCs/>
          <w:sz w:val="24"/>
          <w:szCs w:val="24"/>
        </w:rPr>
        <w:t xml:space="preserve">. Ефективни са </w:t>
      </w:r>
      <w:r w:rsidRPr="00AE47C6">
        <w:rPr>
          <w:rFonts w:ascii="Times New Roman" w:eastAsia="SimSun" w:hAnsi="Times New Roman"/>
          <w:bCs/>
          <w:i/>
          <w:sz w:val="24"/>
          <w:szCs w:val="24"/>
        </w:rPr>
        <w:t>sumatriptan 100 mg и rizatriptan 10 mg</w:t>
      </w:r>
      <w:r w:rsidRPr="00AE47C6">
        <w:rPr>
          <w:rFonts w:ascii="Times New Roman" w:eastAsia="SimSun" w:hAnsi="Times New Roman"/>
          <w:bCs/>
          <w:sz w:val="24"/>
          <w:szCs w:val="24"/>
        </w:rPr>
        <w:t>, докато zolmitriptan и naratriptan не са ефективни.</w:t>
      </w:r>
    </w:p>
    <w:p w14:paraId="2727AFBC"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bCs/>
          <w:i/>
          <w:sz w:val="24"/>
          <w:szCs w:val="24"/>
        </w:rPr>
        <w:t>Хемиплегичната мигрена</w:t>
      </w:r>
      <w:r w:rsidRPr="00AE47C6">
        <w:rPr>
          <w:rFonts w:ascii="Times New Roman" w:eastAsia="SimSun" w:hAnsi="Times New Roman"/>
          <w:bCs/>
          <w:sz w:val="24"/>
          <w:szCs w:val="24"/>
        </w:rPr>
        <w:t xml:space="preserve"> се лекува с </w:t>
      </w:r>
      <w:r w:rsidRPr="00AE47C6">
        <w:rPr>
          <w:rFonts w:ascii="Times New Roman" w:eastAsia="SimSun" w:hAnsi="Times New Roman"/>
          <w:bCs/>
          <w:i/>
          <w:sz w:val="24"/>
          <w:szCs w:val="24"/>
        </w:rPr>
        <w:t>НСПВС и Acetylsalicylic acid</w:t>
      </w:r>
      <w:r w:rsidRPr="00AE47C6">
        <w:rPr>
          <w:rFonts w:ascii="Times New Roman" w:eastAsia="SimSun" w:hAnsi="Times New Roman"/>
          <w:bCs/>
          <w:sz w:val="24"/>
          <w:szCs w:val="24"/>
        </w:rPr>
        <w:t xml:space="preserve">. Не се прилагат специфични средства за лечение на пристъпите, защото симптомите се дължат на вазоконстрикция и рискът от мозъчен инфаркт е голям. </w:t>
      </w:r>
    </w:p>
    <w:p w14:paraId="388D82E2"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i/>
          <w:sz w:val="24"/>
          <w:szCs w:val="24"/>
        </w:rPr>
        <w:t>Мигрената със стволова аура</w:t>
      </w:r>
      <w:r w:rsidRPr="00AE47C6">
        <w:rPr>
          <w:rFonts w:ascii="Times New Roman" w:eastAsia="SimSun" w:hAnsi="Times New Roman"/>
          <w:bCs/>
          <w:sz w:val="24"/>
          <w:szCs w:val="24"/>
        </w:rPr>
        <w:t xml:space="preserve"> се лекува с </w:t>
      </w:r>
      <w:r w:rsidRPr="00AE47C6">
        <w:rPr>
          <w:rFonts w:ascii="Times New Roman" w:eastAsia="SimSun" w:hAnsi="Times New Roman"/>
          <w:bCs/>
          <w:i/>
          <w:sz w:val="24"/>
          <w:szCs w:val="24"/>
        </w:rPr>
        <w:t>НСПВС и Acetylsalicylic acid</w:t>
      </w:r>
      <w:r w:rsidRPr="00AE47C6">
        <w:rPr>
          <w:rFonts w:ascii="Times New Roman" w:eastAsia="SimSun" w:hAnsi="Times New Roman"/>
          <w:bCs/>
          <w:sz w:val="24"/>
          <w:szCs w:val="24"/>
        </w:rPr>
        <w:t>. Не се прилагат специфични средства за лечение на пристъпите, както и при хемиплегичната мигрена.</w:t>
      </w:r>
    </w:p>
    <w:p w14:paraId="27E2EBCC"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bCs/>
          <w:i/>
          <w:sz w:val="24"/>
          <w:szCs w:val="24"/>
        </w:rPr>
        <w:t>Хроничната мигрена</w:t>
      </w:r>
      <w:r w:rsidRPr="00AE47C6">
        <w:rPr>
          <w:rFonts w:ascii="Times New Roman" w:eastAsia="SimSun" w:hAnsi="Times New Roman"/>
          <w:bCs/>
          <w:sz w:val="24"/>
          <w:szCs w:val="24"/>
        </w:rPr>
        <w:t xml:space="preserve"> се лекува трудно. При повечето пациенти е налице злоупотреба с медикаменти в продължение на години, поради което първата стъпка в лечението е преустановяване на техния прием и детоксификация. Трябва да се сведат до минимум или да се спрат за 1-2 месеца всички медикаменти за лечение на пристъп. Пациентът остава само на профилактично лечение. Използват се две стратегии за спиране на използваните медикаменти – внезапно или постепенно спиране след включване на терминаторни медикаменти. Внезапното спиране води до сериозни симптоми, свързани с прекратяване на злоупотребата с медикаменти - засилване на главоболието, гадене, повръщане, ажитация, неспокойство, тревожност, непоседливост, нарушения на съня и настроението, артериална хипотония, тахикардия, рядко епилептични припадъци и халюцинации. Продължителността на синдрома е от 3 до 8 седмици. За да се намали силата на симптомите е желателно 4 седмици по-рано да се започне профилактично лечение. Поради опасност от възникване на епилептични припадъци и делир, барбитуратите, опиоидите и бензодиазепините се намаляват постепенно в продължение на няколко дни, а не се спират внезапно. </w:t>
      </w:r>
    </w:p>
    <w:p w14:paraId="477CC6D4"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 xml:space="preserve">Пациентът се хоспитализира, за рехидратация, избор на профилактично лечение, прекратяване на цикъла на силна болка и обучение. При повръщане се прилагат и инфузии </w:t>
      </w:r>
      <w:r w:rsidRPr="00AE47C6">
        <w:rPr>
          <w:rFonts w:ascii="Times New Roman" w:eastAsia="SimSun" w:hAnsi="Times New Roman"/>
          <w:bCs/>
          <w:i/>
          <w:sz w:val="24"/>
          <w:szCs w:val="24"/>
        </w:rPr>
        <w:t>антиеметици (domperidone, metoclopramide 10 mg, при деца 0,1 mg/kg до максимална дневна доза 0,5 mg/kg)</w:t>
      </w:r>
      <w:r w:rsidRPr="00AE47C6">
        <w:rPr>
          <w:rFonts w:ascii="Times New Roman" w:eastAsia="SimSun" w:hAnsi="Times New Roman"/>
          <w:bCs/>
          <w:sz w:val="24"/>
          <w:szCs w:val="24"/>
        </w:rPr>
        <w:t>. Могат да се използват и повтарящи се апликации от невролептици интрамускулно (</w:t>
      </w:r>
      <w:r w:rsidRPr="00AE47C6">
        <w:rPr>
          <w:rFonts w:ascii="Times New Roman" w:eastAsia="SimSun" w:hAnsi="Times New Roman"/>
          <w:bCs/>
          <w:i/>
          <w:sz w:val="24"/>
          <w:szCs w:val="24"/>
        </w:rPr>
        <w:t>haloperidol 5 mg, droperidol 1-2,5 mg или chlorpromazine 10-50 mg</w:t>
      </w:r>
      <w:r w:rsidRPr="00AE47C6">
        <w:rPr>
          <w:rFonts w:ascii="Times New Roman" w:eastAsia="SimSun" w:hAnsi="Times New Roman"/>
          <w:bCs/>
          <w:sz w:val="24"/>
          <w:szCs w:val="24"/>
        </w:rPr>
        <w:t>). Може да се приложи перорално атипичния невролептик olanzapine в дневна доза 5-10 mg. При прилагане на невролептици трябва да се следи за удължаване на QT интервала в ЕКГ изследването.</w:t>
      </w:r>
    </w:p>
    <w:p w14:paraId="18E48511"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 xml:space="preserve">Трябва да се идентифицират всички коморбидни соматични и психични заболявания и факторите, свързани с обостряне на главоболието. Изработват се индивидуални програми, включващи нефармакологични (физиотерапия, рехабилитация, релаксация, биофийдбек, поведенческа и психотерапия) и фармакологични методи. Необходима е хронобиологична програма с регулиране на съня, бодърстването и храненето. </w:t>
      </w:r>
    </w:p>
    <w:p w14:paraId="11D18CAF"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 xml:space="preserve">В някои случаи се налага през първите дни да се дават при много силно главоболие единични дози от медикаменти за лечение на пристъпа. Тези медикаменти се наричат “терминаторни” или “преходни”, защото се прилагат докато се разкъса патофизиологичния цикъл на хроничното главоболие. Ефективни са naratriptan 2,5 mg два пъти дневно или sumatriptan 25 mg 3 пъти дневно за 10 дни. Може да се използва комбинирано лечение от β блокер и антиепилептик. Много ефективно е прилагането на кортикостероиди (prednisone 100 mg за един ден), последвано от намаляващи с по 20 mg на ден дози за 1-14 дни. Могат да се използват amitriptyline 25 mg, НСПВС (naproxen 500 mg дн.), gabapentin 2400 mg дн., topiramat 50-100 mg дн., валпроати перорално (750 mg дн.) или интравенозно (до 500-1000 mg дн.). Ако пациентът е злоупотребявал с опиоиди, ефективно е прилагането на clonidine 0,1-0,2 mg три пъти дневно. Прилагането на α адренергичния агонист tizanidine е ефективно като допълнителна терапия. Особено подходящо е прилагането на ботулинов токсин. </w:t>
      </w:r>
    </w:p>
    <w:p w14:paraId="2F0ECF32"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 xml:space="preserve">След преминаване на острата фаза се започва поведенческа терапия. Трябва да се продължи профилактичното лечение, като се има предвид, че профилактичните медикаменти, които преди това не са били ефективни, стават ефективни след прекратяване на злоупотребата с медикаменти. Първата година след лечението е рискова – 40% от пациентите отново започват да злоупотребяват с медикаменти. Злоупотребата е по-честа при пациенти с тензионно главоболие, отколкото при тези с мигрена и при пациенти използвали аналгетици в сравнение с триптани. </w:t>
      </w:r>
    </w:p>
    <w:p w14:paraId="662F7ECA"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2. Профилактика на мигренните пристъпи</w:t>
      </w:r>
    </w:p>
    <w:p w14:paraId="471FEC1D"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Cs/>
          <w:sz w:val="24"/>
          <w:szCs w:val="24"/>
        </w:rPr>
        <w:t xml:space="preserve">Има за цел да намали честотата и тежестта на пристъпите и риска от прогресия на заболяването. Счита се за модифициращо заболяването лечение, тъй като честотата на пристъпите и злоупотребата с медикаменти за лечение на болката са рискови фактори за прогресията на заболяването. </w:t>
      </w:r>
    </w:p>
    <w:p w14:paraId="2EB2017B" w14:textId="77777777" w:rsidR="00BE0B19" w:rsidRPr="00AE47C6" w:rsidRDefault="00BE0B19" w:rsidP="00BE0B19">
      <w:pPr>
        <w:spacing w:after="0" w:line="360" w:lineRule="auto"/>
        <w:ind w:firstLine="283"/>
        <w:jc w:val="both"/>
        <w:rPr>
          <w:rFonts w:ascii="Times New Roman" w:eastAsia="SimSun" w:hAnsi="Times New Roman"/>
          <w:bCs/>
          <w:sz w:val="24"/>
          <w:szCs w:val="24"/>
        </w:rPr>
      </w:pPr>
      <w:r w:rsidRPr="00AE47C6">
        <w:rPr>
          <w:rFonts w:ascii="Times New Roman" w:eastAsia="SimSun" w:hAnsi="Times New Roman"/>
          <w:bCs/>
          <w:sz w:val="24"/>
          <w:szCs w:val="24"/>
        </w:rPr>
        <w:t xml:space="preserve">Пациентите с мигрена се подразделят на три групи, според необходимостта от провеждане на профилактично лечение: пациенти които задължително трябва да го провеждат, които биха могли да го провеждат и такива, които нямат необходимост от такова лечение. </w:t>
      </w:r>
    </w:p>
    <w:p w14:paraId="7DEFA991" w14:textId="77777777" w:rsidR="00BE0B19" w:rsidRPr="00AE47C6" w:rsidRDefault="00BE0B19" w:rsidP="00BE0B19">
      <w:pPr>
        <w:spacing w:after="0" w:line="360" w:lineRule="auto"/>
        <w:ind w:firstLine="283"/>
        <w:jc w:val="both"/>
        <w:rPr>
          <w:rFonts w:ascii="Times New Roman" w:eastAsia="SimSun" w:hAnsi="Times New Roman"/>
          <w:bCs/>
          <w:sz w:val="24"/>
          <w:szCs w:val="24"/>
        </w:rPr>
      </w:pPr>
      <w:r w:rsidRPr="00AE47C6">
        <w:rPr>
          <w:rFonts w:ascii="Times New Roman" w:eastAsia="SimSun" w:hAnsi="Times New Roman"/>
          <w:b/>
          <w:bCs/>
          <w:sz w:val="24"/>
          <w:szCs w:val="24"/>
        </w:rPr>
        <w:t>Показани</w:t>
      </w:r>
      <w:r w:rsidRPr="00AE47C6">
        <w:rPr>
          <w:rFonts w:ascii="Times New Roman" w:eastAsia="SimSun" w:hAnsi="Times New Roman"/>
          <w:bCs/>
          <w:sz w:val="24"/>
          <w:szCs w:val="24"/>
        </w:rPr>
        <w:t xml:space="preserve"> за профилактично лечение са всички пациенти с повече от 3 пристъпа месечно или повече от 1 тежък пристъп. Това са около 40% от пациентите с мигрена. Показани са и пациенти с липса на ефект от симптоматичното лечение.</w:t>
      </w:r>
    </w:p>
    <w:p w14:paraId="6E49105E" w14:textId="77777777" w:rsidR="00BE0B19" w:rsidRPr="00AE47C6" w:rsidRDefault="00BE0B19" w:rsidP="00BE0B19">
      <w:pPr>
        <w:spacing w:after="0" w:line="360" w:lineRule="auto"/>
        <w:ind w:firstLine="283"/>
        <w:jc w:val="both"/>
        <w:rPr>
          <w:rFonts w:ascii="Times New Roman" w:eastAsia="SimSun" w:hAnsi="Times New Roman"/>
          <w:bCs/>
          <w:sz w:val="24"/>
          <w:szCs w:val="24"/>
        </w:rPr>
      </w:pPr>
      <w:r w:rsidRPr="00AE47C6">
        <w:rPr>
          <w:rFonts w:ascii="Times New Roman" w:eastAsia="SimSun" w:hAnsi="Times New Roman"/>
          <w:b/>
          <w:bCs/>
          <w:sz w:val="24"/>
          <w:szCs w:val="24"/>
        </w:rPr>
        <w:t>Задължително</w:t>
      </w:r>
      <w:r w:rsidRPr="00AE47C6">
        <w:rPr>
          <w:rFonts w:ascii="Times New Roman" w:eastAsia="SimSun" w:hAnsi="Times New Roman"/>
          <w:bCs/>
          <w:sz w:val="24"/>
          <w:szCs w:val="24"/>
        </w:rPr>
        <w:t xml:space="preserve"> следва да провеждат профилактично лечение пациенти с 6 и повече пристъпа месечно, с 4 и повече умерено тежки пристъпа или с 3 и повече тежки пристъпа. </w:t>
      </w:r>
    </w:p>
    <w:p w14:paraId="0405C72F" w14:textId="77777777" w:rsidR="00BE0B19" w:rsidRPr="00AE47C6" w:rsidRDefault="00BE0B19" w:rsidP="00BE0B19">
      <w:pPr>
        <w:spacing w:after="0" w:line="360" w:lineRule="auto"/>
        <w:ind w:firstLine="283"/>
        <w:jc w:val="both"/>
        <w:rPr>
          <w:rFonts w:ascii="Times New Roman" w:eastAsia="SimSun" w:hAnsi="Times New Roman"/>
          <w:bCs/>
          <w:sz w:val="24"/>
          <w:szCs w:val="24"/>
        </w:rPr>
      </w:pPr>
      <w:r w:rsidRPr="00AE47C6">
        <w:rPr>
          <w:rFonts w:ascii="Times New Roman" w:eastAsia="SimSun" w:hAnsi="Times New Roman"/>
          <w:b/>
          <w:bCs/>
          <w:sz w:val="24"/>
          <w:szCs w:val="24"/>
        </w:rPr>
        <w:t>Могат</w:t>
      </w:r>
      <w:r w:rsidRPr="00AE47C6">
        <w:rPr>
          <w:rFonts w:ascii="Times New Roman" w:eastAsia="SimSun" w:hAnsi="Times New Roman"/>
          <w:bCs/>
          <w:sz w:val="24"/>
          <w:szCs w:val="24"/>
        </w:rPr>
        <w:t xml:space="preserve"> да провеждат профилактично лечение пациенти с 4-5 леки пристъпа месечно или 3 умерено тежки или 2 тежки пристъпа. </w:t>
      </w:r>
    </w:p>
    <w:p w14:paraId="6CB7123D" w14:textId="77777777" w:rsidR="00BE0B19" w:rsidRPr="00AE47C6" w:rsidRDefault="00BE0B19" w:rsidP="00BE0B19">
      <w:pPr>
        <w:spacing w:after="0" w:line="360" w:lineRule="auto"/>
        <w:ind w:firstLine="283"/>
        <w:jc w:val="both"/>
        <w:rPr>
          <w:rFonts w:ascii="Times New Roman" w:eastAsia="SimSun" w:hAnsi="Times New Roman"/>
          <w:sz w:val="24"/>
          <w:szCs w:val="24"/>
        </w:rPr>
      </w:pPr>
      <w:r w:rsidRPr="00AE47C6">
        <w:rPr>
          <w:rFonts w:ascii="Times New Roman" w:eastAsia="SimSun" w:hAnsi="Times New Roman"/>
          <w:sz w:val="24"/>
          <w:szCs w:val="24"/>
        </w:rPr>
        <w:t xml:space="preserve">Принципите на профилактичното лечение налагат да се разработи индивидуална програма, като се подбере подходящия за всеки пациент медикамент и се осигури и симптоматично лечение при възникване на пристъпи. Ако лечението е неефективно в продължение на 8 седмици трябва да се спре и да се приложи медикамент от друга група. </w:t>
      </w:r>
      <w:r w:rsidRPr="00AE47C6">
        <w:rPr>
          <w:rFonts w:ascii="Times New Roman" w:eastAsia="SimSun" w:hAnsi="Times New Roman"/>
          <w:bCs/>
          <w:sz w:val="24"/>
          <w:szCs w:val="24"/>
        </w:rPr>
        <w:t xml:space="preserve">Профилактиката се счита за ефективна, ако редуцира честотата на пристъпите с 50% след поне 3 месечно приложение. </w:t>
      </w:r>
      <w:r w:rsidRPr="00AE47C6">
        <w:rPr>
          <w:rFonts w:ascii="Times New Roman" w:eastAsia="SimSun" w:hAnsi="Times New Roman"/>
          <w:sz w:val="24"/>
          <w:szCs w:val="24"/>
        </w:rPr>
        <w:t xml:space="preserve">В някои трудно повлияващи се случаи се налага комбинирането на медикаменти от различни групи. Профилактичното лечение, когато е достатъчно ефективно, се прилага 12 месеца, след което трябва да се намали дозата и да се направи “медикаментозна почивка” при осигуряване на симптоматично лечение. </w:t>
      </w:r>
      <w:r w:rsidRPr="00AE47C6">
        <w:rPr>
          <w:rFonts w:ascii="Times New Roman" w:eastAsia="SimSun" w:hAnsi="Times New Roman"/>
          <w:bCs/>
          <w:sz w:val="24"/>
          <w:szCs w:val="24"/>
        </w:rPr>
        <w:t>При зачестяване на пристъпите, което се наблюдава при 50% от пациентите, профилактиката трябва да се продължи за още 1 година.</w:t>
      </w:r>
    </w:p>
    <w:p w14:paraId="4643A8E5" w14:textId="77777777" w:rsidR="00BE0B19" w:rsidRPr="00AE47C6" w:rsidRDefault="00BE0B19" w:rsidP="00BE0B19">
      <w:pPr>
        <w:spacing w:after="0" w:line="360" w:lineRule="auto"/>
        <w:ind w:firstLine="283"/>
        <w:jc w:val="both"/>
        <w:rPr>
          <w:rFonts w:ascii="Times New Roman" w:eastAsia="SimSun" w:hAnsi="Times New Roman"/>
          <w:bCs/>
          <w:sz w:val="24"/>
          <w:szCs w:val="24"/>
        </w:rPr>
      </w:pPr>
      <w:r w:rsidRPr="00AE47C6">
        <w:rPr>
          <w:rFonts w:ascii="Times New Roman" w:eastAsia="SimSun" w:hAnsi="Times New Roman"/>
          <w:bCs/>
          <w:sz w:val="24"/>
          <w:szCs w:val="24"/>
        </w:rPr>
        <w:t>Пациентът трябва да получи информация за заболяването, за да играе активна роля в своето лечение. Трябва да се опита да установи тригерните фактори, броя и силата на пристъпите и повлияването им от медикаменти.</w:t>
      </w:r>
    </w:p>
    <w:p w14:paraId="2CB3210D" w14:textId="77777777" w:rsidR="00BE0B19" w:rsidRPr="00AE47C6" w:rsidRDefault="00BE0B19" w:rsidP="00BE0B19">
      <w:pPr>
        <w:spacing w:after="0" w:line="360" w:lineRule="auto"/>
        <w:ind w:firstLine="283"/>
        <w:jc w:val="both"/>
        <w:rPr>
          <w:rFonts w:ascii="Times New Roman" w:eastAsia="SimSun" w:hAnsi="Times New Roman"/>
          <w:sz w:val="24"/>
          <w:szCs w:val="24"/>
        </w:rPr>
      </w:pPr>
      <w:r w:rsidRPr="00AE47C6">
        <w:rPr>
          <w:rFonts w:ascii="Times New Roman" w:eastAsia="SimSun" w:hAnsi="Times New Roman"/>
          <w:sz w:val="24"/>
          <w:szCs w:val="24"/>
        </w:rPr>
        <w:t xml:space="preserve">Необходимо е да се вземат мерки за някои заболявания (артериална хипертония, затлъстяване, желязодефицитна анемия) и да се избягват медикаменти (вазодилататори, хормонални естроген-прогестеронови медикаменти), които влошават заболяването. </w:t>
      </w:r>
      <w:r w:rsidRPr="00AE47C6">
        <w:rPr>
          <w:rFonts w:ascii="Times New Roman" w:eastAsia="SimSun" w:hAnsi="Times New Roman"/>
          <w:bCs/>
          <w:sz w:val="24"/>
          <w:szCs w:val="24"/>
        </w:rPr>
        <w:t>Използването на орални контрацептиви и тютюнопушенето засилват риска от инсулт, който е повишен при пациенти с мигрена.</w:t>
      </w:r>
    </w:p>
    <w:p w14:paraId="6F07AA9D" w14:textId="77777777" w:rsidR="00BE0B19" w:rsidRPr="00AE47C6" w:rsidRDefault="00BE0B19" w:rsidP="00BE0B19">
      <w:pPr>
        <w:tabs>
          <w:tab w:val="left" w:pos="108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1. Хигиенно-диетичен режим</w:t>
      </w:r>
      <w:r w:rsidRPr="00AE47C6">
        <w:rPr>
          <w:rFonts w:ascii="Times New Roman" w:eastAsia="SimSun" w:hAnsi="Times New Roman"/>
          <w:sz w:val="24"/>
          <w:szCs w:val="24"/>
        </w:rPr>
        <w:t xml:space="preserve"> – Препоръчват се промени в начина на живот, които включват редовен сън и хранене, избягване на стреса и преумората (физическа и психическа), редуциране на теглото, физическа активност, избягване на шумни, ветровити, запушени, студени или горещи и силно осветени места, силни миризми и промени в надморската височина. Необходимо е избягване на фактори, които пациентът е забелязал, че провокират пристъпи от главоболие. Някои пациенти са чувствителни към определени храни (сирене, шоколадени изделия, цитрусови плодове и др.) и алкохол, които трябва да се изключат от диетата. Трябва да се спазва диета само ако пациентът е установил със сигурност, че определени храни и напитки влошават заболяването.</w:t>
      </w:r>
    </w:p>
    <w:p w14:paraId="14294066"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2. Антиепилептични медикаменти</w:t>
      </w:r>
    </w:p>
    <w:p w14:paraId="0D984A2C" w14:textId="77777777" w:rsidR="00BE0B19" w:rsidRPr="00AE47C6" w:rsidRDefault="00BE0B19" w:rsidP="00BE0B19">
      <w:pPr>
        <w:numPr>
          <w:ilvl w:val="0"/>
          <w:numId w:val="187"/>
        </w:numPr>
        <w:spacing w:after="0" w:line="360" w:lineRule="auto"/>
        <w:ind w:left="1080"/>
        <w:jc w:val="both"/>
        <w:rPr>
          <w:rFonts w:ascii="Times New Roman" w:eastAsia="SimSun" w:hAnsi="Times New Roman"/>
          <w:sz w:val="24"/>
          <w:szCs w:val="24"/>
        </w:rPr>
      </w:pPr>
      <w:r w:rsidRPr="00AE47C6">
        <w:rPr>
          <w:rFonts w:ascii="Times New Roman" w:eastAsia="SimSun" w:hAnsi="Times New Roman"/>
          <w:sz w:val="24"/>
          <w:szCs w:val="24"/>
        </w:rPr>
        <w:t xml:space="preserve"> </w:t>
      </w:r>
      <w:r w:rsidRPr="00AE47C6">
        <w:rPr>
          <w:rFonts w:ascii="Times New Roman" w:eastAsia="SimSun" w:hAnsi="Times New Roman"/>
          <w:sz w:val="24"/>
          <w:szCs w:val="24"/>
        </w:rPr>
        <w:tab/>
      </w:r>
      <w:r w:rsidRPr="00AE47C6">
        <w:rPr>
          <w:rFonts w:ascii="Times New Roman" w:eastAsia="SimSun" w:hAnsi="Times New Roman"/>
          <w:bCs/>
          <w:sz w:val="24"/>
          <w:szCs w:val="24"/>
        </w:rPr>
        <w:t>Topiramate 100 mg дневно е най-ефективният антиконвулсант.</w:t>
      </w:r>
    </w:p>
    <w:p w14:paraId="2662278B"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Cs/>
          <w:i/>
          <w:sz w:val="24"/>
          <w:szCs w:val="24"/>
        </w:rPr>
        <w:t>Sodium valproate</w:t>
      </w:r>
      <w:r w:rsidRPr="00AE47C6">
        <w:rPr>
          <w:rFonts w:ascii="Times New Roman" w:eastAsia="SimSun" w:hAnsi="Times New Roman"/>
          <w:bCs/>
          <w:sz w:val="24"/>
          <w:szCs w:val="24"/>
        </w:rPr>
        <w:t xml:space="preserve"> 600-1500 mg дневно</w:t>
      </w:r>
    </w:p>
    <w:p w14:paraId="1E93C3C2"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Cs/>
          <w:i/>
          <w:sz w:val="24"/>
          <w:szCs w:val="24"/>
        </w:rPr>
        <w:t xml:space="preserve">Gabapentin </w:t>
      </w:r>
      <w:r w:rsidRPr="00AE47C6">
        <w:rPr>
          <w:rFonts w:ascii="Times New Roman" w:eastAsia="SimSun" w:hAnsi="Times New Roman"/>
          <w:sz w:val="24"/>
          <w:szCs w:val="24"/>
        </w:rPr>
        <w:t xml:space="preserve">900 до 1800 mg дневно </w:t>
      </w:r>
    </w:p>
    <w:p w14:paraId="25C9AF29"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Cs/>
          <w:i/>
          <w:sz w:val="24"/>
          <w:szCs w:val="24"/>
        </w:rPr>
        <w:t xml:space="preserve">Pregabalin </w:t>
      </w:r>
      <w:r w:rsidRPr="00AE47C6">
        <w:rPr>
          <w:rFonts w:ascii="Times New Roman" w:eastAsia="SimSun" w:hAnsi="Times New Roman"/>
          <w:sz w:val="24"/>
          <w:szCs w:val="24"/>
        </w:rPr>
        <w:t>300-600 mg дневно</w:t>
      </w:r>
    </w:p>
    <w:p w14:paraId="45518EE3" w14:textId="77777777" w:rsidR="00BE0B19" w:rsidRPr="00AE47C6" w:rsidRDefault="00BE0B19" w:rsidP="00BE0B19">
      <w:pPr>
        <w:tabs>
          <w:tab w:val="left" w:pos="108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3. Медикаменти, имащи отношение към норадреналина и серотонина</w:t>
      </w:r>
      <w:r w:rsidRPr="00AE47C6">
        <w:rPr>
          <w:rFonts w:ascii="Times New Roman" w:eastAsia="SimSun" w:hAnsi="Times New Roman"/>
          <w:sz w:val="24"/>
          <w:szCs w:val="24"/>
        </w:rPr>
        <w:t>.</w:t>
      </w:r>
    </w:p>
    <w:p w14:paraId="64E36FE2"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i/>
          <w:sz w:val="24"/>
          <w:szCs w:val="24"/>
        </w:rPr>
      </w:pPr>
      <w:r w:rsidRPr="00AE47C6">
        <w:rPr>
          <w:rFonts w:ascii="Times New Roman" w:eastAsia="SimSun" w:hAnsi="Times New Roman"/>
          <w:i/>
          <w:sz w:val="24"/>
          <w:szCs w:val="24"/>
        </w:rPr>
        <w:t xml:space="preserve">Трициклични антидепресанти </w:t>
      </w:r>
    </w:p>
    <w:p w14:paraId="04480DA4" w14:textId="77777777" w:rsidR="00BE0B19" w:rsidRPr="00AE47C6" w:rsidRDefault="00BE0B19" w:rsidP="00BE0B19">
      <w:pPr>
        <w:numPr>
          <w:ilvl w:val="0"/>
          <w:numId w:val="187"/>
        </w:numPr>
        <w:spacing w:after="0" w:line="360" w:lineRule="auto"/>
        <w:ind w:left="1440" w:firstLine="720"/>
        <w:jc w:val="both"/>
        <w:rPr>
          <w:rFonts w:ascii="Times New Roman" w:eastAsia="SimSun" w:hAnsi="Times New Roman"/>
          <w:sz w:val="24"/>
          <w:szCs w:val="24"/>
        </w:rPr>
      </w:pPr>
      <w:r w:rsidRPr="00AE47C6">
        <w:rPr>
          <w:rFonts w:ascii="Times New Roman" w:eastAsia="SimSun" w:hAnsi="Times New Roman"/>
          <w:bCs/>
          <w:i/>
          <w:sz w:val="24"/>
          <w:szCs w:val="24"/>
        </w:rPr>
        <w:t>amitriptyline</w:t>
      </w:r>
      <w:r w:rsidRPr="00AE47C6">
        <w:rPr>
          <w:rFonts w:ascii="Times New Roman" w:eastAsia="SimSun" w:hAnsi="Times New Roman"/>
          <w:sz w:val="24"/>
          <w:szCs w:val="24"/>
        </w:rPr>
        <w:t xml:space="preserve"> 25 – 75 mg </w:t>
      </w:r>
      <w:r w:rsidRPr="00AE47C6">
        <w:rPr>
          <w:rFonts w:ascii="Times New Roman" w:eastAsia="SimSun" w:hAnsi="Times New Roman"/>
          <w:bCs/>
          <w:sz w:val="24"/>
          <w:szCs w:val="24"/>
        </w:rPr>
        <w:t>вечер</w:t>
      </w:r>
    </w:p>
    <w:p w14:paraId="5B400C91"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b/>
          <w:i/>
          <w:sz w:val="24"/>
          <w:szCs w:val="24"/>
        </w:rPr>
      </w:pPr>
      <w:r w:rsidRPr="00AE47C6">
        <w:rPr>
          <w:rFonts w:ascii="Times New Roman" w:eastAsia="SimSun" w:hAnsi="Times New Roman"/>
          <w:bCs/>
          <w:i/>
          <w:sz w:val="24"/>
          <w:szCs w:val="24"/>
        </w:rPr>
        <w:t>Инхибитори на обратния захват на серотонина и норадреналина</w:t>
      </w:r>
    </w:p>
    <w:p w14:paraId="432EF529" w14:textId="77777777" w:rsidR="00BE0B19" w:rsidRPr="00AE47C6" w:rsidRDefault="00BE0B19" w:rsidP="00BE0B19">
      <w:pPr>
        <w:numPr>
          <w:ilvl w:val="0"/>
          <w:numId w:val="187"/>
        </w:numPr>
        <w:spacing w:after="0" w:line="360" w:lineRule="auto"/>
        <w:ind w:left="1440" w:firstLine="720"/>
        <w:jc w:val="both"/>
        <w:rPr>
          <w:rFonts w:ascii="Times New Roman" w:eastAsia="SimSun" w:hAnsi="Times New Roman"/>
          <w:bCs/>
          <w:sz w:val="24"/>
          <w:szCs w:val="24"/>
        </w:rPr>
      </w:pPr>
      <w:r w:rsidRPr="00AE47C6">
        <w:rPr>
          <w:rFonts w:ascii="Times New Roman" w:eastAsia="SimSun" w:hAnsi="Times New Roman"/>
          <w:bCs/>
          <w:i/>
          <w:sz w:val="24"/>
          <w:szCs w:val="24"/>
        </w:rPr>
        <w:t>duloxetine 3</w:t>
      </w:r>
      <w:r w:rsidRPr="00AE47C6">
        <w:rPr>
          <w:rFonts w:ascii="Times New Roman" w:eastAsia="SimSun" w:hAnsi="Times New Roman"/>
          <w:bCs/>
          <w:sz w:val="24"/>
          <w:szCs w:val="24"/>
        </w:rPr>
        <w:t>0 – 60 mg дневно</w:t>
      </w:r>
    </w:p>
    <w:p w14:paraId="7B80019A" w14:textId="77777777" w:rsidR="00BE0B19" w:rsidRPr="00AE47C6" w:rsidRDefault="00BE0B19" w:rsidP="00BE0B19">
      <w:pPr>
        <w:numPr>
          <w:ilvl w:val="0"/>
          <w:numId w:val="187"/>
        </w:numPr>
        <w:spacing w:after="0" w:line="360" w:lineRule="auto"/>
        <w:ind w:left="1440" w:firstLine="720"/>
        <w:jc w:val="both"/>
        <w:rPr>
          <w:rFonts w:ascii="Times New Roman" w:eastAsia="SimSun" w:hAnsi="Times New Roman"/>
          <w:b/>
          <w:sz w:val="24"/>
          <w:szCs w:val="24"/>
        </w:rPr>
      </w:pPr>
      <w:r w:rsidRPr="00AE47C6">
        <w:rPr>
          <w:rFonts w:ascii="Times New Roman" w:eastAsia="SimSun" w:hAnsi="Times New Roman"/>
          <w:bCs/>
          <w:i/>
          <w:sz w:val="24"/>
          <w:szCs w:val="24"/>
        </w:rPr>
        <w:t xml:space="preserve">venlafaxine </w:t>
      </w:r>
      <w:r w:rsidRPr="00AE47C6">
        <w:rPr>
          <w:rFonts w:ascii="Times New Roman" w:eastAsia="SimSun" w:hAnsi="Times New Roman"/>
          <w:bCs/>
          <w:sz w:val="24"/>
          <w:szCs w:val="24"/>
        </w:rPr>
        <w:t>75 - 150 mg дневно</w:t>
      </w:r>
    </w:p>
    <w:p w14:paraId="78CA7DBC" w14:textId="77777777" w:rsidR="00BE0B19" w:rsidRPr="00AE47C6" w:rsidRDefault="00BE0B19" w:rsidP="00BE0B19">
      <w:pPr>
        <w:numPr>
          <w:ilvl w:val="0"/>
          <w:numId w:val="187"/>
        </w:numPr>
        <w:spacing w:after="0" w:line="360" w:lineRule="auto"/>
        <w:ind w:left="1440" w:firstLine="720"/>
        <w:jc w:val="both"/>
        <w:rPr>
          <w:rFonts w:ascii="Times New Roman" w:eastAsia="SimSun" w:hAnsi="Times New Roman"/>
          <w:b/>
          <w:sz w:val="24"/>
          <w:szCs w:val="24"/>
        </w:rPr>
      </w:pPr>
      <w:r w:rsidRPr="00AE47C6">
        <w:rPr>
          <w:rFonts w:ascii="Times New Roman" w:eastAsia="SimSun" w:hAnsi="Times New Roman"/>
          <w:bCs/>
          <w:i/>
          <w:sz w:val="24"/>
          <w:szCs w:val="24"/>
        </w:rPr>
        <w:t>mirtazapine</w:t>
      </w:r>
      <w:r w:rsidRPr="00AE47C6">
        <w:rPr>
          <w:rFonts w:ascii="Times New Roman" w:eastAsia="SimSun" w:hAnsi="Times New Roman"/>
          <w:bCs/>
          <w:sz w:val="24"/>
          <w:szCs w:val="24"/>
        </w:rPr>
        <w:t xml:space="preserve"> 30 - 60 mg дневно</w:t>
      </w:r>
    </w:p>
    <w:p w14:paraId="0B467AD4"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b/>
          <w:sz w:val="24"/>
          <w:szCs w:val="24"/>
        </w:rPr>
      </w:pPr>
      <w:r w:rsidRPr="00AE47C6">
        <w:rPr>
          <w:rFonts w:ascii="Times New Roman" w:eastAsia="SimSun" w:hAnsi="Times New Roman"/>
          <w:sz w:val="24"/>
          <w:szCs w:val="24"/>
        </w:rPr>
        <w:t xml:space="preserve">Антидепресантите потискащи обратният захват на серотонина </w:t>
      </w:r>
      <w:r w:rsidRPr="00AE47C6">
        <w:rPr>
          <w:rFonts w:ascii="Times New Roman" w:eastAsia="SimSun" w:hAnsi="Times New Roman"/>
          <w:b/>
          <w:sz w:val="24"/>
          <w:szCs w:val="24"/>
        </w:rPr>
        <w:t>не са</w:t>
      </w:r>
      <w:r w:rsidRPr="00AE47C6">
        <w:rPr>
          <w:rFonts w:ascii="Times New Roman" w:eastAsia="SimSun" w:hAnsi="Times New Roman"/>
          <w:sz w:val="24"/>
          <w:szCs w:val="24"/>
        </w:rPr>
        <w:t xml:space="preserve"> ефективни и предизвикват главоболие като страничен ефект.</w:t>
      </w:r>
    </w:p>
    <w:p w14:paraId="29E2CF4A"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4. Неселективни бета (</w:t>
      </w:r>
      <w:r w:rsidRPr="00AE47C6">
        <w:rPr>
          <w:rFonts w:ascii="Times New Roman" w:eastAsia="SimSun" w:hAnsi="Times New Roman"/>
          <w:b/>
          <w:sz w:val="24"/>
          <w:szCs w:val="24"/>
        </w:rPr>
        <w:sym w:font="Symbol" w:char="F062"/>
      </w:r>
      <w:r w:rsidRPr="00AE47C6">
        <w:rPr>
          <w:rFonts w:ascii="Times New Roman" w:eastAsia="SimSun" w:hAnsi="Times New Roman"/>
          <w:b/>
          <w:sz w:val="24"/>
          <w:szCs w:val="24"/>
        </w:rPr>
        <w:t xml:space="preserve">1 и </w:t>
      </w:r>
      <w:r w:rsidRPr="00AE47C6">
        <w:rPr>
          <w:rFonts w:ascii="Times New Roman" w:eastAsia="SimSun" w:hAnsi="Times New Roman"/>
          <w:b/>
          <w:sz w:val="24"/>
          <w:szCs w:val="24"/>
        </w:rPr>
        <w:sym w:font="Symbol" w:char="F062"/>
      </w:r>
      <w:r w:rsidRPr="00AE47C6">
        <w:rPr>
          <w:rFonts w:ascii="Times New Roman" w:eastAsia="SimSun" w:hAnsi="Times New Roman"/>
          <w:b/>
          <w:sz w:val="24"/>
          <w:szCs w:val="24"/>
        </w:rPr>
        <w:t>2) адренергични блокери.</w:t>
      </w:r>
    </w:p>
    <w:p w14:paraId="7D370D2A"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bCs/>
          <w:i/>
          <w:sz w:val="24"/>
          <w:szCs w:val="24"/>
        </w:rPr>
        <w:t>propranolol</w:t>
      </w:r>
      <w:r w:rsidRPr="00AE47C6">
        <w:rPr>
          <w:rFonts w:ascii="Times New Roman" w:eastAsia="SimSun" w:hAnsi="Times New Roman"/>
          <w:bCs/>
          <w:sz w:val="24"/>
          <w:szCs w:val="24"/>
        </w:rPr>
        <w:t xml:space="preserve"> 80-320 mg дневно</w:t>
      </w:r>
    </w:p>
    <w:p w14:paraId="440108CE"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i/>
          <w:sz w:val="24"/>
          <w:szCs w:val="24"/>
        </w:rPr>
        <w:t xml:space="preserve">metoprolol </w:t>
      </w:r>
      <w:r w:rsidRPr="00AE47C6">
        <w:rPr>
          <w:rFonts w:ascii="Times New Roman" w:eastAsia="SimSun" w:hAnsi="Times New Roman"/>
          <w:sz w:val="24"/>
          <w:szCs w:val="24"/>
        </w:rPr>
        <w:t>– 200 mg дневно</w:t>
      </w:r>
    </w:p>
    <w:p w14:paraId="76BBAD1C"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i/>
          <w:sz w:val="24"/>
          <w:szCs w:val="24"/>
        </w:rPr>
        <w:t xml:space="preserve">atenolol </w:t>
      </w:r>
      <w:r w:rsidRPr="00AE47C6">
        <w:rPr>
          <w:rFonts w:ascii="Times New Roman" w:eastAsia="SimSun" w:hAnsi="Times New Roman"/>
          <w:sz w:val="24"/>
          <w:szCs w:val="24"/>
        </w:rPr>
        <w:t xml:space="preserve">– 40-100 mg дневно </w:t>
      </w:r>
    </w:p>
    <w:p w14:paraId="18ED090E"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i/>
          <w:sz w:val="24"/>
          <w:szCs w:val="24"/>
        </w:rPr>
        <w:t xml:space="preserve">timolol </w:t>
      </w:r>
      <w:r w:rsidRPr="00AE47C6">
        <w:rPr>
          <w:rFonts w:ascii="Times New Roman" w:eastAsia="SimSun" w:hAnsi="Times New Roman"/>
          <w:sz w:val="24"/>
          <w:szCs w:val="24"/>
        </w:rPr>
        <w:t>– 20 mg дневно</w:t>
      </w:r>
    </w:p>
    <w:p w14:paraId="5881178E"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i/>
          <w:sz w:val="24"/>
          <w:szCs w:val="24"/>
        </w:rPr>
        <w:t xml:space="preserve">nadolol </w:t>
      </w:r>
      <w:r w:rsidRPr="00AE47C6">
        <w:rPr>
          <w:rFonts w:ascii="Times New Roman" w:eastAsia="SimSun" w:hAnsi="Times New Roman"/>
          <w:sz w:val="24"/>
          <w:szCs w:val="24"/>
        </w:rPr>
        <w:t>– 80-240 mg дневно</w:t>
      </w:r>
    </w:p>
    <w:p w14:paraId="6B7188A3"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5. Неселективни блокери на калциевите канали</w:t>
      </w:r>
    </w:p>
    <w:p w14:paraId="7D93BE30"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i/>
          <w:sz w:val="24"/>
          <w:szCs w:val="24"/>
        </w:rPr>
        <w:t>flunarizine</w:t>
      </w:r>
      <w:r w:rsidRPr="00AE47C6">
        <w:rPr>
          <w:rFonts w:ascii="Times New Roman" w:eastAsia="SimSun" w:hAnsi="Times New Roman"/>
          <w:sz w:val="24"/>
          <w:szCs w:val="24"/>
        </w:rPr>
        <w:t xml:space="preserve"> 10 mg вечер</w:t>
      </w:r>
    </w:p>
    <w:p w14:paraId="27F423B6"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i/>
          <w:sz w:val="24"/>
          <w:szCs w:val="24"/>
        </w:rPr>
        <w:t>verapamil</w:t>
      </w:r>
      <w:r w:rsidRPr="00AE47C6">
        <w:rPr>
          <w:rFonts w:ascii="Times New Roman" w:eastAsia="SimSun" w:hAnsi="Times New Roman"/>
          <w:sz w:val="24"/>
          <w:szCs w:val="24"/>
        </w:rPr>
        <w:t xml:space="preserve"> </w:t>
      </w:r>
      <w:r w:rsidRPr="00AE47C6">
        <w:rPr>
          <w:rFonts w:ascii="Times New Roman" w:eastAsia="SimSun" w:hAnsi="Times New Roman"/>
          <w:bCs/>
          <w:sz w:val="24"/>
          <w:szCs w:val="24"/>
        </w:rPr>
        <w:t>240-480 mg дневно</w:t>
      </w:r>
    </w:p>
    <w:p w14:paraId="5C0AC2B9"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bCs/>
          <w:i/>
          <w:sz w:val="24"/>
          <w:szCs w:val="24"/>
        </w:rPr>
        <w:t>amlodipine</w:t>
      </w:r>
      <w:r w:rsidRPr="00AE47C6">
        <w:rPr>
          <w:rFonts w:ascii="Times New Roman" w:eastAsia="SimSun" w:hAnsi="Times New Roman"/>
          <w:bCs/>
          <w:sz w:val="24"/>
          <w:szCs w:val="24"/>
        </w:rPr>
        <w:t xml:space="preserve"> 5-10 mg дневно</w:t>
      </w:r>
    </w:p>
    <w:p w14:paraId="23DD2999" w14:textId="77777777" w:rsidR="00BE0B19" w:rsidRPr="00AE47C6" w:rsidRDefault="00BE0B19" w:rsidP="00BE0B19">
      <w:pPr>
        <w:spacing w:after="0" w:line="360" w:lineRule="auto"/>
        <w:ind w:firstLine="720"/>
        <w:jc w:val="both"/>
        <w:rPr>
          <w:rFonts w:ascii="Times New Roman" w:eastAsia="SimSun" w:hAnsi="Times New Roman"/>
          <w:b/>
          <w:sz w:val="24"/>
          <w:szCs w:val="24"/>
        </w:rPr>
      </w:pPr>
    </w:p>
    <w:p w14:paraId="769185C1"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sz w:val="24"/>
          <w:szCs w:val="24"/>
        </w:rPr>
        <w:t>6. Моноклонални антитела</w:t>
      </w:r>
      <w:r w:rsidRPr="00AE47C6">
        <w:rPr>
          <w:rFonts w:ascii="Times New Roman" w:eastAsia="SimSun" w:hAnsi="Times New Roman"/>
          <w:bCs/>
          <w:sz w:val="24"/>
          <w:szCs w:val="24"/>
        </w:rPr>
        <w:t xml:space="preserve"> насочени към калцитонин ген-свързан пептид (CGRP). Прилагат се при пациенти с епизодична или хронична мигрена, при които прилагането на 2 различни профилактични медикаменти не е било ефективно, или поради коморбидност или странични ефекти не могат да се използват. При пациентите с хронична мигрена прилаганите перорални профилактични медикаменти не се спират при започване на лечението с моноклонални антитела. След известно време може да се обмисли спирането им.</w:t>
      </w:r>
    </w:p>
    <w:p w14:paraId="47C53FA3"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bCs/>
          <w:sz w:val="24"/>
          <w:szCs w:val="24"/>
        </w:rPr>
      </w:pPr>
      <w:r w:rsidRPr="00AE47C6">
        <w:rPr>
          <w:rFonts w:ascii="Times New Roman" w:eastAsia="SimSun" w:hAnsi="Times New Roman"/>
          <w:bCs/>
          <w:i/>
          <w:iCs/>
          <w:sz w:val="24"/>
          <w:szCs w:val="24"/>
        </w:rPr>
        <w:t>Erenumab</w:t>
      </w:r>
      <w:r w:rsidRPr="00AE47C6">
        <w:rPr>
          <w:rFonts w:ascii="Times New Roman" w:eastAsia="SimSun" w:hAnsi="Times New Roman"/>
          <w:bCs/>
          <w:sz w:val="24"/>
          <w:szCs w:val="24"/>
        </w:rPr>
        <w:t xml:space="preserve"> 70-140 mg s.c. месечно. Насочен е към CGRP рецепторите.</w:t>
      </w:r>
    </w:p>
    <w:p w14:paraId="75273A3C"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bCs/>
          <w:sz w:val="24"/>
          <w:szCs w:val="24"/>
        </w:rPr>
      </w:pPr>
      <w:r w:rsidRPr="00AE47C6">
        <w:rPr>
          <w:rFonts w:ascii="Times New Roman" w:eastAsia="SimSun" w:hAnsi="Times New Roman"/>
          <w:bCs/>
          <w:i/>
          <w:iCs/>
          <w:sz w:val="24"/>
          <w:szCs w:val="24"/>
        </w:rPr>
        <w:t>Fremanezumab</w:t>
      </w:r>
      <w:r w:rsidRPr="00AE47C6">
        <w:rPr>
          <w:rFonts w:ascii="Times New Roman" w:eastAsia="SimSun" w:hAnsi="Times New Roman"/>
          <w:bCs/>
          <w:sz w:val="24"/>
          <w:szCs w:val="24"/>
        </w:rPr>
        <w:t xml:space="preserve"> 225 mg s.c. месечно. Насочен e към CGRP пептида.</w:t>
      </w:r>
    </w:p>
    <w:p w14:paraId="7CF210D2"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bCs/>
          <w:sz w:val="24"/>
          <w:szCs w:val="24"/>
        </w:rPr>
      </w:pPr>
      <w:r w:rsidRPr="00AE47C6">
        <w:rPr>
          <w:rFonts w:ascii="Times New Roman" w:eastAsia="SimSun" w:hAnsi="Times New Roman"/>
          <w:bCs/>
          <w:i/>
          <w:iCs/>
          <w:sz w:val="24"/>
          <w:szCs w:val="24"/>
        </w:rPr>
        <w:t>Galcanezumab</w:t>
      </w:r>
      <w:r w:rsidRPr="00AE47C6">
        <w:rPr>
          <w:rFonts w:ascii="Times New Roman" w:eastAsia="SimSun" w:hAnsi="Times New Roman"/>
          <w:bCs/>
          <w:sz w:val="24"/>
          <w:szCs w:val="24"/>
        </w:rPr>
        <w:t xml:space="preserve"> 120 mg s.c. месечно. Насочен e към CGRP пептида.</w:t>
      </w:r>
    </w:p>
    <w:p w14:paraId="6D7C4066"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sz w:val="24"/>
          <w:szCs w:val="24"/>
        </w:rPr>
        <w:t>7. Ботулиновият токсин се</w:t>
      </w:r>
      <w:r w:rsidRPr="00AE47C6">
        <w:rPr>
          <w:rFonts w:ascii="Times New Roman" w:eastAsia="SimSun" w:hAnsi="Times New Roman"/>
          <w:bCs/>
          <w:sz w:val="24"/>
          <w:szCs w:val="24"/>
        </w:rPr>
        <w:t xml:space="preserve"> прилага като втори ред профилактика при пациенти с хронична мигрена. </w:t>
      </w:r>
    </w:p>
    <w:p w14:paraId="52BF697D" w14:textId="77777777" w:rsidR="00BE0B19" w:rsidRPr="00AE47C6" w:rsidRDefault="00BE0B19" w:rsidP="00BE0B19">
      <w:pPr>
        <w:spacing w:after="0" w:line="360" w:lineRule="auto"/>
        <w:ind w:firstLine="720"/>
        <w:jc w:val="both"/>
        <w:rPr>
          <w:rFonts w:ascii="Times New Roman" w:eastAsia="SimSun" w:hAnsi="Times New Roman"/>
          <w:color w:val="141413"/>
          <w:sz w:val="24"/>
          <w:szCs w:val="24"/>
        </w:rPr>
      </w:pPr>
      <w:r w:rsidRPr="00AE47C6">
        <w:rPr>
          <w:rFonts w:ascii="Times New Roman" w:eastAsia="SimSun" w:hAnsi="Times New Roman"/>
          <w:b/>
          <w:sz w:val="24"/>
          <w:szCs w:val="24"/>
        </w:rPr>
        <w:t>8.</w:t>
      </w:r>
      <w:r w:rsidRPr="00AE47C6">
        <w:rPr>
          <w:rFonts w:ascii="Times New Roman" w:eastAsia="SimSun" w:hAnsi="Times New Roman"/>
          <w:b/>
          <w:color w:val="141413"/>
          <w:sz w:val="24"/>
          <w:szCs w:val="24"/>
        </w:rPr>
        <w:t xml:space="preserve"> Гепантите</w:t>
      </w:r>
      <w:r w:rsidRPr="00AE47C6">
        <w:rPr>
          <w:rFonts w:ascii="Times New Roman" w:eastAsia="SimSun" w:hAnsi="Times New Roman"/>
          <w:color w:val="141413"/>
          <w:sz w:val="24"/>
          <w:szCs w:val="24"/>
        </w:rPr>
        <w:t xml:space="preserve"> се прилагат за профилактика на мигрената, след неуспешна профилактика с поне два класа други медикаменти.</w:t>
      </w:r>
    </w:p>
    <w:p w14:paraId="143EB18F"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i/>
          <w:iCs/>
          <w:color w:val="141413"/>
          <w:sz w:val="24"/>
          <w:szCs w:val="24"/>
        </w:rPr>
        <w:t>Rimegepant 75 mg</w:t>
      </w:r>
      <w:r w:rsidRPr="00AE47C6">
        <w:rPr>
          <w:rFonts w:ascii="Times New Roman" w:eastAsia="SimSun" w:hAnsi="Times New Roman"/>
          <w:color w:val="141413"/>
          <w:sz w:val="24"/>
          <w:szCs w:val="24"/>
        </w:rPr>
        <w:t xml:space="preserve"> приеман през ден перорално, намалява с 50% броя на дните с мигренно главоболие. Ефектът настъпва още в края на първия месец след започване на лечението.</w:t>
      </w:r>
    </w:p>
    <w:p w14:paraId="442E89EC"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bCs/>
          <w:sz w:val="24"/>
          <w:szCs w:val="24"/>
        </w:rPr>
        <w:t>9. Невромодулиращите методи</w:t>
      </w:r>
      <w:r w:rsidRPr="00AE47C6">
        <w:rPr>
          <w:rFonts w:ascii="Times New Roman" w:eastAsia="SimSun" w:hAnsi="Times New Roman"/>
          <w:bCs/>
          <w:sz w:val="24"/>
          <w:szCs w:val="24"/>
        </w:rPr>
        <w:t xml:space="preserve"> с възможен профилактичен ефект се делят на неинвазивни и инвазивни (окципитално нервна стимулация и стимулация на сфенопалатинния ганглий). Инвазивните методи са с предимно експериментално значение и не са налични в страната. Неинвазивните методи са: </w:t>
      </w:r>
    </w:p>
    <w:p w14:paraId="486E0DCF" w14:textId="77777777" w:rsidR="00BE0B19" w:rsidRPr="00AE47C6" w:rsidRDefault="00BE0B19" w:rsidP="00BE0B19">
      <w:pPr>
        <w:numPr>
          <w:ilvl w:val="0"/>
          <w:numId w:val="333"/>
        </w:numPr>
        <w:spacing w:after="0" w:line="360" w:lineRule="auto"/>
        <w:contextualSpacing/>
        <w:jc w:val="both"/>
        <w:rPr>
          <w:rFonts w:ascii="Times New Roman" w:eastAsia="SimSun" w:hAnsi="Times New Roman"/>
          <w:bCs/>
          <w:sz w:val="24"/>
          <w:szCs w:val="24"/>
        </w:rPr>
      </w:pPr>
      <w:r w:rsidRPr="00AE47C6">
        <w:rPr>
          <w:rFonts w:ascii="Times New Roman" w:eastAsia="SimSun" w:hAnsi="Times New Roman"/>
          <w:bCs/>
          <w:sz w:val="24"/>
          <w:szCs w:val="24"/>
        </w:rPr>
        <w:t>супраорбитална/супратрохлеарна транскутанна стимулация (Cefaly). Прилага се чрез портативен стимулатор под формата на диадема/ромб, който се позиционира на челото. Прилага се при пациенти с епизодична мигрена с или без аура. Осъществява се нискочестотна стимулация, насочена към горните клонове на n. trigeminus. Използва се веднъж дневно за 20 минути за профилактика.</w:t>
      </w:r>
    </w:p>
    <w:p w14:paraId="41148754" w14:textId="77777777" w:rsidR="00BE0B19" w:rsidRPr="00AE47C6" w:rsidRDefault="00BE0B19" w:rsidP="00BE0B19">
      <w:pPr>
        <w:numPr>
          <w:ilvl w:val="0"/>
          <w:numId w:val="333"/>
        </w:numPr>
        <w:spacing w:after="0" w:line="360" w:lineRule="auto"/>
        <w:contextualSpacing/>
        <w:jc w:val="both"/>
        <w:rPr>
          <w:rFonts w:ascii="Times New Roman" w:eastAsia="SimSun" w:hAnsi="Times New Roman"/>
          <w:bCs/>
          <w:sz w:val="24"/>
          <w:szCs w:val="24"/>
        </w:rPr>
      </w:pPr>
      <w:r w:rsidRPr="00AE47C6">
        <w:rPr>
          <w:rFonts w:ascii="Times New Roman" w:eastAsia="SimSun" w:hAnsi="Times New Roman"/>
          <w:bCs/>
          <w:sz w:val="24"/>
          <w:szCs w:val="24"/>
        </w:rPr>
        <w:t>транскраниална правотокова стимулация (tDCS). Намалява честотата на мигренните пристъпи, след 15-минутни сесии, прилагани 2 пъти седмично в областта на тила (окципиталната кора). Поради значително по-малките размери на устройството превъзхожда ВЧ рТМС.</w:t>
      </w:r>
    </w:p>
    <w:p w14:paraId="4B988625" w14:textId="77777777" w:rsidR="00BE0B19" w:rsidRPr="00AE47C6" w:rsidRDefault="00BE0B19" w:rsidP="00BE0B19">
      <w:pPr>
        <w:numPr>
          <w:ilvl w:val="0"/>
          <w:numId w:val="333"/>
        </w:numPr>
        <w:spacing w:after="0" w:line="360" w:lineRule="auto"/>
        <w:contextualSpacing/>
        <w:jc w:val="both"/>
        <w:rPr>
          <w:rFonts w:ascii="Times New Roman" w:eastAsia="SimSun" w:hAnsi="Times New Roman"/>
          <w:bCs/>
          <w:sz w:val="24"/>
          <w:szCs w:val="24"/>
        </w:rPr>
      </w:pPr>
      <w:r w:rsidRPr="00AE47C6">
        <w:rPr>
          <w:rFonts w:ascii="Times New Roman" w:eastAsia="SimSun" w:hAnsi="Times New Roman"/>
          <w:bCs/>
          <w:sz w:val="24"/>
          <w:szCs w:val="24"/>
        </w:rPr>
        <w:t xml:space="preserve">високочестотна репетитивна транскраниална магнитна стимулация (ВЧ рТМС). Приложена над първичната моторна кора (М1) в 12 сесии през ден, като профилактично лечение при епизодична и хронична мигрена намалява честотата на пристъпите. </w:t>
      </w:r>
    </w:p>
    <w:p w14:paraId="355F111C" w14:textId="77777777" w:rsidR="00BE0B19" w:rsidRPr="00AE47C6" w:rsidRDefault="00BE0B19" w:rsidP="00BE0B19">
      <w:pPr>
        <w:numPr>
          <w:ilvl w:val="0"/>
          <w:numId w:val="333"/>
        </w:numPr>
        <w:spacing w:after="0" w:line="360" w:lineRule="auto"/>
        <w:contextualSpacing/>
        <w:jc w:val="both"/>
        <w:rPr>
          <w:rFonts w:ascii="Times New Roman" w:eastAsia="SimSun" w:hAnsi="Times New Roman"/>
          <w:bCs/>
          <w:sz w:val="24"/>
          <w:szCs w:val="24"/>
        </w:rPr>
      </w:pPr>
      <w:r w:rsidRPr="00AE47C6">
        <w:rPr>
          <w:rFonts w:ascii="Times New Roman" w:eastAsia="SimSun" w:hAnsi="Times New Roman"/>
          <w:bCs/>
          <w:sz w:val="24"/>
          <w:szCs w:val="24"/>
        </w:rPr>
        <w:t xml:space="preserve">еднопулсова транскраниална магнитна стимулация (еп.ТМС). Прилага се чрез портативно устройство за </w:t>
      </w:r>
      <w:r w:rsidRPr="00AE47C6">
        <w:rPr>
          <w:rFonts w:ascii="Times New Roman" w:eastAsia="SimSun" w:hAnsi="Times New Roman"/>
          <w:sz w:val="24"/>
          <w:szCs w:val="24"/>
        </w:rPr>
        <w:t>профилактично лечение</w:t>
      </w:r>
      <w:r w:rsidRPr="00AE47C6">
        <w:rPr>
          <w:rFonts w:ascii="Times New Roman" w:eastAsia="SimSun" w:hAnsi="Times New Roman"/>
          <w:bCs/>
          <w:sz w:val="24"/>
          <w:szCs w:val="24"/>
        </w:rPr>
        <w:t>. Устройството се поставя в областта на тила (окципиталната кора), като се прилагат 2 пулса през 30-секунден интервал.</w:t>
      </w:r>
    </w:p>
    <w:p w14:paraId="1B202695" w14:textId="77777777" w:rsidR="00BE0B19" w:rsidRPr="00AE47C6" w:rsidRDefault="00BE0B19" w:rsidP="00BE0B19">
      <w:pPr>
        <w:numPr>
          <w:ilvl w:val="0"/>
          <w:numId w:val="333"/>
        </w:numPr>
        <w:spacing w:after="0" w:line="360" w:lineRule="auto"/>
        <w:contextualSpacing/>
        <w:jc w:val="both"/>
        <w:rPr>
          <w:rFonts w:ascii="Times New Roman" w:eastAsia="SimSun" w:hAnsi="Times New Roman"/>
          <w:bCs/>
          <w:sz w:val="24"/>
          <w:szCs w:val="24"/>
        </w:rPr>
      </w:pPr>
      <w:r w:rsidRPr="00AE47C6">
        <w:rPr>
          <w:rFonts w:ascii="Times New Roman" w:eastAsia="SimSun" w:hAnsi="Times New Roman"/>
          <w:bCs/>
          <w:sz w:val="24"/>
          <w:szCs w:val="24"/>
        </w:rPr>
        <w:t>неинвазивна вагусова нервна стимулация (нВНС). Прилага се чрез портативен стимулатор върху цервикалния клон (от едната и/или от двете страни) на n. vagus, като профилактично лечение при хронична мигрена.</w:t>
      </w:r>
    </w:p>
    <w:p w14:paraId="3B74D994"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sz w:val="24"/>
          <w:szCs w:val="24"/>
        </w:rPr>
        <w:t xml:space="preserve">В </w:t>
      </w:r>
      <w:r w:rsidRPr="00AE47C6">
        <w:rPr>
          <w:rFonts w:ascii="Times New Roman" w:eastAsia="SimSun" w:hAnsi="Times New Roman"/>
          <w:b/>
          <w:bCs/>
          <w:i/>
          <w:sz w:val="24"/>
          <w:szCs w:val="24"/>
        </w:rPr>
        <w:t>детската възраст</w:t>
      </w:r>
      <w:r w:rsidRPr="00AE47C6">
        <w:rPr>
          <w:rFonts w:ascii="Times New Roman" w:eastAsia="SimSun" w:hAnsi="Times New Roman"/>
          <w:bCs/>
          <w:sz w:val="24"/>
          <w:szCs w:val="24"/>
        </w:rPr>
        <w:t xml:space="preserve"> профилактиката може да се провежда с </w:t>
      </w:r>
      <w:r w:rsidRPr="00AE47C6">
        <w:rPr>
          <w:rFonts w:ascii="Times New Roman" w:eastAsia="SimSun" w:hAnsi="Times New Roman"/>
          <w:bCs/>
          <w:i/>
          <w:sz w:val="24"/>
          <w:szCs w:val="24"/>
        </w:rPr>
        <w:t>flunarizine</w:t>
      </w:r>
      <w:r w:rsidRPr="00AE47C6">
        <w:rPr>
          <w:rFonts w:ascii="Times New Roman" w:eastAsia="SimSun" w:hAnsi="Times New Roman"/>
          <w:bCs/>
          <w:sz w:val="24"/>
          <w:szCs w:val="24"/>
        </w:rPr>
        <w:t xml:space="preserve"> (</w:t>
      </w:r>
      <w:r w:rsidRPr="00AE47C6">
        <w:rPr>
          <w:rFonts w:ascii="Times New Roman" w:eastAsia="SimSun" w:hAnsi="Times New Roman"/>
          <w:bCs/>
          <w:i/>
          <w:sz w:val="24"/>
          <w:szCs w:val="24"/>
        </w:rPr>
        <w:t>5 mg дн</w:t>
      </w:r>
      <w:r w:rsidRPr="00AE47C6">
        <w:rPr>
          <w:rFonts w:ascii="Times New Roman" w:eastAsia="SimSun" w:hAnsi="Times New Roman"/>
          <w:bCs/>
          <w:sz w:val="24"/>
          <w:szCs w:val="24"/>
        </w:rPr>
        <w:t xml:space="preserve">.), </w:t>
      </w:r>
      <w:r w:rsidRPr="00AE47C6">
        <w:rPr>
          <w:rFonts w:ascii="Times New Roman" w:eastAsia="SimSun" w:hAnsi="Times New Roman"/>
          <w:bCs/>
          <w:i/>
          <w:sz w:val="24"/>
          <w:szCs w:val="24"/>
        </w:rPr>
        <w:t>amitriptyline (1 mg/kg дн.), topiramate (2 mg/kg дн.), валпроати (10-40 mg/kg дн.), gabapentin (20 mg/kg дн.) и levetiracetam  в доза 20-40 mg/kg дн</w:t>
      </w:r>
      <w:r w:rsidRPr="00AE47C6">
        <w:rPr>
          <w:rFonts w:ascii="Times New Roman" w:eastAsia="SimSun" w:hAnsi="Times New Roman"/>
          <w:bCs/>
          <w:sz w:val="24"/>
          <w:szCs w:val="24"/>
        </w:rPr>
        <w:t xml:space="preserve">. При деца над 7 годишна възраст може да се прилага </w:t>
      </w:r>
      <w:r w:rsidRPr="00AE47C6">
        <w:rPr>
          <w:rFonts w:ascii="Times New Roman" w:eastAsia="SimSun" w:hAnsi="Times New Roman"/>
          <w:bCs/>
          <w:i/>
          <w:sz w:val="24"/>
          <w:szCs w:val="24"/>
        </w:rPr>
        <w:t>propranolol 1-2 mg/kg дневно</w:t>
      </w:r>
      <w:r w:rsidRPr="00AE47C6">
        <w:rPr>
          <w:rFonts w:ascii="Times New Roman" w:eastAsia="SimSun" w:hAnsi="Times New Roman"/>
          <w:bCs/>
          <w:sz w:val="24"/>
          <w:szCs w:val="24"/>
        </w:rPr>
        <w:t xml:space="preserve">, максимум до 40-50 mg 2 пъти дневно. </w:t>
      </w:r>
    </w:p>
    <w:p w14:paraId="0CCBC621" w14:textId="77777777" w:rsidR="00BE0B19" w:rsidRPr="00AE47C6" w:rsidRDefault="00BE0B19" w:rsidP="00BE0B19">
      <w:pP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 xml:space="preserve">По време на бременност </w:t>
      </w:r>
      <w:r w:rsidRPr="00AE47C6">
        <w:rPr>
          <w:rFonts w:ascii="Times New Roman" w:eastAsia="SimSun" w:hAnsi="Times New Roman"/>
          <w:bCs/>
          <w:sz w:val="24"/>
          <w:szCs w:val="24"/>
        </w:rPr>
        <w:t>не бива да се прилага профилактично лечение.</w:t>
      </w:r>
      <w:r w:rsidRPr="00AE47C6">
        <w:rPr>
          <w:rFonts w:ascii="Times New Roman" w:eastAsia="SimSun" w:hAnsi="Times New Roman"/>
          <w:sz w:val="24"/>
          <w:szCs w:val="24"/>
        </w:rPr>
        <w:t xml:space="preserve"> Повечето жени (60-70%) с мигрена имат подобрение по време на бременността.</w:t>
      </w:r>
    </w:p>
    <w:p w14:paraId="007C9EC8"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bCs/>
          <w:i/>
          <w:sz w:val="24"/>
          <w:szCs w:val="24"/>
        </w:rPr>
        <w:t>Мини-профилактика</w:t>
      </w:r>
      <w:r w:rsidRPr="00AE47C6">
        <w:rPr>
          <w:rFonts w:ascii="Times New Roman" w:eastAsia="SimSun" w:hAnsi="Times New Roman"/>
          <w:bCs/>
          <w:sz w:val="24"/>
          <w:szCs w:val="24"/>
        </w:rPr>
        <w:t xml:space="preserve"> при пациенти с менструалната мигрена се прилага около менструалния цикъл.</w:t>
      </w:r>
    </w:p>
    <w:p w14:paraId="47E41A60"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i/>
          <w:sz w:val="24"/>
          <w:szCs w:val="24"/>
        </w:rPr>
        <w:t>Естрогените</w:t>
      </w:r>
      <w:r w:rsidRPr="00AE47C6">
        <w:rPr>
          <w:rFonts w:ascii="Times New Roman" w:eastAsia="SimSun" w:hAnsi="Times New Roman"/>
          <w:bCs/>
          <w:sz w:val="24"/>
          <w:szCs w:val="24"/>
        </w:rPr>
        <w:t xml:space="preserve"> се използват за перименструална профилактика на пристъпите от менструална мигрена, когато менструалният цикъл е редовен и се знае времето на неговото начало. Противопоказани са при мигрена с аура, при жени с естрогенно зависими тумори и венозен тромбемболизъм.</w:t>
      </w:r>
    </w:p>
    <w:p w14:paraId="14D4A5CD"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bCs/>
          <w:sz w:val="24"/>
          <w:szCs w:val="24"/>
        </w:rPr>
      </w:pPr>
      <w:r w:rsidRPr="00AE47C6">
        <w:rPr>
          <w:rFonts w:ascii="Times New Roman" w:eastAsia="SimSun" w:hAnsi="Times New Roman"/>
          <w:bCs/>
          <w:i/>
          <w:sz w:val="24"/>
          <w:szCs w:val="24"/>
        </w:rPr>
        <w:t>Estradiol</w:t>
      </w:r>
      <w:r w:rsidRPr="00AE47C6">
        <w:rPr>
          <w:rFonts w:ascii="Times New Roman" w:eastAsia="SimSun" w:hAnsi="Times New Roman"/>
          <w:bCs/>
          <w:sz w:val="24"/>
          <w:szCs w:val="24"/>
        </w:rPr>
        <w:t xml:space="preserve"> 1,5 mg гел ежедневно, 3 дни преди очакваната менструация, за 7 дни общо.</w:t>
      </w:r>
    </w:p>
    <w:p w14:paraId="3CE96F02"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bCs/>
          <w:sz w:val="24"/>
          <w:szCs w:val="24"/>
        </w:rPr>
      </w:pPr>
      <w:r w:rsidRPr="00AE47C6">
        <w:rPr>
          <w:rFonts w:ascii="Times New Roman" w:eastAsia="SimSun" w:hAnsi="Times New Roman"/>
          <w:bCs/>
          <w:i/>
          <w:sz w:val="24"/>
          <w:szCs w:val="24"/>
        </w:rPr>
        <w:t>Estrogen</w:t>
      </w:r>
      <w:r w:rsidRPr="00AE47C6">
        <w:rPr>
          <w:rFonts w:ascii="Times New Roman" w:eastAsia="SimSun" w:hAnsi="Times New Roman"/>
          <w:bCs/>
          <w:sz w:val="24"/>
          <w:szCs w:val="24"/>
        </w:rPr>
        <w:t xml:space="preserve"> 100 µg трансдермални пластири 3 дни преди менструацията до 5 ден на менструацията.</w:t>
      </w:r>
    </w:p>
    <w:p w14:paraId="625468C8"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i/>
          <w:sz w:val="24"/>
          <w:szCs w:val="24"/>
        </w:rPr>
        <w:t xml:space="preserve">НСПВС </w:t>
      </w:r>
      <w:r w:rsidRPr="00AE47C6">
        <w:rPr>
          <w:rFonts w:ascii="Times New Roman" w:eastAsia="SimSun" w:hAnsi="Times New Roman"/>
          <w:bCs/>
          <w:sz w:val="24"/>
          <w:szCs w:val="24"/>
        </w:rPr>
        <w:t xml:space="preserve">се прилагат 1 седмица преди и 1 след менструалния цикъл. </w:t>
      </w:r>
    </w:p>
    <w:p w14:paraId="5B449E51"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bCs/>
          <w:sz w:val="24"/>
          <w:szCs w:val="24"/>
        </w:rPr>
      </w:pPr>
      <w:r w:rsidRPr="00AE47C6">
        <w:rPr>
          <w:rFonts w:ascii="Times New Roman" w:eastAsia="SimSun" w:hAnsi="Times New Roman"/>
          <w:bCs/>
          <w:i/>
          <w:sz w:val="24"/>
          <w:szCs w:val="24"/>
        </w:rPr>
        <w:t>naproxen sodium</w:t>
      </w:r>
      <w:r w:rsidRPr="00AE47C6">
        <w:rPr>
          <w:rFonts w:ascii="Times New Roman" w:eastAsia="SimSun" w:hAnsi="Times New Roman"/>
          <w:bCs/>
          <w:sz w:val="24"/>
          <w:szCs w:val="24"/>
        </w:rPr>
        <w:t xml:space="preserve"> 1100 mg дн.</w:t>
      </w:r>
    </w:p>
    <w:p w14:paraId="727A6536"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Cs/>
          <w:i/>
          <w:sz w:val="24"/>
          <w:szCs w:val="24"/>
        </w:rPr>
        <w:t xml:space="preserve">Триптаните </w:t>
      </w:r>
      <w:r w:rsidRPr="00AE47C6">
        <w:rPr>
          <w:rFonts w:ascii="Times New Roman" w:eastAsia="SimSun" w:hAnsi="Times New Roman"/>
          <w:bCs/>
          <w:sz w:val="24"/>
          <w:szCs w:val="24"/>
        </w:rPr>
        <w:t xml:space="preserve">се приемат 2 дни преди и 3 след цикъла. </w:t>
      </w:r>
    </w:p>
    <w:p w14:paraId="5C89B603"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bCs/>
          <w:sz w:val="24"/>
          <w:szCs w:val="24"/>
        </w:rPr>
      </w:pPr>
      <w:r w:rsidRPr="00AE47C6">
        <w:rPr>
          <w:rFonts w:ascii="Times New Roman" w:eastAsia="SimSun" w:hAnsi="Times New Roman"/>
          <w:bCs/>
          <w:i/>
          <w:sz w:val="24"/>
          <w:szCs w:val="24"/>
        </w:rPr>
        <w:t>sumatriptan</w:t>
      </w:r>
      <w:r w:rsidRPr="00AE47C6">
        <w:rPr>
          <w:rFonts w:ascii="Times New Roman" w:eastAsia="SimSun" w:hAnsi="Times New Roman"/>
          <w:bCs/>
          <w:sz w:val="24"/>
          <w:szCs w:val="24"/>
        </w:rPr>
        <w:t xml:space="preserve"> 25 mg 3 пъти дн. </w:t>
      </w:r>
    </w:p>
    <w:p w14:paraId="2A18726C"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bCs/>
          <w:sz w:val="24"/>
          <w:szCs w:val="24"/>
        </w:rPr>
      </w:pPr>
      <w:r w:rsidRPr="00AE47C6">
        <w:rPr>
          <w:rFonts w:ascii="Times New Roman" w:eastAsia="SimSun" w:hAnsi="Times New Roman"/>
          <w:bCs/>
          <w:i/>
          <w:sz w:val="24"/>
          <w:szCs w:val="24"/>
        </w:rPr>
        <w:t>naratriptan</w:t>
      </w:r>
      <w:r w:rsidRPr="00AE47C6">
        <w:rPr>
          <w:rFonts w:ascii="Times New Roman" w:eastAsia="SimSun" w:hAnsi="Times New Roman"/>
          <w:bCs/>
          <w:sz w:val="24"/>
          <w:szCs w:val="24"/>
        </w:rPr>
        <w:t xml:space="preserve"> 1 mg 2 пъти дн.  </w:t>
      </w:r>
    </w:p>
    <w:p w14:paraId="06EA7134"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bCs/>
          <w:i/>
          <w:sz w:val="24"/>
          <w:szCs w:val="24"/>
        </w:rPr>
        <w:t>Хемиплегична мигрена</w:t>
      </w:r>
    </w:p>
    <w:p w14:paraId="6B0594CE"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bCs/>
          <w:sz w:val="24"/>
          <w:szCs w:val="24"/>
        </w:rPr>
      </w:pPr>
      <w:r w:rsidRPr="00AE47C6">
        <w:rPr>
          <w:rFonts w:ascii="Times New Roman" w:eastAsia="SimSun" w:hAnsi="Times New Roman"/>
          <w:bCs/>
          <w:i/>
          <w:sz w:val="24"/>
          <w:szCs w:val="24"/>
        </w:rPr>
        <w:t xml:space="preserve">verapamil </w:t>
      </w:r>
      <w:r w:rsidRPr="00AE47C6">
        <w:rPr>
          <w:rFonts w:ascii="Times New Roman" w:eastAsia="SimSun" w:hAnsi="Times New Roman"/>
          <w:bCs/>
          <w:sz w:val="24"/>
          <w:szCs w:val="24"/>
        </w:rPr>
        <w:t xml:space="preserve">120 mg 3 пъти дневно </w:t>
      </w:r>
    </w:p>
    <w:p w14:paraId="502A9686"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i/>
          <w:sz w:val="24"/>
          <w:szCs w:val="24"/>
        </w:rPr>
        <w:t>Мигрена със стволова аура</w:t>
      </w:r>
    </w:p>
    <w:p w14:paraId="0CDD7DE8"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bCs/>
          <w:sz w:val="24"/>
          <w:szCs w:val="24"/>
        </w:rPr>
      </w:pPr>
      <w:r w:rsidRPr="00AE47C6">
        <w:rPr>
          <w:rFonts w:ascii="Times New Roman" w:eastAsia="SimSun" w:hAnsi="Times New Roman"/>
          <w:bCs/>
          <w:i/>
          <w:sz w:val="24"/>
          <w:szCs w:val="24"/>
        </w:rPr>
        <w:t xml:space="preserve">flunarizine </w:t>
      </w:r>
      <w:r w:rsidRPr="00AE47C6">
        <w:rPr>
          <w:rFonts w:ascii="Times New Roman" w:eastAsia="SimSun" w:hAnsi="Times New Roman"/>
          <w:bCs/>
          <w:sz w:val="24"/>
          <w:szCs w:val="24"/>
        </w:rPr>
        <w:t xml:space="preserve">10 mg дневно </w:t>
      </w:r>
    </w:p>
    <w:p w14:paraId="2833DDFD"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bCs/>
          <w:i/>
          <w:sz w:val="24"/>
          <w:szCs w:val="24"/>
        </w:rPr>
      </w:pPr>
      <w:r w:rsidRPr="00AE47C6">
        <w:rPr>
          <w:rFonts w:ascii="Times New Roman" w:eastAsia="SimSun" w:hAnsi="Times New Roman"/>
          <w:bCs/>
          <w:i/>
          <w:sz w:val="24"/>
          <w:szCs w:val="24"/>
        </w:rPr>
        <w:t xml:space="preserve">verapamil </w:t>
      </w:r>
    </w:p>
    <w:p w14:paraId="68D7E8EE"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bCs/>
          <w:i/>
          <w:sz w:val="24"/>
          <w:szCs w:val="24"/>
        </w:rPr>
      </w:pPr>
      <w:r w:rsidRPr="00AE47C6">
        <w:rPr>
          <w:rFonts w:ascii="Times New Roman" w:eastAsia="SimSun" w:hAnsi="Times New Roman"/>
          <w:bCs/>
          <w:i/>
          <w:sz w:val="24"/>
          <w:szCs w:val="24"/>
        </w:rPr>
        <w:t>антиепилептични медикаменти</w:t>
      </w:r>
    </w:p>
    <w:p w14:paraId="3E0FF13D" w14:textId="77777777" w:rsidR="00BE0B19" w:rsidRPr="00AE47C6" w:rsidRDefault="00BE0B19" w:rsidP="00BE0B19">
      <w:pPr>
        <w:spacing w:after="0" w:line="360" w:lineRule="auto"/>
        <w:ind w:firstLine="720"/>
        <w:jc w:val="both"/>
        <w:rPr>
          <w:rFonts w:ascii="Times New Roman" w:eastAsia="SimSun" w:hAnsi="Times New Roman"/>
          <w:bCs/>
          <w:sz w:val="24"/>
          <w:szCs w:val="24"/>
        </w:rPr>
      </w:pPr>
      <w:r w:rsidRPr="00AE47C6">
        <w:rPr>
          <w:rFonts w:ascii="Times New Roman" w:eastAsia="SimSun" w:hAnsi="Times New Roman"/>
          <w:b/>
          <w:bCs/>
          <w:i/>
          <w:sz w:val="24"/>
          <w:szCs w:val="24"/>
        </w:rPr>
        <w:t>Ретинната мигрена</w:t>
      </w:r>
      <w:r w:rsidRPr="00AE47C6">
        <w:rPr>
          <w:rFonts w:ascii="Times New Roman" w:eastAsia="SimSun" w:hAnsi="Times New Roman"/>
          <w:bCs/>
          <w:sz w:val="24"/>
          <w:szCs w:val="24"/>
        </w:rPr>
        <w:t xml:space="preserve"> е задължително да се профилактира. </w:t>
      </w:r>
    </w:p>
    <w:p w14:paraId="04A697E4"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bCs/>
          <w:sz w:val="24"/>
          <w:szCs w:val="24"/>
        </w:rPr>
      </w:pPr>
      <w:r w:rsidRPr="00AE47C6">
        <w:rPr>
          <w:rFonts w:ascii="Times New Roman" w:eastAsia="SimSun" w:hAnsi="Times New Roman"/>
          <w:bCs/>
          <w:sz w:val="24"/>
          <w:szCs w:val="24"/>
        </w:rPr>
        <w:t xml:space="preserve">блокери на калциевите канали </w:t>
      </w:r>
    </w:p>
    <w:p w14:paraId="061DBA6F"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bCs/>
          <w:sz w:val="24"/>
          <w:szCs w:val="24"/>
        </w:rPr>
      </w:pPr>
      <w:r w:rsidRPr="00AE47C6">
        <w:rPr>
          <w:rFonts w:ascii="Times New Roman" w:eastAsia="SimSun" w:hAnsi="Times New Roman"/>
          <w:bCs/>
          <w:sz w:val="24"/>
          <w:szCs w:val="24"/>
        </w:rPr>
        <w:t xml:space="preserve">антиконвулсанти </w:t>
      </w:r>
    </w:p>
    <w:p w14:paraId="3D85D512"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bCs/>
          <w:sz w:val="24"/>
          <w:szCs w:val="24"/>
        </w:rPr>
      </w:pPr>
      <w:r w:rsidRPr="00AE47C6">
        <w:rPr>
          <w:rFonts w:ascii="Times New Roman" w:eastAsia="SimSun" w:hAnsi="Times New Roman"/>
          <w:bCs/>
          <w:sz w:val="24"/>
          <w:szCs w:val="24"/>
        </w:rPr>
        <w:t xml:space="preserve">магнезий 400 mg два пъти дневно </w:t>
      </w:r>
    </w:p>
    <w:p w14:paraId="524BD57A"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bCs/>
          <w:sz w:val="24"/>
          <w:szCs w:val="24"/>
        </w:rPr>
      </w:pPr>
      <w:r w:rsidRPr="00AE47C6">
        <w:rPr>
          <w:rFonts w:ascii="Times New Roman" w:eastAsia="SimSun" w:hAnsi="Times New Roman"/>
          <w:bCs/>
          <w:sz w:val="24"/>
          <w:szCs w:val="24"/>
        </w:rPr>
        <w:t xml:space="preserve">riboflavin 400 mg дневно </w:t>
      </w:r>
    </w:p>
    <w:p w14:paraId="42497D2A" w14:textId="77777777" w:rsidR="00BE0B19" w:rsidRPr="00AE47C6" w:rsidRDefault="00BE0B19" w:rsidP="00BE0B19">
      <w:pPr>
        <w:numPr>
          <w:ilvl w:val="0"/>
          <w:numId w:val="187"/>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Решението за включване на един или друг медикамент за профилактично лечение на мигрената се взема от невролог. То продължава поне 12 месеца, като на втория месец се преценява неговата ефективност и се взема решение дали да продължи със същия медикамент или да се включи друг. В някои трудно повлияващи се случаи, могат да бъдат комбинирани два и повече медикамента.</w:t>
      </w:r>
    </w:p>
    <w:p w14:paraId="185397EA" w14:textId="77777777" w:rsidR="00BE0B19" w:rsidRPr="00AE47C6" w:rsidRDefault="00BE0B19" w:rsidP="00BE0B19">
      <w:pPr>
        <w:numPr>
          <w:ilvl w:val="0"/>
          <w:numId w:val="187"/>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 Медикаменти на </w:t>
      </w:r>
      <w:r w:rsidRPr="00AE47C6">
        <w:rPr>
          <w:rFonts w:ascii="Times New Roman" w:eastAsia="SimSun" w:hAnsi="Times New Roman"/>
          <w:bCs/>
          <w:sz w:val="24"/>
          <w:szCs w:val="24"/>
        </w:rPr>
        <w:t>първи избор</w:t>
      </w:r>
      <w:r w:rsidRPr="00AE47C6">
        <w:rPr>
          <w:rFonts w:ascii="Times New Roman" w:eastAsia="SimSun" w:hAnsi="Times New Roman"/>
          <w:b/>
          <w:sz w:val="24"/>
          <w:szCs w:val="24"/>
        </w:rPr>
        <w:t xml:space="preserve"> за профилактика са антиепилептичните, трицикличните и антидепресантите имащи отношение към норадреналина и серотонина, неселективните бета адренергични блокери и неселективните блокери на калциевите канали.</w:t>
      </w:r>
      <w:r w:rsidRPr="00AE47C6">
        <w:rPr>
          <w:rFonts w:ascii="Times New Roman" w:eastAsia="SimSun" w:hAnsi="Times New Roman"/>
          <w:b/>
          <w:bCs/>
          <w:sz w:val="24"/>
          <w:szCs w:val="24"/>
        </w:rPr>
        <w:t xml:space="preserve"> </w:t>
      </w:r>
      <w:r w:rsidRPr="00AE47C6">
        <w:rPr>
          <w:rFonts w:ascii="Times New Roman" w:eastAsia="SimSun" w:hAnsi="Times New Roman"/>
          <w:b/>
          <w:sz w:val="24"/>
          <w:szCs w:val="24"/>
        </w:rPr>
        <w:t>Topiramate 100 mg дн. е най-ефективен.</w:t>
      </w:r>
    </w:p>
    <w:p w14:paraId="59F7B5D0" w14:textId="77777777" w:rsidR="00BE0B19" w:rsidRPr="00AE47C6" w:rsidRDefault="00BE0B19" w:rsidP="00BE0B19">
      <w:pPr>
        <w:numPr>
          <w:ilvl w:val="0"/>
          <w:numId w:val="187"/>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sz w:val="24"/>
          <w:szCs w:val="24"/>
        </w:rPr>
        <w:t xml:space="preserve">Медикаменти на </w:t>
      </w:r>
      <w:r w:rsidRPr="00AE47C6">
        <w:rPr>
          <w:rFonts w:ascii="Times New Roman" w:eastAsia="SimSun" w:hAnsi="Times New Roman"/>
          <w:bCs/>
          <w:sz w:val="24"/>
          <w:szCs w:val="24"/>
        </w:rPr>
        <w:t xml:space="preserve">втори избор </w:t>
      </w:r>
      <w:r w:rsidRPr="00AE47C6">
        <w:rPr>
          <w:rFonts w:ascii="Times New Roman" w:eastAsia="SimSun" w:hAnsi="Times New Roman"/>
          <w:b/>
          <w:bCs/>
          <w:sz w:val="24"/>
          <w:szCs w:val="24"/>
        </w:rPr>
        <w:t>са моноклоналните антитела насочени към</w:t>
      </w:r>
      <w:r w:rsidRPr="00AE47C6">
        <w:rPr>
          <w:rFonts w:ascii="Times New Roman" w:eastAsia="SimSun" w:hAnsi="Times New Roman"/>
          <w:b/>
          <w:sz w:val="24"/>
          <w:szCs w:val="24"/>
        </w:rPr>
        <w:t xml:space="preserve"> </w:t>
      </w:r>
      <w:r w:rsidRPr="00AE47C6">
        <w:rPr>
          <w:rFonts w:ascii="Times New Roman" w:eastAsia="SimSun" w:hAnsi="Times New Roman"/>
          <w:b/>
          <w:bCs/>
          <w:sz w:val="24"/>
          <w:szCs w:val="24"/>
        </w:rPr>
        <w:t>CGRP и ботулинов токсин. Прилагат се при пациенти с хронична мигрена и при пациенти с епизодична мигрена, неповлияващи се от медикаментите на първи избор.</w:t>
      </w:r>
    </w:p>
    <w:p w14:paraId="0F06C32F" w14:textId="77777777" w:rsidR="00BE0B19" w:rsidRPr="00AE47C6" w:rsidRDefault="00BE0B19" w:rsidP="00BE0B19">
      <w:pPr>
        <w:numPr>
          <w:ilvl w:val="0"/>
          <w:numId w:val="187"/>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b/>
          <w:bCs/>
          <w:sz w:val="24"/>
          <w:szCs w:val="24"/>
        </w:rPr>
      </w:pPr>
      <w:r w:rsidRPr="00AE47C6">
        <w:rPr>
          <w:rFonts w:ascii="Times New Roman" w:eastAsia="SimSun" w:hAnsi="Times New Roman"/>
          <w:b/>
          <w:sz w:val="24"/>
          <w:szCs w:val="24"/>
        </w:rPr>
        <w:t xml:space="preserve">Медикамент на </w:t>
      </w:r>
      <w:r w:rsidRPr="00AE47C6">
        <w:rPr>
          <w:rFonts w:ascii="Times New Roman" w:eastAsia="SimSun" w:hAnsi="Times New Roman"/>
          <w:bCs/>
          <w:sz w:val="24"/>
          <w:szCs w:val="24"/>
        </w:rPr>
        <w:t xml:space="preserve">трети избор </w:t>
      </w:r>
      <w:r w:rsidRPr="00AE47C6">
        <w:rPr>
          <w:rFonts w:ascii="Times New Roman" w:eastAsia="SimSun" w:hAnsi="Times New Roman"/>
          <w:b/>
          <w:bCs/>
          <w:sz w:val="24"/>
          <w:szCs w:val="24"/>
        </w:rPr>
        <w:t>е</w:t>
      </w:r>
      <w:r w:rsidRPr="00AE47C6">
        <w:rPr>
          <w:rFonts w:ascii="Times New Roman" w:eastAsia="SimSun" w:hAnsi="Times New Roman"/>
          <w:b/>
          <w:i/>
          <w:iCs/>
          <w:color w:val="141413"/>
          <w:sz w:val="24"/>
          <w:szCs w:val="24"/>
        </w:rPr>
        <w:t xml:space="preserve"> </w:t>
      </w:r>
      <w:r w:rsidRPr="00AE47C6">
        <w:rPr>
          <w:rFonts w:ascii="Times New Roman" w:eastAsia="SimSun" w:hAnsi="Times New Roman"/>
          <w:b/>
          <w:color w:val="141413"/>
          <w:sz w:val="24"/>
          <w:szCs w:val="24"/>
        </w:rPr>
        <w:t>Rimegepant 75 mg приеман през ден.</w:t>
      </w:r>
      <w:r w:rsidRPr="00AE47C6">
        <w:rPr>
          <w:rFonts w:ascii="Times New Roman" w:eastAsia="SimSun" w:hAnsi="Times New Roman"/>
          <w:b/>
          <w:bCs/>
          <w:iCs/>
          <w:sz w:val="24"/>
          <w:szCs w:val="24"/>
        </w:rPr>
        <w:t xml:space="preserve"> Прилага се </w:t>
      </w:r>
      <w:r w:rsidRPr="00AE47C6">
        <w:rPr>
          <w:rFonts w:ascii="Times New Roman" w:eastAsia="SimSun" w:hAnsi="Times New Roman"/>
          <w:b/>
          <w:color w:val="141413"/>
          <w:sz w:val="24"/>
          <w:szCs w:val="24"/>
        </w:rPr>
        <w:t xml:space="preserve">след неуспешна профилактика с поне два класа други медикаменти на втори избор. </w:t>
      </w:r>
      <w:r w:rsidRPr="00AE47C6">
        <w:rPr>
          <w:rFonts w:ascii="Times New Roman" w:eastAsia="SimSun" w:hAnsi="Times New Roman"/>
          <w:b/>
          <w:bCs/>
          <w:iCs/>
          <w:sz w:val="24"/>
          <w:szCs w:val="24"/>
        </w:rPr>
        <w:t>При недостатъчен ефект се прилагат допълнително и невромодулиращи методи.</w:t>
      </w:r>
    </w:p>
    <w:p w14:paraId="117A94A7" w14:textId="77777777" w:rsidR="00BE0B19" w:rsidRPr="00AE47C6" w:rsidRDefault="00BE0B19" w:rsidP="00BE0B19">
      <w:pPr>
        <w:spacing w:line="360" w:lineRule="auto"/>
        <w:ind w:firstLine="720"/>
        <w:jc w:val="both"/>
        <w:rPr>
          <w:rFonts w:ascii="Times New Roman" w:eastAsia="SimSun" w:hAnsi="Times New Roman"/>
          <w:sz w:val="24"/>
          <w:szCs w:val="24"/>
        </w:rPr>
      </w:pPr>
    </w:p>
    <w:p w14:paraId="26A59573" w14:textId="77777777" w:rsidR="00BE0B19" w:rsidRPr="00AE47C6" w:rsidRDefault="00BE0B19" w:rsidP="00BE0B19">
      <w:pPr>
        <w:numPr>
          <w:ilvl w:val="0"/>
          <w:numId w:val="187"/>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Неврологът трябва да преглежда пациента с мигрена два пъти годишно и при всяко влошаване. Пациента трябва да се наблюдава за: </w:t>
      </w:r>
    </w:p>
    <w:p w14:paraId="39631AE5" w14:textId="77777777" w:rsidR="00BE0B19" w:rsidRPr="00AE47C6" w:rsidRDefault="00BE0B19" w:rsidP="00BE0B19">
      <w:pPr>
        <w:numPr>
          <w:ilvl w:val="0"/>
          <w:numId w:val="187"/>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ефект от прилаганото симптоматично лечение</w:t>
      </w:r>
    </w:p>
    <w:p w14:paraId="2A0B8CEC" w14:textId="77777777" w:rsidR="00BE0B19" w:rsidRPr="00AE47C6" w:rsidRDefault="00BE0B19" w:rsidP="00BE0B19">
      <w:pPr>
        <w:numPr>
          <w:ilvl w:val="0"/>
          <w:numId w:val="187"/>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ефект от прилаганото профилактично лечение</w:t>
      </w:r>
    </w:p>
    <w:p w14:paraId="182A0963" w14:textId="77777777" w:rsidR="00BE0B19" w:rsidRPr="00AE47C6" w:rsidRDefault="00BE0B19" w:rsidP="00BE0B19">
      <w:pPr>
        <w:numPr>
          <w:ilvl w:val="0"/>
          <w:numId w:val="187"/>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симптоми на предозиране на терапията</w:t>
      </w:r>
    </w:p>
    <w:p w14:paraId="1FB6D1AA" w14:textId="77777777" w:rsidR="00BE0B19" w:rsidRPr="00AE47C6" w:rsidRDefault="00BE0B19" w:rsidP="00BE0B19">
      <w:pPr>
        <w:numPr>
          <w:ilvl w:val="0"/>
          <w:numId w:val="187"/>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влошаване на симптомите поради недостатъчна доза</w:t>
      </w:r>
    </w:p>
    <w:p w14:paraId="43963129" w14:textId="77777777" w:rsidR="00BE0B19" w:rsidRPr="00AE47C6" w:rsidRDefault="00BE0B19" w:rsidP="00BE0B19">
      <w:pPr>
        <w:numPr>
          <w:ilvl w:val="0"/>
          <w:numId w:val="187"/>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вторично хронифициране</w:t>
      </w:r>
    </w:p>
    <w:p w14:paraId="73E8D9E4" w14:textId="77777777" w:rsidR="00BE0B19" w:rsidRPr="00AE47C6" w:rsidRDefault="00BE0B19" w:rsidP="00BE0B19">
      <w:pPr>
        <w:numPr>
          <w:ilvl w:val="0"/>
          <w:numId w:val="183"/>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При недостатъчен ефект от профилактичното лечение при оптимална доза пациента се насочва за консултация в кабинет или клиника за лечение на болката.</w:t>
      </w:r>
    </w:p>
    <w:p w14:paraId="46FC0487" w14:textId="77777777" w:rsidR="00BE0B19" w:rsidRPr="00AE47C6" w:rsidRDefault="00BE0B19" w:rsidP="00BE0B19">
      <w:pPr>
        <w:numPr>
          <w:ilvl w:val="0"/>
          <w:numId w:val="183"/>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Такава консултация се изисква по спешност при наличие на симптоми за предозиране на терапията. </w:t>
      </w:r>
    </w:p>
    <w:p w14:paraId="4D467CE5" w14:textId="77777777" w:rsidR="00BE0B19" w:rsidRPr="00AE47C6" w:rsidRDefault="00BE0B19" w:rsidP="00BE0B19">
      <w:pPr>
        <w:numPr>
          <w:ilvl w:val="0"/>
          <w:numId w:val="183"/>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Не се допуска изписване на терапия без личен преглед на пациента. </w:t>
      </w:r>
    </w:p>
    <w:p w14:paraId="24322C78" w14:textId="77777777" w:rsidR="00BE0B19" w:rsidRPr="00AE47C6" w:rsidRDefault="00BE0B19" w:rsidP="00BE0B19">
      <w:pPr>
        <w:spacing w:after="0" w:line="360" w:lineRule="auto"/>
        <w:jc w:val="both"/>
        <w:rPr>
          <w:rFonts w:ascii="Times New Roman" w:eastAsia="SimSun" w:hAnsi="Times New Roman"/>
          <w:b/>
          <w:sz w:val="24"/>
          <w:szCs w:val="24"/>
        </w:rPr>
      </w:pPr>
    </w:p>
    <w:p w14:paraId="33E0B1D0"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280" w:name="_Toc155651819"/>
      <w:bookmarkStart w:id="281" w:name="_Toc164075953"/>
      <w:r w:rsidRPr="00AE47C6">
        <w:rPr>
          <w:rFonts w:ascii="Times New Roman" w:eastAsia="SimSun" w:hAnsi="Times New Roman"/>
          <w:b/>
          <w:sz w:val="24"/>
          <w:szCs w:val="24"/>
        </w:rPr>
        <w:t>13.2. Тензионен тип главоболие</w:t>
      </w:r>
      <w:bookmarkEnd w:id="280"/>
      <w:bookmarkEnd w:id="281"/>
    </w:p>
    <w:p w14:paraId="4E125792"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Определение</w:t>
      </w:r>
      <w:r w:rsidRPr="00AE47C6">
        <w:rPr>
          <w:rFonts w:ascii="Times New Roman" w:eastAsia="SimSun" w:hAnsi="Times New Roman"/>
          <w:b/>
          <w:sz w:val="24"/>
          <w:szCs w:val="24"/>
        </w:rPr>
        <w:tab/>
      </w:r>
    </w:p>
    <w:p w14:paraId="30B6622B" w14:textId="77777777" w:rsidR="00BE0B19" w:rsidRPr="00AE47C6" w:rsidRDefault="00BE0B19" w:rsidP="00BE0B19">
      <w:pPr>
        <w:numPr>
          <w:ilvl w:val="0"/>
          <w:numId w:val="197"/>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Тензионният тип главоболие се характеризира с епизоди от главоболие, с продължителност от минути до дни, стягащ или притискащ характер, двустранно, слабо или умерено по интензивност, не се засилва от обичайна ежедневна активност и е придружено с фото и/или фонофобия. </w:t>
      </w:r>
    </w:p>
    <w:p w14:paraId="5FE0D533"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4F5FED9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Патофизиологията</w:t>
      </w:r>
      <w:r w:rsidRPr="00AE47C6">
        <w:rPr>
          <w:rFonts w:ascii="Times New Roman" w:eastAsia="SimSun" w:hAnsi="Times New Roman"/>
          <w:sz w:val="24"/>
          <w:szCs w:val="24"/>
        </w:rPr>
        <w:t xml:space="preserve"> основно е свързана с контракцията на перикраниалните мускули и повишената болкова чувствителност. Дълготрайното мускулно напрежение води до релативна исхемия на контрахирания мускул поради компресия на малките кръвоносни съдове и по-нататъшно засилване на главоболието поради образуване на метаболити  (брадикинин, серотонин, простагландини, млечна киселина) и засилване на болката. Повишената ноцицептивна аферентация от мускулите постъпва към стволовият тригеминален ядрен комплекс, който е основното реле на сензорната информация. Повтарящите се епизоди от главоболие понижават прага за възникване на следващи епизоди чрез промени в миофасциалните тъкани. Вторично намалява активността на антиноцицептивните системи и като краен общ път се активират стволовите ноцицептивни неврони, засилващи болката. По този начин епизодичното главоболие се превръща в хронично и започват да преобладават нарушенията в централните механизми на болката. Нарушава се десцендиращата супраспинална модулация. Палпаторната чувствителност в мускулите се дължи на намален праг за болката и централна сензитизация. </w:t>
      </w:r>
    </w:p>
    <w:p w14:paraId="2E2B1240" w14:textId="77777777" w:rsidR="00BE0B19" w:rsidRPr="00AE47C6" w:rsidRDefault="00BE0B19" w:rsidP="00BE0B19">
      <w:pPr>
        <w:tabs>
          <w:tab w:val="left" w:pos="144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Класифицира се</w:t>
      </w:r>
      <w:r w:rsidRPr="00AE47C6">
        <w:rPr>
          <w:rFonts w:ascii="Times New Roman" w:eastAsia="SimSun" w:hAnsi="Times New Roman"/>
          <w:sz w:val="24"/>
          <w:szCs w:val="24"/>
        </w:rPr>
        <w:t xml:space="preserve"> като епизодично и хронично тензионен тип главоболие. Епизодичното от своя страна може да бъде рядко и често. Главоболието може да бъде или да не бъде свързано с перикраниална чувствителност. </w:t>
      </w:r>
    </w:p>
    <w:p w14:paraId="4567EAE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Клинично </w:t>
      </w:r>
      <w:r w:rsidRPr="00AE47C6">
        <w:rPr>
          <w:rFonts w:ascii="Times New Roman" w:eastAsia="SimSun" w:hAnsi="Times New Roman"/>
          <w:sz w:val="24"/>
          <w:szCs w:val="24"/>
        </w:rPr>
        <w:t xml:space="preserve">протича при 90% от пациентите с леко до умерено постоянно главоболие. Главоболието е двустранно, особено при жените, при 20% до 55% от пациентите то е едностранно. Болката е пулсираща (при 65%) или притискаща. Продължителността на всеки пристъп от главоболие е много различна (средно 12 часа), за разлика от мигренният пристъп. Характерна е локализацията на болката в различни мускули при всеки пристъп, както и различната интензивност на болката. Ремисиите между отделните пристъпи могат да бъдат дълготрайни за разлика от мигрената. Около 10% от пациентите се събуждат през нощта (между 1 и 4 часа) от болка. В някои случаи главоболието е най-силно в края на деня във връзка с нарастващия стрес през работния ден. </w:t>
      </w:r>
    </w:p>
    <w:p w14:paraId="3EAB8EF6"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Диагнозата се </w:t>
      </w:r>
      <w:r w:rsidRPr="00AE47C6">
        <w:rPr>
          <w:rFonts w:ascii="Times New Roman" w:eastAsia="SimSun" w:hAnsi="Times New Roman"/>
          <w:sz w:val="24"/>
          <w:szCs w:val="24"/>
        </w:rPr>
        <w:t xml:space="preserve">поставя въз основа на клинични критерии. </w:t>
      </w:r>
    </w:p>
    <w:p w14:paraId="5698548C" w14:textId="77777777" w:rsidR="00BE0B19" w:rsidRPr="00AE47C6" w:rsidRDefault="00BE0B19" w:rsidP="00BE0B19">
      <w:pPr>
        <w:keepNext/>
        <w:keepLines/>
        <w:widowControl w:val="0"/>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Диагностични критерии за рядко епизодично тензионен тип главоболие:</w:t>
      </w:r>
    </w:p>
    <w:p w14:paraId="2CF06F4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1. Наличие на поне 10 епизоди от главоболие, възникващи до един път месечно (под 12 дни в годината) и изпълняващо критерии 2-4.</w:t>
      </w:r>
    </w:p>
    <w:p w14:paraId="1EE8D5C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2. Главоболие продължаващо от 30 минути до 7 дни.</w:t>
      </w:r>
    </w:p>
    <w:p w14:paraId="655DD98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3. Наличие на поне две от следните характеристики на болката:</w:t>
      </w:r>
    </w:p>
    <w:p w14:paraId="5C6E1C21"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Двустранна локализация</w:t>
      </w:r>
    </w:p>
    <w:p w14:paraId="0739F7E8"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Притискаща или стягаща (не пулсираща) характеристика на болката</w:t>
      </w:r>
    </w:p>
    <w:p w14:paraId="55E8318F"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Слаба или умерена интензивност</w:t>
      </w:r>
    </w:p>
    <w:p w14:paraId="47C21038"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Липса на засилване на болката от рутинна физическа активност, като ходене или изкачване по стълби </w:t>
      </w:r>
    </w:p>
    <w:p w14:paraId="7AF502F1" w14:textId="77777777" w:rsidR="00BE0B19" w:rsidRPr="00AE47C6" w:rsidRDefault="00BE0B19" w:rsidP="00BE0B19">
      <w:pPr>
        <w:spacing w:after="0" w:line="360" w:lineRule="auto"/>
        <w:ind w:left="851"/>
        <w:jc w:val="both"/>
        <w:rPr>
          <w:rFonts w:ascii="Times New Roman" w:eastAsia="SimSun" w:hAnsi="Times New Roman"/>
          <w:sz w:val="24"/>
          <w:szCs w:val="24"/>
        </w:rPr>
      </w:pPr>
      <w:r w:rsidRPr="00AE47C6">
        <w:rPr>
          <w:rFonts w:ascii="Times New Roman" w:eastAsia="SimSun" w:hAnsi="Times New Roman"/>
          <w:sz w:val="24"/>
          <w:szCs w:val="24"/>
        </w:rPr>
        <w:t>4. Наличие на следните две условия:</w:t>
      </w:r>
    </w:p>
    <w:p w14:paraId="247EC626"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Липса на гадене или повръщане </w:t>
      </w:r>
    </w:p>
    <w:p w14:paraId="2E84572E" w14:textId="77777777" w:rsidR="00BE0B19" w:rsidRPr="00AE47C6" w:rsidRDefault="00BE0B19" w:rsidP="00BE0B19">
      <w:pPr>
        <w:numPr>
          <w:ilvl w:val="0"/>
          <w:numId w:val="194"/>
        </w:numPr>
        <w:tabs>
          <w:tab w:val="left" w:pos="1440"/>
          <w:tab w:val="left" w:pos="1800"/>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Липса едновременно на фотофобия и фонофобия, но само един от двата симптома може да е налице.</w:t>
      </w:r>
    </w:p>
    <w:p w14:paraId="26113C1B" w14:textId="77777777" w:rsidR="00BE0B19" w:rsidRPr="00AE47C6" w:rsidRDefault="00BE0B19" w:rsidP="00BE0B19">
      <w:pPr>
        <w:spacing w:after="0" w:line="360" w:lineRule="auto"/>
        <w:ind w:left="851"/>
        <w:jc w:val="both"/>
        <w:rPr>
          <w:rFonts w:ascii="Times New Roman" w:eastAsia="SimSun" w:hAnsi="Times New Roman"/>
          <w:sz w:val="24"/>
          <w:szCs w:val="24"/>
        </w:rPr>
      </w:pPr>
      <w:r w:rsidRPr="00AE47C6">
        <w:rPr>
          <w:rFonts w:ascii="Times New Roman" w:eastAsia="SimSun" w:hAnsi="Times New Roman"/>
          <w:sz w:val="24"/>
          <w:szCs w:val="24"/>
        </w:rPr>
        <w:t>5. Симптомите не могат да бъдат по-добре обяснени с друг вид главоболие</w:t>
      </w:r>
    </w:p>
    <w:p w14:paraId="7E3B9AB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Критериите за поставяне на диагнозата </w:t>
      </w:r>
      <w:r w:rsidRPr="00AE47C6">
        <w:rPr>
          <w:rFonts w:ascii="Times New Roman" w:eastAsia="SimSun" w:hAnsi="Times New Roman"/>
          <w:b/>
          <w:sz w:val="24"/>
          <w:szCs w:val="24"/>
        </w:rPr>
        <w:t>често епизодично тензионен тип главоболие</w:t>
      </w:r>
      <w:r w:rsidRPr="00AE47C6">
        <w:rPr>
          <w:rFonts w:ascii="Times New Roman" w:eastAsia="SimSun" w:hAnsi="Times New Roman"/>
          <w:sz w:val="24"/>
          <w:szCs w:val="24"/>
        </w:rPr>
        <w:t xml:space="preserve"> са същите, но изискват над 14 дни с главоболие месечно или 12 до 180 дни годишно. </w:t>
      </w:r>
    </w:p>
    <w:p w14:paraId="4FAB668D" w14:textId="77777777" w:rsidR="00BE0B19" w:rsidRPr="00AE47C6" w:rsidRDefault="00BE0B19" w:rsidP="00BE0B19">
      <w:pPr>
        <w:tabs>
          <w:tab w:val="left" w:pos="144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Епизодичното тензионен тип главоболие свързано с перикраниална чувствителност</w:t>
      </w:r>
      <w:r w:rsidRPr="00AE47C6">
        <w:rPr>
          <w:rFonts w:ascii="Times New Roman" w:eastAsia="SimSun" w:hAnsi="Times New Roman"/>
          <w:sz w:val="24"/>
          <w:szCs w:val="24"/>
        </w:rPr>
        <w:t xml:space="preserve"> трябва да отговаря на критериите за епизодично тензионен тип главоболие и да бъде налице повишена чувствителност на перикраниалните мускули при мануална палпация. При </w:t>
      </w:r>
      <w:r w:rsidRPr="00AE47C6">
        <w:rPr>
          <w:rFonts w:ascii="Times New Roman" w:eastAsia="SimSun" w:hAnsi="Times New Roman"/>
          <w:b/>
          <w:sz w:val="24"/>
          <w:szCs w:val="24"/>
        </w:rPr>
        <w:t>главоболието несвързано с перикраниална чувствителност</w:t>
      </w:r>
      <w:r w:rsidRPr="00AE47C6">
        <w:rPr>
          <w:rFonts w:ascii="Times New Roman" w:eastAsia="SimSun" w:hAnsi="Times New Roman"/>
          <w:sz w:val="24"/>
          <w:szCs w:val="24"/>
        </w:rPr>
        <w:t xml:space="preserve"> такава не се установява. </w:t>
      </w:r>
    </w:p>
    <w:p w14:paraId="7D8A03AA" w14:textId="77777777" w:rsidR="00BE0B19" w:rsidRPr="00AE47C6" w:rsidRDefault="00BE0B19" w:rsidP="00BE0B19">
      <w:pPr>
        <w:keepNext/>
        <w:keepLines/>
        <w:widowControl w:val="0"/>
        <w:spacing w:after="0" w:line="360" w:lineRule="auto"/>
        <w:ind w:firstLine="720"/>
        <w:jc w:val="both"/>
        <w:rPr>
          <w:rFonts w:ascii="Times New Roman" w:eastAsia="SimSun" w:hAnsi="Times New Roman"/>
          <w:b/>
          <w:sz w:val="24"/>
          <w:szCs w:val="24"/>
        </w:rPr>
      </w:pPr>
    </w:p>
    <w:p w14:paraId="32BB85CC" w14:textId="77777777" w:rsidR="00BE0B19" w:rsidRPr="00AE47C6" w:rsidRDefault="00BE0B19" w:rsidP="00BE0B19">
      <w:pPr>
        <w:keepNext/>
        <w:keepLines/>
        <w:widowControl w:val="0"/>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Диагностични критерии за хронично тензионен тип главоболие:</w:t>
      </w:r>
    </w:p>
    <w:p w14:paraId="5F08B275" w14:textId="77777777" w:rsidR="00BE0B19" w:rsidRPr="00AE47C6" w:rsidRDefault="00BE0B19" w:rsidP="00BE0B19">
      <w:pPr>
        <w:tabs>
          <w:tab w:val="left" w:pos="144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1. Главоболие възникващо повече от 15 дни месечно (повече от 180 дни в годината) за повече от 3 месеца, изпълняващо критериите 2-4.</w:t>
      </w:r>
    </w:p>
    <w:p w14:paraId="6BB31A0D" w14:textId="77777777" w:rsidR="00BE0B19" w:rsidRPr="00AE47C6" w:rsidRDefault="00BE0B19" w:rsidP="00BE0B19">
      <w:pPr>
        <w:tabs>
          <w:tab w:val="left" w:pos="144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2. Продължаващо часове, дни или непрекъснато</w:t>
      </w:r>
    </w:p>
    <w:p w14:paraId="50FB65F9" w14:textId="77777777" w:rsidR="00BE0B19" w:rsidRPr="00AE47C6" w:rsidRDefault="00BE0B19" w:rsidP="00BE0B19">
      <w:pPr>
        <w:tabs>
          <w:tab w:val="left" w:pos="144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3. Наличие на поне две от следните 4 характеристики на болката:</w:t>
      </w:r>
    </w:p>
    <w:p w14:paraId="5783E808" w14:textId="77777777" w:rsidR="00BE0B19" w:rsidRPr="00AE47C6" w:rsidRDefault="00BE0B19" w:rsidP="00BE0B19">
      <w:pPr>
        <w:numPr>
          <w:ilvl w:val="0"/>
          <w:numId w:val="193"/>
        </w:numPr>
        <w:tabs>
          <w:tab w:val="left" w:pos="1440"/>
        </w:tabs>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sz w:val="24"/>
          <w:szCs w:val="24"/>
        </w:rPr>
        <w:t>Двустранна локализация</w:t>
      </w:r>
    </w:p>
    <w:p w14:paraId="7A696E4B" w14:textId="77777777" w:rsidR="00BE0B19" w:rsidRPr="00AE47C6" w:rsidRDefault="00BE0B19" w:rsidP="00BE0B19">
      <w:pPr>
        <w:numPr>
          <w:ilvl w:val="0"/>
          <w:numId w:val="193"/>
        </w:numPr>
        <w:tabs>
          <w:tab w:val="left" w:pos="1440"/>
        </w:tabs>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sz w:val="24"/>
          <w:szCs w:val="24"/>
        </w:rPr>
        <w:t>Притискащо или стягащо (непулсиращо)</w:t>
      </w:r>
    </w:p>
    <w:p w14:paraId="39B928F6" w14:textId="77777777" w:rsidR="00BE0B19" w:rsidRPr="00AE47C6" w:rsidRDefault="00BE0B19" w:rsidP="00BE0B19">
      <w:pPr>
        <w:numPr>
          <w:ilvl w:val="0"/>
          <w:numId w:val="193"/>
        </w:numPr>
        <w:tabs>
          <w:tab w:val="left" w:pos="1440"/>
        </w:tabs>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sz w:val="24"/>
          <w:szCs w:val="24"/>
        </w:rPr>
        <w:t>Слаба или умерена интензивност</w:t>
      </w:r>
    </w:p>
    <w:p w14:paraId="0F6526A2" w14:textId="77777777" w:rsidR="00BE0B19" w:rsidRPr="00AE47C6" w:rsidRDefault="00BE0B19" w:rsidP="00BE0B19">
      <w:pPr>
        <w:numPr>
          <w:ilvl w:val="0"/>
          <w:numId w:val="193"/>
        </w:numPr>
        <w:tabs>
          <w:tab w:val="left" w:pos="1440"/>
        </w:tabs>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sz w:val="24"/>
          <w:szCs w:val="24"/>
        </w:rPr>
        <w:t xml:space="preserve">Липса на засилване на болката от рутинна физическа активност, като ходене и изкачване по стълби </w:t>
      </w:r>
    </w:p>
    <w:p w14:paraId="3687D058" w14:textId="77777777" w:rsidR="00BE0B19" w:rsidRPr="00AE47C6" w:rsidRDefault="00BE0B19" w:rsidP="00BE0B19">
      <w:pPr>
        <w:tabs>
          <w:tab w:val="left" w:pos="144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4. Наличие на следните две условия:</w:t>
      </w:r>
    </w:p>
    <w:p w14:paraId="1350A25A" w14:textId="77777777" w:rsidR="00BE0B19" w:rsidRPr="00AE47C6" w:rsidRDefault="00BE0B19" w:rsidP="00BE0B19">
      <w:pPr>
        <w:numPr>
          <w:ilvl w:val="0"/>
          <w:numId w:val="193"/>
        </w:numPr>
        <w:tabs>
          <w:tab w:val="left" w:pos="1440"/>
        </w:tabs>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sz w:val="24"/>
          <w:szCs w:val="24"/>
        </w:rPr>
        <w:t>Липсват едновременно фотофобия, фонофобия или леко гадене, но само един от симптомите може да е налице.</w:t>
      </w:r>
    </w:p>
    <w:p w14:paraId="17711D21" w14:textId="77777777" w:rsidR="00BE0B19" w:rsidRPr="00AE47C6" w:rsidRDefault="00BE0B19" w:rsidP="00BE0B19">
      <w:pPr>
        <w:numPr>
          <w:ilvl w:val="0"/>
          <w:numId w:val="193"/>
        </w:numPr>
        <w:tabs>
          <w:tab w:val="left" w:pos="1440"/>
        </w:tabs>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sz w:val="24"/>
          <w:szCs w:val="24"/>
        </w:rPr>
        <w:t xml:space="preserve">Липса на средно или силно по интензитет гадене или повръщане </w:t>
      </w:r>
    </w:p>
    <w:p w14:paraId="69774AEF"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5. Симптомите не могат да бъдат по-добре обяснени с друг вид главоболие </w:t>
      </w:r>
    </w:p>
    <w:p w14:paraId="2082ABC3" w14:textId="77777777" w:rsidR="00BE0B19" w:rsidRPr="00AE47C6" w:rsidRDefault="00BE0B19" w:rsidP="00BE0B19">
      <w:pPr>
        <w:tabs>
          <w:tab w:val="left" w:pos="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Както епизодичния, така и хроничния тип тензионно главоболие може да бъде или да не бъде свързано с перикраниална чувствителност, установена чрез мануална палпация.</w:t>
      </w:r>
    </w:p>
    <w:p w14:paraId="500411C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Диагностичните методи </w:t>
      </w:r>
      <w:r w:rsidRPr="00AE47C6">
        <w:rPr>
          <w:rFonts w:ascii="Times New Roman" w:eastAsia="SimSun" w:hAnsi="Times New Roman"/>
          <w:sz w:val="24"/>
          <w:szCs w:val="24"/>
        </w:rPr>
        <w:t xml:space="preserve">включват мануална палпация на перикраниалните мускули. При тензионното главоболие по-често се налагат различни изследвания и консултации, отколкото при другите видове първично главоболие, защото то по-трудно се отдиференцира от вторичните главоболия. </w:t>
      </w:r>
    </w:p>
    <w:p w14:paraId="472A28FA" w14:textId="77777777" w:rsidR="00BE0B19" w:rsidRPr="00AE47C6" w:rsidRDefault="00BE0B19" w:rsidP="00BE0B19">
      <w:pPr>
        <w:numPr>
          <w:ilvl w:val="0"/>
          <w:numId w:val="187"/>
        </w:numPr>
        <w:spacing w:after="0" w:line="360" w:lineRule="auto"/>
        <w:ind w:left="567" w:firstLine="720"/>
        <w:jc w:val="both"/>
        <w:rPr>
          <w:rFonts w:ascii="Times New Roman" w:eastAsia="SimSun" w:hAnsi="Times New Roman"/>
          <w:sz w:val="24"/>
          <w:szCs w:val="24"/>
        </w:rPr>
      </w:pPr>
      <w:r w:rsidRPr="00AE47C6">
        <w:rPr>
          <w:rFonts w:ascii="Times New Roman" w:eastAsia="SimSun" w:hAnsi="Times New Roman"/>
          <w:sz w:val="24"/>
          <w:szCs w:val="24"/>
        </w:rPr>
        <w:t>Палпация на перикраниалните мускули (m. frontalis, m. temporalis, m. trapezius, mm. pterygoideus lateralis и medialis, m. masseter, m. sternocleidomastoideus) за търсене на палпаторна болезненост, която потвърждава диагнозата. Често се намират повишена чувствителност и напрегнатост и на паравертебралните мускули в областта на шията и гърба. Трябва да се палпират и залавните места на мускулите. Палпацията се извършва симетрично и системно с малки ротационни движения на втория и третия пръст на ръката. При палпацията се обръща внимание не само на палпаторната болезненост, но и на повишения тонус и променената консистенция на мускула, както и на тяхната симетричност. Палпаторната болезненост и промененият мускулен тонус се намират и извън периодите на главоболие. Често в мускулите се намират и болезнени възелчета. Палпаторната болезненост извън пристъпа е най-силно изразена при болни с хронично главоболие.</w:t>
      </w:r>
    </w:p>
    <w:p w14:paraId="3772CF12" w14:textId="77777777" w:rsidR="00BE0B19" w:rsidRPr="00AE47C6" w:rsidRDefault="00BE0B19" w:rsidP="00BE0B19">
      <w:pPr>
        <w:numPr>
          <w:ilvl w:val="0"/>
          <w:numId w:val="187"/>
        </w:numPr>
        <w:spacing w:after="0" w:line="360" w:lineRule="auto"/>
        <w:ind w:left="567" w:firstLine="720"/>
        <w:jc w:val="both"/>
        <w:rPr>
          <w:rFonts w:ascii="Times New Roman" w:eastAsia="SimSun" w:hAnsi="Times New Roman"/>
          <w:sz w:val="24"/>
          <w:szCs w:val="24"/>
        </w:rPr>
      </w:pPr>
      <w:r w:rsidRPr="00AE47C6">
        <w:rPr>
          <w:rFonts w:ascii="Times New Roman" w:eastAsia="SimSun" w:hAnsi="Times New Roman"/>
          <w:sz w:val="24"/>
          <w:szCs w:val="24"/>
        </w:rPr>
        <w:t>Полезен диагностичен метод може да бъде приемът на алкохол, който потиска тензионния тип главоболие, а засилва мигрената.</w:t>
      </w:r>
    </w:p>
    <w:p w14:paraId="4A7EAD9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Диференциалната диагноза</w:t>
      </w:r>
      <w:r w:rsidRPr="00AE47C6">
        <w:rPr>
          <w:rFonts w:ascii="Times New Roman" w:eastAsia="SimSun" w:hAnsi="Times New Roman"/>
          <w:sz w:val="24"/>
          <w:szCs w:val="24"/>
        </w:rPr>
        <w:t xml:space="preserve">, както при всички видове главоболие включва на първо място отдиференциране на първичното от вторично главоболие. </w:t>
      </w:r>
    </w:p>
    <w:p w14:paraId="78D77C8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Вторично главоболие</w:t>
      </w:r>
      <w:r w:rsidRPr="00AE47C6">
        <w:rPr>
          <w:rFonts w:ascii="Times New Roman" w:eastAsia="SimSun" w:hAnsi="Times New Roman"/>
          <w:sz w:val="24"/>
          <w:szCs w:val="24"/>
        </w:rPr>
        <w:t xml:space="preserve">, сходно на тензионното може да се получи вследствие на травма на главата, мозъчносъдово заболяване, несъдово интракраниално нарушение, прием на субстанции и прекъсване на тяхното приемане, извънмозъчни инфекции, метаболитни нарушения, увреждания на черепа, врата, очите, ушите, носа, синусите, зъбите, устата, или други лицеви или черепни структури. От вторичните главоболия най-често се налага диференциална диагноза с главоболието при съдови заболявания на нервната система и при процеси стесняващи вътречерепното пространство. Трябва да се отдиференцират цервикогенно главоболие и темпорален артериит (по-чести след 50 годишна възраст), както и дисфункция на темпоромандибуларната става. </w:t>
      </w:r>
    </w:p>
    <w:p w14:paraId="7DD264F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Диференциалната диагноза с </w:t>
      </w:r>
      <w:r w:rsidRPr="00AE47C6">
        <w:rPr>
          <w:rFonts w:ascii="Times New Roman" w:eastAsia="SimSun" w:hAnsi="Times New Roman"/>
          <w:i/>
          <w:sz w:val="24"/>
          <w:szCs w:val="24"/>
        </w:rPr>
        <w:t>мигрена</w:t>
      </w:r>
      <w:r w:rsidRPr="00AE47C6">
        <w:rPr>
          <w:rFonts w:ascii="Times New Roman" w:eastAsia="SimSun" w:hAnsi="Times New Roman"/>
          <w:sz w:val="24"/>
          <w:szCs w:val="24"/>
        </w:rPr>
        <w:t xml:space="preserve"> без аура се основава на по-кратката продължителност и епизодичността на мигренните пристъпи. При мигренния пристъп силата на главоболието нараства бързо, докато при тензионния тип главоболие болката се засилва бавно. При мигренните пристъпи локализацията на болката обикновено е стереотипна, докато тензионното главоболие при всеки пристъп може да ангажира различни мускулни групи. Тензионният тип главоболие се появява по време на стрес или при очакване на неприятни събития, докато мигренният пристъп се развива след стреса. Физическата активност не засилва тензионния тип главоболие, но засилва мигрената. Пациентите с тензионен тип главоболие обикновено не прекратяват активността си по време на главоболието, за разлика от болните с мигрена, които се стремят да се уединят в тихо и тъмно помещение, и да не се движат. Гаденето и фотофобията са по-изразени при мигренното главоболие и повръщане обикновено не се наблюдава при тензионния тип главоболие. По-трудна е диференциалната диагноза при трансформирана (хронична) мигрена, където трябва да се разчита на анамнестичните данни за типични мигренни пристъпи в по-ранна възраст.</w:t>
      </w:r>
    </w:p>
    <w:p w14:paraId="0B77807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Диференциалната диагноза с </w:t>
      </w:r>
      <w:r w:rsidRPr="00AE47C6">
        <w:rPr>
          <w:rFonts w:ascii="Times New Roman" w:eastAsia="SimSun" w:hAnsi="Times New Roman"/>
          <w:i/>
          <w:sz w:val="24"/>
          <w:szCs w:val="24"/>
        </w:rPr>
        <w:t>кластърно главоболие</w:t>
      </w:r>
      <w:r w:rsidRPr="00AE47C6">
        <w:rPr>
          <w:rFonts w:ascii="Times New Roman" w:eastAsia="SimSun" w:hAnsi="Times New Roman"/>
          <w:sz w:val="24"/>
          <w:szCs w:val="24"/>
        </w:rPr>
        <w:t xml:space="preserve"> не е трудна, тъй като това главоболие, което засяга по-често мъжете е много силно, локално, получаващо се всеки ден и по-няколко пъти на ден, и е придружено от автономни симптоми. Пациентите са ажитирани по време на пристъп.</w:t>
      </w:r>
    </w:p>
    <w:p w14:paraId="0287318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Лечение</w:t>
      </w:r>
    </w:p>
    <w:p w14:paraId="17834CDA" w14:textId="77777777" w:rsidR="00BE0B19" w:rsidRPr="00AE47C6" w:rsidRDefault="00BE0B19" w:rsidP="00BE0B19">
      <w:pPr>
        <w:spacing w:after="0" w:line="360" w:lineRule="auto"/>
        <w:ind w:firstLine="720"/>
        <w:jc w:val="both"/>
        <w:rPr>
          <w:rFonts w:ascii="Times New Roman" w:eastAsia="SimSun" w:hAnsi="Times New Roman"/>
          <w:b/>
          <w:i/>
          <w:sz w:val="24"/>
          <w:szCs w:val="24"/>
        </w:rPr>
      </w:pPr>
      <w:r w:rsidRPr="00AE47C6">
        <w:rPr>
          <w:rFonts w:ascii="Times New Roman" w:eastAsia="SimSun" w:hAnsi="Times New Roman"/>
          <w:b/>
          <w:i/>
          <w:sz w:val="24"/>
          <w:szCs w:val="24"/>
        </w:rPr>
        <w:t>1. Нефармакологично лечение</w:t>
      </w:r>
    </w:p>
    <w:p w14:paraId="23280E02"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sz w:val="24"/>
          <w:szCs w:val="24"/>
        </w:rPr>
        <w:t>Психологично лечение</w:t>
      </w:r>
      <w:r w:rsidRPr="00AE47C6">
        <w:rPr>
          <w:rFonts w:ascii="Times New Roman" w:eastAsia="SimSun" w:hAnsi="Times New Roman"/>
          <w:sz w:val="24"/>
          <w:szCs w:val="24"/>
        </w:rPr>
        <w:t xml:space="preserve"> – включва различни форми на индивидуална и групова психотерапия, поведенческа терапия и хипноза. Прилагането му е уместно при данни за тревожност.</w:t>
      </w:r>
    </w:p>
    <w:p w14:paraId="52AE1FCB"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sz w:val="24"/>
          <w:szCs w:val="24"/>
        </w:rPr>
        <w:t>Физиологично лечение</w:t>
      </w:r>
    </w:p>
    <w:p w14:paraId="7D068A01"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sz w:val="24"/>
          <w:szCs w:val="24"/>
        </w:rPr>
        <w:t>Прогресивна мускулна релаксация</w:t>
      </w:r>
    </w:p>
    <w:p w14:paraId="7EE951B4"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sz w:val="24"/>
          <w:szCs w:val="24"/>
        </w:rPr>
        <w:t xml:space="preserve">Електромиографски биофийдбек от фронталните и темпорални мускули. </w:t>
      </w:r>
    </w:p>
    <w:p w14:paraId="57F064A5"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sz w:val="24"/>
          <w:szCs w:val="24"/>
        </w:rPr>
        <w:t>Акупунктура, акупресура, автоакупресура в областта на врата, непосредствено под окципиталната кост, до горната част на processus mastoideus.</w:t>
      </w:r>
    </w:p>
    <w:p w14:paraId="3C51EA54"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sz w:val="24"/>
          <w:szCs w:val="24"/>
        </w:rPr>
        <w:t xml:space="preserve">Масаж </w:t>
      </w:r>
    </w:p>
    <w:p w14:paraId="2D9770EF"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sz w:val="24"/>
          <w:szCs w:val="24"/>
        </w:rPr>
        <w:t>Криотерапия</w:t>
      </w:r>
    </w:p>
    <w:p w14:paraId="25D44131" w14:textId="77777777" w:rsidR="00BE0B19" w:rsidRPr="00AE47C6" w:rsidRDefault="00BE0B19" w:rsidP="00BE0B19">
      <w:pPr>
        <w:numPr>
          <w:ilvl w:val="0"/>
          <w:numId w:val="187"/>
        </w:numPr>
        <w:spacing w:after="0" w:line="360" w:lineRule="auto"/>
        <w:ind w:left="851" w:firstLine="720"/>
        <w:jc w:val="both"/>
        <w:rPr>
          <w:rFonts w:ascii="Times New Roman" w:eastAsia="SimSun" w:hAnsi="Times New Roman"/>
          <w:sz w:val="24"/>
          <w:szCs w:val="24"/>
        </w:rPr>
      </w:pPr>
      <w:r w:rsidRPr="00AE47C6">
        <w:rPr>
          <w:rFonts w:ascii="Times New Roman" w:eastAsia="SimSun" w:hAnsi="Times New Roman"/>
          <w:sz w:val="24"/>
          <w:szCs w:val="24"/>
        </w:rPr>
        <w:t>Транскутанна електро-невро стимулация</w:t>
      </w:r>
    </w:p>
    <w:p w14:paraId="5AD5A966"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51D09B86" w14:textId="77777777" w:rsidR="00BE0B19" w:rsidRPr="00AE47C6" w:rsidRDefault="00BE0B19" w:rsidP="00BE0B19">
      <w:pPr>
        <w:spacing w:after="0" w:line="360" w:lineRule="auto"/>
        <w:ind w:firstLine="720"/>
        <w:jc w:val="both"/>
        <w:rPr>
          <w:rFonts w:ascii="Times New Roman" w:eastAsia="SimSun" w:hAnsi="Times New Roman"/>
          <w:b/>
          <w:i/>
          <w:sz w:val="24"/>
          <w:szCs w:val="24"/>
        </w:rPr>
      </w:pPr>
      <w:r w:rsidRPr="00AE47C6">
        <w:rPr>
          <w:rFonts w:ascii="Times New Roman" w:eastAsia="SimSun" w:hAnsi="Times New Roman"/>
          <w:b/>
          <w:i/>
          <w:sz w:val="24"/>
          <w:szCs w:val="24"/>
        </w:rPr>
        <w:t>2. Фармакологично лечение</w:t>
      </w:r>
    </w:p>
    <w:p w14:paraId="4AEB4BFB" w14:textId="77777777" w:rsidR="00BE0B19" w:rsidRPr="00AE47C6" w:rsidRDefault="00BE0B19" w:rsidP="00BE0B19">
      <w:pPr>
        <w:spacing w:after="0" w:line="360" w:lineRule="auto"/>
        <w:ind w:firstLine="720"/>
        <w:jc w:val="both"/>
        <w:rPr>
          <w:rFonts w:ascii="Times New Roman" w:eastAsia="SimSun" w:hAnsi="Times New Roman"/>
          <w:i/>
          <w:sz w:val="24"/>
          <w:szCs w:val="24"/>
        </w:rPr>
      </w:pPr>
      <w:r w:rsidRPr="00AE47C6">
        <w:rPr>
          <w:rFonts w:ascii="Times New Roman" w:eastAsia="SimSun" w:hAnsi="Times New Roman"/>
          <w:i/>
          <w:sz w:val="24"/>
          <w:szCs w:val="24"/>
        </w:rPr>
        <w:t>Епизодично тензионно главоболие</w:t>
      </w:r>
    </w:p>
    <w:p w14:paraId="3FCEB00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Не всеки пристъп от главоболие е достатъчно силен, за да се нуждае от лечение. Аналгетиците не повлияват главоболието и аналгетичните комбинации водят до развитие на главоболие вследствие на злоупотреба с медикаменти. Прилагат се нестероидни противовъзпалителни средства, най-често:</w:t>
      </w:r>
    </w:p>
    <w:p w14:paraId="7743E032"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b/>
          <w:sz w:val="24"/>
          <w:szCs w:val="24"/>
        </w:rPr>
      </w:pPr>
      <w:r w:rsidRPr="00AE47C6">
        <w:rPr>
          <w:rFonts w:ascii="Times New Roman" w:eastAsia="SimSun" w:hAnsi="Times New Roman"/>
          <w:i/>
          <w:sz w:val="24"/>
          <w:szCs w:val="24"/>
        </w:rPr>
        <w:t>Paracetamol</w:t>
      </w:r>
      <w:r w:rsidRPr="00AE47C6">
        <w:rPr>
          <w:rFonts w:ascii="Times New Roman" w:eastAsia="SimSun" w:hAnsi="Times New Roman"/>
          <w:sz w:val="24"/>
          <w:szCs w:val="24"/>
        </w:rPr>
        <w:t xml:space="preserve"> 1 g дневно еднократно </w:t>
      </w:r>
    </w:p>
    <w:p w14:paraId="01FCCE56" w14:textId="77777777" w:rsidR="00BE0B19" w:rsidRPr="00AE47C6" w:rsidRDefault="00BE0B19" w:rsidP="00BE0B19">
      <w:pPr>
        <w:numPr>
          <w:ilvl w:val="0"/>
          <w:numId w:val="187"/>
        </w:numPr>
        <w:spacing w:after="0" w:line="360" w:lineRule="auto"/>
        <w:ind w:left="720"/>
        <w:jc w:val="both"/>
        <w:rPr>
          <w:rFonts w:ascii="Times New Roman" w:eastAsia="SimSun" w:hAnsi="Times New Roman"/>
          <w:sz w:val="24"/>
          <w:szCs w:val="24"/>
        </w:rPr>
      </w:pPr>
      <w:r w:rsidRPr="00AE47C6">
        <w:rPr>
          <w:rFonts w:ascii="Times New Roman" w:eastAsia="SimSun" w:hAnsi="Times New Roman"/>
          <w:i/>
          <w:sz w:val="24"/>
          <w:szCs w:val="24"/>
          <w:lang w:val="en-US"/>
        </w:rPr>
        <w:t xml:space="preserve">  </w:t>
      </w:r>
      <w:r w:rsidRPr="00AE47C6">
        <w:rPr>
          <w:rFonts w:ascii="Times New Roman" w:eastAsia="SimSun" w:hAnsi="Times New Roman"/>
          <w:i/>
          <w:sz w:val="24"/>
          <w:szCs w:val="24"/>
        </w:rPr>
        <w:t xml:space="preserve">Acetylsalicylic acid </w:t>
      </w:r>
      <w:r w:rsidRPr="00AE47C6">
        <w:rPr>
          <w:rFonts w:ascii="Times New Roman" w:eastAsia="SimSun" w:hAnsi="Times New Roman"/>
          <w:sz w:val="24"/>
          <w:szCs w:val="24"/>
        </w:rPr>
        <w:t>1000 mg дневно</w:t>
      </w:r>
    </w:p>
    <w:p w14:paraId="5A846992"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b/>
          <w:sz w:val="24"/>
          <w:szCs w:val="24"/>
        </w:rPr>
      </w:pPr>
      <w:r w:rsidRPr="00AE47C6">
        <w:rPr>
          <w:rFonts w:ascii="Times New Roman" w:eastAsia="SimSun" w:hAnsi="Times New Roman"/>
          <w:i/>
          <w:sz w:val="24"/>
          <w:szCs w:val="24"/>
        </w:rPr>
        <w:t>Ibuprofen</w:t>
      </w:r>
      <w:r w:rsidRPr="00AE47C6">
        <w:rPr>
          <w:rFonts w:ascii="Times New Roman" w:eastAsia="SimSun" w:hAnsi="Times New Roman"/>
          <w:sz w:val="24"/>
          <w:szCs w:val="24"/>
        </w:rPr>
        <w:t xml:space="preserve"> 400 до 800 mg дневно</w:t>
      </w:r>
    </w:p>
    <w:p w14:paraId="24D2E5F4"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b/>
          <w:sz w:val="24"/>
          <w:szCs w:val="24"/>
        </w:rPr>
      </w:pPr>
      <w:r w:rsidRPr="00AE47C6">
        <w:rPr>
          <w:rFonts w:ascii="Times New Roman" w:eastAsia="SimSun" w:hAnsi="Times New Roman"/>
          <w:i/>
          <w:sz w:val="24"/>
          <w:szCs w:val="24"/>
        </w:rPr>
        <w:t xml:space="preserve">Naproxen </w:t>
      </w:r>
      <w:r w:rsidRPr="00AE47C6">
        <w:rPr>
          <w:rFonts w:ascii="Times New Roman" w:eastAsia="SimSun" w:hAnsi="Times New Roman"/>
          <w:sz w:val="24"/>
          <w:szCs w:val="24"/>
        </w:rPr>
        <w:t>500 – 1000 mg дневно</w:t>
      </w:r>
    </w:p>
    <w:p w14:paraId="49CC78F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В детска възраст</w:t>
      </w:r>
      <w:r w:rsidRPr="00AE47C6">
        <w:rPr>
          <w:rFonts w:ascii="Times New Roman" w:eastAsia="SimSun" w:hAnsi="Times New Roman"/>
          <w:sz w:val="24"/>
          <w:szCs w:val="24"/>
        </w:rPr>
        <w:t xml:space="preserve"> могат да се прилагат НСПВС (paracetamol, ibuprofen).</w:t>
      </w:r>
    </w:p>
    <w:p w14:paraId="44486AFA" w14:textId="77777777" w:rsidR="00BE0B19" w:rsidRPr="00AE47C6" w:rsidRDefault="00BE0B19" w:rsidP="00BE0B19">
      <w:pPr>
        <w:spacing w:after="0" w:line="360" w:lineRule="auto"/>
        <w:ind w:firstLine="720"/>
        <w:jc w:val="both"/>
        <w:rPr>
          <w:rFonts w:ascii="Times New Roman" w:eastAsia="SimSun" w:hAnsi="Times New Roman"/>
          <w:i/>
          <w:sz w:val="24"/>
          <w:szCs w:val="24"/>
        </w:rPr>
      </w:pPr>
    </w:p>
    <w:p w14:paraId="293CBFD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Хронично тензионно главоболие.</w:t>
      </w:r>
      <w:r w:rsidRPr="00AE47C6">
        <w:rPr>
          <w:rFonts w:ascii="Times New Roman" w:eastAsia="SimSun" w:hAnsi="Times New Roman"/>
          <w:sz w:val="24"/>
          <w:szCs w:val="24"/>
        </w:rPr>
        <w:t xml:space="preserve"> Терапията се прилага в продължение на 1 година, с последващо намаляване на дозите през следващите 3 месеца. </w:t>
      </w:r>
    </w:p>
    <w:p w14:paraId="1A98EF88" w14:textId="77777777" w:rsidR="00BE0B19" w:rsidRPr="00AE47C6" w:rsidRDefault="00BE0B19" w:rsidP="00BE0B19">
      <w:pPr>
        <w:numPr>
          <w:ilvl w:val="0"/>
          <w:numId w:val="187"/>
        </w:numPr>
        <w:tabs>
          <w:tab w:val="left" w:pos="1080"/>
        </w:tabs>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sz w:val="24"/>
          <w:szCs w:val="24"/>
        </w:rPr>
        <w:t>трициклични антидепресанти</w:t>
      </w:r>
      <w:r w:rsidRPr="00AE47C6">
        <w:rPr>
          <w:rFonts w:ascii="Times New Roman" w:eastAsia="SimSun" w:hAnsi="Times New Roman"/>
          <w:sz w:val="24"/>
          <w:szCs w:val="24"/>
        </w:rPr>
        <w:t xml:space="preserve"> – повлияват най-добре главоболието </w:t>
      </w:r>
    </w:p>
    <w:p w14:paraId="7829E601" w14:textId="77777777" w:rsidR="00BE0B19" w:rsidRPr="00AE47C6" w:rsidRDefault="00BE0B19" w:rsidP="00BE0B19">
      <w:pPr>
        <w:numPr>
          <w:ilvl w:val="0"/>
          <w:numId w:val="187"/>
        </w:numPr>
        <w:tabs>
          <w:tab w:val="left" w:pos="1080"/>
        </w:tabs>
        <w:spacing w:after="0" w:line="360" w:lineRule="auto"/>
        <w:ind w:left="720" w:firstLine="720"/>
        <w:jc w:val="both"/>
        <w:rPr>
          <w:rFonts w:ascii="Times New Roman" w:eastAsia="SimSun" w:hAnsi="Times New Roman"/>
          <w:sz w:val="24"/>
          <w:szCs w:val="24"/>
        </w:rPr>
      </w:pPr>
      <w:r w:rsidRPr="00AE47C6">
        <w:rPr>
          <w:rFonts w:ascii="Times New Roman" w:eastAsia="SimSun" w:hAnsi="Times New Roman"/>
          <w:sz w:val="24"/>
          <w:szCs w:val="24"/>
        </w:rPr>
        <w:t xml:space="preserve">amitriptyline 25 до 75 mg вечер. </w:t>
      </w:r>
    </w:p>
    <w:p w14:paraId="7A69BE01" w14:textId="77777777" w:rsidR="00BE0B19" w:rsidRPr="00AE47C6" w:rsidRDefault="00BE0B19" w:rsidP="00BE0B19">
      <w:pPr>
        <w:numPr>
          <w:ilvl w:val="0"/>
          <w:numId w:val="187"/>
        </w:numPr>
        <w:tabs>
          <w:tab w:val="left" w:pos="1080"/>
        </w:tabs>
        <w:spacing w:after="0" w:line="360" w:lineRule="auto"/>
        <w:ind w:left="0" w:firstLine="720"/>
        <w:jc w:val="both"/>
        <w:rPr>
          <w:rFonts w:ascii="Times New Roman" w:eastAsia="SimSun" w:hAnsi="Times New Roman"/>
          <w:b/>
          <w:sz w:val="24"/>
          <w:szCs w:val="24"/>
        </w:rPr>
      </w:pPr>
      <w:r w:rsidRPr="00AE47C6">
        <w:rPr>
          <w:rFonts w:ascii="Times New Roman" w:eastAsia="SimSun" w:hAnsi="Times New Roman"/>
          <w:b/>
          <w:sz w:val="24"/>
          <w:szCs w:val="24"/>
        </w:rPr>
        <w:t>антидепресанти, които повлияват обратния захват на серотонина и норадреналина</w:t>
      </w:r>
    </w:p>
    <w:p w14:paraId="45AB2021" w14:textId="77777777" w:rsidR="00BE0B19" w:rsidRPr="00AE47C6" w:rsidRDefault="00BE0B19" w:rsidP="00BE0B19">
      <w:pPr>
        <w:numPr>
          <w:ilvl w:val="0"/>
          <w:numId w:val="187"/>
        </w:numPr>
        <w:tabs>
          <w:tab w:val="left" w:pos="1080"/>
        </w:tabs>
        <w:spacing w:after="0" w:line="360" w:lineRule="auto"/>
        <w:ind w:left="720" w:firstLine="720"/>
        <w:jc w:val="both"/>
        <w:rPr>
          <w:rFonts w:ascii="Times New Roman" w:eastAsia="SimSun" w:hAnsi="Times New Roman"/>
          <w:sz w:val="24"/>
          <w:szCs w:val="24"/>
        </w:rPr>
      </w:pPr>
      <w:r w:rsidRPr="00AE47C6">
        <w:rPr>
          <w:rFonts w:ascii="Times New Roman" w:eastAsia="SimSun" w:hAnsi="Times New Roman"/>
          <w:i/>
          <w:sz w:val="24"/>
          <w:szCs w:val="24"/>
        </w:rPr>
        <w:t>duloxetine</w:t>
      </w:r>
      <w:r w:rsidRPr="00AE47C6">
        <w:rPr>
          <w:rFonts w:ascii="Times New Roman" w:eastAsia="SimSun" w:hAnsi="Times New Roman"/>
          <w:sz w:val="24"/>
          <w:szCs w:val="24"/>
        </w:rPr>
        <w:t xml:space="preserve"> 30-60 mg дневно</w:t>
      </w:r>
    </w:p>
    <w:p w14:paraId="50FC5DE4" w14:textId="77777777" w:rsidR="00BE0B19" w:rsidRPr="00AE47C6" w:rsidRDefault="00BE0B19" w:rsidP="00BE0B19">
      <w:pPr>
        <w:numPr>
          <w:ilvl w:val="0"/>
          <w:numId w:val="187"/>
        </w:numPr>
        <w:tabs>
          <w:tab w:val="left" w:pos="1080"/>
        </w:tabs>
        <w:spacing w:after="0" w:line="360" w:lineRule="auto"/>
        <w:ind w:left="720" w:firstLine="720"/>
        <w:jc w:val="both"/>
        <w:rPr>
          <w:rFonts w:ascii="Times New Roman" w:eastAsia="SimSun" w:hAnsi="Times New Roman"/>
          <w:sz w:val="24"/>
          <w:szCs w:val="24"/>
        </w:rPr>
      </w:pPr>
      <w:r w:rsidRPr="00AE47C6">
        <w:rPr>
          <w:rFonts w:ascii="Times New Roman" w:eastAsia="SimSun" w:hAnsi="Times New Roman"/>
          <w:i/>
          <w:sz w:val="24"/>
          <w:szCs w:val="24"/>
        </w:rPr>
        <w:t>venlafaxine</w:t>
      </w:r>
      <w:r w:rsidRPr="00AE47C6">
        <w:rPr>
          <w:rFonts w:ascii="Times New Roman" w:eastAsia="SimSun" w:hAnsi="Times New Roman"/>
          <w:sz w:val="24"/>
          <w:szCs w:val="24"/>
        </w:rPr>
        <w:t xml:space="preserve"> 75 – 150 mg дневно</w:t>
      </w:r>
    </w:p>
    <w:p w14:paraId="7CAACDBD" w14:textId="77777777" w:rsidR="00BE0B19" w:rsidRPr="00AE47C6" w:rsidRDefault="00BE0B19" w:rsidP="00BE0B19">
      <w:pPr>
        <w:numPr>
          <w:ilvl w:val="0"/>
          <w:numId w:val="187"/>
        </w:numPr>
        <w:tabs>
          <w:tab w:val="left" w:pos="1080"/>
        </w:tabs>
        <w:spacing w:after="0" w:line="360" w:lineRule="auto"/>
        <w:ind w:left="720" w:firstLine="720"/>
        <w:jc w:val="both"/>
        <w:rPr>
          <w:rFonts w:ascii="Times New Roman" w:eastAsia="SimSun" w:hAnsi="Times New Roman"/>
          <w:sz w:val="24"/>
          <w:szCs w:val="24"/>
        </w:rPr>
      </w:pPr>
      <w:r w:rsidRPr="00AE47C6">
        <w:rPr>
          <w:rFonts w:ascii="Times New Roman" w:eastAsia="SimSun" w:hAnsi="Times New Roman"/>
          <w:i/>
          <w:sz w:val="24"/>
          <w:szCs w:val="24"/>
        </w:rPr>
        <w:t>mirtazapine</w:t>
      </w:r>
      <w:r w:rsidRPr="00AE47C6">
        <w:rPr>
          <w:rFonts w:ascii="Times New Roman" w:eastAsia="SimSun" w:hAnsi="Times New Roman"/>
          <w:sz w:val="24"/>
          <w:szCs w:val="24"/>
        </w:rPr>
        <w:t xml:space="preserve"> 30 mg дневно</w:t>
      </w:r>
    </w:p>
    <w:p w14:paraId="3FA3CAAA" w14:textId="77777777" w:rsidR="00BE0B19" w:rsidRPr="00AE47C6" w:rsidRDefault="00BE0B19" w:rsidP="00BE0B19">
      <w:pPr>
        <w:numPr>
          <w:ilvl w:val="0"/>
          <w:numId w:val="187"/>
        </w:numPr>
        <w:tabs>
          <w:tab w:val="left" w:pos="1080"/>
        </w:tabs>
        <w:spacing w:after="0" w:line="360" w:lineRule="auto"/>
        <w:ind w:left="0" w:firstLine="720"/>
        <w:jc w:val="both"/>
        <w:rPr>
          <w:rFonts w:ascii="Times New Roman" w:eastAsia="SimSun" w:hAnsi="Times New Roman"/>
          <w:b/>
          <w:sz w:val="24"/>
          <w:szCs w:val="24"/>
        </w:rPr>
      </w:pPr>
      <w:r w:rsidRPr="00AE47C6">
        <w:rPr>
          <w:rFonts w:ascii="Times New Roman" w:eastAsia="SimSun" w:hAnsi="Times New Roman"/>
          <w:b/>
          <w:sz w:val="24"/>
          <w:szCs w:val="24"/>
        </w:rPr>
        <w:t>Антидепресантите потискащи обратният захват на серотонина</w:t>
      </w:r>
      <w:r w:rsidRPr="00AE47C6">
        <w:rPr>
          <w:rFonts w:ascii="Times New Roman" w:eastAsia="SimSun" w:hAnsi="Times New Roman"/>
          <w:sz w:val="24"/>
          <w:szCs w:val="24"/>
        </w:rPr>
        <w:t xml:space="preserve"> не са ефективни и предизвикват главоболие като страничен ефект. </w:t>
      </w:r>
    </w:p>
    <w:p w14:paraId="09A2B11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По време на бременност</w:t>
      </w:r>
      <w:r w:rsidRPr="00AE47C6">
        <w:rPr>
          <w:rFonts w:ascii="Times New Roman" w:eastAsia="SimSun" w:hAnsi="Times New Roman"/>
          <w:sz w:val="24"/>
          <w:szCs w:val="24"/>
        </w:rPr>
        <w:t xml:space="preserve"> може да се използва paracetamol през първия триместър и НСПВС през втория и третия триместър.</w:t>
      </w:r>
    </w:p>
    <w:p w14:paraId="41710803" w14:textId="77777777" w:rsidR="00BE0B19" w:rsidRPr="00AE47C6" w:rsidRDefault="00BE0B19" w:rsidP="00BE0B19">
      <w:pPr>
        <w:tabs>
          <w:tab w:val="left" w:pos="1080"/>
        </w:tabs>
        <w:spacing w:after="0" w:line="360" w:lineRule="auto"/>
        <w:ind w:left="720"/>
        <w:jc w:val="both"/>
        <w:rPr>
          <w:rFonts w:ascii="Times New Roman" w:eastAsia="SimSun" w:hAnsi="Times New Roman"/>
          <w:sz w:val="24"/>
          <w:szCs w:val="24"/>
        </w:rPr>
      </w:pPr>
      <w:r w:rsidRPr="00AE47C6">
        <w:rPr>
          <w:rFonts w:ascii="Times New Roman" w:eastAsia="SimSun" w:hAnsi="Times New Roman"/>
          <w:sz w:val="24"/>
          <w:szCs w:val="24"/>
        </w:rPr>
        <w:t>(Фигура 13.2.)</w:t>
      </w:r>
    </w:p>
    <w:p w14:paraId="284D4591" w14:textId="77777777" w:rsidR="00BE0B19" w:rsidRPr="00AE47C6" w:rsidRDefault="00BE0B19" w:rsidP="00BE0B19">
      <w:pPr>
        <w:tabs>
          <w:tab w:val="left" w:pos="1080"/>
        </w:tabs>
        <w:spacing w:after="0" w:line="360" w:lineRule="auto"/>
        <w:jc w:val="both"/>
        <w:rPr>
          <w:rFonts w:ascii="Times New Roman" w:eastAsia="SimSun" w:hAnsi="Times New Roman"/>
          <w:b/>
          <w:sz w:val="24"/>
          <w:szCs w:val="24"/>
        </w:rPr>
      </w:pPr>
      <w:r w:rsidRPr="00AE47C6">
        <w:rPr>
          <w:rFonts w:ascii="Times New Roman" w:eastAsia="SimSun" w:hAnsi="Times New Roman"/>
          <w:noProof/>
          <w:sz w:val="24"/>
          <w:szCs w:val="24"/>
          <w:lang w:eastAsia="bg-BG"/>
        </w:rPr>
        <w:drawing>
          <wp:inline distT="0" distB="0" distL="0" distR="0" wp14:anchorId="378CF7D7" wp14:editId="360CB1BF">
            <wp:extent cx="5968365" cy="6121321"/>
            <wp:effectExtent l="57150" t="0" r="13335" b="13335"/>
            <wp:docPr id="301" name="Diagram 30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2" r:lo="rId163" r:qs="rId164" r:cs="rId165"/>
              </a:graphicData>
            </a:graphic>
          </wp:inline>
        </w:drawing>
      </w:r>
    </w:p>
    <w:p w14:paraId="3772836C" w14:textId="77777777" w:rsidR="00BE0B19" w:rsidRPr="00AE47C6" w:rsidRDefault="00BE0B19" w:rsidP="00BE0B19">
      <w:pPr>
        <w:tabs>
          <w:tab w:val="left" w:pos="1080"/>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Фигура 13.2. Лечение на тензионния тип главоболие</w:t>
      </w:r>
    </w:p>
    <w:p w14:paraId="3F28A578" w14:textId="77777777" w:rsidR="00BE0B19" w:rsidRPr="00AE47C6" w:rsidRDefault="00BE0B19" w:rsidP="00BE0B19">
      <w:pPr>
        <w:tabs>
          <w:tab w:val="left" w:pos="1080"/>
        </w:tabs>
        <w:spacing w:after="0" w:line="360" w:lineRule="auto"/>
        <w:jc w:val="both"/>
        <w:rPr>
          <w:rFonts w:ascii="Times New Roman" w:eastAsia="SimSun" w:hAnsi="Times New Roman"/>
          <w:b/>
          <w:sz w:val="24"/>
          <w:szCs w:val="24"/>
        </w:rPr>
      </w:pPr>
    </w:p>
    <w:p w14:paraId="1560C144" w14:textId="77777777" w:rsidR="00BE0B19" w:rsidRPr="00AE47C6" w:rsidRDefault="00BE0B19" w:rsidP="00BE0B19">
      <w:pPr>
        <w:numPr>
          <w:ilvl w:val="0"/>
          <w:numId w:val="188"/>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Лечението на епизодичното и хронично тензионно главоболие се провежда, след като бъдат изключени всички останали заболявания, които могат да се представят с подобна клинична картина. </w:t>
      </w:r>
    </w:p>
    <w:p w14:paraId="3BE30AEC" w14:textId="77777777" w:rsidR="00BE0B19" w:rsidRPr="00AE47C6" w:rsidRDefault="00BE0B19" w:rsidP="00BE0B19">
      <w:pPr>
        <w:numPr>
          <w:ilvl w:val="0"/>
          <w:numId w:val="188"/>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Не се допуска изписване на терапия без личен преглед на пациента.</w:t>
      </w:r>
    </w:p>
    <w:p w14:paraId="1026C293" w14:textId="77777777" w:rsidR="00BE0B19" w:rsidRPr="00AE47C6" w:rsidRDefault="00BE0B19" w:rsidP="00BE0B19">
      <w:pPr>
        <w:numPr>
          <w:ilvl w:val="0"/>
          <w:numId w:val="188"/>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 xml:space="preserve">При неповлияване от класическите медикаменти, пациента се насочва за консултация в специализиран кабинет или клиника за лечение на болката. Такава консултация се изисква по спешност при наличие на симптоми за предозиране на терапията. </w:t>
      </w:r>
    </w:p>
    <w:p w14:paraId="3A0335C7" w14:textId="77777777" w:rsidR="00BE0B19" w:rsidRPr="00AE47C6" w:rsidRDefault="00BE0B19" w:rsidP="00BE0B19">
      <w:pPr>
        <w:numPr>
          <w:ilvl w:val="0"/>
          <w:numId w:val="188"/>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Пациентът трябва да се наблюдава за:</w:t>
      </w:r>
    </w:p>
    <w:p w14:paraId="2832EBDC" w14:textId="77777777" w:rsidR="00BE0B19" w:rsidRPr="00AE47C6" w:rsidRDefault="00BE0B19" w:rsidP="00BE0B19">
      <w:pPr>
        <w:numPr>
          <w:ilvl w:val="0"/>
          <w:numId w:val="188"/>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ефект от прилаганото лечение</w:t>
      </w:r>
    </w:p>
    <w:p w14:paraId="448F2539" w14:textId="77777777" w:rsidR="00BE0B19" w:rsidRPr="00AE47C6" w:rsidRDefault="00BE0B19" w:rsidP="00BE0B19">
      <w:pPr>
        <w:numPr>
          <w:ilvl w:val="0"/>
          <w:numId w:val="188"/>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развитие на зависимост към даден медикамент</w:t>
      </w:r>
    </w:p>
    <w:p w14:paraId="4293CE6E" w14:textId="77777777" w:rsidR="00BE0B19" w:rsidRPr="00AE47C6" w:rsidRDefault="00BE0B19" w:rsidP="00BE0B19">
      <w:pPr>
        <w:numPr>
          <w:ilvl w:val="0"/>
          <w:numId w:val="188"/>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прояви на свръх дозиране</w:t>
      </w:r>
    </w:p>
    <w:p w14:paraId="3B6319D1" w14:textId="77777777" w:rsidR="00BE0B19" w:rsidRPr="00AE47C6" w:rsidRDefault="00BE0B19" w:rsidP="00BE0B19">
      <w:pPr>
        <w:keepNext/>
        <w:numPr>
          <w:ilvl w:val="12"/>
          <w:numId w:val="0"/>
        </w:numPr>
        <w:tabs>
          <w:tab w:val="left" w:pos="720"/>
        </w:tabs>
        <w:spacing w:before="480" w:after="240" w:line="240" w:lineRule="auto"/>
        <w:outlineLvl w:val="1"/>
        <w:rPr>
          <w:rFonts w:ascii="Times New Roman" w:eastAsia="SimSun" w:hAnsi="Times New Roman"/>
          <w:b/>
          <w:sz w:val="24"/>
          <w:szCs w:val="24"/>
        </w:rPr>
      </w:pPr>
      <w:bookmarkStart w:id="282" w:name="_Toc155651820"/>
      <w:bookmarkStart w:id="283" w:name="_Toc164075954"/>
      <w:r w:rsidRPr="00AE47C6">
        <w:rPr>
          <w:rFonts w:ascii="Times New Roman" w:eastAsia="SimSun" w:hAnsi="Times New Roman"/>
          <w:b/>
          <w:sz w:val="24"/>
          <w:szCs w:val="24"/>
        </w:rPr>
        <w:t>13.3. Тригеминални автономни цефалгии</w:t>
      </w:r>
      <w:bookmarkEnd w:id="282"/>
      <w:bookmarkEnd w:id="283"/>
    </w:p>
    <w:p w14:paraId="63E2482E" w14:textId="77777777" w:rsidR="00BE0B19" w:rsidRPr="00AE47C6" w:rsidRDefault="00BE0B19" w:rsidP="00BE0B19">
      <w:pPr>
        <w:tabs>
          <w:tab w:val="left" w:pos="108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Тази група заболявания има общи клинични характеристика, изразяващи се в едностранно главоболие и изразени краниални парасимпатикови автономни симптоми ипсилатерално на главоболието. Рядко може да се добави и типична мигренна аура.</w:t>
      </w:r>
    </w:p>
    <w:p w14:paraId="7AF80412"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284" w:name="_Toc155651821"/>
      <w:bookmarkStart w:id="285" w:name="_Toc164075955"/>
      <w:r w:rsidRPr="00AE47C6">
        <w:rPr>
          <w:rFonts w:ascii="Times New Roman" w:eastAsia="SimSun" w:hAnsi="Times New Roman"/>
          <w:b/>
          <w:sz w:val="24"/>
          <w:szCs w:val="20"/>
          <w:lang w:eastAsia="ja-JP"/>
        </w:rPr>
        <w:t>13.3.1. Кластърно главоболие</w:t>
      </w:r>
      <w:bookmarkEnd w:id="284"/>
      <w:bookmarkEnd w:id="285"/>
    </w:p>
    <w:p w14:paraId="17C10DF1" w14:textId="77777777" w:rsidR="00BE0B19" w:rsidRPr="00AE47C6" w:rsidRDefault="00BE0B19" w:rsidP="00BE0B19">
      <w:pPr>
        <w:tabs>
          <w:tab w:val="left" w:pos="1080"/>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Определение</w:t>
      </w:r>
      <w:r w:rsidRPr="00AE47C6">
        <w:rPr>
          <w:rFonts w:ascii="Times New Roman" w:eastAsia="SimSun" w:hAnsi="Times New Roman"/>
          <w:b/>
          <w:sz w:val="24"/>
          <w:szCs w:val="24"/>
        </w:rPr>
        <w:tab/>
      </w:r>
    </w:p>
    <w:p w14:paraId="6440A380" w14:textId="77777777" w:rsidR="00BE0B19" w:rsidRPr="00AE47C6" w:rsidRDefault="00BE0B19" w:rsidP="00BE0B19">
      <w:pPr>
        <w:numPr>
          <w:ilvl w:val="0"/>
          <w:numId w:val="195"/>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Манифестира се с пристъпи от силна, строго едностранна болка в орбиталната, супраорбиталната и/или темпоралната област, или във всяка комбинация от тези области, продължаваща от 15 до 180 минути и появяваща се от 1 през ден до 8 пъти дневно. Болката е придружена от ипсилатерални прояви от автономната нервна система (конюнктивална инекция, лакримация, назална конгестия, ринорея, изпотяване на челото или лицето, миоза, птоза и едем на клепача) и ажитираност и неспокойство. </w:t>
      </w:r>
    </w:p>
    <w:p w14:paraId="1ECD543F" w14:textId="77777777" w:rsidR="00BE0B19" w:rsidRPr="00AE47C6" w:rsidRDefault="00BE0B19" w:rsidP="00BE0B19">
      <w:pPr>
        <w:numPr>
          <w:ilvl w:val="0"/>
          <w:numId w:val="195"/>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Пристъпите се появяват на серии продължаващи седмици или месеци (кластърни периоди), разделени от периоди на ремисия продължаващи месеци или години, откъдето идва и името на главоболието. Около 15% от пациентите имат хронични симптоми, без ремисии.</w:t>
      </w:r>
    </w:p>
    <w:p w14:paraId="4625BA32"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3064EAA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Патофизиологията</w:t>
      </w:r>
      <w:r w:rsidRPr="00AE47C6">
        <w:rPr>
          <w:rFonts w:ascii="Times New Roman" w:eastAsia="SimSun" w:hAnsi="Times New Roman"/>
          <w:sz w:val="24"/>
          <w:szCs w:val="24"/>
        </w:rPr>
        <w:t xml:space="preserve"> е свързана с активация на тригемино-васкуларната система и едностранна хиперактивност на ядрото на тригеминалния нерв. Автономните промени се дължат на пароксизмална активност на тригеминалните симпатикови и парасимпатикови ядра, вследствие на активация на тригемино-васкуларната система. Повишената активност на тригеминалната система може да се дължи на намалена потискаща активност от периакведукталното сиво ядро и nucleus raphe magnus или на нарушен контрол от лимбичната система върху ендогенната система за контрол на болката. Циркадната ритмичност на главоболието е свързана с участието на супрахиазмалното ядро и адаптационни промени в хипоталамичните функции.</w:t>
      </w:r>
    </w:p>
    <w:p w14:paraId="2A8BD8DF"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Класификацията</w:t>
      </w:r>
      <w:r w:rsidRPr="00AE47C6">
        <w:rPr>
          <w:rFonts w:ascii="Times New Roman" w:eastAsia="SimSun" w:hAnsi="Times New Roman"/>
          <w:sz w:val="24"/>
          <w:szCs w:val="24"/>
        </w:rPr>
        <w:t xml:space="preserve"> включва основно епизодично и хронично (15%) главоболие. Хроничното главоболие може да възникне de novo или от епизодичния тип. При някои пациенти хроничното главоболие може да премине в епизодично. </w:t>
      </w:r>
    </w:p>
    <w:p w14:paraId="520BBDAD"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Клинично </w:t>
      </w:r>
      <w:r w:rsidRPr="00AE47C6">
        <w:rPr>
          <w:rFonts w:ascii="Times New Roman" w:eastAsia="SimSun" w:hAnsi="Times New Roman"/>
          <w:sz w:val="24"/>
          <w:szCs w:val="24"/>
        </w:rPr>
        <w:t>епизодичното главоболие възниква предимно при млади мъже, между 20 и 40 годишна възраст. Проявява се на периоди с продължителност от 2 седмици до 3 месеца, разделени от дълги периоди (месеци до години) на липса на главоболие. По време на периода пристъпите се появяват от един до няколко пъти (средно 4) дневно, често (при 54%) през нощта пациентът се събужда от болка. При всеки период от пристъпи болката е винаги от една и съща страна, но може да сменя страната си (при 14%) през различните периоди. Тригерните фактори провокират пристъп само по време на периода. Те включват алкохолни напитки, хистамин, стрес и вазодилататори, като nitroglycerin. Хроничното кластърно главоболие е идентично на епизодичното по отношение на пристъпите, но между пристъпните периоди не са по-дълги от 2 седмици и преобладават дневните пристъпи.</w:t>
      </w:r>
    </w:p>
    <w:p w14:paraId="27786772"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Диагнозата</w:t>
      </w:r>
      <w:r w:rsidRPr="00AE47C6">
        <w:rPr>
          <w:rFonts w:ascii="Times New Roman" w:eastAsia="SimSun" w:hAnsi="Times New Roman"/>
          <w:sz w:val="24"/>
          <w:szCs w:val="24"/>
        </w:rPr>
        <w:t xml:space="preserve"> кластърно главоболие изисква то да отговаря на следните </w:t>
      </w:r>
      <w:r w:rsidRPr="00AE47C6">
        <w:rPr>
          <w:rFonts w:ascii="Times New Roman" w:eastAsia="SimSun" w:hAnsi="Times New Roman"/>
          <w:b/>
          <w:sz w:val="24"/>
          <w:szCs w:val="24"/>
        </w:rPr>
        <w:t>критерии:</w:t>
      </w:r>
    </w:p>
    <w:p w14:paraId="512552D6"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1. Наличие на поне 5 пристъпа изпълняващи критериите 2-4.</w:t>
      </w:r>
    </w:p>
    <w:p w14:paraId="1FE7AE1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2. Силна или много силна едностранна болка в орбиталната, супраорбиталната и/или темпорална област с продължителност от 15 до 180 минути без прилагане на лечение.</w:t>
      </w:r>
    </w:p>
    <w:p w14:paraId="160E73B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3. Отговаря на един или два от критериите:</w:t>
      </w:r>
    </w:p>
    <w:p w14:paraId="437AC2C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налице е поне един от симптомите ипсилатерално на главоболието</w:t>
      </w:r>
    </w:p>
    <w:p w14:paraId="578FDB3C" w14:textId="77777777" w:rsidR="00BE0B19" w:rsidRPr="00AE47C6" w:rsidRDefault="00BE0B19" w:rsidP="00BE0B19">
      <w:pPr>
        <w:numPr>
          <w:ilvl w:val="0"/>
          <w:numId w:val="183"/>
        </w:numPr>
        <w:tabs>
          <w:tab w:val="left" w:pos="1080"/>
        </w:tabs>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Конюнктивална инекция и/или лакримация</w:t>
      </w:r>
    </w:p>
    <w:p w14:paraId="44DA5F71" w14:textId="77777777" w:rsidR="00BE0B19" w:rsidRPr="00AE47C6" w:rsidRDefault="00BE0B19" w:rsidP="00BE0B19">
      <w:pPr>
        <w:numPr>
          <w:ilvl w:val="0"/>
          <w:numId w:val="183"/>
        </w:numPr>
        <w:tabs>
          <w:tab w:val="left" w:pos="1080"/>
        </w:tabs>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Назална конгестия и/или ринорея</w:t>
      </w:r>
    </w:p>
    <w:p w14:paraId="088C594E" w14:textId="77777777" w:rsidR="00BE0B19" w:rsidRPr="00AE47C6" w:rsidRDefault="00BE0B19" w:rsidP="00BE0B19">
      <w:pPr>
        <w:numPr>
          <w:ilvl w:val="0"/>
          <w:numId w:val="183"/>
        </w:numPr>
        <w:tabs>
          <w:tab w:val="left" w:pos="1080"/>
        </w:tabs>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Едем на клепача</w:t>
      </w:r>
    </w:p>
    <w:p w14:paraId="0B4AC45B" w14:textId="77777777" w:rsidR="00BE0B19" w:rsidRPr="00AE47C6" w:rsidRDefault="00BE0B19" w:rsidP="00BE0B19">
      <w:pPr>
        <w:numPr>
          <w:ilvl w:val="0"/>
          <w:numId w:val="183"/>
        </w:numPr>
        <w:tabs>
          <w:tab w:val="left" w:pos="1080"/>
        </w:tabs>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Изпотяване на челото или лицето</w:t>
      </w:r>
    </w:p>
    <w:p w14:paraId="4E5B8151" w14:textId="77777777" w:rsidR="00BE0B19" w:rsidRPr="00AE47C6" w:rsidRDefault="00BE0B19" w:rsidP="00BE0B19">
      <w:pPr>
        <w:numPr>
          <w:ilvl w:val="0"/>
          <w:numId w:val="183"/>
        </w:numPr>
        <w:tabs>
          <w:tab w:val="left" w:pos="1080"/>
        </w:tabs>
        <w:spacing w:after="0" w:line="360" w:lineRule="auto"/>
        <w:ind w:left="1080" w:firstLine="720"/>
        <w:jc w:val="both"/>
        <w:rPr>
          <w:rFonts w:ascii="Times New Roman" w:eastAsia="SimSun" w:hAnsi="Times New Roman"/>
          <w:sz w:val="24"/>
          <w:szCs w:val="24"/>
        </w:rPr>
      </w:pPr>
      <w:r w:rsidRPr="00AE47C6">
        <w:rPr>
          <w:rFonts w:ascii="Times New Roman" w:eastAsia="SimSun" w:hAnsi="Times New Roman"/>
          <w:sz w:val="24"/>
          <w:szCs w:val="24"/>
        </w:rPr>
        <w:t>Миоза и/или птоза</w:t>
      </w:r>
    </w:p>
    <w:p w14:paraId="277CEB5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Чувство на неспокойствие или напрежение</w:t>
      </w:r>
    </w:p>
    <w:p w14:paraId="7E5D96E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4. Честотата на пристъпите е от един през ден до 8 дневно. </w:t>
      </w:r>
    </w:p>
    <w:p w14:paraId="67726F5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5. Симптомите не могат да бъдат по-добре обяснени с друг вид главоболие.</w:t>
      </w:r>
    </w:p>
    <w:p w14:paraId="2C260D3C"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p>
    <w:p w14:paraId="4AD68C37"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Епизодичното главоболие</w:t>
      </w:r>
      <w:r w:rsidRPr="00AE47C6">
        <w:rPr>
          <w:rFonts w:ascii="Times New Roman" w:eastAsia="SimSun" w:hAnsi="Times New Roman"/>
          <w:sz w:val="24"/>
          <w:szCs w:val="24"/>
        </w:rPr>
        <w:t xml:space="preserve"> трябва да отговаря на критериите за кластърно главоболие, но да има най-малко 2 кластърни периода продължаващи от 7 до 365 дни и разделени от свободни от болка периоди на ремисия с продължителност над 3 месеца.</w:t>
      </w:r>
    </w:p>
    <w:p w14:paraId="23CDF685"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Хроничното главоболие</w:t>
      </w:r>
      <w:r w:rsidRPr="00AE47C6">
        <w:rPr>
          <w:rFonts w:ascii="Times New Roman" w:eastAsia="SimSun" w:hAnsi="Times New Roman"/>
          <w:sz w:val="24"/>
          <w:szCs w:val="24"/>
        </w:rPr>
        <w:t xml:space="preserve"> трябва да отговаря на критериите за кластърно главоболие, но да има пристъпи, повтарящи се повече от 1 година, без периоди на ремисия или с такива, но по-кратки от 3 месеца. </w:t>
      </w:r>
    </w:p>
    <w:p w14:paraId="2F770C4E" w14:textId="77777777" w:rsidR="00BE0B19" w:rsidRPr="00AE47C6" w:rsidRDefault="00BE0B19" w:rsidP="00BE0B19">
      <w:pPr>
        <w:tabs>
          <w:tab w:val="left" w:pos="720"/>
        </w:tabs>
        <w:spacing w:after="0" w:line="360" w:lineRule="auto"/>
        <w:ind w:firstLine="720"/>
        <w:jc w:val="both"/>
        <w:rPr>
          <w:rFonts w:ascii="Times New Roman" w:eastAsia="SimSun" w:hAnsi="Times New Roman"/>
          <w:bCs/>
          <w:sz w:val="24"/>
          <w:szCs w:val="24"/>
        </w:rPr>
      </w:pPr>
      <w:r w:rsidRPr="00AE47C6">
        <w:rPr>
          <w:rFonts w:ascii="Times New Roman" w:eastAsia="SimSun" w:hAnsi="Times New Roman"/>
          <w:sz w:val="24"/>
          <w:szCs w:val="24"/>
        </w:rPr>
        <w:t xml:space="preserve">Диагностичните методи </w:t>
      </w:r>
      <w:r w:rsidRPr="00AE47C6">
        <w:rPr>
          <w:rFonts w:ascii="Times New Roman" w:eastAsia="SimSun" w:hAnsi="Times New Roman"/>
          <w:bCs/>
          <w:sz w:val="24"/>
          <w:szCs w:val="24"/>
        </w:rPr>
        <w:t>включват диагностичните критерии и фармакологични тестове. Прилагането на nitroglycerine, хистамин или алкохол по време на кластърен период предизвиква типичен пристъп и може да се използва като диагностичен тест.</w:t>
      </w:r>
    </w:p>
    <w:p w14:paraId="051FEAD3" w14:textId="77777777" w:rsidR="00BE0B19" w:rsidRPr="00AE47C6" w:rsidRDefault="00BE0B19" w:rsidP="00BE0B19">
      <w:pPr>
        <w:numPr>
          <w:ilvl w:val="0"/>
          <w:numId w:val="190"/>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sz w:val="24"/>
          <w:szCs w:val="24"/>
        </w:rPr>
        <w:t>Nitroglycerine 1 mg,</w:t>
      </w:r>
      <w:r w:rsidRPr="00AE47C6">
        <w:rPr>
          <w:rFonts w:ascii="Times New Roman" w:eastAsia="SimSun" w:hAnsi="Times New Roman"/>
          <w:sz w:val="24"/>
          <w:szCs w:val="24"/>
        </w:rPr>
        <w:t xml:space="preserve"> приложен сублингвално е най-ефективният провокиращ фактор, който предизвиква типичен пристъп след около 30-50 минути. Трябва да се има  предвид, че след 3-10 минути от приема на медикамента, някои здрави хора също могат да получат двустранно пулсиращо главоболие. Тестът се приема за положителен, ако главоболието, което се провокира е със същата характеристика, както обичайното главоболие. Преди провеждането на теста пациентът трябва да лежи поне около 15 минути. За да се провокира пристъп е необходимо пациентът да не е имал спонтанен пристъп през последните 8 часа и да не е приемал вазоконстрикторни медикаменти през последните 18 часа. Необходимо е и да не е провеждал профилактично лечение. </w:t>
      </w:r>
    </w:p>
    <w:p w14:paraId="34805601" w14:textId="77777777" w:rsidR="00BE0B19" w:rsidRPr="00AE47C6" w:rsidRDefault="00BE0B19" w:rsidP="00BE0B19">
      <w:pPr>
        <w:numPr>
          <w:ilvl w:val="0"/>
          <w:numId w:val="190"/>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sz w:val="24"/>
          <w:szCs w:val="24"/>
        </w:rPr>
        <w:t xml:space="preserve">Подкожно прилагане на 0,3 mg </w:t>
      </w:r>
      <w:r w:rsidRPr="00AE47C6">
        <w:rPr>
          <w:rFonts w:ascii="Times New Roman" w:eastAsia="SimSun" w:hAnsi="Times New Roman"/>
          <w:b/>
          <w:sz w:val="24"/>
          <w:szCs w:val="24"/>
        </w:rPr>
        <w:t>хистамин</w:t>
      </w:r>
      <w:r w:rsidRPr="00AE47C6">
        <w:rPr>
          <w:rFonts w:ascii="Times New Roman" w:eastAsia="SimSun" w:hAnsi="Times New Roman"/>
          <w:sz w:val="24"/>
          <w:szCs w:val="24"/>
        </w:rPr>
        <w:t xml:space="preserve"> предизвиква след 1,5 минути двустранно пулсиращо главоболие за около 5-10 минути при всички хора, като 20-40 минути по-късно се провокира типичен пристъп. </w:t>
      </w:r>
    </w:p>
    <w:p w14:paraId="3A70246D" w14:textId="77777777" w:rsidR="00BE0B19" w:rsidRPr="00AE47C6" w:rsidRDefault="00BE0B19" w:rsidP="00BE0B19">
      <w:pPr>
        <w:numPr>
          <w:ilvl w:val="0"/>
          <w:numId w:val="190"/>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sz w:val="24"/>
          <w:szCs w:val="24"/>
        </w:rPr>
        <w:t>Алкохол</w:t>
      </w:r>
      <w:r w:rsidRPr="00AE47C6">
        <w:rPr>
          <w:rFonts w:ascii="Times New Roman" w:eastAsia="SimSun" w:hAnsi="Times New Roman"/>
          <w:sz w:val="24"/>
          <w:szCs w:val="24"/>
        </w:rPr>
        <w:t xml:space="preserve"> в малки количества е ефективен провокатор при около 50% от пациентите, като предизвиква пристъп след 30-50 минути. </w:t>
      </w:r>
    </w:p>
    <w:p w14:paraId="7B324F0C" w14:textId="77777777" w:rsidR="00BE0B19" w:rsidRPr="00AE47C6" w:rsidRDefault="00BE0B19" w:rsidP="00BE0B19">
      <w:pPr>
        <w:numPr>
          <w:ilvl w:val="0"/>
          <w:numId w:val="190"/>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sz w:val="24"/>
          <w:szCs w:val="24"/>
        </w:rPr>
        <w:t>Прилагането на други диагностични методи няма стойност, освен когато е необходимо да се прави диференциална диагноза с вторично главоболие.</w:t>
      </w:r>
    </w:p>
    <w:p w14:paraId="540F7D5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Диференциалната диагноза</w:t>
      </w:r>
      <w:r w:rsidRPr="00AE47C6">
        <w:rPr>
          <w:rFonts w:ascii="Times New Roman" w:eastAsia="SimSun" w:hAnsi="Times New Roman"/>
          <w:sz w:val="24"/>
          <w:szCs w:val="24"/>
        </w:rPr>
        <w:t xml:space="preserve"> с другите първични главоболия не е трудна, защото пристъпите и ремисиите от кластърно главоболие са много типични.</w:t>
      </w:r>
    </w:p>
    <w:p w14:paraId="71474CF0" w14:textId="77777777" w:rsidR="00BE0B19" w:rsidRPr="00AE47C6" w:rsidRDefault="00BE0B19" w:rsidP="00BE0B19">
      <w:pPr>
        <w:numPr>
          <w:ilvl w:val="0"/>
          <w:numId w:val="191"/>
        </w:numPr>
        <w:spacing w:after="0" w:line="360" w:lineRule="auto"/>
        <w:ind w:left="0" w:firstLine="720"/>
        <w:jc w:val="both"/>
        <w:rPr>
          <w:rFonts w:ascii="Times New Roman" w:eastAsia="SimSun" w:hAnsi="Times New Roman"/>
          <w:b/>
          <w:sz w:val="24"/>
          <w:szCs w:val="24"/>
        </w:rPr>
      </w:pPr>
      <w:r w:rsidRPr="00AE47C6">
        <w:rPr>
          <w:rFonts w:ascii="Times New Roman" w:eastAsia="SimSun" w:hAnsi="Times New Roman"/>
          <w:b/>
          <w:sz w:val="24"/>
          <w:szCs w:val="24"/>
        </w:rPr>
        <w:t>Диференциална диагноза с други типове първично главоболие</w:t>
      </w:r>
    </w:p>
    <w:p w14:paraId="575F7C16"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sz w:val="24"/>
          <w:szCs w:val="24"/>
        </w:rPr>
        <w:t>мигрена без аура</w:t>
      </w:r>
      <w:r w:rsidRPr="00AE47C6">
        <w:rPr>
          <w:rFonts w:ascii="Times New Roman" w:eastAsia="SimSun" w:hAnsi="Times New Roman"/>
          <w:sz w:val="24"/>
          <w:szCs w:val="24"/>
        </w:rPr>
        <w:t xml:space="preserve"> – има по-малка честота на пристъпите и те са с по-голяма продължителност. Нощните мигренни пристъпи се отличават с появата си късно през нощта, обикновено към разсъмване. Има гадене и повръщане, локални неврологични симптоми се появяват рядко.</w:t>
      </w:r>
    </w:p>
    <w:p w14:paraId="05283D39"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sz w:val="24"/>
          <w:szCs w:val="24"/>
        </w:rPr>
        <w:t>хроничната пароксизмална хемикрания</w:t>
      </w:r>
      <w:r w:rsidRPr="00AE47C6">
        <w:rPr>
          <w:rFonts w:ascii="Times New Roman" w:eastAsia="SimSun" w:hAnsi="Times New Roman"/>
          <w:sz w:val="24"/>
          <w:szCs w:val="24"/>
        </w:rPr>
        <w:t xml:space="preserve"> – повлиява се много добре от indomethacin. Пристъпите от хронична пароксизмална хемикрания са по-чести и по-кратки, свързани с по-малко общо неспокойствие и са предимно дневни.</w:t>
      </w:r>
    </w:p>
    <w:p w14:paraId="73C17664" w14:textId="77777777" w:rsidR="00BE0B19" w:rsidRPr="00AE47C6" w:rsidRDefault="00BE0B19" w:rsidP="00BE0B19">
      <w:pPr>
        <w:numPr>
          <w:ilvl w:val="0"/>
          <w:numId w:val="191"/>
        </w:numPr>
        <w:spacing w:after="0" w:line="360" w:lineRule="auto"/>
        <w:ind w:left="0" w:firstLine="720"/>
        <w:jc w:val="both"/>
        <w:rPr>
          <w:rFonts w:ascii="Times New Roman" w:eastAsia="SimSun" w:hAnsi="Times New Roman"/>
          <w:b/>
          <w:sz w:val="24"/>
          <w:szCs w:val="24"/>
        </w:rPr>
      </w:pPr>
      <w:r w:rsidRPr="00AE47C6">
        <w:rPr>
          <w:rFonts w:ascii="Times New Roman" w:eastAsia="SimSun" w:hAnsi="Times New Roman"/>
          <w:b/>
          <w:sz w:val="24"/>
          <w:szCs w:val="24"/>
        </w:rPr>
        <w:t>Диференциална диагноза с различни типове вторично главоболие</w:t>
      </w:r>
    </w:p>
    <w:p w14:paraId="5FE7CD7E"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sz w:val="24"/>
          <w:szCs w:val="24"/>
        </w:rPr>
        <w:t>тригеминална невралгия</w:t>
      </w:r>
      <w:r w:rsidRPr="00AE47C6">
        <w:rPr>
          <w:rFonts w:ascii="Times New Roman" w:eastAsia="SimSun" w:hAnsi="Times New Roman"/>
          <w:sz w:val="24"/>
          <w:szCs w:val="24"/>
        </w:rPr>
        <w:t xml:space="preserve"> – болката прилича на електрически ток и е по-краткотрайна (секунди до минути). Липсват автономни симптоми и периодичност в пристъпите. Рядко са през нощта и могат да се провокират от тригерни зони по лицето.</w:t>
      </w:r>
    </w:p>
    <w:p w14:paraId="5AC33BA8"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sz w:val="24"/>
          <w:szCs w:val="24"/>
        </w:rPr>
        <w:t>темпорален артериит на Horton</w:t>
      </w:r>
      <w:r w:rsidRPr="00AE47C6">
        <w:rPr>
          <w:rFonts w:ascii="Times New Roman" w:eastAsia="SimSun" w:hAnsi="Times New Roman"/>
          <w:sz w:val="24"/>
          <w:szCs w:val="24"/>
        </w:rPr>
        <w:t xml:space="preserve"> – проявява се с едностранна болка, която персистира през целия ден, въпреки че намалява и отслабва. Болката е умерено силна, пареща и е локализирана в областта на темпоралната артерия. Засилва се при дъвчене. Засегнатата артерия е уплътнена и чувствителна при палпация, често не може да се палпира пулса. Диагнозата се потвърждава чрез повишените стойности на СУЕ и намиране на гигантски клетки при биопсия. </w:t>
      </w:r>
    </w:p>
    <w:p w14:paraId="0ED4708E"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sz w:val="24"/>
          <w:szCs w:val="24"/>
        </w:rPr>
        <w:t>синдром на Raeder</w:t>
      </w:r>
      <w:r w:rsidRPr="00AE47C6">
        <w:rPr>
          <w:rFonts w:ascii="Times New Roman" w:eastAsia="SimSun" w:hAnsi="Times New Roman"/>
          <w:sz w:val="24"/>
          <w:szCs w:val="24"/>
        </w:rPr>
        <w:t xml:space="preserve"> – прилича на кластърното главоболие по едностранната болка с локализация около окото и появата на частичен синдром на Horner. Болката обаче е персистираща и докато в началото е силна, през следващите седмици намалява.</w:t>
      </w:r>
    </w:p>
    <w:p w14:paraId="06EEA6DF"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sz w:val="24"/>
          <w:szCs w:val="24"/>
        </w:rPr>
        <w:t>феохромоцитом</w:t>
      </w:r>
      <w:r w:rsidRPr="00AE47C6">
        <w:rPr>
          <w:rFonts w:ascii="Times New Roman" w:eastAsia="SimSun" w:hAnsi="Times New Roman"/>
          <w:sz w:val="24"/>
          <w:szCs w:val="24"/>
        </w:rPr>
        <w:t xml:space="preserve"> – проявява се с двустранно силно парещо главоболие, предимно окципитално, придружено от пребледняване, изпотяване, тахикардия и повишено кръвно налягане. </w:t>
      </w:r>
    </w:p>
    <w:p w14:paraId="0C845DBB"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sz w:val="24"/>
          <w:szCs w:val="24"/>
        </w:rPr>
        <w:t xml:space="preserve">симптоматично кластърно главоболие </w:t>
      </w:r>
      <w:r w:rsidRPr="00AE47C6">
        <w:rPr>
          <w:rFonts w:ascii="Times New Roman" w:eastAsia="SimSun" w:hAnsi="Times New Roman"/>
          <w:sz w:val="24"/>
          <w:szCs w:val="24"/>
        </w:rPr>
        <w:t xml:space="preserve">вследствие на параселарен менингеом, аденом на хипофизата, аневризма на предната комуницираща артерия, артериовенозни малформации и други процеси локализирани в близост до кавернозния синус. </w:t>
      </w:r>
    </w:p>
    <w:p w14:paraId="4D0C828F"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sz w:val="24"/>
          <w:szCs w:val="24"/>
        </w:rPr>
        <w:t>синдром на Tolosa-Hunt</w:t>
      </w:r>
      <w:r w:rsidRPr="00AE47C6">
        <w:rPr>
          <w:rFonts w:ascii="Times New Roman" w:eastAsia="SimSun" w:hAnsi="Times New Roman"/>
          <w:sz w:val="24"/>
          <w:szCs w:val="24"/>
        </w:rPr>
        <w:t xml:space="preserve"> – освен постоянна болка е налице и лезия на един или повече очедвигателни нерви (III, IV, VI). Повлиява се добре от кортикостероиди. </w:t>
      </w:r>
    </w:p>
    <w:p w14:paraId="73F9878E"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sz w:val="24"/>
          <w:szCs w:val="24"/>
        </w:rPr>
        <w:t>глаукомата</w:t>
      </w:r>
      <w:r w:rsidRPr="00AE47C6">
        <w:rPr>
          <w:rFonts w:ascii="Times New Roman" w:eastAsia="SimSun" w:hAnsi="Times New Roman"/>
          <w:sz w:val="24"/>
          <w:szCs w:val="24"/>
        </w:rPr>
        <w:t xml:space="preserve"> и другите очни заболявания също трябва да се имат предвид. Болката при острата глаукома е продължителна и е свързана с нарушение на зрението, разширение на зеницата, фотофобия и повишено вътреочно налягане. По-трудна е диференциалната диагноза с хроничната глаукома, която се характеризира с интермитентна, понякога много силна болка. Корнеитът също може да симулира кластърно главоболие поради едностранната болка, лакримацията, зачервяването на окото и честа поява на болката през нощта, която е с продължителност до 1 час. Болката обаче е твърде локална и често се придружава от блефароспазъм, освен това корнеалната лезия може да се види от очен лекар. Подобна клинична картина се намира и при задния склерит, но болката е по-продължителна.</w:t>
      </w:r>
    </w:p>
    <w:p w14:paraId="46D24A19"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sz w:val="24"/>
          <w:szCs w:val="24"/>
        </w:rPr>
        <w:t xml:space="preserve">когато болката се локализира във венците и челюстта може да възникнат диференциално-диагностични проблеми със </w:t>
      </w:r>
      <w:r w:rsidRPr="00AE47C6">
        <w:rPr>
          <w:rFonts w:ascii="Times New Roman" w:eastAsia="SimSun" w:hAnsi="Times New Roman"/>
          <w:b/>
          <w:sz w:val="24"/>
          <w:szCs w:val="24"/>
        </w:rPr>
        <w:t xml:space="preserve">зъбобол </w:t>
      </w:r>
      <w:r w:rsidRPr="00AE47C6">
        <w:rPr>
          <w:rFonts w:ascii="Times New Roman" w:eastAsia="SimSun" w:hAnsi="Times New Roman"/>
          <w:sz w:val="24"/>
          <w:szCs w:val="24"/>
        </w:rPr>
        <w:t>и други стоматологични заболявания.</w:t>
      </w:r>
    </w:p>
    <w:p w14:paraId="0C717023"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sz w:val="24"/>
          <w:szCs w:val="24"/>
        </w:rPr>
        <w:t xml:space="preserve">понякога се налага диференциална диагноза със </w:t>
      </w:r>
      <w:r w:rsidRPr="00AE47C6">
        <w:rPr>
          <w:rFonts w:ascii="Times New Roman" w:eastAsia="SimSun" w:hAnsi="Times New Roman"/>
          <w:b/>
          <w:sz w:val="24"/>
          <w:szCs w:val="24"/>
        </w:rPr>
        <w:t>синуит</w:t>
      </w:r>
      <w:r w:rsidRPr="00AE47C6">
        <w:rPr>
          <w:rFonts w:ascii="Times New Roman" w:eastAsia="SimSun" w:hAnsi="Times New Roman"/>
          <w:sz w:val="24"/>
          <w:szCs w:val="24"/>
        </w:rPr>
        <w:t>, най-малкото защото някои болни смятат, че след като са налице симптоми от носа, те имат синуит.</w:t>
      </w:r>
    </w:p>
    <w:p w14:paraId="76E79407"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286" w:name="_Toc155651822"/>
      <w:bookmarkStart w:id="287" w:name="_Toc164075956"/>
      <w:r w:rsidRPr="00AE47C6">
        <w:rPr>
          <w:rFonts w:ascii="Times New Roman" w:eastAsia="SimSun" w:hAnsi="Times New Roman"/>
          <w:b/>
          <w:sz w:val="24"/>
          <w:szCs w:val="20"/>
          <w:lang w:eastAsia="ja-JP"/>
        </w:rPr>
        <w:t>13.3.2. Пароксизмална хемикрания</w:t>
      </w:r>
      <w:bookmarkEnd w:id="286"/>
      <w:bookmarkEnd w:id="287"/>
    </w:p>
    <w:p w14:paraId="2D26BBEB"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Определение</w:t>
      </w:r>
    </w:p>
    <w:p w14:paraId="4203E516" w14:textId="77777777" w:rsidR="00BE0B19" w:rsidRPr="00AE47C6" w:rsidRDefault="00BE0B19" w:rsidP="00BE0B19">
      <w:pPr>
        <w:numPr>
          <w:ilvl w:val="0"/>
          <w:numId w:val="196"/>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Пароксизмалната хемикрания протича с пристъпи с характеристика на болката и придружаващите симптоми както при кластърното главоболие, но по-краткотрайни (2-30 минути) и по-чести, повлияващи се напълно от indomethacin.</w:t>
      </w:r>
    </w:p>
    <w:p w14:paraId="2A78581B"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65D8D8D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Болестността</w:t>
      </w:r>
      <w:r w:rsidRPr="00AE47C6">
        <w:rPr>
          <w:rFonts w:ascii="Times New Roman" w:eastAsia="SimSun" w:hAnsi="Times New Roman"/>
          <w:sz w:val="24"/>
          <w:szCs w:val="24"/>
        </w:rPr>
        <w:t xml:space="preserve"> е 1 на 25 000 души население и засяга 3 пъти по-често жени.</w:t>
      </w:r>
    </w:p>
    <w:p w14:paraId="4B04034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Патофизиологията</w:t>
      </w:r>
      <w:r w:rsidRPr="00AE47C6">
        <w:rPr>
          <w:rFonts w:ascii="Times New Roman" w:eastAsia="SimSun" w:hAnsi="Times New Roman"/>
          <w:sz w:val="24"/>
          <w:szCs w:val="24"/>
        </w:rPr>
        <w:t xml:space="preserve"> е както при кластърното главоболие. Приема се като негов вариант.  </w:t>
      </w:r>
    </w:p>
    <w:p w14:paraId="73FDA93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Класифицира се</w:t>
      </w:r>
      <w:r w:rsidRPr="00AE47C6">
        <w:rPr>
          <w:rFonts w:ascii="Times New Roman" w:eastAsia="SimSun" w:hAnsi="Times New Roman"/>
          <w:sz w:val="24"/>
          <w:szCs w:val="24"/>
        </w:rPr>
        <w:t xml:space="preserve"> като епизодична (периоди с ремисии) и хронична форма (без ремисии). Двете форми могат да еволюират една в друга. Описана е вторична форма при артериовенозни малформации, мозъчни аневризми в кръга на Willis, мозъчносъдови инциденти, инфаркти, колагенозни съдови заболявания, тумор на Pancoast, на хипофизата, във фронталния дял, в задна черепна ямка, sella turcica и кавернозния синус, интракраниална хипертензия, тромбоцитемия и след травми.</w:t>
      </w:r>
    </w:p>
    <w:p w14:paraId="655132D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Клинично </w:t>
      </w:r>
      <w:r w:rsidRPr="00AE47C6">
        <w:rPr>
          <w:rFonts w:ascii="Times New Roman" w:eastAsia="SimSun" w:hAnsi="Times New Roman"/>
          <w:sz w:val="24"/>
          <w:szCs w:val="24"/>
        </w:rPr>
        <w:t>се проявява около 34 годишна възраст, но може да започне между 1 и 81 години. Главоболието е много силно, локализира се в окото, фронталната или темпорална област и по-рядко в инфраорбиталната, ушната, мастоидната област или врата. Болката никога не сменя своята страна, пристъпите са по-кратки (15 до 30 минути), на равни интервали, предимно през деня и техният брой е по-голям (от 8 до 16 дневно). Характерна е различната честота и сила на пристъпите през различните дни. За разлика от кластърното главоболие, провокиращи фактори са флексията и ротацията на шията. Главоболието се придружава от краниални автономни симптоми.</w:t>
      </w:r>
    </w:p>
    <w:p w14:paraId="7719359A"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Диагнозата пароксизмална хемикрания</w:t>
      </w:r>
      <w:r w:rsidRPr="00AE47C6">
        <w:rPr>
          <w:rFonts w:ascii="Times New Roman" w:eastAsia="SimSun" w:hAnsi="Times New Roman"/>
          <w:sz w:val="24"/>
          <w:szCs w:val="24"/>
        </w:rPr>
        <w:t xml:space="preserve"> изисква главоболието да отговаря на следните </w:t>
      </w:r>
      <w:r w:rsidRPr="00AE47C6">
        <w:rPr>
          <w:rFonts w:ascii="Times New Roman" w:eastAsia="SimSun" w:hAnsi="Times New Roman"/>
          <w:b/>
          <w:sz w:val="24"/>
          <w:szCs w:val="24"/>
        </w:rPr>
        <w:t>критерии:</w:t>
      </w:r>
    </w:p>
    <w:p w14:paraId="1D2A55A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1. Най-малко 20 пристъпа изпълняващи критериите от 2 до 5.</w:t>
      </w:r>
    </w:p>
    <w:p w14:paraId="7C2583B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2. Пристъпи от силна едностранна орбитална, супраорбитална или темпорална болка, продължаваща 2-30 минути.</w:t>
      </w:r>
    </w:p>
    <w:p w14:paraId="463B1AB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3. Отговаря на един или два от следващите:</w:t>
      </w:r>
    </w:p>
    <w:p w14:paraId="647B9AB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 налице е поне един от симптомите ипсилатерално на главоболието: </w:t>
      </w:r>
    </w:p>
    <w:p w14:paraId="74EA6073" w14:textId="77777777" w:rsidR="00BE0B19" w:rsidRPr="00AE47C6" w:rsidRDefault="00BE0B19" w:rsidP="00BE0B19">
      <w:pPr>
        <w:numPr>
          <w:ilvl w:val="0"/>
          <w:numId w:val="192"/>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Конюнктивална инекция и/или лакримация</w:t>
      </w:r>
    </w:p>
    <w:p w14:paraId="5E83080C" w14:textId="77777777" w:rsidR="00BE0B19" w:rsidRPr="00AE47C6" w:rsidRDefault="00BE0B19" w:rsidP="00BE0B19">
      <w:pPr>
        <w:numPr>
          <w:ilvl w:val="0"/>
          <w:numId w:val="192"/>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Назална конгестия и/или ринорея</w:t>
      </w:r>
    </w:p>
    <w:p w14:paraId="63D8A054" w14:textId="77777777" w:rsidR="00BE0B19" w:rsidRPr="00AE47C6" w:rsidRDefault="00BE0B19" w:rsidP="00BE0B19">
      <w:pPr>
        <w:numPr>
          <w:ilvl w:val="0"/>
          <w:numId w:val="192"/>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Оток на клепача</w:t>
      </w:r>
    </w:p>
    <w:p w14:paraId="088BACE8" w14:textId="77777777" w:rsidR="00BE0B19" w:rsidRPr="00AE47C6" w:rsidRDefault="00BE0B19" w:rsidP="00BE0B19">
      <w:pPr>
        <w:numPr>
          <w:ilvl w:val="0"/>
          <w:numId w:val="192"/>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Изпотяване на челото или на лицето</w:t>
      </w:r>
    </w:p>
    <w:p w14:paraId="7174F374" w14:textId="77777777" w:rsidR="00BE0B19" w:rsidRPr="00AE47C6" w:rsidRDefault="00BE0B19" w:rsidP="00BE0B19">
      <w:pPr>
        <w:numPr>
          <w:ilvl w:val="0"/>
          <w:numId w:val="192"/>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Миоза и/или птоза</w:t>
      </w:r>
    </w:p>
    <w:p w14:paraId="2EACABA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Чувство на неспокойствие или напрежение</w:t>
      </w:r>
    </w:p>
    <w:p w14:paraId="314282C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4. Пристъпите са с честота над 5 пъти на ден</w:t>
      </w:r>
    </w:p>
    <w:p w14:paraId="5FA00D5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5. Пристъпите се повлияват напълно от терапевтични дози indomethacin.</w:t>
      </w:r>
    </w:p>
    <w:p w14:paraId="1A2BD46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6. Симптомите не могат да бъдат по-добре обяснени с друг вид главоболие.</w:t>
      </w:r>
    </w:p>
    <w:p w14:paraId="1E7FAC6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За да бъде изключен непълен терапевтичен отговор indomethacin трябва да се приложи в дози над 150 mg дневно перорално (при необходимост до 225 mg) или 100 – 200 mg инжекционно. </w:t>
      </w:r>
    </w:p>
    <w:p w14:paraId="2305245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Епизодичната пароксизмална хемикрания</w:t>
      </w:r>
      <w:r w:rsidRPr="00AE47C6">
        <w:rPr>
          <w:rFonts w:ascii="Times New Roman" w:eastAsia="SimSun" w:hAnsi="Times New Roman"/>
          <w:sz w:val="24"/>
          <w:szCs w:val="24"/>
        </w:rPr>
        <w:t xml:space="preserve"> трябва да отговаря на критериите за пароксизмална хемикрания и да са налице най-малко 2 периода с продължителност от 7 до 365 дни, разделени от ремисии без болка по-дълги от 3 месеца.</w:t>
      </w:r>
    </w:p>
    <w:p w14:paraId="174EDC7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Хроничната пароксизмална хемикрания</w:t>
      </w:r>
      <w:r w:rsidRPr="00AE47C6">
        <w:rPr>
          <w:rFonts w:ascii="Times New Roman" w:eastAsia="SimSun" w:hAnsi="Times New Roman"/>
          <w:sz w:val="24"/>
          <w:szCs w:val="24"/>
        </w:rPr>
        <w:t xml:space="preserve"> трябва да отговаря на критериите за пароксизмална хемикрания и да са налице пристъпи в  продължение на 1 година без ремисии или с такива, но по-кратки от 3 месеца. </w:t>
      </w:r>
    </w:p>
    <w:p w14:paraId="476BAA8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Диференциалната диагноза</w:t>
      </w:r>
      <w:r w:rsidRPr="00AE47C6">
        <w:rPr>
          <w:rFonts w:ascii="Times New Roman" w:eastAsia="SimSun" w:hAnsi="Times New Roman"/>
          <w:sz w:val="24"/>
          <w:szCs w:val="24"/>
        </w:rPr>
        <w:t xml:space="preserve"> на първо място се прави с вторична (</w:t>
      </w:r>
      <w:r w:rsidRPr="00AE47C6">
        <w:rPr>
          <w:rFonts w:ascii="Times New Roman" w:eastAsia="SimSun" w:hAnsi="Times New Roman"/>
          <w:i/>
          <w:sz w:val="24"/>
          <w:szCs w:val="24"/>
        </w:rPr>
        <w:t>симптоматична</w:t>
      </w:r>
      <w:r w:rsidRPr="00AE47C6">
        <w:rPr>
          <w:rFonts w:ascii="Times New Roman" w:eastAsia="SimSun" w:hAnsi="Times New Roman"/>
          <w:sz w:val="24"/>
          <w:szCs w:val="24"/>
        </w:rPr>
        <w:t>) пароксизмална хемикрания. Тя е относително честа и се предизвиква от патологични процеси с различна локализация. Дори и пациенти с типично клинично протичане и повлияване от indomethacin могат да бъдат симптоматични. Важно е да се отдиференцира и съдово заболяване на мозъка. Това налага МРТ изследване при всеки ново диагностициран пациент, дори и да се повлиява добре от indomethacin. Необходимо е изследване на кръвната картина (тромбоцитемия), хормони на хипофизата, изследване в насока за васкулити и колагенози, лумбална пункция за установяване на интракраниална хипертензия и рентгенография на бял дроб (тумор на Pancoast).</w:t>
      </w:r>
    </w:p>
    <w:p w14:paraId="087AB25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Кластърното главоболие</w:t>
      </w:r>
      <w:r w:rsidRPr="00AE47C6">
        <w:rPr>
          <w:rFonts w:ascii="Times New Roman" w:eastAsia="SimSun" w:hAnsi="Times New Roman"/>
          <w:sz w:val="24"/>
          <w:szCs w:val="24"/>
        </w:rPr>
        <w:t xml:space="preserve"> е следващата важна диференциална диагноза, предвид различното лечение на двата вида главоболие. Двата вида главоболие много си приличат по своето клинично протичане. Честотата на пристъпите при пациентите с пароксизмална хемикрания е по-голяма (6 към 1 пристъпа средно), а продължителността на пристъпите – по-къса (26 към 60 минути средно). Въпреки тези различия желателно е при всички пациенти да се опита ефективността от лечение с indomethacin. </w:t>
      </w:r>
    </w:p>
    <w:p w14:paraId="6618D2F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Hemicrania continua</w:t>
      </w:r>
      <w:r w:rsidRPr="00AE47C6">
        <w:rPr>
          <w:rFonts w:ascii="Times New Roman" w:eastAsia="SimSun" w:hAnsi="Times New Roman"/>
          <w:sz w:val="24"/>
          <w:szCs w:val="24"/>
        </w:rPr>
        <w:t xml:space="preserve"> също се повлиява от indomethacin. Отдиференцирането от пароксизмалната хемикрания, при която има междупристъпна болка е трудно. Отличителни белези са по-слабата междупристъпна болка, отколкото при hemicrania continua. Обострената болка при пароксизмалната хемикрания е по-краткотрайна, но по-силна от тази при hemicrania continua. </w:t>
      </w:r>
    </w:p>
    <w:p w14:paraId="6162A81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SUNCT синдрома не се повлиява от indomethacin.</w:t>
      </w:r>
    </w:p>
    <w:p w14:paraId="20D69FEB"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64C1CAFE"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288" w:name="_Toc155651823"/>
      <w:bookmarkStart w:id="289" w:name="_Toc164075957"/>
      <w:r w:rsidRPr="00AE47C6">
        <w:rPr>
          <w:rFonts w:ascii="Times New Roman" w:eastAsia="SimSun" w:hAnsi="Times New Roman"/>
          <w:b/>
          <w:sz w:val="24"/>
          <w:szCs w:val="20"/>
          <w:lang w:eastAsia="ja-JP"/>
        </w:rPr>
        <w:t>13.3.3. Краткотрайно едностранно невралгиформено главоболие с конюнтивална инекция и сълзотечение (SUNCT)</w:t>
      </w:r>
      <w:bookmarkEnd w:id="288"/>
      <w:bookmarkEnd w:id="289"/>
    </w:p>
    <w:p w14:paraId="79955D31"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Определение</w:t>
      </w:r>
    </w:p>
    <w:p w14:paraId="722528B8" w14:textId="77777777" w:rsidR="00BE0B19" w:rsidRPr="00AE47C6" w:rsidRDefault="00BE0B19" w:rsidP="00BE0B19">
      <w:pPr>
        <w:numPr>
          <w:ilvl w:val="0"/>
          <w:numId w:val="196"/>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Характеризира се с пристъпи от умерено или силно, стриктно едностранно главоболие, продължаващо секунди до минути, проявяващо се поне еднократно дневно и придружено от лакримация и зачервяване на ипсилатералното око. </w:t>
      </w:r>
    </w:p>
    <w:p w14:paraId="169807DE" w14:textId="77777777" w:rsidR="00BE0B19" w:rsidRPr="00AE47C6" w:rsidRDefault="00BE0B19" w:rsidP="00BE0B19">
      <w:pPr>
        <w:tabs>
          <w:tab w:val="left" w:pos="720"/>
        </w:tabs>
        <w:spacing w:after="0" w:line="360" w:lineRule="auto"/>
        <w:jc w:val="both"/>
        <w:rPr>
          <w:rFonts w:ascii="Times New Roman" w:eastAsia="SimSun" w:hAnsi="Times New Roman"/>
          <w:sz w:val="24"/>
          <w:szCs w:val="24"/>
        </w:rPr>
      </w:pPr>
    </w:p>
    <w:p w14:paraId="61728E36"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Заболяването е рядко, среща се малко по-често (1,5:1) при мъже. </w:t>
      </w:r>
    </w:p>
    <w:p w14:paraId="02C6A129"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Класифицира се</w:t>
      </w:r>
      <w:r w:rsidRPr="00AE47C6">
        <w:rPr>
          <w:rFonts w:ascii="Times New Roman" w:eastAsia="SimSun" w:hAnsi="Times New Roman"/>
          <w:sz w:val="24"/>
          <w:szCs w:val="24"/>
        </w:rPr>
        <w:t xml:space="preserve"> като идиопатична и симптоматична форма. Симптоматичната форма се наблюдава при пациенти с артериовенозни малформации и аневризми в понтоцеребеларния ъгъл, аденом на хипофизата, базиларна импресия, стволови инфаркти, HIV инфекция, тумори или друго мозъчно увреждане. </w:t>
      </w:r>
    </w:p>
    <w:p w14:paraId="192158D2"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Подразделя се и на епизодична и хронична форма. Епизодичната е по-честа, при нея симптоматичните периоди се редуват с ремисии в случаен патерн. </w:t>
      </w:r>
    </w:p>
    <w:p w14:paraId="2F59293D"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Патофизиологията</w:t>
      </w:r>
      <w:r w:rsidRPr="00AE47C6">
        <w:rPr>
          <w:rFonts w:ascii="Times New Roman" w:eastAsia="SimSun" w:hAnsi="Times New Roman"/>
          <w:sz w:val="24"/>
          <w:szCs w:val="24"/>
        </w:rPr>
        <w:t>, както и при другите тригеминални автономни цефалгии, вероятно е свързана с активиране на хипоталамуса.</w:t>
      </w:r>
    </w:p>
    <w:p w14:paraId="0A8FD571" w14:textId="77777777" w:rsidR="00BE0B19" w:rsidRPr="00AE47C6" w:rsidRDefault="00BE0B19" w:rsidP="00BE0B19">
      <w:pPr>
        <w:widowControl w:val="0"/>
        <w:tabs>
          <w:tab w:val="left" w:pos="709"/>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b/>
          <w:sz w:val="24"/>
          <w:szCs w:val="24"/>
          <w:lang w:eastAsia="ar-SA"/>
        </w:rPr>
        <w:t>Клинично</w:t>
      </w:r>
      <w:r w:rsidRPr="00AE47C6">
        <w:rPr>
          <w:rFonts w:ascii="Times New Roman" w:eastAsia="SimSun" w:hAnsi="Times New Roman"/>
          <w:sz w:val="24"/>
          <w:szCs w:val="24"/>
          <w:lang w:eastAsia="ar-SA"/>
        </w:rPr>
        <w:t xml:space="preserve"> започва между 35 и 65 годишна възраст (средно 48 г.), но има описани случаи между 10 и 77 годишна възраст. </w:t>
      </w:r>
      <w:r w:rsidRPr="00AE47C6">
        <w:rPr>
          <w:rFonts w:ascii="Times New Roman" w:eastAsia="SimSun" w:hAnsi="Times New Roman"/>
          <w:sz w:val="24"/>
          <w:szCs w:val="24"/>
          <w:lang w:eastAsia="bg-BG"/>
        </w:rPr>
        <w:t>Болката е краткотрайна, едностранна, силна и невралгична – остра, пареща, стрелкаща, като електрически ток или пробождаща. Започва внезапно, достига своя максимум за 1-2 секунди и остава максимално силна до момента, в който спира внезапно. Локализира се в областта инервирана от офталмичния клон на тригеминалния нерв – окото, слепоочието, челото или лицето. Може да ирадиира и в други ипсилатерални области, инервирани от максиларния и мандибуларния клон на тригеминалния нерв (носа и зъбите), и по-рядко – в ухото и шията. Болката рядко (20%) сменя страната си или е двустранна. Пристъпите са предимно през деня, като при 17% от пациентите са само дневни, някои пациенти (66%) имат понякога и нощни пристъпи. Средният брой на дневните пристъпи е 16, но могат да се получат от 1 до 100 пристъпа. Пристъпите са или спонтанни, или провокирани от докосването на определени зони в областта на инервация от тригеминалния нерв. Придружаващите автономни симптоми са едностранни и ипсилатерални. Започват 1-2 секунди след появата на болката и завършват секунди след нейното изчезване.</w:t>
      </w:r>
    </w:p>
    <w:p w14:paraId="4AFC0014" w14:textId="77777777" w:rsidR="00BE0B19" w:rsidRPr="00AE47C6" w:rsidRDefault="00BE0B19" w:rsidP="00BE0B19">
      <w:pPr>
        <w:widowControl w:val="0"/>
        <w:tabs>
          <w:tab w:val="left" w:pos="709"/>
        </w:tabs>
        <w:suppressAutoHyphens/>
        <w:spacing w:after="0" w:line="360" w:lineRule="auto"/>
        <w:ind w:firstLine="709"/>
        <w:jc w:val="both"/>
        <w:rPr>
          <w:rFonts w:ascii="Times New Roman" w:eastAsia="SimSun" w:hAnsi="Times New Roman"/>
          <w:sz w:val="24"/>
          <w:szCs w:val="24"/>
          <w:lang w:eastAsia="ar-SA"/>
        </w:rPr>
      </w:pPr>
      <w:r w:rsidRPr="00AE47C6">
        <w:rPr>
          <w:rFonts w:ascii="Times New Roman" w:eastAsia="SimSun" w:hAnsi="Times New Roman"/>
          <w:sz w:val="24"/>
          <w:szCs w:val="24"/>
          <w:lang w:eastAsia="bg-BG"/>
        </w:rPr>
        <w:t xml:space="preserve">Синдромът с типично главоболие, но без конюнктивална инекция и лакримация се приема за подтип и се нарича </w:t>
      </w:r>
      <w:r w:rsidRPr="00AE47C6">
        <w:rPr>
          <w:rFonts w:ascii="Times New Roman" w:eastAsia="SimSun" w:hAnsi="Times New Roman"/>
          <w:b/>
          <w:i/>
          <w:sz w:val="24"/>
          <w:szCs w:val="24"/>
          <w:lang w:eastAsia="bg-BG"/>
        </w:rPr>
        <w:t>SUNA</w:t>
      </w:r>
      <w:r w:rsidRPr="00AE47C6">
        <w:rPr>
          <w:rFonts w:ascii="Times New Roman" w:eastAsia="SimSun" w:hAnsi="Times New Roman"/>
          <w:sz w:val="24"/>
          <w:szCs w:val="24"/>
          <w:lang w:eastAsia="bg-BG"/>
        </w:rPr>
        <w:t>.</w:t>
      </w:r>
    </w:p>
    <w:p w14:paraId="409BE9AA" w14:textId="77777777" w:rsidR="00BE0B19" w:rsidRPr="00AE47C6" w:rsidRDefault="00BE0B19" w:rsidP="00BE0B19">
      <w:pPr>
        <w:widowControl w:val="0"/>
        <w:tabs>
          <w:tab w:val="left" w:pos="709"/>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sz w:val="24"/>
          <w:szCs w:val="24"/>
          <w:lang w:eastAsia="ar-SA"/>
        </w:rPr>
        <w:t>Подразделя се на епизодична и хронична форма.</w:t>
      </w:r>
    </w:p>
    <w:p w14:paraId="385FF5E6"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Диагностичните критерии</w:t>
      </w:r>
      <w:r w:rsidRPr="00AE47C6">
        <w:rPr>
          <w:rFonts w:ascii="Times New Roman" w:eastAsia="SimSun" w:hAnsi="Times New Roman"/>
          <w:sz w:val="24"/>
          <w:szCs w:val="24"/>
        </w:rPr>
        <w:t xml:space="preserve"> изискват главоболието да отговаря на следните критерии:</w:t>
      </w:r>
    </w:p>
    <w:p w14:paraId="54695BE9"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1. Поне 20 пристъпа, изпълняващи критериите 2-4.</w:t>
      </w:r>
    </w:p>
    <w:p w14:paraId="68F7CDF0"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2. Умерено или силно едностранно главоболие, с орбитална, супраорбитална, темпорална или друга тригеминална локализация, продължаващо 1-600 sec и проявяващо се с единични или серии от пробождания. </w:t>
      </w:r>
    </w:p>
    <w:p w14:paraId="05A4574B"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3. Ипсилатерално на болката възниква поне един от автономните симптоми:</w:t>
      </w:r>
    </w:p>
    <w:p w14:paraId="0CB58954" w14:textId="77777777" w:rsidR="00BE0B19" w:rsidRPr="00AE47C6" w:rsidRDefault="00BE0B19" w:rsidP="00BE0B19">
      <w:pPr>
        <w:numPr>
          <w:ilvl w:val="0"/>
          <w:numId w:val="192"/>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Конюнктивална инекция и/или лакримация</w:t>
      </w:r>
    </w:p>
    <w:p w14:paraId="2B620E05" w14:textId="77777777" w:rsidR="00BE0B19" w:rsidRPr="00AE47C6" w:rsidRDefault="00BE0B19" w:rsidP="00BE0B19">
      <w:pPr>
        <w:numPr>
          <w:ilvl w:val="0"/>
          <w:numId w:val="192"/>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Назална конгестия и/или ринорея</w:t>
      </w:r>
    </w:p>
    <w:p w14:paraId="6BC099A0" w14:textId="77777777" w:rsidR="00BE0B19" w:rsidRPr="00AE47C6" w:rsidRDefault="00BE0B19" w:rsidP="00BE0B19">
      <w:pPr>
        <w:numPr>
          <w:ilvl w:val="0"/>
          <w:numId w:val="192"/>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Оток на клепача</w:t>
      </w:r>
    </w:p>
    <w:p w14:paraId="56D277B9" w14:textId="77777777" w:rsidR="00BE0B19" w:rsidRPr="00AE47C6" w:rsidRDefault="00BE0B19" w:rsidP="00BE0B19">
      <w:pPr>
        <w:numPr>
          <w:ilvl w:val="0"/>
          <w:numId w:val="192"/>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Изпотяване на челото и лицето</w:t>
      </w:r>
    </w:p>
    <w:p w14:paraId="6347E3EC" w14:textId="77777777" w:rsidR="00BE0B19" w:rsidRPr="00AE47C6" w:rsidRDefault="00BE0B19" w:rsidP="00BE0B19">
      <w:pPr>
        <w:numPr>
          <w:ilvl w:val="0"/>
          <w:numId w:val="192"/>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Миоза и/или птоза</w:t>
      </w:r>
    </w:p>
    <w:p w14:paraId="57FFCE44" w14:textId="77777777" w:rsidR="00BE0B19" w:rsidRPr="00AE47C6" w:rsidRDefault="00BE0B19" w:rsidP="00BE0B19">
      <w:pPr>
        <w:tabs>
          <w:tab w:val="left" w:pos="720"/>
        </w:tabs>
        <w:spacing w:after="0" w:line="360" w:lineRule="auto"/>
        <w:ind w:left="720"/>
        <w:jc w:val="both"/>
        <w:rPr>
          <w:rFonts w:ascii="Times New Roman" w:eastAsia="SimSun" w:hAnsi="Times New Roman"/>
          <w:sz w:val="24"/>
          <w:szCs w:val="24"/>
        </w:rPr>
      </w:pPr>
      <w:r w:rsidRPr="00AE47C6">
        <w:rPr>
          <w:rFonts w:ascii="Times New Roman" w:eastAsia="SimSun" w:hAnsi="Times New Roman"/>
          <w:sz w:val="24"/>
          <w:szCs w:val="24"/>
        </w:rPr>
        <w:t>4. Възниква с честота поне веднъж дневно</w:t>
      </w:r>
    </w:p>
    <w:p w14:paraId="0B98F85F" w14:textId="77777777" w:rsidR="00BE0B19" w:rsidRPr="00AE47C6" w:rsidRDefault="00BE0B19" w:rsidP="00BE0B19">
      <w:pPr>
        <w:tabs>
          <w:tab w:val="left" w:pos="720"/>
        </w:tabs>
        <w:spacing w:after="0" w:line="360" w:lineRule="auto"/>
        <w:ind w:left="720"/>
        <w:jc w:val="both"/>
        <w:rPr>
          <w:rFonts w:ascii="Times New Roman" w:eastAsia="SimSun" w:hAnsi="Times New Roman"/>
          <w:sz w:val="24"/>
          <w:szCs w:val="24"/>
        </w:rPr>
      </w:pPr>
      <w:r w:rsidRPr="00AE47C6">
        <w:rPr>
          <w:rFonts w:ascii="Times New Roman" w:eastAsia="SimSun" w:hAnsi="Times New Roman"/>
          <w:sz w:val="24"/>
          <w:szCs w:val="24"/>
        </w:rPr>
        <w:t>5. Симптомите не могат да бъдат по-добре обяснени с друг вид главоболие.</w:t>
      </w:r>
    </w:p>
    <w:p w14:paraId="067D1D0C" w14:textId="77777777" w:rsidR="00BE0B19" w:rsidRPr="00AE47C6" w:rsidRDefault="00BE0B19" w:rsidP="00BE0B19">
      <w:pPr>
        <w:tabs>
          <w:tab w:val="left" w:pos="720"/>
        </w:tabs>
        <w:spacing w:after="0" w:line="360" w:lineRule="auto"/>
        <w:ind w:left="720"/>
        <w:jc w:val="both"/>
        <w:rPr>
          <w:rFonts w:ascii="Times New Roman" w:eastAsia="SimSun" w:hAnsi="Times New Roman"/>
          <w:sz w:val="24"/>
          <w:szCs w:val="24"/>
        </w:rPr>
      </w:pPr>
    </w:p>
    <w:p w14:paraId="08D0023F" w14:textId="77777777" w:rsidR="00BE0B19" w:rsidRPr="00AE47C6" w:rsidRDefault="00BE0B19" w:rsidP="00BE0B19">
      <w:pPr>
        <w:tabs>
          <w:tab w:val="left" w:pos="720"/>
        </w:tabs>
        <w:spacing w:after="0" w:line="360" w:lineRule="auto"/>
        <w:ind w:left="720" w:firstLine="720"/>
        <w:jc w:val="both"/>
        <w:rPr>
          <w:rFonts w:ascii="Times New Roman" w:eastAsia="SimSun" w:hAnsi="Times New Roman"/>
          <w:sz w:val="24"/>
          <w:szCs w:val="24"/>
        </w:rPr>
      </w:pPr>
      <w:r w:rsidRPr="00AE47C6">
        <w:rPr>
          <w:rFonts w:ascii="Times New Roman" w:eastAsia="SimSun" w:hAnsi="Times New Roman"/>
          <w:b/>
          <w:sz w:val="24"/>
          <w:szCs w:val="24"/>
        </w:rPr>
        <w:t>Епизодична форма</w:t>
      </w:r>
      <w:r w:rsidRPr="00AE47C6">
        <w:rPr>
          <w:rFonts w:ascii="Times New Roman" w:eastAsia="SimSun" w:hAnsi="Times New Roman"/>
          <w:sz w:val="24"/>
          <w:szCs w:val="24"/>
        </w:rPr>
        <w:t xml:space="preserve"> на SUNCT се диагностицира при наличие на поне два пристъпа, продължаващи без лечение от 7 дни до 1 година и разделени от период на ремисия продължаващ три и повече месеца.</w:t>
      </w:r>
    </w:p>
    <w:p w14:paraId="2EF2D6CC" w14:textId="77777777" w:rsidR="00BE0B19" w:rsidRPr="00AE47C6" w:rsidRDefault="00BE0B19" w:rsidP="00BE0B19">
      <w:pPr>
        <w:tabs>
          <w:tab w:val="left" w:pos="720"/>
        </w:tabs>
        <w:spacing w:after="0" w:line="360" w:lineRule="auto"/>
        <w:ind w:left="720" w:firstLine="720"/>
        <w:jc w:val="both"/>
        <w:rPr>
          <w:rFonts w:ascii="Times New Roman" w:eastAsia="SimSun" w:hAnsi="Times New Roman"/>
          <w:sz w:val="24"/>
          <w:szCs w:val="24"/>
        </w:rPr>
      </w:pPr>
      <w:r w:rsidRPr="00AE47C6">
        <w:rPr>
          <w:rFonts w:ascii="Times New Roman" w:eastAsia="SimSun" w:hAnsi="Times New Roman"/>
          <w:b/>
          <w:sz w:val="24"/>
          <w:szCs w:val="24"/>
        </w:rPr>
        <w:t xml:space="preserve">Хронична форма </w:t>
      </w:r>
      <w:r w:rsidRPr="00AE47C6">
        <w:rPr>
          <w:rFonts w:ascii="Times New Roman" w:eastAsia="SimSun" w:hAnsi="Times New Roman"/>
          <w:sz w:val="24"/>
          <w:szCs w:val="24"/>
        </w:rPr>
        <w:t xml:space="preserve">на SUNCT се диагностицира при главоболие без ремисия или с ремисия по-къса от 3 месеца, в продължение на една година. </w:t>
      </w:r>
    </w:p>
    <w:p w14:paraId="35271485" w14:textId="77777777" w:rsidR="00BE0B19" w:rsidRPr="00AE47C6" w:rsidRDefault="00BE0B19" w:rsidP="00BE0B19">
      <w:pPr>
        <w:tabs>
          <w:tab w:val="left" w:pos="720"/>
        </w:tabs>
        <w:spacing w:after="0" w:line="360" w:lineRule="auto"/>
        <w:ind w:left="720"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Краткотрайно едностранно невралгиформено главоболие с краниални автономни симптоми (SUNA) </w:t>
      </w:r>
      <w:r w:rsidRPr="00AE47C6">
        <w:rPr>
          <w:rFonts w:ascii="Times New Roman" w:eastAsia="SimSun" w:hAnsi="Times New Roman"/>
          <w:sz w:val="24"/>
          <w:szCs w:val="24"/>
        </w:rPr>
        <w:t>се диагностицира при пациенти, които отговарят на критериите за SUNCT и имат не повече от един от симптомите ипсилатерално на главоболието:</w:t>
      </w:r>
    </w:p>
    <w:p w14:paraId="374B05F0" w14:textId="77777777" w:rsidR="00BE0B19" w:rsidRPr="00AE47C6" w:rsidRDefault="00BE0B19" w:rsidP="00BE0B19">
      <w:pPr>
        <w:numPr>
          <w:ilvl w:val="0"/>
          <w:numId w:val="192"/>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Конюнктивална инекция</w:t>
      </w:r>
    </w:p>
    <w:p w14:paraId="542F96F0" w14:textId="77777777" w:rsidR="00BE0B19" w:rsidRPr="00AE47C6" w:rsidRDefault="00BE0B19" w:rsidP="00BE0B19">
      <w:pPr>
        <w:numPr>
          <w:ilvl w:val="0"/>
          <w:numId w:val="192"/>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Лакримация  </w:t>
      </w:r>
    </w:p>
    <w:p w14:paraId="40BE4B5B"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r w:rsidRPr="00AE47C6">
        <w:rPr>
          <w:rFonts w:ascii="Times New Roman" w:eastAsia="SimSun" w:hAnsi="Times New Roman"/>
          <w:b/>
          <w:bCs/>
          <w:sz w:val="24"/>
          <w:szCs w:val="24"/>
          <w:lang w:eastAsia="bg-BG"/>
        </w:rPr>
        <w:t>Епизодична форма</w:t>
      </w:r>
      <w:r w:rsidRPr="00AE47C6">
        <w:rPr>
          <w:rFonts w:ascii="Times New Roman" w:eastAsia="SimSun" w:hAnsi="Times New Roman"/>
          <w:sz w:val="24"/>
          <w:szCs w:val="24"/>
          <w:lang w:eastAsia="bg-BG"/>
        </w:rPr>
        <w:t xml:space="preserve"> на SUNA се диагностицира при периоди от главоболие, продължаващи от 7 дни до 1 година, разделени от периоди на ремисия продължаващи три и повече месеца. </w:t>
      </w:r>
    </w:p>
    <w:p w14:paraId="5F5DB78D"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r w:rsidRPr="00AE47C6">
        <w:rPr>
          <w:rFonts w:ascii="Times New Roman" w:eastAsia="SimSun" w:hAnsi="Times New Roman"/>
          <w:b/>
          <w:bCs/>
          <w:sz w:val="24"/>
          <w:szCs w:val="24"/>
          <w:lang w:eastAsia="bg-BG"/>
        </w:rPr>
        <w:t>Хроничната форма</w:t>
      </w:r>
      <w:r w:rsidRPr="00AE47C6">
        <w:rPr>
          <w:rFonts w:ascii="Times New Roman" w:eastAsia="SimSun" w:hAnsi="Times New Roman"/>
          <w:sz w:val="24"/>
          <w:szCs w:val="24"/>
          <w:lang w:eastAsia="bg-BG"/>
        </w:rPr>
        <w:t xml:space="preserve"> на SUNA се диагностицира при главоболие без ремисия или с ремисия по-къса от 3 месеца, в продължение на една година.</w:t>
      </w:r>
    </w:p>
    <w:p w14:paraId="29577FBB"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r w:rsidRPr="00AE47C6">
        <w:rPr>
          <w:rFonts w:ascii="Times New Roman" w:eastAsia="SimSun" w:hAnsi="Times New Roman"/>
          <w:b/>
          <w:bCs/>
          <w:sz w:val="24"/>
          <w:szCs w:val="24"/>
          <w:lang w:eastAsia="bg-BG"/>
        </w:rPr>
        <w:t>Диференциалната диагноза</w:t>
      </w:r>
      <w:r w:rsidRPr="00AE47C6">
        <w:rPr>
          <w:rFonts w:ascii="Times New Roman" w:eastAsia="SimSun" w:hAnsi="Times New Roman"/>
          <w:sz w:val="24"/>
          <w:szCs w:val="24"/>
          <w:lang w:eastAsia="bg-BG"/>
        </w:rPr>
        <w:t xml:space="preserve"> изисква на първо място отдиференциране на вторичен (</w:t>
      </w:r>
      <w:r w:rsidRPr="00AE47C6">
        <w:rPr>
          <w:rFonts w:ascii="Times New Roman" w:eastAsia="SimSun" w:hAnsi="Times New Roman"/>
          <w:i/>
          <w:sz w:val="24"/>
          <w:szCs w:val="24"/>
          <w:lang w:eastAsia="bg-BG"/>
        </w:rPr>
        <w:t>симптоматичен</w:t>
      </w:r>
      <w:r w:rsidRPr="00AE47C6">
        <w:rPr>
          <w:rFonts w:ascii="Times New Roman" w:eastAsia="SimSun" w:hAnsi="Times New Roman"/>
          <w:sz w:val="24"/>
          <w:szCs w:val="24"/>
          <w:lang w:eastAsia="bg-BG"/>
        </w:rPr>
        <w:t xml:space="preserve">) SUNCT синдром. Необходимо е да се проведе МРТ изследване на главен мозък, изследване на пролактин, тироид-стимулиращ хормон, свободен тироксин, кортизол, адренокортикотропен, лутеинизиращ, фоликулостимулиращ хормон, естроген, тестостерон и растежен фактор. Трябва да се проведе и диагностичен тест с indomethacin, за да се отхвърлят главоболията, повлияващи се от него. </w:t>
      </w:r>
    </w:p>
    <w:p w14:paraId="1CCBE4CE"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r w:rsidRPr="00AE47C6">
        <w:rPr>
          <w:rFonts w:ascii="Times New Roman" w:eastAsia="SimSun" w:hAnsi="Times New Roman"/>
          <w:i/>
          <w:sz w:val="24"/>
          <w:szCs w:val="24"/>
          <w:lang w:eastAsia="bg-BG"/>
        </w:rPr>
        <w:t>Тригеминалната невралгия</w:t>
      </w:r>
      <w:r w:rsidRPr="00AE47C6">
        <w:rPr>
          <w:rFonts w:ascii="Times New Roman" w:eastAsia="SimSun" w:hAnsi="Times New Roman"/>
          <w:sz w:val="24"/>
          <w:szCs w:val="24"/>
          <w:lang w:eastAsia="bg-BG"/>
        </w:rPr>
        <w:t xml:space="preserve"> е трудно да бъде отдиференцирана, поради сходното клинично протичане. </w:t>
      </w:r>
    </w:p>
    <w:p w14:paraId="55156B55"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r w:rsidRPr="00AE47C6">
        <w:rPr>
          <w:rFonts w:ascii="Times New Roman" w:eastAsia="SimSun" w:hAnsi="Times New Roman"/>
          <w:i/>
          <w:sz w:val="24"/>
          <w:szCs w:val="24"/>
          <w:lang w:eastAsia="bg-BG"/>
        </w:rPr>
        <w:t>Идиопатичното (първично) пробождащо главоболие</w:t>
      </w:r>
      <w:r w:rsidRPr="00AE47C6">
        <w:rPr>
          <w:rFonts w:ascii="Times New Roman" w:eastAsia="SimSun" w:hAnsi="Times New Roman"/>
          <w:sz w:val="24"/>
          <w:szCs w:val="24"/>
          <w:lang w:eastAsia="bg-BG"/>
        </w:rPr>
        <w:t xml:space="preserve"> е по-често при жените, болката е спонтанна, с различна локализация при всеки пристъп и липсват краниални автономни симптоми. Повлиява се от indomethacin. </w:t>
      </w:r>
    </w:p>
    <w:p w14:paraId="31C37412"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r w:rsidRPr="00AE47C6">
        <w:rPr>
          <w:rFonts w:ascii="Times New Roman" w:eastAsia="SimSun" w:hAnsi="Times New Roman"/>
          <w:i/>
          <w:sz w:val="24"/>
          <w:szCs w:val="24"/>
          <w:lang w:eastAsia="bg-BG"/>
        </w:rPr>
        <w:t>Пароксизмалната хемикрания</w:t>
      </w:r>
      <w:r w:rsidRPr="00AE47C6">
        <w:rPr>
          <w:rFonts w:ascii="Times New Roman" w:eastAsia="SimSun" w:hAnsi="Times New Roman"/>
          <w:sz w:val="24"/>
          <w:szCs w:val="24"/>
          <w:lang w:eastAsia="bg-BG"/>
        </w:rPr>
        <w:t xml:space="preserve"> протича с по-дълготрайни пристъпи, настъпващи както през деня, така и през нощта и рядко провокирани от тригерни фактори. Повлиява се от indomethacin.</w:t>
      </w:r>
    </w:p>
    <w:p w14:paraId="3248A85D" w14:textId="77777777" w:rsidR="00BE0B19" w:rsidRPr="00AE47C6" w:rsidRDefault="00BE0B19" w:rsidP="00BE0B19">
      <w:pPr>
        <w:keepNext/>
        <w:tabs>
          <w:tab w:val="left" w:pos="709"/>
          <w:tab w:val="left" w:pos="993"/>
          <w:tab w:val="left" w:pos="1418"/>
          <w:tab w:val="left" w:pos="1702"/>
          <w:tab w:val="left" w:pos="1985"/>
        </w:tabs>
        <w:spacing w:before="240" w:after="240" w:line="360" w:lineRule="atLeast"/>
        <w:outlineLvl w:val="2"/>
        <w:rPr>
          <w:rFonts w:ascii="Times New Roman" w:eastAsia="SimSun" w:hAnsi="Times New Roman"/>
          <w:b/>
          <w:sz w:val="24"/>
          <w:szCs w:val="20"/>
          <w:lang w:eastAsia="ja-JP"/>
        </w:rPr>
      </w:pPr>
      <w:bookmarkStart w:id="290" w:name="_Toc155651824"/>
      <w:bookmarkStart w:id="291" w:name="_Toc164075958"/>
      <w:r w:rsidRPr="00AE47C6">
        <w:rPr>
          <w:rFonts w:ascii="Times New Roman" w:eastAsia="SimSun" w:hAnsi="Times New Roman"/>
          <w:b/>
          <w:sz w:val="24"/>
          <w:szCs w:val="20"/>
          <w:lang w:eastAsia="ja-JP"/>
        </w:rPr>
        <w:t>13.3.4. Hemicrania continua</w:t>
      </w:r>
      <w:bookmarkEnd w:id="290"/>
      <w:bookmarkEnd w:id="291"/>
    </w:p>
    <w:p w14:paraId="286FB8C0" w14:textId="77777777" w:rsidR="00BE0B19" w:rsidRPr="00AE47C6" w:rsidRDefault="00BE0B19" w:rsidP="00BE0B19">
      <w:pPr>
        <w:tabs>
          <w:tab w:val="left" w:pos="720"/>
        </w:tabs>
        <w:suppressAutoHyphens/>
        <w:spacing w:after="0" w:line="360" w:lineRule="auto"/>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Определение</w:t>
      </w:r>
    </w:p>
    <w:p w14:paraId="610F63BB" w14:textId="77777777" w:rsidR="00BE0B19" w:rsidRPr="00AE47C6" w:rsidRDefault="00BE0B19" w:rsidP="00BE0B19">
      <w:pPr>
        <w:numPr>
          <w:ilvl w:val="0"/>
          <w:numId w:val="196"/>
        </w:numPr>
        <w:pBdr>
          <w:top w:val="single" w:sz="6" w:space="1" w:color="auto"/>
          <w:left w:val="single" w:sz="6" w:space="4" w:color="auto"/>
          <w:bottom w:val="single" w:sz="6" w:space="1" w:color="auto"/>
          <w:right w:val="single" w:sz="6"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Характеризира се с персистиращо стриктно едностранно главоболие, придружено от ипсилатерална конюнктивна инекция, лакримация, назална конгестия, ринорея, изпотяване на челото и лицето, миоза, птоза и/или оток на клепачите и/или чувство на неспокойствие или напрежение, повлияващи се напълно от indomethacin. </w:t>
      </w:r>
    </w:p>
    <w:p w14:paraId="2671EFCD" w14:textId="77777777" w:rsidR="00BE0B19" w:rsidRPr="00AE47C6" w:rsidRDefault="00BE0B19" w:rsidP="00BE0B19">
      <w:pPr>
        <w:tabs>
          <w:tab w:val="left" w:pos="720"/>
        </w:tabs>
        <w:spacing w:after="0" w:line="360" w:lineRule="auto"/>
        <w:ind w:firstLine="720"/>
        <w:jc w:val="both"/>
        <w:rPr>
          <w:rFonts w:ascii="Times New Roman" w:eastAsia="SimSun" w:hAnsi="Times New Roman"/>
          <w:b/>
          <w:sz w:val="24"/>
          <w:szCs w:val="24"/>
        </w:rPr>
      </w:pPr>
    </w:p>
    <w:p w14:paraId="7C095067"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Засяга</w:t>
      </w:r>
      <w:r w:rsidRPr="00AE47C6">
        <w:rPr>
          <w:rFonts w:ascii="Times New Roman" w:eastAsia="SimSun" w:hAnsi="Times New Roman"/>
          <w:sz w:val="24"/>
          <w:szCs w:val="24"/>
        </w:rPr>
        <w:t xml:space="preserve"> до 1% от населението, но трудно се диагностицира. Среща се 2 пъти по-често при жени. </w:t>
      </w:r>
    </w:p>
    <w:p w14:paraId="0C5E83D2"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Класифицира се</w:t>
      </w:r>
      <w:r w:rsidRPr="00AE47C6">
        <w:rPr>
          <w:rFonts w:ascii="Times New Roman" w:eastAsia="SimSun" w:hAnsi="Times New Roman"/>
          <w:sz w:val="24"/>
          <w:szCs w:val="24"/>
        </w:rPr>
        <w:t xml:space="preserve"> според своето протичане като ремитентна (12%), вторично хронична (35%) или първично хронична (53%) форма. </w:t>
      </w:r>
    </w:p>
    <w:p w14:paraId="20F3C145"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Патофизиологията</w:t>
      </w:r>
      <w:r w:rsidRPr="00AE47C6">
        <w:rPr>
          <w:rFonts w:ascii="Times New Roman" w:eastAsia="SimSun" w:hAnsi="Times New Roman"/>
          <w:sz w:val="24"/>
          <w:szCs w:val="24"/>
        </w:rPr>
        <w:t xml:space="preserve"> не е известна, установени са активация в контралатералния заден хипоталамус и ипсилатералната рострална част на моста.</w:t>
      </w:r>
    </w:p>
    <w:p w14:paraId="424A2D76"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Клинично</w:t>
      </w:r>
      <w:r w:rsidRPr="00AE47C6">
        <w:rPr>
          <w:rFonts w:ascii="Times New Roman" w:eastAsia="SimSun" w:hAnsi="Times New Roman"/>
          <w:sz w:val="24"/>
          <w:szCs w:val="24"/>
        </w:rPr>
        <w:t xml:space="preserve"> започва около 34 годишна възраст (между 11 и 58 години). Персистиращото фоново главоболие е тъпо и притискащо, постоянно, с умерена интензивност. Строго едностранно е и не сменя страната си поне 3 месеца. Локализира се в очната, темпоралната или максиларната област. В повечето случаи е без ремисия и върху него се наслагват периоди на засилване на болката.</w:t>
      </w:r>
    </w:p>
    <w:p w14:paraId="32BEE6F4"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Обостряния, с умерена до силна болка продължаващи от 20 минути до няколко дни се наслагват върху тъпото главоболие. Честотата на обострянията е от няколко пъти седмично, до веднъж на 3 месеца. Локализират се в предната част на главата, но също и в окципиталната и аурикуларна област или шията. При 30% от пациентите периодите на засилване са през нощта и събуждат пациента. По време на обострянията прилича на мигренното, с внезапни пробождания (20-40%), които продължават до 1 минута или усещане за чуждо тяло в окото. Преди изострянето на главоболието може да има аура или специфично усещане за пясък в очите. Не се провокира от нито един от известните фактори, които засилват другите главоболия. </w:t>
      </w:r>
    </w:p>
    <w:p w14:paraId="60AEE55F"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Ипсилатерални автономни симптоми може да придружават болката по време на обострянията. Те не са толкова силно изразени, както при кластърното главоболие и пароксизмалната хемикрания. При 75% от пациентите има поне един автономен симптом, най-често конюнктивална инекция и лакримация. Могат да се добавят назална конгестия, ринорея, оток на клепача, птоза и миоза. По време на пристъпите може да има симптоми на мигрена, като фотофобия и фонофобия. </w:t>
      </w:r>
    </w:p>
    <w:p w14:paraId="30A25956" w14:textId="77777777" w:rsidR="00BE0B19" w:rsidRPr="00AE47C6" w:rsidRDefault="00BE0B19" w:rsidP="00BE0B19">
      <w:pPr>
        <w:tabs>
          <w:tab w:val="left" w:pos="720"/>
        </w:tabs>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Диагностичните критерии</w:t>
      </w:r>
      <w:r w:rsidRPr="00AE47C6">
        <w:rPr>
          <w:rFonts w:ascii="Times New Roman" w:eastAsia="SimSun" w:hAnsi="Times New Roman"/>
          <w:sz w:val="24"/>
          <w:szCs w:val="24"/>
        </w:rPr>
        <w:t xml:space="preserve"> изискват главоболието да отговаря на следните критерии:</w:t>
      </w:r>
    </w:p>
    <w:p w14:paraId="5F49FA5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1. Наличие на едностранно главоболие изпълняващо критериите 2-4.</w:t>
      </w:r>
    </w:p>
    <w:p w14:paraId="34154A4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2. Продължаващо повече от 3 месеца с изостряния до умерен или силен интензитет</w:t>
      </w:r>
    </w:p>
    <w:p w14:paraId="2FD0210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3. Налице са един или два от следващите симптоми:</w:t>
      </w:r>
    </w:p>
    <w:p w14:paraId="5E8FADB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поне един от симптомите възниква ипсилатерално на главоболието</w:t>
      </w:r>
    </w:p>
    <w:p w14:paraId="4908D4DF" w14:textId="77777777" w:rsidR="00BE0B19" w:rsidRPr="00AE47C6" w:rsidRDefault="00BE0B19" w:rsidP="00BE0B19">
      <w:pPr>
        <w:numPr>
          <w:ilvl w:val="0"/>
          <w:numId w:val="192"/>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Конюнктивална инекция и/или лакримация</w:t>
      </w:r>
    </w:p>
    <w:p w14:paraId="72DB451A" w14:textId="77777777" w:rsidR="00BE0B19" w:rsidRPr="00AE47C6" w:rsidRDefault="00BE0B19" w:rsidP="00BE0B19">
      <w:pPr>
        <w:numPr>
          <w:ilvl w:val="0"/>
          <w:numId w:val="192"/>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Назална конгестия и/или ринорея</w:t>
      </w:r>
    </w:p>
    <w:p w14:paraId="60F6EB55" w14:textId="77777777" w:rsidR="00BE0B19" w:rsidRPr="00AE47C6" w:rsidRDefault="00BE0B19" w:rsidP="00BE0B19">
      <w:pPr>
        <w:numPr>
          <w:ilvl w:val="0"/>
          <w:numId w:val="192"/>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Оток на клепачите</w:t>
      </w:r>
    </w:p>
    <w:p w14:paraId="7BAF0380" w14:textId="77777777" w:rsidR="00BE0B19" w:rsidRPr="00AE47C6" w:rsidRDefault="00BE0B19" w:rsidP="00BE0B19">
      <w:pPr>
        <w:numPr>
          <w:ilvl w:val="0"/>
          <w:numId w:val="192"/>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Изпотяване на челото и лицето</w:t>
      </w:r>
    </w:p>
    <w:p w14:paraId="04264DB9" w14:textId="77777777" w:rsidR="00BE0B19" w:rsidRPr="00AE47C6" w:rsidRDefault="00BE0B19" w:rsidP="00BE0B19">
      <w:pPr>
        <w:numPr>
          <w:ilvl w:val="0"/>
          <w:numId w:val="192"/>
        </w:num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Миоза и/или птоза</w:t>
      </w:r>
    </w:p>
    <w:p w14:paraId="4C806E6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Чувство на неспокойствие, напрежение или засилване на главоболието от движение</w:t>
      </w:r>
    </w:p>
    <w:p w14:paraId="76172D3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4. Повлиява се напълно от indomethacin</w:t>
      </w:r>
    </w:p>
    <w:p w14:paraId="722F919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5. Симптомите не могат да бъдат по-добре обяснени с друг вид главоболие</w:t>
      </w:r>
    </w:p>
    <w:p w14:paraId="25F1479E"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3455325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За да бъде изключен непълен терапевтичен отговор indomethacin трябва да се приложи в дози над 150 mg дневно перорално (при необходимост до 225 mg) или 100 – 200 mg инжекционно.</w:t>
      </w:r>
    </w:p>
    <w:p w14:paraId="437836E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Ремитентната форма</w:t>
      </w:r>
      <w:r w:rsidRPr="00AE47C6">
        <w:rPr>
          <w:rFonts w:ascii="Times New Roman" w:eastAsia="SimSun" w:hAnsi="Times New Roman"/>
          <w:sz w:val="24"/>
          <w:szCs w:val="24"/>
        </w:rPr>
        <w:t xml:space="preserve"> на главоболието се диагностицира при пациенти, които изпълняват критериите за hemicrania continua, при които главоболието оставено без лечение не е ежедневно и непрекъснато, а се прекъсва от периоди на ремисия продължаващи 24 и повече часа.</w:t>
      </w:r>
    </w:p>
    <w:p w14:paraId="75DFF25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Формата без ремисии</w:t>
      </w:r>
      <w:r w:rsidRPr="00AE47C6">
        <w:rPr>
          <w:rFonts w:ascii="Times New Roman" w:eastAsia="SimSun" w:hAnsi="Times New Roman"/>
          <w:sz w:val="24"/>
          <w:szCs w:val="24"/>
        </w:rPr>
        <w:t xml:space="preserve"> се диагностицира при пациенти, които изпълняват критериите за hemicrania continua, при които главоболието е ежедневно и продължително поне 1 година, без периоди на ремисия за поне 24 часа.</w:t>
      </w:r>
    </w:p>
    <w:p w14:paraId="2B61086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Диференциалната диагноза</w:t>
      </w:r>
      <w:r w:rsidRPr="00AE47C6">
        <w:rPr>
          <w:rFonts w:ascii="Times New Roman" w:eastAsia="SimSun" w:hAnsi="Times New Roman"/>
          <w:sz w:val="24"/>
          <w:szCs w:val="24"/>
        </w:rPr>
        <w:t xml:space="preserve"> се прави с хроничните едностранни главоболия (хронична мигрена, ново ежедневно и цервикогенно главоболие) и едностранните краткотрайни главоболия с очно-лицеви автономни симптоми (тригеминалните автономни цефалгии). Повлиява се от indomethacin за разлика от хроничната мигрена, цервикогенното и новото ежедневно главоболие. Пароксизмалната хемикрания също се повлиява от indomethacin, но пристъпите са по-краткотрайни и с по-силно изразени автономни симптоми.  </w:t>
      </w:r>
    </w:p>
    <w:p w14:paraId="448C9A7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Трябва да се отдиференцира и вторичната форма вследствие на мозъчен тумор, HIV инфекция и други. </w:t>
      </w:r>
    </w:p>
    <w:p w14:paraId="610E4D13" w14:textId="77777777" w:rsidR="00BE0B19" w:rsidRPr="00AE47C6" w:rsidRDefault="00BE0B19" w:rsidP="00BE0B19">
      <w:pPr>
        <w:spacing w:after="0" w:line="360" w:lineRule="auto"/>
        <w:jc w:val="both"/>
        <w:rPr>
          <w:rFonts w:ascii="Times New Roman" w:eastAsia="SimSun" w:hAnsi="Times New Roman"/>
          <w:sz w:val="24"/>
          <w:szCs w:val="24"/>
        </w:rPr>
      </w:pPr>
    </w:p>
    <w:p w14:paraId="7CAFB22F"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Лечение</w:t>
      </w:r>
    </w:p>
    <w:p w14:paraId="7B539E92" w14:textId="77777777" w:rsidR="00BE0B19" w:rsidRPr="00AE47C6" w:rsidRDefault="00BE0B19" w:rsidP="00BE0B19">
      <w:pPr>
        <w:tabs>
          <w:tab w:val="left" w:pos="0"/>
        </w:tabs>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1. Лечение на пристъпите от кластърно главоболие</w:t>
      </w:r>
    </w:p>
    <w:p w14:paraId="51F73DA6"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sz w:val="24"/>
          <w:szCs w:val="24"/>
        </w:rPr>
        <w:t>Трябва да се знае, че болката при пристъп е толкова силна, че изисква незабавното внимание на лекаря.</w:t>
      </w:r>
    </w:p>
    <w:p w14:paraId="1504F7D4" w14:textId="77777777" w:rsidR="00BE0B19" w:rsidRPr="00AE47C6" w:rsidRDefault="00BE0B19" w:rsidP="00BE0B19">
      <w:pPr>
        <w:numPr>
          <w:ilvl w:val="0"/>
          <w:numId w:val="185"/>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sz w:val="24"/>
          <w:szCs w:val="24"/>
        </w:rPr>
        <w:t>инхалация на 100% кислород</w:t>
      </w:r>
      <w:r w:rsidRPr="00AE47C6">
        <w:rPr>
          <w:rFonts w:ascii="Times New Roman" w:eastAsia="SimSun" w:hAnsi="Times New Roman"/>
          <w:sz w:val="24"/>
          <w:szCs w:val="24"/>
        </w:rPr>
        <w:t xml:space="preserve"> през маска със скорост 12 – 15 L/min в продължение на 15 минути. Потиска главоболието след около 15 минути, ако се приложи в началото на пристъпа. Понякога след няколко часа главоболието се възвръща. Прилагането на кислород е ефективно предимно при пациенти под 50 годишна възраст и при тези с епизодично главоболие. Предимство на това лечение е липсата на противопоказания. Ефектът се дължи на вазоконстрикцията предизвикана от кислородът. </w:t>
      </w:r>
    </w:p>
    <w:p w14:paraId="7AA4306B" w14:textId="77777777" w:rsidR="00BE0B19" w:rsidRPr="00AE47C6" w:rsidRDefault="00BE0B19" w:rsidP="00BE0B19">
      <w:pPr>
        <w:numPr>
          <w:ilvl w:val="0"/>
          <w:numId w:val="185"/>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sz w:val="24"/>
          <w:szCs w:val="24"/>
        </w:rPr>
        <w:t>Кортикостероидите</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Prednisone</w:t>
      </w:r>
      <w:r w:rsidRPr="00AE47C6">
        <w:rPr>
          <w:rFonts w:ascii="Times New Roman" w:eastAsia="SimSun" w:hAnsi="Times New Roman"/>
          <w:sz w:val="24"/>
          <w:szCs w:val="24"/>
        </w:rPr>
        <w:t xml:space="preserve"> 40-60 mg) повлияват бързо и ефективно пристъпа.</w:t>
      </w:r>
    </w:p>
    <w:p w14:paraId="07E25FC0" w14:textId="77777777" w:rsidR="00BE0B19" w:rsidRPr="00AE47C6" w:rsidRDefault="00BE0B19" w:rsidP="00BE0B19">
      <w:pPr>
        <w:numPr>
          <w:ilvl w:val="0"/>
          <w:numId w:val="185"/>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sz w:val="24"/>
          <w:szCs w:val="24"/>
        </w:rPr>
        <w:t>серотонинови агонисти (триптани)</w:t>
      </w:r>
      <w:r w:rsidRPr="00AE47C6">
        <w:rPr>
          <w:rFonts w:ascii="Times New Roman" w:eastAsia="SimSun" w:hAnsi="Times New Roman"/>
          <w:sz w:val="24"/>
          <w:szCs w:val="24"/>
        </w:rPr>
        <w:t xml:space="preserve"> – </w:t>
      </w:r>
      <w:r w:rsidRPr="00AE47C6">
        <w:rPr>
          <w:rFonts w:ascii="Times New Roman" w:eastAsia="SimSun" w:hAnsi="Times New Roman"/>
          <w:i/>
          <w:sz w:val="24"/>
          <w:szCs w:val="24"/>
        </w:rPr>
        <w:t>Sumatriptan и Zolmitriptan</w:t>
      </w:r>
      <w:r w:rsidRPr="00AE47C6">
        <w:rPr>
          <w:rFonts w:ascii="Times New Roman" w:eastAsia="SimSun" w:hAnsi="Times New Roman"/>
          <w:sz w:val="24"/>
          <w:szCs w:val="24"/>
        </w:rPr>
        <w:t xml:space="preserve"> 10 mg под формата на назален спрей повлияват бързо и ефективно главоболието. Sumatriptan под формата на субкутанна инжекция е ефективен при 75% от пациентите</w:t>
      </w:r>
    </w:p>
    <w:p w14:paraId="12800B5D" w14:textId="77777777" w:rsidR="00BE0B19" w:rsidRPr="00AE47C6" w:rsidRDefault="00BE0B19" w:rsidP="00BE0B19">
      <w:pPr>
        <w:numPr>
          <w:ilvl w:val="0"/>
          <w:numId w:val="185"/>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sz w:val="24"/>
          <w:szCs w:val="24"/>
        </w:rPr>
        <w:t>ерготаминови деривати</w:t>
      </w:r>
      <w:r w:rsidRPr="00AE47C6">
        <w:rPr>
          <w:rFonts w:ascii="Times New Roman" w:eastAsia="SimSun" w:hAnsi="Times New Roman"/>
          <w:sz w:val="24"/>
          <w:szCs w:val="24"/>
        </w:rPr>
        <w:t xml:space="preserve"> – прилагането на Ergotamine tartarate или Dihydroergotamine 1 mg чрез назален спрей купира ефективно острия пристъп. Прилагането на препарата в няколко последователни дни не предизвиква възвръщане на главоболието, както се получава при пациентите с мигрена. Ерготаминовите деривати се прилагат успешно и като сублингвални таблетки (1-2 mg дневно) или ректални супозитории (2 mg).</w:t>
      </w:r>
    </w:p>
    <w:p w14:paraId="5540B49E" w14:textId="77777777" w:rsidR="00BE0B19" w:rsidRPr="00AE47C6" w:rsidRDefault="00BE0B19" w:rsidP="00BE0B19">
      <w:pPr>
        <w:numPr>
          <w:ilvl w:val="0"/>
          <w:numId w:val="185"/>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sz w:val="24"/>
          <w:szCs w:val="24"/>
        </w:rPr>
        <w:t>локални анестетици:</w:t>
      </w:r>
    </w:p>
    <w:p w14:paraId="2E5DF654" w14:textId="77777777" w:rsidR="00BE0B19" w:rsidRPr="00AE47C6" w:rsidRDefault="00BE0B19" w:rsidP="00BE0B19">
      <w:pPr>
        <w:numPr>
          <w:ilvl w:val="0"/>
          <w:numId w:val="185"/>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i/>
          <w:iCs/>
          <w:sz w:val="24"/>
          <w:szCs w:val="24"/>
        </w:rPr>
        <w:t>Cocaine</w:t>
      </w:r>
      <w:r w:rsidRPr="00AE47C6">
        <w:rPr>
          <w:rFonts w:ascii="Times New Roman" w:eastAsia="SimSun" w:hAnsi="Times New Roman"/>
          <w:sz w:val="24"/>
          <w:szCs w:val="24"/>
        </w:rPr>
        <w:t xml:space="preserve"> интраназално, ипсилатерално на главоболието под формата на 10% разтвор върху памучни тампони за 2 – 5 минути е ефективно, главно поради локалния анестетичен ефект и по-малко поради симпатомиметичното действие на медикамента. Проблем представлява опасността от пристрастяване. </w:t>
      </w:r>
    </w:p>
    <w:p w14:paraId="65BFC1B1" w14:textId="77777777" w:rsidR="00BE0B19" w:rsidRPr="00AE47C6" w:rsidRDefault="00BE0B19" w:rsidP="00BE0B19">
      <w:pPr>
        <w:numPr>
          <w:ilvl w:val="0"/>
          <w:numId w:val="185"/>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i/>
          <w:sz w:val="24"/>
          <w:szCs w:val="24"/>
        </w:rPr>
        <w:t xml:space="preserve">Lidocaine </w:t>
      </w:r>
      <w:r w:rsidRPr="00AE47C6">
        <w:rPr>
          <w:rFonts w:ascii="Times New Roman" w:eastAsia="SimSun" w:hAnsi="Times New Roman"/>
          <w:sz w:val="24"/>
          <w:szCs w:val="24"/>
        </w:rPr>
        <w:t>4% 1 ml воден разтвор, приложен като носни капки, като пациентът лежи по гръб с наклонена глава към страната на болката, намалява главоболието. Ефектът е по-слаб от този на кокаин.</w:t>
      </w:r>
    </w:p>
    <w:p w14:paraId="08768097" w14:textId="77777777" w:rsidR="00BE0B19" w:rsidRPr="00AE47C6" w:rsidRDefault="00BE0B19" w:rsidP="00BE0B19">
      <w:pPr>
        <w:numPr>
          <w:ilvl w:val="0"/>
          <w:numId w:val="185"/>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sz w:val="24"/>
          <w:szCs w:val="24"/>
        </w:rPr>
        <w:t>Невромодулиращите методи</w:t>
      </w:r>
      <w:r w:rsidRPr="00AE47C6">
        <w:rPr>
          <w:rFonts w:ascii="Times New Roman" w:eastAsia="SimSun" w:hAnsi="Times New Roman"/>
          <w:sz w:val="24"/>
          <w:szCs w:val="24"/>
        </w:rPr>
        <w:t xml:space="preserve"> са неинвазивна (вагусовата нервна стимулация) и инвазивни (дълбока мозъчна стимулация/DBS, окципитална нервна стимулация/ONS и стимулация на сфенопалатинния ганглий/SPG). Инвазивните методи са скъпи и имат странични ефекти, поради което намират много малко клинично приложение. </w:t>
      </w:r>
    </w:p>
    <w:p w14:paraId="452FD9CD" w14:textId="77777777" w:rsidR="00BE0B19" w:rsidRPr="00AE47C6" w:rsidRDefault="00BE0B19" w:rsidP="00BE0B19">
      <w:pPr>
        <w:numPr>
          <w:ilvl w:val="0"/>
          <w:numId w:val="185"/>
        </w:numPr>
        <w:spacing w:after="0" w:line="360" w:lineRule="auto"/>
        <w:ind w:left="283"/>
        <w:jc w:val="both"/>
        <w:rPr>
          <w:rFonts w:ascii="Times New Roman" w:eastAsia="SimSun" w:hAnsi="Times New Roman"/>
          <w:sz w:val="24"/>
          <w:szCs w:val="24"/>
        </w:rPr>
      </w:pPr>
      <w:r w:rsidRPr="00AE47C6">
        <w:rPr>
          <w:rFonts w:ascii="Times New Roman" w:eastAsia="SimSun" w:hAnsi="Times New Roman"/>
          <w:sz w:val="24"/>
          <w:szCs w:val="24"/>
        </w:rPr>
        <w:t>неинвазивна вагусова стимулация в областта на цервикален клон на n. vagus. Прилагат се чрез портативно устройство, 3 последователни 2-минутни стимулации при начало на болката. След 3 минути при необходимост може да се повтори. Третират се до 4 пристъпа (до 24 стимулации) дневно.</w:t>
      </w:r>
    </w:p>
    <w:p w14:paraId="57C3691C" w14:textId="77777777" w:rsidR="00BE0B19" w:rsidRPr="00AE47C6" w:rsidRDefault="00BE0B19" w:rsidP="00BE0B19">
      <w:pPr>
        <w:numPr>
          <w:ilvl w:val="0"/>
          <w:numId w:val="185"/>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sz w:val="24"/>
          <w:szCs w:val="24"/>
        </w:rPr>
        <w:t xml:space="preserve">В </w:t>
      </w:r>
      <w:r w:rsidRPr="00AE47C6">
        <w:rPr>
          <w:rFonts w:ascii="Times New Roman" w:eastAsia="SimSun" w:hAnsi="Times New Roman"/>
          <w:b/>
          <w:i/>
          <w:sz w:val="24"/>
          <w:szCs w:val="24"/>
        </w:rPr>
        <w:t>детската възраст</w:t>
      </w:r>
      <w:r w:rsidRPr="00AE47C6">
        <w:rPr>
          <w:rFonts w:ascii="Times New Roman" w:eastAsia="SimSun" w:hAnsi="Times New Roman"/>
          <w:sz w:val="24"/>
          <w:szCs w:val="24"/>
        </w:rPr>
        <w:t xml:space="preserve"> се използват кислород и indomethacin.</w:t>
      </w:r>
    </w:p>
    <w:p w14:paraId="7EA436A1" w14:textId="77777777" w:rsidR="00BE0B19" w:rsidRPr="00AE47C6" w:rsidRDefault="00BE0B19" w:rsidP="00BE0B19">
      <w:pPr>
        <w:numPr>
          <w:ilvl w:val="0"/>
          <w:numId w:val="185"/>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i/>
          <w:sz w:val="24"/>
          <w:szCs w:val="24"/>
        </w:rPr>
        <w:t>По време на бременност</w:t>
      </w:r>
      <w:r w:rsidRPr="00AE47C6">
        <w:rPr>
          <w:rFonts w:ascii="Times New Roman" w:eastAsia="SimSun" w:hAnsi="Times New Roman"/>
          <w:sz w:val="24"/>
          <w:szCs w:val="24"/>
        </w:rPr>
        <w:t xml:space="preserve"> може да се използва кислород и prednisone.</w:t>
      </w:r>
    </w:p>
    <w:p w14:paraId="7CD0A80F" w14:textId="77777777" w:rsidR="00BE0B19" w:rsidRPr="00AE47C6" w:rsidRDefault="00BE0B19" w:rsidP="00BE0B19">
      <w:pPr>
        <w:numPr>
          <w:ilvl w:val="0"/>
          <w:numId w:val="185"/>
        </w:numPr>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b/>
          <w:i/>
          <w:sz w:val="24"/>
          <w:szCs w:val="24"/>
        </w:rPr>
        <w:t xml:space="preserve">По време на кърмене </w:t>
      </w:r>
      <w:r w:rsidRPr="00AE47C6">
        <w:rPr>
          <w:rFonts w:ascii="Times New Roman" w:eastAsia="SimSun" w:hAnsi="Times New Roman"/>
          <w:sz w:val="24"/>
          <w:szCs w:val="24"/>
        </w:rPr>
        <w:t>може да се използва кислород, sumatriptan и prednisone.</w:t>
      </w:r>
    </w:p>
    <w:p w14:paraId="6BCC451A" w14:textId="77777777" w:rsidR="00BE0B19" w:rsidRPr="00AE47C6" w:rsidRDefault="00BE0B19" w:rsidP="00BE0B19">
      <w:pPr>
        <w:spacing w:after="0" w:line="360" w:lineRule="auto"/>
        <w:ind w:firstLine="720"/>
        <w:jc w:val="both"/>
        <w:rPr>
          <w:rFonts w:ascii="Times New Roman" w:eastAsia="SimSun" w:hAnsi="Times New Roman"/>
          <w:b/>
          <w:sz w:val="24"/>
          <w:szCs w:val="24"/>
        </w:rPr>
      </w:pPr>
    </w:p>
    <w:p w14:paraId="1683E7D1"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3. Профилактично лечение през кластърния период</w:t>
      </w:r>
    </w:p>
    <w:p w14:paraId="5D60E9A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Профилактичното лечение, за да бъде ефективно трябва да има бърз ефект, за да може да предотврати пристъпите в рамките на започналия кластърен период. Прилагането на профилактика за предотвратяване на периода не е ефективна, освен в случаите когато периодът започва винаги в точно определено време на годината. В тези случаи профилактиката може да се започне преди началото на периода. Две седмици след завършването на периода профилактичното лечение се спира, защото то не може да предотврати следващ период. </w:t>
      </w:r>
    </w:p>
    <w:p w14:paraId="69F0BCB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1. Хигиенно-диетичния режим</w:t>
      </w:r>
      <w:r w:rsidRPr="00AE47C6">
        <w:rPr>
          <w:rFonts w:ascii="Times New Roman" w:eastAsia="SimSun" w:hAnsi="Times New Roman"/>
          <w:sz w:val="24"/>
          <w:szCs w:val="24"/>
        </w:rPr>
        <w:t xml:space="preserve"> по време на кластърния период включва преустановяване на приема на всякакви алкохолни продукти и тютюнопушенето. Необходимо е да се спазва определен цикъл на сън и бодърстване, защото продължителният сън провокира пристъпи. Не бива да се спи след обяд, защото това ще увеличи броя на пристъпите. Трябва да се избягват вазодилатативни (nitroglycerin) и антихипертензивни медикаменти и дълготрайната експозиция на летливи субстанции, като разтворители и маслени бои.</w:t>
      </w:r>
    </w:p>
    <w:p w14:paraId="53851E9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2. Кортикостероидите </w:t>
      </w:r>
      <w:r w:rsidRPr="00AE47C6">
        <w:rPr>
          <w:rFonts w:ascii="Times New Roman" w:eastAsia="SimSun" w:hAnsi="Times New Roman"/>
          <w:sz w:val="24"/>
          <w:szCs w:val="24"/>
        </w:rPr>
        <w:t>са най-бързо действащия профилактичен медикамент. Използват се заедно с друг профилактичен медикамент в началото на кластърния период за 5-7 дни за по-бързо постигане на ефекта и постепенно се намаляват, когато другият медикамент задейства. Могат да се прилагат за период от 10 до 20 дни около периода на пристъпите.</w:t>
      </w:r>
    </w:p>
    <w:p w14:paraId="34F3335D" w14:textId="77777777" w:rsidR="00BE0B19" w:rsidRPr="00AE47C6" w:rsidRDefault="00BE0B19" w:rsidP="00BE0B19">
      <w:pPr>
        <w:numPr>
          <w:ilvl w:val="0"/>
          <w:numId w:val="187"/>
        </w:numPr>
        <w:spacing w:after="0" w:line="360" w:lineRule="auto"/>
        <w:ind w:left="0" w:firstLine="720"/>
        <w:jc w:val="both"/>
        <w:rPr>
          <w:rFonts w:ascii="Times New Roman" w:eastAsia="SimSun" w:hAnsi="Times New Roman"/>
          <w:i/>
          <w:sz w:val="24"/>
          <w:szCs w:val="24"/>
        </w:rPr>
      </w:pPr>
      <w:r w:rsidRPr="00AE47C6">
        <w:rPr>
          <w:rFonts w:ascii="Times New Roman" w:eastAsia="SimSun" w:hAnsi="Times New Roman"/>
          <w:i/>
          <w:sz w:val="24"/>
          <w:szCs w:val="24"/>
        </w:rPr>
        <w:t xml:space="preserve">Prednisone – 40 – 80 mg дневно </w:t>
      </w:r>
    </w:p>
    <w:p w14:paraId="71064C9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3. Калциевите антагонисти</w:t>
      </w:r>
      <w:r w:rsidRPr="00AE47C6">
        <w:rPr>
          <w:rFonts w:ascii="Times New Roman" w:eastAsia="SimSun" w:hAnsi="Times New Roman"/>
          <w:sz w:val="24"/>
          <w:szCs w:val="24"/>
        </w:rPr>
        <w:t xml:space="preserve"> са много ефективни. Клиничната ефективност се достига след няколко седмици. </w:t>
      </w:r>
    </w:p>
    <w:p w14:paraId="19B4A2C8" w14:textId="77777777" w:rsidR="00BE0B19" w:rsidRPr="00AE47C6" w:rsidRDefault="00BE0B19" w:rsidP="00BE0B19">
      <w:pPr>
        <w:numPr>
          <w:ilvl w:val="0"/>
          <w:numId w:val="187"/>
        </w:numPr>
        <w:tabs>
          <w:tab w:val="left" w:pos="0"/>
        </w:tabs>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i/>
          <w:sz w:val="24"/>
          <w:szCs w:val="24"/>
        </w:rPr>
        <w:t xml:space="preserve">verapamil </w:t>
      </w:r>
      <w:r w:rsidRPr="00AE47C6">
        <w:rPr>
          <w:rFonts w:ascii="Times New Roman" w:eastAsia="SimSun" w:hAnsi="Times New Roman"/>
          <w:sz w:val="24"/>
          <w:szCs w:val="24"/>
        </w:rPr>
        <w:t>(tabl. 40 и 80 mg) в доза 120 до 160 mg 3-4 пъти дневно. Лечението се започва с 240 mg дневно при нормална ЕКГ. Дозата се увеличава с 80 mg всяка седмица при нормална ЕКГ до постигане на ефект.</w:t>
      </w:r>
    </w:p>
    <w:p w14:paraId="41D5A467"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4. Антиконвулсантите</w:t>
      </w:r>
      <w:r w:rsidRPr="00AE47C6">
        <w:rPr>
          <w:rFonts w:ascii="Times New Roman" w:eastAsia="SimSun" w:hAnsi="Times New Roman"/>
          <w:sz w:val="24"/>
          <w:szCs w:val="24"/>
        </w:rPr>
        <w:t xml:space="preserve"> се прилагат с добър ефект.</w:t>
      </w:r>
    </w:p>
    <w:p w14:paraId="3C10E3C7" w14:textId="77777777" w:rsidR="00BE0B19" w:rsidRPr="00AE47C6" w:rsidRDefault="00BE0B19" w:rsidP="00BE0B19">
      <w:pPr>
        <w:numPr>
          <w:ilvl w:val="0"/>
          <w:numId w:val="187"/>
        </w:numPr>
        <w:tabs>
          <w:tab w:val="left" w:pos="0"/>
        </w:tabs>
        <w:spacing w:after="0" w:line="360" w:lineRule="auto"/>
        <w:ind w:left="0" w:firstLine="720"/>
        <w:jc w:val="both"/>
        <w:rPr>
          <w:rFonts w:ascii="Times New Roman" w:eastAsia="SimSun" w:hAnsi="Times New Roman"/>
          <w:b/>
          <w:sz w:val="24"/>
          <w:szCs w:val="24"/>
        </w:rPr>
      </w:pPr>
      <w:r w:rsidRPr="00AE47C6">
        <w:rPr>
          <w:rFonts w:ascii="Times New Roman" w:eastAsia="SimSun" w:hAnsi="Times New Roman"/>
          <w:i/>
          <w:sz w:val="24"/>
          <w:szCs w:val="24"/>
        </w:rPr>
        <w:t xml:space="preserve">валпроати </w:t>
      </w:r>
      <w:r w:rsidRPr="00AE47C6">
        <w:rPr>
          <w:rFonts w:ascii="Times New Roman" w:eastAsia="SimSun" w:hAnsi="Times New Roman"/>
          <w:sz w:val="24"/>
          <w:szCs w:val="24"/>
        </w:rPr>
        <w:t>– в дневна доза от 600 до 1200 mg разделена на 3-4 приема (плазмено ниво 60-75mg/ml)</w:t>
      </w:r>
    </w:p>
    <w:p w14:paraId="6EFF1365" w14:textId="77777777" w:rsidR="00BE0B19" w:rsidRPr="00AE47C6" w:rsidRDefault="00BE0B19" w:rsidP="00BE0B19">
      <w:pPr>
        <w:numPr>
          <w:ilvl w:val="0"/>
          <w:numId w:val="187"/>
        </w:numPr>
        <w:tabs>
          <w:tab w:val="left" w:pos="0"/>
        </w:tabs>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i/>
          <w:sz w:val="24"/>
          <w:szCs w:val="24"/>
        </w:rPr>
        <w:t xml:space="preserve">topiramate </w:t>
      </w:r>
      <w:r w:rsidRPr="00AE47C6">
        <w:rPr>
          <w:rFonts w:ascii="Times New Roman" w:eastAsia="SimSun" w:hAnsi="Times New Roman"/>
          <w:sz w:val="24"/>
          <w:szCs w:val="24"/>
        </w:rPr>
        <w:t xml:space="preserve">100-200 mg дневно </w:t>
      </w:r>
    </w:p>
    <w:p w14:paraId="4A97FC2E" w14:textId="77777777" w:rsidR="00BE0B19" w:rsidRPr="00AE47C6" w:rsidRDefault="00BE0B19" w:rsidP="00BE0B19">
      <w:pPr>
        <w:numPr>
          <w:ilvl w:val="0"/>
          <w:numId w:val="187"/>
        </w:numPr>
        <w:tabs>
          <w:tab w:val="left" w:pos="0"/>
        </w:tabs>
        <w:spacing w:after="0" w:line="360" w:lineRule="auto"/>
        <w:ind w:left="0" w:firstLine="720"/>
        <w:jc w:val="both"/>
        <w:rPr>
          <w:rFonts w:ascii="Times New Roman" w:eastAsia="SimSun" w:hAnsi="Times New Roman"/>
          <w:sz w:val="24"/>
          <w:szCs w:val="24"/>
        </w:rPr>
      </w:pPr>
      <w:r w:rsidRPr="00AE47C6">
        <w:rPr>
          <w:rFonts w:ascii="Times New Roman" w:eastAsia="SimSun" w:hAnsi="Times New Roman"/>
          <w:i/>
          <w:sz w:val="24"/>
          <w:szCs w:val="24"/>
        </w:rPr>
        <w:t xml:space="preserve">gabapentin </w:t>
      </w:r>
      <w:r w:rsidRPr="00AE47C6">
        <w:rPr>
          <w:rFonts w:ascii="Times New Roman" w:eastAsia="SimSun" w:hAnsi="Times New Roman"/>
          <w:sz w:val="24"/>
          <w:szCs w:val="24"/>
        </w:rPr>
        <w:t>900 – 1800 mg дневно</w:t>
      </w:r>
    </w:p>
    <w:p w14:paraId="43B25F8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5. Lithium carbonate</w:t>
      </w:r>
      <w:r w:rsidRPr="00AE47C6">
        <w:rPr>
          <w:rFonts w:ascii="Times New Roman" w:eastAsia="SimSun" w:hAnsi="Times New Roman"/>
          <w:sz w:val="24"/>
          <w:szCs w:val="24"/>
        </w:rPr>
        <w:t xml:space="preserve"> 300 mg 2 до 4 пъти дневно е ефективен при 60% от пациентите, предимно при хронично главоболие. При необходимост дозата може след няколко седмици да се повиши до 1200 mg дневно, но серумната концентрация трябва да се поддържа под 1,2 mEq/l. При пациенти с хронично главоболие лечението продължава 6-12 месеца, след което дозите се намаляват бавно. Серумната концентрация трябва да се измерва всяка седмица през първият месец, след което – всеки месец.</w:t>
      </w:r>
    </w:p>
    <w:p w14:paraId="2D07B0A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6. Локалните блокади</w:t>
      </w:r>
      <w:r w:rsidRPr="00AE47C6">
        <w:rPr>
          <w:rFonts w:ascii="Times New Roman" w:eastAsia="SimSun" w:hAnsi="Times New Roman"/>
          <w:sz w:val="24"/>
          <w:szCs w:val="24"/>
        </w:rPr>
        <w:t xml:space="preserve"> на n. occipitalis major, ипсилатерално на болковите пристъпи, с кортикостероид и локален анестетик са ефективни. Прилагат се през 3 последователни дни.</w:t>
      </w:r>
    </w:p>
    <w:p w14:paraId="1B11FFF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По време на бременност</w:t>
      </w:r>
      <w:r w:rsidRPr="00AE47C6">
        <w:rPr>
          <w:rFonts w:ascii="Times New Roman" w:eastAsia="SimSun" w:hAnsi="Times New Roman"/>
          <w:sz w:val="24"/>
          <w:szCs w:val="24"/>
        </w:rPr>
        <w:t xml:space="preserve"> може да се използва verapamil или gabapentin, както и окципитално нервни блокади с анестетик и кортикостероид.</w:t>
      </w:r>
    </w:p>
    <w:p w14:paraId="1C95912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i/>
          <w:sz w:val="24"/>
          <w:szCs w:val="24"/>
        </w:rPr>
        <w:t>По време на кърмене</w:t>
      </w:r>
      <w:r w:rsidRPr="00AE47C6">
        <w:rPr>
          <w:rFonts w:ascii="Times New Roman" w:eastAsia="SimSun" w:hAnsi="Times New Roman"/>
          <w:sz w:val="24"/>
          <w:szCs w:val="24"/>
        </w:rPr>
        <w:t xml:space="preserve"> може да се използва prednisone, prednisolone, verapamil и lithium carbonate, както и окципитално нервни блокади с анестетик и кортикостероид.</w:t>
      </w:r>
    </w:p>
    <w:p w14:paraId="30ED7622"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noProof/>
          <w:sz w:val="24"/>
          <w:szCs w:val="24"/>
          <w:lang w:eastAsia="bg-BG"/>
        </w:rPr>
        <w:drawing>
          <wp:inline distT="0" distB="0" distL="0" distR="0" wp14:anchorId="200BC089" wp14:editId="7DE5FA91">
            <wp:extent cx="6120130" cy="8496300"/>
            <wp:effectExtent l="152400" t="0" r="0" b="0"/>
            <wp:docPr id="302" name="Diagram 30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7" r:lo="rId168" r:qs="rId169" r:cs="rId170"/>
              </a:graphicData>
            </a:graphic>
          </wp:inline>
        </w:drawing>
      </w:r>
    </w:p>
    <w:p w14:paraId="20D9B358"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Фигура 13.3. Лечение на кластърното главоболие</w:t>
      </w:r>
      <w:r w:rsidRPr="00AE47C6">
        <w:rPr>
          <w:rFonts w:ascii="Times New Roman" w:eastAsia="SimSun" w:hAnsi="Times New Roman"/>
          <w:b/>
          <w:sz w:val="24"/>
          <w:szCs w:val="24"/>
        </w:rPr>
        <w:br w:type="page"/>
      </w:r>
    </w:p>
    <w:p w14:paraId="6136F071"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4. Лечение на пароксизмалната хемикрания</w:t>
      </w:r>
    </w:p>
    <w:p w14:paraId="13B2F67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Лекува се профилактично, защото пристъпите са твърде кратки, за да се разчита на терапевтично повлияване. Повлиява се драматично 48 часа след започване на лечение с indomethacin 25-50 mg 3-4 пъти дневно перорално или ректално. Дозата трябва да се поддържа по 150 mg дневно през първите 3-4 дни, до получаване на ефект. След това се преминава на индивидуална поддържаща доза, в зависимост от честотата и силата на пристъпите. При пациенти с епизодична форма лечението трябва да продължи малко по-дълго от времето, през което продължава обичайния период и после постепенно дозите да се намалят. При хроничната форма лечението продължава поне 6 месеца и се опитва намаляване на дозите и спиране на медикамента.</w:t>
      </w:r>
    </w:p>
    <w:p w14:paraId="53A718A3"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4C690F63" w14:textId="77777777" w:rsidR="00BE0B19" w:rsidRPr="00AE47C6" w:rsidRDefault="00BE0B19" w:rsidP="00BE0B19">
      <w:pPr>
        <w:spacing w:after="0" w:line="360" w:lineRule="auto"/>
        <w:ind w:left="851"/>
        <w:jc w:val="both"/>
        <w:rPr>
          <w:rFonts w:ascii="Times New Roman" w:eastAsia="SimSun" w:hAnsi="Times New Roman"/>
          <w:b/>
          <w:sz w:val="24"/>
          <w:szCs w:val="24"/>
        </w:rPr>
      </w:pPr>
      <w:r w:rsidRPr="00AE47C6">
        <w:rPr>
          <w:rFonts w:ascii="Times New Roman" w:eastAsia="SimSun" w:hAnsi="Times New Roman"/>
          <w:b/>
          <w:sz w:val="24"/>
          <w:szCs w:val="24"/>
        </w:rPr>
        <w:t xml:space="preserve">5. Лечение на SUNCT </w:t>
      </w:r>
    </w:p>
    <w:p w14:paraId="7580319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Лекува се само профилактично, защото пристъпите са твърде краткотрайни, за да се разчита на тяхното терапевтично повлияване. Прилага се дълготрайно и краткотрайно профилактично лечение.</w:t>
      </w:r>
    </w:p>
    <w:p w14:paraId="51FA510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Дълготрайното профилактично лечение</w:t>
      </w:r>
      <w:r w:rsidRPr="00AE47C6">
        <w:rPr>
          <w:rFonts w:ascii="Times New Roman" w:eastAsia="SimSun" w:hAnsi="Times New Roman"/>
          <w:sz w:val="24"/>
          <w:szCs w:val="24"/>
        </w:rPr>
        <w:t xml:space="preserve"> се провежда на първо място </w:t>
      </w:r>
      <w:r w:rsidRPr="00AE47C6">
        <w:rPr>
          <w:rFonts w:ascii="Times New Roman" w:eastAsia="SimSun" w:hAnsi="Times New Roman"/>
          <w:i/>
          <w:sz w:val="24"/>
          <w:szCs w:val="24"/>
        </w:rPr>
        <w:t>с lamotrigine</w:t>
      </w:r>
      <w:r w:rsidRPr="00AE47C6">
        <w:rPr>
          <w:rFonts w:ascii="Times New Roman" w:eastAsia="SimSun" w:hAnsi="Times New Roman"/>
          <w:sz w:val="24"/>
          <w:szCs w:val="24"/>
        </w:rPr>
        <w:t xml:space="preserve"> (100 – 400 mg дн.). Медикаменти на втори избор са </w:t>
      </w:r>
      <w:r w:rsidRPr="00AE47C6">
        <w:rPr>
          <w:rFonts w:ascii="Times New Roman" w:eastAsia="SimSun" w:hAnsi="Times New Roman"/>
          <w:i/>
          <w:sz w:val="24"/>
          <w:szCs w:val="24"/>
        </w:rPr>
        <w:t>topiramate</w:t>
      </w:r>
      <w:r w:rsidRPr="00AE47C6">
        <w:rPr>
          <w:rFonts w:ascii="Times New Roman" w:eastAsia="SimSun" w:hAnsi="Times New Roman"/>
          <w:sz w:val="24"/>
          <w:szCs w:val="24"/>
        </w:rPr>
        <w:t xml:space="preserve"> (50 – 300 mg дн.) и </w:t>
      </w:r>
      <w:r w:rsidRPr="00AE47C6">
        <w:rPr>
          <w:rFonts w:ascii="Times New Roman" w:eastAsia="SimSun" w:hAnsi="Times New Roman"/>
          <w:i/>
          <w:sz w:val="24"/>
          <w:szCs w:val="24"/>
        </w:rPr>
        <w:t>gabapentin</w:t>
      </w:r>
      <w:r w:rsidRPr="00AE47C6">
        <w:rPr>
          <w:rFonts w:ascii="Times New Roman" w:eastAsia="SimSun" w:hAnsi="Times New Roman"/>
          <w:sz w:val="24"/>
          <w:szCs w:val="24"/>
        </w:rPr>
        <w:t xml:space="preserve"> (800 – 2700 mg дн.), който е по-ефективен при SUNA. На трето място при липса на ефект може да се приложи </w:t>
      </w:r>
      <w:r w:rsidRPr="00AE47C6">
        <w:rPr>
          <w:rFonts w:ascii="Times New Roman" w:eastAsia="SimSun" w:hAnsi="Times New Roman"/>
          <w:i/>
          <w:sz w:val="24"/>
          <w:szCs w:val="24"/>
        </w:rPr>
        <w:t>carbamazepine</w:t>
      </w:r>
      <w:r w:rsidRPr="00AE47C6">
        <w:rPr>
          <w:rFonts w:ascii="Times New Roman" w:eastAsia="SimSun" w:hAnsi="Times New Roman"/>
          <w:sz w:val="24"/>
          <w:szCs w:val="24"/>
        </w:rPr>
        <w:t xml:space="preserve"> самостоятелно или в комбинация с литий, </w:t>
      </w:r>
      <w:r w:rsidRPr="00AE47C6">
        <w:rPr>
          <w:rFonts w:ascii="Times New Roman" w:eastAsia="SimSun" w:hAnsi="Times New Roman"/>
          <w:i/>
          <w:sz w:val="24"/>
          <w:szCs w:val="24"/>
        </w:rPr>
        <w:t>naloxone, verapamil или prednisolone</w:t>
      </w:r>
      <w:r w:rsidRPr="00AE47C6">
        <w:rPr>
          <w:rFonts w:ascii="Times New Roman" w:eastAsia="SimSun" w:hAnsi="Times New Roman"/>
          <w:sz w:val="24"/>
          <w:szCs w:val="24"/>
        </w:rPr>
        <w:t xml:space="preserve">. </w:t>
      </w:r>
    </w:p>
    <w:p w14:paraId="0B03732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i/>
          <w:sz w:val="24"/>
          <w:szCs w:val="24"/>
        </w:rPr>
        <w:t>Краткотрайно профилактично лечение</w:t>
      </w:r>
      <w:r w:rsidRPr="00AE47C6">
        <w:rPr>
          <w:rFonts w:ascii="Times New Roman" w:eastAsia="SimSun" w:hAnsi="Times New Roman"/>
          <w:sz w:val="24"/>
          <w:szCs w:val="24"/>
        </w:rPr>
        <w:t xml:space="preserve"> се прилага по време на симптоматичния период, като пациента се хоспитализира. В тези случаи пациентите са силно инвалидизирани, защото в много случаи не могат да се хранят и да пият течности, което тригерира нов пристъп. Прилагат се интравенозно lidocaine или кортикостероиди, като междувременно се оптимизира основното дълготрайно профилактично лечение. </w:t>
      </w:r>
    </w:p>
    <w:p w14:paraId="1E657171"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34BDC076" w14:textId="77777777" w:rsidR="00BE0B19" w:rsidRPr="00AE47C6" w:rsidRDefault="00BE0B19" w:rsidP="00BE0B19">
      <w:pPr>
        <w:spacing w:after="0" w:line="360" w:lineRule="auto"/>
        <w:ind w:left="851"/>
        <w:jc w:val="both"/>
        <w:rPr>
          <w:rFonts w:ascii="Times New Roman" w:eastAsia="SimSun" w:hAnsi="Times New Roman"/>
          <w:b/>
          <w:sz w:val="24"/>
          <w:szCs w:val="24"/>
        </w:rPr>
      </w:pPr>
      <w:r w:rsidRPr="00AE47C6">
        <w:rPr>
          <w:rFonts w:ascii="Times New Roman" w:eastAsia="SimSun" w:hAnsi="Times New Roman"/>
          <w:b/>
          <w:sz w:val="24"/>
          <w:szCs w:val="24"/>
        </w:rPr>
        <w:t>6. Нemicrania continua</w:t>
      </w:r>
    </w:p>
    <w:p w14:paraId="6E8D427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Повлиява се от профилактично лечение с indomethacin 25 – 300 mg. Ефектът настъпва 1-2 дни до 2 седмици след достигане на необходимата терапевтична доза. На всеки 6 месеца лечението се преустановява, за да се провери за спонтанно настъпила ремисия. </w:t>
      </w:r>
    </w:p>
    <w:p w14:paraId="3C3C8429" w14:textId="77777777" w:rsidR="00BE0B19" w:rsidRPr="00AE47C6" w:rsidRDefault="00BE0B19" w:rsidP="00BE0B19">
      <w:pPr>
        <w:spacing w:after="0" w:line="360" w:lineRule="auto"/>
        <w:ind w:left="644"/>
        <w:jc w:val="both"/>
        <w:rPr>
          <w:rFonts w:ascii="Times New Roman" w:eastAsia="SimSun" w:hAnsi="Times New Roman"/>
          <w:b/>
          <w:sz w:val="24"/>
          <w:szCs w:val="24"/>
        </w:rPr>
      </w:pPr>
      <w:r w:rsidRPr="00AE47C6">
        <w:rPr>
          <w:rFonts w:ascii="Times New Roman" w:eastAsia="SimSun" w:hAnsi="Times New Roman"/>
          <w:b/>
          <w:sz w:val="24"/>
          <w:szCs w:val="24"/>
        </w:rPr>
        <w:br w:type="page"/>
      </w:r>
    </w:p>
    <w:p w14:paraId="78A6EF22" w14:textId="77777777" w:rsidR="00BE0B19" w:rsidRPr="00AE47C6" w:rsidRDefault="00BE0B19" w:rsidP="00BE0B19">
      <w:pPr>
        <w:keepNext/>
        <w:keepLines/>
        <w:pageBreakBefore/>
        <w:spacing w:before="480" w:after="480"/>
        <w:outlineLvl w:val="0"/>
        <w:rPr>
          <w:rFonts w:ascii="Times New Roman" w:eastAsia="SimSun" w:hAnsi="Times New Roman"/>
          <w:b/>
          <w:bCs/>
          <w:sz w:val="28"/>
          <w:szCs w:val="28"/>
        </w:rPr>
      </w:pPr>
      <w:bookmarkStart w:id="292" w:name="_Toc155651825"/>
      <w:bookmarkStart w:id="293" w:name="_Toc164075959"/>
      <w:r w:rsidRPr="00AE47C6">
        <w:rPr>
          <w:rFonts w:ascii="Times New Roman" w:eastAsia="SimSun" w:hAnsi="Times New Roman"/>
          <w:b/>
          <w:bCs/>
          <w:sz w:val="28"/>
          <w:szCs w:val="28"/>
        </w:rPr>
        <w:t>14. Туберозна склероза комплекс</w:t>
      </w:r>
      <w:bookmarkEnd w:id="292"/>
      <w:bookmarkEnd w:id="293"/>
    </w:p>
    <w:p w14:paraId="3730EE2D"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Туберозната склероза (Tuberous Sclerosis Complex, TSC) се характеризира с мултиорганно засягане на мозъка, сърцето, кожата, бъбреците, белия и черния дроб, и склонност към образуване на доброкачествени тумори. Клиничните изяви на заболяването са изключително разнообразни поради засягане на различни органи и системи, с възможно начало от кърмаческата до зрялата възраст и с различна тежест. Много от проявите са животозастрашаващи и за ограничаване на болестността и смъртността при това заболяване е необходимо ранно диагностициране, комплексно проследяване от различни специалисти и адекватно лечение за постигане на оптимално качество на живот на засегнатите лица.</w:t>
      </w:r>
    </w:p>
    <w:p w14:paraId="6B2E13E1"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 Епидемиология и етиология</w:t>
      </w:r>
      <w:r w:rsidRPr="00AE47C6">
        <w:rPr>
          <w:rFonts w:ascii="Times New Roman" w:eastAsia="SimSun" w:hAnsi="Times New Roman"/>
          <w:sz w:val="24"/>
          <w:szCs w:val="24"/>
        </w:rPr>
        <w:t>. Туберозната склероза е рядко генетично заболяване с автозомно-доминантно предаване, с честота 1 на 6 000 – 10 000 раждания (1:5 800). Болестността е 10-16: 100 000 или 1:12 500 - 1:20 000.</w:t>
      </w:r>
    </w:p>
    <w:p w14:paraId="61BD8F47"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iCs/>
          <w:sz w:val="24"/>
          <w:szCs w:val="24"/>
        </w:rPr>
      </w:pPr>
      <w:r w:rsidRPr="00AE47C6">
        <w:rPr>
          <w:rFonts w:ascii="Times New Roman" w:eastAsia="SimSun" w:hAnsi="Times New Roman"/>
          <w:sz w:val="24"/>
          <w:szCs w:val="24"/>
        </w:rPr>
        <w:t xml:space="preserve">Причинява се от мутации в туморсупресиращите гени </w:t>
      </w:r>
      <w:r w:rsidRPr="00AE47C6">
        <w:rPr>
          <w:rFonts w:ascii="Times New Roman" w:eastAsia="SimSun" w:hAnsi="Times New Roman"/>
          <w:i/>
          <w:sz w:val="24"/>
          <w:szCs w:val="24"/>
        </w:rPr>
        <w:t>TSC1</w:t>
      </w:r>
      <w:r w:rsidRPr="00AE47C6">
        <w:rPr>
          <w:rFonts w:ascii="Times New Roman" w:eastAsia="SimSun" w:hAnsi="Times New Roman"/>
          <w:sz w:val="24"/>
          <w:szCs w:val="24"/>
        </w:rPr>
        <w:t xml:space="preserve"> (9q34) и </w:t>
      </w:r>
      <w:r w:rsidRPr="00AE47C6">
        <w:rPr>
          <w:rFonts w:ascii="Times New Roman" w:eastAsia="SimSun" w:hAnsi="Times New Roman"/>
          <w:i/>
          <w:sz w:val="24"/>
          <w:szCs w:val="24"/>
        </w:rPr>
        <w:t>TSC2</w:t>
      </w:r>
      <w:r w:rsidRPr="00AE47C6">
        <w:rPr>
          <w:rFonts w:ascii="Times New Roman" w:eastAsia="SimSun" w:hAnsi="Times New Roman"/>
          <w:sz w:val="24"/>
          <w:szCs w:val="24"/>
        </w:rPr>
        <w:t xml:space="preserve"> (</w:t>
      </w:r>
      <w:hyperlink r:id="rId172" w:tooltip="Chromosome 16" w:history="1">
        <w:r w:rsidRPr="00AE47C6">
          <w:rPr>
            <w:rFonts w:ascii="Times New Roman" w:eastAsia="SimSun" w:hAnsi="Times New Roman"/>
            <w:sz w:val="24"/>
            <w:szCs w:val="24"/>
          </w:rPr>
          <w:t>16</w:t>
        </w:r>
      </w:hyperlink>
      <w:r w:rsidRPr="00AE47C6">
        <w:rPr>
          <w:rFonts w:ascii="Times New Roman" w:eastAsia="SimSun" w:hAnsi="Times New Roman"/>
          <w:sz w:val="24"/>
          <w:szCs w:val="24"/>
        </w:rPr>
        <w:t xml:space="preserve"> p13.3). </w:t>
      </w:r>
      <w:r w:rsidRPr="00AE47C6">
        <w:rPr>
          <w:rFonts w:ascii="Times New Roman" w:eastAsia="SimSun" w:hAnsi="Times New Roman"/>
          <w:i/>
          <w:sz w:val="24"/>
          <w:szCs w:val="24"/>
        </w:rPr>
        <w:t>TSC1</w:t>
      </w:r>
      <w:r w:rsidRPr="00AE47C6">
        <w:rPr>
          <w:rFonts w:ascii="Times New Roman" w:eastAsia="SimSun" w:hAnsi="Times New Roman"/>
          <w:sz w:val="24"/>
          <w:szCs w:val="24"/>
        </w:rPr>
        <w:t xml:space="preserve"> генът (9q34) кодира TSC1 протеина hamartin, а </w:t>
      </w:r>
      <w:r w:rsidRPr="00AE47C6">
        <w:rPr>
          <w:rFonts w:ascii="Times New Roman" w:eastAsia="SimSun" w:hAnsi="Times New Roman"/>
          <w:i/>
          <w:sz w:val="24"/>
          <w:szCs w:val="24"/>
        </w:rPr>
        <w:t>TSC2</w:t>
      </w:r>
      <w:r w:rsidRPr="00AE47C6">
        <w:rPr>
          <w:rFonts w:ascii="Times New Roman" w:eastAsia="SimSun" w:hAnsi="Times New Roman"/>
          <w:sz w:val="24"/>
          <w:szCs w:val="24"/>
        </w:rPr>
        <w:t xml:space="preserve"> генът (</w:t>
      </w:r>
      <w:hyperlink r:id="rId173" w:tooltip="Chromosome 16" w:history="1">
        <w:r w:rsidRPr="00AE47C6">
          <w:rPr>
            <w:rFonts w:ascii="Times New Roman" w:eastAsia="SimSun" w:hAnsi="Times New Roman"/>
            <w:sz w:val="24"/>
            <w:szCs w:val="24"/>
          </w:rPr>
          <w:t>16</w:t>
        </w:r>
      </w:hyperlink>
      <w:r w:rsidRPr="00AE47C6">
        <w:rPr>
          <w:rFonts w:ascii="Times New Roman" w:eastAsia="SimSun" w:hAnsi="Times New Roman"/>
          <w:sz w:val="24"/>
          <w:szCs w:val="24"/>
        </w:rPr>
        <w:t xml:space="preserve"> p13.3) кодира синтеза на TSC2 протеина tuberin. Hamartin и tuberin инхибират rapamycin complex 1 (mTORC1)- протеинкиназа, регулираща протеиновия синтез, клетъчния растеж и пролиферация. Дефицитът им обуславя дизрегулация в mTOR сигналния път, свръхактивност на mTORC1 и туморен растеж. Локализацията на hamartin и tuberin в много тъкани определя мултиорганното засягане при заболяването. Мутацията в </w:t>
      </w:r>
      <w:r w:rsidRPr="00AE47C6">
        <w:rPr>
          <w:rFonts w:ascii="Times New Roman" w:eastAsia="SimSun" w:hAnsi="Times New Roman"/>
          <w:iCs/>
          <w:sz w:val="24"/>
          <w:szCs w:val="24"/>
          <w:u w:val="single"/>
        </w:rPr>
        <w:t>TSC2</w:t>
      </w:r>
      <w:r w:rsidRPr="00AE47C6">
        <w:rPr>
          <w:rFonts w:ascii="Times New Roman" w:eastAsia="SimSun" w:hAnsi="Times New Roman"/>
          <w:iCs/>
          <w:sz w:val="24"/>
          <w:szCs w:val="24"/>
        </w:rPr>
        <w:t xml:space="preserve"> е по-честа при TSC (55% до 90% от случаите) и тя обуславя по-тежко протичане на заболяването. Съпътстващата автозомно-доминантна бъбречна поликистоза (PKD) при около 2% от TSC болните се дължи на делеции в 16 хромозома с едновременни мутации в </w:t>
      </w:r>
      <w:r w:rsidRPr="00AE47C6">
        <w:rPr>
          <w:rFonts w:ascii="Times New Roman" w:eastAsia="SimSun" w:hAnsi="Times New Roman"/>
          <w:i/>
          <w:iCs/>
          <w:sz w:val="24"/>
          <w:szCs w:val="24"/>
        </w:rPr>
        <w:t>PKD1</w:t>
      </w:r>
      <w:r w:rsidRPr="00AE47C6">
        <w:rPr>
          <w:rFonts w:ascii="Times New Roman" w:eastAsia="SimSun" w:hAnsi="Times New Roman"/>
          <w:iCs/>
          <w:sz w:val="24"/>
          <w:szCs w:val="24"/>
        </w:rPr>
        <w:t xml:space="preserve"> гена и гена </w:t>
      </w:r>
      <w:r w:rsidRPr="00AE47C6">
        <w:rPr>
          <w:rFonts w:ascii="Times New Roman" w:eastAsia="SimSun" w:hAnsi="Times New Roman"/>
          <w:i/>
          <w:iCs/>
          <w:sz w:val="24"/>
          <w:szCs w:val="24"/>
        </w:rPr>
        <w:t>TSC2</w:t>
      </w:r>
      <w:r w:rsidRPr="00AE47C6">
        <w:rPr>
          <w:rFonts w:ascii="Times New Roman" w:eastAsia="SimSun" w:hAnsi="Times New Roman"/>
          <w:iCs/>
          <w:sz w:val="24"/>
          <w:szCs w:val="24"/>
        </w:rPr>
        <w:t xml:space="preserve"> (</w:t>
      </w:r>
      <w:hyperlink r:id="rId174" w:tooltip="Chromosome 16" w:history="1">
        <w:r w:rsidRPr="00AE47C6">
          <w:rPr>
            <w:rFonts w:ascii="Times New Roman" w:eastAsia="SimSun" w:hAnsi="Times New Roman"/>
            <w:iCs/>
            <w:sz w:val="24"/>
            <w:szCs w:val="24"/>
          </w:rPr>
          <w:t>16</w:t>
        </w:r>
      </w:hyperlink>
      <w:r w:rsidRPr="00AE47C6">
        <w:rPr>
          <w:rFonts w:ascii="Times New Roman" w:eastAsia="SimSun" w:hAnsi="Times New Roman"/>
          <w:iCs/>
          <w:sz w:val="24"/>
          <w:szCs w:val="24"/>
        </w:rPr>
        <w:t xml:space="preserve"> p13.3). </w:t>
      </w:r>
    </w:p>
    <w:p w14:paraId="402E9067" w14:textId="77777777" w:rsidR="00BE0B19" w:rsidRPr="00AE47C6" w:rsidRDefault="00BE0B19" w:rsidP="00BE0B19">
      <w:pPr>
        <w:autoSpaceDE w:val="0"/>
        <w:autoSpaceDN w:val="0"/>
        <w:adjustRightInd w:val="0"/>
        <w:spacing w:after="0" w:line="360" w:lineRule="auto"/>
        <w:ind w:right="-41" w:firstLine="709"/>
        <w:jc w:val="both"/>
        <w:rPr>
          <w:rFonts w:ascii="Times New Roman" w:eastAsia="SimSun" w:hAnsi="Times New Roman"/>
          <w:sz w:val="24"/>
          <w:szCs w:val="24"/>
        </w:rPr>
      </w:pPr>
      <w:r w:rsidRPr="00AE47C6">
        <w:rPr>
          <w:rFonts w:ascii="Times New Roman" w:eastAsia="SimSun" w:hAnsi="Times New Roman"/>
          <w:b/>
          <w:sz w:val="24"/>
          <w:szCs w:val="24"/>
        </w:rPr>
        <w:t>Диагностицирането на туберозната склероза</w:t>
      </w:r>
      <w:r w:rsidRPr="00AE47C6">
        <w:rPr>
          <w:rFonts w:ascii="Times New Roman" w:eastAsia="SimSun" w:hAnsi="Times New Roman"/>
          <w:sz w:val="24"/>
          <w:szCs w:val="24"/>
        </w:rPr>
        <w:t xml:space="preserve"> е на базата на комбинация от клинични синдроми с различна честота и възрастова зависимост на изявата при мултиорганно засягане на организма (Табл. 14.1). Няма патогномонични симптоми. </w:t>
      </w:r>
    </w:p>
    <w:p w14:paraId="556691B0" w14:textId="77777777" w:rsidR="00BE0B19" w:rsidRPr="00AE47C6" w:rsidRDefault="00BE0B19" w:rsidP="00BE0B19">
      <w:pPr>
        <w:autoSpaceDE w:val="0"/>
        <w:autoSpaceDN w:val="0"/>
        <w:adjustRightInd w:val="0"/>
        <w:spacing w:after="0" w:line="360" w:lineRule="auto"/>
        <w:ind w:right="-41" w:firstLine="709"/>
        <w:jc w:val="both"/>
        <w:rPr>
          <w:rFonts w:ascii="Times New Roman" w:eastAsia="SimSun" w:hAnsi="Times New Roman"/>
          <w:sz w:val="24"/>
          <w:szCs w:val="24"/>
        </w:rPr>
      </w:pPr>
      <w:r w:rsidRPr="00AE47C6">
        <w:rPr>
          <w:rFonts w:ascii="Times New Roman" w:eastAsia="SimSun" w:hAnsi="Times New Roman"/>
          <w:sz w:val="24"/>
          <w:szCs w:val="24"/>
        </w:rPr>
        <w:t>Пренатално и през първата година се манифестират клинично сърдечните рабдомиоми, неврологичните и кожните синдроми - от раждането и през първата година, очните- между 1 и 5 г., бъбречните- между 5 е 10 г., белодробните- над 18 г.</w:t>
      </w:r>
    </w:p>
    <w:p w14:paraId="5AEFF7B6" w14:textId="77777777" w:rsidR="00BE0B19" w:rsidRPr="00AE47C6" w:rsidRDefault="00BE0B19" w:rsidP="00BE0B19">
      <w:pPr>
        <w:spacing w:after="0" w:line="360" w:lineRule="auto"/>
        <w:ind w:right="-426" w:firstLine="709"/>
        <w:jc w:val="both"/>
        <w:rPr>
          <w:rFonts w:ascii="Times New Roman" w:eastAsia="SimSun" w:hAnsi="Times New Roman"/>
          <w:b/>
          <w:sz w:val="24"/>
          <w:szCs w:val="24"/>
        </w:rPr>
      </w:pPr>
      <w:r w:rsidRPr="00AE47C6">
        <w:rPr>
          <w:rFonts w:ascii="Times New Roman" w:eastAsia="SimSun" w:hAnsi="Times New Roman"/>
          <w:b/>
          <w:sz w:val="24"/>
          <w:szCs w:val="24"/>
        </w:rPr>
        <w:t>Таблица 14. 1</w:t>
      </w:r>
      <w:r w:rsidRPr="00AE47C6">
        <w:rPr>
          <w:rFonts w:ascii="Times New Roman" w:eastAsia="SimSun" w:hAnsi="Times New Roman"/>
          <w:b/>
          <w:bCs/>
          <w:sz w:val="24"/>
          <w:szCs w:val="24"/>
        </w:rPr>
        <w:t>. Вид, честота и начало на клиничните изяви при туберозната склероза</w:t>
      </w: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912"/>
        <w:gridCol w:w="2160"/>
      </w:tblGrid>
      <w:tr w:rsidR="00BE0B19" w:rsidRPr="00AE47C6" w14:paraId="7C8C034F" w14:textId="77777777" w:rsidTr="00AD72E5">
        <w:trPr>
          <w:trHeight w:val="331"/>
        </w:trPr>
        <w:tc>
          <w:tcPr>
            <w:tcW w:w="7338" w:type="dxa"/>
          </w:tcPr>
          <w:p w14:paraId="42FED4BD"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bCs/>
                <w:kern w:val="24"/>
                <w:sz w:val="24"/>
                <w:szCs w:val="24"/>
              </w:rPr>
              <w:t>Клинични прояви, начало на изява</w:t>
            </w:r>
          </w:p>
        </w:tc>
        <w:tc>
          <w:tcPr>
            <w:tcW w:w="2268" w:type="dxa"/>
          </w:tcPr>
          <w:p w14:paraId="45342569"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bCs/>
                <w:kern w:val="24"/>
                <w:sz w:val="24"/>
                <w:szCs w:val="24"/>
              </w:rPr>
              <w:t>Честота</w:t>
            </w:r>
          </w:p>
        </w:tc>
      </w:tr>
      <w:tr w:rsidR="00BE0B19" w:rsidRPr="00AE47C6" w14:paraId="1A79C476" w14:textId="77777777" w:rsidTr="00AD72E5">
        <w:trPr>
          <w:trHeight w:val="231"/>
        </w:trPr>
        <w:tc>
          <w:tcPr>
            <w:tcW w:w="7338" w:type="dxa"/>
          </w:tcPr>
          <w:p w14:paraId="2267E98F"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bCs/>
                <w:kern w:val="24"/>
                <w:sz w:val="24"/>
                <w:szCs w:val="24"/>
              </w:rPr>
              <w:t>Хипопигментни петна</w:t>
            </w:r>
            <w:r w:rsidRPr="00AE47C6">
              <w:rPr>
                <w:rFonts w:ascii="Times New Roman" w:eastAsia="SimSun" w:hAnsi="Times New Roman"/>
                <w:kern w:val="24"/>
                <w:sz w:val="24"/>
                <w:szCs w:val="24"/>
              </w:rPr>
              <w:t xml:space="preserve"> – от раждането</w:t>
            </w:r>
          </w:p>
        </w:tc>
        <w:tc>
          <w:tcPr>
            <w:tcW w:w="2268" w:type="dxa"/>
          </w:tcPr>
          <w:p w14:paraId="0777D02B"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87-100%</w:t>
            </w:r>
          </w:p>
        </w:tc>
      </w:tr>
      <w:tr w:rsidR="00BE0B19" w:rsidRPr="00AE47C6" w14:paraId="03C086A9" w14:textId="77777777" w:rsidTr="00AD72E5">
        <w:trPr>
          <w:trHeight w:val="177"/>
        </w:trPr>
        <w:tc>
          <w:tcPr>
            <w:tcW w:w="7338" w:type="dxa"/>
          </w:tcPr>
          <w:p w14:paraId="4C72973E"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bCs/>
                <w:kern w:val="24"/>
                <w:sz w:val="24"/>
                <w:szCs w:val="24"/>
              </w:rPr>
              <w:t>Ангиофиброми</w:t>
            </w:r>
            <w:r w:rsidRPr="00AE47C6">
              <w:rPr>
                <w:rFonts w:ascii="Times New Roman" w:eastAsia="SimSun" w:hAnsi="Times New Roman"/>
                <w:kern w:val="24"/>
                <w:sz w:val="24"/>
                <w:szCs w:val="24"/>
              </w:rPr>
              <w:t>– ранна детска възраст</w:t>
            </w:r>
          </w:p>
        </w:tc>
        <w:tc>
          <w:tcPr>
            <w:tcW w:w="2268" w:type="dxa"/>
          </w:tcPr>
          <w:p w14:paraId="6320FE16"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75-90%</w:t>
            </w:r>
          </w:p>
        </w:tc>
      </w:tr>
      <w:tr w:rsidR="00BE0B19" w:rsidRPr="00AE47C6" w14:paraId="3674E75A" w14:textId="77777777" w:rsidTr="00AD72E5">
        <w:trPr>
          <w:trHeight w:val="508"/>
        </w:trPr>
        <w:tc>
          <w:tcPr>
            <w:tcW w:w="7338" w:type="dxa"/>
          </w:tcPr>
          <w:p w14:paraId="0BFAADC1"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bCs/>
                <w:kern w:val="24"/>
                <w:sz w:val="24"/>
                <w:szCs w:val="24"/>
              </w:rPr>
              <w:t>Дефекти в зъбния емайл</w:t>
            </w:r>
            <w:r w:rsidRPr="00AE47C6">
              <w:rPr>
                <w:rFonts w:ascii="Times New Roman" w:eastAsia="SimSun" w:hAnsi="Times New Roman"/>
                <w:kern w:val="24"/>
                <w:sz w:val="24"/>
                <w:szCs w:val="24"/>
              </w:rPr>
              <w:t xml:space="preserve"> – детска възраст</w:t>
            </w:r>
          </w:p>
        </w:tc>
        <w:tc>
          <w:tcPr>
            <w:tcW w:w="2268" w:type="dxa"/>
          </w:tcPr>
          <w:p w14:paraId="2AE88CF9"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97-100%</w:t>
            </w:r>
          </w:p>
        </w:tc>
      </w:tr>
      <w:tr w:rsidR="00BE0B19" w:rsidRPr="00AE47C6" w14:paraId="41E85758" w14:textId="77777777" w:rsidTr="00AD72E5">
        <w:trPr>
          <w:trHeight w:val="258"/>
        </w:trPr>
        <w:tc>
          <w:tcPr>
            <w:tcW w:w="7338" w:type="dxa"/>
          </w:tcPr>
          <w:p w14:paraId="3DDC38B1"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bCs/>
                <w:kern w:val="24"/>
                <w:sz w:val="24"/>
                <w:szCs w:val="24"/>
              </w:rPr>
              <w:t>Кортикални дисплазии</w:t>
            </w:r>
            <w:r w:rsidRPr="00AE47C6">
              <w:rPr>
                <w:rFonts w:ascii="Times New Roman" w:eastAsia="SimSun" w:hAnsi="Times New Roman"/>
                <w:kern w:val="24"/>
                <w:sz w:val="24"/>
                <w:szCs w:val="24"/>
              </w:rPr>
              <w:t xml:space="preserve"> – от раждането</w:t>
            </w:r>
          </w:p>
        </w:tc>
        <w:tc>
          <w:tcPr>
            <w:tcW w:w="2268" w:type="dxa"/>
          </w:tcPr>
          <w:p w14:paraId="4477C5B4"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70-90%</w:t>
            </w:r>
          </w:p>
        </w:tc>
      </w:tr>
      <w:tr w:rsidR="00BE0B19" w:rsidRPr="00AE47C6" w14:paraId="576065E0" w14:textId="77777777" w:rsidTr="00AD72E5">
        <w:trPr>
          <w:trHeight w:val="48"/>
        </w:trPr>
        <w:tc>
          <w:tcPr>
            <w:tcW w:w="7338" w:type="dxa"/>
          </w:tcPr>
          <w:p w14:paraId="096B935A"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bCs/>
                <w:kern w:val="24"/>
                <w:sz w:val="24"/>
                <w:szCs w:val="24"/>
              </w:rPr>
              <w:t>Епилепсия</w:t>
            </w:r>
            <w:r w:rsidRPr="00AE47C6">
              <w:rPr>
                <w:rFonts w:ascii="Times New Roman" w:eastAsia="SimSun" w:hAnsi="Times New Roman"/>
                <w:kern w:val="24"/>
                <w:sz w:val="24"/>
                <w:szCs w:val="24"/>
              </w:rPr>
              <w:t xml:space="preserve"> – в кърмаческа възраст и по-късно</w:t>
            </w:r>
          </w:p>
        </w:tc>
        <w:tc>
          <w:tcPr>
            <w:tcW w:w="2268" w:type="dxa"/>
          </w:tcPr>
          <w:p w14:paraId="7F00A900"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60-90%</w:t>
            </w:r>
          </w:p>
        </w:tc>
      </w:tr>
      <w:tr w:rsidR="00BE0B19" w:rsidRPr="00AE47C6" w14:paraId="51AAA771" w14:textId="77777777" w:rsidTr="00AD72E5">
        <w:trPr>
          <w:trHeight w:val="255"/>
        </w:trPr>
        <w:tc>
          <w:tcPr>
            <w:tcW w:w="7338" w:type="dxa"/>
          </w:tcPr>
          <w:p w14:paraId="28312C66"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bCs/>
                <w:kern w:val="24"/>
                <w:sz w:val="24"/>
                <w:szCs w:val="24"/>
              </w:rPr>
              <w:t>Субепендимни нодули (СЕН</w:t>
            </w:r>
            <w:r w:rsidRPr="00AE47C6">
              <w:rPr>
                <w:rFonts w:ascii="Times New Roman" w:eastAsia="SimSun" w:hAnsi="Times New Roman"/>
                <w:kern w:val="24"/>
                <w:sz w:val="24"/>
                <w:szCs w:val="24"/>
              </w:rPr>
              <w:t>)- кърмаческа възраст, прогресивно с калциеви отлагания при КТ</w:t>
            </w:r>
          </w:p>
        </w:tc>
        <w:tc>
          <w:tcPr>
            <w:tcW w:w="2268" w:type="dxa"/>
          </w:tcPr>
          <w:p w14:paraId="01811FB9"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70-90%</w:t>
            </w:r>
          </w:p>
        </w:tc>
      </w:tr>
      <w:tr w:rsidR="00BE0B19" w:rsidRPr="00AE47C6" w14:paraId="5FEDB7ED" w14:textId="77777777" w:rsidTr="00AD72E5">
        <w:trPr>
          <w:trHeight w:val="264"/>
        </w:trPr>
        <w:tc>
          <w:tcPr>
            <w:tcW w:w="7338" w:type="dxa"/>
          </w:tcPr>
          <w:p w14:paraId="1AE66C7A"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bCs/>
                <w:kern w:val="24"/>
                <w:sz w:val="24"/>
                <w:szCs w:val="24"/>
              </w:rPr>
              <w:t>Субепендимни гигантоклетъчни астроцитоми (СЕГА)- детска възраст</w:t>
            </w:r>
          </w:p>
        </w:tc>
        <w:tc>
          <w:tcPr>
            <w:tcW w:w="2268" w:type="dxa"/>
          </w:tcPr>
          <w:p w14:paraId="14DC3BC5"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5-20%</w:t>
            </w:r>
          </w:p>
        </w:tc>
      </w:tr>
      <w:tr w:rsidR="00BE0B19" w:rsidRPr="00AE47C6" w14:paraId="215D86CE" w14:textId="77777777" w:rsidTr="00AD72E5">
        <w:trPr>
          <w:trHeight w:val="247"/>
        </w:trPr>
        <w:tc>
          <w:tcPr>
            <w:tcW w:w="7338" w:type="dxa"/>
          </w:tcPr>
          <w:p w14:paraId="3DB5E440"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bCs/>
                <w:kern w:val="24"/>
                <w:sz w:val="24"/>
                <w:szCs w:val="24"/>
              </w:rPr>
              <w:t>Ретинални хамартоми</w:t>
            </w:r>
            <w:r w:rsidRPr="00AE47C6">
              <w:rPr>
                <w:rFonts w:ascii="Times New Roman" w:eastAsia="SimSun" w:hAnsi="Times New Roman"/>
                <w:kern w:val="24"/>
                <w:sz w:val="24"/>
                <w:szCs w:val="24"/>
              </w:rPr>
              <w:t xml:space="preserve">– 1-5 г. </w:t>
            </w:r>
          </w:p>
        </w:tc>
        <w:tc>
          <w:tcPr>
            <w:tcW w:w="2268" w:type="dxa"/>
          </w:tcPr>
          <w:p w14:paraId="06024D56"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30-87%</w:t>
            </w:r>
          </w:p>
        </w:tc>
      </w:tr>
      <w:tr w:rsidR="00BE0B19" w:rsidRPr="00AE47C6" w14:paraId="21778211" w14:textId="77777777" w:rsidTr="00AD72E5">
        <w:trPr>
          <w:trHeight w:val="193"/>
        </w:trPr>
        <w:tc>
          <w:tcPr>
            <w:tcW w:w="7338" w:type="dxa"/>
          </w:tcPr>
          <w:p w14:paraId="1C0946E8"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bCs/>
                <w:kern w:val="24"/>
                <w:sz w:val="24"/>
                <w:szCs w:val="24"/>
              </w:rPr>
              <w:t>Бъбречни и по-рядко чернодробни ангиомиолипоми</w:t>
            </w:r>
            <w:r w:rsidRPr="00AE47C6">
              <w:rPr>
                <w:rFonts w:ascii="Times New Roman" w:eastAsia="SimSun" w:hAnsi="Times New Roman"/>
                <w:kern w:val="24"/>
                <w:sz w:val="24"/>
                <w:szCs w:val="24"/>
              </w:rPr>
              <w:t>–5-18 г.</w:t>
            </w:r>
          </w:p>
        </w:tc>
        <w:tc>
          <w:tcPr>
            <w:tcW w:w="2268" w:type="dxa"/>
          </w:tcPr>
          <w:p w14:paraId="2AF2035B"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56 - 80%</w:t>
            </w:r>
          </w:p>
        </w:tc>
      </w:tr>
      <w:tr w:rsidR="00BE0B19" w:rsidRPr="00AE47C6" w14:paraId="06AE3ED7" w14:textId="77777777" w:rsidTr="00AD72E5">
        <w:trPr>
          <w:trHeight w:val="259"/>
        </w:trPr>
        <w:tc>
          <w:tcPr>
            <w:tcW w:w="7338" w:type="dxa"/>
          </w:tcPr>
          <w:p w14:paraId="00C58F03"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bCs/>
                <w:kern w:val="24"/>
                <w:sz w:val="24"/>
                <w:szCs w:val="24"/>
              </w:rPr>
              <w:t>Унгвални фиброми</w:t>
            </w:r>
            <w:r w:rsidRPr="00AE47C6">
              <w:rPr>
                <w:rFonts w:ascii="Times New Roman" w:eastAsia="SimSun" w:hAnsi="Times New Roman"/>
                <w:kern w:val="24"/>
                <w:sz w:val="24"/>
                <w:szCs w:val="24"/>
              </w:rPr>
              <w:t>– 2- ро десетилетие</w:t>
            </w:r>
          </w:p>
        </w:tc>
        <w:tc>
          <w:tcPr>
            <w:tcW w:w="2268" w:type="dxa"/>
          </w:tcPr>
          <w:p w14:paraId="360C087C"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20-88%</w:t>
            </w:r>
          </w:p>
        </w:tc>
      </w:tr>
      <w:tr w:rsidR="00BE0B19" w:rsidRPr="00AE47C6" w14:paraId="31F3FE38" w14:textId="77777777" w:rsidTr="00AD72E5">
        <w:trPr>
          <w:trHeight w:val="325"/>
        </w:trPr>
        <w:tc>
          <w:tcPr>
            <w:tcW w:w="7338" w:type="dxa"/>
          </w:tcPr>
          <w:p w14:paraId="65AD691D"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Сърдечни рабдомиоми– от раждането</w:t>
            </w:r>
          </w:p>
        </w:tc>
        <w:tc>
          <w:tcPr>
            <w:tcW w:w="2268" w:type="dxa"/>
          </w:tcPr>
          <w:p w14:paraId="48A6616A"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47-67%</w:t>
            </w:r>
          </w:p>
        </w:tc>
      </w:tr>
      <w:tr w:rsidR="00BE0B19" w:rsidRPr="00AE47C6" w14:paraId="7179FFAA" w14:textId="77777777" w:rsidTr="00AD72E5">
        <w:trPr>
          <w:trHeight w:val="390"/>
        </w:trPr>
        <w:tc>
          <w:tcPr>
            <w:tcW w:w="7338" w:type="dxa"/>
          </w:tcPr>
          <w:p w14:paraId="786C7498"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 xml:space="preserve">Кожни лезии тип „конфети”– </w:t>
            </w:r>
            <w:r w:rsidRPr="00AE47C6">
              <w:rPr>
                <w:rFonts w:ascii="Times New Roman" w:eastAsia="SimSun" w:hAnsi="Times New Roman"/>
                <w:bCs/>
                <w:kern w:val="24"/>
                <w:sz w:val="24"/>
                <w:szCs w:val="24"/>
                <w:lang w:eastAsia="bg-BG"/>
              </w:rPr>
              <w:t>до 10 г. възраст</w:t>
            </w:r>
          </w:p>
        </w:tc>
        <w:tc>
          <w:tcPr>
            <w:tcW w:w="2268" w:type="dxa"/>
          </w:tcPr>
          <w:p w14:paraId="73C1EBA5"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3-58%</w:t>
            </w:r>
          </w:p>
        </w:tc>
      </w:tr>
      <w:tr w:rsidR="00BE0B19" w:rsidRPr="00AE47C6" w14:paraId="73A26637" w14:textId="77777777" w:rsidTr="00AD72E5">
        <w:trPr>
          <w:trHeight w:val="314"/>
        </w:trPr>
        <w:tc>
          <w:tcPr>
            <w:tcW w:w="7338" w:type="dxa"/>
          </w:tcPr>
          <w:p w14:paraId="70521E28"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 xml:space="preserve">Шагреново петно- </w:t>
            </w:r>
            <w:r w:rsidRPr="00AE47C6">
              <w:rPr>
                <w:rFonts w:ascii="Times New Roman" w:eastAsia="SimSun" w:hAnsi="Times New Roman"/>
                <w:bCs/>
                <w:kern w:val="24"/>
                <w:sz w:val="24"/>
                <w:szCs w:val="24"/>
                <w:lang w:eastAsia="bg-BG"/>
              </w:rPr>
              <w:t>до 10 г. възраст</w:t>
            </w:r>
          </w:p>
        </w:tc>
        <w:tc>
          <w:tcPr>
            <w:tcW w:w="2268" w:type="dxa"/>
          </w:tcPr>
          <w:p w14:paraId="195BD90C"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~50%</w:t>
            </w:r>
          </w:p>
        </w:tc>
      </w:tr>
      <w:tr w:rsidR="00BE0B19" w:rsidRPr="00AE47C6" w14:paraId="5C308290" w14:textId="77777777" w:rsidTr="00AD72E5">
        <w:trPr>
          <w:trHeight w:val="84"/>
        </w:trPr>
        <w:tc>
          <w:tcPr>
            <w:tcW w:w="7338" w:type="dxa"/>
          </w:tcPr>
          <w:p w14:paraId="38384969"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Аутизъм</w:t>
            </w:r>
          </w:p>
        </w:tc>
        <w:tc>
          <w:tcPr>
            <w:tcW w:w="2268" w:type="dxa"/>
          </w:tcPr>
          <w:p w14:paraId="62651DAE"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25-50%</w:t>
            </w:r>
          </w:p>
        </w:tc>
      </w:tr>
      <w:tr w:rsidR="00BE0B19" w:rsidRPr="00AE47C6" w14:paraId="0ED903B8" w14:textId="77777777" w:rsidTr="00AD72E5">
        <w:trPr>
          <w:trHeight w:val="149"/>
        </w:trPr>
        <w:tc>
          <w:tcPr>
            <w:tcW w:w="7338" w:type="dxa"/>
          </w:tcPr>
          <w:p w14:paraId="4C0DACCC"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Интелектуален дефицит</w:t>
            </w:r>
            <w:r w:rsidRPr="00AE47C6">
              <w:rPr>
                <w:rFonts w:ascii="Times New Roman" w:eastAsia="SimSun" w:hAnsi="Times New Roman"/>
                <w:bCs/>
                <w:kern w:val="24"/>
                <w:sz w:val="24"/>
                <w:szCs w:val="24"/>
                <w:lang w:eastAsia="bg-BG"/>
              </w:rPr>
              <w:t>– от ранна детска възраст</w:t>
            </w:r>
          </w:p>
        </w:tc>
        <w:tc>
          <w:tcPr>
            <w:tcW w:w="2268" w:type="dxa"/>
          </w:tcPr>
          <w:p w14:paraId="43AAE9D2"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~40%</w:t>
            </w:r>
          </w:p>
        </w:tc>
      </w:tr>
      <w:tr w:rsidR="00BE0B19" w:rsidRPr="00AE47C6" w14:paraId="07C37950" w14:textId="77777777" w:rsidTr="00AD72E5">
        <w:trPr>
          <w:trHeight w:val="229"/>
        </w:trPr>
        <w:tc>
          <w:tcPr>
            <w:tcW w:w="7338" w:type="dxa"/>
          </w:tcPr>
          <w:p w14:paraId="367068EF"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 xml:space="preserve">Белодробни лимфангиолейомиоми (ЛАМ)– </w:t>
            </w:r>
            <w:r w:rsidRPr="00AE47C6">
              <w:rPr>
                <w:rFonts w:ascii="Times New Roman" w:eastAsia="SimSun" w:hAnsi="Times New Roman"/>
                <w:bCs/>
                <w:kern w:val="24"/>
                <w:sz w:val="24"/>
                <w:szCs w:val="24"/>
                <w:lang w:eastAsia="bg-BG"/>
              </w:rPr>
              <w:t>2-3 десетилетие</w:t>
            </w:r>
          </w:p>
        </w:tc>
        <w:tc>
          <w:tcPr>
            <w:tcW w:w="2268" w:type="dxa"/>
          </w:tcPr>
          <w:p w14:paraId="1176706B"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30-40% от жените</w:t>
            </w:r>
          </w:p>
        </w:tc>
      </w:tr>
      <w:tr w:rsidR="00BE0B19" w:rsidRPr="00AE47C6" w14:paraId="5D911491" w14:textId="77777777" w:rsidTr="00AD72E5">
        <w:trPr>
          <w:trHeight w:val="153"/>
        </w:trPr>
        <w:tc>
          <w:tcPr>
            <w:tcW w:w="7338" w:type="dxa"/>
          </w:tcPr>
          <w:p w14:paraId="7111ADA1"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Фиброзни плаки по скалпа и лицето</w:t>
            </w:r>
            <w:r w:rsidRPr="00AE47C6">
              <w:rPr>
                <w:rFonts w:ascii="Times New Roman" w:eastAsia="SimSun" w:hAnsi="Times New Roman"/>
                <w:bCs/>
                <w:kern w:val="24"/>
                <w:sz w:val="24"/>
                <w:szCs w:val="24"/>
                <w:lang w:eastAsia="bg-BG"/>
              </w:rPr>
              <w:t>– от ранна детска възраст</w:t>
            </w:r>
          </w:p>
        </w:tc>
        <w:tc>
          <w:tcPr>
            <w:tcW w:w="2268" w:type="dxa"/>
          </w:tcPr>
          <w:p w14:paraId="4E3EE2D6"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20-40%</w:t>
            </w:r>
          </w:p>
        </w:tc>
      </w:tr>
      <w:tr w:rsidR="00BE0B19" w:rsidRPr="00AE47C6" w14:paraId="1FCC6811" w14:textId="77777777" w:rsidTr="00AD72E5">
        <w:trPr>
          <w:trHeight w:val="219"/>
        </w:trPr>
        <w:tc>
          <w:tcPr>
            <w:tcW w:w="7338" w:type="dxa"/>
          </w:tcPr>
          <w:p w14:paraId="21CEDCF0"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Ретинни апигментни петна</w:t>
            </w:r>
          </w:p>
        </w:tc>
        <w:tc>
          <w:tcPr>
            <w:tcW w:w="2268" w:type="dxa"/>
          </w:tcPr>
          <w:p w14:paraId="17FEA9FF"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~40%</w:t>
            </w:r>
          </w:p>
        </w:tc>
      </w:tr>
      <w:tr w:rsidR="00BE0B19" w:rsidRPr="00AE47C6" w14:paraId="6E24C2D6" w14:textId="77777777" w:rsidTr="00AD72E5">
        <w:trPr>
          <w:trHeight w:val="323"/>
        </w:trPr>
        <w:tc>
          <w:tcPr>
            <w:tcW w:w="7338" w:type="dxa"/>
          </w:tcPr>
          <w:p w14:paraId="7FC11223"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Бъбречни кисти</w:t>
            </w:r>
          </w:p>
        </w:tc>
        <w:tc>
          <w:tcPr>
            <w:tcW w:w="2268" w:type="dxa"/>
          </w:tcPr>
          <w:p w14:paraId="2CE1D13C"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~20%</w:t>
            </w:r>
          </w:p>
        </w:tc>
      </w:tr>
      <w:tr w:rsidR="00BE0B19" w:rsidRPr="00AE47C6" w14:paraId="1DBBA5A9" w14:textId="77777777" w:rsidTr="00AD72E5">
        <w:trPr>
          <w:trHeight w:val="257"/>
        </w:trPr>
        <w:tc>
          <w:tcPr>
            <w:tcW w:w="7338" w:type="dxa"/>
          </w:tcPr>
          <w:p w14:paraId="135375FE"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
                <w:bCs/>
                <w:kern w:val="24"/>
                <w:sz w:val="24"/>
                <w:szCs w:val="24"/>
                <w:lang w:eastAsia="bg-BG"/>
              </w:rPr>
              <w:t>Интраорални фиброми–</w:t>
            </w:r>
            <w:r w:rsidRPr="00AE47C6">
              <w:rPr>
                <w:rFonts w:ascii="Times New Roman" w:eastAsia="SimSun" w:hAnsi="Times New Roman"/>
                <w:bCs/>
                <w:kern w:val="24"/>
                <w:sz w:val="24"/>
                <w:szCs w:val="24"/>
                <w:lang w:eastAsia="bg-BG"/>
              </w:rPr>
              <w:t>2-ро десетилетие</w:t>
            </w:r>
          </w:p>
        </w:tc>
        <w:tc>
          <w:tcPr>
            <w:tcW w:w="2268" w:type="dxa"/>
          </w:tcPr>
          <w:p w14:paraId="03E25AA2" w14:textId="77777777" w:rsidR="00BE0B19" w:rsidRPr="00AE47C6" w:rsidRDefault="00BE0B19" w:rsidP="00BE0B19">
            <w:pPr>
              <w:spacing w:after="0" w:line="360" w:lineRule="auto"/>
              <w:jc w:val="both"/>
              <w:textAlignment w:val="baseline"/>
              <w:rPr>
                <w:rFonts w:ascii="Times New Roman" w:eastAsia="SimSun" w:hAnsi="Times New Roman"/>
                <w:sz w:val="24"/>
                <w:szCs w:val="24"/>
                <w:lang w:eastAsia="bg-BG"/>
              </w:rPr>
            </w:pPr>
            <w:r w:rsidRPr="00AE47C6">
              <w:rPr>
                <w:rFonts w:ascii="Times New Roman" w:eastAsia="SimSun" w:hAnsi="Times New Roman"/>
                <w:bCs/>
                <w:kern w:val="24"/>
                <w:sz w:val="24"/>
                <w:szCs w:val="24"/>
                <w:lang w:eastAsia="bg-BG"/>
              </w:rPr>
              <w:t>20-69%</w:t>
            </w:r>
          </w:p>
        </w:tc>
      </w:tr>
    </w:tbl>
    <w:p w14:paraId="42CF0FB3" w14:textId="77777777" w:rsidR="00BE0B19" w:rsidRPr="00AE47C6" w:rsidRDefault="00BE0B19" w:rsidP="00BE0B19">
      <w:pPr>
        <w:spacing w:after="0" w:line="360" w:lineRule="auto"/>
        <w:ind w:right="-41"/>
        <w:jc w:val="both"/>
        <w:rPr>
          <w:rFonts w:ascii="Times New Roman" w:eastAsia="SimSun" w:hAnsi="Times New Roman"/>
          <w:b/>
          <w:i/>
          <w:sz w:val="24"/>
          <w:szCs w:val="24"/>
        </w:rPr>
      </w:pPr>
    </w:p>
    <w:p w14:paraId="1C9A0E8F" w14:textId="77777777" w:rsidR="00BE0B19" w:rsidRPr="00AE47C6" w:rsidRDefault="00BE0B19" w:rsidP="00BE0B19">
      <w:pPr>
        <w:spacing w:after="0" w:line="360" w:lineRule="auto"/>
        <w:ind w:right="-41" w:firstLine="709"/>
        <w:jc w:val="both"/>
        <w:rPr>
          <w:rFonts w:ascii="Times New Roman" w:eastAsia="SimSun" w:hAnsi="Times New Roman"/>
          <w:sz w:val="24"/>
          <w:szCs w:val="24"/>
        </w:rPr>
      </w:pPr>
      <w:r w:rsidRPr="00AE47C6">
        <w:rPr>
          <w:rFonts w:ascii="Times New Roman" w:eastAsia="SimSun" w:hAnsi="Times New Roman"/>
          <w:b/>
          <w:i/>
          <w:sz w:val="24"/>
          <w:szCs w:val="24"/>
        </w:rPr>
        <w:t>Пренатално</w:t>
      </w:r>
      <w:r w:rsidRPr="00AE47C6">
        <w:rPr>
          <w:rFonts w:ascii="Times New Roman" w:eastAsia="SimSun" w:hAnsi="Times New Roman"/>
          <w:sz w:val="24"/>
          <w:szCs w:val="24"/>
        </w:rPr>
        <w:t xml:space="preserve"> при ехографски изследвания могат да се визуализират сърдечните рабдомиоми и в някои случаи бъбречни ангиомиолипоми. Ранни изяви в неонаталния период и кърмаческата възраст са ритъмните разстройства при сърдечни рабдомиоми, кожните хипопигментации и терапевтично-резистентната епилептична енцефалопатия синдром на West. </w:t>
      </w:r>
    </w:p>
    <w:p w14:paraId="5D2D5731" w14:textId="77777777" w:rsidR="00BE0B19" w:rsidRPr="00AE47C6" w:rsidRDefault="00BE0B19" w:rsidP="00BE0B19">
      <w:pPr>
        <w:spacing w:after="0" w:line="360" w:lineRule="auto"/>
        <w:ind w:right="-41" w:firstLine="709"/>
        <w:jc w:val="both"/>
        <w:rPr>
          <w:rFonts w:ascii="Times New Roman" w:eastAsia="SimSun" w:hAnsi="Times New Roman"/>
          <w:sz w:val="24"/>
          <w:szCs w:val="24"/>
        </w:rPr>
      </w:pPr>
      <w:r w:rsidRPr="00AE47C6">
        <w:rPr>
          <w:rFonts w:ascii="Times New Roman" w:eastAsia="SimSun" w:hAnsi="Times New Roman"/>
          <w:b/>
          <w:sz w:val="24"/>
          <w:szCs w:val="24"/>
        </w:rPr>
        <w:t xml:space="preserve">1. Кожните лезии </w:t>
      </w:r>
      <w:r w:rsidRPr="00AE47C6">
        <w:rPr>
          <w:rFonts w:ascii="Times New Roman" w:eastAsia="SimSun" w:hAnsi="Times New Roman"/>
          <w:sz w:val="24"/>
          <w:szCs w:val="24"/>
        </w:rPr>
        <w:t xml:space="preserve">насочват към диагностицирането на туберозната склероза поради ранната си изява и високата честота и служат за ранна диагноза на заболяването. </w:t>
      </w:r>
    </w:p>
    <w:p w14:paraId="2F76EB70" w14:textId="77777777" w:rsidR="00BE0B19" w:rsidRPr="00AE47C6" w:rsidRDefault="00BE0B19" w:rsidP="00BE0B19">
      <w:pPr>
        <w:spacing w:after="0" w:line="360" w:lineRule="auto"/>
        <w:ind w:right="-41" w:firstLine="709"/>
        <w:jc w:val="both"/>
        <w:rPr>
          <w:rFonts w:ascii="Times New Roman" w:eastAsia="SimSun" w:hAnsi="Times New Roman"/>
          <w:sz w:val="24"/>
          <w:szCs w:val="24"/>
        </w:rPr>
      </w:pPr>
      <w:r w:rsidRPr="00AE47C6">
        <w:rPr>
          <w:rFonts w:ascii="Times New Roman" w:eastAsia="SimSun" w:hAnsi="Times New Roman"/>
          <w:i/>
          <w:sz w:val="24"/>
          <w:szCs w:val="24"/>
        </w:rPr>
        <w:t xml:space="preserve">Хипопигментациите </w:t>
      </w:r>
      <w:r w:rsidRPr="00AE47C6">
        <w:rPr>
          <w:rFonts w:ascii="Times New Roman" w:eastAsia="SimSun" w:hAnsi="Times New Roman"/>
          <w:sz w:val="24"/>
          <w:szCs w:val="24"/>
        </w:rPr>
        <w:t>са налице от раждането при около 100% от децата. Между 1 и 5 г. се установяват лицеви ангиофиброми (при 75-90%), нарастващи във времето Впоследствие се появяват и фиброми по лицето и скалпа (20-40%). От около 10 г. възраст се появяват и лезии в лумбалната област – т.нар. „Шагреново петно” (</w:t>
      </w:r>
      <w:r w:rsidRPr="00AE47C6">
        <w:rPr>
          <w:rFonts w:ascii="Times New Roman" w:eastAsia="SimSun" w:hAnsi="Times New Roman"/>
          <w:bCs/>
          <w:kern w:val="24"/>
          <w:sz w:val="24"/>
          <w:szCs w:val="24"/>
        </w:rPr>
        <w:t>~50%</w:t>
      </w:r>
      <w:r w:rsidRPr="00AE47C6">
        <w:rPr>
          <w:rFonts w:ascii="Times New Roman" w:eastAsia="SimSun" w:hAnsi="Times New Roman"/>
          <w:sz w:val="24"/>
          <w:szCs w:val="24"/>
        </w:rPr>
        <w:t xml:space="preserve">). Фибромите около ноктите се появяват около </w:t>
      </w:r>
      <w:r w:rsidRPr="00AE47C6">
        <w:rPr>
          <w:rFonts w:ascii="Times New Roman" w:eastAsia="SimSun" w:hAnsi="Times New Roman"/>
          <w:kern w:val="24"/>
          <w:sz w:val="24"/>
          <w:szCs w:val="24"/>
        </w:rPr>
        <w:t xml:space="preserve">2-ро десетилетие </w:t>
      </w:r>
      <w:r w:rsidRPr="00AE47C6">
        <w:rPr>
          <w:rFonts w:ascii="Times New Roman" w:eastAsia="SimSun" w:hAnsi="Times New Roman"/>
          <w:sz w:val="24"/>
          <w:szCs w:val="24"/>
        </w:rPr>
        <w:t xml:space="preserve">(20-89%), а фибромите в устната кухина и по гингивите - от детска възраст (20-69%). Дефектите в зъбния емайл също са налице от детската възраст. </w:t>
      </w:r>
    </w:p>
    <w:p w14:paraId="0032EC1A" w14:textId="77777777" w:rsidR="00BE0B19" w:rsidRPr="00AE47C6" w:rsidRDefault="00BE0B19" w:rsidP="00BE0B19">
      <w:pPr>
        <w:spacing w:after="0" w:line="360" w:lineRule="auto"/>
        <w:ind w:right="-41" w:firstLine="709"/>
        <w:jc w:val="both"/>
        <w:rPr>
          <w:rFonts w:ascii="Times New Roman" w:eastAsia="SimSun" w:hAnsi="Times New Roman"/>
          <w:sz w:val="24"/>
          <w:szCs w:val="24"/>
        </w:rPr>
      </w:pPr>
      <w:r w:rsidRPr="00AE47C6">
        <w:rPr>
          <w:rFonts w:ascii="Times New Roman" w:eastAsia="SimSun" w:hAnsi="Times New Roman"/>
          <w:i/>
          <w:sz w:val="24"/>
          <w:szCs w:val="24"/>
        </w:rPr>
        <w:t>Ретинните хипопигментации</w:t>
      </w:r>
      <w:r w:rsidRPr="00AE47C6">
        <w:rPr>
          <w:rFonts w:ascii="Times New Roman" w:eastAsia="SimSun" w:hAnsi="Times New Roman"/>
          <w:sz w:val="24"/>
          <w:szCs w:val="24"/>
        </w:rPr>
        <w:t xml:space="preserve"> са еквивалентни на кожните, а </w:t>
      </w:r>
      <w:r w:rsidRPr="00AE47C6">
        <w:rPr>
          <w:rFonts w:ascii="Times New Roman" w:eastAsia="SimSun" w:hAnsi="Times New Roman"/>
          <w:i/>
          <w:sz w:val="24"/>
          <w:szCs w:val="24"/>
        </w:rPr>
        <w:t>ретинните хамартоми</w:t>
      </w:r>
      <w:r w:rsidRPr="00AE47C6">
        <w:rPr>
          <w:rFonts w:ascii="Times New Roman" w:eastAsia="SimSun" w:hAnsi="Times New Roman"/>
          <w:sz w:val="24"/>
          <w:szCs w:val="24"/>
        </w:rPr>
        <w:t xml:space="preserve">- на кожните. Диагностицират се при офталмологичен преглед. </w:t>
      </w:r>
    </w:p>
    <w:p w14:paraId="3C984EB4" w14:textId="77777777" w:rsidR="00BE0B19" w:rsidRPr="00AE47C6" w:rsidRDefault="00BE0B19" w:rsidP="00BE0B19">
      <w:pPr>
        <w:spacing w:after="0" w:line="360" w:lineRule="auto"/>
        <w:ind w:right="-41" w:firstLine="709"/>
        <w:jc w:val="both"/>
        <w:rPr>
          <w:rFonts w:ascii="Times New Roman" w:eastAsia="SimSun" w:hAnsi="Times New Roman"/>
          <w:sz w:val="24"/>
          <w:szCs w:val="24"/>
        </w:rPr>
      </w:pPr>
      <w:r w:rsidRPr="00AE47C6">
        <w:rPr>
          <w:rFonts w:ascii="Times New Roman" w:eastAsia="SimSun" w:hAnsi="Times New Roman"/>
          <w:b/>
          <w:sz w:val="24"/>
          <w:szCs w:val="24"/>
        </w:rPr>
        <w:t xml:space="preserve">2. Неврологичното засягане на главния мозък </w:t>
      </w:r>
      <w:r w:rsidRPr="00AE47C6">
        <w:rPr>
          <w:rFonts w:ascii="Times New Roman" w:eastAsia="SimSun" w:hAnsi="Times New Roman"/>
          <w:sz w:val="24"/>
          <w:szCs w:val="24"/>
        </w:rPr>
        <w:t xml:space="preserve">е основно при заболяването поради наличие на </w:t>
      </w:r>
      <w:r w:rsidRPr="00AE47C6">
        <w:rPr>
          <w:rFonts w:ascii="Times New Roman" w:eastAsia="SimSun" w:hAnsi="Times New Roman"/>
          <w:bCs/>
          <w:sz w:val="24"/>
          <w:szCs w:val="24"/>
        </w:rPr>
        <w:t>корови дисплазии, вкл. корови тубери и субепендимни гигантоклетъчни астроцитоми</w:t>
      </w:r>
      <w:r w:rsidRPr="00AE47C6">
        <w:rPr>
          <w:rFonts w:ascii="Times New Roman" w:eastAsia="SimSun" w:hAnsi="Times New Roman"/>
          <w:sz w:val="24"/>
          <w:szCs w:val="24"/>
        </w:rPr>
        <w:t>, които се визуализират добре чрез магнитно-резонансна томография (МРТ).</w:t>
      </w:r>
    </w:p>
    <w:p w14:paraId="3A101E24" w14:textId="77777777" w:rsidR="00BE0B19" w:rsidRPr="00AE47C6" w:rsidRDefault="00BE0B19" w:rsidP="00BE0B19">
      <w:pPr>
        <w:spacing w:after="0" w:line="360" w:lineRule="auto"/>
        <w:ind w:right="-41" w:firstLine="709"/>
        <w:jc w:val="both"/>
        <w:rPr>
          <w:rFonts w:ascii="Times New Roman" w:eastAsia="SimSun" w:hAnsi="Times New Roman"/>
          <w:sz w:val="24"/>
          <w:szCs w:val="24"/>
        </w:rPr>
      </w:pPr>
      <w:r w:rsidRPr="00AE47C6">
        <w:rPr>
          <w:rFonts w:ascii="Times New Roman" w:eastAsia="SimSun" w:hAnsi="Times New Roman"/>
          <w:sz w:val="24"/>
          <w:szCs w:val="24"/>
        </w:rPr>
        <w:t>Клиничните изяви на коровите тубери са епилепсия с ранно начало и терапевтична-резистентност (</w:t>
      </w:r>
      <w:r w:rsidRPr="00AE47C6">
        <w:rPr>
          <w:rFonts w:ascii="Times New Roman" w:eastAsia="SimSun" w:hAnsi="Times New Roman"/>
          <w:bCs/>
          <w:kern w:val="24"/>
          <w:sz w:val="24"/>
          <w:szCs w:val="24"/>
        </w:rPr>
        <w:t>60%-90%</w:t>
      </w:r>
      <w:r w:rsidRPr="00AE47C6">
        <w:rPr>
          <w:rFonts w:ascii="Times New Roman" w:eastAsia="SimSun" w:hAnsi="Times New Roman"/>
          <w:sz w:val="24"/>
          <w:szCs w:val="24"/>
        </w:rPr>
        <w:t>), умствена изостаналост (</w:t>
      </w:r>
      <w:r w:rsidRPr="00AE47C6">
        <w:rPr>
          <w:rFonts w:ascii="Times New Roman" w:eastAsia="SimSun" w:hAnsi="Times New Roman"/>
          <w:bCs/>
          <w:kern w:val="24"/>
          <w:sz w:val="24"/>
          <w:szCs w:val="24"/>
        </w:rPr>
        <w:t>40%</w:t>
      </w:r>
      <w:r w:rsidRPr="00AE47C6">
        <w:rPr>
          <w:rFonts w:ascii="Times New Roman" w:eastAsia="SimSun" w:hAnsi="Times New Roman"/>
          <w:sz w:val="24"/>
          <w:szCs w:val="24"/>
        </w:rPr>
        <w:t xml:space="preserve">), паретични прояви в някои случаи и </w:t>
      </w:r>
      <w:r w:rsidRPr="00AE47C6">
        <w:rPr>
          <w:rFonts w:ascii="Times New Roman" w:eastAsia="SimSun" w:hAnsi="Times New Roman"/>
          <w:bCs/>
          <w:sz w:val="24"/>
          <w:szCs w:val="24"/>
        </w:rPr>
        <w:t>TSC свързани невропсихиатрични разстройства при около 90% от болните (</w:t>
      </w:r>
      <w:r w:rsidRPr="00AE47C6">
        <w:rPr>
          <w:rFonts w:ascii="Times New Roman" w:eastAsia="SimSun" w:hAnsi="Times New Roman"/>
          <w:sz w:val="24"/>
          <w:szCs w:val="24"/>
        </w:rPr>
        <w:t xml:space="preserve">разстройства от аутистичния спектър при </w:t>
      </w:r>
      <w:r w:rsidRPr="00AE47C6">
        <w:rPr>
          <w:rFonts w:ascii="Times New Roman" w:eastAsia="SimSun" w:hAnsi="Times New Roman"/>
          <w:bCs/>
          <w:sz w:val="24"/>
          <w:szCs w:val="24"/>
        </w:rPr>
        <w:t>25-50%</w:t>
      </w:r>
      <w:r w:rsidRPr="00AE47C6">
        <w:rPr>
          <w:rFonts w:ascii="Times New Roman" w:eastAsia="SimSun" w:hAnsi="Times New Roman"/>
          <w:sz w:val="24"/>
          <w:szCs w:val="24"/>
        </w:rPr>
        <w:t xml:space="preserve">, хиперактивно поведение с дефицит на внимание, </w:t>
      </w:r>
      <w:r w:rsidRPr="00AE47C6">
        <w:rPr>
          <w:rFonts w:ascii="Times New Roman" w:eastAsia="SimSun" w:hAnsi="Times New Roman"/>
          <w:bCs/>
          <w:sz w:val="24"/>
          <w:szCs w:val="24"/>
        </w:rPr>
        <w:t xml:space="preserve">агресивно поведение и други </w:t>
      </w:r>
      <w:r w:rsidRPr="00AE47C6">
        <w:rPr>
          <w:rFonts w:ascii="Times New Roman" w:eastAsia="SimSun" w:hAnsi="Times New Roman"/>
          <w:sz w:val="24"/>
          <w:szCs w:val="24"/>
        </w:rPr>
        <w:t>поведенчески разстройства, обсесивно-компулсивно разстройство, психози).</w:t>
      </w:r>
    </w:p>
    <w:p w14:paraId="17612FA2" w14:textId="77777777" w:rsidR="00BE0B19" w:rsidRPr="00AE47C6" w:rsidRDefault="00BE0B19" w:rsidP="00BE0B19">
      <w:pPr>
        <w:spacing w:after="0" w:line="360" w:lineRule="auto"/>
        <w:ind w:right="-41" w:firstLine="709"/>
        <w:jc w:val="both"/>
        <w:rPr>
          <w:rFonts w:ascii="Times New Roman" w:eastAsia="SimSun" w:hAnsi="Times New Roman"/>
          <w:sz w:val="24"/>
          <w:szCs w:val="24"/>
        </w:rPr>
      </w:pPr>
      <w:r w:rsidRPr="00AE47C6">
        <w:rPr>
          <w:rFonts w:ascii="Times New Roman" w:eastAsia="SimSun" w:hAnsi="Times New Roman"/>
          <w:b/>
          <w:i/>
          <w:sz w:val="24"/>
          <w:szCs w:val="24"/>
        </w:rPr>
        <w:t>Субепендимните гигантоклетъчни астроцитоми (СЕГА</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 xml:space="preserve">при 5-20% причиняват обструктивна вътрешна хидроцефалия. За </w:t>
      </w:r>
      <w:r w:rsidRPr="00AE47C6">
        <w:rPr>
          <w:rFonts w:ascii="Times New Roman" w:eastAsia="SimSun" w:hAnsi="Times New Roman"/>
          <w:i/>
          <w:sz w:val="24"/>
          <w:szCs w:val="24"/>
        </w:rPr>
        <w:t>СЕГА</w:t>
      </w:r>
      <w:r w:rsidRPr="00AE47C6">
        <w:rPr>
          <w:rFonts w:ascii="Times New Roman" w:eastAsia="SimSun" w:hAnsi="Times New Roman"/>
          <w:sz w:val="24"/>
          <w:szCs w:val="24"/>
        </w:rPr>
        <w:t xml:space="preserve"> се счита </w:t>
      </w:r>
      <w:r w:rsidRPr="00AE47C6">
        <w:rPr>
          <w:rFonts w:ascii="Times New Roman" w:eastAsia="SimSun" w:hAnsi="Times New Roman"/>
          <w:i/>
          <w:sz w:val="24"/>
          <w:szCs w:val="24"/>
        </w:rPr>
        <w:t xml:space="preserve">СЕН </w:t>
      </w:r>
      <w:r w:rsidRPr="00AE47C6">
        <w:rPr>
          <w:rFonts w:ascii="Times New Roman" w:eastAsia="SimSun" w:hAnsi="Times New Roman"/>
          <w:sz w:val="24"/>
          <w:szCs w:val="24"/>
        </w:rPr>
        <w:t xml:space="preserve">в челните рога на страничните вентрикули до foramen </w:t>
      </w:r>
      <w:r w:rsidRPr="00AE47C6">
        <w:rPr>
          <w:rFonts w:ascii="Times New Roman" w:eastAsia="SimSun" w:hAnsi="Times New Roman"/>
          <w:bCs/>
          <w:sz w:val="24"/>
          <w:szCs w:val="24"/>
        </w:rPr>
        <w:t>Monro</w:t>
      </w:r>
      <w:r w:rsidRPr="00AE47C6">
        <w:rPr>
          <w:rFonts w:ascii="Times New Roman" w:eastAsia="SimSun" w:hAnsi="Times New Roman"/>
          <w:sz w:val="24"/>
          <w:szCs w:val="24"/>
        </w:rPr>
        <w:t>, който е увеличил размерите си над 10 мм.</w:t>
      </w:r>
    </w:p>
    <w:p w14:paraId="066D2A8E" w14:textId="77777777" w:rsidR="00BE0B19" w:rsidRPr="00AE47C6" w:rsidRDefault="00BE0B19" w:rsidP="00BE0B19">
      <w:pPr>
        <w:spacing w:after="0" w:line="360" w:lineRule="auto"/>
        <w:ind w:right="-41" w:firstLine="709"/>
        <w:jc w:val="both"/>
        <w:rPr>
          <w:rFonts w:ascii="Times New Roman" w:eastAsia="SimSun" w:hAnsi="Times New Roman"/>
          <w:sz w:val="24"/>
          <w:szCs w:val="24"/>
        </w:rPr>
      </w:pPr>
      <w:r w:rsidRPr="00AE47C6">
        <w:rPr>
          <w:rFonts w:ascii="Times New Roman" w:eastAsia="SimSun" w:hAnsi="Times New Roman"/>
          <w:b/>
          <w:bCs/>
          <w:i/>
          <w:sz w:val="24"/>
          <w:szCs w:val="24"/>
        </w:rPr>
        <w:t>Корови дисплазии, вкл. коровите тубери и радиалните миграционни линии</w:t>
      </w:r>
      <w:r w:rsidRPr="00AE47C6">
        <w:rPr>
          <w:rFonts w:ascii="Times New Roman" w:eastAsia="SimSun" w:hAnsi="Times New Roman"/>
          <w:bCs/>
          <w:sz w:val="24"/>
          <w:szCs w:val="24"/>
        </w:rPr>
        <w:t xml:space="preserve"> в бялото мозъчно вещество </w:t>
      </w:r>
      <w:r w:rsidRPr="00AE47C6">
        <w:rPr>
          <w:rFonts w:ascii="Times New Roman" w:eastAsia="SimSun" w:hAnsi="Times New Roman"/>
          <w:sz w:val="24"/>
          <w:szCs w:val="24"/>
        </w:rPr>
        <w:t>възникват поради невъзможност за миграция по време на ембрионалното развитие и се визуализират с  магнитнорезонансна томография (МРТ).</w:t>
      </w:r>
    </w:p>
    <w:p w14:paraId="25062EC1" w14:textId="77777777" w:rsidR="00BE0B19" w:rsidRPr="00AE47C6" w:rsidRDefault="00BE0B19" w:rsidP="00BE0B19">
      <w:pPr>
        <w:spacing w:after="0" w:line="360" w:lineRule="auto"/>
        <w:ind w:right="-41" w:firstLine="709"/>
        <w:jc w:val="both"/>
        <w:rPr>
          <w:rFonts w:ascii="Times New Roman" w:eastAsia="SimSun" w:hAnsi="Times New Roman"/>
          <w:sz w:val="24"/>
          <w:szCs w:val="24"/>
        </w:rPr>
      </w:pPr>
      <w:r w:rsidRPr="00AE47C6">
        <w:rPr>
          <w:rFonts w:ascii="Times New Roman" w:eastAsia="SimSun" w:hAnsi="Times New Roman"/>
          <w:sz w:val="24"/>
          <w:szCs w:val="24"/>
        </w:rPr>
        <w:t xml:space="preserve">Наличието и вида на епилепсията, умствената изостаналост и </w:t>
      </w:r>
      <w:r w:rsidRPr="00AE47C6">
        <w:rPr>
          <w:rFonts w:ascii="Times New Roman" w:eastAsia="SimSun" w:hAnsi="Times New Roman"/>
          <w:bCs/>
          <w:sz w:val="24"/>
          <w:szCs w:val="24"/>
        </w:rPr>
        <w:t>невропсихиатричните разстройства</w:t>
      </w:r>
      <w:r w:rsidRPr="00AE47C6">
        <w:rPr>
          <w:rFonts w:ascii="Times New Roman" w:eastAsia="SimSun" w:hAnsi="Times New Roman"/>
          <w:sz w:val="24"/>
          <w:szCs w:val="24"/>
        </w:rPr>
        <w:t xml:space="preserve"> са в зависимост от локализацията и разпространението на коровите тубери (малформации на коровото развитие с характер на доброкачествени тумори). Епилепсията е най-често медикаментозно-резистентна, с ранно начало, обикновено като синдром на West, впоследствие - синдром на Lennox-Gastaut или фокална епилепсия. Ранната изява на синдрома на West (епилептична енцефалопатия) е свързана с </w:t>
      </w:r>
      <w:r w:rsidRPr="00AE47C6">
        <w:rPr>
          <w:rFonts w:ascii="Times New Roman" w:eastAsia="SimSun" w:hAnsi="Times New Roman"/>
          <w:bCs/>
          <w:sz w:val="24"/>
          <w:szCs w:val="24"/>
        </w:rPr>
        <w:t>проблеми на развитието, когницията и интелекта. В тези случаи лечението е с комбинация от антиепилептични медикаменти (Табл. 14..3).</w:t>
      </w:r>
    </w:p>
    <w:p w14:paraId="793C592F" w14:textId="77777777" w:rsidR="00BE0B19" w:rsidRPr="00AE47C6" w:rsidRDefault="00BE0B19" w:rsidP="00BE0B19">
      <w:pPr>
        <w:spacing w:after="0" w:line="360" w:lineRule="auto"/>
        <w:ind w:right="-41" w:firstLine="709"/>
        <w:jc w:val="both"/>
        <w:rPr>
          <w:rFonts w:ascii="Times New Roman" w:eastAsia="SimSun" w:hAnsi="Times New Roman"/>
          <w:sz w:val="24"/>
          <w:szCs w:val="24"/>
        </w:rPr>
      </w:pPr>
      <w:r w:rsidRPr="00AE47C6">
        <w:rPr>
          <w:rFonts w:ascii="Times New Roman" w:eastAsia="SimSun" w:hAnsi="Times New Roman"/>
          <w:i/>
          <w:sz w:val="24"/>
          <w:szCs w:val="24"/>
        </w:rPr>
        <w:t>С</w:t>
      </w:r>
      <w:r w:rsidRPr="00AE47C6">
        <w:rPr>
          <w:rFonts w:ascii="Times New Roman" w:eastAsia="SimSun" w:hAnsi="Times New Roman"/>
          <w:b/>
          <w:i/>
          <w:sz w:val="24"/>
          <w:szCs w:val="24"/>
        </w:rPr>
        <w:t>убепендимните нодули</w:t>
      </w:r>
      <w:r w:rsidRPr="00AE47C6">
        <w:rPr>
          <w:rFonts w:ascii="Times New Roman" w:eastAsia="SimSun" w:hAnsi="Times New Roman"/>
          <w:i/>
          <w:sz w:val="24"/>
          <w:szCs w:val="24"/>
        </w:rPr>
        <w:t xml:space="preserve"> (СЕН</w:t>
      </w:r>
      <w:r w:rsidRPr="00AE47C6">
        <w:rPr>
          <w:rFonts w:ascii="Times New Roman" w:eastAsia="SimSun" w:hAnsi="Times New Roman"/>
          <w:sz w:val="24"/>
          <w:szCs w:val="24"/>
        </w:rPr>
        <w:t xml:space="preserve">) са </w:t>
      </w:r>
      <w:r w:rsidRPr="00AE47C6">
        <w:rPr>
          <w:rFonts w:ascii="Times New Roman" w:eastAsia="SimSun" w:hAnsi="Times New Roman"/>
          <w:bCs/>
          <w:sz w:val="24"/>
          <w:szCs w:val="24"/>
        </w:rPr>
        <w:t>бавно растящи, бенигнени хамартоми</w:t>
      </w:r>
      <w:r w:rsidRPr="00AE47C6">
        <w:rPr>
          <w:rFonts w:ascii="Times New Roman" w:eastAsia="SimSun" w:hAnsi="Times New Roman"/>
          <w:sz w:val="24"/>
          <w:szCs w:val="24"/>
        </w:rPr>
        <w:t>, развиващи се около стената на епендимните линии. Визуализират се при компютърна томография (КТ) като окръглени перивентрикулни калциеви отлагания, негативни при МРТ и са с важно значение за своевременното диагностициране на TSC</w:t>
      </w:r>
      <w:r w:rsidRPr="00AE47C6">
        <w:rPr>
          <w:rFonts w:ascii="Times New Roman" w:eastAsia="SimSun" w:hAnsi="Times New Roman"/>
          <w:b/>
          <w:i/>
          <w:sz w:val="24"/>
          <w:szCs w:val="24"/>
        </w:rPr>
        <w:t>.</w:t>
      </w:r>
    </w:p>
    <w:p w14:paraId="1B364D52" w14:textId="77777777" w:rsidR="00BE0B19" w:rsidRPr="00AE47C6" w:rsidRDefault="00BE0B19" w:rsidP="00BE0B19">
      <w:pPr>
        <w:spacing w:after="0" w:line="360" w:lineRule="auto"/>
        <w:ind w:right="-41" w:firstLine="709"/>
        <w:jc w:val="both"/>
        <w:rPr>
          <w:rFonts w:ascii="Times New Roman" w:eastAsia="SimSun" w:hAnsi="Times New Roman"/>
          <w:sz w:val="24"/>
          <w:szCs w:val="24"/>
        </w:rPr>
      </w:pPr>
      <w:r w:rsidRPr="00AE47C6">
        <w:rPr>
          <w:rFonts w:ascii="Times New Roman" w:eastAsia="SimSun" w:hAnsi="Times New Roman"/>
          <w:b/>
          <w:bCs/>
          <w:i/>
          <w:sz w:val="24"/>
          <w:szCs w:val="24"/>
        </w:rPr>
        <w:t xml:space="preserve">Субепендимните гигантоклетъчни астроцитоми (СЕГА) </w:t>
      </w:r>
      <w:r w:rsidRPr="00AE47C6">
        <w:rPr>
          <w:rFonts w:ascii="Times New Roman" w:eastAsia="SimSun" w:hAnsi="Times New Roman"/>
          <w:bCs/>
          <w:sz w:val="24"/>
          <w:szCs w:val="24"/>
        </w:rPr>
        <w:t xml:space="preserve">са доброкачествени тумори, които </w:t>
      </w:r>
      <w:r w:rsidRPr="00AE47C6">
        <w:rPr>
          <w:rFonts w:ascii="Times New Roman" w:eastAsia="SimSun" w:hAnsi="Times New Roman"/>
          <w:sz w:val="24"/>
          <w:szCs w:val="24"/>
        </w:rPr>
        <w:t xml:space="preserve">възникват от СЕН при </w:t>
      </w:r>
      <w:r w:rsidRPr="00AE47C6">
        <w:rPr>
          <w:rFonts w:ascii="Times New Roman" w:eastAsia="SimSun" w:hAnsi="Times New Roman"/>
          <w:bCs/>
          <w:sz w:val="24"/>
          <w:szCs w:val="24"/>
        </w:rPr>
        <w:t>5%- 20%</w:t>
      </w:r>
      <w:r w:rsidRPr="00AE47C6">
        <w:rPr>
          <w:rFonts w:ascii="Times New Roman" w:eastAsia="SimSun" w:hAnsi="Times New Roman"/>
          <w:sz w:val="24"/>
          <w:szCs w:val="24"/>
        </w:rPr>
        <w:t xml:space="preserve"> от случаите. Локализират се около предните рога на страничните вентрикули до foramen </w:t>
      </w:r>
      <w:r w:rsidRPr="00AE47C6">
        <w:rPr>
          <w:rFonts w:ascii="Times New Roman" w:eastAsia="SimSun" w:hAnsi="Times New Roman"/>
          <w:bCs/>
          <w:sz w:val="24"/>
          <w:szCs w:val="24"/>
        </w:rPr>
        <w:t xml:space="preserve">Monro. </w:t>
      </w:r>
      <w:r w:rsidRPr="00AE47C6">
        <w:rPr>
          <w:rFonts w:ascii="Times New Roman" w:eastAsia="SimSun" w:hAnsi="Times New Roman"/>
          <w:sz w:val="24"/>
          <w:szCs w:val="24"/>
        </w:rPr>
        <w:t xml:space="preserve">Могат да причинят </w:t>
      </w:r>
      <w:r w:rsidRPr="00AE47C6">
        <w:rPr>
          <w:rFonts w:ascii="Times New Roman" w:eastAsia="SimSun" w:hAnsi="Times New Roman"/>
          <w:bCs/>
          <w:sz w:val="24"/>
          <w:szCs w:val="24"/>
        </w:rPr>
        <w:t xml:space="preserve">обструктивна вътрешна хидроцефалия и повишено вътречерепно налягане. Проследяването им клинично и с МРТ в динамика определя терапевтичното поведение- оперативно при остро развиваща се хидроцефалия и поставяне на шънт или консервативно медикаментозно лечение с everolimus. </w:t>
      </w:r>
    </w:p>
    <w:p w14:paraId="0D411656" w14:textId="77777777" w:rsidR="00BE0B19" w:rsidRPr="00AE47C6" w:rsidRDefault="00BE0B19" w:rsidP="00BE0B19">
      <w:pPr>
        <w:spacing w:after="0" w:line="360" w:lineRule="auto"/>
        <w:ind w:right="-426" w:firstLine="709"/>
        <w:jc w:val="both"/>
        <w:rPr>
          <w:rFonts w:ascii="Times New Roman" w:eastAsia="SimSun" w:hAnsi="Times New Roman"/>
          <w:b/>
          <w:bCs/>
          <w:sz w:val="24"/>
          <w:szCs w:val="24"/>
        </w:rPr>
      </w:pPr>
      <w:r w:rsidRPr="00AE47C6">
        <w:rPr>
          <w:rFonts w:ascii="Times New Roman" w:eastAsia="SimSun" w:hAnsi="Times New Roman"/>
          <w:b/>
          <w:bCs/>
          <w:sz w:val="24"/>
          <w:szCs w:val="24"/>
        </w:rPr>
        <w:t xml:space="preserve">3. Бъбреци. </w:t>
      </w:r>
      <w:r w:rsidRPr="00AE47C6">
        <w:rPr>
          <w:rFonts w:ascii="Times New Roman" w:eastAsia="SimSun" w:hAnsi="Times New Roman"/>
          <w:bCs/>
          <w:iCs/>
          <w:sz w:val="24"/>
          <w:szCs w:val="24"/>
        </w:rPr>
        <w:t>Характерно за пациентите с TSC е наличието на множествени и двустранни бъбречни ангиомиолипоми при 56 до 80% и бъбречни кисти при 20-30%, които се визуализират чрез бъбречна ехография, при КТ или МРТ на коремни органи.</w:t>
      </w:r>
    </w:p>
    <w:p w14:paraId="1502A907" w14:textId="77777777" w:rsidR="00BE0B19" w:rsidRPr="00AE47C6" w:rsidRDefault="00BE0B19" w:rsidP="00BE0B19">
      <w:pPr>
        <w:spacing w:after="0" w:line="360" w:lineRule="auto"/>
        <w:ind w:firstLine="709"/>
        <w:jc w:val="both"/>
        <w:rPr>
          <w:rFonts w:ascii="Times New Roman" w:eastAsia="SimSun" w:hAnsi="Times New Roman"/>
          <w:bCs/>
          <w:iCs/>
          <w:sz w:val="24"/>
          <w:szCs w:val="24"/>
          <w:lang w:eastAsia="bg-BG"/>
        </w:rPr>
      </w:pPr>
      <w:r w:rsidRPr="00AE47C6">
        <w:rPr>
          <w:rFonts w:ascii="Times New Roman" w:eastAsia="SimSun" w:hAnsi="Times New Roman"/>
          <w:b/>
          <w:bCs/>
          <w:i/>
          <w:iCs/>
          <w:sz w:val="24"/>
          <w:szCs w:val="24"/>
          <w:lang w:eastAsia="bg-BG"/>
        </w:rPr>
        <w:t>Ангиомиолипомите (АМЛ)</w:t>
      </w:r>
      <w:r w:rsidRPr="00AE47C6">
        <w:rPr>
          <w:rFonts w:ascii="Times New Roman" w:eastAsia="SimSun" w:hAnsi="Times New Roman"/>
          <w:bCs/>
          <w:iCs/>
          <w:sz w:val="24"/>
          <w:szCs w:val="24"/>
          <w:lang w:eastAsia="bg-BG"/>
        </w:rPr>
        <w:t xml:space="preserve"> са доброкачествени тумори на бъбреците съставени от съдове (angio–), гладки мускулни клетки (–myo–) и мастна тъкан (–lip-), и се установяват при 56 до 80% от пациентите с TSC. АМЛ са множествени и двустранни, асимптомни в началото. При нарастване причиняват болка или бъбречна недостатъчност. Поради аневризми в  абнормните съдове, при ангиомиолипоми над 4 cm съществува риск за кръвоизливи, възникващи спонтанно или при минимална травма. Кръвоизливите са животозастрашаващи, започват с болка, обща слабост, бързо се развива тежка анемия, артериална хипотония и шок.</w:t>
      </w:r>
    </w:p>
    <w:p w14:paraId="221B257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Cs/>
          <w:iCs/>
          <w:sz w:val="24"/>
          <w:szCs w:val="24"/>
        </w:rPr>
        <w:t xml:space="preserve">Около 20-30% от пациентите TSC имат двустранни </w:t>
      </w:r>
      <w:r w:rsidRPr="00AE47C6">
        <w:rPr>
          <w:rFonts w:ascii="Times New Roman" w:eastAsia="SimSun" w:hAnsi="Times New Roman"/>
          <w:bCs/>
          <w:i/>
          <w:iCs/>
          <w:sz w:val="24"/>
          <w:szCs w:val="24"/>
        </w:rPr>
        <w:t>бъбречни кисти</w:t>
      </w:r>
      <w:r w:rsidRPr="00AE47C6">
        <w:rPr>
          <w:rFonts w:ascii="Times New Roman" w:eastAsia="SimSun" w:hAnsi="Times New Roman"/>
          <w:bCs/>
          <w:iCs/>
          <w:sz w:val="24"/>
          <w:szCs w:val="24"/>
        </w:rPr>
        <w:t xml:space="preserve">, а 2% имат и </w:t>
      </w:r>
      <w:r w:rsidRPr="00AE47C6">
        <w:rPr>
          <w:rFonts w:ascii="Times New Roman" w:eastAsia="SimSun" w:hAnsi="Times New Roman"/>
          <w:bCs/>
          <w:i/>
          <w:iCs/>
          <w:sz w:val="24"/>
          <w:szCs w:val="24"/>
        </w:rPr>
        <w:t>автозомно-доминантна бъбречна поликистоза</w:t>
      </w:r>
      <w:r w:rsidRPr="00AE47C6">
        <w:rPr>
          <w:rFonts w:ascii="Times New Roman" w:eastAsia="SimSun" w:hAnsi="Times New Roman"/>
          <w:bCs/>
          <w:iCs/>
          <w:sz w:val="24"/>
          <w:szCs w:val="24"/>
        </w:rPr>
        <w:t xml:space="preserve"> с начало от детската възраст. Наличието и на бъбречна поликистоза при TSC се дължи на делеции в 16 хромозома, асоциирани с мутации едновременно в PKD1 гена (локализиран в 16 хромозома) и гена TSC2 (</w:t>
      </w:r>
      <w:hyperlink r:id="rId175" w:tooltip="Chromosome 16" w:history="1">
        <w:r w:rsidRPr="00AE47C6">
          <w:rPr>
            <w:rFonts w:ascii="Times New Roman" w:eastAsia="SimSun" w:hAnsi="Times New Roman"/>
            <w:iCs/>
            <w:sz w:val="24"/>
            <w:szCs w:val="24"/>
          </w:rPr>
          <w:t>16</w:t>
        </w:r>
      </w:hyperlink>
      <w:r w:rsidRPr="00AE47C6">
        <w:rPr>
          <w:rFonts w:ascii="Times New Roman" w:eastAsia="SimSun" w:hAnsi="Times New Roman"/>
          <w:bCs/>
          <w:iCs/>
          <w:sz w:val="24"/>
          <w:szCs w:val="24"/>
        </w:rPr>
        <w:t xml:space="preserve"> p13.3). Клинично бъбречните кисти са асимптомни, но могат да предизвикват и бъбречна недостатъчност. Много рядко (2-3%) се развиват бъбречно-клетъчни карциноми в по-млада възраст в сравнение с общата популация и онкоцитоми (бенигнени аденоматозни хамартоми).</w:t>
      </w:r>
    </w:p>
    <w:p w14:paraId="067941B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sz w:val="24"/>
          <w:szCs w:val="24"/>
        </w:rPr>
        <w:t>4. Сърце</w:t>
      </w:r>
      <w:r w:rsidRPr="00AE47C6">
        <w:rPr>
          <w:rFonts w:ascii="Times New Roman" w:eastAsia="SimSun" w:hAnsi="Times New Roman"/>
          <w:sz w:val="24"/>
          <w:szCs w:val="24"/>
        </w:rPr>
        <w:t xml:space="preserve">. </w:t>
      </w:r>
      <w:r w:rsidRPr="00AE47C6">
        <w:rPr>
          <w:rFonts w:ascii="Times New Roman" w:eastAsia="SimSun" w:hAnsi="Times New Roman"/>
          <w:b/>
          <w:i/>
          <w:sz w:val="24"/>
          <w:szCs w:val="24"/>
        </w:rPr>
        <w:t xml:space="preserve">Рабдомиомите </w:t>
      </w:r>
      <w:r w:rsidRPr="00AE47C6">
        <w:rPr>
          <w:rFonts w:ascii="Times New Roman" w:eastAsia="SimSun" w:hAnsi="Times New Roman"/>
          <w:sz w:val="24"/>
          <w:szCs w:val="24"/>
        </w:rPr>
        <w:t>са доброкачествени тумори на сърцето, които се установяват чрез ехокардиография при около 50% от пациентите с TSC- при новородени до 90%, а у възрастни около 20%. Туморите нарастват през втората половина на бременността и се диагностицират чрез ултразвукови изследвания след 20 гестационна седмица или постнатално. Постепенно регресират след раждането. Причиняват обструкции, сърдечна аритмия, шумове. Рабдомиомите насочват към диагнозата за TSC, особено при фамилност за заболяването. Рядко са налице рабдомиосаркоми.</w:t>
      </w:r>
    </w:p>
    <w:p w14:paraId="74DACA24"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bCs/>
          <w:sz w:val="24"/>
          <w:szCs w:val="24"/>
        </w:rPr>
        <w:t>5. Бели дробове</w:t>
      </w:r>
      <w:r w:rsidRPr="00AE47C6">
        <w:rPr>
          <w:rFonts w:ascii="Times New Roman" w:eastAsia="SimSun" w:hAnsi="Times New Roman"/>
          <w:sz w:val="24"/>
          <w:szCs w:val="24"/>
        </w:rPr>
        <w:t xml:space="preserve">. </w:t>
      </w:r>
      <w:r w:rsidRPr="00AE47C6">
        <w:rPr>
          <w:rFonts w:ascii="Times New Roman" w:eastAsia="SimSun" w:hAnsi="Times New Roman"/>
          <w:bCs/>
          <w:sz w:val="24"/>
          <w:szCs w:val="24"/>
        </w:rPr>
        <w:t>При пациентите с TSC прогресиращо в белодробния паренхим се развива дифузна пролиферация от абнормни гладкомускулни клетки и множествени кисти –</w:t>
      </w:r>
      <w:r w:rsidRPr="00AE47C6">
        <w:rPr>
          <w:rFonts w:ascii="Times New Roman" w:eastAsia="SimSun" w:hAnsi="Times New Roman"/>
          <w:bCs/>
          <w:i/>
          <w:sz w:val="24"/>
          <w:szCs w:val="24"/>
        </w:rPr>
        <w:t>лимфангиолейомиоматоза (ЛАМ)</w:t>
      </w:r>
      <w:r w:rsidRPr="00AE47C6">
        <w:rPr>
          <w:rFonts w:ascii="Times New Roman" w:eastAsia="SimSun" w:hAnsi="Times New Roman"/>
          <w:bCs/>
          <w:sz w:val="24"/>
          <w:szCs w:val="24"/>
        </w:rPr>
        <w:t xml:space="preserve">. Генетичните анализи установяват, че пролиферативните процеси на бронхиоларните гладки мускули при туберозно-склерозните ЛАМ са моноклонални метастази от бъбречни ангиомиолипоми. </w:t>
      </w:r>
      <w:r w:rsidRPr="00AE47C6">
        <w:rPr>
          <w:rFonts w:ascii="Times New Roman" w:eastAsia="SimSun" w:hAnsi="Times New Roman"/>
          <w:bCs/>
          <w:iCs/>
          <w:sz w:val="24"/>
          <w:szCs w:val="24"/>
        </w:rPr>
        <w:t>ЛАМ се развива типично у жени с TSC след 18 г. възраст, като началните симптоми са диспнея и учестено дишане при физически усилия. Необходими са образни изследвания на белите дробове и проследяване- компютърна томография с висока резолюция (HRCT) и изследване на белодробната функция на изходно ниво, тест с 6-минутно ходене. Серумното ниво на съдово-ендотелен растежен фактор тип D (VEGF-D) може да бъде полезно за установяване на изходно ниво за развитие или прогресия на ЛАМ в бъдеще. При развитие на кисти, доказани чрез образни изследвания е необходимо проследяването им през 3-6 месеца и функционално изследване на дишането. При пациенти с умерена до тежка степен на развитие на заболяването и бърза прогресия mTOR инхибиторите стабилизират състоянието.</w:t>
      </w:r>
    </w:p>
    <w:p w14:paraId="0889BDEB" w14:textId="77777777" w:rsidR="00BE0B19" w:rsidRPr="00AE47C6" w:rsidRDefault="00BE0B19" w:rsidP="00BE0B19">
      <w:pPr>
        <w:spacing w:after="0" w:line="360" w:lineRule="auto"/>
        <w:ind w:firstLine="709"/>
        <w:jc w:val="both"/>
        <w:rPr>
          <w:rFonts w:ascii="Times New Roman" w:eastAsia="SimSun" w:hAnsi="Times New Roman"/>
          <w:bCs/>
          <w:sz w:val="24"/>
          <w:szCs w:val="24"/>
        </w:rPr>
      </w:pPr>
      <w:r w:rsidRPr="00AE47C6">
        <w:rPr>
          <w:rFonts w:ascii="Times New Roman" w:eastAsia="SimSun" w:hAnsi="Times New Roman"/>
          <w:b/>
          <w:bCs/>
          <w:sz w:val="24"/>
          <w:szCs w:val="24"/>
        </w:rPr>
        <w:t>Прогнозата при TSC</w:t>
      </w:r>
      <w:r w:rsidRPr="00AE47C6">
        <w:rPr>
          <w:rFonts w:ascii="Times New Roman" w:eastAsia="SimSun" w:hAnsi="Times New Roman"/>
          <w:bCs/>
          <w:sz w:val="24"/>
          <w:szCs w:val="24"/>
        </w:rPr>
        <w:t xml:space="preserve"> зависи от тежестта на симптомите- от кожни промени до различна степен на обучителни затруднения, до тежка умствена изостаналост, резистентни на лечение епилептични припадъци, бъбречна недостатъчност.</w:t>
      </w:r>
    </w:p>
    <w:p w14:paraId="2747972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Причините за смърт са бъбречните заболявания, белодробната лимфангиолейомиоматоза, мозъчните тумори, епилептичния статус или бронхопневмониите, особено при умствена изостаналост. Бъбречните ангиомиолипоми могат да причинят бъбречни кръвоизливи. Бъбречните карциноми са редки. Субепендимните гигантоклетъчни астроцитоми могат да предизвикат вътрешна хидроцефалия. Белодробната лимфангиолейомиоматоза е рисков фактор за пневмоторакс при жените. Сърдечно засягане при рабдомиомите е рисково за фетуса и в неонаталния период, в по-късна възраст могат да се развиват рабдомиосаркоми.</w:t>
      </w:r>
    </w:p>
    <w:p w14:paraId="007E37D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ІІІ. Диагностициране на туберозната склероза</w:t>
      </w:r>
    </w:p>
    <w:p w14:paraId="05300A7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TSС е заболяване с мултиорганно засягане. Няма патогномоничен синдром, а са налице комбинация от увреждания в различни органи и системи, които трябва да се диагностицират чрез специализирани изследвания.</w:t>
      </w:r>
    </w:p>
    <w:p w14:paraId="1F0D6FC3" w14:textId="77777777" w:rsidR="00BE0B19" w:rsidRPr="00AE47C6" w:rsidRDefault="00BE0B19" w:rsidP="00BE0B19">
      <w:pPr>
        <w:spacing w:after="0" w:line="360" w:lineRule="auto"/>
        <w:ind w:right="-426" w:firstLine="709"/>
        <w:jc w:val="both"/>
        <w:rPr>
          <w:rFonts w:ascii="Times New Roman" w:eastAsia="SimSun" w:hAnsi="Times New Roman"/>
          <w:b/>
          <w:sz w:val="24"/>
          <w:szCs w:val="24"/>
        </w:rPr>
      </w:pPr>
      <w:r w:rsidRPr="00AE47C6">
        <w:rPr>
          <w:rFonts w:ascii="Times New Roman" w:eastAsia="SimSun" w:hAnsi="Times New Roman"/>
          <w:b/>
          <w:sz w:val="24"/>
          <w:szCs w:val="24"/>
        </w:rPr>
        <w:t>За диагностицирането на заболяването е необходимо:</w:t>
      </w:r>
    </w:p>
    <w:p w14:paraId="61856197" w14:textId="77777777" w:rsidR="00BE0B19" w:rsidRPr="00AE47C6" w:rsidRDefault="00BE0B19" w:rsidP="00BE0B19">
      <w:pPr>
        <w:numPr>
          <w:ilvl w:val="0"/>
          <w:numId w:val="126"/>
        </w:numPr>
        <w:spacing w:after="0" w:line="360" w:lineRule="auto"/>
        <w:ind w:right="-113" w:firstLine="709"/>
        <w:jc w:val="both"/>
        <w:rPr>
          <w:rFonts w:ascii="Times New Roman" w:eastAsia="SimSun" w:hAnsi="Times New Roman"/>
          <w:i/>
          <w:sz w:val="24"/>
          <w:szCs w:val="24"/>
        </w:rPr>
      </w:pPr>
      <w:r w:rsidRPr="00AE47C6">
        <w:rPr>
          <w:rFonts w:ascii="Times New Roman" w:eastAsia="SimSun" w:hAnsi="Times New Roman"/>
          <w:i/>
          <w:sz w:val="24"/>
          <w:szCs w:val="24"/>
        </w:rPr>
        <w:t>Прецизна анамнеза и фамилна анамнеза</w:t>
      </w:r>
    </w:p>
    <w:p w14:paraId="54FDBEED" w14:textId="77777777" w:rsidR="00BE0B19" w:rsidRPr="00AE47C6" w:rsidRDefault="00BE0B19" w:rsidP="00BE0B19">
      <w:pPr>
        <w:numPr>
          <w:ilvl w:val="0"/>
          <w:numId w:val="126"/>
        </w:numPr>
        <w:spacing w:after="0" w:line="360" w:lineRule="auto"/>
        <w:ind w:right="-113" w:firstLine="709"/>
        <w:jc w:val="both"/>
        <w:rPr>
          <w:rFonts w:ascii="Times New Roman" w:eastAsia="SimSun" w:hAnsi="Times New Roman"/>
          <w:sz w:val="24"/>
          <w:szCs w:val="24"/>
        </w:rPr>
      </w:pPr>
      <w:r w:rsidRPr="00AE47C6">
        <w:rPr>
          <w:rFonts w:ascii="Times New Roman" w:eastAsia="SimSun" w:hAnsi="Times New Roman"/>
          <w:i/>
          <w:sz w:val="24"/>
          <w:szCs w:val="24"/>
        </w:rPr>
        <w:t>Изследвания за промени по кожата и лигавиците</w:t>
      </w:r>
      <w:r w:rsidRPr="00AE47C6">
        <w:rPr>
          <w:rFonts w:ascii="Times New Roman" w:eastAsia="SimSun" w:hAnsi="Times New Roman"/>
          <w:sz w:val="24"/>
          <w:szCs w:val="24"/>
        </w:rPr>
        <w:t>: оглед на кожата за хипопигментни петна, лицеви ангиофиброми, фиброми по лицето и скалпа, Шагреново петно, фиброми около ноктите, оглед на устната кухина за гингивални фиброми и дефекти на зъбния емайл.</w:t>
      </w:r>
    </w:p>
    <w:p w14:paraId="25925CD2" w14:textId="77777777" w:rsidR="00BE0B19" w:rsidRPr="00AE47C6" w:rsidRDefault="00BE0B19" w:rsidP="00BE0B19">
      <w:pPr>
        <w:numPr>
          <w:ilvl w:val="0"/>
          <w:numId w:val="126"/>
        </w:numPr>
        <w:spacing w:after="0" w:line="360" w:lineRule="auto"/>
        <w:ind w:right="-113" w:firstLine="709"/>
        <w:jc w:val="both"/>
        <w:rPr>
          <w:rFonts w:ascii="Times New Roman" w:eastAsia="SimSun" w:hAnsi="Times New Roman"/>
          <w:sz w:val="24"/>
          <w:szCs w:val="24"/>
        </w:rPr>
      </w:pPr>
      <w:r w:rsidRPr="00AE47C6">
        <w:rPr>
          <w:rFonts w:ascii="Times New Roman" w:eastAsia="SimSun" w:hAnsi="Times New Roman"/>
          <w:i/>
          <w:sz w:val="24"/>
          <w:szCs w:val="24"/>
        </w:rPr>
        <w:t>Невроизобразяващи изследвания: КТ</w:t>
      </w:r>
      <w:r w:rsidRPr="00AE47C6">
        <w:rPr>
          <w:rFonts w:ascii="Times New Roman" w:eastAsia="SimSun" w:hAnsi="Times New Roman"/>
          <w:sz w:val="24"/>
          <w:szCs w:val="24"/>
        </w:rPr>
        <w:t xml:space="preserve"> на главен мозък (субепендимни нодули с калциеви отлагания, корови тубери), по-информативна е </w:t>
      </w:r>
      <w:r w:rsidRPr="00AE47C6">
        <w:rPr>
          <w:rFonts w:ascii="Times New Roman" w:eastAsia="SimSun" w:hAnsi="Times New Roman"/>
          <w:i/>
          <w:sz w:val="24"/>
          <w:szCs w:val="24"/>
        </w:rPr>
        <w:t xml:space="preserve">МРТ </w:t>
      </w:r>
      <w:r w:rsidRPr="00AE47C6">
        <w:rPr>
          <w:rFonts w:ascii="Times New Roman" w:eastAsia="SimSun" w:hAnsi="Times New Roman"/>
          <w:sz w:val="24"/>
          <w:szCs w:val="24"/>
        </w:rPr>
        <w:t xml:space="preserve">на главния мозък (корови тубери, дисплазии, субепендимни нодули, субепендимни гигантоклетъчни астроцитоми). </w:t>
      </w:r>
    </w:p>
    <w:p w14:paraId="7AFFAC24" w14:textId="77777777" w:rsidR="00BE0B19" w:rsidRPr="00AE47C6" w:rsidRDefault="00BE0B19" w:rsidP="00BE0B19">
      <w:pPr>
        <w:numPr>
          <w:ilvl w:val="0"/>
          <w:numId w:val="126"/>
        </w:numPr>
        <w:spacing w:after="0" w:line="360" w:lineRule="auto"/>
        <w:ind w:right="-113" w:firstLine="709"/>
        <w:jc w:val="both"/>
        <w:rPr>
          <w:rFonts w:ascii="Times New Roman" w:eastAsia="SimSun" w:hAnsi="Times New Roman"/>
          <w:sz w:val="24"/>
          <w:szCs w:val="24"/>
        </w:rPr>
      </w:pPr>
      <w:r w:rsidRPr="00AE47C6">
        <w:rPr>
          <w:rFonts w:ascii="Times New Roman" w:eastAsia="SimSun" w:hAnsi="Times New Roman"/>
          <w:sz w:val="24"/>
          <w:szCs w:val="24"/>
        </w:rPr>
        <w:t>ЕЕГ изследвания при епилепсии, видео ЕЕГ.</w:t>
      </w:r>
    </w:p>
    <w:p w14:paraId="3D7BE8B3" w14:textId="77777777" w:rsidR="00BE0B19" w:rsidRPr="00AE47C6" w:rsidRDefault="00BE0B19" w:rsidP="00BE0B19">
      <w:pPr>
        <w:numPr>
          <w:ilvl w:val="0"/>
          <w:numId w:val="126"/>
        </w:numPr>
        <w:spacing w:after="0" w:line="360" w:lineRule="auto"/>
        <w:ind w:right="-113" w:firstLine="709"/>
        <w:jc w:val="both"/>
        <w:rPr>
          <w:rFonts w:ascii="Times New Roman" w:eastAsia="SimSun" w:hAnsi="Times New Roman"/>
          <w:sz w:val="24"/>
          <w:szCs w:val="24"/>
        </w:rPr>
      </w:pPr>
      <w:r w:rsidRPr="00AE47C6">
        <w:rPr>
          <w:rFonts w:ascii="Times New Roman" w:eastAsia="SimSun" w:hAnsi="Times New Roman"/>
          <w:i/>
          <w:sz w:val="24"/>
          <w:szCs w:val="24"/>
        </w:rPr>
        <w:t>Бъбречни изследвания</w:t>
      </w:r>
      <w:r w:rsidRPr="00AE47C6">
        <w:rPr>
          <w:rFonts w:ascii="Times New Roman" w:eastAsia="SimSun" w:hAnsi="Times New Roman"/>
          <w:sz w:val="24"/>
          <w:szCs w:val="24"/>
        </w:rPr>
        <w:t xml:space="preserve">: изобразяващи ехографии, КТ, МРТ на коремни органи (двустранни, множествени ангиомиолипоми и кисти); изследване на артериалното налягане за търсене на артериална хипертония; оценка на бъбречната функция чрез определяне на </w:t>
      </w:r>
      <w:r w:rsidRPr="00AE47C6">
        <w:rPr>
          <w:rFonts w:ascii="Times New Roman" w:eastAsia="SimSun" w:hAnsi="Times New Roman"/>
          <w:bCs/>
          <w:sz w:val="24"/>
          <w:szCs w:val="24"/>
        </w:rPr>
        <w:t>скоростта</w:t>
      </w:r>
      <w:r w:rsidRPr="00AE47C6">
        <w:rPr>
          <w:rFonts w:ascii="Times New Roman" w:eastAsia="SimSun" w:hAnsi="Times New Roman"/>
          <w:sz w:val="24"/>
          <w:szCs w:val="24"/>
        </w:rPr>
        <w:t xml:space="preserve"> на </w:t>
      </w:r>
      <w:r w:rsidRPr="00AE47C6">
        <w:rPr>
          <w:rFonts w:ascii="Times New Roman" w:eastAsia="SimSun" w:hAnsi="Times New Roman"/>
          <w:bCs/>
          <w:sz w:val="24"/>
          <w:szCs w:val="24"/>
        </w:rPr>
        <w:t>гломерулната филтрация</w:t>
      </w:r>
      <w:r w:rsidRPr="00AE47C6">
        <w:rPr>
          <w:rFonts w:ascii="Times New Roman" w:eastAsia="SimSun" w:hAnsi="Times New Roman"/>
          <w:sz w:val="24"/>
          <w:szCs w:val="24"/>
        </w:rPr>
        <w:t xml:space="preserve"> (GFR) чрез формули за изчисление на креатинина за възрастни или деца. Като алтернативен метод за оценка на GFR може да се използва измерване на серумната концентрация на цистатин C.</w:t>
      </w:r>
    </w:p>
    <w:p w14:paraId="559AEC2C" w14:textId="77777777" w:rsidR="00BE0B19" w:rsidRPr="00AE47C6" w:rsidRDefault="00BE0B19" w:rsidP="00BE0B19">
      <w:pPr>
        <w:numPr>
          <w:ilvl w:val="0"/>
          <w:numId w:val="126"/>
        </w:numPr>
        <w:spacing w:after="0" w:line="360" w:lineRule="auto"/>
        <w:ind w:right="-113"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Ехокардиография (ЕхоКГ) и електрокардиограма (ЕКГ) </w:t>
      </w:r>
      <w:r w:rsidRPr="00AE47C6">
        <w:rPr>
          <w:rFonts w:ascii="Times New Roman" w:eastAsia="SimSun" w:hAnsi="Times New Roman"/>
          <w:sz w:val="24"/>
          <w:szCs w:val="24"/>
        </w:rPr>
        <w:t>при кърмачета за установяване наличието на рабдомиоми и аритмия.</w:t>
      </w:r>
    </w:p>
    <w:p w14:paraId="33634953" w14:textId="77777777" w:rsidR="00BE0B19" w:rsidRPr="00AE47C6" w:rsidRDefault="00C74E8C" w:rsidP="00BE0B19">
      <w:pPr>
        <w:numPr>
          <w:ilvl w:val="0"/>
          <w:numId w:val="126"/>
        </w:numPr>
        <w:spacing w:after="0" w:line="360" w:lineRule="auto"/>
        <w:ind w:right="-113" w:firstLine="709"/>
        <w:jc w:val="both"/>
        <w:rPr>
          <w:rFonts w:ascii="Times New Roman" w:eastAsia="SimSun" w:hAnsi="Times New Roman"/>
          <w:sz w:val="24"/>
          <w:szCs w:val="24"/>
        </w:rPr>
      </w:pPr>
      <w:hyperlink r:id="rId176" w:tooltip="Fundoscopy" w:history="1">
        <w:r w:rsidR="00BE0B19" w:rsidRPr="00AE47C6">
          <w:rPr>
            <w:rFonts w:ascii="Times New Roman" w:eastAsia="SimSun" w:hAnsi="Times New Roman"/>
            <w:i/>
            <w:sz w:val="24"/>
            <w:szCs w:val="24"/>
          </w:rPr>
          <w:t>Офталмологичен</w:t>
        </w:r>
      </w:hyperlink>
      <w:r w:rsidR="00BE0B19" w:rsidRPr="00AE47C6">
        <w:rPr>
          <w:rFonts w:ascii="Times New Roman" w:eastAsia="SimSun" w:hAnsi="Times New Roman"/>
          <w:i/>
          <w:sz w:val="24"/>
          <w:szCs w:val="24"/>
        </w:rPr>
        <w:t xml:space="preserve"> преглед</w:t>
      </w:r>
      <w:r w:rsidR="00BE0B19" w:rsidRPr="00AE47C6">
        <w:rPr>
          <w:rFonts w:ascii="Times New Roman" w:eastAsia="SimSun" w:hAnsi="Times New Roman"/>
          <w:sz w:val="24"/>
          <w:szCs w:val="24"/>
        </w:rPr>
        <w:t>- фундоскопия за ретинни хамартоми и апигментни петна.</w:t>
      </w:r>
    </w:p>
    <w:p w14:paraId="0300B9DE" w14:textId="77777777" w:rsidR="00BE0B19" w:rsidRPr="00AE47C6" w:rsidRDefault="00BE0B19" w:rsidP="00BE0B19">
      <w:pPr>
        <w:numPr>
          <w:ilvl w:val="0"/>
          <w:numId w:val="126"/>
        </w:numPr>
        <w:spacing w:after="0" w:line="360" w:lineRule="auto"/>
        <w:ind w:right="-113" w:firstLine="709"/>
        <w:jc w:val="both"/>
        <w:rPr>
          <w:rFonts w:ascii="Times New Roman" w:eastAsia="SimSun" w:hAnsi="Times New Roman"/>
          <w:sz w:val="24"/>
          <w:szCs w:val="24"/>
        </w:rPr>
      </w:pPr>
      <w:r w:rsidRPr="00AE47C6">
        <w:rPr>
          <w:rFonts w:ascii="Times New Roman" w:eastAsia="SimSun" w:hAnsi="Times New Roman"/>
          <w:bCs/>
          <w:iCs/>
          <w:sz w:val="24"/>
          <w:szCs w:val="24"/>
        </w:rPr>
        <w:t>Образни изследвания на белите дробове- компютърна томография с висока резолюция (HRCT) и изследване на белодробната функция на изходно ниво, тест с 6-минутно ходене. Серумното ниво на съдово-ендотелен растежен фактор тип D (VEGF-D) може да бъде полезно за установяване на изходно ниво за развитие или прогресия на ЛАМ в бъдеще.</w:t>
      </w:r>
    </w:p>
    <w:p w14:paraId="4DE71C6A" w14:textId="77777777" w:rsidR="00BE0B19" w:rsidRPr="00AE47C6" w:rsidRDefault="00BE0B19" w:rsidP="00BE0B19">
      <w:pPr>
        <w:numPr>
          <w:ilvl w:val="0"/>
          <w:numId w:val="126"/>
        </w:numPr>
        <w:spacing w:after="0" w:line="360" w:lineRule="auto"/>
        <w:ind w:right="-113"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Генетични изследвания </w:t>
      </w:r>
      <w:r w:rsidRPr="00AE47C6">
        <w:rPr>
          <w:rFonts w:ascii="Times New Roman" w:eastAsia="SimSun" w:hAnsi="Times New Roman"/>
          <w:sz w:val="24"/>
          <w:szCs w:val="24"/>
        </w:rPr>
        <w:t>за разкриване на мутации в TSC 2 или TSC 1 гена (при 10-25% от пациентите не се установяват мутации).</w:t>
      </w:r>
    </w:p>
    <w:p w14:paraId="3639F324" w14:textId="77777777" w:rsidR="00BE0B19" w:rsidRPr="00AE47C6" w:rsidRDefault="00BE0B19" w:rsidP="00BE0B19">
      <w:pPr>
        <w:spacing w:after="0" w:line="360" w:lineRule="auto"/>
        <w:ind w:right="-150" w:firstLine="360"/>
        <w:jc w:val="both"/>
        <w:rPr>
          <w:rFonts w:ascii="Times New Roman" w:eastAsia="SimSun" w:hAnsi="Times New Roman"/>
          <w:b/>
          <w:sz w:val="24"/>
          <w:szCs w:val="24"/>
        </w:rPr>
      </w:pPr>
      <w:r w:rsidRPr="00AE47C6">
        <w:rPr>
          <w:rFonts w:ascii="Times New Roman" w:eastAsia="SimSun" w:hAnsi="Times New Roman"/>
          <w:b/>
          <w:sz w:val="24"/>
          <w:szCs w:val="24"/>
        </w:rPr>
        <w:t>За поставяне на диагнозата „Туберозна склероза комплекс” са приети диагностични критерии</w:t>
      </w:r>
      <w:r w:rsidRPr="00AE47C6">
        <w:rPr>
          <w:rFonts w:ascii="Times New Roman" w:eastAsia="SimSun" w:hAnsi="Times New Roman"/>
          <w:sz w:val="24"/>
          <w:szCs w:val="24"/>
        </w:rPr>
        <w:t>. Актуализираният консенсус за диагностиката на TSC от 2013 г. включва:</w:t>
      </w:r>
    </w:p>
    <w:p w14:paraId="68317462" w14:textId="77777777" w:rsidR="00BE0B19" w:rsidRPr="00AE47C6" w:rsidRDefault="00BE0B19" w:rsidP="00BE0B19">
      <w:pPr>
        <w:spacing w:after="0" w:line="360" w:lineRule="auto"/>
        <w:ind w:right="-150"/>
        <w:jc w:val="both"/>
        <w:rPr>
          <w:rFonts w:ascii="Times New Roman" w:eastAsia="SimSun" w:hAnsi="Times New Roman"/>
          <w:sz w:val="24"/>
          <w:szCs w:val="24"/>
        </w:rPr>
      </w:pPr>
      <w:r w:rsidRPr="00AE47C6">
        <w:rPr>
          <w:rFonts w:ascii="Times New Roman" w:eastAsia="SimSun" w:hAnsi="Times New Roman"/>
          <w:b/>
          <w:sz w:val="24"/>
          <w:szCs w:val="24"/>
        </w:rPr>
        <w:t xml:space="preserve">А. </w:t>
      </w:r>
      <w:r w:rsidRPr="00AE47C6">
        <w:rPr>
          <w:rFonts w:ascii="Times New Roman" w:eastAsia="SimSun" w:hAnsi="Times New Roman"/>
          <w:b/>
          <w:i/>
          <w:sz w:val="24"/>
          <w:szCs w:val="24"/>
        </w:rPr>
        <w:t>Генетичен диагностичен критерий</w:t>
      </w:r>
      <w:r w:rsidRPr="00AE47C6">
        <w:rPr>
          <w:rFonts w:ascii="Times New Roman" w:eastAsia="SimSun" w:hAnsi="Times New Roman"/>
          <w:sz w:val="24"/>
          <w:szCs w:val="24"/>
        </w:rPr>
        <w:t>- доказването на патогенни мутации с инактивиране на функциите на TSC1 протеина hamartin или на TSC2 протеина tuberin прави сигурна диагнозата TSC, но при 10-25% от пациентите не се установяват мутации.</w:t>
      </w:r>
    </w:p>
    <w:p w14:paraId="4C4AB84E" w14:textId="77777777" w:rsidR="00BE0B19" w:rsidRPr="00AE47C6" w:rsidRDefault="00BE0B19" w:rsidP="00BE0B19">
      <w:pPr>
        <w:spacing w:after="0" w:line="360" w:lineRule="auto"/>
        <w:ind w:right="-150"/>
        <w:jc w:val="both"/>
        <w:rPr>
          <w:rFonts w:ascii="Times New Roman" w:eastAsia="SimSun" w:hAnsi="Times New Roman"/>
          <w:sz w:val="24"/>
          <w:szCs w:val="24"/>
        </w:rPr>
      </w:pPr>
      <w:r w:rsidRPr="00AE47C6">
        <w:rPr>
          <w:rFonts w:ascii="Times New Roman" w:eastAsia="SimSun" w:hAnsi="Times New Roman"/>
          <w:b/>
          <w:sz w:val="24"/>
          <w:szCs w:val="24"/>
        </w:rPr>
        <w:t xml:space="preserve">Б. Клинични критерии </w:t>
      </w:r>
      <w:r w:rsidRPr="00AE47C6">
        <w:rPr>
          <w:rFonts w:ascii="Times New Roman" w:eastAsia="SimSun" w:hAnsi="Times New Roman"/>
          <w:sz w:val="24"/>
          <w:szCs w:val="24"/>
        </w:rPr>
        <w:t>с наличието на 11 главни и 6 второстепенни белега (2013 г.):</w:t>
      </w:r>
    </w:p>
    <w:p w14:paraId="698D66F8" w14:textId="77777777" w:rsidR="00BE0B19" w:rsidRPr="00AE47C6" w:rsidRDefault="00BE0B19" w:rsidP="00BE0B19">
      <w:pPr>
        <w:spacing w:after="0" w:line="360" w:lineRule="auto"/>
        <w:ind w:right="-150"/>
        <w:jc w:val="both"/>
        <w:rPr>
          <w:rFonts w:ascii="Times New Roman" w:eastAsia="SimSun" w:hAnsi="Times New Roman"/>
          <w:b/>
          <w:sz w:val="24"/>
          <w:szCs w:val="24"/>
        </w:rPr>
      </w:pPr>
      <w:r w:rsidRPr="00AE47C6">
        <w:rPr>
          <w:rFonts w:ascii="Times New Roman" w:eastAsia="SimSun" w:hAnsi="Times New Roman"/>
          <w:b/>
          <w:sz w:val="24"/>
          <w:szCs w:val="24"/>
        </w:rPr>
        <w:t>Главни белези (11):</w:t>
      </w:r>
    </w:p>
    <w:p w14:paraId="70B421BD" w14:textId="77777777" w:rsidR="00BE0B19" w:rsidRPr="00AE47C6" w:rsidRDefault="00BE0B19" w:rsidP="00BE0B19">
      <w:pPr>
        <w:spacing w:after="0" w:line="360" w:lineRule="auto"/>
        <w:ind w:left="360" w:right="-150"/>
        <w:jc w:val="both"/>
        <w:rPr>
          <w:rFonts w:ascii="Times New Roman" w:eastAsia="SimSun" w:hAnsi="Times New Roman"/>
          <w:sz w:val="24"/>
          <w:szCs w:val="24"/>
        </w:rPr>
      </w:pPr>
      <w:r w:rsidRPr="00AE47C6">
        <w:rPr>
          <w:rFonts w:ascii="Times New Roman" w:eastAsia="SimSun" w:hAnsi="Times New Roman"/>
          <w:sz w:val="24"/>
          <w:szCs w:val="24"/>
        </w:rPr>
        <w:t xml:space="preserve">1. Хипопигментни петна (≥3, поне с 5 mm диаметър); </w:t>
      </w:r>
    </w:p>
    <w:p w14:paraId="497F5435" w14:textId="77777777" w:rsidR="00BE0B19" w:rsidRPr="00AE47C6" w:rsidRDefault="00BE0B19" w:rsidP="00BE0B19">
      <w:pPr>
        <w:spacing w:after="0" w:line="360" w:lineRule="auto"/>
        <w:ind w:left="360" w:right="-150"/>
        <w:jc w:val="both"/>
        <w:rPr>
          <w:rFonts w:ascii="Times New Roman" w:eastAsia="SimSun" w:hAnsi="Times New Roman"/>
          <w:sz w:val="24"/>
          <w:szCs w:val="24"/>
        </w:rPr>
      </w:pPr>
      <w:r w:rsidRPr="00AE47C6">
        <w:rPr>
          <w:rFonts w:ascii="Times New Roman" w:eastAsia="SimSun" w:hAnsi="Times New Roman"/>
          <w:sz w:val="24"/>
          <w:szCs w:val="24"/>
        </w:rPr>
        <w:t xml:space="preserve">2. Ангиофиброми (≥3) или фиброзни плаки в областта на главата; </w:t>
      </w:r>
    </w:p>
    <w:p w14:paraId="34CE5B88" w14:textId="77777777" w:rsidR="00BE0B19" w:rsidRPr="00AE47C6" w:rsidRDefault="00BE0B19" w:rsidP="00BE0B19">
      <w:pPr>
        <w:spacing w:after="0" w:line="360" w:lineRule="auto"/>
        <w:ind w:left="360" w:right="-150"/>
        <w:jc w:val="both"/>
        <w:rPr>
          <w:rFonts w:ascii="Times New Roman" w:eastAsia="SimSun" w:hAnsi="Times New Roman"/>
          <w:sz w:val="24"/>
          <w:szCs w:val="24"/>
        </w:rPr>
      </w:pPr>
      <w:r w:rsidRPr="00AE47C6">
        <w:rPr>
          <w:rFonts w:ascii="Times New Roman" w:eastAsia="SimSun" w:hAnsi="Times New Roman"/>
          <w:sz w:val="24"/>
          <w:szCs w:val="24"/>
        </w:rPr>
        <w:t xml:space="preserve">3. Унгвални фиброми(≥2); </w:t>
      </w:r>
    </w:p>
    <w:p w14:paraId="6B9A47EC" w14:textId="77777777" w:rsidR="00BE0B19" w:rsidRPr="00AE47C6" w:rsidRDefault="00BE0B19" w:rsidP="00BE0B19">
      <w:pPr>
        <w:spacing w:after="0" w:line="360" w:lineRule="auto"/>
        <w:ind w:left="360" w:right="-150"/>
        <w:jc w:val="both"/>
        <w:rPr>
          <w:rFonts w:ascii="Times New Roman" w:eastAsia="SimSun" w:hAnsi="Times New Roman"/>
          <w:sz w:val="24"/>
          <w:szCs w:val="24"/>
        </w:rPr>
      </w:pPr>
      <w:r w:rsidRPr="00AE47C6">
        <w:rPr>
          <w:rFonts w:ascii="Times New Roman" w:eastAsia="SimSun" w:hAnsi="Times New Roman"/>
          <w:sz w:val="24"/>
          <w:szCs w:val="24"/>
        </w:rPr>
        <w:t xml:space="preserve">4. Шагренови петна; </w:t>
      </w:r>
    </w:p>
    <w:p w14:paraId="18C60892" w14:textId="77777777" w:rsidR="00BE0B19" w:rsidRPr="00AE47C6" w:rsidRDefault="00BE0B19" w:rsidP="00BE0B19">
      <w:pPr>
        <w:spacing w:after="0" w:line="360" w:lineRule="auto"/>
        <w:ind w:left="360" w:right="-150"/>
        <w:jc w:val="both"/>
        <w:rPr>
          <w:rFonts w:ascii="Times New Roman" w:eastAsia="SimSun" w:hAnsi="Times New Roman"/>
          <w:sz w:val="24"/>
          <w:szCs w:val="24"/>
        </w:rPr>
      </w:pPr>
      <w:r w:rsidRPr="00AE47C6">
        <w:rPr>
          <w:rFonts w:ascii="Times New Roman" w:eastAsia="SimSun" w:hAnsi="Times New Roman"/>
          <w:sz w:val="24"/>
          <w:szCs w:val="24"/>
        </w:rPr>
        <w:t xml:space="preserve">5. Множествени ретинни хамартоми; </w:t>
      </w:r>
    </w:p>
    <w:p w14:paraId="004388CF" w14:textId="77777777" w:rsidR="00BE0B19" w:rsidRPr="00AE47C6" w:rsidRDefault="00BE0B19" w:rsidP="00BE0B19">
      <w:pPr>
        <w:spacing w:after="0" w:line="360" w:lineRule="auto"/>
        <w:ind w:left="360" w:right="-150"/>
        <w:jc w:val="both"/>
        <w:rPr>
          <w:rFonts w:ascii="Times New Roman" w:eastAsia="SimSun" w:hAnsi="Times New Roman"/>
          <w:sz w:val="24"/>
          <w:szCs w:val="24"/>
        </w:rPr>
      </w:pPr>
      <w:r w:rsidRPr="00AE47C6">
        <w:rPr>
          <w:rFonts w:ascii="Times New Roman" w:eastAsia="SimSun" w:hAnsi="Times New Roman"/>
          <w:sz w:val="24"/>
          <w:szCs w:val="24"/>
        </w:rPr>
        <w:t xml:space="preserve">6. Корови дисплазии (корови тубери и радиални миграционни линии в бялото мозъчно вещество) (≥3); </w:t>
      </w:r>
    </w:p>
    <w:p w14:paraId="39E4106B" w14:textId="77777777" w:rsidR="00BE0B19" w:rsidRPr="00AE47C6" w:rsidRDefault="00BE0B19" w:rsidP="00BE0B19">
      <w:pPr>
        <w:spacing w:after="0" w:line="360" w:lineRule="auto"/>
        <w:ind w:left="360" w:right="-150"/>
        <w:jc w:val="both"/>
        <w:rPr>
          <w:rFonts w:ascii="Times New Roman" w:eastAsia="SimSun" w:hAnsi="Times New Roman"/>
          <w:sz w:val="24"/>
          <w:szCs w:val="24"/>
        </w:rPr>
      </w:pPr>
      <w:r w:rsidRPr="00AE47C6">
        <w:rPr>
          <w:rFonts w:ascii="Times New Roman" w:eastAsia="SimSun" w:hAnsi="Times New Roman"/>
          <w:sz w:val="24"/>
          <w:szCs w:val="24"/>
        </w:rPr>
        <w:t>7. Субепендимни нодули (СЕН) (≥2);</w:t>
      </w:r>
    </w:p>
    <w:p w14:paraId="7D569A95" w14:textId="77777777" w:rsidR="00BE0B19" w:rsidRPr="00AE47C6" w:rsidRDefault="00BE0B19" w:rsidP="00BE0B19">
      <w:pPr>
        <w:spacing w:after="0" w:line="360" w:lineRule="auto"/>
        <w:ind w:left="360" w:right="-150"/>
        <w:jc w:val="both"/>
        <w:rPr>
          <w:rFonts w:ascii="Times New Roman" w:eastAsia="SimSun" w:hAnsi="Times New Roman"/>
          <w:sz w:val="24"/>
          <w:szCs w:val="24"/>
        </w:rPr>
      </w:pPr>
      <w:r w:rsidRPr="00AE47C6">
        <w:rPr>
          <w:rFonts w:ascii="Times New Roman" w:eastAsia="SimSun" w:hAnsi="Times New Roman"/>
          <w:sz w:val="24"/>
          <w:szCs w:val="24"/>
        </w:rPr>
        <w:t xml:space="preserve">8. Субепендимни гигантоклетъчни астроцитоми (СЕГА); </w:t>
      </w:r>
    </w:p>
    <w:p w14:paraId="7E7539D1" w14:textId="77777777" w:rsidR="00BE0B19" w:rsidRPr="00AE47C6" w:rsidRDefault="00BE0B19" w:rsidP="00BE0B19">
      <w:pPr>
        <w:spacing w:after="0" w:line="360" w:lineRule="auto"/>
        <w:ind w:left="360" w:right="-150"/>
        <w:jc w:val="both"/>
        <w:rPr>
          <w:rFonts w:ascii="Times New Roman" w:eastAsia="SimSun" w:hAnsi="Times New Roman"/>
          <w:sz w:val="24"/>
          <w:szCs w:val="24"/>
        </w:rPr>
      </w:pPr>
      <w:r w:rsidRPr="00AE47C6">
        <w:rPr>
          <w:rFonts w:ascii="Times New Roman" w:eastAsia="SimSun" w:hAnsi="Times New Roman"/>
          <w:sz w:val="24"/>
          <w:szCs w:val="24"/>
        </w:rPr>
        <w:t xml:space="preserve">9. Сърдечни рабдомиоми; </w:t>
      </w:r>
    </w:p>
    <w:p w14:paraId="7237F225" w14:textId="77777777" w:rsidR="00BE0B19" w:rsidRPr="00AE47C6" w:rsidRDefault="00BE0B19" w:rsidP="00BE0B19">
      <w:pPr>
        <w:spacing w:after="0" w:line="360" w:lineRule="auto"/>
        <w:ind w:left="360" w:right="-150"/>
        <w:jc w:val="both"/>
        <w:rPr>
          <w:rFonts w:ascii="Times New Roman" w:eastAsia="SimSun" w:hAnsi="Times New Roman"/>
          <w:sz w:val="24"/>
          <w:szCs w:val="24"/>
        </w:rPr>
      </w:pPr>
      <w:r w:rsidRPr="00AE47C6">
        <w:rPr>
          <w:rFonts w:ascii="Times New Roman" w:eastAsia="SimSun" w:hAnsi="Times New Roman"/>
          <w:sz w:val="24"/>
          <w:szCs w:val="24"/>
        </w:rPr>
        <w:t xml:space="preserve">10. Лимфангиолейомиоматоза (ЛАМ); </w:t>
      </w:r>
    </w:p>
    <w:p w14:paraId="675172F2" w14:textId="77777777" w:rsidR="00BE0B19" w:rsidRPr="00AE47C6" w:rsidRDefault="00BE0B19" w:rsidP="00BE0B19">
      <w:pPr>
        <w:spacing w:after="0" w:line="360" w:lineRule="auto"/>
        <w:ind w:left="360" w:right="-150"/>
        <w:jc w:val="both"/>
        <w:rPr>
          <w:rFonts w:ascii="Times New Roman" w:eastAsia="SimSun" w:hAnsi="Times New Roman"/>
          <w:sz w:val="24"/>
          <w:szCs w:val="24"/>
        </w:rPr>
      </w:pPr>
      <w:r w:rsidRPr="00AE47C6">
        <w:rPr>
          <w:rFonts w:ascii="Times New Roman" w:eastAsia="SimSun" w:hAnsi="Times New Roman"/>
          <w:sz w:val="24"/>
          <w:szCs w:val="24"/>
        </w:rPr>
        <w:t>11. Ангиомиолипоми (АМЛ) (≥2).</w:t>
      </w:r>
    </w:p>
    <w:p w14:paraId="3AB39158" w14:textId="77777777" w:rsidR="00BE0B19" w:rsidRPr="00AE47C6" w:rsidRDefault="00BE0B19" w:rsidP="00BE0B19">
      <w:pPr>
        <w:spacing w:after="0" w:line="360" w:lineRule="auto"/>
        <w:ind w:left="360" w:right="-150"/>
        <w:jc w:val="both"/>
        <w:rPr>
          <w:rFonts w:ascii="Times New Roman" w:eastAsia="SimSun" w:hAnsi="Times New Roman"/>
          <w:b/>
          <w:sz w:val="24"/>
          <w:szCs w:val="24"/>
        </w:rPr>
      </w:pPr>
      <w:r w:rsidRPr="00AE47C6">
        <w:rPr>
          <w:rFonts w:ascii="Times New Roman" w:eastAsia="SimSun" w:hAnsi="Times New Roman"/>
          <w:b/>
          <w:sz w:val="24"/>
          <w:szCs w:val="24"/>
        </w:rPr>
        <w:t xml:space="preserve">Второстепенни белези (6): </w:t>
      </w:r>
    </w:p>
    <w:p w14:paraId="15DBB83C" w14:textId="77777777" w:rsidR="00BE0B19" w:rsidRPr="00AE47C6" w:rsidRDefault="00BE0B19" w:rsidP="00BE0B19">
      <w:pPr>
        <w:numPr>
          <w:ilvl w:val="0"/>
          <w:numId w:val="126"/>
        </w:numPr>
        <w:spacing w:after="0" w:line="360" w:lineRule="auto"/>
        <w:ind w:right="-15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1.Кожни лезии като конфети; </w:t>
      </w:r>
    </w:p>
    <w:p w14:paraId="2937926A" w14:textId="77777777" w:rsidR="00BE0B19" w:rsidRPr="00AE47C6" w:rsidRDefault="00BE0B19" w:rsidP="00BE0B19">
      <w:pPr>
        <w:numPr>
          <w:ilvl w:val="0"/>
          <w:numId w:val="126"/>
        </w:numPr>
        <w:spacing w:after="0" w:line="360" w:lineRule="auto"/>
        <w:ind w:right="-15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2. Дефекти в зъбния емайл (≥3); </w:t>
      </w:r>
    </w:p>
    <w:p w14:paraId="53F8C453" w14:textId="77777777" w:rsidR="00BE0B19" w:rsidRPr="00AE47C6" w:rsidRDefault="00BE0B19" w:rsidP="00BE0B19">
      <w:pPr>
        <w:numPr>
          <w:ilvl w:val="0"/>
          <w:numId w:val="126"/>
        </w:numPr>
        <w:spacing w:after="0" w:line="360" w:lineRule="auto"/>
        <w:ind w:right="-15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3. Интраорални фиброми (≥2); </w:t>
      </w:r>
    </w:p>
    <w:p w14:paraId="09907980" w14:textId="77777777" w:rsidR="00BE0B19" w:rsidRPr="00AE47C6" w:rsidRDefault="00BE0B19" w:rsidP="00BE0B19">
      <w:pPr>
        <w:numPr>
          <w:ilvl w:val="0"/>
          <w:numId w:val="126"/>
        </w:numPr>
        <w:spacing w:after="0" w:line="360" w:lineRule="auto"/>
        <w:ind w:right="-15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4. Ретинни ахромни петна; </w:t>
      </w:r>
    </w:p>
    <w:p w14:paraId="0691D2B5" w14:textId="77777777" w:rsidR="00BE0B19" w:rsidRPr="00AE47C6" w:rsidRDefault="00BE0B19" w:rsidP="00BE0B19">
      <w:pPr>
        <w:numPr>
          <w:ilvl w:val="0"/>
          <w:numId w:val="126"/>
        </w:numPr>
        <w:spacing w:after="0" w:line="360" w:lineRule="auto"/>
        <w:ind w:right="-15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5. Множествени бъбречни кисти; </w:t>
      </w:r>
    </w:p>
    <w:p w14:paraId="234D2DDE" w14:textId="77777777" w:rsidR="00BE0B19" w:rsidRPr="00AE47C6" w:rsidRDefault="00BE0B19" w:rsidP="00BE0B19">
      <w:pPr>
        <w:numPr>
          <w:ilvl w:val="0"/>
          <w:numId w:val="126"/>
        </w:numPr>
        <w:spacing w:after="0" w:line="360" w:lineRule="auto"/>
        <w:ind w:right="-150"/>
        <w:contextualSpacing/>
        <w:jc w:val="both"/>
        <w:rPr>
          <w:rFonts w:ascii="Times New Roman" w:eastAsia="SimSun" w:hAnsi="Times New Roman"/>
          <w:sz w:val="24"/>
          <w:szCs w:val="24"/>
        </w:rPr>
      </w:pPr>
      <w:r w:rsidRPr="00AE47C6">
        <w:rPr>
          <w:rFonts w:ascii="Times New Roman" w:eastAsia="SimSun" w:hAnsi="Times New Roman"/>
          <w:sz w:val="24"/>
          <w:szCs w:val="24"/>
        </w:rPr>
        <w:t>6. Небъбречни хамартоми.</w:t>
      </w:r>
    </w:p>
    <w:p w14:paraId="62E55565" w14:textId="77777777" w:rsidR="00BE0B19" w:rsidRPr="00AE47C6" w:rsidRDefault="00BE0B19" w:rsidP="00BE0B19">
      <w:pPr>
        <w:spacing w:after="0" w:line="360" w:lineRule="auto"/>
        <w:ind w:left="360" w:right="-150"/>
        <w:jc w:val="both"/>
        <w:rPr>
          <w:rFonts w:ascii="Times New Roman" w:eastAsia="SimSun" w:hAnsi="Times New Roman"/>
          <w:sz w:val="24"/>
          <w:szCs w:val="24"/>
        </w:rPr>
      </w:pPr>
      <w:r w:rsidRPr="00AE47C6">
        <w:rPr>
          <w:rFonts w:ascii="Times New Roman" w:eastAsia="Calibri" w:hAnsi="Times New Roman"/>
          <w:sz w:val="24"/>
          <w:szCs w:val="24"/>
        </w:rPr>
        <w:t xml:space="preserve">В „Б. Клинични диагностични критерии” през 2018 г. е предложено в Главни белези вместо т. 6. „Корови дисплазии” да се конкретизира „Множество корови тубери и/или радиални миграционни линии”, второстепенните белези да станат 7, като се включи т.7. </w:t>
      </w:r>
      <w:r w:rsidRPr="00AE47C6">
        <w:rPr>
          <w:rFonts w:ascii="Times New Roman" w:eastAsia="+mn-ea" w:hAnsi="Times New Roman"/>
          <w:bCs/>
          <w:sz w:val="24"/>
          <w:szCs w:val="24"/>
        </w:rPr>
        <w:t>Скелетни костни лезии.</w:t>
      </w:r>
    </w:p>
    <w:p w14:paraId="1309E2EE" w14:textId="77777777" w:rsidR="00BE0B19" w:rsidRPr="00AE47C6" w:rsidRDefault="00BE0B19" w:rsidP="00BE0B19">
      <w:pPr>
        <w:spacing w:after="0" w:line="360" w:lineRule="auto"/>
        <w:ind w:right="-150" w:firstLine="709"/>
        <w:jc w:val="both"/>
        <w:rPr>
          <w:rFonts w:ascii="Times New Roman" w:eastAsia="SimSun" w:hAnsi="Times New Roman"/>
          <w:b/>
          <w:sz w:val="24"/>
          <w:szCs w:val="24"/>
        </w:rPr>
      </w:pPr>
      <w:r w:rsidRPr="00AE47C6">
        <w:rPr>
          <w:rFonts w:ascii="Times New Roman" w:eastAsia="SimSun" w:hAnsi="Times New Roman"/>
          <w:b/>
          <w:sz w:val="24"/>
          <w:szCs w:val="24"/>
        </w:rPr>
        <w:t>ІV. Лечение</w:t>
      </w:r>
    </w:p>
    <w:p w14:paraId="7D5372C3" w14:textId="77777777" w:rsidR="00BE0B19" w:rsidRPr="00AE47C6" w:rsidRDefault="00BE0B19" w:rsidP="00BE0B19">
      <w:pPr>
        <w:spacing w:after="0" w:line="360" w:lineRule="auto"/>
        <w:ind w:right="-150" w:firstLine="709"/>
        <w:jc w:val="both"/>
        <w:rPr>
          <w:rFonts w:ascii="Times New Roman" w:eastAsia="SimSun" w:hAnsi="Times New Roman"/>
          <w:sz w:val="24"/>
          <w:szCs w:val="24"/>
        </w:rPr>
      </w:pPr>
      <w:r w:rsidRPr="00AE47C6">
        <w:rPr>
          <w:rFonts w:ascii="Times New Roman" w:eastAsia="SimSun" w:hAnsi="Times New Roman"/>
          <w:sz w:val="24"/>
          <w:szCs w:val="24"/>
        </w:rPr>
        <w:t>Разработени са алгоритми за лечението и проследяването на пациентите, налагащо мултидисциплинарен подход поради мултиорганното засягане при заболяването. Препоръките за лечение и проследяване на TSC на базата на медицина, основана на доказателствата включва индивидуален и мултидисциплинарен подход и при новооткритите случаи, и при установена диагноза.</w:t>
      </w:r>
    </w:p>
    <w:p w14:paraId="0566ACC9" w14:textId="77777777" w:rsidR="00BE0B19" w:rsidRPr="00AE47C6" w:rsidRDefault="00BE0B19" w:rsidP="00BE0B19">
      <w:pPr>
        <w:spacing w:after="0" w:line="360" w:lineRule="auto"/>
        <w:ind w:right="-150" w:firstLine="709"/>
        <w:jc w:val="both"/>
        <w:rPr>
          <w:rFonts w:ascii="Times New Roman" w:eastAsia="SimSun" w:hAnsi="Times New Roman"/>
          <w:sz w:val="24"/>
          <w:szCs w:val="24"/>
        </w:rPr>
      </w:pPr>
      <w:r w:rsidRPr="00AE47C6">
        <w:rPr>
          <w:rFonts w:ascii="Times New Roman" w:eastAsia="SimSun" w:hAnsi="Times New Roman"/>
          <w:sz w:val="24"/>
          <w:szCs w:val="24"/>
        </w:rPr>
        <w:t xml:space="preserve">Основен метод на изследване при пациентите с туберозна склероза е МРТ на главен мозък, чрез която се диагностицират подкорови тубери и корови дисплазии, налични при около 90%, на СЕН (при 80%) и на СЕГА (при 5 - 20%) и адекватно проследяване във времето. Оценяват се съпътстващи невро-психиатрични разстройства - аутистично, хиперкинетично и умствена изостаналост, ЕЕГ и видео ЕЕГ за инфантилни спазми. Провежда се МРТ на коремни органи за ангиомиолипоми, бъбречни кисти. Оценка на бъбречните функции, функционална оценка на дишането и изобразяващи изследвания за ЛАМ при жени над 18 г. и възрастните мъже; оценка от дерматолог, офталмолог, стоматолог, кардиолог с ехокардиография. </w:t>
      </w:r>
    </w:p>
    <w:p w14:paraId="4EFF5DEE" w14:textId="77777777" w:rsidR="00BE0B19" w:rsidRPr="00AE47C6" w:rsidRDefault="00BE0B19" w:rsidP="00BE0B19">
      <w:pPr>
        <w:spacing w:after="0" w:line="360" w:lineRule="auto"/>
        <w:ind w:right="-150" w:firstLine="709"/>
        <w:jc w:val="both"/>
        <w:rPr>
          <w:rFonts w:ascii="Times New Roman" w:eastAsia="SimSun" w:hAnsi="Times New Roman"/>
          <w:sz w:val="24"/>
          <w:szCs w:val="24"/>
        </w:rPr>
      </w:pPr>
      <w:r w:rsidRPr="00AE47C6">
        <w:rPr>
          <w:rFonts w:ascii="Times New Roman" w:eastAsia="SimSun" w:hAnsi="Times New Roman"/>
          <w:sz w:val="24"/>
          <w:szCs w:val="24"/>
        </w:rPr>
        <w:t xml:space="preserve">Лечението на СЕГА е хирургично или медикаментозно с </w:t>
      </w:r>
      <w:r w:rsidRPr="00AE47C6">
        <w:rPr>
          <w:rFonts w:ascii="Times New Roman" w:eastAsia="SimSun" w:hAnsi="Times New Roman"/>
          <w:i/>
          <w:sz w:val="24"/>
          <w:szCs w:val="24"/>
        </w:rPr>
        <w:t xml:space="preserve">everolimus </w:t>
      </w:r>
      <w:r w:rsidRPr="00AE47C6">
        <w:rPr>
          <w:rFonts w:ascii="Times New Roman" w:eastAsia="SimSun" w:hAnsi="Times New Roman"/>
          <w:sz w:val="24"/>
          <w:szCs w:val="24"/>
        </w:rPr>
        <w:t>(</w:t>
      </w:r>
      <w:r w:rsidRPr="00AE47C6">
        <w:rPr>
          <w:rFonts w:ascii="Times New Roman" w:eastAsia="SimSun" w:hAnsi="Times New Roman"/>
          <w:bCs/>
          <w:sz w:val="24"/>
          <w:szCs w:val="24"/>
        </w:rPr>
        <w:t>Табл. 14.2.</w:t>
      </w:r>
      <w:r w:rsidRPr="00AE47C6">
        <w:rPr>
          <w:rFonts w:ascii="Times New Roman" w:eastAsia="SimSun" w:hAnsi="Times New Roman"/>
          <w:sz w:val="24"/>
          <w:szCs w:val="24"/>
        </w:rPr>
        <w:t>).</w:t>
      </w:r>
    </w:p>
    <w:p w14:paraId="35C3552B" w14:textId="77777777" w:rsidR="00BE0B19" w:rsidRPr="00AE47C6" w:rsidRDefault="00BE0B19" w:rsidP="00BE0B19">
      <w:pPr>
        <w:spacing w:after="0" w:line="360" w:lineRule="auto"/>
        <w:ind w:right="-150" w:firstLine="709"/>
        <w:jc w:val="both"/>
        <w:rPr>
          <w:rFonts w:ascii="Times New Roman" w:eastAsia="SimSun" w:hAnsi="Times New Roman"/>
          <w:sz w:val="24"/>
          <w:szCs w:val="24"/>
        </w:rPr>
      </w:pPr>
      <w:r w:rsidRPr="00AE47C6">
        <w:rPr>
          <w:rFonts w:ascii="Times New Roman" w:eastAsia="SimSun" w:hAnsi="Times New Roman"/>
          <w:b/>
          <w:bCs/>
          <w:sz w:val="24"/>
          <w:szCs w:val="24"/>
        </w:rPr>
        <w:t>Таблица 14.2. СЕГА-хирургично лечение и лечение с mTOR инхибитори – предимства и недостатъци</w:t>
      </w:r>
    </w:p>
    <w:tbl>
      <w:tblPr>
        <w:tblW w:w="8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902"/>
        <w:gridCol w:w="2802"/>
        <w:gridCol w:w="1997"/>
        <w:gridCol w:w="1959"/>
      </w:tblGrid>
      <w:tr w:rsidR="00BE0B19" w:rsidRPr="00AE47C6" w14:paraId="2425CB66" w14:textId="77777777" w:rsidTr="00AD72E5">
        <w:trPr>
          <w:trHeight w:val="145"/>
        </w:trPr>
        <w:tc>
          <w:tcPr>
            <w:tcW w:w="4260" w:type="dxa"/>
            <w:gridSpan w:val="2"/>
            <w:tcMar>
              <w:top w:w="15" w:type="dxa"/>
              <w:left w:w="108" w:type="dxa"/>
              <w:bottom w:w="0" w:type="dxa"/>
              <w:right w:w="108" w:type="dxa"/>
            </w:tcMar>
          </w:tcPr>
          <w:p w14:paraId="21A72711"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bCs/>
                <w:kern w:val="24"/>
                <w:sz w:val="24"/>
                <w:szCs w:val="24"/>
              </w:rPr>
              <w:t xml:space="preserve">Лечение с хирургия </w:t>
            </w:r>
          </w:p>
        </w:tc>
        <w:tc>
          <w:tcPr>
            <w:tcW w:w="4400" w:type="dxa"/>
            <w:gridSpan w:val="2"/>
            <w:tcMar>
              <w:top w:w="15" w:type="dxa"/>
              <w:left w:w="108" w:type="dxa"/>
              <w:bottom w:w="0" w:type="dxa"/>
              <w:right w:w="108" w:type="dxa"/>
            </w:tcMar>
          </w:tcPr>
          <w:p w14:paraId="249285DA"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bCs/>
                <w:kern w:val="24"/>
                <w:sz w:val="24"/>
                <w:szCs w:val="24"/>
              </w:rPr>
              <w:t>Лечение с mTOR инхибитори</w:t>
            </w:r>
          </w:p>
        </w:tc>
      </w:tr>
      <w:tr w:rsidR="00BE0B19" w:rsidRPr="00AE47C6" w14:paraId="37F69A9F" w14:textId="77777777" w:rsidTr="00AD72E5">
        <w:trPr>
          <w:trHeight w:val="303"/>
        </w:trPr>
        <w:tc>
          <w:tcPr>
            <w:tcW w:w="1620" w:type="dxa"/>
            <w:tcMar>
              <w:top w:w="15" w:type="dxa"/>
              <w:left w:w="108" w:type="dxa"/>
              <w:bottom w:w="0" w:type="dxa"/>
              <w:right w:w="108" w:type="dxa"/>
            </w:tcMar>
          </w:tcPr>
          <w:p w14:paraId="58F8BB4E"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bCs/>
                <w:kern w:val="24"/>
                <w:sz w:val="24"/>
                <w:szCs w:val="24"/>
              </w:rPr>
              <w:t>Предимства</w:t>
            </w:r>
          </w:p>
        </w:tc>
        <w:tc>
          <w:tcPr>
            <w:tcW w:w="2640" w:type="dxa"/>
            <w:tcMar>
              <w:top w:w="15" w:type="dxa"/>
              <w:left w:w="108" w:type="dxa"/>
              <w:bottom w:w="0" w:type="dxa"/>
              <w:right w:w="108" w:type="dxa"/>
            </w:tcMar>
          </w:tcPr>
          <w:p w14:paraId="59368277" w14:textId="77777777" w:rsidR="00BE0B19" w:rsidRPr="00AE47C6" w:rsidRDefault="00BE0B19" w:rsidP="00BE0B19">
            <w:pPr>
              <w:spacing w:after="0" w:line="360" w:lineRule="auto"/>
              <w:contextualSpacing/>
              <w:jc w:val="both"/>
              <w:textAlignment w:val="baseline"/>
              <w:rPr>
                <w:rFonts w:ascii="Times New Roman" w:eastAsia="SimSun" w:hAnsi="Times New Roman"/>
                <w:sz w:val="24"/>
                <w:szCs w:val="24"/>
              </w:rPr>
            </w:pPr>
            <w:r w:rsidRPr="00AE47C6">
              <w:rPr>
                <w:rFonts w:ascii="Times New Roman" w:eastAsia="SimSun" w:hAnsi="Times New Roman"/>
                <w:b/>
                <w:bCs/>
                <w:kern w:val="24"/>
                <w:sz w:val="24"/>
                <w:szCs w:val="24"/>
              </w:rPr>
              <w:t>Недостатъци</w:t>
            </w:r>
          </w:p>
        </w:tc>
        <w:tc>
          <w:tcPr>
            <w:tcW w:w="2100" w:type="dxa"/>
            <w:tcMar>
              <w:top w:w="15" w:type="dxa"/>
              <w:left w:w="108" w:type="dxa"/>
              <w:bottom w:w="0" w:type="dxa"/>
              <w:right w:w="108" w:type="dxa"/>
            </w:tcMar>
          </w:tcPr>
          <w:p w14:paraId="1B37F4FC"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bCs/>
                <w:kern w:val="24"/>
                <w:sz w:val="24"/>
                <w:szCs w:val="24"/>
              </w:rPr>
              <w:t>Предимства</w:t>
            </w:r>
          </w:p>
        </w:tc>
        <w:tc>
          <w:tcPr>
            <w:tcW w:w="2300" w:type="dxa"/>
            <w:tcMar>
              <w:top w:w="15" w:type="dxa"/>
              <w:left w:w="108" w:type="dxa"/>
              <w:bottom w:w="0" w:type="dxa"/>
              <w:right w:w="108" w:type="dxa"/>
            </w:tcMar>
          </w:tcPr>
          <w:p w14:paraId="4CBE34A6"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
                <w:bCs/>
                <w:kern w:val="24"/>
                <w:sz w:val="24"/>
                <w:szCs w:val="24"/>
              </w:rPr>
              <w:t>Недостатъци</w:t>
            </w:r>
          </w:p>
        </w:tc>
      </w:tr>
      <w:tr w:rsidR="00BE0B19" w:rsidRPr="00AE47C6" w14:paraId="2F0F29FC" w14:textId="77777777" w:rsidTr="00AD72E5">
        <w:trPr>
          <w:trHeight w:val="3245"/>
        </w:trPr>
        <w:tc>
          <w:tcPr>
            <w:tcW w:w="1620" w:type="dxa"/>
            <w:tcMar>
              <w:top w:w="15" w:type="dxa"/>
              <w:left w:w="108" w:type="dxa"/>
              <w:bottom w:w="0" w:type="dxa"/>
              <w:right w:w="108" w:type="dxa"/>
            </w:tcMar>
          </w:tcPr>
          <w:p w14:paraId="0A96A932" w14:textId="77777777" w:rsidR="00BE0B19" w:rsidRPr="00AE47C6" w:rsidRDefault="00BE0B19" w:rsidP="00BE0B19">
            <w:pPr>
              <w:spacing w:after="0" w:line="360" w:lineRule="auto"/>
              <w:contextualSpacing/>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-Бързо повлияване на хидроцефалията</w:t>
            </w:r>
          </w:p>
        </w:tc>
        <w:tc>
          <w:tcPr>
            <w:tcW w:w="2640" w:type="dxa"/>
            <w:tcMar>
              <w:top w:w="15" w:type="dxa"/>
              <w:left w:w="108" w:type="dxa"/>
              <w:bottom w:w="0" w:type="dxa"/>
              <w:right w:w="108" w:type="dxa"/>
            </w:tcMar>
          </w:tcPr>
          <w:p w14:paraId="50E59810" w14:textId="77777777" w:rsidR="00BE0B19" w:rsidRPr="00AE47C6" w:rsidRDefault="00BE0B19" w:rsidP="00BE0B19">
            <w:pPr>
              <w:spacing w:after="0" w:line="360" w:lineRule="auto"/>
              <w:contextualSpacing/>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 xml:space="preserve">-СЕГА може да рецидивира </w:t>
            </w:r>
          </w:p>
          <w:p w14:paraId="130780CC" w14:textId="77777777" w:rsidR="00BE0B19" w:rsidRPr="00AE47C6" w:rsidRDefault="00BE0B19" w:rsidP="00BE0B19">
            <w:pPr>
              <w:spacing w:after="0" w:line="360" w:lineRule="auto"/>
              <w:contextualSpacing/>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Усложнения:</w:t>
            </w:r>
          </w:p>
          <w:p w14:paraId="21E4C390" w14:textId="77777777" w:rsidR="00BE0B19" w:rsidRPr="00AE47C6" w:rsidRDefault="00BE0B19" w:rsidP="00BE0B19">
            <w:pPr>
              <w:spacing w:after="0" w:line="360" w:lineRule="auto"/>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 xml:space="preserve">-Загуба на зрение </w:t>
            </w:r>
          </w:p>
          <w:p w14:paraId="602F40A7" w14:textId="77777777" w:rsidR="00BE0B19" w:rsidRPr="00AE47C6" w:rsidRDefault="00BE0B19" w:rsidP="00BE0B19">
            <w:pPr>
              <w:spacing w:after="0" w:line="360" w:lineRule="auto"/>
              <w:contextualSpacing/>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-Хронично вентрикулоперитонеално шънтиране</w:t>
            </w:r>
          </w:p>
          <w:p w14:paraId="0FD0429A" w14:textId="77777777" w:rsidR="00BE0B19" w:rsidRPr="00AE47C6" w:rsidRDefault="00BE0B19" w:rsidP="00BE0B19">
            <w:pPr>
              <w:spacing w:after="0" w:line="360" w:lineRule="auto"/>
              <w:contextualSpacing/>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 xml:space="preserve">-Главоболие </w:t>
            </w:r>
          </w:p>
          <w:p w14:paraId="4397D20E" w14:textId="77777777" w:rsidR="00BE0B19" w:rsidRPr="00AE47C6" w:rsidRDefault="00BE0B19" w:rsidP="00BE0B19">
            <w:pPr>
              <w:spacing w:after="0" w:line="360" w:lineRule="auto"/>
              <w:contextualSpacing/>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 xml:space="preserve">-Паметови нарушения </w:t>
            </w:r>
          </w:p>
          <w:p w14:paraId="32624132" w14:textId="77777777" w:rsidR="00BE0B19" w:rsidRPr="00AE47C6" w:rsidRDefault="00BE0B19" w:rsidP="00BE0B19">
            <w:pPr>
              <w:spacing w:after="0" w:line="360" w:lineRule="auto"/>
              <w:contextualSpacing/>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 xml:space="preserve">-Увреда на мозъчни и съдови структури </w:t>
            </w:r>
          </w:p>
          <w:p w14:paraId="7E6BFA65" w14:textId="77777777" w:rsidR="00BE0B19" w:rsidRPr="00AE47C6" w:rsidRDefault="00BE0B19" w:rsidP="00BE0B19">
            <w:pPr>
              <w:spacing w:after="0" w:line="360" w:lineRule="auto"/>
              <w:contextualSpacing/>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 xml:space="preserve">-Инфаркти </w:t>
            </w:r>
          </w:p>
        </w:tc>
        <w:tc>
          <w:tcPr>
            <w:tcW w:w="2100" w:type="dxa"/>
            <w:tcMar>
              <w:top w:w="15" w:type="dxa"/>
              <w:left w:w="108" w:type="dxa"/>
              <w:bottom w:w="0" w:type="dxa"/>
              <w:right w:w="108" w:type="dxa"/>
            </w:tcMar>
          </w:tcPr>
          <w:p w14:paraId="0F71EFBA" w14:textId="77777777" w:rsidR="00BE0B19" w:rsidRPr="00AE47C6" w:rsidRDefault="00BE0B19" w:rsidP="00BE0B19">
            <w:pPr>
              <w:spacing w:after="0" w:line="360" w:lineRule="auto"/>
              <w:contextualSpacing/>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-Неинвазивно лечение-значително намалява обема на СЕГА</w:t>
            </w:r>
          </w:p>
          <w:p w14:paraId="21066FF0" w14:textId="77777777" w:rsidR="00BE0B19" w:rsidRPr="00AE47C6" w:rsidRDefault="00BE0B19" w:rsidP="00BE0B19">
            <w:pPr>
              <w:spacing w:after="0" w:line="360" w:lineRule="auto"/>
              <w:contextualSpacing/>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-Може да контролира хамартомите в други органи, напр. кожни ангиофиброми, бъбречни ангиомиолипоми</w:t>
            </w:r>
          </w:p>
          <w:p w14:paraId="0F011AF7" w14:textId="77777777" w:rsidR="00BE0B19" w:rsidRPr="00AE47C6" w:rsidRDefault="00BE0B19" w:rsidP="00BE0B19">
            <w:pPr>
              <w:spacing w:after="0" w:line="360" w:lineRule="auto"/>
              <w:contextualSpacing/>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 xml:space="preserve">- Може да подобри епилепсията </w:t>
            </w:r>
          </w:p>
        </w:tc>
        <w:tc>
          <w:tcPr>
            <w:tcW w:w="2300" w:type="dxa"/>
            <w:tcMar>
              <w:top w:w="15" w:type="dxa"/>
              <w:left w:w="108" w:type="dxa"/>
              <w:bottom w:w="0" w:type="dxa"/>
              <w:right w:w="108" w:type="dxa"/>
            </w:tcMar>
          </w:tcPr>
          <w:p w14:paraId="387421DD" w14:textId="77777777" w:rsidR="00BE0B19" w:rsidRPr="00AE47C6" w:rsidRDefault="00BE0B19" w:rsidP="00BE0B19">
            <w:pPr>
              <w:spacing w:after="0" w:line="360" w:lineRule="auto"/>
              <w:contextualSpacing/>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 xml:space="preserve">- СЕГА може да рецидивира при спиране на лечението </w:t>
            </w:r>
          </w:p>
          <w:p w14:paraId="5A43F499" w14:textId="77777777" w:rsidR="00BE0B19" w:rsidRPr="00AE47C6" w:rsidRDefault="00BE0B19" w:rsidP="00BE0B19">
            <w:pPr>
              <w:spacing w:after="0" w:line="360" w:lineRule="auto"/>
              <w:contextualSpacing/>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 Лекарствено мониториране</w:t>
            </w:r>
          </w:p>
          <w:p w14:paraId="7C0B7F33" w14:textId="77777777" w:rsidR="00BE0B19" w:rsidRPr="00AE47C6" w:rsidRDefault="00BE0B19" w:rsidP="00BE0B19">
            <w:pPr>
              <w:spacing w:after="0" w:line="360" w:lineRule="auto"/>
              <w:contextualSpacing/>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-Лека имунна супресия</w:t>
            </w:r>
          </w:p>
          <w:p w14:paraId="601BBDC3" w14:textId="77777777" w:rsidR="00BE0B19" w:rsidRPr="00AE47C6" w:rsidRDefault="00BE0B19" w:rsidP="00BE0B19">
            <w:pPr>
              <w:spacing w:after="0" w:line="360" w:lineRule="auto"/>
              <w:contextualSpacing/>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 xml:space="preserve">-Лекарствени взаимодействия </w:t>
            </w:r>
          </w:p>
          <w:p w14:paraId="234BD3F5" w14:textId="77777777" w:rsidR="00BE0B19" w:rsidRPr="00AE47C6" w:rsidRDefault="00BE0B19" w:rsidP="00BE0B19">
            <w:pPr>
              <w:spacing w:after="0" w:line="360" w:lineRule="auto"/>
              <w:contextualSpacing/>
              <w:jc w:val="both"/>
              <w:textAlignment w:val="baseline"/>
              <w:rPr>
                <w:rFonts w:ascii="Times New Roman" w:eastAsia="SimSun" w:hAnsi="Times New Roman"/>
                <w:sz w:val="24"/>
                <w:szCs w:val="24"/>
              </w:rPr>
            </w:pPr>
            <w:r w:rsidRPr="00AE47C6">
              <w:rPr>
                <w:rFonts w:ascii="Times New Roman" w:eastAsia="SimSun" w:hAnsi="Times New Roman"/>
                <w:bCs/>
                <w:kern w:val="24"/>
                <w:sz w:val="24"/>
                <w:szCs w:val="24"/>
              </w:rPr>
              <w:t>-Нежелани лекарствени реакции (стоматит, температура, дерматит, диария (всички 1 и 2 по тежест, &gt;20% от пациентите</w:t>
            </w:r>
            <w:r w:rsidRPr="00AE47C6">
              <w:rPr>
                <w:rFonts w:ascii="Times New Roman" w:eastAsia="SimSun" w:hAnsi="Times New Roman"/>
                <w:kern w:val="24"/>
                <w:sz w:val="24"/>
                <w:szCs w:val="24"/>
              </w:rPr>
              <w:t>)</w:t>
            </w:r>
          </w:p>
        </w:tc>
      </w:tr>
    </w:tbl>
    <w:p w14:paraId="73CA6310" w14:textId="77777777" w:rsidR="00BE0B19" w:rsidRPr="00AE47C6" w:rsidRDefault="00BE0B19" w:rsidP="00BE0B19">
      <w:pPr>
        <w:spacing w:after="0" w:line="360" w:lineRule="auto"/>
        <w:ind w:right="-426" w:firstLine="709"/>
        <w:jc w:val="both"/>
        <w:rPr>
          <w:rFonts w:ascii="Times New Roman" w:eastAsia="SimSun" w:hAnsi="Times New Roman"/>
          <w:sz w:val="24"/>
          <w:szCs w:val="24"/>
        </w:rPr>
      </w:pPr>
    </w:p>
    <w:p w14:paraId="364757B2" w14:textId="77777777" w:rsidR="00BE0B19" w:rsidRPr="00AE47C6" w:rsidRDefault="00BE0B19" w:rsidP="00BE0B19">
      <w:pPr>
        <w:spacing w:after="0" w:line="360" w:lineRule="auto"/>
        <w:ind w:right="-8" w:firstLine="709"/>
        <w:jc w:val="both"/>
        <w:rPr>
          <w:rFonts w:ascii="Times New Roman" w:eastAsia="SimSun" w:hAnsi="Times New Roman"/>
          <w:b/>
          <w:bCs/>
          <w:sz w:val="24"/>
          <w:szCs w:val="24"/>
        </w:rPr>
      </w:pPr>
      <w:r w:rsidRPr="00AE47C6">
        <w:rPr>
          <w:rFonts w:ascii="Times New Roman" w:eastAsia="SimSun" w:hAnsi="Times New Roman"/>
          <w:b/>
          <w:bCs/>
          <w:sz w:val="24"/>
          <w:szCs w:val="24"/>
        </w:rPr>
        <w:t>Алгоритъм за диагностика, проследяване и лечение на СЕГА:</w:t>
      </w:r>
      <w:r w:rsidRPr="00AE47C6">
        <w:rPr>
          <w:rFonts w:ascii="Times New Roman" w:eastAsia="SimSun" w:hAnsi="Times New Roman"/>
          <w:b/>
          <w:bCs/>
          <w:sz w:val="24"/>
          <w:szCs w:val="24"/>
        </w:rPr>
        <w:br/>
        <w:t>хирургично/ mTOR инхибитори</w:t>
      </w:r>
    </w:p>
    <w:p w14:paraId="69FC1D4E" w14:textId="77777777" w:rsidR="00BE0B19" w:rsidRPr="00AE47C6" w:rsidRDefault="00BE0B19" w:rsidP="00BE0B19">
      <w:pPr>
        <w:spacing w:after="0" w:line="360" w:lineRule="auto"/>
        <w:ind w:right="-8" w:firstLine="709"/>
        <w:jc w:val="both"/>
        <w:rPr>
          <w:rFonts w:ascii="Times New Roman" w:eastAsia="SimSun" w:hAnsi="Times New Roman"/>
          <w:b/>
          <w:bCs/>
          <w:sz w:val="24"/>
          <w:szCs w:val="24"/>
        </w:rPr>
      </w:pPr>
      <w:r w:rsidRPr="00AE47C6">
        <w:rPr>
          <w:rFonts w:ascii="Times New Roman" w:eastAsia="SimSun" w:hAnsi="Times New Roman"/>
          <w:b/>
          <w:bCs/>
          <w:sz w:val="24"/>
          <w:szCs w:val="24"/>
        </w:rPr>
        <w:t>МРТ на главен мозък с контраст:</w:t>
      </w:r>
    </w:p>
    <w:p w14:paraId="07FD2AC8" w14:textId="77777777" w:rsidR="00BE0B19" w:rsidRPr="00AE47C6" w:rsidRDefault="00BE0B19" w:rsidP="00BE0B19">
      <w:pPr>
        <w:numPr>
          <w:ilvl w:val="0"/>
          <w:numId w:val="127"/>
        </w:numPr>
        <w:spacing w:after="0" w:line="360" w:lineRule="auto"/>
        <w:ind w:right="-8"/>
        <w:jc w:val="both"/>
        <w:rPr>
          <w:rFonts w:ascii="Times New Roman" w:eastAsia="SimSun" w:hAnsi="Times New Roman"/>
          <w:bCs/>
          <w:sz w:val="24"/>
          <w:szCs w:val="24"/>
        </w:rPr>
      </w:pPr>
      <w:r w:rsidRPr="00AE47C6">
        <w:rPr>
          <w:rFonts w:ascii="Times New Roman" w:eastAsia="SimSun" w:hAnsi="Times New Roman"/>
          <w:bCs/>
          <w:sz w:val="24"/>
          <w:szCs w:val="24"/>
        </w:rPr>
        <w:t>Остра вътрешна хидроцефалия- хирургично лечение; проследяване с МРТ</w:t>
      </w:r>
    </w:p>
    <w:p w14:paraId="165EEE49" w14:textId="77777777" w:rsidR="00BE0B19" w:rsidRPr="00AE47C6" w:rsidRDefault="00BE0B19" w:rsidP="00BE0B19">
      <w:pPr>
        <w:numPr>
          <w:ilvl w:val="0"/>
          <w:numId w:val="127"/>
        </w:numPr>
        <w:spacing w:after="0" w:line="360" w:lineRule="auto"/>
        <w:ind w:right="-8"/>
        <w:jc w:val="both"/>
        <w:rPr>
          <w:rFonts w:ascii="Times New Roman" w:eastAsia="SimSun" w:hAnsi="Times New Roman"/>
          <w:bCs/>
          <w:sz w:val="24"/>
          <w:szCs w:val="24"/>
        </w:rPr>
      </w:pPr>
      <w:r w:rsidRPr="00AE47C6">
        <w:rPr>
          <w:rFonts w:ascii="Times New Roman" w:eastAsia="SimSun" w:hAnsi="Times New Roman"/>
          <w:bCs/>
          <w:sz w:val="24"/>
          <w:szCs w:val="24"/>
        </w:rPr>
        <w:t>СЕН в челните рога на страничните вентрикули&lt;5 mm- проследяване на 12 месеца, при липса на прогресия- контрол на 1-3 г.</w:t>
      </w:r>
    </w:p>
    <w:p w14:paraId="52E81FC4" w14:textId="77777777" w:rsidR="00BE0B19" w:rsidRPr="00AE47C6" w:rsidRDefault="00BE0B19" w:rsidP="00BE0B19">
      <w:pPr>
        <w:numPr>
          <w:ilvl w:val="0"/>
          <w:numId w:val="127"/>
        </w:numPr>
        <w:spacing w:after="0" w:line="360" w:lineRule="auto"/>
        <w:ind w:right="-8"/>
        <w:jc w:val="both"/>
        <w:rPr>
          <w:rFonts w:ascii="Times New Roman" w:eastAsia="SimSun" w:hAnsi="Times New Roman"/>
          <w:bCs/>
          <w:sz w:val="24"/>
          <w:szCs w:val="24"/>
        </w:rPr>
      </w:pPr>
      <w:r w:rsidRPr="00AE47C6">
        <w:rPr>
          <w:rFonts w:ascii="Times New Roman" w:eastAsia="SimSun" w:hAnsi="Times New Roman"/>
          <w:bCs/>
          <w:sz w:val="24"/>
          <w:szCs w:val="24"/>
        </w:rPr>
        <w:t>СЕН в челните рога на страничните вентрикули≥5 mm проследяване на 3-6 месеца:</w:t>
      </w:r>
    </w:p>
    <w:p w14:paraId="2E17735A" w14:textId="77777777" w:rsidR="00BE0B19" w:rsidRPr="00AE47C6" w:rsidRDefault="00BE0B19" w:rsidP="00BE0B19">
      <w:pPr>
        <w:numPr>
          <w:ilvl w:val="0"/>
          <w:numId w:val="127"/>
        </w:numPr>
        <w:spacing w:after="0" w:line="360" w:lineRule="auto"/>
        <w:ind w:right="-8"/>
        <w:jc w:val="both"/>
        <w:rPr>
          <w:rFonts w:ascii="Times New Roman" w:eastAsia="SimSun" w:hAnsi="Times New Roman"/>
          <w:bCs/>
          <w:sz w:val="24"/>
          <w:szCs w:val="24"/>
        </w:rPr>
      </w:pPr>
      <w:r w:rsidRPr="00AE47C6">
        <w:rPr>
          <w:rFonts w:ascii="Times New Roman" w:eastAsia="SimSun" w:hAnsi="Times New Roman"/>
          <w:bCs/>
          <w:sz w:val="24"/>
          <w:szCs w:val="24"/>
        </w:rPr>
        <w:t>При липса на прогресия- проследяване на 1-3 г.</w:t>
      </w:r>
    </w:p>
    <w:p w14:paraId="54B112AB" w14:textId="77777777" w:rsidR="00BE0B19" w:rsidRPr="00AE47C6" w:rsidRDefault="00BE0B19" w:rsidP="00BE0B19">
      <w:pPr>
        <w:numPr>
          <w:ilvl w:val="0"/>
          <w:numId w:val="127"/>
        </w:numPr>
        <w:spacing w:after="0" w:line="360" w:lineRule="auto"/>
        <w:ind w:right="-8"/>
        <w:jc w:val="both"/>
        <w:rPr>
          <w:rFonts w:ascii="Times New Roman" w:eastAsia="SimSun" w:hAnsi="Times New Roman"/>
          <w:bCs/>
          <w:sz w:val="24"/>
          <w:szCs w:val="24"/>
        </w:rPr>
      </w:pPr>
      <w:r w:rsidRPr="00AE47C6">
        <w:rPr>
          <w:rFonts w:ascii="Times New Roman" w:eastAsia="SimSun" w:hAnsi="Times New Roman"/>
          <w:bCs/>
          <w:sz w:val="24"/>
          <w:szCs w:val="24"/>
          <w:u w:val="single"/>
        </w:rPr>
        <w:t>При прогресия над 10 мм, т.е. установяване на СЕГА: mTOR инхибитор в адекватна доза:</w:t>
      </w:r>
    </w:p>
    <w:p w14:paraId="28261532" w14:textId="77777777" w:rsidR="00BE0B19" w:rsidRPr="00AE47C6" w:rsidRDefault="00BE0B19" w:rsidP="00BE0B19">
      <w:pPr>
        <w:numPr>
          <w:ilvl w:val="0"/>
          <w:numId w:val="127"/>
        </w:numPr>
        <w:spacing w:after="0" w:line="360" w:lineRule="auto"/>
        <w:ind w:right="-8"/>
        <w:jc w:val="both"/>
        <w:rPr>
          <w:rFonts w:ascii="Times New Roman" w:eastAsia="SimSun" w:hAnsi="Times New Roman"/>
          <w:bCs/>
          <w:sz w:val="24"/>
          <w:szCs w:val="24"/>
        </w:rPr>
      </w:pPr>
      <w:r w:rsidRPr="00AE47C6">
        <w:rPr>
          <w:rFonts w:ascii="Times New Roman" w:eastAsia="SimSun" w:hAnsi="Times New Roman"/>
          <w:bCs/>
          <w:sz w:val="24"/>
          <w:szCs w:val="24"/>
        </w:rPr>
        <w:t>При увеличаване на размера на СЕГА: увеличаване на дозата, алтернативен mTOR инхибитор, по-често мониториране, хирургично лечение</w:t>
      </w:r>
    </w:p>
    <w:p w14:paraId="5807E84B" w14:textId="77777777" w:rsidR="00BE0B19" w:rsidRPr="00AE47C6" w:rsidRDefault="00BE0B19" w:rsidP="00BE0B19">
      <w:pPr>
        <w:spacing w:after="0" w:line="360" w:lineRule="auto"/>
        <w:ind w:right="-8" w:firstLine="709"/>
        <w:jc w:val="both"/>
        <w:rPr>
          <w:rFonts w:ascii="Times New Roman" w:eastAsia="SimSun" w:hAnsi="Times New Roman"/>
          <w:i/>
          <w:sz w:val="24"/>
          <w:szCs w:val="24"/>
        </w:rPr>
      </w:pPr>
      <w:r w:rsidRPr="00AE47C6">
        <w:rPr>
          <w:rFonts w:ascii="Times New Roman" w:eastAsia="SimSun" w:hAnsi="Times New Roman"/>
          <w:bCs/>
          <w:i/>
          <w:sz w:val="24"/>
          <w:szCs w:val="24"/>
        </w:rPr>
        <w:t xml:space="preserve">mTOR инхибиторът </w:t>
      </w:r>
      <w:r w:rsidRPr="00AE47C6">
        <w:rPr>
          <w:rFonts w:ascii="Times New Roman" w:eastAsia="SimSun" w:hAnsi="Times New Roman"/>
          <w:i/>
          <w:sz w:val="24"/>
          <w:szCs w:val="24"/>
        </w:rPr>
        <w:t xml:space="preserve">Everolimus </w:t>
      </w:r>
      <w:r w:rsidRPr="00AE47C6">
        <w:rPr>
          <w:rFonts w:ascii="Times New Roman" w:eastAsia="SimSun" w:hAnsi="Times New Roman"/>
          <w:sz w:val="24"/>
          <w:szCs w:val="24"/>
        </w:rPr>
        <w:t xml:space="preserve">е регистриран за лечение </w:t>
      </w:r>
      <w:r w:rsidRPr="00AE47C6">
        <w:rPr>
          <w:rFonts w:ascii="Times New Roman" w:eastAsia="SimSun" w:hAnsi="Times New Roman"/>
          <w:i/>
          <w:sz w:val="24"/>
          <w:szCs w:val="24"/>
        </w:rPr>
        <w:t>на:</w:t>
      </w:r>
    </w:p>
    <w:p w14:paraId="426769E0" w14:textId="77777777" w:rsidR="00BE0B19" w:rsidRPr="00AE47C6" w:rsidRDefault="00BE0B19" w:rsidP="00BE0B19">
      <w:pPr>
        <w:spacing w:after="0" w:line="360" w:lineRule="auto"/>
        <w:ind w:right="-8" w:firstLine="709"/>
        <w:jc w:val="both"/>
        <w:rPr>
          <w:rFonts w:ascii="Times New Roman" w:eastAsia="SimSun" w:hAnsi="Times New Roman"/>
          <w:i/>
          <w:sz w:val="24"/>
          <w:szCs w:val="24"/>
        </w:rPr>
      </w:pPr>
      <w:r w:rsidRPr="00AE47C6">
        <w:rPr>
          <w:rFonts w:ascii="Times New Roman" w:eastAsia="SimSun" w:hAnsi="Times New Roman"/>
          <w:sz w:val="24"/>
          <w:szCs w:val="24"/>
        </w:rPr>
        <w:t xml:space="preserve">- </w:t>
      </w:r>
      <w:r w:rsidRPr="00AE47C6">
        <w:rPr>
          <w:rFonts w:ascii="Times New Roman" w:eastAsia="SimSun" w:hAnsi="Times New Roman"/>
          <w:i/>
          <w:sz w:val="24"/>
          <w:szCs w:val="24"/>
        </w:rPr>
        <w:t xml:space="preserve">бъбречните ангиомиолипоми, асоциирани с комплекса туберозна склероза над 18 г.;  </w:t>
      </w:r>
    </w:p>
    <w:p w14:paraId="14558E0B" w14:textId="77777777" w:rsidR="00BE0B19" w:rsidRPr="00AE47C6" w:rsidRDefault="00BE0B19" w:rsidP="00BE0B19">
      <w:pPr>
        <w:spacing w:after="0" w:line="360" w:lineRule="auto"/>
        <w:ind w:right="-8" w:firstLine="709"/>
        <w:jc w:val="both"/>
        <w:rPr>
          <w:rFonts w:ascii="Times New Roman" w:eastAsia="SimSun" w:hAnsi="Times New Roman"/>
          <w:sz w:val="24"/>
          <w:szCs w:val="24"/>
        </w:rPr>
      </w:pPr>
      <w:r w:rsidRPr="00AE47C6">
        <w:rPr>
          <w:rFonts w:ascii="Times New Roman" w:eastAsia="SimSun" w:hAnsi="Times New Roman"/>
          <w:sz w:val="24"/>
          <w:szCs w:val="24"/>
        </w:rPr>
        <w:t xml:space="preserve">-субепендимни гигантоклетъчни астроцитоми (СЕГА), </w:t>
      </w:r>
      <w:r w:rsidRPr="00AE47C6">
        <w:rPr>
          <w:rFonts w:ascii="Times New Roman" w:eastAsia="SimSun" w:hAnsi="Times New Roman"/>
          <w:i/>
          <w:sz w:val="24"/>
          <w:szCs w:val="24"/>
        </w:rPr>
        <w:t>асоциирани с комплекса туберозна склероза над 3 г.</w:t>
      </w:r>
    </w:p>
    <w:p w14:paraId="31370367" w14:textId="77777777" w:rsidR="00BE0B19" w:rsidRPr="00AE47C6" w:rsidRDefault="00BE0B19" w:rsidP="00BE0B19">
      <w:pPr>
        <w:spacing w:after="0" w:line="360" w:lineRule="auto"/>
        <w:ind w:right="-8" w:firstLine="709"/>
        <w:jc w:val="both"/>
        <w:rPr>
          <w:rFonts w:ascii="Times New Roman" w:eastAsia="SimSun" w:hAnsi="Times New Roman"/>
          <w:sz w:val="24"/>
          <w:szCs w:val="24"/>
        </w:rPr>
      </w:pPr>
      <w:r w:rsidRPr="00AE47C6">
        <w:rPr>
          <w:rFonts w:ascii="Times New Roman" w:eastAsia="SimSun" w:hAnsi="Times New Roman"/>
          <w:sz w:val="24"/>
          <w:szCs w:val="24"/>
        </w:rPr>
        <w:t xml:space="preserve">- за </w:t>
      </w:r>
      <w:r w:rsidRPr="00AE47C6">
        <w:rPr>
          <w:rFonts w:ascii="Times New Roman" w:eastAsia="SimSun" w:hAnsi="Times New Roman"/>
          <w:i/>
          <w:sz w:val="24"/>
          <w:szCs w:val="24"/>
        </w:rPr>
        <w:t>рефрактерни гърчове</w:t>
      </w:r>
      <w:r w:rsidRPr="00AE47C6">
        <w:rPr>
          <w:rFonts w:ascii="Times New Roman" w:eastAsia="SimSun" w:hAnsi="Times New Roman"/>
          <w:sz w:val="24"/>
          <w:szCs w:val="24"/>
        </w:rPr>
        <w:t xml:space="preserve">, </w:t>
      </w:r>
      <w:r w:rsidRPr="00AE47C6">
        <w:rPr>
          <w:rFonts w:ascii="Times New Roman" w:eastAsia="SimSun" w:hAnsi="Times New Roman"/>
          <w:i/>
          <w:sz w:val="24"/>
          <w:szCs w:val="24"/>
        </w:rPr>
        <w:t>асоциирани с комплекса туберозна склероза</w:t>
      </w:r>
      <w:r w:rsidRPr="00AE47C6">
        <w:rPr>
          <w:rFonts w:ascii="Times New Roman" w:eastAsia="SimSun" w:hAnsi="Times New Roman"/>
          <w:sz w:val="24"/>
          <w:szCs w:val="24"/>
        </w:rPr>
        <w:t xml:space="preserve"> над </w:t>
      </w:r>
      <w:r w:rsidRPr="00AE47C6">
        <w:rPr>
          <w:rFonts w:ascii="Times New Roman" w:eastAsia="SimSun" w:hAnsi="Times New Roman"/>
          <w:i/>
          <w:sz w:val="24"/>
          <w:szCs w:val="24"/>
        </w:rPr>
        <w:t xml:space="preserve">2 годишна възраст, </w:t>
      </w:r>
      <w:r w:rsidRPr="00AE47C6">
        <w:rPr>
          <w:rFonts w:ascii="Times New Roman" w:eastAsia="SimSun" w:hAnsi="Times New Roman"/>
          <w:sz w:val="24"/>
          <w:szCs w:val="24"/>
        </w:rPr>
        <w:t xml:space="preserve">като допълваща терапия към лечението на рефрактерните фокални и вторично-генерализирани пристъпи. </w:t>
      </w:r>
    </w:p>
    <w:p w14:paraId="268A643B" w14:textId="77777777" w:rsidR="00BE0B19" w:rsidRPr="00AE47C6" w:rsidRDefault="00BE0B19" w:rsidP="00BE0B19">
      <w:pPr>
        <w:spacing w:after="0" w:line="360" w:lineRule="auto"/>
        <w:ind w:right="-8" w:firstLine="709"/>
        <w:jc w:val="both"/>
        <w:rPr>
          <w:rFonts w:ascii="Times New Roman" w:eastAsia="SimSun" w:hAnsi="Times New Roman"/>
          <w:sz w:val="24"/>
          <w:szCs w:val="24"/>
        </w:rPr>
      </w:pPr>
      <w:r w:rsidRPr="00AE47C6">
        <w:rPr>
          <w:rFonts w:ascii="Times New Roman" w:eastAsia="SimSun" w:hAnsi="Times New Roman"/>
          <w:i/>
          <w:sz w:val="24"/>
          <w:szCs w:val="24"/>
        </w:rPr>
        <w:t xml:space="preserve">Everolimus </w:t>
      </w:r>
      <w:r w:rsidRPr="00AE47C6">
        <w:rPr>
          <w:rFonts w:ascii="Times New Roman" w:eastAsia="SimSun" w:hAnsi="Times New Roman"/>
          <w:sz w:val="24"/>
          <w:szCs w:val="24"/>
        </w:rPr>
        <w:t xml:space="preserve">се прилага в зависимост от телесната повърхност  по формулата на Dubois /тегло (W) в kg и височина (H) в cm/: </w:t>
      </w:r>
      <w:r w:rsidRPr="00AE47C6">
        <w:rPr>
          <w:rFonts w:ascii="Times New Roman" w:eastAsia="SimSun" w:hAnsi="Times New Roman"/>
          <w:i/>
          <w:sz w:val="24"/>
          <w:szCs w:val="24"/>
        </w:rPr>
        <w:t>телесната повърхност = (W</w:t>
      </w:r>
      <w:r w:rsidRPr="00AE47C6">
        <w:rPr>
          <w:rFonts w:ascii="Times New Roman" w:eastAsia="SimSun" w:hAnsi="Times New Roman"/>
          <w:i/>
          <w:sz w:val="24"/>
          <w:szCs w:val="24"/>
          <w:vertAlign w:val="superscript"/>
        </w:rPr>
        <w:t>0.425</w:t>
      </w:r>
      <w:r w:rsidRPr="00AE47C6">
        <w:rPr>
          <w:rFonts w:ascii="Times New Roman" w:eastAsia="SimSun" w:hAnsi="Times New Roman"/>
          <w:i/>
          <w:sz w:val="24"/>
          <w:szCs w:val="24"/>
        </w:rPr>
        <w:t xml:space="preserve"> x H</w:t>
      </w:r>
      <w:r w:rsidRPr="00AE47C6">
        <w:rPr>
          <w:rFonts w:ascii="Times New Roman" w:eastAsia="SimSun" w:hAnsi="Times New Roman"/>
          <w:i/>
          <w:sz w:val="24"/>
          <w:szCs w:val="24"/>
          <w:vertAlign w:val="superscript"/>
        </w:rPr>
        <w:t>0.725</w:t>
      </w:r>
      <w:r w:rsidRPr="00AE47C6">
        <w:rPr>
          <w:rFonts w:ascii="Times New Roman" w:eastAsia="SimSun" w:hAnsi="Times New Roman"/>
          <w:i/>
          <w:sz w:val="24"/>
          <w:szCs w:val="24"/>
        </w:rPr>
        <w:t xml:space="preserve">) x 0.007184 . </w:t>
      </w:r>
      <w:r w:rsidRPr="00AE47C6">
        <w:rPr>
          <w:rFonts w:ascii="Times New Roman" w:eastAsia="SimSun" w:hAnsi="Times New Roman"/>
          <w:sz w:val="24"/>
          <w:szCs w:val="24"/>
        </w:rPr>
        <w:t xml:space="preserve">Препоръчителната начална доза за Votubia при пациенти със СЕГА </w:t>
      </w:r>
      <w:r w:rsidRPr="00AE47C6">
        <w:rPr>
          <w:rFonts w:ascii="Times New Roman" w:eastAsia="SimSun" w:hAnsi="Times New Roman"/>
          <w:i/>
          <w:sz w:val="24"/>
          <w:szCs w:val="24"/>
        </w:rPr>
        <w:t>е 4.5 mg/m</w:t>
      </w:r>
      <w:r w:rsidRPr="00AE47C6">
        <w:rPr>
          <w:rFonts w:ascii="Times New Roman" w:eastAsia="SimSun" w:hAnsi="Times New Roman"/>
          <w:i/>
          <w:sz w:val="24"/>
          <w:szCs w:val="24"/>
          <w:vertAlign w:val="superscript"/>
        </w:rPr>
        <w:t>2</w:t>
      </w:r>
      <w:r w:rsidRPr="00AE47C6">
        <w:rPr>
          <w:rFonts w:ascii="Times New Roman" w:eastAsia="SimSun" w:hAnsi="Times New Roman"/>
          <w:sz w:val="24"/>
          <w:szCs w:val="24"/>
        </w:rPr>
        <w:t xml:space="preserve"> , възможни са по-високи дози според фармакокинетиката. Проследява се серумното ниво, като се препоръчва от 5 до 15 ng/ml според ефективността и поносимостта. </w:t>
      </w:r>
    </w:p>
    <w:p w14:paraId="2633EECC" w14:textId="77777777" w:rsidR="00BE0B19" w:rsidRPr="00AE47C6" w:rsidRDefault="00BE0B19" w:rsidP="00BE0B19">
      <w:pPr>
        <w:numPr>
          <w:ilvl w:val="1"/>
          <w:numId w:val="240"/>
        </w:numPr>
        <w:spacing w:after="0" w:line="360" w:lineRule="auto"/>
        <w:ind w:right="-8"/>
        <w:jc w:val="both"/>
        <w:rPr>
          <w:rFonts w:ascii="Times New Roman" w:eastAsia="SimSun" w:hAnsi="Times New Roman"/>
          <w:sz w:val="24"/>
          <w:szCs w:val="24"/>
        </w:rPr>
      </w:pPr>
      <w:r w:rsidRPr="00AE47C6">
        <w:rPr>
          <w:rFonts w:ascii="Times New Roman" w:eastAsia="SimSun" w:hAnsi="Times New Roman"/>
          <w:sz w:val="24"/>
          <w:szCs w:val="24"/>
        </w:rPr>
        <w:t xml:space="preserve">Титриране с 2.5 mg до достигане на необходимата концентрация и оптимален клиничен отговор. </w:t>
      </w:r>
    </w:p>
    <w:p w14:paraId="315CC6E7" w14:textId="77777777" w:rsidR="00BE0B19" w:rsidRPr="00AE47C6" w:rsidRDefault="00BE0B19" w:rsidP="00BE0B19">
      <w:pPr>
        <w:numPr>
          <w:ilvl w:val="1"/>
          <w:numId w:val="240"/>
        </w:numPr>
        <w:spacing w:after="0" w:line="360" w:lineRule="auto"/>
        <w:ind w:right="-8"/>
        <w:jc w:val="both"/>
        <w:rPr>
          <w:rFonts w:ascii="Times New Roman" w:eastAsia="SimSun" w:hAnsi="Times New Roman"/>
          <w:sz w:val="24"/>
          <w:szCs w:val="24"/>
        </w:rPr>
      </w:pPr>
      <w:r w:rsidRPr="00AE47C6">
        <w:rPr>
          <w:rFonts w:ascii="Times New Roman" w:eastAsia="SimSun" w:hAnsi="Times New Roman"/>
          <w:sz w:val="24"/>
          <w:szCs w:val="24"/>
        </w:rPr>
        <w:t xml:space="preserve">Мониториране на серумните </w:t>
      </w:r>
      <w:r w:rsidRPr="00AE47C6">
        <w:rPr>
          <w:rFonts w:ascii="Times New Roman" w:eastAsia="SimSun" w:hAnsi="Times New Roman"/>
          <w:bCs/>
          <w:sz w:val="24"/>
          <w:szCs w:val="24"/>
        </w:rPr>
        <w:t>през 3-6 месеца</w:t>
      </w:r>
      <w:r w:rsidRPr="00AE47C6">
        <w:rPr>
          <w:rFonts w:ascii="Times New Roman" w:eastAsia="SimSun" w:hAnsi="Times New Roman"/>
          <w:sz w:val="24"/>
          <w:szCs w:val="24"/>
        </w:rPr>
        <w:t xml:space="preserve"> при децата и на </w:t>
      </w:r>
      <w:r w:rsidRPr="00AE47C6">
        <w:rPr>
          <w:rFonts w:ascii="Times New Roman" w:eastAsia="SimSun" w:hAnsi="Times New Roman"/>
          <w:bCs/>
          <w:sz w:val="24"/>
          <w:szCs w:val="24"/>
        </w:rPr>
        <w:t>6-12 месеца при пациенти със стабилна телесна повърхност.</w:t>
      </w:r>
    </w:p>
    <w:p w14:paraId="4F4747A3" w14:textId="77777777" w:rsidR="00BE0B19" w:rsidRPr="00AE47C6" w:rsidRDefault="00BE0B19" w:rsidP="00BE0B19">
      <w:pPr>
        <w:numPr>
          <w:ilvl w:val="1"/>
          <w:numId w:val="240"/>
        </w:numPr>
        <w:spacing w:after="0" w:line="360" w:lineRule="auto"/>
        <w:ind w:right="-8"/>
        <w:jc w:val="both"/>
        <w:rPr>
          <w:rFonts w:ascii="Times New Roman" w:eastAsia="SimSun" w:hAnsi="Times New Roman"/>
          <w:sz w:val="24"/>
          <w:szCs w:val="24"/>
        </w:rPr>
      </w:pPr>
      <w:r w:rsidRPr="00AE47C6">
        <w:rPr>
          <w:rFonts w:ascii="Times New Roman" w:eastAsia="SimSun" w:hAnsi="Times New Roman"/>
          <w:bCs/>
          <w:sz w:val="24"/>
          <w:szCs w:val="24"/>
        </w:rPr>
        <w:t>Странични реакции:</w:t>
      </w:r>
      <w:r w:rsidRPr="00AE47C6">
        <w:rPr>
          <w:rFonts w:ascii="Times New Roman" w:eastAsia="SimSun" w:hAnsi="Times New Roman"/>
          <w:sz w:val="24"/>
          <w:szCs w:val="24"/>
        </w:rPr>
        <w:t xml:space="preserve"> проследява се пълната кръвна картина </w:t>
      </w:r>
      <w:r w:rsidRPr="00AE47C6">
        <w:rPr>
          <w:rFonts w:ascii="Times New Roman" w:eastAsia="SimSun" w:hAnsi="Times New Roman"/>
          <w:bCs/>
          <w:sz w:val="24"/>
          <w:szCs w:val="24"/>
        </w:rPr>
        <w:t>и биохимия за:</w:t>
      </w:r>
    </w:p>
    <w:p w14:paraId="7C940922" w14:textId="77777777" w:rsidR="00BE0B19" w:rsidRPr="00AE47C6" w:rsidRDefault="00BE0B19" w:rsidP="00BE0B19">
      <w:pPr>
        <w:numPr>
          <w:ilvl w:val="2"/>
          <w:numId w:val="240"/>
        </w:numPr>
        <w:spacing w:after="0" w:line="360" w:lineRule="auto"/>
        <w:ind w:right="-8"/>
        <w:jc w:val="both"/>
        <w:rPr>
          <w:rFonts w:ascii="Times New Roman" w:eastAsia="SimSun" w:hAnsi="Times New Roman"/>
          <w:sz w:val="24"/>
          <w:szCs w:val="24"/>
        </w:rPr>
      </w:pPr>
      <w:r w:rsidRPr="00AE47C6">
        <w:rPr>
          <w:rFonts w:ascii="Times New Roman" w:eastAsia="SimSun" w:hAnsi="Times New Roman"/>
          <w:bCs/>
          <w:sz w:val="24"/>
          <w:szCs w:val="24"/>
        </w:rPr>
        <w:t>Хипергликемия</w:t>
      </w:r>
    </w:p>
    <w:p w14:paraId="562F6426" w14:textId="77777777" w:rsidR="00BE0B19" w:rsidRPr="00AE47C6" w:rsidRDefault="00BE0B19" w:rsidP="00BE0B19">
      <w:pPr>
        <w:numPr>
          <w:ilvl w:val="2"/>
          <w:numId w:val="240"/>
        </w:numPr>
        <w:spacing w:after="0" w:line="360" w:lineRule="auto"/>
        <w:ind w:right="-8"/>
        <w:jc w:val="both"/>
        <w:rPr>
          <w:rFonts w:ascii="Times New Roman" w:eastAsia="SimSun" w:hAnsi="Times New Roman"/>
          <w:sz w:val="24"/>
          <w:szCs w:val="24"/>
        </w:rPr>
      </w:pPr>
      <w:r w:rsidRPr="00AE47C6">
        <w:rPr>
          <w:rFonts w:ascii="Times New Roman" w:eastAsia="SimSun" w:hAnsi="Times New Roman"/>
          <w:bCs/>
          <w:sz w:val="24"/>
          <w:szCs w:val="24"/>
        </w:rPr>
        <w:t>Дислипидемия</w:t>
      </w:r>
    </w:p>
    <w:p w14:paraId="7321D6F3" w14:textId="77777777" w:rsidR="00BE0B19" w:rsidRPr="00AE47C6" w:rsidRDefault="00BE0B19" w:rsidP="00BE0B19">
      <w:pPr>
        <w:numPr>
          <w:ilvl w:val="2"/>
          <w:numId w:val="240"/>
        </w:numPr>
        <w:spacing w:after="0" w:line="360" w:lineRule="auto"/>
        <w:ind w:right="-8"/>
        <w:jc w:val="both"/>
        <w:rPr>
          <w:rFonts w:ascii="Times New Roman" w:eastAsia="SimSun" w:hAnsi="Times New Roman"/>
          <w:sz w:val="24"/>
          <w:szCs w:val="24"/>
        </w:rPr>
      </w:pPr>
      <w:r w:rsidRPr="00AE47C6">
        <w:rPr>
          <w:rFonts w:ascii="Times New Roman" w:eastAsia="SimSun" w:hAnsi="Times New Roman"/>
          <w:bCs/>
          <w:sz w:val="24"/>
          <w:szCs w:val="24"/>
        </w:rPr>
        <w:t>Тромбоцитопения</w:t>
      </w:r>
      <w:r w:rsidRPr="00AE47C6">
        <w:rPr>
          <w:rFonts w:ascii="Times New Roman" w:eastAsia="SimSun" w:hAnsi="Times New Roman"/>
          <w:sz w:val="24"/>
          <w:szCs w:val="24"/>
        </w:rPr>
        <w:t xml:space="preserve"> – 2-ра степен (tr ≥75x10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/L), 3-та и 4-та степен-&lt;50x10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/L</w:t>
      </w:r>
    </w:p>
    <w:p w14:paraId="74401D9D" w14:textId="77777777" w:rsidR="00BE0B19" w:rsidRPr="00AE47C6" w:rsidRDefault="00BE0B19" w:rsidP="00BE0B19">
      <w:pPr>
        <w:numPr>
          <w:ilvl w:val="2"/>
          <w:numId w:val="240"/>
        </w:numPr>
        <w:spacing w:after="0" w:line="360" w:lineRule="auto"/>
        <w:ind w:right="-8"/>
        <w:jc w:val="both"/>
        <w:rPr>
          <w:rFonts w:ascii="Times New Roman" w:eastAsia="SimSun" w:hAnsi="Times New Roman"/>
          <w:sz w:val="24"/>
          <w:szCs w:val="24"/>
        </w:rPr>
      </w:pPr>
      <w:r w:rsidRPr="00AE47C6">
        <w:rPr>
          <w:rFonts w:ascii="Times New Roman" w:eastAsia="SimSun" w:hAnsi="Times New Roman"/>
          <w:bCs/>
          <w:sz w:val="24"/>
          <w:szCs w:val="24"/>
        </w:rPr>
        <w:t>Неутропения</w:t>
      </w:r>
      <w:r w:rsidRPr="00AE47C6">
        <w:rPr>
          <w:rFonts w:ascii="Times New Roman" w:eastAsia="SimSun" w:hAnsi="Times New Roman"/>
          <w:sz w:val="24"/>
          <w:szCs w:val="24"/>
        </w:rPr>
        <w:t xml:space="preserve"> - 2-ра, 3 та и 4 та степен (≥1x10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 xml:space="preserve"> /L)</w:t>
      </w:r>
    </w:p>
    <w:p w14:paraId="5ABCFB42" w14:textId="77777777" w:rsidR="00BE0B19" w:rsidRPr="00AE47C6" w:rsidRDefault="00BE0B19" w:rsidP="00BE0B19">
      <w:pPr>
        <w:numPr>
          <w:ilvl w:val="2"/>
          <w:numId w:val="240"/>
        </w:numPr>
        <w:spacing w:after="0" w:line="360" w:lineRule="auto"/>
        <w:ind w:right="-8"/>
        <w:jc w:val="both"/>
        <w:rPr>
          <w:rFonts w:ascii="Times New Roman" w:eastAsia="SimSun" w:hAnsi="Times New Roman"/>
          <w:sz w:val="24"/>
          <w:szCs w:val="24"/>
        </w:rPr>
      </w:pPr>
      <w:r w:rsidRPr="00AE47C6">
        <w:rPr>
          <w:rFonts w:ascii="Times New Roman" w:eastAsia="SimSun" w:hAnsi="Times New Roman"/>
          <w:bCs/>
          <w:sz w:val="24"/>
          <w:szCs w:val="24"/>
        </w:rPr>
        <w:t>Фебрилна неутропения</w:t>
      </w:r>
      <w:r w:rsidRPr="00AE47C6">
        <w:rPr>
          <w:rFonts w:ascii="Times New Roman" w:eastAsia="SimSun" w:hAnsi="Times New Roman"/>
          <w:sz w:val="24"/>
          <w:szCs w:val="24"/>
        </w:rPr>
        <w:t xml:space="preserve"> - Степен 2 или 3 и 4  (≥1.25x10</w:t>
      </w:r>
      <w:r w:rsidRPr="00AE47C6">
        <w:rPr>
          <w:rFonts w:ascii="Times New Roman" w:eastAsia="SimSun" w:hAnsi="Times New Roman"/>
          <w:sz w:val="24"/>
          <w:szCs w:val="24"/>
          <w:vertAlign w:val="superscript"/>
        </w:rPr>
        <w:t>9</w:t>
      </w:r>
      <w:r w:rsidRPr="00AE47C6">
        <w:rPr>
          <w:rFonts w:ascii="Times New Roman" w:eastAsia="SimSun" w:hAnsi="Times New Roman"/>
          <w:sz w:val="24"/>
          <w:szCs w:val="24"/>
        </w:rPr>
        <w:t xml:space="preserve"> /L). </w:t>
      </w:r>
    </w:p>
    <w:p w14:paraId="1EFFEA1F" w14:textId="77777777" w:rsidR="00BE0B19" w:rsidRPr="00AE47C6" w:rsidRDefault="00BE0B19" w:rsidP="00BE0B19">
      <w:pPr>
        <w:numPr>
          <w:ilvl w:val="2"/>
          <w:numId w:val="240"/>
        </w:numPr>
        <w:spacing w:after="0" w:line="360" w:lineRule="auto"/>
        <w:ind w:right="-8"/>
        <w:jc w:val="both"/>
        <w:rPr>
          <w:rFonts w:ascii="Times New Roman" w:eastAsia="SimSun" w:hAnsi="Times New Roman"/>
          <w:sz w:val="24"/>
          <w:szCs w:val="24"/>
        </w:rPr>
      </w:pPr>
      <w:r w:rsidRPr="00AE47C6">
        <w:rPr>
          <w:rFonts w:ascii="Times New Roman" w:eastAsia="SimSun" w:hAnsi="Times New Roman"/>
          <w:bCs/>
          <w:sz w:val="24"/>
          <w:szCs w:val="24"/>
        </w:rPr>
        <w:t xml:space="preserve">При тежки странични реакции (2-ра, 3-та и 4-та степен) или непоносимост дозите се редуцират или лечението с Votubia се преустановява временно. </w:t>
      </w:r>
    </w:p>
    <w:p w14:paraId="5AC56441" w14:textId="77777777" w:rsidR="00BE0B19" w:rsidRPr="00AE47C6" w:rsidRDefault="00BE0B19" w:rsidP="00BE0B19">
      <w:pPr>
        <w:numPr>
          <w:ilvl w:val="2"/>
          <w:numId w:val="240"/>
        </w:numPr>
        <w:spacing w:after="0" w:line="360" w:lineRule="auto"/>
        <w:ind w:right="-8"/>
        <w:jc w:val="both"/>
        <w:rPr>
          <w:rFonts w:ascii="Times New Roman" w:eastAsia="SimSun" w:hAnsi="Times New Roman"/>
          <w:sz w:val="24"/>
          <w:szCs w:val="24"/>
        </w:rPr>
      </w:pPr>
      <w:r w:rsidRPr="00AE47C6">
        <w:rPr>
          <w:rFonts w:ascii="Times New Roman" w:eastAsia="SimSun" w:hAnsi="Times New Roman"/>
          <w:sz w:val="24"/>
          <w:szCs w:val="24"/>
        </w:rPr>
        <w:t xml:space="preserve">При странични реакции 1-ва степен не се предприемат действия. </w:t>
      </w:r>
    </w:p>
    <w:p w14:paraId="61A3E5E8" w14:textId="77777777" w:rsidR="00BE0B19" w:rsidRPr="00AE47C6" w:rsidRDefault="00BE0B19" w:rsidP="00BE0B19">
      <w:pPr>
        <w:numPr>
          <w:ilvl w:val="2"/>
          <w:numId w:val="240"/>
        </w:numPr>
        <w:spacing w:after="0" w:line="360" w:lineRule="auto"/>
        <w:ind w:right="-8"/>
        <w:jc w:val="both"/>
        <w:rPr>
          <w:rFonts w:ascii="Times New Roman" w:eastAsia="SimSun" w:hAnsi="Times New Roman"/>
          <w:sz w:val="24"/>
          <w:szCs w:val="24"/>
        </w:rPr>
      </w:pPr>
      <w:r w:rsidRPr="00AE47C6">
        <w:rPr>
          <w:rFonts w:ascii="Times New Roman" w:eastAsia="SimSun" w:hAnsi="Times New Roman"/>
          <w:bCs/>
          <w:sz w:val="24"/>
          <w:szCs w:val="24"/>
        </w:rPr>
        <w:t xml:space="preserve">При странични реакции 2-ра степен дозата се намалява с 50%  и се наблюдава за следваща редукция. </w:t>
      </w:r>
    </w:p>
    <w:p w14:paraId="67B7DC61" w14:textId="77777777" w:rsidR="00BE0B19" w:rsidRPr="00AE47C6" w:rsidRDefault="00BE0B19" w:rsidP="00BE0B19">
      <w:pPr>
        <w:numPr>
          <w:ilvl w:val="2"/>
          <w:numId w:val="240"/>
        </w:numPr>
        <w:spacing w:after="0" w:line="360" w:lineRule="auto"/>
        <w:ind w:right="-8"/>
        <w:jc w:val="both"/>
        <w:rPr>
          <w:rFonts w:ascii="Times New Roman" w:eastAsia="SimSun" w:hAnsi="Times New Roman"/>
          <w:sz w:val="24"/>
          <w:szCs w:val="24"/>
        </w:rPr>
      </w:pPr>
      <w:r w:rsidRPr="00AE47C6">
        <w:rPr>
          <w:rFonts w:ascii="Times New Roman" w:eastAsia="SimSun" w:hAnsi="Times New Roman"/>
          <w:bCs/>
          <w:sz w:val="24"/>
          <w:szCs w:val="24"/>
        </w:rPr>
        <w:t>При странични реакции 3-та и 4-та степен лечението с Votubia се преустановява.</w:t>
      </w:r>
    </w:p>
    <w:p w14:paraId="138E730C" w14:textId="77777777" w:rsidR="00BE0B19" w:rsidRPr="00AE47C6" w:rsidRDefault="00BE0B19" w:rsidP="00BE0B19">
      <w:pPr>
        <w:numPr>
          <w:ilvl w:val="2"/>
          <w:numId w:val="240"/>
        </w:numPr>
        <w:spacing w:after="0" w:line="360" w:lineRule="auto"/>
        <w:ind w:right="-8"/>
        <w:jc w:val="both"/>
        <w:rPr>
          <w:rFonts w:ascii="Times New Roman" w:eastAsia="SimSun" w:hAnsi="Times New Roman"/>
          <w:sz w:val="24"/>
          <w:szCs w:val="24"/>
        </w:rPr>
      </w:pPr>
      <w:r w:rsidRPr="00AE47C6">
        <w:rPr>
          <w:rFonts w:ascii="Times New Roman" w:eastAsia="SimSun" w:hAnsi="Times New Roman"/>
          <w:bCs/>
          <w:sz w:val="24"/>
          <w:szCs w:val="24"/>
        </w:rPr>
        <w:t>Проследяване за протеинурия</w:t>
      </w:r>
    </w:p>
    <w:p w14:paraId="5AE045DC" w14:textId="77777777" w:rsidR="00BE0B19" w:rsidRPr="00AE47C6" w:rsidRDefault="00BE0B19" w:rsidP="00BE0B19">
      <w:pPr>
        <w:spacing w:after="0" w:line="360" w:lineRule="auto"/>
        <w:ind w:right="-8" w:firstLine="709"/>
        <w:jc w:val="both"/>
        <w:rPr>
          <w:rFonts w:ascii="Times New Roman" w:eastAsia="SimSun" w:hAnsi="Times New Roman"/>
          <w:sz w:val="24"/>
          <w:szCs w:val="24"/>
        </w:rPr>
      </w:pPr>
    </w:p>
    <w:p w14:paraId="68E4F318" w14:textId="77777777" w:rsidR="00BE0B19" w:rsidRPr="00AE47C6" w:rsidRDefault="00BE0B19" w:rsidP="00BE0B19">
      <w:pPr>
        <w:spacing w:after="0" w:line="360" w:lineRule="auto"/>
        <w:ind w:right="-8" w:firstLine="709"/>
        <w:jc w:val="both"/>
        <w:rPr>
          <w:rFonts w:ascii="Times New Roman" w:eastAsia="SimSun" w:hAnsi="Times New Roman"/>
          <w:sz w:val="24"/>
          <w:szCs w:val="24"/>
        </w:rPr>
      </w:pPr>
      <w:r w:rsidRPr="00AE47C6">
        <w:rPr>
          <w:rFonts w:ascii="Times New Roman" w:eastAsia="SimSun" w:hAnsi="Times New Roman"/>
          <w:sz w:val="24"/>
          <w:szCs w:val="24"/>
        </w:rPr>
        <w:t xml:space="preserve">За лечение на епилепсията при </w:t>
      </w:r>
      <w:r w:rsidRPr="00AE47C6">
        <w:rPr>
          <w:rFonts w:ascii="Times New Roman" w:eastAsia="SimSun" w:hAnsi="Times New Roman"/>
          <w:i/>
          <w:sz w:val="24"/>
          <w:szCs w:val="24"/>
        </w:rPr>
        <w:t xml:space="preserve">синдрома на West с TSC </w:t>
      </w:r>
      <w:r w:rsidRPr="00AE47C6">
        <w:rPr>
          <w:rFonts w:ascii="Times New Roman" w:eastAsia="SimSun" w:hAnsi="Times New Roman"/>
          <w:sz w:val="24"/>
          <w:szCs w:val="24"/>
        </w:rPr>
        <w:t xml:space="preserve">се препоръчва ранно лечение с </w:t>
      </w:r>
      <w:r w:rsidRPr="00AE47C6">
        <w:rPr>
          <w:rFonts w:ascii="Times New Roman" w:eastAsia="SimSun" w:hAnsi="Times New Roman"/>
          <w:i/>
          <w:sz w:val="24"/>
          <w:szCs w:val="24"/>
        </w:rPr>
        <w:t>vigabatrin и ACTH</w:t>
      </w:r>
      <w:r w:rsidRPr="00AE47C6">
        <w:rPr>
          <w:rFonts w:ascii="Times New Roman" w:eastAsia="SimSun" w:hAnsi="Times New Roman"/>
          <w:sz w:val="24"/>
          <w:szCs w:val="24"/>
        </w:rPr>
        <w:t xml:space="preserve">, а при </w:t>
      </w:r>
      <w:r w:rsidRPr="00AE47C6">
        <w:rPr>
          <w:rFonts w:ascii="Times New Roman" w:eastAsia="SimSun" w:hAnsi="Times New Roman"/>
          <w:i/>
          <w:sz w:val="24"/>
          <w:szCs w:val="24"/>
        </w:rPr>
        <w:t>синдром на Lennox-Gastaut</w:t>
      </w:r>
      <w:r w:rsidRPr="00AE47C6">
        <w:rPr>
          <w:rFonts w:ascii="Times New Roman" w:eastAsia="SimSun" w:hAnsi="Times New Roman"/>
          <w:sz w:val="24"/>
          <w:szCs w:val="24"/>
        </w:rPr>
        <w:t xml:space="preserve"> и фокални епилепсии, комбинация от антиепилептични медикаменти според вида на пристъпите и терапевтичния ефект (Табл. 14. 3 и 14.4)</w:t>
      </w:r>
    </w:p>
    <w:p w14:paraId="324EC852" w14:textId="77777777" w:rsidR="00BE0B19" w:rsidRPr="00AE47C6" w:rsidRDefault="00BE0B19" w:rsidP="00BE0B19">
      <w:pPr>
        <w:tabs>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bCs/>
          <w:sz w:val="24"/>
          <w:szCs w:val="24"/>
        </w:rPr>
      </w:pPr>
      <w:r w:rsidRPr="00AE47C6">
        <w:rPr>
          <w:rFonts w:ascii="Times New Roman" w:eastAsia="SimSun" w:hAnsi="Times New Roman"/>
          <w:b/>
          <w:sz w:val="24"/>
          <w:szCs w:val="24"/>
        </w:rPr>
        <w:t xml:space="preserve">Таблица 14.3. </w:t>
      </w:r>
      <w:r w:rsidRPr="00AE47C6">
        <w:rPr>
          <w:rFonts w:ascii="Times New Roman" w:eastAsia="SimSun" w:hAnsi="Times New Roman"/>
          <w:bCs/>
          <w:sz w:val="24"/>
          <w:szCs w:val="24"/>
        </w:rPr>
        <w:t>Антигърчови лекарства за лечение на епилепсиите (синдромите) и епилептичните пристъпи (Национален консенсус за лечение на епилепсиите, 2023)</w:t>
      </w:r>
      <w:r w:rsidRPr="00AE47C6">
        <w:rPr>
          <w:rFonts w:ascii="Times New Roman" w:eastAsia="SimSun" w:hAnsi="Times New Roman"/>
          <w:b/>
          <w:bCs/>
          <w:sz w:val="24"/>
          <w:szCs w:val="24"/>
        </w:rPr>
        <w:t xml:space="preserve"> </w:t>
      </w:r>
      <w:r w:rsidRPr="00AE47C6">
        <w:rPr>
          <w:rFonts w:ascii="Times New Roman" w:eastAsia="SimSun" w:hAnsi="Times New Roman"/>
          <w:bCs/>
          <w:sz w:val="24"/>
          <w:szCs w:val="24"/>
        </w:rPr>
        <w:t>(25)</w:t>
      </w:r>
    </w:p>
    <w:p w14:paraId="1367BB26" w14:textId="77777777" w:rsidR="00BE0B19" w:rsidRPr="00AE47C6" w:rsidRDefault="00BE0B19" w:rsidP="00BE0B19">
      <w:pPr>
        <w:tabs>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b/>
          <w:bCs/>
          <w:sz w:val="24"/>
          <w:szCs w:val="20"/>
        </w:rPr>
      </w:pPr>
    </w:p>
    <w:tbl>
      <w:tblPr>
        <w:tblW w:w="9072" w:type="dxa"/>
        <w:tblInd w:w="-1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773"/>
        <w:gridCol w:w="1964"/>
        <w:gridCol w:w="4335"/>
      </w:tblGrid>
      <w:tr w:rsidR="00BE0B19" w:rsidRPr="00AE47C6" w14:paraId="1E8A411B" w14:textId="77777777" w:rsidTr="00AD72E5">
        <w:tc>
          <w:tcPr>
            <w:tcW w:w="3060" w:type="dxa"/>
          </w:tcPr>
          <w:p w14:paraId="0D834D9D" w14:textId="77777777" w:rsidR="00BE0B19" w:rsidRPr="00AE47C6" w:rsidRDefault="00BE0B19" w:rsidP="00BE0B19">
            <w:pPr>
              <w:numPr>
                <w:ilvl w:val="12"/>
                <w:numId w:val="0"/>
              </w:numPr>
              <w:tabs>
                <w:tab w:val="left" w:pos="720"/>
              </w:tabs>
              <w:spacing w:line="360" w:lineRule="auto"/>
              <w:rPr>
                <w:rFonts w:ascii="Times New Roman" w:eastAsia="SimSun" w:hAnsi="Times New Roman"/>
                <w:b/>
                <w:bCs/>
                <w:caps/>
                <w:sz w:val="24"/>
                <w:szCs w:val="24"/>
              </w:rPr>
            </w:pPr>
            <w:r w:rsidRPr="00AE47C6">
              <w:rPr>
                <w:rFonts w:ascii="Times New Roman" w:eastAsia="SimSun" w:hAnsi="Times New Roman"/>
                <w:b/>
                <w:bCs/>
                <w:sz w:val="24"/>
                <w:szCs w:val="24"/>
              </w:rPr>
              <w:t>Вид епилепсия (синдром) епилептични пристъпи</w:t>
            </w:r>
          </w:p>
        </w:tc>
        <w:tc>
          <w:tcPr>
            <w:tcW w:w="2160" w:type="dxa"/>
          </w:tcPr>
          <w:p w14:paraId="01454B58"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І избор</w:t>
            </w:r>
          </w:p>
          <w:p w14:paraId="5A681123" w14:textId="77777777" w:rsidR="00BE0B19" w:rsidRPr="00AE47C6" w:rsidRDefault="00BE0B19" w:rsidP="00BE0B19">
            <w:pPr>
              <w:spacing w:before="240" w:after="240" w:line="360" w:lineRule="auto"/>
              <w:jc w:val="both"/>
              <w:outlineLvl w:val="4"/>
              <w:rPr>
                <w:rFonts w:ascii="Times New Roman" w:eastAsia="SimSun" w:hAnsi="Times New Roman"/>
                <w:b/>
                <w:bCs/>
                <w:iCs/>
                <w:sz w:val="24"/>
                <w:szCs w:val="24"/>
              </w:rPr>
            </w:pPr>
            <w:r w:rsidRPr="00AE47C6">
              <w:rPr>
                <w:rFonts w:ascii="Times New Roman" w:eastAsia="SimSun" w:hAnsi="Times New Roman"/>
                <w:b/>
                <w:bCs/>
                <w:iCs/>
                <w:sz w:val="24"/>
                <w:szCs w:val="24"/>
              </w:rPr>
              <w:t>Монотерапия</w:t>
            </w:r>
          </w:p>
        </w:tc>
        <w:tc>
          <w:tcPr>
            <w:tcW w:w="4799" w:type="dxa"/>
          </w:tcPr>
          <w:p w14:paraId="65663EF6"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Алтернативна монотерапия или политерапия</w:t>
            </w:r>
          </w:p>
        </w:tc>
      </w:tr>
      <w:tr w:rsidR="00BE0B19" w:rsidRPr="00AE47C6" w14:paraId="79673ECC" w14:textId="77777777" w:rsidTr="00AD72E5">
        <w:trPr>
          <w:trHeight w:val="855"/>
        </w:trPr>
        <w:tc>
          <w:tcPr>
            <w:tcW w:w="10019" w:type="dxa"/>
            <w:gridSpan w:val="3"/>
          </w:tcPr>
          <w:p w14:paraId="38F06534" w14:textId="77777777" w:rsidR="00BE0B19" w:rsidRPr="00AE47C6" w:rsidRDefault="00BE0B19" w:rsidP="00BE0B19">
            <w:pPr>
              <w:numPr>
                <w:ilvl w:val="12"/>
                <w:numId w:val="0"/>
              </w:numPr>
              <w:tabs>
                <w:tab w:val="left" w:pos="720"/>
              </w:tabs>
              <w:spacing w:line="360" w:lineRule="auto"/>
              <w:jc w:val="center"/>
              <w:rPr>
                <w:rFonts w:ascii="Times New Roman" w:eastAsia="SimSun" w:hAnsi="Times New Roman"/>
                <w:b/>
                <w:bCs/>
                <w:sz w:val="24"/>
                <w:szCs w:val="24"/>
              </w:rPr>
            </w:pPr>
            <w:r w:rsidRPr="00AE47C6">
              <w:rPr>
                <w:rFonts w:ascii="Times New Roman" w:eastAsia="SimSun" w:hAnsi="Times New Roman"/>
                <w:b/>
                <w:bCs/>
                <w:sz w:val="24"/>
                <w:szCs w:val="24"/>
              </w:rPr>
              <w:t>Първично-генерализирани (идиопатични/генетични</w:t>
            </w:r>
            <w:r w:rsidRPr="00AE47C6">
              <w:rPr>
                <w:rFonts w:ascii="Times New Roman" w:eastAsia="SimSun" w:hAnsi="Times New Roman"/>
                <w:sz w:val="24"/>
                <w:szCs w:val="24"/>
              </w:rPr>
              <w:t xml:space="preserve">) </w:t>
            </w:r>
            <w:r w:rsidRPr="00AE47C6">
              <w:rPr>
                <w:rFonts w:ascii="Times New Roman" w:eastAsia="SimSun" w:hAnsi="Times New Roman"/>
                <w:b/>
                <w:bCs/>
                <w:sz w:val="24"/>
                <w:szCs w:val="24"/>
              </w:rPr>
              <w:t>епилепсии/ генерализирани припадъци</w:t>
            </w:r>
          </w:p>
        </w:tc>
      </w:tr>
      <w:tr w:rsidR="00BE0B19" w:rsidRPr="00AE47C6" w14:paraId="01CE1A75" w14:textId="77777777" w:rsidTr="00AD72E5">
        <w:tc>
          <w:tcPr>
            <w:tcW w:w="3060" w:type="dxa"/>
          </w:tcPr>
          <w:p w14:paraId="08E1202F" w14:textId="77777777" w:rsidR="00BE0B19" w:rsidRPr="00AE47C6" w:rsidRDefault="00BE0B19" w:rsidP="00BE0B19">
            <w:pPr>
              <w:numPr>
                <w:ilvl w:val="12"/>
                <w:numId w:val="0"/>
              </w:numPr>
              <w:tabs>
                <w:tab w:val="left" w:pos="720"/>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Тонично-клонични припадъци</w:t>
            </w:r>
          </w:p>
        </w:tc>
        <w:tc>
          <w:tcPr>
            <w:tcW w:w="2160" w:type="dxa"/>
          </w:tcPr>
          <w:p w14:paraId="3F9C5928"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CBZ,PHT,VPA</w:t>
            </w:r>
          </w:p>
        </w:tc>
        <w:tc>
          <w:tcPr>
            <w:tcW w:w="4799" w:type="dxa"/>
          </w:tcPr>
          <w:p w14:paraId="6C152234"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CZР, LTG, LEV, OXC, PB, TGB, TPM, ZNS**, Clobazam**</w:t>
            </w:r>
          </w:p>
        </w:tc>
      </w:tr>
      <w:tr w:rsidR="00BE0B19" w:rsidRPr="00AE47C6" w14:paraId="5314918B" w14:textId="77777777" w:rsidTr="00AD72E5">
        <w:tc>
          <w:tcPr>
            <w:tcW w:w="3060" w:type="dxa"/>
          </w:tcPr>
          <w:p w14:paraId="5AD9ADD4"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Атонични пристъпи</w:t>
            </w:r>
          </w:p>
        </w:tc>
        <w:tc>
          <w:tcPr>
            <w:tcW w:w="2160" w:type="dxa"/>
          </w:tcPr>
          <w:p w14:paraId="6BEE881D"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VPA</w:t>
            </w:r>
          </w:p>
        </w:tc>
        <w:tc>
          <w:tcPr>
            <w:tcW w:w="4799" w:type="dxa"/>
          </w:tcPr>
          <w:p w14:paraId="38E8B92C"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LTG, CZP</w:t>
            </w:r>
          </w:p>
        </w:tc>
      </w:tr>
      <w:tr w:rsidR="00BE0B19" w:rsidRPr="00AE47C6" w14:paraId="74C07929" w14:textId="77777777" w:rsidTr="00AD72E5">
        <w:tc>
          <w:tcPr>
            <w:tcW w:w="3060" w:type="dxa"/>
          </w:tcPr>
          <w:p w14:paraId="5720630D"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Абсанси</w:t>
            </w:r>
          </w:p>
        </w:tc>
        <w:tc>
          <w:tcPr>
            <w:tcW w:w="2160" w:type="dxa"/>
          </w:tcPr>
          <w:p w14:paraId="1084D699"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VPA, ESM</w:t>
            </w:r>
          </w:p>
        </w:tc>
        <w:tc>
          <w:tcPr>
            <w:tcW w:w="4799" w:type="dxa"/>
          </w:tcPr>
          <w:p w14:paraId="53295C22"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CZP, LTG, TPM</w:t>
            </w:r>
          </w:p>
        </w:tc>
      </w:tr>
      <w:tr w:rsidR="00BE0B19" w:rsidRPr="00AE47C6" w14:paraId="0553DB2C" w14:textId="77777777" w:rsidTr="00AD72E5">
        <w:tc>
          <w:tcPr>
            <w:tcW w:w="3060" w:type="dxa"/>
          </w:tcPr>
          <w:p w14:paraId="16F520EB" w14:textId="77777777" w:rsidR="00BE0B19" w:rsidRPr="00AE47C6" w:rsidRDefault="00BE0B19" w:rsidP="00BE0B19">
            <w:pPr>
              <w:numPr>
                <w:ilvl w:val="12"/>
                <w:numId w:val="0"/>
              </w:numPr>
              <w:tabs>
                <w:tab w:val="left" w:pos="720"/>
              </w:tabs>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миоклонични пристъпи</w:t>
            </w:r>
          </w:p>
        </w:tc>
        <w:tc>
          <w:tcPr>
            <w:tcW w:w="2160" w:type="dxa"/>
          </w:tcPr>
          <w:p w14:paraId="54FC9722"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VPA</w:t>
            </w:r>
          </w:p>
        </w:tc>
        <w:tc>
          <w:tcPr>
            <w:tcW w:w="4799" w:type="dxa"/>
          </w:tcPr>
          <w:p w14:paraId="793EE34B"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CZP, ЕSM, LTG, LEV, TPM, ZNZ**, Clobazam**</w:t>
            </w:r>
          </w:p>
          <w:p w14:paraId="7CA29C51"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Кортикостероиди </w:t>
            </w:r>
          </w:p>
        </w:tc>
      </w:tr>
      <w:tr w:rsidR="00BE0B19" w:rsidRPr="00AE47C6" w14:paraId="0EF8772C" w14:textId="77777777" w:rsidTr="00AD72E5">
        <w:trPr>
          <w:trHeight w:val="862"/>
        </w:trPr>
        <w:tc>
          <w:tcPr>
            <w:tcW w:w="3060" w:type="dxa"/>
          </w:tcPr>
          <w:p w14:paraId="7D0BD151"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Ювенилна миоклонична епилепсия</w:t>
            </w:r>
          </w:p>
        </w:tc>
        <w:tc>
          <w:tcPr>
            <w:tcW w:w="2160" w:type="dxa"/>
          </w:tcPr>
          <w:p w14:paraId="496A0251"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VPA</w:t>
            </w:r>
          </w:p>
        </w:tc>
        <w:tc>
          <w:tcPr>
            <w:tcW w:w="4799" w:type="dxa"/>
          </w:tcPr>
          <w:p w14:paraId="02E7BADE"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CZP, ЕSM, LTG, LEV, TPM, ZNZ**, Clobazam** </w:t>
            </w:r>
          </w:p>
        </w:tc>
      </w:tr>
      <w:tr w:rsidR="00BE0B19" w:rsidRPr="00AE47C6" w14:paraId="473C10AA" w14:textId="77777777" w:rsidTr="00AD72E5">
        <w:tc>
          <w:tcPr>
            <w:tcW w:w="10019" w:type="dxa"/>
            <w:gridSpan w:val="3"/>
          </w:tcPr>
          <w:p w14:paraId="6D008004" w14:textId="77777777" w:rsidR="00BE0B19" w:rsidRPr="00AE47C6" w:rsidRDefault="00BE0B19" w:rsidP="00BE0B19">
            <w:pPr>
              <w:numPr>
                <w:ilvl w:val="12"/>
                <w:numId w:val="0"/>
              </w:numPr>
              <w:tabs>
                <w:tab w:val="left" w:pos="720"/>
              </w:tabs>
              <w:spacing w:line="360" w:lineRule="auto"/>
              <w:jc w:val="center"/>
              <w:rPr>
                <w:rFonts w:ascii="Times New Roman" w:eastAsia="SimSun" w:hAnsi="Times New Roman"/>
                <w:b/>
                <w:bCs/>
                <w:caps/>
                <w:sz w:val="24"/>
                <w:szCs w:val="24"/>
              </w:rPr>
            </w:pPr>
            <w:r w:rsidRPr="00AE47C6">
              <w:rPr>
                <w:rFonts w:ascii="Times New Roman" w:eastAsia="SimSun" w:hAnsi="Times New Roman"/>
                <w:b/>
                <w:bCs/>
                <w:sz w:val="24"/>
                <w:szCs w:val="24"/>
              </w:rPr>
              <w:t>Фокални  епилепсии / фокални епилептични пристъпи</w:t>
            </w:r>
          </w:p>
        </w:tc>
      </w:tr>
      <w:tr w:rsidR="00BE0B19" w:rsidRPr="00AE47C6" w14:paraId="279F34C7" w14:textId="77777777" w:rsidTr="00AD72E5">
        <w:trPr>
          <w:trHeight w:val="887"/>
        </w:trPr>
        <w:tc>
          <w:tcPr>
            <w:tcW w:w="3060" w:type="dxa"/>
          </w:tcPr>
          <w:p w14:paraId="6658234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Фокални пристъпи</w:t>
            </w:r>
          </w:p>
        </w:tc>
        <w:tc>
          <w:tcPr>
            <w:tcW w:w="2160" w:type="dxa"/>
          </w:tcPr>
          <w:p w14:paraId="5E4EF6C5"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CBZ, VPA</w:t>
            </w:r>
          </w:p>
        </w:tc>
        <w:tc>
          <w:tcPr>
            <w:tcW w:w="4799" w:type="dxa"/>
          </w:tcPr>
          <w:p w14:paraId="165DCD7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CZP, Cenobamate**, Clobazam**, GBP, LCM, LTG, LEV, OxCBZ, PB, PHT, PGB,  TGB, TPM, BRV, ESL, ZNS**</w:t>
            </w:r>
          </w:p>
        </w:tc>
      </w:tr>
      <w:tr w:rsidR="00BE0B19" w:rsidRPr="00AE47C6" w14:paraId="13689C44" w14:textId="77777777" w:rsidTr="00AD72E5">
        <w:tc>
          <w:tcPr>
            <w:tcW w:w="3060" w:type="dxa"/>
          </w:tcPr>
          <w:p w14:paraId="21B8902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Фокални пристъпи с еволюция към двустранни тонично-клонични (вторично –генерализирани пристъпи)</w:t>
            </w:r>
          </w:p>
        </w:tc>
        <w:tc>
          <w:tcPr>
            <w:tcW w:w="2160" w:type="dxa"/>
          </w:tcPr>
          <w:p w14:paraId="407E3A0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CBZ, PHT, VPA</w:t>
            </w:r>
          </w:p>
        </w:tc>
        <w:tc>
          <w:tcPr>
            <w:tcW w:w="4799" w:type="dxa"/>
          </w:tcPr>
          <w:p w14:paraId="4584D19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CZP, Cenobamate**, Clobazam**, GBP, LCM, LTG, LEV, OxCBZ, PB, PHT, PGB,  TGB, TPM, BRV, ESL, ZNS**</w:t>
            </w:r>
          </w:p>
        </w:tc>
      </w:tr>
      <w:tr w:rsidR="00BE0B19" w:rsidRPr="00AE47C6" w14:paraId="158E7E33" w14:textId="77777777" w:rsidTr="00AD72E5">
        <w:tc>
          <w:tcPr>
            <w:tcW w:w="3060" w:type="dxa"/>
          </w:tcPr>
          <w:p w14:paraId="2F3FA875" w14:textId="77777777" w:rsidR="00BE0B19" w:rsidRPr="00AE47C6" w:rsidRDefault="00BE0B19" w:rsidP="00BE0B19">
            <w:pPr>
              <w:spacing w:after="0"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Идиопатични фокални (Роландова и окципитални)</w:t>
            </w:r>
          </w:p>
        </w:tc>
        <w:tc>
          <w:tcPr>
            <w:tcW w:w="2160" w:type="dxa"/>
          </w:tcPr>
          <w:p w14:paraId="382E5C7B"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CBZ, VPA, OxCBZ</w:t>
            </w:r>
          </w:p>
        </w:tc>
        <w:tc>
          <w:tcPr>
            <w:tcW w:w="4799" w:type="dxa"/>
          </w:tcPr>
          <w:p w14:paraId="659EBB90"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CZP, GBP, LTG, LEV, Clobazam**, ZNS**</w:t>
            </w:r>
          </w:p>
        </w:tc>
      </w:tr>
      <w:tr w:rsidR="00BE0B19" w:rsidRPr="00AE47C6" w14:paraId="17C6E548" w14:textId="77777777" w:rsidTr="00AD72E5">
        <w:tc>
          <w:tcPr>
            <w:tcW w:w="10019" w:type="dxa"/>
            <w:gridSpan w:val="3"/>
          </w:tcPr>
          <w:p w14:paraId="168C19CF"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Епилептични енцефалопатии/ енцефалопатии на развитието</w:t>
            </w:r>
          </w:p>
        </w:tc>
      </w:tr>
      <w:tr w:rsidR="00BE0B19" w:rsidRPr="00AE47C6" w14:paraId="726BD52B" w14:textId="77777777" w:rsidTr="00AD72E5">
        <w:tc>
          <w:tcPr>
            <w:tcW w:w="3060" w:type="dxa"/>
          </w:tcPr>
          <w:p w14:paraId="4456AEC8"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Синдром с инфантилни спазми (синдром на West)</w:t>
            </w:r>
          </w:p>
        </w:tc>
        <w:tc>
          <w:tcPr>
            <w:tcW w:w="2160" w:type="dxa"/>
          </w:tcPr>
          <w:p w14:paraId="4C7C0E44"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ACTH, VPA</w:t>
            </w:r>
          </w:p>
        </w:tc>
        <w:tc>
          <w:tcPr>
            <w:tcW w:w="4799" w:type="dxa"/>
          </w:tcPr>
          <w:p w14:paraId="4E3C17DA"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CZP, LTG, TPM, VGB**, ZNS**</w:t>
            </w:r>
          </w:p>
        </w:tc>
      </w:tr>
      <w:tr w:rsidR="00BE0B19" w:rsidRPr="00AE47C6" w14:paraId="143F641C" w14:textId="77777777" w:rsidTr="00AD72E5">
        <w:tc>
          <w:tcPr>
            <w:tcW w:w="3060" w:type="dxa"/>
          </w:tcPr>
          <w:p w14:paraId="2DDDBDB2"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 xml:space="preserve">Синдром на </w:t>
            </w:r>
          </w:p>
          <w:p w14:paraId="2EC31EDF"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Lennox-Gastaut</w:t>
            </w:r>
          </w:p>
        </w:tc>
        <w:tc>
          <w:tcPr>
            <w:tcW w:w="2160" w:type="dxa"/>
          </w:tcPr>
          <w:p w14:paraId="0E841640" w14:textId="77777777" w:rsidR="00BE0B19" w:rsidRPr="00AE47C6" w:rsidRDefault="00BE0B19" w:rsidP="00BE0B19">
            <w:pPr>
              <w:spacing w:before="240" w:after="60" w:line="360" w:lineRule="auto"/>
              <w:jc w:val="both"/>
              <w:outlineLvl w:val="5"/>
              <w:rPr>
                <w:rFonts w:ascii="Times New Roman" w:eastAsia="SimSun" w:hAnsi="Times New Roman"/>
                <w:b/>
                <w:bCs/>
                <w:sz w:val="24"/>
                <w:szCs w:val="24"/>
              </w:rPr>
            </w:pPr>
            <w:r w:rsidRPr="00AE47C6">
              <w:rPr>
                <w:rFonts w:ascii="Times New Roman" w:eastAsia="SimSun" w:hAnsi="Times New Roman"/>
                <w:b/>
                <w:bCs/>
                <w:sz w:val="24"/>
                <w:szCs w:val="24"/>
              </w:rPr>
              <w:t>LTG, TPM, VPA</w:t>
            </w:r>
          </w:p>
        </w:tc>
        <w:tc>
          <w:tcPr>
            <w:tcW w:w="4799" w:type="dxa"/>
          </w:tcPr>
          <w:p w14:paraId="7C56426E"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CBZ, CZP, PB, PHT, Rufinamide*, Cannabidiol* с Clobazam**,  ZNS**,  Fenfluramine*</w:t>
            </w:r>
          </w:p>
        </w:tc>
      </w:tr>
      <w:tr w:rsidR="00BE0B19" w:rsidRPr="00AE47C6" w14:paraId="441C8D77" w14:textId="77777777" w:rsidTr="00AD72E5">
        <w:tc>
          <w:tcPr>
            <w:tcW w:w="3060" w:type="dxa"/>
          </w:tcPr>
          <w:p w14:paraId="5EF03A3F"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I Синдром на Dravet (SMEI)</w:t>
            </w:r>
          </w:p>
        </w:tc>
        <w:tc>
          <w:tcPr>
            <w:tcW w:w="2160" w:type="dxa"/>
          </w:tcPr>
          <w:p w14:paraId="40F765F1" w14:textId="77777777" w:rsidR="00BE0B19" w:rsidRPr="00AE47C6" w:rsidRDefault="00BE0B19" w:rsidP="00BE0B19">
            <w:pPr>
              <w:spacing w:before="240" w:after="60" w:line="360" w:lineRule="auto"/>
              <w:jc w:val="both"/>
              <w:outlineLvl w:val="5"/>
              <w:rPr>
                <w:rFonts w:ascii="Times New Roman" w:eastAsia="SimSun" w:hAnsi="Times New Roman"/>
                <w:b/>
                <w:bCs/>
                <w:sz w:val="24"/>
                <w:szCs w:val="24"/>
              </w:rPr>
            </w:pPr>
            <w:r w:rsidRPr="00AE47C6">
              <w:rPr>
                <w:rFonts w:ascii="Times New Roman" w:eastAsia="SimSun" w:hAnsi="Times New Roman"/>
                <w:b/>
                <w:bCs/>
                <w:sz w:val="24"/>
                <w:szCs w:val="24"/>
              </w:rPr>
              <w:t>VPA,TPM</w:t>
            </w:r>
          </w:p>
        </w:tc>
        <w:tc>
          <w:tcPr>
            <w:tcW w:w="4799" w:type="dxa"/>
          </w:tcPr>
          <w:p w14:paraId="6E0EAD55"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LEV, Stiripentol*, Cannabidiol* с  Clobazam**,  Fenfluramine*</w:t>
            </w:r>
          </w:p>
        </w:tc>
      </w:tr>
      <w:tr w:rsidR="00BE0B19" w:rsidRPr="00AE47C6" w14:paraId="06EC8969" w14:textId="77777777" w:rsidTr="00AD72E5">
        <w:tc>
          <w:tcPr>
            <w:tcW w:w="3060" w:type="dxa"/>
          </w:tcPr>
          <w:p w14:paraId="166BE42D"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b/>
                <w:bCs/>
                <w:sz w:val="24"/>
                <w:szCs w:val="24"/>
              </w:rPr>
            </w:pPr>
            <w:r w:rsidRPr="00AE47C6">
              <w:rPr>
                <w:rFonts w:ascii="Times New Roman" w:eastAsia="SimSun" w:hAnsi="Times New Roman"/>
                <w:b/>
                <w:bCs/>
                <w:sz w:val="24"/>
                <w:szCs w:val="24"/>
              </w:rPr>
              <w:t>Епилептична енцефалопатия с CSWS или електричен статус по време на бавновълнов сън (ESES)</w:t>
            </w:r>
          </w:p>
        </w:tc>
        <w:tc>
          <w:tcPr>
            <w:tcW w:w="2160" w:type="dxa"/>
          </w:tcPr>
          <w:p w14:paraId="441D52F0" w14:textId="77777777" w:rsidR="00BE0B19" w:rsidRPr="00AE47C6" w:rsidRDefault="00BE0B19" w:rsidP="00BE0B19">
            <w:pPr>
              <w:spacing w:before="240" w:after="60" w:line="360" w:lineRule="auto"/>
              <w:jc w:val="both"/>
              <w:outlineLvl w:val="5"/>
              <w:rPr>
                <w:rFonts w:ascii="Times New Roman" w:eastAsia="SimSun" w:hAnsi="Times New Roman"/>
                <w:b/>
                <w:bCs/>
                <w:sz w:val="24"/>
                <w:szCs w:val="24"/>
              </w:rPr>
            </w:pPr>
            <w:r w:rsidRPr="00AE47C6">
              <w:rPr>
                <w:rFonts w:ascii="Times New Roman" w:eastAsia="SimSun" w:hAnsi="Times New Roman"/>
                <w:b/>
                <w:bCs/>
                <w:sz w:val="24"/>
                <w:szCs w:val="24"/>
              </w:rPr>
              <w:t>VPA, ESM</w:t>
            </w:r>
          </w:p>
        </w:tc>
        <w:tc>
          <w:tcPr>
            <w:tcW w:w="4799" w:type="dxa"/>
          </w:tcPr>
          <w:p w14:paraId="34038AB1" w14:textId="77777777" w:rsidR="00BE0B19" w:rsidRPr="00AE47C6" w:rsidRDefault="00BE0B19" w:rsidP="00BE0B19">
            <w:pPr>
              <w:numPr>
                <w:ilvl w:val="12"/>
                <w:numId w:val="0"/>
              </w:numPr>
              <w:tabs>
                <w:tab w:val="left" w:pos="720"/>
              </w:tabs>
              <w:spacing w:line="360" w:lineRule="auto"/>
              <w:jc w:val="both"/>
              <w:rPr>
                <w:rFonts w:ascii="Times New Roman" w:eastAsia="SimSun" w:hAnsi="Times New Roman"/>
                <w:sz w:val="24"/>
                <w:szCs w:val="24"/>
              </w:rPr>
            </w:pPr>
            <w:r w:rsidRPr="00AE47C6">
              <w:rPr>
                <w:rFonts w:ascii="Times New Roman" w:eastAsia="SimSun" w:hAnsi="Times New Roman"/>
                <w:sz w:val="24"/>
                <w:szCs w:val="24"/>
              </w:rPr>
              <w:t>LEV, бензодиазепини, Clobazam**, кортикостероиди</w:t>
            </w:r>
          </w:p>
        </w:tc>
      </w:tr>
    </w:tbl>
    <w:p w14:paraId="3B604435" w14:textId="77777777" w:rsidR="00BE0B19" w:rsidRPr="00AE47C6" w:rsidRDefault="00BE0B19" w:rsidP="00BE0B19">
      <w:pPr>
        <w:pBdr>
          <w:bottom w:val="single" w:sz="12" w:space="1" w:color="auto"/>
        </w:pBdr>
        <w:tabs>
          <w:tab w:val="center" w:pos="4153"/>
          <w:tab w:val="right" w:pos="8306"/>
        </w:tabs>
        <w:overflowPunct w:val="0"/>
        <w:autoSpaceDE w:val="0"/>
        <w:autoSpaceDN w:val="0"/>
        <w:adjustRightInd w:val="0"/>
        <w:spacing w:after="0" w:line="360" w:lineRule="auto"/>
        <w:ind w:left="360"/>
        <w:jc w:val="both"/>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 </w:t>
      </w:r>
      <w:r w:rsidRPr="00AE47C6">
        <w:rPr>
          <w:rFonts w:ascii="Times New Roman" w:eastAsia="SimSun" w:hAnsi="Times New Roman"/>
          <w:b/>
          <w:sz w:val="24"/>
          <w:szCs w:val="20"/>
        </w:rPr>
        <w:t>АГЛ</w:t>
      </w:r>
      <w:r w:rsidRPr="00AE47C6">
        <w:rPr>
          <w:rFonts w:ascii="Times New Roman" w:eastAsia="SimSun" w:hAnsi="Times New Roman"/>
          <w:b/>
          <w:bCs/>
          <w:sz w:val="24"/>
          <w:szCs w:val="20"/>
        </w:rPr>
        <w:t xml:space="preserve">, разрешени за монотерапия и допълваща терапия: CBZ, CZP, ESM, GBP </w:t>
      </w:r>
      <w:r w:rsidRPr="00AE47C6">
        <w:rPr>
          <w:rFonts w:ascii="Times New Roman" w:eastAsia="SimSun" w:hAnsi="Times New Roman"/>
          <w:sz w:val="24"/>
          <w:szCs w:val="20"/>
        </w:rPr>
        <w:t xml:space="preserve">(над 12 г. монотерапия, над  6 г. допълваща терапия), ESL (над 18 г. монотерапия, над 6 г. допълваща терапия),  </w:t>
      </w:r>
      <w:r w:rsidRPr="00AE47C6">
        <w:rPr>
          <w:rFonts w:ascii="Times New Roman" w:eastAsia="SimSun" w:hAnsi="Times New Roman"/>
          <w:b/>
          <w:bCs/>
          <w:sz w:val="24"/>
          <w:szCs w:val="20"/>
        </w:rPr>
        <w:t>LTG</w:t>
      </w:r>
      <w:r w:rsidRPr="00AE47C6">
        <w:rPr>
          <w:rFonts w:ascii="Times New Roman" w:eastAsia="SimSun" w:hAnsi="Times New Roman"/>
          <w:sz w:val="24"/>
          <w:szCs w:val="20"/>
        </w:rPr>
        <w:t xml:space="preserve"> (над 2 г.),</w:t>
      </w:r>
      <w:r w:rsidRPr="00AE47C6">
        <w:rPr>
          <w:rFonts w:ascii="Times New Roman" w:eastAsia="SimSun" w:hAnsi="Times New Roman"/>
          <w:b/>
          <w:bCs/>
          <w:sz w:val="24"/>
          <w:szCs w:val="20"/>
        </w:rPr>
        <w:t xml:space="preserve"> LEV (</w:t>
      </w:r>
      <w:r w:rsidRPr="00AE47C6">
        <w:rPr>
          <w:rFonts w:ascii="Times New Roman" w:eastAsia="SimSun" w:hAnsi="Times New Roman"/>
          <w:sz w:val="24"/>
          <w:szCs w:val="20"/>
        </w:rPr>
        <w:t>над 16 г. - монотерапия, над 1 месец- политерапия)</w:t>
      </w:r>
      <w:r w:rsidRPr="00AE47C6">
        <w:rPr>
          <w:rFonts w:ascii="Times New Roman" w:eastAsia="SimSun" w:hAnsi="Times New Roman"/>
          <w:b/>
          <w:bCs/>
          <w:sz w:val="24"/>
          <w:szCs w:val="20"/>
        </w:rPr>
        <w:t xml:space="preserve">, LCM </w:t>
      </w:r>
      <w:r w:rsidRPr="00AE47C6">
        <w:rPr>
          <w:rFonts w:ascii="Times New Roman" w:eastAsia="SimSun" w:hAnsi="Times New Roman"/>
          <w:bCs/>
          <w:sz w:val="24"/>
          <w:szCs w:val="20"/>
        </w:rPr>
        <w:t>(над 4 г.),</w:t>
      </w:r>
      <w:r w:rsidRPr="00AE47C6">
        <w:rPr>
          <w:rFonts w:ascii="Times New Roman" w:eastAsia="SimSun" w:hAnsi="Times New Roman"/>
          <w:b/>
          <w:bCs/>
          <w:sz w:val="24"/>
          <w:szCs w:val="20"/>
        </w:rPr>
        <w:t xml:space="preserve"> OxCBZ, PHT, PB, TPM </w:t>
      </w:r>
      <w:r w:rsidRPr="00AE47C6">
        <w:rPr>
          <w:rFonts w:ascii="Times New Roman" w:eastAsia="SimSun" w:hAnsi="Times New Roman"/>
          <w:sz w:val="24"/>
          <w:szCs w:val="20"/>
        </w:rPr>
        <w:t xml:space="preserve"> (над 2 г.),</w:t>
      </w:r>
      <w:r w:rsidRPr="00AE47C6">
        <w:rPr>
          <w:rFonts w:ascii="Times New Roman" w:eastAsia="SimSun" w:hAnsi="Times New Roman"/>
          <w:b/>
          <w:bCs/>
          <w:sz w:val="24"/>
          <w:szCs w:val="20"/>
        </w:rPr>
        <w:t xml:space="preserve"> VPA. </w:t>
      </w:r>
    </w:p>
    <w:p w14:paraId="77256E88" w14:textId="77777777" w:rsidR="00BE0B19" w:rsidRPr="00AE47C6" w:rsidRDefault="00BE0B19" w:rsidP="00BE0B19">
      <w:pPr>
        <w:pBdr>
          <w:bottom w:val="single" w:sz="12" w:space="1" w:color="auto"/>
        </w:pBdr>
        <w:tabs>
          <w:tab w:val="center" w:pos="4153"/>
          <w:tab w:val="right" w:pos="8306"/>
        </w:tabs>
        <w:overflowPunct w:val="0"/>
        <w:autoSpaceDE w:val="0"/>
        <w:autoSpaceDN w:val="0"/>
        <w:adjustRightInd w:val="0"/>
        <w:spacing w:after="0" w:line="360" w:lineRule="auto"/>
        <w:ind w:left="360"/>
        <w:jc w:val="both"/>
        <w:textAlignment w:val="baseline"/>
        <w:rPr>
          <w:rFonts w:ascii="Times New Roman" w:eastAsia="SimSun" w:hAnsi="Times New Roman"/>
          <w:sz w:val="24"/>
          <w:szCs w:val="20"/>
        </w:rPr>
      </w:pPr>
      <w:r w:rsidRPr="00AE47C6">
        <w:rPr>
          <w:rFonts w:ascii="Times New Roman" w:eastAsia="SimSun" w:hAnsi="Times New Roman"/>
          <w:b/>
          <w:bCs/>
          <w:sz w:val="24"/>
          <w:szCs w:val="20"/>
        </w:rPr>
        <w:t xml:space="preserve">- </w:t>
      </w:r>
      <w:r w:rsidRPr="00AE47C6">
        <w:rPr>
          <w:rFonts w:ascii="Times New Roman" w:eastAsia="SimSun" w:hAnsi="Times New Roman"/>
          <w:b/>
          <w:sz w:val="24"/>
          <w:szCs w:val="20"/>
        </w:rPr>
        <w:t>АГЛ</w:t>
      </w:r>
      <w:r w:rsidRPr="00AE47C6">
        <w:rPr>
          <w:rFonts w:ascii="Times New Roman" w:eastAsia="SimSun" w:hAnsi="Times New Roman"/>
          <w:b/>
          <w:bCs/>
          <w:sz w:val="24"/>
          <w:szCs w:val="20"/>
        </w:rPr>
        <w:t xml:space="preserve"> разрешени само за допълваща терапия: PGB </w:t>
      </w:r>
      <w:r w:rsidRPr="00AE47C6">
        <w:rPr>
          <w:rFonts w:ascii="Times New Roman" w:eastAsia="SimSun" w:hAnsi="Times New Roman"/>
          <w:sz w:val="24"/>
          <w:szCs w:val="20"/>
        </w:rPr>
        <w:t>(над 18 г.);</w:t>
      </w:r>
      <w:r w:rsidRPr="00AE47C6">
        <w:rPr>
          <w:rFonts w:ascii="Times New Roman" w:eastAsia="SimSun" w:hAnsi="Times New Roman"/>
          <w:b/>
          <w:bCs/>
          <w:sz w:val="24"/>
          <w:szCs w:val="20"/>
        </w:rPr>
        <w:t xml:space="preserve"> TGB</w:t>
      </w:r>
      <w:r w:rsidRPr="00AE47C6">
        <w:rPr>
          <w:rFonts w:ascii="Times New Roman" w:eastAsia="SimSun" w:hAnsi="Times New Roman"/>
          <w:sz w:val="24"/>
          <w:szCs w:val="20"/>
        </w:rPr>
        <w:t xml:space="preserve"> (над 12 г.), когато други подходящи лекарствени комбинации са се оказали незадоволителни или не са поносими , </w:t>
      </w:r>
      <w:r w:rsidRPr="00AE47C6">
        <w:rPr>
          <w:rFonts w:ascii="Times New Roman" w:eastAsia="SimSun" w:hAnsi="Times New Roman"/>
          <w:b/>
          <w:sz w:val="24"/>
          <w:szCs w:val="20"/>
        </w:rPr>
        <w:t>BRV</w:t>
      </w:r>
      <w:r w:rsidRPr="00AE47C6">
        <w:rPr>
          <w:rFonts w:ascii="Times New Roman" w:eastAsia="SimSun" w:hAnsi="Times New Roman"/>
          <w:sz w:val="24"/>
          <w:szCs w:val="20"/>
        </w:rPr>
        <w:t xml:space="preserve"> (над 2 г.).</w:t>
      </w:r>
    </w:p>
    <w:p w14:paraId="720E49F8" w14:textId="77777777" w:rsidR="00BE0B19" w:rsidRPr="00AE47C6" w:rsidRDefault="00BE0B19" w:rsidP="00BE0B19">
      <w:pPr>
        <w:pBdr>
          <w:bottom w:val="single" w:sz="12" w:space="1" w:color="auto"/>
        </w:pBdr>
        <w:tabs>
          <w:tab w:val="center" w:pos="4153"/>
          <w:tab w:val="right" w:pos="8306"/>
        </w:tabs>
        <w:overflowPunct w:val="0"/>
        <w:autoSpaceDE w:val="0"/>
        <w:autoSpaceDN w:val="0"/>
        <w:adjustRightInd w:val="0"/>
        <w:spacing w:after="0" w:line="360" w:lineRule="auto"/>
        <w:ind w:left="360"/>
        <w:jc w:val="both"/>
        <w:textAlignment w:val="baseline"/>
        <w:rPr>
          <w:rFonts w:ascii="Times New Roman" w:eastAsia="SimSun" w:hAnsi="Times New Roman"/>
          <w:b/>
          <w:bCs/>
          <w:sz w:val="24"/>
          <w:szCs w:val="20"/>
        </w:rPr>
      </w:pPr>
      <w:r w:rsidRPr="00AE47C6">
        <w:rPr>
          <w:rFonts w:ascii="Times New Roman" w:eastAsia="SimSun" w:hAnsi="Times New Roman"/>
          <w:b/>
          <w:bCs/>
          <w:sz w:val="24"/>
          <w:szCs w:val="20"/>
        </w:rPr>
        <w:t xml:space="preserve">- Класически </w:t>
      </w:r>
      <w:r w:rsidRPr="00AE47C6">
        <w:rPr>
          <w:rFonts w:ascii="Times New Roman" w:eastAsia="SimSun" w:hAnsi="Times New Roman"/>
          <w:b/>
          <w:sz w:val="24"/>
          <w:szCs w:val="20"/>
        </w:rPr>
        <w:t>АГЛ</w:t>
      </w:r>
      <w:r w:rsidRPr="00AE47C6">
        <w:rPr>
          <w:rFonts w:ascii="Times New Roman" w:eastAsia="SimSun" w:hAnsi="Times New Roman"/>
          <w:b/>
          <w:bCs/>
          <w:sz w:val="24"/>
          <w:szCs w:val="20"/>
        </w:rPr>
        <w:t xml:space="preserve">: CBZ - </w:t>
      </w:r>
      <w:r w:rsidRPr="00AE47C6">
        <w:rPr>
          <w:rFonts w:ascii="Times New Roman" w:eastAsia="SimSun" w:hAnsi="Times New Roman"/>
          <w:sz w:val="24"/>
          <w:szCs w:val="20"/>
        </w:rPr>
        <w:t>carbamazepine</w:t>
      </w:r>
      <w:r w:rsidRPr="00AE47C6">
        <w:rPr>
          <w:rFonts w:ascii="Times New Roman" w:eastAsia="SimSun" w:hAnsi="Times New Roman"/>
          <w:b/>
          <w:bCs/>
          <w:sz w:val="24"/>
          <w:szCs w:val="20"/>
        </w:rPr>
        <w:t>; CZP-</w:t>
      </w:r>
      <w:r w:rsidRPr="00AE47C6">
        <w:rPr>
          <w:rFonts w:ascii="Times New Roman" w:eastAsia="SimSun" w:hAnsi="Times New Roman"/>
          <w:sz w:val="24"/>
          <w:szCs w:val="20"/>
        </w:rPr>
        <w:t>clonazepam</w:t>
      </w:r>
      <w:r w:rsidRPr="00AE47C6">
        <w:rPr>
          <w:rFonts w:ascii="Times New Roman" w:eastAsia="SimSun" w:hAnsi="Times New Roman"/>
          <w:b/>
          <w:bCs/>
          <w:sz w:val="24"/>
          <w:szCs w:val="20"/>
        </w:rPr>
        <w:t xml:space="preserve">; ESM– </w:t>
      </w:r>
      <w:r w:rsidRPr="00AE47C6">
        <w:rPr>
          <w:rFonts w:ascii="Times New Roman" w:eastAsia="SimSun" w:hAnsi="Times New Roman"/>
          <w:sz w:val="24"/>
          <w:szCs w:val="20"/>
        </w:rPr>
        <w:t>ethosuximide</w:t>
      </w:r>
      <w:r w:rsidRPr="00AE47C6">
        <w:rPr>
          <w:rFonts w:ascii="Times New Roman" w:eastAsia="SimSun" w:hAnsi="Times New Roman"/>
          <w:b/>
          <w:bCs/>
          <w:sz w:val="24"/>
          <w:szCs w:val="20"/>
        </w:rPr>
        <w:t xml:space="preserve">, PHT- </w:t>
      </w:r>
      <w:r w:rsidRPr="00AE47C6">
        <w:rPr>
          <w:rFonts w:ascii="Times New Roman" w:eastAsia="SimSun" w:hAnsi="Times New Roman"/>
          <w:sz w:val="24"/>
          <w:szCs w:val="20"/>
        </w:rPr>
        <w:t>phenytoin</w:t>
      </w:r>
      <w:r w:rsidRPr="00AE47C6">
        <w:rPr>
          <w:rFonts w:ascii="Times New Roman" w:eastAsia="SimSun" w:hAnsi="Times New Roman"/>
          <w:b/>
          <w:bCs/>
          <w:sz w:val="24"/>
          <w:szCs w:val="20"/>
        </w:rPr>
        <w:t>; PB-</w:t>
      </w:r>
      <w:r w:rsidRPr="00AE47C6">
        <w:rPr>
          <w:rFonts w:ascii="Times New Roman" w:eastAsia="SimSun" w:hAnsi="Times New Roman"/>
          <w:sz w:val="24"/>
          <w:szCs w:val="20"/>
        </w:rPr>
        <w:t>phenobarbital</w:t>
      </w:r>
      <w:r w:rsidRPr="00AE47C6">
        <w:rPr>
          <w:rFonts w:ascii="Times New Roman" w:eastAsia="SimSun" w:hAnsi="Times New Roman"/>
          <w:b/>
          <w:bCs/>
          <w:sz w:val="24"/>
          <w:szCs w:val="20"/>
        </w:rPr>
        <w:t>; VPA-</w:t>
      </w:r>
      <w:r w:rsidRPr="00AE47C6">
        <w:rPr>
          <w:rFonts w:ascii="Times New Roman" w:eastAsia="SimSun" w:hAnsi="Times New Roman"/>
          <w:sz w:val="24"/>
          <w:szCs w:val="20"/>
        </w:rPr>
        <w:t>valproate</w:t>
      </w:r>
    </w:p>
    <w:p w14:paraId="2938A4F5" w14:textId="77777777" w:rsidR="00BE0B19" w:rsidRPr="00AE47C6" w:rsidRDefault="00BE0B19" w:rsidP="00BE0B19">
      <w:pPr>
        <w:pBdr>
          <w:bottom w:val="single" w:sz="12" w:space="1" w:color="auto"/>
        </w:pBdr>
        <w:tabs>
          <w:tab w:val="center" w:pos="4153"/>
          <w:tab w:val="right" w:pos="8306"/>
        </w:tabs>
        <w:overflowPunct w:val="0"/>
        <w:autoSpaceDE w:val="0"/>
        <w:autoSpaceDN w:val="0"/>
        <w:adjustRightInd w:val="0"/>
        <w:spacing w:after="0" w:line="360" w:lineRule="auto"/>
        <w:ind w:left="360"/>
        <w:jc w:val="both"/>
        <w:textAlignment w:val="baseline"/>
        <w:rPr>
          <w:rFonts w:ascii="Times New Roman" w:eastAsia="SimSun" w:hAnsi="Times New Roman"/>
          <w:sz w:val="24"/>
          <w:szCs w:val="20"/>
        </w:rPr>
      </w:pPr>
      <w:r w:rsidRPr="00AE47C6">
        <w:rPr>
          <w:rFonts w:ascii="Times New Roman" w:eastAsia="SimSun" w:hAnsi="Times New Roman"/>
          <w:b/>
          <w:bCs/>
          <w:sz w:val="24"/>
          <w:szCs w:val="20"/>
        </w:rPr>
        <w:t>- Нови АГЛ: GBP-</w:t>
      </w:r>
      <w:r w:rsidRPr="00AE47C6">
        <w:rPr>
          <w:rFonts w:ascii="Times New Roman" w:eastAsia="SimSun" w:hAnsi="Times New Roman"/>
          <w:sz w:val="24"/>
          <w:szCs w:val="20"/>
        </w:rPr>
        <w:t>gabapentin</w:t>
      </w:r>
      <w:r w:rsidRPr="00AE47C6">
        <w:rPr>
          <w:rFonts w:ascii="Times New Roman" w:eastAsia="SimSun" w:hAnsi="Times New Roman"/>
          <w:b/>
          <w:bCs/>
          <w:sz w:val="24"/>
          <w:szCs w:val="20"/>
        </w:rPr>
        <w:t xml:space="preserve">; </w:t>
      </w:r>
      <w:r w:rsidRPr="00AE47C6">
        <w:rPr>
          <w:rFonts w:ascii="Times New Roman" w:eastAsia="SimSun" w:hAnsi="Times New Roman"/>
          <w:sz w:val="24"/>
          <w:szCs w:val="20"/>
        </w:rPr>
        <w:t>ESL- eslicarbazepine;</w:t>
      </w:r>
      <w:r w:rsidRPr="00AE47C6">
        <w:rPr>
          <w:rFonts w:ascii="Times New Roman" w:eastAsia="SimSun" w:hAnsi="Times New Roman"/>
          <w:b/>
          <w:bCs/>
          <w:sz w:val="24"/>
          <w:szCs w:val="20"/>
        </w:rPr>
        <w:t xml:space="preserve"> LTG </w:t>
      </w:r>
      <w:r w:rsidRPr="00AE47C6">
        <w:rPr>
          <w:rFonts w:ascii="Times New Roman" w:eastAsia="SimSun" w:hAnsi="Times New Roman"/>
          <w:sz w:val="24"/>
          <w:szCs w:val="20"/>
        </w:rPr>
        <w:t>- lamotrigine</w:t>
      </w:r>
      <w:r w:rsidRPr="00AE47C6">
        <w:rPr>
          <w:rFonts w:ascii="Times New Roman" w:eastAsia="SimSun" w:hAnsi="Times New Roman"/>
          <w:b/>
          <w:bCs/>
          <w:sz w:val="24"/>
          <w:szCs w:val="20"/>
        </w:rPr>
        <w:t xml:space="preserve">; LCM – </w:t>
      </w:r>
      <w:r w:rsidRPr="00AE47C6">
        <w:rPr>
          <w:rFonts w:ascii="Times New Roman" w:eastAsia="SimSun" w:hAnsi="Times New Roman"/>
          <w:sz w:val="24"/>
          <w:szCs w:val="20"/>
        </w:rPr>
        <w:t xml:space="preserve">lacosamide; </w:t>
      </w:r>
      <w:r w:rsidRPr="00AE47C6">
        <w:rPr>
          <w:rFonts w:ascii="Times New Roman" w:eastAsia="SimSun" w:hAnsi="Times New Roman"/>
          <w:b/>
          <w:bCs/>
          <w:sz w:val="24"/>
          <w:szCs w:val="20"/>
        </w:rPr>
        <w:t>LEV-</w:t>
      </w:r>
      <w:r w:rsidRPr="00AE47C6">
        <w:rPr>
          <w:rFonts w:ascii="Times New Roman" w:eastAsia="SimSun" w:hAnsi="Times New Roman"/>
          <w:sz w:val="24"/>
          <w:szCs w:val="20"/>
        </w:rPr>
        <w:t xml:space="preserve">levetiracetam; </w:t>
      </w:r>
      <w:r w:rsidRPr="00AE47C6">
        <w:rPr>
          <w:rFonts w:ascii="Times New Roman" w:eastAsia="SimSun" w:hAnsi="Times New Roman"/>
          <w:b/>
          <w:bCs/>
          <w:sz w:val="24"/>
          <w:szCs w:val="20"/>
        </w:rPr>
        <w:t xml:space="preserve">ОxCBZ - </w:t>
      </w:r>
      <w:r w:rsidRPr="00AE47C6">
        <w:rPr>
          <w:rFonts w:ascii="Times New Roman" w:eastAsia="SimSun" w:hAnsi="Times New Roman"/>
          <w:sz w:val="24"/>
          <w:szCs w:val="20"/>
        </w:rPr>
        <w:t>oxcarbazepine;</w:t>
      </w:r>
      <w:r w:rsidRPr="00AE47C6">
        <w:rPr>
          <w:rFonts w:ascii="Times New Roman" w:eastAsia="SimSun" w:hAnsi="Times New Roman"/>
          <w:b/>
          <w:bCs/>
          <w:sz w:val="24"/>
          <w:szCs w:val="20"/>
        </w:rPr>
        <w:t xml:space="preserve"> PGB </w:t>
      </w:r>
      <w:r w:rsidRPr="00AE47C6">
        <w:rPr>
          <w:rFonts w:ascii="Times New Roman" w:eastAsia="SimSun" w:hAnsi="Times New Roman"/>
          <w:sz w:val="24"/>
          <w:szCs w:val="20"/>
        </w:rPr>
        <w:t>– pregabalin</w:t>
      </w:r>
      <w:r w:rsidRPr="00AE47C6">
        <w:rPr>
          <w:rFonts w:ascii="Times New Roman" w:eastAsia="SimSun" w:hAnsi="Times New Roman"/>
          <w:b/>
          <w:bCs/>
          <w:sz w:val="24"/>
          <w:szCs w:val="20"/>
        </w:rPr>
        <w:t>; TGB-</w:t>
      </w:r>
      <w:r w:rsidRPr="00AE47C6">
        <w:rPr>
          <w:rFonts w:ascii="Times New Roman" w:eastAsia="SimSun" w:hAnsi="Times New Roman"/>
          <w:sz w:val="24"/>
          <w:szCs w:val="20"/>
        </w:rPr>
        <w:t>tiagabine</w:t>
      </w:r>
      <w:r w:rsidRPr="00AE47C6">
        <w:rPr>
          <w:rFonts w:ascii="Times New Roman" w:eastAsia="SimSun" w:hAnsi="Times New Roman"/>
          <w:b/>
          <w:bCs/>
          <w:sz w:val="24"/>
          <w:szCs w:val="20"/>
        </w:rPr>
        <w:t xml:space="preserve">; TPM – </w:t>
      </w:r>
      <w:r w:rsidRPr="00AE47C6">
        <w:rPr>
          <w:rFonts w:ascii="Times New Roman" w:eastAsia="SimSun" w:hAnsi="Times New Roman"/>
          <w:sz w:val="24"/>
          <w:szCs w:val="20"/>
        </w:rPr>
        <w:t xml:space="preserve">topiramate; </w:t>
      </w:r>
      <w:r w:rsidRPr="00AE47C6">
        <w:rPr>
          <w:rFonts w:ascii="Times New Roman" w:eastAsia="SimSun" w:hAnsi="Times New Roman"/>
          <w:b/>
          <w:sz w:val="24"/>
          <w:szCs w:val="20"/>
        </w:rPr>
        <w:t>Rufinamide</w:t>
      </w:r>
      <w:r w:rsidRPr="00AE47C6">
        <w:rPr>
          <w:rFonts w:ascii="Times New Roman" w:eastAsia="SimSun" w:hAnsi="Times New Roman"/>
          <w:sz w:val="24"/>
          <w:szCs w:val="20"/>
        </w:rPr>
        <w:t xml:space="preserve">*- за синдром на Lennox-Gastaut; </w:t>
      </w:r>
      <w:r w:rsidRPr="00AE47C6">
        <w:rPr>
          <w:rFonts w:ascii="Times New Roman" w:eastAsia="SimSun" w:hAnsi="Times New Roman"/>
          <w:b/>
          <w:bCs/>
          <w:sz w:val="24"/>
          <w:szCs w:val="20"/>
        </w:rPr>
        <w:t>Stiripentol*-</w:t>
      </w:r>
      <w:r w:rsidRPr="00AE47C6">
        <w:rPr>
          <w:rFonts w:ascii="Times New Roman" w:eastAsia="SimSun" w:hAnsi="Times New Roman"/>
          <w:sz w:val="24"/>
          <w:szCs w:val="20"/>
        </w:rPr>
        <w:t xml:space="preserve"> за синдром на Dravet; </w:t>
      </w:r>
      <w:r w:rsidRPr="00AE47C6">
        <w:rPr>
          <w:rFonts w:ascii="Times New Roman" w:eastAsia="SimSun" w:hAnsi="Times New Roman"/>
          <w:b/>
          <w:sz w:val="24"/>
          <w:szCs w:val="20"/>
        </w:rPr>
        <w:t>BRV – Brivaracetam</w:t>
      </w:r>
      <w:r w:rsidRPr="00AE47C6">
        <w:rPr>
          <w:rFonts w:ascii="Times New Roman" w:eastAsia="SimSun" w:hAnsi="Times New Roman"/>
          <w:sz w:val="24"/>
          <w:szCs w:val="20"/>
        </w:rPr>
        <w:t xml:space="preserve"> над 2 г.; </w:t>
      </w:r>
      <w:r w:rsidRPr="00AE47C6">
        <w:rPr>
          <w:rFonts w:ascii="Times New Roman" w:eastAsia="SimSun" w:hAnsi="Times New Roman"/>
          <w:b/>
          <w:sz w:val="24"/>
          <w:szCs w:val="20"/>
        </w:rPr>
        <w:t>CBD- Cannabidiol*</w:t>
      </w:r>
      <w:r w:rsidRPr="00AE47C6">
        <w:rPr>
          <w:rFonts w:ascii="Times New Roman" w:eastAsia="SimSun" w:hAnsi="Times New Roman"/>
          <w:sz w:val="24"/>
          <w:szCs w:val="20"/>
        </w:rPr>
        <w:t xml:space="preserve"> при епилептични пристъпи, свързани с туберозна склероза комплекс (TSC) при пациенти </w:t>
      </w:r>
      <w:r w:rsidRPr="00AE47C6">
        <w:rPr>
          <w:rFonts w:ascii="Times New Roman" w:eastAsia="SimSun" w:hAnsi="Times New Roman"/>
          <w:bCs/>
          <w:sz w:val="24"/>
          <w:szCs w:val="20"/>
        </w:rPr>
        <w:t>≥ 2 години;</w:t>
      </w:r>
      <w:r w:rsidRPr="00AE47C6">
        <w:rPr>
          <w:rFonts w:ascii="Times New Roman" w:eastAsia="SimSun" w:hAnsi="Times New Roman"/>
          <w:sz w:val="24"/>
          <w:szCs w:val="20"/>
        </w:rPr>
        <w:t xml:space="preserve"> </w:t>
      </w:r>
      <w:r w:rsidRPr="00AE47C6">
        <w:rPr>
          <w:rFonts w:ascii="Times New Roman" w:eastAsia="SimSun" w:hAnsi="Times New Roman"/>
          <w:b/>
          <w:sz w:val="24"/>
          <w:szCs w:val="20"/>
        </w:rPr>
        <w:t>CBD- Cannabidiol*</w:t>
      </w:r>
      <w:r w:rsidRPr="00AE47C6">
        <w:rPr>
          <w:rFonts w:ascii="Times New Roman" w:eastAsia="SimSun" w:hAnsi="Times New Roman"/>
          <w:sz w:val="24"/>
          <w:szCs w:val="20"/>
        </w:rPr>
        <w:t xml:space="preserve"> в комбинация с Clobazam** при синдром на Dravet и синдром на Lennox-Gastaut при пациенти </w:t>
      </w:r>
      <w:r w:rsidRPr="00AE47C6">
        <w:rPr>
          <w:rFonts w:ascii="Times New Roman" w:eastAsia="SimSun" w:hAnsi="Times New Roman"/>
          <w:bCs/>
          <w:sz w:val="24"/>
          <w:szCs w:val="20"/>
        </w:rPr>
        <w:t>≥ 2 години</w:t>
      </w:r>
      <w:r w:rsidRPr="00AE47C6">
        <w:rPr>
          <w:rFonts w:ascii="Times New Roman" w:eastAsia="SimSun" w:hAnsi="Times New Roman"/>
          <w:sz w:val="24"/>
          <w:szCs w:val="20"/>
        </w:rPr>
        <w:t>;</w:t>
      </w:r>
      <w:r w:rsidRPr="00AE47C6">
        <w:rPr>
          <w:rFonts w:ascii="Times New Roman" w:eastAsia="SimSun" w:hAnsi="Times New Roman"/>
          <w:bCs/>
          <w:sz w:val="24"/>
          <w:szCs w:val="20"/>
        </w:rPr>
        <w:t xml:space="preserve"> </w:t>
      </w:r>
      <w:r w:rsidRPr="00AE47C6">
        <w:rPr>
          <w:rFonts w:ascii="Times New Roman" w:eastAsia="SimSun" w:hAnsi="Times New Roman"/>
          <w:b/>
          <w:bCs/>
          <w:sz w:val="24"/>
          <w:szCs w:val="20"/>
        </w:rPr>
        <w:t>FFL - Fenfluramine*</w:t>
      </w:r>
      <w:r w:rsidRPr="00AE47C6">
        <w:rPr>
          <w:rFonts w:ascii="Times New Roman" w:eastAsia="SimSun" w:hAnsi="Times New Roman"/>
          <w:bCs/>
          <w:sz w:val="24"/>
          <w:szCs w:val="20"/>
        </w:rPr>
        <w:t xml:space="preserve">- </w:t>
      </w:r>
      <w:r w:rsidRPr="00AE47C6">
        <w:rPr>
          <w:rFonts w:ascii="Times New Roman" w:eastAsia="SimSun" w:hAnsi="Times New Roman"/>
          <w:sz w:val="24"/>
          <w:szCs w:val="20"/>
        </w:rPr>
        <w:t>при синдром на Dravet</w:t>
      </w:r>
      <w:r w:rsidRPr="00AE47C6">
        <w:rPr>
          <w:rFonts w:ascii="Times New Roman" w:eastAsia="SimSun" w:hAnsi="Times New Roman"/>
          <w:bCs/>
          <w:sz w:val="24"/>
          <w:szCs w:val="20"/>
        </w:rPr>
        <w:t xml:space="preserve"> и синдром на Lennox-Gastaut</w:t>
      </w:r>
      <w:r w:rsidRPr="00AE47C6">
        <w:rPr>
          <w:rFonts w:ascii="Times New Roman" w:eastAsia="SimSun" w:hAnsi="Times New Roman"/>
          <w:sz w:val="24"/>
          <w:szCs w:val="20"/>
        </w:rPr>
        <w:t xml:space="preserve"> при пациенти </w:t>
      </w:r>
      <w:r w:rsidRPr="00AE47C6">
        <w:rPr>
          <w:rFonts w:ascii="Times New Roman" w:eastAsia="SimSun" w:hAnsi="Times New Roman"/>
          <w:bCs/>
          <w:sz w:val="24"/>
          <w:szCs w:val="20"/>
        </w:rPr>
        <w:t>≥ 2 години,</w:t>
      </w:r>
      <w:r w:rsidRPr="00AE47C6">
        <w:rPr>
          <w:rFonts w:ascii="Times New Roman" w:eastAsia="SimSun" w:hAnsi="Times New Roman"/>
          <w:b/>
          <w:bCs/>
          <w:sz w:val="24"/>
          <w:szCs w:val="20"/>
        </w:rPr>
        <w:t xml:space="preserve"> Сenobamate**-</w:t>
      </w:r>
      <w:r w:rsidRPr="00AE47C6">
        <w:rPr>
          <w:rFonts w:ascii="Times New Roman" w:eastAsia="SimSun" w:hAnsi="Times New Roman"/>
          <w:bCs/>
          <w:sz w:val="24"/>
          <w:szCs w:val="20"/>
        </w:rPr>
        <w:t xml:space="preserve"> при фокални и ВГТКП (ФДТКП) над 18 г.;</w:t>
      </w:r>
      <w:r w:rsidRPr="00AE47C6">
        <w:rPr>
          <w:rFonts w:ascii="Times New Roman" w:eastAsia="SimSun" w:hAnsi="Times New Roman"/>
          <w:b/>
          <w:bCs/>
          <w:sz w:val="24"/>
          <w:szCs w:val="20"/>
        </w:rPr>
        <w:t xml:space="preserve"> Zonisamide**</w:t>
      </w:r>
      <w:r w:rsidRPr="00AE47C6">
        <w:rPr>
          <w:rFonts w:ascii="Times New Roman" w:eastAsia="SimSun" w:hAnsi="Times New Roman"/>
          <w:sz w:val="24"/>
          <w:szCs w:val="20"/>
        </w:rPr>
        <w:t xml:space="preserve"> за лечение на </w:t>
      </w:r>
      <w:r w:rsidRPr="00AE47C6">
        <w:rPr>
          <w:rFonts w:ascii="Times New Roman" w:eastAsia="SimSun" w:hAnsi="Times New Roman"/>
          <w:bCs/>
          <w:sz w:val="24"/>
          <w:szCs w:val="20"/>
        </w:rPr>
        <w:t>ВГТКП (ФДТКП)</w:t>
      </w:r>
      <w:r w:rsidRPr="00AE47C6">
        <w:rPr>
          <w:rFonts w:ascii="Times New Roman" w:eastAsia="SimSun" w:hAnsi="Times New Roman"/>
          <w:sz w:val="24"/>
          <w:szCs w:val="20"/>
        </w:rPr>
        <w:t xml:space="preserve"> при възрастни и деца над 6 г., за миоклонични пристъпи, за синдром на Lennox-Gastaut;</w:t>
      </w:r>
    </w:p>
    <w:p w14:paraId="7D1D1A33"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lang w:eastAsia="bg-BG"/>
        </w:rPr>
      </w:pPr>
      <w:r w:rsidRPr="00AE47C6">
        <w:rPr>
          <w:rFonts w:ascii="Times New Roman" w:eastAsia="SimSun" w:hAnsi="Times New Roman"/>
          <w:b/>
          <w:sz w:val="24"/>
          <w:szCs w:val="24"/>
          <w:u w:val="single"/>
          <w:lang w:eastAsia="bg-BG"/>
        </w:rPr>
        <w:t xml:space="preserve">* По Член 266, ал. 2 от ЗЛПХМ </w:t>
      </w:r>
      <w:r w:rsidRPr="00AE47C6">
        <w:rPr>
          <w:rFonts w:ascii="Times New Roman" w:eastAsia="SimSun" w:hAnsi="Times New Roman"/>
          <w:b/>
          <w:sz w:val="24"/>
          <w:szCs w:val="24"/>
          <w:lang w:eastAsia="bg-BG"/>
        </w:rPr>
        <w:t xml:space="preserve">и чл. 16, ал. 4 от Hapeдбa № l0 от 2011 г. за условията и реда за лечение с Hepaзрешени за употреба в Република България лекарствени продукти:  </w:t>
      </w:r>
    </w:p>
    <w:p w14:paraId="60831681"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lang w:eastAsia="bg-BG"/>
        </w:rPr>
      </w:pPr>
      <w:r w:rsidRPr="00AE47C6">
        <w:rPr>
          <w:rFonts w:ascii="Times New Roman" w:eastAsia="SimSun" w:hAnsi="Times New Roman"/>
          <w:b/>
          <w:bCs/>
          <w:sz w:val="24"/>
          <w:szCs w:val="24"/>
          <w:lang w:eastAsia="bg-BG"/>
        </w:rPr>
        <w:t xml:space="preserve">* </w:t>
      </w:r>
      <w:r w:rsidRPr="00AE47C6">
        <w:rPr>
          <w:rFonts w:ascii="Times New Roman" w:eastAsia="SimSun" w:hAnsi="Times New Roman"/>
          <w:b/>
          <w:bCs/>
          <w:i/>
          <w:sz w:val="24"/>
          <w:szCs w:val="24"/>
          <w:lang w:eastAsia="bg-BG"/>
        </w:rPr>
        <w:t xml:space="preserve">Rufinamide </w:t>
      </w:r>
      <w:r w:rsidRPr="00AE47C6">
        <w:rPr>
          <w:rFonts w:ascii="Times New Roman" w:eastAsia="SimSun" w:hAnsi="Times New Roman"/>
          <w:sz w:val="24"/>
          <w:szCs w:val="24"/>
          <w:lang w:eastAsia="bg-BG"/>
        </w:rPr>
        <w:t>за лечение на синдром на Lennox-Gastaut</w:t>
      </w:r>
      <w:r w:rsidRPr="00AE47C6">
        <w:rPr>
          <w:rFonts w:ascii="Times New Roman" w:eastAsia="SimSun" w:hAnsi="Times New Roman"/>
          <w:b/>
          <w:sz w:val="24"/>
          <w:szCs w:val="24"/>
          <w:lang w:eastAsia="bg-BG"/>
        </w:rPr>
        <w:t xml:space="preserve"> </w:t>
      </w:r>
    </w:p>
    <w:p w14:paraId="200335FF"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lang w:eastAsia="bg-BG"/>
        </w:rPr>
      </w:pPr>
      <w:r w:rsidRPr="00AE47C6">
        <w:rPr>
          <w:rFonts w:ascii="Times New Roman" w:eastAsia="SimSun" w:hAnsi="Times New Roman"/>
          <w:b/>
          <w:sz w:val="24"/>
          <w:szCs w:val="24"/>
          <w:lang w:eastAsia="bg-BG"/>
        </w:rPr>
        <w:t xml:space="preserve">* </w:t>
      </w:r>
      <w:r w:rsidRPr="00AE47C6">
        <w:rPr>
          <w:rFonts w:ascii="Times New Roman" w:eastAsia="SimSun" w:hAnsi="Times New Roman"/>
          <w:b/>
          <w:i/>
          <w:sz w:val="24"/>
          <w:szCs w:val="24"/>
          <w:lang w:eastAsia="bg-BG"/>
        </w:rPr>
        <w:t>Stiripentol</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за лечение на синдром на Dravet</w:t>
      </w:r>
      <w:r w:rsidRPr="00AE47C6">
        <w:rPr>
          <w:rFonts w:ascii="Times New Roman" w:eastAsia="SimSun" w:hAnsi="Times New Roman"/>
          <w:b/>
          <w:sz w:val="24"/>
          <w:szCs w:val="24"/>
          <w:lang w:eastAsia="bg-BG"/>
        </w:rPr>
        <w:t xml:space="preserve"> </w:t>
      </w:r>
    </w:p>
    <w:p w14:paraId="363B3707" w14:textId="77777777" w:rsidR="00BE0B19" w:rsidRPr="00AE47C6" w:rsidRDefault="00BE0B19" w:rsidP="00BE0B19">
      <w:pPr>
        <w:tabs>
          <w:tab w:val="left" w:pos="720"/>
        </w:tabs>
        <w:suppressAutoHyphens/>
        <w:spacing w:after="0"/>
        <w:ind w:left="357" w:firstLine="851"/>
        <w:jc w:val="both"/>
        <w:rPr>
          <w:rFonts w:ascii="Times New Roman" w:eastAsia="SimSun" w:hAnsi="Times New Roman"/>
          <w:b/>
          <w:bCs/>
          <w:sz w:val="24"/>
          <w:szCs w:val="24"/>
          <w:lang w:eastAsia="bg-BG"/>
        </w:rPr>
      </w:pPr>
      <w:r w:rsidRPr="00AE47C6">
        <w:rPr>
          <w:rFonts w:ascii="Times New Roman" w:eastAsia="SimSun" w:hAnsi="Times New Roman"/>
          <w:b/>
          <w:sz w:val="24"/>
          <w:szCs w:val="24"/>
          <w:lang w:eastAsia="bg-BG"/>
        </w:rPr>
        <w:t xml:space="preserve">* </w:t>
      </w:r>
      <w:r w:rsidRPr="00AE47C6">
        <w:rPr>
          <w:rFonts w:ascii="Times New Roman" w:eastAsia="SimSun" w:hAnsi="Times New Roman"/>
          <w:b/>
          <w:i/>
          <w:sz w:val="24"/>
          <w:szCs w:val="24"/>
          <w:lang w:eastAsia="bg-BG"/>
        </w:rPr>
        <w:t>Cannabidiol</w:t>
      </w:r>
      <w:r w:rsidRPr="00AE47C6">
        <w:rPr>
          <w:rFonts w:ascii="Times New Roman" w:eastAsia="SimSun" w:hAnsi="Times New Roman"/>
          <w:b/>
          <w:sz w:val="24"/>
          <w:szCs w:val="24"/>
          <w:lang w:eastAsia="bg-BG"/>
        </w:rPr>
        <w:t xml:space="preserve"> в комбинация с </w:t>
      </w:r>
      <w:r w:rsidRPr="00AE47C6">
        <w:rPr>
          <w:rFonts w:ascii="Times New Roman" w:eastAsia="SimSun" w:hAnsi="Times New Roman"/>
          <w:b/>
          <w:i/>
          <w:sz w:val="24"/>
          <w:szCs w:val="24"/>
          <w:lang w:eastAsia="bg-BG"/>
        </w:rPr>
        <w:t>Clobazam**</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при синдром на Dravet и синдром на Lennox-Gastaut при пациенти </w:t>
      </w:r>
      <w:r w:rsidRPr="00AE47C6">
        <w:rPr>
          <w:rFonts w:ascii="Times New Roman" w:eastAsia="SimSun" w:hAnsi="Times New Roman"/>
          <w:bCs/>
          <w:sz w:val="24"/>
          <w:szCs w:val="24"/>
          <w:lang w:eastAsia="bg-BG"/>
        </w:rPr>
        <w:t>≥ 2 години</w:t>
      </w:r>
      <w:r w:rsidRPr="00AE47C6">
        <w:rPr>
          <w:rFonts w:ascii="Times New Roman" w:eastAsia="SimSun" w:hAnsi="Times New Roman"/>
          <w:sz w:val="24"/>
          <w:szCs w:val="24"/>
          <w:lang w:eastAsia="bg-BG"/>
        </w:rPr>
        <w:t>;</w:t>
      </w:r>
      <w:r w:rsidRPr="00AE47C6">
        <w:rPr>
          <w:rFonts w:ascii="Times New Roman" w:eastAsia="SimSun" w:hAnsi="Times New Roman"/>
          <w:bCs/>
          <w:sz w:val="24"/>
          <w:szCs w:val="24"/>
          <w:lang w:eastAsia="bg-BG"/>
        </w:rPr>
        <w:t xml:space="preserve"> </w:t>
      </w:r>
      <w:r w:rsidRPr="00AE47C6">
        <w:rPr>
          <w:rFonts w:ascii="Times New Roman" w:eastAsia="SimSun" w:hAnsi="Times New Roman"/>
          <w:b/>
          <w:i/>
          <w:sz w:val="24"/>
          <w:szCs w:val="24"/>
          <w:lang w:eastAsia="bg-BG"/>
        </w:rPr>
        <w:t>* Cannabidiol</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при лечение на пристъпи, свързани с туберозна склероза комплекс (TSC) при пациенти </w:t>
      </w:r>
      <w:r w:rsidRPr="00AE47C6">
        <w:rPr>
          <w:rFonts w:ascii="Times New Roman" w:eastAsia="SimSun" w:hAnsi="Times New Roman"/>
          <w:bCs/>
          <w:sz w:val="24"/>
          <w:szCs w:val="24"/>
          <w:lang w:eastAsia="bg-BG"/>
        </w:rPr>
        <w:t>≥ 2 години</w:t>
      </w:r>
      <w:r w:rsidRPr="00AE47C6">
        <w:rPr>
          <w:rFonts w:ascii="Times New Roman" w:eastAsia="SimSun" w:hAnsi="Times New Roman"/>
          <w:b/>
          <w:bCs/>
          <w:sz w:val="24"/>
          <w:szCs w:val="24"/>
          <w:lang w:eastAsia="bg-BG"/>
        </w:rPr>
        <w:t xml:space="preserve"> </w:t>
      </w:r>
    </w:p>
    <w:p w14:paraId="18BAD4A6" w14:textId="77777777" w:rsidR="00BE0B19" w:rsidRPr="00AE47C6" w:rsidRDefault="00BE0B19" w:rsidP="00BE0B19">
      <w:pPr>
        <w:tabs>
          <w:tab w:val="left" w:pos="720"/>
        </w:tabs>
        <w:suppressAutoHyphens/>
        <w:spacing w:after="0"/>
        <w:ind w:left="357" w:firstLine="851"/>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w:t>
      </w:r>
      <w:r w:rsidRPr="00AE47C6">
        <w:rPr>
          <w:rFonts w:ascii="Times New Roman" w:eastAsia="SimSun" w:hAnsi="Times New Roman"/>
          <w:b/>
          <w:bCs/>
          <w:i/>
          <w:sz w:val="24"/>
          <w:szCs w:val="24"/>
          <w:lang w:eastAsia="bg-BG"/>
        </w:rPr>
        <w:t>Fenfluramine</w:t>
      </w:r>
      <w:r w:rsidRPr="00AE47C6">
        <w:rPr>
          <w:rFonts w:ascii="Times New Roman" w:eastAsia="SimSun" w:hAnsi="Times New Roman"/>
          <w:b/>
          <w:bCs/>
          <w:sz w:val="24"/>
          <w:szCs w:val="24"/>
          <w:lang w:eastAsia="bg-BG"/>
        </w:rPr>
        <w:t xml:space="preserve">- </w:t>
      </w:r>
      <w:r w:rsidRPr="00AE47C6">
        <w:rPr>
          <w:rFonts w:ascii="Times New Roman" w:eastAsia="SimSun" w:hAnsi="Times New Roman"/>
          <w:sz w:val="24"/>
          <w:szCs w:val="24"/>
          <w:lang w:eastAsia="bg-BG"/>
        </w:rPr>
        <w:t>при синдром на Dravet</w:t>
      </w:r>
      <w:r w:rsidRPr="00AE47C6">
        <w:rPr>
          <w:rFonts w:ascii="Times New Roman" w:eastAsia="SimSun" w:hAnsi="Times New Roman"/>
          <w:bCs/>
          <w:sz w:val="24"/>
          <w:szCs w:val="24"/>
          <w:lang w:eastAsia="bg-BG"/>
        </w:rPr>
        <w:t xml:space="preserve"> и синдром на Lennox-Gastaut </w:t>
      </w:r>
      <w:r w:rsidRPr="00AE47C6">
        <w:rPr>
          <w:rFonts w:ascii="Times New Roman" w:eastAsia="SimSun" w:hAnsi="Times New Roman"/>
          <w:sz w:val="24"/>
          <w:szCs w:val="24"/>
          <w:lang w:eastAsia="bg-BG"/>
        </w:rPr>
        <w:t xml:space="preserve">при пациенти </w:t>
      </w:r>
      <w:r w:rsidRPr="00AE47C6">
        <w:rPr>
          <w:rFonts w:ascii="Times New Roman" w:eastAsia="SimSun" w:hAnsi="Times New Roman"/>
          <w:bCs/>
          <w:sz w:val="24"/>
          <w:szCs w:val="24"/>
          <w:lang w:eastAsia="bg-BG"/>
        </w:rPr>
        <w:t>≥ 2 години</w:t>
      </w:r>
    </w:p>
    <w:p w14:paraId="527C9442"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u w:val="single"/>
          <w:lang w:eastAsia="bg-BG"/>
        </w:rPr>
      </w:pPr>
      <w:r w:rsidRPr="00AE47C6">
        <w:rPr>
          <w:rFonts w:ascii="Times New Roman" w:eastAsia="SimSun" w:hAnsi="Times New Roman"/>
          <w:b/>
          <w:sz w:val="24"/>
          <w:szCs w:val="24"/>
          <w:u w:val="single"/>
          <w:lang w:eastAsia="bg-BG"/>
        </w:rPr>
        <w:t>**Регистрирани от ЕМА:</w:t>
      </w:r>
    </w:p>
    <w:p w14:paraId="10508B69"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Clobazam**</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за лечение на абсанси, ГТКП, миоклонии, синдром на Dravet и синдром на Lennox- Gastaut; </w:t>
      </w:r>
      <w:r w:rsidRPr="00AE47C6">
        <w:rPr>
          <w:rFonts w:ascii="Times New Roman" w:eastAsia="SimSun" w:hAnsi="Times New Roman"/>
          <w:b/>
          <w:bCs/>
          <w:sz w:val="24"/>
          <w:szCs w:val="24"/>
          <w:lang w:eastAsia="bg-BG"/>
        </w:rPr>
        <w:t>Nitrazepam**</w:t>
      </w:r>
      <w:r w:rsidRPr="00AE47C6">
        <w:rPr>
          <w:rFonts w:ascii="Times New Roman" w:eastAsia="SimSun" w:hAnsi="Times New Roman"/>
          <w:sz w:val="24"/>
          <w:szCs w:val="24"/>
          <w:lang w:eastAsia="bg-BG"/>
        </w:rPr>
        <w:t xml:space="preserve"> за лечение на синдром на West; </w:t>
      </w:r>
      <w:r w:rsidRPr="00AE47C6">
        <w:rPr>
          <w:rFonts w:ascii="Times New Roman" w:eastAsia="SimSun" w:hAnsi="Times New Roman"/>
          <w:b/>
          <w:bCs/>
          <w:sz w:val="24"/>
          <w:szCs w:val="24"/>
          <w:lang w:eastAsia="bg-BG"/>
        </w:rPr>
        <w:t>Sulthiam**</w:t>
      </w:r>
      <w:r w:rsidRPr="00AE47C6">
        <w:rPr>
          <w:rFonts w:ascii="Times New Roman" w:eastAsia="SimSun" w:hAnsi="Times New Roman"/>
          <w:sz w:val="24"/>
          <w:szCs w:val="24"/>
          <w:lang w:eastAsia="bg-BG"/>
        </w:rPr>
        <w:t xml:space="preserve"> за лечение на фокални пристъпи;</w:t>
      </w:r>
      <w:r w:rsidRPr="00AE47C6">
        <w:rPr>
          <w:rFonts w:ascii="Times New Roman" w:eastAsia="SimSun" w:hAnsi="Times New Roman"/>
          <w:b/>
          <w:bCs/>
          <w:sz w:val="24"/>
          <w:szCs w:val="24"/>
          <w:lang w:eastAsia="bg-BG"/>
        </w:rPr>
        <w:t xml:space="preserve"> Vigabatrin** </w:t>
      </w:r>
      <w:r w:rsidRPr="00AE47C6">
        <w:rPr>
          <w:rFonts w:ascii="Times New Roman" w:eastAsia="SimSun" w:hAnsi="Times New Roman"/>
          <w:sz w:val="24"/>
          <w:szCs w:val="24"/>
          <w:lang w:eastAsia="bg-BG"/>
        </w:rPr>
        <w:t xml:space="preserve">за лечение на синдром на West; </w:t>
      </w:r>
      <w:r w:rsidRPr="00AE47C6">
        <w:rPr>
          <w:rFonts w:ascii="Times New Roman" w:eastAsia="SimSun" w:hAnsi="Times New Roman"/>
          <w:b/>
          <w:bCs/>
          <w:sz w:val="24"/>
          <w:szCs w:val="24"/>
          <w:lang w:eastAsia="bg-BG"/>
        </w:rPr>
        <w:t>Zonisamide**</w:t>
      </w:r>
      <w:r w:rsidRPr="00AE47C6">
        <w:rPr>
          <w:rFonts w:ascii="Times New Roman" w:eastAsia="SimSun" w:hAnsi="Times New Roman"/>
          <w:sz w:val="24"/>
          <w:szCs w:val="24"/>
          <w:lang w:eastAsia="bg-BG"/>
        </w:rPr>
        <w:t xml:space="preserve"> за лечение на фокални и вторично генерализирани пристъпи  при възрастни и деца над 6 г., за миоклонични пристъпи, за синдром на Lennox-Gastaut; </w:t>
      </w:r>
      <w:r w:rsidRPr="00AE47C6">
        <w:rPr>
          <w:rFonts w:ascii="Times New Roman" w:eastAsia="SimSun" w:hAnsi="Times New Roman"/>
          <w:b/>
          <w:bCs/>
          <w:sz w:val="24"/>
          <w:szCs w:val="24"/>
          <w:lang w:eastAsia="bg-BG"/>
        </w:rPr>
        <w:t>Сenobamate**-</w:t>
      </w:r>
      <w:r w:rsidRPr="00AE47C6">
        <w:rPr>
          <w:rFonts w:ascii="Times New Roman" w:eastAsia="SimSun" w:hAnsi="Times New Roman"/>
          <w:bCs/>
          <w:sz w:val="24"/>
          <w:szCs w:val="24"/>
          <w:lang w:eastAsia="bg-BG"/>
        </w:rPr>
        <w:t xml:space="preserve"> при фокални и ВГТКП (ФДТКП) над 18 г;</w:t>
      </w:r>
      <w:r w:rsidRPr="00AE47C6">
        <w:rPr>
          <w:rFonts w:ascii="Times New Roman" w:eastAsia="SimSun" w:hAnsi="Times New Roman"/>
          <w:b/>
          <w:bCs/>
          <w:sz w:val="24"/>
          <w:szCs w:val="24"/>
          <w:lang w:eastAsia="bg-BG"/>
        </w:rPr>
        <w:t xml:space="preserve"> ACTH**</w:t>
      </w:r>
      <w:r w:rsidRPr="00AE47C6">
        <w:rPr>
          <w:rFonts w:ascii="Times New Roman" w:eastAsia="SimSun" w:hAnsi="Times New Roman"/>
          <w:sz w:val="24"/>
          <w:szCs w:val="24"/>
          <w:lang w:eastAsia="bg-BG"/>
        </w:rPr>
        <w:t xml:space="preserve"> за лечение на синдром на West. </w:t>
      </w:r>
    </w:p>
    <w:p w14:paraId="7D00F00A" w14:textId="77777777" w:rsidR="00BE0B19" w:rsidRPr="00AE47C6" w:rsidRDefault="00BE0B19" w:rsidP="00BE0B19">
      <w:pPr>
        <w:tabs>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b/>
          <w:bCs/>
          <w:sz w:val="24"/>
          <w:szCs w:val="24"/>
        </w:rPr>
      </w:pPr>
    </w:p>
    <w:p w14:paraId="2805B8FA" w14:textId="77777777" w:rsidR="00BE0B19" w:rsidRPr="00AE47C6" w:rsidRDefault="00BE0B19" w:rsidP="00BE0B19">
      <w:pPr>
        <w:tabs>
          <w:tab w:val="center" w:pos="4153"/>
          <w:tab w:val="right" w:pos="8306"/>
        </w:tabs>
        <w:overflowPunct w:val="0"/>
        <w:autoSpaceDE w:val="0"/>
        <w:autoSpaceDN w:val="0"/>
        <w:adjustRightInd w:val="0"/>
        <w:spacing w:after="0" w:line="360" w:lineRule="auto"/>
        <w:jc w:val="both"/>
        <w:textAlignment w:val="baseline"/>
        <w:rPr>
          <w:rFonts w:ascii="Times New Roman" w:eastAsia="SimSun" w:hAnsi="Times New Roman"/>
          <w:b/>
          <w:bCs/>
          <w:sz w:val="24"/>
          <w:szCs w:val="24"/>
        </w:rPr>
      </w:pPr>
      <w:r w:rsidRPr="00AE47C6">
        <w:rPr>
          <w:rFonts w:ascii="Times New Roman" w:eastAsia="SimSun" w:hAnsi="Times New Roman"/>
          <w:b/>
          <w:bCs/>
          <w:sz w:val="24"/>
          <w:szCs w:val="24"/>
        </w:rPr>
        <w:t>Таблица 14.4.</w:t>
      </w:r>
      <w:r w:rsidRPr="00AE47C6">
        <w:rPr>
          <w:rFonts w:ascii="Times New Roman" w:eastAsia="SimSun" w:hAnsi="Times New Roman"/>
          <w:bCs/>
          <w:sz w:val="24"/>
          <w:szCs w:val="24"/>
        </w:rPr>
        <w:t xml:space="preserve"> </w:t>
      </w:r>
      <w:r w:rsidRPr="00AE47C6">
        <w:rPr>
          <w:rFonts w:ascii="Times New Roman" w:eastAsia="SimSun" w:hAnsi="Times New Roman"/>
          <w:b/>
          <w:bCs/>
          <w:sz w:val="24"/>
          <w:szCs w:val="24"/>
        </w:rPr>
        <w:t>Видове и дозиране на антигърчовите лекарства  (Национален консенсус за лечение на епилепсиите, 2023)</w:t>
      </w:r>
    </w:p>
    <w:tbl>
      <w:tblPr>
        <w:tblpPr w:leftFromText="180" w:rightFromText="180" w:vertAnchor="text" w:tblpX="-106" w:tblpY="1"/>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8"/>
        <w:gridCol w:w="1503"/>
        <w:gridCol w:w="9"/>
        <w:gridCol w:w="1415"/>
        <w:gridCol w:w="1317"/>
        <w:gridCol w:w="1456"/>
        <w:gridCol w:w="1604"/>
      </w:tblGrid>
      <w:tr w:rsidR="00BE0B19" w:rsidRPr="00AE47C6" w14:paraId="386AE9A1" w14:textId="77777777" w:rsidTr="00AD72E5">
        <w:trPr>
          <w:trHeight w:val="424"/>
        </w:trPr>
        <w:tc>
          <w:tcPr>
            <w:tcW w:w="1908" w:type="dxa"/>
            <w:vMerge w:val="restart"/>
            <w:tcBorders>
              <w:bottom w:val="single" w:sz="4" w:space="0" w:color="auto"/>
            </w:tcBorders>
          </w:tcPr>
          <w:p w14:paraId="7E9626B5"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Международно непатентно име (INN)</w:t>
            </w:r>
          </w:p>
        </w:tc>
        <w:tc>
          <w:tcPr>
            <w:tcW w:w="3153" w:type="dxa"/>
            <w:gridSpan w:val="3"/>
            <w:tcBorders>
              <w:bottom w:val="single" w:sz="4" w:space="0" w:color="auto"/>
            </w:tcBorders>
          </w:tcPr>
          <w:p w14:paraId="6157F06D"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ДЕЦА</w:t>
            </w:r>
          </w:p>
        </w:tc>
        <w:tc>
          <w:tcPr>
            <w:tcW w:w="4715" w:type="dxa"/>
            <w:gridSpan w:val="3"/>
            <w:tcBorders>
              <w:bottom w:val="single" w:sz="4" w:space="0" w:color="auto"/>
            </w:tcBorders>
          </w:tcPr>
          <w:p w14:paraId="05AF7D69"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ВЪЗРАСТНИ</w:t>
            </w:r>
          </w:p>
        </w:tc>
      </w:tr>
      <w:tr w:rsidR="00BE0B19" w:rsidRPr="00AE47C6" w14:paraId="23E3D23C" w14:textId="77777777" w:rsidTr="00AD72E5">
        <w:tc>
          <w:tcPr>
            <w:tcW w:w="1908" w:type="dxa"/>
            <w:vMerge/>
            <w:tcBorders>
              <w:right w:val="single" w:sz="4" w:space="0" w:color="auto"/>
            </w:tcBorders>
          </w:tcPr>
          <w:p w14:paraId="7891A013" w14:textId="77777777" w:rsidR="00BE0B19" w:rsidRPr="00AE47C6" w:rsidRDefault="00BE0B19" w:rsidP="00BE0B19">
            <w:pPr>
              <w:spacing w:line="360" w:lineRule="auto"/>
              <w:rPr>
                <w:rFonts w:ascii="Times New Roman" w:eastAsia="SimSun" w:hAnsi="Times New Roman"/>
                <w:b/>
                <w:bCs/>
              </w:rPr>
            </w:pPr>
          </w:p>
        </w:tc>
        <w:tc>
          <w:tcPr>
            <w:tcW w:w="1629" w:type="dxa"/>
            <w:gridSpan w:val="2"/>
            <w:tcBorders>
              <w:top w:val="single" w:sz="4" w:space="0" w:color="auto"/>
              <w:left w:val="single" w:sz="4" w:space="0" w:color="auto"/>
              <w:bottom w:val="single" w:sz="4" w:space="0" w:color="auto"/>
              <w:right w:val="single" w:sz="4" w:space="0" w:color="auto"/>
            </w:tcBorders>
            <w:shd w:val="clear" w:color="auto" w:fill="auto"/>
          </w:tcPr>
          <w:p w14:paraId="05B6E9E6"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Начална дневна доза (mg/kg)</w:t>
            </w:r>
          </w:p>
        </w:tc>
        <w:tc>
          <w:tcPr>
            <w:tcW w:w="1524" w:type="dxa"/>
            <w:tcBorders>
              <w:top w:val="single" w:sz="4" w:space="0" w:color="auto"/>
              <w:left w:val="single" w:sz="4" w:space="0" w:color="auto"/>
              <w:bottom w:val="single" w:sz="4" w:space="0" w:color="auto"/>
              <w:right w:val="single" w:sz="4" w:space="0" w:color="auto"/>
            </w:tcBorders>
            <w:shd w:val="clear" w:color="auto" w:fill="auto"/>
          </w:tcPr>
          <w:p w14:paraId="5537CCBC"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Оптимална дневна доза (mg/kg)</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8B61A44"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 xml:space="preserve">Начална дневна доза </w:t>
            </w:r>
          </w:p>
          <w:p w14:paraId="5D1A97F7"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(mg)</w:t>
            </w:r>
          </w:p>
        </w:tc>
        <w:tc>
          <w:tcPr>
            <w:tcW w:w="1568" w:type="dxa"/>
            <w:tcBorders>
              <w:left w:val="single" w:sz="4" w:space="0" w:color="auto"/>
            </w:tcBorders>
          </w:tcPr>
          <w:p w14:paraId="6044C2D5"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Оптимална дневна доза</w:t>
            </w:r>
          </w:p>
          <w:p w14:paraId="48F358FE"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(mg)</w:t>
            </w:r>
          </w:p>
        </w:tc>
        <w:tc>
          <w:tcPr>
            <w:tcW w:w="1730" w:type="dxa"/>
          </w:tcPr>
          <w:p w14:paraId="3AA9EC87"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Максимална дневна доза (mg)</w:t>
            </w:r>
          </w:p>
        </w:tc>
      </w:tr>
      <w:tr w:rsidR="00BE0B19" w:rsidRPr="00AE47C6" w14:paraId="0D43863B" w14:textId="77777777" w:rsidTr="00AD72E5">
        <w:tc>
          <w:tcPr>
            <w:tcW w:w="1908" w:type="dxa"/>
            <w:tcBorders>
              <w:right w:val="single" w:sz="4" w:space="0" w:color="auto"/>
            </w:tcBorders>
          </w:tcPr>
          <w:p w14:paraId="7604FD71"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Valproic acid</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387BDA5A"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10-20 </w:t>
            </w:r>
          </w:p>
        </w:tc>
        <w:tc>
          <w:tcPr>
            <w:tcW w:w="1533" w:type="dxa"/>
            <w:gridSpan w:val="2"/>
            <w:tcBorders>
              <w:top w:val="single" w:sz="4" w:space="0" w:color="auto"/>
              <w:left w:val="single" w:sz="4" w:space="0" w:color="auto"/>
              <w:bottom w:val="single" w:sz="4" w:space="0" w:color="auto"/>
              <w:right w:val="single" w:sz="4" w:space="0" w:color="auto"/>
            </w:tcBorders>
            <w:shd w:val="clear" w:color="auto" w:fill="auto"/>
          </w:tcPr>
          <w:p w14:paraId="027483BE"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10-50</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AEEC9B8"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500</w:t>
            </w:r>
          </w:p>
        </w:tc>
        <w:tc>
          <w:tcPr>
            <w:tcW w:w="1568" w:type="dxa"/>
            <w:tcBorders>
              <w:left w:val="single" w:sz="4" w:space="0" w:color="auto"/>
            </w:tcBorders>
          </w:tcPr>
          <w:p w14:paraId="45BD6C71"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1000-2000</w:t>
            </w:r>
          </w:p>
        </w:tc>
        <w:tc>
          <w:tcPr>
            <w:tcW w:w="1730" w:type="dxa"/>
          </w:tcPr>
          <w:p w14:paraId="0EF5F84E"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 2100</w:t>
            </w:r>
          </w:p>
        </w:tc>
      </w:tr>
      <w:tr w:rsidR="00BE0B19" w:rsidRPr="00AE47C6" w14:paraId="3D3169C8" w14:textId="77777777" w:rsidTr="00AD72E5">
        <w:tc>
          <w:tcPr>
            <w:tcW w:w="1908" w:type="dxa"/>
          </w:tcPr>
          <w:p w14:paraId="72813A41"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Carbamazepine</w:t>
            </w:r>
          </w:p>
        </w:tc>
        <w:tc>
          <w:tcPr>
            <w:tcW w:w="1620" w:type="dxa"/>
            <w:tcBorders>
              <w:top w:val="single" w:sz="4" w:space="0" w:color="auto"/>
            </w:tcBorders>
            <w:shd w:val="clear" w:color="auto" w:fill="auto"/>
          </w:tcPr>
          <w:p w14:paraId="62A4D1FD"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5 </w:t>
            </w:r>
          </w:p>
        </w:tc>
        <w:tc>
          <w:tcPr>
            <w:tcW w:w="1533" w:type="dxa"/>
            <w:gridSpan w:val="2"/>
            <w:tcBorders>
              <w:top w:val="single" w:sz="4" w:space="0" w:color="auto"/>
            </w:tcBorders>
            <w:shd w:val="clear" w:color="auto" w:fill="auto"/>
          </w:tcPr>
          <w:p w14:paraId="6818B2D8"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10-30</w:t>
            </w:r>
          </w:p>
        </w:tc>
        <w:tc>
          <w:tcPr>
            <w:tcW w:w="1417" w:type="dxa"/>
            <w:tcBorders>
              <w:top w:val="single" w:sz="4" w:space="0" w:color="auto"/>
            </w:tcBorders>
            <w:shd w:val="clear" w:color="auto" w:fill="auto"/>
          </w:tcPr>
          <w:p w14:paraId="169203CE"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200 </w:t>
            </w:r>
          </w:p>
        </w:tc>
        <w:tc>
          <w:tcPr>
            <w:tcW w:w="1568" w:type="dxa"/>
          </w:tcPr>
          <w:p w14:paraId="7AA8A88F"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600-1200</w:t>
            </w:r>
          </w:p>
        </w:tc>
        <w:tc>
          <w:tcPr>
            <w:tcW w:w="1730" w:type="dxa"/>
          </w:tcPr>
          <w:p w14:paraId="33577507"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1600</w:t>
            </w:r>
          </w:p>
        </w:tc>
      </w:tr>
      <w:tr w:rsidR="00BE0B19" w:rsidRPr="00AE47C6" w14:paraId="62DA840F" w14:textId="77777777" w:rsidTr="00AD72E5">
        <w:tc>
          <w:tcPr>
            <w:tcW w:w="1908" w:type="dxa"/>
          </w:tcPr>
          <w:p w14:paraId="2BB3E823"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Oxcarbazepine</w:t>
            </w:r>
          </w:p>
        </w:tc>
        <w:tc>
          <w:tcPr>
            <w:tcW w:w="1620" w:type="dxa"/>
          </w:tcPr>
          <w:p w14:paraId="2FDD4F52"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10 </w:t>
            </w:r>
          </w:p>
        </w:tc>
        <w:tc>
          <w:tcPr>
            <w:tcW w:w="1533" w:type="dxa"/>
            <w:gridSpan w:val="2"/>
          </w:tcPr>
          <w:p w14:paraId="5838D700"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30-40</w:t>
            </w:r>
          </w:p>
        </w:tc>
        <w:tc>
          <w:tcPr>
            <w:tcW w:w="1417" w:type="dxa"/>
          </w:tcPr>
          <w:p w14:paraId="179D0F84"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300-600</w:t>
            </w:r>
          </w:p>
        </w:tc>
        <w:tc>
          <w:tcPr>
            <w:tcW w:w="1568" w:type="dxa"/>
          </w:tcPr>
          <w:p w14:paraId="7F68FFBC"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900-2400</w:t>
            </w:r>
          </w:p>
        </w:tc>
        <w:tc>
          <w:tcPr>
            <w:tcW w:w="1730" w:type="dxa"/>
          </w:tcPr>
          <w:p w14:paraId="7A27C5C1"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2400</w:t>
            </w:r>
          </w:p>
        </w:tc>
      </w:tr>
      <w:tr w:rsidR="00BE0B19" w:rsidRPr="00AE47C6" w14:paraId="62A2DF27" w14:textId="77777777" w:rsidTr="00AD72E5">
        <w:tc>
          <w:tcPr>
            <w:tcW w:w="1908" w:type="dxa"/>
          </w:tcPr>
          <w:p w14:paraId="74091288"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Phenytoin</w:t>
            </w:r>
          </w:p>
        </w:tc>
        <w:tc>
          <w:tcPr>
            <w:tcW w:w="1620" w:type="dxa"/>
          </w:tcPr>
          <w:p w14:paraId="1B18D881"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3-4</w:t>
            </w:r>
          </w:p>
        </w:tc>
        <w:tc>
          <w:tcPr>
            <w:tcW w:w="1533" w:type="dxa"/>
            <w:gridSpan w:val="2"/>
          </w:tcPr>
          <w:p w14:paraId="23369253"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4-8</w:t>
            </w:r>
          </w:p>
        </w:tc>
        <w:tc>
          <w:tcPr>
            <w:tcW w:w="1417" w:type="dxa"/>
          </w:tcPr>
          <w:p w14:paraId="7F983C3C"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100</w:t>
            </w:r>
          </w:p>
        </w:tc>
        <w:tc>
          <w:tcPr>
            <w:tcW w:w="1568" w:type="dxa"/>
          </w:tcPr>
          <w:p w14:paraId="0E4BD1F2"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300-400</w:t>
            </w:r>
          </w:p>
        </w:tc>
        <w:tc>
          <w:tcPr>
            <w:tcW w:w="1730" w:type="dxa"/>
          </w:tcPr>
          <w:p w14:paraId="0DC1E60B"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500</w:t>
            </w:r>
          </w:p>
        </w:tc>
      </w:tr>
      <w:tr w:rsidR="00BE0B19" w:rsidRPr="00AE47C6" w14:paraId="486F8704" w14:textId="77777777" w:rsidTr="00AD72E5">
        <w:tc>
          <w:tcPr>
            <w:tcW w:w="1908" w:type="dxa"/>
          </w:tcPr>
          <w:p w14:paraId="1D57CCFD"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Phenobarbital</w:t>
            </w:r>
          </w:p>
        </w:tc>
        <w:tc>
          <w:tcPr>
            <w:tcW w:w="1620" w:type="dxa"/>
          </w:tcPr>
          <w:p w14:paraId="4C5FB604"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2</w:t>
            </w:r>
          </w:p>
        </w:tc>
        <w:tc>
          <w:tcPr>
            <w:tcW w:w="1533" w:type="dxa"/>
            <w:gridSpan w:val="2"/>
          </w:tcPr>
          <w:p w14:paraId="0ED68276"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2-5</w:t>
            </w:r>
          </w:p>
        </w:tc>
        <w:tc>
          <w:tcPr>
            <w:tcW w:w="1417" w:type="dxa"/>
          </w:tcPr>
          <w:p w14:paraId="56579586"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60</w:t>
            </w:r>
          </w:p>
        </w:tc>
        <w:tc>
          <w:tcPr>
            <w:tcW w:w="1568" w:type="dxa"/>
          </w:tcPr>
          <w:p w14:paraId="79101968"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90-250</w:t>
            </w:r>
          </w:p>
        </w:tc>
        <w:tc>
          <w:tcPr>
            <w:tcW w:w="1730" w:type="dxa"/>
          </w:tcPr>
          <w:p w14:paraId="79ABA1EA"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600</w:t>
            </w:r>
          </w:p>
        </w:tc>
      </w:tr>
      <w:tr w:rsidR="00BE0B19" w:rsidRPr="00AE47C6" w14:paraId="5B6F181C" w14:textId="77777777" w:rsidTr="00AD72E5">
        <w:tc>
          <w:tcPr>
            <w:tcW w:w="1908" w:type="dxa"/>
          </w:tcPr>
          <w:p w14:paraId="799B8BC7"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Clonazepam</w:t>
            </w:r>
          </w:p>
        </w:tc>
        <w:tc>
          <w:tcPr>
            <w:tcW w:w="1620" w:type="dxa"/>
          </w:tcPr>
          <w:p w14:paraId="5F4E3DA3"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0,01</w:t>
            </w:r>
          </w:p>
        </w:tc>
        <w:tc>
          <w:tcPr>
            <w:tcW w:w="1533" w:type="dxa"/>
            <w:gridSpan w:val="2"/>
          </w:tcPr>
          <w:p w14:paraId="579F893B"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 0,01-0,02–0,1-0,2 </w:t>
            </w:r>
          </w:p>
        </w:tc>
        <w:tc>
          <w:tcPr>
            <w:tcW w:w="1417" w:type="dxa"/>
          </w:tcPr>
          <w:p w14:paraId="1E606F4F"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0,5</w:t>
            </w:r>
          </w:p>
        </w:tc>
        <w:tc>
          <w:tcPr>
            <w:tcW w:w="1568" w:type="dxa"/>
          </w:tcPr>
          <w:p w14:paraId="749AD920"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2-6</w:t>
            </w:r>
          </w:p>
        </w:tc>
        <w:tc>
          <w:tcPr>
            <w:tcW w:w="1730" w:type="dxa"/>
          </w:tcPr>
          <w:p w14:paraId="7388A000"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8</w:t>
            </w:r>
          </w:p>
        </w:tc>
      </w:tr>
      <w:tr w:rsidR="00BE0B19" w:rsidRPr="00AE47C6" w14:paraId="0680E624" w14:textId="77777777" w:rsidTr="00AD72E5">
        <w:tc>
          <w:tcPr>
            <w:tcW w:w="1908" w:type="dxa"/>
          </w:tcPr>
          <w:p w14:paraId="4FFCCA9B"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Lamotrigine</w:t>
            </w:r>
          </w:p>
        </w:tc>
        <w:tc>
          <w:tcPr>
            <w:tcW w:w="1620" w:type="dxa"/>
          </w:tcPr>
          <w:p w14:paraId="2FF56D62"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0,6 с ензимни индуктори </w:t>
            </w:r>
          </w:p>
          <w:p w14:paraId="7572109B"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0,15 при VPA </w:t>
            </w:r>
          </w:p>
          <w:p w14:paraId="33F3F981"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0,3 при моно-терапия</w:t>
            </w:r>
          </w:p>
        </w:tc>
        <w:tc>
          <w:tcPr>
            <w:tcW w:w="1533" w:type="dxa"/>
            <w:gridSpan w:val="2"/>
          </w:tcPr>
          <w:p w14:paraId="31B7929F"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5-15 с ензимни индуктори </w:t>
            </w:r>
          </w:p>
          <w:p w14:paraId="6A809F8C"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5 с VPA</w:t>
            </w:r>
          </w:p>
          <w:p w14:paraId="6375AA21"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15 при моно-терапия</w:t>
            </w:r>
          </w:p>
        </w:tc>
        <w:tc>
          <w:tcPr>
            <w:tcW w:w="1417" w:type="dxa"/>
          </w:tcPr>
          <w:p w14:paraId="340C9FE3"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50 с ензимни индуктори </w:t>
            </w:r>
          </w:p>
          <w:p w14:paraId="635E9085"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12,5 с VPA</w:t>
            </w:r>
          </w:p>
          <w:p w14:paraId="3DDB1BFA"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25 при моно-терапия</w:t>
            </w:r>
          </w:p>
        </w:tc>
        <w:tc>
          <w:tcPr>
            <w:tcW w:w="1568" w:type="dxa"/>
          </w:tcPr>
          <w:p w14:paraId="19CD219C"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500-600 при ензимен индуктор</w:t>
            </w:r>
          </w:p>
          <w:p w14:paraId="6D8F24B4"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300-400 при VPA</w:t>
            </w:r>
          </w:p>
          <w:p w14:paraId="277FEEB9"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500 при моно-терапия</w:t>
            </w:r>
          </w:p>
        </w:tc>
        <w:tc>
          <w:tcPr>
            <w:tcW w:w="1730" w:type="dxa"/>
          </w:tcPr>
          <w:p w14:paraId="71F6073F"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700 при моно-терапия</w:t>
            </w:r>
          </w:p>
        </w:tc>
      </w:tr>
      <w:tr w:rsidR="00BE0B19" w:rsidRPr="00AE47C6" w14:paraId="7B54DA68" w14:textId="77777777" w:rsidTr="00AD72E5">
        <w:tc>
          <w:tcPr>
            <w:tcW w:w="1908" w:type="dxa"/>
          </w:tcPr>
          <w:p w14:paraId="1A099613"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Topiramate</w:t>
            </w:r>
          </w:p>
        </w:tc>
        <w:tc>
          <w:tcPr>
            <w:tcW w:w="1620" w:type="dxa"/>
          </w:tcPr>
          <w:p w14:paraId="7CCF03B5"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0,5-1,0 </w:t>
            </w:r>
          </w:p>
        </w:tc>
        <w:tc>
          <w:tcPr>
            <w:tcW w:w="1533" w:type="dxa"/>
            <w:gridSpan w:val="2"/>
          </w:tcPr>
          <w:p w14:paraId="2CCE286C"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5-9 </w:t>
            </w:r>
          </w:p>
        </w:tc>
        <w:tc>
          <w:tcPr>
            <w:tcW w:w="1417" w:type="dxa"/>
          </w:tcPr>
          <w:p w14:paraId="7BF17FD6"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25 </w:t>
            </w:r>
          </w:p>
        </w:tc>
        <w:tc>
          <w:tcPr>
            <w:tcW w:w="1568" w:type="dxa"/>
          </w:tcPr>
          <w:p w14:paraId="7AC23551"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200-400 </w:t>
            </w:r>
          </w:p>
        </w:tc>
        <w:tc>
          <w:tcPr>
            <w:tcW w:w="1730" w:type="dxa"/>
          </w:tcPr>
          <w:p w14:paraId="078458F1"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 500 </w:t>
            </w:r>
          </w:p>
        </w:tc>
      </w:tr>
      <w:tr w:rsidR="00BE0B19" w:rsidRPr="00AE47C6" w14:paraId="3097D2C2" w14:textId="77777777" w:rsidTr="00AD72E5">
        <w:tc>
          <w:tcPr>
            <w:tcW w:w="1908" w:type="dxa"/>
          </w:tcPr>
          <w:p w14:paraId="014BC537"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Levetiracetam</w:t>
            </w:r>
          </w:p>
        </w:tc>
        <w:tc>
          <w:tcPr>
            <w:tcW w:w="1620" w:type="dxa"/>
          </w:tcPr>
          <w:p w14:paraId="52D98527"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10 </w:t>
            </w:r>
          </w:p>
        </w:tc>
        <w:tc>
          <w:tcPr>
            <w:tcW w:w="1533" w:type="dxa"/>
            <w:gridSpan w:val="2"/>
          </w:tcPr>
          <w:p w14:paraId="7DD60F85"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40 </w:t>
            </w:r>
          </w:p>
        </w:tc>
        <w:tc>
          <w:tcPr>
            <w:tcW w:w="1417" w:type="dxa"/>
          </w:tcPr>
          <w:p w14:paraId="181E4B45"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1000 </w:t>
            </w:r>
          </w:p>
        </w:tc>
        <w:tc>
          <w:tcPr>
            <w:tcW w:w="1568" w:type="dxa"/>
          </w:tcPr>
          <w:p w14:paraId="5D3A438C"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2000-3000 </w:t>
            </w:r>
          </w:p>
        </w:tc>
        <w:tc>
          <w:tcPr>
            <w:tcW w:w="1730" w:type="dxa"/>
          </w:tcPr>
          <w:p w14:paraId="1F3E3584"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3000 </w:t>
            </w:r>
          </w:p>
        </w:tc>
      </w:tr>
      <w:tr w:rsidR="00BE0B19" w:rsidRPr="00AE47C6" w14:paraId="5EC7DF83" w14:textId="77777777" w:rsidTr="00AD72E5">
        <w:tc>
          <w:tcPr>
            <w:tcW w:w="1908" w:type="dxa"/>
          </w:tcPr>
          <w:p w14:paraId="4B7D3318"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Tiagabine</w:t>
            </w:r>
          </w:p>
        </w:tc>
        <w:tc>
          <w:tcPr>
            <w:tcW w:w="1620" w:type="dxa"/>
          </w:tcPr>
          <w:p w14:paraId="1D1DF8A9"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0,1 </w:t>
            </w:r>
          </w:p>
        </w:tc>
        <w:tc>
          <w:tcPr>
            <w:tcW w:w="1533" w:type="dxa"/>
            <w:gridSpan w:val="2"/>
          </w:tcPr>
          <w:p w14:paraId="21D9362D"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1 </w:t>
            </w:r>
          </w:p>
        </w:tc>
        <w:tc>
          <w:tcPr>
            <w:tcW w:w="1417" w:type="dxa"/>
          </w:tcPr>
          <w:p w14:paraId="25001A77"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5–10 </w:t>
            </w:r>
          </w:p>
        </w:tc>
        <w:tc>
          <w:tcPr>
            <w:tcW w:w="1568" w:type="dxa"/>
          </w:tcPr>
          <w:p w14:paraId="100410F7"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60 </w:t>
            </w:r>
          </w:p>
        </w:tc>
        <w:tc>
          <w:tcPr>
            <w:tcW w:w="1730" w:type="dxa"/>
          </w:tcPr>
          <w:p w14:paraId="070B7D05"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70 </w:t>
            </w:r>
          </w:p>
        </w:tc>
      </w:tr>
      <w:tr w:rsidR="00BE0B19" w:rsidRPr="00AE47C6" w14:paraId="74E1D14D" w14:textId="77777777" w:rsidTr="00AD72E5">
        <w:tc>
          <w:tcPr>
            <w:tcW w:w="1908" w:type="dxa"/>
          </w:tcPr>
          <w:p w14:paraId="34D6955C"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Gabapentin</w:t>
            </w:r>
          </w:p>
        </w:tc>
        <w:tc>
          <w:tcPr>
            <w:tcW w:w="1620" w:type="dxa"/>
          </w:tcPr>
          <w:p w14:paraId="272CAC10"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Над 6 г.</w:t>
            </w:r>
          </w:p>
          <w:p w14:paraId="77D199C8"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10-15 </w:t>
            </w:r>
          </w:p>
        </w:tc>
        <w:tc>
          <w:tcPr>
            <w:tcW w:w="1533" w:type="dxa"/>
            <w:gridSpan w:val="2"/>
          </w:tcPr>
          <w:p w14:paraId="3F0581CC"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25-35</w:t>
            </w:r>
          </w:p>
        </w:tc>
        <w:tc>
          <w:tcPr>
            <w:tcW w:w="1417" w:type="dxa"/>
          </w:tcPr>
          <w:p w14:paraId="51513790"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300</w:t>
            </w:r>
          </w:p>
        </w:tc>
        <w:tc>
          <w:tcPr>
            <w:tcW w:w="1568" w:type="dxa"/>
          </w:tcPr>
          <w:p w14:paraId="33CD81F4"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1200-1800-3600</w:t>
            </w:r>
          </w:p>
        </w:tc>
        <w:tc>
          <w:tcPr>
            <w:tcW w:w="1730" w:type="dxa"/>
          </w:tcPr>
          <w:p w14:paraId="6DFF4408"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3600 </w:t>
            </w:r>
          </w:p>
        </w:tc>
      </w:tr>
      <w:tr w:rsidR="00BE0B19" w:rsidRPr="00AE47C6" w14:paraId="64CF756B" w14:textId="77777777" w:rsidTr="00AD72E5">
        <w:trPr>
          <w:trHeight w:val="463"/>
        </w:trPr>
        <w:tc>
          <w:tcPr>
            <w:tcW w:w="1908" w:type="dxa"/>
          </w:tcPr>
          <w:p w14:paraId="1627747B"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Pregabalin</w:t>
            </w:r>
          </w:p>
        </w:tc>
        <w:tc>
          <w:tcPr>
            <w:tcW w:w="1620" w:type="dxa"/>
          </w:tcPr>
          <w:p w14:paraId="02AC4FC1"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w:t>
            </w:r>
          </w:p>
        </w:tc>
        <w:tc>
          <w:tcPr>
            <w:tcW w:w="1533" w:type="dxa"/>
            <w:gridSpan w:val="2"/>
          </w:tcPr>
          <w:p w14:paraId="277C5404"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w:t>
            </w:r>
          </w:p>
        </w:tc>
        <w:tc>
          <w:tcPr>
            <w:tcW w:w="1417" w:type="dxa"/>
          </w:tcPr>
          <w:p w14:paraId="67AFDA12"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150</w:t>
            </w:r>
          </w:p>
        </w:tc>
        <w:tc>
          <w:tcPr>
            <w:tcW w:w="1568" w:type="dxa"/>
          </w:tcPr>
          <w:p w14:paraId="604DD35B"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450-600</w:t>
            </w:r>
          </w:p>
        </w:tc>
        <w:tc>
          <w:tcPr>
            <w:tcW w:w="1730" w:type="dxa"/>
          </w:tcPr>
          <w:p w14:paraId="24B23CB3"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600</w:t>
            </w:r>
          </w:p>
        </w:tc>
      </w:tr>
      <w:tr w:rsidR="00BE0B19" w:rsidRPr="00AE47C6" w14:paraId="68FDCD57" w14:textId="77777777" w:rsidTr="00AD72E5">
        <w:tc>
          <w:tcPr>
            <w:tcW w:w="1908" w:type="dxa"/>
          </w:tcPr>
          <w:p w14:paraId="05D87446"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Lacosamide</w:t>
            </w:r>
          </w:p>
        </w:tc>
        <w:tc>
          <w:tcPr>
            <w:tcW w:w="1620" w:type="dxa"/>
          </w:tcPr>
          <w:p w14:paraId="5BF15235"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След 4 г.</w:t>
            </w:r>
          </w:p>
          <w:p w14:paraId="53EB9E9C"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2 mg/kg</w:t>
            </w:r>
          </w:p>
        </w:tc>
        <w:tc>
          <w:tcPr>
            <w:tcW w:w="1533" w:type="dxa"/>
            <w:gridSpan w:val="2"/>
          </w:tcPr>
          <w:p w14:paraId="11309AF8"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200-400 mg/дн.</w:t>
            </w:r>
          </w:p>
        </w:tc>
        <w:tc>
          <w:tcPr>
            <w:tcW w:w="1417" w:type="dxa"/>
          </w:tcPr>
          <w:p w14:paraId="10B5DCD6"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100</w:t>
            </w:r>
          </w:p>
        </w:tc>
        <w:tc>
          <w:tcPr>
            <w:tcW w:w="1568" w:type="dxa"/>
          </w:tcPr>
          <w:p w14:paraId="2BE5AED2"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200-400</w:t>
            </w:r>
          </w:p>
        </w:tc>
        <w:tc>
          <w:tcPr>
            <w:tcW w:w="1730" w:type="dxa"/>
          </w:tcPr>
          <w:p w14:paraId="25708728"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600 mg или 10mg/kg при монотерапия при деца и юноши над 50 kg и 8 mg/kg при деца и юноши под 50 kg; 400 mg при допълваща терапия за деца и юноши над 50 kg и възрастни</w:t>
            </w:r>
          </w:p>
        </w:tc>
      </w:tr>
      <w:tr w:rsidR="00BE0B19" w:rsidRPr="00AE47C6" w14:paraId="090E652E" w14:textId="77777777" w:rsidTr="00AD72E5">
        <w:tc>
          <w:tcPr>
            <w:tcW w:w="1908" w:type="dxa"/>
          </w:tcPr>
          <w:p w14:paraId="6BBB6B34"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 xml:space="preserve">Ethosuximide </w:t>
            </w:r>
          </w:p>
        </w:tc>
        <w:tc>
          <w:tcPr>
            <w:tcW w:w="1620" w:type="dxa"/>
          </w:tcPr>
          <w:p w14:paraId="100C999D"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10 </w:t>
            </w:r>
          </w:p>
        </w:tc>
        <w:tc>
          <w:tcPr>
            <w:tcW w:w="1533" w:type="dxa"/>
            <w:gridSpan w:val="2"/>
          </w:tcPr>
          <w:p w14:paraId="4E6DC8EB"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40 </w:t>
            </w:r>
          </w:p>
        </w:tc>
        <w:tc>
          <w:tcPr>
            <w:tcW w:w="1417" w:type="dxa"/>
          </w:tcPr>
          <w:p w14:paraId="64C1B1A4"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500</w:t>
            </w:r>
          </w:p>
        </w:tc>
        <w:tc>
          <w:tcPr>
            <w:tcW w:w="1568" w:type="dxa"/>
          </w:tcPr>
          <w:p w14:paraId="75C8CB59"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1500</w:t>
            </w:r>
          </w:p>
        </w:tc>
        <w:tc>
          <w:tcPr>
            <w:tcW w:w="1730" w:type="dxa"/>
          </w:tcPr>
          <w:p w14:paraId="332E0F51"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2000</w:t>
            </w:r>
          </w:p>
        </w:tc>
      </w:tr>
      <w:tr w:rsidR="00BE0B19" w:rsidRPr="00AE47C6" w14:paraId="2DB4665E" w14:textId="77777777" w:rsidTr="00AD72E5">
        <w:tc>
          <w:tcPr>
            <w:tcW w:w="1908" w:type="dxa"/>
          </w:tcPr>
          <w:p w14:paraId="084C4585"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Stiripentol*</w:t>
            </w:r>
          </w:p>
        </w:tc>
        <w:tc>
          <w:tcPr>
            <w:tcW w:w="1620" w:type="dxa"/>
          </w:tcPr>
          <w:p w14:paraId="7113AE72"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50 </w:t>
            </w:r>
          </w:p>
        </w:tc>
        <w:tc>
          <w:tcPr>
            <w:tcW w:w="1533" w:type="dxa"/>
            <w:gridSpan w:val="2"/>
          </w:tcPr>
          <w:p w14:paraId="1B182EEC"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до 100 </w:t>
            </w:r>
          </w:p>
        </w:tc>
        <w:tc>
          <w:tcPr>
            <w:tcW w:w="1417" w:type="dxa"/>
          </w:tcPr>
          <w:p w14:paraId="09CCCF9B"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50 </w:t>
            </w:r>
          </w:p>
        </w:tc>
        <w:tc>
          <w:tcPr>
            <w:tcW w:w="1568" w:type="dxa"/>
          </w:tcPr>
          <w:p w14:paraId="114525CF"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до 100 </w:t>
            </w:r>
          </w:p>
        </w:tc>
        <w:tc>
          <w:tcPr>
            <w:tcW w:w="1730" w:type="dxa"/>
          </w:tcPr>
          <w:p w14:paraId="24C82807"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4000</w:t>
            </w:r>
          </w:p>
        </w:tc>
      </w:tr>
      <w:tr w:rsidR="00BE0B19" w:rsidRPr="00AE47C6" w14:paraId="5884C148" w14:textId="77777777" w:rsidTr="00AD72E5">
        <w:tc>
          <w:tcPr>
            <w:tcW w:w="1908" w:type="dxa"/>
          </w:tcPr>
          <w:p w14:paraId="7CC7E51C"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Rufinamide*</w:t>
            </w:r>
          </w:p>
        </w:tc>
        <w:tc>
          <w:tcPr>
            <w:tcW w:w="1620" w:type="dxa"/>
          </w:tcPr>
          <w:p w14:paraId="1BAD4F85"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Над 4 г.- 10</w:t>
            </w:r>
            <w:r w:rsidRPr="00AE47C6">
              <w:rPr>
                <w:rFonts w:ascii="Times New Roman" w:eastAsia="Arial Unicode MS" w:hAnsi="Times New Roman"/>
              </w:rPr>
              <w:t> </w:t>
            </w:r>
          </w:p>
        </w:tc>
        <w:tc>
          <w:tcPr>
            <w:tcW w:w="1533" w:type="dxa"/>
            <w:gridSpan w:val="2"/>
          </w:tcPr>
          <w:p w14:paraId="62D06DF7"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45 </w:t>
            </w:r>
          </w:p>
        </w:tc>
        <w:tc>
          <w:tcPr>
            <w:tcW w:w="1417" w:type="dxa"/>
          </w:tcPr>
          <w:p w14:paraId="711795F6"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400 </w:t>
            </w:r>
          </w:p>
        </w:tc>
        <w:tc>
          <w:tcPr>
            <w:tcW w:w="1568" w:type="dxa"/>
          </w:tcPr>
          <w:p w14:paraId="30E0FA86"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2400</w:t>
            </w:r>
          </w:p>
        </w:tc>
        <w:tc>
          <w:tcPr>
            <w:tcW w:w="1730" w:type="dxa"/>
          </w:tcPr>
          <w:p w14:paraId="41F7BFC5"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3200</w:t>
            </w:r>
          </w:p>
        </w:tc>
      </w:tr>
      <w:tr w:rsidR="00BE0B19" w:rsidRPr="00AE47C6" w14:paraId="3B4E0AE8" w14:textId="77777777" w:rsidTr="00AD72E5">
        <w:tc>
          <w:tcPr>
            <w:tcW w:w="1908" w:type="dxa"/>
          </w:tcPr>
          <w:p w14:paraId="77F7C364"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Brivaracetam</w:t>
            </w:r>
          </w:p>
        </w:tc>
        <w:tc>
          <w:tcPr>
            <w:tcW w:w="1620" w:type="dxa"/>
          </w:tcPr>
          <w:p w14:paraId="770FC42B" w14:textId="77777777" w:rsidR="00BE0B19" w:rsidRPr="00AE47C6" w:rsidRDefault="00BE0B19" w:rsidP="00BE0B19">
            <w:pPr>
              <w:autoSpaceDE w:val="0"/>
              <w:autoSpaceDN w:val="0"/>
              <w:adjustRightInd w:val="0"/>
              <w:jc w:val="both"/>
              <w:rPr>
                <w:rFonts w:ascii="Times New Roman" w:eastAsia="SimSun" w:hAnsi="Times New Roman"/>
              </w:rPr>
            </w:pPr>
            <w:r w:rsidRPr="00AE47C6">
              <w:rPr>
                <w:rFonts w:ascii="Times New Roman" w:eastAsia="SimSun" w:hAnsi="Times New Roman"/>
              </w:rPr>
              <w:t>-Деца ≥ 2 г. и юноши</w:t>
            </w:r>
          </w:p>
          <w:p w14:paraId="32E594BE" w14:textId="77777777" w:rsidR="00BE0B19" w:rsidRPr="00AE47C6" w:rsidRDefault="00BE0B19" w:rsidP="00BE0B19">
            <w:pPr>
              <w:autoSpaceDE w:val="0"/>
              <w:autoSpaceDN w:val="0"/>
              <w:adjustRightInd w:val="0"/>
              <w:jc w:val="both"/>
              <w:rPr>
                <w:rFonts w:ascii="Times New Roman" w:eastAsia="SimSun" w:hAnsi="Times New Roman"/>
              </w:rPr>
            </w:pPr>
            <w:r w:rsidRPr="00AE47C6">
              <w:rPr>
                <w:rFonts w:ascii="Times New Roman" w:eastAsia="SimSun" w:hAnsi="Times New Roman"/>
              </w:rPr>
              <w:t>≥50 kg  в доза 1 mg/kg</w:t>
            </w:r>
          </w:p>
          <w:p w14:paraId="2C87FEE3" w14:textId="77777777" w:rsidR="00BE0B19" w:rsidRPr="00AE47C6" w:rsidRDefault="00BE0B19" w:rsidP="00BE0B19">
            <w:pPr>
              <w:spacing w:line="360" w:lineRule="auto"/>
              <w:rPr>
                <w:rFonts w:ascii="Times New Roman" w:eastAsia="SimSun" w:hAnsi="Times New Roman"/>
              </w:rPr>
            </w:pPr>
          </w:p>
          <w:p w14:paraId="784A1757"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-Над 16 г.</w:t>
            </w:r>
          </w:p>
          <w:p w14:paraId="4D6E4C61"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50 - 100, разделена на две равни дози</w:t>
            </w:r>
          </w:p>
        </w:tc>
        <w:tc>
          <w:tcPr>
            <w:tcW w:w="1533" w:type="dxa"/>
            <w:gridSpan w:val="2"/>
          </w:tcPr>
          <w:p w14:paraId="1B75151C" w14:textId="77777777" w:rsidR="00BE0B19" w:rsidRPr="00AE47C6" w:rsidRDefault="00BE0B19" w:rsidP="00BE0B19">
            <w:pPr>
              <w:autoSpaceDE w:val="0"/>
              <w:autoSpaceDN w:val="0"/>
              <w:adjustRightInd w:val="0"/>
              <w:jc w:val="both"/>
              <w:rPr>
                <w:rFonts w:ascii="Times New Roman" w:eastAsia="SimSun" w:hAnsi="Times New Roman"/>
              </w:rPr>
            </w:pPr>
            <w:r w:rsidRPr="00AE47C6">
              <w:rPr>
                <w:rFonts w:ascii="Times New Roman" w:eastAsia="SimSun" w:hAnsi="Times New Roman"/>
              </w:rPr>
              <w:t>- Деца ≥ 2 г. и юноши</w:t>
            </w:r>
          </w:p>
          <w:p w14:paraId="75B78DEA" w14:textId="77777777" w:rsidR="00BE0B19" w:rsidRPr="00AE47C6" w:rsidRDefault="00BE0B19" w:rsidP="00BE0B19">
            <w:pPr>
              <w:autoSpaceDE w:val="0"/>
              <w:autoSpaceDN w:val="0"/>
              <w:adjustRightInd w:val="0"/>
              <w:jc w:val="both"/>
              <w:rPr>
                <w:rFonts w:ascii="Times New Roman" w:eastAsia="SimSun" w:hAnsi="Times New Roman"/>
              </w:rPr>
            </w:pPr>
            <w:r w:rsidRPr="00AE47C6">
              <w:rPr>
                <w:rFonts w:ascii="Times New Roman" w:eastAsia="SimSun" w:hAnsi="Times New Roman"/>
              </w:rPr>
              <w:t>≥50 kg  в доза 2 mg/kg - 50-200 според на индивидуалния отговор и поносимост</w:t>
            </w:r>
          </w:p>
        </w:tc>
        <w:tc>
          <w:tcPr>
            <w:tcW w:w="1417" w:type="dxa"/>
          </w:tcPr>
          <w:p w14:paraId="1DCC336F"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50 - 100, разделена на две равни дози</w:t>
            </w:r>
          </w:p>
        </w:tc>
        <w:tc>
          <w:tcPr>
            <w:tcW w:w="1568" w:type="dxa"/>
          </w:tcPr>
          <w:p w14:paraId="3DDDF2AE"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 xml:space="preserve">50-200  според индивидуалния отговор и поносимост </w:t>
            </w:r>
          </w:p>
        </w:tc>
        <w:tc>
          <w:tcPr>
            <w:tcW w:w="1730" w:type="dxa"/>
          </w:tcPr>
          <w:p w14:paraId="06B3D063"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200</w:t>
            </w:r>
          </w:p>
        </w:tc>
      </w:tr>
      <w:tr w:rsidR="00BE0B19" w:rsidRPr="00AE47C6" w14:paraId="3082F7B7" w14:textId="77777777" w:rsidTr="00AD72E5">
        <w:tc>
          <w:tcPr>
            <w:tcW w:w="1908" w:type="dxa"/>
          </w:tcPr>
          <w:p w14:paraId="3C052ED0"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Eslicarbazepine</w:t>
            </w:r>
          </w:p>
        </w:tc>
        <w:tc>
          <w:tcPr>
            <w:tcW w:w="1620" w:type="dxa"/>
          </w:tcPr>
          <w:p w14:paraId="2DE1B4CF" w14:textId="77777777" w:rsidR="00BE0B19" w:rsidRPr="00AE47C6" w:rsidRDefault="00BE0B19" w:rsidP="00BE0B19">
            <w:pPr>
              <w:autoSpaceDE w:val="0"/>
              <w:autoSpaceDN w:val="0"/>
              <w:adjustRightInd w:val="0"/>
              <w:jc w:val="both"/>
              <w:rPr>
                <w:rFonts w:ascii="Times New Roman" w:eastAsia="SimSun" w:hAnsi="Times New Roman"/>
              </w:rPr>
            </w:pPr>
            <w:r w:rsidRPr="00AE47C6">
              <w:rPr>
                <w:rFonts w:ascii="Times New Roman" w:eastAsia="SimSun" w:hAnsi="Times New Roman"/>
              </w:rPr>
              <w:t>Деца над 6 г.-10  mg/kg/дневно</w:t>
            </w:r>
          </w:p>
          <w:p w14:paraId="46E23B78" w14:textId="77777777" w:rsidR="00BE0B19" w:rsidRPr="00AE47C6" w:rsidRDefault="00BE0B19" w:rsidP="00BE0B19">
            <w:pPr>
              <w:autoSpaceDE w:val="0"/>
              <w:autoSpaceDN w:val="0"/>
              <w:adjustRightInd w:val="0"/>
              <w:jc w:val="both"/>
              <w:rPr>
                <w:rFonts w:ascii="Times New Roman" w:eastAsia="SimSun" w:hAnsi="Times New Roman"/>
              </w:rPr>
            </w:pPr>
            <w:r w:rsidRPr="00AE47C6">
              <w:rPr>
                <w:rFonts w:ascii="Times New Roman" w:eastAsia="SimSun" w:hAnsi="Times New Roman"/>
              </w:rPr>
              <w:t>Над 60  kg - 400  mg</w:t>
            </w:r>
          </w:p>
        </w:tc>
        <w:tc>
          <w:tcPr>
            <w:tcW w:w="1533" w:type="dxa"/>
            <w:gridSpan w:val="2"/>
          </w:tcPr>
          <w:p w14:paraId="7010555D" w14:textId="77777777" w:rsidR="00BE0B19" w:rsidRPr="00AE47C6" w:rsidRDefault="00BE0B19" w:rsidP="00BE0B19">
            <w:pPr>
              <w:autoSpaceDE w:val="0"/>
              <w:autoSpaceDN w:val="0"/>
              <w:adjustRightInd w:val="0"/>
              <w:jc w:val="both"/>
              <w:rPr>
                <w:rFonts w:ascii="Times New Roman" w:eastAsia="SimSun" w:hAnsi="Times New Roman"/>
              </w:rPr>
            </w:pPr>
            <w:r w:rsidRPr="00AE47C6">
              <w:rPr>
                <w:rFonts w:ascii="Times New Roman" w:eastAsia="SimSun" w:hAnsi="Times New Roman"/>
              </w:rPr>
              <w:t>Деца над 6 г. -30  mg/kg</w:t>
            </w:r>
          </w:p>
        </w:tc>
        <w:tc>
          <w:tcPr>
            <w:tcW w:w="1417" w:type="dxa"/>
          </w:tcPr>
          <w:p w14:paraId="3DA7CAC5"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400  еднократно</w:t>
            </w:r>
          </w:p>
        </w:tc>
        <w:tc>
          <w:tcPr>
            <w:tcW w:w="1568" w:type="dxa"/>
          </w:tcPr>
          <w:p w14:paraId="691AB650"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800-1200 до 1600  mg еднократно</w:t>
            </w:r>
          </w:p>
        </w:tc>
        <w:tc>
          <w:tcPr>
            <w:tcW w:w="1730" w:type="dxa"/>
          </w:tcPr>
          <w:p w14:paraId="40D11798"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1600</w:t>
            </w:r>
          </w:p>
        </w:tc>
      </w:tr>
      <w:tr w:rsidR="00BE0B19" w:rsidRPr="00AE47C6" w14:paraId="0E0E4018" w14:textId="77777777" w:rsidTr="00AD72E5">
        <w:tc>
          <w:tcPr>
            <w:tcW w:w="1908" w:type="dxa"/>
          </w:tcPr>
          <w:p w14:paraId="2B65E4A0"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Clobazam**</w:t>
            </w:r>
          </w:p>
          <w:p w14:paraId="7F0089FD" w14:textId="77777777" w:rsidR="00BE0B19" w:rsidRPr="00AE47C6" w:rsidRDefault="00BE0B19" w:rsidP="00BE0B19">
            <w:pPr>
              <w:spacing w:line="360" w:lineRule="auto"/>
              <w:rPr>
                <w:rFonts w:ascii="Times New Roman" w:eastAsia="SimSun" w:hAnsi="Times New Roman"/>
                <w:b/>
                <w:bCs/>
              </w:rPr>
            </w:pPr>
          </w:p>
        </w:tc>
        <w:tc>
          <w:tcPr>
            <w:tcW w:w="1620" w:type="dxa"/>
          </w:tcPr>
          <w:p w14:paraId="52BAB422" w14:textId="77777777" w:rsidR="00BE0B19" w:rsidRPr="00AE47C6" w:rsidRDefault="00BE0B19" w:rsidP="00BE0B19">
            <w:pPr>
              <w:spacing w:line="360" w:lineRule="auto"/>
              <w:rPr>
                <w:rFonts w:ascii="Times New Roman" w:eastAsia="SimSun" w:hAnsi="Times New Roman"/>
                <w:bCs/>
              </w:rPr>
            </w:pPr>
            <w:r w:rsidRPr="00AE47C6">
              <w:rPr>
                <w:rFonts w:ascii="Times New Roman" w:eastAsia="SimSun" w:hAnsi="Times New Roman"/>
              </w:rPr>
              <w:t>Над 2 г.-</w:t>
            </w:r>
            <w:r w:rsidRPr="00AE47C6">
              <w:rPr>
                <w:rFonts w:ascii="Times New Roman" w:eastAsia="SimSun" w:hAnsi="Times New Roman"/>
                <w:bCs/>
              </w:rPr>
              <w:t>0,4-1 mg/kg</w:t>
            </w:r>
          </w:p>
          <w:p w14:paraId="5F9D54B1" w14:textId="77777777" w:rsidR="00BE0B19" w:rsidRPr="00AE47C6" w:rsidRDefault="00BE0B19" w:rsidP="00BE0B19">
            <w:pPr>
              <w:autoSpaceDE w:val="0"/>
              <w:autoSpaceDN w:val="0"/>
              <w:adjustRightInd w:val="0"/>
              <w:jc w:val="both"/>
              <w:rPr>
                <w:rFonts w:ascii="Times New Roman" w:eastAsia="SimSun" w:hAnsi="Times New Roman"/>
              </w:rPr>
            </w:pPr>
          </w:p>
        </w:tc>
        <w:tc>
          <w:tcPr>
            <w:tcW w:w="1533" w:type="dxa"/>
            <w:gridSpan w:val="2"/>
          </w:tcPr>
          <w:p w14:paraId="31C6EA0F" w14:textId="77777777" w:rsidR="00BE0B19" w:rsidRPr="00AE47C6" w:rsidRDefault="00BE0B19" w:rsidP="00BE0B19">
            <w:pPr>
              <w:spacing w:line="360" w:lineRule="auto"/>
              <w:rPr>
                <w:rFonts w:ascii="Times New Roman" w:eastAsia="SimSun" w:hAnsi="Times New Roman"/>
                <w:bCs/>
              </w:rPr>
            </w:pPr>
            <w:r w:rsidRPr="00AE47C6">
              <w:rPr>
                <w:rFonts w:ascii="Times New Roman" w:eastAsia="SimSun" w:hAnsi="Times New Roman"/>
                <w:bCs/>
              </w:rPr>
              <w:t>Титриране до 1 mg/kg през 7 дни;</w:t>
            </w:r>
          </w:p>
          <w:p w14:paraId="370E2089" w14:textId="77777777" w:rsidR="00BE0B19" w:rsidRPr="00AE47C6" w:rsidRDefault="00BE0B19" w:rsidP="00BE0B19">
            <w:pPr>
              <w:autoSpaceDE w:val="0"/>
              <w:autoSpaceDN w:val="0"/>
              <w:adjustRightInd w:val="0"/>
              <w:jc w:val="both"/>
              <w:rPr>
                <w:rFonts w:ascii="Times New Roman" w:eastAsia="SimSun" w:hAnsi="Times New Roman"/>
              </w:rPr>
            </w:pPr>
            <w:r w:rsidRPr="00AE47C6">
              <w:rPr>
                <w:rFonts w:ascii="Times New Roman" w:eastAsia="SimSun" w:hAnsi="Times New Roman"/>
              </w:rPr>
              <w:t xml:space="preserve"> Под 30 </w:t>
            </w:r>
            <w:r w:rsidRPr="00AE47C6">
              <w:rPr>
                <w:rFonts w:ascii="Times New Roman" w:eastAsia="SimSun" w:hAnsi="Times New Roman"/>
                <w:bCs/>
              </w:rPr>
              <w:t xml:space="preserve"> kg</w:t>
            </w:r>
            <w:r w:rsidRPr="00AE47C6">
              <w:rPr>
                <w:rFonts w:ascii="Times New Roman" w:eastAsia="SimSun" w:hAnsi="Times New Roman"/>
              </w:rPr>
              <w:t xml:space="preserve"> - 20 mg; Над 30  kg - до 40 mg</w:t>
            </w:r>
          </w:p>
        </w:tc>
        <w:tc>
          <w:tcPr>
            <w:tcW w:w="1417" w:type="dxa"/>
          </w:tcPr>
          <w:p w14:paraId="3402EE81"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5 mg</w:t>
            </w:r>
          </w:p>
        </w:tc>
        <w:tc>
          <w:tcPr>
            <w:tcW w:w="1568" w:type="dxa"/>
          </w:tcPr>
          <w:p w14:paraId="6F849052"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До 40 mg</w:t>
            </w:r>
          </w:p>
        </w:tc>
        <w:tc>
          <w:tcPr>
            <w:tcW w:w="1730" w:type="dxa"/>
          </w:tcPr>
          <w:p w14:paraId="4BA1823D"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color w:val="242424"/>
                <w:sz w:val="26"/>
                <w:szCs w:val="26"/>
                <w:shd w:val="clear" w:color="auto" w:fill="FFFFFF"/>
              </w:rPr>
              <w:t>40 mg </w:t>
            </w:r>
          </w:p>
        </w:tc>
      </w:tr>
      <w:tr w:rsidR="00BE0B19" w:rsidRPr="00AE47C6" w14:paraId="6C961FB3" w14:textId="77777777" w:rsidTr="00AD72E5">
        <w:tc>
          <w:tcPr>
            <w:tcW w:w="1908" w:type="dxa"/>
          </w:tcPr>
          <w:p w14:paraId="53BD9BB4"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Zonisamide**</w:t>
            </w:r>
          </w:p>
          <w:p w14:paraId="2C0B3111" w14:textId="77777777" w:rsidR="00BE0B19" w:rsidRPr="00AE47C6" w:rsidRDefault="00BE0B19" w:rsidP="00BE0B19">
            <w:pPr>
              <w:spacing w:line="360" w:lineRule="auto"/>
              <w:rPr>
                <w:rFonts w:ascii="Times New Roman" w:eastAsia="SimSun" w:hAnsi="Times New Roman"/>
                <w:b/>
                <w:bCs/>
              </w:rPr>
            </w:pPr>
          </w:p>
        </w:tc>
        <w:tc>
          <w:tcPr>
            <w:tcW w:w="1620" w:type="dxa"/>
          </w:tcPr>
          <w:p w14:paraId="44662980" w14:textId="77777777" w:rsidR="00BE0B19" w:rsidRPr="00AE47C6" w:rsidRDefault="00BE0B19" w:rsidP="00BE0B19">
            <w:pPr>
              <w:spacing w:line="360" w:lineRule="auto"/>
              <w:rPr>
                <w:rFonts w:ascii="Times New Roman" w:eastAsia="SimSun" w:hAnsi="Times New Roman"/>
                <w:bCs/>
              </w:rPr>
            </w:pPr>
            <w:r w:rsidRPr="00AE47C6">
              <w:rPr>
                <w:rFonts w:ascii="Times New Roman" w:eastAsia="SimSun" w:hAnsi="Times New Roman"/>
                <w:bCs/>
              </w:rPr>
              <w:t>≥ 6 г. и юноши</w:t>
            </w:r>
          </w:p>
          <w:p w14:paraId="1E52E28D" w14:textId="77777777" w:rsidR="00BE0B19" w:rsidRPr="00AE47C6" w:rsidRDefault="00BE0B19" w:rsidP="00BE0B19">
            <w:pPr>
              <w:spacing w:line="360" w:lineRule="auto"/>
              <w:rPr>
                <w:rFonts w:ascii="Times New Roman" w:eastAsia="SimSun" w:hAnsi="Times New Roman"/>
                <w:bCs/>
              </w:rPr>
            </w:pPr>
            <w:r w:rsidRPr="00AE47C6">
              <w:rPr>
                <w:rFonts w:ascii="Times New Roman" w:eastAsia="SimSun" w:hAnsi="Times New Roman"/>
                <w:bCs/>
              </w:rPr>
              <w:t xml:space="preserve">≥50 kg- 1 mg/kg </w:t>
            </w:r>
          </w:p>
          <w:p w14:paraId="6CCA06E6" w14:textId="77777777" w:rsidR="00BE0B19" w:rsidRPr="00AE47C6" w:rsidRDefault="00BE0B19" w:rsidP="00BE0B19">
            <w:pPr>
              <w:autoSpaceDE w:val="0"/>
              <w:autoSpaceDN w:val="0"/>
              <w:adjustRightInd w:val="0"/>
              <w:jc w:val="both"/>
              <w:rPr>
                <w:rFonts w:ascii="Times New Roman" w:eastAsia="SimSun" w:hAnsi="Times New Roman"/>
              </w:rPr>
            </w:pPr>
          </w:p>
        </w:tc>
        <w:tc>
          <w:tcPr>
            <w:tcW w:w="1533" w:type="dxa"/>
            <w:gridSpan w:val="2"/>
          </w:tcPr>
          <w:p w14:paraId="1D7790EE" w14:textId="77777777" w:rsidR="00BE0B19" w:rsidRPr="00AE47C6" w:rsidRDefault="00BE0B19" w:rsidP="00BE0B19">
            <w:pPr>
              <w:autoSpaceDE w:val="0"/>
              <w:autoSpaceDN w:val="0"/>
              <w:adjustRightInd w:val="0"/>
              <w:jc w:val="both"/>
              <w:rPr>
                <w:rFonts w:ascii="Times New Roman" w:eastAsia="SimSun" w:hAnsi="Times New Roman"/>
              </w:rPr>
            </w:pPr>
            <w:r w:rsidRPr="00AE47C6">
              <w:rPr>
                <w:rFonts w:ascii="Times New Roman" w:eastAsia="SimSun" w:hAnsi="Times New Roman"/>
                <w:bCs/>
              </w:rPr>
              <w:t>Титриране  през 7 дни до</w:t>
            </w:r>
            <w:r w:rsidRPr="00AE47C6">
              <w:rPr>
                <w:rFonts w:ascii="Times New Roman" w:eastAsia="SimSun" w:hAnsi="Times New Roman"/>
                <w:b/>
                <w:bCs/>
              </w:rPr>
              <w:t xml:space="preserve"> </w:t>
            </w:r>
            <w:r w:rsidRPr="00AE47C6">
              <w:rPr>
                <w:rFonts w:ascii="Times New Roman" w:eastAsia="SimSun" w:hAnsi="Times New Roman"/>
                <w:sz w:val="21"/>
                <w:szCs w:val="21"/>
                <w:shd w:val="clear" w:color="auto" w:fill="FFFFFF"/>
              </w:rPr>
              <w:t>4—8 mg/kg</w:t>
            </w:r>
          </w:p>
        </w:tc>
        <w:tc>
          <w:tcPr>
            <w:tcW w:w="1417" w:type="dxa"/>
          </w:tcPr>
          <w:p w14:paraId="0EFFB92E"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100 mg</w:t>
            </w:r>
          </w:p>
        </w:tc>
        <w:tc>
          <w:tcPr>
            <w:tcW w:w="1568" w:type="dxa"/>
          </w:tcPr>
          <w:p w14:paraId="036FCE77"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300 mg</w:t>
            </w:r>
          </w:p>
        </w:tc>
        <w:tc>
          <w:tcPr>
            <w:tcW w:w="1730" w:type="dxa"/>
          </w:tcPr>
          <w:p w14:paraId="735059E8"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600 mg</w:t>
            </w:r>
          </w:p>
        </w:tc>
      </w:tr>
      <w:tr w:rsidR="00BE0B19" w:rsidRPr="00AE47C6" w14:paraId="04250FDD" w14:textId="77777777" w:rsidTr="00AD72E5">
        <w:tc>
          <w:tcPr>
            <w:tcW w:w="1908" w:type="dxa"/>
          </w:tcPr>
          <w:p w14:paraId="564B1122"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Cannabidiol*</w:t>
            </w:r>
          </w:p>
          <w:p w14:paraId="18DD2FFA" w14:textId="77777777" w:rsidR="00BE0B19" w:rsidRPr="00AE47C6" w:rsidRDefault="00BE0B19" w:rsidP="00BE0B19">
            <w:pPr>
              <w:spacing w:line="360" w:lineRule="auto"/>
              <w:rPr>
                <w:rFonts w:ascii="Times New Roman" w:eastAsia="SimSun" w:hAnsi="Times New Roman"/>
                <w:b/>
                <w:bCs/>
              </w:rPr>
            </w:pPr>
          </w:p>
        </w:tc>
        <w:tc>
          <w:tcPr>
            <w:tcW w:w="1620" w:type="dxa"/>
          </w:tcPr>
          <w:p w14:paraId="78864F80" w14:textId="77777777" w:rsidR="00BE0B19" w:rsidRPr="00AE47C6" w:rsidRDefault="00BE0B19" w:rsidP="00BE0B19">
            <w:pPr>
              <w:spacing w:line="360" w:lineRule="auto"/>
              <w:rPr>
                <w:rFonts w:ascii="Times New Roman" w:eastAsia="SimSun" w:hAnsi="Times New Roman"/>
                <w:bCs/>
              </w:rPr>
            </w:pPr>
            <w:r w:rsidRPr="00AE47C6">
              <w:rPr>
                <w:rFonts w:ascii="Times New Roman" w:eastAsia="SimSun" w:hAnsi="Times New Roman"/>
                <w:b/>
                <w:bCs/>
              </w:rPr>
              <w:t xml:space="preserve">≥ </w:t>
            </w:r>
            <w:r w:rsidRPr="00AE47C6">
              <w:rPr>
                <w:rFonts w:ascii="Times New Roman" w:eastAsia="SimSun" w:hAnsi="Times New Roman"/>
                <w:bCs/>
              </w:rPr>
              <w:t>2 г. -</w:t>
            </w:r>
            <w:r w:rsidRPr="00AE47C6">
              <w:rPr>
                <w:rFonts w:ascii="Times New Roman" w:eastAsia="SimSun" w:hAnsi="Times New Roman"/>
              </w:rPr>
              <w:t>2,5 mg/kg двукратно (</w:t>
            </w:r>
            <w:r w:rsidRPr="00AE47C6">
              <w:rPr>
                <w:rFonts w:ascii="Times New Roman" w:eastAsia="SimSun" w:hAnsi="Times New Roman"/>
                <w:bCs/>
              </w:rPr>
              <w:t>5 mg/kg/дневно), титриране през 7 дни  до 10-20 mg/kg</w:t>
            </w:r>
          </w:p>
          <w:p w14:paraId="53A4DEDB" w14:textId="77777777" w:rsidR="00BE0B19" w:rsidRPr="00AE47C6" w:rsidRDefault="00BE0B19" w:rsidP="00BE0B19">
            <w:pPr>
              <w:autoSpaceDE w:val="0"/>
              <w:autoSpaceDN w:val="0"/>
              <w:adjustRightInd w:val="0"/>
              <w:jc w:val="both"/>
              <w:rPr>
                <w:rFonts w:ascii="Times New Roman" w:eastAsia="SimSun" w:hAnsi="Times New Roman"/>
              </w:rPr>
            </w:pPr>
          </w:p>
        </w:tc>
        <w:tc>
          <w:tcPr>
            <w:tcW w:w="1533" w:type="dxa"/>
            <w:gridSpan w:val="2"/>
          </w:tcPr>
          <w:p w14:paraId="77064D0C" w14:textId="77777777" w:rsidR="00BE0B19" w:rsidRPr="00AE47C6" w:rsidRDefault="00BE0B19" w:rsidP="00BE0B19">
            <w:pPr>
              <w:autoSpaceDE w:val="0"/>
              <w:autoSpaceDN w:val="0"/>
              <w:adjustRightInd w:val="0"/>
              <w:jc w:val="both"/>
              <w:rPr>
                <w:rFonts w:ascii="Times New Roman" w:eastAsia="SimSun" w:hAnsi="Times New Roman"/>
              </w:rPr>
            </w:pPr>
            <w:r w:rsidRPr="00AE47C6">
              <w:rPr>
                <w:rFonts w:ascii="Times New Roman" w:eastAsia="SimSun" w:hAnsi="Times New Roman"/>
              </w:rPr>
              <w:t>При LGS и Dravet  синдром -до 10 mg/kg/ден;</w:t>
            </w:r>
          </w:p>
          <w:p w14:paraId="47C6CF3A" w14:textId="77777777" w:rsidR="00BE0B19" w:rsidRPr="00AE47C6" w:rsidRDefault="00BE0B19" w:rsidP="00BE0B19">
            <w:pPr>
              <w:autoSpaceDE w:val="0"/>
              <w:autoSpaceDN w:val="0"/>
              <w:adjustRightInd w:val="0"/>
              <w:jc w:val="both"/>
              <w:rPr>
                <w:rFonts w:ascii="Times New Roman" w:eastAsia="SimSun" w:hAnsi="Times New Roman"/>
              </w:rPr>
            </w:pPr>
            <w:r w:rsidRPr="00AE47C6">
              <w:rPr>
                <w:rFonts w:ascii="Times New Roman" w:eastAsia="SimSun" w:hAnsi="Times New Roman"/>
              </w:rPr>
              <w:t>При TSC-10 mg/kg/ден</w:t>
            </w:r>
          </w:p>
        </w:tc>
        <w:tc>
          <w:tcPr>
            <w:tcW w:w="1417" w:type="dxa"/>
          </w:tcPr>
          <w:p w14:paraId="3108C64D" w14:textId="77777777" w:rsidR="00BE0B19" w:rsidRPr="00AE47C6" w:rsidRDefault="00BE0B19" w:rsidP="00BE0B19">
            <w:pPr>
              <w:spacing w:line="360" w:lineRule="auto"/>
              <w:rPr>
                <w:rFonts w:ascii="Times New Roman" w:eastAsia="SimSun" w:hAnsi="Times New Roman"/>
              </w:rPr>
            </w:pPr>
          </w:p>
        </w:tc>
        <w:tc>
          <w:tcPr>
            <w:tcW w:w="1568" w:type="dxa"/>
          </w:tcPr>
          <w:p w14:paraId="38AC56D5" w14:textId="77777777" w:rsidR="00BE0B19" w:rsidRPr="00AE47C6" w:rsidRDefault="00BE0B19" w:rsidP="00BE0B19">
            <w:pPr>
              <w:spacing w:line="360" w:lineRule="auto"/>
              <w:rPr>
                <w:rFonts w:ascii="Times New Roman" w:eastAsia="SimSun" w:hAnsi="Times New Roman"/>
              </w:rPr>
            </w:pPr>
          </w:p>
        </w:tc>
        <w:tc>
          <w:tcPr>
            <w:tcW w:w="1730" w:type="dxa"/>
          </w:tcPr>
          <w:p w14:paraId="468C0192"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При LGS  Dravet синдром - 20 mg/kg/ден; При TSC-25 mg/kg/ден</w:t>
            </w:r>
          </w:p>
        </w:tc>
      </w:tr>
      <w:tr w:rsidR="00BE0B19" w:rsidRPr="00AE47C6" w14:paraId="45F7FE8A" w14:textId="77777777" w:rsidTr="00AD72E5">
        <w:trPr>
          <w:trHeight w:val="2115"/>
        </w:trPr>
        <w:tc>
          <w:tcPr>
            <w:tcW w:w="1908" w:type="dxa"/>
          </w:tcPr>
          <w:p w14:paraId="1CDE5240"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Fenfluramine*</w:t>
            </w:r>
          </w:p>
        </w:tc>
        <w:tc>
          <w:tcPr>
            <w:tcW w:w="1620" w:type="dxa"/>
          </w:tcPr>
          <w:p w14:paraId="1806273C" w14:textId="77777777" w:rsidR="00BE0B19" w:rsidRPr="00AE47C6" w:rsidRDefault="00BE0B19" w:rsidP="00BE0B19">
            <w:pPr>
              <w:autoSpaceDE w:val="0"/>
              <w:autoSpaceDN w:val="0"/>
              <w:adjustRightInd w:val="0"/>
              <w:jc w:val="both"/>
              <w:rPr>
                <w:rFonts w:ascii="Times New Roman" w:eastAsia="SimSun" w:hAnsi="Times New Roman"/>
                <w:bCs/>
              </w:rPr>
            </w:pPr>
            <w:r w:rsidRPr="00AE47C6">
              <w:rPr>
                <w:rFonts w:ascii="Times New Roman" w:eastAsia="SimSun" w:hAnsi="Times New Roman"/>
                <w:bCs/>
              </w:rPr>
              <w:t xml:space="preserve">≥ 2 г.- 0,2 mg/kg/ден - до 0,7 mg/kg/ден максимално до </w:t>
            </w:r>
          </w:p>
          <w:p w14:paraId="3F1BF54D" w14:textId="77777777" w:rsidR="00BE0B19" w:rsidRPr="00AE47C6" w:rsidRDefault="00BE0B19" w:rsidP="00BE0B19">
            <w:pPr>
              <w:autoSpaceDE w:val="0"/>
              <w:autoSpaceDN w:val="0"/>
              <w:adjustRightInd w:val="0"/>
              <w:jc w:val="both"/>
              <w:rPr>
                <w:rFonts w:ascii="Times New Roman" w:eastAsia="SimSun" w:hAnsi="Times New Roman"/>
              </w:rPr>
            </w:pPr>
            <w:r w:rsidRPr="00AE47C6">
              <w:rPr>
                <w:rFonts w:ascii="Times New Roman" w:eastAsia="SimSun" w:hAnsi="Times New Roman"/>
                <w:bCs/>
              </w:rPr>
              <w:t>26 mg/ден</w:t>
            </w:r>
          </w:p>
        </w:tc>
        <w:tc>
          <w:tcPr>
            <w:tcW w:w="1533" w:type="dxa"/>
            <w:gridSpan w:val="2"/>
          </w:tcPr>
          <w:p w14:paraId="2E9E4FE8" w14:textId="77777777" w:rsidR="00BE0B19" w:rsidRPr="00AE47C6" w:rsidRDefault="00BE0B19" w:rsidP="00BE0B19">
            <w:pPr>
              <w:autoSpaceDE w:val="0"/>
              <w:autoSpaceDN w:val="0"/>
              <w:adjustRightInd w:val="0"/>
              <w:jc w:val="both"/>
              <w:rPr>
                <w:rFonts w:ascii="Times New Roman" w:eastAsia="SimSun" w:hAnsi="Times New Roman"/>
              </w:rPr>
            </w:pPr>
            <w:r w:rsidRPr="00AE47C6">
              <w:rPr>
                <w:rFonts w:ascii="Times New Roman" w:eastAsia="SimSun" w:hAnsi="Times New Roman"/>
              </w:rPr>
              <w:t xml:space="preserve">При Dravet  синдром </w:t>
            </w:r>
            <w:r w:rsidRPr="00AE47C6">
              <w:rPr>
                <w:rFonts w:ascii="Times New Roman" w:eastAsia="SimSun" w:hAnsi="Times New Roman"/>
                <w:bCs/>
              </w:rPr>
              <w:t xml:space="preserve">до 0.4 mg/kg/ден със Stiripentol, 0,7 mg/kg/ден без Stiripentol; при LGS -  </w:t>
            </w:r>
            <w:r w:rsidRPr="00AE47C6">
              <w:rPr>
                <w:rFonts w:ascii="Times New Roman" w:eastAsia="SimSun" w:hAnsi="Times New Roman"/>
              </w:rPr>
              <w:t xml:space="preserve"> </w:t>
            </w:r>
            <w:r w:rsidRPr="00AE47C6">
              <w:rPr>
                <w:rFonts w:ascii="Times New Roman" w:eastAsia="SimSun" w:hAnsi="Times New Roman"/>
                <w:bCs/>
              </w:rPr>
              <w:t>0,4 mg/kg/ден- до 0,7 mg/kg/ден</w:t>
            </w:r>
          </w:p>
        </w:tc>
        <w:tc>
          <w:tcPr>
            <w:tcW w:w="1417" w:type="dxa"/>
          </w:tcPr>
          <w:p w14:paraId="0A6C5552"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bCs/>
              </w:rPr>
              <w:t>0,4 mg/kg/ден</w:t>
            </w:r>
          </w:p>
        </w:tc>
        <w:tc>
          <w:tcPr>
            <w:tcW w:w="1568" w:type="dxa"/>
          </w:tcPr>
          <w:p w14:paraId="7911DCB0" w14:textId="77777777" w:rsidR="00BE0B19" w:rsidRPr="00AE47C6" w:rsidRDefault="00BE0B19" w:rsidP="00BE0B19">
            <w:pPr>
              <w:spacing w:line="360" w:lineRule="auto"/>
              <w:rPr>
                <w:rFonts w:ascii="Times New Roman" w:eastAsia="SimSun" w:hAnsi="Times New Roman"/>
                <w:bCs/>
              </w:rPr>
            </w:pPr>
            <w:r w:rsidRPr="00AE47C6">
              <w:rPr>
                <w:rFonts w:ascii="Times New Roman" w:eastAsia="SimSun" w:hAnsi="Times New Roman"/>
                <w:bCs/>
              </w:rPr>
              <w:t xml:space="preserve">0,7mg/kg/ден  максимално  </w:t>
            </w:r>
            <w:r w:rsidRPr="00AE47C6">
              <w:rPr>
                <w:rFonts w:ascii="Times New Roman" w:eastAsia="SimSun" w:hAnsi="Times New Roman"/>
              </w:rPr>
              <w:t xml:space="preserve"> при Dravet  синдром </w:t>
            </w:r>
            <w:r w:rsidRPr="00AE47C6">
              <w:rPr>
                <w:rFonts w:ascii="Times New Roman" w:eastAsia="SimSun" w:hAnsi="Times New Roman"/>
                <w:bCs/>
              </w:rPr>
              <w:t>до 17mg/ден   със Stiripentol, до 26mg/ден без Stiripentol,    при LGS до</w:t>
            </w:r>
          </w:p>
          <w:p w14:paraId="3D4C4B17"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bCs/>
              </w:rPr>
              <w:t>26mg/ден</w:t>
            </w:r>
          </w:p>
        </w:tc>
        <w:tc>
          <w:tcPr>
            <w:tcW w:w="1730" w:type="dxa"/>
          </w:tcPr>
          <w:p w14:paraId="32E994A3"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bCs/>
              </w:rPr>
              <w:t>26 mg/ден</w:t>
            </w:r>
          </w:p>
        </w:tc>
      </w:tr>
      <w:tr w:rsidR="00BE0B19" w:rsidRPr="00AE47C6" w14:paraId="73C4E999" w14:textId="77777777" w:rsidTr="00AD72E5">
        <w:tc>
          <w:tcPr>
            <w:tcW w:w="1908" w:type="dxa"/>
          </w:tcPr>
          <w:p w14:paraId="55ECDF5B" w14:textId="77777777" w:rsidR="00BE0B19" w:rsidRPr="00AE47C6" w:rsidRDefault="00BE0B19" w:rsidP="00BE0B19">
            <w:pPr>
              <w:spacing w:line="360" w:lineRule="auto"/>
              <w:rPr>
                <w:rFonts w:ascii="Times New Roman" w:eastAsia="SimSun" w:hAnsi="Times New Roman"/>
                <w:b/>
                <w:bCs/>
              </w:rPr>
            </w:pPr>
            <w:r w:rsidRPr="00AE47C6">
              <w:rPr>
                <w:rFonts w:ascii="Times New Roman" w:eastAsia="SimSun" w:hAnsi="Times New Roman"/>
                <w:b/>
                <w:bCs/>
              </w:rPr>
              <w:t>Сenobamate**</w:t>
            </w:r>
          </w:p>
        </w:tc>
        <w:tc>
          <w:tcPr>
            <w:tcW w:w="1620" w:type="dxa"/>
          </w:tcPr>
          <w:p w14:paraId="7B417D1F" w14:textId="77777777" w:rsidR="00BE0B19" w:rsidRPr="00AE47C6" w:rsidRDefault="00BE0B19" w:rsidP="00BE0B19">
            <w:pPr>
              <w:autoSpaceDE w:val="0"/>
              <w:autoSpaceDN w:val="0"/>
              <w:adjustRightInd w:val="0"/>
              <w:jc w:val="both"/>
              <w:rPr>
                <w:rFonts w:ascii="Times New Roman" w:eastAsia="SimSun" w:hAnsi="Times New Roman"/>
                <w:b/>
                <w:bCs/>
              </w:rPr>
            </w:pPr>
            <w:r w:rsidRPr="00AE47C6">
              <w:rPr>
                <w:rFonts w:ascii="Times New Roman" w:eastAsia="SimSun" w:hAnsi="Times New Roman"/>
                <w:b/>
                <w:bCs/>
              </w:rPr>
              <w:t>-</w:t>
            </w:r>
          </w:p>
        </w:tc>
        <w:tc>
          <w:tcPr>
            <w:tcW w:w="1533" w:type="dxa"/>
            <w:gridSpan w:val="2"/>
          </w:tcPr>
          <w:p w14:paraId="1A6A1104" w14:textId="77777777" w:rsidR="00BE0B19" w:rsidRPr="00AE47C6" w:rsidRDefault="00BE0B19" w:rsidP="00BE0B19">
            <w:pPr>
              <w:autoSpaceDE w:val="0"/>
              <w:autoSpaceDN w:val="0"/>
              <w:adjustRightInd w:val="0"/>
              <w:jc w:val="both"/>
              <w:rPr>
                <w:rFonts w:ascii="Times New Roman" w:eastAsia="SimSun" w:hAnsi="Times New Roman"/>
                <w:b/>
                <w:bCs/>
              </w:rPr>
            </w:pPr>
            <w:r w:rsidRPr="00AE47C6">
              <w:rPr>
                <w:rFonts w:ascii="Times New Roman" w:eastAsia="SimSun" w:hAnsi="Times New Roman"/>
                <w:b/>
                <w:bCs/>
              </w:rPr>
              <w:t>-</w:t>
            </w:r>
          </w:p>
        </w:tc>
        <w:tc>
          <w:tcPr>
            <w:tcW w:w="1417" w:type="dxa"/>
          </w:tcPr>
          <w:p w14:paraId="721B7894"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12,5 mg еднократно</w:t>
            </w:r>
          </w:p>
        </w:tc>
        <w:tc>
          <w:tcPr>
            <w:tcW w:w="1568" w:type="dxa"/>
          </w:tcPr>
          <w:p w14:paraId="22EDB376" w14:textId="77777777" w:rsidR="00BE0B19" w:rsidRPr="00AE47C6" w:rsidRDefault="00BE0B19" w:rsidP="00BE0B19">
            <w:pPr>
              <w:spacing w:line="360" w:lineRule="auto"/>
              <w:rPr>
                <w:rFonts w:ascii="Times New Roman" w:eastAsia="SimSun" w:hAnsi="Times New Roman"/>
              </w:rPr>
            </w:pPr>
            <w:r w:rsidRPr="00AE47C6">
              <w:rPr>
                <w:rFonts w:ascii="Times New Roman" w:eastAsia="SimSun" w:hAnsi="Times New Roman"/>
              </w:rPr>
              <w:t>Титриране през 14 дни- 25 mg, 50 mg, 100 mg, 150 mg до 200 mg</w:t>
            </w:r>
          </w:p>
        </w:tc>
        <w:tc>
          <w:tcPr>
            <w:tcW w:w="1730" w:type="dxa"/>
          </w:tcPr>
          <w:p w14:paraId="140A8CB6" w14:textId="77777777" w:rsidR="00BE0B19" w:rsidRPr="00AE47C6" w:rsidRDefault="00BE0B19" w:rsidP="00BE0B19">
            <w:pPr>
              <w:spacing w:line="360" w:lineRule="auto"/>
              <w:rPr>
                <w:rFonts w:ascii="Times New Roman" w:eastAsia="SimSun" w:hAnsi="Times New Roman"/>
                <w:bCs/>
              </w:rPr>
            </w:pPr>
            <w:r w:rsidRPr="00AE47C6">
              <w:rPr>
                <w:rFonts w:ascii="Times New Roman" w:eastAsia="SimSun" w:hAnsi="Times New Roman"/>
                <w:bCs/>
              </w:rPr>
              <w:t>400 mg</w:t>
            </w:r>
          </w:p>
        </w:tc>
      </w:tr>
    </w:tbl>
    <w:p w14:paraId="6442775C"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lang w:eastAsia="bg-BG"/>
        </w:rPr>
      </w:pPr>
      <w:r w:rsidRPr="00AE47C6">
        <w:rPr>
          <w:rFonts w:ascii="Times New Roman" w:eastAsia="SimSun" w:hAnsi="Times New Roman"/>
          <w:b/>
          <w:sz w:val="24"/>
          <w:szCs w:val="24"/>
          <w:u w:val="single"/>
          <w:lang w:eastAsia="bg-BG"/>
        </w:rPr>
        <w:t xml:space="preserve">* По Член 266, ал. 2 от ЗЛПХМ </w:t>
      </w:r>
      <w:r w:rsidRPr="00AE47C6">
        <w:rPr>
          <w:rFonts w:ascii="Times New Roman" w:eastAsia="SimSun" w:hAnsi="Times New Roman"/>
          <w:b/>
          <w:sz w:val="24"/>
          <w:szCs w:val="24"/>
          <w:lang w:eastAsia="bg-BG"/>
        </w:rPr>
        <w:t xml:space="preserve">и чл. 16, ал. 4 от Hapeдбa № l0 от 2011 г. за условията и реда за лечение с Hepaзрешени за употреба в Република България лекарствени продукти:  </w:t>
      </w:r>
    </w:p>
    <w:p w14:paraId="64E9EA19"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lang w:eastAsia="bg-BG"/>
        </w:rPr>
      </w:pPr>
      <w:r w:rsidRPr="00AE47C6">
        <w:rPr>
          <w:rFonts w:ascii="Times New Roman" w:eastAsia="SimSun" w:hAnsi="Times New Roman"/>
          <w:b/>
          <w:bCs/>
          <w:sz w:val="24"/>
          <w:szCs w:val="24"/>
          <w:lang w:eastAsia="bg-BG"/>
        </w:rPr>
        <w:t xml:space="preserve">* </w:t>
      </w:r>
      <w:r w:rsidRPr="00AE47C6">
        <w:rPr>
          <w:rFonts w:ascii="Times New Roman" w:eastAsia="SimSun" w:hAnsi="Times New Roman"/>
          <w:b/>
          <w:bCs/>
          <w:i/>
          <w:sz w:val="24"/>
          <w:szCs w:val="24"/>
          <w:lang w:eastAsia="bg-BG"/>
        </w:rPr>
        <w:t xml:space="preserve">Rufinamide </w:t>
      </w:r>
      <w:r w:rsidRPr="00AE47C6">
        <w:rPr>
          <w:rFonts w:ascii="Times New Roman" w:eastAsia="SimSun" w:hAnsi="Times New Roman"/>
          <w:sz w:val="24"/>
          <w:szCs w:val="24"/>
          <w:lang w:eastAsia="bg-BG"/>
        </w:rPr>
        <w:t>за лечение на синдром на Lennox-Gastaut</w:t>
      </w:r>
      <w:r w:rsidRPr="00AE47C6">
        <w:rPr>
          <w:rFonts w:ascii="Times New Roman" w:eastAsia="SimSun" w:hAnsi="Times New Roman"/>
          <w:b/>
          <w:sz w:val="24"/>
          <w:szCs w:val="24"/>
          <w:lang w:eastAsia="bg-BG"/>
        </w:rPr>
        <w:t xml:space="preserve"> </w:t>
      </w:r>
    </w:p>
    <w:p w14:paraId="7CC6AD93"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lang w:eastAsia="bg-BG"/>
        </w:rPr>
      </w:pPr>
      <w:r w:rsidRPr="00AE47C6">
        <w:rPr>
          <w:rFonts w:ascii="Times New Roman" w:eastAsia="SimSun" w:hAnsi="Times New Roman"/>
          <w:b/>
          <w:sz w:val="24"/>
          <w:szCs w:val="24"/>
          <w:lang w:eastAsia="bg-BG"/>
        </w:rPr>
        <w:t xml:space="preserve">* </w:t>
      </w:r>
      <w:r w:rsidRPr="00AE47C6">
        <w:rPr>
          <w:rFonts w:ascii="Times New Roman" w:eastAsia="SimSun" w:hAnsi="Times New Roman"/>
          <w:b/>
          <w:i/>
          <w:sz w:val="24"/>
          <w:szCs w:val="24"/>
          <w:lang w:eastAsia="bg-BG"/>
        </w:rPr>
        <w:t>Stiripentol</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за лечение на синдром на Dravet</w:t>
      </w:r>
      <w:r w:rsidRPr="00AE47C6">
        <w:rPr>
          <w:rFonts w:ascii="Times New Roman" w:eastAsia="SimSun" w:hAnsi="Times New Roman"/>
          <w:b/>
          <w:sz w:val="24"/>
          <w:szCs w:val="24"/>
          <w:lang w:eastAsia="bg-BG"/>
        </w:rPr>
        <w:t xml:space="preserve"> </w:t>
      </w:r>
    </w:p>
    <w:p w14:paraId="6CFDE134" w14:textId="77777777" w:rsidR="00BE0B19" w:rsidRPr="00AE47C6" w:rsidRDefault="00BE0B19" w:rsidP="00BE0B19">
      <w:pPr>
        <w:tabs>
          <w:tab w:val="left" w:pos="720"/>
        </w:tabs>
        <w:suppressAutoHyphens/>
        <w:spacing w:after="0"/>
        <w:ind w:left="357" w:firstLine="851"/>
        <w:jc w:val="both"/>
        <w:rPr>
          <w:rFonts w:ascii="Times New Roman" w:eastAsia="SimSun" w:hAnsi="Times New Roman"/>
          <w:b/>
          <w:bCs/>
          <w:sz w:val="24"/>
          <w:szCs w:val="24"/>
          <w:lang w:eastAsia="bg-BG"/>
        </w:rPr>
      </w:pPr>
      <w:r w:rsidRPr="00AE47C6">
        <w:rPr>
          <w:rFonts w:ascii="Times New Roman" w:eastAsia="SimSun" w:hAnsi="Times New Roman"/>
          <w:b/>
          <w:sz w:val="24"/>
          <w:szCs w:val="24"/>
          <w:lang w:eastAsia="bg-BG"/>
        </w:rPr>
        <w:t xml:space="preserve">* </w:t>
      </w:r>
      <w:r w:rsidRPr="00AE47C6">
        <w:rPr>
          <w:rFonts w:ascii="Times New Roman" w:eastAsia="SimSun" w:hAnsi="Times New Roman"/>
          <w:b/>
          <w:i/>
          <w:sz w:val="24"/>
          <w:szCs w:val="24"/>
          <w:lang w:eastAsia="bg-BG"/>
        </w:rPr>
        <w:t>Cannabidiol</w:t>
      </w:r>
      <w:r w:rsidRPr="00AE47C6">
        <w:rPr>
          <w:rFonts w:ascii="Times New Roman" w:eastAsia="SimSun" w:hAnsi="Times New Roman"/>
          <w:b/>
          <w:sz w:val="24"/>
          <w:szCs w:val="24"/>
          <w:lang w:eastAsia="bg-BG"/>
        </w:rPr>
        <w:t xml:space="preserve"> в комбинация с </w:t>
      </w:r>
      <w:r w:rsidRPr="00AE47C6">
        <w:rPr>
          <w:rFonts w:ascii="Times New Roman" w:eastAsia="SimSun" w:hAnsi="Times New Roman"/>
          <w:b/>
          <w:i/>
          <w:sz w:val="24"/>
          <w:szCs w:val="24"/>
          <w:lang w:eastAsia="bg-BG"/>
        </w:rPr>
        <w:t>Clobazam**</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при синдром на Dravet и синдром на Lennox-Gastaut при пациенти </w:t>
      </w:r>
      <w:r w:rsidRPr="00AE47C6">
        <w:rPr>
          <w:rFonts w:ascii="Times New Roman" w:eastAsia="SimSun" w:hAnsi="Times New Roman"/>
          <w:bCs/>
          <w:sz w:val="24"/>
          <w:szCs w:val="24"/>
          <w:lang w:eastAsia="bg-BG"/>
        </w:rPr>
        <w:t>≥ 2 години</w:t>
      </w:r>
      <w:r w:rsidRPr="00AE47C6">
        <w:rPr>
          <w:rFonts w:ascii="Times New Roman" w:eastAsia="SimSun" w:hAnsi="Times New Roman"/>
          <w:sz w:val="24"/>
          <w:szCs w:val="24"/>
          <w:lang w:eastAsia="bg-BG"/>
        </w:rPr>
        <w:t>;</w:t>
      </w:r>
      <w:r w:rsidRPr="00AE47C6">
        <w:rPr>
          <w:rFonts w:ascii="Times New Roman" w:eastAsia="SimSun" w:hAnsi="Times New Roman"/>
          <w:bCs/>
          <w:sz w:val="24"/>
          <w:szCs w:val="24"/>
          <w:lang w:eastAsia="bg-BG"/>
        </w:rPr>
        <w:t xml:space="preserve"> </w:t>
      </w:r>
      <w:r w:rsidRPr="00AE47C6">
        <w:rPr>
          <w:rFonts w:ascii="Times New Roman" w:eastAsia="SimSun" w:hAnsi="Times New Roman"/>
          <w:b/>
          <w:i/>
          <w:sz w:val="24"/>
          <w:szCs w:val="24"/>
          <w:lang w:eastAsia="bg-BG"/>
        </w:rPr>
        <w:t>* Cannabidiol</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при лечение на пристъпи, свързани с туберозна склероза комплекс (TSC) при пациенти </w:t>
      </w:r>
      <w:r w:rsidRPr="00AE47C6">
        <w:rPr>
          <w:rFonts w:ascii="Times New Roman" w:eastAsia="SimSun" w:hAnsi="Times New Roman"/>
          <w:bCs/>
          <w:sz w:val="24"/>
          <w:szCs w:val="24"/>
          <w:lang w:eastAsia="bg-BG"/>
        </w:rPr>
        <w:t>≥ 2 години</w:t>
      </w:r>
      <w:r w:rsidRPr="00AE47C6">
        <w:rPr>
          <w:rFonts w:ascii="Times New Roman" w:eastAsia="SimSun" w:hAnsi="Times New Roman"/>
          <w:b/>
          <w:bCs/>
          <w:sz w:val="24"/>
          <w:szCs w:val="24"/>
          <w:lang w:eastAsia="bg-BG"/>
        </w:rPr>
        <w:t xml:space="preserve"> </w:t>
      </w:r>
    </w:p>
    <w:p w14:paraId="62B56B05" w14:textId="77777777" w:rsidR="00BE0B19" w:rsidRPr="00AE47C6" w:rsidRDefault="00BE0B19" w:rsidP="00BE0B19">
      <w:pPr>
        <w:tabs>
          <w:tab w:val="left" w:pos="720"/>
        </w:tabs>
        <w:suppressAutoHyphens/>
        <w:spacing w:after="0"/>
        <w:ind w:left="357" w:firstLine="851"/>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w:t>
      </w:r>
      <w:r w:rsidRPr="00AE47C6">
        <w:rPr>
          <w:rFonts w:ascii="Times New Roman" w:eastAsia="SimSun" w:hAnsi="Times New Roman"/>
          <w:b/>
          <w:bCs/>
          <w:i/>
          <w:sz w:val="24"/>
          <w:szCs w:val="24"/>
          <w:lang w:eastAsia="bg-BG"/>
        </w:rPr>
        <w:t>Fenfluramine</w:t>
      </w:r>
      <w:r w:rsidRPr="00AE47C6">
        <w:rPr>
          <w:rFonts w:ascii="Times New Roman" w:eastAsia="SimSun" w:hAnsi="Times New Roman"/>
          <w:b/>
          <w:bCs/>
          <w:sz w:val="24"/>
          <w:szCs w:val="24"/>
          <w:lang w:eastAsia="bg-BG"/>
        </w:rPr>
        <w:t xml:space="preserve">- </w:t>
      </w:r>
      <w:r w:rsidRPr="00AE47C6">
        <w:rPr>
          <w:rFonts w:ascii="Times New Roman" w:eastAsia="SimSun" w:hAnsi="Times New Roman"/>
          <w:sz w:val="24"/>
          <w:szCs w:val="24"/>
          <w:lang w:eastAsia="bg-BG"/>
        </w:rPr>
        <w:t>при синдром на Dravet</w:t>
      </w:r>
      <w:r w:rsidRPr="00AE47C6">
        <w:rPr>
          <w:rFonts w:ascii="Times New Roman" w:eastAsia="SimSun" w:hAnsi="Times New Roman"/>
          <w:bCs/>
          <w:sz w:val="24"/>
          <w:szCs w:val="24"/>
          <w:lang w:eastAsia="bg-BG"/>
        </w:rPr>
        <w:t xml:space="preserve"> и синдром на Lennox-Gastaut </w:t>
      </w:r>
      <w:r w:rsidRPr="00AE47C6">
        <w:rPr>
          <w:rFonts w:ascii="Times New Roman" w:eastAsia="SimSun" w:hAnsi="Times New Roman"/>
          <w:sz w:val="24"/>
          <w:szCs w:val="24"/>
          <w:lang w:eastAsia="bg-BG"/>
        </w:rPr>
        <w:t xml:space="preserve">при пациенти </w:t>
      </w:r>
      <w:r w:rsidRPr="00AE47C6">
        <w:rPr>
          <w:rFonts w:ascii="Times New Roman" w:eastAsia="SimSun" w:hAnsi="Times New Roman"/>
          <w:bCs/>
          <w:sz w:val="24"/>
          <w:szCs w:val="24"/>
          <w:lang w:eastAsia="bg-BG"/>
        </w:rPr>
        <w:t>≥ 2 години</w:t>
      </w:r>
    </w:p>
    <w:p w14:paraId="64D784A4"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b/>
          <w:sz w:val="24"/>
          <w:szCs w:val="24"/>
          <w:u w:val="single"/>
          <w:lang w:eastAsia="bg-BG"/>
        </w:rPr>
      </w:pPr>
      <w:r w:rsidRPr="00AE47C6">
        <w:rPr>
          <w:rFonts w:ascii="Times New Roman" w:eastAsia="SimSun" w:hAnsi="Times New Roman"/>
          <w:b/>
          <w:sz w:val="24"/>
          <w:szCs w:val="24"/>
          <w:u w:val="single"/>
          <w:lang w:eastAsia="bg-BG"/>
        </w:rPr>
        <w:t>**Регистрирани от ЕМА:</w:t>
      </w:r>
    </w:p>
    <w:p w14:paraId="3B088203" w14:textId="77777777" w:rsidR="00BE0B19" w:rsidRPr="00AE47C6" w:rsidRDefault="00BE0B19" w:rsidP="00BE0B19">
      <w:pPr>
        <w:tabs>
          <w:tab w:val="left" w:pos="720"/>
        </w:tabs>
        <w:suppressAutoHyphens/>
        <w:spacing w:after="0"/>
        <w:ind w:left="360" w:firstLine="851"/>
        <w:jc w:val="both"/>
        <w:rPr>
          <w:rFonts w:ascii="Times New Roman" w:eastAsia="SimSun" w:hAnsi="Times New Roman"/>
          <w:sz w:val="24"/>
          <w:szCs w:val="24"/>
          <w:lang w:eastAsia="bg-BG"/>
        </w:rPr>
      </w:pPr>
      <w:r w:rsidRPr="00AE47C6">
        <w:rPr>
          <w:rFonts w:ascii="Times New Roman" w:eastAsia="SimSun" w:hAnsi="Times New Roman"/>
          <w:b/>
          <w:bCs/>
          <w:sz w:val="24"/>
          <w:szCs w:val="24"/>
          <w:lang w:eastAsia="bg-BG"/>
        </w:rPr>
        <w:t>Clobazam**</w:t>
      </w:r>
      <w:r w:rsidRPr="00AE47C6">
        <w:rPr>
          <w:rFonts w:ascii="Times New Roman" w:eastAsia="SimSun" w:hAnsi="Times New Roman"/>
          <w:b/>
          <w:sz w:val="24"/>
          <w:szCs w:val="24"/>
          <w:lang w:eastAsia="bg-BG"/>
        </w:rPr>
        <w:t xml:space="preserve"> </w:t>
      </w:r>
      <w:r w:rsidRPr="00AE47C6">
        <w:rPr>
          <w:rFonts w:ascii="Times New Roman" w:eastAsia="SimSun" w:hAnsi="Times New Roman"/>
          <w:sz w:val="24"/>
          <w:szCs w:val="24"/>
          <w:lang w:eastAsia="bg-BG"/>
        </w:rPr>
        <w:t xml:space="preserve">за лечение на абсанси, ГТКП, миоклонии, синдром на Dravet и синдром на Lennox- Gastaut; </w:t>
      </w:r>
      <w:r w:rsidRPr="00AE47C6">
        <w:rPr>
          <w:rFonts w:ascii="Times New Roman" w:eastAsia="SimSun" w:hAnsi="Times New Roman"/>
          <w:b/>
          <w:bCs/>
          <w:sz w:val="24"/>
          <w:szCs w:val="24"/>
          <w:lang w:eastAsia="bg-BG"/>
        </w:rPr>
        <w:t>Nitrazepam**</w:t>
      </w:r>
      <w:r w:rsidRPr="00AE47C6">
        <w:rPr>
          <w:rFonts w:ascii="Times New Roman" w:eastAsia="SimSun" w:hAnsi="Times New Roman"/>
          <w:sz w:val="24"/>
          <w:szCs w:val="24"/>
          <w:lang w:eastAsia="bg-BG"/>
        </w:rPr>
        <w:t xml:space="preserve"> за лечение на синдром на West; </w:t>
      </w:r>
      <w:r w:rsidRPr="00AE47C6">
        <w:rPr>
          <w:rFonts w:ascii="Times New Roman" w:eastAsia="SimSun" w:hAnsi="Times New Roman"/>
          <w:b/>
          <w:bCs/>
          <w:sz w:val="24"/>
          <w:szCs w:val="24"/>
          <w:lang w:eastAsia="bg-BG"/>
        </w:rPr>
        <w:t>Sulthiam**</w:t>
      </w:r>
      <w:r w:rsidRPr="00AE47C6">
        <w:rPr>
          <w:rFonts w:ascii="Times New Roman" w:eastAsia="SimSun" w:hAnsi="Times New Roman"/>
          <w:sz w:val="24"/>
          <w:szCs w:val="24"/>
          <w:lang w:eastAsia="bg-BG"/>
        </w:rPr>
        <w:t xml:space="preserve"> за лечение на фокални пристъпи;</w:t>
      </w:r>
      <w:r w:rsidRPr="00AE47C6">
        <w:rPr>
          <w:rFonts w:ascii="Times New Roman" w:eastAsia="SimSun" w:hAnsi="Times New Roman"/>
          <w:b/>
          <w:bCs/>
          <w:sz w:val="24"/>
          <w:szCs w:val="24"/>
          <w:lang w:eastAsia="bg-BG"/>
        </w:rPr>
        <w:t xml:space="preserve"> Vigabatrin** </w:t>
      </w:r>
      <w:r w:rsidRPr="00AE47C6">
        <w:rPr>
          <w:rFonts w:ascii="Times New Roman" w:eastAsia="SimSun" w:hAnsi="Times New Roman"/>
          <w:sz w:val="24"/>
          <w:szCs w:val="24"/>
          <w:lang w:eastAsia="bg-BG"/>
        </w:rPr>
        <w:t xml:space="preserve">за лечение на синдром на West; </w:t>
      </w:r>
      <w:r w:rsidRPr="00AE47C6">
        <w:rPr>
          <w:rFonts w:ascii="Times New Roman" w:eastAsia="SimSun" w:hAnsi="Times New Roman"/>
          <w:b/>
          <w:bCs/>
          <w:sz w:val="24"/>
          <w:szCs w:val="24"/>
          <w:lang w:eastAsia="bg-BG"/>
        </w:rPr>
        <w:t>Zonisamide**</w:t>
      </w:r>
      <w:r w:rsidRPr="00AE47C6">
        <w:rPr>
          <w:rFonts w:ascii="Times New Roman" w:eastAsia="SimSun" w:hAnsi="Times New Roman"/>
          <w:sz w:val="24"/>
          <w:szCs w:val="24"/>
          <w:lang w:eastAsia="bg-BG"/>
        </w:rPr>
        <w:t xml:space="preserve"> за лечение на фокални и вторично генерализирани пристъпи  при възрастни и деца над 6 г., за миоклонични пристъпи, за синдром на Lennox-Gastaut; </w:t>
      </w:r>
      <w:r w:rsidRPr="00AE47C6">
        <w:rPr>
          <w:rFonts w:ascii="Times New Roman" w:eastAsia="SimSun" w:hAnsi="Times New Roman"/>
          <w:b/>
          <w:bCs/>
          <w:sz w:val="24"/>
          <w:szCs w:val="24"/>
          <w:lang w:eastAsia="bg-BG"/>
        </w:rPr>
        <w:t>Сenobamate**-</w:t>
      </w:r>
      <w:r w:rsidRPr="00AE47C6">
        <w:rPr>
          <w:rFonts w:ascii="Times New Roman" w:eastAsia="SimSun" w:hAnsi="Times New Roman"/>
          <w:bCs/>
          <w:sz w:val="24"/>
          <w:szCs w:val="24"/>
          <w:lang w:eastAsia="bg-BG"/>
        </w:rPr>
        <w:t xml:space="preserve"> при фокални и ВГТКП (ФДТКП) над 18 г;</w:t>
      </w:r>
      <w:r w:rsidRPr="00AE47C6">
        <w:rPr>
          <w:rFonts w:ascii="Times New Roman" w:eastAsia="SimSun" w:hAnsi="Times New Roman"/>
          <w:b/>
          <w:bCs/>
          <w:sz w:val="24"/>
          <w:szCs w:val="24"/>
          <w:lang w:eastAsia="bg-BG"/>
        </w:rPr>
        <w:t xml:space="preserve"> ACTH**</w:t>
      </w:r>
      <w:r w:rsidRPr="00AE47C6">
        <w:rPr>
          <w:rFonts w:ascii="Times New Roman" w:eastAsia="SimSun" w:hAnsi="Times New Roman"/>
          <w:sz w:val="24"/>
          <w:szCs w:val="24"/>
          <w:lang w:eastAsia="bg-BG"/>
        </w:rPr>
        <w:t xml:space="preserve"> за лечение на синдром на West. </w:t>
      </w:r>
    </w:p>
    <w:p w14:paraId="50707F49" w14:textId="77777777" w:rsidR="00BE0B19" w:rsidRPr="00AE47C6" w:rsidRDefault="00BE0B19" w:rsidP="00BE0B19">
      <w:pPr>
        <w:spacing w:after="0" w:line="360" w:lineRule="auto"/>
        <w:ind w:firstLine="709"/>
        <w:jc w:val="both"/>
        <w:rPr>
          <w:rFonts w:ascii="Times New Roman" w:eastAsia="SimSun" w:hAnsi="Times New Roman"/>
          <w:b/>
          <w:sz w:val="24"/>
          <w:szCs w:val="24"/>
        </w:rPr>
      </w:pPr>
    </w:p>
    <w:p w14:paraId="06CFF754"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V. Алгоритъм за проследяване и лечение на пациенти с TSC</w:t>
      </w:r>
    </w:p>
    <w:p w14:paraId="735002E4" w14:textId="77777777" w:rsidR="00BE0B19" w:rsidRPr="00AE47C6" w:rsidRDefault="00BE0B19" w:rsidP="00BE0B19">
      <w:pPr>
        <w:spacing w:after="0" w:line="360" w:lineRule="auto"/>
        <w:ind w:firstLine="709"/>
        <w:jc w:val="both"/>
        <w:rPr>
          <w:rFonts w:ascii="Times New Roman" w:eastAsia="SimSun" w:hAnsi="Times New Roman"/>
          <w:b/>
          <w:sz w:val="24"/>
          <w:szCs w:val="24"/>
          <w:u w:val="single"/>
        </w:rPr>
      </w:pPr>
      <w:r w:rsidRPr="00AE47C6">
        <w:rPr>
          <w:rFonts w:ascii="Times New Roman" w:eastAsia="SimSun" w:hAnsi="Times New Roman"/>
          <w:b/>
          <w:sz w:val="24"/>
          <w:szCs w:val="24"/>
        </w:rPr>
        <w:t xml:space="preserve">1. Препоръки за наблюдение и лечение на лица с </w:t>
      </w:r>
      <w:r w:rsidRPr="00AE47C6">
        <w:rPr>
          <w:rFonts w:ascii="Times New Roman" w:eastAsia="SimSun" w:hAnsi="Times New Roman"/>
          <w:b/>
          <w:sz w:val="24"/>
          <w:szCs w:val="24"/>
          <w:u w:val="single"/>
        </w:rPr>
        <w:t>възможна или с новодиагностицирана TSC</w:t>
      </w:r>
    </w:p>
    <w:p w14:paraId="5F8BD99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При съмнение за наличие на TSC при  установяване на един или повече диагностични критерии (</w:t>
      </w:r>
      <w:r w:rsidRPr="00AE47C6">
        <w:rPr>
          <w:rFonts w:ascii="Times New Roman" w:eastAsia="SimSun" w:hAnsi="Times New Roman"/>
          <w:b/>
          <w:sz w:val="24"/>
          <w:szCs w:val="24"/>
        </w:rPr>
        <w:t>таблица 14.5)</w:t>
      </w:r>
      <w:r w:rsidRPr="00AE47C6">
        <w:rPr>
          <w:rFonts w:ascii="Times New Roman" w:eastAsia="SimSun" w:hAnsi="Times New Roman"/>
          <w:sz w:val="24"/>
          <w:szCs w:val="24"/>
        </w:rPr>
        <w:t xml:space="preserve"> се провеждат изследвания за потвърждение на диагнозата при лица с “възможна” TSC и определяне на степента на заболяването и органното засягане при лица със “сигурна” TSC.</w:t>
      </w:r>
    </w:p>
    <w:p w14:paraId="1326698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Таблица 14.5. </w:t>
      </w:r>
      <w:r w:rsidRPr="00AE47C6">
        <w:rPr>
          <w:rFonts w:ascii="Times New Roman" w:eastAsia="SimSun" w:hAnsi="Times New Roman"/>
          <w:sz w:val="24"/>
          <w:szCs w:val="24"/>
        </w:rPr>
        <w:t>Препоръки за наблюдение и лечение на пациенти с новодиагностицирана или подозирана туберозна склероза (TSC)</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2"/>
        <w:gridCol w:w="7490"/>
      </w:tblGrid>
      <w:tr w:rsidR="00BE0B19" w:rsidRPr="00AE47C6" w14:paraId="60286B2D" w14:textId="77777777" w:rsidTr="00AD72E5">
        <w:tc>
          <w:tcPr>
            <w:tcW w:w="1582" w:type="dxa"/>
          </w:tcPr>
          <w:p w14:paraId="43AABEA0"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Органна система или специалност</w:t>
            </w:r>
          </w:p>
        </w:tc>
        <w:tc>
          <w:tcPr>
            <w:tcW w:w="7769" w:type="dxa"/>
          </w:tcPr>
          <w:p w14:paraId="085FD985"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Препоръка</w:t>
            </w:r>
          </w:p>
        </w:tc>
      </w:tr>
      <w:tr w:rsidR="00BE0B19" w:rsidRPr="00AE47C6" w14:paraId="2CA6913C" w14:textId="77777777" w:rsidTr="00AD72E5">
        <w:tc>
          <w:tcPr>
            <w:tcW w:w="1582" w:type="dxa"/>
          </w:tcPr>
          <w:p w14:paraId="09A48F78"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Генетични данни</w:t>
            </w:r>
          </w:p>
        </w:tc>
        <w:tc>
          <w:tcPr>
            <w:tcW w:w="7769" w:type="dxa"/>
          </w:tcPr>
          <w:p w14:paraId="09209436" w14:textId="77777777" w:rsidR="00BE0B19" w:rsidRPr="00AE47C6" w:rsidRDefault="00BE0B19" w:rsidP="00BE0B19">
            <w:pPr>
              <w:widowControl w:val="0"/>
              <w:numPr>
                <w:ilvl w:val="0"/>
                <w:numId w:val="128"/>
              </w:numPr>
              <w:autoSpaceDE w:val="0"/>
              <w:autoSpaceDN w:val="0"/>
              <w:adjustRightInd w:val="0"/>
              <w:spacing w:after="0" w:line="360" w:lineRule="auto"/>
              <w:ind w:left="142" w:firstLine="0"/>
              <w:contextualSpacing/>
              <w:jc w:val="both"/>
              <w:rPr>
                <w:rFonts w:ascii="Times New Roman" w:eastAsia="SimSun" w:hAnsi="Times New Roman"/>
                <w:sz w:val="24"/>
                <w:szCs w:val="24"/>
              </w:rPr>
            </w:pPr>
            <w:r w:rsidRPr="00AE47C6">
              <w:rPr>
                <w:rFonts w:ascii="Times New Roman" w:eastAsia="SimSun" w:hAnsi="Times New Roman"/>
                <w:sz w:val="24"/>
                <w:szCs w:val="24"/>
              </w:rPr>
              <w:t>Фамилна анамнеза на 3 поколения за оценка на други членове на семейството в риск от КТС</w:t>
            </w:r>
          </w:p>
          <w:p w14:paraId="41E29623" w14:textId="77777777" w:rsidR="00BE0B19" w:rsidRPr="00AE47C6" w:rsidRDefault="00BE0B19" w:rsidP="00BE0B19">
            <w:pPr>
              <w:widowControl w:val="0"/>
              <w:numPr>
                <w:ilvl w:val="0"/>
                <w:numId w:val="128"/>
              </w:numPr>
              <w:autoSpaceDE w:val="0"/>
              <w:autoSpaceDN w:val="0"/>
              <w:adjustRightInd w:val="0"/>
              <w:spacing w:after="0" w:line="360" w:lineRule="auto"/>
              <w:ind w:left="142" w:firstLine="0"/>
              <w:contextualSpacing/>
              <w:jc w:val="both"/>
              <w:rPr>
                <w:rFonts w:ascii="Times New Roman" w:eastAsia="SimSun" w:hAnsi="Times New Roman"/>
                <w:sz w:val="24"/>
                <w:szCs w:val="24"/>
              </w:rPr>
            </w:pPr>
            <w:r w:rsidRPr="00AE47C6">
              <w:rPr>
                <w:rFonts w:ascii="Times New Roman" w:eastAsia="SimSun" w:hAnsi="Times New Roman"/>
                <w:sz w:val="24"/>
                <w:szCs w:val="24"/>
              </w:rPr>
              <w:t>Предложение за генетични изследвания за семейна консултация или когато диагнозата за TSC е възможна, но не може да бъде потвърдена клинично</w:t>
            </w:r>
          </w:p>
        </w:tc>
      </w:tr>
      <w:tr w:rsidR="00BE0B19" w:rsidRPr="00AE47C6" w14:paraId="1F6FD126" w14:textId="77777777" w:rsidTr="00AD72E5">
        <w:tc>
          <w:tcPr>
            <w:tcW w:w="1582" w:type="dxa"/>
          </w:tcPr>
          <w:p w14:paraId="0D1E8071"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Мозък</w:t>
            </w:r>
          </w:p>
        </w:tc>
        <w:tc>
          <w:tcPr>
            <w:tcW w:w="7769" w:type="dxa"/>
          </w:tcPr>
          <w:p w14:paraId="66323A20" w14:textId="77777777" w:rsidR="00BE0B19" w:rsidRPr="00AE47C6" w:rsidRDefault="00BE0B19" w:rsidP="00BE0B19">
            <w:pPr>
              <w:widowControl w:val="0"/>
              <w:numPr>
                <w:ilvl w:val="0"/>
                <w:numId w:val="129"/>
              </w:numPr>
              <w:autoSpaceDE w:val="0"/>
              <w:autoSpaceDN w:val="0"/>
              <w:adjustRightInd w:val="0"/>
              <w:spacing w:after="0" w:line="360" w:lineRule="auto"/>
              <w:ind w:left="142" w:firstLine="0"/>
              <w:contextualSpacing/>
              <w:jc w:val="both"/>
              <w:rPr>
                <w:rFonts w:ascii="Times New Roman" w:eastAsia="SimSun" w:hAnsi="Times New Roman"/>
                <w:sz w:val="24"/>
                <w:szCs w:val="24"/>
              </w:rPr>
            </w:pPr>
            <w:r w:rsidRPr="00AE47C6">
              <w:rPr>
                <w:rFonts w:ascii="Times New Roman" w:eastAsia="SimSun" w:hAnsi="Times New Roman"/>
                <w:sz w:val="24"/>
                <w:szCs w:val="24"/>
              </w:rPr>
              <w:t>Провеждане на МРТ на мозъка за оценка на наличието на тубери, субепендимни  нодули (СЕН), нарушения в невронната миграция и СЕГА.</w:t>
            </w:r>
          </w:p>
          <w:p w14:paraId="2FECDDFA" w14:textId="77777777" w:rsidR="00BE0B19" w:rsidRPr="00AE47C6" w:rsidRDefault="00BE0B19" w:rsidP="00BE0B19">
            <w:pPr>
              <w:widowControl w:val="0"/>
              <w:numPr>
                <w:ilvl w:val="0"/>
                <w:numId w:val="129"/>
              </w:numPr>
              <w:autoSpaceDE w:val="0"/>
              <w:autoSpaceDN w:val="0"/>
              <w:adjustRightInd w:val="0"/>
              <w:spacing w:after="0" w:line="360" w:lineRule="auto"/>
              <w:ind w:left="142" w:firstLine="0"/>
              <w:contextualSpacing/>
              <w:jc w:val="both"/>
              <w:rPr>
                <w:rFonts w:ascii="Times New Roman" w:eastAsia="SimSun" w:hAnsi="Times New Roman"/>
                <w:sz w:val="24"/>
                <w:szCs w:val="24"/>
              </w:rPr>
            </w:pPr>
            <w:r w:rsidRPr="00AE47C6">
              <w:rPr>
                <w:rFonts w:ascii="Times New Roman" w:eastAsia="SimSun" w:hAnsi="Times New Roman"/>
                <w:sz w:val="24"/>
                <w:szCs w:val="24"/>
              </w:rPr>
              <w:t>Оценка за невропсихични нарушения, свързани с TSC (ННСК)</w:t>
            </w:r>
          </w:p>
          <w:p w14:paraId="2D0C9F6E" w14:textId="77777777" w:rsidR="00BE0B19" w:rsidRPr="00AE47C6" w:rsidRDefault="00BE0B19" w:rsidP="00BE0B19">
            <w:pPr>
              <w:widowControl w:val="0"/>
              <w:numPr>
                <w:ilvl w:val="0"/>
                <w:numId w:val="129"/>
              </w:numPr>
              <w:autoSpaceDE w:val="0"/>
              <w:autoSpaceDN w:val="0"/>
              <w:adjustRightInd w:val="0"/>
              <w:spacing w:after="0" w:line="360" w:lineRule="auto"/>
              <w:ind w:left="142" w:firstLine="0"/>
              <w:contextualSpacing/>
              <w:jc w:val="both"/>
              <w:rPr>
                <w:rFonts w:ascii="Times New Roman" w:eastAsia="SimSun" w:hAnsi="Times New Roman"/>
                <w:sz w:val="24"/>
                <w:szCs w:val="24"/>
              </w:rPr>
            </w:pPr>
            <w:r w:rsidRPr="00AE47C6">
              <w:rPr>
                <w:rFonts w:ascii="Times New Roman" w:eastAsia="SimSun" w:hAnsi="Times New Roman"/>
                <w:sz w:val="24"/>
                <w:szCs w:val="24"/>
              </w:rPr>
              <w:t>Обучение на родителите за разпознаване на инфантилни спазми в ранната детска възраст, дори ако към момента на първоначалната диагноза не са наблюдавани такива</w:t>
            </w:r>
          </w:p>
          <w:p w14:paraId="584D101B" w14:textId="77777777" w:rsidR="00BE0B19" w:rsidRPr="00AE47C6" w:rsidRDefault="00BE0B19" w:rsidP="00BE0B19">
            <w:pPr>
              <w:widowControl w:val="0"/>
              <w:numPr>
                <w:ilvl w:val="0"/>
                <w:numId w:val="129"/>
              </w:numPr>
              <w:autoSpaceDE w:val="0"/>
              <w:autoSpaceDN w:val="0"/>
              <w:adjustRightInd w:val="0"/>
              <w:spacing w:after="0" w:line="360" w:lineRule="auto"/>
              <w:ind w:left="142" w:firstLine="0"/>
              <w:contextualSpacing/>
              <w:jc w:val="both"/>
              <w:rPr>
                <w:rFonts w:ascii="Times New Roman" w:eastAsia="SimSun" w:hAnsi="Times New Roman"/>
                <w:sz w:val="24"/>
                <w:szCs w:val="24"/>
              </w:rPr>
            </w:pPr>
            <w:r w:rsidRPr="00AE47C6">
              <w:rPr>
                <w:rFonts w:ascii="Times New Roman" w:eastAsia="SimSun" w:hAnsi="Times New Roman"/>
                <w:sz w:val="24"/>
                <w:szCs w:val="24"/>
              </w:rPr>
              <w:t>Провеждане на стандартна електроенцефалограма (ЕЕГ) на изходно ниво. При отклонение в резултатите, особено при наличие на ННСК – провеждане на 24-часова видео ЕЕГ за оценка за субклинична пристъпна активност.</w:t>
            </w:r>
          </w:p>
        </w:tc>
      </w:tr>
      <w:tr w:rsidR="00BE0B19" w:rsidRPr="00AE47C6" w14:paraId="689AF27F" w14:textId="77777777" w:rsidTr="00AD72E5">
        <w:tc>
          <w:tcPr>
            <w:tcW w:w="1582" w:type="dxa"/>
          </w:tcPr>
          <w:p w14:paraId="1FB76384"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Бъбреци</w:t>
            </w:r>
          </w:p>
        </w:tc>
        <w:tc>
          <w:tcPr>
            <w:tcW w:w="7769" w:type="dxa"/>
          </w:tcPr>
          <w:p w14:paraId="59718815" w14:textId="77777777" w:rsidR="00BE0B19" w:rsidRPr="00AE47C6" w:rsidRDefault="00BE0B19" w:rsidP="00BE0B19">
            <w:pPr>
              <w:widowControl w:val="0"/>
              <w:numPr>
                <w:ilvl w:val="0"/>
                <w:numId w:val="130"/>
              </w:numPr>
              <w:autoSpaceDE w:val="0"/>
              <w:autoSpaceDN w:val="0"/>
              <w:adjustRightInd w:val="0"/>
              <w:spacing w:after="0" w:line="360" w:lineRule="auto"/>
              <w:ind w:left="142" w:firstLine="0"/>
              <w:contextualSpacing/>
              <w:jc w:val="both"/>
              <w:rPr>
                <w:rFonts w:ascii="Times New Roman" w:eastAsia="SimSun" w:hAnsi="Times New Roman"/>
                <w:sz w:val="24"/>
                <w:szCs w:val="24"/>
              </w:rPr>
            </w:pPr>
            <w:r w:rsidRPr="00AE47C6">
              <w:rPr>
                <w:rFonts w:ascii="Times New Roman" w:eastAsia="SimSun" w:hAnsi="Times New Roman"/>
                <w:sz w:val="24"/>
                <w:szCs w:val="24"/>
              </w:rPr>
              <w:t>МРТ на коремна област за оценка за наличие на ангиомиолипом и бъбречни кисти</w:t>
            </w:r>
          </w:p>
          <w:p w14:paraId="737E7241" w14:textId="77777777" w:rsidR="00BE0B19" w:rsidRPr="00AE47C6" w:rsidRDefault="00BE0B19" w:rsidP="00BE0B19">
            <w:pPr>
              <w:widowControl w:val="0"/>
              <w:numPr>
                <w:ilvl w:val="0"/>
                <w:numId w:val="130"/>
              </w:numPr>
              <w:autoSpaceDE w:val="0"/>
              <w:autoSpaceDN w:val="0"/>
              <w:adjustRightInd w:val="0"/>
              <w:spacing w:after="0" w:line="360" w:lineRule="auto"/>
              <w:ind w:left="142" w:firstLine="0"/>
              <w:contextualSpacing/>
              <w:jc w:val="both"/>
              <w:rPr>
                <w:rFonts w:ascii="Times New Roman" w:eastAsia="SimSun" w:hAnsi="Times New Roman"/>
                <w:sz w:val="24"/>
                <w:szCs w:val="24"/>
              </w:rPr>
            </w:pPr>
            <w:r w:rsidRPr="00AE47C6">
              <w:rPr>
                <w:rFonts w:ascii="Times New Roman" w:eastAsia="SimSun" w:hAnsi="Times New Roman"/>
                <w:sz w:val="24"/>
                <w:szCs w:val="24"/>
              </w:rPr>
              <w:t>Проверка за хипертония чрез точно измерване на кръвното налягане</w:t>
            </w:r>
          </w:p>
          <w:p w14:paraId="54F225A4" w14:textId="77777777" w:rsidR="00BE0B19" w:rsidRPr="00AE47C6" w:rsidRDefault="00BE0B19" w:rsidP="00BE0B19">
            <w:pPr>
              <w:widowControl w:val="0"/>
              <w:numPr>
                <w:ilvl w:val="0"/>
                <w:numId w:val="130"/>
              </w:numPr>
              <w:autoSpaceDE w:val="0"/>
              <w:autoSpaceDN w:val="0"/>
              <w:adjustRightInd w:val="0"/>
              <w:spacing w:after="0" w:line="360" w:lineRule="auto"/>
              <w:ind w:left="142" w:firstLine="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Оценка на бъбречната функция чрез определяне на </w:t>
            </w:r>
            <w:r w:rsidRPr="00AE47C6">
              <w:rPr>
                <w:rFonts w:ascii="Times New Roman" w:eastAsia="SimSun" w:hAnsi="Times New Roman"/>
                <w:bCs/>
                <w:sz w:val="24"/>
                <w:szCs w:val="24"/>
              </w:rPr>
              <w:t>скоростта</w:t>
            </w:r>
            <w:r w:rsidRPr="00AE47C6">
              <w:rPr>
                <w:rFonts w:ascii="Times New Roman" w:eastAsia="SimSun" w:hAnsi="Times New Roman"/>
                <w:sz w:val="24"/>
                <w:szCs w:val="24"/>
              </w:rPr>
              <w:t xml:space="preserve"> на </w:t>
            </w:r>
            <w:r w:rsidRPr="00AE47C6">
              <w:rPr>
                <w:rFonts w:ascii="Times New Roman" w:eastAsia="SimSun" w:hAnsi="Times New Roman"/>
                <w:bCs/>
                <w:sz w:val="24"/>
                <w:szCs w:val="24"/>
              </w:rPr>
              <w:t>гломерулната филтрация</w:t>
            </w:r>
            <w:r w:rsidRPr="00AE47C6">
              <w:rPr>
                <w:rFonts w:ascii="Times New Roman" w:eastAsia="SimSun" w:hAnsi="Times New Roman"/>
                <w:sz w:val="24"/>
                <w:szCs w:val="24"/>
              </w:rPr>
              <w:t xml:space="preserve"> (GFR)</w:t>
            </w:r>
          </w:p>
        </w:tc>
      </w:tr>
      <w:tr w:rsidR="00BE0B19" w:rsidRPr="00AE47C6" w14:paraId="518267F2" w14:textId="77777777" w:rsidTr="00AD72E5">
        <w:trPr>
          <w:trHeight w:val="1666"/>
        </w:trPr>
        <w:tc>
          <w:tcPr>
            <w:tcW w:w="1582" w:type="dxa"/>
          </w:tcPr>
          <w:p w14:paraId="1B55DDE3"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Бели дробове</w:t>
            </w:r>
          </w:p>
        </w:tc>
        <w:tc>
          <w:tcPr>
            <w:tcW w:w="7769" w:type="dxa"/>
          </w:tcPr>
          <w:p w14:paraId="482E0895" w14:textId="77777777" w:rsidR="00BE0B19" w:rsidRPr="00AE47C6" w:rsidRDefault="00BE0B19" w:rsidP="00BE0B19">
            <w:pPr>
              <w:widowControl w:val="0"/>
              <w:numPr>
                <w:ilvl w:val="0"/>
                <w:numId w:val="131"/>
              </w:numPr>
              <w:autoSpaceDE w:val="0"/>
              <w:autoSpaceDN w:val="0"/>
              <w:adjustRightInd w:val="0"/>
              <w:spacing w:after="0" w:line="360" w:lineRule="auto"/>
              <w:ind w:left="142" w:firstLine="0"/>
              <w:contextualSpacing/>
              <w:jc w:val="both"/>
              <w:rPr>
                <w:rFonts w:ascii="Times New Roman" w:eastAsia="SimSun" w:hAnsi="Times New Roman"/>
                <w:sz w:val="24"/>
                <w:szCs w:val="24"/>
              </w:rPr>
            </w:pPr>
            <w:r w:rsidRPr="00AE47C6">
              <w:rPr>
                <w:rFonts w:ascii="Times New Roman" w:eastAsia="SimSun" w:hAnsi="Times New Roman"/>
                <w:sz w:val="24"/>
                <w:szCs w:val="24"/>
              </w:rPr>
              <w:t>Изследване на белодробната функция на изходно ниво (изследване на белодробната функция и тест с 6-минутно ходене) и КТ с висока резолюция (HRCT) при пациенти с риск от развитие на лимфангиолейомиоматоза (ЛАМ), дори ако са асимптоматични – обикновено жени над 18 годишна възраст. Симптоматични възрастни пациенти от мъжки пол също трябва да бъдат изследвани</w:t>
            </w:r>
          </w:p>
          <w:p w14:paraId="290C2208" w14:textId="77777777" w:rsidR="00BE0B19" w:rsidRPr="00AE47C6" w:rsidRDefault="00BE0B19" w:rsidP="00BE0B19">
            <w:pPr>
              <w:widowControl w:val="0"/>
              <w:numPr>
                <w:ilvl w:val="0"/>
                <w:numId w:val="131"/>
              </w:numPr>
              <w:autoSpaceDE w:val="0"/>
              <w:autoSpaceDN w:val="0"/>
              <w:adjustRightInd w:val="0"/>
              <w:spacing w:after="0" w:line="360" w:lineRule="auto"/>
              <w:ind w:left="142" w:firstLine="0"/>
              <w:contextualSpacing/>
              <w:jc w:val="both"/>
              <w:rPr>
                <w:rFonts w:ascii="Times New Roman" w:eastAsia="SimSun" w:hAnsi="Times New Roman"/>
                <w:sz w:val="24"/>
                <w:szCs w:val="24"/>
              </w:rPr>
            </w:pPr>
            <w:r w:rsidRPr="00AE47C6">
              <w:rPr>
                <w:rFonts w:ascii="Times New Roman" w:eastAsia="SimSun" w:hAnsi="Times New Roman"/>
                <w:sz w:val="24"/>
                <w:szCs w:val="24"/>
              </w:rPr>
              <w:t>Консултация за рисковете, свързани с тютюнопушенето и употребата на естрогени при девойки и жени</w:t>
            </w:r>
          </w:p>
        </w:tc>
      </w:tr>
      <w:tr w:rsidR="00BE0B19" w:rsidRPr="00AE47C6" w14:paraId="26307894" w14:textId="77777777" w:rsidTr="00AD72E5">
        <w:tc>
          <w:tcPr>
            <w:tcW w:w="1582" w:type="dxa"/>
          </w:tcPr>
          <w:p w14:paraId="12DA7CFE"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Кожа</w:t>
            </w:r>
          </w:p>
        </w:tc>
        <w:tc>
          <w:tcPr>
            <w:tcW w:w="7769" w:type="dxa"/>
          </w:tcPr>
          <w:p w14:paraId="62F9DA16" w14:textId="77777777" w:rsidR="00BE0B19" w:rsidRPr="00AE47C6" w:rsidRDefault="00BE0B19" w:rsidP="00BE0B19">
            <w:pPr>
              <w:widowControl w:val="0"/>
              <w:numPr>
                <w:ilvl w:val="0"/>
                <w:numId w:val="132"/>
              </w:numPr>
              <w:autoSpaceDE w:val="0"/>
              <w:autoSpaceDN w:val="0"/>
              <w:adjustRightInd w:val="0"/>
              <w:spacing w:after="0" w:line="360" w:lineRule="auto"/>
              <w:ind w:left="142" w:firstLine="0"/>
              <w:contextualSpacing/>
              <w:jc w:val="both"/>
              <w:rPr>
                <w:rFonts w:ascii="Times New Roman" w:eastAsia="SimSun" w:hAnsi="Times New Roman"/>
                <w:sz w:val="24"/>
                <w:szCs w:val="24"/>
              </w:rPr>
            </w:pPr>
            <w:r w:rsidRPr="00AE47C6">
              <w:rPr>
                <w:rFonts w:ascii="Times New Roman" w:eastAsia="SimSun" w:hAnsi="Times New Roman"/>
                <w:sz w:val="24"/>
                <w:szCs w:val="24"/>
              </w:rPr>
              <w:t>Провеждане на подробен клиничен дерматологичен преглед</w:t>
            </w:r>
          </w:p>
        </w:tc>
      </w:tr>
      <w:tr w:rsidR="00BE0B19" w:rsidRPr="00AE47C6" w14:paraId="5B91435E" w14:textId="77777777" w:rsidTr="00AD72E5">
        <w:tc>
          <w:tcPr>
            <w:tcW w:w="1582" w:type="dxa"/>
          </w:tcPr>
          <w:p w14:paraId="2C8E7F89"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Зъби</w:t>
            </w:r>
          </w:p>
        </w:tc>
        <w:tc>
          <w:tcPr>
            <w:tcW w:w="7769" w:type="dxa"/>
          </w:tcPr>
          <w:p w14:paraId="71BF8654" w14:textId="77777777" w:rsidR="00BE0B19" w:rsidRPr="00AE47C6" w:rsidRDefault="00BE0B19" w:rsidP="00BE0B19">
            <w:pPr>
              <w:widowControl w:val="0"/>
              <w:numPr>
                <w:ilvl w:val="0"/>
                <w:numId w:val="132"/>
              </w:numPr>
              <w:autoSpaceDE w:val="0"/>
              <w:autoSpaceDN w:val="0"/>
              <w:adjustRightInd w:val="0"/>
              <w:spacing w:after="0" w:line="360" w:lineRule="auto"/>
              <w:ind w:left="142" w:firstLine="0"/>
              <w:contextualSpacing/>
              <w:jc w:val="both"/>
              <w:rPr>
                <w:rFonts w:ascii="Times New Roman" w:eastAsia="SimSun" w:hAnsi="Times New Roman"/>
                <w:sz w:val="24"/>
                <w:szCs w:val="24"/>
              </w:rPr>
            </w:pPr>
            <w:r w:rsidRPr="00AE47C6">
              <w:rPr>
                <w:rFonts w:ascii="Times New Roman" w:eastAsia="SimSun" w:hAnsi="Times New Roman"/>
                <w:sz w:val="24"/>
                <w:szCs w:val="24"/>
              </w:rPr>
              <w:t>Провеждане на подробен клиничен дентален преглед</w:t>
            </w:r>
          </w:p>
        </w:tc>
      </w:tr>
      <w:tr w:rsidR="00BE0B19" w:rsidRPr="00AE47C6" w14:paraId="2DCFD667" w14:textId="77777777" w:rsidTr="00AD72E5">
        <w:tc>
          <w:tcPr>
            <w:tcW w:w="1582" w:type="dxa"/>
          </w:tcPr>
          <w:p w14:paraId="6ED25AEA"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Сърце</w:t>
            </w:r>
          </w:p>
        </w:tc>
        <w:tc>
          <w:tcPr>
            <w:tcW w:w="7769" w:type="dxa"/>
          </w:tcPr>
          <w:p w14:paraId="16F6C72F" w14:textId="77777777" w:rsidR="00BE0B19" w:rsidRPr="00AE47C6" w:rsidRDefault="00BE0B19" w:rsidP="00BE0B19">
            <w:pPr>
              <w:widowControl w:val="0"/>
              <w:numPr>
                <w:ilvl w:val="0"/>
                <w:numId w:val="132"/>
              </w:numPr>
              <w:autoSpaceDE w:val="0"/>
              <w:autoSpaceDN w:val="0"/>
              <w:adjustRightInd w:val="0"/>
              <w:spacing w:after="0" w:line="360" w:lineRule="auto"/>
              <w:ind w:left="142" w:firstLine="0"/>
              <w:contextualSpacing/>
              <w:jc w:val="both"/>
              <w:rPr>
                <w:rFonts w:ascii="Times New Roman" w:eastAsia="SimSun" w:hAnsi="Times New Roman"/>
                <w:sz w:val="24"/>
                <w:szCs w:val="24"/>
              </w:rPr>
            </w:pPr>
            <w:r w:rsidRPr="00AE47C6">
              <w:rPr>
                <w:rFonts w:ascii="Times New Roman" w:eastAsia="SimSun" w:hAnsi="Times New Roman"/>
                <w:sz w:val="24"/>
                <w:szCs w:val="24"/>
              </w:rPr>
              <w:t>Да се обмисли провеждане на фетална ехокардиография, ако има установени рабдомиоми чрез пренатална ехография, с цел определяне на лицата с висок риск от сърдечна недостатъчност след раждане</w:t>
            </w:r>
          </w:p>
          <w:p w14:paraId="14441970" w14:textId="77777777" w:rsidR="00BE0B19" w:rsidRPr="00AE47C6" w:rsidRDefault="00BE0B19" w:rsidP="00BE0B19">
            <w:pPr>
              <w:widowControl w:val="0"/>
              <w:numPr>
                <w:ilvl w:val="0"/>
                <w:numId w:val="132"/>
              </w:numPr>
              <w:autoSpaceDE w:val="0"/>
              <w:autoSpaceDN w:val="0"/>
              <w:adjustRightInd w:val="0"/>
              <w:spacing w:after="0" w:line="360" w:lineRule="auto"/>
              <w:ind w:left="142" w:firstLine="0"/>
              <w:contextualSpacing/>
              <w:jc w:val="both"/>
              <w:rPr>
                <w:rFonts w:ascii="Times New Roman" w:eastAsia="SimSun" w:hAnsi="Times New Roman"/>
                <w:sz w:val="24"/>
                <w:szCs w:val="24"/>
              </w:rPr>
            </w:pPr>
            <w:r w:rsidRPr="00AE47C6">
              <w:rPr>
                <w:rFonts w:ascii="Times New Roman" w:eastAsia="SimSun" w:hAnsi="Times New Roman"/>
                <w:sz w:val="24"/>
                <w:szCs w:val="24"/>
              </w:rPr>
              <w:t>Ехокардиограма при деца, особено под 3-годишна възраст</w:t>
            </w:r>
          </w:p>
          <w:p w14:paraId="13909C7B" w14:textId="77777777" w:rsidR="00BE0B19" w:rsidRPr="00AE47C6" w:rsidRDefault="00BE0B19" w:rsidP="00BE0B19">
            <w:pPr>
              <w:widowControl w:val="0"/>
              <w:numPr>
                <w:ilvl w:val="0"/>
                <w:numId w:val="132"/>
              </w:numPr>
              <w:autoSpaceDE w:val="0"/>
              <w:autoSpaceDN w:val="0"/>
              <w:adjustRightInd w:val="0"/>
              <w:spacing w:after="0" w:line="360" w:lineRule="auto"/>
              <w:ind w:left="142" w:firstLine="0"/>
              <w:contextualSpacing/>
              <w:jc w:val="both"/>
              <w:rPr>
                <w:rFonts w:ascii="Times New Roman" w:eastAsia="SimSun" w:hAnsi="Times New Roman"/>
                <w:sz w:val="24"/>
                <w:szCs w:val="24"/>
              </w:rPr>
            </w:pPr>
            <w:r w:rsidRPr="00AE47C6">
              <w:rPr>
                <w:rFonts w:ascii="Times New Roman" w:eastAsia="SimSun" w:hAnsi="Times New Roman"/>
                <w:sz w:val="24"/>
                <w:szCs w:val="24"/>
              </w:rPr>
              <w:t>Провеждане ЕКГ при пациенти от всички възрасти за оценка на скрити дефекти, свързани с проводимостта</w:t>
            </w:r>
          </w:p>
        </w:tc>
      </w:tr>
      <w:tr w:rsidR="00BE0B19" w:rsidRPr="00AE47C6" w14:paraId="56E1C0B4" w14:textId="77777777" w:rsidTr="00AD72E5">
        <w:tc>
          <w:tcPr>
            <w:tcW w:w="1582" w:type="dxa"/>
          </w:tcPr>
          <w:p w14:paraId="1960FE5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Очи</w:t>
            </w:r>
          </w:p>
        </w:tc>
        <w:tc>
          <w:tcPr>
            <w:tcW w:w="7769" w:type="dxa"/>
          </w:tcPr>
          <w:p w14:paraId="390A300A" w14:textId="77777777" w:rsidR="00BE0B19" w:rsidRPr="00AE47C6" w:rsidRDefault="00BE0B19" w:rsidP="00BE0B19">
            <w:pPr>
              <w:widowControl w:val="0"/>
              <w:numPr>
                <w:ilvl w:val="0"/>
                <w:numId w:val="133"/>
              </w:numPr>
              <w:autoSpaceDE w:val="0"/>
              <w:autoSpaceDN w:val="0"/>
              <w:adjustRightInd w:val="0"/>
              <w:spacing w:after="0" w:line="360" w:lineRule="auto"/>
              <w:ind w:left="142" w:firstLine="0"/>
              <w:contextualSpacing/>
              <w:jc w:val="both"/>
              <w:rPr>
                <w:rFonts w:ascii="Times New Roman" w:eastAsia="SimSun" w:hAnsi="Times New Roman"/>
                <w:sz w:val="24"/>
                <w:szCs w:val="24"/>
              </w:rPr>
            </w:pPr>
            <w:r w:rsidRPr="00AE47C6">
              <w:rPr>
                <w:rFonts w:ascii="Times New Roman" w:eastAsia="SimSun" w:hAnsi="Times New Roman"/>
                <w:sz w:val="24"/>
                <w:szCs w:val="24"/>
              </w:rPr>
              <w:t>Пълен офталмологичен преглед, включително фундоскопия след разширяване на зениците, за оценка на ретинни лезии и дефицити на зрителното поле</w:t>
            </w:r>
          </w:p>
        </w:tc>
      </w:tr>
    </w:tbl>
    <w:p w14:paraId="2DAAA7C3"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rPr>
      </w:pPr>
    </w:p>
    <w:p w14:paraId="06F2ACAD"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r w:rsidRPr="00AE47C6">
        <w:rPr>
          <w:rFonts w:ascii="Times New Roman" w:eastAsia="SimSun" w:hAnsi="Times New Roman"/>
          <w:b/>
          <w:sz w:val="24"/>
          <w:szCs w:val="24"/>
          <w:lang w:eastAsia="bg-BG"/>
        </w:rPr>
        <w:t xml:space="preserve">Генетични данни. </w:t>
      </w:r>
      <w:r w:rsidRPr="00AE47C6">
        <w:rPr>
          <w:rFonts w:ascii="Times New Roman" w:eastAsia="SimSun" w:hAnsi="Times New Roman"/>
          <w:sz w:val="24"/>
          <w:szCs w:val="24"/>
          <w:lang w:eastAsia="bg-BG"/>
        </w:rPr>
        <w:t xml:space="preserve">При всички пациенти е необходима фамилна анамнеза на три поколения. Препоръчват се генетични изследвания за целите на семейна консултация или когато е налице съмнение или подозрение за диагноза TSC, но не може да бъде потвърдена клинично </w:t>
      </w:r>
    </w:p>
    <w:p w14:paraId="26D70B3E"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r w:rsidRPr="00AE47C6">
        <w:rPr>
          <w:rFonts w:ascii="Times New Roman" w:eastAsia="SimSun" w:hAnsi="Times New Roman"/>
          <w:b/>
          <w:sz w:val="24"/>
          <w:szCs w:val="24"/>
          <w:lang w:eastAsia="bg-BG"/>
        </w:rPr>
        <w:t xml:space="preserve">Мозък. </w:t>
      </w:r>
      <w:r w:rsidRPr="00AE47C6">
        <w:rPr>
          <w:rFonts w:ascii="Times New Roman" w:eastAsia="SimSun" w:hAnsi="Times New Roman"/>
          <w:sz w:val="24"/>
          <w:szCs w:val="24"/>
          <w:lang w:eastAsia="bg-BG"/>
        </w:rPr>
        <w:t>Всички лица, при които има съмнение за TSC, трябва да се изследват чрез МРТ на главния мозък с и без gadolinium, независимо от възрастта на пациента, за оценка на наличието на корови/субкорови тубери, СЕН, други видове нарушения в невронната миграция и СЕГА. Може да се използва КТ, а в кърмаческа възраст ултразвуково изследване на глава, но резултатите от тях са по-неинформативни в сравнение с МРТ.</w:t>
      </w:r>
    </w:p>
    <w:p w14:paraId="22D70B50"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sz w:val="24"/>
          <w:szCs w:val="24"/>
          <w:lang w:eastAsia="bg-BG"/>
        </w:rPr>
      </w:pPr>
      <w:r w:rsidRPr="00AE47C6">
        <w:rPr>
          <w:rFonts w:ascii="Times New Roman" w:eastAsia="SimSun" w:hAnsi="Times New Roman"/>
          <w:b/>
          <w:sz w:val="24"/>
          <w:szCs w:val="24"/>
          <w:lang w:eastAsia="bg-BG"/>
        </w:rPr>
        <w:t xml:space="preserve">Бъбреци. </w:t>
      </w:r>
      <w:r w:rsidRPr="00AE47C6">
        <w:rPr>
          <w:rFonts w:ascii="Times New Roman" w:eastAsia="SimSun" w:hAnsi="Times New Roman"/>
          <w:sz w:val="24"/>
          <w:szCs w:val="24"/>
          <w:lang w:eastAsia="bg-BG"/>
        </w:rPr>
        <w:t>При поставяне на диагнозата се провежда образна диагностика на коремната област независимо от възрастта на пациента. Както при мозъка, предпочитаният метод за оценка на наличие на ангиомиолипоми е МРТ, защото често са бедни на мазнини и поради това не се виждат при провеждане на коремна КТ или ултразвуково изследване. МРТ на коремната област може да бъде проведена заедно с МРТ на мозъка, което ограничава необходимостта от многократно приложение на анестезия, в случай че тя е необходима. МРТ на коремната област може да разкрие извънбъбречни хамартоми- на черния дроб, панкреаса и други коремни органи, които са възможни при пациенти с TSC, както и аортни аневризми. Точното измерване на кръвното налягане е необходимо поради повишен риск от вторична хипертония. За оценка на бъбречната функция към момента на диагностициране следва да се направят кръвни изследвания за определяне на скоростта на гломерулната филтрация (GFR) с помощта на формули за изчисление на креатинина за възрастни или деца. Като алтернативен метод за оценка на GFR може да се използва измерване на серумната концентрация на цистатин C.</w:t>
      </w:r>
    </w:p>
    <w:p w14:paraId="2ED9C1F9"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 xml:space="preserve">Бели дробове. </w:t>
      </w:r>
      <w:r w:rsidRPr="00AE47C6">
        <w:rPr>
          <w:rFonts w:ascii="Times New Roman" w:eastAsia="SimSun" w:hAnsi="Times New Roman"/>
          <w:sz w:val="24"/>
          <w:szCs w:val="24"/>
        </w:rPr>
        <w:t xml:space="preserve">С цел оценка за наличие на ЛАМ при жени над 18 годишна възраст трябва да се направи изследване на белодробната функция, тест с 6-минутно ходене и компютърна томография с висока резолюция (HRCT) на белите дробове. При възможност трябва да се използват нискодозови протоколи. Серумното ниво на съдово-ендотелен растежен фактор тип D (VEGF-D) може да бъде полезно за установяване на изходно ниво за развитие или прогресия на ЛАМ в бъдеще. Подрастващите и възрастните пациенти трябва също така да бъдат консултирани относно рисковете свързани с тютюнопушенето и употребата на естрогени (като някои орални контрацептивни средства), които могат да утежнят въздействието на ЛАМ. </w:t>
      </w:r>
    </w:p>
    <w:p w14:paraId="72F332FD"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 xml:space="preserve">Кожа и зъби. </w:t>
      </w:r>
      <w:r w:rsidRPr="00AE47C6">
        <w:rPr>
          <w:rFonts w:ascii="Times New Roman" w:eastAsia="SimSun" w:hAnsi="Times New Roman"/>
          <w:sz w:val="24"/>
          <w:szCs w:val="24"/>
        </w:rPr>
        <w:t xml:space="preserve">Всички пациенти трябва да преминат през подробен клиничен дерматологичен и стоматологичен преглед към момента на диагностициране, за разкриване на лицеви ангиофиброми, фиброзни плаки по скалпа, хипо-меланотични петна или лезии тип конфети, фиброми по ноктите, шагренови петна, дефекти в зъбния емайл и интраорални фиброми. </w:t>
      </w:r>
    </w:p>
    <w:p w14:paraId="76F80353"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 xml:space="preserve">Сърце. </w:t>
      </w:r>
      <w:r w:rsidRPr="00AE47C6">
        <w:rPr>
          <w:rFonts w:ascii="Times New Roman" w:eastAsia="SimSun" w:hAnsi="Times New Roman"/>
          <w:sz w:val="24"/>
          <w:szCs w:val="24"/>
        </w:rPr>
        <w:t xml:space="preserve">При децата, особено под 3-годишна възраст, трябва да се направи ехокардиография (ЕхоКГ) и електрокардиограма (ЕКГ) за установяване наличието на рабдомиоми и/или аритмия. При пациентите с рабдомиоми, установени чрез пренатална ехография, може да се използва фетална ехокардиограма за определяне на лицата с висок риск от сърдечна недостатъчност след раждане. Ако няма кардиологични симптоми, не е необходимо извършване на ехокардиограма при възрастните пациенти, но поради възможно наличие на дефекти, свързани с проводимостта, които могат да окажат влияние на избора и дозирането на лекарства, се препоръчва провеждане на ЕКГ на изходно ниво. </w:t>
      </w:r>
    </w:p>
    <w:p w14:paraId="23A48B41"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 xml:space="preserve">Очи. </w:t>
      </w:r>
      <w:r w:rsidRPr="00AE47C6">
        <w:rPr>
          <w:rFonts w:ascii="Times New Roman" w:eastAsia="SimSun" w:hAnsi="Times New Roman"/>
          <w:sz w:val="24"/>
          <w:szCs w:val="24"/>
        </w:rPr>
        <w:t xml:space="preserve">Препоръчва се извършване на офталмологичен преглед, включително фундоскопия, при всички диагностицирани за КТС лица, с цел оценка за хамартоми и хипопигментни лезии на ретината. </w:t>
      </w:r>
    </w:p>
    <w:p w14:paraId="7A7EF914" w14:textId="77777777" w:rsidR="00BE0B19" w:rsidRPr="00AE47C6" w:rsidRDefault="00BE0B19" w:rsidP="00BE0B19">
      <w:pPr>
        <w:spacing w:after="0" w:line="360" w:lineRule="auto"/>
        <w:ind w:firstLine="709"/>
        <w:jc w:val="both"/>
        <w:rPr>
          <w:rFonts w:ascii="Times New Roman" w:eastAsia="SimSun" w:hAnsi="Times New Roman"/>
          <w:b/>
          <w:sz w:val="24"/>
          <w:szCs w:val="24"/>
        </w:rPr>
      </w:pPr>
      <w:r w:rsidRPr="00AE47C6">
        <w:rPr>
          <w:rFonts w:ascii="Times New Roman" w:eastAsia="SimSun" w:hAnsi="Times New Roman"/>
          <w:b/>
          <w:sz w:val="24"/>
          <w:szCs w:val="24"/>
        </w:rPr>
        <w:t xml:space="preserve">Други. </w:t>
      </w:r>
      <w:r w:rsidRPr="00AE47C6">
        <w:rPr>
          <w:rFonts w:ascii="Times New Roman" w:eastAsia="SimSun" w:hAnsi="Times New Roman"/>
          <w:sz w:val="24"/>
          <w:szCs w:val="24"/>
        </w:rPr>
        <w:t>Въпреки че някои съдови аневризми, гастроинтестинални полипи, костни кисти и различни ендокринопатии могат да бъдат свързани с TSC, няма достатъчно доказателства в подкрепа на извършване на стандартна оценка към момента на диагностициране, освен ако не са налице клинични симптоми, които налагат специфично изследване.</w:t>
      </w:r>
    </w:p>
    <w:p w14:paraId="74266481" w14:textId="77777777" w:rsidR="00BE0B19" w:rsidRPr="00AE47C6" w:rsidRDefault="00BE0B19" w:rsidP="00BE0B19">
      <w:pPr>
        <w:numPr>
          <w:ilvl w:val="0"/>
          <w:numId w:val="181"/>
        </w:numPr>
        <w:spacing w:after="0" w:line="360" w:lineRule="auto"/>
        <w:contextualSpacing/>
        <w:jc w:val="both"/>
        <w:rPr>
          <w:rFonts w:ascii="Times New Roman" w:eastAsia="SimSun" w:hAnsi="Times New Roman"/>
          <w:b/>
          <w:sz w:val="24"/>
          <w:szCs w:val="24"/>
          <w:u w:val="single"/>
        </w:rPr>
      </w:pPr>
      <w:r w:rsidRPr="00AE47C6">
        <w:rPr>
          <w:rFonts w:ascii="Times New Roman" w:eastAsia="SimSun" w:hAnsi="Times New Roman"/>
          <w:b/>
          <w:sz w:val="24"/>
          <w:szCs w:val="24"/>
        </w:rPr>
        <w:t xml:space="preserve">Препоръки за </w:t>
      </w:r>
      <w:r w:rsidRPr="00AE47C6">
        <w:rPr>
          <w:rFonts w:ascii="Times New Roman" w:eastAsia="SimSun" w:hAnsi="Times New Roman"/>
          <w:b/>
          <w:sz w:val="24"/>
          <w:szCs w:val="24"/>
          <w:u w:val="single"/>
        </w:rPr>
        <w:t>продължаващо наблюдение и лечение за лица с установена диагноза TSC.</w:t>
      </w:r>
    </w:p>
    <w:p w14:paraId="7FEAACF5" w14:textId="77777777" w:rsidR="00BE0B19" w:rsidRPr="00AE47C6" w:rsidRDefault="00BE0B19" w:rsidP="00BE0B19">
      <w:pPr>
        <w:autoSpaceDE w:val="0"/>
        <w:autoSpaceDN w:val="0"/>
        <w:adjustRightInd w:val="0"/>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След установяването на диагнозата TSC и приключването на първоначалните диагностични оценки е необходимо продължаващо наблюдението с цел проследяване на прогресията на установените проблеми или лезии и възникването на нови (Таблица 14.6). Някои прояви започват в детството и има по-малка вероятност да причинят нови проблеми в зряла възраст, като сърдечни рабдомиоми или субепендимни гигантоклетъчни астроцитоми. Обратно, ЛАМ обикновено се появяват само при възрастни пациенти, а бъбречните прояви изискват значително по-сериозно проследяване и интервенции в зряла възраст, отколкото в детството, заради кумулативното естество на ангиомиолипомите и други бъбречни лезии. Други аспекти от TSC могат да съществуват през целия живот на пациента – например епилепсия и ННСК, но специфичните прояви и влиянието върху здравето и качеството на живот варират. След първоначалното поставяне на диагнозата е необходимо продължаващо периодично наблюдение за осигуряване на оптимални здравни грижи и превенция на вторични усложнения, свързани с TSC. Овладяването на специфичните усложнения на КТС налага консултиране с интердисциплинарен екип.</w:t>
      </w:r>
    </w:p>
    <w:p w14:paraId="68FA3C3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Таблица 14.6.</w:t>
      </w:r>
      <w:r w:rsidRPr="00AE47C6">
        <w:rPr>
          <w:rFonts w:ascii="Times New Roman" w:eastAsia="SimSun" w:hAnsi="Times New Roman"/>
          <w:sz w:val="24"/>
          <w:szCs w:val="24"/>
        </w:rPr>
        <w:t xml:space="preserve"> Препоръки за наблюдение и лечение на пациенти с поставена диагноза установена или потенциална комплексна туберозна склероза (TSC)</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07"/>
        <w:gridCol w:w="7065"/>
      </w:tblGrid>
      <w:tr w:rsidR="00BE0B19" w:rsidRPr="00AE47C6" w14:paraId="05CCA5DD" w14:textId="77777777" w:rsidTr="00AD72E5">
        <w:trPr>
          <w:trHeight w:val="1087"/>
        </w:trPr>
        <w:tc>
          <w:tcPr>
            <w:tcW w:w="2007" w:type="dxa"/>
          </w:tcPr>
          <w:p w14:paraId="62E43A7B"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Органна система или специалност</w:t>
            </w:r>
          </w:p>
        </w:tc>
        <w:tc>
          <w:tcPr>
            <w:tcW w:w="7065" w:type="dxa"/>
          </w:tcPr>
          <w:p w14:paraId="68A4653C"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Препоръка</w:t>
            </w:r>
          </w:p>
        </w:tc>
      </w:tr>
      <w:tr w:rsidR="00BE0B19" w:rsidRPr="00AE47C6" w14:paraId="06866DDE" w14:textId="77777777" w:rsidTr="00AD72E5">
        <w:tc>
          <w:tcPr>
            <w:tcW w:w="2007" w:type="dxa"/>
          </w:tcPr>
          <w:p w14:paraId="1703B474"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Генетични изследвания</w:t>
            </w:r>
          </w:p>
        </w:tc>
        <w:tc>
          <w:tcPr>
            <w:tcW w:w="7065" w:type="dxa"/>
          </w:tcPr>
          <w:p w14:paraId="042E7D38"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Предложение за генетични изследвания и семейна консултация, ако досега не са правени, за лица в репродуктивна възраст, обмислящи да имат деца.</w:t>
            </w:r>
          </w:p>
        </w:tc>
      </w:tr>
      <w:tr w:rsidR="00BE0B19" w:rsidRPr="00AE47C6" w14:paraId="4487F74B" w14:textId="77777777" w:rsidTr="00AD72E5">
        <w:trPr>
          <w:trHeight w:val="2073"/>
        </w:trPr>
        <w:tc>
          <w:tcPr>
            <w:tcW w:w="2007" w:type="dxa"/>
          </w:tcPr>
          <w:p w14:paraId="6E318AAE"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Мозък</w:t>
            </w:r>
          </w:p>
        </w:tc>
        <w:tc>
          <w:tcPr>
            <w:tcW w:w="7065" w:type="dxa"/>
          </w:tcPr>
          <w:p w14:paraId="7DA2156A"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i/>
                <w:sz w:val="24"/>
                <w:szCs w:val="24"/>
              </w:rPr>
              <w:t xml:space="preserve">МРТ на мозъка </w:t>
            </w:r>
            <w:r w:rsidRPr="00AE47C6">
              <w:rPr>
                <w:rFonts w:ascii="Times New Roman" w:eastAsia="SimSun" w:hAnsi="Times New Roman"/>
                <w:sz w:val="24"/>
                <w:szCs w:val="24"/>
              </w:rPr>
              <w:t>през 1 – 3 години при асимптоматични пациенти с TSC под 25-годишна възраст за проследяване на поява на СЕГА. Пациентите с големи или нарастващи СЕГА, или СЕГА, водещи до асимптомно разширение на вентрикулите, трябва да се подлагат на МРТ на по-кратки интервали и пациентите и близките им трябва да бъдат обучени относно потенциала за нови симптоми. Пациентите с асимптомни СЕГА в детството трябва да продължат периодично да се подлагат на образни изследвания и в зряла възраст, за да се гарантира, че няма растеж.</w:t>
            </w:r>
          </w:p>
          <w:p w14:paraId="4E1C8C67"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i/>
                <w:sz w:val="24"/>
                <w:szCs w:val="24"/>
              </w:rPr>
              <w:t>Хирургична резекция при остро симптоматични СЕГА</w:t>
            </w:r>
            <w:r w:rsidRPr="00AE47C6">
              <w:rPr>
                <w:rFonts w:ascii="Times New Roman" w:eastAsia="SimSun" w:hAnsi="Times New Roman"/>
                <w:sz w:val="24"/>
                <w:szCs w:val="24"/>
              </w:rPr>
              <w:t>. Възможно е ликвор-дренираща операция (шънт). При избор на хирургична резекция или медикаментозното лечение с mTOR инхибитор при нарастващи, но асимптоматични СЕГА, се оценяват рисковете от усложнения, нежеланите реакции, стойността, продължителността на лечението и потенциалното влияние върху коморбидността на TSC.</w:t>
            </w:r>
          </w:p>
          <w:p w14:paraId="38431FDD"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Изследване за невропсихични нарушения, свързани с TSC (ННСК), поне веднъж годишно. Извършване на цялостна официална оценка за ННСК в ключови времеви периоди на развитието: ранно детство (0–3 г.), предучилищна възраст (3–6г.), начална училищна възраст (6–9г.), юношество (12–16 г.), ранна младост (18–25 г.) и ако е необходимо, и след това. Стратегиите за контрол трябва да са основани на профила на ННСК на всеки пациент и на научно обосновани насоки за добри практики/параметри за отделните нарушения (напр. нарушение от аутистичния спектър, синдром на хиперактивност с дефицит на вниманието, тревожно разстройство). Да се обмисли необходимостта от индивидуален образователен план (ИОП). При внезапна промяна в поведението трябва да се направи медицинска/клинична оценка, за да се потърсят потенциални медицински причини за нея (напр. пристъпи, бъбречно заболяване).</w:t>
            </w:r>
          </w:p>
          <w:p w14:paraId="022A2FF7"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Провеждане на стандартна ЕЕГ при лица с известна или подозирана епилепсия. Честотата на стандартната ЕЕГ се определя според клиничната необходимост, вместо да следва определен интервал. Продължителна видео ЕЕГ от 24 часа или повече е подходяща при съмнение за пристъпи или при наличие на необяснени промени в съня, поведението или друго изменение в когнитивната или неврологичната функция.</w:t>
            </w:r>
          </w:p>
          <w:p w14:paraId="277EBF91"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i/>
                <w:sz w:val="24"/>
                <w:szCs w:val="24"/>
              </w:rPr>
              <w:t>Vigabatrin</w:t>
            </w:r>
            <w:r w:rsidRPr="00AE47C6">
              <w:rPr>
                <w:rFonts w:ascii="Times New Roman" w:eastAsia="SimSun" w:hAnsi="Times New Roman"/>
                <w:sz w:val="24"/>
                <w:szCs w:val="24"/>
              </w:rPr>
              <w:t xml:space="preserve"> е препоръчан като средство на избор при инфантилни спазми, а при неуспех може да се използва адренокортикотропен хормон (ACTH). Другите антиепилептични средства се прилагат според вида на епилептични пристъпи при конкретния пациент. Преценката за хирургично лечение при пациентите с медикаментозно-резистентна епилепсия при TSC, се извършена в център за хирургия на епилепсията.</w:t>
            </w:r>
          </w:p>
        </w:tc>
      </w:tr>
      <w:tr w:rsidR="00BE0B19" w:rsidRPr="00AE47C6" w14:paraId="026887C6" w14:textId="77777777" w:rsidTr="00AD72E5">
        <w:trPr>
          <w:trHeight w:val="2342"/>
        </w:trPr>
        <w:tc>
          <w:tcPr>
            <w:tcW w:w="2007" w:type="dxa"/>
          </w:tcPr>
          <w:p w14:paraId="2F26CC04"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Бъбреци</w:t>
            </w:r>
          </w:p>
        </w:tc>
        <w:tc>
          <w:tcPr>
            <w:tcW w:w="7065" w:type="dxa"/>
          </w:tcPr>
          <w:p w14:paraId="7E6D9223"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МРТ на коремна област на всеки 1–3 години до края на живота на пациента с цел проследяване за прогресия на ангиомиолипом и бъбречни кисти.</w:t>
            </w:r>
          </w:p>
          <w:p w14:paraId="4C8C3D01"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 xml:space="preserve">Оценка на бъбречната функция (вкл. определяне на </w:t>
            </w:r>
            <w:r w:rsidRPr="00AE47C6">
              <w:rPr>
                <w:rFonts w:ascii="Times New Roman" w:eastAsia="SimSun" w:hAnsi="Times New Roman"/>
                <w:bCs/>
                <w:sz w:val="24"/>
                <w:szCs w:val="24"/>
              </w:rPr>
              <w:t>скоростта</w:t>
            </w:r>
            <w:r w:rsidRPr="00AE47C6">
              <w:rPr>
                <w:rFonts w:ascii="Times New Roman" w:eastAsia="SimSun" w:hAnsi="Times New Roman"/>
                <w:sz w:val="24"/>
                <w:szCs w:val="24"/>
              </w:rPr>
              <w:t xml:space="preserve"> на </w:t>
            </w:r>
            <w:r w:rsidRPr="00AE47C6">
              <w:rPr>
                <w:rFonts w:ascii="Times New Roman" w:eastAsia="SimSun" w:hAnsi="Times New Roman"/>
                <w:bCs/>
                <w:sz w:val="24"/>
                <w:szCs w:val="24"/>
              </w:rPr>
              <w:t>гломерулната филтрация</w:t>
            </w:r>
            <w:r w:rsidRPr="00AE47C6">
              <w:rPr>
                <w:rFonts w:ascii="Times New Roman" w:eastAsia="SimSun" w:hAnsi="Times New Roman"/>
                <w:sz w:val="24"/>
                <w:szCs w:val="24"/>
              </w:rPr>
              <w:t xml:space="preserve"> (GFR) и кръвното налягане най-малко веднъж годишно</w:t>
            </w:r>
          </w:p>
          <w:p w14:paraId="3B0D259B"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Емболизация, последвана от прилагане на кортикостероиди, като I линия на лечение за ангиомиолипом с остър кръвоизлив. Да се избягва нефректомия. Лечение с mTOR инхибитор като I линия на лечение за асимптоматичен, нарастващ ангиомиолипом с диаметър &gt;2 cm. Селективна емболизация или резекция, щадяща бъбреците, са подходящи като II линия на лечение за асимптоматичен ангиомиолипом.</w:t>
            </w:r>
          </w:p>
        </w:tc>
      </w:tr>
      <w:tr w:rsidR="00BE0B19" w:rsidRPr="00AE47C6" w14:paraId="126DAD3D" w14:textId="77777777" w:rsidTr="00AD72E5">
        <w:trPr>
          <w:trHeight w:val="699"/>
        </w:trPr>
        <w:tc>
          <w:tcPr>
            <w:tcW w:w="2007" w:type="dxa"/>
          </w:tcPr>
          <w:p w14:paraId="7F2D6FF2"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Бели дробове</w:t>
            </w:r>
          </w:p>
        </w:tc>
        <w:tc>
          <w:tcPr>
            <w:tcW w:w="7065" w:type="dxa"/>
          </w:tcPr>
          <w:p w14:paraId="0D2C9FE4"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Клиничен скрининг за симптоми на лимфангиолейомиоматоза (ЛАМ), включително диспнея и задух при усилие, при всяка клинична визита. Консултация относно рисковете, свързани с тютюнопушенето и употребата на естрогени при лица, изложени на риск от ЛАМ, на всяка клинична визита</w:t>
            </w:r>
          </w:p>
          <w:p w14:paraId="03FE9385"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КТ с висока резолюция (HRCT) на всеки 5–10 години при асимптоматични пациенти с риск от ЛАМ, ако няма данни за белодробни кисти в HRCT на изходното ниво. Ежегодно изследване на белодробната функция (изследване на белодробната функция и тест с 6-минутно ходене) и HRCT на всеки 2–3 години за пациентите, при които са открити белодробни кисти от HRCT</w:t>
            </w:r>
          </w:p>
          <w:p w14:paraId="586E16CD"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Могат да се използват mTOR инхибитори за лечение на ЛАМ при пациенти с умерена до тежка или бърза прогресия на белодробна болест. Пациенти с КТС и ЛАМ са кандидати за трансплантация на бял дроб, но съпътстващите КТС заболявания могат да повлияят на пригодността на пациента за трансплантация.</w:t>
            </w:r>
          </w:p>
        </w:tc>
      </w:tr>
      <w:tr w:rsidR="00BE0B19" w:rsidRPr="00AE47C6" w14:paraId="715C0C71" w14:textId="77777777" w:rsidTr="00AD72E5">
        <w:tc>
          <w:tcPr>
            <w:tcW w:w="2007" w:type="dxa"/>
          </w:tcPr>
          <w:p w14:paraId="149BACD1"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Кожа</w:t>
            </w:r>
          </w:p>
        </w:tc>
        <w:tc>
          <w:tcPr>
            <w:tcW w:w="7065" w:type="dxa"/>
          </w:tcPr>
          <w:p w14:paraId="3341957C"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Ежегоден подробен дерматологичен преглед.</w:t>
            </w:r>
          </w:p>
          <w:p w14:paraId="76107B6D"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Подходящо лечение на бързо променящи се, обезобразяващи или симптоматични кожни лезии, свързани с КТС, според лезията и клиничната обстановка, с подходи като хирургична ексцизия, лазер(и) или евентуално с локален mTOR инхибитор.</w:t>
            </w:r>
          </w:p>
        </w:tc>
      </w:tr>
      <w:tr w:rsidR="00BE0B19" w:rsidRPr="00AE47C6" w14:paraId="002E1EAB" w14:textId="77777777" w:rsidTr="00AD72E5">
        <w:tc>
          <w:tcPr>
            <w:tcW w:w="2007" w:type="dxa"/>
          </w:tcPr>
          <w:p w14:paraId="73563106"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Зъби</w:t>
            </w:r>
          </w:p>
        </w:tc>
        <w:tc>
          <w:tcPr>
            <w:tcW w:w="7065" w:type="dxa"/>
          </w:tcPr>
          <w:p w14:paraId="4CA3BBA0"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Подробен дентален преглед на всеки ≤6 месеца; панорамни рентгенографии до 7-годишна възраст, ако не са се били извършвани по-рано.</w:t>
            </w:r>
          </w:p>
          <w:p w14:paraId="4061BA1F"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Хирургична ексцизия или кюретаж на симптоматични или деформиращи стоматологични лезии, орални фиброми и костни челюстни лезии.</w:t>
            </w:r>
          </w:p>
        </w:tc>
      </w:tr>
      <w:tr w:rsidR="00BE0B19" w:rsidRPr="00AE47C6" w14:paraId="20F15DF1" w14:textId="77777777" w:rsidTr="00AD72E5">
        <w:tc>
          <w:tcPr>
            <w:tcW w:w="2007" w:type="dxa"/>
          </w:tcPr>
          <w:p w14:paraId="045B2CB7"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Сърце</w:t>
            </w:r>
          </w:p>
        </w:tc>
        <w:tc>
          <w:tcPr>
            <w:tcW w:w="7065" w:type="dxa"/>
          </w:tcPr>
          <w:p w14:paraId="38CF0A80"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Ехокардиограма на всеки 1–3 години при асимптоматични педиатрични пациенти до документиране на регресия на сърдечните рабдомиоми. При симптоматични пациенти може да се наложи провеждане на ЕКГ на по-кратки интервали или специализирана диагностична оценка.</w:t>
            </w:r>
          </w:p>
          <w:p w14:paraId="79D2A42D"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Ехокардиограма (ЕКГ) на всеки 3–5 години при асимптоматични пациенти независимо от възрастта с цел проследяване за дефекти, свързани с проводимостта. При симптоматични пациенти може да се наложи провеждане на ЕКГ на по-кратки интервали или специализирана диагностична оценка, като извънболничен мониторинг и мониторинг на събития.</w:t>
            </w:r>
          </w:p>
        </w:tc>
      </w:tr>
      <w:tr w:rsidR="00BE0B19" w:rsidRPr="00AE47C6" w14:paraId="0D2F0912" w14:textId="77777777" w:rsidTr="00AD72E5">
        <w:tc>
          <w:tcPr>
            <w:tcW w:w="2007" w:type="dxa"/>
          </w:tcPr>
          <w:p w14:paraId="66ADA94F"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Очи</w:t>
            </w:r>
          </w:p>
        </w:tc>
        <w:tc>
          <w:tcPr>
            <w:tcW w:w="7065" w:type="dxa"/>
          </w:tcPr>
          <w:p w14:paraId="2F4535D5" w14:textId="77777777" w:rsidR="00BE0B19" w:rsidRPr="00AE47C6" w:rsidRDefault="00BE0B19" w:rsidP="00BE0B19">
            <w:pPr>
              <w:spacing w:after="0" w:line="360" w:lineRule="auto"/>
              <w:ind w:left="360"/>
              <w:jc w:val="both"/>
              <w:rPr>
                <w:rFonts w:ascii="Times New Roman" w:eastAsia="SimSun" w:hAnsi="Times New Roman"/>
                <w:sz w:val="24"/>
                <w:szCs w:val="24"/>
              </w:rPr>
            </w:pPr>
            <w:r w:rsidRPr="00AE47C6">
              <w:rPr>
                <w:rFonts w:ascii="Times New Roman" w:eastAsia="SimSun" w:hAnsi="Times New Roman"/>
                <w:sz w:val="24"/>
                <w:szCs w:val="24"/>
              </w:rPr>
              <w:t>Ежегодна офталмологична оценка при пациенти с установени офталмологични лезии или симптоми за нарушено зрение при оценката на изходно ниво. По-честото оценяване, включително на пациенти, лекувани с vigabatrin, има ограничена ефективност и не се препоръчва, освен при възникване на нови клинични опасения.</w:t>
            </w:r>
          </w:p>
        </w:tc>
      </w:tr>
    </w:tbl>
    <w:p w14:paraId="607B9F19" w14:textId="77777777" w:rsidR="00BE0B19" w:rsidRPr="00AE47C6" w:rsidRDefault="00BE0B19" w:rsidP="00BE0B19">
      <w:pPr>
        <w:keepNext/>
        <w:keepLines/>
        <w:pageBreakBefore/>
        <w:spacing w:before="480" w:after="480"/>
        <w:outlineLvl w:val="0"/>
        <w:rPr>
          <w:rFonts w:ascii="Times New Roman" w:eastAsia="SimSun" w:hAnsi="Times New Roman"/>
          <w:b/>
          <w:bCs/>
          <w:sz w:val="28"/>
          <w:szCs w:val="28"/>
        </w:rPr>
      </w:pPr>
      <w:bookmarkStart w:id="294" w:name="_Toc155651826"/>
      <w:bookmarkStart w:id="295" w:name="_Toc164075960"/>
      <w:r w:rsidRPr="00AE47C6">
        <w:rPr>
          <w:rFonts w:ascii="Times New Roman" w:eastAsia="SimSun" w:hAnsi="Times New Roman"/>
          <w:b/>
          <w:bCs/>
          <w:sz w:val="28"/>
          <w:szCs w:val="28"/>
        </w:rPr>
        <w:t>15. Приложение на терапевтичната плазмафереза при неврологични заболявания</w:t>
      </w:r>
      <w:bookmarkEnd w:id="294"/>
      <w:bookmarkEnd w:id="295"/>
    </w:p>
    <w:p w14:paraId="01937EB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Терминът афереза произлиза от гръцки език (ἀφαίρεσις) и буквално се превежда като "отнемане". Аферезата е метод, при който кръвта на пациент или донор преминава през медицинско устройство, където се отделят един или повече компоненти, а останалата кръв се връща обратно в организма с или без екстракорпорално лечение или заместване на отделените компоненти. </w:t>
      </w:r>
    </w:p>
    <w:p w14:paraId="1270026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Според ASFA (American Society for Apheresis) методите на афереза включват адсорбтивна цитафереза, екстракорпорална фотофереза, селективно филтрационно отстраняване, имуноадсорбция, LDL - афереза, левкоцитафереза, тромбоцитофереза, еритроцитен обмен, реофереза, плазмафереза, терапевтичен плазмаобмен.</w:t>
      </w:r>
    </w:p>
    <w:p w14:paraId="6E18E27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Термините терапевтична плазмафереза и терапевтичен плазмаобмен се използват като синоними, поради което в настоящия консенсус сме приели понятието терапевтична плазмафереза да се възприема в смисъла на терапевтичен плазмаобмен. </w:t>
      </w:r>
    </w:p>
    <w:p w14:paraId="4BB3D0C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Терапевтичната плазмафереза (терапевтичният плазмаобмен) е основен аферезен метод в лечението на редица неврологични заболявания. При част от тях ефективността на метода е доказана, а при друга - предстоят проучвания за евентуалното му утвърждаване.</w:t>
      </w:r>
    </w:p>
    <w:p w14:paraId="4C5DE5C5" w14:textId="77777777" w:rsidR="00BE0B19" w:rsidRPr="00AE47C6" w:rsidRDefault="00BE0B19" w:rsidP="00BE0B19">
      <w:pPr>
        <w:spacing w:after="0" w:line="360" w:lineRule="auto"/>
        <w:ind w:firstLine="720"/>
        <w:jc w:val="both"/>
        <w:rPr>
          <w:rFonts w:ascii="Times New Roman" w:eastAsia="SimSun" w:hAnsi="Times New Roman"/>
          <w:b/>
          <w:sz w:val="24"/>
          <w:szCs w:val="24"/>
        </w:rPr>
      </w:pPr>
    </w:p>
    <w:p w14:paraId="4944913B" w14:textId="77777777" w:rsidR="00BE0B19" w:rsidRPr="00AE47C6" w:rsidRDefault="00BE0B19" w:rsidP="00BE0B19">
      <w:pPr>
        <w:numPr>
          <w:ilvl w:val="0"/>
          <w:numId w:val="287"/>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Терапевтична плазмафереза – определение, характеристики, принципи.</w:t>
      </w:r>
    </w:p>
    <w:p w14:paraId="6684560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Плазмаферезата (терапевтичният плазмаобмен) е процедура, при която плазмата се филтрира и отстранява от кръвта,  като отстраненият обем плазма се замества със заместителен разтвор в съотношение 1:1. Разделянето на плазмата от клетъчните компоненти на кръвта може да се постигне чрез центрофугиране или мембранна филтрация. </w:t>
      </w:r>
    </w:p>
    <w:p w14:paraId="7DE5435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Процедурата е подходяща за отстраняване на субстанции &gt;15 000 Da (антитела, имунни комплекси, медиатори на възпалителния отговор, криоглобулини, меланома леки вериги, ендотоксини, холестерол съдържащи липопротеини и др.).</w:t>
      </w:r>
    </w:p>
    <w:p w14:paraId="5F54BFD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Плазменият полуживот определя колко бързо ще се възстановят плазмените нива на патогените, следователно колко често да се прилагат терапевтичните курсове.</w:t>
      </w:r>
    </w:p>
    <w:p w14:paraId="51514CB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Заместващите разтвори могат да бъдат кристалоидни или колоидни. Кристалоидните разтвори доставят обем, електролити и прости въглехидрати. Най-добре е кристалоидните разтвори да се съчетаят с колоидни. </w:t>
      </w:r>
    </w:p>
    <w:p w14:paraId="36F9C52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Колоидните разтвори доставят обем и белтъци и поддържат колоидоонкотичното налягане. Използват се Human-albumin или прясно замразена плазма.</w:t>
      </w:r>
    </w:p>
    <w:p w14:paraId="270C4DF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При използването на Human-albumin като заместителен разтвор се свежда до минимум риска от заразяване с хепатит, намаляват се медиаторите на възпалението и честотата на алергичните реакции е сравнително ниска. При използването на Human-albumin не се налага определяне на кръвногрупова съвместимост. Недостатъците са свързани с по-високата цена на лечението и липсата в разтвора на фактори на кръвосъсирването и имуноглобулини.</w:t>
      </w:r>
    </w:p>
    <w:p w14:paraId="1E18DC4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Прясно замразената плазма съдържа фактори на кръвосъсирването и имуноглобулини, но дава по-висок процент на алергични реакции, съществува минимален риск от хемолитични усложнения и заразяване с хепатит С и HIV. Необходимо е определяне на кръвногруповата съвместимост.</w:t>
      </w:r>
    </w:p>
    <w:p w14:paraId="3AC80CF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Най-честите усложнения от приложението на плазмафереза са свързани с инфекции и проблеми с кръвосъсирването.</w:t>
      </w:r>
    </w:p>
    <w:p w14:paraId="27A6A39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Предпочитаният антикоагулант при плазмафереза е heparin, въпреки че при центрофугиращите устройства по-често се използва citrate.</w:t>
      </w:r>
    </w:p>
    <w:p w14:paraId="3EDED0B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Формулата за изчисляване на обема плазма, който подлежи на заместване, се базира на теглото, височината и стойността на хематокрита (Hct). </w:t>
      </w:r>
    </w:p>
    <w:p w14:paraId="04F9D5C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Ориентировъчно заместваният плазмен обем е около 40 ml/kg.</w:t>
      </w:r>
    </w:p>
    <w:p w14:paraId="7F8BBA5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Пример на формула за изчисляване на обема плазма, подлежащ на заместване: Целият кръвен обем (Total Blood Volume=TBV) = теглото на пациента в kg x 70 ml/kg плазмен обем (Plasma Volume=PV) = TBV x (100–Hct%).</w:t>
      </w:r>
    </w:p>
    <w:p w14:paraId="2E79780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Пример: за 70 kg пациент, плазменият обем ще бъде: TBV = 70 kg x 70 ml/kg = 4900 mlPV = 4900 ml x (100–41%) = 2891 ml или приблизително 3000 ml.</w:t>
      </w:r>
    </w:p>
    <w:p w14:paraId="04FE49F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Очакваните ефекти от плазмаферезата се разделят на:</w:t>
      </w:r>
    </w:p>
    <w:p w14:paraId="2A6721CE" w14:textId="77777777" w:rsidR="00BE0B19" w:rsidRPr="00AE47C6" w:rsidRDefault="00BE0B19" w:rsidP="00BE0B19">
      <w:pPr>
        <w:numPr>
          <w:ilvl w:val="0"/>
          <w:numId w:val="293"/>
        </w:num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i/>
          <w:sz w:val="24"/>
          <w:szCs w:val="24"/>
        </w:rPr>
        <w:t xml:space="preserve">Краткосрочни- </w:t>
      </w:r>
      <w:r w:rsidRPr="00AE47C6">
        <w:rPr>
          <w:rFonts w:ascii="Times New Roman" w:eastAsia="SimSun" w:hAnsi="Times New Roman"/>
          <w:sz w:val="24"/>
          <w:szCs w:val="24"/>
        </w:rPr>
        <w:t>изчистване на циркулиращи вредни субстанции (имунни комплекси, моноклонални гамаглобулини, протеин-свързани токсини).</w:t>
      </w:r>
    </w:p>
    <w:p w14:paraId="5188965B" w14:textId="77777777" w:rsidR="00BE0B19" w:rsidRPr="00AE47C6" w:rsidRDefault="00BE0B19" w:rsidP="00BE0B19">
      <w:pPr>
        <w:numPr>
          <w:ilvl w:val="0"/>
          <w:numId w:val="293"/>
        </w:num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i/>
          <w:sz w:val="24"/>
          <w:szCs w:val="24"/>
        </w:rPr>
        <w:t>Средносрочни</w:t>
      </w:r>
      <w:r w:rsidRPr="00AE47C6">
        <w:rPr>
          <w:rFonts w:ascii="Times New Roman" w:eastAsia="SimSun" w:hAnsi="Times New Roman"/>
          <w:sz w:val="24"/>
          <w:szCs w:val="24"/>
        </w:rPr>
        <w:t>– повишаване на ендогенната възможност на макрофагите за свързване с имуноглобулини и подобряване на чувствителността на антитяло-секретиращите клетки към имуносупресивни лекарства.</w:t>
      </w:r>
    </w:p>
    <w:p w14:paraId="7FFCF593" w14:textId="77777777" w:rsidR="00BE0B19" w:rsidRPr="00AE47C6" w:rsidRDefault="00BE0B19" w:rsidP="00BE0B19">
      <w:pPr>
        <w:numPr>
          <w:ilvl w:val="0"/>
          <w:numId w:val="293"/>
        </w:num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i/>
          <w:sz w:val="24"/>
          <w:szCs w:val="24"/>
        </w:rPr>
        <w:t>Дългосрочни</w:t>
      </w:r>
      <w:r w:rsidRPr="00AE47C6">
        <w:rPr>
          <w:rFonts w:ascii="Times New Roman" w:eastAsia="SimSun" w:hAnsi="Times New Roman"/>
          <w:sz w:val="24"/>
          <w:szCs w:val="24"/>
        </w:rPr>
        <w:t>– очакват се ефекти за дългосрочна имуномодулация, които не са добре проучени.</w:t>
      </w:r>
      <w:r w:rsidRPr="00AE47C6">
        <w:rPr>
          <w:rFonts w:ascii="Times New Roman" w:eastAsia="SimSun" w:hAnsi="Times New Roman"/>
          <w:sz w:val="24"/>
          <w:szCs w:val="24"/>
        </w:rPr>
        <w:cr/>
      </w:r>
    </w:p>
    <w:p w14:paraId="26660469" w14:textId="77777777" w:rsidR="00BE0B19" w:rsidRPr="00AE47C6" w:rsidRDefault="00BE0B19" w:rsidP="00BE0B19">
      <w:pPr>
        <w:numPr>
          <w:ilvl w:val="0"/>
          <w:numId w:val="287"/>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Необходими условия и алгоритъм за провеждане на терапевтична плазмафереза</w:t>
      </w:r>
    </w:p>
    <w:p w14:paraId="32C3FB4C" w14:textId="77777777" w:rsidR="00BE0B19" w:rsidRPr="00AE47C6" w:rsidRDefault="00BE0B19" w:rsidP="00BE0B19">
      <w:pPr>
        <w:shd w:val="clear" w:color="auto" w:fill="FFFFFF"/>
        <w:spacing w:after="0" w:line="360" w:lineRule="auto"/>
        <w:ind w:firstLine="720"/>
        <w:jc w:val="both"/>
        <w:rPr>
          <w:rFonts w:ascii="Times New Roman" w:eastAsia="SimSun" w:hAnsi="Times New Roman"/>
          <w:i/>
          <w:sz w:val="24"/>
          <w:szCs w:val="24"/>
          <w:lang w:eastAsia="en-GB"/>
        </w:rPr>
      </w:pPr>
      <w:r w:rsidRPr="00AE47C6">
        <w:rPr>
          <w:rFonts w:ascii="Times New Roman" w:eastAsia="SimSun" w:hAnsi="Times New Roman"/>
          <w:i/>
          <w:sz w:val="24"/>
          <w:szCs w:val="24"/>
          <w:lang w:eastAsia="en-GB"/>
        </w:rPr>
        <w:t>А. Преди провеждането на процедурата пациентът задължително трябва:</w:t>
      </w:r>
    </w:p>
    <w:p w14:paraId="238C7392" w14:textId="77777777" w:rsidR="00BE0B19" w:rsidRPr="00AE47C6" w:rsidRDefault="00BE0B19" w:rsidP="00BE0B19">
      <w:pPr>
        <w:numPr>
          <w:ilvl w:val="0"/>
          <w:numId w:val="292"/>
        </w:numPr>
        <w:shd w:val="clear" w:color="auto" w:fill="FFFFFF"/>
        <w:tabs>
          <w:tab w:val="left" w:pos="993"/>
        </w:tabs>
        <w:spacing w:after="0" w:line="360" w:lineRule="auto"/>
        <w:ind w:left="0" w:firstLine="720"/>
        <w:contextualSpacing/>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Да бъде поставен на мониторен контрол. Минимум се мониторират дихателна честота и кислородна сатурация, пулс, неинвазивно кръвно налягане, температура (аксиларна, ректална).</w:t>
      </w:r>
    </w:p>
    <w:p w14:paraId="5E3A5D29" w14:textId="77777777" w:rsidR="00BE0B19" w:rsidRPr="00AE47C6" w:rsidRDefault="00BE0B19" w:rsidP="00BE0B19">
      <w:pPr>
        <w:numPr>
          <w:ilvl w:val="0"/>
          <w:numId w:val="292"/>
        </w:numPr>
        <w:shd w:val="clear" w:color="auto" w:fill="FFFFFF"/>
        <w:tabs>
          <w:tab w:val="left" w:pos="993"/>
        </w:tabs>
        <w:spacing w:after="0" w:line="360" w:lineRule="auto"/>
        <w:ind w:left="0" w:firstLine="720"/>
        <w:contextualSpacing/>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Да има поставен многопътен централен/периферен венозен катетър.</w:t>
      </w:r>
    </w:p>
    <w:p w14:paraId="0014E5C9" w14:textId="77777777" w:rsidR="00BE0B19" w:rsidRPr="00AE47C6" w:rsidRDefault="00BE0B19" w:rsidP="00BE0B19">
      <w:pPr>
        <w:numPr>
          <w:ilvl w:val="0"/>
          <w:numId w:val="292"/>
        </w:numPr>
        <w:shd w:val="clear" w:color="auto" w:fill="FFFFFF"/>
        <w:tabs>
          <w:tab w:val="left" w:pos="993"/>
        </w:tabs>
        <w:spacing w:after="0" w:line="360" w:lineRule="auto"/>
        <w:ind w:left="0" w:firstLine="720"/>
        <w:contextualSpacing/>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Да има поставен двупътен високодебитен централен венозен катетър.</w:t>
      </w:r>
    </w:p>
    <w:p w14:paraId="3CBFF51C" w14:textId="77777777" w:rsidR="00BE0B19" w:rsidRPr="00AE47C6" w:rsidRDefault="00BE0B19" w:rsidP="00BE0B19">
      <w:pPr>
        <w:numPr>
          <w:ilvl w:val="0"/>
          <w:numId w:val="292"/>
        </w:numPr>
        <w:shd w:val="clear" w:color="auto" w:fill="FFFFFF"/>
        <w:tabs>
          <w:tab w:val="left" w:pos="993"/>
        </w:tabs>
        <w:spacing w:after="0" w:line="360" w:lineRule="auto"/>
        <w:ind w:left="0" w:firstLine="720"/>
        <w:contextualSpacing/>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Да има поставена назо-гастрална сонда (при нужда).</w:t>
      </w:r>
    </w:p>
    <w:p w14:paraId="2B2B09A4" w14:textId="77777777" w:rsidR="00BE0B19" w:rsidRPr="00AE47C6" w:rsidRDefault="00BE0B19" w:rsidP="00BE0B19">
      <w:pPr>
        <w:numPr>
          <w:ilvl w:val="0"/>
          <w:numId w:val="292"/>
        </w:numPr>
        <w:shd w:val="clear" w:color="auto" w:fill="FFFFFF"/>
        <w:tabs>
          <w:tab w:val="left" w:pos="993"/>
        </w:tabs>
        <w:spacing w:after="0" w:line="360" w:lineRule="auto"/>
        <w:ind w:left="0" w:firstLine="720"/>
        <w:contextualSpacing/>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Да има поставен уретрален катетър (при нужда).</w:t>
      </w:r>
    </w:p>
    <w:p w14:paraId="2D1DB138" w14:textId="77777777" w:rsidR="00BE0B19" w:rsidRPr="00AE47C6" w:rsidRDefault="00BE0B19" w:rsidP="00BE0B19">
      <w:pPr>
        <w:numPr>
          <w:ilvl w:val="0"/>
          <w:numId w:val="292"/>
        </w:numPr>
        <w:shd w:val="clear" w:color="auto" w:fill="FFFFFF"/>
        <w:tabs>
          <w:tab w:val="left" w:pos="993"/>
        </w:tabs>
        <w:spacing w:after="0" w:line="360" w:lineRule="auto"/>
        <w:ind w:left="0" w:firstLine="720"/>
        <w:contextualSpacing/>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Да бъде интубиран/трахеотомиран и поставен на ИБВ или лекуващият екип да има готовност за спешна интубация с възможност за ИБВ при заплашваща дихателна недостатъчност.</w:t>
      </w:r>
    </w:p>
    <w:p w14:paraId="6724869C" w14:textId="77777777" w:rsidR="00BE0B19" w:rsidRPr="00AE47C6" w:rsidRDefault="00BE0B19" w:rsidP="00BE0B19">
      <w:pPr>
        <w:numPr>
          <w:ilvl w:val="0"/>
          <w:numId w:val="292"/>
        </w:numPr>
        <w:shd w:val="clear" w:color="auto" w:fill="FFFFFF"/>
        <w:tabs>
          <w:tab w:val="left" w:pos="993"/>
        </w:tabs>
        <w:spacing w:after="0" w:line="360" w:lineRule="auto"/>
        <w:ind w:left="0" w:firstLine="720"/>
        <w:contextualSpacing/>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Лекуващият екип да има готовност (медикаменти и оборудване) за извършване на кардио-пулмонална ресусцитация при необходимост.</w:t>
      </w:r>
    </w:p>
    <w:p w14:paraId="7F4D03A2" w14:textId="77777777" w:rsidR="00BE0B19" w:rsidRPr="00AE47C6" w:rsidRDefault="00BE0B19" w:rsidP="00BE0B19">
      <w:pPr>
        <w:shd w:val="clear" w:color="auto" w:fill="FFFFFF"/>
        <w:tabs>
          <w:tab w:val="left" w:pos="993"/>
        </w:tabs>
        <w:spacing w:after="0" w:line="360" w:lineRule="auto"/>
        <w:ind w:firstLine="720"/>
        <w:contextualSpacing/>
        <w:jc w:val="both"/>
        <w:rPr>
          <w:rFonts w:ascii="Times New Roman" w:eastAsia="SimSun" w:hAnsi="Times New Roman"/>
          <w:sz w:val="24"/>
          <w:szCs w:val="24"/>
          <w:lang w:eastAsia="en-GB"/>
        </w:rPr>
      </w:pPr>
    </w:p>
    <w:p w14:paraId="48914C72" w14:textId="77777777" w:rsidR="00BE0B19" w:rsidRPr="00AE47C6" w:rsidRDefault="00BE0B19" w:rsidP="00BE0B19">
      <w:pPr>
        <w:shd w:val="clear" w:color="auto" w:fill="FFFFFF"/>
        <w:spacing w:after="0" w:line="360" w:lineRule="auto"/>
        <w:ind w:firstLine="720"/>
        <w:jc w:val="both"/>
        <w:rPr>
          <w:rFonts w:ascii="Times New Roman" w:eastAsia="SimSun" w:hAnsi="Times New Roman"/>
          <w:i/>
          <w:sz w:val="24"/>
          <w:szCs w:val="24"/>
          <w:lang w:eastAsia="en-GB"/>
        </w:rPr>
      </w:pPr>
      <w:r w:rsidRPr="00AE47C6">
        <w:rPr>
          <w:rFonts w:ascii="Times New Roman" w:eastAsia="SimSun" w:hAnsi="Times New Roman"/>
          <w:i/>
          <w:sz w:val="24"/>
          <w:szCs w:val="24"/>
          <w:lang w:eastAsia="en-GB"/>
        </w:rPr>
        <w:t>Б. Общи положения на ТПФ:</w:t>
      </w:r>
    </w:p>
    <w:p w14:paraId="092E8F27"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Задължително е наличието на два високодебитни достъпа: отвеждащ катетър от пациента към апарата („артериален“) и от апарата към пациента („венозен“). </w:t>
      </w:r>
    </w:p>
    <w:p w14:paraId="5A36878F"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Антикоагулантът (citrate или heparin) се добавя към кръвния „пре-плазмен“ филтър, за да се предотврати коагулацията. </w:t>
      </w:r>
    </w:p>
    <w:p w14:paraId="78FB6238"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Отделената от пациента кръв се филтрира през пореста мембрана (клетъчен сепаратор), където се отделя плазмата от формените елементи (еритроцити, левкоцити, тромбоцити). </w:t>
      </w:r>
    </w:p>
    <w:p w14:paraId="5EF40669"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При високодебитен кръвен ток (100 ml/min) малките молекули като цитокини, както и големите молекули като албумин и имуноглобулини, биват лесно отстранени от останалата кръв – с коефициент &gt;0,95. </w:t>
      </w:r>
    </w:p>
    <w:p w14:paraId="52A6E4F4"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Така „пречистените“ формени елементи се смесват със заместващия разтвор (прясно замразена плазма, разтвор на albumin и физиологичен серум) и обратно се връщат към пациента. </w:t>
      </w:r>
    </w:p>
    <w:p w14:paraId="67AA3350"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Един курс на ТПФ отнема средно 2-6 часа при скорост на плазмаобмена 1300 до 3000 ml/час, в зависимост от височината и теглото на пациента, вискозитета на кръвта и техническите параметри.</w:t>
      </w:r>
    </w:p>
    <w:p w14:paraId="077F79A1"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i/>
          <w:sz w:val="24"/>
          <w:szCs w:val="24"/>
        </w:rPr>
      </w:pPr>
    </w:p>
    <w:p w14:paraId="4069C8BD"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i/>
          <w:sz w:val="24"/>
          <w:szCs w:val="24"/>
        </w:rPr>
      </w:pPr>
      <w:r w:rsidRPr="00AE47C6">
        <w:rPr>
          <w:rFonts w:ascii="Times New Roman" w:eastAsia="SimSun" w:hAnsi="Times New Roman"/>
          <w:i/>
          <w:sz w:val="24"/>
          <w:szCs w:val="24"/>
        </w:rPr>
        <w:t>В. Основни аспекти, подлежащи на оценка преди започване на лечение с терапевтична плазмафереза:</w:t>
      </w:r>
    </w:p>
    <w:p w14:paraId="3546DDCB"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Обсъждане</w:t>
      </w:r>
    </w:p>
    <w:p w14:paraId="7AB77422"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Въз основа на поставената диагноза и историята на настоящото заболяване могат да бъдат обсъдени показанията за провеждането на терапевтична плазмафереза, като се имат предвид резултатите от публикувани изследвания и конкретните рискове за пациента от процедурата.</w:t>
      </w:r>
    </w:p>
    <w:p w14:paraId="6AEF2FD0"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Взаимодействия</w:t>
      </w:r>
    </w:p>
    <w:p w14:paraId="750A3B51"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Следва да се отчете въздействието на терапевтичната плазмафереза върху наличните съпътстващи заболявания и приемани медикаменти (и обратно).</w:t>
      </w:r>
    </w:p>
    <w:p w14:paraId="24927CE7"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Технически въпроси</w:t>
      </w:r>
    </w:p>
    <w:p w14:paraId="22CE61BE"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При взето решение за прилагане на терапевтична плазмафереза следва да се прецизират необходимият обем за заместване, видът на използваният заместителен разтвор, видът на използваната антикоагулация и съдовият достъп.</w:t>
      </w:r>
    </w:p>
    <w:p w14:paraId="628875DC"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Терапевтичен план</w:t>
      </w:r>
    </w:p>
    <w:p w14:paraId="281E6FD6"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Трябва да бъдат обсъдени общият брой и/или честотата на терапевтичните курсове.  </w:t>
      </w:r>
      <w:r w:rsidRPr="00AE47C6">
        <w:rPr>
          <w:rFonts w:ascii="Times New Roman" w:eastAsia="SimSun" w:hAnsi="Times New Roman"/>
          <w:sz w:val="24"/>
          <w:szCs w:val="24"/>
        </w:rPr>
        <w:tab/>
      </w:r>
    </w:p>
    <w:p w14:paraId="32B52256"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Клинични и лабораторни показатели</w:t>
      </w:r>
    </w:p>
    <w:p w14:paraId="69F2FC8E"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Необходимо е проследяване на динамиката в лабораторните показатели (пълна кръвна картина, биохимия, електролити, имуноглобулини, хемостазен профил) преди и след провеждането на терапевтична плазмафереза. </w:t>
      </w:r>
    </w:p>
    <w:p w14:paraId="29CFC015"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Следва да бъдат обсъдени клиничните и лабораторни критерии за преустановяване на терапевтичния курс.</w:t>
      </w:r>
    </w:p>
    <w:p w14:paraId="2208C012"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Време и мястото</w:t>
      </w:r>
    </w:p>
    <w:p w14:paraId="44BD2F3B"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Времето за започване на терапевтичната плазмафереза трябва да се прецени според клиничната картина (по спешност, планова).</w:t>
      </w:r>
    </w:p>
    <w:p w14:paraId="28C9C938"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Важно е да се определи мястото за провеждане на процедурата (клиника за интензивно лечение, операционна и др.). Ако състоянието на пациента изисква, може да се обсъди превеждане на болния в съответното звено.</w:t>
      </w:r>
    </w:p>
    <w:p w14:paraId="60393A90"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sz w:val="24"/>
          <w:szCs w:val="24"/>
        </w:rPr>
      </w:pPr>
    </w:p>
    <w:p w14:paraId="0E88A29F" w14:textId="77777777" w:rsidR="00BE0B19" w:rsidRPr="00AE47C6" w:rsidRDefault="00BE0B19" w:rsidP="00BE0B19">
      <w:pPr>
        <w:autoSpaceDE w:val="0"/>
        <w:autoSpaceDN w:val="0"/>
        <w:adjustRightInd w:val="0"/>
        <w:spacing w:after="0" w:line="360" w:lineRule="auto"/>
        <w:ind w:firstLine="720"/>
        <w:jc w:val="both"/>
        <w:rPr>
          <w:rFonts w:ascii="Times New Roman" w:eastAsia="SimSun" w:hAnsi="Times New Roman"/>
          <w:i/>
          <w:sz w:val="24"/>
          <w:szCs w:val="24"/>
        </w:rPr>
      </w:pPr>
      <w:r w:rsidRPr="00AE47C6">
        <w:rPr>
          <w:rFonts w:ascii="Times New Roman" w:eastAsia="SimSun" w:hAnsi="Times New Roman"/>
          <w:i/>
          <w:sz w:val="24"/>
          <w:szCs w:val="24"/>
        </w:rPr>
        <w:t>Г. Необходими специалисти и апаратура:</w:t>
      </w:r>
    </w:p>
    <w:p w14:paraId="2AD36E5A"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ТПФ се провежда предимно в условията на интензивно лечение. Провеждането на процедурата изисква предварително обсъждане и съвместно осъществяване от лекар-специалист по „Нервни болести“ и специалист по „Анестезия и интензивно лечение“.</w:t>
      </w:r>
    </w:p>
    <w:p w14:paraId="0C3D3C34"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Процедурата следва да се провежда със съвременен апарат за екстракорпорално очистване на кръвта с възможност за високо-обемен плазмен обмен и най-високи степени за защита на пациента. Степента на надеждност би следвало да отговаря на европейската марка СЕ и изискванията на  FDA за апаратура от съответния клас.</w:t>
      </w:r>
    </w:p>
    <w:p w14:paraId="243B51A3"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Необходимо е и наличието на мониторна система за пациента с възможности за неинвазивно мониториране на дишането и циркулацията, както и апаратура за провеждане на кардио-пулмонална ресусцитация. </w:t>
      </w:r>
    </w:p>
    <w:p w14:paraId="12B79D47"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lang w:eastAsia="en-GB"/>
        </w:rPr>
      </w:pPr>
    </w:p>
    <w:p w14:paraId="29197613" w14:textId="77777777" w:rsidR="00BE0B19" w:rsidRPr="00AE47C6" w:rsidRDefault="00BE0B19" w:rsidP="00BE0B19">
      <w:pPr>
        <w:numPr>
          <w:ilvl w:val="0"/>
          <w:numId w:val="287"/>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Индикации за приложението на терапевтична плазмафереза при неврологичните заболявания.</w:t>
      </w:r>
    </w:p>
    <w:p w14:paraId="50D3831B" w14:textId="77777777" w:rsidR="00BE0B19" w:rsidRPr="00AE47C6" w:rsidRDefault="00BE0B19" w:rsidP="00BE0B19">
      <w:pPr>
        <w:numPr>
          <w:ilvl w:val="0"/>
          <w:numId w:val="287"/>
        </w:numPr>
        <w:spacing w:after="0" w:line="360" w:lineRule="auto"/>
        <w:ind w:left="0" w:firstLine="720"/>
        <w:contextualSpacing/>
        <w:jc w:val="both"/>
        <w:rPr>
          <w:rFonts w:ascii="Times New Roman" w:eastAsia="SimSun" w:hAnsi="Times New Roman"/>
          <w:b/>
          <w:sz w:val="24"/>
          <w:szCs w:val="24"/>
        </w:rPr>
      </w:pPr>
    </w:p>
    <w:p w14:paraId="5D59723B" w14:textId="77777777" w:rsidR="00BE0B19" w:rsidRPr="00AE47C6" w:rsidRDefault="00BE0B19" w:rsidP="00BE0B19">
      <w:pPr>
        <w:numPr>
          <w:ilvl w:val="0"/>
          <w:numId w:val="288"/>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Остра възпалителна демиелинизираща полирадикулоневропатия (ОВДП) /Guillain-Barre синдром</w:t>
      </w:r>
    </w:p>
    <w:p w14:paraId="4B802FF4"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А)Тежка форма</w:t>
      </w:r>
    </w:p>
    <w:p w14:paraId="0FBC7A6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ААN </w:t>
      </w:r>
      <w:r w:rsidRPr="00AE47C6">
        <w:rPr>
          <w:rFonts w:ascii="Times New Roman" w:eastAsia="SimSun" w:hAnsi="Times New Roman"/>
          <w:sz w:val="24"/>
          <w:szCs w:val="24"/>
        </w:rPr>
        <w:t>(American Academy of Neurology):</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Въз основа на данните от последователни изпитвания клас I провеждането на терапевтична плазмафереза се утвърждава като ефективно лечение на синдрома на Guillain-Barre, който е достатъчно тежък, за да увреди способността за самостоятелно ходене или изисква механична вентилация. Уместно е приложението на терапевтична плазмафереза в случаите на тежка ОВДП, водеща до невъзможна самостоятелна походка или изискваща механична вентилация (ниво A).</w:t>
      </w:r>
    </w:p>
    <w:p w14:paraId="4CB0CEA8"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b/>
          <w:sz w:val="24"/>
          <w:szCs w:val="24"/>
        </w:rPr>
        <w:t>ASFA (</w:t>
      </w:r>
      <w:r w:rsidRPr="00AE47C6">
        <w:rPr>
          <w:rFonts w:ascii="Times New Roman" w:eastAsia="SimSun" w:hAnsi="Times New Roman"/>
          <w:sz w:val="24"/>
          <w:szCs w:val="24"/>
        </w:rPr>
        <w:t>American Society for Apheresis)</w:t>
      </w:r>
      <w:r w:rsidRPr="00AE47C6">
        <w:rPr>
          <w:rFonts w:ascii="Times New Roman" w:eastAsia="SimSun" w:hAnsi="Times New Roman"/>
          <w:b/>
          <w:sz w:val="24"/>
          <w:szCs w:val="24"/>
        </w:rPr>
        <w:t xml:space="preserve">: </w:t>
      </w:r>
      <w:r w:rsidRPr="00AE47C6">
        <w:rPr>
          <w:rFonts w:ascii="Times New Roman" w:eastAsia="SimSun" w:hAnsi="Times New Roman"/>
          <w:sz w:val="24"/>
          <w:szCs w:val="24"/>
        </w:rPr>
        <w:t>ТПФ при тежките форми на ОВДП попада в категория 1A I, а ако се прилага след терапия с IVIG - 2C III. Според резултатите от няколко контролирани клинични изпитвания лечението с терапевтична плазмафереза може да ускори възстановяването на моторната функция и да намали времето на апаратна вентилация при болни с ОВДП</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Според някои проучвания в Япония и Европа плазмаферезата намалява екзацербациите, скъсява продължителността на заболяването и подобрява дългосрочната прогноза.</w:t>
      </w:r>
    </w:p>
    <w:p w14:paraId="35F4EBEF"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b/>
          <w:sz w:val="24"/>
          <w:szCs w:val="24"/>
        </w:rPr>
        <w:t>Български консенсус</w:t>
      </w:r>
      <w:r w:rsidRPr="00AE47C6">
        <w:rPr>
          <w:rFonts w:ascii="Times New Roman" w:eastAsia="SimSun" w:hAnsi="Times New Roman"/>
          <w:sz w:val="24"/>
          <w:szCs w:val="24"/>
        </w:rPr>
        <w:t>: Индикации за провеждане на ТПФ има при пациенти със сигурна диагноза и тежки форми на заболяването с дихателни и двигателни нарушения (невъзможна походка), които продължават да се влошават и давността на заболяването не превишава 3 седмици.</w:t>
      </w:r>
    </w:p>
    <w:p w14:paraId="100BEEB1"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p>
    <w:p w14:paraId="34D0BEFD"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Б) Лека форма</w:t>
      </w:r>
    </w:p>
    <w:p w14:paraId="473BBCB6"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AAN: </w:t>
      </w:r>
      <w:r w:rsidRPr="00AE47C6">
        <w:rPr>
          <w:rFonts w:ascii="Times New Roman" w:eastAsia="SimSun" w:hAnsi="Times New Roman"/>
          <w:sz w:val="24"/>
          <w:szCs w:val="24"/>
        </w:rPr>
        <w:t>За леките форми, при които самостоятелната походка е съхранена, плазмаферезата е вероятно ефективна, базирано върху единично клас I проучване. Уместно е приложението на терапевтична плазмафереза в лечението на леките форми на ОВДП (ниво B). Няма достатъчно данни за по-добри резултати от приложението на ТПФ или IVIG при лечението на леките форми на ОВДП.</w:t>
      </w:r>
    </w:p>
    <w:p w14:paraId="59C372EC"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ASFA: </w:t>
      </w:r>
      <w:r w:rsidRPr="00AE47C6">
        <w:rPr>
          <w:rFonts w:ascii="Times New Roman" w:eastAsia="SimSun" w:hAnsi="Times New Roman"/>
          <w:sz w:val="24"/>
          <w:szCs w:val="24"/>
        </w:rPr>
        <w:t>ТПФ попада в категория 1A I, а ако се прилага след терапия с IVIG - 2C III.</w:t>
      </w:r>
    </w:p>
    <w:p w14:paraId="3A1CBBA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Български консенсус</w:t>
      </w:r>
      <w:r w:rsidRPr="00AE47C6">
        <w:rPr>
          <w:rFonts w:ascii="Times New Roman" w:eastAsia="SimSun" w:hAnsi="Times New Roman"/>
          <w:sz w:val="24"/>
          <w:szCs w:val="24"/>
        </w:rPr>
        <w:t>: Няма индикации за приложение на ТПФ.</w:t>
      </w:r>
    </w:p>
    <w:p w14:paraId="7B57A911"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6CFDE23D" w14:textId="77777777" w:rsidR="00BE0B19" w:rsidRPr="00AE47C6" w:rsidRDefault="00BE0B19" w:rsidP="00BE0B19">
      <w:pPr>
        <w:numPr>
          <w:ilvl w:val="0"/>
          <w:numId w:val="288"/>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Хронична възпалителна демиелинизираща полирадикулоневропатия (ХВДП)</w:t>
      </w:r>
    </w:p>
    <w:p w14:paraId="62DD421B"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AAN: </w:t>
      </w:r>
      <w:r w:rsidRPr="00AE47C6">
        <w:rPr>
          <w:rFonts w:ascii="Times New Roman" w:eastAsia="SimSun" w:hAnsi="Times New Roman"/>
          <w:sz w:val="24"/>
          <w:szCs w:val="24"/>
        </w:rPr>
        <w:t>ТПФ е ефективен метод за краткосрочно лечение на ХВДП, като данните са базирани върху две клинични изпитвания клас I. Ефектът от терапевтичната плазмафереза е сравнително кратък - влошаването на ХВДП настъпва от 1 до 5 седмици след последния терапевтичен курс (ниво A).</w:t>
      </w:r>
    </w:p>
    <w:p w14:paraId="5D3E0110" w14:textId="77777777" w:rsidR="00BE0B19" w:rsidRPr="00AE47C6" w:rsidRDefault="00BE0B19" w:rsidP="00BE0B19">
      <w:pPr>
        <w:spacing w:after="0" w:line="360" w:lineRule="auto"/>
        <w:ind w:left="72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ASFA: </w:t>
      </w:r>
      <w:r w:rsidRPr="00AE47C6">
        <w:rPr>
          <w:rFonts w:ascii="Times New Roman" w:eastAsia="SimSun" w:hAnsi="Times New Roman"/>
          <w:sz w:val="24"/>
          <w:szCs w:val="24"/>
        </w:rPr>
        <w:t>Приложението на ТПФ при ХВДП попада в категория 1B I.</w:t>
      </w:r>
    </w:p>
    <w:p w14:paraId="2EBBBB4C"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EFNS </w:t>
      </w:r>
      <w:r w:rsidRPr="00AE47C6">
        <w:rPr>
          <w:rFonts w:ascii="Times New Roman" w:eastAsia="SimSun" w:hAnsi="Times New Roman"/>
          <w:sz w:val="24"/>
          <w:szCs w:val="24"/>
        </w:rPr>
        <w:t>(European Federation of Neurological Societies): ТПФ осигурява краткосрочен ефект, след който може да настъпи  бързо влошаване на симптоматиката. Това може да наложи поддържащо лечение с ТПФ и/или други имуномодулиращи терапии (КС, IVIG).</w:t>
      </w:r>
    </w:p>
    <w:p w14:paraId="730D2F7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Български консенсус:</w:t>
      </w:r>
      <w:r w:rsidRPr="00AE47C6">
        <w:rPr>
          <w:rFonts w:ascii="Times New Roman" w:eastAsia="SimSun" w:hAnsi="Times New Roman"/>
          <w:sz w:val="24"/>
          <w:szCs w:val="24"/>
        </w:rPr>
        <w:t xml:space="preserve"> Комбинирано лечение с Prednisone и плазмафереза е показано, ако болните не се подобряват въпреки четири седмично лечение с Prednisone или продължават да се влошават или развиват странични ефекти от него. Тя се провежда два пъти седмично в продължение на 3 - 6 седмици, след което се повтаря в зависимост от влошаването на пациента.</w:t>
      </w:r>
    </w:p>
    <w:p w14:paraId="5BE20446"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08CAE5F2"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3. Дизимунни невропатии</w:t>
      </w:r>
    </w:p>
    <w:p w14:paraId="6AE439B2"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А) Моноклонални гамапатии, асоциирани  с имуноглобулин А (IgA) и G (IgG) от неопределена значимост (MGUS)</w:t>
      </w:r>
    </w:p>
    <w:p w14:paraId="50865820"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ААN: </w:t>
      </w:r>
      <w:r w:rsidRPr="00AE47C6">
        <w:rPr>
          <w:rFonts w:ascii="Times New Roman" w:eastAsia="SimSun" w:hAnsi="Times New Roman"/>
          <w:sz w:val="24"/>
          <w:szCs w:val="24"/>
        </w:rPr>
        <w:t>Терапевтичната плазмафереза е вероятно ефективна при лечението на IgA- и IgG- моноклонални гамапатии от неопределена значимост, базирано върху едно клас I проучване (ниво B).</w:t>
      </w:r>
    </w:p>
    <w:p w14:paraId="4CEFA435"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ASFA: </w:t>
      </w:r>
      <w:r w:rsidRPr="00AE47C6">
        <w:rPr>
          <w:rFonts w:ascii="Times New Roman" w:eastAsia="SimSun" w:hAnsi="Times New Roman"/>
          <w:sz w:val="24"/>
          <w:szCs w:val="24"/>
        </w:rPr>
        <w:t>Приложението на ТПФ при парапротеинемични демиелинизиращи невропатии IgG/IgA попада в категория 1B I.</w:t>
      </w:r>
    </w:p>
    <w:p w14:paraId="207B6444"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Български консенсус: </w:t>
      </w:r>
      <w:r w:rsidRPr="00AE47C6">
        <w:rPr>
          <w:rFonts w:ascii="Times New Roman" w:eastAsia="SimSun" w:hAnsi="Times New Roman"/>
          <w:sz w:val="24"/>
          <w:szCs w:val="24"/>
        </w:rPr>
        <w:t>Прилагането на ТПФ не е ефективно.</w:t>
      </w:r>
    </w:p>
    <w:p w14:paraId="38C24478"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p>
    <w:p w14:paraId="0FC9792D"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Б) Моноклонална гамапатия, асоциирана с имуноглобулин М (IgM) от неопределена значимост (MGUS), макроглобулинемия на Waldenstrom</w:t>
      </w:r>
    </w:p>
    <w:p w14:paraId="3F3A750F"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AAN: </w:t>
      </w:r>
      <w:r w:rsidRPr="00AE47C6">
        <w:rPr>
          <w:rFonts w:ascii="Times New Roman" w:eastAsia="SimSun" w:hAnsi="Times New Roman"/>
          <w:sz w:val="24"/>
          <w:szCs w:val="24"/>
        </w:rPr>
        <w:t>Плазмаферезата е вероятно неефективна, базирано върху едно клас I и едно клас III проучване. Не се препоръчва (не е уместно) приложението на терапевтична плазмафереза в лечението на моноклонална гамапатия, асоциирана с IgM от неопределена значимост (MGUS) (ниво B).</w:t>
      </w:r>
    </w:p>
    <w:p w14:paraId="40A9A5C1"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ASFA: </w:t>
      </w:r>
      <w:r w:rsidRPr="00AE47C6">
        <w:rPr>
          <w:rFonts w:ascii="Times New Roman" w:eastAsia="SimSun" w:hAnsi="Times New Roman"/>
          <w:sz w:val="24"/>
          <w:szCs w:val="24"/>
        </w:rPr>
        <w:t>Приложението на ТПФ попада в категория 1C I, при мултиплен миелом - в 2C III, а при макроглобулинемията на Waldenstrom–в 1B I.</w:t>
      </w:r>
    </w:p>
    <w:p w14:paraId="4748A6C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Синдромът на хипервискозитет, развиващ се при макроглобулинемията на Waldenstrom, се повлиява успешно от приложението на ТПФ. Въпреки липсата на доказателствени данни тип I в подкрепа на ефекта от ТПФ при хипервискозитет, са докладвани серии случаи в продължение на 40 години в полза на позитивните резултати от лечението.</w:t>
      </w:r>
    </w:p>
    <w:p w14:paraId="49329C3F"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Български консенсус: </w:t>
      </w:r>
      <w:r w:rsidRPr="00AE47C6">
        <w:rPr>
          <w:rFonts w:ascii="Times New Roman" w:eastAsia="SimSun" w:hAnsi="Times New Roman"/>
          <w:sz w:val="24"/>
          <w:szCs w:val="24"/>
        </w:rPr>
        <w:t>Прилагането на ТПФ не е ефективно.</w:t>
      </w:r>
    </w:p>
    <w:p w14:paraId="35A0FE12"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7C3FC291" w14:textId="77777777" w:rsidR="00BE0B19" w:rsidRPr="00AE47C6" w:rsidRDefault="00BE0B19" w:rsidP="00BE0B19">
      <w:pPr>
        <w:spacing w:after="0" w:line="360" w:lineRule="auto"/>
        <w:ind w:left="1069" w:firstLine="720"/>
        <w:jc w:val="both"/>
        <w:rPr>
          <w:rFonts w:ascii="Times New Roman" w:eastAsia="SimSun" w:hAnsi="Times New Roman"/>
          <w:b/>
          <w:sz w:val="24"/>
          <w:szCs w:val="24"/>
        </w:rPr>
      </w:pPr>
      <w:r w:rsidRPr="00AE47C6">
        <w:rPr>
          <w:rFonts w:ascii="Times New Roman" w:eastAsia="SimSun" w:hAnsi="Times New Roman"/>
          <w:b/>
          <w:sz w:val="24"/>
          <w:szCs w:val="24"/>
        </w:rPr>
        <w:t>4. Myasthenia gravis</w:t>
      </w:r>
    </w:p>
    <w:p w14:paraId="35182033"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AAN: </w:t>
      </w:r>
      <w:r w:rsidRPr="00AE47C6">
        <w:rPr>
          <w:rFonts w:ascii="Times New Roman" w:eastAsia="SimSun" w:hAnsi="Times New Roman"/>
          <w:sz w:val="24"/>
          <w:szCs w:val="24"/>
        </w:rPr>
        <w:t xml:space="preserve">Поради липсата на рандомизирани контролирани проучвания с маскиран изход няма достатъчно данни в подкрепа на ефективността на ТПФ при лечение на миастенна криза (ниво U) или преди тимектомия (ниво U). Въпреки това, ТПФ се използва за посочените индикации в множество клинични центрове. </w:t>
      </w:r>
    </w:p>
    <w:p w14:paraId="7998112D"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ASFA: </w:t>
      </w:r>
      <w:r w:rsidRPr="00AE47C6">
        <w:rPr>
          <w:rFonts w:ascii="Times New Roman" w:eastAsia="SimSun" w:hAnsi="Times New Roman"/>
          <w:sz w:val="24"/>
          <w:szCs w:val="24"/>
        </w:rPr>
        <w:t>Приложението на ТПФ при средно тежките и тежките форми на миастения попада в категория 1B I, а при пациентите преди тимектомия – в 1C I.</w:t>
      </w:r>
    </w:p>
    <w:p w14:paraId="59D7E495"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sz w:val="24"/>
          <w:szCs w:val="24"/>
        </w:rPr>
        <w:t>ТПФ се използва предимно за отстраняване на циркулиращите автоантитела, въпреки че и серопозитивните, и серонегативните пациенти отговарят на терапията с ТПФ. ТПФ се използва предимно при лечението на миастенните кризи, предоперативно, преди предстояща тимектомия или като допълнителна терапия за поддържането на добро клинично състояние. Клиничният ефект от ТПФ е бърз - в рамките на 24 часа до една седмица, като отминава за 2-4 седмици, ако не е започната междувременно имуносупресивна терапия, която да задържа антителата в ниски концентрации. ТПФ може да се окаже по-ефективна от IVIG при пациенти с anti-MuSK положителна форма на миастения. ТПФ вероятно е по-ефективна, ако се стартира рано в болничния курс. По литературни данни ТПФ и IVIG имат еднакъв ефект. Някои клинични проучвания съобщават за използването на ТПФ преди тимектомия. Повечето проучвания показват подобрение при рутинното приложение на ТПФ, но други показват еквивалентни резултати със селективна употреба на ТПФ при пациенти с висок риск за продължителна интубация.</w:t>
      </w:r>
    </w:p>
    <w:p w14:paraId="4A68FE12"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EFNS: </w:t>
      </w:r>
      <w:r w:rsidRPr="00AE47C6">
        <w:rPr>
          <w:rFonts w:ascii="Times New Roman" w:eastAsia="SimSun" w:hAnsi="Times New Roman"/>
          <w:sz w:val="24"/>
          <w:szCs w:val="24"/>
        </w:rPr>
        <w:t>ТПФ се препоръчва в тежките случаи на миастения и преди тимектомия (ниво B). IVIG и ТПФ са ефективни в лечението на екзацербациите на миастенната симптоматика (ниво A). Подобрение започва да се отчита по време на първата седмица след процедурата и ефектът се задържа за 1-3 месеца. Няма рандомизирани контролирани изпитвания, но редица клинични проучвания докладват за краткотраен ефект от ТПФ при пациенти с миастения и особено при пациенти с миастенна криза. Според консенсуса на NIH от 1986 г. терапевтичната плазмафереза може да бъде полезна за стабилизиране на пациентите с миастения преди предстояща тимектомия или в постоперативния период, както и по време на стартирането на имуносупресивна терапия и по време на миастенна криза (клас IV). Не се препоръчва поддържащо лечение с плазмафереза с цел продължителна и трайна имуносупресия (ниво B).</w:t>
      </w:r>
    </w:p>
    <w:p w14:paraId="38E7DF7E"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b/>
          <w:sz w:val="24"/>
          <w:szCs w:val="24"/>
        </w:rPr>
        <w:t>Български консенсус:</w:t>
      </w:r>
      <w:r w:rsidRPr="00AE47C6">
        <w:rPr>
          <w:rFonts w:ascii="Times New Roman" w:eastAsia="SimSun" w:hAnsi="Times New Roman"/>
          <w:sz w:val="24"/>
          <w:szCs w:val="24"/>
        </w:rPr>
        <w:t xml:space="preserve"> Индикации за провеждане на ТПФ има при пациенти с тежки генерализирани форми на заболяването и миастенна криза, както и за стабилизиране на състоянието преди тимектомия. ТПФ е допълнителен метод за отстраняване на циркулиращите антитела в допълнение към имуносупресивната и антихолинестеразната терапия.</w:t>
      </w:r>
    </w:p>
    <w:p w14:paraId="3275AE47"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p>
    <w:p w14:paraId="67ABBAE6" w14:textId="77777777" w:rsidR="00BE0B19" w:rsidRPr="00AE47C6" w:rsidRDefault="00BE0B19" w:rsidP="00BE0B19">
      <w:pPr>
        <w:spacing w:after="0" w:line="360" w:lineRule="auto"/>
        <w:ind w:left="709"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5. Синдром на Eaton – Lambert </w:t>
      </w:r>
    </w:p>
    <w:p w14:paraId="422DF2FB"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AAN: </w:t>
      </w:r>
      <w:r w:rsidRPr="00AE47C6">
        <w:rPr>
          <w:rFonts w:ascii="Times New Roman" w:eastAsia="SimSun" w:hAnsi="Times New Roman"/>
          <w:sz w:val="24"/>
          <w:szCs w:val="24"/>
        </w:rPr>
        <w:t>липсва информация.</w:t>
      </w:r>
    </w:p>
    <w:p w14:paraId="77CF5076"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ASFA: </w:t>
      </w:r>
      <w:r w:rsidRPr="00AE47C6">
        <w:rPr>
          <w:rFonts w:ascii="Times New Roman" w:eastAsia="SimSun" w:hAnsi="Times New Roman"/>
          <w:sz w:val="24"/>
          <w:szCs w:val="24"/>
        </w:rPr>
        <w:t>Приложението на ТПФ попада в категория 2C II. Въпреки че до момента няма контролирани изпитвания, няколко клинични проучвания показват подобрение. В една серия от случаи 8 от 9 пациента показват подобрение в електромиографската находка, провеждайки успоредни курсове с ТПФ и имуносупресия. Подобрението настъпва по-бавно отколкото в случаите с класическа миастения. Освен това, пациентите са с тенденция да се влошат след приключването на курса, ако междувременно не е била започната допълнителна имуносупресивна терапия.</w:t>
      </w:r>
    </w:p>
    <w:p w14:paraId="674EB16E"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sz w:val="24"/>
          <w:szCs w:val="24"/>
        </w:rPr>
        <w:t>ТПФ би могла да бъде полезна като допълнителна терапия при пациенти със синдром на Eaton – Lambert, които страдат от тежък неврологичен дефицит или бързо влошаване и които не биха могли да започнат имуносупресивна терапия и не могат да толерират лечение с IVIG.</w:t>
      </w:r>
    </w:p>
    <w:p w14:paraId="50F9BED3"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Български консенсус: </w:t>
      </w:r>
      <w:r w:rsidRPr="00AE47C6">
        <w:rPr>
          <w:rFonts w:ascii="Times New Roman" w:eastAsia="SimSun" w:hAnsi="Times New Roman"/>
          <w:sz w:val="24"/>
          <w:szCs w:val="24"/>
        </w:rPr>
        <w:t>ТПФ може да бъде използвана само като допълнителен терапевтичен метод, в случаите на неповлияване от конвенционалната терапия.</w:t>
      </w:r>
    </w:p>
    <w:p w14:paraId="181A73C8" w14:textId="77777777" w:rsidR="00BE0B19" w:rsidRPr="00AE47C6" w:rsidRDefault="00BE0B19" w:rsidP="00BE0B19">
      <w:pPr>
        <w:spacing w:after="0" w:line="360" w:lineRule="auto"/>
        <w:ind w:firstLine="720"/>
        <w:jc w:val="both"/>
        <w:rPr>
          <w:rFonts w:ascii="Times New Roman" w:eastAsia="SimSun" w:hAnsi="Times New Roman"/>
          <w:b/>
          <w:sz w:val="24"/>
          <w:szCs w:val="24"/>
        </w:rPr>
      </w:pPr>
    </w:p>
    <w:p w14:paraId="49D86BF0"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6. Амиотрофична латерална склероза (АЛС)</w:t>
      </w:r>
    </w:p>
    <w:p w14:paraId="0EB1BD71"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AAN: </w:t>
      </w:r>
      <w:r w:rsidRPr="00AE47C6">
        <w:rPr>
          <w:rFonts w:ascii="Times New Roman" w:eastAsia="SimSun" w:hAnsi="Times New Roman"/>
          <w:sz w:val="24"/>
          <w:szCs w:val="24"/>
        </w:rPr>
        <w:t>липсва информация</w:t>
      </w:r>
    </w:p>
    <w:p w14:paraId="53BD5711"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ASFA: </w:t>
      </w:r>
      <w:r w:rsidRPr="00AE47C6">
        <w:rPr>
          <w:rFonts w:ascii="Times New Roman" w:eastAsia="SimSun" w:hAnsi="Times New Roman"/>
          <w:sz w:val="24"/>
          <w:szCs w:val="24"/>
        </w:rPr>
        <w:t>Многобройни малки серии и малки контролирани изпитвания от края на 1970 и началото на 1980 г. не показват ефект от самостоятелното или в комбинация с имуносупресивна терапия приложение на ТПФ (категория 1C IV).</w:t>
      </w:r>
    </w:p>
    <w:p w14:paraId="21C1F7C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Български консенсус:</w:t>
      </w:r>
      <w:r w:rsidRPr="00AE47C6">
        <w:rPr>
          <w:rFonts w:ascii="Times New Roman" w:eastAsia="SimSun" w:hAnsi="Times New Roman"/>
          <w:sz w:val="24"/>
          <w:szCs w:val="24"/>
        </w:rPr>
        <w:t xml:space="preserve"> Няма индикации за приложение на ТПФ.</w:t>
      </w:r>
    </w:p>
    <w:p w14:paraId="294C3809"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6C0E6C76" w14:textId="17787D07" w:rsidR="00BE0B19" w:rsidRPr="00AE47C6" w:rsidRDefault="004C151B" w:rsidP="004C151B">
      <w:pPr>
        <w:pStyle w:val="ListParagraph"/>
        <w:spacing w:after="0" w:line="360" w:lineRule="auto"/>
        <w:ind w:left="1080"/>
        <w:jc w:val="both"/>
        <w:rPr>
          <w:rFonts w:ascii="Times New Roman" w:eastAsia="SimSun" w:hAnsi="Times New Roman"/>
          <w:sz w:val="24"/>
          <w:szCs w:val="24"/>
        </w:rPr>
      </w:pPr>
      <w:r w:rsidRPr="00AE47C6">
        <w:rPr>
          <w:rFonts w:ascii="Times New Roman" w:eastAsia="SimSun" w:hAnsi="Times New Roman"/>
          <w:sz w:val="24"/>
          <w:szCs w:val="24"/>
          <w:lang w:val="en-US"/>
        </w:rPr>
        <w:t>7.</w:t>
      </w:r>
      <w:r w:rsidR="00BE0B19" w:rsidRPr="00AE47C6">
        <w:rPr>
          <w:rFonts w:ascii="Times New Roman" w:eastAsia="SimSun" w:hAnsi="Times New Roman"/>
          <w:sz w:val="24"/>
          <w:szCs w:val="24"/>
        </w:rPr>
        <w:t>С</w:t>
      </w:r>
      <w:r w:rsidR="00BE0B19" w:rsidRPr="00AE47C6">
        <w:rPr>
          <w:rFonts w:ascii="Times New Roman" w:eastAsia="SimSun" w:hAnsi="Times New Roman"/>
          <w:b/>
          <w:sz w:val="24"/>
          <w:szCs w:val="24"/>
        </w:rPr>
        <w:t>индром на скования човек</w:t>
      </w:r>
    </w:p>
    <w:p w14:paraId="0063D7BE"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AAN:</w:t>
      </w:r>
      <w:r w:rsidRPr="00AE47C6">
        <w:rPr>
          <w:rFonts w:ascii="Times New Roman" w:eastAsia="SimSun" w:hAnsi="Times New Roman"/>
          <w:sz w:val="24"/>
          <w:szCs w:val="24"/>
        </w:rPr>
        <w:t xml:space="preserve"> липсват данни</w:t>
      </w:r>
    </w:p>
    <w:p w14:paraId="115844A8"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ASFA: </w:t>
      </w:r>
      <w:r w:rsidRPr="00AE47C6">
        <w:rPr>
          <w:rFonts w:ascii="Times New Roman" w:eastAsia="SimSun" w:hAnsi="Times New Roman"/>
          <w:sz w:val="24"/>
          <w:szCs w:val="24"/>
        </w:rPr>
        <w:t xml:space="preserve">Приложението на ТПФ попада в категория 2C III. В отделни клинични доклади се съобщава както за позитивен, така и за липсващ ефект от ТПФ, а в няколко малки клинични серии е докладван ефект от приложението на ТПФ в комбинация с друга имуносупресивна терапия. Липсват рандомизирани проучвания. </w:t>
      </w:r>
    </w:p>
    <w:p w14:paraId="024E9017"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Български консенсус:</w:t>
      </w:r>
      <w:r w:rsidRPr="00AE47C6">
        <w:rPr>
          <w:rFonts w:ascii="Times New Roman" w:eastAsia="SimSun" w:hAnsi="Times New Roman"/>
          <w:sz w:val="24"/>
          <w:szCs w:val="24"/>
        </w:rPr>
        <w:t xml:space="preserve"> ТПФ може да бъде използвана само като допълнителен терапевтичен метод, в случаите на неповлияване от конвенционалната терапия.</w:t>
      </w:r>
    </w:p>
    <w:p w14:paraId="1AFA86E6" w14:textId="77777777" w:rsidR="00BE0B19" w:rsidRPr="00AE47C6" w:rsidRDefault="00BE0B19" w:rsidP="00BE0B19">
      <w:pPr>
        <w:spacing w:after="0" w:line="360" w:lineRule="auto"/>
        <w:ind w:firstLine="720"/>
        <w:jc w:val="both"/>
        <w:rPr>
          <w:rFonts w:ascii="Times New Roman" w:eastAsia="SimSun" w:hAnsi="Times New Roman"/>
          <w:b/>
          <w:sz w:val="24"/>
          <w:szCs w:val="24"/>
        </w:rPr>
      </w:pPr>
    </w:p>
    <w:p w14:paraId="1815E89A"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8. Болест на Wilson </w:t>
      </w:r>
    </w:p>
    <w:p w14:paraId="1B891DB3"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AAN: </w:t>
      </w:r>
      <w:r w:rsidRPr="00AE47C6">
        <w:rPr>
          <w:rFonts w:ascii="Times New Roman" w:eastAsia="SimSun" w:hAnsi="Times New Roman"/>
          <w:sz w:val="24"/>
          <w:szCs w:val="24"/>
        </w:rPr>
        <w:t>липсва информация.</w:t>
      </w:r>
    </w:p>
    <w:p w14:paraId="76450B44"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ASFA: </w:t>
      </w:r>
      <w:r w:rsidRPr="00AE47C6">
        <w:rPr>
          <w:rFonts w:ascii="Times New Roman" w:eastAsia="SimSun" w:hAnsi="Times New Roman"/>
          <w:sz w:val="24"/>
          <w:szCs w:val="24"/>
        </w:rPr>
        <w:t>Приложението на ТПФ при остра чернодробна недостатъчност при болест на Wilson попада в категория 1C I.</w:t>
      </w:r>
    </w:p>
    <w:p w14:paraId="51CE30D7"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sz w:val="24"/>
          <w:szCs w:val="24"/>
        </w:rPr>
        <w:t>Острата чернодробна недостатъчност при болест на Wilson, съпътствана от хемолитична анемия и полиорганна недостатъчност (криза), почти винаги завършва фатално без чернодробна трансплантация. В тези случаи ТПФ се ползва за бързо извличане на натрупаната мед, което може да отложи необходимостта от чернодробна трансплантация.</w:t>
      </w:r>
    </w:p>
    <w:p w14:paraId="6E34975F"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Български консенсус: </w:t>
      </w:r>
      <w:r w:rsidRPr="00AE47C6">
        <w:rPr>
          <w:rFonts w:ascii="Times New Roman" w:eastAsia="SimSun" w:hAnsi="Times New Roman"/>
          <w:sz w:val="24"/>
          <w:szCs w:val="24"/>
        </w:rPr>
        <w:t>ТПФ е полезен метод при остра чернодробна недостатъчност със или без полиорганна недостатъчност при пациенти, страдащи от болестта на Wilson и може да отложи необходимостта от чернодробна трансплантация.</w:t>
      </w:r>
    </w:p>
    <w:p w14:paraId="72A00D99"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p>
    <w:p w14:paraId="01368A9E" w14:textId="77777777" w:rsidR="00BE0B19" w:rsidRPr="00AE47C6" w:rsidRDefault="00BE0B19" w:rsidP="00BE0B19">
      <w:pPr>
        <w:numPr>
          <w:ilvl w:val="0"/>
          <w:numId w:val="290"/>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Множествена склероза</w:t>
      </w:r>
    </w:p>
    <w:p w14:paraId="24706F65"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А) Първично- или вторично-прогредиентен ход</w:t>
      </w:r>
    </w:p>
    <w:p w14:paraId="086E3EAD"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AAN: </w:t>
      </w:r>
      <w:r w:rsidRPr="00AE47C6">
        <w:rPr>
          <w:rFonts w:ascii="Times New Roman" w:eastAsia="SimSun" w:hAnsi="Times New Roman"/>
          <w:sz w:val="24"/>
          <w:szCs w:val="24"/>
        </w:rPr>
        <w:t>ТПФ се смята за неефективна, базирано на последователни клас I изпитвания. Не се препоръчва приложение на ТПФ при първично- и вторично-прогредиентна множествена склероза (ниво A).</w:t>
      </w:r>
    </w:p>
    <w:p w14:paraId="08672EAE"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ASFA: </w:t>
      </w:r>
      <w:r w:rsidRPr="00AE47C6">
        <w:rPr>
          <w:rFonts w:ascii="Times New Roman" w:eastAsia="SimSun" w:hAnsi="Times New Roman"/>
          <w:sz w:val="24"/>
          <w:szCs w:val="24"/>
        </w:rPr>
        <w:t xml:space="preserve">Приложението на ТПФ при прогредиентните форми попада в категория 2B III. Няколко рандомизирани контролирани изпитвания показват ограничен до липсващ ефект от приложението на ТПФ в комбинация с друга имуносупресивна терапия при пациенти с първично- и вторично-прогредиентна множествена склероза. Не е ясно дали високата цена и риска от потенциалните странични ефекти от ТПФ оправдават скромния терапевтичен ефект. </w:t>
      </w:r>
    </w:p>
    <w:p w14:paraId="79769167"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sz w:val="24"/>
          <w:szCs w:val="24"/>
        </w:rPr>
        <w:t>При пациентите с първично и вторично-прогредиентна множествена склероза ТПФ би могла да бъде прилагана като дългосрочна терапия до тогава, докато процедурите могат да бъдат добре толерирани от пациента и рисковете не надвишават ефекта.</w:t>
      </w:r>
    </w:p>
    <w:p w14:paraId="54B509DA"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Български консенсус: </w:t>
      </w:r>
      <w:r w:rsidRPr="00AE47C6">
        <w:rPr>
          <w:rFonts w:ascii="Times New Roman" w:eastAsia="SimSun" w:hAnsi="Times New Roman"/>
          <w:sz w:val="24"/>
          <w:szCs w:val="24"/>
        </w:rPr>
        <w:t>Не се препоръчва прилагане на ТПФ.</w:t>
      </w:r>
    </w:p>
    <w:p w14:paraId="4047C1F1"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p>
    <w:p w14:paraId="1BE81AE9"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Б) Пристъпно-ремитентен ход</w:t>
      </w:r>
    </w:p>
    <w:p w14:paraId="325D26C0"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AAN: </w:t>
      </w:r>
      <w:r w:rsidRPr="00AE47C6">
        <w:rPr>
          <w:rFonts w:ascii="Times New Roman" w:eastAsia="SimSun" w:hAnsi="Times New Roman"/>
          <w:sz w:val="24"/>
          <w:szCs w:val="24"/>
        </w:rPr>
        <w:t>Плазмаферезата като допълнителна терапия в случаите на пристъп при пациенти с пристъпно-ремитентна множествена склероза е вероятно ефективна, базирано върху едно клас I изпитване. Плазмаферезата е възможно ефективна при лечението на остри демиелинизиращи заболявания на ЦНС (включително множествена склероза), които не отговарят на лечение с високи дози кортикостероиди, базирано върху едно клас II изпитване.</w:t>
      </w:r>
    </w:p>
    <w:p w14:paraId="3AA45FE1"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sz w:val="24"/>
          <w:szCs w:val="24"/>
        </w:rPr>
        <w:t>ТПФ може да се прилага като допълнителна терапия в случаите на екзацербация на пристъпно-ремитентната форма на множествена склероза (ниво B). Липсват проучвания сравняващи ефекта от ТПФ с други терапевтични възможности при множествена склероза.</w:t>
      </w:r>
    </w:p>
    <w:p w14:paraId="4EFF0331"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ASFA: </w:t>
      </w:r>
      <w:r w:rsidRPr="00AE47C6">
        <w:rPr>
          <w:rFonts w:ascii="Times New Roman" w:eastAsia="SimSun" w:hAnsi="Times New Roman"/>
          <w:sz w:val="24"/>
          <w:szCs w:val="24"/>
        </w:rPr>
        <w:t>При остри възпалителни демиелинизиращи заболявания на ЦНС, неповлияващи се от приложението на кортикостероиди –приложението на ТПФ попада в категория 1B II.</w:t>
      </w:r>
    </w:p>
    <w:p w14:paraId="282A617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Лечението с ТПФ не е специално проучвано при пристъпно-ремитентна множествена склероза. Докладвано е приложението на ТПФ при болни с множествена склероза, лекувани с natalizumab и развили прогресивна мултифокална левкоенцефалопатия (PML) с цел извличането на natalizumab от организма.</w:t>
      </w:r>
    </w:p>
    <w:p w14:paraId="7CE9027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EFNS</w:t>
      </w:r>
      <w:r w:rsidRPr="00AE47C6">
        <w:rPr>
          <w:rFonts w:ascii="Times New Roman" w:eastAsia="SimSun" w:hAnsi="Times New Roman"/>
          <w:sz w:val="24"/>
          <w:szCs w:val="24"/>
        </w:rPr>
        <w:t xml:space="preserve">: ТПФ е вероятно ефективна при част от пациентите с тежки пристъпи, неповлияващи се от терапията с methylprednisolone и приложението й следва да се има предвид при тези болни (ниво B). Само около 1/3 от пациентите с пристъпно-ремитентна форма на множествена склероза, обаче, отговарят на лечението чрез плазмафереза. </w:t>
      </w:r>
    </w:p>
    <w:p w14:paraId="120F937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Български консенсус: </w:t>
      </w:r>
      <w:r w:rsidRPr="00AE47C6">
        <w:rPr>
          <w:rFonts w:ascii="Times New Roman" w:eastAsia="SimSun" w:hAnsi="Times New Roman"/>
          <w:sz w:val="24"/>
          <w:szCs w:val="24"/>
        </w:rPr>
        <w:t>ТПФ е терапия на втори избор при тежък пристъп и липса на ефект от проведения кортикостероиден курс.</w:t>
      </w:r>
    </w:p>
    <w:p w14:paraId="7A9879E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При възникване на прогресивната мултифокална левкоенцефалопатия е необходимо спешно да се възстанови имунният ефекторен отговор чрез възвръщане на възможността за миграция на левкоцитите през кръвномозъчната бариера, която е потисната от natalizumab. Това се постига чрез плазмафереза, която намалява сатурацията на α4 интегрин.</w:t>
      </w:r>
    </w:p>
    <w:p w14:paraId="468A0FBA"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398A2704"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10. Остри възпалителни демиелинизиращи заболявания на ЦНС –оптикомиелит на Devic, транзверзален миелит (TM), остър дисеминиран енцефаломиелит (OДЕМ)</w:t>
      </w:r>
    </w:p>
    <w:p w14:paraId="04079322"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AAN: </w:t>
      </w:r>
      <w:r w:rsidRPr="00AE47C6">
        <w:rPr>
          <w:rFonts w:ascii="Times New Roman" w:eastAsia="SimSun" w:hAnsi="Times New Roman"/>
          <w:sz w:val="24"/>
          <w:szCs w:val="24"/>
        </w:rPr>
        <w:t>ТПФ е вероятно ефективна при остри демиелинизиращи заболявания на ЦНС (включително пристъпно-ремитентна множествена склероза, OДЕМ, оптикомиелит на Devic и ТМ), които не отговарят на лечение с високи дози кортикостероиди, базирано върху едноклинично изпитване клас II. В съответното проучване са включени в подгрупи пациенти с различни демиелинизиращи заболявания, поради което не е възможно да се разграничи ефективността на ТПФ при отделните заболявания</w:t>
      </w:r>
      <w:r w:rsidRPr="00AE47C6">
        <w:rPr>
          <w:rFonts w:ascii="Times New Roman" w:eastAsia="SimSun" w:hAnsi="Times New Roman"/>
          <w:i/>
          <w:sz w:val="24"/>
          <w:szCs w:val="24"/>
        </w:rPr>
        <w:t xml:space="preserve">. </w:t>
      </w:r>
    </w:p>
    <w:p w14:paraId="31A42830"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sz w:val="24"/>
          <w:szCs w:val="24"/>
        </w:rPr>
        <w:t>Плазмаферезата може да бъде прилагана като лечение на острите/флуминантни демиелинизиращи заболявания на ЦНС, които не отговарят на лечение с високи дози кортикостероиди (ниво C).</w:t>
      </w:r>
    </w:p>
    <w:p w14:paraId="01A6930E"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ASFA: </w:t>
      </w:r>
      <w:r w:rsidRPr="00AE47C6">
        <w:rPr>
          <w:rFonts w:ascii="Times New Roman" w:eastAsia="SimSun" w:hAnsi="Times New Roman"/>
          <w:sz w:val="24"/>
          <w:szCs w:val="24"/>
        </w:rPr>
        <w:t xml:space="preserve">При </w:t>
      </w:r>
      <w:r w:rsidRPr="00AE47C6">
        <w:rPr>
          <w:rFonts w:ascii="Times New Roman" w:eastAsia="SimSun" w:hAnsi="Times New Roman"/>
          <w:i/>
          <w:sz w:val="24"/>
          <w:szCs w:val="24"/>
        </w:rPr>
        <w:t xml:space="preserve">OДЕМ </w:t>
      </w:r>
      <w:r w:rsidRPr="00AE47C6">
        <w:rPr>
          <w:rFonts w:ascii="Times New Roman" w:eastAsia="SimSun" w:hAnsi="Times New Roman"/>
          <w:sz w:val="24"/>
          <w:szCs w:val="24"/>
        </w:rPr>
        <w:t>плазмаферезата попада в категория 2C II и следва да бъде прилагана при пациенти с тежки форми на заболяването, които отговарят слабо на стероидно лечение или имат контраиндикации за такова. При такива пациенти също може да се прилага и IVIG.</w:t>
      </w:r>
    </w:p>
    <w:p w14:paraId="6E643CDA"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При екзацербация на </w:t>
      </w:r>
      <w:r w:rsidRPr="00AE47C6">
        <w:rPr>
          <w:rFonts w:ascii="Times New Roman" w:eastAsia="SimSun" w:hAnsi="Times New Roman"/>
          <w:i/>
          <w:sz w:val="24"/>
          <w:szCs w:val="24"/>
        </w:rPr>
        <w:t xml:space="preserve">оптикомиелит на Devic </w:t>
      </w:r>
      <w:r w:rsidRPr="00AE47C6">
        <w:rPr>
          <w:rFonts w:ascii="Times New Roman" w:eastAsia="SimSun" w:hAnsi="Times New Roman"/>
          <w:sz w:val="24"/>
          <w:szCs w:val="24"/>
        </w:rPr>
        <w:t xml:space="preserve">лечението с ТПФ е в категория 1B II, а прилагането на ТПФ като поддържаща терапия - категория 2C III. ТПФ може да бъде прилагана по време на екзацербация и при резистентност на стероидно лечение. </w:t>
      </w:r>
    </w:p>
    <w:p w14:paraId="167F5CF4"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lang w:eastAsia="en-GB"/>
        </w:rPr>
      </w:pPr>
      <w:r w:rsidRPr="00AE47C6">
        <w:rPr>
          <w:rFonts w:ascii="Times New Roman" w:eastAsia="SimSun" w:hAnsi="Times New Roman"/>
          <w:sz w:val="24"/>
          <w:szCs w:val="24"/>
        </w:rPr>
        <w:t xml:space="preserve">ТПФ в комбинация със стероидно лечение, може да бъде съществена част от лечението на рецидиви на оптикомиелитa на Devic, целящо предотвратяване на задълбочаващата се инвалидизация. ТПФ е сравнително безопасна и ефикасна допълваща терапия при оптикомиелит на Devic, която може да модифицира краткосрочната прогноза на пристъпа, ако бъде назначена достатъчно рано в терапевтичния курс. ТПФ е показала ефективност независимо от </w:t>
      </w:r>
      <w:r w:rsidRPr="00AE47C6">
        <w:rPr>
          <w:rFonts w:ascii="Times New Roman" w:eastAsia="SimSun" w:hAnsi="Times New Roman"/>
          <w:sz w:val="24"/>
          <w:szCs w:val="24"/>
          <w:lang w:eastAsia="en-GB"/>
        </w:rPr>
        <w:t>NMO-IgG статуса. Следващите стъпки са свързани с провеждането на големи мултицентрови проучвания с цел да бъде валидирана терапевтичната процедура и да се определи оптималният терапевтичен прозорец.</w:t>
      </w:r>
    </w:p>
    <w:p w14:paraId="2F1DAEEB"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Български консенсус:</w:t>
      </w:r>
      <w:r w:rsidRPr="00AE47C6">
        <w:rPr>
          <w:rFonts w:ascii="Times New Roman" w:eastAsia="SimSun" w:hAnsi="Times New Roman"/>
          <w:sz w:val="24"/>
          <w:szCs w:val="24"/>
        </w:rPr>
        <w:t xml:space="preserve"> ТПФ може да бъде използвана като допълнителен терапевтичен метод, в случаите на неповлияване от конвенционалната терапия.</w:t>
      </w:r>
    </w:p>
    <w:p w14:paraId="20CC42A4" w14:textId="77777777" w:rsidR="00BE0B19" w:rsidRPr="00AE47C6" w:rsidRDefault="00BE0B19" w:rsidP="00BE0B19">
      <w:pPr>
        <w:spacing w:after="0" w:line="360" w:lineRule="auto"/>
        <w:ind w:firstLine="720"/>
        <w:jc w:val="both"/>
        <w:rPr>
          <w:rFonts w:ascii="Times New Roman" w:eastAsia="SimSun" w:hAnsi="Times New Roman"/>
          <w:i/>
          <w:sz w:val="24"/>
          <w:szCs w:val="24"/>
        </w:rPr>
      </w:pPr>
    </w:p>
    <w:p w14:paraId="57255C2D"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11. Паранеопластични автоимунни неврологични синдроми</w:t>
      </w:r>
    </w:p>
    <w:p w14:paraId="4F4E18F1"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ААN:</w:t>
      </w:r>
      <w:r w:rsidRPr="00AE47C6">
        <w:rPr>
          <w:rFonts w:ascii="Times New Roman" w:eastAsia="SimSun" w:hAnsi="Times New Roman"/>
          <w:sz w:val="24"/>
          <w:szCs w:val="24"/>
        </w:rPr>
        <w:t xml:space="preserve"> липсва информация.</w:t>
      </w:r>
    </w:p>
    <w:p w14:paraId="021FB34A"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b/>
          <w:sz w:val="24"/>
          <w:szCs w:val="24"/>
        </w:rPr>
        <w:t>ASFA</w:t>
      </w:r>
      <w:r w:rsidRPr="00AE47C6">
        <w:rPr>
          <w:rFonts w:ascii="Times New Roman" w:eastAsia="SimSun" w:hAnsi="Times New Roman"/>
          <w:sz w:val="24"/>
          <w:szCs w:val="24"/>
        </w:rPr>
        <w:t>: Приложението на ТПФ попада в категория 2C III. ТПФ не би могла да бъде прилагана като стандартна терапия за паранеопластичните автоимунни неврологични синдроми.</w:t>
      </w:r>
    </w:p>
    <w:p w14:paraId="152DDA47"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sz w:val="24"/>
          <w:szCs w:val="24"/>
        </w:rPr>
        <w:t>ТПФ понижава серумните, но не и ликворните антитела, поради което малко пациенти с паранеопластични автоимунни неврологични синдроми имат ефект от приложението й. Пациентите с придобита невромиотония и антитела срещу волтажно-зависимите калиеви канали (VGKC), както и пациенти с анти-Tr антитела са с вероятност да имат ефект от ТПФ независимо от малигнеността на процеса</w:t>
      </w:r>
      <w:r w:rsidRPr="00AE47C6">
        <w:rPr>
          <w:rFonts w:ascii="Times New Roman" w:eastAsia="SimSun" w:hAnsi="Times New Roman"/>
          <w:i/>
          <w:sz w:val="24"/>
          <w:szCs w:val="24"/>
        </w:rPr>
        <w:t xml:space="preserve">. </w:t>
      </w:r>
    </w:p>
    <w:p w14:paraId="1B1B98B5"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b/>
          <w:sz w:val="24"/>
          <w:szCs w:val="24"/>
        </w:rPr>
        <w:t>Български консенсус:</w:t>
      </w:r>
      <w:r w:rsidRPr="00AE47C6">
        <w:rPr>
          <w:rFonts w:ascii="Times New Roman" w:eastAsia="SimSun" w:hAnsi="Times New Roman"/>
          <w:sz w:val="24"/>
          <w:szCs w:val="24"/>
        </w:rPr>
        <w:t xml:space="preserve"> Не се препоръчва прилагане на ТПФ.</w:t>
      </w:r>
    </w:p>
    <w:p w14:paraId="0CBE2A1B" w14:textId="77777777" w:rsidR="00BE0B19" w:rsidRPr="00AE47C6" w:rsidRDefault="00BE0B19" w:rsidP="00BE0B19">
      <w:pPr>
        <w:spacing w:after="0" w:line="360" w:lineRule="auto"/>
        <w:ind w:firstLine="720"/>
        <w:contextualSpacing/>
        <w:jc w:val="both"/>
        <w:rPr>
          <w:rFonts w:ascii="Times New Roman" w:eastAsia="SimSun" w:hAnsi="Times New Roman"/>
          <w:i/>
          <w:sz w:val="24"/>
          <w:szCs w:val="24"/>
        </w:rPr>
      </w:pPr>
    </w:p>
    <w:p w14:paraId="7661F2D2"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12. Педиатрични автоимунни невропсихиатрични заболявания, асоциирани със стрептококова инфекция (PANDAS)</w:t>
      </w:r>
    </w:p>
    <w:p w14:paraId="26AD5827"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А) PANDAS</w:t>
      </w:r>
    </w:p>
    <w:p w14:paraId="631B9F5E"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AAN: </w:t>
      </w:r>
      <w:r w:rsidRPr="00AE47C6">
        <w:rPr>
          <w:rFonts w:ascii="Times New Roman" w:eastAsia="SimSun" w:hAnsi="Times New Roman"/>
          <w:sz w:val="24"/>
          <w:szCs w:val="24"/>
        </w:rPr>
        <w:t>Липсват доказателства за ефикасността на ТПФ при остро настъпили обсесивно-компулсивни разстройства и тикове при пациенти с PANDAS (едно клас III изпитване, ниво U).</w:t>
      </w:r>
    </w:p>
    <w:p w14:paraId="35BDB2C3"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ASFA: </w:t>
      </w:r>
      <w:r w:rsidRPr="00AE47C6">
        <w:rPr>
          <w:rFonts w:ascii="Times New Roman" w:eastAsia="SimSun" w:hAnsi="Times New Roman"/>
          <w:sz w:val="24"/>
          <w:szCs w:val="24"/>
        </w:rPr>
        <w:t>Приложението на ТПФ при екзацербация на симптомите на PANDAS е в категория 1B I. Трудно е да се определи ефектът на ТПФ, поради липсата на зависимост между терапевтичния отговор и степента на отстраняване на антителата.</w:t>
      </w:r>
    </w:p>
    <w:p w14:paraId="497FC5F8"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lang w:eastAsia="en-GB"/>
        </w:rPr>
      </w:pPr>
      <w:r w:rsidRPr="00AE47C6">
        <w:rPr>
          <w:rFonts w:ascii="Times New Roman" w:eastAsia="SimSun" w:hAnsi="Times New Roman"/>
          <w:b/>
          <w:sz w:val="24"/>
          <w:szCs w:val="24"/>
        </w:rPr>
        <w:t xml:space="preserve">Български консенсус: </w:t>
      </w:r>
      <w:r w:rsidRPr="00AE47C6">
        <w:rPr>
          <w:rFonts w:ascii="Times New Roman" w:eastAsia="SimSun" w:hAnsi="Times New Roman"/>
          <w:sz w:val="24"/>
          <w:szCs w:val="24"/>
        </w:rPr>
        <w:t>Няма индикации за приложение на ТПФ.</w:t>
      </w:r>
    </w:p>
    <w:p w14:paraId="45DAA0D9"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p>
    <w:p w14:paraId="6F5971EE"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Б) Хорея на Sydenham</w:t>
      </w:r>
    </w:p>
    <w:p w14:paraId="5574B424"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AAN: </w:t>
      </w:r>
      <w:r w:rsidRPr="00AE47C6">
        <w:rPr>
          <w:rFonts w:ascii="Times New Roman" w:eastAsia="SimSun" w:hAnsi="Times New Roman"/>
          <w:sz w:val="24"/>
          <w:szCs w:val="24"/>
        </w:rPr>
        <w:t>Все още липсва достатъчно информация за ефикасността на ТПФ (едно клас III проучване), приемането или отхвърлянето на лечението с ТПФ (ниво U).</w:t>
      </w:r>
    </w:p>
    <w:p w14:paraId="792FAC81"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ASFA: </w:t>
      </w:r>
      <w:r w:rsidRPr="00AE47C6">
        <w:rPr>
          <w:rFonts w:ascii="Times New Roman" w:eastAsia="SimSun" w:hAnsi="Times New Roman"/>
          <w:sz w:val="24"/>
          <w:szCs w:val="24"/>
        </w:rPr>
        <w:t>Приложението на ТПФ попада в категория 1B I.</w:t>
      </w:r>
    </w:p>
    <w:p w14:paraId="34F9D27E"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lang w:eastAsia="en-GB"/>
        </w:rPr>
      </w:pPr>
      <w:r w:rsidRPr="00AE47C6">
        <w:rPr>
          <w:rFonts w:ascii="Times New Roman" w:eastAsia="SimSun" w:hAnsi="Times New Roman"/>
          <w:b/>
          <w:sz w:val="24"/>
          <w:szCs w:val="24"/>
        </w:rPr>
        <w:t xml:space="preserve">Български консенсус: </w:t>
      </w:r>
      <w:r w:rsidRPr="00AE47C6">
        <w:rPr>
          <w:rFonts w:ascii="Times New Roman" w:eastAsia="SimSun" w:hAnsi="Times New Roman"/>
          <w:sz w:val="24"/>
          <w:szCs w:val="24"/>
        </w:rPr>
        <w:t>Няма индикации за приложение на ТПФ.</w:t>
      </w:r>
    </w:p>
    <w:p w14:paraId="6F0CE88A"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p>
    <w:p w14:paraId="5D41DBE2"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13. Хронични фокални енцефалити (на Rasmussen, CMV, EBV, HSV)</w:t>
      </w:r>
    </w:p>
    <w:p w14:paraId="429D60B7"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AAN: </w:t>
      </w:r>
      <w:r w:rsidRPr="00AE47C6">
        <w:rPr>
          <w:rFonts w:ascii="Times New Roman" w:eastAsia="SimSun" w:hAnsi="Times New Roman"/>
          <w:sz w:val="24"/>
          <w:szCs w:val="24"/>
        </w:rPr>
        <w:t>липсва информация.</w:t>
      </w:r>
    </w:p>
    <w:p w14:paraId="2A9430BC"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АSFA: </w:t>
      </w:r>
      <w:r w:rsidRPr="00AE47C6">
        <w:rPr>
          <w:rFonts w:ascii="Times New Roman" w:eastAsia="SimSun" w:hAnsi="Times New Roman"/>
          <w:sz w:val="24"/>
          <w:szCs w:val="24"/>
        </w:rPr>
        <w:t>Приложението на ТПФ при енцефалит на Rasmussen попада в категория 2C III – ТПФ е прилагана еднократно при 1 пациент.</w:t>
      </w:r>
    </w:p>
    <w:p w14:paraId="121E777D"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b/>
          <w:sz w:val="24"/>
          <w:szCs w:val="24"/>
        </w:rPr>
        <w:t xml:space="preserve">Български консенсус: </w:t>
      </w:r>
      <w:r w:rsidRPr="00AE47C6">
        <w:rPr>
          <w:rFonts w:ascii="Times New Roman" w:eastAsia="SimSun" w:hAnsi="Times New Roman"/>
          <w:sz w:val="24"/>
          <w:szCs w:val="24"/>
        </w:rPr>
        <w:t>Няма индикации за приложение на ТПФ.</w:t>
      </w:r>
    </w:p>
    <w:p w14:paraId="35DAAC0F"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lang w:eastAsia="en-GB"/>
        </w:rPr>
      </w:pPr>
    </w:p>
    <w:p w14:paraId="21079763" w14:textId="77777777" w:rsidR="00BE0B19" w:rsidRPr="00AE47C6" w:rsidRDefault="00BE0B19" w:rsidP="00BE0B19">
      <w:pPr>
        <w:numPr>
          <w:ilvl w:val="0"/>
          <w:numId w:val="287"/>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Препоръчителен плазмен обмен и брой терапевтични курсове при отделните неврологични заболявания според препоръките на ASFA, 2013</w:t>
      </w:r>
    </w:p>
    <w:p w14:paraId="3B4785EF" w14:textId="77777777" w:rsidR="00BE0B19" w:rsidRPr="00AE47C6" w:rsidRDefault="00BE0B19" w:rsidP="00BE0B19">
      <w:pPr>
        <w:spacing w:after="0" w:line="360" w:lineRule="auto"/>
        <w:ind w:left="720" w:firstLine="720"/>
        <w:contextualSpacing/>
        <w:jc w:val="both"/>
        <w:rPr>
          <w:rFonts w:ascii="Times New Roman" w:eastAsia="SimSun" w:hAnsi="Times New Roman"/>
          <w:b/>
          <w:sz w:val="24"/>
          <w:szCs w:val="24"/>
        </w:rPr>
      </w:pPr>
    </w:p>
    <w:p w14:paraId="41E9FAEA" w14:textId="77777777" w:rsidR="00BE0B19" w:rsidRPr="00AE47C6" w:rsidRDefault="00BE0B19" w:rsidP="00BE0B19">
      <w:pPr>
        <w:numPr>
          <w:ilvl w:val="0"/>
          <w:numId w:val="291"/>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Остра възпалителна демиелинизираща полирадикулоневропатия/ синдром на Guillain-Barre</w:t>
      </w:r>
    </w:p>
    <w:p w14:paraId="484BBBB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Заместван обем</w:t>
      </w:r>
      <w:r w:rsidRPr="00AE47C6">
        <w:rPr>
          <w:rFonts w:ascii="Times New Roman" w:eastAsia="SimSun" w:hAnsi="Times New Roman"/>
          <w:sz w:val="24"/>
          <w:szCs w:val="24"/>
        </w:rPr>
        <w:t xml:space="preserve">: 1–1,5 TPV </w:t>
      </w:r>
    </w:p>
    <w:p w14:paraId="1C6D847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Честота</w:t>
      </w:r>
      <w:r w:rsidRPr="00AE47C6">
        <w:rPr>
          <w:rFonts w:ascii="Times New Roman" w:eastAsia="SimSun" w:hAnsi="Times New Roman"/>
          <w:sz w:val="24"/>
          <w:szCs w:val="24"/>
        </w:rPr>
        <w:t>: през ден или по преценка според клиничните и/или лабораторни показатели.</w:t>
      </w:r>
    </w:p>
    <w:p w14:paraId="307ED3E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Заместващ разтвор</w:t>
      </w:r>
      <w:r w:rsidRPr="00AE47C6">
        <w:rPr>
          <w:rFonts w:ascii="Times New Roman" w:eastAsia="SimSun" w:hAnsi="Times New Roman"/>
          <w:sz w:val="24"/>
          <w:szCs w:val="24"/>
        </w:rPr>
        <w:t>: albumin.</w:t>
      </w:r>
    </w:p>
    <w:p w14:paraId="0C93C0C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Брой процедури/продължителност на курса</w:t>
      </w:r>
      <w:r w:rsidRPr="00AE47C6">
        <w:rPr>
          <w:rFonts w:ascii="Times New Roman" w:eastAsia="SimSun" w:hAnsi="Times New Roman"/>
          <w:sz w:val="24"/>
          <w:szCs w:val="24"/>
        </w:rPr>
        <w:t>: 5-6 процедури за 10-14 дни или до клиничен ефект.</w:t>
      </w:r>
    </w:p>
    <w:p w14:paraId="1B582C5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Забележки: </w:t>
      </w:r>
      <w:r w:rsidRPr="00AE47C6">
        <w:rPr>
          <w:rFonts w:ascii="Times New Roman" w:eastAsia="SimSun" w:hAnsi="Times New Roman"/>
          <w:sz w:val="24"/>
          <w:szCs w:val="24"/>
        </w:rPr>
        <w:t xml:space="preserve">Обичайната стратегия е да се обменят 200–250 ml плазма/kg телесно тегло за период от 10–14 дни (средно 5-6 процедури със заместващ разтвор 5% albumin). </w:t>
      </w:r>
    </w:p>
    <w:p w14:paraId="20A93A4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Рецидиви могат да възникнат при около 10% от пациентите 2-3 седмици след приключване на ТПФ или IVIG курс. В случай на рецидив може да е от полза допълнително прилагане на ТПФ. Пациентите с аксонна форма на ОВДП се повлияват по-добре от ТПФ отколкото от IVIG.</w:t>
      </w:r>
    </w:p>
    <w:p w14:paraId="172E871F"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6F02805C" w14:textId="77777777" w:rsidR="00BE0B19" w:rsidRPr="00AE47C6" w:rsidRDefault="00BE0B19" w:rsidP="00BE0B19">
      <w:pPr>
        <w:numPr>
          <w:ilvl w:val="0"/>
          <w:numId w:val="291"/>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Хронична възпалителна демиелинизираща полиневропатия</w:t>
      </w:r>
    </w:p>
    <w:p w14:paraId="4E0329EE"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Заместван обем: </w:t>
      </w:r>
      <w:r w:rsidRPr="00AE47C6">
        <w:rPr>
          <w:rFonts w:ascii="Times New Roman" w:eastAsia="SimSun" w:hAnsi="Times New Roman"/>
          <w:sz w:val="24"/>
          <w:szCs w:val="24"/>
        </w:rPr>
        <w:t>1–1,5 TPV.</w:t>
      </w:r>
    </w:p>
    <w:p w14:paraId="6A6C6780"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Честота: </w:t>
      </w:r>
      <w:r w:rsidRPr="00AE47C6">
        <w:rPr>
          <w:rFonts w:ascii="Times New Roman" w:eastAsia="SimSun" w:hAnsi="Times New Roman"/>
          <w:sz w:val="24"/>
          <w:szCs w:val="24"/>
        </w:rPr>
        <w:t>2-3 пъти седмично до настъпване на подобрение, след това с постепенно намаляване според поносимостта.</w:t>
      </w:r>
    </w:p>
    <w:p w14:paraId="5BCB83B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Заместващ разтвор: </w:t>
      </w:r>
      <w:r w:rsidRPr="00AE47C6">
        <w:rPr>
          <w:rFonts w:ascii="Times New Roman" w:eastAsia="SimSun" w:hAnsi="Times New Roman"/>
          <w:sz w:val="24"/>
          <w:szCs w:val="24"/>
        </w:rPr>
        <w:t>albumin.</w:t>
      </w:r>
    </w:p>
    <w:p w14:paraId="298A25F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Брой процедури/продължителност на курса</w:t>
      </w:r>
      <w:r w:rsidRPr="00AE47C6">
        <w:rPr>
          <w:rFonts w:ascii="Times New Roman" w:eastAsia="SimSun" w:hAnsi="Times New Roman"/>
          <w:sz w:val="24"/>
          <w:szCs w:val="24"/>
        </w:rPr>
        <w:t>: до клиничен ефект.</w:t>
      </w:r>
    </w:p>
    <w:p w14:paraId="33DEED3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ТПФ осигурява добър краткосрочен ефект, след който може да настъпи рязко влошаване. Това може да наложи прилагането на поддържаща терапия с ТПФ и/или друга имуномодулираща терапия, индивидуализирана според пациента. Честотата на поддържащите курсове може да варира от ежеседмични до ежемесечни.</w:t>
      </w:r>
    </w:p>
    <w:p w14:paraId="0A4010B5"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56CDB789" w14:textId="77777777" w:rsidR="00BE0B19" w:rsidRPr="00AE47C6" w:rsidRDefault="00BE0B19" w:rsidP="00BE0B19">
      <w:pPr>
        <w:numPr>
          <w:ilvl w:val="0"/>
          <w:numId w:val="291"/>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Дизимунни невропатии</w:t>
      </w:r>
    </w:p>
    <w:p w14:paraId="2D06DD0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Заместван обем</w:t>
      </w:r>
      <w:r w:rsidRPr="00AE47C6">
        <w:rPr>
          <w:rFonts w:ascii="Times New Roman" w:eastAsia="SimSun" w:hAnsi="Times New Roman"/>
          <w:sz w:val="24"/>
          <w:szCs w:val="24"/>
        </w:rPr>
        <w:t xml:space="preserve">: 1–1,5 TPV </w:t>
      </w:r>
    </w:p>
    <w:p w14:paraId="7B5B5D9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Честота</w:t>
      </w:r>
      <w:r w:rsidRPr="00AE47C6">
        <w:rPr>
          <w:rFonts w:ascii="Times New Roman" w:eastAsia="SimSun" w:hAnsi="Times New Roman"/>
          <w:sz w:val="24"/>
          <w:szCs w:val="24"/>
        </w:rPr>
        <w:t>: през ден или по преценка според клиничните и/или лабораторни показатели.</w:t>
      </w:r>
    </w:p>
    <w:p w14:paraId="7B216AB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Заместващ разтвор</w:t>
      </w:r>
      <w:r w:rsidRPr="00AE47C6">
        <w:rPr>
          <w:rFonts w:ascii="Times New Roman" w:eastAsia="SimSun" w:hAnsi="Times New Roman"/>
          <w:sz w:val="24"/>
          <w:szCs w:val="24"/>
        </w:rPr>
        <w:t>: albumin, прясно замразена плазма.</w:t>
      </w:r>
    </w:p>
    <w:p w14:paraId="4C074BF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Брой процедури/продължителност на курса</w:t>
      </w:r>
      <w:r w:rsidRPr="00AE47C6">
        <w:rPr>
          <w:rFonts w:ascii="Times New Roman" w:eastAsia="SimSun" w:hAnsi="Times New Roman"/>
          <w:sz w:val="24"/>
          <w:szCs w:val="24"/>
        </w:rPr>
        <w:t>: до клиничен ефект.</w:t>
      </w:r>
    </w:p>
    <w:p w14:paraId="4EF91A37"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Стандартната терапия включва 5–6 процедури за период от 10–14 дни. </w:t>
      </w:r>
    </w:p>
    <w:p w14:paraId="456F9CA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Пациентите с демиелинизираща полиневропатия може да бъдат лекувани с ТПФ по всяко време на лечебния процес (до 4 години от началото на симптомите). Дългосрочна терапия или постепенно намаляване на ТПФ също може да влязат в съображение. </w:t>
      </w:r>
    </w:p>
    <w:p w14:paraId="65D88E80"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3FDF9F50"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00EF9F9A" w14:textId="77777777" w:rsidR="00BE0B19" w:rsidRPr="00AE47C6" w:rsidRDefault="00BE0B19" w:rsidP="00BE0B19">
      <w:pPr>
        <w:numPr>
          <w:ilvl w:val="0"/>
          <w:numId w:val="291"/>
        </w:numPr>
        <w:spacing w:after="0" w:line="360" w:lineRule="auto"/>
        <w:ind w:left="0" w:firstLine="720"/>
        <w:contextualSpacing/>
        <w:jc w:val="both"/>
        <w:rPr>
          <w:rFonts w:ascii="Times New Roman" w:eastAsia="SimSun" w:hAnsi="Times New Roman"/>
          <w:sz w:val="24"/>
          <w:szCs w:val="24"/>
        </w:rPr>
      </w:pPr>
      <w:r w:rsidRPr="00AE47C6">
        <w:rPr>
          <w:rFonts w:ascii="Times New Roman" w:eastAsia="SimSun" w:hAnsi="Times New Roman"/>
          <w:b/>
          <w:sz w:val="24"/>
          <w:szCs w:val="24"/>
        </w:rPr>
        <w:t>Макроглобулинемия на Waldenstrom</w:t>
      </w:r>
    </w:p>
    <w:p w14:paraId="03CA7AC4" w14:textId="77777777" w:rsidR="00BE0B19" w:rsidRPr="00AE47C6" w:rsidRDefault="00BE0B19" w:rsidP="00BE0B19">
      <w:pPr>
        <w:spacing w:after="0" w:line="360" w:lineRule="auto"/>
        <w:ind w:left="720" w:firstLine="720"/>
        <w:contextualSpacing/>
        <w:jc w:val="both"/>
        <w:rPr>
          <w:rFonts w:ascii="Times New Roman" w:eastAsia="SimSun" w:hAnsi="Times New Roman"/>
          <w:sz w:val="24"/>
          <w:szCs w:val="24"/>
        </w:rPr>
      </w:pPr>
      <w:r w:rsidRPr="00AE47C6">
        <w:rPr>
          <w:rFonts w:ascii="Times New Roman" w:eastAsia="SimSun" w:hAnsi="Times New Roman"/>
          <w:b/>
          <w:sz w:val="24"/>
          <w:szCs w:val="24"/>
        </w:rPr>
        <w:t>Заместван обем</w:t>
      </w:r>
      <w:r w:rsidRPr="00AE47C6">
        <w:rPr>
          <w:rFonts w:ascii="Times New Roman" w:eastAsia="SimSun" w:hAnsi="Times New Roman"/>
          <w:sz w:val="24"/>
          <w:szCs w:val="24"/>
        </w:rPr>
        <w:t xml:space="preserve">: 1–1,5 TPV </w:t>
      </w:r>
    </w:p>
    <w:p w14:paraId="09D45DF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Честота</w:t>
      </w:r>
      <w:r w:rsidRPr="00AE47C6">
        <w:rPr>
          <w:rFonts w:ascii="Times New Roman" w:eastAsia="SimSun" w:hAnsi="Times New Roman"/>
          <w:sz w:val="24"/>
          <w:szCs w:val="24"/>
        </w:rPr>
        <w:t>: ежедневно.</w:t>
      </w:r>
    </w:p>
    <w:p w14:paraId="3324900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Заместващ разтвор</w:t>
      </w:r>
      <w:r w:rsidRPr="00AE47C6">
        <w:rPr>
          <w:rFonts w:ascii="Times New Roman" w:eastAsia="SimSun" w:hAnsi="Times New Roman"/>
          <w:sz w:val="24"/>
          <w:szCs w:val="24"/>
        </w:rPr>
        <w:t>: albumin.</w:t>
      </w:r>
    </w:p>
    <w:p w14:paraId="1CB5E37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Брой процедури/продължителност на курса: </w:t>
      </w:r>
      <w:r w:rsidRPr="00AE47C6">
        <w:rPr>
          <w:rFonts w:ascii="Times New Roman" w:eastAsia="SimSun" w:hAnsi="Times New Roman"/>
          <w:sz w:val="24"/>
          <w:szCs w:val="24"/>
        </w:rPr>
        <w:t>ТПФ се прилага ежедневно до отзвучаване на острата симптоматика – обикновено 1-3 процедури.</w:t>
      </w:r>
    </w:p>
    <w:p w14:paraId="08E5365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Емпирично установена поддържаща доза - една процедура на всеки 1-4 седмици в зависимост от клиничната картина. </w:t>
      </w:r>
    </w:p>
    <w:p w14:paraId="5C633C3D"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660AE1AD" w14:textId="77777777" w:rsidR="00BE0B19" w:rsidRPr="00AE47C6" w:rsidRDefault="00BE0B19" w:rsidP="00BE0B19">
      <w:pPr>
        <w:numPr>
          <w:ilvl w:val="0"/>
          <w:numId w:val="291"/>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Myasthenia gravis</w:t>
      </w:r>
    </w:p>
    <w:p w14:paraId="4A808ACE"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Заместван обем: </w:t>
      </w:r>
      <w:r w:rsidRPr="00AE47C6">
        <w:rPr>
          <w:rFonts w:ascii="Times New Roman" w:eastAsia="SimSun" w:hAnsi="Times New Roman"/>
          <w:sz w:val="24"/>
          <w:szCs w:val="24"/>
        </w:rPr>
        <w:t xml:space="preserve">1–1,5 TPV. </w:t>
      </w:r>
    </w:p>
    <w:p w14:paraId="4059DC5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Честота: </w:t>
      </w:r>
      <w:r w:rsidRPr="00AE47C6">
        <w:rPr>
          <w:rFonts w:ascii="Times New Roman" w:eastAsia="SimSun" w:hAnsi="Times New Roman"/>
          <w:sz w:val="24"/>
          <w:szCs w:val="24"/>
        </w:rPr>
        <w:t>ежедневно или през ден, или по преценка според клиничните и/или лабораторни показатели.</w:t>
      </w:r>
    </w:p>
    <w:p w14:paraId="52662DAC"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Заместващ разтвор: </w:t>
      </w:r>
      <w:r w:rsidRPr="00AE47C6">
        <w:rPr>
          <w:rFonts w:ascii="Times New Roman" w:eastAsia="SimSun" w:hAnsi="Times New Roman"/>
          <w:sz w:val="24"/>
          <w:szCs w:val="24"/>
        </w:rPr>
        <w:t>albumin.</w:t>
      </w:r>
    </w:p>
    <w:p w14:paraId="34F3114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Брой процедури/продължителност на курса</w:t>
      </w:r>
      <w:r w:rsidRPr="00AE47C6">
        <w:rPr>
          <w:rFonts w:ascii="Times New Roman" w:eastAsia="SimSun" w:hAnsi="Times New Roman"/>
          <w:sz w:val="24"/>
          <w:szCs w:val="24"/>
        </w:rPr>
        <w:t>: до клиничен ефект.</w:t>
      </w:r>
    </w:p>
    <w:p w14:paraId="6BEB8D7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Стандартният режим изисква обмен на 225 ml/kg плазма за период до 2 седмици, но обмен на по-малък обем също може да има добър ефект. Броят и честотата на процедурите зависят от клиничната картина. При някои пациенти може да се наложи дългосрочно поддържащо лечение.</w:t>
      </w:r>
    </w:p>
    <w:p w14:paraId="469DF30E"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3482332F" w14:textId="77777777" w:rsidR="00BE0B19" w:rsidRPr="00AE47C6" w:rsidRDefault="00BE0B19" w:rsidP="00BE0B19">
      <w:pPr>
        <w:numPr>
          <w:ilvl w:val="0"/>
          <w:numId w:val="291"/>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Синдром на Eaton-Lambert</w:t>
      </w:r>
    </w:p>
    <w:p w14:paraId="01F2566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Заместван обем</w:t>
      </w:r>
      <w:r w:rsidRPr="00AE47C6">
        <w:rPr>
          <w:rFonts w:ascii="Times New Roman" w:eastAsia="SimSun" w:hAnsi="Times New Roman"/>
          <w:sz w:val="24"/>
          <w:szCs w:val="24"/>
        </w:rPr>
        <w:t>: 1–1,5 TPV.</w:t>
      </w:r>
    </w:p>
    <w:p w14:paraId="48E9C6C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Честота</w:t>
      </w:r>
      <w:r w:rsidRPr="00AE47C6">
        <w:rPr>
          <w:rFonts w:ascii="Times New Roman" w:eastAsia="SimSun" w:hAnsi="Times New Roman"/>
          <w:sz w:val="24"/>
          <w:szCs w:val="24"/>
        </w:rPr>
        <w:t>: ежедневно или през ден.</w:t>
      </w:r>
    </w:p>
    <w:p w14:paraId="4B7C52F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Заместващ разтвор</w:t>
      </w:r>
      <w:r w:rsidRPr="00AE47C6">
        <w:rPr>
          <w:rFonts w:ascii="Times New Roman" w:eastAsia="SimSun" w:hAnsi="Times New Roman"/>
          <w:sz w:val="24"/>
          <w:szCs w:val="24"/>
        </w:rPr>
        <w:t>: albumin.</w:t>
      </w:r>
    </w:p>
    <w:p w14:paraId="7B8853FA"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Брой процедури/продължителност на курса: </w:t>
      </w:r>
      <w:r w:rsidRPr="00AE47C6">
        <w:rPr>
          <w:rFonts w:ascii="Times New Roman" w:eastAsia="SimSun" w:hAnsi="Times New Roman"/>
          <w:sz w:val="24"/>
          <w:szCs w:val="24"/>
        </w:rPr>
        <w:t>до клиничен ефект.</w:t>
      </w:r>
    </w:p>
    <w:p w14:paraId="380A942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Лечението трябва да продължи до постигане на отчетлив клиничен и електромиографски отговор, или поне до завършването на 2-3 седмичен терапевтичен курс. </w:t>
      </w:r>
    </w:p>
    <w:p w14:paraId="08E1AF0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Забележки: </w:t>
      </w:r>
      <w:r w:rsidRPr="00AE47C6">
        <w:rPr>
          <w:rFonts w:ascii="Times New Roman" w:eastAsia="SimSun" w:hAnsi="Times New Roman"/>
          <w:sz w:val="24"/>
          <w:szCs w:val="24"/>
        </w:rPr>
        <w:t>В първите две седмици от началото на терапията може да не бъде регистриран отчетлив ефект, което може да се дължи на забавен търновер на пресинаптичните волтажно-зависими калциеви канали в сравнение с постсинаптичния ацетилхолинов рецептор.</w:t>
      </w:r>
    </w:p>
    <w:p w14:paraId="550353E3"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7BB610D7" w14:textId="77777777" w:rsidR="00BE0B19" w:rsidRPr="00AE47C6" w:rsidRDefault="00BE0B19" w:rsidP="00BE0B19">
      <w:pPr>
        <w:numPr>
          <w:ilvl w:val="0"/>
          <w:numId w:val="291"/>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Синдром на скования човек</w:t>
      </w:r>
    </w:p>
    <w:p w14:paraId="12B0FF1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Заместван обем</w:t>
      </w:r>
      <w:r w:rsidRPr="00AE47C6">
        <w:rPr>
          <w:rFonts w:ascii="Times New Roman" w:eastAsia="SimSun" w:hAnsi="Times New Roman"/>
          <w:sz w:val="24"/>
          <w:szCs w:val="24"/>
        </w:rPr>
        <w:t xml:space="preserve">: 1–1,5 TPV. </w:t>
      </w:r>
    </w:p>
    <w:p w14:paraId="2B37004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Честота</w:t>
      </w:r>
      <w:r w:rsidRPr="00AE47C6">
        <w:rPr>
          <w:rFonts w:ascii="Times New Roman" w:eastAsia="SimSun" w:hAnsi="Times New Roman"/>
          <w:sz w:val="24"/>
          <w:szCs w:val="24"/>
        </w:rPr>
        <w:t>: по една процедура на всеки 1-3 дни или по преценка според клиничните и/или лабораторни показатели.</w:t>
      </w:r>
    </w:p>
    <w:p w14:paraId="7812855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Заместващ разтвор</w:t>
      </w:r>
      <w:r w:rsidRPr="00AE47C6">
        <w:rPr>
          <w:rFonts w:ascii="Times New Roman" w:eastAsia="SimSun" w:hAnsi="Times New Roman"/>
          <w:sz w:val="24"/>
          <w:szCs w:val="24"/>
        </w:rPr>
        <w:t>: albumin.</w:t>
      </w:r>
    </w:p>
    <w:p w14:paraId="7992943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Брой процедури/продължителност на курса</w:t>
      </w:r>
      <w:r w:rsidRPr="00AE47C6">
        <w:rPr>
          <w:rFonts w:ascii="Times New Roman" w:eastAsia="SimSun" w:hAnsi="Times New Roman"/>
          <w:sz w:val="24"/>
          <w:szCs w:val="24"/>
        </w:rPr>
        <w:t>: до клиничен ефект.</w:t>
      </w:r>
    </w:p>
    <w:p w14:paraId="074C65E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Серии от 4-5 плазмаобмена, провеждани в рамките на 8-14 дни, би следвало да доведат до ефективно намаление на IgG. Според клиничния ефект би могло да се обсъди преустановяване на ТПФ или провеждане на повторен терапевтичен курс.</w:t>
      </w:r>
    </w:p>
    <w:p w14:paraId="18ED649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Забележка: </w:t>
      </w:r>
      <w:r w:rsidRPr="00AE47C6">
        <w:rPr>
          <w:rFonts w:ascii="Times New Roman" w:eastAsia="SimSun" w:hAnsi="Times New Roman"/>
          <w:sz w:val="24"/>
          <w:szCs w:val="24"/>
        </w:rPr>
        <w:t>ТПФ трябва да бъде прилагана само като допълнителна терапия към стандартното фармакологично лечение.</w:t>
      </w:r>
    </w:p>
    <w:p w14:paraId="6638FEB9"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3390E170" w14:textId="77777777" w:rsidR="00BE0B19" w:rsidRPr="00AE47C6" w:rsidRDefault="00BE0B19" w:rsidP="00BE0B19">
      <w:pPr>
        <w:numPr>
          <w:ilvl w:val="0"/>
          <w:numId w:val="291"/>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Болест на Wilson </w:t>
      </w:r>
    </w:p>
    <w:p w14:paraId="5825648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Заместван обем</w:t>
      </w:r>
      <w:r w:rsidRPr="00AE47C6">
        <w:rPr>
          <w:rFonts w:ascii="Times New Roman" w:eastAsia="SimSun" w:hAnsi="Times New Roman"/>
          <w:sz w:val="24"/>
          <w:szCs w:val="24"/>
        </w:rPr>
        <w:t>:1–1,5 TPV.</w:t>
      </w:r>
    </w:p>
    <w:p w14:paraId="2D8F270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Честота</w:t>
      </w:r>
      <w:r w:rsidRPr="00AE47C6">
        <w:rPr>
          <w:rFonts w:ascii="Times New Roman" w:eastAsia="SimSun" w:hAnsi="Times New Roman"/>
          <w:sz w:val="24"/>
          <w:szCs w:val="24"/>
        </w:rPr>
        <w:t>: ежедневно, през ден или по преценка според клиничните и/или лабораторни показатели.</w:t>
      </w:r>
    </w:p>
    <w:p w14:paraId="67D9EF8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Заместващ разтвор</w:t>
      </w:r>
      <w:r w:rsidRPr="00AE47C6">
        <w:rPr>
          <w:rFonts w:ascii="Times New Roman" w:eastAsia="SimSun" w:hAnsi="Times New Roman"/>
          <w:sz w:val="24"/>
          <w:szCs w:val="24"/>
        </w:rPr>
        <w:t>: прясно замразена плазма, albumin.</w:t>
      </w:r>
    </w:p>
    <w:p w14:paraId="2EC78ED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Брой процедури/продължителност на курса</w:t>
      </w:r>
      <w:r w:rsidRPr="00AE47C6">
        <w:rPr>
          <w:rFonts w:ascii="Times New Roman" w:eastAsia="SimSun" w:hAnsi="Times New Roman"/>
          <w:sz w:val="24"/>
          <w:szCs w:val="24"/>
        </w:rPr>
        <w:t>: до клиничен ефект.</w:t>
      </w:r>
    </w:p>
    <w:p w14:paraId="38BEFAA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В повечето случаи се докладва за бърза и продължителна редукция на серумната мед още след първите два терапевтични курса. </w:t>
      </w:r>
    </w:p>
    <w:p w14:paraId="11A20BB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Забележки: </w:t>
      </w:r>
      <w:r w:rsidRPr="00AE47C6">
        <w:rPr>
          <w:rFonts w:ascii="Times New Roman" w:eastAsia="SimSun" w:hAnsi="Times New Roman"/>
          <w:sz w:val="24"/>
          <w:szCs w:val="24"/>
        </w:rPr>
        <w:t xml:space="preserve">Заместването с прясно замразена плазма осигурява на организма допълнителни фактори на кръвосъсирването и води до бърза корекция на коагулационния статус. </w:t>
      </w:r>
    </w:p>
    <w:p w14:paraId="10A856C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Комбинацията от прясно замразена плазма и албумин също е възможна.</w:t>
      </w:r>
    </w:p>
    <w:p w14:paraId="2515EE5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Употребата само на албумин влошава коагулопатията.</w:t>
      </w:r>
    </w:p>
    <w:p w14:paraId="5564E4C8"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1AA9A573" w14:textId="77777777" w:rsidR="00BE0B19" w:rsidRPr="00AE47C6" w:rsidRDefault="00BE0B19" w:rsidP="00BE0B19">
      <w:pPr>
        <w:numPr>
          <w:ilvl w:val="0"/>
          <w:numId w:val="291"/>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Множествена склероза </w:t>
      </w:r>
    </w:p>
    <w:p w14:paraId="793CE99E"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Заместван обем</w:t>
      </w:r>
      <w:r w:rsidRPr="00AE47C6">
        <w:rPr>
          <w:rFonts w:ascii="Times New Roman" w:eastAsia="SimSun" w:hAnsi="Times New Roman"/>
          <w:sz w:val="24"/>
          <w:szCs w:val="24"/>
        </w:rPr>
        <w:t>: 1–1,5 TPV.</w:t>
      </w:r>
    </w:p>
    <w:p w14:paraId="30DB3F1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Честота</w:t>
      </w:r>
      <w:r w:rsidRPr="00AE47C6">
        <w:rPr>
          <w:rFonts w:ascii="Times New Roman" w:eastAsia="SimSun" w:hAnsi="Times New Roman"/>
          <w:sz w:val="24"/>
          <w:szCs w:val="24"/>
        </w:rPr>
        <w:t>: Пристъп: 5–7 процедури за 14 дни или по преценка според клиничните и/или лабораторни показатели.</w:t>
      </w:r>
    </w:p>
    <w:p w14:paraId="6611515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Прогредиентни форми: ежеседмично или по преценка според клиничните и/или лабораторни показатели.</w:t>
      </w:r>
    </w:p>
    <w:p w14:paraId="41696E1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Заместващ разтвор</w:t>
      </w:r>
      <w:r w:rsidRPr="00AE47C6">
        <w:rPr>
          <w:rFonts w:ascii="Times New Roman" w:eastAsia="SimSun" w:hAnsi="Times New Roman"/>
          <w:sz w:val="24"/>
          <w:szCs w:val="24"/>
        </w:rPr>
        <w:t>: albumin.</w:t>
      </w:r>
    </w:p>
    <w:p w14:paraId="04B11DC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Брой процедури/продължителност на курса</w:t>
      </w:r>
      <w:r w:rsidRPr="00AE47C6">
        <w:rPr>
          <w:rFonts w:ascii="Times New Roman" w:eastAsia="SimSun" w:hAnsi="Times New Roman"/>
          <w:sz w:val="24"/>
          <w:szCs w:val="24"/>
        </w:rPr>
        <w:t>: до клиничен ефект.</w:t>
      </w:r>
    </w:p>
    <w:p w14:paraId="19D048B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Забележки: </w:t>
      </w:r>
      <w:r w:rsidRPr="00AE47C6">
        <w:rPr>
          <w:rFonts w:ascii="Times New Roman" w:eastAsia="SimSun" w:hAnsi="Times New Roman"/>
          <w:sz w:val="24"/>
          <w:szCs w:val="24"/>
        </w:rPr>
        <w:t>При пристъпно-ремитентна множествена склероза, неповлияваща се от високи дози кортикостероиди, 5-7 ТПФ процедури показват отчетлив ефект при около 40-50% от случаите. Ранната ТПФ (до 14-20 дни от началото на оплакванията) е предиктор за добро повлияване, макар че подобрение се отчита и в някои случаи на започване на терапията 60 дни след пристъпа.</w:t>
      </w:r>
    </w:p>
    <w:p w14:paraId="6681694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При прогредиентните форми ТПФ може да се приложи като дългосрочна терапия с постепенно намаляване, в зависимост от поносимостта.</w:t>
      </w:r>
    </w:p>
    <w:p w14:paraId="0DB05409"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40949A30" w14:textId="77777777" w:rsidR="00BE0B19" w:rsidRPr="00AE47C6" w:rsidRDefault="00BE0B19" w:rsidP="00BE0B19">
      <w:pPr>
        <w:numPr>
          <w:ilvl w:val="0"/>
          <w:numId w:val="291"/>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OДЕМ и други остри възпалителни демиелинизиращи заболявания на ЦНС:</w:t>
      </w:r>
    </w:p>
    <w:p w14:paraId="1FEBF0C4"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Заместван обем: </w:t>
      </w:r>
      <w:r w:rsidRPr="00AE47C6">
        <w:rPr>
          <w:rFonts w:ascii="Times New Roman" w:eastAsia="SimSun" w:hAnsi="Times New Roman"/>
          <w:sz w:val="24"/>
          <w:szCs w:val="24"/>
        </w:rPr>
        <w:t>1–1,5 TPV.</w:t>
      </w:r>
    </w:p>
    <w:p w14:paraId="3980541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Честота: </w:t>
      </w:r>
      <w:r w:rsidRPr="00AE47C6">
        <w:rPr>
          <w:rFonts w:ascii="Times New Roman" w:eastAsia="SimSun" w:hAnsi="Times New Roman"/>
          <w:sz w:val="24"/>
          <w:szCs w:val="24"/>
        </w:rPr>
        <w:t>през ден или по преценка според клиничните и/или лабораторни показатели.</w:t>
      </w:r>
    </w:p>
    <w:p w14:paraId="0B25C0E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Заместващ разтвор: </w:t>
      </w:r>
      <w:r w:rsidRPr="00AE47C6">
        <w:rPr>
          <w:rFonts w:ascii="Times New Roman" w:eastAsia="SimSun" w:hAnsi="Times New Roman"/>
          <w:sz w:val="24"/>
          <w:szCs w:val="24"/>
        </w:rPr>
        <w:t>albumin.</w:t>
      </w:r>
    </w:p>
    <w:p w14:paraId="42655420"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Брой процедури: </w:t>
      </w:r>
      <w:r w:rsidRPr="00AE47C6">
        <w:rPr>
          <w:rFonts w:ascii="Times New Roman" w:eastAsia="SimSun" w:hAnsi="Times New Roman"/>
          <w:sz w:val="24"/>
          <w:szCs w:val="24"/>
        </w:rPr>
        <w:t>3-6 курса или до клиничен ефект.</w:t>
      </w:r>
    </w:p>
    <w:p w14:paraId="4459280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Забележки: </w:t>
      </w:r>
      <w:r w:rsidRPr="00AE47C6">
        <w:rPr>
          <w:rFonts w:ascii="Times New Roman" w:eastAsia="SimSun" w:hAnsi="Times New Roman"/>
          <w:sz w:val="24"/>
          <w:szCs w:val="24"/>
        </w:rPr>
        <w:t>Според повечето литературни данни ефект настъпва в рамките на няколко дни, обикновено след 2-3 плазмаобмена. Ако не настъпи подобрение рано в хода на лечението, е малко вероятно такова да настъпи изобщо.</w:t>
      </w:r>
    </w:p>
    <w:p w14:paraId="2B61EE5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Все още няма стандарт, върху който да се базират препоръките за оптимален терапевтичен курс на плазмафереза при OДЕМ. </w:t>
      </w:r>
    </w:p>
    <w:p w14:paraId="67021A6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В най-голямото публикувано проучване умерено или значително подобрение след ТПФ се съобщава при около 50% от пациентите. Факторите, свързани с по-добър терапевтичен резултат, са: мъжки пол, запазени сухожилни рефлекси и ранен старт на лечението.</w:t>
      </w:r>
    </w:p>
    <w:p w14:paraId="56BB0F12"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613E0DD6" w14:textId="77777777" w:rsidR="00BE0B19" w:rsidRPr="00AE47C6" w:rsidRDefault="00BE0B19" w:rsidP="00BE0B19">
      <w:pPr>
        <w:numPr>
          <w:ilvl w:val="0"/>
          <w:numId w:val="291"/>
        </w:num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Оптикомиелит на Devic</w:t>
      </w:r>
    </w:p>
    <w:p w14:paraId="24A5C4F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Заместван обем</w:t>
      </w:r>
      <w:r w:rsidRPr="00AE47C6">
        <w:rPr>
          <w:rFonts w:ascii="Times New Roman" w:eastAsia="SimSun" w:hAnsi="Times New Roman"/>
          <w:sz w:val="24"/>
          <w:szCs w:val="24"/>
        </w:rPr>
        <w:t>: 1–1,5 TPV.</w:t>
      </w:r>
    </w:p>
    <w:p w14:paraId="068181F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Честота</w:t>
      </w:r>
      <w:r w:rsidRPr="00AE47C6">
        <w:rPr>
          <w:rFonts w:ascii="Times New Roman" w:eastAsia="SimSun" w:hAnsi="Times New Roman"/>
          <w:sz w:val="24"/>
          <w:szCs w:val="24"/>
        </w:rPr>
        <w:t>: В стадий на екзацербация: всеки ден или през ден.</w:t>
      </w:r>
    </w:p>
    <w:p w14:paraId="316277A1"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                Поддържаща доза: вариабилна.</w:t>
      </w:r>
    </w:p>
    <w:p w14:paraId="2994321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Заместващ разтвор</w:t>
      </w:r>
      <w:r w:rsidRPr="00AE47C6">
        <w:rPr>
          <w:rFonts w:ascii="Times New Roman" w:eastAsia="SimSun" w:hAnsi="Times New Roman"/>
          <w:sz w:val="24"/>
          <w:szCs w:val="24"/>
        </w:rPr>
        <w:t>: albumin.</w:t>
      </w:r>
    </w:p>
    <w:p w14:paraId="35530EC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Брой процедури/продължителност на курса: </w:t>
      </w:r>
      <w:r w:rsidRPr="00AE47C6">
        <w:rPr>
          <w:rFonts w:ascii="Times New Roman" w:eastAsia="SimSun" w:hAnsi="Times New Roman"/>
          <w:sz w:val="24"/>
          <w:szCs w:val="24"/>
        </w:rPr>
        <w:t xml:space="preserve">В повечето проучвания се съобщава за средно 5 процедури в стадий на екзацербация, но данните варират от 2 до 20 процедури. </w:t>
      </w:r>
    </w:p>
    <w:p w14:paraId="4E69A687"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46266D86" w14:textId="77777777" w:rsidR="00BE0B19" w:rsidRPr="00AE47C6" w:rsidRDefault="00BE0B19" w:rsidP="00BE0B19">
      <w:pPr>
        <w:numPr>
          <w:ilvl w:val="0"/>
          <w:numId w:val="291"/>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Паранеопластични автоимунни неврологични синдроми</w:t>
      </w:r>
    </w:p>
    <w:p w14:paraId="4B44776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Заместван обем</w:t>
      </w:r>
      <w:r w:rsidRPr="00AE47C6">
        <w:rPr>
          <w:rFonts w:ascii="Times New Roman" w:eastAsia="SimSun" w:hAnsi="Times New Roman"/>
          <w:sz w:val="24"/>
          <w:szCs w:val="24"/>
        </w:rPr>
        <w:t xml:space="preserve">: 1–1,5 TPV. </w:t>
      </w:r>
    </w:p>
    <w:p w14:paraId="1CA5C6C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Честота</w:t>
      </w:r>
      <w:r w:rsidRPr="00AE47C6">
        <w:rPr>
          <w:rFonts w:ascii="Times New Roman" w:eastAsia="SimSun" w:hAnsi="Times New Roman"/>
          <w:sz w:val="24"/>
          <w:szCs w:val="24"/>
        </w:rPr>
        <w:t>: ежедневно или през ден, или по преценка според клиничните и/или лабораторни показатели.</w:t>
      </w:r>
    </w:p>
    <w:p w14:paraId="1EC836C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Заместващ разтвор</w:t>
      </w:r>
      <w:r w:rsidRPr="00AE47C6">
        <w:rPr>
          <w:rFonts w:ascii="Times New Roman" w:eastAsia="SimSun" w:hAnsi="Times New Roman"/>
          <w:sz w:val="24"/>
          <w:szCs w:val="24"/>
        </w:rPr>
        <w:t>: albumin.</w:t>
      </w:r>
    </w:p>
    <w:p w14:paraId="01EB6D9B"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Брой процедури/продължителност на курса</w:t>
      </w:r>
      <w:r w:rsidRPr="00AE47C6">
        <w:rPr>
          <w:rFonts w:ascii="Times New Roman" w:eastAsia="SimSun" w:hAnsi="Times New Roman"/>
          <w:sz w:val="24"/>
          <w:szCs w:val="24"/>
        </w:rPr>
        <w:t>: 5–6 процедури за не повече от 2 седмици или до клиничен ефект.</w:t>
      </w:r>
    </w:p>
    <w:p w14:paraId="3FD894F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Забележки: </w:t>
      </w:r>
      <w:r w:rsidRPr="00AE47C6">
        <w:rPr>
          <w:rFonts w:ascii="Times New Roman" w:eastAsia="SimSun" w:hAnsi="Times New Roman"/>
          <w:sz w:val="24"/>
          <w:szCs w:val="24"/>
        </w:rPr>
        <w:t>ТПФ не може да бъде смятана за стандартна терапия при паранеопластичните автоимунни неврологични синдроми.</w:t>
      </w:r>
    </w:p>
    <w:p w14:paraId="72D6E640"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394C0A07" w14:textId="77777777" w:rsidR="00BE0B19" w:rsidRPr="00AE47C6" w:rsidRDefault="00BE0B19" w:rsidP="00BE0B19">
      <w:pPr>
        <w:numPr>
          <w:ilvl w:val="0"/>
          <w:numId w:val="291"/>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PANDAS, хорея на Sydenham</w:t>
      </w:r>
    </w:p>
    <w:p w14:paraId="35299439"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Заместван обем</w:t>
      </w:r>
      <w:r w:rsidRPr="00AE47C6">
        <w:rPr>
          <w:rFonts w:ascii="Times New Roman" w:eastAsia="SimSun" w:hAnsi="Times New Roman"/>
          <w:sz w:val="24"/>
          <w:szCs w:val="24"/>
        </w:rPr>
        <w:t xml:space="preserve">: 1–1,5 TPV. </w:t>
      </w:r>
    </w:p>
    <w:p w14:paraId="172814D8"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Честота</w:t>
      </w:r>
      <w:r w:rsidRPr="00AE47C6">
        <w:rPr>
          <w:rFonts w:ascii="Times New Roman" w:eastAsia="SimSun" w:hAnsi="Times New Roman"/>
          <w:sz w:val="24"/>
          <w:szCs w:val="24"/>
        </w:rPr>
        <w:t>: ежедневно или през ден, или по преценка според клиничните и/или лабораторни показатели.</w:t>
      </w:r>
    </w:p>
    <w:p w14:paraId="77B4568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Заместващ разтвор</w:t>
      </w:r>
      <w:r w:rsidRPr="00AE47C6">
        <w:rPr>
          <w:rFonts w:ascii="Times New Roman" w:eastAsia="SimSun" w:hAnsi="Times New Roman"/>
          <w:sz w:val="24"/>
          <w:szCs w:val="24"/>
        </w:rPr>
        <w:t>: albumin.</w:t>
      </w:r>
    </w:p>
    <w:p w14:paraId="5C68F58D"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Брой процедури/продължителност на курса</w:t>
      </w:r>
      <w:r w:rsidRPr="00AE47C6">
        <w:rPr>
          <w:rFonts w:ascii="Times New Roman" w:eastAsia="SimSun" w:hAnsi="Times New Roman"/>
          <w:sz w:val="24"/>
          <w:szCs w:val="24"/>
        </w:rPr>
        <w:t>: 5-6 процедури за 7-14 дни или до клиничен ефект. Няма данни в полза на повтарянето на терапевтичния курс.</w:t>
      </w:r>
    </w:p>
    <w:p w14:paraId="41A10128"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58B63AB0" w14:textId="77777777" w:rsidR="00BE0B19" w:rsidRPr="00AE47C6" w:rsidRDefault="00BE0B19" w:rsidP="00BE0B19">
      <w:pPr>
        <w:numPr>
          <w:ilvl w:val="0"/>
          <w:numId w:val="291"/>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Енцефалит на Rasmussen</w:t>
      </w:r>
    </w:p>
    <w:p w14:paraId="61F6660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Заместван обем: </w:t>
      </w:r>
      <w:r w:rsidRPr="00AE47C6">
        <w:rPr>
          <w:rFonts w:ascii="Times New Roman" w:eastAsia="SimSun" w:hAnsi="Times New Roman"/>
          <w:sz w:val="24"/>
          <w:szCs w:val="24"/>
        </w:rPr>
        <w:t>1–1,5 TPV.</w:t>
      </w:r>
    </w:p>
    <w:p w14:paraId="44B3F5B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Честота: </w:t>
      </w:r>
      <w:r w:rsidRPr="00AE47C6">
        <w:rPr>
          <w:rFonts w:ascii="Times New Roman" w:eastAsia="SimSun" w:hAnsi="Times New Roman"/>
          <w:sz w:val="24"/>
          <w:szCs w:val="24"/>
        </w:rPr>
        <w:t>3–6 ТПФ за 6–12 дни или до клиничен ефект, след което при нужда курсът се повтаря през интервал от 1-2 седмици до 2-3 месеца.</w:t>
      </w:r>
    </w:p>
    <w:p w14:paraId="46E5BCD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Заместващ разтвор: </w:t>
      </w:r>
      <w:r w:rsidRPr="00AE47C6">
        <w:rPr>
          <w:rFonts w:ascii="Times New Roman" w:eastAsia="SimSun" w:hAnsi="Times New Roman"/>
          <w:sz w:val="24"/>
          <w:szCs w:val="24"/>
        </w:rPr>
        <w:t>albumin.</w:t>
      </w:r>
    </w:p>
    <w:p w14:paraId="768AD574"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Забележки: </w:t>
      </w:r>
      <w:r w:rsidRPr="00AE47C6">
        <w:rPr>
          <w:rFonts w:ascii="Times New Roman" w:eastAsia="SimSun" w:hAnsi="Times New Roman"/>
          <w:sz w:val="24"/>
          <w:szCs w:val="24"/>
        </w:rPr>
        <w:t>Имуносупресивната терапия може да удължи интервалите на приложение на ТПФ. При неповлияване следва да се обсъди оперативно лечение.</w:t>
      </w:r>
    </w:p>
    <w:p w14:paraId="472BB050"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7217B990" w14:textId="77777777" w:rsidR="00BE0B19" w:rsidRPr="00AE47C6" w:rsidRDefault="00BE0B19" w:rsidP="00BE0B19">
      <w:pPr>
        <w:numPr>
          <w:ilvl w:val="0"/>
          <w:numId w:val="287"/>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Критерии за оценка на ефекта от приложението на терапевтична плазмафереза</w:t>
      </w:r>
    </w:p>
    <w:p w14:paraId="1336B49D" w14:textId="77777777" w:rsidR="00BE0B19" w:rsidRPr="00AE47C6" w:rsidRDefault="00BE0B19" w:rsidP="00BE0B19">
      <w:pPr>
        <w:numPr>
          <w:ilvl w:val="0"/>
          <w:numId w:val="289"/>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Клинични критерии</w:t>
      </w:r>
    </w:p>
    <w:p w14:paraId="34BBA2B5"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sz w:val="24"/>
          <w:szCs w:val="24"/>
        </w:rPr>
        <w:t>1.1 Оценка на динамиката в неврологичния статус.</w:t>
      </w:r>
    </w:p>
    <w:p w14:paraId="1D5DD206"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1.2 Приложение на приетите клинични тестове за оценка на съответното заболяване/клинични аспекти – мануално мускулно тестуване (ММТ), Скала за количествено отчитане на увредата на неврологичните функции по Kurtzke - Expanded Disability Status Scale (EDSS) - при множествена склероза (Национален консенсус за диагноза и лечение на множествена склероза), GBS Disability Scale (Скала за оценка на инвалидизацията при синдром на Guillain-Barre) (приложение 1), Скала за обективна оценка на миастения (приложение 2), прилагане на неврокогнитивни тестове и др. </w:t>
      </w:r>
    </w:p>
    <w:p w14:paraId="334EE29C" w14:textId="77777777" w:rsidR="00BE0B19" w:rsidRPr="00AE47C6" w:rsidRDefault="00BE0B19" w:rsidP="00BE0B19">
      <w:pPr>
        <w:numPr>
          <w:ilvl w:val="0"/>
          <w:numId w:val="289"/>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Електромиографско проследяване на динамиката в параметрите, установени при основното заболяване (заболявания на периферната нервна система).</w:t>
      </w:r>
    </w:p>
    <w:p w14:paraId="74583783" w14:textId="77777777" w:rsidR="00BE0B19" w:rsidRPr="00AE47C6" w:rsidRDefault="00BE0B19" w:rsidP="00BE0B19">
      <w:pPr>
        <w:numPr>
          <w:ilvl w:val="0"/>
          <w:numId w:val="289"/>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Динамика в лабораторните показатели.</w:t>
      </w:r>
    </w:p>
    <w:p w14:paraId="7756894F" w14:textId="77777777" w:rsidR="00BE0B19" w:rsidRPr="00AE47C6" w:rsidRDefault="00BE0B19" w:rsidP="00BE0B19">
      <w:pPr>
        <w:numPr>
          <w:ilvl w:val="0"/>
          <w:numId w:val="289"/>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Динамика в ликворологичните показатели (когато е необходимо).</w:t>
      </w:r>
    </w:p>
    <w:p w14:paraId="4DDE8B1E" w14:textId="77777777" w:rsidR="00BE0B19" w:rsidRPr="00AE47C6" w:rsidRDefault="00BE0B19" w:rsidP="00BE0B19">
      <w:pPr>
        <w:numPr>
          <w:ilvl w:val="0"/>
          <w:numId w:val="289"/>
        </w:numPr>
        <w:spacing w:after="0" w:line="360" w:lineRule="auto"/>
        <w:ind w:left="0"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Динамика в невроизобразителните находки (когато е необходимо).</w:t>
      </w:r>
    </w:p>
    <w:p w14:paraId="6D8BDBA2"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p>
    <w:p w14:paraId="2975B89C"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p>
    <w:p w14:paraId="2437FBBC"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p>
    <w:p w14:paraId="12C12494"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p>
    <w:p w14:paraId="16A50DF8"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br w:type="page"/>
      </w:r>
    </w:p>
    <w:p w14:paraId="5515B284"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Приложения</w:t>
      </w:r>
    </w:p>
    <w:p w14:paraId="3C6E6079" w14:textId="77777777" w:rsidR="00BE0B19" w:rsidRPr="00AE47C6" w:rsidRDefault="00BE0B19" w:rsidP="00BE0B19">
      <w:pPr>
        <w:spacing w:after="0" w:line="360" w:lineRule="auto"/>
        <w:ind w:left="720" w:firstLine="720"/>
        <w:jc w:val="both"/>
        <w:rPr>
          <w:rFonts w:ascii="Times New Roman" w:eastAsia="SimSun" w:hAnsi="Times New Roman"/>
          <w:b/>
          <w:sz w:val="24"/>
          <w:szCs w:val="24"/>
        </w:rPr>
      </w:pPr>
    </w:p>
    <w:p w14:paraId="7177D8B9"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u w:val="single"/>
        </w:rPr>
        <w:t>Приложение 1.</w:t>
      </w:r>
    </w:p>
    <w:p w14:paraId="1DC21816"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t xml:space="preserve">GBS Disability Scale </w:t>
      </w:r>
      <w:r w:rsidRPr="00AE47C6">
        <w:rPr>
          <w:rFonts w:ascii="Times New Roman" w:eastAsia="SimSun" w:hAnsi="Times New Roman"/>
          <w:sz w:val="24"/>
          <w:szCs w:val="24"/>
        </w:rPr>
        <w:t>(Sandoglobuline GBS Trial Group, 1997):</w:t>
      </w:r>
    </w:p>
    <w:p w14:paraId="3A22C69B"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0. Здрав. </w:t>
      </w:r>
    </w:p>
    <w:p w14:paraId="6329EE24"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1. Леко изразени невропатни симптоми, но е съхранена способността пациента да тича/да си служи с ръцете. </w:t>
      </w:r>
    </w:p>
    <w:p w14:paraId="5AA1C001"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2. Съхранена е способността на пациента да извърви самостоятелно поне 5 m, но не може да тича/да си служи с ръцете. </w:t>
      </w:r>
    </w:p>
    <w:p w14:paraId="0A4FD9E8"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3. Съхранена е способността на пациента да извърви поне 5 m с чужда помощ. </w:t>
      </w:r>
    </w:p>
    <w:p w14:paraId="34675034"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sz w:val="24"/>
          <w:szCs w:val="24"/>
        </w:rPr>
        <w:t>4. Прикован на легло/инвалиден стол.</w:t>
      </w:r>
    </w:p>
    <w:p w14:paraId="7A7CBA32"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sz w:val="24"/>
          <w:szCs w:val="24"/>
        </w:rPr>
        <w:t xml:space="preserve">5. Изисква апаратна вентилация през поне няколко часа от  денонощието. </w:t>
      </w:r>
    </w:p>
    <w:p w14:paraId="1E00122B"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sz w:val="24"/>
          <w:szCs w:val="24"/>
        </w:rPr>
        <w:t>6. Летален изход.</w:t>
      </w:r>
    </w:p>
    <w:p w14:paraId="03C5B4CC"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p>
    <w:p w14:paraId="52B599ED"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u w:val="single"/>
        </w:rPr>
        <w:t>Приложение 2.</w:t>
      </w:r>
    </w:p>
    <w:p w14:paraId="1BDEEC32"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shd w:val="clear" w:color="auto" w:fill="F4F8FB"/>
        </w:rPr>
      </w:pPr>
      <w:r w:rsidRPr="00AE47C6">
        <w:rPr>
          <w:rFonts w:ascii="Times New Roman" w:eastAsia="SimSun" w:hAnsi="Times New Roman"/>
          <w:b/>
          <w:sz w:val="24"/>
          <w:szCs w:val="24"/>
        </w:rPr>
        <w:t>Скала за обективна оценка на myasthenia gravis (</w:t>
      </w:r>
      <w:r w:rsidRPr="00AE47C6">
        <w:rPr>
          <w:rFonts w:ascii="Times New Roman" w:eastAsia="SimSun" w:hAnsi="Times New Roman"/>
          <w:sz w:val="24"/>
          <w:szCs w:val="24"/>
          <w:shd w:val="clear" w:color="auto" w:fill="F4F8FB"/>
        </w:rPr>
        <w:t>Gajdos et al. 1993):</w:t>
      </w:r>
    </w:p>
    <w:p w14:paraId="5217FE7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Име на пациента .......................................................................</w:t>
      </w:r>
    </w:p>
    <w:p w14:paraId="7D8B412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sz w:val="24"/>
          <w:szCs w:val="24"/>
        </w:rPr>
        <w:t xml:space="preserve">Години..........  </w:t>
      </w:r>
      <w:r w:rsidRPr="00AE47C6">
        <w:rPr>
          <w:rFonts w:ascii="Times New Roman" w:eastAsia="SimSun" w:hAnsi="Times New Roman"/>
          <w:sz w:val="24"/>
          <w:szCs w:val="24"/>
        </w:rPr>
        <w:tab/>
        <w:t xml:space="preserve">Медикамент.......................Лекар...............................  </w:t>
      </w:r>
    </w:p>
    <w:p w14:paraId="624F4809" w14:textId="77777777" w:rsidR="00BE0B19" w:rsidRPr="00AE47C6" w:rsidRDefault="00BE0B19" w:rsidP="00BE0B19">
      <w:pPr>
        <w:spacing w:after="0" w:line="360" w:lineRule="auto"/>
        <w:ind w:firstLine="720"/>
        <w:jc w:val="both"/>
        <w:rPr>
          <w:rFonts w:ascii="Times New Roman" w:eastAsia="SimSun" w:hAnsi="Times New Roman"/>
          <w:sz w:val="24"/>
          <w:szCs w:val="24"/>
        </w:rPr>
      </w:pPr>
    </w:p>
    <w:tbl>
      <w:tblPr>
        <w:tblW w:w="0" w:type="auto"/>
        <w:tblLayout w:type="fixed"/>
        <w:tblCellMar>
          <w:left w:w="107" w:type="dxa"/>
          <w:right w:w="107" w:type="dxa"/>
        </w:tblCellMar>
        <w:tblLook w:val="04A0" w:firstRow="1" w:lastRow="0" w:firstColumn="1" w:lastColumn="0" w:noHBand="0" w:noVBand="1"/>
      </w:tblPr>
      <w:tblGrid>
        <w:gridCol w:w="4706"/>
        <w:gridCol w:w="1134"/>
        <w:gridCol w:w="513"/>
        <w:gridCol w:w="513"/>
        <w:gridCol w:w="513"/>
        <w:gridCol w:w="513"/>
        <w:gridCol w:w="513"/>
        <w:gridCol w:w="513"/>
        <w:gridCol w:w="513"/>
        <w:gridCol w:w="513"/>
      </w:tblGrid>
      <w:tr w:rsidR="00BE0B19" w:rsidRPr="00AE47C6" w14:paraId="7B48006B" w14:textId="77777777" w:rsidTr="00AD72E5">
        <w:trPr>
          <w:cantSplit/>
          <w:trHeight w:val="156"/>
        </w:trPr>
        <w:tc>
          <w:tcPr>
            <w:tcW w:w="4706" w:type="dxa"/>
            <w:vMerge w:val="restart"/>
            <w:tcBorders>
              <w:top w:val="single" w:sz="12" w:space="0" w:color="auto"/>
              <w:left w:val="single" w:sz="12" w:space="0" w:color="auto"/>
              <w:bottom w:val="double" w:sz="4" w:space="0" w:color="auto"/>
              <w:right w:val="single" w:sz="6" w:space="0" w:color="auto"/>
            </w:tcBorders>
            <w:hideMark/>
          </w:tcPr>
          <w:p w14:paraId="168B7D94" w14:textId="77777777" w:rsidR="00BE0B19" w:rsidRPr="00AE47C6" w:rsidRDefault="00BE0B19" w:rsidP="00BE0B19">
            <w:pPr>
              <w:tabs>
                <w:tab w:val="left" w:pos="709"/>
              </w:tabs>
              <w:spacing w:after="0" w:line="360" w:lineRule="auto"/>
              <w:jc w:val="both"/>
              <w:rPr>
                <w:rFonts w:ascii="Times New Roman" w:eastAsia="SimSun" w:hAnsi="Times New Roman"/>
                <w:b/>
                <w:sz w:val="24"/>
                <w:szCs w:val="24"/>
                <w:u w:val="single"/>
              </w:rPr>
            </w:pPr>
            <w:r w:rsidRPr="00AE47C6">
              <w:rPr>
                <w:rFonts w:ascii="Times New Roman" w:eastAsia="SimSun" w:hAnsi="Times New Roman"/>
                <w:b/>
                <w:sz w:val="24"/>
                <w:szCs w:val="24"/>
              </w:rPr>
              <w:t>Тест</w:t>
            </w:r>
          </w:p>
        </w:tc>
        <w:tc>
          <w:tcPr>
            <w:tcW w:w="1134" w:type="dxa"/>
            <w:vMerge w:val="restart"/>
            <w:tcBorders>
              <w:top w:val="single" w:sz="12" w:space="0" w:color="auto"/>
              <w:left w:val="single" w:sz="6" w:space="0" w:color="auto"/>
              <w:bottom w:val="double" w:sz="4" w:space="0" w:color="auto"/>
              <w:right w:val="single" w:sz="6" w:space="0" w:color="auto"/>
            </w:tcBorders>
            <w:hideMark/>
          </w:tcPr>
          <w:p w14:paraId="005D575C"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Точки</w:t>
            </w:r>
          </w:p>
        </w:tc>
        <w:tc>
          <w:tcPr>
            <w:tcW w:w="4104" w:type="dxa"/>
            <w:gridSpan w:val="8"/>
            <w:tcBorders>
              <w:top w:val="single" w:sz="12" w:space="0" w:color="auto"/>
              <w:left w:val="single" w:sz="6" w:space="0" w:color="auto"/>
              <w:bottom w:val="single" w:sz="6" w:space="0" w:color="auto"/>
              <w:right w:val="single" w:sz="12" w:space="0" w:color="auto"/>
            </w:tcBorders>
            <w:hideMark/>
          </w:tcPr>
          <w:p w14:paraId="17ED0791" w14:textId="77777777" w:rsidR="00BE0B19" w:rsidRPr="00AE47C6" w:rsidRDefault="00BE0B19" w:rsidP="00BE0B19">
            <w:pPr>
              <w:spacing w:after="0" w:line="360" w:lineRule="auto"/>
              <w:jc w:val="both"/>
              <w:rPr>
                <w:rFonts w:ascii="Times New Roman" w:eastAsia="SimSun" w:hAnsi="Times New Roman"/>
                <w:b/>
                <w:sz w:val="24"/>
                <w:szCs w:val="24"/>
              </w:rPr>
            </w:pPr>
            <w:r w:rsidRPr="00AE47C6">
              <w:rPr>
                <w:rFonts w:ascii="Times New Roman" w:eastAsia="SimSun" w:hAnsi="Times New Roman"/>
                <w:b/>
                <w:sz w:val="24"/>
                <w:szCs w:val="24"/>
              </w:rPr>
              <w:t>Дата и час</w:t>
            </w:r>
          </w:p>
        </w:tc>
      </w:tr>
      <w:tr w:rsidR="00BE0B19" w:rsidRPr="00AE47C6" w14:paraId="00742C87" w14:textId="77777777" w:rsidTr="00AD72E5">
        <w:trPr>
          <w:cantSplit/>
          <w:trHeight w:val="156"/>
        </w:trPr>
        <w:tc>
          <w:tcPr>
            <w:tcW w:w="4706" w:type="dxa"/>
            <w:vMerge/>
            <w:tcBorders>
              <w:top w:val="single" w:sz="12" w:space="0" w:color="auto"/>
              <w:left w:val="single" w:sz="12" w:space="0" w:color="auto"/>
              <w:bottom w:val="double" w:sz="4" w:space="0" w:color="auto"/>
              <w:right w:val="single" w:sz="6" w:space="0" w:color="auto"/>
            </w:tcBorders>
            <w:vAlign w:val="center"/>
            <w:hideMark/>
          </w:tcPr>
          <w:p w14:paraId="144500AA" w14:textId="77777777" w:rsidR="00BE0B19" w:rsidRPr="00AE47C6" w:rsidRDefault="00BE0B19" w:rsidP="00BE0B19">
            <w:pPr>
              <w:spacing w:after="0" w:line="360" w:lineRule="auto"/>
              <w:jc w:val="both"/>
              <w:rPr>
                <w:rFonts w:ascii="Times New Roman" w:eastAsia="SimSun" w:hAnsi="Times New Roman"/>
                <w:b/>
                <w:sz w:val="24"/>
                <w:szCs w:val="24"/>
                <w:u w:val="single"/>
              </w:rPr>
            </w:pPr>
          </w:p>
        </w:tc>
        <w:tc>
          <w:tcPr>
            <w:tcW w:w="1134" w:type="dxa"/>
            <w:vMerge/>
            <w:tcBorders>
              <w:top w:val="single" w:sz="12" w:space="0" w:color="auto"/>
              <w:left w:val="single" w:sz="6" w:space="0" w:color="auto"/>
              <w:bottom w:val="double" w:sz="4" w:space="0" w:color="auto"/>
              <w:right w:val="single" w:sz="6" w:space="0" w:color="auto"/>
            </w:tcBorders>
            <w:vAlign w:val="center"/>
            <w:hideMark/>
          </w:tcPr>
          <w:p w14:paraId="3637461C" w14:textId="77777777" w:rsidR="00BE0B19" w:rsidRPr="00AE47C6" w:rsidRDefault="00BE0B19" w:rsidP="00BE0B19">
            <w:pPr>
              <w:spacing w:after="0" w:line="360" w:lineRule="auto"/>
              <w:jc w:val="both"/>
              <w:rPr>
                <w:rFonts w:ascii="Times New Roman" w:eastAsia="SimSun" w:hAnsi="Times New Roman"/>
                <w:b/>
                <w:sz w:val="24"/>
                <w:szCs w:val="24"/>
              </w:rPr>
            </w:pPr>
          </w:p>
        </w:tc>
        <w:tc>
          <w:tcPr>
            <w:tcW w:w="513" w:type="dxa"/>
            <w:tcBorders>
              <w:top w:val="single" w:sz="12" w:space="0" w:color="auto"/>
              <w:left w:val="single" w:sz="6" w:space="0" w:color="auto"/>
              <w:bottom w:val="double" w:sz="4" w:space="0" w:color="auto"/>
              <w:right w:val="single" w:sz="12" w:space="0" w:color="auto"/>
            </w:tcBorders>
          </w:tcPr>
          <w:p w14:paraId="01897D89" w14:textId="77777777" w:rsidR="00BE0B19" w:rsidRPr="00AE47C6" w:rsidRDefault="00BE0B19" w:rsidP="00BE0B19">
            <w:pPr>
              <w:spacing w:after="0" w:line="360" w:lineRule="auto"/>
              <w:jc w:val="both"/>
              <w:rPr>
                <w:rFonts w:ascii="Times New Roman" w:eastAsia="SimSun" w:hAnsi="Times New Roman"/>
                <w:b/>
                <w:sz w:val="24"/>
                <w:szCs w:val="24"/>
              </w:rPr>
            </w:pPr>
          </w:p>
        </w:tc>
        <w:tc>
          <w:tcPr>
            <w:tcW w:w="513" w:type="dxa"/>
            <w:tcBorders>
              <w:top w:val="single" w:sz="12" w:space="0" w:color="auto"/>
              <w:left w:val="single" w:sz="6" w:space="0" w:color="auto"/>
              <w:bottom w:val="double" w:sz="4" w:space="0" w:color="auto"/>
              <w:right w:val="single" w:sz="12" w:space="0" w:color="auto"/>
            </w:tcBorders>
          </w:tcPr>
          <w:p w14:paraId="12A1B0B0" w14:textId="77777777" w:rsidR="00BE0B19" w:rsidRPr="00AE47C6" w:rsidRDefault="00BE0B19" w:rsidP="00BE0B19">
            <w:pPr>
              <w:spacing w:after="0" w:line="360" w:lineRule="auto"/>
              <w:jc w:val="both"/>
              <w:rPr>
                <w:rFonts w:ascii="Times New Roman" w:eastAsia="SimSun" w:hAnsi="Times New Roman"/>
                <w:b/>
                <w:sz w:val="24"/>
                <w:szCs w:val="24"/>
              </w:rPr>
            </w:pPr>
          </w:p>
        </w:tc>
        <w:tc>
          <w:tcPr>
            <w:tcW w:w="513" w:type="dxa"/>
            <w:tcBorders>
              <w:top w:val="single" w:sz="12" w:space="0" w:color="auto"/>
              <w:left w:val="single" w:sz="6" w:space="0" w:color="auto"/>
              <w:bottom w:val="double" w:sz="4" w:space="0" w:color="auto"/>
              <w:right w:val="single" w:sz="12" w:space="0" w:color="auto"/>
            </w:tcBorders>
          </w:tcPr>
          <w:p w14:paraId="60040117" w14:textId="77777777" w:rsidR="00BE0B19" w:rsidRPr="00AE47C6" w:rsidRDefault="00BE0B19" w:rsidP="00BE0B19">
            <w:pPr>
              <w:spacing w:after="0" w:line="360" w:lineRule="auto"/>
              <w:jc w:val="both"/>
              <w:rPr>
                <w:rFonts w:ascii="Times New Roman" w:eastAsia="SimSun" w:hAnsi="Times New Roman"/>
                <w:b/>
                <w:sz w:val="24"/>
                <w:szCs w:val="24"/>
              </w:rPr>
            </w:pPr>
          </w:p>
        </w:tc>
        <w:tc>
          <w:tcPr>
            <w:tcW w:w="513" w:type="dxa"/>
            <w:tcBorders>
              <w:top w:val="single" w:sz="12" w:space="0" w:color="auto"/>
              <w:left w:val="single" w:sz="6" w:space="0" w:color="auto"/>
              <w:bottom w:val="double" w:sz="4" w:space="0" w:color="auto"/>
              <w:right w:val="single" w:sz="12" w:space="0" w:color="auto"/>
            </w:tcBorders>
          </w:tcPr>
          <w:p w14:paraId="14AABAB1" w14:textId="77777777" w:rsidR="00BE0B19" w:rsidRPr="00AE47C6" w:rsidRDefault="00BE0B19" w:rsidP="00BE0B19">
            <w:pPr>
              <w:spacing w:after="0" w:line="360" w:lineRule="auto"/>
              <w:jc w:val="both"/>
              <w:rPr>
                <w:rFonts w:ascii="Times New Roman" w:eastAsia="SimSun" w:hAnsi="Times New Roman"/>
                <w:b/>
                <w:sz w:val="24"/>
                <w:szCs w:val="24"/>
              </w:rPr>
            </w:pPr>
          </w:p>
        </w:tc>
        <w:tc>
          <w:tcPr>
            <w:tcW w:w="513" w:type="dxa"/>
            <w:tcBorders>
              <w:top w:val="single" w:sz="12" w:space="0" w:color="auto"/>
              <w:left w:val="single" w:sz="6" w:space="0" w:color="auto"/>
              <w:bottom w:val="double" w:sz="4" w:space="0" w:color="auto"/>
              <w:right w:val="single" w:sz="12" w:space="0" w:color="auto"/>
            </w:tcBorders>
          </w:tcPr>
          <w:p w14:paraId="74C8E6AC" w14:textId="77777777" w:rsidR="00BE0B19" w:rsidRPr="00AE47C6" w:rsidRDefault="00BE0B19" w:rsidP="00BE0B19">
            <w:pPr>
              <w:spacing w:after="0" w:line="360" w:lineRule="auto"/>
              <w:jc w:val="both"/>
              <w:rPr>
                <w:rFonts w:ascii="Times New Roman" w:eastAsia="SimSun" w:hAnsi="Times New Roman"/>
                <w:b/>
                <w:sz w:val="24"/>
                <w:szCs w:val="24"/>
              </w:rPr>
            </w:pPr>
          </w:p>
        </w:tc>
        <w:tc>
          <w:tcPr>
            <w:tcW w:w="513" w:type="dxa"/>
            <w:tcBorders>
              <w:top w:val="single" w:sz="12" w:space="0" w:color="auto"/>
              <w:left w:val="single" w:sz="6" w:space="0" w:color="auto"/>
              <w:bottom w:val="double" w:sz="4" w:space="0" w:color="auto"/>
              <w:right w:val="single" w:sz="12" w:space="0" w:color="auto"/>
            </w:tcBorders>
          </w:tcPr>
          <w:p w14:paraId="5A465489" w14:textId="77777777" w:rsidR="00BE0B19" w:rsidRPr="00AE47C6" w:rsidRDefault="00BE0B19" w:rsidP="00BE0B19">
            <w:pPr>
              <w:spacing w:after="0" w:line="360" w:lineRule="auto"/>
              <w:jc w:val="both"/>
              <w:rPr>
                <w:rFonts w:ascii="Times New Roman" w:eastAsia="SimSun" w:hAnsi="Times New Roman"/>
                <w:b/>
                <w:sz w:val="24"/>
                <w:szCs w:val="24"/>
              </w:rPr>
            </w:pPr>
          </w:p>
        </w:tc>
        <w:tc>
          <w:tcPr>
            <w:tcW w:w="513" w:type="dxa"/>
            <w:tcBorders>
              <w:top w:val="single" w:sz="12" w:space="0" w:color="auto"/>
              <w:left w:val="single" w:sz="6" w:space="0" w:color="auto"/>
              <w:bottom w:val="double" w:sz="4" w:space="0" w:color="auto"/>
              <w:right w:val="single" w:sz="12" w:space="0" w:color="auto"/>
            </w:tcBorders>
          </w:tcPr>
          <w:p w14:paraId="5725F5F1" w14:textId="77777777" w:rsidR="00BE0B19" w:rsidRPr="00AE47C6" w:rsidRDefault="00BE0B19" w:rsidP="00BE0B19">
            <w:pPr>
              <w:spacing w:after="0" w:line="360" w:lineRule="auto"/>
              <w:jc w:val="both"/>
              <w:rPr>
                <w:rFonts w:ascii="Times New Roman" w:eastAsia="SimSun" w:hAnsi="Times New Roman"/>
                <w:b/>
                <w:sz w:val="24"/>
                <w:szCs w:val="24"/>
              </w:rPr>
            </w:pPr>
          </w:p>
        </w:tc>
        <w:tc>
          <w:tcPr>
            <w:tcW w:w="513" w:type="dxa"/>
            <w:tcBorders>
              <w:top w:val="single" w:sz="12" w:space="0" w:color="auto"/>
              <w:left w:val="single" w:sz="6" w:space="0" w:color="auto"/>
              <w:bottom w:val="double" w:sz="4" w:space="0" w:color="auto"/>
              <w:right w:val="single" w:sz="12" w:space="0" w:color="auto"/>
            </w:tcBorders>
          </w:tcPr>
          <w:p w14:paraId="66590726" w14:textId="77777777" w:rsidR="00BE0B19" w:rsidRPr="00AE47C6" w:rsidRDefault="00BE0B19" w:rsidP="00BE0B19">
            <w:pPr>
              <w:spacing w:after="0" w:line="360" w:lineRule="auto"/>
              <w:jc w:val="both"/>
              <w:rPr>
                <w:rFonts w:ascii="Times New Roman" w:eastAsia="SimSun" w:hAnsi="Times New Roman"/>
                <w:b/>
                <w:sz w:val="24"/>
                <w:szCs w:val="24"/>
              </w:rPr>
            </w:pPr>
          </w:p>
        </w:tc>
      </w:tr>
      <w:tr w:rsidR="00BE0B19" w:rsidRPr="00AE47C6" w14:paraId="563D81DA" w14:textId="77777777" w:rsidTr="00AD72E5">
        <w:trPr>
          <w:cantSplit/>
        </w:trPr>
        <w:tc>
          <w:tcPr>
            <w:tcW w:w="4706" w:type="dxa"/>
            <w:tcBorders>
              <w:top w:val="double" w:sz="4" w:space="0" w:color="auto"/>
              <w:left w:val="single" w:sz="12" w:space="0" w:color="auto"/>
              <w:bottom w:val="single" w:sz="6" w:space="0" w:color="auto"/>
              <w:right w:val="single" w:sz="6" w:space="0" w:color="auto"/>
            </w:tcBorders>
            <w:hideMark/>
          </w:tcPr>
          <w:p w14:paraId="03DCE3DB"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Проба на Barre (1 т. за 10 s)</w:t>
            </w:r>
          </w:p>
        </w:tc>
        <w:tc>
          <w:tcPr>
            <w:tcW w:w="1134" w:type="dxa"/>
            <w:tcBorders>
              <w:top w:val="double" w:sz="4" w:space="0" w:color="auto"/>
              <w:left w:val="single" w:sz="6" w:space="0" w:color="auto"/>
              <w:bottom w:val="single" w:sz="6" w:space="0" w:color="auto"/>
              <w:right w:val="single" w:sz="6" w:space="0" w:color="auto"/>
            </w:tcBorders>
            <w:hideMark/>
          </w:tcPr>
          <w:p w14:paraId="4C1DED8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0 – 15</w:t>
            </w:r>
          </w:p>
        </w:tc>
        <w:tc>
          <w:tcPr>
            <w:tcW w:w="513" w:type="dxa"/>
            <w:tcBorders>
              <w:top w:val="double" w:sz="4" w:space="0" w:color="auto"/>
              <w:left w:val="single" w:sz="6" w:space="0" w:color="auto"/>
              <w:bottom w:val="single" w:sz="6" w:space="0" w:color="auto"/>
              <w:right w:val="single" w:sz="6" w:space="0" w:color="auto"/>
            </w:tcBorders>
          </w:tcPr>
          <w:p w14:paraId="332D1B87"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double" w:sz="4" w:space="0" w:color="auto"/>
              <w:left w:val="single" w:sz="6" w:space="0" w:color="auto"/>
              <w:bottom w:val="single" w:sz="6" w:space="0" w:color="auto"/>
              <w:right w:val="single" w:sz="6" w:space="0" w:color="auto"/>
            </w:tcBorders>
          </w:tcPr>
          <w:p w14:paraId="6485E454"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double" w:sz="4" w:space="0" w:color="auto"/>
              <w:left w:val="single" w:sz="6" w:space="0" w:color="auto"/>
              <w:bottom w:val="single" w:sz="6" w:space="0" w:color="auto"/>
              <w:right w:val="single" w:sz="6" w:space="0" w:color="auto"/>
            </w:tcBorders>
          </w:tcPr>
          <w:p w14:paraId="7F9565FE"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double" w:sz="4" w:space="0" w:color="auto"/>
              <w:left w:val="single" w:sz="6" w:space="0" w:color="auto"/>
              <w:bottom w:val="single" w:sz="6" w:space="0" w:color="auto"/>
              <w:right w:val="single" w:sz="6" w:space="0" w:color="auto"/>
            </w:tcBorders>
          </w:tcPr>
          <w:p w14:paraId="2176CEAA"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double" w:sz="4" w:space="0" w:color="auto"/>
              <w:left w:val="single" w:sz="6" w:space="0" w:color="auto"/>
              <w:bottom w:val="single" w:sz="6" w:space="0" w:color="auto"/>
              <w:right w:val="single" w:sz="6" w:space="0" w:color="auto"/>
            </w:tcBorders>
          </w:tcPr>
          <w:p w14:paraId="65E3204E"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double" w:sz="4" w:space="0" w:color="auto"/>
              <w:left w:val="single" w:sz="6" w:space="0" w:color="auto"/>
              <w:bottom w:val="single" w:sz="6" w:space="0" w:color="auto"/>
              <w:right w:val="single" w:sz="6" w:space="0" w:color="auto"/>
            </w:tcBorders>
          </w:tcPr>
          <w:p w14:paraId="555B344A"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double" w:sz="4" w:space="0" w:color="auto"/>
              <w:left w:val="single" w:sz="6" w:space="0" w:color="auto"/>
              <w:bottom w:val="single" w:sz="6" w:space="0" w:color="auto"/>
              <w:right w:val="single" w:sz="6" w:space="0" w:color="auto"/>
            </w:tcBorders>
          </w:tcPr>
          <w:p w14:paraId="26F1E090"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double" w:sz="4" w:space="0" w:color="auto"/>
              <w:left w:val="single" w:sz="6" w:space="0" w:color="auto"/>
              <w:bottom w:val="single" w:sz="6" w:space="0" w:color="auto"/>
              <w:right w:val="single" w:sz="12" w:space="0" w:color="auto"/>
            </w:tcBorders>
          </w:tcPr>
          <w:p w14:paraId="2840BA72" w14:textId="77777777" w:rsidR="00BE0B19" w:rsidRPr="00AE47C6" w:rsidRDefault="00BE0B19" w:rsidP="00BE0B19">
            <w:pPr>
              <w:spacing w:after="0" w:line="360" w:lineRule="auto"/>
              <w:jc w:val="both"/>
              <w:rPr>
                <w:rFonts w:ascii="Times New Roman" w:eastAsia="SimSun" w:hAnsi="Times New Roman"/>
                <w:sz w:val="24"/>
                <w:szCs w:val="24"/>
                <w:u w:val="single"/>
              </w:rPr>
            </w:pPr>
          </w:p>
        </w:tc>
      </w:tr>
      <w:tr w:rsidR="00BE0B19" w:rsidRPr="00AE47C6" w14:paraId="61A1A6A7" w14:textId="77777777" w:rsidTr="00AD72E5">
        <w:trPr>
          <w:cantSplit/>
        </w:trPr>
        <w:tc>
          <w:tcPr>
            <w:tcW w:w="4706" w:type="dxa"/>
            <w:tcBorders>
              <w:top w:val="single" w:sz="6" w:space="0" w:color="auto"/>
              <w:left w:val="single" w:sz="12" w:space="0" w:color="auto"/>
              <w:bottom w:val="single" w:sz="6" w:space="0" w:color="auto"/>
              <w:right w:val="single" w:sz="6" w:space="0" w:color="auto"/>
            </w:tcBorders>
            <w:hideMark/>
          </w:tcPr>
          <w:p w14:paraId="10AB6B41"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Проба на Mingazzini (1 т. за 5 s)</w:t>
            </w:r>
          </w:p>
        </w:tc>
        <w:tc>
          <w:tcPr>
            <w:tcW w:w="1134" w:type="dxa"/>
            <w:tcBorders>
              <w:top w:val="single" w:sz="6" w:space="0" w:color="auto"/>
              <w:left w:val="single" w:sz="6" w:space="0" w:color="auto"/>
              <w:bottom w:val="single" w:sz="6" w:space="0" w:color="auto"/>
              <w:right w:val="single" w:sz="6" w:space="0" w:color="auto"/>
            </w:tcBorders>
            <w:hideMark/>
          </w:tcPr>
          <w:p w14:paraId="1B3E5509"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0 – 15</w:t>
            </w:r>
          </w:p>
        </w:tc>
        <w:tc>
          <w:tcPr>
            <w:tcW w:w="513" w:type="dxa"/>
            <w:tcBorders>
              <w:top w:val="single" w:sz="6" w:space="0" w:color="auto"/>
              <w:left w:val="single" w:sz="6" w:space="0" w:color="auto"/>
              <w:bottom w:val="single" w:sz="6" w:space="0" w:color="auto"/>
              <w:right w:val="single" w:sz="6" w:space="0" w:color="auto"/>
            </w:tcBorders>
          </w:tcPr>
          <w:p w14:paraId="41510B7E"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5D32B6B7"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7D98716E"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5C4478D4"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49DC3E33"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214AF48F"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5394D71B"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12" w:space="0" w:color="auto"/>
            </w:tcBorders>
          </w:tcPr>
          <w:p w14:paraId="100D19C0" w14:textId="77777777" w:rsidR="00BE0B19" w:rsidRPr="00AE47C6" w:rsidRDefault="00BE0B19" w:rsidP="00BE0B19">
            <w:pPr>
              <w:spacing w:after="0" w:line="360" w:lineRule="auto"/>
              <w:jc w:val="both"/>
              <w:rPr>
                <w:rFonts w:ascii="Times New Roman" w:eastAsia="SimSun" w:hAnsi="Times New Roman"/>
                <w:sz w:val="24"/>
                <w:szCs w:val="24"/>
                <w:u w:val="single"/>
              </w:rPr>
            </w:pPr>
          </w:p>
        </w:tc>
      </w:tr>
      <w:tr w:rsidR="00BE0B19" w:rsidRPr="00AE47C6" w14:paraId="7B3AFD36" w14:textId="77777777" w:rsidTr="00AD72E5">
        <w:trPr>
          <w:cantSplit/>
        </w:trPr>
        <w:tc>
          <w:tcPr>
            <w:tcW w:w="4706" w:type="dxa"/>
            <w:tcBorders>
              <w:top w:val="single" w:sz="6" w:space="0" w:color="auto"/>
              <w:left w:val="single" w:sz="12" w:space="0" w:color="auto"/>
              <w:bottom w:val="single" w:sz="6" w:space="0" w:color="auto"/>
              <w:right w:val="single" w:sz="6" w:space="0" w:color="auto"/>
            </w:tcBorders>
            <w:hideMark/>
          </w:tcPr>
          <w:p w14:paraId="11832E96"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Повдигане на главата:</w:t>
            </w:r>
          </w:p>
          <w:p w14:paraId="709EE2C4"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невъзможно</w:t>
            </w:r>
          </w:p>
          <w:p w14:paraId="1A6E74D6"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срещу собствена тежест</w:t>
            </w:r>
          </w:p>
          <w:p w14:paraId="1A85047F"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срещу съпротива</w:t>
            </w:r>
          </w:p>
        </w:tc>
        <w:tc>
          <w:tcPr>
            <w:tcW w:w="1134" w:type="dxa"/>
            <w:tcBorders>
              <w:top w:val="single" w:sz="6" w:space="0" w:color="auto"/>
              <w:left w:val="single" w:sz="6" w:space="0" w:color="auto"/>
              <w:bottom w:val="single" w:sz="6" w:space="0" w:color="auto"/>
              <w:right w:val="single" w:sz="6" w:space="0" w:color="auto"/>
            </w:tcBorders>
          </w:tcPr>
          <w:p w14:paraId="7C0A2BF0" w14:textId="77777777" w:rsidR="00BE0B19" w:rsidRPr="00AE47C6" w:rsidRDefault="00BE0B19" w:rsidP="00BE0B19">
            <w:pPr>
              <w:spacing w:after="0" w:line="360" w:lineRule="auto"/>
              <w:jc w:val="both"/>
              <w:rPr>
                <w:rFonts w:ascii="Times New Roman" w:eastAsia="SimSun" w:hAnsi="Times New Roman"/>
                <w:sz w:val="24"/>
                <w:szCs w:val="24"/>
              </w:rPr>
            </w:pPr>
          </w:p>
          <w:p w14:paraId="2D44920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0</w:t>
            </w:r>
          </w:p>
          <w:p w14:paraId="3AA3939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w:t>
            </w:r>
          </w:p>
          <w:p w14:paraId="3061579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10</w:t>
            </w:r>
          </w:p>
        </w:tc>
        <w:tc>
          <w:tcPr>
            <w:tcW w:w="513" w:type="dxa"/>
            <w:tcBorders>
              <w:top w:val="single" w:sz="6" w:space="0" w:color="auto"/>
              <w:left w:val="single" w:sz="6" w:space="0" w:color="auto"/>
              <w:bottom w:val="single" w:sz="6" w:space="0" w:color="auto"/>
              <w:right w:val="single" w:sz="6" w:space="0" w:color="auto"/>
            </w:tcBorders>
          </w:tcPr>
          <w:p w14:paraId="216A89B0"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0F30D725"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5FBA4E60"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095DB1F6"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6A80F239"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6FD955F6"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7FC3B5B9"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121F880D"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5EB3085A"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1554564A"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5F7F1672"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298CEAC8"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1E17CC8E"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120F2B85"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6B054F2D"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45BB6496"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410EB66B"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6C78FE3C"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78BE3C0E"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3512D375"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2E46F869"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73B4A3DE"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73FF5FAD"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27065C92"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3A1A1618"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15CE7462"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2C538907"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1BBC9894"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12" w:space="0" w:color="auto"/>
            </w:tcBorders>
          </w:tcPr>
          <w:p w14:paraId="2D3620BC"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1092A444"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64B4819E" w14:textId="77777777" w:rsidR="00BE0B19" w:rsidRPr="00AE47C6" w:rsidRDefault="00BE0B19" w:rsidP="00BE0B19">
            <w:pPr>
              <w:spacing w:after="0" w:line="360" w:lineRule="auto"/>
              <w:jc w:val="both"/>
              <w:rPr>
                <w:rFonts w:ascii="Times New Roman" w:eastAsia="SimSun" w:hAnsi="Times New Roman"/>
                <w:sz w:val="24"/>
                <w:szCs w:val="24"/>
                <w:u w:val="single"/>
              </w:rPr>
            </w:pPr>
          </w:p>
          <w:p w14:paraId="7BDD7E16" w14:textId="77777777" w:rsidR="00BE0B19" w:rsidRPr="00AE47C6" w:rsidRDefault="00BE0B19" w:rsidP="00BE0B19">
            <w:pPr>
              <w:spacing w:after="0" w:line="360" w:lineRule="auto"/>
              <w:jc w:val="both"/>
              <w:rPr>
                <w:rFonts w:ascii="Times New Roman" w:eastAsia="SimSun" w:hAnsi="Times New Roman"/>
                <w:sz w:val="24"/>
                <w:szCs w:val="24"/>
                <w:u w:val="single"/>
              </w:rPr>
            </w:pPr>
          </w:p>
        </w:tc>
      </w:tr>
      <w:tr w:rsidR="00BE0B19" w:rsidRPr="00AE47C6" w14:paraId="7E441E7C" w14:textId="77777777" w:rsidTr="00AD72E5">
        <w:trPr>
          <w:cantSplit/>
        </w:trPr>
        <w:tc>
          <w:tcPr>
            <w:tcW w:w="4706" w:type="dxa"/>
            <w:tcBorders>
              <w:top w:val="single" w:sz="6" w:space="0" w:color="auto"/>
              <w:left w:val="single" w:sz="12" w:space="0" w:color="auto"/>
              <w:bottom w:val="single" w:sz="6" w:space="0" w:color="auto"/>
              <w:right w:val="single" w:sz="6" w:space="0" w:color="auto"/>
            </w:tcBorders>
            <w:hideMark/>
          </w:tcPr>
          <w:p w14:paraId="2110FE20" w14:textId="77777777" w:rsidR="00BE0B19" w:rsidRPr="00AE47C6" w:rsidRDefault="00BE0B19" w:rsidP="00BE0B19">
            <w:pPr>
              <w:tabs>
                <w:tab w:val="left" w:pos="709"/>
                <w:tab w:val="left" w:pos="2694"/>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Самостоятелно ставане от лег</w:t>
            </w:r>
            <w:r w:rsidRPr="00AE47C6">
              <w:rPr>
                <w:rFonts w:ascii="Times New Roman" w:eastAsia="SimSun" w:hAnsi="Times New Roman"/>
                <w:sz w:val="24"/>
                <w:szCs w:val="24"/>
              </w:rPr>
              <w:softHyphen/>
              <w:t>на</w:t>
            </w:r>
            <w:r w:rsidRPr="00AE47C6">
              <w:rPr>
                <w:rFonts w:ascii="Times New Roman" w:eastAsia="SimSun" w:hAnsi="Times New Roman"/>
                <w:sz w:val="24"/>
                <w:szCs w:val="24"/>
              </w:rPr>
              <w:softHyphen/>
              <w:t>ло положение:               невъзможно</w:t>
            </w:r>
          </w:p>
          <w:p w14:paraId="23F1CEB2" w14:textId="77777777" w:rsidR="00BE0B19" w:rsidRPr="00AE47C6" w:rsidRDefault="00BE0B19" w:rsidP="00BE0B19">
            <w:pPr>
              <w:tabs>
                <w:tab w:val="left" w:pos="709"/>
                <w:tab w:val="left" w:pos="2694"/>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възможно</w:t>
            </w:r>
          </w:p>
        </w:tc>
        <w:tc>
          <w:tcPr>
            <w:tcW w:w="1134" w:type="dxa"/>
            <w:tcBorders>
              <w:top w:val="single" w:sz="6" w:space="0" w:color="auto"/>
              <w:left w:val="single" w:sz="6" w:space="0" w:color="auto"/>
              <w:bottom w:val="single" w:sz="6" w:space="0" w:color="auto"/>
              <w:right w:val="single" w:sz="6" w:space="0" w:color="auto"/>
            </w:tcBorders>
          </w:tcPr>
          <w:p w14:paraId="0E933791" w14:textId="77777777" w:rsidR="00BE0B19" w:rsidRPr="00AE47C6" w:rsidRDefault="00BE0B19" w:rsidP="00BE0B19">
            <w:pPr>
              <w:spacing w:after="0" w:line="360" w:lineRule="auto"/>
              <w:jc w:val="both"/>
              <w:rPr>
                <w:rFonts w:ascii="Times New Roman" w:eastAsia="SimSun" w:hAnsi="Times New Roman"/>
                <w:sz w:val="24"/>
                <w:szCs w:val="24"/>
              </w:rPr>
            </w:pPr>
          </w:p>
          <w:p w14:paraId="40C7724B"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0</w:t>
            </w:r>
          </w:p>
          <w:p w14:paraId="3E787F1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10</w:t>
            </w:r>
          </w:p>
        </w:tc>
        <w:tc>
          <w:tcPr>
            <w:tcW w:w="513" w:type="dxa"/>
            <w:tcBorders>
              <w:top w:val="single" w:sz="6" w:space="0" w:color="auto"/>
              <w:left w:val="single" w:sz="6" w:space="0" w:color="auto"/>
              <w:bottom w:val="single" w:sz="6" w:space="0" w:color="auto"/>
              <w:right w:val="single" w:sz="6" w:space="0" w:color="auto"/>
            </w:tcBorders>
          </w:tcPr>
          <w:p w14:paraId="2FAF5E28"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75BBFA19"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47767B8E"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276ED4C6"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61E56FC4"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39FDA91D"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534DA17D"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12" w:space="0" w:color="auto"/>
            </w:tcBorders>
          </w:tcPr>
          <w:p w14:paraId="64391E16" w14:textId="77777777" w:rsidR="00BE0B19" w:rsidRPr="00AE47C6" w:rsidRDefault="00BE0B19" w:rsidP="00BE0B19">
            <w:pPr>
              <w:spacing w:after="0" w:line="360" w:lineRule="auto"/>
              <w:jc w:val="both"/>
              <w:rPr>
                <w:rFonts w:ascii="Times New Roman" w:eastAsia="SimSun" w:hAnsi="Times New Roman"/>
                <w:sz w:val="24"/>
                <w:szCs w:val="24"/>
                <w:u w:val="single"/>
              </w:rPr>
            </w:pPr>
          </w:p>
        </w:tc>
      </w:tr>
      <w:tr w:rsidR="00BE0B19" w:rsidRPr="00AE47C6" w14:paraId="38947D5F" w14:textId="77777777" w:rsidTr="00AD72E5">
        <w:trPr>
          <w:cantSplit/>
        </w:trPr>
        <w:tc>
          <w:tcPr>
            <w:tcW w:w="4706" w:type="dxa"/>
            <w:tcBorders>
              <w:top w:val="single" w:sz="6" w:space="0" w:color="auto"/>
              <w:left w:val="single" w:sz="12" w:space="0" w:color="auto"/>
              <w:bottom w:val="single" w:sz="6" w:space="0" w:color="auto"/>
              <w:right w:val="single" w:sz="6" w:space="0" w:color="auto"/>
            </w:tcBorders>
            <w:hideMark/>
          </w:tcPr>
          <w:p w14:paraId="16527BDA"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Нарушения на окуломоториката:</w:t>
            </w:r>
          </w:p>
          <w:p w14:paraId="756616F6"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диплопия</w:t>
            </w:r>
          </w:p>
          <w:p w14:paraId="688BC11E"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птоза</w:t>
            </w:r>
          </w:p>
          <w:p w14:paraId="547C8F83"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норма</w:t>
            </w:r>
          </w:p>
        </w:tc>
        <w:tc>
          <w:tcPr>
            <w:tcW w:w="1134" w:type="dxa"/>
            <w:tcBorders>
              <w:top w:val="single" w:sz="6" w:space="0" w:color="auto"/>
              <w:left w:val="single" w:sz="6" w:space="0" w:color="auto"/>
              <w:bottom w:val="single" w:sz="6" w:space="0" w:color="auto"/>
              <w:right w:val="single" w:sz="6" w:space="0" w:color="auto"/>
            </w:tcBorders>
          </w:tcPr>
          <w:p w14:paraId="499A78D8" w14:textId="77777777" w:rsidR="00BE0B19" w:rsidRPr="00AE47C6" w:rsidRDefault="00BE0B19" w:rsidP="00BE0B19">
            <w:pPr>
              <w:spacing w:after="0" w:line="360" w:lineRule="auto"/>
              <w:jc w:val="both"/>
              <w:rPr>
                <w:rFonts w:ascii="Times New Roman" w:eastAsia="SimSun" w:hAnsi="Times New Roman"/>
                <w:sz w:val="24"/>
                <w:szCs w:val="24"/>
              </w:rPr>
            </w:pPr>
          </w:p>
          <w:p w14:paraId="461AD1A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0</w:t>
            </w:r>
          </w:p>
          <w:p w14:paraId="0DE9F60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w:t>
            </w:r>
          </w:p>
          <w:p w14:paraId="6390DFEE"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10</w:t>
            </w:r>
          </w:p>
        </w:tc>
        <w:tc>
          <w:tcPr>
            <w:tcW w:w="513" w:type="dxa"/>
            <w:tcBorders>
              <w:top w:val="single" w:sz="6" w:space="0" w:color="auto"/>
              <w:left w:val="single" w:sz="6" w:space="0" w:color="auto"/>
              <w:bottom w:val="single" w:sz="6" w:space="0" w:color="auto"/>
              <w:right w:val="single" w:sz="6" w:space="0" w:color="auto"/>
            </w:tcBorders>
          </w:tcPr>
          <w:p w14:paraId="47EBA8CB"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36B74CD6"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310B8675"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223212BE"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7605CD80"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57A99678"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1FFE53E2"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12" w:space="0" w:color="auto"/>
            </w:tcBorders>
          </w:tcPr>
          <w:p w14:paraId="7AE4DA38" w14:textId="77777777" w:rsidR="00BE0B19" w:rsidRPr="00AE47C6" w:rsidRDefault="00BE0B19" w:rsidP="00BE0B19">
            <w:pPr>
              <w:spacing w:after="0" w:line="360" w:lineRule="auto"/>
              <w:jc w:val="both"/>
              <w:rPr>
                <w:rFonts w:ascii="Times New Roman" w:eastAsia="SimSun" w:hAnsi="Times New Roman"/>
                <w:sz w:val="24"/>
                <w:szCs w:val="24"/>
                <w:u w:val="single"/>
              </w:rPr>
            </w:pPr>
          </w:p>
        </w:tc>
      </w:tr>
      <w:tr w:rsidR="00BE0B19" w:rsidRPr="00AE47C6" w14:paraId="01728AF9" w14:textId="77777777" w:rsidTr="00AD72E5">
        <w:trPr>
          <w:cantSplit/>
        </w:trPr>
        <w:tc>
          <w:tcPr>
            <w:tcW w:w="4706" w:type="dxa"/>
            <w:tcBorders>
              <w:top w:val="single" w:sz="6" w:space="0" w:color="auto"/>
              <w:left w:val="single" w:sz="12" w:space="0" w:color="auto"/>
              <w:bottom w:val="single" w:sz="6" w:space="0" w:color="auto"/>
              <w:right w:val="single" w:sz="6" w:space="0" w:color="auto"/>
            </w:tcBorders>
            <w:hideMark/>
          </w:tcPr>
          <w:p w14:paraId="339A7610"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Затваряне на клепачите:</w:t>
            </w:r>
          </w:p>
          <w:p w14:paraId="47B00167"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без покриване на корнея</w:t>
            </w:r>
          </w:p>
          <w:p w14:paraId="4632B218"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с покриване на корнея</w:t>
            </w:r>
          </w:p>
          <w:p w14:paraId="21E72F38"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signe de cils</w:t>
            </w:r>
          </w:p>
          <w:p w14:paraId="3D0B2B6B"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t>норма</w:t>
            </w:r>
          </w:p>
        </w:tc>
        <w:tc>
          <w:tcPr>
            <w:tcW w:w="1134" w:type="dxa"/>
            <w:tcBorders>
              <w:top w:val="single" w:sz="6" w:space="0" w:color="auto"/>
              <w:left w:val="single" w:sz="6" w:space="0" w:color="auto"/>
              <w:bottom w:val="single" w:sz="6" w:space="0" w:color="auto"/>
              <w:right w:val="single" w:sz="6" w:space="0" w:color="auto"/>
            </w:tcBorders>
          </w:tcPr>
          <w:p w14:paraId="708D8AEC" w14:textId="77777777" w:rsidR="00BE0B19" w:rsidRPr="00AE47C6" w:rsidRDefault="00BE0B19" w:rsidP="00BE0B19">
            <w:pPr>
              <w:spacing w:after="0" w:line="360" w:lineRule="auto"/>
              <w:jc w:val="both"/>
              <w:rPr>
                <w:rFonts w:ascii="Times New Roman" w:eastAsia="SimSun" w:hAnsi="Times New Roman"/>
                <w:sz w:val="24"/>
                <w:szCs w:val="24"/>
              </w:rPr>
            </w:pPr>
          </w:p>
          <w:p w14:paraId="011784E3"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0</w:t>
            </w:r>
          </w:p>
          <w:p w14:paraId="7E51A365"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w:t>
            </w:r>
          </w:p>
          <w:p w14:paraId="1CF65CF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7</w:t>
            </w:r>
          </w:p>
          <w:p w14:paraId="32595E1A"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10</w:t>
            </w:r>
          </w:p>
        </w:tc>
        <w:tc>
          <w:tcPr>
            <w:tcW w:w="513" w:type="dxa"/>
            <w:tcBorders>
              <w:top w:val="single" w:sz="6" w:space="0" w:color="auto"/>
              <w:left w:val="single" w:sz="6" w:space="0" w:color="auto"/>
              <w:bottom w:val="single" w:sz="6" w:space="0" w:color="auto"/>
              <w:right w:val="single" w:sz="6" w:space="0" w:color="auto"/>
            </w:tcBorders>
          </w:tcPr>
          <w:p w14:paraId="297BD447"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0E8B708D"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16699303"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6B399FFF"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1CBBE589"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6F6181D2"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0ABE5951"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12" w:space="0" w:color="auto"/>
            </w:tcBorders>
          </w:tcPr>
          <w:p w14:paraId="43752E00" w14:textId="77777777" w:rsidR="00BE0B19" w:rsidRPr="00AE47C6" w:rsidRDefault="00BE0B19" w:rsidP="00BE0B19">
            <w:pPr>
              <w:spacing w:after="0" w:line="360" w:lineRule="auto"/>
              <w:jc w:val="both"/>
              <w:rPr>
                <w:rFonts w:ascii="Times New Roman" w:eastAsia="SimSun" w:hAnsi="Times New Roman"/>
                <w:sz w:val="24"/>
                <w:szCs w:val="24"/>
                <w:u w:val="single"/>
              </w:rPr>
            </w:pPr>
          </w:p>
        </w:tc>
      </w:tr>
      <w:tr w:rsidR="00BE0B19" w:rsidRPr="00AE47C6" w14:paraId="2232D592" w14:textId="77777777" w:rsidTr="00AD72E5">
        <w:trPr>
          <w:cantSplit/>
        </w:trPr>
        <w:tc>
          <w:tcPr>
            <w:tcW w:w="4706" w:type="dxa"/>
            <w:tcBorders>
              <w:top w:val="single" w:sz="6" w:space="0" w:color="auto"/>
              <w:left w:val="single" w:sz="12" w:space="0" w:color="auto"/>
              <w:bottom w:val="single" w:sz="6" w:space="0" w:color="auto"/>
              <w:right w:val="single" w:sz="6" w:space="0" w:color="auto"/>
            </w:tcBorders>
            <w:hideMark/>
          </w:tcPr>
          <w:p w14:paraId="224A2530" w14:textId="77777777" w:rsidR="00BE0B19" w:rsidRPr="00AE47C6" w:rsidRDefault="00BE0B19" w:rsidP="00BE0B19">
            <w:pPr>
              <w:tabs>
                <w:tab w:val="left" w:pos="709"/>
                <w:tab w:val="left" w:pos="2268"/>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Дъвчене:</w:t>
            </w:r>
            <w:r w:rsidRPr="00AE47C6">
              <w:rPr>
                <w:rFonts w:ascii="Times New Roman" w:eastAsia="SimSun" w:hAnsi="Times New Roman"/>
                <w:sz w:val="24"/>
                <w:szCs w:val="24"/>
              </w:rPr>
              <w:tab/>
              <w:t>невъзможно</w:t>
            </w:r>
          </w:p>
          <w:p w14:paraId="118154CB" w14:textId="77777777" w:rsidR="00BE0B19" w:rsidRPr="00AE47C6" w:rsidRDefault="00BE0B19" w:rsidP="00BE0B19">
            <w:pPr>
              <w:tabs>
                <w:tab w:val="left" w:pos="709"/>
                <w:tab w:val="left" w:pos="2268"/>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t>лошо</w:t>
            </w:r>
          </w:p>
          <w:p w14:paraId="299EB11F" w14:textId="77777777" w:rsidR="00BE0B19" w:rsidRPr="00AE47C6" w:rsidRDefault="00BE0B19" w:rsidP="00BE0B19">
            <w:pPr>
              <w:tabs>
                <w:tab w:val="left" w:pos="709"/>
                <w:tab w:val="left" w:pos="2268"/>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t>норма</w:t>
            </w:r>
          </w:p>
        </w:tc>
        <w:tc>
          <w:tcPr>
            <w:tcW w:w="1134" w:type="dxa"/>
            <w:tcBorders>
              <w:top w:val="single" w:sz="6" w:space="0" w:color="auto"/>
              <w:left w:val="single" w:sz="6" w:space="0" w:color="auto"/>
              <w:bottom w:val="single" w:sz="6" w:space="0" w:color="auto"/>
              <w:right w:val="single" w:sz="6" w:space="0" w:color="auto"/>
            </w:tcBorders>
            <w:hideMark/>
          </w:tcPr>
          <w:p w14:paraId="47FDCB64"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0</w:t>
            </w:r>
          </w:p>
          <w:p w14:paraId="6E708458"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w:t>
            </w:r>
          </w:p>
          <w:p w14:paraId="6D92115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10</w:t>
            </w:r>
          </w:p>
        </w:tc>
        <w:tc>
          <w:tcPr>
            <w:tcW w:w="513" w:type="dxa"/>
            <w:tcBorders>
              <w:top w:val="single" w:sz="6" w:space="0" w:color="auto"/>
              <w:left w:val="single" w:sz="6" w:space="0" w:color="auto"/>
              <w:bottom w:val="single" w:sz="6" w:space="0" w:color="auto"/>
              <w:right w:val="single" w:sz="6" w:space="0" w:color="auto"/>
            </w:tcBorders>
          </w:tcPr>
          <w:p w14:paraId="17B0FE1F"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7C119CF0"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4ABE8D6F"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0B44CB0C"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692E382A"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2D2D94ED"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48B710A1"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12" w:space="0" w:color="auto"/>
            </w:tcBorders>
          </w:tcPr>
          <w:p w14:paraId="3205C3BC" w14:textId="77777777" w:rsidR="00BE0B19" w:rsidRPr="00AE47C6" w:rsidRDefault="00BE0B19" w:rsidP="00BE0B19">
            <w:pPr>
              <w:spacing w:after="0" w:line="360" w:lineRule="auto"/>
              <w:jc w:val="both"/>
              <w:rPr>
                <w:rFonts w:ascii="Times New Roman" w:eastAsia="SimSun" w:hAnsi="Times New Roman"/>
                <w:sz w:val="24"/>
                <w:szCs w:val="24"/>
                <w:u w:val="single"/>
              </w:rPr>
            </w:pPr>
          </w:p>
        </w:tc>
      </w:tr>
      <w:tr w:rsidR="00BE0B19" w:rsidRPr="00AE47C6" w14:paraId="28BBCA6E" w14:textId="77777777" w:rsidTr="00AD72E5">
        <w:trPr>
          <w:cantSplit/>
        </w:trPr>
        <w:tc>
          <w:tcPr>
            <w:tcW w:w="4706" w:type="dxa"/>
            <w:tcBorders>
              <w:top w:val="single" w:sz="6" w:space="0" w:color="auto"/>
              <w:left w:val="single" w:sz="12" w:space="0" w:color="auto"/>
              <w:bottom w:val="single" w:sz="6" w:space="0" w:color="auto"/>
              <w:right w:val="single" w:sz="6" w:space="0" w:color="auto"/>
            </w:tcBorders>
            <w:hideMark/>
          </w:tcPr>
          <w:p w14:paraId="13380674" w14:textId="77777777" w:rsidR="00BE0B19" w:rsidRPr="00AE47C6" w:rsidRDefault="00BE0B19" w:rsidP="00BE0B19">
            <w:pPr>
              <w:tabs>
                <w:tab w:val="left" w:pos="709"/>
                <w:tab w:val="left" w:pos="2268"/>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Гълтане:                      невъзможно</w:t>
            </w:r>
          </w:p>
          <w:p w14:paraId="675C3D65" w14:textId="77777777" w:rsidR="00BE0B19" w:rsidRPr="00AE47C6" w:rsidRDefault="00BE0B19" w:rsidP="00BE0B19">
            <w:pPr>
              <w:tabs>
                <w:tab w:val="left" w:pos="709"/>
                <w:tab w:val="left" w:pos="2268"/>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 xml:space="preserve">                                     затруднено                </w:t>
            </w:r>
          </w:p>
          <w:p w14:paraId="58AC40CE" w14:textId="77777777" w:rsidR="00BE0B19" w:rsidRPr="00AE47C6" w:rsidRDefault="00BE0B19" w:rsidP="00BE0B19">
            <w:pPr>
              <w:tabs>
                <w:tab w:val="left" w:pos="709"/>
                <w:tab w:val="left" w:pos="2268"/>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t>норма</w:t>
            </w:r>
          </w:p>
        </w:tc>
        <w:tc>
          <w:tcPr>
            <w:tcW w:w="1134" w:type="dxa"/>
            <w:tcBorders>
              <w:top w:val="single" w:sz="6" w:space="0" w:color="auto"/>
              <w:left w:val="single" w:sz="6" w:space="0" w:color="auto"/>
              <w:bottom w:val="single" w:sz="6" w:space="0" w:color="auto"/>
              <w:right w:val="single" w:sz="6" w:space="0" w:color="auto"/>
            </w:tcBorders>
            <w:hideMark/>
          </w:tcPr>
          <w:p w14:paraId="633EF500"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0</w:t>
            </w:r>
          </w:p>
          <w:p w14:paraId="0149FCD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w:t>
            </w:r>
          </w:p>
          <w:p w14:paraId="0E764111"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10</w:t>
            </w:r>
          </w:p>
        </w:tc>
        <w:tc>
          <w:tcPr>
            <w:tcW w:w="513" w:type="dxa"/>
            <w:tcBorders>
              <w:top w:val="single" w:sz="6" w:space="0" w:color="auto"/>
              <w:left w:val="single" w:sz="6" w:space="0" w:color="auto"/>
              <w:bottom w:val="single" w:sz="6" w:space="0" w:color="auto"/>
              <w:right w:val="single" w:sz="6" w:space="0" w:color="auto"/>
            </w:tcBorders>
          </w:tcPr>
          <w:p w14:paraId="69AAE50B"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5C21C15B"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1603A6DD"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252527DB"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1D76BF8C"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6F9F202B"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46A2084F"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12" w:space="0" w:color="auto"/>
            </w:tcBorders>
          </w:tcPr>
          <w:p w14:paraId="51258DBF" w14:textId="77777777" w:rsidR="00BE0B19" w:rsidRPr="00AE47C6" w:rsidRDefault="00BE0B19" w:rsidP="00BE0B19">
            <w:pPr>
              <w:spacing w:after="0" w:line="360" w:lineRule="auto"/>
              <w:jc w:val="both"/>
              <w:rPr>
                <w:rFonts w:ascii="Times New Roman" w:eastAsia="SimSun" w:hAnsi="Times New Roman"/>
                <w:sz w:val="24"/>
                <w:szCs w:val="24"/>
                <w:u w:val="single"/>
              </w:rPr>
            </w:pPr>
          </w:p>
        </w:tc>
      </w:tr>
      <w:tr w:rsidR="00BE0B19" w:rsidRPr="00AE47C6" w14:paraId="20B18E60" w14:textId="77777777" w:rsidTr="00AD72E5">
        <w:trPr>
          <w:cantSplit/>
        </w:trPr>
        <w:tc>
          <w:tcPr>
            <w:tcW w:w="4706" w:type="dxa"/>
            <w:tcBorders>
              <w:top w:val="single" w:sz="6" w:space="0" w:color="auto"/>
              <w:left w:val="single" w:sz="12" w:space="0" w:color="auto"/>
              <w:bottom w:val="single" w:sz="6" w:space="0" w:color="auto"/>
              <w:right w:val="single" w:sz="6" w:space="0" w:color="auto"/>
            </w:tcBorders>
            <w:hideMark/>
          </w:tcPr>
          <w:p w14:paraId="4751A2F8" w14:textId="77777777" w:rsidR="00BE0B19" w:rsidRPr="00AE47C6" w:rsidRDefault="00BE0B19" w:rsidP="00BE0B19">
            <w:pPr>
              <w:tabs>
                <w:tab w:val="left" w:pos="709"/>
                <w:tab w:val="left" w:pos="2268"/>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Говор:</w:t>
            </w:r>
            <w:r w:rsidRPr="00AE47C6">
              <w:rPr>
                <w:rFonts w:ascii="Times New Roman" w:eastAsia="SimSun" w:hAnsi="Times New Roman"/>
                <w:sz w:val="24"/>
                <w:szCs w:val="24"/>
              </w:rPr>
              <w:tab/>
              <w:t xml:space="preserve">                          невъзможен</w:t>
            </w:r>
          </w:p>
          <w:p w14:paraId="21E5E919" w14:textId="77777777" w:rsidR="00BE0B19" w:rsidRPr="00AE47C6" w:rsidRDefault="00BE0B19" w:rsidP="00BE0B19">
            <w:pPr>
              <w:tabs>
                <w:tab w:val="left" w:pos="709"/>
                <w:tab w:val="left" w:pos="2268"/>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t>носов</w:t>
            </w:r>
          </w:p>
          <w:p w14:paraId="0C2C383B" w14:textId="77777777" w:rsidR="00BE0B19" w:rsidRPr="00AE47C6" w:rsidRDefault="00BE0B19" w:rsidP="00BE0B19">
            <w:pPr>
              <w:tabs>
                <w:tab w:val="left" w:pos="709"/>
                <w:tab w:val="left" w:pos="2268"/>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ab/>
            </w:r>
            <w:r w:rsidRPr="00AE47C6">
              <w:rPr>
                <w:rFonts w:ascii="Times New Roman" w:eastAsia="SimSun" w:hAnsi="Times New Roman"/>
                <w:sz w:val="24"/>
                <w:szCs w:val="24"/>
              </w:rPr>
              <w:tab/>
              <w:t>норма</w:t>
            </w:r>
          </w:p>
        </w:tc>
        <w:tc>
          <w:tcPr>
            <w:tcW w:w="1134" w:type="dxa"/>
            <w:tcBorders>
              <w:top w:val="single" w:sz="6" w:space="0" w:color="auto"/>
              <w:left w:val="single" w:sz="6" w:space="0" w:color="auto"/>
              <w:bottom w:val="single" w:sz="6" w:space="0" w:color="auto"/>
              <w:right w:val="single" w:sz="6" w:space="0" w:color="auto"/>
            </w:tcBorders>
            <w:hideMark/>
          </w:tcPr>
          <w:p w14:paraId="1775E23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0</w:t>
            </w:r>
          </w:p>
          <w:p w14:paraId="2074F77C"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5</w:t>
            </w:r>
          </w:p>
          <w:p w14:paraId="424701CD" w14:textId="77777777" w:rsidR="00BE0B19" w:rsidRPr="00AE47C6" w:rsidRDefault="00BE0B19" w:rsidP="00BE0B19">
            <w:pPr>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10</w:t>
            </w:r>
          </w:p>
        </w:tc>
        <w:tc>
          <w:tcPr>
            <w:tcW w:w="513" w:type="dxa"/>
            <w:tcBorders>
              <w:top w:val="single" w:sz="6" w:space="0" w:color="auto"/>
              <w:left w:val="single" w:sz="6" w:space="0" w:color="auto"/>
              <w:bottom w:val="single" w:sz="6" w:space="0" w:color="auto"/>
              <w:right w:val="single" w:sz="6" w:space="0" w:color="auto"/>
            </w:tcBorders>
          </w:tcPr>
          <w:p w14:paraId="391CE054"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23D6BB9A"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7FE7C88D"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7A05BF9B"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49949D36"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655FFCDA"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2E74280A"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12" w:space="0" w:color="auto"/>
            </w:tcBorders>
          </w:tcPr>
          <w:p w14:paraId="3930D03D" w14:textId="77777777" w:rsidR="00BE0B19" w:rsidRPr="00AE47C6" w:rsidRDefault="00BE0B19" w:rsidP="00BE0B19">
            <w:pPr>
              <w:spacing w:after="0" w:line="360" w:lineRule="auto"/>
              <w:jc w:val="both"/>
              <w:rPr>
                <w:rFonts w:ascii="Times New Roman" w:eastAsia="SimSun" w:hAnsi="Times New Roman"/>
                <w:sz w:val="24"/>
                <w:szCs w:val="24"/>
                <w:u w:val="single"/>
              </w:rPr>
            </w:pPr>
          </w:p>
        </w:tc>
      </w:tr>
      <w:tr w:rsidR="00BE0B19" w:rsidRPr="00AE47C6" w14:paraId="6763DEAC" w14:textId="77777777" w:rsidTr="00AD72E5">
        <w:trPr>
          <w:cantSplit/>
        </w:trPr>
        <w:tc>
          <w:tcPr>
            <w:tcW w:w="4706" w:type="dxa"/>
            <w:tcBorders>
              <w:top w:val="single" w:sz="6" w:space="0" w:color="auto"/>
              <w:left w:val="single" w:sz="12" w:space="0" w:color="auto"/>
              <w:bottom w:val="single" w:sz="6" w:space="0" w:color="auto"/>
              <w:right w:val="single" w:sz="6" w:space="0" w:color="auto"/>
            </w:tcBorders>
            <w:hideMark/>
          </w:tcPr>
          <w:p w14:paraId="56AFC706"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Медикация</w:t>
            </w:r>
          </w:p>
        </w:tc>
        <w:tc>
          <w:tcPr>
            <w:tcW w:w="1134" w:type="dxa"/>
            <w:tcBorders>
              <w:top w:val="single" w:sz="6" w:space="0" w:color="auto"/>
              <w:left w:val="single" w:sz="6" w:space="0" w:color="auto"/>
              <w:bottom w:val="single" w:sz="6" w:space="0" w:color="auto"/>
              <w:right w:val="single" w:sz="6" w:space="0" w:color="auto"/>
            </w:tcBorders>
          </w:tcPr>
          <w:p w14:paraId="30731C54" w14:textId="77777777" w:rsidR="00BE0B19" w:rsidRPr="00AE47C6" w:rsidRDefault="00BE0B19" w:rsidP="00BE0B19">
            <w:pPr>
              <w:spacing w:after="0" w:line="360" w:lineRule="auto"/>
              <w:jc w:val="both"/>
              <w:rPr>
                <w:rFonts w:ascii="Times New Roman" w:eastAsia="SimSun" w:hAnsi="Times New Roman"/>
                <w:sz w:val="24"/>
                <w:szCs w:val="24"/>
              </w:rPr>
            </w:pPr>
          </w:p>
        </w:tc>
        <w:tc>
          <w:tcPr>
            <w:tcW w:w="513" w:type="dxa"/>
            <w:tcBorders>
              <w:top w:val="single" w:sz="6" w:space="0" w:color="auto"/>
              <w:left w:val="single" w:sz="6" w:space="0" w:color="auto"/>
              <w:bottom w:val="single" w:sz="6" w:space="0" w:color="auto"/>
              <w:right w:val="single" w:sz="6" w:space="0" w:color="auto"/>
            </w:tcBorders>
          </w:tcPr>
          <w:p w14:paraId="4B12929D"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228F718B"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7403B989"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4DF1A704"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4AA1342C"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255B4F28"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3AF87CD6"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12" w:space="0" w:color="auto"/>
            </w:tcBorders>
          </w:tcPr>
          <w:p w14:paraId="69D9E645" w14:textId="77777777" w:rsidR="00BE0B19" w:rsidRPr="00AE47C6" w:rsidRDefault="00BE0B19" w:rsidP="00BE0B19">
            <w:pPr>
              <w:spacing w:after="0" w:line="360" w:lineRule="auto"/>
              <w:jc w:val="both"/>
              <w:rPr>
                <w:rFonts w:ascii="Times New Roman" w:eastAsia="SimSun" w:hAnsi="Times New Roman"/>
                <w:sz w:val="24"/>
                <w:szCs w:val="24"/>
                <w:u w:val="single"/>
              </w:rPr>
            </w:pPr>
          </w:p>
        </w:tc>
      </w:tr>
      <w:tr w:rsidR="00BE0B19" w:rsidRPr="00AE47C6" w14:paraId="30C7B734" w14:textId="77777777" w:rsidTr="00AD72E5">
        <w:trPr>
          <w:cantSplit/>
        </w:trPr>
        <w:tc>
          <w:tcPr>
            <w:tcW w:w="4706" w:type="dxa"/>
            <w:tcBorders>
              <w:top w:val="single" w:sz="6" w:space="0" w:color="auto"/>
              <w:left w:val="single" w:sz="12" w:space="0" w:color="auto"/>
              <w:bottom w:val="single" w:sz="6" w:space="0" w:color="auto"/>
              <w:right w:val="single" w:sz="6" w:space="0" w:color="auto"/>
            </w:tcBorders>
            <w:hideMark/>
          </w:tcPr>
          <w:p w14:paraId="7D62651E"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Витален капацитет</w:t>
            </w:r>
          </w:p>
        </w:tc>
        <w:tc>
          <w:tcPr>
            <w:tcW w:w="1134" w:type="dxa"/>
            <w:tcBorders>
              <w:top w:val="single" w:sz="6" w:space="0" w:color="auto"/>
              <w:left w:val="single" w:sz="6" w:space="0" w:color="auto"/>
              <w:bottom w:val="single" w:sz="6" w:space="0" w:color="auto"/>
              <w:right w:val="single" w:sz="6" w:space="0" w:color="auto"/>
            </w:tcBorders>
          </w:tcPr>
          <w:p w14:paraId="42CE1AAC" w14:textId="77777777" w:rsidR="00BE0B19" w:rsidRPr="00AE47C6" w:rsidRDefault="00BE0B19" w:rsidP="00BE0B19">
            <w:pPr>
              <w:spacing w:after="0" w:line="360" w:lineRule="auto"/>
              <w:jc w:val="both"/>
              <w:rPr>
                <w:rFonts w:ascii="Times New Roman" w:eastAsia="SimSun" w:hAnsi="Times New Roman"/>
                <w:sz w:val="24"/>
                <w:szCs w:val="24"/>
              </w:rPr>
            </w:pPr>
          </w:p>
        </w:tc>
        <w:tc>
          <w:tcPr>
            <w:tcW w:w="513" w:type="dxa"/>
            <w:tcBorders>
              <w:top w:val="single" w:sz="6" w:space="0" w:color="auto"/>
              <w:left w:val="single" w:sz="6" w:space="0" w:color="auto"/>
              <w:bottom w:val="single" w:sz="6" w:space="0" w:color="auto"/>
              <w:right w:val="single" w:sz="6" w:space="0" w:color="auto"/>
            </w:tcBorders>
          </w:tcPr>
          <w:p w14:paraId="77E20C2D"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35FA166E"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563B4C02"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3BDFBE98"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119FAD34"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35C47184"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4C43B5AF"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12" w:space="0" w:color="auto"/>
            </w:tcBorders>
          </w:tcPr>
          <w:p w14:paraId="5C9DE785" w14:textId="77777777" w:rsidR="00BE0B19" w:rsidRPr="00AE47C6" w:rsidRDefault="00BE0B19" w:rsidP="00BE0B19">
            <w:pPr>
              <w:spacing w:after="0" w:line="360" w:lineRule="auto"/>
              <w:jc w:val="both"/>
              <w:rPr>
                <w:rFonts w:ascii="Times New Roman" w:eastAsia="SimSun" w:hAnsi="Times New Roman"/>
                <w:sz w:val="24"/>
                <w:szCs w:val="24"/>
                <w:u w:val="single"/>
              </w:rPr>
            </w:pPr>
          </w:p>
        </w:tc>
      </w:tr>
      <w:tr w:rsidR="00BE0B19" w:rsidRPr="00AE47C6" w14:paraId="5CC0FFF8" w14:textId="77777777" w:rsidTr="00AD72E5">
        <w:trPr>
          <w:cantSplit/>
          <w:trHeight w:val="411"/>
        </w:trPr>
        <w:tc>
          <w:tcPr>
            <w:tcW w:w="4706" w:type="dxa"/>
            <w:tcBorders>
              <w:top w:val="single" w:sz="6" w:space="0" w:color="auto"/>
              <w:left w:val="single" w:sz="12" w:space="0" w:color="auto"/>
              <w:bottom w:val="single" w:sz="6" w:space="0" w:color="auto"/>
              <w:right w:val="single" w:sz="6" w:space="0" w:color="auto"/>
            </w:tcBorders>
            <w:hideMark/>
          </w:tcPr>
          <w:p w14:paraId="78CC1037" w14:textId="77777777" w:rsidR="00BE0B19" w:rsidRPr="00AE47C6" w:rsidRDefault="00BE0B19" w:rsidP="00BE0B19">
            <w:pPr>
              <w:tabs>
                <w:tab w:val="left" w:pos="709"/>
              </w:tabs>
              <w:spacing w:after="0" w:line="360" w:lineRule="auto"/>
              <w:jc w:val="both"/>
              <w:rPr>
                <w:rFonts w:ascii="Times New Roman" w:eastAsia="SimSun" w:hAnsi="Times New Roman"/>
                <w:sz w:val="24"/>
                <w:szCs w:val="24"/>
              </w:rPr>
            </w:pPr>
            <w:r w:rsidRPr="00AE47C6">
              <w:rPr>
                <w:rFonts w:ascii="Times New Roman" w:eastAsia="SimSun" w:hAnsi="Times New Roman"/>
                <w:sz w:val="24"/>
                <w:szCs w:val="24"/>
              </w:rPr>
              <w:t>Дихателна честота</w:t>
            </w:r>
          </w:p>
        </w:tc>
        <w:tc>
          <w:tcPr>
            <w:tcW w:w="1134" w:type="dxa"/>
            <w:tcBorders>
              <w:top w:val="single" w:sz="6" w:space="0" w:color="auto"/>
              <w:left w:val="single" w:sz="6" w:space="0" w:color="auto"/>
              <w:bottom w:val="single" w:sz="6" w:space="0" w:color="auto"/>
              <w:right w:val="single" w:sz="6" w:space="0" w:color="auto"/>
            </w:tcBorders>
          </w:tcPr>
          <w:p w14:paraId="47971560" w14:textId="77777777" w:rsidR="00BE0B19" w:rsidRPr="00AE47C6" w:rsidRDefault="00BE0B19" w:rsidP="00BE0B19">
            <w:pPr>
              <w:spacing w:after="0" w:line="360" w:lineRule="auto"/>
              <w:jc w:val="both"/>
              <w:rPr>
                <w:rFonts w:ascii="Times New Roman" w:eastAsia="SimSun" w:hAnsi="Times New Roman"/>
                <w:sz w:val="24"/>
                <w:szCs w:val="24"/>
              </w:rPr>
            </w:pPr>
          </w:p>
        </w:tc>
        <w:tc>
          <w:tcPr>
            <w:tcW w:w="513" w:type="dxa"/>
            <w:tcBorders>
              <w:top w:val="single" w:sz="6" w:space="0" w:color="auto"/>
              <w:left w:val="single" w:sz="6" w:space="0" w:color="auto"/>
              <w:bottom w:val="single" w:sz="6" w:space="0" w:color="auto"/>
              <w:right w:val="single" w:sz="6" w:space="0" w:color="auto"/>
            </w:tcBorders>
          </w:tcPr>
          <w:p w14:paraId="0A1BE669"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6B62F826"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4ED6B7E0"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1E58DFC6"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528D68C6"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15F95677"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6" w:space="0" w:color="auto"/>
            </w:tcBorders>
          </w:tcPr>
          <w:p w14:paraId="1976C13D" w14:textId="77777777" w:rsidR="00BE0B19" w:rsidRPr="00AE47C6" w:rsidRDefault="00BE0B19" w:rsidP="00BE0B19">
            <w:pPr>
              <w:spacing w:after="0" w:line="360" w:lineRule="auto"/>
              <w:jc w:val="both"/>
              <w:rPr>
                <w:rFonts w:ascii="Times New Roman" w:eastAsia="SimSun" w:hAnsi="Times New Roman"/>
                <w:sz w:val="24"/>
                <w:szCs w:val="24"/>
                <w:u w:val="single"/>
              </w:rPr>
            </w:pPr>
          </w:p>
        </w:tc>
        <w:tc>
          <w:tcPr>
            <w:tcW w:w="513" w:type="dxa"/>
            <w:tcBorders>
              <w:top w:val="single" w:sz="6" w:space="0" w:color="auto"/>
              <w:left w:val="single" w:sz="6" w:space="0" w:color="auto"/>
              <w:bottom w:val="single" w:sz="6" w:space="0" w:color="auto"/>
              <w:right w:val="single" w:sz="12" w:space="0" w:color="auto"/>
            </w:tcBorders>
          </w:tcPr>
          <w:p w14:paraId="7BE008DD" w14:textId="77777777" w:rsidR="00BE0B19" w:rsidRPr="00AE47C6" w:rsidRDefault="00BE0B19" w:rsidP="00BE0B19">
            <w:pPr>
              <w:spacing w:after="0" w:line="360" w:lineRule="auto"/>
              <w:jc w:val="both"/>
              <w:rPr>
                <w:rFonts w:ascii="Times New Roman" w:eastAsia="SimSun" w:hAnsi="Times New Roman"/>
                <w:sz w:val="24"/>
                <w:szCs w:val="24"/>
                <w:u w:val="single"/>
              </w:rPr>
            </w:pPr>
          </w:p>
        </w:tc>
      </w:tr>
    </w:tbl>
    <w:p w14:paraId="7328A655" w14:textId="77777777" w:rsidR="00BE0B19" w:rsidRPr="00AE47C6" w:rsidRDefault="00BE0B19" w:rsidP="00BE0B19">
      <w:pPr>
        <w:spacing w:after="0" w:line="360" w:lineRule="auto"/>
        <w:ind w:firstLine="720"/>
        <w:jc w:val="both"/>
        <w:rPr>
          <w:rFonts w:ascii="Times New Roman" w:eastAsia="SimSun" w:hAnsi="Times New Roman"/>
          <w:sz w:val="24"/>
          <w:szCs w:val="24"/>
        </w:rPr>
      </w:pPr>
    </w:p>
    <w:p w14:paraId="7981F187" w14:textId="77777777" w:rsidR="00BE0B19" w:rsidRPr="00AE47C6" w:rsidRDefault="00BE0B19" w:rsidP="00BE0B19">
      <w:pPr>
        <w:spacing w:after="0" w:line="360" w:lineRule="auto"/>
        <w:ind w:left="720" w:firstLine="720"/>
        <w:contextualSpacing/>
        <w:jc w:val="both"/>
        <w:rPr>
          <w:rFonts w:ascii="Times New Roman" w:eastAsia="SimSun" w:hAnsi="Times New Roman"/>
          <w:b/>
          <w:sz w:val="24"/>
          <w:szCs w:val="24"/>
        </w:rPr>
      </w:pPr>
    </w:p>
    <w:p w14:paraId="091BC28E" w14:textId="77777777" w:rsidR="00BE0B19" w:rsidRPr="00AE47C6" w:rsidRDefault="00BE0B19" w:rsidP="00BE0B19">
      <w:pPr>
        <w:spacing w:after="0" w:line="360" w:lineRule="auto"/>
        <w:ind w:left="720" w:firstLine="720"/>
        <w:contextualSpacing/>
        <w:jc w:val="both"/>
        <w:rPr>
          <w:rFonts w:ascii="Times New Roman" w:eastAsia="SimSun" w:hAnsi="Times New Roman"/>
          <w:b/>
          <w:sz w:val="24"/>
          <w:szCs w:val="24"/>
        </w:rPr>
      </w:pPr>
    </w:p>
    <w:p w14:paraId="09037477"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p>
    <w:p w14:paraId="6497B984"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p>
    <w:p w14:paraId="2BB4F750"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p>
    <w:p w14:paraId="5880834A" w14:textId="77777777" w:rsidR="00BE0B19" w:rsidRPr="00AE47C6" w:rsidRDefault="00BE0B19" w:rsidP="00BE0B19">
      <w:pPr>
        <w:keepNext/>
        <w:shd w:val="clear" w:color="auto" w:fill="FFFFFF"/>
        <w:spacing w:after="0" w:line="360" w:lineRule="auto"/>
        <w:ind w:left="720" w:firstLine="720"/>
        <w:jc w:val="both"/>
        <w:rPr>
          <w:rFonts w:ascii="Times New Roman" w:eastAsia="SimSun" w:hAnsi="Times New Roman"/>
          <w:b/>
          <w:sz w:val="24"/>
          <w:szCs w:val="24"/>
        </w:rPr>
      </w:pPr>
      <w:r w:rsidRPr="00AE47C6">
        <w:rPr>
          <w:rFonts w:ascii="Times New Roman" w:eastAsia="SimSun" w:hAnsi="Times New Roman"/>
          <w:b/>
          <w:sz w:val="24"/>
          <w:szCs w:val="24"/>
          <w:u w:val="single"/>
        </w:rPr>
        <w:t>Приложение 3.</w:t>
      </w:r>
    </w:p>
    <w:p w14:paraId="553995CF" w14:textId="77777777" w:rsidR="00BE0B19" w:rsidRPr="00AE47C6" w:rsidRDefault="00BE0B19" w:rsidP="00BE0B19">
      <w:pPr>
        <w:keepNext/>
        <w:shd w:val="clear" w:color="auto" w:fill="FFFFFF"/>
        <w:spacing w:after="0" w:line="360" w:lineRule="auto"/>
        <w:ind w:left="720" w:firstLine="720"/>
        <w:jc w:val="both"/>
        <w:rPr>
          <w:rFonts w:ascii="Times New Roman" w:eastAsia="SimSun" w:hAnsi="Times New Roman"/>
          <w:b/>
          <w:sz w:val="24"/>
          <w:szCs w:val="24"/>
          <w:lang w:eastAsia="en-GB"/>
        </w:rPr>
      </w:pPr>
      <w:r w:rsidRPr="00AE47C6">
        <w:rPr>
          <w:rFonts w:ascii="Times New Roman" w:eastAsia="SimSun" w:hAnsi="Times New Roman"/>
          <w:b/>
          <w:sz w:val="24"/>
          <w:szCs w:val="24"/>
        </w:rPr>
        <w:t>Примерен протокол за провеждане на ТПФ</w:t>
      </w:r>
    </w:p>
    <w:p w14:paraId="1D34FD91" w14:textId="77777777" w:rsidR="00BE0B19" w:rsidRPr="00AE47C6" w:rsidRDefault="00BE0B19" w:rsidP="00BE0B19">
      <w:pPr>
        <w:spacing w:after="0" w:line="360" w:lineRule="auto"/>
        <w:ind w:firstLine="720"/>
        <w:contextualSpacing/>
        <w:jc w:val="both"/>
        <w:rPr>
          <w:rFonts w:ascii="Times New Roman" w:eastAsia="SimSun" w:hAnsi="Times New Roman"/>
          <w:sz w:val="24"/>
          <w:szCs w:val="24"/>
        </w:rPr>
      </w:pPr>
      <w:r w:rsidRPr="00AE47C6">
        <w:rPr>
          <w:rFonts w:ascii="Times New Roman" w:eastAsia="SimSun" w:hAnsi="Times New Roman"/>
          <w:noProof/>
          <w:sz w:val="24"/>
          <w:szCs w:val="24"/>
          <w:lang w:eastAsia="bg-BG"/>
        </w:rPr>
        <w:drawing>
          <wp:inline distT="0" distB="0" distL="0" distR="0" wp14:anchorId="7ACA92B8" wp14:editId="486B9B66">
            <wp:extent cx="5731158" cy="8343900"/>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5731510" cy="8344412"/>
                    </a:xfrm>
                    <a:prstGeom prst="rect">
                      <a:avLst/>
                    </a:prstGeom>
                    <a:noFill/>
                    <a:ln>
                      <a:noFill/>
                    </a:ln>
                  </pic:spPr>
                </pic:pic>
              </a:graphicData>
            </a:graphic>
          </wp:inline>
        </w:drawing>
      </w:r>
    </w:p>
    <w:p w14:paraId="14F07593" w14:textId="77777777" w:rsidR="00BE0B19" w:rsidRPr="00AE47C6" w:rsidRDefault="00BE0B19" w:rsidP="00BE0B19">
      <w:pPr>
        <w:spacing w:after="0" w:line="360" w:lineRule="auto"/>
        <w:ind w:left="720" w:firstLine="720"/>
        <w:jc w:val="both"/>
        <w:rPr>
          <w:rFonts w:ascii="Times New Roman" w:eastAsia="SimSun" w:hAnsi="Times New Roman"/>
          <w:b/>
          <w:sz w:val="24"/>
          <w:szCs w:val="24"/>
          <w:u w:val="single"/>
        </w:rPr>
      </w:pPr>
      <w:r w:rsidRPr="00AE47C6">
        <w:rPr>
          <w:rFonts w:ascii="Times New Roman" w:eastAsia="SimSun" w:hAnsi="Times New Roman"/>
          <w:b/>
          <w:sz w:val="24"/>
          <w:szCs w:val="24"/>
          <w:u w:val="single"/>
        </w:rPr>
        <w:t xml:space="preserve">Приложение 4. </w:t>
      </w:r>
    </w:p>
    <w:p w14:paraId="67DB5055" w14:textId="77777777" w:rsidR="00BE0B19" w:rsidRPr="00AE47C6" w:rsidRDefault="00BE0B19" w:rsidP="00BE0B19">
      <w:pPr>
        <w:spacing w:after="0" w:line="360" w:lineRule="auto"/>
        <w:ind w:left="720" w:firstLine="720"/>
        <w:jc w:val="both"/>
        <w:rPr>
          <w:rFonts w:ascii="Times New Roman" w:eastAsia="SimSun" w:hAnsi="Times New Roman"/>
          <w:b/>
          <w:sz w:val="24"/>
          <w:szCs w:val="24"/>
        </w:rPr>
      </w:pPr>
      <w:r w:rsidRPr="00AE47C6">
        <w:rPr>
          <w:rFonts w:ascii="Times New Roman" w:eastAsia="SimSun" w:hAnsi="Times New Roman"/>
          <w:b/>
          <w:sz w:val="24"/>
          <w:szCs w:val="24"/>
        </w:rPr>
        <w:t>Степени на сигурност на терапевтичните индикации, базирани върху опита от клинични изпитвания, препоръките на AAN и ASFA.</w:t>
      </w:r>
    </w:p>
    <w:p w14:paraId="63A5B51A" w14:textId="77777777" w:rsidR="00BE0B19" w:rsidRPr="00AE47C6" w:rsidRDefault="00BE0B19" w:rsidP="00BE0B19">
      <w:pPr>
        <w:spacing w:after="0" w:line="360" w:lineRule="auto"/>
        <w:ind w:left="720" w:firstLine="720"/>
        <w:jc w:val="both"/>
        <w:rPr>
          <w:rFonts w:ascii="Times New Roman" w:eastAsia="SimSun" w:hAnsi="Times New Roman"/>
          <w:b/>
          <w:sz w:val="24"/>
          <w:szCs w:val="24"/>
        </w:rPr>
      </w:pPr>
      <w:r w:rsidRPr="00AE47C6">
        <w:rPr>
          <w:rFonts w:ascii="Times New Roman" w:eastAsia="SimSun" w:hAnsi="Times New Roman"/>
          <w:b/>
          <w:sz w:val="24"/>
          <w:szCs w:val="24"/>
        </w:rPr>
        <w:t>Класификация, основана на доказателствата за провежданите терапевтични интервенции (AAN)</w:t>
      </w:r>
    </w:p>
    <w:p w14:paraId="672199AF" w14:textId="77777777" w:rsidR="00BE0B19" w:rsidRPr="00AE47C6" w:rsidRDefault="00BE0B19" w:rsidP="00BE0B19">
      <w:pPr>
        <w:spacing w:after="0" w:line="360" w:lineRule="auto"/>
        <w:ind w:firstLine="720"/>
        <w:jc w:val="both"/>
        <w:rPr>
          <w:rFonts w:ascii="Times New Roman" w:eastAsia="SimSun" w:hAnsi="Times New Roman"/>
          <w:b/>
          <w:sz w:val="24"/>
          <w:szCs w:val="24"/>
        </w:rPr>
      </w:pPr>
    </w:p>
    <w:p w14:paraId="0F11B65A"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Клас I</w:t>
      </w:r>
      <w:r w:rsidRPr="00AE47C6">
        <w:rPr>
          <w:rFonts w:ascii="Times New Roman" w:eastAsia="SimSun" w:hAnsi="Times New Roman"/>
          <w:sz w:val="24"/>
          <w:szCs w:val="24"/>
        </w:rPr>
        <w:t>: Налични рандомизирани контролирани интервенционални клинични изпитвания с маскирана или обективна оценка на изхода, проведени сред репрезентативни популации. Съществените характеристики на изходното ниво са представени и по същество са еквивалентни сред лекуваните групи или е налице съответната статистическа корекция за разликите.</w:t>
      </w:r>
    </w:p>
    <w:p w14:paraId="358D6420"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Клас II</w:t>
      </w:r>
      <w:r w:rsidRPr="00AE47C6">
        <w:rPr>
          <w:rFonts w:ascii="Times New Roman" w:eastAsia="SimSun" w:hAnsi="Times New Roman"/>
          <w:sz w:val="24"/>
          <w:szCs w:val="24"/>
        </w:rPr>
        <w:t>: Рандомизирани контролирани интервенционални клинични изпитвания с маскирана или обективна оценка на изхода, проведени сред репрезентативни популации, при които липсва поне един от критериите, необходими за клас I изпитванията или проспективни кохортни проучвания с маскирана или обективна оценка на изхода, проведени сред репрезентативни популации. Съществените характеристики на изходното ниво са представени и по същество еквивалентни сред лекуваните групи или е налице съответната статистическа корекция за разликите.</w:t>
      </w:r>
    </w:p>
    <w:p w14:paraId="0C46F9C4" w14:textId="77777777" w:rsidR="00BE0B19" w:rsidRPr="00AE47C6" w:rsidRDefault="00BE0B19" w:rsidP="00BE0B19">
      <w:pPr>
        <w:shd w:val="clear" w:color="auto" w:fill="FFFFFF"/>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Клас III</w:t>
      </w:r>
      <w:r w:rsidRPr="00AE47C6">
        <w:rPr>
          <w:rFonts w:ascii="Times New Roman" w:eastAsia="SimSun" w:hAnsi="Times New Roman"/>
          <w:sz w:val="24"/>
          <w:szCs w:val="24"/>
        </w:rPr>
        <w:t>: Всички останали контролирани изпитвания (включващи добре подбрани по съответните показатели контроли или пациенти, служещи като собствена контрола) в репрезентативни популации, където резултатът е независимо оценяван или независимо получен чрез обективно измерване на изхода.</w:t>
      </w:r>
    </w:p>
    <w:p w14:paraId="19E89B6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Клас IV</w:t>
      </w:r>
      <w:r w:rsidRPr="00AE47C6">
        <w:rPr>
          <w:rFonts w:ascii="Times New Roman" w:eastAsia="SimSun" w:hAnsi="Times New Roman"/>
          <w:sz w:val="24"/>
          <w:szCs w:val="24"/>
        </w:rPr>
        <w:t>: Проучвания, непокриващи критериите за клас I, II или III, включително консенсуси или експертни мнения.</w:t>
      </w:r>
    </w:p>
    <w:p w14:paraId="0B9DEDE0" w14:textId="77777777" w:rsidR="00BE0B19" w:rsidRPr="00AE47C6" w:rsidRDefault="00BE0B19" w:rsidP="00BE0B19">
      <w:pPr>
        <w:spacing w:after="0" w:line="360" w:lineRule="auto"/>
        <w:ind w:left="720" w:firstLine="720"/>
        <w:jc w:val="both"/>
        <w:rPr>
          <w:rFonts w:ascii="Times New Roman" w:eastAsia="SimSun" w:hAnsi="Times New Roman"/>
          <w:b/>
          <w:sz w:val="24"/>
          <w:szCs w:val="24"/>
        </w:rPr>
      </w:pPr>
    </w:p>
    <w:p w14:paraId="44BB53BC" w14:textId="77777777" w:rsidR="00BE0B19" w:rsidRPr="00AE47C6" w:rsidRDefault="00BE0B19" w:rsidP="00BE0B19">
      <w:pPr>
        <w:spacing w:after="0" w:line="360" w:lineRule="auto"/>
        <w:ind w:left="720" w:firstLine="720"/>
        <w:jc w:val="both"/>
        <w:rPr>
          <w:rFonts w:ascii="Times New Roman" w:eastAsia="SimSun" w:hAnsi="Times New Roman"/>
          <w:b/>
          <w:sz w:val="24"/>
          <w:szCs w:val="24"/>
        </w:rPr>
      </w:pPr>
      <w:r w:rsidRPr="00AE47C6">
        <w:rPr>
          <w:rFonts w:ascii="Times New Roman" w:eastAsia="SimSun" w:hAnsi="Times New Roman"/>
          <w:b/>
          <w:sz w:val="24"/>
          <w:szCs w:val="24"/>
        </w:rPr>
        <w:t>Нива на препоръки според American Academy of Neurology</w:t>
      </w:r>
    </w:p>
    <w:p w14:paraId="61883753" w14:textId="77777777" w:rsidR="00BE0B19" w:rsidRPr="00AE47C6" w:rsidRDefault="00BE0B19" w:rsidP="00BE0B19">
      <w:pPr>
        <w:spacing w:after="0" w:line="360" w:lineRule="auto"/>
        <w:ind w:left="720" w:firstLine="720"/>
        <w:jc w:val="both"/>
        <w:rPr>
          <w:rFonts w:ascii="Times New Roman" w:eastAsia="SimSun" w:hAnsi="Times New Roman"/>
          <w:b/>
          <w:sz w:val="24"/>
          <w:szCs w:val="24"/>
        </w:rPr>
      </w:pPr>
      <w:r w:rsidRPr="00AE47C6">
        <w:rPr>
          <w:rFonts w:ascii="Times New Roman" w:eastAsia="SimSun" w:hAnsi="Times New Roman"/>
          <w:b/>
          <w:sz w:val="24"/>
          <w:szCs w:val="24"/>
        </w:rPr>
        <w:t>(Степени на сигурност на практическите препоръки в тясна връзка с класификацията на доказателствата)</w:t>
      </w:r>
    </w:p>
    <w:p w14:paraId="41BF57CC" w14:textId="77777777" w:rsidR="00BE0B19" w:rsidRPr="00AE47C6" w:rsidRDefault="00BE0B19" w:rsidP="00BE0B19">
      <w:pPr>
        <w:spacing w:after="0" w:line="360" w:lineRule="auto"/>
        <w:ind w:left="720" w:firstLine="720"/>
        <w:jc w:val="both"/>
        <w:rPr>
          <w:rFonts w:ascii="Times New Roman" w:eastAsia="SimSun" w:hAnsi="Times New Roman"/>
          <w:b/>
          <w:sz w:val="24"/>
          <w:szCs w:val="24"/>
        </w:rPr>
      </w:pPr>
    </w:p>
    <w:p w14:paraId="6498157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A (силно)</w:t>
      </w:r>
      <w:r w:rsidRPr="00AE47C6">
        <w:rPr>
          <w:rFonts w:ascii="Times New Roman" w:eastAsia="SimSun" w:hAnsi="Times New Roman"/>
          <w:sz w:val="24"/>
          <w:szCs w:val="24"/>
        </w:rPr>
        <w:t xml:space="preserve"> = Интервенцията е доказана като ефективна, неефективна или вредна (или като полезна/с предиктивна или неполезна/без предиктивна стойност) за дадено състояние в определена популация. Изисква се наличието на най-малко две последователни проучвания клас I.</w:t>
      </w:r>
    </w:p>
    <w:p w14:paraId="397D10DC"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B (умерено)</w:t>
      </w:r>
      <w:r w:rsidRPr="00AE47C6">
        <w:rPr>
          <w:rFonts w:ascii="Times New Roman" w:eastAsia="SimSun" w:hAnsi="Times New Roman"/>
          <w:sz w:val="24"/>
          <w:szCs w:val="24"/>
        </w:rPr>
        <w:t xml:space="preserve"> = Вероятно ефективна, неефективна или вредна (или вероятно полезна/с предиктивна или неполезна/без предиктивна стойност) за дадено състояние в определена популация. Изисква наличието на поне едно проучване клас I или две последователни проучвания клас II.</w:t>
      </w:r>
    </w:p>
    <w:p w14:paraId="0DFCA775"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C (слабо)</w:t>
      </w:r>
      <w:r w:rsidRPr="00AE47C6">
        <w:rPr>
          <w:rFonts w:ascii="Times New Roman" w:eastAsia="SimSun" w:hAnsi="Times New Roman"/>
          <w:sz w:val="24"/>
          <w:szCs w:val="24"/>
        </w:rPr>
        <w:t xml:space="preserve"> = Възможно ефективна, неефективна или вредна (или възможно полезна/с предиктивна или неполезна/без предиктивна стойност) за дадено състояние в определена популация. Изисква наличието на поне едно проучване клас II или две последователни проучвания клас III.</w:t>
      </w:r>
    </w:p>
    <w:p w14:paraId="30B0FDA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U (недостатъчно)</w:t>
      </w:r>
      <w:r w:rsidRPr="00AE47C6">
        <w:rPr>
          <w:rFonts w:ascii="Times New Roman" w:eastAsia="SimSun" w:hAnsi="Times New Roman"/>
          <w:sz w:val="24"/>
          <w:szCs w:val="24"/>
        </w:rPr>
        <w:t xml:space="preserve"> = Данните са недостатъчно добре проучени или противоречиви; настоящите познания са недостатъчни или съответните интервенции са с недоказана ефективност. Провежданите проучвания не покриват критериите за клас I - III.</w:t>
      </w:r>
    </w:p>
    <w:p w14:paraId="1100F5AC" w14:textId="77777777" w:rsidR="00BE0B19" w:rsidRPr="00AE47C6" w:rsidRDefault="00BE0B19" w:rsidP="00BE0B19">
      <w:pPr>
        <w:spacing w:after="0" w:line="360" w:lineRule="auto"/>
        <w:ind w:left="720" w:firstLine="720"/>
        <w:jc w:val="both"/>
        <w:rPr>
          <w:rFonts w:ascii="Times New Roman" w:eastAsia="SimSun" w:hAnsi="Times New Roman"/>
          <w:b/>
          <w:sz w:val="24"/>
          <w:szCs w:val="24"/>
        </w:rPr>
      </w:pPr>
    </w:p>
    <w:p w14:paraId="6CDD8BD1" w14:textId="77777777" w:rsidR="00BE0B19" w:rsidRPr="00AE47C6" w:rsidRDefault="00BE0B19" w:rsidP="00BE0B19">
      <w:pPr>
        <w:spacing w:after="0" w:line="360" w:lineRule="auto"/>
        <w:ind w:left="720" w:firstLine="720"/>
        <w:jc w:val="both"/>
        <w:rPr>
          <w:rFonts w:ascii="Times New Roman" w:eastAsia="SimSun" w:hAnsi="Times New Roman"/>
          <w:b/>
          <w:sz w:val="24"/>
          <w:szCs w:val="24"/>
        </w:rPr>
      </w:pPr>
      <w:r w:rsidRPr="00AE47C6">
        <w:rPr>
          <w:rFonts w:ascii="Times New Roman" w:eastAsia="SimSun" w:hAnsi="Times New Roman"/>
          <w:b/>
          <w:sz w:val="24"/>
          <w:szCs w:val="24"/>
        </w:rPr>
        <w:t>Нива на препоръки според ASFA</w:t>
      </w:r>
    </w:p>
    <w:p w14:paraId="0A49C3F2"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Категория I (A, B или C):</w:t>
      </w:r>
      <w:r w:rsidRPr="00AE47C6">
        <w:rPr>
          <w:rFonts w:ascii="Times New Roman" w:eastAsia="SimSun" w:hAnsi="Times New Roman"/>
          <w:sz w:val="24"/>
          <w:szCs w:val="24"/>
        </w:rPr>
        <w:t xml:space="preserve"> Терапия на първи избор: монотерапия или в комбинация с други методи на лечение. </w:t>
      </w:r>
    </w:p>
    <w:p w14:paraId="4AEEC77F"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Категория II (A, B или C):</w:t>
      </w:r>
      <w:r w:rsidRPr="00AE47C6">
        <w:rPr>
          <w:rFonts w:ascii="Times New Roman" w:eastAsia="SimSun" w:hAnsi="Times New Roman"/>
          <w:sz w:val="24"/>
          <w:szCs w:val="24"/>
        </w:rPr>
        <w:t xml:space="preserve"> Терапия на втори избор: монотерапия или в комбинация с други методи на лечение. </w:t>
      </w:r>
    </w:p>
    <w:p w14:paraId="45682FE6"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Категория III (A, B или C):</w:t>
      </w:r>
      <w:r w:rsidRPr="00AE47C6">
        <w:rPr>
          <w:rFonts w:ascii="Times New Roman" w:eastAsia="SimSun" w:hAnsi="Times New Roman"/>
          <w:sz w:val="24"/>
          <w:szCs w:val="24"/>
        </w:rPr>
        <w:t xml:space="preserve"> Не са установени оптимални резултати от терапевтична афереза. Следва да се търси алтернативен и индивидуален подход.</w:t>
      </w:r>
    </w:p>
    <w:p w14:paraId="49025F73" w14:textId="77777777" w:rsidR="00BE0B19" w:rsidRPr="00AE47C6" w:rsidRDefault="00BE0B19" w:rsidP="00BE0B19">
      <w:pPr>
        <w:spacing w:after="0" w:line="360" w:lineRule="auto"/>
        <w:ind w:firstLine="720"/>
        <w:jc w:val="both"/>
        <w:rPr>
          <w:rFonts w:ascii="Times New Roman" w:eastAsia="SimSun" w:hAnsi="Times New Roman"/>
          <w:sz w:val="24"/>
          <w:szCs w:val="24"/>
        </w:rPr>
      </w:pPr>
      <w:r w:rsidRPr="00AE47C6">
        <w:rPr>
          <w:rFonts w:ascii="Times New Roman" w:eastAsia="SimSun" w:hAnsi="Times New Roman"/>
          <w:b/>
          <w:sz w:val="24"/>
          <w:szCs w:val="24"/>
        </w:rPr>
        <w:t xml:space="preserve">Категория IV (A, B или C): </w:t>
      </w:r>
      <w:r w:rsidRPr="00AE47C6">
        <w:rPr>
          <w:rFonts w:ascii="Times New Roman" w:eastAsia="SimSun" w:hAnsi="Times New Roman"/>
          <w:sz w:val="24"/>
          <w:szCs w:val="24"/>
        </w:rPr>
        <w:t xml:space="preserve">Провеждането на афереза е неефективно или навреждащо. </w:t>
      </w:r>
    </w:p>
    <w:p w14:paraId="7B1490E5"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sz w:val="24"/>
          <w:szCs w:val="24"/>
          <w:lang w:eastAsia="bg-BG"/>
        </w:rPr>
        <w:br w:type="column"/>
      </w:r>
      <w:r w:rsidRPr="00AE47C6">
        <w:rPr>
          <w:rFonts w:ascii="Times New Roman" w:eastAsia="SimSun" w:hAnsi="Times New Roman"/>
          <w:b/>
          <w:bCs/>
          <w:sz w:val="24"/>
          <w:szCs w:val="24"/>
          <w:lang w:eastAsia="bg-BG"/>
        </w:rPr>
        <w:t>Taбл. 1. ASFA нива на препоръки (адаптирани по Guyatt и съавт.,2006)</w:t>
      </w:r>
    </w:p>
    <w:tbl>
      <w:tblPr>
        <w:tblW w:w="9072" w:type="dxa"/>
        <w:tblCellSpacing w:w="0" w:type="dxa"/>
        <w:tblInd w:w="-194" w:type="dxa"/>
        <w:tblBorders>
          <w:top w:val="outset" w:sz="6" w:space="0" w:color="auto"/>
          <w:left w:val="outset" w:sz="6" w:space="0" w:color="auto"/>
          <w:bottom w:val="outset" w:sz="6" w:space="0" w:color="auto"/>
          <w:right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802"/>
        <w:gridCol w:w="1851"/>
        <w:gridCol w:w="4211"/>
        <w:gridCol w:w="2208"/>
      </w:tblGrid>
      <w:tr w:rsidR="00BE0B19" w:rsidRPr="00AE47C6" w14:paraId="2B0CAC1E" w14:textId="77777777" w:rsidTr="00AD72E5">
        <w:trPr>
          <w:tblCellSpacing w:w="0" w:type="dxa"/>
        </w:trPr>
        <w:tc>
          <w:tcPr>
            <w:tcW w:w="851" w:type="dxa"/>
            <w:tcBorders>
              <w:top w:val="outset" w:sz="6" w:space="0" w:color="auto"/>
              <w:left w:val="outset" w:sz="6" w:space="0" w:color="auto"/>
              <w:bottom w:val="outset" w:sz="6" w:space="0" w:color="auto"/>
              <w:right w:val="outset" w:sz="6" w:space="0" w:color="auto"/>
            </w:tcBorders>
            <w:vAlign w:val="center"/>
            <w:hideMark/>
          </w:tcPr>
          <w:p w14:paraId="5F07A464" w14:textId="77777777" w:rsidR="00BE0B19" w:rsidRPr="00AE47C6" w:rsidRDefault="00BE0B19" w:rsidP="00BE0B19">
            <w:pPr>
              <w:spacing w:after="0" w:line="360" w:lineRule="auto"/>
              <w:jc w:val="both"/>
              <w:outlineLvl w:val="3"/>
              <w:rPr>
                <w:rFonts w:ascii="Times New Roman" w:eastAsia="SimSun" w:hAnsi="Times New Roman"/>
                <w:b/>
                <w:bCs/>
                <w:sz w:val="24"/>
                <w:szCs w:val="24"/>
                <w:lang w:eastAsia="en-GB"/>
              </w:rPr>
            </w:pPr>
            <w:r w:rsidRPr="00AE47C6">
              <w:rPr>
                <w:rFonts w:ascii="Times New Roman" w:eastAsia="SimSun" w:hAnsi="Times New Roman"/>
                <w:b/>
                <w:bCs/>
                <w:sz w:val="24"/>
                <w:szCs w:val="24"/>
                <w:lang w:eastAsia="en-GB"/>
              </w:rPr>
              <w:t>Нива</w:t>
            </w:r>
          </w:p>
        </w:tc>
        <w:tc>
          <w:tcPr>
            <w:tcW w:w="1985" w:type="dxa"/>
            <w:tcBorders>
              <w:top w:val="outset" w:sz="6" w:space="0" w:color="auto"/>
              <w:left w:val="outset" w:sz="6" w:space="0" w:color="auto"/>
              <w:bottom w:val="outset" w:sz="6" w:space="0" w:color="auto"/>
              <w:right w:val="outset" w:sz="6" w:space="0" w:color="auto"/>
            </w:tcBorders>
            <w:vAlign w:val="center"/>
            <w:hideMark/>
          </w:tcPr>
          <w:p w14:paraId="433A6C44" w14:textId="77777777" w:rsidR="00BE0B19" w:rsidRPr="00AE47C6" w:rsidRDefault="00BE0B19" w:rsidP="00BE0B19">
            <w:pPr>
              <w:spacing w:after="0" w:line="360" w:lineRule="auto"/>
              <w:jc w:val="both"/>
              <w:outlineLvl w:val="3"/>
              <w:rPr>
                <w:rFonts w:ascii="Times New Roman" w:eastAsia="SimSun" w:hAnsi="Times New Roman"/>
                <w:b/>
                <w:bCs/>
                <w:sz w:val="24"/>
                <w:szCs w:val="24"/>
                <w:lang w:eastAsia="en-GB"/>
              </w:rPr>
            </w:pPr>
            <w:r w:rsidRPr="00AE47C6">
              <w:rPr>
                <w:rFonts w:ascii="Times New Roman" w:eastAsia="SimSun" w:hAnsi="Times New Roman"/>
                <w:b/>
                <w:bCs/>
                <w:sz w:val="24"/>
                <w:szCs w:val="24"/>
                <w:lang w:eastAsia="en-GB"/>
              </w:rPr>
              <w:t>Описание</w:t>
            </w:r>
          </w:p>
        </w:tc>
        <w:tc>
          <w:tcPr>
            <w:tcW w:w="4536" w:type="dxa"/>
            <w:tcBorders>
              <w:top w:val="outset" w:sz="6" w:space="0" w:color="auto"/>
              <w:left w:val="outset" w:sz="6" w:space="0" w:color="auto"/>
              <w:bottom w:val="outset" w:sz="6" w:space="0" w:color="auto"/>
              <w:right w:val="outset" w:sz="6" w:space="0" w:color="auto"/>
            </w:tcBorders>
            <w:vAlign w:val="center"/>
            <w:hideMark/>
          </w:tcPr>
          <w:p w14:paraId="335841AC" w14:textId="77777777" w:rsidR="00BE0B19" w:rsidRPr="00AE47C6" w:rsidRDefault="00BE0B19" w:rsidP="00BE0B19">
            <w:pPr>
              <w:spacing w:after="0" w:line="360" w:lineRule="auto"/>
              <w:jc w:val="both"/>
              <w:outlineLvl w:val="3"/>
              <w:rPr>
                <w:rFonts w:ascii="Times New Roman" w:eastAsia="SimSun" w:hAnsi="Times New Roman"/>
                <w:b/>
                <w:bCs/>
                <w:sz w:val="24"/>
                <w:szCs w:val="24"/>
                <w:lang w:eastAsia="en-GB"/>
              </w:rPr>
            </w:pPr>
            <w:r w:rsidRPr="00AE47C6">
              <w:rPr>
                <w:rFonts w:ascii="Times New Roman" w:eastAsia="SimSun" w:hAnsi="Times New Roman"/>
                <w:b/>
                <w:bCs/>
                <w:sz w:val="24"/>
                <w:szCs w:val="24"/>
                <w:lang w:eastAsia="en-GB"/>
              </w:rPr>
              <w:t>Методологично качество на подкрепящите доказателства</w:t>
            </w:r>
          </w:p>
        </w:tc>
        <w:tc>
          <w:tcPr>
            <w:tcW w:w="2371" w:type="dxa"/>
            <w:tcBorders>
              <w:top w:val="outset" w:sz="6" w:space="0" w:color="auto"/>
              <w:left w:val="outset" w:sz="6" w:space="0" w:color="auto"/>
              <w:bottom w:val="outset" w:sz="6" w:space="0" w:color="auto"/>
              <w:right w:val="outset" w:sz="6" w:space="0" w:color="auto"/>
            </w:tcBorders>
            <w:vAlign w:val="center"/>
            <w:hideMark/>
          </w:tcPr>
          <w:p w14:paraId="5BDC3C93" w14:textId="77777777" w:rsidR="00BE0B19" w:rsidRPr="00AE47C6" w:rsidRDefault="00BE0B19" w:rsidP="00BE0B19">
            <w:pPr>
              <w:spacing w:after="0" w:line="360" w:lineRule="auto"/>
              <w:jc w:val="both"/>
              <w:outlineLvl w:val="3"/>
              <w:rPr>
                <w:rFonts w:ascii="Times New Roman" w:eastAsia="SimSun" w:hAnsi="Times New Roman"/>
                <w:b/>
                <w:bCs/>
                <w:sz w:val="24"/>
                <w:szCs w:val="24"/>
                <w:lang w:eastAsia="en-GB"/>
              </w:rPr>
            </w:pPr>
            <w:r w:rsidRPr="00AE47C6">
              <w:rPr>
                <w:rFonts w:ascii="Times New Roman" w:eastAsia="SimSun" w:hAnsi="Times New Roman"/>
                <w:b/>
                <w:bCs/>
                <w:sz w:val="24"/>
                <w:szCs w:val="24"/>
                <w:lang w:eastAsia="en-GB"/>
              </w:rPr>
              <w:t>Заключение</w:t>
            </w:r>
          </w:p>
        </w:tc>
      </w:tr>
      <w:tr w:rsidR="00BE0B19" w:rsidRPr="00AE47C6" w14:paraId="4E177AE0" w14:textId="77777777" w:rsidTr="00AD72E5">
        <w:trPr>
          <w:tblCellSpacing w:w="0" w:type="dxa"/>
        </w:trPr>
        <w:tc>
          <w:tcPr>
            <w:tcW w:w="851" w:type="dxa"/>
            <w:tcBorders>
              <w:top w:val="outset" w:sz="6" w:space="0" w:color="auto"/>
              <w:left w:val="outset" w:sz="6" w:space="0" w:color="auto"/>
              <w:bottom w:val="outset" w:sz="6" w:space="0" w:color="auto"/>
              <w:right w:val="outset" w:sz="6" w:space="0" w:color="auto"/>
            </w:tcBorders>
            <w:hideMark/>
          </w:tcPr>
          <w:p w14:paraId="2033D723"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1A </w:t>
            </w:r>
          </w:p>
        </w:tc>
        <w:tc>
          <w:tcPr>
            <w:tcW w:w="1985" w:type="dxa"/>
            <w:tcBorders>
              <w:top w:val="outset" w:sz="6" w:space="0" w:color="auto"/>
              <w:left w:val="outset" w:sz="6" w:space="0" w:color="auto"/>
              <w:bottom w:val="outset" w:sz="6" w:space="0" w:color="auto"/>
              <w:right w:val="outset" w:sz="6" w:space="0" w:color="auto"/>
            </w:tcBorders>
            <w:hideMark/>
          </w:tcPr>
          <w:p w14:paraId="7FD12431"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Силно препоръчително;</w:t>
            </w:r>
          </w:p>
          <w:p w14:paraId="15665AC6"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сигурни доказателства</w:t>
            </w:r>
          </w:p>
        </w:tc>
        <w:tc>
          <w:tcPr>
            <w:tcW w:w="4536" w:type="dxa"/>
            <w:tcBorders>
              <w:top w:val="outset" w:sz="6" w:space="0" w:color="auto"/>
              <w:left w:val="outset" w:sz="6" w:space="0" w:color="auto"/>
              <w:bottom w:val="outset" w:sz="6" w:space="0" w:color="auto"/>
              <w:right w:val="outset" w:sz="6" w:space="0" w:color="auto"/>
            </w:tcBorders>
            <w:hideMark/>
          </w:tcPr>
          <w:p w14:paraId="12B511DC"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Рандомизирани контролирани изпитвания без съществени ограничения или неопровержими доказателства от обсервационни проучвания.</w:t>
            </w:r>
          </w:p>
        </w:tc>
        <w:tc>
          <w:tcPr>
            <w:tcW w:w="2371" w:type="dxa"/>
            <w:tcBorders>
              <w:top w:val="outset" w:sz="6" w:space="0" w:color="auto"/>
              <w:left w:val="outset" w:sz="6" w:space="0" w:color="auto"/>
              <w:bottom w:val="outset" w:sz="6" w:space="0" w:color="auto"/>
              <w:right w:val="outset" w:sz="6" w:space="0" w:color="auto"/>
            </w:tcBorders>
            <w:hideMark/>
          </w:tcPr>
          <w:p w14:paraId="477AD3AD"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Може да се прилага при повечето пациенти в повечето случаи без резерви.</w:t>
            </w:r>
          </w:p>
        </w:tc>
      </w:tr>
      <w:tr w:rsidR="00BE0B19" w:rsidRPr="00AE47C6" w14:paraId="380DE954" w14:textId="77777777" w:rsidTr="00AD72E5">
        <w:trPr>
          <w:tblCellSpacing w:w="0" w:type="dxa"/>
        </w:trPr>
        <w:tc>
          <w:tcPr>
            <w:tcW w:w="851" w:type="dxa"/>
            <w:tcBorders>
              <w:top w:val="outset" w:sz="6" w:space="0" w:color="auto"/>
              <w:left w:val="outset" w:sz="6" w:space="0" w:color="auto"/>
              <w:bottom w:val="outset" w:sz="6" w:space="0" w:color="auto"/>
              <w:right w:val="outset" w:sz="6" w:space="0" w:color="auto"/>
            </w:tcBorders>
            <w:hideMark/>
          </w:tcPr>
          <w:p w14:paraId="75D1B3D8"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1B </w:t>
            </w:r>
          </w:p>
        </w:tc>
        <w:tc>
          <w:tcPr>
            <w:tcW w:w="1985" w:type="dxa"/>
            <w:tcBorders>
              <w:top w:val="outset" w:sz="6" w:space="0" w:color="auto"/>
              <w:left w:val="outset" w:sz="6" w:space="0" w:color="auto"/>
              <w:bottom w:val="outset" w:sz="6" w:space="0" w:color="auto"/>
              <w:right w:val="outset" w:sz="6" w:space="0" w:color="auto"/>
            </w:tcBorders>
            <w:hideMark/>
          </w:tcPr>
          <w:p w14:paraId="08ED68D2"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Силно препоръчително;</w:t>
            </w:r>
          </w:p>
          <w:p w14:paraId="16DB03CD"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доказателствата са с умерена сигурност</w:t>
            </w:r>
          </w:p>
          <w:p w14:paraId="6B2D9C32" w14:textId="77777777" w:rsidR="00BE0B19" w:rsidRPr="00AE47C6" w:rsidRDefault="00BE0B19" w:rsidP="00BE0B19">
            <w:pPr>
              <w:spacing w:after="0" w:line="360" w:lineRule="auto"/>
              <w:jc w:val="both"/>
              <w:rPr>
                <w:rFonts w:ascii="Times New Roman" w:eastAsia="SimSun" w:hAnsi="Times New Roman"/>
                <w:sz w:val="24"/>
                <w:szCs w:val="24"/>
                <w:lang w:eastAsia="en-GB"/>
              </w:rPr>
            </w:pPr>
          </w:p>
        </w:tc>
        <w:tc>
          <w:tcPr>
            <w:tcW w:w="4536" w:type="dxa"/>
            <w:tcBorders>
              <w:top w:val="outset" w:sz="6" w:space="0" w:color="auto"/>
              <w:left w:val="outset" w:sz="6" w:space="0" w:color="auto"/>
              <w:bottom w:val="outset" w:sz="6" w:space="0" w:color="auto"/>
              <w:right w:val="outset" w:sz="6" w:space="0" w:color="auto"/>
            </w:tcBorders>
            <w:hideMark/>
          </w:tcPr>
          <w:p w14:paraId="4FCE2A5E"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Рандомизирани контролирани изпитвания със съществени ограничения (противоречиви резултати, методологични недостатъци) или </w:t>
            </w:r>
            <w:r w:rsidRPr="00AE47C6">
              <w:rPr>
                <w:rFonts w:ascii="Times New Roman" w:eastAsia="SimSun" w:hAnsi="Times New Roman"/>
                <w:sz w:val="24"/>
                <w:szCs w:val="24"/>
                <w:lang w:eastAsia="en-GB"/>
              </w:rPr>
              <w:br/>
              <w:t>изключително силни доказателства от обсервационни проучвания.</w:t>
            </w:r>
          </w:p>
        </w:tc>
        <w:tc>
          <w:tcPr>
            <w:tcW w:w="2371" w:type="dxa"/>
            <w:tcBorders>
              <w:top w:val="outset" w:sz="6" w:space="0" w:color="auto"/>
              <w:left w:val="outset" w:sz="6" w:space="0" w:color="auto"/>
              <w:bottom w:val="outset" w:sz="6" w:space="0" w:color="auto"/>
              <w:right w:val="outset" w:sz="6" w:space="0" w:color="auto"/>
            </w:tcBorders>
            <w:hideMark/>
          </w:tcPr>
          <w:p w14:paraId="333C29E5"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Може да се прилага при повечето пациенти в повечето случаи без резерви.</w:t>
            </w:r>
          </w:p>
          <w:p w14:paraId="2620168D" w14:textId="77777777" w:rsidR="00BE0B19" w:rsidRPr="00AE47C6" w:rsidRDefault="00BE0B19" w:rsidP="00BE0B19">
            <w:pPr>
              <w:spacing w:after="0" w:line="360" w:lineRule="auto"/>
              <w:jc w:val="both"/>
              <w:rPr>
                <w:rFonts w:ascii="Times New Roman" w:eastAsia="SimSun" w:hAnsi="Times New Roman"/>
                <w:sz w:val="24"/>
                <w:szCs w:val="24"/>
                <w:lang w:eastAsia="en-GB"/>
              </w:rPr>
            </w:pPr>
          </w:p>
        </w:tc>
      </w:tr>
      <w:tr w:rsidR="00BE0B19" w:rsidRPr="00AE47C6" w14:paraId="4815B1F1" w14:textId="77777777" w:rsidTr="00AD72E5">
        <w:trPr>
          <w:tblCellSpacing w:w="0" w:type="dxa"/>
        </w:trPr>
        <w:tc>
          <w:tcPr>
            <w:tcW w:w="851" w:type="dxa"/>
            <w:tcBorders>
              <w:top w:val="outset" w:sz="6" w:space="0" w:color="auto"/>
              <w:left w:val="outset" w:sz="6" w:space="0" w:color="auto"/>
              <w:bottom w:val="outset" w:sz="6" w:space="0" w:color="auto"/>
              <w:right w:val="outset" w:sz="6" w:space="0" w:color="auto"/>
            </w:tcBorders>
            <w:hideMark/>
          </w:tcPr>
          <w:p w14:paraId="08BD07A5"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1C </w:t>
            </w:r>
          </w:p>
        </w:tc>
        <w:tc>
          <w:tcPr>
            <w:tcW w:w="1985" w:type="dxa"/>
            <w:tcBorders>
              <w:top w:val="outset" w:sz="6" w:space="0" w:color="auto"/>
              <w:left w:val="outset" w:sz="6" w:space="0" w:color="auto"/>
              <w:bottom w:val="outset" w:sz="6" w:space="0" w:color="auto"/>
              <w:right w:val="outset" w:sz="6" w:space="0" w:color="auto"/>
            </w:tcBorders>
            <w:hideMark/>
          </w:tcPr>
          <w:p w14:paraId="56DB0D65"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Силно препоръчително;</w:t>
            </w:r>
          </w:p>
          <w:p w14:paraId="2C9DCE55"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доказателствата са с ниска или много ниска степен на сигурност</w:t>
            </w:r>
          </w:p>
        </w:tc>
        <w:tc>
          <w:tcPr>
            <w:tcW w:w="4536" w:type="dxa"/>
            <w:tcBorders>
              <w:top w:val="outset" w:sz="6" w:space="0" w:color="auto"/>
              <w:left w:val="outset" w:sz="6" w:space="0" w:color="auto"/>
              <w:bottom w:val="outset" w:sz="6" w:space="0" w:color="auto"/>
              <w:right w:val="outset" w:sz="6" w:space="0" w:color="auto"/>
            </w:tcBorders>
            <w:hideMark/>
          </w:tcPr>
          <w:p w14:paraId="3D016946"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Обсервационни проучвания или серии от случаи.</w:t>
            </w:r>
          </w:p>
        </w:tc>
        <w:tc>
          <w:tcPr>
            <w:tcW w:w="2371" w:type="dxa"/>
            <w:tcBorders>
              <w:top w:val="outset" w:sz="6" w:space="0" w:color="auto"/>
              <w:left w:val="outset" w:sz="6" w:space="0" w:color="auto"/>
              <w:bottom w:val="outset" w:sz="6" w:space="0" w:color="auto"/>
              <w:right w:val="outset" w:sz="6" w:space="0" w:color="auto"/>
            </w:tcBorders>
            <w:hideMark/>
          </w:tcPr>
          <w:p w14:paraId="7A306676"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Търпи промяна при наличието на по-сигурни доказателства.</w:t>
            </w:r>
          </w:p>
          <w:p w14:paraId="2DD7BA60" w14:textId="77777777" w:rsidR="00BE0B19" w:rsidRPr="00AE47C6" w:rsidRDefault="00BE0B19" w:rsidP="00BE0B19">
            <w:pPr>
              <w:spacing w:after="0" w:line="360" w:lineRule="auto"/>
              <w:jc w:val="both"/>
              <w:rPr>
                <w:rFonts w:ascii="Times New Roman" w:eastAsia="SimSun" w:hAnsi="Times New Roman"/>
                <w:sz w:val="24"/>
                <w:szCs w:val="24"/>
                <w:lang w:eastAsia="en-GB"/>
              </w:rPr>
            </w:pPr>
          </w:p>
        </w:tc>
      </w:tr>
      <w:tr w:rsidR="00BE0B19" w:rsidRPr="00AE47C6" w14:paraId="07DBACCF" w14:textId="77777777" w:rsidTr="00AD72E5">
        <w:trPr>
          <w:tblCellSpacing w:w="0" w:type="dxa"/>
        </w:trPr>
        <w:tc>
          <w:tcPr>
            <w:tcW w:w="851" w:type="dxa"/>
            <w:tcBorders>
              <w:top w:val="outset" w:sz="6" w:space="0" w:color="auto"/>
              <w:left w:val="outset" w:sz="6" w:space="0" w:color="auto"/>
              <w:bottom w:val="outset" w:sz="6" w:space="0" w:color="auto"/>
              <w:right w:val="outset" w:sz="6" w:space="0" w:color="auto"/>
            </w:tcBorders>
            <w:hideMark/>
          </w:tcPr>
          <w:p w14:paraId="035845D1"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2A </w:t>
            </w:r>
          </w:p>
        </w:tc>
        <w:tc>
          <w:tcPr>
            <w:tcW w:w="1985" w:type="dxa"/>
            <w:tcBorders>
              <w:top w:val="outset" w:sz="6" w:space="0" w:color="auto"/>
              <w:left w:val="outset" w:sz="6" w:space="0" w:color="auto"/>
              <w:bottom w:val="outset" w:sz="6" w:space="0" w:color="auto"/>
              <w:right w:val="outset" w:sz="6" w:space="0" w:color="auto"/>
            </w:tcBorders>
            <w:hideMark/>
          </w:tcPr>
          <w:p w14:paraId="6C7B1F8A"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Слабо препоръчително;</w:t>
            </w:r>
          </w:p>
          <w:p w14:paraId="4A75EF50"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сигурни доказателства</w:t>
            </w:r>
          </w:p>
        </w:tc>
        <w:tc>
          <w:tcPr>
            <w:tcW w:w="4536" w:type="dxa"/>
            <w:tcBorders>
              <w:top w:val="outset" w:sz="6" w:space="0" w:color="auto"/>
              <w:left w:val="outset" w:sz="6" w:space="0" w:color="auto"/>
              <w:bottom w:val="outset" w:sz="6" w:space="0" w:color="auto"/>
              <w:right w:val="outset" w:sz="6" w:space="0" w:color="auto"/>
            </w:tcBorders>
            <w:hideMark/>
          </w:tcPr>
          <w:p w14:paraId="296AA568"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Рандомизирани контролирани изпитвания, без съществени ограничения или неопровержими доказателства от обсервационни проучвания.</w:t>
            </w:r>
          </w:p>
        </w:tc>
        <w:tc>
          <w:tcPr>
            <w:tcW w:w="2371" w:type="dxa"/>
            <w:tcBorders>
              <w:top w:val="outset" w:sz="6" w:space="0" w:color="auto"/>
              <w:left w:val="outset" w:sz="6" w:space="0" w:color="auto"/>
              <w:bottom w:val="outset" w:sz="6" w:space="0" w:color="auto"/>
              <w:right w:val="outset" w:sz="6" w:space="0" w:color="auto"/>
            </w:tcBorders>
            <w:hideMark/>
          </w:tcPr>
          <w:p w14:paraId="7B585C59"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Решението варира според конкретния случай.</w:t>
            </w:r>
          </w:p>
        </w:tc>
      </w:tr>
      <w:tr w:rsidR="00BE0B19" w:rsidRPr="00AE47C6" w14:paraId="0B92B657" w14:textId="77777777" w:rsidTr="00AD72E5">
        <w:trPr>
          <w:tblCellSpacing w:w="0" w:type="dxa"/>
        </w:trPr>
        <w:tc>
          <w:tcPr>
            <w:tcW w:w="851" w:type="dxa"/>
            <w:tcBorders>
              <w:top w:val="outset" w:sz="6" w:space="0" w:color="auto"/>
              <w:left w:val="outset" w:sz="6" w:space="0" w:color="auto"/>
              <w:bottom w:val="outset" w:sz="6" w:space="0" w:color="auto"/>
              <w:right w:val="outset" w:sz="6" w:space="0" w:color="auto"/>
            </w:tcBorders>
            <w:hideMark/>
          </w:tcPr>
          <w:p w14:paraId="11813906" w14:textId="77777777" w:rsidR="00BE0B19" w:rsidRPr="00AE47C6" w:rsidRDefault="00BE0B19" w:rsidP="00BE0B19">
            <w:pPr>
              <w:spacing w:after="0" w:line="360" w:lineRule="auto"/>
              <w:jc w:val="both"/>
              <w:rPr>
                <w:rFonts w:ascii="Times New Roman" w:eastAsia="SimSun" w:hAnsi="Times New Roman"/>
                <w:sz w:val="24"/>
                <w:szCs w:val="24"/>
                <w:lang w:eastAsia="en-GB"/>
              </w:rPr>
            </w:pPr>
          </w:p>
        </w:tc>
        <w:tc>
          <w:tcPr>
            <w:tcW w:w="1985" w:type="dxa"/>
            <w:tcBorders>
              <w:top w:val="outset" w:sz="6" w:space="0" w:color="auto"/>
              <w:left w:val="outset" w:sz="6" w:space="0" w:color="auto"/>
              <w:bottom w:val="outset" w:sz="6" w:space="0" w:color="auto"/>
              <w:right w:val="outset" w:sz="6" w:space="0" w:color="auto"/>
            </w:tcBorders>
            <w:hideMark/>
          </w:tcPr>
          <w:p w14:paraId="25755B05" w14:textId="77777777" w:rsidR="00BE0B19" w:rsidRPr="00AE47C6" w:rsidRDefault="00BE0B19" w:rsidP="00BE0B19">
            <w:pPr>
              <w:spacing w:after="0" w:line="360" w:lineRule="auto"/>
              <w:jc w:val="both"/>
              <w:rPr>
                <w:rFonts w:ascii="Times New Roman" w:eastAsia="SimSun" w:hAnsi="Times New Roman"/>
                <w:sz w:val="24"/>
                <w:szCs w:val="24"/>
                <w:lang w:eastAsia="en-GB"/>
              </w:rPr>
            </w:pPr>
          </w:p>
        </w:tc>
        <w:tc>
          <w:tcPr>
            <w:tcW w:w="4536" w:type="dxa"/>
            <w:tcBorders>
              <w:top w:val="outset" w:sz="6" w:space="0" w:color="auto"/>
              <w:left w:val="outset" w:sz="6" w:space="0" w:color="auto"/>
              <w:bottom w:val="outset" w:sz="6" w:space="0" w:color="auto"/>
              <w:right w:val="outset" w:sz="6" w:space="0" w:color="auto"/>
            </w:tcBorders>
            <w:hideMark/>
          </w:tcPr>
          <w:p w14:paraId="22319F5E" w14:textId="77777777" w:rsidR="00BE0B19" w:rsidRPr="00AE47C6" w:rsidRDefault="00BE0B19" w:rsidP="00BE0B19">
            <w:pPr>
              <w:spacing w:after="0" w:line="360" w:lineRule="auto"/>
              <w:jc w:val="both"/>
              <w:rPr>
                <w:rFonts w:ascii="Times New Roman" w:eastAsia="SimSun" w:hAnsi="Times New Roman"/>
                <w:sz w:val="24"/>
                <w:szCs w:val="24"/>
                <w:lang w:eastAsia="en-GB"/>
              </w:rPr>
            </w:pPr>
          </w:p>
        </w:tc>
        <w:tc>
          <w:tcPr>
            <w:tcW w:w="2371" w:type="dxa"/>
            <w:tcBorders>
              <w:top w:val="outset" w:sz="6" w:space="0" w:color="auto"/>
              <w:left w:val="outset" w:sz="6" w:space="0" w:color="auto"/>
              <w:bottom w:val="outset" w:sz="6" w:space="0" w:color="auto"/>
              <w:right w:val="outset" w:sz="6" w:space="0" w:color="auto"/>
            </w:tcBorders>
            <w:hideMark/>
          </w:tcPr>
          <w:p w14:paraId="64BB96BD" w14:textId="77777777" w:rsidR="00BE0B19" w:rsidRPr="00AE47C6" w:rsidRDefault="00BE0B19" w:rsidP="00BE0B19">
            <w:pPr>
              <w:spacing w:after="0" w:line="360" w:lineRule="auto"/>
              <w:jc w:val="both"/>
              <w:rPr>
                <w:rFonts w:ascii="Times New Roman" w:eastAsia="SimSun" w:hAnsi="Times New Roman"/>
                <w:sz w:val="24"/>
                <w:szCs w:val="24"/>
                <w:lang w:eastAsia="en-GB"/>
              </w:rPr>
            </w:pPr>
          </w:p>
        </w:tc>
      </w:tr>
      <w:tr w:rsidR="00BE0B19" w:rsidRPr="00AE47C6" w14:paraId="29DB042A" w14:textId="77777777" w:rsidTr="00AD72E5">
        <w:trPr>
          <w:tblCellSpacing w:w="0" w:type="dxa"/>
        </w:trPr>
        <w:tc>
          <w:tcPr>
            <w:tcW w:w="851" w:type="dxa"/>
            <w:tcBorders>
              <w:top w:val="outset" w:sz="6" w:space="0" w:color="auto"/>
              <w:left w:val="outset" w:sz="6" w:space="0" w:color="auto"/>
              <w:bottom w:val="outset" w:sz="6" w:space="0" w:color="auto"/>
              <w:right w:val="outset" w:sz="6" w:space="0" w:color="auto"/>
            </w:tcBorders>
            <w:hideMark/>
          </w:tcPr>
          <w:p w14:paraId="1669EDBE"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 xml:space="preserve">2C </w:t>
            </w:r>
          </w:p>
        </w:tc>
        <w:tc>
          <w:tcPr>
            <w:tcW w:w="1985" w:type="dxa"/>
            <w:tcBorders>
              <w:top w:val="outset" w:sz="6" w:space="0" w:color="auto"/>
              <w:left w:val="outset" w:sz="6" w:space="0" w:color="auto"/>
              <w:bottom w:val="outset" w:sz="6" w:space="0" w:color="auto"/>
              <w:right w:val="outset" w:sz="6" w:space="0" w:color="auto"/>
            </w:tcBorders>
            <w:hideMark/>
          </w:tcPr>
          <w:p w14:paraId="78D24618"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Слабо препоръчително;</w:t>
            </w:r>
          </w:p>
          <w:p w14:paraId="35D81023"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доказателствата са с ниска или много ниска степен на сигурност</w:t>
            </w:r>
          </w:p>
        </w:tc>
        <w:tc>
          <w:tcPr>
            <w:tcW w:w="4536" w:type="dxa"/>
            <w:tcBorders>
              <w:top w:val="outset" w:sz="6" w:space="0" w:color="auto"/>
              <w:left w:val="outset" w:sz="6" w:space="0" w:color="auto"/>
              <w:bottom w:val="outset" w:sz="6" w:space="0" w:color="auto"/>
              <w:right w:val="outset" w:sz="6" w:space="0" w:color="auto"/>
            </w:tcBorders>
            <w:hideMark/>
          </w:tcPr>
          <w:p w14:paraId="3CEFEDA6"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Обсервационни проучвания или серии от случаи.</w:t>
            </w:r>
          </w:p>
        </w:tc>
        <w:tc>
          <w:tcPr>
            <w:tcW w:w="2371" w:type="dxa"/>
            <w:tcBorders>
              <w:top w:val="outset" w:sz="6" w:space="0" w:color="auto"/>
              <w:left w:val="outset" w:sz="6" w:space="0" w:color="auto"/>
              <w:bottom w:val="outset" w:sz="6" w:space="0" w:color="auto"/>
              <w:right w:val="outset" w:sz="6" w:space="0" w:color="auto"/>
            </w:tcBorders>
            <w:hideMark/>
          </w:tcPr>
          <w:p w14:paraId="5B7CD876" w14:textId="77777777" w:rsidR="00BE0B19" w:rsidRPr="00AE47C6" w:rsidRDefault="00BE0B19" w:rsidP="00BE0B19">
            <w:pPr>
              <w:spacing w:after="0" w:line="360" w:lineRule="auto"/>
              <w:jc w:val="both"/>
              <w:rPr>
                <w:rFonts w:ascii="Times New Roman" w:eastAsia="SimSun" w:hAnsi="Times New Roman"/>
                <w:sz w:val="24"/>
                <w:szCs w:val="24"/>
                <w:lang w:eastAsia="en-GB"/>
              </w:rPr>
            </w:pPr>
            <w:r w:rsidRPr="00AE47C6">
              <w:rPr>
                <w:rFonts w:ascii="Times New Roman" w:eastAsia="SimSun" w:hAnsi="Times New Roman"/>
                <w:sz w:val="24"/>
                <w:szCs w:val="24"/>
                <w:lang w:eastAsia="en-GB"/>
              </w:rPr>
              <w:t>Рядко се препоръчва. Уместно е търсенето и на други алтернативи.</w:t>
            </w:r>
          </w:p>
          <w:p w14:paraId="5F891AEE" w14:textId="77777777" w:rsidR="00BE0B19" w:rsidRPr="00AE47C6" w:rsidRDefault="00BE0B19" w:rsidP="00BE0B19">
            <w:pPr>
              <w:spacing w:after="0" w:line="360" w:lineRule="auto"/>
              <w:jc w:val="both"/>
              <w:rPr>
                <w:rFonts w:ascii="Times New Roman" w:eastAsia="SimSun" w:hAnsi="Times New Roman"/>
                <w:sz w:val="24"/>
                <w:szCs w:val="24"/>
                <w:lang w:eastAsia="en-GB"/>
              </w:rPr>
            </w:pPr>
          </w:p>
        </w:tc>
      </w:tr>
    </w:tbl>
    <w:p w14:paraId="523B81B8" w14:textId="77777777" w:rsidR="00BE0B19" w:rsidRPr="00AE47C6" w:rsidRDefault="00BE0B19" w:rsidP="00BE0B19">
      <w:pPr>
        <w:spacing w:after="0" w:line="360" w:lineRule="auto"/>
        <w:ind w:right="840" w:firstLine="720"/>
        <w:jc w:val="both"/>
        <w:rPr>
          <w:rFonts w:ascii="Times New Roman" w:eastAsia="SimSun" w:hAnsi="Times New Roman"/>
          <w:b/>
          <w:sz w:val="24"/>
          <w:szCs w:val="24"/>
          <w:u w:val="single"/>
        </w:rPr>
      </w:pPr>
      <w:r w:rsidRPr="00AE47C6">
        <w:rPr>
          <w:rFonts w:ascii="Times New Roman" w:eastAsia="SimSun" w:hAnsi="Times New Roman"/>
          <w:b/>
          <w:sz w:val="24"/>
          <w:szCs w:val="24"/>
        </w:rPr>
        <w:br w:type="column"/>
      </w:r>
      <w:r w:rsidRPr="00AE47C6">
        <w:rPr>
          <w:rFonts w:ascii="Times New Roman" w:eastAsia="SimSun" w:hAnsi="Times New Roman"/>
          <w:b/>
          <w:sz w:val="24"/>
          <w:szCs w:val="24"/>
          <w:u w:val="single"/>
        </w:rPr>
        <w:t xml:space="preserve">Приложение 5. </w:t>
      </w:r>
    </w:p>
    <w:p w14:paraId="4FEC4E1A"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Препоръки на AAN за приложение на ТПФ при неврологични заболявания</w:t>
      </w:r>
    </w:p>
    <w:tbl>
      <w:tblPr>
        <w:tblStyle w:val="TableGrid2"/>
        <w:tblW w:w="9356" w:type="dxa"/>
        <w:tblInd w:w="-176" w:type="dxa"/>
        <w:tblLayout w:type="fixed"/>
        <w:tblLook w:val="0000" w:firstRow="0" w:lastRow="0" w:firstColumn="0" w:lastColumn="0" w:noHBand="0" w:noVBand="0"/>
      </w:tblPr>
      <w:tblGrid>
        <w:gridCol w:w="4962"/>
        <w:gridCol w:w="2552"/>
        <w:gridCol w:w="1842"/>
      </w:tblGrid>
      <w:tr w:rsidR="00BE0B19" w:rsidRPr="00AE47C6" w14:paraId="6E538256" w14:textId="77777777" w:rsidTr="00AD72E5">
        <w:trPr>
          <w:trHeight w:val="83"/>
        </w:trPr>
        <w:tc>
          <w:tcPr>
            <w:tcW w:w="4962" w:type="dxa"/>
          </w:tcPr>
          <w:p w14:paraId="377D289E"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b/>
                <w:bCs/>
                <w:sz w:val="24"/>
                <w:szCs w:val="24"/>
              </w:rPr>
              <w:t>Заболяване</w:t>
            </w:r>
          </w:p>
        </w:tc>
        <w:tc>
          <w:tcPr>
            <w:tcW w:w="2552" w:type="dxa"/>
          </w:tcPr>
          <w:p w14:paraId="578C01D3"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b/>
                <w:bCs/>
                <w:sz w:val="24"/>
                <w:szCs w:val="24"/>
              </w:rPr>
              <w:t>Заключение</w:t>
            </w:r>
          </w:p>
        </w:tc>
        <w:tc>
          <w:tcPr>
            <w:tcW w:w="1842" w:type="dxa"/>
          </w:tcPr>
          <w:p w14:paraId="312EDFFC"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b/>
                <w:bCs/>
                <w:sz w:val="24"/>
                <w:szCs w:val="24"/>
              </w:rPr>
              <w:t>Доказателства</w:t>
            </w:r>
          </w:p>
        </w:tc>
      </w:tr>
      <w:tr w:rsidR="00BE0B19" w:rsidRPr="00AE47C6" w14:paraId="6A572371" w14:textId="77777777" w:rsidTr="00AD72E5">
        <w:trPr>
          <w:trHeight w:val="196"/>
        </w:trPr>
        <w:tc>
          <w:tcPr>
            <w:tcW w:w="4962" w:type="dxa"/>
          </w:tcPr>
          <w:p w14:paraId="14BC1B80"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ОВДП/синдром на Guillain-Barré</w:t>
            </w:r>
          </w:p>
        </w:tc>
        <w:tc>
          <w:tcPr>
            <w:tcW w:w="2552" w:type="dxa"/>
          </w:tcPr>
          <w:p w14:paraId="0F77B387"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доказано ефективна</w:t>
            </w:r>
          </w:p>
        </w:tc>
        <w:tc>
          <w:tcPr>
            <w:tcW w:w="1842" w:type="dxa"/>
          </w:tcPr>
          <w:p w14:paraId="7E2EF417"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клас I</w:t>
            </w:r>
          </w:p>
        </w:tc>
      </w:tr>
      <w:tr w:rsidR="00BE0B19" w:rsidRPr="00AE47C6" w14:paraId="743E461C" w14:textId="77777777" w:rsidTr="00AD72E5">
        <w:trPr>
          <w:trHeight w:val="196"/>
        </w:trPr>
        <w:tc>
          <w:tcPr>
            <w:tcW w:w="4962" w:type="dxa"/>
          </w:tcPr>
          <w:p w14:paraId="2BF7A774"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ХВДП - като краткосрочна терапия</w:t>
            </w:r>
          </w:p>
        </w:tc>
        <w:tc>
          <w:tcPr>
            <w:tcW w:w="2552" w:type="dxa"/>
          </w:tcPr>
          <w:p w14:paraId="56DFDB37"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доказано ефективна</w:t>
            </w:r>
          </w:p>
        </w:tc>
        <w:tc>
          <w:tcPr>
            <w:tcW w:w="1842" w:type="dxa"/>
          </w:tcPr>
          <w:p w14:paraId="64E9B128"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клас I</w:t>
            </w:r>
          </w:p>
        </w:tc>
      </w:tr>
      <w:tr w:rsidR="00BE0B19" w:rsidRPr="00AE47C6" w14:paraId="774AC9C1" w14:textId="77777777" w:rsidTr="00AD72E5">
        <w:trPr>
          <w:trHeight w:val="100"/>
        </w:trPr>
        <w:tc>
          <w:tcPr>
            <w:tcW w:w="9356" w:type="dxa"/>
            <w:gridSpan w:val="3"/>
          </w:tcPr>
          <w:p w14:paraId="1414A6AC"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полиневропатия с моноклонална гамапатия от неопределена значимост</w:t>
            </w:r>
          </w:p>
        </w:tc>
      </w:tr>
      <w:tr w:rsidR="00BE0B19" w:rsidRPr="00AE47C6" w14:paraId="20368D2C" w14:textId="77777777" w:rsidTr="00AD72E5">
        <w:trPr>
          <w:trHeight w:val="100"/>
        </w:trPr>
        <w:tc>
          <w:tcPr>
            <w:tcW w:w="4962" w:type="dxa"/>
          </w:tcPr>
          <w:p w14:paraId="0B2AF6F0"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IgA/IgG</w:t>
            </w:r>
          </w:p>
        </w:tc>
        <w:tc>
          <w:tcPr>
            <w:tcW w:w="2552" w:type="dxa"/>
          </w:tcPr>
          <w:p w14:paraId="0A50188D"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вероятно ефективна</w:t>
            </w:r>
          </w:p>
        </w:tc>
        <w:tc>
          <w:tcPr>
            <w:tcW w:w="1842" w:type="dxa"/>
          </w:tcPr>
          <w:p w14:paraId="3DCA9803"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клас I</w:t>
            </w:r>
          </w:p>
        </w:tc>
      </w:tr>
      <w:tr w:rsidR="00BE0B19" w:rsidRPr="00AE47C6" w14:paraId="1A2F2198" w14:textId="77777777" w:rsidTr="00AD72E5">
        <w:trPr>
          <w:trHeight w:val="100"/>
        </w:trPr>
        <w:tc>
          <w:tcPr>
            <w:tcW w:w="4962" w:type="dxa"/>
          </w:tcPr>
          <w:p w14:paraId="67D2A1E8"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IgM</w:t>
            </w:r>
          </w:p>
        </w:tc>
        <w:tc>
          <w:tcPr>
            <w:tcW w:w="2552" w:type="dxa"/>
          </w:tcPr>
          <w:p w14:paraId="169A21B8"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вероятно неефективна</w:t>
            </w:r>
          </w:p>
        </w:tc>
        <w:tc>
          <w:tcPr>
            <w:tcW w:w="1842" w:type="dxa"/>
          </w:tcPr>
          <w:p w14:paraId="320C3A8E"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клас I</w:t>
            </w:r>
          </w:p>
        </w:tc>
      </w:tr>
      <w:tr w:rsidR="00BE0B19" w:rsidRPr="00AE47C6" w14:paraId="37B7F47B" w14:textId="77777777" w:rsidTr="00AD72E5">
        <w:trPr>
          <w:trHeight w:val="100"/>
        </w:trPr>
        <w:tc>
          <w:tcPr>
            <w:tcW w:w="9356" w:type="dxa"/>
            <w:gridSpan w:val="3"/>
          </w:tcPr>
          <w:p w14:paraId="1D288D0D" w14:textId="77777777" w:rsidR="00BE0B19" w:rsidRPr="00AE47C6" w:rsidRDefault="00BE0B19" w:rsidP="00BE0B19">
            <w:pPr>
              <w:autoSpaceDE w:val="0"/>
              <w:autoSpaceDN w:val="0"/>
              <w:adjustRightInd w:val="0"/>
              <w:spacing w:after="0" w:line="360" w:lineRule="auto"/>
              <w:jc w:val="both"/>
              <w:rPr>
                <w:rFonts w:ascii="Times New Roman" w:hAnsi="Times New Roman"/>
                <w:b/>
                <w:sz w:val="24"/>
                <w:szCs w:val="24"/>
              </w:rPr>
            </w:pPr>
            <w:r w:rsidRPr="00AE47C6">
              <w:rPr>
                <w:rFonts w:ascii="Times New Roman" w:hAnsi="Times New Roman"/>
                <w:b/>
                <w:sz w:val="24"/>
                <w:szCs w:val="24"/>
              </w:rPr>
              <w:t>myasthenia gravis</w:t>
            </w:r>
          </w:p>
        </w:tc>
      </w:tr>
      <w:tr w:rsidR="00BE0B19" w:rsidRPr="00AE47C6" w14:paraId="3A8DF921" w14:textId="77777777" w:rsidTr="00AD72E5">
        <w:trPr>
          <w:trHeight w:val="100"/>
        </w:trPr>
        <w:tc>
          <w:tcPr>
            <w:tcW w:w="4962" w:type="dxa"/>
          </w:tcPr>
          <w:p w14:paraId="272AD479"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предоперативна подготовка (тимектомия)</w:t>
            </w:r>
          </w:p>
        </w:tc>
        <w:tc>
          <w:tcPr>
            <w:tcW w:w="2552" w:type="dxa"/>
          </w:tcPr>
          <w:p w14:paraId="3125EBDE"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Липса на достатъчно доказателства</w:t>
            </w:r>
          </w:p>
        </w:tc>
        <w:tc>
          <w:tcPr>
            <w:tcW w:w="1842" w:type="dxa"/>
          </w:tcPr>
          <w:p w14:paraId="16D6692F"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клас III</w:t>
            </w:r>
          </w:p>
        </w:tc>
      </w:tr>
      <w:tr w:rsidR="00BE0B19" w:rsidRPr="00AE47C6" w14:paraId="69CDF9F3" w14:textId="77777777" w:rsidTr="00AD72E5">
        <w:trPr>
          <w:trHeight w:val="100"/>
        </w:trPr>
        <w:tc>
          <w:tcPr>
            <w:tcW w:w="4962" w:type="dxa"/>
          </w:tcPr>
          <w:p w14:paraId="739B44A5"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миастенна криза</w:t>
            </w:r>
          </w:p>
        </w:tc>
        <w:tc>
          <w:tcPr>
            <w:tcW w:w="2552" w:type="dxa"/>
          </w:tcPr>
          <w:p w14:paraId="26A57018"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Липса на достатъчно доказателства</w:t>
            </w:r>
          </w:p>
        </w:tc>
        <w:tc>
          <w:tcPr>
            <w:tcW w:w="1842" w:type="dxa"/>
          </w:tcPr>
          <w:p w14:paraId="33CA0FD4"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клас III</w:t>
            </w:r>
          </w:p>
        </w:tc>
      </w:tr>
      <w:tr w:rsidR="00BE0B19" w:rsidRPr="00AE47C6" w14:paraId="5933A0C8" w14:textId="77777777" w:rsidTr="00AD72E5">
        <w:trPr>
          <w:trHeight w:val="100"/>
        </w:trPr>
        <w:tc>
          <w:tcPr>
            <w:tcW w:w="4962" w:type="dxa"/>
          </w:tcPr>
          <w:p w14:paraId="1DFAD97D"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остри демиелинизиращи заболявания на ЦНС</w:t>
            </w:r>
          </w:p>
        </w:tc>
        <w:tc>
          <w:tcPr>
            <w:tcW w:w="2552" w:type="dxa"/>
          </w:tcPr>
          <w:p w14:paraId="3B764DB4"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възможно ефективна</w:t>
            </w:r>
          </w:p>
        </w:tc>
        <w:tc>
          <w:tcPr>
            <w:tcW w:w="1842" w:type="dxa"/>
          </w:tcPr>
          <w:p w14:paraId="448FBC32"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клас II</w:t>
            </w:r>
          </w:p>
        </w:tc>
      </w:tr>
      <w:tr w:rsidR="00BE0B19" w:rsidRPr="00AE47C6" w14:paraId="36156DA6" w14:textId="77777777" w:rsidTr="00AD72E5">
        <w:trPr>
          <w:trHeight w:val="100"/>
        </w:trPr>
        <w:tc>
          <w:tcPr>
            <w:tcW w:w="4962" w:type="dxa"/>
          </w:tcPr>
          <w:p w14:paraId="2CABF199"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първично- и вторично прогредиентна множествена склероза</w:t>
            </w:r>
          </w:p>
        </w:tc>
        <w:tc>
          <w:tcPr>
            <w:tcW w:w="2552" w:type="dxa"/>
          </w:tcPr>
          <w:p w14:paraId="5B60455C"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доказано неефективна</w:t>
            </w:r>
          </w:p>
        </w:tc>
        <w:tc>
          <w:tcPr>
            <w:tcW w:w="1842" w:type="dxa"/>
          </w:tcPr>
          <w:p w14:paraId="1751BEE7"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клас I</w:t>
            </w:r>
          </w:p>
        </w:tc>
      </w:tr>
      <w:tr w:rsidR="00BE0B19" w:rsidRPr="00AE47C6" w14:paraId="25A9E77D" w14:textId="77777777" w:rsidTr="00AD72E5">
        <w:trPr>
          <w:trHeight w:val="100"/>
        </w:trPr>
        <w:tc>
          <w:tcPr>
            <w:tcW w:w="4962" w:type="dxa"/>
          </w:tcPr>
          <w:p w14:paraId="6F1C48F3"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пристъпно-ремитентна  множествена склероза (пристъп)</w:t>
            </w:r>
          </w:p>
        </w:tc>
        <w:tc>
          <w:tcPr>
            <w:tcW w:w="2552" w:type="dxa"/>
          </w:tcPr>
          <w:p w14:paraId="2B2795B4"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вероятно ефективна</w:t>
            </w:r>
          </w:p>
        </w:tc>
        <w:tc>
          <w:tcPr>
            <w:tcW w:w="1842" w:type="dxa"/>
          </w:tcPr>
          <w:p w14:paraId="28A6E4F2"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клас I</w:t>
            </w:r>
          </w:p>
        </w:tc>
      </w:tr>
      <w:tr w:rsidR="00BE0B19" w:rsidRPr="00AE47C6" w14:paraId="64E429B5" w14:textId="77777777" w:rsidTr="00AD72E5">
        <w:trPr>
          <w:trHeight w:val="100"/>
        </w:trPr>
        <w:tc>
          <w:tcPr>
            <w:tcW w:w="4962" w:type="dxa"/>
          </w:tcPr>
          <w:p w14:paraId="02227C82"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хорея на Sydenham</w:t>
            </w:r>
          </w:p>
        </w:tc>
        <w:tc>
          <w:tcPr>
            <w:tcW w:w="2552" w:type="dxa"/>
          </w:tcPr>
          <w:p w14:paraId="000F2F64"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липса на достатъчно доказателства</w:t>
            </w:r>
          </w:p>
        </w:tc>
        <w:tc>
          <w:tcPr>
            <w:tcW w:w="1842" w:type="dxa"/>
          </w:tcPr>
          <w:p w14:paraId="6199D097"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клас III</w:t>
            </w:r>
          </w:p>
        </w:tc>
      </w:tr>
      <w:tr w:rsidR="00BE0B19" w:rsidRPr="00AE47C6" w14:paraId="542BBD24" w14:textId="77777777" w:rsidTr="00AD72E5">
        <w:trPr>
          <w:trHeight w:val="100"/>
        </w:trPr>
        <w:tc>
          <w:tcPr>
            <w:tcW w:w="4962" w:type="dxa"/>
          </w:tcPr>
          <w:p w14:paraId="2020F380"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остро настъпили обсесивно-компулсивно и тикови разстройства при PANDAS</w:t>
            </w:r>
          </w:p>
        </w:tc>
        <w:tc>
          <w:tcPr>
            <w:tcW w:w="2552" w:type="dxa"/>
          </w:tcPr>
          <w:p w14:paraId="2B2A3ACF"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липса на достатъчно доказателства</w:t>
            </w:r>
          </w:p>
        </w:tc>
        <w:tc>
          <w:tcPr>
            <w:tcW w:w="1842" w:type="dxa"/>
          </w:tcPr>
          <w:p w14:paraId="0E1EF1B7" w14:textId="77777777" w:rsidR="00BE0B19" w:rsidRPr="00AE47C6" w:rsidRDefault="00BE0B19" w:rsidP="00BE0B19">
            <w:pPr>
              <w:autoSpaceDE w:val="0"/>
              <w:autoSpaceDN w:val="0"/>
              <w:adjustRightInd w:val="0"/>
              <w:spacing w:after="0" w:line="360" w:lineRule="auto"/>
              <w:jc w:val="both"/>
              <w:rPr>
                <w:rFonts w:ascii="Times New Roman" w:hAnsi="Times New Roman"/>
                <w:sz w:val="24"/>
                <w:szCs w:val="24"/>
              </w:rPr>
            </w:pPr>
            <w:r w:rsidRPr="00AE47C6">
              <w:rPr>
                <w:rFonts w:ascii="Times New Roman" w:hAnsi="Times New Roman"/>
                <w:sz w:val="24"/>
                <w:szCs w:val="24"/>
              </w:rPr>
              <w:t>клас III</w:t>
            </w:r>
          </w:p>
        </w:tc>
      </w:tr>
    </w:tbl>
    <w:p w14:paraId="2D03E8BE" w14:textId="77777777" w:rsidR="00BE0B19" w:rsidRPr="00AE47C6" w:rsidRDefault="00BE0B19" w:rsidP="00BE0B19">
      <w:pPr>
        <w:spacing w:after="0" w:line="360" w:lineRule="auto"/>
        <w:ind w:firstLine="720"/>
        <w:jc w:val="both"/>
        <w:rPr>
          <w:rFonts w:ascii="Times New Roman" w:eastAsia="SimSun" w:hAnsi="Times New Roman"/>
          <w:b/>
          <w:sz w:val="24"/>
          <w:szCs w:val="24"/>
        </w:rPr>
      </w:pPr>
    </w:p>
    <w:p w14:paraId="0A0492A0" w14:textId="77777777" w:rsidR="00BE0B19" w:rsidRPr="00AE47C6" w:rsidRDefault="00BE0B19" w:rsidP="00BE0B19">
      <w:pPr>
        <w:spacing w:after="0" w:line="360" w:lineRule="auto"/>
        <w:ind w:firstLine="720"/>
        <w:contextualSpacing/>
        <w:jc w:val="both"/>
        <w:rPr>
          <w:rFonts w:ascii="Times New Roman" w:eastAsia="SimSun" w:hAnsi="Times New Roman"/>
          <w:b/>
          <w:sz w:val="24"/>
          <w:szCs w:val="24"/>
        </w:rPr>
      </w:pPr>
      <w:r w:rsidRPr="00AE47C6">
        <w:rPr>
          <w:rFonts w:ascii="Times New Roman" w:eastAsia="SimSun" w:hAnsi="Times New Roman"/>
          <w:b/>
          <w:sz w:val="24"/>
          <w:szCs w:val="24"/>
        </w:rPr>
        <w:br/>
      </w:r>
    </w:p>
    <w:p w14:paraId="6C79B02E" w14:textId="77777777" w:rsidR="00BE0B19" w:rsidRPr="00AE47C6" w:rsidRDefault="00BE0B19" w:rsidP="00BE0B19">
      <w:pPr>
        <w:spacing w:after="0" w:line="360" w:lineRule="auto"/>
        <w:ind w:firstLine="720"/>
        <w:jc w:val="both"/>
        <w:rPr>
          <w:rFonts w:ascii="Times New Roman" w:eastAsia="SimSun" w:hAnsi="Times New Roman"/>
          <w:b/>
          <w:sz w:val="24"/>
          <w:szCs w:val="24"/>
          <w:u w:val="single"/>
        </w:rPr>
      </w:pPr>
      <w:r w:rsidRPr="00AE47C6">
        <w:rPr>
          <w:rFonts w:ascii="Times New Roman" w:eastAsia="SimSun" w:hAnsi="Times New Roman"/>
          <w:b/>
          <w:sz w:val="24"/>
          <w:szCs w:val="24"/>
        </w:rPr>
        <w:br w:type="column"/>
      </w:r>
      <w:r w:rsidRPr="00AE47C6">
        <w:rPr>
          <w:rFonts w:ascii="Times New Roman" w:eastAsia="SimSun" w:hAnsi="Times New Roman"/>
          <w:b/>
          <w:sz w:val="24"/>
          <w:szCs w:val="24"/>
          <w:u w:val="single"/>
        </w:rPr>
        <w:t>Приложение 6.</w:t>
      </w:r>
    </w:p>
    <w:p w14:paraId="1368CD6C" w14:textId="77777777" w:rsidR="00BE0B19" w:rsidRPr="00AE47C6" w:rsidRDefault="00BE0B19" w:rsidP="00BE0B19">
      <w:pPr>
        <w:spacing w:after="0" w:line="360" w:lineRule="auto"/>
        <w:ind w:firstLine="720"/>
        <w:jc w:val="both"/>
        <w:rPr>
          <w:rFonts w:ascii="Times New Roman" w:eastAsia="SimSun" w:hAnsi="Times New Roman"/>
          <w:b/>
          <w:sz w:val="24"/>
          <w:szCs w:val="24"/>
        </w:rPr>
      </w:pPr>
      <w:r w:rsidRPr="00AE47C6">
        <w:rPr>
          <w:rFonts w:ascii="Times New Roman" w:eastAsia="SimSun" w:hAnsi="Times New Roman"/>
          <w:b/>
          <w:sz w:val="24"/>
          <w:szCs w:val="24"/>
        </w:rPr>
        <w:t xml:space="preserve">Сравняване на най-честите неврологични индикации за прилагането на терапевтична плазмафереза според ASFA, AAN, EFNS (Khalife N., </w:t>
      </w:r>
      <w:r w:rsidRPr="00AE47C6">
        <w:rPr>
          <w:rFonts w:ascii="Times New Roman" w:eastAsia="SimSun" w:hAnsi="Times New Roman"/>
          <w:sz w:val="24"/>
          <w:szCs w:val="24"/>
        </w:rPr>
        <w:t>2013</w:t>
      </w:r>
      <w:r w:rsidRPr="00AE47C6">
        <w:rPr>
          <w:rFonts w:ascii="Times New Roman" w:eastAsia="SimSun" w:hAnsi="Times New Roman"/>
          <w:b/>
          <w:sz w:val="24"/>
          <w:szCs w:val="24"/>
        </w:rPr>
        <w:t>)</w:t>
      </w:r>
    </w:p>
    <w:tbl>
      <w:tblPr>
        <w:tblStyle w:val="TableGrid2"/>
        <w:tblW w:w="9072" w:type="dxa"/>
        <w:tblInd w:w="-176" w:type="dxa"/>
        <w:tblLook w:val="04A0" w:firstRow="1" w:lastRow="0" w:firstColumn="1" w:lastColumn="0" w:noHBand="0" w:noVBand="1"/>
      </w:tblPr>
      <w:tblGrid>
        <w:gridCol w:w="2818"/>
        <w:gridCol w:w="2310"/>
        <w:gridCol w:w="2013"/>
        <w:gridCol w:w="1931"/>
      </w:tblGrid>
      <w:tr w:rsidR="00BE0B19" w:rsidRPr="00AE47C6" w14:paraId="317F9E5D" w14:textId="77777777" w:rsidTr="00AD72E5">
        <w:tc>
          <w:tcPr>
            <w:tcW w:w="3119" w:type="dxa"/>
          </w:tcPr>
          <w:p w14:paraId="369D73B0"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sz w:val="24"/>
                <w:szCs w:val="24"/>
              </w:rPr>
              <w:t>Заболяване</w:t>
            </w:r>
          </w:p>
        </w:tc>
        <w:tc>
          <w:tcPr>
            <w:tcW w:w="2552" w:type="dxa"/>
          </w:tcPr>
          <w:p w14:paraId="516BFD67"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sz w:val="24"/>
                <w:szCs w:val="24"/>
              </w:rPr>
              <w:t>ASFA 2013</w:t>
            </w:r>
          </w:p>
        </w:tc>
        <w:tc>
          <w:tcPr>
            <w:tcW w:w="2126" w:type="dxa"/>
          </w:tcPr>
          <w:p w14:paraId="36E549C9"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sz w:val="24"/>
                <w:szCs w:val="24"/>
              </w:rPr>
              <w:t>AAN 2011</w:t>
            </w:r>
          </w:p>
        </w:tc>
        <w:tc>
          <w:tcPr>
            <w:tcW w:w="2268" w:type="dxa"/>
          </w:tcPr>
          <w:p w14:paraId="154C770B" w14:textId="77777777" w:rsidR="00BE0B19" w:rsidRPr="00AE47C6" w:rsidRDefault="00BE0B19" w:rsidP="00BE0B19">
            <w:pPr>
              <w:spacing w:after="0" w:line="360" w:lineRule="auto"/>
              <w:jc w:val="both"/>
              <w:rPr>
                <w:rFonts w:ascii="Times New Roman" w:hAnsi="Times New Roman"/>
                <w:b/>
                <w:sz w:val="24"/>
                <w:szCs w:val="24"/>
              </w:rPr>
            </w:pPr>
            <w:r w:rsidRPr="00AE47C6">
              <w:rPr>
                <w:rFonts w:ascii="Times New Roman" w:hAnsi="Times New Roman"/>
                <w:b/>
                <w:sz w:val="24"/>
                <w:szCs w:val="24"/>
              </w:rPr>
              <w:t>EFNS 2012</w:t>
            </w:r>
          </w:p>
        </w:tc>
      </w:tr>
      <w:tr w:rsidR="00BE0B19" w:rsidRPr="00AE47C6" w14:paraId="66118D9D" w14:textId="77777777" w:rsidTr="00AD72E5">
        <w:tc>
          <w:tcPr>
            <w:tcW w:w="3119" w:type="dxa"/>
            <w:vAlign w:val="center"/>
          </w:tcPr>
          <w:p w14:paraId="07EB2690"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ОВДП/синдром на Guillain-Barré</w:t>
            </w:r>
          </w:p>
          <w:p w14:paraId="63330E72" w14:textId="77777777" w:rsidR="00BE0B19" w:rsidRPr="00AE47C6" w:rsidRDefault="00BE0B19" w:rsidP="00BE0B19">
            <w:pPr>
              <w:spacing w:after="0" w:line="360" w:lineRule="auto"/>
              <w:jc w:val="both"/>
              <w:rPr>
                <w:rFonts w:ascii="Times New Roman" w:hAnsi="Times New Roman"/>
                <w:sz w:val="24"/>
                <w:szCs w:val="24"/>
              </w:rPr>
            </w:pPr>
          </w:p>
        </w:tc>
        <w:tc>
          <w:tcPr>
            <w:tcW w:w="2552" w:type="dxa"/>
            <w:vAlign w:val="center"/>
          </w:tcPr>
          <w:p w14:paraId="38BE04BB"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категория I;</w:t>
            </w:r>
          </w:p>
          <w:p w14:paraId="6CC84130"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категория III – при приложение след IVIG</w:t>
            </w:r>
          </w:p>
          <w:p w14:paraId="5979C4AC" w14:textId="77777777" w:rsidR="00BE0B19" w:rsidRPr="00AE47C6" w:rsidRDefault="00BE0B19" w:rsidP="00BE0B19">
            <w:pPr>
              <w:spacing w:after="0" w:line="360" w:lineRule="auto"/>
              <w:jc w:val="both"/>
              <w:rPr>
                <w:rFonts w:ascii="Times New Roman" w:hAnsi="Times New Roman"/>
                <w:sz w:val="24"/>
                <w:szCs w:val="24"/>
              </w:rPr>
            </w:pPr>
          </w:p>
        </w:tc>
        <w:tc>
          <w:tcPr>
            <w:tcW w:w="2126" w:type="dxa"/>
            <w:vAlign w:val="center"/>
          </w:tcPr>
          <w:p w14:paraId="2F7AEC9A"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клас I</w:t>
            </w:r>
          </w:p>
        </w:tc>
        <w:tc>
          <w:tcPr>
            <w:tcW w:w="2268" w:type="dxa"/>
            <w:vAlign w:val="center"/>
          </w:tcPr>
          <w:p w14:paraId="19D39BED"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както при AAN</w:t>
            </w:r>
          </w:p>
        </w:tc>
      </w:tr>
      <w:tr w:rsidR="00BE0B19" w:rsidRPr="00AE47C6" w14:paraId="1AE0104D" w14:textId="77777777" w:rsidTr="00AD72E5">
        <w:tc>
          <w:tcPr>
            <w:tcW w:w="3119" w:type="dxa"/>
            <w:vAlign w:val="center"/>
          </w:tcPr>
          <w:p w14:paraId="4A72BAEB"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ХВДП</w:t>
            </w:r>
          </w:p>
        </w:tc>
        <w:tc>
          <w:tcPr>
            <w:tcW w:w="2552" w:type="dxa"/>
            <w:vAlign w:val="center"/>
          </w:tcPr>
          <w:p w14:paraId="2E799F04"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категория I</w:t>
            </w:r>
          </w:p>
        </w:tc>
        <w:tc>
          <w:tcPr>
            <w:tcW w:w="2126" w:type="dxa"/>
            <w:vAlign w:val="center"/>
          </w:tcPr>
          <w:p w14:paraId="0AD62789"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клас I</w:t>
            </w:r>
          </w:p>
        </w:tc>
        <w:tc>
          <w:tcPr>
            <w:tcW w:w="2268" w:type="dxa"/>
            <w:vAlign w:val="center"/>
          </w:tcPr>
          <w:p w14:paraId="54B76665" w14:textId="77777777" w:rsidR="00BE0B19" w:rsidRPr="00AE47C6" w:rsidRDefault="00BE0B19" w:rsidP="00BE0B19">
            <w:pPr>
              <w:spacing w:after="0" w:line="360" w:lineRule="auto"/>
              <w:contextualSpacing/>
              <w:jc w:val="both"/>
              <w:rPr>
                <w:rFonts w:ascii="Times New Roman" w:hAnsi="Times New Roman"/>
                <w:sz w:val="24"/>
                <w:szCs w:val="24"/>
              </w:rPr>
            </w:pPr>
            <w:r w:rsidRPr="00AE47C6">
              <w:rPr>
                <w:rFonts w:ascii="Times New Roman" w:hAnsi="Times New Roman"/>
                <w:sz w:val="24"/>
                <w:szCs w:val="24"/>
              </w:rPr>
              <w:t>както при AAN</w:t>
            </w:r>
          </w:p>
        </w:tc>
      </w:tr>
      <w:tr w:rsidR="00BE0B19" w:rsidRPr="00AE47C6" w14:paraId="3DB3B4B5" w14:textId="77777777" w:rsidTr="00AD72E5">
        <w:tc>
          <w:tcPr>
            <w:tcW w:w="3119" w:type="dxa"/>
            <w:vAlign w:val="center"/>
          </w:tcPr>
          <w:p w14:paraId="20DE2B1F" w14:textId="77777777" w:rsidR="00BE0B19" w:rsidRPr="00AE47C6" w:rsidRDefault="00BE0B19" w:rsidP="00BE0B19">
            <w:pPr>
              <w:spacing w:after="0" w:line="360" w:lineRule="auto"/>
              <w:contextualSpacing/>
              <w:jc w:val="both"/>
              <w:rPr>
                <w:rFonts w:ascii="Times New Roman" w:hAnsi="Times New Roman"/>
                <w:sz w:val="24"/>
                <w:szCs w:val="24"/>
              </w:rPr>
            </w:pPr>
            <w:r w:rsidRPr="00AE47C6">
              <w:rPr>
                <w:rFonts w:ascii="Times New Roman" w:hAnsi="Times New Roman"/>
                <w:sz w:val="24"/>
                <w:szCs w:val="24"/>
              </w:rPr>
              <w:t>myasthenia gravis</w:t>
            </w:r>
          </w:p>
        </w:tc>
        <w:tc>
          <w:tcPr>
            <w:tcW w:w="2552" w:type="dxa"/>
            <w:vAlign w:val="center"/>
          </w:tcPr>
          <w:p w14:paraId="0629133D" w14:textId="77777777" w:rsidR="00BE0B19" w:rsidRPr="00AE47C6" w:rsidRDefault="00BE0B19" w:rsidP="00BE0B19">
            <w:pPr>
              <w:spacing w:after="0" w:line="360" w:lineRule="auto"/>
              <w:contextualSpacing/>
              <w:jc w:val="both"/>
              <w:rPr>
                <w:rFonts w:ascii="Times New Roman" w:hAnsi="Times New Roman"/>
                <w:sz w:val="24"/>
                <w:szCs w:val="24"/>
              </w:rPr>
            </w:pPr>
            <w:r w:rsidRPr="00AE47C6">
              <w:rPr>
                <w:rFonts w:ascii="Times New Roman" w:hAnsi="Times New Roman"/>
                <w:sz w:val="24"/>
                <w:szCs w:val="24"/>
              </w:rPr>
              <w:t>категория I</w:t>
            </w:r>
          </w:p>
        </w:tc>
        <w:tc>
          <w:tcPr>
            <w:tcW w:w="2126" w:type="dxa"/>
            <w:vAlign w:val="center"/>
          </w:tcPr>
          <w:p w14:paraId="70D3CFDE" w14:textId="77777777" w:rsidR="00BE0B19" w:rsidRPr="00AE47C6" w:rsidRDefault="00BE0B19" w:rsidP="00BE0B19">
            <w:pPr>
              <w:spacing w:after="0" w:line="360" w:lineRule="auto"/>
              <w:contextualSpacing/>
              <w:jc w:val="both"/>
              <w:rPr>
                <w:rFonts w:ascii="Times New Roman" w:hAnsi="Times New Roman"/>
                <w:sz w:val="24"/>
                <w:szCs w:val="24"/>
              </w:rPr>
            </w:pPr>
            <w:r w:rsidRPr="00AE47C6">
              <w:rPr>
                <w:rFonts w:ascii="Times New Roman" w:hAnsi="Times New Roman"/>
                <w:sz w:val="24"/>
                <w:szCs w:val="24"/>
              </w:rPr>
              <w:t>липса на достатъчно доказателства</w:t>
            </w:r>
          </w:p>
        </w:tc>
        <w:tc>
          <w:tcPr>
            <w:tcW w:w="2268" w:type="dxa"/>
            <w:vAlign w:val="center"/>
          </w:tcPr>
          <w:p w14:paraId="08DA6725" w14:textId="77777777" w:rsidR="00BE0B19" w:rsidRPr="00AE47C6" w:rsidRDefault="00BE0B19" w:rsidP="00BE0B19">
            <w:pPr>
              <w:spacing w:after="0" w:line="360" w:lineRule="auto"/>
              <w:contextualSpacing/>
              <w:jc w:val="both"/>
              <w:rPr>
                <w:rFonts w:ascii="Times New Roman" w:hAnsi="Times New Roman"/>
                <w:sz w:val="24"/>
                <w:szCs w:val="24"/>
              </w:rPr>
            </w:pPr>
            <w:r w:rsidRPr="00AE47C6">
              <w:rPr>
                <w:rFonts w:ascii="Times New Roman" w:hAnsi="Times New Roman"/>
                <w:sz w:val="24"/>
                <w:szCs w:val="24"/>
              </w:rPr>
              <w:t>както при  AAN</w:t>
            </w:r>
          </w:p>
        </w:tc>
      </w:tr>
      <w:tr w:rsidR="00BE0B19" w:rsidRPr="00AE47C6" w14:paraId="7330A66F" w14:textId="77777777" w:rsidTr="00AD72E5">
        <w:tc>
          <w:tcPr>
            <w:tcW w:w="3119" w:type="dxa"/>
            <w:vAlign w:val="center"/>
          </w:tcPr>
          <w:p w14:paraId="32285B6C"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оптикомиелит на Devic</w:t>
            </w:r>
          </w:p>
        </w:tc>
        <w:tc>
          <w:tcPr>
            <w:tcW w:w="2552" w:type="dxa"/>
            <w:vAlign w:val="center"/>
          </w:tcPr>
          <w:p w14:paraId="514805A4"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категория II;</w:t>
            </w:r>
          </w:p>
          <w:p w14:paraId="530D4263"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категория III – като поддържаща терапия</w:t>
            </w:r>
          </w:p>
        </w:tc>
        <w:tc>
          <w:tcPr>
            <w:tcW w:w="2126" w:type="dxa"/>
            <w:vAlign w:val="center"/>
          </w:tcPr>
          <w:p w14:paraId="3EB8B9B0"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разглежда се заедно с пристъпно-ремитентна множествена склероза</w:t>
            </w:r>
          </w:p>
        </w:tc>
        <w:tc>
          <w:tcPr>
            <w:tcW w:w="2268" w:type="dxa"/>
            <w:vAlign w:val="center"/>
          </w:tcPr>
          <w:p w14:paraId="4FB87A17" w14:textId="77777777" w:rsidR="00BE0B19" w:rsidRPr="00AE47C6" w:rsidRDefault="00BE0B19" w:rsidP="00BE0B19">
            <w:pPr>
              <w:spacing w:after="0" w:line="360" w:lineRule="auto"/>
              <w:contextualSpacing/>
              <w:jc w:val="both"/>
              <w:rPr>
                <w:rFonts w:ascii="Times New Roman" w:hAnsi="Times New Roman"/>
                <w:sz w:val="24"/>
                <w:szCs w:val="24"/>
              </w:rPr>
            </w:pPr>
            <w:r w:rsidRPr="00AE47C6">
              <w:rPr>
                <w:rFonts w:ascii="Times New Roman" w:hAnsi="Times New Roman"/>
                <w:sz w:val="24"/>
                <w:szCs w:val="24"/>
              </w:rPr>
              <w:t>както при АAN</w:t>
            </w:r>
          </w:p>
        </w:tc>
      </w:tr>
      <w:tr w:rsidR="00BE0B19" w:rsidRPr="00AE47C6" w14:paraId="0977E101" w14:textId="77777777" w:rsidTr="00AD72E5">
        <w:tc>
          <w:tcPr>
            <w:tcW w:w="3119" w:type="dxa"/>
            <w:vAlign w:val="center"/>
          </w:tcPr>
          <w:p w14:paraId="2C6DE79D" w14:textId="77777777" w:rsidR="00BE0B19" w:rsidRPr="00AE47C6" w:rsidRDefault="00BE0B19" w:rsidP="00BE0B19">
            <w:pPr>
              <w:spacing w:after="0" w:line="360" w:lineRule="auto"/>
              <w:jc w:val="both"/>
              <w:rPr>
                <w:rFonts w:ascii="Times New Roman" w:hAnsi="Times New Roman"/>
                <w:sz w:val="24"/>
                <w:szCs w:val="24"/>
              </w:rPr>
            </w:pPr>
            <w:r w:rsidRPr="00AE47C6">
              <w:rPr>
                <w:rFonts w:ascii="Times New Roman" w:hAnsi="Times New Roman"/>
                <w:sz w:val="24"/>
                <w:szCs w:val="24"/>
              </w:rPr>
              <w:t>пристъпно-ремитентна множествена склероза – пристъп</w:t>
            </w:r>
          </w:p>
        </w:tc>
        <w:tc>
          <w:tcPr>
            <w:tcW w:w="2552" w:type="dxa"/>
            <w:vAlign w:val="center"/>
          </w:tcPr>
          <w:p w14:paraId="0F5B2C1C" w14:textId="77777777" w:rsidR="00BE0B19" w:rsidRPr="00AE47C6" w:rsidRDefault="00BE0B19" w:rsidP="00BE0B19">
            <w:pPr>
              <w:spacing w:after="0" w:line="360" w:lineRule="auto"/>
              <w:contextualSpacing/>
              <w:jc w:val="both"/>
              <w:rPr>
                <w:rFonts w:ascii="Times New Roman" w:hAnsi="Times New Roman"/>
                <w:sz w:val="24"/>
                <w:szCs w:val="24"/>
              </w:rPr>
            </w:pPr>
            <w:r w:rsidRPr="00AE47C6">
              <w:rPr>
                <w:rFonts w:ascii="Times New Roman" w:hAnsi="Times New Roman"/>
                <w:sz w:val="24"/>
                <w:szCs w:val="24"/>
              </w:rPr>
              <w:t>категория II</w:t>
            </w:r>
          </w:p>
        </w:tc>
        <w:tc>
          <w:tcPr>
            <w:tcW w:w="2126" w:type="dxa"/>
            <w:vAlign w:val="center"/>
          </w:tcPr>
          <w:p w14:paraId="37B7D8E2" w14:textId="77777777" w:rsidR="00BE0B19" w:rsidRPr="00AE47C6" w:rsidRDefault="00BE0B19" w:rsidP="00BE0B19">
            <w:pPr>
              <w:spacing w:after="0" w:line="360" w:lineRule="auto"/>
              <w:contextualSpacing/>
              <w:jc w:val="both"/>
              <w:rPr>
                <w:rFonts w:ascii="Times New Roman" w:hAnsi="Times New Roman"/>
                <w:sz w:val="24"/>
                <w:szCs w:val="24"/>
              </w:rPr>
            </w:pPr>
            <w:r w:rsidRPr="00AE47C6">
              <w:rPr>
                <w:rFonts w:ascii="Times New Roman" w:hAnsi="Times New Roman"/>
                <w:sz w:val="24"/>
                <w:szCs w:val="24"/>
              </w:rPr>
              <w:t>клас I</w:t>
            </w:r>
          </w:p>
        </w:tc>
        <w:tc>
          <w:tcPr>
            <w:tcW w:w="2268" w:type="dxa"/>
            <w:vAlign w:val="center"/>
          </w:tcPr>
          <w:p w14:paraId="23081E1C" w14:textId="77777777" w:rsidR="00BE0B19" w:rsidRPr="00AE47C6" w:rsidRDefault="00BE0B19" w:rsidP="00BE0B19">
            <w:pPr>
              <w:spacing w:after="0" w:line="360" w:lineRule="auto"/>
              <w:contextualSpacing/>
              <w:jc w:val="both"/>
              <w:rPr>
                <w:rFonts w:ascii="Times New Roman" w:hAnsi="Times New Roman"/>
                <w:sz w:val="24"/>
                <w:szCs w:val="24"/>
              </w:rPr>
            </w:pPr>
            <w:r w:rsidRPr="00AE47C6">
              <w:rPr>
                <w:rFonts w:ascii="Times New Roman" w:hAnsi="Times New Roman"/>
                <w:sz w:val="24"/>
                <w:szCs w:val="24"/>
              </w:rPr>
              <w:t>както при AAN</w:t>
            </w:r>
          </w:p>
        </w:tc>
      </w:tr>
    </w:tbl>
    <w:p w14:paraId="56FFAC1E" w14:textId="77777777" w:rsidR="00BE0B19" w:rsidRPr="00AE47C6" w:rsidRDefault="00BE0B19" w:rsidP="00BE0B19">
      <w:pPr>
        <w:widowControl w:val="0"/>
        <w:shd w:val="clear" w:color="auto" w:fill="FFFFFF"/>
        <w:autoSpaceDE w:val="0"/>
        <w:autoSpaceDN w:val="0"/>
        <w:adjustRightInd w:val="0"/>
        <w:spacing w:after="0" w:line="360" w:lineRule="auto"/>
        <w:jc w:val="both"/>
        <w:rPr>
          <w:rFonts w:ascii="Times New Roman" w:eastAsia="SimSun" w:hAnsi="Times New Roman"/>
          <w:sz w:val="24"/>
          <w:szCs w:val="24"/>
        </w:rPr>
      </w:pPr>
    </w:p>
    <w:p w14:paraId="297AE30D" w14:textId="77777777" w:rsidR="00BE0B19" w:rsidRPr="00AE47C6" w:rsidRDefault="00BE0B19" w:rsidP="00BE0B19">
      <w:pPr>
        <w:keepNext/>
        <w:keepLines/>
        <w:pageBreakBefore/>
        <w:spacing w:before="480" w:after="480"/>
        <w:outlineLvl w:val="0"/>
        <w:rPr>
          <w:rFonts w:ascii="Times New Roman" w:eastAsia="SimSun" w:hAnsi="Times New Roman"/>
          <w:b/>
          <w:bCs/>
          <w:sz w:val="28"/>
          <w:szCs w:val="28"/>
        </w:rPr>
      </w:pPr>
      <w:bookmarkStart w:id="296" w:name="_Toc155651827"/>
      <w:bookmarkStart w:id="297" w:name="_Toc164075961"/>
      <w:r w:rsidRPr="00AE47C6">
        <w:rPr>
          <w:rFonts w:ascii="Times New Roman" w:eastAsia="SimSun" w:hAnsi="Times New Roman"/>
          <w:b/>
          <w:bCs/>
          <w:sz w:val="28"/>
          <w:szCs w:val="28"/>
        </w:rPr>
        <w:t>16. Диагностика и лечение на разстройствата на съня и бодърстването</w:t>
      </w:r>
      <w:bookmarkEnd w:id="296"/>
      <w:bookmarkEnd w:id="297"/>
    </w:p>
    <w:p w14:paraId="6A652FA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Сънят е променено състояние на съзнанието, настъпващо естествено и през определени интервали от време, което заедно с будността оформя структурата на циркадния ритъм. По време на съня е значително намален отговорът към външни стимули, волевите движения са потиснати. Отчитат се промени в мозъчната активност, телесната температура, както и в нивата на някои хормони. </w:t>
      </w:r>
    </w:p>
    <w:p w14:paraId="46E11F6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 xml:space="preserve">Архитектура на съня. </w:t>
      </w:r>
      <w:r w:rsidRPr="00AE47C6">
        <w:rPr>
          <w:rFonts w:ascii="Times New Roman" w:eastAsia="SimSun" w:hAnsi="Times New Roman"/>
          <w:sz w:val="24"/>
          <w:szCs w:val="24"/>
        </w:rPr>
        <w:t>По време на сън настъпват няколко електрофизиологично отграничими стадии, повтарящи се в цикли. Продължителността на съня е 6-8 часа, като за  този период се отчитат 4-6 цикъла с продължителност на всеки 90-110 минути. Във всеки цикъл са застъпени  в различно процентно разпределение двата основни вида сън:</w:t>
      </w:r>
    </w:p>
    <w:p w14:paraId="457DE205"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1. Не-REM сън</w:t>
      </w:r>
      <w:r w:rsidRPr="00AE47C6">
        <w:rPr>
          <w:rFonts w:ascii="Times New Roman" w:eastAsia="SimSun" w:hAnsi="Times New Roman"/>
          <w:sz w:val="24"/>
          <w:szCs w:val="24"/>
        </w:rPr>
        <w:t xml:space="preserve"> – разделя се на четири стадия: I стадий е най-повърхностен, човек може да бъде лесно разбуден. Заема 2-5% от общата продължителност на съня. II стадий е най-продължителен (45-55%), сънят е по-дълбок, в ЕЕГ се появяват характерни К-комплекси и сънни вретена. III и IV стадии са най-дълбоките, заемат 5-15% от съня и обхващат най-вече първата част на нощта. Реактивността на индивида към екзогенни стимули е значително намалена. В I стадий очните движения са бавни, докато в останалите стадии (II, III и IV) те липсват частично или изцяло. Мускулният тонус намалява постепенно, като в III и IV стадий той е най-нисък. В ЕЕГ се открива бавновълнова активност от тета вълни (4-7 Hz), а в дълбоките стадии – от високоамплитудни делта вълни (0,5-3 Hz).  </w:t>
      </w:r>
    </w:p>
    <w:p w14:paraId="0954B77B" w14:textId="77777777" w:rsidR="00BE0B19" w:rsidRPr="00AE47C6" w:rsidRDefault="00BE0B19" w:rsidP="00BE0B19">
      <w:pPr>
        <w:spacing w:after="0" w:line="360" w:lineRule="auto"/>
        <w:ind w:firstLine="709"/>
        <w:jc w:val="both"/>
        <w:rPr>
          <w:rFonts w:ascii="Times New Roman" w:eastAsia="SimSun" w:hAnsi="Times New Roman"/>
          <w:i/>
          <w:sz w:val="24"/>
          <w:szCs w:val="24"/>
        </w:rPr>
      </w:pPr>
      <w:r w:rsidRPr="00AE47C6">
        <w:rPr>
          <w:rFonts w:ascii="Times New Roman" w:eastAsia="SimSun" w:hAnsi="Times New Roman"/>
          <w:i/>
          <w:sz w:val="24"/>
          <w:szCs w:val="24"/>
        </w:rPr>
        <w:t>2. REM сън</w:t>
      </w:r>
      <w:r w:rsidRPr="00AE47C6">
        <w:rPr>
          <w:rFonts w:ascii="Times New Roman" w:eastAsia="SimSun" w:hAnsi="Times New Roman"/>
          <w:sz w:val="24"/>
          <w:szCs w:val="24"/>
        </w:rPr>
        <w:t xml:space="preserve"> – свързан е с бързи очни движения (Rapid Eye Movements), заема 20-25% от съня и количествено е застъпен повече във втората част на съня. Отчита се пълна мускулна атония, в ЕЕГ - нискоамплитудна смесена активност, подобна на тази по време на будност. Съновиденията се образуват основно по време на REM фазата на съня.</w:t>
      </w:r>
    </w:p>
    <w:p w14:paraId="120F9F1C"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Златен стандарт в изследването на съня е полисомнографията. Включва регистрация на мозъчната активност посредством ЕЕГ, отчитане на очните движения (електроокулография), мускулния тонус, дихателните усилия, позицията на тялото, сърдечната честота, както и сатурацията с кислород. Допълнително може да бъде включен микрофон за отчитане на хъркане, както и датчици за регистрация на движения на крайниците. Включването на синхронизирано видеонаблюдение към полисомнографския запис подобрява диагностичната стойност на изследването. Други изследвания са лимитираната полиграфия и тестът за многократно изследване на латенцията на заспиване.</w:t>
      </w:r>
    </w:p>
    <w:p w14:paraId="7C57BC33" w14:textId="77777777" w:rsidR="00BE0B19" w:rsidRPr="00AE47C6" w:rsidRDefault="00BE0B19" w:rsidP="00BE0B19">
      <w:pPr>
        <w:spacing w:after="0" w:line="360" w:lineRule="auto"/>
        <w:ind w:firstLine="709"/>
        <w:jc w:val="both"/>
        <w:rPr>
          <w:rFonts w:ascii="Times New Roman" w:eastAsia="SimSun" w:hAnsi="Times New Roman"/>
          <w:b/>
          <w:sz w:val="24"/>
          <w:szCs w:val="24"/>
        </w:rPr>
      </w:pPr>
    </w:p>
    <w:p w14:paraId="4CDBF839"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 xml:space="preserve">Класификация на нарушенията на съня. </w:t>
      </w:r>
      <w:r w:rsidRPr="00AE47C6">
        <w:rPr>
          <w:rFonts w:ascii="Times New Roman" w:eastAsia="SimSun" w:hAnsi="Times New Roman"/>
          <w:color w:val="000000"/>
          <w:sz w:val="24"/>
          <w:szCs w:val="24"/>
        </w:rPr>
        <w:t>Международната класификация за разстройствата на съня (The International Classification of Sleep Disorders, ICSD) е най-широко използваната в света, като третото и издание включва седем основни категории заболявания и е по-практически насочено от предходните издания (ICSD-3):</w:t>
      </w:r>
    </w:p>
    <w:p w14:paraId="2DCE7AC0" w14:textId="77777777" w:rsidR="00BE0B19" w:rsidRPr="00AE47C6" w:rsidRDefault="00BE0B19" w:rsidP="00BE0B19">
      <w:pPr>
        <w:tabs>
          <w:tab w:val="left" w:pos="720"/>
          <w:tab w:val="left" w:pos="1276"/>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Инсомнии/безсъния</w:t>
      </w:r>
    </w:p>
    <w:p w14:paraId="6547DBA2" w14:textId="77777777" w:rsidR="00BE0B19" w:rsidRPr="00AE47C6" w:rsidRDefault="00BE0B19" w:rsidP="00BE0B19">
      <w:pPr>
        <w:tabs>
          <w:tab w:val="left" w:pos="720"/>
          <w:tab w:val="left" w:pos="1276"/>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Нарушения на дишането по време на сън</w:t>
      </w:r>
    </w:p>
    <w:p w14:paraId="10C1C56C" w14:textId="77777777" w:rsidR="00BE0B19" w:rsidRPr="00AE47C6" w:rsidRDefault="00BE0B19" w:rsidP="00BE0B19">
      <w:pPr>
        <w:tabs>
          <w:tab w:val="left" w:pos="720"/>
          <w:tab w:val="left" w:pos="1276"/>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Централни нарушения с хиперсомния/хиперсомнолентност</w:t>
      </w:r>
    </w:p>
    <w:p w14:paraId="74BF8577" w14:textId="77777777" w:rsidR="00BE0B19" w:rsidRPr="00AE47C6" w:rsidRDefault="00BE0B19" w:rsidP="00BE0B19">
      <w:pPr>
        <w:tabs>
          <w:tab w:val="left" w:pos="720"/>
          <w:tab w:val="left" w:pos="1276"/>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Нарушения на циркадния ритъм</w:t>
      </w:r>
    </w:p>
    <w:p w14:paraId="72702023" w14:textId="77777777" w:rsidR="00BE0B19" w:rsidRPr="00AE47C6" w:rsidRDefault="00BE0B19" w:rsidP="00BE0B19">
      <w:pPr>
        <w:tabs>
          <w:tab w:val="left" w:pos="720"/>
          <w:tab w:val="left" w:pos="1276"/>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Парасомнии</w:t>
      </w:r>
    </w:p>
    <w:p w14:paraId="528DCCEF" w14:textId="77777777" w:rsidR="00BE0B19" w:rsidRPr="00AE47C6" w:rsidRDefault="00BE0B19" w:rsidP="00BE0B19">
      <w:pPr>
        <w:tabs>
          <w:tab w:val="left" w:pos="720"/>
          <w:tab w:val="left" w:pos="1276"/>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●Двигателни нарушения по време на сън</w:t>
      </w:r>
    </w:p>
    <w:p w14:paraId="24FBCE28" w14:textId="77777777" w:rsidR="00BE0B19" w:rsidRPr="00AE47C6" w:rsidRDefault="00BE0B19" w:rsidP="00BE0B19">
      <w:pPr>
        <w:tabs>
          <w:tab w:val="left" w:pos="720"/>
          <w:tab w:val="left" w:pos="1276"/>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Други нарушения на съня</w:t>
      </w:r>
    </w:p>
    <w:p w14:paraId="6B20AC7F"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ICSD-3 включва 60 специфични диагнози в рамките на седемте основни категории, както и допълнение за класификация на нарушенията на съня свързани с вътрешни и неврологични заболявания. Педиатричните диагнози не се различават от тези при възрастни с изключение на нарушенията на дишането по време на сън. </w:t>
      </w:r>
    </w:p>
    <w:p w14:paraId="5F86676A" w14:textId="77777777" w:rsidR="00BE0B19" w:rsidRPr="00AE47C6" w:rsidRDefault="00BE0B19" w:rsidP="00BE0B19">
      <w:pPr>
        <w:spacing w:after="0" w:line="360" w:lineRule="auto"/>
        <w:jc w:val="both"/>
        <w:rPr>
          <w:rFonts w:ascii="Times New Roman" w:eastAsia="SimSun" w:hAnsi="Times New Roman"/>
          <w:sz w:val="24"/>
          <w:szCs w:val="24"/>
        </w:rPr>
      </w:pPr>
      <w:bookmarkStart w:id="298" w:name="H4"/>
      <w:bookmarkEnd w:id="298"/>
      <w:r w:rsidRPr="00AE47C6">
        <w:rPr>
          <w:rFonts w:ascii="Times New Roman" w:eastAsia="SimSun" w:hAnsi="Times New Roman"/>
          <w:b/>
          <w:bCs/>
          <w:color w:val="000000"/>
          <w:sz w:val="24"/>
          <w:szCs w:val="24"/>
        </w:rPr>
        <w:t xml:space="preserve">16.1.Инсомнии. </w:t>
      </w:r>
      <w:r w:rsidRPr="00AE47C6">
        <w:rPr>
          <w:rFonts w:ascii="Times New Roman" w:eastAsia="SimSun" w:hAnsi="Times New Roman"/>
          <w:color w:val="000000"/>
          <w:sz w:val="24"/>
          <w:szCs w:val="24"/>
        </w:rPr>
        <w:t xml:space="preserve"> </w:t>
      </w:r>
      <w:r w:rsidRPr="00AE47C6">
        <w:rPr>
          <w:rFonts w:ascii="Times New Roman" w:eastAsia="SimSun" w:hAnsi="Times New Roman"/>
          <w:sz w:val="24"/>
          <w:szCs w:val="24"/>
        </w:rPr>
        <w:t>Характеризират се с: трудно заспиване, включително и трудно намиране на комфортна позиция на спане, събуждане през нощта, невъзможност за повторно заспиване и поддържане на съня и чувство за неободреност при събуждане. Вторично се констатират дневна сънливост, тревожност и раздразнителност.</w:t>
      </w:r>
      <w:r w:rsidRPr="00AE47C6">
        <w:rPr>
          <w:rFonts w:ascii="Times New Roman" w:eastAsia="SimSun" w:hAnsi="Times New Roman"/>
          <w:i/>
          <w:sz w:val="24"/>
          <w:szCs w:val="24"/>
        </w:rPr>
        <w:t xml:space="preserve"> </w:t>
      </w:r>
      <w:r w:rsidRPr="00AE47C6">
        <w:rPr>
          <w:rFonts w:ascii="Times New Roman" w:eastAsia="SimSun" w:hAnsi="Times New Roman"/>
          <w:sz w:val="24"/>
          <w:szCs w:val="24"/>
        </w:rPr>
        <w:t>Безсънието се среща в някой период от живота при около 60% от хората, като с напредването на възрастта неговата честота нараства. При около 25% оплакванията от безсъние са хронични. В класификацията на инсомнията като основен критерий най-често се приема времевата рамка на симптомите.</w:t>
      </w:r>
    </w:p>
    <w:p w14:paraId="423A4146"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Диагностицира се посредством подробна анамнеза, въпросници и скали за оценка на качеството на съня и актиграфия (уред с формата на ръчен часовник, който отчита активността на пациента в рамките на едно или повече денонощия), дневници на съня и полисомнография. Много от разстройствата на съня могат да имитират безсъние, поради което познаването им е от изключителна важност (табл. 16.1). Някои вътрешни и неврологични заболявания също предизвикват безсъние и други нарушения на съня (табл.16. 2). Трябва да се имат предвид и ефектите на предписаните за други заболявания медикаменти (табл.16. 3). Полисомнографското изследване не е задължително при убедителни данни за инсомния. </w:t>
      </w:r>
    </w:p>
    <w:p w14:paraId="4FE6E642" w14:textId="77777777" w:rsidR="00BE0B19" w:rsidRPr="00AE47C6" w:rsidRDefault="00BE0B19" w:rsidP="00BE0B19">
      <w:pPr>
        <w:spacing w:after="0" w:line="360" w:lineRule="auto"/>
        <w:ind w:firstLine="709"/>
        <w:jc w:val="both"/>
        <w:rPr>
          <w:rFonts w:ascii="Times New Roman" w:eastAsia="SimSun" w:hAnsi="Times New Roman"/>
          <w:sz w:val="20"/>
          <w:szCs w:val="20"/>
        </w:rPr>
      </w:pPr>
      <w:r w:rsidRPr="00AE47C6">
        <w:rPr>
          <w:rFonts w:ascii="Times New Roman" w:eastAsia="SimSun" w:hAnsi="Times New Roman"/>
          <w:color w:val="000000"/>
          <w:sz w:val="24"/>
          <w:szCs w:val="24"/>
        </w:rPr>
        <w:t>ICSD-3 определя три основни вида инсомния: краткосрочна инсомния, хронична инсомния и друга инсомния (когато пациентът има симптоми на инсомния, но не покрива критериите за първите два вида). Предходните класификации разделяха хроничните инсомнии на първични и коморбидни, което отпада в последната класификация, тъй като не подобрява точността на диагнозата</w:t>
      </w:r>
      <w:r w:rsidRPr="00AE47C6">
        <w:rPr>
          <w:rFonts w:ascii="Times New Roman" w:eastAsia="SimSun" w:hAnsi="Times New Roman"/>
          <w:color w:val="000000"/>
          <w:sz w:val="20"/>
          <w:szCs w:val="20"/>
        </w:rPr>
        <w:t>.</w:t>
      </w:r>
    </w:p>
    <w:p w14:paraId="681C44EC"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bookmarkStart w:id="299" w:name="H618724394"/>
      <w:bookmarkEnd w:id="299"/>
      <w:r w:rsidRPr="00AE47C6">
        <w:rPr>
          <w:rFonts w:ascii="Times New Roman" w:eastAsia="SimSun" w:hAnsi="Times New Roman"/>
          <w:i/>
          <w:color w:val="000000"/>
          <w:sz w:val="24"/>
          <w:szCs w:val="24"/>
          <w:lang w:eastAsia="bg-BG"/>
        </w:rPr>
        <w:t xml:space="preserve">Хронична инсомния </w:t>
      </w:r>
      <w:r w:rsidRPr="00AE47C6">
        <w:rPr>
          <w:rFonts w:ascii="Times New Roman" w:eastAsia="SimSun" w:hAnsi="Times New Roman"/>
          <w:color w:val="000000"/>
          <w:sz w:val="24"/>
          <w:szCs w:val="24"/>
          <w:lang w:eastAsia="bg-BG"/>
        </w:rPr>
        <w:t>- ICSD-3 обобщава всички диагнози на хронични инсомнии в едно заболяване – хронична инсомния. За поставяне на диагноза хронична инсомния е необходимо да бъдат регистрирани проблеми при заспиването (инициация на съня) и поддържането на съня, при оптимални условия за сън и дневни последствия в резултата на симптомите на инсомнията. Диагностичните критерии за хронична инсомния включват нарушение на съня за минимум три дни в седмицата в продължение на период от три месеца. Инсомнията е част от много психиатрични и вътрешни заболявания и поради това като самостоятелна болестна единица следва да се приема само ако много силно изразена и изисква допълнителни изследвания и лечение.</w:t>
      </w:r>
    </w:p>
    <w:p w14:paraId="1F8CEE7F"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bookmarkStart w:id="300" w:name="H804552111"/>
      <w:bookmarkEnd w:id="300"/>
      <w:r w:rsidRPr="00AE47C6">
        <w:rPr>
          <w:rFonts w:ascii="Times New Roman" w:eastAsia="SimSun" w:hAnsi="Times New Roman"/>
          <w:i/>
          <w:color w:val="000000"/>
          <w:sz w:val="24"/>
          <w:szCs w:val="24"/>
          <w:lang w:eastAsia="bg-BG"/>
        </w:rPr>
        <w:t>Краткосрочна инсомния</w:t>
      </w:r>
      <w:r w:rsidRPr="00AE47C6">
        <w:rPr>
          <w:rFonts w:ascii="Times New Roman" w:eastAsia="SimSun" w:hAnsi="Times New Roman"/>
          <w:color w:val="000000"/>
          <w:sz w:val="24"/>
          <w:szCs w:val="24"/>
          <w:lang w:eastAsia="bg-BG"/>
        </w:rPr>
        <w:t> - Диагнозата на краткосрочната инсомния е според критериите за хронична, но при проява на симптомите под три месеца. Развива се често временно във връзка със значителен стресов фактор. За да се постави диагнозата, инсомнията трябва да е от изключително самостоятелно значение за болния и да изисква отделно клинично внимание. Този вид инсомния често се подобрява след изчезване на стреса или когато пациентът развие механизми за справяне с него. Въпреки това в някои случаи заболяването може да стане хронично.</w:t>
      </w:r>
    </w:p>
    <w:p w14:paraId="7CA6530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b/>
          <w:sz w:val="24"/>
          <w:szCs w:val="24"/>
        </w:rPr>
        <w:t>Лечението</w:t>
      </w:r>
      <w:r w:rsidRPr="00AE47C6">
        <w:rPr>
          <w:rFonts w:ascii="Times New Roman" w:eastAsia="SimSun" w:hAnsi="Times New Roman"/>
          <w:sz w:val="24"/>
          <w:szCs w:val="24"/>
        </w:rPr>
        <w:t xml:space="preserve"> трябва да бъде индивидуализирано и ориентирано към вида на инсомнията. При краткосрочни инсомнии е показана фармакотерапия, а при хроничните превес взема когнитивно-поведенческата терапия. Последната не трябва да се подценява и следва да се опитва дори в началото на заболяването. При съмнение за заболявания, които имитират инсомния, същите трябва да се диагностицират внимателно. Целите на терапията са да се скъси латенцията на заспиване, да се увеличи общото време на съня, да се намалят събужданията и да се подобри ефективността и качеството на съня. Това би следвало да доведе и до отшумяване на дневните симптоми на безсънието, като ефектите следва да са постоянни във времето. Диагностиката и лечението на инсомниите най-често се провежда в амбулаторни условия. В някои случаи обаче инсомнията се подобрява в болнични условия и това е свързано с промяна на условията и навиците на сън.</w:t>
      </w:r>
    </w:p>
    <w:p w14:paraId="13CC2C08"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Фармакологична терапия.</w:t>
      </w:r>
      <w:r w:rsidRPr="00AE47C6">
        <w:rPr>
          <w:rFonts w:ascii="Times New Roman" w:eastAsia="SimSun" w:hAnsi="Times New Roman"/>
          <w:sz w:val="24"/>
          <w:szCs w:val="24"/>
        </w:rPr>
        <w:t xml:space="preserve"> Фармакологичната терапия се препоръчва за краткосрочно лечение. Съществува голям набор от медикаменти - бензодиазепини, бензодиазепин-рецепторни агонисти, седиращи антидепресанти, антихистамини, мелатонин и неговите агонисти, орексин-рецепторни антагонисти (табл. 3). Бензодиазепините и бензодиазепин-рецепторните агонисти се делят на такива с кратко, средно и дълго действие, като един от тях може да бъде избран според индивидуалните нужди на пациента. Най-общо при проблеми със заспиването е подходящ медикамент с кратко действие, при такива с поддържане на съня - интермедиерни, а при лица с ранно събуждане - медикаменти с продължителен ефект. Последните две групи обаче могат да имат остатъчни ефекти на следващия ден. Тази група медикаменти имат малко ефекти върху сърдечно-съдовата система и могат лесно да се комбинират, но негативни техни ефекти са такива върху паметта, атаксия, склонност към падания, привикване и феномени на отнемане. </w:t>
      </w:r>
    </w:p>
    <w:p w14:paraId="1AC1E562"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Друга група медикаменти са мелатонин и мелатонин рецепторните агонисти. За сънотворния ефект на мелатонин липсват убедителни доказателства в литературата. Мелатонин рецепторните агонисти </w:t>
      </w:r>
      <w:r w:rsidRPr="00AE47C6">
        <w:rPr>
          <w:rFonts w:ascii="Times New Roman" w:eastAsia="SimSun" w:hAnsi="Times New Roman"/>
          <w:i/>
          <w:sz w:val="24"/>
          <w:szCs w:val="24"/>
        </w:rPr>
        <w:t>Remelteon</w:t>
      </w:r>
      <w:r w:rsidRPr="00AE47C6">
        <w:rPr>
          <w:rFonts w:ascii="Times New Roman" w:eastAsia="SimSun" w:hAnsi="Times New Roman"/>
          <w:sz w:val="24"/>
          <w:szCs w:val="24"/>
        </w:rPr>
        <w:t xml:space="preserve"> (в доза 8-24 mg) и </w:t>
      </w:r>
      <w:r w:rsidRPr="00AE47C6">
        <w:rPr>
          <w:rFonts w:ascii="Times New Roman" w:eastAsia="SimSun" w:hAnsi="Times New Roman"/>
          <w:i/>
          <w:sz w:val="24"/>
          <w:szCs w:val="24"/>
        </w:rPr>
        <w:t>Agomelatin</w:t>
      </w:r>
      <w:r w:rsidRPr="00AE47C6">
        <w:rPr>
          <w:rFonts w:ascii="Times New Roman" w:eastAsia="SimSun" w:hAnsi="Times New Roman"/>
          <w:sz w:val="24"/>
          <w:szCs w:val="24"/>
        </w:rPr>
        <w:t>e (25-50 mg) имат умерени ефекти върху заспиването при минимални странични ефекти и пренесени ефекти на следващия ден, поради краткия си полуживот.</w:t>
      </w:r>
    </w:p>
    <w:p w14:paraId="1B89961A"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Седиращите антидепресанти - трициклични, </w:t>
      </w:r>
      <w:r w:rsidRPr="00AE47C6">
        <w:rPr>
          <w:rFonts w:ascii="Times New Roman" w:eastAsia="SimSun" w:hAnsi="Times New Roman"/>
          <w:i/>
          <w:sz w:val="24"/>
          <w:szCs w:val="24"/>
        </w:rPr>
        <w:t>Trazodone</w:t>
      </w:r>
      <w:r w:rsidRPr="00AE47C6">
        <w:rPr>
          <w:rFonts w:ascii="Times New Roman" w:eastAsia="SimSun" w:hAnsi="Times New Roman"/>
          <w:sz w:val="24"/>
          <w:szCs w:val="24"/>
        </w:rPr>
        <w:t xml:space="preserve"> и </w:t>
      </w:r>
      <w:r w:rsidRPr="00AE47C6">
        <w:rPr>
          <w:rFonts w:ascii="Times New Roman" w:eastAsia="SimSun" w:hAnsi="Times New Roman"/>
          <w:i/>
          <w:sz w:val="24"/>
          <w:szCs w:val="24"/>
        </w:rPr>
        <w:t>Mirtazapine</w:t>
      </w:r>
      <w:r w:rsidRPr="00AE47C6">
        <w:rPr>
          <w:rFonts w:ascii="Times New Roman" w:eastAsia="SimSun" w:hAnsi="Times New Roman"/>
          <w:sz w:val="24"/>
          <w:szCs w:val="24"/>
        </w:rPr>
        <w:t>, могат да се използват особено при наличие на коморбидна психиатрична симптоматика и при наличие на странични ефекти от бензодиазепините. Данните за тяхната ефективност за лечение на инсомния все още са недостатъчни.</w:t>
      </w:r>
    </w:p>
    <w:p w14:paraId="08503173"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За употребата на антихистаминовите препарати като сънотворни данните в литературата са ограничени. За сметка на това те често се продават и употребяват за самолечение като медикаменти без рецепта. </w:t>
      </w:r>
    </w:p>
    <w:p w14:paraId="0785BFA1"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 xml:space="preserve">Антипсихотичните медикаменти също се употребяват често за лечение на инсомния - например </w:t>
      </w:r>
      <w:r w:rsidRPr="00AE47C6">
        <w:rPr>
          <w:rFonts w:ascii="Times New Roman" w:eastAsia="SimSun" w:hAnsi="Times New Roman"/>
          <w:i/>
          <w:sz w:val="24"/>
          <w:szCs w:val="24"/>
        </w:rPr>
        <w:t>Chlorpromazine, Clozapine, Olanzapine и Quetiapine</w:t>
      </w:r>
      <w:r w:rsidRPr="00AE47C6">
        <w:rPr>
          <w:rFonts w:ascii="Times New Roman" w:eastAsia="SimSun" w:hAnsi="Times New Roman"/>
          <w:sz w:val="24"/>
          <w:szCs w:val="24"/>
        </w:rPr>
        <w:t>. За това лечение те се използват извън показанията си и трябва да се имат предвид страничните им ефекти като метаболитен синдром и екстрапирамидните нарушения.</w:t>
      </w:r>
    </w:p>
    <w:p w14:paraId="31153577"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Фармакологичната терапия на инсомнията следва да бъде краткотрайна, но често се налага по-продължителното и прилагане. В литературата има данни за приложение до 6 месеца на бензодиазепин-рецепторните агонисти, без настъпване на странични явления и необходимост от повишаване на дозата. Това е особено уместно тогава, когато липсват специалисти с насоченост да провеждат когнитивно-поведенческа терапия. Като цяло данните от литературата за инсомния са далеч от силата на големи рандомизирани проучвания и препоръките са често консенсусни.</w:t>
      </w:r>
    </w:p>
    <w:p w14:paraId="15B0F5FE"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Фармакологичната терапия се прилага за възможно най-кратък срок и по възможност интермитентно. При възвръщане на оплакванията може да бъде опитан още един курс фармакотерапия. С особено внимание фармакотерапията трябва да се прилага при по-възрастни пациенти, поради наличието на паметови ефекти и засилен риск от падане.</w:t>
      </w:r>
    </w:p>
    <w:p w14:paraId="40D9C9FF"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i/>
          <w:sz w:val="24"/>
          <w:szCs w:val="24"/>
        </w:rPr>
        <w:t>Нефармакологична терапия.</w:t>
      </w:r>
      <w:r w:rsidRPr="00AE47C6">
        <w:rPr>
          <w:rFonts w:ascii="Times New Roman" w:eastAsia="SimSun" w:hAnsi="Times New Roman"/>
          <w:sz w:val="24"/>
          <w:szCs w:val="24"/>
        </w:rPr>
        <w:t xml:space="preserve"> Когнитивно-поведенческата терапия (КПТ) е с водещо значение за лечение на хронична инсомния. Тя е многокомпонентна и включва обучение на пациента относно физиологията и хигиената на съня, разясняване на погрешните навици и вярвания, разясняване на контрол на външните стимули по време на сън, метод на рестрикция на съня и релаксационни техники. Целта на този вид терапии е да намалят състоянието на свръхбудност при болните с инсомния, като за всеки отделен случай са подходящи определени видове терапии. Провеждането и е трудоемко и за постигане на ефект е необходимо повече време, но съществуват данни от литературата, че този вид КПТ е сравнима с ефектите на медикаментозната терапия. Обикновено се налага комбинирането на повече от един метод, като разясняването само на физиологията на съня и хигиената на съня често са недостатъчни. КПТ често е неприложима при некооперативни пациенти и такива с паметов и когнитивен дефицит.  </w:t>
      </w:r>
    </w:p>
    <w:p w14:paraId="7E27025E"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p>
    <w:p w14:paraId="3992BBF9"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b/>
          <w:color w:val="000000"/>
          <w:sz w:val="24"/>
          <w:szCs w:val="24"/>
          <w:lang w:eastAsia="bg-BG"/>
        </w:rPr>
        <w:t>16.2.Хиперсомнии.</w:t>
      </w:r>
      <w:r w:rsidRPr="00AE47C6">
        <w:rPr>
          <w:rFonts w:ascii="Times New Roman" w:eastAsia="SimSun" w:hAnsi="Times New Roman"/>
          <w:color w:val="000000"/>
          <w:sz w:val="24"/>
          <w:szCs w:val="24"/>
          <w:lang w:eastAsia="bg-BG"/>
        </w:rPr>
        <w:t xml:space="preserve"> Международната класификация на разстройствата на съня обръща особено внимание на понятието дневна сънливост като го дефинира като “невъзможност да се остане буден и бодър по време на основните епизоди на будност през деня, което води до непреодолима нужда от сън или неволеви задрямвания или заспивания”. Сънливостта е различна по степен и е най-изразена при монотонни действия изискващи по-малко внимание. Някои пациенти усещат сънливостта, докато други заспиват внезапно (сънни атаки). В световен мащаб дневната сънливост се среща в 10-25% от общата популация. В модерния свят най-честата причина за дневна сънливост е комбинацията от недостатъчно време нощен сън, лоша хигиена на съня и различни смени на работа. В допълнение много заболявания на съня могат да доведат до дневна сънливост - обструктивна сънна апнея, циркадианни нарушения и периодични движения в крайниците по време на сън. Друга причина за хиперсомния са в групата централни нарушения с хиперсомнолентност - нарколепсия, идиопатична хиперсомния и др. Всички тези причини водят до значителен риск за болния и обществото от пътно-транспортни произшествия и произшествия на работното място. </w:t>
      </w:r>
    </w:p>
    <w:p w14:paraId="4D42019E"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b/>
          <w:bCs/>
          <w:color w:val="000000"/>
          <w:sz w:val="24"/>
          <w:szCs w:val="24"/>
          <w:lang w:eastAsia="bg-BG"/>
        </w:rPr>
      </w:pPr>
      <w:bookmarkStart w:id="301" w:name="H5"/>
      <w:bookmarkEnd w:id="301"/>
    </w:p>
    <w:p w14:paraId="7844F325"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b/>
          <w:bCs/>
          <w:color w:val="000000"/>
          <w:sz w:val="24"/>
          <w:szCs w:val="24"/>
          <w:lang w:eastAsia="bg-BG"/>
        </w:rPr>
        <w:t xml:space="preserve">Нарушенията на дишането по време на сън </w:t>
      </w:r>
      <w:r w:rsidRPr="00AE47C6">
        <w:rPr>
          <w:rFonts w:ascii="Times New Roman" w:eastAsia="SimSun" w:hAnsi="Times New Roman"/>
          <w:color w:val="000000"/>
          <w:sz w:val="24"/>
          <w:szCs w:val="24"/>
          <w:lang w:eastAsia="bg-BG"/>
        </w:rPr>
        <w:t>се характеризират с абнормности в дишането по време на сън при възрастни и деца (1). Съществуват четири основни групи нарушения на дишането по време на сън:</w:t>
      </w:r>
    </w:p>
    <w:p w14:paraId="0830D01A"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Синдроми на централна сънна апнея</w:t>
      </w:r>
    </w:p>
    <w:p w14:paraId="53AC1A16"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Синдроми на обструктивна сънна апнея (ОСА)</w:t>
      </w:r>
    </w:p>
    <w:p w14:paraId="0C719104"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Хиповентилационни синдроми по време на сън</w:t>
      </w:r>
    </w:p>
    <w:p w14:paraId="7BD503D1"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Свързани със съня хипоксемии</w:t>
      </w:r>
    </w:p>
    <w:p w14:paraId="36006010"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Тези синдроми  се подразделят в подгрупи според тяхната етиология.</w:t>
      </w:r>
    </w:p>
    <w:p w14:paraId="47721875"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bookmarkStart w:id="302" w:name="H618724235"/>
      <w:bookmarkEnd w:id="302"/>
      <w:r w:rsidRPr="00AE47C6">
        <w:rPr>
          <w:rFonts w:ascii="Times New Roman" w:eastAsia="SimSun" w:hAnsi="Times New Roman"/>
          <w:color w:val="000000"/>
          <w:sz w:val="24"/>
          <w:szCs w:val="24"/>
          <w:lang w:eastAsia="bg-BG"/>
        </w:rPr>
        <w:t>Синдромите на централна сънна апнея се подразделят на следните нозологични единици:</w:t>
      </w:r>
    </w:p>
    <w:p w14:paraId="7F2127C0"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xml:space="preserve">● Централна сънна апнея с дишане тип Cheyne-Stokes </w:t>
      </w:r>
    </w:p>
    <w:p w14:paraId="35FEFC7E"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Централна сънна апнея при вътрешни заболявания без дишане Cheyne-Stokes</w:t>
      </w:r>
    </w:p>
    <w:p w14:paraId="12293E79"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Централна сънна апнея с периодично дишане при големи височини</w:t>
      </w:r>
    </w:p>
    <w:p w14:paraId="534E737C"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Централна сънна апнея, дължаща се на медикаменти и субстанции</w:t>
      </w:r>
    </w:p>
    <w:p w14:paraId="03B1397D"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Първична централна сънна апнея</w:t>
      </w:r>
    </w:p>
    <w:p w14:paraId="40F710EE"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Централна сънна апнея в ранна детска възраст</w:t>
      </w:r>
    </w:p>
    <w:p w14:paraId="61514DDB"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Централна сънна апнея при недоносени деца</w:t>
      </w:r>
    </w:p>
    <w:p w14:paraId="0724AAC5"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 Централна сънна апнея, дължаща се на лечение </w:t>
      </w:r>
    </w:p>
    <w:p w14:paraId="24B803BC"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Последната е нова в класификацията ICSD-3 и преди се класифицираше като комплексна сънна апнея (1). Критериите за поставяне на тази диагноза са наличие на първична обструктивна сънна апнея при полисомнографското изследване, която по време на лечение с позитивно налягане се овладява, но се регистрират новопоявили се персистиращи централни апнеи. Тези централни събития не могат да се свържат с други коморбидности като дишане тип Cheyne-Stokes или употреба на субстанции  (напр. опиоиди). Много пациенти демонстрират централни апнеи при започване на лечението с позитивно налягане най-често при прехода между будност и сън, но с адаптацията към терапията те най-често изчезват (обикновено в рамките на месец), поради което е уместно проследяването на данните от СРАР устройствата.</w:t>
      </w:r>
    </w:p>
    <w:p w14:paraId="427417AB" w14:textId="77777777" w:rsidR="00BE0B19" w:rsidRPr="00AE47C6" w:rsidRDefault="00BE0B19" w:rsidP="00BE0B19">
      <w:pPr>
        <w:spacing w:after="0" w:line="360" w:lineRule="auto"/>
        <w:ind w:firstLine="709"/>
        <w:jc w:val="both"/>
        <w:rPr>
          <w:rFonts w:ascii="Times New Roman" w:eastAsia="SimSun" w:hAnsi="Times New Roman"/>
          <w:sz w:val="24"/>
          <w:szCs w:val="24"/>
        </w:rPr>
      </w:pPr>
      <w:bookmarkStart w:id="303" w:name="H618724246"/>
      <w:bookmarkEnd w:id="303"/>
      <w:r w:rsidRPr="00AE47C6">
        <w:rPr>
          <w:rFonts w:ascii="Times New Roman" w:eastAsia="SimSun" w:hAnsi="Times New Roman"/>
          <w:color w:val="000000"/>
          <w:sz w:val="24"/>
          <w:szCs w:val="24"/>
        </w:rPr>
        <w:t xml:space="preserve">Синдромите на </w:t>
      </w:r>
      <w:r w:rsidRPr="00AE47C6">
        <w:rPr>
          <w:rFonts w:ascii="Times New Roman" w:eastAsia="SimSun" w:hAnsi="Times New Roman"/>
          <w:b/>
          <w:color w:val="000000"/>
          <w:sz w:val="24"/>
          <w:szCs w:val="24"/>
        </w:rPr>
        <w:t>обструктивна сънна апнея</w:t>
      </w:r>
      <w:r w:rsidRPr="00AE47C6">
        <w:rPr>
          <w:rFonts w:ascii="Times New Roman" w:eastAsia="SimSun" w:hAnsi="Times New Roman"/>
          <w:color w:val="000000"/>
          <w:sz w:val="24"/>
          <w:szCs w:val="24"/>
        </w:rPr>
        <w:t xml:space="preserve"> (ОСА) включват ОСА при деца и възрастни. ОСА</w:t>
      </w:r>
      <w:r w:rsidRPr="00AE47C6">
        <w:rPr>
          <w:rFonts w:ascii="Times New Roman" w:eastAsia="SimSun" w:hAnsi="Times New Roman"/>
          <w:sz w:val="24"/>
          <w:szCs w:val="24"/>
        </w:rPr>
        <w:t xml:space="preserve"> се среща често (8% от мъжете и 4% от жените) в популацията с пик около петата декада на живота, като в последните популационни проучвания тази честота нараства. Характеризира се с често повтарящи се  (5-100 пъти/час) епизоди (продължителност над 10 s и десатурации от минимум 3-4%) на пълна обструкция на горните дихателни пътища (апнея) или непълна обструкция с неефективни дихателни усилия (хипопнея). При централните апнеи за разлика от обструктивните липсват дихателни усилия по време на апнеята/хипопнеята. Съществуват и смесени апнеи, които най-често започват като централни, но продължават в обструктивни. Наличието на апнеи и/или хипопнеи води до нарушаване на структурата на съня с количествено нарастване на повърхностните стадии на съня за сметка на дълбоките стадии. В резултат на това сънят се фрагментира и се появява прекомерна дневна сънливост с чести краткотрайни (секунди или минути) заспивания, най-вече в монотонна среда – гледане на телевизия, шофиране на дълги разстояния и др. Заболяването се проявява и с чести (2-7 пъти) ставания по малка нужда през нощта (повишена диуреза, поради увеличена секреция на натриуретичен пептид по време на апнеичните паузи), силно хъркане – често предхождащо с години развитието на сънна апнея, наблюдавани от страна на партньора по легло паузи в дишането по време на сън и събуждане с чувство на пресъхнало гърло и налепи – поради изразено хъркане и дишане основно през устата и с чувство на неотпочиналост. Еженощните апнеи и хипопнеи водят до хронична хипоксия с тежки вторични последици: повишен риск от съдови заболявания (инфаркт, инсулт), терапевтично резистентна артериална хипертония, аритмия, затлъстяване, хиперхолестеролемия, захарен диабет и др. Неколкократно (3-4 пъти) е повишен риска от пътно-транспортни произшествия без видима причина, поради заспиване зад волана на прав участък. Основен рисков фактор за ОСА е затлъстяването и някои анатомични особености на фарингеалните дихателни пътища. Нелекуваната ОСА води до развитие на белодробна хипертония, аритмии, захарен диабет, паметови и когнитивни дисфункции и сексуални проблеми. ОСА често е свързана и с депресивна симптоматика, а психиатричните заболявания с наднормено тегло от своя страна могат да доведат до сънна апнея. Поставянето на диагнозата е важно, тъй като нелекуваната ОСА води до повишена обща и сърдечно-съдова смъртност.</w:t>
      </w:r>
    </w:p>
    <w:p w14:paraId="7ABCC2D3"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b/>
          <w:color w:val="000000"/>
          <w:sz w:val="24"/>
          <w:szCs w:val="24"/>
          <w:lang w:eastAsia="bg-BG"/>
        </w:rPr>
        <w:t>Диагнозата</w:t>
      </w:r>
      <w:r w:rsidRPr="00AE47C6">
        <w:rPr>
          <w:rFonts w:ascii="Times New Roman" w:eastAsia="SimSun" w:hAnsi="Times New Roman"/>
          <w:color w:val="000000"/>
          <w:sz w:val="24"/>
          <w:szCs w:val="24"/>
          <w:lang w:eastAsia="bg-BG"/>
        </w:rPr>
        <w:t xml:space="preserve"> ОСА при възрастни се поставя при наличие на 15 или повече обструктивни събития на час, дори при отсъствие на субективна симптоматика или коморбидни заболявания (1-3). При възрастни с придружаващи вътрешни или психиатрични заболявания (напр. хипертония, коронарна болест, предсърдно мъждене, застойна сърдечна недостатъчност, инсулт, диабет, когнитивни проблеми или заболявания на настроението) или белези на ексцесивна дневна сънливост, умора и/или инсомния, диагнозата ОСА може да се постави при наличието на пет или повече предимно обструктивни дихателни събития на час. ОСА се счита за тежка при наличие на повече 30 обструктивни събития на час.</w:t>
      </w:r>
    </w:p>
    <w:p w14:paraId="368B1256"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Диагнозата се поставя въз основа на анамнезата и физикалния преглед (наднормено тегло, голяма обиколка на шията, мъжки пол, средна възраст, големи тонзили и език, други аномалии на назофаринкса, къса долна челюст, повишено артериално налягане и др.). Други важни анамнестични данни за пациентите с предполагаема ОСА са - наличие на депресия, употреба на седатива, стимуланти и алкохол, наличие на хипотиреоидизъм и на други нарушения на съня. </w:t>
      </w:r>
    </w:p>
    <w:p w14:paraId="104B467C"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За поставяне на диагнозата могат да са от полза и някои въпросници за оценка на дневната сънливост (ЕSS, фигура 1) и на риска за сънна апнея (STOP-Bang тест, фигура 2).</w:t>
      </w:r>
    </w:p>
    <w:p w14:paraId="32DBC356"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Златен стандарт за изследване на ОСА е лабораторната полисомнография с видеонаблюдение в лабораторни условия, но напоследък все по-често се допуска и лимитираното полиграфско тестуване (ЛПТ) дори в амбулаторни условия при избрани пациенти (известно също като амбулаторно изследване на съня). ЛПТ измерва респираторните събития за целия период на запис, а не за времето на съня, което може да доведе до регистриране на по нисък индекс апнея/хипопнея. Тя е показана за по-тежките случаи на ОСА.</w:t>
      </w:r>
    </w:p>
    <w:p w14:paraId="33E18E3D"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Педиатричните критерии за ОСА изискват наличието на поне един клиничен фактор (хъркане, затруднено дишане, апнеи, дневна сънливост, хиперактивност или други). Полисомнографски при деца е достатъчно наличието на едно или повече обструктивни събития на час сън или наличие на обструктивна хиповентилация (PaCO</w:t>
      </w:r>
      <w:r w:rsidRPr="00AE47C6">
        <w:rPr>
          <w:rFonts w:ascii="Times New Roman" w:eastAsia="SimSun" w:hAnsi="Times New Roman"/>
          <w:color w:val="000000"/>
          <w:sz w:val="24"/>
          <w:szCs w:val="24"/>
          <w:vertAlign w:val="subscript"/>
          <w:lang w:eastAsia="bg-BG"/>
        </w:rPr>
        <w:t>2</w:t>
      </w:r>
      <w:r w:rsidRPr="00AE47C6">
        <w:rPr>
          <w:rFonts w:ascii="Times New Roman" w:eastAsia="SimSun" w:hAnsi="Times New Roman"/>
          <w:color w:val="000000"/>
          <w:sz w:val="24"/>
          <w:szCs w:val="24"/>
          <w:lang w:eastAsia="bg-BG"/>
        </w:rPr>
        <w:t> &gt;50 mmHg за &gt; 25% от времето на съня). В допълнение към обструктивните събития и/или обструктивната хиповентилация трябва да има и свързани с тях хъркане, флуктуации на вълните на назалното налягане или парадоксални торако-абдоминални движения.</w:t>
      </w:r>
    </w:p>
    <w:p w14:paraId="6F1A8563"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b/>
          <w:color w:val="000000"/>
          <w:sz w:val="24"/>
          <w:szCs w:val="24"/>
          <w:lang w:eastAsia="bg-BG"/>
        </w:rPr>
        <w:t>Лечението</w:t>
      </w:r>
      <w:r w:rsidRPr="00AE47C6">
        <w:rPr>
          <w:rFonts w:ascii="Times New Roman" w:eastAsia="SimSun" w:hAnsi="Times New Roman"/>
          <w:color w:val="000000"/>
          <w:sz w:val="24"/>
          <w:szCs w:val="24"/>
          <w:lang w:eastAsia="bg-BG"/>
        </w:rPr>
        <w:t xml:space="preserve"> на сънната апнея включва следните терапевтични възможности: обучение на пациента, поведенчески интервенции, неоперативно и оперативно лечение, лечение на съпътстващите заболявания. </w:t>
      </w:r>
    </w:p>
    <w:p w14:paraId="677C0EE3"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Пациентите и техните близки трябва да получат информация относно патофизиологията, рисковите фактори, последствията и възможните лечение на ОСА. Тази информация трябва да обхваща и поведенческите интервенции - промяна на начина на живот, които биха довели до подобрение на симптоматиката. Такива са: намаляване на теглото, подобряване на двигателния режим, намаляване или спиране на тютюнопушенето и употребата на алкохол, неупотреба на седативни и сънотворни медикаменти, неспане по гръб.</w:t>
      </w:r>
    </w:p>
    <w:p w14:paraId="1D541846"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Нехирургичните интервенции включват лечение с позитивно налягане в дихателните пътища и приложение на орални устройства.</w:t>
      </w:r>
    </w:p>
    <w:p w14:paraId="3E33E7EF"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Златен стандарт и с най-висока степен на доказателственост от клиничните проучвания при ОСА с умерена и тежка степен на заболяването е лечението с продължително позитивно налягане в дихателните пътища през назална или лицева маска (СРАР). Оптималното индивидуално налягане се титрира ръчно или автоматично и води до пълна редукция на апнеите/хипопнеите и свързаните с тях събужданията. Съществуват и модификации на лечението с позитивно налягане като автоматичен СРАР с променливо налягане спрямо характеристиките на апнеите и подаване на двойно налягане по време на инспириум и експириум (BiPAP). При някои неповлияващи се случаи, както и при пациенти с преобладаващи централни апнеи е уместно и приложение на по-сложни методи като адаптираната сервовентилация. Лечението с позитивно налягане трябва да се проследява, тъй като до 50% от пациентите прекратяват лечението или употребяват апаратите по-малко от 4 часа на нощ. Някой странични явления - сухота в устата и носа, зачервяване на очите и др. могат да се преодолеят с по-добър избор на маска и поставяне на овлажнител.</w:t>
      </w:r>
    </w:p>
    <w:p w14:paraId="68557FA2"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Оралните устройства (шини) са показани при по-леки форми на ОСА и при болни, които не толерират СРАР лечението. Те действат като придвижват мандибулата заедно с езика напред и по този начин увеличават размера на фарингеалните дихателни пътища.</w:t>
      </w:r>
    </w:p>
    <w:p w14:paraId="330E5274"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Хирургичното лечение е показано за пациенти с умерена до тежка апнея, които не могат да се адаптират към СРАР лечението. При тях в избрани случаи може да се проведе увулопалатопластика или хирургична корекция на челюстта и носа, което да подобри привикването към СРАР. </w:t>
      </w:r>
    </w:p>
    <w:p w14:paraId="477DF57F"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i/>
          <w:iCs/>
          <w:color w:val="000000"/>
          <w:sz w:val="24"/>
          <w:szCs w:val="24"/>
          <w:lang w:eastAsia="bg-BG"/>
        </w:rPr>
        <w:t xml:space="preserve">Централната сънна апнея </w:t>
      </w:r>
      <w:r w:rsidRPr="00AE47C6">
        <w:rPr>
          <w:rFonts w:ascii="Times New Roman" w:eastAsia="SimSun" w:hAnsi="Times New Roman"/>
          <w:color w:val="000000"/>
          <w:sz w:val="24"/>
          <w:szCs w:val="24"/>
          <w:lang w:eastAsia="bg-BG"/>
        </w:rPr>
        <w:t>представлява наличие на дихателни паузи по време на сън (по общите критерии за апнея/хипопнея), при които липсват дихателни усилия (отворени дихателни пътища, при липсващ тригер за дишане). Тя се среща при някои стволови лезии - стволови инсулти, енцефалити и полиомиелити, постхипоксична енцефалопатия, оливопонтоцеребеларна дегенерация, тумори и други. Централната сънна апнея се среща и при застойна сърдечна недостатъчност. Патофизиологично се касае за нарушена чувствителност на централните хеморецептори и/или забавено циркулаторно време, които водят до намален или повишен вентилаторен отговор на промяната на СО</w:t>
      </w:r>
      <w:r w:rsidRPr="00AE47C6">
        <w:rPr>
          <w:rFonts w:ascii="Times New Roman" w:eastAsia="SimSun" w:hAnsi="Times New Roman"/>
          <w:color w:val="000000"/>
          <w:sz w:val="24"/>
          <w:szCs w:val="24"/>
          <w:vertAlign w:val="subscript"/>
          <w:lang w:eastAsia="bg-BG"/>
        </w:rPr>
        <w:t>2</w:t>
      </w:r>
      <w:r w:rsidRPr="00AE47C6">
        <w:rPr>
          <w:rFonts w:ascii="Times New Roman" w:eastAsia="SimSun" w:hAnsi="Times New Roman"/>
          <w:color w:val="000000"/>
          <w:sz w:val="24"/>
          <w:szCs w:val="24"/>
          <w:lang w:eastAsia="bg-BG"/>
        </w:rPr>
        <w:t xml:space="preserve"> по време на сън. Клинична изява на централните сънни апнеи може да бъде по типа на инсомния или хиперсомния. Лечението на централните сънни апнеи при хронична застойна сърдечна недостатъчност започва с корекция на лечението на основното заболяване, но може да се опита и терапия с кислород и положително налягане в дихателните пътища.   </w:t>
      </w:r>
    </w:p>
    <w:p w14:paraId="463FDC4F"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Лечението на съпътстващите заболявания също е от голяма важност. Например при хипотиреоидизма то е от съществено значение, тъй като той може да доведе до депозиране на мукопротеини в назофаринкса, до затлъстяване и нарушен вентилаторен контрол. Лечението на депресията при наличие на сънна апнея също води до подобрение в крайния изход и за двете заболявания. </w:t>
      </w:r>
    </w:p>
    <w:p w14:paraId="1AF38E01"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i/>
          <w:iCs/>
          <w:color w:val="000000"/>
          <w:sz w:val="24"/>
          <w:szCs w:val="24"/>
          <w:lang w:eastAsia="bg-BG"/>
        </w:rPr>
      </w:pPr>
      <w:bookmarkStart w:id="304" w:name="H618724265"/>
      <w:bookmarkEnd w:id="304"/>
      <w:r w:rsidRPr="00AE47C6">
        <w:rPr>
          <w:rFonts w:ascii="Times New Roman" w:eastAsia="SimSun" w:hAnsi="Times New Roman"/>
          <w:i/>
          <w:iCs/>
          <w:color w:val="000000"/>
          <w:sz w:val="24"/>
          <w:szCs w:val="24"/>
          <w:lang w:eastAsia="bg-BG"/>
        </w:rPr>
        <w:t>Свързани със съня хиповентилационни заболявания:</w:t>
      </w:r>
    </w:p>
    <w:p w14:paraId="0C9B84E6"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Синдром на хиповентилация при затлъстяване</w:t>
      </w:r>
    </w:p>
    <w:p w14:paraId="45461870"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Синдром на конгенитална централна алвеоларна хиповентилация</w:t>
      </w:r>
    </w:p>
    <w:p w14:paraId="2D2452F6"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Централна хиповентилация при хипоталамична дисфункция с късно начало</w:t>
      </w:r>
    </w:p>
    <w:p w14:paraId="658F6BC6"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Идиопатична централна алвеоларна хиповентилация</w:t>
      </w:r>
    </w:p>
    <w:p w14:paraId="4A2684EA"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Свързана със съня хиповентилация, поради употреба на медикаменти и субстанции</w:t>
      </w:r>
    </w:p>
    <w:p w14:paraId="42C5D3C2"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Свързана със съня хиповентилация, поради друго вътрешно заболяване</w:t>
      </w:r>
    </w:p>
    <w:p w14:paraId="3A598FA5"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Хиповентилацията се дефинира с повишено PaCO</w:t>
      </w:r>
      <w:r w:rsidRPr="00AE47C6">
        <w:rPr>
          <w:rFonts w:ascii="Times New Roman" w:eastAsia="SimSun" w:hAnsi="Times New Roman"/>
          <w:color w:val="000000"/>
          <w:sz w:val="24"/>
          <w:szCs w:val="24"/>
          <w:vertAlign w:val="subscript"/>
          <w:lang w:eastAsia="bg-BG"/>
        </w:rPr>
        <w:t>2</w:t>
      </w:r>
      <w:r w:rsidRPr="00AE47C6">
        <w:rPr>
          <w:rFonts w:ascii="Times New Roman" w:eastAsia="SimSun" w:hAnsi="Times New Roman"/>
          <w:color w:val="000000"/>
          <w:sz w:val="24"/>
          <w:szCs w:val="24"/>
          <w:lang w:eastAsia="bg-BG"/>
        </w:rPr>
        <w:t>, поради което критериите за диагноза на свързана със съня хиповентилация изискват наличие на повишено PaCO</w:t>
      </w:r>
      <w:r w:rsidRPr="00AE47C6">
        <w:rPr>
          <w:rFonts w:ascii="Times New Roman" w:eastAsia="SimSun" w:hAnsi="Times New Roman"/>
          <w:color w:val="000000"/>
          <w:sz w:val="24"/>
          <w:szCs w:val="24"/>
          <w:vertAlign w:val="subscript"/>
          <w:lang w:eastAsia="bg-BG"/>
        </w:rPr>
        <w:t>2</w:t>
      </w:r>
      <w:r w:rsidRPr="00AE47C6">
        <w:rPr>
          <w:rFonts w:ascii="Times New Roman" w:eastAsia="SimSun" w:hAnsi="Times New Roman"/>
          <w:color w:val="000000"/>
          <w:sz w:val="24"/>
          <w:szCs w:val="24"/>
          <w:lang w:eastAsia="bg-BG"/>
        </w:rPr>
        <w:t> или директно (измерване на артериалните газове) или индиректно (CO</w:t>
      </w:r>
      <w:r w:rsidRPr="00AE47C6">
        <w:rPr>
          <w:rFonts w:ascii="Times New Roman" w:eastAsia="SimSun" w:hAnsi="Times New Roman"/>
          <w:color w:val="000000"/>
          <w:sz w:val="24"/>
          <w:szCs w:val="24"/>
          <w:vertAlign w:val="subscript"/>
          <w:lang w:eastAsia="bg-BG"/>
        </w:rPr>
        <w:t>2</w:t>
      </w:r>
      <w:r w:rsidRPr="00AE47C6">
        <w:rPr>
          <w:rFonts w:ascii="Times New Roman" w:eastAsia="SimSun" w:hAnsi="Times New Roman"/>
          <w:color w:val="000000"/>
          <w:sz w:val="24"/>
          <w:szCs w:val="24"/>
          <w:lang w:eastAsia="bg-BG"/>
        </w:rPr>
        <w:t xml:space="preserve"> в края на издишането или транскутанно CO</w:t>
      </w:r>
      <w:r w:rsidRPr="00AE47C6">
        <w:rPr>
          <w:rFonts w:ascii="Times New Roman" w:eastAsia="SimSun" w:hAnsi="Times New Roman"/>
          <w:color w:val="000000"/>
          <w:sz w:val="24"/>
          <w:szCs w:val="24"/>
          <w:vertAlign w:val="subscript"/>
          <w:lang w:eastAsia="bg-BG"/>
        </w:rPr>
        <w:t>2</w:t>
      </w:r>
      <w:r w:rsidRPr="00AE47C6">
        <w:rPr>
          <w:rFonts w:ascii="Times New Roman" w:eastAsia="SimSun" w:hAnsi="Times New Roman"/>
          <w:color w:val="000000"/>
          <w:sz w:val="24"/>
          <w:szCs w:val="24"/>
          <w:lang w:eastAsia="bg-BG"/>
        </w:rPr>
        <w:t>).</w:t>
      </w:r>
    </w:p>
    <w:p w14:paraId="18E88270"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ICSD-3 включва критерии за диагноза на хиповентилация при затлъстяване. Те включват покачване на PaCO</w:t>
      </w:r>
      <w:r w:rsidRPr="00AE47C6">
        <w:rPr>
          <w:rFonts w:ascii="Times New Roman" w:eastAsia="SimSun" w:hAnsi="Times New Roman"/>
          <w:color w:val="000000"/>
          <w:sz w:val="24"/>
          <w:szCs w:val="24"/>
          <w:vertAlign w:val="subscript"/>
          <w:lang w:eastAsia="bg-BG"/>
        </w:rPr>
        <w:t>2</w:t>
      </w:r>
      <w:r w:rsidRPr="00AE47C6">
        <w:rPr>
          <w:rFonts w:ascii="Times New Roman" w:eastAsia="SimSun" w:hAnsi="Times New Roman"/>
          <w:color w:val="000000"/>
          <w:sz w:val="24"/>
          <w:szCs w:val="24"/>
          <w:lang w:eastAsia="bg-BG"/>
        </w:rPr>
        <w:t> (&gt; 45 mmHg) през деня при пациент с индекс на телесното тегло (BMI) &gt; 30 kg/m</w:t>
      </w:r>
      <w:r w:rsidRPr="00AE47C6">
        <w:rPr>
          <w:rFonts w:ascii="Times New Roman" w:eastAsia="SimSun" w:hAnsi="Times New Roman"/>
          <w:color w:val="000000"/>
          <w:sz w:val="24"/>
          <w:szCs w:val="24"/>
          <w:vertAlign w:val="superscript"/>
          <w:lang w:eastAsia="bg-BG"/>
        </w:rPr>
        <w:t>2</w:t>
      </w:r>
      <w:r w:rsidRPr="00AE47C6">
        <w:rPr>
          <w:rFonts w:ascii="Times New Roman" w:eastAsia="SimSun" w:hAnsi="Times New Roman"/>
          <w:color w:val="000000"/>
          <w:sz w:val="24"/>
          <w:szCs w:val="24"/>
          <w:lang w:eastAsia="bg-BG"/>
        </w:rPr>
        <w:t xml:space="preserve">. За другите форми на хиповентилация по време на сън не се изисква наличие на хиповентилация и през деня. </w:t>
      </w:r>
    </w:p>
    <w:p w14:paraId="2AE0BFD5"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Белодробните заболявания (ХОББ, астма) не се приемат априори за нарушения на дишането по време на сън. Те обаче могат да влошат нормалното дишане по време на сън (хиповентилация, хипоксемия). В тези случаи се проследява свързаната със съня хиповентилация и хипоксемия. Свързаните със съня ларингоспазъм и задавяне не се считат за нарушения на дишането по време на сън, а за соматични заболявания, възникващи по време на сън.</w:t>
      </w:r>
    </w:p>
    <w:p w14:paraId="0B2C0A40"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На лице са синдроми на припокриване. Лечението с дълготрайна неинвазивна домашна вентилация се осъществява въз основа на възприетите препоръки на  ERS. </w:t>
      </w:r>
    </w:p>
    <w:p w14:paraId="3391F1BF"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bookmarkStart w:id="305" w:name="H6"/>
      <w:bookmarkEnd w:id="305"/>
      <w:r w:rsidRPr="00AE47C6">
        <w:rPr>
          <w:rFonts w:ascii="Times New Roman" w:eastAsia="SimSun" w:hAnsi="Times New Roman"/>
          <w:b/>
          <w:bCs/>
          <w:color w:val="000000"/>
          <w:sz w:val="24"/>
          <w:szCs w:val="24"/>
          <w:lang w:eastAsia="bg-BG"/>
        </w:rPr>
        <w:t>Централните нарушения с хиперсомния</w:t>
      </w:r>
      <w:r w:rsidRPr="00AE47C6">
        <w:rPr>
          <w:rFonts w:ascii="Times New Roman" w:eastAsia="SimSun" w:hAnsi="Times New Roman"/>
          <w:color w:val="000000"/>
          <w:sz w:val="24"/>
          <w:szCs w:val="24"/>
          <w:lang w:eastAsia="bg-BG"/>
        </w:rPr>
        <w:t xml:space="preserve"> включват заболявания, при които първичното оплакване от хиперсомния не се дължи на друго сънно разстройство, включително нарушен нощен сън или циркаден ритъм. Ексцесивната дневна сънливост се дефинира като епизоди на непреодолима нужда за сън през деня или заспивания през деня (1).</w:t>
      </w:r>
    </w:p>
    <w:p w14:paraId="00F40495"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b/>
          <w:color w:val="000000"/>
          <w:sz w:val="24"/>
          <w:szCs w:val="24"/>
          <w:lang w:eastAsia="bg-BG"/>
        </w:rPr>
        <w:t>Централните нарушения с хиперсомния</w:t>
      </w:r>
      <w:r w:rsidRPr="00AE47C6">
        <w:rPr>
          <w:rFonts w:ascii="Times New Roman" w:eastAsia="SimSun" w:hAnsi="Times New Roman"/>
          <w:color w:val="000000"/>
          <w:sz w:val="24"/>
          <w:szCs w:val="24"/>
          <w:lang w:eastAsia="bg-BG"/>
        </w:rPr>
        <w:t xml:space="preserve"> са:</w:t>
      </w:r>
    </w:p>
    <w:p w14:paraId="2C607397"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Нарколепсия тип 1 (Нарколепсия с катаплексия по МКБ 10)</w:t>
      </w:r>
    </w:p>
    <w:p w14:paraId="0B3F28D3"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Нарколепсия тип 2 (Нарколепсия без катаплексия по МКБ 10)</w:t>
      </w:r>
    </w:p>
    <w:p w14:paraId="110DD1C7"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xml:space="preserve">● Идиопатична хиперсомния </w:t>
      </w:r>
    </w:p>
    <w:p w14:paraId="5A357414"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Синдром на Kleine-Levin (Рекурентна хиперсомния по МКБ 10)</w:t>
      </w:r>
    </w:p>
    <w:p w14:paraId="4FB30EF9"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xml:space="preserve">● Хиперсомния при вътрешни заболявания </w:t>
      </w:r>
    </w:p>
    <w:p w14:paraId="2352579A"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Хиперсомния, поради употреба на медикаменти и субстанции</w:t>
      </w:r>
    </w:p>
    <w:p w14:paraId="28F76D10"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Хиперсомния, свързана с психиатрични заболявания</w:t>
      </w:r>
    </w:p>
    <w:p w14:paraId="371FC88B"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Синдром на недостатъчния сън</w:t>
      </w:r>
    </w:p>
    <w:p w14:paraId="595D4C25"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При диагностиката на заболяванията с хиперсомния трябва да се обръща внимание на наличието на сънна депривация особено при пациенти с по-големи нужди от сън. Попълването на дневници на съня и актиграфско изследване за поне една седмица преди обективното изследване с тест за многократно изследване на латенцията на заспиване (ТМЛЗ; Multiple Sleep Latency Test, MSLT), могат да помогнат да се верифицира наличието на достатъчно количество сън и режима на сън и бодърстване. Диагностичните критерии за нарколепсия и идиопатична хиперсомния включват критерии от ТМЛЗ. </w:t>
      </w:r>
    </w:p>
    <w:p w14:paraId="6B3F0480"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p>
    <w:p w14:paraId="6B9C9344"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bookmarkStart w:id="306" w:name="H618724283"/>
      <w:bookmarkEnd w:id="306"/>
      <w:r w:rsidRPr="00AE47C6">
        <w:rPr>
          <w:rFonts w:ascii="Times New Roman" w:eastAsia="SimSun" w:hAnsi="Times New Roman"/>
          <w:b/>
          <w:iCs/>
          <w:color w:val="000000"/>
          <w:sz w:val="24"/>
          <w:szCs w:val="24"/>
          <w:lang w:eastAsia="bg-BG"/>
        </w:rPr>
        <w:t>Нарколепсия.</w:t>
      </w:r>
      <w:r w:rsidRPr="00AE47C6">
        <w:rPr>
          <w:rFonts w:ascii="Times New Roman" w:eastAsia="SimSun" w:hAnsi="Times New Roman"/>
          <w:color w:val="000000"/>
          <w:sz w:val="24"/>
          <w:szCs w:val="24"/>
          <w:lang w:eastAsia="bg-BG"/>
        </w:rPr>
        <w:t xml:space="preserve"> Нарколепсия тип 1 включва пациенти с катаплексия и/или дефицит на хипокретин-1. Диагностицира се с дефицит на хипокретин 1 в ликвора (&lt; 110 pg/mL или по-малко от една трета от стандартизираните референтни стойности) или средна латенция на заспиване &lt; 8 минути и два RЕМ-периода в началото на заспиването (Sleep onset rapid eye movement periods - SOREMP) в рамките на 15 минути от началото на записа на ТМЛЗ и/или полисомнографията, заедно с анамнеза на ясни епизоди на катаплексия. За отбелязване е, че не всички болни с дефицит на хипокретин 1 имат катаплексия, но въпреки това се счита, че те имат нарколепсия тип 1. Някои от тях развиват катаплексия по-късно в хода на заболяването. Към момента изследването на хипокретин 1 не е широко въведено в  клиничната практика. Пациентите имат хиперсомния през деня с епизоди на внезапно заспиване или непреодолима нужда от сън. След кратки периоди на сън, те се събуждат ободрени до следващата дрямка. Някои пациенти могат да имат промяна във вижиланса по време на будност, съчетана с автоматично поведение. В допълнение на това 30-80% от болните с нарколепсия имат хипнагогни халюцинации  и/или сънна парализа. Хипнагогните халюцинации се описват като живи съноподобни изживявания по време на прехода от будност към сън. Те често имат мултимодален характер - съчетание на слухови, зрителни и тактилни изживявания. Хипнопомпните халюцинации са с подобно съдържание, но се появяват на прехода от сън към будност. Сънната парализа се изразява с невъзможност за движение на волевата мускулатура, включително отваряне на очите, на прехода от сън към будност. Пациентът се чувства буден, но не може да помръдне и изживяването е много стресиращо. Други симптоми при нарколепсия могат да са замъглено зрение, птоза и диплопия, най-често като елемент на сънливостта. Затлъстяването също се среща по-често при нарколептици. </w:t>
      </w:r>
    </w:p>
    <w:p w14:paraId="70CA7FC7"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i/>
          <w:color w:val="000000"/>
          <w:sz w:val="24"/>
          <w:szCs w:val="24"/>
          <w:lang w:eastAsia="bg-BG"/>
        </w:rPr>
        <w:t>Нарколепсия тип 1</w:t>
      </w:r>
      <w:r w:rsidRPr="00AE47C6">
        <w:rPr>
          <w:rFonts w:ascii="Times New Roman" w:eastAsia="SimSun" w:hAnsi="Times New Roman"/>
          <w:color w:val="000000"/>
          <w:sz w:val="24"/>
          <w:szCs w:val="24"/>
          <w:lang w:eastAsia="bg-BG"/>
        </w:rPr>
        <w:t xml:space="preserve"> се среща и вторично при заболявания на централната нервна система - автоимунни и паранеопластични заболявания свързани с анти-Ма2 и aquapurin 4 антитела, тумори и други хипоталамични лезии или тежка краниална травма.</w:t>
      </w:r>
    </w:p>
    <w:p w14:paraId="2394DAAC"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i/>
          <w:color w:val="000000"/>
          <w:sz w:val="24"/>
          <w:szCs w:val="24"/>
          <w:lang w:eastAsia="bg-BG"/>
        </w:rPr>
        <w:t>Нарколепсия тип 2</w:t>
      </w:r>
      <w:r w:rsidRPr="00AE47C6">
        <w:rPr>
          <w:rFonts w:ascii="Times New Roman" w:eastAsia="SimSun" w:hAnsi="Times New Roman"/>
          <w:color w:val="000000"/>
          <w:sz w:val="24"/>
          <w:szCs w:val="24"/>
          <w:lang w:eastAsia="bg-BG"/>
        </w:rPr>
        <w:t xml:space="preserve"> се диагностицира със същите параметри от ТМЛЗ за SOREMP описани за нарколепсия тип 1. При нея обаче не са налице катаплексия и дефицит на хипокретин 1 в ликвора. Въпреки липсата на катаплексия, могат да са налице някой необичайни промени на фона на силни емоции или стрес. Основна проява са епизодите на дневна сънливост. Може да има сънна парализа, хипнагогни халюцинации, автоматично поведение, пропуски в паметта, птоза, диплопия и замъглено зрение.</w:t>
      </w:r>
    </w:p>
    <w:p w14:paraId="2095C92F"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Нарколепсия тип 2 се описва при същите неврологични заболявания като тип 1, но може да се среща и при множествена склероза, саркоидоза на ЦНС, миотонична дистрофия, синдром на Prader-Willi и болест на Паркинсон.</w:t>
      </w:r>
    </w:p>
    <w:p w14:paraId="2D53DB9A"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p>
    <w:p w14:paraId="051C8063"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bookmarkStart w:id="307" w:name="H618724289"/>
      <w:bookmarkEnd w:id="307"/>
      <w:r w:rsidRPr="00AE47C6">
        <w:rPr>
          <w:rFonts w:ascii="Times New Roman" w:eastAsia="SimSun" w:hAnsi="Times New Roman"/>
          <w:b/>
          <w:iCs/>
          <w:color w:val="000000"/>
          <w:sz w:val="24"/>
          <w:szCs w:val="24"/>
          <w:lang w:eastAsia="bg-BG"/>
        </w:rPr>
        <w:t>Идиопатичната хиперсомния</w:t>
      </w:r>
      <w:r w:rsidRPr="00AE47C6">
        <w:rPr>
          <w:rFonts w:ascii="Times New Roman" w:eastAsia="SimSun" w:hAnsi="Times New Roman"/>
          <w:color w:val="000000"/>
          <w:sz w:val="24"/>
          <w:szCs w:val="24"/>
          <w:lang w:eastAsia="bg-BG"/>
        </w:rPr>
        <w:t xml:space="preserve"> се диагностицира, когато пациентът има субективна сънливост и средна латенция на заспиване &lt; 8 минути при ТМЛЗ с по-малко от два SOREMP при този тест и нощното изследване, при липса на катаплексия и липса на дефицит на хипокретин 1 (ако е изследван). Важно е да се изключат други причини за хиперсомнолентност включително сънна депривация. Характерно за болестта е сънното пиянство с трудно събуждане, повторни заспивания, автоматично поведение и състояние на объркване. Пациентите обикновено не могат да се събудят с обичайните аларми. Следобедният сън също е с продължителност повече от час и е неотморяващ. Често има симптоми, насочващи към автономна дисфункция - ортостатизъм, главоболие, чувство за температурна дисрегулация или периферно-съдови оплаквания.</w:t>
      </w:r>
    </w:p>
    <w:p w14:paraId="3175F67C"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На базата на сега съществуващите доказателства не е ясно дали идиопатичната хиперсомния е едно обособено заболяване или представлява група от заболявания с различни патологични механизми и подобен клиничен фенотип.</w:t>
      </w:r>
    </w:p>
    <w:p w14:paraId="157DC672"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p>
    <w:p w14:paraId="1532BD43"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bookmarkStart w:id="308" w:name="H618724295"/>
      <w:bookmarkEnd w:id="308"/>
      <w:r w:rsidRPr="00AE47C6">
        <w:rPr>
          <w:rFonts w:ascii="Times New Roman" w:eastAsia="SimSun" w:hAnsi="Times New Roman"/>
          <w:b/>
          <w:iCs/>
          <w:color w:val="000000"/>
          <w:sz w:val="24"/>
          <w:szCs w:val="24"/>
          <w:lang w:eastAsia="bg-BG"/>
        </w:rPr>
        <w:t>Рекурентна хиперсомния</w:t>
      </w:r>
      <w:r w:rsidRPr="00AE47C6">
        <w:rPr>
          <w:rFonts w:ascii="Times New Roman" w:eastAsia="SimSun" w:hAnsi="Times New Roman"/>
          <w:i/>
          <w:iCs/>
          <w:color w:val="000000"/>
          <w:sz w:val="24"/>
          <w:szCs w:val="24"/>
          <w:lang w:eastAsia="bg-BG"/>
        </w:rPr>
        <w:t>.</w:t>
      </w:r>
      <w:r w:rsidRPr="00AE47C6">
        <w:rPr>
          <w:rFonts w:ascii="Times New Roman" w:eastAsia="SimSun" w:hAnsi="Times New Roman"/>
          <w:color w:val="000000"/>
          <w:sz w:val="24"/>
          <w:szCs w:val="24"/>
          <w:lang w:eastAsia="bg-BG"/>
        </w:rPr>
        <w:t xml:space="preserve"> Синдромът на Kleine-Levin се характеризира с рекурентни епизоди на ексцесивна сънливост, често свързани и с когнитивно-поведенчески отклонения. Типичният епизод продължава средно 10 дена (3-80), като рядко може да достигне няколко месеца. Тригер за настъпване на епизода обичайно са инфекции или злоупотреба с алкохол, а периодите през които настъпва епизодът са от 1 до 12 месеца, понякога дори години. По време на епизода пациентите прекарват 16-20 часа в сън, като се събуждат само за естествените нужди от хранене и изпразване на тазови резервоари. Те могат да останат будни, но изглеждат изтощени, индиферентни, психомоторно забавени и ако бъдат принудени да будуват стават раздразнителни. Типична за тях е антероградната амнезия и състоянията на дереализация. Около 66% от болните имат хиперфагия, а около половината са с прояви на хиперсексуалност (предимно мъже). Една част от пациентите са с детинско поведение, а около половината са с прояви на депресия (предимно жени). Пациентите често имат страхови изживявания, делюзии и халюцинации, а в междупристъпните периоди са напълно нормални и без оплаквания. </w:t>
      </w:r>
    </w:p>
    <w:p w14:paraId="56936F82"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xml:space="preserve"> </w:t>
      </w:r>
    </w:p>
    <w:p w14:paraId="7129A298"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bookmarkStart w:id="309" w:name="H618724301"/>
      <w:bookmarkEnd w:id="309"/>
      <w:r w:rsidRPr="00AE47C6">
        <w:rPr>
          <w:rFonts w:ascii="Times New Roman" w:eastAsia="SimSun" w:hAnsi="Times New Roman"/>
          <w:b/>
          <w:iCs/>
          <w:color w:val="000000"/>
          <w:sz w:val="24"/>
          <w:szCs w:val="24"/>
          <w:lang w:eastAsia="bg-BG"/>
        </w:rPr>
        <w:t>Други хиперсомнии</w:t>
      </w:r>
      <w:r w:rsidRPr="00AE47C6">
        <w:rPr>
          <w:rFonts w:ascii="Times New Roman" w:eastAsia="SimSun" w:hAnsi="Times New Roman"/>
          <w:b/>
          <w:color w:val="000000"/>
          <w:sz w:val="24"/>
          <w:szCs w:val="24"/>
          <w:lang w:eastAsia="bg-BG"/>
        </w:rPr>
        <w:t>.</w:t>
      </w:r>
      <w:r w:rsidRPr="00AE47C6">
        <w:rPr>
          <w:rFonts w:ascii="Times New Roman" w:eastAsia="SimSun" w:hAnsi="Times New Roman"/>
          <w:color w:val="000000"/>
          <w:sz w:val="24"/>
          <w:szCs w:val="24"/>
          <w:lang w:eastAsia="bg-BG"/>
        </w:rPr>
        <w:t xml:space="preserve">  При хиперсомнии вследствие на вътрешни и психиатрични заболявания, както и при употреба на медикаменти и субстанции, диагнозата може да се постави без провеждане на ТМЛЗ. Определяща за диагнозата на всички централни хиперсомнии е клиничната преценка. Освен това много други заболявания (ОСА, нарушения на циркадния ритъм) могат да доведат до ексцесивна дневна сънливост и диагностиката и лечението им трябва да предхожда диагнозата на централната хиперсомния. Пациентите имат удължен нощен сън, дневна сънливост и продължителен следобеден сън, свързан с други вътрешни и неврологични заболявания. Някои елементи на заболяването може да са подобни на тези при нарколепсия и идиопатичната хиперсомния. Хиперсомния е описана при редица заболявания като метаболитна енцефалопатия, мозъчен инсулт, травма на ЦНС, енцефалити, системно възпаление (хронична инфекция, ревматологични и ракови заболявания), генетични и невродегенеративни болести.</w:t>
      </w:r>
    </w:p>
    <w:p w14:paraId="654F8F49"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i/>
          <w:color w:val="000000"/>
          <w:sz w:val="24"/>
          <w:szCs w:val="24"/>
          <w:lang w:eastAsia="bg-BG"/>
        </w:rPr>
        <w:t>Хиперсомнията при употреба на медикаменти и субстанции</w:t>
      </w:r>
      <w:r w:rsidRPr="00AE47C6">
        <w:rPr>
          <w:rFonts w:ascii="Times New Roman" w:eastAsia="SimSun" w:hAnsi="Times New Roman"/>
          <w:color w:val="000000"/>
          <w:sz w:val="24"/>
          <w:szCs w:val="24"/>
          <w:lang w:eastAsia="bg-BG"/>
        </w:rPr>
        <w:t xml:space="preserve"> настъпва при употреба на седиращи медикаменти, алкохол и други вещества водещи до привикване, както и при отнемане на стимулиращи медикаменти.</w:t>
      </w:r>
    </w:p>
    <w:p w14:paraId="3838DD47"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i/>
          <w:color w:val="000000"/>
          <w:sz w:val="24"/>
          <w:szCs w:val="24"/>
          <w:lang w:eastAsia="bg-BG"/>
        </w:rPr>
        <w:t>Хиперсомнията свързана с психиатрични заболявания</w:t>
      </w:r>
      <w:r w:rsidRPr="00AE47C6">
        <w:rPr>
          <w:rFonts w:ascii="Times New Roman" w:eastAsia="SimSun" w:hAnsi="Times New Roman"/>
          <w:color w:val="000000"/>
          <w:sz w:val="24"/>
          <w:szCs w:val="24"/>
          <w:lang w:eastAsia="bg-BG"/>
        </w:rPr>
        <w:t xml:space="preserve"> има общите характеристики на хиперсомния заедно с оплакване от неотморяващ сън с лошо качество. Пациентите са фиксирани към своята хиперсомнолентност и психиатричните симптоми остават често на заден план. По-често хиперсомния има при заболявания на настроението, конверзионни и недиференцирани соматоформени разстройства, а по-рядко при - шизоафективни и личностови разстройства.</w:t>
      </w:r>
    </w:p>
    <w:p w14:paraId="788DCCFF"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i/>
          <w:color w:val="000000"/>
          <w:sz w:val="24"/>
          <w:szCs w:val="24"/>
          <w:lang w:eastAsia="bg-BG"/>
        </w:rPr>
        <w:t xml:space="preserve">Синдромът на недостатъчният сън </w:t>
      </w:r>
      <w:r w:rsidRPr="00AE47C6">
        <w:rPr>
          <w:rFonts w:ascii="Times New Roman" w:eastAsia="SimSun" w:hAnsi="Times New Roman"/>
          <w:color w:val="000000"/>
          <w:sz w:val="24"/>
          <w:szCs w:val="24"/>
          <w:lang w:eastAsia="bg-BG"/>
        </w:rPr>
        <w:t>се дължи на отделяне на все по-дълги периоди от нощния сън за социални и професионални дейности. Сънната депривация има кумулативен ефект и хората с този синдром остават в състояние на хронична частична сънна депривация, като не могат да постигнат оптимални нива на будност и внимание. Соматичният статус не дава обяснение за хиперсомнията. Подробна анамнеза за навиците на сън насочват към тази диагноза. Характерни са също доспиването по време на ваканция или в края на седмицата. Пациенти с този синдром могат да имат когнитивни и поведенчески отклонения - раздразнителност, дефицит на вниманието, анергия, дисфория, уморяемост, нетърпеливост, дискоординация и др.</w:t>
      </w:r>
    </w:p>
    <w:p w14:paraId="72FE5B87"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Поведението при </w:t>
      </w:r>
      <w:r w:rsidRPr="00AE47C6">
        <w:rPr>
          <w:rFonts w:ascii="Times New Roman" w:eastAsia="SimSun" w:hAnsi="Times New Roman"/>
          <w:b/>
          <w:color w:val="000000"/>
          <w:sz w:val="24"/>
          <w:szCs w:val="24"/>
          <w:lang w:eastAsia="bg-BG"/>
        </w:rPr>
        <w:t xml:space="preserve">лечение </w:t>
      </w:r>
      <w:r w:rsidRPr="00AE47C6">
        <w:rPr>
          <w:rFonts w:ascii="Times New Roman" w:eastAsia="SimSun" w:hAnsi="Times New Roman"/>
          <w:color w:val="000000"/>
          <w:sz w:val="24"/>
          <w:szCs w:val="24"/>
          <w:lang w:eastAsia="bg-BG"/>
        </w:rPr>
        <w:t>на хиперсомниите след уточняване на диагнозата включва фармакологична и поведенческа терапия. Медикаментите, които се употребяват за лечение на дневната сънливост и катаплексията са посочени в табл.16. 5. Поведенческата терапия се състои от следните основни компоненти:</w:t>
      </w:r>
    </w:p>
    <w:p w14:paraId="230A44DA" w14:textId="77777777" w:rsidR="00BE0B19" w:rsidRPr="00AE47C6" w:rsidRDefault="00BE0B19" w:rsidP="00BE0B19">
      <w:pPr>
        <w:numPr>
          <w:ilvl w:val="0"/>
          <w:numId w:val="425"/>
        </w:numPr>
        <w:tabs>
          <w:tab w:val="left" w:pos="993"/>
        </w:tab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Разясняване на вида на хиперсомнията, хода и прогнозата на заболяването, и принципите на лечение</w:t>
      </w:r>
    </w:p>
    <w:p w14:paraId="5C002DF2" w14:textId="77777777" w:rsidR="00BE0B19" w:rsidRPr="00AE47C6" w:rsidRDefault="00BE0B19" w:rsidP="00BE0B19">
      <w:pPr>
        <w:numPr>
          <w:ilvl w:val="0"/>
          <w:numId w:val="425"/>
        </w:numPr>
        <w:tabs>
          <w:tab w:val="left" w:pos="993"/>
        </w:tab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Препоръчване на регулярни периоди от 10-20 минути сън през около 2-4 часа в хода на деня</w:t>
      </w:r>
    </w:p>
    <w:p w14:paraId="0DEF7316" w14:textId="77777777" w:rsidR="00BE0B19" w:rsidRPr="00AE47C6" w:rsidRDefault="00BE0B19" w:rsidP="00BE0B19">
      <w:pPr>
        <w:numPr>
          <w:ilvl w:val="0"/>
          <w:numId w:val="425"/>
        </w:numPr>
        <w:tabs>
          <w:tab w:val="left" w:pos="993"/>
        </w:tab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Спазване на редовни часове за лягане, ставане и продължителност на нощния сън</w:t>
      </w:r>
    </w:p>
    <w:p w14:paraId="361EC21F" w14:textId="77777777" w:rsidR="00BE0B19" w:rsidRPr="00AE47C6" w:rsidRDefault="00BE0B19" w:rsidP="00BE0B19">
      <w:pPr>
        <w:numPr>
          <w:ilvl w:val="0"/>
          <w:numId w:val="425"/>
        </w:numPr>
        <w:tabs>
          <w:tab w:val="left" w:pos="993"/>
        </w:tab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При възможност постигане 9 часа продължителност на нощния сън.</w:t>
      </w:r>
    </w:p>
    <w:p w14:paraId="550A02C4"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 </w:t>
      </w:r>
    </w:p>
    <w:p w14:paraId="7C18FB6E"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bookmarkStart w:id="310" w:name="H7"/>
      <w:bookmarkEnd w:id="310"/>
      <w:r w:rsidRPr="00AE47C6">
        <w:rPr>
          <w:rFonts w:ascii="Times New Roman" w:eastAsia="SimSun" w:hAnsi="Times New Roman"/>
          <w:b/>
          <w:bCs/>
          <w:color w:val="000000"/>
          <w:sz w:val="24"/>
          <w:szCs w:val="24"/>
          <w:lang w:eastAsia="bg-BG"/>
        </w:rPr>
        <w:t xml:space="preserve">Нарушения на циркадния ритъм сън-бодърстване. </w:t>
      </w:r>
      <w:r w:rsidRPr="00AE47C6">
        <w:rPr>
          <w:rFonts w:ascii="Times New Roman" w:eastAsia="SimSun" w:hAnsi="Times New Roman"/>
          <w:color w:val="000000"/>
          <w:sz w:val="24"/>
          <w:szCs w:val="24"/>
          <w:lang w:eastAsia="bg-BG"/>
        </w:rPr>
        <w:t>Заболяванията на циркадния ритъм се характеризират с хронично или рекурентно нарушение на съня поради засягане на циркадната система или несъответствие между биологичния часовник на индивида и околната среда (1). Съществуват няколко типа циркадианни нарушения:</w:t>
      </w:r>
    </w:p>
    <w:p w14:paraId="6572B02E"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 Най-честите нарушения са </w:t>
      </w:r>
      <w:r w:rsidRPr="00AE47C6">
        <w:rPr>
          <w:rFonts w:ascii="Times New Roman" w:eastAsia="SimSun" w:hAnsi="Times New Roman"/>
          <w:i/>
          <w:color w:val="000000"/>
          <w:sz w:val="24"/>
          <w:szCs w:val="24"/>
          <w:lang w:eastAsia="bg-BG"/>
        </w:rPr>
        <w:t>работата на смени и jet lag</w:t>
      </w:r>
      <w:r w:rsidRPr="00AE47C6">
        <w:rPr>
          <w:rFonts w:ascii="Times New Roman" w:eastAsia="SimSun" w:hAnsi="Times New Roman"/>
          <w:color w:val="000000"/>
          <w:sz w:val="24"/>
          <w:szCs w:val="24"/>
          <w:lang w:eastAsia="bg-BG"/>
        </w:rPr>
        <w:t xml:space="preserve"> (смяна на часовите зони), но те често не достигат до вниманието на лекарите. Последният се характеризира се с различно по степен затруднение при заспиване, дневна сънливост, понижено внимание и справяне с ежедневните задължения и соматични, най-често гастроинтестинални, симптоми при пътуване и честа смяна на повече времеви зони. Работата на смени изисква спане и бодърстване в нефизиологични, променящи се интервали, което води до инсомния и/или хиперсомния.</w:t>
      </w:r>
    </w:p>
    <w:p w14:paraId="7BDDD369"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xml:space="preserve">● </w:t>
      </w:r>
      <w:r w:rsidRPr="00AE47C6">
        <w:rPr>
          <w:rFonts w:ascii="Times New Roman" w:eastAsia="SimSun" w:hAnsi="Times New Roman"/>
          <w:i/>
          <w:color w:val="000000"/>
          <w:sz w:val="24"/>
          <w:szCs w:val="24"/>
          <w:lang w:eastAsia="bg-BG"/>
        </w:rPr>
        <w:t>Забавената фаза на сън-бодърстване</w:t>
      </w:r>
      <w:r w:rsidRPr="00AE47C6">
        <w:rPr>
          <w:rFonts w:ascii="Times New Roman" w:eastAsia="SimSun" w:hAnsi="Times New Roman"/>
          <w:color w:val="000000"/>
          <w:sz w:val="24"/>
          <w:szCs w:val="24"/>
          <w:lang w:eastAsia="bg-BG"/>
        </w:rPr>
        <w:t xml:space="preserve"> се характеризира със сън и бодърстване, които настъпват по-късно от обичайните часове (Delayed sleep-wake phase disorder). Веднъж започнал, сънят обикновено е с нормални характеристики. Типичният пациент има трудности при заспиване и се събужда късно. Заболяването е характерно за по-младата възраст.</w:t>
      </w:r>
    </w:p>
    <w:p w14:paraId="08046945"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xml:space="preserve">● </w:t>
      </w:r>
      <w:r w:rsidRPr="00AE47C6">
        <w:rPr>
          <w:rFonts w:ascii="Times New Roman" w:eastAsia="SimSun" w:hAnsi="Times New Roman"/>
          <w:i/>
          <w:color w:val="000000"/>
          <w:sz w:val="24"/>
          <w:szCs w:val="24"/>
          <w:lang w:eastAsia="bg-BG"/>
        </w:rPr>
        <w:t>Изпреварващата фаза сън-бодърстване</w:t>
      </w:r>
      <w:r w:rsidRPr="00AE47C6">
        <w:rPr>
          <w:rFonts w:ascii="Times New Roman" w:eastAsia="SimSun" w:hAnsi="Times New Roman"/>
          <w:color w:val="000000"/>
          <w:sz w:val="24"/>
          <w:szCs w:val="24"/>
          <w:lang w:eastAsia="bg-BG"/>
        </w:rPr>
        <w:t xml:space="preserve"> (Advanced sleep-wake phase disorder) се характеризира със сън и събуждане, които настъпват по-рано от обичайните часове. Типичният пациент заспива спонтанно рано и се събужда рано. Това заболяване се среща по-рядко и е по-често при по-възрастни хора.</w:t>
      </w:r>
    </w:p>
    <w:p w14:paraId="2C4734F0"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xml:space="preserve">● </w:t>
      </w:r>
      <w:r w:rsidRPr="00AE47C6">
        <w:rPr>
          <w:rFonts w:ascii="Times New Roman" w:eastAsia="SimSun" w:hAnsi="Times New Roman"/>
          <w:i/>
          <w:color w:val="000000"/>
          <w:sz w:val="24"/>
          <w:szCs w:val="24"/>
          <w:lang w:eastAsia="bg-BG"/>
        </w:rPr>
        <w:t>Нерегулярен ритъм сън-бодърстване</w:t>
      </w:r>
      <w:r w:rsidRPr="00AE47C6">
        <w:rPr>
          <w:rFonts w:ascii="Times New Roman" w:eastAsia="SimSun" w:hAnsi="Times New Roman"/>
          <w:color w:val="000000"/>
          <w:sz w:val="24"/>
          <w:szCs w:val="24"/>
          <w:lang w:eastAsia="bg-BG"/>
        </w:rPr>
        <w:t xml:space="preserve"> има при липса на ясно определим ритъм на съня и бодрото състояние. Той се среща често при деца с проблеми в развитието и при възрастни с невродегенеративни заболявания като болест на Alzheimer, Huntington и Паркинсон.</w:t>
      </w:r>
    </w:p>
    <w:p w14:paraId="42C6AFDB"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xml:space="preserve">● </w:t>
      </w:r>
      <w:r w:rsidRPr="00AE47C6">
        <w:rPr>
          <w:rFonts w:ascii="Times New Roman" w:eastAsia="SimSun" w:hAnsi="Times New Roman"/>
          <w:i/>
          <w:color w:val="000000"/>
          <w:sz w:val="24"/>
          <w:szCs w:val="24"/>
          <w:lang w:eastAsia="bg-BG"/>
        </w:rPr>
        <w:t>Не-24-часовия ритъм сън-бодърстване</w:t>
      </w:r>
      <w:r w:rsidRPr="00AE47C6">
        <w:rPr>
          <w:rFonts w:ascii="Times New Roman" w:eastAsia="SimSun" w:hAnsi="Times New Roman"/>
          <w:color w:val="000000"/>
          <w:sz w:val="24"/>
          <w:szCs w:val="24"/>
          <w:lang w:eastAsia="bg-BG"/>
        </w:rPr>
        <w:t xml:space="preserve"> се характеризира с флуктуиращи периоди на инсомния и/или ексцесивна дневна сънливост, които са резултат на липса на синхронизация на вътрешния циркаден пейсмейкър с 24-часовия цикъл на светлина и тъмнина. Повечето пациенти с това заболяване са с тотална слепота и не получават светлинен сигнал до циркадния пейсмейкър. През 2014 г. Американската агенция по храните и лекарствата одобрява мелатониновия агонист Tasimelteon за лечение на циркадни нарушения при слепи пациенти. Това е и единственото одобрено лечение за циркадианни нарушения в Америка.</w:t>
      </w:r>
    </w:p>
    <w:p w14:paraId="5B554823"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xml:space="preserve">● </w:t>
      </w:r>
      <w:r w:rsidRPr="00AE47C6">
        <w:rPr>
          <w:rFonts w:ascii="Times New Roman" w:eastAsia="SimSun" w:hAnsi="Times New Roman"/>
          <w:i/>
          <w:color w:val="000000"/>
          <w:sz w:val="24"/>
          <w:szCs w:val="24"/>
          <w:lang w:eastAsia="bg-BG"/>
        </w:rPr>
        <w:t>Циркадни нарушения, които не са описани другаде</w:t>
      </w:r>
      <w:r w:rsidRPr="00AE47C6">
        <w:rPr>
          <w:rFonts w:ascii="Times New Roman" w:eastAsia="SimSun" w:hAnsi="Times New Roman"/>
          <w:color w:val="000000"/>
          <w:sz w:val="24"/>
          <w:szCs w:val="24"/>
          <w:lang w:eastAsia="bg-BG"/>
        </w:rPr>
        <w:t>.</w:t>
      </w:r>
    </w:p>
    <w:p w14:paraId="71BD4FE9"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xml:space="preserve">● </w:t>
      </w:r>
      <w:r w:rsidRPr="00AE47C6">
        <w:rPr>
          <w:rFonts w:ascii="Times New Roman" w:eastAsia="SimSun" w:hAnsi="Times New Roman"/>
          <w:i/>
          <w:color w:val="000000"/>
          <w:sz w:val="24"/>
          <w:szCs w:val="24"/>
          <w:lang w:eastAsia="bg-BG"/>
        </w:rPr>
        <w:t>Нарушения на циркадния ритъм, поради вътрешни, психиатрични или неврологични заболявания.</w:t>
      </w:r>
    </w:p>
    <w:p w14:paraId="06AF9EC0"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b/>
          <w:color w:val="000000"/>
          <w:sz w:val="24"/>
          <w:szCs w:val="24"/>
          <w:lang w:eastAsia="bg-BG"/>
        </w:rPr>
      </w:pPr>
      <w:r w:rsidRPr="00AE47C6">
        <w:rPr>
          <w:rFonts w:ascii="Times New Roman" w:eastAsia="SimSun" w:hAnsi="Times New Roman"/>
          <w:b/>
          <w:color w:val="000000"/>
          <w:sz w:val="24"/>
          <w:szCs w:val="24"/>
          <w:lang w:eastAsia="bg-BG"/>
        </w:rPr>
        <w:t>Общите критерии за всички нарушения на циркадния ритъм сън-бодърстване са:</w:t>
      </w:r>
    </w:p>
    <w:p w14:paraId="1A69DE08"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Хронично или рекурентно нарушение на ритъма сън-бодърстване, което се дължи на увреждане на ендогенната циркадна система и не съответства на желаната или изисквана схема на сън и бодърстване.</w:t>
      </w:r>
    </w:p>
    <w:p w14:paraId="6A7787CF"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Наличие на нарушение на съня и бодърстването включващо инсомния и/или ексцесивна дневна сънливост.</w:t>
      </w:r>
    </w:p>
    <w:p w14:paraId="06A2052B"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Свързан с нарушението дистрес и дискомфорт.</w:t>
      </w:r>
    </w:p>
    <w:p w14:paraId="10ACE47E"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Основна характеристика на всички заболявания от тази група е невъзможността да останеш буден или да спиш тогава, когато това е необходимо. Поради това пациентите се оплакват от инсомния или хиперсомния. Веднъж настъпил нощният сън е най-често с нормални характеристики. При подозрение за наличие на други заболявания на съня като причина за инсомния или хиперсомния, диагнозата нарушение на циркадния ритъм не би следвало да се поставя. Например пациенти с недостатъчно сън, които имат промяна във фазата на заспиване и събуждане не би следвало да се диагностицират като циркадианни. Всички заболявания с изключение на смяната на часовите зони (jet lag) трябва да са с продължителност най-малко три месеца. Циркадните нарушения се обективизират най-добре с актиграфия и/или изследване на биомаркери - мелатонин. Съществуват и валидирани въпросници за определяне на хронотипа, които могат да помогнат при поставяне на диагнозата, но не са задължителни. Воденето на дневник на съня също може да е от полза. Не се налага полисомнографско изследване. </w:t>
      </w:r>
    </w:p>
    <w:p w14:paraId="53C66D25"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b/>
          <w:color w:val="000000"/>
          <w:sz w:val="24"/>
          <w:szCs w:val="24"/>
          <w:lang w:eastAsia="bg-BG"/>
        </w:rPr>
        <w:t xml:space="preserve">Лечение. </w:t>
      </w:r>
      <w:r w:rsidRPr="00AE47C6">
        <w:rPr>
          <w:rFonts w:ascii="Times New Roman" w:eastAsia="SimSun" w:hAnsi="Times New Roman"/>
          <w:color w:val="000000"/>
          <w:sz w:val="24"/>
          <w:szCs w:val="24"/>
          <w:lang w:eastAsia="bg-BG"/>
        </w:rPr>
        <w:t>При работа на смени се препоръчват кратки планирани периоди сън. При тях е уместно и приложение на лечение със светлина в съответните на смяната периоди. При пациенти работещи на смени е уместно и приложението на хипнотици, но не и на стимуланти. Терапията със светлина е показана и при пациенти с изпреварваща или забавена фаза на сън. При jet-lag може да се прилага мелатонин по схема.</w:t>
      </w:r>
    </w:p>
    <w:p w14:paraId="7E560732"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p>
    <w:p w14:paraId="455EF270"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bookmarkStart w:id="311" w:name="H8"/>
      <w:bookmarkEnd w:id="311"/>
      <w:r w:rsidRPr="00AE47C6">
        <w:rPr>
          <w:rFonts w:ascii="Times New Roman" w:eastAsia="SimSun" w:hAnsi="Times New Roman"/>
          <w:b/>
          <w:bCs/>
          <w:color w:val="000000"/>
          <w:sz w:val="24"/>
          <w:szCs w:val="24"/>
          <w:lang w:eastAsia="bg-BG"/>
        </w:rPr>
        <w:t>Парасомнии</w:t>
      </w:r>
      <w:r w:rsidRPr="00AE47C6">
        <w:rPr>
          <w:rFonts w:ascii="Times New Roman" w:eastAsia="SimSun" w:hAnsi="Times New Roman"/>
          <w:b/>
          <w:color w:val="000000"/>
          <w:sz w:val="24"/>
          <w:szCs w:val="24"/>
          <w:lang w:eastAsia="bg-BG"/>
        </w:rPr>
        <w:t>те</w:t>
      </w:r>
      <w:r w:rsidRPr="00AE47C6">
        <w:rPr>
          <w:rFonts w:ascii="Times New Roman" w:eastAsia="SimSun" w:hAnsi="Times New Roman"/>
          <w:color w:val="000000"/>
          <w:sz w:val="24"/>
          <w:szCs w:val="24"/>
          <w:lang w:eastAsia="bg-BG"/>
        </w:rPr>
        <w:t xml:space="preserve"> са нежелани физически феномени (движения, поведения) или преживявания (емоции, усещания, сънища), които се случват при заспиване, по време на сън или при събуждане от сън. Наблюдаваните движения са по-комплексни и изглеждат по-целенасочени от стереотипните двигателни нарушения по време на сън. Парасомниите се разделят на парасомнии по време на бавновълновия не-RЕМ сън, парасомнии по време на RЕМ съня и други парасомнии. Най-често парасомниите имат бенигнен характер, като често са свързани с детската възраст.</w:t>
      </w:r>
    </w:p>
    <w:p w14:paraId="66879478"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bookmarkStart w:id="312" w:name="H618724319"/>
      <w:bookmarkEnd w:id="312"/>
      <w:r w:rsidRPr="00AE47C6">
        <w:rPr>
          <w:rFonts w:ascii="Times New Roman" w:eastAsia="SimSun" w:hAnsi="Times New Roman"/>
          <w:i/>
          <w:color w:val="000000"/>
          <w:sz w:val="24"/>
          <w:szCs w:val="24"/>
          <w:lang w:eastAsia="bg-BG"/>
        </w:rPr>
        <w:t>Парасомниите по време на не-RЕМ съня</w:t>
      </w:r>
      <w:r w:rsidRPr="00AE47C6">
        <w:rPr>
          <w:rFonts w:ascii="Times New Roman" w:eastAsia="SimSun" w:hAnsi="Times New Roman"/>
          <w:color w:val="000000"/>
          <w:sz w:val="24"/>
          <w:szCs w:val="24"/>
          <w:lang w:eastAsia="bg-BG"/>
        </w:rPr>
        <w:t xml:space="preserve"> са заболявания на събуждането. Те са събуждане с объркване, ходене на сън (сомнамбулизъм) и хранително разстройство, свързано със съня.  Общите критерии за диагностика на не-RЕМ парасомниите са:</w:t>
      </w:r>
    </w:p>
    <w:p w14:paraId="7A579B01"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Повтарящи се епизоди на непълно събуждане</w:t>
      </w:r>
    </w:p>
    <w:p w14:paraId="0DE26649"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Липсващ или неадекватен отговор</w:t>
      </w:r>
    </w:p>
    <w:p w14:paraId="417AA7CE"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xml:space="preserve">● Ограничен или липсващ когнитивен спомен или спомен от съновидения </w:t>
      </w:r>
    </w:p>
    <w:p w14:paraId="198466E6"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Частична или пълна амнезия за събитието</w:t>
      </w:r>
    </w:p>
    <w:p w14:paraId="076C4FF6"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За всяко заболяване има и допълнителни диагностични критерии, като пациентите могат да имат и симптоми за повече от едно заболяване - например за “нощен страх” (pavor nocturnus) и сомнамбулизъм.</w:t>
      </w:r>
    </w:p>
    <w:p w14:paraId="61445201"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bookmarkStart w:id="313" w:name="H618724326"/>
      <w:bookmarkEnd w:id="313"/>
      <w:r w:rsidRPr="00AE47C6">
        <w:rPr>
          <w:rFonts w:ascii="Times New Roman" w:eastAsia="SimSun" w:hAnsi="Times New Roman"/>
          <w:i/>
          <w:iCs/>
          <w:color w:val="000000"/>
          <w:sz w:val="24"/>
          <w:szCs w:val="24"/>
          <w:lang w:eastAsia="bg-BG"/>
        </w:rPr>
        <w:t xml:space="preserve">Свързаните с RЕМ-съня парасомнии </w:t>
      </w:r>
      <w:r w:rsidRPr="00AE47C6">
        <w:rPr>
          <w:rFonts w:ascii="Times New Roman" w:eastAsia="SimSun" w:hAnsi="Times New Roman"/>
          <w:color w:val="000000"/>
          <w:sz w:val="24"/>
          <w:szCs w:val="24"/>
          <w:lang w:eastAsia="bg-BG"/>
        </w:rPr>
        <w:t>включват проникване на елементи на RЕМ-съня в будното състояние (напр. сънна парализа), екзагрегация на елементите на RЕМ-съня (напр. нощни кошмари) или липса на основни елементи на RЕМ-съня (липса на атония по време на RЕМ при поведенчески промени в RЕМ-съня).</w:t>
      </w:r>
    </w:p>
    <w:p w14:paraId="150ACEB3"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b/>
          <w:color w:val="000000"/>
          <w:sz w:val="24"/>
          <w:szCs w:val="24"/>
          <w:lang w:eastAsia="bg-BG"/>
        </w:rPr>
        <w:t>Диагнозата на поведенческите промени в RЕМ-съня</w:t>
      </w:r>
      <w:r w:rsidRPr="00AE47C6">
        <w:rPr>
          <w:rFonts w:ascii="Times New Roman" w:eastAsia="SimSun" w:hAnsi="Times New Roman"/>
          <w:color w:val="000000"/>
          <w:sz w:val="24"/>
          <w:szCs w:val="24"/>
          <w:lang w:eastAsia="bg-BG"/>
        </w:rPr>
        <w:t xml:space="preserve"> (REM sleep behavior disorder - RBD) се поставя по наличието на повтарящи се епизоди с двигателна поведенческа реакция и вокализация по време на RЕМ-съня. Движенията могат да са от мятане и размахване на ръце до падане от леглото и нанасяне на удари на партньора. Допълнително трябва да има запис на RЕМ-сън без атония по време на полисомнографията (най-често с повече от един ЕМГ електрод). Регистрира се запазена мускулна активност или засилена фазична мускулна активност. Повечето случаи започват над 50 годишна възраст, най-често над 65. Това са по-често мъже, чието първо оплакване е самонараняване или нараняване на партньора по легло по време на сън. Пациентът често съобщава за много живи и застрашителни за него съновидения - преследване, самозащита и др. Много важна за поставяне на диагнозата е анамнезата от партньора по легло.</w:t>
      </w:r>
    </w:p>
    <w:p w14:paraId="5AA876CD"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Честотата на RBD в общата популация е 0,5%, но във възрастта над 70 и в психиатрични популации може да премине 5%. Проява на заболяването под 50 годишна възраст се среща по-често при жени и е с по-леко клинично протичане. Клинични прояви на поведенчески промени в RЕМ-съня може да има и при прием на определени медикаменти  (инхибитори на обратния захват на серотонина и норадреналина, бета блокери, отнемане на алкохол и барбитурати). При тези пациенти диагнозата следва да бъде RBD, а не парасомния, поради употреба на медикаменти и субстанции, ако са покрити критериите за RBD. Заболяването често се съчетава като синдром на припокриване с нарколепсия, депресия и други парасомнии (9). Много често RBD е свързано с редица неврологични заболявания: мултисистемна атрофия, деменция с телца на Lewi, болест на Паркинсон, прогресивна супрануклеарна парализа, болест на Alzheimer, множествена склероза, мозъчни тумори и др. Поради това при наличие на полисомнографски и клинични данни за този вид парасомния е необходимо да се проведе подробно неврологично и образно изследване. Счита се, че в повече от половината от случаите с RBD след 5 до 15 години може да развие болест на Паркинсон. При пациенти с RBD съществува и голям риск от самонараняване и нараняване на партньора, който се изчислява на 30-95%. При пациенти с ОСА се наблюдава симптоматика наподобяваща RBD, която се обозначава като псевдоповеденческа промяна в RЕМ. </w:t>
      </w:r>
    </w:p>
    <w:p w14:paraId="0BE28525"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За </w:t>
      </w:r>
      <w:r w:rsidRPr="00AE47C6">
        <w:rPr>
          <w:rFonts w:ascii="Times New Roman" w:eastAsia="SimSun" w:hAnsi="Times New Roman"/>
          <w:b/>
          <w:color w:val="000000"/>
          <w:sz w:val="24"/>
          <w:szCs w:val="24"/>
          <w:lang w:eastAsia="bg-BG"/>
        </w:rPr>
        <w:t>лечението</w:t>
      </w:r>
      <w:r w:rsidRPr="00AE47C6">
        <w:rPr>
          <w:rFonts w:ascii="Times New Roman" w:eastAsia="SimSun" w:hAnsi="Times New Roman"/>
          <w:color w:val="000000"/>
          <w:sz w:val="24"/>
          <w:szCs w:val="24"/>
          <w:lang w:eastAsia="bg-BG"/>
        </w:rPr>
        <w:t xml:space="preserve"> на RBD са предлагани множество медикаменти - </w:t>
      </w:r>
      <w:r w:rsidRPr="00AE47C6">
        <w:rPr>
          <w:rFonts w:ascii="Times New Roman" w:eastAsia="SimSun" w:hAnsi="Times New Roman"/>
          <w:i/>
          <w:color w:val="000000"/>
          <w:sz w:val="24"/>
          <w:szCs w:val="24"/>
          <w:lang w:eastAsia="bg-BG"/>
        </w:rPr>
        <w:t>бензодиазепини, небензодиазепинови сънотворни, мелатонин и мелатонин-рецепторни агонисти, допаминергични, антипсихотични и антиепилептични медикаменти</w:t>
      </w:r>
      <w:r w:rsidRPr="00AE47C6">
        <w:rPr>
          <w:rFonts w:ascii="Times New Roman" w:eastAsia="SimSun" w:hAnsi="Times New Roman"/>
          <w:color w:val="000000"/>
          <w:sz w:val="24"/>
          <w:szCs w:val="24"/>
          <w:lang w:eastAsia="bg-BG"/>
        </w:rPr>
        <w:t xml:space="preserve">. Преди започване на медикаментозното лечение, както при всяка друга парасомния следва да разясни характера на заболяването и да се вземат мерки срещу самонараняване и нараняване на семейството. Такива мерки са: спане на ниско, матрак на земята, отдалечаване от мебели, прозорци или подсигуряване на прозорците и вратите, осигуряване на опасни и остри предмети, спане на партньорите в отделни помещения и др. Важно е също избягването на сънна депривация, избягване на антидепресанти, алкохол и възбуждащи субстанции. Единственият антидепресант, който до момента не е свързан с възникване на RBD e Bupropion. </w:t>
      </w:r>
    </w:p>
    <w:p w14:paraId="0C1A9AC9"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Единствената парасомния, при която има ясни индикации за медикаментозно лечение е RBD. Средство на първи избор, както при повечето парасомнии, е </w:t>
      </w:r>
      <w:r w:rsidRPr="00AE47C6">
        <w:rPr>
          <w:rFonts w:ascii="Times New Roman" w:eastAsia="SimSun" w:hAnsi="Times New Roman"/>
          <w:i/>
          <w:color w:val="000000"/>
          <w:sz w:val="24"/>
          <w:szCs w:val="24"/>
          <w:lang w:eastAsia="bg-BG"/>
        </w:rPr>
        <w:t>Clonazepam</w:t>
      </w:r>
      <w:r w:rsidRPr="00AE47C6">
        <w:rPr>
          <w:rFonts w:ascii="Times New Roman" w:eastAsia="SimSun" w:hAnsi="Times New Roman"/>
          <w:color w:val="000000"/>
          <w:sz w:val="24"/>
          <w:szCs w:val="24"/>
          <w:lang w:eastAsia="bg-BG"/>
        </w:rPr>
        <w:t xml:space="preserve">. Първоначален отговор се установява при над 90% от пациентите с дози 0,5 до 2 mg, но на по-късен етап от лечението се наблюдават привикване и отслабване на ефекта. Необходимо е да се отчита и рискът от натрупване, възникване на дневна сънливост и повишения риск от падания. </w:t>
      </w:r>
    </w:p>
    <w:p w14:paraId="73B0C94A"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По последни данни приемът на </w:t>
      </w:r>
      <w:r w:rsidRPr="00AE47C6">
        <w:rPr>
          <w:rFonts w:ascii="Times New Roman" w:eastAsia="SimSun" w:hAnsi="Times New Roman"/>
          <w:i/>
          <w:color w:val="000000"/>
          <w:sz w:val="24"/>
          <w:szCs w:val="24"/>
          <w:lang w:eastAsia="bg-BG"/>
        </w:rPr>
        <w:t>мелатонин</w:t>
      </w:r>
      <w:r w:rsidRPr="00AE47C6">
        <w:rPr>
          <w:rFonts w:ascii="Times New Roman" w:eastAsia="SimSun" w:hAnsi="Times New Roman"/>
          <w:color w:val="000000"/>
          <w:sz w:val="24"/>
          <w:szCs w:val="24"/>
          <w:lang w:eastAsia="bg-BG"/>
        </w:rPr>
        <w:t xml:space="preserve"> е сравним с ефекта на Clonazepam при лечение на RBD, при по-добър профил на страничните явления. Повечето пациенти отговарят на 3 mg перорална доза. Механизмът на ефекта на мелатонина при тези болни остава неясен, но се предполага, че е възможно да става въпрос за калмодулинов антагонизъм. При липса на възможност за приложение или липса на ефективност на Clonazepam или мелатонин, не е ясно какъв да бъде следващият избор. Даже и за тях доказателствата са от малки контролирани серии или по ретроспективни данни. При пациенти с деменция или синуклеинопатии се препоръчва лечение с ацетилхолинестеразни инхибитори (9).  </w:t>
      </w:r>
    </w:p>
    <w:p w14:paraId="60270588"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i/>
          <w:iCs/>
          <w:color w:val="000000"/>
          <w:sz w:val="24"/>
          <w:szCs w:val="24"/>
          <w:lang w:eastAsia="bg-BG"/>
        </w:rPr>
        <w:t xml:space="preserve">Нощните кошмари </w:t>
      </w:r>
      <w:r w:rsidRPr="00AE47C6">
        <w:rPr>
          <w:rFonts w:ascii="Times New Roman" w:eastAsia="SimSun" w:hAnsi="Times New Roman"/>
          <w:color w:val="000000"/>
          <w:sz w:val="24"/>
          <w:szCs w:val="24"/>
          <w:lang w:eastAsia="bg-BG"/>
        </w:rPr>
        <w:t>се характеризират с повтарящи се, натоварени със страх дисфорични съновидения, които пациентите добре си спомнят след събуждане и които водят до значителен дистрес и нарушение на съня. Кошмарите често са елемент от други заболявания, например от посттравматичния стрес. Тази диагноза се поставя само, когато кошмарите са център на клиничното внимание и/или изискват самостоятелно лечение.</w:t>
      </w:r>
      <w:bookmarkStart w:id="314" w:name="H618724333"/>
      <w:bookmarkEnd w:id="314"/>
    </w:p>
    <w:p w14:paraId="540C10BD"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i/>
          <w:iCs/>
          <w:color w:val="000000"/>
          <w:sz w:val="24"/>
          <w:szCs w:val="24"/>
          <w:lang w:eastAsia="bg-BG"/>
        </w:rPr>
        <w:t>Други парасомнии.</w:t>
      </w:r>
      <w:r w:rsidRPr="00AE47C6">
        <w:rPr>
          <w:rFonts w:ascii="Times New Roman" w:eastAsia="SimSun" w:hAnsi="Times New Roman"/>
          <w:color w:val="000000"/>
          <w:sz w:val="24"/>
          <w:szCs w:val="24"/>
          <w:lang w:eastAsia="bg-BG"/>
        </w:rPr>
        <w:t xml:space="preserve"> Тези парасомнии не настъпват в определен стадий на съня. Към тях спадат: синдром на експлодиращата глава, халюцинации по време на сън, нощно напикаване, парасомнии свързани с вътрешни заболявания, парасомнии поради употреба на субстанции или неопределени парасомнии.</w:t>
      </w:r>
    </w:p>
    <w:p w14:paraId="6DEB16CC"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p>
    <w:p w14:paraId="6ED67EC7"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bookmarkStart w:id="315" w:name="H9"/>
      <w:bookmarkEnd w:id="315"/>
      <w:r w:rsidRPr="00AE47C6">
        <w:rPr>
          <w:rFonts w:ascii="Times New Roman" w:eastAsia="SimSun" w:hAnsi="Times New Roman"/>
          <w:b/>
          <w:bCs/>
          <w:color w:val="000000"/>
          <w:sz w:val="24"/>
          <w:szCs w:val="24"/>
          <w:lang w:eastAsia="bg-BG"/>
        </w:rPr>
        <w:t xml:space="preserve">Двигателните нарушения по време на сън </w:t>
      </w:r>
      <w:r w:rsidRPr="00AE47C6">
        <w:rPr>
          <w:rFonts w:ascii="Times New Roman" w:eastAsia="SimSun" w:hAnsi="Times New Roman"/>
          <w:color w:val="000000"/>
          <w:sz w:val="24"/>
          <w:szCs w:val="24"/>
          <w:lang w:eastAsia="bg-BG"/>
        </w:rPr>
        <w:t>се характеризират с прости, стереотипни движения, които нарушават съня (1). Пациентите могат да ги осъзнават или да не ги осъзнават.</w:t>
      </w:r>
    </w:p>
    <w:p w14:paraId="35CA7D13"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За поставяне на диагнозата двигателни нарушения по време на сън е необходимо наличието на нарушение на съня като дневна сънливост, уморяемост, инсомния. Движения, които настъпват по време на сън, но не засягат негативно дневното функциониране на индивида, не се определят като двигателно нарушение по време на сън. Синдромът на неспокойните крака (Restless legs syndrome, RLS, болест на </w:t>
      </w:r>
      <w:r w:rsidRPr="00AE47C6">
        <w:rPr>
          <w:rFonts w:ascii="Times New Roman" w:eastAsia="SimSun" w:hAnsi="Times New Roman"/>
          <w:sz w:val="24"/>
          <w:szCs w:val="24"/>
          <w:lang w:eastAsia="bg-BG"/>
        </w:rPr>
        <w:t>Willis-Ekbom</w:t>
      </w:r>
      <w:r w:rsidRPr="00AE47C6">
        <w:rPr>
          <w:rFonts w:ascii="Times New Roman" w:eastAsia="SimSun" w:hAnsi="Times New Roman"/>
          <w:color w:val="000000"/>
          <w:sz w:val="24"/>
          <w:szCs w:val="24"/>
          <w:lang w:eastAsia="bg-BG"/>
        </w:rPr>
        <w:t>) също е включен в тази категория болести, но при него първичната симптоматика са неприятните, дизестезични усещания  в будно състояние. </w:t>
      </w:r>
    </w:p>
    <w:p w14:paraId="342D0138"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b/>
          <w:color w:val="000000"/>
          <w:sz w:val="24"/>
          <w:szCs w:val="24"/>
          <w:lang w:eastAsia="bg-BG"/>
        </w:rPr>
      </w:pPr>
      <w:r w:rsidRPr="00AE47C6">
        <w:rPr>
          <w:rFonts w:ascii="Times New Roman" w:eastAsia="SimSun" w:hAnsi="Times New Roman"/>
          <w:b/>
          <w:color w:val="000000"/>
          <w:sz w:val="24"/>
          <w:szCs w:val="24"/>
          <w:lang w:eastAsia="bg-BG"/>
        </w:rPr>
        <w:t>Двигателните нарушения по време на сън са:</w:t>
      </w:r>
    </w:p>
    <w:p w14:paraId="3D94877A"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xml:space="preserve">● Синдром на неспокойните крака/болест на </w:t>
      </w:r>
      <w:r w:rsidRPr="00AE47C6">
        <w:rPr>
          <w:rFonts w:ascii="Times New Roman" w:eastAsia="SimSun" w:hAnsi="Times New Roman"/>
          <w:sz w:val="24"/>
          <w:szCs w:val="24"/>
          <w:lang w:eastAsia="bg-BG"/>
        </w:rPr>
        <w:t xml:space="preserve">Willis-Ekbom </w:t>
      </w:r>
      <w:r w:rsidRPr="00AE47C6">
        <w:rPr>
          <w:rFonts w:ascii="Times New Roman" w:eastAsia="SimSun" w:hAnsi="Times New Roman"/>
          <w:color w:val="000000"/>
          <w:sz w:val="24"/>
          <w:szCs w:val="24"/>
          <w:lang w:eastAsia="bg-BG"/>
        </w:rPr>
        <w:t>(RLS)</w:t>
      </w:r>
    </w:p>
    <w:p w14:paraId="061E2DC3"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Периодични движения на крайниците (Periodic limb movement disorder, PLMS)</w:t>
      </w:r>
    </w:p>
    <w:p w14:paraId="4ECE4E88"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Крампи, свързани със съня</w:t>
      </w:r>
    </w:p>
    <w:p w14:paraId="5BA79630"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Свързан със съня бруксизъм</w:t>
      </w:r>
    </w:p>
    <w:p w14:paraId="4739A706"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Свързани със съня ритмични движения</w:t>
      </w:r>
    </w:p>
    <w:p w14:paraId="09C96720"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Бенигнен детски миоклонус по време на сън</w:t>
      </w:r>
    </w:p>
    <w:p w14:paraId="0E85F737"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Проприоспинален миоклонус при заспиване</w:t>
      </w:r>
    </w:p>
    <w:p w14:paraId="4469C27C"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Двигателни нарушения по време на сън при вътрешни заболявания</w:t>
      </w:r>
    </w:p>
    <w:p w14:paraId="2856F028"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Двигателни нарушения по време на сън при употреба на медикаменти и субстанции</w:t>
      </w:r>
    </w:p>
    <w:p w14:paraId="2A47F198"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Неуточнени двигателни нарушения по време на сън.</w:t>
      </w:r>
    </w:p>
    <w:p w14:paraId="250C1D80"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p>
    <w:p w14:paraId="5CD483B3"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bookmarkStart w:id="316" w:name="H618724340"/>
      <w:bookmarkEnd w:id="316"/>
      <w:r w:rsidRPr="00AE47C6">
        <w:rPr>
          <w:rFonts w:ascii="Times New Roman" w:eastAsia="SimSun" w:hAnsi="Times New Roman"/>
          <w:b/>
          <w:color w:val="000000"/>
          <w:sz w:val="24"/>
          <w:szCs w:val="24"/>
          <w:lang w:eastAsia="bg-BG"/>
        </w:rPr>
        <w:t>Синдромът на неспокойните крака (RLS)</w:t>
      </w:r>
      <w:r w:rsidRPr="00AE47C6">
        <w:rPr>
          <w:rFonts w:ascii="Times New Roman" w:eastAsia="SimSun" w:hAnsi="Times New Roman"/>
          <w:color w:val="000000"/>
          <w:sz w:val="24"/>
          <w:szCs w:val="24"/>
          <w:lang w:eastAsia="bg-BG"/>
        </w:rPr>
        <w:t xml:space="preserve"> се категоризира като двигателно нарушение по време на сън, поради асоциацията му с периодичните движения по време на сън и времевата му връзка с началото на съня, въпреки че клиничната му изява не е с прости, стереотипни движения.</w:t>
      </w:r>
    </w:p>
    <w:p w14:paraId="5FCD5FD0"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Диагностичните критерии за  RLS според ICSD-3 включват необходимост за движение на краката и/или наличие на дискомфортно усещане, което възниква по време на покой при липса на активност и поне частично се облекчава от движение (докато движението продължава). Нарушението има циркаден характер и се случва предимно вечер и през нощта (1). Друг необходим критерий за поставяне на диагнозата е наличие на свързани с оплакванията дистрес или нарушение на съня. Поставянето на диагнозата е изцяло клинично. За определяне на тежестта на заболяването в литературата са предложени редица въпросници. Наличието на периодични движения по време на сън е допълнителен критерий за поставяне на диагнозата и изисква регистрацията им чрез полисомнографско изследване. За поставяне на диагнозата следва да бъдат отхвърлени и някои други заболявания като нощни крампи, варикоза на крайниците, артралгични оплаквания, отоци и др. Механизмът на заболяването предполага засягане на допаминергичните и опиоидни системи в ЦНС, поради което е уместно и изследване на серумното желязо (като кофактор на ензима тирозин хидроксилаза, който е от голяма важност за синтеза на допамина) и феритина. Честотата на RLS в различните популации варира между 2-11%, като с възрастта тя нараства. Честотата е по-висока и при бременни жени, при пациенти с болест на Паркинсон и при терминална бъбречна недостатъчност (10). </w:t>
      </w:r>
    </w:p>
    <w:p w14:paraId="64E19D14"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b/>
          <w:color w:val="000000"/>
          <w:sz w:val="24"/>
          <w:szCs w:val="24"/>
          <w:lang w:eastAsia="bg-BG"/>
        </w:rPr>
        <w:t>Лечението</w:t>
      </w:r>
      <w:r w:rsidRPr="00AE47C6">
        <w:rPr>
          <w:rFonts w:ascii="Times New Roman" w:eastAsia="SimSun" w:hAnsi="Times New Roman"/>
          <w:color w:val="000000"/>
          <w:sz w:val="24"/>
          <w:szCs w:val="24"/>
          <w:lang w:eastAsia="bg-BG"/>
        </w:rPr>
        <w:t xml:space="preserve"> на заболяването зависи от редица фактори като тежест на оплакванията, възраст на пациента, наличие на придружаващи заболявания и оплаквания (болка, депресия, тревожност, обсесивно-компулсивно поведение), странични ефекти на медикаментите и предпочитания на пациента. Заболяването най-често е с хроничен ход, а клиничните проучвания ни предлагат данни за проследяване в рамките на до 12 седмици. Лечението най-общо бива нефармакологично и фармакологично. </w:t>
      </w:r>
    </w:p>
    <w:p w14:paraId="3E540565"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i/>
          <w:color w:val="000000"/>
          <w:sz w:val="24"/>
          <w:szCs w:val="24"/>
          <w:lang w:eastAsia="bg-BG"/>
        </w:rPr>
        <w:t>Нефармакологичното лечение</w:t>
      </w:r>
      <w:r w:rsidRPr="00AE47C6">
        <w:rPr>
          <w:rFonts w:ascii="Times New Roman" w:eastAsia="SimSun" w:hAnsi="Times New Roman"/>
          <w:color w:val="000000"/>
          <w:sz w:val="24"/>
          <w:szCs w:val="24"/>
          <w:lang w:eastAsia="bg-BG"/>
        </w:rPr>
        <w:t xml:space="preserve"> включва най-вече избягване на факторите, които засилват RLS: сънна депривация, употреба на психотропни медикаменти (антидепресанти от всички групи, антипсихотици и други медикаменти блокиращи допаминовата система), седиращи антихистаминови препарати, кофеин и др. При много пациенти антидепресантите не могат да бъдат спрени, което налага RLS да се лекува по същия начин като първичния. Други методи за облекчение са умерените упражнения, масажите, пневматичните чорапи, карането на колело и др.</w:t>
      </w:r>
    </w:p>
    <w:p w14:paraId="385FDA92"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Серумните концентрации на феритин под 50 mcg/L се свързват с повишена тежест на RLS. Препоръчва се заместителна терапия с перорално или парентерално желязо при нива на феритина под 75 mcg/L.</w:t>
      </w:r>
    </w:p>
    <w:p w14:paraId="5050D593"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i/>
          <w:color w:val="000000"/>
          <w:sz w:val="24"/>
          <w:szCs w:val="24"/>
          <w:lang w:eastAsia="bg-BG"/>
        </w:rPr>
        <w:t>Фармакологичната терапия</w:t>
      </w:r>
      <w:r w:rsidRPr="00AE47C6">
        <w:rPr>
          <w:rFonts w:ascii="Times New Roman" w:eastAsia="SimSun" w:hAnsi="Times New Roman"/>
          <w:color w:val="000000"/>
          <w:sz w:val="24"/>
          <w:szCs w:val="24"/>
          <w:lang w:eastAsia="bg-BG"/>
        </w:rPr>
        <w:t xml:space="preserve"> на RLS изисква заболяването да е с умерено и тежко хронично протичане, като симптомите следва да са в поне две вечери седмично. Медикаментите на избор са </w:t>
      </w:r>
      <w:r w:rsidRPr="00AE47C6">
        <w:rPr>
          <w:rFonts w:ascii="Times New Roman" w:eastAsia="SimSun" w:hAnsi="Times New Roman"/>
          <w:i/>
          <w:color w:val="000000"/>
          <w:sz w:val="24"/>
          <w:szCs w:val="24"/>
          <w:lang w:eastAsia="bg-BG"/>
        </w:rPr>
        <w:t>допаминергичните средства и алфа-2-делта лигандите на калциевите канали</w:t>
      </w:r>
      <w:r w:rsidRPr="00AE47C6">
        <w:rPr>
          <w:rFonts w:ascii="Times New Roman" w:eastAsia="SimSun" w:hAnsi="Times New Roman"/>
          <w:color w:val="000000"/>
          <w:sz w:val="24"/>
          <w:szCs w:val="24"/>
          <w:lang w:eastAsia="bg-BG"/>
        </w:rPr>
        <w:t>.  Изборът на медикамент зависи от коморбидностите:</w:t>
      </w:r>
    </w:p>
    <w:p w14:paraId="481E4DA1" w14:textId="77777777" w:rsidR="00BE0B19" w:rsidRPr="00AE47C6" w:rsidRDefault="00BE0B19" w:rsidP="00BE0B19">
      <w:pPr>
        <w:numPr>
          <w:ilvl w:val="0"/>
          <w:numId w:val="425"/>
        </w:numPr>
        <w:tabs>
          <w:tab w:val="left" w:pos="993"/>
        </w:tab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За пациенти с тежка степен на заболяването, коморбидна депресия и/или метаболитен синдром следва да се предпочете лечение с допаминов агонист.</w:t>
      </w:r>
    </w:p>
    <w:p w14:paraId="4D95028A" w14:textId="77777777" w:rsidR="00BE0B19" w:rsidRPr="00AE47C6" w:rsidRDefault="00BE0B19" w:rsidP="00BE0B19">
      <w:pPr>
        <w:numPr>
          <w:ilvl w:val="0"/>
          <w:numId w:val="425"/>
        </w:numPr>
        <w:tabs>
          <w:tab w:val="left" w:pos="993"/>
        </w:tab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За пациенти с коморбидна болка, инсомния, тревожност, анамнестични данни за привикване и трудности в контрола на импулсите, се предпочита алфа-2-делта лиганд на калциевите канали.</w:t>
      </w:r>
    </w:p>
    <w:p w14:paraId="688F34EF" w14:textId="77777777" w:rsidR="00BE0B19" w:rsidRPr="00AE47C6" w:rsidRDefault="00BE0B19" w:rsidP="00BE0B19">
      <w:pPr>
        <w:numPr>
          <w:ilvl w:val="0"/>
          <w:numId w:val="425"/>
        </w:numPr>
        <w:tabs>
          <w:tab w:val="left" w:pos="993"/>
        </w:tab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При повечето пациенти се предпочита започване с алфа-2-делта лиганд на калциевите канали, поради наличие на потенциране при приложение на допаминовите агонисти.</w:t>
      </w:r>
    </w:p>
    <w:p w14:paraId="58EE95A1" w14:textId="77777777" w:rsidR="00BE0B19" w:rsidRPr="00AE47C6" w:rsidRDefault="00BE0B19" w:rsidP="00BE0B19">
      <w:pPr>
        <w:numPr>
          <w:ilvl w:val="0"/>
          <w:numId w:val="425"/>
        </w:numPr>
        <w:tabs>
          <w:tab w:val="left" w:pos="993"/>
        </w:tab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Възрастните пациенти са по-податливи на страничните ефекти на алфа-2-делта лигандите на калциевите канали.</w:t>
      </w:r>
    </w:p>
    <w:p w14:paraId="53EF3567" w14:textId="77777777" w:rsidR="00BE0B19" w:rsidRPr="00AE47C6" w:rsidRDefault="00BE0B19" w:rsidP="00BE0B19">
      <w:pPr>
        <w:numPr>
          <w:ilvl w:val="0"/>
          <w:numId w:val="425"/>
        </w:numPr>
        <w:tabs>
          <w:tab w:val="left" w:pos="993"/>
        </w:tab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От допаминовите агонисти се предпочитат </w:t>
      </w:r>
      <w:r w:rsidRPr="00AE47C6">
        <w:rPr>
          <w:rFonts w:ascii="Times New Roman" w:eastAsia="SimSun" w:hAnsi="Times New Roman"/>
          <w:i/>
          <w:color w:val="000000"/>
          <w:sz w:val="24"/>
          <w:szCs w:val="24"/>
          <w:lang w:eastAsia="bg-BG"/>
        </w:rPr>
        <w:t xml:space="preserve">Pramipexole </w:t>
      </w:r>
      <w:r w:rsidRPr="00AE47C6">
        <w:rPr>
          <w:rFonts w:ascii="Times New Roman" w:eastAsia="SimSun" w:hAnsi="Times New Roman"/>
          <w:color w:val="000000"/>
          <w:sz w:val="24"/>
          <w:szCs w:val="24"/>
          <w:lang w:eastAsia="bg-BG"/>
        </w:rPr>
        <w:t xml:space="preserve">(0,125-0,25 mg) и </w:t>
      </w:r>
      <w:r w:rsidRPr="00AE47C6">
        <w:rPr>
          <w:rFonts w:ascii="Times New Roman" w:eastAsia="SimSun" w:hAnsi="Times New Roman"/>
          <w:i/>
          <w:color w:val="000000"/>
          <w:sz w:val="24"/>
          <w:szCs w:val="24"/>
          <w:lang w:eastAsia="bg-BG"/>
        </w:rPr>
        <w:t>Ropinirolе</w:t>
      </w:r>
      <w:r w:rsidRPr="00AE47C6">
        <w:rPr>
          <w:rFonts w:ascii="Times New Roman" w:eastAsia="SimSun" w:hAnsi="Times New Roman"/>
          <w:color w:val="000000"/>
          <w:sz w:val="24"/>
          <w:szCs w:val="24"/>
          <w:lang w:eastAsia="bg-BG"/>
        </w:rPr>
        <w:t xml:space="preserve"> (0,25 - 3 mg), като последният показва по-висок клас на доказателственост от клинични проучвания. Медикаментите се прилагат еднократно вечер, около 2 часа преди началото на симптомите. Приложението на Rotigotine под формата на пластир с 24-часово освобождаване е с по-малка ефективност и започва с най-ниската възможна доза.</w:t>
      </w:r>
    </w:p>
    <w:p w14:paraId="1AE08A2F" w14:textId="77777777" w:rsidR="00BE0B19" w:rsidRPr="00AE47C6" w:rsidRDefault="00BE0B19" w:rsidP="00BE0B19">
      <w:pPr>
        <w:numPr>
          <w:ilvl w:val="0"/>
          <w:numId w:val="425"/>
        </w:numPr>
        <w:tabs>
          <w:tab w:val="left" w:pos="993"/>
        </w:tab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От  алфа-2-делта лигандите на калциевите канали най-ефективни са </w:t>
      </w:r>
      <w:r w:rsidRPr="00AE47C6">
        <w:rPr>
          <w:rFonts w:ascii="Times New Roman" w:eastAsia="SimSun" w:hAnsi="Times New Roman"/>
          <w:i/>
          <w:color w:val="000000"/>
          <w:sz w:val="24"/>
          <w:szCs w:val="24"/>
          <w:lang w:eastAsia="bg-BG"/>
        </w:rPr>
        <w:t>Gabapentin enacarbil</w:t>
      </w:r>
      <w:r w:rsidRPr="00AE47C6">
        <w:rPr>
          <w:rFonts w:ascii="Times New Roman" w:eastAsia="SimSun" w:hAnsi="Times New Roman"/>
          <w:color w:val="000000"/>
          <w:sz w:val="24"/>
          <w:szCs w:val="24"/>
          <w:lang w:eastAsia="bg-BG"/>
        </w:rPr>
        <w:t xml:space="preserve"> и </w:t>
      </w:r>
      <w:r w:rsidRPr="00AE47C6">
        <w:rPr>
          <w:rFonts w:ascii="Times New Roman" w:eastAsia="SimSun" w:hAnsi="Times New Roman"/>
          <w:i/>
          <w:color w:val="000000"/>
          <w:sz w:val="24"/>
          <w:szCs w:val="24"/>
          <w:lang w:eastAsia="bg-BG"/>
        </w:rPr>
        <w:t>Pregabalin</w:t>
      </w:r>
      <w:r w:rsidRPr="00AE47C6">
        <w:rPr>
          <w:rFonts w:ascii="Times New Roman" w:eastAsia="SimSun" w:hAnsi="Times New Roman"/>
          <w:color w:val="000000"/>
          <w:sz w:val="24"/>
          <w:szCs w:val="24"/>
          <w:lang w:eastAsia="bg-BG"/>
        </w:rPr>
        <w:t xml:space="preserve"> в доза 75-300 mg дневно. За Gabapentin има ограничени данни за ефективност при RLS.</w:t>
      </w:r>
    </w:p>
    <w:p w14:paraId="3321F7C7" w14:textId="77777777" w:rsidR="00BE0B19" w:rsidRPr="00AE47C6" w:rsidRDefault="00BE0B19" w:rsidP="00BE0B19">
      <w:pPr>
        <w:numPr>
          <w:ilvl w:val="0"/>
          <w:numId w:val="425"/>
        </w:numPr>
        <w:tabs>
          <w:tab w:val="left" w:pos="993"/>
        </w:tab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При бременни следва да се опитват най-вече нефармакологични средства, а при липса на ефект, може да се прилагат по-малко ефективните </w:t>
      </w:r>
      <w:r w:rsidRPr="00AE47C6">
        <w:rPr>
          <w:rFonts w:ascii="Times New Roman" w:eastAsia="SimSun" w:hAnsi="Times New Roman"/>
          <w:i/>
          <w:color w:val="000000"/>
          <w:sz w:val="24"/>
          <w:szCs w:val="24"/>
          <w:lang w:eastAsia="bg-BG"/>
        </w:rPr>
        <w:t xml:space="preserve">Levodopa </w:t>
      </w:r>
      <w:r w:rsidRPr="00AE47C6">
        <w:rPr>
          <w:rFonts w:ascii="Times New Roman" w:eastAsia="SimSun" w:hAnsi="Times New Roman"/>
          <w:color w:val="000000"/>
          <w:sz w:val="24"/>
          <w:szCs w:val="24"/>
          <w:lang w:eastAsia="bg-BG"/>
        </w:rPr>
        <w:t xml:space="preserve">и </w:t>
      </w:r>
      <w:r w:rsidRPr="00AE47C6">
        <w:rPr>
          <w:rFonts w:ascii="Times New Roman" w:eastAsia="SimSun" w:hAnsi="Times New Roman"/>
          <w:i/>
          <w:color w:val="000000"/>
          <w:sz w:val="24"/>
          <w:szCs w:val="24"/>
          <w:lang w:eastAsia="bg-BG"/>
        </w:rPr>
        <w:t>Clonazepam</w:t>
      </w:r>
      <w:r w:rsidRPr="00AE47C6">
        <w:rPr>
          <w:rFonts w:ascii="Times New Roman" w:eastAsia="SimSun" w:hAnsi="Times New Roman"/>
          <w:color w:val="000000"/>
          <w:sz w:val="24"/>
          <w:szCs w:val="24"/>
          <w:lang w:eastAsia="bg-BG"/>
        </w:rPr>
        <w:t xml:space="preserve"> в ниски дози.</w:t>
      </w:r>
    </w:p>
    <w:p w14:paraId="392B6ACE"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bookmarkStart w:id="317" w:name="H618724346"/>
      <w:bookmarkEnd w:id="317"/>
      <w:r w:rsidRPr="00AE47C6">
        <w:rPr>
          <w:rFonts w:ascii="Times New Roman" w:eastAsia="SimSun" w:hAnsi="Times New Roman"/>
          <w:i/>
          <w:iCs/>
          <w:color w:val="000000"/>
          <w:sz w:val="24"/>
          <w:szCs w:val="24"/>
          <w:lang w:eastAsia="bg-BG"/>
        </w:rPr>
        <w:t>Периодичните движения в крайниците</w:t>
      </w:r>
      <w:r w:rsidRPr="00AE47C6">
        <w:rPr>
          <w:rFonts w:ascii="Times New Roman" w:eastAsia="SimSun" w:hAnsi="Times New Roman"/>
          <w:color w:val="000000"/>
          <w:sz w:val="24"/>
          <w:szCs w:val="24"/>
          <w:lang w:eastAsia="bg-BG"/>
        </w:rPr>
        <w:t xml:space="preserve"> се регистрират често по време на полисомнография. Те се диагностицират когато по време на полисомнографията се регистрират повече от 15 движения на час, а при деца повече от 5 движения. В допълнение пациентът трябва да се оплаква от нарушение в съня или функционално нарушение, което да е свързано с периодичните движения.</w:t>
      </w:r>
    </w:p>
    <w:p w14:paraId="51AD2EB0"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Диагнозата не следва да се поставя при едновременно наличие на нелекувана ОСА, RLS, нарколепсия или RBD, тъй като при тези заболявания често се срещат и периодични движения в крайниците.</w:t>
      </w:r>
    </w:p>
    <w:p w14:paraId="7BE4E535"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i/>
          <w:iCs/>
          <w:color w:val="000000"/>
          <w:sz w:val="24"/>
          <w:szCs w:val="24"/>
          <w:lang w:eastAsia="bg-BG"/>
        </w:rPr>
        <w:t>Бруксизмът</w:t>
      </w:r>
      <w:r w:rsidRPr="00AE47C6">
        <w:rPr>
          <w:rFonts w:ascii="Times New Roman" w:eastAsia="SimSun" w:hAnsi="Times New Roman"/>
          <w:color w:val="000000"/>
          <w:sz w:val="24"/>
          <w:szCs w:val="24"/>
          <w:lang w:eastAsia="bg-BG"/>
        </w:rPr>
        <w:t xml:space="preserve"> (скърцане със зъби) се среща по-често в младата възраст (в  до 20% от общата популация). Често той се наблюдава от партньора в леглото и не представлява същинско оплакване от страна на пациента. Не рядко бруксизмът е съчетан с периодични движения в крайниците. При нарушаване на зъбния емайл, за лечение на бруксизма се използват силиконови шини. </w:t>
      </w:r>
    </w:p>
    <w:p w14:paraId="173A2934"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i/>
          <w:iCs/>
          <w:color w:val="000000"/>
          <w:sz w:val="24"/>
          <w:szCs w:val="24"/>
          <w:lang w:eastAsia="bg-BG"/>
        </w:rPr>
        <w:t>Нощните крампи</w:t>
      </w:r>
      <w:r w:rsidRPr="00AE47C6">
        <w:rPr>
          <w:rFonts w:ascii="Times New Roman" w:eastAsia="SimSun" w:hAnsi="Times New Roman"/>
          <w:color w:val="000000"/>
          <w:sz w:val="24"/>
          <w:szCs w:val="24"/>
          <w:lang w:eastAsia="bg-BG"/>
        </w:rPr>
        <w:t xml:space="preserve"> в прасците и ходилата настъпват основно по време на сън и представляват болезнени контракции в засегнатата област. </w:t>
      </w:r>
    </w:p>
    <w:p w14:paraId="2D4B689D"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i/>
          <w:iCs/>
          <w:color w:val="000000"/>
          <w:sz w:val="24"/>
          <w:szCs w:val="24"/>
          <w:lang w:eastAsia="bg-BG"/>
        </w:rPr>
        <w:t>Ритмичните движения по време на сън</w:t>
      </w:r>
      <w:r w:rsidRPr="00AE47C6">
        <w:rPr>
          <w:rFonts w:ascii="Times New Roman" w:eastAsia="SimSun" w:hAnsi="Times New Roman"/>
          <w:color w:val="000000"/>
          <w:sz w:val="24"/>
          <w:szCs w:val="24"/>
          <w:lang w:eastAsia="bg-BG"/>
        </w:rPr>
        <w:t xml:space="preserve"> са с бенигнен характер и налагат лечение само ако предизвикват инсомния или са вторични вследствие на друго заболяване.</w:t>
      </w:r>
    </w:p>
    <w:p w14:paraId="40F915C5"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 </w:t>
      </w:r>
    </w:p>
    <w:p w14:paraId="2EC4EC07"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bookmarkStart w:id="318" w:name="H13423686"/>
      <w:bookmarkEnd w:id="318"/>
      <w:r w:rsidRPr="00AE47C6">
        <w:rPr>
          <w:rFonts w:ascii="Times New Roman" w:eastAsia="SimSun" w:hAnsi="Times New Roman"/>
          <w:b/>
          <w:bCs/>
          <w:color w:val="000000"/>
          <w:sz w:val="24"/>
          <w:szCs w:val="24"/>
          <w:lang w:eastAsia="bg-BG"/>
        </w:rPr>
        <w:t>Други нарушения на съня.</w:t>
      </w:r>
      <w:r w:rsidRPr="00AE47C6">
        <w:rPr>
          <w:rFonts w:ascii="Times New Roman" w:eastAsia="SimSun" w:hAnsi="Times New Roman"/>
          <w:color w:val="000000"/>
          <w:sz w:val="24"/>
          <w:szCs w:val="24"/>
          <w:lang w:eastAsia="bg-BG"/>
        </w:rPr>
        <w:t xml:space="preserve"> В тази група се включват заболявания, които не могат да се класифицират точно в друг раздел на класификацията ICSD-3, било защото заболяването се припокрива с повече от една категория или защото има недостатъчно данни за да се постави някоя от горе разгледаните диагнози (1). Заболявания, които са свързани основно с въздействия на околната среда също биха могли да се класифицират тук.</w:t>
      </w:r>
    </w:p>
    <w:p w14:paraId="539F8AA1"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bookmarkStart w:id="319" w:name="H10"/>
      <w:bookmarkEnd w:id="319"/>
      <w:r w:rsidRPr="00AE47C6">
        <w:rPr>
          <w:rFonts w:ascii="Times New Roman" w:eastAsia="SimSun" w:hAnsi="Times New Roman"/>
          <w:color w:val="000000"/>
          <w:sz w:val="24"/>
          <w:szCs w:val="24"/>
          <w:lang w:eastAsia="bg-BG"/>
        </w:rPr>
        <w:t>Изолираните симптоми и нормални варианти. включват симптоми възникващи по време на сън, които не покрива критериите за разстройство на съня (</w:t>
      </w:r>
      <w:r w:rsidRPr="00AE47C6">
        <w:rPr>
          <w:rFonts w:ascii="Times New Roman" w:eastAsia="SimSun" w:hAnsi="Times New Roman"/>
          <w:color w:val="000000"/>
          <w:sz w:val="24"/>
          <w:szCs w:val="24"/>
          <w:u w:val="single"/>
          <w:lang w:eastAsia="zh-CN" w:bidi="zh-CN"/>
        </w:rPr>
        <w:t>1</w:t>
      </w:r>
      <w:r w:rsidRPr="00AE47C6">
        <w:rPr>
          <w:rFonts w:ascii="Times New Roman" w:eastAsia="SimSun" w:hAnsi="Times New Roman"/>
          <w:color w:val="000000"/>
          <w:sz w:val="24"/>
          <w:szCs w:val="24"/>
          <w:lang w:eastAsia="bg-BG"/>
        </w:rPr>
        <w:t>).</w:t>
      </w:r>
    </w:p>
    <w:p w14:paraId="2A962445"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sz w:val="24"/>
          <w:szCs w:val="24"/>
          <w:lang w:eastAsia="bg-BG"/>
        </w:rPr>
      </w:pPr>
      <w:r w:rsidRPr="00AE47C6">
        <w:rPr>
          <w:rFonts w:ascii="Times New Roman" w:eastAsia="SimSun" w:hAnsi="Times New Roman"/>
          <w:color w:val="000000"/>
          <w:sz w:val="24"/>
          <w:szCs w:val="24"/>
          <w:lang w:eastAsia="bg-BG"/>
        </w:rPr>
        <w:t>● Някои се случват по време на нормален сън, например сомнилоквията (говорене на сън).</w:t>
      </w:r>
    </w:p>
    <w:p w14:paraId="5CFA467A"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u w:val="single"/>
          <w:lang w:eastAsia="zh-CN" w:bidi="zh-CN"/>
        </w:rPr>
      </w:pPr>
      <w:r w:rsidRPr="00AE47C6">
        <w:rPr>
          <w:rFonts w:ascii="Times New Roman" w:eastAsia="SimSun" w:hAnsi="Times New Roman"/>
          <w:color w:val="000000"/>
          <w:sz w:val="24"/>
          <w:szCs w:val="24"/>
          <w:lang w:eastAsia="bg-BG"/>
        </w:rPr>
        <w:t xml:space="preserve">● Някои се намират на границата между нормалното и патологичното. Например баналното хъркане, без засягане на дихателната проходимост, наличие на нарушение на съня или други последствия, се счита за нормално, докато силното хъркане по-често е елемент от обструктивната сънна апнея. </w:t>
      </w:r>
      <w:bookmarkStart w:id="320" w:name="PATIENT_INFORMATION"/>
      <w:bookmarkStart w:id="321" w:name="H12"/>
      <w:bookmarkEnd w:id="320"/>
      <w:bookmarkEnd w:id="321"/>
    </w:p>
    <w:p w14:paraId="086EA73E"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u w:val="single"/>
          <w:lang w:eastAsia="zh-CN" w:bidi="zh-CN"/>
        </w:rPr>
      </w:pPr>
    </w:p>
    <w:p w14:paraId="18129EBD" w14:textId="77777777" w:rsidR="00BE0B19" w:rsidRPr="00AE47C6" w:rsidRDefault="00BE0B19" w:rsidP="00BE0B19">
      <w:pPr>
        <w:tabs>
          <w:tab w:val="left" w:pos="720"/>
        </w:tabs>
        <w:suppressAutoHyphens/>
        <w:spacing w:after="0" w:line="360" w:lineRule="auto"/>
        <w:ind w:firstLine="709"/>
        <w:jc w:val="center"/>
        <w:rPr>
          <w:rFonts w:ascii="Times New Roman" w:eastAsia="SimSun" w:hAnsi="Times New Roman"/>
          <w:color w:val="000000"/>
          <w:sz w:val="24"/>
          <w:szCs w:val="24"/>
          <w:u w:val="single"/>
          <w:lang w:eastAsia="zh-CN" w:bidi="zh-CN"/>
        </w:rPr>
      </w:pPr>
      <w:r w:rsidRPr="00AE47C6">
        <w:rPr>
          <w:rFonts w:ascii="Times New Roman" w:eastAsia="SimSun" w:hAnsi="Times New Roman"/>
          <w:b/>
          <w:bCs/>
          <w:color w:val="000000"/>
          <w:sz w:val="24"/>
          <w:szCs w:val="24"/>
          <w:u w:val="single"/>
          <w:lang w:eastAsia="zh-CN" w:bidi="zh-CN"/>
        </w:rPr>
        <w:t>Конкретизация на дейността за диагностика и лечение на разстройствата на съня и бодърстването (РСБ)</w:t>
      </w:r>
    </w:p>
    <w:p w14:paraId="1D606864"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i/>
          <w:iCs/>
          <w:color w:val="000000"/>
          <w:sz w:val="24"/>
          <w:szCs w:val="24"/>
          <w:lang w:eastAsia="zh-CN" w:bidi="zh-CN"/>
        </w:rPr>
      </w:pPr>
      <w:r w:rsidRPr="00AE47C6">
        <w:rPr>
          <w:rFonts w:ascii="Times New Roman" w:eastAsia="SimSun" w:hAnsi="Times New Roman"/>
          <w:color w:val="000000"/>
          <w:sz w:val="24"/>
          <w:szCs w:val="24"/>
          <w:lang w:eastAsia="zh-CN" w:bidi="zh-CN"/>
        </w:rPr>
        <w:t xml:space="preserve">А. </w:t>
      </w:r>
      <w:r w:rsidRPr="00AE47C6">
        <w:rPr>
          <w:rFonts w:ascii="Times New Roman" w:eastAsia="SimSun" w:hAnsi="Times New Roman"/>
          <w:i/>
          <w:iCs/>
          <w:color w:val="000000"/>
          <w:sz w:val="24"/>
          <w:szCs w:val="24"/>
          <w:lang w:eastAsia="zh-CN" w:bidi="zh-CN"/>
        </w:rPr>
        <w:t xml:space="preserve">Действия на ОПЛ за диагностициране на РСБ - доболнична помощ </w:t>
      </w:r>
    </w:p>
    <w:p w14:paraId="169192DB"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zh-CN" w:bidi="zh-CN"/>
        </w:rPr>
      </w:pPr>
      <w:r w:rsidRPr="00AE47C6">
        <w:rPr>
          <w:rFonts w:ascii="Times New Roman" w:eastAsia="SimSun" w:hAnsi="Times New Roman"/>
          <w:color w:val="000000"/>
          <w:sz w:val="24"/>
          <w:szCs w:val="24"/>
          <w:lang w:eastAsia="zh-CN" w:bidi="zh-CN"/>
        </w:rPr>
        <w:t>Диагностицирането на РСБ от ОПЛ включва следните дейности:</w:t>
      </w:r>
    </w:p>
    <w:p w14:paraId="69BB9CD2" w14:textId="77777777" w:rsidR="00BE0B19" w:rsidRPr="00AE47C6" w:rsidRDefault="00BE0B19" w:rsidP="00BE0B19">
      <w:pPr>
        <w:numPr>
          <w:ilvl w:val="0"/>
          <w:numId w:val="426"/>
        </w:numPr>
        <w:spacing w:after="0" w:line="360" w:lineRule="auto"/>
        <w:ind w:firstLine="709"/>
        <w:jc w:val="both"/>
        <w:rPr>
          <w:rFonts w:ascii="Times New Roman" w:eastAsia="SimSun" w:hAnsi="Times New Roman"/>
          <w:color w:val="000000"/>
          <w:sz w:val="24"/>
          <w:szCs w:val="24"/>
          <w:lang w:eastAsia="zh-CN" w:bidi="zh-CN"/>
        </w:rPr>
      </w:pPr>
      <w:r w:rsidRPr="00AE47C6">
        <w:rPr>
          <w:rFonts w:ascii="Times New Roman" w:eastAsia="SimSun" w:hAnsi="Times New Roman"/>
          <w:color w:val="000000"/>
          <w:sz w:val="24"/>
          <w:szCs w:val="24"/>
          <w:lang w:eastAsia="zh-CN" w:bidi="zh-CN"/>
        </w:rPr>
        <w:t>Снемане на подробна анамнеза, включително фамилна анамнеза за наличие на разстройства на съня и други заболявания</w:t>
      </w:r>
    </w:p>
    <w:p w14:paraId="5D7C0625" w14:textId="77777777" w:rsidR="00BE0B19" w:rsidRPr="00AE47C6" w:rsidRDefault="00BE0B19" w:rsidP="00BE0B19">
      <w:pPr>
        <w:numPr>
          <w:ilvl w:val="0"/>
          <w:numId w:val="426"/>
        </w:numPr>
        <w:spacing w:after="0" w:line="360" w:lineRule="auto"/>
        <w:ind w:firstLine="709"/>
        <w:jc w:val="both"/>
        <w:rPr>
          <w:rFonts w:ascii="Times New Roman" w:eastAsia="SimSun" w:hAnsi="Times New Roman"/>
          <w:color w:val="000000"/>
          <w:sz w:val="24"/>
          <w:szCs w:val="24"/>
          <w:lang w:eastAsia="zh-CN" w:bidi="zh-CN"/>
        </w:rPr>
      </w:pPr>
      <w:r w:rsidRPr="00AE47C6">
        <w:rPr>
          <w:rFonts w:ascii="Times New Roman" w:eastAsia="SimSun" w:hAnsi="Times New Roman"/>
          <w:color w:val="000000"/>
          <w:sz w:val="24"/>
          <w:szCs w:val="24"/>
          <w:lang w:eastAsia="zh-CN" w:bidi="zh-CN"/>
        </w:rPr>
        <w:t>Интервю с близките, родители и партньор в стаята или леглото</w:t>
      </w:r>
    </w:p>
    <w:p w14:paraId="7A049BD2" w14:textId="77777777" w:rsidR="00BE0B19" w:rsidRPr="00AE47C6" w:rsidRDefault="00BE0B19" w:rsidP="00BE0B19">
      <w:pPr>
        <w:numPr>
          <w:ilvl w:val="0"/>
          <w:numId w:val="426"/>
        </w:numPr>
        <w:spacing w:after="0" w:line="360" w:lineRule="auto"/>
        <w:ind w:firstLine="709"/>
        <w:jc w:val="both"/>
        <w:rPr>
          <w:rFonts w:ascii="Times New Roman" w:eastAsia="SimSun" w:hAnsi="Times New Roman"/>
          <w:color w:val="000000"/>
          <w:sz w:val="24"/>
          <w:szCs w:val="24"/>
          <w:lang w:eastAsia="zh-CN" w:bidi="zh-CN"/>
        </w:rPr>
      </w:pPr>
      <w:r w:rsidRPr="00AE47C6">
        <w:rPr>
          <w:rFonts w:ascii="Times New Roman" w:eastAsia="SimSun" w:hAnsi="Times New Roman"/>
          <w:color w:val="000000"/>
          <w:sz w:val="24"/>
          <w:szCs w:val="24"/>
          <w:lang w:eastAsia="zh-CN" w:bidi="zh-CN"/>
        </w:rPr>
        <w:t>Общ преглед за установяване на съпътстващи заболявания</w:t>
      </w:r>
    </w:p>
    <w:p w14:paraId="1DDAB416" w14:textId="77777777" w:rsidR="00BE0B19" w:rsidRPr="00AE47C6" w:rsidRDefault="00BE0B19" w:rsidP="00BE0B19">
      <w:pPr>
        <w:numPr>
          <w:ilvl w:val="0"/>
          <w:numId w:val="426"/>
        </w:numPr>
        <w:spacing w:after="0" w:line="360" w:lineRule="auto"/>
        <w:ind w:firstLine="709"/>
        <w:jc w:val="both"/>
        <w:rPr>
          <w:rFonts w:ascii="Times New Roman" w:eastAsia="SimSun" w:hAnsi="Times New Roman"/>
          <w:color w:val="000000"/>
          <w:sz w:val="24"/>
          <w:szCs w:val="24"/>
          <w:lang w:eastAsia="zh-CN" w:bidi="zh-CN"/>
        </w:rPr>
      </w:pPr>
      <w:r w:rsidRPr="00AE47C6">
        <w:rPr>
          <w:rFonts w:ascii="Times New Roman" w:eastAsia="SimSun" w:hAnsi="Times New Roman"/>
          <w:color w:val="000000"/>
          <w:sz w:val="24"/>
          <w:szCs w:val="24"/>
          <w:lang w:eastAsia="zh-CN" w:bidi="zh-CN"/>
        </w:rPr>
        <w:t>При наличие на симптоми насочващи за РСБ болният трябва да се насочи към специалисти невролози/пулмолози и впоследствие към специализираните лаборатории за изследване на РСБ за поставяне на диагноза от лекар подготвен в областта на РСБ</w:t>
      </w:r>
    </w:p>
    <w:p w14:paraId="6A3B7FF0"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zh-CN" w:bidi="zh-CN"/>
        </w:rPr>
      </w:pPr>
    </w:p>
    <w:p w14:paraId="07A81320"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u w:val="single"/>
          <w:lang w:eastAsia="zh-CN" w:bidi="zh-CN"/>
        </w:rPr>
      </w:pPr>
      <w:r w:rsidRPr="00AE47C6">
        <w:rPr>
          <w:rFonts w:ascii="Times New Roman" w:eastAsia="SimSun" w:hAnsi="Times New Roman"/>
          <w:color w:val="000000"/>
          <w:sz w:val="24"/>
          <w:szCs w:val="24"/>
          <w:u w:val="single"/>
          <w:lang w:eastAsia="zh-CN" w:bidi="zh-CN"/>
        </w:rPr>
        <w:t xml:space="preserve">Б. </w:t>
      </w:r>
      <w:r w:rsidRPr="00AE47C6">
        <w:rPr>
          <w:rFonts w:ascii="Times New Roman" w:eastAsia="SimSun" w:hAnsi="Times New Roman"/>
          <w:i/>
          <w:iCs/>
          <w:color w:val="000000"/>
          <w:sz w:val="24"/>
          <w:szCs w:val="24"/>
          <w:u w:val="single"/>
          <w:lang w:eastAsia="zh-CN" w:bidi="zh-CN"/>
        </w:rPr>
        <w:t>Действия на специалиста (невролог) за диагностицирането на РСБ-доболнична помощ</w:t>
      </w:r>
    </w:p>
    <w:p w14:paraId="55F26C8B" w14:textId="77777777" w:rsidR="00BE0B19" w:rsidRPr="00AE47C6" w:rsidRDefault="00BE0B19" w:rsidP="00BE0B19">
      <w:pPr>
        <w:numPr>
          <w:ilvl w:val="0"/>
          <w:numId w:val="426"/>
        </w:numPr>
        <w:spacing w:after="0" w:line="360" w:lineRule="auto"/>
        <w:ind w:firstLine="709"/>
        <w:jc w:val="both"/>
        <w:rPr>
          <w:rFonts w:ascii="Times New Roman" w:eastAsia="SimSun" w:hAnsi="Times New Roman"/>
          <w:color w:val="000000"/>
          <w:sz w:val="24"/>
          <w:szCs w:val="24"/>
          <w:lang w:eastAsia="zh-CN" w:bidi="zh-CN"/>
        </w:rPr>
      </w:pPr>
      <w:r w:rsidRPr="00AE47C6">
        <w:rPr>
          <w:rFonts w:ascii="Times New Roman" w:eastAsia="SimSun" w:hAnsi="Times New Roman"/>
          <w:color w:val="000000"/>
          <w:sz w:val="24"/>
          <w:szCs w:val="24"/>
          <w:lang w:eastAsia="zh-CN" w:bidi="zh-CN"/>
        </w:rPr>
        <w:t>Снема подробна анамнеза, включително фамилна анамнеза за наличие на разстройства на съня и други заболявания, включително в разговор с партньора или родителите</w:t>
      </w:r>
    </w:p>
    <w:p w14:paraId="503AF9FF" w14:textId="77777777" w:rsidR="00BE0B19" w:rsidRPr="00AE47C6" w:rsidRDefault="00BE0B19" w:rsidP="00BE0B19">
      <w:pPr>
        <w:numPr>
          <w:ilvl w:val="0"/>
          <w:numId w:val="426"/>
        </w:numPr>
        <w:spacing w:after="0" w:line="360" w:lineRule="auto"/>
        <w:ind w:firstLine="709"/>
        <w:jc w:val="both"/>
        <w:rPr>
          <w:rFonts w:ascii="Times New Roman" w:eastAsia="SimSun" w:hAnsi="Times New Roman"/>
          <w:color w:val="000000"/>
          <w:sz w:val="24"/>
          <w:szCs w:val="24"/>
          <w:lang w:eastAsia="zh-CN" w:bidi="zh-CN"/>
        </w:rPr>
      </w:pPr>
      <w:r w:rsidRPr="00AE47C6">
        <w:rPr>
          <w:rFonts w:ascii="Times New Roman" w:eastAsia="SimSun" w:hAnsi="Times New Roman"/>
          <w:color w:val="000000"/>
          <w:sz w:val="24"/>
          <w:szCs w:val="24"/>
          <w:lang w:eastAsia="zh-CN" w:bidi="zh-CN"/>
        </w:rPr>
        <w:t>Снема неврологичен статус за установяване на съпътстващо заболявания</w:t>
      </w:r>
    </w:p>
    <w:p w14:paraId="01957BE4" w14:textId="77777777" w:rsidR="00BE0B19" w:rsidRPr="00AE47C6" w:rsidRDefault="00BE0B19" w:rsidP="00BE0B19">
      <w:pPr>
        <w:numPr>
          <w:ilvl w:val="0"/>
          <w:numId w:val="426"/>
        </w:numPr>
        <w:spacing w:after="0" w:line="360" w:lineRule="auto"/>
        <w:ind w:firstLine="709"/>
        <w:jc w:val="both"/>
        <w:rPr>
          <w:rFonts w:ascii="Times New Roman" w:eastAsia="SimSun" w:hAnsi="Times New Roman"/>
          <w:color w:val="000000"/>
          <w:sz w:val="24"/>
          <w:szCs w:val="24"/>
          <w:lang w:eastAsia="zh-CN" w:bidi="zh-CN"/>
        </w:rPr>
      </w:pPr>
      <w:r w:rsidRPr="00AE47C6">
        <w:rPr>
          <w:rFonts w:ascii="Times New Roman" w:eastAsia="SimSun" w:hAnsi="Times New Roman"/>
          <w:color w:val="000000"/>
          <w:sz w:val="24"/>
          <w:szCs w:val="24"/>
          <w:lang w:eastAsia="zh-CN" w:bidi="zh-CN"/>
        </w:rPr>
        <w:t xml:space="preserve">Насочва към специализираните лаборатории за изследване на РСБ за поставяне на диагноза от лекар подготвен в областта на РСБ </w:t>
      </w:r>
    </w:p>
    <w:p w14:paraId="5EBE7B8B"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u w:val="single"/>
          <w:lang w:eastAsia="zh-CN" w:bidi="zh-CN"/>
        </w:rPr>
      </w:pPr>
    </w:p>
    <w:p w14:paraId="4C9679A9"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i/>
          <w:iCs/>
          <w:color w:val="000000"/>
          <w:sz w:val="24"/>
          <w:szCs w:val="24"/>
          <w:u w:val="single"/>
          <w:lang w:eastAsia="zh-CN" w:bidi="zh-CN"/>
        </w:rPr>
      </w:pPr>
      <w:r w:rsidRPr="00AE47C6">
        <w:rPr>
          <w:rFonts w:ascii="Times New Roman" w:eastAsia="SimSun" w:hAnsi="Times New Roman"/>
          <w:i/>
          <w:iCs/>
          <w:color w:val="000000"/>
          <w:sz w:val="24"/>
          <w:szCs w:val="24"/>
          <w:u w:val="single"/>
          <w:lang w:eastAsia="zh-CN" w:bidi="zh-CN"/>
        </w:rPr>
        <w:t>В. Действия на ОПЛ при пациенти с потвърдена диагноза за РСБ</w:t>
      </w:r>
    </w:p>
    <w:p w14:paraId="43C6187E" w14:textId="77777777" w:rsidR="00BE0B19" w:rsidRPr="00AE47C6" w:rsidRDefault="00BE0B19" w:rsidP="00BE0B19">
      <w:pPr>
        <w:numPr>
          <w:ilvl w:val="0"/>
          <w:numId w:val="426"/>
        </w:numPr>
        <w:spacing w:after="0" w:line="360" w:lineRule="auto"/>
        <w:ind w:firstLine="709"/>
        <w:jc w:val="both"/>
        <w:rPr>
          <w:rFonts w:ascii="Times New Roman" w:eastAsia="SimSun" w:hAnsi="Times New Roman"/>
          <w:color w:val="000000"/>
          <w:sz w:val="24"/>
          <w:szCs w:val="24"/>
          <w:lang w:eastAsia="zh-CN" w:bidi="zh-CN"/>
        </w:rPr>
      </w:pPr>
      <w:r w:rsidRPr="00AE47C6">
        <w:rPr>
          <w:rFonts w:ascii="Times New Roman" w:eastAsia="SimSun" w:hAnsi="Times New Roman"/>
          <w:color w:val="000000"/>
          <w:sz w:val="24"/>
          <w:szCs w:val="24"/>
          <w:lang w:eastAsia="zh-CN" w:bidi="zh-CN"/>
        </w:rPr>
        <w:t>В зависимост от вида на заболяването, ОПЛ провежда редовен контрол върху пациента под формата на интервю и преглед.</w:t>
      </w:r>
    </w:p>
    <w:p w14:paraId="21A67A49" w14:textId="77777777" w:rsidR="00BE0B19" w:rsidRPr="00AE47C6" w:rsidRDefault="00BE0B19" w:rsidP="00BE0B19">
      <w:pPr>
        <w:numPr>
          <w:ilvl w:val="0"/>
          <w:numId w:val="426"/>
        </w:numPr>
        <w:spacing w:after="0" w:line="360" w:lineRule="auto"/>
        <w:ind w:firstLine="709"/>
        <w:jc w:val="both"/>
        <w:rPr>
          <w:rFonts w:ascii="Times New Roman" w:eastAsia="SimSun" w:hAnsi="Times New Roman"/>
          <w:color w:val="000000"/>
          <w:sz w:val="24"/>
          <w:szCs w:val="24"/>
          <w:lang w:eastAsia="zh-CN" w:bidi="zh-CN"/>
        </w:rPr>
      </w:pPr>
      <w:r w:rsidRPr="00AE47C6">
        <w:rPr>
          <w:rFonts w:ascii="Times New Roman" w:eastAsia="SimSun" w:hAnsi="Times New Roman"/>
          <w:color w:val="000000"/>
          <w:sz w:val="24"/>
          <w:szCs w:val="24"/>
          <w:lang w:eastAsia="zh-CN" w:bidi="zh-CN"/>
        </w:rPr>
        <w:t>Изписва ежемесечно лечението назначено от специалиста, без да променя както медикаментозното така и немедикаментозното лечение.</w:t>
      </w:r>
    </w:p>
    <w:p w14:paraId="0AADF433" w14:textId="77777777" w:rsidR="00BE0B19" w:rsidRPr="00AE47C6" w:rsidRDefault="00BE0B19" w:rsidP="00BE0B19">
      <w:pPr>
        <w:numPr>
          <w:ilvl w:val="0"/>
          <w:numId w:val="426"/>
        </w:numPr>
        <w:spacing w:after="0" w:line="360" w:lineRule="auto"/>
        <w:ind w:firstLine="709"/>
        <w:jc w:val="both"/>
        <w:rPr>
          <w:rFonts w:ascii="Times New Roman" w:eastAsia="SimSun" w:hAnsi="Times New Roman"/>
          <w:color w:val="000000"/>
          <w:sz w:val="24"/>
          <w:szCs w:val="24"/>
          <w:lang w:eastAsia="zh-CN" w:bidi="zh-CN"/>
        </w:rPr>
      </w:pPr>
      <w:r w:rsidRPr="00AE47C6">
        <w:rPr>
          <w:rFonts w:ascii="Times New Roman" w:eastAsia="SimSun" w:hAnsi="Times New Roman"/>
          <w:color w:val="000000"/>
          <w:sz w:val="24"/>
          <w:szCs w:val="24"/>
          <w:lang w:eastAsia="zh-CN" w:bidi="zh-CN"/>
        </w:rPr>
        <w:t>Следи за спазване на хигиенните и общи мерки относно съня, назначени от специалиста, а при болните с ОСА на лечение с СРАР следи за редовната употреба на апарата и поява на евентуални усложнения.</w:t>
      </w:r>
    </w:p>
    <w:p w14:paraId="4E7E0C69"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u w:val="single"/>
          <w:lang w:eastAsia="zh-CN" w:bidi="zh-CN"/>
        </w:rPr>
      </w:pPr>
    </w:p>
    <w:p w14:paraId="54AF07B6"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i/>
          <w:iCs/>
          <w:color w:val="000000"/>
          <w:sz w:val="24"/>
          <w:szCs w:val="24"/>
          <w:u w:val="single"/>
          <w:lang w:eastAsia="zh-CN" w:bidi="zh-CN"/>
        </w:rPr>
      </w:pPr>
      <w:r w:rsidRPr="00AE47C6">
        <w:rPr>
          <w:rFonts w:ascii="Times New Roman" w:eastAsia="SimSun" w:hAnsi="Times New Roman"/>
          <w:i/>
          <w:iCs/>
          <w:color w:val="000000"/>
          <w:sz w:val="24"/>
          <w:szCs w:val="24"/>
          <w:u w:val="single"/>
          <w:lang w:eastAsia="zh-CN" w:bidi="zh-CN"/>
        </w:rPr>
        <w:t>Г. Действия на лекаря в специализираните лаборатории по РСБ - болнична помощ</w:t>
      </w:r>
    </w:p>
    <w:p w14:paraId="59C7BCB7" w14:textId="77777777" w:rsidR="00BE0B19" w:rsidRPr="00AE47C6" w:rsidRDefault="00BE0B19" w:rsidP="00BE0B19">
      <w:pPr>
        <w:numPr>
          <w:ilvl w:val="0"/>
          <w:numId w:val="426"/>
        </w:numPr>
        <w:spacing w:after="0" w:line="360" w:lineRule="auto"/>
        <w:ind w:firstLine="709"/>
        <w:jc w:val="both"/>
        <w:rPr>
          <w:rFonts w:ascii="Times New Roman" w:eastAsia="SimSun" w:hAnsi="Times New Roman"/>
          <w:color w:val="000000"/>
          <w:sz w:val="24"/>
          <w:szCs w:val="24"/>
          <w:lang w:eastAsia="zh-CN" w:bidi="zh-CN"/>
        </w:rPr>
      </w:pPr>
      <w:r w:rsidRPr="00AE47C6">
        <w:rPr>
          <w:rFonts w:ascii="Times New Roman" w:eastAsia="SimSun" w:hAnsi="Times New Roman"/>
          <w:color w:val="000000"/>
          <w:sz w:val="24"/>
          <w:szCs w:val="24"/>
          <w:lang w:eastAsia="zh-CN" w:bidi="zh-CN"/>
        </w:rPr>
        <w:t>За потвърждаване или отхвърляне на диагнозата лекарят специалист по РСБ снема щателен общ, неврологичен и психичен статус. Освен това той провежда интервю с пациента и неговите близки, като попълва съответните скали за наличие на симптоми за РСБ.</w:t>
      </w:r>
    </w:p>
    <w:p w14:paraId="5E9F8C06" w14:textId="77777777" w:rsidR="00BE0B19" w:rsidRPr="00AE47C6" w:rsidRDefault="00BE0B19" w:rsidP="00BE0B19">
      <w:pPr>
        <w:numPr>
          <w:ilvl w:val="0"/>
          <w:numId w:val="426"/>
        </w:numPr>
        <w:spacing w:after="0" w:line="360" w:lineRule="auto"/>
        <w:ind w:firstLine="709"/>
        <w:jc w:val="both"/>
        <w:rPr>
          <w:rFonts w:ascii="Times New Roman" w:eastAsia="SimSun" w:hAnsi="Times New Roman"/>
          <w:color w:val="000000"/>
          <w:sz w:val="24"/>
          <w:szCs w:val="24"/>
          <w:u w:val="single"/>
          <w:lang w:eastAsia="zh-CN" w:bidi="zh-CN"/>
        </w:rPr>
      </w:pPr>
      <w:r w:rsidRPr="00AE47C6">
        <w:rPr>
          <w:rFonts w:ascii="Times New Roman" w:eastAsia="SimSun" w:hAnsi="Times New Roman"/>
          <w:color w:val="000000"/>
          <w:sz w:val="24"/>
          <w:szCs w:val="24"/>
          <w:lang w:eastAsia="zh-CN" w:bidi="zh-CN"/>
        </w:rPr>
        <w:t>За окончателно изясняване на вида на нощното заболяване е необходимо назначаването и провеждането на специализирани изследвания: полисомнография, лимитирана полиграфия, нощна видеография, многократен тест за изследване на латенцията на заспиване (МТЛЗ), генетични тестове и др.</w:t>
      </w:r>
      <w:r w:rsidRPr="00AE47C6">
        <w:rPr>
          <w:rFonts w:ascii="Times New Roman" w:eastAsia="SimSun" w:hAnsi="Times New Roman"/>
          <w:color w:val="000000"/>
          <w:sz w:val="24"/>
          <w:szCs w:val="24"/>
          <w:u w:val="single"/>
          <w:lang w:eastAsia="zh-CN" w:bidi="zh-CN"/>
        </w:rPr>
        <w:t xml:space="preserve"> </w:t>
      </w:r>
    </w:p>
    <w:p w14:paraId="29CBB053" w14:textId="77777777" w:rsidR="00BE0B19" w:rsidRPr="00AE47C6" w:rsidRDefault="00BE0B19" w:rsidP="00BE0B19">
      <w:pPr>
        <w:numPr>
          <w:ilvl w:val="0"/>
          <w:numId w:val="426"/>
        </w:numPr>
        <w:spacing w:after="0" w:line="360" w:lineRule="auto"/>
        <w:ind w:firstLine="709"/>
        <w:jc w:val="both"/>
        <w:rPr>
          <w:rFonts w:ascii="Times New Roman" w:eastAsia="SimSun" w:hAnsi="Times New Roman"/>
          <w:color w:val="000000"/>
          <w:sz w:val="24"/>
          <w:szCs w:val="24"/>
          <w:lang w:eastAsia="zh-CN" w:bidi="zh-CN"/>
        </w:rPr>
      </w:pPr>
      <w:r w:rsidRPr="00AE47C6">
        <w:rPr>
          <w:rFonts w:ascii="Times New Roman" w:eastAsia="SimSun" w:hAnsi="Times New Roman"/>
          <w:b/>
          <w:bCs/>
          <w:color w:val="000000"/>
          <w:sz w:val="24"/>
          <w:szCs w:val="24"/>
          <w:lang w:eastAsia="zh-CN" w:bidi="zh-CN"/>
        </w:rPr>
        <w:t xml:space="preserve">Полисомнографията </w:t>
      </w:r>
      <w:r w:rsidRPr="00AE47C6">
        <w:rPr>
          <w:rFonts w:ascii="Times New Roman" w:eastAsia="SimSun" w:hAnsi="Times New Roman"/>
          <w:color w:val="000000"/>
          <w:sz w:val="24"/>
          <w:szCs w:val="24"/>
          <w:lang w:eastAsia="zh-CN" w:bidi="zh-CN"/>
        </w:rPr>
        <w:t xml:space="preserve">представлява регистриране на дишането (дихателен поток през устата и носа, торакоабдоминални дихателни усилия, транскутанна кислородна сатурация), съня (електроенцефалограма, -окулограма, -миограма), ЕКГ и двигателната дейност (регистрирана видеографски и електромиографски). </w:t>
      </w:r>
    </w:p>
    <w:p w14:paraId="06383A72" w14:textId="77777777" w:rsidR="00BE0B19" w:rsidRPr="00AE47C6" w:rsidRDefault="00BE0B19" w:rsidP="00BE0B19">
      <w:pPr>
        <w:numPr>
          <w:ilvl w:val="0"/>
          <w:numId w:val="426"/>
        </w:numPr>
        <w:spacing w:after="0" w:line="360" w:lineRule="auto"/>
        <w:ind w:firstLine="709"/>
        <w:jc w:val="both"/>
        <w:rPr>
          <w:rFonts w:ascii="Times New Roman" w:eastAsia="SimSun" w:hAnsi="Times New Roman"/>
          <w:color w:val="000000"/>
          <w:sz w:val="24"/>
          <w:szCs w:val="24"/>
          <w:lang w:eastAsia="zh-CN" w:bidi="zh-CN"/>
        </w:rPr>
      </w:pPr>
      <w:r w:rsidRPr="00AE47C6">
        <w:rPr>
          <w:rFonts w:ascii="Times New Roman" w:eastAsia="SimSun" w:hAnsi="Times New Roman"/>
          <w:b/>
          <w:bCs/>
          <w:color w:val="000000"/>
          <w:sz w:val="24"/>
          <w:szCs w:val="24"/>
          <w:lang w:eastAsia="zh-CN" w:bidi="zh-CN"/>
        </w:rPr>
        <w:t xml:space="preserve">Лимитираната полиграфия </w:t>
      </w:r>
      <w:r w:rsidRPr="00AE47C6">
        <w:rPr>
          <w:rFonts w:ascii="Times New Roman" w:eastAsia="SimSun" w:hAnsi="Times New Roman"/>
          <w:color w:val="000000"/>
          <w:sz w:val="24"/>
          <w:szCs w:val="24"/>
          <w:lang w:eastAsia="zh-CN" w:bidi="zh-CN"/>
        </w:rPr>
        <w:t xml:space="preserve">включва регистрирането само на дихателни параметри (дихателен поток през устата и носа, торакоабдоминални дихателни усилия, транскутанно кислородна сатурация), ЕКГ и положение на тялото. Методът дава възможност и за индивидуализиране и контролиране ефективността на лечението със СРАР. </w:t>
      </w:r>
    </w:p>
    <w:p w14:paraId="3626D62C" w14:textId="77777777" w:rsidR="00BE0B19" w:rsidRPr="00AE47C6" w:rsidRDefault="00BE0B19" w:rsidP="00BE0B19">
      <w:pPr>
        <w:numPr>
          <w:ilvl w:val="0"/>
          <w:numId w:val="426"/>
        </w:numPr>
        <w:spacing w:after="0" w:line="360" w:lineRule="auto"/>
        <w:ind w:firstLine="709"/>
        <w:jc w:val="both"/>
        <w:rPr>
          <w:rFonts w:ascii="Times New Roman" w:eastAsia="SimSun" w:hAnsi="Times New Roman"/>
          <w:color w:val="000000"/>
          <w:sz w:val="24"/>
          <w:szCs w:val="24"/>
          <w:lang w:eastAsia="zh-CN" w:bidi="zh-CN"/>
        </w:rPr>
      </w:pPr>
      <w:r w:rsidRPr="00AE47C6">
        <w:rPr>
          <w:rFonts w:ascii="Times New Roman" w:eastAsia="SimSun" w:hAnsi="Times New Roman"/>
          <w:b/>
          <w:bCs/>
          <w:color w:val="000000"/>
          <w:sz w:val="24"/>
          <w:szCs w:val="24"/>
          <w:lang w:eastAsia="zh-CN" w:bidi="zh-CN"/>
        </w:rPr>
        <w:t xml:space="preserve">Многократният тест </w:t>
      </w:r>
      <w:r w:rsidRPr="00AE47C6">
        <w:rPr>
          <w:rFonts w:ascii="Times New Roman" w:eastAsia="SimSun" w:hAnsi="Times New Roman"/>
          <w:color w:val="000000"/>
          <w:sz w:val="24"/>
          <w:szCs w:val="24"/>
          <w:lang w:eastAsia="zh-CN" w:bidi="zh-CN"/>
        </w:rPr>
        <w:t>за изследване на латенцията на заспиване представлява изследване на електроенцефалограма, -окулограма и -миограма с цел установяване на времето за заспиване и патологичните явления при пет опита за заспиване от 20 минути през деня.</w:t>
      </w:r>
    </w:p>
    <w:p w14:paraId="0AF316A7" w14:textId="77777777" w:rsidR="00BE0B19" w:rsidRPr="00AE47C6" w:rsidRDefault="00BE0B19" w:rsidP="00BE0B19">
      <w:pPr>
        <w:numPr>
          <w:ilvl w:val="0"/>
          <w:numId w:val="426"/>
        </w:numPr>
        <w:spacing w:after="0" w:line="360" w:lineRule="auto"/>
        <w:ind w:firstLine="709"/>
        <w:jc w:val="both"/>
        <w:rPr>
          <w:rFonts w:ascii="Times New Roman" w:eastAsia="SimSun" w:hAnsi="Times New Roman"/>
          <w:color w:val="000000"/>
          <w:sz w:val="24"/>
          <w:szCs w:val="24"/>
          <w:lang w:eastAsia="zh-CN" w:bidi="zh-CN"/>
        </w:rPr>
      </w:pPr>
      <w:r w:rsidRPr="00AE47C6">
        <w:rPr>
          <w:rFonts w:ascii="Times New Roman" w:eastAsia="SimSun" w:hAnsi="Times New Roman"/>
          <w:color w:val="000000"/>
          <w:sz w:val="24"/>
          <w:szCs w:val="24"/>
          <w:lang w:eastAsia="zh-CN" w:bidi="zh-CN"/>
        </w:rPr>
        <w:t>Проведените апаратни изследвания получават автоматична и ръчна оценка и след клинично обсъждане, най-често от група специалисти, се поставя диагноза на пациента.</w:t>
      </w:r>
    </w:p>
    <w:p w14:paraId="2AB8AEC8" w14:textId="77777777" w:rsidR="00BE0B19" w:rsidRPr="00AE47C6" w:rsidRDefault="00BE0B19" w:rsidP="00BE0B19">
      <w:pPr>
        <w:numPr>
          <w:ilvl w:val="0"/>
          <w:numId w:val="426"/>
        </w:numPr>
        <w:spacing w:after="0" w:line="360" w:lineRule="auto"/>
        <w:ind w:firstLine="709"/>
        <w:jc w:val="both"/>
        <w:rPr>
          <w:rFonts w:ascii="Times New Roman" w:eastAsia="SimSun" w:hAnsi="Times New Roman"/>
          <w:color w:val="000000"/>
          <w:sz w:val="24"/>
          <w:szCs w:val="24"/>
          <w:lang w:eastAsia="zh-CN" w:bidi="zh-CN"/>
        </w:rPr>
      </w:pPr>
      <w:r w:rsidRPr="00AE47C6">
        <w:rPr>
          <w:rFonts w:ascii="Times New Roman" w:eastAsia="SimSun" w:hAnsi="Times New Roman"/>
          <w:color w:val="000000"/>
          <w:sz w:val="24"/>
          <w:szCs w:val="24"/>
          <w:lang w:eastAsia="zh-CN" w:bidi="zh-CN"/>
        </w:rPr>
        <w:t>Поради необходимостта от прекарване на 2-3 нощи в лабораторни (болнични) условия за поставяне на диагнозата на РСБ повечето от диагностичните мероприятия са приоритет за болничната помощ.</w:t>
      </w:r>
    </w:p>
    <w:p w14:paraId="0A15E548" w14:textId="77777777" w:rsidR="00BE0B19" w:rsidRPr="00AE47C6" w:rsidRDefault="00BE0B19" w:rsidP="00BE0B19">
      <w:pPr>
        <w:numPr>
          <w:ilvl w:val="0"/>
          <w:numId w:val="426"/>
        </w:numPr>
        <w:spacing w:after="0" w:line="360" w:lineRule="auto"/>
        <w:ind w:firstLine="709"/>
        <w:jc w:val="both"/>
        <w:rPr>
          <w:rFonts w:ascii="Times New Roman" w:eastAsia="SimSun" w:hAnsi="Times New Roman"/>
          <w:color w:val="000000"/>
          <w:sz w:val="24"/>
          <w:szCs w:val="24"/>
          <w:lang w:eastAsia="zh-CN" w:bidi="zh-CN"/>
        </w:rPr>
      </w:pPr>
      <w:r w:rsidRPr="00AE47C6">
        <w:rPr>
          <w:rFonts w:ascii="Times New Roman" w:eastAsia="SimSun" w:hAnsi="Times New Roman"/>
          <w:color w:val="000000"/>
          <w:sz w:val="24"/>
          <w:szCs w:val="24"/>
          <w:lang w:eastAsia="zh-CN" w:bidi="zh-CN"/>
        </w:rPr>
        <w:t xml:space="preserve">Титрирането на позитивното налягане, терапевтичните опити за лечение с положително налягане и проследяването на лечението следва да се извършва от специалиста по РСБ (невролог, пулмолог). </w:t>
      </w:r>
    </w:p>
    <w:p w14:paraId="0509BE98"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zh-CN" w:bidi="zh-CN"/>
        </w:rPr>
      </w:pPr>
    </w:p>
    <w:p w14:paraId="61E192FA" w14:textId="77777777" w:rsidR="00BE0B19" w:rsidRPr="00AE47C6" w:rsidRDefault="00BE0B19" w:rsidP="00BE0B19">
      <w:pPr>
        <w:spacing w:after="0" w:line="240" w:lineRule="auto"/>
        <w:rPr>
          <w:rFonts w:ascii="Times New Roman" w:eastAsia="SimSun" w:hAnsi="Times New Roman"/>
          <w:color w:val="000000"/>
          <w:lang w:eastAsia="zh-CN" w:bidi="zh-CN"/>
        </w:rPr>
      </w:pPr>
      <w:r w:rsidRPr="00AE47C6">
        <w:rPr>
          <w:rFonts w:ascii="Times New Roman" w:eastAsia="SimSun" w:hAnsi="Times New Roman"/>
          <w:color w:val="000000"/>
          <w:lang w:eastAsia="zh-CN" w:bidi="zh-CN"/>
        </w:rPr>
        <w:br w:type="page"/>
      </w:r>
    </w:p>
    <w:p w14:paraId="25D05EC8" w14:textId="77777777" w:rsidR="00BE0B19" w:rsidRPr="00AE47C6" w:rsidRDefault="00BE0B19" w:rsidP="00BE0B19">
      <w:pPr>
        <w:tabs>
          <w:tab w:val="left" w:pos="720"/>
        </w:tabs>
        <w:suppressAutoHyphens/>
        <w:spacing w:after="0" w:line="360" w:lineRule="auto"/>
        <w:ind w:firstLine="709"/>
        <w:jc w:val="center"/>
        <w:rPr>
          <w:rFonts w:ascii="Times New Roman" w:eastAsia="SimSun" w:hAnsi="Times New Roman"/>
          <w:b/>
          <w:color w:val="000000"/>
          <w:sz w:val="24"/>
          <w:szCs w:val="24"/>
          <w:lang w:eastAsia="bg-BG"/>
        </w:rPr>
      </w:pPr>
      <w:r w:rsidRPr="00AE47C6">
        <w:rPr>
          <w:rFonts w:ascii="Times New Roman" w:eastAsia="SimSun" w:hAnsi="Times New Roman"/>
          <w:b/>
          <w:color w:val="000000"/>
          <w:sz w:val="24"/>
          <w:szCs w:val="24"/>
          <w:lang w:eastAsia="bg-BG"/>
        </w:rPr>
        <w:t>Taблица 16. 1. Нарушения на съня, които могат да имитират инсомния</w:t>
      </w:r>
    </w:p>
    <w:p w14:paraId="45D0EFF4"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b/>
          <w:bCs/>
          <w:color w:val="000000"/>
          <w:sz w:val="24"/>
          <w:szCs w:val="24"/>
          <w:lang w:eastAsia="bg-BG"/>
        </w:rPr>
      </w:pPr>
      <w:r w:rsidRPr="00AE47C6">
        <w:rPr>
          <w:rFonts w:ascii="Times New Roman" w:eastAsia="SimSun" w:hAnsi="Times New Roman"/>
          <w:b/>
          <w:bCs/>
          <w:color w:val="000000"/>
          <w:sz w:val="24"/>
          <w:szCs w:val="24"/>
          <w:lang w:eastAsia="bg-BG"/>
        </w:rPr>
        <w:t>Нарушения на дишането по време на сън</w:t>
      </w:r>
    </w:p>
    <w:p w14:paraId="7B92408C"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Обструктивна сънна апнея</w:t>
      </w:r>
    </w:p>
    <w:p w14:paraId="34C3440E"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Централна сънна апнея</w:t>
      </w:r>
    </w:p>
    <w:p w14:paraId="4216970A"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b/>
          <w:bCs/>
          <w:color w:val="000000"/>
          <w:sz w:val="24"/>
          <w:szCs w:val="24"/>
          <w:lang w:eastAsia="bg-BG"/>
        </w:rPr>
      </w:pPr>
      <w:r w:rsidRPr="00AE47C6">
        <w:rPr>
          <w:rFonts w:ascii="Times New Roman" w:eastAsia="SimSun" w:hAnsi="Times New Roman"/>
          <w:b/>
          <w:bCs/>
          <w:color w:val="000000"/>
          <w:sz w:val="24"/>
          <w:szCs w:val="24"/>
          <w:lang w:eastAsia="bg-BG"/>
        </w:rPr>
        <w:t>Двигателни нарушения по време на сън</w:t>
      </w:r>
    </w:p>
    <w:p w14:paraId="77AD3F2F"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Синдром на неспокойните крака</w:t>
      </w:r>
    </w:p>
    <w:p w14:paraId="4C5DE523"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Крампи по време на сън</w:t>
      </w:r>
    </w:p>
    <w:p w14:paraId="492C3B51"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Бруксизъм</w:t>
      </w:r>
    </w:p>
    <w:p w14:paraId="40EC76D4"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Нощен миоклонус (при заспиване)</w:t>
      </w:r>
    </w:p>
    <w:p w14:paraId="4A978C24"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Ритмични движения по време на сън</w:t>
      </w:r>
    </w:p>
    <w:p w14:paraId="32E814D9"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b/>
          <w:bCs/>
          <w:color w:val="000000"/>
          <w:sz w:val="24"/>
          <w:szCs w:val="24"/>
          <w:lang w:eastAsia="bg-BG"/>
        </w:rPr>
      </w:pPr>
      <w:r w:rsidRPr="00AE47C6">
        <w:rPr>
          <w:rFonts w:ascii="Times New Roman" w:eastAsia="SimSun" w:hAnsi="Times New Roman"/>
          <w:b/>
          <w:bCs/>
          <w:color w:val="000000"/>
          <w:sz w:val="24"/>
          <w:szCs w:val="24"/>
          <w:lang w:eastAsia="bg-BG"/>
        </w:rPr>
        <w:t>Централни нарушения с хиперсомния</w:t>
      </w:r>
    </w:p>
    <w:p w14:paraId="0C74A586"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Нарколепсия</w:t>
      </w:r>
    </w:p>
    <w:p w14:paraId="71FEAD3D"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b/>
          <w:bCs/>
          <w:color w:val="000000"/>
          <w:sz w:val="24"/>
          <w:szCs w:val="24"/>
          <w:lang w:eastAsia="bg-BG"/>
        </w:rPr>
      </w:pPr>
      <w:r w:rsidRPr="00AE47C6">
        <w:rPr>
          <w:rFonts w:ascii="Times New Roman" w:eastAsia="SimSun" w:hAnsi="Times New Roman"/>
          <w:b/>
          <w:bCs/>
          <w:color w:val="000000"/>
          <w:sz w:val="24"/>
          <w:szCs w:val="24"/>
          <w:lang w:eastAsia="bg-BG"/>
        </w:rPr>
        <w:t>Парасомнии</w:t>
      </w:r>
    </w:p>
    <w:p w14:paraId="5248F9C4"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Сомнамбулизъм</w:t>
      </w:r>
    </w:p>
    <w:p w14:paraId="54A2B0BD"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Нощен страх</w:t>
      </w:r>
    </w:p>
    <w:p w14:paraId="00632904"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Нощни кошмари</w:t>
      </w:r>
    </w:p>
    <w:p w14:paraId="77293692"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b/>
          <w:bCs/>
          <w:color w:val="000000"/>
          <w:sz w:val="24"/>
          <w:szCs w:val="24"/>
          <w:lang w:eastAsia="bg-BG"/>
        </w:rPr>
      </w:pPr>
      <w:r w:rsidRPr="00AE47C6">
        <w:rPr>
          <w:rFonts w:ascii="Times New Roman" w:eastAsia="SimSun" w:hAnsi="Times New Roman"/>
          <w:b/>
          <w:bCs/>
          <w:color w:val="000000"/>
          <w:sz w:val="24"/>
          <w:szCs w:val="24"/>
          <w:lang w:eastAsia="bg-BG"/>
        </w:rPr>
        <w:t>Циркадианни нарушения</w:t>
      </w:r>
    </w:p>
    <w:p w14:paraId="031F811F"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Изпреварваща фаза сън-бодърстване</w:t>
      </w:r>
    </w:p>
    <w:p w14:paraId="6AA92A59"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Забавена фаза на сън-бодърстване</w:t>
      </w:r>
    </w:p>
    <w:p w14:paraId="76CA78FD"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Работа на смени</w:t>
      </w:r>
    </w:p>
    <w:p w14:paraId="50907EE4"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Нерегулярен ритъм сън-бодърстване</w:t>
      </w:r>
    </w:p>
    <w:p w14:paraId="5260C9C4"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b/>
          <w:bCs/>
          <w:color w:val="000000"/>
          <w:sz w:val="24"/>
          <w:szCs w:val="24"/>
          <w:lang w:eastAsia="bg-BG"/>
        </w:rPr>
      </w:pPr>
      <w:r w:rsidRPr="00AE47C6">
        <w:rPr>
          <w:rFonts w:ascii="Times New Roman" w:eastAsia="SimSun" w:hAnsi="Times New Roman"/>
          <w:b/>
          <w:bCs/>
          <w:color w:val="000000"/>
          <w:sz w:val="24"/>
          <w:szCs w:val="24"/>
          <w:lang w:eastAsia="bg-BG"/>
        </w:rPr>
        <w:t>Други</w:t>
      </w:r>
    </w:p>
    <w:p w14:paraId="66295558"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Епилепсия по време на сън</w:t>
      </w:r>
    </w:p>
    <w:p w14:paraId="5ABBF572"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Ларингоспазъм по време на сън</w:t>
      </w:r>
    </w:p>
    <w:p w14:paraId="77C40681"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Асистолия по време на сън</w:t>
      </w:r>
    </w:p>
    <w:p w14:paraId="363A78E0" w14:textId="77777777" w:rsidR="00BE0B19" w:rsidRPr="00AE47C6" w:rsidRDefault="00BE0B19" w:rsidP="00BE0B19">
      <w:pPr>
        <w:spacing w:after="0" w:line="240" w:lineRule="auto"/>
        <w:rPr>
          <w:rFonts w:ascii="Times New Roman" w:eastAsia="SimSun" w:hAnsi="Times New Roman"/>
          <w:color w:val="000000"/>
          <w:sz w:val="24"/>
          <w:szCs w:val="24"/>
          <w:lang w:eastAsia="bg-BG"/>
        </w:rPr>
      </w:pPr>
      <w:r w:rsidRPr="00AE47C6">
        <w:rPr>
          <w:rFonts w:ascii="Times New Roman" w:eastAsia="SimSun" w:hAnsi="Times New Roman"/>
          <w:color w:val="000000"/>
        </w:rPr>
        <w:br w:type="page"/>
      </w:r>
    </w:p>
    <w:p w14:paraId="7C3C0682" w14:textId="77777777" w:rsidR="00BE0B19" w:rsidRPr="00AE47C6" w:rsidRDefault="00BE0B19" w:rsidP="00BE0B19">
      <w:pPr>
        <w:tabs>
          <w:tab w:val="left" w:pos="720"/>
        </w:tabs>
        <w:suppressAutoHyphens/>
        <w:spacing w:after="0" w:line="360" w:lineRule="auto"/>
        <w:ind w:firstLine="709"/>
        <w:jc w:val="center"/>
        <w:rPr>
          <w:rFonts w:ascii="Times New Roman" w:eastAsia="SimSun" w:hAnsi="Times New Roman"/>
          <w:b/>
          <w:color w:val="000000"/>
          <w:sz w:val="24"/>
          <w:szCs w:val="24"/>
          <w:lang w:eastAsia="bg-BG"/>
        </w:rPr>
      </w:pPr>
      <w:r w:rsidRPr="00AE47C6">
        <w:rPr>
          <w:rFonts w:ascii="Times New Roman" w:eastAsia="SimSun" w:hAnsi="Times New Roman"/>
          <w:b/>
          <w:color w:val="000000"/>
          <w:sz w:val="24"/>
          <w:szCs w:val="24"/>
          <w:lang w:eastAsia="bg-BG"/>
        </w:rPr>
        <w:t xml:space="preserve">Таблица 16. 2. Други заболявания, които могат да доведат до нарушения на съня </w:t>
      </w:r>
    </w:p>
    <w:p w14:paraId="25D2A0F7" w14:textId="77777777" w:rsidR="00BE0B19" w:rsidRPr="00AE47C6" w:rsidRDefault="00BE0B19" w:rsidP="00BE0B19">
      <w:pPr>
        <w:tabs>
          <w:tab w:val="left" w:pos="720"/>
        </w:tabs>
        <w:suppressAutoHyphens/>
        <w:spacing w:after="0" w:line="360" w:lineRule="auto"/>
        <w:ind w:firstLine="709"/>
        <w:jc w:val="both"/>
        <w:rPr>
          <w:rFonts w:ascii="Times New Roman" w:eastAsia="SimSun" w:hAnsi="Times New Roman"/>
          <w:color w:val="000000"/>
          <w:sz w:val="24"/>
          <w:szCs w:val="24"/>
          <w:lang w:eastAsia="bg-BG"/>
        </w:rPr>
      </w:pPr>
    </w:p>
    <w:p w14:paraId="1C75E166"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b/>
          <w:bCs/>
          <w:color w:val="000000"/>
          <w:sz w:val="24"/>
          <w:szCs w:val="24"/>
          <w:lang w:eastAsia="bg-BG"/>
        </w:rPr>
      </w:pPr>
      <w:r w:rsidRPr="00AE47C6">
        <w:rPr>
          <w:rFonts w:ascii="Times New Roman" w:eastAsia="SimSun" w:hAnsi="Times New Roman"/>
          <w:b/>
          <w:bCs/>
          <w:color w:val="000000"/>
          <w:sz w:val="24"/>
          <w:szCs w:val="24"/>
          <w:lang w:eastAsia="bg-BG"/>
        </w:rPr>
        <w:t>Сърдечно-съдови заболявания</w:t>
      </w:r>
    </w:p>
    <w:p w14:paraId="7154CC56"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Аритмии</w:t>
      </w:r>
    </w:p>
    <w:p w14:paraId="5D2FE79E"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Застойна сърдечна недостатъчност</w:t>
      </w:r>
    </w:p>
    <w:p w14:paraId="11D5734A"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Инфаркт на миокарда</w:t>
      </w:r>
    </w:p>
    <w:p w14:paraId="44B49E05"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Варици на крайниците</w:t>
      </w:r>
    </w:p>
    <w:p w14:paraId="601F123C"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b/>
          <w:bCs/>
          <w:color w:val="000000"/>
          <w:sz w:val="24"/>
          <w:szCs w:val="24"/>
          <w:lang w:eastAsia="bg-BG"/>
        </w:rPr>
      </w:pPr>
      <w:r w:rsidRPr="00AE47C6">
        <w:rPr>
          <w:rFonts w:ascii="Times New Roman" w:eastAsia="SimSun" w:hAnsi="Times New Roman"/>
          <w:b/>
          <w:bCs/>
          <w:color w:val="000000"/>
          <w:sz w:val="24"/>
          <w:szCs w:val="24"/>
          <w:lang w:eastAsia="bg-BG"/>
        </w:rPr>
        <w:t>Белодробни заболявания</w:t>
      </w:r>
    </w:p>
    <w:p w14:paraId="230B81A2"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ХОББ</w:t>
      </w:r>
    </w:p>
    <w:p w14:paraId="0B78E4AB"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Сколиози</w:t>
      </w:r>
    </w:p>
    <w:p w14:paraId="37E92C2B"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Интерстициални заболявания</w:t>
      </w:r>
    </w:p>
    <w:p w14:paraId="0750425E"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b/>
          <w:bCs/>
          <w:color w:val="000000"/>
          <w:sz w:val="24"/>
          <w:szCs w:val="24"/>
          <w:lang w:eastAsia="bg-BG"/>
        </w:rPr>
      </w:pPr>
      <w:r w:rsidRPr="00AE47C6">
        <w:rPr>
          <w:rFonts w:ascii="Times New Roman" w:eastAsia="SimSun" w:hAnsi="Times New Roman"/>
          <w:b/>
          <w:bCs/>
          <w:color w:val="000000"/>
          <w:sz w:val="24"/>
          <w:szCs w:val="24"/>
          <w:lang w:eastAsia="bg-BG"/>
        </w:rPr>
        <w:t>Гастроинтестинални заболявания</w:t>
      </w:r>
    </w:p>
    <w:p w14:paraId="2D0ED456"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Язвена болест</w:t>
      </w:r>
    </w:p>
    <w:p w14:paraId="2CF4A5F5"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ГЕРБ</w:t>
      </w:r>
    </w:p>
    <w:p w14:paraId="408F831E"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Хронична констипация</w:t>
      </w:r>
    </w:p>
    <w:p w14:paraId="5CA5EAF1"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b/>
          <w:bCs/>
          <w:color w:val="000000"/>
          <w:sz w:val="24"/>
          <w:szCs w:val="24"/>
          <w:lang w:eastAsia="bg-BG"/>
        </w:rPr>
      </w:pPr>
      <w:r w:rsidRPr="00AE47C6">
        <w:rPr>
          <w:rFonts w:ascii="Times New Roman" w:eastAsia="SimSun" w:hAnsi="Times New Roman"/>
          <w:b/>
          <w:bCs/>
          <w:color w:val="000000"/>
          <w:sz w:val="24"/>
          <w:szCs w:val="24"/>
          <w:lang w:eastAsia="bg-BG"/>
        </w:rPr>
        <w:t>Заболявания на централна нервна система</w:t>
      </w:r>
    </w:p>
    <w:p w14:paraId="6432FF9B"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Пространство заемащи процеси</w:t>
      </w:r>
    </w:p>
    <w:p w14:paraId="1384D845"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Деменции</w:t>
      </w:r>
    </w:p>
    <w:p w14:paraId="6A698550"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Епилепсия</w:t>
      </w:r>
    </w:p>
    <w:p w14:paraId="6D2C3B61"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Инсулт</w:t>
      </w:r>
    </w:p>
    <w:p w14:paraId="54EEF8F7"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Паркинсонова болест</w:t>
      </w:r>
    </w:p>
    <w:p w14:paraId="6ED1F7F7"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b/>
          <w:bCs/>
          <w:color w:val="000000"/>
          <w:sz w:val="24"/>
          <w:szCs w:val="24"/>
          <w:lang w:eastAsia="bg-BG"/>
        </w:rPr>
      </w:pPr>
      <w:r w:rsidRPr="00AE47C6">
        <w:rPr>
          <w:rFonts w:ascii="Times New Roman" w:eastAsia="SimSun" w:hAnsi="Times New Roman"/>
          <w:b/>
          <w:bCs/>
          <w:color w:val="000000"/>
          <w:sz w:val="24"/>
          <w:szCs w:val="24"/>
          <w:lang w:eastAsia="bg-BG"/>
        </w:rPr>
        <w:t>Невромускулни заболявания</w:t>
      </w:r>
    </w:p>
    <w:p w14:paraId="0822AF94"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b/>
          <w:bCs/>
          <w:color w:val="000000"/>
          <w:sz w:val="24"/>
          <w:szCs w:val="24"/>
          <w:lang w:eastAsia="bg-BG"/>
        </w:rPr>
      </w:pPr>
      <w:r w:rsidRPr="00AE47C6">
        <w:rPr>
          <w:rFonts w:ascii="Times New Roman" w:eastAsia="SimSun" w:hAnsi="Times New Roman"/>
          <w:b/>
          <w:bCs/>
          <w:color w:val="000000"/>
          <w:sz w:val="24"/>
          <w:szCs w:val="24"/>
          <w:lang w:eastAsia="bg-BG"/>
        </w:rPr>
        <w:t>Урологични заболявания</w:t>
      </w:r>
    </w:p>
    <w:p w14:paraId="35B66329"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Бенигнена простатна хипертрофия</w:t>
      </w:r>
    </w:p>
    <w:p w14:paraId="3106DDAF"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Хронична бъбречна болест</w:t>
      </w:r>
    </w:p>
    <w:p w14:paraId="6F73487B"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b/>
          <w:bCs/>
          <w:color w:val="000000"/>
          <w:sz w:val="24"/>
          <w:szCs w:val="24"/>
          <w:lang w:eastAsia="bg-BG"/>
        </w:rPr>
      </w:pPr>
      <w:r w:rsidRPr="00AE47C6">
        <w:rPr>
          <w:rFonts w:ascii="Times New Roman" w:eastAsia="SimSun" w:hAnsi="Times New Roman"/>
          <w:b/>
          <w:bCs/>
          <w:color w:val="000000"/>
          <w:sz w:val="24"/>
          <w:szCs w:val="24"/>
          <w:lang w:eastAsia="bg-BG"/>
        </w:rPr>
        <w:t>Мускуло-скелетни заболявания</w:t>
      </w:r>
    </w:p>
    <w:p w14:paraId="34B08295"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 xml:space="preserve">Ревматоиден артрит </w:t>
      </w:r>
    </w:p>
    <w:p w14:paraId="728E572E" w14:textId="77777777" w:rsidR="00BE0B19" w:rsidRPr="00AE47C6" w:rsidRDefault="00BE0B19" w:rsidP="00BE0B19">
      <w:pPr>
        <w:pBdr>
          <w:top w:val="single" w:sz="4" w:space="0" w:color="auto"/>
          <w:left w:val="single" w:sz="4" w:space="0" w:color="auto"/>
          <w:bottom w:val="single" w:sz="4" w:space="0" w:color="auto"/>
          <w:right w:val="single" w:sz="4" w:space="0" w:color="auto"/>
        </w:pBdr>
        <w:tabs>
          <w:tab w:val="left" w:pos="720"/>
        </w:tabs>
        <w:suppressAutoHyphens/>
        <w:spacing w:after="0" w:line="360" w:lineRule="auto"/>
        <w:ind w:firstLine="709"/>
        <w:jc w:val="both"/>
        <w:rPr>
          <w:rFonts w:ascii="Times New Roman" w:eastAsia="SimSun" w:hAnsi="Times New Roman"/>
          <w:color w:val="000000"/>
          <w:sz w:val="24"/>
          <w:szCs w:val="24"/>
          <w:lang w:eastAsia="bg-BG"/>
        </w:rPr>
      </w:pPr>
      <w:r w:rsidRPr="00AE47C6">
        <w:rPr>
          <w:rFonts w:ascii="Times New Roman" w:eastAsia="SimSun" w:hAnsi="Times New Roman"/>
          <w:color w:val="000000"/>
          <w:sz w:val="24"/>
          <w:szCs w:val="24"/>
          <w:lang w:eastAsia="bg-BG"/>
        </w:rPr>
        <w:t>Болести на съединителната тъкан</w:t>
      </w:r>
    </w:p>
    <w:p w14:paraId="59B383BC" w14:textId="77777777" w:rsidR="00BE0B19" w:rsidRPr="00AE47C6" w:rsidRDefault="00BE0B19" w:rsidP="00BE0B19">
      <w:pPr>
        <w:spacing w:after="0" w:line="360" w:lineRule="auto"/>
        <w:ind w:firstLine="709"/>
        <w:jc w:val="center"/>
        <w:rPr>
          <w:rFonts w:ascii="Times New Roman" w:eastAsia="SimSun" w:hAnsi="Times New Roman"/>
          <w:b/>
          <w:sz w:val="24"/>
          <w:szCs w:val="24"/>
        </w:rPr>
      </w:pPr>
    </w:p>
    <w:p w14:paraId="56D19F3C" w14:textId="77777777" w:rsidR="00BE0B19" w:rsidRPr="00AE47C6" w:rsidRDefault="00BE0B19" w:rsidP="00BE0B19">
      <w:pPr>
        <w:spacing w:after="0" w:line="240" w:lineRule="auto"/>
        <w:rPr>
          <w:rFonts w:ascii="Times New Roman" w:eastAsia="SimSun" w:hAnsi="Times New Roman"/>
          <w:b/>
          <w:sz w:val="24"/>
          <w:szCs w:val="24"/>
        </w:rPr>
      </w:pPr>
      <w:r w:rsidRPr="00AE47C6">
        <w:rPr>
          <w:rFonts w:ascii="Times New Roman" w:eastAsia="SimSun" w:hAnsi="Times New Roman"/>
          <w:b/>
          <w:sz w:val="24"/>
          <w:szCs w:val="24"/>
        </w:rPr>
        <w:br w:type="page"/>
      </w:r>
    </w:p>
    <w:p w14:paraId="42D695C4" w14:textId="77777777" w:rsidR="00BE0B19" w:rsidRPr="00AE47C6" w:rsidRDefault="00BE0B19" w:rsidP="00BE0B19">
      <w:pPr>
        <w:spacing w:after="0" w:line="360" w:lineRule="auto"/>
        <w:ind w:firstLine="709"/>
        <w:jc w:val="both"/>
        <w:rPr>
          <w:rFonts w:ascii="Times New Roman" w:eastAsia="SimSun" w:hAnsi="Times New Roman"/>
          <w:b/>
          <w:sz w:val="24"/>
          <w:szCs w:val="24"/>
        </w:rPr>
      </w:pPr>
    </w:p>
    <w:p w14:paraId="3D3C594B"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b/>
          <w:bCs/>
          <w:sz w:val="24"/>
          <w:szCs w:val="24"/>
          <w:lang w:eastAsia="bg-BG"/>
        </w:rPr>
      </w:pPr>
      <w:r w:rsidRPr="00AE47C6">
        <w:rPr>
          <w:rFonts w:ascii="Times New Roman" w:eastAsia="SimSun" w:hAnsi="Times New Roman"/>
          <w:b/>
          <w:bCs/>
          <w:sz w:val="24"/>
          <w:szCs w:val="24"/>
          <w:lang w:eastAsia="bg-BG"/>
        </w:rPr>
        <w:t>Таблица 16. 3. Медикаменти, които водят до безсъние</w:t>
      </w:r>
    </w:p>
    <w:p w14:paraId="4F3A6AF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АНТИДЕПРЕСАНТИ</w:t>
      </w:r>
    </w:p>
    <w:p w14:paraId="0F263B9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Серотонинергични (fluoxetine, fluvoxamine)</w:t>
      </w:r>
    </w:p>
    <w:p w14:paraId="48C973C9"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ХИПНОТИЦИ И АНКСИОЛИТИЦИ</w:t>
      </w:r>
    </w:p>
    <w:p w14:paraId="736BD4F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Бензодиазепините могат да предизвикат инсомния, като феномени на толеранс и изчерпване на ефекта или като феномен но отнемане при бензодиазепини със свръхкратък и кратък полуживот.</w:t>
      </w:r>
    </w:p>
    <w:p w14:paraId="0AD6C82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ПСИХОСТИМУЛАТОРИ</w:t>
      </w:r>
    </w:p>
    <w:p w14:paraId="6CC841C6"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Амфетамини</w:t>
      </w:r>
    </w:p>
    <w:p w14:paraId="5990341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 xml:space="preserve">Modafinil </w:t>
      </w:r>
    </w:p>
    <w:p w14:paraId="0C2AB384"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АНТИЕПИЛЕПТИЧНИ</w:t>
      </w:r>
    </w:p>
    <w:p w14:paraId="5D359708"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Carbamazepine</w:t>
      </w:r>
    </w:p>
    <w:p w14:paraId="6BF0041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Phenobarbital и бензодиазепини при деца</w:t>
      </w:r>
    </w:p>
    <w:p w14:paraId="71D8EB2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АНТИПАРКИНСОНОВИ</w:t>
      </w:r>
    </w:p>
    <w:p w14:paraId="29C2DF83"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Леводопа</w:t>
      </w:r>
    </w:p>
    <w:p w14:paraId="3405670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Bromocriptine</w:t>
      </w:r>
    </w:p>
    <w:p w14:paraId="4E4F3BF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КАРДИО-ВАСКУЛАРНИ МЕДИКАМЕНТИ</w:t>
      </w:r>
    </w:p>
    <w:p w14:paraId="50BCF95A"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Метилдопа</w:t>
      </w:r>
    </w:p>
    <w:p w14:paraId="7CB6E47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Клонидини</w:t>
      </w:r>
    </w:p>
    <w:p w14:paraId="0F684D61"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Бета-блокери и калциеви антагонисти</w:t>
      </w:r>
    </w:p>
    <w:p w14:paraId="2F6D3E1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ПУЛМОЛОГИЧНИ МЕДИКАМЕНТИ</w:t>
      </w:r>
    </w:p>
    <w:p w14:paraId="0CF470AC"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 xml:space="preserve">Theophylline </w:t>
      </w:r>
    </w:p>
    <w:p w14:paraId="18932850"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 xml:space="preserve">Salbutamol и специфичните агонисти на </w:t>
      </w:r>
    </w:p>
    <w:p w14:paraId="607E56E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β2 рецептори</w:t>
      </w:r>
    </w:p>
    <w:p w14:paraId="69D8036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ПРОТИВОВЪЗПАЛИТЕЛНИ МЕДИКАМЕНТИ</w:t>
      </w:r>
    </w:p>
    <w:p w14:paraId="1F0858F2"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Кортикостероиди</w:t>
      </w:r>
    </w:p>
    <w:p w14:paraId="1E49086B"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Chloroquine и солите на златото</w:t>
      </w:r>
    </w:p>
    <w:p w14:paraId="72D4B5CD" w14:textId="77777777" w:rsidR="00BE0B19" w:rsidRPr="00AE47C6" w:rsidRDefault="00BE0B19" w:rsidP="00BE0B19">
      <w:pPr>
        <w:pBdr>
          <w:top w:val="single" w:sz="4" w:space="1" w:color="auto"/>
          <w:left w:val="single" w:sz="4" w:space="4" w:color="auto"/>
          <w:bottom w:val="single" w:sz="4" w:space="1" w:color="auto"/>
          <w:right w:val="single" w:sz="4" w:space="4" w:color="auto"/>
        </w:pBdr>
        <w:spacing w:after="0" w:line="360" w:lineRule="auto"/>
        <w:ind w:firstLine="720"/>
        <w:jc w:val="both"/>
        <w:rPr>
          <w:rFonts w:ascii="Times New Roman" w:eastAsia="SimSun" w:hAnsi="Times New Roman"/>
          <w:b/>
          <w:bCs/>
          <w:i/>
          <w:sz w:val="24"/>
          <w:szCs w:val="24"/>
        </w:rPr>
      </w:pPr>
      <w:r w:rsidRPr="00AE47C6">
        <w:rPr>
          <w:rFonts w:ascii="Times New Roman" w:eastAsia="SimSun" w:hAnsi="Times New Roman"/>
          <w:b/>
          <w:bCs/>
          <w:i/>
          <w:sz w:val="24"/>
          <w:szCs w:val="24"/>
        </w:rPr>
        <w:t>ХОРМОНАЛНИ ПРЕПАРАТИ - тиреоидни</w:t>
      </w:r>
    </w:p>
    <w:p w14:paraId="654F7DDE" w14:textId="77777777" w:rsidR="00BE0B19" w:rsidRPr="00AE47C6" w:rsidRDefault="00BE0B19" w:rsidP="00BE0B19">
      <w:pPr>
        <w:tabs>
          <w:tab w:val="left" w:pos="720"/>
        </w:tabs>
        <w:suppressAutoHyphens/>
        <w:spacing w:after="0" w:line="360" w:lineRule="auto"/>
        <w:ind w:firstLine="851"/>
        <w:jc w:val="both"/>
        <w:rPr>
          <w:rFonts w:ascii="Times New Roman" w:eastAsia="SimSun" w:hAnsi="Times New Roman"/>
          <w:sz w:val="24"/>
          <w:szCs w:val="24"/>
          <w:lang w:eastAsia="bg-BG"/>
          <w14:shadow w14:blurRad="50800" w14:dist="38100" w14:dir="2700000" w14:sx="100000" w14:sy="100000" w14:kx="0" w14:ky="0" w14:algn="tl">
            <w14:srgbClr w14:val="000000">
              <w14:alpha w14:val="60000"/>
            </w14:srgbClr>
          </w14:shadow>
        </w:rPr>
      </w:pPr>
    </w:p>
    <w:p w14:paraId="359CAC5A" w14:textId="77777777" w:rsidR="00BE0B19" w:rsidRPr="00AE47C6" w:rsidRDefault="00BE0B19" w:rsidP="00BE0B19">
      <w:pPr>
        <w:tabs>
          <w:tab w:val="left" w:pos="720"/>
        </w:tabs>
        <w:suppressAutoHyphens/>
        <w:spacing w:after="0" w:line="360" w:lineRule="auto"/>
        <w:ind w:firstLine="851"/>
        <w:jc w:val="both"/>
        <w:rPr>
          <w:rFonts w:ascii="Times New Roman" w:hAnsi="Times New Roman"/>
          <w:sz w:val="24"/>
          <w:szCs w:val="24"/>
          <w:lang w:eastAsia="bg-BG"/>
        </w:rPr>
      </w:pPr>
    </w:p>
    <w:p w14:paraId="568CD874" w14:textId="77777777" w:rsidR="00BE0B19" w:rsidRPr="00AE47C6" w:rsidRDefault="00BE0B19" w:rsidP="00BE0B19">
      <w:pPr>
        <w:tabs>
          <w:tab w:val="left" w:pos="720"/>
        </w:tabs>
        <w:suppressAutoHyphens/>
        <w:spacing w:after="0" w:line="360" w:lineRule="auto"/>
        <w:ind w:firstLine="851"/>
        <w:jc w:val="both"/>
        <w:rPr>
          <w:rFonts w:ascii="Times New Roman" w:hAnsi="Times New Roman"/>
          <w:sz w:val="24"/>
          <w:szCs w:val="24"/>
          <w:lang w:eastAsia="bg-BG"/>
        </w:rPr>
      </w:pPr>
    </w:p>
    <w:p w14:paraId="7458B939" w14:textId="77777777" w:rsidR="00BE0B19" w:rsidRPr="00AE47C6" w:rsidRDefault="00BE0B19" w:rsidP="00BE0B19">
      <w:pPr>
        <w:spacing w:after="0" w:line="360" w:lineRule="auto"/>
        <w:ind w:firstLine="709"/>
        <w:jc w:val="center"/>
        <w:rPr>
          <w:rFonts w:ascii="Times New Roman" w:eastAsia="SimSun" w:hAnsi="Times New Roman"/>
          <w:b/>
          <w:sz w:val="24"/>
          <w:szCs w:val="24"/>
        </w:rPr>
      </w:pPr>
      <w:r w:rsidRPr="00AE47C6">
        <w:rPr>
          <w:rFonts w:ascii="Times New Roman" w:eastAsia="Calibri Cyr" w:hAnsi="Times New Roman"/>
          <w:b/>
          <w:sz w:val="24"/>
          <w:szCs w:val="24"/>
        </w:rPr>
        <w:t>Таблица 16. 4. Сънотворни медикаменти</w:t>
      </w:r>
      <w:r w:rsidRPr="00AE47C6">
        <w:rPr>
          <w:rFonts w:ascii="Times New Roman" w:eastAsia="SimSun" w:hAnsi="Times New Roman"/>
          <w:b/>
          <w:sz w:val="24"/>
          <w:szCs w:val="24"/>
        </w:rPr>
        <w:t xml:space="preserve"> </w:t>
      </w:r>
      <w:r w:rsidRPr="00AE47C6">
        <w:rPr>
          <w:rFonts w:ascii="Times New Roman" w:eastAsia="Calibri Cyr" w:hAnsi="Times New Roman"/>
          <w:b/>
          <w:sz w:val="24"/>
          <w:szCs w:val="24"/>
        </w:rPr>
        <w:t>/време за достигане на максимална плазмена концентрация и елиминационен полуживот/</w:t>
      </w:r>
      <w:r w:rsidRPr="00AE47C6">
        <w:rPr>
          <w:rFonts w:ascii="Times New Roman" w:eastAsia="SimSun" w:hAnsi="Times New Roman"/>
          <w:b/>
          <w:sz w:val="24"/>
          <w:szCs w:val="24"/>
        </w:rPr>
        <w:br/>
      </w:r>
    </w:p>
    <w:tbl>
      <w:tblPr>
        <w:tblW w:w="5531" w:type="dxa"/>
        <w:tblLayout w:type="fixed"/>
        <w:tblCellMar>
          <w:left w:w="0" w:type="dxa"/>
          <w:right w:w="0" w:type="dxa"/>
        </w:tblCellMar>
        <w:tblLook w:val="04A0" w:firstRow="1" w:lastRow="0" w:firstColumn="1" w:lastColumn="0" w:noHBand="0" w:noVBand="1"/>
      </w:tblPr>
      <w:tblGrid>
        <w:gridCol w:w="1794"/>
        <w:gridCol w:w="1894"/>
        <w:gridCol w:w="1843"/>
      </w:tblGrid>
      <w:tr w:rsidR="00BE0B19" w:rsidRPr="00AE47C6" w14:paraId="22041F73" w14:textId="77777777" w:rsidTr="00913234">
        <w:trPr>
          <w:trHeight w:val="908"/>
        </w:trPr>
        <w:tc>
          <w:tcPr>
            <w:tcW w:w="1794" w:type="dxa"/>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0AC6ACCE"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Calibri Cyr" w:hAnsi="Times New Roman"/>
                <w:b/>
                <w:sz w:val="24"/>
                <w:szCs w:val="24"/>
              </w:rPr>
              <w:t>Медикаменти</w:t>
            </w:r>
          </w:p>
        </w:tc>
        <w:tc>
          <w:tcPr>
            <w:tcW w:w="1894" w:type="dxa"/>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02E0204C"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Calibri Cyr" w:hAnsi="Times New Roman"/>
                <w:b/>
                <w:sz w:val="24"/>
                <w:szCs w:val="24"/>
              </w:rPr>
              <w:t>Т</w:t>
            </w:r>
            <w:r w:rsidRPr="00AE47C6">
              <w:rPr>
                <w:rFonts w:ascii="Times New Roman" w:eastAsia="SimSun" w:hAnsi="Times New Roman"/>
                <w:b/>
                <w:sz w:val="24"/>
                <w:szCs w:val="24"/>
              </w:rPr>
              <w:t>max</w:t>
            </w:r>
            <w:r w:rsidRPr="00AE47C6">
              <w:rPr>
                <w:rFonts w:ascii="Times New Roman" w:eastAsia="SimSun" w:hAnsi="Times New Roman"/>
                <w:sz w:val="24"/>
                <w:szCs w:val="24"/>
              </w:rPr>
              <w:t xml:space="preserve"> </w:t>
            </w:r>
            <w:r w:rsidRPr="00AE47C6">
              <w:rPr>
                <w:rFonts w:ascii="Times New Roman" w:eastAsia="SimSun" w:hAnsi="Times New Roman"/>
                <w:b/>
                <w:sz w:val="24"/>
                <w:szCs w:val="24"/>
              </w:rPr>
              <w:t>/h/</w:t>
            </w:r>
          </w:p>
        </w:tc>
        <w:tc>
          <w:tcPr>
            <w:tcW w:w="1843" w:type="dxa"/>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6B43C5B2"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Calibri Cyr" w:hAnsi="Times New Roman"/>
                <w:b/>
                <w:sz w:val="24"/>
                <w:szCs w:val="24"/>
              </w:rPr>
              <w:t>Време на полуживот</w:t>
            </w:r>
            <w:r w:rsidRPr="00AE47C6">
              <w:rPr>
                <w:rFonts w:ascii="Times New Roman" w:eastAsia="SimSun" w:hAnsi="Times New Roman"/>
                <w:sz w:val="24"/>
                <w:szCs w:val="24"/>
              </w:rPr>
              <w:t xml:space="preserve"> </w:t>
            </w:r>
            <w:r w:rsidRPr="00AE47C6">
              <w:rPr>
                <w:rFonts w:ascii="Times New Roman" w:eastAsia="SimSun" w:hAnsi="Times New Roman"/>
                <w:b/>
                <w:sz w:val="24"/>
                <w:szCs w:val="24"/>
              </w:rPr>
              <w:t>/h/</w:t>
            </w:r>
          </w:p>
        </w:tc>
      </w:tr>
      <w:tr w:rsidR="00BE0B19" w:rsidRPr="00AE47C6" w14:paraId="4B3E8EDE" w14:textId="77777777" w:rsidTr="00913234">
        <w:trPr>
          <w:trHeight w:val="345"/>
        </w:trPr>
        <w:tc>
          <w:tcPr>
            <w:tcW w:w="5531" w:type="dxa"/>
            <w:gridSpan w:val="3"/>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13374AD5"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Calibri Cyr" w:hAnsi="Times New Roman"/>
                <w:b/>
                <w:sz w:val="24"/>
                <w:szCs w:val="24"/>
              </w:rPr>
              <w:t>С  бавно  елиминиране</w:t>
            </w:r>
            <w:r w:rsidRPr="00AE47C6">
              <w:rPr>
                <w:rFonts w:ascii="Times New Roman" w:eastAsia="SimSun" w:hAnsi="Times New Roman"/>
                <w:b/>
                <w:sz w:val="24"/>
                <w:szCs w:val="24"/>
              </w:rPr>
              <w:t xml:space="preserve">  /24  h/</w:t>
            </w:r>
          </w:p>
        </w:tc>
      </w:tr>
      <w:tr w:rsidR="00BE0B19" w:rsidRPr="00AE47C6" w14:paraId="3F2009CF" w14:textId="77777777" w:rsidTr="00913234">
        <w:trPr>
          <w:trHeight w:val="790"/>
        </w:trPr>
        <w:tc>
          <w:tcPr>
            <w:tcW w:w="1794" w:type="dxa"/>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39FBAB0C"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Clozepate</w:t>
            </w:r>
          </w:p>
          <w:p w14:paraId="06DDC162"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Diazepam</w:t>
            </w:r>
          </w:p>
          <w:p w14:paraId="04506DCC"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Nitrazepam</w:t>
            </w:r>
          </w:p>
        </w:tc>
        <w:tc>
          <w:tcPr>
            <w:tcW w:w="1894" w:type="dxa"/>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1C90F07F"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1</w:t>
            </w:r>
          </w:p>
          <w:p w14:paraId="7F66F340"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Calibri Cyr" w:hAnsi="Times New Roman"/>
                <w:sz w:val="24"/>
                <w:szCs w:val="24"/>
              </w:rPr>
              <w:t>От 0,5 до 1,5</w:t>
            </w:r>
          </w:p>
          <w:p w14:paraId="2B8EEA84"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24C7A4FE"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40</w:t>
            </w:r>
          </w:p>
          <w:p w14:paraId="1A11725A"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32</w:t>
            </w:r>
          </w:p>
          <w:p w14:paraId="2A5CA483"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25</w:t>
            </w:r>
          </w:p>
        </w:tc>
      </w:tr>
      <w:tr w:rsidR="00BE0B19" w:rsidRPr="00AE47C6" w14:paraId="6BD5DA70" w14:textId="77777777" w:rsidTr="00913234">
        <w:trPr>
          <w:trHeight w:val="617"/>
        </w:trPr>
        <w:tc>
          <w:tcPr>
            <w:tcW w:w="5531" w:type="dxa"/>
            <w:gridSpan w:val="3"/>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4B252A55"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Calibri Cyr" w:hAnsi="Times New Roman"/>
                <w:b/>
                <w:sz w:val="24"/>
                <w:szCs w:val="24"/>
              </w:rPr>
              <w:t xml:space="preserve">Със   средно  елиминиране /6  –  24 </w:t>
            </w:r>
            <w:r w:rsidRPr="00AE47C6">
              <w:rPr>
                <w:rFonts w:ascii="Times New Roman" w:eastAsia="SimSun" w:hAnsi="Times New Roman"/>
                <w:b/>
                <w:sz w:val="24"/>
                <w:szCs w:val="24"/>
              </w:rPr>
              <w:t>h/</w:t>
            </w:r>
          </w:p>
        </w:tc>
      </w:tr>
      <w:tr w:rsidR="00BE0B19" w:rsidRPr="00AE47C6" w14:paraId="7F846651" w14:textId="77777777" w:rsidTr="00913234">
        <w:trPr>
          <w:trHeight w:val="1975"/>
        </w:trPr>
        <w:tc>
          <w:tcPr>
            <w:tcW w:w="1794" w:type="dxa"/>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0629F98C"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Bromazepam</w:t>
            </w:r>
          </w:p>
          <w:p w14:paraId="135710E8"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Flunitrazepam</w:t>
            </w:r>
          </w:p>
          <w:p w14:paraId="0E304BBB"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Lorazepam</w:t>
            </w:r>
          </w:p>
          <w:p w14:paraId="6DD6084B"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Alprazolam</w:t>
            </w:r>
          </w:p>
        </w:tc>
        <w:tc>
          <w:tcPr>
            <w:tcW w:w="1894" w:type="dxa"/>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47090A66"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Calibri Cyr" w:hAnsi="Times New Roman"/>
                <w:sz w:val="24"/>
                <w:szCs w:val="24"/>
              </w:rPr>
              <w:t>От 1 до 4</w:t>
            </w:r>
          </w:p>
          <w:p w14:paraId="40E0CD49"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1</w:t>
            </w:r>
          </w:p>
          <w:p w14:paraId="0B304862"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1</w:t>
            </w:r>
          </w:p>
          <w:p w14:paraId="5655896E"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Calibri Cyr" w:hAnsi="Times New Roman"/>
                <w:sz w:val="24"/>
                <w:szCs w:val="24"/>
              </w:rPr>
              <w:t>0,9 до 2,4</w:t>
            </w:r>
          </w:p>
        </w:tc>
        <w:tc>
          <w:tcPr>
            <w:tcW w:w="1843" w:type="dxa"/>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2A8612C9"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20</w:t>
            </w:r>
          </w:p>
          <w:p w14:paraId="748B69FB"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19</w:t>
            </w:r>
          </w:p>
          <w:p w14:paraId="236DAE88"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Calibri Cyr" w:hAnsi="Times New Roman"/>
                <w:sz w:val="24"/>
                <w:szCs w:val="24"/>
              </w:rPr>
              <w:t>От 10 до 20</w:t>
            </w:r>
          </w:p>
          <w:p w14:paraId="41CD640F"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Calibri Cyr" w:hAnsi="Times New Roman"/>
                <w:sz w:val="24"/>
                <w:szCs w:val="24"/>
              </w:rPr>
              <w:t>От 12 до 15</w:t>
            </w:r>
          </w:p>
        </w:tc>
      </w:tr>
    </w:tbl>
    <w:p w14:paraId="15562D96"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br/>
      </w:r>
    </w:p>
    <w:tbl>
      <w:tblPr>
        <w:tblW w:w="5673" w:type="dxa"/>
        <w:tblLayout w:type="fixed"/>
        <w:tblCellMar>
          <w:left w:w="0" w:type="dxa"/>
          <w:right w:w="0" w:type="dxa"/>
        </w:tblCellMar>
        <w:tblLook w:val="04A0" w:firstRow="1" w:lastRow="0" w:firstColumn="1" w:lastColumn="0" w:noHBand="0" w:noVBand="1"/>
      </w:tblPr>
      <w:tblGrid>
        <w:gridCol w:w="1794"/>
        <w:gridCol w:w="1894"/>
        <w:gridCol w:w="1985"/>
      </w:tblGrid>
      <w:tr w:rsidR="00BE0B19" w:rsidRPr="00AE47C6" w14:paraId="73A97C6A" w14:textId="77777777" w:rsidTr="00913234">
        <w:trPr>
          <w:trHeight w:val="1083"/>
        </w:trPr>
        <w:tc>
          <w:tcPr>
            <w:tcW w:w="1794" w:type="dxa"/>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261F8638"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Calibri Cyr" w:hAnsi="Times New Roman"/>
                <w:b/>
                <w:sz w:val="24"/>
                <w:szCs w:val="24"/>
              </w:rPr>
              <w:t>Медикаменти</w:t>
            </w:r>
          </w:p>
        </w:tc>
        <w:tc>
          <w:tcPr>
            <w:tcW w:w="1894" w:type="dxa"/>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226CEB10"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Calibri Cyr" w:hAnsi="Times New Roman"/>
                <w:b/>
                <w:sz w:val="24"/>
                <w:szCs w:val="24"/>
              </w:rPr>
              <w:t>Т</w:t>
            </w:r>
            <w:r w:rsidRPr="00AE47C6">
              <w:rPr>
                <w:rFonts w:ascii="Times New Roman" w:eastAsia="SimSun" w:hAnsi="Times New Roman"/>
                <w:b/>
                <w:sz w:val="24"/>
                <w:szCs w:val="24"/>
              </w:rPr>
              <w:t>max</w:t>
            </w:r>
            <w:r w:rsidRPr="00AE47C6">
              <w:rPr>
                <w:rFonts w:ascii="Times New Roman" w:eastAsia="SimSun" w:hAnsi="Times New Roman"/>
                <w:sz w:val="24"/>
                <w:szCs w:val="24"/>
              </w:rPr>
              <w:t xml:space="preserve"> </w:t>
            </w:r>
            <w:r w:rsidRPr="00AE47C6">
              <w:rPr>
                <w:rFonts w:ascii="Times New Roman" w:eastAsia="SimSun" w:hAnsi="Times New Roman"/>
                <w:b/>
                <w:sz w:val="24"/>
                <w:szCs w:val="24"/>
              </w:rPr>
              <w:t>/h/</w:t>
            </w:r>
          </w:p>
        </w:tc>
        <w:tc>
          <w:tcPr>
            <w:tcW w:w="1985" w:type="dxa"/>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47827AB0"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Calibri Cyr" w:hAnsi="Times New Roman"/>
                <w:b/>
                <w:sz w:val="24"/>
                <w:szCs w:val="24"/>
              </w:rPr>
              <w:t>Време на полуживот</w:t>
            </w:r>
            <w:r w:rsidRPr="00AE47C6">
              <w:rPr>
                <w:rFonts w:ascii="Times New Roman" w:eastAsia="SimSun" w:hAnsi="Times New Roman"/>
                <w:sz w:val="24"/>
                <w:szCs w:val="24"/>
              </w:rPr>
              <w:t xml:space="preserve">  </w:t>
            </w:r>
            <w:r w:rsidRPr="00AE47C6">
              <w:rPr>
                <w:rFonts w:ascii="Times New Roman" w:eastAsia="SimSun" w:hAnsi="Times New Roman"/>
                <w:b/>
                <w:sz w:val="24"/>
                <w:szCs w:val="24"/>
              </w:rPr>
              <w:t>/h/</w:t>
            </w:r>
          </w:p>
        </w:tc>
      </w:tr>
      <w:tr w:rsidR="00BE0B19" w:rsidRPr="00AE47C6" w14:paraId="303B6B9C" w14:textId="77777777" w:rsidTr="00913234">
        <w:trPr>
          <w:trHeight w:val="548"/>
        </w:trPr>
        <w:tc>
          <w:tcPr>
            <w:tcW w:w="5673" w:type="dxa"/>
            <w:gridSpan w:val="3"/>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4816DD7A"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Calibri Cyr" w:hAnsi="Times New Roman"/>
                <w:b/>
                <w:sz w:val="24"/>
                <w:szCs w:val="24"/>
              </w:rPr>
              <w:t>С  бързо  елиминиране</w:t>
            </w:r>
            <w:r w:rsidRPr="00AE47C6">
              <w:rPr>
                <w:rFonts w:ascii="Times New Roman" w:eastAsia="SimSun" w:hAnsi="Times New Roman"/>
                <w:b/>
                <w:sz w:val="24"/>
                <w:szCs w:val="24"/>
              </w:rPr>
              <w:t xml:space="preserve">  /6  –  3 h/</w:t>
            </w:r>
          </w:p>
        </w:tc>
      </w:tr>
      <w:tr w:rsidR="00BE0B19" w:rsidRPr="00AE47C6" w14:paraId="625C3641" w14:textId="77777777" w:rsidTr="00913234">
        <w:trPr>
          <w:trHeight w:val="261"/>
        </w:trPr>
        <w:tc>
          <w:tcPr>
            <w:tcW w:w="1794" w:type="dxa"/>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729C14CA"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Zopiclone</w:t>
            </w:r>
          </w:p>
        </w:tc>
        <w:tc>
          <w:tcPr>
            <w:tcW w:w="1894" w:type="dxa"/>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68D67068"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Calibri Cyr" w:hAnsi="Times New Roman"/>
                <w:sz w:val="24"/>
                <w:szCs w:val="24"/>
              </w:rPr>
              <w:t>От 1, до 2</w:t>
            </w:r>
          </w:p>
        </w:tc>
        <w:tc>
          <w:tcPr>
            <w:tcW w:w="1985" w:type="dxa"/>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05A33CB2"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5</w:t>
            </w:r>
          </w:p>
        </w:tc>
      </w:tr>
      <w:tr w:rsidR="00BE0B19" w:rsidRPr="00AE47C6" w14:paraId="66C7A060" w14:textId="77777777" w:rsidTr="00913234">
        <w:trPr>
          <w:trHeight w:val="511"/>
        </w:trPr>
        <w:tc>
          <w:tcPr>
            <w:tcW w:w="5673" w:type="dxa"/>
            <w:gridSpan w:val="3"/>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069A414B"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Calibri Cyr" w:hAnsi="Times New Roman"/>
                <w:b/>
                <w:sz w:val="24"/>
                <w:szCs w:val="24"/>
              </w:rPr>
              <w:t xml:space="preserve">С  много  бързо  елиминиране  /&lt;  3 </w:t>
            </w:r>
            <w:r w:rsidRPr="00AE47C6">
              <w:rPr>
                <w:rFonts w:ascii="Times New Roman" w:eastAsia="SimSun" w:hAnsi="Times New Roman"/>
                <w:b/>
                <w:sz w:val="24"/>
                <w:szCs w:val="24"/>
              </w:rPr>
              <w:t>h/</w:t>
            </w:r>
          </w:p>
        </w:tc>
      </w:tr>
      <w:tr w:rsidR="00BE0B19" w:rsidRPr="00AE47C6" w14:paraId="39479C4E" w14:textId="77777777" w:rsidTr="00913234">
        <w:trPr>
          <w:trHeight w:val="1099"/>
        </w:trPr>
        <w:tc>
          <w:tcPr>
            <w:tcW w:w="1794" w:type="dxa"/>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136083AE"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Midazolam</w:t>
            </w:r>
          </w:p>
          <w:p w14:paraId="78A866E6"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Triazolam</w:t>
            </w:r>
          </w:p>
          <w:p w14:paraId="6F808AB3"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Zolpidem</w:t>
            </w:r>
          </w:p>
        </w:tc>
        <w:tc>
          <w:tcPr>
            <w:tcW w:w="1894" w:type="dxa"/>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3155ECB0"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10 min.</w:t>
            </w:r>
          </w:p>
          <w:p w14:paraId="4865F8EC"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1,5</w:t>
            </w:r>
          </w:p>
          <w:p w14:paraId="0B0B5F89"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Calibri Cyr" w:hAnsi="Times New Roman"/>
                <w:sz w:val="24"/>
                <w:szCs w:val="24"/>
              </w:rPr>
              <w:t>От 0,5 до 3</w:t>
            </w:r>
          </w:p>
        </w:tc>
        <w:tc>
          <w:tcPr>
            <w:tcW w:w="1985" w:type="dxa"/>
            <w:tcBorders>
              <w:top w:val="single" w:sz="4" w:space="0" w:color="000000"/>
              <w:left w:val="single" w:sz="4" w:space="0" w:color="000000"/>
              <w:bottom w:val="single" w:sz="4" w:space="0" w:color="000000"/>
              <w:right w:val="single" w:sz="4" w:space="0" w:color="000000"/>
              <w:tl2br w:val="nil"/>
              <w:tr2bl w:val="nil"/>
            </w:tcBorders>
            <w:tcMar>
              <w:top w:w="72" w:type="dxa"/>
              <w:left w:w="144" w:type="dxa"/>
              <w:bottom w:w="72" w:type="dxa"/>
              <w:right w:w="144" w:type="dxa"/>
            </w:tcMar>
            <w:vAlign w:val="center"/>
          </w:tcPr>
          <w:p w14:paraId="4E5CD087"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2</w:t>
            </w:r>
          </w:p>
          <w:p w14:paraId="59B8A900"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2,7</w:t>
            </w:r>
          </w:p>
          <w:p w14:paraId="1C385CAA" w14:textId="77777777" w:rsidR="00BE0B19" w:rsidRPr="00AE47C6" w:rsidRDefault="00BE0B19" w:rsidP="00BE0B19">
            <w:pPr>
              <w:spacing w:after="0" w:line="360" w:lineRule="auto"/>
              <w:jc w:val="center"/>
              <w:rPr>
                <w:rFonts w:ascii="Times New Roman" w:eastAsia="SimSun" w:hAnsi="Times New Roman"/>
                <w:sz w:val="24"/>
                <w:szCs w:val="24"/>
              </w:rPr>
            </w:pPr>
            <w:r w:rsidRPr="00AE47C6">
              <w:rPr>
                <w:rFonts w:ascii="Times New Roman" w:eastAsia="SimSun" w:hAnsi="Times New Roman"/>
                <w:sz w:val="24"/>
                <w:szCs w:val="24"/>
              </w:rPr>
              <w:t>2,4</w:t>
            </w:r>
          </w:p>
        </w:tc>
      </w:tr>
    </w:tbl>
    <w:p w14:paraId="0B443F2B" w14:textId="77777777" w:rsidR="00BE0B19" w:rsidRPr="00AE47C6" w:rsidRDefault="00BE0B19" w:rsidP="00BE0B19">
      <w:pPr>
        <w:spacing w:after="0" w:line="360" w:lineRule="auto"/>
        <w:rPr>
          <w:rFonts w:ascii="Times New Roman" w:hAnsi="Times New Roman"/>
          <w:sz w:val="24"/>
          <w:szCs w:val="24"/>
        </w:rPr>
      </w:pPr>
    </w:p>
    <w:p w14:paraId="54381E80" w14:textId="77777777" w:rsidR="00BE0B19" w:rsidRPr="00AE47C6" w:rsidRDefault="00BE0B19" w:rsidP="00BE0B19">
      <w:pPr>
        <w:spacing w:after="0" w:line="240" w:lineRule="auto"/>
        <w:rPr>
          <w:rFonts w:ascii="Times New Roman" w:hAnsi="Times New Roman"/>
          <w:sz w:val="24"/>
          <w:szCs w:val="24"/>
        </w:rPr>
      </w:pPr>
      <w:r w:rsidRPr="00AE47C6">
        <w:rPr>
          <w:rFonts w:ascii="Times New Roman" w:hAnsi="Times New Roman"/>
          <w:sz w:val="24"/>
          <w:szCs w:val="24"/>
        </w:rPr>
        <w:br w:type="page"/>
      </w:r>
    </w:p>
    <w:p w14:paraId="07F6F217" w14:textId="77777777" w:rsidR="00BE0B19" w:rsidRPr="00AE47C6" w:rsidRDefault="00BE0B19" w:rsidP="00BE0B19">
      <w:pPr>
        <w:spacing w:after="0" w:line="360" w:lineRule="auto"/>
        <w:rPr>
          <w:rFonts w:ascii="Times New Roman" w:hAnsi="Times New Roman"/>
          <w:sz w:val="24"/>
          <w:szCs w:val="24"/>
        </w:rPr>
      </w:pPr>
    </w:p>
    <w:p w14:paraId="27B20AD0" w14:textId="77777777" w:rsidR="00BE0B19" w:rsidRPr="00AE47C6" w:rsidRDefault="00BE0B19" w:rsidP="00BE0B19">
      <w:pPr>
        <w:spacing w:after="0" w:line="360" w:lineRule="auto"/>
        <w:ind w:firstLine="709"/>
        <w:jc w:val="center"/>
        <w:rPr>
          <w:rFonts w:ascii="Times New Roman" w:hAnsi="Times New Roman"/>
          <w:b/>
          <w:sz w:val="24"/>
          <w:szCs w:val="24"/>
        </w:rPr>
      </w:pPr>
      <w:r w:rsidRPr="00AE47C6">
        <w:rPr>
          <w:rFonts w:ascii="Times New Roman" w:eastAsia="SimSun" w:hAnsi="Times New Roman"/>
          <w:b/>
          <w:sz w:val="24"/>
          <w:szCs w:val="24"/>
        </w:rPr>
        <w:t xml:space="preserve">Таблица 16. 5. </w:t>
      </w:r>
      <w:r w:rsidRPr="00AE47C6">
        <w:rPr>
          <w:rFonts w:ascii="Times New Roman" w:hAnsi="Times New Roman"/>
          <w:b/>
          <w:sz w:val="24"/>
          <w:szCs w:val="24"/>
        </w:rPr>
        <w:t>Медикаменти против ексцесивна дневна сънливост и катаплексия</w:t>
      </w:r>
    </w:p>
    <w:p w14:paraId="745598B6" w14:textId="77777777" w:rsidR="00BE0B19" w:rsidRPr="00AE47C6" w:rsidRDefault="00BE0B19" w:rsidP="00BE0B19">
      <w:pPr>
        <w:spacing w:after="0" w:line="360" w:lineRule="auto"/>
        <w:ind w:firstLine="709"/>
        <w:jc w:val="center"/>
        <w:rPr>
          <w:rFonts w:ascii="Times New Roman" w:hAnsi="Times New Roman"/>
          <w:b/>
          <w:sz w:val="24"/>
          <w:szCs w:val="24"/>
        </w:rPr>
      </w:pPr>
    </w:p>
    <w:tbl>
      <w:tblPr>
        <w:tblW w:w="9359" w:type="dxa"/>
        <w:tblLayout w:type="fixed"/>
        <w:tblCellMar>
          <w:left w:w="0" w:type="dxa"/>
          <w:right w:w="0" w:type="dxa"/>
        </w:tblCellMar>
        <w:tblLook w:val="04A0" w:firstRow="1" w:lastRow="0" w:firstColumn="1" w:lastColumn="0" w:noHBand="0" w:noVBand="1"/>
      </w:tblPr>
      <w:tblGrid>
        <w:gridCol w:w="6228"/>
        <w:gridCol w:w="3131"/>
      </w:tblGrid>
      <w:tr w:rsidR="00BE0B19" w:rsidRPr="00AE47C6" w14:paraId="649BF553" w14:textId="77777777" w:rsidTr="00913234">
        <w:tc>
          <w:tcPr>
            <w:tcW w:w="9359" w:type="dxa"/>
            <w:gridSpan w:val="2"/>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12D08571" w14:textId="77777777" w:rsidR="00BE0B19" w:rsidRPr="00AE47C6" w:rsidRDefault="00BE0B19" w:rsidP="00BE0B19">
            <w:pPr>
              <w:spacing w:after="0" w:line="360" w:lineRule="auto"/>
              <w:ind w:firstLine="709"/>
              <w:rPr>
                <w:rFonts w:ascii="Times New Roman" w:eastAsia="SimSun" w:hAnsi="Times New Roman"/>
                <w:b/>
                <w:sz w:val="24"/>
                <w:szCs w:val="24"/>
              </w:rPr>
            </w:pPr>
            <w:r w:rsidRPr="00AE47C6">
              <w:rPr>
                <w:rFonts w:ascii="Times New Roman" w:eastAsia="Calibri Cyr" w:hAnsi="Times New Roman"/>
                <w:b/>
                <w:sz w:val="24"/>
                <w:szCs w:val="24"/>
              </w:rPr>
              <w:t>І. ПРОТИВ ЕКСЦЕСИВНА СЪНЛИВОСТ</w:t>
            </w:r>
          </w:p>
        </w:tc>
      </w:tr>
      <w:tr w:rsidR="00BE0B19" w:rsidRPr="00AE47C6" w14:paraId="7EE6FA1A" w14:textId="77777777" w:rsidTr="00913234">
        <w:tc>
          <w:tcPr>
            <w:tcW w:w="6228"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4E1F509C"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Dextroamphetamine</w:t>
            </w:r>
          </w:p>
        </w:tc>
        <w:tc>
          <w:tcPr>
            <w:tcW w:w="3131"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22645A3F"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5-30 mg/дн. до 60 mg/дн.</w:t>
            </w:r>
          </w:p>
        </w:tc>
      </w:tr>
      <w:tr w:rsidR="00BE0B19" w:rsidRPr="00AE47C6" w14:paraId="58036415" w14:textId="77777777" w:rsidTr="00913234">
        <w:tc>
          <w:tcPr>
            <w:tcW w:w="6228"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7E15A1C4"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Methamphetamine</w:t>
            </w:r>
          </w:p>
        </w:tc>
        <w:tc>
          <w:tcPr>
            <w:tcW w:w="3131"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1EEBD2D1"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5-30 mg/дн. до 60 mg/дн.</w:t>
            </w:r>
          </w:p>
        </w:tc>
      </w:tr>
      <w:tr w:rsidR="00BE0B19" w:rsidRPr="00AE47C6" w14:paraId="7871B893" w14:textId="77777777" w:rsidTr="00913234">
        <w:tc>
          <w:tcPr>
            <w:tcW w:w="6228"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15235066"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Methylphenidate</w:t>
            </w:r>
          </w:p>
        </w:tc>
        <w:tc>
          <w:tcPr>
            <w:tcW w:w="3131"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06D01992"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10-30 mg/дн. до 60г/дн.</w:t>
            </w:r>
          </w:p>
        </w:tc>
      </w:tr>
      <w:tr w:rsidR="00BE0B19" w:rsidRPr="00AE47C6" w14:paraId="73FE3D9C" w14:textId="77777777" w:rsidTr="00913234">
        <w:tc>
          <w:tcPr>
            <w:tcW w:w="9359" w:type="dxa"/>
            <w:gridSpan w:val="2"/>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3DC2C4A2"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Други не аналептици</w:t>
            </w:r>
          </w:p>
        </w:tc>
      </w:tr>
      <w:tr w:rsidR="00BE0B19" w:rsidRPr="00AE47C6" w14:paraId="6E676C6B" w14:textId="77777777" w:rsidTr="00913234">
        <w:tc>
          <w:tcPr>
            <w:tcW w:w="6228"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7B8E83CD"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Mazindol</w:t>
            </w:r>
          </w:p>
        </w:tc>
        <w:tc>
          <w:tcPr>
            <w:tcW w:w="3131"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256352AD"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2- mg</w:t>
            </w:r>
          </w:p>
        </w:tc>
      </w:tr>
      <w:tr w:rsidR="00BE0B19" w:rsidRPr="00AE47C6" w14:paraId="6126E421" w14:textId="77777777" w:rsidTr="00913234">
        <w:tc>
          <w:tcPr>
            <w:tcW w:w="9359" w:type="dxa"/>
            <w:gridSpan w:val="2"/>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10B74035"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Анорексици</w:t>
            </w:r>
          </w:p>
        </w:tc>
      </w:tr>
      <w:tr w:rsidR="00BE0B19" w:rsidRPr="00AE47C6" w14:paraId="4E6049A1" w14:textId="77777777" w:rsidTr="00913234">
        <w:tc>
          <w:tcPr>
            <w:tcW w:w="6228"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2C0AACA4"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Amfepramone</w:t>
            </w:r>
          </w:p>
        </w:tc>
        <w:tc>
          <w:tcPr>
            <w:tcW w:w="3131"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308DE393"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75 mg</w:t>
            </w:r>
          </w:p>
        </w:tc>
      </w:tr>
      <w:tr w:rsidR="00BE0B19" w:rsidRPr="00AE47C6" w14:paraId="42F84D46" w14:textId="77777777" w:rsidTr="00913234">
        <w:tc>
          <w:tcPr>
            <w:tcW w:w="6228"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5EF58D6A"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Fenetyline</w:t>
            </w:r>
          </w:p>
        </w:tc>
        <w:tc>
          <w:tcPr>
            <w:tcW w:w="3131"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0D3EF2E1"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50-100 mg</w:t>
            </w:r>
          </w:p>
        </w:tc>
      </w:tr>
      <w:tr w:rsidR="00BE0B19" w:rsidRPr="00AE47C6" w14:paraId="3F9A37A6" w14:textId="77777777" w:rsidTr="00913234">
        <w:tc>
          <w:tcPr>
            <w:tcW w:w="9359" w:type="dxa"/>
            <w:gridSpan w:val="2"/>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4AB93E5C"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Алфа1  адренергични агонисти</w:t>
            </w:r>
          </w:p>
        </w:tc>
      </w:tr>
      <w:tr w:rsidR="00BE0B19" w:rsidRPr="00AE47C6" w14:paraId="23E188D8" w14:textId="77777777" w:rsidTr="00913234">
        <w:tc>
          <w:tcPr>
            <w:tcW w:w="6228"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1A55A82F"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Modafinil</w:t>
            </w:r>
          </w:p>
        </w:tc>
        <w:tc>
          <w:tcPr>
            <w:tcW w:w="3131"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6321D47C"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100-400 mg</w:t>
            </w:r>
          </w:p>
        </w:tc>
      </w:tr>
      <w:tr w:rsidR="00BE0B19" w:rsidRPr="00AE47C6" w14:paraId="509D8A11" w14:textId="77777777" w:rsidTr="00913234">
        <w:tc>
          <w:tcPr>
            <w:tcW w:w="9359" w:type="dxa"/>
            <w:gridSpan w:val="2"/>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1E4B7A3F"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Допамин ергични агонисти</w:t>
            </w:r>
          </w:p>
        </w:tc>
      </w:tr>
      <w:tr w:rsidR="00BE0B19" w:rsidRPr="00AE47C6" w14:paraId="3BC698BF" w14:textId="77777777" w:rsidTr="00913234">
        <w:tc>
          <w:tcPr>
            <w:tcW w:w="6228"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46C69D72"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L-tyrosin</w:t>
            </w:r>
          </w:p>
        </w:tc>
        <w:tc>
          <w:tcPr>
            <w:tcW w:w="3131"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4C92EE23"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60-120 mg/кг</w:t>
            </w:r>
          </w:p>
        </w:tc>
      </w:tr>
      <w:tr w:rsidR="00BE0B19" w:rsidRPr="00AE47C6" w14:paraId="13539180" w14:textId="77777777" w:rsidTr="00913234">
        <w:tc>
          <w:tcPr>
            <w:tcW w:w="9359" w:type="dxa"/>
            <w:gridSpan w:val="2"/>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4CDE9DAB"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Антидепресанти</w:t>
            </w:r>
          </w:p>
        </w:tc>
      </w:tr>
      <w:tr w:rsidR="00BE0B19" w:rsidRPr="00AE47C6" w14:paraId="6DB5C1BD" w14:textId="77777777" w:rsidTr="00913234">
        <w:tc>
          <w:tcPr>
            <w:tcW w:w="6228"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08018FF4"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Venlafaxine</w:t>
            </w:r>
          </w:p>
        </w:tc>
        <w:tc>
          <w:tcPr>
            <w:tcW w:w="3131"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3EFC3CD0"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75-150 mg</w:t>
            </w:r>
          </w:p>
        </w:tc>
      </w:tr>
      <w:tr w:rsidR="00BE0B19" w:rsidRPr="00AE47C6" w14:paraId="40ED302E" w14:textId="77777777" w:rsidTr="00913234">
        <w:tc>
          <w:tcPr>
            <w:tcW w:w="6228"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70D6691E"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 xml:space="preserve">Fluoxetine </w:t>
            </w:r>
          </w:p>
        </w:tc>
        <w:tc>
          <w:tcPr>
            <w:tcW w:w="3131"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6C8B8EAB"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20 mg</w:t>
            </w:r>
          </w:p>
        </w:tc>
      </w:tr>
      <w:tr w:rsidR="00BE0B19" w:rsidRPr="00AE47C6" w14:paraId="777DDC7B" w14:textId="77777777" w:rsidTr="00913234">
        <w:tc>
          <w:tcPr>
            <w:tcW w:w="6228"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665E2A80"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 xml:space="preserve">Selegiline </w:t>
            </w:r>
          </w:p>
        </w:tc>
        <w:tc>
          <w:tcPr>
            <w:tcW w:w="3131"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45916FE1"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5-20 mg</w:t>
            </w:r>
          </w:p>
        </w:tc>
      </w:tr>
      <w:tr w:rsidR="00BE0B19" w:rsidRPr="00AE47C6" w14:paraId="02259D0A" w14:textId="77777777" w:rsidTr="00913234">
        <w:tc>
          <w:tcPr>
            <w:tcW w:w="9359" w:type="dxa"/>
            <w:gridSpan w:val="2"/>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32806168" w14:textId="77777777" w:rsidR="00BE0B19" w:rsidRPr="00AE47C6" w:rsidRDefault="00BE0B19" w:rsidP="00BE0B19">
            <w:pPr>
              <w:spacing w:after="0" w:line="360" w:lineRule="auto"/>
              <w:ind w:firstLine="709"/>
              <w:rPr>
                <w:rFonts w:ascii="Times New Roman" w:hAnsi="Times New Roman"/>
                <w:sz w:val="24"/>
                <w:szCs w:val="24"/>
              </w:rPr>
            </w:pPr>
          </w:p>
        </w:tc>
      </w:tr>
      <w:tr w:rsidR="00BE0B19" w:rsidRPr="00AE47C6" w14:paraId="22456F76" w14:textId="77777777" w:rsidTr="00913234">
        <w:tc>
          <w:tcPr>
            <w:tcW w:w="9359" w:type="dxa"/>
            <w:gridSpan w:val="2"/>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78063C55" w14:textId="77777777" w:rsidR="00BE0B19" w:rsidRPr="00AE47C6" w:rsidRDefault="00BE0B19" w:rsidP="00BE0B19">
            <w:pPr>
              <w:spacing w:after="0" w:line="360" w:lineRule="auto"/>
              <w:ind w:firstLine="709"/>
              <w:rPr>
                <w:rFonts w:ascii="Times New Roman" w:eastAsia="SimSun" w:hAnsi="Times New Roman"/>
                <w:b/>
                <w:sz w:val="24"/>
                <w:szCs w:val="24"/>
              </w:rPr>
            </w:pPr>
            <w:r w:rsidRPr="00AE47C6">
              <w:rPr>
                <w:rFonts w:ascii="Times New Roman" w:eastAsia="Calibri Cyr" w:hAnsi="Times New Roman"/>
                <w:b/>
                <w:sz w:val="24"/>
                <w:szCs w:val="24"/>
              </w:rPr>
              <w:t>ІІ. ПРОТИВ КАТАПЛЕКСИЯ</w:t>
            </w:r>
          </w:p>
        </w:tc>
      </w:tr>
      <w:tr w:rsidR="00BE0B19" w:rsidRPr="00AE47C6" w14:paraId="75ADB10D" w14:textId="77777777" w:rsidTr="00913234">
        <w:tc>
          <w:tcPr>
            <w:tcW w:w="9359" w:type="dxa"/>
            <w:gridSpan w:val="2"/>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5CD1BF88"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 xml:space="preserve">1. </w:t>
            </w:r>
            <w:r w:rsidRPr="00AE47C6">
              <w:rPr>
                <w:rFonts w:ascii="Times New Roman" w:eastAsia="Calibri Cyr" w:hAnsi="Times New Roman"/>
                <w:sz w:val="24"/>
                <w:szCs w:val="24"/>
              </w:rPr>
              <w:t>Трициклични антидепресанти</w:t>
            </w:r>
          </w:p>
        </w:tc>
      </w:tr>
      <w:tr w:rsidR="00BE0B19" w:rsidRPr="00AE47C6" w14:paraId="63F50D98" w14:textId="77777777" w:rsidTr="00913234">
        <w:tc>
          <w:tcPr>
            <w:tcW w:w="6228"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236E281A"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Clomipramine</w:t>
            </w:r>
          </w:p>
        </w:tc>
        <w:tc>
          <w:tcPr>
            <w:tcW w:w="3131"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540521F8"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10-75 mg</w:t>
            </w:r>
          </w:p>
        </w:tc>
      </w:tr>
      <w:tr w:rsidR="00BE0B19" w:rsidRPr="00AE47C6" w14:paraId="590EEA89" w14:textId="77777777" w:rsidTr="00913234">
        <w:tc>
          <w:tcPr>
            <w:tcW w:w="6228"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4B176CA4"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Imipramine</w:t>
            </w:r>
          </w:p>
        </w:tc>
        <w:tc>
          <w:tcPr>
            <w:tcW w:w="3131"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5CAFA30C"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10-75 mg</w:t>
            </w:r>
          </w:p>
        </w:tc>
      </w:tr>
      <w:tr w:rsidR="00BE0B19" w:rsidRPr="00AE47C6" w14:paraId="306029B1" w14:textId="77777777" w:rsidTr="00913234">
        <w:tc>
          <w:tcPr>
            <w:tcW w:w="6228"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2C48682E"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Desipramine</w:t>
            </w:r>
          </w:p>
        </w:tc>
        <w:tc>
          <w:tcPr>
            <w:tcW w:w="3131"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70D18174"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25-50 mg</w:t>
            </w:r>
          </w:p>
        </w:tc>
      </w:tr>
      <w:tr w:rsidR="00BE0B19" w:rsidRPr="00AE47C6" w14:paraId="5D5A764E" w14:textId="77777777" w:rsidTr="00913234">
        <w:tc>
          <w:tcPr>
            <w:tcW w:w="9359" w:type="dxa"/>
            <w:gridSpan w:val="2"/>
            <w:tcBorders>
              <w:top w:val="single" w:sz="4" w:space="0" w:color="000000"/>
              <w:left w:val="single" w:sz="4" w:space="0" w:color="000000"/>
              <w:bottom w:val="single" w:sz="4" w:space="0" w:color="000000"/>
              <w:right w:val="nil"/>
              <w:tl2br w:val="nil"/>
              <w:tr2bl w:val="nil"/>
            </w:tcBorders>
            <w:tcMar>
              <w:left w:w="108" w:type="dxa"/>
              <w:right w:w="108" w:type="dxa"/>
            </w:tcMar>
          </w:tcPr>
          <w:p w14:paraId="742C2A2A"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 xml:space="preserve">2. </w:t>
            </w:r>
            <w:r w:rsidRPr="00AE47C6">
              <w:rPr>
                <w:rFonts w:ascii="Times New Roman" w:eastAsia="Calibri Cyr" w:hAnsi="Times New Roman"/>
                <w:sz w:val="24"/>
                <w:szCs w:val="24"/>
              </w:rPr>
              <w:t>Антидепресанти инхибиращи обратното захващане на серотонина</w:t>
            </w:r>
          </w:p>
        </w:tc>
      </w:tr>
      <w:tr w:rsidR="00BE0B19" w:rsidRPr="00AE47C6" w14:paraId="6928342E" w14:textId="77777777" w:rsidTr="00913234">
        <w:tc>
          <w:tcPr>
            <w:tcW w:w="6228"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727981A6"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Fluoxetine</w:t>
            </w:r>
          </w:p>
        </w:tc>
        <w:tc>
          <w:tcPr>
            <w:tcW w:w="3131" w:type="dxa"/>
            <w:tcBorders>
              <w:top w:val="single" w:sz="4" w:space="0" w:color="000000"/>
              <w:left w:val="single" w:sz="4" w:space="0" w:color="000000"/>
              <w:bottom w:val="single" w:sz="4" w:space="0" w:color="000000"/>
              <w:right w:val="nil"/>
              <w:tl2br w:val="nil"/>
              <w:tr2bl w:val="nil"/>
            </w:tcBorders>
            <w:tcMar>
              <w:left w:w="108" w:type="dxa"/>
              <w:right w:w="108" w:type="dxa"/>
            </w:tcMar>
          </w:tcPr>
          <w:p w14:paraId="3A6FAC0D"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20-60 mg</w:t>
            </w:r>
          </w:p>
        </w:tc>
      </w:tr>
      <w:tr w:rsidR="00BE0B19" w:rsidRPr="00AE47C6" w14:paraId="6A41EF42" w14:textId="77777777" w:rsidTr="00913234">
        <w:tc>
          <w:tcPr>
            <w:tcW w:w="6228"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4666B129"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Fluvoxamone</w:t>
            </w:r>
          </w:p>
        </w:tc>
        <w:tc>
          <w:tcPr>
            <w:tcW w:w="3131"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6CA753AC"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50-100 mg</w:t>
            </w:r>
          </w:p>
        </w:tc>
      </w:tr>
      <w:tr w:rsidR="00BE0B19" w:rsidRPr="00AE47C6" w14:paraId="4229CBC4" w14:textId="77777777" w:rsidTr="00913234">
        <w:tc>
          <w:tcPr>
            <w:tcW w:w="9359" w:type="dxa"/>
            <w:gridSpan w:val="2"/>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7E84A7E4"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 xml:space="preserve">3. </w:t>
            </w:r>
            <w:r w:rsidRPr="00AE47C6">
              <w:rPr>
                <w:rFonts w:ascii="Times New Roman" w:eastAsia="Calibri Cyr" w:hAnsi="Times New Roman"/>
                <w:sz w:val="24"/>
                <w:szCs w:val="24"/>
              </w:rPr>
              <w:t>Антидепресанти норадренергични</w:t>
            </w:r>
          </w:p>
        </w:tc>
      </w:tr>
      <w:tr w:rsidR="00BE0B19" w:rsidRPr="00AE47C6" w14:paraId="318291C3" w14:textId="77777777" w:rsidTr="00913234">
        <w:tc>
          <w:tcPr>
            <w:tcW w:w="6228"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587AF472"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Viloxazine</w:t>
            </w:r>
          </w:p>
        </w:tc>
        <w:tc>
          <w:tcPr>
            <w:tcW w:w="3131"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000095E1"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100-300 mg</w:t>
            </w:r>
          </w:p>
        </w:tc>
      </w:tr>
      <w:tr w:rsidR="00BE0B19" w:rsidRPr="00AE47C6" w14:paraId="66BA07F5" w14:textId="77777777" w:rsidTr="00913234">
        <w:tc>
          <w:tcPr>
            <w:tcW w:w="6228"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791EA215"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Gamma – OH Butyrate</w:t>
            </w:r>
          </w:p>
        </w:tc>
        <w:tc>
          <w:tcPr>
            <w:tcW w:w="3131"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273CE8C1" w14:textId="77777777" w:rsidR="00BE0B19" w:rsidRPr="00AE47C6" w:rsidRDefault="00BE0B19" w:rsidP="00BE0B19">
            <w:pPr>
              <w:spacing w:after="0" w:line="360" w:lineRule="auto"/>
              <w:ind w:firstLine="709"/>
              <w:rPr>
                <w:rFonts w:ascii="Times New Roman" w:hAnsi="Times New Roman"/>
                <w:sz w:val="24"/>
                <w:szCs w:val="24"/>
              </w:rPr>
            </w:pPr>
          </w:p>
        </w:tc>
      </w:tr>
      <w:tr w:rsidR="00BE0B19" w:rsidRPr="00AE47C6" w14:paraId="11418E34" w14:textId="77777777" w:rsidTr="00913234">
        <w:tc>
          <w:tcPr>
            <w:tcW w:w="9359" w:type="dxa"/>
            <w:gridSpan w:val="2"/>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09D025AA"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 xml:space="preserve">4. </w:t>
            </w:r>
            <w:r w:rsidRPr="00AE47C6">
              <w:rPr>
                <w:rFonts w:ascii="Times New Roman" w:eastAsia="Calibri Cyr" w:hAnsi="Times New Roman"/>
                <w:sz w:val="24"/>
                <w:szCs w:val="24"/>
              </w:rPr>
              <w:t>Инхибитори на моноамин оксидаза В</w:t>
            </w:r>
          </w:p>
        </w:tc>
      </w:tr>
      <w:tr w:rsidR="00BE0B19" w:rsidRPr="00AE47C6" w14:paraId="69BD2761" w14:textId="77777777" w:rsidTr="00913234">
        <w:tc>
          <w:tcPr>
            <w:tcW w:w="6228"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1AF91126"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Selegiline</w:t>
            </w:r>
          </w:p>
        </w:tc>
        <w:tc>
          <w:tcPr>
            <w:tcW w:w="3131"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60139161"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5-20 mg</w:t>
            </w:r>
          </w:p>
        </w:tc>
      </w:tr>
      <w:tr w:rsidR="00BE0B19" w:rsidRPr="00AE47C6" w14:paraId="4A9B9493" w14:textId="77777777" w:rsidTr="00913234">
        <w:tc>
          <w:tcPr>
            <w:tcW w:w="9359" w:type="dxa"/>
            <w:gridSpan w:val="2"/>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189C98B8"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 xml:space="preserve">5. </w:t>
            </w:r>
            <w:r w:rsidRPr="00AE47C6">
              <w:rPr>
                <w:rFonts w:ascii="Times New Roman" w:eastAsia="Calibri Cyr" w:hAnsi="Times New Roman"/>
                <w:sz w:val="24"/>
                <w:szCs w:val="24"/>
              </w:rPr>
              <w:t>Алфа1 адренергичен агонист</w:t>
            </w:r>
          </w:p>
        </w:tc>
      </w:tr>
      <w:tr w:rsidR="00BE0B19" w:rsidRPr="00AE47C6" w14:paraId="0F05CF6D" w14:textId="77777777" w:rsidTr="00913234">
        <w:tc>
          <w:tcPr>
            <w:tcW w:w="6228"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4D9F9B0D"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Modafinil</w:t>
            </w:r>
          </w:p>
        </w:tc>
        <w:tc>
          <w:tcPr>
            <w:tcW w:w="3131"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7F0C1EC8"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100-400 mg</w:t>
            </w:r>
          </w:p>
        </w:tc>
      </w:tr>
      <w:tr w:rsidR="00BE0B19" w:rsidRPr="00AE47C6" w14:paraId="4C769E00" w14:textId="77777777" w:rsidTr="00913234">
        <w:tc>
          <w:tcPr>
            <w:tcW w:w="9359" w:type="dxa"/>
            <w:gridSpan w:val="2"/>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6CF34A4F"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SimSun" w:hAnsi="Times New Roman"/>
                <w:sz w:val="24"/>
                <w:szCs w:val="24"/>
              </w:rPr>
              <w:t xml:space="preserve">6. </w:t>
            </w:r>
            <w:r w:rsidRPr="00AE47C6">
              <w:rPr>
                <w:rFonts w:ascii="Times New Roman" w:eastAsia="Calibri Cyr" w:hAnsi="Times New Roman"/>
                <w:sz w:val="24"/>
                <w:szCs w:val="24"/>
              </w:rPr>
              <w:t>Вещества освобождаващи моноамините</w:t>
            </w:r>
          </w:p>
        </w:tc>
      </w:tr>
      <w:tr w:rsidR="00BE0B19" w:rsidRPr="00AE47C6" w14:paraId="2F53D778" w14:textId="77777777" w:rsidTr="00913234">
        <w:tc>
          <w:tcPr>
            <w:tcW w:w="6228"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7D985604" w14:textId="77777777" w:rsidR="00BE0B19" w:rsidRPr="00AE47C6" w:rsidRDefault="00BE0B19" w:rsidP="00BE0B19">
            <w:pPr>
              <w:spacing w:after="0" w:line="360" w:lineRule="auto"/>
              <w:ind w:firstLine="709"/>
              <w:rPr>
                <w:rFonts w:ascii="Times New Roman" w:eastAsia="SimSun" w:hAnsi="Times New Roman"/>
                <w:sz w:val="24"/>
                <w:szCs w:val="24"/>
              </w:rPr>
            </w:pPr>
            <w:r w:rsidRPr="00AE47C6">
              <w:rPr>
                <w:rFonts w:ascii="Times New Roman" w:eastAsia="Calibri Cyr" w:hAnsi="Times New Roman"/>
                <w:sz w:val="24"/>
                <w:szCs w:val="24"/>
              </w:rPr>
              <w:t>Амфетамини и метилфенидат</w:t>
            </w:r>
          </w:p>
        </w:tc>
        <w:tc>
          <w:tcPr>
            <w:tcW w:w="3131" w:type="dxa"/>
            <w:tcBorders>
              <w:top w:val="single" w:sz="4" w:space="0" w:color="000000"/>
              <w:left w:val="single" w:sz="4" w:space="0" w:color="000000"/>
              <w:bottom w:val="single" w:sz="4" w:space="0" w:color="000000"/>
              <w:right w:val="single" w:sz="4" w:space="0" w:color="000000"/>
              <w:tl2br w:val="nil"/>
              <w:tr2bl w:val="nil"/>
            </w:tcBorders>
            <w:tcMar>
              <w:left w:w="108" w:type="dxa"/>
              <w:right w:w="108" w:type="dxa"/>
            </w:tcMar>
          </w:tcPr>
          <w:p w14:paraId="5828C67F" w14:textId="77777777" w:rsidR="00BE0B19" w:rsidRPr="00AE47C6" w:rsidRDefault="00BE0B19" w:rsidP="00BE0B19">
            <w:pPr>
              <w:spacing w:after="0" w:line="360" w:lineRule="auto"/>
              <w:ind w:firstLine="709"/>
              <w:rPr>
                <w:rFonts w:ascii="Times New Roman" w:hAnsi="Times New Roman"/>
                <w:sz w:val="24"/>
                <w:szCs w:val="24"/>
              </w:rPr>
            </w:pPr>
          </w:p>
        </w:tc>
      </w:tr>
    </w:tbl>
    <w:p w14:paraId="3E7DEE8F" w14:textId="77777777" w:rsidR="00BE0B19" w:rsidRPr="00AE47C6" w:rsidRDefault="00BE0B19" w:rsidP="00BE0B19">
      <w:pPr>
        <w:spacing w:after="0" w:line="360" w:lineRule="auto"/>
        <w:ind w:firstLine="709"/>
        <w:jc w:val="both"/>
        <w:rPr>
          <w:rFonts w:ascii="Times New Roman" w:eastAsia="SimSun" w:hAnsi="Times New Roman"/>
          <w:b/>
          <w:bCs/>
          <w:sz w:val="24"/>
          <w:szCs w:val="24"/>
        </w:rPr>
      </w:pPr>
    </w:p>
    <w:p w14:paraId="0035C73C" w14:textId="77777777" w:rsidR="00BE0B19" w:rsidRPr="00AE47C6" w:rsidRDefault="00BE0B19" w:rsidP="00BE0B19">
      <w:pPr>
        <w:spacing w:after="0" w:line="360" w:lineRule="auto"/>
        <w:ind w:firstLine="709"/>
        <w:jc w:val="both"/>
        <w:rPr>
          <w:rFonts w:ascii="Times New Roman" w:eastAsia="SimSun" w:hAnsi="Times New Roman"/>
          <w:b/>
          <w:bCs/>
        </w:rPr>
      </w:pPr>
    </w:p>
    <w:p w14:paraId="2A28EFC3" w14:textId="77777777" w:rsidR="00BE0B19" w:rsidRPr="00AE47C6" w:rsidRDefault="00BE0B19" w:rsidP="00BE0B19">
      <w:pPr>
        <w:spacing w:after="0" w:line="360" w:lineRule="auto"/>
        <w:ind w:firstLine="709"/>
        <w:jc w:val="both"/>
        <w:rPr>
          <w:rFonts w:ascii="Times New Roman" w:eastAsia="SimSun" w:hAnsi="Times New Roman"/>
          <w:iCs/>
        </w:rPr>
      </w:pPr>
      <w:r w:rsidRPr="00AE47C6">
        <w:rPr>
          <w:rFonts w:ascii="Times New Roman" w:eastAsia="SimSun" w:hAnsi="Times New Roman"/>
          <w:b/>
        </w:rPr>
        <w:t>Фигура 16. 1.</w:t>
      </w:r>
      <w:r w:rsidRPr="00AE47C6">
        <w:rPr>
          <w:rFonts w:ascii="Times New Roman" w:eastAsia="SimSun" w:hAnsi="Times New Roman"/>
        </w:rPr>
        <w:t xml:space="preserve"> Скала  Епуърт за изследване на сънливостта - </w:t>
      </w:r>
      <w:r w:rsidRPr="00AE47C6">
        <w:rPr>
          <w:rFonts w:ascii="Times New Roman" w:eastAsia="SimSun" w:hAnsi="Times New Roman"/>
          <w:iCs/>
        </w:rPr>
        <w:t>публикувана с разрешение по Johns MW, Anew method for measuring daytime sleepiness: the Epworth sleepiness scale. Sleep, 1991, 14 (6),540-5.</w:t>
      </w:r>
    </w:p>
    <w:p w14:paraId="7F82D0B2" w14:textId="77777777" w:rsidR="00BE0B19" w:rsidRPr="00AE47C6" w:rsidRDefault="00BE0B19" w:rsidP="00BE0B19">
      <w:pPr>
        <w:spacing w:after="0" w:line="360" w:lineRule="auto"/>
        <w:ind w:firstLine="709"/>
        <w:jc w:val="center"/>
        <w:rPr>
          <w:rFonts w:ascii="Times New Roman" w:eastAsia="SimSun" w:hAnsi="Times New Roman"/>
          <w:b/>
          <w:bCs/>
          <w:sz w:val="24"/>
          <w:szCs w:val="24"/>
        </w:rPr>
      </w:pPr>
      <w:r w:rsidRPr="00AE47C6">
        <w:rPr>
          <w:rFonts w:ascii="Times New Roman" w:eastAsia="SimSun" w:hAnsi="Times New Roman"/>
          <w:b/>
          <w:bCs/>
          <w:sz w:val="24"/>
          <w:szCs w:val="24"/>
        </w:rPr>
        <w:t>СКАЛА ЕПУЪРТ ЗА ИЗСЛЕДВАНЕ НА СЪНЛИВОСТТА</w:t>
      </w:r>
    </w:p>
    <w:p w14:paraId="588D487B" w14:textId="77777777" w:rsidR="00BE0B19" w:rsidRPr="00AE47C6" w:rsidRDefault="00BE0B19" w:rsidP="00BE0B19">
      <w:pPr>
        <w:spacing w:after="0" w:line="360" w:lineRule="auto"/>
        <w:ind w:firstLine="709"/>
        <w:jc w:val="center"/>
        <w:rPr>
          <w:rFonts w:ascii="Times New Roman" w:eastAsia="SimSun" w:hAnsi="Times New Roman"/>
          <w:b/>
          <w:sz w:val="24"/>
          <w:szCs w:val="24"/>
        </w:rPr>
      </w:pPr>
      <w:r w:rsidRPr="00AE47C6">
        <w:rPr>
          <w:rFonts w:ascii="Times New Roman" w:eastAsia="SimSun" w:hAnsi="Times New Roman"/>
          <w:b/>
          <w:sz w:val="24"/>
          <w:szCs w:val="24"/>
        </w:rPr>
        <w:t>(EPWORTH SLEEPINESS SCALE)</w:t>
      </w:r>
    </w:p>
    <w:p w14:paraId="3F226E6D" w14:textId="77777777" w:rsidR="00BE0B19" w:rsidRPr="00AE47C6" w:rsidRDefault="00BE0B19" w:rsidP="00BE0B19">
      <w:pPr>
        <w:spacing w:after="0" w:line="360" w:lineRule="auto"/>
        <w:ind w:firstLine="709"/>
        <w:jc w:val="both"/>
        <w:rPr>
          <w:rFonts w:ascii="Times New Roman" w:eastAsia="SimSun" w:hAnsi="Times New Roman"/>
          <w:sz w:val="24"/>
          <w:szCs w:val="24"/>
        </w:rPr>
      </w:pPr>
      <w:r w:rsidRPr="00AE47C6">
        <w:rPr>
          <w:rFonts w:ascii="Times New Roman" w:eastAsia="SimSun" w:hAnsi="Times New Roman"/>
          <w:sz w:val="24"/>
          <w:szCs w:val="24"/>
        </w:rPr>
        <w:t>Колко често задрямвате или заспивате в посочените по-долу ситуации? Това се отнася за обичайния начин на живот, който водите в последно време. Ако не сте попадали в напоследък в подобна ситуация опитайте се да си представите, как бихте реагирали в такава.</w:t>
      </w:r>
    </w:p>
    <w:p w14:paraId="26F319F9" w14:textId="77777777" w:rsidR="00BE0B19" w:rsidRPr="00AE47C6" w:rsidRDefault="00BE0B19" w:rsidP="00BE0B19">
      <w:pPr>
        <w:spacing w:after="0" w:line="360" w:lineRule="auto"/>
        <w:ind w:firstLine="709"/>
        <w:jc w:val="both"/>
        <w:rPr>
          <w:rFonts w:ascii="Times New Roman" w:eastAsia="SimSun" w:hAnsi="Times New Roman"/>
        </w:rPr>
      </w:pPr>
    </w:p>
    <w:p w14:paraId="57383F25" w14:textId="77777777" w:rsidR="00BE0B19" w:rsidRPr="00AE47C6" w:rsidRDefault="00BE0B19" w:rsidP="00BE0B19">
      <w:pPr>
        <w:spacing w:after="0" w:line="360" w:lineRule="auto"/>
        <w:ind w:firstLine="709"/>
        <w:jc w:val="both"/>
        <w:rPr>
          <w:rFonts w:ascii="Times New Roman" w:eastAsia="SimSun" w:hAnsi="Times New Roman"/>
        </w:rPr>
      </w:pPr>
      <w:r w:rsidRPr="00AE47C6">
        <w:rPr>
          <w:rFonts w:ascii="Times New Roman" w:eastAsia="SimSun" w:hAnsi="Times New Roman"/>
        </w:rPr>
        <w:t xml:space="preserve">За всяка от посочените ситуации посочете отговор от 0 до 3, като: </w:t>
      </w:r>
    </w:p>
    <w:p w14:paraId="23DB588B" w14:textId="77777777" w:rsidR="00BE0B19" w:rsidRPr="00AE47C6" w:rsidRDefault="00BE0B19" w:rsidP="00BE0B19">
      <w:pPr>
        <w:spacing w:after="0" w:line="360" w:lineRule="auto"/>
        <w:ind w:firstLine="709"/>
        <w:jc w:val="both"/>
        <w:rPr>
          <w:rFonts w:ascii="Times New Roman" w:eastAsia="SimSun" w:hAnsi="Times New Roman"/>
          <w:b/>
          <w:bCs/>
          <w:i/>
          <w:iCs/>
        </w:rPr>
      </w:pPr>
      <w:r w:rsidRPr="00AE47C6">
        <w:rPr>
          <w:rFonts w:ascii="Times New Roman" w:eastAsia="SimSun" w:hAnsi="Times New Roman"/>
          <w:b/>
          <w:bCs/>
          <w:i/>
          <w:iCs/>
        </w:rPr>
        <w:t>0 – никога; 1 – малко вероятно; 2 – вероятно; 3 – с голяма вероятност.</w:t>
      </w:r>
    </w:p>
    <w:p w14:paraId="30E087C4" w14:textId="77777777" w:rsidR="00BE0B19" w:rsidRPr="00AE47C6" w:rsidRDefault="00BE0B19" w:rsidP="00BE0B19">
      <w:pPr>
        <w:spacing w:after="0" w:line="360" w:lineRule="auto"/>
        <w:ind w:firstLine="709"/>
        <w:jc w:val="both"/>
        <w:rPr>
          <w:rFonts w:ascii="Times New Roman" w:eastAsia="SimSun" w:hAnsi="Times New Roman"/>
          <w:b/>
          <w:bCs/>
          <w:i/>
          <w:iCs/>
        </w:rPr>
      </w:pPr>
    </w:p>
    <w:tbl>
      <w:tblPr>
        <w:tblStyle w:val="TableGrid2"/>
        <w:tblW w:w="9072" w:type="dxa"/>
        <w:tblLayout w:type="fixed"/>
        <w:tblLook w:val="04A0" w:firstRow="1" w:lastRow="0" w:firstColumn="1" w:lastColumn="0" w:noHBand="0" w:noVBand="1"/>
      </w:tblPr>
      <w:tblGrid>
        <w:gridCol w:w="5902"/>
        <w:gridCol w:w="793"/>
        <w:gridCol w:w="792"/>
        <w:gridCol w:w="793"/>
        <w:gridCol w:w="792"/>
      </w:tblGrid>
      <w:tr w:rsidR="00BE0B19" w:rsidRPr="00AE47C6" w14:paraId="4284E7A0" w14:textId="77777777" w:rsidTr="00913234">
        <w:tc>
          <w:tcPr>
            <w:tcW w:w="6487" w:type="dxa"/>
            <w:vAlign w:val="center"/>
          </w:tcPr>
          <w:p w14:paraId="30C537AE" w14:textId="77777777" w:rsidR="00BE0B19" w:rsidRPr="00AE47C6" w:rsidRDefault="00BE0B19" w:rsidP="00BE0B19">
            <w:pPr>
              <w:spacing w:after="0" w:line="360" w:lineRule="auto"/>
              <w:ind w:firstLine="22"/>
              <w:jc w:val="both"/>
              <w:rPr>
                <w:rFonts w:ascii="Times New Roman" w:hAnsi="Times New Roman"/>
              </w:rPr>
            </w:pPr>
            <w:r w:rsidRPr="00AE47C6">
              <w:rPr>
                <w:rFonts w:ascii="Times New Roman" w:hAnsi="Times New Roman"/>
              </w:rPr>
              <w:t>1. В седнало положение при четене</w:t>
            </w:r>
          </w:p>
        </w:tc>
        <w:tc>
          <w:tcPr>
            <w:tcW w:w="851" w:type="dxa"/>
            <w:vAlign w:val="center"/>
          </w:tcPr>
          <w:p w14:paraId="18F5E102" w14:textId="77777777" w:rsidR="00BE0B19" w:rsidRPr="00AE47C6" w:rsidRDefault="00BE0B19" w:rsidP="00BE0B19">
            <w:pPr>
              <w:spacing w:after="0" w:line="360" w:lineRule="auto"/>
              <w:ind w:firstLine="709"/>
              <w:jc w:val="center"/>
              <w:rPr>
                <w:rFonts w:ascii="Times New Roman" w:hAnsi="Times New Roman"/>
              </w:rPr>
            </w:pPr>
            <w:r w:rsidRPr="00AE47C6">
              <w:rPr>
                <w:rFonts w:ascii="Times New Roman" w:hAnsi="Times New Roman"/>
              </w:rPr>
              <w:t>0</w:t>
            </w:r>
          </w:p>
        </w:tc>
        <w:tc>
          <w:tcPr>
            <w:tcW w:w="850" w:type="dxa"/>
            <w:vAlign w:val="center"/>
          </w:tcPr>
          <w:p w14:paraId="2BC5D88D" w14:textId="77777777" w:rsidR="00BE0B19" w:rsidRPr="00AE47C6" w:rsidRDefault="00BE0B19" w:rsidP="00BE0B19">
            <w:pPr>
              <w:spacing w:after="0" w:line="360" w:lineRule="auto"/>
              <w:ind w:firstLine="709"/>
              <w:jc w:val="center"/>
              <w:rPr>
                <w:rFonts w:ascii="Times New Roman" w:hAnsi="Times New Roman"/>
              </w:rPr>
            </w:pPr>
            <w:r w:rsidRPr="00AE47C6">
              <w:rPr>
                <w:rFonts w:ascii="Times New Roman" w:hAnsi="Times New Roman"/>
              </w:rPr>
              <w:t>1</w:t>
            </w:r>
          </w:p>
        </w:tc>
        <w:tc>
          <w:tcPr>
            <w:tcW w:w="851" w:type="dxa"/>
            <w:vAlign w:val="center"/>
          </w:tcPr>
          <w:p w14:paraId="6011765B" w14:textId="77777777" w:rsidR="00BE0B19" w:rsidRPr="00AE47C6" w:rsidRDefault="00BE0B19" w:rsidP="00BE0B19">
            <w:pPr>
              <w:spacing w:after="0" w:line="360" w:lineRule="auto"/>
              <w:ind w:firstLine="709"/>
              <w:jc w:val="center"/>
              <w:rPr>
                <w:rFonts w:ascii="Times New Roman" w:hAnsi="Times New Roman"/>
              </w:rPr>
            </w:pPr>
            <w:r w:rsidRPr="00AE47C6">
              <w:rPr>
                <w:rFonts w:ascii="Times New Roman" w:hAnsi="Times New Roman"/>
              </w:rPr>
              <w:t>2</w:t>
            </w:r>
          </w:p>
        </w:tc>
        <w:tc>
          <w:tcPr>
            <w:tcW w:w="850" w:type="dxa"/>
            <w:vAlign w:val="center"/>
          </w:tcPr>
          <w:p w14:paraId="18F678CC" w14:textId="77777777" w:rsidR="00BE0B19" w:rsidRPr="00AE47C6" w:rsidRDefault="00BE0B19" w:rsidP="00BE0B19">
            <w:pPr>
              <w:spacing w:after="0" w:line="360" w:lineRule="auto"/>
              <w:ind w:firstLine="709"/>
              <w:jc w:val="center"/>
              <w:rPr>
                <w:rFonts w:ascii="Times New Roman" w:hAnsi="Times New Roman"/>
              </w:rPr>
            </w:pPr>
            <w:r w:rsidRPr="00AE47C6">
              <w:rPr>
                <w:rFonts w:ascii="Times New Roman" w:hAnsi="Times New Roman"/>
              </w:rPr>
              <w:t>3</w:t>
            </w:r>
          </w:p>
        </w:tc>
      </w:tr>
      <w:tr w:rsidR="00BE0B19" w:rsidRPr="00AE47C6" w14:paraId="35ED70CC" w14:textId="77777777" w:rsidTr="00913234">
        <w:tc>
          <w:tcPr>
            <w:tcW w:w="6487" w:type="dxa"/>
            <w:vAlign w:val="center"/>
          </w:tcPr>
          <w:p w14:paraId="7FB6C3D5" w14:textId="77777777" w:rsidR="00BE0B19" w:rsidRPr="00AE47C6" w:rsidRDefault="00BE0B19" w:rsidP="00BE0B19">
            <w:pPr>
              <w:spacing w:after="0" w:line="360" w:lineRule="auto"/>
              <w:ind w:firstLine="22"/>
              <w:jc w:val="both"/>
              <w:rPr>
                <w:rFonts w:ascii="Times New Roman" w:hAnsi="Times New Roman"/>
              </w:rPr>
            </w:pPr>
            <w:r w:rsidRPr="00AE47C6">
              <w:rPr>
                <w:rFonts w:ascii="Times New Roman" w:hAnsi="Times New Roman"/>
              </w:rPr>
              <w:t>2. При гледане на телевизия</w:t>
            </w:r>
          </w:p>
        </w:tc>
        <w:tc>
          <w:tcPr>
            <w:tcW w:w="851" w:type="dxa"/>
            <w:vAlign w:val="center"/>
          </w:tcPr>
          <w:p w14:paraId="2183B300" w14:textId="77777777" w:rsidR="00BE0B19" w:rsidRPr="00AE47C6" w:rsidRDefault="00BE0B19" w:rsidP="00BE0B19">
            <w:pPr>
              <w:spacing w:after="0" w:line="360" w:lineRule="auto"/>
              <w:ind w:firstLine="709"/>
              <w:jc w:val="center"/>
              <w:rPr>
                <w:rFonts w:ascii="Times New Roman" w:hAnsi="Times New Roman"/>
              </w:rPr>
            </w:pPr>
          </w:p>
        </w:tc>
        <w:tc>
          <w:tcPr>
            <w:tcW w:w="850" w:type="dxa"/>
            <w:vAlign w:val="center"/>
          </w:tcPr>
          <w:p w14:paraId="5476BAC6" w14:textId="77777777" w:rsidR="00BE0B19" w:rsidRPr="00AE47C6" w:rsidRDefault="00BE0B19" w:rsidP="00BE0B19">
            <w:pPr>
              <w:spacing w:after="0" w:line="360" w:lineRule="auto"/>
              <w:ind w:firstLine="709"/>
              <w:jc w:val="center"/>
              <w:rPr>
                <w:rFonts w:ascii="Times New Roman" w:hAnsi="Times New Roman"/>
              </w:rPr>
            </w:pPr>
          </w:p>
        </w:tc>
        <w:tc>
          <w:tcPr>
            <w:tcW w:w="851" w:type="dxa"/>
            <w:vAlign w:val="center"/>
          </w:tcPr>
          <w:p w14:paraId="69E82B79" w14:textId="77777777" w:rsidR="00BE0B19" w:rsidRPr="00AE47C6" w:rsidRDefault="00BE0B19" w:rsidP="00BE0B19">
            <w:pPr>
              <w:spacing w:after="0" w:line="360" w:lineRule="auto"/>
              <w:ind w:firstLine="709"/>
              <w:jc w:val="center"/>
              <w:rPr>
                <w:rFonts w:ascii="Times New Roman" w:hAnsi="Times New Roman"/>
              </w:rPr>
            </w:pPr>
          </w:p>
        </w:tc>
        <w:tc>
          <w:tcPr>
            <w:tcW w:w="850" w:type="dxa"/>
            <w:vAlign w:val="center"/>
          </w:tcPr>
          <w:p w14:paraId="0AD8B03B" w14:textId="77777777" w:rsidR="00BE0B19" w:rsidRPr="00AE47C6" w:rsidRDefault="00BE0B19" w:rsidP="00BE0B19">
            <w:pPr>
              <w:spacing w:after="0" w:line="360" w:lineRule="auto"/>
              <w:ind w:firstLine="709"/>
              <w:jc w:val="center"/>
              <w:rPr>
                <w:rFonts w:ascii="Times New Roman" w:hAnsi="Times New Roman"/>
              </w:rPr>
            </w:pPr>
          </w:p>
        </w:tc>
      </w:tr>
      <w:tr w:rsidR="00BE0B19" w:rsidRPr="00AE47C6" w14:paraId="0995A48F" w14:textId="77777777" w:rsidTr="00913234">
        <w:tc>
          <w:tcPr>
            <w:tcW w:w="6487" w:type="dxa"/>
            <w:vAlign w:val="center"/>
          </w:tcPr>
          <w:p w14:paraId="710CFFC6" w14:textId="77777777" w:rsidR="00BE0B19" w:rsidRPr="00AE47C6" w:rsidRDefault="00BE0B19" w:rsidP="00BE0B19">
            <w:pPr>
              <w:spacing w:after="0" w:line="360" w:lineRule="auto"/>
              <w:ind w:firstLine="22"/>
              <w:jc w:val="both"/>
              <w:rPr>
                <w:rFonts w:ascii="Times New Roman" w:hAnsi="Times New Roman"/>
              </w:rPr>
            </w:pPr>
            <w:r w:rsidRPr="00AE47C6">
              <w:rPr>
                <w:rFonts w:ascii="Times New Roman" w:hAnsi="Times New Roman"/>
              </w:rPr>
              <w:t>3. В седнало положение на обществено място (напр. театър)</w:t>
            </w:r>
          </w:p>
        </w:tc>
        <w:tc>
          <w:tcPr>
            <w:tcW w:w="851" w:type="dxa"/>
            <w:vAlign w:val="center"/>
          </w:tcPr>
          <w:p w14:paraId="1ABD3B94" w14:textId="77777777" w:rsidR="00BE0B19" w:rsidRPr="00AE47C6" w:rsidRDefault="00BE0B19" w:rsidP="00BE0B19">
            <w:pPr>
              <w:spacing w:after="0" w:line="360" w:lineRule="auto"/>
              <w:ind w:firstLine="709"/>
              <w:jc w:val="center"/>
              <w:rPr>
                <w:rFonts w:ascii="Times New Roman" w:hAnsi="Times New Roman"/>
              </w:rPr>
            </w:pPr>
          </w:p>
        </w:tc>
        <w:tc>
          <w:tcPr>
            <w:tcW w:w="850" w:type="dxa"/>
            <w:vAlign w:val="center"/>
          </w:tcPr>
          <w:p w14:paraId="68A35EED" w14:textId="77777777" w:rsidR="00BE0B19" w:rsidRPr="00AE47C6" w:rsidRDefault="00BE0B19" w:rsidP="00BE0B19">
            <w:pPr>
              <w:spacing w:after="0" w:line="360" w:lineRule="auto"/>
              <w:ind w:firstLine="709"/>
              <w:jc w:val="center"/>
              <w:rPr>
                <w:rFonts w:ascii="Times New Roman" w:hAnsi="Times New Roman"/>
              </w:rPr>
            </w:pPr>
          </w:p>
        </w:tc>
        <w:tc>
          <w:tcPr>
            <w:tcW w:w="851" w:type="dxa"/>
            <w:vAlign w:val="center"/>
          </w:tcPr>
          <w:p w14:paraId="5E7D92D9" w14:textId="77777777" w:rsidR="00BE0B19" w:rsidRPr="00AE47C6" w:rsidRDefault="00BE0B19" w:rsidP="00BE0B19">
            <w:pPr>
              <w:spacing w:after="0" w:line="360" w:lineRule="auto"/>
              <w:ind w:firstLine="709"/>
              <w:jc w:val="center"/>
              <w:rPr>
                <w:rFonts w:ascii="Times New Roman" w:hAnsi="Times New Roman"/>
              </w:rPr>
            </w:pPr>
          </w:p>
        </w:tc>
        <w:tc>
          <w:tcPr>
            <w:tcW w:w="850" w:type="dxa"/>
            <w:vAlign w:val="center"/>
          </w:tcPr>
          <w:p w14:paraId="12776620" w14:textId="77777777" w:rsidR="00BE0B19" w:rsidRPr="00AE47C6" w:rsidRDefault="00BE0B19" w:rsidP="00BE0B19">
            <w:pPr>
              <w:spacing w:after="0" w:line="360" w:lineRule="auto"/>
              <w:ind w:firstLine="709"/>
              <w:jc w:val="center"/>
              <w:rPr>
                <w:rFonts w:ascii="Times New Roman" w:hAnsi="Times New Roman"/>
              </w:rPr>
            </w:pPr>
          </w:p>
        </w:tc>
      </w:tr>
      <w:tr w:rsidR="00BE0B19" w:rsidRPr="00AE47C6" w14:paraId="20F3E022" w14:textId="77777777" w:rsidTr="00913234">
        <w:tc>
          <w:tcPr>
            <w:tcW w:w="6487" w:type="dxa"/>
            <w:vAlign w:val="center"/>
          </w:tcPr>
          <w:p w14:paraId="4CD6A7A3" w14:textId="77777777" w:rsidR="00BE0B19" w:rsidRPr="00AE47C6" w:rsidRDefault="00BE0B19" w:rsidP="00BE0B19">
            <w:pPr>
              <w:spacing w:after="0" w:line="360" w:lineRule="auto"/>
              <w:ind w:firstLine="22"/>
              <w:jc w:val="both"/>
              <w:rPr>
                <w:rFonts w:ascii="Times New Roman" w:hAnsi="Times New Roman"/>
              </w:rPr>
            </w:pPr>
            <w:r w:rsidRPr="00AE47C6">
              <w:rPr>
                <w:rFonts w:ascii="Times New Roman" w:hAnsi="Times New Roman"/>
              </w:rPr>
              <w:t>4. Като пътник в кола след един час пътуване без почивка</w:t>
            </w:r>
          </w:p>
        </w:tc>
        <w:tc>
          <w:tcPr>
            <w:tcW w:w="851" w:type="dxa"/>
            <w:vAlign w:val="center"/>
          </w:tcPr>
          <w:p w14:paraId="61EA0010" w14:textId="77777777" w:rsidR="00BE0B19" w:rsidRPr="00AE47C6" w:rsidRDefault="00BE0B19" w:rsidP="00BE0B19">
            <w:pPr>
              <w:spacing w:after="0" w:line="360" w:lineRule="auto"/>
              <w:ind w:firstLine="709"/>
              <w:jc w:val="center"/>
              <w:rPr>
                <w:rFonts w:ascii="Times New Roman" w:hAnsi="Times New Roman"/>
              </w:rPr>
            </w:pPr>
          </w:p>
        </w:tc>
        <w:tc>
          <w:tcPr>
            <w:tcW w:w="850" w:type="dxa"/>
            <w:vAlign w:val="center"/>
          </w:tcPr>
          <w:p w14:paraId="69115C92" w14:textId="77777777" w:rsidR="00BE0B19" w:rsidRPr="00AE47C6" w:rsidRDefault="00BE0B19" w:rsidP="00BE0B19">
            <w:pPr>
              <w:spacing w:after="0" w:line="360" w:lineRule="auto"/>
              <w:ind w:firstLine="709"/>
              <w:jc w:val="center"/>
              <w:rPr>
                <w:rFonts w:ascii="Times New Roman" w:hAnsi="Times New Roman"/>
              </w:rPr>
            </w:pPr>
          </w:p>
        </w:tc>
        <w:tc>
          <w:tcPr>
            <w:tcW w:w="851" w:type="dxa"/>
            <w:vAlign w:val="center"/>
          </w:tcPr>
          <w:p w14:paraId="5A19496B" w14:textId="77777777" w:rsidR="00BE0B19" w:rsidRPr="00AE47C6" w:rsidRDefault="00BE0B19" w:rsidP="00BE0B19">
            <w:pPr>
              <w:spacing w:after="0" w:line="360" w:lineRule="auto"/>
              <w:ind w:firstLine="709"/>
              <w:jc w:val="center"/>
              <w:rPr>
                <w:rFonts w:ascii="Times New Roman" w:hAnsi="Times New Roman"/>
              </w:rPr>
            </w:pPr>
          </w:p>
        </w:tc>
        <w:tc>
          <w:tcPr>
            <w:tcW w:w="850" w:type="dxa"/>
            <w:vAlign w:val="center"/>
          </w:tcPr>
          <w:p w14:paraId="17227BCB" w14:textId="77777777" w:rsidR="00BE0B19" w:rsidRPr="00AE47C6" w:rsidRDefault="00BE0B19" w:rsidP="00BE0B19">
            <w:pPr>
              <w:spacing w:after="0" w:line="360" w:lineRule="auto"/>
              <w:ind w:firstLine="709"/>
              <w:jc w:val="center"/>
              <w:rPr>
                <w:rFonts w:ascii="Times New Roman" w:hAnsi="Times New Roman"/>
              </w:rPr>
            </w:pPr>
          </w:p>
        </w:tc>
      </w:tr>
      <w:tr w:rsidR="00BE0B19" w:rsidRPr="00AE47C6" w14:paraId="732CE0B9" w14:textId="77777777" w:rsidTr="00913234">
        <w:tc>
          <w:tcPr>
            <w:tcW w:w="6487" w:type="dxa"/>
            <w:vAlign w:val="center"/>
          </w:tcPr>
          <w:p w14:paraId="46EA3378" w14:textId="77777777" w:rsidR="00BE0B19" w:rsidRPr="00AE47C6" w:rsidRDefault="00BE0B19" w:rsidP="00BE0B19">
            <w:pPr>
              <w:spacing w:after="0" w:line="360" w:lineRule="auto"/>
              <w:ind w:firstLine="22"/>
              <w:jc w:val="both"/>
              <w:rPr>
                <w:rFonts w:ascii="Times New Roman" w:hAnsi="Times New Roman"/>
              </w:rPr>
            </w:pPr>
            <w:r w:rsidRPr="00AE47C6">
              <w:rPr>
                <w:rFonts w:ascii="Times New Roman" w:hAnsi="Times New Roman"/>
              </w:rPr>
              <w:t>5. При лягане следобед</w:t>
            </w:r>
          </w:p>
        </w:tc>
        <w:tc>
          <w:tcPr>
            <w:tcW w:w="851" w:type="dxa"/>
            <w:vAlign w:val="center"/>
          </w:tcPr>
          <w:p w14:paraId="21C56880" w14:textId="77777777" w:rsidR="00BE0B19" w:rsidRPr="00AE47C6" w:rsidRDefault="00BE0B19" w:rsidP="00BE0B19">
            <w:pPr>
              <w:spacing w:after="0" w:line="360" w:lineRule="auto"/>
              <w:ind w:firstLine="709"/>
              <w:jc w:val="center"/>
              <w:rPr>
                <w:rFonts w:ascii="Times New Roman" w:hAnsi="Times New Roman"/>
              </w:rPr>
            </w:pPr>
          </w:p>
        </w:tc>
        <w:tc>
          <w:tcPr>
            <w:tcW w:w="850" w:type="dxa"/>
            <w:vAlign w:val="center"/>
          </w:tcPr>
          <w:p w14:paraId="2D46AB2D" w14:textId="77777777" w:rsidR="00BE0B19" w:rsidRPr="00AE47C6" w:rsidRDefault="00BE0B19" w:rsidP="00BE0B19">
            <w:pPr>
              <w:spacing w:after="0" w:line="360" w:lineRule="auto"/>
              <w:ind w:firstLine="709"/>
              <w:jc w:val="center"/>
              <w:rPr>
                <w:rFonts w:ascii="Times New Roman" w:hAnsi="Times New Roman"/>
              </w:rPr>
            </w:pPr>
          </w:p>
        </w:tc>
        <w:tc>
          <w:tcPr>
            <w:tcW w:w="851" w:type="dxa"/>
            <w:vAlign w:val="center"/>
          </w:tcPr>
          <w:p w14:paraId="0B21AB6D" w14:textId="77777777" w:rsidR="00BE0B19" w:rsidRPr="00AE47C6" w:rsidRDefault="00BE0B19" w:rsidP="00BE0B19">
            <w:pPr>
              <w:spacing w:after="0" w:line="360" w:lineRule="auto"/>
              <w:ind w:firstLine="709"/>
              <w:jc w:val="center"/>
              <w:rPr>
                <w:rFonts w:ascii="Times New Roman" w:hAnsi="Times New Roman"/>
              </w:rPr>
            </w:pPr>
          </w:p>
        </w:tc>
        <w:tc>
          <w:tcPr>
            <w:tcW w:w="850" w:type="dxa"/>
            <w:vAlign w:val="center"/>
          </w:tcPr>
          <w:p w14:paraId="25BA326A" w14:textId="77777777" w:rsidR="00BE0B19" w:rsidRPr="00AE47C6" w:rsidRDefault="00BE0B19" w:rsidP="00BE0B19">
            <w:pPr>
              <w:spacing w:after="0" w:line="360" w:lineRule="auto"/>
              <w:ind w:firstLine="709"/>
              <w:jc w:val="center"/>
              <w:rPr>
                <w:rFonts w:ascii="Times New Roman" w:hAnsi="Times New Roman"/>
              </w:rPr>
            </w:pPr>
          </w:p>
        </w:tc>
      </w:tr>
      <w:tr w:rsidR="00BE0B19" w:rsidRPr="00AE47C6" w14:paraId="762762B8" w14:textId="77777777" w:rsidTr="00913234">
        <w:tc>
          <w:tcPr>
            <w:tcW w:w="6487" w:type="dxa"/>
            <w:vAlign w:val="center"/>
          </w:tcPr>
          <w:p w14:paraId="1BB61FB5" w14:textId="77777777" w:rsidR="00BE0B19" w:rsidRPr="00AE47C6" w:rsidRDefault="00BE0B19" w:rsidP="00BE0B19">
            <w:pPr>
              <w:spacing w:after="0" w:line="360" w:lineRule="auto"/>
              <w:ind w:firstLine="22"/>
              <w:jc w:val="both"/>
              <w:rPr>
                <w:rFonts w:ascii="Times New Roman" w:hAnsi="Times New Roman"/>
              </w:rPr>
            </w:pPr>
            <w:r w:rsidRPr="00AE47C6">
              <w:rPr>
                <w:rFonts w:ascii="Times New Roman" w:hAnsi="Times New Roman"/>
              </w:rPr>
              <w:t>6. В седнало положение по време на разговор</w:t>
            </w:r>
          </w:p>
        </w:tc>
        <w:tc>
          <w:tcPr>
            <w:tcW w:w="851" w:type="dxa"/>
            <w:vAlign w:val="center"/>
          </w:tcPr>
          <w:p w14:paraId="34EB1807" w14:textId="77777777" w:rsidR="00BE0B19" w:rsidRPr="00AE47C6" w:rsidRDefault="00BE0B19" w:rsidP="00BE0B19">
            <w:pPr>
              <w:spacing w:after="0" w:line="360" w:lineRule="auto"/>
              <w:ind w:firstLine="709"/>
              <w:jc w:val="center"/>
              <w:rPr>
                <w:rFonts w:ascii="Times New Roman" w:hAnsi="Times New Roman"/>
              </w:rPr>
            </w:pPr>
          </w:p>
        </w:tc>
        <w:tc>
          <w:tcPr>
            <w:tcW w:w="850" w:type="dxa"/>
            <w:vAlign w:val="center"/>
          </w:tcPr>
          <w:p w14:paraId="3A05A401" w14:textId="77777777" w:rsidR="00BE0B19" w:rsidRPr="00AE47C6" w:rsidRDefault="00BE0B19" w:rsidP="00BE0B19">
            <w:pPr>
              <w:spacing w:after="0" w:line="360" w:lineRule="auto"/>
              <w:ind w:firstLine="709"/>
              <w:jc w:val="center"/>
              <w:rPr>
                <w:rFonts w:ascii="Times New Roman" w:hAnsi="Times New Roman"/>
              </w:rPr>
            </w:pPr>
          </w:p>
        </w:tc>
        <w:tc>
          <w:tcPr>
            <w:tcW w:w="851" w:type="dxa"/>
            <w:vAlign w:val="center"/>
          </w:tcPr>
          <w:p w14:paraId="05717D94" w14:textId="77777777" w:rsidR="00BE0B19" w:rsidRPr="00AE47C6" w:rsidRDefault="00BE0B19" w:rsidP="00BE0B19">
            <w:pPr>
              <w:spacing w:after="0" w:line="360" w:lineRule="auto"/>
              <w:ind w:firstLine="709"/>
              <w:jc w:val="center"/>
              <w:rPr>
                <w:rFonts w:ascii="Times New Roman" w:hAnsi="Times New Roman"/>
              </w:rPr>
            </w:pPr>
          </w:p>
        </w:tc>
        <w:tc>
          <w:tcPr>
            <w:tcW w:w="850" w:type="dxa"/>
            <w:vAlign w:val="center"/>
          </w:tcPr>
          <w:p w14:paraId="6DEB479E" w14:textId="77777777" w:rsidR="00BE0B19" w:rsidRPr="00AE47C6" w:rsidRDefault="00BE0B19" w:rsidP="00BE0B19">
            <w:pPr>
              <w:spacing w:after="0" w:line="360" w:lineRule="auto"/>
              <w:ind w:firstLine="709"/>
              <w:jc w:val="center"/>
              <w:rPr>
                <w:rFonts w:ascii="Times New Roman" w:hAnsi="Times New Roman"/>
              </w:rPr>
            </w:pPr>
          </w:p>
        </w:tc>
      </w:tr>
      <w:tr w:rsidR="00BE0B19" w:rsidRPr="00AE47C6" w14:paraId="6F95B03D" w14:textId="77777777" w:rsidTr="00913234">
        <w:tc>
          <w:tcPr>
            <w:tcW w:w="6487" w:type="dxa"/>
            <w:vAlign w:val="center"/>
          </w:tcPr>
          <w:p w14:paraId="60032374" w14:textId="77777777" w:rsidR="00BE0B19" w:rsidRPr="00AE47C6" w:rsidRDefault="00BE0B19" w:rsidP="00BE0B19">
            <w:pPr>
              <w:spacing w:after="0" w:line="360" w:lineRule="auto"/>
              <w:ind w:firstLine="22"/>
              <w:jc w:val="both"/>
              <w:rPr>
                <w:rFonts w:ascii="Times New Roman" w:hAnsi="Times New Roman"/>
              </w:rPr>
            </w:pPr>
            <w:r w:rsidRPr="00AE47C6">
              <w:rPr>
                <w:rFonts w:ascii="Times New Roman" w:hAnsi="Times New Roman"/>
              </w:rPr>
              <w:t>7. В седнало положение след нахранване, без алкохол</w:t>
            </w:r>
          </w:p>
        </w:tc>
        <w:tc>
          <w:tcPr>
            <w:tcW w:w="851" w:type="dxa"/>
            <w:vAlign w:val="center"/>
          </w:tcPr>
          <w:p w14:paraId="737407A8" w14:textId="77777777" w:rsidR="00BE0B19" w:rsidRPr="00AE47C6" w:rsidRDefault="00BE0B19" w:rsidP="00BE0B19">
            <w:pPr>
              <w:spacing w:after="0" w:line="360" w:lineRule="auto"/>
              <w:ind w:firstLine="709"/>
              <w:jc w:val="center"/>
              <w:rPr>
                <w:rFonts w:ascii="Times New Roman" w:hAnsi="Times New Roman"/>
              </w:rPr>
            </w:pPr>
          </w:p>
        </w:tc>
        <w:tc>
          <w:tcPr>
            <w:tcW w:w="850" w:type="dxa"/>
            <w:vAlign w:val="center"/>
          </w:tcPr>
          <w:p w14:paraId="4556B529" w14:textId="77777777" w:rsidR="00BE0B19" w:rsidRPr="00AE47C6" w:rsidRDefault="00BE0B19" w:rsidP="00BE0B19">
            <w:pPr>
              <w:spacing w:after="0" w:line="360" w:lineRule="auto"/>
              <w:ind w:firstLine="709"/>
              <w:jc w:val="center"/>
              <w:rPr>
                <w:rFonts w:ascii="Times New Roman" w:hAnsi="Times New Roman"/>
              </w:rPr>
            </w:pPr>
          </w:p>
        </w:tc>
        <w:tc>
          <w:tcPr>
            <w:tcW w:w="851" w:type="dxa"/>
            <w:vAlign w:val="center"/>
          </w:tcPr>
          <w:p w14:paraId="2A70CCEC" w14:textId="77777777" w:rsidR="00BE0B19" w:rsidRPr="00AE47C6" w:rsidRDefault="00BE0B19" w:rsidP="00BE0B19">
            <w:pPr>
              <w:spacing w:after="0" w:line="360" w:lineRule="auto"/>
              <w:ind w:firstLine="709"/>
              <w:jc w:val="center"/>
              <w:rPr>
                <w:rFonts w:ascii="Times New Roman" w:hAnsi="Times New Roman"/>
              </w:rPr>
            </w:pPr>
          </w:p>
        </w:tc>
        <w:tc>
          <w:tcPr>
            <w:tcW w:w="850" w:type="dxa"/>
            <w:vAlign w:val="center"/>
          </w:tcPr>
          <w:p w14:paraId="44724A35" w14:textId="77777777" w:rsidR="00BE0B19" w:rsidRPr="00AE47C6" w:rsidRDefault="00BE0B19" w:rsidP="00BE0B19">
            <w:pPr>
              <w:spacing w:after="0" w:line="360" w:lineRule="auto"/>
              <w:ind w:firstLine="709"/>
              <w:jc w:val="center"/>
              <w:rPr>
                <w:rFonts w:ascii="Times New Roman" w:hAnsi="Times New Roman"/>
              </w:rPr>
            </w:pPr>
          </w:p>
        </w:tc>
      </w:tr>
      <w:tr w:rsidR="00BE0B19" w:rsidRPr="00AE47C6" w14:paraId="6CF3F613" w14:textId="77777777" w:rsidTr="00913234">
        <w:tc>
          <w:tcPr>
            <w:tcW w:w="6487" w:type="dxa"/>
            <w:vAlign w:val="center"/>
          </w:tcPr>
          <w:p w14:paraId="5C96FDF5" w14:textId="77777777" w:rsidR="00BE0B19" w:rsidRPr="00AE47C6" w:rsidRDefault="00BE0B19" w:rsidP="00BE0B19">
            <w:pPr>
              <w:spacing w:after="0" w:line="360" w:lineRule="auto"/>
              <w:ind w:firstLine="22"/>
              <w:jc w:val="both"/>
              <w:rPr>
                <w:rFonts w:ascii="Times New Roman" w:hAnsi="Times New Roman"/>
              </w:rPr>
            </w:pPr>
            <w:r w:rsidRPr="00AE47C6">
              <w:rPr>
                <w:rFonts w:ascii="Times New Roman" w:hAnsi="Times New Roman"/>
              </w:rPr>
              <w:t>8. При шофиране, ако сте на волана</w:t>
            </w:r>
          </w:p>
        </w:tc>
        <w:tc>
          <w:tcPr>
            <w:tcW w:w="851" w:type="dxa"/>
            <w:vAlign w:val="center"/>
          </w:tcPr>
          <w:p w14:paraId="27998C21" w14:textId="77777777" w:rsidR="00BE0B19" w:rsidRPr="00AE47C6" w:rsidRDefault="00BE0B19" w:rsidP="00BE0B19">
            <w:pPr>
              <w:spacing w:after="0" w:line="360" w:lineRule="auto"/>
              <w:ind w:firstLine="709"/>
              <w:jc w:val="center"/>
              <w:rPr>
                <w:rFonts w:ascii="Times New Roman" w:hAnsi="Times New Roman"/>
              </w:rPr>
            </w:pPr>
          </w:p>
        </w:tc>
        <w:tc>
          <w:tcPr>
            <w:tcW w:w="850" w:type="dxa"/>
            <w:vAlign w:val="center"/>
          </w:tcPr>
          <w:p w14:paraId="48A18596" w14:textId="77777777" w:rsidR="00BE0B19" w:rsidRPr="00AE47C6" w:rsidRDefault="00BE0B19" w:rsidP="00BE0B19">
            <w:pPr>
              <w:spacing w:after="0" w:line="360" w:lineRule="auto"/>
              <w:ind w:firstLine="709"/>
              <w:jc w:val="center"/>
              <w:rPr>
                <w:rFonts w:ascii="Times New Roman" w:hAnsi="Times New Roman"/>
              </w:rPr>
            </w:pPr>
          </w:p>
        </w:tc>
        <w:tc>
          <w:tcPr>
            <w:tcW w:w="851" w:type="dxa"/>
            <w:vAlign w:val="center"/>
          </w:tcPr>
          <w:p w14:paraId="778E9CC9" w14:textId="77777777" w:rsidR="00BE0B19" w:rsidRPr="00AE47C6" w:rsidRDefault="00BE0B19" w:rsidP="00BE0B19">
            <w:pPr>
              <w:spacing w:after="0" w:line="360" w:lineRule="auto"/>
              <w:ind w:firstLine="709"/>
              <w:jc w:val="center"/>
              <w:rPr>
                <w:rFonts w:ascii="Times New Roman" w:hAnsi="Times New Roman"/>
              </w:rPr>
            </w:pPr>
          </w:p>
        </w:tc>
        <w:tc>
          <w:tcPr>
            <w:tcW w:w="850" w:type="dxa"/>
            <w:vAlign w:val="center"/>
          </w:tcPr>
          <w:p w14:paraId="3521CE4B" w14:textId="77777777" w:rsidR="00BE0B19" w:rsidRPr="00AE47C6" w:rsidRDefault="00BE0B19" w:rsidP="00BE0B19">
            <w:pPr>
              <w:spacing w:after="0" w:line="360" w:lineRule="auto"/>
              <w:ind w:firstLine="709"/>
              <w:jc w:val="center"/>
              <w:rPr>
                <w:rFonts w:ascii="Times New Roman" w:hAnsi="Times New Roman"/>
              </w:rPr>
            </w:pPr>
          </w:p>
        </w:tc>
      </w:tr>
    </w:tbl>
    <w:p w14:paraId="66342725" w14:textId="77777777" w:rsidR="00BE0B19" w:rsidRPr="00AE47C6" w:rsidRDefault="00BE0B19" w:rsidP="00BE0B19">
      <w:pPr>
        <w:spacing w:after="0" w:line="360" w:lineRule="auto"/>
        <w:ind w:firstLine="709"/>
        <w:jc w:val="both"/>
        <w:rPr>
          <w:rFonts w:ascii="Times New Roman" w:eastAsia="SimSun" w:hAnsi="Times New Roman"/>
        </w:rPr>
      </w:pPr>
    </w:p>
    <w:p w14:paraId="79CE942C" w14:textId="77777777" w:rsidR="00BE0B19" w:rsidRPr="00AE47C6" w:rsidRDefault="00BE0B19" w:rsidP="00BE0B19">
      <w:pPr>
        <w:spacing w:after="0" w:line="360" w:lineRule="auto"/>
        <w:ind w:firstLine="709"/>
        <w:jc w:val="both"/>
        <w:rPr>
          <w:rFonts w:ascii="Times New Roman" w:eastAsia="SimSun" w:hAnsi="Times New Roman"/>
        </w:rPr>
      </w:pPr>
      <w:r w:rsidRPr="00AE47C6">
        <w:rPr>
          <w:rFonts w:ascii="Times New Roman" w:eastAsia="SimSun" w:hAnsi="Times New Roman"/>
        </w:rPr>
        <w:t>Общо:</w:t>
      </w:r>
    </w:p>
    <w:p w14:paraId="0517651B" w14:textId="77777777" w:rsidR="00BE0B19" w:rsidRPr="00AE47C6" w:rsidRDefault="00BE0B19" w:rsidP="00BE0B19">
      <w:pPr>
        <w:spacing w:after="0" w:line="360" w:lineRule="auto"/>
        <w:ind w:firstLine="709"/>
        <w:jc w:val="both"/>
        <w:rPr>
          <w:rFonts w:ascii="Times New Roman" w:eastAsia="SimSun" w:hAnsi="Times New Roman"/>
          <w:b/>
          <w:bCs/>
        </w:rPr>
      </w:pPr>
    </w:p>
    <w:p w14:paraId="6D8E7FDE" w14:textId="77777777" w:rsidR="00BE0B19" w:rsidRPr="00AE47C6" w:rsidRDefault="00BE0B19" w:rsidP="00BE0B19">
      <w:pPr>
        <w:spacing w:after="0" w:line="360" w:lineRule="auto"/>
        <w:ind w:firstLine="709"/>
        <w:jc w:val="both"/>
        <w:rPr>
          <w:rFonts w:ascii="Times New Roman" w:eastAsia="SimSun" w:hAnsi="Times New Roman"/>
          <w:i/>
          <w:iCs/>
        </w:rPr>
      </w:pPr>
      <w:r w:rsidRPr="00AE47C6">
        <w:rPr>
          <w:rFonts w:ascii="Times New Roman" w:eastAsia="SimSun" w:hAnsi="Times New Roman"/>
        </w:rPr>
        <w:t xml:space="preserve">Фигура 2. Въпросник STOP-BANG - </w:t>
      </w:r>
      <w:r w:rsidRPr="00AE47C6">
        <w:rPr>
          <w:rFonts w:ascii="Times New Roman" w:eastAsia="SimSun" w:hAnsi="Times New Roman"/>
          <w:i/>
          <w:iCs/>
        </w:rPr>
        <w:t>модифицирана по Chung F, et al. Anesthesiology 2008, 108, 812-21.</w:t>
      </w:r>
    </w:p>
    <w:p w14:paraId="0ECC574C" w14:textId="77777777" w:rsidR="00BE0B19" w:rsidRPr="00AE47C6" w:rsidRDefault="00BE0B19" w:rsidP="00BE0B19">
      <w:pPr>
        <w:spacing w:after="0" w:line="360" w:lineRule="auto"/>
        <w:ind w:firstLine="709"/>
        <w:rPr>
          <w:rFonts w:ascii="Times New Roman" w:eastAsia="SimSun" w:hAnsi="Times New Roman"/>
          <w:b/>
          <w:bCs/>
        </w:rPr>
      </w:pPr>
    </w:p>
    <w:p w14:paraId="503DA499" w14:textId="77777777" w:rsidR="00BE0B19" w:rsidRPr="00AE47C6" w:rsidRDefault="00BE0B19" w:rsidP="00BE0B19">
      <w:pPr>
        <w:spacing w:after="0" w:line="360" w:lineRule="auto"/>
        <w:ind w:firstLine="709"/>
        <w:jc w:val="center"/>
        <w:rPr>
          <w:rFonts w:ascii="Times New Roman" w:eastAsia="SimSun" w:hAnsi="Times New Roman"/>
          <w:b/>
          <w:bCs/>
        </w:rPr>
      </w:pPr>
      <w:r w:rsidRPr="00AE47C6">
        <w:rPr>
          <w:rFonts w:ascii="Times New Roman" w:eastAsia="SimSun" w:hAnsi="Times New Roman"/>
          <w:b/>
          <w:bCs/>
        </w:rPr>
        <w:t>ВЪПРОСНИК STOP-BANG</w:t>
      </w:r>
    </w:p>
    <w:p w14:paraId="67E05EF1" w14:textId="77777777" w:rsidR="00BE0B19" w:rsidRPr="00AE47C6" w:rsidRDefault="00BE0B19" w:rsidP="00BE0B19">
      <w:pPr>
        <w:spacing w:after="0" w:line="360" w:lineRule="auto"/>
        <w:ind w:firstLine="709"/>
        <w:jc w:val="center"/>
        <w:rPr>
          <w:rFonts w:ascii="Times New Roman" w:eastAsia="SimSun" w:hAnsi="Times New Roman"/>
          <w:b/>
        </w:rPr>
      </w:pPr>
      <w:r w:rsidRPr="00AE47C6">
        <w:rPr>
          <w:rFonts w:ascii="Times New Roman" w:eastAsia="SimSun" w:hAnsi="Times New Roman"/>
          <w:b/>
        </w:rPr>
        <w:t>(STOP-BANG QUESTIONNAIRE)</w:t>
      </w:r>
    </w:p>
    <w:p w14:paraId="25A729D4" w14:textId="77777777" w:rsidR="00BE0B19" w:rsidRPr="00AE47C6" w:rsidRDefault="00BE0B19" w:rsidP="00BE0B19">
      <w:pPr>
        <w:spacing w:after="0" w:line="360" w:lineRule="auto"/>
        <w:ind w:firstLine="709"/>
        <w:jc w:val="both"/>
        <w:rPr>
          <w:rFonts w:ascii="Times New Roman" w:eastAsia="SimSun" w:hAnsi="Times New Roman"/>
        </w:rPr>
      </w:pPr>
    </w:p>
    <w:p w14:paraId="18FC8189" w14:textId="77777777" w:rsidR="00BE0B19" w:rsidRPr="00AE47C6" w:rsidRDefault="00BE0B19" w:rsidP="00BE0B19">
      <w:pPr>
        <w:pBdr>
          <w:top w:val="single" w:sz="4" w:space="0" w:color="auto"/>
          <w:left w:val="single" w:sz="4" w:space="0" w:color="auto"/>
          <w:bottom w:val="single" w:sz="4" w:space="0" w:color="auto"/>
          <w:right w:val="single" w:sz="4" w:space="0" w:color="auto"/>
        </w:pBdr>
        <w:spacing w:after="0" w:line="360" w:lineRule="auto"/>
        <w:ind w:left="567" w:firstLine="709"/>
        <w:jc w:val="both"/>
        <w:rPr>
          <w:rFonts w:ascii="Times New Roman" w:eastAsia="SimSun" w:hAnsi="Times New Roman"/>
        </w:rPr>
      </w:pPr>
      <w:r w:rsidRPr="00AE47C6">
        <w:rPr>
          <w:rFonts w:ascii="Times New Roman" w:eastAsia="SimSun" w:hAnsi="Times New Roman"/>
        </w:rPr>
        <w:t>Ръст ________ см  Тегло _________ кг</w:t>
      </w:r>
    </w:p>
    <w:p w14:paraId="2A021E3E" w14:textId="77777777" w:rsidR="00BE0B19" w:rsidRPr="00AE47C6" w:rsidRDefault="00BE0B19" w:rsidP="00BE0B19">
      <w:pPr>
        <w:pBdr>
          <w:top w:val="single" w:sz="4" w:space="0" w:color="auto"/>
          <w:left w:val="single" w:sz="4" w:space="0" w:color="auto"/>
          <w:bottom w:val="single" w:sz="4" w:space="0" w:color="auto"/>
          <w:right w:val="single" w:sz="4" w:space="0" w:color="auto"/>
        </w:pBdr>
        <w:spacing w:after="0" w:line="360" w:lineRule="auto"/>
        <w:ind w:left="567" w:firstLine="709"/>
        <w:jc w:val="both"/>
        <w:rPr>
          <w:rFonts w:ascii="Times New Roman" w:eastAsia="SimSun" w:hAnsi="Times New Roman"/>
        </w:rPr>
      </w:pPr>
      <w:r w:rsidRPr="00AE47C6">
        <w:rPr>
          <w:rFonts w:ascii="Times New Roman" w:eastAsia="SimSun" w:hAnsi="Times New Roman"/>
        </w:rPr>
        <w:t>Възраст _______</w:t>
      </w:r>
    </w:p>
    <w:p w14:paraId="2E4EF037" w14:textId="77777777" w:rsidR="00BE0B19" w:rsidRPr="00AE47C6" w:rsidRDefault="00BE0B19" w:rsidP="00BE0B19">
      <w:pPr>
        <w:pBdr>
          <w:top w:val="single" w:sz="4" w:space="0" w:color="auto"/>
          <w:left w:val="single" w:sz="4" w:space="0" w:color="auto"/>
          <w:bottom w:val="single" w:sz="4" w:space="0" w:color="auto"/>
          <w:right w:val="single" w:sz="4" w:space="0" w:color="auto"/>
        </w:pBdr>
        <w:spacing w:after="0" w:line="360" w:lineRule="auto"/>
        <w:ind w:left="567" w:firstLine="709"/>
        <w:jc w:val="both"/>
        <w:rPr>
          <w:rFonts w:ascii="Times New Roman" w:eastAsia="SimSun" w:hAnsi="Times New Roman"/>
        </w:rPr>
      </w:pPr>
      <w:r w:rsidRPr="00AE47C6">
        <w:rPr>
          <w:rFonts w:ascii="Times New Roman" w:eastAsia="SimSun" w:hAnsi="Times New Roman"/>
        </w:rPr>
        <w:t>BMI _______</w:t>
      </w:r>
    </w:p>
    <w:p w14:paraId="25623098" w14:textId="77777777" w:rsidR="00BE0B19" w:rsidRPr="00AE47C6" w:rsidRDefault="00BE0B19" w:rsidP="00BE0B19">
      <w:pPr>
        <w:pBdr>
          <w:top w:val="single" w:sz="4" w:space="0" w:color="auto"/>
          <w:left w:val="single" w:sz="4" w:space="0" w:color="auto"/>
          <w:bottom w:val="single" w:sz="4" w:space="0" w:color="auto"/>
          <w:right w:val="single" w:sz="4" w:space="0" w:color="auto"/>
        </w:pBdr>
        <w:spacing w:after="0" w:line="360" w:lineRule="auto"/>
        <w:ind w:left="567" w:firstLine="709"/>
        <w:jc w:val="both"/>
        <w:rPr>
          <w:rFonts w:ascii="Times New Roman" w:eastAsia="SimSun" w:hAnsi="Times New Roman"/>
        </w:rPr>
      </w:pPr>
      <w:r w:rsidRPr="00AE47C6">
        <w:rPr>
          <w:rFonts w:ascii="Times New Roman" w:eastAsia="SimSun" w:hAnsi="Times New Roman"/>
        </w:rPr>
        <w:t xml:space="preserve">Обиколка на яка на риза: S, M, L, XL, или ______ см </w:t>
      </w:r>
    </w:p>
    <w:p w14:paraId="42EEFD0D" w14:textId="77777777" w:rsidR="00BE0B19" w:rsidRPr="00AE47C6" w:rsidRDefault="00BE0B19" w:rsidP="00BE0B19">
      <w:pPr>
        <w:pBdr>
          <w:top w:val="single" w:sz="4" w:space="0" w:color="auto"/>
          <w:left w:val="single" w:sz="4" w:space="0" w:color="auto"/>
          <w:bottom w:val="single" w:sz="4" w:space="0" w:color="auto"/>
          <w:right w:val="single" w:sz="4" w:space="0" w:color="auto"/>
        </w:pBdr>
        <w:spacing w:after="0" w:line="360" w:lineRule="auto"/>
        <w:ind w:left="567" w:firstLine="709"/>
        <w:jc w:val="both"/>
        <w:rPr>
          <w:rFonts w:ascii="Times New Roman" w:eastAsia="SimSun" w:hAnsi="Times New Roman"/>
        </w:rPr>
      </w:pPr>
      <w:r w:rsidRPr="00AE47C6">
        <w:rPr>
          <w:rFonts w:ascii="Times New Roman" w:eastAsia="SimSun" w:hAnsi="Times New Roman"/>
        </w:rPr>
        <w:t>Обиколка на врата _____см</w:t>
      </w:r>
    </w:p>
    <w:p w14:paraId="656EC0A6" w14:textId="77777777" w:rsidR="00BE0B19" w:rsidRPr="00AE47C6" w:rsidRDefault="00BE0B19" w:rsidP="00BE0B19">
      <w:pPr>
        <w:numPr>
          <w:ilvl w:val="0"/>
          <w:numId w:val="427"/>
        </w:numPr>
        <w:pBdr>
          <w:top w:val="single" w:sz="4" w:space="0" w:color="auto"/>
          <w:left w:val="single" w:sz="4" w:space="0" w:color="auto"/>
          <w:bottom w:val="single" w:sz="4" w:space="0" w:color="auto"/>
          <w:right w:val="single" w:sz="4" w:space="0" w:color="auto"/>
        </w:pBdr>
        <w:spacing w:after="0" w:line="360" w:lineRule="auto"/>
        <w:ind w:firstLine="709"/>
        <w:contextualSpacing/>
        <w:jc w:val="both"/>
        <w:rPr>
          <w:rFonts w:ascii="Times New Roman" w:eastAsia="SimSun" w:hAnsi="Times New Roman"/>
          <w:b/>
          <w:bCs/>
          <w:i/>
          <w:iCs/>
        </w:rPr>
      </w:pPr>
      <w:r w:rsidRPr="00AE47C6">
        <w:rPr>
          <w:rFonts w:ascii="Times New Roman" w:eastAsia="SimSun" w:hAnsi="Times New Roman"/>
          <w:bCs/>
          <w:iCs/>
        </w:rPr>
        <w:t>Хъркане</w:t>
      </w:r>
    </w:p>
    <w:p w14:paraId="64E193D8" w14:textId="77777777" w:rsidR="00BE0B19" w:rsidRPr="00AE47C6" w:rsidRDefault="00BE0B19" w:rsidP="00BE0B19">
      <w:pPr>
        <w:pBdr>
          <w:top w:val="single" w:sz="4" w:space="0" w:color="auto"/>
          <w:left w:val="single" w:sz="4" w:space="0" w:color="auto"/>
          <w:bottom w:val="single" w:sz="4" w:space="0" w:color="auto"/>
          <w:right w:val="single" w:sz="4" w:space="0" w:color="auto"/>
        </w:pBdr>
        <w:spacing w:after="0" w:line="360" w:lineRule="auto"/>
        <w:ind w:left="567" w:firstLine="709"/>
        <w:jc w:val="both"/>
        <w:rPr>
          <w:rFonts w:ascii="Times New Roman" w:eastAsia="SimSun" w:hAnsi="Times New Roman"/>
          <w:bCs/>
          <w:iCs/>
        </w:rPr>
      </w:pPr>
      <w:r w:rsidRPr="00AE47C6">
        <w:rPr>
          <w:rFonts w:ascii="Times New Roman" w:eastAsia="SimSun" w:hAnsi="Times New Roman"/>
          <w:bCs/>
          <w:iCs/>
        </w:rPr>
        <w:t>Хъркате ли силно (по-силно от говорене или достатъчно силно да бъде чуто през затворени врати) ?</w:t>
      </w:r>
    </w:p>
    <w:p w14:paraId="3CF1A2C1" w14:textId="77777777" w:rsidR="00BE0B19" w:rsidRPr="00AE47C6" w:rsidRDefault="00BE0B19" w:rsidP="00BE0B19">
      <w:pPr>
        <w:pBdr>
          <w:top w:val="single" w:sz="4" w:space="0" w:color="auto"/>
          <w:left w:val="single" w:sz="4" w:space="0" w:color="auto"/>
          <w:bottom w:val="single" w:sz="4" w:space="0" w:color="auto"/>
          <w:right w:val="single" w:sz="4" w:space="0" w:color="auto"/>
        </w:pBdr>
        <w:spacing w:after="0" w:line="360" w:lineRule="auto"/>
        <w:ind w:left="567" w:firstLine="709"/>
        <w:jc w:val="both"/>
        <w:rPr>
          <w:rFonts w:ascii="Times New Roman" w:eastAsia="SimSun" w:hAnsi="Times New Roman"/>
          <w:bCs/>
          <w:iCs/>
        </w:rPr>
      </w:pPr>
      <w:r w:rsidRPr="00AE47C6">
        <w:rPr>
          <w:rFonts w:ascii="Times New Roman" w:eastAsia="SimSun" w:hAnsi="Times New Roman"/>
          <w:bCs/>
          <w:iCs/>
        </w:rPr>
        <w:t>Да      Не</w:t>
      </w:r>
    </w:p>
    <w:p w14:paraId="1CFDA56D" w14:textId="77777777" w:rsidR="00BE0B19" w:rsidRPr="00AE47C6" w:rsidRDefault="00BE0B19" w:rsidP="00BE0B19">
      <w:pPr>
        <w:numPr>
          <w:ilvl w:val="0"/>
          <w:numId w:val="427"/>
        </w:numPr>
        <w:pBdr>
          <w:top w:val="single" w:sz="4" w:space="0" w:color="auto"/>
          <w:left w:val="single" w:sz="4" w:space="0" w:color="auto"/>
          <w:bottom w:val="single" w:sz="4" w:space="0" w:color="auto"/>
          <w:right w:val="single" w:sz="4" w:space="0" w:color="auto"/>
        </w:pBdr>
        <w:spacing w:after="0" w:line="360" w:lineRule="auto"/>
        <w:ind w:firstLine="709"/>
        <w:contextualSpacing/>
        <w:jc w:val="both"/>
        <w:rPr>
          <w:rFonts w:ascii="Times New Roman" w:eastAsia="SimSun" w:hAnsi="Times New Roman"/>
          <w:bCs/>
          <w:iCs/>
        </w:rPr>
      </w:pPr>
      <w:r w:rsidRPr="00AE47C6">
        <w:rPr>
          <w:rFonts w:ascii="Times New Roman" w:eastAsia="SimSun" w:hAnsi="Times New Roman"/>
          <w:bCs/>
          <w:iCs/>
        </w:rPr>
        <w:t xml:space="preserve">Умора </w:t>
      </w:r>
    </w:p>
    <w:p w14:paraId="49BFFBDF" w14:textId="77777777" w:rsidR="00BE0B19" w:rsidRPr="00AE47C6" w:rsidRDefault="00BE0B19" w:rsidP="00BE0B19">
      <w:pPr>
        <w:pBdr>
          <w:top w:val="single" w:sz="4" w:space="0" w:color="auto"/>
          <w:left w:val="single" w:sz="4" w:space="0" w:color="auto"/>
          <w:bottom w:val="single" w:sz="4" w:space="0" w:color="auto"/>
          <w:right w:val="single" w:sz="4" w:space="0" w:color="auto"/>
        </w:pBdr>
        <w:spacing w:after="0" w:line="360" w:lineRule="auto"/>
        <w:ind w:left="567" w:firstLine="709"/>
        <w:jc w:val="both"/>
        <w:rPr>
          <w:rFonts w:ascii="Times New Roman" w:eastAsia="SimSun" w:hAnsi="Times New Roman"/>
          <w:bCs/>
          <w:iCs/>
        </w:rPr>
      </w:pPr>
      <w:r w:rsidRPr="00AE47C6">
        <w:rPr>
          <w:rFonts w:ascii="Times New Roman" w:eastAsia="SimSun" w:hAnsi="Times New Roman"/>
          <w:bCs/>
          <w:iCs/>
        </w:rPr>
        <w:t>Чувствате ли се изморен или сънлив през деня?</w:t>
      </w:r>
    </w:p>
    <w:p w14:paraId="652E7978" w14:textId="77777777" w:rsidR="00BE0B19" w:rsidRPr="00AE47C6" w:rsidRDefault="00BE0B19" w:rsidP="00BE0B19">
      <w:pPr>
        <w:pBdr>
          <w:top w:val="single" w:sz="4" w:space="0" w:color="auto"/>
          <w:left w:val="single" w:sz="4" w:space="0" w:color="auto"/>
          <w:bottom w:val="single" w:sz="4" w:space="0" w:color="auto"/>
          <w:right w:val="single" w:sz="4" w:space="0" w:color="auto"/>
        </w:pBdr>
        <w:spacing w:after="0" w:line="360" w:lineRule="auto"/>
        <w:ind w:left="567" w:firstLine="709"/>
        <w:jc w:val="both"/>
        <w:rPr>
          <w:rFonts w:ascii="Times New Roman" w:eastAsia="SimSun" w:hAnsi="Times New Roman"/>
          <w:bCs/>
          <w:iCs/>
        </w:rPr>
      </w:pPr>
      <w:r w:rsidRPr="00AE47C6">
        <w:rPr>
          <w:rFonts w:ascii="Times New Roman" w:eastAsia="SimSun" w:hAnsi="Times New Roman"/>
          <w:bCs/>
          <w:iCs/>
        </w:rPr>
        <w:t>Да      Не</w:t>
      </w:r>
    </w:p>
    <w:p w14:paraId="42F6DA2B" w14:textId="77777777" w:rsidR="00BE0B19" w:rsidRPr="00AE47C6" w:rsidRDefault="00BE0B19" w:rsidP="00BE0B19">
      <w:pPr>
        <w:numPr>
          <w:ilvl w:val="0"/>
          <w:numId w:val="427"/>
        </w:numPr>
        <w:pBdr>
          <w:top w:val="single" w:sz="4" w:space="0" w:color="auto"/>
          <w:left w:val="single" w:sz="4" w:space="0" w:color="auto"/>
          <w:bottom w:val="single" w:sz="4" w:space="0" w:color="auto"/>
          <w:right w:val="single" w:sz="4" w:space="0" w:color="auto"/>
        </w:pBdr>
        <w:spacing w:after="0" w:line="360" w:lineRule="auto"/>
        <w:ind w:firstLine="709"/>
        <w:contextualSpacing/>
        <w:jc w:val="both"/>
        <w:rPr>
          <w:rFonts w:ascii="Times New Roman" w:eastAsia="SimSun" w:hAnsi="Times New Roman"/>
          <w:bCs/>
          <w:iCs/>
        </w:rPr>
      </w:pPr>
      <w:r w:rsidRPr="00AE47C6">
        <w:rPr>
          <w:rFonts w:ascii="Times New Roman" w:eastAsia="SimSun" w:hAnsi="Times New Roman"/>
          <w:bCs/>
          <w:iCs/>
        </w:rPr>
        <w:t>Наблюдения</w:t>
      </w:r>
    </w:p>
    <w:p w14:paraId="131C7AD7" w14:textId="77777777" w:rsidR="00BE0B19" w:rsidRPr="00AE47C6" w:rsidRDefault="00BE0B19" w:rsidP="00BE0B19">
      <w:pPr>
        <w:pBdr>
          <w:top w:val="single" w:sz="4" w:space="0" w:color="auto"/>
          <w:left w:val="single" w:sz="4" w:space="0" w:color="auto"/>
          <w:bottom w:val="single" w:sz="4" w:space="0" w:color="auto"/>
          <w:right w:val="single" w:sz="4" w:space="0" w:color="auto"/>
        </w:pBdr>
        <w:spacing w:after="0" w:line="360" w:lineRule="auto"/>
        <w:ind w:left="567" w:firstLine="709"/>
        <w:jc w:val="both"/>
        <w:rPr>
          <w:rFonts w:ascii="Times New Roman" w:eastAsia="SimSun" w:hAnsi="Times New Roman"/>
          <w:bCs/>
          <w:iCs/>
        </w:rPr>
      </w:pPr>
      <w:r w:rsidRPr="00AE47C6">
        <w:rPr>
          <w:rFonts w:ascii="Times New Roman" w:eastAsia="SimSun" w:hAnsi="Times New Roman"/>
          <w:bCs/>
          <w:iCs/>
        </w:rPr>
        <w:t>Наблюдавал ли е някой да правите дихателни паузи по време на сън?</w:t>
      </w:r>
    </w:p>
    <w:p w14:paraId="46A14E11" w14:textId="77777777" w:rsidR="00BE0B19" w:rsidRPr="00AE47C6" w:rsidRDefault="00BE0B19" w:rsidP="00BE0B19">
      <w:pPr>
        <w:pBdr>
          <w:top w:val="single" w:sz="4" w:space="0" w:color="auto"/>
          <w:left w:val="single" w:sz="4" w:space="0" w:color="auto"/>
          <w:bottom w:val="single" w:sz="4" w:space="0" w:color="auto"/>
          <w:right w:val="single" w:sz="4" w:space="0" w:color="auto"/>
        </w:pBdr>
        <w:spacing w:after="0" w:line="360" w:lineRule="auto"/>
        <w:ind w:left="567" w:firstLine="709"/>
        <w:jc w:val="both"/>
        <w:rPr>
          <w:rFonts w:ascii="Times New Roman" w:eastAsia="SimSun" w:hAnsi="Times New Roman"/>
          <w:bCs/>
          <w:iCs/>
        </w:rPr>
      </w:pPr>
      <w:r w:rsidRPr="00AE47C6">
        <w:rPr>
          <w:rFonts w:ascii="Times New Roman" w:eastAsia="SimSun" w:hAnsi="Times New Roman"/>
          <w:bCs/>
          <w:iCs/>
        </w:rPr>
        <w:t>Да      Не</w:t>
      </w:r>
    </w:p>
    <w:p w14:paraId="353CB25A" w14:textId="77777777" w:rsidR="00BE0B19" w:rsidRPr="00AE47C6" w:rsidRDefault="00BE0B19" w:rsidP="00BE0B19">
      <w:pPr>
        <w:numPr>
          <w:ilvl w:val="0"/>
          <w:numId w:val="427"/>
        </w:numPr>
        <w:pBdr>
          <w:top w:val="single" w:sz="4" w:space="0" w:color="auto"/>
          <w:left w:val="single" w:sz="4" w:space="0" w:color="auto"/>
          <w:bottom w:val="single" w:sz="4" w:space="0" w:color="auto"/>
          <w:right w:val="single" w:sz="4" w:space="0" w:color="auto"/>
        </w:pBdr>
        <w:spacing w:after="0" w:line="360" w:lineRule="auto"/>
        <w:ind w:firstLine="709"/>
        <w:contextualSpacing/>
        <w:jc w:val="both"/>
        <w:rPr>
          <w:rFonts w:ascii="Times New Roman" w:eastAsia="SimSun" w:hAnsi="Times New Roman"/>
          <w:bCs/>
          <w:iCs/>
        </w:rPr>
      </w:pPr>
      <w:r w:rsidRPr="00AE47C6">
        <w:rPr>
          <w:rFonts w:ascii="Times New Roman" w:eastAsia="SimSun" w:hAnsi="Times New Roman"/>
          <w:bCs/>
          <w:iCs/>
        </w:rPr>
        <w:t>Страдате ли или лекувате ли се от високо кръвно налягане?</w:t>
      </w:r>
    </w:p>
    <w:p w14:paraId="7492E7CE" w14:textId="77777777" w:rsidR="00BE0B19" w:rsidRPr="00AE47C6" w:rsidRDefault="00BE0B19" w:rsidP="00BE0B19">
      <w:pPr>
        <w:pBdr>
          <w:top w:val="single" w:sz="4" w:space="0" w:color="auto"/>
          <w:left w:val="single" w:sz="4" w:space="0" w:color="auto"/>
          <w:bottom w:val="single" w:sz="4" w:space="0" w:color="auto"/>
          <w:right w:val="single" w:sz="4" w:space="0" w:color="auto"/>
        </w:pBdr>
        <w:spacing w:after="0" w:line="360" w:lineRule="auto"/>
        <w:ind w:left="567" w:firstLine="709"/>
        <w:jc w:val="both"/>
        <w:rPr>
          <w:rFonts w:ascii="Times New Roman" w:eastAsia="SimSun" w:hAnsi="Times New Roman"/>
          <w:bCs/>
          <w:iCs/>
        </w:rPr>
      </w:pPr>
      <w:r w:rsidRPr="00AE47C6">
        <w:rPr>
          <w:rFonts w:ascii="Times New Roman" w:eastAsia="SimSun" w:hAnsi="Times New Roman"/>
          <w:bCs/>
          <w:iCs/>
        </w:rPr>
        <w:t>Да     Не</w:t>
      </w:r>
    </w:p>
    <w:p w14:paraId="42D3C41E" w14:textId="77777777" w:rsidR="00BE0B19" w:rsidRPr="00AE47C6" w:rsidRDefault="00BE0B19" w:rsidP="00BE0B19">
      <w:pPr>
        <w:numPr>
          <w:ilvl w:val="0"/>
          <w:numId w:val="427"/>
        </w:numPr>
        <w:pBdr>
          <w:top w:val="single" w:sz="4" w:space="0" w:color="auto"/>
          <w:left w:val="single" w:sz="4" w:space="0" w:color="auto"/>
          <w:bottom w:val="single" w:sz="4" w:space="0" w:color="auto"/>
          <w:right w:val="single" w:sz="4" w:space="0" w:color="auto"/>
        </w:pBdr>
        <w:spacing w:after="0" w:line="360" w:lineRule="auto"/>
        <w:ind w:firstLine="709"/>
        <w:contextualSpacing/>
        <w:jc w:val="both"/>
        <w:rPr>
          <w:rFonts w:ascii="Times New Roman" w:eastAsia="SimSun" w:hAnsi="Times New Roman"/>
          <w:bCs/>
          <w:iCs/>
        </w:rPr>
      </w:pPr>
      <w:r w:rsidRPr="00AE47C6">
        <w:rPr>
          <w:rFonts w:ascii="Times New Roman" w:eastAsia="SimSun" w:hAnsi="Times New Roman"/>
          <w:bCs/>
          <w:iCs/>
        </w:rPr>
        <w:t>BMI</w:t>
      </w:r>
    </w:p>
    <w:p w14:paraId="51179D85" w14:textId="77777777" w:rsidR="00BE0B19" w:rsidRPr="00AE47C6" w:rsidRDefault="00BE0B19" w:rsidP="00BE0B19">
      <w:pPr>
        <w:pBdr>
          <w:top w:val="single" w:sz="4" w:space="0" w:color="auto"/>
          <w:left w:val="single" w:sz="4" w:space="0" w:color="auto"/>
          <w:bottom w:val="single" w:sz="4" w:space="0" w:color="auto"/>
          <w:right w:val="single" w:sz="4" w:space="0" w:color="auto"/>
        </w:pBdr>
        <w:spacing w:after="0" w:line="360" w:lineRule="auto"/>
        <w:ind w:left="567" w:firstLine="709"/>
        <w:jc w:val="both"/>
        <w:rPr>
          <w:rFonts w:ascii="Times New Roman" w:eastAsia="SimSun" w:hAnsi="Times New Roman"/>
          <w:bCs/>
          <w:iCs/>
        </w:rPr>
      </w:pPr>
      <w:r w:rsidRPr="00AE47C6">
        <w:rPr>
          <w:rFonts w:ascii="Times New Roman" w:eastAsia="SimSun" w:hAnsi="Times New Roman"/>
          <w:bCs/>
          <w:iCs/>
        </w:rPr>
        <w:t>Вашият BMI по-висок ли е от 35 кг/м</w:t>
      </w:r>
      <w:r w:rsidRPr="00AE47C6">
        <w:rPr>
          <w:rFonts w:ascii="Times New Roman" w:eastAsia="SimSun" w:hAnsi="Times New Roman"/>
          <w:bCs/>
          <w:iCs/>
          <w:vertAlign w:val="superscript"/>
        </w:rPr>
        <w:t>2</w:t>
      </w:r>
      <w:r w:rsidRPr="00AE47C6">
        <w:rPr>
          <w:rFonts w:ascii="Times New Roman" w:eastAsia="SimSun" w:hAnsi="Times New Roman"/>
          <w:bCs/>
          <w:iCs/>
        </w:rPr>
        <w:t>?</w:t>
      </w:r>
    </w:p>
    <w:p w14:paraId="1202E35E" w14:textId="77777777" w:rsidR="00BE0B19" w:rsidRPr="00AE47C6" w:rsidRDefault="00BE0B19" w:rsidP="00BE0B19">
      <w:pPr>
        <w:pBdr>
          <w:top w:val="single" w:sz="4" w:space="0" w:color="auto"/>
          <w:left w:val="single" w:sz="4" w:space="0" w:color="auto"/>
          <w:bottom w:val="single" w:sz="4" w:space="0" w:color="auto"/>
          <w:right w:val="single" w:sz="4" w:space="0" w:color="auto"/>
        </w:pBdr>
        <w:spacing w:after="0" w:line="360" w:lineRule="auto"/>
        <w:ind w:left="567" w:firstLine="709"/>
        <w:jc w:val="both"/>
        <w:rPr>
          <w:rFonts w:ascii="Times New Roman" w:eastAsia="SimSun" w:hAnsi="Times New Roman"/>
          <w:bCs/>
          <w:iCs/>
        </w:rPr>
      </w:pPr>
      <w:r w:rsidRPr="00AE47C6">
        <w:rPr>
          <w:rFonts w:ascii="Times New Roman" w:eastAsia="SimSun" w:hAnsi="Times New Roman"/>
          <w:bCs/>
          <w:iCs/>
        </w:rPr>
        <w:t>Да      Не</w:t>
      </w:r>
    </w:p>
    <w:p w14:paraId="13D93DC8" w14:textId="77777777" w:rsidR="00BE0B19" w:rsidRPr="00AE47C6" w:rsidRDefault="00BE0B19" w:rsidP="00BE0B19">
      <w:pPr>
        <w:numPr>
          <w:ilvl w:val="0"/>
          <w:numId w:val="427"/>
        </w:numPr>
        <w:pBdr>
          <w:top w:val="single" w:sz="4" w:space="0" w:color="auto"/>
          <w:left w:val="single" w:sz="4" w:space="18" w:color="auto"/>
          <w:bottom w:val="single" w:sz="4" w:space="0" w:color="auto"/>
          <w:right w:val="single" w:sz="4" w:space="0" w:color="auto"/>
        </w:pBdr>
        <w:spacing w:after="0" w:line="360" w:lineRule="auto"/>
        <w:ind w:firstLine="709"/>
        <w:contextualSpacing/>
        <w:jc w:val="both"/>
        <w:rPr>
          <w:rFonts w:ascii="Times New Roman" w:eastAsia="SimSun" w:hAnsi="Times New Roman"/>
          <w:bCs/>
          <w:iCs/>
        </w:rPr>
      </w:pPr>
      <w:r w:rsidRPr="00AE47C6">
        <w:rPr>
          <w:rFonts w:ascii="Times New Roman" w:eastAsia="SimSun" w:hAnsi="Times New Roman"/>
          <w:bCs/>
          <w:iCs/>
        </w:rPr>
        <w:t>Възраст</w:t>
      </w:r>
    </w:p>
    <w:p w14:paraId="1023D0B7" w14:textId="77777777" w:rsidR="00BE0B19" w:rsidRPr="00AE47C6" w:rsidRDefault="00BE0B19" w:rsidP="00BE0B19">
      <w:pPr>
        <w:pBdr>
          <w:top w:val="single" w:sz="4" w:space="0" w:color="auto"/>
          <w:left w:val="single" w:sz="4" w:space="0" w:color="auto"/>
          <w:bottom w:val="single" w:sz="4" w:space="0" w:color="auto"/>
          <w:right w:val="single" w:sz="4" w:space="0" w:color="auto"/>
        </w:pBdr>
        <w:spacing w:after="0" w:line="360" w:lineRule="auto"/>
        <w:ind w:left="567" w:firstLine="709"/>
        <w:jc w:val="both"/>
        <w:rPr>
          <w:rFonts w:ascii="Times New Roman" w:eastAsia="SimSun" w:hAnsi="Times New Roman"/>
          <w:bCs/>
          <w:iCs/>
        </w:rPr>
      </w:pPr>
      <w:r w:rsidRPr="00AE47C6">
        <w:rPr>
          <w:rFonts w:ascii="Times New Roman" w:eastAsia="SimSun" w:hAnsi="Times New Roman"/>
          <w:bCs/>
          <w:iCs/>
        </w:rPr>
        <w:t>Вашата възраст над 50 години ли е?</w:t>
      </w:r>
    </w:p>
    <w:p w14:paraId="490AB2A7" w14:textId="77777777" w:rsidR="00BE0B19" w:rsidRPr="00AE47C6" w:rsidRDefault="00BE0B19" w:rsidP="00BE0B19">
      <w:pPr>
        <w:pBdr>
          <w:top w:val="single" w:sz="4" w:space="0" w:color="auto"/>
          <w:left w:val="single" w:sz="4" w:space="0" w:color="auto"/>
          <w:bottom w:val="single" w:sz="4" w:space="0" w:color="auto"/>
          <w:right w:val="single" w:sz="4" w:space="0" w:color="auto"/>
        </w:pBdr>
        <w:spacing w:after="0" w:line="360" w:lineRule="auto"/>
        <w:ind w:left="567" w:firstLine="709"/>
        <w:jc w:val="both"/>
        <w:rPr>
          <w:rFonts w:ascii="Times New Roman" w:eastAsia="SimSun" w:hAnsi="Times New Roman"/>
          <w:bCs/>
          <w:iCs/>
        </w:rPr>
      </w:pPr>
      <w:r w:rsidRPr="00AE47C6">
        <w:rPr>
          <w:rFonts w:ascii="Times New Roman" w:eastAsia="SimSun" w:hAnsi="Times New Roman"/>
          <w:bCs/>
          <w:iCs/>
        </w:rPr>
        <w:t>Да       Не</w:t>
      </w:r>
    </w:p>
    <w:p w14:paraId="3A749705" w14:textId="77777777" w:rsidR="00BE0B19" w:rsidRPr="00AE47C6" w:rsidRDefault="00BE0B19" w:rsidP="00BE0B19">
      <w:pPr>
        <w:numPr>
          <w:ilvl w:val="0"/>
          <w:numId w:val="427"/>
        </w:numPr>
        <w:pBdr>
          <w:top w:val="single" w:sz="4" w:space="0" w:color="auto"/>
          <w:left w:val="single" w:sz="4" w:space="0" w:color="auto"/>
          <w:bottom w:val="single" w:sz="4" w:space="0" w:color="auto"/>
          <w:right w:val="single" w:sz="4" w:space="0" w:color="auto"/>
        </w:pBdr>
        <w:spacing w:after="0" w:line="360" w:lineRule="auto"/>
        <w:ind w:firstLine="709"/>
        <w:contextualSpacing/>
        <w:jc w:val="both"/>
        <w:rPr>
          <w:rFonts w:ascii="Times New Roman" w:eastAsia="SimSun" w:hAnsi="Times New Roman"/>
          <w:bCs/>
          <w:iCs/>
        </w:rPr>
      </w:pPr>
      <w:r w:rsidRPr="00AE47C6">
        <w:rPr>
          <w:rFonts w:ascii="Times New Roman" w:eastAsia="SimSun" w:hAnsi="Times New Roman"/>
          <w:bCs/>
          <w:iCs/>
        </w:rPr>
        <w:t>Обиколка на врата</w:t>
      </w:r>
    </w:p>
    <w:p w14:paraId="25D2794E" w14:textId="77777777" w:rsidR="00BE0B19" w:rsidRPr="00AE47C6" w:rsidRDefault="00BE0B19" w:rsidP="00BE0B19">
      <w:pPr>
        <w:pBdr>
          <w:top w:val="single" w:sz="4" w:space="0" w:color="auto"/>
          <w:left w:val="single" w:sz="4" w:space="0" w:color="auto"/>
          <w:bottom w:val="single" w:sz="4" w:space="0" w:color="auto"/>
          <w:right w:val="single" w:sz="4" w:space="0" w:color="auto"/>
        </w:pBdr>
        <w:spacing w:after="0" w:line="360" w:lineRule="auto"/>
        <w:ind w:left="567" w:firstLine="709"/>
        <w:jc w:val="both"/>
        <w:rPr>
          <w:rFonts w:ascii="Times New Roman" w:eastAsia="SimSun" w:hAnsi="Times New Roman"/>
          <w:bCs/>
          <w:iCs/>
        </w:rPr>
      </w:pPr>
      <w:r w:rsidRPr="00AE47C6">
        <w:rPr>
          <w:rFonts w:ascii="Times New Roman" w:eastAsia="SimSun" w:hAnsi="Times New Roman"/>
          <w:bCs/>
          <w:iCs/>
        </w:rPr>
        <w:t>Вашата обиколка над 40 см ли е?</w:t>
      </w:r>
    </w:p>
    <w:p w14:paraId="16845AB0" w14:textId="77777777" w:rsidR="00BE0B19" w:rsidRPr="00AE47C6" w:rsidRDefault="00BE0B19" w:rsidP="00BE0B19">
      <w:pPr>
        <w:pBdr>
          <w:top w:val="single" w:sz="4" w:space="0" w:color="auto"/>
          <w:left w:val="single" w:sz="4" w:space="0" w:color="auto"/>
          <w:bottom w:val="single" w:sz="4" w:space="0" w:color="auto"/>
          <w:right w:val="single" w:sz="4" w:space="0" w:color="auto"/>
        </w:pBdr>
        <w:spacing w:after="0" w:line="360" w:lineRule="auto"/>
        <w:ind w:left="567" w:firstLine="709"/>
        <w:jc w:val="both"/>
        <w:rPr>
          <w:rFonts w:ascii="Times New Roman" w:eastAsia="SimSun" w:hAnsi="Times New Roman"/>
          <w:bCs/>
          <w:iCs/>
        </w:rPr>
      </w:pPr>
      <w:r w:rsidRPr="00AE47C6">
        <w:rPr>
          <w:rFonts w:ascii="Times New Roman" w:eastAsia="SimSun" w:hAnsi="Times New Roman"/>
          <w:bCs/>
          <w:iCs/>
        </w:rPr>
        <w:t>Да      Не</w:t>
      </w:r>
    </w:p>
    <w:p w14:paraId="6E97D200" w14:textId="77777777" w:rsidR="00BE0B19" w:rsidRPr="00AE47C6" w:rsidRDefault="00BE0B19" w:rsidP="00BE0B19">
      <w:pPr>
        <w:numPr>
          <w:ilvl w:val="0"/>
          <w:numId w:val="427"/>
        </w:numPr>
        <w:pBdr>
          <w:top w:val="single" w:sz="4" w:space="0" w:color="auto"/>
          <w:left w:val="single" w:sz="4" w:space="0" w:color="auto"/>
          <w:bottom w:val="single" w:sz="4" w:space="0" w:color="auto"/>
          <w:right w:val="single" w:sz="4" w:space="0" w:color="auto"/>
        </w:pBdr>
        <w:spacing w:after="0" w:line="360" w:lineRule="auto"/>
        <w:ind w:firstLine="709"/>
        <w:contextualSpacing/>
        <w:jc w:val="both"/>
        <w:rPr>
          <w:rFonts w:ascii="Times New Roman" w:eastAsia="SimSun" w:hAnsi="Times New Roman"/>
          <w:bCs/>
          <w:iCs/>
        </w:rPr>
      </w:pPr>
      <w:r w:rsidRPr="00AE47C6">
        <w:rPr>
          <w:rFonts w:ascii="Times New Roman" w:eastAsia="SimSun" w:hAnsi="Times New Roman"/>
          <w:bCs/>
          <w:iCs/>
        </w:rPr>
        <w:t>Пол</w:t>
      </w:r>
    </w:p>
    <w:p w14:paraId="51602F74" w14:textId="77777777" w:rsidR="00BE0B19" w:rsidRPr="00AE47C6" w:rsidRDefault="00BE0B19" w:rsidP="00BE0B19">
      <w:pPr>
        <w:pBdr>
          <w:top w:val="single" w:sz="4" w:space="0" w:color="auto"/>
          <w:left w:val="single" w:sz="4" w:space="0" w:color="auto"/>
          <w:bottom w:val="single" w:sz="4" w:space="0" w:color="auto"/>
          <w:right w:val="single" w:sz="4" w:space="0" w:color="auto"/>
        </w:pBdr>
        <w:spacing w:after="0" w:line="360" w:lineRule="auto"/>
        <w:ind w:left="567" w:firstLine="709"/>
        <w:jc w:val="both"/>
        <w:rPr>
          <w:rFonts w:ascii="Times New Roman" w:eastAsia="SimSun" w:hAnsi="Times New Roman"/>
          <w:bCs/>
          <w:iCs/>
        </w:rPr>
      </w:pPr>
      <w:r w:rsidRPr="00AE47C6">
        <w:rPr>
          <w:rFonts w:ascii="Times New Roman" w:eastAsia="SimSun" w:hAnsi="Times New Roman"/>
          <w:bCs/>
          <w:iCs/>
        </w:rPr>
        <w:t>Вашият пол мъжки ли е?</w:t>
      </w:r>
    </w:p>
    <w:p w14:paraId="72094CE1" w14:textId="77777777" w:rsidR="00BE0B19" w:rsidRPr="00AE47C6" w:rsidRDefault="00BE0B19" w:rsidP="00BE0B19">
      <w:pPr>
        <w:pBdr>
          <w:top w:val="single" w:sz="4" w:space="0" w:color="auto"/>
          <w:left w:val="single" w:sz="4" w:space="0" w:color="auto"/>
          <w:bottom w:val="single" w:sz="4" w:space="0" w:color="auto"/>
          <w:right w:val="single" w:sz="4" w:space="0" w:color="auto"/>
        </w:pBdr>
        <w:spacing w:after="0" w:line="360" w:lineRule="auto"/>
        <w:ind w:left="567" w:firstLine="709"/>
        <w:jc w:val="both"/>
        <w:rPr>
          <w:rFonts w:ascii="Times New Roman" w:eastAsia="SimSun" w:hAnsi="Times New Roman"/>
          <w:bCs/>
          <w:iCs/>
        </w:rPr>
      </w:pPr>
      <w:r w:rsidRPr="00AE47C6">
        <w:rPr>
          <w:rFonts w:ascii="Times New Roman" w:eastAsia="SimSun" w:hAnsi="Times New Roman"/>
          <w:bCs/>
          <w:iCs/>
        </w:rPr>
        <w:t xml:space="preserve">Да      Не                                                                                            </w:t>
      </w:r>
    </w:p>
    <w:p w14:paraId="69D74879" w14:textId="77777777" w:rsidR="00BE0B19" w:rsidRPr="00AE47C6" w:rsidRDefault="00BE0B19" w:rsidP="00BE0B19">
      <w:pPr>
        <w:pBdr>
          <w:top w:val="single" w:sz="4" w:space="0" w:color="auto"/>
          <w:left w:val="single" w:sz="4" w:space="0" w:color="auto"/>
          <w:bottom w:val="single" w:sz="4" w:space="0" w:color="auto"/>
          <w:right w:val="single" w:sz="4" w:space="0" w:color="auto"/>
        </w:pBdr>
        <w:spacing w:after="0" w:line="360" w:lineRule="auto"/>
        <w:ind w:left="567" w:firstLine="709"/>
        <w:jc w:val="both"/>
        <w:rPr>
          <w:rFonts w:ascii="Times New Roman" w:eastAsia="SimSun" w:hAnsi="Times New Roman"/>
          <w:bCs/>
          <w:iCs/>
        </w:rPr>
      </w:pPr>
      <w:r w:rsidRPr="00AE47C6">
        <w:rPr>
          <w:rFonts w:ascii="Times New Roman" w:eastAsia="SimSun" w:hAnsi="Times New Roman"/>
          <w:bCs/>
          <w:iCs/>
        </w:rPr>
        <w:t>Обиколката на врата се измерва от персонала.</w:t>
      </w:r>
    </w:p>
    <w:p w14:paraId="0DD06811" w14:textId="77777777" w:rsidR="00BE0B19" w:rsidRPr="00AE47C6" w:rsidRDefault="00BE0B19" w:rsidP="00AF3E56">
      <w:pPr>
        <w:spacing w:after="0" w:line="360" w:lineRule="auto"/>
        <w:jc w:val="both"/>
        <w:rPr>
          <w:rFonts w:ascii="Times New Roman" w:hAnsi="Times New Roman"/>
          <w:b/>
          <w:sz w:val="24"/>
          <w:szCs w:val="24"/>
        </w:rPr>
      </w:pPr>
    </w:p>
    <w:sectPr w:rsidR="00BE0B19" w:rsidRPr="00AE47C6" w:rsidSect="00247511">
      <w:headerReference w:type="even" r:id="rId178"/>
      <w:headerReference w:type="default" r:id="rId179"/>
      <w:pgSz w:w="11900" w:h="16840"/>
      <w:pgMar w:top="1440" w:right="701" w:bottom="1134" w:left="1800" w:header="708"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34DEE3" w14:textId="77777777" w:rsidR="006235CC" w:rsidRDefault="006235CC" w:rsidP="00F4000E">
      <w:pPr>
        <w:spacing w:after="0" w:line="240" w:lineRule="auto"/>
      </w:pPr>
      <w:r>
        <w:separator/>
      </w:r>
    </w:p>
  </w:endnote>
  <w:endnote w:type="continuationSeparator" w:id="0">
    <w:p w14:paraId="5D01B674" w14:textId="77777777" w:rsidR="006235CC" w:rsidRDefault="006235CC" w:rsidP="00F40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TmsCyr">
    <w:altName w:val="Times New Roman"/>
    <w:charset w:val="00"/>
    <w:family w:val="roman"/>
    <w:pitch w:val="variable"/>
    <w:sig w:usb0="00000003" w:usb1="00000000" w:usb2="00000000" w:usb3="00000000" w:csb0="00000001" w:csb1="00000000"/>
  </w:font>
  <w:font w:name="Lucida Grande CY">
    <w:altName w:val="Calibri"/>
    <w:charset w:val="00"/>
    <w:family w:val="swiss"/>
    <w:pitch w:val="variable"/>
    <w:sig w:usb0="E1000AEF" w:usb1="5000A1FF" w:usb2="00000000" w:usb3="00000000" w:csb0="000001BF" w:csb1="00000000"/>
  </w:font>
  <w:font w:name="Agenda">
    <w:altName w:val="Arial"/>
    <w:charset w:val="00"/>
    <w:family w:val="swiss"/>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barCYR">
    <w:altName w:val="Times New Roman"/>
    <w:charset w:val="CC"/>
    <w:family w:val="auto"/>
    <w:pitch w:val="variable"/>
    <w:sig w:usb0="00000201" w:usb1="00000000" w:usb2="00000000" w:usb3="00000000" w:csb0="00000004" w:csb1="00000000"/>
  </w:font>
  <w:font w:name="Minion Pro">
    <w:altName w:val="Times New Roman"/>
    <w:panose1 w:val="00000000000000000000"/>
    <w:charset w:val="00"/>
    <w:family w:val="roman"/>
    <w:notTrueType/>
    <w:pitch w:val="variable"/>
    <w:sig w:usb0="60000287" w:usb1="00000001" w:usb2="00000000" w:usb3="00000000" w:csb0="0000019F" w:csb1="00000000"/>
  </w:font>
  <w:font w:name="Hebar">
    <w:altName w:val="Calibri"/>
    <w:panose1 w:val="00000000000000000000"/>
    <w:charset w:val="00"/>
    <w:family w:val="auto"/>
    <w:notTrueType/>
    <w:pitch w:val="variable"/>
    <w:sig w:usb0="00000003" w:usb1="00000000" w:usb2="00000000" w:usb3="00000000" w:csb0="00000001" w:csb1="00000000"/>
  </w:font>
  <w:font w:name="Times LT Std">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T15Ct00">
    <w:altName w:val="MS Mincho"/>
    <w:panose1 w:val="00000000000000000000"/>
    <w:charset w:val="80"/>
    <w:family w:val="auto"/>
    <w:notTrueType/>
    <w:pitch w:val="default"/>
    <w:sig w:usb0="00000000" w:usb1="08070000" w:usb2="00000010" w:usb3="00000000" w:csb0="00020000" w:csb1="00000000"/>
  </w:font>
  <w:font w:name="Lato-Regular">
    <w:altName w:val="MS Mincho"/>
    <w:panose1 w:val="00000000000000000000"/>
    <w:charset w:val="80"/>
    <w:family w:val="auto"/>
    <w:notTrueType/>
    <w:pitch w:val="default"/>
    <w:sig w:usb0="00000000" w:usb1="08070000" w:usb2="00000010" w:usb3="00000000" w:csb0="00020000" w:csb1="00000000"/>
  </w:font>
  <w:font w:name="ScalaLancetPro">
    <w:altName w:val="MS Mincho"/>
    <w:panose1 w:val="00000000000000000000"/>
    <w:charset w:val="80"/>
    <w:family w:val="auto"/>
    <w:notTrueType/>
    <w:pitch w:val="default"/>
    <w:sig w:usb0="00000001" w:usb1="08070000" w:usb2="00000010" w:usb3="00000000" w:csb0="00020000" w:csb1="00000000"/>
  </w:font>
  <w:font w:name="+mn-ea">
    <w:altName w:val="Times New Roman"/>
    <w:panose1 w:val="00000000000000000000"/>
    <w:charset w:val="00"/>
    <w:family w:val="roman"/>
    <w:notTrueType/>
    <w:pitch w:val="default"/>
  </w:font>
  <w:font w:name="CharisSIL">
    <w:altName w:val="MS Gothic"/>
    <w:panose1 w:val="00000000000000000000"/>
    <w:charset w:val="80"/>
    <w:family w:val="swiss"/>
    <w:notTrueType/>
    <w:pitch w:val="default"/>
    <w:sig w:usb0="00000001" w:usb1="08070000" w:usb2="00000010" w:usb3="00000000" w:csb0="00020000" w:csb1="00000000"/>
  </w:font>
  <w:font w:name="Shaker2Lancet-Regular">
    <w:altName w:val="Arial Unicode MS"/>
    <w:panose1 w:val="00000000000000000000"/>
    <w:charset w:val="80"/>
    <w:family w:val="swiss"/>
    <w:notTrueType/>
    <w:pitch w:val="default"/>
    <w:sig w:usb0="00000001" w:usb1="08070000" w:usb2="00000010" w:usb3="00000000" w:csb0="00020000" w:csb1="00000000"/>
  </w:font>
  <w:font w:name="Times-Roman">
    <w:altName w:val="Times New Roman"/>
    <w:panose1 w:val="00000000000000000000"/>
    <w:charset w:val="80"/>
    <w:family w:val="auto"/>
    <w:notTrueType/>
    <w:pitch w:val="default"/>
    <w:sig w:usb0="00000000" w:usb1="08070000" w:usb2="00000010" w:usb3="00000000" w:csb0="00020000" w:csb1="00000000"/>
  </w:font>
  <w:font w:name="TimesNewRomanPSMT">
    <w:panose1 w:val="00000000000000000000"/>
    <w:charset w:val="CC"/>
    <w:family w:val="auto"/>
    <w:notTrueType/>
    <w:pitch w:val="default"/>
    <w:sig w:usb0="00000201" w:usb1="00000000" w:usb2="00000000" w:usb3="00000000" w:csb0="00000004" w:csb1="00000000"/>
  </w:font>
  <w:font w:name="MS PGothic">
    <w:panose1 w:val="020B0600070205080204"/>
    <w:charset w:val="80"/>
    <w:family w:val="swiss"/>
    <w:pitch w:val="variable"/>
    <w:sig w:usb0="E00002FF" w:usb1="6AC7FDFB" w:usb2="08000012" w:usb3="00000000" w:csb0="0002009F" w:csb1="00000000"/>
  </w:font>
  <w:font w:name="Garamond">
    <w:panose1 w:val="020204040303010108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Cyr">
    <w:altName w:val="Calibri"/>
    <w:charset w:val="CC"/>
    <w:family w:val="roman"/>
    <w:pitch w:val="default"/>
    <w:sig w:usb0="00000000"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040B2" w14:textId="77777777" w:rsidR="00471742" w:rsidRDefault="00471742">
    <w:pPr>
      <w:pStyle w:val="Footer"/>
      <w:jc w:val="right"/>
    </w:pPr>
  </w:p>
  <w:p w14:paraId="09CE9DAC" w14:textId="77777777" w:rsidR="00471742" w:rsidRDefault="004717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00A8BB" w14:textId="77777777" w:rsidR="006235CC" w:rsidRDefault="006235CC" w:rsidP="00F4000E">
      <w:pPr>
        <w:spacing w:after="0" w:line="240" w:lineRule="auto"/>
      </w:pPr>
      <w:r>
        <w:separator/>
      </w:r>
    </w:p>
  </w:footnote>
  <w:footnote w:type="continuationSeparator" w:id="0">
    <w:p w14:paraId="4342F251" w14:textId="77777777" w:rsidR="006235CC" w:rsidRDefault="006235CC" w:rsidP="00F400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569F3" w14:textId="77777777" w:rsidR="00471742" w:rsidRDefault="00471742" w:rsidP="00AD72E5"/>
  <w:p w14:paraId="132E7D93" w14:textId="77777777" w:rsidR="00471742" w:rsidRDefault="00471742">
    <w:pPr>
      <w:pStyle w:val="Header"/>
    </w:pPr>
  </w:p>
  <w:p w14:paraId="79943243" w14:textId="77777777" w:rsidR="00471742" w:rsidRDefault="004717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336C0" w14:textId="77777777" w:rsidR="00471742" w:rsidRDefault="004717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B38F5" w14:textId="21DB4C22" w:rsidR="00471742" w:rsidRDefault="00471742" w:rsidP="00F4000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814C759" w14:textId="77777777" w:rsidR="00471742" w:rsidRDefault="00471742" w:rsidP="00F4000E">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40923" w14:textId="77777777" w:rsidR="00471742" w:rsidRPr="00A420DD" w:rsidRDefault="00471742" w:rsidP="00F4000E">
    <w:pPr>
      <w:pStyle w:val="Header"/>
      <w:ind w:right="360"/>
      <w:rPr>
        <w:lang w:val="bg-BG"/>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8095FB7"/>
    <w:multiLevelType w:val="singleLevel"/>
    <w:tmpl w:val="A8095FB7"/>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FFFFFF82"/>
    <w:multiLevelType w:val="singleLevel"/>
    <w:tmpl w:val="5E229940"/>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FE"/>
    <w:multiLevelType w:val="singleLevel"/>
    <w:tmpl w:val="858241D6"/>
    <w:lvl w:ilvl="0">
      <w:numFmt w:val="bullet"/>
      <w:lvlText w:val="*"/>
      <w:lvlJc w:val="left"/>
    </w:lvl>
  </w:abstractNum>
  <w:abstractNum w:abstractNumId="3" w15:restartNumberingAfterBreak="0">
    <w:nsid w:val="00000002"/>
    <w:multiLevelType w:val="singleLevel"/>
    <w:tmpl w:val="00000002"/>
    <w:lvl w:ilvl="0">
      <w:start w:val="1"/>
      <w:numFmt w:val="bullet"/>
      <w:lvlText w:val=""/>
      <w:lvlJc w:val="left"/>
      <w:pPr>
        <w:tabs>
          <w:tab w:val="num" w:pos="360"/>
        </w:tabs>
        <w:ind w:left="360" w:hanging="360"/>
      </w:pPr>
      <w:rPr>
        <w:rFonts w:ascii="Symbol" w:hAnsi="Symbol"/>
      </w:rPr>
    </w:lvl>
  </w:abstractNum>
  <w:abstractNum w:abstractNumId="4" w15:restartNumberingAfterBreak="0">
    <w:nsid w:val="00000003"/>
    <w:multiLevelType w:val="singleLevel"/>
    <w:tmpl w:val="00000003"/>
    <w:name w:val="WW8Num2"/>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5"/>
    <w:multiLevelType w:val="singleLevel"/>
    <w:tmpl w:val="00000005"/>
    <w:lvl w:ilvl="0">
      <w:start w:val="1"/>
      <w:numFmt w:val="bullet"/>
      <w:lvlText w:val=""/>
      <w:lvlJc w:val="left"/>
      <w:pPr>
        <w:tabs>
          <w:tab w:val="num" w:pos="360"/>
        </w:tabs>
        <w:ind w:left="360" w:hanging="360"/>
      </w:pPr>
      <w:rPr>
        <w:rFonts w:ascii="Symbol" w:hAnsi="Symbol"/>
      </w:rPr>
    </w:lvl>
  </w:abstractNum>
  <w:abstractNum w:abstractNumId="6" w15:restartNumberingAfterBreak="0">
    <w:nsid w:val="00000006"/>
    <w:multiLevelType w:val="singleLevel"/>
    <w:tmpl w:val="00000006"/>
    <w:name w:val="WW8Num1"/>
    <w:lvl w:ilvl="0">
      <w:start w:val="1"/>
      <w:numFmt w:val="bullet"/>
      <w:lvlText w:val=""/>
      <w:lvlJc w:val="left"/>
      <w:pPr>
        <w:tabs>
          <w:tab w:val="num" w:pos="502"/>
        </w:tabs>
        <w:ind w:left="502" w:hanging="360"/>
      </w:pPr>
      <w:rPr>
        <w:rFonts w:ascii="Symbol" w:hAnsi="Symbol"/>
      </w:rPr>
    </w:lvl>
  </w:abstractNum>
  <w:abstractNum w:abstractNumId="7" w15:restartNumberingAfterBreak="0">
    <w:nsid w:val="00000007"/>
    <w:multiLevelType w:val="singleLevel"/>
    <w:tmpl w:val="00000007"/>
    <w:lvl w:ilvl="0">
      <w:start w:val="1"/>
      <w:numFmt w:val="bullet"/>
      <w:lvlText w:val=""/>
      <w:lvlJc w:val="left"/>
      <w:pPr>
        <w:tabs>
          <w:tab w:val="num" w:pos="1365"/>
        </w:tabs>
        <w:ind w:left="1365" w:hanging="360"/>
      </w:pPr>
      <w:rPr>
        <w:rFonts w:ascii="Symbol" w:hAnsi="Symbol"/>
      </w:rPr>
    </w:lvl>
  </w:abstractNum>
  <w:abstractNum w:abstractNumId="8" w15:restartNumberingAfterBreak="0">
    <w:nsid w:val="00000008"/>
    <w:multiLevelType w:val="singleLevel"/>
    <w:tmpl w:val="00000008"/>
    <w:name w:val="WW8Num5"/>
    <w:lvl w:ilvl="0">
      <w:start w:val="1"/>
      <w:numFmt w:val="bullet"/>
      <w:lvlText w:val=""/>
      <w:lvlJc w:val="left"/>
      <w:pPr>
        <w:tabs>
          <w:tab w:val="num" w:pos="1429"/>
        </w:tabs>
        <w:ind w:left="1429" w:hanging="360"/>
      </w:pPr>
      <w:rPr>
        <w:rFonts w:ascii="Symbol" w:hAnsi="Symbol"/>
      </w:rPr>
    </w:lvl>
  </w:abstractNum>
  <w:abstractNum w:abstractNumId="9" w15:restartNumberingAfterBreak="0">
    <w:nsid w:val="00000009"/>
    <w:multiLevelType w:val="singleLevel"/>
    <w:tmpl w:val="00000009"/>
    <w:name w:val="WW8Num3"/>
    <w:lvl w:ilvl="0">
      <w:start w:val="1"/>
      <w:numFmt w:val="bullet"/>
      <w:lvlText w:val=""/>
      <w:lvlJc w:val="left"/>
      <w:pPr>
        <w:tabs>
          <w:tab w:val="num" w:pos="1211"/>
        </w:tabs>
        <w:ind w:left="1211" w:hanging="360"/>
      </w:pPr>
      <w:rPr>
        <w:rFonts w:ascii="Symbol" w:hAnsi="Symbol"/>
      </w:rPr>
    </w:lvl>
  </w:abstractNum>
  <w:abstractNum w:abstractNumId="10" w15:restartNumberingAfterBreak="0">
    <w:nsid w:val="0000000A"/>
    <w:multiLevelType w:val="singleLevel"/>
    <w:tmpl w:val="0000000A"/>
    <w:name w:val="WW8Num7"/>
    <w:lvl w:ilvl="0">
      <w:start w:val="1"/>
      <w:numFmt w:val="bullet"/>
      <w:lvlText w:val=""/>
      <w:lvlJc w:val="left"/>
      <w:pPr>
        <w:tabs>
          <w:tab w:val="num" w:pos="1429"/>
        </w:tabs>
        <w:ind w:left="1429" w:hanging="360"/>
      </w:pPr>
      <w:rPr>
        <w:rFonts w:ascii="Symbol" w:hAnsi="Symbol"/>
      </w:rPr>
    </w:lvl>
  </w:abstractNum>
  <w:abstractNum w:abstractNumId="11" w15:restartNumberingAfterBreak="0">
    <w:nsid w:val="0000000B"/>
    <w:multiLevelType w:val="singleLevel"/>
    <w:tmpl w:val="0000000B"/>
    <w:lvl w:ilvl="0">
      <w:start w:val="1"/>
      <w:numFmt w:val="bullet"/>
      <w:lvlText w:val=""/>
      <w:lvlJc w:val="left"/>
      <w:pPr>
        <w:tabs>
          <w:tab w:val="num" w:pos="1429"/>
        </w:tabs>
        <w:ind w:left="1429" w:hanging="360"/>
      </w:pPr>
      <w:rPr>
        <w:rFonts w:ascii="Symbol" w:hAnsi="Symbol"/>
      </w:rPr>
    </w:lvl>
  </w:abstractNum>
  <w:abstractNum w:abstractNumId="12" w15:restartNumberingAfterBreak="0">
    <w:nsid w:val="0000000C"/>
    <w:multiLevelType w:val="singleLevel"/>
    <w:tmpl w:val="0000000C"/>
    <w:name w:val="WW8Num9"/>
    <w:lvl w:ilvl="0">
      <w:start w:val="1"/>
      <w:numFmt w:val="bullet"/>
      <w:lvlText w:val=""/>
      <w:lvlJc w:val="left"/>
      <w:pPr>
        <w:tabs>
          <w:tab w:val="num" w:pos="1429"/>
        </w:tabs>
        <w:ind w:left="1429" w:hanging="360"/>
      </w:pPr>
      <w:rPr>
        <w:rFonts w:ascii="Symbol" w:hAnsi="Symbol"/>
      </w:rPr>
    </w:lvl>
  </w:abstractNum>
  <w:abstractNum w:abstractNumId="13" w15:restartNumberingAfterBreak="0">
    <w:nsid w:val="0000000D"/>
    <w:multiLevelType w:val="singleLevel"/>
    <w:tmpl w:val="0000000D"/>
    <w:name w:val="WW8Num10"/>
    <w:lvl w:ilvl="0">
      <w:start w:val="1"/>
      <w:numFmt w:val="bullet"/>
      <w:lvlText w:val=""/>
      <w:lvlJc w:val="left"/>
      <w:pPr>
        <w:tabs>
          <w:tab w:val="num" w:pos="360"/>
        </w:tabs>
        <w:ind w:left="360" w:hanging="360"/>
      </w:pPr>
      <w:rPr>
        <w:rFonts w:ascii="Symbol" w:hAnsi="Symbol"/>
      </w:rPr>
    </w:lvl>
  </w:abstractNum>
  <w:abstractNum w:abstractNumId="14" w15:restartNumberingAfterBreak="0">
    <w:nsid w:val="0000000E"/>
    <w:multiLevelType w:val="singleLevel"/>
    <w:tmpl w:val="0000000E"/>
    <w:name w:val="WW8Num11"/>
    <w:lvl w:ilvl="0">
      <w:start w:val="1"/>
      <w:numFmt w:val="bullet"/>
      <w:lvlText w:val=""/>
      <w:lvlJc w:val="left"/>
      <w:pPr>
        <w:tabs>
          <w:tab w:val="num" w:pos="360"/>
        </w:tabs>
        <w:ind w:left="360" w:hanging="360"/>
      </w:pPr>
      <w:rPr>
        <w:rFonts w:ascii="Symbol" w:hAnsi="Symbol"/>
      </w:rPr>
    </w:lvl>
  </w:abstractNum>
  <w:abstractNum w:abstractNumId="15" w15:restartNumberingAfterBreak="0">
    <w:nsid w:val="0000000F"/>
    <w:multiLevelType w:val="singleLevel"/>
    <w:tmpl w:val="0000000F"/>
    <w:name w:val="WW8Num12"/>
    <w:lvl w:ilvl="0">
      <w:start w:val="1"/>
      <w:numFmt w:val="bullet"/>
      <w:lvlText w:val=""/>
      <w:lvlJc w:val="left"/>
      <w:pPr>
        <w:tabs>
          <w:tab w:val="num" w:pos="360"/>
        </w:tabs>
        <w:ind w:left="360" w:hanging="360"/>
      </w:pPr>
      <w:rPr>
        <w:rFonts w:ascii="Symbol" w:hAnsi="Symbol"/>
      </w:rPr>
    </w:lvl>
  </w:abstractNum>
  <w:abstractNum w:abstractNumId="16" w15:restartNumberingAfterBreak="0">
    <w:nsid w:val="00000010"/>
    <w:multiLevelType w:val="singleLevel"/>
    <w:tmpl w:val="00000010"/>
    <w:name w:val="WW8Num13"/>
    <w:lvl w:ilvl="0">
      <w:start w:val="1"/>
      <w:numFmt w:val="bullet"/>
      <w:lvlText w:val=""/>
      <w:lvlJc w:val="left"/>
      <w:pPr>
        <w:tabs>
          <w:tab w:val="num" w:pos="360"/>
        </w:tabs>
        <w:ind w:left="360" w:hanging="360"/>
      </w:pPr>
      <w:rPr>
        <w:rFonts w:ascii="Symbol" w:hAnsi="Symbol"/>
      </w:rPr>
    </w:lvl>
  </w:abstractNum>
  <w:abstractNum w:abstractNumId="17" w15:restartNumberingAfterBreak="0">
    <w:nsid w:val="00000011"/>
    <w:multiLevelType w:val="singleLevel"/>
    <w:tmpl w:val="00000011"/>
    <w:name w:val="WW8Num14"/>
    <w:lvl w:ilvl="0">
      <w:numFmt w:val="bullet"/>
      <w:lvlText w:val="-"/>
      <w:lvlJc w:val="left"/>
      <w:pPr>
        <w:tabs>
          <w:tab w:val="num" w:pos="360"/>
        </w:tabs>
        <w:ind w:left="360" w:hanging="360"/>
      </w:pPr>
      <w:rPr>
        <w:rFonts w:ascii="Times New Roman" w:hAnsi="Times New Roman"/>
        <w:i/>
      </w:rPr>
    </w:lvl>
  </w:abstractNum>
  <w:abstractNum w:abstractNumId="18" w15:restartNumberingAfterBreak="0">
    <w:nsid w:val="00000012"/>
    <w:multiLevelType w:val="singleLevel"/>
    <w:tmpl w:val="00000012"/>
    <w:name w:val="WW8Num15"/>
    <w:lvl w:ilvl="0">
      <w:start w:val="1"/>
      <w:numFmt w:val="bullet"/>
      <w:lvlText w:val=""/>
      <w:lvlJc w:val="left"/>
      <w:pPr>
        <w:tabs>
          <w:tab w:val="num" w:pos="360"/>
        </w:tabs>
        <w:ind w:left="360" w:hanging="360"/>
      </w:pPr>
      <w:rPr>
        <w:rFonts w:ascii="Symbol" w:hAnsi="Symbol"/>
      </w:rPr>
    </w:lvl>
  </w:abstractNum>
  <w:abstractNum w:abstractNumId="19" w15:restartNumberingAfterBreak="0">
    <w:nsid w:val="00000013"/>
    <w:multiLevelType w:val="singleLevel"/>
    <w:tmpl w:val="00000013"/>
    <w:name w:val="WW8Num16"/>
    <w:lvl w:ilvl="0">
      <w:start w:val="1"/>
      <w:numFmt w:val="bullet"/>
      <w:lvlText w:val=""/>
      <w:lvlJc w:val="left"/>
      <w:pPr>
        <w:tabs>
          <w:tab w:val="num" w:pos="360"/>
        </w:tabs>
        <w:ind w:left="360" w:hanging="360"/>
      </w:pPr>
      <w:rPr>
        <w:rFonts w:ascii="Symbol" w:hAnsi="Symbol"/>
      </w:rPr>
    </w:lvl>
  </w:abstractNum>
  <w:abstractNum w:abstractNumId="20" w15:restartNumberingAfterBreak="0">
    <w:nsid w:val="00000014"/>
    <w:multiLevelType w:val="singleLevel"/>
    <w:tmpl w:val="00000014"/>
    <w:name w:val="WW8Num17"/>
    <w:lvl w:ilvl="0">
      <w:start w:val="1"/>
      <w:numFmt w:val="bullet"/>
      <w:lvlText w:val=""/>
      <w:lvlJc w:val="left"/>
      <w:pPr>
        <w:tabs>
          <w:tab w:val="num" w:pos="360"/>
        </w:tabs>
        <w:ind w:left="360" w:hanging="360"/>
      </w:pPr>
      <w:rPr>
        <w:rFonts w:ascii="Symbol" w:hAnsi="Symbol"/>
      </w:rPr>
    </w:lvl>
  </w:abstractNum>
  <w:abstractNum w:abstractNumId="21" w15:restartNumberingAfterBreak="0">
    <w:nsid w:val="00000015"/>
    <w:multiLevelType w:val="singleLevel"/>
    <w:tmpl w:val="00000015"/>
    <w:name w:val="WW8Num18"/>
    <w:lvl w:ilvl="0">
      <w:start w:val="1"/>
      <w:numFmt w:val="bullet"/>
      <w:lvlText w:val=""/>
      <w:lvlJc w:val="left"/>
      <w:pPr>
        <w:tabs>
          <w:tab w:val="num" w:pos="360"/>
        </w:tabs>
        <w:ind w:left="360" w:hanging="360"/>
      </w:pPr>
      <w:rPr>
        <w:rFonts w:ascii="Symbol" w:hAnsi="Symbol"/>
      </w:rPr>
    </w:lvl>
  </w:abstractNum>
  <w:abstractNum w:abstractNumId="22" w15:restartNumberingAfterBreak="0">
    <w:nsid w:val="00000016"/>
    <w:multiLevelType w:val="singleLevel"/>
    <w:tmpl w:val="00000016"/>
    <w:name w:val="WW8Num19"/>
    <w:lvl w:ilvl="0">
      <w:start w:val="1"/>
      <w:numFmt w:val="bullet"/>
      <w:lvlText w:val=""/>
      <w:lvlJc w:val="left"/>
      <w:pPr>
        <w:tabs>
          <w:tab w:val="num" w:pos="360"/>
        </w:tabs>
        <w:ind w:left="360" w:hanging="360"/>
      </w:pPr>
      <w:rPr>
        <w:rFonts w:ascii="Symbol" w:hAnsi="Symbol"/>
      </w:rPr>
    </w:lvl>
  </w:abstractNum>
  <w:abstractNum w:abstractNumId="23" w15:restartNumberingAfterBreak="0">
    <w:nsid w:val="00000017"/>
    <w:multiLevelType w:val="singleLevel"/>
    <w:tmpl w:val="00000017"/>
    <w:name w:val="WW8Num20"/>
    <w:lvl w:ilvl="0">
      <w:start w:val="1"/>
      <w:numFmt w:val="bullet"/>
      <w:lvlText w:val=""/>
      <w:lvlJc w:val="left"/>
      <w:pPr>
        <w:tabs>
          <w:tab w:val="num" w:pos="360"/>
        </w:tabs>
        <w:ind w:left="360" w:hanging="360"/>
      </w:pPr>
      <w:rPr>
        <w:rFonts w:ascii="Symbol" w:hAnsi="Symbol"/>
      </w:rPr>
    </w:lvl>
  </w:abstractNum>
  <w:abstractNum w:abstractNumId="24" w15:restartNumberingAfterBreak="0">
    <w:nsid w:val="00000018"/>
    <w:multiLevelType w:val="singleLevel"/>
    <w:tmpl w:val="00000018"/>
    <w:name w:val="WW8Num21"/>
    <w:lvl w:ilvl="0">
      <w:start w:val="1"/>
      <w:numFmt w:val="bullet"/>
      <w:lvlText w:val=""/>
      <w:lvlJc w:val="left"/>
      <w:pPr>
        <w:tabs>
          <w:tab w:val="num" w:pos="360"/>
        </w:tabs>
        <w:ind w:left="360" w:hanging="360"/>
      </w:pPr>
      <w:rPr>
        <w:rFonts w:ascii="Symbol" w:hAnsi="Symbol"/>
      </w:rPr>
    </w:lvl>
  </w:abstractNum>
  <w:abstractNum w:abstractNumId="25" w15:restartNumberingAfterBreak="0">
    <w:nsid w:val="00000019"/>
    <w:multiLevelType w:val="singleLevel"/>
    <w:tmpl w:val="00000019"/>
    <w:name w:val="WW8Num22"/>
    <w:lvl w:ilvl="0">
      <w:start w:val="1"/>
      <w:numFmt w:val="bullet"/>
      <w:lvlText w:val=""/>
      <w:lvlJc w:val="left"/>
      <w:pPr>
        <w:tabs>
          <w:tab w:val="num" w:pos="360"/>
        </w:tabs>
        <w:ind w:left="360" w:hanging="360"/>
      </w:pPr>
      <w:rPr>
        <w:rFonts w:ascii="Symbol" w:hAnsi="Symbol"/>
      </w:rPr>
    </w:lvl>
  </w:abstractNum>
  <w:abstractNum w:abstractNumId="26" w15:restartNumberingAfterBreak="0">
    <w:nsid w:val="0000001A"/>
    <w:multiLevelType w:val="singleLevel"/>
    <w:tmpl w:val="0000001A"/>
    <w:name w:val="WW8Num23"/>
    <w:lvl w:ilvl="0">
      <w:start w:val="1"/>
      <w:numFmt w:val="bullet"/>
      <w:lvlText w:val=""/>
      <w:lvlJc w:val="left"/>
      <w:pPr>
        <w:tabs>
          <w:tab w:val="num" w:pos="360"/>
        </w:tabs>
        <w:ind w:left="360" w:hanging="360"/>
      </w:pPr>
      <w:rPr>
        <w:rFonts w:ascii="Symbol" w:hAnsi="Symbol"/>
      </w:rPr>
    </w:lvl>
  </w:abstractNum>
  <w:abstractNum w:abstractNumId="27" w15:restartNumberingAfterBreak="0">
    <w:nsid w:val="0000001B"/>
    <w:multiLevelType w:val="singleLevel"/>
    <w:tmpl w:val="0000001B"/>
    <w:name w:val="WW8Num24"/>
    <w:lvl w:ilvl="0">
      <w:start w:val="1"/>
      <w:numFmt w:val="bullet"/>
      <w:lvlText w:val=""/>
      <w:lvlJc w:val="left"/>
      <w:pPr>
        <w:tabs>
          <w:tab w:val="num" w:pos="360"/>
        </w:tabs>
        <w:ind w:left="360" w:hanging="360"/>
      </w:pPr>
      <w:rPr>
        <w:rFonts w:ascii="Symbol" w:hAnsi="Symbol"/>
      </w:rPr>
    </w:lvl>
  </w:abstractNum>
  <w:abstractNum w:abstractNumId="28" w15:restartNumberingAfterBreak="0">
    <w:nsid w:val="0000001C"/>
    <w:multiLevelType w:val="singleLevel"/>
    <w:tmpl w:val="0000001C"/>
    <w:name w:val="WW8Num25"/>
    <w:lvl w:ilvl="0">
      <w:start w:val="1"/>
      <w:numFmt w:val="bullet"/>
      <w:lvlText w:val=""/>
      <w:lvlJc w:val="left"/>
      <w:pPr>
        <w:tabs>
          <w:tab w:val="num" w:pos="360"/>
        </w:tabs>
        <w:ind w:left="360" w:hanging="360"/>
      </w:pPr>
      <w:rPr>
        <w:rFonts w:ascii="Symbol" w:hAnsi="Symbol"/>
      </w:rPr>
    </w:lvl>
  </w:abstractNum>
  <w:abstractNum w:abstractNumId="29" w15:restartNumberingAfterBreak="0">
    <w:nsid w:val="0000001D"/>
    <w:multiLevelType w:val="singleLevel"/>
    <w:tmpl w:val="0000001D"/>
    <w:name w:val="WW8Num26"/>
    <w:lvl w:ilvl="0">
      <w:start w:val="1"/>
      <w:numFmt w:val="bullet"/>
      <w:lvlText w:val=""/>
      <w:lvlJc w:val="left"/>
      <w:pPr>
        <w:tabs>
          <w:tab w:val="num" w:pos="360"/>
        </w:tabs>
        <w:ind w:left="360" w:hanging="360"/>
      </w:pPr>
      <w:rPr>
        <w:rFonts w:ascii="Symbol" w:hAnsi="Symbol"/>
      </w:rPr>
    </w:lvl>
  </w:abstractNum>
  <w:abstractNum w:abstractNumId="30" w15:restartNumberingAfterBreak="0">
    <w:nsid w:val="0000001E"/>
    <w:multiLevelType w:val="singleLevel"/>
    <w:tmpl w:val="0000001E"/>
    <w:name w:val="WW8Num27"/>
    <w:lvl w:ilvl="0">
      <w:start w:val="1"/>
      <w:numFmt w:val="bullet"/>
      <w:lvlText w:val=""/>
      <w:lvlJc w:val="left"/>
      <w:pPr>
        <w:tabs>
          <w:tab w:val="num" w:pos="360"/>
        </w:tabs>
        <w:ind w:left="360" w:hanging="360"/>
      </w:pPr>
      <w:rPr>
        <w:rFonts w:ascii="Symbol" w:hAnsi="Symbol"/>
      </w:rPr>
    </w:lvl>
  </w:abstractNum>
  <w:abstractNum w:abstractNumId="31" w15:restartNumberingAfterBreak="0">
    <w:nsid w:val="002A6F6E"/>
    <w:multiLevelType w:val="hybridMultilevel"/>
    <w:tmpl w:val="B19AD90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00A15ACF"/>
    <w:multiLevelType w:val="hybridMultilevel"/>
    <w:tmpl w:val="3732FD74"/>
    <w:lvl w:ilvl="0" w:tplc="ECC84E88">
      <w:start w:val="1"/>
      <w:numFmt w:val="upperRoman"/>
      <w:lvlText w:val="%1."/>
      <w:lvlJc w:val="left"/>
      <w:pPr>
        <w:ind w:left="1440" w:hanging="72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3" w15:restartNumberingAfterBreak="0">
    <w:nsid w:val="00B71C00"/>
    <w:multiLevelType w:val="hybridMultilevel"/>
    <w:tmpl w:val="A944FE88"/>
    <w:lvl w:ilvl="0" w:tplc="FFFFFFFF">
      <w:start w:val="1"/>
      <w:numFmt w:val="bullet"/>
      <w:lvlText w:val=""/>
      <w:lvlJc w:val="left"/>
      <w:pPr>
        <w:ind w:left="1440" w:hanging="360"/>
      </w:pPr>
      <w:rPr>
        <w:rFonts w:ascii="Wingdings" w:hAnsi="Wingdings" w:hint="default"/>
        <w:b w:val="0"/>
        <w:i w:val="0"/>
        <w:sz w:val="24"/>
        <w:u w:val="none"/>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4" w15:restartNumberingAfterBreak="0">
    <w:nsid w:val="00C93F6E"/>
    <w:multiLevelType w:val="multilevel"/>
    <w:tmpl w:val="00C93F6E"/>
    <w:lvl w:ilvl="0">
      <w:start w:val="1"/>
      <w:numFmt w:val="decimal"/>
      <w:lvlText w:val="%1."/>
      <w:lvlJc w:val="left"/>
      <w:pPr>
        <w:ind w:left="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35" w15:restartNumberingAfterBreak="0">
    <w:nsid w:val="01287D4F"/>
    <w:multiLevelType w:val="singleLevel"/>
    <w:tmpl w:val="5882E2E4"/>
    <w:name w:val="WW8Num28"/>
    <w:lvl w:ilvl="0">
      <w:start w:val="2"/>
      <w:numFmt w:val="decimal"/>
      <w:lvlText w:val="%1. "/>
      <w:legacy w:legacy="1" w:legacySpace="0" w:legacyIndent="283"/>
      <w:lvlJc w:val="left"/>
      <w:pPr>
        <w:ind w:left="851" w:hanging="283"/>
      </w:pPr>
      <w:rPr>
        <w:rFonts w:ascii="Arial" w:hAnsi="Arial" w:hint="default"/>
        <w:b/>
        <w:i w:val="0"/>
        <w:sz w:val="24"/>
        <w:u w:val="none"/>
      </w:rPr>
    </w:lvl>
  </w:abstractNum>
  <w:abstractNum w:abstractNumId="36" w15:restartNumberingAfterBreak="0">
    <w:nsid w:val="01705CC0"/>
    <w:multiLevelType w:val="hybridMultilevel"/>
    <w:tmpl w:val="F072DEFE"/>
    <w:name w:val="WW8Num29"/>
    <w:lvl w:ilvl="0" w:tplc="27F408CE">
      <w:start w:val="1"/>
      <w:numFmt w:val="bullet"/>
      <w:lvlText w:val=""/>
      <w:lvlJc w:val="left"/>
      <w:pPr>
        <w:tabs>
          <w:tab w:val="num" w:pos="360"/>
        </w:tabs>
        <w:ind w:left="360" w:hanging="360"/>
      </w:pPr>
      <w:rPr>
        <w:rFonts w:ascii="Symbol" w:hAnsi="Symbol" w:hint="default"/>
      </w:rPr>
    </w:lvl>
    <w:lvl w:ilvl="1" w:tplc="053625FC" w:tentative="1">
      <w:start w:val="1"/>
      <w:numFmt w:val="bullet"/>
      <w:lvlText w:val="o"/>
      <w:lvlJc w:val="left"/>
      <w:pPr>
        <w:tabs>
          <w:tab w:val="num" w:pos="1080"/>
        </w:tabs>
        <w:ind w:left="1080" w:hanging="360"/>
      </w:pPr>
      <w:rPr>
        <w:rFonts w:ascii="Courier New" w:hAnsi="Courier New" w:hint="default"/>
      </w:rPr>
    </w:lvl>
    <w:lvl w:ilvl="2" w:tplc="7FDECD02" w:tentative="1">
      <w:start w:val="1"/>
      <w:numFmt w:val="bullet"/>
      <w:lvlText w:val=""/>
      <w:lvlJc w:val="left"/>
      <w:pPr>
        <w:tabs>
          <w:tab w:val="num" w:pos="1800"/>
        </w:tabs>
        <w:ind w:left="1800" w:hanging="360"/>
      </w:pPr>
      <w:rPr>
        <w:rFonts w:ascii="Wingdings" w:hAnsi="Wingdings" w:hint="default"/>
      </w:rPr>
    </w:lvl>
    <w:lvl w:ilvl="3" w:tplc="6E54FDE4" w:tentative="1">
      <w:start w:val="1"/>
      <w:numFmt w:val="bullet"/>
      <w:lvlText w:val=""/>
      <w:lvlJc w:val="left"/>
      <w:pPr>
        <w:tabs>
          <w:tab w:val="num" w:pos="2520"/>
        </w:tabs>
        <w:ind w:left="2520" w:hanging="360"/>
      </w:pPr>
      <w:rPr>
        <w:rFonts w:ascii="Symbol" w:hAnsi="Symbol" w:hint="default"/>
      </w:rPr>
    </w:lvl>
    <w:lvl w:ilvl="4" w:tplc="C4101230" w:tentative="1">
      <w:start w:val="1"/>
      <w:numFmt w:val="bullet"/>
      <w:lvlText w:val="o"/>
      <w:lvlJc w:val="left"/>
      <w:pPr>
        <w:tabs>
          <w:tab w:val="num" w:pos="3240"/>
        </w:tabs>
        <w:ind w:left="3240" w:hanging="360"/>
      </w:pPr>
      <w:rPr>
        <w:rFonts w:ascii="Courier New" w:hAnsi="Courier New" w:hint="default"/>
      </w:rPr>
    </w:lvl>
    <w:lvl w:ilvl="5" w:tplc="35A08190" w:tentative="1">
      <w:start w:val="1"/>
      <w:numFmt w:val="bullet"/>
      <w:lvlText w:val=""/>
      <w:lvlJc w:val="left"/>
      <w:pPr>
        <w:tabs>
          <w:tab w:val="num" w:pos="3960"/>
        </w:tabs>
        <w:ind w:left="3960" w:hanging="360"/>
      </w:pPr>
      <w:rPr>
        <w:rFonts w:ascii="Wingdings" w:hAnsi="Wingdings" w:hint="default"/>
      </w:rPr>
    </w:lvl>
    <w:lvl w:ilvl="6" w:tplc="D33AE054" w:tentative="1">
      <w:start w:val="1"/>
      <w:numFmt w:val="bullet"/>
      <w:lvlText w:val=""/>
      <w:lvlJc w:val="left"/>
      <w:pPr>
        <w:tabs>
          <w:tab w:val="num" w:pos="4680"/>
        </w:tabs>
        <w:ind w:left="4680" w:hanging="360"/>
      </w:pPr>
      <w:rPr>
        <w:rFonts w:ascii="Symbol" w:hAnsi="Symbol" w:hint="default"/>
      </w:rPr>
    </w:lvl>
    <w:lvl w:ilvl="7" w:tplc="A04CEEEE" w:tentative="1">
      <w:start w:val="1"/>
      <w:numFmt w:val="bullet"/>
      <w:lvlText w:val="o"/>
      <w:lvlJc w:val="left"/>
      <w:pPr>
        <w:tabs>
          <w:tab w:val="num" w:pos="5400"/>
        </w:tabs>
        <w:ind w:left="5400" w:hanging="360"/>
      </w:pPr>
      <w:rPr>
        <w:rFonts w:ascii="Courier New" w:hAnsi="Courier New" w:hint="default"/>
      </w:rPr>
    </w:lvl>
    <w:lvl w:ilvl="8" w:tplc="C7F0F1AA"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01CA3FE6"/>
    <w:multiLevelType w:val="hybridMultilevel"/>
    <w:tmpl w:val="5498A8C2"/>
    <w:lvl w:ilvl="0" w:tplc="B944F696">
      <w:start w:val="1"/>
      <w:numFmt w:val="decimal"/>
      <w:lvlText w:val="%1."/>
      <w:lvlJc w:val="left"/>
      <w:pPr>
        <w:tabs>
          <w:tab w:val="num" w:pos="720"/>
        </w:tabs>
        <w:ind w:left="720" w:hanging="360"/>
      </w:pPr>
    </w:lvl>
    <w:lvl w:ilvl="1" w:tplc="89FAD37A" w:tentative="1">
      <w:start w:val="1"/>
      <w:numFmt w:val="decimal"/>
      <w:lvlText w:val="%2."/>
      <w:lvlJc w:val="left"/>
      <w:pPr>
        <w:tabs>
          <w:tab w:val="num" w:pos="1440"/>
        </w:tabs>
        <w:ind w:left="1440" w:hanging="360"/>
      </w:pPr>
    </w:lvl>
    <w:lvl w:ilvl="2" w:tplc="6A7444EE" w:tentative="1">
      <w:start w:val="1"/>
      <w:numFmt w:val="decimal"/>
      <w:lvlText w:val="%3."/>
      <w:lvlJc w:val="left"/>
      <w:pPr>
        <w:tabs>
          <w:tab w:val="num" w:pos="2160"/>
        </w:tabs>
        <w:ind w:left="2160" w:hanging="360"/>
      </w:pPr>
    </w:lvl>
    <w:lvl w:ilvl="3" w:tplc="B1F0BC8A" w:tentative="1">
      <w:start w:val="1"/>
      <w:numFmt w:val="decimal"/>
      <w:lvlText w:val="%4."/>
      <w:lvlJc w:val="left"/>
      <w:pPr>
        <w:tabs>
          <w:tab w:val="num" w:pos="2880"/>
        </w:tabs>
        <w:ind w:left="2880" w:hanging="360"/>
      </w:pPr>
    </w:lvl>
    <w:lvl w:ilvl="4" w:tplc="6A281FB2" w:tentative="1">
      <w:start w:val="1"/>
      <w:numFmt w:val="decimal"/>
      <w:lvlText w:val="%5."/>
      <w:lvlJc w:val="left"/>
      <w:pPr>
        <w:tabs>
          <w:tab w:val="num" w:pos="3600"/>
        </w:tabs>
        <w:ind w:left="3600" w:hanging="360"/>
      </w:pPr>
    </w:lvl>
    <w:lvl w:ilvl="5" w:tplc="669868DE" w:tentative="1">
      <w:start w:val="1"/>
      <w:numFmt w:val="decimal"/>
      <w:lvlText w:val="%6."/>
      <w:lvlJc w:val="left"/>
      <w:pPr>
        <w:tabs>
          <w:tab w:val="num" w:pos="4320"/>
        </w:tabs>
        <w:ind w:left="4320" w:hanging="360"/>
      </w:pPr>
    </w:lvl>
    <w:lvl w:ilvl="6" w:tplc="952AD75C" w:tentative="1">
      <w:start w:val="1"/>
      <w:numFmt w:val="decimal"/>
      <w:lvlText w:val="%7."/>
      <w:lvlJc w:val="left"/>
      <w:pPr>
        <w:tabs>
          <w:tab w:val="num" w:pos="5040"/>
        </w:tabs>
        <w:ind w:left="5040" w:hanging="360"/>
      </w:pPr>
    </w:lvl>
    <w:lvl w:ilvl="7" w:tplc="8F3420F0" w:tentative="1">
      <w:start w:val="1"/>
      <w:numFmt w:val="decimal"/>
      <w:lvlText w:val="%8."/>
      <w:lvlJc w:val="left"/>
      <w:pPr>
        <w:tabs>
          <w:tab w:val="num" w:pos="5760"/>
        </w:tabs>
        <w:ind w:left="5760" w:hanging="360"/>
      </w:pPr>
    </w:lvl>
    <w:lvl w:ilvl="8" w:tplc="DF729F52" w:tentative="1">
      <w:start w:val="1"/>
      <w:numFmt w:val="decimal"/>
      <w:lvlText w:val="%9."/>
      <w:lvlJc w:val="left"/>
      <w:pPr>
        <w:tabs>
          <w:tab w:val="num" w:pos="6480"/>
        </w:tabs>
        <w:ind w:left="6480" w:hanging="360"/>
      </w:pPr>
    </w:lvl>
  </w:abstractNum>
  <w:abstractNum w:abstractNumId="38" w15:restartNumberingAfterBreak="0">
    <w:nsid w:val="02157E80"/>
    <w:multiLevelType w:val="hybridMultilevel"/>
    <w:tmpl w:val="7B7E1E06"/>
    <w:lvl w:ilvl="0" w:tplc="04020001">
      <w:start w:val="1"/>
      <w:numFmt w:val="bullet"/>
      <w:lvlText w:val=""/>
      <w:lvlJc w:val="left"/>
      <w:pPr>
        <w:ind w:left="3666" w:hanging="360"/>
      </w:pPr>
      <w:rPr>
        <w:rFonts w:ascii="Symbol" w:hAnsi="Symbol" w:hint="default"/>
      </w:rPr>
    </w:lvl>
    <w:lvl w:ilvl="1" w:tplc="04020003" w:tentative="1">
      <w:start w:val="1"/>
      <w:numFmt w:val="bullet"/>
      <w:lvlText w:val="o"/>
      <w:lvlJc w:val="left"/>
      <w:pPr>
        <w:ind w:left="4386" w:hanging="360"/>
      </w:pPr>
      <w:rPr>
        <w:rFonts w:ascii="Courier New" w:hAnsi="Courier New" w:cs="Courier New" w:hint="default"/>
      </w:rPr>
    </w:lvl>
    <w:lvl w:ilvl="2" w:tplc="04020005" w:tentative="1">
      <w:start w:val="1"/>
      <w:numFmt w:val="bullet"/>
      <w:lvlText w:val=""/>
      <w:lvlJc w:val="left"/>
      <w:pPr>
        <w:ind w:left="5106" w:hanging="360"/>
      </w:pPr>
      <w:rPr>
        <w:rFonts w:ascii="Wingdings" w:hAnsi="Wingdings" w:hint="default"/>
      </w:rPr>
    </w:lvl>
    <w:lvl w:ilvl="3" w:tplc="04020001" w:tentative="1">
      <w:start w:val="1"/>
      <w:numFmt w:val="bullet"/>
      <w:lvlText w:val=""/>
      <w:lvlJc w:val="left"/>
      <w:pPr>
        <w:ind w:left="5826" w:hanging="360"/>
      </w:pPr>
      <w:rPr>
        <w:rFonts w:ascii="Symbol" w:hAnsi="Symbol" w:hint="default"/>
      </w:rPr>
    </w:lvl>
    <w:lvl w:ilvl="4" w:tplc="04020003" w:tentative="1">
      <w:start w:val="1"/>
      <w:numFmt w:val="bullet"/>
      <w:lvlText w:val="o"/>
      <w:lvlJc w:val="left"/>
      <w:pPr>
        <w:ind w:left="6546" w:hanging="360"/>
      </w:pPr>
      <w:rPr>
        <w:rFonts w:ascii="Courier New" w:hAnsi="Courier New" w:cs="Courier New" w:hint="default"/>
      </w:rPr>
    </w:lvl>
    <w:lvl w:ilvl="5" w:tplc="04020005" w:tentative="1">
      <w:start w:val="1"/>
      <w:numFmt w:val="bullet"/>
      <w:lvlText w:val=""/>
      <w:lvlJc w:val="left"/>
      <w:pPr>
        <w:ind w:left="7266" w:hanging="360"/>
      </w:pPr>
      <w:rPr>
        <w:rFonts w:ascii="Wingdings" w:hAnsi="Wingdings" w:hint="default"/>
      </w:rPr>
    </w:lvl>
    <w:lvl w:ilvl="6" w:tplc="04020001" w:tentative="1">
      <w:start w:val="1"/>
      <w:numFmt w:val="bullet"/>
      <w:lvlText w:val=""/>
      <w:lvlJc w:val="left"/>
      <w:pPr>
        <w:ind w:left="7986" w:hanging="360"/>
      </w:pPr>
      <w:rPr>
        <w:rFonts w:ascii="Symbol" w:hAnsi="Symbol" w:hint="default"/>
      </w:rPr>
    </w:lvl>
    <w:lvl w:ilvl="7" w:tplc="04020003" w:tentative="1">
      <w:start w:val="1"/>
      <w:numFmt w:val="bullet"/>
      <w:lvlText w:val="o"/>
      <w:lvlJc w:val="left"/>
      <w:pPr>
        <w:ind w:left="8706" w:hanging="360"/>
      </w:pPr>
      <w:rPr>
        <w:rFonts w:ascii="Courier New" w:hAnsi="Courier New" w:cs="Courier New" w:hint="default"/>
      </w:rPr>
    </w:lvl>
    <w:lvl w:ilvl="8" w:tplc="04020005" w:tentative="1">
      <w:start w:val="1"/>
      <w:numFmt w:val="bullet"/>
      <w:lvlText w:val=""/>
      <w:lvlJc w:val="left"/>
      <w:pPr>
        <w:ind w:left="9426" w:hanging="360"/>
      </w:pPr>
      <w:rPr>
        <w:rFonts w:ascii="Wingdings" w:hAnsi="Wingdings" w:hint="default"/>
      </w:rPr>
    </w:lvl>
  </w:abstractNum>
  <w:abstractNum w:abstractNumId="39" w15:restartNumberingAfterBreak="0">
    <w:nsid w:val="02482187"/>
    <w:multiLevelType w:val="hybridMultilevel"/>
    <w:tmpl w:val="EB7A687E"/>
    <w:lvl w:ilvl="0" w:tplc="FFFFFFFF">
      <w:start w:val="1"/>
      <w:numFmt w:val="bullet"/>
      <w:lvlText w:val=""/>
      <w:lvlJc w:val="left"/>
      <w:pPr>
        <w:ind w:left="360" w:hanging="360"/>
      </w:pPr>
      <w:rPr>
        <w:rFonts w:ascii="Wingdings" w:hAnsi="Wingdings" w:hint="default"/>
        <w:b/>
        <w:i w:val="0"/>
        <w:sz w:val="24"/>
        <w:u w:val="none"/>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40" w15:restartNumberingAfterBreak="0">
    <w:nsid w:val="02A9452F"/>
    <w:multiLevelType w:val="hybridMultilevel"/>
    <w:tmpl w:val="CA6C3BB2"/>
    <w:lvl w:ilvl="0" w:tplc="2390B9A4">
      <w:start w:val="1"/>
      <w:numFmt w:val="bullet"/>
      <w:lvlText w:val=""/>
      <w:lvlJc w:val="left"/>
      <w:pPr>
        <w:ind w:left="872" w:hanging="360"/>
      </w:pPr>
      <w:rPr>
        <w:rFonts w:ascii="Symbol" w:hAnsi="Symbol" w:hint="default"/>
      </w:rPr>
    </w:lvl>
    <w:lvl w:ilvl="1" w:tplc="756C42A6" w:tentative="1">
      <w:start w:val="1"/>
      <w:numFmt w:val="bullet"/>
      <w:lvlText w:val="o"/>
      <w:lvlJc w:val="left"/>
      <w:pPr>
        <w:ind w:left="1876" w:hanging="360"/>
      </w:pPr>
      <w:rPr>
        <w:rFonts w:ascii="Courier New" w:hAnsi="Courier New" w:hint="default"/>
      </w:rPr>
    </w:lvl>
    <w:lvl w:ilvl="2" w:tplc="5DC48594" w:tentative="1">
      <w:start w:val="1"/>
      <w:numFmt w:val="bullet"/>
      <w:lvlText w:val=""/>
      <w:lvlJc w:val="left"/>
      <w:pPr>
        <w:ind w:left="2596" w:hanging="360"/>
      </w:pPr>
      <w:rPr>
        <w:rFonts w:ascii="Wingdings" w:hAnsi="Wingdings" w:hint="default"/>
      </w:rPr>
    </w:lvl>
    <w:lvl w:ilvl="3" w:tplc="DEF4F9B4" w:tentative="1">
      <w:start w:val="1"/>
      <w:numFmt w:val="bullet"/>
      <w:lvlText w:val=""/>
      <w:lvlJc w:val="left"/>
      <w:pPr>
        <w:ind w:left="3316" w:hanging="360"/>
      </w:pPr>
      <w:rPr>
        <w:rFonts w:ascii="Symbol" w:hAnsi="Symbol" w:hint="default"/>
      </w:rPr>
    </w:lvl>
    <w:lvl w:ilvl="4" w:tplc="34B8E556" w:tentative="1">
      <w:start w:val="1"/>
      <w:numFmt w:val="bullet"/>
      <w:lvlText w:val="o"/>
      <w:lvlJc w:val="left"/>
      <w:pPr>
        <w:ind w:left="4036" w:hanging="360"/>
      </w:pPr>
      <w:rPr>
        <w:rFonts w:ascii="Courier New" w:hAnsi="Courier New" w:hint="default"/>
      </w:rPr>
    </w:lvl>
    <w:lvl w:ilvl="5" w:tplc="D0362040" w:tentative="1">
      <w:start w:val="1"/>
      <w:numFmt w:val="bullet"/>
      <w:lvlText w:val=""/>
      <w:lvlJc w:val="left"/>
      <w:pPr>
        <w:ind w:left="4756" w:hanging="360"/>
      </w:pPr>
      <w:rPr>
        <w:rFonts w:ascii="Wingdings" w:hAnsi="Wingdings" w:hint="default"/>
      </w:rPr>
    </w:lvl>
    <w:lvl w:ilvl="6" w:tplc="8548C434" w:tentative="1">
      <w:start w:val="1"/>
      <w:numFmt w:val="bullet"/>
      <w:lvlText w:val=""/>
      <w:lvlJc w:val="left"/>
      <w:pPr>
        <w:ind w:left="5476" w:hanging="360"/>
      </w:pPr>
      <w:rPr>
        <w:rFonts w:ascii="Symbol" w:hAnsi="Symbol" w:hint="default"/>
      </w:rPr>
    </w:lvl>
    <w:lvl w:ilvl="7" w:tplc="7C36B522" w:tentative="1">
      <w:start w:val="1"/>
      <w:numFmt w:val="bullet"/>
      <w:lvlText w:val="o"/>
      <w:lvlJc w:val="left"/>
      <w:pPr>
        <w:ind w:left="6196" w:hanging="360"/>
      </w:pPr>
      <w:rPr>
        <w:rFonts w:ascii="Courier New" w:hAnsi="Courier New" w:hint="default"/>
      </w:rPr>
    </w:lvl>
    <w:lvl w:ilvl="8" w:tplc="499C6360" w:tentative="1">
      <w:start w:val="1"/>
      <w:numFmt w:val="bullet"/>
      <w:lvlText w:val=""/>
      <w:lvlJc w:val="left"/>
      <w:pPr>
        <w:ind w:left="6916" w:hanging="360"/>
      </w:pPr>
      <w:rPr>
        <w:rFonts w:ascii="Wingdings" w:hAnsi="Wingdings" w:hint="default"/>
      </w:rPr>
    </w:lvl>
  </w:abstractNum>
  <w:abstractNum w:abstractNumId="41" w15:restartNumberingAfterBreak="0">
    <w:nsid w:val="030578C7"/>
    <w:multiLevelType w:val="hybridMultilevel"/>
    <w:tmpl w:val="9AB0DB7C"/>
    <w:lvl w:ilvl="0" w:tplc="461AB4AA">
      <w:start w:val="1"/>
      <w:numFmt w:val="bullet"/>
      <w:lvlText w:val=""/>
      <w:lvlJc w:val="left"/>
      <w:pPr>
        <w:ind w:left="720" w:hanging="360"/>
      </w:pPr>
      <w:rPr>
        <w:rFonts w:ascii="Symbol" w:hAnsi="Symbol" w:hint="default"/>
      </w:rPr>
    </w:lvl>
    <w:lvl w:ilvl="1" w:tplc="69AC415E" w:tentative="1">
      <w:start w:val="1"/>
      <w:numFmt w:val="bullet"/>
      <w:lvlText w:val="o"/>
      <w:lvlJc w:val="left"/>
      <w:pPr>
        <w:ind w:left="1440" w:hanging="360"/>
      </w:pPr>
      <w:rPr>
        <w:rFonts w:ascii="Courier New" w:hAnsi="Courier New" w:hint="default"/>
      </w:rPr>
    </w:lvl>
    <w:lvl w:ilvl="2" w:tplc="1E364C76" w:tentative="1">
      <w:start w:val="1"/>
      <w:numFmt w:val="bullet"/>
      <w:lvlText w:val=""/>
      <w:lvlJc w:val="left"/>
      <w:pPr>
        <w:ind w:left="2160" w:hanging="360"/>
      </w:pPr>
      <w:rPr>
        <w:rFonts w:ascii="Wingdings" w:hAnsi="Wingdings" w:hint="default"/>
      </w:rPr>
    </w:lvl>
    <w:lvl w:ilvl="3" w:tplc="A058BA38" w:tentative="1">
      <w:start w:val="1"/>
      <w:numFmt w:val="bullet"/>
      <w:lvlText w:val=""/>
      <w:lvlJc w:val="left"/>
      <w:pPr>
        <w:ind w:left="2880" w:hanging="360"/>
      </w:pPr>
      <w:rPr>
        <w:rFonts w:ascii="Symbol" w:hAnsi="Symbol" w:hint="default"/>
      </w:rPr>
    </w:lvl>
    <w:lvl w:ilvl="4" w:tplc="9D06638A" w:tentative="1">
      <w:start w:val="1"/>
      <w:numFmt w:val="bullet"/>
      <w:lvlText w:val="o"/>
      <w:lvlJc w:val="left"/>
      <w:pPr>
        <w:ind w:left="3600" w:hanging="360"/>
      </w:pPr>
      <w:rPr>
        <w:rFonts w:ascii="Courier New" w:hAnsi="Courier New" w:hint="default"/>
      </w:rPr>
    </w:lvl>
    <w:lvl w:ilvl="5" w:tplc="278CA406" w:tentative="1">
      <w:start w:val="1"/>
      <w:numFmt w:val="bullet"/>
      <w:lvlText w:val=""/>
      <w:lvlJc w:val="left"/>
      <w:pPr>
        <w:ind w:left="4320" w:hanging="360"/>
      </w:pPr>
      <w:rPr>
        <w:rFonts w:ascii="Wingdings" w:hAnsi="Wingdings" w:hint="default"/>
      </w:rPr>
    </w:lvl>
    <w:lvl w:ilvl="6" w:tplc="2A9AB4BA" w:tentative="1">
      <w:start w:val="1"/>
      <w:numFmt w:val="bullet"/>
      <w:lvlText w:val=""/>
      <w:lvlJc w:val="left"/>
      <w:pPr>
        <w:ind w:left="5040" w:hanging="360"/>
      </w:pPr>
      <w:rPr>
        <w:rFonts w:ascii="Symbol" w:hAnsi="Symbol" w:hint="default"/>
      </w:rPr>
    </w:lvl>
    <w:lvl w:ilvl="7" w:tplc="F95266B6" w:tentative="1">
      <w:start w:val="1"/>
      <w:numFmt w:val="bullet"/>
      <w:lvlText w:val="o"/>
      <w:lvlJc w:val="left"/>
      <w:pPr>
        <w:ind w:left="5760" w:hanging="360"/>
      </w:pPr>
      <w:rPr>
        <w:rFonts w:ascii="Courier New" w:hAnsi="Courier New" w:hint="default"/>
      </w:rPr>
    </w:lvl>
    <w:lvl w:ilvl="8" w:tplc="BB4E340A" w:tentative="1">
      <w:start w:val="1"/>
      <w:numFmt w:val="bullet"/>
      <w:lvlText w:val=""/>
      <w:lvlJc w:val="left"/>
      <w:pPr>
        <w:ind w:left="6480" w:hanging="360"/>
      </w:pPr>
      <w:rPr>
        <w:rFonts w:ascii="Wingdings" w:hAnsi="Wingdings" w:hint="default"/>
      </w:rPr>
    </w:lvl>
  </w:abstractNum>
  <w:abstractNum w:abstractNumId="42" w15:restartNumberingAfterBreak="0">
    <w:nsid w:val="0384154A"/>
    <w:multiLevelType w:val="hybridMultilevel"/>
    <w:tmpl w:val="A6467ADA"/>
    <w:lvl w:ilvl="0" w:tplc="C33437B2">
      <w:start w:val="1"/>
      <w:numFmt w:val="decimal"/>
      <w:lvlText w:val="%1."/>
      <w:lvlJc w:val="left"/>
      <w:pPr>
        <w:tabs>
          <w:tab w:val="num" w:pos="720"/>
        </w:tabs>
        <w:ind w:left="720" w:hanging="360"/>
      </w:pPr>
      <w:rPr>
        <w:rFonts w:ascii="Times New Roman" w:eastAsiaTheme="minorHAnsi" w:hAnsi="Times New Roman" w:cs="Times New Roman"/>
      </w:rPr>
    </w:lvl>
    <w:lvl w:ilvl="1" w:tplc="04020003" w:tentative="1">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Wingdings" w:hAnsi="Wingdings" w:hint="default"/>
      </w:rPr>
    </w:lvl>
    <w:lvl w:ilvl="4" w:tplc="04020003" w:tentative="1">
      <w:start w:val="1"/>
      <w:numFmt w:val="bullet"/>
      <w:lvlText w:val=""/>
      <w:lvlJc w:val="left"/>
      <w:pPr>
        <w:tabs>
          <w:tab w:val="num" w:pos="3600"/>
        </w:tabs>
        <w:ind w:left="3600" w:hanging="360"/>
      </w:pPr>
      <w:rPr>
        <w:rFonts w:ascii="Wingdings" w:hAnsi="Wingdings"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Wingdings" w:hAnsi="Wingdings" w:hint="default"/>
      </w:rPr>
    </w:lvl>
    <w:lvl w:ilvl="7" w:tplc="04020003" w:tentative="1">
      <w:start w:val="1"/>
      <w:numFmt w:val="bullet"/>
      <w:lvlText w:val=""/>
      <w:lvlJc w:val="left"/>
      <w:pPr>
        <w:tabs>
          <w:tab w:val="num" w:pos="5760"/>
        </w:tabs>
        <w:ind w:left="5760" w:hanging="360"/>
      </w:pPr>
      <w:rPr>
        <w:rFonts w:ascii="Wingdings" w:hAnsi="Wingdings"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03C14257"/>
    <w:multiLevelType w:val="hybridMultilevel"/>
    <w:tmpl w:val="69FEA7FC"/>
    <w:name w:val="WW8Num4"/>
    <w:lvl w:ilvl="0" w:tplc="43C8E300">
      <w:start w:val="1"/>
      <w:numFmt w:val="decimal"/>
      <w:lvlText w:val="%1."/>
      <w:lvlJc w:val="left"/>
      <w:pPr>
        <w:tabs>
          <w:tab w:val="num" w:pos="720"/>
        </w:tabs>
        <w:ind w:left="720" w:hanging="360"/>
      </w:pPr>
      <w:rPr>
        <w:rFonts w:cs="Times New Roman"/>
      </w:rPr>
    </w:lvl>
    <w:lvl w:ilvl="1" w:tplc="35EACD9C">
      <w:start w:val="1"/>
      <w:numFmt w:val="bullet"/>
      <w:lvlText w:val=""/>
      <w:lvlJc w:val="left"/>
      <w:pPr>
        <w:tabs>
          <w:tab w:val="num" w:pos="1440"/>
        </w:tabs>
        <w:ind w:left="1440" w:hanging="360"/>
      </w:pPr>
      <w:rPr>
        <w:rFonts w:ascii="Symbol" w:hAnsi="Symbol" w:hint="default"/>
      </w:rPr>
    </w:lvl>
    <w:lvl w:ilvl="2" w:tplc="8FDC6FD2" w:tentative="1">
      <w:start w:val="1"/>
      <w:numFmt w:val="lowerRoman"/>
      <w:lvlText w:val="%3."/>
      <w:lvlJc w:val="right"/>
      <w:pPr>
        <w:tabs>
          <w:tab w:val="num" w:pos="2160"/>
        </w:tabs>
        <w:ind w:left="2160" w:hanging="180"/>
      </w:pPr>
      <w:rPr>
        <w:rFonts w:cs="Times New Roman"/>
      </w:rPr>
    </w:lvl>
    <w:lvl w:ilvl="3" w:tplc="297022F0" w:tentative="1">
      <w:start w:val="1"/>
      <w:numFmt w:val="decimal"/>
      <w:lvlText w:val="%4."/>
      <w:lvlJc w:val="left"/>
      <w:pPr>
        <w:tabs>
          <w:tab w:val="num" w:pos="2880"/>
        </w:tabs>
        <w:ind w:left="2880" w:hanging="360"/>
      </w:pPr>
      <w:rPr>
        <w:rFonts w:cs="Times New Roman"/>
      </w:rPr>
    </w:lvl>
    <w:lvl w:ilvl="4" w:tplc="C9AA0D0C" w:tentative="1">
      <w:start w:val="1"/>
      <w:numFmt w:val="lowerLetter"/>
      <w:lvlText w:val="%5."/>
      <w:lvlJc w:val="left"/>
      <w:pPr>
        <w:tabs>
          <w:tab w:val="num" w:pos="3600"/>
        </w:tabs>
        <w:ind w:left="3600" w:hanging="360"/>
      </w:pPr>
      <w:rPr>
        <w:rFonts w:cs="Times New Roman"/>
      </w:rPr>
    </w:lvl>
    <w:lvl w:ilvl="5" w:tplc="DDCEE868" w:tentative="1">
      <w:start w:val="1"/>
      <w:numFmt w:val="lowerRoman"/>
      <w:lvlText w:val="%6."/>
      <w:lvlJc w:val="right"/>
      <w:pPr>
        <w:tabs>
          <w:tab w:val="num" w:pos="4320"/>
        </w:tabs>
        <w:ind w:left="4320" w:hanging="180"/>
      </w:pPr>
      <w:rPr>
        <w:rFonts w:cs="Times New Roman"/>
      </w:rPr>
    </w:lvl>
    <w:lvl w:ilvl="6" w:tplc="9244BBEA" w:tentative="1">
      <w:start w:val="1"/>
      <w:numFmt w:val="decimal"/>
      <w:lvlText w:val="%7."/>
      <w:lvlJc w:val="left"/>
      <w:pPr>
        <w:tabs>
          <w:tab w:val="num" w:pos="5040"/>
        </w:tabs>
        <w:ind w:left="5040" w:hanging="360"/>
      </w:pPr>
      <w:rPr>
        <w:rFonts w:cs="Times New Roman"/>
      </w:rPr>
    </w:lvl>
    <w:lvl w:ilvl="7" w:tplc="6F6E6CF6" w:tentative="1">
      <w:start w:val="1"/>
      <w:numFmt w:val="lowerLetter"/>
      <w:lvlText w:val="%8."/>
      <w:lvlJc w:val="left"/>
      <w:pPr>
        <w:tabs>
          <w:tab w:val="num" w:pos="5760"/>
        </w:tabs>
        <w:ind w:left="5760" w:hanging="360"/>
      </w:pPr>
      <w:rPr>
        <w:rFonts w:cs="Times New Roman"/>
      </w:rPr>
    </w:lvl>
    <w:lvl w:ilvl="8" w:tplc="9DF09CC4" w:tentative="1">
      <w:start w:val="1"/>
      <w:numFmt w:val="lowerRoman"/>
      <w:lvlText w:val="%9."/>
      <w:lvlJc w:val="right"/>
      <w:pPr>
        <w:tabs>
          <w:tab w:val="num" w:pos="6480"/>
        </w:tabs>
        <w:ind w:left="6480" w:hanging="180"/>
      </w:pPr>
      <w:rPr>
        <w:rFonts w:cs="Times New Roman"/>
      </w:rPr>
    </w:lvl>
  </w:abstractNum>
  <w:abstractNum w:abstractNumId="44" w15:restartNumberingAfterBreak="0">
    <w:nsid w:val="03C41890"/>
    <w:multiLevelType w:val="hybridMultilevel"/>
    <w:tmpl w:val="EBEA19C6"/>
    <w:lvl w:ilvl="0" w:tplc="88327066">
      <w:start w:val="1"/>
      <w:numFmt w:val="bullet"/>
      <w:lvlText w:val=""/>
      <w:lvlJc w:val="left"/>
      <w:pPr>
        <w:tabs>
          <w:tab w:val="num" w:pos="720"/>
        </w:tabs>
        <w:ind w:left="720" w:hanging="360"/>
      </w:pPr>
      <w:rPr>
        <w:rFonts w:ascii="Symbol" w:hAnsi="Symbol" w:hint="default"/>
      </w:rPr>
    </w:lvl>
    <w:lvl w:ilvl="1" w:tplc="6B984172" w:tentative="1">
      <w:start w:val="1"/>
      <w:numFmt w:val="lowerLetter"/>
      <w:lvlText w:val="%2."/>
      <w:lvlJc w:val="left"/>
      <w:pPr>
        <w:tabs>
          <w:tab w:val="num" w:pos="1440"/>
        </w:tabs>
        <w:ind w:left="1440" w:hanging="360"/>
      </w:pPr>
      <w:rPr>
        <w:rFonts w:cs="Times New Roman"/>
      </w:rPr>
    </w:lvl>
    <w:lvl w:ilvl="2" w:tplc="3C3AD568" w:tentative="1">
      <w:start w:val="1"/>
      <w:numFmt w:val="lowerRoman"/>
      <w:lvlText w:val="%3."/>
      <w:lvlJc w:val="right"/>
      <w:pPr>
        <w:tabs>
          <w:tab w:val="num" w:pos="2160"/>
        </w:tabs>
        <w:ind w:left="2160" w:hanging="180"/>
      </w:pPr>
      <w:rPr>
        <w:rFonts w:cs="Times New Roman"/>
      </w:rPr>
    </w:lvl>
    <w:lvl w:ilvl="3" w:tplc="9A6A8462" w:tentative="1">
      <w:start w:val="1"/>
      <w:numFmt w:val="decimal"/>
      <w:lvlText w:val="%4."/>
      <w:lvlJc w:val="left"/>
      <w:pPr>
        <w:tabs>
          <w:tab w:val="num" w:pos="2880"/>
        </w:tabs>
        <w:ind w:left="2880" w:hanging="360"/>
      </w:pPr>
      <w:rPr>
        <w:rFonts w:cs="Times New Roman"/>
      </w:rPr>
    </w:lvl>
    <w:lvl w:ilvl="4" w:tplc="16A06058" w:tentative="1">
      <w:start w:val="1"/>
      <w:numFmt w:val="lowerLetter"/>
      <w:lvlText w:val="%5."/>
      <w:lvlJc w:val="left"/>
      <w:pPr>
        <w:tabs>
          <w:tab w:val="num" w:pos="3600"/>
        </w:tabs>
        <w:ind w:left="3600" w:hanging="360"/>
      </w:pPr>
      <w:rPr>
        <w:rFonts w:cs="Times New Roman"/>
      </w:rPr>
    </w:lvl>
    <w:lvl w:ilvl="5" w:tplc="A9B649A8" w:tentative="1">
      <w:start w:val="1"/>
      <w:numFmt w:val="lowerRoman"/>
      <w:lvlText w:val="%6."/>
      <w:lvlJc w:val="right"/>
      <w:pPr>
        <w:tabs>
          <w:tab w:val="num" w:pos="4320"/>
        </w:tabs>
        <w:ind w:left="4320" w:hanging="180"/>
      </w:pPr>
      <w:rPr>
        <w:rFonts w:cs="Times New Roman"/>
      </w:rPr>
    </w:lvl>
    <w:lvl w:ilvl="6" w:tplc="250E1768" w:tentative="1">
      <w:start w:val="1"/>
      <w:numFmt w:val="decimal"/>
      <w:lvlText w:val="%7."/>
      <w:lvlJc w:val="left"/>
      <w:pPr>
        <w:tabs>
          <w:tab w:val="num" w:pos="5040"/>
        </w:tabs>
        <w:ind w:left="5040" w:hanging="360"/>
      </w:pPr>
      <w:rPr>
        <w:rFonts w:cs="Times New Roman"/>
      </w:rPr>
    </w:lvl>
    <w:lvl w:ilvl="7" w:tplc="70DC12BA" w:tentative="1">
      <w:start w:val="1"/>
      <w:numFmt w:val="lowerLetter"/>
      <w:lvlText w:val="%8."/>
      <w:lvlJc w:val="left"/>
      <w:pPr>
        <w:tabs>
          <w:tab w:val="num" w:pos="5760"/>
        </w:tabs>
        <w:ind w:left="5760" w:hanging="360"/>
      </w:pPr>
      <w:rPr>
        <w:rFonts w:cs="Times New Roman"/>
      </w:rPr>
    </w:lvl>
    <w:lvl w:ilvl="8" w:tplc="BAB8A30E" w:tentative="1">
      <w:start w:val="1"/>
      <w:numFmt w:val="lowerRoman"/>
      <w:lvlText w:val="%9."/>
      <w:lvlJc w:val="right"/>
      <w:pPr>
        <w:tabs>
          <w:tab w:val="num" w:pos="6480"/>
        </w:tabs>
        <w:ind w:left="6480" w:hanging="180"/>
      </w:pPr>
      <w:rPr>
        <w:rFonts w:cs="Times New Roman"/>
      </w:rPr>
    </w:lvl>
  </w:abstractNum>
  <w:abstractNum w:abstractNumId="45" w15:restartNumberingAfterBreak="0">
    <w:nsid w:val="04793DD7"/>
    <w:multiLevelType w:val="hybridMultilevel"/>
    <w:tmpl w:val="2A5A356E"/>
    <w:lvl w:ilvl="0" w:tplc="04020013">
      <w:start w:val="108"/>
      <w:numFmt w:val="bullet"/>
      <w:lvlText w:val="–"/>
      <w:lvlJc w:val="left"/>
      <w:pPr>
        <w:ind w:left="757" w:hanging="360"/>
      </w:pPr>
      <w:rPr>
        <w:rFonts w:ascii="Times New Roman" w:hAnsi="Times New Roman" w:hint="default"/>
      </w:rPr>
    </w:lvl>
    <w:lvl w:ilvl="1" w:tplc="04020003" w:tentative="1">
      <w:start w:val="1"/>
      <w:numFmt w:val="bullet"/>
      <w:lvlText w:val="o"/>
      <w:lvlJc w:val="left"/>
      <w:pPr>
        <w:ind w:left="1477" w:hanging="360"/>
      </w:pPr>
      <w:rPr>
        <w:rFonts w:ascii="Courier New" w:hAnsi="Courier New" w:cs="Courier New" w:hint="default"/>
      </w:rPr>
    </w:lvl>
    <w:lvl w:ilvl="2" w:tplc="04020005" w:tentative="1">
      <w:start w:val="1"/>
      <w:numFmt w:val="bullet"/>
      <w:lvlText w:val=""/>
      <w:lvlJc w:val="left"/>
      <w:pPr>
        <w:ind w:left="2197" w:hanging="360"/>
      </w:pPr>
      <w:rPr>
        <w:rFonts w:ascii="Wingdings" w:hAnsi="Wingdings" w:hint="default"/>
      </w:rPr>
    </w:lvl>
    <w:lvl w:ilvl="3" w:tplc="04020001" w:tentative="1">
      <w:start w:val="1"/>
      <w:numFmt w:val="bullet"/>
      <w:lvlText w:val=""/>
      <w:lvlJc w:val="left"/>
      <w:pPr>
        <w:ind w:left="2917" w:hanging="360"/>
      </w:pPr>
      <w:rPr>
        <w:rFonts w:ascii="Symbol" w:hAnsi="Symbol" w:hint="default"/>
      </w:rPr>
    </w:lvl>
    <w:lvl w:ilvl="4" w:tplc="04020003" w:tentative="1">
      <w:start w:val="1"/>
      <w:numFmt w:val="bullet"/>
      <w:lvlText w:val="o"/>
      <w:lvlJc w:val="left"/>
      <w:pPr>
        <w:ind w:left="3637" w:hanging="360"/>
      </w:pPr>
      <w:rPr>
        <w:rFonts w:ascii="Courier New" w:hAnsi="Courier New" w:cs="Courier New" w:hint="default"/>
      </w:rPr>
    </w:lvl>
    <w:lvl w:ilvl="5" w:tplc="04020005" w:tentative="1">
      <w:start w:val="1"/>
      <w:numFmt w:val="bullet"/>
      <w:lvlText w:val=""/>
      <w:lvlJc w:val="left"/>
      <w:pPr>
        <w:ind w:left="4357" w:hanging="360"/>
      </w:pPr>
      <w:rPr>
        <w:rFonts w:ascii="Wingdings" w:hAnsi="Wingdings" w:hint="default"/>
      </w:rPr>
    </w:lvl>
    <w:lvl w:ilvl="6" w:tplc="04020001" w:tentative="1">
      <w:start w:val="1"/>
      <w:numFmt w:val="bullet"/>
      <w:lvlText w:val=""/>
      <w:lvlJc w:val="left"/>
      <w:pPr>
        <w:ind w:left="5077" w:hanging="360"/>
      </w:pPr>
      <w:rPr>
        <w:rFonts w:ascii="Symbol" w:hAnsi="Symbol" w:hint="default"/>
      </w:rPr>
    </w:lvl>
    <w:lvl w:ilvl="7" w:tplc="04020003" w:tentative="1">
      <w:start w:val="1"/>
      <w:numFmt w:val="bullet"/>
      <w:lvlText w:val="o"/>
      <w:lvlJc w:val="left"/>
      <w:pPr>
        <w:ind w:left="5797" w:hanging="360"/>
      </w:pPr>
      <w:rPr>
        <w:rFonts w:ascii="Courier New" w:hAnsi="Courier New" w:cs="Courier New" w:hint="default"/>
      </w:rPr>
    </w:lvl>
    <w:lvl w:ilvl="8" w:tplc="04020005" w:tentative="1">
      <w:start w:val="1"/>
      <w:numFmt w:val="bullet"/>
      <w:lvlText w:val=""/>
      <w:lvlJc w:val="left"/>
      <w:pPr>
        <w:ind w:left="6517" w:hanging="360"/>
      </w:pPr>
      <w:rPr>
        <w:rFonts w:ascii="Wingdings" w:hAnsi="Wingdings" w:hint="default"/>
      </w:rPr>
    </w:lvl>
  </w:abstractNum>
  <w:abstractNum w:abstractNumId="46" w15:restartNumberingAfterBreak="0">
    <w:nsid w:val="04F56021"/>
    <w:multiLevelType w:val="hybridMultilevel"/>
    <w:tmpl w:val="15AE2DB2"/>
    <w:lvl w:ilvl="0" w:tplc="04020001">
      <w:start w:val="1"/>
      <w:numFmt w:val="decimal"/>
      <w:lvlText w:val="%1."/>
      <w:lvlJc w:val="left"/>
      <w:pPr>
        <w:tabs>
          <w:tab w:val="num" w:pos="720"/>
        </w:tabs>
        <w:ind w:left="720" w:hanging="360"/>
      </w:pPr>
    </w:lvl>
    <w:lvl w:ilvl="1" w:tplc="04020003" w:tentative="1">
      <w:start w:val="1"/>
      <w:numFmt w:val="decimal"/>
      <w:lvlText w:val="%2."/>
      <w:lvlJc w:val="left"/>
      <w:pPr>
        <w:tabs>
          <w:tab w:val="num" w:pos="1440"/>
        </w:tabs>
        <w:ind w:left="1440" w:hanging="360"/>
      </w:pPr>
    </w:lvl>
    <w:lvl w:ilvl="2" w:tplc="04020005" w:tentative="1">
      <w:start w:val="1"/>
      <w:numFmt w:val="decimal"/>
      <w:lvlText w:val="%3."/>
      <w:lvlJc w:val="left"/>
      <w:pPr>
        <w:tabs>
          <w:tab w:val="num" w:pos="2160"/>
        </w:tabs>
        <w:ind w:left="2160" w:hanging="360"/>
      </w:pPr>
    </w:lvl>
    <w:lvl w:ilvl="3" w:tplc="04020001" w:tentative="1">
      <w:start w:val="1"/>
      <w:numFmt w:val="decimal"/>
      <w:lvlText w:val="%4."/>
      <w:lvlJc w:val="left"/>
      <w:pPr>
        <w:tabs>
          <w:tab w:val="num" w:pos="2880"/>
        </w:tabs>
        <w:ind w:left="2880" w:hanging="360"/>
      </w:pPr>
    </w:lvl>
    <w:lvl w:ilvl="4" w:tplc="04020003" w:tentative="1">
      <w:start w:val="1"/>
      <w:numFmt w:val="decimal"/>
      <w:lvlText w:val="%5."/>
      <w:lvlJc w:val="left"/>
      <w:pPr>
        <w:tabs>
          <w:tab w:val="num" w:pos="3600"/>
        </w:tabs>
        <w:ind w:left="3600" w:hanging="360"/>
      </w:pPr>
    </w:lvl>
    <w:lvl w:ilvl="5" w:tplc="04020005" w:tentative="1">
      <w:start w:val="1"/>
      <w:numFmt w:val="decimal"/>
      <w:lvlText w:val="%6."/>
      <w:lvlJc w:val="left"/>
      <w:pPr>
        <w:tabs>
          <w:tab w:val="num" w:pos="4320"/>
        </w:tabs>
        <w:ind w:left="4320" w:hanging="360"/>
      </w:pPr>
    </w:lvl>
    <w:lvl w:ilvl="6" w:tplc="04020001" w:tentative="1">
      <w:start w:val="1"/>
      <w:numFmt w:val="decimal"/>
      <w:lvlText w:val="%7."/>
      <w:lvlJc w:val="left"/>
      <w:pPr>
        <w:tabs>
          <w:tab w:val="num" w:pos="5040"/>
        </w:tabs>
        <w:ind w:left="5040" w:hanging="360"/>
      </w:pPr>
    </w:lvl>
    <w:lvl w:ilvl="7" w:tplc="04020003" w:tentative="1">
      <w:start w:val="1"/>
      <w:numFmt w:val="decimal"/>
      <w:lvlText w:val="%8."/>
      <w:lvlJc w:val="left"/>
      <w:pPr>
        <w:tabs>
          <w:tab w:val="num" w:pos="5760"/>
        </w:tabs>
        <w:ind w:left="5760" w:hanging="360"/>
      </w:pPr>
    </w:lvl>
    <w:lvl w:ilvl="8" w:tplc="04020005" w:tentative="1">
      <w:start w:val="1"/>
      <w:numFmt w:val="decimal"/>
      <w:lvlText w:val="%9."/>
      <w:lvlJc w:val="left"/>
      <w:pPr>
        <w:tabs>
          <w:tab w:val="num" w:pos="6480"/>
        </w:tabs>
        <w:ind w:left="6480" w:hanging="360"/>
      </w:pPr>
    </w:lvl>
  </w:abstractNum>
  <w:abstractNum w:abstractNumId="47" w15:restartNumberingAfterBreak="0">
    <w:nsid w:val="05623947"/>
    <w:multiLevelType w:val="hybridMultilevel"/>
    <w:tmpl w:val="35EABA52"/>
    <w:lvl w:ilvl="0" w:tplc="04020013">
      <w:start w:val="108"/>
      <w:numFmt w:val="bullet"/>
      <w:lvlText w:val="–"/>
      <w:lvlJc w:val="left"/>
      <w:pPr>
        <w:ind w:left="720" w:hanging="360"/>
      </w:pPr>
      <w:rPr>
        <w:rFonts w:ascii="Times New Roman" w:hAnsi="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8" w15:restartNumberingAfterBreak="0">
    <w:nsid w:val="06162ABE"/>
    <w:multiLevelType w:val="hybridMultilevel"/>
    <w:tmpl w:val="CF14AF2E"/>
    <w:name w:val="WW8Num8"/>
    <w:lvl w:ilvl="0" w:tplc="7F16ED26">
      <w:start w:val="1"/>
      <w:numFmt w:val="bullet"/>
      <w:lvlText w:val=""/>
      <w:lvlJc w:val="left"/>
      <w:pPr>
        <w:tabs>
          <w:tab w:val="num" w:pos="720"/>
        </w:tabs>
        <w:ind w:left="720" w:hanging="360"/>
      </w:pPr>
      <w:rPr>
        <w:rFonts w:ascii="Symbol" w:hAnsi="Symbol" w:hint="default"/>
      </w:rPr>
    </w:lvl>
    <w:lvl w:ilvl="1" w:tplc="8B62B2CA" w:tentative="1">
      <w:start w:val="1"/>
      <w:numFmt w:val="bullet"/>
      <w:lvlText w:val="o"/>
      <w:lvlJc w:val="left"/>
      <w:pPr>
        <w:tabs>
          <w:tab w:val="num" w:pos="1440"/>
        </w:tabs>
        <w:ind w:left="1440" w:hanging="360"/>
      </w:pPr>
      <w:rPr>
        <w:rFonts w:ascii="Courier New" w:hAnsi="Courier New" w:hint="default"/>
      </w:rPr>
    </w:lvl>
    <w:lvl w:ilvl="2" w:tplc="7910FD0A" w:tentative="1">
      <w:start w:val="1"/>
      <w:numFmt w:val="bullet"/>
      <w:lvlText w:val=""/>
      <w:lvlJc w:val="left"/>
      <w:pPr>
        <w:tabs>
          <w:tab w:val="num" w:pos="2160"/>
        </w:tabs>
        <w:ind w:left="2160" w:hanging="360"/>
      </w:pPr>
      <w:rPr>
        <w:rFonts w:ascii="Wingdings" w:hAnsi="Wingdings" w:hint="default"/>
      </w:rPr>
    </w:lvl>
    <w:lvl w:ilvl="3" w:tplc="F3B2AA5E" w:tentative="1">
      <w:start w:val="1"/>
      <w:numFmt w:val="bullet"/>
      <w:lvlText w:val=""/>
      <w:lvlJc w:val="left"/>
      <w:pPr>
        <w:tabs>
          <w:tab w:val="num" w:pos="2880"/>
        </w:tabs>
        <w:ind w:left="2880" w:hanging="360"/>
      </w:pPr>
      <w:rPr>
        <w:rFonts w:ascii="Symbol" w:hAnsi="Symbol" w:hint="default"/>
      </w:rPr>
    </w:lvl>
    <w:lvl w:ilvl="4" w:tplc="52F873B6" w:tentative="1">
      <w:start w:val="1"/>
      <w:numFmt w:val="bullet"/>
      <w:lvlText w:val="o"/>
      <w:lvlJc w:val="left"/>
      <w:pPr>
        <w:tabs>
          <w:tab w:val="num" w:pos="3600"/>
        </w:tabs>
        <w:ind w:left="3600" w:hanging="360"/>
      </w:pPr>
      <w:rPr>
        <w:rFonts w:ascii="Courier New" w:hAnsi="Courier New" w:hint="default"/>
      </w:rPr>
    </w:lvl>
    <w:lvl w:ilvl="5" w:tplc="97EEF282" w:tentative="1">
      <w:start w:val="1"/>
      <w:numFmt w:val="bullet"/>
      <w:lvlText w:val=""/>
      <w:lvlJc w:val="left"/>
      <w:pPr>
        <w:tabs>
          <w:tab w:val="num" w:pos="4320"/>
        </w:tabs>
        <w:ind w:left="4320" w:hanging="360"/>
      </w:pPr>
      <w:rPr>
        <w:rFonts w:ascii="Wingdings" w:hAnsi="Wingdings" w:hint="default"/>
      </w:rPr>
    </w:lvl>
    <w:lvl w:ilvl="6" w:tplc="F448F5B4" w:tentative="1">
      <w:start w:val="1"/>
      <w:numFmt w:val="bullet"/>
      <w:lvlText w:val=""/>
      <w:lvlJc w:val="left"/>
      <w:pPr>
        <w:tabs>
          <w:tab w:val="num" w:pos="5040"/>
        </w:tabs>
        <w:ind w:left="5040" w:hanging="360"/>
      </w:pPr>
      <w:rPr>
        <w:rFonts w:ascii="Symbol" w:hAnsi="Symbol" w:hint="default"/>
      </w:rPr>
    </w:lvl>
    <w:lvl w:ilvl="7" w:tplc="84BE0076" w:tentative="1">
      <w:start w:val="1"/>
      <w:numFmt w:val="bullet"/>
      <w:lvlText w:val="o"/>
      <w:lvlJc w:val="left"/>
      <w:pPr>
        <w:tabs>
          <w:tab w:val="num" w:pos="5760"/>
        </w:tabs>
        <w:ind w:left="5760" w:hanging="360"/>
      </w:pPr>
      <w:rPr>
        <w:rFonts w:ascii="Courier New" w:hAnsi="Courier New" w:hint="default"/>
      </w:rPr>
    </w:lvl>
    <w:lvl w:ilvl="8" w:tplc="287A369C"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06326D22"/>
    <w:multiLevelType w:val="hybridMultilevel"/>
    <w:tmpl w:val="D6BECF94"/>
    <w:lvl w:ilvl="0" w:tplc="B0C05E2A">
      <w:start w:val="1"/>
      <w:numFmt w:val="lowerLetter"/>
      <w:lvlText w:val="%1."/>
      <w:lvlJc w:val="left"/>
      <w:pPr>
        <w:ind w:left="420" w:hanging="360"/>
      </w:pPr>
      <w:rPr>
        <w:rFonts w:hint="default"/>
      </w:rPr>
    </w:lvl>
    <w:lvl w:ilvl="1" w:tplc="04020019" w:tentative="1">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abstractNum w:abstractNumId="50" w15:restartNumberingAfterBreak="0">
    <w:nsid w:val="06495B74"/>
    <w:multiLevelType w:val="hybridMultilevel"/>
    <w:tmpl w:val="760E6DC6"/>
    <w:lvl w:ilvl="0" w:tplc="4D506FF0">
      <w:start w:val="1"/>
      <w:numFmt w:val="bullet"/>
      <w:lvlText w:val=""/>
      <w:lvlJc w:val="left"/>
      <w:pPr>
        <w:ind w:left="360" w:hanging="360"/>
      </w:pPr>
      <w:rPr>
        <w:rFonts w:ascii="Wingdings" w:hAnsi="Wingdings" w:hint="default"/>
        <w:b w:val="0"/>
        <w:i w:val="0"/>
        <w:sz w:val="24"/>
        <w:u w:val="none"/>
      </w:rPr>
    </w:lvl>
    <w:lvl w:ilvl="1" w:tplc="CD361348">
      <w:start w:val="1"/>
      <w:numFmt w:val="bullet"/>
      <w:lvlText w:val="o"/>
      <w:lvlJc w:val="left"/>
      <w:pPr>
        <w:ind w:left="1080" w:hanging="360"/>
      </w:pPr>
      <w:rPr>
        <w:rFonts w:ascii="Courier New" w:hAnsi="Courier New" w:cs="Courier New" w:hint="default"/>
      </w:rPr>
    </w:lvl>
    <w:lvl w:ilvl="2" w:tplc="3340A2EC" w:tentative="1">
      <w:start w:val="1"/>
      <w:numFmt w:val="bullet"/>
      <w:lvlText w:val=""/>
      <w:lvlJc w:val="left"/>
      <w:pPr>
        <w:ind w:left="1800" w:hanging="360"/>
      </w:pPr>
      <w:rPr>
        <w:rFonts w:ascii="Wingdings" w:hAnsi="Wingdings" w:hint="default"/>
      </w:rPr>
    </w:lvl>
    <w:lvl w:ilvl="3" w:tplc="C15EB7CA" w:tentative="1">
      <w:start w:val="1"/>
      <w:numFmt w:val="bullet"/>
      <w:lvlText w:val=""/>
      <w:lvlJc w:val="left"/>
      <w:pPr>
        <w:ind w:left="2520" w:hanging="360"/>
      </w:pPr>
      <w:rPr>
        <w:rFonts w:ascii="Symbol" w:hAnsi="Symbol" w:hint="default"/>
      </w:rPr>
    </w:lvl>
    <w:lvl w:ilvl="4" w:tplc="56B23EE2" w:tentative="1">
      <w:start w:val="1"/>
      <w:numFmt w:val="bullet"/>
      <w:lvlText w:val="o"/>
      <w:lvlJc w:val="left"/>
      <w:pPr>
        <w:ind w:left="3240" w:hanging="360"/>
      </w:pPr>
      <w:rPr>
        <w:rFonts w:ascii="Courier New" w:hAnsi="Courier New" w:cs="Courier New" w:hint="default"/>
      </w:rPr>
    </w:lvl>
    <w:lvl w:ilvl="5" w:tplc="D7CC610A" w:tentative="1">
      <w:start w:val="1"/>
      <w:numFmt w:val="bullet"/>
      <w:lvlText w:val=""/>
      <w:lvlJc w:val="left"/>
      <w:pPr>
        <w:ind w:left="3960" w:hanging="360"/>
      </w:pPr>
      <w:rPr>
        <w:rFonts w:ascii="Wingdings" w:hAnsi="Wingdings" w:hint="default"/>
      </w:rPr>
    </w:lvl>
    <w:lvl w:ilvl="6" w:tplc="5554CB7C" w:tentative="1">
      <w:start w:val="1"/>
      <w:numFmt w:val="bullet"/>
      <w:lvlText w:val=""/>
      <w:lvlJc w:val="left"/>
      <w:pPr>
        <w:ind w:left="4680" w:hanging="360"/>
      </w:pPr>
      <w:rPr>
        <w:rFonts w:ascii="Symbol" w:hAnsi="Symbol" w:hint="default"/>
      </w:rPr>
    </w:lvl>
    <w:lvl w:ilvl="7" w:tplc="CDA83B30" w:tentative="1">
      <w:start w:val="1"/>
      <w:numFmt w:val="bullet"/>
      <w:lvlText w:val="o"/>
      <w:lvlJc w:val="left"/>
      <w:pPr>
        <w:ind w:left="5400" w:hanging="360"/>
      </w:pPr>
      <w:rPr>
        <w:rFonts w:ascii="Courier New" w:hAnsi="Courier New" w:cs="Courier New" w:hint="default"/>
      </w:rPr>
    </w:lvl>
    <w:lvl w:ilvl="8" w:tplc="1B82939C" w:tentative="1">
      <w:start w:val="1"/>
      <w:numFmt w:val="bullet"/>
      <w:lvlText w:val=""/>
      <w:lvlJc w:val="left"/>
      <w:pPr>
        <w:ind w:left="6120" w:hanging="360"/>
      </w:pPr>
      <w:rPr>
        <w:rFonts w:ascii="Wingdings" w:hAnsi="Wingdings" w:hint="default"/>
      </w:rPr>
    </w:lvl>
  </w:abstractNum>
  <w:abstractNum w:abstractNumId="51" w15:restartNumberingAfterBreak="0">
    <w:nsid w:val="065F164F"/>
    <w:multiLevelType w:val="multilevel"/>
    <w:tmpl w:val="F2427656"/>
    <w:lvl w:ilvl="0">
      <w:start w:val="1"/>
      <w:numFmt w:val="decimal"/>
      <w:lvlText w:val="%1."/>
      <w:lvlJc w:val="left"/>
      <w:pPr>
        <w:tabs>
          <w:tab w:val="num" w:pos="1140"/>
        </w:tabs>
        <w:ind w:left="1140" w:hanging="78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066B5C5C"/>
    <w:multiLevelType w:val="hybridMultilevel"/>
    <w:tmpl w:val="DB10AD04"/>
    <w:lvl w:ilvl="0" w:tplc="FFFFFFFF">
      <w:start w:val="1"/>
      <w:numFmt w:val="bullet"/>
      <w:lvlText w:val=""/>
      <w:lvlJc w:val="left"/>
      <w:pPr>
        <w:tabs>
          <w:tab w:val="num" w:pos="2480"/>
        </w:tabs>
        <w:ind w:left="2480" w:hanging="360"/>
      </w:pPr>
      <w:rPr>
        <w:rFonts w:ascii="Symbol" w:hAnsi="Symbol" w:hint="default"/>
      </w:rPr>
    </w:lvl>
    <w:lvl w:ilvl="1" w:tplc="04020003" w:tentative="1">
      <w:start w:val="1"/>
      <w:numFmt w:val="bullet"/>
      <w:lvlText w:val="o"/>
      <w:lvlJc w:val="left"/>
      <w:pPr>
        <w:tabs>
          <w:tab w:val="num" w:pos="1800"/>
        </w:tabs>
        <w:ind w:left="1800" w:hanging="360"/>
      </w:pPr>
      <w:rPr>
        <w:rFonts w:ascii="Courier New" w:hAnsi="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53" w15:restartNumberingAfterBreak="0">
    <w:nsid w:val="06785A4A"/>
    <w:multiLevelType w:val="hybridMultilevel"/>
    <w:tmpl w:val="AD86781C"/>
    <w:lvl w:ilvl="0" w:tplc="04020013">
      <w:start w:val="108"/>
      <w:numFmt w:val="bullet"/>
      <w:lvlText w:val="–"/>
      <w:lvlJc w:val="left"/>
      <w:pPr>
        <w:ind w:left="720" w:hanging="360"/>
      </w:pPr>
      <w:rPr>
        <w:rFonts w:ascii="Times New Roman" w:hAnsi="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4" w15:restartNumberingAfterBreak="0">
    <w:nsid w:val="06E82B9A"/>
    <w:multiLevelType w:val="hybridMultilevel"/>
    <w:tmpl w:val="BFCA56EA"/>
    <w:lvl w:ilvl="0" w:tplc="0402000F">
      <w:start w:val="1"/>
      <w:numFmt w:val="bullet"/>
      <w:lvlText w:val=""/>
      <w:lvlJc w:val="left"/>
      <w:pPr>
        <w:ind w:left="153" w:hanging="360"/>
      </w:pPr>
      <w:rPr>
        <w:rFonts w:ascii="Symbol" w:hAnsi="Symbol" w:hint="default"/>
      </w:rPr>
    </w:lvl>
    <w:lvl w:ilvl="1" w:tplc="04020019" w:tentative="1">
      <w:start w:val="1"/>
      <w:numFmt w:val="bullet"/>
      <w:lvlText w:val="o"/>
      <w:lvlJc w:val="left"/>
      <w:pPr>
        <w:ind w:left="873" w:hanging="360"/>
      </w:pPr>
      <w:rPr>
        <w:rFonts w:ascii="Courier New" w:hAnsi="Courier New" w:cs="Courier New" w:hint="default"/>
      </w:rPr>
    </w:lvl>
    <w:lvl w:ilvl="2" w:tplc="0402001B" w:tentative="1">
      <w:start w:val="1"/>
      <w:numFmt w:val="bullet"/>
      <w:lvlText w:val=""/>
      <w:lvlJc w:val="left"/>
      <w:pPr>
        <w:ind w:left="1593" w:hanging="360"/>
      </w:pPr>
      <w:rPr>
        <w:rFonts w:ascii="Wingdings" w:hAnsi="Wingdings" w:hint="default"/>
      </w:rPr>
    </w:lvl>
    <w:lvl w:ilvl="3" w:tplc="0402000F" w:tentative="1">
      <w:start w:val="1"/>
      <w:numFmt w:val="bullet"/>
      <w:lvlText w:val=""/>
      <w:lvlJc w:val="left"/>
      <w:pPr>
        <w:ind w:left="2313" w:hanging="360"/>
      </w:pPr>
      <w:rPr>
        <w:rFonts w:ascii="Symbol" w:hAnsi="Symbol" w:hint="default"/>
      </w:rPr>
    </w:lvl>
    <w:lvl w:ilvl="4" w:tplc="04020019" w:tentative="1">
      <w:start w:val="1"/>
      <w:numFmt w:val="bullet"/>
      <w:lvlText w:val="o"/>
      <w:lvlJc w:val="left"/>
      <w:pPr>
        <w:ind w:left="3033" w:hanging="360"/>
      </w:pPr>
      <w:rPr>
        <w:rFonts w:ascii="Courier New" w:hAnsi="Courier New" w:cs="Courier New" w:hint="default"/>
      </w:rPr>
    </w:lvl>
    <w:lvl w:ilvl="5" w:tplc="0402001B" w:tentative="1">
      <w:start w:val="1"/>
      <w:numFmt w:val="bullet"/>
      <w:lvlText w:val=""/>
      <w:lvlJc w:val="left"/>
      <w:pPr>
        <w:ind w:left="3753" w:hanging="360"/>
      </w:pPr>
      <w:rPr>
        <w:rFonts w:ascii="Wingdings" w:hAnsi="Wingdings" w:hint="default"/>
      </w:rPr>
    </w:lvl>
    <w:lvl w:ilvl="6" w:tplc="0402000F" w:tentative="1">
      <w:start w:val="1"/>
      <w:numFmt w:val="bullet"/>
      <w:lvlText w:val=""/>
      <w:lvlJc w:val="left"/>
      <w:pPr>
        <w:ind w:left="4473" w:hanging="360"/>
      </w:pPr>
      <w:rPr>
        <w:rFonts w:ascii="Symbol" w:hAnsi="Symbol" w:hint="default"/>
      </w:rPr>
    </w:lvl>
    <w:lvl w:ilvl="7" w:tplc="04020019" w:tentative="1">
      <w:start w:val="1"/>
      <w:numFmt w:val="bullet"/>
      <w:lvlText w:val="o"/>
      <w:lvlJc w:val="left"/>
      <w:pPr>
        <w:ind w:left="5193" w:hanging="360"/>
      </w:pPr>
      <w:rPr>
        <w:rFonts w:ascii="Courier New" w:hAnsi="Courier New" w:cs="Courier New" w:hint="default"/>
      </w:rPr>
    </w:lvl>
    <w:lvl w:ilvl="8" w:tplc="0402001B" w:tentative="1">
      <w:start w:val="1"/>
      <w:numFmt w:val="bullet"/>
      <w:lvlText w:val=""/>
      <w:lvlJc w:val="left"/>
      <w:pPr>
        <w:ind w:left="5913" w:hanging="360"/>
      </w:pPr>
      <w:rPr>
        <w:rFonts w:ascii="Wingdings" w:hAnsi="Wingdings" w:hint="default"/>
      </w:rPr>
    </w:lvl>
  </w:abstractNum>
  <w:abstractNum w:abstractNumId="55" w15:restartNumberingAfterBreak="0">
    <w:nsid w:val="078D6439"/>
    <w:multiLevelType w:val="hybridMultilevel"/>
    <w:tmpl w:val="34DEB83A"/>
    <w:lvl w:ilvl="0" w:tplc="FFFFFFFF">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6" w15:restartNumberingAfterBreak="0">
    <w:nsid w:val="083F7ED4"/>
    <w:multiLevelType w:val="hybridMultilevel"/>
    <w:tmpl w:val="A8728A14"/>
    <w:lvl w:ilvl="0" w:tplc="04020001">
      <w:start w:val="1"/>
      <w:numFmt w:val="bullet"/>
      <w:lvlText w:val=""/>
      <w:lvlJc w:val="left"/>
      <w:pPr>
        <w:tabs>
          <w:tab w:val="num" w:pos="1080"/>
        </w:tabs>
        <w:ind w:left="1080" w:hanging="360"/>
      </w:pPr>
      <w:rPr>
        <w:rFonts w:ascii="Symbol" w:hAnsi="Symbol" w:cs="Symbol"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57" w15:restartNumberingAfterBreak="0">
    <w:nsid w:val="09205104"/>
    <w:multiLevelType w:val="multilevel"/>
    <w:tmpl w:val="7990FCD6"/>
    <w:lvl w:ilvl="0">
      <w:start w:val="1"/>
      <w:numFmt w:val="bullet"/>
      <w:pStyle w:val="bodyt"/>
      <w:lvlText w:val=""/>
      <w:lvlJc w:val="left"/>
      <w:pPr>
        <w:tabs>
          <w:tab w:val="num" w:pos="1287"/>
        </w:tabs>
        <w:ind w:left="1287" w:hanging="360"/>
      </w:pPr>
      <w:rPr>
        <w:rFonts w:ascii="Symbol" w:hAnsi="Symbol" w:cs="Symbol" w:hint="default"/>
        <w:sz w:val="24"/>
        <w:szCs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58" w15:restartNumberingAfterBreak="0">
    <w:nsid w:val="094A0772"/>
    <w:multiLevelType w:val="hybridMultilevel"/>
    <w:tmpl w:val="6A469206"/>
    <w:lvl w:ilvl="0" w:tplc="B07E441C">
      <w:start w:val="6"/>
      <w:numFmt w:val="bullet"/>
      <w:lvlText w:val="-"/>
      <w:lvlJc w:val="left"/>
      <w:pPr>
        <w:ind w:left="0" w:hanging="360"/>
      </w:pPr>
      <w:rPr>
        <w:rFonts w:ascii="Cambria" w:eastAsiaTheme="minorHAnsi" w:hAnsi="Cambria" w:cs="Times New Roman" w:hint="default"/>
      </w:rPr>
    </w:lvl>
    <w:lvl w:ilvl="1" w:tplc="04020013">
      <w:start w:val="108"/>
      <w:numFmt w:val="bullet"/>
      <w:lvlText w:val="–"/>
      <w:lvlJc w:val="left"/>
      <w:pPr>
        <w:ind w:left="720" w:hanging="360"/>
      </w:pPr>
      <w:rPr>
        <w:rFonts w:ascii="Times New Roman" w:hAnsi="Times New Roman" w:hint="default"/>
      </w:rPr>
    </w:lvl>
    <w:lvl w:ilvl="2" w:tplc="268421E6" w:tentative="1">
      <w:start w:val="1"/>
      <w:numFmt w:val="bullet"/>
      <w:lvlText w:val=""/>
      <w:lvlJc w:val="left"/>
      <w:pPr>
        <w:ind w:left="1440" w:hanging="360"/>
      </w:pPr>
      <w:rPr>
        <w:rFonts w:ascii="Wingdings" w:hAnsi="Wingdings" w:hint="default"/>
      </w:rPr>
    </w:lvl>
    <w:lvl w:ilvl="3" w:tplc="E182E2BA" w:tentative="1">
      <w:start w:val="1"/>
      <w:numFmt w:val="bullet"/>
      <w:lvlText w:val=""/>
      <w:lvlJc w:val="left"/>
      <w:pPr>
        <w:ind w:left="2160" w:hanging="360"/>
      </w:pPr>
      <w:rPr>
        <w:rFonts w:ascii="Symbol" w:hAnsi="Symbol" w:hint="default"/>
      </w:rPr>
    </w:lvl>
    <w:lvl w:ilvl="4" w:tplc="91F6074A" w:tentative="1">
      <w:start w:val="1"/>
      <w:numFmt w:val="bullet"/>
      <w:lvlText w:val="o"/>
      <w:lvlJc w:val="left"/>
      <w:pPr>
        <w:ind w:left="2880" w:hanging="360"/>
      </w:pPr>
      <w:rPr>
        <w:rFonts w:ascii="Courier New" w:hAnsi="Courier New" w:cs="Courier New" w:hint="default"/>
      </w:rPr>
    </w:lvl>
    <w:lvl w:ilvl="5" w:tplc="ECEA75C0" w:tentative="1">
      <w:start w:val="1"/>
      <w:numFmt w:val="bullet"/>
      <w:lvlText w:val=""/>
      <w:lvlJc w:val="left"/>
      <w:pPr>
        <w:ind w:left="3600" w:hanging="360"/>
      </w:pPr>
      <w:rPr>
        <w:rFonts w:ascii="Wingdings" w:hAnsi="Wingdings" w:hint="default"/>
      </w:rPr>
    </w:lvl>
    <w:lvl w:ilvl="6" w:tplc="DA3E263C" w:tentative="1">
      <w:start w:val="1"/>
      <w:numFmt w:val="bullet"/>
      <w:lvlText w:val=""/>
      <w:lvlJc w:val="left"/>
      <w:pPr>
        <w:ind w:left="4320" w:hanging="360"/>
      </w:pPr>
      <w:rPr>
        <w:rFonts w:ascii="Symbol" w:hAnsi="Symbol" w:hint="default"/>
      </w:rPr>
    </w:lvl>
    <w:lvl w:ilvl="7" w:tplc="125470AA" w:tentative="1">
      <w:start w:val="1"/>
      <w:numFmt w:val="bullet"/>
      <w:lvlText w:val="o"/>
      <w:lvlJc w:val="left"/>
      <w:pPr>
        <w:ind w:left="5040" w:hanging="360"/>
      </w:pPr>
      <w:rPr>
        <w:rFonts w:ascii="Courier New" w:hAnsi="Courier New" w:cs="Courier New" w:hint="default"/>
      </w:rPr>
    </w:lvl>
    <w:lvl w:ilvl="8" w:tplc="9A10D790" w:tentative="1">
      <w:start w:val="1"/>
      <w:numFmt w:val="bullet"/>
      <w:lvlText w:val=""/>
      <w:lvlJc w:val="left"/>
      <w:pPr>
        <w:ind w:left="5760" w:hanging="360"/>
      </w:pPr>
      <w:rPr>
        <w:rFonts w:ascii="Wingdings" w:hAnsi="Wingdings" w:hint="default"/>
      </w:rPr>
    </w:lvl>
  </w:abstractNum>
  <w:abstractNum w:abstractNumId="59" w15:restartNumberingAfterBreak="0">
    <w:nsid w:val="09C27A98"/>
    <w:multiLevelType w:val="hybridMultilevel"/>
    <w:tmpl w:val="E1422AD6"/>
    <w:lvl w:ilvl="0" w:tplc="E202FB7E">
      <w:start w:val="1"/>
      <w:numFmt w:val="bullet"/>
      <w:lvlText w:val="•"/>
      <w:lvlJc w:val="left"/>
      <w:pPr>
        <w:tabs>
          <w:tab w:val="num" w:pos="720"/>
        </w:tabs>
        <w:ind w:left="720" w:hanging="360"/>
      </w:pPr>
      <w:rPr>
        <w:rFonts w:ascii="Times New Roman" w:hAnsi="Times New Roman" w:cs="Times New Roman" w:hint="default"/>
      </w:rPr>
    </w:lvl>
    <w:lvl w:ilvl="1" w:tplc="9D44B598">
      <w:start w:val="481"/>
      <w:numFmt w:val="bullet"/>
      <w:lvlText w:val="–"/>
      <w:lvlJc w:val="left"/>
      <w:pPr>
        <w:tabs>
          <w:tab w:val="num" w:pos="1440"/>
        </w:tabs>
        <w:ind w:left="1440" w:hanging="360"/>
      </w:pPr>
      <w:rPr>
        <w:rFonts w:ascii="Times New Roman" w:hAnsi="Times New Roman" w:cs="Times New Roman" w:hint="default"/>
      </w:rPr>
    </w:lvl>
    <w:lvl w:ilvl="2" w:tplc="0A0A5EE4">
      <w:start w:val="1"/>
      <w:numFmt w:val="bullet"/>
      <w:lvlText w:val="•"/>
      <w:lvlJc w:val="left"/>
      <w:pPr>
        <w:tabs>
          <w:tab w:val="num" w:pos="2160"/>
        </w:tabs>
        <w:ind w:left="2160" w:hanging="360"/>
      </w:pPr>
      <w:rPr>
        <w:rFonts w:ascii="Times New Roman" w:hAnsi="Times New Roman" w:cs="Times New Roman" w:hint="default"/>
      </w:rPr>
    </w:lvl>
    <w:lvl w:ilvl="3" w:tplc="E54C4F4A">
      <w:start w:val="1"/>
      <w:numFmt w:val="bullet"/>
      <w:lvlText w:val="•"/>
      <w:lvlJc w:val="left"/>
      <w:pPr>
        <w:tabs>
          <w:tab w:val="num" w:pos="2880"/>
        </w:tabs>
        <w:ind w:left="2880" w:hanging="360"/>
      </w:pPr>
      <w:rPr>
        <w:rFonts w:ascii="Times New Roman" w:hAnsi="Times New Roman" w:cs="Times New Roman" w:hint="default"/>
      </w:rPr>
    </w:lvl>
    <w:lvl w:ilvl="4" w:tplc="5CA8ECE2">
      <w:start w:val="1"/>
      <w:numFmt w:val="bullet"/>
      <w:lvlText w:val="•"/>
      <w:lvlJc w:val="left"/>
      <w:pPr>
        <w:tabs>
          <w:tab w:val="num" w:pos="3600"/>
        </w:tabs>
        <w:ind w:left="3600" w:hanging="360"/>
      </w:pPr>
      <w:rPr>
        <w:rFonts w:ascii="Times New Roman" w:hAnsi="Times New Roman" w:cs="Times New Roman" w:hint="default"/>
      </w:rPr>
    </w:lvl>
    <w:lvl w:ilvl="5" w:tplc="51A0FC0E">
      <w:start w:val="1"/>
      <w:numFmt w:val="bullet"/>
      <w:lvlText w:val="•"/>
      <w:lvlJc w:val="left"/>
      <w:pPr>
        <w:tabs>
          <w:tab w:val="num" w:pos="4320"/>
        </w:tabs>
        <w:ind w:left="4320" w:hanging="360"/>
      </w:pPr>
      <w:rPr>
        <w:rFonts w:ascii="Times New Roman" w:hAnsi="Times New Roman" w:cs="Times New Roman" w:hint="default"/>
      </w:rPr>
    </w:lvl>
    <w:lvl w:ilvl="6" w:tplc="6C4AD334">
      <w:start w:val="1"/>
      <w:numFmt w:val="bullet"/>
      <w:lvlText w:val="•"/>
      <w:lvlJc w:val="left"/>
      <w:pPr>
        <w:tabs>
          <w:tab w:val="num" w:pos="5040"/>
        </w:tabs>
        <w:ind w:left="5040" w:hanging="360"/>
      </w:pPr>
      <w:rPr>
        <w:rFonts w:ascii="Times New Roman" w:hAnsi="Times New Roman" w:cs="Times New Roman" w:hint="default"/>
      </w:rPr>
    </w:lvl>
    <w:lvl w:ilvl="7" w:tplc="13F298EE">
      <w:start w:val="1"/>
      <w:numFmt w:val="bullet"/>
      <w:lvlText w:val="•"/>
      <w:lvlJc w:val="left"/>
      <w:pPr>
        <w:tabs>
          <w:tab w:val="num" w:pos="5760"/>
        </w:tabs>
        <w:ind w:left="5760" w:hanging="360"/>
      </w:pPr>
      <w:rPr>
        <w:rFonts w:ascii="Times New Roman" w:hAnsi="Times New Roman" w:cs="Times New Roman" w:hint="default"/>
      </w:rPr>
    </w:lvl>
    <w:lvl w:ilvl="8" w:tplc="4C7A53B0">
      <w:start w:val="1"/>
      <w:numFmt w:val="bullet"/>
      <w:lvlText w:val="•"/>
      <w:lvlJc w:val="left"/>
      <w:pPr>
        <w:tabs>
          <w:tab w:val="num" w:pos="6480"/>
        </w:tabs>
        <w:ind w:left="6480" w:hanging="360"/>
      </w:pPr>
      <w:rPr>
        <w:rFonts w:ascii="Times New Roman" w:hAnsi="Times New Roman" w:cs="Times New Roman" w:hint="default"/>
      </w:rPr>
    </w:lvl>
  </w:abstractNum>
  <w:abstractNum w:abstractNumId="60" w15:restartNumberingAfterBreak="0">
    <w:nsid w:val="0B14296C"/>
    <w:multiLevelType w:val="hybridMultilevel"/>
    <w:tmpl w:val="B14897F0"/>
    <w:lvl w:ilvl="0" w:tplc="BC825F10">
      <w:start w:val="1"/>
      <w:numFmt w:val="bullet"/>
      <w:lvlText w:val=""/>
      <w:lvlJc w:val="left"/>
      <w:pPr>
        <w:tabs>
          <w:tab w:val="num" w:pos="720"/>
        </w:tabs>
        <w:ind w:left="720" w:hanging="360"/>
      </w:pPr>
      <w:rPr>
        <w:rFonts w:ascii="Symbol" w:hAnsi="Symbol" w:cs="Symbol" w:hint="default"/>
      </w:rPr>
    </w:lvl>
    <w:lvl w:ilvl="1" w:tplc="459021C2">
      <w:start w:val="1"/>
      <w:numFmt w:val="bullet"/>
      <w:lvlText w:val="o"/>
      <w:lvlJc w:val="left"/>
      <w:pPr>
        <w:tabs>
          <w:tab w:val="num" w:pos="1440"/>
        </w:tabs>
        <w:ind w:left="1440" w:hanging="360"/>
      </w:pPr>
      <w:rPr>
        <w:rFonts w:ascii="Courier New" w:hAnsi="Courier New" w:cs="Courier New" w:hint="default"/>
      </w:rPr>
    </w:lvl>
    <w:lvl w:ilvl="2" w:tplc="94B69448">
      <w:start w:val="1"/>
      <w:numFmt w:val="bullet"/>
      <w:lvlText w:val=""/>
      <w:lvlJc w:val="left"/>
      <w:pPr>
        <w:tabs>
          <w:tab w:val="num" w:pos="2160"/>
        </w:tabs>
        <w:ind w:left="2160" w:hanging="360"/>
      </w:pPr>
      <w:rPr>
        <w:rFonts w:ascii="Wingdings" w:hAnsi="Wingdings" w:cs="Wingdings" w:hint="default"/>
      </w:rPr>
    </w:lvl>
    <w:lvl w:ilvl="3" w:tplc="2CFE62C2">
      <w:start w:val="1"/>
      <w:numFmt w:val="bullet"/>
      <w:lvlText w:val=""/>
      <w:lvlJc w:val="left"/>
      <w:pPr>
        <w:tabs>
          <w:tab w:val="num" w:pos="2880"/>
        </w:tabs>
        <w:ind w:left="2880" w:hanging="360"/>
      </w:pPr>
      <w:rPr>
        <w:rFonts w:ascii="Symbol" w:hAnsi="Symbol" w:cs="Symbol" w:hint="default"/>
      </w:rPr>
    </w:lvl>
    <w:lvl w:ilvl="4" w:tplc="3DF43738">
      <w:start w:val="1"/>
      <w:numFmt w:val="bullet"/>
      <w:lvlText w:val="o"/>
      <w:lvlJc w:val="left"/>
      <w:pPr>
        <w:tabs>
          <w:tab w:val="num" w:pos="3600"/>
        </w:tabs>
        <w:ind w:left="3600" w:hanging="360"/>
      </w:pPr>
      <w:rPr>
        <w:rFonts w:ascii="Courier New" w:hAnsi="Courier New" w:cs="Courier New" w:hint="default"/>
      </w:rPr>
    </w:lvl>
    <w:lvl w:ilvl="5" w:tplc="BCDA77BA">
      <w:start w:val="1"/>
      <w:numFmt w:val="bullet"/>
      <w:lvlText w:val=""/>
      <w:lvlJc w:val="left"/>
      <w:pPr>
        <w:tabs>
          <w:tab w:val="num" w:pos="4320"/>
        </w:tabs>
        <w:ind w:left="4320" w:hanging="360"/>
      </w:pPr>
      <w:rPr>
        <w:rFonts w:ascii="Wingdings" w:hAnsi="Wingdings" w:cs="Wingdings" w:hint="default"/>
      </w:rPr>
    </w:lvl>
    <w:lvl w:ilvl="6" w:tplc="786A134C">
      <w:start w:val="1"/>
      <w:numFmt w:val="bullet"/>
      <w:lvlText w:val=""/>
      <w:lvlJc w:val="left"/>
      <w:pPr>
        <w:tabs>
          <w:tab w:val="num" w:pos="5040"/>
        </w:tabs>
        <w:ind w:left="5040" w:hanging="360"/>
      </w:pPr>
      <w:rPr>
        <w:rFonts w:ascii="Symbol" w:hAnsi="Symbol" w:cs="Symbol" w:hint="default"/>
      </w:rPr>
    </w:lvl>
    <w:lvl w:ilvl="7" w:tplc="A76C5118">
      <w:start w:val="1"/>
      <w:numFmt w:val="bullet"/>
      <w:lvlText w:val="o"/>
      <w:lvlJc w:val="left"/>
      <w:pPr>
        <w:tabs>
          <w:tab w:val="num" w:pos="5760"/>
        </w:tabs>
        <w:ind w:left="5760" w:hanging="360"/>
      </w:pPr>
      <w:rPr>
        <w:rFonts w:ascii="Courier New" w:hAnsi="Courier New" w:cs="Courier New" w:hint="default"/>
      </w:rPr>
    </w:lvl>
    <w:lvl w:ilvl="8" w:tplc="7CF8B8AE">
      <w:start w:val="1"/>
      <w:numFmt w:val="bullet"/>
      <w:lvlText w:val=""/>
      <w:lvlJc w:val="left"/>
      <w:pPr>
        <w:tabs>
          <w:tab w:val="num" w:pos="6480"/>
        </w:tabs>
        <w:ind w:left="6480" w:hanging="360"/>
      </w:pPr>
      <w:rPr>
        <w:rFonts w:ascii="Wingdings" w:hAnsi="Wingdings" w:cs="Wingdings" w:hint="default"/>
      </w:rPr>
    </w:lvl>
  </w:abstractNum>
  <w:abstractNum w:abstractNumId="61" w15:restartNumberingAfterBreak="0">
    <w:nsid w:val="0B2F3E4D"/>
    <w:multiLevelType w:val="hybridMultilevel"/>
    <w:tmpl w:val="BA8034FE"/>
    <w:lvl w:ilvl="0" w:tplc="B34872E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0BA27EC2"/>
    <w:multiLevelType w:val="hybridMultilevel"/>
    <w:tmpl w:val="2E4A2124"/>
    <w:lvl w:ilvl="0" w:tplc="04020001">
      <w:start w:val="1"/>
      <w:numFmt w:val="bullet"/>
      <w:lvlText w:val=""/>
      <w:lvlJc w:val="left"/>
      <w:pPr>
        <w:ind w:left="1429" w:hanging="360"/>
      </w:pPr>
      <w:rPr>
        <w:rFonts w:ascii="Symbol" w:hAnsi="Symbol"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63" w15:restartNumberingAfterBreak="0">
    <w:nsid w:val="0BBA0F86"/>
    <w:multiLevelType w:val="hybridMultilevel"/>
    <w:tmpl w:val="8D2661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0C6248C9"/>
    <w:multiLevelType w:val="hybridMultilevel"/>
    <w:tmpl w:val="F86E255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0C6E19CA"/>
    <w:multiLevelType w:val="hybridMultilevel"/>
    <w:tmpl w:val="2C26F262"/>
    <w:lvl w:ilvl="0" w:tplc="15DACE90">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6" w15:restartNumberingAfterBreak="0">
    <w:nsid w:val="0C861CAD"/>
    <w:multiLevelType w:val="hybridMultilevel"/>
    <w:tmpl w:val="C13EF29E"/>
    <w:lvl w:ilvl="0" w:tplc="0402000F">
      <w:start w:val="1"/>
      <w:numFmt w:val="bullet"/>
      <w:lvlText w:val=""/>
      <w:lvlJc w:val="left"/>
      <w:pPr>
        <w:tabs>
          <w:tab w:val="num" w:pos="805"/>
        </w:tabs>
        <w:ind w:left="805" w:hanging="360"/>
      </w:pPr>
      <w:rPr>
        <w:rFonts w:ascii="Symbol" w:hAnsi="Symbol" w:hint="default"/>
      </w:rPr>
    </w:lvl>
    <w:lvl w:ilvl="1" w:tplc="04020019" w:tentative="1">
      <w:start w:val="1"/>
      <w:numFmt w:val="bullet"/>
      <w:lvlText w:val="o"/>
      <w:lvlJc w:val="left"/>
      <w:pPr>
        <w:tabs>
          <w:tab w:val="num" w:pos="1525"/>
        </w:tabs>
        <w:ind w:left="1525" w:hanging="360"/>
      </w:pPr>
      <w:rPr>
        <w:rFonts w:ascii="Courier New" w:hAnsi="Courier New" w:hint="default"/>
      </w:rPr>
    </w:lvl>
    <w:lvl w:ilvl="2" w:tplc="0402001B" w:tentative="1">
      <w:start w:val="1"/>
      <w:numFmt w:val="bullet"/>
      <w:lvlText w:val=""/>
      <w:lvlJc w:val="left"/>
      <w:pPr>
        <w:tabs>
          <w:tab w:val="num" w:pos="2245"/>
        </w:tabs>
        <w:ind w:left="2245" w:hanging="360"/>
      </w:pPr>
      <w:rPr>
        <w:rFonts w:ascii="Wingdings" w:hAnsi="Wingdings" w:hint="default"/>
      </w:rPr>
    </w:lvl>
    <w:lvl w:ilvl="3" w:tplc="0402000F" w:tentative="1">
      <w:start w:val="1"/>
      <w:numFmt w:val="bullet"/>
      <w:lvlText w:val=""/>
      <w:lvlJc w:val="left"/>
      <w:pPr>
        <w:tabs>
          <w:tab w:val="num" w:pos="2965"/>
        </w:tabs>
        <w:ind w:left="2965" w:hanging="360"/>
      </w:pPr>
      <w:rPr>
        <w:rFonts w:ascii="Symbol" w:hAnsi="Symbol" w:hint="default"/>
      </w:rPr>
    </w:lvl>
    <w:lvl w:ilvl="4" w:tplc="04020019" w:tentative="1">
      <w:start w:val="1"/>
      <w:numFmt w:val="bullet"/>
      <w:lvlText w:val="o"/>
      <w:lvlJc w:val="left"/>
      <w:pPr>
        <w:tabs>
          <w:tab w:val="num" w:pos="3685"/>
        </w:tabs>
        <w:ind w:left="3685" w:hanging="360"/>
      </w:pPr>
      <w:rPr>
        <w:rFonts w:ascii="Courier New" w:hAnsi="Courier New" w:hint="default"/>
      </w:rPr>
    </w:lvl>
    <w:lvl w:ilvl="5" w:tplc="0402001B" w:tentative="1">
      <w:start w:val="1"/>
      <w:numFmt w:val="bullet"/>
      <w:lvlText w:val=""/>
      <w:lvlJc w:val="left"/>
      <w:pPr>
        <w:tabs>
          <w:tab w:val="num" w:pos="4405"/>
        </w:tabs>
        <w:ind w:left="4405" w:hanging="360"/>
      </w:pPr>
      <w:rPr>
        <w:rFonts w:ascii="Wingdings" w:hAnsi="Wingdings" w:hint="default"/>
      </w:rPr>
    </w:lvl>
    <w:lvl w:ilvl="6" w:tplc="0402000F" w:tentative="1">
      <w:start w:val="1"/>
      <w:numFmt w:val="bullet"/>
      <w:lvlText w:val=""/>
      <w:lvlJc w:val="left"/>
      <w:pPr>
        <w:tabs>
          <w:tab w:val="num" w:pos="5125"/>
        </w:tabs>
        <w:ind w:left="5125" w:hanging="360"/>
      </w:pPr>
      <w:rPr>
        <w:rFonts w:ascii="Symbol" w:hAnsi="Symbol" w:hint="default"/>
      </w:rPr>
    </w:lvl>
    <w:lvl w:ilvl="7" w:tplc="04020019" w:tentative="1">
      <w:start w:val="1"/>
      <w:numFmt w:val="bullet"/>
      <w:lvlText w:val="o"/>
      <w:lvlJc w:val="left"/>
      <w:pPr>
        <w:tabs>
          <w:tab w:val="num" w:pos="5845"/>
        </w:tabs>
        <w:ind w:left="5845" w:hanging="360"/>
      </w:pPr>
      <w:rPr>
        <w:rFonts w:ascii="Courier New" w:hAnsi="Courier New" w:hint="default"/>
      </w:rPr>
    </w:lvl>
    <w:lvl w:ilvl="8" w:tplc="0402001B" w:tentative="1">
      <w:start w:val="1"/>
      <w:numFmt w:val="bullet"/>
      <w:lvlText w:val=""/>
      <w:lvlJc w:val="left"/>
      <w:pPr>
        <w:tabs>
          <w:tab w:val="num" w:pos="6565"/>
        </w:tabs>
        <w:ind w:left="6565" w:hanging="360"/>
      </w:pPr>
      <w:rPr>
        <w:rFonts w:ascii="Wingdings" w:hAnsi="Wingdings" w:hint="default"/>
      </w:rPr>
    </w:lvl>
  </w:abstractNum>
  <w:abstractNum w:abstractNumId="67" w15:restartNumberingAfterBreak="0">
    <w:nsid w:val="0CF54CE0"/>
    <w:multiLevelType w:val="hybridMultilevel"/>
    <w:tmpl w:val="BB38E988"/>
    <w:lvl w:ilvl="0" w:tplc="0402000F">
      <w:start w:val="1"/>
      <w:numFmt w:val="bullet"/>
      <w:lvlText w:val=""/>
      <w:lvlJc w:val="left"/>
      <w:pPr>
        <w:tabs>
          <w:tab w:val="num" w:pos="720"/>
        </w:tabs>
        <w:ind w:left="720" w:hanging="360"/>
      </w:pPr>
      <w:rPr>
        <w:rFonts w:ascii="Symbol" w:hAnsi="Symbol" w:hint="default"/>
      </w:rPr>
    </w:lvl>
    <w:lvl w:ilvl="1" w:tplc="04020019" w:tentative="1">
      <w:start w:val="1"/>
      <w:numFmt w:val="bullet"/>
      <w:lvlText w:val="o"/>
      <w:lvlJc w:val="left"/>
      <w:pPr>
        <w:tabs>
          <w:tab w:val="num" w:pos="1440"/>
        </w:tabs>
        <w:ind w:left="1440" w:hanging="360"/>
      </w:pPr>
      <w:rPr>
        <w:rFonts w:ascii="Courier New" w:hAnsi="Courier New" w:hint="default"/>
      </w:rPr>
    </w:lvl>
    <w:lvl w:ilvl="2" w:tplc="0402001B" w:tentative="1">
      <w:start w:val="1"/>
      <w:numFmt w:val="bullet"/>
      <w:lvlText w:val=""/>
      <w:lvlJc w:val="left"/>
      <w:pPr>
        <w:tabs>
          <w:tab w:val="num" w:pos="2160"/>
        </w:tabs>
        <w:ind w:left="2160" w:hanging="360"/>
      </w:pPr>
      <w:rPr>
        <w:rFonts w:ascii="Wingdings" w:hAnsi="Wingdings" w:hint="default"/>
      </w:rPr>
    </w:lvl>
    <w:lvl w:ilvl="3" w:tplc="0402000F" w:tentative="1">
      <w:start w:val="1"/>
      <w:numFmt w:val="bullet"/>
      <w:lvlText w:val=""/>
      <w:lvlJc w:val="left"/>
      <w:pPr>
        <w:tabs>
          <w:tab w:val="num" w:pos="2880"/>
        </w:tabs>
        <w:ind w:left="2880" w:hanging="360"/>
      </w:pPr>
      <w:rPr>
        <w:rFonts w:ascii="Symbol" w:hAnsi="Symbol" w:hint="default"/>
      </w:rPr>
    </w:lvl>
    <w:lvl w:ilvl="4" w:tplc="04020019" w:tentative="1">
      <w:start w:val="1"/>
      <w:numFmt w:val="bullet"/>
      <w:lvlText w:val="o"/>
      <w:lvlJc w:val="left"/>
      <w:pPr>
        <w:tabs>
          <w:tab w:val="num" w:pos="3600"/>
        </w:tabs>
        <w:ind w:left="3600" w:hanging="360"/>
      </w:pPr>
      <w:rPr>
        <w:rFonts w:ascii="Courier New" w:hAnsi="Courier New" w:hint="default"/>
      </w:rPr>
    </w:lvl>
    <w:lvl w:ilvl="5" w:tplc="0402001B" w:tentative="1">
      <w:start w:val="1"/>
      <w:numFmt w:val="bullet"/>
      <w:lvlText w:val=""/>
      <w:lvlJc w:val="left"/>
      <w:pPr>
        <w:tabs>
          <w:tab w:val="num" w:pos="4320"/>
        </w:tabs>
        <w:ind w:left="4320" w:hanging="360"/>
      </w:pPr>
      <w:rPr>
        <w:rFonts w:ascii="Wingdings" w:hAnsi="Wingdings" w:hint="default"/>
      </w:rPr>
    </w:lvl>
    <w:lvl w:ilvl="6" w:tplc="0402000F" w:tentative="1">
      <w:start w:val="1"/>
      <w:numFmt w:val="bullet"/>
      <w:lvlText w:val=""/>
      <w:lvlJc w:val="left"/>
      <w:pPr>
        <w:tabs>
          <w:tab w:val="num" w:pos="5040"/>
        </w:tabs>
        <w:ind w:left="5040" w:hanging="360"/>
      </w:pPr>
      <w:rPr>
        <w:rFonts w:ascii="Symbol" w:hAnsi="Symbol" w:hint="default"/>
      </w:rPr>
    </w:lvl>
    <w:lvl w:ilvl="7" w:tplc="04020019" w:tentative="1">
      <w:start w:val="1"/>
      <w:numFmt w:val="bullet"/>
      <w:lvlText w:val="o"/>
      <w:lvlJc w:val="left"/>
      <w:pPr>
        <w:tabs>
          <w:tab w:val="num" w:pos="5760"/>
        </w:tabs>
        <w:ind w:left="5760" w:hanging="360"/>
      </w:pPr>
      <w:rPr>
        <w:rFonts w:ascii="Courier New" w:hAnsi="Courier New" w:hint="default"/>
      </w:rPr>
    </w:lvl>
    <w:lvl w:ilvl="8" w:tplc="0402001B"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0D397770"/>
    <w:multiLevelType w:val="hybridMultilevel"/>
    <w:tmpl w:val="949EEF8A"/>
    <w:lvl w:ilvl="0" w:tplc="04020013">
      <w:start w:val="108"/>
      <w:numFmt w:val="bullet"/>
      <w:lvlText w:val="–"/>
      <w:lvlJc w:val="left"/>
      <w:pPr>
        <w:ind w:left="757" w:hanging="360"/>
      </w:pPr>
      <w:rPr>
        <w:rFonts w:ascii="Times New Roman" w:hAnsi="Times New Roman" w:hint="default"/>
      </w:rPr>
    </w:lvl>
    <w:lvl w:ilvl="1" w:tplc="04020003" w:tentative="1">
      <w:start w:val="1"/>
      <w:numFmt w:val="bullet"/>
      <w:lvlText w:val="o"/>
      <w:lvlJc w:val="left"/>
      <w:pPr>
        <w:ind w:left="1477" w:hanging="360"/>
      </w:pPr>
      <w:rPr>
        <w:rFonts w:ascii="Courier New" w:hAnsi="Courier New" w:cs="Courier New" w:hint="default"/>
      </w:rPr>
    </w:lvl>
    <w:lvl w:ilvl="2" w:tplc="04020005" w:tentative="1">
      <w:start w:val="1"/>
      <w:numFmt w:val="bullet"/>
      <w:lvlText w:val=""/>
      <w:lvlJc w:val="left"/>
      <w:pPr>
        <w:ind w:left="2197" w:hanging="360"/>
      </w:pPr>
      <w:rPr>
        <w:rFonts w:ascii="Wingdings" w:hAnsi="Wingdings" w:hint="default"/>
      </w:rPr>
    </w:lvl>
    <w:lvl w:ilvl="3" w:tplc="04020001" w:tentative="1">
      <w:start w:val="1"/>
      <w:numFmt w:val="bullet"/>
      <w:lvlText w:val=""/>
      <w:lvlJc w:val="left"/>
      <w:pPr>
        <w:ind w:left="2917" w:hanging="360"/>
      </w:pPr>
      <w:rPr>
        <w:rFonts w:ascii="Symbol" w:hAnsi="Symbol" w:hint="default"/>
      </w:rPr>
    </w:lvl>
    <w:lvl w:ilvl="4" w:tplc="04020003" w:tentative="1">
      <w:start w:val="1"/>
      <w:numFmt w:val="bullet"/>
      <w:lvlText w:val="o"/>
      <w:lvlJc w:val="left"/>
      <w:pPr>
        <w:ind w:left="3637" w:hanging="360"/>
      </w:pPr>
      <w:rPr>
        <w:rFonts w:ascii="Courier New" w:hAnsi="Courier New" w:cs="Courier New" w:hint="default"/>
      </w:rPr>
    </w:lvl>
    <w:lvl w:ilvl="5" w:tplc="04020005" w:tentative="1">
      <w:start w:val="1"/>
      <w:numFmt w:val="bullet"/>
      <w:lvlText w:val=""/>
      <w:lvlJc w:val="left"/>
      <w:pPr>
        <w:ind w:left="4357" w:hanging="360"/>
      </w:pPr>
      <w:rPr>
        <w:rFonts w:ascii="Wingdings" w:hAnsi="Wingdings" w:hint="default"/>
      </w:rPr>
    </w:lvl>
    <w:lvl w:ilvl="6" w:tplc="04020001" w:tentative="1">
      <w:start w:val="1"/>
      <w:numFmt w:val="bullet"/>
      <w:lvlText w:val=""/>
      <w:lvlJc w:val="left"/>
      <w:pPr>
        <w:ind w:left="5077" w:hanging="360"/>
      </w:pPr>
      <w:rPr>
        <w:rFonts w:ascii="Symbol" w:hAnsi="Symbol" w:hint="default"/>
      </w:rPr>
    </w:lvl>
    <w:lvl w:ilvl="7" w:tplc="04020003" w:tentative="1">
      <w:start w:val="1"/>
      <w:numFmt w:val="bullet"/>
      <w:lvlText w:val="o"/>
      <w:lvlJc w:val="left"/>
      <w:pPr>
        <w:ind w:left="5797" w:hanging="360"/>
      </w:pPr>
      <w:rPr>
        <w:rFonts w:ascii="Courier New" w:hAnsi="Courier New" w:cs="Courier New" w:hint="default"/>
      </w:rPr>
    </w:lvl>
    <w:lvl w:ilvl="8" w:tplc="04020005" w:tentative="1">
      <w:start w:val="1"/>
      <w:numFmt w:val="bullet"/>
      <w:lvlText w:val=""/>
      <w:lvlJc w:val="left"/>
      <w:pPr>
        <w:ind w:left="6517" w:hanging="360"/>
      </w:pPr>
      <w:rPr>
        <w:rFonts w:ascii="Wingdings" w:hAnsi="Wingdings" w:hint="default"/>
      </w:rPr>
    </w:lvl>
  </w:abstractNum>
  <w:abstractNum w:abstractNumId="69" w15:restartNumberingAfterBreak="0">
    <w:nsid w:val="0D5E7DE2"/>
    <w:multiLevelType w:val="singleLevel"/>
    <w:tmpl w:val="AE3EF2BC"/>
    <w:lvl w:ilvl="0">
      <w:start w:val="1"/>
      <w:numFmt w:val="decimal"/>
      <w:lvlText w:val="%1. "/>
      <w:legacy w:legacy="1" w:legacySpace="0" w:legacyIndent="283"/>
      <w:lvlJc w:val="left"/>
      <w:pPr>
        <w:ind w:left="1003" w:hanging="283"/>
      </w:pPr>
      <w:rPr>
        <w:rFonts w:ascii="Arial" w:hAnsi="Arial" w:hint="default"/>
        <w:b w:val="0"/>
        <w:i w:val="0"/>
        <w:sz w:val="24"/>
        <w:u w:val="none"/>
      </w:rPr>
    </w:lvl>
  </w:abstractNum>
  <w:abstractNum w:abstractNumId="70" w15:restartNumberingAfterBreak="0">
    <w:nsid w:val="0D603F4E"/>
    <w:multiLevelType w:val="hybridMultilevel"/>
    <w:tmpl w:val="AA88AE2C"/>
    <w:lvl w:ilvl="0" w:tplc="8DCAF2D4">
      <w:start w:val="1"/>
      <w:numFmt w:val="bullet"/>
      <w:lvlText w:val=""/>
      <w:lvlJc w:val="left"/>
      <w:pPr>
        <w:ind w:left="720" w:hanging="360"/>
      </w:pPr>
      <w:rPr>
        <w:rFonts w:ascii="Symbol" w:hAnsi="Symbol" w:hint="default"/>
      </w:rPr>
    </w:lvl>
    <w:lvl w:ilvl="1" w:tplc="60C83622" w:tentative="1">
      <w:start w:val="1"/>
      <w:numFmt w:val="bullet"/>
      <w:lvlText w:val="o"/>
      <w:lvlJc w:val="left"/>
      <w:pPr>
        <w:ind w:left="1440" w:hanging="360"/>
      </w:pPr>
      <w:rPr>
        <w:rFonts w:ascii="Courier New" w:hAnsi="Courier New" w:cs="Courier New" w:hint="default"/>
      </w:rPr>
    </w:lvl>
    <w:lvl w:ilvl="2" w:tplc="4850BD5A" w:tentative="1">
      <w:start w:val="1"/>
      <w:numFmt w:val="bullet"/>
      <w:lvlText w:val=""/>
      <w:lvlJc w:val="left"/>
      <w:pPr>
        <w:ind w:left="2160" w:hanging="360"/>
      </w:pPr>
      <w:rPr>
        <w:rFonts w:ascii="Wingdings" w:hAnsi="Wingdings" w:hint="default"/>
      </w:rPr>
    </w:lvl>
    <w:lvl w:ilvl="3" w:tplc="D0DE6484" w:tentative="1">
      <w:start w:val="1"/>
      <w:numFmt w:val="bullet"/>
      <w:lvlText w:val=""/>
      <w:lvlJc w:val="left"/>
      <w:pPr>
        <w:ind w:left="2880" w:hanging="360"/>
      </w:pPr>
      <w:rPr>
        <w:rFonts w:ascii="Symbol" w:hAnsi="Symbol" w:hint="default"/>
      </w:rPr>
    </w:lvl>
    <w:lvl w:ilvl="4" w:tplc="861EB022" w:tentative="1">
      <w:start w:val="1"/>
      <w:numFmt w:val="bullet"/>
      <w:lvlText w:val="o"/>
      <w:lvlJc w:val="left"/>
      <w:pPr>
        <w:ind w:left="3600" w:hanging="360"/>
      </w:pPr>
      <w:rPr>
        <w:rFonts w:ascii="Courier New" w:hAnsi="Courier New" w:cs="Courier New" w:hint="default"/>
      </w:rPr>
    </w:lvl>
    <w:lvl w:ilvl="5" w:tplc="75AEF9C6" w:tentative="1">
      <w:start w:val="1"/>
      <w:numFmt w:val="bullet"/>
      <w:lvlText w:val=""/>
      <w:lvlJc w:val="left"/>
      <w:pPr>
        <w:ind w:left="4320" w:hanging="360"/>
      </w:pPr>
      <w:rPr>
        <w:rFonts w:ascii="Wingdings" w:hAnsi="Wingdings" w:hint="default"/>
      </w:rPr>
    </w:lvl>
    <w:lvl w:ilvl="6" w:tplc="AC20CC82" w:tentative="1">
      <w:start w:val="1"/>
      <w:numFmt w:val="bullet"/>
      <w:lvlText w:val=""/>
      <w:lvlJc w:val="left"/>
      <w:pPr>
        <w:ind w:left="5040" w:hanging="360"/>
      </w:pPr>
      <w:rPr>
        <w:rFonts w:ascii="Symbol" w:hAnsi="Symbol" w:hint="default"/>
      </w:rPr>
    </w:lvl>
    <w:lvl w:ilvl="7" w:tplc="4DCAD728" w:tentative="1">
      <w:start w:val="1"/>
      <w:numFmt w:val="bullet"/>
      <w:lvlText w:val="o"/>
      <w:lvlJc w:val="left"/>
      <w:pPr>
        <w:ind w:left="5760" w:hanging="360"/>
      </w:pPr>
      <w:rPr>
        <w:rFonts w:ascii="Courier New" w:hAnsi="Courier New" w:cs="Courier New" w:hint="default"/>
      </w:rPr>
    </w:lvl>
    <w:lvl w:ilvl="8" w:tplc="9A9830F6" w:tentative="1">
      <w:start w:val="1"/>
      <w:numFmt w:val="bullet"/>
      <w:lvlText w:val=""/>
      <w:lvlJc w:val="left"/>
      <w:pPr>
        <w:ind w:left="6480" w:hanging="360"/>
      </w:pPr>
      <w:rPr>
        <w:rFonts w:ascii="Wingdings" w:hAnsi="Wingdings" w:hint="default"/>
      </w:rPr>
    </w:lvl>
  </w:abstractNum>
  <w:abstractNum w:abstractNumId="71" w15:restartNumberingAfterBreak="0">
    <w:nsid w:val="0DD67131"/>
    <w:multiLevelType w:val="hybridMultilevel"/>
    <w:tmpl w:val="54D26ACA"/>
    <w:lvl w:ilvl="0" w:tplc="C89808DE">
      <w:start w:val="1"/>
      <w:numFmt w:val="bullet"/>
      <w:lvlText w:val=""/>
      <w:lvlJc w:val="left"/>
      <w:pPr>
        <w:ind w:left="720" w:hanging="360"/>
      </w:pPr>
      <w:rPr>
        <w:rFonts w:ascii="Symbol" w:hAnsi="Symbol" w:hint="default"/>
      </w:rPr>
    </w:lvl>
    <w:lvl w:ilvl="1" w:tplc="8B9E9722" w:tentative="1">
      <w:start w:val="1"/>
      <w:numFmt w:val="bullet"/>
      <w:lvlText w:val="o"/>
      <w:lvlJc w:val="left"/>
      <w:pPr>
        <w:ind w:left="1440" w:hanging="360"/>
      </w:pPr>
      <w:rPr>
        <w:rFonts w:ascii="Courier New" w:hAnsi="Courier New" w:cs="Courier New" w:hint="default"/>
      </w:rPr>
    </w:lvl>
    <w:lvl w:ilvl="2" w:tplc="9C504888" w:tentative="1">
      <w:start w:val="1"/>
      <w:numFmt w:val="bullet"/>
      <w:lvlText w:val=""/>
      <w:lvlJc w:val="left"/>
      <w:pPr>
        <w:ind w:left="2160" w:hanging="360"/>
      </w:pPr>
      <w:rPr>
        <w:rFonts w:ascii="Wingdings" w:hAnsi="Wingdings" w:hint="default"/>
      </w:rPr>
    </w:lvl>
    <w:lvl w:ilvl="3" w:tplc="18746282" w:tentative="1">
      <w:start w:val="1"/>
      <w:numFmt w:val="bullet"/>
      <w:lvlText w:val=""/>
      <w:lvlJc w:val="left"/>
      <w:pPr>
        <w:ind w:left="2880" w:hanging="360"/>
      </w:pPr>
      <w:rPr>
        <w:rFonts w:ascii="Symbol" w:hAnsi="Symbol" w:hint="default"/>
      </w:rPr>
    </w:lvl>
    <w:lvl w:ilvl="4" w:tplc="97AC427A" w:tentative="1">
      <w:start w:val="1"/>
      <w:numFmt w:val="bullet"/>
      <w:lvlText w:val="o"/>
      <w:lvlJc w:val="left"/>
      <w:pPr>
        <w:ind w:left="3600" w:hanging="360"/>
      </w:pPr>
      <w:rPr>
        <w:rFonts w:ascii="Courier New" w:hAnsi="Courier New" w:cs="Courier New" w:hint="default"/>
      </w:rPr>
    </w:lvl>
    <w:lvl w:ilvl="5" w:tplc="B46ABB8A" w:tentative="1">
      <w:start w:val="1"/>
      <w:numFmt w:val="bullet"/>
      <w:lvlText w:val=""/>
      <w:lvlJc w:val="left"/>
      <w:pPr>
        <w:ind w:left="4320" w:hanging="360"/>
      </w:pPr>
      <w:rPr>
        <w:rFonts w:ascii="Wingdings" w:hAnsi="Wingdings" w:hint="default"/>
      </w:rPr>
    </w:lvl>
    <w:lvl w:ilvl="6" w:tplc="2230DA0A" w:tentative="1">
      <w:start w:val="1"/>
      <w:numFmt w:val="bullet"/>
      <w:lvlText w:val=""/>
      <w:lvlJc w:val="left"/>
      <w:pPr>
        <w:ind w:left="5040" w:hanging="360"/>
      </w:pPr>
      <w:rPr>
        <w:rFonts w:ascii="Symbol" w:hAnsi="Symbol" w:hint="default"/>
      </w:rPr>
    </w:lvl>
    <w:lvl w:ilvl="7" w:tplc="668A4B86" w:tentative="1">
      <w:start w:val="1"/>
      <w:numFmt w:val="bullet"/>
      <w:lvlText w:val="o"/>
      <w:lvlJc w:val="left"/>
      <w:pPr>
        <w:ind w:left="5760" w:hanging="360"/>
      </w:pPr>
      <w:rPr>
        <w:rFonts w:ascii="Courier New" w:hAnsi="Courier New" w:cs="Courier New" w:hint="default"/>
      </w:rPr>
    </w:lvl>
    <w:lvl w:ilvl="8" w:tplc="E7B6F516" w:tentative="1">
      <w:start w:val="1"/>
      <w:numFmt w:val="bullet"/>
      <w:lvlText w:val=""/>
      <w:lvlJc w:val="left"/>
      <w:pPr>
        <w:ind w:left="6480" w:hanging="360"/>
      </w:pPr>
      <w:rPr>
        <w:rFonts w:ascii="Wingdings" w:hAnsi="Wingdings" w:hint="default"/>
      </w:rPr>
    </w:lvl>
  </w:abstractNum>
  <w:abstractNum w:abstractNumId="72" w15:restartNumberingAfterBreak="0">
    <w:nsid w:val="0E5A4DC3"/>
    <w:multiLevelType w:val="hybridMultilevel"/>
    <w:tmpl w:val="037C238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3" w15:restartNumberingAfterBreak="0">
    <w:nsid w:val="0E797AA2"/>
    <w:multiLevelType w:val="hybridMultilevel"/>
    <w:tmpl w:val="EFE01B62"/>
    <w:lvl w:ilvl="0" w:tplc="00000009">
      <w:start w:val="1"/>
      <w:numFmt w:val="bullet"/>
      <w:lvlText w:val=""/>
      <w:lvlJc w:val="left"/>
      <w:pPr>
        <w:tabs>
          <w:tab w:val="num" w:pos="1800"/>
        </w:tabs>
        <w:ind w:left="1800" w:hanging="360"/>
      </w:pPr>
      <w:rPr>
        <w:rFonts w:ascii="Symbol" w:hAnsi="Symbol"/>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4" w15:restartNumberingAfterBreak="0">
    <w:nsid w:val="0E7F5499"/>
    <w:multiLevelType w:val="hybridMultilevel"/>
    <w:tmpl w:val="4DDA3046"/>
    <w:lvl w:ilvl="0" w:tplc="04020013">
      <w:start w:val="108"/>
      <w:numFmt w:val="bullet"/>
      <w:lvlText w:val="–"/>
      <w:lvlJc w:val="left"/>
      <w:pPr>
        <w:ind w:left="720" w:hanging="360"/>
      </w:pPr>
      <w:rPr>
        <w:rFonts w:ascii="Times New Roman" w:hAnsi="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5" w15:restartNumberingAfterBreak="0">
    <w:nsid w:val="0E9C20A1"/>
    <w:multiLevelType w:val="hybridMultilevel"/>
    <w:tmpl w:val="FC96BB40"/>
    <w:lvl w:ilvl="0" w:tplc="04020001">
      <w:start w:val="1"/>
      <w:numFmt w:val="bullet"/>
      <w:lvlText w:val=""/>
      <w:lvlJc w:val="left"/>
      <w:pPr>
        <w:tabs>
          <w:tab w:val="num" w:pos="805"/>
        </w:tabs>
        <w:ind w:left="805" w:hanging="360"/>
      </w:pPr>
      <w:rPr>
        <w:rFonts w:ascii="Symbol" w:hAnsi="Symbol" w:hint="default"/>
      </w:rPr>
    </w:lvl>
    <w:lvl w:ilvl="1" w:tplc="04020003" w:tentative="1">
      <w:start w:val="1"/>
      <w:numFmt w:val="bullet"/>
      <w:lvlText w:val="o"/>
      <w:lvlJc w:val="left"/>
      <w:pPr>
        <w:tabs>
          <w:tab w:val="num" w:pos="1525"/>
        </w:tabs>
        <w:ind w:left="1525" w:hanging="360"/>
      </w:pPr>
      <w:rPr>
        <w:rFonts w:ascii="Courier New" w:hAnsi="Courier New" w:hint="default"/>
      </w:rPr>
    </w:lvl>
    <w:lvl w:ilvl="2" w:tplc="04020005" w:tentative="1">
      <w:start w:val="1"/>
      <w:numFmt w:val="bullet"/>
      <w:lvlText w:val=""/>
      <w:lvlJc w:val="left"/>
      <w:pPr>
        <w:tabs>
          <w:tab w:val="num" w:pos="2245"/>
        </w:tabs>
        <w:ind w:left="2245" w:hanging="360"/>
      </w:pPr>
      <w:rPr>
        <w:rFonts w:ascii="Wingdings" w:hAnsi="Wingdings" w:hint="default"/>
      </w:rPr>
    </w:lvl>
    <w:lvl w:ilvl="3" w:tplc="04020001" w:tentative="1">
      <w:start w:val="1"/>
      <w:numFmt w:val="bullet"/>
      <w:lvlText w:val=""/>
      <w:lvlJc w:val="left"/>
      <w:pPr>
        <w:tabs>
          <w:tab w:val="num" w:pos="2965"/>
        </w:tabs>
        <w:ind w:left="2965" w:hanging="360"/>
      </w:pPr>
      <w:rPr>
        <w:rFonts w:ascii="Symbol" w:hAnsi="Symbol" w:hint="default"/>
      </w:rPr>
    </w:lvl>
    <w:lvl w:ilvl="4" w:tplc="04020003" w:tentative="1">
      <w:start w:val="1"/>
      <w:numFmt w:val="bullet"/>
      <w:lvlText w:val="o"/>
      <w:lvlJc w:val="left"/>
      <w:pPr>
        <w:tabs>
          <w:tab w:val="num" w:pos="3685"/>
        </w:tabs>
        <w:ind w:left="3685" w:hanging="360"/>
      </w:pPr>
      <w:rPr>
        <w:rFonts w:ascii="Courier New" w:hAnsi="Courier New" w:hint="default"/>
      </w:rPr>
    </w:lvl>
    <w:lvl w:ilvl="5" w:tplc="04020005" w:tentative="1">
      <w:start w:val="1"/>
      <w:numFmt w:val="bullet"/>
      <w:lvlText w:val=""/>
      <w:lvlJc w:val="left"/>
      <w:pPr>
        <w:tabs>
          <w:tab w:val="num" w:pos="4405"/>
        </w:tabs>
        <w:ind w:left="4405" w:hanging="360"/>
      </w:pPr>
      <w:rPr>
        <w:rFonts w:ascii="Wingdings" w:hAnsi="Wingdings" w:hint="default"/>
      </w:rPr>
    </w:lvl>
    <w:lvl w:ilvl="6" w:tplc="04020001" w:tentative="1">
      <w:start w:val="1"/>
      <w:numFmt w:val="bullet"/>
      <w:lvlText w:val=""/>
      <w:lvlJc w:val="left"/>
      <w:pPr>
        <w:tabs>
          <w:tab w:val="num" w:pos="5125"/>
        </w:tabs>
        <w:ind w:left="5125" w:hanging="360"/>
      </w:pPr>
      <w:rPr>
        <w:rFonts w:ascii="Symbol" w:hAnsi="Symbol" w:hint="default"/>
      </w:rPr>
    </w:lvl>
    <w:lvl w:ilvl="7" w:tplc="04020003" w:tentative="1">
      <w:start w:val="1"/>
      <w:numFmt w:val="bullet"/>
      <w:lvlText w:val="o"/>
      <w:lvlJc w:val="left"/>
      <w:pPr>
        <w:tabs>
          <w:tab w:val="num" w:pos="5845"/>
        </w:tabs>
        <w:ind w:left="5845" w:hanging="360"/>
      </w:pPr>
      <w:rPr>
        <w:rFonts w:ascii="Courier New" w:hAnsi="Courier New" w:hint="default"/>
      </w:rPr>
    </w:lvl>
    <w:lvl w:ilvl="8" w:tplc="04020005" w:tentative="1">
      <w:start w:val="1"/>
      <w:numFmt w:val="bullet"/>
      <w:lvlText w:val=""/>
      <w:lvlJc w:val="left"/>
      <w:pPr>
        <w:tabs>
          <w:tab w:val="num" w:pos="6565"/>
        </w:tabs>
        <w:ind w:left="6565" w:hanging="360"/>
      </w:pPr>
      <w:rPr>
        <w:rFonts w:ascii="Wingdings" w:hAnsi="Wingdings" w:hint="default"/>
      </w:rPr>
    </w:lvl>
  </w:abstractNum>
  <w:abstractNum w:abstractNumId="76" w15:restartNumberingAfterBreak="0">
    <w:nsid w:val="0EA2066A"/>
    <w:multiLevelType w:val="hybridMultilevel"/>
    <w:tmpl w:val="686422D4"/>
    <w:lvl w:ilvl="0" w:tplc="A402575E">
      <w:start w:val="1"/>
      <w:numFmt w:val="bullet"/>
      <w:lvlText w:val="•"/>
      <w:lvlJc w:val="left"/>
      <w:pPr>
        <w:tabs>
          <w:tab w:val="num" w:pos="720"/>
        </w:tabs>
        <w:ind w:left="720" w:hanging="360"/>
      </w:pPr>
      <w:rPr>
        <w:rFonts w:ascii="Arial" w:hAnsi="Arial" w:hint="default"/>
      </w:rPr>
    </w:lvl>
    <w:lvl w:ilvl="1" w:tplc="4BC41018">
      <w:start w:val="1"/>
      <w:numFmt w:val="bullet"/>
      <w:lvlText w:val="•"/>
      <w:lvlJc w:val="left"/>
      <w:pPr>
        <w:tabs>
          <w:tab w:val="num" w:pos="1440"/>
        </w:tabs>
        <w:ind w:left="1440" w:hanging="360"/>
      </w:pPr>
      <w:rPr>
        <w:rFonts w:ascii="Arial" w:hAnsi="Arial" w:hint="default"/>
      </w:rPr>
    </w:lvl>
    <w:lvl w:ilvl="2" w:tplc="CDC6B270" w:tentative="1">
      <w:start w:val="1"/>
      <w:numFmt w:val="bullet"/>
      <w:lvlText w:val="•"/>
      <w:lvlJc w:val="left"/>
      <w:pPr>
        <w:tabs>
          <w:tab w:val="num" w:pos="2160"/>
        </w:tabs>
        <w:ind w:left="2160" w:hanging="360"/>
      </w:pPr>
      <w:rPr>
        <w:rFonts w:ascii="Arial" w:hAnsi="Arial" w:hint="default"/>
      </w:rPr>
    </w:lvl>
    <w:lvl w:ilvl="3" w:tplc="02247EC6" w:tentative="1">
      <w:start w:val="1"/>
      <w:numFmt w:val="bullet"/>
      <w:lvlText w:val="•"/>
      <w:lvlJc w:val="left"/>
      <w:pPr>
        <w:tabs>
          <w:tab w:val="num" w:pos="2880"/>
        </w:tabs>
        <w:ind w:left="2880" w:hanging="360"/>
      </w:pPr>
      <w:rPr>
        <w:rFonts w:ascii="Arial" w:hAnsi="Arial" w:hint="default"/>
      </w:rPr>
    </w:lvl>
    <w:lvl w:ilvl="4" w:tplc="F2569296" w:tentative="1">
      <w:start w:val="1"/>
      <w:numFmt w:val="bullet"/>
      <w:lvlText w:val="•"/>
      <w:lvlJc w:val="left"/>
      <w:pPr>
        <w:tabs>
          <w:tab w:val="num" w:pos="3600"/>
        </w:tabs>
        <w:ind w:left="3600" w:hanging="360"/>
      </w:pPr>
      <w:rPr>
        <w:rFonts w:ascii="Arial" w:hAnsi="Arial" w:hint="default"/>
      </w:rPr>
    </w:lvl>
    <w:lvl w:ilvl="5" w:tplc="F3A8F36A" w:tentative="1">
      <w:start w:val="1"/>
      <w:numFmt w:val="bullet"/>
      <w:lvlText w:val="•"/>
      <w:lvlJc w:val="left"/>
      <w:pPr>
        <w:tabs>
          <w:tab w:val="num" w:pos="4320"/>
        </w:tabs>
        <w:ind w:left="4320" w:hanging="360"/>
      </w:pPr>
      <w:rPr>
        <w:rFonts w:ascii="Arial" w:hAnsi="Arial" w:hint="default"/>
      </w:rPr>
    </w:lvl>
    <w:lvl w:ilvl="6" w:tplc="D618D87C" w:tentative="1">
      <w:start w:val="1"/>
      <w:numFmt w:val="bullet"/>
      <w:lvlText w:val="•"/>
      <w:lvlJc w:val="left"/>
      <w:pPr>
        <w:tabs>
          <w:tab w:val="num" w:pos="5040"/>
        </w:tabs>
        <w:ind w:left="5040" w:hanging="360"/>
      </w:pPr>
      <w:rPr>
        <w:rFonts w:ascii="Arial" w:hAnsi="Arial" w:hint="default"/>
      </w:rPr>
    </w:lvl>
    <w:lvl w:ilvl="7" w:tplc="B39C02EE" w:tentative="1">
      <w:start w:val="1"/>
      <w:numFmt w:val="bullet"/>
      <w:lvlText w:val="•"/>
      <w:lvlJc w:val="left"/>
      <w:pPr>
        <w:tabs>
          <w:tab w:val="num" w:pos="5760"/>
        </w:tabs>
        <w:ind w:left="5760" w:hanging="360"/>
      </w:pPr>
      <w:rPr>
        <w:rFonts w:ascii="Arial" w:hAnsi="Arial" w:hint="default"/>
      </w:rPr>
    </w:lvl>
    <w:lvl w:ilvl="8" w:tplc="CB46B22E" w:tentative="1">
      <w:start w:val="1"/>
      <w:numFmt w:val="bullet"/>
      <w:lvlText w:val="•"/>
      <w:lvlJc w:val="left"/>
      <w:pPr>
        <w:tabs>
          <w:tab w:val="num" w:pos="6480"/>
        </w:tabs>
        <w:ind w:left="6480" w:hanging="360"/>
      </w:pPr>
      <w:rPr>
        <w:rFonts w:ascii="Arial" w:hAnsi="Arial" w:hint="default"/>
      </w:rPr>
    </w:lvl>
  </w:abstractNum>
  <w:abstractNum w:abstractNumId="77" w15:restartNumberingAfterBreak="0">
    <w:nsid w:val="0EEF2B88"/>
    <w:multiLevelType w:val="hybridMultilevel"/>
    <w:tmpl w:val="26EA3FE6"/>
    <w:lvl w:ilvl="0" w:tplc="00000009">
      <w:start w:val="1"/>
      <w:numFmt w:val="decimal"/>
      <w:lvlText w:val="%1."/>
      <w:lvlJc w:val="left"/>
      <w:pPr>
        <w:ind w:left="720" w:hanging="360"/>
      </w:p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start w:val="1"/>
      <w:numFmt w:val="lowerLetter"/>
      <w:lvlText w:val="%5."/>
      <w:lvlJc w:val="left"/>
      <w:pPr>
        <w:ind w:left="3600" w:hanging="360"/>
      </w:pPr>
    </w:lvl>
    <w:lvl w:ilvl="5" w:tplc="04090005">
      <w:start w:val="1"/>
      <w:numFmt w:val="lowerRoman"/>
      <w:lvlText w:val="%6."/>
      <w:lvlJc w:val="right"/>
      <w:pPr>
        <w:ind w:left="4320" w:hanging="180"/>
      </w:pPr>
    </w:lvl>
    <w:lvl w:ilvl="6" w:tplc="04090001">
      <w:start w:val="1"/>
      <w:numFmt w:val="decimal"/>
      <w:lvlText w:val="%7."/>
      <w:lvlJc w:val="left"/>
      <w:pPr>
        <w:ind w:left="5040" w:hanging="360"/>
      </w:pPr>
    </w:lvl>
    <w:lvl w:ilvl="7" w:tplc="04090003">
      <w:start w:val="1"/>
      <w:numFmt w:val="lowerLetter"/>
      <w:lvlText w:val="%8."/>
      <w:lvlJc w:val="left"/>
      <w:pPr>
        <w:ind w:left="5760" w:hanging="360"/>
      </w:pPr>
    </w:lvl>
    <w:lvl w:ilvl="8" w:tplc="04090005">
      <w:start w:val="1"/>
      <w:numFmt w:val="lowerRoman"/>
      <w:lvlText w:val="%9."/>
      <w:lvlJc w:val="right"/>
      <w:pPr>
        <w:ind w:left="6480" w:hanging="180"/>
      </w:pPr>
    </w:lvl>
  </w:abstractNum>
  <w:abstractNum w:abstractNumId="78" w15:restartNumberingAfterBreak="0">
    <w:nsid w:val="0EFE4FD0"/>
    <w:multiLevelType w:val="multilevel"/>
    <w:tmpl w:val="042E9996"/>
    <w:lvl w:ilvl="0">
      <w:start w:val="1"/>
      <w:numFmt w:val="none"/>
      <w:lvlText w:val=""/>
      <w:legacy w:legacy="1" w:legacySpace="120" w:legacyIndent="360"/>
      <w:lvlJc w:val="left"/>
      <w:pPr>
        <w:ind w:left="360" w:hanging="360"/>
      </w:pPr>
      <w:rPr>
        <w:rFonts w:ascii="Symbol" w:hAnsi="Symbol" w:cs="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cs="Wingdings" w:hint="default"/>
      </w:rPr>
    </w:lvl>
    <w:lvl w:ilvl="3">
      <w:start w:val="1"/>
      <w:numFmt w:val="none"/>
      <w:lvlText w:val=""/>
      <w:legacy w:legacy="1" w:legacySpace="120" w:legacyIndent="360"/>
      <w:lvlJc w:val="left"/>
      <w:pPr>
        <w:ind w:left="1440" w:hanging="360"/>
      </w:pPr>
      <w:rPr>
        <w:rFonts w:ascii="Symbol" w:hAnsi="Symbol" w:cs="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cs="Wingdings" w:hint="default"/>
      </w:rPr>
    </w:lvl>
    <w:lvl w:ilvl="6">
      <w:start w:val="1"/>
      <w:numFmt w:val="none"/>
      <w:lvlText w:val=""/>
      <w:legacy w:legacy="1" w:legacySpace="120" w:legacyIndent="360"/>
      <w:lvlJc w:val="left"/>
      <w:pPr>
        <w:ind w:left="2520" w:hanging="360"/>
      </w:pPr>
      <w:rPr>
        <w:rFonts w:ascii="Symbol" w:hAnsi="Symbol" w:cs="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cs="Wingdings" w:hint="default"/>
      </w:rPr>
    </w:lvl>
  </w:abstractNum>
  <w:abstractNum w:abstractNumId="79" w15:restartNumberingAfterBreak="0">
    <w:nsid w:val="0F055DCA"/>
    <w:multiLevelType w:val="hybridMultilevel"/>
    <w:tmpl w:val="A1501EBA"/>
    <w:lvl w:ilvl="0" w:tplc="46906B6E">
      <w:start w:val="1"/>
      <w:numFmt w:val="bullet"/>
      <w:lvlText w:val=""/>
      <w:lvlJc w:val="left"/>
      <w:pPr>
        <w:ind w:left="1286" w:hanging="360"/>
      </w:pPr>
      <w:rPr>
        <w:rFonts w:ascii="Symbol" w:hAnsi="Symbol" w:hint="default"/>
      </w:rPr>
    </w:lvl>
    <w:lvl w:ilvl="1" w:tplc="F5266E26" w:tentative="1">
      <w:start w:val="1"/>
      <w:numFmt w:val="bullet"/>
      <w:lvlText w:val="o"/>
      <w:lvlJc w:val="left"/>
      <w:pPr>
        <w:ind w:left="2006" w:hanging="360"/>
      </w:pPr>
      <w:rPr>
        <w:rFonts w:ascii="Courier New" w:hAnsi="Courier New" w:hint="default"/>
      </w:rPr>
    </w:lvl>
    <w:lvl w:ilvl="2" w:tplc="3552F462" w:tentative="1">
      <w:start w:val="1"/>
      <w:numFmt w:val="bullet"/>
      <w:lvlText w:val=""/>
      <w:lvlJc w:val="left"/>
      <w:pPr>
        <w:ind w:left="2726" w:hanging="360"/>
      </w:pPr>
      <w:rPr>
        <w:rFonts w:ascii="Wingdings" w:hAnsi="Wingdings" w:hint="default"/>
      </w:rPr>
    </w:lvl>
    <w:lvl w:ilvl="3" w:tplc="ECE21ABE" w:tentative="1">
      <w:start w:val="1"/>
      <w:numFmt w:val="bullet"/>
      <w:lvlText w:val=""/>
      <w:lvlJc w:val="left"/>
      <w:pPr>
        <w:ind w:left="3446" w:hanging="360"/>
      </w:pPr>
      <w:rPr>
        <w:rFonts w:ascii="Symbol" w:hAnsi="Symbol" w:hint="default"/>
      </w:rPr>
    </w:lvl>
    <w:lvl w:ilvl="4" w:tplc="2E9C8D18" w:tentative="1">
      <w:start w:val="1"/>
      <w:numFmt w:val="bullet"/>
      <w:lvlText w:val="o"/>
      <w:lvlJc w:val="left"/>
      <w:pPr>
        <w:ind w:left="4166" w:hanging="360"/>
      </w:pPr>
      <w:rPr>
        <w:rFonts w:ascii="Courier New" w:hAnsi="Courier New" w:hint="default"/>
      </w:rPr>
    </w:lvl>
    <w:lvl w:ilvl="5" w:tplc="48E00E8A" w:tentative="1">
      <w:start w:val="1"/>
      <w:numFmt w:val="bullet"/>
      <w:lvlText w:val=""/>
      <w:lvlJc w:val="left"/>
      <w:pPr>
        <w:ind w:left="4886" w:hanging="360"/>
      </w:pPr>
      <w:rPr>
        <w:rFonts w:ascii="Wingdings" w:hAnsi="Wingdings" w:hint="default"/>
      </w:rPr>
    </w:lvl>
    <w:lvl w:ilvl="6" w:tplc="4ADE78DE" w:tentative="1">
      <w:start w:val="1"/>
      <w:numFmt w:val="bullet"/>
      <w:lvlText w:val=""/>
      <w:lvlJc w:val="left"/>
      <w:pPr>
        <w:ind w:left="5606" w:hanging="360"/>
      </w:pPr>
      <w:rPr>
        <w:rFonts w:ascii="Symbol" w:hAnsi="Symbol" w:hint="default"/>
      </w:rPr>
    </w:lvl>
    <w:lvl w:ilvl="7" w:tplc="715066C8" w:tentative="1">
      <w:start w:val="1"/>
      <w:numFmt w:val="bullet"/>
      <w:lvlText w:val="o"/>
      <w:lvlJc w:val="left"/>
      <w:pPr>
        <w:ind w:left="6326" w:hanging="360"/>
      </w:pPr>
      <w:rPr>
        <w:rFonts w:ascii="Courier New" w:hAnsi="Courier New" w:hint="default"/>
      </w:rPr>
    </w:lvl>
    <w:lvl w:ilvl="8" w:tplc="A03CBFB2" w:tentative="1">
      <w:start w:val="1"/>
      <w:numFmt w:val="bullet"/>
      <w:lvlText w:val=""/>
      <w:lvlJc w:val="left"/>
      <w:pPr>
        <w:ind w:left="7046" w:hanging="360"/>
      </w:pPr>
      <w:rPr>
        <w:rFonts w:ascii="Wingdings" w:hAnsi="Wingdings" w:hint="default"/>
      </w:rPr>
    </w:lvl>
  </w:abstractNum>
  <w:abstractNum w:abstractNumId="80" w15:restartNumberingAfterBreak="0">
    <w:nsid w:val="0F141ADA"/>
    <w:multiLevelType w:val="hybridMultilevel"/>
    <w:tmpl w:val="3858E8FE"/>
    <w:lvl w:ilvl="0" w:tplc="916C5D6A">
      <w:start w:val="1"/>
      <w:numFmt w:val="bullet"/>
      <w:lvlText w:val=""/>
      <w:lvlJc w:val="left"/>
      <w:pPr>
        <w:ind w:left="720" w:hanging="360"/>
      </w:pPr>
      <w:rPr>
        <w:rFonts w:ascii="Symbol" w:hAnsi="Symbol" w:cs="Symbol" w:hint="default"/>
      </w:rPr>
    </w:lvl>
    <w:lvl w:ilvl="1" w:tplc="28DE380E">
      <w:start w:val="1"/>
      <w:numFmt w:val="bullet"/>
      <w:lvlText w:val="o"/>
      <w:lvlJc w:val="left"/>
      <w:pPr>
        <w:ind w:left="1440" w:hanging="360"/>
      </w:pPr>
      <w:rPr>
        <w:rFonts w:ascii="Courier New" w:hAnsi="Courier New" w:cs="Courier New" w:hint="default"/>
      </w:rPr>
    </w:lvl>
    <w:lvl w:ilvl="2" w:tplc="DF9AA38E">
      <w:start w:val="1"/>
      <w:numFmt w:val="bullet"/>
      <w:lvlText w:val=""/>
      <w:lvlJc w:val="left"/>
      <w:pPr>
        <w:ind w:left="2160" w:hanging="360"/>
      </w:pPr>
      <w:rPr>
        <w:rFonts w:ascii="Wingdings" w:hAnsi="Wingdings" w:cs="Wingdings" w:hint="default"/>
      </w:rPr>
    </w:lvl>
    <w:lvl w:ilvl="3" w:tplc="0B589C1E">
      <w:start w:val="1"/>
      <w:numFmt w:val="bullet"/>
      <w:lvlText w:val=""/>
      <w:lvlJc w:val="left"/>
      <w:pPr>
        <w:ind w:left="2880" w:hanging="360"/>
      </w:pPr>
      <w:rPr>
        <w:rFonts w:ascii="Symbol" w:hAnsi="Symbol" w:cs="Symbol" w:hint="default"/>
      </w:rPr>
    </w:lvl>
    <w:lvl w:ilvl="4" w:tplc="B8066100">
      <w:start w:val="1"/>
      <w:numFmt w:val="bullet"/>
      <w:lvlText w:val="o"/>
      <w:lvlJc w:val="left"/>
      <w:pPr>
        <w:ind w:left="3600" w:hanging="360"/>
      </w:pPr>
      <w:rPr>
        <w:rFonts w:ascii="Courier New" w:hAnsi="Courier New" w:cs="Courier New" w:hint="default"/>
      </w:rPr>
    </w:lvl>
    <w:lvl w:ilvl="5" w:tplc="9DB264E2">
      <w:start w:val="1"/>
      <w:numFmt w:val="bullet"/>
      <w:lvlText w:val=""/>
      <w:lvlJc w:val="left"/>
      <w:pPr>
        <w:ind w:left="4320" w:hanging="360"/>
      </w:pPr>
      <w:rPr>
        <w:rFonts w:ascii="Wingdings" w:hAnsi="Wingdings" w:cs="Wingdings" w:hint="default"/>
      </w:rPr>
    </w:lvl>
    <w:lvl w:ilvl="6" w:tplc="A2A4E26A">
      <w:start w:val="1"/>
      <w:numFmt w:val="bullet"/>
      <w:lvlText w:val=""/>
      <w:lvlJc w:val="left"/>
      <w:pPr>
        <w:ind w:left="5040" w:hanging="360"/>
      </w:pPr>
      <w:rPr>
        <w:rFonts w:ascii="Symbol" w:hAnsi="Symbol" w:cs="Symbol" w:hint="default"/>
      </w:rPr>
    </w:lvl>
    <w:lvl w:ilvl="7" w:tplc="A62EE70C">
      <w:start w:val="1"/>
      <w:numFmt w:val="bullet"/>
      <w:lvlText w:val="o"/>
      <w:lvlJc w:val="left"/>
      <w:pPr>
        <w:ind w:left="5760" w:hanging="360"/>
      </w:pPr>
      <w:rPr>
        <w:rFonts w:ascii="Courier New" w:hAnsi="Courier New" w:cs="Courier New" w:hint="default"/>
      </w:rPr>
    </w:lvl>
    <w:lvl w:ilvl="8" w:tplc="6A18AB18">
      <w:start w:val="1"/>
      <w:numFmt w:val="bullet"/>
      <w:lvlText w:val=""/>
      <w:lvlJc w:val="left"/>
      <w:pPr>
        <w:ind w:left="6480" w:hanging="360"/>
      </w:pPr>
      <w:rPr>
        <w:rFonts w:ascii="Wingdings" w:hAnsi="Wingdings" w:cs="Wingdings" w:hint="default"/>
      </w:rPr>
    </w:lvl>
  </w:abstractNum>
  <w:abstractNum w:abstractNumId="81" w15:restartNumberingAfterBreak="0">
    <w:nsid w:val="0F96249B"/>
    <w:multiLevelType w:val="hybridMultilevel"/>
    <w:tmpl w:val="2A0C590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2" w15:restartNumberingAfterBreak="0">
    <w:nsid w:val="107C2B19"/>
    <w:multiLevelType w:val="multilevel"/>
    <w:tmpl w:val="107C2B19"/>
    <w:lvl w:ilvl="0">
      <w:numFmt w:val="bullet"/>
      <w:lvlText w:val="-"/>
      <w:lvlJc w:val="left"/>
      <w:pPr>
        <w:ind w:left="720" w:hanging="360"/>
      </w:pPr>
      <w:rPr>
        <w:rFonts w:ascii="Times New Roman" w:eastAsia="SimSu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3" w15:restartNumberingAfterBreak="0">
    <w:nsid w:val="10CE5104"/>
    <w:multiLevelType w:val="hybridMultilevel"/>
    <w:tmpl w:val="742E9A1E"/>
    <w:lvl w:ilvl="0" w:tplc="04090001">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84" w15:restartNumberingAfterBreak="0">
    <w:nsid w:val="10DF5C43"/>
    <w:multiLevelType w:val="hybridMultilevel"/>
    <w:tmpl w:val="C1A204BA"/>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tabs>
          <w:tab w:val="num" w:pos="2160"/>
        </w:tabs>
        <w:ind w:left="2160" w:hanging="360"/>
      </w:pPr>
      <w:rPr>
        <w:rFonts w:ascii="Symbol" w:hAnsi="Symbol"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
      <w:lvlJc w:val="left"/>
      <w:pPr>
        <w:tabs>
          <w:tab w:val="num" w:pos="3600"/>
        </w:tabs>
        <w:ind w:left="3600" w:hanging="360"/>
      </w:pPr>
      <w:rPr>
        <w:rFonts w:ascii="Symbol" w:hAnsi="Symbol" w:hint="default"/>
      </w:rPr>
    </w:lvl>
    <w:lvl w:ilvl="5" w:tplc="04020005" w:tentative="1">
      <w:start w:val="1"/>
      <w:numFmt w:val="bullet"/>
      <w:lvlText w:val=""/>
      <w:lvlJc w:val="left"/>
      <w:pPr>
        <w:tabs>
          <w:tab w:val="num" w:pos="4320"/>
        </w:tabs>
        <w:ind w:left="4320" w:hanging="360"/>
      </w:pPr>
      <w:rPr>
        <w:rFonts w:ascii="Symbol" w:hAnsi="Symbol"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
      <w:lvlJc w:val="left"/>
      <w:pPr>
        <w:tabs>
          <w:tab w:val="num" w:pos="5760"/>
        </w:tabs>
        <w:ind w:left="5760" w:hanging="360"/>
      </w:pPr>
      <w:rPr>
        <w:rFonts w:ascii="Symbol" w:hAnsi="Symbol" w:hint="default"/>
      </w:rPr>
    </w:lvl>
    <w:lvl w:ilvl="8" w:tplc="04020005" w:tentative="1">
      <w:start w:val="1"/>
      <w:numFmt w:val="bullet"/>
      <w:lvlText w:val=""/>
      <w:lvlJc w:val="left"/>
      <w:pPr>
        <w:tabs>
          <w:tab w:val="num" w:pos="6480"/>
        </w:tabs>
        <w:ind w:left="6480" w:hanging="360"/>
      </w:pPr>
      <w:rPr>
        <w:rFonts w:ascii="Symbol" w:hAnsi="Symbol" w:hint="default"/>
      </w:rPr>
    </w:lvl>
  </w:abstractNum>
  <w:abstractNum w:abstractNumId="85" w15:restartNumberingAfterBreak="0">
    <w:nsid w:val="12046528"/>
    <w:multiLevelType w:val="hybridMultilevel"/>
    <w:tmpl w:val="E160D672"/>
    <w:lvl w:ilvl="0" w:tplc="04020013">
      <w:start w:val="108"/>
      <w:numFmt w:val="bullet"/>
      <w:lvlText w:val="–"/>
      <w:lvlJc w:val="left"/>
      <w:pPr>
        <w:ind w:left="720" w:hanging="360"/>
      </w:pPr>
      <w:rPr>
        <w:rFonts w:ascii="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6" w15:restartNumberingAfterBreak="0">
    <w:nsid w:val="120A2E76"/>
    <w:multiLevelType w:val="hybridMultilevel"/>
    <w:tmpl w:val="91E20A96"/>
    <w:lvl w:ilvl="0" w:tplc="FFFFFFFF">
      <w:start w:val="1"/>
      <w:numFmt w:val="decimal"/>
      <w:lvlText w:val="%1."/>
      <w:lvlJc w:val="left"/>
      <w:pPr>
        <w:tabs>
          <w:tab w:val="num" w:pos="720"/>
        </w:tabs>
        <w:ind w:left="720" w:hanging="360"/>
      </w:pPr>
      <w:rPr>
        <w:b/>
        <w:bCs/>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87" w15:restartNumberingAfterBreak="0">
    <w:nsid w:val="12A86290"/>
    <w:multiLevelType w:val="hybridMultilevel"/>
    <w:tmpl w:val="10B416DE"/>
    <w:lvl w:ilvl="0" w:tplc="C33437B2">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8" w15:restartNumberingAfterBreak="0">
    <w:nsid w:val="12BD0E08"/>
    <w:multiLevelType w:val="hybridMultilevel"/>
    <w:tmpl w:val="E764A8D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9" w15:restartNumberingAfterBreak="0">
    <w:nsid w:val="137F161C"/>
    <w:multiLevelType w:val="multilevel"/>
    <w:tmpl w:val="EC529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13C75DBD"/>
    <w:multiLevelType w:val="hybridMultilevel"/>
    <w:tmpl w:val="E5601848"/>
    <w:lvl w:ilvl="0" w:tplc="C72C9532">
      <w:start w:val="1"/>
      <w:numFmt w:val="bullet"/>
      <w:lvlText w:val=""/>
      <w:lvlJc w:val="left"/>
      <w:pPr>
        <w:ind w:left="720" w:hanging="360"/>
      </w:pPr>
      <w:rPr>
        <w:rFonts w:ascii="Symbol" w:hAnsi="Symbol" w:hint="default"/>
      </w:rPr>
    </w:lvl>
    <w:lvl w:ilvl="1" w:tplc="16726522" w:tentative="1">
      <w:start w:val="1"/>
      <w:numFmt w:val="bullet"/>
      <w:lvlText w:val="o"/>
      <w:lvlJc w:val="left"/>
      <w:pPr>
        <w:ind w:left="1440" w:hanging="360"/>
      </w:pPr>
      <w:rPr>
        <w:rFonts w:ascii="Courier New" w:hAnsi="Courier New" w:cs="Courier New" w:hint="default"/>
      </w:rPr>
    </w:lvl>
    <w:lvl w:ilvl="2" w:tplc="26C82006" w:tentative="1">
      <w:start w:val="1"/>
      <w:numFmt w:val="bullet"/>
      <w:lvlText w:val=""/>
      <w:lvlJc w:val="left"/>
      <w:pPr>
        <w:ind w:left="2160" w:hanging="360"/>
      </w:pPr>
      <w:rPr>
        <w:rFonts w:ascii="Wingdings" w:hAnsi="Wingdings" w:hint="default"/>
      </w:rPr>
    </w:lvl>
    <w:lvl w:ilvl="3" w:tplc="DBA86FE0" w:tentative="1">
      <w:start w:val="1"/>
      <w:numFmt w:val="bullet"/>
      <w:lvlText w:val=""/>
      <w:lvlJc w:val="left"/>
      <w:pPr>
        <w:ind w:left="2880" w:hanging="360"/>
      </w:pPr>
      <w:rPr>
        <w:rFonts w:ascii="Symbol" w:hAnsi="Symbol" w:hint="default"/>
      </w:rPr>
    </w:lvl>
    <w:lvl w:ilvl="4" w:tplc="75887BE2" w:tentative="1">
      <w:start w:val="1"/>
      <w:numFmt w:val="bullet"/>
      <w:lvlText w:val="o"/>
      <w:lvlJc w:val="left"/>
      <w:pPr>
        <w:ind w:left="3600" w:hanging="360"/>
      </w:pPr>
      <w:rPr>
        <w:rFonts w:ascii="Courier New" w:hAnsi="Courier New" w:cs="Courier New" w:hint="default"/>
      </w:rPr>
    </w:lvl>
    <w:lvl w:ilvl="5" w:tplc="2EC0E454" w:tentative="1">
      <w:start w:val="1"/>
      <w:numFmt w:val="bullet"/>
      <w:lvlText w:val=""/>
      <w:lvlJc w:val="left"/>
      <w:pPr>
        <w:ind w:left="4320" w:hanging="360"/>
      </w:pPr>
      <w:rPr>
        <w:rFonts w:ascii="Wingdings" w:hAnsi="Wingdings" w:hint="default"/>
      </w:rPr>
    </w:lvl>
    <w:lvl w:ilvl="6" w:tplc="212C1336" w:tentative="1">
      <w:start w:val="1"/>
      <w:numFmt w:val="bullet"/>
      <w:lvlText w:val=""/>
      <w:lvlJc w:val="left"/>
      <w:pPr>
        <w:ind w:left="5040" w:hanging="360"/>
      </w:pPr>
      <w:rPr>
        <w:rFonts w:ascii="Symbol" w:hAnsi="Symbol" w:hint="default"/>
      </w:rPr>
    </w:lvl>
    <w:lvl w:ilvl="7" w:tplc="6D50EEC0" w:tentative="1">
      <w:start w:val="1"/>
      <w:numFmt w:val="bullet"/>
      <w:lvlText w:val="o"/>
      <w:lvlJc w:val="left"/>
      <w:pPr>
        <w:ind w:left="5760" w:hanging="360"/>
      </w:pPr>
      <w:rPr>
        <w:rFonts w:ascii="Courier New" w:hAnsi="Courier New" w:cs="Courier New" w:hint="default"/>
      </w:rPr>
    </w:lvl>
    <w:lvl w:ilvl="8" w:tplc="FFBED3BE" w:tentative="1">
      <w:start w:val="1"/>
      <w:numFmt w:val="bullet"/>
      <w:lvlText w:val=""/>
      <w:lvlJc w:val="left"/>
      <w:pPr>
        <w:ind w:left="6480" w:hanging="360"/>
      </w:pPr>
      <w:rPr>
        <w:rFonts w:ascii="Wingdings" w:hAnsi="Wingdings" w:hint="default"/>
      </w:rPr>
    </w:lvl>
  </w:abstractNum>
  <w:abstractNum w:abstractNumId="91" w15:restartNumberingAfterBreak="0">
    <w:nsid w:val="153717E1"/>
    <w:multiLevelType w:val="hybridMultilevel"/>
    <w:tmpl w:val="947CE5A2"/>
    <w:lvl w:ilvl="0" w:tplc="ED76627A">
      <w:start w:val="1"/>
      <w:numFmt w:val="bullet"/>
      <w:lvlText w:val=""/>
      <w:lvlJc w:val="left"/>
      <w:pPr>
        <w:ind w:left="720" w:hanging="360"/>
      </w:pPr>
      <w:rPr>
        <w:rFonts w:ascii="Symbol" w:hAnsi="Symbol" w:hint="default"/>
      </w:rPr>
    </w:lvl>
    <w:lvl w:ilvl="1" w:tplc="4CDCF0AA" w:tentative="1">
      <w:start w:val="1"/>
      <w:numFmt w:val="bullet"/>
      <w:lvlText w:val="o"/>
      <w:lvlJc w:val="left"/>
      <w:pPr>
        <w:ind w:left="1440" w:hanging="360"/>
      </w:pPr>
      <w:rPr>
        <w:rFonts w:ascii="Courier New" w:hAnsi="Courier New" w:cs="Courier New" w:hint="default"/>
      </w:rPr>
    </w:lvl>
    <w:lvl w:ilvl="2" w:tplc="486CBC58" w:tentative="1">
      <w:start w:val="1"/>
      <w:numFmt w:val="bullet"/>
      <w:lvlText w:val=""/>
      <w:lvlJc w:val="left"/>
      <w:pPr>
        <w:ind w:left="2160" w:hanging="360"/>
      </w:pPr>
      <w:rPr>
        <w:rFonts w:ascii="Wingdings" w:hAnsi="Wingdings" w:hint="default"/>
      </w:rPr>
    </w:lvl>
    <w:lvl w:ilvl="3" w:tplc="0542F8B4" w:tentative="1">
      <w:start w:val="1"/>
      <w:numFmt w:val="bullet"/>
      <w:lvlText w:val=""/>
      <w:lvlJc w:val="left"/>
      <w:pPr>
        <w:ind w:left="2880" w:hanging="360"/>
      </w:pPr>
      <w:rPr>
        <w:rFonts w:ascii="Symbol" w:hAnsi="Symbol" w:hint="default"/>
      </w:rPr>
    </w:lvl>
    <w:lvl w:ilvl="4" w:tplc="A9EE8010" w:tentative="1">
      <w:start w:val="1"/>
      <w:numFmt w:val="bullet"/>
      <w:lvlText w:val="o"/>
      <w:lvlJc w:val="left"/>
      <w:pPr>
        <w:ind w:left="3600" w:hanging="360"/>
      </w:pPr>
      <w:rPr>
        <w:rFonts w:ascii="Courier New" w:hAnsi="Courier New" w:cs="Courier New" w:hint="default"/>
      </w:rPr>
    </w:lvl>
    <w:lvl w:ilvl="5" w:tplc="6668FB2E" w:tentative="1">
      <w:start w:val="1"/>
      <w:numFmt w:val="bullet"/>
      <w:lvlText w:val=""/>
      <w:lvlJc w:val="left"/>
      <w:pPr>
        <w:ind w:left="4320" w:hanging="360"/>
      </w:pPr>
      <w:rPr>
        <w:rFonts w:ascii="Wingdings" w:hAnsi="Wingdings" w:hint="default"/>
      </w:rPr>
    </w:lvl>
    <w:lvl w:ilvl="6" w:tplc="D986A144" w:tentative="1">
      <w:start w:val="1"/>
      <w:numFmt w:val="bullet"/>
      <w:lvlText w:val=""/>
      <w:lvlJc w:val="left"/>
      <w:pPr>
        <w:ind w:left="5040" w:hanging="360"/>
      </w:pPr>
      <w:rPr>
        <w:rFonts w:ascii="Symbol" w:hAnsi="Symbol" w:hint="default"/>
      </w:rPr>
    </w:lvl>
    <w:lvl w:ilvl="7" w:tplc="3B64EDDE" w:tentative="1">
      <w:start w:val="1"/>
      <w:numFmt w:val="bullet"/>
      <w:lvlText w:val="o"/>
      <w:lvlJc w:val="left"/>
      <w:pPr>
        <w:ind w:left="5760" w:hanging="360"/>
      </w:pPr>
      <w:rPr>
        <w:rFonts w:ascii="Courier New" w:hAnsi="Courier New" w:cs="Courier New" w:hint="default"/>
      </w:rPr>
    </w:lvl>
    <w:lvl w:ilvl="8" w:tplc="F46443CC" w:tentative="1">
      <w:start w:val="1"/>
      <w:numFmt w:val="bullet"/>
      <w:lvlText w:val=""/>
      <w:lvlJc w:val="left"/>
      <w:pPr>
        <w:ind w:left="6480" w:hanging="360"/>
      </w:pPr>
      <w:rPr>
        <w:rFonts w:ascii="Wingdings" w:hAnsi="Wingdings" w:hint="default"/>
      </w:rPr>
    </w:lvl>
  </w:abstractNum>
  <w:abstractNum w:abstractNumId="92" w15:restartNumberingAfterBreak="0">
    <w:nsid w:val="154E7483"/>
    <w:multiLevelType w:val="hybridMultilevel"/>
    <w:tmpl w:val="0E86B1B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3" w15:restartNumberingAfterBreak="0">
    <w:nsid w:val="156F766D"/>
    <w:multiLevelType w:val="multilevel"/>
    <w:tmpl w:val="407C34EC"/>
    <w:lvl w:ilvl="0">
      <w:start w:val="1"/>
      <w:numFmt w:val="decimal"/>
      <w:lvlText w:val="%1."/>
      <w:lvlJc w:val="left"/>
      <w:pPr>
        <w:ind w:left="644" w:hanging="360"/>
      </w:pPr>
      <w:rPr>
        <w:rFonts w:cs="Times New Roman" w:hint="default"/>
      </w:rPr>
    </w:lvl>
    <w:lvl w:ilvl="1">
      <w:start w:val="2"/>
      <w:numFmt w:val="decimal"/>
      <w:isLgl/>
      <w:lvlText w:val="%1.%2."/>
      <w:lvlJc w:val="left"/>
      <w:pPr>
        <w:ind w:left="2263"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4" w15:restartNumberingAfterBreak="0">
    <w:nsid w:val="162368D0"/>
    <w:multiLevelType w:val="singleLevel"/>
    <w:tmpl w:val="6576BBE2"/>
    <w:lvl w:ilvl="0">
      <w:start w:val="1"/>
      <w:numFmt w:val="decimal"/>
      <w:lvlText w:val="%1)"/>
      <w:lvlJc w:val="left"/>
      <w:pPr>
        <w:tabs>
          <w:tab w:val="num" w:pos="1080"/>
        </w:tabs>
        <w:ind w:left="1080" w:hanging="360"/>
      </w:pPr>
      <w:rPr>
        <w:rFonts w:cs="Times New Roman" w:hint="default"/>
      </w:rPr>
    </w:lvl>
  </w:abstractNum>
  <w:abstractNum w:abstractNumId="95" w15:restartNumberingAfterBreak="0">
    <w:nsid w:val="169C2063"/>
    <w:multiLevelType w:val="hybridMultilevel"/>
    <w:tmpl w:val="4D32F938"/>
    <w:lvl w:ilvl="0" w:tplc="66867906">
      <w:start w:val="1"/>
      <w:numFmt w:val="bullet"/>
      <w:lvlText w:val=""/>
      <w:lvlJc w:val="left"/>
      <w:pPr>
        <w:ind w:left="720" w:hanging="360"/>
      </w:pPr>
      <w:rPr>
        <w:rFonts w:ascii="Symbol" w:hAnsi="Symbol" w:hint="default"/>
      </w:rPr>
    </w:lvl>
    <w:lvl w:ilvl="1" w:tplc="639A8A2E" w:tentative="1">
      <w:start w:val="1"/>
      <w:numFmt w:val="bullet"/>
      <w:lvlText w:val="o"/>
      <w:lvlJc w:val="left"/>
      <w:pPr>
        <w:ind w:left="1440" w:hanging="360"/>
      </w:pPr>
      <w:rPr>
        <w:rFonts w:ascii="Courier New" w:hAnsi="Courier New" w:hint="default"/>
      </w:rPr>
    </w:lvl>
    <w:lvl w:ilvl="2" w:tplc="6F101A48" w:tentative="1">
      <w:start w:val="1"/>
      <w:numFmt w:val="bullet"/>
      <w:lvlText w:val=""/>
      <w:lvlJc w:val="left"/>
      <w:pPr>
        <w:ind w:left="2160" w:hanging="360"/>
      </w:pPr>
      <w:rPr>
        <w:rFonts w:ascii="Wingdings" w:hAnsi="Wingdings" w:hint="default"/>
      </w:rPr>
    </w:lvl>
    <w:lvl w:ilvl="3" w:tplc="88269C44" w:tentative="1">
      <w:start w:val="1"/>
      <w:numFmt w:val="bullet"/>
      <w:lvlText w:val=""/>
      <w:lvlJc w:val="left"/>
      <w:pPr>
        <w:ind w:left="2880" w:hanging="360"/>
      </w:pPr>
      <w:rPr>
        <w:rFonts w:ascii="Symbol" w:hAnsi="Symbol" w:hint="default"/>
      </w:rPr>
    </w:lvl>
    <w:lvl w:ilvl="4" w:tplc="45240A54" w:tentative="1">
      <w:start w:val="1"/>
      <w:numFmt w:val="bullet"/>
      <w:lvlText w:val="o"/>
      <w:lvlJc w:val="left"/>
      <w:pPr>
        <w:ind w:left="3600" w:hanging="360"/>
      </w:pPr>
      <w:rPr>
        <w:rFonts w:ascii="Courier New" w:hAnsi="Courier New" w:hint="default"/>
      </w:rPr>
    </w:lvl>
    <w:lvl w:ilvl="5" w:tplc="A106DD1E" w:tentative="1">
      <w:start w:val="1"/>
      <w:numFmt w:val="bullet"/>
      <w:lvlText w:val=""/>
      <w:lvlJc w:val="left"/>
      <w:pPr>
        <w:ind w:left="4320" w:hanging="360"/>
      </w:pPr>
      <w:rPr>
        <w:rFonts w:ascii="Wingdings" w:hAnsi="Wingdings" w:hint="default"/>
      </w:rPr>
    </w:lvl>
    <w:lvl w:ilvl="6" w:tplc="6E624684" w:tentative="1">
      <w:start w:val="1"/>
      <w:numFmt w:val="bullet"/>
      <w:lvlText w:val=""/>
      <w:lvlJc w:val="left"/>
      <w:pPr>
        <w:ind w:left="5040" w:hanging="360"/>
      </w:pPr>
      <w:rPr>
        <w:rFonts w:ascii="Symbol" w:hAnsi="Symbol" w:hint="default"/>
      </w:rPr>
    </w:lvl>
    <w:lvl w:ilvl="7" w:tplc="BA20D0FC" w:tentative="1">
      <w:start w:val="1"/>
      <w:numFmt w:val="bullet"/>
      <w:lvlText w:val="o"/>
      <w:lvlJc w:val="left"/>
      <w:pPr>
        <w:ind w:left="5760" w:hanging="360"/>
      </w:pPr>
      <w:rPr>
        <w:rFonts w:ascii="Courier New" w:hAnsi="Courier New" w:hint="default"/>
      </w:rPr>
    </w:lvl>
    <w:lvl w:ilvl="8" w:tplc="0F06BC04" w:tentative="1">
      <w:start w:val="1"/>
      <w:numFmt w:val="bullet"/>
      <w:lvlText w:val=""/>
      <w:lvlJc w:val="left"/>
      <w:pPr>
        <w:ind w:left="6480" w:hanging="360"/>
      </w:pPr>
      <w:rPr>
        <w:rFonts w:ascii="Wingdings" w:hAnsi="Wingdings" w:hint="default"/>
      </w:rPr>
    </w:lvl>
  </w:abstractNum>
  <w:abstractNum w:abstractNumId="96" w15:restartNumberingAfterBreak="0">
    <w:nsid w:val="17A66419"/>
    <w:multiLevelType w:val="hybridMultilevel"/>
    <w:tmpl w:val="E328FE72"/>
    <w:lvl w:ilvl="0" w:tplc="E9449070">
      <w:start w:val="1"/>
      <w:numFmt w:val="bullet"/>
      <w:lvlText w:val=""/>
      <w:lvlJc w:val="left"/>
      <w:pPr>
        <w:ind w:left="1146" w:hanging="360"/>
      </w:pPr>
      <w:rPr>
        <w:rFonts w:ascii="Symbol" w:hAnsi="Symbol" w:hint="default"/>
      </w:rPr>
    </w:lvl>
    <w:lvl w:ilvl="1" w:tplc="7F9E4346">
      <w:start w:val="1"/>
      <w:numFmt w:val="bullet"/>
      <w:lvlText w:val=""/>
      <w:lvlJc w:val="left"/>
      <w:pPr>
        <w:ind w:left="1866" w:hanging="360"/>
      </w:pPr>
      <w:rPr>
        <w:rFonts w:ascii="Symbol" w:hAnsi="Symbol" w:hint="default"/>
      </w:rPr>
    </w:lvl>
    <w:lvl w:ilvl="2" w:tplc="45FC2804" w:tentative="1">
      <w:start w:val="1"/>
      <w:numFmt w:val="bullet"/>
      <w:lvlText w:val=""/>
      <w:lvlJc w:val="left"/>
      <w:pPr>
        <w:ind w:left="2586" w:hanging="360"/>
      </w:pPr>
      <w:rPr>
        <w:rFonts w:ascii="Wingdings" w:hAnsi="Wingdings" w:hint="default"/>
      </w:rPr>
    </w:lvl>
    <w:lvl w:ilvl="3" w:tplc="9AE4C2AC" w:tentative="1">
      <w:start w:val="1"/>
      <w:numFmt w:val="bullet"/>
      <w:lvlText w:val=""/>
      <w:lvlJc w:val="left"/>
      <w:pPr>
        <w:ind w:left="3306" w:hanging="360"/>
      </w:pPr>
      <w:rPr>
        <w:rFonts w:ascii="Symbol" w:hAnsi="Symbol" w:hint="default"/>
      </w:rPr>
    </w:lvl>
    <w:lvl w:ilvl="4" w:tplc="D620406C" w:tentative="1">
      <w:start w:val="1"/>
      <w:numFmt w:val="bullet"/>
      <w:lvlText w:val="o"/>
      <w:lvlJc w:val="left"/>
      <w:pPr>
        <w:ind w:left="4026" w:hanging="360"/>
      </w:pPr>
      <w:rPr>
        <w:rFonts w:ascii="Courier New" w:hAnsi="Courier New" w:hint="default"/>
      </w:rPr>
    </w:lvl>
    <w:lvl w:ilvl="5" w:tplc="E07A6B50" w:tentative="1">
      <w:start w:val="1"/>
      <w:numFmt w:val="bullet"/>
      <w:lvlText w:val=""/>
      <w:lvlJc w:val="left"/>
      <w:pPr>
        <w:ind w:left="4746" w:hanging="360"/>
      </w:pPr>
      <w:rPr>
        <w:rFonts w:ascii="Wingdings" w:hAnsi="Wingdings" w:hint="default"/>
      </w:rPr>
    </w:lvl>
    <w:lvl w:ilvl="6" w:tplc="44B656B6" w:tentative="1">
      <w:start w:val="1"/>
      <w:numFmt w:val="bullet"/>
      <w:lvlText w:val=""/>
      <w:lvlJc w:val="left"/>
      <w:pPr>
        <w:ind w:left="5466" w:hanging="360"/>
      </w:pPr>
      <w:rPr>
        <w:rFonts w:ascii="Symbol" w:hAnsi="Symbol" w:hint="default"/>
      </w:rPr>
    </w:lvl>
    <w:lvl w:ilvl="7" w:tplc="0B52C692" w:tentative="1">
      <w:start w:val="1"/>
      <w:numFmt w:val="bullet"/>
      <w:lvlText w:val="o"/>
      <w:lvlJc w:val="left"/>
      <w:pPr>
        <w:ind w:left="6186" w:hanging="360"/>
      </w:pPr>
      <w:rPr>
        <w:rFonts w:ascii="Courier New" w:hAnsi="Courier New" w:hint="default"/>
      </w:rPr>
    </w:lvl>
    <w:lvl w:ilvl="8" w:tplc="87040574" w:tentative="1">
      <w:start w:val="1"/>
      <w:numFmt w:val="bullet"/>
      <w:lvlText w:val=""/>
      <w:lvlJc w:val="left"/>
      <w:pPr>
        <w:ind w:left="6906" w:hanging="360"/>
      </w:pPr>
      <w:rPr>
        <w:rFonts w:ascii="Wingdings" w:hAnsi="Wingdings" w:hint="default"/>
      </w:rPr>
    </w:lvl>
  </w:abstractNum>
  <w:abstractNum w:abstractNumId="97" w15:restartNumberingAfterBreak="0">
    <w:nsid w:val="17B0025F"/>
    <w:multiLevelType w:val="hybridMultilevel"/>
    <w:tmpl w:val="0AFEF85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8" w15:restartNumberingAfterBreak="0">
    <w:nsid w:val="18117F65"/>
    <w:multiLevelType w:val="hybridMultilevel"/>
    <w:tmpl w:val="474C8D76"/>
    <w:lvl w:ilvl="0" w:tplc="04020001">
      <w:start w:val="1"/>
      <w:numFmt w:val="bullet"/>
      <w:lvlText w:val=""/>
      <w:lvlJc w:val="left"/>
      <w:pPr>
        <w:ind w:left="720" w:hanging="360"/>
      </w:pPr>
      <w:rPr>
        <w:rFonts w:ascii="Symbol" w:hAnsi="Symbol" w:hint="default"/>
      </w:rPr>
    </w:lvl>
    <w:lvl w:ilvl="1" w:tplc="04020001" w:tentative="1">
      <w:start w:val="1"/>
      <w:numFmt w:val="lowerLetter"/>
      <w:lvlText w:val="%2."/>
      <w:lvlJc w:val="left"/>
      <w:pPr>
        <w:ind w:left="1440" w:hanging="360"/>
      </w:pPr>
      <w:rPr>
        <w:rFonts w:cs="Times New Roman"/>
      </w:rPr>
    </w:lvl>
    <w:lvl w:ilvl="2" w:tplc="04020005" w:tentative="1">
      <w:start w:val="1"/>
      <w:numFmt w:val="lowerRoman"/>
      <w:lvlText w:val="%3."/>
      <w:lvlJc w:val="right"/>
      <w:pPr>
        <w:ind w:left="2160" w:hanging="180"/>
      </w:pPr>
      <w:rPr>
        <w:rFonts w:cs="Times New Roman"/>
      </w:rPr>
    </w:lvl>
    <w:lvl w:ilvl="3" w:tplc="04020001" w:tentative="1">
      <w:start w:val="1"/>
      <w:numFmt w:val="decimal"/>
      <w:lvlText w:val="%4."/>
      <w:lvlJc w:val="left"/>
      <w:pPr>
        <w:ind w:left="2880" w:hanging="360"/>
      </w:pPr>
      <w:rPr>
        <w:rFonts w:cs="Times New Roman"/>
      </w:rPr>
    </w:lvl>
    <w:lvl w:ilvl="4" w:tplc="04020003" w:tentative="1">
      <w:start w:val="1"/>
      <w:numFmt w:val="lowerLetter"/>
      <w:lvlText w:val="%5."/>
      <w:lvlJc w:val="left"/>
      <w:pPr>
        <w:ind w:left="3600" w:hanging="360"/>
      </w:pPr>
      <w:rPr>
        <w:rFonts w:cs="Times New Roman"/>
      </w:rPr>
    </w:lvl>
    <w:lvl w:ilvl="5" w:tplc="04020005" w:tentative="1">
      <w:start w:val="1"/>
      <w:numFmt w:val="lowerRoman"/>
      <w:lvlText w:val="%6."/>
      <w:lvlJc w:val="right"/>
      <w:pPr>
        <w:ind w:left="4320" w:hanging="180"/>
      </w:pPr>
      <w:rPr>
        <w:rFonts w:cs="Times New Roman"/>
      </w:rPr>
    </w:lvl>
    <w:lvl w:ilvl="6" w:tplc="04020001" w:tentative="1">
      <w:start w:val="1"/>
      <w:numFmt w:val="decimal"/>
      <w:lvlText w:val="%7."/>
      <w:lvlJc w:val="left"/>
      <w:pPr>
        <w:ind w:left="5040" w:hanging="360"/>
      </w:pPr>
      <w:rPr>
        <w:rFonts w:cs="Times New Roman"/>
      </w:rPr>
    </w:lvl>
    <w:lvl w:ilvl="7" w:tplc="04020003" w:tentative="1">
      <w:start w:val="1"/>
      <w:numFmt w:val="lowerLetter"/>
      <w:lvlText w:val="%8."/>
      <w:lvlJc w:val="left"/>
      <w:pPr>
        <w:ind w:left="5760" w:hanging="360"/>
      </w:pPr>
      <w:rPr>
        <w:rFonts w:cs="Times New Roman"/>
      </w:rPr>
    </w:lvl>
    <w:lvl w:ilvl="8" w:tplc="04020005" w:tentative="1">
      <w:start w:val="1"/>
      <w:numFmt w:val="lowerRoman"/>
      <w:lvlText w:val="%9."/>
      <w:lvlJc w:val="right"/>
      <w:pPr>
        <w:ind w:left="6480" w:hanging="180"/>
      </w:pPr>
      <w:rPr>
        <w:rFonts w:cs="Times New Roman"/>
      </w:rPr>
    </w:lvl>
  </w:abstractNum>
  <w:abstractNum w:abstractNumId="99" w15:restartNumberingAfterBreak="0">
    <w:nsid w:val="18756765"/>
    <w:multiLevelType w:val="hybridMultilevel"/>
    <w:tmpl w:val="AAD438B8"/>
    <w:lvl w:ilvl="0" w:tplc="04020001">
      <w:start w:val="1"/>
      <w:numFmt w:val="bullet"/>
      <w:lvlText w:val=""/>
      <w:lvlJc w:val="left"/>
      <w:pPr>
        <w:ind w:left="720" w:hanging="360"/>
      </w:pPr>
      <w:rPr>
        <w:rFonts w:ascii="Symbol" w:hAnsi="Symbol" w:hint="default"/>
      </w:rPr>
    </w:lvl>
    <w:lvl w:ilvl="1" w:tplc="04020003" w:tentative="1">
      <w:start w:val="1"/>
      <w:numFmt w:val="lowerLetter"/>
      <w:lvlText w:val="%2."/>
      <w:lvlJc w:val="left"/>
      <w:pPr>
        <w:ind w:left="1440" w:hanging="360"/>
      </w:pPr>
    </w:lvl>
    <w:lvl w:ilvl="2" w:tplc="04020005" w:tentative="1">
      <w:start w:val="1"/>
      <w:numFmt w:val="lowerRoman"/>
      <w:lvlText w:val="%3."/>
      <w:lvlJc w:val="right"/>
      <w:pPr>
        <w:ind w:left="2160" w:hanging="180"/>
      </w:pPr>
    </w:lvl>
    <w:lvl w:ilvl="3" w:tplc="04020001" w:tentative="1">
      <w:start w:val="1"/>
      <w:numFmt w:val="decimal"/>
      <w:lvlText w:val="%4."/>
      <w:lvlJc w:val="left"/>
      <w:pPr>
        <w:ind w:left="2880" w:hanging="360"/>
      </w:pPr>
    </w:lvl>
    <w:lvl w:ilvl="4" w:tplc="04020003" w:tentative="1">
      <w:start w:val="1"/>
      <w:numFmt w:val="lowerLetter"/>
      <w:lvlText w:val="%5."/>
      <w:lvlJc w:val="left"/>
      <w:pPr>
        <w:ind w:left="3600" w:hanging="360"/>
      </w:pPr>
    </w:lvl>
    <w:lvl w:ilvl="5" w:tplc="04020005" w:tentative="1">
      <w:start w:val="1"/>
      <w:numFmt w:val="lowerRoman"/>
      <w:lvlText w:val="%6."/>
      <w:lvlJc w:val="right"/>
      <w:pPr>
        <w:ind w:left="4320" w:hanging="180"/>
      </w:pPr>
    </w:lvl>
    <w:lvl w:ilvl="6" w:tplc="04020001" w:tentative="1">
      <w:start w:val="1"/>
      <w:numFmt w:val="decimal"/>
      <w:lvlText w:val="%7."/>
      <w:lvlJc w:val="left"/>
      <w:pPr>
        <w:ind w:left="5040" w:hanging="360"/>
      </w:pPr>
    </w:lvl>
    <w:lvl w:ilvl="7" w:tplc="04020003" w:tentative="1">
      <w:start w:val="1"/>
      <w:numFmt w:val="lowerLetter"/>
      <w:lvlText w:val="%8."/>
      <w:lvlJc w:val="left"/>
      <w:pPr>
        <w:ind w:left="5760" w:hanging="360"/>
      </w:pPr>
    </w:lvl>
    <w:lvl w:ilvl="8" w:tplc="04020005" w:tentative="1">
      <w:start w:val="1"/>
      <w:numFmt w:val="lowerRoman"/>
      <w:lvlText w:val="%9."/>
      <w:lvlJc w:val="right"/>
      <w:pPr>
        <w:ind w:left="6480" w:hanging="180"/>
      </w:pPr>
    </w:lvl>
  </w:abstractNum>
  <w:abstractNum w:abstractNumId="100" w15:restartNumberingAfterBreak="0">
    <w:nsid w:val="1882649E"/>
    <w:multiLevelType w:val="hybridMultilevel"/>
    <w:tmpl w:val="CA2EC682"/>
    <w:lvl w:ilvl="0" w:tplc="0402000F">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1" w15:restartNumberingAfterBreak="0">
    <w:nsid w:val="18D67547"/>
    <w:multiLevelType w:val="hybridMultilevel"/>
    <w:tmpl w:val="661EE982"/>
    <w:lvl w:ilvl="0" w:tplc="04020001">
      <w:start w:val="1"/>
      <w:numFmt w:val="decimal"/>
      <w:lvlText w:val="%1."/>
      <w:lvlJc w:val="left"/>
      <w:pPr>
        <w:tabs>
          <w:tab w:val="num" w:pos="2120"/>
        </w:tabs>
        <w:ind w:left="2120" w:hanging="360"/>
      </w:pPr>
      <w:rPr>
        <w:rFonts w:cs="Times New Roman" w:hint="default"/>
      </w:rPr>
    </w:lvl>
    <w:lvl w:ilvl="1" w:tplc="04020019">
      <w:start w:val="1"/>
      <w:numFmt w:val="decimal"/>
      <w:lvlText w:val="%2."/>
      <w:lvlJc w:val="left"/>
      <w:pPr>
        <w:tabs>
          <w:tab w:val="num" w:pos="2120"/>
        </w:tabs>
        <w:ind w:left="2120" w:hanging="360"/>
      </w:pPr>
      <w:rPr>
        <w:rFonts w:cs="Times New Roman"/>
      </w:rPr>
    </w:lvl>
    <w:lvl w:ilvl="2" w:tplc="0402001B">
      <w:start w:val="1"/>
      <w:numFmt w:val="bullet"/>
      <w:lvlText w:val=""/>
      <w:lvlJc w:val="left"/>
      <w:pPr>
        <w:tabs>
          <w:tab w:val="num" w:pos="2840"/>
        </w:tabs>
        <w:ind w:left="2840" w:hanging="360"/>
      </w:pPr>
      <w:rPr>
        <w:rFonts w:ascii="Symbol" w:hAnsi="Symbol" w:hint="default"/>
      </w:rPr>
    </w:lvl>
    <w:lvl w:ilvl="3" w:tplc="0402000F">
      <w:start w:val="1"/>
      <w:numFmt w:val="decimal"/>
      <w:lvlText w:val="%4."/>
      <w:lvlJc w:val="left"/>
      <w:pPr>
        <w:tabs>
          <w:tab w:val="num" w:pos="3560"/>
        </w:tabs>
        <w:ind w:left="3560" w:hanging="360"/>
      </w:pPr>
      <w:rPr>
        <w:rFonts w:cs="Times New Roman"/>
      </w:rPr>
    </w:lvl>
    <w:lvl w:ilvl="4" w:tplc="04020019">
      <w:start w:val="1"/>
      <w:numFmt w:val="bullet"/>
      <w:lvlText w:val=""/>
      <w:lvlJc w:val="left"/>
      <w:pPr>
        <w:tabs>
          <w:tab w:val="num" w:pos="4280"/>
        </w:tabs>
        <w:ind w:left="4280" w:hanging="360"/>
      </w:pPr>
      <w:rPr>
        <w:rFonts w:ascii="Symbol" w:hAnsi="Symbol" w:hint="default"/>
      </w:rPr>
    </w:lvl>
    <w:lvl w:ilvl="5" w:tplc="0402001B" w:tentative="1">
      <w:start w:val="1"/>
      <w:numFmt w:val="bullet"/>
      <w:lvlText w:val=""/>
      <w:lvlJc w:val="left"/>
      <w:pPr>
        <w:tabs>
          <w:tab w:val="num" w:pos="5000"/>
        </w:tabs>
        <w:ind w:left="5000" w:hanging="360"/>
      </w:pPr>
      <w:rPr>
        <w:rFonts w:ascii="Wingdings" w:hAnsi="Wingdings" w:hint="default"/>
      </w:rPr>
    </w:lvl>
    <w:lvl w:ilvl="6" w:tplc="0402000F" w:tentative="1">
      <w:start w:val="1"/>
      <w:numFmt w:val="bullet"/>
      <w:lvlText w:val=""/>
      <w:lvlJc w:val="left"/>
      <w:pPr>
        <w:tabs>
          <w:tab w:val="num" w:pos="5720"/>
        </w:tabs>
        <w:ind w:left="5720" w:hanging="360"/>
      </w:pPr>
      <w:rPr>
        <w:rFonts w:ascii="Symbol" w:hAnsi="Symbol" w:hint="default"/>
      </w:rPr>
    </w:lvl>
    <w:lvl w:ilvl="7" w:tplc="04020019" w:tentative="1">
      <w:start w:val="1"/>
      <w:numFmt w:val="bullet"/>
      <w:lvlText w:val="o"/>
      <w:lvlJc w:val="left"/>
      <w:pPr>
        <w:tabs>
          <w:tab w:val="num" w:pos="6440"/>
        </w:tabs>
        <w:ind w:left="6440" w:hanging="360"/>
      </w:pPr>
      <w:rPr>
        <w:rFonts w:ascii="Courier New" w:hAnsi="Courier New" w:hint="default"/>
      </w:rPr>
    </w:lvl>
    <w:lvl w:ilvl="8" w:tplc="0402001B" w:tentative="1">
      <w:start w:val="1"/>
      <w:numFmt w:val="bullet"/>
      <w:lvlText w:val=""/>
      <w:lvlJc w:val="left"/>
      <w:pPr>
        <w:tabs>
          <w:tab w:val="num" w:pos="7160"/>
        </w:tabs>
        <w:ind w:left="7160" w:hanging="360"/>
      </w:pPr>
      <w:rPr>
        <w:rFonts w:ascii="Wingdings" w:hAnsi="Wingdings" w:hint="default"/>
      </w:rPr>
    </w:lvl>
  </w:abstractNum>
  <w:abstractNum w:abstractNumId="102" w15:restartNumberingAfterBreak="0">
    <w:nsid w:val="19267EAE"/>
    <w:multiLevelType w:val="hybridMultilevel"/>
    <w:tmpl w:val="45AAEC6E"/>
    <w:lvl w:ilvl="0" w:tplc="CC0EE304">
      <w:start w:val="1"/>
      <w:numFmt w:val="bullet"/>
      <w:lvlText w:val=""/>
      <w:lvlJc w:val="left"/>
      <w:pPr>
        <w:tabs>
          <w:tab w:val="num" w:pos="0"/>
        </w:tabs>
        <w:ind w:left="0" w:hanging="360"/>
      </w:pPr>
      <w:rPr>
        <w:rFonts w:ascii="Symbol" w:hAnsi="Symbol" w:hint="default"/>
      </w:rPr>
    </w:lvl>
    <w:lvl w:ilvl="1" w:tplc="04020019" w:tentative="1">
      <w:start w:val="1"/>
      <w:numFmt w:val="bullet"/>
      <w:lvlText w:val=""/>
      <w:lvlJc w:val="left"/>
      <w:pPr>
        <w:tabs>
          <w:tab w:val="num" w:pos="720"/>
        </w:tabs>
        <w:ind w:left="720" w:hanging="360"/>
      </w:pPr>
      <w:rPr>
        <w:rFonts w:ascii="Symbol" w:hAnsi="Symbol" w:hint="default"/>
      </w:rPr>
    </w:lvl>
    <w:lvl w:ilvl="2" w:tplc="0402001B" w:tentative="1">
      <w:start w:val="1"/>
      <w:numFmt w:val="bullet"/>
      <w:lvlText w:val=""/>
      <w:lvlJc w:val="left"/>
      <w:pPr>
        <w:tabs>
          <w:tab w:val="num" w:pos="1440"/>
        </w:tabs>
        <w:ind w:left="1440" w:hanging="360"/>
      </w:pPr>
      <w:rPr>
        <w:rFonts w:ascii="Symbol" w:hAnsi="Symbol" w:hint="default"/>
      </w:rPr>
    </w:lvl>
    <w:lvl w:ilvl="3" w:tplc="0402000F" w:tentative="1">
      <w:start w:val="1"/>
      <w:numFmt w:val="bullet"/>
      <w:lvlText w:val=""/>
      <w:lvlJc w:val="left"/>
      <w:pPr>
        <w:tabs>
          <w:tab w:val="num" w:pos="2160"/>
        </w:tabs>
        <w:ind w:left="2160" w:hanging="360"/>
      </w:pPr>
      <w:rPr>
        <w:rFonts w:ascii="Symbol" w:hAnsi="Symbol" w:hint="default"/>
      </w:rPr>
    </w:lvl>
    <w:lvl w:ilvl="4" w:tplc="04020019" w:tentative="1">
      <w:start w:val="1"/>
      <w:numFmt w:val="bullet"/>
      <w:lvlText w:val=""/>
      <w:lvlJc w:val="left"/>
      <w:pPr>
        <w:tabs>
          <w:tab w:val="num" w:pos="2880"/>
        </w:tabs>
        <w:ind w:left="2880" w:hanging="360"/>
      </w:pPr>
      <w:rPr>
        <w:rFonts w:ascii="Symbol" w:hAnsi="Symbol" w:hint="default"/>
      </w:rPr>
    </w:lvl>
    <w:lvl w:ilvl="5" w:tplc="0402001B" w:tentative="1">
      <w:start w:val="1"/>
      <w:numFmt w:val="bullet"/>
      <w:lvlText w:val=""/>
      <w:lvlJc w:val="left"/>
      <w:pPr>
        <w:tabs>
          <w:tab w:val="num" w:pos="3600"/>
        </w:tabs>
        <w:ind w:left="3600" w:hanging="360"/>
      </w:pPr>
      <w:rPr>
        <w:rFonts w:ascii="Symbol" w:hAnsi="Symbol" w:hint="default"/>
      </w:rPr>
    </w:lvl>
    <w:lvl w:ilvl="6" w:tplc="0402000F" w:tentative="1">
      <w:start w:val="1"/>
      <w:numFmt w:val="bullet"/>
      <w:lvlText w:val=""/>
      <w:lvlJc w:val="left"/>
      <w:pPr>
        <w:tabs>
          <w:tab w:val="num" w:pos="4320"/>
        </w:tabs>
        <w:ind w:left="4320" w:hanging="360"/>
      </w:pPr>
      <w:rPr>
        <w:rFonts w:ascii="Symbol" w:hAnsi="Symbol" w:hint="default"/>
      </w:rPr>
    </w:lvl>
    <w:lvl w:ilvl="7" w:tplc="04020019" w:tentative="1">
      <w:start w:val="1"/>
      <w:numFmt w:val="bullet"/>
      <w:lvlText w:val=""/>
      <w:lvlJc w:val="left"/>
      <w:pPr>
        <w:tabs>
          <w:tab w:val="num" w:pos="5040"/>
        </w:tabs>
        <w:ind w:left="5040" w:hanging="360"/>
      </w:pPr>
      <w:rPr>
        <w:rFonts w:ascii="Symbol" w:hAnsi="Symbol" w:hint="default"/>
      </w:rPr>
    </w:lvl>
    <w:lvl w:ilvl="8" w:tplc="0402001B" w:tentative="1">
      <w:start w:val="1"/>
      <w:numFmt w:val="bullet"/>
      <w:lvlText w:val=""/>
      <w:lvlJc w:val="left"/>
      <w:pPr>
        <w:tabs>
          <w:tab w:val="num" w:pos="5760"/>
        </w:tabs>
        <w:ind w:left="5760" w:hanging="360"/>
      </w:pPr>
      <w:rPr>
        <w:rFonts w:ascii="Symbol" w:hAnsi="Symbol" w:hint="default"/>
      </w:rPr>
    </w:lvl>
  </w:abstractNum>
  <w:abstractNum w:abstractNumId="103" w15:restartNumberingAfterBreak="0">
    <w:nsid w:val="193F34B8"/>
    <w:multiLevelType w:val="hybridMultilevel"/>
    <w:tmpl w:val="528297D4"/>
    <w:lvl w:ilvl="0" w:tplc="8AB6D884">
      <w:start w:val="1"/>
      <w:numFmt w:val="bullet"/>
      <w:lvlText w:val=""/>
      <w:lvlJc w:val="left"/>
      <w:pPr>
        <w:ind w:left="1440" w:hanging="360"/>
      </w:pPr>
      <w:rPr>
        <w:rFonts w:ascii="Symbol" w:hAnsi="Symbol" w:hint="default"/>
      </w:rPr>
    </w:lvl>
    <w:lvl w:ilvl="1" w:tplc="04020019" w:tentative="1">
      <w:start w:val="1"/>
      <w:numFmt w:val="bullet"/>
      <w:lvlText w:val="o"/>
      <w:lvlJc w:val="left"/>
      <w:pPr>
        <w:ind w:left="2160" w:hanging="360"/>
      </w:pPr>
      <w:rPr>
        <w:rFonts w:ascii="Courier New" w:hAnsi="Courier New" w:cs="Courier New" w:hint="default"/>
      </w:rPr>
    </w:lvl>
    <w:lvl w:ilvl="2" w:tplc="0402001B" w:tentative="1">
      <w:start w:val="1"/>
      <w:numFmt w:val="bullet"/>
      <w:lvlText w:val=""/>
      <w:lvlJc w:val="left"/>
      <w:pPr>
        <w:ind w:left="2880" w:hanging="360"/>
      </w:pPr>
      <w:rPr>
        <w:rFonts w:ascii="Wingdings" w:hAnsi="Wingdings" w:hint="default"/>
      </w:rPr>
    </w:lvl>
    <w:lvl w:ilvl="3" w:tplc="0402000F" w:tentative="1">
      <w:start w:val="1"/>
      <w:numFmt w:val="bullet"/>
      <w:lvlText w:val=""/>
      <w:lvlJc w:val="left"/>
      <w:pPr>
        <w:ind w:left="3600" w:hanging="360"/>
      </w:pPr>
      <w:rPr>
        <w:rFonts w:ascii="Symbol" w:hAnsi="Symbol" w:hint="default"/>
      </w:rPr>
    </w:lvl>
    <w:lvl w:ilvl="4" w:tplc="04020019" w:tentative="1">
      <w:start w:val="1"/>
      <w:numFmt w:val="bullet"/>
      <w:lvlText w:val="o"/>
      <w:lvlJc w:val="left"/>
      <w:pPr>
        <w:ind w:left="4320" w:hanging="360"/>
      </w:pPr>
      <w:rPr>
        <w:rFonts w:ascii="Courier New" w:hAnsi="Courier New" w:cs="Courier New" w:hint="default"/>
      </w:rPr>
    </w:lvl>
    <w:lvl w:ilvl="5" w:tplc="0402001B" w:tentative="1">
      <w:start w:val="1"/>
      <w:numFmt w:val="bullet"/>
      <w:lvlText w:val=""/>
      <w:lvlJc w:val="left"/>
      <w:pPr>
        <w:ind w:left="5040" w:hanging="360"/>
      </w:pPr>
      <w:rPr>
        <w:rFonts w:ascii="Wingdings" w:hAnsi="Wingdings" w:hint="default"/>
      </w:rPr>
    </w:lvl>
    <w:lvl w:ilvl="6" w:tplc="0402000F" w:tentative="1">
      <w:start w:val="1"/>
      <w:numFmt w:val="bullet"/>
      <w:lvlText w:val=""/>
      <w:lvlJc w:val="left"/>
      <w:pPr>
        <w:ind w:left="5760" w:hanging="360"/>
      </w:pPr>
      <w:rPr>
        <w:rFonts w:ascii="Symbol" w:hAnsi="Symbol" w:hint="default"/>
      </w:rPr>
    </w:lvl>
    <w:lvl w:ilvl="7" w:tplc="04020019" w:tentative="1">
      <w:start w:val="1"/>
      <w:numFmt w:val="bullet"/>
      <w:lvlText w:val="o"/>
      <w:lvlJc w:val="left"/>
      <w:pPr>
        <w:ind w:left="6480" w:hanging="360"/>
      </w:pPr>
      <w:rPr>
        <w:rFonts w:ascii="Courier New" w:hAnsi="Courier New" w:cs="Courier New" w:hint="default"/>
      </w:rPr>
    </w:lvl>
    <w:lvl w:ilvl="8" w:tplc="0402001B" w:tentative="1">
      <w:start w:val="1"/>
      <w:numFmt w:val="bullet"/>
      <w:lvlText w:val=""/>
      <w:lvlJc w:val="left"/>
      <w:pPr>
        <w:ind w:left="7200" w:hanging="360"/>
      </w:pPr>
      <w:rPr>
        <w:rFonts w:ascii="Wingdings" w:hAnsi="Wingdings" w:hint="default"/>
      </w:rPr>
    </w:lvl>
  </w:abstractNum>
  <w:abstractNum w:abstractNumId="104" w15:restartNumberingAfterBreak="0">
    <w:nsid w:val="19994102"/>
    <w:multiLevelType w:val="hybridMultilevel"/>
    <w:tmpl w:val="5A865722"/>
    <w:lvl w:ilvl="0" w:tplc="04020013">
      <w:start w:val="108"/>
      <w:numFmt w:val="bullet"/>
      <w:lvlText w:val="–"/>
      <w:lvlJc w:val="left"/>
      <w:pPr>
        <w:ind w:left="720" w:hanging="360"/>
      </w:pPr>
      <w:rPr>
        <w:rFonts w:ascii="Times New Roman" w:hAnsi="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5" w15:restartNumberingAfterBreak="0">
    <w:nsid w:val="19C84DC1"/>
    <w:multiLevelType w:val="hybridMultilevel"/>
    <w:tmpl w:val="0BA8A4F6"/>
    <w:lvl w:ilvl="0" w:tplc="FE3CFFA8">
      <w:start w:val="1"/>
      <w:numFmt w:val="bullet"/>
      <w:lvlText w:val=""/>
      <w:lvlJc w:val="left"/>
      <w:pPr>
        <w:tabs>
          <w:tab w:val="num" w:pos="1440"/>
        </w:tabs>
        <w:ind w:left="1440" w:hanging="360"/>
      </w:pPr>
      <w:rPr>
        <w:rFonts w:ascii="Symbol" w:hAnsi="Symbol" w:hint="default"/>
      </w:rPr>
    </w:lvl>
    <w:lvl w:ilvl="1" w:tplc="9C96CCCE" w:tentative="1">
      <w:start w:val="1"/>
      <w:numFmt w:val="bullet"/>
      <w:lvlText w:val="o"/>
      <w:lvlJc w:val="left"/>
      <w:pPr>
        <w:tabs>
          <w:tab w:val="num" w:pos="1440"/>
        </w:tabs>
        <w:ind w:left="1440" w:hanging="360"/>
      </w:pPr>
      <w:rPr>
        <w:rFonts w:ascii="Courier New" w:hAnsi="Courier New" w:hint="default"/>
      </w:rPr>
    </w:lvl>
    <w:lvl w:ilvl="2" w:tplc="9A1EE286" w:tentative="1">
      <w:start w:val="1"/>
      <w:numFmt w:val="bullet"/>
      <w:lvlText w:val=""/>
      <w:lvlJc w:val="left"/>
      <w:pPr>
        <w:tabs>
          <w:tab w:val="num" w:pos="2160"/>
        </w:tabs>
        <w:ind w:left="2160" w:hanging="360"/>
      </w:pPr>
      <w:rPr>
        <w:rFonts w:ascii="Wingdings" w:hAnsi="Wingdings" w:hint="default"/>
      </w:rPr>
    </w:lvl>
    <w:lvl w:ilvl="3" w:tplc="F0B05484" w:tentative="1">
      <w:start w:val="1"/>
      <w:numFmt w:val="bullet"/>
      <w:lvlText w:val=""/>
      <w:lvlJc w:val="left"/>
      <w:pPr>
        <w:tabs>
          <w:tab w:val="num" w:pos="2880"/>
        </w:tabs>
        <w:ind w:left="2880" w:hanging="360"/>
      </w:pPr>
      <w:rPr>
        <w:rFonts w:ascii="Symbol" w:hAnsi="Symbol" w:hint="default"/>
      </w:rPr>
    </w:lvl>
    <w:lvl w:ilvl="4" w:tplc="B4941494" w:tentative="1">
      <w:start w:val="1"/>
      <w:numFmt w:val="bullet"/>
      <w:lvlText w:val="o"/>
      <w:lvlJc w:val="left"/>
      <w:pPr>
        <w:tabs>
          <w:tab w:val="num" w:pos="3600"/>
        </w:tabs>
        <w:ind w:left="3600" w:hanging="360"/>
      </w:pPr>
      <w:rPr>
        <w:rFonts w:ascii="Courier New" w:hAnsi="Courier New" w:hint="default"/>
      </w:rPr>
    </w:lvl>
    <w:lvl w:ilvl="5" w:tplc="EB06D5BA" w:tentative="1">
      <w:start w:val="1"/>
      <w:numFmt w:val="bullet"/>
      <w:lvlText w:val=""/>
      <w:lvlJc w:val="left"/>
      <w:pPr>
        <w:tabs>
          <w:tab w:val="num" w:pos="4320"/>
        </w:tabs>
        <w:ind w:left="4320" w:hanging="360"/>
      </w:pPr>
      <w:rPr>
        <w:rFonts w:ascii="Wingdings" w:hAnsi="Wingdings" w:hint="default"/>
      </w:rPr>
    </w:lvl>
    <w:lvl w:ilvl="6" w:tplc="F6F81E64" w:tentative="1">
      <w:start w:val="1"/>
      <w:numFmt w:val="bullet"/>
      <w:lvlText w:val=""/>
      <w:lvlJc w:val="left"/>
      <w:pPr>
        <w:tabs>
          <w:tab w:val="num" w:pos="5040"/>
        </w:tabs>
        <w:ind w:left="5040" w:hanging="360"/>
      </w:pPr>
      <w:rPr>
        <w:rFonts w:ascii="Symbol" w:hAnsi="Symbol" w:hint="default"/>
      </w:rPr>
    </w:lvl>
    <w:lvl w:ilvl="7" w:tplc="4A9C9016" w:tentative="1">
      <w:start w:val="1"/>
      <w:numFmt w:val="bullet"/>
      <w:lvlText w:val="o"/>
      <w:lvlJc w:val="left"/>
      <w:pPr>
        <w:tabs>
          <w:tab w:val="num" w:pos="5760"/>
        </w:tabs>
        <w:ind w:left="5760" w:hanging="360"/>
      </w:pPr>
      <w:rPr>
        <w:rFonts w:ascii="Courier New" w:hAnsi="Courier New" w:hint="default"/>
      </w:rPr>
    </w:lvl>
    <w:lvl w:ilvl="8" w:tplc="46BC0978"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1B467275"/>
    <w:multiLevelType w:val="multilevel"/>
    <w:tmpl w:val="1B467275"/>
    <w:lvl w:ilvl="0">
      <w:start w:val="1"/>
      <w:numFmt w:val="decimal"/>
      <w:lvlText w:val="%1."/>
      <w:lvlJc w:val="left"/>
      <w:pPr>
        <w:ind w:left="0" w:hanging="360"/>
      </w:pPr>
      <w:rPr>
        <w:rFonts w:hint="default"/>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07" w15:restartNumberingAfterBreak="0">
    <w:nsid w:val="1B4A248A"/>
    <w:multiLevelType w:val="hybridMultilevel"/>
    <w:tmpl w:val="D584DFEA"/>
    <w:lvl w:ilvl="0" w:tplc="04020001">
      <w:start w:val="1"/>
      <w:numFmt w:val="bullet"/>
      <w:lvlText w:val=""/>
      <w:lvlJc w:val="left"/>
      <w:pPr>
        <w:ind w:left="0" w:hanging="360"/>
      </w:pPr>
      <w:rPr>
        <w:rFonts w:ascii="Symbol" w:hAnsi="Symbol" w:hint="default"/>
      </w:rPr>
    </w:lvl>
    <w:lvl w:ilvl="1" w:tplc="04020003" w:tentative="1">
      <w:start w:val="1"/>
      <w:numFmt w:val="bullet"/>
      <w:lvlText w:val="o"/>
      <w:lvlJc w:val="left"/>
      <w:pPr>
        <w:ind w:left="720" w:hanging="360"/>
      </w:pPr>
      <w:rPr>
        <w:rFonts w:ascii="Courier New" w:hAnsi="Courier New" w:cs="Courier New" w:hint="default"/>
      </w:rPr>
    </w:lvl>
    <w:lvl w:ilvl="2" w:tplc="04020005" w:tentative="1">
      <w:start w:val="1"/>
      <w:numFmt w:val="bullet"/>
      <w:lvlText w:val=""/>
      <w:lvlJc w:val="left"/>
      <w:pPr>
        <w:ind w:left="1440" w:hanging="360"/>
      </w:pPr>
      <w:rPr>
        <w:rFonts w:ascii="Wingdings" w:hAnsi="Wingdings" w:hint="default"/>
      </w:rPr>
    </w:lvl>
    <w:lvl w:ilvl="3" w:tplc="04020001" w:tentative="1">
      <w:start w:val="1"/>
      <w:numFmt w:val="bullet"/>
      <w:lvlText w:val=""/>
      <w:lvlJc w:val="left"/>
      <w:pPr>
        <w:ind w:left="2160" w:hanging="360"/>
      </w:pPr>
      <w:rPr>
        <w:rFonts w:ascii="Symbol" w:hAnsi="Symbol" w:hint="default"/>
      </w:rPr>
    </w:lvl>
    <w:lvl w:ilvl="4" w:tplc="04020003" w:tentative="1">
      <w:start w:val="1"/>
      <w:numFmt w:val="bullet"/>
      <w:lvlText w:val="o"/>
      <w:lvlJc w:val="left"/>
      <w:pPr>
        <w:ind w:left="2880" w:hanging="360"/>
      </w:pPr>
      <w:rPr>
        <w:rFonts w:ascii="Courier New" w:hAnsi="Courier New" w:cs="Courier New" w:hint="default"/>
      </w:rPr>
    </w:lvl>
    <w:lvl w:ilvl="5" w:tplc="04020005" w:tentative="1">
      <w:start w:val="1"/>
      <w:numFmt w:val="bullet"/>
      <w:lvlText w:val=""/>
      <w:lvlJc w:val="left"/>
      <w:pPr>
        <w:ind w:left="3600" w:hanging="360"/>
      </w:pPr>
      <w:rPr>
        <w:rFonts w:ascii="Wingdings" w:hAnsi="Wingdings" w:hint="default"/>
      </w:rPr>
    </w:lvl>
    <w:lvl w:ilvl="6" w:tplc="04020001" w:tentative="1">
      <w:start w:val="1"/>
      <w:numFmt w:val="bullet"/>
      <w:lvlText w:val=""/>
      <w:lvlJc w:val="left"/>
      <w:pPr>
        <w:ind w:left="4320" w:hanging="360"/>
      </w:pPr>
      <w:rPr>
        <w:rFonts w:ascii="Symbol" w:hAnsi="Symbol" w:hint="default"/>
      </w:rPr>
    </w:lvl>
    <w:lvl w:ilvl="7" w:tplc="04020003" w:tentative="1">
      <w:start w:val="1"/>
      <w:numFmt w:val="bullet"/>
      <w:lvlText w:val="o"/>
      <w:lvlJc w:val="left"/>
      <w:pPr>
        <w:ind w:left="5040" w:hanging="360"/>
      </w:pPr>
      <w:rPr>
        <w:rFonts w:ascii="Courier New" w:hAnsi="Courier New" w:cs="Courier New" w:hint="default"/>
      </w:rPr>
    </w:lvl>
    <w:lvl w:ilvl="8" w:tplc="04020005" w:tentative="1">
      <w:start w:val="1"/>
      <w:numFmt w:val="bullet"/>
      <w:lvlText w:val=""/>
      <w:lvlJc w:val="left"/>
      <w:pPr>
        <w:ind w:left="5760" w:hanging="360"/>
      </w:pPr>
      <w:rPr>
        <w:rFonts w:ascii="Wingdings" w:hAnsi="Wingdings" w:hint="default"/>
      </w:rPr>
    </w:lvl>
  </w:abstractNum>
  <w:abstractNum w:abstractNumId="108" w15:restartNumberingAfterBreak="0">
    <w:nsid w:val="1B6E7603"/>
    <w:multiLevelType w:val="hybridMultilevel"/>
    <w:tmpl w:val="5EAC6F70"/>
    <w:lvl w:ilvl="0" w:tplc="FFFFFFFF">
      <w:start w:val="1"/>
      <w:numFmt w:val="bullet"/>
      <w:lvlText w:val=""/>
      <w:lvlJc w:val="left"/>
      <w:pPr>
        <w:ind w:left="360" w:hanging="360"/>
      </w:pPr>
      <w:rPr>
        <w:rFonts w:ascii="Wingdings" w:hAnsi="Wingdings" w:hint="default"/>
        <w:b/>
        <w:i w:val="0"/>
        <w:sz w:val="24"/>
        <w:u w:val="none"/>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09" w15:restartNumberingAfterBreak="0">
    <w:nsid w:val="1C2909E5"/>
    <w:multiLevelType w:val="hybridMultilevel"/>
    <w:tmpl w:val="B31239F8"/>
    <w:lvl w:ilvl="0" w:tplc="FFFFFFFF">
      <w:start w:val="1"/>
      <w:numFmt w:val="bullet"/>
      <w:lvlText w:val="•"/>
      <w:lvlJc w:val="left"/>
      <w:pPr>
        <w:tabs>
          <w:tab w:val="num" w:pos="0"/>
        </w:tabs>
        <w:ind w:left="0" w:hanging="360"/>
      </w:pPr>
      <w:rPr>
        <w:rFonts w:ascii="Arial" w:hAnsi="Arial" w:hint="default"/>
      </w:rPr>
    </w:lvl>
    <w:lvl w:ilvl="1" w:tplc="04020003" w:tentative="1">
      <w:start w:val="1"/>
      <w:numFmt w:val="bullet"/>
      <w:lvlText w:val="•"/>
      <w:lvlJc w:val="left"/>
      <w:pPr>
        <w:tabs>
          <w:tab w:val="num" w:pos="720"/>
        </w:tabs>
        <w:ind w:left="720" w:hanging="360"/>
      </w:pPr>
      <w:rPr>
        <w:rFonts w:ascii="Arial" w:hAnsi="Arial" w:hint="default"/>
      </w:rPr>
    </w:lvl>
    <w:lvl w:ilvl="2" w:tplc="04020005" w:tentative="1">
      <w:start w:val="1"/>
      <w:numFmt w:val="bullet"/>
      <w:lvlText w:val="•"/>
      <w:lvlJc w:val="left"/>
      <w:pPr>
        <w:tabs>
          <w:tab w:val="num" w:pos="1440"/>
        </w:tabs>
        <w:ind w:left="1440" w:hanging="360"/>
      </w:pPr>
      <w:rPr>
        <w:rFonts w:ascii="Arial" w:hAnsi="Arial" w:hint="default"/>
      </w:rPr>
    </w:lvl>
    <w:lvl w:ilvl="3" w:tplc="04020001" w:tentative="1">
      <w:start w:val="1"/>
      <w:numFmt w:val="bullet"/>
      <w:lvlText w:val="•"/>
      <w:lvlJc w:val="left"/>
      <w:pPr>
        <w:tabs>
          <w:tab w:val="num" w:pos="2160"/>
        </w:tabs>
        <w:ind w:left="2160" w:hanging="360"/>
      </w:pPr>
      <w:rPr>
        <w:rFonts w:ascii="Arial" w:hAnsi="Arial" w:hint="default"/>
      </w:rPr>
    </w:lvl>
    <w:lvl w:ilvl="4" w:tplc="04020003" w:tentative="1">
      <w:start w:val="1"/>
      <w:numFmt w:val="bullet"/>
      <w:lvlText w:val="•"/>
      <w:lvlJc w:val="left"/>
      <w:pPr>
        <w:tabs>
          <w:tab w:val="num" w:pos="2880"/>
        </w:tabs>
        <w:ind w:left="2880" w:hanging="360"/>
      </w:pPr>
      <w:rPr>
        <w:rFonts w:ascii="Arial" w:hAnsi="Arial" w:hint="default"/>
      </w:rPr>
    </w:lvl>
    <w:lvl w:ilvl="5" w:tplc="04020005" w:tentative="1">
      <w:start w:val="1"/>
      <w:numFmt w:val="bullet"/>
      <w:lvlText w:val="•"/>
      <w:lvlJc w:val="left"/>
      <w:pPr>
        <w:tabs>
          <w:tab w:val="num" w:pos="3600"/>
        </w:tabs>
        <w:ind w:left="3600" w:hanging="360"/>
      </w:pPr>
      <w:rPr>
        <w:rFonts w:ascii="Arial" w:hAnsi="Arial" w:hint="default"/>
      </w:rPr>
    </w:lvl>
    <w:lvl w:ilvl="6" w:tplc="04020001" w:tentative="1">
      <w:start w:val="1"/>
      <w:numFmt w:val="bullet"/>
      <w:lvlText w:val="•"/>
      <w:lvlJc w:val="left"/>
      <w:pPr>
        <w:tabs>
          <w:tab w:val="num" w:pos="4320"/>
        </w:tabs>
        <w:ind w:left="4320" w:hanging="360"/>
      </w:pPr>
      <w:rPr>
        <w:rFonts w:ascii="Arial" w:hAnsi="Arial" w:hint="default"/>
      </w:rPr>
    </w:lvl>
    <w:lvl w:ilvl="7" w:tplc="04020003" w:tentative="1">
      <w:start w:val="1"/>
      <w:numFmt w:val="bullet"/>
      <w:lvlText w:val="•"/>
      <w:lvlJc w:val="left"/>
      <w:pPr>
        <w:tabs>
          <w:tab w:val="num" w:pos="5040"/>
        </w:tabs>
        <w:ind w:left="5040" w:hanging="360"/>
      </w:pPr>
      <w:rPr>
        <w:rFonts w:ascii="Arial" w:hAnsi="Arial" w:hint="default"/>
      </w:rPr>
    </w:lvl>
    <w:lvl w:ilvl="8" w:tplc="04020005" w:tentative="1">
      <w:start w:val="1"/>
      <w:numFmt w:val="bullet"/>
      <w:lvlText w:val="•"/>
      <w:lvlJc w:val="left"/>
      <w:pPr>
        <w:tabs>
          <w:tab w:val="num" w:pos="5760"/>
        </w:tabs>
        <w:ind w:left="5760" w:hanging="360"/>
      </w:pPr>
      <w:rPr>
        <w:rFonts w:ascii="Arial" w:hAnsi="Arial" w:hint="default"/>
      </w:rPr>
    </w:lvl>
  </w:abstractNum>
  <w:abstractNum w:abstractNumId="110" w15:restartNumberingAfterBreak="0">
    <w:nsid w:val="1C755A0E"/>
    <w:multiLevelType w:val="hybridMultilevel"/>
    <w:tmpl w:val="1BDAFAE0"/>
    <w:lvl w:ilvl="0" w:tplc="15DACE90">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1" w15:restartNumberingAfterBreak="0">
    <w:nsid w:val="1CBD34C7"/>
    <w:multiLevelType w:val="hybridMultilevel"/>
    <w:tmpl w:val="C902EDCC"/>
    <w:lvl w:ilvl="0" w:tplc="527E40F6">
      <w:start w:val="1"/>
      <w:numFmt w:val="bullet"/>
      <w:lvlText w:val=""/>
      <w:lvlJc w:val="left"/>
      <w:pPr>
        <w:ind w:left="720" w:hanging="360"/>
      </w:pPr>
      <w:rPr>
        <w:rFonts w:ascii="Symbol" w:hAnsi="Symbol" w:hint="default"/>
      </w:rPr>
    </w:lvl>
    <w:lvl w:ilvl="1" w:tplc="7EC61552" w:tentative="1">
      <w:start w:val="1"/>
      <w:numFmt w:val="bullet"/>
      <w:lvlText w:val="o"/>
      <w:lvlJc w:val="left"/>
      <w:pPr>
        <w:ind w:left="1440" w:hanging="360"/>
      </w:pPr>
      <w:rPr>
        <w:rFonts w:ascii="Courier New" w:hAnsi="Courier New" w:cs="Courier New" w:hint="default"/>
      </w:rPr>
    </w:lvl>
    <w:lvl w:ilvl="2" w:tplc="6AB62E74" w:tentative="1">
      <w:start w:val="1"/>
      <w:numFmt w:val="bullet"/>
      <w:lvlText w:val=""/>
      <w:lvlJc w:val="left"/>
      <w:pPr>
        <w:ind w:left="2160" w:hanging="360"/>
      </w:pPr>
      <w:rPr>
        <w:rFonts w:ascii="Wingdings" w:hAnsi="Wingdings" w:hint="default"/>
      </w:rPr>
    </w:lvl>
    <w:lvl w:ilvl="3" w:tplc="68F04914" w:tentative="1">
      <w:start w:val="1"/>
      <w:numFmt w:val="bullet"/>
      <w:lvlText w:val=""/>
      <w:lvlJc w:val="left"/>
      <w:pPr>
        <w:ind w:left="2880" w:hanging="360"/>
      </w:pPr>
      <w:rPr>
        <w:rFonts w:ascii="Symbol" w:hAnsi="Symbol" w:hint="default"/>
      </w:rPr>
    </w:lvl>
    <w:lvl w:ilvl="4" w:tplc="E0DE5358" w:tentative="1">
      <w:start w:val="1"/>
      <w:numFmt w:val="bullet"/>
      <w:lvlText w:val="o"/>
      <w:lvlJc w:val="left"/>
      <w:pPr>
        <w:ind w:left="3600" w:hanging="360"/>
      </w:pPr>
      <w:rPr>
        <w:rFonts w:ascii="Courier New" w:hAnsi="Courier New" w:cs="Courier New" w:hint="default"/>
      </w:rPr>
    </w:lvl>
    <w:lvl w:ilvl="5" w:tplc="AF364114" w:tentative="1">
      <w:start w:val="1"/>
      <w:numFmt w:val="bullet"/>
      <w:lvlText w:val=""/>
      <w:lvlJc w:val="left"/>
      <w:pPr>
        <w:ind w:left="4320" w:hanging="360"/>
      </w:pPr>
      <w:rPr>
        <w:rFonts w:ascii="Wingdings" w:hAnsi="Wingdings" w:hint="default"/>
      </w:rPr>
    </w:lvl>
    <w:lvl w:ilvl="6" w:tplc="133E82A4" w:tentative="1">
      <w:start w:val="1"/>
      <w:numFmt w:val="bullet"/>
      <w:lvlText w:val=""/>
      <w:lvlJc w:val="left"/>
      <w:pPr>
        <w:ind w:left="5040" w:hanging="360"/>
      </w:pPr>
      <w:rPr>
        <w:rFonts w:ascii="Symbol" w:hAnsi="Symbol" w:hint="default"/>
      </w:rPr>
    </w:lvl>
    <w:lvl w:ilvl="7" w:tplc="574C63E4" w:tentative="1">
      <w:start w:val="1"/>
      <w:numFmt w:val="bullet"/>
      <w:lvlText w:val="o"/>
      <w:lvlJc w:val="left"/>
      <w:pPr>
        <w:ind w:left="5760" w:hanging="360"/>
      </w:pPr>
      <w:rPr>
        <w:rFonts w:ascii="Courier New" w:hAnsi="Courier New" w:cs="Courier New" w:hint="default"/>
      </w:rPr>
    </w:lvl>
    <w:lvl w:ilvl="8" w:tplc="8F704E1C" w:tentative="1">
      <w:start w:val="1"/>
      <w:numFmt w:val="bullet"/>
      <w:lvlText w:val=""/>
      <w:lvlJc w:val="left"/>
      <w:pPr>
        <w:ind w:left="6480" w:hanging="360"/>
      </w:pPr>
      <w:rPr>
        <w:rFonts w:ascii="Wingdings" w:hAnsi="Wingdings" w:hint="default"/>
      </w:rPr>
    </w:lvl>
  </w:abstractNum>
  <w:abstractNum w:abstractNumId="112" w15:restartNumberingAfterBreak="0">
    <w:nsid w:val="1CF21A28"/>
    <w:multiLevelType w:val="hybridMultilevel"/>
    <w:tmpl w:val="5BBEDEAC"/>
    <w:lvl w:ilvl="0" w:tplc="04020001">
      <w:start w:val="1"/>
      <w:numFmt w:val="bullet"/>
      <w:lvlText w:val=""/>
      <w:lvlJc w:val="left"/>
      <w:pPr>
        <w:tabs>
          <w:tab w:val="num" w:pos="643"/>
        </w:tabs>
        <w:ind w:left="643" w:hanging="360"/>
      </w:pPr>
      <w:rPr>
        <w:rFonts w:ascii="Wingdings" w:hAnsi="Wingdings" w:cs="Wingdings" w:hint="default"/>
      </w:rPr>
    </w:lvl>
    <w:lvl w:ilvl="1" w:tplc="04020003">
      <w:start w:val="164"/>
      <w:numFmt w:val="bullet"/>
      <w:lvlText w:val="•"/>
      <w:lvlJc w:val="left"/>
      <w:pPr>
        <w:tabs>
          <w:tab w:val="num" w:pos="1506"/>
        </w:tabs>
        <w:ind w:left="1506" w:hanging="360"/>
      </w:pPr>
      <w:rPr>
        <w:rFonts w:ascii="Verdana" w:hAnsi="Verdana" w:cs="Verdana" w:hint="default"/>
      </w:rPr>
    </w:lvl>
    <w:lvl w:ilvl="2" w:tplc="04020005">
      <w:start w:val="1"/>
      <w:numFmt w:val="bullet"/>
      <w:lvlText w:val="-"/>
      <w:lvlJc w:val="left"/>
      <w:pPr>
        <w:tabs>
          <w:tab w:val="num" w:pos="2226"/>
        </w:tabs>
        <w:ind w:left="2226" w:hanging="360"/>
      </w:pPr>
      <w:rPr>
        <w:rFonts w:ascii="Times New Roman" w:hAnsi="Times New Roman" w:hint="default"/>
      </w:rPr>
    </w:lvl>
    <w:lvl w:ilvl="3" w:tplc="04020001">
      <w:start w:val="1"/>
      <w:numFmt w:val="bullet"/>
      <w:lvlText w:val=""/>
      <w:lvlJc w:val="left"/>
      <w:pPr>
        <w:tabs>
          <w:tab w:val="num" w:pos="2946"/>
        </w:tabs>
        <w:ind w:left="2946" w:hanging="360"/>
      </w:pPr>
      <w:rPr>
        <w:rFonts w:ascii="Wingdings" w:hAnsi="Wingdings" w:cs="Wingdings" w:hint="default"/>
      </w:rPr>
    </w:lvl>
    <w:lvl w:ilvl="4" w:tplc="04020003">
      <w:start w:val="1"/>
      <w:numFmt w:val="bullet"/>
      <w:lvlText w:val=""/>
      <w:lvlJc w:val="left"/>
      <w:pPr>
        <w:tabs>
          <w:tab w:val="num" w:pos="3666"/>
        </w:tabs>
        <w:ind w:left="3666" w:hanging="360"/>
      </w:pPr>
      <w:rPr>
        <w:rFonts w:ascii="Wingdings" w:hAnsi="Wingdings" w:cs="Wingdings" w:hint="default"/>
      </w:rPr>
    </w:lvl>
    <w:lvl w:ilvl="5" w:tplc="04020005">
      <w:start w:val="1"/>
      <w:numFmt w:val="bullet"/>
      <w:lvlText w:val=""/>
      <w:lvlJc w:val="left"/>
      <w:pPr>
        <w:tabs>
          <w:tab w:val="num" w:pos="4386"/>
        </w:tabs>
        <w:ind w:left="4386" w:hanging="360"/>
      </w:pPr>
      <w:rPr>
        <w:rFonts w:ascii="Wingdings" w:hAnsi="Wingdings" w:cs="Wingdings" w:hint="default"/>
      </w:rPr>
    </w:lvl>
    <w:lvl w:ilvl="6" w:tplc="04020001">
      <w:start w:val="1"/>
      <w:numFmt w:val="bullet"/>
      <w:lvlText w:val=""/>
      <w:lvlJc w:val="left"/>
      <w:pPr>
        <w:tabs>
          <w:tab w:val="num" w:pos="5106"/>
        </w:tabs>
        <w:ind w:left="5106" w:hanging="360"/>
      </w:pPr>
      <w:rPr>
        <w:rFonts w:ascii="Wingdings" w:hAnsi="Wingdings" w:cs="Wingdings" w:hint="default"/>
      </w:rPr>
    </w:lvl>
    <w:lvl w:ilvl="7" w:tplc="04020003">
      <w:start w:val="1"/>
      <w:numFmt w:val="bullet"/>
      <w:lvlText w:val=""/>
      <w:lvlJc w:val="left"/>
      <w:pPr>
        <w:tabs>
          <w:tab w:val="num" w:pos="5826"/>
        </w:tabs>
        <w:ind w:left="5826" w:hanging="360"/>
      </w:pPr>
      <w:rPr>
        <w:rFonts w:ascii="Wingdings" w:hAnsi="Wingdings" w:cs="Wingdings" w:hint="default"/>
      </w:rPr>
    </w:lvl>
    <w:lvl w:ilvl="8" w:tplc="04020005">
      <w:start w:val="1"/>
      <w:numFmt w:val="bullet"/>
      <w:lvlText w:val=""/>
      <w:lvlJc w:val="left"/>
      <w:pPr>
        <w:tabs>
          <w:tab w:val="num" w:pos="6546"/>
        </w:tabs>
        <w:ind w:left="6546" w:hanging="360"/>
      </w:pPr>
      <w:rPr>
        <w:rFonts w:ascii="Wingdings" w:hAnsi="Wingdings" w:cs="Wingdings" w:hint="default"/>
      </w:rPr>
    </w:lvl>
  </w:abstractNum>
  <w:abstractNum w:abstractNumId="113" w15:restartNumberingAfterBreak="0">
    <w:nsid w:val="1D075228"/>
    <w:multiLevelType w:val="hybridMultilevel"/>
    <w:tmpl w:val="687E0926"/>
    <w:lvl w:ilvl="0" w:tplc="55529A5E">
      <w:start w:val="1"/>
      <w:numFmt w:val="bullet"/>
      <w:lvlText w:val="-"/>
      <w:lvlJc w:val="left"/>
      <w:pPr>
        <w:ind w:left="1068"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1D644901"/>
    <w:multiLevelType w:val="hybridMultilevel"/>
    <w:tmpl w:val="CBD65130"/>
    <w:lvl w:ilvl="0" w:tplc="FFFFFFFF">
      <w:start w:val="1"/>
      <w:numFmt w:val="bullet"/>
      <w:lvlText w:val=""/>
      <w:lvlJc w:val="left"/>
      <w:pPr>
        <w:tabs>
          <w:tab w:val="num" w:pos="1440"/>
        </w:tabs>
        <w:ind w:left="1440" w:hanging="360"/>
      </w:pPr>
      <w:rPr>
        <w:rFonts w:ascii="Symbol" w:hAnsi="Symbol" w:cs="Symbol"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start w:val="1"/>
      <w:numFmt w:val="bullet"/>
      <w:lvlText w:val=""/>
      <w:lvlJc w:val="left"/>
      <w:pPr>
        <w:tabs>
          <w:tab w:val="num" w:pos="2880"/>
        </w:tabs>
        <w:ind w:left="2880" w:hanging="360"/>
      </w:pPr>
      <w:rPr>
        <w:rFonts w:ascii="Wingdings" w:hAnsi="Wingdings" w:cs="Wingdings" w:hint="default"/>
      </w:rPr>
    </w:lvl>
    <w:lvl w:ilvl="3" w:tplc="FFFFFFFF">
      <w:start w:val="1"/>
      <w:numFmt w:val="bullet"/>
      <w:lvlText w:val=""/>
      <w:lvlJc w:val="left"/>
      <w:pPr>
        <w:tabs>
          <w:tab w:val="num" w:pos="3600"/>
        </w:tabs>
        <w:ind w:left="3600" w:hanging="360"/>
      </w:pPr>
      <w:rPr>
        <w:rFonts w:ascii="Symbol" w:hAnsi="Symbol" w:cs="Symbol" w:hint="default"/>
      </w:rPr>
    </w:lvl>
    <w:lvl w:ilvl="4" w:tplc="FFFFFFFF">
      <w:start w:val="1"/>
      <w:numFmt w:val="bullet"/>
      <w:lvlText w:val="o"/>
      <w:lvlJc w:val="left"/>
      <w:pPr>
        <w:tabs>
          <w:tab w:val="num" w:pos="4320"/>
        </w:tabs>
        <w:ind w:left="4320" w:hanging="360"/>
      </w:pPr>
      <w:rPr>
        <w:rFonts w:ascii="Courier New" w:hAnsi="Courier New" w:cs="Courier New" w:hint="default"/>
      </w:rPr>
    </w:lvl>
    <w:lvl w:ilvl="5" w:tplc="FFFFFFFF">
      <w:start w:val="1"/>
      <w:numFmt w:val="bullet"/>
      <w:lvlText w:val=""/>
      <w:lvlJc w:val="left"/>
      <w:pPr>
        <w:tabs>
          <w:tab w:val="num" w:pos="5040"/>
        </w:tabs>
        <w:ind w:left="5040" w:hanging="360"/>
      </w:pPr>
      <w:rPr>
        <w:rFonts w:ascii="Wingdings" w:hAnsi="Wingdings" w:cs="Wingdings" w:hint="default"/>
      </w:rPr>
    </w:lvl>
    <w:lvl w:ilvl="6" w:tplc="FFFFFFFF">
      <w:start w:val="1"/>
      <w:numFmt w:val="bullet"/>
      <w:lvlText w:val=""/>
      <w:lvlJc w:val="left"/>
      <w:pPr>
        <w:tabs>
          <w:tab w:val="num" w:pos="5760"/>
        </w:tabs>
        <w:ind w:left="5760" w:hanging="360"/>
      </w:pPr>
      <w:rPr>
        <w:rFonts w:ascii="Symbol" w:hAnsi="Symbol" w:cs="Symbol" w:hint="default"/>
      </w:rPr>
    </w:lvl>
    <w:lvl w:ilvl="7" w:tplc="FFFFFFFF">
      <w:start w:val="1"/>
      <w:numFmt w:val="bullet"/>
      <w:lvlText w:val="o"/>
      <w:lvlJc w:val="left"/>
      <w:pPr>
        <w:tabs>
          <w:tab w:val="num" w:pos="6480"/>
        </w:tabs>
        <w:ind w:left="6480" w:hanging="360"/>
      </w:pPr>
      <w:rPr>
        <w:rFonts w:ascii="Courier New" w:hAnsi="Courier New" w:cs="Courier New" w:hint="default"/>
      </w:rPr>
    </w:lvl>
    <w:lvl w:ilvl="8" w:tplc="FFFFFFFF">
      <w:start w:val="1"/>
      <w:numFmt w:val="bullet"/>
      <w:lvlText w:val=""/>
      <w:lvlJc w:val="left"/>
      <w:pPr>
        <w:tabs>
          <w:tab w:val="num" w:pos="7200"/>
        </w:tabs>
        <w:ind w:left="7200" w:hanging="360"/>
      </w:pPr>
      <w:rPr>
        <w:rFonts w:ascii="Wingdings" w:hAnsi="Wingdings" w:cs="Wingdings" w:hint="default"/>
      </w:rPr>
    </w:lvl>
  </w:abstractNum>
  <w:abstractNum w:abstractNumId="115" w15:restartNumberingAfterBreak="0">
    <w:nsid w:val="1DC832C8"/>
    <w:multiLevelType w:val="hybridMultilevel"/>
    <w:tmpl w:val="BA7CE10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6" w15:restartNumberingAfterBreak="0">
    <w:nsid w:val="1DF862CB"/>
    <w:multiLevelType w:val="hybridMultilevel"/>
    <w:tmpl w:val="8ABCC614"/>
    <w:lvl w:ilvl="0" w:tplc="FFFFFFFF">
      <w:start w:val="1"/>
      <w:numFmt w:val="bullet"/>
      <w:lvlText w:val=""/>
      <w:lvlJc w:val="left"/>
      <w:pPr>
        <w:ind w:left="1440" w:hanging="360"/>
      </w:pPr>
      <w:rPr>
        <w:rFonts w:ascii="Wingdings" w:hAnsi="Wingdings" w:hint="default"/>
        <w:b w:val="0"/>
        <w:i w:val="0"/>
        <w:sz w:val="24"/>
        <w:u w:val="none"/>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17" w15:restartNumberingAfterBreak="0">
    <w:nsid w:val="1E4A3234"/>
    <w:multiLevelType w:val="hybridMultilevel"/>
    <w:tmpl w:val="550289F2"/>
    <w:lvl w:ilvl="0" w:tplc="04020001">
      <w:start w:val="1"/>
      <w:numFmt w:val="decimal"/>
      <w:lvlText w:val="%1."/>
      <w:lvlJc w:val="left"/>
      <w:pPr>
        <w:ind w:left="720" w:hanging="360"/>
      </w:pPr>
      <w:rPr>
        <w:rFonts w:hint="default"/>
      </w:rPr>
    </w:lvl>
    <w:lvl w:ilvl="1" w:tplc="04020003">
      <w:start w:val="1"/>
      <w:numFmt w:val="decimal"/>
      <w:lvlText w:val="%2."/>
      <w:lvlJc w:val="left"/>
      <w:pPr>
        <w:ind w:left="1440" w:hanging="360"/>
      </w:pPr>
      <w:rPr>
        <w:rFonts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18" w15:restartNumberingAfterBreak="0">
    <w:nsid w:val="1E706F2C"/>
    <w:multiLevelType w:val="hybridMultilevel"/>
    <w:tmpl w:val="5A12CC1E"/>
    <w:lvl w:ilvl="0" w:tplc="15DACE90">
      <w:start w:val="1"/>
      <w:numFmt w:val="bullet"/>
      <w:lvlText w:val=""/>
      <w:lvlJc w:val="left"/>
      <w:pPr>
        <w:ind w:left="720" w:hanging="360"/>
      </w:pPr>
      <w:rPr>
        <w:rFonts w:ascii="Symbol" w:hAnsi="Symbol" w:hint="default"/>
      </w:rPr>
    </w:lvl>
    <w:lvl w:ilvl="1" w:tplc="15DACE90"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9" w15:restartNumberingAfterBreak="0">
    <w:nsid w:val="1EE610B7"/>
    <w:multiLevelType w:val="hybridMultilevel"/>
    <w:tmpl w:val="D138D4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0" w15:restartNumberingAfterBreak="0">
    <w:nsid w:val="1EF966C2"/>
    <w:multiLevelType w:val="hybridMultilevel"/>
    <w:tmpl w:val="BF42FF6A"/>
    <w:lvl w:ilvl="0" w:tplc="0402000F">
      <w:start w:val="1"/>
      <w:numFmt w:val="bullet"/>
      <w:lvlText w:val=""/>
      <w:lvlJc w:val="left"/>
      <w:pPr>
        <w:tabs>
          <w:tab w:val="num" w:pos="720"/>
        </w:tabs>
        <w:ind w:left="720" w:hanging="360"/>
      </w:pPr>
      <w:rPr>
        <w:rFonts w:ascii="Symbol" w:hAnsi="Symbol" w:cs="Symbol" w:hint="default"/>
      </w:rPr>
    </w:lvl>
    <w:lvl w:ilvl="1" w:tplc="0402000F">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21" w15:restartNumberingAfterBreak="0">
    <w:nsid w:val="1F181221"/>
    <w:multiLevelType w:val="hybridMultilevel"/>
    <w:tmpl w:val="81AC386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2" w15:restartNumberingAfterBreak="0">
    <w:nsid w:val="1F63630E"/>
    <w:multiLevelType w:val="multilevel"/>
    <w:tmpl w:val="CAB62F6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1F8C6424"/>
    <w:multiLevelType w:val="hybridMultilevel"/>
    <w:tmpl w:val="21504F1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4" w15:restartNumberingAfterBreak="0">
    <w:nsid w:val="1FC33258"/>
    <w:multiLevelType w:val="singleLevel"/>
    <w:tmpl w:val="FFFFFFFF"/>
    <w:lvl w:ilvl="0">
      <w:start w:val="1"/>
      <w:numFmt w:val="bullet"/>
      <w:lvlText w:val=""/>
      <w:lvlJc w:val="left"/>
      <w:pPr>
        <w:ind w:left="360" w:hanging="360"/>
      </w:pPr>
      <w:rPr>
        <w:rFonts w:ascii="Wingdings" w:hAnsi="Wingdings" w:hint="default"/>
        <w:b/>
        <w:i w:val="0"/>
        <w:sz w:val="24"/>
        <w:u w:val="none"/>
      </w:rPr>
    </w:lvl>
  </w:abstractNum>
  <w:abstractNum w:abstractNumId="125" w15:restartNumberingAfterBreak="0">
    <w:nsid w:val="1FFD6367"/>
    <w:multiLevelType w:val="hybridMultilevel"/>
    <w:tmpl w:val="54DCEDB0"/>
    <w:lvl w:ilvl="0" w:tplc="1CB842AA">
      <w:start w:val="1"/>
      <w:numFmt w:val="bullet"/>
      <w:lvlText w:val=""/>
      <w:lvlJc w:val="left"/>
      <w:pPr>
        <w:ind w:left="720" w:hanging="360"/>
      </w:pPr>
      <w:rPr>
        <w:rFonts w:ascii="Symbol" w:hAnsi="Symbol" w:hint="default"/>
      </w:rPr>
    </w:lvl>
    <w:lvl w:ilvl="1" w:tplc="C986ABC4" w:tentative="1">
      <w:start w:val="1"/>
      <w:numFmt w:val="bullet"/>
      <w:lvlText w:val="o"/>
      <w:lvlJc w:val="left"/>
      <w:pPr>
        <w:ind w:left="1440" w:hanging="360"/>
      </w:pPr>
      <w:rPr>
        <w:rFonts w:ascii="Courier New" w:hAnsi="Courier New" w:cs="Courier New" w:hint="default"/>
      </w:rPr>
    </w:lvl>
    <w:lvl w:ilvl="2" w:tplc="11184160" w:tentative="1">
      <w:start w:val="1"/>
      <w:numFmt w:val="bullet"/>
      <w:lvlText w:val=""/>
      <w:lvlJc w:val="left"/>
      <w:pPr>
        <w:ind w:left="2160" w:hanging="360"/>
      </w:pPr>
      <w:rPr>
        <w:rFonts w:ascii="Wingdings" w:hAnsi="Wingdings" w:hint="default"/>
      </w:rPr>
    </w:lvl>
    <w:lvl w:ilvl="3" w:tplc="4B36BAA8" w:tentative="1">
      <w:start w:val="1"/>
      <w:numFmt w:val="bullet"/>
      <w:lvlText w:val=""/>
      <w:lvlJc w:val="left"/>
      <w:pPr>
        <w:ind w:left="2880" w:hanging="360"/>
      </w:pPr>
      <w:rPr>
        <w:rFonts w:ascii="Symbol" w:hAnsi="Symbol" w:hint="default"/>
      </w:rPr>
    </w:lvl>
    <w:lvl w:ilvl="4" w:tplc="3DF2E5F0" w:tentative="1">
      <w:start w:val="1"/>
      <w:numFmt w:val="bullet"/>
      <w:lvlText w:val="o"/>
      <w:lvlJc w:val="left"/>
      <w:pPr>
        <w:ind w:left="3600" w:hanging="360"/>
      </w:pPr>
      <w:rPr>
        <w:rFonts w:ascii="Courier New" w:hAnsi="Courier New" w:cs="Courier New" w:hint="default"/>
      </w:rPr>
    </w:lvl>
    <w:lvl w:ilvl="5" w:tplc="BACEFF98" w:tentative="1">
      <w:start w:val="1"/>
      <w:numFmt w:val="bullet"/>
      <w:lvlText w:val=""/>
      <w:lvlJc w:val="left"/>
      <w:pPr>
        <w:ind w:left="4320" w:hanging="360"/>
      </w:pPr>
      <w:rPr>
        <w:rFonts w:ascii="Wingdings" w:hAnsi="Wingdings" w:hint="default"/>
      </w:rPr>
    </w:lvl>
    <w:lvl w:ilvl="6" w:tplc="13F86724" w:tentative="1">
      <w:start w:val="1"/>
      <w:numFmt w:val="bullet"/>
      <w:lvlText w:val=""/>
      <w:lvlJc w:val="left"/>
      <w:pPr>
        <w:ind w:left="5040" w:hanging="360"/>
      </w:pPr>
      <w:rPr>
        <w:rFonts w:ascii="Symbol" w:hAnsi="Symbol" w:hint="default"/>
      </w:rPr>
    </w:lvl>
    <w:lvl w:ilvl="7" w:tplc="35100076" w:tentative="1">
      <w:start w:val="1"/>
      <w:numFmt w:val="bullet"/>
      <w:lvlText w:val="o"/>
      <w:lvlJc w:val="left"/>
      <w:pPr>
        <w:ind w:left="5760" w:hanging="360"/>
      </w:pPr>
      <w:rPr>
        <w:rFonts w:ascii="Courier New" w:hAnsi="Courier New" w:cs="Courier New" w:hint="default"/>
      </w:rPr>
    </w:lvl>
    <w:lvl w:ilvl="8" w:tplc="F76693E0" w:tentative="1">
      <w:start w:val="1"/>
      <w:numFmt w:val="bullet"/>
      <w:lvlText w:val=""/>
      <w:lvlJc w:val="left"/>
      <w:pPr>
        <w:ind w:left="6480" w:hanging="360"/>
      </w:pPr>
      <w:rPr>
        <w:rFonts w:ascii="Wingdings" w:hAnsi="Wingdings" w:hint="default"/>
      </w:rPr>
    </w:lvl>
  </w:abstractNum>
  <w:abstractNum w:abstractNumId="126" w15:restartNumberingAfterBreak="0">
    <w:nsid w:val="204B1B27"/>
    <w:multiLevelType w:val="hybridMultilevel"/>
    <w:tmpl w:val="B5F06694"/>
    <w:lvl w:ilvl="0" w:tplc="933281E0">
      <w:start w:val="1"/>
      <w:numFmt w:val="bullet"/>
      <w:lvlText w:val=""/>
      <w:lvlJc w:val="left"/>
      <w:pPr>
        <w:ind w:left="720" w:hanging="360"/>
      </w:pPr>
      <w:rPr>
        <w:rFonts w:ascii="Symbol" w:hAnsi="Symbol" w:hint="default"/>
      </w:rPr>
    </w:lvl>
    <w:lvl w:ilvl="1" w:tplc="F2B25D0C" w:tentative="1">
      <w:start w:val="1"/>
      <w:numFmt w:val="bullet"/>
      <w:lvlText w:val="o"/>
      <w:lvlJc w:val="left"/>
      <w:pPr>
        <w:ind w:left="1440" w:hanging="360"/>
      </w:pPr>
      <w:rPr>
        <w:rFonts w:ascii="Courier New" w:hAnsi="Courier New" w:hint="default"/>
      </w:rPr>
    </w:lvl>
    <w:lvl w:ilvl="2" w:tplc="F7B81876" w:tentative="1">
      <w:start w:val="1"/>
      <w:numFmt w:val="bullet"/>
      <w:lvlText w:val=""/>
      <w:lvlJc w:val="left"/>
      <w:pPr>
        <w:ind w:left="2160" w:hanging="360"/>
      </w:pPr>
      <w:rPr>
        <w:rFonts w:ascii="Wingdings" w:hAnsi="Wingdings" w:hint="default"/>
      </w:rPr>
    </w:lvl>
    <w:lvl w:ilvl="3" w:tplc="EA520E14" w:tentative="1">
      <w:start w:val="1"/>
      <w:numFmt w:val="bullet"/>
      <w:lvlText w:val=""/>
      <w:lvlJc w:val="left"/>
      <w:pPr>
        <w:ind w:left="2880" w:hanging="360"/>
      </w:pPr>
      <w:rPr>
        <w:rFonts w:ascii="Symbol" w:hAnsi="Symbol" w:hint="default"/>
      </w:rPr>
    </w:lvl>
    <w:lvl w:ilvl="4" w:tplc="687CF8AC" w:tentative="1">
      <w:start w:val="1"/>
      <w:numFmt w:val="bullet"/>
      <w:lvlText w:val="o"/>
      <w:lvlJc w:val="left"/>
      <w:pPr>
        <w:ind w:left="3600" w:hanging="360"/>
      </w:pPr>
      <w:rPr>
        <w:rFonts w:ascii="Courier New" w:hAnsi="Courier New" w:hint="default"/>
      </w:rPr>
    </w:lvl>
    <w:lvl w:ilvl="5" w:tplc="64B60042" w:tentative="1">
      <w:start w:val="1"/>
      <w:numFmt w:val="bullet"/>
      <w:lvlText w:val=""/>
      <w:lvlJc w:val="left"/>
      <w:pPr>
        <w:ind w:left="4320" w:hanging="360"/>
      </w:pPr>
      <w:rPr>
        <w:rFonts w:ascii="Wingdings" w:hAnsi="Wingdings" w:hint="default"/>
      </w:rPr>
    </w:lvl>
    <w:lvl w:ilvl="6" w:tplc="64D6C4F4" w:tentative="1">
      <w:start w:val="1"/>
      <w:numFmt w:val="bullet"/>
      <w:lvlText w:val=""/>
      <w:lvlJc w:val="left"/>
      <w:pPr>
        <w:ind w:left="5040" w:hanging="360"/>
      </w:pPr>
      <w:rPr>
        <w:rFonts w:ascii="Symbol" w:hAnsi="Symbol" w:hint="default"/>
      </w:rPr>
    </w:lvl>
    <w:lvl w:ilvl="7" w:tplc="48848492" w:tentative="1">
      <w:start w:val="1"/>
      <w:numFmt w:val="bullet"/>
      <w:lvlText w:val="o"/>
      <w:lvlJc w:val="left"/>
      <w:pPr>
        <w:ind w:left="5760" w:hanging="360"/>
      </w:pPr>
      <w:rPr>
        <w:rFonts w:ascii="Courier New" w:hAnsi="Courier New" w:hint="default"/>
      </w:rPr>
    </w:lvl>
    <w:lvl w:ilvl="8" w:tplc="710AE77E" w:tentative="1">
      <w:start w:val="1"/>
      <w:numFmt w:val="bullet"/>
      <w:lvlText w:val=""/>
      <w:lvlJc w:val="left"/>
      <w:pPr>
        <w:ind w:left="6480" w:hanging="360"/>
      </w:pPr>
      <w:rPr>
        <w:rFonts w:ascii="Wingdings" w:hAnsi="Wingdings" w:hint="default"/>
      </w:rPr>
    </w:lvl>
  </w:abstractNum>
  <w:abstractNum w:abstractNumId="127" w15:restartNumberingAfterBreak="0">
    <w:nsid w:val="20A75069"/>
    <w:multiLevelType w:val="hybridMultilevel"/>
    <w:tmpl w:val="32C4D35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8" w15:restartNumberingAfterBreak="0">
    <w:nsid w:val="20B74F7D"/>
    <w:multiLevelType w:val="multilevel"/>
    <w:tmpl w:val="58423FE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29" w15:restartNumberingAfterBreak="0">
    <w:nsid w:val="20F03C64"/>
    <w:multiLevelType w:val="multilevel"/>
    <w:tmpl w:val="ED768DB4"/>
    <w:lvl w:ilvl="0">
      <w:start w:val="1"/>
      <w:numFmt w:val="decimal"/>
      <w:lvlText w:val="%1."/>
      <w:lvlJc w:val="left"/>
      <w:pPr>
        <w:ind w:left="360" w:hanging="360"/>
      </w:p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0" w15:restartNumberingAfterBreak="0">
    <w:nsid w:val="21073D5F"/>
    <w:multiLevelType w:val="hybridMultilevel"/>
    <w:tmpl w:val="677C889C"/>
    <w:lvl w:ilvl="0" w:tplc="04020001">
      <w:start w:val="1"/>
      <w:numFmt w:val="bullet"/>
      <w:lvlText w:val=""/>
      <w:lvlJc w:val="left"/>
      <w:pPr>
        <w:tabs>
          <w:tab w:val="num" w:pos="720"/>
        </w:tabs>
        <w:ind w:left="720" w:hanging="360"/>
      </w:pPr>
      <w:rPr>
        <w:rFonts w:ascii="Symbol" w:hAnsi="Symbol" w:hint="default"/>
      </w:rPr>
    </w:lvl>
    <w:lvl w:ilvl="1" w:tplc="C60C66C6">
      <w:start w:val="65535"/>
      <w:numFmt w:val="bullet"/>
      <w:lvlText w:val="•"/>
      <w:lvlJc w:val="left"/>
      <w:pPr>
        <w:tabs>
          <w:tab w:val="num" w:pos="1440"/>
        </w:tabs>
        <w:ind w:left="1440" w:hanging="360"/>
      </w:pPr>
      <w:rPr>
        <w:rFonts w:ascii="Arial" w:hAnsi="Arial" w:cs="Arial" w:hint="default"/>
        <w:color w:val="000000" w:themeColor="text1"/>
      </w:rPr>
    </w:lvl>
    <w:lvl w:ilvl="2" w:tplc="C60C66C6">
      <w:start w:val="65535"/>
      <w:numFmt w:val="bullet"/>
      <w:lvlText w:val="•"/>
      <w:lvlJc w:val="left"/>
      <w:pPr>
        <w:tabs>
          <w:tab w:val="num" w:pos="2160"/>
        </w:tabs>
        <w:ind w:left="2160" w:hanging="360"/>
      </w:pPr>
      <w:rPr>
        <w:rFonts w:ascii="Arial" w:hAnsi="Arial" w:cs="Arial" w:hint="default"/>
        <w:color w:val="000000" w:themeColor="text1"/>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1" w15:restartNumberingAfterBreak="0">
    <w:nsid w:val="219E52DA"/>
    <w:multiLevelType w:val="hybridMultilevel"/>
    <w:tmpl w:val="7096A742"/>
    <w:lvl w:ilvl="0" w:tplc="1F14C4CE">
      <w:start w:val="1"/>
      <w:numFmt w:val="bullet"/>
      <w:lvlText w:val=""/>
      <w:lvlJc w:val="left"/>
      <w:pPr>
        <w:tabs>
          <w:tab w:val="num" w:pos="720"/>
        </w:tabs>
        <w:ind w:left="720" w:hanging="360"/>
      </w:pPr>
      <w:rPr>
        <w:rFonts w:ascii="Symbol" w:hAnsi="Symbol" w:hint="default"/>
      </w:rPr>
    </w:lvl>
    <w:lvl w:ilvl="1" w:tplc="ACCA68E6">
      <w:start w:val="1"/>
      <w:numFmt w:val="bullet"/>
      <w:lvlText w:val=""/>
      <w:lvlJc w:val="left"/>
      <w:pPr>
        <w:tabs>
          <w:tab w:val="num" w:pos="1440"/>
        </w:tabs>
        <w:ind w:left="1440" w:hanging="360"/>
      </w:pPr>
      <w:rPr>
        <w:rFonts w:ascii="Wingdings" w:hAnsi="Wingdings" w:hint="default"/>
      </w:rPr>
    </w:lvl>
    <w:lvl w:ilvl="2" w:tplc="C1A0CA42">
      <w:start w:val="1"/>
      <w:numFmt w:val="bullet"/>
      <w:lvlText w:val=""/>
      <w:lvlJc w:val="left"/>
      <w:pPr>
        <w:tabs>
          <w:tab w:val="num" w:pos="2160"/>
        </w:tabs>
        <w:ind w:left="2160" w:hanging="360"/>
      </w:pPr>
      <w:rPr>
        <w:rFonts w:ascii="Symbol" w:hAnsi="Symbol" w:hint="default"/>
      </w:rPr>
    </w:lvl>
    <w:lvl w:ilvl="3" w:tplc="BD08644A">
      <w:start w:val="1"/>
      <w:numFmt w:val="decimal"/>
      <w:lvlText w:val="%4."/>
      <w:lvlJc w:val="left"/>
      <w:pPr>
        <w:tabs>
          <w:tab w:val="num" w:pos="2880"/>
        </w:tabs>
        <w:ind w:left="2880" w:hanging="360"/>
      </w:pPr>
      <w:rPr>
        <w:rFonts w:cs="Times New Roman"/>
      </w:rPr>
    </w:lvl>
    <w:lvl w:ilvl="4" w:tplc="FDF0A360">
      <w:start w:val="1"/>
      <w:numFmt w:val="decimal"/>
      <w:lvlText w:val="%5."/>
      <w:lvlJc w:val="left"/>
      <w:pPr>
        <w:tabs>
          <w:tab w:val="num" w:pos="3600"/>
        </w:tabs>
        <w:ind w:left="3600" w:hanging="360"/>
      </w:pPr>
      <w:rPr>
        <w:rFonts w:cs="Times New Roman"/>
      </w:rPr>
    </w:lvl>
    <w:lvl w:ilvl="5" w:tplc="0382118C">
      <w:start w:val="1"/>
      <w:numFmt w:val="decimal"/>
      <w:lvlText w:val="%6."/>
      <w:lvlJc w:val="left"/>
      <w:pPr>
        <w:tabs>
          <w:tab w:val="num" w:pos="4320"/>
        </w:tabs>
        <w:ind w:left="4320" w:hanging="360"/>
      </w:pPr>
      <w:rPr>
        <w:rFonts w:cs="Times New Roman"/>
      </w:rPr>
    </w:lvl>
    <w:lvl w:ilvl="6" w:tplc="AE8E0BA8">
      <w:start w:val="1"/>
      <w:numFmt w:val="decimal"/>
      <w:lvlText w:val="%7."/>
      <w:lvlJc w:val="left"/>
      <w:pPr>
        <w:tabs>
          <w:tab w:val="num" w:pos="5040"/>
        </w:tabs>
        <w:ind w:left="5040" w:hanging="360"/>
      </w:pPr>
      <w:rPr>
        <w:rFonts w:cs="Times New Roman"/>
      </w:rPr>
    </w:lvl>
    <w:lvl w:ilvl="7" w:tplc="A3CE8ABE">
      <w:start w:val="1"/>
      <w:numFmt w:val="decimal"/>
      <w:lvlText w:val="%8."/>
      <w:lvlJc w:val="left"/>
      <w:pPr>
        <w:tabs>
          <w:tab w:val="num" w:pos="5760"/>
        </w:tabs>
        <w:ind w:left="5760" w:hanging="360"/>
      </w:pPr>
      <w:rPr>
        <w:rFonts w:cs="Times New Roman"/>
      </w:rPr>
    </w:lvl>
    <w:lvl w:ilvl="8" w:tplc="3954CDBE">
      <w:start w:val="1"/>
      <w:numFmt w:val="decimal"/>
      <w:lvlText w:val="%9."/>
      <w:lvlJc w:val="left"/>
      <w:pPr>
        <w:tabs>
          <w:tab w:val="num" w:pos="6480"/>
        </w:tabs>
        <w:ind w:left="6480" w:hanging="360"/>
      </w:pPr>
      <w:rPr>
        <w:rFonts w:cs="Times New Roman"/>
      </w:rPr>
    </w:lvl>
  </w:abstractNum>
  <w:abstractNum w:abstractNumId="132" w15:restartNumberingAfterBreak="0">
    <w:nsid w:val="21A7378B"/>
    <w:multiLevelType w:val="hybridMultilevel"/>
    <w:tmpl w:val="BDF27A5C"/>
    <w:lvl w:ilvl="0" w:tplc="22929DFE">
      <w:start w:val="1"/>
      <w:numFmt w:val="bullet"/>
      <w:lvlText w:val=""/>
      <w:lvlJc w:val="left"/>
      <w:pPr>
        <w:ind w:left="720" w:hanging="360"/>
      </w:pPr>
      <w:rPr>
        <w:rFonts w:ascii="Symbol" w:hAnsi="Symbol" w:hint="default"/>
      </w:rPr>
    </w:lvl>
    <w:lvl w:ilvl="1" w:tplc="876CB65E" w:tentative="1">
      <w:start w:val="1"/>
      <w:numFmt w:val="bullet"/>
      <w:lvlText w:val="o"/>
      <w:lvlJc w:val="left"/>
      <w:pPr>
        <w:ind w:left="1440" w:hanging="360"/>
      </w:pPr>
      <w:rPr>
        <w:rFonts w:ascii="Courier New" w:hAnsi="Courier New" w:hint="default"/>
      </w:rPr>
    </w:lvl>
    <w:lvl w:ilvl="2" w:tplc="AD24EA02" w:tentative="1">
      <w:start w:val="1"/>
      <w:numFmt w:val="bullet"/>
      <w:lvlText w:val=""/>
      <w:lvlJc w:val="left"/>
      <w:pPr>
        <w:ind w:left="2160" w:hanging="360"/>
      </w:pPr>
      <w:rPr>
        <w:rFonts w:ascii="Wingdings" w:hAnsi="Wingdings" w:hint="default"/>
      </w:rPr>
    </w:lvl>
    <w:lvl w:ilvl="3" w:tplc="13ECC25E" w:tentative="1">
      <w:start w:val="1"/>
      <w:numFmt w:val="bullet"/>
      <w:lvlText w:val=""/>
      <w:lvlJc w:val="left"/>
      <w:pPr>
        <w:ind w:left="2880" w:hanging="360"/>
      </w:pPr>
      <w:rPr>
        <w:rFonts w:ascii="Symbol" w:hAnsi="Symbol" w:hint="default"/>
      </w:rPr>
    </w:lvl>
    <w:lvl w:ilvl="4" w:tplc="29E811DA" w:tentative="1">
      <w:start w:val="1"/>
      <w:numFmt w:val="bullet"/>
      <w:lvlText w:val="o"/>
      <w:lvlJc w:val="left"/>
      <w:pPr>
        <w:ind w:left="3600" w:hanging="360"/>
      </w:pPr>
      <w:rPr>
        <w:rFonts w:ascii="Courier New" w:hAnsi="Courier New" w:hint="default"/>
      </w:rPr>
    </w:lvl>
    <w:lvl w:ilvl="5" w:tplc="4C26AD76" w:tentative="1">
      <w:start w:val="1"/>
      <w:numFmt w:val="bullet"/>
      <w:lvlText w:val=""/>
      <w:lvlJc w:val="left"/>
      <w:pPr>
        <w:ind w:left="4320" w:hanging="360"/>
      </w:pPr>
      <w:rPr>
        <w:rFonts w:ascii="Wingdings" w:hAnsi="Wingdings" w:hint="default"/>
      </w:rPr>
    </w:lvl>
    <w:lvl w:ilvl="6" w:tplc="FF063882" w:tentative="1">
      <w:start w:val="1"/>
      <w:numFmt w:val="bullet"/>
      <w:lvlText w:val=""/>
      <w:lvlJc w:val="left"/>
      <w:pPr>
        <w:ind w:left="5040" w:hanging="360"/>
      </w:pPr>
      <w:rPr>
        <w:rFonts w:ascii="Symbol" w:hAnsi="Symbol" w:hint="default"/>
      </w:rPr>
    </w:lvl>
    <w:lvl w:ilvl="7" w:tplc="61602B5E" w:tentative="1">
      <w:start w:val="1"/>
      <w:numFmt w:val="bullet"/>
      <w:lvlText w:val="o"/>
      <w:lvlJc w:val="left"/>
      <w:pPr>
        <w:ind w:left="5760" w:hanging="360"/>
      </w:pPr>
      <w:rPr>
        <w:rFonts w:ascii="Courier New" w:hAnsi="Courier New" w:hint="default"/>
      </w:rPr>
    </w:lvl>
    <w:lvl w:ilvl="8" w:tplc="3606EE36" w:tentative="1">
      <w:start w:val="1"/>
      <w:numFmt w:val="bullet"/>
      <w:lvlText w:val=""/>
      <w:lvlJc w:val="left"/>
      <w:pPr>
        <w:ind w:left="6480" w:hanging="360"/>
      </w:pPr>
      <w:rPr>
        <w:rFonts w:ascii="Wingdings" w:hAnsi="Wingdings" w:hint="default"/>
      </w:rPr>
    </w:lvl>
  </w:abstractNum>
  <w:abstractNum w:abstractNumId="133" w15:restartNumberingAfterBreak="0">
    <w:nsid w:val="21C53070"/>
    <w:multiLevelType w:val="multilevel"/>
    <w:tmpl w:val="E0942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2276408D"/>
    <w:multiLevelType w:val="hybridMultilevel"/>
    <w:tmpl w:val="2182CCAE"/>
    <w:lvl w:ilvl="0" w:tplc="B606AA6A">
      <w:start w:val="1"/>
      <w:numFmt w:val="bullet"/>
      <w:lvlText w:val=""/>
      <w:lvlJc w:val="left"/>
      <w:pPr>
        <w:tabs>
          <w:tab w:val="num" w:pos="720"/>
        </w:tabs>
        <w:ind w:left="720" w:hanging="360"/>
      </w:pPr>
      <w:rPr>
        <w:rFonts w:ascii="Symbol" w:hAnsi="Symbol" w:hint="default"/>
      </w:rPr>
    </w:lvl>
    <w:lvl w:ilvl="1" w:tplc="1B3C254A">
      <w:start w:val="1"/>
      <w:numFmt w:val="bullet"/>
      <w:lvlText w:val="o"/>
      <w:lvlJc w:val="left"/>
      <w:pPr>
        <w:tabs>
          <w:tab w:val="num" w:pos="1440"/>
        </w:tabs>
        <w:ind w:left="1440" w:hanging="360"/>
      </w:pPr>
      <w:rPr>
        <w:rFonts w:ascii="Courier New" w:hAnsi="Courier New" w:hint="default"/>
      </w:rPr>
    </w:lvl>
    <w:lvl w:ilvl="2" w:tplc="E6B65FC6" w:tentative="1">
      <w:start w:val="1"/>
      <w:numFmt w:val="bullet"/>
      <w:lvlText w:val=""/>
      <w:lvlJc w:val="left"/>
      <w:pPr>
        <w:tabs>
          <w:tab w:val="num" w:pos="2160"/>
        </w:tabs>
        <w:ind w:left="2160" w:hanging="360"/>
      </w:pPr>
      <w:rPr>
        <w:rFonts w:ascii="Wingdings" w:hAnsi="Wingdings" w:hint="default"/>
      </w:rPr>
    </w:lvl>
    <w:lvl w:ilvl="3" w:tplc="ADE01B34" w:tentative="1">
      <w:start w:val="1"/>
      <w:numFmt w:val="bullet"/>
      <w:lvlText w:val=""/>
      <w:lvlJc w:val="left"/>
      <w:pPr>
        <w:tabs>
          <w:tab w:val="num" w:pos="2880"/>
        </w:tabs>
        <w:ind w:left="2880" w:hanging="360"/>
      </w:pPr>
      <w:rPr>
        <w:rFonts w:ascii="Symbol" w:hAnsi="Symbol" w:hint="default"/>
      </w:rPr>
    </w:lvl>
    <w:lvl w:ilvl="4" w:tplc="DD280648" w:tentative="1">
      <w:start w:val="1"/>
      <w:numFmt w:val="bullet"/>
      <w:lvlText w:val="o"/>
      <w:lvlJc w:val="left"/>
      <w:pPr>
        <w:tabs>
          <w:tab w:val="num" w:pos="3600"/>
        </w:tabs>
        <w:ind w:left="3600" w:hanging="360"/>
      </w:pPr>
      <w:rPr>
        <w:rFonts w:ascii="Courier New" w:hAnsi="Courier New" w:hint="default"/>
      </w:rPr>
    </w:lvl>
    <w:lvl w:ilvl="5" w:tplc="53988546" w:tentative="1">
      <w:start w:val="1"/>
      <w:numFmt w:val="bullet"/>
      <w:lvlText w:val=""/>
      <w:lvlJc w:val="left"/>
      <w:pPr>
        <w:tabs>
          <w:tab w:val="num" w:pos="4320"/>
        </w:tabs>
        <w:ind w:left="4320" w:hanging="360"/>
      </w:pPr>
      <w:rPr>
        <w:rFonts w:ascii="Wingdings" w:hAnsi="Wingdings" w:hint="default"/>
      </w:rPr>
    </w:lvl>
    <w:lvl w:ilvl="6" w:tplc="49968F88" w:tentative="1">
      <w:start w:val="1"/>
      <w:numFmt w:val="bullet"/>
      <w:lvlText w:val=""/>
      <w:lvlJc w:val="left"/>
      <w:pPr>
        <w:tabs>
          <w:tab w:val="num" w:pos="5040"/>
        </w:tabs>
        <w:ind w:left="5040" w:hanging="360"/>
      </w:pPr>
      <w:rPr>
        <w:rFonts w:ascii="Symbol" w:hAnsi="Symbol" w:hint="default"/>
      </w:rPr>
    </w:lvl>
    <w:lvl w:ilvl="7" w:tplc="CEF04982" w:tentative="1">
      <w:start w:val="1"/>
      <w:numFmt w:val="bullet"/>
      <w:lvlText w:val="o"/>
      <w:lvlJc w:val="left"/>
      <w:pPr>
        <w:tabs>
          <w:tab w:val="num" w:pos="5760"/>
        </w:tabs>
        <w:ind w:left="5760" w:hanging="360"/>
      </w:pPr>
      <w:rPr>
        <w:rFonts w:ascii="Courier New" w:hAnsi="Courier New" w:hint="default"/>
      </w:rPr>
    </w:lvl>
    <w:lvl w:ilvl="8" w:tplc="8FB8EA6E"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22874FBC"/>
    <w:multiLevelType w:val="hybridMultilevel"/>
    <w:tmpl w:val="774061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15:restartNumberingAfterBreak="0">
    <w:nsid w:val="22A376AB"/>
    <w:multiLevelType w:val="hybridMultilevel"/>
    <w:tmpl w:val="C0446D8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7" w15:restartNumberingAfterBreak="0">
    <w:nsid w:val="22C64798"/>
    <w:multiLevelType w:val="multilevel"/>
    <w:tmpl w:val="22C6479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38" w15:restartNumberingAfterBreak="0">
    <w:nsid w:val="23552FC8"/>
    <w:multiLevelType w:val="hybridMultilevel"/>
    <w:tmpl w:val="07A4809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9" w15:restartNumberingAfterBreak="0">
    <w:nsid w:val="237D273C"/>
    <w:multiLevelType w:val="hybridMultilevel"/>
    <w:tmpl w:val="AFE8DF84"/>
    <w:lvl w:ilvl="0" w:tplc="FFFFFFFF">
      <w:start w:val="1"/>
      <w:numFmt w:val="decimal"/>
      <w:lvlText w:val="%1."/>
      <w:lvlJc w:val="left"/>
      <w:pPr>
        <w:tabs>
          <w:tab w:val="num" w:pos="927"/>
        </w:tabs>
        <w:ind w:left="927" w:hanging="360"/>
      </w:pPr>
      <w:rPr>
        <w:rFonts w:hint="default"/>
        <w:b/>
        <w:bCs/>
      </w:rPr>
    </w:lvl>
    <w:lvl w:ilvl="1" w:tplc="FFFFFFFF">
      <w:start w:val="1"/>
      <w:numFmt w:val="bullet"/>
      <w:lvlText w:val=""/>
      <w:lvlJc w:val="left"/>
      <w:pPr>
        <w:tabs>
          <w:tab w:val="num" w:pos="1647"/>
        </w:tabs>
        <w:ind w:left="1647" w:hanging="360"/>
      </w:pPr>
      <w:rPr>
        <w:rFonts w:ascii="Symbol" w:hAnsi="Symbol" w:cs="Symbol" w:hint="default"/>
        <w:b/>
        <w:bCs/>
      </w:rPr>
    </w:lvl>
    <w:lvl w:ilvl="2" w:tplc="04020001">
      <w:start w:val="1"/>
      <w:numFmt w:val="bullet"/>
      <w:lvlText w:val=""/>
      <w:lvlJc w:val="left"/>
      <w:pPr>
        <w:tabs>
          <w:tab w:val="num" w:pos="2547"/>
        </w:tabs>
        <w:ind w:left="2547" w:hanging="360"/>
      </w:pPr>
      <w:rPr>
        <w:rFonts w:ascii="Symbol" w:hAnsi="Symbol" w:cs="Symbol" w:hint="default"/>
        <w:b/>
        <w:bCs/>
      </w:rPr>
    </w:lvl>
    <w:lvl w:ilvl="3" w:tplc="FFFFFFFF">
      <w:start w:val="1"/>
      <w:numFmt w:val="decimal"/>
      <w:lvlText w:val="%4."/>
      <w:lvlJc w:val="left"/>
      <w:pPr>
        <w:tabs>
          <w:tab w:val="num" w:pos="3087"/>
        </w:tabs>
        <w:ind w:left="3087" w:hanging="360"/>
      </w:pPr>
    </w:lvl>
    <w:lvl w:ilvl="4" w:tplc="FFFFFFFF">
      <w:start w:val="1"/>
      <w:numFmt w:val="lowerLetter"/>
      <w:lvlText w:val="%5."/>
      <w:lvlJc w:val="left"/>
      <w:pPr>
        <w:tabs>
          <w:tab w:val="num" w:pos="3807"/>
        </w:tabs>
        <w:ind w:left="3807" w:hanging="360"/>
      </w:pPr>
    </w:lvl>
    <w:lvl w:ilvl="5" w:tplc="FFFFFFFF">
      <w:start w:val="1"/>
      <w:numFmt w:val="lowerRoman"/>
      <w:lvlText w:val="%6."/>
      <w:lvlJc w:val="right"/>
      <w:pPr>
        <w:tabs>
          <w:tab w:val="num" w:pos="4527"/>
        </w:tabs>
        <w:ind w:left="4527" w:hanging="180"/>
      </w:pPr>
    </w:lvl>
    <w:lvl w:ilvl="6" w:tplc="FFFFFFFF">
      <w:start w:val="1"/>
      <w:numFmt w:val="decimal"/>
      <w:lvlText w:val="%7."/>
      <w:lvlJc w:val="left"/>
      <w:pPr>
        <w:tabs>
          <w:tab w:val="num" w:pos="5247"/>
        </w:tabs>
        <w:ind w:left="5247" w:hanging="360"/>
      </w:pPr>
    </w:lvl>
    <w:lvl w:ilvl="7" w:tplc="FFFFFFFF">
      <w:start w:val="1"/>
      <w:numFmt w:val="lowerLetter"/>
      <w:lvlText w:val="%8."/>
      <w:lvlJc w:val="left"/>
      <w:pPr>
        <w:tabs>
          <w:tab w:val="num" w:pos="5967"/>
        </w:tabs>
        <w:ind w:left="5967" w:hanging="360"/>
      </w:pPr>
    </w:lvl>
    <w:lvl w:ilvl="8" w:tplc="FFFFFFFF">
      <w:start w:val="1"/>
      <w:numFmt w:val="lowerRoman"/>
      <w:lvlText w:val="%9."/>
      <w:lvlJc w:val="right"/>
      <w:pPr>
        <w:tabs>
          <w:tab w:val="num" w:pos="6687"/>
        </w:tabs>
        <w:ind w:left="6687" w:hanging="180"/>
      </w:pPr>
    </w:lvl>
  </w:abstractNum>
  <w:abstractNum w:abstractNumId="140" w15:restartNumberingAfterBreak="0">
    <w:nsid w:val="243E0CAE"/>
    <w:multiLevelType w:val="hybridMultilevel"/>
    <w:tmpl w:val="35B8321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1" w15:restartNumberingAfterBreak="0">
    <w:nsid w:val="252F38CF"/>
    <w:multiLevelType w:val="hybridMultilevel"/>
    <w:tmpl w:val="AE301148"/>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720"/>
        </w:tabs>
        <w:ind w:left="72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2" w15:restartNumberingAfterBreak="0">
    <w:nsid w:val="25BF4FE7"/>
    <w:multiLevelType w:val="hybridMultilevel"/>
    <w:tmpl w:val="4CAE3BE0"/>
    <w:lvl w:ilvl="0" w:tplc="04020001">
      <w:start w:val="1"/>
      <w:numFmt w:val="bullet"/>
      <w:lvlText w:val=""/>
      <w:lvlJc w:val="left"/>
      <w:pPr>
        <w:ind w:left="720" w:hanging="360"/>
      </w:pPr>
      <w:rPr>
        <w:rFonts w:ascii="Symbol" w:hAnsi="Symbol" w:hint="default"/>
      </w:rPr>
    </w:lvl>
    <w:lvl w:ilvl="1" w:tplc="0402000B" w:tentative="1">
      <w:start w:val="1"/>
      <w:numFmt w:val="bullet"/>
      <w:lvlText w:val="o"/>
      <w:lvlJc w:val="left"/>
      <w:pPr>
        <w:ind w:left="1440" w:hanging="360"/>
      </w:pPr>
      <w:rPr>
        <w:rFonts w:ascii="Courier New" w:hAnsi="Courier New" w:hint="default"/>
      </w:rPr>
    </w:lvl>
    <w:lvl w:ilvl="2" w:tplc="4F9A1F72"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3" w15:restartNumberingAfterBreak="0">
    <w:nsid w:val="26096C16"/>
    <w:multiLevelType w:val="hybridMultilevel"/>
    <w:tmpl w:val="98A68AE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4" w15:restartNumberingAfterBreak="0">
    <w:nsid w:val="261A7D3A"/>
    <w:multiLevelType w:val="multilevel"/>
    <w:tmpl w:val="A1B4F8F2"/>
    <w:lvl w:ilvl="0">
      <w:start w:val="1"/>
      <w:numFmt w:val="upperRoman"/>
      <w:lvlText w:val="%1."/>
      <w:lvlJc w:val="left"/>
      <w:pPr>
        <w:ind w:left="1146" w:hanging="720"/>
      </w:pPr>
      <w:rPr>
        <w:rFonts w:hint="default"/>
        <w:color w:val="auto"/>
      </w:rPr>
    </w:lvl>
    <w:lvl w:ilvl="1">
      <w:start w:val="2"/>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5" w15:restartNumberingAfterBreak="0">
    <w:nsid w:val="26373CAB"/>
    <w:multiLevelType w:val="hybridMultilevel"/>
    <w:tmpl w:val="405C6204"/>
    <w:lvl w:ilvl="0" w:tplc="F59E660C">
      <w:start w:val="1"/>
      <w:numFmt w:val="bullet"/>
      <w:lvlText w:val=""/>
      <w:lvlJc w:val="left"/>
      <w:pPr>
        <w:ind w:left="720" w:hanging="360"/>
      </w:pPr>
      <w:rPr>
        <w:rFonts w:ascii="Symbol" w:hAnsi="Symbol" w:hint="default"/>
      </w:rPr>
    </w:lvl>
    <w:lvl w:ilvl="1" w:tplc="7A22C93C" w:tentative="1">
      <w:start w:val="1"/>
      <w:numFmt w:val="bullet"/>
      <w:lvlText w:val="o"/>
      <w:lvlJc w:val="left"/>
      <w:pPr>
        <w:ind w:left="1440" w:hanging="360"/>
      </w:pPr>
      <w:rPr>
        <w:rFonts w:ascii="Courier New" w:hAnsi="Courier New" w:cs="Courier New" w:hint="default"/>
      </w:rPr>
    </w:lvl>
    <w:lvl w:ilvl="2" w:tplc="8FCCFB72" w:tentative="1">
      <w:start w:val="1"/>
      <w:numFmt w:val="bullet"/>
      <w:lvlText w:val=""/>
      <w:lvlJc w:val="left"/>
      <w:pPr>
        <w:ind w:left="2160" w:hanging="360"/>
      </w:pPr>
      <w:rPr>
        <w:rFonts w:ascii="Wingdings" w:hAnsi="Wingdings" w:hint="default"/>
      </w:rPr>
    </w:lvl>
    <w:lvl w:ilvl="3" w:tplc="0DF4BC2A" w:tentative="1">
      <w:start w:val="1"/>
      <w:numFmt w:val="bullet"/>
      <w:lvlText w:val=""/>
      <w:lvlJc w:val="left"/>
      <w:pPr>
        <w:ind w:left="2880" w:hanging="360"/>
      </w:pPr>
      <w:rPr>
        <w:rFonts w:ascii="Symbol" w:hAnsi="Symbol" w:hint="default"/>
      </w:rPr>
    </w:lvl>
    <w:lvl w:ilvl="4" w:tplc="1BA25F74" w:tentative="1">
      <w:start w:val="1"/>
      <w:numFmt w:val="bullet"/>
      <w:lvlText w:val="o"/>
      <w:lvlJc w:val="left"/>
      <w:pPr>
        <w:ind w:left="3600" w:hanging="360"/>
      </w:pPr>
      <w:rPr>
        <w:rFonts w:ascii="Courier New" w:hAnsi="Courier New" w:cs="Courier New" w:hint="default"/>
      </w:rPr>
    </w:lvl>
    <w:lvl w:ilvl="5" w:tplc="7F20870A" w:tentative="1">
      <w:start w:val="1"/>
      <w:numFmt w:val="bullet"/>
      <w:lvlText w:val=""/>
      <w:lvlJc w:val="left"/>
      <w:pPr>
        <w:ind w:left="4320" w:hanging="360"/>
      </w:pPr>
      <w:rPr>
        <w:rFonts w:ascii="Wingdings" w:hAnsi="Wingdings" w:hint="default"/>
      </w:rPr>
    </w:lvl>
    <w:lvl w:ilvl="6" w:tplc="1AF6A4C6" w:tentative="1">
      <w:start w:val="1"/>
      <w:numFmt w:val="bullet"/>
      <w:lvlText w:val=""/>
      <w:lvlJc w:val="left"/>
      <w:pPr>
        <w:ind w:left="5040" w:hanging="360"/>
      </w:pPr>
      <w:rPr>
        <w:rFonts w:ascii="Symbol" w:hAnsi="Symbol" w:hint="default"/>
      </w:rPr>
    </w:lvl>
    <w:lvl w:ilvl="7" w:tplc="B09E0BA2" w:tentative="1">
      <w:start w:val="1"/>
      <w:numFmt w:val="bullet"/>
      <w:lvlText w:val="o"/>
      <w:lvlJc w:val="left"/>
      <w:pPr>
        <w:ind w:left="5760" w:hanging="360"/>
      </w:pPr>
      <w:rPr>
        <w:rFonts w:ascii="Courier New" w:hAnsi="Courier New" w:cs="Courier New" w:hint="default"/>
      </w:rPr>
    </w:lvl>
    <w:lvl w:ilvl="8" w:tplc="8E12D914" w:tentative="1">
      <w:start w:val="1"/>
      <w:numFmt w:val="bullet"/>
      <w:lvlText w:val=""/>
      <w:lvlJc w:val="left"/>
      <w:pPr>
        <w:ind w:left="6480" w:hanging="360"/>
      </w:pPr>
      <w:rPr>
        <w:rFonts w:ascii="Wingdings" w:hAnsi="Wingdings" w:hint="default"/>
      </w:rPr>
    </w:lvl>
  </w:abstractNum>
  <w:abstractNum w:abstractNumId="146" w15:restartNumberingAfterBreak="0">
    <w:nsid w:val="26745C33"/>
    <w:multiLevelType w:val="hybridMultilevel"/>
    <w:tmpl w:val="C7B8681A"/>
    <w:lvl w:ilvl="0" w:tplc="04090001">
      <w:start w:val="1"/>
      <w:numFmt w:val="decimal"/>
      <w:lvlText w:val="%1."/>
      <w:lvlJc w:val="left"/>
      <w:pPr>
        <w:ind w:left="0" w:hanging="360"/>
      </w:pPr>
      <w:rPr>
        <w:rFont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47" w15:restartNumberingAfterBreak="0">
    <w:nsid w:val="26F965B6"/>
    <w:multiLevelType w:val="hybridMultilevel"/>
    <w:tmpl w:val="01DCACFA"/>
    <w:lvl w:ilvl="0" w:tplc="04020001">
      <w:start w:val="1"/>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8" w15:restartNumberingAfterBreak="0">
    <w:nsid w:val="27D540B7"/>
    <w:multiLevelType w:val="hybridMultilevel"/>
    <w:tmpl w:val="B8ECDD1A"/>
    <w:lvl w:ilvl="0" w:tplc="007E5834">
      <w:start w:val="1"/>
      <w:numFmt w:val="bullet"/>
      <w:lvlText w:val=""/>
      <w:lvlJc w:val="left"/>
      <w:pPr>
        <w:ind w:left="720" w:hanging="360"/>
      </w:pPr>
      <w:rPr>
        <w:rFonts w:ascii="Symbol" w:hAnsi="Symbol" w:hint="default"/>
      </w:rPr>
    </w:lvl>
    <w:lvl w:ilvl="1" w:tplc="297CBDB0" w:tentative="1">
      <w:start w:val="1"/>
      <w:numFmt w:val="bullet"/>
      <w:lvlText w:val="o"/>
      <w:lvlJc w:val="left"/>
      <w:pPr>
        <w:ind w:left="1440" w:hanging="360"/>
      </w:pPr>
      <w:rPr>
        <w:rFonts w:ascii="Courier New" w:hAnsi="Courier New" w:cs="Courier New" w:hint="default"/>
      </w:rPr>
    </w:lvl>
    <w:lvl w:ilvl="2" w:tplc="9DE4E312" w:tentative="1">
      <w:start w:val="1"/>
      <w:numFmt w:val="bullet"/>
      <w:lvlText w:val=""/>
      <w:lvlJc w:val="left"/>
      <w:pPr>
        <w:ind w:left="2160" w:hanging="360"/>
      </w:pPr>
      <w:rPr>
        <w:rFonts w:ascii="Wingdings" w:hAnsi="Wingdings" w:hint="default"/>
      </w:rPr>
    </w:lvl>
    <w:lvl w:ilvl="3" w:tplc="CF2659E4" w:tentative="1">
      <w:start w:val="1"/>
      <w:numFmt w:val="bullet"/>
      <w:lvlText w:val=""/>
      <w:lvlJc w:val="left"/>
      <w:pPr>
        <w:ind w:left="2880" w:hanging="360"/>
      </w:pPr>
      <w:rPr>
        <w:rFonts w:ascii="Symbol" w:hAnsi="Symbol" w:hint="default"/>
      </w:rPr>
    </w:lvl>
    <w:lvl w:ilvl="4" w:tplc="EAE4AB96" w:tentative="1">
      <w:start w:val="1"/>
      <w:numFmt w:val="bullet"/>
      <w:lvlText w:val="o"/>
      <w:lvlJc w:val="left"/>
      <w:pPr>
        <w:ind w:left="3600" w:hanging="360"/>
      </w:pPr>
      <w:rPr>
        <w:rFonts w:ascii="Courier New" w:hAnsi="Courier New" w:cs="Courier New" w:hint="default"/>
      </w:rPr>
    </w:lvl>
    <w:lvl w:ilvl="5" w:tplc="48E4A5EE" w:tentative="1">
      <w:start w:val="1"/>
      <w:numFmt w:val="bullet"/>
      <w:lvlText w:val=""/>
      <w:lvlJc w:val="left"/>
      <w:pPr>
        <w:ind w:left="4320" w:hanging="360"/>
      </w:pPr>
      <w:rPr>
        <w:rFonts w:ascii="Wingdings" w:hAnsi="Wingdings" w:hint="default"/>
      </w:rPr>
    </w:lvl>
    <w:lvl w:ilvl="6" w:tplc="1728B81C" w:tentative="1">
      <w:start w:val="1"/>
      <w:numFmt w:val="bullet"/>
      <w:lvlText w:val=""/>
      <w:lvlJc w:val="left"/>
      <w:pPr>
        <w:ind w:left="5040" w:hanging="360"/>
      </w:pPr>
      <w:rPr>
        <w:rFonts w:ascii="Symbol" w:hAnsi="Symbol" w:hint="default"/>
      </w:rPr>
    </w:lvl>
    <w:lvl w:ilvl="7" w:tplc="8FC01A72" w:tentative="1">
      <w:start w:val="1"/>
      <w:numFmt w:val="bullet"/>
      <w:lvlText w:val="o"/>
      <w:lvlJc w:val="left"/>
      <w:pPr>
        <w:ind w:left="5760" w:hanging="360"/>
      </w:pPr>
      <w:rPr>
        <w:rFonts w:ascii="Courier New" w:hAnsi="Courier New" w:cs="Courier New" w:hint="default"/>
      </w:rPr>
    </w:lvl>
    <w:lvl w:ilvl="8" w:tplc="D6F86046" w:tentative="1">
      <w:start w:val="1"/>
      <w:numFmt w:val="bullet"/>
      <w:lvlText w:val=""/>
      <w:lvlJc w:val="left"/>
      <w:pPr>
        <w:ind w:left="6480" w:hanging="360"/>
      </w:pPr>
      <w:rPr>
        <w:rFonts w:ascii="Wingdings" w:hAnsi="Wingdings" w:hint="default"/>
      </w:rPr>
    </w:lvl>
  </w:abstractNum>
  <w:abstractNum w:abstractNumId="149" w15:restartNumberingAfterBreak="0">
    <w:nsid w:val="28434BD4"/>
    <w:multiLevelType w:val="hybridMultilevel"/>
    <w:tmpl w:val="825EC92A"/>
    <w:lvl w:ilvl="0" w:tplc="FBFEE3CA">
      <w:start w:val="1"/>
      <w:numFmt w:val="bullet"/>
      <w:lvlText w:val=""/>
      <w:lvlJc w:val="left"/>
      <w:pPr>
        <w:ind w:left="720" w:hanging="360"/>
      </w:pPr>
      <w:rPr>
        <w:rFonts w:ascii="Symbol" w:hAnsi="Symbol" w:hint="default"/>
      </w:rPr>
    </w:lvl>
    <w:lvl w:ilvl="1" w:tplc="72F47274" w:tentative="1">
      <w:start w:val="1"/>
      <w:numFmt w:val="bullet"/>
      <w:lvlText w:val="o"/>
      <w:lvlJc w:val="left"/>
      <w:pPr>
        <w:ind w:left="1440" w:hanging="360"/>
      </w:pPr>
      <w:rPr>
        <w:rFonts w:ascii="Courier New" w:hAnsi="Courier New" w:cs="Courier New" w:hint="default"/>
      </w:rPr>
    </w:lvl>
    <w:lvl w:ilvl="2" w:tplc="6B2E3F48" w:tentative="1">
      <w:start w:val="1"/>
      <w:numFmt w:val="bullet"/>
      <w:lvlText w:val=""/>
      <w:lvlJc w:val="left"/>
      <w:pPr>
        <w:ind w:left="2160" w:hanging="360"/>
      </w:pPr>
      <w:rPr>
        <w:rFonts w:ascii="Wingdings" w:hAnsi="Wingdings" w:hint="default"/>
      </w:rPr>
    </w:lvl>
    <w:lvl w:ilvl="3" w:tplc="381AB8E2" w:tentative="1">
      <w:start w:val="1"/>
      <w:numFmt w:val="bullet"/>
      <w:lvlText w:val=""/>
      <w:lvlJc w:val="left"/>
      <w:pPr>
        <w:ind w:left="2880" w:hanging="360"/>
      </w:pPr>
      <w:rPr>
        <w:rFonts w:ascii="Symbol" w:hAnsi="Symbol" w:hint="default"/>
      </w:rPr>
    </w:lvl>
    <w:lvl w:ilvl="4" w:tplc="420AFA68" w:tentative="1">
      <w:start w:val="1"/>
      <w:numFmt w:val="bullet"/>
      <w:lvlText w:val="o"/>
      <w:lvlJc w:val="left"/>
      <w:pPr>
        <w:ind w:left="3600" w:hanging="360"/>
      </w:pPr>
      <w:rPr>
        <w:rFonts w:ascii="Courier New" w:hAnsi="Courier New" w:cs="Courier New" w:hint="default"/>
      </w:rPr>
    </w:lvl>
    <w:lvl w:ilvl="5" w:tplc="149A97F0" w:tentative="1">
      <w:start w:val="1"/>
      <w:numFmt w:val="bullet"/>
      <w:lvlText w:val=""/>
      <w:lvlJc w:val="left"/>
      <w:pPr>
        <w:ind w:left="4320" w:hanging="360"/>
      </w:pPr>
      <w:rPr>
        <w:rFonts w:ascii="Wingdings" w:hAnsi="Wingdings" w:hint="default"/>
      </w:rPr>
    </w:lvl>
    <w:lvl w:ilvl="6" w:tplc="581C9684" w:tentative="1">
      <w:start w:val="1"/>
      <w:numFmt w:val="bullet"/>
      <w:lvlText w:val=""/>
      <w:lvlJc w:val="left"/>
      <w:pPr>
        <w:ind w:left="5040" w:hanging="360"/>
      </w:pPr>
      <w:rPr>
        <w:rFonts w:ascii="Symbol" w:hAnsi="Symbol" w:hint="default"/>
      </w:rPr>
    </w:lvl>
    <w:lvl w:ilvl="7" w:tplc="F0EC1BEE" w:tentative="1">
      <w:start w:val="1"/>
      <w:numFmt w:val="bullet"/>
      <w:lvlText w:val="o"/>
      <w:lvlJc w:val="left"/>
      <w:pPr>
        <w:ind w:left="5760" w:hanging="360"/>
      </w:pPr>
      <w:rPr>
        <w:rFonts w:ascii="Courier New" w:hAnsi="Courier New" w:cs="Courier New" w:hint="default"/>
      </w:rPr>
    </w:lvl>
    <w:lvl w:ilvl="8" w:tplc="F02A17E6" w:tentative="1">
      <w:start w:val="1"/>
      <w:numFmt w:val="bullet"/>
      <w:lvlText w:val=""/>
      <w:lvlJc w:val="left"/>
      <w:pPr>
        <w:ind w:left="6480" w:hanging="360"/>
      </w:pPr>
      <w:rPr>
        <w:rFonts w:ascii="Wingdings" w:hAnsi="Wingdings" w:hint="default"/>
      </w:rPr>
    </w:lvl>
  </w:abstractNum>
  <w:abstractNum w:abstractNumId="150" w15:restartNumberingAfterBreak="0">
    <w:nsid w:val="28450F35"/>
    <w:multiLevelType w:val="hybridMultilevel"/>
    <w:tmpl w:val="5380BFB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1" w15:restartNumberingAfterBreak="0">
    <w:nsid w:val="28697025"/>
    <w:multiLevelType w:val="hybridMultilevel"/>
    <w:tmpl w:val="268E87DC"/>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152" w15:restartNumberingAfterBreak="0">
    <w:nsid w:val="286C69D4"/>
    <w:multiLevelType w:val="hybridMultilevel"/>
    <w:tmpl w:val="80DC2094"/>
    <w:lvl w:ilvl="0" w:tplc="04020013">
      <w:start w:val="108"/>
      <w:numFmt w:val="bullet"/>
      <w:lvlText w:val="–"/>
      <w:lvlJc w:val="left"/>
      <w:pPr>
        <w:ind w:left="720" w:hanging="360"/>
      </w:pPr>
      <w:rPr>
        <w:rFonts w:ascii="Times New Roman" w:hAnsi="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3" w15:restartNumberingAfterBreak="0">
    <w:nsid w:val="29211044"/>
    <w:multiLevelType w:val="multilevel"/>
    <w:tmpl w:val="29211044"/>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154" w15:restartNumberingAfterBreak="0">
    <w:nsid w:val="296B177D"/>
    <w:multiLevelType w:val="hybridMultilevel"/>
    <w:tmpl w:val="7696D63C"/>
    <w:lvl w:ilvl="0" w:tplc="55529A5E">
      <w:start w:val="1"/>
      <w:numFmt w:val="bullet"/>
      <w:lvlText w:val="-"/>
      <w:lvlJc w:val="left"/>
      <w:pPr>
        <w:tabs>
          <w:tab w:val="num" w:pos="720"/>
        </w:tabs>
        <w:ind w:left="720" w:hanging="360"/>
      </w:pPr>
      <w:rPr>
        <w:rFonts w:ascii="Times New Roman" w:hAnsi="Times New Roman" w:hint="default"/>
      </w:rPr>
    </w:lvl>
    <w:lvl w:ilvl="1" w:tplc="724C40A8" w:tentative="1">
      <w:start w:val="1"/>
      <w:numFmt w:val="bullet"/>
      <w:lvlText w:val="-"/>
      <w:lvlJc w:val="left"/>
      <w:pPr>
        <w:tabs>
          <w:tab w:val="num" w:pos="1440"/>
        </w:tabs>
        <w:ind w:left="1440" w:hanging="360"/>
      </w:pPr>
      <w:rPr>
        <w:rFonts w:ascii="Times New Roman" w:hAnsi="Times New Roman" w:hint="default"/>
      </w:rPr>
    </w:lvl>
    <w:lvl w:ilvl="2" w:tplc="DF6E0314" w:tentative="1">
      <w:start w:val="1"/>
      <w:numFmt w:val="bullet"/>
      <w:lvlText w:val="-"/>
      <w:lvlJc w:val="left"/>
      <w:pPr>
        <w:tabs>
          <w:tab w:val="num" w:pos="2160"/>
        </w:tabs>
        <w:ind w:left="2160" w:hanging="360"/>
      </w:pPr>
      <w:rPr>
        <w:rFonts w:ascii="Times New Roman" w:hAnsi="Times New Roman" w:hint="default"/>
      </w:rPr>
    </w:lvl>
    <w:lvl w:ilvl="3" w:tplc="72CC7BCE" w:tentative="1">
      <w:start w:val="1"/>
      <w:numFmt w:val="bullet"/>
      <w:lvlText w:val="-"/>
      <w:lvlJc w:val="left"/>
      <w:pPr>
        <w:tabs>
          <w:tab w:val="num" w:pos="2880"/>
        </w:tabs>
        <w:ind w:left="2880" w:hanging="360"/>
      </w:pPr>
      <w:rPr>
        <w:rFonts w:ascii="Times New Roman" w:hAnsi="Times New Roman" w:hint="default"/>
      </w:rPr>
    </w:lvl>
    <w:lvl w:ilvl="4" w:tplc="269EE630" w:tentative="1">
      <w:start w:val="1"/>
      <w:numFmt w:val="bullet"/>
      <w:lvlText w:val="-"/>
      <w:lvlJc w:val="left"/>
      <w:pPr>
        <w:tabs>
          <w:tab w:val="num" w:pos="3600"/>
        </w:tabs>
        <w:ind w:left="3600" w:hanging="360"/>
      </w:pPr>
      <w:rPr>
        <w:rFonts w:ascii="Times New Roman" w:hAnsi="Times New Roman" w:hint="default"/>
      </w:rPr>
    </w:lvl>
    <w:lvl w:ilvl="5" w:tplc="690C7FD6" w:tentative="1">
      <w:start w:val="1"/>
      <w:numFmt w:val="bullet"/>
      <w:lvlText w:val="-"/>
      <w:lvlJc w:val="left"/>
      <w:pPr>
        <w:tabs>
          <w:tab w:val="num" w:pos="4320"/>
        </w:tabs>
        <w:ind w:left="4320" w:hanging="360"/>
      </w:pPr>
      <w:rPr>
        <w:rFonts w:ascii="Times New Roman" w:hAnsi="Times New Roman" w:hint="default"/>
      </w:rPr>
    </w:lvl>
    <w:lvl w:ilvl="6" w:tplc="9D66D622" w:tentative="1">
      <w:start w:val="1"/>
      <w:numFmt w:val="bullet"/>
      <w:lvlText w:val="-"/>
      <w:lvlJc w:val="left"/>
      <w:pPr>
        <w:tabs>
          <w:tab w:val="num" w:pos="5040"/>
        </w:tabs>
        <w:ind w:left="5040" w:hanging="360"/>
      </w:pPr>
      <w:rPr>
        <w:rFonts w:ascii="Times New Roman" w:hAnsi="Times New Roman" w:hint="default"/>
      </w:rPr>
    </w:lvl>
    <w:lvl w:ilvl="7" w:tplc="84BCC94C" w:tentative="1">
      <w:start w:val="1"/>
      <w:numFmt w:val="bullet"/>
      <w:lvlText w:val="-"/>
      <w:lvlJc w:val="left"/>
      <w:pPr>
        <w:tabs>
          <w:tab w:val="num" w:pos="5760"/>
        </w:tabs>
        <w:ind w:left="5760" w:hanging="360"/>
      </w:pPr>
      <w:rPr>
        <w:rFonts w:ascii="Times New Roman" w:hAnsi="Times New Roman" w:hint="default"/>
      </w:rPr>
    </w:lvl>
    <w:lvl w:ilvl="8" w:tplc="E9D4FCEE" w:tentative="1">
      <w:start w:val="1"/>
      <w:numFmt w:val="bullet"/>
      <w:lvlText w:val="-"/>
      <w:lvlJc w:val="left"/>
      <w:pPr>
        <w:tabs>
          <w:tab w:val="num" w:pos="6480"/>
        </w:tabs>
        <w:ind w:left="6480" w:hanging="360"/>
      </w:pPr>
      <w:rPr>
        <w:rFonts w:ascii="Times New Roman" w:hAnsi="Times New Roman" w:hint="default"/>
      </w:rPr>
    </w:lvl>
  </w:abstractNum>
  <w:abstractNum w:abstractNumId="155" w15:restartNumberingAfterBreak="0">
    <w:nsid w:val="2B4D6672"/>
    <w:multiLevelType w:val="hybridMultilevel"/>
    <w:tmpl w:val="C3F6442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56" w15:restartNumberingAfterBreak="0">
    <w:nsid w:val="2BDD66D4"/>
    <w:multiLevelType w:val="hybridMultilevel"/>
    <w:tmpl w:val="2DD0E75E"/>
    <w:lvl w:ilvl="0" w:tplc="1340D006">
      <w:start w:val="1"/>
      <w:numFmt w:val="decimal"/>
      <w:lvlText w:val="%1."/>
      <w:lvlJc w:val="left"/>
      <w:pPr>
        <w:ind w:left="720" w:hanging="360"/>
      </w:pPr>
      <w:rPr>
        <w:rFonts w:ascii="Arial" w:eastAsiaTheme="minorHAnsi" w:hAnsi="Arial" w:cs="Arial"/>
      </w:rPr>
    </w:lvl>
    <w:lvl w:ilvl="1" w:tplc="0402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7" w15:restartNumberingAfterBreak="0">
    <w:nsid w:val="2C1C5681"/>
    <w:multiLevelType w:val="hybridMultilevel"/>
    <w:tmpl w:val="9AD8E19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8" w15:restartNumberingAfterBreak="0">
    <w:nsid w:val="2C894BD6"/>
    <w:multiLevelType w:val="hybridMultilevel"/>
    <w:tmpl w:val="D36C923A"/>
    <w:lvl w:ilvl="0" w:tplc="04020001">
      <w:start w:val="1"/>
      <w:numFmt w:val="decimal"/>
      <w:lvlText w:val="%1."/>
      <w:lvlJc w:val="left"/>
      <w:pPr>
        <w:ind w:left="1785" w:hanging="1425"/>
      </w:pPr>
      <w:rPr>
        <w:rFonts w:cs="Times New Roman" w:hint="default"/>
      </w:rPr>
    </w:lvl>
    <w:lvl w:ilvl="1" w:tplc="04020003" w:tentative="1">
      <w:start w:val="1"/>
      <w:numFmt w:val="lowerLetter"/>
      <w:lvlText w:val="%2."/>
      <w:lvlJc w:val="left"/>
      <w:pPr>
        <w:ind w:left="1440" w:hanging="360"/>
      </w:pPr>
      <w:rPr>
        <w:rFonts w:cs="Times New Roman"/>
      </w:rPr>
    </w:lvl>
    <w:lvl w:ilvl="2" w:tplc="04020005" w:tentative="1">
      <w:start w:val="1"/>
      <w:numFmt w:val="lowerRoman"/>
      <w:lvlText w:val="%3."/>
      <w:lvlJc w:val="right"/>
      <w:pPr>
        <w:ind w:left="2160" w:hanging="180"/>
      </w:pPr>
      <w:rPr>
        <w:rFonts w:cs="Times New Roman"/>
      </w:rPr>
    </w:lvl>
    <w:lvl w:ilvl="3" w:tplc="04020001" w:tentative="1">
      <w:start w:val="1"/>
      <w:numFmt w:val="decimal"/>
      <w:lvlText w:val="%4."/>
      <w:lvlJc w:val="left"/>
      <w:pPr>
        <w:ind w:left="2880" w:hanging="360"/>
      </w:pPr>
      <w:rPr>
        <w:rFonts w:cs="Times New Roman"/>
      </w:rPr>
    </w:lvl>
    <w:lvl w:ilvl="4" w:tplc="04020003" w:tentative="1">
      <w:start w:val="1"/>
      <w:numFmt w:val="lowerLetter"/>
      <w:lvlText w:val="%5."/>
      <w:lvlJc w:val="left"/>
      <w:pPr>
        <w:ind w:left="3600" w:hanging="360"/>
      </w:pPr>
      <w:rPr>
        <w:rFonts w:cs="Times New Roman"/>
      </w:rPr>
    </w:lvl>
    <w:lvl w:ilvl="5" w:tplc="04020005" w:tentative="1">
      <w:start w:val="1"/>
      <w:numFmt w:val="lowerRoman"/>
      <w:lvlText w:val="%6."/>
      <w:lvlJc w:val="right"/>
      <w:pPr>
        <w:ind w:left="4320" w:hanging="180"/>
      </w:pPr>
      <w:rPr>
        <w:rFonts w:cs="Times New Roman"/>
      </w:rPr>
    </w:lvl>
    <w:lvl w:ilvl="6" w:tplc="04020001" w:tentative="1">
      <w:start w:val="1"/>
      <w:numFmt w:val="decimal"/>
      <w:lvlText w:val="%7."/>
      <w:lvlJc w:val="left"/>
      <w:pPr>
        <w:ind w:left="5040" w:hanging="360"/>
      </w:pPr>
      <w:rPr>
        <w:rFonts w:cs="Times New Roman"/>
      </w:rPr>
    </w:lvl>
    <w:lvl w:ilvl="7" w:tplc="04020003" w:tentative="1">
      <w:start w:val="1"/>
      <w:numFmt w:val="lowerLetter"/>
      <w:lvlText w:val="%8."/>
      <w:lvlJc w:val="left"/>
      <w:pPr>
        <w:ind w:left="5760" w:hanging="360"/>
      </w:pPr>
      <w:rPr>
        <w:rFonts w:cs="Times New Roman"/>
      </w:rPr>
    </w:lvl>
    <w:lvl w:ilvl="8" w:tplc="04020005" w:tentative="1">
      <w:start w:val="1"/>
      <w:numFmt w:val="lowerRoman"/>
      <w:lvlText w:val="%9."/>
      <w:lvlJc w:val="right"/>
      <w:pPr>
        <w:ind w:left="6480" w:hanging="180"/>
      </w:pPr>
      <w:rPr>
        <w:rFonts w:cs="Times New Roman"/>
      </w:rPr>
    </w:lvl>
  </w:abstractNum>
  <w:abstractNum w:abstractNumId="159" w15:restartNumberingAfterBreak="0">
    <w:nsid w:val="2CA20BE0"/>
    <w:multiLevelType w:val="hybridMultilevel"/>
    <w:tmpl w:val="6162539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0" w15:restartNumberingAfterBreak="0">
    <w:nsid w:val="2D0F4C30"/>
    <w:multiLevelType w:val="hybridMultilevel"/>
    <w:tmpl w:val="92822BB0"/>
    <w:lvl w:ilvl="0" w:tplc="FFFFFFFF">
      <w:start w:val="1"/>
      <w:numFmt w:val="decimal"/>
      <w:lvlText w:val="%1."/>
      <w:lvlJc w:val="left"/>
      <w:pPr>
        <w:tabs>
          <w:tab w:val="num" w:pos="1392"/>
        </w:tabs>
        <w:ind w:left="1392" w:hanging="825"/>
      </w:pPr>
      <w:rPr>
        <w:rFonts w:hint="default"/>
        <w:b/>
        <w:bCs/>
      </w:rPr>
    </w:lvl>
    <w:lvl w:ilvl="1" w:tplc="FFFFFFFF">
      <w:start w:val="1"/>
      <w:numFmt w:val="bullet"/>
      <w:lvlText w:val=""/>
      <w:lvlJc w:val="left"/>
      <w:pPr>
        <w:tabs>
          <w:tab w:val="num" w:pos="1647"/>
        </w:tabs>
        <w:ind w:left="1647" w:hanging="360"/>
      </w:pPr>
      <w:rPr>
        <w:rFonts w:ascii="Symbol" w:hAnsi="Symbol" w:cs="Symbol" w:hint="default"/>
        <w:b/>
        <w:bCs/>
      </w:rPr>
    </w:lvl>
    <w:lvl w:ilvl="2" w:tplc="04020001">
      <w:start w:val="1"/>
      <w:numFmt w:val="bullet"/>
      <w:lvlText w:val=""/>
      <w:lvlJc w:val="left"/>
      <w:pPr>
        <w:tabs>
          <w:tab w:val="num" w:pos="2547"/>
        </w:tabs>
        <w:ind w:left="2547" w:hanging="360"/>
      </w:pPr>
      <w:rPr>
        <w:rFonts w:ascii="Symbol" w:hAnsi="Symbol" w:cs="Symbol" w:hint="default"/>
        <w:b/>
        <w:bCs/>
      </w:rPr>
    </w:lvl>
    <w:lvl w:ilvl="3" w:tplc="FFFFFFFF">
      <w:start w:val="1"/>
      <w:numFmt w:val="decimal"/>
      <w:lvlText w:val="%4."/>
      <w:lvlJc w:val="left"/>
      <w:pPr>
        <w:tabs>
          <w:tab w:val="num" w:pos="3087"/>
        </w:tabs>
        <w:ind w:left="3087" w:hanging="360"/>
      </w:pPr>
    </w:lvl>
    <w:lvl w:ilvl="4" w:tplc="FFFFFFFF">
      <w:start w:val="1"/>
      <w:numFmt w:val="lowerLetter"/>
      <w:lvlText w:val="%5."/>
      <w:lvlJc w:val="left"/>
      <w:pPr>
        <w:tabs>
          <w:tab w:val="num" w:pos="3807"/>
        </w:tabs>
        <w:ind w:left="3807" w:hanging="360"/>
      </w:pPr>
    </w:lvl>
    <w:lvl w:ilvl="5" w:tplc="FFFFFFFF">
      <w:start w:val="1"/>
      <w:numFmt w:val="lowerRoman"/>
      <w:lvlText w:val="%6."/>
      <w:lvlJc w:val="right"/>
      <w:pPr>
        <w:tabs>
          <w:tab w:val="num" w:pos="4527"/>
        </w:tabs>
        <w:ind w:left="4527" w:hanging="180"/>
      </w:pPr>
    </w:lvl>
    <w:lvl w:ilvl="6" w:tplc="FFFFFFFF">
      <w:start w:val="1"/>
      <w:numFmt w:val="decimal"/>
      <w:lvlText w:val="%7."/>
      <w:lvlJc w:val="left"/>
      <w:pPr>
        <w:tabs>
          <w:tab w:val="num" w:pos="5247"/>
        </w:tabs>
        <w:ind w:left="5247" w:hanging="360"/>
      </w:pPr>
    </w:lvl>
    <w:lvl w:ilvl="7" w:tplc="FFFFFFFF">
      <w:start w:val="1"/>
      <w:numFmt w:val="lowerLetter"/>
      <w:lvlText w:val="%8."/>
      <w:lvlJc w:val="left"/>
      <w:pPr>
        <w:tabs>
          <w:tab w:val="num" w:pos="5967"/>
        </w:tabs>
        <w:ind w:left="5967" w:hanging="360"/>
      </w:pPr>
    </w:lvl>
    <w:lvl w:ilvl="8" w:tplc="FFFFFFFF">
      <w:start w:val="1"/>
      <w:numFmt w:val="lowerRoman"/>
      <w:lvlText w:val="%9."/>
      <w:lvlJc w:val="right"/>
      <w:pPr>
        <w:tabs>
          <w:tab w:val="num" w:pos="6687"/>
        </w:tabs>
        <w:ind w:left="6687" w:hanging="180"/>
      </w:pPr>
    </w:lvl>
  </w:abstractNum>
  <w:abstractNum w:abstractNumId="161" w15:restartNumberingAfterBreak="0">
    <w:nsid w:val="2D2D5B5E"/>
    <w:multiLevelType w:val="hybridMultilevel"/>
    <w:tmpl w:val="C6648DB4"/>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62" w15:restartNumberingAfterBreak="0">
    <w:nsid w:val="2D913E13"/>
    <w:multiLevelType w:val="multilevel"/>
    <w:tmpl w:val="56DEE4F0"/>
    <w:lvl w:ilvl="0">
      <w:start w:val="1"/>
      <w:numFmt w:val="bullet"/>
      <w:lvlText w:val=""/>
      <w:lvlJc w:val="left"/>
      <w:pPr>
        <w:tabs>
          <w:tab w:val="num" w:pos="0"/>
        </w:tabs>
        <w:ind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63" w15:restartNumberingAfterBreak="0">
    <w:nsid w:val="2E34321E"/>
    <w:multiLevelType w:val="hybridMultilevel"/>
    <w:tmpl w:val="EE9EC62A"/>
    <w:lvl w:ilvl="0" w:tplc="69E63110">
      <w:start w:val="1"/>
      <w:numFmt w:val="bullet"/>
      <w:lvlText w:val=""/>
      <w:lvlJc w:val="left"/>
      <w:pPr>
        <w:ind w:left="720" w:hanging="360"/>
      </w:pPr>
      <w:rPr>
        <w:rFonts w:ascii="Symbol" w:hAnsi="Symbol" w:hint="default"/>
      </w:rPr>
    </w:lvl>
    <w:lvl w:ilvl="1" w:tplc="9AF096F8">
      <w:start w:val="16"/>
      <w:numFmt w:val="bullet"/>
      <w:lvlText w:val="-"/>
      <w:lvlJc w:val="left"/>
      <w:pPr>
        <w:ind w:left="1440" w:hanging="360"/>
      </w:pPr>
      <w:rPr>
        <w:rFonts w:ascii="Times New Roman" w:eastAsia="Times New Roman" w:hAnsi="Times New Roman" w:hint="default"/>
      </w:rPr>
    </w:lvl>
    <w:lvl w:ilvl="2" w:tplc="2AB860CC">
      <w:start w:val="1"/>
      <w:numFmt w:val="bullet"/>
      <w:lvlText w:val=""/>
      <w:lvlJc w:val="left"/>
      <w:pPr>
        <w:ind w:left="2160" w:hanging="360"/>
      </w:pPr>
      <w:rPr>
        <w:rFonts w:ascii="Wingdings" w:hAnsi="Wingdings" w:hint="default"/>
      </w:rPr>
    </w:lvl>
    <w:lvl w:ilvl="3" w:tplc="EFBCABA2">
      <w:start w:val="1"/>
      <w:numFmt w:val="bullet"/>
      <w:lvlText w:val=""/>
      <w:lvlJc w:val="left"/>
      <w:pPr>
        <w:ind w:left="2880" w:hanging="360"/>
      </w:pPr>
      <w:rPr>
        <w:rFonts w:ascii="Symbol" w:hAnsi="Symbol" w:hint="default"/>
      </w:rPr>
    </w:lvl>
    <w:lvl w:ilvl="4" w:tplc="1600797C" w:tentative="1">
      <w:start w:val="1"/>
      <w:numFmt w:val="bullet"/>
      <w:lvlText w:val="o"/>
      <w:lvlJc w:val="left"/>
      <w:pPr>
        <w:ind w:left="3600" w:hanging="360"/>
      </w:pPr>
      <w:rPr>
        <w:rFonts w:ascii="Courier New" w:hAnsi="Courier New" w:hint="default"/>
      </w:rPr>
    </w:lvl>
    <w:lvl w:ilvl="5" w:tplc="2420231C" w:tentative="1">
      <w:start w:val="1"/>
      <w:numFmt w:val="bullet"/>
      <w:lvlText w:val=""/>
      <w:lvlJc w:val="left"/>
      <w:pPr>
        <w:ind w:left="4320" w:hanging="360"/>
      </w:pPr>
      <w:rPr>
        <w:rFonts w:ascii="Wingdings" w:hAnsi="Wingdings" w:hint="default"/>
      </w:rPr>
    </w:lvl>
    <w:lvl w:ilvl="6" w:tplc="326E0FFE" w:tentative="1">
      <w:start w:val="1"/>
      <w:numFmt w:val="bullet"/>
      <w:lvlText w:val=""/>
      <w:lvlJc w:val="left"/>
      <w:pPr>
        <w:ind w:left="5040" w:hanging="360"/>
      </w:pPr>
      <w:rPr>
        <w:rFonts w:ascii="Symbol" w:hAnsi="Symbol" w:hint="default"/>
      </w:rPr>
    </w:lvl>
    <w:lvl w:ilvl="7" w:tplc="E3E0CBB2" w:tentative="1">
      <w:start w:val="1"/>
      <w:numFmt w:val="bullet"/>
      <w:lvlText w:val="o"/>
      <w:lvlJc w:val="left"/>
      <w:pPr>
        <w:ind w:left="5760" w:hanging="360"/>
      </w:pPr>
      <w:rPr>
        <w:rFonts w:ascii="Courier New" w:hAnsi="Courier New" w:hint="default"/>
      </w:rPr>
    </w:lvl>
    <w:lvl w:ilvl="8" w:tplc="F0209BEC" w:tentative="1">
      <w:start w:val="1"/>
      <w:numFmt w:val="bullet"/>
      <w:lvlText w:val=""/>
      <w:lvlJc w:val="left"/>
      <w:pPr>
        <w:ind w:left="6480" w:hanging="360"/>
      </w:pPr>
      <w:rPr>
        <w:rFonts w:ascii="Wingdings" w:hAnsi="Wingdings" w:hint="default"/>
      </w:rPr>
    </w:lvl>
  </w:abstractNum>
  <w:abstractNum w:abstractNumId="164" w15:restartNumberingAfterBreak="0">
    <w:nsid w:val="2E42680B"/>
    <w:multiLevelType w:val="hybridMultilevel"/>
    <w:tmpl w:val="65A25324"/>
    <w:lvl w:ilvl="0" w:tplc="FFFFFFFF">
      <w:start w:val="1"/>
      <w:numFmt w:val="bullet"/>
      <w:lvlText w:val=""/>
      <w:lvlJc w:val="left"/>
      <w:pPr>
        <w:tabs>
          <w:tab w:val="num" w:pos="1440"/>
        </w:tabs>
        <w:ind w:left="1440" w:hanging="360"/>
      </w:pPr>
      <w:rPr>
        <w:rFonts w:ascii="Symbol" w:hAnsi="Symbol" w:cs="Symbol"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start w:val="1"/>
      <w:numFmt w:val="bullet"/>
      <w:lvlText w:val=""/>
      <w:lvlJc w:val="left"/>
      <w:pPr>
        <w:tabs>
          <w:tab w:val="num" w:pos="2880"/>
        </w:tabs>
        <w:ind w:left="2880" w:hanging="360"/>
      </w:pPr>
      <w:rPr>
        <w:rFonts w:ascii="Wingdings" w:hAnsi="Wingdings" w:cs="Wingdings" w:hint="default"/>
      </w:rPr>
    </w:lvl>
    <w:lvl w:ilvl="3" w:tplc="FFFFFFFF">
      <w:start w:val="1"/>
      <w:numFmt w:val="bullet"/>
      <w:lvlText w:val=""/>
      <w:lvlJc w:val="left"/>
      <w:pPr>
        <w:tabs>
          <w:tab w:val="num" w:pos="3600"/>
        </w:tabs>
        <w:ind w:left="3600" w:hanging="360"/>
      </w:pPr>
      <w:rPr>
        <w:rFonts w:ascii="Symbol" w:hAnsi="Symbol" w:cs="Symbol" w:hint="default"/>
      </w:rPr>
    </w:lvl>
    <w:lvl w:ilvl="4" w:tplc="FFFFFFFF">
      <w:start w:val="1"/>
      <w:numFmt w:val="bullet"/>
      <w:lvlText w:val="o"/>
      <w:lvlJc w:val="left"/>
      <w:pPr>
        <w:tabs>
          <w:tab w:val="num" w:pos="4320"/>
        </w:tabs>
        <w:ind w:left="4320" w:hanging="360"/>
      </w:pPr>
      <w:rPr>
        <w:rFonts w:ascii="Courier New" w:hAnsi="Courier New" w:cs="Courier New" w:hint="default"/>
      </w:rPr>
    </w:lvl>
    <w:lvl w:ilvl="5" w:tplc="FFFFFFFF">
      <w:start w:val="1"/>
      <w:numFmt w:val="bullet"/>
      <w:lvlText w:val=""/>
      <w:lvlJc w:val="left"/>
      <w:pPr>
        <w:tabs>
          <w:tab w:val="num" w:pos="5040"/>
        </w:tabs>
        <w:ind w:left="5040" w:hanging="360"/>
      </w:pPr>
      <w:rPr>
        <w:rFonts w:ascii="Wingdings" w:hAnsi="Wingdings" w:cs="Wingdings" w:hint="default"/>
      </w:rPr>
    </w:lvl>
    <w:lvl w:ilvl="6" w:tplc="FFFFFFFF">
      <w:start w:val="1"/>
      <w:numFmt w:val="bullet"/>
      <w:lvlText w:val=""/>
      <w:lvlJc w:val="left"/>
      <w:pPr>
        <w:tabs>
          <w:tab w:val="num" w:pos="5760"/>
        </w:tabs>
        <w:ind w:left="5760" w:hanging="360"/>
      </w:pPr>
      <w:rPr>
        <w:rFonts w:ascii="Symbol" w:hAnsi="Symbol" w:cs="Symbol" w:hint="default"/>
      </w:rPr>
    </w:lvl>
    <w:lvl w:ilvl="7" w:tplc="FFFFFFFF">
      <w:start w:val="1"/>
      <w:numFmt w:val="bullet"/>
      <w:lvlText w:val="o"/>
      <w:lvlJc w:val="left"/>
      <w:pPr>
        <w:tabs>
          <w:tab w:val="num" w:pos="6480"/>
        </w:tabs>
        <w:ind w:left="6480" w:hanging="360"/>
      </w:pPr>
      <w:rPr>
        <w:rFonts w:ascii="Courier New" w:hAnsi="Courier New" w:cs="Courier New" w:hint="default"/>
      </w:rPr>
    </w:lvl>
    <w:lvl w:ilvl="8" w:tplc="FFFFFFFF">
      <w:start w:val="1"/>
      <w:numFmt w:val="bullet"/>
      <w:lvlText w:val=""/>
      <w:lvlJc w:val="left"/>
      <w:pPr>
        <w:tabs>
          <w:tab w:val="num" w:pos="7200"/>
        </w:tabs>
        <w:ind w:left="7200" w:hanging="360"/>
      </w:pPr>
      <w:rPr>
        <w:rFonts w:ascii="Wingdings" w:hAnsi="Wingdings" w:cs="Wingdings" w:hint="default"/>
      </w:rPr>
    </w:lvl>
  </w:abstractNum>
  <w:abstractNum w:abstractNumId="165" w15:restartNumberingAfterBreak="0">
    <w:nsid w:val="2E484AE1"/>
    <w:multiLevelType w:val="hybridMultilevel"/>
    <w:tmpl w:val="AF92EC9C"/>
    <w:lvl w:ilvl="0" w:tplc="41829186">
      <w:start w:val="1"/>
      <w:numFmt w:val="bullet"/>
      <w:lvlText w:val=""/>
      <w:lvlJc w:val="left"/>
      <w:pPr>
        <w:ind w:left="1211" w:hanging="360"/>
      </w:pPr>
      <w:rPr>
        <w:rFonts w:ascii="Symbol" w:hAnsi="Symbol" w:hint="default"/>
      </w:rPr>
    </w:lvl>
    <w:lvl w:ilvl="1" w:tplc="3AF2CAA0" w:tentative="1">
      <w:start w:val="1"/>
      <w:numFmt w:val="bullet"/>
      <w:lvlText w:val="o"/>
      <w:lvlJc w:val="left"/>
      <w:pPr>
        <w:ind w:left="1931" w:hanging="360"/>
      </w:pPr>
      <w:rPr>
        <w:rFonts w:ascii="Courier New" w:hAnsi="Courier New" w:cs="Courier New" w:hint="default"/>
      </w:rPr>
    </w:lvl>
    <w:lvl w:ilvl="2" w:tplc="014895E2" w:tentative="1">
      <w:start w:val="1"/>
      <w:numFmt w:val="bullet"/>
      <w:lvlText w:val=""/>
      <w:lvlJc w:val="left"/>
      <w:pPr>
        <w:ind w:left="2651" w:hanging="360"/>
      </w:pPr>
      <w:rPr>
        <w:rFonts w:ascii="Wingdings" w:hAnsi="Wingdings" w:hint="default"/>
      </w:rPr>
    </w:lvl>
    <w:lvl w:ilvl="3" w:tplc="6A2EE264" w:tentative="1">
      <w:start w:val="1"/>
      <w:numFmt w:val="bullet"/>
      <w:lvlText w:val=""/>
      <w:lvlJc w:val="left"/>
      <w:pPr>
        <w:ind w:left="3371" w:hanging="360"/>
      </w:pPr>
      <w:rPr>
        <w:rFonts w:ascii="Symbol" w:hAnsi="Symbol" w:hint="default"/>
      </w:rPr>
    </w:lvl>
    <w:lvl w:ilvl="4" w:tplc="ABCC2A94" w:tentative="1">
      <w:start w:val="1"/>
      <w:numFmt w:val="bullet"/>
      <w:lvlText w:val="o"/>
      <w:lvlJc w:val="left"/>
      <w:pPr>
        <w:ind w:left="4091" w:hanging="360"/>
      </w:pPr>
      <w:rPr>
        <w:rFonts w:ascii="Courier New" w:hAnsi="Courier New" w:cs="Courier New" w:hint="default"/>
      </w:rPr>
    </w:lvl>
    <w:lvl w:ilvl="5" w:tplc="FC001BAC" w:tentative="1">
      <w:start w:val="1"/>
      <w:numFmt w:val="bullet"/>
      <w:lvlText w:val=""/>
      <w:lvlJc w:val="left"/>
      <w:pPr>
        <w:ind w:left="4811" w:hanging="360"/>
      </w:pPr>
      <w:rPr>
        <w:rFonts w:ascii="Wingdings" w:hAnsi="Wingdings" w:hint="default"/>
      </w:rPr>
    </w:lvl>
    <w:lvl w:ilvl="6" w:tplc="0EAE647E" w:tentative="1">
      <w:start w:val="1"/>
      <w:numFmt w:val="bullet"/>
      <w:lvlText w:val=""/>
      <w:lvlJc w:val="left"/>
      <w:pPr>
        <w:ind w:left="5531" w:hanging="360"/>
      </w:pPr>
      <w:rPr>
        <w:rFonts w:ascii="Symbol" w:hAnsi="Symbol" w:hint="default"/>
      </w:rPr>
    </w:lvl>
    <w:lvl w:ilvl="7" w:tplc="9DA0755A" w:tentative="1">
      <w:start w:val="1"/>
      <w:numFmt w:val="bullet"/>
      <w:lvlText w:val="o"/>
      <w:lvlJc w:val="left"/>
      <w:pPr>
        <w:ind w:left="6251" w:hanging="360"/>
      </w:pPr>
      <w:rPr>
        <w:rFonts w:ascii="Courier New" w:hAnsi="Courier New" w:cs="Courier New" w:hint="default"/>
      </w:rPr>
    </w:lvl>
    <w:lvl w:ilvl="8" w:tplc="76B21E96" w:tentative="1">
      <w:start w:val="1"/>
      <w:numFmt w:val="bullet"/>
      <w:lvlText w:val=""/>
      <w:lvlJc w:val="left"/>
      <w:pPr>
        <w:ind w:left="6971" w:hanging="360"/>
      </w:pPr>
      <w:rPr>
        <w:rFonts w:ascii="Wingdings" w:hAnsi="Wingdings" w:hint="default"/>
      </w:rPr>
    </w:lvl>
  </w:abstractNum>
  <w:abstractNum w:abstractNumId="166" w15:restartNumberingAfterBreak="0">
    <w:nsid w:val="2E4A10F0"/>
    <w:multiLevelType w:val="hybridMultilevel"/>
    <w:tmpl w:val="0F28F70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7" w15:restartNumberingAfterBreak="0">
    <w:nsid w:val="300F5AAD"/>
    <w:multiLevelType w:val="hybridMultilevel"/>
    <w:tmpl w:val="61B01C50"/>
    <w:lvl w:ilvl="0" w:tplc="A9081DCE">
      <w:start w:val="1"/>
      <w:numFmt w:val="bullet"/>
      <w:lvlText w:val=""/>
      <w:lvlJc w:val="left"/>
      <w:pPr>
        <w:ind w:left="720" w:hanging="360"/>
      </w:pPr>
      <w:rPr>
        <w:rFonts w:ascii="Symbol" w:hAnsi="Symbol" w:hint="default"/>
      </w:rPr>
    </w:lvl>
    <w:lvl w:ilvl="1" w:tplc="C0A4E134" w:tentative="1">
      <w:start w:val="1"/>
      <w:numFmt w:val="bullet"/>
      <w:lvlText w:val="o"/>
      <w:lvlJc w:val="left"/>
      <w:pPr>
        <w:ind w:left="1440" w:hanging="360"/>
      </w:pPr>
      <w:rPr>
        <w:rFonts w:ascii="Courier New" w:hAnsi="Courier New" w:cs="Courier New" w:hint="default"/>
      </w:rPr>
    </w:lvl>
    <w:lvl w:ilvl="2" w:tplc="32CE8E4C" w:tentative="1">
      <w:start w:val="1"/>
      <w:numFmt w:val="bullet"/>
      <w:lvlText w:val=""/>
      <w:lvlJc w:val="left"/>
      <w:pPr>
        <w:ind w:left="2160" w:hanging="360"/>
      </w:pPr>
      <w:rPr>
        <w:rFonts w:ascii="Wingdings" w:hAnsi="Wingdings" w:hint="default"/>
      </w:rPr>
    </w:lvl>
    <w:lvl w:ilvl="3" w:tplc="8F4A7D88" w:tentative="1">
      <w:start w:val="1"/>
      <w:numFmt w:val="bullet"/>
      <w:lvlText w:val=""/>
      <w:lvlJc w:val="left"/>
      <w:pPr>
        <w:ind w:left="2880" w:hanging="360"/>
      </w:pPr>
      <w:rPr>
        <w:rFonts w:ascii="Symbol" w:hAnsi="Symbol" w:hint="default"/>
      </w:rPr>
    </w:lvl>
    <w:lvl w:ilvl="4" w:tplc="4F422926" w:tentative="1">
      <w:start w:val="1"/>
      <w:numFmt w:val="bullet"/>
      <w:lvlText w:val="o"/>
      <w:lvlJc w:val="left"/>
      <w:pPr>
        <w:ind w:left="3600" w:hanging="360"/>
      </w:pPr>
      <w:rPr>
        <w:rFonts w:ascii="Courier New" w:hAnsi="Courier New" w:cs="Courier New" w:hint="default"/>
      </w:rPr>
    </w:lvl>
    <w:lvl w:ilvl="5" w:tplc="10B6846E" w:tentative="1">
      <w:start w:val="1"/>
      <w:numFmt w:val="bullet"/>
      <w:lvlText w:val=""/>
      <w:lvlJc w:val="left"/>
      <w:pPr>
        <w:ind w:left="4320" w:hanging="360"/>
      </w:pPr>
      <w:rPr>
        <w:rFonts w:ascii="Wingdings" w:hAnsi="Wingdings" w:hint="default"/>
      </w:rPr>
    </w:lvl>
    <w:lvl w:ilvl="6" w:tplc="D10424E8" w:tentative="1">
      <w:start w:val="1"/>
      <w:numFmt w:val="bullet"/>
      <w:lvlText w:val=""/>
      <w:lvlJc w:val="left"/>
      <w:pPr>
        <w:ind w:left="5040" w:hanging="360"/>
      </w:pPr>
      <w:rPr>
        <w:rFonts w:ascii="Symbol" w:hAnsi="Symbol" w:hint="default"/>
      </w:rPr>
    </w:lvl>
    <w:lvl w:ilvl="7" w:tplc="3DCE5EAA" w:tentative="1">
      <w:start w:val="1"/>
      <w:numFmt w:val="bullet"/>
      <w:lvlText w:val="o"/>
      <w:lvlJc w:val="left"/>
      <w:pPr>
        <w:ind w:left="5760" w:hanging="360"/>
      </w:pPr>
      <w:rPr>
        <w:rFonts w:ascii="Courier New" w:hAnsi="Courier New" w:cs="Courier New" w:hint="default"/>
      </w:rPr>
    </w:lvl>
    <w:lvl w:ilvl="8" w:tplc="0C5470F8" w:tentative="1">
      <w:start w:val="1"/>
      <w:numFmt w:val="bullet"/>
      <w:lvlText w:val=""/>
      <w:lvlJc w:val="left"/>
      <w:pPr>
        <w:ind w:left="6480" w:hanging="360"/>
      </w:pPr>
      <w:rPr>
        <w:rFonts w:ascii="Wingdings" w:hAnsi="Wingdings" w:hint="default"/>
      </w:rPr>
    </w:lvl>
  </w:abstractNum>
  <w:abstractNum w:abstractNumId="168" w15:restartNumberingAfterBreak="0">
    <w:nsid w:val="304215B5"/>
    <w:multiLevelType w:val="hybridMultilevel"/>
    <w:tmpl w:val="0D641B92"/>
    <w:lvl w:ilvl="0" w:tplc="04020003">
      <w:start w:val="1"/>
      <w:numFmt w:val="bullet"/>
      <w:lvlText w:val=""/>
      <w:lvlJc w:val="left"/>
      <w:pPr>
        <w:tabs>
          <w:tab w:val="num" w:pos="720"/>
        </w:tabs>
        <w:ind w:left="720" w:hanging="360"/>
      </w:pPr>
      <w:rPr>
        <w:rFonts w:ascii="Symbol" w:hAnsi="Symbol" w:hint="default"/>
      </w:rPr>
    </w:lvl>
    <w:lvl w:ilvl="1" w:tplc="04020003" w:tentative="1">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tabs>
          <w:tab w:val="num" w:pos="2160"/>
        </w:tabs>
        <w:ind w:left="2160" w:hanging="360"/>
      </w:pPr>
      <w:rPr>
        <w:rFonts w:ascii="Symbol" w:hAnsi="Symbol"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
      <w:lvlJc w:val="left"/>
      <w:pPr>
        <w:tabs>
          <w:tab w:val="num" w:pos="3600"/>
        </w:tabs>
        <w:ind w:left="3600" w:hanging="360"/>
      </w:pPr>
      <w:rPr>
        <w:rFonts w:ascii="Symbol" w:hAnsi="Symbol" w:hint="default"/>
      </w:rPr>
    </w:lvl>
    <w:lvl w:ilvl="5" w:tplc="04020005" w:tentative="1">
      <w:start w:val="1"/>
      <w:numFmt w:val="bullet"/>
      <w:lvlText w:val=""/>
      <w:lvlJc w:val="left"/>
      <w:pPr>
        <w:tabs>
          <w:tab w:val="num" w:pos="4320"/>
        </w:tabs>
        <w:ind w:left="4320" w:hanging="360"/>
      </w:pPr>
      <w:rPr>
        <w:rFonts w:ascii="Symbol" w:hAnsi="Symbol"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
      <w:lvlJc w:val="left"/>
      <w:pPr>
        <w:tabs>
          <w:tab w:val="num" w:pos="5760"/>
        </w:tabs>
        <w:ind w:left="5760" w:hanging="360"/>
      </w:pPr>
      <w:rPr>
        <w:rFonts w:ascii="Symbol" w:hAnsi="Symbol" w:hint="default"/>
      </w:rPr>
    </w:lvl>
    <w:lvl w:ilvl="8" w:tplc="04020005" w:tentative="1">
      <w:start w:val="1"/>
      <w:numFmt w:val="bullet"/>
      <w:lvlText w:val=""/>
      <w:lvlJc w:val="left"/>
      <w:pPr>
        <w:tabs>
          <w:tab w:val="num" w:pos="6480"/>
        </w:tabs>
        <w:ind w:left="6480" w:hanging="360"/>
      </w:pPr>
      <w:rPr>
        <w:rFonts w:ascii="Symbol" w:hAnsi="Symbol" w:hint="default"/>
      </w:rPr>
    </w:lvl>
  </w:abstractNum>
  <w:abstractNum w:abstractNumId="169" w15:restartNumberingAfterBreak="0">
    <w:nsid w:val="304D24FB"/>
    <w:multiLevelType w:val="hybridMultilevel"/>
    <w:tmpl w:val="78BEA406"/>
    <w:lvl w:ilvl="0" w:tplc="04020001">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0" w15:restartNumberingAfterBreak="0">
    <w:nsid w:val="30E6207E"/>
    <w:multiLevelType w:val="hybridMultilevel"/>
    <w:tmpl w:val="7D50E8EA"/>
    <w:lvl w:ilvl="0" w:tplc="9580BA52">
      <w:start w:val="1"/>
      <w:numFmt w:val="bullet"/>
      <w:lvlText w:val=""/>
      <w:lvlJc w:val="left"/>
      <w:pPr>
        <w:tabs>
          <w:tab w:val="num" w:pos="720"/>
        </w:tabs>
        <w:ind w:left="720" w:hanging="360"/>
      </w:pPr>
      <w:rPr>
        <w:rFonts w:ascii="Symbol" w:hAnsi="Symbol" w:hint="default"/>
      </w:rPr>
    </w:lvl>
    <w:lvl w:ilvl="1" w:tplc="4EC69624">
      <w:start w:val="1"/>
      <w:numFmt w:val="bullet"/>
      <w:lvlText w:val="o"/>
      <w:lvlJc w:val="left"/>
      <w:pPr>
        <w:tabs>
          <w:tab w:val="num" w:pos="1440"/>
        </w:tabs>
        <w:ind w:left="1440" w:hanging="360"/>
      </w:pPr>
      <w:rPr>
        <w:rFonts w:ascii="Courier New" w:hAnsi="Courier New" w:hint="default"/>
      </w:rPr>
    </w:lvl>
    <w:lvl w:ilvl="2" w:tplc="879831B4" w:tentative="1">
      <w:start w:val="1"/>
      <w:numFmt w:val="bullet"/>
      <w:lvlText w:val=""/>
      <w:lvlJc w:val="left"/>
      <w:pPr>
        <w:tabs>
          <w:tab w:val="num" w:pos="2160"/>
        </w:tabs>
        <w:ind w:left="2160" w:hanging="360"/>
      </w:pPr>
      <w:rPr>
        <w:rFonts w:ascii="Wingdings" w:hAnsi="Wingdings" w:hint="default"/>
      </w:rPr>
    </w:lvl>
    <w:lvl w:ilvl="3" w:tplc="27D8E906" w:tentative="1">
      <w:start w:val="1"/>
      <w:numFmt w:val="bullet"/>
      <w:lvlText w:val=""/>
      <w:lvlJc w:val="left"/>
      <w:pPr>
        <w:tabs>
          <w:tab w:val="num" w:pos="2880"/>
        </w:tabs>
        <w:ind w:left="2880" w:hanging="360"/>
      </w:pPr>
      <w:rPr>
        <w:rFonts w:ascii="Symbol" w:hAnsi="Symbol" w:hint="default"/>
      </w:rPr>
    </w:lvl>
    <w:lvl w:ilvl="4" w:tplc="21BC8A80" w:tentative="1">
      <w:start w:val="1"/>
      <w:numFmt w:val="bullet"/>
      <w:lvlText w:val="o"/>
      <w:lvlJc w:val="left"/>
      <w:pPr>
        <w:tabs>
          <w:tab w:val="num" w:pos="3600"/>
        </w:tabs>
        <w:ind w:left="3600" w:hanging="360"/>
      </w:pPr>
      <w:rPr>
        <w:rFonts w:ascii="Courier New" w:hAnsi="Courier New" w:hint="default"/>
      </w:rPr>
    </w:lvl>
    <w:lvl w:ilvl="5" w:tplc="F076A7E6" w:tentative="1">
      <w:start w:val="1"/>
      <w:numFmt w:val="bullet"/>
      <w:lvlText w:val=""/>
      <w:lvlJc w:val="left"/>
      <w:pPr>
        <w:tabs>
          <w:tab w:val="num" w:pos="4320"/>
        </w:tabs>
        <w:ind w:left="4320" w:hanging="360"/>
      </w:pPr>
      <w:rPr>
        <w:rFonts w:ascii="Wingdings" w:hAnsi="Wingdings" w:hint="default"/>
      </w:rPr>
    </w:lvl>
    <w:lvl w:ilvl="6" w:tplc="8E0C016C" w:tentative="1">
      <w:start w:val="1"/>
      <w:numFmt w:val="bullet"/>
      <w:lvlText w:val=""/>
      <w:lvlJc w:val="left"/>
      <w:pPr>
        <w:tabs>
          <w:tab w:val="num" w:pos="5040"/>
        </w:tabs>
        <w:ind w:left="5040" w:hanging="360"/>
      </w:pPr>
      <w:rPr>
        <w:rFonts w:ascii="Symbol" w:hAnsi="Symbol" w:hint="default"/>
      </w:rPr>
    </w:lvl>
    <w:lvl w:ilvl="7" w:tplc="C6240828" w:tentative="1">
      <w:start w:val="1"/>
      <w:numFmt w:val="bullet"/>
      <w:lvlText w:val="o"/>
      <w:lvlJc w:val="left"/>
      <w:pPr>
        <w:tabs>
          <w:tab w:val="num" w:pos="5760"/>
        </w:tabs>
        <w:ind w:left="5760" w:hanging="360"/>
      </w:pPr>
      <w:rPr>
        <w:rFonts w:ascii="Courier New" w:hAnsi="Courier New" w:hint="default"/>
      </w:rPr>
    </w:lvl>
    <w:lvl w:ilvl="8" w:tplc="2BBACED8" w:tentative="1">
      <w:start w:val="1"/>
      <w:numFmt w:val="bullet"/>
      <w:lvlText w:val=""/>
      <w:lvlJc w:val="left"/>
      <w:pPr>
        <w:tabs>
          <w:tab w:val="num" w:pos="6480"/>
        </w:tabs>
        <w:ind w:left="6480" w:hanging="360"/>
      </w:pPr>
      <w:rPr>
        <w:rFonts w:ascii="Wingdings" w:hAnsi="Wingdings" w:hint="default"/>
      </w:rPr>
    </w:lvl>
  </w:abstractNum>
  <w:abstractNum w:abstractNumId="171" w15:restartNumberingAfterBreak="0">
    <w:nsid w:val="314304C3"/>
    <w:multiLevelType w:val="hybridMultilevel"/>
    <w:tmpl w:val="96E66C9C"/>
    <w:lvl w:ilvl="0" w:tplc="0402000B">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72" w15:restartNumberingAfterBreak="0">
    <w:nsid w:val="31473B1B"/>
    <w:multiLevelType w:val="hybridMultilevel"/>
    <w:tmpl w:val="16ECB582"/>
    <w:lvl w:ilvl="0" w:tplc="04020001">
      <w:start w:val="1"/>
      <w:numFmt w:val="decimal"/>
      <w:lvlText w:val="%1."/>
      <w:lvlJc w:val="left"/>
      <w:pPr>
        <w:tabs>
          <w:tab w:val="num" w:pos="720"/>
        </w:tabs>
        <w:ind w:left="720" w:hanging="360"/>
      </w:pPr>
      <w:rPr>
        <w:rFonts w:cs="Times New Roman" w:hint="default"/>
      </w:rPr>
    </w:lvl>
    <w:lvl w:ilvl="1" w:tplc="04020003">
      <w:start w:val="1"/>
      <w:numFmt w:val="bullet"/>
      <w:lvlText w:val=""/>
      <w:lvlJc w:val="left"/>
      <w:pPr>
        <w:tabs>
          <w:tab w:val="num" w:pos="1440"/>
        </w:tabs>
        <w:ind w:left="1440" w:hanging="360"/>
      </w:pPr>
      <w:rPr>
        <w:rFonts w:ascii="Wingdings" w:hAnsi="Wingdings" w:hint="default"/>
      </w:rPr>
    </w:lvl>
    <w:lvl w:ilvl="2" w:tplc="04020005">
      <w:start w:val="1"/>
      <w:numFmt w:val="bullet"/>
      <w:lvlText w:val=""/>
      <w:lvlJc w:val="left"/>
      <w:pPr>
        <w:tabs>
          <w:tab w:val="num" w:pos="2160"/>
        </w:tabs>
        <w:ind w:left="2160" w:hanging="360"/>
      </w:pPr>
      <w:rPr>
        <w:rFonts w:ascii="Symbol" w:hAnsi="Symbol" w:hint="default"/>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173" w15:restartNumberingAfterBreak="0">
    <w:nsid w:val="31885E7C"/>
    <w:multiLevelType w:val="singleLevel"/>
    <w:tmpl w:val="F3BE7720"/>
    <w:lvl w:ilvl="0">
      <w:start w:val="2"/>
      <w:numFmt w:val="decimal"/>
      <w:lvlText w:val="%1. "/>
      <w:legacy w:legacy="1" w:legacySpace="0" w:legacyIndent="283"/>
      <w:lvlJc w:val="left"/>
      <w:pPr>
        <w:ind w:left="1134" w:hanging="283"/>
      </w:pPr>
      <w:rPr>
        <w:rFonts w:ascii="Arial" w:hAnsi="Arial" w:hint="default"/>
        <w:b/>
        <w:i w:val="0"/>
        <w:sz w:val="24"/>
        <w:u w:val="none"/>
      </w:rPr>
    </w:lvl>
  </w:abstractNum>
  <w:abstractNum w:abstractNumId="174" w15:restartNumberingAfterBreak="0">
    <w:nsid w:val="31887701"/>
    <w:multiLevelType w:val="hybridMultilevel"/>
    <w:tmpl w:val="50AA0568"/>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2490" w:hanging="141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5" w15:restartNumberingAfterBreak="0">
    <w:nsid w:val="31DC72A9"/>
    <w:multiLevelType w:val="multilevel"/>
    <w:tmpl w:val="31DC72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6" w15:restartNumberingAfterBreak="0">
    <w:nsid w:val="31E130F6"/>
    <w:multiLevelType w:val="hybridMultilevel"/>
    <w:tmpl w:val="0B8C51D8"/>
    <w:lvl w:ilvl="0" w:tplc="FFFFFFFF">
      <w:start w:val="1"/>
      <w:numFmt w:val="bullet"/>
      <w:lvlText w:val=""/>
      <w:lvlJc w:val="left"/>
      <w:pPr>
        <w:tabs>
          <w:tab w:val="num" w:pos="1440"/>
        </w:tabs>
        <w:ind w:left="1440" w:hanging="360"/>
      </w:pPr>
      <w:rPr>
        <w:rFonts w:ascii="Symbol" w:hAnsi="Symbol" w:cs="Symbol"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start w:val="1"/>
      <w:numFmt w:val="bullet"/>
      <w:lvlText w:val=""/>
      <w:lvlJc w:val="left"/>
      <w:pPr>
        <w:tabs>
          <w:tab w:val="num" w:pos="2880"/>
        </w:tabs>
        <w:ind w:left="2880" w:hanging="360"/>
      </w:pPr>
      <w:rPr>
        <w:rFonts w:ascii="Wingdings" w:hAnsi="Wingdings" w:cs="Wingdings" w:hint="default"/>
      </w:rPr>
    </w:lvl>
    <w:lvl w:ilvl="3" w:tplc="FFFFFFFF">
      <w:start w:val="1"/>
      <w:numFmt w:val="bullet"/>
      <w:lvlText w:val=""/>
      <w:lvlJc w:val="left"/>
      <w:pPr>
        <w:tabs>
          <w:tab w:val="num" w:pos="3600"/>
        </w:tabs>
        <w:ind w:left="3600" w:hanging="360"/>
      </w:pPr>
      <w:rPr>
        <w:rFonts w:ascii="Symbol" w:hAnsi="Symbol" w:cs="Symbol" w:hint="default"/>
      </w:rPr>
    </w:lvl>
    <w:lvl w:ilvl="4" w:tplc="FFFFFFFF">
      <w:start w:val="1"/>
      <w:numFmt w:val="bullet"/>
      <w:lvlText w:val="o"/>
      <w:lvlJc w:val="left"/>
      <w:pPr>
        <w:tabs>
          <w:tab w:val="num" w:pos="4320"/>
        </w:tabs>
        <w:ind w:left="4320" w:hanging="360"/>
      </w:pPr>
      <w:rPr>
        <w:rFonts w:ascii="Courier New" w:hAnsi="Courier New" w:cs="Courier New" w:hint="default"/>
      </w:rPr>
    </w:lvl>
    <w:lvl w:ilvl="5" w:tplc="FFFFFFFF">
      <w:start w:val="1"/>
      <w:numFmt w:val="bullet"/>
      <w:lvlText w:val=""/>
      <w:lvlJc w:val="left"/>
      <w:pPr>
        <w:tabs>
          <w:tab w:val="num" w:pos="5040"/>
        </w:tabs>
        <w:ind w:left="5040" w:hanging="360"/>
      </w:pPr>
      <w:rPr>
        <w:rFonts w:ascii="Wingdings" w:hAnsi="Wingdings" w:cs="Wingdings" w:hint="default"/>
      </w:rPr>
    </w:lvl>
    <w:lvl w:ilvl="6" w:tplc="FFFFFFFF">
      <w:start w:val="1"/>
      <w:numFmt w:val="bullet"/>
      <w:lvlText w:val=""/>
      <w:lvlJc w:val="left"/>
      <w:pPr>
        <w:tabs>
          <w:tab w:val="num" w:pos="5760"/>
        </w:tabs>
        <w:ind w:left="5760" w:hanging="360"/>
      </w:pPr>
      <w:rPr>
        <w:rFonts w:ascii="Symbol" w:hAnsi="Symbol" w:cs="Symbol" w:hint="default"/>
      </w:rPr>
    </w:lvl>
    <w:lvl w:ilvl="7" w:tplc="FFFFFFFF">
      <w:start w:val="1"/>
      <w:numFmt w:val="bullet"/>
      <w:lvlText w:val="o"/>
      <w:lvlJc w:val="left"/>
      <w:pPr>
        <w:tabs>
          <w:tab w:val="num" w:pos="6480"/>
        </w:tabs>
        <w:ind w:left="6480" w:hanging="360"/>
      </w:pPr>
      <w:rPr>
        <w:rFonts w:ascii="Courier New" w:hAnsi="Courier New" w:cs="Courier New" w:hint="default"/>
      </w:rPr>
    </w:lvl>
    <w:lvl w:ilvl="8" w:tplc="FFFFFFFF">
      <w:start w:val="1"/>
      <w:numFmt w:val="bullet"/>
      <w:lvlText w:val=""/>
      <w:lvlJc w:val="left"/>
      <w:pPr>
        <w:tabs>
          <w:tab w:val="num" w:pos="7200"/>
        </w:tabs>
        <w:ind w:left="7200" w:hanging="360"/>
      </w:pPr>
      <w:rPr>
        <w:rFonts w:ascii="Wingdings" w:hAnsi="Wingdings" w:cs="Wingdings" w:hint="default"/>
      </w:rPr>
    </w:lvl>
  </w:abstractNum>
  <w:abstractNum w:abstractNumId="177" w15:restartNumberingAfterBreak="0">
    <w:nsid w:val="31FB15B7"/>
    <w:multiLevelType w:val="hybridMultilevel"/>
    <w:tmpl w:val="A976ABC6"/>
    <w:lvl w:ilvl="0" w:tplc="04020001">
      <w:start w:val="1"/>
      <w:numFmt w:val="bullet"/>
      <w:lvlText w:val=""/>
      <w:lvlJc w:val="left"/>
      <w:pPr>
        <w:tabs>
          <w:tab w:val="num" w:pos="2120"/>
        </w:tabs>
        <w:ind w:left="21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32262BDD"/>
    <w:multiLevelType w:val="hybridMultilevel"/>
    <w:tmpl w:val="0680A012"/>
    <w:lvl w:ilvl="0" w:tplc="0402000F">
      <w:start w:val="1"/>
      <w:numFmt w:val="bullet"/>
      <w:lvlText w:val=""/>
      <w:lvlJc w:val="left"/>
      <w:pPr>
        <w:tabs>
          <w:tab w:val="num" w:pos="720"/>
        </w:tabs>
        <w:ind w:left="720" w:hanging="360"/>
      </w:pPr>
      <w:rPr>
        <w:rFonts w:ascii="Symbol" w:hAnsi="Symbol" w:hint="default"/>
      </w:rPr>
    </w:lvl>
    <w:lvl w:ilvl="1" w:tplc="6BFE853E" w:tentative="1">
      <w:start w:val="1"/>
      <w:numFmt w:val="bullet"/>
      <w:lvlText w:val="o"/>
      <w:lvlJc w:val="left"/>
      <w:pPr>
        <w:tabs>
          <w:tab w:val="num" w:pos="1440"/>
        </w:tabs>
        <w:ind w:left="1440" w:hanging="360"/>
      </w:pPr>
      <w:rPr>
        <w:rFonts w:ascii="Courier New" w:hAnsi="Courier New" w:hint="default"/>
      </w:rPr>
    </w:lvl>
    <w:lvl w:ilvl="2" w:tplc="3B967904" w:tentative="1">
      <w:start w:val="1"/>
      <w:numFmt w:val="bullet"/>
      <w:lvlText w:val=""/>
      <w:lvlJc w:val="left"/>
      <w:pPr>
        <w:tabs>
          <w:tab w:val="num" w:pos="2160"/>
        </w:tabs>
        <w:ind w:left="2160" w:hanging="360"/>
      </w:pPr>
      <w:rPr>
        <w:rFonts w:ascii="Wingdings" w:hAnsi="Wingdings" w:hint="default"/>
      </w:rPr>
    </w:lvl>
    <w:lvl w:ilvl="3" w:tplc="F8789C5C" w:tentative="1">
      <w:start w:val="1"/>
      <w:numFmt w:val="bullet"/>
      <w:lvlText w:val=""/>
      <w:lvlJc w:val="left"/>
      <w:pPr>
        <w:tabs>
          <w:tab w:val="num" w:pos="2880"/>
        </w:tabs>
        <w:ind w:left="2880" w:hanging="360"/>
      </w:pPr>
      <w:rPr>
        <w:rFonts w:ascii="Symbol" w:hAnsi="Symbol" w:hint="default"/>
      </w:rPr>
    </w:lvl>
    <w:lvl w:ilvl="4" w:tplc="F956ECD0" w:tentative="1">
      <w:start w:val="1"/>
      <w:numFmt w:val="bullet"/>
      <w:lvlText w:val="o"/>
      <w:lvlJc w:val="left"/>
      <w:pPr>
        <w:tabs>
          <w:tab w:val="num" w:pos="3600"/>
        </w:tabs>
        <w:ind w:left="3600" w:hanging="360"/>
      </w:pPr>
      <w:rPr>
        <w:rFonts w:ascii="Courier New" w:hAnsi="Courier New" w:hint="default"/>
      </w:rPr>
    </w:lvl>
    <w:lvl w:ilvl="5" w:tplc="9670B918" w:tentative="1">
      <w:start w:val="1"/>
      <w:numFmt w:val="bullet"/>
      <w:lvlText w:val=""/>
      <w:lvlJc w:val="left"/>
      <w:pPr>
        <w:tabs>
          <w:tab w:val="num" w:pos="4320"/>
        </w:tabs>
        <w:ind w:left="4320" w:hanging="360"/>
      </w:pPr>
      <w:rPr>
        <w:rFonts w:ascii="Wingdings" w:hAnsi="Wingdings" w:hint="default"/>
      </w:rPr>
    </w:lvl>
    <w:lvl w:ilvl="6" w:tplc="7E2CD954" w:tentative="1">
      <w:start w:val="1"/>
      <w:numFmt w:val="bullet"/>
      <w:lvlText w:val=""/>
      <w:lvlJc w:val="left"/>
      <w:pPr>
        <w:tabs>
          <w:tab w:val="num" w:pos="5040"/>
        </w:tabs>
        <w:ind w:left="5040" w:hanging="360"/>
      </w:pPr>
      <w:rPr>
        <w:rFonts w:ascii="Symbol" w:hAnsi="Symbol" w:hint="default"/>
      </w:rPr>
    </w:lvl>
    <w:lvl w:ilvl="7" w:tplc="E42ABE66" w:tentative="1">
      <w:start w:val="1"/>
      <w:numFmt w:val="bullet"/>
      <w:lvlText w:val="o"/>
      <w:lvlJc w:val="left"/>
      <w:pPr>
        <w:tabs>
          <w:tab w:val="num" w:pos="5760"/>
        </w:tabs>
        <w:ind w:left="5760" w:hanging="360"/>
      </w:pPr>
      <w:rPr>
        <w:rFonts w:ascii="Courier New" w:hAnsi="Courier New" w:hint="default"/>
      </w:rPr>
    </w:lvl>
    <w:lvl w:ilvl="8" w:tplc="FFA62104" w:tentative="1">
      <w:start w:val="1"/>
      <w:numFmt w:val="bullet"/>
      <w:lvlText w:val=""/>
      <w:lvlJc w:val="left"/>
      <w:pPr>
        <w:tabs>
          <w:tab w:val="num" w:pos="6480"/>
        </w:tabs>
        <w:ind w:left="6480" w:hanging="360"/>
      </w:pPr>
      <w:rPr>
        <w:rFonts w:ascii="Wingdings" w:hAnsi="Wingdings" w:hint="default"/>
      </w:rPr>
    </w:lvl>
  </w:abstractNum>
  <w:abstractNum w:abstractNumId="179" w15:restartNumberingAfterBreak="0">
    <w:nsid w:val="331E394A"/>
    <w:multiLevelType w:val="hybridMultilevel"/>
    <w:tmpl w:val="F0AA385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0" w15:restartNumberingAfterBreak="0">
    <w:nsid w:val="33697308"/>
    <w:multiLevelType w:val="hybridMultilevel"/>
    <w:tmpl w:val="8C144096"/>
    <w:lvl w:ilvl="0" w:tplc="04020001">
      <w:start w:val="1"/>
      <w:numFmt w:val="decimal"/>
      <w:lvlText w:val="%1."/>
      <w:lvlJc w:val="left"/>
      <w:pPr>
        <w:tabs>
          <w:tab w:val="num" w:pos="1080"/>
        </w:tabs>
        <w:ind w:left="1080" w:hanging="360"/>
      </w:pPr>
      <w:rPr>
        <w:rFonts w:cs="Times New Roman"/>
      </w:rPr>
    </w:lvl>
    <w:lvl w:ilvl="1" w:tplc="04020003" w:tentative="1">
      <w:start w:val="1"/>
      <w:numFmt w:val="lowerLetter"/>
      <w:lvlText w:val="%2."/>
      <w:lvlJc w:val="left"/>
      <w:pPr>
        <w:tabs>
          <w:tab w:val="num" w:pos="1800"/>
        </w:tabs>
        <w:ind w:left="1800" w:hanging="360"/>
      </w:pPr>
      <w:rPr>
        <w:rFonts w:cs="Times New Roman"/>
      </w:rPr>
    </w:lvl>
    <w:lvl w:ilvl="2" w:tplc="04020005" w:tentative="1">
      <w:start w:val="1"/>
      <w:numFmt w:val="lowerRoman"/>
      <w:lvlText w:val="%3."/>
      <w:lvlJc w:val="right"/>
      <w:pPr>
        <w:tabs>
          <w:tab w:val="num" w:pos="2520"/>
        </w:tabs>
        <w:ind w:left="2520" w:hanging="180"/>
      </w:pPr>
      <w:rPr>
        <w:rFonts w:cs="Times New Roman"/>
      </w:rPr>
    </w:lvl>
    <w:lvl w:ilvl="3" w:tplc="04020001" w:tentative="1">
      <w:start w:val="1"/>
      <w:numFmt w:val="decimal"/>
      <w:lvlText w:val="%4."/>
      <w:lvlJc w:val="left"/>
      <w:pPr>
        <w:tabs>
          <w:tab w:val="num" w:pos="3240"/>
        </w:tabs>
        <w:ind w:left="3240" w:hanging="360"/>
      </w:pPr>
      <w:rPr>
        <w:rFonts w:cs="Times New Roman"/>
      </w:rPr>
    </w:lvl>
    <w:lvl w:ilvl="4" w:tplc="04020003" w:tentative="1">
      <w:start w:val="1"/>
      <w:numFmt w:val="lowerLetter"/>
      <w:lvlText w:val="%5."/>
      <w:lvlJc w:val="left"/>
      <w:pPr>
        <w:tabs>
          <w:tab w:val="num" w:pos="3960"/>
        </w:tabs>
        <w:ind w:left="3960" w:hanging="360"/>
      </w:pPr>
      <w:rPr>
        <w:rFonts w:cs="Times New Roman"/>
      </w:rPr>
    </w:lvl>
    <w:lvl w:ilvl="5" w:tplc="04020005" w:tentative="1">
      <w:start w:val="1"/>
      <w:numFmt w:val="lowerRoman"/>
      <w:lvlText w:val="%6."/>
      <w:lvlJc w:val="right"/>
      <w:pPr>
        <w:tabs>
          <w:tab w:val="num" w:pos="4680"/>
        </w:tabs>
        <w:ind w:left="4680" w:hanging="180"/>
      </w:pPr>
      <w:rPr>
        <w:rFonts w:cs="Times New Roman"/>
      </w:rPr>
    </w:lvl>
    <w:lvl w:ilvl="6" w:tplc="04020001" w:tentative="1">
      <w:start w:val="1"/>
      <w:numFmt w:val="decimal"/>
      <w:lvlText w:val="%7."/>
      <w:lvlJc w:val="left"/>
      <w:pPr>
        <w:tabs>
          <w:tab w:val="num" w:pos="5400"/>
        </w:tabs>
        <w:ind w:left="5400" w:hanging="360"/>
      </w:pPr>
      <w:rPr>
        <w:rFonts w:cs="Times New Roman"/>
      </w:rPr>
    </w:lvl>
    <w:lvl w:ilvl="7" w:tplc="04020003" w:tentative="1">
      <w:start w:val="1"/>
      <w:numFmt w:val="lowerLetter"/>
      <w:lvlText w:val="%8."/>
      <w:lvlJc w:val="left"/>
      <w:pPr>
        <w:tabs>
          <w:tab w:val="num" w:pos="6120"/>
        </w:tabs>
        <w:ind w:left="6120" w:hanging="360"/>
      </w:pPr>
      <w:rPr>
        <w:rFonts w:cs="Times New Roman"/>
      </w:rPr>
    </w:lvl>
    <w:lvl w:ilvl="8" w:tplc="04020005" w:tentative="1">
      <w:start w:val="1"/>
      <w:numFmt w:val="lowerRoman"/>
      <w:lvlText w:val="%9."/>
      <w:lvlJc w:val="right"/>
      <w:pPr>
        <w:tabs>
          <w:tab w:val="num" w:pos="6840"/>
        </w:tabs>
        <w:ind w:left="6840" w:hanging="180"/>
      </w:pPr>
      <w:rPr>
        <w:rFonts w:cs="Times New Roman"/>
      </w:rPr>
    </w:lvl>
  </w:abstractNum>
  <w:abstractNum w:abstractNumId="181" w15:restartNumberingAfterBreak="0">
    <w:nsid w:val="33881D1C"/>
    <w:multiLevelType w:val="hybridMultilevel"/>
    <w:tmpl w:val="E084CDB0"/>
    <w:lvl w:ilvl="0" w:tplc="04020001">
      <w:start w:val="1"/>
      <w:numFmt w:val="bullet"/>
      <w:lvlText w:val=""/>
      <w:lvlJc w:val="left"/>
      <w:pPr>
        <w:ind w:left="720" w:hanging="360"/>
      </w:pPr>
      <w:rPr>
        <w:rFonts w:ascii="Symbol" w:hAnsi="Symbol" w:hint="default"/>
      </w:rPr>
    </w:lvl>
    <w:lvl w:ilvl="1" w:tplc="0402000B" w:tentative="1">
      <w:start w:val="1"/>
      <w:numFmt w:val="bullet"/>
      <w:lvlText w:val="o"/>
      <w:lvlJc w:val="left"/>
      <w:pPr>
        <w:ind w:left="1440" w:hanging="360"/>
      </w:pPr>
      <w:rPr>
        <w:rFonts w:ascii="Courier New" w:hAnsi="Courier New" w:cs="Courier New" w:hint="default"/>
      </w:rPr>
    </w:lvl>
    <w:lvl w:ilvl="2" w:tplc="4F9A1F72"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2" w15:restartNumberingAfterBreak="0">
    <w:nsid w:val="33992DF1"/>
    <w:multiLevelType w:val="hybridMultilevel"/>
    <w:tmpl w:val="7A58EA4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3" w15:restartNumberingAfterBreak="0">
    <w:nsid w:val="33E64C27"/>
    <w:multiLevelType w:val="hybridMultilevel"/>
    <w:tmpl w:val="62D060F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184" w15:restartNumberingAfterBreak="0">
    <w:nsid w:val="346D779D"/>
    <w:multiLevelType w:val="hybridMultilevel"/>
    <w:tmpl w:val="7A5EEBFE"/>
    <w:lvl w:ilvl="0" w:tplc="0F78E5A6">
      <w:start w:val="1"/>
      <w:numFmt w:val="decimal"/>
      <w:lvlText w:val="%1."/>
      <w:lvlJc w:val="left"/>
      <w:pPr>
        <w:ind w:left="720" w:hanging="360"/>
      </w:pPr>
      <w:rPr>
        <w:rFonts w:ascii="Arial" w:eastAsiaTheme="minorHAnsi" w:hAnsi="Arial" w:cs="Arial"/>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5" w15:restartNumberingAfterBreak="0">
    <w:nsid w:val="34BE214F"/>
    <w:multiLevelType w:val="hybridMultilevel"/>
    <w:tmpl w:val="372C14F6"/>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080"/>
        </w:tabs>
        <w:ind w:left="1080" w:hanging="360"/>
      </w:pPr>
      <w:rPr>
        <w:rFonts w:ascii="Courier New" w:hAnsi="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86" w15:restartNumberingAfterBreak="0">
    <w:nsid w:val="34C642E5"/>
    <w:multiLevelType w:val="hybridMultilevel"/>
    <w:tmpl w:val="0412751E"/>
    <w:lvl w:ilvl="0" w:tplc="04020001">
      <w:start w:val="1"/>
      <w:numFmt w:val="bullet"/>
      <w:lvlText w:val=""/>
      <w:lvlJc w:val="left"/>
      <w:pPr>
        <w:tabs>
          <w:tab w:val="num" w:pos="1440"/>
        </w:tabs>
        <w:ind w:left="1440" w:hanging="360"/>
      </w:pPr>
      <w:rPr>
        <w:rFonts w:ascii="Symbol" w:hAnsi="Symbol" w:cs="Symbol" w:hint="default"/>
      </w:rPr>
    </w:lvl>
    <w:lvl w:ilvl="1" w:tplc="04020003">
      <w:start w:val="1"/>
      <w:numFmt w:val="bullet"/>
      <w:lvlText w:val="o"/>
      <w:lvlJc w:val="left"/>
      <w:pPr>
        <w:tabs>
          <w:tab w:val="num" w:pos="2160"/>
        </w:tabs>
        <w:ind w:left="2160" w:hanging="360"/>
      </w:pPr>
      <w:rPr>
        <w:rFonts w:ascii="Courier New" w:hAnsi="Courier New" w:cs="Courier New" w:hint="default"/>
      </w:rPr>
    </w:lvl>
    <w:lvl w:ilvl="2" w:tplc="04020005">
      <w:start w:val="1"/>
      <w:numFmt w:val="bullet"/>
      <w:lvlText w:val=""/>
      <w:lvlJc w:val="left"/>
      <w:pPr>
        <w:tabs>
          <w:tab w:val="num" w:pos="2880"/>
        </w:tabs>
        <w:ind w:left="2880" w:hanging="360"/>
      </w:pPr>
      <w:rPr>
        <w:rFonts w:ascii="Wingdings" w:hAnsi="Wingdings" w:cs="Wingdings" w:hint="default"/>
      </w:rPr>
    </w:lvl>
    <w:lvl w:ilvl="3" w:tplc="04020001">
      <w:start w:val="1"/>
      <w:numFmt w:val="bullet"/>
      <w:lvlText w:val=""/>
      <w:lvlJc w:val="left"/>
      <w:pPr>
        <w:tabs>
          <w:tab w:val="num" w:pos="3600"/>
        </w:tabs>
        <w:ind w:left="3600" w:hanging="360"/>
      </w:pPr>
      <w:rPr>
        <w:rFonts w:ascii="Symbol" w:hAnsi="Symbol" w:cs="Symbol" w:hint="default"/>
      </w:rPr>
    </w:lvl>
    <w:lvl w:ilvl="4" w:tplc="04020003">
      <w:start w:val="1"/>
      <w:numFmt w:val="bullet"/>
      <w:lvlText w:val="o"/>
      <w:lvlJc w:val="left"/>
      <w:pPr>
        <w:tabs>
          <w:tab w:val="num" w:pos="4320"/>
        </w:tabs>
        <w:ind w:left="4320" w:hanging="360"/>
      </w:pPr>
      <w:rPr>
        <w:rFonts w:ascii="Courier New" w:hAnsi="Courier New" w:cs="Courier New" w:hint="default"/>
      </w:rPr>
    </w:lvl>
    <w:lvl w:ilvl="5" w:tplc="04020005">
      <w:start w:val="1"/>
      <w:numFmt w:val="bullet"/>
      <w:lvlText w:val=""/>
      <w:lvlJc w:val="left"/>
      <w:pPr>
        <w:tabs>
          <w:tab w:val="num" w:pos="5040"/>
        </w:tabs>
        <w:ind w:left="5040" w:hanging="360"/>
      </w:pPr>
      <w:rPr>
        <w:rFonts w:ascii="Wingdings" w:hAnsi="Wingdings" w:cs="Wingdings" w:hint="default"/>
      </w:rPr>
    </w:lvl>
    <w:lvl w:ilvl="6" w:tplc="04020001">
      <w:start w:val="1"/>
      <w:numFmt w:val="bullet"/>
      <w:lvlText w:val=""/>
      <w:lvlJc w:val="left"/>
      <w:pPr>
        <w:tabs>
          <w:tab w:val="num" w:pos="5760"/>
        </w:tabs>
        <w:ind w:left="5760" w:hanging="360"/>
      </w:pPr>
      <w:rPr>
        <w:rFonts w:ascii="Symbol" w:hAnsi="Symbol" w:cs="Symbol" w:hint="default"/>
      </w:rPr>
    </w:lvl>
    <w:lvl w:ilvl="7" w:tplc="04020003">
      <w:start w:val="1"/>
      <w:numFmt w:val="bullet"/>
      <w:lvlText w:val="o"/>
      <w:lvlJc w:val="left"/>
      <w:pPr>
        <w:tabs>
          <w:tab w:val="num" w:pos="6480"/>
        </w:tabs>
        <w:ind w:left="6480" w:hanging="360"/>
      </w:pPr>
      <w:rPr>
        <w:rFonts w:ascii="Courier New" w:hAnsi="Courier New" w:cs="Courier New" w:hint="default"/>
      </w:rPr>
    </w:lvl>
    <w:lvl w:ilvl="8" w:tplc="04020005">
      <w:start w:val="1"/>
      <w:numFmt w:val="bullet"/>
      <w:lvlText w:val=""/>
      <w:lvlJc w:val="left"/>
      <w:pPr>
        <w:tabs>
          <w:tab w:val="num" w:pos="7200"/>
        </w:tabs>
        <w:ind w:left="7200" w:hanging="360"/>
      </w:pPr>
      <w:rPr>
        <w:rFonts w:ascii="Wingdings" w:hAnsi="Wingdings" w:cs="Wingdings" w:hint="default"/>
      </w:rPr>
    </w:lvl>
  </w:abstractNum>
  <w:abstractNum w:abstractNumId="187" w15:restartNumberingAfterBreak="0">
    <w:nsid w:val="34C769DA"/>
    <w:multiLevelType w:val="hybridMultilevel"/>
    <w:tmpl w:val="1CC87872"/>
    <w:lvl w:ilvl="0" w:tplc="04020001">
      <w:start w:val="1"/>
      <w:numFmt w:val="bullet"/>
      <w:lvlText w:val=""/>
      <w:lvlJc w:val="left"/>
      <w:pPr>
        <w:tabs>
          <w:tab w:val="num" w:pos="1647"/>
        </w:tabs>
        <w:ind w:left="1647" w:hanging="360"/>
      </w:pPr>
      <w:rPr>
        <w:rFonts w:ascii="Symbol" w:hAnsi="Symbol" w:cs="Symbol" w:hint="default"/>
      </w:rPr>
    </w:lvl>
    <w:lvl w:ilvl="1" w:tplc="04020003">
      <w:start w:val="1"/>
      <w:numFmt w:val="bullet"/>
      <w:lvlText w:val="o"/>
      <w:lvlJc w:val="left"/>
      <w:pPr>
        <w:tabs>
          <w:tab w:val="num" w:pos="2367"/>
        </w:tabs>
        <w:ind w:left="2367" w:hanging="360"/>
      </w:pPr>
      <w:rPr>
        <w:rFonts w:ascii="Courier New" w:hAnsi="Courier New" w:cs="Courier New" w:hint="default"/>
      </w:rPr>
    </w:lvl>
    <w:lvl w:ilvl="2" w:tplc="04020005">
      <w:start w:val="1"/>
      <w:numFmt w:val="bullet"/>
      <w:lvlText w:val=""/>
      <w:lvlJc w:val="left"/>
      <w:pPr>
        <w:tabs>
          <w:tab w:val="num" w:pos="3087"/>
        </w:tabs>
        <w:ind w:left="3087" w:hanging="360"/>
      </w:pPr>
      <w:rPr>
        <w:rFonts w:ascii="Wingdings" w:hAnsi="Wingdings" w:cs="Wingdings" w:hint="default"/>
      </w:rPr>
    </w:lvl>
    <w:lvl w:ilvl="3" w:tplc="04020001">
      <w:start w:val="1"/>
      <w:numFmt w:val="bullet"/>
      <w:lvlText w:val=""/>
      <w:lvlJc w:val="left"/>
      <w:pPr>
        <w:tabs>
          <w:tab w:val="num" w:pos="3807"/>
        </w:tabs>
        <w:ind w:left="3807" w:hanging="360"/>
      </w:pPr>
      <w:rPr>
        <w:rFonts w:ascii="Symbol" w:hAnsi="Symbol" w:cs="Symbol" w:hint="default"/>
      </w:rPr>
    </w:lvl>
    <w:lvl w:ilvl="4" w:tplc="04020003">
      <w:start w:val="1"/>
      <w:numFmt w:val="bullet"/>
      <w:lvlText w:val="o"/>
      <w:lvlJc w:val="left"/>
      <w:pPr>
        <w:tabs>
          <w:tab w:val="num" w:pos="4527"/>
        </w:tabs>
        <w:ind w:left="4527" w:hanging="360"/>
      </w:pPr>
      <w:rPr>
        <w:rFonts w:ascii="Courier New" w:hAnsi="Courier New" w:cs="Courier New" w:hint="default"/>
      </w:rPr>
    </w:lvl>
    <w:lvl w:ilvl="5" w:tplc="04020005">
      <w:start w:val="1"/>
      <w:numFmt w:val="bullet"/>
      <w:lvlText w:val=""/>
      <w:lvlJc w:val="left"/>
      <w:pPr>
        <w:tabs>
          <w:tab w:val="num" w:pos="5247"/>
        </w:tabs>
        <w:ind w:left="5247" w:hanging="360"/>
      </w:pPr>
      <w:rPr>
        <w:rFonts w:ascii="Wingdings" w:hAnsi="Wingdings" w:cs="Wingdings" w:hint="default"/>
      </w:rPr>
    </w:lvl>
    <w:lvl w:ilvl="6" w:tplc="04020001">
      <w:start w:val="1"/>
      <w:numFmt w:val="bullet"/>
      <w:lvlText w:val=""/>
      <w:lvlJc w:val="left"/>
      <w:pPr>
        <w:tabs>
          <w:tab w:val="num" w:pos="5967"/>
        </w:tabs>
        <w:ind w:left="5967" w:hanging="360"/>
      </w:pPr>
      <w:rPr>
        <w:rFonts w:ascii="Symbol" w:hAnsi="Symbol" w:cs="Symbol" w:hint="default"/>
      </w:rPr>
    </w:lvl>
    <w:lvl w:ilvl="7" w:tplc="04020003">
      <w:start w:val="1"/>
      <w:numFmt w:val="bullet"/>
      <w:lvlText w:val="o"/>
      <w:lvlJc w:val="left"/>
      <w:pPr>
        <w:tabs>
          <w:tab w:val="num" w:pos="6687"/>
        </w:tabs>
        <w:ind w:left="6687" w:hanging="360"/>
      </w:pPr>
      <w:rPr>
        <w:rFonts w:ascii="Courier New" w:hAnsi="Courier New" w:cs="Courier New" w:hint="default"/>
      </w:rPr>
    </w:lvl>
    <w:lvl w:ilvl="8" w:tplc="04020005">
      <w:start w:val="1"/>
      <w:numFmt w:val="bullet"/>
      <w:lvlText w:val=""/>
      <w:lvlJc w:val="left"/>
      <w:pPr>
        <w:tabs>
          <w:tab w:val="num" w:pos="7407"/>
        </w:tabs>
        <w:ind w:left="7407" w:hanging="360"/>
      </w:pPr>
      <w:rPr>
        <w:rFonts w:ascii="Wingdings" w:hAnsi="Wingdings" w:cs="Wingdings" w:hint="default"/>
      </w:rPr>
    </w:lvl>
  </w:abstractNum>
  <w:abstractNum w:abstractNumId="188" w15:restartNumberingAfterBreak="0">
    <w:nsid w:val="35E147B9"/>
    <w:multiLevelType w:val="hybridMultilevel"/>
    <w:tmpl w:val="A746D4F0"/>
    <w:lvl w:ilvl="0" w:tplc="E8405F1A">
      <w:start w:val="1"/>
      <w:numFmt w:val="bullet"/>
      <w:lvlText w:val=""/>
      <w:lvlJc w:val="left"/>
      <w:pPr>
        <w:ind w:left="360" w:hanging="360"/>
      </w:pPr>
      <w:rPr>
        <w:rFonts w:ascii="Symbol" w:hAnsi="Symbol" w:hint="default"/>
      </w:rPr>
    </w:lvl>
    <w:lvl w:ilvl="1" w:tplc="CD3C066E" w:tentative="1">
      <w:start w:val="1"/>
      <w:numFmt w:val="bullet"/>
      <w:lvlText w:val="o"/>
      <w:lvlJc w:val="left"/>
      <w:pPr>
        <w:ind w:left="1080" w:hanging="360"/>
      </w:pPr>
      <w:rPr>
        <w:rFonts w:ascii="Courier New" w:hAnsi="Courier New" w:cs="Courier New" w:hint="default"/>
      </w:rPr>
    </w:lvl>
    <w:lvl w:ilvl="2" w:tplc="0A5018C2" w:tentative="1">
      <w:start w:val="1"/>
      <w:numFmt w:val="bullet"/>
      <w:lvlText w:val=""/>
      <w:lvlJc w:val="left"/>
      <w:pPr>
        <w:ind w:left="1800" w:hanging="360"/>
      </w:pPr>
      <w:rPr>
        <w:rFonts w:ascii="Wingdings" w:hAnsi="Wingdings" w:hint="default"/>
      </w:rPr>
    </w:lvl>
    <w:lvl w:ilvl="3" w:tplc="0CD25666" w:tentative="1">
      <w:start w:val="1"/>
      <w:numFmt w:val="bullet"/>
      <w:lvlText w:val=""/>
      <w:lvlJc w:val="left"/>
      <w:pPr>
        <w:ind w:left="2520" w:hanging="360"/>
      </w:pPr>
      <w:rPr>
        <w:rFonts w:ascii="Symbol" w:hAnsi="Symbol" w:hint="default"/>
      </w:rPr>
    </w:lvl>
    <w:lvl w:ilvl="4" w:tplc="E61C8138" w:tentative="1">
      <w:start w:val="1"/>
      <w:numFmt w:val="bullet"/>
      <w:lvlText w:val="o"/>
      <w:lvlJc w:val="left"/>
      <w:pPr>
        <w:ind w:left="3240" w:hanging="360"/>
      </w:pPr>
      <w:rPr>
        <w:rFonts w:ascii="Courier New" w:hAnsi="Courier New" w:cs="Courier New" w:hint="default"/>
      </w:rPr>
    </w:lvl>
    <w:lvl w:ilvl="5" w:tplc="C11E2D6C" w:tentative="1">
      <w:start w:val="1"/>
      <w:numFmt w:val="bullet"/>
      <w:lvlText w:val=""/>
      <w:lvlJc w:val="left"/>
      <w:pPr>
        <w:ind w:left="3960" w:hanging="360"/>
      </w:pPr>
      <w:rPr>
        <w:rFonts w:ascii="Wingdings" w:hAnsi="Wingdings" w:hint="default"/>
      </w:rPr>
    </w:lvl>
    <w:lvl w:ilvl="6" w:tplc="1820D62A" w:tentative="1">
      <w:start w:val="1"/>
      <w:numFmt w:val="bullet"/>
      <w:lvlText w:val=""/>
      <w:lvlJc w:val="left"/>
      <w:pPr>
        <w:ind w:left="4680" w:hanging="360"/>
      </w:pPr>
      <w:rPr>
        <w:rFonts w:ascii="Symbol" w:hAnsi="Symbol" w:hint="default"/>
      </w:rPr>
    </w:lvl>
    <w:lvl w:ilvl="7" w:tplc="BAC82770" w:tentative="1">
      <w:start w:val="1"/>
      <w:numFmt w:val="bullet"/>
      <w:lvlText w:val="o"/>
      <w:lvlJc w:val="left"/>
      <w:pPr>
        <w:ind w:left="5400" w:hanging="360"/>
      </w:pPr>
      <w:rPr>
        <w:rFonts w:ascii="Courier New" w:hAnsi="Courier New" w:cs="Courier New" w:hint="default"/>
      </w:rPr>
    </w:lvl>
    <w:lvl w:ilvl="8" w:tplc="3F3686FA" w:tentative="1">
      <w:start w:val="1"/>
      <w:numFmt w:val="bullet"/>
      <w:lvlText w:val=""/>
      <w:lvlJc w:val="left"/>
      <w:pPr>
        <w:ind w:left="6120" w:hanging="360"/>
      </w:pPr>
      <w:rPr>
        <w:rFonts w:ascii="Wingdings" w:hAnsi="Wingdings" w:hint="default"/>
      </w:rPr>
    </w:lvl>
  </w:abstractNum>
  <w:abstractNum w:abstractNumId="189" w15:restartNumberingAfterBreak="0">
    <w:nsid w:val="367C7AE0"/>
    <w:multiLevelType w:val="hybridMultilevel"/>
    <w:tmpl w:val="4D9E3974"/>
    <w:lvl w:ilvl="0" w:tplc="4408792E">
      <w:start w:val="1"/>
      <w:numFmt w:val="bullet"/>
      <w:lvlText w:val="–"/>
      <w:lvlJc w:val="left"/>
      <w:pPr>
        <w:tabs>
          <w:tab w:val="num" w:pos="720"/>
        </w:tabs>
        <w:ind w:left="720" w:hanging="360"/>
      </w:pPr>
      <w:rPr>
        <w:rFonts w:ascii="Arial" w:hAnsi="Arial" w:hint="default"/>
      </w:rPr>
    </w:lvl>
    <w:lvl w:ilvl="1" w:tplc="3CD4FB76">
      <w:start w:val="1"/>
      <w:numFmt w:val="bullet"/>
      <w:lvlText w:val="–"/>
      <w:lvlJc w:val="left"/>
      <w:pPr>
        <w:tabs>
          <w:tab w:val="num" w:pos="1440"/>
        </w:tabs>
        <w:ind w:left="1440" w:hanging="360"/>
      </w:pPr>
      <w:rPr>
        <w:rFonts w:ascii="Arial" w:hAnsi="Arial" w:hint="default"/>
      </w:rPr>
    </w:lvl>
    <w:lvl w:ilvl="2" w:tplc="9A3C9CB6">
      <w:start w:val="1"/>
      <w:numFmt w:val="bullet"/>
      <w:lvlText w:val="–"/>
      <w:lvlJc w:val="left"/>
      <w:pPr>
        <w:tabs>
          <w:tab w:val="num" w:pos="2160"/>
        </w:tabs>
        <w:ind w:left="2160" w:hanging="360"/>
      </w:pPr>
      <w:rPr>
        <w:rFonts w:ascii="Arial" w:hAnsi="Arial" w:hint="default"/>
      </w:rPr>
    </w:lvl>
    <w:lvl w:ilvl="3" w:tplc="86F28B5E" w:tentative="1">
      <w:start w:val="1"/>
      <w:numFmt w:val="bullet"/>
      <w:lvlText w:val="–"/>
      <w:lvlJc w:val="left"/>
      <w:pPr>
        <w:tabs>
          <w:tab w:val="num" w:pos="2880"/>
        </w:tabs>
        <w:ind w:left="2880" w:hanging="360"/>
      </w:pPr>
      <w:rPr>
        <w:rFonts w:ascii="Arial" w:hAnsi="Arial" w:hint="default"/>
      </w:rPr>
    </w:lvl>
    <w:lvl w:ilvl="4" w:tplc="1C8A4DBE" w:tentative="1">
      <w:start w:val="1"/>
      <w:numFmt w:val="bullet"/>
      <w:lvlText w:val="–"/>
      <w:lvlJc w:val="left"/>
      <w:pPr>
        <w:tabs>
          <w:tab w:val="num" w:pos="3600"/>
        </w:tabs>
        <w:ind w:left="3600" w:hanging="360"/>
      </w:pPr>
      <w:rPr>
        <w:rFonts w:ascii="Arial" w:hAnsi="Arial" w:hint="default"/>
      </w:rPr>
    </w:lvl>
    <w:lvl w:ilvl="5" w:tplc="C4BAB98A" w:tentative="1">
      <w:start w:val="1"/>
      <w:numFmt w:val="bullet"/>
      <w:lvlText w:val="–"/>
      <w:lvlJc w:val="left"/>
      <w:pPr>
        <w:tabs>
          <w:tab w:val="num" w:pos="4320"/>
        </w:tabs>
        <w:ind w:left="4320" w:hanging="360"/>
      </w:pPr>
      <w:rPr>
        <w:rFonts w:ascii="Arial" w:hAnsi="Arial" w:hint="default"/>
      </w:rPr>
    </w:lvl>
    <w:lvl w:ilvl="6" w:tplc="6DCE08BA" w:tentative="1">
      <w:start w:val="1"/>
      <w:numFmt w:val="bullet"/>
      <w:lvlText w:val="–"/>
      <w:lvlJc w:val="left"/>
      <w:pPr>
        <w:tabs>
          <w:tab w:val="num" w:pos="5040"/>
        </w:tabs>
        <w:ind w:left="5040" w:hanging="360"/>
      </w:pPr>
      <w:rPr>
        <w:rFonts w:ascii="Arial" w:hAnsi="Arial" w:hint="default"/>
      </w:rPr>
    </w:lvl>
    <w:lvl w:ilvl="7" w:tplc="1464C7C2" w:tentative="1">
      <w:start w:val="1"/>
      <w:numFmt w:val="bullet"/>
      <w:lvlText w:val="–"/>
      <w:lvlJc w:val="left"/>
      <w:pPr>
        <w:tabs>
          <w:tab w:val="num" w:pos="5760"/>
        </w:tabs>
        <w:ind w:left="5760" w:hanging="360"/>
      </w:pPr>
      <w:rPr>
        <w:rFonts w:ascii="Arial" w:hAnsi="Arial" w:hint="default"/>
      </w:rPr>
    </w:lvl>
    <w:lvl w:ilvl="8" w:tplc="DD84D412" w:tentative="1">
      <w:start w:val="1"/>
      <w:numFmt w:val="bullet"/>
      <w:lvlText w:val="–"/>
      <w:lvlJc w:val="left"/>
      <w:pPr>
        <w:tabs>
          <w:tab w:val="num" w:pos="6480"/>
        </w:tabs>
        <w:ind w:left="6480" w:hanging="360"/>
      </w:pPr>
      <w:rPr>
        <w:rFonts w:ascii="Arial" w:hAnsi="Arial" w:hint="default"/>
      </w:rPr>
    </w:lvl>
  </w:abstractNum>
  <w:abstractNum w:abstractNumId="190" w15:restartNumberingAfterBreak="0">
    <w:nsid w:val="36E641E8"/>
    <w:multiLevelType w:val="hybridMultilevel"/>
    <w:tmpl w:val="41EEAFEA"/>
    <w:lvl w:ilvl="0" w:tplc="64DA908A">
      <w:start w:val="1"/>
      <w:numFmt w:val="bullet"/>
      <w:lvlText w:val=""/>
      <w:lvlJc w:val="left"/>
      <w:pPr>
        <w:tabs>
          <w:tab w:val="num" w:pos="720"/>
        </w:tabs>
        <w:ind w:left="720" w:hanging="360"/>
      </w:pPr>
      <w:rPr>
        <w:rFonts w:ascii="Symbol" w:hAnsi="Symbol" w:cs="Symbol" w:hint="default"/>
      </w:rPr>
    </w:lvl>
    <w:lvl w:ilvl="1" w:tplc="9264A3A4">
      <w:start w:val="1"/>
      <w:numFmt w:val="bullet"/>
      <w:lvlText w:val="o"/>
      <w:lvlJc w:val="left"/>
      <w:pPr>
        <w:tabs>
          <w:tab w:val="num" w:pos="1440"/>
        </w:tabs>
        <w:ind w:left="1440" w:hanging="360"/>
      </w:pPr>
      <w:rPr>
        <w:rFonts w:ascii="Courier New" w:hAnsi="Courier New" w:cs="Courier New" w:hint="default"/>
      </w:rPr>
    </w:lvl>
    <w:lvl w:ilvl="2" w:tplc="4B22A586">
      <w:start w:val="1"/>
      <w:numFmt w:val="bullet"/>
      <w:lvlText w:val=""/>
      <w:lvlJc w:val="left"/>
      <w:pPr>
        <w:tabs>
          <w:tab w:val="num" w:pos="2160"/>
        </w:tabs>
        <w:ind w:left="2160" w:hanging="360"/>
      </w:pPr>
      <w:rPr>
        <w:rFonts w:ascii="Wingdings" w:hAnsi="Wingdings" w:cs="Wingdings" w:hint="default"/>
      </w:rPr>
    </w:lvl>
    <w:lvl w:ilvl="3" w:tplc="ABDA7736">
      <w:start w:val="1"/>
      <w:numFmt w:val="bullet"/>
      <w:lvlText w:val=""/>
      <w:lvlJc w:val="left"/>
      <w:pPr>
        <w:tabs>
          <w:tab w:val="num" w:pos="2880"/>
        </w:tabs>
        <w:ind w:left="2880" w:hanging="360"/>
      </w:pPr>
      <w:rPr>
        <w:rFonts w:ascii="Symbol" w:hAnsi="Symbol" w:cs="Symbol" w:hint="default"/>
      </w:rPr>
    </w:lvl>
    <w:lvl w:ilvl="4" w:tplc="F4E0F5F2">
      <w:start w:val="1"/>
      <w:numFmt w:val="bullet"/>
      <w:lvlText w:val="o"/>
      <w:lvlJc w:val="left"/>
      <w:pPr>
        <w:tabs>
          <w:tab w:val="num" w:pos="3600"/>
        </w:tabs>
        <w:ind w:left="3600" w:hanging="360"/>
      </w:pPr>
      <w:rPr>
        <w:rFonts w:ascii="Courier New" w:hAnsi="Courier New" w:cs="Courier New" w:hint="default"/>
      </w:rPr>
    </w:lvl>
    <w:lvl w:ilvl="5" w:tplc="E9C4A064">
      <w:start w:val="1"/>
      <w:numFmt w:val="bullet"/>
      <w:lvlText w:val=""/>
      <w:lvlJc w:val="left"/>
      <w:pPr>
        <w:tabs>
          <w:tab w:val="num" w:pos="4320"/>
        </w:tabs>
        <w:ind w:left="4320" w:hanging="360"/>
      </w:pPr>
      <w:rPr>
        <w:rFonts w:ascii="Wingdings" w:hAnsi="Wingdings" w:cs="Wingdings" w:hint="default"/>
      </w:rPr>
    </w:lvl>
    <w:lvl w:ilvl="6" w:tplc="942CF612">
      <w:start w:val="1"/>
      <w:numFmt w:val="bullet"/>
      <w:lvlText w:val=""/>
      <w:lvlJc w:val="left"/>
      <w:pPr>
        <w:tabs>
          <w:tab w:val="num" w:pos="5040"/>
        </w:tabs>
        <w:ind w:left="5040" w:hanging="360"/>
      </w:pPr>
      <w:rPr>
        <w:rFonts w:ascii="Symbol" w:hAnsi="Symbol" w:cs="Symbol" w:hint="default"/>
      </w:rPr>
    </w:lvl>
    <w:lvl w:ilvl="7" w:tplc="AF34D502">
      <w:start w:val="1"/>
      <w:numFmt w:val="bullet"/>
      <w:lvlText w:val="o"/>
      <w:lvlJc w:val="left"/>
      <w:pPr>
        <w:tabs>
          <w:tab w:val="num" w:pos="5760"/>
        </w:tabs>
        <w:ind w:left="5760" w:hanging="360"/>
      </w:pPr>
      <w:rPr>
        <w:rFonts w:ascii="Courier New" w:hAnsi="Courier New" w:cs="Courier New" w:hint="default"/>
      </w:rPr>
    </w:lvl>
    <w:lvl w:ilvl="8" w:tplc="5178E4C2">
      <w:start w:val="1"/>
      <w:numFmt w:val="bullet"/>
      <w:lvlText w:val=""/>
      <w:lvlJc w:val="left"/>
      <w:pPr>
        <w:tabs>
          <w:tab w:val="num" w:pos="6480"/>
        </w:tabs>
        <w:ind w:left="6480" w:hanging="360"/>
      </w:pPr>
      <w:rPr>
        <w:rFonts w:ascii="Wingdings" w:hAnsi="Wingdings" w:cs="Wingdings" w:hint="default"/>
      </w:rPr>
    </w:lvl>
  </w:abstractNum>
  <w:abstractNum w:abstractNumId="191" w15:restartNumberingAfterBreak="0">
    <w:nsid w:val="37057E7B"/>
    <w:multiLevelType w:val="hybridMultilevel"/>
    <w:tmpl w:val="FA74B850"/>
    <w:lvl w:ilvl="0" w:tplc="0402000F">
      <w:start w:val="1"/>
      <w:numFmt w:val="decimal"/>
      <w:lvlText w:val="%1."/>
      <w:lvlJc w:val="left"/>
      <w:pPr>
        <w:tabs>
          <w:tab w:val="num" w:pos="2160"/>
        </w:tabs>
        <w:ind w:left="2160" w:hanging="360"/>
      </w:pPr>
    </w:lvl>
    <w:lvl w:ilvl="1" w:tplc="04020019">
      <w:start w:val="1"/>
      <w:numFmt w:val="lowerLetter"/>
      <w:lvlText w:val="%2."/>
      <w:lvlJc w:val="left"/>
      <w:pPr>
        <w:tabs>
          <w:tab w:val="num" w:pos="2880"/>
        </w:tabs>
        <w:ind w:left="2880" w:hanging="360"/>
      </w:pPr>
    </w:lvl>
    <w:lvl w:ilvl="2" w:tplc="0402001B">
      <w:start w:val="1"/>
      <w:numFmt w:val="lowerRoman"/>
      <w:lvlText w:val="%3."/>
      <w:lvlJc w:val="right"/>
      <w:pPr>
        <w:tabs>
          <w:tab w:val="num" w:pos="3600"/>
        </w:tabs>
        <w:ind w:left="3600" w:hanging="180"/>
      </w:pPr>
    </w:lvl>
    <w:lvl w:ilvl="3" w:tplc="0402000F">
      <w:start w:val="1"/>
      <w:numFmt w:val="decimal"/>
      <w:lvlText w:val="%4."/>
      <w:lvlJc w:val="left"/>
      <w:pPr>
        <w:tabs>
          <w:tab w:val="num" w:pos="4320"/>
        </w:tabs>
        <w:ind w:left="4320" w:hanging="360"/>
      </w:pPr>
    </w:lvl>
    <w:lvl w:ilvl="4" w:tplc="04020019">
      <w:start w:val="1"/>
      <w:numFmt w:val="lowerLetter"/>
      <w:lvlText w:val="%5."/>
      <w:lvlJc w:val="left"/>
      <w:pPr>
        <w:tabs>
          <w:tab w:val="num" w:pos="5040"/>
        </w:tabs>
        <w:ind w:left="5040" w:hanging="360"/>
      </w:pPr>
    </w:lvl>
    <w:lvl w:ilvl="5" w:tplc="0402001B">
      <w:start w:val="1"/>
      <w:numFmt w:val="lowerRoman"/>
      <w:lvlText w:val="%6."/>
      <w:lvlJc w:val="right"/>
      <w:pPr>
        <w:tabs>
          <w:tab w:val="num" w:pos="5760"/>
        </w:tabs>
        <w:ind w:left="5760" w:hanging="180"/>
      </w:pPr>
    </w:lvl>
    <w:lvl w:ilvl="6" w:tplc="0402000F">
      <w:start w:val="1"/>
      <w:numFmt w:val="decimal"/>
      <w:lvlText w:val="%7."/>
      <w:lvlJc w:val="left"/>
      <w:pPr>
        <w:tabs>
          <w:tab w:val="num" w:pos="6480"/>
        </w:tabs>
        <w:ind w:left="6480" w:hanging="360"/>
      </w:pPr>
    </w:lvl>
    <w:lvl w:ilvl="7" w:tplc="04020019">
      <w:start w:val="1"/>
      <w:numFmt w:val="lowerLetter"/>
      <w:lvlText w:val="%8."/>
      <w:lvlJc w:val="left"/>
      <w:pPr>
        <w:tabs>
          <w:tab w:val="num" w:pos="7200"/>
        </w:tabs>
        <w:ind w:left="7200" w:hanging="360"/>
      </w:pPr>
    </w:lvl>
    <w:lvl w:ilvl="8" w:tplc="0402001B">
      <w:start w:val="1"/>
      <w:numFmt w:val="lowerRoman"/>
      <w:lvlText w:val="%9."/>
      <w:lvlJc w:val="right"/>
      <w:pPr>
        <w:tabs>
          <w:tab w:val="num" w:pos="7920"/>
        </w:tabs>
        <w:ind w:left="7920" w:hanging="180"/>
      </w:pPr>
    </w:lvl>
  </w:abstractNum>
  <w:abstractNum w:abstractNumId="192" w15:restartNumberingAfterBreak="0">
    <w:nsid w:val="37225CA3"/>
    <w:multiLevelType w:val="hybridMultilevel"/>
    <w:tmpl w:val="62B661B0"/>
    <w:lvl w:ilvl="0" w:tplc="04020003">
      <w:start w:val="1"/>
      <w:numFmt w:val="bullet"/>
      <w:lvlText w:val=""/>
      <w:lvlJc w:val="left"/>
      <w:pPr>
        <w:tabs>
          <w:tab w:val="num" w:pos="720"/>
        </w:tabs>
        <w:ind w:left="720" w:hanging="360"/>
      </w:pPr>
      <w:rPr>
        <w:rFonts w:ascii="Wingdings" w:hAnsi="Wingdings" w:hint="default"/>
      </w:rPr>
    </w:lvl>
    <w:lvl w:ilvl="1" w:tplc="04020003" w:tentative="1">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Wingdings" w:hAnsi="Wingdings" w:hint="default"/>
      </w:rPr>
    </w:lvl>
    <w:lvl w:ilvl="4" w:tplc="04020003" w:tentative="1">
      <w:start w:val="1"/>
      <w:numFmt w:val="bullet"/>
      <w:lvlText w:val=""/>
      <w:lvlJc w:val="left"/>
      <w:pPr>
        <w:tabs>
          <w:tab w:val="num" w:pos="3600"/>
        </w:tabs>
        <w:ind w:left="3600" w:hanging="360"/>
      </w:pPr>
      <w:rPr>
        <w:rFonts w:ascii="Wingdings" w:hAnsi="Wingdings"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Wingdings" w:hAnsi="Wingdings" w:hint="default"/>
      </w:rPr>
    </w:lvl>
    <w:lvl w:ilvl="7" w:tplc="04020003" w:tentative="1">
      <w:start w:val="1"/>
      <w:numFmt w:val="bullet"/>
      <w:lvlText w:val=""/>
      <w:lvlJc w:val="left"/>
      <w:pPr>
        <w:tabs>
          <w:tab w:val="num" w:pos="5760"/>
        </w:tabs>
        <w:ind w:left="5760" w:hanging="360"/>
      </w:pPr>
      <w:rPr>
        <w:rFonts w:ascii="Wingdings" w:hAnsi="Wingdings"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3" w15:restartNumberingAfterBreak="0">
    <w:nsid w:val="383B7AF6"/>
    <w:multiLevelType w:val="hybridMultilevel"/>
    <w:tmpl w:val="F2EE2258"/>
    <w:lvl w:ilvl="0" w:tplc="08B2CDE8">
      <w:start w:val="1"/>
      <w:numFmt w:val="bullet"/>
      <w:lvlText w:val=""/>
      <w:lvlJc w:val="left"/>
      <w:pPr>
        <w:tabs>
          <w:tab w:val="num" w:pos="720"/>
        </w:tabs>
        <w:ind w:left="720" w:hanging="360"/>
      </w:pPr>
      <w:rPr>
        <w:rFonts w:ascii="Symbol" w:hAnsi="Symbol" w:cs="Symbol" w:hint="default"/>
      </w:rPr>
    </w:lvl>
    <w:lvl w:ilvl="1" w:tplc="FC085032">
      <w:start w:val="1"/>
      <w:numFmt w:val="bullet"/>
      <w:lvlText w:val="o"/>
      <w:lvlJc w:val="left"/>
      <w:pPr>
        <w:tabs>
          <w:tab w:val="num" w:pos="1440"/>
        </w:tabs>
        <w:ind w:left="1440" w:hanging="360"/>
      </w:pPr>
      <w:rPr>
        <w:rFonts w:ascii="Courier New" w:hAnsi="Courier New" w:cs="Courier New" w:hint="default"/>
      </w:rPr>
    </w:lvl>
    <w:lvl w:ilvl="2" w:tplc="282EE00A">
      <w:start w:val="1"/>
      <w:numFmt w:val="bullet"/>
      <w:lvlText w:val=""/>
      <w:lvlJc w:val="left"/>
      <w:pPr>
        <w:tabs>
          <w:tab w:val="num" w:pos="2160"/>
        </w:tabs>
        <w:ind w:left="2160" w:hanging="360"/>
      </w:pPr>
      <w:rPr>
        <w:rFonts w:ascii="Wingdings" w:hAnsi="Wingdings" w:cs="Wingdings" w:hint="default"/>
      </w:rPr>
    </w:lvl>
    <w:lvl w:ilvl="3" w:tplc="74323734">
      <w:start w:val="1"/>
      <w:numFmt w:val="bullet"/>
      <w:lvlText w:val=""/>
      <w:lvlJc w:val="left"/>
      <w:pPr>
        <w:tabs>
          <w:tab w:val="num" w:pos="2880"/>
        </w:tabs>
        <w:ind w:left="2880" w:hanging="360"/>
      </w:pPr>
      <w:rPr>
        <w:rFonts w:ascii="Symbol" w:hAnsi="Symbol" w:cs="Symbol" w:hint="default"/>
      </w:rPr>
    </w:lvl>
    <w:lvl w:ilvl="4" w:tplc="4642B9B8">
      <w:start w:val="1"/>
      <w:numFmt w:val="bullet"/>
      <w:lvlText w:val="o"/>
      <w:lvlJc w:val="left"/>
      <w:pPr>
        <w:tabs>
          <w:tab w:val="num" w:pos="3600"/>
        </w:tabs>
        <w:ind w:left="3600" w:hanging="360"/>
      </w:pPr>
      <w:rPr>
        <w:rFonts w:ascii="Courier New" w:hAnsi="Courier New" w:cs="Courier New" w:hint="default"/>
      </w:rPr>
    </w:lvl>
    <w:lvl w:ilvl="5" w:tplc="3C0E673E">
      <w:start w:val="1"/>
      <w:numFmt w:val="bullet"/>
      <w:lvlText w:val=""/>
      <w:lvlJc w:val="left"/>
      <w:pPr>
        <w:tabs>
          <w:tab w:val="num" w:pos="4320"/>
        </w:tabs>
        <w:ind w:left="4320" w:hanging="360"/>
      </w:pPr>
      <w:rPr>
        <w:rFonts w:ascii="Wingdings" w:hAnsi="Wingdings" w:cs="Wingdings" w:hint="default"/>
      </w:rPr>
    </w:lvl>
    <w:lvl w:ilvl="6" w:tplc="1ABE469A">
      <w:start w:val="1"/>
      <w:numFmt w:val="bullet"/>
      <w:lvlText w:val=""/>
      <w:lvlJc w:val="left"/>
      <w:pPr>
        <w:tabs>
          <w:tab w:val="num" w:pos="5040"/>
        </w:tabs>
        <w:ind w:left="5040" w:hanging="360"/>
      </w:pPr>
      <w:rPr>
        <w:rFonts w:ascii="Symbol" w:hAnsi="Symbol" w:cs="Symbol" w:hint="default"/>
      </w:rPr>
    </w:lvl>
    <w:lvl w:ilvl="7" w:tplc="D8085770">
      <w:start w:val="1"/>
      <w:numFmt w:val="bullet"/>
      <w:lvlText w:val="o"/>
      <w:lvlJc w:val="left"/>
      <w:pPr>
        <w:tabs>
          <w:tab w:val="num" w:pos="5760"/>
        </w:tabs>
        <w:ind w:left="5760" w:hanging="360"/>
      </w:pPr>
      <w:rPr>
        <w:rFonts w:ascii="Courier New" w:hAnsi="Courier New" w:cs="Courier New" w:hint="default"/>
      </w:rPr>
    </w:lvl>
    <w:lvl w:ilvl="8" w:tplc="C7BABE02">
      <w:start w:val="1"/>
      <w:numFmt w:val="bullet"/>
      <w:lvlText w:val=""/>
      <w:lvlJc w:val="left"/>
      <w:pPr>
        <w:tabs>
          <w:tab w:val="num" w:pos="6480"/>
        </w:tabs>
        <w:ind w:left="6480" w:hanging="360"/>
      </w:pPr>
      <w:rPr>
        <w:rFonts w:ascii="Wingdings" w:hAnsi="Wingdings" w:cs="Wingdings" w:hint="default"/>
      </w:rPr>
    </w:lvl>
  </w:abstractNum>
  <w:abstractNum w:abstractNumId="194" w15:restartNumberingAfterBreak="0">
    <w:nsid w:val="38432CCA"/>
    <w:multiLevelType w:val="hybridMultilevel"/>
    <w:tmpl w:val="FC0051FA"/>
    <w:lvl w:ilvl="0" w:tplc="0B88E648">
      <w:start w:val="1"/>
      <w:numFmt w:val="bullet"/>
      <w:lvlText w:val=""/>
      <w:lvlJc w:val="left"/>
      <w:pPr>
        <w:ind w:left="872" w:hanging="360"/>
      </w:pPr>
      <w:rPr>
        <w:rFonts w:ascii="Symbol" w:hAnsi="Symbol" w:hint="default"/>
      </w:rPr>
    </w:lvl>
    <w:lvl w:ilvl="1" w:tplc="F1B2F512" w:tentative="1">
      <w:start w:val="1"/>
      <w:numFmt w:val="bullet"/>
      <w:lvlText w:val="o"/>
      <w:lvlJc w:val="left"/>
      <w:pPr>
        <w:ind w:left="1876" w:hanging="360"/>
      </w:pPr>
      <w:rPr>
        <w:rFonts w:ascii="Courier New" w:hAnsi="Courier New" w:hint="default"/>
      </w:rPr>
    </w:lvl>
    <w:lvl w:ilvl="2" w:tplc="4B2AFAC0" w:tentative="1">
      <w:start w:val="1"/>
      <w:numFmt w:val="bullet"/>
      <w:lvlText w:val=""/>
      <w:lvlJc w:val="left"/>
      <w:pPr>
        <w:ind w:left="2596" w:hanging="360"/>
      </w:pPr>
      <w:rPr>
        <w:rFonts w:ascii="Wingdings" w:hAnsi="Wingdings" w:hint="default"/>
      </w:rPr>
    </w:lvl>
    <w:lvl w:ilvl="3" w:tplc="29EA4EDA" w:tentative="1">
      <w:start w:val="1"/>
      <w:numFmt w:val="bullet"/>
      <w:lvlText w:val=""/>
      <w:lvlJc w:val="left"/>
      <w:pPr>
        <w:ind w:left="3316" w:hanging="360"/>
      </w:pPr>
      <w:rPr>
        <w:rFonts w:ascii="Symbol" w:hAnsi="Symbol" w:hint="default"/>
      </w:rPr>
    </w:lvl>
    <w:lvl w:ilvl="4" w:tplc="5076452E" w:tentative="1">
      <w:start w:val="1"/>
      <w:numFmt w:val="bullet"/>
      <w:lvlText w:val="o"/>
      <w:lvlJc w:val="left"/>
      <w:pPr>
        <w:ind w:left="4036" w:hanging="360"/>
      </w:pPr>
      <w:rPr>
        <w:rFonts w:ascii="Courier New" w:hAnsi="Courier New" w:hint="default"/>
      </w:rPr>
    </w:lvl>
    <w:lvl w:ilvl="5" w:tplc="525C25B8" w:tentative="1">
      <w:start w:val="1"/>
      <w:numFmt w:val="bullet"/>
      <w:lvlText w:val=""/>
      <w:lvlJc w:val="left"/>
      <w:pPr>
        <w:ind w:left="4756" w:hanging="360"/>
      </w:pPr>
      <w:rPr>
        <w:rFonts w:ascii="Wingdings" w:hAnsi="Wingdings" w:hint="default"/>
      </w:rPr>
    </w:lvl>
    <w:lvl w:ilvl="6" w:tplc="5506262A" w:tentative="1">
      <w:start w:val="1"/>
      <w:numFmt w:val="bullet"/>
      <w:lvlText w:val=""/>
      <w:lvlJc w:val="left"/>
      <w:pPr>
        <w:ind w:left="5476" w:hanging="360"/>
      </w:pPr>
      <w:rPr>
        <w:rFonts w:ascii="Symbol" w:hAnsi="Symbol" w:hint="default"/>
      </w:rPr>
    </w:lvl>
    <w:lvl w:ilvl="7" w:tplc="9D7AF858" w:tentative="1">
      <w:start w:val="1"/>
      <w:numFmt w:val="bullet"/>
      <w:lvlText w:val="o"/>
      <w:lvlJc w:val="left"/>
      <w:pPr>
        <w:ind w:left="6196" w:hanging="360"/>
      </w:pPr>
      <w:rPr>
        <w:rFonts w:ascii="Courier New" w:hAnsi="Courier New" w:hint="default"/>
      </w:rPr>
    </w:lvl>
    <w:lvl w:ilvl="8" w:tplc="DBB095DA" w:tentative="1">
      <w:start w:val="1"/>
      <w:numFmt w:val="bullet"/>
      <w:lvlText w:val=""/>
      <w:lvlJc w:val="left"/>
      <w:pPr>
        <w:ind w:left="6916" w:hanging="360"/>
      </w:pPr>
      <w:rPr>
        <w:rFonts w:ascii="Wingdings" w:hAnsi="Wingdings" w:hint="default"/>
      </w:rPr>
    </w:lvl>
  </w:abstractNum>
  <w:abstractNum w:abstractNumId="195" w15:restartNumberingAfterBreak="0">
    <w:nsid w:val="39360912"/>
    <w:multiLevelType w:val="hybridMultilevel"/>
    <w:tmpl w:val="588E942E"/>
    <w:lvl w:ilvl="0" w:tplc="04020013">
      <w:start w:val="108"/>
      <w:numFmt w:val="bullet"/>
      <w:lvlText w:val="–"/>
      <w:lvlJc w:val="left"/>
      <w:pPr>
        <w:ind w:left="360" w:hanging="360"/>
      </w:pPr>
      <w:rPr>
        <w:rFonts w:ascii="Times New Roman" w:hAnsi="Times New Roman"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196" w15:restartNumberingAfterBreak="0">
    <w:nsid w:val="39B750FF"/>
    <w:multiLevelType w:val="hybridMultilevel"/>
    <w:tmpl w:val="15268FBC"/>
    <w:lvl w:ilvl="0" w:tplc="C33437B2">
      <w:start w:val="65535"/>
      <w:numFmt w:val="bullet"/>
      <w:lvlText w:val="•"/>
      <w:legacy w:legacy="1" w:legacySpace="0" w:legacyIndent="202"/>
      <w:lvlJc w:val="left"/>
      <w:rPr>
        <w:rFonts w:ascii="Arial" w:hAnsi="Arial" w:cs="Arial" w:hint="default"/>
      </w:rPr>
    </w:lvl>
    <w:lvl w:ilvl="1" w:tplc="04020003">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97" w15:restartNumberingAfterBreak="0">
    <w:nsid w:val="39C57399"/>
    <w:multiLevelType w:val="multilevel"/>
    <w:tmpl w:val="39C57399"/>
    <w:lvl w:ilvl="0">
      <w:numFmt w:val="bullet"/>
      <w:lvlText w:val=""/>
      <w:lvlJc w:val="left"/>
      <w:pPr>
        <w:ind w:left="2196" w:hanging="360"/>
      </w:pPr>
      <w:rPr>
        <w:rFonts w:ascii="Symbol" w:hAnsi="Symbol"/>
      </w:rPr>
    </w:lvl>
    <w:lvl w:ilvl="1">
      <w:numFmt w:val="bullet"/>
      <w:lvlText w:val="o"/>
      <w:lvlJc w:val="left"/>
      <w:pPr>
        <w:ind w:left="2916" w:hanging="360"/>
      </w:pPr>
      <w:rPr>
        <w:rFonts w:ascii="Courier New" w:hAnsi="Courier New" w:cs="Courier New"/>
      </w:rPr>
    </w:lvl>
    <w:lvl w:ilvl="2">
      <w:numFmt w:val="bullet"/>
      <w:lvlText w:val=""/>
      <w:lvlJc w:val="left"/>
      <w:pPr>
        <w:ind w:left="3636" w:hanging="360"/>
      </w:pPr>
      <w:rPr>
        <w:rFonts w:ascii="Wingdings" w:hAnsi="Wingdings"/>
      </w:rPr>
    </w:lvl>
    <w:lvl w:ilvl="3">
      <w:numFmt w:val="bullet"/>
      <w:lvlText w:val=""/>
      <w:lvlJc w:val="left"/>
      <w:pPr>
        <w:ind w:left="4356" w:hanging="360"/>
      </w:pPr>
      <w:rPr>
        <w:rFonts w:ascii="Symbol" w:hAnsi="Symbol"/>
      </w:rPr>
    </w:lvl>
    <w:lvl w:ilvl="4">
      <w:numFmt w:val="bullet"/>
      <w:lvlText w:val="o"/>
      <w:lvlJc w:val="left"/>
      <w:pPr>
        <w:ind w:left="5076" w:hanging="360"/>
      </w:pPr>
      <w:rPr>
        <w:rFonts w:ascii="Courier New" w:hAnsi="Courier New" w:cs="Courier New"/>
      </w:rPr>
    </w:lvl>
    <w:lvl w:ilvl="5">
      <w:numFmt w:val="bullet"/>
      <w:lvlText w:val=""/>
      <w:lvlJc w:val="left"/>
      <w:pPr>
        <w:ind w:left="5796" w:hanging="360"/>
      </w:pPr>
      <w:rPr>
        <w:rFonts w:ascii="Wingdings" w:hAnsi="Wingdings"/>
      </w:rPr>
    </w:lvl>
    <w:lvl w:ilvl="6">
      <w:numFmt w:val="bullet"/>
      <w:lvlText w:val=""/>
      <w:lvlJc w:val="left"/>
      <w:pPr>
        <w:ind w:left="6516" w:hanging="360"/>
      </w:pPr>
      <w:rPr>
        <w:rFonts w:ascii="Symbol" w:hAnsi="Symbol"/>
      </w:rPr>
    </w:lvl>
    <w:lvl w:ilvl="7">
      <w:numFmt w:val="bullet"/>
      <w:lvlText w:val="o"/>
      <w:lvlJc w:val="left"/>
      <w:pPr>
        <w:ind w:left="7236" w:hanging="360"/>
      </w:pPr>
      <w:rPr>
        <w:rFonts w:ascii="Courier New" w:hAnsi="Courier New" w:cs="Courier New"/>
      </w:rPr>
    </w:lvl>
    <w:lvl w:ilvl="8">
      <w:numFmt w:val="bullet"/>
      <w:lvlText w:val=""/>
      <w:lvlJc w:val="left"/>
      <w:pPr>
        <w:ind w:left="7956" w:hanging="360"/>
      </w:pPr>
      <w:rPr>
        <w:rFonts w:ascii="Wingdings" w:hAnsi="Wingdings"/>
      </w:rPr>
    </w:lvl>
  </w:abstractNum>
  <w:abstractNum w:abstractNumId="198" w15:restartNumberingAfterBreak="0">
    <w:nsid w:val="39CC0E8B"/>
    <w:multiLevelType w:val="hybridMultilevel"/>
    <w:tmpl w:val="CA36F6B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9" w15:restartNumberingAfterBreak="0">
    <w:nsid w:val="3AB61A26"/>
    <w:multiLevelType w:val="hybridMultilevel"/>
    <w:tmpl w:val="A0AA1C22"/>
    <w:lvl w:ilvl="0" w:tplc="858241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3ACA1DFD"/>
    <w:multiLevelType w:val="hybridMultilevel"/>
    <w:tmpl w:val="E9DACC6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1" w15:restartNumberingAfterBreak="0">
    <w:nsid w:val="3ACC6066"/>
    <w:multiLevelType w:val="hybridMultilevel"/>
    <w:tmpl w:val="74F2033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2" w15:restartNumberingAfterBreak="0">
    <w:nsid w:val="3B4F139B"/>
    <w:multiLevelType w:val="hybridMultilevel"/>
    <w:tmpl w:val="C5980358"/>
    <w:lvl w:ilvl="0" w:tplc="4F9A1F72">
      <w:start w:val="1"/>
      <w:numFmt w:val="bullet"/>
      <w:lvlText w:val=""/>
      <w:lvlJc w:val="left"/>
      <w:pPr>
        <w:tabs>
          <w:tab w:val="num" w:pos="1512"/>
        </w:tabs>
        <w:ind w:left="1512" w:hanging="360"/>
      </w:pPr>
      <w:rPr>
        <w:rFonts w:ascii="Symbol" w:hAnsi="Symbol" w:cs="Symbol"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203" w15:restartNumberingAfterBreak="0">
    <w:nsid w:val="3BF733F3"/>
    <w:multiLevelType w:val="singleLevel"/>
    <w:tmpl w:val="0C09000F"/>
    <w:lvl w:ilvl="0">
      <w:start w:val="1"/>
      <w:numFmt w:val="decimal"/>
      <w:lvlText w:val="%1."/>
      <w:lvlJc w:val="left"/>
      <w:pPr>
        <w:tabs>
          <w:tab w:val="num" w:pos="360"/>
        </w:tabs>
        <w:ind w:left="360" w:hanging="360"/>
      </w:pPr>
      <w:rPr>
        <w:rFonts w:cs="Times New Roman" w:hint="default"/>
      </w:rPr>
    </w:lvl>
  </w:abstractNum>
  <w:abstractNum w:abstractNumId="204" w15:restartNumberingAfterBreak="0">
    <w:nsid w:val="3CC8780C"/>
    <w:multiLevelType w:val="hybridMultilevel"/>
    <w:tmpl w:val="6CF8E97A"/>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5" w15:restartNumberingAfterBreak="0">
    <w:nsid w:val="3CDD3D0F"/>
    <w:multiLevelType w:val="hybridMultilevel"/>
    <w:tmpl w:val="3DE61B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6" w15:restartNumberingAfterBreak="0">
    <w:nsid w:val="3E271D35"/>
    <w:multiLevelType w:val="hybridMultilevel"/>
    <w:tmpl w:val="79C8491E"/>
    <w:lvl w:ilvl="0" w:tplc="D6A64826">
      <w:start w:val="1"/>
      <w:numFmt w:val="bullet"/>
      <w:lvlText w:val=""/>
      <w:lvlJc w:val="left"/>
      <w:pPr>
        <w:tabs>
          <w:tab w:val="num" w:pos="2480"/>
        </w:tabs>
        <w:ind w:left="2480" w:hanging="360"/>
      </w:pPr>
      <w:rPr>
        <w:rFonts w:ascii="Symbol" w:hAnsi="Symbol" w:hint="default"/>
      </w:rPr>
    </w:lvl>
    <w:lvl w:ilvl="1" w:tplc="48927FD2" w:tentative="1">
      <w:start w:val="1"/>
      <w:numFmt w:val="bullet"/>
      <w:lvlText w:val="o"/>
      <w:lvlJc w:val="left"/>
      <w:pPr>
        <w:tabs>
          <w:tab w:val="num" w:pos="1800"/>
        </w:tabs>
        <w:ind w:left="1800" w:hanging="360"/>
      </w:pPr>
      <w:rPr>
        <w:rFonts w:ascii="Courier New" w:hAnsi="Courier New" w:hint="default"/>
      </w:rPr>
    </w:lvl>
    <w:lvl w:ilvl="2" w:tplc="F8CC6D10" w:tentative="1">
      <w:start w:val="1"/>
      <w:numFmt w:val="bullet"/>
      <w:lvlText w:val=""/>
      <w:lvlJc w:val="left"/>
      <w:pPr>
        <w:tabs>
          <w:tab w:val="num" w:pos="2520"/>
        </w:tabs>
        <w:ind w:left="2520" w:hanging="360"/>
      </w:pPr>
      <w:rPr>
        <w:rFonts w:ascii="Wingdings" w:hAnsi="Wingdings" w:hint="default"/>
      </w:rPr>
    </w:lvl>
    <w:lvl w:ilvl="3" w:tplc="96A48692" w:tentative="1">
      <w:start w:val="1"/>
      <w:numFmt w:val="bullet"/>
      <w:lvlText w:val=""/>
      <w:lvlJc w:val="left"/>
      <w:pPr>
        <w:tabs>
          <w:tab w:val="num" w:pos="3240"/>
        </w:tabs>
        <w:ind w:left="3240" w:hanging="360"/>
      </w:pPr>
      <w:rPr>
        <w:rFonts w:ascii="Symbol" w:hAnsi="Symbol" w:hint="default"/>
      </w:rPr>
    </w:lvl>
    <w:lvl w:ilvl="4" w:tplc="22F0A354" w:tentative="1">
      <w:start w:val="1"/>
      <w:numFmt w:val="bullet"/>
      <w:lvlText w:val="o"/>
      <w:lvlJc w:val="left"/>
      <w:pPr>
        <w:tabs>
          <w:tab w:val="num" w:pos="3960"/>
        </w:tabs>
        <w:ind w:left="3960" w:hanging="360"/>
      </w:pPr>
      <w:rPr>
        <w:rFonts w:ascii="Courier New" w:hAnsi="Courier New" w:hint="default"/>
      </w:rPr>
    </w:lvl>
    <w:lvl w:ilvl="5" w:tplc="4B22EFC8" w:tentative="1">
      <w:start w:val="1"/>
      <w:numFmt w:val="bullet"/>
      <w:lvlText w:val=""/>
      <w:lvlJc w:val="left"/>
      <w:pPr>
        <w:tabs>
          <w:tab w:val="num" w:pos="4680"/>
        </w:tabs>
        <w:ind w:left="4680" w:hanging="360"/>
      </w:pPr>
      <w:rPr>
        <w:rFonts w:ascii="Wingdings" w:hAnsi="Wingdings" w:hint="default"/>
      </w:rPr>
    </w:lvl>
    <w:lvl w:ilvl="6" w:tplc="7F8CA30E" w:tentative="1">
      <w:start w:val="1"/>
      <w:numFmt w:val="bullet"/>
      <w:lvlText w:val=""/>
      <w:lvlJc w:val="left"/>
      <w:pPr>
        <w:tabs>
          <w:tab w:val="num" w:pos="5400"/>
        </w:tabs>
        <w:ind w:left="5400" w:hanging="360"/>
      </w:pPr>
      <w:rPr>
        <w:rFonts w:ascii="Symbol" w:hAnsi="Symbol" w:hint="default"/>
      </w:rPr>
    </w:lvl>
    <w:lvl w:ilvl="7" w:tplc="EC761A9A" w:tentative="1">
      <w:start w:val="1"/>
      <w:numFmt w:val="bullet"/>
      <w:lvlText w:val="o"/>
      <w:lvlJc w:val="left"/>
      <w:pPr>
        <w:tabs>
          <w:tab w:val="num" w:pos="6120"/>
        </w:tabs>
        <w:ind w:left="6120" w:hanging="360"/>
      </w:pPr>
      <w:rPr>
        <w:rFonts w:ascii="Courier New" w:hAnsi="Courier New" w:hint="default"/>
      </w:rPr>
    </w:lvl>
    <w:lvl w:ilvl="8" w:tplc="F558CB08" w:tentative="1">
      <w:start w:val="1"/>
      <w:numFmt w:val="bullet"/>
      <w:lvlText w:val=""/>
      <w:lvlJc w:val="left"/>
      <w:pPr>
        <w:tabs>
          <w:tab w:val="num" w:pos="6840"/>
        </w:tabs>
        <w:ind w:left="6840" w:hanging="360"/>
      </w:pPr>
      <w:rPr>
        <w:rFonts w:ascii="Wingdings" w:hAnsi="Wingdings" w:hint="default"/>
      </w:rPr>
    </w:lvl>
  </w:abstractNum>
  <w:abstractNum w:abstractNumId="207" w15:restartNumberingAfterBreak="0">
    <w:nsid w:val="3EA74440"/>
    <w:multiLevelType w:val="hybridMultilevel"/>
    <w:tmpl w:val="D37A7198"/>
    <w:lvl w:ilvl="0" w:tplc="6E46F4A8">
      <w:start w:val="1"/>
      <w:numFmt w:val="bullet"/>
      <w:lvlText w:val=""/>
      <w:lvlJc w:val="left"/>
      <w:pPr>
        <w:ind w:left="360" w:hanging="360"/>
      </w:pPr>
      <w:rPr>
        <w:rFonts w:ascii="Symbol" w:hAnsi="Symbol" w:hint="default"/>
      </w:rPr>
    </w:lvl>
    <w:lvl w:ilvl="1" w:tplc="608C31FC" w:tentative="1">
      <w:start w:val="1"/>
      <w:numFmt w:val="bullet"/>
      <w:lvlText w:val="o"/>
      <w:lvlJc w:val="left"/>
      <w:pPr>
        <w:ind w:left="1080" w:hanging="360"/>
      </w:pPr>
      <w:rPr>
        <w:rFonts w:ascii="Courier New" w:hAnsi="Courier New" w:hint="default"/>
      </w:rPr>
    </w:lvl>
    <w:lvl w:ilvl="2" w:tplc="EB665186" w:tentative="1">
      <w:start w:val="1"/>
      <w:numFmt w:val="bullet"/>
      <w:lvlText w:val=""/>
      <w:lvlJc w:val="left"/>
      <w:pPr>
        <w:ind w:left="1800" w:hanging="360"/>
      </w:pPr>
      <w:rPr>
        <w:rFonts w:ascii="Wingdings" w:hAnsi="Wingdings" w:hint="default"/>
      </w:rPr>
    </w:lvl>
    <w:lvl w:ilvl="3" w:tplc="092640D8" w:tentative="1">
      <w:start w:val="1"/>
      <w:numFmt w:val="bullet"/>
      <w:lvlText w:val=""/>
      <w:lvlJc w:val="left"/>
      <w:pPr>
        <w:ind w:left="2520" w:hanging="360"/>
      </w:pPr>
      <w:rPr>
        <w:rFonts w:ascii="Symbol" w:hAnsi="Symbol" w:hint="default"/>
      </w:rPr>
    </w:lvl>
    <w:lvl w:ilvl="4" w:tplc="08363C52" w:tentative="1">
      <w:start w:val="1"/>
      <w:numFmt w:val="bullet"/>
      <w:lvlText w:val="o"/>
      <w:lvlJc w:val="left"/>
      <w:pPr>
        <w:ind w:left="3240" w:hanging="360"/>
      </w:pPr>
      <w:rPr>
        <w:rFonts w:ascii="Courier New" w:hAnsi="Courier New" w:hint="default"/>
      </w:rPr>
    </w:lvl>
    <w:lvl w:ilvl="5" w:tplc="A2FAEBA0" w:tentative="1">
      <w:start w:val="1"/>
      <w:numFmt w:val="bullet"/>
      <w:lvlText w:val=""/>
      <w:lvlJc w:val="left"/>
      <w:pPr>
        <w:ind w:left="3960" w:hanging="360"/>
      </w:pPr>
      <w:rPr>
        <w:rFonts w:ascii="Wingdings" w:hAnsi="Wingdings" w:hint="default"/>
      </w:rPr>
    </w:lvl>
    <w:lvl w:ilvl="6" w:tplc="D6622E5C" w:tentative="1">
      <w:start w:val="1"/>
      <w:numFmt w:val="bullet"/>
      <w:lvlText w:val=""/>
      <w:lvlJc w:val="left"/>
      <w:pPr>
        <w:ind w:left="4680" w:hanging="360"/>
      </w:pPr>
      <w:rPr>
        <w:rFonts w:ascii="Symbol" w:hAnsi="Symbol" w:hint="default"/>
      </w:rPr>
    </w:lvl>
    <w:lvl w:ilvl="7" w:tplc="0C1CD3A6" w:tentative="1">
      <w:start w:val="1"/>
      <w:numFmt w:val="bullet"/>
      <w:lvlText w:val="o"/>
      <w:lvlJc w:val="left"/>
      <w:pPr>
        <w:ind w:left="5400" w:hanging="360"/>
      </w:pPr>
      <w:rPr>
        <w:rFonts w:ascii="Courier New" w:hAnsi="Courier New" w:hint="default"/>
      </w:rPr>
    </w:lvl>
    <w:lvl w:ilvl="8" w:tplc="0ECAC336" w:tentative="1">
      <w:start w:val="1"/>
      <w:numFmt w:val="bullet"/>
      <w:lvlText w:val=""/>
      <w:lvlJc w:val="left"/>
      <w:pPr>
        <w:ind w:left="6120" w:hanging="360"/>
      </w:pPr>
      <w:rPr>
        <w:rFonts w:ascii="Wingdings" w:hAnsi="Wingdings" w:hint="default"/>
      </w:rPr>
    </w:lvl>
  </w:abstractNum>
  <w:abstractNum w:abstractNumId="208" w15:restartNumberingAfterBreak="0">
    <w:nsid w:val="3F2D64EB"/>
    <w:multiLevelType w:val="hybridMultilevel"/>
    <w:tmpl w:val="BD1A2B32"/>
    <w:lvl w:ilvl="0" w:tplc="FFFFFFFF">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9" w15:restartNumberingAfterBreak="0">
    <w:nsid w:val="3F421B19"/>
    <w:multiLevelType w:val="hybridMultilevel"/>
    <w:tmpl w:val="7258F47A"/>
    <w:lvl w:ilvl="0" w:tplc="04020013">
      <w:start w:val="108"/>
      <w:numFmt w:val="bullet"/>
      <w:lvlText w:val="–"/>
      <w:lvlJc w:val="left"/>
      <w:pPr>
        <w:ind w:left="1145" w:hanging="360"/>
      </w:pPr>
      <w:rPr>
        <w:rFonts w:ascii="Times New Roman" w:hAnsi="Times New Roman" w:hint="default"/>
      </w:rPr>
    </w:lvl>
    <w:lvl w:ilvl="1" w:tplc="04020003" w:tentative="1">
      <w:start w:val="1"/>
      <w:numFmt w:val="bullet"/>
      <w:lvlText w:val="o"/>
      <w:lvlJc w:val="left"/>
      <w:pPr>
        <w:ind w:left="2149" w:hanging="360"/>
      </w:pPr>
      <w:rPr>
        <w:rFonts w:ascii="Courier New" w:hAnsi="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10" w15:restartNumberingAfterBreak="0">
    <w:nsid w:val="3F735A58"/>
    <w:multiLevelType w:val="hybridMultilevel"/>
    <w:tmpl w:val="5B20369C"/>
    <w:lvl w:ilvl="0" w:tplc="04020001">
      <w:start w:val="1"/>
      <w:numFmt w:val="decimal"/>
      <w:lvlText w:val="%1."/>
      <w:lvlJc w:val="left"/>
      <w:pPr>
        <w:tabs>
          <w:tab w:val="num" w:pos="360"/>
        </w:tabs>
        <w:ind w:left="360" w:hanging="360"/>
      </w:pPr>
      <w:rPr>
        <w:rFonts w:cs="Times New Roman"/>
      </w:rPr>
    </w:lvl>
    <w:lvl w:ilvl="1" w:tplc="04020003" w:tentative="1">
      <w:start w:val="1"/>
      <w:numFmt w:val="lowerLetter"/>
      <w:lvlText w:val="%2."/>
      <w:lvlJc w:val="left"/>
      <w:pPr>
        <w:tabs>
          <w:tab w:val="num" w:pos="1080"/>
        </w:tabs>
        <w:ind w:left="1080" w:hanging="360"/>
      </w:pPr>
      <w:rPr>
        <w:rFonts w:cs="Times New Roman"/>
      </w:rPr>
    </w:lvl>
    <w:lvl w:ilvl="2" w:tplc="04020005" w:tentative="1">
      <w:start w:val="1"/>
      <w:numFmt w:val="lowerRoman"/>
      <w:lvlText w:val="%3."/>
      <w:lvlJc w:val="right"/>
      <w:pPr>
        <w:tabs>
          <w:tab w:val="num" w:pos="1800"/>
        </w:tabs>
        <w:ind w:left="1800" w:hanging="180"/>
      </w:pPr>
      <w:rPr>
        <w:rFonts w:cs="Times New Roman"/>
      </w:rPr>
    </w:lvl>
    <w:lvl w:ilvl="3" w:tplc="04020001" w:tentative="1">
      <w:start w:val="1"/>
      <w:numFmt w:val="decimal"/>
      <w:lvlText w:val="%4."/>
      <w:lvlJc w:val="left"/>
      <w:pPr>
        <w:tabs>
          <w:tab w:val="num" w:pos="2520"/>
        </w:tabs>
        <w:ind w:left="2520" w:hanging="360"/>
      </w:pPr>
      <w:rPr>
        <w:rFonts w:cs="Times New Roman"/>
      </w:rPr>
    </w:lvl>
    <w:lvl w:ilvl="4" w:tplc="04020003" w:tentative="1">
      <w:start w:val="1"/>
      <w:numFmt w:val="lowerLetter"/>
      <w:lvlText w:val="%5."/>
      <w:lvlJc w:val="left"/>
      <w:pPr>
        <w:tabs>
          <w:tab w:val="num" w:pos="3240"/>
        </w:tabs>
        <w:ind w:left="3240" w:hanging="360"/>
      </w:pPr>
      <w:rPr>
        <w:rFonts w:cs="Times New Roman"/>
      </w:rPr>
    </w:lvl>
    <w:lvl w:ilvl="5" w:tplc="04020005" w:tentative="1">
      <w:start w:val="1"/>
      <w:numFmt w:val="lowerRoman"/>
      <w:lvlText w:val="%6."/>
      <w:lvlJc w:val="right"/>
      <w:pPr>
        <w:tabs>
          <w:tab w:val="num" w:pos="3960"/>
        </w:tabs>
        <w:ind w:left="3960" w:hanging="180"/>
      </w:pPr>
      <w:rPr>
        <w:rFonts w:cs="Times New Roman"/>
      </w:rPr>
    </w:lvl>
    <w:lvl w:ilvl="6" w:tplc="04020001" w:tentative="1">
      <w:start w:val="1"/>
      <w:numFmt w:val="decimal"/>
      <w:lvlText w:val="%7."/>
      <w:lvlJc w:val="left"/>
      <w:pPr>
        <w:tabs>
          <w:tab w:val="num" w:pos="4680"/>
        </w:tabs>
        <w:ind w:left="4680" w:hanging="360"/>
      </w:pPr>
      <w:rPr>
        <w:rFonts w:cs="Times New Roman"/>
      </w:rPr>
    </w:lvl>
    <w:lvl w:ilvl="7" w:tplc="04020003" w:tentative="1">
      <w:start w:val="1"/>
      <w:numFmt w:val="lowerLetter"/>
      <w:lvlText w:val="%8."/>
      <w:lvlJc w:val="left"/>
      <w:pPr>
        <w:tabs>
          <w:tab w:val="num" w:pos="5400"/>
        </w:tabs>
        <w:ind w:left="5400" w:hanging="360"/>
      </w:pPr>
      <w:rPr>
        <w:rFonts w:cs="Times New Roman"/>
      </w:rPr>
    </w:lvl>
    <w:lvl w:ilvl="8" w:tplc="04020005" w:tentative="1">
      <w:start w:val="1"/>
      <w:numFmt w:val="lowerRoman"/>
      <w:lvlText w:val="%9."/>
      <w:lvlJc w:val="right"/>
      <w:pPr>
        <w:tabs>
          <w:tab w:val="num" w:pos="6120"/>
        </w:tabs>
        <w:ind w:left="6120" w:hanging="180"/>
      </w:pPr>
      <w:rPr>
        <w:rFonts w:cs="Times New Roman"/>
      </w:rPr>
    </w:lvl>
  </w:abstractNum>
  <w:abstractNum w:abstractNumId="211" w15:restartNumberingAfterBreak="0">
    <w:nsid w:val="3F804F2F"/>
    <w:multiLevelType w:val="hybridMultilevel"/>
    <w:tmpl w:val="FBE63EF8"/>
    <w:lvl w:ilvl="0" w:tplc="04020001">
      <w:start w:val="1"/>
      <w:numFmt w:val="bullet"/>
      <w:lvlText w:val=""/>
      <w:lvlJc w:val="left"/>
      <w:pPr>
        <w:tabs>
          <w:tab w:val="num" w:pos="720"/>
        </w:tabs>
        <w:ind w:left="720" w:hanging="360"/>
      </w:pPr>
      <w:rPr>
        <w:rFonts w:ascii="Symbol" w:hAnsi="Symbol" w:hint="default"/>
      </w:rPr>
    </w:lvl>
    <w:lvl w:ilvl="1" w:tplc="C60C66C6">
      <w:start w:val="65535"/>
      <w:numFmt w:val="bullet"/>
      <w:lvlText w:val="•"/>
      <w:lvlJc w:val="left"/>
      <w:pPr>
        <w:tabs>
          <w:tab w:val="num" w:pos="1440"/>
        </w:tabs>
        <w:ind w:left="1440" w:hanging="360"/>
      </w:pPr>
      <w:rPr>
        <w:rFonts w:ascii="Arial" w:hAnsi="Arial" w:cs="Arial" w:hint="default"/>
        <w:color w:val="000000" w:themeColor="text1"/>
      </w:rPr>
    </w:lvl>
    <w:lvl w:ilvl="2" w:tplc="C60C66C6">
      <w:start w:val="65535"/>
      <w:numFmt w:val="bullet"/>
      <w:lvlText w:val="•"/>
      <w:lvlJc w:val="left"/>
      <w:pPr>
        <w:tabs>
          <w:tab w:val="num" w:pos="2160"/>
        </w:tabs>
        <w:ind w:left="2160" w:hanging="360"/>
      </w:pPr>
      <w:rPr>
        <w:rFonts w:ascii="Arial" w:hAnsi="Arial" w:cs="Arial" w:hint="default"/>
        <w:color w:val="000000" w:themeColor="text1"/>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2" w15:restartNumberingAfterBreak="0">
    <w:nsid w:val="3FBC4D1E"/>
    <w:multiLevelType w:val="hybridMultilevel"/>
    <w:tmpl w:val="9264A31E"/>
    <w:lvl w:ilvl="0" w:tplc="FFFFFFFF">
      <w:start w:val="1"/>
      <w:numFmt w:val="decimal"/>
      <w:lvlText w:val="%1."/>
      <w:lvlJc w:val="left"/>
      <w:pPr>
        <w:tabs>
          <w:tab w:val="num" w:pos="927"/>
        </w:tabs>
        <w:ind w:left="927" w:hanging="360"/>
      </w:pPr>
      <w:rPr>
        <w:rFonts w:hint="default"/>
        <w:b/>
        <w:bCs/>
      </w:rPr>
    </w:lvl>
    <w:lvl w:ilvl="1" w:tplc="FFFFFFFF">
      <w:start w:val="1"/>
      <w:numFmt w:val="lowerLetter"/>
      <w:lvlText w:val="%2."/>
      <w:lvlJc w:val="left"/>
      <w:pPr>
        <w:tabs>
          <w:tab w:val="num" w:pos="1647"/>
        </w:tabs>
        <w:ind w:left="1647" w:hanging="360"/>
      </w:pPr>
    </w:lvl>
    <w:lvl w:ilvl="2" w:tplc="FFFFFFFF">
      <w:start w:val="1"/>
      <w:numFmt w:val="lowerRoman"/>
      <w:lvlText w:val="%3."/>
      <w:lvlJc w:val="right"/>
      <w:pPr>
        <w:tabs>
          <w:tab w:val="num" w:pos="2367"/>
        </w:tabs>
        <w:ind w:left="2367" w:hanging="180"/>
      </w:pPr>
    </w:lvl>
    <w:lvl w:ilvl="3" w:tplc="FFFFFFFF">
      <w:start w:val="1"/>
      <w:numFmt w:val="decimal"/>
      <w:lvlText w:val="%4."/>
      <w:lvlJc w:val="left"/>
      <w:pPr>
        <w:tabs>
          <w:tab w:val="num" w:pos="3087"/>
        </w:tabs>
        <w:ind w:left="3087" w:hanging="360"/>
      </w:pPr>
    </w:lvl>
    <w:lvl w:ilvl="4" w:tplc="FFFFFFFF">
      <w:start w:val="1"/>
      <w:numFmt w:val="lowerLetter"/>
      <w:lvlText w:val="%5."/>
      <w:lvlJc w:val="left"/>
      <w:pPr>
        <w:tabs>
          <w:tab w:val="num" w:pos="3807"/>
        </w:tabs>
        <w:ind w:left="3807" w:hanging="360"/>
      </w:pPr>
    </w:lvl>
    <w:lvl w:ilvl="5" w:tplc="FFFFFFFF">
      <w:start w:val="1"/>
      <w:numFmt w:val="lowerRoman"/>
      <w:lvlText w:val="%6."/>
      <w:lvlJc w:val="right"/>
      <w:pPr>
        <w:tabs>
          <w:tab w:val="num" w:pos="4527"/>
        </w:tabs>
        <w:ind w:left="4527" w:hanging="180"/>
      </w:pPr>
    </w:lvl>
    <w:lvl w:ilvl="6" w:tplc="FFFFFFFF">
      <w:start w:val="1"/>
      <w:numFmt w:val="decimal"/>
      <w:lvlText w:val="%7."/>
      <w:lvlJc w:val="left"/>
      <w:pPr>
        <w:tabs>
          <w:tab w:val="num" w:pos="5247"/>
        </w:tabs>
        <w:ind w:left="5247" w:hanging="360"/>
      </w:pPr>
    </w:lvl>
    <w:lvl w:ilvl="7" w:tplc="FFFFFFFF">
      <w:start w:val="1"/>
      <w:numFmt w:val="lowerLetter"/>
      <w:lvlText w:val="%8."/>
      <w:lvlJc w:val="left"/>
      <w:pPr>
        <w:tabs>
          <w:tab w:val="num" w:pos="5967"/>
        </w:tabs>
        <w:ind w:left="5967" w:hanging="360"/>
      </w:pPr>
    </w:lvl>
    <w:lvl w:ilvl="8" w:tplc="FFFFFFFF">
      <w:start w:val="1"/>
      <w:numFmt w:val="lowerRoman"/>
      <w:lvlText w:val="%9."/>
      <w:lvlJc w:val="right"/>
      <w:pPr>
        <w:tabs>
          <w:tab w:val="num" w:pos="6687"/>
        </w:tabs>
        <w:ind w:left="6687" w:hanging="180"/>
      </w:pPr>
    </w:lvl>
  </w:abstractNum>
  <w:abstractNum w:abstractNumId="213" w15:restartNumberingAfterBreak="0">
    <w:nsid w:val="3FBF3D8E"/>
    <w:multiLevelType w:val="hybridMultilevel"/>
    <w:tmpl w:val="7696E1D8"/>
    <w:lvl w:ilvl="0" w:tplc="0402000F">
      <w:start w:val="1"/>
      <w:numFmt w:val="bullet"/>
      <w:lvlText w:val=""/>
      <w:lvlJc w:val="left"/>
      <w:pPr>
        <w:ind w:left="720" w:hanging="360"/>
      </w:pPr>
      <w:rPr>
        <w:rFonts w:ascii="Symbol" w:hAnsi="Symbol" w:hint="default"/>
      </w:rPr>
    </w:lvl>
    <w:lvl w:ilvl="1" w:tplc="04020019" w:tentative="1">
      <w:start w:val="1"/>
      <w:numFmt w:val="bullet"/>
      <w:lvlText w:val="o"/>
      <w:lvlJc w:val="left"/>
      <w:pPr>
        <w:ind w:left="1440" w:hanging="360"/>
      </w:pPr>
      <w:rPr>
        <w:rFonts w:ascii="Courier New" w:hAnsi="Courier New" w:cs="Courier New" w:hint="default"/>
      </w:rPr>
    </w:lvl>
    <w:lvl w:ilvl="2" w:tplc="0402001B" w:tentative="1">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cs="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cs="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214" w15:restartNumberingAfterBreak="0">
    <w:nsid w:val="3FF54995"/>
    <w:multiLevelType w:val="hybridMultilevel"/>
    <w:tmpl w:val="E0A48F86"/>
    <w:lvl w:ilvl="0" w:tplc="04020005">
      <w:start w:val="1"/>
      <w:numFmt w:val="bullet"/>
      <w:lvlText w:val=""/>
      <w:lvlJc w:val="left"/>
      <w:pPr>
        <w:tabs>
          <w:tab w:val="num" w:pos="360"/>
        </w:tabs>
        <w:ind w:left="360" w:hanging="360"/>
      </w:pPr>
      <w:rPr>
        <w:rFonts w:ascii="Symbol" w:hAnsi="Symbol" w:hint="default"/>
      </w:rPr>
    </w:lvl>
    <w:lvl w:ilvl="1" w:tplc="04020003">
      <w:start w:val="1"/>
      <w:numFmt w:val="bullet"/>
      <w:lvlText w:val="o"/>
      <w:lvlJc w:val="left"/>
      <w:pPr>
        <w:tabs>
          <w:tab w:val="num" w:pos="1992"/>
        </w:tabs>
        <w:ind w:left="1992" w:hanging="360"/>
      </w:pPr>
      <w:rPr>
        <w:rFonts w:ascii="Courier New" w:hAnsi="Courier New" w:cs="Courier New" w:hint="default"/>
      </w:rPr>
    </w:lvl>
    <w:lvl w:ilvl="2" w:tplc="04020005" w:tentative="1">
      <w:start w:val="1"/>
      <w:numFmt w:val="bullet"/>
      <w:lvlText w:val=""/>
      <w:lvlJc w:val="left"/>
      <w:pPr>
        <w:tabs>
          <w:tab w:val="num" w:pos="2712"/>
        </w:tabs>
        <w:ind w:left="2712" w:hanging="360"/>
      </w:pPr>
      <w:rPr>
        <w:rFonts w:ascii="Wingdings" w:hAnsi="Wingdings" w:hint="default"/>
      </w:rPr>
    </w:lvl>
    <w:lvl w:ilvl="3" w:tplc="04020001" w:tentative="1">
      <w:start w:val="1"/>
      <w:numFmt w:val="bullet"/>
      <w:lvlText w:val=""/>
      <w:lvlJc w:val="left"/>
      <w:pPr>
        <w:tabs>
          <w:tab w:val="num" w:pos="3432"/>
        </w:tabs>
        <w:ind w:left="3432" w:hanging="360"/>
      </w:pPr>
      <w:rPr>
        <w:rFonts w:ascii="Symbol" w:hAnsi="Symbol" w:hint="default"/>
      </w:rPr>
    </w:lvl>
    <w:lvl w:ilvl="4" w:tplc="04020003" w:tentative="1">
      <w:start w:val="1"/>
      <w:numFmt w:val="bullet"/>
      <w:lvlText w:val="o"/>
      <w:lvlJc w:val="left"/>
      <w:pPr>
        <w:tabs>
          <w:tab w:val="num" w:pos="4152"/>
        </w:tabs>
        <w:ind w:left="4152" w:hanging="360"/>
      </w:pPr>
      <w:rPr>
        <w:rFonts w:ascii="Courier New" w:hAnsi="Courier New" w:hint="default"/>
      </w:rPr>
    </w:lvl>
    <w:lvl w:ilvl="5" w:tplc="04020005" w:tentative="1">
      <w:start w:val="1"/>
      <w:numFmt w:val="bullet"/>
      <w:lvlText w:val=""/>
      <w:lvlJc w:val="left"/>
      <w:pPr>
        <w:tabs>
          <w:tab w:val="num" w:pos="4872"/>
        </w:tabs>
        <w:ind w:left="4872" w:hanging="360"/>
      </w:pPr>
      <w:rPr>
        <w:rFonts w:ascii="Wingdings" w:hAnsi="Wingdings" w:hint="default"/>
      </w:rPr>
    </w:lvl>
    <w:lvl w:ilvl="6" w:tplc="04020001" w:tentative="1">
      <w:start w:val="1"/>
      <w:numFmt w:val="bullet"/>
      <w:lvlText w:val=""/>
      <w:lvlJc w:val="left"/>
      <w:pPr>
        <w:tabs>
          <w:tab w:val="num" w:pos="5592"/>
        </w:tabs>
        <w:ind w:left="5592" w:hanging="360"/>
      </w:pPr>
      <w:rPr>
        <w:rFonts w:ascii="Symbol" w:hAnsi="Symbol" w:hint="default"/>
      </w:rPr>
    </w:lvl>
    <w:lvl w:ilvl="7" w:tplc="04020003" w:tentative="1">
      <w:start w:val="1"/>
      <w:numFmt w:val="bullet"/>
      <w:lvlText w:val="o"/>
      <w:lvlJc w:val="left"/>
      <w:pPr>
        <w:tabs>
          <w:tab w:val="num" w:pos="6312"/>
        </w:tabs>
        <w:ind w:left="6312" w:hanging="360"/>
      </w:pPr>
      <w:rPr>
        <w:rFonts w:ascii="Courier New" w:hAnsi="Courier New" w:hint="default"/>
      </w:rPr>
    </w:lvl>
    <w:lvl w:ilvl="8" w:tplc="04020005" w:tentative="1">
      <w:start w:val="1"/>
      <w:numFmt w:val="bullet"/>
      <w:lvlText w:val=""/>
      <w:lvlJc w:val="left"/>
      <w:pPr>
        <w:tabs>
          <w:tab w:val="num" w:pos="7032"/>
        </w:tabs>
        <w:ind w:left="7032" w:hanging="360"/>
      </w:pPr>
      <w:rPr>
        <w:rFonts w:ascii="Wingdings" w:hAnsi="Wingdings" w:hint="default"/>
      </w:rPr>
    </w:lvl>
  </w:abstractNum>
  <w:abstractNum w:abstractNumId="215" w15:restartNumberingAfterBreak="0">
    <w:nsid w:val="4098454B"/>
    <w:multiLevelType w:val="hybridMultilevel"/>
    <w:tmpl w:val="DEF0323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6" w15:restartNumberingAfterBreak="0">
    <w:nsid w:val="40D20C69"/>
    <w:multiLevelType w:val="multilevel"/>
    <w:tmpl w:val="1616A47A"/>
    <w:lvl w:ilvl="0">
      <w:start w:val="1"/>
      <w:numFmt w:val="bullet"/>
      <w:lvlText w:val=""/>
      <w:lvlJc w:val="left"/>
      <w:pPr>
        <w:tabs>
          <w:tab w:val="num" w:pos="720"/>
        </w:tabs>
        <w:ind w:left="720" w:hanging="360"/>
      </w:pPr>
      <w:rPr>
        <w:rFonts w:ascii="Symbol" w:hAnsi="Symbol" w:hint="default"/>
        <w:sz w:val="20"/>
      </w:rPr>
    </w:lvl>
    <w:lvl w:ilvl="1">
      <w:start w:val="1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41187127"/>
    <w:multiLevelType w:val="hybridMultilevel"/>
    <w:tmpl w:val="5BDEEDD8"/>
    <w:lvl w:ilvl="0" w:tplc="9D683F8C">
      <w:start w:val="1"/>
      <w:numFmt w:val="bullet"/>
      <w:lvlText w:val=""/>
      <w:lvlJc w:val="left"/>
      <w:pPr>
        <w:ind w:left="720" w:hanging="360"/>
      </w:pPr>
      <w:rPr>
        <w:rFonts w:ascii="Symbol" w:hAnsi="Symbol" w:hint="default"/>
      </w:rPr>
    </w:lvl>
    <w:lvl w:ilvl="1" w:tplc="648E178E" w:tentative="1">
      <w:start w:val="1"/>
      <w:numFmt w:val="bullet"/>
      <w:lvlText w:val="o"/>
      <w:lvlJc w:val="left"/>
      <w:pPr>
        <w:ind w:left="1440" w:hanging="360"/>
      </w:pPr>
      <w:rPr>
        <w:rFonts w:ascii="Courier New" w:hAnsi="Courier New" w:cs="Courier New" w:hint="default"/>
      </w:rPr>
    </w:lvl>
    <w:lvl w:ilvl="2" w:tplc="1F88F2E6" w:tentative="1">
      <w:start w:val="1"/>
      <w:numFmt w:val="bullet"/>
      <w:lvlText w:val=""/>
      <w:lvlJc w:val="left"/>
      <w:pPr>
        <w:ind w:left="2160" w:hanging="360"/>
      </w:pPr>
      <w:rPr>
        <w:rFonts w:ascii="Wingdings" w:hAnsi="Wingdings" w:hint="default"/>
      </w:rPr>
    </w:lvl>
    <w:lvl w:ilvl="3" w:tplc="1D08262E" w:tentative="1">
      <w:start w:val="1"/>
      <w:numFmt w:val="bullet"/>
      <w:lvlText w:val=""/>
      <w:lvlJc w:val="left"/>
      <w:pPr>
        <w:ind w:left="2880" w:hanging="360"/>
      </w:pPr>
      <w:rPr>
        <w:rFonts w:ascii="Symbol" w:hAnsi="Symbol" w:hint="default"/>
      </w:rPr>
    </w:lvl>
    <w:lvl w:ilvl="4" w:tplc="3554561A" w:tentative="1">
      <w:start w:val="1"/>
      <w:numFmt w:val="bullet"/>
      <w:lvlText w:val="o"/>
      <w:lvlJc w:val="left"/>
      <w:pPr>
        <w:ind w:left="3600" w:hanging="360"/>
      </w:pPr>
      <w:rPr>
        <w:rFonts w:ascii="Courier New" w:hAnsi="Courier New" w:cs="Courier New" w:hint="default"/>
      </w:rPr>
    </w:lvl>
    <w:lvl w:ilvl="5" w:tplc="7CC4F0C6" w:tentative="1">
      <w:start w:val="1"/>
      <w:numFmt w:val="bullet"/>
      <w:lvlText w:val=""/>
      <w:lvlJc w:val="left"/>
      <w:pPr>
        <w:ind w:left="4320" w:hanging="360"/>
      </w:pPr>
      <w:rPr>
        <w:rFonts w:ascii="Wingdings" w:hAnsi="Wingdings" w:hint="default"/>
      </w:rPr>
    </w:lvl>
    <w:lvl w:ilvl="6" w:tplc="91A0107C" w:tentative="1">
      <w:start w:val="1"/>
      <w:numFmt w:val="bullet"/>
      <w:lvlText w:val=""/>
      <w:lvlJc w:val="left"/>
      <w:pPr>
        <w:ind w:left="5040" w:hanging="360"/>
      </w:pPr>
      <w:rPr>
        <w:rFonts w:ascii="Symbol" w:hAnsi="Symbol" w:hint="default"/>
      </w:rPr>
    </w:lvl>
    <w:lvl w:ilvl="7" w:tplc="DE980A24" w:tentative="1">
      <w:start w:val="1"/>
      <w:numFmt w:val="bullet"/>
      <w:lvlText w:val="o"/>
      <w:lvlJc w:val="left"/>
      <w:pPr>
        <w:ind w:left="5760" w:hanging="360"/>
      </w:pPr>
      <w:rPr>
        <w:rFonts w:ascii="Courier New" w:hAnsi="Courier New" w:cs="Courier New" w:hint="default"/>
      </w:rPr>
    </w:lvl>
    <w:lvl w:ilvl="8" w:tplc="82C68D0C" w:tentative="1">
      <w:start w:val="1"/>
      <w:numFmt w:val="bullet"/>
      <w:lvlText w:val=""/>
      <w:lvlJc w:val="left"/>
      <w:pPr>
        <w:ind w:left="6480" w:hanging="360"/>
      </w:pPr>
      <w:rPr>
        <w:rFonts w:ascii="Wingdings" w:hAnsi="Wingdings" w:hint="default"/>
      </w:rPr>
    </w:lvl>
  </w:abstractNum>
  <w:abstractNum w:abstractNumId="218" w15:restartNumberingAfterBreak="0">
    <w:nsid w:val="415F2C26"/>
    <w:multiLevelType w:val="hybridMultilevel"/>
    <w:tmpl w:val="E75EA276"/>
    <w:lvl w:ilvl="0" w:tplc="AEB843FA">
      <w:start w:val="1"/>
      <w:numFmt w:val="bullet"/>
      <w:lvlText w:val=""/>
      <w:lvlJc w:val="left"/>
      <w:pPr>
        <w:tabs>
          <w:tab w:val="num" w:pos="720"/>
        </w:tabs>
        <w:ind w:left="720" w:hanging="360"/>
      </w:pPr>
      <w:rPr>
        <w:rFonts w:ascii="Symbol" w:hAnsi="Symbol" w:hint="default"/>
      </w:rPr>
    </w:lvl>
    <w:lvl w:ilvl="1" w:tplc="5514347C">
      <w:start w:val="1"/>
      <w:numFmt w:val="bullet"/>
      <w:lvlText w:val="o"/>
      <w:lvlJc w:val="left"/>
      <w:pPr>
        <w:tabs>
          <w:tab w:val="num" w:pos="1440"/>
        </w:tabs>
        <w:ind w:left="1440" w:hanging="360"/>
      </w:pPr>
      <w:rPr>
        <w:rFonts w:ascii="Courier New" w:hAnsi="Courier New" w:hint="default"/>
      </w:rPr>
    </w:lvl>
    <w:lvl w:ilvl="2" w:tplc="CF709F10" w:tentative="1">
      <w:start w:val="1"/>
      <w:numFmt w:val="bullet"/>
      <w:lvlText w:val=""/>
      <w:lvlJc w:val="left"/>
      <w:pPr>
        <w:tabs>
          <w:tab w:val="num" w:pos="2160"/>
        </w:tabs>
        <w:ind w:left="2160" w:hanging="360"/>
      </w:pPr>
      <w:rPr>
        <w:rFonts w:ascii="Wingdings" w:hAnsi="Wingdings" w:hint="default"/>
      </w:rPr>
    </w:lvl>
    <w:lvl w:ilvl="3" w:tplc="D14AB062" w:tentative="1">
      <w:start w:val="1"/>
      <w:numFmt w:val="bullet"/>
      <w:lvlText w:val=""/>
      <w:lvlJc w:val="left"/>
      <w:pPr>
        <w:tabs>
          <w:tab w:val="num" w:pos="2880"/>
        </w:tabs>
        <w:ind w:left="2880" w:hanging="360"/>
      </w:pPr>
      <w:rPr>
        <w:rFonts w:ascii="Symbol" w:hAnsi="Symbol" w:hint="default"/>
      </w:rPr>
    </w:lvl>
    <w:lvl w:ilvl="4" w:tplc="22A67DAA" w:tentative="1">
      <w:start w:val="1"/>
      <w:numFmt w:val="bullet"/>
      <w:lvlText w:val="o"/>
      <w:lvlJc w:val="left"/>
      <w:pPr>
        <w:tabs>
          <w:tab w:val="num" w:pos="3600"/>
        </w:tabs>
        <w:ind w:left="3600" w:hanging="360"/>
      </w:pPr>
      <w:rPr>
        <w:rFonts w:ascii="Courier New" w:hAnsi="Courier New" w:hint="default"/>
      </w:rPr>
    </w:lvl>
    <w:lvl w:ilvl="5" w:tplc="81529656" w:tentative="1">
      <w:start w:val="1"/>
      <w:numFmt w:val="bullet"/>
      <w:lvlText w:val=""/>
      <w:lvlJc w:val="left"/>
      <w:pPr>
        <w:tabs>
          <w:tab w:val="num" w:pos="4320"/>
        </w:tabs>
        <w:ind w:left="4320" w:hanging="360"/>
      </w:pPr>
      <w:rPr>
        <w:rFonts w:ascii="Wingdings" w:hAnsi="Wingdings" w:hint="default"/>
      </w:rPr>
    </w:lvl>
    <w:lvl w:ilvl="6" w:tplc="F07EC3AC" w:tentative="1">
      <w:start w:val="1"/>
      <w:numFmt w:val="bullet"/>
      <w:lvlText w:val=""/>
      <w:lvlJc w:val="left"/>
      <w:pPr>
        <w:tabs>
          <w:tab w:val="num" w:pos="5040"/>
        </w:tabs>
        <w:ind w:left="5040" w:hanging="360"/>
      </w:pPr>
      <w:rPr>
        <w:rFonts w:ascii="Symbol" w:hAnsi="Symbol" w:hint="default"/>
      </w:rPr>
    </w:lvl>
    <w:lvl w:ilvl="7" w:tplc="3CB69EA2" w:tentative="1">
      <w:start w:val="1"/>
      <w:numFmt w:val="bullet"/>
      <w:lvlText w:val="o"/>
      <w:lvlJc w:val="left"/>
      <w:pPr>
        <w:tabs>
          <w:tab w:val="num" w:pos="5760"/>
        </w:tabs>
        <w:ind w:left="5760" w:hanging="360"/>
      </w:pPr>
      <w:rPr>
        <w:rFonts w:ascii="Courier New" w:hAnsi="Courier New" w:hint="default"/>
      </w:rPr>
    </w:lvl>
    <w:lvl w:ilvl="8" w:tplc="3D2ACEBE" w:tentative="1">
      <w:start w:val="1"/>
      <w:numFmt w:val="bullet"/>
      <w:lvlText w:val=""/>
      <w:lvlJc w:val="left"/>
      <w:pPr>
        <w:tabs>
          <w:tab w:val="num" w:pos="6480"/>
        </w:tabs>
        <w:ind w:left="6480" w:hanging="360"/>
      </w:pPr>
      <w:rPr>
        <w:rFonts w:ascii="Wingdings" w:hAnsi="Wingdings" w:hint="default"/>
      </w:rPr>
    </w:lvl>
  </w:abstractNum>
  <w:abstractNum w:abstractNumId="219" w15:restartNumberingAfterBreak="0">
    <w:nsid w:val="41657A98"/>
    <w:multiLevelType w:val="hybridMultilevel"/>
    <w:tmpl w:val="CCC4051C"/>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20" w15:restartNumberingAfterBreak="0">
    <w:nsid w:val="41756A49"/>
    <w:multiLevelType w:val="hybridMultilevel"/>
    <w:tmpl w:val="FC70DC1C"/>
    <w:lvl w:ilvl="0" w:tplc="FFFFFFFF">
      <w:start w:val="1"/>
      <w:numFmt w:val="bullet"/>
      <w:lvlText w:val=""/>
      <w:lvlJc w:val="left"/>
      <w:pPr>
        <w:tabs>
          <w:tab w:val="num" w:pos="1800"/>
        </w:tabs>
        <w:ind w:left="1800" w:hanging="360"/>
      </w:pPr>
      <w:rPr>
        <w:rFonts w:ascii="Symbol" w:hAnsi="Symbol" w:cs="Symbol" w:hint="default"/>
      </w:rPr>
    </w:lvl>
    <w:lvl w:ilvl="1" w:tplc="FFFFFFFF">
      <w:start w:val="1"/>
      <w:numFmt w:val="decimal"/>
      <w:lvlText w:val="%2."/>
      <w:lvlJc w:val="left"/>
      <w:pPr>
        <w:tabs>
          <w:tab w:val="num" w:pos="2520"/>
        </w:tabs>
        <w:ind w:left="2520" w:hanging="360"/>
      </w:pPr>
      <w:rPr>
        <w:rFonts w:hint="default"/>
      </w:rPr>
    </w:lvl>
    <w:lvl w:ilvl="2" w:tplc="FFFFFFFF">
      <w:start w:val="1"/>
      <w:numFmt w:val="bullet"/>
      <w:lvlText w:val=""/>
      <w:lvlJc w:val="left"/>
      <w:pPr>
        <w:tabs>
          <w:tab w:val="num" w:pos="3240"/>
        </w:tabs>
        <w:ind w:left="3240" w:hanging="360"/>
      </w:pPr>
      <w:rPr>
        <w:rFonts w:ascii="Wingdings" w:hAnsi="Wingdings" w:cs="Wingdings" w:hint="default"/>
      </w:rPr>
    </w:lvl>
    <w:lvl w:ilvl="3" w:tplc="FFFFFFFF">
      <w:start w:val="1"/>
      <w:numFmt w:val="bullet"/>
      <w:lvlText w:val=""/>
      <w:lvlJc w:val="left"/>
      <w:pPr>
        <w:tabs>
          <w:tab w:val="num" w:pos="3960"/>
        </w:tabs>
        <w:ind w:left="3960" w:hanging="360"/>
      </w:pPr>
      <w:rPr>
        <w:rFonts w:ascii="Symbol" w:hAnsi="Symbol" w:cs="Symbol" w:hint="default"/>
      </w:rPr>
    </w:lvl>
    <w:lvl w:ilvl="4" w:tplc="FFFFFFFF">
      <w:start w:val="1"/>
      <w:numFmt w:val="bullet"/>
      <w:lvlText w:val="o"/>
      <w:lvlJc w:val="left"/>
      <w:pPr>
        <w:tabs>
          <w:tab w:val="num" w:pos="4680"/>
        </w:tabs>
        <w:ind w:left="4680" w:hanging="360"/>
      </w:pPr>
      <w:rPr>
        <w:rFonts w:ascii="Courier New" w:hAnsi="Courier New" w:cs="Courier New" w:hint="default"/>
      </w:rPr>
    </w:lvl>
    <w:lvl w:ilvl="5" w:tplc="FFFFFFFF">
      <w:start w:val="1"/>
      <w:numFmt w:val="bullet"/>
      <w:lvlText w:val=""/>
      <w:lvlJc w:val="left"/>
      <w:pPr>
        <w:tabs>
          <w:tab w:val="num" w:pos="5400"/>
        </w:tabs>
        <w:ind w:left="5400" w:hanging="360"/>
      </w:pPr>
      <w:rPr>
        <w:rFonts w:ascii="Wingdings" w:hAnsi="Wingdings" w:cs="Wingdings" w:hint="default"/>
      </w:rPr>
    </w:lvl>
    <w:lvl w:ilvl="6" w:tplc="FFFFFFFF">
      <w:start w:val="1"/>
      <w:numFmt w:val="bullet"/>
      <w:lvlText w:val=""/>
      <w:lvlJc w:val="left"/>
      <w:pPr>
        <w:tabs>
          <w:tab w:val="num" w:pos="6120"/>
        </w:tabs>
        <w:ind w:left="6120" w:hanging="360"/>
      </w:pPr>
      <w:rPr>
        <w:rFonts w:ascii="Symbol" w:hAnsi="Symbol" w:cs="Symbol" w:hint="default"/>
      </w:rPr>
    </w:lvl>
    <w:lvl w:ilvl="7" w:tplc="FFFFFFFF">
      <w:start w:val="1"/>
      <w:numFmt w:val="bullet"/>
      <w:lvlText w:val="o"/>
      <w:lvlJc w:val="left"/>
      <w:pPr>
        <w:tabs>
          <w:tab w:val="num" w:pos="6840"/>
        </w:tabs>
        <w:ind w:left="6840" w:hanging="360"/>
      </w:pPr>
      <w:rPr>
        <w:rFonts w:ascii="Courier New" w:hAnsi="Courier New" w:cs="Courier New" w:hint="default"/>
      </w:rPr>
    </w:lvl>
    <w:lvl w:ilvl="8" w:tplc="FFFFFFFF">
      <w:start w:val="1"/>
      <w:numFmt w:val="bullet"/>
      <w:lvlText w:val=""/>
      <w:lvlJc w:val="left"/>
      <w:pPr>
        <w:tabs>
          <w:tab w:val="num" w:pos="7560"/>
        </w:tabs>
        <w:ind w:left="7560" w:hanging="360"/>
      </w:pPr>
      <w:rPr>
        <w:rFonts w:ascii="Wingdings" w:hAnsi="Wingdings" w:cs="Wingdings" w:hint="default"/>
      </w:rPr>
    </w:lvl>
  </w:abstractNum>
  <w:abstractNum w:abstractNumId="221" w15:restartNumberingAfterBreak="0">
    <w:nsid w:val="419660C1"/>
    <w:multiLevelType w:val="hybridMultilevel"/>
    <w:tmpl w:val="0BD8D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2" w15:restartNumberingAfterBreak="0">
    <w:nsid w:val="41BF6DAE"/>
    <w:multiLevelType w:val="hybridMultilevel"/>
    <w:tmpl w:val="983A7366"/>
    <w:lvl w:ilvl="0" w:tplc="FFFFFFFF">
      <w:start w:val="1"/>
      <w:numFmt w:val="decimal"/>
      <w:lvlText w:val="%1."/>
      <w:lvlJc w:val="left"/>
      <w:pPr>
        <w:tabs>
          <w:tab w:val="num" w:pos="927"/>
        </w:tabs>
        <w:ind w:left="927" w:hanging="360"/>
      </w:pPr>
      <w:rPr>
        <w:rFonts w:hint="default"/>
        <w:b/>
        <w:bCs/>
      </w:rPr>
    </w:lvl>
    <w:lvl w:ilvl="1" w:tplc="FFFFFFFF">
      <w:start w:val="1"/>
      <w:numFmt w:val="bullet"/>
      <w:lvlText w:val=""/>
      <w:lvlJc w:val="left"/>
      <w:pPr>
        <w:tabs>
          <w:tab w:val="num" w:pos="1647"/>
        </w:tabs>
        <w:ind w:left="1647" w:hanging="360"/>
      </w:pPr>
      <w:rPr>
        <w:rFonts w:ascii="Symbol" w:hAnsi="Symbol" w:cs="Symbol" w:hint="default"/>
        <w:b/>
        <w:bCs/>
      </w:rPr>
    </w:lvl>
    <w:lvl w:ilvl="2" w:tplc="04020001">
      <w:start w:val="1"/>
      <w:numFmt w:val="bullet"/>
      <w:lvlText w:val=""/>
      <w:lvlJc w:val="left"/>
      <w:pPr>
        <w:tabs>
          <w:tab w:val="num" w:pos="2547"/>
        </w:tabs>
        <w:ind w:left="2547" w:hanging="360"/>
      </w:pPr>
      <w:rPr>
        <w:rFonts w:ascii="Symbol" w:hAnsi="Symbol" w:cs="Symbol" w:hint="default"/>
        <w:b/>
        <w:bCs/>
      </w:rPr>
    </w:lvl>
    <w:lvl w:ilvl="3" w:tplc="FFFFFFFF">
      <w:start w:val="1"/>
      <w:numFmt w:val="decimal"/>
      <w:lvlText w:val="%4."/>
      <w:lvlJc w:val="left"/>
      <w:pPr>
        <w:tabs>
          <w:tab w:val="num" w:pos="3087"/>
        </w:tabs>
        <w:ind w:left="3087" w:hanging="360"/>
      </w:pPr>
    </w:lvl>
    <w:lvl w:ilvl="4" w:tplc="FFFFFFFF">
      <w:start w:val="1"/>
      <w:numFmt w:val="lowerLetter"/>
      <w:lvlText w:val="%5."/>
      <w:lvlJc w:val="left"/>
      <w:pPr>
        <w:tabs>
          <w:tab w:val="num" w:pos="3807"/>
        </w:tabs>
        <w:ind w:left="3807" w:hanging="360"/>
      </w:pPr>
    </w:lvl>
    <w:lvl w:ilvl="5" w:tplc="FFFFFFFF">
      <w:start w:val="1"/>
      <w:numFmt w:val="lowerRoman"/>
      <w:lvlText w:val="%6."/>
      <w:lvlJc w:val="right"/>
      <w:pPr>
        <w:tabs>
          <w:tab w:val="num" w:pos="4527"/>
        </w:tabs>
        <w:ind w:left="4527" w:hanging="180"/>
      </w:pPr>
    </w:lvl>
    <w:lvl w:ilvl="6" w:tplc="FFFFFFFF">
      <w:start w:val="1"/>
      <w:numFmt w:val="decimal"/>
      <w:lvlText w:val="%7."/>
      <w:lvlJc w:val="left"/>
      <w:pPr>
        <w:tabs>
          <w:tab w:val="num" w:pos="5247"/>
        </w:tabs>
        <w:ind w:left="5247" w:hanging="360"/>
      </w:pPr>
    </w:lvl>
    <w:lvl w:ilvl="7" w:tplc="FFFFFFFF">
      <w:start w:val="1"/>
      <w:numFmt w:val="lowerLetter"/>
      <w:lvlText w:val="%8."/>
      <w:lvlJc w:val="left"/>
      <w:pPr>
        <w:tabs>
          <w:tab w:val="num" w:pos="5967"/>
        </w:tabs>
        <w:ind w:left="5967" w:hanging="360"/>
      </w:pPr>
    </w:lvl>
    <w:lvl w:ilvl="8" w:tplc="FFFFFFFF">
      <w:start w:val="1"/>
      <w:numFmt w:val="lowerRoman"/>
      <w:lvlText w:val="%9."/>
      <w:lvlJc w:val="right"/>
      <w:pPr>
        <w:tabs>
          <w:tab w:val="num" w:pos="6687"/>
        </w:tabs>
        <w:ind w:left="6687" w:hanging="180"/>
      </w:pPr>
    </w:lvl>
  </w:abstractNum>
  <w:abstractNum w:abstractNumId="223" w15:restartNumberingAfterBreak="0">
    <w:nsid w:val="41E23503"/>
    <w:multiLevelType w:val="hybridMultilevel"/>
    <w:tmpl w:val="F448F5F8"/>
    <w:lvl w:ilvl="0" w:tplc="04020001">
      <w:start w:val="1"/>
      <w:numFmt w:val="bullet"/>
      <w:lvlText w:val=""/>
      <w:lvlJc w:val="left"/>
      <w:pPr>
        <w:ind w:left="0" w:hanging="360"/>
      </w:pPr>
      <w:rPr>
        <w:rFonts w:ascii="Symbol" w:hAnsi="Symbol" w:hint="default"/>
      </w:rPr>
    </w:lvl>
    <w:lvl w:ilvl="1" w:tplc="04020003" w:tentative="1">
      <w:start w:val="1"/>
      <w:numFmt w:val="bullet"/>
      <w:lvlText w:val="o"/>
      <w:lvlJc w:val="left"/>
      <w:pPr>
        <w:ind w:left="720" w:hanging="360"/>
      </w:pPr>
      <w:rPr>
        <w:rFonts w:ascii="Courier New" w:hAnsi="Courier New" w:cs="Courier New" w:hint="default"/>
      </w:rPr>
    </w:lvl>
    <w:lvl w:ilvl="2" w:tplc="04020005" w:tentative="1">
      <w:start w:val="1"/>
      <w:numFmt w:val="bullet"/>
      <w:lvlText w:val=""/>
      <w:lvlJc w:val="left"/>
      <w:pPr>
        <w:ind w:left="1440" w:hanging="360"/>
      </w:pPr>
      <w:rPr>
        <w:rFonts w:ascii="Wingdings" w:hAnsi="Wingdings" w:hint="default"/>
      </w:rPr>
    </w:lvl>
    <w:lvl w:ilvl="3" w:tplc="04020001" w:tentative="1">
      <w:start w:val="1"/>
      <w:numFmt w:val="bullet"/>
      <w:lvlText w:val=""/>
      <w:lvlJc w:val="left"/>
      <w:pPr>
        <w:ind w:left="2160" w:hanging="360"/>
      </w:pPr>
      <w:rPr>
        <w:rFonts w:ascii="Symbol" w:hAnsi="Symbol" w:hint="default"/>
      </w:rPr>
    </w:lvl>
    <w:lvl w:ilvl="4" w:tplc="04020003" w:tentative="1">
      <w:start w:val="1"/>
      <w:numFmt w:val="bullet"/>
      <w:lvlText w:val="o"/>
      <w:lvlJc w:val="left"/>
      <w:pPr>
        <w:ind w:left="2880" w:hanging="360"/>
      </w:pPr>
      <w:rPr>
        <w:rFonts w:ascii="Courier New" w:hAnsi="Courier New" w:cs="Courier New" w:hint="default"/>
      </w:rPr>
    </w:lvl>
    <w:lvl w:ilvl="5" w:tplc="04020005" w:tentative="1">
      <w:start w:val="1"/>
      <w:numFmt w:val="bullet"/>
      <w:lvlText w:val=""/>
      <w:lvlJc w:val="left"/>
      <w:pPr>
        <w:ind w:left="3600" w:hanging="360"/>
      </w:pPr>
      <w:rPr>
        <w:rFonts w:ascii="Wingdings" w:hAnsi="Wingdings" w:hint="default"/>
      </w:rPr>
    </w:lvl>
    <w:lvl w:ilvl="6" w:tplc="04020001" w:tentative="1">
      <w:start w:val="1"/>
      <w:numFmt w:val="bullet"/>
      <w:lvlText w:val=""/>
      <w:lvlJc w:val="left"/>
      <w:pPr>
        <w:ind w:left="4320" w:hanging="360"/>
      </w:pPr>
      <w:rPr>
        <w:rFonts w:ascii="Symbol" w:hAnsi="Symbol" w:hint="default"/>
      </w:rPr>
    </w:lvl>
    <w:lvl w:ilvl="7" w:tplc="04020003" w:tentative="1">
      <w:start w:val="1"/>
      <w:numFmt w:val="bullet"/>
      <w:lvlText w:val="o"/>
      <w:lvlJc w:val="left"/>
      <w:pPr>
        <w:ind w:left="5040" w:hanging="360"/>
      </w:pPr>
      <w:rPr>
        <w:rFonts w:ascii="Courier New" w:hAnsi="Courier New" w:cs="Courier New" w:hint="default"/>
      </w:rPr>
    </w:lvl>
    <w:lvl w:ilvl="8" w:tplc="04020005" w:tentative="1">
      <w:start w:val="1"/>
      <w:numFmt w:val="bullet"/>
      <w:lvlText w:val=""/>
      <w:lvlJc w:val="left"/>
      <w:pPr>
        <w:ind w:left="5760" w:hanging="360"/>
      </w:pPr>
      <w:rPr>
        <w:rFonts w:ascii="Wingdings" w:hAnsi="Wingdings" w:hint="default"/>
      </w:rPr>
    </w:lvl>
  </w:abstractNum>
  <w:abstractNum w:abstractNumId="224" w15:restartNumberingAfterBreak="0">
    <w:nsid w:val="42462FD3"/>
    <w:multiLevelType w:val="hybridMultilevel"/>
    <w:tmpl w:val="A94C694E"/>
    <w:lvl w:ilvl="0" w:tplc="55529A5E">
      <w:start w:val="1"/>
      <w:numFmt w:val="bullet"/>
      <w:lvlText w:val="-"/>
      <w:lvlJc w:val="left"/>
      <w:pPr>
        <w:ind w:left="1068" w:hanging="360"/>
      </w:pPr>
      <w:rPr>
        <w:rFonts w:ascii="Times New Roman" w:hAnsi="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25" w15:restartNumberingAfterBreak="0">
    <w:nsid w:val="42502973"/>
    <w:multiLevelType w:val="multilevel"/>
    <w:tmpl w:val="42502973"/>
    <w:lvl w:ilvl="0">
      <w:start w:val="65535"/>
      <w:numFmt w:val="bullet"/>
      <w:lvlText w:val="•"/>
      <w:lvlJc w:val="left"/>
      <w:pPr>
        <w:ind w:left="1065" w:hanging="360"/>
      </w:pPr>
      <w:rPr>
        <w:rFonts w:ascii="Arial" w:hAnsi="Arial" w:cs="Arial" w:hint="default"/>
      </w:rPr>
    </w:lvl>
    <w:lvl w:ilvl="1">
      <w:start w:val="65535"/>
      <w:numFmt w:val="bullet"/>
      <w:lvlText w:val="•"/>
      <w:lvlJc w:val="left"/>
      <w:pPr>
        <w:ind w:left="1785" w:hanging="360"/>
      </w:pPr>
      <w:rPr>
        <w:rFonts w:ascii="Arial" w:hAnsi="Arial" w:cs="Arial" w:hint="default"/>
      </w:rPr>
    </w:lvl>
    <w:lvl w:ilvl="2">
      <w:start w:val="1"/>
      <w:numFmt w:val="bullet"/>
      <w:lvlText w:val=""/>
      <w:lvlJc w:val="left"/>
      <w:pPr>
        <w:ind w:left="2505" w:hanging="360"/>
      </w:pPr>
      <w:rPr>
        <w:rFonts w:ascii="Wingdings" w:hAnsi="Wingdings" w:hint="default"/>
      </w:rPr>
    </w:lvl>
    <w:lvl w:ilvl="3">
      <w:start w:val="1"/>
      <w:numFmt w:val="bullet"/>
      <w:lvlText w:val=""/>
      <w:lvlJc w:val="left"/>
      <w:pPr>
        <w:ind w:left="3225" w:hanging="360"/>
      </w:pPr>
      <w:rPr>
        <w:rFonts w:ascii="Symbol" w:hAnsi="Symbol" w:hint="default"/>
      </w:rPr>
    </w:lvl>
    <w:lvl w:ilvl="4">
      <w:start w:val="1"/>
      <w:numFmt w:val="bullet"/>
      <w:lvlText w:val="o"/>
      <w:lvlJc w:val="left"/>
      <w:pPr>
        <w:ind w:left="3945" w:hanging="360"/>
      </w:pPr>
      <w:rPr>
        <w:rFonts w:ascii="Courier New" w:hAnsi="Courier New" w:cs="Courier New" w:hint="default"/>
      </w:rPr>
    </w:lvl>
    <w:lvl w:ilvl="5">
      <w:start w:val="1"/>
      <w:numFmt w:val="bullet"/>
      <w:lvlText w:val=""/>
      <w:lvlJc w:val="left"/>
      <w:pPr>
        <w:ind w:left="4665" w:hanging="360"/>
      </w:pPr>
      <w:rPr>
        <w:rFonts w:ascii="Wingdings" w:hAnsi="Wingdings" w:hint="default"/>
      </w:rPr>
    </w:lvl>
    <w:lvl w:ilvl="6">
      <w:start w:val="1"/>
      <w:numFmt w:val="bullet"/>
      <w:lvlText w:val=""/>
      <w:lvlJc w:val="left"/>
      <w:pPr>
        <w:ind w:left="5385" w:hanging="360"/>
      </w:pPr>
      <w:rPr>
        <w:rFonts w:ascii="Symbol" w:hAnsi="Symbol" w:hint="default"/>
      </w:rPr>
    </w:lvl>
    <w:lvl w:ilvl="7">
      <w:start w:val="1"/>
      <w:numFmt w:val="bullet"/>
      <w:lvlText w:val="o"/>
      <w:lvlJc w:val="left"/>
      <w:pPr>
        <w:ind w:left="6105" w:hanging="360"/>
      </w:pPr>
      <w:rPr>
        <w:rFonts w:ascii="Courier New" w:hAnsi="Courier New" w:cs="Courier New" w:hint="default"/>
      </w:rPr>
    </w:lvl>
    <w:lvl w:ilvl="8">
      <w:start w:val="1"/>
      <w:numFmt w:val="bullet"/>
      <w:lvlText w:val=""/>
      <w:lvlJc w:val="left"/>
      <w:pPr>
        <w:ind w:left="6825" w:hanging="360"/>
      </w:pPr>
      <w:rPr>
        <w:rFonts w:ascii="Wingdings" w:hAnsi="Wingdings" w:hint="default"/>
      </w:rPr>
    </w:lvl>
  </w:abstractNum>
  <w:abstractNum w:abstractNumId="226" w15:restartNumberingAfterBreak="0">
    <w:nsid w:val="428645FC"/>
    <w:multiLevelType w:val="hybridMultilevel"/>
    <w:tmpl w:val="296ECE0A"/>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227" w15:restartNumberingAfterBreak="0">
    <w:nsid w:val="42C7075D"/>
    <w:multiLevelType w:val="hybridMultilevel"/>
    <w:tmpl w:val="4884547E"/>
    <w:lvl w:ilvl="0" w:tplc="04020013">
      <w:start w:val="108"/>
      <w:numFmt w:val="bullet"/>
      <w:lvlText w:val="–"/>
      <w:lvlJc w:val="left"/>
      <w:pPr>
        <w:ind w:left="720" w:hanging="360"/>
      </w:pPr>
      <w:rPr>
        <w:rFonts w:ascii="Times New Roman" w:hAnsi="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8" w15:restartNumberingAfterBreak="0">
    <w:nsid w:val="44261ED4"/>
    <w:multiLevelType w:val="hybridMultilevel"/>
    <w:tmpl w:val="C54EC546"/>
    <w:lvl w:ilvl="0" w:tplc="FFFFFFFF">
      <w:start w:val="1"/>
      <w:numFmt w:val="bullet"/>
      <w:lvlText w:val=""/>
      <w:lvlJc w:val="left"/>
      <w:pPr>
        <w:tabs>
          <w:tab w:val="num" w:pos="720"/>
        </w:tabs>
        <w:ind w:left="720" w:hanging="360"/>
      </w:pPr>
      <w:rPr>
        <w:rFonts w:ascii="Symbol" w:hAnsi="Symbol" w:hint="default"/>
      </w:rPr>
    </w:lvl>
    <w:lvl w:ilvl="1" w:tplc="0402000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9" w15:restartNumberingAfterBreak="0">
    <w:nsid w:val="447D2A9E"/>
    <w:multiLevelType w:val="hybridMultilevel"/>
    <w:tmpl w:val="43B4DFF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0" w15:restartNumberingAfterBreak="0">
    <w:nsid w:val="44F2389C"/>
    <w:multiLevelType w:val="hybridMultilevel"/>
    <w:tmpl w:val="0BFC19F8"/>
    <w:lvl w:ilvl="0" w:tplc="810C3D86">
      <w:start w:val="1"/>
      <w:numFmt w:val="bullet"/>
      <w:lvlText w:val="•"/>
      <w:lvlJc w:val="left"/>
      <w:pPr>
        <w:tabs>
          <w:tab w:val="num" w:pos="720"/>
        </w:tabs>
        <w:ind w:left="720" w:hanging="360"/>
      </w:pPr>
      <w:rPr>
        <w:rFonts w:ascii="Arial" w:hAnsi="Arial" w:hint="default"/>
      </w:rPr>
    </w:lvl>
    <w:lvl w:ilvl="1" w:tplc="C354E408">
      <w:start w:val="38"/>
      <w:numFmt w:val="bullet"/>
      <w:lvlText w:val="–"/>
      <w:lvlJc w:val="left"/>
      <w:pPr>
        <w:tabs>
          <w:tab w:val="num" w:pos="1440"/>
        </w:tabs>
        <w:ind w:left="1440" w:hanging="360"/>
      </w:pPr>
      <w:rPr>
        <w:rFonts w:ascii="Arial" w:hAnsi="Arial" w:hint="default"/>
      </w:rPr>
    </w:lvl>
    <w:lvl w:ilvl="2" w:tplc="BFC22590">
      <w:start w:val="38"/>
      <w:numFmt w:val="bullet"/>
      <w:lvlText w:val=""/>
      <w:lvlJc w:val="left"/>
      <w:pPr>
        <w:tabs>
          <w:tab w:val="num" w:pos="2160"/>
        </w:tabs>
        <w:ind w:left="2160" w:hanging="360"/>
      </w:pPr>
      <w:rPr>
        <w:rFonts w:ascii="Wingdings" w:hAnsi="Wingdings" w:hint="default"/>
      </w:rPr>
    </w:lvl>
    <w:lvl w:ilvl="3" w:tplc="8710DE28">
      <w:start w:val="1"/>
      <w:numFmt w:val="bullet"/>
      <w:lvlText w:val="•"/>
      <w:lvlJc w:val="left"/>
      <w:pPr>
        <w:tabs>
          <w:tab w:val="num" w:pos="2880"/>
        </w:tabs>
        <w:ind w:left="2880" w:hanging="360"/>
      </w:pPr>
      <w:rPr>
        <w:rFonts w:ascii="Arial" w:hAnsi="Arial" w:hint="default"/>
      </w:rPr>
    </w:lvl>
    <w:lvl w:ilvl="4" w:tplc="5BB460BE" w:tentative="1">
      <w:start w:val="1"/>
      <w:numFmt w:val="bullet"/>
      <w:lvlText w:val="•"/>
      <w:lvlJc w:val="left"/>
      <w:pPr>
        <w:tabs>
          <w:tab w:val="num" w:pos="3600"/>
        </w:tabs>
        <w:ind w:left="3600" w:hanging="360"/>
      </w:pPr>
      <w:rPr>
        <w:rFonts w:ascii="Arial" w:hAnsi="Arial" w:hint="default"/>
      </w:rPr>
    </w:lvl>
    <w:lvl w:ilvl="5" w:tplc="B93814AC" w:tentative="1">
      <w:start w:val="1"/>
      <w:numFmt w:val="bullet"/>
      <w:lvlText w:val="•"/>
      <w:lvlJc w:val="left"/>
      <w:pPr>
        <w:tabs>
          <w:tab w:val="num" w:pos="4320"/>
        </w:tabs>
        <w:ind w:left="4320" w:hanging="360"/>
      </w:pPr>
      <w:rPr>
        <w:rFonts w:ascii="Arial" w:hAnsi="Arial" w:hint="default"/>
      </w:rPr>
    </w:lvl>
    <w:lvl w:ilvl="6" w:tplc="8EAA70F6" w:tentative="1">
      <w:start w:val="1"/>
      <w:numFmt w:val="bullet"/>
      <w:lvlText w:val="•"/>
      <w:lvlJc w:val="left"/>
      <w:pPr>
        <w:tabs>
          <w:tab w:val="num" w:pos="5040"/>
        </w:tabs>
        <w:ind w:left="5040" w:hanging="360"/>
      </w:pPr>
      <w:rPr>
        <w:rFonts w:ascii="Arial" w:hAnsi="Arial" w:hint="default"/>
      </w:rPr>
    </w:lvl>
    <w:lvl w:ilvl="7" w:tplc="307C5590" w:tentative="1">
      <w:start w:val="1"/>
      <w:numFmt w:val="bullet"/>
      <w:lvlText w:val="•"/>
      <w:lvlJc w:val="left"/>
      <w:pPr>
        <w:tabs>
          <w:tab w:val="num" w:pos="5760"/>
        </w:tabs>
        <w:ind w:left="5760" w:hanging="360"/>
      </w:pPr>
      <w:rPr>
        <w:rFonts w:ascii="Arial" w:hAnsi="Arial" w:hint="default"/>
      </w:rPr>
    </w:lvl>
    <w:lvl w:ilvl="8" w:tplc="D9D2E1A6" w:tentative="1">
      <w:start w:val="1"/>
      <w:numFmt w:val="bullet"/>
      <w:lvlText w:val="•"/>
      <w:lvlJc w:val="left"/>
      <w:pPr>
        <w:tabs>
          <w:tab w:val="num" w:pos="6480"/>
        </w:tabs>
        <w:ind w:left="6480" w:hanging="360"/>
      </w:pPr>
      <w:rPr>
        <w:rFonts w:ascii="Arial" w:hAnsi="Arial" w:hint="default"/>
      </w:rPr>
    </w:lvl>
  </w:abstractNum>
  <w:abstractNum w:abstractNumId="231" w15:restartNumberingAfterBreak="0">
    <w:nsid w:val="4534299D"/>
    <w:multiLevelType w:val="hybridMultilevel"/>
    <w:tmpl w:val="EE2C9AEE"/>
    <w:lvl w:ilvl="0" w:tplc="04020001">
      <w:start w:val="1"/>
      <w:numFmt w:val="bullet"/>
      <w:lvlText w:val=""/>
      <w:lvlJc w:val="left"/>
      <w:pPr>
        <w:ind w:left="720" w:hanging="360"/>
      </w:pPr>
      <w:rPr>
        <w:rFonts w:ascii="Symbol" w:hAnsi="Symbol" w:hint="default"/>
      </w:rPr>
    </w:lvl>
    <w:lvl w:ilvl="1" w:tplc="04020003">
      <w:numFmt w:val="bullet"/>
      <w:lvlText w:val="•"/>
      <w:lvlJc w:val="left"/>
      <w:pPr>
        <w:ind w:left="2490" w:hanging="1410"/>
      </w:pPr>
      <w:rPr>
        <w:rFonts w:ascii="Arial" w:eastAsiaTheme="minorHAnsi" w:hAnsi="Arial" w:cs="Aria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2" w15:restartNumberingAfterBreak="0">
    <w:nsid w:val="45493C83"/>
    <w:multiLevelType w:val="hybridMultilevel"/>
    <w:tmpl w:val="426CB8FC"/>
    <w:lvl w:ilvl="0" w:tplc="04020013">
      <w:start w:val="108"/>
      <w:numFmt w:val="bullet"/>
      <w:lvlText w:val="–"/>
      <w:lvlJc w:val="left"/>
      <w:pPr>
        <w:ind w:left="720" w:hanging="360"/>
      </w:pPr>
      <w:rPr>
        <w:rFonts w:ascii="Times New Roman" w:hAnsi="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3" w15:restartNumberingAfterBreak="0">
    <w:nsid w:val="45DD0258"/>
    <w:multiLevelType w:val="hybridMultilevel"/>
    <w:tmpl w:val="397E275C"/>
    <w:lvl w:ilvl="0" w:tplc="04020001">
      <w:start w:val="1"/>
      <w:numFmt w:val="bullet"/>
      <w:lvlText w:val=""/>
      <w:lvlJc w:val="left"/>
      <w:pPr>
        <w:tabs>
          <w:tab w:val="num" w:pos="720"/>
        </w:tabs>
        <w:ind w:left="720" w:hanging="360"/>
      </w:pPr>
      <w:rPr>
        <w:rFonts w:ascii="Symbol" w:hAnsi="Symbol" w:hint="default"/>
      </w:rPr>
    </w:lvl>
    <w:lvl w:ilvl="1" w:tplc="0C7A1F30">
      <w:start w:val="1"/>
      <w:numFmt w:val="decimal"/>
      <w:lvlText w:val="%2."/>
      <w:lvlJc w:val="left"/>
      <w:pPr>
        <w:tabs>
          <w:tab w:val="num" w:pos="1440"/>
        </w:tabs>
        <w:ind w:left="1440" w:hanging="360"/>
      </w:pPr>
      <w:rPr>
        <w:rFonts w:cs="Times New Roman"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4" w15:restartNumberingAfterBreak="0">
    <w:nsid w:val="45E22A31"/>
    <w:multiLevelType w:val="hybridMultilevel"/>
    <w:tmpl w:val="CD6A0528"/>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235" w15:restartNumberingAfterBreak="0">
    <w:nsid w:val="45E92BE3"/>
    <w:multiLevelType w:val="hybridMultilevel"/>
    <w:tmpl w:val="BD8EA43E"/>
    <w:lvl w:ilvl="0" w:tplc="FFFFFFFF">
      <w:start w:val="1"/>
      <w:numFmt w:val="bullet"/>
      <w:lvlText w:val=""/>
      <w:lvlJc w:val="left"/>
      <w:pPr>
        <w:ind w:left="360" w:hanging="360"/>
      </w:pPr>
      <w:rPr>
        <w:rFonts w:ascii="Wingdings" w:hAnsi="Wingdings" w:hint="default"/>
        <w:b/>
        <w:i w:val="0"/>
        <w:sz w:val="24"/>
        <w:u w:val="non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6" w15:restartNumberingAfterBreak="0">
    <w:nsid w:val="462F3C15"/>
    <w:multiLevelType w:val="hybridMultilevel"/>
    <w:tmpl w:val="6EAE9E3C"/>
    <w:lvl w:ilvl="0" w:tplc="04020001">
      <w:start w:val="1"/>
      <w:numFmt w:val="bullet"/>
      <w:lvlText w:val=""/>
      <w:lvlJc w:val="left"/>
      <w:pPr>
        <w:ind w:left="720" w:hanging="360"/>
      </w:pPr>
      <w:rPr>
        <w:rFonts w:ascii="Symbol" w:hAnsi="Symbol" w:hint="default"/>
      </w:rPr>
    </w:lvl>
    <w:lvl w:ilvl="1" w:tplc="04020003">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7" w15:restartNumberingAfterBreak="0">
    <w:nsid w:val="46987CAA"/>
    <w:multiLevelType w:val="hybridMultilevel"/>
    <w:tmpl w:val="CCE6499A"/>
    <w:lvl w:ilvl="0" w:tplc="FFFFFFFF">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8" w15:restartNumberingAfterBreak="0">
    <w:nsid w:val="47000EAC"/>
    <w:multiLevelType w:val="hybridMultilevel"/>
    <w:tmpl w:val="39026D78"/>
    <w:lvl w:ilvl="0" w:tplc="04020001">
      <w:start w:val="1"/>
      <w:numFmt w:val="bullet"/>
      <w:lvlText w:val=""/>
      <w:lvlJc w:val="left"/>
      <w:pPr>
        <w:tabs>
          <w:tab w:val="num" w:pos="720"/>
        </w:tabs>
        <w:ind w:left="720" w:hanging="360"/>
      </w:pPr>
      <w:rPr>
        <w:rFonts w:ascii="Wingdings" w:hAnsi="Wingdings" w:hint="default"/>
      </w:rPr>
    </w:lvl>
    <w:lvl w:ilvl="1" w:tplc="04020001" w:tentative="1">
      <w:start w:val="1"/>
      <w:numFmt w:val="bullet"/>
      <w:lvlText w:val=""/>
      <w:lvlJc w:val="left"/>
      <w:pPr>
        <w:tabs>
          <w:tab w:val="num" w:pos="1440"/>
        </w:tabs>
        <w:ind w:left="1440" w:hanging="360"/>
      </w:pPr>
      <w:rPr>
        <w:rFonts w:ascii="Wingdings" w:hAnsi="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Wingdings" w:hAnsi="Wingdings" w:hint="default"/>
      </w:rPr>
    </w:lvl>
    <w:lvl w:ilvl="4" w:tplc="04020003" w:tentative="1">
      <w:start w:val="1"/>
      <w:numFmt w:val="bullet"/>
      <w:lvlText w:val=""/>
      <w:lvlJc w:val="left"/>
      <w:pPr>
        <w:tabs>
          <w:tab w:val="num" w:pos="3600"/>
        </w:tabs>
        <w:ind w:left="3600" w:hanging="360"/>
      </w:pPr>
      <w:rPr>
        <w:rFonts w:ascii="Wingdings" w:hAnsi="Wingdings"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Wingdings" w:hAnsi="Wingdings" w:hint="default"/>
      </w:rPr>
    </w:lvl>
    <w:lvl w:ilvl="7" w:tplc="04020003" w:tentative="1">
      <w:start w:val="1"/>
      <w:numFmt w:val="bullet"/>
      <w:lvlText w:val=""/>
      <w:lvlJc w:val="left"/>
      <w:pPr>
        <w:tabs>
          <w:tab w:val="num" w:pos="5760"/>
        </w:tabs>
        <w:ind w:left="5760" w:hanging="360"/>
      </w:pPr>
      <w:rPr>
        <w:rFonts w:ascii="Wingdings" w:hAnsi="Wingdings"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9" w15:restartNumberingAfterBreak="0">
    <w:nsid w:val="4780364E"/>
    <w:multiLevelType w:val="hybridMultilevel"/>
    <w:tmpl w:val="550AEB10"/>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0" w15:restartNumberingAfterBreak="0">
    <w:nsid w:val="47A66EEC"/>
    <w:multiLevelType w:val="hybridMultilevel"/>
    <w:tmpl w:val="87CC3C2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1" w15:restartNumberingAfterBreak="0">
    <w:nsid w:val="47AF419F"/>
    <w:multiLevelType w:val="hybridMultilevel"/>
    <w:tmpl w:val="1D34AC36"/>
    <w:lvl w:ilvl="0" w:tplc="C60C66C6">
      <w:start w:val="65535"/>
      <w:numFmt w:val="bullet"/>
      <w:lvlText w:val="•"/>
      <w:lvlJc w:val="left"/>
      <w:pPr>
        <w:tabs>
          <w:tab w:val="num" w:pos="-360"/>
        </w:tabs>
        <w:ind w:left="360" w:hanging="360"/>
      </w:pPr>
      <w:rPr>
        <w:rFonts w:ascii="Arial" w:hAnsi="Arial" w:cs="Arial"/>
        <w:color w:val="000000" w:themeColor="text1"/>
      </w:rPr>
    </w:lvl>
    <w:lvl w:ilvl="1" w:tplc="18E0B6C8">
      <w:start w:val="1"/>
      <w:numFmt w:val="bullet"/>
      <w:lvlText w:val="o"/>
      <w:lvlJc w:val="left"/>
      <w:pPr>
        <w:ind w:left="1080" w:hanging="360"/>
      </w:pPr>
      <w:rPr>
        <w:rFonts w:ascii="Courier New" w:hAnsi="Courier New" w:hint="default"/>
      </w:rPr>
    </w:lvl>
    <w:lvl w:ilvl="2" w:tplc="98B840DC" w:tentative="1">
      <w:start w:val="1"/>
      <w:numFmt w:val="bullet"/>
      <w:lvlText w:val=""/>
      <w:lvlJc w:val="left"/>
      <w:pPr>
        <w:ind w:left="1800" w:hanging="360"/>
      </w:pPr>
      <w:rPr>
        <w:rFonts w:ascii="Wingdings" w:hAnsi="Wingdings" w:hint="default"/>
      </w:rPr>
    </w:lvl>
    <w:lvl w:ilvl="3" w:tplc="C9E4C056" w:tentative="1">
      <w:start w:val="1"/>
      <w:numFmt w:val="bullet"/>
      <w:lvlText w:val=""/>
      <w:lvlJc w:val="left"/>
      <w:pPr>
        <w:ind w:left="2520" w:hanging="360"/>
      </w:pPr>
      <w:rPr>
        <w:rFonts w:ascii="Symbol" w:hAnsi="Symbol" w:hint="default"/>
      </w:rPr>
    </w:lvl>
    <w:lvl w:ilvl="4" w:tplc="375416B2" w:tentative="1">
      <w:start w:val="1"/>
      <w:numFmt w:val="bullet"/>
      <w:lvlText w:val="o"/>
      <w:lvlJc w:val="left"/>
      <w:pPr>
        <w:ind w:left="3240" w:hanging="360"/>
      </w:pPr>
      <w:rPr>
        <w:rFonts w:ascii="Courier New" w:hAnsi="Courier New" w:hint="default"/>
      </w:rPr>
    </w:lvl>
    <w:lvl w:ilvl="5" w:tplc="05FE50F8" w:tentative="1">
      <w:start w:val="1"/>
      <w:numFmt w:val="bullet"/>
      <w:lvlText w:val=""/>
      <w:lvlJc w:val="left"/>
      <w:pPr>
        <w:ind w:left="3960" w:hanging="360"/>
      </w:pPr>
      <w:rPr>
        <w:rFonts w:ascii="Wingdings" w:hAnsi="Wingdings" w:hint="default"/>
      </w:rPr>
    </w:lvl>
    <w:lvl w:ilvl="6" w:tplc="C2A0F4B6" w:tentative="1">
      <w:start w:val="1"/>
      <w:numFmt w:val="bullet"/>
      <w:lvlText w:val=""/>
      <w:lvlJc w:val="left"/>
      <w:pPr>
        <w:ind w:left="4680" w:hanging="360"/>
      </w:pPr>
      <w:rPr>
        <w:rFonts w:ascii="Symbol" w:hAnsi="Symbol" w:hint="default"/>
      </w:rPr>
    </w:lvl>
    <w:lvl w:ilvl="7" w:tplc="B3EE496C" w:tentative="1">
      <w:start w:val="1"/>
      <w:numFmt w:val="bullet"/>
      <w:lvlText w:val="o"/>
      <w:lvlJc w:val="left"/>
      <w:pPr>
        <w:ind w:left="5400" w:hanging="360"/>
      </w:pPr>
      <w:rPr>
        <w:rFonts w:ascii="Courier New" w:hAnsi="Courier New" w:hint="default"/>
      </w:rPr>
    </w:lvl>
    <w:lvl w:ilvl="8" w:tplc="25465BBC" w:tentative="1">
      <w:start w:val="1"/>
      <w:numFmt w:val="bullet"/>
      <w:lvlText w:val=""/>
      <w:lvlJc w:val="left"/>
      <w:pPr>
        <w:ind w:left="6120" w:hanging="360"/>
      </w:pPr>
      <w:rPr>
        <w:rFonts w:ascii="Wingdings" w:hAnsi="Wingdings" w:hint="default"/>
      </w:rPr>
    </w:lvl>
  </w:abstractNum>
  <w:abstractNum w:abstractNumId="242" w15:restartNumberingAfterBreak="0">
    <w:nsid w:val="47DC7633"/>
    <w:multiLevelType w:val="hybridMultilevel"/>
    <w:tmpl w:val="C8D6409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3" w15:restartNumberingAfterBreak="0">
    <w:nsid w:val="47F65CEB"/>
    <w:multiLevelType w:val="multilevel"/>
    <w:tmpl w:val="DE7269EC"/>
    <w:lvl w:ilvl="0">
      <w:start w:val="1"/>
      <w:numFmt w:val="decimal"/>
      <w:lvlText w:val="%1."/>
      <w:lvlJc w:val="left"/>
      <w:pPr>
        <w:ind w:left="1080" w:hanging="360"/>
      </w:pPr>
      <w:rPr>
        <w:rFonts w:ascii="Calibri" w:eastAsia="Times New Roman" w:hAnsi="Calibri" w:cs="Times New Roman"/>
        <w:b/>
      </w:rPr>
    </w:lvl>
    <w:lvl w:ilvl="1">
      <w:start w:val="5"/>
      <w:numFmt w:val="decimal"/>
      <w:isLgl/>
      <w:lvlText w:val="%1.%2."/>
      <w:lvlJc w:val="left"/>
      <w:pPr>
        <w:ind w:left="1455" w:hanging="735"/>
      </w:pPr>
      <w:rPr>
        <w:rFonts w:hint="default"/>
      </w:rPr>
    </w:lvl>
    <w:lvl w:ilvl="2">
      <w:start w:val="2"/>
      <w:numFmt w:val="decimal"/>
      <w:isLgl/>
      <w:lvlText w:val="%1.%2.%3."/>
      <w:lvlJc w:val="left"/>
      <w:pPr>
        <w:ind w:left="1455" w:hanging="735"/>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44" w15:restartNumberingAfterBreak="0">
    <w:nsid w:val="48954A7D"/>
    <w:multiLevelType w:val="hybridMultilevel"/>
    <w:tmpl w:val="CD42F01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5" w15:restartNumberingAfterBreak="0">
    <w:nsid w:val="48C43E45"/>
    <w:multiLevelType w:val="hybridMultilevel"/>
    <w:tmpl w:val="287C7A32"/>
    <w:lvl w:ilvl="0" w:tplc="12581604">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6" w15:restartNumberingAfterBreak="0">
    <w:nsid w:val="495F0426"/>
    <w:multiLevelType w:val="hybridMultilevel"/>
    <w:tmpl w:val="4DE6ECE8"/>
    <w:lvl w:ilvl="0" w:tplc="04090001">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7" w15:restartNumberingAfterBreak="0">
    <w:nsid w:val="49BC0226"/>
    <w:multiLevelType w:val="hybridMultilevel"/>
    <w:tmpl w:val="575E132A"/>
    <w:lvl w:ilvl="0" w:tplc="04020001">
      <w:start w:val="1"/>
      <w:numFmt w:val="bullet"/>
      <w:lvlText w:val=""/>
      <w:lvlJc w:val="left"/>
      <w:pPr>
        <w:ind w:left="360" w:hanging="360"/>
      </w:pPr>
      <w:rPr>
        <w:rFonts w:ascii="Symbol" w:hAnsi="Symbol" w:hint="default"/>
      </w:rPr>
    </w:lvl>
    <w:lvl w:ilvl="1" w:tplc="04020003">
      <w:start w:val="1"/>
      <w:numFmt w:val="bullet"/>
      <w:lvlText w:val="o"/>
      <w:lvlJc w:val="left"/>
      <w:pPr>
        <w:ind w:left="1080" w:hanging="360"/>
      </w:pPr>
      <w:rPr>
        <w:rFonts w:ascii="Courier New" w:hAnsi="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48" w15:restartNumberingAfterBreak="0">
    <w:nsid w:val="49C30757"/>
    <w:multiLevelType w:val="hybridMultilevel"/>
    <w:tmpl w:val="4DE82A66"/>
    <w:lvl w:ilvl="0" w:tplc="0402000B">
      <w:start w:val="1"/>
      <w:numFmt w:val="bullet"/>
      <w:lvlText w:val=""/>
      <w:lvlJc w:val="left"/>
      <w:pPr>
        <w:ind w:left="720" w:hanging="360"/>
      </w:pPr>
      <w:rPr>
        <w:rFonts w:ascii="Symbol" w:hAnsi="Symbol" w:hint="default"/>
        <w:color w:val="000000" w:themeColor="text1"/>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9" w15:restartNumberingAfterBreak="0">
    <w:nsid w:val="4A126085"/>
    <w:multiLevelType w:val="hybridMultilevel"/>
    <w:tmpl w:val="4CEED670"/>
    <w:lvl w:ilvl="0" w:tplc="0409000F">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0" w15:restartNumberingAfterBreak="0">
    <w:nsid w:val="4A450B0D"/>
    <w:multiLevelType w:val="hybridMultilevel"/>
    <w:tmpl w:val="3D148092"/>
    <w:lvl w:ilvl="0" w:tplc="339AE212">
      <w:start w:val="1"/>
      <w:numFmt w:val="bullet"/>
      <w:lvlText w:val="–"/>
      <w:lvlJc w:val="left"/>
      <w:pPr>
        <w:tabs>
          <w:tab w:val="num" w:pos="720"/>
        </w:tabs>
        <w:ind w:left="720" w:hanging="360"/>
      </w:pPr>
      <w:rPr>
        <w:rFonts w:ascii="Times New Roman" w:hAnsi="Times New Roman" w:cs="Times New Roman" w:hint="default"/>
      </w:rPr>
    </w:lvl>
    <w:lvl w:ilvl="1" w:tplc="5002E3A6">
      <w:start w:val="1"/>
      <w:numFmt w:val="bullet"/>
      <w:lvlText w:val="–"/>
      <w:lvlJc w:val="left"/>
      <w:pPr>
        <w:tabs>
          <w:tab w:val="num" w:pos="1440"/>
        </w:tabs>
        <w:ind w:left="1440" w:hanging="360"/>
      </w:pPr>
      <w:rPr>
        <w:rFonts w:ascii="Times New Roman" w:hAnsi="Times New Roman" w:cs="Times New Roman" w:hint="default"/>
      </w:rPr>
    </w:lvl>
    <w:lvl w:ilvl="2" w:tplc="0402000F">
      <w:start w:val="1"/>
      <w:numFmt w:val="decimal"/>
      <w:lvlText w:val="%3."/>
      <w:lvlJc w:val="left"/>
      <w:pPr>
        <w:tabs>
          <w:tab w:val="num" w:pos="2160"/>
        </w:tabs>
        <w:ind w:left="2160" w:hanging="360"/>
      </w:pPr>
      <w:rPr>
        <w:rFonts w:hint="default"/>
      </w:rPr>
    </w:lvl>
    <w:lvl w:ilvl="3" w:tplc="E0AA6404">
      <w:start w:val="1"/>
      <w:numFmt w:val="bullet"/>
      <w:lvlText w:val="–"/>
      <w:lvlJc w:val="left"/>
      <w:pPr>
        <w:tabs>
          <w:tab w:val="num" w:pos="2880"/>
        </w:tabs>
        <w:ind w:left="2880" w:hanging="360"/>
      </w:pPr>
      <w:rPr>
        <w:rFonts w:ascii="Times New Roman" w:hAnsi="Times New Roman" w:cs="Times New Roman" w:hint="default"/>
      </w:rPr>
    </w:lvl>
    <w:lvl w:ilvl="4" w:tplc="87987BAE">
      <w:start w:val="1"/>
      <w:numFmt w:val="bullet"/>
      <w:lvlText w:val="–"/>
      <w:lvlJc w:val="left"/>
      <w:pPr>
        <w:tabs>
          <w:tab w:val="num" w:pos="3600"/>
        </w:tabs>
        <w:ind w:left="3600" w:hanging="360"/>
      </w:pPr>
      <w:rPr>
        <w:rFonts w:ascii="Times New Roman" w:hAnsi="Times New Roman" w:cs="Times New Roman" w:hint="default"/>
      </w:rPr>
    </w:lvl>
    <w:lvl w:ilvl="5" w:tplc="3D2E8838">
      <w:start w:val="1"/>
      <w:numFmt w:val="bullet"/>
      <w:lvlText w:val="–"/>
      <w:lvlJc w:val="left"/>
      <w:pPr>
        <w:tabs>
          <w:tab w:val="num" w:pos="4320"/>
        </w:tabs>
        <w:ind w:left="4320" w:hanging="360"/>
      </w:pPr>
      <w:rPr>
        <w:rFonts w:ascii="Times New Roman" w:hAnsi="Times New Roman" w:cs="Times New Roman" w:hint="default"/>
      </w:rPr>
    </w:lvl>
    <w:lvl w:ilvl="6" w:tplc="6FC8CBA6">
      <w:start w:val="1"/>
      <w:numFmt w:val="bullet"/>
      <w:lvlText w:val="–"/>
      <w:lvlJc w:val="left"/>
      <w:pPr>
        <w:tabs>
          <w:tab w:val="num" w:pos="5040"/>
        </w:tabs>
        <w:ind w:left="5040" w:hanging="360"/>
      </w:pPr>
      <w:rPr>
        <w:rFonts w:ascii="Times New Roman" w:hAnsi="Times New Roman" w:cs="Times New Roman" w:hint="default"/>
      </w:rPr>
    </w:lvl>
    <w:lvl w:ilvl="7" w:tplc="408246DA">
      <w:start w:val="1"/>
      <w:numFmt w:val="bullet"/>
      <w:lvlText w:val="–"/>
      <w:lvlJc w:val="left"/>
      <w:pPr>
        <w:tabs>
          <w:tab w:val="num" w:pos="5760"/>
        </w:tabs>
        <w:ind w:left="5760" w:hanging="360"/>
      </w:pPr>
      <w:rPr>
        <w:rFonts w:ascii="Times New Roman" w:hAnsi="Times New Roman" w:cs="Times New Roman" w:hint="default"/>
      </w:rPr>
    </w:lvl>
    <w:lvl w:ilvl="8" w:tplc="771E5932">
      <w:start w:val="1"/>
      <w:numFmt w:val="bullet"/>
      <w:lvlText w:val="–"/>
      <w:lvlJc w:val="left"/>
      <w:pPr>
        <w:tabs>
          <w:tab w:val="num" w:pos="6480"/>
        </w:tabs>
        <w:ind w:left="6480" w:hanging="360"/>
      </w:pPr>
      <w:rPr>
        <w:rFonts w:ascii="Times New Roman" w:hAnsi="Times New Roman" w:cs="Times New Roman" w:hint="default"/>
      </w:rPr>
    </w:lvl>
  </w:abstractNum>
  <w:abstractNum w:abstractNumId="251" w15:restartNumberingAfterBreak="0">
    <w:nsid w:val="4B4012E5"/>
    <w:multiLevelType w:val="hybridMultilevel"/>
    <w:tmpl w:val="3EEEC27E"/>
    <w:lvl w:ilvl="0" w:tplc="0652D22A">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52" w15:restartNumberingAfterBreak="0">
    <w:nsid w:val="4B734C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3" w15:restartNumberingAfterBreak="0">
    <w:nsid w:val="4BC347A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4" w15:restartNumberingAfterBreak="0">
    <w:nsid w:val="4BCC0A62"/>
    <w:multiLevelType w:val="hybridMultilevel"/>
    <w:tmpl w:val="E780E0CC"/>
    <w:lvl w:ilvl="0" w:tplc="0526D450">
      <w:start w:val="1"/>
      <w:numFmt w:val="bullet"/>
      <w:lvlText w:val=""/>
      <w:lvlJc w:val="left"/>
      <w:pPr>
        <w:ind w:left="720" w:hanging="360"/>
      </w:pPr>
      <w:rPr>
        <w:rFonts w:ascii="Symbol" w:hAnsi="Symbol" w:hint="default"/>
      </w:rPr>
    </w:lvl>
    <w:lvl w:ilvl="1" w:tplc="A62C8B40" w:tentative="1">
      <w:start w:val="1"/>
      <w:numFmt w:val="bullet"/>
      <w:lvlText w:val="o"/>
      <w:lvlJc w:val="left"/>
      <w:pPr>
        <w:ind w:left="1440" w:hanging="360"/>
      </w:pPr>
      <w:rPr>
        <w:rFonts w:ascii="Courier New" w:hAnsi="Courier New" w:cs="Courier New" w:hint="default"/>
      </w:rPr>
    </w:lvl>
    <w:lvl w:ilvl="2" w:tplc="888A7814" w:tentative="1">
      <w:start w:val="1"/>
      <w:numFmt w:val="bullet"/>
      <w:lvlText w:val=""/>
      <w:lvlJc w:val="left"/>
      <w:pPr>
        <w:ind w:left="2160" w:hanging="360"/>
      </w:pPr>
      <w:rPr>
        <w:rFonts w:ascii="Wingdings" w:hAnsi="Wingdings" w:hint="default"/>
      </w:rPr>
    </w:lvl>
    <w:lvl w:ilvl="3" w:tplc="01D0DD24" w:tentative="1">
      <w:start w:val="1"/>
      <w:numFmt w:val="bullet"/>
      <w:lvlText w:val=""/>
      <w:lvlJc w:val="left"/>
      <w:pPr>
        <w:ind w:left="2880" w:hanging="360"/>
      </w:pPr>
      <w:rPr>
        <w:rFonts w:ascii="Symbol" w:hAnsi="Symbol" w:hint="default"/>
      </w:rPr>
    </w:lvl>
    <w:lvl w:ilvl="4" w:tplc="3FE8FF42" w:tentative="1">
      <w:start w:val="1"/>
      <w:numFmt w:val="bullet"/>
      <w:lvlText w:val="o"/>
      <w:lvlJc w:val="left"/>
      <w:pPr>
        <w:ind w:left="3600" w:hanging="360"/>
      </w:pPr>
      <w:rPr>
        <w:rFonts w:ascii="Courier New" w:hAnsi="Courier New" w:cs="Courier New" w:hint="default"/>
      </w:rPr>
    </w:lvl>
    <w:lvl w:ilvl="5" w:tplc="3894DC00" w:tentative="1">
      <w:start w:val="1"/>
      <w:numFmt w:val="bullet"/>
      <w:lvlText w:val=""/>
      <w:lvlJc w:val="left"/>
      <w:pPr>
        <w:ind w:left="4320" w:hanging="360"/>
      </w:pPr>
      <w:rPr>
        <w:rFonts w:ascii="Wingdings" w:hAnsi="Wingdings" w:hint="default"/>
      </w:rPr>
    </w:lvl>
    <w:lvl w:ilvl="6" w:tplc="93C2FF26" w:tentative="1">
      <w:start w:val="1"/>
      <w:numFmt w:val="bullet"/>
      <w:lvlText w:val=""/>
      <w:lvlJc w:val="left"/>
      <w:pPr>
        <w:ind w:left="5040" w:hanging="360"/>
      </w:pPr>
      <w:rPr>
        <w:rFonts w:ascii="Symbol" w:hAnsi="Symbol" w:hint="default"/>
      </w:rPr>
    </w:lvl>
    <w:lvl w:ilvl="7" w:tplc="0AE8E6E0" w:tentative="1">
      <w:start w:val="1"/>
      <w:numFmt w:val="bullet"/>
      <w:lvlText w:val="o"/>
      <w:lvlJc w:val="left"/>
      <w:pPr>
        <w:ind w:left="5760" w:hanging="360"/>
      </w:pPr>
      <w:rPr>
        <w:rFonts w:ascii="Courier New" w:hAnsi="Courier New" w:cs="Courier New" w:hint="default"/>
      </w:rPr>
    </w:lvl>
    <w:lvl w:ilvl="8" w:tplc="BD7486EE" w:tentative="1">
      <w:start w:val="1"/>
      <w:numFmt w:val="bullet"/>
      <w:lvlText w:val=""/>
      <w:lvlJc w:val="left"/>
      <w:pPr>
        <w:ind w:left="6480" w:hanging="360"/>
      </w:pPr>
      <w:rPr>
        <w:rFonts w:ascii="Wingdings" w:hAnsi="Wingdings" w:hint="default"/>
      </w:rPr>
    </w:lvl>
  </w:abstractNum>
  <w:abstractNum w:abstractNumId="255" w15:restartNumberingAfterBreak="0">
    <w:nsid w:val="4BD32BAD"/>
    <w:multiLevelType w:val="hybridMultilevel"/>
    <w:tmpl w:val="5CE657E0"/>
    <w:lvl w:ilvl="0" w:tplc="A98E58D0">
      <w:start w:val="1"/>
      <w:numFmt w:val="bullet"/>
      <w:lvlText w:val=""/>
      <w:lvlJc w:val="left"/>
      <w:pPr>
        <w:ind w:left="2008" w:hanging="360"/>
      </w:pPr>
      <w:rPr>
        <w:rFonts w:ascii="Symbol" w:hAnsi="Symbol" w:hint="default"/>
      </w:rPr>
    </w:lvl>
    <w:lvl w:ilvl="1" w:tplc="AA38A946" w:tentative="1">
      <w:start w:val="1"/>
      <w:numFmt w:val="bullet"/>
      <w:lvlText w:val="o"/>
      <w:lvlJc w:val="left"/>
      <w:pPr>
        <w:ind w:left="2728" w:hanging="360"/>
      </w:pPr>
      <w:rPr>
        <w:rFonts w:ascii="Courier New" w:hAnsi="Courier New" w:hint="default"/>
      </w:rPr>
    </w:lvl>
    <w:lvl w:ilvl="2" w:tplc="66ECC166" w:tentative="1">
      <w:start w:val="1"/>
      <w:numFmt w:val="bullet"/>
      <w:lvlText w:val=""/>
      <w:lvlJc w:val="left"/>
      <w:pPr>
        <w:ind w:left="3448" w:hanging="360"/>
      </w:pPr>
      <w:rPr>
        <w:rFonts w:ascii="Wingdings" w:hAnsi="Wingdings" w:hint="default"/>
      </w:rPr>
    </w:lvl>
    <w:lvl w:ilvl="3" w:tplc="E07CB596" w:tentative="1">
      <w:start w:val="1"/>
      <w:numFmt w:val="bullet"/>
      <w:lvlText w:val=""/>
      <w:lvlJc w:val="left"/>
      <w:pPr>
        <w:ind w:left="4168" w:hanging="360"/>
      </w:pPr>
      <w:rPr>
        <w:rFonts w:ascii="Symbol" w:hAnsi="Symbol" w:hint="default"/>
      </w:rPr>
    </w:lvl>
    <w:lvl w:ilvl="4" w:tplc="D6BEC93C" w:tentative="1">
      <w:start w:val="1"/>
      <w:numFmt w:val="bullet"/>
      <w:lvlText w:val="o"/>
      <w:lvlJc w:val="left"/>
      <w:pPr>
        <w:ind w:left="4888" w:hanging="360"/>
      </w:pPr>
      <w:rPr>
        <w:rFonts w:ascii="Courier New" w:hAnsi="Courier New" w:hint="default"/>
      </w:rPr>
    </w:lvl>
    <w:lvl w:ilvl="5" w:tplc="8BB4F2D4" w:tentative="1">
      <w:start w:val="1"/>
      <w:numFmt w:val="bullet"/>
      <w:lvlText w:val=""/>
      <w:lvlJc w:val="left"/>
      <w:pPr>
        <w:ind w:left="5608" w:hanging="360"/>
      </w:pPr>
      <w:rPr>
        <w:rFonts w:ascii="Wingdings" w:hAnsi="Wingdings" w:hint="default"/>
      </w:rPr>
    </w:lvl>
    <w:lvl w:ilvl="6" w:tplc="6B76E550" w:tentative="1">
      <w:start w:val="1"/>
      <w:numFmt w:val="bullet"/>
      <w:lvlText w:val=""/>
      <w:lvlJc w:val="left"/>
      <w:pPr>
        <w:ind w:left="6328" w:hanging="360"/>
      </w:pPr>
      <w:rPr>
        <w:rFonts w:ascii="Symbol" w:hAnsi="Symbol" w:hint="default"/>
      </w:rPr>
    </w:lvl>
    <w:lvl w:ilvl="7" w:tplc="A90495AC" w:tentative="1">
      <w:start w:val="1"/>
      <w:numFmt w:val="bullet"/>
      <w:lvlText w:val="o"/>
      <w:lvlJc w:val="left"/>
      <w:pPr>
        <w:ind w:left="7048" w:hanging="360"/>
      </w:pPr>
      <w:rPr>
        <w:rFonts w:ascii="Courier New" w:hAnsi="Courier New" w:hint="default"/>
      </w:rPr>
    </w:lvl>
    <w:lvl w:ilvl="8" w:tplc="4C1A1508" w:tentative="1">
      <w:start w:val="1"/>
      <w:numFmt w:val="bullet"/>
      <w:lvlText w:val=""/>
      <w:lvlJc w:val="left"/>
      <w:pPr>
        <w:ind w:left="7768" w:hanging="360"/>
      </w:pPr>
      <w:rPr>
        <w:rFonts w:ascii="Wingdings" w:hAnsi="Wingdings" w:hint="default"/>
      </w:rPr>
    </w:lvl>
  </w:abstractNum>
  <w:abstractNum w:abstractNumId="256" w15:restartNumberingAfterBreak="0">
    <w:nsid w:val="4BE72E3F"/>
    <w:multiLevelType w:val="hybridMultilevel"/>
    <w:tmpl w:val="B950A7E4"/>
    <w:lvl w:ilvl="0" w:tplc="9D44B598">
      <w:start w:val="481"/>
      <w:numFmt w:val="bullet"/>
      <w:lvlText w:val="–"/>
      <w:lvlJc w:val="left"/>
      <w:pPr>
        <w:tabs>
          <w:tab w:val="num" w:pos="1287"/>
        </w:tabs>
        <w:ind w:left="1287" w:hanging="360"/>
      </w:pPr>
      <w:rPr>
        <w:rFonts w:ascii="Times New Roman" w:hAnsi="Times New Roman" w:hint="default"/>
      </w:rPr>
    </w:lvl>
    <w:lvl w:ilvl="1" w:tplc="04020003">
      <w:start w:val="1"/>
      <w:numFmt w:val="bullet"/>
      <w:lvlText w:val="o"/>
      <w:lvlJc w:val="left"/>
      <w:pPr>
        <w:tabs>
          <w:tab w:val="num" w:pos="2352"/>
        </w:tabs>
        <w:ind w:left="2352" w:hanging="360"/>
      </w:pPr>
      <w:rPr>
        <w:rFonts w:ascii="Courier New" w:hAnsi="Courier New" w:cs="Courier New" w:hint="default"/>
      </w:rPr>
    </w:lvl>
    <w:lvl w:ilvl="2" w:tplc="04020005">
      <w:start w:val="1"/>
      <w:numFmt w:val="bullet"/>
      <w:lvlText w:val=""/>
      <w:lvlJc w:val="left"/>
      <w:pPr>
        <w:tabs>
          <w:tab w:val="num" w:pos="3072"/>
        </w:tabs>
        <w:ind w:left="3072" w:hanging="360"/>
      </w:pPr>
      <w:rPr>
        <w:rFonts w:ascii="Wingdings" w:hAnsi="Wingdings" w:cs="Wingdings" w:hint="default"/>
      </w:rPr>
    </w:lvl>
    <w:lvl w:ilvl="3" w:tplc="04020001">
      <w:start w:val="1"/>
      <w:numFmt w:val="bullet"/>
      <w:lvlText w:val=""/>
      <w:lvlJc w:val="left"/>
      <w:pPr>
        <w:tabs>
          <w:tab w:val="num" w:pos="3792"/>
        </w:tabs>
        <w:ind w:left="3792" w:hanging="360"/>
      </w:pPr>
      <w:rPr>
        <w:rFonts w:ascii="Symbol" w:hAnsi="Symbol" w:cs="Symbol" w:hint="default"/>
      </w:rPr>
    </w:lvl>
    <w:lvl w:ilvl="4" w:tplc="04020003">
      <w:start w:val="1"/>
      <w:numFmt w:val="bullet"/>
      <w:lvlText w:val="o"/>
      <w:lvlJc w:val="left"/>
      <w:pPr>
        <w:tabs>
          <w:tab w:val="num" w:pos="4512"/>
        </w:tabs>
        <w:ind w:left="4512" w:hanging="360"/>
      </w:pPr>
      <w:rPr>
        <w:rFonts w:ascii="Courier New" w:hAnsi="Courier New" w:cs="Courier New" w:hint="default"/>
      </w:rPr>
    </w:lvl>
    <w:lvl w:ilvl="5" w:tplc="04020005">
      <w:start w:val="1"/>
      <w:numFmt w:val="bullet"/>
      <w:lvlText w:val=""/>
      <w:lvlJc w:val="left"/>
      <w:pPr>
        <w:tabs>
          <w:tab w:val="num" w:pos="5232"/>
        </w:tabs>
        <w:ind w:left="5232" w:hanging="360"/>
      </w:pPr>
      <w:rPr>
        <w:rFonts w:ascii="Wingdings" w:hAnsi="Wingdings" w:cs="Wingdings" w:hint="default"/>
      </w:rPr>
    </w:lvl>
    <w:lvl w:ilvl="6" w:tplc="04020001">
      <w:start w:val="1"/>
      <w:numFmt w:val="bullet"/>
      <w:lvlText w:val=""/>
      <w:lvlJc w:val="left"/>
      <w:pPr>
        <w:tabs>
          <w:tab w:val="num" w:pos="5952"/>
        </w:tabs>
        <w:ind w:left="5952" w:hanging="360"/>
      </w:pPr>
      <w:rPr>
        <w:rFonts w:ascii="Symbol" w:hAnsi="Symbol" w:cs="Symbol" w:hint="default"/>
      </w:rPr>
    </w:lvl>
    <w:lvl w:ilvl="7" w:tplc="04020003">
      <w:start w:val="1"/>
      <w:numFmt w:val="bullet"/>
      <w:lvlText w:val="o"/>
      <w:lvlJc w:val="left"/>
      <w:pPr>
        <w:tabs>
          <w:tab w:val="num" w:pos="6672"/>
        </w:tabs>
        <w:ind w:left="6672" w:hanging="360"/>
      </w:pPr>
      <w:rPr>
        <w:rFonts w:ascii="Courier New" w:hAnsi="Courier New" w:cs="Courier New" w:hint="default"/>
      </w:rPr>
    </w:lvl>
    <w:lvl w:ilvl="8" w:tplc="04020005">
      <w:start w:val="1"/>
      <w:numFmt w:val="bullet"/>
      <w:lvlText w:val=""/>
      <w:lvlJc w:val="left"/>
      <w:pPr>
        <w:tabs>
          <w:tab w:val="num" w:pos="7392"/>
        </w:tabs>
        <w:ind w:left="7392" w:hanging="360"/>
      </w:pPr>
      <w:rPr>
        <w:rFonts w:ascii="Wingdings" w:hAnsi="Wingdings" w:cs="Wingdings" w:hint="default"/>
      </w:rPr>
    </w:lvl>
  </w:abstractNum>
  <w:abstractNum w:abstractNumId="257" w15:restartNumberingAfterBreak="0">
    <w:nsid w:val="4C162065"/>
    <w:multiLevelType w:val="hybridMultilevel"/>
    <w:tmpl w:val="FF109C06"/>
    <w:lvl w:ilvl="0" w:tplc="0402000F">
      <w:start w:val="1"/>
      <w:numFmt w:val="bullet"/>
      <w:lvlText w:val=""/>
      <w:lvlJc w:val="left"/>
      <w:pPr>
        <w:tabs>
          <w:tab w:val="num" w:pos="720"/>
        </w:tabs>
        <w:ind w:left="720" w:hanging="360"/>
      </w:pPr>
      <w:rPr>
        <w:rFonts w:ascii="Symbol" w:hAnsi="Symbol" w:cs="Symbol" w:hint="default"/>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58" w15:restartNumberingAfterBreak="0">
    <w:nsid w:val="4C190FA4"/>
    <w:multiLevelType w:val="hybridMultilevel"/>
    <w:tmpl w:val="5448B3E4"/>
    <w:lvl w:ilvl="0" w:tplc="4B38F6EA">
      <w:start w:val="1"/>
      <w:numFmt w:val="bullet"/>
      <w:lvlText w:val=""/>
      <w:lvlJc w:val="left"/>
      <w:pPr>
        <w:ind w:left="720" w:hanging="360"/>
      </w:pPr>
      <w:rPr>
        <w:rFonts w:ascii="Symbol" w:hAnsi="Symbol" w:hint="default"/>
      </w:rPr>
    </w:lvl>
    <w:lvl w:ilvl="1" w:tplc="0E8676CE" w:tentative="1">
      <w:start w:val="1"/>
      <w:numFmt w:val="bullet"/>
      <w:lvlText w:val="o"/>
      <w:lvlJc w:val="left"/>
      <w:pPr>
        <w:ind w:left="1440" w:hanging="360"/>
      </w:pPr>
      <w:rPr>
        <w:rFonts w:ascii="Courier New" w:hAnsi="Courier New" w:cs="Courier New" w:hint="default"/>
      </w:rPr>
    </w:lvl>
    <w:lvl w:ilvl="2" w:tplc="5D6EABE2" w:tentative="1">
      <w:start w:val="1"/>
      <w:numFmt w:val="bullet"/>
      <w:lvlText w:val=""/>
      <w:lvlJc w:val="left"/>
      <w:pPr>
        <w:ind w:left="2160" w:hanging="360"/>
      </w:pPr>
      <w:rPr>
        <w:rFonts w:ascii="Wingdings" w:hAnsi="Wingdings" w:hint="default"/>
      </w:rPr>
    </w:lvl>
    <w:lvl w:ilvl="3" w:tplc="876474FC" w:tentative="1">
      <w:start w:val="1"/>
      <w:numFmt w:val="bullet"/>
      <w:lvlText w:val=""/>
      <w:lvlJc w:val="left"/>
      <w:pPr>
        <w:ind w:left="2880" w:hanging="360"/>
      </w:pPr>
      <w:rPr>
        <w:rFonts w:ascii="Symbol" w:hAnsi="Symbol" w:hint="default"/>
      </w:rPr>
    </w:lvl>
    <w:lvl w:ilvl="4" w:tplc="8A02FAF0" w:tentative="1">
      <w:start w:val="1"/>
      <w:numFmt w:val="bullet"/>
      <w:lvlText w:val="o"/>
      <w:lvlJc w:val="left"/>
      <w:pPr>
        <w:ind w:left="3600" w:hanging="360"/>
      </w:pPr>
      <w:rPr>
        <w:rFonts w:ascii="Courier New" w:hAnsi="Courier New" w:cs="Courier New" w:hint="default"/>
      </w:rPr>
    </w:lvl>
    <w:lvl w:ilvl="5" w:tplc="5EDA441C" w:tentative="1">
      <w:start w:val="1"/>
      <w:numFmt w:val="bullet"/>
      <w:lvlText w:val=""/>
      <w:lvlJc w:val="left"/>
      <w:pPr>
        <w:ind w:left="4320" w:hanging="360"/>
      </w:pPr>
      <w:rPr>
        <w:rFonts w:ascii="Wingdings" w:hAnsi="Wingdings" w:hint="default"/>
      </w:rPr>
    </w:lvl>
    <w:lvl w:ilvl="6" w:tplc="556EED8A" w:tentative="1">
      <w:start w:val="1"/>
      <w:numFmt w:val="bullet"/>
      <w:lvlText w:val=""/>
      <w:lvlJc w:val="left"/>
      <w:pPr>
        <w:ind w:left="5040" w:hanging="360"/>
      </w:pPr>
      <w:rPr>
        <w:rFonts w:ascii="Symbol" w:hAnsi="Symbol" w:hint="default"/>
      </w:rPr>
    </w:lvl>
    <w:lvl w:ilvl="7" w:tplc="88E8D314" w:tentative="1">
      <w:start w:val="1"/>
      <w:numFmt w:val="bullet"/>
      <w:lvlText w:val="o"/>
      <w:lvlJc w:val="left"/>
      <w:pPr>
        <w:ind w:left="5760" w:hanging="360"/>
      </w:pPr>
      <w:rPr>
        <w:rFonts w:ascii="Courier New" w:hAnsi="Courier New" w:cs="Courier New" w:hint="default"/>
      </w:rPr>
    </w:lvl>
    <w:lvl w:ilvl="8" w:tplc="31668334" w:tentative="1">
      <w:start w:val="1"/>
      <w:numFmt w:val="bullet"/>
      <w:lvlText w:val=""/>
      <w:lvlJc w:val="left"/>
      <w:pPr>
        <w:ind w:left="6480" w:hanging="360"/>
      </w:pPr>
      <w:rPr>
        <w:rFonts w:ascii="Wingdings" w:hAnsi="Wingdings" w:hint="default"/>
      </w:rPr>
    </w:lvl>
  </w:abstractNum>
  <w:abstractNum w:abstractNumId="259" w15:restartNumberingAfterBreak="0">
    <w:nsid w:val="4C7157A6"/>
    <w:multiLevelType w:val="hybridMultilevel"/>
    <w:tmpl w:val="95542F94"/>
    <w:lvl w:ilvl="0" w:tplc="FFFFFFFF">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0" w15:restartNumberingAfterBreak="0">
    <w:nsid w:val="4C9A67C7"/>
    <w:multiLevelType w:val="hybridMultilevel"/>
    <w:tmpl w:val="16485042"/>
    <w:lvl w:ilvl="0" w:tplc="BDC4A1D0">
      <w:start w:val="1"/>
      <w:numFmt w:val="bullet"/>
      <w:lvlText w:val=""/>
      <w:lvlJc w:val="left"/>
      <w:pPr>
        <w:tabs>
          <w:tab w:val="num" w:pos="720"/>
        </w:tabs>
        <w:ind w:left="720" w:hanging="360"/>
      </w:pPr>
      <w:rPr>
        <w:rFonts w:ascii="Symbol" w:hAnsi="Symbol" w:hint="default"/>
      </w:rPr>
    </w:lvl>
    <w:lvl w:ilvl="1" w:tplc="219A9234" w:tentative="1">
      <w:start w:val="1"/>
      <w:numFmt w:val="bullet"/>
      <w:lvlText w:val="o"/>
      <w:lvlJc w:val="left"/>
      <w:pPr>
        <w:tabs>
          <w:tab w:val="num" w:pos="1440"/>
        </w:tabs>
        <w:ind w:left="1440" w:hanging="360"/>
      </w:pPr>
      <w:rPr>
        <w:rFonts w:ascii="Courier New" w:hAnsi="Courier New" w:hint="default"/>
      </w:rPr>
    </w:lvl>
    <w:lvl w:ilvl="2" w:tplc="38941320" w:tentative="1">
      <w:start w:val="1"/>
      <w:numFmt w:val="bullet"/>
      <w:lvlText w:val=""/>
      <w:lvlJc w:val="left"/>
      <w:pPr>
        <w:tabs>
          <w:tab w:val="num" w:pos="2160"/>
        </w:tabs>
        <w:ind w:left="2160" w:hanging="360"/>
      </w:pPr>
      <w:rPr>
        <w:rFonts w:ascii="Wingdings" w:hAnsi="Wingdings" w:hint="default"/>
      </w:rPr>
    </w:lvl>
    <w:lvl w:ilvl="3" w:tplc="F962F1EE" w:tentative="1">
      <w:start w:val="1"/>
      <w:numFmt w:val="bullet"/>
      <w:lvlText w:val=""/>
      <w:lvlJc w:val="left"/>
      <w:pPr>
        <w:tabs>
          <w:tab w:val="num" w:pos="2880"/>
        </w:tabs>
        <w:ind w:left="2880" w:hanging="360"/>
      </w:pPr>
      <w:rPr>
        <w:rFonts w:ascii="Symbol" w:hAnsi="Symbol" w:hint="default"/>
      </w:rPr>
    </w:lvl>
    <w:lvl w:ilvl="4" w:tplc="FE769568" w:tentative="1">
      <w:start w:val="1"/>
      <w:numFmt w:val="bullet"/>
      <w:lvlText w:val="o"/>
      <w:lvlJc w:val="left"/>
      <w:pPr>
        <w:tabs>
          <w:tab w:val="num" w:pos="3600"/>
        </w:tabs>
        <w:ind w:left="3600" w:hanging="360"/>
      </w:pPr>
      <w:rPr>
        <w:rFonts w:ascii="Courier New" w:hAnsi="Courier New" w:hint="default"/>
      </w:rPr>
    </w:lvl>
    <w:lvl w:ilvl="5" w:tplc="47AE697E" w:tentative="1">
      <w:start w:val="1"/>
      <w:numFmt w:val="bullet"/>
      <w:lvlText w:val=""/>
      <w:lvlJc w:val="left"/>
      <w:pPr>
        <w:tabs>
          <w:tab w:val="num" w:pos="4320"/>
        </w:tabs>
        <w:ind w:left="4320" w:hanging="360"/>
      </w:pPr>
      <w:rPr>
        <w:rFonts w:ascii="Wingdings" w:hAnsi="Wingdings" w:hint="default"/>
      </w:rPr>
    </w:lvl>
    <w:lvl w:ilvl="6" w:tplc="9754DB7A" w:tentative="1">
      <w:start w:val="1"/>
      <w:numFmt w:val="bullet"/>
      <w:lvlText w:val=""/>
      <w:lvlJc w:val="left"/>
      <w:pPr>
        <w:tabs>
          <w:tab w:val="num" w:pos="5040"/>
        </w:tabs>
        <w:ind w:left="5040" w:hanging="360"/>
      </w:pPr>
      <w:rPr>
        <w:rFonts w:ascii="Symbol" w:hAnsi="Symbol" w:hint="default"/>
      </w:rPr>
    </w:lvl>
    <w:lvl w:ilvl="7" w:tplc="89E2284E" w:tentative="1">
      <w:start w:val="1"/>
      <w:numFmt w:val="bullet"/>
      <w:lvlText w:val="o"/>
      <w:lvlJc w:val="left"/>
      <w:pPr>
        <w:tabs>
          <w:tab w:val="num" w:pos="5760"/>
        </w:tabs>
        <w:ind w:left="5760" w:hanging="360"/>
      </w:pPr>
      <w:rPr>
        <w:rFonts w:ascii="Courier New" w:hAnsi="Courier New" w:hint="default"/>
      </w:rPr>
    </w:lvl>
    <w:lvl w:ilvl="8" w:tplc="94F8743E" w:tentative="1">
      <w:start w:val="1"/>
      <w:numFmt w:val="bullet"/>
      <w:lvlText w:val=""/>
      <w:lvlJc w:val="left"/>
      <w:pPr>
        <w:tabs>
          <w:tab w:val="num" w:pos="6480"/>
        </w:tabs>
        <w:ind w:left="6480" w:hanging="360"/>
      </w:pPr>
      <w:rPr>
        <w:rFonts w:ascii="Wingdings" w:hAnsi="Wingdings" w:hint="default"/>
      </w:rPr>
    </w:lvl>
  </w:abstractNum>
  <w:abstractNum w:abstractNumId="261" w15:restartNumberingAfterBreak="0">
    <w:nsid w:val="4CB75952"/>
    <w:multiLevelType w:val="hybridMultilevel"/>
    <w:tmpl w:val="DDEAD802"/>
    <w:lvl w:ilvl="0" w:tplc="FFFFFFFF">
      <w:start w:val="1"/>
      <w:numFmt w:val="bullet"/>
      <w:lvlText w:val=""/>
      <w:lvlJc w:val="left"/>
      <w:pPr>
        <w:ind w:left="-468" w:hanging="360"/>
      </w:pPr>
      <w:rPr>
        <w:rFonts w:ascii="Symbol" w:hAnsi="Symbol" w:hint="default"/>
      </w:rPr>
    </w:lvl>
    <w:lvl w:ilvl="1" w:tplc="FFFFFFFF" w:tentative="1">
      <w:start w:val="1"/>
      <w:numFmt w:val="bullet"/>
      <w:lvlText w:val="o"/>
      <w:lvlJc w:val="left"/>
      <w:pPr>
        <w:ind w:left="252" w:hanging="360"/>
      </w:pPr>
      <w:rPr>
        <w:rFonts w:ascii="Courier New" w:hAnsi="Courier New" w:cs="Courier New" w:hint="default"/>
      </w:rPr>
    </w:lvl>
    <w:lvl w:ilvl="2" w:tplc="FFFFFFFF" w:tentative="1">
      <w:start w:val="1"/>
      <w:numFmt w:val="bullet"/>
      <w:lvlText w:val=""/>
      <w:lvlJc w:val="left"/>
      <w:pPr>
        <w:ind w:left="972" w:hanging="360"/>
      </w:pPr>
      <w:rPr>
        <w:rFonts w:ascii="Wingdings" w:hAnsi="Wingdings" w:hint="default"/>
      </w:rPr>
    </w:lvl>
    <w:lvl w:ilvl="3" w:tplc="FFFFFFFF" w:tentative="1">
      <w:start w:val="1"/>
      <w:numFmt w:val="bullet"/>
      <w:lvlText w:val=""/>
      <w:lvlJc w:val="left"/>
      <w:pPr>
        <w:ind w:left="1692" w:hanging="360"/>
      </w:pPr>
      <w:rPr>
        <w:rFonts w:ascii="Symbol" w:hAnsi="Symbol" w:hint="default"/>
      </w:rPr>
    </w:lvl>
    <w:lvl w:ilvl="4" w:tplc="FFFFFFFF" w:tentative="1">
      <w:start w:val="1"/>
      <w:numFmt w:val="bullet"/>
      <w:lvlText w:val="o"/>
      <w:lvlJc w:val="left"/>
      <w:pPr>
        <w:ind w:left="2412" w:hanging="360"/>
      </w:pPr>
      <w:rPr>
        <w:rFonts w:ascii="Courier New" w:hAnsi="Courier New" w:cs="Courier New" w:hint="default"/>
      </w:rPr>
    </w:lvl>
    <w:lvl w:ilvl="5" w:tplc="FFFFFFFF" w:tentative="1">
      <w:start w:val="1"/>
      <w:numFmt w:val="bullet"/>
      <w:lvlText w:val=""/>
      <w:lvlJc w:val="left"/>
      <w:pPr>
        <w:ind w:left="3132" w:hanging="360"/>
      </w:pPr>
      <w:rPr>
        <w:rFonts w:ascii="Wingdings" w:hAnsi="Wingdings" w:hint="default"/>
      </w:rPr>
    </w:lvl>
    <w:lvl w:ilvl="6" w:tplc="FFFFFFFF" w:tentative="1">
      <w:start w:val="1"/>
      <w:numFmt w:val="bullet"/>
      <w:lvlText w:val=""/>
      <w:lvlJc w:val="left"/>
      <w:pPr>
        <w:ind w:left="3852" w:hanging="360"/>
      </w:pPr>
      <w:rPr>
        <w:rFonts w:ascii="Symbol" w:hAnsi="Symbol" w:hint="default"/>
      </w:rPr>
    </w:lvl>
    <w:lvl w:ilvl="7" w:tplc="FFFFFFFF" w:tentative="1">
      <w:start w:val="1"/>
      <w:numFmt w:val="bullet"/>
      <w:lvlText w:val="o"/>
      <w:lvlJc w:val="left"/>
      <w:pPr>
        <w:ind w:left="4572" w:hanging="360"/>
      </w:pPr>
      <w:rPr>
        <w:rFonts w:ascii="Courier New" w:hAnsi="Courier New" w:cs="Courier New" w:hint="default"/>
      </w:rPr>
    </w:lvl>
    <w:lvl w:ilvl="8" w:tplc="FFFFFFFF" w:tentative="1">
      <w:start w:val="1"/>
      <w:numFmt w:val="bullet"/>
      <w:lvlText w:val=""/>
      <w:lvlJc w:val="left"/>
      <w:pPr>
        <w:ind w:left="5292" w:hanging="360"/>
      </w:pPr>
      <w:rPr>
        <w:rFonts w:ascii="Wingdings" w:hAnsi="Wingdings" w:hint="default"/>
      </w:rPr>
    </w:lvl>
  </w:abstractNum>
  <w:abstractNum w:abstractNumId="262" w15:restartNumberingAfterBreak="0">
    <w:nsid w:val="4CBC1946"/>
    <w:multiLevelType w:val="multilevel"/>
    <w:tmpl w:val="4CBC19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3" w15:restartNumberingAfterBreak="0">
    <w:nsid w:val="4CE248C9"/>
    <w:multiLevelType w:val="hybridMultilevel"/>
    <w:tmpl w:val="F0882690"/>
    <w:lvl w:ilvl="0" w:tplc="FFFFFFFF">
      <w:start w:val="1"/>
      <w:numFmt w:val="bullet"/>
      <w:lvlText w:val=""/>
      <w:lvlJc w:val="left"/>
      <w:pPr>
        <w:tabs>
          <w:tab w:val="num" w:pos="1440"/>
        </w:tabs>
        <w:ind w:left="1440" w:hanging="360"/>
      </w:pPr>
      <w:rPr>
        <w:rFonts w:ascii="Symbol" w:hAnsi="Symbol" w:cs="Symbol" w:hint="default"/>
      </w:rPr>
    </w:lvl>
    <w:lvl w:ilvl="1" w:tplc="FFFFFFFF">
      <w:start w:val="1"/>
      <w:numFmt w:val="decimal"/>
      <w:lvlText w:val="%2."/>
      <w:lvlJc w:val="left"/>
      <w:pPr>
        <w:tabs>
          <w:tab w:val="num" w:pos="2160"/>
        </w:tabs>
        <w:ind w:left="2160" w:hanging="360"/>
      </w:pPr>
      <w:rPr>
        <w:rFonts w:hint="default"/>
      </w:rPr>
    </w:lvl>
    <w:lvl w:ilvl="2" w:tplc="FFFFFFFF">
      <w:start w:val="1"/>
      <w:numFmt w:val="bullet"/>
      <w:lvlText w:val=""/>
      <w:lvlJc w:val="left"/>
      <w:pPr>
        <w:tabs>
          <w:tab w:val="num" w:pos="2880"/>
        </w:tabs>
        <w:ind w:left="2880" w:hanging="360"/>
      </w:pPr>
      <w:rPr>
        <w:rFonts w:ascii="Wingdings" w:hAnsi="Wingdings" w:cs="Wingdings" w:hint="default"/>
      </w:rPr>
    </w:lvl>
    <w:lvl w:ilvl="3" w:tplc="FFFFFFFF">
      <w:start w:val="1"/>
      <w:numFmt w:val="bullet"/>
      <w:lvlText w:val=""/>
      <w:lvlJc w:val="left"/>
      <w:pPr>
        <w:tabs>
          <w:tab w:val="num" w:pos="3600"/>
        </w:tabs>
        <w:ind w:left="3600" w:hanging="360"/>
      </w:pPr>
      <w:rPr>
        <w:rFonts w:ascii="Symbol" w:hAnsi="Symbol" w:cs="Symbol" w:hint="default"/>
      </w:rPr>
    </w:lvl>
    <w:lvl w:ilvl="4" w:tplc="FFFFFFFF">
      <w:start w:val="1"/>
      <w:numFmt w:val="bullet"/>
      <w:lvlText w:val="o"/>
      <w:lvlJc w:val="left"/>
      <w:pPr>
        <w:tabs>
          <w:tab w:val="num" w:pos="4320"/>
        </w:tabs>
        <w:ind w:left="4320" w:hanging="360"/>
      </w:pPr>
      <w:rPr>
        <w:rFonts w:ascii="Courier New" w:hAnsi="Courier New" w:cs="Courier New" w:hint="default"/>
      </w:rPr>
    </w:lvl>
    <w:lvl w:ilvl="5" w:tplc="FFFFFFFF">
      <w:start w:val="1"/>
      <w:numFmt w:val="bullet"/>
      <w:lvlText w:val=""/>
      <w:lvlJc w:val="left"/>
      <w:pPr>
        <w:tabs>
          <w:tab w:val="num" w:pos="5040"/>
        </w:tabs>
        <w:ind w:left="5040" w:hanging="360"/>
      </w:pPr>
      <w:rPr>
        <w:rFonts w:ascii="Wingdings" w:hAnsi="Wingdings" w:cs="Wingdings" w:hint="default"/>
      </w:rPr>
    </w:lvl>
    <w:lvl w:ilvl="6" w:tplc="FFFFFFFF">
      <w:start w:val="1"/>
      <w:numFmt w:val="bullet"/>
      <w:lvlText w:val=""/>
      <w:lvlJc w:val="left"/>
      <w:pPr>
        <w:tabs>
          <w:tab w:val="num" w:pos="5760"/>
        </w:tabs>
        <w:ind w:left="5760" w:hanging="360"/>
      </w:pPr>
      <w:rPr>
        <w:rFonts w:ascii="Symbol" w:hAnsi="Symbol" w:cs="Symbol" w:hint="default"/>
      </w:rPr>
    </w:lvl>
    <w:lvl w:ilvl="7" w:tplc="FFFFFFFF">
      <w:start w:val="1"/>
      <w:numFmt w:val="bullet"/>
      <w:lvlText w:val="o"/>
      <w:lvlJc w:val="left"/>
      <w:pPr>
        <w:tabs>
          <w:tab w:val="num" w:pos="6480"/>
        </w:tabs>
        <w:ind w:left="6480" w:hanging="360"/>
      </w:pPr>
      <w:rPr>
        <w:rFonts w:ascii="Courier New" w:hAnsi="Courier New" w:cs="Courier New" w:hint="default"/>
      </w:rPr>
    </w:lvl>
    <w:lvl w:ilvl="8" w:tplc="FFFFFFFF">
      <w:start w:val="1"/>
      <w:numFmt w:val="bullet"/>
      <w:lvlText w:val=""/>
      <w:lvlJc w:val="left"/>
      <w:pPr>
        <w:tabs>
          <w:tab w:val="num" w:pos="7200"/>
        </w:tabs>
        <w:ind w:left="7200" w:hanging="360"/>
      </w:pPr>
      <w:rPr>
        <w:rFonts w:ascii="Wingdings" w:hAnsi="Wingdings" w:cs="Wingdings" w:hint="default"/>
      </w:rPr>
    </w:lvl>
  </w:abstractNum>
  <w:abstractNum w:abstractNumId="264" w15:restartNumberingAfterBreak="0">
    <w:nsid w:val="4D550223"/>
    <w:multiLevelType w:val="hybridMultilevel"/>
    <w:tmpl w:val="6DD6440E"/>
    <w:lvl w:ilvl="0" w:tplc="04020001">
      <w:start w:val="1"/>
      <w:numFmt w:val="bullet"/>
      <w:lvlText w:val=""/>
      <w:lvlJc w:val="left"/>
      <w:pPr>
        <w:tabs>
          <w:tab w:val="num" w:pos="0"/>
        </w:tabs>
        <w:ind w:left="0" w:hanging="360"/>
      </w:pPr>
      <w:rPr>
        <w:rFonts w:ascii="Symbol" w:hAnsi="Symbol" w:hint="default"/>
      </w:rPr>
    </w:lvl>
    <w:lvl w:ilvl="1" w:tplc="04020003" w:tentative="1">
      <w:start w:val="1"/>
      <w:numFmt w:val="bullet"/>
      <w:lvlText w:val=""/>
      <w:lvlJc w:val="left"/>
      <w:pPr>
        <w:tabs>
          <w:tab w:val="num" w:pos="720"/>
        </w:tabs>
        <w:ind w:left="720" w:hanging="360"/>
      </w:pPr>
      <w:rPr>
        <w:rFonts w:ascii="Symbol" w:hAnsi="Symbol" w:hint="default"/>
      </w:rPr>
    </w:lvl>
    <w:lvl w:ilvl="2" w:tplc="04020005" w:tentative="1">
      <w:start w:val="1"/>
      <w:numFmt w:val="bullet"/>
      <w:lvlText w:val=""/>
      <w:lvlJc w:val="left"/>
      <w:pPr>
        <w:tabs>
          <w:tab w:val="num" w:pos="1440"/>
        </w:tabs>
        <w:ind w:left="1440" w:hanging="360"/>
      </w:pPr>
      <w:rPr>
        <w:rFonts w:ascii="Symbol" w:hAnsi="Symbol" w:hint="default"/>
      </w:rPr>
    </w:lvl>
    <w:lvl w:ilvl="3" w:tplc="04020001" w:tentative="1">
      <w:start w:val="1"/>
      <w:numFmt w:val="bullet"/>
      <w:lvlText w:val=""/>
      <w:lvlJc w:val="left"/>
      <w:pPr>
        <w:tabs>
          <w:tab w:val="num" w:pos="2160"/>
        </w:tabs>
        <w:ind w:left="2160" w:hanging="360"/>
      </w:pPr>
      <w:rPr>
        <w:rFonts w:ascii="Symbol" w:hAnsi="Symbol" w:hint="default"/>
      </w:rPr>
    </w:lvl>
    <w:lvl w:ilvl="4" w:tplc="04020003" w:tentative="1">
      <w:start w:val="1"/>
      <w:numFmt w:val="bullet"/>
      <w:lvlText w:val=""/>
      <w:lvlJc w:val="left"/>
      <w:pPr>
        <w:tabs>
          <w:tab w:val="num" w:pos="2880"/>
        </w:tabs>
        <w:ind w:left="2880" w:hanging="360"/>
      </w:pPr>
      <w:rPr>
        <w:rFonts w:ascii="Symbol" w:hAnsi="Symbol" w:hint="default"/>
      </w:rPr>
    </w:lvl>
    <w:lvl w:ilvl="5" w:tplc="04020005" w:tentative="1">
      <w:start w:val="1"/>
      <w:numFmt w:val="bullet"/>
      <w:lvlText w:val=""/>
      <w:lvlJc w:val="left"/>
      <w:pPr>
        <w:tabs>
          <w:tab w:val="num" w:pos="3600"/>
        </w:tabs>
        <w:ind w:left="3600" w:hanging="360"/>
      </w:pPr>
      <w:rPr>
        <w:rFonts w:ascii="Symbol" w:hAnsi="Symbol" w:hint="default"/>
      </w:rPr>
    </w:lvl>
    <w:lvl w:ilvl="6" w:tplc="04020001" w:tentative="1">
      <w:start w:val="1"/>
      <w:numFmt w:val="bullet"/>
      <w:lvlText w:val=""/>
      <w:lvlJc w:val="left"/>
      <w:pPr>
        <w:tabs>
          <w:tab w:val="num" w:pos="4320"/>
        </w:tabs>
        <w:ind w:left="4320" w:hanging="360"/>
      </w:pPr>
      <w:rPr>
        <w:rFonts w:ascii="Symbol" w:hAnsi="Symbol" w:hint="default"/>
      </w:rPr>
    </w:lvl>
    <w:lvl w:ilvl="7" w:tplc="04020003" w:tentative="1">
      <w:start w:val="1"/>
      <w:numFmt w:val="bullet"/>
      <w:lvlText w:val=""/>
      <w:lvlJc w:val="left"/>
      <w:pPr>
        <w:tabs>
          <w:tab w:val="num" w:pos="5040"/>
        </w:tabs>
        <w:ind w:left="5040" w:hanging="360"/>
      </w:pPr>
      <w:rPr>
        <w:rFonts w:ascii="Symbol" w:hAnsi="Symbol" w:hint="default"/>
      </w:rPr>
    </w:lvl>
    <w:lvl w:ilvl="8" w:tplc="04020005" w:tentative="1">
      <w:start w:val="1"/>
      <w:numFmt w:val="bullet"/>
      <w:lvlText w:val=""/>
      <w:lvlJc w:val="left"/>
      <w:pPr>
        <w:tabs>
          <w:tab w:val="num" w:pos="5760"/>
        </w:tabs>
        <w:ind w:left="5760" w:hanging="360"/>
      </w:pPr>
      <w:rPr>
        <w:rFonts w:ascii="Symbol" w:hAnsi="Symbol" w:hint="default"/>
      </w:rPr>
    </w:lvl>
  </w:abstractNum>
  <w:abstractNum w:abstractNumId="265" w15:restartNumberingAfterBreak="0">
    <w:nsid w:val="4DB56BDD"/>
    <w:multiLevelType w:val="multilevel"/>
    <w:tmpl w:val="4DB56BDD"/>
    <w:lvl w:ilvl="0">
      <w:start w:val="1"/>
      <w:numFmt w:val="decimal"/>
      <w:lvlText w:val="%1."/>
      <w:lvlJc w:val="left"/>
      <w:pPr>
        <w:ind w:left="927" w:hanging="360"/>
      </w:pPr>
      <w:rPr>
        <w:b w:val="0"/>
        <w:i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66" w15:restartNumberingAfterBreak="0">
    <w:nsid w:val="4EAB2C83"/>
    <w:multiLevelType w:val="hybridMultilevel"/>
    <w:tmpl w:val="63981B58"/>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267" w15:restartNumberingAfterBreak="0">
    <w:nsid w:val="4EF0143F"/>
    <w:multiLevelType w:val="hybridMultilevel"/>
    <w:tmpl w:val="86B65448"/>
    <w:lvl w:ilvl="0" w:tplc="1340D006">
      <w:start w:val="1"/>
      <w:numFmt w:val="decimal"/>
      <w:lvlText w:val="%1."/>
      <w:lvlJc w:val="left"/>
      <w:pPr>
        <w:ind w:left="720" w:hanging="360"/>
      </w:pPr>
      <w:rPr>
        <w:rFonts w:ascii="Arial" w:eastAsiaTheme="minorHAnsi" w:hAnsi="Arial" w:cs="Arial"/>
      </w:rPr>
    </w:lvl>
    <w:lvl w:ilvl="1" w:tplc="0402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8" w15:restartNumberingAfterBreak="0">
    <w:nsid w:val="4F0F2F63"/>
    <w:multiLevelType w:val="hybridMultilevel"/>
    <w:tmpl w:val="0F488522"/>
    <w:lvl w:ilvl="0" w:tplc="04020001">
      <w:start w:val="1"/>
      <w:numFmt w:val="bullet"/>
      <w:lvlText w:val=""/>
      <w:lvlJc w:val="left"/>
      <w:pPr>
        <w:ind w:left="1800" w:hanging="360"/>
      </w:pPr>
      <w:rPr>
        <w:rFonts w:ascii="Wingdings" w:hAnsi="Wingdings" w:hint="default"/>
        <w:b/>
        <w:i w:val="0"/>
        <w:sz w:val="24"/>
        <w:u w:val="none"/>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269" w15:restartNumberingAfterBreak="0">
    <w:nsid w:val="4F2332FB"/>
    <w:multiLevelType w:val="hybridMultilevel"/>
    <w:tmpl w:val="1758D148"/>
    <w:lvl w:ilvl="0" w:tplc="04020001">
      <w:start w:val="1"/>
      <w:numFmt w:val="bullet"/>
      <w:lvlText w:val=""/>
      <w:lvlJc w:val="left"/>
      <w:pPr>
        <w:tabs>
          <w:tab w:val="num" w:pos="1440"/>
        </w:tabs>
        <w:ind w:left="1440" w:hanging="360"/>
      </w:pPr>
      <w:rPr>
        <w:rFonts w:ascii="Symbol" w:hAnsi="Symbol" w:cs="Symbol" w:hint="default"/>
      </w:rPr>
    </w:lvl>
    <w:lvl w:ilvl="1" w:tplc="04020003">
      <w:start w:val="1"/>
      <w:numFmt w:val="bullet"/>
      <w:lvlText w:val="o"/>
      <w:lvlJc w:val="left"/>
      <w:pPr>
        <w:tabs>
          <w:tab w:val="num" w:pos="2160"/>
        </w:tabs>
        <w:ind w:left="2160" w:hanging="360"/>
      </w:pPr>
      <w:rPr>
        <w:rFonts w:ascii="Courier New" w:hAnsi="Courier New" w:cs="Courier New" w:hint="default"/>
      </w:rPr>
    </w:lvl>
    <w:lvl w:ilvl="2" w:tplc="04020005">
      <w:start w:val="1"/>
      <w:numFmt w:val="bullet"/>
      <w:lvlText w:val=""/>
      <w:lvlJc w:val="left"/>
      <w:pPr>
        <w:tabs>
          <w:tab w:val="num" w:pos="2880"/>
        </w:tabs>
        <w:ind w:left="2880" w:hanging="360"/>
      </w:pPr>
      <w:rPr>
        <w:rFonts w:ascii="Wingdings" w:hAnsi="Wingdings" w:cs="Wingdings" w:hint="default"/>
      </w:rPr>
    </w:lvl>
    <w:lvl w:ilvl="3" w:tplc="04020001">
      <w:start w:val="1"/>
      <w:numFmt w:val="bullet"/>
      <w:lvlText w:val=""/>
      <w:lvlJc w:val="left"/>
      <w:pPr>
        <w:tabs>
          <w:tab w:val="num" w:pos="3600"/>
        </w:tabs>
        <w:ind w:left="3600" w:hanging="360"/>
      </w:pPr>
      <w:rPr>
        <w:rFonts w:ascii="Symbol" w:hAnsi="Symbol" w:cs="Symbol" w:hint="default"/>
      </w:rPr>
    </w:lvl>
    <w:lvl w:ilvl="4" w:tplc="04020003">
      <w:start w:val="1"/>
      <w:numFmt w:val="bullet"/>
      <w:lvlText w:val="o"/>
      <w:lvlJc w:val="left"/>
      <w:pPr>
        <w:tabs>
          <w:tab w:val="num" w:pos="4320"/>
        </w:tabs>
        <w:ind w:left="4320" w:hanging="360"/>
      </w:pPr>
      <w:rPr>
        <w:rFonts w:ascii="Courier New" w:hAnsi="Courier New" w:cs="Courier New" w:hint="default"/>
      </w:rPr>
    </w:lvl>
    <w:lvl w:ilvl="5" w:tplc="04020005">
      <w:start w:val="1"/>
      <w:numFmt w:val="bullet"/>
      <w:lvlText w:val=""/>
      <w:lvlJc w:val="left"/>
      <w:pPr>
        <w:tabs>
          <w:tab w:val="num" w:pos="5040"/>
        </w:tabs>
        <w:ind w:left="5040" w:hanging="360"/>
      </w:pPr>
      <w:rPr>
        <w:rFonts w:ascii="Wingdings" w:hAnsi="Wingdings" w:cs="Wingdings" w:hint="default"/>
      </w:rPr>
    </w:lvl>
    <w:lvl w:ilvl="6" w:tplc="04020001">
      <w:start w:val="1"/>
      <w:numFmt w:val="bullet"/>
      <w:lvlText w:val=""/>
      <w:lvlJc w:val="left"/>
      <w:pPr>
        <w:tabs>
          <w:tab w:val="num" w:pos="5760"/>
        </w:tabs>
        <w:ind w:left="5760" w:hanging="360"/>
      </w:pPr>
      <w:rPr>
        <w:rFonts w:ascii="Symbol" w:hAnsi="Symbol" w:cs="Symbol" w:hint="default"/>
      </w:rPr>
    </w:lvl>
    <w:lvl w:ilvl="7" w:tplc="04020003">
      <w:start w:val="1"/>
      <w:numFmt w:val="bullet"/>
      <w:lvlText w:val="o"/>
      <w:lvlJc w:val="left"/>
      <w:pPr>
        <w:tabs>
          <w:tab w:val="num" w:pos="6480"/>
        </w:tabs>
        <w:ind w:left="6480" w:hanging="360"/>
      </w:pPr>
      <w:rPr>
        <w:rFonts w:ascii="Courier New" w:hAnsi="Courier New" w:cs="Courier New" w:hint="default"/>
      </w:rPr>
    </w:lvl>
    <w:lvl w:ilvl="8" w:tplc="04020005">
      <w:start w:val="1"/>
      <w:numFmt w:val="bullet"/>
      <w:lvlText w:val=""/>
      <w:lvlJc w:val="left"/>
      <w:pPr>
        <w:tabs>
          <w:tab w:val="num" w:pos="7200"/>
        </w:tabs>
        <w:ind w:left="7200" w:hanging="360"/>
      </w:pPr>
      <w:rPr>
        <w:rFonts w:ascii="Wingdings" w:hAnsi="Wingdings" w:cs="Wingdings" w:hint="default"/>
      </w:rPr>
    </w:lvl>
  </w:abstractNum>
  <w:abstractNum w:abstractNumId="270" w15:restartNumberingAfterBreak="0">
    <w:nsid w:val="4F6809BE"/>
    <w:multiLevelType w:val="hybridMultilevel"/>
    <w:tmpl w:val="F2D8DE4C"/>
    <w:lvl w:ilvl="0" w:tplc="FFFFFFFF">
      <w:start w:val="1"/>
      <w:numFmt w:val="bullet"/>
      <w:lvlText w:val=""/>
      <w:lvlJc w:val="left"/>
      <w:pPr>
        <w:tabs>
          <w:tab w:val="num" w:pos="1440"/>
        </w:tabs>
        <w:ind w:left="1440" w:hanging="360"/>
      </w:pPr>
      <w:rPr>
        <w:rFonts w:ascii="Symbol" w:hAnsi="Symbol" w:cs="Symbol"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start w:val="1"/>
      <w:numFmt w:val="bullet"/>
      <w:lvlText w:val=""/>
      <w:lvlJc w:val="left"/>
      <w:pPr>
        <w:tabs>
          <w:tab w:val="num" w:pos="2880"/>
        </w:tabs>
        <w:ind w:left="2880" w:hanging="360"/>
      </w:pPr>
      <w:rPr>
        <w:rFonts w:ascii="Wingdings" w:hAnsi="Wingdings" w:cs="Wingdings" w:hint="default"/>
      </w:rPr>
    </w:lvl>
    <w:lvl w:ilvl="3" w:tplc="FFFFFFFF">
      <w:start w:val="1"/>
      <w:numFmt w:val="bullet"/>
      <w:lvlText w:val=""/>
      <w:lvlJc w:val="left"/>
      <w:pPr>
        <w:tabs>
          <w:tab w:val="num" w:pos="3600"/>
        </w:tabs>
        <w:ind w:left="3600" w:hanging="360"/>
      </w:pPr>
      <w:rPr>
        <w:rFonts w:ascii="Symbol" w:hAnsi="Symbol" w:cs="Symbol" w:hint="default"/>
      </w:rPr>
    </w:lvl>
    <w:lvl w:ilvl="4" w:tplc="FFFFFFFF">
      <w:start w:val="1"/>
      <w:numFmt w:val="bullet"/>
      <w:lvlText w:val="o"/>
      <w:lvlJc w:val="left"/>
      <w:pPr>
        <w:tabs>
          <w:tab w:val="num" w:pos="4320"/>
        </w:tabs>
        <w:ind w:left="4320" w:hanging="360"/>
      </w:pPr>
      <w:rPr>
        <w:rFonts w:ascii="Courier New" w:hAnsi="Courier New" w:cs="Courier New" w:hint="default"/>
      </w:rPr>
    </w:lvl>
    <w:lvl w:ilvl="5" w:tplc="FFFFFFFF">
      <w:start w:val="1"/>
      <w:numFmt w:val="bullet"/>
      <w:lvlText w:val=""/>
      <w:lvlJc w:val="left"/>
      <w:pPr>
        <w:tabs>
          <w:tab w:val="num" w:pos="5040"/>
        </w:tabs>
        <w:ind w:left="5040" w:hanging="360"/>
      </w:pPr>
      <w:rPr>
        <w:rFonts w:ascii="Wingdings" w:hAnsi="Wingdings" w:cs="Wingdings" w:hint="default"/>
      </w:rPr>
    </w:lvl>
    <w:lvl w:ilvl="6" w:tplc="FFFFFFFF">
      <w:start w:val="1"/>
      <w:numFmt w:val="bullet"/>
      <w:lvlText w:val=""/>
      <w:lvlJc w:val="left"/>
      <w:pPr>
        <w:tabs>
          <w:tab w:val="num" w:pos="5760"/>
        </w:tabs>
        <w:ind w:left="5760" w:hanging="360"/>
      </w:pPr>
      <w:rPr>
        <w:rFonts w:ascii="Symbol" w:hAnsi="Symbol" w:cs="Symbol" w:hint="default"/>
      </w:rPr>
    </w:lvl>
    <w:lvl w:ilvl="7" w:tplc="FFFFFFFF">
      <w:start w:val="1"/>
      <w:numFmt w:val="bullet"/>
      <w:lvlText w:val="o"/>
      <w:lvlJc w:val="left"/>
      <w:pPr>
        <w:tabs>
          <w:tab w:val="num" w:pos="6480"/>
        </w:tabs>
        <w:ind w:left="6480" w:hanging="360"/>
      </w:pPr>
      <w:rPr>
        <w:rFonts w:ascii="Courier New" w:hAnsi="Courier New" w:cs="Courier New" w:hint="default"/>
      </w:rPr>
    </w:lvl>
    <w:lvl w:ilvl="8" w:tplc="FFFFFFFF">
      <w:start w:val="1"/>
      <w:numFmt w:val="bullet"/>
      <w:lvlText w:val=""/>
      <w:lvlJc w:val="left"/>
      <w:pPr>
        <w:tabs>
          <w:tab w:val="num" w:pos="7200"/>
        </w:tabs>
        <w:ind w:left="7200" w:hanging="360"/>
      </w:pPr>
      <w:rPr>
        <w:rFonts w:ascii="Wingdings" w:hAnsi="Wingdings" w:cs="Wingdings" w:hint="default"/>
      </w:rPr>
    </w:lvl>
  </w:abstractNum>
  <w:abstractNum w:abstractNumId="271" w15:restartNumberingAfterBreak="0">
    <w:nsid w:val="4FB10B3D"/>
    <w:multiLevelType w:val="multilevel"/>
    <w:tmpl w:val="4FB10B3D"/>
    <w:lvl w:ilvl="0">
      <w:start w:val="65535"/>
      <w:numFmt w:val="bullet"/>
      <w:lvlText w:val="•"/>
      <w:lvlJc w:val="left"/>
      <w:pPr>
        <w:ind w:left="720" w:hanging="360"/>
      </w:pPr>
      <w:rPr>
        <w:rFonts w:ascii="Arial" w:hAnsi="Arial" w:cs="Arial"/>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2" w15:restartNumberingAfterBreak="0">
    <w:nsid w:val="4FDC5FD0"/>
    <w:multiLevelType w:val="hybridMultilevel"/>
    <w:tmpl w:val="5AC80450"/>
    <w:lvl w:ilvl="0" w:tplc="FFFFFFFF">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73" w15:restartNumberingAfterBreak="0">
    <w:nsid w:val="4FE60194"/>
    <w:multiLevelType w:val="hybridMultilevel"/>
    <w:tmpl w:val="8E60A45E"/>
    <w:lvl w:ilvl="0" w:tplc="04020013">
      <w:start w:val="108"/>
      <w:numFmt w:val="bullet"/>
      <w:lvlText w:val="–"/>
      <w:lvlJc w:val="left"/>
      <w:pPr>
        <w:ind w:left="1080" w:hanging="360"/>
      </w:pPr>
      <w:rPr>
        <w:rFonts w:ascii="Times New Roman" w:hAnsi="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74" w15:restartNumberingAfterBreak="0">
    <w:nsid w:val="50673B70"/>
    <w:multiLevelType w:val="hybridMultilevel"/>
    <w:tmpl w:val="DA78C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15:restartNumberingAfterBreak="0">
    <w:nsid w:val="506D3699"/>
    <w:multiLevelType w:val="hybridMultilevel"/>
    <w:tmpl w:val="2A881D32"/>
    <w:lvl w:ilvl="0" w:tplc="04020003">
      <w:start w:val="1"/>
      <w:numFmt w:val="bullet"/>
      <w:lvlText w:val=""/>
      <w:lvlJc w:val="left"/>
      <w:pPr>
        <w:tabs>
          <w:tab w:val="num" w:pos="720"/>
        </w:tabs>
        <w:ind w:left="720" w:hanging="360"/>
      </w:pPr>
      <w:rPr>
        <w:rFonts w:ascii="Symbol" w:hAnsi="Symbol" w:hint="default"/>
      </w:rPr>
    </w:lvl>
    <w:lvl w:ilvl="1" w:tplc="04020003">
      <w:start w:val="1"/>
      <w:numFmt w:val="bullet"/>
      <w:lvlText w:val=""/>
      <w:lvlJc w:val="left"/>
      <w:pPr>
        <w:tabs>
          <w:tab w:val="num" w:pos="1440"/>
        </w:tabs>
        <w:ind w:left="1440" w:hanging="360"/>
      </w:pPr>
      <w:rPr>
        <w:rFonts w:ascii="Symbol" w:hAnsi="Symbol"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76" w15:restartNumberingAfterBreak="0">
    <w:nsid w:val="50BA484E"/>
    <w:multiLevelType w:val="hybridMultilevel"/>
    <w:tmpl w:val="1D56D59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7" w15:restartNumberingAfterBreak="0">
    <w:nsid w:val="50C028EF"/>
    <w:multiLevelType w:val="hybridMultilevel"/>
    <w:tmpl w:val="679ADE2E"/>
    <w:lvl w:ilvl="0" w:tplc="04020001">
      <w:start w:val="1"/>
      <w:numFmt w:val="bullet"/>
      <w:lvlText w:val=""/>
      <w:lvlJc w:val="left"/>
      <w:pPr>
        <w:tabs>
          <w:tab w:val="num" w:pos="1440"/>
        </w:tabs>
        <w:ind w:left="1440" w:hanging="360"/>
      </w:pPr>
      <w:rPr>
        <w:rFonts w:ascii="Symbol" w:hAnsi="Symbol" w:cs="Symbol" w:hint="default"/>
      </w:rPr>
    </w:lvl>
    <w:lvl w:ilvl="1" w:tplc="04020003">
      <w:start w:val="1"/>
      <w:numFmt w:val="bullet"/>
      <w:lvlText w:val="o"/>
      <w:lvlJc w:val="left"/>
      <w:pPr>
        <w:tabs>
          <w:tab w:val="num" w:pos="2160"/>
        </w:tabs>
        <w:ind w:left="2160" w:hanging="360"/>
      </w:pPr>
      <w:rPr>
        <w:rFonts w:ascii="Courier New" w:hAnsi="Courier New" w:cs="Courier New" w:hint="default"/>
      </w:rPr>
    </w:lvl>
    <w:lvl w:ilvl="2" w:tplc="04020005">
      <w:start w:val="1"/>
      <w:numFmt w:val="bullet"/>
      <w:lvlText w:val=""/>
      <w:lvlJc w:val="left"/>
      <w:pPr>
        <w:tabs>
          <w:tab w:val="num" w:pos="2880"/>
        </w:tabs>
        <w:ind w:left="2880" w:hanging="360"/>
      </w:pPr>
      <w:rPr>
        <w:rFonts w:ascii="Wingdings" w:hAnsi="Wingdings" w:cs="Wingdings" w:hint="default"/>
      </w:rPr>
    </w:lvl>
    <w:lvl w:ilvl="3" w:tplc="04020001">
      <w:start w:val="1"/>
      <w:numFmt w:val="bullet"/>
      <w:lvlText w:val=""/>
      <w:lvlJc w:val="left"/>
      <w:pPr>
        <w:tabs>
          <w:tab w:val="num" w:pos="3600"/>
        </w:tabs>
        <w:ind w:left="3600" w:hanging="360"/>
      </w:pPr>
      <w:rPr>
        <w:rFonts w:ascii="Symbol" w:hAnsi="Symbol" w:cs="Symbol" w:hint="default"/>
      </w:rPr>
    </w:lvl>
    <w:lvl w:ilvl="4" w:tplc="04020003">
      <w:start w:val="1"/>
      <w:numFmt w:val="bullet"/>
      <w:lvlText w:val="o"/>
      <w:lvlJc w:val="left"/>
      <w:pPr>
        <w:tabs>
          <w:tab w:val="num" w:pos="4320"/>
        </w:tabs>
        <w:ind w:left="4320" w:hanging="360"/>
      </w:pPr>
      <w:rPr>
        <w:rFonts w:ascii="Courier New" w:hAnsi="Courier New" w:cs="Courier New" w:hint="default"/>
      </w:rPr>
    </w:lvl>
    <w:lvl w:ilvl="5" w:tplc="04020005">
      <w:start w:val="1"/>
      <w:numFmt w:val="bullet"/>
      <w:lvlText w:val=""/>
      <w:lvlJc w:val="left"/>
      <w:pPr>
        <w:tabs>
          <w:tab w:val="num" w:pos="5040"/>
        </w:tabs>
        <w:ind w:left="5040" w:hanging="360"/>
      </w:pPr>
      <w:rPr>
        <w:rFonts w:ascii="Wingdings" w:hAnsi="Wingdings" w:cs="Wingdings" w:hint="default"/>
      </w:rPr>
    </w:lvl>
    <w:lvl w:ilvl="6" w:tplc="04020001">
      <w:start w:val="1"/>
      <w:numFmt w:val="bullet"/>
      <w:lvlText w:val=""/>
      <w:lvlJc w:val="left"/>
      <w:pPr>
        <w:tabs>
          <w:tab w:val="num" w:pos="5760"/>
        </w:tabs>
        <w:ind w:left="5760" w:hanging="360"/>
      </w:pPr>
      <w:rPr>
        <w:rFonts w:ascii="Symbol" w:hAnsi="Symbol" w:cs="Symbol" w:hint="default"/>
      </w:rPr>
    </w:lvl>
    <w:lvl w:ilvl="7" w:tplc="04020003">
      <w:start w:val="1"/>
      <w:numFmt w:val="bullet"/>
      <w:lvlText w:val="o"/>
      <w:lvlJc w:val="left"/>
      <w:pPr>
        <w:tabs>
          <w:tab w:val="num" w:pos="6480"/>
        </w:tabs>
        <w:ind w:left="6480" w:hanging="360"/>
      </w:pPr>
      <w:rPr>
        <w:rFonts w:ascii="Courier New" w:hAnsi="Courier New" w:cs="Courier New" w:hint="default"/>
      </w:rPr>
    </w:lvl>
    <w:lvl w:ilvl="8" w:tplc="04020005">
      <w:start w:val="1"/>
      <w:numFmt w:val="bullet"/>
      <w:lvlText w:val=""/>
      <w:lvlJc w:val="left"/>
      <w:pPr>
        <w:tabs>
          <w:tab w:val="num" w:pos="7200"/>
        </w:tabs>
        <w:ind w:left="7200" w:hanging="360"/>
      </w:pPr>
      <w:rPr>
        <w:rFonts w:ascii="Wingdings" w:hAnsi="Wingdings" w:cs="Wingdings" w:hint="default"/>
      </w:rPr>
    </w:lvl>
  </w:abstractNum>
  <w:abstractNum w:abstractNumId="278" w15:restartNumberingAfterBreak="0">
    <w:nsid w:val="50DC59FB"/>
    <w:multiLevelType w:val="multilevel"/>
    <w:tmpl w:val="66CE73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9" w15:restartNumberingAfterBreak="0">
    <w:nsid w:val="50ED4C40"/>
    <w:multiLevelType w:val="hybridMultilevel"/>
    <w:tmpl w:val="DC5AE2F6"/>
    <w:lvl w:ilvl="0" w:tplc="76BC95FA">
      <w:start w:val="1"/>
      <w:numFmt w:val="bullet"/>
      <w:lvlText w:val=""/>
      <w:lvlJc w:val="left"/>
      <w:pPr>
        <w:tabs>
          <w:tab w:val="num" w:pos="720"/>
        </w:tabs>
        <w:ind w:left="720" w:hanging="360"/>
      </w:pPr>
      <w:rPr>
        <w:rFonts w:ascii="Symbol" w:hAnsi="Symbol" w:cs="Symbol" w:hint="default"/>
      </w:rPr>
    </w:lvl>
    <w:lvl w:ilvl="1" w:tplc="10167DF4">
      <w:start w:val="1"/>
      <w:numFmt w:val="bullet"/>
      <w:lvlText w:val="o"/>
      <w:lvlJc w:val="left"/>
      <w:pPr>
        <w:tabs>
          <w:tab w:val="num" w:pos="1440"/>
        </w:tabs>
        <w:ind w:left="1440" w:hanging="360"/>
      </w:pPr>
      <w:rPr>
        <w:rFonts w:ascii="Courier New" w:hAnsi="Courier New" w:cs="Courier New" w:hint="default"/>
      </w:rPr>
    </w:lvl>
    <w:lvl w:ilvl="2" w:tplc="6CDE16A6">
      <w:start w:val="1"/>
      <w:numFmt w:val="bullet"/>
      <w:lvlText w:val=""/>
      <w:lvlJc w:val="left"/>
      <w:pPr>
        <w:tabs>
          <w:tab w:val="num" w:pos="2160"/>
        </w:tabs>
        <w:ind w:left="2160" w:hanging="360"/>
      </w:pPr>
      <w:rPr>
        <w:rFonts w:ascii="Wingdings" w:hAnsi="Wingdings" w:cs="Wingdings" w:hint="default"/>
      </w:rPr>
    </w:lvl>
    <w:lvl w:ilvl="3" w:tplc="45C02C54">
      <w:start w:val="1"/>
      <w:numFmt w:val="bullet"/>
      <w:lvlText w:val=""/>
      <w:lvlJc w:val="left"/>
      <w:pPr>
        <w:tabs>
          <w:tab w:val="num" w:pos="2880"/>
        </w:tabs>
        <w:ind w:left="2880" w:hanging="360"/>
      </w:pPr>
      <w:rPr>
        <w:rFonts w:ascii="Symbol" w:hAnsi="Symbol" w:cs="Symbol" w:hint="default"/>
      </w:rPr>
    </w:lvl>
    <w:lvl w:ilvl="4" w:tplc="F9F60C3E">
      <w:start w:val="1"/>
      <w:numFmt w:val="bullet"/>
      <w:lvlText w:val="o"/>
      <w:lvlJc w:val="left"/>
      <w:pPr>
        <w:tabs>
          <w:tab w:val="num" w:pos="3600"/>
        </w:tabs>
        <w:ind w:left="3600" w:hanging="360"/>
      </w:pPr>
      <w:rPr>
        <w:rFonts w:ascii="Courier New" w:hAnsi="Courier New" w:cs="Courier New" w:hint="default"/>
      </w:rPr>
    </w:lvl>
    <w:lvl w:ilvl="5" w:tplc="E724D3EE">
      <w:start w:val="1"/>
      <w:numFmt w:val="bullet"/>
      <w:lvlText w:val=""/>
      <w:lvlJc w:val="left"/>
      <w:pPr>
        <w:tabs>
          <w:tab w:val="num" w:pos="4320"/>
        </w:tabs>
        <w:ind w:left="4320" w:hanging="360"/>
      </w:pPr>
      <w:rPr>
        <w:rFonts w:ascii="Wingdings" w:hAnsi="Wingdings" w:cs="Wingdings" w:hint="default"/>
      </w:rPr>
    </w:lvl>
    <w:lvl w:ilvl="6" w:tplc="E1A06882">
      <w:start w:val="1"/>
      <w:numFmt w:val="bullet"/>
      <w:lvlText w:val=""/>
      <w:lvlJc w:val="left"/>
      <w:pPr>
        <w:tabs>
          <w:tab w:val="num" w:pos="5040"/>
        </w:tabs>
        <w:ind w:left="5040" w:hanging="360"/>
      </w:pPr>
      <w:rPr>
        <w:rFonts w:ascii="Symbol" w:hAnsi="Symbol" w:cs="Symbol" w:hint="default"/>
      </w:rPr>
    </w:lvl>
    <w:lvl w:ilvl="7" w:tplc="A4B66142">
      <w:start w:val="1"/>
      <w:numFmt w:val="bullet"/>
      <w:lvlText w:val="o"/>
      <w:lvlJc w:val="left"/>
      <w:pPr>
        <w:tabs>
          <w:tab w:val="num" w:pos="5760"/>
        </w:tabs>
        <w:ind w:left="5760" w:hanging="360"/>
      </w:pPr>
      <w:rPr>
        <w:rFonts w:ascii="Courier New" w:hAnsi="Courier New" w:cs="Courier New" w:hint="default"/>
      </w:rPr>
    </w:lvl>
    <w:lvl w:ilvl="8" w:tplc="9758B76A">
      <w:start w:val="1"/>
      <w:numFmt w:val="bullet"/>
      <w:lvlText w:val=""/>
      <w:lvlJc w:val="left"/>
      <w:pPr>
        <w:tabs>
          <w:tab w:val="num" w:pos="6480"/>
        </w:tabs>
        <w:ind w:left="6480" w:hanging="360"/>
      </w:pPr>
      <w:rPr>
        <w:rFonts w:ascii="Wingdings" w:hAnsi="Wingdings" w:cs="Wingdings" w:hint="default"/>
      </w:rPr>
    </w:lvl>
  </w:abstractNum>
  <w:abstractNum w:abstractNumId="280" w15:restartNumberingAfterBreak="0">
    <w:nsid w:val="50EF2B78"/>
    <w:multiLevelType w:val="hybridMultilevel"/>
    <w:tmpl w:val="AE00C8F0"/>
    <w:lvl w:ilvl="0" w:tplc="C33437B2">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81" w15:restartNumberingAfterBreak="0">
    <w:nsid w:val="51393CC8"/>
    <w:multiLevelType w:val="hybridMultilevel"/>
    <w:tmpl w:val="0A605B1C"/>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282" w15:restartNumberingAfterBreak="0">
    <w:nsid w:val="515D1CD1"/>
    <w:multiLevelType w:val="hybridMultilevel"/>
    <w:tmpl w:val="6522230A"/>
    <w:lvl w:ilvl="0" w:tplc="04020001">
      <w:start w:val="1"/>
      <w:numFmt w:val="bullet"/>
      <w:lvlText w:val=""/>
      <w:lvlJc w:val="left"/>
      <w:pPr>
        <w:ind w:left="152" w:hanging="360"/>
      </w:pPr>
      <w:rPr>
        <w:rFonts w:ascii="Symbol" w:hAnsi="Symbol" w:hint="default"/>
      </w:rPr>
    </w:lvl>
    <w:lvl w:ilvl="1" w:tplc="04020003" w:tentative="1">
      <w:start w:val="1"/>
      <w:numFmt w:val="bullet"/>
      <w:lvlText w:val="o"/>
      <w:lvlJc w:val="left"/>
      <w:pPr>
        <w:ind w:left="1156" w:hanging="360"/>
      </w:pPr>
      <w:rPr>
        <w:rFonts w:ascii="Courier New" w:hAnsi="Courier New" w:hint="default"/>
      </w:rPr>
    </w:lvl>
    <w:lvl w:ilvl="2" w:tplc="04020005" w:tentative="1">
      <w:start w:val="1"/>
      <w:numFmt w:val="bullet"/>
      <w:lvlText w:val=""/>
      <w:lvlJc w:val="left"/>
      <w:pPr>
        <w:ind w:left="1876" w:hanging="360"/>
      </w:pPr>
      <w:rPr>
        <w:rFonts w:ascii="Wingdings" w:hAnsi="Wingdings" w:hint="default"/>
      </w:rPr>
    </w:lvl>
    <w:lvl w:ilvl="3" w:tplc="04020001" w:tentative="1">
      <w:start w:val="1"/>
      <w:numFmt w:val="bullet"/>
      <w:lvlText w:val=""/>
      <w:lvlJc w:val="left"/>
      <w:pPr>
        <w:ind w:left="2596" w:hanging="360"/>
      </w:pPr>
      <w:rPr>
        <w:rFonts w:ascii="Symbol" w:hAnsi="Symbol" w:hint="default"/>
      </w:rPr>
    </w:lvl>
    <w:lvl w:ilvl="4" w:tplc="04020003" w:tentative="1">
      <w:start w:val="1"/>
      <w:numFmt w:val="bullet"/>
      <w:lvlText w:val="o"/>
      <w:lvlJc w:val="left"/>
      <w:pPr>
        <w:ind w:left="3316" w:hanging="360"/>
      </w:pPr>
      <w:rPr>
        <w:rFonts w:ascii="Courier New" w:hAnsi="Courier New" w:hint="default"/>
      </w:rPr>
    </w:lvl>
    <w:lvl w:ilvl="5" w:tplc="04020005" w:tentative="1">
      <w:start w:val="1"/>
      <w:numFmt w:val="bullet"/>
      <w:lvlText w:val=""/>
      <w:lvlJc w:val="left"/>
      <w:pPr>
        <w:ind w:left="4036" w:hanging="360"/>
      </w:pPr>
      <w:rPr>
        <w:rFonts w:ascii="Wingdings" w:hAnsi="Wingdings" w:hint="default"/>
      </w:rPr>
    </w:lvl>
    <w:lvl w:ilvl="6" w:tplc="04020001" w:tentative="1">
      <w:start w:val="1"/>
      <w:numFmt w:val="bullet"/>
      <w:lvlText w:val=""/>
      <w:lvlJc w:val="left"/>
      <w:pPr>
        <w:ind w:left="4756" w:hanging="360"/>
      </w:pPr>
      <w:rPr>
        <w:rFonts w:ascii="Symbol" w:hAnsi="Symbol" w:hint="default"/>
      </w:rPr>
    </w:lvl>
    <w:lvl w:ilvl="7" w:tplc="04020003" w:tentative="1">
      <w:start w:val="1"/>
      <w:numFmt w:val="bullet"/>
      <w:lvlText w:val="o"/>
      <w:lvlJc w:val="left"/>
      <w:pPr>
        <w:ind w:left="5476" w:hanging="360"/>
      </w:pPr>
      <w:rPr>
        <w:rFonts w:ascii="Courier New" w:hAnsi="Courier New" w:hint="default"/>
      </w:rPr>
    </w:lvl>
    <w:lvl w:ilvl="8" w:tplc="04020005" w:tentative="1">
      <w:start w:val="1"/>
      <w:numFmt w:val="bullet"/>
      <w:lvlText w:val=""/>
      <w:lvlJc w:val="left"/>
      <w:pPr>
        <w:ind w:left="6196" w:hanging="360"/>
      </w:pPr>
      <w:rPr>
        <w:rFonts w:ascii="Wingdings" w:hAnsi="Wingdings" w:hint="default"/>
      </w:rPr>
    </w:lvl>
  </w:abstractNum>
  <w:abstractNum w:abstractNumId="283" w15:restartNumberingAfterBreak="0">
    <w:nsid w:val="517B0F80"/>
    <w:multiLevelType w:val="hybridMultilevel"/>
    <w:tmpl w:val="8342DD1C"/>
    <w:lvl w:ilvl="0" w:tplc="04020001">
      <w:start w:val="1"/>
      <w:numFmt w:val="bullet"/>
      <w:lvlText w:val=""/>
      <w:lvlJc w:val="left"/>
      <w:pPr>
        <w:ind w:left="360" w:hanging="360"/>
      </w:pPr>
      <w:rPr>
        <w:rFonts w:ascii="Wingdings" w:hAnsi="Wingdings" w:hint="default"/>
        <w:b/>
        <w:i w:val="0"/>
        <w:sz w:val="24"/>
        <w:u w:val="none"/>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84" w15:restartNumberingAfterBreak="0">
    <w:nsid w:val="51932CE4"/>
    <w:multiLevelType w:val="hybridMultilevel"/>
    <w:tmpl w:val="B0A09382"/>
    <w:lvl w:ilvl="0" w:tplc="04020001">
      <w:start w:val="1"/>
      <w:numFmt w:val="bullet"/>
      <w:lvlText w:val=""/>
      <w:lvlJc w:val="left"/>
      <w:pPr>
        <w:tabs>
          <w:tab w:val="num" w:pos="720"/>
        </w:tabs>
        <w:ind w:left="720" w:hanging="360"/>
      </w:pPr>
      <w:rPr>
        <w:rFonts w:ascii="Symbol" w:hAnsi="Symbol" w:hint="default"/>
      </w:rPr>
    </w:lvl>
    <w:lvl w:ilvl="1" w:tplc="C60C66C6">
      <w:start w:val="65535"/>
      <w:numFmt w:val="bullet"/>
      <w:lvlText w:val="•"/>
      <w:lvlJc w:val="left"/>
      <w:pPr>
        <w:tabs>
          <w:tab w:val="num" w:pos="1440"/>
        </w:tabs>
        <w:ind w:left="1440" w:hanging="360"/>
      </w:pPr>
      <w:rPr>
        <w:rFonts w:ascii="Arial" w:hAnsi="Arial" w:cs="Arial" w:hint="default"/>
        <w:color w:val="000000" w:themeColor="text1"/>
      </w:rPr>
    </w:lvl>
    <w:lvl w:ilvl="2" w:tplc="C60C66C6">
      <w:start w:val="65535"/>
      <w:numFmt w:val="bullet"/>
      <w:lvlText w:val="•"/>
      <w:lvlJc w:val="left"/>
      <w:pPr>
        <w:tabs>
          <w:tab w:val="num" w:pos="2160"/>
        </w:tabs>
        <w:ind w:left="2160" w:hanging="360"/>
      </w:pPr>
      <w:rPr>
        <w:rFonts w:ascii="Arial" w:hAnsi="Arial" w:cs="Arial" w:hint="default"/>
        <w:color w:val="000000" w:themeColor="text1"/>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85" w15:restartNumberingAfterBreak="0">
    <w:nsid w:val="521070E1"/>
    <w:multiLevelType w:val="hybridMultilevel"/>
    <w:tmpl w:val="41E2E3B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6" w15:restartNumberingAfterBreak="0">
    <w:nsid w:val="52401C14"/>
    <w:multiLevelType w:val="hybridMultilevel"/>
    <w:tmpl w:val="D30CF0F2"/>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7" w15:restartNumberingAfterBreak="0">
    <w:nsid w:val="524F5AB0"/>
    <w:multiLevelType w:val="hybridMultilevel"/>
    <w:tmpl w:val="D9005D08"/>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88" w15:restartNumberingAfterBreak="0">
    <w:nsid w:val="52B76FAD"/>
    <w:multiLevelType w:val="hybridMultilevel"/>
    <w:tmpl w:val="376EEB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9" w15:restartNumberingAfterBreak="0">
    <w:nsid w:val="535B0C8E"/>
    <w:multiLevelType w:val="hybridMultilevel"/>
    <w:tmpl w:val="BC940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0" w15:restartNumberingAfterBreak="0">
    <w:nsid w:val="535F2250"/>
    <w:multiLevelType w:val="hybridMultilevel"/>
    <w:tmpl w:val="2F30BD1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1" w15:restartNumberingAfterBreak="0">
    <w:nsid w:val="53CA2154"/>
    <w:multiLevelType w:val="hybridMultilevel"/>
    <w:tmpl w:val="A21CA702"/>
    <w:lvl w:ilvl="0" w:tplc="04020001">
      <w:start w:val="1"/>
      <w:numFmt w:val="bullet"/>
      <w:lvlText w:val=""/>
      <w:lvlJc w:val="left"/>
      <w:pPr>
        <w:tabs>
          <w:tab w:val="num" w:pos="922"/>
        </w:tabs>
        <w:ind w:left="922" w:hanging="360"/>
      </w:pPr>
      <w:rPr>
        <w:rFonts w:ascii="Symbol" w:hAnsi="Symbol" w:hint="default"/>
      </w:rPr>
    </w:lvl>
    <w:lvl w:ilvl="1" w:tplc="04020003" w:tentative="1">
      <w:start w:val="1"/>
      <w:numFmt w:val="bullet"/>
      <w:lvlText w:val="o"/>
      <w:lvlJc w:val="left"/>
      <w:pPr>
        <w:tabs>
          <w:tab w:val="num" w:pos="1642"/>
        </w:tabs>
        <w:ind w:left="1642" w:hanging="360"/>
      </w:pPr>
      <w:rPr>
        <w:rFonts w:ascii="Courier New" w:hAnsi="Courier New" w:hint="default"/>
      </w:rPr>
    </w:lvl>
    <w:lvl w:ilvl="2" w:tplc="04020005" w:tentative="1">
      <w:start w:val="1"/>
      <w:numFmt w:val="bullet"/>
      <w:lvlText w:val=""/>
      <w:lvlJc w:val="left"/>
      <w:pPr>
        <w:tabs>
          <w:tab w:val="num" w:pos="2362"/>
        </w:tabs>
        <w:ind w:left="2362" w:hanging="360"/>
      </w:pPr>
      <w:rPr>
        <w:rFonts w:ascii="Wingdings" w:hAnsi="Wingdings" w:hint="default"/>
      </w:rPr>
    </w:lvl>
    <w:lvl w:ilvl="3" w:tplc="04020001" w:tentative="1">
      <w:start w:val="1"/>
      <w:numFmt w:val="bullet"/>
      <w:lvlText w:val=""/>
      <w:lvlJc w:val="left"/>
      <w:pPr>
        <w:tabs>
          <w:tab w:val="num" w:pos="3082"/>
        </w:tabs>
        <w:ind w:left="3082" w:hanging="360"/>
      </w:pPr>
      <w:rPr>
        <w:rFonts w:ascii="Symbol" w:hAnsi="Symbol" w:hint="default"/>
      </w:rPr>
    </w:lvl>
    <w:lvl w:ilvl="4" w:tplc="04020003" w:tentative="1">
      <w:start w:val="1"/>
      <w:numFmt w:val="bullet"/>
      <w:lvlText w:val="o"/>
      <w:lvlJc w:val="left"/>
      <w:pPr>
        <w:tabs>
          <w:tab w:val="num" w:pos="3802"/>
        </w:tabs>
        <w:ind w:left="3802" w:hanging="360"/>
      </w:pPr>
      <w:rPr>
        <w:rFonts w:ascii="Courier New" w:hAnsi="Courier New" w:hint="default"/>
      </w:rPr>
    </w:lvl>
    <w:lvl w:ilvl="5" w:tplc="04020005" w:tentative="1">
      <w:start w:val="1"/>
      <w:numFmt w:val="bullet"/>
      <w:lvlText w:val=""/>
      <w:lvlJc w:val="left"/>
      <w:pPr>
        <w:tabs>
          <w:tab w:val="num" w:pos="4522"/>
        </w:tabs>
        <w:ind w:left="4522" w:hanging="360"/>
      </w:pPr>
      <w:rPr>
        <w:rFonts w:ascii="Wingdings" w:hAnsi="Wingdings" w:hint="default"/>
      </w:rPr>
    </w:lvl>
    <w:lvl w:ilvl="6" w:tplc="04020001" w:tentative="1">
      <w:start w:val="1"/>
      <w:numFmt w:val="bullet"/>
      <w:lvlText w:val=""/>
      <w:lvlJc w:val="left"/>
      <w:pPr>
        <w:tabs>
          <w:tab w:val="num" w:pos="5242"/>
        </w:tabs>
        <w:ind w:left="5242" w:hanging="360"/>
      </w:pPr>
      <w:rPr>
        <w:rFonts w:ascii="Symbol" w:hAnsi="Symbol" w:hint="default"/>
      </w:rPr>
    </w:lvl>
    <w:lvl w:ilvl="7" w:tplc="04020003" w:tentative="1">
      <w:start w:val="1"/>
      <w:numFmt w:val="bullet"/>
      <w:lvlText w:val="o"/>
      <w:lvlJc w:val="left"/>
      <w:pPr>
        <w:tabs>
          <w:tab w:val="num" w:pos="5962"/>
        </w:tabs>
        <w:ind w:left="5962" w:hanging="360"/>
      </w:pPr>
      <w:rPr>
        <w:rFonts w:ascii="Courier New" w:hAnsi="Courier New" w:hint="default"/>
      </w:rPr>
    </w:lvl>
    <w:lvl w:ilvl="8" w:tplc="04020005" w:tentative="1">
      <w:start w:val="1"/>
      <w:numFmt w:val="bullet"/>
      <w:lvlText w:val=""/>
      <w:lvlJc w:val="left"/>
      <w:pPr>
        <w:tabs>
          <w:tab w:val="num" w:pos="6682"/>
        </w:tabs>
        <w:ind w:left="6682" w:hanging="360"/>
      </w:pPr>
      <w:rPr>
        <w:rFonts w:ascii="Wingdings" w:hAnsi="Wingdings" w:hint="default"/>
      </w:rPr>
    </w:lvl>
  </w:abstractNum>
  <w:abstractNum w:abstractNumId="292" w15:restartNumberingAfterBreak="0">
    <w:nsid w:val="53DF5885"/>
    <w:multiLevelType w:val="hybridMultilevel"/>
    <w:tmpl w:val="838AA2E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3" w15:restartNumberingAfterBreak="0">
    <w:nsid w:val="53FC3A1B"/>
    <w:multiLevelType w:val="hybridMultilevel"/>
    <w:tmpl w:val="A7F03D1A"/>
    <w:lvl w:ilvl="0" w:tplc="FFFFFFFF">
      <w:start w:val="1"/>
      <w:numFmt w:val="bullet"/>
      <w:lvlText w:val=""/>
      <w:lvlJc w:val="left"/>
      <w:pPr>
        <w:tabs>
          <w:tab w:val="num" w:pos="1440"/>
        </w:tabs>
        <w:ind w:left="1440" w:hanging="360"/>
      </w:pPr>
      <w:rPr>
        <w:rFonts w:ascii="Symbol" w:hAnsi="Symbol" w:cs="Symbol"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start w:val="1"/>
      <w:numFmt w:val="bullet"/>
      <w:lvlText w:val=""/>
      <w:lvlJc w:val="left"/>
      <w:pPr>
        <w:tabs>
          <w:tab w:val="num" w:pos="2880"/>
        </w:tabs>
        <w:ind w:left="2880" w:hanging="360"/>
      </w:pPr>
      <w:rPr>
        <w:rFonts w:ascii="Wingdings" w:hAnsi="Wingdings" w:cs="Wingdings" w:hint="default"/>
      </w:rPr>
    </w:lvl>
    <w:lvl w:ilvl="3" w:tplc="FFFFFFFF">
      <w:start w:val="1"/>
      <w:numFmt w:val="bullet"/>
      <w:lvlText w:val=""/>
      <w:lvlJc w:val="left"/>
      <w:pPr>
        <w:tabs>
          <w:tab w:val="num" w:pos="3600"/>
        </w:tabs>
        <w:ind w:left="3600" w:hanging="360"/>
      </w:pPr>
      <w:rPr>
        <w:rFonts w:ascii="Symbol" w:hAnsi="Symbol" w:cs="Symbol" w:hint="default"/>
      </w:rPr>
    </w:lvl>
    <w:lvl w:ilvl="4" w:tplc="FFFFFFFF">
      <w:start w:val="1"/>
      <w:numFmt w:val="bullet"/>
      <w:lvlText w:val="o"/>
      <w:lvlJc w:val="left"/>
      <w:pPr>
        <w:tabs>
          <w:tab w:val="num" w:pos="4320"/>
        </w:tabs>
        <w:ind w:left="4320" w:hanging="360"/>
      </w:pPr>
      <w:rPr>
        <w:rFonts w:ascii="Courier New" w:hAnsi="Courier New" w:cs="Courier New" w:hint="default"/>
      </w:rPr>
    </w:lvl>
    <w:lvl w:ilvl="5" w:tplc="FFFFFFFF">
      <w:start w:val="1"/>
      <w:numFmt w:val="bullet"/>
      <w:lvlText w:val=""/>
      <w:lvlJc w:val="left"/>
      <w:pPr>
        <w:tabs>
          <w:tab w:val="num" w:pos="5040"/>
        </w:tabs>
        <w:ind w:left="5040" w:hanging="360"/>
      </w:pPr>
      <w:rPr>
        <w:rFonts w:ascii="Wingdings" w:hAnsi="Wingdings" w:cs="Wingdings" w:hint="default"/>
      </w:rPr>
    </w:lvl>
    <w:lvl w:ilvl="6" w:tplc="FFFFFFFF">
      <w:start w:val="1"/>
      <w:numFmt w:val="bullet"/>
      <w:lvlText w:val=""/>
      <w:lvlJc w:val="left"/>
      <w:pPr>
        <w:tabs>
          <w:tab w:val="num" w:pos="5760"/>
        </w:tabs>
        <w:ind w:left="5760" w:hanging="360"/>
      </w:pPr>
      <w:rPr>
        <w:rFonts w:ascii="Symbol" w:hAnsi="Symbol" w:cs="Symbol" w:hint="default"/>
      </w:rPr>
    </w:lvl>
    <w:lvl w:ilvl="7" w:tplc="FFFFFFFF">
      <w:start w:val="1"/>
      <w:numFmt w:val="bullet"/>
      <w:lvlText w:val="o"/>
      <w:lvlJc w:val="left"/>
      <w:pPr>
        <w:tabs>
          <w:tab w:val="num" w:pos="6480"/>
        </w:tabs>
        <w:ind w:left="6480" w:hanging="360"/>
      </w:pPr>
      <w:rPr>
        <w:rFonts w:ascii="Courier New" w:hAnsi="Courier New" w:cs="Courier New" w:hint="default"/>
      </w:rPr>
    </w:lvl>
    <w:lvl w:ilvl="8" w:tplc="FFFFFFFF">
      <w:start w:val="1"/>
      <w:numFmt w:val="bullet"/>
      <w:lvlText w:val=""/>
      <w:lvlJc w:val="left"/>
      <w:pPr>
        <w:tabs>
          <w:tab w:val="num" w:pos="7200"/>
        </w:tabs>
        <w:ind w:left="7200" w:hanging="360"/>
      </w:pPr>
      <w:rPr>
        <w:rFonts w:ascii="Wingdings" w:hAnsi="Wingdings" w:cs="Wingdings" w:hint="default"/>
      </w:rPr>
    </w:lvl>
  </w:abstractNum>
  <w:abstractNum w:abstractNumId="294" w15:restartNumberingAfterBreak="0">
    <w:nsid w:val="543C384F"/>
    <w:multiLevelType w:val="multilevel"/>
    <w:tmpl w:val="FFC830A8"/>
    <w:lvl w:ilvl="0">
      <w:start w:val="9"/>
      <w:numFmt w:val="decimal"/>
      <w:lvlText w:val="%1."/>
      <w:lvlJc w:val="left"/>
      <w:pPr>
        <w:ind w:left="644" w:hanging="360"/>
      </w:pPr>
      <w:rPr>
        <w:rFonts w:hint="default"/>
      </w:rPr>
    </w:lvl>
    <w:lvl w:ilvl="1">
      <w:start w:val="2"/>
      <w:numFmt w:val="decimal"/>
      <w:isLgl/>
      <w:lvlText w:val="%1.%2"/>
      <w:lvlJc w:val="left"/>
      <w:pPr>
        <w:ind w:left="1095" w:hanging="375"/>
      </w:pPr>
      <w:rPr>
        <w:rFonts w:hint="default"/>
      </w:rPr>
    </w:lvl>
    <w:lvl w:ilvl="2">
      <w:start w:val="1"/>
      <w:numFmt w:val="decimal"/>
      <w:isLgl/>
      <w:lvlText w:val="%1.%2.%3"/>
      <w:lvlJc w:val="left"/>
      <w:pPr>
        <w:ind w:left="1876" w:hanging="720"/>
      </w:pPr>
      <w:rPr>
        <w:rFonts w:hint="default"/>
      </w:rPr>
    </w:lvl>
    <w:lvl w:ilvl="3">
      <w:start w:val="1"/>
      <w:numFmt w:val="decimal"/>
      <w:isLgl/>
      <w:lvlText w:val="%1.%2.%3.%4"/>
      <w:lvlJc w:val="left"/>
      <w:pPr>
        <w:ind w:left="2672" w:hanging="1080"/>
      </w:pPr>
      <w:rPr>
        <w:rFonts w:hint="default"/>
      </w:rPr>
    </w:lvl>
    <w:lvl w:ilvl="4">
      <w:start w:val="1"/>
      <w:numFmt w:val="decimal"/>
      <w:isLgl/>
      <w:lvlText w:val="%1.%2.%3.%4.%5"/>
      <w:lvlJc w:val="left"/>
      <w:pPr>
        <w:ind w:left="3108" w:hanging="1080"/>
      </w:pPr>
      <w:rPr>
        <w:rFonts w:hint="default"/>
      </w:rPr>
    </w:lvl>
    <w:lvl w:ilvl="5">
      <w:start w:val="1"/>
      <w:numFmt w:val="decimal"/>
      <w:isLgl/>
      <w:lvlText w:val="%1.%2.%3.%4.%5.%6"/>
      <w:lvlJc w:val="left"/>
      <w:pPr>
        <w:ind w:left="3904" w:hanging="1440"/>
      </w:pPr>
      <w:rPr>
        <w:rFonts w:hint="default"/>
      </w:rPr>
    </w:lvl>
    <w:lvl w:ilvl="6">
      <w:start w:val="1"/>
      <w:numFmt w:val="decimal"/>
      <w:isLgl/>
      <w:lvlText w:val="%1.%2.%3.%4.%5.%6.%7"/>
      <w:lvlJc w:val="left"/>
      <w:pPr>
        <w:ind w:left="4340" w:hanging="1440"/>
      </w:pPr>
      <w:rPr>
        <w:rFonts w:hint="default"/>
      </w:rPr>
    </w:lvl>
    <w:lvl w:ilvl="7">
      <w:start w:val="1"/>
      <w:numFmt w:val="decimal"/>
      <w:isLgl/>
      <w:lvlText w:val="%1.%2.%3.%4.%5.%6.%7.%8"/>
      <w:lvlJc w:val="left"/>
      <w:pPr>
        <w:ind w:left="5136" w:hanging="1800"/>
      </w:pPr>
      <w:rPr>
        <w:rFonts w:hint="default"/>
      </w:rPr>
    </w:lvl>
    <w:lvl w:ilvl="8">
      <w:start w:val="1"/>
      <w:numFmt w:val="decimal"/>
      <w:isLgl/>
      <w:lvlText w:val="%1.%2.%3.%4.%5.%6.%7.%8.%9"/>
      <w:lvlJc w:val="left"/>
      <w:pPr>
        <w:ind w:left="5932" w:hanging="2160"/>
      </w:pPr>
      <w:rPr>
        <w:rFonts w:hint="default"/>
      </w:rPr>
    </w:lvl>
  </w:abstractNum>
  <w:abstractNum w:abstractNumId="295" w15:restartNumberingAfterBreak="0">
    <w:nsid w:val="54A16C87"/>
    <w:multiLevelType w:val="hybridMultilevel"/>
    <w:tmpl w:val="AF667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6" w15:restartNumberingAfterBreak="0">
    <w:nsid w:val="54DF444D"/>
    <w:multiLevelType w:val="hybridMultilevel"/>
    <w:tmpl w:val="F432CC26"/>
    <w:lvl w:ilvl="0" w:tplc="881E8A10">
      <w:start w:val="1"/>
      <w:numFmt w:val="bullet"/>
      <w:lvlText w:val=""/>
      <w:lvlJc w:val="left"/>
      <w:pPr>
        <w:ind w:left="360" w:hanging="360"/>
      </w:pPr>
      <w:rPr>
        <w:rFonts w:ascii="Wingdings" w:hAnsi="Wingdings" w:hint="default"/>
        <w:b/>
        <w:i w:val="0"/>
        <w:sz w:val="24"/>
        <w:u w:val="none"/>
      </w:rPr>
    </w:lvl>
    <w:lvl w:ilvl="1" w:tplc="20A6E620" w:tentative="1">
      <w:start w:val="1"/>
      <w:numFmt w:val="bullet"/>
      <w:lvlText w:val="o"/>
      <w:lvlJc w:val="left"/>
      <w:pPr>
        <w:ind w:left="1080" w:hanging="360"/>
      </w:pPr>
      <w:rPr>
        <w:rFonts w:ascii="Courier New" w:hAnsi="Courier New" w:cs="Courier New" w:hint="default"/>
      </w:rPr>
    </w:lvl>
    <w:lvl w:ilvl="2" w:tplc="0F1E3A9E" w:tentative="1">
      <w:start w:val="1"/>
      <w:numFmt w:val="bullet"/>
      <w:lvlText w:val=""/>
      <w:lvlJc w:val="left"/>
      <w:pPr>
        <w:ind w:left="1800" w:hanging="360"/>
      </w:pPr>
      <w:rPr>
        <w:rFonts w:ascii="Wingdings" w:hAnsi="Wingdings" w:hint="default"/>
      </w:rPr>
    </w:lvl>
    <w:lvl w:ilvl="3" w:tplc="4B021978" w:tentative="1">
      <w:start w:val="1"/>
      <w:numFmt w:val="bullet"/>
      <w:lvlText w:val=""/>
      <w:lvlJc w:val="left"/>
      <w:pPr>
        <w:ind w:left="2520" w:hanging="360"/>
      </w:pPr>
      <w:rPr>
        <w:rFonts w:ascii="Symbol" w:hAnsi="Symbol" w:hint="default"/>
      </w:rPr>
    </w:lvl>
    <w:lvl w:ilvl="4" w:tplc="800A9DDC" w:tentative="1">
      <w:start w:val="1"/>
      <w:numFmt w:val="bullet"/>
      <w:lvlText w:val="o"/>
      <w:lvlJc w:val="left"/>
      <w:pPr>
        <w:ind w:left="3240" w:hanging="360"/>
      </w:pPr>
      <w:rPr>
        <w:rFonts w:ascii="Courier New" w:hAnsi="Courier New" w:cs="Courier New" w:hint="default"/>
      </w:rPr>
    </w:lvl>
    <w:lvl w:ilvl="5" w:tplc="9DCE7CB0" w:tentative="1">
      <w:start w:val="1"/>
      <w:numFmt w:val="bullet"/>
      <w:lvlText w:val=""/>
      <w:lvlJc w:val="left"/>
      <w:pPr>
        <w:ind w:left="3960" w:hanging="360"/>
      </w:pPr>
      <w:rPr>
        <w:rFonts w:ascii="Wingdings" w:hAnsi="Wingdings" w:hint="default"/>
      </w:rPr>
    </w:lvl>
    <w:lvl w:ilvl="6" w:tplc="E800C482" w:tentative="1">
      <w:start w:val="1"/>
      <w:numFmt w:val="bullet"/>
      <w:lvlText w:val=""/>
      <w:lvlJc w:val="left"/>
      <w:pPr>
        <w:ind w:left="4680" w:hanging="360"/>
      </w:pPr>
      <w:rPr>
        <w:rFonts w:ascii="Symbol" w:hAnsi="Symbol" w:hint="default"/>
      </w:rPr>
    </w:lvl>
    <w:lvl w:ilvl="7" w:tplc="3AF066FC" w:tentative="1">
      <w:start w:val="1"/>
      <w:numFmt w:val="bullet"/>
      <w:lvlText w:val="o"/>
      <w:lvlJc w:val="left"/>
      <w:pPr>
        <w:ind w:left="5400" w:hanging="360"/>
      </w:pPr>
      <w:rPr>
        <w:rFonts w:ascii="Courier New" w:hAnsi="Courier New" w:cs="Courier New" w:hint="default"/>
      </w:rPr>
    </w:lvl>
    <w:lvl w:ilvl="8" w:tplc="688C5AD6" w:tentative="1">
      <w:start w:val="1"/>
      <w:numFmt w:val="bullet"/>
      <w:lvlText w:val=""/>
      <w:lvlJc w:val="left"/>
      <w:pPr>
        <w:ind w:left="6120" w:hanging="360"/>
      </w:pPr>
      <w:rPr>
        <w:rFonts w:ascii="Wingdings" w:hAnsi="Wingdings" w:hint="default"/>
      </w:rPr>
    </w:lvl>
  </w:abstractNum>
  <w:abstractNum w:abstractNumId="297" w15:restartNumberingAfterBreak="0">
    <w:nsid w:val="55240B92"/>
    <w:multiLevelType w:val="multilevel"/>
    <w:tmpl w:val="01C8C82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98" w15:restartNumberingAfterBreak="0">
    <w:nsid w:val="55711796"/>
    <w:multiLevelType w:val="hybridMultilevel"/>
    <w:tmpl w:val="25024650"/>
    <w:lvl w:ilvl="0" w:tplc="D72A1FE2">
      <w:start w:val="1"/>
      <w:numFmt w:val="bullet"/>
      <w:lvlText w:val="•"/>
      <w:lvlJc w:val="left"/>
      <w:pPr>
        <w:tabs>
          <w:tab w:val="num" w:pos="720"/>
        </w:tabs>
        <w:ind w:left="720" w:hanging="360"/>
      </w:pPr>
      <w:rPr>
        <w:rFonts w:ascii="Arial" w:hAnsi="Arial" w:hint="default"/>
      </w:rPr>
    </w:lvl>
    <w:lvl w:ilvl="1" w:tplc="A9A21BB8" w:tentative="1">
      <w:start w:val="1"/>
      <w:numFmt w:val="bullet"/>
      <w:lvlText w:val="•"/>
      <w:lvlJc w:val="left"/>
      <w:pPr>
        <w:tabs>
          <w:tab w:val="num" w:pos="1440"/>
        </w:tabs>
        <w:ind w:left="1440" w:hanging="360"/>
      </w:pPr>
      <w:rPr>
        <w:rFonts w:ascii="Arial" w:hAnsi="Arial" w:hint="default"/>
      </w:rPr>
    </w:lvl>
    <w:lvl w:ilvl="2" w:tplc="B1C6AD68" w:tentative="1">
      <w:start w:val="1"/>
      <w:numFmt w:val="bullet"/>
      <w:lvlText w:val="•"/>
      <w:lvlJc w:val="left"/>
      <w:pPr>
        <w:tabs>
          <w:tab w:val="num" w:pos="2160"/>
        </w:tabs>
        <w:ind w:left="2160" w:hanging="360"/>
      </w:pPr>
      <w:rPr>
        <w:rFonts w:ascii="Arial" w:hAnsi="Arial" w:hint="default"/>
      </w:rPr>
    </w:lvl>
    <w:lvl w:ilvl="3" w:tplc="0EB48B14" w:tentative="1">
      <w:start w:val="1"/>
      <w:numFmt w:val="bullet"/>
      <w:lvlText w:val="•"/>
      <w:lvlJc w:val="left"/>
      <w:pPr>
        <w:tabs>
          <w:tab w:val="num" w:pos="2880"/>
        </w:tabs>
        <w:ind w:left="2880" w:hanging="360"/>
      </w:pPr>
      <w:rPr>
        <w:rFonts w:ascii="Arial" w:hAnsi="Arial" w:hint="default"/>
      </w:rPr>
    </w:lvl>
    <w:lvl w:ilvl="4" w:tplc="FC8AF0A6" w:tentative="1">
      <w:start w:val="1"/>
      <w:numFmt w:val="bullet"/>
      <w:lvlText w:val="•"/>
      <w:lvlJc w:val="left"/>
      <w:pPr>
        <w:tabs>
          <w:tab w:val="num" w:pos="3600"/>
        </w:tabs>
        <w:ind w:left="3600" w:hanging="360"/>
      </w:pPr>
      <w:rPr>
        <w:rFonts w:ascii="Arial" w:hAnsi="Arial" w:hint="default"/>
      </w:rPr>
    </w:lvl>
    <w:lvl w:ilvl="5" w:tplc="A4B66AD8" w:tentative="1">
      <w:start w:val="1"/>
      <w:numFmt w:val="bullet"/>
      <w:lvlText w:val="•"/>
      <w:lvlJc w:val="left"/>
      <w:pPr>
        <w:tabs>
          <w:tab w:val="num" w:pos="4320"/>
        </w:tabs>
        <w:ind w:left="4320" w:hanging="360"/>
      </w:pPr>
      <w:rPr>
        <w:rFonts w:ascii="Arial" w:hAnsi="Arial" w:hint="default"/>
      </w:rPr>
    </w:lvl>
    <w:lvl w:ilvl="6" w:tplc="69CE6F3C" w:tentative="1">
      <w:start w:val="1"/>
      <w:numFmt w:val="bullet"/>
      <w:lvlText w:val="•"/>
      <w:lvlJc w:val="left"/>
      <w:pPr>
        <w:tabs>
          <w:tab w:val="num" w:pos="5040"/>
        </w:tabs>
        <w:ind w:left="5040" w:hanging="360"/>
      </w:pPr>
      <w:rPr>
        <w:rFonts w:ascii="Arial" w:hAnsi="Arial" w:hint="default"/>
      </w:rPr>
    </w:lvl>
    <w:lvl w:ilvl="7" w:tplc="C31A2D80" w:tentative="1">
      <w:start w:val="1"/>
      <w:numFmt w:val="bullet"/>
      <w:lvlText w:val="•"/>
      <w:lvlJc w:val="left"/>
      <w:pPr>
        <w:tabs>
          <w:tab w:val="num" w:pos="5760"/>
        </w:tabs>
        <w:ind w:left="5760" w:hanging="360"/>
      </w:pPr>
      <w:rPr>
        <w:rFonts w:ascii="Arial" w:hAnsi="Arial" w:hint="default"/>
      </w:rPr>
    </w:lvl>
    <w:lvl w:ilvl="8" w:tplc="EED4C8EE" w:tentative="1">
      <w:start w:val="1"/>
      <w:numFmt w:val="bullet"/>
      <w:lvlText w:val="•"/>
      <w:lvlJc w:val="left"/>
      <w:pPr>
        <w:tabs>
          <w:tab w:val="num" w:pos="6480"/>
        </w:tabs>
        <w:ind w:left="6480" w:hanging="360"/>
      </w:pPr>
      <w:rPr>
        <w:rFonts w:ascii="Arial" w:hAnsi="Arial" w:hint="default"/>
      </w:rPr>
    </w:lvl>
  </w:abstractNum>
  <w:abstractNum w:abstractNumId="299" w15:restartNumberingAfterBreak="0">
    <w:nsid w:val="56251392"/>
    <w:multiLevelType w:val="hybridMultilevel"/>
    <w:tmpl w:val="DCE245C0"/>
    <w:lvl w:ilvl="0" w:tplc="3170F8C0">
      <w:start w:val="6"/>
      <w:numFmt w:val="bullet"/>
      <w:lvlText w:val="-"/>
      <w:lvlJc w:val="left"/>
      <w:pPr>
        <w:ind w:left="720" w:hanging="360"/>
      </w:pPr>
      <w:rPr>
        <w:rFonts w:ascii="Cambria" w:eastAsiaTheme="minorHAnsi" w:hAnsi="Cambria" w:cs="Times New Roman" w:hint="default"/>
      </w:rPr>
    </w:lvl>
    <w:lvl w:ilvl="1" w:tplc="8A96394C" w:tentative="1">
      <w:start w:val="1"/>
      <w:numFmt w:val="bullet"/>
      <w:lvlText w:val="o"/>
      <w:lvlJc w:val="left"/>
      <w:pPr>
        <w:ind w:left="1440" w:hanging="360"/>
      </w:pPr>
      <w:rPr>
        <w:rFonts w:ascii="Courier New" w:hAnsi="Courier New" w:cs="Courier New" w:hint="default"/>
      </w:rPr>
    </w:lvl>
    <w:lvl w:ilvl="2" w:tplc="8856EB5C" w:tentative="1">
      <w:start w:val="1"/>
      <w:numFmt w:val="bullet"/>
      <w:lvlText w:val=""/>
      <w:lvlJc w:val="left"/>
      <w:pPr>
        <w:ind w:left="2160" w:hanging="360"/>
      </w:pPr>
      <w:rPr>
        <w:rFonts w:ascii="Wingdings" w:hAnsi="Wingdings" w:hint="default"/>
      </w:rPr>
    </w:lvl>
    <w:lvl w:ilvl="3" w:tplc="F12825F6" w:tentative="1">
      <w:start w:val="1"/>
      <w:numFmt w:val="bullet"/>
      <w:lvlText w:val=""/>
      <w:lvlJc w:val="left"/>
      <w:pPr>
        <w:ind w:left="2880" w:hanging="360"/>
      </w:pPr>
      <w:rPr>
        <w:rFonts w:ascii="Symbol" w:hAnsi="Symbol" w:hint="default"/>
      </w:rPr>
    </w:lvl>
    <w:lvl w:ilvl="4" w:tplc="ACBADC84" w:tentative="1">
      <w:start w:val="1"/>
      <w:numFmt w:val="bullet"/>
      <w:lvlText w:val="o"/>
      <w:lvlJc w:val="left"/>
      <w:pPr>
        <w:ind w:left="3600" w:hanging="360"/>
      </w:pPr>
      <w:rPr>
        <w:rFonts w:ascii="Courier New" w:hAnsi="Courier New" w:cs="Courier New" w:hint="default"/>
      </w:rPr>
    </w:lvl>
    <w:lvl w:ilvl="5" w:tplc="2D348F16" w:tentative="1">
      <w:start w:val="1"/>
      <w:numFmt w:val="bullet"/>
      <w:lvlText w:val=""/>
      <w:lvlJc w:val="left"/>
      <w:pPr>
        <w:ind w:left="4320" w:hanging="360"/>
      </w:pPr>
      <w:rPr>
        <w:rFonts w:ascii="Wingdings" w:hAnsi="Wingdings" w:hint="default"/>
      </w:rPr>
    </w:lvl>
    <w:lvl w:ilvl="6" w:tplc="D424E130" w:tentative="1">
      <w:start w:val="1"/>
      <w:numFmt w:val="bullet"/>
      <w:lvlText w:val=""/>
      <w:lvlJc w:val="left"/>
      <w:pPr>
        <w:ind w:left="5040" w:hanging="360"/>
      </w:pPr>
      <w:rPr>
        <w:rFonts w:ascii="Symbol" w:hAnsi="Symbol" w:hint="default"/>
      </w:rPr>
    </w:lvl>
    <w:lvl w:ilvl="7" w:tplc="9AFAECB6" w:tentative="1">
      <w:start w:val="1"/>
      <w:numFmt w:val="bullet"/>
      <w:lvlText w:val="o"/>
      <w:lvlJc w:val="left"/>
      <w:pPr>
        <w:ind w:left="5760" w:hanging="360"/>
      </w:pPr>
      <w:rPr>
        <w:rFonts w:ascii="Courier New" w:hAnsi="Courier New" w:cs="Courier New" w:hint="default"/>
      </w:rPr>
    </w:lvl>
    <w:lvl w:ilvl="8" w:tplc="A394E4B0" w:tentative="1">
      <w:start w:val="1"/>
      <w:numFmt w:val="bullet"/>
      <w:lvlText w:val=""/>
      <w:lvlJc w:val="left"/>
      <w:pPr>
        <w:ind w:left="6480" w:hanging="360"/>
      </w:pPr>
      <w:rPr>
        <w:rFonts w:ascii="Wingdings" w:hAnsi="Wingdings" w:hint="default"/>
      </w:rPr>
    </w:lvl>
  </w:abstractNum>
  <w:abstractNum w:abstractNumId="300" w15:restartNumberingAfterBreak="0">
    <w:nsid w:val="56414373"/>
    <w:multiLevelType w:val="hybridMultilevel"/>
    <w:tmpl w:val="9272C3B4"/>
    <w:lvl w:ilvl="0" w:tplc="C15A4020">
      <w:numFmt w:val="decimal"/>
      <w:lvlText w:val="%1"/>
      <w:lvlJc w:val="left"/>
      <w:pPr>
        <w:ind w:left="1440" w:hanging="360"/>
      </w:p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301" w15:restartNumberingAfterBreak="0">
    <w:nsid w:val="56512F8E"/>
    <w:multiLevelType w:val="multilevel"/>
    <w:tmpl w:val="56512F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2" w15:restartNumberingAfterBreak="0">
    <w:nsid w:val="5670521E"/>
    <w:multiLevelType w:val="hybridMultilevel"/>
    <w:tmpl w:val="09E84CE2"/>
    <w:lvl w:ilvl="0" w:tplc="00000002">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3" w15:restartNumberingAfterBreak="0">
    <w:nsid w:val="56A53F04"/>
    <w:multiLevelType w:val="hybridMultilevel"/>
    <w:tmpl w:val="2B582E94"/>
    <w:lvl w:ilvl="0" w:tplc="5B4AB296">
      <w:start w:val="1"/>
      <w:numFmt w:val="decimal"/>
      <w:lvlText w:val="%1."/>
      <w:lvlJc w:val="left"/>
      <w:pPr>
        <w:tabs>
          <w:tab w:val="num" w:pos="0"/>
        </w:tabs>
        <w:ind w:left="0" w:hanging="360"/>
      </w:pPr>
      <w:rPr>
        <w:rFonts w:hint="default"/>
        <w:b w:val="0"/>
        <w:bCs w:val="0"/>
        <w:u w:val="none"/>
      </w:rPr>
    </w:lvl>
    <w:lvl w:ilvl="1" w:tplc="04020019">
      <w:start w:val="1"/>
      <w:numFmt w:val="lowerLetter"/>
      <w:lvlText w:val="%2."/>
      <w:lvlJc w:val="left"/>
      <w:pPr>
        <w:tabs>
          <w:tab w:val="num" w:pos="720"/>
        </w:tabs>
        <w:ind w:left="720" w:hanging="360"/>
      </w:pPr>
    </w:lvl>
    <w:lvl w:ilvl="2" w:tplc="0402001B">
      <w:start w:val="1"/>
      <w:numFmt w:val="lowerRoman"/>
      <w:lvlText w:val="%3."/>
      <w:lvlJc w:val="right"/>
      <w:pPr>
        <w:tabs>
          <w:tab w:val="num" w:pos="1440"/>
        </w:tabs>
        <w:ind w:left="1440" w:hanging="180"/>
      </w:pPr>
    </w:lvl>
    <w:lvl w:ilvl="3" w:tplc="0402000F">
      <w:start w:val="1"/>
      <w:numFmt w:val="decimal"/>
      <w:lvlText w:val="%4."/>
      <w:lvlJc w:val="left"/>
      <w:pPr>
        <w:tabs>
          <w:tab w:val="num" w:pos="2160"/>
        </w:tabs>
        <w:ind w:left="2160" w:hanging="360"/>
      </w:pPr>
    </w:lvl>
    <w:lvl w:ilvl="4" w:tplc="04020019">
      <w:start w:val="1"/>
      <w:numFmt w:val="lowerLetter"/>
      <w:lvlText w:val="%5."/>
      <w:lvlJc w:val="left"/>
      <w:pPr>
        <w:tabs>
          <w:tab w:val="num" w:pos="2880"/>
        </w:tabs>
        <w:ind w:left="2880" w:hanging="360"/>
      </w:pPr>
    </w:lvl>
    <w:lvl w:ilvl="5" w:tplc="0402001B">
      <w:start w:val="1"/>
      <w:numFmt w:val="lowerRoman"/>
      <w:lvlText w:val="%6."/>
      <w:lvlJc w:val="right"/>
      <w:pPr>
        <w:tabs>
          <w:tab w:val="num" w:pos="3600"/>
        </w:tabs>
        <w:ind w:left="3600" w:hanging="180"/>
      </w:pPr>
    </w:lvl>
    <w:lvl w:ilvl="6" w:tplc="0402000F">
      <w:start w:val="1"/>
      <w:numFmt w:val="decimal"/>
      <w:lvlText w:val="%7."/>
      <w:lvlJc w:val="left"/>
      <w:pPr>
        <w:tabs>
          <w:tab w:val="num" w:pos="4320"/>
        </w:tabs>
        <w:ind w:left="4320" w:hanging="360"/>
      </w:pPr>
    </w:lvl>
    <w:lvl w:ilvl="7" w:tplc="04020019">
      <w:start w:val="1"/>
      <w:numFmt w:val="lowerLetter"/>
      <w:lvlText w:val="%8."/>
      <w:lvlJc w:val="left"/>
      <w:pPr>
        <w:tabs>
          <w:tab w:val="num" w:pos="5040"/>
        </w:tabs>
        <w:ind w:left="5040" w:hanging="360"/>
      </w:pPr>
    </w:lvl>
    <w:lvl w:ilvl="8" w:tplc="0402001B">
      <w:start w:val="1"/>
      <w:numFmt w:val="lowerRoman"/>
      <w:lvlText w:val="%9."/>
      <w:lvlJc w:val="right"/>
      <w:pPr>
        <w:tabs>
          <w:tab w:val="num" w:pos="5760"/>
        </w:tabs>
        <w:ind w:left="5760" w:hanging="180"/>
      </w:pPr>
    </w:lvl>
  </w:abstractNum>
  <w:abstractNum w:abstractNumId="304" w15:restartNumberingAfterBreak="0">
    <w:nsid w:val="56EB302E"/>
    <w:multiLevelType w:val="hybridMultilevel"/>
    <w:tmpl w:val="19BA3AE8"/>
    <w:lvl w:ilvl="0" w:tplc="B34872E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5" w15:restartNumberingAfterBreak="0">
    <w:nsid w:val="57162C6A"/>
    <w:multiLevelType w:val="hybridMultilevel"/>
    <w:tmpl w:val="4DF2956A"/>
    <w:lvl w:ilvl="0" w:tplc="04020013">
      <w:start w:val="108"/>
      <w:numFmt w:val="bullet"/>
      <w:lvlText w:val="–"/>
      <w:lvlJc w:val="left"/>
      <w:pPr>
        <w:ind w:left="720" w:hanging="360"/>
      </w:pPr>
      <w:rPr>
        <w:rFonts w:ascii="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6" w15:restartNumberingAfterBreak="0">
    <w:nsid w:val="5821321A"/>
    <w:multiLevelType w:val="hybridMultilevel"/>
    <w:tmpl w:val="DD3A8DA8"/>
    <w:lvl w:ilvl="0" w:tplc="04020001">
      <w:start w:val="1"/>
      <w:numFmt w:val="bullet"/>
      <w:lvlText w:val=""/>
      <w:lvlJc w:val="left"/>
      <w:pPr>
        <w:ind w:left="436" w:hanging="360"/>
      </w:pPr>
      <w:rPr>
        <w:rFonts w:ascii="Symbol" w:hAnsi="Symbol" w:hint="default"/>
      </w:rPr>
    </w:lvl>
    <w:lvl w:ilvl="1" w:tplc="04020003">
      <w:start w:val="1"/>
      <w:numFmt w:val="bullet"/>
      <w:lvlText w:val="o"/>
      <w:lvlJc w:val="left"/>
      <w:pPr>
        <w:ind w:left="1156" w:hanging="360"/>
      </w:pPr>
      <w:rPr>
        <w:rFonts w:ascii="Courier New" w:hAnsi="Courier New" w:hint="default"/>
      </w:rPr>
    </w:lvl>
    <w:lvl w:ilvl="2" w:tplc="04020005" w:tentative="1">
      <w:start w:val="1"/>
      <w:numFmt w:val="bullet"/>
      <w:lvlText w:val=""/>
      <w:lvlJc w:val="left"/>
      <w:pPr>
        <w:ind w:left="1876" w:hanging="360"/>
      </w:pPr>
      <w:rPr>
        <w:rFonts w:ascii="Wingdings" w:hAnsi="Wingdings" w:hint="default"/>
      </w:rPr>
    </w:lvl>
    <w:lvl w:ilvl="3" w:tplc="04020001" w:tentative="1">
      <w:start w:val="1"/>
      <w:numFmt w:val="bullet"/>
      <w:lvlText w:val=""/>
      <w:lvlJc w:val="left"/>
      <w:pPr>
        <w:ind w:left="2596" w:hanging="360"/>
      </w:pPr>
      <w:rPr>
        <w:rFonts w:ascii="Symbol" w:hAnsi="Symbol" w:hint="default"/>
      </w:rPr>
    </w:lvl>
    <w:lvl w:ilvl="4" w:tplc="04020003" w:tentative="1">
      <w:start w:val="1"/>
      <w:numFmt w:val="bullet"/>
      <w:lvlText w:val="o"/>
      <w:lvlJc w:val="left"/>
      <w:pPr>
        <w:ind w:left="3316" w:hanging="360"/>
      </w:pPr>
      <w:rPr>
        <w:rFonts w:ascii="Courier New" w:hAnsi="Courier New" w:hint="default"/>
      </w:rPr>
    </w:lvl>
    <w:lvl w:ilvl="5" w:tplc="04020005" w:tentative="1">
      <w:start w:val="1"/>
      <w:numFmt w:val="bullet"/>
      <w:lvlText w:val=""/>
      <w:lvlJc w:val="left"/>
      <w:pPr>
        <w:ind w:left="4036" w:hanging="360"/>
      </w:pPr>
      <w:rPr>
        <w:rFonts w:ascii="Wingdings" w:hAnsi="Wingdings" w:hint="default"/>
      </w:rPr>
    </w:lvl>
    <w:lvl w:ilvl="6" w:tplc="04020001" w:tentative="1">
      <w:start w:val="1"/>
      <w:numFmt w:val="bullet"/>
      <w:lvlText w:val=""/>
      <w:lvlJc w:val="left"/>
      <w:pPr>
        <w:ind w:left="4756" w:hanging="360"/>
      </w:pPr>
      <w:rPr>
        <w:rFonts w:ascii="Symbol" w:hAnsi="Symbol" w:hint="default"/>
      </w:rPr>
    </w:lvl>
    <w:lvl w:ilvl="7" w:tplc="04020003" w:tentative="1">
      <w:start w:val="1"/>
      <w:numFmt w:val="bullet"/>
      <w:lvlText w:val="o"/>
      <w:lvlJc w:val="left"/>
      <w:pPr>
        <w:ind w:left="5476" w:hanging="360"/>
      </w:pPr>
      <w:rPr>
        <w:rFonts w:ascii="Courier New" w:hAnsi="Courier New" w:hint="default"/>
      </w:rPr>
    </w:lvl>
    <w:lvl w:ilvl="8" w:tplc="04020005" w:tentative="1">
      <w:start w:val="1"/>
      <w:numFmt w:val="bullet"/>
      <w:lvlText w:val=""/>
      <w:lvlJc w:val="left"/>
      <w:pPr>
        <w:ind w:left="6196" w:hanging="360"/>
      </w:pPr>
      <w:rPr>
        <w:rFonts w:ascii="Wingdings" w:hAnsi="Wingdings" w:hint="default"/>
      </w:rPr>
    </w:lvl>
  </w:abstractNum>
  <w:abstractNum w:abstractNumId="307" w15:restartNumberingAfterBreak="0">
    <w:nsid w:val="584C308F"/>
    <w:multiLevelType w:val="hybridMultilevel"/>
    <w:tmpl w:val="1C6017FC"/>
    <w:lvl w:ilvl="0" w:tplc="FFFFFFFF">
      <w:start w:val="1"/>
      <w:numFmt w:val="bullet"/>
      <w:lvlText w:val=""/>
      <w:lvlJc w:val="left"/>
      <w:pPr>
        <w:tabs>
          <w:tab w:val="num" w:pos="1440"/>
        </w:tabs>
        <w:ind w:left="1440" w:hanging="360"/>
      </w:pPr>
      <w:rPr>
        <w:rFonts w:ascii="Symbol" w:hAnsi="Symbol" w:cs="Symbol"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start w:val="1"/>
      <w:numFmt w:val="bullet"/>
      <w:lvlText w:val=""/>
      <w:lvlJc w:val="left"/>
      <w:pPr>
        <w:tabs>
          <w:tab w:val="num" w:pos="2880"/>
        </w:tabs>
        <w:ind w:left="2880" w:hanging="360"/>
      </w:pPr>
      <w:rPr>
        <w:rFonts w:ascii="Wingdings" w:hAnsi="Wingdings" w:cs="Wingdings" w:hint="default"/>
      </w:rPr>
    </w:lvl>
    <w:lvl w:ilvl="3" w:tplc="FFFFFFFF">
      <w:start w:val="1"/>
      <w:numFmt w:val="bullet"/>
      <w:lvlText w:val=""/>
      <w:lvlJc w:val="left"/>
      <w:pPr>
        <w:tabs>
          <w:tab w:val="num" w:pos="3600"/>
        </w:tabs>
        <w:ind w:left="3600" w:hanging="360"/>
      </w:pPr>
      <w:rPr>
        <w:rFonts w:ascii="Symbol" w:hAnsi="Symbol" w:cs="Symbol" w:hint="default"/>
      </w:rPr>
    </w:lvl>
    <w:lvl w:ilvl="4" w:tplc="FFFFFFFF">
      <w:start w:val="1"/>
      <w:numFmt w:val="bullet"/>
      <w:lvlText w:val="o"/>
      <w:lvlJc w:val="left"/>
      <w:pPr>
        <w:tabs>
          <w:tab w:val="num" w:pos="4320"/>
        </w:tabs>
        <w:ind w:left="4320" w:hanging="360"/>
      </w:pPr>
      <w:rPr>
        <w:rFonts w:ascii="Courier New" w:hAnsi="Courier New" w:cs="Courier New" w:hint="default"/>
      </w:rPr>
    </w:lvl>
    <w:lvl w:ilvl="5" w:tplc="FFFFFFFF">
      <w:start w:val="1"/>
      <w:numFmt w:val="bullet"/>
      <w:lvlText w:val=""/>
      <w:lvlJc w:val="left"/>
      <w:pPr>
        <w:tabs>
          <w:tab w:val="num" w:pos="5040"/>
        </w:tabs>
        <w:ind w:left="5040" w:hanging="360"/>
      </w:pPr>
      <w:rPr>
        <w:rFonts w:ascii="Wingdings" w:hAnsi="Wingdings" w:cs="Wingdings" w:hint="default"/>
      </w:rPr>
    </w:lvl>
    <w:lvl w:ilvl="6" w:tplc="FFFFFFFF">
      <w:start w:val="1"/>
      <w:numFmt w:val="bullet"/>
      <w:lvlText w:val=""/>
      <w:lvlJc w:val="left"/>
      <w:pPr>
        <w:tabs>
          <w:tab w:val="num" w:pos="5760"/>
        </w:tabs>
        <w:ind w:left="5760" w:hanging="360"/>
      </w:pPr>
      <w:rPr>
        <w:rFonts w:ascii="Symbol" w:hAnsi="Symbol" w:cs="Symbol" w:hint="default"/>
      </w:rPr>
    </w:lvl>
    <w:lvl w:ilvl="7" w:tplc="FFFFFFFF">
      <w:start w:val="1"/>
      <w:numFmt w:val="bullet"/>
      <w:lvlText w:val="o"/>
      <w:lvlJc w:val="left"/>
      <w:pPr>
        <w:tabs>
          <w:tab w:val="num" w:pos="6480"/>
        </w:tabs>
        <w:ind w:left="6480" w:hanging="360"/>
      </w:pPr>
      <w:rPr>
        <w:rFonts w:ascii="Courier New" w:hAnsi="Courier New" w:cs="Courier New" w:hint="default"/>
      </w:rPr>
    </w:lvl>
    <w:lvl w:ilvl="8" w:tplc="FFFFFFFF">
      <w:start w:val="1"/>
      <w:numFmt w:val="bullet"/>
      <w:lvlText w:val=""/>
      <w:lvlJc w:val="left"/>
      <w:pPr>
        <w:tabs>
          <w:tab w:val="num" w:pos="7200"/>
        </w:tabs>
        <w:ind w:left="7200" w:hanging="360"/>
      </w:pPr>
      <w:rPr>
        <w:rFonts w:ascii="Wingdings" w:hAnsi="Wingdings" w:cs="Wingdings" w:hint="default"/>
      </w:rPr>
    </w:lvl>
  </w:abstractNum>
  <w:abstractNum w:abstractNumId="308" w15:restartNumberingAfterBreak="0">
    <w:nsid w:val="586A22DE"/>
    <w:multiLevelType w:val="hybridMultilevel"/>
    <w:tmpl w:val="B47A2BA0"/>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309" w15:restartNumberingAfterBreak="0">
    <w:nsid w:val="590D0ECD"/>
    <w:multiLevelType w:val="hybridMultilevel"/>
    <w:tmpl w:val="FA1ED6D4"/>
    <w:lvl w:ilvl="0" w:tplc="C33437B2">
      <w:start w:val="1"/>
      <w:numFmt w:val="bullet"/>
      <w:lvlText w:val=""/>
      <w:lvlJc w:val="left"/>
      <w:pPr>
        <w:ind w:left="720" w:hanging="360"/>
      </w:pPr>
      <w:rPr>
        <w:rFonts w:ascii="Symbol" w:hAnsi="Symbol" w:hint="default"/>
      </w:rPr>
    </w:lvl>
    <w:lvl w:ilvl="1" w:tplc="11DEF450" w:tentative="1">
      <w:start w:val="1"/>
      <w:numFmt w:val="bullet"/>
      <w:lvlText w:val="o"/>
      <w:lvlJc w:val="left"/>
      <w:pPr>
        <w:ind w:left="1440" w:hanging="360"/>
      </w:pPr>
      <w:rPr>
        <w:rFonts w:ascii="Courier New" w:hAnsi="Courier New" w:cs="Courier New" w:hint="default"/>
      </w:rPr>
    </w:lvl>
    <w:lvl w:ilvl="2" w:tplc="654C6A44" w:tentative="1">
      <w:start w:val="1"/>
      <w:numFmt w:val="bullet"/>
      <w:lvlText w:val=""/>
      <w:lvlJc w:val="left"/>
      <w:pPr>
        <w:ind w:left="2160" w:hanging="360"/>
      </w:pPr>
      <w:rPr>
        <w:rFonts w:ascii="Wingdings" w:hAnsi="Wingdings" w:hint="default"/>
      </w:rPr>
    </w:lvl>
    <w:lvl w:ilvl="3" w:tplc="485427EE" w:tentative="1">
      <w:start w:val="1"/>
      <w:numFmt w:val="bullet"/>
      <w:lvlText w:val=""/>
      <w:lvlJc w:val="left"/>
      <w:pPr>
        <w:ind w:left="2880" w:hanging="360"/>
      </w:pPr>
      <w:rPr>
        <w:rFonts w:ascii="Symbol" w:hAnsi="Symbol" w:hint="default"/>
      </w:rPr>
    </w:lvl>
    <w:lvl w:ilvl="4" w:tplc="4BE88C16" w:tentative="1">
      <w:start w:val="1"/>
      <w:numFmt w:val="bullet"/>
      <w:lvlText w:val="o"/>
      <w:lvlJc w:val="left"/>
      <w:pPr>
        <w:ind w:left="3600" w:hanging="360"/>
      </w:pPr>
      <w:rPr>
        <w:rFonts w:ascii="Courier New" w:hAnsi="Courier New" w:cs="Courier New" w:hint="default"/>
      </w:rPr>
    </w:lvl>
    <w:lvl w:ilvl="5" w:tplc="C41E3072" w:tentative="1">
      <w:start w:val="1"/>
      <w:numFmt w:val="bullet"/>
      <w:lvlText w:val=""/>
      <w:lvlJc w:val="left"/>
      <w:pPr>
        <w:ind w:left="4320" w:hanging="360"/>
      </w:pPr>
      <w:rPr>
        <w:rFonts w:ascii="Wingdings" w:hAnsi="Wingdings" w:hint="default"/>
      </w:rPr>
    </w:lvl>
    <w:lvl w:ilvl="6" w:tplc="FD509B2A" w:tentative="1">
      <w:start w:val="1"/>
      <w:numFmt w:val="bullet"/>
      <w:lvlText w:val=""/>
      <w:lvlJc w:val="left"/>
      <w:pPr>
        <w:ind w:left="5040" w:hanging="360"/>
      </w:pPr>
      <w:rPr>
        <w:rFonts w:ascii="Symbol" w:hAnsi="Symbol" w:hint="default"/>
      </w:rPr>
    </w:lvl>
    <w:lvl w:ilvl="7" w:tplc="0D9A4C5A" w:tentative="1">
      <w:start w:val="1"/>
      <w:numFmt w:val="bullet"/>
      <w:lvlText w:val="o"/>
      <w:lvlJc w:val="left"/>
      <w:pPr>
        <w:ind w:left="5760" w:hanging="360"/>
      </w:pPr>
      <w:rPr>
        <w:rFonts w:ascii="Courier New" w:hAnsi="Courier New" w:cs="Courier New" w:hint="default"/>
      </w:rPr>
    </w:lvl>
    <w:lvl w:ilvl="8" w:tplc="92CE542C" w:tentative="1">
      <w:start w:val="1"/>
      <w:numFmt w:val="bullet"/>
      <w:lvlText w:val=""/>
      <w:lvlJc w:val="left"/>
      <w:pPr>
        <w:ind w:left="6480" w:hanging="360"/>
      </w:pPr>
      <w:rPr>
        <w:rFonts w:ascii="Wingdings" w:hAnsi="Wingdings" w:hint="default"/>
      </w:rPr>
    </w:lvl>
  </w:abstractNum>
  <w:abstractNum w:abstractNumId="310" w15:restartNumberingAfterBreak="0">
    <w:nsid w:val="59445862"/>
    <w:multiLevelType w:val="hybridMultilevel"/>
    <w:tmpl w:val="01A0B6CA"/>
    <w:lvl w:ilvl="0" w:tplc="04020001">
      <w:start w:val="1"/>
      <w:numFmt w:val="bullet"/>
      <w:lvlText w:val=""/>
      <w:lvlJc w:val="left"/>
      <w:pPr>
        <w:ind w:left="436" w:hanging="360"/>
      </w:pPr>
      <w:rPr>
        <w:rFonts w:ascii="Symbol" w:hAnsi="Symbol" w:hint="default"/>
      </w:rPr>
    </w:lvl>
    <w:lvl w:ilvl="1" w:tplc="04020003" w:tentative="1">
      <w:start w:val="1"/>
      <w:numFmt w:val="bullet"/>
      <w:lvlText w:val="o"/>
      <w:lvlJc w:val="left"/>
      <w:pPr>
        <w:ind w:left="1156" w:hanging="360"/>
      </w:pPr>
      <w:rPr>
        <w:rFonts w:ascii="Courier New" w:hAnsi="Courier New" w:hint="default"/>
      </w:rPr>
    </w:lvl>
    <w:lvl w:ilvl="2" w:tplc="04020005" w:tentative="1">
      <w:start w:val="1"/>
      <w:numFmt w:val="bullet"/>
      <w:lvlText w:val=""/>
      <w:lvlJc w:val="left"/>
      <w:pPr>
        <w:ind w:left="1876" w:hanging="360"/>
      </w:pPr>
      <w:rPr>
        <w:rFonts w:ascii="Wingdings" w:hAnsi="Wingdings" w:hint="default"/>
      </w:rPr>
    </w:lvl>
    <w:lvl w:ilvl="3" w:tplc="04020001" w:tentative="1">
      <w:start w:val="1"/>
      <w:numFmt w:val="bullet"/>
      <w:lvlText w:val=""/>
      <w:lvlJc w:val="left"/>
      <w:pPr>
        <w:ind w:left="2596" w:hanging="360"/>
      </w:pPr>
      <w:rPr>
        <w:rFonts w:ascii="Symbol" w:hAnsi="Symbol" w:hint="default"/>
      </w:rPr>
    </w:lvl>
    <w:lvl w:ilvl="4" w:tplc="04020003" w:tentative="1">
      <w:start w:val="1"/>
      <w:numFmt w:val="bullet"/>
      <w:lvlText w:val="o"/>
      <w:lvlJc w:val="left"/>
      <w:pPr>
        <w:ind w:left="3316" w:hanging="360"/>
      </w:pPr>
      <w:rPr>
        <w:rFonts w:ascii="Courier New" w:hAnsi="Courier New" w:hint="default"/>
      </w:rPr>
    </w:lvl>
    <w:lvl w:ilvl="5" w:tplc="04020005" w:tentative="1">
      <w:start w:val="1"/>
      <w:numFmt w:val="bullet"/>
      <w:lvlText w:val=""/>
      <w:lvlJc w:val="left"/>
      <w:pPr>
        <w:ind w:left="4036" w:hanging="360"/>
      </w:pPr>
      <w:rPr>
        <w:rFonts w:ascii="Wingdings" w:hAnsi="Wingdings" w:hint="default"/>
      </w:rPr>
    </w:lvl>
    <w:lvl w:ilvl="6" w:tplc="04020001" w:tentative="1">
      <w:start w:val="1"/>
      <w:numFmt w:val="bullet"/>
      <w:lvlText w:val=""/>
      <w:lvlJc w:val="left"/>
      <w:pPr>
        <w:ind w:left="4756" w:hanging="360"/>
      </w:pPr>
      <w:rPr>
        <w:rFonts w:ascii="Symbol" w:hAnsi="Symbol" w:hint="default"/>
      </w:rPr>
    </w:lvl>
    <w:lvl w:ilvl="7" w:tplc="04020003" w:tentative="1">
      <w:start w:val="1"/>
      <w:numFmt w:val="bullet"/>
      <w:lvlText w:val="o"/>
      <w:lvlJc w:val="left"/>
      <w:pPr>
        <w:ind w:left="5476" w:hanging="360"/>
      </w:pPr>
      <w:rPr>
        <w:rFonts w:ascii="Courier New" w:hAnsi="Courier New" w:hint="default"/>
      </w:rPr>
    </w:lvl>
    <w:lvl w:ilvl="8" w:tplc="04020005" w:tentative="1">
      <w:start w:val="1"/>
      <w:numFmt w:val="bullet"/>
      <w:lvlText w:val=""/>
      <w:lvlJc w:val="left"/>
      <w:pPr>
        <w:ind w:left="6196" w:hanging="360"/>
      </w:pPr>
      <w:rPr>
        <w:rFonts w:ascii="Wingdings" w:hAnsi="Wingdings" w:hint="default"/>
      </w:rPr>
    </w:lvl>
  </w:abstractNum>
  <w:abstractNum w:abstractNumId="311" w15:restartNumberingAfterBreak="0">
    <w:nsid w:val="5974700B"/>
    <w:multiLevelType w:val="hybridMultilevel"/>
    <w:tmpl w:val="285A7280"/>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312" w15:restartNumberingAfterBreak="0">
    <w:nsid w:val="597E09FC"/>
    <w:multiLevelType w:val="hybridMultilevel"/>
    <w:tmpl w:val="7BFE585E"/>
    <w:lvl w:ilvl="0" w:tplc="04020001">
      <w:start w:val="1"/>
      <w:numFmt w:val="bullet"/>
      <w:lvlText w:val=""/>
      <w:lvlJc w:val="left"/>
      <w:pPr>
        <w:ind w:left="360" w:hanging="360"/>
      </w:pPr>
      <w:rPr>
        <w:rFonts w:ascii="Wingdings" w:hAnsi="Wingdings" w:hint="default"/>
        <w:b/>
        <w:i w:val="0"/>
        <w:sz w:val="24"/>
        <w:u w:val="none"/>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13" w15:restartNumberingAfterBreak="0">
    <w:nsid w:val="59FB47BF"/>
    <w:multiLevelType w:val="hybridMultilevel"/>
    <w:tmpl w:val="5FF6C78E"/>
    <w:lvl w:ilvl="0" w:tplc="FFFFFFFF">
      <w:start w:val="65535"/>
      <w:numFmt w:val="bullet"/>
      <w:lvlText w:val="•"/>
      <w:lvlJc w:val="left"/>
      <w:pPr>
        <w:tabs>
          <w:tab w:val="num" w:pos="720"/>
        </w:tabs>
        <w:ind w:left="1440" w:hanging="360"/>
      </w:pPr>
      <w:rPr>
        <w:rFonts w:ascii="Arial" w:hAnsi="Arial" w:cs="Arial"/>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14" w15:restartNumberingAfterBreak="0">
    <w:nsid w:val="5A176FB0"/>
    <w:multiLevelType w:val="multilevel"/>
    <w:tmpl w:val="5ECE5DFA"/>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5" w15:restartNumberingAfterBreak="0">
    <w:nsid w:val="5A884F08"/>
    <w:multiLevelType w:val="hybridMultilevel"/>
    <w:tmpl w:val="755252BA"/>
    <w:lvl w:ilvl="0" w:tplc="00000002">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
      <w:lvlJc w:val="left"/>
      <w:pPr>
        <w:tabs>
          <w:tab w:val="num" w:pos="1440"/>
        </w:tabs>
        <w:ind w:left="1440" w:hanging="360"/>
      </w:pPr>
      <w:rPr>
        <w:rFonts w:ascii="Times New Roman" w:hAnsi="Times New Roman" w:hint="default"/>
      </w:rPr>
    </w:lvl>
    <w:lvl w:ilvl="2" w:tplc="04090005" w:tentative="1">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Times New Roman" w:hAnsi="Times New Roman" w:hint="default"/>
      </w:rPr>
    </w:lvl>
    <w:lvl w:ilvl="4" w:tplc="04090003" w:tentative="1">
      <w:start w:val="1"/>
      <w:numFmt w:val="bullet"/>
      <w:lvlText w:val="-"/>
      <w:lvlJc w:val="left"/>
      <w:pPr>
        <w:tabs>
          <w:tab w:val="num" w:pos="3600"/>
        </w:tabs>
        <w:ind w:left="3600" w:hanging="360"/>
      </w:pPr>
      <w:rPr>
        <w:rFonts w:ascii="Times New Roman" w:hAnsi="Times New Roman"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Times New Roman" w:hAnsi="Times New Roman" w:hint="default"/>
      </w:rPr>
    </w:lvl>
    <w:lvl w:ilvl="7" w:tplc="04090003" w:tentative="1">
      <w:start w:val="1"/>
      <w:numFmt w:val="bullet"/>
      <w:lvlText w:val="-"/>
      <w:lvlJc w:val="left"/>
      <w:pPr>
        <w:tabs>
          <w:tab w:val="num" w:pos="5760"/>
        </w:tabs>
        <w:ind w:left="5760" w:hanging="360"/>
      </w:pPr>
      <w:rPr>
        <w:rFonts w:ascii="Times New Roman" w:hAnsi="Times New Roman"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abstractNum w:abstractNumId="316" w15:restartNumberingAfterBreak="0">
    <w:nsid w:val="5A926C26"/>
    <w:multiLevelType w:val="hybridMultilevel"/>
    <w:tmpl w:val="97644484"/>
    <w:lvl w:ilvl="0" w:tplc="34D68770">
      <w:start w:val="1"/>
      <w:numFmt w:val="bullet"/>
      <w:lvlText w:val=""/>
      <w:lvlJc w:val="left"/>
      <w:pPr>
        <w:tabs>
          <w:tab w:val="num" w:pos="720"/>
        </w:tabs>
        <w:ind w:left="720" w:hanging="360"/>
      </w:pPr>
      <w:rPr>
        <w:rFonts w:ascii="Symbol" w:hAnsi="Symbol" w:cs="Symbol" w:hint="default"/>
      </w:rPr>
    </w:lvl>
    <w:lvl w:ilvl="1" w:tplc="6D34E184">
      <w:start w:val="1"/>
      <w:numFmt w:val="bullet"/>
      <w:lvlText w:val="o"/>
      <w:lvlJc w:val="left"/>
      <w:pPr>
        <w:tabs>
          <w:tab w:val="num" w:pos="1440"/>
        </w:tabs>
        <w:ind w:left="1440" w:hanging="360"/>
      </w:pPr>
      <w:rPr>
        <w:rFonts w:ascii="Courier New" w:hAnsi="Courier New" w:cs="Courier New" w:hint="default"/>
      </w:rPr>
    </w:lvl>
    <w:lvl w:ilvl="2" w:tplc="04F8EE1E">
      <w:start w:val="1"/>
      <w:numFmt w:val="bullet"/>
      <w:lvlText w:val=""/>
      <w:lvlJc w:val="left"/>
      <w:pPr>
        <w:tabs>
          <w:tab w:val="num" w:pos="2160"/>
        </w:tabs>
        <w:ind w:left="2160" w:hanging="360"/>
      </w:pPr>
      <w:rPr>
        <w:rFonts w:ascii="Wingdings" w:hAnsi="Wingdings" w:cs="Wingdings" w:hint="default"/>
      </w:rPr>
    </w:lvl>
    <w:lvl w:ilvl="3" w:tplc="9580C7EC">
      <w:start w:val="1"/>
      <w:numFmt w:val="bullet"/>
      <w:lvlText w:val=""/>
      <w:lvlJc w:val="left"/>
      <w:pPr>
        <w:tabs>
          <w:tab w:val="num" w:pos="2880"/>
        </w:tabs>
        <w:ind w:left="2880" w:hanging="360"/>
      </w:pPr>
      <w:rPr>
        <w:rFonts w:ascii="Symbol" w:hAnsi="Symbol" w:cs="Symbol" w:hint="default"/>
      </w:rPr>
    </w:lvl>
    <w:lvl w:ilvl="4" w:tplc="571E8460">
      <w:start w:val="1"/>
      <w:numFmt w:val="bullet"/>
      <w:lvlText w:val="o"/>
      <w:lvlJc w:val="left"/>
      <w:pPr>
        <w:tabs>
          <w:tab w:val="num" w:pos="3600"/>
        </w:tabs>
        <w:ind w:left="3600" w:hanging="360"/>
      </w:pPr>
      <w:rPr>
        <w:rFonts w:ascii="Courier New" w:hAnsi="Courier New" w:cs="Courier New" w:hint="default"/>
      </w:rPr>
    </w:lvl>
    <w:lvl w:ilvl="5" w:tplc="F746ED08">
      <w:start w:val="1"/>
      <w:numFmt w:val="bullet"/>
      <w:lvlText w:val=""/>
      <w:lvlJc w:val="left"/>
      <w:pPr>
        <w:tabs>
          <w:tab w:val="num" w:pos="4320"/>
        </w:tabs>
        <w:ind w:left="4320" w:hanging="360"/>
      </w:pPr>
      <w:rPr>
        <w:rFonts w:ascii="Wingdings" w:hAnsi="Wingdings" w:cs="Wingdings" w:hint="default"/>
      </w:rPr>
    </w:lvl>
    <w:lvl w:ilvl="6" w:tplc="CEB6913C">
      <w:start w:val="1"/>
      <w:numFmt w:val="bullet"/>
      <w:lvlText w:val=""/>
      <w:lvlJc w:val="left"/>
      <w:pPr>
        <w:tabs>
          <w:tab w:val="num" w:pos="5040"/>
        </w:tabs>
        <w:ind w:left="5040" w:hanging="360"/>
      </w:pPr>
      <w:rPr>
        <w:rFonts w:ascii="Symbol" w:hAnsi="Symbol" w:cs="Symbol" w:hint="default"/>
      </w:rPr>
    </w:lvl>
    <w:lvl w:ilvl="7" w:tplc="3716CD50">
      <w:start w:val="1"/>
      <w:numFmt w:val="bullet"/>
      <w:lvlText w:val="o"/>
      <w:lvlJc w:val="left"/>
      <w:pPr>
        <w:tabs>
          <w:tab w:val="num" w:pos="5760"/>
        </w:tabs>
        <w:ind w:left="5760" w:hanging="360"/>
      </w:pPr>
      <w:rPr>
        <w:rFonts w:ascii="Courier New" w:hAnsi="Courier New" w:cs="Courier New" w:hint="default"/>
      </w:rPr>
    </w:lvl>
    <w:lvl w:ilvl="8" w:tplc="1F764E44">
      <w:start w:val="1"/>
      <w:numFmt w:val="bullet"/>
      <w:lvlText w:val=""/>
      <w:lvlJc w:val="left"/>
      <w:pPr>
        <w:tabs>
          <w:tab w:val="num" w:pos="6480"/>
        </w:tabs>
        <w:ind w:left="6480" w:hanging="360"/>
      </w:pPr>
      <w:rPr>
        <w:rFonts w:ascii="Wingdings" w:hAnsi="Wingdings" w:cs="Wingdings" w:hint="default"/>
      </w:rPr>
    </w:lvl>
  </w:abstractNum>
  <w:abstractNum w:abstractNumId="317" w15:restartNumberingAfterBreak="0">
    <w:nsid w:val="5B046235"/>
    <w:multiLevelType w:val="hybridMultilevel"/>
    <w:tmpl w:val="4C2A4BD2"/>
    <w:lvl w:ilvl="0" w:tplc="0F2A23D0">
      <w:start w:val="1"/>
      <w:numFmt w:val="bullet"/>
      <w:lvlText w:val=""/>
      <w:lvlJc w:val="left"/>
      <w:pPr>
        <w:tabs>
          <w:tab w:val="num" w:pos="890"/>
        </w:tabs>
        <w:ind w:left="890" w:hanging="360"/>
      </w:pPr>
      <w:rPr>
        <w:rFonts w:ascii="Symbol" w:hAnsi="Symbol" w:hint="default"/>
      </w:rPr>
    </w:lvl>
    <w:lvl w:ilvl="1" w:tplc="29888900" w:tentative="1">
      <w:start w:val="1"/>
      <w:numFmt w:val="bullet"/>
      <w:lvlText w:val="o"/>
      <w:lvlJc w:val="left"/>
      <w:pPr>
        <w:tabs>
          <w:tab w:val="num" w:pos="1610"/>
        </w:tabs>
        <w:ind w:left="1610" w:hanging="360"/>
      </w:pPr>
      <w:rPr>
        <w:rFonts w:ascii="Courier New" w:hAnsi="Courier New" w:hint="default"/>
      </w:rPr>
    </w:lvl>
    <w:lvl w:ilvl="2" w:tplc="2D92BBC6" w:tentative="1">
      <w:start w:val="1"/>
      <w:numFmt w:val="bullet"/>
      <w:lvlText w:val=""/>
      <w:lvlJc w:val="left"/>
      <w:pPr>
        <w:tabs>
          <w:tab w:val="num" w:pos="2330"/>
        </w:tabs>
        <w:ind w:left="2330" w:hanging="360"/>
      </w:pPr>
      <w:rPr>
        <w:rFonts w:ascii="Wingdings" w:hAnsi="Wingdings" w:hint="default"/>
      </w:rPr>
    </w:lvl>
    <w:lvl w:ilvl="3" w:tplc="42B21BB0" w:tentative="1">
      <w:start w:val="1"/>
      <w:numFmt w:val="bullet"/>
      <w:lvlText w:val=""/>
      <w:lvlJc w:val="left"/>
      <w:pPr>
        <w:tabs>
          <w:tab w:val="num" w:pos="3050"/>
        </w:tabs>
        <w:ind w:left="3050" w:hanging="360"/>
      </w:pPr>
      <w:rPr>
        <w:rFonts w:ascii="Symbol" w:hAnsi="Symbol" w:hint="default"/>
      </w:rPr>
    </w:lvl>
    <w:lvl w:ilvl="4" w:tplc="AD447542" w:tentative="1">
      <w:start w:val="1"/>
      <w:numFmt w:val="bullet"/>
      <w:lvlText w:val="o"/>
      <w:lvlJc w:val="left"/>
      <w:pPr>
        <w:tabs>
          <w:tab w:val="num" w:pos="3770"/>
        </w:tabs>
        <w:ind w:left="3770" w:hanging="360"/>
      </w:pPr>
      <w:rPr>
        <w:rFonts w:ascii="Courier New" w:hAnsi="Courier New" w:hint="default"/>
      </w:rPr>
    </w:lvl>
    <w:lvl w:ilvl="5" w:tplc="C7DA76C2" w:tentative="1">
      <w:start w:val="1"/>
      <w:numFmt w:val="bullet"/>
      <w:lvlText w:val=""/>
      <w:lvlJc w:val="left"/>
      <w:pPr>
        <w:tabs>
          <w:tab w:val="num" w:pos="4490"/>
        </w:tabs>
        <w:ind w:left="4490" w:hanging="360"/>
      </w:pPr>
      <w:rPr>
        <w:rFonts w:ascii="Wingdings" w:hAnsi="Wingdings" w:hint="default"/>
      </w:rPr>
    </w:lvl>
    <w:lvl w:ilvl="6" w:tplc="73F4CA06" w:tentative="1">
      <w:start w:val="1"/>
      <w:numFmt w:val="bullet"/>
      <w:lvlText w:val=""/>
      <w:lvlJc w:val="left"/>
      <w:pPr>
        <w:tabs>
          <w:tab w:val="num" w:pos="5210"/>
        </w:tabs>
        <w:ind w:left="5210" w:hanging="360"/>
      </w:pPr>
      <w:rPr>
        <w:rFonts w:ascii="Symbol" w:hAnsi="Symbol" w:hint="default"/>
      </w:rPr>
    </w:lvl>
    <w:lvl w:ilvl="7" w:tplc="F148F66C" w:tentative="1">
      <w:start w:val="1"/>
      <w:numFmt w:val="bullet"/>
      <w:lvlText w:val="o"/>
      <w:lvlJc w:val="left"/>
      <w:pPr>
        <w:tabs>
          <w:tab w:val="num" w:pos="5930"/>
        </w:tabs>
        <w:ind w:left="5930" w:hanging="360"/>
      </w:pPr>
      <w:rPr>
        <w:rFonts w:ascii="Courier New" w:hAnsi="Courier New" w:hint="default"/>
      </w:rPr>
    </w:lvl>
    <w:lvl w:ilvl="8" w:tplc="50F40AD8" w:tentative="1">
      <w:start w:val="1"/>
      <w:numFmt w:val="bullet"/>
      <w:lvlText w:val=""/>
      <w:lvlJc w:val="left"/>
      <w:pPr>
        <w:tabs>
          <w:tab w:val="num" w:pos="6650"/>
        </w:tabs>
        <w:ind w:left="6650" w:hanging="360"/>
      </w:pPr>
      <w:rPr>
        <w:rFonts w:ascii="Wingdings" w:hAnsi="Wingdings" w:hint="default"/>
      </w:rPr>
    </w:lvl>
  </w:abstractNum>
  <w:abstractNum w:abstractNumId="318" w15:restartNumberingAfterBreak="0">
    <w:nsid w:val="5C26597C"/>
    <w:multiLevelType w:val="hybridMultilevel"/>
    <w:tmpl w:val="88C0D8FE"/>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19" w15:restartNumberingAfterBreak="0">
    <w:nsid w:val="5C4222AF"/>
    <w:multiLevelType w:val="hybridMultilevel"/>
    <w:tmpl w:val="82C09310"/>
    <w:lvl w:ilvl="0" w:tplc="04020001">
      <w:start w:val="3"/>
      <w:numFmt w:val="decimal"/>
      <w:lvlText w:val="%1."/>
      <w:lvlJc w:val="left"/>
      <w:pPr>
        <w:ind w:left="1080" w:hanging="360"/>
      </w:pPr>
      <w:rPr>
        <w:rFonts w:hint="default"/>
        <w:b/>
      </w:rPr>
    </w:lvl>
    <w:lvl w:ilvl="1" w:tplc="04020003" w:tentative="1">
      <w:start w:val="1"/>
      <w:numFmt w:val="lowerLetter"/>
      <w:lvlText w:val="%2."/>
      <w:lvlJc w:val="left"/>
      <w:pPr>
        <w:ind w:left="1800" w:hanging="360"/>
      </w:pPr>
    </w:lvl>
    <w:lvl w:ilvl="2" w:tplc="04020005" w:tentative="1">
      <w:start w:val="1"/>
      <w:numFmt w:val="lowerRoman"/>
      <w:lvlText w:val="%3."/>
      <w:lvlJc w:val="right"/>
      <w:pPr>
        <w:ind w:left="2520" w:hanging="180"/>
      </w:pPr>
    </w:lvl>
    <w:lvl w:ilvl="3" w:tplc="04020001" w:tentative="1">
      <w:start w:val="1"/>
      <w:numFmt w:val="decimal"/>
      <w:lvlText w:val="%4."/>
      <w:lvlJc w:val="left"/>
      <w:pPr>
        <w:ind w:left="3240" w:hanging="360"/>
      </w:pPr>
    </w:lvl>
    <w:lvl w:ilvl="4" w:tplc="04020003" w:tentative="1">
      <w:start w:val="1"/>
      <w:numFmt w:val="lowerLetter"/>
      <w:lvlText w:val="%5."/>
      <w:lvlJc w:val="left"/>
      <w:pPr>
        <w:ind w:left="3960" w:hanging="360"/>
      </w:pPr>
    </w:lvl>
    <w:lvl w:ilvl="5" w:tplc="04020005" w:tentative="1">
      <w:start w:val="1"/>
      <w:numFmt w:val="lowerRoman"/>
      <w:lvlText w:val="%6."/>
      <w:lvlJc w:val="right"/>
      <w:pPr>
        <w:ind w:left="4680" w:hanging="180"/>
      </w:pPr>
    </w:lvl>
    <w:lvl w:ilvl="6" w:tplc="04020001" w:tentative="1">
      <w:start w:val="1"/>
      <w:numFmt w:val="decimal"/>
      <w:lvlText w:val="%7."/>
      <w:lvlJc w:val="left"/>
      <w:pPr>
        <w:ind w:left="5400" w:hanging="360"/>
      </w:pPr>
    </w:lvl>
    <w:lvl w:ilvl="7" w:tplc="04020003" w:tentative="1">
      <w:start w:val="1"/>
      <w:numFmt w:val="lowerLetter"/>
      <w:lvlText w:val="%8."/>
      <w:lvlJc w:val="left"/>
      <w:pPr>
        <w:ind w:left="6120" w:hanging="360"/>
      </w:pPr>
    </w:lvl>
    <w:lvl w:ilvl="8" w:tplc="04020005" w:tentative="1">
      <w:start w:val="1"/>
      <w:numFmt w:val="lowerRoman"/>
      <w:lvlText w:val="%9."/>
      <w:lvlJc w:val="right"/>
      <w:pPr>
        <w:ind w:left="6840" w:hanging="180"/>
      </w:pPr>
    </w:lvl>
  </w:abstractNum>
  <w:abstractNum w:abstractNumId="320" w15:restartNumberingAfterBreak="0">
    <w:nsid w:val="5CCF401E"/>
    <w:multiLevelType w:val="hybridMultilevel"/>
    <w:tmpl w:val="9DBE0982"/>
    <w:lvl w:ilvl="0" w:tplc="314ED76C">
      <w:start w:val="1"/>
      <w:numFmt w:val="bullet"/>
      <w:lvlText w:val=""/>
      <w:lvlJc w:val="left"/>
      <w:pPr>
        <w:ind w:left="360" w:hanging="360"/>
      </w:pPr>
      <w:rPr>
        <w:rFonts w:ascii="Symbol" w:hAnsi="Symbol" w:hint="default"/>
      </w:rPr>
    </w:lvl>
    <w:lvl w:ilvl="1" w:tplc="04020019">
      <w:start w:val="1"/>
      <w:numFmt w:val="bullet"/>
      <w:lvlText w:val=""/>
      <w:lvlJc w:val="left"/>
      <w:pPr>
        <w:ind w:left="1080" w:hanging="360"/>
      </w:pPr>
      <w:rPr>
        <w:rFonts w:ascii="Wingdings" w:hAnsi="Wingdings" w:cs="Wingdings" w:hint="default"/>
      </w:rPr>
    </w:lvl>
    <w:lvl w:ilvl="2" w:tplc="0402001B">
      <w:start w:val="1"/>
      <w:numFmt w:val="bullet"/>
      <w:lvlText w:val=""/>
      <w:lvlJc w:val="left"/>
      <w:pPr>
        <w:ind w:left="1800" w:hanging="360"/>
      </w:pPr>
      <w:rPr>
        <w:rFonts w:ascii="Wingdings" w:hAnsi="Wingdings" w:cs="Wingdings" w:hint="default"/>
      </w:rPr>
    </w:lvl>
    <w:lvl w:ilvl="3" w:tplc="0402000F">
      <w:start w:val="1"/>
      <w:numFmt w:val="bullet"/>
      <w:lvlText w:val=""/>
      <w:lvlJc w:val="left"/>
      <w:pPr>
        <w:ind w:left="2520" w:hanging="360"/>
      </w:pPr>
      <w:rPr>
        <w:rFonts w:ascii="Symbol" w:hAnsi="Symbol" w:cs="Symbol" w:hint="default"/>
      </w:rPr>
    </w:lvl>
    <w:lvl w:ilvl="4" w:tplc="04020019">
      <w:start w:val="1"/>
      <w:numFmt w:val="bullet"/>
      <w:lvlText w:val="o"/>
      <w:lvlJc w:val="left"/>
      <w:pPr>
        <w:ind w:left="3240" w:hanging="360"/>
      </w:pPr>
      <w:rPr>
        <w:rFonts w:ascii="Courier New" w:hAnsi="Courier New" w:cs="Courier New" w:hint="default"/>
      </w:rPr>
    </w:lvl>
    <w:lvl w:ilvl="5" w:tplc="0402001B">
      <w:start w:val="1"/>
      <w:numFmt w:val="bullet"/>
      <w:lvlText w:val=""/>
      <w:lvlJc w:val="left"/>
      <w:pPr>
        <w:ind w:left="3960" w:hanging="360"/>
      </w:pPr>
      <w:rPr>
        <w:rFonts w:ascii="Wingdings" w:hAnsi="Wingdings" w:cs="Wingdings" w:hint="default"/>
      </w:rPr>
    </w:lvl>
    <w:lvl w:ilvl="6" w:tplc="0402000F">
      <w:start w:val="1"/>
      <w:numFmt w:val="bullet"/>
      <w:lvlText w:val=""/>
      <w:lvlJc w:val="left"/>
      <w:pPr>
        <w:ind w:left="4680" w:hanging="360"/>
      </w:pPr>
      <w:rPr>
        <w:rFonts w:ascii="Symbol" w:hAnsi="Symbol" w:cs="Symbol" w:hint="default"/>
      </w:rPr>
    </w:lvl>
    <w:lvl w:ilvl="7" w:tplc="04020019">
      <w:start w:val="1"/>
      <w:numFmt w:val="bullet"/>
      <w:lvlText w:val="o"/>
      <w:lvlJc w:val="left"/>
      <w:pPr>
        <w:ind w:left="5400" w:hanging="360"/>
      </w:pPr>
      <w:rPr>
        <w:rFonts w:ascii="Courier New" w:hAnsi="Courier New" w:cs="Courier New" w:hint="default"/>
      </w:rPr>
    </w:lvl>
    <w:lvl w:ilvl="8" w:tplc="0402001B">
      <w:start w:val="1"/>
      <w:numFmt w:val="bullet"/>
      <w:lvlText w:val=""/>
      <w:lvlJc w:val="left"/>
      <w:pPr>
        <w:ind w:left="6120" w:hanging="360"/>
      </w:pPr>
      <w:rPr>
        <w:rFonts w:ascii="Wingdings" w:hAnsi="Wingdings" w:cs="Wingdings" w:hint="default"/>
      </w:rPr>
    </w:lvl>
  </w:abstractNum>
  <w:abstractNum w:abstractNumId="321" w15:restartNumberingAfterBreak="0">
    <w:nsid w:val="5DAC61EE"/>
    <w:multiLevelType w:val="hybridMultilevel"/>
    <w:tmpl w:val="840EAFC8"/>
    <w:lvl w:ilvl="0" w:tplc="04020013">
      <w:start w:val="108"/>
      <w:numFmt w:val="bullet"/>
      <w:lvlText w:val="–"/>
      <w:lvlJc w:val="left"/>
      <w:pPr>
        <w:ind w:left="643" w:hanging="360"/>
      </w:pPr>
      <w:rPr>
        <w:rFonts w:ascii="Times New Roman" w:hAnsi="Times New Roman" w:hint="default"/>
      </w:rPr>
    </w:lvl>
    <w:lvl w:ilvl="1" w:tplc="04020003" w:tentative="1">
      <w:start w:val="1"/>
      <w:numFmt w:val="bullet"/>
      <w:lvlText w:val="o"/>
      <w:lvlJc w:val="left"/>
      <w:pPr>
        <w:ind w:left="1363" w:hanging="360"/>
      </w:pPr>
      <w:rPr>
        <w:rFonts w:ascii="Courier New" w:hAnsi="Courier New" w:hint="default"/>
      </w:rPr>
    </w:lvl>
    <w:lvl w:ilvl="2" w:tplc="04020005" w:tentative="1">
      <w:start w:val="1"/>
      <w:numFmt w:val="bullet"/>
      <w:lvlText w:val=""/>
      <w:lvlJc w:val="left"/>
      <w:pPr>
        <w:ind w:left="2083" w:hanging="360"/>
      </w:pPr>
      <w:rPr>
        <w:rFonts w:ascii="Wingdings" w:hAnsi="Wingdings" w:hint="default"/>
      </w:rPr>
    </w:lvl>
    <w:lvl w:ilvl="3" w:tplc="04020001" w:tentative="1">
      <w:start w:val="1"/>
      <w:numFmt w:val="bullet"/>
      <w:lvlText w:val=""/>
      <w:lvlJc w:val="left"/>
      <w:pPr>
        <w:ind w:left="2803" w:hanging="360"/>
      </w:pPr>
      <w:rPr>
        <w:rFonts w:ascii="Symbol" w:hAnsi="Symbol" w:hint="default"/>
      </w:rPr>
    </w:lvl>
    <w:lvl w:ilvl="4" w:tplc="04020003" w:tentative="1">
      <w:start w:val="1"/>
      <w:numFmt w:val="bullet"/>
      <w:lvlText w:val="o"/>
      <w:lvlJc w:val="left"/>
      <w:pPr>
        <w:ind w:left="3523" w:hanging="360"/>
      </w:pPr>
      <w:rPr>
        <w:rFonts w:ascii="Courier New" w:hAnsi="Courier New" w:hint="default"/>
      </w:rPr>
    </w:lvl>
    <w:lvl w:ilvl="5" w:tplc="04020005" w:tentative="1">
      <w:start w:val="1"/>
      <w:numFmt w:val="bullet"/>
      <w:lvlText w:val=""/>
      <w:lvlJc w:val="left"/>
      <w:pPr>
        <w:ind w:left="4243" w:hanging="360"/>
      </w:pPr>
      <w:rPr>
        <w:rFonts w:ascii="Wingdings" w:hAnsi="Wingdings" w:hint="default"/>
      </w:rPr>
    </w:lvl>
    <w:lvl w:ilvl="6" w:tplc="04020001" w:tentative="1">
      <w:start w:val="1"/>
      <w:numFmt w:val="bullet"/>
      <w:lvlText w:val=""/>
      <w:lvlJc w:val="left"/>
      <w:pPr>
        <w:ind w:left="4963" w:hanging="360"/>
      </w:pPr>
      <w:rPr>
        <w:rFonts w:ascii="Symbol" w:hAnsi="Symbol" w:hint="default"/>
      </w:rPr>
    </w:lvl>
    <w:lvl w:ilvl="7" w:tplc="04020003" w:tentative="1">
      <w:start w:val="1"/>
      <w:numFmt w:val="bullet"/>
      <w:lvlText w:val="o"/>
      <w:lvlJc w:val="left"/>
      <w:pPr>
        <w:ind w:left="5683" w:hanging="360"/>
      </w:pPr>
      <w:rPr>
        <w:rFonts w:ascii="Courier New" w:hAnsi="Courier New" w:hint="default"/>
      </w:rPr>
    </w:lvl>
    <w:lvl w:ilvl="8" w:tplc="04020005" w:tentative="1">
      <w:start w:val="1"/>
      <w:numFmt w:val="bullet"/>
      <w:lvlText w:val=""/>
      <w:lvlJc w:val="left"/>
      <w:pPr>
        <w:ind w:left="6403" w:hanging="360"/>
      </w:pPr>
      <w:rPr>
        <w:rFonts w:ascii="Wingdings" w:hAnsi="Wingdings" w:hint="default"/>
      </w:rPr>
    </w:lvl>
  </w:abstractNum>
  <w:abstractNum w:abstractNumId="322" w15:restartNumberingAfterBreak="0">
    <w:nsid w:val="5E440EE7"/>
    <w:multiLevelType w:val="hybridMultilevel"/>
    <w:tmpl w:val="BE4A8D22"/>
    <w:lvl w:ilvl="0" w:tplc="C75CC4A8">
      <w:start w:val="1"/>
      <w:numFmt w:val="bullet"/>
      <w:lvlText w:val="•"/>
      <w:lvlJc w:val="left"/>
      <w:pPr>
        <w:tabs>
          <w:tab w:val="num" w:pos="720"/>
        </w:tabs>
        <w:ind w:left="720" w:hanging="360"/>
      </w:pPr>
      <w:rPr>
        <w:rFonts w:ascii="Arial" w:hAnsi="Arial" w:hint="default"/>
      </w:rPr>
    </w:lvl>
    <w:lvl w:ilvl="1" w:tplc="D83C1856" w:tentative="1">
      <w:start w:val="1"/>
      <w:numFmt w:val="bullet"/>
      <w:lvlText w:val="•"/>
      <w:lvlJc w:val="left"/>
      <w:pPr>
        <w:tabs>
          <w:tab w:val="num" w:pos="1440"/>
        </w:tabs>
        <w:ind w:left="1440" w:hanging="360"/>
      </w:pPr>
      <w:rPr>
        <w:rFonts w:ascii="Arial" w:hAnsi="Arial" w:hint="default"/>
      </w:rPr>
    </w:lvl>
    <w:lvl w:ilvl="2" w:tplc="10FABF68" w:tentative="1">
      <w:start w:val="1"/>
      <w:numFmt w:val="bullet"/>
      <w:lvlText w:val="•"/>
      <w:lvlJc w:val="left"/>
      <w:pPr>
        <w:tabs>
          <w:tab w:val="num" w:pos="2160"/>
        </w:tabs>
        <w:ind w:left="2160" w:hanging="360"/>
      </w:pPr>
      <w:rPr>
        <w:rFonts w:ascii="Arial" w:hAnsi="Arial" w:hint="default"/>
      </w:rPr>
    </w:lvl>
    <w:lvl w:ilvl="3" w:tplc="72CEA482" w:tentative="1">
      <w:start w:val="1"/>
      <w:numFmt w:val="bullet"/>
      <w:lvlText w:val="•"/>
      <w:lvlJc w:val="left"/>
      <w:pPr>
        <w:tabs>
          <w:tab w:val="num" w:pos="2880"/>
        </w:tabs>
        <w:ind w:left="2880" w:hanging="360"/>
      </w:pPr>
      <w:rPr>
        <w:rFonts w:ascii="Arial" w:hAnsi="Arial" w:hint="default"/>
      </w:rPr>
    </w:lvl>
    <w:lvl w:ilvl="4" w:tplc="7C207C7A" w:tentative="1">
      <w:start w:val="1"/>
      <w:numFmt w:val="bullet"/>
      <w:lvlText w:val="•"/>
      <w:lvlJc w:val="left"/>
      <w:pPr>
        <w:tabs>
          <w:tab w:val="num" w:pos="3600"/>
        </w:tabs>
        <w:ind w:left="3600" w:hanging="360"/>
      </w:pPr>
      <w:rPr>
        <w:rFonts w:ascii="Arial" w:hAnsi="Arial" w:hint="default"/>
      </w:rPr>
    </w:lvl>
    <w:lvl w:ilvl="5" w:tplc="B008B3B2" w:tentative="1">
      <w:start w:val="1"/>
      <w:numFmt w:val="bullet"/>
      <w:lvlText w:val="•"/>
      <w:lvlJc w:val="left"/>
      <w:pPr>
        <w:tabs>
          <w:tab w:val="num" w:pos="4320"/>
        </w:tabs>
        <w:ind w:left="4320" w:hanging="360"/>
      </w:pPr>
      <w:rPr>
        <w:rFonts w:ascii="Arial" w:hAnsi="Arial" w:hint="default"/>
      </w:rPr>
    </w:lvl>
    <w:lvl w:ilvl="6" w:tplc="2D602106" w:tentative="1">
      <w:start w:val="1"/>
      <w:numFmt w:val="bullet"/>
      <w:lvlText w:val="•"/>
      <w:lvlJc w:val="left"/>
      <w:pPr>
        <w:tabs>
          <w:tab w:val="num" w:pos="5040"/>
        </w:tabs>
        <w:ind w:left="5040" w:hanging="360"/>
      </w:pPr>
      <w:rPr>
        <w:rFonts w:ascii="Arial" w:hAnsi="Arial" w:hint="default"/>
      </w:rPr>
    </w:lvl>
    <w:lvl w:ilvl="7" w:tplc="55F63BBC" w:tentative="1">
      <w:start w:val="1"/>
      <w:numFmt w:val="bullet"/>
      <w:lvlText w:val="•"/>
      <w:lvlJc w:val="left"/>
      <w:pPr>
        <w:tabs>
          <w:tab w:val="num" w:pos="5760"/>
        </w:tabs>
        <w:ind w:left="5760" w:hanging="360"/>
      </w:pPr>
      <w:rPr>
        <w:rFonts w:ascii="Arial" w:hAnsi="Arial" w:hint="default"/>
      </w:rPr>
    </w:lvl>
    <w:lvl w:ilvl="8" w:tplc="1A9660E6" w:tentative="1">
      <w:start w:val="1"/>
      <w:numFmt w:val="bullet"/>
      <w:lvlText w:val="•"/>
      <w:lvlJc w:val="left"/>
      <w:pPr>
        <w:tabs>
          <w:tab w:val="num" w:pos="6480"/>
        </w:tabs>
        <w:ind w:left="6480" w:hanging="360"/>
      </w:pPr>
      <w:rPr>
        <w:rFonts w:ascii="Arial" w:hAnsi="Arial" w:hint="default"/>
      </w:rPr>
    </w:lvl>
  </w:abstractNum>
  <w:abstractNum w:abstractNumId="323" w15:restartNumberingAfterBreak="0">
    <w:nsid w:val="5E48427C"/>
    <w:multiLevelType w:val="hybridMultilevel"/>
    <w:tmpl w:val="AA8AE8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4" w15:restartNumberingAfterBreak="0">
    <w:nsid w:val="5E6C2A86"/>
    <w:multiLevelType w:val="hybridMultilevel"/>
    <w:tmpl w:val="9CD8B836"/>
    <w:lvl w:ilvl="0" w:tplc="04020001">
      <w:start w:val="1"/>
      <w:numFmt w:val="bullet"/>
      <w:lvlText w:val=""/>
      <w:lvlJc w:val="left"/>
      <w:pPr>
        <w:ind w:left="644" w:hanging="360"/>
      </w:pPr>
      <w:rPr>
        <w:rFonts w:ascii="Wingdings" w:hAnsi="Wingdings" w:hint="default"/>
        <w:b/>
        <w:i w:val="0"/>
        <w:sz w:val="24"/>
        <w:u w:val="none"/>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25" w15:restartNumberingAfterBreak="0">
    <w:nsid w:val="5FDF2CDE"/>
    <w:multiLevelType w:val="hybridMultilevel"/>
    <w:tmpl w:val="FB2ECF4A"/>
    <w:lvl w:ilvl="0" w:tplc="04020013">
      <w:start w:val="108"/>
      <w:numFmt w:val="bullet"/>
      <w:lvlText w:val="–"/>
      <w:lvlJc w:val="left"/>
      <w:pPr>
        <w:ind w:left="720" w:hanging="360"/>
      </w:pPr>
      <w:rPr>
        <w:rFonts w:ascii="Times New Roman" w:hAnsi="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6" w15:restartNumberingAfterBreak="0">
    <w:nsid w:val="60184CC6"/>
    <w:multiLevelType w:val="hybridMultilevel"/>
    <w:tmpl w:val="11A43B92"/>
    <w:lvl w:ilvl="0" w:tplc="FFFFFFFF">
      <w:start w:val="1"/>
      <w:numFmt w:val="bullet"/>
      <w:lvlText w:val=""/>
      <w:lvlJc w:val="left"/>
      <w:pPr>
        <w:tabs>
          <w:tab w:val="num" w:pos="1800"/>
        </w:tabs>
        <w:ind w:left="1800" w:hanging="360"/>
      </w:pPr>
      <w:rPr>
        <w:rFonts w:ascii="Wingdings" w:hAnsi="Wingdings" w:cs="Wingdings" w:hint="default"/>
      </w:rPr>
    </w:lvl>
    <w:lvl w:ilvl="1" w:tplc="04020003">
      <w:start w:val="1"/>
      <w:numFmt w:val="decimal"/>
      <w:lvlText w:val="%2."/>
      <w:lvlJc w:val="left"/>
      <w:pPr>
        <w:tabs>
          <w:tab w:val="num" w:pos="2520"/>
        </w:tabs>
        <w:ind w:left="2520" w:hanging="360"/>
      </w:pPr>
      <w:rPr>
        <w:rFonts w:hint="default"/>
      </w:rPr>
    </w:lvl>
    <w:lvl w:ilvl="2" w:tplc="04020005">
      <w:start w:val="1"/>
      <w:numFmt w:val="bullet"/>
      <w:lvlText w:val=""/>
      <w:lvlJc w:val="left"/>
      <w:pPr>
        <w:tabs>
          <w:tab w:val="num" w:pos="3240"/>
        </w:tabs>
        <w:ind w:left="3240" w:hanging="360"/>
      </w:pPr>
      <w:rPr>
        <w:rFonts w:ascii="Wingdings" w:hAnsi="Wingdings" w:cs="Wingdings" w:hint="default"/>
      </w:rPr>
    </w:lvl>
    <w:lvl w:ilvl="3" w:tplc="04020001">
      <w:start w:val="1"/>
      <w:numFmt w:val="bullet"/>
      <w:lvlText w:val=""/>
      <w:lvlJc w:val="left"/>
      <w:pPr>
        <w:tabs>
          <w:tab w:val="num" w:pos="3960"/>
        </w:tabs>
        <w:ind w:left="3960" w:hanging="360"/>
      </w:pPr>
      <w:rPr>
        <w:rFonts w:ascii="Symbol" w:hAnsi="Symbol" w:cs="Symbol" w:hint="default"/>
      </w:rPr>
    </w:lvl>
    <w:lvl w:ilvl="4" w:tplc="04020003">
      <w:start w:val="1"/>
      <w:numFmt w:val="bullet"/>
      <w:lvlText w:val="o"/>
      <w:lvlJc w:val="left"/>
      <w:pPr>
        <w:tabs>
          <w:tab w:val="num" w:pos="4680"/>
        </w:tabs>
        <w:ind w:left="4680" w:hanging="360"/>
      </w:pPr>
      <w:rPr>
        <w:rFonts w:ascii="Courier New" w:hAnsi="Courier New" w:cs="Courier New" w:hint="default"/>
      </w:rPr>
    </w:lvl>
    <w:lvl w:ilvl="5" w:tplc="04020005">
      <w:start w:val="1"/>
      <w:numFmt w:val="bullet"/>
      <w:lvlText w:val=""/>
      <w:lvlJc w:val="left"/>
      <w:pPr>
        <w:tabs>
          <w:tab w:val="num" w:pos="5400"/>
        </w:tabs>
        <w:ind w:left="5400" w:hanging="360"/>
      </w:pPr>
      <w:rPr>
        <w:rFonts w:ascii="Wingdings" w:hAnsi="Wingdings" w:cs="Wingdings" w:hint="default"/>
      </w:rPr>
    </w:lvl>
    <w:lvl w:ilvl="6" w:tplc="04020001">
      <w:start w:val="1"/>
      <w:numFmt w:val="bullet"/>
      <w:lvlText w:val=""/>
      <w:lvlJc w:val="left"/>
      <w:pPr>
        <w:tabs>
          <w:tab w:val="num" w:pos="6120"/>
        </w:tabs>
        <w:ind w:left="6120" w:hanging="360"/>
      </w:pPr>
      <w:rPr>
        <w:rFonts w:ascii="Symbol" w:hAnsi="Symbol" w:cs="Symbol" w:hint="default"/>
      </w:rPr>
    </w:lvl>
    <w:lvl w:ilvl="7" w:tplc="04020003">
      <w:start w:val="1"/>
      <w:numFmt w:val="bullet"/>
      <w:lvlText w:val="o"/>
      <w:lvlJc w:val="left"/>
      <w:pPr>
        <w:tabs>
          <w:tab w:val="num" w:pos="6840"/>
        </w:tabs>
        <w:ind w:left="6840" w:hanging="360"/>
      </w:pPr>
      <w:rPr>
        <w:rFonts w:ascii="Courier New" w:hAnsi="Courier New" w:cs="Courier New" w:hint="default"/>
      </w:rPr>
    </w:lvl>
    <w:lvl w:ilvl="8" w:tplc="04020005">
      <w:start w:val="1"/>
      <w:numFmt w:val="bullet"/>
      <w:lvlText w:val=""/>
      <w:lvlJc w:val="left"/>
      <w:pPr>
        <w:tabs>
          <w:tab w:val="num" w:pos="7560"/>
        </w:tabs>
        <w:ind w:left="7560" w:hanging="360"/>
      </w:pPr>
      <w:rPr>
        <w:rFonts w:ascii="Wingdings" w:hAnsi="Wingdings" w:cs="Wingdings" w:hint="default"/>
      </w:rPr>
    </w:lvl>
  </w:abstractNum>
  <w:abstractNum w:abstractNumId="327" w15:restartNumberingAfterBreak="0">
    <w:nsid w:val="603B7580"/>
    <w:multiLevelType w:val="hybridMultilevel"/>
    <w:tmpl w:val="8F3C8F76"/>
    <w:lvl w:ilvl="0" w:tplc="C33437B2">
      <w:start w:val="1"/>
      <w:numFmt w:val="decimal"/>
      <w:lvlText w:val="%1."/>
      <w:lvlJc w:val="left"/>
      <w:pPr>
        <w:tabs>
          <w:tab w:val="num" w:pos="2120"/>
        </w:tabs>
        <w:ind w:left="2120" w:hanging="360"/>
      </w:pPr>
      <w:rPr>
        <w:rFonts w:cs="Times New Roman" w:hint="default"/>
      </w:rPr>
    </w:lvl>
    <w:lvl w:ilvl="1" w:tplc="04020003">
      <w:start w:val="1"/>
      <w:numFmt w:val="decimal"/>
      <w:lvlText w:val="%2."/>
      <w:lvlJc w:val="left"/>
      <w:pPr>
        <w:tabs>
          <w:tab w:val="num" w:pos="2120"/>
        </w:tabs>
        <w:ind w:left="2120" w:hanging="360"/>
      </w:pPr>
      <w:rPr>
        <w:rFonts w:cs="Times New Roman"/>
      </w:rPr>
    </w:lvl>
    <w:lvl w:ilvl="2" w:tplc="04020005">
      <w:start w:val="1"/>
      <w:numFmt w:val="bullet"/>
      <w:lvlText w:val=""/>
      <w:lvlJc w:val="left"/>
      <w:pPr>
        <w:tabs>
          <w:tab w:val="num" w:pos="2840"/>
        </w:tabs>
        <w:ind w:left="2840" w:hanging="360"/>
      </w:pPr>
      <w:rPr>
        <w:rFonts w:ascii="Symbol" w:hAnsi="Symbol" w:hint="default"/>
      </w:rPr>
    </w:lvl>
    <w:lvl w:ilvl="3" w:tplc="04020001">
      <w:start w:val="1"/>
      <w:numFmt w:val="decimal"/>
      <w:lvlText w:val="%4."/>
      <w:lvlJc w:val="left"/>
      <w:pPr>
        <w:tabs>
          <w:tab w:val="num" w:pos="3560"/>
        </w:tabs>
        <w:ind w:left="3560" w:hanging="360"/>
      </w:pPr>
      <w:rPr>
        <w:rFonts w:cs="Times New Roman"/>
      </w:rPr>
    </w:lvl>
    <w:lvl w:ilvl="4" w:tplc="04020003">
      <w:start w:val="1"/>
      <w:numFmt w:val="bullet"/>
      <w:lvlText w:val=""/>
      <w:lvlJc w:val="left"/>
      <w:pPr>
        <w:tabs>
          <w:tab w:val="num" w:pos="4280"/>
        </w:tabs>
        <w:ind w:left="4280" w:hanging="360"/>
      </w:pPr>
      <w:rPr>
        <w:rFonts w:ascii="Symbol" w:hAnsi="Symbol" w:hint="default"/>
      </w:rPr>
    </w:lvl>
    <w:lvl w:ilvl="5" w:tplc="04020005" w:tentative="1">
      <w:start w:val="1"/>
      <w:numFmt w:val="bullet"/>
      <w:lvlText w:val=""/>
      <w:lvlJc w:val="left"/>
      <w:pPr>
        <w:tabs>
          <w:tab w:val="num" w:pos="5000"/>
        </w:tabs>
        <w:ind w:left="5000" w:hanging="360"/>
      </w:pPr>
      <w:rPr>
        <w:rFonts w:ascii="Wingdings" w:hAnsi="Wingdings" w:hint="default"/>
      </w:rPr>
    </w:lvl>
    <w:lvl w:ilvl="6" w:tplc="04020001" w:tentative="1">
      <w:start w:val="1"/>
      <w:numFmt w:val="bullet"/>
      <w:lvlText w:val=""/>
      <w:lvlJc w:val="left"/>
      <w:pPr>
        <w:tabs>
          <w:tab w:val="num" w:pos="5720"/>
        </w:tabs>
        <w:ind w:left="5720" w:hanging="360"/>
      </w:pPr>
      <w:rPr>
        <w:rFonts w:ascii="Symbol" w:hAnsi="Symbol" w:hint="default"/>
      </w:rPr>
    </w:lvl>
    <w:lvl w:ilvl="7" w:tplc="04020003" w:tentative="1">
      <w:start w:val="1"/>
      <w:numFmt w:val="bullet"/>
      <w:lvlText w:val="o"/>
      <w:lvlJc w:val="left"/>
      <w:pPr>
        <w:tabs>
          <w:tab w:val="num" w:pos="6440"/>
        </w:tabs>
        <w:ind w:left="6440" w:hanging="360"/>
      </w:pPr>
      <w:rPr>
        <w:rFonts w:ascii="Courier New" w:hAnsi="Courier New" w:hint="default"/>
      </w:rPr>
    </w:lvl>
    <w:lvl w:ilvl="8" w:tplc="04020005" w:tentative="1">
      <w:start w:val="1"/>
      <w:numFmt w:val="bullet"/>
      <w:lvlText w:val=""/>
      <w:lvlJc w:val="left"/>
      <w:pPr>
        <w:tabs>
          <w:tab w:val="num" w:pos="7160"/>
        </w:tabs>
        <w:ind w:left="7160" w:hanging="360"/>
      </w:pPr>
      <w:rPr>
        <w:rFonts w:ascii="Wingdings" w:hAnsi="Wingdings" w:hint="default"/>
      </w:rPr>
    </w:lvl>
  </w:abstractNum>
  <w:abstractNum w:abstractNumId="328" w15:restartNumberingAfterBreak="0">
    <w:nsid w:val="60444AA0"/>
    <w:multiLevelType w:val="hybridMultilevel"/>
    <w:tmpl w:val="21DE976E"/>
    <w:lvl w:ilvl="0" w:tplc="0402000B">
      <w:start w:val="1"/>
      <w:numFmt w:val="bullet"/>
      <w:lvlText w:val=""/>
      <w:lvlJc w:val="left"/>
      <w:pPr>
        <w:tabs>
          <w:tab w:val="num" w:pos="1080"/>
        </w:tabs>
        <w:ind w:left="1080" w:hanging="360"/>
      </w:pPr>
      <w:rPr>
        <w:rFonts w:ascii="Symbol" w:hAnsi="Symbol" w:hint="default"/>
      </w:rPr>
    </w:lvl>
    <w:lvl w:ilvl="1" w:tplc="0402000F">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329" w15:restartNumberingAfterBreak="0">
    <w:nsid w:val="606439D9"/>
    <w:multiLevelType w:val="hybridMultilevel"/>
    <w:tmpl w:val="D53C05F4"/>
    <w:lvl w:ilvl="0" w:tplc="0402000F">
      <w:start w:val="1"/>
      <w:numFmt w:val="bullet"/>
      <w:lvlText w:val=""/>
      <w:lvlJc w:val="left"/>
      <w:pPr>
        <w:ind w:left="1068" w:hanging="360"/>
      </w:pPr>
      <w:rPr>
        <w:rFonts w:ascii="Symbol" w:hAnsi="Symbol" w:hint="default"/>
      </w:rPr>
    </w:lvl>
    <w:lvl w:ilvl="1" w:tplc="04020019" w:tentative="1">
      <w:start w:val="1"/>
      <w:numFmt w:val="bullet"/>
      <w:lvlText w:val="o"/>
      <w:lvlJc w:val="left"/>
      <w:pPr>
        <w:ind w:left="1788" w:hanging="360"/>
      </w:pPr>
      <w:rPr>
        <w:rFonts w:ascii="Courier New" w:hAnsi="Courier New" w:cs="Courier New" w:hint="default"/>
      </w:rPr>
    </w:lvl>
    <w:lvl w:ilvl="2" w:tplc="0402001B" w:tentative="1">
      <w:start w:val="1"/>
      <w:numFmt w:val="bullet"/>
      <w:lvlText w:val=""/>
      <w:lvlJc w:val="left"/>
      <w:pPr>
        <w:ind w:left="2508" w:hanging="360"/>
      </w:pPr>
      <w:rPr>
        <w:rFonts w:ascii="Wingdings" w:hAnsi="Wingdings" w:hint="default"/>
      </w:rPr>
    </w:lvl>
    <w:lvl w:ilvl="3" w:tplc="0402000F" w:tentative="1">
      <w:start w:val="1"/>
      <w:numFmt w:val="bullet"/>
      <w:lvlText w:val=""/>
      <w:lvlJc w:val="left"/>
      <w:pPr>
        <w:ind w:left="3228" w:hanging="360"/>
      </w:pPr>
      <w:rPr>
        <w:rFonts w:ascii="Symbol" w:hAnsi="Symbol" w:hint="default"/>
      </w:rPr>
    </w:lvl>
    <w:lvl w:ilvl="4" w:tplc="04020019" w:tentative="1">
      <w:start w:val="1"/>
      <w:numFmt w:val="bullet"/>
      <w:lvlText w:val="o"/>
      <w:lvlJc w:val="left"/>
      <w:pPr>
        <w:ind w:left="3948" w:hanging="360"/>
      </w:pPr>
      <w:rPr>
        <w:rFonts w:ascii="Courier New" w:hAnsi="Courier New" w:cs="Courier New" w:hint="default"/>
      </w:rPr>
    </w:lvl>
    <w:lvl w:ilvl="5" w:tplc="0402001B" w:tentative="1">
      <w:start w:val="1"/>
      <w:numFmt w:val="bullet"/>
      <w:lvlText w:val=""/>
      <w:lvlJc w:val="left"/>
      <w:pPr>
        <w:ind w:left="4668" w:hanging="360"/>
      </w:pPr>
      <w:rPr>
        <w:rFonts w:ascii="Wingdings" w:hAnsi="Wingdings" w:hint="default"/>
      </w:rPr>
    </w:lvl>
    <w:lvl w:ilvl="6" w:tplc="0402000F" w:tentative="1">
      <w:start w:val="1"/>
      <w:numFmt w:val="bullet"/>
      <w:lvlText w:val=""/>
      <w:lvlJc w:val="left"/>
      <w:pPr>
        <w:ind w:left="5388" w:hanging="360"/>
      </w:pPr>
      <w:rPr>
        <w:rFonts w:ascii="Symbol" w:hAnsi="Symbol" w:hint="default"/>
      </w:rPr>
    </w:lvl>
    <w:lvl w:ilvl="7" w:tplc="04020019" w:tentative="1">
      <w:start w:val="1"/>
      <w:numFmt w:val="bullet"/>
      <w:lvlText w:val="o"/>
      <w:lvlJc w:val="left"/>
      <w:pPr>
        <w:ind w:left="6108" w:hanging="360"/>
      </w:pPr>
      <w:rPr>
        <w:rFonts w:ascii="Courier New" w:hAnsi="Courier New" w:cs="Courier New" w:hint="default"/>
      </w:rPr>
    </w:lvl>
    <w:lvl w:ilvl="8" w:tplc="0402001B" w:tentative="1">
      <w:start w:val="1"/>
      <w:numFmt w:val="bullet"/>
      <w:lvlText w:val=""/>
      <w:lvlJc w:val="left"/>
      <w:pPr>
        <w:ind w:left="6828" w:hanging="360"/>
      </w:pPr>
      <w:rPr>
        <w:rFonts w:ascii="Wingdings" w:hAnsi="Wingdings" w:hint="default"/>
      </w:rPr>
    </w:lvl>
  </w:abstractNum>
  <w:abstractNum w:abstractNumId="330" w15:restartNumberingAfterBreak="0">
    <w:nsid w:val="60D64AE9"/>
    <w:multiLevelType w:val="singleLevel"/>
    <w:tmpl w:val="13143D0E"/>
    <w:lvl w:ilvl="0">
      <w:start w:val="1"/>
      <w:numFmt w:val="bullet"/>
      <w:lvlText w:val=""/>
      <w:lvlJc w:val="left"/>
      <w:pPr>
        <w:tabs>
          <w:tab w:val="num" w:pos="757"/>
        </w:tabs>
        <w:ind w:left="284" w:firstLine="113"/>
      </w:pPr>
      <w:rPr>
        <w:rFonts w:ascii="Symbol" w:hAnsi="Symbol" w:hint="default"/>
      </w:rPr>
    </w:lvl>
  </w:abstractNum>
  <w:abstractNum w:abstractNumId="331" w15:restartNumberingAfterBreak="0">
    <w:nsid w:val="60FD0768"/>
    <w:multiLevelType w:val="hybridMultilevel"/>
    <w:tmpl w:val="83EA220C"/>
    <w:lvl w:ilvl="0" w:tplc="8DEE69B8">
      <w:start w:val="1"/>
      <w:numFmt w:val="bullet"/>
      <w:lvlText w:val=""/>
      <w:lvlJc w:val="left"/>
      <w:pPr>
        <w:ind w:left="720" w:hanging="360"/>
      </w:pPr>
      <w:rPr>
        <w:rFonts w:ascii="Symbol" w:hAnsi="Symbol" w:hint="default"/>
      </w:rPr>
    </w:lvl>
    <w:lvl w:ilvl="1" w:tplc="1EECA3F6" w:tentative="1">
      <w:start w:val="1"/>
      <w:numFmt w:val="bullet"/>
      <w:lvlText w:val="o"/>
      <w:lvlJc w:val="left"/>
      <w:pPr>
        <w:ind w:left="1440" w:hanging="360"/>
      </w:pPr>
      <w:rPr>
        <w:rFonts w:ascii="Courier New" w:hAnsi="Courier New" w:cs="Courier New" w:hint="default"/>
      </w:rPr>
    </w:lvl>
    <w:lvl w:ilvl="2" w:tplc="85F6C11E" w:tentative="1">
      <w:start w:val="1"/>
      <w:numFmt w:val="bullet"/>
      <w:lvlText w:val=""/>
      <w:lvlJc w:val="left"/>
      <w:pPr>
        <w:ind w:left="2160" w:hanging="360"/>
      </w:pPr>
      <w:rPr>
        <w:rFonts w:ascii="Wingdings" w:hAnsi="Wingdings" w:hint="default"/>
      </w:rPr>
    </w:lvl>
    <w:lvl w:ilvl="3" w:tplc="2E02494A" w:tentative="1">
      <w:start w:val="1"/>
      <w:numFmt w:val="bullet"/>
      <w:lvlText w:val=""/>
      <w:lvlJc w:val="left"/>
      <w:pPr>
        <w:ind w:left="2880" w:hanging="360"/>
      </w:pPr>
      <w:rPr>
        <w:rFonts w:ascii="Symbol" w:hAnsi="Symbol" w:hint="default"/>
      </w:rPr>
    </w:lvl>
    <w:lvl w:ilvl="4" w:tplc="241E1CDA" w:tentative="1">
      <w:start w:val="1"/>
      <w:numFmt w:val="bullet"/>
      <w:lvlText w:val="o"/>
      <w:lvlJc w:val="left"/>
      <w:pPr>
        <w:ind w:left="3600" w:hanging="360"/>
      </w:pPr>
      <w:rPr>
        <w:rFonts w:ascii="Courier New" w:hAnsi="Courier New" w:cs="Courier New" w:hint="default"/>
      </w:rPr>
    </w:lvl>
    <w:lvl w:ilvl="5" w:tplc="5728FD2A" w:tentative="1">
      <w:start w:val="1"/>
      <w:numFmt w:val="bullet"/>
      <w:lvlText w:val=""/>
      <w:lvlJc w:val="left"/>
      <w:pPr>
        <w:ind w:left="4320" w:hanging="360"/>
      </w:pPr>
      <w:rPr>
        <w:rFonts w:ascii="Wingdings" w:hAnsi="Wingdings" w:hint="default"/>
      </w:rPr>
    </w:lvl>
    <w:lvl w:ilvl="6" w:tplc="D60C3A68" w:tentative="1">
      <w:start w:val="1"/>
      <w:numFmt w:val="bullet"/>
      <w:lvlText w:val=""/>
      <w:lvlJc w:val="left"/>
      <w:pPr>
        <w:ind w:left="5040" w:hanging="360"/>
      </w:pPr>
      <w:rPr>
        <w:rFonts w:ascii="Symbol" w:hAnsi="Symbol" w:hint="default"/>
      </w:rPr>
    </w:lvl>
    <w:lvl w:ilvl="7" w:tplc="2110E8C4" w:tentative="1">
      <w:start w:val="1"/>
      <w:numFmt w:val="bullet"/>
      <w:lvlText w:val="o"/>
      <w:lvlJc w:val="left"/>
      <w:pPr>
        <w:ind w:left="5760" w:hanging="360"/>
      </w:pPr>
      <w:rPr>
        <w:rFonts w:ascii="Courier New" w:hAnsi="Courier New" w:cs="Courier New" w:hint="default"/>
      </w:rPr>
    </w:lvl>
    <w:lvl w:ilvl="8" w:tplc="4F0E3E16" w:tentative="1">
      <w:start w:val="1"/>
      <w:numFmt w:val="bullet"/>
      <w:lvlText w:val=""/>
      <w:lvlJc w:val="left"/>
      <w:pPr>
        <w:ind w:left="6480" w:hanging="360"/>
      </w:pPr>
      <w:rPr>
        <w:rFonts w:ascii="Wingdings" w:hAnsi="Wingdings" w:hint="default"/>
      </w:rPr>
    </w:lvl>
  </w:abstractNum>
  <w:abstractNum w:abstractNumId="332" w15:restartNumberingAfterBreak="0">
    <w:nsid w:val="61596F96"/>
    <w:multiLevelType w:val="hybridMultilevel"/>
    <w:tmpl w:val="3F227A36"/>
    <w:lvl w:ilvl="0" w:tplc="93C8FAAE">
      <w:start w:val="1"/>
      <w:numFmt w:val="bullet"/>
      <w:lvlText w:val=""/>
      <w:lvlJc w:val="left"/>
      <w:pPr>
        <w:ind w:left="720" w:hanging="360"/>
      </w:pPr>
      <w:rPr>
        <w:rFonts w:ascii="Symbol" w:hAnsi="Symbol" w:hint="default"/>
      </w:rPr>
    </w:lvl>
    <w:lvl w:ilvl="1" w:tplc="6C9C0C6E" w:tentative="1">
      <w:start w:val="1"/>
      <w:numFmt w:val="bullet"/>
      <w:lvlText w:val="o"/>
      <w:lvlJc w:val="left"/>
      <w:pPr>
        <w:ind w:left="1440" w:hanging="360"/>
      </w:pPr>
      <w:rPr>
        <w:rFonts w:ascii="Courier New" w:hAnsi="Courier New" w:cs="Courier New" w:hint="default"/>
      </w:rPr>
    </w:lvl>
    <w:lvl w:ilvl="2" w:tplc="166A4310" w:tentative="1">
      <w:start w:val="1"/>
      <w:numFmt w:val="bullet"/>
      <w:lvlText w:val=""/>
      <w:lvlJc w:val="left"/>
      <w:pPr>
        <w:ind w:left="2160" w:hanging="360"/>
      </w:pPr>
      <w:rPr>
        <w:rFonts w:ascii="Wingdings" w:hAnsi="Wingdings" w:hint="default"/>
      </w:rPr>
    </w:lvl>
    <w:lvl w:ilvl="3" w:tplc="4B0C6546" w:tentative="1">
      <w:start w:val="1"/>
      <w:numFmt w:val="bullet"/>
      <w:lvlText w:val=""/>
      <w:lvlJc w:val="left"/>
      <w:pPr>
        <w:ind w:left="2880" w:hanging="360"/>
      </w:pPr>
      <w:rPr>
        <w:rFonts w:ascii="Symbol" w:hAnsi="Symbol" w:hint="default"/>
      </w:rPr>
    </w:lvl>
    <w:lvl w:ilvl="4" w:tplc="C2D02AA2" w:tentative="1">
      <w:start w:val="1"/>
      <w:numFmt w:val="bullet"/>
      <w:lvlText w:val="o"/>
      <w:lvlJc w:val="left"/>
      <w:pPr>
        <w:ind w:left="3600" w:hanging="360"/>
      </w:pPr>
      <w:rPr>
        <w:rFonts w:ascii="Courier New" w:hAnsi="Courier New" w:cs="Courier New" w:hint="default"/>
      </w:rPr>
    </w:lvl>
    <w:lvl w:ilvl="5" w:tplc="F0CEAEDA" w:tentative="1">
      <w:start w:val="1"/>
      <w:numFmt w:val="bullet"/>
      <w:lvlText w:val=""/>
      <w:lvlJc w:val="left"/>
      <w:pPr>
        <w:ind w:left="4320" w:hanging="360"/>
      </w:pPr>
      <w:rPr>
        <w:rFonts w:ascii="Wingdings" w:hAnsi="Wingdings" w:hint="default"/>
      </w:rPr>
    </w:lvl>
    <w:lvl w:ilvl="6" w:tplc="8C9A585A" w:tentative="1">
      <w:start w:val="1"/>
      <w:numFmt w:val="bullet"/>
      <w:lvlText w:val=""/>
      <w:lvlJc w:val="left"/>
      <w:pPr>
        <w:ind w:left="5040" w:hanging="360"/>
      </w:pPr>
      <w:rPr>
        <w:rFonts w:ascii="Symbol" w:hAnsi="Symbol" w:hint="default"/>
      </w:rPr>
    </w:lvl>
    <w:lvl w:ilvl="7" w:tplc="03E8152C" w:tentative="1">
      <w:start w:val="1"/>
      <w:numFmt w:val="bullet"/>
      <w:lvlText w:val="o"/>
      <w:lvlJc w:val="left"/>
      <w:pPr>
        <w:ind w:left="5760" w:hanging="360"/>
      </w:pPr>
      <w:rPr>
        <w:rFonts w:ascii="Courier New" w:hAnsi="Courier New" w:cs="Courier New" w:hint="default"/>
      </w:rPr>
    </w:lvl>
    <w:lvl w:ilvl="8" w:tplc="C18CC2F4" w:tentative="1">
      <w:start w:val="1"/>
      <w:numFmt w:val="bullet"/>
      <w:lvlText w:val=""/>
      <w:lvlJc w:val="left"/>
      <w:pPr>
        <w:ind w:left="6480" w:hanging="360"/>
      </w:pPr>
      <w:rPr>
        <w:rFonts w:ascii="Wingdings" w:hAnsi="Wingdings" w:hint="default"/>
      </w:rPr>
    </w:lvl>
  </w:abstractNum>
  <w:abstractNum w:abstractNumId="333" w15:restartNumberingAfterBreak="0">
    <w:nsid w:val="61B067E8"/>
    <w:multiLevelType w:val="multilevel"/>
    <w:tmpl w:val="BAB0A8E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4" w15:restartNumberingAfterBreak="0">
    <w:nsid w:val="61FA75B6"/>
    <w:multiLevelType w:val="multilevel"/>
    <w:tmpl w:val="50FC6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5" w15:restartNumberingAfterBreak="0">
    <w:nsid w:val="628D1858"/>
    <w:multiLevelType w:val="multilevel"/>
    <w:tmpl w:val="514C3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6" w15:restartNumberingAfterBreak="0">
    <w:nsid w:val="63063512"/>
    <w:multiLevelType w:val="hybridMultilevel"/>
    <w:tmpl w:val="57247414"/>
    <w:lvl w:ilvl="0" w:tplc="8E4C5A66">
      <w:start w:val="1"/>
      <w:numFmt w:val="bullet"/>
      <w:lvlText w:val=""/>
      <w:lvlJc w:val="left"/>
      <w:pPr>
        <w:ind w:left="720" w:hanging="360"/>
      </w:pPr>
      <w:rPr>
        <w:rFonts w:ascii="Symbol" w:hAnsi="Symbol" w:hint="default"/>
      </w:rPr>
    </w:lvl>
    <w:lvl w:ilvl="1" w:tplc="86D406E0" w:tentative="1">
      <w:start w:val="1"/>
      <w:numFmt w:val="bullet"/>
      <w:lvlText w:val="o"/>
      <w:lvlJc w:val="left"/>
      <w:pPr>
        <w:ind w:left="1440" w:hanging="360"/>
      </w:pPr>
      <w:rPr>
        <w:rFonts w:ascii="Courier New" w:hAnsi="Courier New" w:cs="Courier New" w:hint="default"/>
      </w:rPr>
    </w:lvl>
    <w:lvl w:ilvl="2" w:tplc="2E2CC0E4" w:tentative="1">
      <w:start w:val="1"/>
      <w:numFmt w:val="bullet"/>
      <w:lvlText w:val=""/>
      <w:lvlJc w:val="left"/>
      <w:pPr>
        <w:ind w:left="2160" w:hanging="360"/>
      </w:pPr>
      <w:rPr>
        <w:rFonts w:ascii="Wingdings" w:hAnsi="Wingdings" w:hint="default"/>
      </w:rPr>
    </w:lvl>
    <w:lvl w:ilvl="3" w:tplc="6994AA02" w:tentative="1">
      <w:start w:val="1"/>
      <w:numFmt w:val="bullet"/>
      <w:lvlText w:val=""/>
      <w:lvlJc w:val="left"/>
      <w:pPr>
        <w:ind w:left="2880" w:hanging="360"/>
      </w:pPr>
      <w:rPr>
        <w:rFonts w:ascii="Symbol" w:hAnsi="Symbol" w:hint="default"/>
      </w:rPr>
    </w:lvl>
    <w:lvl w:ilvl="4" w:tplc="8506C352" w:tentative="1">
      <w:start w:val="1"/>
      <w:numFmt w:val="bullet"/>
      <w:lvlText w:val="o"/>
      <w:lvlJc w:val="left"/>
      <w:pPr>
        <w:ind w:left="3600" w:hanging="360"/>
      </w:pPr>
      <w:rPr>
        <w:rFonts w:ascii="Courier New" w:hAnsi="Courier New" w:cs="Courier New" w:hint="default"/>
      </w:rPr>
    </w:lvl>
    <w:lvl w:ilvl="5" w:tplc="9DC29ED8" w:tentative="1">
      <w:start w:val="1"/>
      <w:numFmt w:val="bullet"/>
      <w:lvlText w:val=""/>
      <w:lvlJc w:val="left"/>
      <w:pPr>
        <w:ind w:left="4320" w:hanging="360"/>
      </w:pPr>
      <w:rPr>
        <w:rFonts w:ascii="Wingdings" w:hAnsi="Wingdings" w:hint="default"/>
      </w:rPr>
    </w:lvl>
    <w:lvl w:ilvl="6" w:tplc="3D66FFAA" w:tentative="1">
      <w:start w:val="1"/>
      <w:numFmt w:val="bullet"/>
      <w:lvlText w:val=""/>
      <w:lvlJc w:val="left"/>
      <w:pPr>
        <w:ind w:left="5040" w:hanging="360"/>
      </w:pPr>
      <w:rPr>
        <w:rFonts w:ascii="Symbol" w:hAnsi="Symbol" w:hint="default"/>
      </w:rPr>
    </w:lvl>
    <w:lvl w:ilvl="7" w:tplc="D798953C" w:tentative="1">
      <w:start w:val="1"/>
      <w:numFmt w:val="bullet"/>
      <w:lvlText w:val="o"/>
      <w:lvlJc w:val="left"/>
      <w:pPr>
        <w:ind w:left="5760" w:hanging="360"/>
      </w:pPr>
      <w:rPr>
        <w:rFonts w:ascii="Courier New" w:hAnsi="Courier New" w:cs="Courier New" w:hint="default"/>
      </w:rPr>
    </w:lvl>
    <w:lvl w:ilvl="8" w:tplc="AC8E55E8" w:tentative="1">
      <w:start w:val="1"/>
      <w:numFmt w:val="bullet"/>
      <w:lvlText w:val=""/>
      <w:lvlJc w:val="left"/>
      <w:pPr>
        <w:ind w:left="6480" w:hanging="360"/>
      </w:pPr>
      <w:rPr>
        <w:rFonts w:ascii="Wingdings" w:hAnsi="Wingdings" w:hint="default"/>
      </w:rPr>
    </w:lvl>
  </w:abstractNum>
  <w:abstractNum w:abstractNumId="337" w15:restartNumberingAfterBreak="0">
    <w:nsid w:val="63B8550E"/>
    <w:multiLevelType w:val="hybridMultilevel"/>
    <w:tmpl w:val="A104AE02"/>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338" w15:restartNumberingAfterBreak="0">
    <w:nsid w:val="63B85745"/>
    <w:multiLevelType w:val="hybridMultilevel"/>
    <w:tmpl w:val="52FE38A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9" w15:restartNumberingAfterBreak="0">
    <w:nsid w:val="640E3319"/>
    <w:multiLevelType w:val="hybridMultilevel"/>
    <w:tmpl w:val="E48C75BE"/>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340" w15:restartNumberingAfterBreak="0">
    <w:nsid w:val="641017CF"/>
    <w:multiLevelType w:val="hybridMultilevel"/>
    <w:tmpl w:val="35D22F1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1" w15:restartNumberingAfterBreak="0">
    <w:nsid w:val="64CE70BB"/>
    <w:multiLevelType w:val="hybridMultilevel"/>
    <w:tmpl w:val="2702038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2" w15:restartNumberingAfterBreak="0">
    <w:nsid w:val="651B0DE7"/>
    <w:multiLevelType w:val="multilevel"/>
    <w:tmpl w:val="651B0DE7"/>
    <w:lvl w:ilvl="0">
      <w:start w:val="65535"/>
      <w:numFmt w:val="bullet"/>
      <w:lvlText w:val="•"/>
      <w:lvlJc w:val="left"/>
      <w:pPr>
        <w:ind w:left="1800" w:hanging="360"/>
      </w:pPr>
      <w:rPr>
        <w:rFonts w:ascii="Arial" w:hAnsi="Arial" w:cs="Aria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343" w15:restartNumberingAfterBreak="0">
    <w:nsid w:val="65652C3B"/>
    <w:multiLevelType w:val="hybridMultilevel"/>
    <w:tmpl w:val="2408ACB8"/>
    <w:lvl w:ilvl="0" w:tplc="04020001">
      <w:start w:val="1"/>
      <w:numFmt w:val="bullet"/>
      <w:lvlText w:val=""/>
      <w:lvlJc w:val="left"/>
      <w:pPr>
        <w:tabs>
          <w:tab w:val="num" w:pos="1440"/>
        </w:tabs>
        <w:ind w:left="1440" w:hanging="360"/>
      </w:pPr>
      <w:rPr>
        <w:rFonts w:ascii="Symbol" w:hAnsi="Symbol" w:cs="Symbol" w:hint="default"/>
      </w:rPr>
    </w:lvl>
    <w:lvl w:ilvl="1" w:tplc="04020003">
      <w:start w:val="1"/>
      <w:numFmt w:val="bullet"/>
      <w:lvlText w:val="o"/>
      <w:lvlJc w:val="left"/>
      <w:pPr>
        <w:tabs>
          <w:tab w:val="num" w:pos="2160"/>
        </w:tabs>
        <w:ind w:left="2160" w:hanging="360"/>
      </w:pPr>
      <w:rPr>
        <w:rFonts w:ascii="Courier New" w:hAnsi="Courier New" w:cs="Courier New" w:hint="default"/>
      </w:rPr>
    </w:lvl>
    <w:lvl w:ilvl="2" w:tplc="04020005">
      <w:start w:val="1"/>
      <w:numFmt w:val="bullet"/>
      <w:lvlText w:val=""/>
      <w:lvlJc w:val="left"/>
      <w:pPr>
        <w:tabs>
          <w:tab w:val="num" w:pos="2880"/>
        </w:tabs>
        <w:ind w:left="2880" w:hanging="360"/>
      </w:pPr>
      <w:rPr>
        <w:rFonts w:ascii="Wingdings" w:hAnsi="Wingdings" w:cs="Wingdings" w:hint="default"/>
      </w:rPr>
    </w:lvl>
    <w:lvl w:ilvl="3" w:tplc="04020001">
      <w:start w:val="1"/>
      <w:numFmt w:val="bullet"/>
      <w:lvlText w:val=""/>
      <w:lvlJc w:val="left"/>
      <w:pPr>
        <w:tabs>
          <w:tab w:val="num" w:pos="3600"/>
        </w:tabs>
        <w:ind w:left="3600" w:hanging="360"/>
      </w:pPr>
      <w:rPr>
        <w:rFonts w:ascii="Symbol" w:hAnsi="Symbol" w:cs="Symbol" w:hint="default"/>
      </w:rPr>
    </w:lvl>
    <w:lvl w:ilvl="4" w:tplc="04020003">
      <w:start w:val="1"/>
      <w:numFmt w:val="bullet"/>
      <w:lvlText w:val="o"/>
      <w:lvlJc w:val="left"/>
      <w:pPr>
        <w:tabs>
          <w:tab w:val="num" w:pos="4320"/>
        </w:tabs>
        <w:ind w:left="4320" w:hanging="360"/>
      </w:pPr>
      <w:rPr>
        <w:rFonts w:ascii="Courier New" w:hAnsi="Courier New" w:cs="Courier New" w:hint="default"/>
      </w:rPr>
    </w:lvl>
    <w:lvl w:ilvl="5" w:tplc="04020005">
      <w:start w:val="1"/>
      <w:numFmt w:val="bullet"/>
      <w:lvlText w:val=""/>
      <w:lvlJc w:val="left"/>
      <w:pPr>
        <w:tabs>
          <w:tab w:val="num" w:pos="5040"/>
        </w:tabs>
        <w:ind w:left="5040" w:hanging="360"/>
      </w:pPr>
      <w:rPr>
        <w:rFonts w:ascii="Wingdings" w:hAnsi="Wingdings" w:cs="Wingdings" w:hint="default"/>
      </w:rPr>
    </w:lvl>
    <w:lvl w:ilvl="6" w:tplc="04020001">
      <w:start w:val="1"/>
      <w:numFmt w:val="bullet"/>
      <w:lvlText w:val=""/>
      <w:lvlJc w:val="left"/>
      <w:pPr>
        <w:tabs>
          <w:tab w:val="num" w:pos="5760"/>
        </w:tabs>
        <w:ind w:left="5760" w:hanging="360"/>
      </w:pPr>
      <w:rPr>
        <w:rFonts w:ascii="Symbol" w:hAnsi="Symbol" w:cs="Symbol" w:hint="default"/>
      </w:rPr>
    </w:lvl>
    <w:lvl w:ilvl="7" w:tplc="04020003">
      <w:start w:val="1"/>
      <w:numFmt w:val="bullet"/>
      <w:lvlText w:val="o"/>
      <w:lvlJc w:val="left"/>
      <w:pPr>
        <w:tabs>
          <w:tab w:val="num" w:pos="6480"/>
        </w:tabs>
        <w:ind w:left="6480" w:hanging="360"/>
      </w:pPr>
      <w:rPr>
        <w:rFonts w:ascii="Courier New" w:hAnsi="Courier New" w:cs="Courier New" w:hint="default"/>
      </w:rPr>
    </w:lvl>
    <w:lvl w:ilvl="8" w:tplc="04020005">
      <w:start w:val="1"/>
      <w:numFmt w:val="bullet"/>
      <w:lvlText w:val=""/>
      <w:lvlJc w:val="left"/>
      <w:pPr>
        <w:tabs>
          <w:tab w:val="num" w:pos="7200"/>
        </w:tabs>
        <w:ind w:left="7200" w:hanging="360"/>
      </w:pPr>
      <w:rPr>
        <w:rFonts w:ascii="Wingdings" w:hAnsi="Wingdings" w:cs="Wingdings" w:hint="default"/>
      </w:rPr>
    </w:lvl>
  </w:abstractNum>
  <w:abstractNum w:abstractNumId="344" w15:restartNumberingAfterBreak="0">
    <w:nsid w:val="65664689"/>
    <w:multiLevelType w:val="hybridMultilevel"/>
    <w:tmpl w:val="70BAF2DA"/>
    <w:lvl w:ilvl="0" w:tplc="04020001">
      <w:start w:val="1"/>
      <w:numFmt w:val="bullet"/>
      <w:lvlText w:val=""/>
      <w:lvlJc w:val="left"/>
      <w:pPr>
        <w:ind w:left="786" w:hanging="360"/>
      </w:pPr>
      <w:rPr>
        <w:rFonts w:ascii="Symbol" w:hAnsi="Symbol" w:hint="default"/>
      </w:rPr>
    </w:lvl>
    <w:lvl w:ilvl="1" w:tplc="04090005">
      <w:start w:val="1"/>
      <w:numFmt w:val="bullet"/>
      <w:lvlText w:val=""/>
      <w:lvlJc w:val="left"/>
      <w:pPr>
        <w:ind w:left="1506" w:hanging="360"/>
      </w:pPr>
      <w:rPr>
        <w:rFonts w:ascii="Wingdings" w:hAnsi="Wingdings" w:hint="default"/>
      </w:rPr>
    </w:lvl>
    <w:lvl w:ilvl="2" w:tplc="0402001B">
      <w:start w:val="1"/>
      <w:numFmt w:val="lowerRoman"/>
      <w:lvlText w:val="%3."/>
      <w:lvlJc w:val="right"/>
      <w:pPr>
        <w:ind w:left="2226" w:hanging="180"/>
      </w:pPr>
    </w:lvl>
    <w:lvl w:ilvl="3" w:tplc="04020001">
      <w:start w:val="1"/>
      <w:numFmt w:val="bullet"/>
      <w:lvlText w:val=""/>
      <w:lvlJc w:val="left"/>
      <w:pPr>
        <w:ind w:left="2946" w:hanging="360"/>
      </w:pPr>
      <w:rPr>
        <w:rFonts w:ascii="Symbol" w:hAnsi="Symbol" w:hint="default"/>
        <w:b/>
      </w:rPr>
    </w:lvl>
    <w:lvl w:ilvl="4" w:tplc="04020019">
      <w:start w:val="1"/>
      <w:numFmt w:val="lowerLetter"/>
      <w:lvlText w:val="%5."/>
      <w:lvlJc w:val="left"/>
      <w:pPr>
        <w:ind w:left="3666" w:hanging="360"/>
      </w:pPr>
    </w:lvl>
    <w:lvl w:ilvl="5" w:tplc="0402001B">
      <w:start w:val="1"/>
      <w:numFmt w:val="lowerRoman"/>
      <w:lvlText w:val="%6."/>
      <w:lvlJc w:val="right"/>
      <w:pPr>
        <w:ind w:left="4386" w:hanging="180"/>
      </w:pPr>
    </w:lvl>
    <w:lvl w:ilvl="6" w:tplc="0402000F">
      <w:start w:val="1"/>
      <w:numFmt w:val="decimal"/>
      <w:lvlText w:val="%7."/>
      <w:lvlJc w:val="left"/>
      <w:pPr>
        <w:ind w:left="5106" w:hanging="360"/>
      </w:pPr>
    </w:lvl>
    <w:lvl w:ilvl="7" w:tplc="04020019">
      <w:start w:val="1"/>
      <w:numFmt w:val="lowerLetter"/>
      <w:lvlText w:val="%8."/>
      <w:lvlJc w:val="left"/>
      <w:pPr>
        <w:ind w:left="5826" w:hanging="360"/>
      </w:pPr>
    </w:lvl>
    <w:lvl w:ilvl="8" w:tplc="0402001B">
      <w:start w:val="1"/>
      <w:numFmt w:val="lowerRoman"/>
      <w:lvlText w:val="%9."/>
      <w:lvlJc w:val="right"/>
      <w:pPr>
        <w:ind w:left="6546" w:hanging="180"/>
      </w:pPr>
    </w:lvl>
  </w:abstractNum>
  <w:abstractNum w:abstractNumId="345" w15:restartNumberingAfterBreak="0">
    <w:nsid w:val="65B467F8"/>
    <w:multiLevelType w:val="hybridMultilevel"/>
    <w:tmpl w:val="DC789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6" w15:restartNumberingAfterBreak="0">
    <w:nsid w:val="66662165"/>
    <w:multiLevelType w:val="hybridMultilevel"/>
    <w:tmpl w:val="A6D6CDB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347" w15:restartNumberingAfterBreak="0">
    <w:nsid w:val="66FD459E"/>
    <w:multiLevelType w:val="hybridMultilevel"/>
    <w:tmpl w:val="E9501FA0"/>
    <w:lvl w:ilvl="0" w:tplc="0402000F">
      <w:start w:val="1"/>
      <w:numFmt w:val="bullet"/>
      <w:lvlText w:val=""/>
      <w:lvlJc w:val="left"/>
      <w:pPr>
        <w:ind w:left="720" w:hanging="360"/>
      </w:pPr>
      <w:rPr>
        <w:rFonts w:ascii="Symbol" w:hAnsi="Symbol" w:hint="default"/>
      </w:rPr>
    </w:lvl>
    <w:lvl w:ilvl="1" w:tplc="04020019" w:tentative="1">
      <w:start w:val="1"/>
      <w:numFmt w:val="bullet"/>
      <w:lvlText w:val="o"/>
      <w:lvlJc w:val="left"/>
      <w:pPr>
        <w:ind w:left="1440" w:hanging="360"/>
      </w:pPr>
      <w:rPr>
        <w:rFonts w:ascii="Courier New" w:hAnsi="Courier New" w:hint="default"/>
      </w:rPr>
    </w:lvl>
    <w:lvl w:ilvl="2" w:tplc="0402001B" w:tentative="1">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348" w15:restartNumberingAfterBreak="0">
    <w:nsid w:val="67753904"/>
    <w:multiLevelType w:val="hybridMultilevel"/>
    <w:tmpl w:val="3CCA605A"/>
    <w:lvl w:ilvl="0" w:tplc="04020001">
      <w:start w:val="1"/>
      <w:numFmt w:val="bullet"/>
      <w:lvlText w:val=""/>
      <w:lvlJc w:val="left"/>
      <w:pPr>
        <w:tabs>
          <w:tab w:val="num" w:pos="643"/>
        </w:tabs>
        <w:ind w:left="643" w:hanging="360"/>
      </w:pPr>
      <w:rPr>
        <w:rFonts w:ascii="Wingdings" w:hAnsi="Wingdings" w:cs="Wingdings" w:hint="default"/>
      </w:rPr>
    </w:lvl>
    <w:lvl w:ilvl="1" w:tplc="04020003">
      <w:start w:val="164"/>
      <w:numFmt w:val="bullet"/>
      <w:lvlText w:val="•"/>
      <w:lvlJc w:val="left"/>
      <w:pPr>
        <w:tabs>
          <w:tab w:val="num" w:pos="1506"/>
        </w:tabs>
        <w:ind w:left="1506" w:hanging="360"/>
      </w:pPr>
      <w:rPr>
        <w:rFonts w:ascii="Verdana" w:hAnsi="Verdana" w:cs="Verdana" w:hint="default"/>
      </w:rPr>
    </w:lvl>
    <w:lvl w:ilvl="2" w:tplc="04020005">
      <w:start w:val="1"/>
      <w:numFmt w:val="bullet"/>
      <w:lvlText w:val=""/>
      <w:lvlJc w:val="left"/>
      <w:pPr>
        <w:tabs>
          <w:tab w:val="num" w:pos="2226"/>
        </w:tabs>
        <w:ind w:left="2226" w:hanging="360"/>
      </w:pPr>
      <w:rPr>
        <w:rFonts w:ascii="Wingdings" w:hAnsi="Wingdings" w:hint="default"/>
      </w:rPr>
    </w:lvl>
    <w:lvl w:ilvl="3" w:tplc="04020001">
      <w:start w:val="1"/>
      <w:numFmt w:val="bullet"/>
      <w:lvlText w:val=""/>
      <w:lvlJc w:val="left"/>
      <w:pPr>
        <w:tabs>
          <w:tab w:val="num" w:pos="2946"/>
        </w:tabs>
        <w:ind w:left="2946" w:hanging="360"/>
      </w:pPr>
      <w:rPr>
        <w:rFonts w:ascii="Wingdings" w:hAnsi="Wingdings" w:cs="Wingdings" w:hint="default"/>
      </w:rPr>
    </w:lvl>
    <w:lvl w:ilvl="4" w:tplc="04020003">
      <w:start w:val="1"/>
      <w:numFmt w:val="bullet"/>
      <w:lvlText w:val=""/>
      <w:lvlJc w:val="left"/>
      <w:pPr>
        <w:tabs>
          <w:tab w:val="num" w:pos="3666"/>
        </w:tabs>
        <w:ind w:left="3666" w:hanging="360"/>
      </w:pPr>
      <w:rPr>
        <w:rFonts w:ascii="Wingdings" w:hAnsi="Wingdings" w:cs="Wingdings" w:hint="default"/>
      </w:rPr>
    </w:lvl>
    <w:lvl w:ilvl="5" w:tplc="04020005">
      <w:start w:val="1"/>
      <w:numFmt w:val="bullet"/>
      <w:lvlText w:val=""/>
      <w:lvlJc w:val="left"/>
      <w:pPr>
        <w:tabs>
          <w:tab w:val="num" w:pos="4386"/>
        </w:tabs>
        <w:ind w:left="4386" w:hanging="360"/>
      </w:pPr>
      <w:rPr>
        <w:rFonts w:ascii="Wingdings" w:hAnsi="Wingdings" w:cs="Wingdings" w:hint="default"/>
      </w:rPr>
    </w:lvl>
    <w:lvl w:ilvl="6" w:tplc="04020001">
      <w:start w:val="1"/>
      <w:numFmt w:val="bullet"/>
      <w:lvlText w:val=""/>
      <w:lvlJc w:val="left"/>
      <w:pPr>
        <w:tabs>
          <w:tab w:val="num" w:pos="5106"/>
        </w:tabs>
        <w:ind w:left="5106" w:hanging="360"/>
      </w:pPr>
      <w:rPr>
        <w:rFonts w:ascii="Wingdings" w:hAnsi="Wingdings" w:cs="Wingdings" w:hint="default"/>
      </w:rPr>
    </w:lvl>
    <w:lvl w:ilvl="7" w:tplc="04020003">
      <w:start w:val="1"/>
      <w:numFmt w:val="bullet"/>
      <w:lvlText w:val=""/>
      <w:lvlJc w:val="left"/>
      <w:pPr>
        <w:tabs>
          <w:tab w:val="num" w:pos="5826"/>
        </w:tabs>
        <w:ind w:left="5826" w:hanging="360"/>
      </w:pPr>
      <w:rPr>
        <w:rFonts w:ascii="Wingdings" w:hAnsi="Wingdings" w:cs="Wingdings" w:hint="default"/>
      </w:rPr>
    </w:lvl>
    <w:lvl w:ilvl="8" w:tplc="04020005">
      <w:start w:val="1"/>
      <w:numFmt w:val="bullet"/>
      <w:lvlText w:val=""/>
      <w:lvlJc w:val="left"/>
      <w:pPr>
        <w:tabs>
          <w:tab w:val="num" w:pos="6546"/>
        </w:tabs>
        <w:ind w:left="6546" w:hanging="360"/>
      </w:pPr>
      <w:rPr>
        <w:rFonts w:ascii="Wingdings" w:hAnsi="Wingdings" w:cs="Wingdings" w:hint="default"/>
      </w:rPr>
    </w:lvl>
  </w:abstractNum>
  <w:abstractNum w:abstractNumId="349" w15:restartNumberingAfterBreak="0">
    <w:nsid w:val="67947697"/>
    <w:multiLevelType w:val="hybridMultilevel"/>
    <w:tmpl w:val="804C8B1E"/>
    <w:lvl w:ilvl="0" w:tplc="04090001">
      <w:start w:val="1"/>
      <w:numFmt w:val="bullet"/>
      <w:lvlText w:val=""/>
      <w:lvlJc w:val="left"/>
      <w:pPr>
        <w:tabs>
          <w:tab w:val="num" w:pos="2480"/>
        </w:tabs>
        <w:ind w:left="24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0" w15:restartNumberingAfterBreak="0">
    <w:nsid w:val="67FF7960"/>
    <w:multiLevelType w:val="hybridMultilevel"/>
    <w:tmpl w:val="656A1A8C"/>
    <w:lvl w:ilvl="0" w:tplc="04020013">
      <w:start w:val="108"/>
      <w:numFmt w:val="bullet"/>
      <w:lvlText w:val="–"/>
      <w:lvlJc w:val="left"/>
      <w:pPr>
        <w:ind w:left="720" w:hanging="360"/>
      </w:pPr>
      <w:rPr>
        <w:rFonts w:ascii="Times New Roman" w:hAnsi="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1" w15:restartNumberingAfterBreak="0">
    <w:nsid w:val="68443D5A"/>
    <w:multiLevelType w:val="hybridMultilevel"/>
    <w:tmpl w:val="CBA6311E"/>
    <w:lvl w:ilvl="0" w:tplc="04020013">
      <w:start w:val="108"/>
      <w:numFmt w:val="bullet"/>
      <w:lvlText w:val="–"/>
      <w:lvlJc w:val="left"/>
      <w:pPr>
        <w:ind w:left="720" w:hanging="360"/>
      </w:pPr>
      <w:rPr>
        <w:rFonts w:ascii="Times New Roman" w:hAnsi="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2" w15:restartNumberingAfterBreak="0">
    <w:nsid w:val="686664DD"/>
    <w:multiLevelType w:val="hybridMultilevel"/>
    <w:tmpl w:val="5DF03A64"/>
    <w:lvl w:ilvl="0" w:tplc="2C58A380">
      <w:start w:val="1"/>
      <w:numFmt w:val="bullet"/>
      <w:lvlText w:val=""/>
      <w:lvlJc w:val="left"/>
      <w:pPr>
        <w:tabs>
          <w:tab w:val="num" w:pos="2120"/>
        </w:tabs>
        <w:ind w:left="2120" w:hanging="360"/>
      </w:pPr>
      <w:rPr>
        <w:rFonts w:ascii="Symbol" w:hAnsi="Symbol" w:hint="default"/>
      </w:rPr>
    </w:lvl>
    <w:lvl w:ilvl="1" w:tplc="17209FB8" w:tentative="1">
      <w:start w:val="1"/>
      <w:numFmt w:val="bullet"/>
      <w:lvlText w:val="o"/>
      <w:lvlJc w:val="left"/>
      <w:pPr>
        <w:tabs>
          <w:tab w:val="num" w:pos="1440"/>
        </w:tabs>
        <w:ind w:left="1440" w:hanging="360"/>
      </w:pPr>
      <w:rPr>
        <w:rFonts w:ascii="Courier New" w:hAnsi="Courier New" w:hint="default"/>
      </w:rPr>
    </w:lvl>
    <w:lvl w:ilvl="2" w:tplc="0F2A23D0" w:tentative="1">
      <w:start w:val="1"/>
      <w:numFmt w:val="bullet"/>
      <w:lvlText w:val=""/>
      <w:lvlJc w:val="left"/>
      <w:pPr>
        <w:tabs>
          <w:tab w:val="num" w:pos="2160"/>
        </w:tabs>
        <w:ind w:left="2160" w:hanging="360"/>
      </w:pPr>
      <w:rPr>
        <w:rFonts w:ascii="Wingdings" w:hAnsi="Wingdings" w:hint="default"/>
      </w:rPr>
    </w:lvl>
    <w:lvl w:ilvl="3" w:tplc="B922F228" w:tentative="1">
      <w:start w:val="1"/>
      <w:numFmt w:val="bullet"/>
      <w:lvlText w:val=""/>
      <w:lvlJc w:val="left"/>
      <w:pPr>
        <w:tabs>
          <w:tab w:val="num" w:pos="2880"/>
        </w:tabs>
        <w:ind w:left="2880" w:hanging="360"/>
      </w:pPr>
      <w:rPr>
        <w:rFonts w:ascii="Symbol" w:hAnsi="Symbol" w:hint="default"/>
      </w:rPr>
    </w:lvl>
    <w:lvl w:ilvl="4" w:tplc="7B8649EA" w:tentative="1">
      <w:start w:val="1"/>
      <w:numFmt w:val="bullet"/>
      <w:lvlText w:val="o"/>
      <w:lvlJc w:val="left"/>
      <w:pPr>
        <w:tabs>
          <w:tab w:val="num" w:pos="3600"/>
        </w:tabs>
        <w:ind w:left="3600" w:hanging="360"/>
      </w:pPr>
      <w:rPr>
        <w:rFonts w:ascii="Courier New" w:hAnsi="Courier New" w:hint="default"/>
      </w:rPr>
    </w:lvl>
    <w:lvl w:ilvl="5" w:tplc="03D2DE5E" w:tentative="1">
      <w:start w:val="1"/>
      <w:numFmt w:val="bullet"/>
      <w:lvlText w:val=""/>
      <w:lvlJc w:val="left"/>
      <w:pPr>
        <w:tabs>
          <w:tab w:val="num" w:pos="4320"/>
        </w:tabs>
        <w:ind w:left="4320" w:hanging="360"/>
      </w:pPr>
      <w:rPr>
        <w:rFonts w:ascii="Wingdings" w:hAnsi="Wingdings" w:hint="default"/>
      </w:rPr>
    </w:lvl>
    <w:lvl w:ilvl="6" w:tplc="46E417F2" w:tentative="1">
      <w:start w:val="1"/>
      <w:numFmt w:val="bullet"/>
      <w:lvlText w:val=""/>
      <w:lvlJc w:val="left"/>
      <w:pPr>
        <w:tabs>
          <w:tab w:val="num" w:pos="5040"/>
        </w:tabs>
        <w:ind w:left="5040" w:hanging="360"/>
      </w:pPr>
      <w:rPr>
        <w:rFonts w:ascii="Symbol" w:hAnsi="Symbol" w:hint="default"/>
      </w:rPr>
    </w:lvl>
    <w:lvl w:ilvl="7" w:tplc="FB8A6728" w:tentative="1">
      <w:start w:val="1"/>
      <w:numFmt w:val="bullet"/>
      <w:lvlText w:val="o"/>
      <w:lvlJc w:val="left"/>
      <w:pPr>
        <w:tabs>
          <w:tab w:val="num" w:pos="5760"/>
        </w:tabs>
        <w:ind w:left="5760" w:hanging="360"/>
      </w:pPr>
      <w:rPr>
        <w:rFonts w:ascii="Courier New" w:hAnsi="Courier New" w:hint="default"/>
      </w:rPr>
    </w:lvl>
    <w:lvl w:ilvl="8" w:tplc="E9D07DC6" w:tentative="1">
      <w:start w:val="1"/>
      <w:numFmt w:val="bullet"/>
      <w:lvlText w:val=""/>
      <w:lvlJc w:val="left"/>
      <w:pPr>
        <w:tabs>
          <w:tab w:val="num" w:pos="6480"/>
        </w:tabs>
        <w:ind w:left="6480" w:hanging="360"/>
      </w:pPr>
      <w:rPr>
        <w:rFonts w:ascii="Wingdings" w:hAnsi="Wingdings" w:hint="default"/>
      </w:rPr>
    </w:lvl>
  </w:abstractNum>
  <w:abstractNum w:abstractNumId="353" w15:restartNumberingAfterBreak="0">
    <w:nsid w:val="68717465"/>
    <w:multiLevelType w:val="hybridMultilevel"/>
    <w:tmpl w:val="50B2133E"/>
    <w:lvl w:ilvl="0" w:tplc="FFFFFFFF">
      <w:start w:val="1"/>
      <w:numFmt w:val="bullet"/>
      <w:lvlText w:val=""/>
      <w:lvlJc w:val="left"/>
      <w:pPr>
        <w:ind w:left="436" w:hanging="360"/>
      </w:pPr>
      <w:rPr>
        <w:rFonts w:ascii="Symbol" w:hAnsi="Symbol" w:hint="default"/>
      </w:rPr>
    </w:lvl>
    <w:lvl w:ilvl="1" w:tplc="04020003">
      <w:start w:val="1"/>
      <w:numFmt w:val="bullet"/>
      <w:lvlText w:val="o"/>
      <w:lvlJc w:val="left"/>
      <w:pPr>
        <w:ind w:left="1156" w:hanging="360"/>
      </w:pPr>
      <w:rPr>
        <w:rFonts w:ascii="Courier New" w:hAnsi="Courier New" w:hint="default"/>
      </w:rPr>
    </w:lvl>
    <w:lvl w:ilvl="2" w:tplc="04020005">
      <w:start w:val="1"/>
      <w:numFmt w:val="bullet"/>
      <w:lvlText w:val=""/>
      <w:lvlJc w:val="left"/>
      <w:pPr>
        <w:ind w:left="1876" w:hanging="360"/>
      </w:pPr>
      <w:rPr>
        <w:rFonts w:ascii="Wingdings" w:hAnsi="Wingdings" w:hint="default"/>
      </w:rPr>
    </w:lvl>
    <w:lvl w:ilvl="3" w:tplc="04020001" w:tentative="1">
      <w:start w:val="1"/>
      <w:numFmt w:val="bullet"/>
      <w:lvlText w:val=""/>
      <w:lvlJc w:val="left"/>
      <w:pPr>
        <w:ind w:left="2596" w:hanging="360"/>
      </w:pPr>
      <w:rPr>
        <w:rFonts w:ascii="Symbol" w:hAnsi="Symbol" w:hint="default"/>
      </w:rPr>
    </w:lvl>
    <w:lvl w:ilvl="4" w:tplc="04020003" w:tentative="1">
      <w:start w:val="1"/>
      <w:numFmt w:val="bullet"/>
      <w:lvlText w:val="o"/>
      <w:lvlJc w:val="left"/>
      <w:pPr>
        <w:ind w:left="3316" w:hanging="360"/>
      </w:pPr>
      <w:rPr>
        <w:rFonts w:ascii="Courier New" w:hAnsi="Courier New" w:hint="default"/>
      </w:rPr>
    </w:lvl>
    <w:lvl w:ilvl="5" w:tplc="04020005" w:tentative="1">
      <w:start w:val="1"/>
      <w:numFmt w:val="bullet"/>
      <w:lvlText w:val=""/>
      <w:lvlJc w:val="left"/>
      <w:pPr>
        <w:ind w:left="4036" w:hanging="360"/>
      </w:pPr>
      <w:rPr>
        <w:rFonts w:ascii="Wingdings" w:hAnsi="Wingdings" w:hint="default"/>
      </w:rPr>
    </w:lvl>
    <w:lvl w:ilvl="6" w:tplc="04020001" w:tentative="1">
      <w:start w:val="1"/>
      <w:numFmt w:val="bullet"/>
      <w:lvlText w:val=""/>
      <w:lvlJc w:val="left"/>
      <w:pPr>
        <w:ind w:left="4756" w:hanging="360"/>
      </w:pPr>
      <w:rPr>
        <w:rFonts w:ascii="Symbol" w:hAnsi="Symbol" w:hint="default"/>
      </w:rPr>
    </w:lvl>
    <w:lvl w:ilvl="7" w:tplc="04020003" w:tentative="1">
      <w:start w:val="1"/>
      <w:numFmt w:val="bullet"/>
      <w:lvlText w:val="o"/>
      <w:lvlJc w:val="left"/>
      <w:pPr>
        <w:ind w:left="5476" w:hanging="360"/>
      </w:pPr>
      <w:rPr>
        <w:rFonts w:ascii="Courier New" w:hAnsi="Courier New" w:hint="default"/>
      </w:rPr>
    </w:lvl>
    <w:lvl w:ilvl="8" w:tplc="04020005" w:tentative="1">
      <w:start w:val="1"/>
      <w:numFmt w:val="bullet"/>
      <w:lvlText w:val=""/>
      <w:lvlJc w:val="left"/>
      <w:pPr>
        <w:ind w:left="6196" w:hanging="360"/>
      </w:pPr>
      <w:rPr>
        <w:rFonts w:ascii="Wingdings" w:hAnsi="Wingdings" w:hint="default"/>
      </w:rPr>
    </w:lvl>
  </w:abstractNum>
  <w:abstractNum w:abstractNumId="354" w15:restartNumberingAfterBreak="0">
    <w:nsid w:val="68A667B9"/>
    <w:multiLevelType w:val="hybridMultilevel"/>
    <w:tmpl w:val="06903E4C"/>
    <w:lvl w:ilvl="0" w:tplc="0402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55" w15:restartNumberingAfterBreak="0">
    <w:nsid w:val="68CC35CC"/>
    <w:multiLevelType w:val="hybridMultilevel"/>
    <w:tmpl w:val="2BB2AAA2"/>
    <w:lvl w:ilvl="0" w:tplc="FFFFFFFF">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56" w15:restartNumberingAfterBreak="0">
    <w:nsid w:val="694D0960"/>
    <w:multiLevelType w:val="hybridMultilevel"/>
    <w:tmpl w:val="910E4C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7" w15:restartNumberingAfterBreak="0">
    <w:nsid w:val="69785E8E"/>
    <w:multiLevelType w:val="hybridMultilevel"/>
    <w:tmpl w:val="81E6B962"/>
    <w:lvl w:ilvl="0" w:tplc="04020001">
      <w:start w:val="1"/>
      <w:numFmt w:val="bullet"/>
      <w:lvlText w:val=""/>
      <w:lvlJc w:val="left"/>
      <w:pPr>
        <w:ind w:left="0" w:hanging="360"/>
      </w:pPr>
      <w:rPr>
        <w:rFonts w:ascii="Symbol" w:hAnsi="Symbol" w:hint="default"/>
      </w:rPr>
    </w:lvl>
    <w:lvl w:ilvl="1" w:tplc="04020003" w:tentative="1">
      <w:start w:val="1"/>
      <w:numFmt w:val="bullet"/>
      <w:lvlText w:val="o"/>
      <w:lvlJc w:val="left"/>
      <w:pPr>
        <w:ind w:left="720" w:hanging="360"/>
      </w:pPr>
      <w:rPr>
        <w:rFonts w:ascii="Courier New" w:hAnsi="Courier New" w:cs="Courier New" w:hint="default"/>
      </w:rPr>
    </w:lvl>
    <w:lvl w:ilvl="2" w:tplc="04020005" w:tentative="1">
      <w:start w:val="1"/>
      <w:numFmt w:val="bullet"/>
      <w:lvlText w:val=""/>
      <w:lvlJc w:val="left"/>
      <w:pPr>
        <w:ind w:left="1440" w:hanging="360"/>
      </w:pPr>
      <w:rPr>
        <w:rFonts w:ascii="Wingdings" w:hAnsi="Wingdings" w:hint="default"/>
      </w:rPr>
    </w:lvl>
    <w:lvl w:ilvl="3" w:tplc="04020001" w:tentative="1">
      <w:start w:val="1"/>
      <w:numFmt w:val="bullet"/>
      <w:lvlText w:val=""/>
      <w:lvlJc w:val="left"/>
      <w:pPr>
        <w:ind w:left="2160" w:hanging="360"/>
      </w:pPr>
      <w:rPr>
        <w:rFonts w:ascii="Symbol" w:hAnsi="Symbol" w:hint="default"/>
      </w:rPr>
    </w:lvl>
    <w:lvl w:ilvl="4" w:tplc="04020003" w:tentative="1">
      <w:start w:val="1"/>
      <w:numFmt w:val="bullet"/>
      <w:lvlText w:val="o"/>
      <w:lvlJc w:val="left"/>
      <w:pPr>
        <w:ind w:left="2880" w:hanging="360"/>
      </w:pPr>
      <w:rPr>
        <w:rFonts w:ascii="Courier New" w:hAnsi="Courier New" w:cs="Courier New" w:hint="default"/>
      </w:rPr>
    </w:lvl>
    <w:lvl w:ilvl="5" w:tplc="04020005" w:tentative="1">
      <w:start w:val="1"/>
      <w:numFmt w:val="bullet"/>
      <w:lvlText w:val=""/>
      <w:lvlJc w:val="left"/>
      <w:pPr>
        <w:ind w:left="3600" w:hanging="360"/>
      </w:pPr>
      <w:rPr>
        <w:rFonts w:ascii="Wingdings" w:hAnsi="Wingdings" w:hint="default"/>
      </w:rPr>
    </w:lvl>
    <w:lvl w:ilvl="6" w:tplc="04020001" w:tentative="1">
      <w:start w:val="1"/>
      <w:numFmt w:val="bullet"/>
      <w:lvlText w:val=""/>
      <w:lvlJc w:val="left"/>
      <w:pPr>
        <w:ind w:left="4320" w:hanging="360"/>
      </w:pPr>
      <w:rPr>
        <w:rFonts w:ascii="Symbol" w:hAnsi="Symbol" w:hint="default"/>
      </w:rPr>
    </w:lvl>
    <w:lvl w:ilvl="7" w:tplc="04020003" w:tentative="1">
      <w:start w:val="1"/>
      <w:numFmt w:val="bullet"/>
      <w:lvlText w:val="o"/>
      <w:lvlJc w:val="left"/>
      <w:pPr>
        <w:ind w:left="5040" w:hanging="360"/>
      </w:pPr>
      <w:rPr>
        <w:rFonts w:ascii="Courier New" w:hAnsi="Courier New" w:cs="Courier New" w:hint="default"/>
      </w:rPr>
    </w:lvl>
    <w:lvl w:ilvl="8" w:tplc="04020005" w:tentative="1">
      <w:start w:val="1"/>
      <w:numFmt w:val="bullet"/>
      <w:lvlText w:val=""/>
      <w:lvlJc w:val="left"/>
      <w:pPr>
        <w:ind w:left="5760" w:hanging="360"/>
      </w:pPr>
      <w:rPr>
        <w:rFonts w:ascii="Wingdings" w:hAnsi="Wingdings" w:hint="default"/>
      </w:rPr>
    </w:lvl>
  </w:abstractNum>
  <w:abstractNum w:abstractNumId="358" w15:restartNumberingAfterBreak="0">
    <w:nsid w:val="699D7EBC"/>
    <w:multiLevelType w:val="hybridMultilevel"/>
    <w:tmpl w:val="AF0AA85A"/>
    <w:lvl w:ilvl="0" w:tplc="254E91C0">
      <w:start w:val="1"/>
      <w:numFmt w:val="bullet"/>
      <w:lvlText w:val="•"/>
      <w:lvlJc w:val="left"/>
      <w:pPr>
        <w:tabs>
          <w:tab w:val="num" w:pos="720"/>
        </w:tabs>
        <w:ind w:left="720" w:hanging="360"/>
      </w:pPr>
      <w:rPr>
        <w:rFonts w:ascii="Arial" w:hAnsi="Arial" w:hint="default"/>
      </w:rPr>
    </w:lvl>
    <w:lvl w:ilvl="1" w:tplc="16B2324C" w:tentative="1">
      <w:start w:val="1"/>
      <w:numFmt w:val="bullet"/>
      <w:lvlText w:val="•"/>
      <w:lvlJc w:val="left"/>
      <w:pPr>
        <w:tabs>
          <w:tab w:val="num" w:pos="1440"/>
        </w:tabs>
        <w:ind w:left="1440" w:hanging="360"/>
      </w:pPr>
      <w:rPr>
        <w:rFonts w:ascii="Arial" w:hAnsi="Arial" w:hint="default"/>
      </w:rPr>
    </w:lvl>
    <w:lvl w:ilvl="2" w:tplc="F64EB68C" w:tentative="1">
      <w:start w:val="1"/>
      <w:numFmt w:val="bullet"/>
      <w:lvlText w:val="•"/>
      <w:lvlJc w:val="left"/>
      <w:pPr>
        <w:tabs>
          <w:tab w:val="num" w:pos="2160"/>
        </w:tabs>
        <w:ind w:left="2160" w:hanging="360"/>
      </w:pPr>
      <w:rPr>
        <w:rFonts w:ascii="Arial" w:hAnsi="Arial" w:hint="default"/>
      </w:rPr>
    </w:lvl>
    <w:lvl w:ilvl="3" w:tplc="CBA295C8" w:tentative="1">
      <w:start w:val="1"/>
      <w:numFmt w:val="bullet"/>
      <w:lvlText w:val="•"/>
      <w:lvlJc w:val="left"/>
      <w:pPr>
        <w:tabs>
          <w:tab w:val="num" w:pos="2880"/>
        </w:tabs>
        <w:ind w:left="2880" w:hanging="360"/>
      </w:pPr>
      <w:rPr>
        <w:rFonts w:ascii="Arial" w:hAnsi="Arial" w:hint="default"/>
      </w:rPr>
    </w:lvl>
    <w:lvl w:ilvl="4" w:tplc="957AE666" w:tentative="1">
      <w:start w:val="1"/>
      <w:numFmt w:val="bullet"/>
      <w:lvlText w:val="•"/>
      <w:lvlJc w:val="left"/>
      <w:pPr>
        <w:tabs>
          <w:tab w:val="num" w:pos="3600"/>
        </w:tabs>
        <w:ind w:left="3600" w:hanging="360"/>
      </w:pPr>
      <w:rPr>
        <w:rFonts w:ascii="Arial" w:hAnsi="Arial" w:hint="default"/>
      </w:rPr>
    </w:lvl>
    <w:lvl w:ilvl="5" w:tplc="922C2ACC" w:tentative="1">
      <w:start w:val="1"/>
      <w:numFmt w:val="bullet"/>
      <w:lvlText w:val="•"/>
      <w:lvlJc w:val="left"/>
      <w:pPr>
        <w:tabs>
          <w:tab w:val="num" w:pos="4320"/>
        </w:tabs>
        <w:ind w:left="4320" w:hanging="360"/>
      </w:pPr>
      <w:rPr>
        <w:rFonts w:ascii="Arial" w:hAnsi="Arial" w:hint="default"/>
      </w:rPr>
    </w:lvl>
    <w:lvl w:ilvl="6" w:tplc="1A081FA2" w:tentative="1">
      <w:start w:val="1"/>
      <w:numFmt w:val="bullet"/>
      <w:lvlText w:val="•"/>
      <w:lvlJc w:val="left"/>
      <w:pPr>
        <w:tabs>
          <w:tab w:val="num" w:pos="5040"/>
        </w:tabs>
        <w:ind w:left="5040" w:hanging="360"/>
      </w:pPr>
      <w:rPr>
        <w:rFonts w:ascii="Arial" w:hAnsi="Arial" w:hint="default"/>
      </w:rPr>
    </w:lvl>
    <w:lvl w:ilvl="7" w:tplc="D73CBDD8" w:tentative="1">
      <w:start w:val="1"/>
      <w:numFmt w:val="bullet"/>
      <w:lvlText w:val="•"/>
      <w:lvlJc w:val="left"/>
      <w:pPr>
        <w:tabs>
          <w:tab w:val="num" w:pos="5760"/>
        </w:tabs>
        <w:ind w:left="5760" w:hanging="360"/>
      </w:pPr>
      <w:rPr>
        <w:rFonts w:ascii="Arial" w:hAnsi="Arial" w:hint="default"/>
      </w:rPr>
    </w:lvl>
    <w:lvl w:ilvl="8" w:tplc="791A4384" w:tentative="1">
      <w:start w:val="1"/>
      <w:numFmt w:val="bullet"/>
      <w:lvlText w:val="•"/>
      <w:lvlJc w:val="left"/>
      <w:pPr>
        <w:tabs>
          <w:tab w:val="num" w:pos="6480"/>
        </w:tabs>
        <w:ind w:left="6480" w:hanging="360"/>
      </w:pPr>
      <w:rPr>
        <w:rFonts w:ascii="Arial" w:hAnsi="Arial" w:hint="default"/>
      </w:rPr>
    </w:lvl>
  </w:abstractNum>
  <w:abstractNum w:abstractNumId="359" w15:restartNumberingAfterBreak="0">
    <w:nsid w:val="69A76E2F"/>
    <w:multiLevelType w:val="hybridMultilevel"/>
    <w:tmpl w:val="C2281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0" w15:restartNumberingAfterBreak="0">
    <w:nsid w:val="69AE17FA"/>
    <w:multiLevelType w:val="hybridMultilevel"/>
    <w:tmpl w:val="2C6C9C5A"/>
    <w:lvl w:ilvl="0" w:tplc="04020013">
      <w:start w:val="108"/>
      <w:numFmt w:val="bullet"/>
      <w:lvlText w:val="–"/>
      <w:lvlJc w:val="left"/>
      <w:pPr>
        <w:ind w:left="720" w:hanging="360"/>
      </w:pPr>
      <w:rPr>
        <w:rFonts w:ascii="Times New Roman" w:hAnsi="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1" w15:restartNumberingAfterBreak="0">
    <w:nsid w:val="6A034B58"/>
    <w:multiLevelType w:val="singleLevel"/>
    <w:tmpl w:val="3AC63F0C"/>
    <w:lvl w:ilvl="0">
      <w:start w:val="1"/>
      <w:numFmt w:val="decimal"/>
      <w:lvlText w:val="%1. "/>
      <w:legacy w:legacy="1" w:legacySpace="0" w:legacyIndent="283"/>
      <w:lvlJc w:val="left"/>
      <w:pPr>
        <w:ind w:left="1003" w:hanging="283"/>
      </w:pPr>
      <w:rPr>
        <w:rFonts w:ascii="Arial" w:hAnsi="Arial" w:hint="default"/>
        <w:b w:val="0"/>
        <w:i w:val="0"/>
        <w:sz w:val="24"/>
        <w:u w:val="none"/>
      </w:rPr>
    </w:lvl>
  </w:abstractNum>
  <w:abstractNum w:abstractNumId="362" w15:restartNumberingAfterBreak="0">
    <w:nsid w:val="6A337E90"/>
    <w:multiLevelType w:val="hybridMultilevel"/>
    <w:tmpl w:val="80605316"/>
    <w:lvl w:ilvl="0" w:tplc="55529A5E">
      <w:start w:val="1"/>
      <w:numFmt w:val="bullet"/>
      <w:lvlText w:val="-"/>
      <w:lvlJc w:val="left"/>
      <w:pPr>
        <w:ind w:left="1068"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3" w15:restartNumberingAfterBreak="0">
    <w:nsid w:val="6ABE5A89"/>
    <w:multiLevelType w:val="hybridMultilevel"/>
    <w:tmpl w:val="0C902D98"/>
    <w:lvl w:ilvl="0" w:tplc="C270B85A">
      <w:start w:val="1"/>
      <w:numFmt w:val="bullet"/>
      <w:lvlText w:val=""/>
      <w:lvlJc w:val="left"/>
      <w:pPr>
        <w:ind w:left="1440" w:hanging="360"/>
      </w:pPr>
      <w:rPr>
        <w:rFonts w:ascii="Wingdings" w:hAnsi="Wingdings" w:hint="default"/>
        <w:b w:val="0"/>
        <w:i w:val="0"/>
        <w:sz w:val="24"/>
        <w:u w:val="none"/>
      </w:rPr>
    </w:lvl>
    <w:lvl w:ilvl="1" w:tplc="D0DC118E" w:tentative="1">
      <w:start w:val="1"/>
      <w:numFmt w:val="bullet"/>
      <w:lvlText w:val="o"/>
      <w:lvlJc w:val="left"/>
      <w:pPr>
        <w:ind w:left="2160" w:hanging="360"/>
      </w:pPr>
      <w:rPr>
        <w:rFonts w:ascii="Courier New" w:hAnsi="Courier New" w:cs="Courier New" w:hint="default"/>
      </w:rPr>
    </w:lvl>
    <w:lvl w:ilvl="2" w:tplc="C80CFFA4" w:tentative="1">
      <w:start w:val="1"/>
      <w:numFmt w:val="bullet"/>
      <w:lvlText w:val=""/>
      <w:lvlJc w:val="left"/>
      <w:pPr>
        <w:ind w:left="2880" w:hanging="360"/>
      </w:pPr>
      <w:rPr>
        <w:rFonts w:ascii="Wingdings" w:hAnsi="Wingdings" w:hint="default"/>
      </w:rPr>
    </w:lvl>
    <w:lvl w:ilvl="3" w:tplc="E224371A" w:tentative="1">
      <w:start w:val="1"/>
      <w:numFmt w:val="bullet"/>
      <w:lvlText w:val=""/>
      <w:lvlJc w:val="left"/>
      <w:pPr>
        <w:ind w:left="3600" w:hanging="360"/>
      </w:pPr>
      <w:rPr>
        <w:rFonts w:ascii="Symbol" w:hAnsi="Symbol" w:hint="default"/>
      </w:rPr>
    </w:lvl>
    <w:lvl w:ilvl="4" w:tplc="27DA5302" w:tentative="1">
      <w:start w:val="1"/>
      <w:numFmt w:val="bullet"/>
      <w:lvlText w:val="o"/>
      <w:lvlJc w:val="left"/>
      <w:pPr>
        <w:ind w:left="4320" w:hanging="360"/>
      </w:pPr>
      <w:rPr>
        <w:rFonts w:ascii="Courier New" w:hAnsi="Courier New" w:cs="Courier New" w:hint="default"/>
      </w:rPr>
    </w:lvl>
    <w:lvl w:ilvl="5" w:tplc="CBC6ED04" w:tentative="1">
      <w:start w:val="1"/>
      <w:numFmt w:val="bullet"/>
      <w:lvlText w:val=""/>
      <w:lvlJc w:val="left"/>
      <w:pPr>
        <w:ind w:left="5040" w:hanging="360"/>
      </w:pPr>
      <w:rPr>
        <w:rFonts w:ascii="Wingdings" w:hAnsi="Wingdings" w:hint="default"/>
      </w:rPr>
    </w:lvl>
    <w:lvl w:ilvl="6" w:tplc="6B446D76" w:tentative="1">
      <w:start w:val="1"/>
      <w:numFmt w:val="bullet"/>
      <w:lvlText w:val=""/>
      <w:lvlJc w:val="left"/>
      <w:pPr>
        <w:ind w:left="5760" w:hanging="360"/>
      </w:pPr>
      <w:rPr>
        <w:rFonts w:ascii="Symbol" w:hAnsi="Symbol" w:hint="default"/>
      </w:rPr>
    </w:lvl>
    <w:lvl w:ilvl="7" w:tplc="D1D8D3F0" w:tentative="1">
      <w:start w:val="1"/>
      <w:numFmt w:val="bullet"/>
      <w:lvlText w:val="o"/>
      <w:lvlJc w:val="left"/>
      <w:pPr>
        <w:ind w:left="6480" w:hanging="360"/>
      </w:pPr>
      <w:rPr>
        <w:rFonts w:ascii="Courier New" w:hAnsi="Courier New" w:cs="Courier New" w:hint="default"/>
      </w:rPr>
    </w:lvl>
    <w:lvl w:ilvl="8" w:tplc="4EF8FDE0" w:tentative="1">
      <w:start w:val="1"/>
      <w:numFmt w:val="bullet"/>
      <w:lvlText w:val=""/>
      <w:lvlJc w:val="left"/>
      <w:pPr>
        <w:ind w:left="7200" w:hanging="360"/>
      </w:pPr>
      <w:rPr>
        <w:rFonts w:ascii="Wingdings" w:hAnsi="Wingdings" w:hint="default"/>
      </w:rPr>
    </w:lvl>
  </w:abstractNum>
  <w:abstractNum w:abstractNumId="364" w15:restartNumberingAfterBreak="0">
    <w:nsid w:val="6ACD0A9E"/>
    <w:multiLevelType w:val="hybridMultilevel"/>
    <w:tmpl w:val="305A3E78"/>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ind w:left="1785" w:hanging="705"/>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5" w15:restartNumberingAfterBreak="0">
    <w:nsid w:val="6B026D74"/>
    <w:multiLevelType w:val="hybridMultilevel"/>
    <w:tmpl w:val="4EF2FA8C"/>
    <w:lvl w:ilvl="0" w:tplc="04020001">
      <w:start w:val="1"/>
      <w:numFmt w:val="bullet"/>
      <w:lvlText w:val=""/>
      <w:lvlJc w:val="left"/>
      <w:pPr>
        <w:tabs>
          <w:tab w:val="num" w:pos="1440"/>
        </w:tabs>
        <w:ind w:left="1440" w:hanging="360"/>
      </w:pPr>
      <w:rPr>
        <w:rFonts w:ascii="Symbol" w:hAnsi="Symbol" w:cs="Symbol" w:hint="default"/>
      </w:rPr>
    </w:lvl>
    <w:lvl w:ilvl="1" w:tplc="04020003">
      <w:start w:val="1"/>
      <w:numFmt w:val="bullet"/>
      <w:lvlText w:val="o"/>
      <w:lvlJc w:val="left"/>
      <w:pPr>
        <w:tabs>
          <w:tab w:val="num" w:pos="2160"/>
        </w:tabs>
        <w:ind w:left="2160" w:hanging="360"/>
      </w:pPr>
      <w:rPr>
        <w:rFonts w:ascii="Courier New" w:hAnsi="Courier New" w:cs="Courier New" w:hint="default"/>
      </w:rPr>
    </w:lvl>
    <w:lvl w:ilvl="2" w:tplc="04020005">
      <w:start w:val="1"/>
      <w:numFmt w:val="bullet"/>
      <w:lvlText w:val=""/>
      <w:lvlJc w:val="left"/>
      <w:pPr>
        <w:tabs>
          <w:tab w:val="num" w:pos="2880"/>
        </w:tabs>
        <w:ind w:left="2880" w:hanging="360"/>
      </w:pPr>
      <w:rPr>
        <w:rFonts w:ascii="Wingdings" w:hAnsi="Wingdings" w:cs="Wingdings" w:hint="default"/>
      </w:rPr>
    </w:lvl>
    <w:lvl w:ilvl="3" w:tplc="04020001">
      <w:start w:val="1"/>
      <w:numFmt w:val="bullet"/>
      <w:lvlText w:val=""/>
      <w:lvlJc w:val="left"/>
      <w:pPr>
        <w:tabs>
          <w:tab w:val="num" w:pos="3600"/>
        </w:tabs>
        <w:ind w:left="3600" w:hanging="360"/>
      </w:pPr>
      <w:rPr>
        <w:rFonts w:ascii="Symbol" w:hAnsi="Symbol" w:cs="Symbol" w:hint="default"/>
      </w:rPr>
    </w:lvl>
    <w:lvl w:ilvl="4" w:tplc="04020003">
      <w:start w:val="1"/>
      <w:numFmt w:val="bullet"/>
      <w:lvlText w:val="o"/>
      <w:lvlJc w:val="left"/>
      <w:pPr>
        <w:tabs>
          <w:tab w:val="num" w:pos="4320"/>
        </w:tabs>
        <w:ind w:left="4320" w:hanging="360"/>
      </w:pPr>
      <w:rPr>
        <w:rFonts w:ascii="Courier New" w:hAnsi="Courier New" w:cs="Courier New" w:hint="default"/>
      </w:rPr>
    </w:lvl>
    <w:lvl w:ilvl="5" w:tplc="04020005">
      <w:start w:val="1"/>
      <w:numFmt w:val="bullet"/>
      <w:lvlText w:val=""/>
      <w:lvlJc w:val="left"/>
      <w:pPr>
        <w:tabs>
          <w:tab w:val="num" w:pos="5040"/>
        </w:tabs>
        <w:ind w:left="5040" w:hanging="360"/>
      </w:pPr>
      <w:rPr>
        <w:rFonts w:ascii="Wingdings" w:hAnsi="Wingdings" w:cs="Wingdings" w:hint="default"/>
      </w:rPr>
    </w:lvl>
    <w:lvl w:ilvl="6" w:tplc="04020001">
      <w:start w:val="1"/>
      <w:numFmt w:val="bullet"/>
      <w:lvlText w:val=""/>
      <w:lvlJc w:val="left"/>
      <w:pPr>
        <w:tabs>
          <w:tab w:val="num" w:pos="5760"/>
        </w:tabs>
        <w:ind w:left="5760" w:hanging="360"/>
      </w:pPr>
      <w:rPr>
        <w:rFonts w:ascii="Symbol" w:hAnsi="Symbol" w:cs="Symbol" w:hint="default"/>
      </w:rPr>
    </w:lvl>
    <w:lvl w:ilvl="7" w:tplc="04020003">
      <w:start w:val="1"/>
      <w:numFmt w:val="bullet"/>
      <w:lvlText w:val="o"/>
      <w:lvlJc w:val="left"/>
      <w:pPr>
        <w:tabs>
          <w:tab w:val="num" w:pos="6480"/>
        </w:tabs>
        <w:ind w:left="6480" w:hanging="360"/>
      </w:pPr>
      <w:rPr>
        <w:rFonts w:ascii="Courier New" w:hAnsi="Courier New" w:cs="Courier New" w:hint="default"/>
      </w:rPr>
    </w:lvl>
    <w:lvl w:ilvl="8" w:tplc="04020005">
      <w:start w:val="1"/>
      <w:numFmt w:val="bullet"/>
      <w:lvlText w:val=""/>
      <w:lvlJc w:val="left"/>
      <w:pPr>
        <w:tabs>
          <w:tab w:val="num" w:pos="7200"/>
        </w:tabs>
        <w:ind w:left="7200" w:hanging="360"/>
      </w:pPr>
      <w:rPr>
        <w:rFonts w:ascii="Wingdings" w:hAnsi="Wingdings" w:cs="Wingdings" w:hint="default"/>
      </w:rPr>
    </w:lvl>
  </w:abstractNum>
  <w:abstractNum w:abstractNumId="366" w15:restartNumberingAfterBreak="0">
    <w:nsid w:val="6B5039AF"/>
    <w:multiLevelType w:val="hybridMultilevel"/>
    <w:tmpl w:val="804EBC8A"/>
    <w:lvl w:ilvl="0" w:tplc="7D825818">
      <w:start w:val="1"/>
      <w:numFmt w:val="decimal"/>
      <w:lvlText w:val="%1."/>
      <w:lvlJc w:val="left"/>
      <w:pPr>
        <w:tabs>
          <w:tab w:val="num" w:pos="720"/>
        </w:tabs>
        <w:ind w:left="720" w:hanging="360"/>
      </w:pPr>
    </w:lvl>
    <w:lvl w:ilvl="1" w:tplc="F8F6A958" w:tentative="1">
      <w:start w:val="1"/>
      <w:numFmt w:val="decimal"/>
      <w:lvlText w:val="%2."/>
      <w:lvlJc w:val="left"/>
      <w:pPr>
        <w:tabs>
          <w:tab w:val="num" w:pos="1440"/>
        </w:tabs>
        <w:ind w:left="1440" w:hanging="360"/>
      </w:pPr>
    </w:lvl>
    <w:lvl w:ilvl="2" w:tplc="321E1374" w:tentative="1">
      <w:start w:val="1"/>
      <w:numFmt w:val="decimal"/>
      <w:lvlText w:val="%3."/>
      <w:lvlJc w:val="left"/>
      <w:pPr>
        <w:tabs>
          <w:tab w:val="num" w:pos="2160"/>
        </w:tabs>
        <w:ind w:left="2160" w:hanging="360"/>
      </w:pPr>
    </w:lvl>
    <w:lvl w:ilvl="3" w:tplc="D024A4CC" w:tentative="1">
      <w:start w:val="1"/>
      <w:numFmt w:val="decimal"/>
      <w:lvlText w:val="%4."/>
      <w:lvlJc w:val="left"/>
      <w:pPr>
        <w:tabs>
          <w:tab w:val="num" w:pos="2880"/>
        </w:tabs>
        <w:ind w:left="2880" w:hanging="360"/>
      </w:pPr>
    </w:lvl>
    <w:lvl w:ilvl="4" w:tplc="CB18FB16" w:tentative="1">
      <w:start w:val="1"/>
      <w:numFmt w:val="decimal"/>
      <w:lvlText w:val="%5."/>
      <w:lvlJc w:val="left"/>
      <w:pPr>
        <w:tabs>
          <w:tab w:val="num" w:pos="3600"/>
        </w:tabs>
        <w:ind w:left="3600" w:hanging="360"/>
      </w:pPr>
    </w:lvl>
    <w:lvl w:ilvl="5" w:tplc="05BC5E9C" w:tentative="1">
      <w:start w:val="1"/>
      <w:numFmt w:val="decimal"/>
      <w:lvlText w:val="%6."/>
      <w:lvlJc w:val="left"/>
      <w:pPr>
        <w:tabs>
          <w:tab w:val="num" w:pos="4320"/>
        </w:tabs>
        <w:ind w:left="4320" w:hanging="360"/>
      </w:pPr>
    </w:lvl>
    <w:lvl w:ilvl="6" w:tplc="06403358" w:tentative="1">
      <w:start w:val="1"/>
      <w:numFmt w:val="decimal"/>
      <w:lvlText w:val="%7."/>
      <w:lvlJc w:val="left"/>
      <w:pPr>
        <w:tabs>
          <w:tab w:val="num" w:pos="5040"/>
        </w:tabs>
        <w:ind w:left="5040" w:hanging="360"/>
      </w:pPr>
    </w:lvl>
    <w:lvl w:ilvl="7" w:tplc="068ECEAC" w:tentative="1">
      <w:start w:val="1"/>
      <w:numFmt w:val="decimal"/>
      <w:lvlText w:val="%8."/>
      <w:lvlJc w:val="left"/>
      <w:pPr>
        <w:tabs>
          <w:tab w:val="num" w:pos="5760"/>
        </w:tabs>
        <w:ind w:left="5760" w:hanging="360"/>
      </w:pPr>
    </w:lvl>
    <w:lvl w:ilvl="8" w:tplc="43465CAE" w:tentative="1">
      <w:start w:val="1"/>
      <w:numFmt w:val="decimal"/>
      <w:lvlText w:val="%9."/>
      <w:lvlJc w:val="left"/>
      <w:pPr>
        <w:tabs>
          <w:tab w:val="num" w:pos="6480"/>
        </w:tabs>
        <w:ind w:left="6480" w:hanging="360"/>
      </w:pPr>
    </w:lvl>
  </w:abstractNum>
  <w:abstractNum w:abstractNumId="367" w15:restartNumberingAfterBreak="0">
    <w:nsid w:val="6C001114"/>
    <w:multiLevelType w:val="hybridMultilevel"/>
    <w:tmpl w:val="56544112"/>
    <w:lvl w:ilvl="0" w:tplc="FFFFFFFF">
      <w:start w:val="1"/>
      <w:numFmt w:val="bullet"/>
      <w:lvlText w:val=""/>
      <w:lvlJc w:val="left"/>
      <w:pPr>
        <w:tabs>
          <w:tab w:val="num" w:pos="720"/>
        </w:tabs>
        <w:ind w:left="720" w:hanging="360"/>
      </w:pPr>
      <w:rPr>
        <w:rFonts w:ascii="Symbol" w:hAnsi="Symbol" w:hint="default"/>
      </w:rPr>
    </w:lvl>
    <w:lvl w:ilvl="1" w:tplc="04020003" w:tentative="1">
      <w:start w:val="1"/>
      <w:numFmt w:val="lowerLetter"/>
      <w:lvlText w:val="%2."/>
      <w:lvlJc w:val="left"/>
      <w:pPr>
        <w:tabs>
          <w:tab w:val="num" w:pos="1440"/>
        </w:tabs>
        <w:ind w:left="1440" w:hanging="360"/>
      </w:pPr>
      <w:rPr>
        <w:rFonts w:cs="Times New Roman"/>
      </w:rPr>
    </w:lvl>
    <w:lvl w:ilvl="2" w:tplc="04020005" w:tentative="1">
      <w:start w:val="1"/>
      <w:numFmt w:val="lowerRoman"/>
      <w:lvlText w:val="%3."/>
      <w:lvlJc w:val="right"/>
      <w:pPr>
        <w:tabs>
          <w:tab w:val="num" w:pos="2160"/>
        </w:tabs>
        <w:ind w:left="2160" w:hanging="180"/>
      </w:pPr>
      <w:rPr>
        <w:rFonts w:cs="Times New Roman"/>
      </w:rPr>
    </w:lvl>
    <w:lvl w:ilvl="3" w:tplc="04020001" w:tentative="1">
      <w:start w:val="1"/>
      <w:numFmt w:val="decimal"/>
      <w:lvlText w:val="%4."/>
      <w:lvlJc w:val="left"/>
      <w:pPr>
        <w:tabs>
          <w:tab w:val="num" w:pos="2880"/>
        </w:tabs>
        <w:ind w:left="2880" w:hanging="360"/>
      </w:pPr>
      <w:rPr>
        <w:rFonts w:cs="Times New Roman"/>
      </w:rPr>
    </w:lvl>
    <w:lvl w:ilvl="4" w:tplc="04020003" w:tentative="1">
      <w:start w:val="1"/>
      <w:numFmt w:val="lowerLetter"/>
      <w:lvlText w:val="%5."/>
      <w:lvlJc w:val="left"/>
      <w:pPr>
        <w:tabs>
          <w:tab w:val="num" w:pos="3600"/>
        </w:tabs>
        <w:ind w:left="3600" w:hanging="360"/>
      </w:pPr>
      <w:rPr>
        <w:rFonts w:cs="Times New Roman"/>
      </w:rPr>
    </w:lvl>
    <w:lvl w:ilvl="5" w:tplc="04020005" w:tentative="1">
      <w:start w:val="1"/>
      <w:numFmt w:val="lowerRoman"/>
      <w:lvlText w:val="%6."/>
      <w:lvlJc w:val="right"/>
      <w:pPr>
        <w:tabs>
          <w:tab w:val="num" w:pos="4320"/>
        </w:tabs>
        <w:ind w:left="4320" w:hanging="180"/>
      </w:pPr>
      <w:rPr>
        <w:rFonts w:cs="Times New Roman"/>
      </w:rPr>
    </w:lvl>
    <w:lvl w:ilvl="6" w:tplc="04020001" w:tentative="1">
      <w:start w:val="1"/>
      <w:numFmt w:val="decimal"/>
      <w:lvlText w:val="%7."/>
      <w:lvlJc w:val="left"/>
      <w:pPr>
        <w:tabs>
          <w:tab w:val="num" w:pos="5040"/>
        </w:tabs>
        <w:ind w:left="5040" w:hanging="360"/>
      </w:pPr>
      <w:rPr>
        <w:rFonts w:cs="Times New Roman"/>
      </w:rPr>
    </w:lvl>
    <w:lvl w:ilvl="7" w:tplc="04020003" w:tentative="1">
      <w:start w:val="1"/>
      <w:numFmt w:val="lowerLetter"/>
      <w:lvlText w:val="%8."/>
      <w:lvlJc w:val="left"/>
      <w:pPr>
        <w:tabs>
          <w:tab w:val="num" w:pos="5760"/>
        </w:tabs>
        <w:ind w:left="5760" w:hanging="360"/>
      </w:pPr>
      <w:rPr>
        <w:rFonts w:cs="Times New Roman"/>
      </w:rPr>
    </w:lvl>
    <w:lvl w:ilvl="8" w:tplc="04020005" w:tentative="1">
      <w:start w:val="1"/>
      <w:numFmt w:val="lowerRoman"/>
      <w:lvlText w:val="%9."/>
      <w:lvlJc w:val="right"/>
      <w:pPr>
        <w:tabs>
          <w:tab w:val="num" w:pos="6480"/>
        </w:tabs>
        <w:ind w:left="6480" w:hanging="180"/>
      </w:pPr>
      <w:rPr>
        <w:rFonts w:cs="Times New Roman"/>
      </w:rPr>
    </w:lvl>
  </w:abstractNum>
  <w:abstractNum w:abstractNumId="368" w15:restartNumberingAfterBreak="0">
    <w:nsid w:val="6C0672DA"/>
    <w:multiLevelType w:val="hybridMultilevel"/>
    <w:tmpl w:val="CE341C9A"/>
    <w:lvl w:ilvl="0" w:tplc="BAB40A62">
      <w:start w:val="1"/>
      <w:numFmt w:val="bullet"/>
      <w:lvlText w:val="•"/>
      <w:lvlJc w:val="left"/>
      <w:pPr>
        <w:tabs>
          <w:tab w:val="num" w:pos="720"/>
        </w:tabs>
        <w:ind w:left="720" w:hanging="360"/>
      </w:pPr>
      <w:rPr>
        <w:rFonts w:ascii="Arial" w:hAnsi="Arial" w:hint="default"/>
      </w:rPr>
    </w:lvl>
    <w:lvl w:ilvl="1" w:tplc="8BA25AEE" w:tentative="1">
      <w:start w:val="1"/>
      <w:numFmt w:val="bullet"/>
      <w:lvlText w:val="•"/>
      <w:lvlJc w:val="left"/>
      <w:pPr>
        <w:tabs>
          <w:tab w:val="num" w:pos="1440"/>
        </w:tabs>
        <w:ind w:left="1440" w:hanging="360"/>
      </w:pPr>
      <w:rPr>
        <w:rFonts w:ascii="Arial" w:hAnsi="Arial" w:hint="default"/>
      </w:rPr>
    </w:lvl>
    <w:lvl w:ilvl="2" w:tplc="ECBEEA66" w:tentative="1">
      <w:start w:val="1"/>
      <w:numFmt w:val="bullet"/>
      <w:lvlText w:val="•"/>
      <w:lvlJc w:val="left"/>
      <w:pPr>
        <w:tabs>
          <w:tab w:val="num" w:pos="2160"/>
        </w:tabs>
        <w:ind w:left="2160" w:hanging="360"/>
      </w:pPr>
      <w:rPr>
        <w:rFonts w:ascii="Arial" w:hAnsi="Arial" w:hint="default"/>
      </w:rPr>
    </w:lvl>
    <w:lvl w:ilvl="3" w:tplc="DE0AAEE2" w:tentative="1">
      <w:start w:val="1"/>
      <w:numFmt w:val="bullet"/>
      <w:lvlText w:val="•"/>
      <w:lvlJc w:val="left"/>
      <w:pPr>
        <w:tabs>
          <w:tab w:val="num" w:pos="2880"/>
        </w:tabs>
        <w:ind w:left="2880" w:hanging="360"/>
      </w:pPr>
      <w:rPr>
        <w:rFonts w:ascii="Arial" w:hAnsi="Arial" w:hint="default"/>
      </w:rPr>
    </w:lvl>
    <w:lvl w:ilvl="4" w:tplc="C792EA48" w:tentative="1">
      <w:start w:val="1"/>
      <w:numFmt w:val="bullet"/>
      <w:lvlText w:val="•"/>
      <w:lvlJc w:val="left"/>
      <w:pPr>
        <w:tabs>
          <w:tab w:val="num" w:pos="3600"/>
        </w:tabs>
        <w:ind w:left="3600" w:hanging="360"/>
      </w:pPr>
      <w:rPr>
        <w:rFonts w:ascii="Arial" w:hAnsi="Arial" w:hint="default"/>
      </w:rPr>
    </w:lvl>
    <w:lvl w:ilvl="5" w:tplc="88C45E8C" w:tentative="1">
      <w:start w:val="1"/>
      <w:numFmt w:val="bullet"/>
      <w:lvlText w:val="•"/>
      <w:lvlJc w:val="left"/>
      <w:pPr>
        <w:tabs>
          <w:tab w:val="num" w:pos="4320"/>
        </w:tabs>
        <w:ind w:left="4320" w:hanging="360"/>
      </w:pPr>
      <w:rPr>
        <w:rFonts w:ascii="Arial" w:hAnsi="Arial" w:hint="default"/>
      </w:rPr>
    </w:lvl>
    <w:lvl w:ilvl="6" w:tplc="A0EE4C24" w:tentative="1">
      <w:start w:val="1"/>
      <w:numFmt w:val="bullet"/>
      <w:lvlText w:val="•"/>
      <w:lvlJc w:val="left"/>
      <w:pPr>
        <w:tabs>
          <w:tab w:val="num" w:pos="5040"/>
        </w:tabs>
        <w:ind w:left="5040" w:hanging="360"/>
      </w:pPr>
      <w:rPr>
        <w:rFonts w:ascii="Arial" w:hAnsi="Arial" w:hint="default"/>
      </w:rPr>
    </w:lvl>
    <w:lvl w:ilvl="7" w:tplc="4F4469C4" w:tentative="1">
      <w:start w:val="1"/>
      <w:numFmt w:val="bullet"/>
      <w:lvlText w:val="•"/>
      <w:lvlJc w:val="left"/>
      <w:pPr>
        <w:tabs>
          <w:tab w:val="num" w:pos="5760"/>
        </w:tabs>
        <w:ind w:left="5760" w:hanging="360"/>
      </w:pPr>
      <w:rPr>
        <w:rFonts w:ascii="Arial" w:hAnsi="Arial" w:hint="default"/>
      </w:rPr>
    </w:lvl>
    <w:lvl w:ilvl="8" w:tplc="DC7ACCC4" w:tentative="1">
      <w:start w:val="1"/>
      <w:numFmt w:val="bullet"/>
      <w:lvlText w:val="•"/>
      <w:lvlJc w:val="left"/>
      <w:pPr>
        <w:tabs>
          <w:tab w:val="num" w:pos="6480"/>
        </w:tabs>
        <w:ind w:left="6480" w:hanging="360"/>
      </w:pPr>
      <w:rPr>
        <w:rFonts w:ascii="Arial" w:hAnsi="Arial" w:hint="default"/>
      </w:rPr>
    </w:lvl>
  </w:abstractNum>
  <w:abstractNum w:abstractNumId="369" w15:restartNumberingAfterBreak="0">
    <w:nsid w:val="6C7B77B8"/>
    <w:multiLevelType w:val="singleLevel"/>
    <w:tmpl w:val="FFFFFFFF"/>
    <w:lvl w:ilvl="0">
      <w:start w:val="1"/>
      <w:numFmt w:val="bullet"/>
      <w:lvlText w:val=""/>
      <w:lvlJc w:val="left"/>
      <w:pPr>
        <w:ind w:left="1800" w:hanging="360"/>
      </w:pPr>
      <w:rPr>
        <w:rFonts w:ascii="Wingdings" w:hAnsi="Wingdings" w:hint="default"/>
        <w:b w:val="0"/>
        <w:i w:val="0"/>
        <w:sz w:val="24"/>
        <w:u w:val="none"/>
      </w:rPr>
    </w:lvl>
  </w:abstractNum>
  <w:abstractNum w:abstractNumId="370" w15:restartNumberingAfterBreak="0">
    <w:nsid w:val="6CC92DF2"/>
    <w:multiLevelType w:val="hybridMultilevel"/>
    <w:tmpl w:val="C2A272E4"/>
    <w:lvl w:ilvl="0" w:tplc="7FB27880">
      <w:start w:val="1"/>
      <w:numFmt w:val="bullet"/>
      <w:lvlText w:val=""/>
      <w:lvlJc w:val="left"/>
      <w:pPr>
        <w:tabs>
          <w:tab w:val="num" w:pos="720"/>
        </w:tabs>
        <w:ind w:left="720" w:hanging="360"/>
      </w:pPr>
      <w:rPr>
        <w:rFonts w:ascii="Symbol" w:hAnsi="Symbol" w:hint="default"/>
      </w:rPr>
    </w:lvl>
    <w:lvl w:ilvl="1" w:tplc="49C20034">
      <w:start w:val="1"/>
      <w:numFmt w:val="bullet"/>
      <w:lvlText w:val=""/>
      <w:lvlJc w:val="left"/>
      <w:pPr>
        <w:tabs>
          <w:tab w:val="num" w:pos="1440"/>
        </w:tabs>
        <w:ind w:left="1440" w:hanging="360"/>
      </w:pPr>
      <w:rPr>
        <w:rFonts w:ascii="Wingdings" w:hAnsi="Wingdings" w:hint="default"/>
      </w:rPr>
    </w:lvl>
    <w:lvl w:ilvl="2" w:tplc="4782CEF0">
      <w:start w:val="1"/>
      <w:numFmt w:val="decimal"/>
      <w:lvlText w:val="%3."/>
      <w:lvlJc w:val="left"/>
      <w:pPr>
        <w:tabs>
          <w:tab w:val="num" w:pos="2160"/>
        </w:tabs>
        <w:ind w:left="2160" w:hanging="360"/>
      </w:pPr>
      <w:rPr>
        <w:rFonts w:cs="Times New Roman"/>
      </w:rPr>
    </w:lvl>
    <w:lvl w:ilvl="3" w:tplc="538446CC">
      <w:start w:val="1"/>
      <w:numFmt w:val="decimal"/>
      <w:lvlText w:val="%4."/>
      <w:lvlJc w:val="left"/>
      <w:pPr>
        <w:tabs>
          <w:tab w:val="num" w:pos="2880"/>
        </w:tabs>
        <w:ind w:left="2880" w:hanging="360"/>
      </w:pPr>
      <w:rPr>
        <w:rFonts w:cs="Times New Roman"/>
      </w:rPr>
    </w:lvl>
    <w:lvl w:ilvl="4" w:tplc="5B4038DA">
      <w:start w:val="1"/>
      <w:numFmt w:val="decimal"/>
      <w:lvlText w:val="%5."/>
      <w:lvlJc w:val="left"/>
      <w:pPr>
        <w:tabs>
          <w:tab w:val="num" w:pos="3600"/>
        </w:tabs>
        <w:ind w:left="3600" w:hanging="360"/>
      </w:pPr>
      <w:rPr>
        <w:rFonts w:cs="Times New Roman"/>
      </w:rPr>
    </w:lvl>
    <w:lvl w:ilvl="5" w:tplc="965CEF6C">
      <w:start w:val="1"/>
      <w:numFmt w:val="decimal"/>
      <w:lvlText w:val="%6."/>
      <w:lvlJc w:val="left"/>
      <w:pPr>
        <w:tabs>
          <w:tab w:val="num" w:pos="4320"/>
        </w:tabs>
        <w:ind w:left="4320" w:hanging="360"/>
      </w:pPr>
      <w:rPr>
        <w:rFonts w:cs="Times New Roman"/>
      </w:rPr>
    </w:lvl>
    <w:lvl w:ilvl="6" w:tplc="A162D302">
      <w:start w:val="1"/>
      <w:numFmt w:val="decimal"/>
      <w:lvlText w:val="%7."/>
      <w:lvlJc w:val="left"/>
      <w:pPr>
        <w:tabs>
          <w:tab w:val="num" w:pos="5040"/>
        </w:tabs>
        <w:ind w:left="5040" w:hanging="360"/>
      </w:pPr>
      <w:rPr>
        <w:rFonts w:cs="Times New Roman"/>
      </w:rPr>
    </w:lvl>
    <w:lvl w:ilvl="7" w:tplc="9B4ADF52">
      <w:start w:val="1"/>
      <w:numFmt w:val="decimal"/>
      <w:lvlText w:val="%8."/>
      <w:lvlJc w:val="left"/>
      <w:pPr>
        <w:tabs>
          <w:tab w:val="num" w:pos="5760"/>
        </w:tabs>
        <w:ind w:left="5760" w:hanging="360"/>
      </w:pPr>
      <w:rPr>
        <w:rFonts w:cs="Times New Roman"/>
      </w:rPr>
    </w:lvl>
    <w:lvl w:ilvl="8" w:tplc="D6BEC344">
      <w:start w:val="1"/>
      <w:numFmt w:val="decimal"/>
      <w:lvlText w:val="%9."/>
      <w:lvlJc w:val="left"/>
      <w:pPr>
        <w:tabs>
          <w:tab w:val="num" w:pos="6480"/>
        </w:tabs>
        <w:ind w:left="6480" w:hanging="360"/>
      </w:pPr>
      <w:rPr>
        <w:rFonts w:cs="Times New Roman"/>
      </w:rPr>
    </w:lvl>
  </w:abstractNum>
  <w:abstractNum w:abstractNumId="371" w15:restartNumberingAfterBreak="0">
    <w:nsid w:val="6D286A5A"/>
    <w:multiLevelType w:val="hybridMultilevel"/>
    <w:tmpl w:val="8EF02E5A"/>
    <w:lvl w:ilvl="0" w:tplc="64D6F1A6">
      <w:start w:val="1"/>
      <w:numFmt w:val="bullet"/>
      <w:lvlText w:val=""/>
      <w:lvlJc w:val="left"/>
      <w:pPr>
        <w:ind w:left="720" w:hanging="360"/>
      </w:pPr>
      <w:rPr>
        <w:rFonts w:ascii="Symbol" w:hAnsi="Symbol" w:hint="default"/>
      </w:rPr>
    </w:lvl>
    <w:lvl w:ilvl="1" w:tplc="1668EA0A" w:tentative="1">
      <w:start w:val="1"/>
      <w:numFmt w:val="bullet"/>
      <w:lvlText w:val="o"/>
      <w:lvlJc w:val="left"/>
      <w:pPr>
        <w:ind w:left="1440" w:hanging="360"/>
      </w:pPr>
      <w:rPr>
        <w:rFonts w:ascii="Courier New" w:hAnsi="Courier New" w:cs="Courier New" w:hint="default"/>
      </w:rPr>
    </w:lvl>
    <w:lvl w:ilvl="2" w:tplc="46BAB952" w:tentative="1">
      <w:start w:val="1"/>
      <w:numFmt w:val="bullet"/>
      <w:lvlText w:val=""/>
      <w:lvlJc w:val="left"/>
      <w:pPr>
        <w:ind w:left="2160" w:hanging="360"/>
      </w:pPr>
      <w:rPr>
        <w:rFonts w:ascii="Wingdings" w:hAnsi="Wingdings" w:hint="default"/>
      </w:rPr>
    </w:lvl>
    <w:lvl w:ilvl="3" w:tplc="32A65D18" w:tentative="1">
      <w:start w:val="1"/>
      <w:numFmt w:val="bullet"/>
      <w:lvlText w:val=""/>
      <w:lvlJc w:val="left"/>
      <w:pPr>
        <w:ind w:left="2880" w:hanging="360"/>
      </w:pPr>
      <w:rPr>
        <w:rFonts w:ascii="Symbol" w:hAnsi="Symbol" w:hint="default"/>
      </w:rPr>
    </w:lvl>
    <w:lvl w:ilvl="4" w:tplc="F764559E" w:tentative="1">
      <w:start w:val="1"/>
      <w:numFmt w:val="bullet"/>
      <w:lvlText w:val="o"/>
      <w:lvlJc w:val="left"/>
      <w:pPr>
        <w:ind w:left="3600" w:hanging="360"/>
      </w:pPr>
      <w:rPr>
        <w:rFonts w:ascii="Courier New" w:hAnsi="Courier New" w:cs="Courier New" w:hint="default"/>
      </w:rPr>
    </w:lvl>
    <w:lvl w:ilvl="5" w:tplc="EE2EF4B0" w:tentative="1">
      <w:start w:val="1"/>
      <w:numFmt w:val="bullet"/>
      <w:lvlText w:val=""/>
      <w:lvlJc w:val="left"/>
      <w:pPr>
        <w:ind w:left="4320" w:hanging="360"/>
      </w:pPr>
      <w:rPr>
        <w:rFonts w:ascii="Wingdings" w:hAnsi="Wingdings" w:hint="default"/>
      </w:rPr>
    </w:lvl>
    <w:lvl w:ilvl="6" w:tplc="94A4E03C" w:tentative="1">
      <w:start w:val="1"/>
      <w:numFmt w:val="bullet"/>
      <w:lvlText w:val=""/>
      <w:lvlJc w:val="left"/>
      <w:pPr>
        <w:ind w:left="5040" w:hanging="360"/>
      </w:pPr>
      <w:rPr>
        <w:rFonts w:ascii="Symbol" w:hAnsi="Symbol" w:hint="default"/>
      </w:rPr>
    </w:lvl>
    <w:lvl w:ilvl="7" w:tplc="D80A9FD6" w:tentative="1">
      <w:start w:val="1"/>
      <w:numFmt w:val="bullet"/>
      <w:lvlText w:val="o"/>
      <w:lvlJc w:val="left"/>
      <w:pPr>
        <w:ind w:left="5760" w:hanging="360"/>
      </w:pPr>
      <w:rPr>
        <w:rFonts w:ascii="Courier New" w:hAnsi="Courier New" w:cs="Courier New" w:hint="default"/>
      </w:rPr>
    </w:lvl>
    <w:lvl w:ilvl="8" w:tplc="81040FC2" w:tentative="1">
      <w:start w:val="1"/>
      <w:numFmt w:val="bullet"/>
      <w:lvlText w:val=""/>
      <w:lvlJc w:val="left"/>
      <w:pPr>
        <w:ind w:left="6480" w:hanging="360"/>
      </w:pPr>
      <w:rPr>
        <w:rFonts w:ascii="Wingdings" w:hAnsi="Wingdings" w:hint="default"/>
      </w:rPr>
    </w:lvl>
  </w:abstractNum>
  <w:abstractNum w:abstractNumId="372" w15:restartNumberingAfterBreak="0">
    <w:nsid w:val="6D900961"/>
    <w:multiLevelType w:val="hybridMultilevel"/>
    <w:tmpl w:val="AEB00134"/>
    <w:lvl w:ilvl="0" w:tplc="04020001">
      <w:start w:val="1"/>
      <w:numFmt w:val="bullet"/>
      <w:lvlText w:val=""/>
      <w:lvlJc w:val="left"/>
      <w:pPr>
        <w:tabs>
          <w:tab w:val="num" w:pos="927"/>
        </w:tabs>
        <w:ind w:left="927" w:hanging="360"/>
      </w:pPr>
      <w:rPr>
        <w:rFonts w:ascii="Symbol" w:hAnsi="Symbol" w:cs="Symbol" w:hint="default"/>
        <w:b/>
        <w:bCs/>
      </w:rPr>
    </w:lvl>
    <w:lvl w:ilvl="1" w:tplc="FFFFFFFF">
      <w:start w:val="1"/>
      <w:numFmt w:val="lowerLetter"/>
      <w:lvlText w:val="%2."/>
      <w:lvlJc w:val="left"/>
      <w:pPr>
        <w:tabs>
          <w:tab w:val="num" w:pos="1647"/>
        </w:tabs>
        <w:ind w:left="1647" w:hanging="360"/>
      </w:pPr>
    </w:lvl>
    <w:lvl w:ilvl="2" w:tplc="FFFFFFFF">
      <w:start w:val="1"/>
      <w:numFmt w:val="lowerRoman"/>
      <w:lvlText w:val="%3."/>
      <w:lvlJc w:val="right"/>
      <w:pPr>
        <w:tabs>
          <w:tab w:val="num" w:pos="2367"/>
        </w:tabs>
        <w:ind w:left="2367" w:hanging="180"/>
      </w:pPr>
    </w:lvl>
    <w:lvl w:ilvl="3" w:tplc="FFFFFFFF">
      <w:start w:val="1"/>
      <w:numFmt w:val="decimal"/>
      <w:lvlText w:val="%4."/>
      <w:lvlJc w:val="left"/>
      <w:pPr>
        <w:tabs>
          <w:tab w:val="num" w:pos="3087"/>
        </w:tabs>
        <w:ind w:left="3087" w:hanging="360"/>
      </w:pPr>
    </w:lvl>
    <w:lvl w:ilvl="4" w:tplc="FFFFFFFF">
      <w:start w:val="1"/>
      <w:numFmt w:val="lowerLetter"/>
      <w:lvlText w:val="%5."/>
      <w:lvlJc w:val="left"/>
      <w:pPr>
        <w:tabs>
          <w:tab w:val="num" w:pos="3807"/>
        </w:tabs>
        <w:ind w:left="3807" w:hanging="360"/>
      </w:pPr>
    </w:lvl>
    <w:lvl w:ilvl="5" w:tplc="FFFFFFFF">
      <w:start w:val="1"/>
      <w:numFmt w:val="lowerRoman"/>
      <w:lvlText w:val="%6."/>
      <w:lvlJc w:val="right"/>
      <w:pPr>
        <w:tabs>
          <w:tab w:val="num" w:pos="4527"/>
        </w:tabs>
        <w:ind w:left="4527" w:hanging="180"/>
      </w:pPr>
    </w:lvl>
    <w:lvl w:ilvl="6" w:tplc="FFFFFFFF">
      <w:start w:val="1"/>
      <w:numFmt w:val="decimal"/>
      <w:lvlText w:val="%7."/>
      <w:lvlJc w:val="left"/>
      <w:pPr>
        <w:tabs>
          <w:tab w:val="num" w:pos="5247"/>
        </w:tabs>
        <w:ind w:left="5247" w:hanging="360"/>
      </w:pPr>
    </w:lvl>
    <w:lvl w:ilvl="7" w:tplc="FFFFFFFF">
      <w:start w:val="1"/>
      <w:numFmt w:val="lowerLetter"/>
      <w:lvlText w:val="%8."/>
      <w:lvlJc w:val="left"/>
      <w:pPr>
        <w:tabs>
          <w:tab w:val="num" w:pos="5967"/>
        </w:tabs>
        <w:ind w:left="5967" w:hanging="360"/>
      </w:pPr>
    </w:lvl>
    <w:lvl w:ilvl="8" w:tplc="FFFFFFFF">
      <w:start w:val="1"/>
      <w:numFmt w:val="lowerRoman"/>
      <w:lvlText w:val="%9."/>
      <w:lvlJc w:val="right"/>
      <w:pPr>
        <w:tabs>
          <w:tab w:val="num" w:pos="6687"/>
        </w:tabs>
        <w:ind w:left="6687" w:hanging="180"/>
      </w:pPr>
    </w:lvl>
  </w:abstractNum>
  <w:abstractNum w:abstractNumId="373" w15:restartNumberingAfterBreak="0">
    <w:nsid w:val="6DC4394F"/>
    <w:multiLevelType w:val="hybridMultilevel"/>
    <w:tmpl w:val="869A4920"/>
    <w:lvl w:ilvl="0" w:tplc="E59ACB86">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4" w15:restartNumberingAfterBreak="0">
    <w:nsid w:val="6DF64568"/>
    <w:multiLevelType w:val="hybridMultilevel"/>
    <w:tmpl w:val="F9EC9CF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5" w15:restartNumberingAfterBreak="0">
    <w:nsid w:val="6E4A6CF9"/>
    <w:multiLevelType w:val="hybridMultilevel"/>
    <w:tmpl w:val="D4846172"/>
    <w:lvl w:ilvl="0" w:tplc="04020001">
      <w:start w:val="1"/>
      <w:numFmt w:val="bullet"/>
      <w:lvlText w:val=""/>
      <w:lvlJc w:val="left"/>
      <w:pPr>
        <w:tabs>
          <w:tab w:val="num" w:pos="643"/>
        </w:tabs>
        <w:ind w:left="643" w:hanging="360"/>
      </w:pPr>
      <w:rPr>
        <w:rFonts w:ascii="Wingdings" w:hAnsi="Wingdings" w:cs="Wingdings" w:hint="default"/>
      </w:rPr>
    </w:lvl>
    <w:lvl w:ilvl="1" w:tplc="04020003">
      <w:start w:val="164"/>
      <w:numFmt w:val="bullet"/>
      <w:lvlText w:val="•"/>
      <w:lvlJc w:val="left"/>
      <w:pPr>
        <w:tabs>
          <w:tab w:val="num" w:pos="1506"/>
        </w:tabs>
        <w:ind w:left="1506" w:hanging="360"/>
      </w:pPr>
      <w:rPr>
        <w:rFonts w:ascii="Verdana" w:hAnsi="Verdana" w:cs="Verdana" w:hint="default"/>
      </w:rPr>
    </w:lvl>
    <w:lvl w:ilvl="2" w:tplc="04020005">
      <w:start w:val="1"/>
      <w:numFmt w:val="bullet"/>
      <w:lvlText w:val="-"/>
      <w:lvlJc w:val="left"/>
      <w:pPr>
        <w:tabs>
          <w:tab w:val="num" w:pos="2226"/>
        </w:tabs>
        <w:ind w:left="2226" w:hanging="360"/>
      </w:pPr>
      <w:rPr>
        <w:rFonts w:ascii="Times New Roman" w:hAnsi="Times New Roman" w:hint="default"/>
      </w:rPr>
    </w:lvl>
    <w:lvl w:ilvl="3" w:tplc="04020001">
      <w:start w:val="1"/>
      <w:numFmt w:val="bullet"/>
      <w:lvlText w:val=""/>
      <w:lvlJc w:val="left"/>
      <w:pPr>
        <w:tabs>
          <w:tab w:val="num" w:pos="2946"/>
        </w:tabs>
        <w:ind w:left="2946" w:hanging="360"/>
      </w:pPr>
      <w:rPr>
        <w:rFonts w:ascii="Wingdings" w:hAnsi="Wingdings" w:cs="Wingdings" w:hint="default"/>
      </w:rPr>
    </w:lvl>
    <w:lvl w:ilvl="4" w:tplc="04020003">
      <w:start w:val="1"/>
      <w:numFmt w:val="bullet"/>
      <w:lvlText w:val=""/>
      <w:lvlJc w:val="left"/>
      <w:pPr>
        <w:tabs>
          <w:tab w:val="num" w:pos="3666"/>
        </w:tabs>
        <w:ind w:left="3666" w:hanging="360"/>
      </w:pPr>
      <w:rPr>
        <w:rFonts w:ascii="Wingdings" w:hAnsi="Wingdings" w:cs="Wingdings" w:hint="default"/>
      </w:rPr>
    </w:lvl>
    <w:lvl w:ilvl="5" w:tplc="04020005">
      <w:start w:val="1"/>
      <w:numFmt w:val="bullet"/>
      <w:lvlText w:val=""/>
      <w:lvlJc w:val="left"/>
      <w:pPr>
        <w:tabs>
          <w:tab w:val="num" w:pos="4386"/>
        </w:tabs>
        <w:ind w:left="4386" w:hanging="360"/>
      </w:pPr>
      <w:rPr>
        <w:rFonts w:ascii="Wingdings" w:hAnsi="Wingdings" w:cs="Wingdings" w:hint="default"/>
      </w:rPr>
    </w:lvl>
    <w:lvl w:ilvl="6" w:tplc="04020001">
      <w:start w:val="1"/>
      <w:numFmt w:val="bullet"/>
      <w:lvlText w:val=""/>
      <w:lvlJc w:val="left"/>
      <w:pPr>
        <w:tabs>
          <w:tab w:val="num" w:pos="5106"/>
        </w:tabs>
        <w:ind w:left="5106" w:hanging="360"/>
      </w:pPr>
      <w:rPr>
        <w:rFonts w:ascii="Wingdings" w:hAnsi="Wingdings" w:cs="Wingdings" w:hint="default"/>
      </w:rPr>
    </w:lvl>
    <w:lvl w:ilvl="7" w:tplc="04020003">
      <w:start w:val="1"/>
      <w:numFmt w:val="bullet"/>
      <w:lvlText w:val=""/>
      <w:lvlJc w:val="left"/>
      <w:pPr>
        <w:tabs>
          <w:tab w:val="num" w:pos="5826"/>
        </w:tabs>
        <w:ind w:left="5826" w:hanging="360"/>
      </w:pPr>
      <w:rPr>
        <w:rFonts w:ascii="Wingdings" w:hAnsi="Wingdings" w:cs="Wingdings" w:hint="default"/>
      </w:rPr>
    </w:lvl>
    <w:lvl w:ilvl="8" w:tplc="04020005">
      <w:start w:val="1"/>
      <w:numFmt w:val="bullet"/>
      <w:lvlText w:val=""/>
      <w:lvlJc w:val="left"/>
      <w:pPr>
        <w:tabs>
          <w:tab w:val="num" w:pos="6546"/>
        </w:tabs>
        <w:ind w:left="6546" w:hanging="360"/>
      </w:pPr>
      <w:rPr>
        <w:rFonts w:ascii="Wingdings" w:hAnsi="Wingdings" w:cs="Wingdings" w:hint="default"/>
      </w:rPr>
    </w:lvl>
  </w:abstractNum>
  <w:abstractNum w:abstractNumId="376" w15:restartNumberingAfterBreak="0">
    <w:nsid w:val="6E811410"/>
    <w:multiLevelType w:val="singleLevel"/>
    <w:tmpl w:val="6E811410"/>
    <w:lvl w:ilvl="0">
      <w:start w:val="1"/>
      <w:numFmt w:val="bullet"/>
      <w:lvlText w:val=""/>
      <w:lvlJc w:val="left"/>
      <w:pPr>
        <w:tabs>
          <w:tab w:val="left" w:pos="420"/>
        </w:tabs>
        <w:ind w:left="420" w:hanging="420"/>
      </w:pPr>
      <w:rPr>
        <w:rFonts w:ascii="Wingdings" w:hAnsi="Wingdings" w:hint="default"/>
        <w:sz w:val="18"/>
        <w:szCs w:val="18"/>
      </w:rPr>
    </w:lvl>
  </w:abstractNum>
  <w:abstractNum w:abstractNumId="377" w15:restartNumberingAfterBreak="0">
    <w:nsid w:val="703900E4"/>
    <w:multiLevelType w:val="hybridMultilevel"/>
    <w:tmpl w:val="90C6702A"/>
    <w:lvl w:ilvl="0" w:tplc="69B23694">
      <w:start w:val="1"/>
      <w:numFmt w:val="bullet"/>
      <w:lvlText w:val="o"/>
      <w:lvlJc w:val="left"/>
      <w:pPr>
        <w:ind w:left="3055" w:hanging="360"/>
      </w:pPr>
      <w:rPr>
        <w:rFonts w:ascii="Courier New" w:hAnsi="Courier New" w:hint="default"/>
      </w:rPr>
    </w:lvl>
    <w:lvl w:ilvl="1" w:tplc="52ACED68" w:tentative="1">
      <w:start w:val="1"/>
      <w:numFmt w:val="bullet"/>
      <w:lvlText w:val="o"/>
      <w:lvlJc w:val="left"/>
      <w:pPr>
        <w:ind w:left="3775" w:hanging="360"/>
      </w:pPr>
      <w:rPr>
        <w:rFonts w:ascii="Courier New" w:hAnsi="Courier New" w:hint="default"/>
      </w:rPr>
    </w:lvl>
    <w:lvl w:ilvl="2" w:tplc="6CAA2288" w:tentative="1">
      <w:start w:val="1"/>
      <w:numFmt w:val="bullet"/>
      <w:lvlText w:val=""/>
      <w:lvlJc w:val="left"/>
      <w:pPr>
        <w:ind w:left="4495" w:hanging="360"/>
      </w:pPr>
      <w:rPr>
        <w:rFonts w:ascii="Wingdings" w:hAnsi="Wingdings" w:hint="default"/>
      </w:rPr>
    </w:lvl>
    <w:lvl w:ilvl="3" w:tplc="0B2E54E4" w:tentative="1">
      <w:start w:val="1"/>
      <w:numFmt w:val="bullet"/>
      <w:lvlText w:val=""/>
      <w:lvlJc w:val="left"/>
      <w:pPr>
        <w:ind w:left="5215" w:hanging="360"/>
      </w:pPr>
      <w:rPr>
        <w:rFonts w:ascii="Symbol" w:hAnsi="Symbol" w:hint="default"/>
      </w:rPr>
    </w:lvl>
    <w:lvl w:ilvl="4" w:tplc="0E38E6B6" w:tentative="1">
      <w:start w:val="1"/>
      <w:numFmt w:val="bullet"/>
      <w:lvlText w:val="o"/>
      <w:lvlJc w:val="left"/>
      <w:pPr>
        <w:ind w:left="5935" w:hanging="360"/>
      </w:pPr>
      <w:rPr>
        <w:rFonts w:ascii="Courier New" w:hAnsi="Courier New" w:hint="default"/>
      </w:rPr>
    </w:lvl>
    <w:lvl w:ilvl="5" w:tplc="610C7106" w:tentative="1">
      <w:start w:val="1"/>
      <w:numFmt w:val="bullet"/>
      <w:lvlText w:val=""/>
      <w:lvlJc w:val="left"/>
      <w:pPr>
        <w:ind w:left="6655" w:hanging="360"/>
      </w:pPr>
      <w:rPr>
        <w:rFonts w:ascii="Wingdings" w:hAnsi="Wingdings" w:hint="default"/>
      </w:rPr>
    </w:lvl>
    <w:lvl w:ilvl="6" w:tplc="8256BE5E" w:tentative="1">
      <w:start w:val="1"/>
      <w:numFmt w:val="bullet"/>
      <w:lvlText w:val=""/>
      <w:lvlJc w:val="left"/>
      <w:pPr>
        <w:ind w:left="7375" w:hanging="360"/>
      </w:pPr>
      <w:rPr>
        <w:rFonts w:ascii="Symbol" w:hAnsi="Symbol" w:hint="default"/>
      </w:rPr>
    </w:lvl>
    <w:lvl w:ilvl="7" w:tplc="D5665370" w:tentative="1">
      <w:start w:val="1"/>
      <w:numFmt w:val="bullet"/>
      <w:lvlText w:val="o"/>
      <w:lvlJc w:val="left"/>
      <w:pPr>
        <w:ind w:left="8095" w:hanging="360"/>
      </w:pPr>
      <w:rPr>
        <w:rFonts w:ascii="Courier New" w:hAnsi="Courier New" w:hint="default"/>
      </w:rPr>
    </w:lvl>
    <w:lvl w:ilvl="8" w:tplc="54ACBBC0" w:tentative="1">
      <w:start w:val="1"/>
      <w:numFmt w:val="bullet"/>
      <w:lvlText w:val=""/>
      <w:lvlJc w:val="left"/>
      <w:pPr>
        <w:ind w:left="8815" w:hanging="360"/>
      </w:pPr>
      <w:rPr>
        <w:rFonts w:ascii="Wingdings" w:hAnsi="Wingdings" w:hint="default"/>
      </w:rPr>
    </w:lvl>
  </w:abstractNum>
  <w:abstractNum w:abstractNumId="378" w15:restartNumberingAfterBreak="0">
    <w:nsid w:val="703D11DF"/>
    <w:multiLevelType w:val="hybridMultilevel"/>
    <w:tmpl w:val="78920A90"/>
    <w:lvl w:ilvl="0" w:tplc="2C58A380">
      <w:start w:val="1"/>
      <w:numFmt w:val="bullet"/>
      <w:lvlText w:val=""/>
      <w:lvlJc w:val="left"/>
      <w:pPr>
        <w:tabs>
          <w:tab w:val="num" w:pos="720"/>
        </w:tabs>
        <w:ind w:left="720" w:hanging="360"/>
      </w:pPr>
      <w:rPr>
        <w:rFonts w:ascii="Symbol" w:hAnsi="Symbol" w:hint="default"/>
      </w:rPr>
    </w:lvl>
    <w:lvl w:ilvl="1" w:tplc="17209FB8" w:tentative="1">
      <w:start w:val="1"/>
      <w:numFmt w:val="bullet"/>
      <w:lvlText w:val=""/>
      <w:lvlJc w:val="left"/>
      <w:pPr>
        <w:tabs>
          <w:tab w:val="num" w:pos="1440"/>
        </w:tabs>
        <w:ind w:left="1440" w:hanging="360"/>
      </w:pPr>
      <w:rPr>
        <w:rFonts w:ascii="Symbol" w:hAnsi="Symbol" w:hint="default"/>
      </w:rPr>
    </w:lvl>
    <w:lvl w:ilvl="2" w:tplc="0F2A23D0" w:tentative="1">
      <w:start w:val="1"/>
      <w:numFmt w:val="bullet"/>
      <w:lvlText w:val=""/>
      <w:lvlJc w:val="left"/>
      <w:pPr>
        <w:tabs>
          <w:tab w:val="num" w:pos="2160"/>
        </w:tabs>
        <w:ind w:left="2160" w:hanging="360"/>
      </w:pPr>
      <w:rPr>
        <w:rFonts w:ascii="Symbol" w:hAnsi="Symbol" w:hint="default"/>
      </w:rPr>
    </w:lvl>
    <w:lvl w:ilvl="3" w:tplc="B922F228" w:tentative="1">
      <w:start w:val="1"/>
      <w:numFmt w:val="bullet"/>
      <w:lvlText w:val=""/>
      <w:lvlJc w:val="left"/>
      <w:pPr>
        <w:tabs>
          <w:tab w:val="num" w:pos="2880"/>
        </w:tabs>
        <w:ind w:left="2880" w:hanging="360"/>
      </w:pPr>
      <w:rPr>
        <w:rFonts w:ascii="Symbol" w:hAnsi="Symbol" w:hint="default"/>
      </w:rPr>
    </w:lvl>
    <w:lvl w:ilvl="4" w:tplc="7B8649EA" w:tentative="1">
      <w:start w:val="1"/>
      <w:numFmt w:val="bullet"/>
      <w:lvlText w:val=""/>
      <w:lvlJc w:val="left"/>
      <w:pPr>
        <w:tabs>
          <w:tab w:val="num" w:pos="3600"/>
        </w:tabs>
        <w:ind w:left="3600" w:hanging="360"/>
      </w:pPr>
      <w:rPr>
        <w:rFonts w:ascii="Symbol" w:hAnsi="Symbol" w:hint="default"/>
      </w:rPr>
    </w:lvl>
    <w:lvl w:ilvl="5" w:tplc="03D2DE5E" w:tentative="1">
      <w:start w:val="1"/>
      <w:numFmt w:val="bullet"/>
      <w:lvlText w:val=""/>
      <w:lvlJc w:val="left"/>
      <w:pPr>
        <w:tabs>
          <w:tab w:val="num" w:pos="4320"/>
        </w:tabs>
        <w:ind w:left="4320" w:hanging="360"/>
      </w:pPr>
      <w:rPr>
        <w:rFonts w:ascii="Symbol" w:hAnsi="Symbol" w:hint="default"/>
      </w:rPr>
    </w:lvl>
    <w:lvl w:ilvl="6" w:tplc="46E417F2" w:tentative="1">
      <w:start w:val="1"/>
      <w:numFmt w:val="bullet"/>
      <w:lvlText w:val=""/>
      <w:lvlJc w:val="left"/>
      <w:pPr>
        <w:tabs>
          <w:tab w:val="num" w:pos="5040"/>
        </w:tabs>
        <w:ind w:left="5040" w:hanging="360"/>
      </w:pPr>
      <w:rPr>
        <w:rFonts w:ascii="Symbol" w:hAnsi="Symbol" w:hint="default"/>
      </w:rPr>
    </w:lvl>
    <w:lvl w:ilvl="7" w:tplc="FB8A6728" w:tentative="1">
      <w:start w:val="1"/>
      <w:numFmt w:val="bullet"/>
      <w:lvlText w:val=""/>
      <w:lvlJc w:val="left"/>
      <w:pPr>
        <w:tabs>
          <w:tab w:val="num" w:pos="5760"/>
        </w:tabs>
        <w:ind w:left="5760" w:hanging="360"/>
      </w:pPr>
      <w:rPr>
        <w:rFonts w:ascii="Symbol" w:hAnsi="Symbol" w:hint="default"/>
      </w:rPr>
    </w:lvl>
    <w:lvl w:ilvl="8" w:tplc="E9D07DC6" w:tentative="1">
      <w:start w:val="1"/>
      <w:numFmt w:val="bullet"/>
      <w:lvlText w:val=""/>
      <w:lvlJc w:val="left"/>
      <w:pPr>
        <w:tabs>
          <w:tab w:val="num" w:pos="6480"/>
        </w:tabs>
        <w:ind w:left="6480" w:hanging="360"/>
      </w:pPr>
      <w:rPr>
        <w:rFonts w:ascii="Symbol" w:hAnsi="Symbol" w:hint="default"/>
      </w:rPr>
    </w:lvl>
  </w:abstractNum>
  <w:abstractNum w:abstractNumId="379" w15:restartNumberingAfterBreak="0">
    <w:nsid w:val="707A4F33"/>
    <w:multiLevelType w:val="hybridMultilevel"/>
    <w:tmpl w:val="18E420FE"/>
    <w:lvl w:ilvl="0" w:tplc="04090019">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0" w15:restartNumberingAfterBreak="0">
    <w:nsid w:val="70801F6A"/>
    <w:multiLevelType w:val="hybridMultilevel"/>
    <w:tmpl w:val="C9182DAE"/>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381" w15:restartNumberingAfterBreak="0">
    <w:nsid w:val="70D27B3B"/>
    <w:multiLevelType w:val="hybridMultilevel"/>
    <w:tmpl w:val="63BA56D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82" w15:restartNumberingAfterBreak="0">
    <w:nsid w:val="71383A1D"/>
    <w:multiLevelType w:val="hybridMultilevel"/>
    <w:tmpl w:val="67441450"/>
    <w:lvl w:ilvl="0" w:tplc="04020001">
      <w:start w:val="1"/>
      <w:numFmt w:val="bullet"/>
      <w:lvlText w:val=""/>
      <w:lvlJc w:val="left"/>
      <w:pPr>
        <w:ind w:left="1429" w:hanging="360"/>
      </w:pPr>
      <w:rPr>
        <w:rFonts w:ascii="Symbol" w:hAnsi="Symbol" w:hint="default"/>
      </w:rPr>
    </w:lvl>
    <w:lvl w:ilvl="1" w:tplc="04020001">
      <w:start w:val="1"/>
      <w:numFmt w:val="bullet"/>
      <w:lvlText w:val=""/>
      <w:lvlJc w:val="left"/>
      <w:pPr>
        <w:ind w:left="2149" w:hanging="360"/>
      </w:pPr>
      <w:rPr>
        <w:rFonts w:ascii="Symbol" w:hAnsi="Symbol" w:hint="default"/>
      </w:rPr>
    </w:lvl>
    <w:lvl w:ilvl="2" w:tplc="04020005">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83" w15:restartNumberingAfterBreak="0">
    <w:nsid w:val="72200C80"/>
    <w:multiLevelType w:val="hybridMultilevel"/>
    <w:tmpl w:val="58A4269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4" w15:restartNumberingAfterBreak="0">
    <w:nsid w:val="72255309"/>
    <w:multiLevelType w:val="hybridMultilevel"/>
    <w:tmpl w:val="75BC457A"/>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
      <w:lvlJc w:val="left"/>
      <w:pPr>
        <w:tabs>
          <w:tab w:val="num" w:pos="1440"/>
        </w:tabs>
        <w:ind w:left="1440" w:hanging="360"/>
      </w:pPr>
      <w:rPr>
        <w:rFonts w:ascii="Symbol" w:hAnsi="Symbol" w:hint="default"/>
      </w:rPr>
    </w:lvl>
    <w:lvl w:ilvl="2" w:tplc="04020005">
      <w:start w:val="1"/>
      <w:numFmt w:val="decimal"/>
      <w:lvlText w:val="%3."/>
      <w:lvlJc w:val="left"/>
      <w:pPr>
        <w:tabs>
          <w:tab w:val="num" w:pos="2340"/>
        </w:tabs>
        <w:ind w:left="2340" w:hanging="360"/>
      </w:pPr>
      <w:rPr>
        <w:rFonts w:cs="Times New Roman" w:hint="default"/>
      </w:rPr>
    </w:lvl>
    <w:lvl w:ilvl="3" w:tplc="04020001" w:tentative="1">
      <w:start w:val="1"/>
      <w:numFmt w:val="decimal"/>
      <w:lvlText w:val="%4."/>
      <w:lvlJc w:val="left"/>
      <w:pPr>
        <w:tabs>
          <w:tab w:val="num" w:pos="2880"/>
        </w:tabs>
        <w:ind w:left="2880" w:hanging="360"/>
      </w:pPr>
      <w:rPr>
        <w:rFonts w:cs="Times New Roman"/>
      </w:rPr>
    </w:lvl>
    <w:lvl w:ilvl="4" w:tplc="04020003" w:tentative="1">
      <w:start w:val="1"/>
      <w:numFmt w:val="lowerLetter"/>
      <w:lvlText w:val="%5."/>
      <w:lvlJc w:val="left"/>
      <w:pPr>
        <w:tabs>
          <w:tab w:val="num" w:pos="3600"/>
        </w:tabs>
        <w:ind w:left="3600" w:hanging="360"/>
      </w:pPr>
      <w:rPr>
        <w:rFonts w:cs="Times New Roman"/>
      </w:rPr>
    </w:lvl>
    <w:lvl w:ilvl="5" w:tplc="04020005" w:tentative="1">
      <w:start w:val="1"/>
      <w:numFmt w:val="lowerRoman"/>
      <w:lvlText w:val="%6."/>
      <w:lvlJc w:val="right"/>
      <w:pPr>
        <w:tabs>
          <w:tab w:val="num" w:pos="4320"/>
        </w:tabs>
        <w:ind w:left="4320" w:hanging="180"/>
      </w:pPr>
      <w:rPr>
        <w:rFonts w:cs="Times New Roman"/>
      </w:rPr>
    </w:lvl>
    <w:lvl w:ilvl="6" w:tplc="04020001" w:tentative="1">
      <w:start w:val="1"/>
      <w:numFmt w:val="decimal"/>
      <w:lvlText w:val="%7."/>
      <w:lvlJc w:val="left"/>
      <w:pPr>
        <w:tabs>
          <w:tab w:val="num" w:pos="5040"/>
        </w:tabs>
        <w:ind w:left="5040" w:hanging="360"/>
      </w:pPr>
      <w:rPr>
        <w:rFonts w:cs="Times New Roman"/>
      </w:rPr>
    </w:lvl>
    <w:lvl w:ilvl="7" w:tplc="04020003" w:tentative="1">
      <w:start w:val="1"/>
      <w:numFmt w:val="lowerLetter"/>
      <w:lvlText w:val="%8."/>
      <w:lvlJc w:val="left"/>
      <w:pPr>
        <w:tabs>
          <w:tab w:val="num" w:pos="5760"/>
        </w:tabs>
        <w:ind w:left="5760" w:hanging="360"/>
      </w:pPr>
      <w:rPr>
        <w:rFonts w:cs="Times New Roman"/>
      </w:rPr>
    </w:lvl>
    <w:lvl w:ilvl="8" w:tplc="04020005" w:tentative="1">
      <w:start w:val="1"/>
      <w:numFmt w:val="lowerRoman"/>
      <w:lvlText w:val="%9."/>
      <w:lvlJc w:val="right"/>
      <w:pPr>
        <w:tabs>
          <w:tab w:val="num" w:pos="6480"/>
        </w:tabs>
        <w:ind w:left="6480" w:hanging="180"/>
      </w:pPr>
      <w:rPr>
        <w:rFonts w:cs="Times New Roman"/>
      </w:rPr>
    </w:lvl>
  </w:abstractNum>
  <w:abstractNum w:abstractNumId="385" w15:restartNumberingAfterBreak="0">
    <w:nsid w:val="72417D68"/>
    <w:multiLevelType w:val="hybridMultilevel"/>
    <w:tmpl w:val="79228C28"/>
    <w:lvl w:ilvl="0" w:tplc="04020001">
      <w:start w:val="1"/>
      <w:numFmt w:val="bullet"/>
      <w:lvlText w:val=""/>
      <w:lvlJc w:val="left"/>
      <w:pPr>
        <w:tabs>
          <w:tab w:val="num" w:pos="643"/>
        </w:tabs>
        <w:ind w:left="643" w:hanging="360"/>
      </w:pPr>
      <w:rPr>
        <w:rFonts w:ascii="Wingdings" w:hAnsi="Wingdings" w:cs="Wingdings" w:hint="default"/>
      </w:rPr>
    </w:lvl>
    <w:lvl w:ilvl="1" w:tplc="04020003">
      <w:start w:val="164"/>
      <w:numFmt w:val="bullet"/>
      <w:lvlText w:val="•"/>
      <w:lvlJc w:val="left"/>
      <w:pPr>
        <w:tabs>
          <w:tab w:val="num" w:pos="1506"/>
        </w:tabs>
        <w:ind w:left="1506" w:hanging="360"/>
      </w:pPr>
      <w:rPr>
        <w:rFonts w:ascii="Verdana" w:hAnsi="Verdana" w:cs="Verdana" w:hint="default"/>
      </w:rPr>
    </w:lvl>
    <w:lvl w:ilvl="2" w:tplc="B07E441C">
      <w:start w:val="6"/>
      <w:numFmt w:val="bullet"/>
      <w:lvlText w:val="-"/>
      <w:lvlJc w:val="left"/>
      <w:pPr>
        <w:tabs>
          <w:tab w:val="num" w:pos="2226"/>
        </w:tabs>
        <w:ind w:left="2226" w:hanging="360"/>
      </w:pPr>
      <w:rPr>
        <w:rFonts w:ascii="Cambria" w:eastAsiaTheme="minorHAnsi" w:hAnsi="Cambria" w:cs="Times New Roman" w:hint="default"/>
      </w:rPr>
    </w:lvl>
    <w:lvl w:ilvl="3" w:tplc="04020001">
      <w:start w:val="1"/>
      <w:numFmt w:val="bullet"/>
      <w:lvlText w:val=""/>
      <w:lvlJc w:val="left"/>
      <w:pPr>
        <w:tabs>
          <w:tab w:val="num" w:pos="2946"/>
        </w:tabs>
        <w:ind w:left="2946" w:hanging="360"/>
      </w:pPr>
      <w:rPr>
        <w:rFonts w:ascii="Wingdings" w:hAnsi="Wingdings" w:cs="Wingdings" w:hint="default"/>
      </w:rPr>
    </w:lvl>
    <w:lvl w:ilvl="4" w:tplc="04020003">
      <w:start w:val="1"/>
      <w:numFmt w:val="bullet"/>
      <w:lvlText w:val=""/>
      <w:lvlJc w:val="left"/>
      <w:pPr>
        <w:tabs>
          <w:tab w:val="num" w:pos="3666"/>
        </w:tabs>
        <w:ind w:left="3666" w:hanging="360"/>
      </w:pPr>
      <w:rPr>
        <w:rFonts w:ascii="Wingdings" w:hAnsi="Wingdings" w:cs="Wingdings" w:hint="default"/>
      </w:rPr>
    </w:lvl>
    <w:lvl w:ilvl="5" w:tplc="04020005">
      <w:start w:val="1"/>
      <w:numFmt w:val="bullet"/>
      <w:lvlText w:val=""/>
      <w:lvlJc w:val="left"/>
      <w:pPr>
        <w:tabs>
          <w:tab w:val="num" w:pos="4386"/>
        </w:tabs>
        <w:ind w:left="4386" w:hanging="360"/>
      </w:pPr>
      <w:rPr>
        <w:rFonts w:ascii="Wingdings" w:hAnsi="Wingdings" w:cs="Wingdings" w:hint="default"/>
      </w:rPr>
    </w:lvl>
    <w:lvl w:ilvl="6" w:tplc="04020001">
      <w:start w:val="1"/>
      <w:numFmt w:val="bullet"/>
      <w:lvlText w:val=""/>
      <w:lvlJc w:val="left"/>
      <w:pPr>
        <w:tabs>
          <w:tab w:val="num" w:pos="5106"/>
        </w:tabs>
        <w:ind w:left="5106" w:hanging="360"/>
      </w:pPr>
      <w:rPr>
        <w:rFonts w:ascii="Wingdings" w:hAnsi="Wingdings" w:cs="Wingdings" w:hint="default"/>
      </w:rPr>
    </w:lvl>
    <w:lvl w:ilvl="7" w:tplc="04020003">
      <w:start w:val="1"/>
      <w:numFmt w:val="bullet"/>
      <w:lvlText w:val=""/>
      <w:lvlJc w:val="left"/>
      <w:pPr>
        <w:tabs>
          <w:tab w:val="num" w:pos="5826"/>
        </w:tabs>
        <w:ind w:left="5826" w:hanging="360"/>
      </w:pPr>
      <w:rPr>
        <w:rFonts w:ascii="Wingdings" w:hAnsi="Wingdings" w:cs="Wingdings" w:hint="default"/>
      </w:rPr>
    </w:lvl>
    <w:lvl w:ilvl="8" w:tplc="04020005">
      <w:start w:val="1"/>
      <w:numFmt w:val="bullet"/>
      <w:lvlText w:val=""/>
      <w:lvlJc w:val="left"/>
      <w:pPr>
        <w:tabs>
          <w:tab w:val="num" w:pos="6546"/>
        </w:tabs>
        <w:ind w:left="6546" w:hanging="360"/>
      </w:pPr>
      <w:rPr>
        <w:rFonts w:ascii="Wingdings" w:hAnsi="Wingdings" w:cs="Wingdings" w:hint="default"/>
      </w:rPr>
    </w:lvl>
  </w:abstractNum>
  <w:abstractNum w:abstractNumId="386" w15:restartNumberingAfterBreak="0">
    <w:nsid w:val="72433737"/>
    <w:multiLevelType w:val="hybridMultilevel"/>
    <w:tmpl w:val="10B6718E"/>
    <w:lvl w:ilvl="0" w:tplc="19E27954">
      <w:start w:val="1"/>
      <w:numFmt w:val="bullet"/>
      <w:lvlText w:val=""/>
      <w:lvlJc w:val="left"/>
      <w:pPr>
        <w:ind w:left="720" w:hanging="360"/>
      </w:pPr>
      <w:rPr>
        <w:rFonts w:ascii="Wingdings" w:hAnsi="Wingdings" w:cs="Wingdings" w:hint="default"/>
      </w:rPr>
    </w:lvl>
    <w:lvl w:ilvl="1" w:tplc="23D4DFCC">
      <w:start w:val="1"/>
      <w:numFmt w:val="bullet"/>
      <w:lvlText w:val=""/>
      <w:lvlJc w:val="left"/>
      <w:pPr>
        <w:ind w:left="1440" w:hanging="360"/>
      </w:pPr>
      <w:rPr>
        <w:rFonts w:ascii="Wingdings" w:hAnsi="Wingdings" w:cs="Wingdings" w:hint="default"/>
      </w:rPr>
    </w:lvl>
    <w:lvl w:ilvl="2" w:tplc="4F665818">
      <w:start w:val="1"/>
      <w:numFmt w:val="bullet"/>
      <w:lvlText w:val=""/>
      <w:lvlJc w:val="left"/>
      <w:pPr>
        <w:ind w:left="2160" w:hanging="360"/>
      </w:pPr>
      <w:rPr>
        <w:rFonts w:ascii="Wingdings" w:hAnsi="Wingdings" w:cs="Wingdings" w:hint="default"/>
      </w:rPr>
    </w:lvl>
    <w:lvl w:ilvl="3" w:tplc="2A100036">
      <w:start w:val="1"/>
      <w:numFmt w:val="bullet"/>
      <w:lvlText w:val=""/>
      <w:lvlJc w:val="left"/>
      <w:pPr>
        <w:ind w:left="2880" w:hanging="360"/>
      </w:pPr>
      <w:rPr>
        <w:rFonts w:ascii="Symbol" w:hAnsi="Symbol" w:cs="Symbol" w:hint="default"/>
      </w:rPr>
    </w:lvl>
    <w:lvl w:ilvl="4" w:tplc="7F6A6B96">
      <w:start w:val="1"/>
      <w:numFmt w:val="bullet"/>
      <w:lvlText w:val="o"/>
      <w:lvlJc w:val="left"/>
      <w:pPr>
        <w:ind w:left="3600" w:hanging="360"/>
      </w:pPr>
      <w:rPr>
        <w:rFonts w:ascii="Courier New" w:hAnsi="Courier New" w:cs="Courier New" w:hint="default"/>
      </w:rPr>
    </w:lvl>
    <w:lvl w:ilvl="5" w:tplc="F75620E8">
      <w:start w:val="1"/>
      <w:numFmt w:val="bullet"/>
      <w:lvlText w:val=""/>
      <w:lvlJc w:val="left"/>
      <w:pPr>
        <w:ind w:left="4320" w:hanging="360"/>
      </w:pPr>
      <w:rPr>
        <w:rFonts w:ascii="Wingdings" w:hAnsi="Wingdings" w:cs="Wingdings" w:hint="default"/>
      </w:rPr>
    </w:lvl>
    <w:lvl w:ilvl="6" w:tplc="E8E8CFBA">
      <w:start w:val="1"/>
      <w:numFmt w:val="bullet"/>
      <w:lvlText w:val=""/>
      <w:lvlJc w:val="left"/>
      <w:pPr>
        <w:ind w:left="5040" w:hanging="360"/>
      </w:pPr>
      <w:rPr>
        <w:rFonts w:ascii="Symbol" w:hAnsi="Symbol" w:cs="Symbol" w:hint="default"/>
      </w:rPr>
    </w:lvl>
    <w:lvl w:ilvl="7" w:tplc="CB6A1802">
      <w:start w:val="1"/>
      <w:numFmt w:val="bullet"/>
      <w:lvlText w:val="o"/>
      <w:lvlJc w:val="left"/>
      <w:pPr>
        <w:ind w:left="5760" w:hanging="360"/>
      </w:pPr>
      <w:rPr>
        <w:rFonts w:ascii="Courier New" w:hAnsi="Courier New" w:cs="Courier New" w:hint="default"/>
      </w:rPr>
    </w:lvl>
    <w:lvl w:ilvl="8" w:tplc="6B5ACCA0">
      <w:start w:val="1"/>
      <w:numFmt w:val="bullet"/>
      <w:lvlText w:val=""/>
      <w:lvlJc w:val="left"/>
      <w:pPr>
        <w:ind w:left="6480" w:hanging="360"/>
      </w:pPr>
      <w:rPr>
        <w:rFonts w:ascii="Wingdings" w:hAnsi="Wingdings" w:cs="Wingdings" w:hint="default"/>
      </w:rPr>
    </w:lvl>
  </w:abstractNum>
  <w:abstractNum w:abstractNumId="387" w15:restartNumberingAfterBreak="0">
    <w:nsid w:val="72683DA1"/>
    <w:multiLevelType w:val="hybridMultilevel"/>
    <w:tmpl w:val="8ACE9BCC"/>
    <w:lvl w:ilvl="0" w:tplc="2C58A380">
      <w:start w:val="1"/>
      <w:numFmt w:val="decimal"/>
      <w:lvlText w:val="%1."/>
      <w:lvlJc w:val="left"/>
      <w:pPr>
        <w:tabs>
          <w:tab w:val="num" w:pos="1068"/>
        </w:tabs>
        <w:ind w:left="1068" w:hanging="360"/>
      </w:pPr>
      <w:rPr>
        <w:rFonts w:cs="Times New Roman" w:hint="default"/>
      </w:rPr>
    </w:lvl>
    <w:lvl w:ilvl="1" w:tplc="17209FB8" w:tentative="1">
      <w:start w:val="1"/>
      <w:numFmt w:val="lowerLetter"/>
      <w:lvlText w:val="%2."/>
      <w:lvlJc w:val="left"/>
      <w:pPr>
        <w:tabs>
          <w:tab w:val="num" w:pos="1788"/>
        </w:tabs>
        <w:ind w:left="1788" w:hanging="360"/>
      </w:pPr>
      <w:rPr>
        <w:rFonts w:cs="Times New Roman"/>
      </w:rPr>
    </w:lvl>
    <w:lvl w:ilvl="2" w:tplc="ED4866FE" w:tentative="1">
      <w:start w:val="1"/>
      <w:numFmt w:val="lowerRoman"/>
      <w:lvlText w:val="%3."/>
      <w:lvlJc w:val="right"/>
      <w:pPr>
        <w:tabs>
          <w:tab w:val="num" w:pos="2508"/>
        </w:tabs>
        <w:ind w:left="2508" w:hanging="180"/>
      </w:pPr>
      <w:rPr>
        <w:rFonts w:cs="Times New Roman"/>
      </w:rPr>
    </w:lvl>
    <w:lvl w:ilvl="3" w:tplc="B922F228" w:tentative="1">
      <w:start w:val="1"/>
      <w:numFmt w:val="decimal"/>
      <w:lvlText w:val="%4."/>
      <w:lvlJc w:val="left"/>
      <w:pPr>
        <w:tabs>
          <w:tab w:val="num" w:pos="3228"/>
        </w:tabs>
        <w:ind w:left="3228" w:hanging="360"/>
      </w:pPr>
      <w:rPr>
        <w:rFonts w:cs="Times New Roman"/>
      </w:rPr>
    </w:lvl>
    <w:lvl w:ilvl="4" w:tplc="7B8649EA" w:tentative="1">
      <w:start w:val="1"/>
      <w:numFmt w:val="lowerLetter"/>
      <w:lvlText w:val="%5."/>
      <w:lvlJc w:val="left"/>
      <w:pPr>
        <w:tabs>
          <w:tab w:val="num" w:pos="3948"/>
        </w:tabs>
        <w:ind w:left="3948" w:hanging="360"/>
      </w:pPr>
      <w:rPr>
        <w:rFonts w:cs="Times New Roman"/>
      </w:rPr>
    </w:lvl>
    <w:lvl w:ilvl="5" w:tplc="03D2DE5E" w:tentative="1">
      <w:start w:val="1"/>
      <w:numFmt w:val="lowerRoman"/>
      <w:lvlText w:val="%6."/>
      <w:lvlJc w:val="right"/>
      <w:pPr>
        <w:tabs>
          <w:tab w:val="num" w:pos="4668"/>
        </w:tabs>
        <w:ind w:left="4668" w:hanging="180"/>
      </w:pPr>
      <w:rPr>
        <w:rFonts w:cs="Times New Roman"/>
      </w:rPr>
    </w:lvl>
    <w:lvl w:ilvl="6" w:tplc="46E417F2" w:tentative="1">
      <w:start w:val="1"/>
      <w:numFmt w:val="decimal"/>
      <w:lvlText w:val="%7."/>
      <w:lvlJc w:val="left"/>
      <w:pPr>
        <w:tabs>
          <w:tab w:val="num" w:pos="5388"/>
        </w:tabs>
        <w:ind w:left="5388" w:hanging="360"/>
      </w:pPr>
      <w:rPr>
        <w:rFonts w:cs="Times New Roman"/>
      </w:rPr>
    </w:lvl>
    <w:lvl w:ilvl="7" w:tplc="FB8A6728" w:tentative="1">
      <w:start w:val="1"/>
      <w:numFmt w:val="lowerLetter"/>
      <w:lvlText w:val="%8."/>
      <w:lvlJc w:val="left"/>
      <w:pPr>
        <w:tabs>
          <w:tab w:val="num" w:pos="6108"/>
        </w:tabs>
        <w:ind w:left="6108" w:hanging="360"/>
      </w:pPr>
      <w:rPr>
        <w:rFonts w:cs="Times New Roman"/>
      </w:rPr>
    </w:lvl>
    <w:lvl w:ilvl="8" w:tplc="E9D07DC6" w:tentative="1">
      <w:start w:val="1"/>
      <w:numFmt w:val="lowerRoman"/>
      <w:lvlText w:val="%9."/>
      <w:lvlJc w:val="right"/>
      <w:pPr>
        <w:tabs>
          <w:tab w:val="num" w:pos="6828"/>
        </w:tabs>
        <w:ind w:left="6828" w:hanging="180"/>
      </w:pPr>
      <w:rPr>
        <w:rFonts w:cs="Times New Roman"/>
      </w:rPr>
    </w:lvl>
  </w:abstractNum>
  <w:abstractNum w:abstractNumId="388" w15:restartNumberingAfterBreak="0">
    <w:nsid w:val="728367D1"/>
    <w:multiLevelType w:val="hybridMultilevel"/>
    <w:tmpl w:val="1EEEE414"/>
    <w:lvl w:ilvl="0" w:tplc="0402000D">
      <w:start w:val="1"/>
      <w:numFmt w:val="bullet"/>
      <w:lvlText w:val=""/>
      <w:lvlJc w:val="left"/>
      <w:pPr>
        <w:tabs>
          <w:tab w:val="num" w:pos="720"/>
        </w:tabs>
        <w:ind w:left="720" w:hanging="360"/>
      </w:pPr>
      <w:rPr>
        <w:rFonts w:ascii="Symbol" w:hAnsi="Symbol" w:hint="default"/>
      </w:rPr>
    </w:lvl>
    <w:lvl w:ilvl="1" w:tplc="0402000B"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89" w15:restartNumberingAfterBreak="0">
    <w:nsid w:val="73030271"/>
    <w:multiLevelType w:val="hybridMultilevel"/>
    <w:tmpl w:val="8F36942A"/>
    <w:lvl w:ilvl="0" w:tplc="04020001">
      <w:start w:val="65535"/>
      <w:numFmt w:val="bullet"/>
      <w:lvlText w:val="•"/>
      <w:lvlJc w:val="left"/>
      <w:pPr>
        <w:tabs>
          <w:tab w:val="num" w:pos="720"/>
        </w:tabs>
        <w:ind w:left="1440" w:hanging="360"/>
      </w:pPr>
      <w:rPr>
        <w:rFonts w:ascii="Arial" w:hAnsi="Arial" w:cs="Arial"/>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90" w15:restartNumberingAfterBreak="0">
    <w:nsid w:val="73944A3E"/>
    <w:multiLevelType w:val="multilevel"/>
    <w:tmpl w:val="73944A3E"/>
    <w:lvl w:ilvl="0">
      <w:start w:val="1"/>
      <w:numFmt w:val="decimal"/>
      <w:lvlText w:val="%1."/>
      <w:lvlJc w:val="left"/>
      <w:pPr>
        <w:ind w:left="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391" w15:restartNumberingAfterBreak="0">
    <w:nsid w:val="73D744D4"/>
    <w:multiLevelType w:val="hybridMultilevel"/>
    <w:tmpl w:val="12522BA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2" w15:restartNumberingAfterBreak="0">
    <w:nsid w:val="73F722F8"/>
    <w:multiLevelType w:val="hybridMultilevel"/>
    <w:tmpl w:val="FB3CC91C"/>
    <w:lvl w:ilvl="0" w:tplc="000000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3" w15:restartNumberingAfterBreak="0">
    <w:nsid w:val="742757A9"/>
    <w:multiLevelType w:val="multilevel"/>
    <w:tmpl w:val="651E9766"/>
    <w:lvl w:ilvl="0">
      <w:start w:val="1"/>
      <w:numFmt w:val="decimal"/>
      <w:lvlText w:val="%1."/>
      <w:lvlJc w:val="left"/>
      <w:pPr>
        <w:tabs>
          <w:tab w:val="num" w:pos="720"/>
        </w:tabs>
        <w:ind w:left="720" w:hanging="360"/>
      </w:pPr>
      <w:rPr>
        <w:rFonts w:cs="Times New Roman" w:hint="default"/>
      </w:rPr>
    </w:lvl>
    <w:lvl w:ilvl="1">
      <w:start w:val="1"/>
      <w:numFmt w:val="bullet"/>
      <w:lvlText w:val=""/>
      <w:lvlJc w:val="left"/>
      <w:pPr>
        <w:tabs>
          <w:tab w:val="num" w:pos="720"/>
        </w:tabs>
        <w:ind w:left="720" w:hanging="360"/>
      </w:pPr>
      <w:rPr>
        <w:rFonts w:ascii="Wingdings" w:hAnsi="Wingdings" w:cs="Wingdings"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394" w15:restartNumberingAfterBreak="0">
    <w:nsid w:val="7445564A"/>
    <w:multiLevelType w:val="hybridMultilevel"/>
    <w:tmpl w:val="36BA0102"/>
    <w:lvl w:ilvl="0" w:tplc="B0BE1E4A">
      <w:start w:val="1"/>
      <w:numFmt w:val="bullet"/>
      <w:lvlText w:val=""/>
      <w:lvlJc w:val="left"/>
      <w:pPr>
        <w:tabs>
          <w:tab w:val="num" w:pos="720"/>
        </w:tabs>
        <w:ind w:left="720" w:hanging="360"/>
      </w:pPr>
      <w:rPr>
        <w:rFonts w:ascii="Symbol" w:hAnsi="Symbol" w:hint="default"/>
      </w:rPr>
    </w:lvl>
    <w:lvl w:ilvl="1" w:tplc="400685FE" w:tentative="1">
      <w:start w:val="1"/>
      <w:numFmt w:val="bullet"/>
      <w:lvlText w:val="o"/>
      <w:lvlJc w:val="left"/>
      <w:pPr>
        <w:tabs>
          <w:tab w:val="num" w:pos="1440"/>
        </w:tabs>
        <w:ind w:left="1440" w:hanging="360"/>
      </w:pPr>
      <w:rPr>
        <w:rFonts w:ascii="Courier New" w:hAnsi="Courier New" w:hint="default"/>
      </w:rPr>
    </w:lvl>
    <w:lvl w:ilvl="2" w:tplc="D99A6E5E" w:tentative="1">
      <w:start w:val="1"/>
      <w:numFmt w:val="bullet"/>
      <w:lvlText w:val=""/>
      <w:lvlJc w:val="left"/>
      <w:pPr>
        <w:tabs>
          <w:tab w:val="num" w:pos="2160"/>
        </w:tabs>
        <w:ind w:left="2160" w:hanging="360"/>
      </w:pPr>
      <w:rPr>
        <w:rFonts w:ascii="Wingdings" w:hAnsi="Wingdings" w:hint="default"/>
      </w:rPr>
    </w:lvl>
    <w:lvl w:ilvl="3" w:tplc="9DA09B32" w:tentative="1">
      <w:start w:val="1"/>
      <w:numFmt w:val="bullet"/>
      <w:lvlText w:val=""/>
      <w:lvlJc w:val="left"/>
      <w:pPr>
        <w:tabs>
          <w:tab w:val="num" w:pos="2880"/>
        </w:tabs>
        <w:ind w:left="2880" w:hanging="360"/>
      </w:pPr>
      <w:rPr>
        <w:rFonts w:ascii="Symbol" w:hAnsi="Symbol" w:hint="default"/>
      </w:rPr>
    </w:lvl>
    <w:lvl w:ilvl="4" w:tplc="70061D9A" w:tentative="1">
      <w:start w:val="1"/>
      <w:numFmt w:val="bullet"/>
      <w:lvlText w:val="o"/>
      <w:lvlJc w:val="left"/>
      <w:pPr>
        <w:tabs>
          <w:tab w:val="num" w:pos="3600"/>
        </w:tabs>
        <w:ind w:left="3600" w:hanging="360"/>
      </w:pPr>
      <w:rPr>
        <w:rFonts w:ascii="Courier New" w:hAnsi="Courier New" w:hint="default"/>
      </w:rPr>
    </w:lvl>
    <w:lvl w:ilvl="5" w:tplc="E2986440" w:tentative="1">
      <w:start w:val="1"/>
      <w:numFmt w:val="bullet"/>
      <w:lvlText w:val=""/>
      <w:lvlJc w:val="left"/>
      <w:pPr>
        <w:tabs>
          <w:tab w:val="num" w:pos="4320"/>
        </w:tabs>
        <w:ind w:left="4320" w:hanging="360"/>
      </w:pPr>
      <w:rPr>
        <w:rFonts w:ascii="Wingdings" w:hAnsi="Wingdings" w:hint="default"/>
      </w:rPr>
    </w:lvl>
    <w:lvl w:ilvl="6" w:tplc="668436B6" w:tentative="1">
      <w:start w:val="1"/>
      <w:numFmt w:val="bullet"/>
      <w:lvlText w:val=""/>
      <w:lvlJc w:val="left"/>
      <w:pPr>
        <w:tabs>
          <w:tab w:val="num" w:pos="5040"/>
        </w:tabs>
        <w:ind w:left="5040" w:hanging="360"/>
      </w:pPr>
      <w:rPr>
        <w:rFonts w:ascii="Symbol" w:hAnsi="Symbol" w:hint="default"/>
      </w:rPr>
    </w:lvl>
    <w:lvl w:ilvl="7" w:tplc="608A21F0" w:tentative="1">
      <w:start w:val="1"/>
      <w:numFmt w:val="bullet"/>
      <w:lvlText w:val="o"/>
      <w:lvlJc w:val="left"/>
      <w:pPr>
        <w:tabs>
          <w:tab w:val="num" w:pos="5760"/>
        </w:tabs>
        <w:ind w:left="5760" w:hanging="360"/>
      </w:pPr>
      <w:rPr>
        <w:rFonts w:ascii="Courier New" w:hAnsi="Courier New" w:hint="default"/>
      </w:rPr>
    </w:lvl>
    <w:lvl w:ilvl="8" w:tplc="7C74F4EA" w:tentative="1">
      <w:start w:val="1"/>
      <w:numFmt w:val="bullet"/>
      <w:lvlText w:val=""/>
      <w:lvlJc w:val="left"/>
      <w:pPr>
        <w:tabs>
          <w:tab w:val="num" w:pos="6480"/>
        </w:tabs>
        <w:ind w:left="6480" w:hanging="360"/>
      </w:pPr>
      <w:rPr>
        <w:rFonts w:ascii="Wingdings" w:hAnsi="Wingdings" w:hint="default"/>
      </w:rPr>
    </w:lvl>
  </w:abstractNum>
  <w:abstractNum w:abstractNumId="395" w15:restartNumberingAfterBreak="0">
    <w:nsid w:val="745A0034"/>
    <w:multiLevelType w:val="hybridMultilevel"/>
    <w:tmpl w:val="10E2ED46"/>
    <w:lvl w:ilvl="0" w:tplc="4A6C789E">
      <w:start w:val="1"/>
      <w:numFmt w:val="bullet"/>
      <w:lvlText w:val=""/>
      <w:lvlJc w:val="left"/>
      <w:pPr>
        <w:ind w:left="720" w:hanging="360"/>
      </w:pPr>
      <w:rPr>
        <w:rFonts w:ascii="Symbol" w:hAnsi="Symbol" w:hint="default"/>
      </w:rPr>
    </w:lvl>
    <w:lvl w:ilvl="1" w:tplc="D1C4C308" w:tentative="1">
      <w:start w:val="1"/>
      <w:numFmt w:val="bullet"/>
      <w:lvlText w:val="o"/>
      <w:lvlJc w:val="left"/>
      <w:pPr>
        <w:ind w:left="1440" w:hanging="360"/>
      </w:pPr>
      <w:rPr>
        <w:rFonts w:ascii="Courier New" w:hAnsi="Courier New" w:cs="Courier New" w:hint="default"/>
      </w:rPr>
    </w:lvl>
    <w:lvl w:ilvl="2" w:tplc="93BC3196" w:tentative="1">
      <w:start w:val="1"/>
      <w:numFmt w:val="bullet"/>
      <w:lvlText w:val=""/>
      <w:lvlJc w:val="left"/>
      <w:pPr>
        <w:ind w:left="2160" w:hanging="360"/>
      </w:pPr>
      <w:rPr>
        <w:rFonts w:ascii="Wingdings" w:hAnsi="Wingdings" w:hint="default"/>
      </w:rPr>
    </w:lvl>
    <w:lvl w:ilvl="3" w:tplc="C2CEFCD0" w:tentative="1">
      <w:start w:val="1"/>
      <w:numFmt w:val="bullet"/>
      <w:lvlText w:val=""/>
      <w:lvlJc w:val="left"/>
      <w:pPr>
        <w:ind w:left="2880" w:hanging="360"/>
      </w:pPr>
      <w:rPr>
        <w:rFonts w:ascii="Symbol" w:hAnsi="Symbol" w:hint="default"/>
      </w:rPr>
    </w:lvl>
    <w:lvl w:ilvl="4" w:tplc="5AE0B39E" w:tentative="1">
      <w:start w:val="1"/>
      <w:numFmt w:val="bullet"/>
      <w:lvlText w:val="o"/>
      <w:lvlJc w:val="left"/>
      <w:pPr>
        <w:ind w:left="3600" w:hanging="360"/>
      </w:pPr>
      <w:rPr>
        <w:rFonts w:ascii="Courier New" w:hAnsi="Courier New" w:cs="Courier New" w:hint="default"/>
      </w:rPr>
    </w:lvl>
    <w:lvl w:ilvl="5" w:tplc="49C6BC5E" w:tentative="1">
      <w:start w:val="1"/>
      <w:numFmt w:val="bullet"/>
      <w:lvlText w:val=""/>
      <w:lvlJc w:val="left"/>
      <w:pPr>
        <w:ind w:left="4320" w:hanging="360"/>
      </w:pPr>
      <w:rPr>
        <w:rFonts w:ascii="Wingdings" w:hAnsi="Wingdings" w:hint="default"/>
      </w:rPr>
    </w:lvl>
    <w:lvl w:ilvl="6" w:tplc="FC609CEC" w:tentative="1">
      <w:start w:val="1"/>
      <w:numFmt w:val="bullet"/>
      <w:lvlText w:val=""/>
      <w:lvlJc w:val="left"/>
      <w:pPr>
        <w:ind w:left="5040" w:hanging="360"/>
      </w:pPr>
      <w:rPr>
        <w:rFonts w:ascii="Symbol" w:hAnsi="Symbol" w:hint="default"/>
      </w:rPr>
    </w:lvl>
    <w:lvl w:ilvl="7" w:tplc="ADD0823E" w:tentative="1">
      <w:start w:val="1"/>
      <w:numFmt w:val="bullet"/>
      <w:lvlText w:val="o"/>
      <w:lvlJc w:val="left"/>
      <w:pPr>
        <w:ind w:left="5760" w:hanging="360"/>
      </w:pPr>
      <w:rPr>
        <w:rFonts w:ascii="Courier New" w:hAnsi="Courier New" w:cs="Courier New" w:hint="default"/>
      </w:rPr>
    </w:lvl>
    <w:lvl w:ilvl="8" w:tplc="EDC2AFB4" w:tentative="1">
      <w:start w:val="1"/>
      <w:numFmt w:val="bullet"/>
      <w:lvlText w:val=""/>
      <w:lvlJc w:val="left"/>
      <w:pPr>
        <w:ind w:left="6480" w:hanging="360"/>
      </w:pPr>
      <w:rPr>
        <w:rFonts w:ascii="Wingdings" w:hAnsi="Wingdings" w:hint="default"/>
      </w:rPr>
    </w:lvl>
  </w:abstractNum>
  <w:abstractNum w:abstractNumId="396" w15:restartNumberingAfterBreak="0">
    <w:nsid w:val="752863C7"/>
    <w:multiLevelType w:val="multilevel"/>
    <w:tmpl w:val="752863C7"/>
    <w:lvl w:ilvl="0">
      <w:start w:val="1"/>
      <w:numFmt w:val="decimal"/>
      <w:lvlText w:val="%1."/>
      <w:lvlJc w:val="left"/>
      <w:pPr>
        <w:ind w:left="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397" w15:restartNumberingAfterBreak="0">
    <w:nsid w:val="75B27C72"/>
    <w:multiLevelType w:val="hybridMultilevel"/>
    <w:tmpl w:val="DEBED8D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8" w15:restartNumberingAfterBreak="0">
    <w:nsid w:val="75BD23CF"/>
    <w:multiLevelType w:val="hybridMultilevel"/>
    <w:tmpl w:val="DDACC9C0"/>
    <w:lvl w:ilvl="0" w:tplc="04020001">
      <w:start w:val="1"/>
      <w:numFmt w:val="bullet"/>
      <w:lvlText w:val="•"/>
      <w:lvlJc w:val="left"/>
      <w:pPr>
        <w:tabs>
          <w:tab w:val="num" w:pos="0"/>
        </w:tabs>
        <w:ind w:left="0" w:hanging="360"/>
      </w:pPr>
      <w:rPr>
        <w:rFonts w:ascii="Arial" w:hAnsi="Arial" w:hint="default"/>
      </w:rPr>
    </w:lvl>
    <w:lvl w:ilvl="1" w:tplc="04020003" w:tentative="1">
      <w:start w:val="1"/>
      <w:numFmt w:val="bullet"/>
      <w:lvlText w:val="•"/>
      <w:lvlJc w:val="left"/>
      <w:pPr>
        <w:tabs>
          <w:tab w:val="num" w:pos="720"/>
        </w:tabs>
        <w:ind w:left="720" w:hanging="360"/>
      </w:pPr>
      <w:rPr>
        <w:rFonts w:ascii="Arial" w:hAnsi="Arial" w:hint="default"/>
      </w:rPr>
    </w:lvl>
    <w:lvl w:ilvl="2" w:tplc="04020005" w:tentative="1">
      <w:start w:val="1"/>
      <w:numFmt w:val="bullet"/>
      <w:lvlText w:val="•"/>
      <w:lvlJc w:val="left"/>
      <w:pPr>
        <w:tabs>
          <w:tab w:val="num" w:pos="1440"/>
        </w:tabs>
        <w:ind w:left="1440" w:hanging="360"/>
      </w:pPr>
      <w:rPr>
        <w:rFonts w:ascii="Arial" w:hAnsi="Arial" w:hint="default"/>
      </w:rPr>
    </w:lvl>
    <w:lvl w:ilvl="3" w:tplc="04020001" w:tentative="1">
      <w:start w:val="1"/>
      <w:numFmt w:val="bullet"/>
      <w:lvlText w:val="•"/>
      <w:lvlJc w:val="left"/>
      <w:pPr>
        <w:tabs>
          <w:tab w:val="num" w:pos="2160"/>
        </w:tabs>
        <w:ind w:left="2160" w:hanging="360"/>
      </w:pPr>
      <w:rPr>
        <w:rFonts w:ascii="Arial" w:hAnsi="Arial" w:hint="default"/>
      </w:rPr>
    </w:lvl>
    <w:lvl w:ilvl="4" w:tplc="04020003" w:tentative="1">
      <w:start w:val="1"/>
      <w:numFmt w:val="bullet"/>
      <w:lvlText w:val="•"/>
      <w:lvlJc w:val="left"/>
      <w:pPr>
        <w:tabs>
          <w:tab w:val="num" w:pos="2880"/>
        </w:tabs>
        <w:ind w:left="2880" w:hanging="360"/>
      </w:pPr>
      <w:rPr>
        <w:rFonts w:ascii="Arial" w:hAnsi="Arial" w:hint="default"/>
      </w:rPr>
    </w:lvl>
    <w:lvl w:ilvl="5" w:tplc="04020005" w:tentative="1">
      <w:start w:val="1"/>
      <w:numFmt w:val="bullet"/>
      <w:lvlText w:val="•"/>
      <w:lvlJc w:val="left"/>
      <w:pPr>
        <w:tabs>
          <w:tab w:val="num" w:pos="3600"/>
        </w:tabs>
        <w:ind w:left="3600" w:hanging="360"/>
      </w:pPr>
      <w:rPr>
        <w:rFonts w:ascii="Arial" w:hAnsi="Arial" w:hint="default"/>
      </w:rPr>
    </w:lvl>
    <w:lvl w:ilvl="6" w:tplc="04020001" w:tentative="1">
      <w:start w:val="1"/>
      <w:numFmt w:val="bullet"/>
      <w:lvlText w:val="•"/>
      <w:lvlJc w:val="left"/>
      <w:pPr>
        <w:tabs>
          <w:tab w:val="num" w:pos="4320"/>
        </w:tabs>
        <w:ind w:left="4320" w:hanging="360"/>
      </w:pPr>
      <w:rPr>
        <w:rFonts w:ascii="Arial" w:hAnsi="Arial" w:hint="default"/>
      </w:rPr>
    </w:lvl>
    <w:lvl w:ilvl="7" w:tplc="04020003" w:tentative="1">
      <w:start w:val="1"/>
      <w:numFmt w:val="bullet"/>
      <w:lvlText w:val="•"/>
      <w:lvlJc w:val="left"/>
      <w:pPr>
        <w:tabs>
          <w:tab w:val="num" w:pos="5040"/>
        </w:tabs>
        <w:ind w:left="5040" w:hanging="360"/>
      </w:pPr>
      <w:rPr>
        <w:rFonts w:ascii="Arial" w:hAnsi="Arial" w:hint="default"/>
      </w:rPr>
    </w:lvl>
    <w:lvl w:ilvl="8" w:tplc="04020005" w:tentative="1">
      <w:start w:val="1"/>
      <w:numFmt w:val="bullet"/>
      <w:lvlText w:val="•"/>
      <w:lvlJc w:val="left"/>
      <w:pPr>
        <w:tabs>
          <w:tab w:val="num" w:pos="5760"/>
        </w:tabs>
        <w:ind w:left="5760" w:hanging="360"/>
      </w:pPr>
      <w:rPr>
        <w:rFonts w:ascii="Arial" w:hAnsi="Arial" w:hint="default"/>
      </w:rPr>
    </w:lvl>
  </w:abstractNum>
  <w:abstractNum w:abstractNumId="399" w15:restartNumberingAfterBreak="0">
    <w:nsid w:val="765E405A"/>
    <w:multiLevelType w:val="hybridMultilevel"/>
    <w:tmpl w:val="E72ACF16"/>
    <w:lvl w:ilvl="0" w:tplc="04020013">
      <w:start w:val="108"/>
      <w:numFmt w:val="bullet"/>
      <w:lvlText w:val="–"/>
      <w:lvlJc w:val="left"/>
      <w:pPr>
        <w:ind w:left="720" w:hanging="360"/>
      </w:pPr>
      <w:rPr>
        <w:rFonts w:ascii="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0" w15:restartNumberingAfterBreak="0">
    <w:nsid w:val="76DE62C5"/>
    <w:multiLevelType w:val="hybridMultilevel"/>
    <w:tmpl w:val="F9641642"/>
    <w:lvl w:ilvl="0" w:tplc="7A0E08B0">
      <w:start w:val="1"/>
      <w:numFmt w:val="bullet"/>
      <w:lvlText w:val=""/>
      <w:lvlJc w:val="left"/>
      <w:pPr>
        <w:ind w:left="2160" w:hanging="360"/>
      </w:pPr>
      <w:rPr>
        <w:rFonts w:ascii="Symbol" w:hAnsi="Symbol" w:hint="default"/>
      </w:rPr>
    </w:lvl>
    <w:lvl w:ilvl="1" w:tplc="8CDC507C" w:tentative="1">
      <w:start w:val="1"/>
      <w:numFmt w:val="bullet"/>
      <w:lvlText w:val="o"/>
      <w:lvlJc w:val="left"/>
      <w:pPr>
        <w:ind w:left="2880" w:hanging="360"/>
      </w:pPr>
      <w:rPr>
        <w:rFonts w:ascii="Courier New" w:hAnsi="Courier New" w:hint="default"/>
      </w:rPr>
    </w:lvl>
    <w:lvl w:ilvl="2" w:tplc="067873C2" w:tentative="1">
      <w:start w:val="1"/>
      <w:numFmt w:val="bullet"/>
      <w:lvlText w:val=""/>
      <w:lvlJc w:val="left"/>
      <w:pPr>
        <w:ind w:left="3600" w:hanging="360"/>
      </w:pPr>
      <w:rPr>
        <w:rFonts w:ascii="Wingdings" w:hAnsi="Wingdings" w:hint="default"/>
      </w:rPr>
    </w:lvl>
    <w:lvl w:ilvl="3" w:tplc="5DA275F8" w:tentative="1">
      <w:start w:val="1"/>
      <w:numFmt w:val="bullet"/>
      <w:lvlText w:val=""/>
      <w:lvlJc w:val="left"/>
      <w:pPr>
        <w:ind w:left="4320" w:hanging="360"/>
      </w:pPr>
      <w:rPr>
        <w:rFonts w:ascii="Symbol" w:hAnsi="Symbol" w:hint="default"/>
      </w:rPr>
    </w:lvl>
    <w:lvl w:ilvl="4" w:tplc="50B0D6F2" w:tentative="1">
      <w:start w:val="1"/>
      <w:numFmt w:val="bullet"/>
      <w:lvlText w:val="o"/>
      <w:lvlJc w:val="left"/>
      <w:pPr>
        <w:ind w:left="5040" w:hanging="360"/>
      </w:pPr>
      <w:rPr>
        <w:rFonts w:ascii="Courier New" w:hAnsi="Courier New" w:hint="default"/>
      </w:rPr>
    </w:lvl>
    <w:lvl w:ilvl="5" w:tplc="818A32A2" w:tentative="1">
      <w:start w:val="1"/>
      <w:numFmt w:val="bullet"/>
      <w:lvlText w:val=""/>
      <w:lvlJc w:val="left"/>
      <w:pPr>
        <w:ind w:left="5760" w:hanging="360"/>
      </w:pPr>
      <w:rPr>
        <w:rFonts w:ascii="Wingdings" w:hAnsi="Wingdings" w:hint="default"/>
      </w:rPr>
    </w:lvl>
    <w:lvl w:ilvl="6" w:tplc="D4963BF0" w:tentative="1">
      <w:start w:val="1"/>
      <w:numFmt w:val="bullet"/>
      <w:lvlText w:val=""/>
      <w:lvlJc w:val="left"/>
      <w:pPr>
        <w:ind w:left="6480" w:hanging="360"/>
      </w:pPr>
      <w:rPr>
        <w:rFonts w:ascii="Symbol" w:hAnsi="Symbol" w:hint="default"/>
      </w:rPr>
    </w:lvl>
    <w:lvl w:ilvl="7" w:tplc="CE808E40" w:tentative="1">
      <w:start w:val="1"/>
      <w:numFmt w:val="bullet"/>
      <w:lvlText w:val="o"/>
      <w:lvlJc w:val="left"/>
      <w:pPr>
        <w:ind w:left="7200" w:hanging="360"/>
      </w:pPr>
      <w:rPr>
        <w:rFonts w:ascii="Courier New" w:hAnsi="Courier New" w:hint="default"/>
      </w:rPr>
    </w:lvl>
    <w:lvl w:ilvl="8" w:tplc="BA5CD860" w:tentative="1">
      <w:start w:val="1"/>
      <w:numFmt w:val="bullet"/>
      <w:lvlText w:val=""/>
      <w:lvlJc w:val="left"/>
      <w:pPr>
        <w:ind w:left="7920" w:hanging="360"/>
      </w:pPr>
      <w:rPr>
        <w:rFonts w:ascii="Wingdings" w:hAnsi="Wingdings" w:hint="default"/>
      </w:rPr>
    </w:lvl>
  </w:abstractNum>
  <w:abstractNum w:abstractNumId="401" w15:restartNumberingAfterBreak="0">
    <w:nsid w:val="76ED24C5"/>
    <w:multiLevelType w:val="hybridMultilevel"/>
    <w:tmpl w:val="8D9E4E5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02" w15:restartNumberingAfterBreak="0">
    <w:nsid w:val="773450AF"/>
    <w:multiLevelType w:val="hybridMultilevel"/>
    <w:tmpl w:val="05C0F422"/>
    <w:lvl w:ilvl="0" w:tplc="0409000F">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3" w15:restartNumberingAfterBreak="0">
    <w:nsid w:val="77624EC5"/>
    <w:multiLevelType w:val="hybridMultilevel"/>
    <w:tmpl w:val="C848FC14"/>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04" w15:restartNumberingAfterBreak="0">
    <w:nsid w:val="77735423"/>
    <w:multiLevelType w:val="hybridMultilevel"/>
    <w:tmpl w:val="1068E37A"/>
    <w:lvl w:ilvl="0" w:tplc="0402000F">
      <w:start w:val="1"/>
      <w:numFmt w:val="bullet"/>
      <w:lvlText w:val=""/>
      <w:lvlJc w:val="left"/>
      <w:pPr>
        <w:tabs>
          <w:tab w:val="num" w:pos="720"/>
        </w:tabs>
        <w:ind w:left="720" w:hanging="360"/>
      </w:pPr>
      <w:rPr>
        <w:rFonts w:ascii="Symbol" w:hAnsi="Symbol" w:hint="default"/>
      </w:rPr>
    </w:lvl>
    <w:lvl w:ilvl="1" w:tplc="04020019" w:tentative="1">
      <w:start w:val="1"/>
      <w:numFmt w:val="bullet"/>
      <w:lvlText w:val=""/>
      <w:lvlJc w:val="left"/>
      <w:pPr>
        <w:tabs>
          <w:tab w:val="num" w:pos="1440"/>
        </w:tabs>
        <w:ind w:left="1440" w:hanging="360"/>
      </w:pPr>
      <w:rPr>
        <w:rFonts w:ascii="Symbol" w:hAnsi="Symbol" w:hint="default"/>
      </w:rPr>
    </w:lvl>
    <w:lvl w:ilvl="2" w:tplc="0402001B" w:tentative="1">
      <w:start w:val="1"/>
      <w:numFmt w:val="bullet"/>
      <w:lvlText w:val=""/>
      <w:lvlJc w:val="left"/>
      <w:pPr>
        <w:tabs>
          <w:tab w:val="num" w:pos="2160"/>
        </w:tabs>
        <w:ind w:left="2160" w:hanging="360"/>
      </w:pPr>
      <w:rPr>
        <w:rFonts w:ascii="Symbol" w:hAnsi="Symbol" w:hint="default"/>
      </w:rPr>
    </w:lvl>
    <w:lvl w:ilvl="3" w:tplc="0402000F" w:tentative="1">
      <w:start w:val="1"/>
      <w:numFmt w:val="bullet"/>
      <w:lvlText w:val=""/>
      <w:lvlJc w:val="left"/>
      <w:pPr>
        <w:tabs>
          <w:tab w:val="num" w:pos="2880"/>
        </w:tabs>
        <w:ind w:left="2880" w:hanging="360"/>
      </w:pPr>
      <w:rPr>
        <w:rFonts w:ascii="Symbol" w:hAnsi="Symbol" w:hint="default"/>
      </w:rPr>
    </w:lvl>
    <w:lvl w:ilvl="4" w:tplc="04020019" w:tentative="1">
      <w:start w:val="1"/>
      <w:numFmt w:val="bullet"/>
      <w:lvlText w:val=""/>
      <w:lvlJc w:val="left"/>
      <w:pPr>
        <w:tabs>
          <w:tab w:val="num" w:pos="3600"/>
        </w:tabs>
        <w:ind w:left="3600" w:hanging="360"/>
      </w:pPr>
      <w:rPr>
        <w:rFonts w:ascii="Symbol" w:hAnsi="Symbol" w:hint="default"/>
      </w:rPr>
    </w:lvl>
    <w:lvl w:ilvl="5" w:tplc="0402001B" w:tentative="1">
      <w:start w:val="1"/>
      <w:numFmt w:val="bullet"/>
      <w:lvlText w:val=""/>
      <w:lvlJc w:val="left"/>
      <w:pPr>
        <w:tabs>
          <w:tab w:val="num" w:pos="4320"/>
        </w:tabs>
        <w:ind w:left="4320" w:hanging="360"/>
      </w:pPr>
      <w:rPr>
        <w:rFonts w:ascii="Symbol" w:hAnsi="Symbol" w:hint="default"/>
      </w:rPr>
    </w:lvl>
    <w:lvl w:ilvl="6" w:tplc="0402000F" w:tentative="1">
      <w:start w:val="1"/>
      <w:numFmt w:val="bullet"/>
      <w:lvlText w:val=""/>
      <w:lvlJc w:val="left"/>
      <w:pPr>
        <w:tabs>
          <w:tab w:val="num" w:pos="5040"/>
        </w:tabs>
        <w:ind w:left="5040" w:hanging="360"/>
      </w:pPr>
      <w:rPr>
        <w:rFonts w:ascii="Symbol" w:hAnsi="Symbol" w:hint="default"/>
      </w:rPr>
    </w:lvl>
    <w:lvl w:ilvl="7" w:tplc="04020019" w:tentative="1">
      <w:start w:val="1"/>
      <w:numFmt w:val="bullet"/>
      <w:lvlText w:val=""/>
      <w:lvlJc w:val="left"/>
      <w:pPr>
        <w:tabs>
          <w:tab w:val="num" w:pos="5760"/>
        </w:tabs>
        <w:ind w:left="5760" w:hanging="360"/>
      </w:pPr>
      <w:rPr>
        <w:rFonts w:ascii="Symbol" w:hAnsi="Symbol" w:hint="default"/>
      </w:rPr>
    </w:lvl>
    <w:lvl w:ilvl="8" w:tplc="0402001B" w:tentative="1">
      <w:start w:val="1"/>
      <w:numFmt w:val="bullet"/>
      <w:lvlText w:val=""/>
      <w:lvlJc w:val="left"/>
      <w:pPr>
        <w:tabs>
          <w:tab w:val="num" w:pos="6480"/>
        </w:tabs>
        <w:ind w:left="6480" w:hanging="360"/>
      </w:pPr>
      <w:rPr>
        <w:rFonts w:ascii="Symbol" w:hAnsi="Symbol" w:hint="default"/>
      </w:rPr>
    </w:lvl>
  </w:abstractNum>
  <w:abstractNum w:abstractNumId="405" w15:restartNumberingAfterBreak="0">
    <w:nsid w:val="7774746E"/>
    <w:multiLevelType w:val="hybridMultilevel"/>
    <w:tmpl w:val="FA58AFF4"/>
    <w:lvl w:ilvl="0" w:tplc="04020001">
      <w:start w:val="1"/>
      <w:numFmt w:val="bullet"/>
      <w:lvlText w:val=""/>
      <w:lvlJc w:val="left"/>
      <w:pPr>
        <w:tabs>
          <w:tab w:val="num" w:pos="0"/>
        </w:tabs>
        <w:ind w:hanging="360"/>
      </w:pPr>
      <w:rPr>
        <w:rFonts w:ascii="Wingdings" w:hAnsi="Wingdings" w:hint="default"/>
      </w:rPr>
    </w:lvl>
    <w:lvl w:ilvl="1" w:tplc="15DACE90">
      <w:start w:val="1681"/>
      <w:numFmt w:val="bullet"/>
      <w:lvlText w:val="–"/>
      <w:lvlJc w:val="left"/>
      <w:pPr>
        <w:tabs>
          <w:tab w:val="num" w:pos="720"/>
        </w:tabs>
        <w:ind w:left="720" w:hanging="360"/>
      </w:pPr>
      <w:rPr>
        <w:rFonts w:ascii="Arial" w:hAnsi="Arial" w:hint="default"/>
      </w:rPr>
    </w:lvl>
    <w:lvl w:ilvl="2" w:tplc="04020005">
      <w:start w:val="1681"/>
      <w:numFmt w:val="bullet"/>
      <w:lvlText w:val="•"/>
      <w:lvlJc w:val="left"/>
      <w:pPr>
        <w:tabs>
          <w:tab w:val="num" w:pos="1440"/>
        </w:tabs>
        <w:ind w:left="1440" w:hanging="360"/>
      </w:pPr>
      <w:rPr>
        <w:rFonts w:ascii="Arial" w:hAnsi="Arial" w:hint="default"/>
      </w:rPr>
    </w:lvl>
    <w:lvl w:ilvl="3" w:tplc="04020001" w:tentative="1">
      <w:start w:val="1"/>
      <w:numFmt w:val="bullet"/>
      <w:lvlText w:val=""/>
      <w:lvlJc w:val="left"/>
      <w:pPr>
        <w:tabs>
          <w:tab w:val="num" w:pos="2160"/>
        </w:tabs>
        <w:ind w:left="2160" w:hanging="360"/>
      </w:pPr>
      <w:rPr>
        <w:rFonts w:ascii="Wingdings" w:hAnsi="Wingdings" w:hint="default"/>
      </w:rPr>
    </w:lvl>
    <w:lvl w:ilvl="4" w:tplc="04020003" w:tentative="1">
      <w:start w:val="1"/>
      <w:numFmt w:val="bullet"/>
      <w:lvlText w:val=""/>
      <w:lvlJc w:val="left"/>
      <w:pPr>
        <w:tabs>
          <w:tab w:val="num" w:pos="2880"/>
        </w:tabs>
        <w:ind w:left="2880" w:hanging="360"/>
      </w:pPr>
      <w:rPr>
        <w:rFonts w:ascii="Wingdings" w:hAnsi="Wingdings" w:hint="default"/>
      </w:rPr>
    </w:lvl>
    <w:lvl w:ilvl="5" w:tplc="04020005" w:tentative="1">
      <w:start w:val="1"/>
      <w:numFmt w:val="bullet"/>
      <w:lvlText w:val=""/>
      <w:lvlJc w:val="left"/>
      <w:pPr>
        <w:tabs>
          <w:tab w:val="num" w:pos="3600"/>
        </w:tabs>
        <w:ind w:left="3600" w:hanging="360"/>
      </w:pPr>
      <w:rPr>
        <w:rFonts w:ascii="Wingdings" w:hAnsi="Wingdings" w:hint="default"/>
      </w:rPr>
    </w:lvl>
    <w:lvl w:ilvl="6" w:tplc="04020001" w:tentative="1">
      <w:start w:val="1"/>
      <w:numFmt w:val="bullet"/>
      <w:lvlText w:val=""/>
      <w:lvlJc w:val="left"/>
      <w:pPr>
        <w:tabs>
          <w:tab w:val="num" w:pos="4320"/>
        </w:tabs>
        <w:ind w:left="4320" w:hanging="360"/>
      </w:pPr>
      <w:rPr>
        <w:rFonts w:ascii="Wingdings" w:hAnsi="Wingdings" w:hint="default"/>
      </w:rPr>
    </w:lvl>
    <w:lvl w:ilvl="7" w:tplc="04020003" w:tentative="1">
      <w:start w:val="1"/>
      <w:numFmt w:val="bullet"/>
      <w:lvlText w:val=""/>
      <w:lvlJc w:val="left"/>
      <w:pPr>
        <w:tabs>
          <w:tab w:val="num" w:pos="5040"/>
        </w:tabs>
        <w:ind w:left="5040" w:hanging="360"/>
      </w:pPr>
      <w:rPr>
        <w:rFonts w:ascii="Wingdings" w:hAnsi="Wingdings" w:hint="default"/>
      </w:rPr>
    </w:lvl>
    <w:lvl w:ilvl="8" w:tplc="04020005" w:tentative="1">
      <w:start w:val="1"/>
      <w:numFmt w:val="bullet"/>
      <w:lvlText w:val=""/>
      <w:lvlJc w:val="left"/>
      <w:pPr>
        <w:tabs>
          <w:tab w:val="num" w:pos="5760"/>
        </w:tabs>
        <w:ind w:left="5760" w:hanging="360"/>
      </w:pPr>
      <w:rPr>
        <w:rFonts w:ascii="Wingdings" w:hAnsi="Wingdings" w:hint="default"/>
      </w:rPr>
    </w:lvl>
  </w:abstractNum>
  <w:abstractNum w:abstractNumId="406" w15:restartNumberingAfterBreak="0">
    <w:nsid w:val="77764C97"/>
    <w:multiLevelType w:val="hybridMultilevel"/>
    <w:tmpl w:val="0ECAC476"/>
    <w:lvl w:ilvl="0" w:tplc="FFFFFFFF">
      <w:start w:val="1"/>
      <w:numFmt w:val="bullet"/>
      <w:lvlText w:val=""/>
      <w:lvlJc w:val="left"/>
      <w:pPr>
        <w:tabs>
          <w:tab w:val="num" w:pos="1440"/>
        </w:tabs>
        <w:ind w:left="1440" w:hanging="360"/>
      </w:pPr>
      <w:rPr>
        <w:rFonts w:ascii="Symbol" w:hAnsi="Symbol" w:cs="Symbol" w:hint="default"/>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start w:val="1"/>
      <w:numFmt w:val="bullet"/>
      <w:lvlText w:val=""/>
      <w:lvlJc w:val="left"/>
      <w:pPr>
        <w:tabs>
          <w:tab w:val="num" w:pos="2880"/>
        </w:tabs>
        <w:ind w:left="2880" w:hanging="360"/>
      </w:pPr>
      <w:rPr>
        <w:rFonts w:ascii="Wingdings" w:hAnsi="Wingdings" w:cs="Wingdings" w:hint="default"/>
      </w:rPr>
    </w:lvl>
    <w:lvl w:ilvl="3" w:tplc="FFFFFFFF">
      <w:start w:val="1"/>
      <w:numFmt w:val="bullet"/>
      <w:lvlText w:val=""/>
      <w:lvlJc w:val="left"/>
      <w:pPr>
        <w:tabs>
          <w:tab w:val="num" w:pos="3600"/>
        </w:tabs>
        <w:ind w:left="3600" w:hanging="360"/>
      </w:pPr>
      <w:rPr>
        <w:rFonts w:ascii="Symbol" w:hAnsi="Symbol" w:cs="Symbol" w:hint="default"/>
      </w:rPr>
    </w:lvl>
    <w:lvl w:ilvl="4" w:tplc="FFFFFFFF">
      <w:start w:val="1"/>
      <w:numFmt w:val="bullet"/>
      <w:lvlText w:val="o"/>
      <w:lvlJc w:val="left"/>
      <w:pPr>
        <w:tabs>
          <w:tab w:val="num" w:pos="4320"/>
        </w:tabs>
        <w:ind w:left="4320" w:hanging="360"/>
      </w:pPr>
      <w:rPr>
        <w:rFonts w:ascii="Courier New" w:hAnsi="Courier New" w:cs="Courier New" w:hint="default"/>
      </w:rPr>
    </w:lvl>
    <w:lvl w:ilvl="5" w:tplc="FFFFFFFF">
      <w:start w:val="1"/>
      <w:numFmt w:val="bullet"/>
      <w:lvlText w:val=""/>
      <w:lvlJc w:val="left"/>
      <w:pPr>
        <w:tabs>
          <w:tab w:val="num" w:pos="5040"/>
        </w:tabs>
        <w:ind w:left="5040" w:hanging="360"/>
      </w:pPr>
      <w:rPr>
        <w:rFonts w:ascii="Wingdings" w:hAnsi="Wingdings" w:cs="Wingdings" w:hint="default"/>
      </w:rPr>
    </w:lvl>
    <w:lvl w:ilvl="6" w:tplc="FFFFFFFF">
      <w:start w:val="1"/>
      <w:numFmt w:val="bullet"/>
      <w:lvlText w:val=""/>
      <w:lvlJc w:val="left"/>
      <w:pPr>
        <w:tabs>
          <w:tab w:val="num" w:pos="5760"/>
        </w:tabs>
        <w:ind w:left="5760" w:hanging="360"/>
      </w:pPr>
      <w:rPr>
        <w:rFonts w:ascii="Symbol" w:hAnsi="Symbol" w:cs="Symbol" w:hint="default"/>
      </w:rPr>
    </w:lvl>
    <w:lvl w:ilvl="7" w:tplc="FFFFFFFF">
      <w:start w:val="1"/>
      <w:numFmt w:val="bullet"/>
      <w:lvlText w:val="o"/>
      <w:lvlJc w:val="left"/>
      <w:pPr>
        <w:tabs>
          <w:tab w:val="num" w:pos="6480"/>
        </w:tabs>
        <w:ind w:left="6480" w:hanging="360"/>
      </w:pPr>
      <w:rPr>
        <w:rFonts w:ascii="Courier New" w:hAnsi="Courier New" w:cs="Courier New" w:hint="default"/>
      </w:rPr>
    </w:lvl>
    <w:lvl w:ilvl="8" w:tplc="FFFFFFFF">
      <w:start w:val="1"/>
      <w:numFmt w:val="bullet"/>
      <w:lvlText w:val=""/>
      <w:lvlJc w:val="left"/>
      <w:pPr>
        <w:tabs>
          <w:tab w:val="num" w:pos="7200"/>
        </w:tabs>
        <w:ind w:left="7200" w:hanging="360"/>
      </w:pPr>
      <w:rPr>
        <w:rFonts w:ascii="Wingdings" w:hAnsi="Wingdings" w:cs="Wingdings" w:hint="default"/>
      </w:rPr>
    </w:lvl>
  </w:abstractNum>
  <w:abstractNum w:abstractNumId="407" w15:restartNumberingAfterBreak="0">
    <w:nsid w:val="778D3F62"/>
    <w:multiLevelType w:val="multilevel"/>
    <w:tmpl w:val="778D3F62"/>
    <w:lvl w:ilvl="0">
      <w:start w:val="1"/>
      <w:numFmt w:val="decimal"/>
      <w:lvlText w:val="%1."/>
      <w:lvlJc w:val="left"/>
      <w:pPr>
        <w:ind w:left="2916" w:hanging="360"/>
      </w:pPr>
    </w:lvl>
    <w:lvl w:ilvl="1">
      <w:start w:val="1"/>
      <w:numFmt w:val="lowerLetter"/>
      <w:lvlText w:val="%2."/>
      <w:lvlJc w:val="left"/>
      <w:pPr>
        <w:ind w:left="3636" w:hanging="360"/>
      </w:pPr>
    </w:lvl>
    <w:lvl w:ilvl="2">
      <w:start w:val="1"/>
      <w:numFmt w:val="lowerRoman"/>
      <w:lvlText w:val="%3."/>
      <w:lvlJc w:val="right"/>
      <w:pPr>
        <w:ind w:left="4356" w:hanging="180"/>
      </w:pPr>
    </w:lvl>
    <w:lvl w:ilvl="3">
      <w:start w:val="1"/>
      <w:numFmt w:val="decimal"/>
      <w:lvlText w:val="%4."/>
      <w:lvlJc w:val="left"/>
      <w:pPr>
        <w:ind w:left="5076" w:hanging="360"/>
      </w:pPr>
    </w:lvl>
    <w:lvl w:ilvl="4">
      <w:start w:val="1"/>
      <w:numFmt w:val="lowerLetter"/>
      <w:lvlText w:val="%5."/>
      <w:lvlJc w:val="left"/>
      <w:pPr>
        <w:ind w:left="5796" w:hanging="360"/>
      </w:pPr>
    </w:lvl>
    <w:lvl w:ilvl="5">
      <w:start w:val="1"/>
      <w:numFmt w:val="lowerRoman"/>
      <w:lvlText w:val="%6."/>
      <w:lvlJc w:val="right"/>
      <w:pPr>
        <w:ind w:left="6516" w:hanging="180"/>
      </w:pPr>
    </w:lvl>
    <w:lvl w:ilvl="6">
      <w:start w:val="1"/>
      <w:numFmt w:val="decimal"/>
      <w:lvlText w:val="%7."/>
      <w:lvlJc w:val="left"/>
      <w:pPr>
        <w:ind w:left="7236" w:hanging="360"/>
      </w:pPr>
    </w:lvl>
    <w:lvl w:ilvl="7">
      <w:start w:val="1"/>
      <w:numFmt w:val="lowerLetter"/>
      <w:lvlText w:val="%8."/>
      <w:lvlJc w:val="left"/>
      <w:pPr>
        <w:ind w:left="7956" w:hanging="360"/>
      </w:pPr>
    </w:lvl>
    <w:lvl w:ilvl="8">
      <w:start w:val="1"/>
      <w:numFmt w:val="lowerRoman"/>
      <w:lvlText w:val="%9."/>
      <w:lvlJc w:val="right"/>
      <w:pPr>
        <w:ind w:left="8676" w:hanging="180"/>
      </w:pPr>
    </w:lvl>
  </w:abstractNum>
  <w:abstractNum w:abstractNumId="408" w15:restartNumberingAfterBreak="0">
    <w:nsid w:val="77BA7AD0"/>
    <w:multiLevelType w:val="hybridMultilevel"/>
    <w:tmpl w:val="9418C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9" w15:restartNumberingAfterBreak="0">
    <w:nsid w:val="77CA4B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0" w15:restartNumberingAfterBreak="0">
    <w:nsid w:val="77CE758D"/>
    <w:multiLevelType w:val="hybridMultilevel"/>
    <w:tmpl w:val="6DB4257E"/>
    <w:lvl w:ilvl="0" w:tplc="9F6A492A">
      <w:start w:val="1"/>
      <w:numFmt w:val="decimal"/>
      <w:lvlText w:val="(%1)"/>
      <w:lvlJc w:val="left"/>
      <w:pPr>
        <w:ind w:left="720" w:hanging="360"/>
      </w:pPr>
      <w:rPr>
        <w:rFonts w:hint="default"/>
      </w:rPr>
    </w:lvl>
    <w:lvl w:ilvl="1" w:tplc="3FEA41F4">
      <w:start w:val="1"/>
      <w:numFmt w:val="lowerLetter"/>
      <w:lvlText w:val="%2."/>
      <w:lvlJc w:val="left"/>
      <w:pPr>
        <w:ind w:left="1440" w:hanging="360"/>
      </w:pPr>
    </w:lvl>
    <w:lvl w:ilvl="2" w:tplc="83E2D3A2">
      <w:start w:val="1"/>
      <w:numFmt w:val="lowerRoman"/>
      <w:lvlText w:val="%3."/>
      <w:lvlJc w:val="right"/>
      <w:pPr>
        <w:ind w:left="2160" w:hanging="180"/>
      </w:pPr>
    </w:lvl>
    <w:lvl w:ilvl="3" w:tplc="93D8573E">
      <w:start w:val="1"/>
      <w:numFmt w:val="decimal"/>
      <w:lvlText w:val="%4."/>
      <w:lvlJc w:val="left"/>
      <w:pPr>
        <w:ind w:left="2880" w:hanging="360"/>
      </w:pPr>
    </w:lvl>
    <w:lvl w:ilvl="4" w:tplc="6FAED738">
      <w:start w:val="1"/>
      <w:numFmt w:val="lowerLetter"/>
      <w:lvlText w:val="%5."/>
      <w:lvlJc w:val="left"/>
      <w:pPr>
        <w:ind w:left="3600" w:hanging="360"/>
      </w:pPr>
    </w:lvl>
    <w:lvl w:ilvl="5" w:tplc="197C2B8A">
      <w:start w:val="1"/>
      <w:numFmt w:val="lowerRoman"/>
      <w:lvlText w:val="%6."/>
      <w:lvlJc w:val="right"/>
      <w:pPr>
        <w:ind w:left="4320" w:hanging="180"/>
      </w:pPr>
    </w:lvl>
    <w:lvl w:ilvl="6" w:tplc="9A0680FE">
      <w:start w:val="1"/>
      <w:numFmt w:val="decimal"/>
      <w:lvlText w:val="%7."/>
      <w:lvlJc w:val="left"/>
      <w:pPr>
        <w:ind w:left="5040" w:hanging="360"/>
      </w:pPr>
    </w:lvl>
    <w:lvl w:ilvl="7" w:tplc="20D28AEA">
      <w:start w:val="1"/>
      <w:numFmt w:val="lowerLetter"/>
      <w:lvlText w:val="%8."/>
      <w:lvlJc w:val="left"/>
      <w:pPr>
        <w:ind w:left="5760" w:hanging="360"/>
      </w:pPr>
    </w:lvl>
    <w:lvl w:ilvl="8" w:tplc="B802BEBA">
      <w:start w:val="1"/>
      <w:numFmt w:val="lowerRoman"/>
      <w:lvlText w:val="%9."/>
      <w:lvlJc w:val="right"/>
      <w:pPr>
        <w:ind w:left="6480" w:hanging="180"/>
      </w:pPr>
    </w:lvl>
  </w:abstractNum>
  <w:abstractNum w:abstractNumId="411" w15:restartNumberingAfterBreak="0">
    <w:nsid w:val="78053682"/>
    <w:multiLevelType w:val="hybridMultilevel"/>
    <w:tmpl w:val="C9B821C0"/>
    <w:lvl w:ilvl="0" w:tplc="F1362D02">
      <w:start w:val="1"/>
      <w:numFmt w:val="bullet"/>
      <w:lvlText w:val=""/>
      <w:lvlJc w:val="left"/>
      <w:pPr>
        <w:ind w:left="720" w:hanging="360"/>
      </w:pPr>
      <w:rPr>
        <w:rFonts w:ascii="Symbol" w:hAnsi="Symbol" w:hint="default"/>
      </w:rPr>
    </w:lvl>
    <w:lvl w:ilvl="1" w:tplc="1DE0746E" w:tentative="1">
      <w:start w:val="1"/>
      <w:numFmt w:val="bullet"/>
      <w:lvlText w:val="o"/>
      <w:lvlJc w:val="left"/>
      <w:pPr>
        <w:ind w:left="1440" w:hanging="360"/>
      </w:pPr>
      <w:rPr>
        <w:rFonts w:ascii="Courier New" w:hAnsi="Courier New" w:cs="Courier New" w:hint="default"/>
      </w:rPr>
    </w:lvl>
    <w:lvl w:ilvl="2" w:tplc="21FC09CA" w:tentative="1">
      <w:start w:val="1"/>
      <w:numFmt w:val="bullet"/>
      <w:lvlText w:val=""/>
      <w:lvlJc w:val="left"/>
      <w:pPr>
        <w:ind w:left="2160" w:hanging="360"/>
      </w:pPr>
      <w:rPr>
        <w:rFonts w:ascii="Wingdings" w:hAnsi="Wingdings" w:hint="default"/>
      </w:rPr>
    </w:lvl>
    <w:lvl w:ilvl="3" w:tplc="E3C0D332" w:tentative="1">
      <w:start w:val="1"/>
      <w:numFmt w:val="bullet"/>
      <w:lvlText w:val=""/>
      <w:lvlJc w:val="left"/>
      <w:pPr>
        <w:ind w:left="2880" w:hanging="360"/>
      </w:pPr>
      <w:rPr>
        <w:rFonts w:ascii="Symbol" w:hAnsi="Symbol" w:hint="default"/>
      </w:rPr>
    </w:lvl>
    <w:lvl w:ilvl="4" w:tplc="D26022F8" w:tentative="1">
      <w:start w:val="1"/>
      <w:numFmt w:val="bullet"/>
      <w:lvlText w:val="o"/>
      <w:lvlJc w:val="left"/>
      <w:pPr>
        <w:ind w:left="3600" w:hanging="360"/>
      </w:pPr>
      <w:rPr>
        <w:rFonts w:ascii="Courier New" w:hAnsi="Courier New" w:cs="Courier New" w:hint="default"/>
      </w:rPr>
    </w:lvl>
    <w:lvl w:ilvl="5" w:tplc="EBF4981C" w:tentative="1">
      <w:start w:val="1"/>
      <w:numFmt w:val="bullet"/>
      <w:lvlText w:val=""/>
      <w:lvlJc w:val="left"/>
      <w:pPr>
        <w:ind w:left="4320" w:hanging="360"/>
      </w:pPr>
      <w:rPr>
        <w:rFonts w:ascii="Wingdings" w:hAnsi="Wingdings" w:hint="default"/>
      </w:rPr>
    </w:lvl>
    <w:lvl w:ilvl="6" w:tplc="E74CFB34" w:tentative="1">
      <w:start w:val="1"/>
      <w:numFmt w:val="bullet"/>
      <w:lvlText w:val=""/>
      <w:lvlJc w:val="left"/>
      <w:pPr>
        <w:ind w:left="5040" w:hanging="360"/>
      </w:pPr>
      <w:rPr>
        <w:rFonts w:ascii="Symbol" w:hAnsi="Symbol" w:hint="default"/>
      </w:rPr>
    </w:lvl>
    <w:lvl w:ilvl="7" w:tplc="9D38F89E" w:tentative="1">
      <w:start w:val="1"/>
      <w:numFmt w:val="bullet"/>
      <w:lvlText w:val="o"/>
      <w:lvlJc w:val="left"/>
      <w:pPr>
        <w:ind w:left="5760" w:hanging="360"/>
      </w:pPr>
      <w:rPr>
        <w:rFonts w:ascii="Courier New" w:hAnsi="Courier New" w:cs="Courier New" w:hint="default"/>
      </w:rPr>
    </w:lvl>
    <w:lvl w:ilvl="8" w:tplc="72EAE118" w:tentative="1">
      <w:start w:val="1"/>
      <w:numFmt w:val="bullet"/>
      <w:lvlText w:val=""/>
      <w:lvlJc w:val="left"/>
      <w:pPr>
        <w:ind w:left="6480" w:hanging="360"/>
      </w:pPr>
      <w:rPr>
        <w:rFonts w:ascii="Wingdings" w:hAnsi="Wingdings" w:hint="default"/>
      </w:rPr>
    </w:lvl>
  </w:abstractNum>
  <w:abstractNum w:abstractNumId="412" w15:restartNumberingAfterBreak="0">
    <w:nsid w:val="781168E7"/>
    <w:multiLevelType w:val="hybridMultilevel"/>
    <w:tmpl w:val="60D8D14C"/>
    <w:lvl w:ilvl="0" w:tplc="9BC0936E">
      <w:start w:val="1"/>
      <w:numFmt w:val="decimal"/>
      <w:lvlText w:val="%1."/>
      <w:lvlJc w:val="left"/>
      <w:pPr>
        <w:tabs>
          <w:tab w:val="num" w:pos="720"/>
        </w:tabs>
        <w:ind w:left="720" w:hanging="360"/>
      </w:pPr>
    </w:lvl>
    <w:lvl w:ilvl="1" w:tplc="04020019" w:tentative="1">
      <w:start w:val="1"/>
      <w:numFmt w:val="decimal"/>
      <w:lvlText w:val="%2."/>
      <w:lvlJc w:val="left"/>
      <w:pPr>
        <w:tabs>
          <w:tab w:val="num" w:pos="1440"/>
        </w:tabs>
        <w:ind w:left="1440" w:hanging="360"/>
      </w:pPr>
    </w:lvl>
    <w:lvl w:ilvl="2" w:tplc="0402001B" w:tentative="1">
      <w:start w:val="1"/>
      <w:numFmt w:val="decimal"/>
      <w:lvlText w:val="%3."/>
      <w:lvlJc w:val="left"/>
      <w:pPr>
        <w:tabs>
          <w:tab w:val="num" w:pos="2160"/>
        </w:tabs>
        <w:ind w:left="2160" w:hanging="360"/>
      </w:pPr>
    </w:lvl>
    <w:lvl w:ilvl="3" w:tplc="0402000F" w:tentative="1">
      <w:start w:val="1"/>
      <w:numFmt w:val="decimal"/>
      <w:lvlText w:val="%4."/>
      <w:lvlJc w:val="left"/>
      <w:pPr>
        <w:tabs>
          <w:tab w:val="num" w:pos="2880"/>
        </w:tabs>
        <w:ind w:left="2880" w:hanging="360"/>
      </w:pPr>
    </w:lvl>
    <w:lvl w:ilvl="4" w:tplc="04020019" w:tentative="1">
      <w:start w:val="1"/>
      <w:numFmt w:val="decimal"/>
      <w:lvlText w:val="%5."/>
      <w:lvlJc w:val="left"/>
      <w:pPr>
        <w:tabs>
          <w:tab w:val="num" w:pos="3600"/>
        </w:tabs>
        <w:ind w:left="3600" w:hanging="360"/>
      </w:pPr>
    </w:lvl>
    <w:lvl w:ilvl="5" w:tplc="0402001B" w:tentative="1">
      <w:start w:val="1"/>
      <w:numFmt w:val="decimal"/>
      <w:lvlText w:val="%6."/>
      <w:lvlJc w:val="left"/>
      <w:pPr>
        <w:tabs>
          <w:tab w:val="num" w:pos="4320"/>
        </w:tabs>
        <w:ind w:left="4320" w:hanging="360"/>
      </w:pPr>
    </w:lvl>
    <w:lvl w:ilvl="6" w:tplc="0402000F" w:tentative="1">
      <w:start w:val="1"/>
      <w:numFmt w:val="decimal"/>
      <w:lvlText w:val="%7."/>
      <w:lvlJc w:val="left"/>
      <w:pPr>
        <w:tabs>
          <w:tab w:val="num" w:pos="5040"/>
        </w:tabs>
        <w:ind w:left="5040" w:hanging="360"/>
      </w:pPr>
    </w:lvl>
    <w:lvl w:ilvl="7" w:tplc="04020019" w:tentative="1">
      <w:start w:val="1"/>
      <w:numFmt w:val="decimal"/>
      <w:lvlText w:val="%8."/>
      <w:lvlJc w:val="left"/>
      <w:pPr>
        <w:tabs>
          <w:tab w:val="num" w:pos="5760"/>
        </w:tabs>
        <w:ind w:left="5760" w:hanging="360"/>
      </w:pPr>
    </w:lvl>
    <w:lvl w:ilvl="8" w:tplc="0402001B" w:tentative="1">
      <w:start w:val="1"/>
      <w:numFmt w:val="decimal"/>
      <w:lvlText w:val="%9."/>
      <w:lvlJc w:val="left"/>
      <w:pPr>
        <w:tabs>
          <w:tab w:val="num" w:pos="6480"/>
        </w:tabs>
        <w:ind w:left="6480" w:hanging="360"/>
      </w:pPr>
    </w:lvl>
  </w:abstractNum>
  <w:abstractNum w:abstractNumId="413" w15:restartNumberingAfterBreak="0">
    <w:nsid w:val="789534C9"/>
    <w:multiLevelType w:val="hybridMultilevel"/>
    <w:tmpl w:val="93F81E10"/>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14" w15:restartNumberingAfterBreak="0">
    <w:nsid w:val="789A7360"/>
    <w:multiLevelType w:val="hybridMultilevel"/>
    <w:tmpl w:val="2702E97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5" w15:restartNumberingAfterBreak="0">
    <w:nsid w:val="78BB7219"/>
    <w:multiLevelType w:val="hybridMultilevel"/>
    <w:tmpl w:val="FD184DFC"/>
    <w:lvl w:ilvl="0" w:tplc="04347ADA">
      <w:start w:val="1"/>
      <w:numFmt w:val="bullet"/>
      <w:lvlText w:val=""/>
      <w:lvlJc w:val="left"/>
      <w:pPr>
        <w:ind w:left="360" w:hanging="360"/>
      </w:pPr>
      <w:rPr>
        <w:rFonts w:ascii="Symbol" w:hAnsi="Symbol" w:hint="default"/>
      </w:rPr>
    </w:lvl>
    <w:lvl w:ilvl="1" w:tplc="853E29B0" w:tentative="1">
      <w:start w:val="1"/>
      <w:numFmt w:val="bullet"/>
      <w:lvlText w:val="o"/>
      <w:lvlJc w:val="left"/>
      <w:pPr>
        <w:ind w:left="1080" w:hanging="360"/>
      </w:pPr>
      <w:rPr>
        <w:rFonts w:ascii="Courier New" w:hAnsi="Courier New" w:cs="Courier New" w:hint="default"/>
      </w:rPr>
    </w:lvl>
    <w:lvl w:ilvl="2" w:tplc="B518E716" w:tentative="1">
      <w:start w:val="1"/>
      <w:numFmt w:val="bullet"/>
      <w:lvlText w:val=""/>
      <w:lvlJc w:val="left"/>
      <w:pPr>
        <w:ind w:left="1800" w:hanging="360"/>
      </w:pPr>
      <w:rPr>
        <w:rFonts w:ascii="Wingdings" w:hAnsi="Wingdings" w:hint="default"/>
      </w:rPr>
    </w:lvl>
    <w:lvl w:ilvl="3" w:tplc="EBF0F70C" w:tentative="1">
      <w:start w:val="1"/>
      <w:numFmt w:val="bullet"/>
      <w:lvlText w:val=""/>
      <w:lvlJc w:val="left"/>
      <w:pPr>
        <w:ind w:left="2520" w:hanging="360"/>
      </w:pPr>
      <w:rPr>
        <w:rFonts w:ascii="Symbol" w:hAnsi="Symbol" w:hint="default"/>
      </w:rPr>
    </w:lvl>
    <w:lvl w:ilvl="4" w:tplc="366E8324" w:tentative="1">
      <w:start w:val="1"/>
      <w:numFmt w:val="bullet"/>
      <w:lvlText w:val="o"/>
      <w:lvlJc w:val="left"/>
      <w:pPr>
        <w:ind w:left="3240" w:hanging="360"/>
      </w:pPr>
      <w:rPr>
        <w:rFonts w:ascii="Courier New" w:hAnsi="Courier New" w:cs="Courier New" w:hint="default"/>
      </w:rPr>
    </w:lvl>
    <w:lvl w:ilvl="5" w:tplc="8A9A977E" w:tentative="1">
      <w:start w:val="1"/>
      <w:numFmt w:val="bullet"/>
      <w:lvlText w:val=""/>
      <w:lvlJc w:val="left"/>
      <w:pPr>
        <w:ind w:left="3960" w:hanging="360"/>
      </w:pPr>
      <w:rPr>
        <w:rFonts w:ascii="Wingdings" w:hAnsi="Wingdings" w:hint="default"/>
      </w:rPr>
    </w:lvl>
    <w:lvl w:ilvl="6" w:tplc="3B688564" w:tentative="1">
      <w:start w:val="1"/>
      <w:numFmt w:val="bullet"/>
      <w:lvlText w:val=""/>
      <w:lvlJc w:val="left"/>
      <w:pPr>
        <w:ind w:left="4680" w:hanging="360"/>
      </w:pPr>
      <w:rPr>
        <w:rFonts w:ascii="Symbol" w:hAnsi="Symbol" w:hint="default"/>
      </w:rPr>
    </w:lvl>
    <w:lvl w:ilvl="7" w:tplc="B6EAE2B6" w:tentative="1">
      <w:start w:val="1"/>
      <w:numFmt w:val="bullet"/>
      <w:lvlText w:val="o"/>
      <w:lvlJc w:val="left"/>
      <w:pPr>
        <w:ind w:left="5400" w:hanging="360"/>
      </w:pPr>
      <w:rPr>
        <w:rFonts w:ascii="Courier New" w:hAnsi="Courier New" w:cs="Courier New" w:hint="default"/>
      </w:rPr>
    </w:lvl>
    <w:lvl w:ilvl="8" w:tplc="EAD813CE" w:tentative="1">
      <w:start w:val="1"/>
      <w:numFmt w:val="bullet"/>
      <w:lvlText w:val=""/>
      <w:lvlJc w:val="left"/>
      <w:pPr>
        <w:ind w:left="6120" w:hanging="360"/>
      </w:pPr>
      <w:rPr>
        <w:rFonts w:ascii="Wingdings" w:hAnsi="Wingdings" w:hint="default"/>
      </w:rPr>
    </w:lvl>
  </w:abstractNum>
  <w:abstractNum w:abstractNumId="416" w15:restartNumberingAfterBreak="0">
    <w:nsid w:val="79256256"/>
    <w:multiLevelType w:val="hybridMultilevel"/>
    <w:tmpl w:val="7E3A1408"/>
    <w:lvl w:ilvl="0" w:tplc="04020003">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7" w15:restartNumberingAfterBreak="0">
    <w:nsid w:val="79310C31"/>
    <w:multiLevelType w:val="hybridMultilevel"/>
    <w:tmpl w:val="DC902A9C"/>
    <w:lvl w:ilvl="0" w:tplc="04090001">
      <w:start w:val="1"/>
      <w:numFmt w:val="bullet"/>
      <w:lvlText w:val=""/>
      <w:lvlJc w:val="left"/>
      <w:pPr>
        <w:tabs>
          <w:tab w:val="num" w:pos="495"/>
        </w:tabs>
        <w:ind w:left="495" w:hanging="360"/>
      </w:pPr>
      <w:rPr>
        <w:rFonts w:ascii="Symbol" w:hAnsi="Symbol" w:cs="Symbol" w:hint="default"/>
      </w:rPr>
    </w:lvl>
    <w:lvl w:ilvl="1" w:tplc="04090003">
      <w:start w:val="1"/>
      <w:numFmt w:val="bullet"/>
      <w:lvlText w:val="o"/>
      <w:lvlJc w:val="left"/>
      <w:pPr>
        <w:tabs>
          <w:tab w:val="num" w:pos="1215"/>
        </w:tabs>
        <w:ind w:left="1215" w:hanging="360"/>
      </w:pPr>
      <w:rPr>
        <w:rFonts w:ascii="Courier New" w:hAnsi="Courier New" w:cs="Courier New" w:hint="default"/>
      </w:rPr>
    </w:lvl>
    <w:lvl w:ilvl="2" w:tplc="04090005">
      <w:start w:val="1"/>
      <w:numFmt w:val="bullet"/>
      <w:lvlText w:val=""/>
      <w:lvlJc w:val="left"/>
      <w:pPr>
        <w:tabs>
          <w:tab w:val="num" w:pos="1935"/>
        </w:tabs>
        <w:ind w:left="1935" w:hanging="360"/>
      </w:pPr>
      <w:rPr>
        <w:rFonts w:ascii="Wingdings" w:hAnsi="Wingdings" w:cs="Wingdings" w:hint="default"/>
      </w:rPr>
    </w:lvl>
    <w:lvl w:ilvl="3" w:tplc="04090001">
      <w:start w:val="1"/>
      <w:numFmt w:val="bullet"/>
      <w:lvlText w:val=""/>
      <w:lvlJc w:val="left"/>
      <w:pPr>
        <w:tabs>
          <w:tab w:val="num" w:pos="2655"/>
        </w:tabs>
        <w:ind w:left="2655" w:hanging="360"/>
      </w:pPr>
      <w:rPr>
        <w:rFonts w:ascii="Symbol" w:hAnsi="Symbol" w:cs="Symbol" w:hint="default"/>
      </w:rPr>
    </w:lvl>
    <w:lvl w:ilvl="4" w:tplc="04090003">
      <w:start w:val="1"/>
      <w:numFmt w:val="bullet"/>
      <w:lvlText w:val="o"/>
      <w:lvlJc w:val="left"/>
      <w:pPr>
        <w:tabs>
          <w:tab w:val="num" w:pos="3375"/>
        </w:tabs>
        <w:ind w:left="3375" w:hanging="360"/>
      </w:pPr>
      <w:rPr>
        <w:rFonts w:ascii="Courier New" w:hAnsi="Courier New" w:cs="Courier New" w:hint="default"/>
      </w:rPr>
    </w:lvl>
    <w:lvl w:ilvl="5" w:tplc="04090005">
      <w:start w:val="1"/>
      <w:numFmt w:val="bullet"/>
      <w:lvlText w:val=""/>
      <w:lvlJc w:val="left"/>
      <w:pPr>
        <w:tabs>
          <w:tab w:val="num" w:pos="4095"/>
        </w:tabs>
        <w:ind w:left="4095" w:hanging="360"/>
      </w:pPr>
      <w:rPr>
        <w:rFonts w:ascii="Wingdings" w:hAnsi="Wingdings" w:cs="Wingdings" w:hint="default"/>
      </w:rPr>
    </w:lvl>
    <w:lvl w:ilvl="6" w:tplc="04090001">
      <w:start w:val="1"/>
      <w:numFmt w:val="bullet"/>
      <w:lvlText w:val=""/>
      <w:lvlJc w:val="left"/>
      <w:pPr>
        <w:tabs>
          <w:tab w:val="num" w:pos="4815"/>
        </w:tabs>
        <w:ind w:left="4815" w:hanging="360"/>
      </w:pPr>
      <w:rPr>
        <w:rFonts w:ascii="Symbol" w:hAnsi="Symbol" w:cs="Symbol" w:hint="default"/>
      </w:rPr>
    </w:lvl>
    <w:lvl w:ilvl="7" w:tplc="04090003">
      <w:start w:val="1"/>
      <w:numFmt w:val="bullet"/>
      <w:lvlText w:val="o"/>
      <w:lvlJc w:val="left"/>
      <w:pPr>
        <w:tabs>
          <w:tab w:val="num" w:pos="5535"/>
        </w:tabs>
        <w:ind w:left="5535" w:hanging="360"/>
      </w:pPr>
      <w:rPr>
        <w:rFonts w:ascii="Courier New" w:hAnsi="Courier New" w:cs="Courier New" w:hint="default"/>
      </w:rPr>
    </w:lvl>
    <w:lvl w:ilvl="8" w:tplc="04090005">
      <w:start w:val="1"/>
      <w:numFmt w:val="bullet"/>
      <w:lvlText w:val=""/>
      <w:lvlJc w:val="left"/>
      <w:pPr>
        <w:tabs>
          <w:tab w:val="num" w:pos="6255"/>
        </w:tabs>
        <w:ind w:left="6255" w:hanging="360"/>
      </w:pPr>
      <w:rPr>
        <w:rFonts w:ascii="Wingdings" w:hAnsi="Wingdings" w:cs="Wingdings" w:hint="default"/>
      </w:rPr>
    </w:lvl>
  </w:abstractNum>
  <w:abstractNum w:abstractNumId="418" w15:restartNumberingAfterBreak="0">
    <w:nsid w:val="793C3C69"/>
    <w:multiLevelType w:val="multilevel"/>
    <w:tmpl w:val="793C3C69"/>
    <w:lvl w:ilvl="0">
      <w:numFmt w:val="bullet"/>
      <w:lvlText w:val=""/>
      <w:lvlJc w:val="left"/>
      <w:pPr>
        <w:ind w:left="1849" w:hanging="360"/>
      </w:pPr>
      <w:rPr>
        <w:rFonts w:ascii="Symbol" w:hAnsi="Symbol"/>
      </w:rPr>
    </w:lvl>
    <w:lvl w:ilvl="1">
      <w:numFmt w:val="bullet"/>
      <w:lvlText w:val="o"/>
      <w:lvlJc w:val="left"/>
      <w:pPr>
        <w:ind w:left="2569" w:hanging="360"/>
      </w:pPr>
      <w:rPr>
        <w:rFonts w:ascii="Courier New" w:hAnsi="Courier New" w:cs="Courier New"/>
      </w:rPr>
    </w:lvl>
    <w:lvl w:ilvl="2">
      <w:numFmt w:val="bullet"/>
      <w:lvlText w:val=""/>
      <w:lvlJc w:val="left"/>
      <w:pPr>
        <w:ind w:left="3289" w:hanging="360"/>
      </w:pPr>
      <w:rPr>
        <w:rFonts w:ascii="Wingdings" w:hAnsi="Wingdings"/>
      </w:rPr>
    </w:lvl>
    <w:lvl w:ilvl="3">
      <w:numFmt w:val="bullet"/>
      <w:lvlText w:val=""/>
      <w:lvlJc w:val="left"/>
      <w:pPr>
        <w:ind w:left="4009" w:hanging="360"/>
      </w:pPr>
      <w:rPr>
        <w:rFonts w:ascii="Symbol" w:hAnsi="Symbol"/>
      </w:rPr>
    </w:lvl>
    <w:lvl w:ilvl="4">
      <w:numFmt w:val="bullet"/>
      <w:lvlText w:val="o"/>
      <w:lvlJc w:val="left"/>
      <w:pPr>
        <w:ind w:left="4729" w:hanging="360"/>
      </w:pPr>
      <w:rPr>
        <w:rFonts w:ascii="Courier New" w:hAnsi="Courier New" w:cs="Courier New"/>
      </w:rPr>
    </w:lvl>
    <w:lvl w:ilvl="5">
      <w:numFmt w:val="bullet"/>
      <w:lvlText w:val=""/>
      <w:lvlJc w:val="left"/>
      <w:pPr>
        <w:ind w:left="5449" w:hanging="360"/>
      </w:pPr>
      <w:rPr>
        <w:rFonts w:ascii="Wingdings" w:hAnsi="Wingdings"/>
      </w:rPr>
    </w:lvl>
    <w:lvl w:ilvl="6">
      <w:numFmt w:val="bullet"/>
      <w:lvlText w:val=""/>
      <w:lvlJc w:val="left"/>
      <w:pPr>
        <w:ind w:left="6169" w:hanging="360"/>
      </w:pPr>
      <w:rPr>
        <w:rFonts w:ascii="Symbol" w:hAnsi="Symbol"/>
      </w:rPr>
    </w:lvl>
    <w:lvl w:ilvl="7">
      <w:numFmt w:val="bullet"/>
      <w:lvlText w:val="o"/>
      <w:lvlJc w:val="left"/>
      <w:pPr>
        <w:ind w:left="6889" w:hanging="360"/>
      </w:pPr>
      <w:rPr>
        <w:rFonts w:ascii="Courier New" w:hAnsi="Courier New" w:cs="Courier New"/>
      </w:rPr>
    </w:lvl>
    <w:lvl w:ilvl="8">
      <w:numFmt w:val="bullet"/>
      <w:lvlText w:val=""/>
      <w:lvlJc w:val="left"/>
      <w:pPr>
        <w:ind w:left="7609" w:hanging="360"/>
      </w:pPr>
      <w:rPr>
        <w:rFonts w:ascii="Wingdings" w:hAnsi="Wingdings"/>
      </w:rPr>
    </w:lvl>
  </w:abstractNum>
  <w:abstractNum w:abstractNumId="419" w15:restartNumberingAfterBreak="0">
    <w:nsid w:val="79726752"/>
    <w:multiLevelType w:val="multilevel"/>
    <w:tmpl w:val="042E9996"/>
    <w:lvl w:ilvl="0">
      <w:start w:val="1"/>
      <w:numFmt w:val="none"/>
      <w:lvlText w:val=""/>
      <w:legacy w:legacy="1" w:legacySpace="120" w:legacyIndent="360"/>
      <w:lvlJc w:val="left"/>
      <w:pPr>
        <w:ind w:left="1800" w:hanging="360"/>
      </w:pPr>
      <w:rPr>
        <w:rFonts w:ascii="Symbol" w:hAnsi="Symbol" w:cs="Times New Roman" w:hint="default"/>
      </w:rPr>
    </w:lvl>
    <w:lvl w:ilvl="1">
      <w:start w:val="1"/>
      <w:numFmt w:val="none"/>
      <w:lvlText w:val="o"/>
      <w:legacy w:legacy="1" w:legacySpace="120" w:legacyIndent="360"/>
      <w:lvlJc w:val="left"/>
      <w:pPr>
        <w:ind w:left="2160" w:hanging="360"/>
      </w:pPr>
      <w:rPr>
        <w:rFonts w:ascii="Courier New" w:hAnsi="Courier New" w:cs="Times New Roman" w:hint="default"/>
      </w:rPr>
    </w:lvl>
    <w:lvl w:ilvl="2">
      <w:start w:val="1"/>
      <w:numFmt w:val="none"/>
      <w:lvlText w:val=""/>
      <w:legacy w:legacy="1" w:legacySpace="120" w:legacyIndent="360"/>
      <w:lvlJc w:val="left"/>
      <w:pPr>
        <w:ind w:left="2520" w:hanging="360"/>
      </w:pPr>
      <w:rPr>
        <w:rFonts w:ascii="Wingdings" w:hAnsi="Wingdings" w:cs="Times New Roman" w:hint="default"/>
      </w:rPr>
    </w:lvl>
    <w:lvl w:ilvl="3">
      <w:start w:val="1"/>
      <w:numFmt w:val="none"/>
      <w:lvlText w:val=""/>
      <w:legacy w:legacy="1" w:legacySpace="120" w:legacyIndent="360"/>
      <w:lvlJc w:val="left"/>
      <w:pPr>
        <w:ind w:left="2880" w:hanging="360"/>
      </w:pPr>
      <w:rPr>
        <w:rFonts w:ascii="Symbol" w:hAnsi="Symbol" w:cs="Times New Roman" w:hint="default"/>
      </w:rPr>
    </w:lvl>
    <w:lvl w:ilvl="4">
      <w:start w:val="1"/>
      <w:numFmt w:val="none"/>
      <w:lvlText w:val="o"/>
      <w:legacy w:legacy="1" w:legacySpace="120" w:legacyIndent="360"/>
      <w:lvlJc w:val="left"/>
      <w:pPr>
        <w:ind w:left="3240" w:hanging="360"/>
      </w:pPr>
      <w:rPr>
        <w:rFonts w:ascii="Courier New" w:hAnsi="Courier New" w:cs="Times New Roman" w:hint="default"/>
      </w:rPr>
    </w:lvl>
    <w:lvl w:ilvl="5">
      <w:start w:val="1"/>
      <w:numFmt w:val="none"/>
      <w:lvlText w:val=""/>
      <w:legacy w:legacy="1" w:legacySpace="120" w:legacyIndent="360"/>
      <w:lvlJc w:val="left"/>
      <w:pPr>
        <w:ind w:left="3600" w:hanging="360"/>
      </w:pPr>
      <w:rPr>
        <w:rFonts w:ascii="Wingdings" w:hAnsi="Wingdings" w:cs="Times New Roman" w:hint="default"/>
      </w:rPr>
    </w:lvl>
    <w:lvl w:ilvl="6">
      <w:start w:val="1"/>
      <w:numFmt w:val="none"/>
      <w:lvlText w:val=""/>
      <w:legacy w:legacy="1" w:legacySpace="120" w:legacyIndent="360"/>
      <w:lvlJc w:val="left"/>
      <w:pPr>
        <w:ind w:left="3960" w:hanging="360"/>
      </w:pPr>
      <w:rPr>
        <w:rFonts w:ascii="Symbol" w:hAnsi="Symbol" w:cs="Times New Roman" w:hint="default"/>
      </w:rPr>
    </w:lvl>
    <w:lvl w:ilvl="7">
      <w:start w:val="1"/>
      <w:numFmt w:val="none"/>
      <w:lvlText w:val="o"/>
      <w:legacy w:legacy="1" w:legacySpace="120" w:legacyIndent="360"/>
      <w:lvlJc w:val="left"/>
      <w:pPr>
        <w:ind w:left="4320" w:hanging="360"/>
      </w:pPr>
      <w:rPr>
        <w:rFonts w:ascii="Courier New" w:hAnsi="Courier New" w:cs="Times New Roman" w:hint="default"/>
      </w:rPr>
    </w:lvl>
    <w:lvl w:ilvl="8">
      <w:start w:val="1"/>
      <w:numFmt w:val="none"/>
      <w:lvlText w:val=""/>
      <w:legacy w:legacy="1" w:legacySpace="120" w:legacyIndent="360"/>
      <w:lvlJc w:val="left"/>
      <w:pPr>
        <w:ind w:left="4680" w:hanging="360"/>
      </w:pPr>
      <w:rPr>
        <w:rFonts w:ascii="Wingdings" w:hAnsi="Wingdings" w:cs="Times New Roman" w:hint="default"/>
      </w:rPr>
    </w:lvl>
  </w:abstractNum>
  <w:abstractNum w:abstractNumId="420" w15:restartNumberingAfterBreak="0">
    <w:nsid w:val="799B71ED"/>
    <w:multiLevelType w:val="hybridMultilevel"/>
    <w:tmpl w:val="C3EAA15C"/>
    <w:lvl w:ilvl="0" w:tplc="8BB89258">
      <w:start w:val="1"/>
      <w:numFmt w:val="bullet"/>
      <w:lvlText w:val=""/>
      <w:lvlJc w:val="left"/>
      <w:pPr>
        <w:ind w:left="720" w:hanging="360"/>
      </w:pPr>
      <w:rPr>
        <w:rFonts w:ascii="Symbol" w:hAnsi="Symbol" w:hint="default"/>
      </w:rPr>
    </w:lvl>
    <w:lvl w:ilvl="1" w:tplc="A9966F02" w:tentative="1">
      <w:start w:val="1"/>
      <w:numFmt w:val="bullet"/>
      <w:lvlText w:val="o"/>
      <w:lvlJc w:val="left"/>
      <w:pPr>
        <w:ind w:left="1440" w:hanging="360"/>
      </w:pPr>
      <w:rPr>
        <w:rFonts w:ascii="Courier New" w:hAnsi="Courier New" w:cs="Courier New" w:hint="default"/>
      </w:rPr>
    </w:lvl>
    <w:lvl w:ilvl="2" w:tplc="1EA02640" w:tentative="1">
      <w:start w:val="1"/>
      <w:numFmt w:val="bullet"/>
      <w:lvlText w:val=""/>
      <w:lvlJc w:val="left"/>
      <w:pPr>
        <w:ind w:left="2160" w:hanging="360"/>
      </w:pPr>
      <w:rPr>
        <w:rFonts w:ascii="Wingdings" w:hAnsi="Wingdings" w:hint="default"/>
      </w:rPr>
    </w:lvl>
    <w:lvl w:ilvl="3" w:tplc="B298F9AC" w:tentative="1">
      <w:start w:val="1"/>
      <w:numFmt w:val="bullet"/>
      <w:lvlText w:val=""/>
      <w:lvlJc w:val="left"/>
      <w:pPr>
        <w:ind w:left="2880" w:hanging="360"/>
      </w:pPr>
      <w:rPr>
        <w:rFonts w:ascii="Symbol" w:hAnsi="Symbol" w:hint="default"/>
      </w:rPr>
    </w:lvl>
    <w:lvl w:ilvl="4" w:tplc="E86E44B0" w:tentative="1">
      <w:start w:val="1"/>
      <w:numFmt w:val="bullet"/>
      <w:lvlText w:val="o"/>
      <w:lvlJc w:val="left"/>
      <w:pPr>
        <w:ind w:left="3600" w:hanging="360"/>
      </w:pPr>
      <w:rPr>
        <w:rFonts w:ascii="Courier New" w:hAnsi="Courier New" w:cs="Courier New" w:hint="default"/>
      </w:rPr>
    </w:lvl>
    <w:lvl w:ilvl="5" w:tplc="6DF8270A" w:tentative="1">
      <w:start w:val="1"/>
      <w:numFmt w:val="bullet"/>
      <w:lvlText w:val=""/>
      <w:lvlJc w:val="left"/>
      <w:pPr>
        <w:ind w:left="4320" w:hanging="360"/>
      </w:pPr>
      <w:rPr>
        <w:rFonts w:ascii="Wingdings" w:hAnsi="Wingdings" w:hint="default"/>
      </w:rPr>
    </w:lvl>
    <w:lvl w:ilvl="6" w:tplc="18AAA83A" w:tentative="1">
      <w:start w:val="1"/>
      <w:numFmt w:val="bullet"/>
      <w:lvlText w:val=""/>
      <w:lvlJc w:val="left"/>
      <w:pPr>
        <w:ind w:left="5040" w:hanging="360"/>
      </w:pPr>
      <w:rPr>
        <w:rFonts w:ascii="Symbol" w:hAnsi="Symbol" w:hint="default"/>
      </w:rPr>
    </w:lvl>
    <w:lvl w:ilvl="7" w:tplc="6358A20A" w:tentative="1">
      <w:start w:val="1"/>
      <w:numFmt w:val="bullet"/>
      <w:lvlText w:val="o"/>
      <w:lvlJc w:val="left"/>
      <w:pPr>
        <w:ind w:left="5760" w:hanging="360"/>
      </w:pPr>
      <w:rPr>
        <w:rFonts w:ascii="Courier New" w:hAnsi="Courier New" w:cs="Courier New" w:hint="default"/>
      </w:rPr>
    </w:lvl>
    <w:lvl w:ilvl="8" w:tplc="DD4ADB86" w:tentative="1">
      <w:start w:val="1"/>
      <w:numFmt w:val="bullet"/>
      <w:lvlText w:val=""/>
      <w:lvlJc w:val="left"/>
      <w:pPr>
        <w:ind w:left="6480" w:hanging="360"/>
      </w:pPr>
      <w:rPr>
        <w:rFonts w:ascii="Wingdings" w:hAnsi="Wingdings" w:hint="default"/>
      </w:rPr>
    </w:lvl>
  </w:abstractNum>
  <w:abstractNum w:abstractNumId="421" w15:restartNumberingAfterBreak="0">
    <w:nsid w:val="79B0336B"/>
    <w:multiLevelType w:val="multilevel"/>
    <w:tmpl w:val="79B0336B"/>
    <w:lvl w:ilvl="0">
      <w:start w:val="1"/>
      <w:numFmt w:val="decimal"/>
      <w:lvlText w:val="%1."/>
      <w:lvlJc w:val="left"/>
      <w:pPr>
        <w:ind w:left="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422" w15:restartNumberingAfterBreak="0">
    <w:nsid w:val="7AED16E8"/>
    <w:multiLevelType w:val="hybridMultilevel"/>
    <w:tmpl w:val="08F6225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3" w15:restartNumberingAfterBreak="0">
    <w:nsid w:val="7B0D79E7"/>
    <w:multiLevelType w:val="multilevel"/>
    <w:tmpl w:val="AA9EDE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4" w15:restartNumberingAfterBreak="0">
    <w:nsid w:val="7B2870F5"/>
    <w:multiLevelType w:val="hybridMultilevel"/>
    <w:tmpl w:val="9158637E"/>
    <w:lvl w:ilvl="0" w:tplc="04020013">
      <w:start w:val="108"/>
      <w:numFmt w:val="bullet"/>
      <w:lvlText w:val="–"/>
      <w:lvlJc w:val="left"/>
      <w:pPr>
        <w:ind w:left="757" w:hanging="360"/>
      </w:pPr>
      <w:rPr>
        <w:rFonts w:ascii="Times New Roman" w:hAnsi="Times New Roman" w:hint="default"/>
      </w:rPr>
    </w:lvl>
    <w:lvl w:ilvl="1" w:tplc="04020003" w:tentative="1">
      <w:start w:val="1"/>
      <w:numFmt w:val="bullet"/>
      <w:lvlText w:val="o"/>
      <w:lvlJc w:val="left"/>
      <w:pPr>
        <w:ind w:left="1477" w:hanging="360"/>
      </w:pPr>
      <w:rPr>
        <w:rFonts w:ascii="Courier New" w:hAnsi="Courier New" w:cs="Courier New" w:hint="default"/>
      </w:rPr>
    </w:lvl>
    <w:lvl w:ilvl="2" w:tplc="04020005" w:tentative="1">
      <w:start w:val="1"/>
      <w:numFmt w:val="bullet"/>
      <w:lvlText w:val=""/>
      <w:lvlJc w:val="left"/>
      <w:pPr>
        <w:ind w:left="2197" w:hanging="360"/>
      </w:pPr>
      <w:rPr>
        <w:rFonts w:ascii="Wingdings" w:hAnsi="Wingdings" w:hint="default"/>
      </w:rPr>
    </w:lvl>
    <w:lvl w:ilvl="3" w:tplc="04020001" w:tentative="1">
      <w:start w:val="1"/>
      <w:numFmt w:val="bullet"/>
      <w:lvlText w:val=""/>
      <w:lvlJc w:val="left"/>
      <w:pPr>
        <w:ind w:left="2917" w:hanging="360"/>
      </w:pPr>
      <w:rPr>
        <w:rFonts w:ascii="Symbol" w:hAnsi="Symbol" w:hint="default"/>
      </w:rPr>
    </w:lvl>
    <w:lvl w:ilvl="4" w:tplc="04020003" w:tentative="1">
      <w:start w:val="1"/>
      <w:numFmt w:val="bullet"/>
      <w:lvlText w:val="o"/>
      <w:lvlJc w:val="left"/>
      <w:pPr>
        <w:ind w:left="3637" w:hanging="360"/>
      </w:pPr>
      <w:rPr>
        <w:rFonts w:ascii="Courier New" w:hAnsi="Courier New" w:cs="Courier New" w:hint="default"/>
      </w:rPr>
    </w:lvl>
    <w:lvl w:ilvl="5" w:tplc="04020005" w:tentative="1">
      <w:start w:val="1"/>
      <w:numFmt w:val="bullet"/>
      <w:lvlText w:val=""/>
      <w:lvlJc w:val="left"/>
      <w:pPr>
        <w:ind w:left="4357" w:hanging="360"/>
      </w:pPr>
      <w:rPr>
        <w:rFonts w:ascii="Wingdings" w:hAnsi="Wingdings" w:hint="default"/>
      </w:rPr>
    </w:lvl>
    <w:lvl w:ilvl="6" w:tplc="04020001" w:tentative="1">
      <w:start w:val="1"/>
      <w:numFmt w:val="bullet"/>
      <w:lvlText w:val=""/>
      <w:lvlJc w:val="left"/>
      <w:pPr>
        <w:ind w:left="5077" w:hanging="360"/>
      </w:pPr>
      <w:rPr>
        <w:rFonts w:ascii="Symbol" w:hAnsi="Symbol" w:hint="default"/>
      </w:rPr>
    </w:lvl>
    <w:lvl w:ilvl="7" w:tplc="04020003" w:tentative="1">
      <w:start w:val="1"/>
      <w:numFmt w:val="bullet"/>
      <w:lvlText w:val="o"/>
      <w:lvlJc w:val="left"/>
      <w:pPr>
        <w:ind w:left="5797" w:hanging="360"/>
      </w:pPr>
      <w:rPr>
        <w:rFonts w:ascii="Courier New" w:hAnsi="Courier New" w:cs="Courier New" w:hint="default"/>
      </w:rPr>
    </w:lvl>
    <w:lvl w:ilvl="8" w:tplc="04020005" w:tentative="1">
      <w:start w:val="1"/>
      <w:numFmt w:val="bullet"/>
      <w:lvlText w:val=""/>
      <w:lvlJc w:val="left"/>
      <w:pPr>
        <w:ind w:left="6517" w:hanging="360"/>
      </w:pPr>
      <w:rPr>
        <w:rFonts w:ascii="Wingdings" w:hAnsi="Wingdings" w:hint="default"/>
      </w:rPr>
    </w:lvl>
  </w:abstractNum>
  <w:abstractNum w:abstractNumId="425" w15:restartNumberingAfterBreak="0">
    <w:nsid w:val="7B314DF9"/>
    <w:multiLevelType w:val="multilevel"/>
    <w:tmpl w:val="27EE2A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i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6" w15:restartNumberingAfterBreak="0">
    <w:nsid w:val="7B4273B7"/>
    <w:multiLevelType w:val="hybridMultilevel"/>
    <w:tmpl w:val="1304C624"/>
    <w:lvl w:ilvl="0" w:tplc="04020013">
      <w:start w:val="108"/>
      <w:numFmt w:val="bullet"/>
      <w:lvlText w:val="–"/>
      <w:lvlJc w:val="left"/>
      <w:pPr>
        <w:ind w:left="720" w:hanging="360"/>
      </w:pPr>
      <w:rPr>
        <w:rFonts w:ascii="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7" w15:restartNumberingAfterBreak="0">
    <w:nsid w:val="7BC16E80"/>
    <w:multiLevelType w:val="hybridMultilevel"/>
    <w:tmpl w:val="D75C9538"/>
    <w:lvl w:ilvl="0" w:tplc="5C38685A">
      <w:start w:val="1"/>
      <w:numFmt w:val="decimal"/>
      <w:lvlText w:val="%1."/>
      <w:lvlJc w:val="left"/>
      <w:pPr>
        <w:ind w:left="580" w:hanging="580"/>
      </w:pPr>
      <w:rPr>
        <w:rFonts w:hint="default"/>
      </w:rPr>
    </w:lvl>
    <w:lvl w:ilvl="1" w:tplc="D1901FF4" w:tentative="1">
      <w:start w:val="1"/>
      <w:numFmt w:val="lowerLetter"/>
      <w:lvlText w:val="%2."/>
      <w:lvlJc w:val="left"/>
      <w:pPr>
        <w:ind w:left="1080" w:hanging="360"/>
      </w:pPr>
    </w:lvl>
    <w:lvl w:ilvl="2" w:tplc="25245EE4" w:tentative="1">
      <w:start w:val="1"/>
      <w:numFmt w:val="lowerRoman"/>
      <w:lvlText w:val="%3."/>
      <w:lvlJc w:val="right"/>
      <w:pPr>
        <w:ind w:left="1800" w:hanging="180"/>
      </w:pPr>
    </w:lvl>
    <w:lvl w:ilvl="3" w:tplc="A86CC368" w:tentative="1">
      <w:start w:val="1"/>
      <w:numFmt w:val="decimal"/>
      <w:lvlText w:val="%4."/>
      <w:lvlJc w:val="left"/>
      <w:pPr>
        <w:ind w:left="2520" w:hanging="360"/>
      </w:pPr>
    </w:lvl>
    <w:lvl w:ilvl="4" w:tplc="E2EAAE5C" w:tentative="1">
      <w:start w:val="1"/>
      <w:numFmt w:val="lowerLetter"/>
      <w:lvlText w:val="%5."/>
      <w:lvlJc w:val="left"/>
      <w:pPr>
        <w:ind w:left="3240" w:hanging="360"/>
      </w:pPr>
    </w:lvl>
    <w:lvl w:ilvl="5" w:tplc="78109B6C" w:tentative="1">
      <w:start w:val="1"/>
      <w:numFmt w:val="lowerRoman"/>
      <w:lvlText w:val="%6."/>
      <w:lvlJc w:val="right"/>
      <w:pPr>
        <w:ind w:left="3960" w:hanging="180"/>
      </w:pPr>
    </w:lvl>
    <w:lvl w:ilvl="6" w:tplc="FFAE78C6" w:tentative="1">
      <w:start w:val="1"/>
      <w:numFmt w:val="decimal"/>
      <w:lvlText w:val="%7."/>
      <w:lvlJc w:val="left"/>
      <w:pPr>
        <w:ind w:left="4680" w:hanging="360"/>
      </w:pPr>
    </w:lvl>
    <w:lvl w:ilvl="7" w:tplc="B00E93C8" w:tentative="1">
      <w:start w:val="1"/>
      <w:numFmt w:val="lowerLetter"/>
      <w:lvlText w:val="%8."/>
      <w:lvlJc w:val="left"/>
      <w:pPr>
        <w:ind w:left="5400" w:hanging="360"/>
      </w:pPr>
    </w:lvl>
    <w:lvl w:ilvl="8" w:tplc="DECE08FC" w:tentative="1">
      <w:start w:val="1"/>
      <w:numFmt w:val="lowerRoman"/>
      <w:lvlText w:val="%9."/>
      <w:lvlJc w:val="right"/>
      <w:pPr>
        <w:ind w:left="6120" w:hanging="180"/>
      </w:pPr>
    </w:lvl>
  </w:abstractNum>
  <w:abstractNum w:abstractNumId="428" w15:restartNumberingAfterBreak="0">
    <w:nsid w:val="7BDB47A0"/>
    <w:multiLevelType w:val="hybridMultilevel"/>
    <w:tmpl w:val="454A9C8A"/>
    <w:lvl w:ilvl="0" w:tplc="250821DE">
      <w:start w:val="1"/>
      <w:numFmt w:val="bullet"/>
      <w:lvlText w:val=""/>
      <w:lvlJc w:val="left"/>
      <w:pPr>
        <w:ind w:left="720" w:hanging="360"/>
      </w:pPr>
      <w:rPr>
        <w:rFonts w:ascii="Symbol" w:hAnsi="Symbol" w:hint="default"/>
      </w:rPr>
    </w:lvl>
    <w:lvl w:ilvl="1" w:tplc="951CCC32" w:tentative="1">
      <w:start w:val="1"/>
      <w:numFmt w:val="bullet"/>
      <w:lvlText w:val="o"/>
      <w:lvlJc w:val="left"/>
      <w:pPr>
        <w:ind w:left="1440" w:hanging="360"/>
      </w:pPr>
      <w:rPr>
        <w:rFonts w:ascii="Courier New" w:hAnsi="Courier New" w:cs="Courier New" w:hint="default"/>
      </w:rPr>
    </w:lvl>
    <w:lvl w:ilvl="2" w:tplc="487AC5B2" w:tentative="1">
      <w:start w:val="1"/>
      <w:numFmt w:val="bullet"/>
      <w:lvlText w:val=""/>
      <w:lvlJc w:val="left"/>
      <w:pPr>
        <w:ind w:left="2160" w:hanging="360"/>
      </w:pPr>
      <w:rPr>
        <w:rFonts w:ascii="Wingdings" w:hAnsi="Wingdings" w:hint="default"/>
      </w:rPr>
    </w:lvl>
    <w:lvl w:ilvl="3" w:tplc="E8521148" w:tentative="1">
      <w:start w:val="1"/>
      <w:numFmt w:val="bullet"/>
      <w:lvlText w:val=""/>
      <w:lvlJc w:val="left"/>
      <w:pPr>
        <w:ind w:left="2880" w:hanging="360"/>
      </w:pPr>
      <w:rPr>
        <w:rFonts w:ascii="Symbol" w:hAnsi="Symbol" w:hint="default"/>
      </w:rPr>
    </w:lvl>
    <w:lvl w:ilvl="4" w:tplc="33FEE72C" w:tentative="1">
      <w:start w:val="1"/>
      <w:numFmt w:val="bullet"/>
      <w:lvlText w:val="o"/>
      <w:lvlJc w:val="left"/>
      <w:pPr>
        <w:ind w:left="3600" w:hanging="360"/>
      </w:pPr>
      <w:rPr>
        <w:rFonts w:ascii="Courier New" w:hAnsi="Courier New" w:cs="Courier New" w:hint="default"/>
      </w:rPr>
    </w:lvl>
    <w:lvl w:ilvl="5" w:tplc="1706BB68" w:tentative="1">
      <w:start w:val="1"/>
      <w:numFmt w:val="bullet"/>
      <w:lvlText w:val=""/>
      <w:lvlJc w:val="left"/>
      <w:pPr>
        <w:ind w:left="4320" w:hanging="360"/>
      </w:pPr>
      <w:rPr>
        <w:rFonts w:ascii="Wingdings" w:hAnsi="Wingdings" w:hint="default"/>
      </w:rPr>
    </w:lvl>
    <w:lvl w:ilvl="6" w:tplc="2B1C39D6" w:tentative="1">
      <w:start w:val="1"/>
      <w:numFmt w:val="bullet"/>
      <w:lvlText w:val=""/>
      <w:lvlJc w:val="left"/>
      <w:pPr>
        <w:ind w:left="5040" w:hanging="360"/>
      </w:pPr>
      <w:rPr>
        <w:rFonts w:ascii="Symbol" w:hAnsi="Symbol" w:hint="default"/>
      </w:rPr>
    </w:lvl>
    <w:lvl w:ilvl="7" w:tplc="1DA8FE00" w:tentative="1">
      <w:start w:val="1"/>
      <w:numFmt w:val="bullet"/>
      <w:lvlText w:val="o"/>
      <w:lvlJc w:val="left"/>
      <w:pPr>
        <w:ind w:left="5760" w:hanging="360"/>
      </w:pPr>
      <w:rPr>
        <w:rFonts w:ascii="Courier New" w:hAnsi="Courier New" w:cs="Courier New" w:hint="default"/>
      </w:rPr>
    </w:lvl>
    <w:lvl w:ilvl="8" w:tplc="FB1AA31E" w:tentative="1">
      <w:start w:val="1"/>
      <w:numFmt w:val="bullet"/>
      <w:lvlText w:val=""/>
      <w:lvlJc w:val="left"/>
      <w:pPr>
        <w:ind w:left="6480" w:hanging="360"/>
      </w:pPr>
      <w:rPr>
        <w:rFonts w:ascii="Wingdings" w:hAnsi="Wingdings" w:hint="default"/>
      </w:rPr>
    </w:lvl>
  </w:abstractNum>
  <w:abstractNum w:abstractNumId="429" w15:restartNumberingAfterBreak="0">
    <w:nsid w:val="7BFA6FE9"/>
    <w:multiLevelType w:val="singleLevel"/>
    <w:tmpl w:val="04090001"/>
    <w:lvl w:ilvl="0">
      <w:start w:val="1"/>
      <w:numFmt w:val="bullet"/>
      <w:lvlText w:val=""/>
      <w:lvlJc w:val="left"/>
      <w:pPr>
        <w:tabs>
          <w:tab w:val="num" w:pos="1495"/>
        </w:tabs>
        <w:ind w:left="1495" w:hanging="360"/>
      </w:pPr>
      <w:rPr>
        <w:rFonts w:ascii="Symbol" w:hAnsi="Symbol" w:hint="default"/>
      </w:rPr>
    </w:lvl>
  </w:abstractNum>
  <w:abstractNum w:abstractNumId="430" w15:restartNumberingAfterBreak="0">
    <w:nsid w:val="7C646036"/>
    <w:multiLevelType w:val="hybridMultilevel"/>
    <w:tmpl w:val="A2F64C58"/>
    <w:lvl w:ilvl="0" w:tplc="04020013">
      <w:start w:val="108"/>
      <w:numFmt w:val="bullet"/>
      <w:lvlText w:val="–"/>
      <w:lvlJc w:val="left"/>
      <w:pPr>
        <w:ind w:left="720" w:hanging="360"/>
      </w:pPr>
      <w:rPr>
        <w:rFonts w:ascii="Times New Roman" w:hAnsi="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1" w15:restartNumberingAfterBreak="0">
    <w:nsid w:val="7C8C6D46"/>
    <w:multiLevelType w:val="hybridMultilevel"/>
    <w:tmpl w:val="FFC83708"/>
    <w:lvl w:ilvl="0" w:tplc="AD04FFC8">
      <w:start w:val="1"/>
      <w:numFmt w:val="decimal"/>
      <w:lvlText w:val="%1."/>
      <w:lvlJc w:val="left"/>
      <w:pPr>
        <w:ind w:left="1352" w:hanging="360"/>
      </w:pPr>
      <w:rPr>
        <w:rFonts w:hint="default"/>
        <w:b/>
      </w:rPr>
    </w:lvl>
    <w:lvl w:ilvl="1" w:tplc="378C4F46" w:tentative="1">
      <w:start w:val="1"/>
      <w:numFmt w:val="lowerLetter"/>
      <w:lvlText w:val="%2."/>
      <w:lvlJc w:val="left"/>
      <w:pPr>
        <w:ind w:left="1800" w:hanging="360"/>
      </w:pPr>
    </w:lvl>
    <w:lvl w:ilvl="2" w:tplc="A5E013B2" w:tentative="1">
      <w:start w:val="1"/>
      <w:numFmt w:val="lowerRoman"/>
      <w:lvlText w:val="%3."/>
      <w:lvlJc w:val="right"/>
      <w:pPr>
        <w:ind w:left="2520" w:hanging="180"/>
      </w:pPr>
    </w:lvl>
    <w:lvl w:ilvl="3" w:tplc="E1FC3122" w:tentative="1">
      <w:start w:val="1"/>
      <w:numFmt w:val="decimal"/>
      <w:lvlText w:val="%4."/>
      <w:lvlJc w:val="left"/>
      <w:pPr>
        <w:ind w:left="3240" w:hanging="360"/>
      </w:pPr>
    </w:lvl>
    <w:lvl w:ilvl="4" w:tplc="73723746" w:tentative="1">
      <w:start w:val="1"/>
      <w:numFmt w:val="lowerLetter"/>
      <w:lvlText w:val="%5."/>
      <w:lvlJc w:val="left"/>
      <w:pPr>
        <w:ind w:left="3960" w:hanging="360"/>
      </w:pPr>
    </w:lvl>
    <w:lvl w:ilvl="5" w:tplc="CD443ED0" w:tentative="1">
      <w:start w:val="1"/>
      <w:numFmt w:val="lowerRoman"/>
      <w:lvlText w:val="%6."/>
      <w:lvlJc w:val="right"/>
      <w:pPr>
        <w:ind w:left="4680" w:hanging="180"/>
      </w:pPr>
    </w:lvl>
    <w:lvl w:ilvl="6" w:tplc="1A4C3396" w:tentative="1">
      <w:start w:val="1"/>
      <w:numFmt w:val="decimal"/>
      <w:lvlText w:val="%7."/>
      <w:lvlJc w:val="left"/>
      <w:pPr>
        <w:ind w:left="5400" w:hanging="360"/>
      </w:pPr>
    </w:lvl>
    <w:lvl w:ilvl="7" w:tplc="6108E556" w:tentative="1">
      <w:start w:val="1"/>
      <w:numFmt w:val="lowerLetter"/>
      <w:lvlText w:val="%8."/>
      <w:lvlJc w:val="left"/>
      <w:pPr>
        <w:ind w:left="6120" w:hanging="360"/>
      </w:pPr>
    </w:lvl>
    <w:lvl w:ilvl="8" w:tplc="AAEEE760" w:tentative="1">
      <w:start w:val="1"/>
      <w:numFmt w:val="lowerRoman"/>
      <w:lvlText w:val="%9."/>
      <w:lvlJc w:val="right"/>
      <w:pPr>
        <w:ind w:left="6840" w:hanging="180"/>
      </w:pPr>
    </w:lvl>
  </w:abstractNum>
  <w:abstractNum w:abstractNumId="432" w15:restartNumberingAfterBreak="0">
    <w:nsid w:val="7CAB78D6"/>
    <w:multiLevelType w:val="hybridMultilevel"/>
    <w:tmpl w:val="E1480D8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33" w15:restartNumberingAfterBreak="0">
    <w:nsid w:val="7CCC6371"/>
    <w:multiLevelType w:val="hybridMultilevel"/>
    <w:tmpl w:val="48EC19B6"/>
    <w:lvl w:ilvl="0" w:tplc="9D321F00">
      <w:start w:val="1"/>
      <w:numFmt w:val="bullet"/>
      <w:lvlText w:val=""/>
      <w:lvlJc w:val="left"/>
      <w:pPr>
        <w:tabs>
          <w:tab w:val="num" w:pos="805"/>
        </w:tabs>
        <w:ind w:left="805" w:hanging="360"/>
      </w:pPr>
      <w:rPr>
        <w:rFonts w:ascii="Symbol" w:hAnsi="Symbol" w:hint="default"/>
      </w:rPr>
    </w:lvl>
    <w:lvl w:ilvl="1" w:tplc="C3CAC41E" w:tentative="1">
      <w:start w:val="1"/>
      <w:numFmt w:val="bullet"/>
      <w:lvlText w:val="o"/>
      <w:lvlJc w:val="left"/>
      <w:pPr>
        <w:tabs>
          <w:tab w:val="num" w:pos="1525"/>
        </w:tabs>
        <w:ind w:left="1525" w:hanging="360"/>
      </w:pPr>
      <w:rPr>
        <w:rFonts w:ascii="Courier New" w:hAnsi="Courier New" w:hint="default"/>
      </w:rPr>
    </w:lvl>
    <w:lvl w:ilvl="2" w:tplc="2F4CF404" w:tentative="1">
      <w:start w:val="1"/>
      <w:numFmt w:val="bullet"/>
      <w:lvlText w:val=""/>
      <w:lvlJc w:val="left"/>
      <w:pPr>
        <w:tabs>
          <w:tab w:val="num" w:pos="2245"/>
        </w:tabs>
        <w:ind w:left="2245" w:hanging="360"/>
      </w:pPr>
      <w:rPr>
        <w:rFonts w:ascii="Wingdings" w:hAnsi="Wingdings" w:hint="default"/>
      </w:rPr>
    </w:lvl>
    <w:lvl w:ilvl="3" w:tplc="F06E7364" w:tentative="1">
      <w:start w:val="1"/>
      <w:numFmt w:val="bullet"/>
      <w:lvlText w:val=""/>
      <w:lvlJc w:val="left"/>
      <w:pPr>
        <w:tabs>
          <w:tab w:val="num" w:pos="2965"/>
        </w:tabs>
        <w:ind w:left="2965" w:hanging="360"/>
      </w:pPr>
      <w:rPr>
        <w:rFonts w:ascii="Symbol" w:hAnsi="Symbol" w:hint="default"/>
      </w:rPr>
    </w:lvl>
    <w:lvl w:ilvl="4" w:tplc="3F32EA06" w:tentative="1">
      <w:start w:val="1"/>
      <w:numFmt w:val="bullet"/>
      <w:lvlText w:val="o"/>
      <w:lvlJc w:val="left"/>
      <w:pPr>
        <w:tabs>
          <w:tab w:val="num" w:pos="3685"/>
        </w:tabs>
        <w:ind w:left="3685" w:hanging="360"/>
      </w:pPr>
      <w:rPr>
        <w:rFonts w:ascii="Courier New" w:hAnsi="Courier New" w:hint="default"/>
      </w:rPr>
    </w:lvl>
    <w:lvl w:ilvl="5" w:tplc="73A8919C" w:tentative="1">
      <w:start w:val="1"/>
      <w:numFmt w:val="bullet"/>
      <w:lvlText w:val=""/>
      <w:lvlJc w:val="left"/>
      <w:pPr>
        <w:tabs>
          <w:tab w:val="num" w:pos="4405"/>
        </w:tabs>
        <w:ind w:left="4405" w:hanging="360"/>
      </w:pPr>
      <w:rPr>
        <w:rFonts w:ascii="Wingdings" w:hAnsi="Wingdings" w:hint="default"/>
      </w:rPr>
    </w:lvl>
    <w:lvl w:ilvl="6" w:tplc="85A2204A" w:tentative="1">
      <w:start w:val="1"/>
      <w:numFmt w:val="bullet"/>
      <w:lvlText w:val=""/>
      <w:lvlJc w:val="left"/>
      <w:pPr>
        <w:tabs>
          <w:tab w:val="num" w:pos="5125"/>
        </w:tabs>
        <w:ind w:left="5125" w:hanging="360"/>
      </w:pPr>
      <w:rPr>
        <w:rFonts w:ascii="Symbol" w:hAnsi="Symbol" w:hint="default"/>
      </w:rPr>
    </w:lvl>
    <w:lvl w:ilvl="7" w:tplc="39528BA6" w:tentative="1">
      <w:start w:val="1"/>
      <w:numFmt w:val="bullet"/>
      <w:lvlText w:val="o"/>
      <w:lvlJc w:val="left"/>
      <w:pPr>
        <w:tabs>
          <w:tab w:val="num" w:pos="5845"/>
        </w:tabs>
        <w:ind w:left="5845" w:hanging="360"/>
      </w:pPr>
      <w:rPr>
        <w:rFonts w:ascii="Courier New" w:hAnsi="Courier New" w:hint="default"/>
      </w:rPr>
    </w:lvl>
    <w:lvl w:ilvl="8" w:tplc="E8B4026C" w:tentative="1">
      <w:start w:val="1"/>
      <w:numFmt w:val="bullet"/>
      <w:lvlText w:val=""/>
      <w:lvlJc w:val="left"/>
      <w:pPr>
        <w:tabs>
          <w:tab w:val="num" w:pos="6565"/>
        </w:tabs>
        <w:ind w:left="6565" w:hanging="360"/>
      </w:pPr>
      <w:rPr>
        <w:rFonts w:ascii="Wingdings" w:hAnsi="Wingdings" w:hint="default"/>
      </w:rPr>
    </w:lvl>
  </w:abstractNum>
  <w:abstractNum w:abstractNumId="434" w15:restartNumberingAfterBreak="0">
    <w:nsid w:val="7D050648"/>
    <w:multiLevelType w:val="hybridMultilevel"/>
    <w:tmpl w:val="3BD26ACE"/>
    <w:lvl w:ilvl="0" w:tplc="04020001">
      <w:start w:val="1"/>
      <w:numFmt w:val="bullet"/>
      <w:lvlText w:val=""/>
      <w:lvlJc w:val="left"/>
      <w:pPr>
        <w:ind w:left="1429" w:hanging="360"/>
      </w:pPr>
      <w:rPr>
        <w:rFonts w:ascii="Symbol" w:hAnsi="Symbol" w:hint="default"/>
      </w:rPr>
    </w:lvl>
    <w:lvl w:ilvl="1" w:tplc="04020001">
      <w:start w:val="1"/>
      <w:numFmt w:val="bullet"/>
      <w:lvlText w:val=""/>
      <w:lvlJc w:val="left"/>
      <w:pPr>
        <w:ind w:left="2149" w:hanging="360"/>
      </w:pPr>
      <w:rPr>
        <w:rFonts w:ascii="Symbol" w:hAnsi="Symbol"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35" w15:restartNumberingAfterBreak="0">
    <w:nsid w:val="7D3937BB"/>
    <w:multiLevelType w:val="multilevel"/>
    <w:tmpl w:val="7D3937BB"/>
    <w:lvl w:ilvl="0">
      <w:start w:val="1"/>
      <w:numFmt w:val="decimal"/>
      <w:lvlText w:val="%1."/>
      <w:lvlJc w:val="left"/>
      <w:pPr>
        <w:ind w:left="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436" w15:restartNumberingAfterBreak="0">
    <w:nsid w:val="7DB4308C"/>
    <w:multiLevelType w:val="multilevel"/>
    <w:tmpl w:val="7DB4308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7" w15:restartNumberingAfterBreak="0">
    <w:nsid w:val="7E84745F"/>
    <w:multiLevelType w:val="hybridMultilevel"/>
    <w:tmpl w:val="650ABBFC"/>
    <w:lvl w:ilvl="0" w:tplc="881AC1C8">
      <w:start w:val="1"/>
      <w:numFmt w:val="bullet"/>
      <w:lvlText w:val=""/>
      <w:lvlJc w:val="left"/>
      <w:pPr>
        <w:tabs>
          <w:tab w:val="num" w:pos="720"/>
        </w:tabs>
        <w:ind w:left="720" w:hanging="360"/>
      </w:pPr>
      <w:rPr>
        <w:rFonts w:ascii="Symbol" w:hAnsi="Symbol" w:hint="default"/>
      </w:rPr>
    </w:lvl>
    <w:lvl w:ilvl="1" w:tplc="9508EE90">
      <w:start w:val="1"/>
      <w:numFmt w:val="bullet"/>
      <w:lvlText w:val=""/>
      <w:lvlJc w:val="left"/>
      <w:pPr>
        <w:tabs>
          <w:tab w:val="num" w:pos="1440"/>
        </w:tabs>
        <w:ind w:left="1440" w:hanging="360"/>
      </w:pPr>
      <w:rPr>
        <w:rFonts w:ascii="Symbol" w:hAnsi="Symbol" w:hint="default"/>
      </w:rPr>
    </w:lvl>
    <w:lvl w:ilvl="2" w:tplc="8C6A40BE" w:tentative="1">
      <w:start w:val="1"/>
      <w:numFmt w:val="bullet"/>
      <w:lvlText w:val=""/>
      <w:lvlJc w:val="left"/>
      <w:pPr>
        <w:tabs>
          <w:tab w:val="num" w:pos="2160"/>
        </w:tabs>
        <w:ind w:left="2160" w:hanging="360"/>
      </w:pPr>
      <w:rPr>
        <w:rFonts w:ascii="Wingdings" w:hAnsi="Wingdings" w:hint="default"/>
      </w:rPr>
    </w:lvl>
    <w:lvl w:ilvl="3" w:tplc="358CCE58" w:tentative="1">
      <w:start w:val="1"/>
      <w:numFmt w:val="bullet"/>
      <w:lvlText w:val=""/>
      <w:lvlJc w:val="left"/>
      <w:pPr>
        <w:tabs>
          <w:tab w:val="num" w:pos="2880"/>
        </w:tabs>
        <w:ind w:left="2880" w:hanging="360"/>
      </w:pPr>
      <w:rPr>
        <w:rFonts w:ascii="Symbol" w:hAnsi="Symbol" w:hint="default"/>
      </w:rPr>
    </w:lvl>
    <w:lvl w:ilvl="4" w:tplc="8BB048FC" w:tentative="1">
      <w:start w:val="1"/>
      <w:numFmt w:val="bullet"/>
      <w:lvlText w:val="o"/>
      <w:lvlJc w:val="left"/>
      <w:pPr>
        <w:tabs>
          <w:tab w:val="num" w:pos="3600"/>
        </w:tabs>
        <w:ind w:left="3600" w:hanging="360"/>
      </w:pPr>
      <w:rPr>
        <w:rFonts w:ascii="Courier New" w:hAnsi="Courier New" w:hint="default"/>
      </w:rPr>
    </w:lvl>
    <w:lvl w:ilvl="5" w:tplc="7DC8DC98" w:tentative="1">
      <w:start w:val="1"/>
      <w:numFmt w:val="bullet"/>
      <w:lvlText w:val=""/>
      <w:lvlJc w:val="left"/>
      <w:pPr>
        <w:tabs>
          <w:tab w:val="num" w:pos="4320"/>
        </w:tabs>
        <w:ind w:left="4320" w:hanging="360"/>
      </w:pPr>
      <w:rPr>
        <w:rFonts w:ascii="Wingdings" w:hAnsi="Wingdings" w:hint="default"/>
      </w:rPr>
    </w:lvl>
    <w:lvl w:ilvl="6" w:tplc="5E6EFD28" w:tentative="1">
      <w:start w:val="1"/>
      <w:numFmt w:val="bullet"/>
      <w:lvlText w:val=""/>
      <w:lvlJc w:val="left"/>
      <w:pPr>
        <w:tabs>
          <w:tab w:val="num" w:pos="5040"/>
        </w:tabs>
        <w:ind w:left="5040" w:hanging="360"/>
      </w:pPr>
      <w:rPr>
        <w:rFonts w:ascii="Symbol" w:hAnsi="Symbol" w:hint="default"/>
      </w:rPr>
    </w:lvl>
    <w:lvl w:ilvl="7" w:tplc="B5CCE282" w:tentative="1">
      <w:start w:val="1"/>
      <w:numFmt w:val="bullet"/>
      <w:lvlText w:val="o"/>
      <w:lvlJc w:val="left"/>
      <w:pPr>
        <w:tabs>
          <w:tab w:val="num" w:pos="5760"/>
        </w:tabs>
        <w:ind w:left="5760" w:hanging="360"/>
      </w:pPr>
      <w:rPr>
        <w:rFonts w:ascii="Courier New" w:hAnsi="Courier New" w:hint="default"/>
      </w:rPr>
    </w:lvl>
    <w:lvl w:ilvl="8" w:tplc="197E3E5E" w:tentative="1">
      <w:start w:val="1"/>
      <w:numFmt w:val="bullet"/>
      <w:lvlText w:val=""/>
      <w:lvlJc w:val="left"/>
      <w:pPr>
        <w:tabs>
          <w:tab w:val="num" w:pos="6480"/>
        </w:tabs>
        <w:ind w:left="6480" w:hanging="360"/>
      </w:pPr>
      <w:rPr>
        <w:rFonts w:ascii="Wingdings" w:hAnsi="Wingdings" w:hint="default"/>
      </w:rPr>
    </w:lvl>
  </w:abstractNum>
  <w:abstractNum w:abstractNumId="438" w15:restartNumberingAfterBreak="0">
    <w:nsid w:val="7ECA67A6"/>
    <w:multiLevelType w:val="hybridMultilevel"/>
    <w:tmpl w:val="D5BAE772"/>
    <w:lvl w:ilvl="0" w:tplc="FFFFFFFF">
      <w:start w:val="1"/>
      <w:numFmt w:val="decimal"/>
      <w:lvlText w:val="%1."/>
      <w:lvlJc w:val="left"/>
      <w:pPr>
        <w:tabs>
          <w:tab w:val="num" w:pos="927"/>
        </w:tabs>
        <w:ind w:left="927" w:hanging="360"/>
      </w:pPr>
      <w:rPr>
        <w:rFonts w:hint="default"/>
        <w:b/>
        <w:bCs/>
      </w:rPr>
    </w:lvl>
    <w:lvl w:ilvl="1" w:tplc="FFFFFFFF">
      <w:start w:val="1"/>
      <w:numFmt w:val="bullet"/>
      <w:lvlText w:val=""/>
      <w:lvlJc w:val="left"/>
      <w:pPr>
        <w:tabs>
          <w:tab w:val="num" w:pos="1647"/>
        </w:tabs>
        <w:ind w:left="1647" w:hanging="360"/>
      </w:pPr>
      <w:rPr>
        <w:rFonts w:ascii="Symbol" w:hAnsi="Symbol" w:cs="Symbol" w:hint="default"/>
        <w:b/>
        <w:bCs/>
      </w:rPr>
    </w:lvl>
    <w:lvl w:ilvl="2" w:tplc="04020001">
      <w:start w:val="1"/>
      <w:numFmt w:val="bullet"/>
      <w:lvlText w:val=""/>
      <w:lvlJc w:val="left"/>
      <w:pPr>
        <w:tabs>
          <w:tab w:val="num" w:pos="2547"/>
        </w:tabs>
        <w:ind w:left="2547" w:hanging="360"/>
      </w:pPr>
      <w:rPr>
        <w:rFonts w:ascii="Symbol" w:hAnsi="Symbol" w:cs="Symbol" w:hint="default"/>
        <w:b/>
        <w:bCs/>
      </w:rPr>
    </w:lvl>
    <w:lvl w:ilvl="3" w:tplc="FFFFFFFF">
      <w:start w:val="1"/>
      <w:numFmt w:val="decimal"/>
      <w:lvlText w:val="%4."/>
      <w:lvlJc w:val="left"/>
      <w:pPr>
        <w:tabs>
          <w:tab w:val="num" w:pos="3087"/>
        </w:tabs>
        <w:ind w:left="3087" w:hanging="360"/>
      </w:pPr>
    </w:lvl>
    <w:lvl w:ilvl="4" w:tplc="FFFFFFFF">
      <w:start w:val="1"/>
      <w:numFmt w:val="lowerLetter"/>
      <w:lvlText w:val="%5."/>
      <w:lvlJc w:val="left"/>
      <w:pPr>
        <w:tabs>
          <w:tab w:val="num" w:pos="3807"/>
        </w:tabs>
        <w:ind w:left="3807" w:hanging="360"/>
      </w:pPr>
    </w:lvl>
    <w:lvl w:ilvl="5" w:tplc="FFFFFFFF">
      <w:start w:val="1"/>
      <w:numFmt w:val="lowerRoman"/>
      <w:lvlText w:val="%6."/>
      <w:lvlJc w:val="right"/>
      <w:pPr>
        <w:tabs>
          <w:tab w:val="num" w:pos="4527"/>
        </w:tabs>
        <w:ind w:left="4527" w:hanging="180"/>
      </w:pPr>
    </w:lvl>
    <w:lvl w:ilvl="6" w:tplc="FFFFFFFF">
      <w:start w:val="1"/>
      <w:numFmt w:val="decimal"/>
      <w:lvlText w:val="%7."/>
      <w:lvlJc w:val="left"/>
      <w:pPr>
        <w:tabs>
          <w:tab w:val="num" w:pos="5247"/>
        </w:tabs>
        <w:ind w:left="5247" w:hanging="360"/>
      </w:pPr>
    </w:lvl>
    <w:lvl w:ilvl="7" w:tplc="FFFFFFFF">
      <w:start w:val="1"/>
      <w:numFmt w:val="lowerLetter"/>
      <w:lvlText w:val="%8."/>
      <w:lvlJc w:val="left"/>
      <w:pPr>
        <w:tabs>
          <w:tab w:val="num" w:pos="5967"/>
        </w:tabs>
        <w:ind w:left="5967" w:hanging="360"/>
      </w:pPr>
    </w:lvl>
    <w:lvl w:ilvl="8" w:tplc="FFFFFFFF">
      <w:start w:val="1"/>
      <w:numFmt w:val="lowerRoman"/>
      <w:lvlText w:val="%9."/>
      <w:lvlJc w:val="right"/>
      <w:pPr>
        <w:tabs>
          <w:tab w:val="num" w:pos="6687"/>
        </w:tabs>
        <w:ind w:left="6687" w:hanging="180"/>
      </w:pPr>
    </w:lvl>
  </w:abstractNum>
  <w:abstractNum w:abstractNumId="439" w15:restartNumberingAfterBreak="0">
    <w:nsid w:val="7EF97A2C"/>
    <w:multiLevelType w:val="hybridMultilevel"/>
    <w:tmpl w:val="754676A8"/>
    <w:lvl w:ilvl="0" w:tplc="04020013">
      <w:start w:val="108"/>
      <w:numFmt w:val="bullet"/>
      <w:lvlText w:val="–"/>
      <w:lvlJc w:val="left"/>
      <w:pPr>
        <w:ind w:left="720" w:hanging="360"/>
      </w:pPr>
      <w:rPr>
        <w:rFonts w:ascii="Times New Roman" w:hAnsi="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0" w15:restartNumberingAfterBreak="0">
    <w:nsid w:val="7FAE7B3A"/>
    <w:multiLevelType w:val="hybridMultilevel"/>
    <w:tmpl w:val="5CB61D2E"/>
    <w:lvl w:ilvl="0" w:tplc="FFFFFFFF">
      <w:start w:val="1"/>
      <w:numFmt w:val="bullet"/>
      <w:lvlText w:val=""/>
      <w:lvlJc w:val="left"/>
      <w:pPr>
        <w:ind w:left="436" w:hanging="360"/>
      </w:pPr>
      <w:rPr>
        <w:rFonts w:ascii="Symbol" w:hAnsi="Symbol" w:hint="default"/>
      </w:rPr>
    </w:lvl>
    <w:lvl w:ilvl="1" w:tplc="04020003" w:tentative="1">
      <w:start w:val="1"/>
      <w:numFmt w:val="bullet"/>
      <w:lvlText w:val="o"/>
      <w:lvlJc w:val="left"/>
      <w:pPr>
        <w:ind w:left="1156" w:hanging="360"/>
      </w:pPr>
      <w:rPr>
        <w:rFonts w:ascii="Courier New" w:hAnsi="Courier New" w:cs="Courier New" w:hint="default"/>
      </w:rPr>
    </w:lvl>
    <w:lvl w:ilvl="2" w:tplc="04020005" w:tentative="1">
      <w:start w:val="1"/>
      <w:numFmt w:val="bullet"/>
      <w:lvlText w:val=""/>
      <w:lvlJc w:val="left"/>
      <w:pPr>
        <w:ind w:left="1876" w:hanging="360"/>
      </w:pPr>
      <w:rPr>
        <w:rFonts w:ascii="Wingdings" w:hAnsi="Wingdings" w:hint="default"/>
      </w:rPr>
    </w:lvl>
    <w:lvl w:ilvl="3" w:tplc="04020001" w:tentative="1">
      <w:start w:val="1"/>
      <w:numFmt w:val="bullet"/>
      <w:lvlText w:val=""/>
      <w:lvlJc w:val="left"/>
      <w:pPr>
        <w:ind w:left="2596" w:hanging="360"/>
      </w:pPr>
      <w:rPr>
        <w:rFonts w:ascii="Symbol" w:hAnsi="Symbol" w:hint="default"/>
      </w:rPr>
    </w:lvl>
    <w:lvl w:ilvl="4" w:tplc="04020003" w:tentative="1">
      <w:start w:val="1"/>
      <w:numFmt w:val="bullet"/>
      <w:lvlText w:val="o"/>
      <w:lvlJc w:val="left"/>
      <w:pPr>
        <w:ind w:left="3316" w:hanging="360"/>
      </w:pPr>
      <w:rPr>
        <w:rFonts w:ascii="Courier New" w:hAnsi="Courier New" w:cs="Courier New" w:hint="default"/>
      </w:rPr>
    </w:lvl>
    <w:lvl w:ilvl="5" w:tplc="04020005" w:tentative="1">
      <w:start w:val="1"/>
      <w:numFmt w:val="bullet"/>
      <w:lvlText w:val=""/>
      <w:lvlJc w:val="left"/>
      <w:pPr>
        <w:ind w:left="4036" w:hanging="360"/>
      </w:pPr>
      <w:rPr>
        <w:rFonts w:ascii="Wingdings" w:hAnsi="Wingdings" w:hint="default"/>
      </w:rPr>
    </w:lvl>
    <w:lvl w:ilvl="6" w:tplc="04020001" w:tentative="1">
      <w:start w:val="1"/>
      <w:numFmt w:val="bullet"/>
      <w:lvlText w:val=""/>
      <w:lvlJc w:val="left"/>
      <w:pPr>
        <w:ind w:left="4756" w:hanging="360"/>
      </w:pPr>
      <w:rPr>
        <w:rFonts w:ascii="Symbol" w:hAnsi="Symbol" w:hint="default"/>
      </w:rPr>
    </w:lvl>
    <w:lvl w:ilvl="7" w:tplc="04020003" w:tentative="1">
      <w:start w:val="1"/>
      <w:numFmt w:val="bullet"/>
      <w:lvlText w:val="o"/>
      <w:lvlJc w:val="left"/>
      <w:pPr>
        <w:ind w:left="5476" w:hanging="360"/>
      </w:pPr>
      <w:rPr>
        <w:rFonts w:ascii="Courier New" w:hAnsi="Courier New" w:cs="Courier New" w:hint="default"/>
      </w:rPr>
    </w:lvl>
    <w:lvl w:ilvl="8" w:tplc="04020005" w:tentative="1">
      <w:start w:val="1"/>
      <w:numFmt w:val="bullet"/>
      <w:lvlText w:val=""/>
      <w:lvlJc w:val="left"/>
      <w:pPr>
        <w:ind w:left="6196" w:hanging="360"/>
      </w:pPr>
      <w:rPr>
        <w:rFonts w:ascii="Wingdings" w:hAnsi="Wingdings" w:hint="default"/>
      </w:rPr>
    </w:lvl>
  </w:abstractNum>
  <w:abstractNum w:abstractNumId="441" w15:restartNumberingAfterBreak="0">
    <w:nsid w:val="7FD557CF"/>
    <w:multiLevelType w:val="hybridMultilevel"/>
    <w:tmpl w:val="F4BC8576"/>
    <w:lvl w:ilvl="0" w:tplc="FFFFFFFF">
      <w:start w:val="1"/>
      <w:numFmt w:val="bullet"/>
      <w:lvlText w:val="o"/>
      <w:lvlJc w:val="left"/>
      <w:pPr>
        <w:ind w:left="2160" w:hanging="360"/>
      </w:pPr>
      <w:rPr>
        <w:rFonts w:ascii="Courier New" w:hAnsi="Courier New" w:hint="default"/>
      </w:rPr>
    </w:lvl>
    <w:lvl w:ilvl="1" w:tplc="FFFFFFFF" w:tentative="1">
      <w:start w:val="1"/>
      <w:numFmt w:val="bullet"/>
      <w:lvlText w:val="o"/>
      <w:lvlJc w:val="left"/>
      <w:pPr>
        <w:ind w:left="2880" w:hanging="360"/>
      </w:pPr>
      <w:rPr>
        <w:rFonts w:ascii="Courier New" w:hAnsi="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hint="default"/>
      </w:rPr>
    </w:lvl>
    <w:lvl w:ilvl="8" w:tplc="FFFFFFFF" w:tentative="1">
      <w:start w:val="1"/>
      <w:numFmt w:val="bullet"/>
      <w:lvlText w:val=""/>
      <w:lvlJc w:val="left"/>
      <w:pPr>
        <w:ind w:left="7920" w:hanging="360"/>
      </w:pPr>
      <w:rPr>
        <w:rFonts w:ascii="Wingdings" w:hAnsi="Wingdings" w:hint="default"/>
      </w:rPr>
    </w:lvl>
  </w:abstractNum>
  <w:num w:numId="1">
    <w:abstractNumId w:val="247"/>
  </w:num>
  <w:num w:numId="2">
    <w:abstractNumId w:val="255"/>
  </w:num>
  <w:num w:numId="3">
    <w:abstractNumId w:val="43"/>
  </w:num>
  <w:num w:numId="4">
    <w:abstractNumId w:val="218"/>
  </w:num>
  <w:num w:numId="5">
    <w:abstractNumId w:val="384"/>
  </w:num>
  <w:num w:numId="6">
    <w:abstractNumId w:val="419"/>
  </w:num>
  <w:num w:numId="7">
    <w:abstractNumId w:val="180"/>
  </w:num>
  <w:num w:numId="8">
    <w:abstractNumId w:val="171"/>
  </w:num>
  <w:num w:numId="9">
    <w:abstractNumId w:val="92"/>
  </w:num>
  <w:num w:numId="10">
    <w:abstractNumId w:val="36"/>
  </w:num>
  <w:num w:numId="11">
    <w:abstractNumId w:val="185"/>
  </w:num>
  <w:num w:numId="12">
    <w:abstractNumId w:val="297"/>
  </w:num>
  <w:num w:numId="13">
    <w:abstractNumId w:val="101"/>
  </w:num>
  <w:num w:numId="14">
    <w:abstractNumId w:val="177"/>
  </w:num>
  <w:num w:numId="15">
    <w:abstractNumId w:val="327"/>
  </w:num>
  <w:num w:numId="16">
    <w:abstractNumId w:val="367"/>
  </w:num>
  <w:num w:numId="17">
    <w:abstractNumId w:val="317"/>
  </w:num>
  <w:num w:numId="18">
    <w:abstractNumId w:val="380"/>
  </w:num>
  <w:num w:numId="19">
    <w:abstractNumId w:val="168"/>
  </w:num>
  <w:num w:numId="20">
    <w:abstractNumId w:val="84"/>
  </w:num>
  <w:num w:numId="21">
    <w:abstractNumId w:val="404"/>
  </w:num>
  <w:num w:numId="22">
    <w:abstractNumId w:val="378"/>
  </w:num>
  <w:num w:numId="23">
    <w:abstractNumId w:val="75"/>
  </w:num>
  <w:num w:numId="24">
    <w:abstractNumId w:val="66"/>
  </w:num>
  <w:num w:numId="25">
    <w:abstractNumId w:val="433"/>
  </w:num>
  <w:num w:numId="26">
    <w:abstractNumId w:val="291"/>
  </w:num>
  <w:num w:numId="27">
    <w:abstractNumId w:val="1"/>
  </w:num>
  <w:num w:numId="28">
    <w:abstractNumId w:val="134"/>
  </w:num>
  <w:num w:numId="29">
    <w:abstractNumId w:val="355"/>
  </w:num>
  <w:num w:numId="30">
    <w:abstractNumId w:val="228"/>
  </w:num>
  <w:num w:numId="31">
    <w:abstractNumId w:val="233"/>
  </w:num>
  <w:num w:numId="32">
    <w:abstractNumId w:val="287"/>
  </w:num>
  <w:num w:numId="33">
    <w:abstractNumId w:val="41"/>
  </w:num>
  <w:num w:numId="34">
    <w:abstractNumId w:val="229"/>
  </w:num>
  <w:num w:numId="35">
    <w:abstractNumId w:val="280"/>
  </w:num>
  <w:num w:numId="36">
    <w:abstractNumId w:val="141"/>
  </w:num>
  <w:num w:numId="37">
    <w:abstractNumId w:val="328"/>
  </w:num>
  <w:num w:numId="38">
    <w:abstractNumId w:val="337"/>
  </w:num>
  <w:num w:numId="39">
    <w:abstractNumId w:val="387"/>
  </w:num>
  <w:num w:numId="40">
    <w:abstractNumId w:val="37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2"/>
  </w:num>
  <w:num w:numId="42">
    <w:abstractNumId w:val="131"/>
  </w:num>
  <w:num w:numId="43">
    <w:abstractNumId w:val="214"/>
  </w:num>
  <w:num w:numId="44">
    <w:abstractNumId w:val="4"/>
  </w:num>
  <w:num w:numId="45">
    <w:abstractNumId w:val="7"/>
  </w:num>
  <w:num w:numId="46">
    <w:abstractNumId w:val="5"/>
  </w:num>
  <w:num w:numId="47">
    <w:abstractNumId w:val="274"/>
  </w:num>
  <w:num w:numId="48">
    <w:abstractNumId w:val="126"/>
  </w:num>
  <w:num w:numId="49">
    <w:abstractNumId w:val="373"/>
  </w:num>
  <w:num w:numId="50">
    <w:abstractNumId w:val="356"/>
  </w:num>
  <w:num w:numId="51">
    <w:abstractNumId w:val="402"/>
  </w:num>
  <w:num w:numId="52">
    <w:abstractNumId w:val="140"/>
  </w:num>
  <w:num w:numId="53">
    <w:abstractNumId w:val="65"/>
  </w:num>
  <w:num w:numId="54">
    <w:abstractNumId w:val="95"/>
  </w:num>
  <w:num w:numId="55">
    <w:abstractNumId w:val="121"/>
  </w:num>
  <w:num w:numId="56">
    <w:abstractNumId w:val="306"/>
  </w:num>
  <w:num w:numId="57">
    <w:abstractNumId w:val="252"/>
  </w:num>
  <w:num w:numId="58">
    <w:abstractNumId w:val="429"/>
  </w:num>
  <w:num w:numId="59">
    <w:abstractNumId w:val="210"/>
  </w:num>
  <w:num w:numId="60">
    <w:abstractNumId w:val="132"/>
  </w:num>
  <w:num w:numId="61">
    <w:abstractNumId w:val="161"/>
  </w:num>
  <w:num w:numId="62">
    <w:abstractNumId w:val="163"/>
  </w:num>
  <w:num w:numId="63">
    <w:abstractNumId w:val="207"/>
  </w:num>
  <w:num w:numId="64">
    <w:abstractNumId w:val="203"/>
  </w:num>
  <w:num w:numId="65">
    <w:abstractNumId w:val="259"/>
  </w:num>
  <w:num w:numId="66">
    <w:abstractNumId w:val="377"/>
  </w:num>
  <w:num w:numId="67">
    <w:abstractNumId w:val="96"/>
  </w:num>
  <w:num w:numId="68">
    <w:abstractNumId w:val="40"/>
  </w:num>
  <w:num w:numId="69">
    <w:abstractNumId w:val="240"/>
  </w:num>
  <w:num w:numId="70">
    <w:abstractNumId w:val="391"/>
  </w:num>
  <w:num w:numId="71">
    <w:abstractNumId w:val="282"/>
  </w:num>
  <w:num w:numId="72">
    <w:abstractNumId w:val="194"/>
  </w:num>
  <w:num w:numId="73">
    <w:abstractNumId w:val="79"/>
  </w:num>
  <w:num w:numId="74">
    <w:abstractNumId w:val="234"/>
  </w:num>
  <w:num w:numId="75">
    <w:abstractNumId w:val="310"/>
  </w:num>
  <w:num w:numId="76">
    <w:abstractNumId w:val="353"/>
  </w:num>
  <w:num w:numId="77">
    <w:abstractNumId w:val="275"/>
  </w:num>
  <w:num w:numId="78">
    <w:abstractNumId w:val="251"/>
  </w:num>
  <w:num w:numId="79">
    <w:abstractNumId w:val="63"/>
  </w:num>
  <w:num w:numId="80">
    <w:abstractNumId w:val="437"/>
  </w:num>
  <w:num w:numId="81">
    <w:abstractNumId w:val="237"/>
  </w:num>
  <w:num w:numId="82">
    <w:abstractNumId w:val="48"/>
  </w:num>
  <w:num w:numId="83">
    <w:abstractNumId w:val="388"/>
  </w:num>
  <w:num w:numId="84">
    <w:abstractNumId w:val="178"/>
  </w:num>
  <w:num w:numId="85">
    <w:abstractNumId w:val="276"/>
  </w:num>
  <w:num w:numId="86">
    <w:abstractNumId w:val="260"/>
  </w:num>
  <w:num w:numId="87">
    <w:abstractNumId w:val="349"/>
  </w:num>
  <w:num w:numId="88">
    <w:abstractNumId w:val="206"/>
  </w:num>
  <w:num w:numId="89">
    <w:abstractNumId w:val="52"/>
  </w:num>
  <w:num w:numId="90">
    <w:abstractNumId w:val="352"/>
  </w:num>
  <w:num w:numId="91">
    <w:abstractNumId w:val="166"/>
  </w:num>
  <w:num w:numId="92">
    <w:abstractNumId w:val="198"/>
  </w:num>
  <w:num w:numId="93">
    <w:abstractNumId w:val="44"/>
  </w:num>
  <w:num w:numId="94">
    <w:abstractNumId w:val="249"/>
  </w:num>
  <w:num w:numId="95">
    <w:abstractNumId w:val="105"/>
  </w:num>
  <w:num w:numId="96">
    <w:abstractNumId w:val="245"/>
  </w:num>
  <w:num w:numId="97">
    <w:abstractNumId w:val="170"/>
  </w:num>
  <w:num w:numId="98">
    <w:abstractNumId w:val="394"/>
  </w:num>
  <w:num w:numId="99">
    <w:abstractNumId w:val="67"/>
  </w:num>
  <w:num w:numId="100">
    <w:abstractNumId w:val="147"/>
  </w:num>
  <w:num w:numId="101">
    <w:abstractNumId w:val="83"/>
  </w:num>
  <w:num w:numId="102">
    <w:abstractNumId w:val="441"/>
  </w:num>
  <w:num w:numId="103">
    <w:abstractNumId w:val="400"/>
  </w:num>
  <w:num w:numId="104">
    <w:abstractNumId w:val="158"/>
  </w:num>
  <w:num w:numId="105">
    <w:abstractNumId w:val="98"/>
  </w:num>
  <w:num w:numId="106">
    <w:abstractNumId w:val="94"/>
  </w:num>
  <w:num w:numId="107">
    <w:abstractNumId w:val="346"/>
  </w:num>
  <w:num w:numId="108">
    <w:abstractNumId w:val="183"/>
  </w:num>
  <w:num w:numId="109">
    <w:abstractNumId w:val="308"/>
  </w:num>
  <w:num w:numId="110">
    <w:abstractNumId w:val="330"/>
  </w:num>
  <w:num w:numId="111">
    <w:abstractNumId w:val="313"/>
  </w:num>
  <w:num w:numId="112">
    <w:abstractNumId w:val="389"/>
  </w:num>
  <w:num w:numId="113">
    <w:abstractNumId w:val="2"/>
    <w:lvlOverride w:ilvl="0">
      <w:lvl w:ilvl="0">
        <w:start w:val="65535"/>
        <w:numFmt w:val="bullet"/>
        <w:lvlText w:val="•"/>
        <w:legacy w:legacy="1" w:legacySpace="0" w:legacyIndent="202"/>
        <w:lvlJc w:val="left"/>
        <w:rPr>
          <w:rFonts w:ascii="Arial" w:hAnsi="Arial" w:cs="Arial" w:hint="default"/>
        </w:rPr>
      </w:lvl>
    </w:lvlOverride>
  </w:num>
  <w:num w:numId="114">
    <w:abstractNumId w:val="169"/>
  </w:num>
  <w:num w:numId="115">
    <w:abstractNumId w:val="413"/>
  </w:num>
  <w:num w:numId="116">
    <w:abstractNumId w:val="196"/>
  </w:num>
  <w:num w:numId="117">
    <w:abstractNumId w:val="241"/>
  </w:num>
  <w:num w:numId="118">
    <w:abstractNumId w:val="246"/>
  </w:num>
  <w:num w:numId="119">
    <w:abstractNumId w:val="278"/>
  </w:num>
  <w:num w:numId="120">
    <w:abstractNumId w:val="58"/>
  </w:num>
  <w:num w:numId="121">
    <w:abstractNumId w:val="188"/>
  </w:num>
  <w:num w:numId="122">
    <w:abstractNumId w:val="392"/>
  </w:num>
  <w:num w:numId="123">
    <w:abstractNumId w:val="167"/>
  </w:num>
  <w:num w:numId="124">
    <w:abstractNumId w:val="409"/>
  </w:num>
  <w:num w:numId="125">
    <w:abstractNumId w:val="253"/>
  </w:num>
  <w:num w:numId="126">
    <w:abstractNumId w:val="162"/>
  </w:num>
  <w:num w:numId="127">
    <w:abstractNumId w:val="405"/>
  </w:num>
  <w:num w:numId="128">
    <w:abstractNumId w:val="341"/>
  </w:num>
  <w:num w:numId="129">
    <w:abstractNumId w:val="347"/>
  </w:num>
  <w:num w:numId="130">
    <w:abstractNumId w:val="242"/>
  </w:num>
  <w:num w:numId="131">
    <w:abstractNumId w:val="292"/>
  </w:num>
  <w:num w:numId="132">
    <w:abstractNumId w:val="142"/>
  </w:num>
  <w:num w:numId="133">
    <w:abstractNumId w:val="285"/>
  </w:num>
  <w:num w:numId="134">
    <w:abstractNumId w:val="9"/>
  </w:num>
  <w:num w:numId="135">
    <w:abstractNumId w:val="299"/>
  </w:num>
  <w:num w:numId="136">
    <w:abstractNumId w:val="118"/>
  </w:num>
  <w:num w:numId="137">
    <w:abstractNumId w:val="90"/>
  </w:num>
  <w:num w:numId="138">
    <w:abstractNumId w:val="46"/>
  </w:num>
  <w:num w:numId="139">
    <w:abstractNumId w:val="315"/>
  </w:num>
  <w:num w:numId="140">
    <w:abstractNumId w:val="319"/>
  </w:num>
  <w:num w:numId="141">
    <w:abstractNumId w:val="385"/>
  </w:num>
  <w:num w:numId="142">
    <w:abstractNumId w:val="348"/>
  </w:num>
  <w:num w:numId="143">
    <w:abstractNumId w:val="112"/>
  </w:num>
  <w:num w:numId="144">
    <w:abstractNumId w:val="375"/>
  </w:num>
  <w:num w:numId="145">
    <w:abstractNumId w:val="89"/>
  </w:num>
  <w:num w:numId="146">
    <w:abstractNumId w:val="279"/>
  </w:num>
  <w:num w:numId="147">
    <w:abstractNumId w:val="193"/>
  </w:num>
  <w:num w:numId="148">
    <w:abstractNumId w:val="226"/>
  </w:num>
  <w:num w:numId="149">
    <w:abstractNumId w:val="381"/>
  </w:num>
  <w:num w:numId="150">
    <w:abstractNumId w:val="60"/>
  </w:num>
  <w:num w:numId="151">
    <w:abstractNumId w:val="151"/>
  </w:num>
  <w:num w:numId="152">
    <w:abstractNumId w:val="266"/>
  </w:num>
  <w:num w:numId="153">
    <w:abstractNumId w:val="316"/>
  </w:num>
  <w:num w:numId="154">
    <w:abstractNumId w:val="339"/>
  </w:num>
  <w:num w:numId="155">
    <w:abstractNumId w:val="431"/>
  </w:num>
  <w:num w:numId="156">
    <w:abstractNumId w:val="78"/>
  </w:num>
  <w:num w:numId="157">
    <w:abstractNumId w:val="220"/>
  </w:num>
  <w:num w:numId="158">
    <w:abstractNumId w:val="326"/>
  </w:num>
  <w:num w:numId="159">
    <w:abstractNumId w:val="281"/>
  </w:num>
  <w:num w:numId="160">
    <w:abstractNumId w:val="57"/>
  </w:num>
  <w:num w:numId="161">
    <w:abstractNumId w:val="269"/>
  </w:num>
  <w:num w:numId="162">
    <w:abstractNumId w:val="2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20"/>
  </w:num>
  <w:num w:numId="164">
    <w:abstractNumId w:val="190"/>
  </w:num>
  <w:num w:numId="165">
    <w:abstractNumId w:val="417"/>
  </w:num>
  <w:num w:numId="166">
    <w:abstractNumId w:val="128"/>
  </w:num>
  <w:num w:numId="167">
    <w:abstractNumId w:val="403"/>
  </w:num>
  <w:num w:numId="168">
    <w:abstractNumId w:val="320"/>
  </w:num>
  <w:num w:numId="169">
    <w:abstractNumId w:val="117"/>
  </w:num>
  <w:num w:numId="170">
    <w:abstractNumId w:val="386"/>
  </w:num>
  <w:num w:numId="171">
    <w:abstractNumId w:val="410"/>
  </w:num>
  <w:num w:numId="172">
    <w:abstractNumId w:val="401"/>
  </w:num>
  <w:num w:numId="173">
    <w:abstractNumId w:val="311"/>
  </w:num>
  <w:num w:numId="174">
    <w:abstractNumId w:val="56"/>
  </w:num>
  <w:num w:numId="175">
    <w:abstractNumId w:val="77"/>
  </w:num>
  <w:num w:numId="176">
    <w:abstractNumId w:val="80"/>
  </w:num>
  <w:num w:numId="177">
    <w:abstractNumId w:val="314"/>
  </w:num>
  <w:num w:numId="178">
    <w:abstractNumId w:val="412"/>
  </w:num>
  <w:num w:numId="179">
    <w:abstractNumId w:val="192"/>
  </w:num>
  <w:num w:numId="180">
    <w:abstractNumId w:val="42"/>
  </w:num>
  <w:num w:numId="181">
    <w:abstractNumId w:val="393"/>
  </w:num>
  <w:num w:numId="182">
    <w:abstractNumId w:val="50"/>
  </w:num>
  <w:num w:numId="183">
    <w:abstractNumId w:val="2"/>
    <w:lvlOverride w:ilvl="0">
      <w:lvl w:ilvl="0">
        <w:start w:val="1"/>
        <w:numFmt w:val="bullet"/>
        <w:lvlText w:val=""/>
        <w:lvlJc w:val="left"/>
        <w:pPr>
          <w:ind w:left="720" w:hanging="360"/>
        </w:pPr>
        <w:rPr>
          <w:rFonts w:ascii="Wingdings" w:hAnsi="Wingdings" w:hint="default"/>
          <w:b/>
          <w:i w:val="0"/>
          <w:sz w:val="24"/>
          <w:u w:val="none"/>
        </w:rPr>
      </w:lvl>
    </w:lvlOverride>
  </w:num>
  <w:num w:numId="184">
    <w:abstractNumId w:val="35"/>
  </w:num>
  <w:num w:numId="185">
    <w:abstractNumId w:val="2"/>
    <w:lvlOverride w:ilvl="0">
      <w:lvl w:ilvl="0">
        <w:start w:val="1"/>
        <w:numFmt w:val="bullet"/>
        <w:lvlText w:val=""/>
        <w:legacy w:legacy="1" w:legacySpace="0" w:legacyIndent="283"/>
        <w:lvlJc w:val="left"/>
        <w:pPr>
          <w:ind w:left="2443" w:hanging="283"/>
        </w:pPr>
        <w:rPr>
          <w:rFonts w:ascii="Wingdings" w:hAnsi="Wingdings" w:hint="default"/>
          <w:b/>
          <w:i w:val="0"/>
          <w:sz w:val="24"/>
          <w:u w:val="none"/>
        </w:rPr>
      </w:lvl>
    </w:lvlOverride>
  </w:num>
  <w:num w:numId="186">
    <w:abstractNumId w:val="268"/>
  </w:num>
  <w:num w:numId="187">
    <w:abstractNumId w:val="124"/>
  </w:num>
  <w:num w:numId="188">
    <w:abstractNumId w:val="324"/>
  </w:num>
  <w:num w:numId="189">
    <w:abstractNumId w:val="296"/>
  </w:num>
  <w:num w:numId="190">
    <w:abstractNumId w:val="361"/>
  </w:num>
  <w:num w:numId="191">
    <w:abstractNumId w:val="69"/>
    <w:lvlOverride w:ilvl="0">
      <w:lvl w:ilvl="0">
        <w:start w:val="2"/>
        <w:numFmt w:val="decimal"/>
        <w:lvlText w:val="%1. "/>
        <w:legacy w:legacy="1" w:legacySpace="0" w:legacyIndent="283"/>
        <w:lvlJc w:val="left"/>
        <w:pPr>
          <w:ind w:left="1134" w:hanging="283"/>
        </w:pPr>
        <w:rPr>
          <w:rFonts w:ascii="Arial" w:hAnsi="Arial" w:hint="default"/>
          <w:b/>
          <w:i w:val="0"/>
          <w:sz w:val="24"/>
          <w:u w:val="none"/>
        </w:rPr>
      </w:lvl>
    </w:lvlOverride>
  </w:num>
  <w:num w:numId="192">
    <w:abstractNumId w:val="103"/>
  </w:num>
  <w:num w:numId="193">
    <w:abstractNumId w:val="369"/>
  </w:num>
  <w:num w:numId="194">
    <w:abstractNumId w:val="363"/>
  </w:num>
  <w:num w:numId="195">
    <w:abstractNumId w:val="312"/>
  </w:num>
  <w:num w:numId="196">
    <w:abstractNumId w:val="283"/>
  </w:num>
  <w:num w:numId="197">
    <w:abstractNumId w:val="235"/>
  </w:num>
  <w:num w:numId="198">
    <w:abstractNumId w:val="364"/>
  </w:num>
  <w:num w:numId="199">
    <w:abstractNumId w:val="208"/>
  </w:num>
  <w:num w:numId="200">
    <w:abstractNumId w:val="336"/>
  </w:num>
  <w:num w:numId="201">
    <w:abstractNumId w:val="288"/>
  </w:num>
  <w:num w:numId="202">
    <w:abstractNumId w:val="219"/>
  </w:num>
  <w:num w:numId="203">
    <w:abstractNumId w:val="415"/>
  </w:num>
  <w:num w:numId="204">
    <w:abstractNumId w:val="318"/>
  </w:num>
  <w:num w:numId="205">
    <w:abstractNumId w:val="331"/>
  </w:num>
  <w:num w:numId="206">
    <w:abstractNumId w:val="379"/>
  </w:num>
  <w:num w:numId="207">
    <w:abstractNumId w:val="427"/>
  </w:num>
  <w:num w:numId="208">
    <w:abstractNumId w:val="99"/>
  </w:num>
  <w:num w:numId="209">
    <w:abstractNumId w:val="231"/>
  </w:num>
  <w:num w:numId="210">
    <w:abstractNumId w:val="304"/>
  </w:num>
  <w:num w:numId="211">
    <w:abstractNumId w:val="148"/>
  </w:num>
  <w:num w:numId="212">
    <w:abstractNumId w:val="110"/>
  </w:num>
  <w:num w:numId="213">
    <w:abstractNumId w:val="213"/>
  </w:num>
  <w:num w:numId="214">
    <w:abstractNumId w:val="111"/>
  </w:num>
  <w:num w:numId="215">
    <w:abstractNumId w:val="236"/>
  </w:num>
  <w:num w:numId="216">
    <w:abstractNumId w:val="261"/>
  </w:num>
  <w:num w:numId="217">
    <w:abstractNumId w:val="248"/>
  </w:num>
  <w:num w:numId="218">
    <w:abstractNumId w:val="428"/>
  </w:num>
  <w:num w:numId="219">
    <w:abstractNumId w:val="295"/>
  </w:num>
  <w:num w:numId="220">
    <w:abstractNumId w:val="416"/>
  </w:num>
  <w:num w:numId="221">
    <w:abstractNumId w:val="408"/>
  </w:num>
  <w:num w:numId="222">
    <w:abstractNumId w:val="371"/>
  </w:num>
  <w:num w:numId="223">
    <w:abstractNumId w:val="302"/>
  </w:num>
  <w:num w:numId="224">
    <w:abstractNumId w:val="125"/>
  </w:num>
  <w:num w:numId="225">
    <w:abstractNumId w:val="182"/>
  </w:num>
  <w:num w:numId="226">
    <w:abstractNumId w:val="61"/>
  </w:num>
  <w:num w:numId="227">
    <w:abstractNumId w:val="397"/>
  </w:num>
  <w:num w:numId="228">
    <w:abstractNumId w:val="200"/>
  </w:num>
  <w:num w:numId="229">
    <w:abstractNumId w:val="115"/>
  </w:num>
  <w:num w:numId="230">
    <w:abstractNumId w:val="272"/>
  </w:num>
  <w:num w:numId="231">
    <w:abstractNumId w:val="329"/>
  </w:num>
  <w:num w:numId="232">
    <w:abstractNumId w:val="157"/>
  </w:num>
  <w:num w:numId="233">
    <w:abstractNumId w:val="81"/>
  </w:num>
  <w:num w:numId="234">
    <w:abstractNumId w:val="345"/>
  </w:num>
  <w:num w:numId="235">
    <w:abstractNumId w:val="70"/>
  </w:num>
  <w:num w:numId="236">
    <w:abstractNumId w:val="91"/>
  </w:num>
  <w:num w:numId="237">
    <w:abstractNumId w:val="100"/>
  </w:num>
  <w:num w:numId="238">
    <w:abstractNumId w:val="289"/>
  </w:num>
  <w:num w:numId="239">
    <w:abstractNumId w:val="217"/>
  </w:num>
  <w:num w:numId="240">
    <w:abstractNumId w:val="189"/>
  </w:num>
  <w:num w:numId="241">
    <w:abstractNumId w:val="102"/>
  </w:num>
  <w:num w:numId="242">
    <w:abstractNumId w:val="264"/>
  </w:num>
  <w:num w:numId="243">
    <w:abstractNumId w:val="109"/>
  </w:num>
  <w:num w:numId="244">
    <w:abstractNumId w:val="398"/>
  </w:num>
  <w:num w:numId="245">
    <w:abstractNumId w:val="165"/>
  </w:num>
  <w:num w:numId="246">
    <w:abstractNumId w:val="383"/>
  </w:num>
  <w:num w:numId="247">
    <w:abstractNumId w:val="138"/>
  </w:num>
  <w:num w:numId="248">
    <w:abstractNumId w:val="420"/>
  </w:num>
  <w:num w:numId="249">
    <w:abstractNumId w:val="87"/>
  </w:num>
  <w:num w:numId="250">
    <w:abstractNumId w:val="181"/>
  </w:num>
  <w:num w:numId="251">
    <w:abstractNumId w:val="55"/>
  </w:num>
  <w:num w:numId="252">
    <w:abstractNumId w:val="199"/>
  </w:num>
  <w:num w:numId="253">
    <w:abstractNumId w:val="309"/>
  </w:num>
  <w:num w:numId="254">
    <w:abstractNumId w:val="72"/>
  </w:num>
  <w:num w:numId="255">
    <w:abstractNumId w:val="179"/>
  </w:num>
  <w:num w:numId="256">
    <w:abstractNumId w:val="127"/>
  </w:num>
  <w:num w:numId="257">
    <w:abstractNumId w:val="395"/>
  </w:num>
  <w:num w:numId="258">
    <w:abstractNumId w:val="411"/>
  </w:num>
  <w:num w:numId="259">
    <w:abstractNumId w:val="146"/>
  </w:num>
  <w:num w:numId="260">
    <w:abstractNumId w:val="332"/>
  </w:num>
  <w:num w:numId="261">
    <w:abstractNumId w:val="71"/>
  </w:num>
  <w:num w:numId="262">
    <w:abstractNumId w:val="145"/>
  </w:num>
  <w:num w:numId="263">
    <w:abstractNumId w:val="340"/>
  </w:num>
  <w:num w:numId="264">
    <w:abstractNumId w:val="258"/>
  </w:num>
  <w:num w:numId="265">
    <w:abstractNumId w:val="238"/>
  </w:num>
  <w:num w:numId="266">
    <w:abstractNumId w:val="64"/>
  </w:num>
  <w:num w:numId="267">
    <w:abstractNumId w:val="254"/>
  </w:num>
  <w:num w:numId="268">
    <w:abstractNumId w:val="149"/>
  </w:num>
  <w:num w:numId="269">
    <w:abstractNumId w:val="51"/>
  </w:num>
  <w:num w:numId="270">
    <w:abstractNumId w:val="129"/>
  </w:num>
  <w:num w:numId="271">
    <w:abstractNumId w:val="122"/>
  </w:num>
  <w:num w:numId="272">
    <w:abstractNumId w:val="335"/>
  </w:num>
  <w:num w:numId="273">
    <w:abstractNumId w:val="334"/>
  </w:num>
  <w:num w:numId="274">
    <w:abstractNumId w:val="423"/>
  </w:num>
  <w:num w:numId="275">
    <w:abstractNumId w:val="216"/>
  </w:num>
  <w:num w:numId="276">
    <w:abstractNumId w:val="425"/>
  </w:num>
  <w:num w:numId="277">
    <w:abstractNumId w:val="133"/>
  </w:num>
  <w:num w:numId="278">
    <w:abstractNumId w:val="440"/>
  </w:num>
  <w:num w:numId="279">
    <w:abstractNumId w:val="54"/>
  </w:num>
  <w:num w:numId="280">
    <w:abstractNumId w:val="6"/>
  </w:num>
  <w:num w:numId="281">
    <w:abstractNumId w:val="8"/>
  </w:num>
  <w:num w:numId="282">
    <w:abstractNumId w:val="10"/>
  </w:num>
  <w:num w:numId="283">
    <w:abstractNumId w:val="3"/>
  </w:num>
  <w:num w:numId="284">
    <w:abstractNumId w:val="11"/>
  </w:num>
  <w:num w:numId="285">
    <w:abstractNumId w:val="12"/>
  </w:num>
  <w:num w:numId="286">
    <w:abstractNumId w:val="13"/>
  </w:num>
  <w:num w:numId="287">
    <w:abstractNumId w:val="144"/>
  </w:num>
  <w:num w:numId="288">
    <w:abstractNumId w:val="333"/>
  </w:num>
  <w:num w:numId="289">
    <w:abstractNumId w:val="205"/>
  </w:num>
  <w:num w:numId="290">
    <w:abstractNumId w:val="294"/>
  </w:num>
  <w:num w:numId="291">
    <w:abstractNumId w:val="204"/>
  </w:num>
  <w:num w:numId="292">
    <w:abstractNumId w:val="135"/>
  </w:num>
  <w:num w:numId="293">
    <w:abstractNumId w:val="357"/>
  </w:num>
  <w:num w:numId="294">
    <w:abstractNumId w:val="160"/>
  </w:num>
  <w:num w:numId="295">
    <w:abstractNumId w:val="438"/>
  </w:num>
  <w:num w:numId="296">
    <w:abstractNumId w:val="222"/>
  </w:num>
  <w:num w:numId="297">
    <w:abstractNumId w:val="212"/>
  </w:num>
  <w:num w:numId="298">
    <w:abstractNumId w:val="139"/>
  </w:num>
  <w:num w:numId="299">
    <w:abstractNumId w:val="263"/>
  </w:num>
  <w:num w:numId="300">
    <w:abstractNumId w:val="307"/>
  </w:num>
  <w:num w:numId="301">
    <w:abstractNumId w:val="176"/>
  </w:num>
  <w:num w:numId="302">
    <w:abstractNumId w:val="114"/>
  </w:num>
  <w:num w:numId="303">
    <w:abstractNumId w:val="270"/>
  </w:num>
  <w:num w:numId="304">
    <w:abstractNumId w:val="293"/>
  </w:num>
  <w:num w:numId="305">
    <w:abstractNumId w:val="164"/>
  </w:num>
  <w:num w:numId="306">
    <w:abstractNumId w:val="406"/>
  </w:num>
  <w:num w:numId="307">
    <w:abstractNumId w:val="86"/>
  </w:num>
  <w:num w:numId="308">
    <w:abstractNumId w:val="372"/>
  </w:num>
  <w:num w:numId="309">
    <w:abstractNumId w:val="202"/>
  </w:num>
  <w:num w:numId="310">
    <w:abstractNumId w:val="59"/>
  </w:num>
  <w:num w:numId="311">
    <w:abstractNumId w:val="250"/>
  </w:num>
  <w:num w:numId="312">
    <w:abstractNumId w:val="343"/>
  </w:num>
  <w:num w:numId="313">
    <w:abstractNumId w:val="187"/>
  </w:num>
  <w:num w:numId="314">
    <w:abstractNumId w:val="277"/>
  </w:num>
  <w:num w:numId="315">
    <w:abstractNumId w:val="186"/>
  </w:num>
  <w:num w:numId="316">
    <w:abstractNumId w:val="191"/>
  </w:num>
  <w:num w:numId="317">
    <w:abstractNumId w:val="365"/>
  </w:num>
  <w:num w:numId="318">
    <w:abstractNumId w:val="303"/>
  </w:num>
  <w:num w:numId="319">
    <w:abstractNumId w:val="256"/>
  </w:num>
  <w:num w:numId="320">
    <w:abstractNumId w:val="31"/>
  </w:num>
  <w:num w:numId="321">
    <w:abstractNumId w:val="123"/>
  </w:num>
  <w:num w:numId="322">
    <w:abstractNumId w:val="290"/>
  </w:num>
  <w:num w:numId="323">
    <w:abstractNumId w:val="143"/>
  </w:num>
  <w:num w:numId="324">
    <w:abstractNumId w:val="150"/>
  </w:num>
  <w:num w:numId="325">
    <w:abstractNumId w:val="93"/>
  </w:num>
  <w:num w:numId="326">
    <w:abstractNumId w:val="73"/>
  </w:num>
  <w:num w:numId="327">
    <w:abstractNumId w:val="173"/>
  </w:num>
  <w:num w:numId="328">
    <w:abstractNumId w:val="108"/>
  </w:num>
  <w:num w:numId="329">
    <w:abstractNumId w:val="33"/>
  </w:num>
  <w:num w:numId="330">
    <w:abstractNumId w:val="116"/>
  </w:num>
  <w:num w:numId="331">
    <w:abstractNumId w:val="39"/>
  </w:num>
  <w:num w:numId="332">
    <w:abstractNumId w:val="221"/>
  </w:num>
  <w:num w:numId="333">
    <w:abstractNumId w:val="323"/>
  </w:num>
  <w:num w:numId="334">
    <w:abstractNumId w:val="271"/>
  </w:num>
  <w:num w:numId="335">
    <w:abstractNumId w:val="225"/>
  </w:num>
  <w:num w:numId="336">
    <w:abstractNumId w:val="2"/>
    <w:lvlOverride w:ilvl="0">
      <w:lvl w:ilvl="0">
        <w:start w:val="65535"/>
        <w:numFmt w:val="bullet"/>
        <w:lvlText w:val="•"/>
        <w:lvlJc w:val="left"/>
        <w:pPr>
          <w:ind w:left="720" w:hanging="360"/>
        </w:pPr>
        <w:rPr>
          <w:rFonts w:ascii="Arial" w:hAnsi="Arial" w:cs="Arial" w:hint="default"/>
        </w:rPr>
      </w:lvl>
    </w:lvlOverride>
  </w:num>
  <w:num w:numId="337">
    <w:abstractNumId w:val="342"/>
  </w:num>
  <w:num w:numId="338">
    <w:abstractNumId w:val="243"/>
  </w:num>
  <w:num w:numId="339">
    <w:abstractNumId w:val="130"/>
  </w:num>
  <w:num w:numId="340">
    <w:abstractNumId w:val="211"/>
  </w:num>
  <w:num w:numId="341">
    <w:abstractNumId w:val="284"/>
  </w:num>
  <w:num w:numId="342">
    <w:abstractNumId w:val="88"/>
  </w:num>
  <w:num w:numId="343">
    <w:abstractNumId w:val="359"/>
  </w:num>
  <w:num w:numId="344">
    <w:abstractNumId w:val="3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abstractNumId w:val="155"/>
  </w:num>
  <w:num w:numId="346">
    <w:abstractNumId w:val="184"/>
  </w:num>
  <w:num w:numId="347">
    <w:abstractNumId w:val="30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abstractNumId w:val="32"/>
  </w:num>
  <w:num w:numId="349">
    <w:abstractNumId w:val="338"/>
  </w:num>
  <w:num w:numId="350">
    <w:abstractNumId w:val="267"/>
  </w:num>
  <w:num w:numId="351">
    <w:abstractNumId w:val="156"/>
  </w:num>
  <w:num w:numId="352">
    <w:abstractNumId w:val="38"/>
  </w:num>
  <w:num w:numId="353">
    <w:abstractNumId w:val="344"/>
  </w:num>
  <w:num w:numId="354">
    <w:abstractNumId w:val="97"/>
  </w:num>
  <w:num w:numId="355">
    <w:abstractNumId w:val="244"/>
  </w:num>
  <w:num w:numId="356">
    <w:abstractNumId w:val="174"/>
  </w:num>
  <w:num w:numId="357">
    <w:abstractNumId w:val="434"/>
  </w:num>
  <w:num w:numId="358">
    <w:abstractNumId w:val="62"/>
  </w:num>
  <w:num w:numId="359">
    <w:abstractNumId w:val="422"/>
  </w:num>
  <w:num w:numId="360">
    <w:abstractNumId w:val="382"/>
  </w:num>
  <w:num w:numId="361">
    <w:abstractNumId w:val="322"/>
  </w:num>
  <w:num w:numId="362">
    <w:abstractNumId w:val="230"/>
  </w:num>
  <w:num w:numId="363">
    <w:abstractNumId w:val="368"/>
  </w:num>
  <w:num w:numId="364">
    <w:abstractNumId w:val="159"/>
  </w:num>
  <w:num w:numId="365">
    <w:abstractNumId w:val="119"/>
  </w:num>
  <w:num w:numId="366">
    <w:abstractNumId w:val="154"/>
  </w:num>
  <w:num w:numId="367">
    <w:abstractNumId w:val="374"/>
  </w:num>
  <w:num w:numId="368">
    <w:abstractNumId w:val="239"/>
  </w:num>
  <w:num w:numId="369">
    <w:abstractNumId w:val="201"/>
  </w:num>
  <w:num w:numId="370">
    <w:abstractNumId w:val="175"/>
  </w:num>
  <w:num w:numId="371">
    <w:abstractNumId w:val="436"/>
  </w:num>
  <w:num w:numId="372">
    <w:abstractNumId w:val="262"/>
  </w:num>
  <w:num w:numId="373">
    <w:abstractNumId w:val="137"/>
  </w:num>
  <w:num w:numId="374">
    <w:abstractNumId w:val="82"/>
  </w:num>
  <w:num w:numId="375">
    <w:abstractNumId w:val="418"/>
  </w:num>
  <w:num w:numId="376">
    <w:abstractNumId w:val="197"/>
  </w:num>
  <w:num w:numId="377">
    <w:abstractNumId w:val="407"/>
  </w:num>
  <w:num w:numId="378">
    <w:abstractNumId w:val="325"/>
  </w:num>
  <w:num w:numId="379">
    <w:abstractNumId w:val="227"/>
  </w:num>
  <w:num w:numId="380">
    <w:abstractNumId w:val="399"/>
  </w:num>
  <w:num w:numId="381">
    <w:abstractNumId w:val="232"/>
  </w:num>
  <w:num w:numId="382">
    <w:abstractNumId w:val="321"/>
  </w:num>
  <w:num w:numId="383">
    <w:abstractNumId w:val="426"/>
  </w:num>
  <w:num w:numId="384">
    <w:abstractNumId w:val="360"/>
  </w:num>
  <w:num w:numId="385">
    <w:abstractNumId w:val="104"/>
  </w:num>
  <w:num w:numId="386">
    <w:abstractNumId w:val="85"/>
  </w:num>
  <w:num w:numId="387">
    <w:abstractNumId w:val="305"/>
  </w:num>
  <w:num w:numId="388">
    <w:abstractNumId w:val="195"/>
  </w:num>
  <w:num w:numId="389">
    <w:abstractNumId w:val="430"/>
  </w:num>
  <w:num w:numId="390">
    <w:abstractNumId w:val="49"/>
  </w:num>
  <w:num w:numId="391">
    <w:abstractNumId w:val="273"/>
  </w:num>
  <w:num w:numId="392">
    <w:abstractNumId w:val="215"/>
  </w:num>
  <w:num w:numId="393">
    <w:abstractNumId w:val="439"/>
  </w:num>
  <w:num w:numId="394">
    <w:abstractNumId w:val="152"/>
  </w:num>
  <w:num w:numId="395">
    <w:abstractNumId w:val="350"/>
  </w:num>
  <w:num w:numId="396">
    <w:abstractNumId w:val="74"/>
  </w:num>
  <w:num w:numId="397">
    <w:abstractNumId w:val="68"/>
  </w:num>
  <w:num w:numId="398">
    <w:abstractNumId w:val="45"/>
  </w:num>
  <w:num w:numId="399">
    <w:abstractNumId w:val="424"/>
  </w:num>
  <w:num w:numId="400">
    <w:abstractNumId w:val="209"/>
  </w:num>
  <w:num w:numId="401">
    <w:abstractNumId w:val="47"/>
  </w:num>
  <w:num w:numId="402">
    <w:abstractNumId w:val="351"/>
  </w:num>
  <w:num w:numId="403">
    <w:abstractNumId w:val="53"/>
  </w:num>
  <w:num w:numId="404">
    <w:abstractNumId w:val="286"/>
  </w:num>
  <w:num w:numId="405">
    <w:abstractNumId w:val="153"/>
  </w:num>
  <w:num w:numId="406">
    <w:abstractNumId w:val="34"/>
  </w:num>
  <w:num w:numId="407">
    <w:abstractNumId w:val="301"/>
  </w:num>
  <w:num w:numId="408">
    <w:abstractNumId w:val="421"/>
  </w:num>
  <w:num w:numId="409">
    <w:abstractNumId w:val="396"/>
  </w:num>
  <w:num w:numId="410">
    <w:abstractNumId w:val="390"/>
  </w:num>
  <w:num w:numId="411">
    <w:abstractNumId w:val="106"/>
  </w:num>
  <w:num w:numId="412">
    <w:abstractNumId w:val="435"/>
  </w:num>
  <w:num w:numId="413">
    <w:abstractNumId w:val="366"/>
  </w:num>
  <w:num w:numId="414">
    <w:abstractNumId w:val="37"/>
  </w:num>
  <w:num w:numId="415">
    <w:abstractNumId w:val="358"/>
  </w:num>
  <w:num w:numId="416">
    <w:abstractNumId w:val="298"/>
  </w:num>
  <w:num w:numId="417">
    <w:abstractNumId w:val="136"/>
  </w:num>
  <w:num w:numId="418">
    <w:abstractNumId w:val="432"/>
  </w:num>
  <w:num w:numId="419">
    <w:abstractNumId w:val="76"/>
  </w:num>
  <w:num w:numId="420">
    <w:abstractNumId w:val="107"/>
  </w:num>
  <w:num w:numId="421">
    <w:abstractNumId w:val="223"/>
  </w:num>
  <w:num w:numId="422">
    <w:abstractNumId w:val="224"/>
  </w:num>
  <w:num w:numId="423">
    <w:abstractNumId w:val="362"/>
  </w:num>
  <w:num w:numId="424">
    <w:abstractNumId w:val="113"/>
  </w:num>
  <w:num w:numId="425">
    <w:abstractNumId w:val="376"/>
  </w:num>
  <w:num w:numId="426">
    <w:abstractNumId w:val="0"/>
  </w:num>
  <w:num w:numId="427">
    <w:abstractNumId w:val="2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abstractNumId w:val="414"/>
  </w:num>
  <w:numIdMacAtCleanup w:val="4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defaultTabStop w:val="720"/>
  <w:hyphenationZone w:val="425"/>
  <w:drawingGridHorizontalSpacing w:val="11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776"/>
    <w:rsid w:val="0000021C"/>
    <w:rsid w:val="000007BF"/>
    <w:rsid w:val="00000C31"/>
    <w:rsid w:val="00000C51"/>
    <w:rsid w:val="0000183D"/>
    <w:rsid w:val="000024F7"/>
    <w:rsid w:val="00004BB0"/>
    <w:rsid w:val="00005AEF"/>
    <w:rsid w:val="00010BA5"/>
    <w:rsid w:val="000138BB"/>
    <w:rsid w:val="00013AB3"/>
    <w:rsid w:val="00015FBB"/>
    <w:rsid w:val="00016AB6"/>
    <w:rsid w:val="000179F4"/>
    <w:rsid w:val="00020D8E"/>
    <w:rsid w:val="00020FB3"/>
    <w:rsid w:val="00021335"/>
    <w:rsid w:val="00021C43"/>
    <w:rsid w:val="00021D34"/>
    <w:rsid w:val="00023162"/>
    <w:rsid w:val="00023391"/>
    <w:rsid w:val="0002351C"/>
    <w:rsid w:val="00023AD9"/>
    <w:rsid w:val="00023C78"/>
    <w:rsid w:val="00024217"/>
    <w:rsid w:val="000248C7"/>
    <w:rsid w:val="00024A7C"/>
    <w:rsid w:val="00025ED1"/>
    <w:rsid w:val="00026C52"/>
    <w:rsid w:val="00027560"/>
    <w:rsid w:val="00027A23"/>
    <w:rsid w:val="00030761"/>
    <w:rsid w:val="000317C9"/>
    <w:rsid w:val="000323F7"/>
    <w:rsid w:val="00032738"/>
    <w:rsid w:val="00032DB7"/>
    <w:rsid w:val="000352A2"/>
    <w:rsid w:val="00035AB2"/>
    <w:rsid w:val="000362FE"/>
    <w:rsid w:val="00036AF2"/>
    <w:rsid w:val="00036C59"/>
    <w:rsid w:val="00036F95"/>
    <w:rsid w:val="0004055C"/>
    <w:rsid w:val="000411F8"/>
    <w:rsid w:val="000412E5"/>
    <w:rsid w:val="0004163C"/>
    <w:rsid w:val="00042160"/>
    <w:rsid w:val="00042288"/>
    <w:rsid w:val="00042970"/>
    <w:rsid w:val="000430D9"/>
    <w:rsid w:val="00046F1C"/>
    <w:rsid w:val="00047EDC"/>
    <w:rsid w:val="00050507"/>
    <w:rsid w:val="000506E3"/>
    <w:rsid w:val="00052D51"/>
    <w:rsid w:val="00053C3B"/>
    <w:rsid w:val="000544A7"/>
    <w:rsid w:val="00054592"/>
    <w:rsid w:val="00055275"/>
    <w:rsid w:val="0005594B"/>
    <w:rsid w:val="0005647F"/>
    <w:rsid w:val="00056CA1"/>
    <w:rsid w:val="000571D3"/>
    <w:rsid w:val="00060206"/>
    <w:rsid w:val="000612E7"/>
    <w:rsid w:val="00061926"/>
    <w:rsid w:val="00061DF4"/>
    <w:rsid w:val="00061EC1"/>
    <w:rsid w:val="0006426F"/>
    <w:rsid w:val="000645CF"/>
    <w:rsid w:val="000667CE"/>
    <w:rsid w:val="000675F0"/>
    <w:rsid w:val="00070F74"/>
    <w:rsid w:val="000715C7"/>
    <w:rsid w:val="00071901"/>
    <w:rsid w:val="00073171"/>
    <w:rsid w:val="00073E88"/>
    <w:rsid w:val="000743CF"/>
    <w:rsid w:val="0007532B"/>
    <w:rsid w:val="00076EB3"/>
    <w:rsid w:val="00077AD6"/>
    <w:rsid w:val="00080301"/>
    <w:rsid w:val="00082F34"/>
    <w:rsid w:val="000850C9"/>
    <w:rsid w:val="00086C7F"/>
    <w:rsid w:val="0008707A"/>
    <w:rsid w:val="000871B3"/>
    <w:rsid w:val="0008734A"/>
    <w:rsid w:val="000917CE"/>
    <w:rsid w:val="0009193B"/>
    <w:rsid w:val="000932E8"/>
    <w:rsid w:val="000935F8"/>
    <w:rsid w:val="0009375D"/>
    <w:rsid w:val="00094DEE"/>
    <w:rsid w:val="000969A9"/>
    <w:rsid w:val="00097447"/>
    <w:rsid w:val="00097A25"/>
    <w:rsid w:val="00097B4C"/>
    <w:rsid w:val="000A1661"/>
    <w:rsid w:val="000A18CE"/>
    <w:rsid w:val="000A34D5"/>
    <w:rsid w:val="000A3BF8"/>
    <w:rsid w:val="000A4828"/>
    <w:rsid w:val="000A4854"/>
    <w:rsid w:val="000A551D"/>
    <w:rsid w:val="000A70BC"/>
    <w:rsid w:val="000B1EB2"/>
    <w:rsid w:val="000B278F"/>
    <w:rsid w:val="000B2AE9"/>
    <w:rsid w:val="000B2E39"/>
    <w:rsid w:val="000B2F6E"/>
    <w:rsid w:val="000B5B15"/>
    <w:rsid w:val="000B63F3"/>
    <w:rsid w:val="000B72B6"/>
    <w:rsid w:val="000B7BF3"/>
    <w:rsid w:val="000B7D53"/>
    <w:rsid w:val="000B7D58"/>
    <w:rsid w:val="000C0512"/>
    <w:rsid w:val="000C152F"/>
    <w:rsid w:val="000C1C94"/>
    <w:rsid w:val="000C1CF8"/>
    <w:rsid w:val="000C3EDB"/>
    <w:rsid w:val="000C480C"/>
    <w:rsid w:val="000C4BEC"/>
    <w:rsid w:val="000C4FB5"/>
    <w:rsid w:val="000C50DE"/>
    <w:rsid w:val="000C5EA1"/>
    <w:rsid w:val="000C5F11"/>
    <w:rsid w:val="000C6660"/>
    <w:rsid w:val="000C67C1"/>
    <w:rsid w:val="000C6970"/>
    <w:rsid w:val="000C6C41"/>
    <w:rsid w:val="000C6CBE"/>
    <w:rsid w:val="000C76FE"/>
    <w:rsid w:val="000C7DE2"/>
    <w:rsid w:val="000D017C"/>
    <w:rsid w:val="000D0193"/>
    <w:rsid w:val="000D09AC"/>
    <w:rsid w:val="000D13B2"/>
    <w:rsid w:val="000D16CA"/>
    <w:rsid w:val="000D1F0C"/>
    <w:rsid w:val="000D21E0"/>
    <w:rsid w:val="000D2F40"/>
    <w:rsid w:val="000D33F7"/>
    <w:rsid w:val="000D3E42"/>
    <w:rsid w:val="000D40D5"/>
    <w:rsid w:val="000D4BC6"/>
    <w:rsid w:val="000D4DC1"/>
    <w:rsid w:val="000D5208"/>
    <w:rsid w:val="000D5429"/>
    <w:rsid w:val="000D5521"/>
    <w:rsid w:val="000D65B4"/>
    <w:rsid w:val="000D7DFA"/>
    <w:rsid w:val="000E10B4"/>
    <w:rsid w:val="000E1893"/>
    <w:rsid w:val="000E1D04"/>
    <w:rsid w:val="000E25D3"/>
    <w:rsid w:val="000E26A7"/>
    <w:rsid w:val="000E27C8"/>
    <w:rsid w:val="000E3A7E"/>
    <w:rsid w:val="000E3ECC"/>
    <w:rsid w:val="000E6015"/>
    <w:rsid w:val="000E6B28"/>
    <w:rsid w:val="000E7AD5"/>
    <w:rsid w:val="000F05FB"/>
    <w:rsid w:val="000F23B4"/>
    <w:rsid w:val="000F2602"/>
    <w:rsid w:val="000F28AE"/>
    <w:rsid w:val="000F295A"/>
    <w:rsid w:val="000F2E5A"/>
    <w:rsid w:val="000F4341"/>
    <w:rsid w:val="000F4D6B"/>
    <w:rsid w:val="000F5487"/>
    <w:rsid w:val="000F5C7C"/>
    <w:rsid w:val="000F667C"/>
    <w:rsid w:val="000F79E0"/>
    <w:rsid w:val="00100023"/>
    <w:rsid w:val="00100337"/>
    <w:rsid w:val="00100B2B"/>
    <w:rsid w:val="00100FAC"/>
    <w:rsid w:val="001017F2"/>
    <w:rsid w:val="001022D7"/>
    <w:rsid w:val="00102935"/>
    <w:rsid w:val="00102D1F"/>
    <w:rsid w:val="00103579"/>
    <w:rsid w:val="00105284"/>
    <w:rsid w:val="00105D59"/>
    <w:rsid w:val="00106522"/>
    <w:rsid w:val="00106EED"/>
    <w:rsid w:val="00107C99"/>
    <w:rsid w:val="00110B37"/>
    <w:rsid w:val="0011165E"/>
    <w:rsid w:val="00111957"/>
    <w:rsid w:val="00112DEC"/>
    <w:rsid w:val="00113D70"/>
    <w:rsid w:val="001142B8"/>
    <w:rsid w:val="00114600"/>
    <w:rsid w:val="0011508A"/>
    <w:rsid w:val="00115785"/>
    <w:rsid w:val="0011698A"/>
    <w:rsid w:val="00116E38"/>
    <w:rsid w:val="00120019"/>
    <w:rsid w:val="001200BA"/>
    <w:rsid w:val="001201A8"/>
    <w:rsid w:val="001208F7"/>
    <w:rsid w:val="00120C64"/>
    <w:rsid w:val="0012209D"/>
    <w:rsid w:val="00122BC2"/>
    <w:rsid w:val="001239C1"/>
    <w:rsid w:val="00123BED"/>
    <w:rsid w:val="00124A3E"/>
    <w:rsid w:val="001253C6"/>
    <w:rsid w:val="00125F76"/>
    <w:rsid w:val="001260D6"/>
    <w:rsid w:val="00126188"/>
    <w:rsid w:val="0012652C"/>
    <w:rsid w:val="00126AD3"/>
    <w:rsid w:val="00127FDD"/>
    <w:rsid w:val="00130436"/>
    <w:rsid w:val="0013044E"/>
    <w:rsid w:val="0013081E"/>
    <w:rsid w:val="001311E7"/>
    <w:rsid w:val="00131BEF"/>
    <w:rsid w:val="00132513"/>
    <w:rsid w:val="00132D1B"/>
    <w:rsid w:val="00134241"/>
    <w:rsid w:val="00134ED8"/>
    <w:rsid w:val="001352D5"/>
    <w:rsid w:val="00135503"/>
    <w:rsid w:val="00135554"/>
    <w:rsid w:val="00135A32"/>
    <w:rsid w:val="00135A64"/>
    <w:rsid w:val="00136CBC"/>
    <w:rsid w:val="0013775A"/>
    <w:rsid w:val="001379EC"/>
    <w:rsid w:val="00137CE2"/>
    <w:rsid w:val="00141C1E"/>
    <w:rsid w:val="00143648"/>
    <w:rsid w:val="00143752"/>
    <w:rsid w:val="00143776"/>
    <w:rsid w:val="001443F4"/>
    <w:rsid w:val="00144A4F"/>
    <w:rsid w:val="0014503A"/>
    <w:rsid w:val="00146CD4"/>
    <w:rsid w:val="00146CFF"/>
    <w:rsid w:val="00146F11"/>
    <w:rsid w:val="00152000"/>
    <w:rsid w:val="0015243B"/>
    <w:rsid w:val="00152C30"/>
    <w:rsid w:val="001541ED"/>
    <w:rsid w:val="001541F1"/>
    <w:rsid w:val="0015443B"/>
    <w:rsid w:val="001548EF"/>
    <w:rsid w:val="00154DBD"/>
    <w:rsid w:val="00155363"/>
    <w:rsid w:val="00155B4C"/>
    <w:rsid w:val="00155ED3"/>
    <w:rsid w:val="00156C4E"/>
    <w:rsid w:val="00157190"/>
    <w:rsid w:val="001573B6"/>
    <w:rsid w:val="0015757E"/>
    <w:rsid w:val="00157C1A"/>
    <w:rsid w:val="001601EF"/>
    <w:rsid w:val="00160AEC"/>
    <w:rsid w:val="00160C54"/>
    <w:rsid w:val="00160D33"/>
    <w:rsid w:val="00161F37"/>
    <w:rsid w:val="0016298B"/>
    <w:rsid w:val="00163AD3"/>
    <w:rsid w:val="00164E43"/>
    <w:rsid w:val="001650EB"/>
    <w:rsid w:val="001651EA"/>
    <w:rsid w:val="0016626D"/>
    <w:rsid w:val="00166681"/>
    <w:rsid w:val="00166885"/>
    <w:rsid w:val="00166F8E"/>
    <w:rsid w:val="00167266"/>
    <w:rsid w:val="0016749F"/>
    <w:rsid w:val="00170904"/>
    <w:rsid w:val="00170B57"/>
    <w:rsid w:val="001712CE"/>
    <w:rsid w:val="0017412A"/>
    <w:rsid w:val="00177646"/>
    <w:rsid w:val="00177894"/>
    <w:rsid w:val="001807D1"/>
    <w:rsid w:val="00180A0E"/>
    <w:rsid w:val="00180D20"/>
    <w:rsid w:val="001817F4"/>
    <w:rsid w:val="00181863"/>
    <w:rsid w:val="00182A0B"/>
    <w:rsid w:val="00183A14"/>
    <w:rsid w:val="00183E1E"/>
    <w:rsid w:val="0018438E"/>
    <w:rsid w:val="00184896"/>
    <w:rsid w:val="001856AC"/>
    <w:rsid w:val="00185705"/>
    <w:rsid w:val="001878E4"/>
    <w:rsid w:val="00187B8B"/>
    <w:rsid w:val="00190543"/>
    <w:rsid w:val="00193A93"/>
    <w:rsid w:val="00193DB3"/>
    <w:rsid w:val="0019566D"/>
    <w:rsid w:val="00196139"/>
    <w:rsid w:val="001973D4"/>
    <w:rsid w:val="00197647"/>
    <w:rsid w:val="00197EC2"/>
    <w:rsid w:val="001A042E"/>
    <w:rsid w:val="001A0D72"/>
    <w:rsid w:val="001A25CB"/>
    <w:rsid w:val="001A2797"/>
    <w:rsid w:val="001A2A37"/>
    <w:rsid w:val="001A2BC3"/>
    <w:rsid w:val="001A318C"/>
    <w:rsid w:val="001A3B1C"/>
    <w:rsid w:val="001A4267"/>
    <w:rsid w:val="001A4CE8"/>
    <w:rsid w:val="001A64E2"/>
    <w:rsid w:val="001A6E0E"/>
    <w:rsid w:val="001B0416"/>
    <w:rsid w:val="001B1832"/>
    <w:rsid w:val="001B1AC9"/>
    <w:rsid w:val="001B1B87"/>
    <w:rsid w:val="001B1F86"/>
    <w:rsid w:val="001B2141"/>
    <w:rsid w:val="001B21AD"/>
    <w:rsid w:val="001B2B44"/>
    <w:rsid w:val="001B404D"/>
    <w:rsid w:val="001B535D"/>
    <w:rsid w:val="001B57C5"/>
    <w:rsid w:val="001C2568"/>
    <w:rsid w:val="001C2A97"/>
    <w:rsid w:val="001C318C"/>
    <w:rsid w:val="001C3F23"/>
    <w:rsid w:val="001C445C"/>
    <w:rsid w:val="001C57CA"/>
    <w:rsid w:val="001C6289"/>
    <w:rsid w:val="001C67F3"/>
    <w:rsid w:val="001D0299"/>
    <w:rsid w:val="001D1669"/>
    <w:rsid w:val="001D1FE5"/>
    <w:rsid w:val="001D25C6"/>
    <w:rsid w:val="001D266A"/>
    <w:rsid w:val="001D5CFB"/>
    <w:rsid w:val="001D654F"/>
    <w:rsid w:val="001D6BB2"/>
    <w:rsid w:val="001D6BD8"/>
    <w:rsid w:val="001D7E1D"/>
    <w:rsid w:val="001E0329"/>
    <w:rsid w:val="001E07A8"/>
    <w:rsid w:val="001E0DD4"/>
    <w:rsid w:val="001E1635"/>
    <w:rsid w:val="001E36DA"/>
    <w:rsid w:val="001E4128"/>
    <w:rsid w:val="001E53F0"/>
    <w:rsid w:val="001E6135"/>
    <w:rsid w:val="001E6A7F"/>
    <w:rsid w:val="001E781B"/>
    <w:rsid w:val="001E7D70"/>
    <w:rsid w:val="001F09CF"/>
    <w:rsid w:val="001F4038"/>
    <w:rsid w:val="001F4484"/>
    <w:rsid w:val="001F4630"/>
    <w:rsid w:val="001F491D"/>
    <w:rsid w:val="001F4B5B"/>
    <w:rsid w:val="002014B3"/>
    <w:rsid w:val="0020151A"/>
    <w:rsid w:val="0020283F"/>
    <w:rsid w:val="002034DE"/>
    <w:rsid w:val="00203615"/>
    <w:rsid w:val="00204FE4"/>
    <w:rsid w:val="00206130"/>
    <w:rsid w:val="00206FC8"/>
    <w:rsid w:val="00207EAE"/>
    <w:rsid w:val="002100C7"/>
    <w:rsid w:val="0021123B"/>
    <w:rsid w:val="00211C8B"/>
    <w:rsid w:val="002120F8"/>
    <w:rsid w:val="002135E4"/>
    <w:rsid w:val="00213815"/>
    <w:rsid w:val="00213AF9"/>
    <w:rsid w:val="00214913"/>
    <w:rsid w:val="00216CD6"/>
    <w:rsid w:val="00217E00"/>
    <w:rsid w:val="00220331"/>
    <w:rsid w:val="00221438"/>
    <w:rsid w:val="0022323F"/>
    <w:rsid w:val="00223F97"/>
    <w:rsid w:val="00224302"/>
    <w:rsid w:val="002246DA"/>
    <w:rsid w:val="002254D4"/>
    <w:rsid w:val="00226F3A"/>
    <w:rsid w:val="00232CFE"/>
    <w:rsid w:val="002341AA"/>
    <w:rsid w:val="00234C0C"/>
    <w:rsid w:val="00236C37"/>
    <w:rsid w:val="00236E94"/>
    <w:rsid w:val="00237287"/>
    <w:rsid w:val="00240D37"/>
    <w:rsid w:val="002412CF"/>
    <w:rsid w:val="002418AB"/>
    <w:rsid w:val="0024192B"/>
    <w:rsid w:val="00242DB5"/>
    <w:rsid w:val="00243DEA"/>
    <w:rsid w:val="00244E83"/>
    <w:rsid w:val="00247511"/>
    <w:rsid w:val="00247779"/>
    <w:rsid w:val="002477A3"/>
    <w:rsid w:val="00247AB6"/>
    <w:rsid w:val="0025048C"/>
    <w:rsid w:val="002519F1"/>
    <w:rsid w:val="00251C9D"/>
    <w:rsid w:val="0025292E"/>
    <w:rsid w:val="00253497"/>
    <w:rsid w:val="00253B25"/>
    <w:rsid w:val="00254536"/>
    <w:rsid w:val="002554D9"/>
    <w:rsid w:val="00255A90"/>
    <w:rsid w:val="00255BDD"/>
    <w:rsid w:val="00255F95"/>
    <w:rsid w:val="00255FE5"/>
    <w:rsid w:val="00256EB1"/>
    <w:rsid w:val="002600A7"/>
    <w:rsid w:val="002621C0"/>
    <w:rsid w:val="002635AB"/>
    <w:rsid w:val="002635F6"/>
    <w:rsid w:val="00264848"/>
    <w:rsid w:val="00264A0E"/>
    <w:rsid w:val="00264F2A"/>
    <w:rsid w:val="002650B3"/>
    <w:rsid w:val="002651FA"/>
    <w:rsid w:val="00265DC7"/>
    <w:rsid w:val="0026751B"/>
    <w:rsid w:val="00270051"/>
    <w:rsid w:val="00270AAA"/>
    <w:rsid w:val="00272282"/>
    <w:rsid w:val="00272A5F"/>
    <w:rsid w:val="00272CA4"/>
    <w:rsid w:val="00273014"/>
    <w:rsid w:val="002746C3"/>
    <w:rsid w:val="002757C7"/>
    <w:rsid w:val="00276E29"/>
    <w:rsid w:val="00280404"/>
    <w:rsid w:val="0028149F"/>
    <w:rsid w:val="00282762"/>
    <w:rsid w:val="0028315D"/>
    <w:rsid w:val="002847F2"/>
    <w:rsid w:val="002851BF"/>
    <w:rsid w:val="00285400"/>
    <w:rsid w:val="00285944"/>
    <w:rsid w:val="00286DFE"/>
    <w:rsid w:val="00286F61"/>
    <w:rsid w:val="00287A69"/>
    <w:rsid w:val="00291363"/>
    <w:rsid w:val="002926E5"/>
    <w:rsid w:val="00293B24"/>
    <w:rsid w:val="00293C54"/>
    <w:rsid w:val="002941B2"/>
    <w:rsid w:val="00294311"/>
    <w:rsid w:val="0029576C"/>
    <w:rsid w:val="00296642"/>
    <w:rsid w:val="00296882"/>
    <w:rsid w:val="002969AA"/>
    <w:rsid w:val="00296D19"/>
    <w:rsid w:val="002A1FDD"/>
    <w:rsid w:val="002A2C4B"/>
    <w:rsid w:val="002A39B7"/>
    <w:rsid w:val="002A558A"/>
    <w:rsid w:val="002A55ED"/>
    <w:rsid w:val="002A73D8"/>
    <w:rsid w:val="002A7D39"/>
    <w:rsid w:val="002A7FB6"/>
    <w:rsid w:val="002B09E8"/>
    <w:rsid w:val="002B09F5"/>
    <w:rsid w:val="002B13E9"/>
    <w:rsid w:val="002B3306"/>
    <w:rsid w:val="002B3ABC"/>
    <w:rsid w:val="002B4BE2"/>
    <w:rsid w:val="002C09AB"/>
    <w:rsid w:val="002C130C"/>
    <w:rsid w:val="002C2A0E"/>
    <w:rsid w:val="002C3FE3"/>
    <w:rsid w:val="002C42A4"/>
    <w:rsid w:val="002C544F"/>
    <w:rsid w:val="002C54AA"/>
    <w:rsid w:val="002C5508"/>
    <w:rsid w:val="002C55BE"/>
    <w:rsid w:val="002C68D3"/>
    <w:rsid w:val="002C6E20"/>
    <w:rsid w:val="002C744D"/>
    <w:rsid w:val="002C7532"/>
    <w:rsid w:val="002C7BBD"/>
    <w:rsid w:val="002D0550"/>
    <w:rsid w:val="002D0622"/>
    <w:rsid w:val="002D109A"/>
    <w:rsid w:val="002D14B3"/>
    <w:rsid w:val="002D1AD3"/>
    <w:rsid w:val="002D315F"/>
    <w:rsid w:val="002D4568"/>
    <w:rsid w:val="002D517C"/>
    <w:rsid w:val="002D52E5"/>
    <w:rsid w:val="002D5732"/>
    <w:rsid w:val="002D7D16"/>
    <w:rsid w:val="002E003E"/>
    <w:rsid w:val="002E0616"/>
    <w:rsid w:val="002E0CF9"/>
    <w:rsid w:val="002E0DBB"/>
    <w:rsid w:val="002E148D"/>
    <w:rsid w:val="002E1B8B"/>
    <w:rsid w:val="002E2ED1"/>
    <w:rsid w:val="002E31D1"/>
    <w:rsid w:val="002E34C1"/>
    <w:rsid w:val="002E3F6D"/>
    <w:rsid w:val="002E42C7"/>
    <w:rsid w:val="002E457C"/>
    <w:rsid w:val="002E59EA"/>
    <w:rsid w:val="002E6AF0"/>
    <w:rsid w:val="002E7481"/>
    <w:rsid w:val="002E7868"/>
    <w:rsid w:val="002E7D2B"/>
    <w:rsid w:val="002F0990"/>
    <w:rsid w:val="002F1C6A"/>
    <w:rsid w:val="002F256A"/>
    <w:rsid w:val="002F2A35"/>
    <w:rsid w:val="002F3165"/>
    <w:rsid w:val="002F32E0"/>
    <w:rsid w:val="002F3B15"/>
    <w:rsid w:val="002F3C0A"/>
    <w:rsid w:val="002F48D0"/>
    <w:rsid w:val="002F5860"/>
    <w:rsid w:val="002F5FFE"/>
    <w:rsid w:val="002F6471"/>
    <w:rsid w:val="002F6796"/>
    <w:rsid w:val="003010A6"/>
    <w:rsid w:val="00301833"/>
    <w:rsid w:val="00301937"/>
    <w:rsid w:val="00302B64"/>
    <w:rsid w:val="00303791"/>
    <w:rsid w:val="00304C8A"/>
    <w:rsid w:val="00305D06"/>
    <w:rsid w:val="0030621E"/>
    <w:rsid w:val="00306403"/>
    <w:rsid w:val="0030685F"/>
    <w:rsid w:val="0030743D"/>
    <w:rsid w:val="0030745E"/>
    <w:rsid w:val="00307E8E"/>
    <w:rsid w:val="003105AF"/>
    <w:rsid w:val="00310F59"/>
    <w:rsid w:val="003110D4"/>
    <w:rsid w:val="00311DC1"/>
    <w:rsid w:val="003127E9"/>
    <w:rsid w:val="00312C00"/>
    <w:rsid w:val="00315152"/>
    <w:rsid w:val="003165A6"/>
    <w:rsid w:val="0031666E"/>
    <w:rsid w:val="00317181"/>
    <w:rsid w:val="003171C0"/>
    <w:rsid w:val="003208F2"/>
    <w:rsid w:val="00320F3E"/>
    <w:rsid w:val="00320FEC"/>
    <w:rsid w:val="00321DB9"/>
    <w:rsid w:val="003220D0"/>
    <w:rsid w:val="003249C8"/>
    <w:rsid w:val="00324BC7"/>
    <w:rsid w:val="00326753"/>
    <w:rsid w:val="00327190"/>
    <w:rsid w:val="003271DE"/>
    <w:rsid w:val="00327976"/>
    <w:rsid w:val="00331177"/>
    <w:rsid w:val="00331491"/>
    <w:rsid w:val="00332760"/>
    <w:rsid w:val="00332E36"/>
    <w:rsid w:val="00332EC9"/>
    <w:rsid w:val="00333BA8"/>
    <w:rsid w:val="00333CCE"/>
    <w:rsid w:val="00335059"/>
    <w:rsid w:val="00336D7D"/>
    <w:rsid w:val="00336F2A"/>
    <w:rsid w:val="00337E56"/>
    <w:rsid w:val="00337E5C"/>
    <w:rsid w:val="00340630"/>
    <w:rsid w:val="003411F9"/>
    <w:rsid w:val="00342E84"/>
    <w:rsid w:val="00342F95"/>
    <w:rsid w:val="00343011"/>
    <w:rsid w:val="00343942"/>
    <w:rsid w:val="003466AC"/>
    <w:rsid w:val="00347821"/>
    <w:rsid w:val="00350064"/>
    <w:rsid w:val="003502E6"/>
    <w:rsid w:val="0035088A"/>
    <w:rsid w:val="003512B2"/>
    <w:rsid w:val="00351616"/>
    <w:rsid w:val="00351654"/>
    <w:rsid w:val="003522A6"/>
    <w:rsid w:val="003524A5"/>
    <w:rsid w:val="00353052"/>
    <w:rsid w:val="003536BF"/>
    <w:rsid w:val="00353858"/>
    <w:rsid w:val="00353FF1"/>
    <w:rsid w:val="003558E3"/>
    <w:rsid w:val="003561F2"/>
    <w:rsid w:val="003568DC"/>
    <w:rsid w:val="00356B0B"/>
    <w:rsid w:val="00356ED6"/>
    <w:rsid w:val="00356F39"/>
    <w:rsid w:val="00357FC9"/>
    <w:rsid w:val="003600E4"/>
    <w:rsid w:val="00360435"/>
    <w:rsid w:val="0036099A"/>
    <w:rsid w:val="00363152"/>
    <w:rsid w:val="0036476A"/>
    <w:rsid w:val="00365CF8"/>
    <w:rsid w:val="00366F30"/>
    <w:rsid w:val="0036746A"/>
    <w:rsid w:val="003678C1"/>
    <w:rsid w:val="00367D4B"/>
    <w:rsid w:val="00370056"/>
    <w:rsid w:val="00371350"/>
    <w:rsid w:val="00372CCC"/>
    <w:rsid w:val="003730CF"/>
    <w:rsid w:val="00373117"/>
    <w:rsid w:val="00373455"/>
    <w:rsid w:val="00373D98"/>
    <w:rsid w:val="003740C1"/>
    <w:rsid w:val="003749E0"/>
    <w:rsid w:val="00375B76"/>
    <w:rsid w:val="00375ED7"/>
    <w:rsid w:val="0037631B"/>
    <w:rsid w:val="00377225"/>
    <w:rsid w:val="00377421"/>
    <w:rsid w:val="00381723"/>
    <w:rsid w:val="0038231B"/>
    <w:rsid w:val="003827B1"/>
    <w:rsid w:val="00382B53"/>
    <w:rsid w:val="0038305D"/>
    <w:rsid w:val="00383170"/>
    <w:rsid w:val="00383A35"/>
    <w:rsid w:val="0038434E"/>
    <w:rsid w:val="003845AF"/>
    <w:rsid w:val="00384A2F"/>
    <w:rsid w:val="00385BC6"/>
    <w:rsid w:val="00386398"/>
    <w:rsid w:val="003865BA"/>
    <w:rsid w:val="00387205"/>
    <w:rsid w:val="003908B5"/>
    <w:rsid w:val="003913DA"/>
    <w:rsid w:val="003913E6"/>
    <w:rsid w:val="00391A69"/>
    <w:rsid w:val="00391B97"/>
    <w:rsid w:val="00391DBD"/>
    <w:rsid w:val="00391ECF"/>
    <w:rsid w:val="0039202C"/>
    <w:rsid w:val="0039265C"/>
    <w:rsid w:val="00393963"/>
    <w:rsid w:val="003953BE"/>
    <w:rsid w:val="003962BE"/>
    <w:rsid w:val="00396E66"/>
    <w:rsid w:val="003A01B0"/>
    <w:rsid w:val="003A0219"/>
    <w:rsid w:val="003A09AB"/>
    <w:rsid w:val="003A2148"/>
    <w:rsid w:val="003A26B7"/>
    <w:rsid w:val="003A2898"/>
    <w:rsid w:val="003A37BB"/>
    <w:rsid w:val="003A426F"/>
    <w:rsid w:val="003A4B41"/>
    <w:rsid w:val="003A51DB"/>
    <w:rsid w:val="003A52A9"/>
    <w:rsid w:val="003A53F6"/>
    <w:rsid w:val="003A5EFE"/>
    <w:rsid w:val="003A6BE2"/>
    <w:rsid w:val="003A6EB9"/>
    <w:rsid w:val="003A7729"/>
    <w:rsid w:val="003B10E5"/>
    <w:rsid w:val="003B215F"/>
    <w:rsid w:val="003B304C"/>
    <w:rsid w:val="003B30A2"/>
    <w:rsid w:val="003B380F"/>
    <w:rsid w:val="003B3FB3"/>
    <w:rsid w:val="003B54AF"/>
    <w:rsid w:val="003B5747"/>
    <w:rsid w:val="003B5D59"/>
    <w:rsid w:val="003B5F9D"/>
    <w:rsid w:val="003B64EA"/>
    <w:rsid w:val="003B6685"/>
    <w:rsid w:val="003B6776"/>
    <w:rsid w:val="003C1822"/>
    <w:rsid w:val="003C6102"/>
    <w:rsid w:val="003C65B4"/>
    <w:rsid w:val="003D03B7"/>
    <w:rsid w:val="003D06F3"/>
    <w:rsid w:val="003D1045"/>
    <w:rsid w:val="003D1298"/>
    <w:rsid w:val="003D1C72"/>
    <w:rsid w:val="003D1E62"/>
    <w:rsid w:val="003D24EF"/>
    <w:rsid w:val="003D2793"/>
    <w:rsid w:val="003D2C73"/>
    <w:rsid w:val="003D2EC7"/>
    <w:rsid w:val="003D39EA"/>
    <w:rsid w:val="003D3B11"/>
    <w:rsid w:val="003D6998"/>
    <w:rsid w:val="003D6A1F"/>
    <w:rsid w:val="003D76A4"/>
    <w:rsid w:val="003D791B"/>
    <w:rsid w:val="003D7C40"/>
    <w:rsid w:val="003E0779"/>
    <w:rsid w:val="003E0829"/>
    <w:rsid w:val="003E10BA"/>
    <w:rsid w:val="003E29E8"/>
    <w:rsid w:val="003E3970"/>
    <w:rsid w:val="003E39DB"/>
    <w:rsid w:val="003E5790"/>
    <w:rsid w:val="003E5AEE"/>
    <w:rsid w:val="003E707E"/>
    <w:rsid w:val="003F0154"/>
    <w:rsid w:val="003F196B"/>
    <w:rsid w:val="003F1D39"/>
    <w:rsid w:val="003F3B3D"/>
    <w:rsid w:val="003F5305"/>
    <w:rsid w:val="003F5720"/>
    <w:rsid w:val="003F5EDE"/>
    <w:rsid w:val="003F611E"/>
    <w:rsid w:val="003F6C1B"/>
    <w:rsid w:val="003F6D8D"/>
    <w:rsid w:val="003F7F49"/>
    <w:rsid w:val="004004BA"/>
    <w:rsid w:val="00400EF4"/>
    <w:rsid w:val="0040185F"/>
    <w:rsid w:val="00401D95"/>
    <w:rsid w:val="00403196"/>
    <w:rsid w:val="004039B1"/>
    <w:rsid w:val="00403C74"/>
    <w:rsid w:val="004045C5"/>
    <w:rsid w:val="00404D8D"/>
    <w:rsid w:val="004068E5"/>
    <w:rsid w:val="00407153"/>
    <w:rsid w:val="00410487"/>
    <w:rsid w:val="00410A88"/>
    <w:rsid w:val="00410EEA"/>
    <w:rsid w:val="004110EA"/>
    <w:rsid w:val="00411172"/>
    <w:rsid w:val="00411F5F"/>
    <w:rsid w:val="00413EBF"/>
    <w:rsid w:val="00414C24"/>
    <w:rsid w:val="004154D6"/>
    <w:rsid w:val="00415790"/>
    <w:rsid w:val="00415E8A"/>
    <w:rsid w:val="00416324"/>
    <w:rsid w:val="004200FC"/>
    <w:rsid w:val="00421206"/>
    <w:rsid w:val="00421388"/>
    <w:rsid w:val="00421553"/>
    <w:rsid w:val="00421E0F"/>
    <w:rsid w:val="004220E7"/>
    <w:rsid w:val="00422FAF"/>
    <w:rsid w:val="00423F29"/>
    <w:rsid w:val="004240E1"/>
    <w:rsid w:val="004242C2"/>
    <w:rsid w:val="004244B2"/>
    <w:rsid w:val="00425834"/>
    <w:rsid w:val="00426022"/>
    <w:rsid w:val="004260DB"/>
    <w:rsid w:val="00426160"/>
    <w:rsid w:val="0042641C"/>
    <w:rsid w:val="0042687A"/>
    <w:rsid w:val="0042745B"/>
    <w:rsid w:val="004274EF"/>
    <w:rsid w:val="00430917"/>
    <w:rsid w:val="00430DCE"/>
    <w:rsid w:val="00431788"/>
    <w:rsid w:val="00431D8C"/>
    <w:rsid w:val="004326B0"/>
    <w:rsid w:val="004335BB"/>
    <w:rsid w:val="0043404A"/>
    <w:rsid w:val="0043437F"/>
    <w:rsid w:val="00435150"/>
    <w:rsid w:val="00437825"/>
    <w:rsid w:val="00437A4B"/>
    <w:rsid w:val="0044049B"/>
    <w:rsid w:val="004427D3"/>
    <w:rsid w:val="00443414"/>
    <w:rsid w:val="00443448"/>
    <w:rsid w:val="00443621"/>
    <w:rsid w:val="004437F3"/>
    <w:rsid w:val="00444525"/>
    <w:rsid w:val="00444CD4"/>
    <w:rsid w:val="00445365"/>
    <w:rsid w:val="00445B74"/>
    <w:rsid w:val="00446586"/>
    <w:rsid w:val="00446F19"/>
    <w:rsid w:val="00447705"/>
    <w:rsid w:val="00450EEF"/>
    <w:rsid w:val="004516D8"/>
    <w:rsid w:val="00452022"/>
    <w:rsid w:val="0045218F"/>
    <w:rsid w:val="00452278"/>
    <w:rsid w:val="00452337"/>
    <w:rsid w:val="004532DC"/>
    <w:rsid w:val="004534A4"/>
    <w:rsid w:val="00453C49"/>
    <w:rsid w:val="00454761"/>
    <w:rsid w:val="004551C7"/>
    <w:rsid w:val="0045594E"/>
    <w:rsid w:val="00455C9D"/>
    <w:rsid w:val="00455F76"/>
    <w:rsid w:val="00456D22"/>
    <w:rsid w:val="004574B4"/>
    <w:rsid w:val="00461240"/>
    <w:rsid w:val="004616C7"/>
    <w:rsid w:val="00461811"/>
    <w:rsid w:val="004621B2"/>
    <w:rsid w:val="00464A8B"/>
    <w:rsid w:val="00465C16"/>
    <w:rsid w:val="00467992"/>
    <w:rsid w:val="0047002D"/>
    <w:rsid w:val="004705EA"/>
    <w:rsid w:val="004709B9"/>
    <w:rsid w:val="00470B2D"/>
    <w:rsid w:val="00470BAA"/>
    <w:rsid w:val="00470E31"/>
    <w:rsid w:val="00471742"/>
    <w:rsid w:val="004718E2"/>
    <w:rsid w:val="00471C3B"/>
    <w:rsid w:val="0047257C"/>
    <w:rsid w:val="00472B76"/>
    <w:rsid w:val="00472E8A"/>
    <w:rsid w:val="004730E5"/>
    <w:rsid w:val="00473964"/>
    <w:rsid w:val="004739A8"/>
    <w:rsid w:val="004744CB"/>
    <w:rsid w:val="00475AC3"/>
    <w:rsid w:val="00475F54"/>
    <w:rsid w:val="0047639D"/>
    <w:rsid w:val="00476781"/>
    <w:rsid w:val="004775E5"/>
    <w:rsid w:val="00481678"/>
    <w:rsid w:val="00481A36"/>
    <w:rsid w:val="00481D65"/>
    <w:rsid w:val="0048300B"/>
    <w:rsid w:val="00484323"/>
    <w:rsid w:val="00485DD3"/>
    <w:rsid w:val="0048614F"/>
    <w:rsid w:val="0048698A"/>
    <w:rsid w:val="00486C58"/>
    <w:rsid w:val="00491CF6"/>
    <w:rsid w:val="00492AA8"/>
    <w:rsid w:val="00492D6A"/>
    <w:rsid w:val="0049363C"/>
    <w:rsid w:val="00493F35"/>
    <w:rsid w:val="00494144"/>
    <w:rsid w:val="004945D4"/>
    <w:rsid w:val="00496008"/>
    <w:rsid w:val="004A0746"/>
    <w:rsid w:val="004A080B"/>
    <w:rsid w:val="004A1B6E"/>
    <w:rsid w:val="004A2159"/>
    <w:rsid w:val="004A26B7"/>
    <w:rsid w:val="004A2E36"/>
    <w:rsid w:val="004A35F5"/>
    <w:rsid w:val="004A3F59"/>
    <w:rsid w:val="004A44BC"/>
    <w:rsid w:val="004A562F"/>
    <w:rsid w:val="004A7B98"/>
    <w:rsid w:val="004B024D"/>
    <w:rsid w:val="004B0E37"/>
    <w:rsid w:val="004B0F5A"/>
    <w:rsid w:val="004B1111"/>
    <w:rsid w:val="004B136A"/>
    <w:rsid w:val="004B1C56"/>
    <w:rsid w:val="004B2F42"/>
    <w:rsid w:val="004B3F80"/>
    <w:rsid w:val="004B4DF4"/>
    <w:rsid w:val="004B5120"/>
    <w:rsid w:val="004B657D"/>
    <w:rsid w:val="004C09BA"/>
    <w:rsid w:val="004C151B"/>
    <w:rsid w:val="004C1EDC"/>
    <w:rsid w:val="004C2693"/>
    <w:rsid w:val="004C2C73"/>
    <w:rsid w:val="004C2FA2"/>
    <w:rsid w:val="004C3867"/>
    <w:rsid w:val="004C3968"/>
    <w:rsid w:val="004C52CA"/>
    <w:rsid w:val="004C5E0C"/>
    <w:rsid w:val="004C61CA"/>
    <w:rsid w:val="004C692E"/>
    <w:rsid w:val="004D0D26"/>
    <w:rsid w:val="004D0D6C"/>
    <w:rsid w:val="004D2267"/>
    <w:rsid w:val="004D34AB"/>
    <w:rsid w:val="004D3ED2"/>
    <w:rsid w:val="004D420C"/>
    <w:rsid w:val="004D4A1B"/>
    <w:rsid w:val="004D4C4D"/>
    <w:rsid w:val="004D5344"/>
    <w:rsid w:val="004D5CAE"/>
    <w:rsid w:val="004D6586"/>
    <w:rsid w:val="004D7169"/>
    <w:rsid w:val="004E022D"/>
    <w:rsid w:val="004E07EC"/>
    <w:rsid w:val="004E2121"/>
    <w:rsid w:val="004E254D"/>
    <w:rsid w:val="004E4297"/>
    <w:rsid w:val="004E4348"/>
    <w:rsid w:val="004E472E"/>
    <w:rsid w:val="004E48AA"/>
    <w:rsid w:val="004E5ED2"/>
    <w:rsid w:val="004F1442"/>
    <w:rsid w:val="004F1F3B"/>
    <w:rsid w:val="004F1F98"/>
    <w:rsid w:val="004F26C1"/>
    <w:rsid w:val="004F50CB"/>
    <w:rsid w:val="004F57C3"/>
    <w:rsid w:val="004F63DF"/>
    <w:rsid w:val="004F7370"/>
    <w:rsid w:val="004F73E2"/>
    <w:rsid w:val="004F742C"/>
    <w:rsid w:val="004F7FC7"/>
    <w:rsid w:val="00503F30"/>
    <w:rsid w:val="00504726"/>
    <w:rsid w:val="00505D49"/>
    <w:rsid w:val="005062EC"/>
    <w:rsid w:val="005071D2"/>
    <w:rsid w:val="00507C3F"/>
    <w:rsid w:val="00510BD2"/>
    <w:rsid w:val="00511081"/>
    <w:rsid w:val="00511CD1"/>
    <w:rsid w:val="00513BE8"/>
    <w:rsid w:val="00516086"/>
    <w:rsid w:val="005166D1"/>
    <w:rsid w:val="00520FF3"/>
    <w:rsid w:val="005211D4"/>
    <w:rsid w:val="00521710"/>
    <w:rsid w:val="005235E7"/>
    <w:rsid w:val="0052384B"/>
    <w:rsid w:val="00523E0C"/>
    <w:rsid w:val="005245FD"/>
    <w:rsid w:val="005246F1"/>
    <w:rsid w:val="00524743"/>
    <w:rsid w:val="00525118"/>
    <w:rsid w:val="0052556D"/>
    <w:rsid w:val="00525AC0"/>
    <w:rsid w:val="00525AE7"/>
    <w:rsid w:val="00525D16"/>
    <w:rsid w:val="00526509"/>
    <w:rsid w:val="00526609"/>
    <w:rsid w:val="00527AE5"/>
    <w:rsid w:val="00530157"/>
    <w:rsid w:val="00530674"/>
    <w:rsid w:val="00531D42"/>
    <w:rsid w:val="00533BCC"/>
    <w:rsid w:val="005341EE"/>
    <w:rsid w:val="005344DB"/>
    <w:rsid w:val="00535165"/>
    <w:rsid w:val="005359A8"/>
    <w:rsid w:val="00535CA1"/>
    <w:rsid w:val="00535F34"/>
    <w:rsid w:val="00536008"/>
    <w:rsid w:val="00536040"/>
    <w:rsid w:val="00537E43"/>
    <w:rsid w:val="0054160C"/>
    <w:rsid w:val="00541E74"/>
    <w:rsid w:val="00542A52"/>
    <w:rsid w:val="00542C15"/>
    <w:rsid w:val="00542E5E"/>
    <w:rsid w:val="0054310D"/>
    <w:rsid w:val="0054319F"/>
    <w:rsid w:val="005433A9"/>
    <w:rsid w:val="005433CA"/>
    <w:rsid w:val="00543543"/>
    <w:rsid w:val="0054558F"/>
    <w:rsid w:val="00546518"/>
    <w:rsid w:val="00546C2C"/>
    <w:rsid w:val="00550F55"/>
    <w:rsid w:val="005522AE"/>
    <w:rsid w:val="0055281D"/>
    <w:rsid w:val="0055295D"/>
    <w:rsid w:val="005529DF"/>
    <w:rsid w:val="0055393B"/>
    <w:rsid w:val="0055450A"/>
    <w:rsid w:val="005547A7"/>
    <w:rsid w:val="00555091"/>
    <w:rsid w:val="00555458"/>
    <w:rsid w:val="005554FB"/>
    <w:rsid w:val="00555C75"/>
    <w:rsid w:val="005566EC"/>
    <w:rsid w:val="00556F44"/>
    <w:rsid w:val="005573C4"/>
    <w:rsid w:val="00557510"/>
    <w:rsid w:val="00557969"/>
    <w:rsid w:val="00557BA8"/>
    <w:rsid w:val="00560A68"/>
    <w:rsid w:val="00561312"/>
    <w:rsid w:val="005624F5"/>
    <w:rsid w:val="0056254E"/>
    <w:rsid w:val="00562D36"/>
    <w:rsid w:val="00562DE7"/>
    <w:rsid w:val="00565016"/>
    <w:rsid w:val="005650CB"/>
    <w:rsid w:val="00565FDE"/>
    <w:rsid w:val="005661E3"/>
    <w:rsid w:val="005679F0"/>
    <w:rsid w:val="00570E1D"/>
    <w:rsid w:val="00571256"/>
    <w:rsid w:val="00571559"/>
    <w:rsid w:val="00571AA9"/>
    <w:rsid w:val="00571E3F"/>
    <w:rsid w:val="00572B17"/>
    <w:rsid w:val="005732CF"/>
    <w:rsid w:val="00573C5F"/>
    <w:rsid w:val="00574D91"/>
    <w:rsid w:val="005773A9"/>
    <w:rsid w:val="00577997"/>
    <w:rsid w:val="00577F4F"/>
    <w:rsid w:val="005810E6"/>
    <w:rsid w:val="00581F9A"/>
    <w:rsid w:val="00582E0F"/>
    <w:rsid w:val="00584F57"/>
    <w:rsid w:val="005859F4"/>
    <w:rsid w:val="00585A5B"/>
    <w:rsid w:val="00586BC1"/>
    <w:rsid w:val="00590192"/>
    <w:rsid w:val="005916AD"/>
    <w:rsid w:val="005943BC"/>
    <w:rsid w:val="005949C0"/>
    <w:rsid w:val="00595DA6"/>
    <w:rsid w:val="00596278"/>
    <w:rsid w:val="005975A1"/>
    <w:rsid w:val="005A0AB9"/>
    <w:rsid w:val="005A162D"/>
    <w:rsid w:val="005A18FF"/>
    <w:rsid w:val="005A1AF6"/>
    <w:rsid w:val="005A1BDA"/>
    <w:rsid w:val="005A1E7A"/>
    <w:rsid w:val="005A2084"/>
    <w:rsid w:val="005A20FF"/>
    <w:rsid w:val="005A2440"/>
    <w:rsid w:val="005A2ABD"/>
    <w:rsid w:val="005A2FAE"/>
    <w:rsid w:val="005A4983"/>
    <w:rsid w:val="005A5285"/>
    <w:rsid w:val="005A5953"/>
    <w:rsid w:val="005B15EA"/>
    <w:rsid w:val="005B1F64"/>
    <w:rsid w:val="005B1FB4"/>
    <w:rsid w:val="005B217C"/>
    <w:rsid w:val="005B35A3"/>
    <w:rsid w:val="005B4032"/>
    <w:rsid w:val="005B5B50"/>
    <w:rsid w:val="005B6625"/>
    <w:rsid w:val="005B758F"/>
    <w:rsid w:val="005C159E"/>
    <w:rsid w:val="005C166D"/>
    <w:rsid w:val="005C16AC"/>
    <w:rsid w:val="005C32FB"/>
    <w:rsid w:val="005C33F3"/>
    <w:rsid w:val="005C3874"/>
    <w:rsid w:val="005C3EBE"/>
    <w:rsid w:val="005C414B"/>
    <w:rsid w:val="005C4F05"/>
    <w:rsid w:val="005C5884"/>
    <w:rsid w:val="005C61AA"/>
    <w:rsid w:val="005C6EC7"/>
    <w:rsid w:val="005C74ED"/>
    <w:rsid w:val="005D05A7"/>
    <w:rsid w:val="005D1398"/>
    <w:rsid w:val="005D1C34"/>
    <w:rsid w:val="005D4254"/>
    <w:rsid w:val="005D5A13"/>
    <w:rsid w:val="005D7F03"/>
    <w:rsid w:val="005E023E"/>
    <w:rsid w:val="005E0245"/>
    <w:rsid w:val="005E0408"/>
    <w:rsid w:val="005E38EC"/>
    <w:rsid w:val="005E3E1A"/>
    <w:rsid w:val="005E408A"/>
    <w:rsid w:val="005E4D37"/>
    <w:rsid w:val="005E7482"/>
    <w:rsid w:val="005E78A7"/>
    <w:rsid w:val="005E7CC2"/>
    <w:rsid w:val="005F00F2"/>
    <w:rsid w:val="005F1E70"/>
    <w:rsid w:val="005F271D"/>
    <w:rsid w:val="005F4481"/>
    <w:rsid w:val="005F4617"/>
    <w:rsid w:val="005F6B0A"/>
    <w:rsid w:val="00600DAF"/>
    <w:rsid w:val="006016D9"/>
    <w:rsid w:val="00602521"/>
    <w:rsid w:val="0060296D"/>
    <w:rsid w:val="0060391B"/>
    <w:rsid w:val="00603B1D"/>
    <w:rsid w:val="00603EE4"/>
    <w:rsid w:val="0060578B"/>
    <w:rsid w:val="0060690E"/>
    <w:rsid w:val="00606A89"/>
    <w:rsid w:val="00607918"/>
    <w:rsid w:val="00610791"/>
    <w:rsid w:val="0061102C"/>
    <w:rsid w:val="0061112A"/>
    <w:rsid w:val="0061163B"/>
    <w:rsid w:val="006116E7"/>
    <w:rsid w:val="006117CE"/>
    <w:rsid w:val="00611F8B"/>
    <w:rsid w:val="006138CB"/>
    <w:rsid w:val="00613E66"/>
    <w:rsid w:val="00615319"/>
    <w:rsid w:val="006153BF"/>
    <w:rsid w:val="0061591B"/>
    <w:rsid w:val="00616262"/>
    <w:rsid w:val="00617F69"/>
    <w:rsid w:val="00623244"/>
    <w:rsid w:val="006235CC"/>
    <w:rsid w:val="006239F0"/>
    <w:rsid w:val="00624753"/>
    <w:rsid w:val="0062549A"/>
    <w:rsid w:val="00625877"/>
    <w:rsid w:val="006258CE"/>
    <w:rsid w:val="006260AD"/>
    <w:rsid w:val="00626E9F"/>
    <w:rsid w:val="00626F72"/>
    <w:rsid w:val="006313C3"/>
    <w:rsid w:val="00631E32"/>
    <w:rsid w:val="0063283D"/>
    <w:rsid w:val="00632846"/>
    <w:rsid w:val="006328A5"/>
    <w:rsid w:val="0063360C"/>
    <w:rsid w:val="006336AB"/>
    <w:rsid w:val="006337BC"/>
    <w:rsid w:val="00634C9E"/>
    <w:rsid w:val="00635507"/>
    <w:rsid w:val="0063633D"/>
    <w:rsid w:val="00636D0C"/>
    <w:rsid w:val="00637108"/>
    <w:rsid w:val="00637A37"/>
    <w:rsid w:val="0064028C"/>
    <w:rsid w:val="00641BC5"/>
    <w:rsid w:val="006422BD"/>
    <w:rsid w:val="0064336B"/>
    <w:rsid w:val="006439CB"/>
    <w:rsid w:val="00643F82"/>
    <w:rsid w:val="0064514B"/>
    <w:rsid w:val="00646C7E"/>
    <w:rsid w:val="00646EC4"/>
    <w:rsid w:val="00647194"/>
    <w:rsid w:val="00647386"/>
    <w:rsid w:val="006507B3"/>
    <w:rsid w:val="00650DF1"/>
    <w:rsid w:val="0065269F"/>
    <w:rsid w:val="00652B62"/>
    <w:rsid w:val="00653185"/>
    <w:rsid w:val="006540A7"/>
    <w:rsid w:val="006544C0"/>
    <w:rsid w:val="00655907"/>
    <w:rsid w:val="00656729"/>
    <w:rsid w:val="00656C31"/>
    <w:rsid w:val="00657944"/>
    <w:rsid w:val="00657E93"/>
    <w:rsid w:val="00660A10"/>
    <w:rsid w:val="00663163"/>
    <w:rsid w:val="0066487B"/>
    <w:rsid w:val="006648E7"/>
    <w:rsid w:val="006650DE"/>
    <w:rsid w:val="00665138"/>
    <w:rsid w:val="00665472"/>
    <w:rsid w:val="006656B8"/>
    <w:rsid w:val="006656E0"/>
    <w:rsid w:val="00666D1F"/>
    <w:rsid w:val="006679F0"/>
    <w:rsid w:val="006702E3"/>
    <w:rsid w:val="006707E8"/>
    <w:rsid w:val="0067202E"/>
    <w:rsid w:val="00672E77"/>
    <w:rsid w:val="006751AA"/>
    <w:rsid w:val="00676B98"/>
    <w:rsid w:val="00677275"/>
    <w:rsid w:val="00677487"/>
    <w:rsid w:val="006804DE"/>
    <w:rsid w:val="00680C3D"/>
    <w:rsid w:val="00680D72"/>
    <w:rsid w:val="00682550"/>
    <w:rsid w:val="0068265F"/>
    <w:rsid w:val="006827A5"/>
    <w:rsid w:val="0068287A"/>
    <w:rsid w:val="00682B05"/>
    <w:rsid w:val="00682C6D"/>
    <w:rsid w:val="00682E97"/>
    <w:rsid w:val="006842BB"/>
    <w:rsid w:val="006850F1"/>
    <w:rsid w:val="006865DE"/>
    <w:rsid w:val="00687625"/>
    <w:rsid w:val="00687DDB"/>
    <w:rsid w:val="006915DF"/>
    <w:rsid w:val="00692AA8"/>
    <w:rsid w:val="00692AE6"/>
    <w:rsid w:val="00692B7A"/>
    <w:rsid w:val="00693A9A"/>
    <w:rsid w:val="0069414D"/>
    <w:rsid w:val="006944D9"/>
    <w:rsid w:val="006944FB"/>
    <w:rsid w:val="0069492A"/>
    <w:rsid w:val="00695474"/>
    <w:rsid w:val="0069568B"/>
    <w:rsid w:val="00695796"/>
    <w:rsid w:val="00695A9E"/>
    <w:rsid w:val="00695F96"/>
    <w:rsid w:val="00696BDC"/>
    <w:rsid w:val="00697596"/>
    <w:rsid w:val="006A004A"/>
    <w:rsid w:val="006A00A5"/>
    <w:rsid w:val="006A089E"/>
    <w:rsid w:val="006A26F4"/>
    <w:rsid w:val="006A3559"/>
    <w:rsid w:val="006A4609"/>
    <w:rsid w:val="006A4F06"/>
    <w:rsid w:val="006A565D"/>
    <w:rsid w:val="006A5F63"/>
    <w:rsid w:val="006B03DC"/>
    <w:rsid w:val="006B09B9"/>
    <w:rsid w:val="006B0F2A"/>
    <w:rsid w:val="006B25B6"/>
    <w:rsid w:val="006B25B7"/>
    <w:rsid w:val="006B34DA"/>
    <w:rsid w:val="006B3ACF"/>
    <w:rsid w:val="006B4122"/>
    <w:rsid w:val="006B41B5"/>
    <w:rsid w:val="006B485B"/>
    <w:rsid w:val="006B4884"/>
    <w:rsid w:val="006B4BAC"/>
    <w:rsid w:val="006B4D87"/>
    <w:rsid w:val="006B4E59"/>
    <w:rsid w:val="006B500F"/>
    <w:rsid w:val="006B557D"/>
    <w:rsid w:val="006B55F9"/>
    <w:rsid w:val="006B58C5"/>
    <w:rsid w:val="006B75D1"/>
    <w:rsid w:val="006B774A"/>
    <w:rsid w:val="006C0024"/>
    <w:rsid w:val="006C0025"/>
    <w:rsid w:val="006C09EB"/>
    <w:rsid w:val="006C0A49"/>
    <w:rsid w:val="006C18B5"/>
    <w:rsid w:val="006C1F85"/>
    <w:rsid w:val="006C218E"/>
    <w:rsid w:val="006C37EA"/>
    <w:rsid w:val="006C553B"/>
    <w:rsid w:val="006C585C"/>
    <w:rsid w:val="006C6B9B"/>
    <w:rsid w:val="006C6E30"/>
    <w:rsid w:val="006C768E"/>
    <w:rsid w:val="006C7E92"/>
    <w:rsid w:val="006D0427"/>
    <w:rsid w:val="006D2612"/>
    <w:rsid w:val="006D27BE"/>
    <w:rsid w:val="006D2F08"/>
    <w:rsid w:val="006D414F"/>
    <w:rsid w:val="006D4387"/>
    <w:rsid w:val="006D5665"/>
    <w:rsid w:val="006D61F4"/>
    <w:rsid w:val="006E09C6"/>
    <w:rsid w:val="006E0D2C"/>
    <w:rsid w:val="006E1963"/>
    <w:rsid w:val="006E28C6"/>
    <w:rsid w:val="006E2F6E"/>
    <w:rsid w:val="006E3393"/>
    <w:rsid w:val="006E3B63"/>
    <w:rsid w:val="006E44C3"/>
    <w:rsid w:val="006E4B4B"/>
    <w:rsid w:val="006E4BDB"/>
    <w:rsid w:val="006E6570"/>
    <w:rsid w:val="006F06A3"/>
    <w:rsid w:val="006F0DAD"/>
    <w:rsid w:val="006F1ADE"/>
    <w:rsid w:val="006F1C60"/>
    <w:rsid w:val="006F21A0"/>
    <w:rsid w:val="006F2DA3"/>
    <w:rsid w:val="006F4D7B"/>
    <w:rsid w:val="006F710C"/>
    <w:rsid w:val="006F78EA"/>
    <w:rsid w:val="007001D5"/>
    <w:rsid w:val="00701271"/>
    <w:rsid w:val="007015B4"/>
    <w:rsid w:val="00701B4A"/>
    <w:rsid w:val="00702DBB"/>
    <w:rsid w:val="00703EF9"/>
    <w:rsid w:val="00704B23"/>
    <w:rsid w:val="00704DBF"/>
    <w:rsid w:val="00705F26"/>
    <w:rsid w:val="007062EE"/>
    <w:rsid w:val="007101D7"/>
    <w:rsid w:val="00710E3A"/>
    <w:rsid w:val="007113EE"/>
    <w:rsid w:val="007123CC"/>
    <w:rsid w:val="0071258C"/>
    <w:rsid w:val="00712760"/>
    <w:rsid w:val="0071280B"/>
    <w:rsid w:val="007132B0"/>
    <w:rsid w:val="00715304"/>
    <w:rsid w:val="00715590"/>
    <w:rsid w:val="007162DE"/>
    <w:rsid w:val="00716A40"/>
    <w:rsid w:val="0071773F"/>
    <w:rsid w:val="00717DDF"/>
    <w:rsid w:val="00717EF6"/>
    <w:rsid w:val="007203DA"/>
    <w:rsid w:val="007220E8"/>
    <w:rsid w:val="00722658"/>
    <w:rsid w:val="0072289E"/>
    <w:rsid w:val="00722B2A"/>
    <w:rsid w:val="0072394A"/>
    <w:rsid w:val="00724AD0"/>
    <w:rsid w:val="00725155"/>
    <w:rsid w:val="00725162"/>
    <w:rsid w:val="007251C5"/>
    <w:rsid w:val="00725656"/>
    <w:rsid w:val="00725B05"/>
    <w:rsid w:val="0072651A"/>
    <w:rsid w:val="00730663"/>
    <w:rsid w:val="00730C0D"/>
    <w:rsid w:val="007312DF"/>
    <w:rsid w:val="007323D2"/>
    <w:rsid w:val="00732411"/>
    <w:rsid w:val="00733D01"/>
    <w:rsid w:val="00734534"/>
    <w:rsid w:val="00735B09"/>
    <w:rsid w:val="00736035"/>
    <w:rsid w:val="007367E7"/>
    <w:rsid w:val="007368E5"/>
    <w:rsid w:val="00736D34"/>
    <w:rsid w:val="007372B2"/>
    <w:rsid w:val="00740251"/>
    <w:rsid w:val="007413CA"/>
    <w:rsid w:val="007424C7"/>
    <w:rsid w:val="00742DAF"/>
    <w:rsid w:val="0074407B"/>
    <w:rsid w:val="00744515"/>
    <w:rsid w:val="007452F0"/>
    <w:rsid w:val="00745E61"/>
    <w:rsid w:val="0074618C"/>
    <w:rsid w:val="00746B0B"/>
    <w:rsid w:val="007474EC"/>
    <w:rsid w:val="00751A1A"/>
    <w:rsid w:val="00752FB5"/>
    <w:rsid w:val="007535D8"/>
    <w:rsid w:val="00753E4F"/>
    <w:rsid w:val="00754B52"/>
    <w:rsid w:val="0075531A"/>
    <w:rsid w:val="0075556C"/>
    <w:rsid w:val="00755B1A"/>
    <w:rsid w:val="00757D31"/>
    <w:rsid w:val="00760620"/>
    <w:rsid w:val="00761545"/>
    <w:rsid w:val="00761773"/>
    <w:rsid w:val="007618BC"/>
    <w:rsid w:val="00762B5B"/>
    <w:rsid w:val="0076473D"/>
    <w:rsid w:val="007647C8"/>
    <w:rsid w:val="00766580"/>
    <w:rsid w:val="00766D68"/>
    <w:rsid w:val="00767110"/>
    <w:rsid w:val="00767425"/>
    <w:rsid w:val="00767EC5"/>
    <w:rsid w:val="007709CE"/>
    <w:rsid w:val="00770BA8"/>
    <w:rsid w:val="00771793"/>
    <w:rsid w:val="00771E04"/>
    <w:rsid w:val="00771E2A"/>
    <w:rsid w:val="00771E5E"/>
    <w:rsid w:val="00772215"/>
    <w:rsid w:val="00772ABA"/>
    <w:rsid w:val="00772EED"/>
    <w:rsid w:val="0077326D"/>
    <w:rsid w:val="00773C9E"/>
    <w:rsid w:val="00776879"/>
    <w:rsid w:val="007806E2"/>
    <w:rsid w:val="007807A8"/>
    <w:rsid w:val="0078370B"/>
    <w:rsid w:val="00784980"/>
    <w:rsid w:val="00784EA2"/>
    <w:rsid w:val="00784FB4"/>
    <w:rsid w:val="0078571E"/>
    <w:rsid w:val="00785CC7"/>
    <w:rsid w:val="0078609B"/>
    <w:rsid w:val="007863F7"/>
    <w:rsid w:val="00786979"/>
    <w:rsid w:val="00790DEE"/>
    <w:rsid w:val="00791AEC"/>
    <w:rsid w:val="00792A26"/>
    <w:rsid w:val="0079403F"/>
    <w:rsid w:val="007957D4"/>
    <w:rsid w:val="00796998"/>
    <w:rsid w:val="007A0E8F"/>
    <w:rsid w:val="007A0EEB"/>
    <w:rsid w:val="007A14EA"/>
    <w:rsid w:val="007A1EEA"/>
    <w:rsid w:val="007A20B3"/>
    <w:rsid w:val="007A23C1"/>
    <w:rsid w:val="007A2DF5"/>
    <w:rsid w:val="007A31A6"/>
    <w:rsid w:val="007A34E2"/>
    <w:rsid w:val="007A3A94"/>
    <w:rsid w:val="007A3AF3"/>
    <w:rsid w:val="007A3FD1"/>
    <w:rsid w:val="007A43F9"/>
    <w:rsid w:val="007A4DB9"/>
    <w:rsid w:val="007A57EB"/>
    <w:rsid w:val="007A74C5"/>
    <w:rsid w:val="007B07C6"/>
    <w:rsid w:val="007B0FAE"/>
    <w:rsid w:val="007B14A9"/>
    <w:rsid w:val="007B1932"/>
    <w:rsid w:val="007B1DC3"/>
    <w:rsid w:val="007B2FAA"/>
    <w:rsid w:val="007B329B"/>
    <w:rsid w:val="007B36DA"/>
    <w:rsid w:val="007B3ACE"/>
    <w:rsid w:val="007B41E5"/>
    <w:rsid w:val="007B58AA"/>
    <w:rsid w:val="007B6908"/>
    <w:rsid w:val="007B6A49"/>
    <w:rsid w:val="007B6DCC"/>
    <w:rsid w:val="007B6FD9"/>
    <w:rsid w:val="007C333E"/>
    <w:rsid w:val="007C3DF5"/>
    <w:rsid w:val="007C3EE8"/>
    <w:rsid w:val="007C4A7A"/>
    <w:rsid w:val="007C5FC5"/>
    <w:rsid w:val="007C6675"/>
    <w:rsid w:val="007C71C4"/>
    <w:rsid w:val="007C7D8E"/>
    <w:rsid w:val="007D0090"/>
    <w:rsid w:val="007D3718"/>
    <w:rsid w:val="007D4FD7"/>
    <w:rsid w:val="007D6047"/>
    <w:rsid w:val="007D66EF"/>
    <w:rsid w:val="007D686F"/>
    <w:rsid w:val="007D7048"/>
    <w:rsid w:val="007D78AB"/>
    <w:rsid w:val="007E04EF"/>
    <w:rsid w:val="007E0A5F"/>
    <w:rsid w:val="007E26AE"/>
    <w:rsid w:val="007E2976"/>
    <w:rsid w:val="007E4AAC"/>
    <w:rsid w:val="007E6B86"/>
    <w:rsid w:val="007E7B02"/>
    <w:rsid w:val="007F2704"/>
    <w:rsid w:val="007F2C64"/>
    <w:rsid w:val="007F2C76"/>
    <w:rsid w:val="007F316E"/>
    <w:rsid w:val="007F3988"/>
    <w:rsid w:val="007F483C"/>
    <w:rsid w:val="007F4962"/>
    <w:rsid w:val="007F4CED"/>
    <w:rsid w:val="007F53D1"/>
    <w:rsid w:val="007F5785"/>
    <w:rsid w:val="007F5CD1"/>
    <w:rsid w:val="007F6C41"/>
    <w:rsid w:val="007F7FC2"/>
    <w:rsid w:val="0080010F"/>
    <w:rsid w:val="00800472"/>
    <w:rsid w:val="008006D3"/>
    <w:rsid w:val="008017E0"/>
    <w:rsid w:val="00802926"/>
    <w:rsid w:val="00804366"/>
    <w:rsid w:val="00805FA0"/>
    <w:rsid w:val="008071F2"/>
    <w:rsid w:val="0080730F"/>
    <w:rsid w:val="00807462"/>
    <w:rsid w:val="0081288E"/>
    <w:rsid w:val="00812DA9"/>
    <w:rsid w:val="008137A6"/>
    <w:rsid w:val="00813C3B"/>
    <w:rsid w:val="00814C50"/>
    <w:rsid w:val="0081595D"/>
    <w:rsid w:val="0081656A"/>
    <w:rsid w:val="00816CAF"/>
    <w:rsid w:val="00817567"/>
    <w:rsid w:val="00820267"/>
    <w:rsid w:val="00821242"/>
    <w:rsid w:val="00821955"/>
    <w:rsid w:val="00821B8B"/>
    <w:rsid w:val="00821C5B"/>
    <w:rsid w:val="008222F8"/>
    <w:rsid w:val="0082430D"/>
    <w:rsid w:val="00826698"/>
    <w:rsid w:val="00827C81"/>
    <w:rsid w:val="00830157"/>
    <w:rsid w:val="00830361"/>
    <w:rsid w:val="008305BC"/>
    <w:rsid w:val="00830A51"/>
    <w:rsid w:val="00830D34"/>
    <w:rsid w:val="00831E56"/>
    <w:rsid w:val="008326D7"/>
    <w:rsid w:val="0083288C"/>
    <w:rsid w:val="00833145"/>
    <w:rsid w:val="00833212"/>
    <w:rsid w:val="00833278"/>
    <w:rsid w:val="008335BE"/>
    <w:rsid w:val="008403BF"/>
    <w:rsid w:val="008412D6"/>
    <w:rsid w:val="00842E9E"/>
    <w:rsid w:val="0084304C"/>
    <w:rsid w:val="00843C7E"/>
    <w:rsid w:val="00844A3B"/>
    <w:rsid w:val="00844FDB"/>
    <w:rsid w:val="00846571"/>
    <w:rsid w:val="00847655"/>
    <w:rsid w:val="008477D2"/>
    <w:rsid w:val="00847D7C"/>
    <w:rsid w:val="00851B92"/>
    <w:rsid w:val="00852471"/>
    <w:rsid w:val="008529C6"/>
    <w:rsid w:val="00854A1E"/>
    <w:rsid w:val="00854CC7"/>
    <w:rsid w:val="0085510E"/>
    <w:rsid w:val="008559A4"/>
    <w:rsid w:val="008559B3"/>
    <w:rsid w:val="00855AF9"/>
    <w:rsid w:val="00856CD1"/>
    <w:rsid w:val="00857D9B"/>
    <w:rsid w:val="008605EE"/>
    <w:rsid w:val="008623F8"/>
    <w:rsid w:val="00865F28"/>
    <w:rsid w:val="008664C4"/>
    <w:rsid w:val="00870323"/>
    <w:rsid w:val="00870A4F"/>
    <w:rsid w:val="00870C84"/>
    <w:rsid w:val="00870F8D"/>
    <w:rsid w:val="008710FC"/>
    <w:rsid w:val="00871137"/>
    <w:rsid w:val="00871895"/>
    <w:rsid w:val="00873406"/>
    <w:rsid w:val="008752BC"/>
    <w:rsid w:val="00875FAD"/>
    <w:rsid w:val="0087624D"/>
    <w:rsid w:val="00876993"/>
    <w:rsid w:val="00876B1E"/>
    <w:rsid w:val="0087741F"/>
    <w:rsid w:val="0087761A"/>
    <w:rsid w:val="0088010F"/>
    <w:rsid w:val="00880746"/>
    <w:rsid w:val="00880B4B"/>
    <w:rsid w:val="0088181B"/>
    <w:rsid w:val="00882055"/>
    <w:rsid w:val="00882763"/>
    <w:rsid w:val="008827F9"/>
    <w:rsid w:val="00883A56"/>
    <w:rsid w:val="00883B23"/>
    <w:rsid w:val="008864C4"/>
    <w:rsid w:val="008869C5"/>
    <w:rsid w:val="008874DF"/>
    <w:rsid w:val="008875BF"/>
    <w:rsid w:val="00891640"/>
    <w:rsid w:val="00892164"/>
    <w:rsid w:val="00893195"/>
    <w:rsid w:val="00893B4C"/>
    <w:rsid w:val="00894AC3"/>
    <w:rsid w:val="00894C34"/>
    <w:rsid w:val="00896A23"/>
    <w:rsid w:val="008979A0"/>
    <w:rsid w:val="008A009F"/>
    <w:rsid w:val="008A0299"/>
    <w:rsid w:val="008A0741"/>
    <w:rsid w:val="008A1683"/>
    <w:rsid w:val="008A2C08"/>
    <w:rsid w:val="008A33E2"/>
    <w:rsid w:val="008A3464"/>
    <w:rsid w:val="008A37BA"/>
    <w:rsid w:val="008A51BF"/>
    <w:rsid w:val="008A6093"/>
    <w:rsid w:val="008A6943"/>
    <w:rsid w:val="008A6C47"/>
    <w:rsid w:val="008A7200"/>
    <w:rsid w:val="008B070D"/>
    <w:rsid w:val="008B12A5"/>
    <w:rsid w:val="008B1D32"/>
    <w:rsid w:val="008B2731"/>
    <w:rsid w:val="008B3059"/>
    <w:rsid w:val="008B353D"/>
    <w:rsid w:val="008B3B09"/>
    <w:rsid w:val="008B5D4D"/>
    <w:rsid w:val="008B5F03"/>
    <w:rsid w:val="008B7342"/>
    <w:rsid w:val="008B77A6"/>
    <w:rsid w:val="008B78BF"/>
    <w:rsid w:val="008C0227"/>
    <w:rsid w:val="008C1BD3"/>
    <w:rsid w:val="008C29AD"/>
    <w:rsid w:val="008C2B48"/>
    <w:rsid w:val="008C3B97"/>
    <w:rsid w:val="008C5B5F"/>
    <w:rsid w:val="008C5FF7"/>
    <w:rsid w:val="008C6C62"/>
    <w:rsid w:val="008C7E19"/>
    <w:rsid w:val="008D15A4"/>
    <w:rsid w:val="008D3306"/>
    <w:rsid w:val="008D37BD"/>
    <w:rsid w:val="008D3819"/>
    <w:rsid w:val="008D5895"/>
    <w:rsid w:val="008D75E7"/>
    <w:rsid w:val="008D77AD"/>
    <w:rsid w:val="008D7AC1"/>
    <w:rsid w:val="008D7B06"/>
    <w:rsid w:val="008D7B6C"/>
    <w:rsid w:val="008E02A6"/>
    <w:rsid w:val="008E0DBD"/>
    <w:rsid w:val="008E0F3C"/>
    <w:rsid w:val="008E107F"/>
    <w:rsid w:val="008E1EA8"/>
    <w:rsid w:val="008E208A"/>
    <w:rsid w:val="008E5335"/>
    <w:rsid w:val="008E5DC6"/>
    <w:rsid w:val="008F0EB3"/>
    <w:rsid w:val="008F2A00"/>
    <w:rsid w:val="008F392C"/>
    <w:rsid w:val="008F3A68"/>
    <w:rsid w:val="008F3B21"/>
    <w:rsid w:val="008F5B2F"/>
    <w:rsid w:val="008F5F7E"/>
    <w:rsid w:val="008F6495"/>
    <w:rsid w:val="008F721E"/>
    <w:rsid w:val="008F75C9"/>
    <w:rsid w:val="008F7980"/>
    <w:rsid w:val="00900B99"/>
    <w:rsid w:val="009013CE"/>
    <w:rsid w:val="0090152F"/>
    <w:rsid w:val="00902314"/>
    <w:rsid w:val="00903772"/>
    <w:rsid w:val="00903B90"/>
    <w:rsid w:val="00904159"/>
    <w:rsid w:val="009048B2"/>
    <w:rsid w:val="00905A58"/>
    <w:rsid w:val="00906B31"/>
    <w:rsid w:val="00906D8E"/>
    <w:rsid w:val="00907792"/>
    <w:rsid w:val="00907F51"/>
    <w:rsid w:val="00910145"/>
    <w:rsid w:val="00911935"/>
    <w:rsid w:val="00911F8B"/>
    <w:rsid w:val="0091212A"/>
    <w:rsid w:val="00913234"/>
    <w:rsid w:val="00913954"/>
    <w:rsid w:val="0091446D"/>
    <w:rsid w:val="0091476E"/>
    <w:rsid w:val="0091481B"/>
    <w:rsid w:val="009168F7"/>
    <w:rsid w:val="00916A64"/>
    <w:rsid w:val="00917546"/>
    <w:rsid w:val="0092017D"/>
    <w:rsid w:val="0092033B"/>
    <w:rsid w:val="00920FEF"/>
    <w:rsid w:val="009213F9"/>
    <w:rsid w:val="00921892"/>
    <w:rsid w:val="00922F35"/>
    <w:rsid w:val="009238FE"/>
    <w:rsid w:val="00923D69"/>
    <w:rsid w:val="00924865"/>
    <w:rsid w:val="009252A4"/>
    <w:rsid w:val="00925439"/>
    <w:rsid w:val="009254B9"/>
    <w:rsid w:val="009262E3"/>
    <w:rsid w:val="0092635E"/>
    <w:rsid w:val="009264E1"/>
    <w:rsid w:val="00926996"/>
    <w:rsid w:val="00926EE0"/>
    <w:rsid w:val="00927B0A"/>
    <w:rsid w:val="009313F8"/>
    <w:rsid w:val="00931489"/>
    <w:rsid w:val="009314B8"/>
    <w:rsid w:val="00931563"/>
    <w:rsid w:val="00933F41"/>
    <w:rsid w:val="00935D6A"/>
    <w:rsid w:val="00936E8A"/>
    <w:rsid w:val="0093710F"/>
    <w:rsid w:val="0093719F"/>
    <w:rsid w:val="0094152D"/>
    <w:rsid w:val="009420AA"/>
    <w:rsid w:val="0094239E"/>
    <w:rsid w:val="0094266F"/>
    <w:rsid w:val="00943EE7"/>
    <w:rsid w:val="00944BFE"/>
    <w:rsid w:val="00945B65"/>
    <w:rsid w:val="00945F3C"/>
    <w:rsid w:val="0094652E"/>
    <w:rsid w:val="00946836"/>
    <w:rsid w:val="0094725A"/>
    <w:rsid w:val="00950AC6"/>
    <w:rsid w:val="009524F3"/>
    <w:rsid w:val="00953844"/>
    <w:rsid w:val="00953B94"/>
    <w:rsid w:val="009548D8"/>
    <w:rsid w:val="00954B0E"/>
    <w:rsid w:val="00955268"/>
    <w:rsid w:val="00956C84"/>
    <w:rsid w:val="00956D4C"/>
    <w:rsid w:val="00956E5F"/>
    <w:rsid w:val="00962740"/>
    <w:rsid w:val="00962E55"/>
    <w:rsid w:val="00962E8C"/>
    <w:rsid w:val="009632F8"/>
    <w:rsid w:val="0096381C"/>
    <w:rsid w:val="00963B12"/>
    <w:rsid w:val="00963BEA"/>
    <w:rsid w:val="009641FD"/>
    <w:rsid w:val="009644E4"/>
    <w:rsid w:val="009656BD"/>
    <w:rsid w:val="00966CD9"/>
    <w:rsid w:val="009701C9"/>
    <w:rsid w:val="0097046E"/>
    <w:rsid w:val="00972AB0"/>
    <w:rsid w:val="00972C20"/>
    <w:rsid w:val="00972E4A"/>
    <w:rsid w:val="00973B90"/>
    <w:rsid w:val="00973F0C"/>
    <w:rsid w:val="00974342"/>
    <w:rsid w:val="00975662"/>
    <w:rsid w:val="009756F4"/>
    <w:rsid w:val="00977817"/>
    <w:rsid w:val="00977C0D"/>
    <w:rsid w:val="009802CB"/>
    <w:rsid w:val="009808A7"/>
    <w:rsid w:val="0098257C"/>
    <w:rsid w:val="00982992"/>
    <w:rsid w:val="00983E55"/>
    <w:rsid w:val="00984D95"/>
    <w:rsid w:val="009861ED"/>
    <w:rsid w:val="0098798D"/>
    <w:rsid w:val="00987EF2"/>
    <w:rsid w:val="00990395"/>
    <w:rsid w:val="0099058A"/>
    <w:rsid w:val="00991989"/>
    <w:rsid w:val="00993702"/>
    <w:rsid w:val="009939F3"/>
    <w:rsid w:val="009942E2"/>
    <w:rsid w:val="009947BA"/>
    <w:rsid w:val="00994FFA"/>
    <w:rsid w:val="0099611D"/>
    <w:rsid w:val="00996C2D"/>
    <w:rsid w:val="009A04AA"/>
    <w:rsid w:val="009A1249"/>
    <w:rsid w:val="009A17E3"/>
    <w:rsid w:val="009A1E41"/>
    <w:rsid w:val="009A239D"/>
    <w:rsid w:val="009A2FFE"/>
    <w:rsid w:val="009A3B75"/>
    <w:rsid w:val="009A5E09"/>
    <w:rsid w:val="009A7821"/>
    <w:rsid w:val="009B0196"/>
    <w:rsid w:val="009B01D0"/>
    <w:rsid w:val="009B1522"/>
    <w:rsid w:val="009B1A3F"/>
    <w:rsid w:val="009B1E72"/>
    <w:rsid w:val="009B35C2"/>
    <w:rsid w:val="009B36EE"/>
    <w:rsid w:val="009B43B0"/>
    <w:rsid w:val="009B6CA5"/>
    <w:rsid w:val="009B7168"/>
    <w:rsid w:val="009C0B50"/>
    <w:rsid w:val="009C6307"/>
    <w:rsid w:val="009C7588"/>
    <w:rsid w:val="009C75A5"/>
    <w:rsid w:val="009C7B3B"/>
    <w:rsid w:val="009C7BCF"/>
    <w:rsid w:val="009D09AD"/>
    <w:rsid w:val="009D10DA"/>
    <w:rsid w:val="009D175A"/>
    <w:rsid w:val="009D1C20"/>
    <w:rsid w:val="009D20E8"/>
    <w:rsid w:val="009D2CE4"/>
    <w:rsid w:val="009D3B36"/>
    <w:rsid w:val="009D4100"/>
    <w:rsid w:val="009D47B8"/>
    <w:rsid w:val="009D6153"/>
    <w:rsid w:val="009D6A8E"/>
    <w:rsid w:val="009D74E6"/>
    <w:rsid w:val="009E2BD3"/>
    <w:rsid w:val="009E30A5"/>
    <w:rsid w:val="009E3262"/>
    <w:rsid w:val="009E3DB5"/>
    <w:rsid w:val="009E4ECC"/>
    <w:rsid w:val="009E5A88"/>
    <w:rsid w:val="009E612B"/>
    <w:rsid w:val="009E68AB"/>
    <w:rsid w:val="009E7350"/>
    <w:rsid w:val="009E79A0"/>
    <w:rsid w:val="009E7B2B"/>
    <w:rsid w:val="009F0D98"/>
    <w:rsid w:val="009F115E"/>
    <w:rsid w:val="009F1988"/>
    <w:rsid w:val="009F2270"/>
    <w:rsid w:val="009F42F8"/>
    <w:rsid w:val="009F48F7"/>
    <w:rsid w:val="009F569D"/>
    <w:rsid w:val="009F5E5B"/>
    <w:rsid w:val="009F61C8"/>
    <w:rsid w:val="009F764C"/>
    <w:rsid w:val="009F7D92"/>
    <w:rsid w:val="00A00E17"/>
    <w:rsid w:val="00A00F5E"/>
    <w:rsid w:val="00A01717"/>
    <w:rsid w:val="00A023E1"/>
    <w:rsid w:val="00A026CB"/>
    <w:rsid w:val="00A02BD7"/>
    <w:rsid w:val="00A031F9"/>
    <w:rsid w:val="00A03E52"/>
    <w:rsid w:val="00A040F2"/>
    <w:rsid w:val="00A05F8F"/>
    <w:rsid w:val="00A070D2"/>
    <w:rsid w:val="00A11CF0"/>
    <w:rsid w:val="00A127A8"/>
    <w:rsid w:val="00A14DA4"/>
    <w:rsid w:val="00A15BDC"/>
    <w:rsid w:val="00A1621A"/>
    <w:rsid w:val="00A176A3"/>
    <w:rsid w:val="00A21599"/>
    <w:rsid w:val="00A21600"/>
    <w:rsid w:val="00A230B5"/>
    <w:rsid w:val="00A23174"/>
    <w:rsid w:val="00A24A09"/>
    <w:rsid w:val="00A24D1B"/>
    <w:rsid w:val="00A24F3C"/>
    <w:rsid w:val="00A25340"/>
    <w:rsid w:val="00A2537A"/>
    <w:rsid w:val="00A2553F"/>
    <w:rsid w:val="00A25A26"/>
    <w:rsid w:val="00A25F6D"/>
    <w:rsid w:val="00A2792A"/>
    <w:rsid w:val="00A27BDC"/>
    <w:rsid w:val="00A27F0E"/>
    <w:rsid w:val="00A301F4"/>
    <w:rsid w:val="00A31A9E"/>
    <w:rsid w:val="00A322D7"/>
    <w:rsid w:val="00A32ADB"/>
    <w:rsid w:val="00A336F0"/>
    <w:rsid w:val="00A33CA7"/>
    <w:rsid w:val="00A369A8"/>
    <w:rsid w:val="00A375F5"/>
    <w:rsid w:val="00A37C4C"/>
    <w:rsid w:val="00A41248"/>
    <w:rsid w:val="00A4132C"/>
    <w:rsid w:val="00A420DD"/>
    <w:rsid w:val="00A42579"/>
    <w:rsid w:val="00A43410"/>
    <w:rsid w:val="00A43B5B"/>
    <w:rsid w:val="00A43F9B"/>
    <w:rsid w:val="00A45390"/>
    <w:rsid w:val="00A46277"/>
    <w:rsid w:val="00A464EA"/>
    <w:rsid w:val="00A47E34"/>
    <w:rsid w:val="00A50B51"/>
    <w:rsid w:val="00A50EA1"/>
    <w:rsid w:val="00A513B7"/>
    <w:rsid w:val="00A51C38"/>
    <w:rsid w:val="00A51F9C"/>
    <w:rsid w:val="00A52A7C"/>
    <w:rsid w:val="00A52B6B"/>
    <w:rsid w:val="00A52ECD"/>
    <w:rsid w:val="00A53167"/>
    <w:rsid w:val="00A536E5"/>
    <w:rsid w:val="00A53E40"/>
    <w:rsid w:val="00A547F2"/>
    <w:rsid w:val="00A54BC2"/>
    <w:rsid w:val="00A54BD9"/>
    <w:rsid w:val="00A556C3"/>
    <w:rsid w:val="00A55D9B"/>
    <w:rsid w:val="00A56585"/>
    <w:rsid w:val="00A5728A"/>
    <w:rsid w:val="00A57C83"/>
    <w:rsid w:val="00A601E0"/>
    <w:rsid w:val="00A6080E"/>
    <w:rsid w:val="00A61105"/>
    <w:rsid w:val="00A61527"/>
    <w:rsid w:val="00A61649"/>
    <w:rsid w:val="00A61697"/>
    <w:rsid w:val="00A63829"/>
    <w:rsid w:val="00A6477E"/>
    <w:rsid w:val="00A64FBE"/>
    <w:rsid w:val="00A672B2"/>
    <w:rsid w:val="00A71FC7"/>
    <w:rsid w:val="00A72474"/>
    <w:rsid w:val="00A72642"/>
    <w:rsid w:val="00A735E7"/>
    <w:rsid w:val="00A7407A"/>
    <w:rsid w:val="00A744DE"/>
    <w:rsid w:val="00A74C3E"/>
    <w:rsid w:val="00A75FF9"/>
    <w:rsid w:val="00A764A0"/>
    <w:rsid w:val="00A77996"/>
    <w:rsid w:val="00A807BF"/>
    <w:rsid w:val="00A819A1"/>
    <w:rsid w:val="00A81CCD"/>
    <w:rsid w:val="00A82923"/>
    <w:rsid w:val="00A82C75"/>
    <w:rsid w:val="00A8376E"/>
    <w:rsid w:val="00A83BA5"/>
    <w:rsid w:val="00A83BF4"/>
    <w:rsid w:val="00A84025"/>
    <w:rsid w:val="00A86287"/>
    <w:rsid w:val="00A869A4"/>
    <w:rsid w:val="00A869AB"/>
    <w:rsid w:val="00A86BE5"/>
    <w:rsid w:val="00A87988"/>
    <w:rsid w:val="00A90757"/>
    <w:rsid w:val="00A90A3D"/>
    <w:rsid w:val="00A91D45"/>
    <w:rsid w:val="00A91D53"/>
    <w:rsid w:val="00A921D4"/>
    <w:rsid w:val="00A94206"/>
    <w:rsid w:val="00A9469F"/>
    <w:rsid w:val="00A96180"/>
    <w:rsid w:val="00A967B0"/>
    <w:rsid w:val="00A97521"/>
    <w:rsid w:val="00A97A66"/>
    <w:rsid w:val="00AA19FA"/>
    <w:rsid w:val="00AA21E6"/>
    <w:rsid w:val="00AA26C7"/>
    <w:rsid w:val="00AA2AA1"/>
    <w:rsid w:val="00AA53AF"/>
    <w:rsid w:val="00AA547F"/>
    <w:rsid w:val="00AA6545"/>
    <w:rsid w:val="00AA7AB5"/>
    <w:rsid w:val="00AB0867"/>
    <w:rsid w:val="00AB10E5"/>
    <w:rsid w:val="00AB1CA6"/>
    <w:rsid w:val="00AB27AF"/>
    <w:rsid w:val="00AB3662"/>
    <w:rsid w:val="00AB42A3"/>
    <w:rsid w:val="00AB52DA"/>
    <w:rsid w:val="00AB72B1"/>
    <w:rsid w:val="00AB7F49"/>
    <w:rsid w:val="00AC296A"/>
    <w:rsid w:val="00AC2E2C"/>
    <w:rsid w:val="00AC43BC"/>
    <w:rsid w:val="00AC4DCA"/>
    <w:rsid w:val="00AC4E19"/>
    <w:rsid w:val="00AC4F1B"/>
    <w:rsid w:val="00AC5025"/>
    <w:rsid w:val="00AC5098"/>
    <w:rsid w:val="00AC51F7"/>
    <w:rsid w:val="00AC639D"/>
    <w:rsid w:val="00AC6B04"/>
    <w:rsid w:val="00AC6DB3"/>
    <w:rsid w:val="00AC7958"/>
    <w:rsid w:val="00AC7AEF"/>
    <w:rsid w:val="00AC7CAF"/>
    <w:rsid w:val="00AD092A"/>
    <w:rsid w:val="00AD0BDF"/>
    <w:rsid w:val="00AD1203"/>
    <w:rsid w:val="00AD1AD3"/>
    <w:rsid w:val="00AD215C"/>
    <w:rsid w:val="00AD21FB"/>
    <w:rsid w:val="00AD2222"/>
    <w:rsid w:val="00AD24BD"/>
    <w:rsid w:val="00AD2D78"/>
    <w:rsid w:val="00AD33EC"/>
    <w:rsid w:val="00AD3AC3"/>
    <w:rsid w:val="00AD4CFF"/>
    <w:rsid w:val="00AD64BE"/>
    <w:rsid w:val="00AD6547"/>
    <w:rsid w:val="00AD7141"/>
    <w:rsid w:val="00AD72E5"/>
    <w:rsid w:val="00AD7A65"/>
    <w:rsid w:val="00AE023C"/>
    <w:rsid w:val="00AE0DF3"/>
    <w:rsid w:val="00AE434A"/>
    <w:rsid w:val="00AE47C6"/>
    <w:rsid w:val="00AE57B7"/>
    <w:rsid w:val="00AE5EEA"/>
    <w:rsid w:val="00AE6447"/>
    <w:rsid w:val="00AE6876"/>
    <w:rsid w:val="00AE7251"/>
    <w:rsid w:val="00AF0194"/>
    <w:rsid w:val="00AF0BD5"/>
    <w:rsid w:val="00AF1C20"/>
    <w:rsid w:val="00AF2101"/>
    <w:rsid w:val="00AF261C"/>
    <w:rsid w:val="00AF2924"/>
    <w:rsid w:val="00AF3E56"/>
    <w:rsid w:val="00AF54C3"/>
    <w:rsid w:val="00AF587A"/>
    <w:rsid w:val="00AF5EB1"/>
    <w:rsid w:val="00AF74F9"/>
    <w:rsid w:val="00AF77C3"/>
    <w:rsid w:val="00AF7813"/>
    <w:rsid w:val="00B02E1D"/>
    <w:rsid w:val="00B03B9A"/>
    <w:rsid w:val="00B03DD1"/>
    <w:rsid w:val="00B03E55"/>
    <w:rsid w:val="00B0445C"/>
    <w:rsid w:val="00B050D9"/>
    <w:rsid w:val="00B06693"/>
    <w:rsid w:val="00B07C96"/>
    <w:rsid w:val="00B10161"/>
    <w:rsid w:val="00B10CDF"/>
    <w:rsid w:val="00B11462"/>
    <w:rsid w:val="00B1222B"/>
    <w:rsid w:val="00B13514"/>
    <w:rsid w:val="00B14315"/>
    <w:rsid w:val="00B1534C"/>
    <w:rsid w:val="00B17DC7"/>
    <w:rsid w:val="00B2064C"/>
    <w:rsid w:val="00B20C55"/>
    <w:rsid w:val="00B2244D"/>
    <w:rsid w:val="00B234A2"/>
    <w:rsid w:val="00B23A42"/>
    <w:rsid w:val="00B23D06"/>
    <w:rsid w:val="00B245EC"/>
    <w:rsid w:val="00B26323"/>
    <w:rsid w:val="00B26DFB"/>
    <w:rsid w:val="00B27C32"/>
    <w:rsid w:val="00B30035"/>
    <w:rsid w:val="00B311AC"/>
    <w:rsid w:val="00B3296B"/>
    <w:rsid w:val="00B3314E"/>
    <w:rsid w:val="00B33276"/>
    <w:rsid w:val="00B33AA2"/>
    <w:rsid w:val="00B33F74"/>
    <w:rsid w:val="00B34100"/>
    <w:rsid w:val="00B345C3"/>
    <w:rsid w:val="00B34BDF"/>
    <w:rsid w:val="00B34D90"/>
    <w:rsid w:val="00B373FA"/>
    <w:rsid w:val="00B3740C"/>
    <w:rsid w:val="00B40B2E"/>
    <w:rsid w:val="00B416CB"/>
    <w:rsid w:val="00B4273E"/>
    <w:rsid w:val="00B42949"/>
    <w:rsid w:val="00B42E82"/>
    <w:rsid w:val="00B4348B"/>
    <w:rsid w:val="00B43A08"/>
    <w:rsid w:val="00B43C01"/>
    <w:rsid w:val="00B4579A"/>
    <w:rsid w:val="00B47AB0"/>
    <w:rsid w:val="00B50C64"/>
    <w:rsid w:val="00B50D33"/>
    <w:rsid w:val="00B5129E"/>
    <w:rsid w:val="00B519F2"/>
    <w:rsid w:val="00B52471"/>
    <w:rsid w:val="00B53E5D"/>
    <w:rsid w:val="00B543AC"/>
    <w:rsid w:val="00B55F98"/>
    <w:rsid w:val="00B5661B"/>
    <w:rsid w:val="00B56E42"/>
    <w:rsid w:val="00B60A9E"/>
    <w:rsid w:val="00B60BEA"/>
    <w:rsid w:val="00B61952"/>
    <w:rsid w:val="00B62304"/>
    <w:rsid w:val="00B6496A"/>
    <w:rsid w:val="00B64DFC"/>
    <w:rsid w:val="00B65C26"/>
    <w:rsid w:val="00B67AF3"/>
    <w:rsid w:val="00B67C75"/>
    <w:rsid w:val="00B70B82"/>
    <w:rsid w:val="00B71E6B"/>
    <w:rsid w:val="00B721E3"/>
    <w:rsid w:val="00B73CB8"/>
    <w:rsid w:val="00B75B91"/>
    <w:rsid w:val="00B75CAF"/>
    <w:rsid w:val="00B763BB"/>
    <w:rsid w:val="00B80E73"/>
    <w:rsid w:val="00B8258E"/>
    <w:rsid w:val="00B835AC"/>
    <w:rsid w:val="00B845BE"/>
    <w:rsid w:val="00B846D2"/>
    <w:rsid w:val="00B847EF"/>
    <w:rsid w:val="00B853A1"/>
    <w:rsid w:val="00B85E7C"/>
    <w:rsid w:val="00B8666C"/>
    <w:rsid w:val="00B909F7"/>
    <w:rsid w:val="00B9297D"/>
    <w:rsid w:val="00B93A24"/>
    <w:rsid w:val="00B9475D"/>
    <w:rsid w:val="00B9509B"/>
    <w:rsid w:val="00B952A3"/>
    <w:rsid w:val="00B967F3"/>
    <w:rsid w:val="00BA2C54"/>
    <w:rsid w:val="00BA2DBA"/>
    <w:rsid w:val="00BA39EB"/>
    <w:rsid w:val="00BA4519"/>
    <w:rsid w:val="00BA5C0C"/>
    <w:rsid w:val="00BA64B5"/>
    <w:rsid w:val="00BA7691"/>
    <w:rsid w:val="00BA7E7C"/>
    <w:rsid w:val="00BB06F4"/>
    <w:rsid w:val="00BB2179"/>
    <w:rsid w:val="00BB2199"/>
    <w:rsid w:val="00BB2C3F"/>
    <w:rsid w:val="00BB4D7C"/>
    <w:rsid w:val="00BB55C8"/>
    <w:rsid w:val="00BB727E"/>
    <w:rsid w:val="00BB764B"/>
    <w:rsid w:val="00BB77CD"/>
    <w:rsid w:val="00BC028E"/>
    <w:rsid w:val="00BC0568"/>
    <w:rsid w:val="00BC1E7B"/>
    <w:rsid w:val="00BC2B29"/>
    <w:rsid w:val="00BC3C59"/>
    <w:rsid w:val="00BC422A"/>
    <w:rsid w:val="00BC5AB0"/>
    <w:rsid w:val="00BC6A1E"/>
    <w:rsid w:val="00BD1CE7"/>
    <w:rsid w:val="00BD221E"/>
    <w:rsid w:val="00BD2CC4"/>
    <w:rsid w:val="00BD37AA"/>
    <w:rsid w:val="00BD40F7"/>
    <w:rsid w:val="00BD6DCC"/>
    <w:rsid w:val="00BE0193"/>
    <w:rsid w:val="00BE07C1"/>
    <w:rsid w:val="00BE0B19"/>
    <w:rsid w:val="00BE155A"/>
    <w:rsid w:val="00BE23D9"/>
    <w:rsid w:val="00BE3EAC"/>
    <w:rsid w:val="00BE4283"/>
    <w:rsid w:val="00BE5512"/>
    <w:rsid w:val="00BE563C"/>
    <w:rsid w:val="00BE5B9C"/>
    <w:rsid w:val="00BE5C3D"/>
    <w:rsid w:val="00BE60D2"/>
    <w:rsid w:val="00BE6DD4"/>
    <w:rsid w:val="00BE7BF7"/>
    <w:rsid w:val="00BF0C27"/>
    <w:rsid w:val="00BF26B2"/>
    <w:rsid w:val="00BF4048"/>
    <w:rsid w:val="00BF5272"/>
    <w:rsid w:val="00BF580B"/>
    <w:rsid w:val="00BF5977"/>
    <w:rsid w:val="00BF70F5"/>
    <w:rsid w:val="00BF7484"/>
    <w:rsid w:val="00BF7752"/>
    <w:rsid w:val="00BF7B92"/>
    <w:rsid w:val="00BF7E03"/>
    <w:rsid w:val="00C01AA5"/>
    <w:rsid w:val="00C030B7"/>
    <w:rsid w:val="00C0339B"/>
    <w:rsid w:val="00C0345B"/>
    <w:rsid w:val="00C03653"/>
    <w:rsid w:val="00C047D0"/>
    <w:rsid w:val="00C0667E"/>
    <w:rsid w:val="00C06815"/>
    <w:rsid w:val="00C100E0"/>
    <w:rsid w:val="00C10475"/>
    <w:rsid w:val="00C10B75"/>
    <w:rsid w:val="00C10FA1"/>
    <w:rsid w:val="00C117CA"/>
    <w:rsid w:val="00C12050"/>
    <w:rsid w:val="00C12CB4"/>
    <w:rsid w:val="00C12F47"/>
    <w:rsid w:val="00C13D44"/>
    <w:rsid w:val="00C20E33"/>
    <w:rsid w:val="00C21A67"/>
    <w:rsid w:val="00C22E4D"/>
    <w:rsid w:val="00C233E8"/>
    <w:rsid w:val="00C23609"/>
    <w:rsid w:val="00C23B40"/>
    <w:rsid w:val="00C24700"/>
    <w:rsid w:val="00C25119"/>
    <w:rsid w:val="00C252AD"/>
    <w:rsid w:val="00C25475"/>
    <w:rsid w:val="00C26302"/>
    <w:rsid w:val="00C26863"/>
    <w:rsid w:val="00C276C1"/>
    <w:rsid w:val="00C2777D"/>
    <w:rsid w:val="00C27B1F"/>
    <w:rsid w:val="00C30504"/>
    <w:rsid w:val="00C30C11"/>
    <w:rsid w:val="00C321DE"/>
    <w:rsid w:val="00C33365"/>
    <w:rsid w:val="00C3479C"/>
    <w:rsid w:val="00C34CCC"/>
    <w:rsid w:val="00C34ECD"/>
    <w:rsid w:val="00C356EE"/>
    <w:rsid w:val="00C35E3C"/>
    <w:rsid w:val="00C363B9"/>
    <w:rsid w:val="00C36673"/>
    <w:rsid w:val="00C366ED"/>
    <w:rsid w:val="00C36C50"/>
    <w:rsid w:val="00C373BD"/>
    <w:rsid w:val="00C37601"/>
    <w:rsid w:val="00C4077E"/>
    <w:rsid w:val="00C40943"/>
    <w:rsid w:val="00C41702"/>
    <w:rsid w:val="00C41BAD"/>
    <w:rsid w:val="00C42D44"/>
    <w:rsid w:val="00C430C7"/>
    <w:rsid w:val="00C43261"/>
    <w:rsid w:val="00C438F1"/>
    <w:rsid w:val="00C43FEA"/>
    <w:rsid w:val="00C44997"/>
    <w:rsid w:val="00C451C0"/>
    <w:rsid w:val="00C45872"/>
    <w:rsid w:val="00C463EB"/>
    <w:rsid w:val="00C47557"/>
    <w:rsid w:val="00C47BFF"/>
    <w:rsid w:val="00C50CD1"/>
    <w:rsid w:val="00C50D67"/>
    <w:rsid w:val="00C52BAF"/>
    <w:rsid w:val="00C53859"/>
    <w:rsid w:val="00C54697"/>
    <w:rsid w:val="00C5513D"/>
    <w:rsid w:val="00C55E79"/>
    <w:rsid w:val="00C563B5"/>
    <w:rsid w:val="00C56D41"/>
    <w:rsid w:val="00C56F59"/>
    <w:rsid w:val="00C5757B"/>
    <w:rsid w:val="00C60A67"/>
    <w:rsid w:val="00C6111A"/>
    <w:rsid w:val="00C62041"/>
    <w:rsid w:val="00C6372B"/>
    <w:rsid w:val="00C63829"/>
    <w:rsid w:val="00C65033"/>
    <w:rsid w:val="00C65FD1"/>
    <w:rsid w:val="00C66609"/>
    <w:rsid w:val="00C674DB"/>
    <w:rsid w:val="00C67AAA"/>
    <w:rsid w:val="00C67BCA"/>
    <w:rsid w:val="00C70EB1"/>
    <w:rsid w:val="00C7153D"/>
    <w:rsid w:val="00C71EB0"/>
    <w:rsid w:val="00C71FAB"/>
    <w:rsid w:val="00C7422A"/>
    <w:rsid w:val="00C74C48"/>
    <w:rsid w:val="00C74E8C"/>
    <w:rsid w:val="00C75B6D"/>
    <w:rsid w:val="00C76148"/>
    <w:rsid w:val="00C762C3"/>
    <w:rsid w:val="00C76603"/>
    <w:rsid w:val="00C80026"/>
    <w:rsid w:val="00C800AC"/>
    <w:rsid w:val="00C805E4"/>
    <w:rsid w:val="00C81897"/>
    <w:rsid w:val="00C81BF3"/>
    <w:rsid w:val="00C82D98"/>
    <w:rsid w:val="00C83617"/>
    <w:rsid w:val="00C8379B"/>
    <w:rsid w:val="00C83F2E"/>
    <w:rsid w:val="00C84000"/>
    <w:rsid w:val="00C84784"/>
    <w:rsid w:val="00C85ECD"/>
    <w:rsid w:val="00C86AD9"/>
    <w:rsid w:val="00C8721A"/>
    <w:rsid w:val="00C8775C"/>
    <w:rsid w:val="00C87C6A"/>
    <w:rsid w:val="00C90261"/>
    <w:rsid w:val="00C9078F"/>
    <w:rsid w:val="00C90905"/>
    <w:rsid w:val="00C90D05"/>
    <w:rsid w:val="00C91D28"/>
    <w:rsid w:val="00C91F8B"/>
    <w:rsid w:val="00C925BA"/>
    <w:rsid w:val="00C92CC9"/>
    <w:rsid w:val="00C92D91"/>
    <w:rsid w:val="00C93542"/>
    <w:rsid w:val="00C946FA"/>
    <w:rsid w:val="00C96718"/>
    <w:rsid w:val="00C97F8D"/>
    <w:rsid w:val="00CA02F7"/>
    <w:rsid w:val="00CA0E93"/>
    <w:rsid w:val="00CA283A"/>
    <w:rsid w:val="00CA2D6E"/>
    <w:rsid w:val="00CA40EC"/>
    <w:rsid w:val="00CA517E"/>
    <w:rsid w:val="00CA523A"/>
    <w:rsid w:val="00CA5B09"/>
    <w:rsid w:val="00CA7033"/>
    <w:rsid w:val="00CA73F1"/>
    <w:rsid w:val="00CA7508"/>
    <w:rsid w:val="00CA7BB0"/>
    <w:rsid w:val="00CB2F28"/>
    <w:rsid w:val="00CB3508"/>
    <w:rsid w:val="00CB38E1"/>
    <w:rsid w:val="00CB49C9"/>
    <w:rsid w:val="00CB4D0F"/>
    <w:rsid w:val="00CB4D13"/>
    <w:rsid w:val="00CB5920"/>
    <w:rsid w:val="00CB6247"/>
    <w:rsid w:val="00CB7404"/>
    <w:rsid w:val="00CB7624"/>
    <w:rsid w:val="00CC12E6"/>
    <w:rsid w:val="00CC1849"/>
    <w:rsid w:val="00CC2557"/>
    <w:rsid w:val="00CC27CA"/>
    <w:rsid w:val="00CC2B60"/>
    <w:rsid w:val="00CC5CDD"/>
    <w:rsid w:val="00CC617C"/>
    <w:rsid w:val="00CC6818"/>
    <w:rsid w:val="00CC747D"/>
    <w:rsid w:val="00CD0B0E"/>
    <w:rsid w:val="00CD10A3"/>
    <w:rsid w:val="00CD142B"/>
    <w:rsid w:val="00CD1CC7"/>
    <w:rsid w:val="00CD2005"/>
    <w:rsid w:val="00CD271F"/>
    <w:rsid w:val="00CD2C5E"/>
    <w:rsid w:val="00CD57BC"/>
    <w:rsid w:val="00CD5C22"/>
    <w:rsid w:val="00CD6ED2"/>
    <w:rsid w:val="00CD776B"/>
    <w:rsid w:val="00CE0037"/>
    <w:rsid w:val="00CE17E5"/>
    <w:rsid w:val="00CE1EF9"/>
    <w:rsid w:val="00CE23F2"/>
    <w:rsid w:val="00CE28D9"/>
    <w:rsid w:val="00CE5718"/>
    <w:rsid w:val="00CE5AA1"/>
    <w:rsid w:val="00CE7284"/>
    <w:rsid w:val="00CF14DC"/>
    <w:rsid w:val="00CF17CE"/>
    <w:rsid w:val="00CF2A80"/>
    <w:rsid w:val="00CF2FC2"/>
    <w:rsid w:val="00CF378D"/>
    <w:rsid w:val="00CF5D82"/>
    <w:rsid w:val="00CF6300"/>
    <w:rsid w:val="00CF64A0"/>
    <w:rsid w:val="00CF7501"/>
    <w:rsid w:val="00D0015E"/>
    <w:rsid w:val="00D00612"/>
    <w:rsid w:val="00D0067E"/>
    <w:rsid w:val="00D0129E"/>
    <w:rsid w:val="00D01AC6"/>
    <w:rsid w:val="00D02AD3"/>
    <w:rsid w:val="00D02FF2"/>
    <w:rsid w:val="00D06CD4"/>
    <w:rsid w:val="00D07E1C"/>
    <w:rsid w:val="00D1318C"/>
    <w:rsid w:val="00D144FC"/>
    <w:rsid w:val="00D145D0"/>
    <w:rsid w:val="00D14C28"/>
    <w:rsid w:val="00D15C58"/>
    <w:rsid w:val="00D162B5"/>
    <w:rsid w:val="00D17390"/>
    <w:rsid w:val="00D17454"/>
    <w:rsid w:val="00D20ED6"/>
    <w:rsid w:val="00D21FEF"/>
    <w:rsid w:val="00D23724"/>
    <w:rsid w:val="00D23FF0"/>
    <w:rsid w:val="00D2435E"/>
    <w:rsid w:val="00D243A6"/>
    <w:rsid w:val="00D24740"/>
    <w:rsid w:val="00D24D2B"/>
    <w:rsid w:val="00D25514"/>
    <w:rsid w:val="00D25CB4"/>
    <w:rsid w:val="00D26493"/>
    <w:rsid w:val="00D268A5"/>
    <w:rsid w:val="00D30655"/>
    <w:rsid w:val="00D30929"/>
    <w:rsid w:val="00D31936"/>
    <w:rsid w:val="00D332D8"/>
    <w:rsid w:val="00D33424"/>
    <w:rsid w:val="00D33A14"/>
    <w:rsid w:val="00D33AF9"/>
    <w:rsid w:val="00D345CA"/>
    <w:rsid w:val="00D349B5"/>
    <w:rsid w:val="00D35A61"/>
    <w:rsid w:val="00D36A01"/>
    <w:rsid w:val="00D36FA9"/>
    <w:rsid w:val="00D3796E"/>
    <w:rsid w:val="00D4155B"/>
    <w:rsid w:val="00D41C45"/>
    <w:rsid w:val="00D41CE8"/>
    <w:rsid w:val="00D42795"/>
    <w:rsid w:val="00D42B4F"/>
    <w:rsid w:val="00D43820"/>
    <w:rsid w:val="00D43931"/>
    <w:rsid w:val="00D44AEF"/>
    <w:rsid w:val="00D45895"/>
    <w:rsid w:val="00D461E7"/>
    <w:rsid w:val="00D46699"/>
    <w:rsid w:val="00D473E2"/>
    <w:rsid w:val="00D4767B"/>
    <w:rsid w:val="00D50D06"/>
    <w:rsid w:val="00D50DE6"/>
    <w:rsid w:val="00D51BEA"/>
    <w:rsid w:val="00D5263C"/>
    <w:rsid w:val="00D529D8"/>
    <w:rsid w:val="00D54958"/>
    <w:rsid w:val="00D55D3D"/>
    <w:rsid w:val="00D56102"/>
    <w:rsid w:val="00D563A9"/>
    <w:rsid w:val="00D578CA"/>
    <w:rsid w:val="00D60206"/>
    <w:rsid w:val="00D6035A"/>
    <w:rsid w:val="00D60DB1"/>
    <w:rsid w:val="00D61A8E"/>
    <w:rsid w:val="00D62865"/>
    <w:rsid w:val="00D629CE"/>
    <w:rsid w:val="00D64B03"/>
    <w:rsid w:val="00D65041"/>
    <w:rsid w:val="00D65C2F"/>
    <w:rsid w:val="00D66202"/>
    <w:rsid w:val="00D665B2"/>
    <w:rsid w:val="00D7006D"/>
    <w:rsid w:val="00D7194B"/>
    <w:rsid w:val="00D72AA6"/>
    <w:rsid w:val="00D738CD"/>
    <w:rsid w:val="00D741A5"/>
    <w:rsid w:val="00D75C29"/>
    <w:rsid w:val="00D760F9"/>
    <w:rsid w:val="00D76567"/>
    <w:rsid w:val="00D80252"/>
    <w:rsid w:val="00D80B05"/>
    <w:rsid w:val="00D810E2"/>
    <w:rsid w:val="00D81BFD"/>
    <w:rsid w:val="00D82BB4"/>
    <w:rsid w:val="00D83201"/>
    <w:rsid w:val="00D8388E"/>
    <w:rsid w:val="00D83DC2"/>
    <w:rsid w:val="00D840C2"/>
    <w:rsid w:val="00D8434E"/>
    <w:rsid w:val="00D868AF"/>
    <w:rsid w:val="00D86B92"/>
    <w:rsid w:val="00D86CF2"/>
    <w:rsid w:val="00D90067"/>
    <w:rsid w:val="00D913E9"/>
    <w:rsid w:val="00D9169A"/>
    <w:rsid w:val="00D920BA"/>
    <w:rsid w:val="00D9272C"/>
    <w:rsid w:val="00D933FF"/>
    <w:rsid w:val="00D94034"/>
    <w:rsid w:val="00D96741"/>
    <w:rsid w:val="00D972C9"/>
    <w:rsid w:val="00D9775E"/>
    <w:rsid w:val="00D97B3E"/>
    <w:rsid w:val="00D97F68"/>
    <w:rsid w:val="00DA0491"/>
    <w:rsid w:val="00DA0BFB"/>
    <w:rsid w:val="00DA150C"/>
    <w:rsid w:val="00DA1A52"/>
    <w:rsid w:val="00DA1BF3"/>
    <w:rsid w:val="00DA1C8D"/>
    <w:rsid w:val="00DA39C3"/>
    <w:rsid w:val="00DA41EC"/>
    <w:rsid w:val="00DA4ACE"/>
    <w:rsid w:val="00DA4B32"/>
    <w:rsid w:val="00DA4D3E"/>
    <w:rsid w:val="00DA6D44"/>
    <w:rsid w:val="00DA6D98"/>
    <w:rsid w:val="00DA7EE2"/>
    <w:rsid w:val="00DA7F69"/>
    <w:rsid w:val="00DB0E63"/>
    <w:rsid w:val="00DB1960"/>
    <w:rsid w:val="00DB2C1B"/>
    <w:rsid w:val="00DB2EE5"/>
    <w:rsid w:val="00DB326B"/>
    <w:rsid w:val="00DB3B08"/>
    <w:rsid w:val="00DB41FC"/>
    <w:rsid w:val="00DB5BA3"/>
    <w:rsid w:val="00DB5D67"/>
    <w:rsid w:val="00DB5F6A"/>
    <w:rsid w:val="00DB76CA"/>
    <w:rsid w:val="00DC1109"/>
    <w:rsid w:val="00DC1364"/>
    <w:rsid w:val="00DC21EC"/>
    <w:rsid w:val="00DC3573"/>
    <w:rsid w:val="00DC41E1"/>
    <w:rsid w:val="00DC4700"/>
    <w:rsid w:val="00DC4C79"/>
    <w:rsid w:val="00DC5AAD"/>
    <w:rsid w:val="00DC65E8"/>
    <w:rsid w:val="00DC6C64"/>
    <w:rsid w:val="00DC72F4"/>
    <w:rsid w:val="00DD11C4"/>
    <w:rsid w:val="00DD2F54"/>
    <w:rsid w:val="00DD30A1"/>
    <w:rsid w:val="00DD3F43"/>
    <w:rsid w:val="00DD43C9"/>
    <w:rsid w:val="00DD4767"/>
    <w:rsid w:val="00DD47BE"/>
    <w:rsid w:val="00DD5F7B"/>
    <w:rsid w:val="00DD696B"/>
    <w:rsid w:val="00DD7101"/>
    <w:rsid w:val="00DD77BB"/>
    <w:rsid w:val="00DE0391"/>
    <w:rsid w:val="00DE0C9E"/>
    <w:rsid w:val="00DE18B9"/>
    <w:rsid w:val="00DE1E9C"/>
    <w:rsid w:val="00DE2721"/>
    <w:rsid w:val="00DE2ECF"/>
    <w:rsid w:val="00DE4312"/>
    <w:rsid w:val="00DE4892"/>
    <w:rsid w:val="00DE53FD"/>
    <w:rsid w:val="00DE5E7E"/>
    <w:rsid w:val="00DE61E7"/>
    <w:rsid w:val="00DE7231"/>
    <w:rsid w:val="00DF09D1"/>
    <w:rsid w:val="00DF2169"/>
    <w:rsid w:val="00DF2332"/>
    <w:rsid w:val="00DF2549"/>
    <w:rsid w:val="00DF25FC"/>
    <w:rsid w:val="00DF36B0"/>
    <w:rsid w:val="00DF3843"/>
    <w:rsid w:val="00DF3847"/>
    <w:rsid w:val="00DF3BA9"/>
    <w:rsid w:val="00DF4852"/>
    <w:rsid w:val="00DF5265"/>
    <w:rsid w:val="00DF5E99"/>
    <w:rsid w:val="00DF5EA7"/>
    <w:rsid w:val="00DF679A"/>
    <w:rsid w:val="00DF7201"/>
    <w:rsid w:val="00DF75E8"/>
    <w:rsid w:val="00E005F7"/>
    <w:rsid w:val="00E01030"/>
    <w:rsid w:val="00E016B9"/>
    <w:rsid w:val="00E03A00"/>
    <w:rsid w:val="00E04087"/>
    <w:rsid w:val="00E0422E"/>
    <w:rsid w:val="00E061FB"/>
    <w:rsid w:val="00E0796C"/>
    <w:rsid w:val="00E10895"/>
    <w:rsid w:val="00E11F1C"/>
    <w:rsid w:val="00E12429"/>
    <w:rsid w:val="00E12695"/>
    <w:rsid w:val="00E140BF"/>
    <w:rsid w:val="00E14B72"/>
    <w:rsid w:val="00E14DCD"/>
    <w:rsid w:val="00E1560E"/>
    <w:rsid w:val="00E16D04"/>
    <w:rsid w:val="00E21551"/>
    <w:rsid w:val="00E225DD"/>
    <w:rsid w:val="00E264C6"/>
    <w:rsid w:val="00E2674C"/>
    <w:rsid w:val="00E26C5A"/>
    <w:rsid w:val="00E2768B"/>
    <w:rsid w:val="00E31CD6"/>
    <w:rsid w:val="00E330EB"/>
    <w:rsid w:val="00E33169"/>
    <w:rsid w:val="00E33B10"/>
    <w:rsid w:val="00E3406A"/>
    <w:rsid w:val="00E347BB"/>
    <w:rsid w:val="00E353F4"/>
    <w:rsid w:val="00E3692C"/>
    <w:rsid w:val="00E37B0B"/>
    <w:rsid w:val="00E37E56"/>
    <w:rsid w:val="00E400F8"/>
    <w:rsid w:val="00E408F6"/>
    <w:rsid w:val="00E41F1E"/>
    <w:rsid w:val="00E4327C"/>
    <w:rsid w:val="00E4370F"/>
    <w:rsid w:val="00E44265"/>
    <w:rsid w:val="00E503D7"/>
    <w:rsid w:val="00E50C2E"/>
    <w:rsid w:val="00E50E17"/>
    <w:rsid w:val="00E51653"/>
    <w:rsid w:val="00E51C18"/>
    <w:rsid w:val="00E52A3A"/>
    <w:rsid w:val="00E5320E"/>
    <w:rsid w:val="00E53588"/>
    <w:rsid w:val="00E53BC0"/>
    <w:rsid w:val="00E57013"/>
    <w:rsid w:val="00E617B9"/>
    <w:rsid w:val="00E62E30"/>
    <w:rsid w:val="00E62FD1"/>
    <w:rsid w:val="00E6314C"/>
    <w:rsid w:val="00E63D49"/>
    <w:rsid w:val="00E659D1"/>
    <w:rsid w:val="00E65F4F"/>
    <w:rsid w:val="00E6735D"/>
    <w:rsid w:val="00E70326"/>
    <w:rsid w:val="00E70DBA"/>
    <w:rsid w:val="00E71031"/>
    <w:rsid w:val="00E715D3"/>
    <w:rsid w:val="00E71B68"/>
    <w:rsid w:val="00E72357"/>
    <w:rsid w:val="00E72902"/>
    <w:rsid w:val="00E72C9F"/>
    <w:rsid w:val="00E74A19"/>
    <w:rsid w:val="00E74BD4"/>
    <w:rsid w:val="00E74BDB"/>
    <w:rsid w:val="00E76EEE"/>
    <w:rsid w:val="00E77172"/>
    <w:rsid w:val="00E77175"/>
    <w:rsid w:val="00E77AD3"/>
    <w:rsid w:val="00E80631"/>
    <w:rsid w:val="00E81A23"/>
    <w:rsid w:val="00E82525"/>
    <w:rsid w:val="00E849EC"/>
    <w:rsid w:val="00E84CCF"/>
    <w:rsid w:val="00E85349"/>
    <w:rsid w:val="00E85BF5"/>
    <w:rsid w:val="00E869E4"/>
    <w:rsid w:val="00E87159"/>
    <w:rsid w:val="00E875E6"/>
    <w:rsid w:val="00E91072"/>
    <w:rsid w:val="00E9301B"/>
    <w:rsid w:val="00E93056"/>
    <w:rsid w:val="00E942BC"/>
    <w:rsid w:val="00E9442B"/>
    <w:rsid w:val="00E94AA0"/>
    <w:rsid w:val="00E95B13"/>
    <w:rsid w:val="00E96D31"/>
    <w:rsid w:val="00E9768F"/>
    <w:rsid w:val="00E976DF"/>
    <w:rsid w:val="00E97EEC"/>
    <w:rsid w:val="00EA076F"/>
    <w:rsid w:val="00EA0E7E"/>
    <w:rsid w:val="00EA14BB"/>
    <w:rsid w:val="00EA2A48"/>
    <w:rsid w:val="00EA2B7F"/>
    <w:rsid w:val="00EA2BC8"/>
    <w:rsid w:val="00EA2D36"/>
    <w:rsid w:val="00EA2F64"/>
    <w:rsid w:val="00EA2F9B"/>
    <w:rsid w:val="00EA3150"/>
    <w:rsid w:val="00EA31F0"/>
    <w:rsid w:val="00EA3CE7"/>
    <w:rsid w:val="00EA5658"/>
    <w:rsid w:val="00EA5DFB"/>
    <w:rsid w:val="00EA69AD"/>
    <w:rsid w:val="00EB1F49"/>
    <w:rsid w:val="00EB5B01"/>
    <w:rsid w:val="00EB5E39"/>
    <w:rsid w:val="00EB7178"/>
    <w:rsid w:val="00EB7321"/>
    <w:rsid w:val="00EB76D4"/>
    <w:rsid w:val="00EC138E"/>
    <w:rsid w:val="00EC176F"/>
    <w:rsid w:val="00EC18E0"/>
    <w:rsid w:val="00EC1BF6"/>
    <w:rsid w:val="00EC21F5"/>
    <w:rsid w:val="00EC2CC2"/>
    <w:rsid w:val="00EC34B0"/>
    <w:rsid w:val="00EC3605"/>
    <w:rsid w:val="00EC374E"/>
    <w:rsid w:val="00EC4479"/>
    <w:rsid w:val="00EC6C9B"/>
    <w:rsid w:val="00ED10AB"/>
    <w:rsid w:val="00ED1599"/>
    <w:rsid w:val="00ED388E"/>
    <w:rsid w:val="00ED5271"/>
    <w:rsid w:val="00ED5354"/>
    <w:rsid w:val="00ED5482"/>
    <w:rsid w:val="00ED5835"/>
    <w:rsid w:val="00ED7FD2"/>
    <w:rsid w:val="00EE12F7"/>
    <w:rsid w:val="00EE1867"/>
    <w:rsid w:val="00EE1B21"/>
    <w:rsid w:val="00EE1DEE"/>
    <w:rsid w:val="00EE23A7"/>
    <w:rsid w:val="00EE2BE5"/>
    <w:rsid w:val="00EE37C2"/>
    <w:rsid w:val="00EE495F"/>
    <w:rsid w:val="00EE6712"/>
    <w:rsid w:val="00EE721D"/>
    <w:rsid w:val="00EF1A84"/>
    <w:rsid w:val="00EF2325"/>
    <w:rsid w:val="00EF2868"/>
    <w:rsid w:val="00EF38DB"/>
    <w:rsid w:val="00EF4457"/>
    <w:rsid w:val="00EF4B48"/>
    <w:rsid w:val="00EF5392"/>
    <w:rsid w:val="00EF5FA7"/>
    <w:rsid w:val="00EF62AE"/>
    <w:rsid w:val="00EF67E6"/>
    <w:rsid w:val="00EF71A2"/>
    <w:rsid w:val="00F01831"/>
    <w:rsid w:val="00F02061"/>
    <w:rsid w:val="00F033F6"/>
    <w:rsid w:val="00F037D4"/>
    <w:rsid w:val="00F03C78"/>
    <w:rsid w:val="00F0548C"/>
    <w:rsid w:val="00F061B5"/>
    <w:rsid w:val="00F0682E"/>
    <w:rsid w:val="00F074B4"/>
    <w:rsid w:val="00F078B9"/>
    <w:rsid w:val="00F078E4"/>
    <w:rsid w:val="00F07970"/>
    <w:rsid w:val="00F105FE"/>
    <w:rsid w:val="00F11329"/>
    <w:rsid w:val="00F11D9D"/>
    <w:rsid w:val="00F122A0"/>
    <w:rsid w:val="00F12D00"/>
    <w:rsid w:val="00F136FC"/>
    <w:rsid w:val="00F153D3"/>
    <w:rsid w:val="00F15628"/>
    <w:rsid w:val="00F15DAE"/>
    <w:rsid w:val="00F16078"/>
    <w:rsid w:val="00F17566"/>
    <w:rsid w:val="00F17B3B"/>
    <w:rsid w:val="00F208D5"/>
    <w:rsid w:val="00F22C16"/>
    <w:rsid w:val="00F23291"/>
    <w:rsid w:val="00F24B29"/>
    <w:rsid w:val="00F250CE"/>
    <w:rsid w:val="00F260C4"/>
    <w:rsid w:val="00F26385"/>
    <w:rsid w:val="00F2698F"/>
    <w:rsid w:val="00F30295"/>
    <w:rsid w:val="00F30536"/>
    <w:rsid w:val="00F309D4"/>
    <w:rsid w:val="00F30E68"/>
    <w:rsid w:val="00F310B0"/>
    <w:rsid w:val="00F3184D"/>
    <w:rsid w:val="00F326FF"/>
    <w:rsid w:val="00F32A2A"/>
    <w:rsid w:val="00F33895"/>
    <w:rsid w:val="00F338BE"/>
    <w:rsid w:val="00F354EE"/>
    <w:rsid w:val="00F36548"/>
    <w:rsid w:val="00F36965"/>
    <w:rsid w:val="00F4000E"/>
    <w:rsid w:val="00F4075E"/>
    <w:rsid w:val="00F40F63"/>
    <w:rsid w:val="00F40F74"/>
    <w:rsid w:val="00F42500"/>
    <w:rsid w:val="00F42EEA"/>
    <w:rsid w:val="00F43D29"/>
    <w:rsid w:val="00F44CB2"/>
    <w:rsid w:val="00F462C6"/>
    <w:rsid w:val="00F4671C"/>
    <w:rsid w:val="00F50B87"/>
    <w:rsid w:val="00F51C86"/>
    <w:rsid w:val="00F52426"/>
    <w:rsid w:val="00F52D07"/>
    <w:rsid w:val="00F53C68"/>
    <w:rsid w:val="00F557BA"/>
    <w:rsid w:val="00F566DC"/>
    <w:rsid w:val="00F576F8"/>
    <w:rsid w:val="00F604B6"/>
    <w:rsid w:val="00F615A7"/>
    <w:rsid w:val="00F61D45"/>
    <w:rsid w:val="00F61FB2"/>
    <w:rsid w:val="00F6347D"/>
    <w:rsid w:val="00F64923"/>
    <w:rsid w:val="00F655EE"/>
    <w:rsid w:val="00F65B62"/>
    <w:rsid w:val="00F705BE"/>
    <w:rsid w:val="00F71B5D"/>
    <w:rsid w:val="00F72560"/>
    <w:rsid w:val="00F72A7D"/>
    <w:rsid w:val="00F73D78"/>
    <w:rsid w:val="00F74445"/>
    <w:rsid w:val="00F74474"/>
    <w:rsid w:val="00F74C49"/>
    <w:rsid w:val="00F74F0A"/>
    <w:rsid w:val="00F7567D"/>
    <w:rsid w:val="00F75F05"/>
    <w:rsid w:val="00F764FE"/>
    <w:rsid w:val="00F77CE4"/>
    <w:rsid w:val="00F82090"/>
    <w:rsid w:val="00F84D78"/>
    <w:rsid w:val="00F85ABC"/>
    <w:rsid w:val="00F85EEB"/>
    <w:rsid w:val="00F85F05"/>
    <w:rsid w:val="00F864CA"/>
    <w:rsid w:val="00F865F4"/>
    <w:rsid w:val="00F869B5"/>
    <w:rsid w:val="00F86A88"/>
    <w:rsid w:val="00F9295A"/>
    <w:rsid w:val="00F93669"/>
    <w:rsid w:val="00F9455D"/>
    <w:rsid w:val="00F94E24"/>
    <w:rsid w:val="00F95DBB"/>
    <w:rsid w:val="00F9695A"/>
    <w:rsid w:val="00F96D5C"/>
    <w:rsid w:val="00F97399"/>
    <w:rsid w:val="00F97E3F"/>
    <w:rsid w:val="00FA1400"/>
    <w:rsid w:val="00FA1CEB"/>
    <w:rsid w:val="00FA38D1"/>
    <w:rsid w:val="00FA3BD9"/>
    <w:rsid w:val="00FA4218"/>
    <w:rsid w:val="00FA4FF8"/>
    <w:rsid w:val="00FA5D57"/>
    <w:rsid w:val="00FB1A6E"/>
    <w:rsid w:val="00FB4DD4"/>
    <w:rsid w:val="00FB52AD"/>
    <w:rsid w:val="00FB790A"/>
    <w:rsid w:val="00FC0014"/>
    <w:rsid w:val="00FC11ED"/>
    <w:rsid w:val="00FC2690"/>
    <w:rsid w:val="00FC2E2E"/>
    <w:rsid w:val="00FC3968"/>
    <w:rsid w:val="00FC3E69"/>
    <w:rsid w:val="00FC4984"/>
    <w:rsid w:val="00FC4BB2"/>
    <w:rsid w:val="00FC6BE1"/>
    <w:rsid w:val="00FC7010"/>
    <w:rsid w:val="00FD02B7"/>
    <w:rsid w:val="00FD0393"/>
    <w:rsid w:val="00FD09A4"/>
    <w:rsid w:val="00FD0B9F"/>
    <w:rsid w:val="00FD186B"/>
    <w:rsid w:val="00FD1934"/>
    <w:rsid w:val="00FD1A42"/>
    <w:rsid w:val="00FD1F74"/>
    <w:rsid w:val="00FD27F5"/>
    <w:rsid w:val="00FD2BF2"/>
    <w:rsid w:val="00FD2CA8"/>
    <w:rsid w:val="00FD32C1"/>
    <w:rsid w:val="00FD3614"/>
    <w:rsid w:val="00FD3726"/>
    <w:rsid w:val="00FD38DB"/>
    <w:rsid w:val="00FD43D4"/>
    <w:rsid w:val="00FD4C28"/>
    <w:rsid w:val="00FD552E"/>
    <w:rsid w:val="00FD6900"/>
    <w:rsid w:val="00FD7A9E"/>
    <w:rsid w:val="00FE00B2"/>
    <w:rsid w:val="00FE01DE"/>
    <w:rsid w:val="00FE0255"/>
    <w:rsid w:val="00FE0ADB"/>
    <w:rsid w:val="00FE0B3E"/>
    <w:rsid w:val="00FE0F24"/>
    <w:rsid w:val="00FE1D03"/>
    <w:rsid w:val="00FE2282"/>
    <w:rsid w:val="00FE2F21"/>
    <w:rsid w:val="00FE4723"/>
    <w:rsid w:val="00FE55EA"/>
    <w:rsid w:val="00FE7826"/>
    <w:rsid w:val="00FF15C6"/>
    <w:rsid w:val="00FF2C16"/>
    <w:rsid w:val="00FF2F4A"/>
    <w:rsid w:val="00FF35FB"/>
    <w:rsid w:val="00FF4C8A"/>
    <w:rsid w:val="00FF4CCA"/>
    <w:rsid w:val="00FF4FB8"/>
    <w:rsid w:val="00FF533F"/>
    <w:rsid w:val="00FF5802"/>
    <w:rsid w:val="00FF5B96"/>
    <w:rsid w:val="00FF63DA"/>
    <w:rsid w:val="00FF77FE"/>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CD1FE8C"/>
  <w15:docId w15:val="{D2F84068-F9C3-F94D-9638-E6913314D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imes New Roman" w:hAnsi="Cambria"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1" w:semiHidden="1" w:unhideWhenUsed="1"/>
    <w:lsdException w:name="footnote text" w:locked="1" w:semiHidden="1" w:unhideWhenUsed="1"/>
    <w:lsdException w:name="annotation text" w:locked="1" w:semiHidden="1" w:unhideWhenUsed="1" w:qFormat="1"/>
    <w:lsdException w:name="header" w:locked="1" w:semiHidden="1" w:unhideWhenUsed="1"/>
    <w:lsdException w:name="footer" w:locked="1" w:semiHidden="1" w:uiPriority="99"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qFormat="1"/>
    <w:lsdException w:name="line number" w:locked="1" w:semiHidden="1" w:unhideWhenUsed="1"/>
    <w:lsdException w:name="page number" w:locked="1" w:semiHidden="1" w:uiPriority="99"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qFormat="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iPriority="99"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qFormat="1"/>
    <w:lsdException w:name="Body Text First Indent 2" w:locked="1" w:semiHidden="1" w:unhideWhenUsed="1"/>
    <w:lsdException w:name="Note Heading" w:locked="1" w:semiHidden="1" w:unhideWhenUsed="1"/>
    <w:lsdException w:name="Body Text 2" w:locked="1" w:semiHidden="1" w:unhideWhenUsed="1" w:qFormat="1"/>
    <w:lsdException w:name="Body Text 3" w:locked="1" w:semiHidden="1" w:uiPriority="99" w:unhideWhenUsed="1"/>
    <w:lsdException w:name="Body Text Indent 2" w:locked="1" w:semiHidden="1" w:uiPriority="99"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iPriority="99"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iPriority="99" w:unhideWhenUsed="1"/>
    <w:lsdException w:name="HTML Bottom of Form" w:locked="1" w:semiHidden="1" w:uiPriority="99" w:unhideWhenUsed="1"/>
    <w:lsdException w:name="Normal (Web)" w:locked="1" w:semiHidden="1" w:uiPriority="99" w:unhideWhenUsed="1"/>
    <w:lsdException w:name="HTML Acronym" w:locked="1" w:semiHidden="1" w:unhideWhenUsed="1"/>
    <w:lsdException w:name="HTML Address" w:locked="1" w:semiHidden="1" w:unhideWhenUsed="1"/>
    <w:lsdException w:name="HTML Cite" w:locked="1" w:semiHidden="1" w:uiPriority="99"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99"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qFormat="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6BC1"/>
    <w:pPr>
      <w:spacing w:after="200" w:line="276" w:lineRule="auto"/>
    </w:pPr>
    <w:rPr>
      <w:rFonts w:ascii="Calibri" w:hAnsi="Calibri"/>
      <w:sz w:val="22"/>
      <w:szCs w:val="22"/>
      <w:lang w:eastAsia="en-US"/>
    </w:rPr>
  </w:style>
  <w:style w:type="paragraph" w:styleId="Heading1">
    <w:name w:val="heading 1"/>
    <w:basedOn w:val="Normal"/>
    <w:next w:val="Normal"/>
    <w:link w:val="Heading1Char"/>
    <w:qFormat/>
    <w:rsid w:val="00DA39C3"/>
    <w:pPr>
      <w:keepNext/>
      <w:keepLines/>
      <w:spacing w:before="480" w:after="0"/>
      <w:outlineLvl w:val="0"/>
    </w:pPr>
    <w:rPr>
      <w:b/>
      <w:bCs/>
      <w:color w:val="365F91"/>
      <w:sz w:val="28"/>
      <w:szCs w:val="28"/>
    </w:rPr>
  </w:style>
  <w:style w:type="paragraph" w:styleId="Heading2">
    <w:name w:val="heading 2"/>
    <w:basedOn w:val="Normal"/>
    <w:next w:val="Normal"/>
    <w:link w:val="Heading2Char"/>
    <w:qFormat/>
    <w:rsid w:val="00E3406A"/>
    <w:pPr>
      <w:keepNext/>
      <w:numPr>
        <w:ilvl w:val="12"/>
      </w:numPr>
      <w:tabs>
        <w:tab w:val="left" w:pos="720"/>
      </w:tabs>
      <w:spacing w:after="0" w:line="240" w:lineRule="auto"/>
      <w:jc w:val="center"/>
      <w:outlineLvl w:val="1"/>
    </w:pPr>
    <w:rPr>
      <w:rFonts w:ascii="Arial" w:hAnsi="Arial"/>
      <w:b/>
      <w:sz w:val="24"/>
      <w:szCs w:val="24"/>
    </w:rPr>
  </w:style>
  <w:style w:type="paragraph" w:styleId="Heading3">
    <w:name w:val="heading 3"/>
    <w:basedOn w:val="Normal"/>
    <w:next w:val="Normal"/>
    <w:link w:val="Heading3Char"/>
    <w:qFormat/>
    <w:rsid w:val="00603EE4"/>
    <w:pPr>
      <w:keepNext/>
      <w:tabs>
        <w:tab w:val="left" w:pos="709"/>
        <w:tab w:val="left" w:pos="993"/>
        <w:tab w:val="left" w:pos="1418"/>
        <w:tab w:val="left" w:pos="1702"/>
        <w:tab w:val="left" w:pos="1985"/>
      </w:tabs>
      <w:spacing w:before="120" w:after="0" w:line="360" w:lineRule="atLeast"/>
      <w:jc w:val="both"/>
      <w:outlineLvl w:val="2"/>
    </w:pPr>
    <w:rPr>
      <w:rFonts w:ascii="Arial" w:hAnsi="Arial"/>
      <w:b/>
      <w:sz w:val="24"/>
      <w:szCs w:val="20"/>
      <w:lang w:val="en-GB" w:eastAsia="ja-JP"/>
    </w:rPr>
  </w:style>
  <w:style w:type="paragraph" w:styleId="Heading4">
    <w:name w:val="heading 4"/>
    <w:basedOn w:val="Normal"/>
    <w:next w:val="Normal"/>
    <w:link w:val="Heading4Char"/>
    <w:qFormat/>
    <w:rsid w:val="00E3406A"/>
    <w:pPr>
      <w:keepNext/>
      <w:spacing w:before="240" w:after="60" w:line="240" w:lineRule="auto"/>
      <w:outlineLvl w:val="3"/>
    </w:pPr>
    <w:rPr>
      <w:rFonts w:ascii="Times New Roman" w:hAnsi="Times New Roman"/>
      <w:b/>
      <w:bCs/>
      <w:sz w:val="28"/>
      <w:szCs w:val="28"/>
      <w:lang w:val="en-US"/>
    </w:rPr>
  </w:style>
  <w:style w:type="paragraph" w:styleId="Heading5">
    <w:name w:val="heading 5"/>
    <w:basedOn w:val="Normal"/>
    <w:next w:val="Normal"/>
    <w:link w:val="Heading5Char"/>
    <w:qFormat/>
    <w:rsid w:val="00E3406A"/>
    <w:pPr>
      <w:spacing w:before="240" w:after="60" w:line="240" w:lineRule="auto"/>
      <w:outlineLvl w:val="4"/>
    </w:pPr>
    <w:rPr>
      <w:rFonts w:ascii="Times New Roman" w:hAnsi="Times New Roman"/>
      <w:b/>
      <w:bCs/>
      <w:i/>
      <w:iCs/>
      <w:sz w:val="26"/>
      <w:szCs w:val="26"/>
      <w:lang w:val="en-US"/>
    </w:rPr>
  </w:style>
  <w:style w:type="paragraph" w:styleId="Heading6">
    <w:name w:val="heading 6"/>
    <w:basedOn w:val="Normal"/>
    <w:next w:val="Normal"/>
    <w:link w:val="Heading6Char"/>
    <w:qFormat/>
    <w:rsid w:val="00E3406A"/>
    <w:pPr>
      <w:spacing w:before="240" w:after="60" w:line="240" w:lineRule="auto"/>
      <w:outlineLvl w:val="5"/>
    </w:pPr>
    <w:rPr>
      <w:rFonts w:ascii="Times New Roman" w:hAnsi="Times New Roman"/>
      <w:b/>
      <w:bCs/>
      <w:lang w:val="en-US"/>
    </w:rPr>
  </w:style>
  <w:style w:type="paragraph" w:styleId="Heading7">
    <w:name w:val="heading 7"/>
    <w:basedOn w:val="Normal"/>
    <w:next w:val="Normal"/>
    <w:link w:val="Heading7Char"/>
    <w:qFormat/>
    <w:rsid w:val="009D47B8"/>
    <w:pPr>
      <w:spacing w:before="240" w:after="60" w:line="240" w:lineRule="auto"/>
      <w:outlineLvl w:val="6"/>
    </w:pPr>
    <w:rPr>
      <w:rFonts w:ascii="Times New Roman" w:hAnsi="Times New Roman"/>
      <w:sz w:val="24"/>
      <w:szCs w:val="24"/>
      <w:lang w:val="en-AU"/>
    </w:rPr>
  </w:style>
  <w:style w:type="paragraph" w:styleId="Heading8">
    <w:name w:val="heading 8"/>
    <w:basedOn w:val="Normal"/>
    <w:next w:val="Normal"/>
    <w:link w:val="Heading8Char"/>
    <w:qFormat/>
    <w:rsid w:val="008E5335"/>
    <w:pPr>
      <w:spacing w:before="240" w:after="60"/>
      <w:outlineLvl w:val="7"/>
    </w:pPr>
    <w:rPr>
      <w:rFonts w:ascii="Cambria" w:hAnsi="Cambria"/>
      <w:i/>
      <w:iCs/>
      <w:sz w:val="24"/>
      <w:szCs w:val="24"/>
      <w:lang w:val="en-AU" w:eastAsia="ar-SA"/>
    </w:rPr>
  </w:style>
  <w:style w:type="paragraph" w:styleId="Heading9">
    <w:name w:val="heading 9"/>
    <w:basedOn w:val="Normal"/>
    <w:next w:val="Normal"/>
    <w:link w:val="Heading9Char"/>
    <w:qFormat/>
    <w:rsid w:val="009D47B8"/>
    <w:pPr>
      <w:spacing w:before="240" w:after="60" w:line="240" w:lineRule="auto"/>
      <w:outlineLvl w:val="8"/>
    </w:pPr>
    <w:rPr>
      <w:rFonts w:ascii="Arial" w:hAnsi="Arial" w:cs="Arial"/>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DA39C3"/>
    <w:rPr>
      <w:rFonts w:ascii="Calibri" w:hAnsi="Calibri" w:cs="Times New Roman"/>
      <w:b/>
      <w:bCs/>
      <w:color w:val="365F91"/>
      <w:sz w:val="28"/>
      <w:szCs w:val="28"/>
      <w:lang w:val="bg-BG" w:eastAsia="en-US"/>
    </w:rPr>
  </w:style>
  <w:style w:type="character" w:customStyle="1" w:styleId="Heading2Char">
    <w:name w:val="Heading 2 Char"/>
    <w:basedOn w:val="DefaultParagraphFont"/>
    <w:link w:val="Heading2"/>
    <w:locked/>
    <w:rsid w:val="00E3406A"/>
    <w:rPr>
      <w:rFonts w:ascii="Arial" w:hAnsi="Arial" w:cs="Times New Roman"/>
      <w:b/>
      <w:lang w:val="bg-BG" w:eastAsia="en-US"/>
    </w:rPr>
  </w:style>
  <w:style w:type="character" w:customStyle="1" w:styleId="Heading3Char">
    <w:name w:val="Heading 3 Char"/>
    <w:basedOn w:val="DefaultParagraphFont"/>
    <w:link w:val="Heading3"/>
    <w:locked/>
    <w:rsid w:val="00603EE4"/>
    <w:rPr>
      <w:rFonts w:ascii="Arial" w:hAnsi="Arial" w:cs="Times New Roman"/>
      <w:b/>
      <w:sz w:val="24"/>
      <w:lang w:val="en-GB" w:eastAsia="ja-JP"/>
    </w:rPr>
  </w:style>
  <w:style w:type="character" w:customStyle="1" w:styleId="Heading4Char">
    <w:name w:val="Heading 4 Char"/>
    <w:basedOn w:val="DefaultParagraphFont"/>
    <w:link w:val="Heading4"/>
    <w:locked/>
    <w:rsid w:val="00E3406A"/>
    <w:rPr>
      <w:rFonts w:ascii="Times New Roman" w:hAnsi="Times New Roman" w:cs="Times New Roman"/>
      <w:b/>
      <w:bCs/>
      <w:sz w:val="28"/>
      <w:szCs w:val="28"/>
      <w:lang w:eastAsia="en-US"/>
    </w:rPr>
  </w:style>
  <w:style w:type="character" w:customStyle="1" w:styleId="Heading5Char">
    <w:name w:val="Heading 5 Char"/>
    <w:basedOn w:val="DefaultParagraphFont"/>
    <w:link w:val="Heading5"/>
    <w:locked/>
    <w:rsid w:val="00E3406A"/>
    <w:rPr>
      <w:rFonts w:ascii="Times New Roman" w:hAnsi="Times New Roman" w:cs="Times New Roman"/>
      <w:b/>
      <w:bCs/>
      <w:i/>
      <w:iCs/>
      <w:sz w:val="26"/>
      <w:szCs w:val="26"/>
      <w:lang w:eastAsia="en-US"/>
    </w:rPr>
  </w:style>
  <w:style w:type="character" w:customStyle="1" w:styleId="Heading6Char">
    <w:name w:val="Heading 6 Char"/>
    <w:basedOn w:val="DefaultParagraphFont"/>
    <w:link w:val="Heading6"/>
    <w:uiPriority w:val="9"/>
    <w:locked/>
    <w:rsid w:val="00E3406A"/>
    <w:rPr>
      <w:rFonts w:ascii="Times New Roman" w:hAnsi="Times New Roman" w:cs="Times New Roman"/>
      <w:b/>
      <w:bCs/>
      <w:sz w:val="22"/>
      <w:szCs w:val="22"/>
      <w:lang w:eastAsia="en-US"/>
    </w:rPr>
  </w:style>
  <w:style w:type="character" w:customStyle="1" w:styleId="Heading7Char">
    <w:name w:val="Heading 7 Char"/>
    <w:basedOn w:val="DefaultParagraphFont"/>
    <w:link w:val="Heading7"/>
    <w:locked/>
    <w:rsid w:val="009D47B8"/>
    <w:rPr>
      <w:rFonts w:ascii="Times New Roman" w:hAnsi="Times New Roman" w:cs="Times New Roman"/>
      <w:lang w:val="en-AU" w:eastAsia="en-US"/>
    </w:rPr>
  </w:style>
  <w:style w:type="character" w:customStyle="1" w:styleId="Heading8Char">
    <w:name w:val="Heading 8 Char"/>
    <w:basedOn w:val="DefaultParagraphFont"/>
    <w:link w:val="Heading8"/>
    <w:locked/>
    <w:rsid w:val="008E5335"/>
    <w:rPr>
      <w:rFonts w:cs="Times New Roman"/>
      <w:i/>
      <w:sz w:val="24"/>
      <w:lang w:val="en-AU" w:eastAsia="ar-SA" w:bidi="ar-SA"/>
    </w:rPr>
  </w:style>
  <w:style w:type="character" w:customStyle="1" w:styleId="Heading9Char">
    <w:name w:val="Heading 9 Char"/>
    <w:basedOn w:val="DefaultParagraphFont"/>
    <w:link w:val="Heading9"/>
    <w:locked/>
    <w:rsid w:val="009D47B8"/>
    <w:rPr>
      <w:rFonts w:ascii="Arial" w:hAnsi="Arial" w:cs="Arial"/>
      <w:sz w:val="22"/>
      <w:szCs w:val="22"/>
      <w:lang w:val="en-AU" w:eastAsia="en-US"/>
    </w:rPr>
  </w:style>
  <w:style w:type="paragraph" w:styleId="ListParagraph">
    <w:name w:val="List Paragraph"/>
    <w:aliases w:val="Table Legend,Bullet1,Bullet List,Section 5,Bullet List 2,Bullets Points"/>
    <w:basedOn w:val="Normal"/>
    <w:link w:val="ListParagraphChar"/>
    <w:uiPriority w:val="34"/>
    <w:qFormat/>
    <w:rsid w:val="003B6776"/>
    <w:pPr>
      <w:ind w:left="720"/>
      <w:contextualSpacing/>
    </w:pPr>
  </w:style>
  <w:style w:type="paragraph" w:customStyle="1" w:styleId="ime-razdel">
    <w:name w:val="ime-razdel"/>
    <w:basedOn w:val="Normal"/>
    <w:uiPriority w:val="99"/>
    <w:rsid w:val="00E3406A"/>
    <w:pPr>
      <w:spacing w:before="120" w:after="240" w:line="280" w:lineRule="atLeast"/>
      <w:jc w:val="center"/>
    </w:pPr>
    <w:rPr>
      <w:rFonts w:ascii="Arial" w:hAnsi="Arial"/>
      <w:b/>
      <w:caps/>
      <w:szCs w:val="20"/>
    </w:rPr>
  </w:style>
  <w:style w:type="paragraph" w:styleId="Header">
    <w:name w:val="header"/>
    <w:basedOn w:val="Normal"/>
    <w:link w:val="HeaderChar"/>
    <w:rsid w:val="00E3406A"/>
    <w:pPr>
      <w:tabs>
        <w:tab w:val="center" w:pos="4153"/>
        <w:tab w:val="right" w:pos="8306"/>
      </w:tabs>
      <w:overflowPunct w:val="0"/>
      <w:autoSpaceDE w:val="0"/>
      <w:autoSpaceDN w:val="0"/>
      <w:adjustRightInd w:val="0"/>
      <w:spacing w:after="0" w:line="240" w:lineRule="auto"/>
      <w:textAlignment w:val="baseline"/>
    </w:pPr>
    <w:rPr>
      <w:rFonts w:ascii="Arial" w:hAnsi="Arial"/>
      <w:sz w:val="24"/>
      <w:szCs w:val="20"/>
      <w:lang w:val="en-GB"/>
    </w:rPr>
  </w:style>
  <w:style w:type="character" w:customStyle="1" w:styleId="HeaderChar">
    <w:name w:val="Header Char"/>
    <w:basedOn w:val="DefaultParagraphFont"/>
    <w:link w:val="Header"/>
    <w:qFormat/>
    <w:locked/>
    <w:rsid w:val="00E3406A"/>
    <w:rPr>
      <w:rFonts w:ascii="Arial" w:hAnsi="Arial" w:cs="Times New Roman"/>
      <w:sz w:val="20"/>
      <w:szCs w:val="20"/>
      <w:lang w:val="en-GB" w:eastAsia="en-US"/>
    </w:rPr>
  </w:style>
  <w:style w:type="paragraph" w:customStyle="1" w:styleId="Body">
    <w:name w:val="Body"/>
    <w:basedOn w:val="Normal"/>
    <w:uiPriority w:val="99"/>
    <w:qFormat/>
    <w:rsid w:val="00E3406A"/>
    <w:pPr>
      <w:spacing w:before="40" w:after="0" w:line="280" w:lineRule="atLeast"/>
      <w:ind w:firstLine="567"/>
      <w:jc w:val="both"/>
    </w:pPr>
    <w:rPr>
      <w:rFonts w:ascii="Arial" w:hAnsi="Arial"/>
      <w:szCs w:val="20"/>
    </w:rPr>
  </w:style>
  <w:style w:type="paragraph" w:customStyle="1" w:styleId="contentbody">
    <w:name w:val="contentbody"/>
    <w:basedOn w:val="Normal"/>
    <w:rsid w:val="00712760"/>
    <w:pPr>
      <w:spacing w:before="100" w:beforeAutospacing="1" w:after="100" w:afterAutospacing="1" w:line="240" w:lineRule="auto"/>
    </w:pPr>
    <w:rPr>
      <w:rFonts w:ascii="Times New Roman" w:hAnsi="Times New Roman"/>
      <w:sz w:val="24"/>
      <w:szCs w:val="24"/>
      <w:lang w:eastAsia="bg-BG"/>
    </w:rPr>
  </w:style>
  <w:style w:type="table" w:styleId="TableGrid">
    <w:name w:val="Table Grid"/>
    <w:basedOn w:val="TableNormal"/>
    <w:uiPriority w:val="39"/>
    <w:qFormat/>
    <w:rsid w:val="00131B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F4000E"/>
    <w:rPr>
      <w:rFonts w:cs="Times New Roman"/>
    </w:rPr>
  </w:style>
  <w:style w:type="paragraph" w:customStyle="1" w:styleId="a">
    <w:name w:val="По подразбиране"/>
    <w:uiPriority w:val="99"/>
    <w:rsid w:val="00CC2557"/>
    <w:pPr>
      <w:widowControl w:val="0"/>
      <w:tabs>
        <w:tab w:val="left" w:pos="720"/>
      </w:tabs>
      <w:suppressAutoHyphens/>
      <w:spacing w:line="200" w:lineRule="atLeast"/>
    </w:pPr>
    <w:rPr>
      <w:rFonts w:ascii="Arial" w:eastAsia="MS Mincho" w:hAnsi="Arial" w:cs="Cambria"/>
      <w:sz w:val="24"/>
      <w:szCs w:val="24"/>
      <w:lang w:eastAsia="ar-SA"/>
    </w:rPr>
  </w:style>
  <w:style w:type="paragraph" w:styleId="BodyText2">
    <w:name w:val="Body Text 2"/>
    <w:basedOn w:val="Normal"/>
    <w:link w:val="BodyText2Char"/>
    <w:qFormat/>
    <w:rsid w:val="00FC4984"/>
    <w:pPr>
      <w:overflowPunct w:val="0"/>
      <w:autoSpaceDE w:val="0"/>
      <w:autoSpaceDN w:val="0"/>
      <w:adjustRightInd w:val="0"/>
      <w:spacing w:after="0" w:line="360" w:lineRule="auto"/>
      <w:jc w:val="both"/>
      <w:textAlignment w:val="baseline"/>
    </w:pPr>
    <w:rPr>
      <w:rFonts w:ascii="Times New Roman" w:hAnsi="Times New Roman"/>
      <w:b/>
      <w:sz w:val="24"/>
      <w:szCs w:val="20"/>
    </w:rPr>
  </w:style>
  <w:style w:type="character" w:customStyle="1" w:styleId="BodyText2Char">
    <w:name w:val="Body Text 2 Char"/>
    <w:basedOn w:val="DefaultParagraphFont"/>
    <w:link w:val="BodyText2"/>
    <w:locked/>
    <w:rsid w:val="00FC4984"/>
    <w:rPr>
      <w:rFonts w:ascii="Times New Roman" w:hAnsi="Times New Roman" w:cs="Times New Roman"/>
      <w:b/>
      <w:sz w:val="20"/>
      <w:szCs w:val="20"/>
      <w:lang w:val="bg-BG" w:eastAsia="en-US"/>
    </w:rPr>
  </w:style>
  <w:style w:type="paragraph" w:styleId="NormalWeb">
    <w:name w:val="Normal (Web)"/>
    <w:basedOn w:val="Normal"/>
    <w:uiPriority w:val="99"/>
    <w:rsid w:val="002851BF"/>
    <w:pPr>
      <w:spacing w:before="100" w:beforeAutospacing="1" w:after="100" w:afterAutospacing="1" w:line="240" w:lineRule="auto"/>
    </w:pPr>
    <w:rPr>
      <w:rFonts w:ascii="Times New Roman" w:hAnsi="Times New Roman"/>
      <w:sz w:val="24"/>
      <w:szCs w:val="24"/>
      <w:lang w:eastAsia="bg-BG"/>
    </w:rPr>
  </w:style>
  <w:style w:type="paragraph" w:styleId="Title">
    <w:name w:val="Title"/>
    <w:basedOn w:val="Normal"/>
    <w:link w:val="TitleChar"/>
    <w:qFormat/>
    <w:rsid w:val="00E51653"/>
    <w:pPr>
      <w:keepNext/>
      <w:widowControl w:val="0"/>
      <w:suppressAutoHyphens/>
      <w:spacing w:before="240" w:after="120" w:line="240" w:lineRule="auto"/>
    </w:pPr>
    <w:rPr>
      <w:rFonts w:ascii="Arial" w:eastAsia="MS Mincho" w:hAnsi="Arial" w:cs="Tahoma"/>
      <w:sz w:val="28"/>
      <w:szCs w:val="28"/>
      <w:lang w:eastAsia="ar-SA"/>
    </w:rPr>
  </w:style>
  <w:style w:type="character" w:customStyle="1" w:styleId="TitleChar">
    <w:name w:val="Title Char"/>
    <w:basedOn w:val="DefaultParagraphFont"/>
    <w:link w:val="Title"/>
    <w:locked/>
    <w:rsid w:val="0056254E"/>
    <w:rPr>
      <w:rFonts w:ascii="Arial" w:hAnsi="Arial" w:cs="Times New Roman"/>
      <w:b/>
      <w:sz w:val="20"/>
      <w:szCs w:val="20"/>
      <w:lang w:val="bg-BG" w:eastAsia="ar-SA" w:bidi="ar-SA"/>
    </w:rPr>
  </w:style>
  <w:style w:type="paragraph" w:styleId="BodyTextIndent2">
    <w:name w:val="Body Text Indent 2"/>
    <w:basedOn w:val="Normal"/>
    <w:link w:val="BodyTextIndent2Char"/>
    <w:uiPriority w:val="99"/>
    <w:rsid w:val="0061102C"/>
    <w:pPr>
      <w:spacing w:after="120" w:line="480" w:lineRule="auto"/>
      <w:ind w:left="283"/>
    </w:pPr>
  </w:style>
  <w:style w:type="character" w:customStyle="1" w:styleId="BodyTextIndent2Char">
    <w:name w:val="Body Text Indent 2 Char"/>
    <w:basedOn w:val="DefaultParagraphFont"/>
    <w:link w:val="BodyTextIndent2"/>
    <w:uiPriority w:val="99"/>
    <w:locked/>
    <w:rsid w:val="0061102C"/>
    <w:rPr>
      <w:rFonts w:ascii="Calibri" w:hAnsi="Calibri" w:cs="Times New Roman"/>
      <w:sz w:val="22"/>
      <w:szCs w:val="22"/>
      <w:lang w:val="bg-BG" w:eastAsia="en-US"/>
    </w:rPr>
  </w:style>
  <w:style w:type="paragraph" w:customStyle="1" w:styleId="incl">
    <w:name w:val="incl"/>
    <w:basedOn w:val="Normal"/>
    <w:rsid w:val="00562D36"/>
    <w:pPr>
      <w:tabs>
        <w:tab w:val="left" w:pos="1134"/>
        <w:tab w:val="left" w:pos="2552"/>
        <w:tab w:val="left" w:pos="2835"/>
      </w:tabs>
      <w:autoSpaceDE w:val="0"/>
      <w:autoSpaceDN w:val="0"/>
      <w:adjustRightInd w:val="0"/>
      <w:spacing w:after="0" w:line="240" w:lineRule="auto"/>
      <w:ind w:left="2835" w:hanging="2835"/>
      <w:jc w:val="both"/>
    </w:pPr>
    <w:rPr>
      <w:rFonts w:ascii="TmsCyr" w:hAnsi="TmsCyr"/>
      <w:lang w:val="en-US"/>
    </w:rPr>
  </w:style>
  <w:style w:type="paragraph" w:styleId="ListContinue3">
    <w:name w:val="List Continue 3"/>
    <w:basedOn w:val="Normal"/>
    <w:rsid w:val="00DA39C3"/>
    <w:pPr>
      <w:spacing w:after="120" w:line="240" w:lineRule="auto"/>
      <w:ind w:left="1080"/>
    </w:pPr>
    <w:rPr>
      <w:rFonts w:ascii="Times New Roman" w:hAnsi="Times New Roman"/>
      <w:sz w:val="20"/>
      <w:szCs w:val="20"/>
      <w:lang w:val="en-AU"/>
    </w:rPr>
  </w:style>
  <w:style w:type="paragraph" w:styleId="BodyText">
    <w:name w:val="Body Text"/>
    <w:basedOn w:val="Normal"/>
    <w:link w:val="BodyTextChar"/>
    <w:qFormat/>
    <w:rsid w:val="00E51653"/>
    <w:pPr>
      <w:tabs>
        <w:tab w:val="left" w:pos="720"/>
      </w:tabs>
      <w:suppressAutoHyphens/>
      <w:spacing w:after="120" w:line="200" w:lineRule="atLeast"/>
    </w:pPr>
    <w:rPr>
      <w:rFonts w:ascii="Times New Roman" w:hAnsi="Times New Roman" w:cs="Tahoma"/>
      <w:sz w:val="24"/>
      <w:szCs w:val="24"/>
      <w:lang w:eastAsia="bg-BG"/>
    </w:rPr>
  </w:style>
  <w:style w:type="character" w:customStyle="1" w:styleId="BodyTextChar">
    <w:name w:val="Body Text Char"/>
    <w:basedOn w:val="DefaultParagraphFont"/>
    <w:link w:val="BodyText"/>
    <w:locked/>
    <w:rsid w:val="00DA39C3"/>
    <w:rPr>
      <w:rFonts w:ascii="Calibri" w:hAnsi="Calibri" w:cs="Times New Roman"/>
      <w:sz w:val="22"/>
      <w:szCs w:val="22"/>
      <w:lang w:val="bg-BG" w:eastAsia="en-US"/>
    </w:rPr>
  </w:style>
  <w:style w:type="paragraph" w:styleId="BodyTextFirstIndent">
    <w:name w:val="Body Text First Indent"/>
    <w:basedOn w:val="BodyText"/>
    <w:link w:val="BodyTextFirstIndentChar"/>
    <w:qFormat/>
    <w:rsid w:val="00DA39C3"/>
    <w:pPr>
      <w:tabs>
        <w:tab w:val="clear" w:pos="720"/>
      </w:tabs>
      <w:suppressAutoHyphens w:val="0"/>
      <w:spacing w:line="240" w:lineRule="auto"/>
      <w:ind w:firstLine="210"/>
    </w:pPr>
    <w:rPr>
      <w:rFonts w:cs="Times New Roman"/>
      <w:sz w:val="20"/>
      <w:szCs w:val="20"/>
      <w:lang w:val="en-AU" w:eastAsia="en-US"/>
    </w:rPr>
  </w:style>
  <w:style w:type="character" w:customStyle="1" w:styleId="BodyTextFirstIndentChar">
    <w:name w:val="Body Text First Indent Char"/>
    <w:basedOn w:val="BodyTextChar"/>
    <w:link w:val="BodyTextFirstIndent"/>
    <w:locked/>
    <w:rsid w:val="00DA39C3"/>
    <w:rPr>
      <w:rFonts w:ascii="Times New Roman" w:hAnsi="Times New Roman" w:cs="Times New Roman"/>
      <w:sz w:val="20"/>
      <w:szCs w:val="20"/>
      <w:lang w:val="en-AU" w:eastAsia="en-US"/>
    </w:rPr>
  </w:style>
  <w:style w:type="paragraph" w:styleId="ListBullet4">
    <w:name w:val="List Bullet 4"/>
    <w:basedOn w:val="Normal"/>
    <w:uiPriority w:val="99"/>
    <w:rsid w:val="00DA39C3"/>
    <w:pPr>
      <w:tabs>
        <w:tab w:val="num" w:pos="1440"/>
      </w:tabs>
      <w:spacing w:after="0" w:line="240" w:lineRule="auto"/>
      <w:ind w:left="1440" w:hanging="360"/>
    </w:pPr>
    <w:rPr>
      <w:rFonts w:ascii="Times New Roman" w:hAnsi="Times New Roman"/>
      <w:sz w:val="20"/>
      <w:szCs w:val="20"/>
      <w:lang w:val="en-AU"/>
    </w:rPr>
  </w:style>
  <w:style w:type="paragraph" w:styleId="List3">
    <w:name w:val="List 3"/>
    <w:basedOn w:val="Normal"/>
    <w:rsid w:val="00DA39C3"/>
    <w:pPr>
      <w:ind w:left="849" w:hanging="283"/>
      <w:contextualSpacing/>
    </w:pPr>
  </w:style>
  <w:style w:type="character" w:styleId="Hyperlink">
    <w:name w:val="Hyperlink"/>
    <w:basedOn w:val="DefaultParagraphFont"/>
    <w:uiPriority w:val="99"/>
    <w:rsid w:val="00DA39C3"/>
    <w:rPr>
      <w:rFonts w:cs="Times New Roman"/>
      <w:color w:val="0000FF"/>
      <w:u w:val="single"/>
    </w:rPr>
  </w:style>
  <w:style w:type="character" w:customStyle="1" w:styleId="genesymbol2">
    <w:name w:val="genesymbol2"/>
    <w:basedOn w:val="DefaultParagraphFont"/>
    <w:rsid w:val="00DA39C3"/>
    <w:rPr>
      <w:rFonts w:cs="Times New Roman"/>
      <w:i/>
      <w:iCs/>
    </w:rPr>
  </w:style>
  <w:style w:type="paragraph" w:styleId="ListBullet3">
    <w:name w:val="List Bullet 3"/>
    <w:basedOn w:val="Normal"/>
    <w:rsid w:val="00B34BDF"/>
    <w:pPr>
      <w:tabs>
        <w:tab w:val="num" w:pos="926"/>
      </w:tabs>
      <w:ind w:left="926" w:hanging="360"/>
      <w:contextualSpacing/>
    </w:pPr>
  </w:style>
  <w:style w:type="paragraph" w:styleId="List2">
    <w:name w:val="List 2"/>
    <w:basedOn w:val="Normal"/>
    <w:rsid w:val="00C12F47"/>
    <w:pPr>
      <w:ind w:left="566" w:hanging="283"/>
      <w:contextualSpacing/>
    </w:pPr>
  </w:style>
  <w:style w:type="paragraph" w:styleId="ListBullet">
    <w:name w:val="List Bullet"/>
    <w:basedOn w:val="Normal"/>
    <w:rsid w:val="009D47B8"/>
    <w:pPr>
      <w:tabs>
        <w:tab w:val="num" w:pos="360"/>
      </w:tabs>
      <w:ind w:left="360" w:hanging="360"/>
      <w:contextualSpacing/>
    </w:pPr>
  </w:style>
  <w:style w:type="paragraph" w:styleId="ListBullet2">
    <w:name w:val="List Bullet 2"/>
    <w:basedOn w:val="Normal"/>
    <w:rsid w:val="009D47B8"/>
    <w:pPr>
      <w:tabs>
        <w:tab w:val="num" w:pos="643"/>
      </w:tabs>
      <w:ind w:left="643" w:hanging="360"/>
      <w:contextualSpacing/>
    </w:pPr>
  </w:style>
  <w:style w:type="paragraph" w:styleId="List">
    <w:name w:val="List"/>
    <w:basedOn w:val="BodyText"/>
    <w:qFormat/>
    <w:rsid w:val="00E51653"/>
  </w:style>
  <w:style w:type="character" w:customStyle="1" w:styleId="citation">
    <w:name w:val="citation"/>
    <w:basedOn w:val="DefaultParagraphFont"/>
    <w:uiPriority w:val="99"/>
    <w:rsid w:val="00535CA1"/>
    <w:rPr>
      <w:rFonts w:cs="Times New Roman"/>
    </w:rPr>
  </w:style>
  <w:style w:type="paragraph" w:customStyle="1" w:styleId="2">
    <w:name w:val="Списък на абзаци2"/>
    <w:basedOn w:val="Normal"/>
    <w:uiPriority w:val="99"/>
    <w:rsid w:val="00535CA1"/>
    <w:pPr>
      <w:spacing w:after="0" w:line="240" w:lineRule="auto"/>
      <w:ind w:left="720"/>
      <w:contextualSpacing/>
    </w:pPr>
    <w:rPr>
      <w:rFonts w:ascii="Times New Roman" w:hAnsi="Times New Roman"/>
      <w:sz w:val="24"/>
      <w:szCs w:val="24"/>
      <w:lang w:eastAsia="bg-BG"/>
    </w:rPr>
  </w:style>
  <w:style w:type="character" w:customStyle="1" w:styleId="hps">
    <w:name w:val="hps"/>
    <w:basedOn w:val="DefaultParagraphFont"/>
    <w:uiPriority w:val="99"/>
    <w:rsid w:val="0064028C"/>
    <w:rPr>
      <w:rFonts w:cs="Times New Roman"/>
    </w:rPr>
  </w:style>
  <w:style w:type="paragraph" w:styleId="BodyTextIndent">
    <w:name w:val="Body Text Indent"/>
    <w:basedOn w:val="Normal"/>
    <w:link w:val="BodyTextIndentChar"/>
    <w:rsid w:val="00D55D3D"/>
    <w:pPr>
      <w:spacing w:after="120"/>
      <w:ind w:left="283"/>
    </w:pPr>
  </w:style>
  <w:style w:type="character" w:customStyle="1" w:styleId="BodyTextIndentChar">
    <w:name w:val="Body Text Indent Char"/>
    <w:basedOn w:val="DefaultParagraphFont"/>
    <w:link w:val="BodyTextIndent"/>
    <w:uiPriority w:val="99"/>
    <w:locked/>
    <w:rsid w:val="00D55D3D"/>
    <w:rPr>
      <w:rFonts w:ascii="Calibri" w:hAnsi="Calibri" w:cs="Times New Roman"/>
      <w:sz w:val="22"/>
      <w:szCs w:val="22"/>
      <w:lang w:val="bg-BG" w:eastAsia="en-US"/>
    </w:rPr>
  </w:style>
  <w:style w:type="paragraph" w:styleId="BodyTextFirstIndent2">
    <w:name w:val="Body Text First Indent 2"/>
    <w:basedOn w:val="BodyTextIndent"/>
    <w:link w:val="BodyTextFirstIndent2Char"/>
    <w:rsid w:val="00D55D3D"/>
    <w:pPr>
      <w:spacing w:after="200"/>
      <w:ind w:left="360" w:firstLine="360"/>
    </w:pPr>
  </w:style>
  <w:style w:type="character" w:customStyle="1" w:styleId="BodyTextFirstIndent2Char">
    <w:name w:val="Body Text First Indent 2 Char"/>
    <w:basedOn w:val="BodyTextIndentChar"/>
    <w:link w:val="BodyTextFirstIndent2"/>
    <w:locked/>
    <w:rsid w:val="00D55D3D"/>
    <w:rPr>
      <w:rFonts w:ascii="Calibri" w:hAnsi="Calibri" w:cs="Times New Roman"/>
      <w:sz w:val="22"/>
      <w:szCs w:val="22"/>
      <w:lang w:val="bg-BG" w:eastAsia="en-US"/>
    </w:rPr>
  </w:style>
  <w:style w:type="paragraph" w:customStyle="1" w:styleId="last1">
    <w:name w:val="last1"/>
    <w:basedOn w:val="Normal"/>
    <w:rsid w:val="00531D42"/>
    <w:pPr>
      <w:spacing w:before="100" w:beforeAutospacing="1" w:after="0" w:line="240" w:lineRule="auto"/>
    </w:pPr>
    <w:rPr>
      <w:rFonts w:ascii="Times New Roman" w:hAnsi="Times New Roman"/>
      <w:sz w:val="24"/>
      <w:szCs w:val="24"/>
      <w:lang w:eastAsia="bg-BG"/>
    </w:rPr>
  </w:style>
  <w:style w:type="character" w:customStyle="1" w:styleId="citationjournal">
    <w:name w:val="citation journal"/>
    <w:basedOn w:val="DefaultParagraphFont"/>
    <w:rsid w:val="008305BC"/>
    <w:rPr>
      <w:rFonts w:cs="Times New Roman"/>
    </w:rPr>
  </w:style>
  <w:style w:type="paragraph" w:styleId="NoSpacing">
    <w:name w:val="No Spacing"/>
    <w:link w:val="NoSpacingChar"/>
    <w:uiPriority w:val="1"/>
    <w:qFormat/>
    <w:rsid w:val="00AE6876"/>
    <w:rPr>
      <w:rFonts w:ascii="Calibri" w:hAnsi="Calibri"/>
      <w:sz w:val="22"/>
      <w:szCs w:val="22"/>
      <w:lang w:eastAsia="en-US"/>
    </w:rPr>
  </w:style>
  <w:style w:type="paragraph" w:styleId="BodyTextIndent3">
    <w:name w:val="Body Text Indent 3"/>
    <w:basedOn w:val="Normal"/>
    <w:link w:val="BodyTextIndent3Char"/>
    <w:rsid w:val="00603EE4"/>
    <w:pPr>
      <w:spacing w:after="120"/>
      <w:ind w:left="283"/>
    </w:pPr>
    <w:rPr>
      <w:sz w:val="16"/>
      <w:szCs w:val="16"/>
    </w:rPr>
  </w:style>
  <w:style w:type="character" w:customStyle="1" w:styleId="BodyTextIndent3Char">
    <w:name w:val="Body Text Indent 3 Char"/>
    <w:basedOn w:val="DefaultParagraphFont"/>
    <w:link w:val="BodyTextIndent3"/>
    <w:locked/>
    <w:rsid w:val="00603EE4"/>
    <w:rPr>
      <w:rFonts w:ascii="Calibri" w:hAnsi="Calibri" w:cs="Times New Roman"/>
      <w:sz w:val="16"/>
      <w:szCs w:val="16"/>
      <w:lang w:eastAsia="en-US"/>
    </w:rPr>
  </w:style>
  <w:style w:type="paragraph" w:styleId="Footer">
    <w:name w:val="footer"/>
    <w:basedOn w:val="Normal"/>
    <w:link w:val="FooterChar"/>
    <w:uiPriority w:val="99"/>
    <w:rsid w:val="00603EE4"/>
    <w:pPr>
      <w:tabs>
        <w:tab w:val="center" w:pos="4320"/>
        <w:tab w:val="right" w:pos="8640"/>
      </w:tabs>
      <w:spacing w:after="0" w:line="240" w:lineRule="auto"/>
    </w:pPr>
    <w:rPr>
      <w:rFonts w:ascii="TmsCyr" w:hAnsi="TmsCyr"/>
      <w:sz w:val="24"/>
      <w:szCs w:val="20"/>
      <w:lang w:val="en-GB" w:eastAsia="ja-JP"/>
    </w:rPr>
  </w:style>
  <w:style w:type="character" w:customStyle="1" w:styleId="FooterChar">
    <w:name w:val="Footer Char"/>
    <w:basedOn w:val="DefaultParagraphFont"/>
    <w:link w:val="Footer"/>
    <w:uiPriority w:val="99"/>
    <w:locked/>
    <w:rsid w:val="00603EE4"/>
    <w:rPr>
      <w:rFonts w:ascii="TmsCyr" w:hAnsi="TmsCyr" w:cs="Times New Roman"/>
      <w:sz w:val="24"/>
      <w:lang w:val="en-GB" w:eastAsia="ja-JP"/>
    </w:rPr>
  </w:style>
  <w:style w:type="paragraph" w:styleId="PlainText">
    <w:name w:val="Plain Text"/>
    <w:basedOn w:val="Normal"/>
    <w:link w:val="PlainTextChar"/>
    <w:rsid w:val="00603EE4"/>
    <w:pPr>
      <w:spacing w:after="0" w:line="240" w:lineRule="auto"/>
    </w:pPr>
    <w:rPr>
      <w:rFonts w:ascii="Times New Roman" w:hAnsi="Times New Roman"/>
      <w:sz w:val="20"/>
      <w:szCs w:val="20"/>
      <w:lang w:val="en-AU"/>
    </w:rPr>
  </w:style>
  <w:style w:type="character" w:customStyle="1" w:styleId="PlainTextChar">
    <w:name w:val="Plain Text Char"/>
    <w:basedOn w:val="DefaultParagraphFont"/>
    <w:link w:val="PlainText"/>
    <w:locked/>
    <w:rsid w:val="00603EE4"/>
    <w:rPr>
      <w:rFonts w:ascii="Times New Roman" w:hAnsi="Times New Roman" w:cs="Times New Roman"/>
      <w:lang w:val="en-AU"/>
    </w:rPr>
  </w:style>
  <w:style w:type="paragraph" w:styleId="TOC1">
    <w:name w:val="toc 1"/>
    <w:basedOn w:val="Normal"/>
    <w:next w:val="Normal"/>
    <w:autoRedefine/>
    <w:uiPriority w:val="39"/>
    <w:rsid w:val="00603EE4"/>
    <w:pPr>
      <w:tabs>
        <w:tab w:val="right" w:leader="dot" w:pos="9628"/>
      </w:tabs>
      <w:spacing w:after="0" w:line="240" w:lineRule="auto"/>
      <w:jc w:val="center"/>
    </w:pPr>
    <w:rPr>
      <w:rFonts w:ascii="Arial" w:hAnsi="Arial"/>
      <w:b/>
      <w:sz w:val="24"/>
      <w:szCs w:val="20"/>
      <w:lang w:eastAsia="ja-JP"/>
    </w:rPr>
  </w:style>
  <w:style w:type="character" w:styleId="Strong">
    <w:name w:val="Strong"/>
    <w:basedOn w:val="DefaultParagraphFont"/>
    <w:uiPriority w:val="22"/>
    <w:qFormat/>
    <w:rsid w:val="00603EE4"/>
    <w:rPr>
      <w:rFonts w:cs="Times New Roman"/>
      <w:b/>
    </w:rPr>
  </w:style>
  <w:style w:type="paragraph" w:customStyle="1" w:styleId="ColorfulList-Accent11">
    <w:name w:val="Colorful List - Accent 11"/>
    <w:basedOn w:val="Normal"/>
    <w:uiPriority w:val="34"/>
    <w:qFormat/>
    <w:rsid w:val="00603EE4"/>
    <w:pPr>
      <w:spacing w:line="240" w:lineRule="auto"/>
      <w:ind w:left="720"/>
      <w:contextualSpacing/>
    </w:pPr>
    <w:rPr>
      <w:rFonts w:ascii="Arial" w:hAnsi="Arial"/>
      <w:lang w:val="en-US"/>
    </w:rPr>
  </w:style>
  <w:style w:type="character" w:styleId="CommentReference">
    <w:name w:val="annotation reference"/>
    <w:basedOn w:val="DefaultParagraphFont"/>
    <w:qFormat/>
    <w:rsid w:val="00603EE4"/>
    <w:rPr>
      <w:rFonts w:cs="Times New Roman"/>
      <w:sz w:val="16"/>
      <w:szCs w:val="16"/>
    </w:rPr>
  </w:style>
  <w:style w:type="paragraph" w:styleId="CommentText">
    <w:name w:val="annotation text"/>
    <w:basedOn w:val="Normal"/>
    <w:link w:val="CommentTextChar"/>
    <w:qFormat/>
    <w:rsid w:val="00603EE4"/>
    <w:pPr>
      <w:spacing w:after="0" w:line="240" w:lineRule="auto"/>
    </w:pPr>
    <w:rPr>
      <w:rFonts w:ascii="TmsCyr" w:hAnsi="TmsCyr"/>
      <w:sz w:val="20"/>
      <w:szCs w:val="20"/>
      <w:lang w:val="en-GB" w:eastAsia="ja-JP"/>
    </w:rPr>
  </w:style>
  <w:style w:type="character" w:customStyle="1" w:styleId="CommentTextChar">
    <w:name w:val="Comment Text Char"/>
    <w:basedOn w:val="DefaultParagraphFont"/>
    <w:link w:val="CommentText"/>
    <w:uiPriority w:val="99"/>
    <w:locked/>
    <w:rsid w:val="00603EE4"/>
    <w:rPr>
      <w:rFonts w:ascii="TmsCyr" w:hAnsi="TmsCyr" w:cs="Times New Roman"/>
      <w:lang w:val="en-GB" w:eastAsia="ja-JP"/>
    </w:rPr>
  </w:style>
  <w:style w:type="paragraph" w:styleId="BalloonText">
    <w:name w:val="Balloon Text"/>
    <w:basedOn w:val="Normal"/>
    <w:link w:val="BalloonTextChar"/>
    <w:rsid w:val="00603EE4"/>
    <w:pPr>
      <w:spacing w:after="0" w:line="240" w:lineRule="auto"/>
    </w:pPr>
    <w:rPr>
      <w:rFonts w:ascii="Lucida Grande CY" w:hAnsi="Lucida Grande CY" w:cs="Lucida Grande CY"/>
      <w:sz w:val="18"/>
      <w:szCs w:val="18"/>
      <w:lang w:val="en-GB" w:eastAsia="ja-JP"/>
    </w:rPr>
  </w:style>
  <w:style w:type="character" w:customStyle="1" w:styleId="BalloonTextChar">
    <w:name w:val="Balloon Text Char"/>
    <w:basedOn w:val="DefaultParagraphFont"/>
    <w:link w:val="BalloonText"/>
    <w:locked/>
    <w:rsid w:val="00603EE4"/>
    <w:rPr>
      <w:rFonts w:ascii="Lucida Grande CY" w:hAnsi="Lucida Grande CY" w:cs="Lucida Grande CY"/>
      <w:sz w:val="18"/>
      <w:szCs w:val="18"/>
      <w:lang w:val="en-GB" w:eastAsia="ja-JP"/>
    </w:rPr>
  </w:style>
  <w:style w:type="paragraph" w:customStyle="1" w:styleId="Style8">
    <w:name w:val="Style8"/>
    <w:basedOn w:val="Normal"/>
    <w:next w:val="Normal"/>
    <w:rsid w:val="007B0FAE"/>
    <w:pPr>
      <w:widowControl w:val="0"/>
      <w:suppressAutoHyphens/>
      <w:overflowPunct w:val="0"/>
      <w:autoSpaceDE w:val="0"/>
      <w:spacing w:after="0" w:line="240" w:lineRule="auto"/>
      <w:textAlignment w:val="baseline"/>
    </w:pPr>
    <w:rPr>
      <w:rFonts w:ascii="Times New Roman" w:hAnsi="Times New Roman" w:cs="Cambria"/>
      <w:sz w:val="20"/>
      <w:szCs w:val="20"/>
      <w:lang w:eastAsia="ar-SA"/>
    </w:rPr>
  </w:style>
  <w:style w:type="character" w:customStyle="1" w:styleId="Heading8Char1">
    <w:name w:val="Heading 8 Char1"/>
    <w:basedOn w:val="DefaultParagraphFont"/>
    <w:semiHidden/>
    <w:locked/>
    <w:rsid w:val="008E5335"/>
    <w:rPr>
      <w:rFonts w:ascii="Calibri" w:hAnsi="Calibri" w:cs="Times New Roman"/>
      <w:i/>
      <w:iCs/>
      <w:sz w:val="24"/>
      <w:szCs w:val="24"/>
      <w:lang w:eastAsia="en-US"/>
    </w:rPr>
  </w:style>
  <w:style w:type="paragraph" w:customStyle="1" w:styleId="Style">
    <w:name w:val="Style"/>
    <w:rsid w:val="002246DA"/>
    <w:pPr>
      <w:widowControl w:val="0"/>
      <w:suppressAutoHyphens/>
      <w:overflowPunct w:val="0"/>
      <w:autoSpaceDE w:val="0"/>
      <w:textAlignment w:val="baseline"/>
    </w:pPr>
    <w:rPr>
      <w:rFonts w:ascii="Times New Roman" w:hAnsi="Times New Roman" w:cs="Cambria"/>
      <w:lang w:eastAsia="ar-SA"/>
    </w:rPr>
  </w:style>
  <w:style w:type="paragraph" w:customStyle="1" w:styleId="Style10">
    <w:name w:val="Style10"/>
    <w:basedOn w:val="Style"/>
    <w:next w:val="Style"/>
    <w:rsid w:val="002246DA"/>
  </w:style>
  <w:style w:type="paragraph" w:customStyle="1" w:styleId="Style9">
    <w:name w:val="Style9"/>
    <w:basedOn w:val="Style"/>
    <w:next w:val="Style"/>
    <w:rsid w:val="002246DA"/>
  </w:style>
  <w:style w:type="paragraph" w:customStyle="1" w:styleId="Style4">
    <w:name w:val="Style4"/>
    <w:basedOn w:val="Style"/>
    <w:rsid w:val="002246DA"/>
  </w:style>
  <w:style w:type="paragraph" w:customStyle="1" w:styleId="Style3">
    <w:name w:val="Style3"/>
    <w:basedOn w:val="Style"/>
    <w:rsid w:val="002246DA"/>
  </w:style>
  <w:style w:type="paragraph" w:customStyle="1" w:styleId="WW-">
    <w:name w:val="WW-По подразбиране"/>
    <w:rsid w:val="002246DA"/>
    <w:pPr>
      <w:widowControl w:val="0"/>
      <w:tabs>
        <w:tab w:val="left" w:pos="709"/>
      </w:tabs>
      <w:suppressAutoHyphens/>
      <w:spacing w:line="200" w:lineRule="atLeast"/>
    </w:pPr>
    <w:rPr>
      <w:rFonts w:ascii="Times New Roman" w:hAnsi="Times New Roman" w:cs="Cambria"/>
      <w:sz w:val="24"/>
      <w:szCs w:val="24"/>
      <w:lang w:eastAsia="ar-SA"/>
    </w:rPr>
  </w:style>
  <w:style w:type="character" w:customStyle="1" w:styleId="A0">
    <w:name w:val="A0"/>
    <w:rsid w:val="00760620"/>
    <w:rPr>
      <w:color w:val="000000"/>
      <w:sz w:val="16"/>
    </w:rPr>
  </w:style>
  <w:style w:type="paragraph" w:customStyle="1" w:styleId="Pa19">
    <w:name w:val="Pa19"/>
    <w:basedOn w:val="Normal"/>
    <w:next w:val="Normal"/>
    <w:rsid w:val="00760620"/>
    <w:pPr>
      <w:autoSpaceDE w:val="0"/>
      <w:autoSpaceDN w:val="0"/>
      <w:adjustRightInd w:val="0"/>
      <w:spacing w:after="0" w:line="181" w:lineRule="atLeast"/>
    </w:pPr>
    <w:rPr>
      <w:rFonts w:ascii="Agenda" w:hAnsi="Agenda"/>
      <w:sz w:val="24"/>
      <w:szCs w:val="24"/>
      <w:lang w:eastAsia="bg-BG"/>
    </w:rPr>
  </w:style>
  <w:style w:type="paragraph" w:customStyle="1" w:styleId="Pa17">
    <w:name w:val="Pa17"/>
    <w:basedOn w:val="Normal"/>
    <w:next w:val="Normal"/>
    <w:rsid w:val="00760620"/>
    <w:pPr>
      <w:autoSpaceDE w:val="0"/>
      <w:autoSpaceDN w:val="0"/>
      <w:adjustRightInd w:val="0"/>
      <w:spacing w:after="0" w:line="181" w:lineRule="atLeast"/>
    </w:pPr>
    <w:rPr>
      <w:rFonts w:ascii="Agenda" w:hAnsi="Agenda"/>
      <w:sz w:val="24"/>
      <w:szCs w:val="24"/>
      <w:lang w:eastAsia="bg-BG"/>
    </w:rPr>
  </w:style>
  <w:style w:type="paragraph" w:customStyle="1" w:styleId="text-decbookmainmain">
    <w:name w:val="text-dec bookmain main"/>
    <w:basedOn w:val="Normal"/>
    <w:rsid w:val="00760620"/>
    <w:pPr>
      <w:spacing w:before="100" w:beforeAutospacing="1" w:after="100" w:afterAutospacing="1" w:line="240" w:lineRule="auto"/>
    </w:pPr>
    <w:rPr>
      <w:rFonts w:ascii="Times New Roman" w:hAnsi="Times New Roman"/>
      <w:sz w:val="24"/>
      <w:szCs w:val="24"/>
      <w:lang w:eastAsia="bg-BG"/>
    </w:rPr>
  </w:style>
  <w:style w:type="paragraph" w:styleId="Caption">
    <w:name w:val="caption"/>
    <w:basedOn w:val="Normal"/>
    <w:link w:val="CaptionChar"/>
    <w:qFormat/>
    <w:rsid w:val="00E51653"/>
    <w:pPr>
      <w:widowControl w:val="0"/>
      <w:suppressLineNumbers/>
      <w:suppressAutoHyphens/>
      <w:spacing w:before="120" w:after="120" w:line="240" w:lineRule="auto"/>
    </w:pPr>
    <w:rPr>
      <w:rFonts w:ascii="Arial" w:eastAsia="MS Mincho" w:hAnsi="Arial" w:cs="Tahoma"/>
      <w:i/>
      <w:iCs/>
      <w:sz w:val="24"/>
      <w:szCs w:val="24"/>
      <w:lang w:eastAsia="ar-SA"/>
    </w:rPr>
  </w:style>
  <w:style w:type="character" w:customStyle="1" w:styleId="WW-DefaultParagraphFont11">
    <w:name w:val="WW-Default Paragraph Font11"/>
    <w:rsid w:val="00E51653"/>
  </w:style>
  <w:style w:type="character" w:customStyle="1" w:styleId="a1">
    <w:name w:val="Символи за номериране"/>
    <w:rsid w:val="00E51653"/>
  </w:style>
  <w:style w:type="paragraph" w:customStyle="1" w:styleId="a2">
    <w:name w:val="Указател"/>
    <w:basedOn w:val="Normal"/>
    <w:rsid w:val="00E51653"/>
    <w:pPr>
      <w:widowControl w:val="0"/>
      <w:suppressLineNumbers/>
      <w:suppressAutoHyphens/>
      <w:spacing w:after="0" w:line="240" w:lineRule="auto"/>
    </w:pPr>
    <w:rPr>
      <w:rFonts w:ascii="Arial" w:eastAsia="MS Mincho" w:hAnsi="Arial" w:cs="Tahoma"/>
      <w:sz w:val="24"/>
      <w:szCs w:val="24"/>
      <w:lang w:eastAsia="ar-SA"/>
    </w:rPr>
  </w:style>
  <w:style w:type="paragraph" w:customStyle="1" w:styleId="Style1">
    <w:name w:val="Style1"/>
    <w:basedOn w:val="Style"/>
    <w:rsid w:val="00E51653"/>
  </w:style>
  <w:style w:type="character" w:customStyle="1" w:styleId="BodyTextIndentChar1">
    <w:name w:val="Body Text Indent Char1"/>
    <w:rsid w:val="00E51653"/>
    <w:rPr>
      <w:rFonts w:ascii="Arial" w:eastAsia="MS Mincho" w:hAnsi="Arial"/>
      <w:sz w:val="24"/>
      <w:lang w:val="bg-BG" w:eastAsia="ar-SA" w:bidi="ar-SA"/>
    </w:rPr>
  </w:style>
  <w:style w:type="paragraph" w:styleId="List4">
    <w:name w:val="List 4"/>
    <w:basedOn w:val="Normal"/>
    <w:rsid w:val="00E51653"/>
    <w:pPr>
      <w:suppressAutoHyphens/>
      <w:spacing w:after="0" w:line="240" w:lineRule="auto"/>
      <w:ind w:left="1440" w:hanging="360"/>
    </w:pPr>
    <w:rPr>
      <w:rFonts w:ascii="Times New Roman" w:hAnsi="Times New Roman"/>
      <w:sz w:val="20"/>
      <w:szCs w:val="20"/>
      <w:lang w:val="en-AU" w:eastAsia="ar-SA"/>
    </w:rPr>
  </w:style>
  <w:style w:type="paragraph" w:styleId="ListBullet5">
    <w:name w:val="List Bullet 5"/>
    <w:basedOn w:val="Normal"/>
    <w:rsid w:val="00E51653"/>
    <w:pPr>
      <w:suppressAutoHyphens/>
      <w:spacing w:after="0" w:line="240" w:lineRule="auto"/>
      <w:ind w:left="360" w:hanging="360"/>
    </w:pPr>
    <w:rPr>
      <w:rFonts w:ascii="Times New Roman" w:hAnsi="Times New Roman"/>
      <w:sz w:val="20"/>
      <w:szCs w:val="20"/>
      <w:lang w:val="en-AU" w:eastAsia="ar-SA"/>
    </w:rPr>
  </w:style>
  <w:style w:type="paragraph" w:styleId="ListContinue">
    <w:name w:val="List Continue"/>
    <w:basedOn w:val="Normal"/>
    <w:rsid w:val="00E51653"/>
    <w:pPr>
      <w:suppressAutoHyphens/>
      <w:spacing w:after="120" w:line="240" w:lineRule="auto"/>
      <w:ind w:left="360"/>
    </w:pPr>
    <w:rPr>
      <w:rFonts w:ascii="Times New Roman" w:hAnsi="Times New Roman"/>
      <w:sz w:val="20"/>
      <w:szCs w:val="20"/>
      <w:lang w:val="en-AU" w:eastAsia="ar-SA"/>
    </w:rPr>
  </w:style>
  <w:style w:type="paragraph" w:styleId="ListContinue2">
    <w:name w:val="List Continue 2"/>
    <w:basedOn w:val="Normal"/>
    <w:rsid w:val="00E51653"/>
    <w:pPr>
      <w:suppressAutoHyphens/>
      <w:spacing w:after="120" w:line="240" w:lineRule="auto"/>
      <w:ind w:left="720"/>
    </w:pPr>
    <w:rPr>
      <w:rFonts w:ascii="Times New Roman" w:hAnsi="Times New Roman"/>
      <w:sz w:val="20"/>
      <w:szCs w:val="20"/>
      <w:lang w:val="en-AU" w:eastAsia="ar-SA"/>
    </w:rPr>
  </w:style>
  <w:style w:type="paragraph" w:styleId="Subtitle">
    <w:name w:val="Subtitle"/>
    <w:basedOn w:val="Normal"/>
    <w:next w:val="Normal"/>
    <w:link w:val="SubtitleChar"/>
    <w:qFormat/>
    <w:rsid w:val="00E51653"/>
    <w:pPr>
      <w:widowControl w:val="0"/>
      <w:suppressAutoHyphens/>
      <w:spacing w:after="60" w:line="240" w:lineRule="auto"/>
      <w:jc w:val="center"/>
      <w:outlineLvl w:val="1"/>
    </w:pPr>
    <w:rPr>
      <w:rFonts w:eastAsia="MS Gothic"/>
      <w:sz w:val="24"/>
      <w:szCs w:val="24"/>
      <w:lang w:eastAsia="ar-SA"/>
    </w:rPr>
  </w:style>
  <w:style w:type="character" w:customStyle="1" w:styleId="SubtitleChar">
    <w:name w:val="Subtitle Char"/>
    <w:basedOn w:val="DefaultParagraphFont"/>
    <w:link w:val="Subtitle"/>
    <w:locked/>
    <w:rsid w:val="00E51653"/>
    <w:rPr>
      <w:rFonts w:ascii="Calibri" w:eastAsia="MS Gothic" w:hAnsi="Calibri" w:cs="Times New Roman"/>
      <w:sz w:val="24"/>
      <w:szCs w:val="24"/>
      <w:lang w:eastAsia="ar-SA" w:bidi="ar-SA"/>
    </w:rPr>
  </w:style>
  <w:style w:type="character" w:styleId="Emphasis">
    <w:name w:val="Emphasis"/>
    <w:basedOn w:val="DefaultParagraphFont"/>
    <w:uiPriority w:val="20"/>
    <w:qFormat/>
    <w:rsid w:val="00E51653"/>
    <w:rPr>
      <w:rFonts w:cs="Times New Roman"/>
      <w:i/>
    </w:rPr>
  </w:style>
  <w:style w:type="character" w:customStyle="1" w:styleId="name">
    <w:name w:val="name"/>
    <w:uiPriority w:val="99"/>
    <w:rsid w:val="00E51653"/>
  </w:style>
  <w:style w:type="character" w:styleId="FollowedHyperlink">
    <w:name w:val="FollowedHyperlink"/>
    <w:basedOn w:val="DefaultParagraphFont"/>
    <w:uiPriority w:val="99"/>
    <w:rsid w:val="00E51653"/>
    <w:rPr>
      <w:rFonts w:cs="Times New Roman"/>
      <w:color w:val="800080"/>
      <w:u w:val="single"/>
    </w:rPr>
  </w:style>
  <w:style w:type="paragraph" w:customStyle="1" w:styleId="authlist">
    <w:name w:val="auth_list"/>
    <w:basedOn w:val="Normal"/>
    <w:rsid w:val="00E51653"/>
    <w:pPr>
      <w:spacing w:before="100" w:beforeAutospacing="1" w:after="100" w:afterAutospacing="1" w:line="240" w:lineRule="auto"/>
    </w:pPr>
    <w:rPr>
      <w:rFonts w:ascii="Times New Roman" w:hAnsi="Times New Roman"/>
      <w:sz w:val="24"/>
      <w:szCs w:val="24"/>
      <w:lang w:eastAsia="bg-BG"/>
    </w:rPr>
  </w:style>
  <w:style w:type="paragraph" w:customStyle="1" w:styleId="notopmargin">
    <w:name w:val="no_top_margin"/>
    <w:basedOn w:val="Normal"/>
    <w:rsid w:val="00E51653"/>
    <w:pPr>
      <w:spacing w:after="100" w:afterAutospacing="1" w:line="240" w:lineRule="auto"/>
    </w:pPr>
    <w:rPr>
      <w:rFonts w:ascii="Times New Roman" w:hAnsi="Times New Roman"/>
      <w:sz w:val="24"/>
      <w:szCs w:val="24"/>
      <w:lang w:eastAsia="bg-BG"/>
    </w:rPr>
  </w:style>
  <w:style w:type="character" w:customStyle="1" w:styleId="italictext">
    <w:name w:val="italictext"/>
    <w:rsid w:val="00E51653"/>
  </w:style>
  <w:style w:type="paragraph" w:styleId="BodyText3">
    <w:name w:val="Body Text 3"/>
    <w:basedOn w:val="Normal"/>
    <w:link w:val="BodyText3Char"/>
    <w:uiPriority w:val="99"/>
    <w:rsid w:val="00E51653"/>
    <w:pPr>
      <w:spacing w:after="120" w:line="240" w:lineRule="auto"/>
    </w:pPr>
    <w:rPr>
      <w:rFonts w:ascii="Times New Roman" w:hAnsi="Times New Roman"/>
      <w:sz w:val="16"/>
      <w:szCs w:val="16"/>
      <w:lang w:val="en-AU"/>
    </w:rPr>
  </w:style>
  <w:style w:type="character" w:customStyle="1" w:styleId="BodyText3Char">
    <w:name w:val="Body Text 3 Char"/>
    <w:basedOn w:val="DefaultParagraphFont"/>
    <w:link w:val="BodyText3"/>
    <w:uiPriority w:val="99"/>
    <w:locked/>
    <w:rsid w:val="00E51653"/>
    <w:rPr>
      <w:rFonts w:ascii="Times New Roman" w:hAnsi="Times New Roman" w:cs="Times New Roman"/>
      <w:sz w:val="16"/>
      <w:szCs w:val="16"/>
      <w:lang w:val="en-AU"/>
    </w:rPr>
  </w:style>
  <w:style w:type="paragraph" w:customStyle="1" w:styleId="Zagloborudvane">
    <w:name w:val="Zagl_oborudvane"/>
    <w:basedOn w:val="Normal"/>
    <w:uiPriority w:val="99"/>
    <w:rsid w:val="00E51653"/>
    <w:pPr>
      <w:spacing w:before="240" w:after="120" w:line="240" w:lineRule="auto"/>
      <w:ind w:firstLine="567"/>
    </w:pPr>
    <w:rPr>
      <w:rFonts w:ascii="Arial" w:hAnsi="Arial"/>
      <w:b/>
      <w:sz w:val="24"/>
      <w:szCs w:val="20"/>
    </w:rPr>
  </w:style>
  <w:style w:type="paragraph" w:customStyle="1" w:styleId="Style2">
    <w:name w:val="Style2"/>
    <w:rsid w:val="00E51653"/>
    <w:pPr>
      <w:autoSpaceDE w:val="0"/>
      <w:autoSpaceDN w:val="0"/>
      <w:adjustRightInd w:val="0"/>
      <w:ind w:right="30"/>
    </w:pPr>
    <w:rPr>
      <w:rFonts w:ascii="Arial" w:hAnsi="Arial" w:cs="Arial"/>
      <w:b/>
      <w:bCs/>
      <w:color w:val="000000"/>
      <w:sz w:val="23"/>
      <w:szCs w:val="23"/>
      <w:lang w:val="en-US"/>
    </w:rPr>
  </w:style>
  <w:style w:type="paragraph" w:styleId="HTMLPreformatted">
    <w:name w:val="HTML Preformatted"/>
    <w:basedOn w:val="Normal"/>
    <w:link w:val="HTMLPreformattedChar"/>
    <w:uiPriority w:val="99"/>
    <w:rsid w:val="00E51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hAnsi="Courier New"/>
      <w:sz w:val="20"/>
      <w:szCs w:val="20"/>
      <w:lang w:val="en-US"/>
    </w:rPr>
  </w:style>
  <w:style w:type="character" w:customStyle="1" w:styleId="HTMLPreformattedChar">
    <w:name w:val="HTML Preformatted Char"/>
    <w:basedOn w:val="DefaultParagraphFont"/>
    <w:link w:val="HTMLPreformatted"/>
    <w:uiPriority w:val="99"/>
    <w:locked/>
    <w:rsid w:val="00E51653"/>
    <w:rPr>
      <w:rFonts w:ascii="Courier New" w:hAnsi="Courier New" w:cs="Times New Roman"/>
      <w:lang w:val="en-US"/>
    </w:rPr>
  </w:style>
  <w:style w:type="paragraph" w:styleId="List5">
    <w:name w:val="List 5"/>
    <w:basedOn w:val="Normal"/>
    <w:rsid w:val="00E51653"/>
    <w:pPr>
      <w:spacing w:after="0" w:line="240" w:lineRule="auto"/>
      <w:ind w:left="1800" w:hanging="360"/>
    </w:pPr>
    <w:rPr>
      <w:rFonts w:ascii="Times New Roman" w:hAnsi="Times New Roman"/>
      <w:sz w:val="20"/>
      <w:szCs w:val="20"/>
      <w:lang w:val="en-AU"/>
    </w:rPr>
  </w:style>
  <w:style w:type="paragraph" w:styleId="NormalIndent">
    <w:name w:val="Normal Indent"/>
    <w:basedOn w:val="Normal"/>
    <w:rsid w:val="00E51653"/>
    <w:pPr>
      <w:spacing w:after="0" w:line="240" w:lineRule="auto"/>
      <w:ind w:left="708"/>
    </w:pPr>
    <w:rPr>
      <w:rFonts w:ascii="Times New Roman" w:hAnsi="Times New Roman"/>
      <w:sz w:val="20"/>
      <w:szCs w:val="20"/>
      <w:lang w:val="en-AU"/>
    </w:rPr>
  </w:style>
  <w:style w:type="paragraph" w:styleId="BlockText">
    <w:name w:val="Block Text"/>
    <w:basedOn w:val="Normal"/>
    <w:rsid w:val="00E51653"/>
    <w:pPr>
      <w:shd w:val="clear" w:color="auto" w:fill="FFFFFF"/>
      <w:tabs>
        <w:tab w:val="left" w:pos="8820"/>
      </w:tabs>
      <w:spacing w:after="0" w:line="360" w:lineRule="auto"/>
      <w:ind w:left="-360" w:right="180" w:firstLine="900"/>
      <w:jc w:val="both"/>
    </w:pPr>
    <w:rPr>
      <w:rFonts w:ascii="Times New Roman" w:hAnsi="Times New Roman"/>
      <w:color w:val="000000"/>
      <w:spacing w:val="10"/>
      <w:sz w:val="24"/>
      <w:szCs w:val="24"/>
    </w:rPr>
  </w:style>
  <w:style w:type="character" w:customStyle="1" w:styleId="text2">
    <w:name w:val="text2"/>
    <w:rsid w:val="00E51653"/>
    <w:rPr>
      <w:rFonts w:ascii="Arial" w:hAnsi="Arial"/>
      <w:color w:val="000000"/>
      <w:sz w:val="24"/>
    </w:rPr>
  </w:style>
  <w:style w:type="character" w:customStyle="1" w:styleId="section-title-11">
    <w:name w:val="section-title-11"/>
    <w:rsid w:val="00E51653"/>
    <w:rPr>
      <w:b/>
      <w:color w:val="003366"/>
      <w:sz w:val="24"/>
    </w:rPr>
  </w:style>
  <w:style w:type="character" w:customStyle="1" w:styleId="section-title-21">
    <w:name w:val="section-title-21"/>
    <w:rsid w:val="00E51653"/>
    <w:rPr>
      <w:b/>
      <w:i/>
      <w:color w:val="003366"/>
      <w:sz w:val="24"/>
    </w:rPr>
  </w:style>
  <w:style w:type="character" w:customStyle="1" w:styleId="z3988">
    <w:name w:val="z3988"/>
    <w:rsid w:val="00E51653"/>
  </w:style>
  <w:style w:type="character" w:customStyle="1" w:styleId="WW8Num1z0">
    <w:name w:val="WW8Num1z0"/>
    <w:rsid w:val="00E51653"/>
    <w:rPr>
      <w:rFonts w:ascii="Symbol" w:hAnsi="Symbol"/>
    </w:rPr>
  </w:style>
  <w:style w:type="character" w:customStyle="1" w:styleId="WW8Num1z1">
    <w:name w:val="WW8Num1z1"/>
    <w:rsid w:val="00E51653"/>
    <w:rPr>
      <w:rFonts w:ascii="Courier New" w:hAnsi="Courier New"/>
    </w:rPr>
  </w:style>
  <w:style w:type="character" w:customStyle="1" w:styleId="WW8Num1z2">
    <w:name w:val="WW8Num1z2"/>
    <w:rsid w:val="00E51653"/>
    <w:rPr>
      <w:rFonts w:ascii="Wingdings" w:hAnsi="Wingdings"/>
    </w:rPr>
  </w:style>
  <w:style w:type="character" w:customStyle="1" w:styleId="WW8Num2z0">
    <w:name w:val="WW8Num2z0"/>
    <w:rsid w:val="00E51653"/>
    <w:rPr>
      <w:rFonts w:ascii="Symbol" w:hAnsi="Symbol"/>
    </w:rPr>
  </w:style>
  <w:style w:type="character" w:customStyle="1" w:styleId="WW8Num2z1">
    <w:name w:val="WW8Num2z1"/>
    <w:rsid w:val="00E51653"/>
    <w:rPr>
      <w:rFonts w:ascii="Courier New" w:hAnsi="Courier New"/>
    </w:rPr>
  </w:style>
  <w:style w:type="character" w:customStyle="1" w:styleId="WW8Num2z2">
    <w:name w:val="WW8Num2z2"/>
    <w:rsid w:val="00E51653"/>
    <w:rPr>
      <w:rFonts w:ascii="Wingdings" w:hAnsi="Wingdings"/>
    </w:rPr>
  </w:style>
  <w:style w:type="character" w:customStyle="1" w:styleId="WW8Num2z3">
    <w:name w:val="WW8Num2z3"/>
    <w:rsid w:val="00E51653"/>
    <w:rPr>
      <w:rFonts w:ascii="Symbol" w:hAnsi="Symbol"/>
    </w:rPr>
  </w:style>
  <w:style w:type="character" w:customStyle="1" w:styleId="WW8Num3z0">
    <w:name w:val="WW8Num3z0"/>
    <w:rsid w:val="00E51653"/>
    <w:rPr>
      <w:rFonts w:ascii="Symbol" w:hAnsi="Symbol"/>
    </w:rPr>
  </w:style>
  <w:style w:type="character" w:customStyle="1" w:styleId="WW8Num3z1">
    <w:name w:val="WW8Num3z1"/>
    <w:rsid w:val="00E51653"/>
    <w:rPr>
      <w:rFonts w:ascii="Courier New" w:hAnsi="Courier New"/>
    </w:rPr>
  </w:style>
  <w:style w:type="character" w:customStyle="1" w:styleId="WW8Num3z2">
    <w:name w:val="WW8Num3z2"/>
    <w:rsid w:val="00E51653"/>
    <w:rPr>
      <w:rFonts w:ascii="Wingdings" w:hAnsi="Wingdings"/>
    </w:rPr>
  </w:style>
  <w:style w:type="character" w:customStyle="1" w:styleId="WW8Num4z0">
    <w:name w:val="WW8Num4z0"/>
    <w:rsid w:val="00E51653"/>
    <w:rPr>
      <w:rFonts w:ascii="Symbol" w:hAnsi="Symbol"/>
    </w:rPr>
  </w:style>
  <w:style w:type="character" w:customStyle="1" w:styleId="WW8Num4z1">
    <w:name w:val="WW8Num4z1"/>
    <w:rsid w:val="00E51653"/>
    <w:rPr>
      <w:rFonts w:ascii="Courier New" w:hAnsi="Courier New"/>
    </w:rPr>
  </w:style>
  <w:style w:type="character" w:customStyle="1" w:styleId="WW8Num4z2">
    <w:name w:val="WW8Num4z2"/>
    <w:rsid w:val="00E51653"/>
    <w:rPr>
      <w:rFonts w:ascii="Wingdings" w:hAnsi="Wingdings"/>
    </w:rPr>
  </w:style>
  <w:style w:type="character" w:customStyle="1" w:styleId="WW8Num6z0">
    <w:name w:val="WW8Num6z0"/>
    <w:rsid w:val="00E51653"/>
    <w:rPr>
      <w:rFonts w:ascii="Times New Roman" w:hAnsi="Times New Roman"/>
    </w:rPr>
  </w:style>
  <w:style w:type="character" w:customStyle="1" w:styleId="WW8Num6z1">
    <w:name w:val="WW8Num6z1"/>
    <w:rsid w:val="00E51653"/>
    <w:rPr>
      <w:rFonts w:ascii="Symbol" w:hAnsi="Symbol"/>
    </w:rPr>
  </w:style>
  <w:style w:type="character" w:customStyle="1" w:styleId="WW8Num6z2">
    <w:name w:val="WW8Num6z2"/>
    <w:rsid w:val="00E51653"/>
    <w:rPr>
      <w:rFonts w:ascii="Wingdings" w:hAnsi="Wingdings"/>
    </w:rPr>
  </w:style>
  <w:style w:type="character" w:customStyle="1" w:styleId="WW8Num6z4">
    <w:name w:val="WW8Num6z4"/>
    <w:rsid w:val="00E51653"/>
    <w:rPr>
      <w:rFonts w:ascii="Courier New" w:hAnsi="Courier New"/>
    </w:rPr>
  </w:style>
  <w:style w:type="character" w:customStyle="1" w:styleId="WW8Num8z0">
    <w:name w:val="WW8Num8z0"/>
    <w:rsid w:val="00E51653"/>
    <w:rPr>
      <w:rFonts w:ascii="Symbol" w:hAnsi="Symbol"/>
    </w:rPr>
  </w:style>
  <w:style w:type="character" w:customStyle="1" w:styleId="WW8Num8z1">
    <w:name w:val="WW8Num8z1"/>
    <w:rsid w:val="00E51653"/>
    <w:rPr>
      <w:rFonts w:ascii="Courier New" w:hAnsi="Courier New"/>
    </w:rPr>
  </w:style>
  <w:style w:type="character" w:customStyle="1" w:styleId="WW8Num8z2">
    <w:name w:val="WW8Num8z2"/>
    <w:rsid w:val="00E51653"/>
    <w:rPr>
      <w:rFonts w:ascii="Wingdings" w:hAnsi="Wingdings"/>
    </w:rPr>
  </w:style>
  <w:style w:type="character" w:customStyle="1" w:styleId="WW8Num11z0">
    <w:name w:val="WW8Num11z0"/>
    <w:rsid w:val="00E51653"/>
    <w:rPr>
      <w:rFonts w:ascii="Symbol" w:hAnsi="Symbol"/>
    </w:rPr>
  </w:style>
  <w:style w:type="character" w:customStyle="1" w:styleId="WW8Num11z1">
    <w:name w:val="WW8Num11z1"/>
    <w:rsid w:val="00E51653"/>
    <w:rPr>
      <w:rFonts w:ascii="Courier New" w:hAnsi="Courier New"/>
    </w:rPr>
  </w:style>
  <w:style w:type="character" w:customStyle="1" w:styleId="WW8Num11z2">
    <w:name w:val="WW8Num11z2"/>
    <w:rsid w:val="00E51653"/>
    <w:rPr>
      <w:rFonts w:ascii="Wingdings" w:hAnsi="Wingdings"/>
    </w:rPr>
  </w:style>
  <w:style w:type="paragraph" w:customStyle="1" w:styleId="-">
    <w:name w:val="Рамка - съдържание"/>
    <w:basedOn w:val="BodyText"/>
    <w:rsid w:val="00E51653"/>
    <w:pPr>
      <w:widowControl w:val="0"/>
      <w:tabs>
        <w:tab w:val="clear" w:pos="720"/>
        <w:tab w:val="left" w:pos="567"/>
      </w:tabs>
      <w:spacing w:after="0" w:line="240" w:lineRule="auto"/>
    </w:pPr>
    <w:rPr>
      <w:rFonts w:cs="Cambria"/>
      <w:szCs w:val="20"/>
      <w:lang w:eastAsia="ar-SA"/>
    </w:rPr>
  </w:style>
  <w:style w:type="paragraph" w:customStyle="1" w:styleId="-0">
    <w:name w:val="Таблица - съдържание"/>
    <w:basedOn w:val="Normal"/>
    <w:rsid w:val="00E51653"/>
    <w:pPr>
      <w:widowControl w:val="0"/>
      <w:suppressLineNumbers/>
      <w:suppressAutoHyphens/>
      <w:spacing w:after="0" w:line="240" w:lineRule="auto"/>
    </w:pPr>
    <w:rPr>
      <w:rFonts w:ascii="Times New Roman" w:hAnsi="Times New Roman" w:cs="Cambria"/>
      <w:sz w:val="20"/>
      <w:szCs w:val="20"/>
      <w:lang w:val="en-AU" w:eastAsia="ar-SA"/>
    </w:rPr>
  </w:style>
  <w:style w:type="paragraph" w:customStyle="1" w:styleId="-1">
    <w:name w:val="Таблица - заглавие"/>
    <w:basedOn w:val="-0"/>
    <w:rsid w:val="00E51653"/>
    <w:pPr>
      <w:jc w:val="center"/>
    </w:pPr>
    <w:rPr>
      <w:b/>
      <w:bCs/>
    </w:rPr>
  </w:style>
  <w:style w:type="character" w:customStyle="1" w:styleId="BodyTextChar1">
    <w:name w:val="Body Text Char1"/>
    <w:rsid w:val="00E51653"/>
    <w:rPr>
      <w:sz w:val="24"/>
      <w:lang w:val="bg-BG" w:eastAsia="ar-SA" w:bidi="ar-SA"/>
    </w:rPr>
  </w:style>
  <w:style w:type="character" w:customStyle="1" w:styleId="atn">
    <w:name w:val="atn"/>
    <w:rsid w:val="00E51653"/>
  </w:style>
  <w:style w:type="character" w:customStyle="1" w:styleId="longtext">
    <w:name w:val="long_text"/>
    <w:rsid w:val="00E51653"/>
  </w:style>
  <w:style w:type="paragraph" w:customStyle="1" w:styleId="drip">
    <w:name w:val="drip"/>
    <w:basedOn w:val="Normal"/>
    <w:rsid w:val="00E51653"/>
    <w:pPr>
      <w:spacing w:before="100" w:beforeAutospacing="1" w:after="100" w:afterAutospacing="1" w:line="240" w:lineRule="auto"/>
    </w:pPr>
    <w:rPr>
      <w:rFonts w:ascii="Times New Roman" w:hAnsi="Times New Roman"/>
      <w:sz w:val="24"/>
      <w:szCs w:val="24"/>
      <w:lang w:eastAsia="bg-BG"/>
    </w:rPr>
  </w:style>
  <w:style w:type="character" w:customStyle="1" w:styleId="WW-DefaultParagraphFont">
    <w:name w:val="WW-Default Paragraph Font"/>
    <w:rsid w:val="00E51653"/>
  </w:style>
  <w:style w:type="paragraph" w:customStyle="1" w:styleId="contenthead3">
    <w:name w:val="contenthead3"/>
    <w:basedOn w:val="Normal"/>
    <w:rsid w:val="00E51653"/>
    <w:pPr>
      <w:spacing w:before="100" w:beforeAutospacing="1" w:after="100" w:afterAutospacing="1" w:line="240" w:lineRule="auto"/>
    </w:pPr>
    <w:rPr>
      <w:rFonts w:ascii="Times New Roman" w:hAnsi="Times New Roman"/>
      <w:sz w:val="24"/>
      <w:szCs w:val="24"/>
      <w:lang w:eastAsia="bg-BG"/>
    </w:rPr>
  </w:style>
  <w:style w:type="paragraph" w:customStyle="1" w:styleId="contenthead2">
    <w:name w:val="contenthead2"/>
    <w:basedOn w:val="Normal"/>
    <w:rsid w:val="00E51653"/>
    <w:pPr>
      <w:spacing w:before="100" w:beforeAutospacing="1" w:after="100" w:afterAutospacing="1" w:line="240" w:lineRule="auto"/>
    </w:pPr>
    <w:rPr>
      <w:rFonts w:ascii="Times New Roman" w:hAnsi="Times New Roman"/>
      <w:sz w:val="24"/>
      <w:szCs w:val="24"/>
      <w:lang w:eastAsia="bg-BG"/>
    </w:rPr>
  </w:style>
  <w:style w:type="character" w:styleId="HTMLCite">
    <w:name w:val="HTML Cite"/>
    <w:basedOn w:val="DefaultParagraphFont"/>
    <w:uiPriority w:val="99"/>
    <w:rsid w:val="00E51653"/>
    <w:rPr>
      <w:rFonts w:cs="Times New Roman"/>
      <w:i/>
    </w:rPr>
  </w:style>
  <w:style w:type="character" w:customStyle="1" w:styleId="slug-pub-date">
    <w:name w:val="slug-pub-date"/>
    <w:rsid w:val="00E51653"/>
  </w:style>
  <w:style w:type="character" w:customStyle="1" w:styleId="slug-vol">
    <w:name w:val="slug-vol"/>
    <w:rsid w:val="00E51653"/>
  </w:style>
  <w:style w:type="character" w:customStyle="1" w:styleId="slug-pages">
    <w:name w:val="slug-pages"/>
    <w:rsid w:val="00E51653"/>
  </w:style>
  <w:style w:type="character" w:customStyle="1" w:styleId="slug-issue">
    <w:name w:val="slug-issue"/>
    <w:rsid w:val="00E51653"/>
  </w:style>
  <w:style w:type="character" w:customStyle="1" w:styleId="highlight">
    <w:name w:val="highlight"/>
    <w:rsid w:val="00E51653"/>
  </w:style>
  <w:style w:type="paragraph" w:customStyle="1" w:styleId="CarCar1CharCharCarCar">
    <w:name w:val="Car Car1 Char Char Car Car"/>
    <w:basedOn w:val="Normal"/>
    <w:rsid w:val="00E51653"/>
    <w:pPr>
      <w:spacing w:after="160" w:line="240" w:lineRule="exact"/>
    </w:pPr>
    <w:rPr>
      <w:rFonts w:ascii="Tahoma" w:hAnsi="Tahoma" w:cs="Tahoma"/>
      <w:sz w:val="20"/>
      <w:szCs w:val="20"/>
      <w:lang w:val="en-US"/>
    </w:rPr>
  </w:style>
  <w:style w:type="paragraph" w:styleId="DocumentMap">
    <w:name w:val="Document Map"/>
    <w:basedOn w:val="Normal"/>
    <w:link w:val="DocumentMapChar"/>
    <w:semiHidden/>
    <w:rsid w:val="00E51653"/>
    <w:pPr>
      <w:shd w:val="clear" w:color="auto" w:fill="000080"/>
      <w:spacing w:after="0" w:line="240" w:lineRule="auto"/>
    </w:pPr>
    <w:rPr>
      <w:rFonts w:ascii="Tahoma" w:hAnsi="Tahoma"/>
      <w:sz w:val="24"/>
      <w:szCs w:val="24"/>
      <w:lang w:eastAsia="bg-BG"/>
    </w:rPr>
  </w:style>
  <w:style w:type="character" w:customStyle="1" w:styleId="DocumentMapChar">
    <w:name w:val="Document Map Char"/>
    <w:basedOn w:val="DefaultParagraphFont"/>
    <w:link w:val="DocumentMap"/>
    <w:semiHidden/>
    <w:locked/>
    <w:rsid w:val="00E51653"/>
    <w:rPr>
      <w:rFonts w:ascii="Tahoma" w:hAnsi="Tahoma" w:cs="Times New Roman"/>
      <w:sz w:val="24"/>
      <w:szCs w:val="24"/>
      <w:shd w:val="clear" w:color="auto" w:fill="000080"/>
    </w:rPr>
  </w:style>
  <w:style w:type="character" w:customStyle="1" w:styleId="cit-title">
    <w:name w:val="cit-title"/>
    <w:rsid w:val="00E51653"/>
  </w:style>
  <w:style w:type="character" w:customStyle="1" w:styleId="cit-print-date">
    <w:name w:val="cit-print-date"/>
    <w:rsid w:val="00E51653"/>
  </w:style>
  <w:style w:type="character" w:customStyle="1" w:styleId="cit-vol">
    <w:name w:val="cit-vol"/>
    <w:rsid w:val="00E51653"/>
  </w:style>
  <w:style w:type="character" w:customStyle="1" w:styleId="cit-sepcit-sep-after-article-vol">
    <w:name w:val="cit-sep cit-sep-after-article-vol"/>
    <w:rsid w:val="00E51653"/>
  </w:style>
  <w:style w:type="character" w:customStyle="1" w:styleId="cit-first-page">
    <w:name w:val="cit-first-page"/>
    <w:rsid w:val="00E51653"/>
  </w:style>
  <w:style w:type="character" w:customStyle="1" w:styleId="cit-sep">
    <w:name w:val="cit-sep"/>
    <w:rsid w:val="00E51653"/>
  </w:style>
  <w:style w:type="character" w:customStyle="1" w:styleId="cit-last-page">
    <w:name w:val="cit-last-page"/>
    <w:rsid w:val="00E51653"/>
  </w:style>
  <w:style w:type="character" w:customStyle="1" w:styleId="BodyText1">
    <w:name w:val="Body Text1"/>
    <w:rsid w:val="00E51653"/>
    <w:rPr>
      <w:rFonts w:ascii="HebarCYR" w:hAnsi="HebarCYR"/>
      <w:color w:val="000000"/>
      <w:spacing w:val="0"/>
      <w:w w:val="100"/>
      <w:position w:val="0"/>
      <w:sz w:val="20"/>
      <w:u w:val="none"/>
      <w:vertAlign w:val="baseline"/>
      <w:lang w:val="bg-BG"/>
    </w:rPr>
  </w:style>
  <w:style w:type="paragraph" w:customStyle="1" w:styleId="NoParagraphStyle">
    <w:name w:val="[No Paragraph Style]"/>
    <w:rsid w:val="00E51653"/>
    <w:pPr>
      <w:suppressAutoHyphens/>
      <w:autoSpaceDE w:val="0"/>
      <w:spacing w:line="288" w:lineRule="auto"/>
      <w:textAlignment w:val="center"/>
    </w:pPr>
    <w:rPr>
      <w:rFonts w:ascii="Minion Pro" w:hAnsi="Minion Pro" w:cs="Minion Pro"/>
      <w:color w:val="000000"/>
      <w:sz w:val="24"/>
      <w:szCs w:val="24"/>
      <w:lang w:val="en-GB" w:eastAsia="ar-SA"/>
    </w:rPr>
  </w:style>
  <w:style w:type="character" w:customStyle="1" w:styleId="slicetext">
    <w:name w:val="slicetext"/>
    <w:rsid w:val="00E51653"/>
  </w:style>
  <w:style w:type="character" w:customStyle="1" w:styleId="ListLabel1">
    <w:name w:val="ListLabel 1"/>
    <w:rsid w:val="00E51653"/>
  </w:style>
  <w:style w:type="character" w:customStyle="1" w:styleId="ListLabel2">
    <w:name w:val="ListLabel 2"/>
    <w:rsid w:val="00E51653"/>
  </w:style>
  <w:style w:type="character" w:customStyle="1" w:styleId="ListLabel3">
    <w:name w:val="ListLabel 3"/>
    <w:rsid w:val="00E51653"/>
  </w:style>
  <w:style w:type="character" w:customStyle="1" w:styleId="ListLabel4">
    <w:name w:val="ListLabel 4"/>
    <w:rsid w:val="00E51653"/>
  </w:style>
  <w:style w:type="character" w:customStyle="1" w:styleId="ListLabel5">
    <w:name w:val="ListLabel 5"/>
    <w:rsid w:val="00E51653"/>
  </w:style>
  <w:style w:type="paragraph" w:customStyle="1" w:styleId="Default">
    <w:name w:val="Default"/>
    <w:rsid w:val="00E2674C"/>
    <w:pPr>
      <w:autoSpaceDE w:val="0"/>
      <w:autoSpaceDN w:val="0"/>
      <w:adjustRightInd w:val="0"/>
    </w:pPr>
    <w:rPr>
      <w:rFonts w:ascii="Arial" w:hAnsi="Arial" w:cs="Arial"/>
      <w:color w:val="000000"/>
      <w:sz w:val="24"/>
      <w:szCs w:val="24"/>
    </w:rPr>
  </w:style>
  <w:style w:type="character" w:styleId="LineNumber">
    <w:name w:val="line number"/>
    <w:basedOn w:val="DefaultParagraphFont"/>
    <w:semiHidden/>
    <w:locked/>
    <w:rsid w:val="00BF580B"/>
    <w:rPr>
      <w:rFonts w:cs="Times New Roman"/>
    </w:rPr>
  </w:style>
  <w:style w:type="character" w:customStyle="1" w:styleId="BodyText11">
    <w:name w:val="Body Text11"/>
    <w:rsid w:val="0028149F"/>
    <w:rPr>
      <w:rFonts w:ascii="HebarCYR" w:hAnsi="HebarCYR"/>
      <w:color w:val="000000"/>
      <w:spacing w:val="0"/>
      <w:w w:val="100"/>
      <w:position w:val="0"/>
      <w:sz w:val="20"/>
      <w:u w:val="none"/>
      <w:vertAlign w:val="baseline"/>
      <w:lang w:val="bg-BG"/>
    </w:rPr>
  </w:style>
  <w:style w:type="character" w:customStyle="1" w:styleId="hpsatn">
    <w:name w:val="hps atn"/>
    <w:basedOn w:val="DefaultParagraphFont"/>
    <w:rsid w:val="0028149F"/>
    <w:rPr>
      <w:rFonts w:cs="Times New Roman"/>
    </w:rPr>
  </w:style>
  <w:style w:type="character" w:customStyle="1" w:styleId="1">
    <w:name w:val="Основен текст1"/>
    <w:rsid w:val="0094266F"/>
    <w:rPr>
      <w:rFonts w:ascii="HebarCYR" w:hAnsi="HebarCYR"/>
      <w:color w:val="000000"/>
      <w:spacing w:val="0"/>
      <w:w w:val="100"/>
      <w:position w:val="0"/>
      <w:sz w:val="20"/>
      <w:u w:val="none"/>
      <w:vertAlign w:val="baseline"/>
      <w:lang w:val="bg-BG"/>
    </w:rPr>
  </w:style>
  <w:style w:type="character" w:customStyle="1" w:styleId="i1">
    <w:name w:val="i1"/>
    <w:rsid w:val="0094266F"/>
    <w:rPr>
      <w:i/>
      <w:iCs/>
    </w:rPr>
  </w:style>
  <w:style w:type="paragraph" w:customStyle="1" w:styleId="MediumGrid1-Accent21">
    <w:name w:val="Medium Grid 1 - Accent 21"/>
    <w:basedOn w:val="Normal"/>
    <w:qFormat/>
    <w:rsid w:val="0094266F"/>
    <w:pPr>
      <w:ind w:left="720"/>
      <w:contextualSpacing/>
    </w:pPr>
    <w:rPr>
      <w:rFonts w:eastAsia="Calibri"/>
    </w:rPr>
  </w:style>
  <w:style w:type="character" w:customStyle="1" w:styleId="reference">
    <w:name w:val="reference"/>
    <w:rsid w:val="0094266F"/>
  </w:style>
  <w:style w:type="character" w:customStyle="1" w:styleId="refauthors">
    <w:name w:val="refauthors"/>
    <w:rsid w:val="0094266F"/>
  </w:style>
  <w:style w:type="character" w:customStyle="1" w:styleId="reftitle">
    <w:name w:val="reftitle"/>
    <w:rsid w:val="0094266F"/>
  </w:style>
  <w:style w:type="character" w:customStyle="1" w:styleId="refseriestitle">
    <w:name w:val="refseriestitle"/>
    <w:rsid w:val="0094266F"/>
  </w:style>
  <w:style w:type="character" w:customStyle="1" w:styleId="refseriesdate">
    <w:name w:val="refseriesdate"/>
    <w:rsid w:val="0094266F"/>
  </w:style>
  <w:style w:type="character" w:customStyle="1" w:styleId="refseriesvolume">
    <w:name w:val="refseriesvolume"/>
    <w:rsid w:val="0094266F"/>
  </w:style>
  <w:style w:type="character" w:customStyle="1" w:styleId="refpages">
    <w:name w:val="refpages"/>
    <w:rsid w:val="0094266F"/>
  </w:style>
  <w:style w:type="character" w:customStyle="1" w:styleId="apple-converted-space">
    <w:name w:val="apple-converted-space"/>
    <w:rsid w:val="0094266F"/>
  </w:style>
  <w:style w:type="paragraph" w:styleId="FootnoteText">
    <w:name w:val="footnote text"/>
    <w:basedOn w:val="Normal"/>
    <w:link w:val="FootnoteTextChar"/>
    <w:unhideWhenUsed/>
    <w:locked/>
    <w:rsid w:val="0094266F"/>
    <w:pPr>
      <w:spacing w:after="0" w:line="240" w:lineRule="auto"/>
    </w:pPr>
    <w:rPr>
      <w:rFonts w:ascii="TmsCyr" w:eastAsia="MS Mincho" w:hAnsi="TmsCyr"/>
      <w:sz w:val="20"/>
      <w:szCs w:val="20"/>
      <w:lang w:val="en-GB" w:eastAsia="ja-JP"/>
    </w:rPr>
  </w:style>
  <w:style w:type="character" w:customStyle="1" w:styleId="FootnoteTextChar">
    <w:name w:val="Footnote Text Char"/>
    <w:basedOn w:val="DefaultParagraphFont"/>
    <w:link w:val="FootnoteText"/>
    <w:rsid w:val="0094266F"/>
    <w:rPr>
      <w:rFonts w:ascii="TmsCyr" w:eastAsia="MS Mincho" w:hAnsi="TmsCyr"/>
      <w:lang w:val="en-GB" w:eastAsia="ja-JP"/>
    </w:rPr>
  </w:style>
  <w:style w:type="character" w:styleId="FootnoteReference">
    <w:name w:val="footnote reference"/>
    <w:basedOn w:val="DefaultParagraphFont"/>
    <w:unhideWhenUsed/>
    <w:locked/>
    <w:rsid w:val="0094266F"/>
    <w:rPr>
      <w:vertAlign w:val="superscript"/>
    </w:rPr>
  </w:style>
  <w:style w:type="paragraph" w:styleId="CommentSubject">
    <w:name w:val="annotation subject"/>
    <w:basedOn w:val="CommentText"/>
    <w:next w:val="CommentText"/>
    <w:link w:val="CommentSubjectChar"/>
    <w:uiPriority w:val="99"/>
    <w:unhideWhenUsed/>
    <w:locked/>
    <w:rsid w:val="0094266F"/>
    <w:rPr>
      <w:rFonts w:eastAsia="MS Mincho"/>
      <w:b/>
      <w:bCs/>
    </w:rPr>
  </w:style>
  <w:style w:type="character" w:customStyle="1" w:styleId="CommentSubjectChar">
    <w:name w:val="Comment Subject Char"/>
    <w:basedOn w:val="CommentTextChar"/>
    <w:link w:val="CommentSubject"/>
    <w:uiPriority w:val="99"/>
    <w:rsid w:val="0094266F"/>
    <w:rPr>
      <w:rFonts w:ascii="TmsCyr" w:eastAsia="MS Mincho" w:hAnsi="TmsCyr" w:cs="Times New Roman"/>
      <w:b/>
      <w:bCs/>
      <w:lang w:val="en-GB" w:eastAsia="ja-JP"/>
    </w:rPr>
  </w:style>
  <w:style w:type="paragraph" w:customStyle="1" w:styleId="p">
    <w:name w:val="p"/>
    <w:basedOn w:val="Normal"/>
    <w:rsid w:val="0094266F"/>
    <w:pPr>
      <w:spacing w:before="100" w:beforeAutospacing="1" w:after="100" w:afterAutospacing="1" w:line="240" w:lineRule="auto"/>
    </w:pPr>
    <w:rPr>
      <w:rFonts w:ascii="Times New Roman" w:hAnsi="Times New Roman"/>
      <w:sz w:val="24"/>
      <w:szCs w:val="24"/>
      <w:lang w:val="en-US"/>
    </w:rPr>
  </w:style>
  <w:style w:type="character" w:customStyle="1" w:styleId="mixed-citation">
    <w:name w:val="mixed-citation"/>
    <w:basedOn w:val="DefaultParagraphFont"/>
    <w:rsid w:val="0094266F"/>
  </w:style>
  <w:style w:type="character" w:customStyle="1" w:styleId="ref-title">
    <w:name w:val="ref-title"/>
    <w:basedOn w:val="DefaultParagraphFont"/>
    <w:rsid w:val="0094266F"/>
  </w:style>
  <w:style w:type="character" w:customStyle="1" w:styleId="ref-journal">
    <w:name w:val="ref-journal"/>
    <w:basedOn w:val="DefaultParagraphFont"/>
    <w:rsid w:val="0094266F"/>
  </w:style>
  <w:style w:type="character" w:customStyle="1" w:styleId="ref-vol">
    <w:name w:val="ref-vol"/>
    <w:basedOn w:val="DefaultParagraphFont"/>
    <w:rsid w:val="0094266F"/>
  </w:style>
  <w:style w:type="character" w:customStyle="1" w:styleId="ref-iss">
    <w:name w:val="ref-iss"/>
    <w:basedOn w:val="DefaultParagraphFont"/>
    <w:rsid w:val="0094266F"/>
  </w:style>
  <w:style w:type="paragraph" w:customStyle="1" w:styleId="p1">
    <w:name w:val="p1"/>
    <w:basedOn w:val="Normal"/>
    <w:rsid w:val="0094266F"/>
    <w:pPr>
      <w:shd w:val="clear" w:color="auto" w:fill="FFFFFF"/>
      <w:spacing w:after="0" w:line="240" w:lineRule="auto"/>
    </w:pPr>
    <w:rPr>
      <w:rFonts w:ascii="Times New Roman" w:eastAsiaTheme="minorHAnsi" w:hAnsi="Times New Roman"/>
      <w:sz w:val="24"/>
      <w:szCs w:val="24"/>
      <w:lang w:val="en-US"/>
    </w:rPr>
  </w:style>
  <w:style w:type="character" w:customStyle="1" w:styleId="s1">
    <w:name w:val="s1"/>
    <w:basedOn w:val="DefaultParagraphFont"/>
    <w:rsid w:val="0094266F"/>
  </w:style>
  <w:style w:type="character" w:customStyle="1" w:styleId="label">
    <w:name w:val="label"/>
    <w:basedOn w:val="DefaultParagraphFont"/>
    <w:rsid w:val="001C3F23"/>
  </w:style>
  <w:style w:type="paragraph" w:customStyle="1" w:styleId="zaglpril">
    <w:name w:val="zagl_pril"/>
    <w:basedOn w:val="BodyText3"/>
    <w:uiPriority w:val="99"/>
    <w:rsid w:val="0029576C"/>
    <w:pPr>
      <w:spacing w:after="240" w:line="360" w:lineRule="atLeast"/>
      <w:ind w:left="1843" w:hanging="1276"/>
    </w:pPr>
    <w:rPr>
      <w:rFonts w:ascii="Arial" w:hAnsi="Arial" w:cs="Arial"/>
      <w:b/>
      <w:bCs/>
      <w:caps/>
      <w:spacing w:val="20"/>
      <w:sz w:val="24"/>
      <w:szCs w:val="24"/>
      <w:lang w:val="bg-BG"/>
    </w:rPr>
  </w:style>
  <w:style w:type="paragraph" w:customStyle="1" w:styleId="bodyt">
    <w:name w:val="body_t"/>
    <w:basedOn w:val="Body"/>
    <w:uiPriority w:val="99"/>
    <w:rsid w:val="0029576C"/>
    <w:pPr>
      <w:numPr>
        <w:numId w:val="160"/>
      </w:numPr>
      <w:spacing w:before="0" w:line="300" w:lineRule="atLeast"/>
    </w:pPr>
    <w:rPr>
      <w:rFonts w:cs="Arial"/>
      <w:sz w:val="24"/>
      <w:szCs w:val="24"/>
    </w:rPr>
  </w:style>
  <w:style w:type="paragraph" w:customStyle="1" w:styleId="zaglspecialist">
    <w:name w:val="zagl_specialist"/>
    <w:basedOn w:val="Normal"/>
    <w:uiPriority w:val="99"/>
    <w:rsid w:val="0029576C"/>
    <w:pPr>
      <w:spacing w:before="120" w:after="240" w:line="360" w:lineRule="atLeast"/>
      <w:jc w:val="center"/>
      <w:outlineLvl w:val="0"/>
    </w:pPr>
    <w:rPr>
      <w:rFonts w:ascii="Arial" w:hAnsi="Arial" w:cs="Arial"/>
      <w:b/>
      <w:bCs/>
      <w:caps/>
      <w:sz w:val="26"/>
      <w:szCs w:val="26"/>
    </w:rPr>
  </w:style>
  <w:style w:type="paragraph" w:customStyle="1" w:styleId="bulets">
    <w:name w:val="bulets"/>
    <w:basedOn w:val="Body"/>
    <w:autoRedefine/>
    <w:uiPriority w:val="99"/>
    <w:rsid w:val="0029576C"/>
    <w:pPr>
      <w:tabs>
        <w:tab w:val="num" w:pos="1440"/>
      </w:tabs>
      <w:spacing w:before="0" w:line="360" w:lineRule="auto"/>
      <w:ind w:firstLine="720"/>
    </w:pPr>
    <w:rPr>
      <w:rFonts w:ascii="Times New Roman" w:hAnsi="Times New Roman"/>
      <w:szCs w:val="22"/>
    </w:rPr>
  </w:style>
  <w:style w:type="paragraph" w:customStyle="1" w:styleId="BODY0">
    <w:name w:val="BODY"/>
    <w:basedOn w:val="Normal"/>
    <w:uiPriority w:val="99"/>
    <w:rsid w:val="0029576C"/>
    <w:pPr>
      <w:spacing w:before="57" w:after="0" w:line="320" w:lineRule="atLeast"/>
      <w:jc w:val="both"/>
    </w:pPr>
    <w:rPr>
      <w:rFonts w:ascii="Hebar" w:hAnsi="Hebar" w:cs="Hebar"/>
      <w:sz w:val="24"/>
      <w:szCs w:val="24"/>
      <w:lang w:val="en-GB"/>
    </w:rPr>
  </w:style>
  <w:style w:type="character" w:customStyle="1" w:styleId="personname">
    <w:name w:val="person_name"/>
    <w:basedOn w:val="DefaultParagraphFont"/>
    <w:uiPriority w:val="99"/>
    <w:rsid w:val="0029576C"/>
  </w:style>
  <w:style w:type="paragraph" w:customStyle="1" w:styleId="pullquote-left">
    <w:name w:val="pullquote-left"/>
    <w:basedOn w:val="Normal"/>
    <w:uiPriority w:val="99"/>
    <w:rsid w:val="0029576C"/>
    <w:pPr>
      <w:pBdr>
        <w:right w:val="single" w:sz="48" w:space="0" w:color="FFFFFF"/>
      </w:pBdr>
      <w:shd w:val="clear" w:color="auto" w:fill="ECF1FD"/>
      <w:spacing w:after="0" w:line="240" w:lineRule="auto"/>
    </w:pPr>
    <w:rPr>
      <w:rFonts w:ascii="Times New Roman" w:hAnsi="Times New Roman"/>
      <w:b/>
      <w:bCs/>
      <w:sz w:val="24"/>
      <w:szCs w:val="24"/>
      <w:lang w:eastAsia="bg-BG"/>
    </w:rPr>
  </w:style>
  <w:style w:type="paragraph" w:customStyle="1" w:styleId="farleftcolboxfooter">
    <w:name w:val="farleftcolboxfooter"/>
    <w:basedOn w:val="Normal"/>
    <w:uiPriority w:val="99"/>
    <w:rsid w:val="0029576C"/>
    <w:pPr>
      <w:pBdr>
        <w:top w:val="dashed" w:sz="6" w:space="4" w:color="CCCCCC"/>
      </w:pBdr>
      <w:spacing w:after="0" w:line="240" w:lineRule="auto"/>
    </w:pPr>
    <w:rPr>
      <w:rFonts w:ascii="Times New Roman" w:hAnsi="Times New Roman"/>
      <w:sz w:val="24"/>
      <w:szCs w:val="24"/>
      <w:lang w:eastAsia="bg-BG"/>
    </w:rPr>
  </w:style>
  <w:style w:type="paragraph" w:customStyle="1" w:styleId="autoellipsis-matched">
    <w:name w:val="autoellipsis-matched"/>
    <w:basedOn w:val="Normal"/>
    <w:uiPriority w:val="99"/>
    <w:rsid w:val="0029576C"/>
    <w:pPr>
      <w:spacing w:before="100" w:beforeAutospacing="1" w:after="100" w:afterAutospacing="1" w:line="240" w:lineRule="auto"/>
    </w:pPr>
    <w:rPr>
      <w:rFonts w:ascii="Times New Roman" w:hAnsi="Times New Roman"/>
      <w:b/>
      <w:bCs/>
      <w:sz w:val="24"/>
      <w:szCs w:val="24"/>
      <w:lang w:eastAsia="bg-BG"/>
    </w:rPr>
  </w:style>
  <w:style w:type="character" w:customStyle="1" w:styleId="src1">
    <w:name w:val="src1"/>
    <w:basedOn w:val="DefaultParagraphFont"/>
    <w:uiPriority w:val="99"/>
    <w:rsid w:val="0029576C"/>
  </w:style>
  <w:style w:type="character" w:customStyle="1" w:styleId="jrnl">
    <w:name w:val="jrnl"/>
    <w:basedOn w:val="DefaultParagraphFont"/>
    <w:rsid w:val="0029576C"/>
  </w:style>
  <w:style w:type="character" w:customStyle="1" w:styleId="CharChar1">
    <w:name w:val="Char Char1"/>
    <w:basedOn w:val="DefaultParagraphFont"/>
    <w:uiPriority w:val="99"/>
    <w:rsid w:val="0029576C"/>
    <w:rPr>
      <w:rFonts w:ascii="Arial" w:hAnsi="Arial" w:cs="Arial"/>
      <w:sz w:val="20"/>
      <w:szCs w:val="20"/>
      <w:lang w:val="en-GB"/>
    </w:rPr>
  </w:style>
  <w:style w:type="character" w:customStyle="1" w:styleId="paragraph-number">
    <w:name w:val="paragraph-number"/>
    <w:basedOn w:val="DefaultParagraphFont"/>
    <w:uiPriority w:val="99"/>
    <w:rsid w:val="0029576C"/>
  </w:style>
  <w:style w:type="character" w:customStyle="1" w:styleId="reference2">
    <w:name w:val="reference2"/>
    <w:basedOn w:val="DefaultParagraphFont"/>
    <w:rsid w:val="0029576C"/>
  </w:style>
  <w:style w:type="character" w:customStyle="1" w:styleId="reftitle3">
    <w:name w:val="reftitle3"/>
    <w:basedOn w:val="DefaultParagraphFont"/>
    <w:rsid w:val="0029576C"/>
    <w:rPr>
      <w:b/>
      <w:bCs/>
    </w:rPr>
  </w:style>
  <w:style w:type="character" w:customStyle="1" w:styleId="refseriestitle3">
    <w:name w:val="refseriestitle3"/>
    <w:basedOn w:val="DefaultParagraphFont"/>
    <w:rsid w:val="0029576C"/>
    <w:rPr>
      <w:i/>
      <w:iCs/>
    </w:rPr>
  </w:style>
  <w:style w:type="character" w:customStyle="1" w:styleId="cit">
    <w:name w:val="cit"/>
    <w:basedOn w:val="DefaultParagraphFont"/>
    <w:rsid w:val="0029576C"/>
  </w:style>
  <w:style w:type="character" w:customStyle="1" w:styleId="title-text">
    <w:name w:val="title-text"/>
    <w:basedOn w:val="DefaultParagraphFont"/>
    <w:rsid w:val="0029576C"/>
  </w:style>
  <w:style w:type="character" w:customStyle="1" w:styleId="reference-text">
    <w:name w:val="reference-text"/>
    <w:basedOn w:val="DefaultParagraphFont"/>
    <w:rsid w:val="0029576C"/>
  </w:style>
  <w:style w:type="character" w:customStyle="1" w:styleId="mw-cite-backlink">
    <w:name w:val="mw-cite-backlink"/>
    <w:basedOn w:val="DefaultParagraphFont"/>
    <w:rsid w:val="0029576C"/>
  </w:style>
  <w:style w:type="character" w:customStyle="1" w:styleId="cite-accessibility-label">
    <w:name w:val="cite-accessibility-label"/>
    <w:basedOn w:val="DefaultParagraphFont"/>
    <w:rsid w:val="0029576C"/>
  </w:style>
  <w:style w:type="character" w:customStyle="1" w:styleId="fs9">
    <w:name w:val="fs9"/>
    <w:basedOn w:val="DefaultParagraphFont"/>
    <w:rsid w:val="0029576C"/>
  </w:style>
  <w:style w:type="character" w:customStyle="1" w:styleId="doi">
    <w:name w:val="doi"/>
    <w:basedOn w:val="DefaultParagraphFont"/>
    <w:rsid w:val="0029576C"/>
  </w:style>
  <w:style w:type="character" w:customStyle="1" w:styleId="fm-citation-ids-label">
    <w:name w:val="fm-citation-ids-label"/>
    <w:basedOn w:val="DefaultParagraphFont"/>
    <w:rsid w:val="0029576C"/>
  </w:style>
  <w:style w:type="character" w:customStyle="1" w:styleId="fm-vol-iss-date">
    <w:name w:val="fm-vol-iss-date"/>
    <w:basedOn w:val="DefaultParagraphFont"/>
    <w:rsid w:val="0029576C"/>
  </w:style>
  <w:style w:type="paragraph" w:customStyle="1" w:styleId="10">
    <w:name w:val="Заглавие1"/>
    <w:basedOn w:val="Normal"/>
    <w:next w:val="Normal"/>
    <w:rsid w:val="00214913"/>
    <w:pPr>
      <w:keepNext/>
      <w:tabs>
        <w:tab w:val="left" w:pos="720"/>
      </w:tabs>
      <w:suppressAutoHyphens/>
      <w:spacing w:before="240" w:after="120" w:line="360" w:lineRule="atLeast"/>
      <w:ind w:firstLine="720"/>
      <w:jc w:val="center"/>
    </w:pPr>
    <w:rPr>
      <w:rFonts w:ascii="Arial" w:hAnsi="Arial"/>
      <w:b/>
      <w:sz w:val="28"/>
      <w:szCs w:val="20"/>
      <w:lang w:eastAsia="ar-SA" w:bidi="bg-BG"/>
    </w:rPr>
  </w:style>
  <w:style w:type="paragraph" w:customStyle="1" w:styleId="Pa13">
    <w:name w:val="Pa13"/>
    <w:basedOn w:val="Normal"/>
    <w:next w:val="Normal"/>
    <w:uiPriority w:val="99"/>
    <w:rsid w:val="00BF70F5"/>
    <w:pPr>
      <w:autoSpaceDE w:val="0"/>
      <w:autoSpaceDN w:val="0"/>
      <w:adjustRightInd w:val="0"/>
      <w:spacing w:after="0" w:line="201" w:lineRule="atLeast"/>
    </w:pPr>
    <w:rPr>
      <w:rFonts w:ascii="Times LT Std" w:eastAsiaTheme="minorHAnsi" w:hAnsi="Times LT Std" w:cstheme="minorBidi"/>
      <w:sz w:val="24"/>
      <w:szCs w:val="24"/>
    </w:rPr>
  </w:style>
  <w:style w:type="character" w:customStyle="1" w:styleId="mim-font">
    <w:name w:val="mim-font"/>
    <w:basedOn w:val="DefaultParagraphFont"/>
    <w:rsid w:val="00BF70F5"/>
  </w:style>
  <w:style w:type="character" w:customStyle="1" w:styleId="mim-number1">
    <w:name w:val="mim-number1"/>
    <w:rsid w:val="00BF70F5"/>
    <w:rPr>
      <w:sz w:val="33"/>
      <w:szCs w:val="33"/>
    </w:rPr>
  </w:style>
  <w:style w:type="table" w:customStyle="1" w:styleId="TableGrid1">
    <w:name w:val="Table Grid1"/>
    <w:basedOn w:val="TableNormal"/>
    <w:next w:val="TableGrid"/>
    <w:uiPriority w:val="59"/>
    <w:rsid w:val="00BF70F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BF70F5"/>
  </w:style>
  <w:style w:type="character" w:customStyle="1" w:styleId="author">
    <w:name w:val="author"/>
    <w:basedOn w:val="DefaultParagraphFont"/>
    <w:rsid w:val="00254536"/>
  </w:style>
  <w:style w:type="character" w:customStyle="1" w:styleId="articletitle">
    <w:name w:val="articletitle"/>
    <w:basedOn w:val="DefaultParagraphFont"/>
    <w:rsid w:val="00254536"/>
  </w:style>
  <w:style w:type="character" w:customStyle="1" w:styleId="journaltitle2">
    <w:name w:val="journaltitle2"/>
    <w:basedOn w:val="DefaultParagraphFont"/>
    <w:rsid w:val="00254536"/>
    <w:rPr>
      <w:i/>
      <w:iCs/>
    </w:rPr>
  </w:style>
  <w:style w:type="character" w:customStyle="1" w:styleId="pubyear">
    <w:name w:val="pubyear"/>
    <w:basedOn w:val="DefaultParagraphFont"/>
    <w:rsid w:val="00254536"/>
  </w:style>
  <w:style w:type="character" w:customStyle="1" w:styleId="vol2">
    <w:name w:val="vol2"/>
    <w:basedOn w:val="DefaultParagraphFont"/>
    <w:rsid w:val="00254536"/>
    <w:rPr>
      <w:b/>
      <w:bCs/>
    </w:rPr>
  </w:style>
  <w:style w:type="character" w:customStyle="1" w:styleId="pagefirst">
    <w:name w:val="pagefirst"/>
    <w:basedOn w:val="DefaultParagraphFont"/>
    <w:rsid w:val="00254536"/>
  </w:style>
  <w:style w:type="character" w:customStyle="1" w:styleId="pagelast">
    <w:name w:val="pagelast"/>
    <w:basedOn w:val="DefaultParagraphFont"/>
    <w:rsid w:val="00254536"/>
  </w:style>
  <w:style w:type="paragraph" w:customStyle="1" w:styleId="ListParagraph1">
    <w:name w:val="List Paragraph1"/>
    <w:basedOn w:val="Normal"/>
    <w:rsid w:val="00254536"/>
    <w:pPr>
      <w:ind w:left="720"/>
      <w:contextualSpacing/>
    </w:pPr>
  </w:style>
  <w:style w:type="paragraph" w:customStyle="1" w:styleId="Title1">
    <w:name w:val="Title1"/>
    <w:basedOn w:val="Normal"/>
    <w:rsid w:val="00254536"/>
    <w:pPr>
      <w:spacing w:before="100" w:beforeAutospacing="1" w:after="100" w:afterAutospacing="1" w:line="240" w:lineRule="auto"/>
    </w:pPr>
    <w:rPr>
      <w:rFonts w:ascii="Times New Roman" w:hAnsi="Times New Roman"/>
      <w:sz w:val="24"/>
      <w:szCs w:val="24"/>
      <w:lang w:eastAsia="bg-BG"/>
    </w:rPr>
  </w:style>
  <w:style w:type="paragraph" w:customStyle="1" w:styleId="desc">
    <w:name w:val="desc"/>
    <w:basedOn w:val="Normal"/>
    <w:rsid w:val="00254536"/>
    <w:pPr>
      <w:spacing w:before="100" w:beforeAutospacing="1" w:after="100" w:afterAutospacing="1" w:line="240" w:lineRule="auto"/>
    </w:pPr>
    <w:rPr>
      <w:rFonts w:ascii="Times New Roman" w:hAnsi="Times New Roman"/>
      <w:sz w:val="24"/>
      <w:szCs w:val="24"/>
      <w:lang w:eastAsia="bg-BG"/>
    </w:rPr>
  </w:style>
  <w:style w:type="paragraph" w:customStyle="1" w:styleId="details">
    <w:name w:val="details"/>
    <w:basedOn w:val="Normal"/>
    <w:rsid w:val="00254536"/>
    <w:pPr>
      <w:spacing w:before="100" w:beforeAutospacing="1" w:after="100" w:afterAutospacing="1" w:line="240" w:lineRule="auto"/>
    </w:pPr>
    <w:rPr>
      <w:rFonts w:ascii="Times New Roman" w:hAnsi="Times New Roman"/>
      <w:sz w:val="24"/>
      <w:szCs w:val="24"/>
      <w:lang w:eastAsia="bg-BG"/>
    </w:rPr>
  </w:style>
  <w:style w:type="character" w:customStyle="1" w:styleId="ui-ncbitoggler-master-text">
    <w:name w:val="ui-ncbitoggler-master-text"/>
    <w:basedOn w:val="DefaultParagraphFont"/>
    <w:rsid w:val="00254536"/>
  </w:style>
  <w:style w:type="character" w:customStyle="1" w:styleId="textmarker">
    <w:name w:val="textmarker"/>
    <w:basedOn w:val="DefaultParagraphFont"/>
    <w:rsid w:val="00254536"/>
  </w:style>
  <w:style w:type="paragraph" w:customStyle="1" w:styleId="Raster">
    <w:name w:val="Raster"/>
    <w:basedOn w:val="Normal"/>
    <w:rsid w:val="00254536"/>
    <w:pPr>
      <w:tabs>
        <w:tab w:val="left" w:pos="567"/>
      </w:tabs>
      <w:overflowPunct w:val="0"/>
      <w:autoSpaceDE w:val="0"/>
      <w:autoSpaceDN w:val="0"/>
      <w:adjustRightInd w:val="0"/>
      <w:spacing w:before="170" w:after="170" w:line="240" w:lineRule="auto"/>
      <w:ind w:left="680" w:right="113" w:firstLine="283"/>
      <w:jc w:val="both"/>
      <w:textAlignment w:val="baseline"/>
    </w:pPr>
    <w:rPr>
      <w:rFonts w:ascii="TmsCyr" w:hAnsi="TmsCyr"/>
      <w:sz w:val="19"/>
      <w:szCs w:val="20"/>
      <w:lang w:val="en-US"/>
    </w:rPr>
  </w:style>
  <w:style w:type="character" w:customStyle="1" w:styleId="EmailStyle771">
    <w:name w:val="EmailStyle771"/>
    <w:semiHidden/>
    <w:rsid w:val="00254536"/>
    <w:rPr>
      <w:rFonts w:ascii="Arial" w:hAnsi="Arial" w:cs="Arial"/>
      <w:color w:val="000080"/>
      <w:sz w:val="20"/>
      <w:szCs w:val="20"/>
    </w:rPr>
  </w:style>
  <w:style w:type="character" w:customStyle="1" w:styleId="EmailStyle781">
    <w:name w:val="EmailStyle781"/>
    <w:semiHidden/>
    <w:rsid w:val="00254536"/>
    <w:rPr>
      <w:rFonts w:ascii="Arial" w:hAnsi="Arial" w:cs="Arial"/>
      <w:color w:val="000080"/>
      <w:sz w:val="20"/>
      <w:szCs w:val="20"/>
    </w:rPr>
  </w:style>
  <w:style w:type="character" w:customStyle="1" w:styleId="WW8Num5z0">
    <w:name w:val="WW8Num5z0"/>
    <w:rsid w:val="00154DBD"/>
    <w:rPr>
      <w:rFonts w:ascii="Symbol" w:hAnsi="Symbol"/>
    </w:rPr>
  </w:style>
  <w:style w:type="character" w:customStyle="1" w:styleId="WW8Num7z0">
    <w:name w:val="WW8Num7z0"/>
    <w:rsid w:val="00154DBD"/>
    <w:rPr>
      <w:rFonts w:ascii="Symbol" w:hAnsi="Symbol"/>
    </w:rPr>
  </w:style>
  <w:style w:type="character" w:customStyle="1" w:styleId="WW8Num9z0">
    <w:name w:val="WW8Num9z0"/>
    <w:rsid w:val="00154DBD"/>
    <w:rPr>
      <w:rFonts w:ascii="Symbol" w:hAnsi="Symbol"/>
    </w:rPr>
  </w:style>
  <w:style w:type="character" w:customStyle="1" w:styleId="WW8Num10z0">
    <w:name w:val="WW8Num10z0"/>
    <w:rsid w:val="00154DBD"/>
    <w:rPr>
      <w:b/>
    </w:rPr>
  </w:style>
  <w:style w:type="character" w:customStyle="1" w:styleId="Absatz-Standardschriftart">
    <w:name w:val="Absatz-Standardschriftart"/>
    <w:rsid w:val="00154DBD"/>
  </w:style>
  <w:style w:type="character" w:customStyle="1" w:styleId="WW8Num7z1">
    <w:name w:val="WW8Num7z1"/>
    <w:rsid w:val="00154DBD"/>
    <w:rPr>
      <w:rFonts w:ascii="Courier New" w:hAnsi="Courier New" w:cs="Courier New"/>
    </w:rPr>
  </w:style>
  <w:style w:type="character" w:customStyle="1" w:styleId="WW8Num7z2">
    <w:name w:val="WW8Num7z2"/>
    <w:rsid w:val="00154DBD"/>
    <w:rPr>
      <w:rFonts w:ascii="Wingdings" w:hAnsi="Wingdings"/>
    </w:rPr>
  </w:style>
  <w:style w:type="character" w:customStyle="1" w:styleId="WW8Num12z0">
    <w:name w:val="WW8Num12z0"/>
    <w:rsid w:val="00154DBD"/>
    <w:rPr>
      <w:rFonts w:ascii="Symbol" w:hAnsi="Symbol"/>
    </w:rPr>
  </w:style>
  <w:style w:type="character" w:customStyle="1" w:styleId="WW8Num13z0">
    <w:name w:val="WW8Num13z0"/>
    <w:rsid w:val="00154DBD"/>
    <w:rPr>
      <w:rFonts w:ascii="Symbol" w:hAnsi="Symbol"/>
    </w:rPr>
  </w:style>
  <w:style w:type="character" w:customStyle="1" w:styleId="WW8Num14z0">
    <w:name w:val="WW8Num14z0"/>
    <w:rsid w:val="00154DBD"/>
    <w:rPr>
      <w:rFonts w:ascii="Symbol" w:hAnsi="Symbol"/>
    </w:rPr>
  </w:style>
  <w:style w:type="paragraph" w:customStyle="1" w:styleId="20">
    <w:name w:val="Заглавие2"/>
    <w:basedOn w:val="Normal"/>
    <w:next w:val="BodyText"/>
    <w:rsid w:val="00154DBD"/>
    <w:pPr>
      <w:keepNext/>
      <w:suppressAutoHyphens/>
      <w:spacing w:before="240" w:after="120" w:line="240" w:lineRule="auto"/>
    </w:pPr>
    <w:rPr>
      <w:rFonts w:ascii="Arial" w:eastAsia="MS Mincho" w:hAnsi="Arial" w:cs="Tahoma"/>
      <w:sz w:val="28"/>
      <w:szCs w:val="28"/>
      <w:lang w:val="en-GB" w:eastAsia="ar-SA"/>
    </w:rPr>
  </w:style>
  <w:style w:type="paragraph" w:customStyle="1" w:styleId="11">
    <w:name w:val="Надпис1"/>
    <w:basedOn w:val="Normal"/>
    <w:rsid w:val="00154DBD"/>
    <w:pPr>
      <w:suppressLineNumbers/>
      <w:suppressAutoHyphens/>
      <w:spacing w:before="120" w:after="120" w:line="240" w:lineRule="auto"/>
    </w:pPr>
    <w:rPr>
      <w:rFonts w:ascii="Arial" w:hAnsi="Arial" w:cs="Tahoma"/>
      <w:i/>
      <w:iCs/>
      <w:sz w:val="24"/>
      <w:szCs w:val="24"/>
      <w:lang w:val="en-GB" w:eastAsia="ar-SA"/>
    </w:rPr>
  </w:style>
  <w:style w:type="character" w:customStyle="1" w:styleId="PlainTextChar1">
    <w:name w:val="Plain Text Char1"/>
    <w:basedOn w:val="DefaultParagraphFont"/>
    <w:rsid w:val="00154DBD"/>
    <w:rPr>
      <w:rFonts w:ascii="Courier New" w:hAnsi="Courier New"/>
      <w:lang w:val="en-AU" w:eastAsia="ar-SA"/>
    </w:rPr>
  </w:style>
  <w:style w:type="character" w:customStyle="1" w:styleId="BodyText2Char1">
    <w:name w:val="Body Text 2 Char1"/>
    <w:basedOn w:val="DefaultParagraphFont"/>
    <w:rsid w:val="00154DBD"/>
    <w:rPr>
      <w:rFonts w:ascii="Arial" w:hAnsi="Arial"/>
      <w:sz w:val="24"/>
      <w:lang w:val="en-GB" w:eastAsia="ar-SA"/>
    </w:rPr>
  </w:style>
  <w:style w:type="character" w:customStyle="1" w:styleId="TitleChar1">
    <w:name w:val="Title Char1"/>
    <w:basedOn w:val="DefaultParagraphFont"/>
    <w:rsid w:val="00154DBD"/>
    <w:rPr>
      <w:rFonts w:ascii="Arial" w:hAnsi="Arial"/>
      <w:b/>
      <w:sz w:val="24"/>
      <w:lang w:val="bg-BG" w:eastAsia="ar-SA"/>
    </w:rPr>
  </w:style>
  <w:style w:type="character" w:customStyle="1" w:styleId="FooterChar1">
    <w:name w:val="Footer Char1"/>
    <w:basedOn w:val="DefaultParagraphFont"/>
    <w:rsid w:val="00154DBD"/>
    <w:rPr>
      <w:rFonts w:ascii="TmsCyr" w:hAnsi="TmsCyr"/>
      <w:sz w:val="24"/>
      <w:lang w:val="en-GB" w:eastAsia="ar-SA"/>
    </w:rPr>
  </w:style>
  <w:style w:type="character" w:customStyle="1" w:styleId="BalloonTextChar1">
    <w:name w:val="Balloon Text Char1"/>
    <w:basedOn w:val="DefaultParagraphFont"/>
    <w:rsid w:val="00154DBD"/>
    <w:rPr>
      <w:rFonts w:ascii="Tahoma" w:hAnsi="Tahoma" w:cs="Tahoma"/>
      <w:sz w:val="16"/>
      <w:szCs w:val="16"/>
      <w:lang w:val="bg-BG" w:eastAsia="ar-SA"/>
    </w:rPr>
  </w:style>
  <w:style w:type="character" w:customStyle="1" w:styleId="BodyTextIndent3Char1">
    <w:name w:val="Body Text Indent 3 Char1"/>
    <w:basedOn w:val="DefaultParagraphFont"/>
    <w:rsid w:val="00154DBD"/>
    <w:rPr>
      <w:sz w:val="16"/>
      <w:szCs w:val="16"/>
      <w:lang w:val="bg-BG" w:eastAsia="ar-SA"/>
    </w:rPr>
  </w:style>
  <w:style w:type="character" w:customStyle="1" w:styleId="BodyTextIndent2Char1">
    <w:name w:val="Body Text Indent 2 Char1"/>
    <w:basedOn w:val="DefaultParagraphFont"/>
    <w:rsid w:val="00154DBD"/>
    <w:rPr>
      <w:sz w:val="24"/>
      <w:szCs w:val="24"/>
      <w:lang w:val="bg-BG" w:eastAsia="ar-SA"/>
    </w:rPr>
  </w:style>
  <w:style w:type="character" w:customStyle="1" w:styleId="st1">
    <w:name w:val="st1"/>
    <w:basedOn w:val="DefaultParagraphFont"/>
    <w:rsid w:val="00DA150C"/>
  </w:style>
  <w:style w:type="paragraph" w:customStyle="1" w:styleId="3">
    <w:name w:val="Заглавие3"/>
    <w:basedOn w:val="Normal"/>
    <w:next w:val="BodyText"/>
    <w:rsid w:val="00F43D29"/>
    <w:pPr>
      <w:keepNext/>
      <w:suppressAutoHyphens/>
      <w:spacing w:before="240" w:after="120" w:line="240" w:lineRule="auto"/>
    </w:pPr>
    <w:rPr>
      <w:rFonts w:ascii="Arial" w:eastAsia="MS Mincho" w:hAnsi="Arial" w:cs="Tahoma"/>
      <w:sz w:val="28"/>
      <w:szCs w:val="28"/>
      <w:lang w:val="en-GB" w:eastAsia="ar-SA"/>
    </w:rPr>
  </w:style>
  <w:style w:type="paragraph" w:customStyle="1" w:styleId="21">
    <w:name w:val="Надпис2"/>
    <w:basedOn w:val="Normal"/>
    <w:rsid w:val="00F43D29"/>
    <w:pPr>
      <w:suppressLineNumbers/>
      <w:suppressAutoHyphens/>
      <w:spacing w:before="120" w:after="120" w:line="240" w:lineRule="auto"/>
    </w:pPr>
    <w:rPr>
      <w:rFonts w:ascii="Arial" w:hAnsi="Arial" w:cs="Tahoma"/>
      <w:i/>
      <w:iCs/>
      <w:sz w:val="24"/>
      <w:szCs w:val="24"/>
      <w:lang w:val="en-GB" w:eastAsia="ar-SA"/>
    </w:rPr>
  </w:style>
  <w:style w:type="character" w:customStyle="1" w:styleId="ec552405206-10082009">
    <w:name w:val="ec_552405206-10082009"/>
    <w:basedOn w:val="DefaultParagraphFont"/>
    <w:rsid w:val="00994FFA"/>
  </w:style>
  <w:style w:type="paragraph" w:customStyle="1" w:styleId="msonormal0">
    <w:name w:val="msonormal"/>
    <w:basedOn w:val="Normal"/>
    <w:rsid w:val="00994FFA"/>
    <w:pPr>
      <w:spacing w:before="100" w:beforeAutospacing="1" w:after="100" w:afterAutospacing="1" w:line="240" w:lineRule="auto"/>
    </w:pPr>
    <w:rPr>
      <w:rFonts w:ascii="Times New Roman" w:hAnsi="Times New Roman"/>
      <w:sz w:val="24"/>
      <w:szCs w:val="24"/>
      <w:lang w:val="en-US"/>
    </w:rPr>
  </w:style>
  <w:style w:type="paragraph" w:customStyle="1" w:styleId="Heading11">
    <w:name w:val="Heading 11"/>
    <w:basedOn w:val="Normal"/>
    <w:next w:val="Normal"/>
    <w:rsid w:val="00994FFA"/>
    <w:pPr>
      <w:keepNext/>
      <w:keepLines/>
      <w:widowControl w:val="0"/>
      <w:suppressAutoHyphens/>
      <w:autoSpaceDN w:val="0"/>
      <w:spacing w:after="0" w:line="360" w:lineRule="auto"/>
      <w:ind w:firstLine="720"/>
      <w:jc w:val="center"/>
      <w:textAlignment w:val="baseline"/>
      <w:outlineLvl w:val="0"/>
    </w:pPr>
    <w:rPr>
      <w:rFonts w:ascii="Arial" w:eastAsia="Lucida Sans Unicode" w:hAnsi="Arial" w:cs="Mangal"/>
      <w:b/>
      <w:kern w:val="3"/>
      <w:sz w:val="28"/>
      <w:szCs w:val="24"/>
      <w:lang w:eastAsia="bg-BG" w:bidi="hi-IN"/>
    </w:rPr>
  </w:style>
  <w:style w:type="paragraph" w:customStyle="1" w:styleId="Textbodyindent">
    <w:name w:val="Text body indent"/>
    <w:basedOn w:val="Normal"/>
    <w:rsid w:val="00994FFA"/>
    <w:pPr>
      <w:suppressAutoHyphens/>
      <w:autoSpaceDN w:val="0"/>
      <w:spacing w:after="0" w:line="360" w:lineRule="auto"/>
      <w:ind w:left="283" w:firstLine="720"/>
      <w:jc w:val="both"/>
      <w:textAlignment w:val="baseline"/>
    </w:pPr>
    <w:rPr>
      <w:rFonts w:ascii="Arial" w:eastAsia="Lucida Sans Unicode" w:hAnsi="Arial" w:cs="Mangal"/>
      <w:kern w:val="3"/>
      <w:sz w:val="24"/>
      <w:szCs w:val="24"/>
      <w:lang w:eastAsia="bg-BG" w:bidi="hi-IN"/>
    </w:rPr>
  </w:style>
  <w:style w:type="paragraph" w:customStyle="1" w:styleId="Standard">
    <w:name w:val="Standard"/>
    <w:qFormat/>
    <w:rsid w:val="00994FFA"/>
    <w:pPr>
      <w:suppressAutoHyphens/>
      <w:autoSpaceDN w:val="0"/>
      <w:textAlignment w:val="baseline"/>
    </w:pPr>
    <w:rPr>
      <w:rFonts w:ascii="Arial" w:eastAsia="Lucida Sans Unicode" w:hAnsi="Arial" w:cs="Mangal"/>
      <w:kern w:val="3"/>
      <w:sz w:val="24"/>
      <w:szCs w:val="24"/>
      <w:lang w:bidi="hi-IN"/>
    </w:rPr>
  </w:style>
  <w:style w:type="paragraph" w:styleId="Revision">
    <w:name w:val="Revision"/>
    <w:hidden/>
    <w:uiPriority w:val="99"/>
    <w:semiHidden/>
    <w:rsid w:val="00DA7EE2"/>
    <w:rPr>
      <w:rFonts w:eastAsiaTheme="minorHAnsi"/>
      <w:sz w:val="24"/>
      <w:szCs w:val="24"/>
      <w:lang w:val="en-US" w:eastAsia="en-US"/>
    </w:rPr>
  </w:style>
  <w:style w:type="table" w:customStyle="1" w:styleId="PlainTable21">
    <w:name w:val="Plain Table 21"/>
    <w:basedOn w:val="TableNormal"/>
    <w:uiPriority w:val="42"/>
    <w:rsid w:val="0055509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11Exact">
    <w:name w:val="Основен текст (11) Exact"/>
    <w:basedOn w:val="DefaultParagraphFont"/>
    <w:rsid w:val="000935F8"/>
    <w:rPr>
      <w:rFonts w:ascii="Segoe UI" w:eastAsia="Segoe UI" w:hAnsi="Segoe UI" w:cs="Segoe UI" w:hint="default"/>
      <w:b w:val="0"/>
      <w:bCs w:val="0"/>
      <w:i w:val="0"/>
      <w:iCs w:val="0"/>
      <w:smallCaps w:val="0"/>
      <w:strike w:val="0"/>
      <w:dstrike w:val="0"/>
      <w:sz w:val="13"/>
      <w:szCs w:val="13"/>
      <w:u w:val="none"/>
      <w:effect w:val="none"/>
    </w:rPr>
  </w:style>
  <w:style w:type="character" w:customStyle="1" w:styleId="11Exact0">
    <w:name w:val="Основен текст (11) + Курсив Exact"/>
    <w:basedOn w:val="DefaultParagraphFont"/>
    <w:rsid w:val="000935F8"/>
    <w:rPr>
      <w:rFonts w:ascii="Segoe UI" w:eastAsia="Segoe UI" w:hAnsi="Segoe UI" w:cs="Segoe UI" w:hint="default"/>
      <w:b w:val="0"/>
      <w:bCs w:val="0"/>
      <w:i/>
      <w:iCs/>
      <w:smallCaps w:val="0"/>
      <w:strike w:val="0"/>
      <w:dstrike w:val="0"/>
      <w:sz w:val="13"/>
      <w:szCs w:val="13"/>
      <w:u w:val="none"/>
      <w:effect w:val="none"/>
    </w:rPr>
  </w:style>
  <w:style w:type="character" w:customStyle="1" w:styleId="2Arial">
    <w:name w:val="Основен текст (2) + Arial"/>
    <w:aliases w:val="8 pt,Удебелен"/>
    <w:basedOn w:val="DefaultParagraphFont"/>
    <w:rsid w:val="00D36FA9"/>
    <w:rPr>
      <w:rFonts w:ascii="Arial" w:eastAsia="Arial" w:hAnsi="Arial" w:cs="Arial" w:hint="default"/>
      <w:b/>
      <w:bCs/>
      <w:color w:val="000000"/>
      <w:spacing w:val="0"/>
      <w:w w:val="100"/>
      <w:position w:val="0"/>
      <w:sz w:val="16"/>
      <w:szCs w:val="16"/>
      <w:shd w:val="clear" w:color="auto" w:fill="FFFFFF"/>
      <w:lang w:val="en-US" w:eastAsia="en-US" w:bidi="en-US"/>
    </w:rPr>
  </w:style>
  <w:style w:type="character" w:customStyle="1" w:styleId="button-text">
    <w:name w:val="button-text"/>
    <w:basedOn w:val="DefaultParagraphFont"/>
    <w:rsid w:val="00253B25"/>
  </w:style>
  <w:style w:type="character" w:customStyle="1" w:styleId="sr-only">
    <w:name w:val="sr-only"/>
    <w:basedOn w:val="DefaultParagraphFont"/>
    <w:rsid w:val="00253B25"/>
  </w:style>
  <w:style w:type="character" w:customStyle="1" w:styleId="text">
    <w:name w:val="text"/>
    <w:basedOn w:val="DefaultParagraphFont"/>
    <w:rsid w:val="00253B25"/>
  </w:style>
  <w:style w:type="character" w:customStyle="1" w:styleId="author-ref">
    <w:name w:val="author-ref"/>
    <w:basedOn w:val="DefaultParagraphFont"/>
    <w:rsid w:val="00253B25"/>
  </w:style>
  <w:style w:type="paragraph" w:styleId="z-TopofForm">
    <w:name w:val="HTML Top of Form"/>
    <w:basedOn w:val="Normal"/>
    <w:next w:val="Normal"/>
    <w:link w:val="z-TopofFormChar"/>
    <w:hidden/>
    <w:uiPriority w:val="99"/>
    <w:semiHidden/>
    <w:unhideWhenUsed/>
    <w:locked/>
    <w:rsid w:val="00253B25"/>
    <w:pPr>
      <w:pBdr>
        <w:bottom w:val="single" w:sz="6" w:space="1" w:color="auto"/>
      </w:pBdr>
      <w:spacing w:after="0" w:line="240" w:lineRule="auto"/>
      <w:jc w:val="center"/>
    </w:pPr>
    <w:rPr>
      <w:rFonts w:ascii="Arial" w:hAnsi="Arial" w:cs="Arial"/>
      <w:vanish/>
      <w:sz w:val="16"/>
      <w:szCs w:val="16"/>
      <w:lang w:eastAsia="bg-BG"/>
    </w:rPr>
  </w:style>
  <w:style w:type="character" w:customStyle="1" w:styleId="z-TopofFormChar">
    <w:name w:val="z-Top of Form Char"/>
    <w:basedOn w:val="DefaultParagraphFont"/>
    <w:link w:val="z-TopofForm"/>
    <w:uiPriority w:val="99"/>
    <w:semiHidden/>
    <w:rsid w:val="00253B25"/>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locked/>
    <w:rsid w:val="00253B25"/>
    <w:pPr>
      <w:pBdr>
        <w:top w:val="single" w:sz="6" w:space="1" w:color="auto"/>
      </w:pBdr>
      <w:spacing w:after="0" w:line="240" w:lineRule="auto"/>
      <w:jc w:val="center"/>
    </w:pPr>
    <w:rPr>
      <w:rFonts w:ascii="Arial" w:hAnsi="Arial" w:cs="Arial"/>
      <w:vanish/>
      <w:sz w:val="16"/>
      <w:szCs w:val="16"/>
      <w:lang w:eastAsia="bg-BG"/>
    </w:rPr>
  </w:style>
  <w:style w:type="character" w:customStyle="1" w:styleId="z-BottomofFormChar">
    <w:name w:val="z-Bottom of Form Char"/>
    <w:basedOn w:val="DefaultParagraphFont"/>
    <w:link w:val="z-BottomofForm"/>
    <w:uiPriority w:val="99"/>
    <w:semiHidden/>
    <w:rsid w:val="00253B25"/>
    <w:rPr>
      <w:rFonts w:ascii="Arial" w:hAnsi="Arial" w:cs="Arial"/>
      <w:vanish/>
      <w:sz w:val="16"/>
      <w:szCs w:val="16"/>
    </w:rPr>
  </w:style>
  <w:style w:type="character" w:customStyle="1" w:styleId="ubermenu-target-title">
    <w:name w:val="ubermenu-target-title"/>
    <w:basedOn w:val="DefaultParagraphFont"/>
    <w:rsid w:val="00253B25"/>
  </w:style>
  <w:style w:type="character" w:customStyle="1" w:styleId="dictionary">
    <w:name w:val="dictionary"/>
    <w:basedOn w:val="DefaultParagraphFont"/>
    <w:rsid w:val="00253B25"/>
  </w:style>
  <w:style w:type="character" w:customStyle="1" w:styleId="mi">
    <w:name w:val="mi"/>
    <w:basedOn w:val="DefaultParagraphFont"/>
    <w:rsid w:val="00253B25"/>
  </w:style>
  <w:style w:type="character" w:customStyle="1" w:styleId="brand-text">
    <w:name w:val="brand-text"/>
    <w:basedOn w:val="DefaultParagraphFont"/>
    <w:rsid w:val="00253B25"/>
  </w:style>
  <w:style w:type="paragraph" w:customStyle="1" w:styleId="amboss-link-collection">
    <w:name w:val="amboss-link-collection"/>
    <w:basedOn w:val="Normal"/>
    <w:rsid w:val="00253B25"/>
    <w:pPr>
      <w:spacing w:before="100" w:beforeAutospacing="1" w:after="100" w:afterAutospacing="1" w:line="240" w:lineRule="auto"/>
    </w:pPr>
    <w:rPr>
      <w:rFonts w:ascii="Times New Roman" w:hAnsi="Times New Roman"/>
      <w:sz w:val="24"/>
      <w:szCs w:val="24"/>
      <w:lang w:eastAsia="bg-BG"/>
    </w:rPr>
  </w:style>
  <w:style w:type="character" w:customStyle="1" w:styleId="icon">
    <w:name w:val="icon"/>
    <w:basedOn w:val="DefaultParagraphFont"/>
    <w:rsid w:val="00253B25"/>
  </w:style>
  <w:style w:type="character" w:customStyle="1" w:styleId="leitwort">
    <w:name w:val="leitwort"/>
    <w:basedOn w:val="DefaultParagraphFont"/>
    <w:rsid w:val="00253B25"/>
  </w:style>
  <w:style w:type="character" w:customStyle="1" w:styleId="nowrap">
    <w:name w:val="nowrap"/>
    <w:basedOn w:val="DefaultParagraphFont"/>
    <w:rsid w:val="00253B25"/>
  </w:style>
  <w:style w:type="character" w:customStyle="1" w:styleId="js-relevance-term">
    <w:name w:val="js-relevance-term"/>
    <w:basedOn w:val="DefaultParagraphFont"/>
    <w:rsid w:val="00253B25"/>
  </w:style>
  <w:style w:type="character" w:customStyle="1" w:styleId="ankerlink">
    <w:name w:val="ankerlink"/>
    <w:basedOn w:val="DefaultParagraphFont"/>
    <w:rsid w:val="00253B25"/>
  </w:style>
  <w:style w:type="paragraph" w:customStyle="1" w:styleId="condensed-hidden">
    <w:name w:val="condensed-hidden"/>
    <w:basedOn w:val="Normal"/>
    <w:rsid w:val="00253B25"/>
    <w:pPr>
      <w:spacing w:before="100" w:beforeAutospacing="1" w:after="100" w:afterAutospacing="1" w:line="240" w:lineRule="auto"/>
    </w:pPr>
    <w:rPr>
      <w:rFonts w:ascii="Times New Roman" w:hAnsi="Times New Roman"/>
      <w:sz w:val="24"/>
      <w:szCs w:val="24"/>
      <w:lang w:eastAsia="bg-BG"/>
    </w:rPr>
  </w:style>
  <w:style w:type="character" w:customStyle="1" w:styleId="ng-isolate-scope">
    <w:name w:val="ng-isolate-scope"/>
    <w:basedOn w:val="DefaultParagraphFont"/>
    <w:rsid w:val="00253B25"/>
  </w:style>
  <w:style w:type="character" w:customStyle="1" w:styleId="step-1-imppact2">
    <w:name w:val="step-1-imppact2"/>
    <w:basedOn w:val="DefaultParagraphFont"/>
    <w:rsid w:val="00253B25"/>
  </w:style>
  <w:style w:type="character" w:customStyle="1" w:styleId="condensed-hidden1">
    <w:name w:val="condensed-hidden1"/>
    <w:basedOn w:val="DefaultParagraphFont"/>
    <w:rsid w:val="00253B25"/>
  </w:style>
  <w:style w:type="character" w:customStyle="1" w:styleId="wichtig">
    <w:name w:val="wichtig"/>
    <w:basedOn w:val="DefaultParagraphFont"/>
    <w:rsid w:val="00253B25"/>
  </w:style>
  <w:style w:type="character" w:customStyle="1" w:styleId="step-2-imppact2">
    <w:name w:val="step-2-imppact2"/>
    <w:basedOn w:val="DefaultParagraphFont"/>
    <w:rsid w:val="00253B25"/>
  </w:style>
  <w:style w:type="character" w:customStyle="1" w:styleId="merkspruch">
    <w:name w:val="merkspruch"/>
    <w:basedOn w:val="DefaultParagraphFont"/>
    <w:rsid w:val="00253B25"/>
  </w:style>
  <w:style w:type="character" w:customStyle="1" w:styleId="linksuggest">
    <w:name w:val="linksuggest"/>
    <w:basedOn w:val="DefaultParagraphFont"/>
    <w:rsid w:val="00253B25"/>
  </w:style>
  <w:style w:type="paragraph" w:customStyle="1" w:styleId="condensed-hidden-step2">
    <w:name w:val="condensed-hidden-step2"/>
    <w:basedOn w:val="Normal"/>
    <w:rsid w:val="00253B25"/>
    <w:pPr>
      <w:spacing w:before="100" w:beforeAutospacing="1" w:after="100" w:afterAutospacing="1" w:line="240" w:lineRule="auto"/>
    </w:pPr>
    <w:rPr>
      <w:rFonts w:ascii="Times New Roman" w:hAnsi="Times New Roman"/>
      <w:sz w:val="24"/>
      <w:szCs w:val="24"/>
      <w:lang w:eastAsia="bg-BG"/>
    </w:rPr>
  </w:style>
  <w:style w:type="character" w:customStyle="1" w:styleId="api">
    <w:name w:val="api"/>
    <w:basedOn w:val="DefaultParagraphFont"/>
    <w:rsid w:val="00253B25"/>
  </w:style>
  <w:style w:type="character" w:customStyle="1" w:styleId="video-play">
    <w:name w:val="video-play"/>
    <w:basedOn w:val="DefaultParagraphFont"/>
    <w:rsid w:val="00253B25"/>
  </w:style>
  <w:style w:type="paragraph" w:customStyle="1" w:styleId="d0cbnqnzf650lpjkkh3ys">
    <w:name w:val="d0cbnqnzf650lpjkkh3ys"/>
    <w:basedOn w:val="Normal"/>
    <w:rsid w:val="00253B25"/>
    <w:pPr>
      <w:spacing w:before="100" w:beforeAutospacing="1" w:after="100" w:afterAutospacing="1" w:line="240" w:lineRule="auto"/>
    </w:pPr>
    <w:rPr>
      <w:rFonts w:ascii="Times New Roman" w:hAnsi="Times New Roman"/>
      <w:sz w:val="24"/>
      <w:szCs w:val="24"/>
      <w:lang w:eastAsia="bg-BG"/>
    </w:rPr>
  </w:style>
  <w:style w:type="character" w:customStyle="1" w:styleId="sc-fqejpq">
    <w:name w:val="sc-fqejpq"/>
    <w:basedOn w:val="DefaultParagraphFont"/>
    <w:rsid w:val="00253B25"/>
  </w:style>
  <w:style w:type="paragraph" w:customStyle="1" w:styleId="sc-ipzhip">
    <w:name w:val="sc-ipzhip"/>
    <w:basedOn w:val="Normal"/>
    <w:rsid w:val="00253B25"/>
    <w:pPr>
      <w:spacing w:before="100" w:beforeAutospacing="1" w:after="100" w:afterAutospacing="1" w:line="240" w:lineRule="auto"/>
    </w:pPr>
    <w:rPr>
      <w:rFonts w:ascii="Times New Roman" w:hAnsi="Times New Roman"/>
      <w:sz w:val="24"/>
      <w:szCs w:val="24"/>
      <w:lang w:eastAsia="bg-BG"/>
    </w:rPr>
  </w:style>
  <w:style w:type="character" w:customStyle="1" w:styleId="sc-deorim">
    <w:name w:val="sc-deorim"/>
    <w:basedOn w:val="DefaultParagraphFont"/>
    <w:rsid w:val="00253B25"/>
  </w:style>
  <w:style w:type="character" w:customStyle="1" w:styleId="articlecontentpublicationfield-sc-2yl9jy-6">
    <w:name w:val="articlecontent__publicationfield-sc-2yl9jy-6"/>
    <w:basedOn w:val="DefaultParagraphFont"/>
    <w:rsid w:val="00253B25"/>
  </w:style>
  <w:style w:type="character" w:customStyle="1" w:styleId="articlecontentpublicationvalue-sc-2yl9jy-7">
    <w:name w:val="articlecontent__publicationvalue-sc-2yl9jy-7"/>
    <w:basedOn w:val="DefaultParagraphFont"/>
    <w:rsid w:val="00253B25"/>
  </w:style>
  <w:style w:type="character" w:customStyle="1" w:styleId="caption-text">
    <w:name w:val="caption-text"/>
    <w:basedOn w:val="DefaultParagraphFont"/>
    <w:rsid w:val="00253B25"/>
  </w:style>
  <w:style w:type="character" w:customStyle="1" w:styleId="reflinks">
    <w:name w:val="reflinks"/>
    <w:basedOn w:val="DefaultParagraphFont"/>
    <w:rsid w:val="00253B25"/>
  </w:style>
  <w:style w:type="character" w:customStyle="1" w:styleId="sep">
    <w:name w:val="sep"/>
    <w:basedOn w:val="DefaultParagraphFont"/>
    <w:rsid w:val="00253B25"/>
  </w:style>
  <w:style w:type="character" w:customStyle="1" w:styleId="penicon">
    <w:name w:val="penicon"/>
    <w:basedOn w:val="DefaultParagraphFont"/>
    <w:rsid w:val="00253B25"/>
  </w:style>
  <w:style w:type="character" w:customStyle="1" w:styleId="rt-commentedtext">
    <w:name w:val="rt-commentedtext"/>
    <w:basedOn w:val="DefaultParagraphFont"/>
    <w:rsid w:val="00253B25"/>
  </w:style>
  <w:style w:type="character" w:customStyle="1" w:styleId="ipa">
    <w:name w:val="ipa"/>
    <w:basedOn w:val="DefaultParagraphFont"/>
    <w:rsid w:val="00253B25"/>
  </w:style>
  <w:style w:type="character" w:customStyle="1" w:styleId="toctogglespan">
    <w:name w:val="toctogglespan"/>
    <w:basedOn w:val="DefaultParagraphFont"/>
    <w:rsid w:val="00253B25"/>
  </w:style>
  <w:style w:type="character" w:customStyle="1" w:styleId="tocnumber">
    <w:name w:val="tocnumber"/>
    <w:basedOn w:val="DefaultParagraphFont"/>
    <w:rsid w:val="00253B25"/>
  </w:style>
  <w:style w:type="character" w:customStyle="1" w:styleId="toctext">
    <w:name w:val="toctext"/>
    <w:basedOn w:val="DefaultParagraphFont"/>
    <w:rsid w:val="00253B25"/>
  </w:style>
  <w:style w:type="character" w:customStyle="1" w:styleId="mw-headline">
    <w:name w:val="mw-headline"/>
    <w:basedOn w:val="DefaultParagraphFont"/>
    <w:rsid w:val="00253B25"/>
  </w:style>
  <w:style w:type="character" w:customStyle="1" w:styleId="mw-editsection">
    <w:name w:val="mw-editsection"/>
    <w:basedOn w:val="DefaultParagraphFont"/>
    <w:rsid w:val="00253B25"/>
  </w:style>
  <w:style w:type="character" w:customStyle="1" w:styleId="mw-editsection-bracket">
    <w:name w:val="mw-editsection-bracket"/>
    <w:basedOn w:val="DefaultParagraphFont"/>
    <w:rsid w:val="00253B25"/>
  </w:style>
  <w:style w:type="character" w:customStyle="1" w:styleId="cs1-lock-registration">
    <w:name w:val="cs1-lock-registration"/>
    <w:basedOn w:val="DefaultParagraphFont"/>
    <w:rsid w:val="00253B25"/>
  </w:style>
  <w:style w:type="character" w:customStyle="1" w:styleId="cs1-lock-free">
    <w:name w:val="cs1-lock-free"/>
    <w:basedOn w:val="DefaultParagraphFont"/>
    <w:rsid w:val="00253B25"/>
  </w:style>
  <w:style w:type="character" w:customStyle="1" w:styleId="reference-accessdate">
    <w:name w:val="reference-accessdate"/>
    <w:basedOn w:val="DefaultParagraphFont"/>
    <w:rsid w:val="00253B25"/>
  </w:style>
  <w:style w:type="character" w:customStyle="1" w:styleId="kwd-text">
    <w:name w:val="kwd-text"/>
    <w:basedOn w:val="DefaultParagraphFont"/>
    <w:rsid w:val="00253B25"/>
  </w:style>
  <w:style w:type="paragraph" w:customStyle="1" w:styleId="fn">
    <w:name w:val="fn"/>
    <w:basedOn w:val="Normal"/>
    <w:rsid w:val="00253B25"/>
    <w:pPr>
      <w:spacing w:before="100" w:beforeAutospacing="1" w:after="100" w:afterAutospacing="1" w:line="240" w:lineRule="auto"/>
    </w:pPr>
    <w:rPr>
      <w:rFonts w:ascii="Times New Roman" w:hAnsi="Times New Roman"/>
      <w:sz w:val="24"/>
      <w:szCs w:val="24"/>
      <w:lang w:eastAsia="bg-BG"/>
    </w:rPr>
  </w:style>
  <w:style w:type="character" w:customStyle="1" w:styleId="element-citation">
    <w:name w:val="element-citation"/>
    <w:basedOn w:val="DefaultParagraphFont"/>
    <w:rsid w:val="00253B25"/>
  </w:style>
  <w:style w:type="character" w:customStyle="1" w:styleId="link-button-text">
    <w:name w:val="link-button-text"/>
    <w:basedOn w:val="DefaultParagraphFont"/>
    <w:rsid w:val="00253B25"/>
  </w:style>
  <w:style w:type="character" w:customStyle="1" w:styleId="topic-highlight">
    <w:name w:val="topic-highlight"/>
    <w:basedOn w:val="DefaultParagraphFont"/>
    <w:rsid w:val="00253B25"/>
  </w:style>
  <w:style w:type="character" w:customStyle="1" w:styleId="BodyTextFirstIndentChar1">
    <w:name w:val="Body Text First Indent Char1"/>
    <w:basedOn w:val="BodyTextChar1"/>
    <w:rsid w:val="005F4481"/>
    <w:rPr>
      <w:rFonts w:ascii="Times New Roman" w:eastAsia="Times New Roman" w:hAnsi="Times New Roman" w:cs="Times New Roman"/>
      <w:sz w:val="20"/>
      <w:szCs w:val="20"/>
      <w:lang w:val="en-AU" w:eastAsia="ar-SA" w:bidi="ar-SA"/>
    </w:rPr>
  </w:style>
  <w:style w:type="table" w:customStyle="1" w:styleId="TableGridLight1">
    <w:name w:val="Table Grid Light1"/>
    <w:basedOn w:val="TableNormal"/>
    <w:uiPriority w:val="40"/>
    <w:qFormat/>
    <w:rsid w:val="00167266"/>
    <w:rPr>
      <w:rFonts w:ascii="Liberation Serif" w:eastAsia="SimSun" w:hAnsi="Liberation Serif" w:cs="Mangal"/>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3">
    <w:name w:val="Нормален"/>
    <w:qFormat/>
    <w:rsid w:val="00167266"/>
    <w:pPr>
      <w:suppressAutoHyphens/>
      <w:autoSpaceDN w:val="0"/>
      <w:textAlignment w:val="baseline"/>
    </w:pPr>
    <w:rPr>
      <w:rFonts w:ascii="Liberation Serif" w:eastAsia="SimSun" w:hAnsi="Liberation Serif" w:cs="Mangal"/>
      <w:kern w:val="3"/>
      <w:sz w:val="24"/>
      <w:szCs w:val="24"/>
      <w:lang w:val="en-US" w:eastAsia="zh-CN" w:bidi="hi-IN"/>
    </w:rPr>
  </w:style>
  <w:style w:type="character" w:customStyle="1" w:styleId="a4">
    <w:name w:val="Шрифт на абзаца по подразбиране"/>
    <w:qFormat/>
    <w:rsid w:val="00167266"/>
  </w:style>
  <w:style w:type="paragraph" w:customStyle="1" w:styleId="a5">
    <w:name w:val="Списък на абзаци"/>
    <w:basedOn w:val="a3"/>
    <w:qFormat/>
    <w:rsid w:val="00167266"/>
    <w:pPr>
      <w:ind w:left="720"/>
    </w:pPr>
    <w:rPr>
      <w:szCs w:val="21"/>
    </w:rPr>
  </w:style>
  <w:style w:type="table" w:customStyle="1" w:styleId="a6">
    <w:name w:val="Нормална таблица"/>
    <w:semiHidden/>
    <w:rsid w:val="00167266"/>
    <w:pPr>
      <w:autoSpaceDN w:val="0"/>
    </w:pPr>
    <w:rPr>
      <w:rFonts w:ascii="Liberation Serif" w:eastAsia="Liberation Serif" w:hAnsi="Liberation Serif" w:cs="Liberation Serif"/>
      <w:kern w:val="3"/>
      <w:sz w:val="24"/>
      <w:szCs w:val="24"/>
      <w:lang w:eastAsia="zh-CN"/>
    </w:rPr>
    <w:tblPr>
      <w:tblCellMar>
        <w:top w:w="0" w:type="dxa"/>
        <w:left w:w="108" w:type="dxa"/>
        <w:bottom w:w="0" w:type="dxa"/>
        <w:right w:w="108" w:type="dxa"/>
      </w:tblCellMar>
    </w:tblPr>
  </w:style>
  <w:style w:type="character" w:customStyle="1" w:styleId="ListParagraphChar">
    <w:name w:val="List Paragraph Char"/>
    <w:aliases w:val="Table Legend Char,Bullet1 Char,Bullet List Char,Section 5 Char,Bullet List 2 Char,Bullets Points Char"/>
    <w:link w:val="ListParagraph"/>
    <w:uiPriority w:val="34"/>
    <w:qFormat/>
    <w:locked/>
    <w:rsid w:val="00D24740"/>
    <w:rPr>
      <w:rFonts w:ascii="Calibri" w:hAnsi="Calibri"/>
      <w:sz w:val="22"/>
      <w:szCs w:val="22"/>
      <w:lang w:eastAsia="en-US"/>
    </w:rPr>
  </w:style>
  <w:style w:type="character" w:customStyle="1" w:styleId="CaptionChar">
    <w:name w:val="Caption Char"/>
    <w:basedOn w:val="DefaultParagraphFont"/>
    <w:link w:val="Caption"/>
    <w:locked/>
    <w:rsid w:val="00D24740"/>
    <w:rPr>
      <w:rFonts w:ascii="Arial" w:eastAsia="MS Mincho" w:hAnsi="Arial" w:cs="Tahoma"/>
      <w:i/>
      <w:iCs/>
      <w:sz w:val="24"/>
      <w:szCs w:val="24"/>
      <w:lang w:eastAsia="ar-SA"/>
    </w:rPr>
  </w:style>
  <w:style w:type="paragraph" w:styleId="TOCHeading">
    <w:name w:val="TOC Heading"/>
    <w:basedOn w:val="Heading1"/>
    <w:next w:val="Normal"/>
    <w:uiPriority w:val="39"/>
    <w:unhideWhenUsed/>
    <w:qFormat/>
    <w:rsid w:val="00BE0B19"/>
    <w:pPr>
      <w:spacing w:before="240"/>
      <w:outlineLvl w:val="9"/>
    </w:pPr>
    <w:rPr>
      <w:rFonts w:asciiTheme="majorHAnsi" w:eastAsiaTheme="majorEastAsia" w:hAnsiTheme="majorHAnsi" w:cstheme="majorBidi"/>
      <w:b w:val="0"/>
      <w:bCs w:val="0"/>
      <w:color w:val="365F91" w:themeColor="accent1" w:themeShade="BF"/>
      <w:sz w:val="32"/>
      <w:szCs w:val="32"/>
    </w:rPr>
  </w:style>
  <w:style w:type="paragraph" w:styleId="TOC2">
    <w:name w:val="toc 2"/>
    <w:basedOn w:val="Normal"/>
    <w:next w:val="Normal"/>
    <w:autoRedefine/>
    <w:uiPriority w:val="39"/>
    <w:unhideWhenUsed/>
    <w:rsid w:val="00BE0B19"/>
    <w:pPr>
      <w:spacing w:after="100"/>
      <w:ind w:left="220"/>
    </w:pPr>
  </w:style>
  <w:style w:type="paragraph" w:styleId="TOC3">
    <w:name w:val="toc 3"/>
    <w:basedOn w:val="Normal"/>
    <w:next w:val="Normal"/>
    <w:autoRedefine/>
    <w:uiPriority w:val="39"/>
    <w:unhideWhenUsed/>
    <w:rsid w:val="00BE0B19"/>
    <w:pPr>
      <w:spacing w:after="100"/>
      <w:ind w:left="440"/>
    </w:pPr>
  </w:style>
  <w:style w:type="numbering" w:customStyle="1" w:styleId="NoList2">
    <w:name w:val="No List2"/>
    <w:next w:val="NoList"/>
    <w:uiPriority w:val="99"/>
    <w:semiHidden/>
    <w:unhideWhenUsed/>
    <w:rsid w:val="00BE0B19"/>
  </w:style>
  <w:style w:type="table" w:customStyle="1" w:styleId="TableGrid2">
    <w:name w:val="Table Grid2"/>
    <w:basedOn w:val="TableNormal"/>
    <w:next w:val="TableGrid"/>
    <w:qFormat/>
    <w:rsid w:val="00BE0B19"/>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BE0B19"/>
  </w:style>
  <w:style w:type="table" w:customStyle="1" w:styleId="PlainTable211">
    <w:name w:val="Plain Table 211"/>
    <w:basedOn w:val="TableNormal"/>
    <w:uiPriority w:val="42"/>
    <w:rsid w:val="00BE0B19"/>
    <w:rPr>
      <w:rFonts w:eastAsia="SimSu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able-captionlabel">
    <w:name w:val="table-caption__label"/>
    <w:basedOn w:val="DefaultParagraphFont"/>
    <w:rsid w:val="00BE0B19"/>
  </w:style>
  <w:style w:type="paragraph" w:customStyle="1" w:styleId="Heading">
    <w:name w:val="Heading"/>
    <w:basedOn w:val="Normal"/>
    <w:next w:val="BodyText"/>
    <w:qFormat/>
    <w:rsid w:val="00BE0B19"/>
    <w:pPr>
      <w:keepNext/>
      <w:spacing w:before="240" w:after="120" w:line="259" w:lineRule="auto"/>
    </w:pPr>
    <w:rPr>
      <w:rFonts w:ascii="Liberation Sans" w:eastAsia="Microsoft YaHei" w:hAnsi="Liberation Sans" w:cs="Lucida Sans"/>
      <w:kern w:val="2"/>
      <w:sz w:val="28"/>
      <w:szCs w:val="28"/>
      <w:lang w:eastAsia="zh-CN" w:bidi="hi-IN"/>
    </w:rPr>
  </w:style>
  <w:style w:type="character" w:customStyle="1" w:styleId="InternetLink">
    <w:name w:val="Internet Link"/>
    <w:qFormat/>
    <w:rsid w:val="00BE0B19"/>
    <w:rPr>
      <w:color w:val="000080"/>
      <w:u w:val="single"/>
      <w:lang w:val="zh-CN" w:eastAsia="zh-CN" w:bidi="zh-CN"/>
    </w:rPr>
  </w:style>
  <w:style w:type="paragraph" w:customStyle="1" w:styleId="Index">
    <w:name w:val="Index"/>
    <w:basedOn w:val="Normal"/>
    <w:qFormat/>
    <w:rsid w:val="00BE0B19"/>
    <w:pPr>
      <w:suppressLineNumbers/>
      <w:spacing w:after="160" w:line="259" w:lineRule="auto"/>
    </w:pPr>
    <w:rPr>
      <w:rFonts w:ascii="Liberation Serif" w:eastAsia="SimSun" w:hAnsi="Liberation Serif" w:cs="Lucida Sans"/>
      <w:kern w:val="2"/>
      <w:sz w:val="24"/>
      <w:szCs w:val="24"/>
      <w:lang w:eastAsia="zh-CN" w:bidi="hi-IN"/>
    </w:rPr>
  </w:style>
  <w:style w:type="character" w:customStyle="1" w:styleId="UnresolvedMention">
    <w:name w:val="Unresolved Mention"/>
    <w:basedOn w:val="DefaultParagraphFont"/>
    <w:uiPriority w:val="99"/>
    <w:semiHidden/>
    <w:unhideWhenUsed/>
    <w:rsid w:val="00BE0B19"/>
    <w:rPr>
      <w:color w:val="605E5C"/>
      <w:shd w:val="clear" w:color="auto" w:fill="E1DFDD"/>
    </w:rPr>
  </w:style>
  <w:style w:type="paragraph" w:customStyle="1" w:styleId="Style5">
    <w:name w:val="Style5"/>
    <w:link w:val="Style5Char"/>
    <w:qFormat/>
    <w:rsid w:val="00BE0B19"/>
    <w:pPr>
      <w:pBdr>
        <w:top w:val="single" w:sz="4" w:space="1" w:color="auto"/>
        <w:left w:val="single" w:sz="4" w:space="4" w:color="auto"/>
        <w:bottom w:val="single" w:sz="4" w:space="1" w:color="auto"/>
        <w:right w:val="single" w:sz="4" w:space="4" w:color="auto"/>
      </w:pBdr>
      <w:tabs>
        <w:tab w:val="num" w:pos="360"/>
      </w:tabs>
      <w:spacing w:line="360" w:lineRule="auto"/>
      <w:ind w:left="360" w:hanging="360"/>
      <w:jc w:val="both"/>
    </w:pPr>
    <w:rPr>
      <w:rFonts w:ascii="Times New Roman" w:eastAsia="SimSun" w:hAnsi="Times New Roman"/>
      <w:sz w:val="24"/>
      <w:szCs w:val="24"/>
      <w:lang w:eastAsia="en-US"/>
    </w:rPr>
  </w:style>
  <w:style w:type="character" w:customStyle="1" w:styleId="Style5Char">
    <w:name w:val="Style5 Char"/>
    <w:basedOn w:val="Heading2Char"/>
    <w:link w:val="Style5"/>
    <w:rsid w:val="00BE0B19"/>
    <w:rPr>
      <w:rFonts w:ascii="Times New Roman" w:eastAsia="SimSun" w:hAnsi="Times New Roman" w:cs="Times New Roman"/>
      <w:b w:val="0"/>
      <w:sz w:val="24"/>
      <w:szCs w:val="24"/>
      <w:lang w:val="bg-BG" w:eastAsia="en-US"/>
    </w:rPr>
  </w:style>
  <w:style w:type="paragraph" w:customStyle="1" w:styleId="Style6">
    <w:name w:val="Style6"/>
    <w:link w:val="Style6Char"/>
    <w:qFormat/>
    <w:rsid w:val="00BE0B19"/>
    <w:pPr>
      <w:pBdr>
        <w:top w:val="single" w:sz="4" w:space="1" w:color="auto"/>
        <w:left w:val="single" w:sz="4" w:space="4" w:color="auto"/>
        <w:bottom w:val="single" w:sz="4" w:space="1" w:color="auto"/>
        <w:right w:val="single" w:sz="4" w:space="4" w:color="auto"/>
      </w:pBdr>
      <w:spacing w:line="360" w:lineRule="auto"/>
      <w:ind w:firstLine="720"/>
      <w:jc w:val="both"/>
    </w:pPr>
    <w:rPr>
      <w:rFonts w:ascii="Times New Roman" w:eastAsia="SimSun" w:hAnsi="Times New Roman"/>
      <w:b/>
      <w:bCs/>
      <w:i/>
      <w:color w:val="365F91"/>
      <w:sz w:val="24"/>
      <w:szCs w:val="24"/>
      <w:lang w:eastAsia="en-US"/>
    </w:rPr>
  </w:style>
  <w:style w:type="character" w:customStyle="1" w:styleId="Style6Char">
    <w:name w:val="Style6 Char"/>
    <w:basedOn w:val="Heading1Char"/>
    <w:link w:val="Style6"/>
    <w:rsid w:val="00BE0B19"/>
    <w:rPr>
      <w:rFonts w:ascii="Times New Roman" w:eastAsia="SimSun" w:hAnsi="Times New Roman" w:cs="Times New Roman"/>
      <w:b/>
      <w:bCs/>
      <w:i/>
      <w:color w:val="365F91"/>
      <w:sz w:val="24"/>
      <w:szCs w:val="24"/>
      <w:lang w:val="bg-BG" w:eastAsia="en-US"/>
    </w:rPr>
  </w:style>
  <w:style w:type="paragraph" w:customStyle="1" w:styleId="Style7">
    <w:name w:val="Style7"/>
    <w:link w:val="Style7Char"/>
    <w:qFormat/>
    <w:rsid w:val="00BE0B19"/>
    <w:pPr>
      <w:pBdr>
        <w:top w:val="single" w:sz="4" w:space="1" w:color="auto"/>
        <w:left w:val="single" w:sz="4" w:space="4" w:color="auto"/>
        <w:bottom w:val="single" w:sz="4" w:space="1" w:color="auto"/>
        <w:right w:val="single" w:sz="4" w:space="4" w:color="auto"/>
      </w:pBdr>
      <w:spacing w:line="360" w:lineRule="auto"/>
      <w:jc w:val="both"/>
    </w:pPr>
    <w:rPr>
      <w:rFonts w:ascii="Times New Roman" w:eastAsia="SimSun" w:hAnsi="Times New Roman"/>
      <w:sz w:val="24"/>
      <w:szCs w:val="24"/>
      <w:lang w:eastAsia="en-US"/>
    </w:rPr>
  </w:style>
  <w:style w:type="character" w:customStyle="1" w:styleId="Style7Char">
    <w:name w:val="Style7 Char"/>
    <w:basedOn w:val="Heading2Char"/>
    <w:link w:val="Style7"/>
    <w:rsid w:val="00BE0B19"/>
    <w:rPr>
      <w:rFonts w:ascii="Times New Roman" w:eastAsia="SimSun" w:hAnsi="Times New Roman" w:cs="Times New Roman"/>
      <w:b w:val="0"/>
      <w:sz w:val="24"/>
      <w:szCs w:val="24"/>
      <w:lang w:val="bg-BG" w:eastAsia="en-US"/>
    </w:rPr>
  </w:style>
  <w:style w:type="paragraph" w:styleId="TOC4">
    <w:name w:val="toc 4"/>
    <w:basedOn w:val="Normal"/>
    <w:next w:val="Normal"/>
    <w:autoRedefine/>
    <w:uiPriority w:val="39"/>
    <w:unhideWhenUsed/>
    <w:rsid w:val="00BE0B19"/>
    <w:pPr>
      <w:spacing w:after="100" w:line="259" w:lineRule="auto"/>
      <w:ind w:left="660"/>
    </w:pPr>
    <w:rPr>
      <w:rFonts w:ascii="Times New Roman" w:eastAsiaTheme="minorEastAsia" w:hAnsi="Times New Roman" w:cstheme="minorBidi"/>
      <w:kern w:val="2"/>
      <w:sz w:val="24"/>
      <w:lang w:eastAsia="bg-BG"/>
      <w14:ligatures w14:val="standardContextual"/>
    </w:rPr>
  </w:style>
  <w:style w:type="paragraph" w:styleId="TOC5">
    <w:name w:val="toc 5"/>
    <w:basedOn w:val="Normal"/>
    <w:next w:val="Normal"/>
    <w:autoRedefine/>
    <w:uiPriority w:val="39"/>
    <w:unhideWhenUsed/>
    <w:rsid w:val="00BE0B19"/>
    <w:pPr>
      <w:spacing w:after="100" w:line="259" w:lineRule="auto"/>
      <w:ind w:left="880"/>
    </w:pPr>
    <w:rPr>
      <w:rFonts w:asciiTheme="minorHAnsi" w:eastAsiaTheme="minorEastAsia" w:hAnsiTheme="minorHAnsi" w:cstheme="minorBidi"/>
      <w:kern w:val="2"/>
      <w:lang w:eastAsia="bg-BG"/>
      <w14:ligatures w14:val="standardContextual"/>
    </w:rPr>
  </w:style>
  <w:style w:type="paragraph" w:styleId="TOC6">
    <w:name w:val="toc 6"/>
    <w:basedOn w:val="Normal"/>
    <w:next w:val="Normal"/>
    <w:autoRedefine/>
    <w:uiPriority w:val="39"/>
    <w:unhideWhenUsed/>
    <w:rsid w:val="00BE0B19"/>
    <w:pPr>
      <w:spacing w:after="100" w:line="259" w:lineRule="auto"/>
      <w:ind w:left="1100"/>
    </w:pPr>
    <w:rPr>
      <w:rFonts w:asciiTheme="minorHAnsi" w:eastAsiaTheme="minorEastAsia" w:hAnsiTheme="minorHAnsi" w:cstheme="minorBidi"/>
      <w:kern w:val="2"/>
      <w:lang w:eastAsia="bg-BG"/>
      <w14:ligatures w14:val="standardContextual"/>
    </w:rPr>
  </w:style>
  <w:style w:type="paragraph" w:styleId="TOC7">
    <w:name w:val="toc 7"/>
    <w:basedOn w:val="Normal"/>
    <w:next w:val="Normal"/>
    <w:autoRedefine/>
    <w:uiPriority w:val="39"/>
    <w:unhideWhenUsed/>
    <w:rsid w:val="00BE0B19"/>
    <w:pPr>
      <w:spacing w:after="100" w:line="259" w:lineRule="auto"/>
      <w:ind w:left="1320"/>
    </w:pPr>
    <w:rPr>
      <w:rFonts w:asciiTheme="minorHAnsi" w:eastAsiaTheme="minorEastAsia" w:hAnsiTheme="minorHAnsi" w:cstheme="minorBidi"/>
      <w:kern w:val="2"/>
      <w:lang w:eastAsia="bg-BG"/>
      <w14:ligatures w14:val="standardContextual"/>
    </w:rPr>
  </w:style>
  <w:style w:type="paragraph" w:styleId="TOC8">
    <w:name w:val="toc 8"/>
    <w:basedOn w:val="Normal"/>
    <w:next w:val="Normal"/>
    <w:autoRedefine/>
    <w:uiPriority w:val="39"/>
    <w:unhideWhenUsed/>
    <w:rsid w:val="00BE0B19"/>
    <w:pPr>
      <w:spacing w:after="100" w:line="259" w:lineRule="auto"/>
      <w:ind w:left="1540"/>
    </w:pPr>
    <w:rPr>
      <w:rFonts w:asciiTheme="minorHAnsi" w:eastAsiaTheme="minorEastAsia" w:hAnsiTheme="minorHAnsi" w:cstheme="minorBidi"/>
      <w:kern w:val="2"/>
      <w:lang w:eastAsia="bg-BG"/>
      <w14:ligatures w14:val="standardContextual"/>
    </w:rPr>
  </w:style>
  <w:style w:type="paragraph" w:styleId="TOC9">
    <w:name w:val="toc 9"/>
    <w:basedOn w:val="Normal"/>
    <w:next w:val="Normal"/>
    <w:autoRedefine/>
    <w:uiPriority w:val="39"/>
    <w:unhideWhenUsed/>
    <w:rsid w:val="00BE0B19"/>
    <w:pPr>
      <w:spacing w:after="100" w:line="259" w:lineRule="auto"/>
      <w:ind w:left="1760"/>
    </w:pPr>
    <w:rPr>
      <w:rFonts w:asciiTheme="minorHAnsi" w:eastAsiaTheme="minorEastAsia" w:hAnsiTheme="minorHAnsi" w:cstheme="minorBidi"/>
      <w:kern w:val="2"/>
      <w:lang w:eastAsia="bg-BG"/>
      <w14:ligatures w14:val="standardContextual"/>
    </w:rPr>
  </w:style>
  <w:style w:type="character" w:customStyle="1" w:styleId="NoSpacingChar">
    <w:name w:val="No Spacing Char"/>
    <w:basedOn w:val="DefaultParagraphFont"/>
    <w:link w:val="NoSpacing"/>
    <w:uiPriority w:val="1"/>
    <w:rsid w:val="00BE0B19"/>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1800"/>
          <w:marRight w:val="0"/>
          <w:marTop w:val="134"/>
          <w:marBottom w:val="0"/>
          <w:divBdr>
            <w:top w:val="none" w:sz="0" w:space="0" w:color="auto"/>
            <w:left w:val="none" w:sz="0" w:space="0" w:color="auto"/>
            <w:bottom w:val="none" w:sz="0" w:space="0" w:color="auto"/>
            <w:right w:val="none" w:sz="0" w:space="0" w:color="auto"/>
          </w:divBdr>
        </w:div>
      </w:divsChild>
    </w:div>
    <w:div w:id="3">
      <w:marLeft w:val="0"/>
      <w:marRight w:val="0"/>
      <w:marTop w:val="0"/>
      <w:marBottom w:val="0"/>
      <w:divBdr>
        <w:top w:val="none" w:sz="0" w:space="0" w:color="auto"/>
        <w:left w:val="none" w:sz="0" w:space="0" w:color="auto"/>
        <w:bottom w:val="none" w:sz="0" w:space="0" w:color="auto"/>
        <w:right w:val="none" w:sz="0" w:space="0" w:color="auto"/>
      </w:divBdr>
      <w:divsChild>
        <w:div w:id="4">
          <w:marLeft w:val="1800"/>
          <w:marRight w:val="0"/>
          <w:marTop w:val="134"/>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sChild>
        <w:div w:id="110">
          <w:marLeft w:val="0"/>
          <w:marRight w:val="0"/>
          <w:marTop w:val="0"/>
          <w:marBottom w:val="0"/>
          <w:divBdr>
            <w:top w:val="none" w:sz="0" w:space="0" w:color="auto"/>
            <w:left w:val="none" w:sz="0" w:space="0" w:color="auto"/>
            <w:bottom w:val="none" w:sz="0" w:space="0" w:color="auto"/>
            <w:right w:val="none" w:sz="0" w:space="0" w:color="auto"/>
          </w:divBdr>
          <w:divsChild>
            <w:div w:id="88">
              <w:marLeft w:val="0"/>
              <w:marRight w:val="0"/>
              <w:marTop w:val="0"/>
              <w:marBottom w:val="120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sChild>
        <w:div w:id="13">
          <w:marLeft w:val="1166"/>
          <w:marRight w:val="0"/>
          <w:marTop w:val="115"/>
          <w:marBottom w:val="0"/>
          <w:divBdr>
            <w:top w:val="none" w:sz="0" w:space="0" w:color="auto"/>
            <w:left w:val="none" w:sz="0" w:space="0" w:color="auto"/>
            <w:bottom w:val="none" w:sz="0" w:space="0" w:color="auto"/>
            <w:right w:val="none" w:sz="0" w:space="0" w:color="auto"/>
          </w:divBdr>
        </w:div>
        <w:div w:id="40">
          <w:marLeft w:val="1800"/>
          <w:marRight w:val="0"/>
          <w:marTop w:val="96"/>
          <w:marBottom w:val="0"/>
          <w:divBdr>
            <w:top w:val="none" w:sz="0" w:space="0" w:color="auto"/>
            <w:left w:val="none" w:sz="0" w:space="0" w:color="auto"/>
            <w:bottom w:val="none" w:sz="0" w:space="0" w:color="auto"/>
            <w:right w:val="none" w:sz="0" w:space="0" w:color="auto"/>
          </w:divBdr>
        </w:div>
        <w:div w:id="57">
          <w:marLeft w:val="1166"/>
          <w:marRight w:val="0"/>
          <w:marTop w:val="115"/>
          <w:marBottom w:val="0"/>
          <w:divBdr>
            <w:top w:val="none" w:sz="0" w:space="0" w:color="auto"/>
            <w:left w:val="none" w:sz="0" w:space="0" w:color="auto"/>
            <w:bottom w:val="none" w:sz="0" w:space="0" w:color="auto"/>
            <w:right w:val="none" w:sz="0" w:space="0" w:color="auto"/>
          </w:divBdr>
        </w:div>
        <w:div w:id="65">
          <w:marLeft w:val="1166"/>
          <w:marRight w:val="0"/>
          <w:marTop w:val="91"/>
          <w:marBottom w:val="0"/>
          <w:divBdr>
            <w:top w:val="none" w:sz="0" w:space="0" w:color="auto"/>
            <w:left w:val="none" w:sz="0" w:space="0" w:color="auto"/>
            <w:bottom w:val="none" w:sz="0" w:space="0" w:color="auto"/>
            <w:right w:val="none" w:sz="0" w:space="0" w:color="auto"/>
          </w:divBdr>
        </w:div>
        <w:div w:id="75">
          <w:marLeft w:val="1166"/>
          <w:marRight w:val="0"/>
          <w:marTop w:val="96"/>
          <w:marBottom w:val="0"/>
          <w:divBdr>
            <w:top w:val="none" w:sz="0" w:space="0" w:color="auto"/>
            <w:left w:val="none" w:sz="0" w:space="0" w:color="auto"/>
            <w:bottom w:val="none" w:sz="0" w:space="0" w:color="auto"/>
            <w:right w:val="none" w:sz="0" w:space="0" w:color="auto"/>
          </w:divBdr>
        </w:div>
        <w:div w:id="79">
          <w:marLeft w:val="1800"/>
          <w:marRight w:val="0"/>
          <w:marTop w:val="96"/>
          <w:marBottom w:val="0"/>
          <w:divBdr>
            <w:top w:val="none" w:sz="0" w:space="0" w:color="auto"/>
            <w:left w:val="none" w:sz="0" w:space="0" w:color="auto"/>
            <w:bottom w:val="none" w:sz="0" w:space="0" w:color="auto"/>
            <w:right w:val="none" w:sz="0" w:space="0" w:color="auto"/>
          </w:divBdr>
        </w:div>
        <w:div w:id="81">
          <w:marLeft w:val="1800"/>
          <w:marRight w:val="0"/>
          <w:marTop w:val="96"/>
          <w:marBottom w:val="0"/>
          <w:divBdr>
            <w:top w:val="none" w:sz="0" w:space="0" w:color="auto"/>
            <w:left w:val="none" w:sz="0" w:space="0" w:color="auto"/>
            <w:bottom w:val="none" w:sz="0" w:space="0" w:color="auto"/>
            <w:right w:val="none" w:sz="0" w:space="0" w:color="auto"/>
          </w:divBdr>
        </w:div>
        <w:div w:id="84">
          <w:marLeft w:val="1166"/>
          <w:marRight w:val="0"/>
          <w:marTop w:val="115"/>
          <w:marBottom w:val="0"/>
          <w:divBdr>
            <w:top w:val="none" w:sz="0" w:space="0" w:color="auto"/>
            <w:left w:val="none" w:sz="0" w:space="0" w:color="auto"/>
            <w:bottom w:val="none" w:sz="0" w:space="0" w:color="auto"/>
            <w:right w:val="none" w:sz="0" w:space="0" w:color="auto"/>
          </w:divBdr>
        </w:div>
        <w:div w:id="86">
          <w:marLeft w:val="1166"/>
          <w:marRight w:val="0"/>
          <w:marTop w:val="91"/>
          <w:marBottom w:val="0"/>
          <w:divBdr>
            <w:top w:val="none" w:sz="0" w:space="0" w:color="auto"/>
            <w:left w:val="none" w:sz="0" w:space="0" w:color="auto"/>
            <w:bottom w:val="none" w:sz="0" w:space="0" w:color="auto"/>
            <w:right w:val="none" w:sz="0" w:space="0" w:color="auto"/>
          </w:divBdr>
        </w:div>
        <w:div w:id="94">
          <w:marLeft w:val="1166"/>
          <w:marRight w:val="0"/>
          <w:marTop w:val="115"/>
          <w:marBottom w:val="0"/>
          <w:divBdr>
            <w:top w:val="none" w:sz="0" w:space="0" w:color="auto"/>
            <w:left w:val="none" w:sz="0" w:space="0" w:color="auto"/>
            <w:bottom w:val="none" w:sz="0" w:space="0" w:color="auto"/>
            <w:right w:val="none" w:sz="0" w:space="0" w:color="auto"/>
          </w:divBdr>
        </w:div>
        <w:div w:id="100">
          <w:marLeft w:val="1166"/>
          <w:marRight w:val="0"/>
          <w:marTop w:val="115"/>
          <w:marBottom w:val="0"/>
          <w:divBdr>
            <w:top w:val="none" w:sz="0" w:space="0" w:color="auto"/>
            <w:left w:val="none" w:sz="0" w:space="0" w:color="auto"/>
            <w:bottom w:val="none" w:sz="0" w:space="0" w:color="auto"/>
            <w:right w:val="none" w:sz="0" w:space="0" w:color="auto"/>
          </w:divBdr>
        </w:div>
        <w:div w:id="116">
          <w:marLeft w:val="1800"/>
          <w:marRight w:val="0"/>
          <w:marTop w:val="96"/>
          <w:marBottom w:val="0"/>
          <w:divBdr>
            <w:top w:val="none" w:sz="0" w:space="0" w:color="auto"/>
            <w:left w:val="none" w:sz="0" w:space="0" w:color="auto"/>
            <w:bottom w:val="none" w:sz="0" w:space="0" w:color="auto"/>
            <w:right w:val="none" w:sz="0" w:space="0" w:color="auto"/>
          </w:divBdr>
        </w:div>
        <w:div w:id="119">
          <w:marLeft w:val="1166"/>
          <w:marRight w:val="0"/>
          <w:marTop w:val="91"/>
          <w:marBottom w:val="0"/>
          <w:divBdr>
            <w:top w:val="none" w:sz="0" w:space="0" w:color="auto"/>
            <w:left w:val="none" w:sz="0" w:space="0" w:color="auto"/>
            <w:bottom w:val="none" w:sz="0" w:space="0" w:color="auto"/>
            <w:right w:val="none" w:sz="0" w:space="0" w:color="auto"/>
          </w:divBdr>
        </w:div>
      </w:divsChild>
    </w:div>
    <w:div w:id="29">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48">
                  <w:marLeft w:val="0"/>
                  <w:marRight w:val="0"/>
                  <w:marTop w:val="0"/>
                  <w:marBottom w:val="0"/>
                  <w:divBdr>
                    <w:top w:val="none" w:sz="0" w:space="0" w:color="auto"/>
                    <w:left w:val="none" w:sz="0" w:space="0" w:color="auto"/>
                    <w:bottom w:val="none" w:sz="0" w:space="0" w:color="auto"/>
                    <w:right w:val="none" w:sz="0" w:space="0" w:color="auto"/>
                  </w:divBdr>
                  <w:divsChild>
                    <w:div w:id="82">
                      <w:marLeft w:val="0"/>
                      <w:marRight w:val="0"/>
                      <w:marTop w:val="0"/>
                      <w:marBottom w:val="0"/>
                      <w:divBdr>
                        <w:top w:val="none" w:sz="0" w:space="0" w:color="auto"/>
                        <w:left w:val="none" w:sz="0" w:space="0" w:color="auto"/>
                        <w:bottom w:val="none" w:sz="0" w:space="0" w:color="auto"/>
                        <w:right w:val="none" w:sz="0" w:space="0" w:color="auto"/>
                      </w:divBdr>
                      <w:divsChild>
                        <w:div w:id="91">
                          <w:marLeft w:val="0"/>
                          <w:marRight w:val="0"/>
                          <w:marTop w:val="0"/>
                          <w:marBottom w:val="0"/>
                          <w:divBdr>
                            <w:top w:val="none" w:sz="0" w:space="0" w:color="auto"/>
                            <w:left w:val="none" w:sz="0" w:space="0" w:color="auto"/>
                            <w:bottom w:val="none" w:sz="0" w:space="0" w:color="auto"/>
                            <w:right w:val="none" w:sz="0" w:space="0" w:color="auto"/>
                          </w:divBdr>
                          <w:divsChild>
                            <w:div w:id="69">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03">
                                      <w:marLeft w:val="0"/>
                                      <w:marRight w:val="0"/>
                                      <w:marTop w:val="0"/>
                                      <w:marBottom w:val="150"/>
                                      <w:divBdr>
                                        <w:top w:val="none" w:sz="0" w:space="0" w:color="auto"/>
                                        <w:left w:val="none" w:sz="0" w:space="0" w:color="auto"/>
                                        <w:bottom w:val="none" w:sz="0" w:space="0" w:color="auto"/>
                                        <w:right w:val="none" w:sz="0" w:space="0" w:color="auto"/>
                                      </w:divBdr>
                                    </w:div>
                                  </w:divsChild>
                                </w:div>
                                <w:div w:id="93">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150"/>
                                      <w:divBdr>
                                        <w:top w:val="none" w:sz="0" w:space="0" w:color="auto"/>
                                        <w:left w:val="none" w:sz="0" w:space="0" w:color="auto"/>
                                        <w:bottom w:val="none" w:sz="0" w:space="0" w:color="auto"/>
                                        <w:right w:val="none" w:sz="0" w:space="0" w:color="auto"/>
                                      </w:divBdr>
                                    </w:div>
                                  </w:divsChild>
                                </w:div>
                                <w:div w:id="125">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
      <w:marLeft w:val="0"/>
      <w:marRight w:val="0"/>
      <w:marTop w:val="0"/>
      <w:marBottom w:val="0"/>
      <w:divBdr>
        <w:top w:val="none" w:sz="0" w:space="0" w:color="auto"/>
        <w:left w:val="none" w:sz="0" w:space="0" w:color="auto"/>
        <w:bottom w:val="none" w:sz="0" w:space="0" w:color="auto"/>
        <w:right w:val="none" w:sz="0" w:space="0" w:color="auto"/>
      </w:divBdr>
      <w:divsChild>
        <w:div w:id="109">
          <w:marLeft w:val="547"/>
          <w:marRight w:val="0"/>
          <w:marTop w:val="96"/>
          <w:marBottom w:val="0"/>
          <w:divBdr>
            <w:top w:val="none" w:sz="0" w:space="0" w:color="auto"/>
            <w:left w:val="none" w:sz="0" w:space="0" w:color="auto"/>
            <w:bottom w:val="none" w:sz="0" w:space="0" w:color="auto"/>
            <w:right w:val="none" w:sz="0" w:space="0" w:color="auto"/>
          </w:divBdr>
        </w:div>
      </w:divsChild>
    </w:div>
    <w:div w:id="47">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77"/>
          <w:marBottom w:val="0"/>
          <w:divBdr>
            <w:top w:val="none" w:sz="0" w:space="0" w:color="auto"/>
            <w:left w:val="none" w:sz="0" w:space="0" w:color="auto"/>
            <w:bottom w:val="none" w:sz="0" w:space="0" w:color="auto"/>
            <w:right w:val="none" w:sz="0" w:space="0" w:color="auto"/>
          </w:divBdr>
        </w:div>
        <w:div w:id="15">
          <w:marLeft w:val="0"/>
          <w:marRight w:val="0"/>
          <w:marTop w:val="77"/>
          <w:marBottom w:val="0"/>
          <w:divBdr>
            <w:top w:val="none" w:sz="0" w:space="0" w:color="auto"/>
            <w:left w:val="none" w:sz="0" w:space="0" w:color="auto"/>
            <w:bottom w:val="none" w:sz="0" w:space="0" w:color="auto"/>
            <w:right w:val="none" w:sz="0" w:space="0" w:color="auto"/>
          </w:divBdr>
        </w:div>
        <w:div w:id="17">
          <w:marLeft w:val="0"/>
          <w:marRight w:val="0"/>
          <w:marTop w:val="77"/>
          <w:marBottom w:val="0"/>
          <w:divBdr>
            <w:top w:val="none" w:sz="0" w:space="0" w:color="auto"/>
            <w:left w:val="none" w:sz="0" w:space="0" w:color="auto"/>
            <w:bottom w:val="none" w:sz="0" w:space="0" w:color="auto"/>
            <w:right w:val="none" w:sz="0" w:space="0" w:color="auto"/>
          </w:divBdr>
        </w:div>
        <w:div w:id="31">
          <w:marLeft w:val="0"/>
          <w:marRight w:val="0"/>
          <w:marTop w:val="77"/>
          <w:marBottom w:val="0"/>
          <w:divBdr>
            <w:top w:val="none" w:sz="0" w:space="0" w:color="auto"/>
            <w:left w:val="none" w:sz="0" w:space="0" w:color="auto"/>
            <w:bottom w:val="none" w:sz="0" w:space="0" w:color="auto"/>
            <w:right w:val="none" w:sz="0" w:space="0" w:color="auto"/>
          </w:divBdr>
        </w:div>
        <w:div w:id="33">
          <w:marLeft w:val="0"/>
          <w:marRight w:val="0"/>
          <w:marTop w:val="77"/>
          <w:marBottom w:val="0"/>
          <w:divBdr>
            <w:top w:val="none" w:sz="0" w:space="0" w:color="auto"/>
            <w:left w:val="none" w:sz="0" w:space="0" w:color="auto"/>
            <w:bottom w:val="none" w:sz="0" w:space="0" w:color="auto"/>
            <w:right w:val="none" w:sz="0" w:space="0" w:color="auto"/>
          </w:divBdr>
        </w:div>
        <w:div w:id="34">
          <w:marLeft w:val="0"/>
          <w:marRight w:val="0"/>
          <w:marTop w:val="77"/>
          <w:marBottom w:val="0"/>
          <w:divBdr>
            <w:top w:val="none" w:sz="0" w:space="0" w:color="auto"/>
            <w:left w:val="none" w:sz="0" w:space="0" w:color="auto"/>
            <w:bottom w:val="none" w:sz="0" w:space="0" w:color="auto"/>
            <w:right w:val="none" w:sz="0" w:space="0" w:color="auto"/>
          </w:divBdr>
        </w:div>
        <w:div w:id="42">
          <w:marLeft w:val="0"/>
          <w:marRight w:val="0"/>
          <w:marTop w:val="77"/>
          <w:marBottom w:val="0"/>
          <w:divBdr>
            <w:top w:val="none" w:sz="0" w:space="0" w:color="auto"/>
            <w:left w:val="none" w:sz="0" w:space="0" w:color="auto"/>
            <w:bottom w:val="none" w:sz="0" w:space="0" w:color="auto"/>
            <w:right w:val="none" w:sz="0" w:space="0" w:color="auto"/>
          </w:divBdr>
        </w:div>
        <w:div w:id="56">
          <w:marLeft w:val="0"/>
          <w:marRight w:val="0"/>
          <w:marTop w:val="77"/>
          <w:marBottom w:val="0"/>
          <w:divBdr>
            <w:top w:val="none" w:sz="0" w:space="0" w:color="auto"/>
            <w:left w:val="none" w:sz="0" w:space="0" w:color="auto"/>
            <w:bottom w:val="none" w:sz="0" w:space="0" w:color="auto"/>
            <w:right w:val="none" w:sz="0" w:space="0" w:color="auto"/>
          </w:divBdr>
        </w:div>
        <w:div w:id="59">
          <w:marLeft w:val="0"/>
          <w:marRight w:val="0"/>
          <w:marTop w:val="77"/>
          <w:marBottom w:val="0"/>
          <w:divBdr>
            <w:top w:val="none" w:sz="0" w:space="0" w:color="auto"/>
            <w:left w:val="none" w:sz="0" w:space="0" w:color="auto"/>
            <w:bottom w:val="none" w:sz="0" w:space="0" w:color="auto"/>
            <w:right w:val="none" w:sz="0" w:space="0" w:color="auto"/>
          </w:divBdr>
        </w:div>
        <w:div w:id="72">
          <w:marLeft w:val="0"/>
          <w:marRight w:val="0"/>
          <w:marTop w:val="77"/>
          <w:marBottom w:val="0"/>
          <w:divBdr>
            <w:top w:val="none" w:sz="0" w:space="0" w:color="auto"/>
            <w:left w:val="none" w:sz="0" w:space="0" w:color="auto"/>
            <w:bottom w:val="none" w:sz="0" w:space="0" w:color="auto"/>
            <w:right w:val="none" w:sz="0" w:space="0" w:color="auto"/>
          </w:divBdr>
        </w:div>
        <w:div w:id="87">
          <w:marLeft w:val="0"/>
          <w:marRight w:val="0"/>
          <w:marTop w:val="77"/>
          <w:marBottom w:val="0"/>
          <w:divBdr>
            <w:top w:val="none" w:sz="0" w:space="0" w:color="auto"/>
            <w:left w:val="none" w:sz="0" w:space="0" w:color="auto"/>
            <w:bottom w:val="none" w:sz="0" w:space="0" w:color="auto"/>
            <w:right w:val="none" w:sz="0" w:space="0" w:color="auto"/>
          </w:divBdr>
        </w:div>
        <w:div w:id="97">
          <w:marLeft w:val="0"/>
          <w:marRight w:val="0"/>
          <w:marTop w:val="77"/>
          <w:marBottom w:val="0"/>
          <w:divBdr>
            <w:top w:val="none" w:sz="0" w:space="0" w:color="auto"/>
            <w:left w:val="none" w:sz="0" w:space="0" w:color="auto"/>
            <w:bottom w:val="none" w:sz="0" w:space="0" w:color="auto"/>
            <w:right w:val="none" w:sz="0" w:space="0" w:color="auto"/>
          </w:divBdr>
        </w:div>
        <w:div w:id="98">
          <w:marLeft w:val="0"/>
          <w:marRight w:val="0"/>
          <w:marTop w:val="77"/>
          <w:marBottom w:val="0"/>
          <w:divBdr>
            <w:top w:val="none" w:sz="0" w:space="0" w:color="auto"/>
            <w:left w:val="none" w:sz="0" w:space="0" w:color="auto"/>
            <w:bottom w:val="none" w:sz="0" w:space="0" w:color="auto"/>
            <w:right w:val="none" w:sz="0" w:space="0" w:color="auto"/>
          </w:divBdr>
        </w:div>
        <w:div w:id="99">
          <w:marLeft w:val="0"/>
          <w:marRight w:val="0"/>
          <w:marTop w:val="77"/>
          <w:marBottom w:val="0"/>
          <w:divBdr>
            <w:top w:val="none" w:sz="0" w:space="0" w:color="auto"/>
            <w:left w:val="none" w:sz="0" w:space="0" w:color="auto"/>
            <w:bottom w:val="none" w:sz="0" w:space="0" w:color="auto"/>
            <w:right w:val="none" w:sz="0" w:space="0" w:color="auto"/>
          </w:divBdr>
        </w:div>
        <w:div w:id="108">
          <w:marLeft w:val="0"/>
          <w:marRight w:val="0"/>
          <w:marTop w:val="77"/>
          <w:marBottom w:val="0"/>
          <w:divBdr>
            <w:top w:val="none" w:sz="0" w:space="0" w:color="auto"/>
            <w:left w:val="none" w:sz="0" w:space="0" w:color="auto"/>
            <w:bottom w:val="none" w:sz="0" w:space="0" w:color="auto"/>
            <w:right w:val="none" w:sz="0" w:space="0" w:color="auto"/>
          </w:divBdr>
        </w:div>
        <w:div w:id="118">
          <w:marLeft w:val="0"/>
          <w:marRight w:val="0"/>
          <w:marTop w:val="77"/>
          <w:marBottom w:val="0"/>
          <w:divBdr>
            <w:top w:val="none" w:sz="0" w:space="0" w:color="auto"/>
            <w:left w:val="none" w:sz="0" w:space="0" w:color="auto"/>
            <w:bottom w:val="none" w:sz="0" w:space="0" w:color="auto"/>
            <w:right w:val="none" w:sz="0" w:space="0" w:color="auto"/>
          </w:divBdr>
        </w:div>
        <w:div w:id="124">
          <w:marLeft w:val="0"/>
          <w:marRight w:val="0"/>
          <w:marTop w:val="77"/>
          <w:marBottom w:val="0"/>
          <w:divBdr>
            <w:top w:val="none" w:sz="0" w:space="0" w:color="auto"/>
            <w:left w:val="none" w:sz="0" w:space="0" w:color="auto"/>
            <w:bottom w:val="none" w:sz="0" w:space="0" w:color="auto"/>
            <w:right w:val="none" w:sz="0" w:space="0" w:color="auto"/>
          </w:divBdr>
        </w:div>
      </w:divsChild>
    </w:div>
    <w:div w:id="49">
      <w:marLeft w:val="0"/>
      <w:marRight w:val="0"/>
      <w:marTop w:val="0"/>
      <w:marBottom w:val="0"/>
      <w:divBdr>
        <w:top w:val="none" w:sz="0" w:space="0" w:color="auto"/>
        <w:left w:val="none" w:sz="0" w:space="0" w:color="auto"/>
        <w:bottom w:val="none" w:sz="0" w:space="0" w:color="auto"/>
        <w:right w:val="none" w:sz="0" w:space="0" w:color="auto"/>
      </w:divBdr>
      <w:divsChild>
        <w:div w:id="14">
          <w:marLeft w:val="547"/>
          <w:marRight w:val="0"/>
          <w:marTop w:val="96"/>
          <w:marBottom w:val="0"/>
          <w:divBdr>
            <w:top w:val="none" w:sz="0" w:space="0" w:color="auto"/>
            <w:left w:val="none" w:sz="0" w:space="0" w:color="auto"/>
            <w:bottom w:val="none" w:sz="0" w:space="0" w:color="auto"/>
            <w:right w:val="none" w:sz="0" w:space="0" w:color="auto"/>
          </w:divBdr>
        </w:div>
        <w:div w:id="35">
          <w:marLeft w:val="1166"/>
          <w:marRight w:val="0"/>
          <w:marTop w:val="96"/>
          <w:marBottom w:val="0"/>
          <w:divBdr>
            <w:top w:val="none" w:sz="0" w:space="0" w:color="auto"/>
            <w:left w:val="none" w:sz="0" w:space="0" w:color="auto"/>
            <w:bottom w:val="none" w:sz="0" w:space="0" w:color="auto"/>
            <w:right w:val="none" w:sz="0" w:space="0" w:color="auto"/>
          </w:divBdr>
        </w:div>
        <w:div w:id="76">
          <w:marLeft w:val="547"/>
          <w:marRight w:val="0"/>
          <w:marTop w:val="96"/>
          <w:marBottom w:val="0"/>
          <w:divBdr>
            <w:top w:val="none" w:sz="0" w:space="0" w:color="auto"/>
            <w:left w:val="none" w:sz="0" w:space="0" w:color="auto"/>
            <w:bottom w:val="none" w:sz="0" w:space="0" w:color="auto"/>
            <w:right w:val="none" w:sz="0" w:space="0" w:color="auto"/>
          </w:divBdr>
        </w:div>
        <w:div w:id="114">
          <w:marLeft w:val="547"/>
          <w:marRight w:val="0"/>
          <w:marTop w:val="96"/>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77"/>
          <w:marBottom w:val="0"/>
          <w:divBdr>
            <w:top w:val="none" w:sz="0" w:space="0" w:color="auto"/>
            <w:left w:val="none" w:sz="0" w:space="0" w:color="auto"/>
            <w:bottom w:val="none" w:sz="0" w:space="0" w:color="auto"/>
            <w:right w:val="none" w:sz="0" w:space="0" w:color="auto"/>
          </w:divBdr>
        </w:div>
        <w:div w:id="24">
          <w:marLeft w:val="0"/>
          <w:marRight w:val="0"/>
          <w:marTop w:val="77"/>
          <w:marBottom w:val="0"/>
          <w:divBdr>
            <w:top w:val="none" w:sz="0" w:space="0" w:color="auto"/>
            <w:left w:val="none" w:sz="0" w:space="0" w:color="auto"/>
            <w:bottom w:val="none" w:sz="0" w:space="0" w:color="auto"/>
            <w:right w:val="none" w:sz="0" w:space="0" w:color="auto"/>
          </w:divBdr>
        </w:div>
        <w:div w:id="39">
          <w:marLeft w:val="0"/>
          <w:marRight w:val="0"/>
          <w:marTop w:val="77"/>
          <w:marBottom w:val="0"/>
          <w:divBdr>
            <w:top w:val="none" w:sz="0" w:space="0" w:color="auto"/>
            <w:left w:val="none" w:sz="0" w:space="0" w:color="auto"/>
            <w:bottom w:val="none" w:sz="0" w:space="0" w:color="auto"/>
            <w:right w:val="none" w:sz="0" w:space="0" w:color="auto"/>
          </w:divBdr>
        </w:div>
        <w:div w:id="44">
          <w:marLeft w:val="0"/>
          <w:marRight w:val="0"/>
          <w:marTop w:val="77"/>
          <w:marBottom w:val="0"/>
          <w:divBdr>
            <w:top w:val="none" w:sz="0" w:space="0" w:color="auto"/>
            <w:left w:val="none" w:sz="0" w:space="0" w:color="auto"/>
            <w:bottom w:val="none" w:sz="0" w:space="0" w:color="auto"/>
            <w:right w:val="none" w:sz="0" w:space="0" w:color="auto"/>
          </w:divBdr>
        </w:div>
        <w:div w:id="45">
          <w:marLeft w:val="0"/>
          <w:marRight w:val="0"/>
          <w:marTop w:val="77"/>
          <w:marBottom w:val="0"/>
          <w:divBdr>
            <w:top w:val="none" w:sz="0" w:space="0" w:color="auto"/>
            <w:left w:val="none" w:sz="0" w:space="0" w:color="auto"/>
            <w:bottom w:val="none" w:sz="0" w:space="0" w:color="auto"/>
            <w:right w:val="none" w:sz="0" w:space="0" w:color="auto"/>
          </w:divBdr>
        </w:div>
        <w:div w:id="50">
          <w:marLeft w:val="0"/>
          <w:marRight w:val="0"/>
          <w:marTop w:val="77"/>
          <w:marBottom w:val="0"/>
          <w:divBdr>
            <w:top w:val="none" w:sz="0" w:space="0" w:color="auto"/>
            <w:left w:val="none" w:sz="0" w:space="0" w:color="auto"/>
            <w:bottom w:val="none" w:sz="0" w:space="0" w:color="auto"/>
            <w:right w:val="none" w:sz="0" w:space="0" w:color="auto"/>
          </w:divBdr>
        </w:div>
        <w:div w:id="51">
          <w:marLeft w:val="0"/>
          <w:marRight w:val="0"/>
          <w:marTop w:val="77"/>
          <w:marBottom w:val="0"/>
          <w:divBdr>
            <w:top w:val="none" w:sz="0" w:space="0" w:color="auto"/>
            <w:left w:val="none" w:sz="0" w:space="0" w:color="auto"/>
            <w:bottom w:val="none" w:sz="0" w:space="0" w:color="auto"/>
            <w:right w:val="none" w:sz="0" w:space="0" w:color="auto"/>
          </w:divBdr>
        </w:div>
        <w:div w:id="53">
          <w:marLeft w:val="0"/>
          <w:marRight w:val="0"/>
          <w:marTop w:val="77"/>
          <w:marBottom w:val="0"/>
          <w:divBdr>
            <w:top w:val="none" w:sz="0" w:space="0" w:color="auto"/>
            <w:left w:val="none" w:sz="0" w:space="0" w:color="auto"/>
            <w:bottom w:val="none" w:sz="0" w:space="0" w:color="auto"/>
            <w:right w:val="none" w:sz="0" w:space="0" w:color="auto"/>
          </w:divBdr>
        </w:div>
        <w:div w:id="54">
          <w:marLeft w:val="0"/>
          <w:marRight w:val="0"/>
          <w:marTop w:val="77"/>
          <w:marBottom w:val="0"/>
          <w:divBdr>
            <w:top w:val="none" w:sz="0" w:space="0" w:color="auto"/>
            <w:left w:val="none" w:sz="0" w:space="0" w:color="auto"/>
            <w:bottom w:val="none" w:sz="0" w:space="0" w:color="auto"/>
            <w:right w:val="none" w:sz="0" w:space="0" w:color="auto"/>
          </w:divBdr>
        </w:div>
        <w:div w:id="73">
          <w:marLeft w:val="0"/>
          <w:marRight w:val="0"/>
          <w:marTop w:val="77"/>
          <w:marBottom w:val="0"/>
          <w:divBdr>
            <w:top w:val="none" w:sz="0" w:space="0" w:color="auto"/>
            <w:left w:val="none" w:sz="0" w:space="0" w:color="auto"/>
            <w:bottom w:val="none" w:sz="0" w:space="0" w:color="auto"/>
            <w:right w:val="none" w:sz="0" w:space="0" w:color="auto"/>
          </w:divBdr>
        </w:div>
        <w:div w:id="77">
          <w:marLeft w:val="0"/>
          <w:marRight w:val="0"/>
          <w:marTop w:val="77"/>
          <w:marBottom w:val="0"/>
          <w:divBdr>
            <w:top w:val="none" w:sz="0" w:space="0" w:color="auto"/>
            <w:left w:val="none" w:sz="0" w:space="0" w:color="auto"/>
            <w:bottom w:val="none" w:sz="0" w:space="0" w:color="auto"/>
            <w:right w:val="none" w:sz="0" w:space="0" w:color="auto"/>
          </w:divBdr>
        </w:div>
        <w:div w:id="78">
          <w:marLeft w:val="0"/>
          <w:marRight w:val="0"/>
          <w:marTop w:val="77"/>
          <w:marBottom w:val="0"/>
          <w:divBdr>
            <w:top w:val="none" w:sz="0" w:space="0" w:color="auto"/>
            <w:left w:val="none" w:sz="0" w:space="0" w:color="auto"/>
            <w:bottom w:val="none" w:sz="0" w:space="0" w:color="auto"/>
            <w:right w:val="none" w:sz="0" w:space="0" w:color="auto"/>
          </w:divBdr>
        </w:div>
        <w:div w:id="83">
          <w:marLeft w:val="0"/>
          <w:marRight w:val="0"/>
          <w:marTop w:val="77"/>
          <w:marBottom w:val="0"/>
          <w:divBdr>
            <w:top w:val="none" w:sz="0" w:space="0" w:color="auto"/>
            <w:left w:val="none" w:sz="0" w:space="0" w:color="auto"/>
            <w:bottom w:val="none" w:sz="0" w:space="0" w:color="auto"/>
            <w:right w:val="none" w:sz="0" w:space="0" w:color="auto"/>
          </w:divBdr>
        </w:div>
        <w:div w:id="85">
          <w:marLeft w:val="0"/>
          <w:marRight w:val="0"/>
          <w:marTop w:val="77"/>
          <w:marBottom w:val="0"/>
          <w:divBdr>
            <w:top w:val="none" w:sz="0" w:space="0" w:color="auto"/>
            <w:left w:val="none" w:sz="0" w:space="0" w:color="auto"/>
            <w:bottom w:val="none" w:sz="0" w:space="0" w:color="auto"/>
            <w:right w:val="none" w:sz="0" w:space="0" w:color="auto"/>
          </w:divBdr>
        </w:div>
        <w:div w:id="107">
          <w:marLeft w:val="0"/>
          <w:marRight w:val="0"/>
          <w:marTop w:val="77"/>
          <w:marBottom w:val="0"/>
          <w:divBdr>
            <w:top w:val="none" w:sz="0" w:space="0" w:color="auto"/>
            <w:left w:val="none" w:sz="0" w:space="0" w:color="auto"/>
            <w:bottom w:val="none" w:sz="0" w:space="0" w:color="auto"/>
            <w:right w:val="none" w:sz="0" w:space="0" w:color="auto"/>
          </w:divBdr>
        </w:div>
        <w:div w:id="112">
          <w:marLeft w:val="0"/>
          <w:marRight w:val="0"/>
          <w:marTop w:val="77"/>
          <w:marBottom w:val="0"/>
          <w:divBdr>
            <w:top w:val="none" w:sz="0" w:space="0" w:color="auto"/>
            <w:left w:val="none" w:sz="0" w:space="0" w:color="auto"/>
            <w:bottom w:val="none" w:sz="0" w:space="0" w:color="auto"/>
            <w:right w:val="none" w:sz="0" w:space="0" w:color="auto"/>
          </w:divBdr>
        </w:div>
        <w:div w:id="123">
          <w:marLeft w:val="0"/>
          <w:marRight w:val="0"/>
          <w:marTop w:val="77"/>
          <w:marBottom w:val="0"/>
          <w:divBdr>
            <w:top w:val="none" w:sz="0" w:space="0" w:color="auto"/>
            <w:left w:val="none" w:sz="0" w:space="0" w:color="auto"/>
            <w:bottom w:val="none" w:sz="0" w:space="0" w:color="auto"/>
            <w:right w:val="none" w:sz="0" w:space="0" w:color="auto"/>
          </w:divBdr>
        </w:div>
      </w:divsChild>
    </w:div>
    <w:div w:id="66">
      <w:marLeft w:val="0"/>
      <w:marRight w:val="0"/>
      <w:marTop w:val="0"/>
      <w:marBottom w:val="0"/>
      <w:divBdr>
        <w:top w:val="none" w:sz="0" w:space="0" w:color="auto"/>
        <w:left w:val="none" w:sz="0" w:space="0" w:color="auto"/>
        <w:bottom w:val="none" w:sz="0" w:space="0" w:color="auto"/>
        <w:right w:val="none" w:sz="0" w:space="0" w:color="auto"/>
      </w:divBdr>
      <w:divsChild>
        <w:div w:id="43">
          <w:marLeft w:val="547"/>
          <w:marRight w:val="0"/>
          <w:marTop w:val="134"/>
          <w:marBottom w:val="0"/>
          <w:divBdr>
            <w:top w:val="none" w:sz="0" w:space="0" w:color="auto"/>
            <w:left w:val="none" w:sz="0" w:space="0" w:color="auto"/>
            <w:bottom w:val="none" w:sz="0" w:space="0" w:color="auto"/>
            <w:right w:val="none" w:sz="0" w:space="0" w:color="auto"/>
          </w:divBdr>
        </w:div>
        <w:div w:id="74">
          <w:marLeft w:val="547"/>
          <w:marRight w:val="0"/>
          <w:marTop w:val="134"/>
          <w:marBottom w:val="0"/>
          <w:divBdr>
            <w:top w:val="none" w:sz="0" w:space="0" w:color="auto"/>
            <w:left w:val="none" w:sz="0" w:space="0" w:color="auto"/>
            <w:bottom w:val="none" w:sz="0" w:space="0" w:color="auto"/>
            <w:right w:val="none" w:sz="0" w:space="0" w:color="auto"/>
          </w:divBdr>
        </w:div>
      </w:divsChild>
    </w:div>
    <w:div w:id="70">
      <w:marLeft w:val="0"/>
      <w:marRight w:val="0"/>
      <w:marTop w:val="0"/>
      <w:marBottom w:val="0"/>
      <w:divBdr>
        <w:top w:val="none" w:sz="0" w:space="0" w:color="auto"/>
        <w:left w:val="none" w:sz="0" w:space="0" w:color="auto"/>
        <w:bottom w:val="none" w:sz="0" w:space="0" w:color="auto"/>
        <w:right w:val="none" w:sz="0" w:space="0" w:color="auto"/>
      </w:divBdr>
      <w:divsChild>
        <w:div w:id="11">
          <w:marLeft w:val="1166"/>
          <w:marRight w:val="0"/>
          <w:marTop w:val="96"/>
          <w:marBottom w:val="0"/>
          <w:divBdr>
            <w:top w:val="none" w:sz="0" w:space="0" w:color="auto"/>
            <w:left w:val="none" w:sz="0" w:space="0" w:color="auto"/>
            <w:bottom w:val="none" w:sz="0" w:space="0" w:color="auto"/>
            <w:right w:val="none" w:sz="0" w:space="0" w:color="auto"/>
          </w:divBdr>
        </w:div>
        <w:div w:id="12">
          <w:marLeft w:val="1166"/>
          <w:marRight w:val="0"/>
          <w:marTop w:val="96"/>
          <w:marBottom w:val="0"/>
          <w:divBdr>
            <w:top w:val="none" w:sz="0" w:space="0" w:color="auto"/>
            <w:left w:val="none" w:sz="0" w:space="0" w:color="auto"/>
            <w:bottom w:val="none" w:sz="0" w:space="0" w:color="auto"/>
            <w:right w:val="none" w:sz="0" w:space="0" w:color="auto"/>
          </w:divBdr>
        </w:div>
        <w:div w:id="62">
          <w:marLeft w:val="1166"/>
          <w:marRight w:val="0"/>
          <w:marTop w:val="96"/>
          <w:marBottom w:val="0"/>
          <w:divBdr>
            <w:top w:val="none" w:sz="0" w:space="0" w:color="auto"/>
            <w:left w:val="none" w:sz="0" w:space="0" w:color="auto"/>
            <w:bottom w:val="none" w:sz="0" w:space="0" w:color="auto"/>
            <w:right w:val="none" w:sz="0" w:space="0" w:color="auto"/>
          </w:divBdr>
        </w:div>
        <w:div w:id="63">
          <w:marLeft w:val="1166"/>
          <w:marRight w:val="0"/>
          <w:marTop w:val="96"/>
          <w:marBottom w:val="0"/>
          <w:divBdr>
            <w:top w:val="none" w:sz="0" w:space="0" w:color="auto"/>
            <w:left w:val="none" w:sz="0" w:space="0" w:color="auto"/>
            <w:bottom w:val="none" w:sz="0" w:space="0" w:color="auto"/>
            <w:right w:val="none" w:sz="0" w:space="0" w:color="auto"/>
          </w:divBdr>
        </w:div>
        <w:div w:id="64">
          <w:marLeft w:val="1166"/>
          <w:marRight w:val="0"/>
          <w:marTop w:val="96"/>
          <w:marBottom w:val="0"/>
          <w:divBdr>
            <w:top w:val="none" w:sz="0" w:space="0" w:color="auto"/>
            <w:left w:val="none" w:sz="0" w:space="0" w:color="auto"/>
            <w:bottom w:val="none" w:sz="0" w:space="0" w:color="auto"/>
            <w:right w:val="none" w:sz="0" w:space="0" w:color="auto"/>
          </w:divBdr>
        </w:div>
        <w:div w:id="68">
          <w:marLeft w:val="1166"/>
          <w:marRight w:val="0"/>
          <w:marTop w:val="96"/>
          <w:marBottom w:val="0"/>
          <w:divBdr>
            <w:top w:val="none" w:sz="0" w:space="0" w:color="auto"/>
            <w:left w:val="none" w:sz="0" w:space="0" w:color="auto"/>
            <w:bottom w:val="none" w:sz="0" w:space="0" w:color="auto"/>
            <w:right w:val="none" w:sz="0" w:space="0" w:color="auto"/>
          </w:divBdr>
        </w:div>
        <w:div w:id="71">
          <w:marLeft w:val="1166"/>
          <w:marRight w:val="0"/>
          <w:marTop w:val="96"/>
          <w:marBottom w:val="0"/>
          <w:divBdr>
            <w:top w:val="none" w:sz="0" w:space="0" w:color="auto"/>
            <w:left w:val="none" w:sz="0" w:space="0" w:color="auto"/>
            <w:bottom w:val="none" w:sz="0" w:space="0" w:color="auto"/>
            <w:right w:val="none" w:sz="0" w:space="0" w:color="auto"/>
          </w:divBdr>
        </w:div>
        <w:div w:id="80">
          <w:marLeft w:val="547"/>
          <w:marRight w:val="0"/>
          <w:marTop w:val="96"/>
          <w:marBottom w:val="0"/>
          <w:divBdr>
            <w:top w:val="none" w:sz="0" w:space="0" w:color="auto"/>
            <w:left w:val="none" w:sz="0" w:space="0" w:color="auto"/>
            <w:bottom w:val="none" w:sz="0" w:space="0" w:color="auto"/>
            <w:right w:val="none" w:sz="0" w:space="0" w:color="auto"/>
          </w:divBdr>
        </w:div>
        <w:div w:id="95">
          <w:marLeft w:val="547"/>
          <w:marRight w:val="0"/>
          <w:marTop w:val="96"/>
          <w:marBottom w:val="0"/>
          <w:divBdr>
            <w:top w:val="none" w:sz="0" w:space="0" w:color="auto"/>
            <w:left w:val="none" w:sz="0" w:space="0" w:color="auto"/>
            <w:bottom w:val="none" w:sz="0" w:space="0" w:color="auto"/>
            <w:right w:val="none" w:sz="0" w:space="0" w:color="auto"/>
          </w:divBdr>
        </w:div>
        <w:div w:id="104">
          <w:marLeft w:val="1166"/>
          <w:marRight w:val="0"/>
          <w:marTop w:val="96"/>
          <w:marBottom w:val="0"/>
          <w:divBdr>
            <w:top w:val="none" w:sz="0" w:space="0" w:color="auto"/>
            <w:left w:val="none" w:sz="0" w:space="0" w:color="auto"/>
            <w:bottom w:val="none" w:sz="0" w:space="0" w:color="auto"/>
            <w:right w:val="none" w:sz="0" w:space="0" w:color="auto"/>
          </w:divBdr>
        </w:div>
        <w:div w:id="106">
          <w:marLeft w:val="1166"/>
          <w:marRight w:val="0"/>
          <w:marTop w:val="96"/>
          <w:marBottom w:val="0"/>
          <w:divBdr>
            <w:top w:val="none" w:sz="0" w:space="0" w:color="auto"/>
            <w:left w:val="none" w:sz="0" w:space="0" w:color="auto"/>
            <w:bottom w:val="none" w:sz="0" w:space="0" w:color="auto"/>
            <w:right w:val="none" w:sz="0" w:space="0" w:color="auto"/>
          </w:divBdr>
        </w:div>
        <w:div w:id="111">
          <w:marLeft w:val="1166"/>
          <w:marRight w:val="0"/>
          <w:marTop w:val="96"/>
          <w:marBottom w:val="0"/>
          <w:divBdr>
            <w:top w:val="none" w:sz="0" w:space="0" w:color="auto"/>
            <w:left w:val="none" w:sz="0" w:space="0" w:color="auto"/>
            <w:bottom w:val="none" w:sz="0" w:space="0" w:color="auto"/>
            <w:right w:val="none" w:sz="0" w:space="0" w:color="auto"/>
          </w:divBdr>
        </w:div>
        <w:div w:id="122">
          <w:marLeft w:val="1166"/>
          <w:marRight w:val="0"/>
          <w:marTop w:val="96"/>
          <w:marBottom w:val="0"/>
          <w:divBdr>
            <w:top w:val="none" w:sz="0" w:space="0" w:color="auto"/>
            <w:left w:val="none" w:sz="0" w:space="0" w:color="auto"/>
            <w:bottom w:val="none" w:sz="0" w:space="0" w:color="auto"/>
            <w:right w:val="none" w:sz="0" w:space="0" w:color="auto"/>
          </w:divBdr>
        </w:div>
      </w:divsChild>
    </w:div>
    <w:div w:id="92">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96"/>
          <w:marBottom w:val="0"/>
          <w:divBdr>
            <w:top w:val="none" w:sz="0" w:space="0" w:color="auto"/>
            <w:left w:val="none" w:sz="0" w:space="0" w:color="auto"/>
            <w:bottom w:val="none" w:sz="0" w:space="0" w:color="auto"/>
            <w:right w:val="none" w:sz="0" w:space="0" w:color="auto"/>
          </w:divBdr>
        </w:div>
        <w:div w:id="26">
          <w:marLeft w:val="0"/>
          <w:marRight w:val="0"/>
          <w:marTop w:val="96"/>
          <w:marBottom w:val="0"/>
          <w:divBdr>
            <w:top w:val="none" w:sz="0" w:space="0" w:color="auto"/>
            <w:left w:val="none" w:sz="0" w:space="0" w:color="auto"/>
            <w:bottom w:val="none" w:sz="0" w:space="0" w:color="auto"/>
            <w:right w:val="none" w:sz="0" w:space="0" w:color="auto"/>
          </w:divBdr>
        </w:div>
        <w:div w:id="27">
          <w:marLeft w:val="0"/>
          <w:marRight w:val="0"/>
          <w:marTop w:val="96"/>
          <w:marBottom w:val="0"/>
          <w:divBdr>
            <w:top w:val="none" w:sz="0" w:space="0" w:color="auto"/>
            <w:left w:val="none" w:sz="0" w:space="0" w:color="auto"/>
            <w:bottom w:val="none" w:sz="0" w:space="0" w:color="auto"/>
            <w:right w:val="none" w:sz="0" w:space="0" w:color="auto"/>
          </w:divBdr>
        </w:div>
        <w:div w:id="46">
          <w:marLeft w:val="0"/>
          <w:marRight w:val="0"/>
          <w:marTop w:val="96"/>
          <w:marBottom w:val="0"/>
          <w:divBdr>
            <w:top w:val="none" w:sz="0" w:space="0" w:color="auto"/>
            <w:left w:val="none" w:sz="0" w:space="0" w:color="auto"/>
            <w:bottom w:val="none" w:sz="0" w:space="0" w:color="auto"/>
            <w:right w:val="none" w:sz="0" w:space="0" w:color="auto"/>
          </w:divBdr>
        </w:div>
        <w:div w:id="58">
          <w:marLeft w:val="0"/>
          <w:marRight w:val="0"/>
          <w:marTop w:val="96"/>
          <w:marBottom w:val="0"/>
          <w:divBdr>
            <w:top w:val="none" w:sz="0" w:space="0" w:color="auto"/>
            <w:left w:val="none" w:sz="0" w:space="0" w:color="auto"/>
            <w:bottom w:val="none" w:sz="0" w:space="0" w:color="auto"/>
            <w:right w:val="none" w:sz="0" w:space="0" w:color="auto"/>
          </w:divBdr>
        </w:div>
        <w:div w:id="67">
          <w:marLeft w:val="0"/>
          <w:marRight w:val="0"/>
          <w:marTop w:val="96"/>
          <w:marBottom w:val="0"/>
          <w:divBdr>
            <w:top w:val="none" w:sz="0" w:space="0" w:color="auto"/>
            <w:left w:val="none" w:sz="0" w:space="0" w:color="auto"/>
            <w:bottom w:val="none" w:sz="0" w:space="0" w:color="auto"/>
            <w:right w:val="none" w:sz="0" w:space="0" w:color="auto"/>
          </w:divBdr>
        </w:div>
        <w:div w:id="89">
          <w:marLeft w:val="0"/>
          <w:marRight w:val="0"/>
          <w:marTop w:val="96"/>
          <w:marBottom w:val="0"/>
          <w:divBdr>
            <w:top w:val="none" w:sz="0" w:space="0" w:color="auto"/>
            <w:left w:val="none" w:sz="0" w:space="0" w:color="auto"/>
            <w:bottom w:val="none" w:sz="0" w:space="0" w:color="auto"/>
            <w:right w:val="none" w:sz="0" w:space="0" w:color="auto"/>
          </w:divBdr>
        </w:div>
        <w:div w:id="90">
          <w:marLeft w:val="0"/>
          <w:marRight w:val="0"/>
          <w:marTop w:val="96"/>
          <w:marBottom w:val="0"/>
          <w:divBdr>
            <w:top w:val="none" w:sz="0" w:space="0" w:color="auto"/>
            <w:left w:val="none" w:sz="0" w:space="0" w:color="auto"/>
            <w:bottom w:val="none" w:sz="0" w:space="0" w:color="auto"/>
            <w:right w:val="none" w:sz="0" w:space="0" w:color="auto"/>
          </w:divBdr>
        </w:div>
        <w:div w:id="102">
          <w:marLeft w:val="0"/>
          <w:marRight w:val="0"/>
          <w:marTop w:val="96"/>
          <w:marBottom w:val="0"/>
          <w:divBdr>
            <w:top w:val="none" w:sz="0" w:space="0" w:color="auto"/>
            <w:left w:val="none" w:sz="0" w:space="0" w:color="auto"/>
            <w:bottom w:val="none" w:sz="0" w:space="0" w:color="auto"/>
            <w:right w:val="none" w:sz="0" w:space="0" w:color="auto"/>
          </w:divBdr>
        </w:div>
        <w:div w:id="115">
          <w:marLeft w:val="0"/>
          <w:marRight w:val="0"/>
          <w:marTop w:val="96"/>
          <w:marBottom w:val="0"/>
          <w:divBdr>
            <w:top w:val="none" w:sz="0" w:space="0" w:color="auto"/>
            <w:left w:val="none" w:sz="0" w:space="0" w:color="auto"/>
            <w:bottom w:val="none" w:sz="0" w:space="0" w:color="auto"/>
            <w:right w:val="none" w:sz="0" w:space="0" w:color="auto"/>
          </w:divBdr>
        </w:div>
      </w:divsChild>
    </w:div>
    <w:div w:id="96">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1"/>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60">
                  <w:marLeft w:val="0"/>
                  <w:marRight w:val="1"/>
                  <w:marTop w:val="0"/>
                  <w:marBottom w:val="0"/>
                  <w:divBdr>
                    <w:top w:val="none" w:sz="0" w:space="0" w:color="auto"/>
                    <w:left w:val="none" w:sz="0" w:space="0" w:color="auto"/>
                    <w:bottom w:val="none" w:sz="0" w:space="0" w:color="auto"/>
                    <w:right w:val="none" w:sz="0" w:space="0" w:color="auto"/>
                  </w:divBdr>
                  <w:divsChild>
                    <w:div w:id="41">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120"/>
                              <w:marBottom w:val="360"/>
                              <w:divBdr>
                                <w:top w:val="none" w:sz="0" w:space="0" w:color="auto"/>
                                <w:left w:val="none" w:sz="0" w:space="0" w:color="auto"/>
                                <w:bottom w:val="none" w:sz="0" w:space="0" w:color="auto"/>
                                <w:right w:val="none" w:sz="0" w:space="0" w:color="auto"/>
                              </w:divBdr>
                              <w:divsChild>
                                <w:div w:id="105">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
      <w:marLeft w:val="0"/>
      <w:marRight w:val="0"/>
      <w:marTop w:val="0"/>
      <w:marBottom w:val="0"/>
      <w:divBdr>
        <w:top w:val="none" w:sz="0" w:space="0" w:color="auto"/>
        <w:left w:val="none" w:sz="0" w:space="0" w:color="auto"/>
        <w:bottom w:val="none" w:sz="0" w:space="0" w:color="auto"/>
        <w:right w:val="none" w:sz="0" w:space="0" w:color="auto"/>
      </w:divBdr>
    </w:div>
    <w:div w:id="120">
      <w:marLeft w:val="0"/>
      <w:marRight w:val="0"/>
      <w:marTop w:val="0"/>
      <w:marBottom w:val="0"/>
      <w:divBdr>
        <w:top w:val="none" w:sz="0" w:space="0" w:color="auto"/>
        <w:left w:val="none" w:sz="0" w:space="0" w:color="auto"/>
        <w:bottom w:val="none" w:sz="0" w:space="0" w:color="auto"/>
        <w:right w:val="none" w:sz="0" w:space="0" w:color="auto"/>
      </w:divBdr>
      <w:divsChild>
        <w:div w:id="6">
          <w:marLeft w:val="1166"/>
          <w:marRight w:val="0"/>
          <w:marTop w:val="115"/>
          <w:marBottom w:val="0"/>
          <w:divBdr>
            <w:top w:val="none" w:sz="0" w:space="0" w:color="auto"/>
            <w:left w:val="none" w:sz="0" w:space="0" w:color="auto"/>
            <w:bottom w:val="none" w:sz="0" w:space="0" w:color="auto"/>
            <w:right w:val="none" w:sz="0" w:space="0" w:color="auto"/>
          </w:divBdr>
        </w:div>
        <w:div w:id="28">
          <w:marLeft w:val="1166"/>
          <w:marRight w:val="0"/>
          <w:marTop w:val="96"/>
          <w:marBottom w:val="0"/>
          <w:divBdr>
            <w:top w:val="none" w:sz="0" w:space="0" w:color="auto"/>
            <w:left w:val="none" w:sz="0" w:space="0" w:color="auto"/>
            <w:bottom w:val="none" w:sz="0" w:space="0" w:color="auto"/>
            <w:right w:val="none" w:sz="0" w:space="0" w:color="auto"/>
          </w:divBdr>
        </w:div>
        <w:div w:id="55">
          <w:marLeft w:val="1166"/>
          <w:marRight w:val="0"/>
          <w:marTop w:val="96"/>
          <w:marBottom w:val="0"/>
          <w:divBdr>
            <w:top w:val="none" w:sz="0" w:space="0" w:color="auto"/>
            <w:left w:val="none" w:sz="0" w:space="0" w:color="auto"/>
            <w:bottom w:val="none" w:sz="0" w:space="0" w:color="auto"/>
            <w:right w:val="none" w:sz="0" w:space="0" w:color="auto"/>
          </w:divBdr>
        </w:div>
        <w:div w:id="101">
          <w:marLeft w:val="1166"/>
          <w:marRight w:val="0"/>
          <w:marTop w:val="115"/>
          <w:marBottom w:val="0"/>
          <w:divBdr>
            <w:top w:val="none" w:sz="0" w:space="0" w:color="auto"/>
            <w:left w:val="none" w:sz="0" w:space="0" w:color="auto"/>
            <w:bottom w:val="none" w:sz="0" w:space="0" w:color="auto"/>
            <w:right w:val="none" w:sz="0" w:space="0" w:color="auto"/>
          </w:divBdr>
        </w:div>
        <w:div w:id="113">
          <w:marLeft w:val="1166"/>
          <w:marRight w:val="0"/>
          <w:marTop w:val="96"/>
          <w:marBottom w:val="0"/>
          <w:divBdr>
            <w:top w:val="none" w:sz="0" w:space="0" w:color="auto"/>
            <w:left w:val="none" w:sz="0" w:space="0" w:color="auto"/>
            <w:bottom w:val="none" w:sz="0" w:space="0" w:color="auto"/>
            <w:right w:val="none" w:sz="0" w:space="0" w:color="auto"/>
          </w:divBdr>
        </w:div>
      </w:divsChild>
    </w:div>
    <w:div w:id="121">
      <w:marLeft w:val="0"/>
      <w:marRight w:val="0"/>
      <w:marTop w:val="0"/>
      <w:marBottom w:val="0"/>
      <w:divBdr>
        <w:top w:val="none" w:sz="0" w:space="0" w:color="auto"/>
        <w:left w:val="none" w:sz="0" w:space="0" w:color="auto"/>
        <w:bottom w:val="none" w:sz="0" w:space="0" w:color="auto"/>
        <w:right w:val="none" w:sz="0" w:space="0" w:color="auto"/>
      </w:divBdr>
    </w:div>
    <w:div w:id="266741203">
      <w:bodyDiv w:val="1"/>
      <w:marLeft w:val="0"/>
      <w:marRight w:val="0"/>
      <w:marTop w:val="0"/>
      <w:marBottom w:val="0"/>
      <w:divBdr>
        <w:top w:val="none" w:sz="0" w:space="0" w:color="auto"/>
        <w:left w:val="none" w:sz="0" w:space="0" w:color="auto"/>
        <w:bottom w:val="none" w:sz="0" w:space="0" w:color="auto"/>
        <w:right w:val="none" w:sz="0" w:space="0" w:color="auto"/>
      </w:divBdr>
      <w:divsChild>
        <w:div w:id="271599270">
          <w:marLeft w:val="547"/>
          <w:marRight w:val="0"/>
          <w:marTop w:val="77"/>
          <w:marBottom w:val="0"/>
          <w:divBdr>
            <w:top w:val="none" w:sz="0" w:space="0" w:color="auto"/>
            <w:left w:val="none" w:sz="0" w:space="0" w:color="auto"/>
            <w:bottom w:val="none" w:sz="0" w:space="0" w:color="auto"/>
            <w:right w:val="none" w:sz="0" w:space="0" w:color="auto"/>
          </w:divBdr>
        </w:div>
        <w:div w:id="1840269739">
          <w:marLeft w:val="547"/>
          <w:marRight w:val="0"/>
          <w:marTop w:val="77"/>
          <w:marBottom w:val="0"/>
          <w:divBdr>
            <w:top w:val="none" w:sz="0" w:space="0" w:color="auto"/>
            <w:left w:val="none" w:sz="0" w:space="0" w:color="auto"/>
            <w:bottom w:val="none" w:sz="0" w:space="0" w:color="auto"/>
            <w:right w:val="none" w:sz="0" w:space="0" w:color="auto"/>
          </w:divBdr>
        </w:div>
        <w:div w:id="1866402738">
          <w:marLeft w:val="547"/>
          <w:marRight w:val="0"/>
          <w:marTop w:val="77"/>
          <w:marBottom w:val="0"/>
          <w:divBdr>
            <w:top w:val="none" w:sz="0" w:space="0" w:color="auto"/>
            <w:left w:val="none" w:sz="0" w:space="0" w:color="auto"/>
            <w:bottom w:val="none" w:sz="0" w:space="0" w:color="auto"/>
            <w:right w:val="none" w:sz="0" w:space="0" w:color="auto"/>
          </w:divBdr>
        </w:div>
        <w:div w:id="657615308">
          <w:marLeft w:val="547"/>
          <w:marRight w:val="0"/>
          <w:marTop w:val="77"/>
          <w:marBottom w:val="0"/>
          <w:divBdr>
            <w:top w:val="none" w:sz="0" w:space="0" w:color="auto"/>
            <w:left w:val="none" w:sz="0" w:space="0" w:color="auto"/>
            <w:bottom w:val="none" w:sz="0" w:space="0" w:color="auto"/>
            <w:right w:val="none" w:sz="0" w:space="0" w:color="auto"/>
          </w:divBdr>
        </w:div>
        <w:div w:id="1651862535">
          <w:marLeft w:val="547"/>
          <w:marRight w:val="0"/>
          <w:marTop w:val="77"/>
          <w:marBottom w:val="0"/>
          <w:divBdr>
            <w:top w:val="none" w:sz="0" w:space="0" w:color="auto"/>
            <w:left w:val="none" w:sz="0" w:space="0" w:color="auto"/>
            <w:bottom w:val="none" w:sz="0" w:space="0" w:color="auto"/>
            <w:right w:val="none" w:sz="0" w:space="0" w:color="auto"/>
          </w:divBdr>
        </w:div>
        <w:div w:id="2039769601">
          <w:marLeft w:val="547"/>
          <w:marRight w:val="0"/>
          <w:marTop w:val="77"/>
          <w:marBottom w:val="0"/>
          <w:divBdr>
            <w:top w:val="none" w:sz="0" w:space="0" w:color="auto"/>
            <w:left w:val="none" w:sz="0" w:space="0" w:color="auto"/>
            <w:bottom w:val="none" w:sz="0" w:space="0" w:color="auto"/>
            <w:right w:val="none" w:sz="0" w:space="0" w:color="auto"/>
          </w:divBdr>
        </w:div>
        <w:div w:id="1491601896">
          <w:marLeft w:val="547"/>
          <w:marRight w:val="0"/>
          <w:marTop w:val="77"/>
          <w:marBottom w:val="0"/>
          <w:divBdr>
            <w:top w:val="none" w:sz="0" w:space="0" w:color="auto"/>
            <w:left w:val="none" w:sz="0" w:space="0" w:color="auto"/>
            <w:bottom w:val="none" w:sz="0" w:space="0" w:color="auto"/>
            <w:right w:val="none" w:sz="0" w:space="0" w:color="auto"/>
          </w:divBdr>
        </w:div>
        <w:div w:id="2143963712">
          <w:marLeft w:val="547"/>
          <w:marRight w:val="0"/>
          <w:marTop w:val="77"/>
          <w:marBottom w:val="0"/>
          <w:divBdr>
            <w:top w:val="none" w:sz="0" w:space="0" w:color="auto"/>
            <w:left w:val="none" w:sz="0" w:space="0" w:color="auto"/>
            <w:bottom w:val="none" w:sz="0" w:space="0" w:color="auto"/>
            <w:right w:val="none" w:sz="0" w:space="0" w:color="auto"/>
          </w:divBdr>
        </w:div>
        <w:div w:id="1912614077">
          <w:marLeft w:val="547"/>
          <w:marRight w:val="0"/>
          <w:marTop w:val="77"/>
          <w:marBottom w:val="0"/>
          <w:divBdr>
            <w:top w:val="none" w:sz="0" w:space="0" w:color="auto"/>
            <w:left w:val="none" w:sz="0" w:space="0" w:color="auto"/>
            <w:bottom w:val="none" w:sz="0" w:space="0" w:color="auto"/>
            <w:right w:val="none" w:sz="0" w:space="0" w:color="auto"/>
          </w:divBdr>
        </w:div>
        <w:div w:id="6903893">
          <w:marLeft w:val="547"/>
          <w:marRight w:val="0"/>
          <w:marTop w:val="77"/>
          <w:marBottom w:val="0"/>
          <w:divBdr>
            <w:top w:val="none" w:sz="0" w:space="0" w:color="auto"/>
            <w:left w:val="none" w:sz="0" w:space="0" w:color="auto"/>
            <w:bottom w:val="none" w:sz="0" w:space="0" w:color="auto"/>
            <w:right w:val="none" w:sz="0" w:space="0" w:color="auto"/>
          </w:divBdr>
        </w:div>
        <w:div w:id="869219093">
          <w:marLeft w:val="547"/>
          <w:marRight w:val="0"/>
          <w:marTop w:val="77"/>
          <w:marBottom w:val="0"/>
          <w:divBdr>
            <w:top w:val="none" w:sz="0" w:space="0" w:color="auto"/>
            <w:left w:val="none" w:sz="0" w:space="0" w:color="auto"/>
            <w:bottom w:val="none" w:sz="0" w:space="0" w:color="auto"/>
            <w:right w:val="none" w:sz="0" w:space="0" w:color="auto"/>
          </w:divBdr>
        </w:div>
        <w:div w:id="1228759588">
          <w:marLeft w:val="547"/>
          <w:marRight w:val="0"/>
          <w:marTop w:val="77"/>
          <w:marBottom w:val="0"/>
          <w:divBdr>
            <w:top w:val="none" w:sz="0" w:space="0" w:color="auto"/>
            <w:left w:val="none" w:sz="0" w:space="0" w:color="auto"/>
            <w:bottom w:val="none" w:sz="0" w:space="0" w:color="auto"/>
            <w:right w:val="none" w:sz="0" w:space="0" w:color="auto"/>
          </w:divBdr>
        </w:div>
        <w:div w:id="1758096587">
          <w:marLeft w:val="547"/>
          <w:marRight w:val="0"/>
          <w:marTop w:val="77"/>
          <w:marBottom w:val="0"/>
          <w:divBdr>
            <w:top w:val="none" w:sz="0" w:space="0" w:color="auto"/>
            <w:left w:val="none" w:sz="0" w:space="0" w:color="auto"/>
            <w:bottom w:val="none" w:sz="0" w:space="0" w:color="auto"/>
            <w:right w:val="none" w:sz="0" w:space="0" w:color="auto"/>
          </w:divBdr>
        </w:div>
        <w:div w:id="1760059923">
          <w:marLeft w:val="547"/>
          <w:marRight w:val="0"/>
          <w:marTop w:val="77"/>
          <w:marBottom w:val="0"/>
          <w:divBdr>
            <w:top w:val="none" w:sz="0" w:space="0" w:color="auto"/>
            <w:left w:val="none" w:sz="0" w:space="0" w:color="auto"/>
            <w:bottom w:val="none" w:sz="0" w:space="0" w:color="auto"/>
            <w:right w:val="none" w:sz="0" w:space="0" w:color="auto"/>
          </w:divBdr>
        </w:div>
        <w:div w:id="644625624">
          <w:marLeft w:val="547"/>
          <w:marRight w:val="0"/>
          <w:marTop w:val="77"/>
          <w:marBottom w:val="0"/>
          <w:divBdr>
            <w:top w:val="none" w:sz="0" w:space="0" w:color="auto"/>
            <w:left w:val="none" w:sz="0" w:space="0" w:color="auto"/>
            <w:bottom w:val="none" w:sz="0" w:space="0" w:color="auto"/>
            <w:right w:val="none" w:sz="0" w:space="0" w:color="auto"/>
          </w:divBdr>
        </w:div>
        <w:div w:id="227614242">
          <w:marLeft w:val="547"/>
          <w:marRight w:val="0"/>
          <w:marTop w:val="77"/>
          <w:marBottom w:val="0"/>
          <w:divBdr>
            <w:top w:val="none" w:sz="0" w:space="0" w:color="auto"/>
            <w:left w:val="none" w:sz="0" w:space="0" w:color="auto"/>
            <w:bottom w:val="none" w:sz="0" w:space="0" w:color="auto"/>
            <w:right w:val="none" w:sz="0" w:space="0" w:color="auto"/>
          </w:divBdr>
        </w:div>
      </w:divsChild>
    </w:div>
    <w:div w:id="313335495">
      <w:bodyDiv w:val="1"/>
      <w:marLeft w:val="0"/>
      <w:marRight w:val="0"/>
      <w:marTop w:val="0"/>
      <w:marBottom w:val="0"/>
      <w:divBdr>
        <w:top w:val="none" w:sz="0" w:space="0" w:color="auto"/>
        <w:left w:val="none" w:sz="0" w:space="0" w:color="auto"/>
        <w:bottom w:val="none" w:sz="0" w:space="0" w:color="auto"/>
        <w:right w:val="none" w:sz="0" w:space="0" w:color="auto"/>
      </w:divBdr>
      <w:divsChild>
        <w:div w:id="725685618">
          <w:marLeft w:val="0"/>
          <w:marRight w:val="0"/>
          <w:marTop w:val="0"/>
          <w:marBottom w:val="0"/>
          <w:divBdr>
            <w:top w:val="none" w:sz="0" w:space="0" w:color="auto"/>
            <w:left w:val="none" w:sz="0" w:space="0" w:color="auto"/>
            <w:bottom w:val="none" w:sz="0" w:space="0" w:color="auto"/>
            <w:right w:val="none" w:sz="0" w:space="0" w:color="auto"/>
          </w:divBdr>
        </w:div>
        <w:div w:id="1356075703">
          <w:marLeft w:val="0"/>
          <w:marRight w:val="0"/>
          <w:marTop w:val="0"/>
          <w:marBottom w:val="0"/>
          <w:divBdr>
            <w:top w:val="none" w:sz="0" w:space="0" w:color="auto"/>
            <w:left w:val="none" w:sz="0" w:space="0" w:color="auto"/>
            <w:bottom w:val="none" w:sz="0" w:space="0" w:color="auto"/>
            <w:right w:val="none" w:sz="0" w:space="0" w:color="auto"/>
          </w:divBdr>
        </w:div>
        <w:div w:id="1372068211">
          <w:marLeft w:val="0"/>
          <w:marRight w:val="0"/>
          <w:marTop w:val="0"/>
          <w:marBottom w:val="0"/>
          <w:divBdr>
            <w:top w:val="none" w:sz="0" w:space="0" w:color="auto"/>
            <w:left w:val="none" w:sz="0" w:space="0" w:color="auto"/>
            <w:bottom w:val="none" w:sz="0" w:space="0" w:color="auto"/>
            <w:right w:val="none" w:sz="0" w:space="0" w:color="auto"/>
          </w:divBdr>
        </w:div>
        <w:div w:id="1507557333">
          <w:marLeft w:val="0"/>
          <w:marRight w:val="0"/>
          <w:marTop w:val="0"/>
          <w:marBottom w:val="0"/>
          <w:divBdr>
            <w:top w:val="none" w:sz="0" w:space="0" w:color="auto"/>
            <w:left w:val="none" w:sz="0" w:space="0" w:color="auto"/>
            <w:bottom w:val="none" w:sz="0" w:space="0" w:color="auto"/>
            <w:right w:val="none" w:sz="0" w:space="0" w:color="auto"/>
          </w:divBdr>
        </w:div>
        <w:div w:id="1662587247">
          <w:marLeft w:val="0"/>
          <w:marRight w:val="0"/>
          <w:marTop w:val="0"/>
          <w:marBottom w:val="0"/>
          <w:divBdr>
            <w:top w:val="none" w:sz="0" w:space="0" w:color="auto"/>
            <w:left w:val="none" w:sz="0" w:space="0" w:color="auto"/>
            <w:bottom w:val="none" w:sz="0" w:space="0" w:color="auto"/>
            <w:right w:val="none" w:sz="0" w:space="0" w:color="auto"/>
          </w:divBdr>
        </w:div>
        <w:div w:id="1969388940">
          <w:marLeft w:val="0"/>
          <w:marRight w:val="0"/>
          <w:marTop w:val="0"/>
          <w:marBottom w:val="0"/>
          <w:divBdr>
            <w:top w:val="none" w:sz="0" w:space="0" w:color="auto"/>
            <w:left w:val="none" w:sz="0" w:space="0" w:color="auto"/>
            <w:bottom w:val="none" w:sz="0" w:space="0" w:color="auto"/>
            <w:right w:val="none" w:sz="0" w:space="0" w:color="auto"/>
          </w:divBdr>
        </w:div>
        <w:div w:id="2116436982">
          <w:marLeft w:val="0"/>
          <w:marRight w:val="0"/>
          <w:marTop w:val="0"/>
          <w:marBottom w:val="0"/>
          <w:divBdr>
            <w:top w:val="none" w:sz="0" w:space="0" w:color="auto"/>
            <w:left w:val="none" w:sz="0" w:space="0" w:color="auto"/>
            <w:bottom w:val="none" w:sz="0" w:space="0" w:color="auto"/>
            <w:right w:val="none" w:sz="0" w:space="0" w:color="auto"/>
          </w:divBdr>
        </w:div>
      </w:divsChild>
    </w:div>
    <w:div w:id="345331060">
      <w:bodyDiv w:val="1"/>
      <w:marLeft w:val="0"/>
      <w:marRight w:val="0"/>
      <w:marTop w:val="0"/>
      <w:marBottom w:val="0"/>
      <w:divBdr>
        <w:top w:val="none" w:sz="0" w:space="0" w:color="auto"/>
        <w:left w:val="none" w:sz="0" w:space="0" w:color="auto"/>
        <w:bottom w:val="none" w:sz="0" w:space="0" w:color="auto"/>
        <w:right w:val="none" w:sz="0" w:space="0" w:color="auto"/>
      </w:divBdr>
    </w:div>
    <w:div w:id="382949417">
      <w:bodyDiv w:val="1"/>
      <w:marLeft w:val="0"/>
      <w:marRight w:val="0"/>
      <w:marTop w:val="0"/>
      <w:marBottom w:val="0"/>
      <w:divBdr>
        <w:top w:val="none" w:sz="0" w:space="0" w:color="auto"/>
        <w:left w:val="none" w:sz="0" w:space="0" w:color="auto"/>
        <w:bottom w:val="none" w:sz="0" w:space="0" w:color="auto"/>
        <w:right w:val="none" w:sz="0" w:space="0" w:color="auto"/>
      </w:divBdr>
      <w:divsChild>
        <w:div w:id="2059742645">
          <w:marLeft w:val="0"/>
          <w:marRight w:val="0"/>
          <w:marTop w:val="400"/>
          <w:marBottom w:val="400"/>
          <w:divBdr>
            <w:top w:val="single" w:sz="6" w:space="20" w:color="EAC3AF"/>
            <w:left w:val="single" w:sz="6" w:space="20" w:color="EAC3AF"/>
            <w:bottom w:val="single" w:sz="6" w:space="20" w:color="EAC3AF"/>
            <w:right w:val="single" w:sz="6" w:space="20" w:color="EAC3AF"/>
          </w:divBdr>
          <w:divsChild>
            <w:div w:id="1930772839">
              <w:marLeft w:val="0"/>
              <w:marRight w:val="0"/>
              <w:marTop w:val="200"/>
              <w:marBottom w:val="200"/>
              <w:divBdr>
                <w:top w:val="none" w:sz="0" w:space="0" w:color="auto"/>
                <w:left w:val="none" w:sz="0" w:space="0" w:color="auto"/>
                <w:bottom w:val="none" w:sz="0" w:space="0" w:color="auto"/>
                <w:right w:val="none" w:sz="0" w:space="0" w:color="auto"/>
              </w:divBdr>
            </w:div>
            <w:div w:id="443576721">
              <w:marLeft w:val="0"/>
              <w:marRight w:val="0"/>
              <w:marTop w:val="0"/>
              <w:marBottom w:val="0"/>
              <w:divBdr>
                <w:top w:val="none" w:sz="0" w:space="0" w:color="auto"/>
                <w:left w:val="none" w:sz="0" w:space="0" w:color="auto"/>
                <w:bottom w:val="none" w:sz="0" w:space="0" w:color="auto"/>
                <w:right w:val="none" w:sz="0" w:space="0" w:color="auto"/>
              </w:divBdr>
              <w:divsChild>
                <w:div w:id="1106778884">
                  <w:marLeft w:val="0"/>
                  <w:marRight w:val="0"/>
                  <w:marTop w:val="0"/>
                  <w:marBottom w:val="0"/>
                  <w:divBdr>
                    <w:top w:val="none" w:sz="0" w:space="0" w:color="auto"/>
                    <w:left w:val="none" w:sz="0" w:space="0" w:color="auto"/>
                    <w:bottom w:val="none" w:sz="0" w:space="0" w:color="auto"/>
                    <w:right w:val="none" w:sz="0" w:space="0" w:color="auto"/>
                  </w:divBdr>
                </w:div>
                <w:div w:id="1869633612">
                  <w:marLeft w:val="0"/>
                  <w:marRight w:val="0"/>
                  <w:marTop w:val="0"/>
                  <w:marBottom w:val="0"/>
                  <w:divBdr>
                    <w:top w:val="none" w:sz="0" w:space="0" w:color="auto"/>
                    <w:left w:val="none" w:sz="0" w:space="0" w:color="auto"/>
                    <w:bottom w:val="none" w:sz="0" w:space="0" w:color="auto"/>
                    <w:right w:val="none" w:sz="0" w:space="0" w:color="auto"/>
                  </w:divBdr>
                </w:div>
                <w:div w:id="1856193586">
                  <w:marLeft w:val="0"/>
                  <w:marRight w:val="0"/>
                  <w:marTop w:val="0"/>
                  <w:marBottom w:val="0"/>
                  <w:divBdr>
                    <w:top w:val="none" w:sz="0" w:space="0" w:color="auto"/>
                    <w:left w:val="none" w:sz="0" w:space="0" w:color="auto"/>
                    <w:bottom w:val="none" w:sz="0" w:space="0" w:color="auto"/>
                    <w:right w:val="none" w:sz="0" w:space="0" w:color="auto"/>
                  </w:divBdr>
                </w:div>
                <w:div w:id="107728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601496">
      <w:bodyDiv w:val="1"/>
      <w:marLeft w:val="0"/>
      <w:marRight w:val="0"/>
      <w:marTop w:val="0"/>
      <w:marBottom w:val="0"/>
      <w:divBdr>
        <w:top w:val="none" w:sz="0" w:space="0" w:color="auto"/>
        <w:left w:val="none" w:sz="0" w:space="0" w:color="auto"/>
        <w:bottom w:val="none" w:sz="0" w:space="0" w:color="auto"/>
        <w:right w:val="none" w:sz="0" w:space="0" w:color="auto"/>
      </w:divBdr>
    </w:div>
    <w:div w:id="748038979">
      <w:bodyDiv w:val="1"/>
      <w:marLeft w:val="0"/>
      <w:marRight w:val="0"/>
      <w:marTop w:val="0"/>
      <w:marBottom w:val="0"/>
      <w:divBdr>
        <w:top w:val="none" w:sz="0" w:space="0" w:color="auto"/>
        <w:left w:val="none" w:sz="0" w:space="0" w:color="auto"/>
        <w:bottom w:val="none" w:sz="0" w:space="0" w:color="auto"/>
        <w:right w:val="none" w:sz="0" w:space="0" w:color="auto"/>
      </w:divBdr>
    </w:div>
    <w:div w:id="751511302">
      <w:bodyDiv w:val="1"/>
      <w:marLeft w:val="0"/>
      <w:marRight w:val="0"/>
      <w:marTop w:val="0"/>
      <w:marBottom w:val="0"/>
      <w:divBdr>
        <w:top w:val="none" w:sz="0" w:space="0" w:color="auto"/>
        <w:left w:val="none" w:sz="0" w:space="0" w:color="auto"/>
        <w:bottom w:val="none" w:sz="0" w:space="0" w:color="auto"/>
        <w:right w:val="none" w:sz="0" w:space="0" w:color="auto"/>
      </w:divBdr>
      <w:divsChild>
        <w:div w:id="1360742509">
          <w:marLeft w:val="0"/>
          <w:marRight w:val="0"/>
          <w:marTop w:val="400"/>
          <w:marBottom w:val="400"/>
          <w:divBdr>
            <w:top w:val="single" w:sz="6" w:space="20" w:color="EAC3AF"/>
            <w:left w:val="single" w:sz="6" w:space="20" w:color="EAC3AF"/>
            <w:bottom w:val="single" w:sz="6" w:space="20" w:color="EAC3AF"/>
            <w:right w:val="single" w:sz="6" w:space="20" w:color="EAC3AF"/>
          </w:divBdr>
          <w:divsChild>
            <w:div w:id="1078747068">
              <w:marLeft w:val="0"/>
              <w:marRight w:val="0"/>
              <w:marTop w:val="200"/>
              <w:marBottom w:val="200"/>
              <w:divBdr>
                <w:top w:val="none" w:sz="0" w:space="0" w:color="auto"/>
                <w:left w:val="none" w:sz="0" w:space="0" w:color="auto"/>
                <w:bottom w:val="none" w:sz="0" w:space="0" w:color="auto"/>
                <w:right w:val="none" w:sz="0" w:space="0" w:color="auto"/>
              </w:divBdr>
            </w:div>
            <w:div w:id="1066495577">
              <w:marLeft w:val="0"/>
              <w:marRight w:val="0"/>
              <w:marTop w:val="0"/>
              <w:marBottom w:val="0"/>
              <w:divBdr>
                <w:top w:val="none" w:sz="0" w:space="0" w:color="auto"/>
                <w:left w:val="none" w:sz="0" w:space="0" w:color="auto"/>
                <w:bottom w:val="none" w:sz="0" w:space="0" w:color="auto"/>
                <w:right w:val="none" w:sz="0" w:space="0" w:color="auto"/>
              </w:divBdr>
              <w:divsChild>
                <w:div w:id="1398481424">
                  <w:marLeft w:val="0"/>
                  <w:marRight w:val="0"/>
                  <w:marTop w:val="0"/>
                  <w:marBottom w:val="0"/>
                  <w:divBdr>
                    <w:top w:val="none" w:sz="0" w:space="0" w:color="auto"/>
                    <w:left w:val="none" w:sz="0" w:space="0" w:color="auto"/>
                    <w:bottom w:val="none" w:sz="0" w:space="0" w:color="auto"/>
                    <w:right w:val="none" w:sz="0" w:space="0" w:color="auto"/>
                  </w:divBdr>
                </w:div>
                <w:div w:id="1602109937">
                  <w:marLeft w:val="0"/>
                  <w:marRight w:val="0"/>
                  <w:marTop w:val="0"/>
                  <w:marBottom w:val="0"/>
                  <w:divBdr>
                    <w:top w:val="none" w:sz="0" w:space="0" w:color="auto"/>
                    <w:left w:val="none" w:sz="0" w:space="0" w:color="auto"/>
                    <w:bottom w:val="none" w:sz="0" w:space="0" w:color="auto"/>
                    <w:right w:val="none" w:sz="0" w:space="0" w:color="auto"/>
                  </w:divBdr>
                </w:div>
                <w:div w:id="1248659732">
                  <w:marLeft w:val="0"/>
                  <w:marRight w:val="0"/>
                  <w:marTop w:val="0"/>
                  <w:marBottom w:val="0"/>
                  <w:divBdr>
                    <w:top w:val="none" w:sz="0" w:space="0" w:color="auto"/>
                    <w:left w:val="none" w:sz="0" w:space="0" w:color="auto"/>
                    <w:bottom w:val="none" w:sz="0" w:space="0" w:color="auto"/>
                    <w:right w:val="none" w:sz="0" w:space="0" w:color="auto"/>
                  </w:divBdr>
                </w:div>
                <w:div w:id="1188328025">
                  <w:marLeft w:val="0"/>
                  <w:marRight w:val="0"/>
                  <w:marTop w:val="0"/>
                  <w:marBottom w:val="0"/>
                  <w:divBdr>
                    <w:top w:val="none" w:sz="0" w:space="0" w:color="auto"/>
                    <w:left w:val="none" w:sz="0" w:space="0" w:color="auto"/>
                    <w:bottom w:val="none" w:sz="0" w:space="0" w:color="auto"/>
                    <w:right w:val="none" w:sz="0" w:space="0" w:color="auto"/>
                  </w:divBdr>
                </w:div>
                <w:div w:id="1610431532">
                  <w:marLeft w:val="0"/>
                  <w:marRight w:val="0"/>
                  <w:marTop w:val="0"/>
                  <w:marBottom w:val="0"/>
                  <w:divBdr>
                    <w:top w:val="none" w:sz="0" w:space="0" w:color="auto"/>
                    <w:left w:val="none" w:sz="0" w:space="0" w:color="auto"/>
                    <w:bottom w:val="none" w:sz="0" w:space="0" w:color="auto"/>
                    <w:right w:val="none" w:sz="0" w:space="0" w:color="auto"/>
                  </w:divBdr>
                </w:div>
                <w:div w:id="2093236775">
                  <w:marLeft w:val="0"/>
                  <w:marRight w:val="0"/>
                  <w:marTop w:val="0"/>
                  <w:marBottom w:val="0"/>
                  <w:divBdr>
                    <w:top w:val="none" w:sz="0" w:space="0" w:color="auto"/>
                    <w:left w:val="none" w:sz="0" w:space="0" w:color="auto"/>
                    <w:bottom w:val="none" w:sz="0" w:space="0" w:color="auto"/>
                    <w:right w:val="none" w:sz="0" w:space="0" w:color="auto"/>
                  </w:divBdr>
                </w:div>
                <w:div w:id="1733389137">
                  <w:marLeft w:val="0"/>
                  <w:marRight w:val="0"/>
                  <w:marTop w:val="0"/>
                  <w:marBottom w:val="0"/>
                  <w:divBdr>
                    <w:top w:val="none" w:sz="0" w:space="0" w:color="auto"/>
                    <w:left w:val="none" w:sz="0" w:space="0" w:color="auto"/>
                    <w:bottom w:val="none" w:sz="0" w:space="0" w:color="auto"/>
                    <w:right w:val="none" w:sz="0" w:space="0" w:color="auto"/>
                  </w:divBdr>
                </w:div>
                <w:div w:id="1849362984">
                  <w:marLeft w:val="0"/>
                  <w:marRight w:val="0"/>
                  <w:marTop w:val="0"/>
                  <w:marBottom w:val="0"/>
                  <w:divBdr>
                    <w:top w:val="none" w:sz="0" w:space="0" w:color="auto"/>
                    <w:left w:val="none" w:sz="0" w:space="0" w:color="auto"/>
                    <w:bottom w:val="none" w:sz="0" w:space="0" w:color="auto"/>
                    <w:right w:val="none" w:sz="0" w:space="0" w:color="auto"/>
                  </w:divBdr>
                </w:div>
                <w:div w:id="713193223">
                  <w:marLeft w:val="0"/>
                  <w:marRight w:val="0"/>
                  <w:marTop w:val="0"/>
                  <w:marBottom w:val="0"/>
                  <w:divBdr>
                    <w:top w:val="none" w:sz="0" w:space="0" w:color="auto"/>
                    <w:left w:val="none" w:sz="0" w:space="0" w:color="auto"/>
                    <w:bottom w:val="none" w:sz="0" w:space="0" w:color="auto"/>
                    <w:right w:val="none" w:sz="0" w:space="0" w:color="auto"/>
                  </w:divBdr>
                </w:div>
                <w:div w:id="1497187906">
                  <w:marLeft w:val="0"/>
                  <w:marRight w:val="0"/>
                  <w:marTop w:val="0"/>
                  <w:marBottom w:val="0"/>
                  <w:divBdr>
                    <w:top w:val="none" w:sz="0" w:space="0" w:color="auto"/>
                    <w:left w:val="none" w:sz="0" w:space="0" w:color="auto"/>
                    <w:bottom w:val="none" w:sz="0" w:space="0" w:color="auto"/>
                    <w:right w:val="none" w:sz="0" w:space="0" w:color="auto"/>
                  </w:divBdr>
                </w:div>
                <w:div w:id="1946300686">
                  <w:marLeft w:val="0"/>
                  <w:marRight w:val="0"/>
                  <w:marTop w:val="0"/>
                  <w:marBottom w:val="0"/>
                  <w:divBdr>
                    <w:top w:val="none" w:sz="0" w:space="0" w:color="auto"/>
                    <w:left w:val="none" w:sz="0" w:space="0" w:color="auto"/>
                    <w:bottom w:val="none" w:sz="0" w:space="0" w:color="auto"/>
                    <w:right w:val="none" w:sz="0" w:space="0" w:color="auto"/>
                  </w:divBdr>
                </w:div>
                <w:div w:id="2064403009">
                  <w:marLeft w:val="0"/>
                  <w:marRight w:val="0"/>
                  <w:marTop w:val="0"/>
                  <w:marBottom w:val="0"/>
                  <w:divBdr>
                    <w:top w:val="none" w:sz="0" w:space="0" w:color="auto"/>
                    <w:left w:val="none" w:sz="0" w:space="0" w:color="auto"/>
                    <w:bottom w:val="none" w:sz="0" w:space="0" w:color="auto"/>
                    <w:right w:val="none" w:sz="0" w:space="0" w:color="auto"/>
                  </w:divBdr>
                </w:div>
              </w:divsChild>
            </w:div>
            <w:div w:id="1678770421">
              <w:marLeft w:val="200"/>
              <w:marRight w:val="200"/>
              <w:marTop w:val="200"/>
              <w:marBottom w:val="0"/>
              <w:divBdr>
                <w:top w:val="none" w:sz="0" w:space="0" w:color="auto"/>
                <w:left w:val="none" w:sz="0" w:space="0" w:color="auto"/>
                <w:bottom w:val="none" w:sz="0" w:space="0" w:color="auto"/>
                <w:right w:val="none" w:sz="0" w:space="0" w:color="auto"/>
              </w:divBdr>
            </w:div>
          </w:divsChild>
        </w:div>
        <w:div w:id="88045981">
          <w:marLeft w:val="0"/>
          <w:marRight w:val="0"/>
          <w:marTop w:val="400"/>
          <w:marBottom w:val="400"/>
          <w:divBdr>
            <w:top w:val="single" w:sz="6" w:space="20" w:color="EAC3AF"/>
            <w:left w:val="single" w:sz="6" w:space="20" w:color="EAC3AF"/>
            <w:bottom w:val="single" w:sz="6" w:space="20" w:color="EAC3AF"/>
            <w:right w:val="single" w:sz="6" w:space="20" w:color="EAC3AF"/>
          </w:divBdr>
          <w:divsChild>
            <w:div w:id="439104316">
              <w:marLeft w:val="0"/>
              <w:marRight w:val="0"/>
              <w:marTop w:val="200"/>
              <w:marBottom w:val="200"/>
              <w:divBdr>
                <w:top w:val="none" w:sz="0" w:space="0" w:color="auto"/>
                <w:left w:val="none" w:sz="0" w:space="0" w:color="auto"/>
                <w:bottom w:val="none" w:sz="0" w:space="0" w:color="auto"/>
                <w:right w:val="none" w:sz="0" w:space="0" w:color="auto"/>
              </w:divBdr>
            </w:div>
            <w:div w:id="779839770">
              <w:marLeft w:val="0"/>
              <w:marRight w:val="0"/>
              <w:marTop w:val="0"/>
              <w:marBottom w:val="0"/>
              <w:divBdr>
                <w:top w:val="none" w:sz="0" w:space="0" w:color="auto"/>
                <w:left w:val="none" w:sz="0" w:space="0" w:color="auto"/>
                <w:bottom w:val="none" w:sz="0" w:space="0" w:color="auto"/>
                <w:right w:val="none" w:sz="0" w:space="0" w:color="auto"/>
              </w:divBdr>
            </w:div>
            <w:div w:id="680087222">
              <w:marLeft w:val="200"/>
              <w:marRight w:val="200"/>
              <w:marTop w:val="200"/>
              <w:marBottom w:val="200"/>
              <w:divBdr>
                <w:top w:val="none" w:sz="0" w:space="0" w:color="auto"/>
                <w:left w:val="none" w:sz="0" w:space="0" w:color="auto"/>
                <w:bottom w:val="none" w:sz="0" w:space="0" w:color="auto"/>
                <w:right w:val="none" w:sz="0" w:space="0" w:color="auto"/>
              </w:divBdr>
            </w:div>
            <w:div w:id="1149174194">
              <w:marLeft w:val="0"/>
              <w:marRight w:val="0"/>
              <w:marTop w:val="200"/>
              <w:marBottom w:val="0"/>
              <w:divBdr>
                <w:top w:val="none" w:sz="0" w:space="0" w:color="auto"/>
                <w:left w:val="none" w:sz="0" w:space="0" w:color="auto"/>
                <w:bottom w:val="none" w:sz="0" w:space="0" w:color="auto"/>
                <w:right w:val="none" w:sz="0" w:space="0" w:color="auto"/>
              </w:divBdr>
              <w:divsChild>
                <w:div w:id="127867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372219">
      <w:bodyDiv w:val="1"/>
      <w:marLeft w:val="0"/>
      <w:marRight w:val="0"/>
      <w:marTop w:val="0"/>
      <w:marBottom w:val="0"/>
      <w:divBdr>
        <w:top w:val="none" w:sz="0" w:space="0" w:color="auto"/>
        <w:left w:val="none" w:sz="0" w:space="0" w:color="auto"/>
        <w:bottom w:val="none" w:sz="0" w:space="0" w:color="auto"/>
        <w:right w:val="none" w:sz="0" w:space="0" w:color="auto"/>
      </w:divBdr>
    </w:div>
    <w:div w:id="983702686">
      <w:bodyDiv w:val="1"/>
      <w:marLeft w:val="0"/>
      <w:marRight w:val="0"/>
      <w:marTop w:val="0"/>
      <w:marBottom w:val="0"/>
      <w:divBdr>
        <w:top w:val="none" w:sz="0" w:space="0" w:color="auto"/>
        <w:left w:val="none" w:sz="0" w:space="0" w:color="auto"/>
        <w:bottom w:val="none" w:sz="0" w:space="0" w:color="auto"/>
        <w:right w:val="none" w:sz="0" w:space="0" w:color="auto"/>
      </w:divBdr>
    </w:div>
    <w:div w:id="1024940576">
      <w:bodyDiv w:val="1"/>
      <w:marLeft w:val="0"/>
      <w:marRight w:val="0"/>
      <w:marTop w:val="0"/>
      <w:marBottom w:val="0"/>
      <w:divBdr>
        <w:top w:val="none" w:sz="0" w:space="0" w:color="auto"/>
        <w:left w:val="none" w:sz="0" w:space="0" w:color="auto"/>
        <w:bottom w:val="none" w:sz="0" w:space="0" w:color="auto"/>
        <w:right w:val="none" w:sz="0" w:space="0" w:color="auto"/>
      </w:divBdr>
    </w:div>
    <w:div w:id="1083068053">
      <w:bodyDiv w:val="1"/>
      <w:marLeft w:val="0"/>
      <w:marRight w:val="0"/>
      <w:marTop w:val="0"/>
      <w:marBottom w:val="0"/>
      <w:divBdr>
        <w:top w:val="none" w:sz="0" w:space="0" w:color="auto"/>
        <w:left w:val="none" w:sz="0" w:space="0" w:color="auto"/>
        <w:bottom w:val="none" w:sz="0" w:space="0" w:color="auto"/>
        <w:right w:val="none" w:sz="0" w:space="0" w:color="auto"/>
      </w:divBdr>
    </w:div>
    <w:div w:id="1110392096">
      <w:bodyDiv w:val="1"/>
      <w:marLeft w:val="0"/>
      <w:marRight w:val="0"/>
      <w:marTop w:val="0"/>
      <w:marBottom w:val="0"/>
      <w:divBdr>
        <w:top w:val="none" w:sz="0" w:space="0" w:color="auto"/>
        <w:left w:val="none" w:sz="0" w:space="0" w:color="auto"/>
        <w:bottom w:val="none" w:sz="0" w:space="0" w:color="auto"/>
        <w:right w:val="none" w:sz="0" w:space="0" w:color="auto"/>
      </w:divBdr>
    </w:div>
    <w:div w:id="1332293228">
      <w:bodyDiv w:val="1"/>
      <w:marLeft w:val="0"/>
      <w:marRight w:val="0"/>
      <w:marTop w:val="0"/>
      <w:marBottom w:val="0"/>
      <w:divBdr>
        <w:top w:val="none" w:sz="0" w:space="0" w:color="auto"/>
        <w:left w:val="none" w:sz="0" w:space="0" w:color="auto"/>
        <w:bottom w:val="none" w:sz="0" w:space="0" w:color="auto"/>
        <w:right w:val="none" w:sz="0" w:space="0" w:color="auto"/>
      </w:divBdr>
    </w:div>
    <w:div w:id="1450320917">
      <w:bodyDiv w:val="1"/>
      <w:marLeft w:val="0"/>
      <w:marRight w:val="0"/>
      <w:marTop w:val="0"/>
      <w:marBottom w:val="0"/>
      <w:divBdr>
        <w:top w:val="none" w:sz="0" w:space="0" w:color="auto"/>
        <w:left w:val="none" w:sz="0" w:space="0" w:color="auto"/>
        <w:bottom w:val="none" w:sz="0" w:space="0" w:color="auto"/>
        <w:right w:val="none" w:sz="0" w:space="0" w:color="auto"/>
      </w:divBdr>
    </w:div>
    <w:div w:id="1517766763">
      <w:bodyDiv w:val="1"/>
      <w:marLeft w:val="0"/>
      <w:marRight w:val="0"/>
      <w:marTop w:val="0"/>
      <w:marBottom w:val="0"/>
      <w:divBdr>
        <w:top w:val="none" w:sz="0" w:space="0" w:color="auto"/>
        <w:left w:val="none" w:sz="0" w:space="0" w:color="auto"/>
        <w:bottom w:val="none" w:sz="0" w:space="0" w:color="auto"/>
        <w:right w:val="none" w:sz="0" w:space="0" w:color="auto"/>
      </w:divBdr>
      <w:divsChild>
        <w:div w:id="1623027575">
          <w:marLeft w:val="806"/>
          <w:marRight w:val="0"/>
          <w:marTop w:val="96"/>
          <w:marBottom w:val="0"/>
          <w:divBdr>
            <w:top w:val="none" w:sz="0" w:space="0" w:color="auto"/>
            <w:left w:val="none" w:sz="0" w:space="0" w:color="auto"/>
            <w:bottom w:val="none" w:sz="0" w:space="0" w:color="auto"/>
            <w:right w:val="none" w:sz="0" w:space="0" w:color="auto"/>
          </w:divBdr>
        </w:div>
      </w:divsChild>
    </w:div>
    <w:div w:id="1638609208">
      <w:bodyDiv w:val="1"/>
      <w:marLeft w:val="0"/>
      <w:marRight w:val="0"/>
      <w:marTop w:val="0"/>
      <w:marBottom w:val="0"/>
      <w:divBdr>
        <w:top w:val="none" w:sz="0" w:space="0" w:color="auto"/>
        <w:left w:val="none" w:sz="0" w:space="0" w:color="auto"/>
        <w:bottom w:val="none" w:sz="0" w:space="0" w:color="auto"/>
        <w:right w:val="none" w:sz="0" w:space="0" w:color="auto"/>
      </w:divBdr>
    </w:div>
    <w:div w:id="1744257563">
      <w:bodyDiv w:val="1"/>
      <w:marLeft w:val="0"/>
      <w:marRight w:val="0"/>
      <w:marTop w:val="0"/>
      <w:marBottom w:val="0"/>
      <w:divBdr>
        <w:top w:val="none" w:sz="0" w:space="0" w:color="auto"/>
        <w:left w:val="none" w:sz="0" w:space="0" w:color="auto"/>
        <w:bottom w:val="none" w:sz="0" w:space="0" w:color="auto"/>
        <w:right w:val="none" w:sz="0" w:space="0" w:color="auto"/>
      </w:divBdr>
    </w:div>
    <w:div w:id="1878540876">
      <w:bodyDiv w:val="1"/>
      <w:marLeft w:val="0"/>
      <w:marRight w:val="0"/>
      <w:marTop w:val="0"/>
      <w:marBottom w:val="0"/>
      <w:divBdr>
        <w:top w:val="none" w:sz="0" w:space="0" w:color="auto"/>
        <w:left w:val="none" w:sz="0" w:space="0" w:color="auto"/>
        <w:bottom w:val="none" w:sz="0" w:space="0" w:color="auto"/>
        <w:right w:val="none" w:sz="0" w:space="0" w:color="auto"/>
      </w:divBdr>
    </w:div>
    <w:div w:id="210403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neuromuscular.wustl.edu/ataxia/domatax.html" TargetMode="External"/><Relationship Id="rId21" Type="http://schemas.openxmlformats.org/officeDocument/2006/relationships/hyperlink" Target="http://www.ucl.ac.uk/ncl/cln1.shtml" TargetMode="External"/><Relationship Id="rId42" Type="http://schemas.openxmlformats.org/officeDocument/2006/relationships/hyperlink" Target="http://www.ucl.ac.uk/ncl/sgsh.shtml" TargetMode="External"/><Relationship Id="rId63" Type="http://schemas.openxmlformats.org/officeDocument/2006/relationships/hyperlink" Target="http://www.ncbi.nlm.nih.gov/gene/5538" TargetMode="External"/><Relationship Id="rId84" Type="http://schemas.openxmlformats.org/officeDocument/2006/relationships/hyperlink" Target="http://www.ncbi.nlm.nih.gov/projects/mapview/maps.cgi?taxid=9606&amp;chr=11&amp;query=CTSD&amp;qstr=CTSD&amp;maps=snp,genes-r,pheno&amp;zoom=2" TargetMode="External"/><Relationship Id="rId138" Type="http://schemas.openxmlformats.org/officeDocument/2006/relationships/header" Target="header2.xml"/><Relationship Id="rId159" Type="http://schemas.openxmlformats.org/officeDocument/2006/relationships/diagramQuickStyle" Target="diagrams/quickStyle2.xml"/><Relationship Id="rId170" Type="http://schemas.openxmlformats.org/officeDocument/2006/relationships/diagramColors" Target="diagrams/colors4.xml"/><Relationship Id="rId107" Type="http://schemas.openxmlformats.org/officeDocument/2006/relationships/hyperlink" Target="https://en.wikipedia.org/wiki/Cerliponase_alfa" TargetMode="External"/><Relationship Id="rId11" Type="http://schemas.openxmlformats.org/officeDocument/2006/relationships/image" Target="media/image2.emf"/><Relationship Id="rId32" Type="http://schemas.openxmlformats.org/officeDocument/2006/relationships/hyperlink" Target="https://en.wikipedia.org/wiki/Hunter_syndrome" TargetMode="External"/><Relationship Id="rId53" Type="http://schemas.openxmlformats.org/officeDocument/2006/relationships/hyperlink" Target="http://www.ucl.ac.uk/ncl/cln10ctsd.shtml" TargetMode="External"/><Relationship Id="rId74" Type="http://schemas.openxmlformats.org/officeDocument/2006/relationships/hyperlink" Target="http://www.ncbi.nlm.nih.gov/gene/256471" TargetMode="External"/><Relationship Id="rId128" Type="http://schemas.openxmlformats.org/officeDocument/2006/relationships/hyperlink" Target="https://www.ncbi.nlm.nih.gov/books/n/gene/drpla/" TargetMode="External"/><Relationship Id="rId149" Type="http://schemas.openxmlformats.org/officeDocument/2006/relationships/hyperlink" Target="https://www.ncbi.nlm.nih.gov/gene/1759" TargetMode="External"/><Relationship Id="rId5" Type="http://schemas.openxmlformats.org/officeDocument/2006/relationships/webSettings" Target="webSettings.xml"/><Relationship Id="rId95" Type="http://schemas.openxmlformats.org/officeDocument/2006/relationships/hyperlink" Target="http://www.uniprot.org/uniprot/Q9NWW5" TargetMode="External"/><Relationship Id="rId160" Type="http://schemas.openxmlformats.org/officeDocument/2006/relationships/diagramColors" Target="diagrams/colors2.xml"/><Relationship Id="rId181" Type="http://schemas.openxmlformats.org/officeDocument/2006/relationships/theme" Target="theme/theme1.xml"/><Relationship Id="rId22" Type="http://schemas.openxmlformats.org/officeDocument/2006/relationships/hyperlink" Target="http://www.ucl.ac.uk/ncl/cln2.shtml" TargetMode="External"/><Relationship Id="rId43" Type="http://schemas.openxmlformats.org/officeDocument/2006/relationships/hyperlink" Target="http://en.wikipedia.org/wiki/CYP27A1" TargetMode="External"/><Relationship Id="rId64" Type="http://schemas.openxmlformats.org/officeDocument/2006/relationships/hyperlink" Target="http://www.ncbi.nlm.nih.gov/gene/5538" TargetMode="External"/><Relationship Id="rId118" Type="http://schemas.openxmlformats.org/officeDocument/2006/relationships/hyperlink" Target="http://neuromuscular.wustl.edu/ataxia/domatax.html" TargetMode="External"/><Relationship Id="rId139" Type="http://schemas.openxmlformats.org/officeDocument/2006/relationships/image" Target="media/image12.png"/><Relationship Id="rId85" Type="http://schemas.openxmlformats.org/officeDocument/2006/relationships/hyperlink" Target="http://www.uniprot.org/uniprot/P07339" TargetMode="External"/><Relationship Id="rId150" Type="http://schemas.openxmlformats.org/officeDocument/2006/relationships/hyperlink" Target="https://www.ncbi.nlm.nih.gov/gene/2562" TargetMode="External"/><Relationship Id="rId171" Type="http://schemas.microsoft.com/office/2007/relationships/diagramDrawing" Target="diagrams/drawing4.xml"/><Relationship Id="rId12" Type="http://schemas.openxmlformats.org/officeDocument/2006/relationships/image" Target="media/image3.emf"/><Relationship Id="rId33" Type="http://schemas.openxmlformats.org/officeDocument/2006/relationships/hyperlink" Target="https://www.ncbi.nlm.nih.gov/pmc/articles/PMC6331358/table/t1/" TargetMode="External"/><Relationship Id="rId108" Type="http://schemas.openxmlformats.org/officeDocument/2006/relationships/hyperlink" Target="http://en.wikipedia.org/wiki/ASPA_(gene)" TargetMode="External"/><Relationship Id="rId129" Type="http://schemas.openxmlformats.org/officeDocument/2006/relationships/image" Target="media/image8.emf"/><Relationship Id="rId54" Type="http://schemas.openxmlformats.org/officeDocument/2006/relationships/hyperlink" Target="http://www.ucl.ac.uk/ncl/cln11grn.shtml" TargetMode="External"/><Relationship Id="rId75" Type="http://schemas.openxmlformats.org/officeDocument/2006/relationships/hyperlink" Target="http://www.ncbi.nlm.nih.gov/gene/256471" TargetMode="External"/><Relationship Id="rId96" Type="http://schemas.openxmlformats.org/officeDocument/2006/relationships/hyperlink" Target="http://www.uniprot.org/uniprot/Q9NWW5" TargetMode="External"/><Relationship Id="rId140" Type="http://schemas.openxmlformats.org/officeDocument/2006/relationships/hyperlink" Target="http://www.nmd-bg.com" TargetMode="External"/><Relationship Id="rId161" Type="http://schemas.microsoft.com/office/2007/relationships/diagramDrawing" Target="diagrams/drawing2.xml"/><Relationship Id="rId6" Type="http://schemas.openxmlformats.org/officeDocument/2006/relationships/footnotes" Target="footnotes.xml"/><Relationship Id="rId23" Type="http://schemas.openxmlformats.org/officeDocument/2006/relationships/hyperlink" Target="http://www.ucl.ac.uk/ncl/cln7.shtml" TargetMode="External"/><Relationship Id="rId119" Type="http://schemas.openxmlformats.org/officeDocument/2006/relationships/hyperlink" Target="http://neuromuscular.wustl.edu/ataxia/domatax.html" TargetMode="External"/><Relationship Id="rId44" Type="http://schemas.openxmlformats.org/officeDocument/2006/relationships/hyperlink" Target="http://en.wikipedia.org/wiki/Chromosome_2_(human)" TargetMode="External"/><Relationship Id="rId60" Type="http://schemas.openxmlformats.org/officeDocument/2006/relationships/hyperlink" Target="http://www.ucl.ac.uk/ncl/cln2.shtml" TargetMode="External"/><Relationship Id="rId65" Type="http://schemas.openxmlformats.org/officeDocument/2006/relationships/hyperlink" Target="http://www.ncbi.nlm.nih.gov/projects/mapview/maps.cgi?taxid=9606&amp;chr=11&amp;query=TPP1&amp;qstr=TPP1&amp;maps=snp,genes-r,pheno&amp;zoom=2" TargetMode="External"/><Relationship Id="rId81" Type="http://schemas.openxmlformats.org/officeDocument/2006/relationships/hyperlink" Target="http://www.uniprot.org/uniprot/Q9NWW5" TargetMode="External"/><Relationship Id="rId86" Type="http://schemas.openxmlformats.org/officeDocument/2006/relationships/hyperlink" Target="http://www.ncbi.nlm.nih.gov/gene/5538" TargetMode="External"/><Relationship Id="rId130" Type="http://schemas.openxmlformats.org/officeDocument/2006/relationships/diagramData" Target="diagrams/data1.xml"/><Relationship Id="rId135" Type="http://schemas.openxmlformats.org/officeDocument/2006/relationships/image" Target="media/image9.emf"/><Relationship Id="rId151" Type="http://schemas.openxmlformats.org/officeDocument/2006/relationships/hyperlink" Target="https://en.wikipedia.org/wiki/IQSEC2" TargetMode="External"/><Relationship Id="rId156" Type="http://schemas.openxmlformats.org/officeDocument/2006/relationships/hyperlink" Target="http://www.cpcentresof-bg.com" TargetMode="External"/><Relationship Id="rId177" Type="http://schemas.openxmlformats.org/officeDocument/2006/relationships/image" Target="media/image14.emf"/><Relationship Id="rId172" Type="http://schemas.openxmlformats.org/officeDocument/2006/relationships/hyperlink" Target="http://en.wikipedia.org/wiki/Chromosome_16" TargetMode="External"/><Relationship Id="rId13" Type="http://schemas.openxmlformats.org/officeDocument/2006/relationships/image" Target="media/image4.emf"/><Relationship Id="rId18" Type="http://schemas.openxmlformats.org/officeDocument/2006/relationships/hyperlink" Target="https://en.wikipedia.org/wiki/Niemann%E2%80%93Pick_disease,_type_C" TargetMode="External"/><Relationship Id="rId39" Type="http://schemas.openxmlformats.org/officeDocument/2006/relationships/hyperlink" Target="http://www.NPC-SI.com" TargetMode="External"/><Relationship Id="rId109" Type="http://schemas.openxmlformats.org/officeDocument/2006/relationships/hyperlink" Target="http://en.wikipedia.org/wiki/EIF2B1" TargetMode="External"/><Relationship Id="rId34" Type="http://schemas.openxmlformats.org/officeDocument/2006/relationships/hyperlink" Target="https://www.ncbi.nlm.nih.gov/pmc/articles/PMC6331358/table/t1/" TargetMode="External"/><Relationship Id="rId50" Type="http://schemas.openxmlformats.org/officeDocument/2006/relationships/hyperlink" Target="http://www.ucl.ac.uk/ncl/cln6.shtml" TargetMode="External"/><Relationship Id="rId55" Type="http://schemas.openxmlformats.org/officeDocument/2006/relationships/hyperlink" Target="http://www.ucl.ac.uk/ncl/cln12atp13a2.shtml" TargetMode="External"/><Relationship Id="rId76" Type="http://schemas.openxmlformats.org/officeDocument/2006/relationships/hyperlink" Target="http://www.ncbi.nlm.nih.gov/projects/mapview/maps.cgi?taxid=9606&amp;chr=4&amp;query=MFSD8&amp;qstr=MFSD8&amp;maps=snp,genes-r,pheno&amp;zoom=2" TargetMode="External"/><Relationship Id="rId97" Type="http://schemas.openxmlformats.org/officeDocument/2006/relationships/hyperlink" Target="http://www.uniprot.org/uniprot/Q9NWW5" TargetMode="External"/><Relationship Id="rId104" Type="http://schemas.openxmlformats.org/officeDocument/2006/relationships/hyperlink" Target="https://en.wikipedia.org/wiki/Tripeptidyl_peptidase_I" TargetMode="External"/><Relationship Id="rId120" Type="http://schemas.openxmlformats.org/officeDocument/2006/relationships/hyperlink" Target="http://neuromuscular.wustl.edu/ataxia/domatax.html" TargetMode="External"/><Relationship Id="rId125" Type="http://schemas.openxmlformats.org/officeDocument/2006/relationships/hyperlink" Target="http://neuromuscular.wustl.edu/ataxia/domatax.html" TargetMode="External"/><Relationship Id="rId141" Type="http://schemas.openxmlformats.org/officeDocument/2006/relationships/hyperlink" Target="https://www.sciencedirect.com/science/article/pii/S1059131116302989" TargetMode="External"/><Relationship Id="rId146" Type="http://schemas.openxmlformats.org/officeDocument/2006/relationships/hyperlink" Target="https://medlineplus.gov/genetics/gene/scn8a/" TargetMode="External"/><Relationship Id="rId167" Type="http://schemas.openxmlformats.org/officeDocument/2006/relationships/diagramData" Target="diagrams/data4.xml"/><Relationship Id="rId7" Type="http://schemas.openxmlformats.org/officeDocument/2006/relationships/endnotes" Target="endnotes.xml"/><Relationship Id="rId71" Type="http://schemas.openxmlformats.org/officeDocument/2006/relationships/hyperlink" Target="http://www.uniprot.org/uniprot/Q9NWW5" TargetMode="External"/><Relationship Id="rId92" Type="http://schemas.openxmlformats.org/officeDocument/2006/relationships/hyperlink" Target="http://www.ncbi.nlm.nih.gov/gene/2055" TargetMode="External"/><Relationship Id="rId162" Type="http://schemas.openxmlformats.org/officeDocument/2006/relationships/diagramData" Target="diagrams/data3.xml"/><Relationship Id="rId2" Type="http://schemas.openxmlformats.org/officeDocument/2006/relationships/numbering" Target="numbering.xml"/><Relationship Id="rId29" Type="http://schemas.openxmlformats.org/officeDocument/2006/relationships/hyperlink" Target="http://www.ucl.ac.uk/ncl/cln14kctd7.shtml" TargetMode="External"/><Relationship Id="rId24" Type="http://schemas.openxmlformats.org/officeDocument/2006/relationships/hyperlink" Target="http://www.ucl.ac.uk/ncl/cln7.shtml" TargetMode="External"/><Relationship Id="rId40" Type="http://schemas.openxmlformats.org/officeDocument/2006/relationships/hyperlink" Target="http://en.wikipedia.org/wiki/Gene" TargetMode="External"/><Relationship Id="rId45" Type="http://schemas.openxmlformats.org/officeDocument/2006/relationships/hyperlink" Target="http://www.ucl.ac.uk/ncl/cln1.shtml" TargetMode="External"/><Relationship Id="rId66" Type="http://schemas.openxmlformats.org/officeDocument/2006/relationships/hyperlink" Target="http://www.ncbi.nlm.nih.gov/gene/1203" TargetMode="External"/><Relationship Id="rId87" Type="http://schemas.openxmlformats.org/officeDocument/2006/relationships/hyperlink" Target="http://www.ncbi.nlm.nih.gov/gene/5538" TargetMode="External"/><Relationship Id="rId110" Type="http://schemas.openxmlformats.org/officeDocument/2006/relationships/hyperlink" Target="http://en.wikipedia.org/wiki/EIF2B5" TargetMode="External"/><Relationship Id="rId115" Type="http://schemas.openxmlformats.org/officeDocument/2006/relationships/hyperlink" Target="http://neuromuscular.wustl.edu/ataxia/domatax.html" TargetMode="External"/><Relationship Id="rId131" Type="http://schemas.openxmlformats.org/officeDocument/2006/relationships/diagramLayout" Target="diagrams/layout1.xml"/><Relationship Id="rId136" Type="http://schemas.openxmlformats.org/officeDocument/2006/relationships/image" Target="media/image10.png"/><Relationship Id="rId157" Type="http://schemas.openxmlformats.org/officeDocument/2006/relationships/diagramData" Target="diagrams/data2.xml"/><Relationship Id="rId178" Type="http://schemas.openxmlformats.org/officeDocument/2006/relationships/header" Target="header3.xml"/><Relationship Id="rId61" Type="http://schemas.openxmlformats.org/officeDocument/2006/relationships/hyperlink" Target="http://www.ncbi.nlm.nih.gov/gene/5538" TargetMode="External"/><Relationship Id="rId82" Type="http://schemas.openxmlformats.org/officeDocument/2006/relationships/hyperlink" Target="http://www.uniprot.org/uniprot/Q9NWW5" TargetMode="External"/><Relationship Id="rId152" Type="http://schemas.openxmlformats.org/officeDocument/2006/relationships/image" Target="media/image13.png"/><Relationship Id="rId173" Type="http://schemas.openxmlformats.org/officeDocument/2006/relationships/hyperlink" Target="http://en.wikipedia.org/wiki/Chromosome_16" TargetMode="External"/><Relationship Id="rId19" Type="http://schemas.openxmlformats.org/officeDocument/2006/relationships/hyperlink" Target="https://en.wikipedia.org/wiki/Hunter_syndrome" TargetMode="External"/><Relationship Id="rId14" Type="http://schemas.openxmlformats.org/officeDocument/2006/relationships/image" Target="media/image5.emf"/><Relationship Id="rId30" Type="http://schemas.openxmlformats.org/officeDocument/2006/relationships/hyperlink" Target="http://www.ucl.ac.uk/ncl/sgsh.shtml" TargetMode="External"/><Relationship Id="rId35" Type="http://schemas.openxmlformats.org/officeDocument/2006/relationships/hyperlink" Target="https://www.sciencedirect.com/topics/medicine-and-dentistry/mucolipidosis" TargetMode="External"/><Relationship Id="rId56" Type="http://schemas.openxmlformats.org/officeDocument/2006/relationships/hyperlink" Target="http://www.ucl.ac.uk/ncl/cln13ctsf.shtml" TargetMode="External"/><Relationship Id="rId77" Type="http://schemas.openxmlformats.org/officeDocument/2006/relationships/hyperlink" Target="http://www.ncbi.nlm.nih.gov/gene/2055" TargetMode="External"/><Relationship Id="rId100" Type="http://schemas.openxmlformats.org/officeDocument/2006/relationships/hyperlink" Target="http://www.ncbi.nlm.nih.gov/projects/mapview/maps.cgi?taxid=9606&amp;chr=11&amp;query=CTSD&amp;qstr=CTSD&amp;maps=snp,genes-r,pheno&amp;zoom=2" TargetMode="External"/><Relationship Id="rId105" Type="http://schemas.openxmlformats.org/officeDocument/2006/relationships/hyperlink" Target="https://en.wikipedia.org/wiki/TPP1" TargetMode="External"/><Relationship Id="rId126" Type="http://schemas.openxmlformats.org/officeDocument/2006/relationships/hyperlink" Target="https://www.ncbi.nlm.nih.gov/books/n/gene/sca37/" TargetMode="External"/><Relationship Id="rId147" Type="http://schemas.openxmlformats.org/officeDocument/2006/relationships/hyperlink" Target="https://medlineplus.gov/genetics/gene/stxbp1/" TargetMode="External"/><Relationship Id="rId168" Type="http://schemas.openxmlformats.org/officeDocument/2006/relationships/diagramLayout" Target="diagrams/layout4.xml"/><Relationship Id="rId8" Type="http://schemas.openxmlformats.org/officeDocument/2006/relationships/header" Target="header1.xml"/><Relationship Id="rId51" Type="http://schemas.openxmlformats.org/officeDocument/2006/relationships/hyperlink" Target="http://www.ucl.ac.uk/ncl/cln7.shtml" TargetMode="External"/><Relationship Id="rId72" Type="http://schemas.openxmlformats.org/officeDocument/2006/relationships/hyperlink" Target="http://www.uniprot.org/uniprot/Q9NWW5" TargetMode="External"/><Relationship Id="rId93" Type="http://schemas.openxmlformats.org/officeDocument/2006/relationships/hyperlink" Target="http://www.ncbi.nlm.nih.gov/gene/2055" TargetMode="External"/><Relationship Id="rId98" Type="http://schemas.openxmlformats.org/officeDocument/2006/relationships/hyperlink" Target="http://www.uniprot.org/uniprot/Q9NWW5" TargetMode="External"/><Relationship Id="rId121" Type="http://schemas.openxmlformats.org/officeDocument/2006/relationships/hyperlink" Target="http://neuromuscular.wustl.edu/ataxia/domatax.html" TargetMode="External"/><Relationship Id="rId142" Type="http://schemas.openxmlformats.org/officeDocument/2006/relationships/hyperlink" Target="https://www.sciencedirect.com/science/article/pii/S1059131116302989" TargetMode="External"/><Relationship Id="rId163" Type="http://schemas.openxmlformats.org/officeDocument/2006/relationships/diagramLayout" Target="diagrams/layout3.xml"/><Relationship Id="rId3" Type="http://schemas.openxmlformats.org/officeDocument/2006/relationships/styles" Target="styles.xml"/><Relationship Id="rId25" Type="http://schemas.openxmlformats.org/officeDocument/2006/relationships/hyperlink" Target="http://www.ucl.ac.uk/ncl/cln10ctsd.shtml" TargetMode="External"/><Relationship Id="rId46" Type="http://schemas.openxmlformats.org/officeDocument/2006/relationships/hyperlink" Target="http://www.ucl.ac.uk/ncl/cln2.shtml" TargetMode="External"/><Relationship Id="rId67" Type="http://schemas.openxmlformats.org/officeDocument/2006/relationships/hyperlink" Target="http://www.ncbi.nlm.nih.gov/gene/1203" TargetMode="External"/><Relationship Id="rId116" Type="http://schemas.openxmlformats.org/officeDocument/2006/relationships/hyperlink" Target="http://neuromuscular.wustl.edu/ataxia/domatax.html" TargetMode="External"/><Relationship Id="rId137" Type="http://schemas.openxmlformats.org/officeDocument/2006/relationships/image" Target="media/image11.png"/><Relationship Id="rId158" Type="http://schemas.openxmlformats.org/officeDocument/2006/relationships/diagramLayout" Target="diagrams/layout2.xml"/><Relationship Id="rId20" Type="http://schemas.openxmlformats.org/officeDocument/2006/relationships/hyperlink" Target="https://www.omim.org/geneMap/3/134?start=-3&amp;limit=10&amp;highlight=134" TargetMode="External"/><Relationship Id="rId41" Type="http://schemas.openxmlformats.org/officeDocument/2006/relationships/hyperlink" Target="http://en.wikipedia.org/wiki/X_chromosome" TargetMode="External"/><Relationship Id="rId62" Type="http://schemas.openxmlformats.org/officeDocument/2006/relationships/hyperlink" Target="http://www.ncbi.nlm.nih.gov/gene/5538" TargetMode="External"/><Relationship Id="rId83" Type="http://schemas.openxmlformats.org/officeDocument/2006/relationships/hyperlink" Target="http://www.uniprot.org/uniprot/Q9NWW5" TargetMode="External"/><Relationship Id="rId88" Type="http://schemas.openxmlformats.org/officeDocument/2006/relationships/hyperlink" Target="http://www.ncbi.nlm.nih.gov/gene/1201" TargetMode="External"/><Relationship Id="rId111" Type="http://schemas.openxmlformats.org/officeDocument/2006/relationships/hyperlink" Target="https://en.wikipedia.org/wiki/ERCC8" TargetMode="External"/><Relationship Id="rId132" Type="http://schemas.openxmlformats.org/officeDocument/2006/relationships/diagramQuickStyle" Target="diagrams/quickStyle1.xml"/><Relationship Id="rId153" Type="http://schemas.openxmlformats.org/officeDocument/2006/relationships/hyperlink" Target="http://omim.org/entry/612900" TargetMode="External"/><Relationship Id="rId174" Type="http://schemas.openxmlformats.org/officeDocument/2006/relationships/hyperlink" Target="http://en.wikipedia.org/wiki/Chromosome_16" TargetMode="External"/><Relationship Id="rId179" Type="http://schemas.openxmlformats.org/officeDocument/2006/relationships/header" Target="header4.xml"/><Relationship Id="rId15" Type="http://schemas.openxmlformats.org/officeDocument/2006/relationships/image" Target="media/image6.emf"/><Relationship Id="rId36" Type="http://schemas.openxmlformats.org/officeDocument/2006/relationships/hyperlink" Target="https://www.sciencedirect.com/topics/medicine-and-dentistry/beta-galactosidase" TargetMode="External"/><Relationship Id="rId57" Type="http://schemas.openxmlformats.org/officeDocument/2006/relationships/hyperlink" Target="http://www.ucl.ac.uk/ncl/cln14kctd7.shtml" TargetMode="External"/><Relationship Id="rId106" Type="http://schemas.openxmlformats.org/officeDocument/2006/relationships/hyperlink" Target="https://en.wikipedia.org/wiki/Cerliponase_alfa" TargetMode="External"/><Relationship Id="rId127" Type="http://schemas.openxmlformats.org/officeDocument/2006/relationships/hyperlink" Target="https://www.ncbi.nlm.nih.gov/books/n/gene/sca38/" TargetMode="External"/><Relationship Id="rId10" Type="http://schemas.openxmlformats.org/officeDocument/2006/relationships/image" Target="media/image1.emf"/><Relationship Id="rId31" Type="http://schemas.openxmlformats.org/officeDocument/2006/relationships/hyperlink" Target="http://www.ucl.ac.uk/ncl/dnajc5.shtml" TargetMode="External"/><Relationship Id="rId52" Type="http://schemas.openxmlformats.org/officeDocument/2006/relationships/hyperlink" Target="http://www.ucl.ac.uk/ncl/cln8.shtml" TargetMode="External"/><Relationship Id="rId73" Type="http://schemas.openxmlformats.org/officeDocument/2006/relationships/hyperlink" Target="http://www.uniprot.org/uniprot/Q9NWW5" TargetMode="External"/><Relationship Id="rId78" Type="http://schemas.openxmlformats.org/officeDocument/2006/relationships/hyperlink" Target="http://www.ncbi.nlm.nih.gov/gene/2055" TargetMode="External"/><Relationship Id="rId94" Type="http://schemas.openxmlformats.org/officeDocument/2006/relationships/hyperlink" Target="http://www.ncbi.nlm.nih.gov/projects/mapview/maps.cgi?taxid=9606&amp;chr=8&amp;query=CLN8&amp;qstr=CLN8&amp;maps=snp,genes-r,pheno&amp;zoom=2" TargetMode="External"/><Relationship Id="rId99" Type="http://schemas.openxmlformats.org/officeDocument/2006/relationships/hyperlink" Target="http://www.ncbi.nlm.nih.gov/gene/1509" TargetMode="External"/><Relationship Id="rId101" Type="http://schemas.openxmlformats.org/officeDocument/2006/relationships/hyperlink" Target="http://www.ncbi.nlm.nih.gov/projects/mapview/maps.cgi?taxid=9606&amp;chr=16&amp;query=CLN3&amp;qstr=CLN3&amp;maps=snp,genes-r,pheno&amp;zoom=2" TargetMode="External"/><Relationship Id="rId122" Type="http://schemas.openxmlformats.org/officeDocument/2006/relationships/hyperlink" Target="http://neuromuscular.wustl.edu/ataxia/domatax.html" TargetMode="External"/><Relationship Id="rId143" Type="http://schemas.openxmlformats.org/officeDocument/2006/relationships/hyperlink" Target="https://medlineplus.gov/genetics/gene/chd2/" TargetMode="External"/><Relationship Id="rId148" Type="http://schemas.openxmlformats.org/officeDocument/2006/relationships/hyperlink" Target="https://www.ncbi.nlm.nih.gov/gene/55849" TargetMode="External"/><Relationship Id="rId164" Type="http://schemas.openxmlformats.org/officeDocument/2006/relationships/diagramQuickStyle" Target="diagrams/quickStyle3.xml"/><Relationship Id="rId169" Type="http://schemas.openxmlformats.org/officeDocument/2006/relationships/diagramQuickStyle" Target="diagrams/quickStyle4.xm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fontTable" Target="fontTable.xml"/><Relationship Id="rId26" Type="http://schemas.openxmlformats.org/officeDocument/2006/relationships/hyperlink" Target="http://www.ucl.ac.uk/ncl/cln11grn.shtml" TargetMode="External"/><Relationship Id="rId47" Type="http://schemas.openxmlformats.org/officeDocument/2006/relationships/hyperlink" Target="http://www.ucl.ac.uk/ncl/cln3.shtml" TargetMode="External"/><Relationship Id="rId68" Type="http://schemas.openxmlformats.org/officeDocument/2006/relationships/hyperlink" Target="http://www.ncbi.nlm.nih.gov/gene/54982" TargetMode="External"/><Relationship Id="rId89" Type="http://schemas.openxmlformats.org/officeDocument/2006/relationships/hyperlink" Target="http://www.ncbi.nlm.nih.gov/gene/1201" TargetMode="External"/><Relationship Id="rId112" Type="http://schemas.openxmlformats.org/officeDocument/2006/relationships/hyperlink" Target="https://en.wikipedia.org/wiki/ERCC6" TargetMode="External"/><Relationship Id="rId133" Type="http://schemas.openxmlformats.org/officeDocument/2006/relationships/diagramColors" Target="diagrams/colors1.xml"/><Relationship Id="rId154" Type="http://schemas.openxmlformats.org/officeDocument/2006/relationships/hyperlink" Target="http://omim.org/entry/607704" TargetMode="External"/><Relationship Id="rId175" Type="http://schemas.openxmlformats.org/officeDocument/2006/relationships/hyperlink" Target="http://en.wikipedia.org/wiki/Chromosome_16" TargetMode="External"/><Relationship Id="rId16" Type="http://schemas.openxmlformats.org/officeDocument/2006/relationships/image" Target="media/image7.png"/><Relationship Id="rId37" Type="http://schemas.openxmlformats.org/officeDocument/2006/relationships/hyperlink" Target="https://www.omim.org/geneMap/3/134?start=-3&amp;limit=10&amp;highlight=134" TargetMode="External"/><Relationship Id="rId58" Type="http://schemas.openxmlformats.org/officeDocument/2006/relationships/hyperlink" Target="http://www.ucl.ac.uk/ncl/clcn6.shtml" TargetMode="External"/><Relationship Id="rId79" Type="http://schemas.openxmlformats.org/officeDocument/2006/relationships/hyperlink" Target="http://www.ncbi.nlm.nih.gov/projects/mapview/maps.cgi?taxid=9606&amp;chr=8&amp;query=CLN8&amp;qstr=CLN8&amp;maps=snp,genes-r,pheno&amp;zoom=2" TargetMode="External"/><Relationship Id="rId102" Type="http://schemas.openxmlformats.org/officeDocument/2006/relationships/hyperlink" Target="http://www.uniprot.org/uniprot/P07339" TargetMode="External"/><Relationship Id="rId123" Type="http://schemas.openxmlformats.org/officeDocument/2006/relationships/hyperlink" Target="http://neuromuscular.wustl.edu/ataxia/domatax.html" TargetMode="External"/><Relationship Id="rId144" Type="http://schemas.openxmlformats.org/officeDocument/2006/relationships/hyperlink" Target="https://medlineplus.gov/genetics/gene/foxg1/" TargetMode="External"/><Relationship Id="rId90" Type="http://schemas.openxmlformats.org/officeDocument/2006/relationships/hyperlink" Target="http://www.ncbi.nlm.nih.gov/projects/mapview/maps.cgi?taxid=9606&amp;chr=16&amp;query=CLN3&amp;qstr=CLN3&amp;maps=snp,genes-r,pheno&amp;zoom=2" TargetMode="External"/><Relationship Id="rId165" Type="http://schemas.openxmlformats.org/officeDocument/2006/relationships/diagramColors" Target="diagrams/colors3.xml"/><Relationship Id="rId27" Type="http://schemas.openxmlformats.org/officeDocument/2006/relationships/hyperlink" Target="http://www.ucl.ac.uk/ncl/cln12atp13a2.shtml" TargetMode="External"/><Relationship Id="rId48" Type="http://schemas.openxmlformats.org/officeDocument/2006/relationships/hyperlink" Target="http://www.ucl.ac.uk/ncl/dnajc5.shtml" TargetMode="External"/><Relationship Id="rId69" Type="http://schemas.openxmlformats.org/officeDocument/2006/relationships/hyperlink" Target="http://www.ncbi.nlm.nih.gov/gene/54982" TargetMode="External"/><Relationship Id="rId113" Type="http://schemas.openxmlformats.org/officeDocument/2006/relationships/hyperlink" Target="http://neuromuscular.wustl.edu/ataxia/domatax.html" TargetMode="External"/><Relationship Id="rId134" Type="http://schemas.microsoft.com/office/2007/relationships/diagramDrawing" Target="diagrams/drawing1.xml"/><Relationship Id="rId80" Type="http://schemas.openxmlformats.org/officeDocument/2006/relationships/hyperlink" Target="http://www.uniprot.org/uniprot/Q9NWW5" TargetMode="External"/><Relationship Id="rId155" Type="http://schemas.openxmlformats.org/officeDocument/2006/relationships/hyperlink" Target="http://www.cpcentresof-bg.com" TargetMode="External"/><Relationship Id="rId176" Type="http://schemas.openxmlformats.org/officeDocument/2006/relationships/hyperlink" Target="https://en.wikipedia.org/wiki/Fundoscopy" TargetMode="External"/><Relationship Id="rId17" Type="http://schemas.openxmlformats.org/officeDocument/2006/relationships/hyperlink" Target="https://en.wikipedia.org/wiki/Lipid" TargetMode="External"/><Relationship Id="rId38" Type="http://schemas.openxmlformats.org/officeDocument/2006/relationships/hyperlink" Target="https://www.sciencedirect.com/topics/neuroscience/beta-galactosidase" TargetMode="External"/><Relationship Id="rId59" Type="http://schemas.openxmlformats.org/officeDocument/2006/relationships/hyperlink" Target="http://www.ucl.ac.uk/ncl/sgsh.shtml" TargetMode="External"/><Relationship Id="rId103" Type="http://schemas.openxmlformats.org/officeDocument/2006/relationships/hyperlink" Target="http://www.uniprot.org/uniprot/Q13286" TargetMode="External"/><Relationship Id="rId124" Type="http://schemas.openxmlformats.org/officeDocument/2006/relationships/hyperlink" Target="http://neuromuscular.wustl.edu/ataxia/domatax.html" TargetMode="External"/><Relationship Id="rId70" Type="http://schemas.openxmlformats.org/officeDocument/2006/relationships/hyperlink" Target="http://www.ncbi.nlm.nih.gov/projects/mapview/maps.cgi?taxid=9606&amp;chr=15&amp;query=CLN6&amp;qstr=CLN6&amp;maps=snp,genes-r,pheno&amp;zoom=2" TargetMode="External"/><Relationship Id="rId91" Type="http://schemas.openxmlformats.org/officeDocument/2006/relationships/hyperlink" Target="http://www.uniprot.org/uniprot/Q13286" TargetMode="External"/><Relationship Id="rId145" Type="http://schemas.openxmlformats.org/officeDocument/2006/relationships/hyperlink" Target="https://medlineplus.gov/genetics/gene/scn1a/" TargetMode="External"/><Relationship Id="rId166" Type="http://schemas.microsoft.com/office/2007/relationships/diagramDrawing" Target="diagrams/drawing3.xml"/><Relationship Id="rId1" Type="http://schemas.openxmlformats.org/officeDocument/2006/relationships/customXml" Target="../customXml/item1.xml"/><Relationship Id="rId28" Type="http://schemas.openxmlformats.org/officeDocument/2006/relationships/hyperlink" Target="http://www.ucl.ac.uk/ncl/cln13ctsf.shtml" TargetMode="External"/><Relationship Id="rId49" Type="http://schemas.openxmlformats.org/officeDocument/2006/relationships/hyperlink" Target="http://www.ucl.ac.uk/ncl/cln5.shtml" TargetMode="External"/><Relationship Id="rId114" Type="http://schemas.openxmlformats.org/officeDocument/2006/relationships/hyperlink" Target="http://neuromuscular.wustl.edu/ataxia/domatax.html" TargetMode="External"/></Relationships>
</file>

<file path=word/diagrams/colors1.xml><?xml version="1.0" encoding="utf-8"?>
<dgm:colorsDef xmlns:dgm="http://schemas.openxmlformats.org/drawingml/2006/diagram" xmlns:a="http://schemas.openxmlformats.org/drawingml/2006/main" uniqueId="urn:microsoft.com/office/officeart/2005/8/colors/accent1_2#4">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2925354-1C13-F74F-A2EB-FC5F8FAC1C35}" type="doc">
      <dgm:prSet loTypeId="urn:microsoft.com/office/officeart/2005/8/layout/hierarchy1" loCatId="" qsTypeId="urn:microsoft.com/office/officeart/2005/8/quickstyle/simple4" qsCatId="simple" csTypeId="urn:microsoft.com/office/officeart/2005/8/colors/accent1_2#4" csCatId="accent1" phldr="1"/>
      <dgm:spPr/>
      <dgm:t>
        <a:bodyPr/>
        <a:lstStyle/>
        <a:p>
          <a:endParaRPr lang="en-US"/>
        </a:p>
      </dgm:t>
    </dgm:pt>
    <dgm:pt modelId="{EBA2C14D-51CE-B74E-8586-F7802B903A4C}">
      <dgm:prSet phldrT="[Text]" custT="1"/>
      <dgm:spPr>
        <a:xfrm>
          <a:off x="1549592" y="482800"/>
          <a:ext cx="937006" cy="43645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threePt" dir="t"/>
        </a:scene3d>
        <a:sp3d>
          <a:bevelT prst="relaxedInset"/>
        </a:sp3d>
      </dgm:spPr>
      <dgm:t>
        <a:bodyPr/>
        <a:lstStyle/>
        <a:p>
          <a:pPr algn="ctr"/>
          <a:r>
            <a:rPr lang="bg-BG" sz="1200" b="1">
              <a:solidFill>
                <a:sysClr val="windowText" lastClr="000000">
                  <a:hueOff val="0"/>
                  <a:satOff val="0"/>
                  <a:lumOff val="0"/>
                  <a:alphaOff val="0"/>
                </a:sysClr>
              </a:solidFill>
              <a:latin typeface="Calibri"/>
              <a:ea typeface="+mn-ea"/>
              <a:cs typeface="+mn-cs"/>
            </a:rPr>
            <a:t>леводопа</a:t>
          </a:r>
          <a:endParaRPr lang="en-US" sz="1200" b="1">
            <a:solidFill>
              <a:sysClr val="windowText" lastClr="000000">
                <a:hueOff val="0"/>
                <a:satOff val="0"/>
                <a:lumOff val="0"/>
                <a:alphaOff val="0"/>
              </a:sysClr>
            </a:solidFill>
            <a:latin typeface="Calibri"/>
            <a:ea typeface="+mn-ea"/>
            <a:cs typeface="+mn-cs"/>
          </a:endParaRPr>
        </a:p>
      </dgm:t>
    </dgm:pt>
    <dgm:pt modelId="{06EB3EBC-6289-7D41-88D5-9BAE0D5CC03C}" type="parTrans" cxnId="{23674930-5CD5-7C44-9AEC-AE9479E4164C}">
      <dgm:prSet/>
      <dgm:spPr/>
      <dgm:t>
        <a:bodyPr/>
        <a:lstStyle/>
        <a:p>
          <a:pPr algn="ctr"/>
          <a:endParaRPr lang="en-US" sz="2800" b="1"/>
        </a:p>
      </dgm:t>
    </dgm:pt>
    <dgm:pt modelId="{28F3BFBE-331E-EB42-BDB5-42C204E16CA1}" type="sibTrans" cxnId="{23674930-5CD5-7C44-9AEC-AE9479E4164C}">
      <dgm:prSet/>
      <dgm:spPr/>
      <dgm:t>
        <a:bodyPr/>
        <a:lstStyle/>
        <a:p>
          <a:pPr algn="ctr"/>
          <a:endParaRPr lang="en-US" sz="2800" b="1"/>
        </a:p>
      </dgm:t>
    </dgm:pt>
    <dgm:pt modelId="{2E50F8A8-0FE1-C54B-B72A-E1D23028B5E0}">
      <dgm:prSet phldrT="[Text]" custT="1"/>
      <dgm:spPr>
        <a:xfrm>
          <a:off x="1120554" y="1103439"/>
          <a:ext cx="936779" cy="531639"/>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threePt" dir="t"/>
        </a:scene3d>
        <a:sp3d>
          <a:bevelT prst="relaxedInset"/>
        </a:sp3d>
      </dgm:spPr>
      <dgm:t>
        <a:bodyPr/>
        <a:lstStyle/>
        <a:p>
          <a:pPr algn="ctr"/>
          <a:r>
            <a:rPr lang="bg-BG" sz="1200" b="1">
              <a:solidFill>
                <a:sysClr val="windowText" lastClr="000000">
                  <a:hueOff val="0"/>
                  <a:satOff val="0"/>
                  <a:lumOff val="0"/>
                  <a:alphaOff val="0"/>
                </a:sysClr>
              </a:solidFill>
              <a:latin typeface="Calibri"/>
              <a:ea typeface="+mn-ea"/>
              <a:cs typeface="+mn-cs"/>
            </a:rPr>
            <a:t>леводопа с </a:t>
          </a:r>
          <a:r>
            <a:rPr lang="en-US" sz="1200" b="1">
              <a:solidFill>
                <a:sysClr val="windowText" lastClr="000000">
                  <a:hueOff val="0"/>
                  <a:satOff val="0"/>
                  <a:lumOff val="0"/>
                  <a:alphaOff val="0"/>
                </a:sysClr>
              </a:solidFill>
              <a:latin typeface="Calibri"/>
              <a:ea typeface="+mn-ea"/>
              <a:cs typeface="+mn-cs"/>
            </a:rPr>
            <a:t>COMT </a:t>
          </a:r>
          <a:r>
            <a:rPr lang="bg-BG" sz="1200" b="1">
              <a:solidFill>
                <a:sysClr val="windowText" lastClr="000000">
                  <a:hueOff val="0"/>
                  <a:satOff val="0"/>
                  <a:lumOff val="0"/>
                  <a:alphaOff val="0"/>
                </a:sysClr>
              </a:solidFill>
              <a:latin typeface="Calibri"/>
              <a:ea typeface="+mn-ea"/>
              <a:cs typeface="+mn-cs"/>
            </a:rPr>
            <a:t>инхибитор</a:t>
          </a:r>
          <a:endParaRPr lang="en-US" sz="1200" b="1">
            <a:solidFill>
              <a:sysClr val="windowText" lastClr="000000">
                <a:hueOff val="0"/>
                <a:satOff val="0"/>
                <a:lumOff val="0"/>
                <a:alphaOff val="0"/>
              </a:sysClr>
            </a:solidFill>
            <a:latin typeface="Calibri"/>
            <a:ea typeface="+mn-ea"/>
            <a:cs typeface="+mn-cs"/>
          </a:endParaRPr>
        </a:p>
      </dgm:t>
    </dgm:pt>
    <dgm:pt modelId="{E30892EB-D29B-A246-9C1E-0069C0377F5B}" type="parTrans" cxnId="{EEB3D112-1B74-424B-BA0B-BCB4B75C8FF7}">
      <dgm:prSet/>
      <dgm:spPr>
        <a:xfrm>
          <a:off x="1512574" y="846702"/>
          <a:ext cx="429151" cy="184185"/>
        </a:xfrm>
        <a:custGeom>
          <a:avLst/>
          <a:gdLst/>
          <a:ahLst/>
          <a:cxnLst/>
          <a:rect l="0" t="0" r="0" b="0"/>
          <a:pathLst>
            <a:path>
              <a:moveTo>
                <a:pt x="429151" y="0"/>
              </a:moveTo>
              <a:lnTo>
                <a:pt x="429151" y="120512"/>
              </a:lnTo>
              <a:lnTo>
                <a:pt x="0" y="120512"/>
              </a:lnTo>
              <a:lnTo>
                <a:pt x="0" y="184185"/>
              </a:lnTo>
            </a:path>
          </a:pathLst>
        </a:custGeom>
        <a:noFill/>
        <a:ln w="9525" cap="flat" cmpd="sng" algn="ctr">
          <a:solidFill>
            <a:srgbClr val="4F81BD">
              <a:shade val="60000"/>
              <a:hueOff val="0"/>
              <a:satOff val="0"/>
              <a:lumOff val="0"/>
              <a:alphaOff val="0"/>
            </a:srgbClr>
          </a:solidFill>
          <a:prstDash val="solid"/>
        </a:ln>
        <a:effectLst/>
        <a:scene3d>
          <a:camera prst="orthographicFront"/>
          <a:lightRig rig="threePt" dir="t"/>
        </a:scene3d>
        <a:sp3d>
          <a:bevelT prst="relaxedInset"/>
        </a:sp3d>
      </dgm:spPr>
      <dgm:t>
        <a:bodyPr/>
        <a:lstStyle/>
        <a:p>
          <a:pPr algn="ctr"/>
          <a:endParaRPr lang="en-US" sz="2800" b="1"/>
        </a:p>
      </dgm:t>
    </dgm:pt>
    <dgm:pt modelId="{745BAFCC-5458-C542-8FEF-8873C59DF2AF}" type="sibTrans" cxnId="{EEB3D112-1B74-424B-BA0B-BCB4B75C8FF7}">
      <dgm:prSet/>
      <dgm:spPr/>
      <dgm:t>
        <a:bodyPr/>
        <a:lstStyle/>
        <a:p>
          <a:pPr algn="ctr"/>
          <a:endParaRPr lang="en-US" sz="2800" b="1"/>
        </a:p>
      </dgm:t>
    </dgm:pt>
    <dgm:pt modelId="{2339F2C9-F5A7-2B40-82A4-4915823851DA}">
      <dgm:prSet phldrT="[Text]" custT="1"/>
      <dgm:spPr>
        <a:xfrm>
          <a:off x="830064" y="1830664"/>
          <a:ext cx="915754" cy="43645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threePt" dir="t"/>
        </a:scene3d>
        <a:sp3d>
          <a:bevelT prst="relaxedInset"/>
        </a:sp3d>
      </dgm:spPr>
      <dgm:t>
        <a:bodyPr/>
        <a:lstStyle/>
        <a:p>
          <a:pPr algn="ctr"/>
          <a:r>
            <a:rPr lang="bg-BG" sz="1200" b="1">
              <a:solidFill>
                <a:sysClr val="windowText" lastClr="000000">
                  <a:hueOff val="0"/>
                  <a:satOff val="0"/>
                  <a:lumOff val="0"/>
                  <a:alphaOff val="0"/>
                </a:sysClr>
              </a:solidFill>
              <a:latin typeface="Calibri"/>
              <a:ea typeface="+mn-ea"/>
              <a:cs typeface="+mn-cs"/>
            </a:rPr>
            <a:t>дуоденала леводопа</a:t>
          </a:r>
          <a:endParaRPr lang="en-US" sz="1200" b="1">
            <a:solidFill>
              <a:sysClr val="windowText" lastClr="000000">
                <a:hueOff val="0"/>
                <a:satOff val="0"/>
                <a:lumOff val="0"/>
                <a:alphaOff val="0"/>
              </a:sysClr>
            </a:solidFill>
            <a:latin typeface="Calibri"/>
            <a:ea typeface="+mn-ea"/>
            <a:cs typeface="+mn-cs"/>
          </a:endParaRPr>
        </a:p>
      </dgm:t>
    </dgm:pt>
    <dgm:pt modelId="{8AFBA95C-8513-C042-A8C7-9B59AB4DD1F6}" type="parTrans" cxnId="{AF59CAE7-87B2-A143-857E-942E61BF1BAF}">
      <dgm:prSet/>
      <dgm:spPr>
        <a:xfrm>
          <a:off x="1211571" y="1562527"/>
          <a:ext cx="301002" cy="195585"/>
        </a:xfrm>
        <a:custGeom>
          <a:avLst/>
          <a:gdLst/>
          <a:ahLst/>
          <a:cxnLst/>
          <a:rect l="0" t="0" r="0" b="0"/>
          <a:pathLst>
            <a:path>
              <a:moveTo>
                <a:pt x="301002" y="0"/>
              </a:moveTo>
              <a:lnTo>
                <a:pt x="301002" y="131912"/>
              </a:lnTo>
              <a:lnTo>
                <a:pt x="0" y="131912"/>
              </a:lnTo>
              <a:lnTo>
                <a:pt x="0" y="195585"/>
              </a:lnTo>
            </a:path>
          </a:pathLst>
        </a:custGeom>
        <a:noFill/>
        <a:ln w="9525" cap="flat" cmpd="sng" algn="ctr">
          <a:solidFill>
            <a:srgbClr val="4F81BD">
              <a:shade val="80000"/>
              <a:hueOff val="0"/>
              <a:satOff val="0"/>
              <a:lumOff val="0"/>
              <a:alphaOff val="0"/>
            </a:srgbClr>
          </a:solidFill>
          <a:prstDash val="solid"/>
        </a:ln>
        <a:effectLst/>
        <a:scene3d>
          <a:camera prst="orthographicFront"/>
          <a:lightRig rig="threePt" dir="t"/>
        </a:scene3d>
        <a:sp3d>
          <a:bevelT prst="relaxedInset"/>
        </a:sp3d>
      </dgm:spPr>
      <dgm:t>
        <a:bodyPr/>
        <a:lstStyle/>
        <a:p>
          <a:pPr algn="ctr"/>
          <a:endParaRPr lang="en-US" sz="2800" b="1"/>
        </a:p>
      </dgm:t>
    </dgm:pt>
    <dgm:pt modelId="{636994F0-E039-874E-B428-59D571D6F74B}" type="sibTrans" cxnId="{AF59CAE7-87B2-A143-857E-942E61BF1BAF}">
      <dgm:prSet/>
      <dgm:spPr/>
      <dgm:t>
        <a:bodyPr/>
        <a:lstStyle/>
        <a:p>
          <a:pPr algn="ctr"/>
          <a:endParaRPr lang="en-US" sz="2800" b="1"/>
        </a:p>
      </dgm:t>
    </dgm:pt>
    <dgm:pt modelId="{42E31DA7-1E56-8F44-88AC-B43D5255E80A}">
      <dgm:prSet phldrT="[Text]" custT="1"/>
      <dgm:spPr>
        <a:xfrm>
          <a:off x="3506671" y="1908030"/>
          <a:ext cx="1141630" cy="43645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threePt" dir="t"/>
        </a:scene3d>
        <a:sp3d>
          <a:bevelT prst="relaxedInset"/>
        </a:sp3d>
      </dgm:spPr>
      <dgm:t>
        <a:bodyPr/>
        <a:lstStyle/>
        <a:p>
          <a:pPr algn="ctr"/>
          <a:r>
            <a:rPr lang="en-US" sz="1200" b="1">
              <a:solidFill>
                <a:sysClr val="windowText" lastClr="000000">
                  <a:hueOff val="0"/>
                  <a:satOff val="0"/>
                  <a:lumOff val="0"/>
                  <a:alphaOff val="0"/>
                </a:sysClr>
              </a:solidFill>
              <a:latin typeface="Calibri"/>
              <a:ea typeface="+mn-ea"/>
              <a:cs typeface="+mn-cs"/>
            </a:rPr>
            <a:t>apomorphine hydrochloride</a:t>
          </a:r>
        </a:p>
      </dgm:t>
    </dgm:pt>
    <dgm:pt modelId="{18EBFA08-5483-8447-AFB1-ED74B5612E3C}" type="parTrans" cxnId="{CE4E66AF-87F6-BC40-B0C2-3641C54FEA75}">
      <dgm:prSet/>
      <dgm:spPr>
        <a:xfrm>
          <a:off x="1512574" y="1562527"/>
          <a:ext cx="2488542" cy="272951"/>
        </a:xfrm>
        <a:custGeom>
          <a:avLst/>
          <a:gdLst/>
          <a:ahLst/>
          <a:cxnLst/>
          <a:rect l="0" t="0" r="0" b="0"/>
          <a:pathLst>
            <a:path>
              <a:moveTo>
                <a:pt x="0" y="0"/>
              </a:moveTo>
              <a:lnTo>
                <a:pt x="0" y="209278"/>
              </a:lnTo>
              <a:lnTo>
                <a:pt x="2488542" y="209278"/>
              </a:lnTo>
              <a:lnTo>
                <a:pt x="2488542" y="272951"/>
              </a:lnTo>
            </a:path>
          </a:pathLst>
        </a:custGeom>
        <a:noFill/>
        <a:ln w="9525" cap="flat" cmpd="sng" algn="ctr">
          <a:solidFill>
            <a:srgbClr val="4F81BD">
              <a:shade val="80000"/>
              <a:hueOff val="0"/>
              <a:satOff val="0"/>
              <a:lumOff val="0"/>
              <a:alphaOff val="0"/>
            </a:srgbClr>
          </a:solidFill>
          <a:prstDash val="solid"/>
        </a:ln>
        <a:effectLst/>
        <a:scene3d>
          <a:camera prst="orthographicFront"/>
          <a:lightRig rig="threePt" dir="t"/>
        </a:scene3d>
        <a:sp3d>
          <a:bevelT prst="relaxedInset"/>
        </a:sp3d>
      </dgm:spPr>
      <dgm:t>
        <a:bodyPr/>
        <a:lstStyle/>
        <a:p>
          <a:pPr algn="ctr"/>
          <a:endParaRPr lang="en-US" sz="2800" b="1"/>
        </a:p>
      </dgm:t>
    </dgm:pt>
    <dgm:pt modelId="{024BE937-BCAD-4A42-B59E-D2B75CF4441D}" type="sibTrans" cxnId="{CE4E66AF-87F6-BC40-B0C2-3641C54FEA75}">
      <dgm:prSet/>
      <dgm:spPr/>
      <dgm:t>
        <a:bodyPr/>
        <a:lstStyle/>
        <a:p>
          <a:pPr algn="ctr"/>
          <a:endParaRPr lang="en-US" sz="2800" b="1"/>
        </a:p>
      </dgm:t>
    </dgm:pt>
    <dgm:pt modelId="{C414FFDA-11AF-0243-82E7-44F2C03289D6}">
      <dgm:prSet phldrT="[Text]" custT="1"/>
      <dgm:spPr>
        <a:xfrm>
          <a:off x="2431551" y="1107707"/>
          <a:ext cx="1034888" cy="43645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threePt" dir="t"/>
        </a:scene3d>
        <a:sp3d>
          <a:bevelT prst="relaxedInset"/>
        </a:sp3d>
      </dgm:spPr>
      <dgm:t>
        <a:bodyPr/>
        <a:lstStyle/>
        <a:p>
          <a:pPr algn="ctr"/>
          <a:r>
            <a:rPr lang="bg-BG" sz="1200" b="1">
              <a:solidFill>
                <a:sysClr val="windowText" lastClr="000000">
                  <a:hueOff val="0"/>
                  <a:satOff val="0"/>
                  <a:lumOff val="0"/>
                  <a:alphaOff val="0"/>
                </a:sysClr>
              </a:solidFill>
              <a:latin typeface="Calibri"/>
              <a:ea typeface="+mn-ea"/>
              <a:cs typeface="+mn-cs"/>
            </a:rPr>
            <a:t>дисперсна леводопа</a:t>
          </a:r>
          <a:endParaRPr lang="en-US" sz="1200" b="1">
            <a:solidFill>
              <a:sysClr val="windowText" lastClr="000000">
                <a:hueOff val="0"/>
                <a:satOff val="0"/>
                <a:lumOff val="0"/>
                <a:alphaOff val="0"/>
              </a:sysClr>
            </a:solidFill>
            <a:latin typeface="Calibri"/>
            <a:ea typeface="+mn-ea"/>
            <a:cs typeface="+mn-cs"/>
          </a:endParaRPr>
        </a:p>
      </dgm:t>
    </dgm:pt>
    <dgm:pt modelId="{BCE2C458-82B0-3F43-9FF8-1ADC34CF7101}" type="parTrans" cxnId="{7BE64795-7C91-9047-83F0-0AFF30108CB3}">
      <dgm:prSet/>
      <dgm:spPr>
        <a:xfrm>
          <a:off x="1941726" y="846702"/>
          <a:ext cx="930899" cy="188454"/>
        </a:xfrm>
        <a:custGeom>
          <a:avLst/>
          <a:gdLst/>
          <a:ahLst/>
          <a:cxnLst/>
          <a:rect l="0" t="0" r="0" b="0"/>
          <a:pathLst>
            <a:path>
              <a:moveTo>
                <a:pt x="0" y="0"/>
              </a:moveTo>
              <a:lnTo>
                <a:pt x="0" y="124780"/>
              </a:lnTo>
              <a:lnTo>
                <a:pt x="930899" y="124780"/>
              </a:lnTo>
              <a:lnTo>
                <a:pt x="930899" y="188454"/>
              </a:lnTo>
            </a:path>
          </a:pathLst>
        </a:custGeom>
        <a:noFill/>
        <a:ln w="9525" cap="flat" cmpd="sng" algn="ctr">
          <a:solidFill>
            <a:srgbClr val="4F81BD">
              <a:shade val="60000"/>
              <a:hueOff val="0"/>
              <a:satOff val="0"/>
              <a:lumOff val="0"/>
              <a:alphaOff val="0"/>
            </a:srgbClr>
          </a:solidFill>
          <a:prstDash val="solid"/>
        </a:ln>
        <a:effectLst/>
        <a:scene3d>
          <a:camera prst="orthographicFront"/>
          <a:lightRig rig="threePt" dir="t"/>
        </a:scene3d>
        <a:sp3d>
          <a:bevelT prst="relaxedInset"/>
        </a:sp3d>
      </dgm:spPr>
      <dgm:t>
        <a:bodyPr/>
        <a:lstStyle/>
        <a:p>
          <a:pPr algn="ctr"/>
          <a:endParaRPr lang="en-US" sz="2800" b="1"/>
        </a:p>
      </dgm:t>
    </dgm:pt>
    <dgm:pt modelId="{B8220D0D-3FFF-9C41-B0E0-4D51783697A0}" type="sibTrans" cxnId="{7BE64795-7C91-9047-83F0-0AFF30108CB3}">
      <dgm:prSet/>
      <dgm:spPr/>
      <dgm:t>
        <a:bodyPr/>
        <a:lstStyle/>
        <a:p>
          <a:pPr algn="ctr"/>
          <a:endParaRPr lang="en-US" sz="2800" b="1"/>
        </a:p>
      </dgm:t>
    </dgm:pt>
    <dgm:pt modelId="{3E9E98BB-6C04-3340-92B9-3889D6FBC3E5}">
      <dgm:prSet custT="1"/>
      <dgm:spPr>
        <a:xfrm>
          <a:off x="2693672" y="471356"/>
          <a:ext cx="1044319" cy="43645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threePt" dir="t"/>
        </a:scene3d>
        <a:sp3d>
          <a:bevelT prst="relaxedInset"/>
        </a:sp3d>
      </dgm:spPr>
      <dgm:t>
        <a:bodyPr/>
        <a:lstStyle/>
        <a:p>
          <a:pPr algn="ctr"/>
          <a:r>
            <a:rPr lang="bg-BG" sz="1200" b="1">
              <a:solidFill>
                <a:sysClr val="windowText" lastClr="000000">
                  <a:hueOff val="0"/>
                  <a:satOff val="0"/>
                  <a:lumOff val="0"/>
                  <a:alphaOff val="0"/>
                </a:sysClr>
              </a:solidFill>
              <a:latin typeface="Calibri"/>
              <a:ea typeface="+mn-ea"/>
              <a:cs typeface="+mn-cs"/>
            </a:rPr>
            <a:t>допаминови агонисти</a:t>
          </a:r>
          <a:endParaRPr lang="en-US" sz="1200" b="1">
            <a:solidFill>
              <a:sysClr val="windowText" lastClr="000000">
                <a:hueOff val="0"/>
                <a:satOff val="0"/>
                <a:lumOff val="0"/>
                <a:alphaOff val="0"/>
              </a:sysClr>
            </a:solidFill>
            <a:latin typeface="Calibri"/>
            <a:ea typeface="+mn-ea"/>
            <a:cs typeface="+mn-cs"/>
          </a:endParaRPr>
        </a:p>
      </dgm:t>
    </dgm:pt>
    <dgm:pt modelId="{7C2C3A38-6F6F-0A46-B9D7-EC7D33868501}" type="parTrans" cxnId="{0FA1AC3C-F9C4-EE46-8626-589DC83FD768}">
      <dgm:prSet/>
      <dgm:spPr/>
      <dgm:t>
        <a:bodyPr/>
        <a:lstStyle/>
        <a:p>
          <a:pPr algn="ctr"/>
          <a:endParaRPr lang="en-US" sz="2800" b="1"/>
        </a:p>
      </dgm:t>
    </dgm:pt>
    <dgm:pt modelId="{492596BB-7065-7F4A-A833-F31C8290ED50}" type="sibTrans" cxnId="{0FA1AC3C-F9C4-EE46-8626-589DC83FD768}">
      <dgm:prSet/>
      <dgm:spPr/>
      <dgm:t>
        <a:bodyPr/>
        <a:lstStyle/>
        <a:p>
          <a:pPr algn="ctr"/>
          <a:endParaRPr lang="en-US" sz="2800" b="1"/>
        </a:p>
      </dgm:t>
    </dgm:pt>
    <dgm:pt modelId="{903DF29D-C589-2344-8B67-DDEAAD2C9B6F}">
      <dgm:prSet custT="1"/>
      <dgm:spPr>
        <a:xfrm>
          <a:off x="4019343" y="447771"/>
          <a:ext cx="1064739" cy="43645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threePt" dir="t"/>
        </a:scene3d>
        <a:sp3d>
          <a:bevelT prst="relaxedInset"/>
        </a:sp3d>
      </dgm:spPr>
      <dgm:t>
        <a:bodyPr/>
        <a:lstStyle/>
        <a:p>
          <a:pPr algn="ctr"/>
          <a:r>
            <a:rPr lang="bg-BG" sz="1200" b="1">
              <a:solidFill>
                <a:sysClr val="windowText" lastClr="000000">
                  <a:hueOff val="0"/>
                  <a:satOff val="0"/>
                  <a:lumOff val="0"/>
                  <a:alphaOff val="0"/>
                </a:sysClr>
              </a:solidFill>
              <a:latin typeface="Calibri"/>
              <a:ea typeface="+mn-ea"/>
              <a:cs typeface="+mn-cs"/>
            </a:rPr>
            <a:t>амантадини</a:t>
          </a:r>
          <a:endParaRPr lang="en-US" sz="1200" b="1">
            <a:solidFill>
              <a:sysClr val="windowText" lastClr="000000">
                <a:hueOff val="0"/>
                <a:satOff val="0"/>
                <a:lumOff val="0"/>
                <a:alphaOff val="0"/>
              </a:sysClr>
            </a:solidFill>
            <a:latin typeface="Calibri"/>
            <a:ea typeface="+mn-ea"/>
            <a:cs typeface="+mn-cs"/>
          </a:endParaRPr>
        </a:p>
      </dgm:t>
    </dgm:pt>
    <dgm:pt modelId="{FB16B8D1-BC04-3D49-9ED7-D717A1576972}" type="parTrans" cxnId="{C9996BD7-1B88-0C4B-BC01-72289B0D383D}">
      <dgm:prSet/>
      <dgm:spPr/>
      <dgm:t>
        <a:bodyPr/>
        <a:lstStyle/>
        <a:p>
          <a:pPr algn="ctr"/>
          <a:endParaRPr lang="en-US" sz="2800" b="1"/>
        </a:p>
      </dgm:t>
    </dgm:pt>
    <dgm:pt modelId="{CC1AFAE5-EB3C-954F-91F0-7CC2DE17A3A2}" type="sibTrans" cxnId="{C9996BD7-1B88-0C4B-BC01-72289B0D383D}">
      <dgm:prSet/>
      <dgm:spPr/>
      <dgm:t>
        <a:bodyPr/>
        <a:lstStyle/>
        <a:p>
          <a:pPr algn="ctr"/>
          <a:endParaRPr lang="en-US" sz="2800" b="1"/>
        </a:p>
      </dgm:t>
    </dgm:pt>
    <dgm:pt modelId="{953D657D-1169-0E44-897E-D86F912F3C51}">
      <dgm:prSet custT="1"/>
      <dgm:spPr>
        <a:xfrm>
          <a:off x="4055193" y="1136797"/>
          <a:ext cx="1038442" cy="43645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threePt" dir="t"/>
        </a:scene3d>
        <a:sp3d>
          <a:bevelT prst="relaxedInset"/>
        </a:sp3d>
      </dgm:spPr>
      <dgm:t>
        <a:bodyPr/>
        <a:lstStyle/>
        <a:p>
          <a:pPr algn="ctr"/>
          <a:r>
            <a:rPr lang="bg-BG" sz="1200" b="1">
              <a:solidFill>
                <a:sysClr val="windowText" lastClr="000000">
                  <a:hueOff val="0"/>
                  <a:satOff val="0"/>
                  <a:lumOff val="0"/>
                  <a:alphaOff val="0"/>
                </a:sysClr>
              </a:solidFill>
              <a:latin typeface="Calibri"/>
              <a:ea typeface="+mn-ea"/>
              <a:cs typeface="+mn-cs"/>
            </a:rPr>
            <a:t>МАО-В инхибитори</a:t>
          </a:r>
          <a:endParaRPr lang="en-US" sz="1200" b="1">
            <a:solidFill>
              <a:sysClr val="windowText" lastClr="000000">
                <a:hueOff val="0"/>
                <a:satOff val="0"/>
                <a:lumOff val="0"/>
                <a:alphaOff val="0"/>
              </a:sysClr>
            </a:solidFill>
            <a:latin typeface="Calibri"/>
            <a:ea typeface="+mn-ea"/>
            <a:cs typeface="+mn-cs"/>
          </a:endParaRPr>
        </a:p>
      </dgm:t>
    </dgm:pt>
    <dgm:pt modelId="{CEC2A6D1-1FB1-424D-913B-3F5B36B980AA}" type="parTrans" cxnId="{0836E81F-8042-084E-B666-1B06C339B8CC}">
      <dgm:prSet/>
      <dgm:spPr>
        <a:xfrm>
          <a:off x="1941726" y="846702"/>
          <a:ext cx="2556318" cy="217543"/>
        </a:xfrm>
        <a:custGeom>
          <a:avLst/>
          <a:gdLst/>
          <a:ahLst/>
          <a:cxnLst/>
          <a:rect l="0" t="0" r="0" b="0"/>
          <a:pathLst>
            <a:path>
              <a:moveTo>
                <a:pt x="0" y="0"/>
              </a:moveTo>
              <a:lnTo>
                <a:pt x="0" y="153870"/>
              </a:lnTo>
              <a:lnTo>
                <a:pt x="2556318" y="153870"/>
              </a:lnTo>
              <a:lnTo>
                <a:pt x="2556318" y="217543"/>
              </a:lnTo>
            </a:path>
          </a:pathLst>
        </a:custGeom>
        <a:noFill/>
        <a:ln w="9525" cap="flat" cmpd="sng" algn="ctr">
          <a:solidFill>
            <a:srgbClr val="4F81BD">
              <a:shade val="60000"/>
              <a:hueOff val="0"/>
              <a:satOff val="0"/>
              <a:lumOff val="0"/>
              <a:alphaOff val="0"/>
            </a:srgbClr>
          </a:solidFill>
          <a:prstDash val="solid"/>
        </a:ln>
        <a:effectLst/>
        <a:scene3d>
          <a:camera prst="orthographicFront"/>
          <a:lightRig rig="threePt" dir="t"/>
        </a:scene3d>
        <a:sp3d>
          <a:bevelT prst="relaxedInset"/>
        </a:sp3d>
      </dgm:spPr>
      <dgm:t>
        <a:bodyPr/>
        <a:lstStyle/>
        <a:p>
          <a:pPr algn="ctr"/>
          <a:endParaRPr lang="en-US" sz="2800" b="1"/>
        </a:p>
      </dgm:t>
    </dgm:pt>
    <dgm:pt modelId="{F235C957-EA55-B142-8E95-D637E2612666}" type="sibTrans" cxnId="{0836E81F-8042-084E-B666-1B06C339B8CC}">
      <dgm:prSet/>
      <dgm:spPr/>
      <dgm:t>
        <a:bodyPr/>
        <a:lstStyle/>
        <a:p>
          <a:pPr algn="ctr"/>
          <a:endParaRPr lang="en-US" sz="2800" b="1"/>
        </a:p>
      </dgm:t>
    </dgm:pt>
    <dgm:pt modelId="{7B337802-5DAD-E742-900A-1606EDA4CB3F}">
      <dgm:prSet custT="1"/>
      <dgm:spPr>
        <a:xfrm>
          <a:off x="2238463" y="1903844"/>
          <a:ext cx="1037528" cy="514674"/>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threePt" dir="t"/>
        </a:scene3d>
        <a:sp3d>
          <a:bevelT prst="relaxedInset"/>
        </a:sp3d>
      </dgm:spPr>
      <dgm:t>
        <a:bodyPr/>
        <a:lstStyle/>
        <a:p>
          <a:r>
            <a:rPr lang="bg-BG" sz="1200" b="1" i="0">
              <a:solidFill>
                <a:sysClr val="windowText" lastClr="000000">
                  <a:hueOff val="0"/>
                  <a:satOff val="0"/>
                  <a:lumOff val="0"/>
                  <a:alphaOff val="0"/>
                </a:sysClr>
              </a:solidFill>
              <a:latin typeface="Calibri"/>
              <a:ea typeface="+mn-ea"/>
              <a:cs typeface="+mn-cs"/>
            </a:rPr>
            <a:t>дълбока мозъчна стимулация</a:t>
          </a:r>
          <a:endParaRPr lang="en-US" sz="1200" b="1" i="0">
            <a:solidFill>
              <a:sysClr val="windowText" lastClr="000000">
                <a:hueOff val="0"/>
                <a:satOff val="0"/>
                <a:lumOff val="0"/>
                <a:alphaOff val="0"/>
              </a:sysClr>
            </a:solidFill>
            <a:latin typeface="Calibri"/>
            <a:ea typeface="+mn-ea"/>
            <a:cs typeface="+mn-cs"/>
          </a:endParaRPr>
        </a:p>
      </dgm:t>
    </dgm:pt>
    <dgm:pt modelId="{A99B6A7D-CE63-AD47-A10C-C4FA08D4A7D6}" type="parTrans" cxnId="{0790023B-CEAD-0D40-B0CA-247841AA9141}">
      <dgm:prSet/>
      <dgm:spPr>
        <a:xfrm>
          <a:off x="1512574" y="1562527"/>
          <a:ext cx="1168283" cy="268765"/>
        </a:xfrm>
        <a:custGeom>
          <a:avLst/>
          <a:gdLst/>
          <a:ahLst/>
          <a:cxnLst/>
          <a:rect l="0" t="0" r="0" b="0"/>
          <a:pathLst>
            <a:path>
              <a:moveTo>
                <a:pt x="0" y="0"/>
              </a:moveTo>
              <a:lnTo>
                <a:pt x="0" y="205092"/>
              </a:lnTo>
              <a:lnTo>
                <a:pt x="1168283" y="205092"/>
              </a:lnTo>
              <a:lnTo>
                <a:pt x="1168283" y="268765"/>
              </a:lnTo>
            </a:path>
          </a:pathLst>
        </a:custGeom>
        <a:noFill/>
        <a:ln w="9525" cap="flat" cmpd="sng" algn="ctr">
          <a:solidFill>
            <a:srgbClr val="4F81BD">
              <a:shade val="80000"/>
              <a:hueOff val="0"/>
              <a:satOff val="0"/>
              <a:lumOff val="0"/>
              <a:alphaOff val="0"/>
            </a:srgbClr>
          </a:solidFill>
          <a:prstDash val="solid"/>
        </a:ln>
        <a:effectLst/>
      </dgm:spPr>
      <dgm:t>
        <a:bodyPr/>
        <a:lstStyle/>
        <a:p>
          <a:endParaRPr lang="en-US"/>
        </a:p>
      </dgm:t>
    </dgm:pt>
    <dgm:pt modelId="{6BC39C69-4DF5-B943-A705-F25DDF7B9505}" type="sibTrans" cxnId="{0790023B-CEAD-0D40-B0CA-247841AA9141}">
      <dgm:prSet/>
      <dgm:spPr/>
      <dgm:t>
        <a:bodyPr/>
        <a:lstStyle/>
        <a:p>
          <a:endParaRPr lang="en-US"/>
        </a:p>
      </dgm:t>
    </dgm:pt>
    <dgm:pt modelId="{14C94962-80E4-3147-BF2C-C7549EDF505F}" type="pres">
      <dgm:prSet presAssocID="{92925354-1C13-F74F-A2EB-FC5F8FAC1C35}" presName="hierChild1" presStyleCnt="0">
        <dgm:presLayoutVars>
          <dgm:chPref val="1"/>
          <dgm:dir/>
          <dgm:animOne val="branch"/>
          <dgm:animLvl val="lvl"/>
          <dgm:resizeHandles/>
        </dgm:presLayoutVars>
      </dgm:prSet>
      <dgm:spPr/>
      <dgm:t>
        <a:bodyPr/>
        <a:lstStyle/>
        <a:p>
          <a:endParaRPr lang="en-US"/>
        </a:p>
      </dgm:t>
    </dgm:pt>
    <dgm:pt modelId="{38A5FBA2-8520-8348-ABE0-F824346B8368}" type="pres">
      <dgm:prSet presAssocID="{EBA2C14D-51CE-B74E-8586-F7802B903A4C}" presName="hierRoot1" presStyleCnt="0"/>
      <dgm:spPr>
        <a:scene3d>
          <a:camera prst="orthographicFront"/>
          <a:lightRig rig="threePt" dir="t"/>
        </a:scene3d>
        <a:sp3d>
          <a:bevelT prst="relaxedInset"/>
        </a:sp3d>
      </dgm:spPr>
    </dgm:pt>
    <dgm:pt modelId="{CE44EA39-6ABB-7A46-BA68-AF35FE0F9AE8}" type="pres">
      <dgm:prSet presAssocID="{EBA2C14D-51CE-B74E-8586-F7802B903A4C}" presName="composite" presStyleCnt="0"/>
      <dgm:spPr>
        <a:scene3d>
          <a:camera prst="orthographicFront"/>
          <a:lightRig rig="threePt" dir="t"/>
        </a:scene3d>
        <a:sp3d>
          <a:bevelT prst="relaxedInset"/>
        </a:sp3d>
      </dgm:spPr>
    </dgm:pt>
    <dgm:pt modelId="{25D76EEB-4CB1-DD4B-A302-7E53480B0997}" type="pres">
      <dgm:prSet presAssocID="{EBA2C14D-51CE-B74E-8586-F7802B903A4C}" presName="background" presStyleLbl="node0" presStyleIdx="0" presStyleCnt="3"/>
      <dgm:spPr>
        <a:xfrm>
          <a:off x="1473223" y="410249"/>
          <a:ext cx="937006" cy="436453"/>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scene3d>
        <a:sp3d>
          <a:bevelT prst="relaxedInset"/>
        </a:sp3d>
      </dgm:spPr>
      <dgm:t>
        <a:bodyPr/>
        <a:lstStyle/>
        <a:p>
          <a:endParaRPr lang="en-US"/>
        </a:p>
      </dgm:t>
    </dgm:pt>
    <dgm:pt modelId="{9D2F72DE-4616-5A41-A07B-92F051C9D848}" type="pres">
      <dgm:prSet presAssocID="{EBA2C14D-51CE-B74E-8586-F7802B903A4C}" presName="text" presStyleLbl="fgAcc0" presStyleIdx="0" presStyleCnt="3" custScaleX="136326" custLinFactX="-38552" custLinFactNeighborX="-100000" custLinFactNeighborY="2622">
        <dgm:presLayoutVars>
          <dgm:chPref val="3"/>
        </dgm:presLayoutVars>
      </dgm:prSet>
      <dgm:spPr/>
      <dgm:t>
        <a:bodyPr/>
        <a:lstStyle/>
        <a:p>
          <a:endParaRPr lang="en-US"/>
        </a:p>
      </dgm:t>
    </dgm:pt>
    <dgm:pt modelId="{1E774AB0-90DB-1042-9870-802768D831D7}" type="pres">
      <dgm:prSet presAssocID="{EBA2C14D-51CE-B74E-8586-F7802B903A4C}" presName="hierChild2" presStyleCnt="0"/>
      <dgm:spPr>
        <a:scene3d>
          <a:camera prst="orthographicFront"/>
          <a:lightRig rig="threePt" dir="t"/>
        </a:scene3d>
        <a:sp3d>
          <a:bevelT prst="relaxedInset"/>
        </a:sp3d>
      </dgm:spPr>
    </dgm:pt>
    <dgm:pt modelId="{DE44A312-AF4A-A74C-8B6B-29CFDBE1CB9D}" type="pres">
      <dgm:prSet presAssocID="{E30892EB-D29B-A246-9C1E-0069C0377F5B}" presName="Name10" presStyleLbl="parChTrans1D2" presStyleIdx="0" presStyleCnt="3"/>
      <dgm:spPr/>
      <dgm:t>
        <a:bodyPr/>
        <a:lstStyle/>
        <a:p>
          <a:endParaRPr lang="en-US"/>
        </a:p>
      </dgm:t>
    </dgm:pt>
    <dgm:pt modelId="{3520780A-77D7-6440-B509-164C6CE08B98}" type="pres">
      <dgm:prSet presAssocID="{2E50F8A8-0FE1-C54B-B72A-E1D23028B5E0}" presName="hierRoot2" presStyleCnt="0"/>
      <dgm:spPr>
        <a:scene3d>
          <a:camera prst="orthographicFront"/>
          <a:lightRig rig="threePt" dir="t"/>
        </a:scene3d>
        <a:sp3d>
          <a:bevelT prst="relaxedInset"/>
        </a:sp3d>
      </dgm:spPr>
    </dgm:pt>
    <dgm:pt modelId="{C38D19A1-C5AB-C141-A335-58EFC024994A}" type="pres">
      <dgm:prSet presAssocID="{2E50F8A8-0FE1-C54B-B72A-E1D23028B5E0}" presName="composite2" presStyleCnt="0"/>
      <dgm:spPr>
        <a:scene3d>
          <a:camera prst="orthographicFront"/>
          <a:lightRig rig="threePt" dir="t"/>
        </a:scene3d>
        <a:sp3d>
          <a:bevelT prst="relaxedInset"/>
        </a:sp3d>
      </dgm:spPr>
    </dgm:pt>
    <dgm:pt modelId="{72C3F0A7-1881-9742-930A-0A77EC04DDF7}" type="pres">
      <dgm:prSet presAssocID="{2E50F8A8-0FE1-C54B-B72A-E1D23028B5E0}" presName="background2" presStyleLbl="node2" presStyleIdx="0" presStyleCnt="3"/>
      <dgm:spPr>
        <a:xfrm>
          <a:off x="1044184" y="1030888"/>
          <a:ext cx="936779" cy="531639"/>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scene3d>
        <a:sp3d>
          <a:bevelT prst="relaxedInset"/>
        </a:sp3d>
      </dgm:spPr>
      <dgm:t>
        <a:bodyPr/>
        <a:lstStyle/>
        <a:p>
          <a:endParaRPr lang="en-US"/>
        </a:p>
      </dgm:t>
    </dgm:pt>
    <dgm:pt modelId="{F209AE56-0B29-D643-9E81-6A0CF84F393B}" type="pres">
      <dgm:prSet presAssocID="{2E50F8A8-0FE1-C54B-B72A-E1D23028B5E0}" presName="text2" presStyleLbl="fgAcc2" presStyleIdx="0" presStyleCnt="3" custScaleX="136293" custScaleY="121809" custLinFactNeighborX="-27942" custLinFactNeighborY="-978">
        <dgm:presLayoutVars>
          <dgm:chPref val="3"/>
        </dgm:presLayoutVars>
      </dgm:prSet>
      <dgm:spPr/>
      <dgm:t>
        <a:bodyPr/>
        <a:lstStyle/>
        <a:p>
          <a:endParaRPr lang="en-US"/>
        </a:p>
      </dgm:t>
    </dgm:pt>
    <dgm:pt modelId="{7B1B1749-B4A4-C048-833B-16A38E23E752}" type="pres">
      <dgm:prSet presAssocID="{2E50F8A8-0FE1-C54B-B72A-E1D23028B5E0}" presName="hierChild3" presStyleCnt="0"/>
      <dgm:spPr>
        <a:scene3d>
          <a:camera prst="orthographicFront"/>
          <a:lightRig rig="threePt" dir="t"/>
        </a:scene3d>
        <a:sp3d>
          <a:bevelT prst="relaxedInset"/>
        </a:sp3d>
      </dgm:spPr>
    </dgm:pt>
    <dgm:pt modelId="{DD1E2FA7-B3BE-B04F-968B-F05E0AE9D821}" type="pres">
      <dgm:prSet presAssocID="{8AFBA95C-8513-C042-A8C7-9B59AB4DD1F6}" presName="Name17" presStyleLbl="parChTrans1D3" presStyleIdx="0" presStyleCnt="3"/>
      <dgm:spPr/>
      <dgm:t>
        <a:bodyPr/>
        <a:lstStyle/>
        <a:p>
          <a:endParaRPr lang="en-US"/>
        </a:p>
      </dgm:t>
    </dgm:pt>
    <dgm:pt modelId="{7A95DC6F-B4F2-004E-9C84-5E61F44F571B}" type="pres">
      <dgm:prSet presAssocID="{2339F2C9-F5A7-2B40-82A4-4915823851DA}" presName="hierRoot3" presStyleCnt="0"/>
      <dgm:spPr>
        <a:scene3d>
          <a:camera prst="orthographicFront"/>
          <a:lightRig rig="threePt" dir="t"/>
        </a:scene3d>
        <a:sp3d>
          <a:bevelT prst="relaxedInset"/>
        </a:sp3d>
      </dgm:spPr>
    </dgm:pt>
    <dgm:pt modelId="{579A0DA5-C88B-1A4E-941C-88B595857BF4}" type="pres">
      <dgm:prSet presAssocID="{2339F2C9-F5A7-2B40-82A4-4915823851DA}" presName="composite3" presStyleCnt="0"/>
      <dgm:spPr>
        <a:scene3d>
          <a:camera prst="orthographicFront"/>
          <a:lightRig rig="threePt" dir="t"/>
        </a:scene3d>
        <a:sp3d>
          <a:bevelT prst="relaxedInset"/>
        </a:sp3d>
      </dgm:spPr>
    </dgm:pt>
    <dgm:pt modelId="{7ACBA369-0D64-2A4F-9A9B-6AC1AEEEF2C9}" type="pres">
      <dgm:prSet presAssocID="{2339F2C9-F5A7-2B40-82A4-4915823851DA}" presName="background3" presStyleLbl="node3" presStyleIdx="0" presStyleCnt="3"/>
      <dgm:spPr>
        <a:xfrm>
          <a:off x="753694" y="1758113"/>
          <a:ext cx="915754" cy="436453"/>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scene3d>
        <a:sp3d>
          <a:bevelT prst="relaxedInset"/>
        </a:sp3d>
      </dgm:spPr>
      <dgm:t>
        <a:bodyPr/>
        <a:lstStyle/>
        <a:p>
          <a:endParaRPr lang="en-US"/>
        </a:p>
      </dgm:t>
    </dgm:pt>
    <dgm:pt modelId="{0D953DB1-D143-8D46-8D2E-BC888A70D9A0}" type="pres">
      <dgm:prSet presAssocID="{2339F2C9-F5A7-2B40-82A4-4915823851DA}" presName="text3" presStyleLbl="fgAcc3" presStyleIdx="0" presStyleCnt="3" custScaleX="133234" custLinFactX="9011" custLinFactNeighborX="100000" custLinFactNeighborY="-1966">
        <dgm:presLayoutVars>
          <dgm:chPref val="3"/>
        </dgm:presLayoutVars>
      </dgm:prSet>
      <dgm:spPr/>
      <dgm:t>
        <a:bodyPr/>
        <a:lstStyle/>
        <a:p>
          <a:endParaRPr lang="en-US"/>
        </a:p>
      </dgm:t>
    </dgm:pt>
    <dgm:pt modelId="{9E114FFA-F5A2-854B-BDAC-02925E925E33}" type="pres">
      <dgm:prSet presAssocID="{2339F2C9-F5A7-2B40-82A4-4915823851DA}" presName="hierChild4" presStyleCnt="0"/>
      <dgm:spPr>
        <a:scene3d>
          <a:camera prst="orthographicFront"/>
          <a:lightRig rig="threePt" dir="t"/>
        </a:scene3d>
        <a:sp3d>
          <a:bevelT prst="relaxedInset"/>
        </a:sp3d>
      </dgm:spPr>
    </dgm:pt>
    <dgm:pt modelId="{A31F8FA6-2DFA-B448-92C0-2957ABC74ECD}" type="pres">
      <dgm:prSet presAssocID="{18EBFA08-5483-8447-AFB1-ED74B5612E3C}" presName="Name17" presStyleLbl="parChTrans1D3" presStyleIdx="1" presStyleCnt="3"/>
      <dgm:spPr/>
      <dgm:t>
        <a:bodyPr/>
        <a:lstStyle/>
        <a:p>
          <a:endParaRPr lang="en-US"/>
        </a:p>
      </dgm:t>
    </dgm:pt>
    <dgm:pt modelId="{8C4A959B-5F8F-994C-AB44-79593EC2A0DD}" type="pres">
      <dgm:prSet presAssocID="{42E31DA7-1E56-8F44-88AC-B43D5255E80A}" presName="hierRoot3" presStyleCnt="0"/>
      <dgm:spPr>
        <a:scene3d>
          <a:camera prst="orthographicFront"/>
          <a:lightRig rig="threePt" dir="t"/>
        </a:scene3d>
        <a:sp3d>
          <a:bevelT prst="relaxedInset"/>
        </a:sp3d>
      </dgm:spPr>
    </dgm:pt>
    <dgm:pt modelId="{4970B585-249F-CD43-B5F5-38267494E3C3}" type="pres">
      <dgm:prSet presAssocID="{42E31DA7-1E56-8F44-88AC-B43D5255E80A}" presName="composite3" presStyleCnt="0"/>
      <dgm:spPr>
        <a:scene3d>
          <a:camera prst="orthographicFront"/>
          <a:lightRig rig="threePt" dir="t"/>
        </a:scene3d>
        <a:sp3d>
          <a:bevelT prst="relaxedInset"/>
        </a:sp3d>
      </dgm:spPr>
    </dgm:pt>
    <dgm:pt modelId="{844A0929-0ED5-4244-B302-F25ABC12314F}" type="pres">
      <dgm:prSet presAssocID="{42E31DA7-1E56-8F44-88AC-B43D5255E80A}" presName="background3" presStyleLbl="node3" presStyleIdx="1" presStyleCnt="3"/>
      <dgm:spPr>
        <a:xfrm>
          <a:off x="3430301" y="1835478"/>
          <a:ext cx="1141630" cy="436453"/>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scene3d>
        <a:sp3d>
          <a:bevelT prst="relaxedInset"/>
        </a:sp3d>
      </dgm:spPr>
      <dgm:t>
        <a:bodyPr/>
        <a:lstStyle/>
        <a:p>
          <a:endParaRPr lang="en-US"/>
        </a:p>
      </dgm:t>
    </dgm:pt>
    <dgm:pt modelId="{7FEF44C3-3CCD-0740-B284-9D8C7B9F0CEB}" type="pres">
      <dgm:prSet presAssocID="{42E31DA7-1E56-8F44-88AC-B43D5255E80A}" presName="text3" presStyleLbl="fgAcc3" presStyleIdx="1" presStyleCnt="3" custScaleX="166097" custLinFactX="142977" custLinFactNeighborX="200000" custLinFactNeighborY="15760">
        <dgm:presLayoutVars>
          <dgm:chPref val="3"/>
        </dgm:presLayoutVars>
      </dgm:prSet>
      <dgm:spPr/>
      <dgm:t>
        <a:bodyPr/>
        <a:lstStyle/>
        <a:p>
          <a:endParaRPr lang="en-US"/>
        </a:p>
      </dgm:t>
    </dgm:pt>
    <dgm:pt modelId="{ABE20E22-4339-0248-8BC5-DD55D0F6B16A}" type="pres">
      <dgm:prSet presAssocID="{42E31DA7-1E56-8F44-88AC-B43D5255E80A}" presName="hierChild4" presStyleCnt="0"/>
      <dgm:spPr>
        <a:scene3d>
          <a:camera prst="orthographicFront"/>
          <a:lightRig rig="threePt" dir="t"/>
        </a:scene3d>
        <a:sp3d>
          <a:bevelT prst="relaxedInset"/>
        </a:sp3d>
      </dgm:spPr>
    </dgm:pt>
    <dgm:pt modelId="{37DDE2C3-32A1-4645-8229-9AACEEEBAEB9}" type="pres">
      <dgm:prSet presAssocID="{A99B6A7D-CE63-AD47-A10C-C4FA08D4A7D6}" presName="Name17" presStyleLbl="parChTrans1D3" presStyleIdx="2" presStyleCnt="3"/>
      <dgm:spPr/>
      <dgm:t>
        <a:bodyPr/>
        <a:lstStyle/>
        <a:p>
          <a:endParaRPr lang="en-US"/>
        </a:p>
      </dgm:t>
    </dgm:pt>
    <dgm:pt modelId="{A36CFC1D-82FB-DE43-99F0-02557AF601F4}" type="pres">
      <dgm:prSet presAssocID="{7B337802-5DAD-E742-900A-1606EDA4CB3F}" presName="hierRoot3" presStyleCnt="0"/>
      <dgm:spPr/>
    </dgm:pt>
    <dgm:pt modelId="{E07CA857-CF26-164D-87C9-E1A2D3784261}" type="pres">
      <dgm:prSet presAssocID="{7B337802-5DAD-E742-900A-1606EDA4CB3F}" presName="composite3" presStyleCnt="0"/>
      <dgm:spPr/>
    </dgm:pt>
    <dgm:pt modelId="{DC595914-55FC-044D-BBBF-86F98477640A}" type="pres">
      <dgm:prSet presAssocID="{7B337802-5DAD-E742-900A-1606EDA4CB3F}" presName="background3" presStyleLbl="node3" presStyleIdx="2" presStyleCnt="3"/>
      <dgm:spPr>
        <a:xfrm>
          <a:off x="2162094" y="1831293"/>
          <a:ext cx="1037528" cy="514674"/>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t>
        <a:bodyPr/>
        <a:lstStyle/>
        <a:p>
          <a:endParaRPr lang="en-US"/>
        </a:p>
      </dgm:t>
    </dgm:pt>
    <dgm:pt modelId="{26FE4175-8D3C-F944-8377-D50D41EE44B3}" type="pres">
      <dgm:prSet presAssocID="{7B337802-5DAD-E742-900A-1606EDA4CB3F}" presName="text3" presStyleLbl="fgAcc3" presStyleIdx="2" presStyleCnt="3" custScaleX="150951" custScaleY="117922" custLinFactNeighborX="-29855" custLinFactNeighborY="14801">
        <dgm:presLayoutVars>
          <dgm:chPref val="3"/>
        </dgm:presLayoutVars>
      </dgm:prSet>
      <dgm:spPr/>
      <dgm:t>
        <a:bodyPr/>
        <a:lstStyle/>
        <a:p>
          <a:endParaRPr lang="en-US"/>
        </a:p>
      </dgm:t>
    </dgm:pt>
    <dgm:pt modelId="{B15BF629-761D-2C4E-8DA7-3513ABA2F24F}" type="pres">
      <dgm:prSet presAssocID="{7B337802-5DAD-E742-900A-1606EDA4CB3F}" presName="hierChild4" presStyleCnt="0"/>
      <dgm:spPr/>
    </dgm:pt>
    <dgm:pt modelId="{38A52889-BA98-2D4D-A606-A262FE9B7B05}" type="pres">
      <dgm:prSet presAssocID="{BCE2C458-82B0-3F43-9FF8-1ADC34CF7101}" presName="Name10" presStyleLbl="parChTrans1D2" presStyleIdx="1" presStyleCnt="3"/>
      <dgm:spPr/>
      <dgm:t>
        <a:bodyPr/>
        <a:lstStyle/>
        <a:p>
          <a:endParaRPr lang="en-US"/>
        </a:p>
      </dgm:t>
    </dgm:pt>
    <dgm:pt modelId="{0574B1F6-A9CB-9446-BC9E-B8A3BE40070C}" type="pres">
      <dgm:prSet presAssocID="{C414FFDA-11AF-0243-82E7-44F2C03289D6}" presName="hierRoot2" presStyleCnt="0"/>
      <dgm:spPr>
        <a:scene3d>
          <a:camera prst="orthographicFront"/>
          <a:lightRig rig="threePt" dir="t"/>
        </a:scene3d>
        <a:sp3d>
          <a:bevelT prst="relaxedInset"/>
        </a:sp3d>
      </dgm:spPr>
    </dgm:pt>
    <dgm:pt modelId="{8910A1C7-1AC6-1B49-B592-D463A926B00C}" type="pres">
      <dgm:prSet presAssocID="{C414FFDA-11AF-0243-82E7-44F2C03289D6}" presName="composite2" presStyleCnt="0"/>
      <dgm:spPr>
        <a:scene3d>
          <a:camera prst="orthographicFront"/>
          <a:lightRig rig="threePt" dir="t"/>
        </a:scene3d>
        <a:sp3d>
          <a:bevelT prst="relaxedInset"/>
        </a:sp3d>
      </dgm:spPr>
    </dgm:pt>
    <dgm:pt modelId="{8F7F2676-4FFB-A84D-B7A6-D13C2D982490}" type="pres">
      <dgm:prSet presAssocID="{C414FFDA-11AF-0243-82E7-44F2C03289D6}" presName="background2" presStyleLbl="node2" presStyleIdx="1" presStyleCnt="3"/>
      <dgm:spPr>
        <a:xfrm>
          <a:off x="2355181" y="1035156"/>
          <a:ext cx="1034888" cy="436453"/>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scene3d>
        <a:sp3d>
          <a:bevelT prst="relaxedInset"/>
        </a:sp3d>
      </dgm:spPr>
      <dgm:t>
        <a:bodyPr/>
        <a:lstStyle/>
        <a:p>
          <a:endParaRPr lang="en-US"/>
        </a:p>
      </dgm:t>
    </dgm:pt>
    <dgm:pt modelId="{DF9A7659-FC87-9044-9C65-5B90FB6F5EE8}" type="pres">
      <dgm:prSet presAssocID="{C414FFDA-11AF-0243-82E7-44F2C03289D6}" presName="text2" presStyleLbl="fgAcc2" presStyleIdx="1" presStyleCnt="3" custScaleX="150567" custLinFactNeighborX="4281">
        <dgm:presLayoutVars>
          <dgm:chPref val="3"/>
        </dgm:presLayoutVars>
      </dgm:prSet>
      <dgm:spPr/>
      <dgm:t>
        <a:bodyPr/>
        <a:lstStyle/>
        <a:p>
          <a:endParaRPr lang="en-US"/>
        </a:p>
      </dgm:t>
    </dgm:pt>
    <dgm:pt modelId="{3AE1F6A3-0D2B-D84C-8DCB-C0EDCA8F4B4F}" type="pres">
      <dgm:prSet presAssocID="{C414FFDA-11AF-0243-82E7-44F2C03289D6}" presName="hierChild3" presStyleCnt="0"/>
      <dgm:spPr>
        <a:scene3d>
          <a:camera prst="orthographicFront"/>
          <a:lightRig rig="threePt" dir="t"/>
        </a:scene3d>
        <a:sp3d>
          <a:bevelT prst="relaxedInset"/>
        </a:sp3d>
      </dgm:spPr>
    </dgm:pt>
    <dgm:pt modelId="{9D019276-0338-8D42-B2C7-060FD6141AF3}" type="pres">
      <dgm:prSet presAssocID="{CEC2A6D1-1FB1-424D-913B-3F5B36B980AA}" presName="Name10" presStyleLbl="parChTrans1D2" presStyleIdx="2" presStyleCnt="3"/>
      <dgm:spPr/>
      <dgm:t>
        <a:bodyPr/>
        <a:lstStyle/>
        <a:p>
          <a:endParaRPr lang="en-US"/>
        </a:p>
      </dgm:t>
    </dgm:pt>
    <dgm:pt modelId="{F7CACE3B-A65C-3C4B-AD47-BEC4D5A59C47}" type="pres">
      <dgm:prSet presAssocID="{953D657D-1169-0E44-897E-D86F912F3C51}" presName="hierRoot2" presStyleCnt="0"/>
      <dgm:spPr>
        <a:scene3d>
          <a:camera prst="orthographicFront"/>
          <a:lightRig rig="threePt" dir="t"/>
        </a:scene3d>
        <a:sp3d>
          <a:bevelT prst="relaxedInset"/>
        </a:sp3d>
      </dgm:spPr>
    </dgm:pt>
    <dgm:pt modelId="{9F5EB45C-1823-234A-9CC8-EE02FAD2D9ED}" type="pres">
      <dgm:prSet presAssocID="{953D657D-1169-0E44-897E-D86F912F3C51}" presName="composite2" presStyleCnt="0"/>
      <dgm:spPr>
        <a:scene3d>
          <a:camera prst="orthographicFront"/>
          <a:lightRig rig="threePt" dir="t"/>
        </a:scene3d>
        <a:sp3d>
          <a:bevelT prst="relaxedInset"/>
        </a:sp3d>
      </dgm:spPr>
    </dgm:pt>
    <dgm:pt modelId="{C3B9E77F-C776-B644-A42E-841BB0C8F93A}" type="pres">
      <dgm:prSet presAssocID="{953D657D-1169-0E44-897E-D86F912F3C51}" presName="background2" presStyleLbl="node2" presStyleIdx="2" presStyleCnt="3"/>
      <dgm:spPr>
        <a:xfrm>
          <a:off x="3978823" y="1064246"/>
          <a:ext cx="1038442" cy="436453"/>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scene3d>
        <a:sp3d>
          <a:bevelT prst="relaxedInset"/>
        </a:sp3d>
      </dgm:spPr>
      <dgm:t>
        <a:bodyPr/>
        <a:lstStyle/>
        <a:p>
          <a:endParaRPr lang="en-US"/>
        </a:p>
      </dgm:t>
    </dgm:pt>
    <dgm:pt modelId="{8BFEEE06-B7A1-3745-A6EC-6C4204093C44}" type="pres">
      <dgm:prSet presAssocID="{953D657D-1169-0E44-897E-D86F912F3C51}" presName="text2" presStyleLbl="fgAcc2" presStyleIdx="2" presStyleCnt="3" custScaleX="151084" custLinFactNeighborX="67717" custLinFactNeighborY="6665">
        <dgm:presLayoutVars>
          <dgm:chPref val="3"/>
        </dgm:presLayoutVars>
      </dgm:prSet>
      <dgm:spPr/>
      <dgm:t>
        <a:bodyPr/>
        <a:lstStyle/>
        <a:p>
          <a:endParaRPr lang="en-US"/>
        </a:p>
      </dgm:t>
    </dgm:pt>
    <dgm:pt modelId="{BE001FA6-1E3F-FE4B-BE6D-C9FF92D7F16E}" type="pres">
      <dgm:prSet presAssocID="{953D657D-1169-0E44-897E-D86F912F3C51}" presName="hierChild3" presStyleCnt="0"/>
      <dgm:spPr>
        <a:scene3d>
          <a:camera prst="orthographicFront"/>
          <a:lightRig rig="threePt" dir="t"/>
        </a:scene3d>
        <a:sp3d>
          <a:bevelT prst="relaxedInset"/>
        </a:sp3d>
      </dgm:spPr>
    </dgm:pt>
    <dgm:pt modelId="{2078370B-7F9A-7B46-A6B7-A38CDC78F60A}" type="pres">
      <dgm:prSet presAssocID="{3E9E98BB-6C04-3340-92B9-3889D6FBC3E5}" presName="hierRoot1" presStyleCnt="0"/>
      <dgm:spPr>
        <a:scene3d>
          <a:camera prst="orthographicFront"/>
          <a:lightRig rig="threePt" dir="t"/>
        </a:scene3d>
        <a:sp3d>
          <a:bevelT prst="relaxedInset"/>
        </a:sp3d>
      </dgm:spPr>
    </dgm:pt>
    <dgm:pt modelId="{315714C9-C040-244A-909A-D1B7F4857AF1}" type="pres">
      <dgm:prSet presAssocID="{3E9E98BB-6C04-3340-92B9-3889D6FBC3E5}" presName="composite" presStyleCnt="0"/>
      <dgm:spPr>
        <a:scene3d>
          <a:camera prst="orthographicFront"/>
          <a:lightRig rig="threePt" dir="t"/>
        </a:scene3d>
        <a:sp3d>
          <a:bevelT prst="relaxedInset"/>
        </a:sp3d>
      </dgm:spPr>
    </dgm:pt>
    <dgm:pt modelId="{60D832DA-B76F-A14B-8326-0EC2B5A7D4BB}" type="pres">
      <dgm:prSet presAssocID="{3E9E98BB-6C04-3340-92B9-3889D6FBC3E5}" presName="background" presStyleLbl="node0" presStyleIdx="1" presStyleCnt="3"/>
      <dgm:spPr>
        <a:xfrm>
          <a:off x="2617302" y="398805"/>
          <a:ext cx="1044319" cy="436453"/>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scene3d>
        <a:sp3d>
          <a:bevelT prst="relaxedInset"/>
        </a:sp3d>
      </dgm:spPr>
      <dgm:t>
        <a:bodyPr/>
        <a:lstStyle/>
        <a:p>
          <a:endParaRPr lang="en-US"/>
        </a:p>
      </dgm:t>
    </dgm:pt>
    <dgm:pt modelId="{DB0CCE20-17F3-3C44-A5C0-230C5B209580}" type="pres">
      <dgm:prSet presAssocID="{3E9E98BB-6C04-3340-92B9-3889D6FBC3E5}" presName="text" presStyleLbl="fgAcc0" presStyleIdx="1" presStyleCnt="3" custScaleX="151939" custLinFactX="-30647" custLinFactNeighborX="-100000" custLinFactNeighborY="0">
        <dgm:presLayoutVars>
          <dgm:chPref val="3"/>
        </dgm:presLayoutVars>
      </dgm:prSet>
      <dgm:spPr/>
      <dgm:t>
        <a:bodyPr/>
        <a:lstStyle/>
        <a:p>
          <a:endParaRPr lang="en-US"/>
        </a:p>
      </dgm:t>
    </dgm:pt>
    <dgm:pt modelId="{09787C24-F544-8E41-ADD1-84D5075235A2}" type="pres">
      <dgm:prSet presAssocID="{3E9E98BB-6C04-3340-92B9-3889D6FBC3E5}" presName="hierChild2" presStyleCnt="0"/>
      <dgm:spPr>
        <a:scene3d>
          <a:camera prst="orthographicFront"/>
          <a:lightRig rig="threePt" dir="t"/>
        </a:scene3d>
        <a:sp3d>
          <a:bevelT prst="relaxedInset"/>
        </a:sp3d>
      </dgm:spPr>
    </dgm:pt>
    <dgm:pt modelId="{FC97C922-6673-C34D-BD8D-D15E7E1243B2}" type="pres">
      <dgm:prSet presAssocID="{903DF29D-C589-2344-8B67-DDEAAD2C9B6F}" presName="hierRoot1" presStyleCnt="0"/>
      <dgm:spPr>
        <a:scene3d>
          <a:camera prst="orthographicFront"/>
          <a:lightRig rig="threePt" dir="t"/>
        </a:scene3d>
        <a:sp3d>
          <a:bevelT prst="relaxedInset"/>
        </a:sp3d>
      </dgm:spPr>
    </dgm:pt>
    <dgm:pt modelId="{F52525C4-D79D-D94C-8549-B88EE6E4C91D}" type="pres">
      <dgm:prSet presAssocID="{903DF29D-C589-2344-8B67-DDEAAD2C9B6F}" presName="composite" presStyleCnt="0"/>
      <dgm:spPr>
        <a:scene3d>
          <a:camera prst="orthographicFront"/>
          <a:lightRig rig="threePt" dir="t"/>
        </a:scene3d>
        <a:sp3d>
          <a:bevelT prst="relaxedInset"/>
        </a:sp3d>
      </dgm:spPr>
    </dgm:pt>
    <dgm:pt modelId="{D4732B90-23D1-7F41-99B0-109E626069DA}" type="pres">
      <dgm:prSet presAssocID="{903DF29D-C589-2344-8B67-DDEAAD2C9B6F}" presName="background" presStyleLbl="node0" presStyleIdx="2" presStyleCnt="3"/>
      <dgm:spPr>
        <a:xfrm>
          <a:off x="3942973" y="375219"/>
          <a:ext cx="1064739" cy="436453"/>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scene3d>
        <a:sp3d>
          <a:bevelT prst="relaxedInset"/>
        </a:sp3d>
      </dgm:spPr>
      <dgm:t>
        <a:bodyPr/>
        <a:lstStyle/>
        <a:p>
          <a:endParaRPr lang="en-US"/>
        </a:p>
      </dgm:t>
    </dgm:pt>
    <dgm:pt modelId="{9A6BB072-E6ED-1548-84CB-6721D6554C67}" type="pres">
      <dgm:prSet presAssocID="{903DF29D-C589-2344-8B67-DDEAAD2C9B6F}" presName="text" presStyleLbl="fgAcc0" presStyleIdx="2" presStyleCnt="3" custScaleX="154910" custLinFactX="-11935" custLinFactNeighborX="-100000" custLinFactNeighborY="-5404">
        <dgm:presLayoutVars>
          <dgm:chPref val="3"/>
        </dgm:presLayoutVars>
      </dgm:prSet>
      <dgm:spPr/>
      <dgm:t>
        <a:bodyPr/>
        <a:lstStyle/>
        <a:p>
          <a:endParaRPr lang="en-US"/>
        </a:p>
      </dgm:t>
    </dgm:pt>
    <dgm:pt modelId="{7EFBE73E-99C7-B84B-9B49-B0EB35844FDC}" type="pres">
      <dgm:prSet presAssocID="{903DF29D-C589-2344-8B67-DDEAAD2C9B6F}" presName="hierChild2" presStyleCnt="0"/>
      <dgm:spPr>
        <a:scene3d>
          <a:camera prst="orthographicFront"/>
          <a:lightRig rig="threePt" dir="t"/>
        </a:scene3d>
        <a:sp3d>
          <a:bevelT prst="relaxedInset"/>
        </a:sp3d>
      </dgm:spPr>
    </dgm:pt>
  </dgm:ptLst>
  <dgm:cxnLst>
    <dgm:cxn modelId="{C9996BD7-1B88-0C4B-BC01-72289B0D383D}" srcId="{92925354-1C13-F74F-A2EB-FC5F8FAC1C35}" destId="{903DF29D-C589-2344-8B67-DDEAAD2C9B6F}" srcOrd="2" destOrd="0" parTransId="{FB16B8D1-BC04-3D49-9ED7-D717A1576972}" sibTransId="{CC1AFAE5-EB3C-954F-91F0-7CC2DE17A3A2}"/>
    <dgm:cxn modelId="{0BF05B11-ADBD-40C0-A603-454A881B7677}" type="presOf" srcId="{953D657D-1169-0E44-897E-D86F912F3C51}" destId="{8BFEEE06-B7A1-3745-A6EC-6C4204093C44}" srcOrd="0" destOrd="0" presId="urn:microsoft.com/office/officeart/2005/8/layout/hierarchy1"/>
    <dgm:cxn modelId="{1A05CBF1-AD3A-4DBB-BBFA-C85ECA86FA99}" type="presOf" srcId="{903DF29D-C589-2344-8B67-DDEAAD2C9B6F}" destId="{9A6BB072-E6ED-1548-84CB-6721D6554C67}" srcOrd="0" destOrd="0" presId="urn:microsoft.com/office/officeart/2005/8/layout/hierarchy1"/>
    <dgm:cxn modelId="{EEB3D112-1B74-424B-BA0B-BCB4B75C8FF7}" srcId="{EBA2C14D-51CE-B74E-8586-F7802B903A4C}" destId="{2E50F8A8-0FE1-C54B-B72A-E1D23028B5E0}" srcOrd="0" destOrd="0" parTransId="{E30892EB-D29B-A246-9C1E-0069C0377F5B}" sibTransId="{745BAFCC-5458-C542-8FEF-8873C59DF2AF}"/>
    <dgm:cxn modelId="{0790023B-CEAD-0D40-B0CA-247841AA9141}" srcId="{2E50F8A8-0FE1-C54B-B72A-E1D23028B5E0}" destId="{7B337802-5DAD-E742-900A-1606EDA4CB3F}" srcOrd="2" destOrd="0" parTransId="{A99B6A7D-CE63-AD47-A10C-C4FA08D4A7D6}" sibTransId="{6BC39C69-4DF5-B943-A705-F25DDF7B9505}"/>
    <dgm:cxn modelId="{C461BFA1-B1A6-4FE2-AF8D-2C7B7E93C0BA}" type="presOf" srcId="{18EBFA08-5483-8447-AFB1-ED74B5612E3C}" destId="{A31F8FA6-2DFA-B448-92C0-2957ABC74ECD}" srcOrd="0" destOrd="0" presId="urn:microsoft.com/office/officeart/2005/8/layout/hierarchy1"/>
    <dgm:cxn modelId="{157D9D84-6DDD-4A52-9342-A776E67B5839}" type="presOf" srcId="{C414FFDA-11AF-0243-82E7-44F2C03289D6}" destId="{DF9A7659-FC87-9044-9C65-5B90FB6F5EE8}" srcOrd="0" destOrd="0" presId="urn:microsoft.com/office/officeart/2005/8/layout/hierarchy1"/>
    <dgm:cxn modelId="{CE4E66AF-87F6-BC40-B0C2-3641C54FEA75}" srcId="{2E50F8A8-0FE1-C54B-B72A-E1D23028B5E0}" destId="{42E31DA7-1E56-8F44-88AC-B43D5255E80A}" srcOrd="1" destOrd="0" parTransId="{18EBFA08-5483-8447-AFB1-ED74B5612E3C}" sibTransId="{024BE937-BCAD-4A42-B59E-D2B75CF4441D}"/>
    <dgm:cxn modelId="{A6FD3527-01CD-46BD-AF87-14E059CDE845}" type="presOf" srcId="{BCE2C458-82B0-3F43-9FF8-1ADC34CF7101}" destId="{38A52889-BA98-2D4D-A606-A262FE9B7B05}" srcOrd="0" destOrd="0" presId="urn:microsoft.com/office/officeart/2005/8/layout/hierarchy1"/>
    <dgm:cxn modelId="{B629E915-789A-4E4A-9CA5-A8B93432F078}" type="presOf" srcId="{A99B6A7D-CE63-AD47-A10C-C4FA08D4A7D6}" destId="{37DDE2C3-32A1-4645-8229-9AACEEEBAEB9}" srcOrd="0" destOrd="0" presId="urn:microsoft.com/office/officeart/2005/8/layout/hierarchy1"/>
    <dgm:cxn modelId="{DE7B0B06-D997-4297-930C-FB54805F0934}" type="presOf" srcId="{E30892EB-D29B-A246-9C1E-0069C0377F5B}" destId="{DE44A312-AF4A-A74C-8B6B-29CFDBE1CB9D}" srcOrd="0" destOrd="0" presId="urn:microsoft.com/office/officeart/2005/8/layout/hierarchy1"/>
    <dgm:cxn modelId="{0FA1AC3C-F9C4-EE46-8626-589DC83FD768}" srcId="{92925354-1C13-F74F-A2EB-FC5F8FAC1C35}" destId="{3E9E98BB-6C04-3340-92B9-3889D6FBC3E5}" srcOrd="1" destOrd="0" parTransId="{7C2C3A38-6F6F-0A46-B9D7-EC7D33868501}" sibTransId="{492596BB-7065-7F4A-A833-F31C8290ED50}"/>
    <dgm:cxn modelId="{52C650EA-4637-44DC-AF79-96D9AB33BE7C}" type="presOf" srcId="{3E9E98BB-6C04-3340-92B9-3889D6FBC3E5}" destId="{DB0CCE20-17F3-3C44-A5C0-230C5B209580}" srcOrd="0" destOrd="0" presId="urn:microsoft.com/office/officeart/2005/8/layout/hierarchy1"/>
    <dgm:cxn modelId="{23674930-5CD5-7C44-9AEC-AE9479E4164C}" srcId="{92925354-1C13-F74F-A2EB-FC5F8FAC1C35}" destId="{EBA2C14D-51CE-B74E-8586-F7802B903A4C}" srcOrd="0" destOrd="0" parTransId="{06EB3EBC-6289-7D41-88D5-9BAE0D5CC03C}" sibTransId="{28F3BFBE-331E-EB42-BDB5-42C204E16CA1}"/>
    <dgm:cxn modelId="{E48CB4E7-0EC5-49DF-951F-55A1A96B0242}" type="presOf" srcId="{42E31DA7-1E56-8F44-88AC-B43D5255E80A}" destId="{7FEF44C3-3CCD-0740-B284-9D8C7B9F0CEB}" srcOrd="0" destOrd="0" presId="urn:microsoft.com/office/officeart/2005/8/layout/hierarchy1"/>
    <dgm:cxn modelId="{7BE64795-7C91-9047-83F0-0AFF30108CB3}" srcId="{EBA2C14D-51CE-B74E-8586-F7802B903A4C}" destId="{C414FFDA-11AF-0243-82E7-44F2C03289D6}" srcOrd="1" destOrd="0" parTransId="{BCE2C458-82B0-3F43-9FF8-1ADC34CF7101}" sibTransId="{B8220D0D-3FFF-9C41-B0E0-4D51783697A0}"/>
    <dgm:cxn modelId="{87E6479E-1588-4FAB-B86C-0C9A3B5031E6}" type="presOf" srcId="{7B337802-5DAD-E742-900A-1606EDA4CB3F}" destId="{26FE4175-8D3C-F944-8377-D50D41EE44B3}" srcOrd="0" destOrd="0" presId="urn:microsoft.com/office/officeart/2005/8/layout/hierarchy1"/>
    <dgm:cxn modelId="{AF59CAE7-87B2-A143-857E-942E61BF1BAF}" srcId="{2E50F8A8-0FE1-C54B-B72A-E1D23028B5E0}" destId="{2339F2C9-F5A7-2B40-82A4-4915823851DA}" srcOrd="0" destOrd="0" parTransId="{8AFBA95C-8513-C042-A8C7-9B59AB4DD1F6}" sibTransId="{636994F0-E039-874E-B428-59D571D6F74B}"/>
    <dgm:cxn modelId="{F45AD719-6878-4A81-9ADC-0DF91F24BE9F}" type="presOf" srcId="{EBA2C14D-51CE-B74E-8586-F7802B903A4C}" destId="{9D2F72DE-4616-5A41-A07B-92F051C9D848}" srcOrd="0" destOrd="0" presId="urn:microsoft.com/office/officeart/2005/8/layout/hierarchy1"/>
    <dgm:cxn modelId="{5CEE4793-59DF-4619-930A-D2D049C2656A}" type="presOf" srcId="{2339F2C9-F5A7-2B40-82A4-4915823851DA}" destId="{0D953DB1-D143-8D46-8D2E-BC888A70D9A0}" srcOrd="0" destOrd="0" presId="urn:microsoft.com/office/officeart/2005/8/layout/hierarchy1"/>
    <dgm:cxn modelId="{31FA6033-5DAA-4E0B-AEA4-ACDE80C7DB99}" type="presOf" srcId="{2E50F8A8-0FE1-C54B-B72A-E1D23028B5E0}" destId="{F209AE56-0B29-D643-9E81-6A0CF84F393B}" srcOrd="0" destOrd="0" presId="urn:microsoft.com/office/officeart/2005/8/layout/hierarchy1"/>
    <dgm:cxn modelId="{0836E81F-8042-084E-B666-1B06C339B8CC}" srcId="{EBA2C14D-51CE-B74E-8586-F7802B903A4C}" destId="{953D657D-1169-0E44-897E-D86F912F3C51}" srcOrd="2" destOrd="0" parTransId="{CEC2A6D1-1FB1-424D-913B-3F5B36B980AA}" sibTransId="{F235C957-EA55-B142-8E95-D637E2612666}"/>
    <dgm:cxn modelId="{90001103-B32A-4609-ABB4-CAEC8F6BEDA1}" type="presOf" srcId="{CEC2A6D1-1FB1-424D-913B-3F5B36B980AA}" destId="{9D019276-0338-8D42-B2C7-060FD6141AF3}" srcOrd="0" destOrd="0" presId="urn:microsoft.com/office/officeart/2005/8/layout/hierarchy1"/>
    <dgm:cxn modelId="{2BF0740A-582A-4A55-B109-1C01B929EEBF}" type="presOf" srcId="{8AFBA95C-8513-C042-A8C7-9B59AB4DD1F6}" destId="{DD1E2FA7-B3BE-B04F-968B-F05E0AE9D821}" srcOrd="0" destOrd="0" presId="urn:microsoft.com/office/officeart/2005/8/layout/hierarchy1"/>
    <dgm:cxn modelId="{39FD3981-5EE2-463E-8C52-9D9F287C9035}" type="presOf" srcId="{92925354-1C13-F74F-A2EB-FC5F8FAC1C35}" destId="{14C94962-80E4-3147-BF2C-C7549EDF505F}" srcOrd="0" destOrd="0" presId="urn:microsoft.com/office/officeart/2005/8/layout/hierarchy1"/>
    <dgm:cxn modelId="{1C3D7A5E-C8D3-4B02-8008-61B20BEE3245}" type="presParOf" srcId="{14C94962-80E4-3147-BF2C-C7549EDF505F}" destId="{38A5FBA2-8520-8348-ABE0-F824346B8368}" srcOrd="0" destOrd="0" presId="urn:microsoft.com/office/officeart/2005/8/layout/hierarchy1"/>
    <dgm:cxn modelId="{88582933-119D-484C-B023-ABB5C1EE6D13}" type="presParOf" srcId="{38A5FBA2-8520-8348-ABE0-F824346B8368}" destId="{CE44EA39-6ABB-7A46-BA68-AF35FE0F9AE8}" srcOrd="0" destOrd="0" presId="urn:microsoft.com/office/officeart/2005/8/layout/hierarchy1"/>
    <dgm:cxn modelId="{A40A6314-EAEB-4109-B5D4-187784FB934E}" type="presParOf" srcId="{CE44EA39-6ABB-7A46-BA68-AF35FE0F9AE8}" destId="{25D76EEB-4CB1-DD4B-A302-7E53480B0997}" srcOrd="0" destOrd="0" presId="urn:microsoft.com/office/officeart/2005/8/layout/hierarchy1"/>
    <dgm:cxn modelId="{7A7DD409-7991-43C4-AA0A-5CBB7DF0D301}" type="presParOf" srcId="{CE44EA39-6ABB-7A46-BA68-AF35FE0F9AE8}" destId="{9D2F72DE-4616-5A41-A07B-92F051C9D848}" srcOrd="1" destOrd="0" presId="urn:microsoft.com/office/officeart/2005/8/layout/hierarchy1"/>
    <dgm:cxn modelId="{F5BACC73-2098-40F6-B8DD-2271888F7137}" type="presParOf" srcId="{38A5FBA2-8520-8348-ABE0-F824346B8368}" destId="{1E774AB0-90DB-1042-9870-802768D831D7}" srcOrd="1" destOrd="0" presId="urn:microsoft.com/office/officeart/2005/8/layout/hierarchy1"/>
    <dgm:cxn modelId="{EA9BB843-66F3-4D98-9528-8F64F03413A8}" type="presParOf" srcId="{1E774AB0-90DB-1042-9870-802768D831D7}" destId="{DE44A312-AF4A-A74C-8B6B-29CFDBE1CB9D}" srcOrd="0" destOrd="0" presId="urn:microsoft.com/office/officeart/2005/8/layout/hierarchy1"/>
    <dgm:cxn modelId="{A614DCA9-201E-4D5E-B901-C85AEE113DA6}" type="presParOf" srcId="{1E774AB0-90DB-1042-9870-802768D831D7}" destId="{3520780A-77D7-6440-B509-164C6CE08B98}" srcOrd="1" destOrd="0" presId="urn:microsoft.com/office/officeart/2005/8/layout/hierarchy1"/>
    <dgm:cxn modelId="{F837E64A-F3E2-4D16-8DC2-10307B12A4D6}" type="presParOf" srcId="{3520780A-77D7-6440-B509-164C6CE08B98}" destId="{C38D19A1-C5AB-C141-A335-58EFC024994A}" srcOrd="0" destOrd="0" presId="urn:microsoft.com/office/officeart/2005/8/layout/hierarchy1"/>
    <dgm:cxn modelId="{C70E7DF3-1F27-4350-93F8-9E5939CA2898}" type="presParOf" srcId="{C38D19A1-C5AB-C141-A335-58EFC024994A}" destId="{72C3F0A7-1881-9742-930A-0A77EC04DDF7}" srcOrd="0" destOrd="0" presId="urn:microsoft.com/office/officeart/2005/8/layout/hierarchy1"/>
    <dgm:cxn modelId="{E03B62FE-E116-4356-90D2-0DB9A608D238}" type="presParOf" srcId="{C38D19A1-C5AB-C141-A335-58EFC024994A}" destId="{F209AE56-0B29-D643-9E81-6A0CF84F393B}" srcOrd="1" destOrd="0" presId="urn:microsoft.com/office/officeart/2005/8/layout/hierarchy1"/>
    <dgm:cxn modelId="{2A646489-DA1A-48BE-BAA4-5641E10FC98B}" type="presParOf" srcId="{3520780A-77D7-6440-B509-164C6CE08B98}" destId="{7B1B1749-B4A4-C048-833B-16A38E23E752}" srcOrd="1" destOrd="0" presId="urn:microsoft.com/office/officeart/2005/8/layout/hierarchy1"/>
    <dgm:cxn modelId="{CB3B8024-A9BD-494A-BFE8-0CC0FEA6DC9E}" type="presParOf" srcId="{7B1B1749-B4A4-C048-833B-16A38E23E752}" destId="{DD1E2FA7-B3BE-B04F-968B-F05E0AE9D821}" srcOrd="0" destOrd="0" presId="urn:microsoft.com/office/officeart/2005/8/layout/hierarchy1"/>
    <dgm:cxn modelId="{4ACE5C1F-F6FA-48E6-9B54-3FDBCB302A6C}" type="presParOf" srcId="{7B1B1749-B4A4-C048-833B-16A38E23E752}" destId="{7A95DC6F-B4F2-004E-9C84-5E61F44F571B}" srcOrd="1" destOrd="0" presId="urn:microsoft.com/office/officeart/2005/8/layout/hierarchy1"/>
    <dgm:cxn modelId="{112C28EA-EF79-4946-B796-54B42C3C4987}" type="presParOf" srcId="{7A95DC6F-B4F2-004E-9C84-5E61F44F571B}" destId="{579A0DA5-C88B-1A4E-941C-88B595857BF4}" srcOrd="0" destOrd="0" presId="urn:microsoft.com/office/officeart/2005/8/layout/hierarchy1"/>
    <dgm:cxn modelId="{EA790D33-D820-4883-AD2F-5EC9C293508B}" type="presParOf" srcId="{579A0DA5-C88B-1A4E-941C-88B595857BF4}" destId="{7ACBA369-0D64-2A4F-9A9B-6AC1AEEEF2C9}" srcOrd="0" destOrd="0" presId="urn:microsoft.com/office/officeart/2005/8/layout/hierarchy1"/>
    <dgm:cxn modelId="{4EF5B254-C548-4D54-A2AE-7676BCE61732}" type="presParOf" srcId="{579A0DA5-C88B-1A4E-941C-88B595857BF4}" destId="{0D953DB1-D143-8D46-8D2E-BC888A70D9A0}" srcOrd="1" destOrd="0" presId="urn:microsoft.com/office/officeart/2005/8/layout/hierarchy1"/>
    <dgm:cxn modelId="{5FE72B28-3EBD-49F2-8D34-A8B44ADD049C}" type="presParOf" srcId="{7A95DC6F-B4F2-004E-9C84-5E61F44F571B}" destId="{9E114FFA-F5A2-854B-BDAC-02925E925E33}" srcOrd="1" destOrd="0" presId="urn:microsoft.com/office/officeart/2005/8/layout/hierarchy1"/>
    <dgm:cxn modelId="{6AA93974-4B75-483F-999B-E1E122DC0017}" type="presParOf" srcId="{7B1B1749-B4A4-C048-833B-16A38E23E752}" destId="{A31F8FA6-2DFA-B448-92C0-2957ABC74ECD}" srcOrd="2" destOrd="0" presId="urn:microsoft.com/office/officeart/2005/8/layout/hierarchy1"/>
    <dgm:cxn modelId="{03AC176F-8E77-4FD4-980C-61FE8E217AE2}" type="presParOf" srcId="{7B1B1749-B4A4-C048-833B-16A38E23E752}" destId="{8C4A959B-5F8F-994C-AB44-79593EC2A0DD}" srcOrd="3" destOrd="0" presId="urn:microsoft.com/office/officeart/2005/8/layout/hierarchy1"/>
    <dgm:cxn modelId="{EDC6543D-26BB-4747-B41C-C4B6CAC487F3}" type="presParOf" srcId="{8C4A959B-5F8F-994C-AB44-79593EC2A0DD}" destId="{4970B585-249F-CD43-B5F5-38267494E3C3}" srcOrd="0" destOrd="0" presId="urn:microsoft.com/office/officeart/2005/8/layout/hierarchy1"/>
    <dgm:cxn modelId="{3B126197-FEA9-4642-9E67-A05B5BAC8700}" type="presParOf" srcId="{4970B585-249F-CD43-B5F5-38267494E3C3}" destId="{844A0929-0ED5-4244-B302-F25ABC12314F}" srcOrd="0" destOrd="0" presId="urn:microsoft.com/office/officeart/2005/8/layout/hierarchy1"/>
    <dgm:cxn modelId="{09052AE1-E4B7-4DC3-AC9A-D8001874CCC5}" type="presParOf" srcId="{4970B585-249F-CD43-B5F5-38267494E3C3}" destId="{7FEF44C3-3CCD-0740-B284-9D8C7B9F0CEB}" srcOrd="1" destOrd="0" presId="urn:microsoft.com/office/officeart/2005/8/layout/hierarchy1"/>
    <dgm:cxn modelId="{C195C9B0-C5D5-4FDA-B5EC-3919D4EC6DF8}" type="presParOf" srcId="{8C4A959B-5F8F-994C-AB44-79593EC2A0DD}" destId="{ABE20E22-4339-0248-8BC5-DD55D0F6B16A}" srcOrd="1" destOrd="0" presId="urn:microsoft.com/office/officeart/2005/8/layout/hierarchy1"/>
    <dgm:cxn modelId="{90851CF5-A738-4AE8-9CBB-00491698FEF9}" type="presParOf" srcId="{7B1B1749-B4A4-C048-833B-16A38E23E752}" destId="{37DDE2C3-32A1-4645-8229-9AACEEEBAEB9}" srcOrd="4" destOrd="0" presId="urn:microsoft.com/office/officeart/2005/8/layout/hierarchy1"/>
    <dgm:cxn modelId="{88AFED1F-4706-4905-A729-9AE9DDB87847}" type="presParOf" srcId="{7B1B1749-B4A4-C048-833B-16A38E23E752}" destId="{A36CFC1D-82FB-DE43-99F0-02557AF601F4}" srcOrd="5" destOrd="0" presId="urn:microsoft.com/office/officeart/2005/8/layout/hierarchy1"/>
    <dgm:cxn modelId="{14F4344A-464E-431C-9A7D-E9B39B5D6849}" type="presParOf" srcId="{A36CFC1D-82FB-DE43-99F0-02557AF601F4}" destId="{E07CA857-CF26-164D-87C9-E1A2D3784261}" srcOrd="0" destOrd="0" presId="urn:microsoft.com/office/officeart/2005/8/layout/hierarchy1"/>
    <dgm:cxn modelId="{C24298F1-9172-4D16-A085-DDD06964CD25}" type="presParOf" srcId="{E07CA857-CF26-164D-87C9-E1A2D3784261}" destId="{DC595914-55FC-044D-BBBF-86F98477640A}" srcOrd="0" destOrd="0" presId="urn:microsoft.com/office/officeart/2005/8/layout/hierarchy1"/>
    <dgm:cxn modelId="{D2072103-B651-4A00-A5FE-14061AC992A2}" type="presParOf" srcId="{E07CA857-CF26-164D-87C9-E1A2D3784261}" destId="{26FE4175-8D3C-F944-8377-D50D41EE44B3}" srcOrd="1" destOrd="0" presId="urn:microsoft.com/office/officeart/2005/8/layout/hierarchy1"/>
    <dgm:cxn modelId="{BC109BDC-4730-4977-B005-6A95C3B2389D}" type="presParOf" srcId="{A36CFC1D-82FB-DE43-99F0-02557AF601F4}" destId="{B15BF629-761D-2C4E-8DA7-3513ABA2F24F}" srcOrd="1" destOrd="0" presId="urn:microsoft.com/office/officeart/2005/8/layout/hierarchy1"/>
    <dgm:cxn modelId="{9F0C5F87-FEC4-448D-AA68-16AF09CE8D4A}" type="presParOf" srcId="{1E774AB0-90DB-1042-9870-802768D831D7}" destId="{38A52889-BA98-2D4D-A606-A262FE9B7B05}" srcOrd="2" destOrd="0" presId="urn:microsoft.com/office/officeart/2005/8/layout/hierarchy1"/>
    <dgm:cxn modelId="{9607431C-AAD2-4812-B9DA-AED0708E94C7}" type="presParOf" srcId="{1E774AB0-90DB-1042-9870-802768D831D7}" destId="{0574B1F6-A9CB-9446-BC9E-B8A3BE40070C}" srcOrd="3" destOrd="0" presId="urn:microsoft.com/office/officeart/2005/8/layout/hierarchy1"/>
    <dgm:cxn modelId="{C34F04D6-5666-4D2B-8767-C1141E6841FC}" type="presParOf" srcId="{0574B1F6-A9CB-9446-BC9E-B8A3BE40070C}" destId="{8910A1C7-1AC6-1B49-B592-D463A926B00C}" srcOrd="0" destOrd="0" presId="urn:microsoft.com/office/officeart/2005/8/layout/hierarchy1"/>
    <dgm:cxn modelId="{1E4F5EA7-77D8-4B6F-8E1B-D88DA8C47183}" type="presParOf" srcId="{8910A1C7-1AC6-1B49-B592-D463A926B00C}" destId="{8F7F2676-4FFB-A84D-B7A6-D13C2D982490}" srcOrd="0" destOrd="0" presId="urn:microsoft.com/office/officeart/2005/8/layout/hierarchy1"/>
    <dgm:cxn modelId="{C2D9DC5A-8FBE-4F0B-8712-AC5D1466D1CB}" type="presParOf" srcId="{8910A1C7-1AC6-1B49-B592-D463A926B00C}" destId="{DF9A7659-FC87-9044-9C65-5B90FB6F5EE8}" srcOrd="1" destOrd="0" presId="urn:microsoft.com/office/officeart/2005/8/layout/hierarchy1"/>
    <dgm:cxn modelId="{94E37C64-88D4-4B18-AD40-833A7ECFE9FF}" type="presParOf" srcId="{0574B1F6-A9CB-9446-BC9E-B8A3BE40070C}" destId="{3AE1F6A3-0D2B-D84C-8DCB-C0EDCA8F4B4F}" srcOrd="1" destOrd="0" presId="urn:microsoft.com/office/officeart/2005/8/layout/hierarchy1"/>
    <dgm:cxn modelId="{3ED1269D-B4A6-4EAA-B714-F37F97CAFFA9}" type="presParOf" srcId="{1E774AB0-90DB-1042-9870-802768D831D7}" destId="{9D019276-0338-8D42-B2C7-060FD6141AF3}" srcOrd="4" destOrd="0" presId="urn:microsoft.com/office/officeart/2005/8/layout/hierarchy1"/>
    <dgm:cxn modelId="{424A6A00-FCAA-4EF5-B5E4-A8BF05DBD5E9}" type="presParOf" srcId="{1E774AB0-90DB-1042-9870-802768D831D7}" destId="{F7CACE3B-A65C-3C4B-AD47-BEC4D5A59C47}" srcOrd="5" destOrd="0" presId="urn:microsoft.com/office/officeart/2005/8/layout/hierarchy1"/>
    <dgm:cxn modelId="{3F760CFE-3F05-4371-96E6-F19F11A25070}" type="presParOf" srcId="{F7CACE3B-A65C-3C4B-AD47-BEC4D5A59C47}" destId="{9F5EB45C-1823-234A-9CC8-EE02FAD2D9ED}" srcOrd="0" destOrd="0" presId="urn:microsoft.com/office/officeart/2005/8/layout/hierarchy1"/>
    <dgm:cxn modelId="{82D83CCF-568F-4BA7-92FE-23224B16564E}" type="presParOf" srcId="{9F5EB45C-1823-234A-9CC8-EE02FAD2D9ED}" destId="{C3B9E77F-C776-B644-A42E-841BB0C8F93A}" srcOrd="0" destOrd="0" presId="urn:microsoft.com/office/officeart/2005/8/layout/hierarchy1"/>
    <dgm:cxn modelId="{52651BCC-4684-4033-9C41-E68BDC16BB51}" type="presParOf" srcId="{9F5EB45C-1823-234A-9CC8-EE02FAD2D9ED}" destId="{8BFEEE06-B7A1-3745-A6EC-6C4204093C44}" srcOrd="1" destOrd="0" presId="urn:microsoft.com/office/officeart/2005/8/layout/hierarchy1"/>
    <dgm:cxn modelId="{E2ADC929-28CA-4E81-9DF5-F64D609F309C}" type="presParOf" srcId="{F7CACE3B-A65C-3C4B-AD47-BEC4D5A59C47}" destId="{BE001FA6-1E3F-FE4B-BE6D-C9FF92D7F16E}" srcOrd="1" destOrd="0" presId="urn:microsoft.com/office/officeart/2005/8/layout/hierarchy1"/>
    <dgm:cxn modelId="{F931DEA6-352F-41ED-91B7-CD3DC5D466C1}" type="presParOf" srcId="{14C94962-80E4-3147-BF2C-C7549EDF505F}" destId="{2078370B-7F9A-7B46-A6B7-A38CDC78F60A}" srcOrd="1" destOrd="0" presId="urn:microsoft.com/office/officeart/2005/8/layout/hierarchy1"/>
    <dgm:cxn modelId="{B0358DC4-C6D1-42ED-82C8-8D5275AFAAA7}" type="presParOf" srcId="{2078370B-7F9A-7B46-A6B7-A38CDC78F60A}" destId="{315714C9-C040-244A-909A-D1B7F4857AF1}" srcOrd="0" destOrd="0" presId="urn:microsoft.com/office/officeart/2005/8/layout/hierarchy1"/>
    <dgm:cxn modelId="{23E3FB51-5497-4D0E-B9EB-E6CDC7617B3C}" type="presParOf" srcId="{315714C9-C040-244A-909A-D1B7F4857AF1}" destId="{60D832DA-B76F-A14B-8326-0EC2B5A7D4BB}" srcOrd="0" destOrd="0" presId="urn:microsoft.com/office/officeart/2005/8/layout/hierarchy1"/>
    <dgm:cxn modelId="{1DAA7E92-4F31-46EC-B4C2-047D8EA51AC3}" type="presParOf" srcId="{315714C9-C040-244A-909A-D1B7F4857AF1}" destId="{DB0CCE20-17F3-3C44-A5C0-230C5B209580}" srcOrd="1" destOrd="0" presId="urn:microsoft.com/office/officeart/2005/8/layout/hierarchy1"/>
    <dgm:cxn modelId="{3F59F6ED-C230-4CB8-9DAF-FD1D017954D1}" type="presParOf" srcId="{2078370B-7F9A-7B46-A6B7-A38CDC78F60A}" destId="{09787C24-F544-8E41-ADD1-84D5075235A2}" srcOrd="1" destOrd="0" presId="urn:microsoft.com/office/officeart/2005/8/layout/hierarchy1"/>
    <dgm:cxn modelId="{C86F5FBE-C59D-4143-BDC2-D6B1C6EBC1A1}" type="presParOf" srcId="{14C94962-80E4-3147-BF2C-C7549EDF505F}" destId="{FC97C922-6673-C34D-BD8D-D15E7E1243B2}" srcOrd="2" destOrd="0" presId="urn:microsoft.com/office/officeart/2005/8/layout/hierarchy1"/>
    <dgm:cxn modelId="{58049DDA-9731-45C7-8EAE-68CFE1331867}" type="presParOf" srcId="{FC97C922-6673-C34D-BD8D-D15E7E1243B2}" destId="{F52525C4-D79D-D94C-8549-B88EE6E4C91D}" srcOrd="0" destOrd="0" presId="urn:microsoft.com/office/officeart/2005/8/layout/hierarchy1"/>
    <dgm:cxn modelId="{B50683AE-C25C-4F9F-AFAA-10960CA0181E}" type="presParOf" srcId="{F52525C4-D79D-D94C-8549-B88EE6E4C91D}" destId="{D4732B90-23D1-7F41-99B0-109E626069DA}" srcOrd="0" destOrd="0" presId="urn:microsoft.com/office/officeart/2005/8/layout/hierarchy1"/>
    <dgm:cxn modelId="{ED6AB7BF-1C53-424C-82BB-FEE3D135783D}" type="presParOf" srcId="{F52525C4-D79D-D94C-8549-B88EE6E4C91D}" destId="{9A6BB072-E6ED-1548-84CB-6721D6554C67}" srcOrd="1" destOrd="0" presId="urn:microsoft.com/office/officeart/2005/8/layout/hierarchy1"/>
    <dgm:cxn modelId="{9AEC6EC7-EF60-4A92-9718-ED38EA26B324}" type="presParOf" srcId="{FC97C922-6673-C34D-BD8D-D15E7E1243B2}" destId="{7EFBE73E-99C7-B84B-9B49-B0EB35844FDC}" srcOrd="1" destOrd="0" presId="urn:microsoft.com/office/officeart/2005/8/layout/hierarchy1"/>
  </dgm:cxnLst>
  <dgm:bg/>
  <dgm:whole/>
  <dgm:extLst>
    <a:ext uri="http://schemas.microsoft.com/office/drawing/2008/diagram">
      <dsp:dataModelExt xmlns:dsp="http://schemas.microsoft.com/office/drawing/2008/diagram" relId="rId13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B2430CA-4C84-A644-9D4A-9392D273C6BE}" type="doc">
      <dgm:prSet loTypeId="urn:microsoft.com/office/officeart/2005/8/layout/hierarchy1" loCatId="" qsTypeId="urn:microsoft.com/office/officeart/2005/8/quickstyle/simple1" qsCatId="simple" csTypeId="urn:microsoft.com/office/officeart/2005/8/colors/accent1_2" csCatId="accent1" phldr="1"/>
      <dgm:spPr/>
      <dgm:t>
        <a:bodyPr/>
        <a:lstStyle/>
        <a:p>
          <a:endParaRPr lang="en-US"/>
        </a:p>
      </dgm:t>
    </dgm:pt>
    <dgm:pt modelId="{2E445C09-2420-904D-8B80-D74A9E8C93DB}">
      <dgm:prSet phldrT="[Text]" custT="1"/>
      <dgm:spPr>
        <a:xfrm>
          <a:off x="2023744" y="425881"/>
          <a:ext cx="2606180" cy="411043"/>
        </a:xfrm>
        <a:prstGeom prst="roundRect">
          <a:avLst>
            <a:gd name="adj" fmla="val 10000"/>
          </a:avLst>
        </a:prstGeom>
        <a:solidFill>
          <a:srgbClr val="00B0F0">
            <a:alpha val="90000"/>
          </a:srgbClr>
        </a:solidFill>
        <a:ln w="25400" cap="flat" cmpd="sng" algn="ctr">
          <a:solidFill>
            <a:srgbClr val="4F81BD">
              <a:hueOff val="0"/>
              <a:satOff val="0"/>
              <a:lumOff val="0"/>
              <a:alphaOff val="0"/>
            </a:srgbClr>
          </a:solidFill>
          <a:prstDash val="solid"/>
        </a:ln>
        <a:effectLst/>
        <a:scene3d>
          <a:camera prst="orthographicFront"/>
          <a:lightRig rig="freezing" dir="t"/>
        </a:scene3d>
        <a:sp3d>
          <a:bevelT w="114300" prst="artDeco"/>
          <a:bevelB prst="angle"/>
        </a:sp3d>
      </dgm:spPr>
      <dgm:t>
        <a:bodyPr/>
        <a:lstStyle/>
        <a:p>
          <a:r>
            <a:rPr lang="bg-BG" sz="1600" b="1">
              <a:solidFill>
                <a:sysClr val="windowText" lastClr="000000">
                  <a:hueOff val="0"/>
                  <a:satOff val="0"/>
                  <a:lumOff val="0"/>
                  <a:alphaOff val="0"/>
                </a:sysClr>
              </a:solidFill>
              <a:latin typeface="Calibri"/>
              <a:ea typeface="+mn-ea"/>
              <a:cs typeface="+mn-cs"/>
            </a:rPr>
            <a:t>Лечение на мигрена</a:t>
          </a:r>
          <a:endParaRPr lang="en-US" sz="1600" b="1">
            <a:solidFill>
              <a:sysClr val="windowText" lastClr="000000">
                <a:hueOff val="0"/>
                <a:satOff val="0"/>
                <a:lumOff val="0"/>
                <a:alphaOff val="0"/>
              </a:sysClr>
            </a:solidFill>
            <a:latin typeface="Calibri"/>
            <a:ea typeface="+mn-ea"/>
            <a:cs typeface="+mn-cs"/>
          </a:endParaRPr>
        </a:p>
      </dgm:t>
    </dgm:pt>
    <dgm:pt modelId="{6965C79B-F535-704B-8AF1-C641DD912820}" type="parTrans" cxnId="{09C76777-DA62-9F4B-972B-343006EFE84A}">
      <dgm:prSet/>
      <dgm:spPr/>
      <dgm:t>
        <a:bodyPr/>
        <a:lstStyle/>
        <a:p>
          <a:endParaRPr lang="en-US"/>
        </a:p>
      </dgm:t>
    </dgm:pt>
    <dgm:pt modelId="{4E6BDADB-E123-D846-A119-5C9355EC3241}" type="sibTrans" cxnId="{09C76777-DA62-9F4B-972B-343006EFE84A}">
      <dgm:prSet/>
      <dgm:spPr/>
      <dgm:t>
        <a:bodyPr/>
        <a:lstStyle/>
        <a:p>
          <a:endParaRPr lang="en-US"/>
        </a:p>
      </dgm:t>
    </dgm:pt>
    <dgm:pt modelId="{E1718FB7-6804-0C42-B97A-6AD81E026FDB}">
      <dgm:prSet phldrT="[Text]" custT="1"/>
      <dgm:spPr>
        <a:xfrm>
          <a:off x="1259576" y="1025185"/>
          <a:ext cx="1451619" cy="411043"/>
        </a:xfrm>
        <a:prstGeom prst="roundRect">
          <a:avLst>
            <a:gd name="adj" fmla="val 10000"/>
          </a:avLst>
        </a:prstGeom>
        <a:solidFill>
          <a:srgbClr val="4BACC6">
            <a:lumMod val="60000"/>
            <a:lumOff val="40000"/>
            <a:alpha val="90000"/>
          </a:srgbClr>
        </a:solidFill>
        <a:ln w="25400" cap="flat" cmpd="sng" algn="ctr">
          <a:solidFill>
            <a:srgbClr val="4F81BD">
              <a:hueOff val="0"/>
              <a:satOff val="0"/>
              <a:lumOff val="0"/>
              <a:alphaOff val="0"/>
            </a:srgbClr>
          </a:solidFill>
          <a:prstDash val="solid"/>
        </a:ln>
        <a:effectLst/>
        <a:scene3d>
          <a:camera prst="orthographicFront"/>
          <a:lightRig rig="threePt" dir="t">
            <a:rot lat="0" lon="0" rev="3600000"/>
          </a:lightRig>
        </a:scene3d>
        <a:sp3d>
          <a:bevelB/>
        </a:sp3d>
      </dgm:spPr>
      <dgm:t>
        <a:bodyPr/>
        <a:lstStyle/>
        <a:p>
          <a:r>
            <a:rPr lang="bg-BG" sz="1600" b="1">
              <a:solidFill>
                <a:sysClr val="windowText" lastClr="000000">
                  <a:hueOff val="0"/>
                  <a:satOff val="0"/>
                  <a:lumOff val="0"/>
                  <a:alphaOff val="0"/>
                </a:sysClr>
              </a:solidFill>
              <a:latin typeface="Calibri"/>
              <a:ea typeface="+mn-ea"/>
              <a:cs typeface="+mn-cs"/>
            </a:rPr>
            <a:t>Лечение на пристъпи </a:t>
          </a:r>
          <a:endParaRPr lang="en-US" sz="1600" b="1">
            <a:solidFill>
              <a:sysClr val="windowText" lastClr="000000">
                <a:hueOff val="0"/>
                <a:satOff val="0"/>
                <a:lumOff val="0"/>
                <a:alphaOff val="0"/>
              </a:sysClr>
            </a:solidFill>
            <a:latin typeface="Calibri"/>
            <a:ea typeface="+mn-ea"/>
            <a:cs typeface="+mn-cs"/>
          </a:endParaRPr>
        </a:p>
      </dgm:t>
    </dgm:pt>
    <dgm:pt modelId="{631291B2-C239-694C-97FD-0A94D95055A1}" type="parTrans" cxnId="{83EF8BC2-0E51-BA44-A42A-85A21FF3B6F0}">
      <dgm:prSet/>
      <dgm:spPr>
        <a:xfrm>
          <a:off x="1913463" y="768597"/>
          <a:ext cx="1341447" cy="188260"/>
        </a:xfrm>
        <a:custGeom>
          <a:avLst/>
          <a:gdLst/>
          <a:ahLst/>
          <a:cxnLst/>
          <a:rect l="0" t="0" r="0" b="0"/>
          <a:pathLst>
            <a:path>
              <a:moveTo>
                <a:pt x="1341447" y="0"/>
              </a:moveTo>
              <a:lnTo>
                <a:pt x="1341447" y="128293"/>
              </a:lnTo>
              <a:lnTo>
                <a:pt x="0" y="128293"/>
              </a:lnTo>
              <a:lnTo>
                <a:pt x="0" y="188260"/>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a:p>
      </dgm:t>
    </dgm:pt>
    <dgm:pt modelId="{7E53568F-51FF-DD44-89AE-B9321B497F28}" type="sibTrans" cxnId="{83EF8BC2-0E51-BA44-A42A-85A21FF3B6F0}">
      <dgm:prSet/>
      <dgm:spPr/>
      <dgm:t>
        <a:bodyPr/>
        <a:lstStyle/>
        <a:p>
          <a:endParaRPr lang="en-US"/>
        </a:p>
      </dgm:t>
    </dgm:pt>
    <dgm:pt modelId="{12DAB821-BA03-2341-A7DC-35E1866A2B30}">
      <dgm:prSet phldrT="[Text]" custT="1"/>
      <dgm:spPr>
        <a:xfrm>
          <a:off x="477998" y="1624489"/>
          <a:ext cx="965221" cy="411043"/>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gm:spPr>
      <dgm:t>
        <a:bodyPr/>
        <a:lstStyle/>
        <a:p>
          <a:r>
            <a:rPr lang="bg-BG" sz="1400" b="1">
              <a:solidFill>
                <a:sysClr val="windowText" lastClr="000000">
                  <a:hueOff val="0"/>
                  <a:satOff val="0"/>
                  <a:lumOff val="0"/>
                  <a:alphaOff val="0"/>
                </a:sysClr>
              </a:solidFill>
              <a:latin typeface="Calibri"/>
              <a:ea typeface="+mn-ea"/>
              <a:cs typeface="+mn-cs"/>
            </a:rPr>
            <a:t>Леки до умерени</a:t>
          </a:r>
          <a:endParaRPr lang="en-US" sz="1400" b="1">
            <a:solidFill>
              <a:sysClr val="windowText" lastClr="000000">
                <a:hueOff val="0"/>
                <a:satOff val="0"/>
                <a:lumOff val="0"/>
                <a:alphaOff val="0"/>
              </a:sysClr>
            </a:solidFill>
            <a:latin typeface="Calibri"/>
            <a:ea typeface="+mn-ea"/>
            <a:cs typeface="+mn-cs"/>
          </a:endParaRPr>
        </a:p>
      </dgm:t>
    </dgm:pt>
    <dgm:pt modelId="{D744F3D5-80C4-B749-B130-3F28515E3112}" type="parTrans" cxnId="{D3F1281B-AF3E-BE4B-99B5-5B3B635ED14E}">
      <dgm:prSet/>
      <dgm:spPr>
        <a:xfrm>
          <a:off x="888685" y="1367901"/>
          <a:ext cx="1024777" cy="188260"/>
        </a:xfrm>
        <a:custGeom>
          <a:avLst/>
          <a:gdLst/>
          <a:ahLst/>
          <a:cxnLst/>
          <a:rect l="0" t="0" r="0" b="0"/>
          <a:pathLst>
            <a:path>
              <a:moveTo>
                <a:pt x="1024777" y="0"/>
              </a:moveTo>
              <a:lnTo>
                <a:pt x="1024777" y="128293"/>
              </a:lnTo>
              <a:lnTo>
                <a:pt x="0" y="128293"/>
              </a:lnTo>
              <a:lnTo>
                <a:pt x="0" y="188260"/>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3776FF1A-1D70-6C4B-BCF0-48C82DAB5934}" type="sibTrans" cxnId="{D3F1281B-AF3E-BE4B-99B5-5B3B635ED14E}">
      <dgm:prSet/>
      <dgm:spPr/>
      <dgm:t>
        <a:bodyPr/>
        <a:lstStyle/>
        <a:p>
          <a:endParaRPr lang="en-US"/>
        </a:p>
      </dgm:t>
    </dgm:pt>
    <dgm:pt modelId="{248940FA-DBCE-5A47-B5C2-D99A80EF9C77}">
      <dgm:prSet phldrT="[Text]" custT="1"/>
      <dgm:spPr>
        <a:xfrm>
          <a:off x="2492540" y="1624489"/>
          <a:ext cx="996208" cy="411043"/>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gm:spPr>
      <dgm:t>
        <a:bodyPr/>
        <a:lstStyle/>
        <a:p>
          <a:r>
            <a:rPr lang="bg-BG" sz="1400" b="1">
              <a:solidFill>
                <a:sysClr val="windowText" lastClr="000000">
                  <a:hueOff val="0"/>
                  <a:satOff val="0"/>
                  <a:lumOff val="0"/>
                  <a:alphaOff val="0"/>
                </a:sysClr>
              </a:solidFill>
              <a:latin typeface="Calibri"/>
              <a:ea typeface="+mn-ea"/>
              <a:cs typeface="+mn-cs"/>
            </a:rPr>
            <a:t> Умерени до тежки</a:t>
          </a:r>
          <a:endParaRPr lang="en-US" sz="1400" b="1">
            <a:solidFill>
              <a:sysClr val="windowText" lastClr="000000">
                <a:hueOff val="0"/>
                <a:satOff val="0"/>
                <a:lumOff val="0"/>
                <a:alphaOff val="0"/>
              </a:sysClr>
            </a:solidFill>
            <a:latin typeface="Calibri"/>
            <a:ea typeface="+mn-ea"/>
            <a:cs typeface="+mn-cs"/>
          </a:endParaRPr>
        </a:p>
      </dgm:t>
    </dgm:pt>
    <dgm:pt modelId="{6AD3EEB4-9634-DC43-9965-8C1C47BAFADC}" type="parTrans" cxnId="{AF83F4E7-6F45-D142-922F-5E82149BFD41}">
      <dgm:prSet/>
      <dgm:spPr>
        <a:xfrm>
          <a:off x="1913463" y="1367901"/>
          <a:ext cx="1005257" cy="188260"/>
        </a:xfrm>
        <a:custGeom>
          <a:avLst/>
          <a:gdLst/>
          <a:ahLst/>
          <a:cxnLst/>
          <a:rect l="0" t="0" r="0" b="0"/>
          <a:pathLst>
            <a:path>
              <a:moveTo>
                <a:pt x="0" y="0"/>
              </a:moveTo>
              <a:lnTo>
                <a:pt x="0" y="128293"/>
              </a:lnTo>
              <a:lnTo>
                <a:pt x="1005257" y="128293"/>
              </a:lnTo>
              <a:lnTo>
                <a:pt x="1005257" y="188260"/>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88B0DEBD-E82E-9746-8B88-EF8DB195D529}" type="sibTrans" cxnId="{AF83F4E7-6F45-D142-922F-5E82149BFD41}">
      <dgm:prSet/>
      <dgm:spPr/>
      <dgm:t>
        <a:bodyPr/>
        <a:lstStyle/>
        <a:p>
          <a:endParaRPr lang="en-US"/>
        </a:p>
      </dgm:t>
    </dgm:pt>
    <dgm:pt modelId="{F9A789EA-7386-A844-AE8C-66E0748C3EC4}">
      <dgm:prSet phldrT="[Text]" custT="1"/>
      <dgm:spPr>
        <a:xfrm>
          <a:off x="3427424" y="1025185"/>
          <a:ext cx="1714661" cy="411043"/>
        </a:xfrm>
        <a:prstGeom prst="roundRect">
          <a:avLst>
            <a:gd name="adj" fmla="val 10000"/>
          </a:avLst>
        </a:prstGeom>
        <a:solidFill>
          <a:srgbClr val="C0504D">
            <a:alpha val="90000"/>
          </a:srgbClr>
        </a:solidFill>
        <a:ln w="25400" cap="flat" cmpd="sng" algn="ctr">
          <a:solidFill>
            <a:srgbClr val="4F81BD">
              <a:hueOff val="0"/>
              <a:satOff val="0"/>
              <a:lumOff val="0"/>
              <a:alphaOff val="0"/>
            </a:srgbClr>
          </a:solidFill>
          <a:prstDash val="solid"/>
        </a:ln>
        <a:effectLst/>
        <a:scene3d>
          <a:camera prst="orthographicFront"/>
          <a:lightRig rig="threePt" dir="t"/>
        </a:scene3d>
        <a:sp3d>
          <a:bevelT/>
        </a:sp3d>
      </dgm:spPr>
      <dgm:t>
        <a:bodyPr/>
        <a:lstStyle/>
        <a:p>
          <a:r>
            <a:rPr lang="bg-BG" sz="1600" b="1">
              <a:solidFill>
                <a:sysClr val="windowText" lastClr="000000">
                  <a:hueOff val="0"/>
                  <a:satOff val="0"/>
                  <a:lumOff val="0"/>
                  <a:alphaOff val="0"/>
                </a:sysClr>
              </a:solidFill>
              <a:latin typeface="Calibri"/>
              <a:ea typeface="+mn-ea"/>
              <a:cs typeface="+mn-cs"/>
            </a:rPr>
            <a:t>Профилактично лечение</a:t>
          </a:r>
          <a:endParaRPr lang="en-US" sz="1600" b="1">
            <a:solidFill>
              <a:sysClr val="windowText" lastClr="000000">
                <a:hueOff val="0"/>
                <a:satOff val="0"/>
                <a:lumOff val="0"/>
                <a:alphaOff val="0"/>
              </a:sysClr>
            </a:solidFill>
            <a:latin typeface="Calibri"/>
            <a:ea typeface="+mn-ea"/>
            <a:cs typeface="+mn-cs"/>
          </a:endParaRPr>
        </a:p>
      </dgm:t>
    </dgm:pt>
    <dgm:pt modelId="{EE893BD3-0A85-914E-90AC-E91DD12A16CD}" type="parTrans" cxnId="{DA9B287C-8CBC-404B-BB02-6B759C08E8E2}">
      <dgm:prSet/>
      <dgm:spPr>
        <a:xfrm>
          <a:off x="3254910" y="768597"/>
          <a:ext cx="957921" cy="188260"/>
        </a:xfrm>
        <a:custGeom>
          <a:avLst/>
          <a:gdLst/>
          <a:ahLst/>
          <a:cxnLst/>
          <a:rect l="0" t="0" r="0" b="0"/>
          <a:pathLst>
            <a:path>
              <a:moveTo>
                <a:pt x="0" y="0"/>
              </a:moveTo>
              <a:lnTo>
                <a:pt x="0" y="128293"/>
              </a:lnTo>
              <a:lnTo>
                <a:pt x="957921" y="128293"/>
              </a:lnTo>
              <a:lnTo>
                <a:pt x="957921" y="188260"/>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a:p>
      </dgm:t>
    </dgm:pt>
    <dgm:pt modelId="{D49E4114-758D-D149-8AD7-3A24BAA25A5E}" type="sibTrans" cxnId="{DA9B287C-8CBC-404B-BB02-6B759C08E8E2}">
      <dgm:prSet/>
      <dgm:spPr/>
      <dgm:t>
        <a:bodyPr/>
        <a:lstStyle/>
        <a:p>
          <a:endParaRPr lang="en-US"/>
        </a:p>
      </dgm:t>
    </dgm:pt>
    <dgm:pt modelId="{3FD78C25-A9D2-5B4A-B3B4-809741DEDAF4}">
      <dgm:prSet phldrT="[Text]" custT="1"/>
      <dgm:spPr>
        <a:xfrm>
          <a:off x="4059060" y="1624489"/>
          <a:ext cx="955402" cy="411043"/>
        </a:xfrm>
        <a:prstGeom prst="roundRect">
          <a:avLst>
            <a:gd name="adj" fmla="val 10000"/>
          </a:avLst>
        </a:prstGeom>
        <a:solidFill>
          <a:srgbClr val="C0504D">
            <a:lumMod val="40000"/>
            <a:lumOff val="60000"/>
            <a:alpha val="90000"/>
          </a:srgbClr>
        </a:solidFill>
        <a:ln w="25400" cap="flat" cmpd="sng" algn="ctr">
          <a:solidFill>
            <a:srgbClr val="4F81BD">
              <a:hueOff val="0"/>
              <a:satOff val="0"/>
              <a:lumOff val="0"/>
              <a:alphaOff val="0"/>
            </a:srgbClr>
          </a:solidFill>
          <a:prstDash val="solid"/>
        </a:ln>
        <a:effectLst/>
      </dgm:spPr>
      <dgm:t>
        <a:bodyPr/>
        <a:lstStyle/>
        <a:p>
          <a:r>
            <a:rPr lang="bg-BG" sz="1000" b="1">
              <a:solidFill>
                <a:sysClr val="windowText" lastClr="000000">
                  <a:hueOff val="0"/>
                  <a:satOff val="0"/>
                  <a:lumOff val="0"/>
                  <a:alphaOff val="0"/>
                </a:sysClr>
              </a:solidFill>
              <a:latin typeface="Calibri"/>
              <a:ea typeface="+mn-ea"/>
              <a:cs typeface="+mn-cs"/>
            </a:rPr>
            <a:t>антиепилептични медикаменти</a:t>
          </a:r>
          <a:endParaRPr lang="en-US" sz="1000" b="1">
            <a:solidFill>
              <a:sysClr val="windowText" lastClr="000000">
                <a:hueOff val="0"/>
                <a:satOff val="0"/>
                <a:lumOff val="0"/>
                <a:alphaOff val="0"/>
              </a:sysClr>
            </a:solidFill>
            <a:latin typeface="Calibri"/>
            <a:ea typeface="+mn-ea"/>
            <a:cs typeface="+mn-cs"/>
          </a:endParaRPr>
        </a:p>
      </dgm:t>
    </dgm:pt>
    <dgm:pt modelId="{5113BD53-5A8D-A140-B835-07D2C5BCC91D}" type="parTrans" cxnId="{B6E837ED-5089-7442-AF33-F838E8C0A23F}">
      <dgm:prSet/>
      <dgm:spPr>
        <a:xfrm>
          <a:off x="4212832" y="1367901"/>
          <a:ext cx="252005" cy="188260"/>
        </a:xfrm>
        <a:custGeom>
          <a:avLst/>
          <a:gdLst/>
          <a:ahLst/>
          <a:cxnLst/>
          <a:rect l="0" t="0" r="0" b="0"/>
          <a:pathLst>
            <a:path>
              <a:moveTo>
                <a:pt x="0" y="0"/>
              </a:moveTo>
              <a:lnTo>
                <a:pt x="0" y="128293"/>
              </a:lnTo>
              <a:lnTo>
                <a:pt x="252005" y="128293"/>
              </a:lnTo>
              <a:lnTo>
                <a:pt x="252005" y="188260"/>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B6729BA4-538C-564E-A620-FB3B2BCE0710}" type="sibTrans" cxnId="{B6E837ED-5089-7442-AF33-F838E8C0A23F}">
      <dgm:prSet/>
      <dgm:spPr/>
      <dgm:t>
        <a:bodyPr/>
        <a:lstStyle/>
        <a:p>
          <a:endParaRPr lang="en-US"/>
        </a:p>
      </dgm:t>
    </dgm:pt>
    <dgm:pt modelId="{91D5AA92-7A72-054A-AE97-4EFDD99B1662}">
      <dgm:prSet custT="1"/>
      <dgm:spPr>
        <a:xfrm>
          <a:off x="1044041" y="2223793"/>
          <a:ext cx="789825" cy="411043"/>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gm:spPr>
      <dgm:t>
        <a:bodyPr/>
        <a:lstStyle/>
        <a:p>
          <a:r>
            <a:rPr lang="bg-BG" sz="1100" b="1">
              <a:solidFill>
                <a:sysClr val="windowText" lastClr="000000">
                  <a:hueOff val="0"/>
                  <a:satOff val="0"/>
                  <a:lumOff val="0"/>
                  <a:alphaOff val="0"/>
                </a:sysClr>
              </a:solidFill>
              <a:latin typeface="Calibri"/>
              <a:ea typeface="+mn-ea"/>
              <a:cs typeface="+mn-cs"/>
            </a:rPr>
            <a:t>Антиеметици</a:t>
          </a:r>
          <a:endParaRPr lang="en-US" sz="1100" b="1">
            <a:solidFill>
              <a:sysClr val="windowText" lastClr="000000">
                <a:hueOff val="0"/>
                <a:satOff val="0"/>
                <a:lumOff val="0"/>
                <a:alphaOff val="0"/>
              </a:sysClr>
            </a:solidFill>
            <a:latin typeface="Calibri"/>
            <a:ea typeface="+mn-ea"/>
            <a:cs typeface="+mn-cs"/>
          </a:endParaRPr>
        </a:p>
      </dgm:t>
    </dgm:pt>
    <dgm:pt modelId="{6EAFE160-2CB3-1346-8866-6E570231976F}" type="parTrans" cxnId="{B6046F72-B1F5-6A4A-9C8D-ABEBD1D1C472}">
      <dgm:prSet/>
      <dgm:spPr>
        <a:xfrm>
          <a:off x="888685" y="1967206"/>
          <a:ext cx="478345" cy="188260"/>
        </a:xfrm>
        <a:custGeom>
          <a:avLst/>
          <a:gdLst/>
          <a:ahLst/>
          <a:cxnLst/>
          <a:rect l="0" t="0" r="0" b="0"/>
          <a:pathLst>
            <a:path>
              <a:moveTo>
                <a:pt x="0" y="0"/>
              </a:moveTo>
              <a:lnTo>
                <a:pt x="0" y="128293"/>
              </a:lnTo>
              <a:lnTo>
                <a:pt x="478345" y="128293"/>
              </a:lnTo>
              <a:lnTo>
                <a:pt x="478345" y="188260"/>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DD01C224-B1DF-964E-90EB-E72A80A6C655}" type="sibTrans" cxnId="{B6046F72-B1F5-6A4A-9C8D-ABEBD1D1C472}">
      <dgm:prSet/>
      <dgm:spPr/>
      <dgm:t>
        <a:bodyPr/>
        <a:lstStyle/>
        <a:p>
          <a:endParaRPr lang="en-US"/>
        </a:p>
      </dgm:t>
    </dgm:pt>
    <dgm:pt modelId="{654F506B-4D05-9946-9172-4035F422A4A5}">
      <dgm:prSet custT="1"/>
      <dgm:spPr>
        <a:xfrm>
          <a:off x="73426" y="2223793"/>
          <a:ext cx="840691" cy="411043"/>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gm:spPr>
      <dgm:t>
        <a:bodyPr/>
        <a:lstStyle/>
        <a:p>
          <a:r>
            <a:rPr lang="bg-BG" sz="1600" b="1">
              <a:solidFill>
                <a:sysClr val="windowText" lastClr="000000">
                  <a:hueOff val="0"/>
                  <a:satOff val="0"/>
                  <a:lumOff val="0"/>
                  <a:alphaOff val="0"/>
                </a:sysClr>
              </a:solidFill>
              <a:latin typeface="Calibri"/>
              <a:ea typeface="+mn-ea"/>
              <a:cs typeface="+mn-cs"/>
            </a:rPr>
            <a:t>НСПВС</a:t>
          </a:r>
          <a:endParaRPr lang="en-US" sz="1600" b="1">
            <a:solidFill>
              <a:sysClr val="windowText" lastClr="000000">
                <a:hueOff val="0"/>
                <a:satOff val="0"/>
                <a:lumOff val="0"/>
                <a:alphaOff val="0"/>
              </a:sysClr>
            </a:solidFill>
            <a:latin typeface="Calibri"/>
            <a:ea typeface="+mn-ea"/>
            <a:cs typeface="+mn-cs"/>
          </a:endParaRPr>
        </a:p>
      </dgm:t>
    </dgm:pt>
    <dgm:pt modelId="{BF998618-8187-1846-B689-A32C7AEA333E}" type="parTrans" cxnId="{A3F09F85-3285-C549-889F-55155726E0CC}">
      <dgm:prSet/>
      <dgm:spPr>
        <a:xfrm>
          <a:off x="421848" y="1967206"/>
          <a:ext cx="466836" cy="188260"/>
        </a:xfrm>
        <a:custGeom>
          <a:avLst/>
          <a:gdLst/>
          <a:ahLst/>
          <a:cxnLst/>
          <a:rect l="0" t="0" r="0" b="0"/>
          <a:pathLst>
            <a:path>
              <a:moveTo>
                <a:pt x="466836" y="0"/>
              </a:moveTo>
              <a:lnTo>
                <a:pt x="466836" y="128293"/>
              </a:lnTo>
              <a:lnTo>
                <a:pt x="0" y="128293"/>
              </a:lnTo>
              <a:lnTo>
                <a:pt x="0" y="188260"/>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A3B840CA-D3F3-CE42-928F-6E3DA7B2330D}" type="sibTrans" cxnId="{A3F09F85-3285-C549-889F-55155726E0CC}">
      <dgm:prSet/>
      <dgm:spPr/>
      <dgm:t>
        <a:bodyPr/>
        <a:lstStyle/>
        <a:p>
          <a:endParaRPr lang="en-US"/>
        </a:p>
      </dgm:t>
    </dgm:pt>
    <dgm:pt modelId="{B0E4F579-EB7A-0E47-A5B9-0B1CF28A3DC7}">
      <dgm:prSet custT="1"/>
      <dgm:spPr>
        <a:xfrm>
          <a:off x="3154752" y="2165392"/>
          <a:ext cx="647313" cy="411043"/>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gm:spPr>
      <dgm:t>
        <a:bodyPr/>
        <a:lstStyle/>
        <a:p>
          <a:r>
            <a:rPr lang="bg-BG" sz="1200" b="1">
              <a:solidFill>
                <a:sysClr val="windowText" lastClr="000000">
                  <a:hueOff val="0"/>
                  <a:satOff val="0"/>
                  <a:lumOff val="0"/>
                  <a:alphaOff val="0"/>
                </a:sysClr>
              </a:solidFill>
              <a:latin typeface="Calibri"/>
              <a:ea typeface="+mn-ea"/>
              <a:cs typeface="+mn-cs"/>
            </a:rPr>
            <a:t>Триптани</a:t>
          </a:r>
          <a:endParaRPr lang="en-US" sz="1200" b="1">
            <a:solidFill>
              <a:sysClr val="windowText" lastClr="000000">
                <a:hueOff val="0"/>
                <a:satOff val="0"/>
                <a:lumOff val="0"/>
                <a:alphaOff val="0"/>
              </a:sysClr>
            </a:solidFill>
            <a:latin typeface="Calibri"/>
            <a:ea typeface="+mn-ea"/>
            <a:cs typeface="+mn-cs"/>
          </a:endParaRPr>
        </a:p>
      </dgm:t>
    </dgm:pt>
    <dgm:pt modelId="{137756EE-A300-EB47-B6CE-9AA06051D0B4}" type="parTrans" cxnId="{B7B4A897-17A6-F94F-A69F-67BC593542FC}">
      <dgm:prSet/>
      <dgm:spPr>
        <a:xfrm>
          <a:off x="2918721" y="1967206"/>
          <a:ext cx="487764" cy="129859"/>
        </a:xfrm>
        <a:custGeom>
          <a:avLst/>
          <a:gdLst/>
          <a:ahLst/>
          <a:cxnLst/>
          <a:rect l="0" t="0" r="0" b="0"/>
          <a:pathLst>
            <a:path>
              <a:moveTo>
                <a:pt x="0" y="0"/>
              </a:moveTo>
              <a:lnTo>
                <a:pt x="0" y="69892"/>
              </a:lnTo>
              <a:lnTo>
                <a:pt x="487764" y="69892"/>
              </a:lnTo>
              <a:lnTo>
                <a:pt x="487764" y="129859"/>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7C7A0852-CC69-354E-88F0-00F2D07C9D24}" type="sibTrans" cxnId="{B7B4A897-17A6-F94F-A69F-67BC593542FC}">
      <dgm:prSet/>
      <dgm:spPr/>
      <dgm:t>
        <a:bodyPr/>
        <a:lstStyle/>
        <a:p>
          <a:endParaRPr lang="en-US"/>
        </a:p>
      </dgm:t>
    </dgm:pt>
    <dgm:pt modelId="{83965F11-BCB0-0749-8140-CEADE3BD6B46}">
      <dgm:prSet custT="1"/>
      <dgm:spPr>
        <a:xfrm>
          <a:off x="2033319" y="2765640"/>
          <a:ext cx="1214903" cy="411043"/>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gm:spPr>
      <dgm:t>
        <a:bodyPr/>
        <a:lstStyle/>
        <a:p>
          <a:r>
            <a:rPr lang="bg-BG" sz="1400" b="1">
              <a:solidFill>
                <a:sysClr val="windowText" lastClr="000000">
                  <a:hueOff val="0"/>
                  <a:satOff val="0"/>
                  <a:lumOff val="0"/>
                  <a:alphaOff val="0"/>
                </a:sysClr>
              </a:solidFill>
              <a:latin typeface="Calibri"/>
              <a:ea typeface="+mn-ea"/>
              <a:cs typeface="+mn-cs"/>
            </a:rPr>
            <a:t>кортикостероиди</a:t>
          </a:r>
          <a:endParaRPr lang="en-US" sz="1400" b="1">
            <a:solidFill>
              <a:sysClr val="windowText" lastClr="000000">
                <a:hueOff val="0"/>
                <a:satOff val="0"/>
                <a:lumOff val="0"/>
                <a:alphaOff val="0"/>
              </a:sysClr>
            </a:solidFill>
            <a:latin typeface="Calibri"/>
            <a:ea typeface="+mn-ea"/>
            <a:cs typeface="+mn-cs"/>
          </a:endParaRPr>
        </a:p>
      </dgm:t>
    </dgm:pt>
    <dgm:pt modelId="{1D051E0F-38DE-F943-A666-2B0E26DCA6C1}" type="parTrans" cxnId="{B41D617F-3BE7-474F-9389-0BC057F1B651}">
      <dgm:prSet/>
      <dgm:spPr>
        <a:xfrm>
          <a:off x="2568847" y="1967206"/>
          <a:ext cx="349873" cy="730106"/>
        </a:xfrm>
        <a:custGeom>
          <a:avLst/>
          <a:gdLst/>
          <a:ahLst/>
          <a:cxnLst/>
          <a:rect l="0" t="0" r="0" b="0"/>
          <a:pathLst>
            <a:path>
              <a:moveTo>
                <a:pt x="349873" y="0"/>
              </a:moveTo>
              <a:lnTo>
                <a:pt x="349873" y="670140"/>
              </a:lnTo>
              <a:lnTo>
                <a:pt x="0" y="670140"/>
              </a:lnTo>
              <a:lnTo>
                <a:pt x="0" y="730106"/>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CED96D50-3E2B-8345-A4FC-F0BCC11FE74A}" type="sibTrans" cxnId="{B41D617F-3BE7-474F-9389-0BC057F1B651}">
      <dgm:prSet/>
      <dgm:spPr/>
      <dgm:t>
        <a:bodyPr/>
        <a:lstStyle/>
        <a:p>
          <a:endParaRPr lang="en-US"/>
        </a:p>
      </dgm:t>
    </dgm:pt>
    <dgm:pt modelId="{5D6B157E-C4EF-1D40-8647-EC7315FAF797}">
      <dgm:prSet custT="1"/>
      <dgm:spPr>
        <a:xfrm>
          <a:off x="4141550" y="2223793"/>
          <a:ext cx="790421" cy="411043"/>
        </a:xfrm>
        <a:prstGeom prst="roundRect">
          <a:avLst>
            <a:gd name="adj" fmla="val 10000"/>
          </a:avLst>
        </a:prstGeom>
        <a:solidFill>
          <a:srgbClr val="C0504D">
            <a:lumMod val="40000"/>
            <a:lumOff val="60000"/>
            <a:alpha val="90000"/>
          </a:srgbClr>
        </a:solidFill>
        <a:ln w="25400" cap="flat" cmpd="sng" algn="ctr">
          <a:solidFill>
            <a:srgbClr val="4F81BD">
              <a:hueOff val="0"/>
              <a:satOff val="0"/>
              <a:lumOff val="0"/>
              <a:alphaOff val="0"/>
            </a:srgbClr>
          </a:solidFill>
          <a:prstDash val="solid"/>
        </a:ln>
        <a:effectLst/>
      </dgm:spPr>
      <dgm:t>
        <a:bodyPr/>
        <a:lstStyle/>
        <a:p>
          <a:r>
            <a:rPr lang="bg-BG" sz="1050" b="1">
              <a:solidFill>
                <a:sysClr val="windowText" lastClr="000000">
                  <a:hueOff val="0"/>
                  <a:satOff val="0"/>
                  <a:lumOff val="0"/>
                  <a:alphaOff val="0"/>
                </a:sysClr>
              </a:solidFill>
              <a:latin typeface="Calibri"/>
              <a:ea typeface="+mn-ea"/>
              <a:cs typeface="+mn-cs"/>
            </a:rPr>
            <a:t>неселективни бета-блокери</a:t>
          </a:r>
          <a:endParaRPr lang="en-US" sz="1050" b="1">
            <a:solidFill>
              <a:sysClr val="windowText" lastClr="000000">
                <a:hueOff val="0"/>
                <a:satOff val="0"/>
                <a:lumOff val="0"/>
                <a:alphaOff val="0"/>
              </a:sysClr>
            </a:solidFill>
            <a:latin typeface="Calibri"/>
            <a:ea typeface="+mn-ea"/>
            <a:cs typeface="+mn-cs"/>
          </a:endParaRPr>
        </a:p>
      </dgm:t>
    </dgm:pt>
    <dgm:pt modelId="{E11D75EA-C11B-5349-BA59-680E2780D8E6}" type="parTrans" cxnId="{DC92BD65-D84E-A74C-9114-C4C09CFF31A3}">
      <dgm:prSet/>
      <dgm:spPr>
        <a:xfrm>
          <a:off x="4419117" y="1967206"/>
          <a:ext cx="91440" cy="188260"/>
        </a:xfrm>
        <a:custGeom>
          <a:avLst/>
          <a:gdLst/>
          <a:ahLst/>
          <a:cxnLst/>
          <a:rect l="0" t="0" r="0" b="0"/>
          <a:pathLst>
            <a:path>
              <a:moveTo>
                <a:pt x="45720" y="0"/>
              </a:moveTo>
              <a:lnTo>
                <a:pt x="45720" y="188260"/>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C9BDA612-A5FE-F84E-9A0E-8F896242E5F0}" type="sibTrans" cxnId="{DC92BD65-D84E-A74C-9114-C4C09CFF31A3}">
      <dgm:prSet/>
      <dgm:spPr/>
      <dgm:t>
        <a:bodyPr/>
        <a:lstStyle/>
        <a:p>
          <a:endParaRPr lang="en-US"/>
        </a:p>
      </dgm:t>
    </dgm:pt>
    <dgm:pt modelId="{10865A91-33E5-294E-80D3-2E1D316BB95E}">
      <dgm:prSet custT="1"/>
      <dgm:spPr>
        <a:xfrm>
          <a:off x="4089571" y="2823098"/>
          <a:ext cx="894379" cy="411043"/>
        </a:xfrm>
        <a:prstGeom prst="roundRect">
          <a:avLst>
            <a:gd name="adj" fmla="val 10000"/>
          </a:avLst>
        </a:prstGeom>
        <a:solidFill>
          <a:srgbClr val="C0504D">
            <a:lumMod val="40000"/>
            <a:lumOff val="60000"/>
            <a:alpha val="90000"/>
          </a:srgbClr>
        </a:solidFill>
        <a:ln w="25400" cap="flat" cmpd="sng" algn="ctr">
          <a:solidFill>
            <a:srgbClr val="4F81BD">
              <a:hueOff val="0"/>
              <a:satOff val="0"/>
              <a:lumOff val="0"/>
              <a:alphaOff val="0"/>
            </a:srgbClr>
          </a:solidFill>
          <a:prstDash val="solid"/>
        </a:ln>
        <a:effectLst/>
      </dgm:spPr>
      <dgm:t>
        <a:bodyPr/>
        <a:lstStyle/>
        <a:p>
          <a:r>
            <a:rPr lang="bg-BG" sz="1000" b="1">
              <a:solidFill>
                <a:sysClr val="windowText" lastClr="000000">
                  <a:hueOff val="0"/>
                  <a:satOff val="0"/>
                  <a:lumOff val="0"/>
                  <a:alphaOff val="0"/>
                </a:sysClr>
              </a:solidFill>
              <a:latin typeface="Calibri"/>
              <a:ea typeface="+mn-ea"/>
              <a:cs typeface="+mn-cs"/>
            </a:rPr>
            <a:t>блокери на калциевите канали</a:t>
          </a:r>
          <a:endParaRPr lang="en-US" sz="1000" b="1">
            <a:solidFill>
              <a:sysClr val="windowText" lastClr="000000">
                <a:hueOff val="0"/>
                <a:satOff val="0"/>
                <a:lumOff val="0"/>
                <a:alphaOff val="0"/>
              </a:sysClr>
            </a:solidFill>
            <a:latin typeface="Calibri"/>
            <a:ea typeface="+mn-ea"/>
            <a:cs typeface="+mn-cs"/>
          </a:endParaRPr>
        </a:p>
      </dgm:t>
    </dgm:pt>
    <dgm:pt modelId="{DDA5F55D-D1C1-4E4E-A001-98A69CDB1166}" type="parTrans" cxnId="{37A99044-3EF6-2342-B02D-3D4AE2DCF5C3}">
      <dgm:prSet/>
      <dgm:spPr>
        <a:xfrm>
          <a:off x="4419117" y="2566510"/>
          <a:ext cx="91440" cy="188260"/>
        </a:xfrm>
        <a:custGeom>
          <a:avLst/>
          <a:gdLst/>
          <a:ahLst/>
          <a:cxnLst/>
          <a:rect l="0" t="0" r="0" b="0"/>
          <a:pathLst>
            <a:path>
              <a:moveTo>
                <a:pt x="45720" y="0"/>
              </a:moveTo>
              <a:lnTo>
                <a:pt x="45720" y="188260"/>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57EC9F8D-28C5-AB48-99CE-741AE1500022}" type="sibTrans" cxnId="{37A99044-3EF6-2342-B02D-3D4AE2DCF5C3}">
      <dgm:prSet/>
      <dgm:spPr/>
      <dgm:t>
        <a:bodyPr/>
        <a:lstStyle/>
        <a:p>
          <a:endParaRPr lang="en-US"/>
        </a:p>
      </dgm:t>
    </dgm:pt>
    <dgm:pt modelId="{0FB8794A-0F84-8F48-8AAC-53BEE8C37921}">
      <dgm:prSet/>
      <dgm:spPr>
        <a:xfrm>
          <a:off x="4009660" y="3422402"/>
          <a:ext cx="1054201" cy="411043"/>
        </a:xfrm>
        <a:prstGeom prst="roundRect">
          <a:avLst>
            <a:gd name="adj" fmla="val 10000"/>
          </a:avLst>
        </a:prstGeom>
        <a:solidFill>
          <a:srgbClr val="C0504D">
            <a:lumMod val="40000"/>
            <a:lumOff val="60000"/>
            <a:alpha val="90000"/>
          </a:srgbClr>
        </a:solidFill>
        <a:ln w="25400" cap="flat" cmpd="sng" algn="ctr">
          <a:solidFill>
            <a:srgbClr val="4F81BD">
              <a:hueOff val="0"/>
              <a:satOff val="0"/>
              <a:lumOff val="0"/>
              <a:alphaOff val="0"/>
            </a:srgbClr>
          </a:solidFill>
          <a:prstDash val="solid"/>
        </a:ln>
        <a:effectLst/>
      </dgm:spPr>
      <dgm:t>
        <a:bodyPr/>
        <a:lstStyle/>
        <a:p>
          <a:r>
            <a:rPr lang="en-US" b="1">
              <a:solidFill>
                <a:sysClr val="windowText" lastClr="000000">
                  <a:hueOff val="0"/>
                  <a:satOff val="0"/>
                  <a:lumOff val="0"/>
                  <a:alphaOff val="0"/>
                </a:sysClr>
              </a:solidFill>
              <a:latin typeface="Calibri"/>
              <a:ea typeface="+mn-ea"/>
              <a:cs typeface="+mn-cs"/>
            </a:rPr>
            <a:t>SNRI </a:t>
          </a:r>
          <a:r>
            <a:rPr lang="bg-BG" b="1">
              <a:solidFill>
                <a:sysClr val="windowText" lastClr="000000">
                  <a:hueOff val="0"/>
                  <a:satOff val="0"/>
                  <a:lumOff val="0"/>
                  <a:alphaOff val="0"/>
                </a:sysClr>
              </a:solidFill>
              <a:latin typeface="Calibri"/>
              <a:ea typeface="+mn-ea"/>
              <a:cs typeface="+mn-cs"/>
            </a:rPr>
            <a:t>антидепресанти</a:t>
          </a:r>
          <a:endParaRPr lang="en-US" b="1">
            <a:solidFill>
              <a:sysClr val="windowText" lastClr="000000">
                <a:hueOff val="0"/>
                <a:satOff val="0"/>
                <a:lumOff val="0"/>
                <a:alphaOff val="0"/>
              </a:sysClr>
            </a:solidFill>
            <a:latin typeface="Calibri"/>
            <a:ea typeface="+mn-ea"/>
            <a:cs typeface="+mn-cs"/>
          </a:endParaRPr>
        </a:p>
      </dgm:t>
    </dgm:pt>
    <dgm:pt modelId="{7F9EA75F-D250-EA4A-B515-C6E17B9EA866}" type="parTrans" cxnId="{C70C0C11-A9AC-F947-A505-12B0586F2D17}">
      <dgm:prSet/>
      <dgm:spPr>
        <a:xfrm>
          <a:off x="4419117" y="3165814"/>
          <a:ext cx="91440" cy="188260"/>
        </a:xfrm>
        <a:custGeom>
          <a:avLst/>
          <a:gdLst/>
          <a:ahLst/>
          <a:cxnLst/>
          <a:rect l="0" t="0" r="0" b="0"/>
          <a:pathLst>
            <a:path>
              <a:moveTo>
                <a:pt x="45720" y="0"/>
              </a:moveTo>
              <a:lnTo>
                <a:pt x="45720" y="188260"/>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8B2BD2F6-62E8-304C-88F5-DF0E66B812AB}" type="sibTrans" cxnId="{C70C0C11-A9AC-F947-A505-12B0586F2D17}">
      <dgm:prSet/>
      <dgm:spPr/>
      <dgm:t>
        <a:bodyPr/>
        <a:lstStyle/>
        <a:p>
          <a:endParaRPr lang="en-US"/>
        </a:p>
      </dgm:t>
    </dgm:pt>
    <dgm:pt modelId="{7CC37C10-7BD4-0547-8ED9-6694DFEADF3C}" type="pres">
      <dgm:prSet presAssocID="{AB2430CA-4C84-A644-9D4A-9392D273C6BE}" presName="hierChild1" presStyleCnt="0">
        <dgm:presLayoutVars>
          <dgm:chPref val="1"/>
          <dgm:dir/>
          <dgm:animOne val="branch"/>
          <dgm:animLvl val="lvl"/>
          <dgm:resizeHandles/>
        </dgm:presLayoutVars>
      </dgm:prSet>
      <dgm:spPr/>
      <dgm:t>
        <a:bodyPr/>
        <a:lstStyle/>
        <a:p>
          <a:endParaRPr lang="en-US"/>
        </a:p>
      </dgm:t>
    </dgm:pt>
    <dgm:pt modelId="{EB49E580-DDD4-D54D-9CF5-F6EAF0A3EFE1}" type="pres">
      <dgm:prSet presAssocID="{2E445C09-2420-904D-8B80-D74A9E8C93DB}" presName="hierRoot1" presStyleCnt="0"/>
      <dgm:spPr/>
    </dgm:pt>
    <dgm:pt modelId="{1066AF8F-6E63-E149-BA64-8615E4315FCA}" type="pres">
      <dgm:prSet presAssocID="{2E445C09-2420-904D-8B80-D74A9E8C93DB}" presName="composite" presStyleCnt="0"/>
      <dgm:spPr/>
    </dgm:pt>
    <dgm:pt modelId="{09BA9CC2-3A60-874C-9FF4-FA9C27C8E0F8}" type="pres">
      <dgm:prSet presAssocID="{2E445C09-2420-904D-8B80-D74A9E8C93DB}" presName="background" presStyleLbl="node0" presStyleIdx="0" presStyleCnt="1"/>
      <dgm:spPr>
        <a:xfrm>
          <a:off x="1951820" y="357553"/>
          <a:ext cx="2606180" cy="411043"/>
        </a:xfrm>
        <a:prstGeom prst="roundRect">
          <a:avLst>
            <a:gd name="adj" fmla="val 10000"/>
          </a:avLst>
        </a:prstGeom>
        <a:noFill/>
        <a:ln w="25400" cap="flat" cmpd="sng" algn="ctr">
          <a:noFill/>
          <a:prstDash val="solid"/>
        </a:ln>
        <a:effectLst/>
      </dgm:spPr>
      <dgm:t>
        <a:bodyPr/>
        <a:lstStyle/>
        <a:p>
          <a:endParaRPr lang="en-US"/>
        </a:p>
      </dgm:t>
    </dgm:pt>
    <dgm:pt modelId="{C4428AB9-9E68-EB47-9108-02F0473F2A64}" type="pres">
      <dgm:prSet presAssocID="{2E445C09-2420-904D-8B80-D74A9E8C93DB}" presName="text" presStyleLbl="fgAcc0" presStyleIdx="0" presStyleCnt="1" custScaleX="402615">
        <dgm:presLayoutVars>
          <dgm:chPref val="3"/>
        </dgm:presLayoutVars>
      </dgm:prSet>
      <dgm:spPr/>
      <dgm:t>
        <a:bodyPr/>
        <a:lstStyle/>
        <a:p>
          <a:endParaRPr lang="en-US"/>
        </a:p>
      </dgm:t>
    </dgm:pt>
    <dgm:pt modelId="{5A98D57B-F1DA-5543-9320-252D4A6559E9}" type="pres">
      <dgm:prSet presAssocID="{2E445C09-2420-904D-8B80-D74A9E8C93DB}" presName="hierChild2" presStyleCnt="0"/>
      <dgm:spPr/>
    </dgm:pt>
    <dgm:pt modelId="{C120071F-5F94-3B48-A361-5660F3DDA044}" type="pres">
      <dgm:prSet presAssocID="{631291B2-C239-694C-97FD-0A94D95055A1}" presName="Name10" presStyleLbl="parChTrans1D2" presStyleIdx="0" presStyleCnt="2"/>
      <dgm:spPr/>
      <dgm:t>
        <a:bodyPr/>
        <a:lstStyle/>
        <a:p>
          <a:endParaRPr lang="en-US"/>
        </a:p>
      </dgm:t>
    </dgm:pt>
    <dgm:pt modelId="{B21D18FB-4393-FC41-A46B-F4453474A4FB}" type="pres">
      <dgm:prSet presAssocID="{E1718FB7-6804-0C42-B97A-6AD81E026FDB}" presName="hierRoot2" presStyleCnt="0"/>
      <dgm:spPr/>
    </dgm:pt>
    <dgm:pt modelId="{43131717-979F-034B-AE37-6A491D0D8B8C}" type="pres">
      <dgm:prSet presAssocID="{E1718FB7-6804-0C42-B97A-6AD81E026FDB}" presName="composite2" presStyleCnt="0"/>
      <dgm:spPr/>
    </dgm:pt>
    <dgm:pt modelId="{7331BCBC-2298-2C45-A14E-F96D4CE0AEE1}" type="pres">
      <dgm:prSet presAssocID="{E1718FB7-6804-0C42-B97A-6AD81E026FDB}" presName="background2" presStyleLbl="node2" presStyleIdx="0" presStyleCnt="2"/>
      <dgm:spPr>
        <a:xfrm>
          <a:off x="1187653" y="956857"/>
          <a:ext cx="1451619"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a:scene3d>
          <a:camera prst="orthographicFront"/>
          <a:lightRig rig="threePt" dir="t"/>
        </a:scene3d>
        <a:sp3d>
          <a:bevelB/>
        </a:sp3d>
      </dgm:spPr>
      <dgm:t>
        <a:bodyPr/>
        <a:lstStyle/>
        <a:p>
          <a:endParaRPr lang="en-US"/>
        </a:p>
      </dgm:t>
    </dgm:pt>
    <dgm:pt modelId="{E833E200-3643-2748-8EC0-42E5DF2159CC}" type="pres">
      <dgm:prSet presAssocID="{E1718FB7-6804-0C42-B97A-6AD81E026FDB}" presName="text2" presStyleLbl="fgAcc2" presStyleIdx="0" presStyleCnt="2" custScaleX="224253">
        <dgm:presLayoutVars>
          <dgm:chPref val="3"/>
        </dgm:presLayoutVars>
      </dgm:prSet>
      <dgm:spPr/>
      <dgm:t>
        <a:bodyPr/>
        <a:lstStyle/>
        <a:p>
          <a:endParaRPr lang="en-US"/>
        </a:p>
      </dgm:t>
    </dgm:pt>
    <dgm:pt modelId="{31755FA1-0BF0-B446-AD07-C675427307FE}" type="pres">
      <dgm:prSet presAssocID="{E1718FB7-6804-0C42-B97A-6AD81E026FDB}" presName="hierChild3" presStyleCnt="0"/>
      <dgm:spPr/>
    </dgm:pt>
    <dgm:pt modelId="{6A1A0E53-1870-5245-9C8C-32A84BAE32D2}" type="pres">
      <dgm:prSet presAssocID="{D744F3D5-80C4-B749-B130-3F28515E3112}" presName="Name17" presStyleLbl="parChTrans1D3" presStyleIdx="0" presStyleCnt="3"/>
      <dgm:spPr/>
      <dgm:t>
        <a:bodyPr/>
        <a:lstStyle/>
        <a:p>
          <a:endParaRPr lang="en-US"/>
        </a:p>
      </dgm:t>
    </dgm:pt>
    <dgm:pt modelId="{4B9EC989-A784-1B4A-9D3A-C07E3A57334F}" type="pres">
      <dgm:prSet presAssocID="{12DAB821-BA03-2341-A7DC-35E1866A2B30}" presName="hierRoot3" presStyleCnt="0"/>
      <dgm:spPr/>
    </dgm:pt>
    <dgm:pt modelId="{14592C33-2DA0-7F4A-B9F3-1837F1752612}" type="pres">
      <dgm:prSet presAssocID="{12DAB821-BA03-2341-A7DC-35E1866A2B30}" presName="composite3" presStyleCnt="0"/>
      <dgm:spPr/>
    </dgm:pt>
    <dgm:pt modelId="{B620D381-F1EB-974B-97A0-1C68B18F1208}" type="pres">
      <dgm:prSet presAssocID="{12DAB821-BA03-2341-A7DC-35E1866A2B30}" presName="background3" presStyleLbl="node3" presStyleIdx="0" presStyleCnt="3"/>
      <dgm:spPr>
        <a:xfrm>
          <a:off x="406074" y="1556162"/>
          <a:ext cx="965221"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9E420810-3C7F-B14D-BB9D-8BB0447E27CD}" type="pres">
      <dgm:prSet presAssocID="{12DAB821-BA03-2341-A7DC-35E1866A2B30}" presName="text3" presStyleLbl="fgAcc3" presStyleIdx="0" presStyleCnt="3" custScaleX="149112">
        <dgm:presLayoutVars>
          <dgm:chPref val="3"/>
        </dgm:presLayoutVars>
      </dgm:prSet>
      <dgm:spPr/>
      <dgm:t>
        <a:bodyPr/>
        <a:lstStyle/>
        <a:p>
          <a:endParaRPr lang="en-US"/>
        </a:p>
      </dgm:t>
    </dgm:pt>
    <dgm:pt modelId="{3CE2887E-BECC-B846-B9D4-21CAA38E71FE}" type="pres">
      <dgm:prSet presAssocID="{12DAB821-BA03-2341-A7DC-35E1866A2B30}" presName="hierChild4" presStyleCnt="0"/>
      <dgm:spPr/>
    </dgm:pt>
    <dgm:pt modelId="{C64C332D-A58C-9440-8D35-C33F42CB1F53}" type="pres">
      <dgm:prSet presAssocID="{BF998618-8187-1846-B689-A32C7AEA333E}" presName="Name23" presStyleLbl="parChTrans1D4" presStyleIdx="0" presStyleCnt="7"/>
      <dgm:spPr/>
      <dgm:t>
        <a:bodyPr/>
        <a:lstStyle/>
        <a:p>
          <a:endParaRPr lang="en-US"/>
        </a:p>
      </dgm:t>
    </dgm:pt>
    <dgm:pt modelId="{5C94FD63-FBFB-0542-AEB1-77C733C75F76}" type="pres">
      <dgm:prSet presAssocID="{654F506B-4D05-9946-9172-4035F422A4A5}" presName="hierRoot4" presStyleCnt="0"/>
      <dgm:spPr/>
    </dgm:pt>
    <dgm:pt modelId="{BCDB08D1-27DE-1B4C-9A81-3C71C56D1EE1}" type="pres">
      <dgm:prSet presAssocID="{654F506B-4D05-9946-9172-4035F422A4A5}" presName="composite4" presStyleCnt="0"/>
      <dgm:spPr/>
    </dgm:pt>
    <dgm:pt modelId="{4353F7D0-97DE-D449-85ED-3B06A08ED747}" type="pres">
      <dgm:prSet presAssocID="{654F506B-4D05-9946-9172-4035F422A4A5}" presName="background4" presStyleLbl="node4" presStyleIdx="0" presStyleCnt="7"/>
      <dgm:spPr>
        <a:xfrm>
          <a:off x="1502" y="2155466"/>
          <a:ext cx="840691"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FD35DDF3-2954-5A40-AC94-0142FF6B26DA}" type="pres">
      <dgm:prSet presAssocID="{654F506B-4D05-9946-9172-4035F422A4A5}" presName="text4" presStyleLbl="fgAcc4" presStyleIdx="0" presStyleCnt="7" custScaleX="129874">
        <dgm:presLayoutVars>
          <dgm:chPref val="3"/>
        </dgm:presLayoutVars>
      </dgm:prSet>
      <dgm:spPr/>
      <dgm:t>
        <a:bodyPr/>
        <a:lstStyle/>
        <a:p>
          <a:endParaRPr lang="en-US"/>
        </a:p>
      </dgm:t>
    </dgm:pt>
    <dgm:pt modelId="{C8893F20-06E8-F34B-AB98-E5F0FC68D804}" type="pres">
      <dgm:prSet presAssocID="{654F506B-4D05-9946-9172-4035F422A4A5}" presName="hierChild5" presStyleCnt="0"/>
      <dgm:spPr/>
    </dgm:pt>
    <dgm:pt modelId="{CF5AF87B-C88A-E840-8756-80FA37FB2E31}" type="pres">
      <dgm:prSet presAssocID="{6EAFE160-2CB3-1346-8866-6E570231976F}" presName="Name23" presStyleLbl="parChTrans1D4" presStyleIdx="1" presStyleCnt="7"/>
      <dgm:spPr/>
      <dgm:t>
        <a:bodyPr/>
        <a:lstStyle/>
        <a:p>
          <a:endParaRPr lang="en-US"/>
        </a:p>
      </dgm:t>
    </dgm:pt>
    <dgm:pt modelId="{61157497-E2E1-E945-856B-7576011354E1}" type="pres">
      <dgm:prSet presAssocID="{91D5AA92-7A72-054A-AE97-4EFDD99B1662}" presName="hierRoot4" presStyleCnt="0"/>
      <dgm:spPr/>
    </dgm:pt>
    <dgm:pt modelId="{A13C8EB3-84A8-C74A-9C86-1CBAF593974C}" type="pres">
      <dgm:prSet presAssocID="{91D5AA92-7A72-054A-AE97-4EFDD99B1662}" presName="composite4" presStyleCnt="0"/>
      <dgm:spPr/>
    </dgm:pt>
    <dgm:pt modelId="{159376D7-97FC-C54D-B0D6-6C25A381B481}" type="pres">
      <dgm:prSet presAssocID="{91D5AA92-7A72-054A-AE97-4EFDD99B1662}" presName="background4" presStyleLbl="node4" presStyleIdx="1" presStyleCnt="7"/>
      <dgm:spPr>
        <a:xfrm>
          <a:off x="972118" y="2155466"/>
          <a:ext cx="789825"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287FA60C-B598-3745-AD61-57134B9CCD4F}" type="pres">
      <dgm:prSet presAssocID="{91D5AA92-7A72-054A-AE97-4EFDD99B1662}" presName="text4" presStyleLbl="fgAcc4" presStyleIdx="1" presStyleCnt="7" custScaleX="122016" custLinFactNeighborX="-2151">
        <dgm:presLayoutVars>
          <dgm:chPref val="3"/>
        </dgm:presLayoutVars>
      </dgm:prSet>
      <dgm:spPr/>
      <dgm:t>
        <a:bodyPr/>
        <a:lstStyle/>
        <a:p>
          <a:endParaRPr lang="en-US"/>
        </a:p>
      </dgm:t>
    </dgm:pt>
    <dgm:pt modelId="{FBBC750F-75E3-2449-B266-9FF4571145E4}" type="pres">
      <dgm:prSet presAssocID="{91D5AA92-7A72-054A-AE97-4EFDD99B1662}" presName="hierChild5" presStyleCnt="0"/>
      <dgm:spPr/>
    </dgm:pt>
    <dgm:pt modelId="{669DDBC2-EBB6-8F49-90CD-C4B0620706DE}" type="pres">
      <dgm:prSet presAssocID="{6AD3EEB4-9634-DC43-9965-8C1C47BAFADC}" presName="Name17" presStyleLbl="parChTrans1D3" presStyleIdx="1" presStyleCnt="3"/>
      <dgm:spPr/>
      <dgm:t>
        <a:bodyPr/>
        <a:lstStyle/>
        <a:p>
          <a:endParaRPr lang="en-US"/>
        </a:p>
      </dgm:t>
    </dgm:pt>
    <dgm:pt modelId="{BA3A1898-6CE0-2F48-A3BF-B43C8C6D4793}" type="pres">
      <dgm:prSet presAssocID="{248940FA-DBCE-5A47-B5C2-D99A80EF9C77}" presName="hierRoot3" presStyleCnt="0"/>
      <dgm:spPr/>
    </dgm:pt>
    <dgm:pt modelId="{4FC55750-06B7-5440-8461-8CECBDA832B2}" type="pres">
      <dgm:prSet presAssocID="{248940FA-DBCE-5A47-B5C2-D99A80EF9C77}" presName="composite3" presStyleCnt="0"/>
      <dgm:spPr/>
    </dgm:pt>
    <dgm:pt modelId="{C551B4DB-F254-514C-B070-3342CA9C2D82}" type="pres">
      <dgm:prSet presAssocID="{248940FA-DBCE-5A47-B5C2-D99A80EF9C77}" presName="background3" presStyleLbl="node3" presStyleIdx="1" presStyleCnt="3"/>
      <dgm:spPr>
        <a:xfrm>
          <a:off x="2420616" y="1556162"/>
          <a:ext cx="996208"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C9A4BDDC-2ABA-4C48-AC77-1B349133B14A}" type="pres">
      <dgm:prSet presAssocID="{248940FA-DBCE-5A47-B5C2-D99A80EF9C77}" presName="text3" presStyleLbl="fgAcc3" presStyleIdx="1" presStyleCnt="3" custScaleX="153899" custLinFactNeighborX="-622">
        <dgm:presLayoutVars>
          <dgm:chPref val="3"/>
        </dgm:presLayoutVars>
      </dgm:prSet>
      <dgm:spPr/>
      <dgm:t>
        <a:bodyPr/>
        <a:lstStyle/>
        <a:p>
          <a:endParaRPr lang="en-US"/>
        </a:p>
      </dgm:t>
    </dgm:pt>
    <dgm:pt modelId="{29C35EFE-EF57-D546-9645-1C44D60EE19F}" type="pres">
      <dgm:prSet presAssocID="{248940FA-DBCE-5A47-B5C2-D99A80EF9C77}" presName="hierChild4" presStyleCnt="0"/>
      <dgm:spPr/>
    </dgm:pt>
    <dgm:pt modelId="{E67AB5F5-DD36-4D4C-A25E-D341D1C4C943}" type="pres">
      <dgm:prSet presAssocID="{1D051E0F-38DE-F943-A666-2B0E26DCA6C1}" presName="Name23" presStyleLbl="parChTrans1D4" presStyleIdx="2" presStyleCnt="7"/>
      <dgm:spPr/>
      <dgm:t>
        <a:bodyPr/>
        <a:lstStyle/>
        <a:p>
          <a:endParaRPr lang="en-US"/>
        </a:p>
      </dgm:t>
    </dgm:pt>
    <dgm:pt modelId="{73779335-1872-F94F-8E8B-5F6CB488323A}" type="pres">
      <dgm:prSet presAssocID="{83965F11-BCB0-0749-8140-CEADE3BD6B46}" presName="hierRoot4" presStyleCnt="0"/>
      <dgm:spPr/>
    </dgm:pt>
    <dgm:pt modelId="{08082F4D-ECDD-2F40-865C-ADE3C3A263FC}" type="pres">
      <dgm:prSet presAssocID="{83965F11-BCB0-0749-8140-CEADE3BD6B46}" presName="composite4" presStyleCnt="0"/>
      <dgm:spPr/>
    </dgm:pt>
    <dgm:pt modelId="{0C569A17-5352-E546-A743-B2FCCD36C1A4}" type="pres">
      <dgm:prSet presAssocID="{83965F11-BCB0-0749-8140-CEADE3BD6B46}" presName="background4" presStyleLbl="node4" presStyleIdx="2" presStyleCnt="7"/>
      <dgm:spPr>
        <a:xfrm>
          <a:off x="1961395" y="2697312"/>
          <a:ext cx="1214903"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9E5AC1F8-7CDB-B94E-92D9-0CBEFD10F1D5}" type="pres">
      <dgm:prSet presAssocID="{83965F11-BCB0-0749-8140-CEADE3BD6B46}" presName="text4" presStyleLbl="fgAcc4" presStyleIdx="2" presStyleCnt="7" custScaleX="187684" custLinFactY="31822" custLinFactNeighborX="6439" custLinFactNeighborY="100000">
        <dgm:presLayoutVars>
          <dgm:chPref val="3"/>
        </dgm:presLayoutVars>
      </dgm:prSet>
      <dgm:spPr/>
      <dgm:t>
        <a:bodyPr/>
        <a:lstStyle/>
        <a:p>
          <a:endParaRPr lang="en-US"/>
        </a:p>
      </dgm:t>
    </dgm:pt>
    <dgm:pt modelId="{458E99A7-8D97-544B-B00E-61556756EB90}" type="pres">
      <dgm:prSet presAssocID="{83965F11-BCB0-0749-8140-CEADE3BD6B46}" presName="hierChild5" presStyleCnt="0"/>
      <dgm:spPr/>
    </dgm:pt>
    <dgm:pt modelId="{D856892B-25E7-034F-BC70-79BAAA71F470}" type="pres">
      <dgm:prSet presAssocID="{137756EE-A300-EB47-B6CE-9AA06051D0B4}" presName="Name23" presStyleLbl="parChTrans1D4" presStyleIdx="3" presStyleCnt="7"/>
      <dgm:spPr/>
      <dgm:t>
        <a:bodyPr/>
        <a:lstStyle/>
        <a:p>
          <a:endParaRPr lang="en-US"/>
        </a:p>
      </dgm:t>
    </dgm:pt>
    <dgm:pt modelId="{33E2181E-85B4-7044-88AD-1510F2D3717B}" type="pres">
      <dgm:prSet presAssocID="{B0E4F579-EB7A-0E47-A5B9-0B1CF28A3DC7}" presName="hierRoot4" presStyleCnt="0"/>
      <dgm:spPr/>
    </dgm:pt>
    <dgm:pt modelId="{5572AA21-C161-B442-994A-537955ABC752}" type="pres">
      <dgm:prSet presAssocID="{B0E4F579-EB7A-0E47-A5B9-0B1CF28A3DC7}" presName="composite4" presStyleCnt="0"/>
      <dgm:spPr/>
    </dgm:pt>
    <dgm:pt modelId="{60275AC2-0571-ED41-911A-4560B8EDD378}" type="pres">
      <dgm:prSet presAssocID="{B0E4F579-EB7A-0E47-A5B9-0B1CF28A3DC7}" presName="background4" presStyleLbl="node4" presStyleIdx="3" presStyleCnt="7"/>
      <dgm:spPr>
        <a:xfrm>
          <a:off x="3082828" y="2097065"/>
          <a:ext cx="647313"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D48D9037-73F6-F646-8C18-6706206ECFE8}" type="pres">
      <dgm:prSet presAssocID="{B0E4F579-EB7A-0E47-A5B9-0B1CF28A3DC7}" presName="text4" presStyleLbl="fgAcc4" presStyleIdx="3" presStyleCnt="7" custLinFactNeighborX="-30223" custLinFactNeighborY="-14208">
        <dgm:presLayoutVars>
          <dgm:chPref val="3"/>
        </dgm:presLayoutVars>
      </dgm:prSet>
      <dgm:spPr/>
      <dgm:t>
        <a:bodyPr/>
        <a:lstStyle/>
        <a:p>
          <a:endParaRPr lang="en-US"/>
        </a:p>
      </dgm:t>
    </dgm:pt>
    <dgm:pt modelId="{61B78229-4BA3-6645-921D-AA8859A30527}" type="pres">
      <dgm:prSet presAssocID="{B0E4F579-EB7A-0E47-A5B9-0B1CF28A3DC7}" presName="hierChild5" presStyleCnt="0"/>
      <dgm:spPr/>
    </dgm:pt>
    <dgm:pt modelId="{BA8A4080-D220-EA48-95E3-906A2F1266EF}" type="pres">
      <dgm:prSet presAssocID="{EE893BD3-0A85-914E-90AC-E91DD12A16CD}" presName="Name10" presStyleLbl="parChTrans1D2" presStyleIdx="1" presStyleCnt="2"/>
      <dgm:spPr/>
      <dgm:t>
        <a:bodyPr/>
        <a:lstStyle/>
        <a:p>
          <a:endParaRPr lang="en-US"/>
        </a:p>
      </dgm:t>
    </dgm:pt>
    <dgm:pt modelId="{9C6B9914-2AF5-0143-BA2C-9D9D2CCD5295}" type="pres">
      <dgm:prSet presAssocID="{F9A789EA-7386-A844-AE8C-66E0748C3EC4}" presName="hierRoot2" presStyleCnt="0"/>
      <dgm:spPr/>
    </dgm:pt>
    <dgm:pt modelId="{77FE646A-7AB2-5F4B-B01A-807805419B01}" type="pres">
      <dgm:prSet presAssocID="{F9A789EA-7386-A844-AE8C-66E0748C3EC4}" presName="composite2" presStyleCnt="0"/>
      <dgm:spPr/>
    </dgm:pt>
    <dgm:pt modelId="{B97633CA-7BAC-574A-A138-7735189C2109}" type="pres">
      <dgm:prSet presAssocID="{F9A789EA-7386-A844-AE8C-66E0748C3EC4}" presName="background2" presStyleLbl="node2" presStyleIdx="1" presStyleCnt="2"/>
      <dgm:spPr>
        <a:xfrm>
          <a:off x="3355501" y="956857"/>
          <a:ext cx="1714661"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520A290F-77B3-6245-AD17-5CA26C37326B}" type="pres">
      <dgm:prSet presAssocID="{F9A789EA-7386-A844-AE8C-66E0748C3EC4}" presName="text2" presStyleLbl="fgAcc2" presStyleIdx="1" presStyleCnt="2" custScaleX="264889" custLinFactNeighborX="-38931">
        <dgm:presLayoutVars>
          <dgm:chPref val="3"/>
        </dgm:presLayoutVars>
      </dgm:prSet>
      <dgm:spPr/>
      <dgm:t>
        <a:bodyPr/>
        <a:lstStyle/>
        <a:p>
          <a:endParaRPr lang="en-US"/>
        </a:p>
      </dgm:t>
    </dgm:pt>
    <dgm:pt modelId="{C422532D-DDFE-0348-907C-A4516E561E5D}" type="pres">
      <dgm:prSet presAssocID="{F9A789EA-7386-A844-AE8C-66E0748C3EC4}" presName="hierChild3" presStyleCnt="0"/>
      <dgm:spPr/>
    </dgm:pt>
    <dgm:pt modelId="{2969516A-18EA-754D-8A88-A3ED4CF41BF2}" type="pres">
      <dgm:prSet presAssocID="{5113BD53-5A8D-A140-B835-07D2C5BCC91D}" presName="Name17" presStyleLbl="parChTrans1D3" presStyleIdx="2" presStyleCnt="3"/>
      <dgm:spPr/>
      <dgm:t>
        <a:bodyPr/>
        <a:lstStyle/>
        <a:p>
          <a:endParaRPr lang="en-US"/>
        </a:p>
      </dgm:t>
    </dgm:pt>
    <dgm:pt modelId="{247AEDBF-1F60-5848-B8AC-70AF8BD2009B}" type="pres">
      <dgm:prSet presAssocID="{3FD78C25-A9D2-5B4A-B3B4-809741DEDAF4}" presName="hierRoot3" presStyleCnt="0"/>
      <dgm:spPr/>
    </dgm:pt>
    <dgm:pt modelId="{84F32C24-50D7-2F4E-AD79-153D707DD2E3}" type="pres">
      <dgm:prSet presAssocID="{3FD78C25-A9D2-5B4A-B3B4-809741DEDAF4}" presName="composite3" presStyleCnt="0"/>
      <dgm:spPr/>
    </dgm:pt>
    <dgm:pt modelId="{71D5542A-5138-D74D-9CFF-2C435968B515}" type="pres">
      <dgm:prSet presAssocID="{3FD78C25-A9D2-5B4A-B3B4-809741DEDAF4}" presName="background3" presStyleLbl="node3" presStyleIdx="2" presStyleCnt="3"/>
      <dgm:spPr>
        <a:xfrm>
          <a:off x="3987136" y="1556162"/>
          <a:ext cx="955402"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7C43C5B1-D2B1-8440-86D1-0CDCAA348B1B}" type="pres">
      <dgm:prSet presAssocID="{3FD78C25-A9D2-5B4A-B3B4-809741DEDAF4}" presName="text3" presStyleLbl="fgAcc3" presStyleIdx="2" presStyleCnt="3" custScaleX="147595">
        <dgm:presLayoutVars>
          <dgm:chPref val="3"/>
        </dgm:presLayoutVars>
      </dgm:prSet>
      <dgm:spPr/>
      <dgm:t>
        <a:bodyPr/>
        <a:lstStyle/>
        <a:p>
          <a:endParaRPr lang="en-US"/>
        </a:p>
      </dgm:t>
    </dgm:pt>
    <dgm:pt modelId="{BC4D6647-306E-3E49-956C-42CF6AA78403}" type="pres">
      <dgm:prSet presAssocID="{3FD78C25-A9D2-5B4A-B3B4-809741DEDAF4}" presName="hierChild4" presStyleCnt="0"/>
      <dgm:spPr/>
    </dgm:pt>
    <dgm:pt modelId="{005A3CC8-612E-BD4D-93F7-81F8E0B1D183}" type="pres">
      <dgm:prSet presAssocID="{E11D75EA-C11B-5349-BA59-680E2780D8E6}" presName="Name23" presStyleLbl="parChTrans1D4" presStyleIdx="4" presStyleCnt="7"/>
      <dgm:spPr/>
      <dgm:t>
        <a:bodyPr/>
        <a:lstStyle/>
        <a:p>
          <a:endParaRPr lang="en-US"/>
        </a:p>
      </dgm:t>
    </dgm:pt>
    <dgm:pt modelId="{58E10D46-FD28-E84C-BBD6-FFB23A36026E}" type="pres">
      <dgm:prSet presAssocID="{5D6B157E-C4EF-1D40-8647-EC7315FAF797}" presName="hierRoot4" presStyleCnt="0"/>
      <dgm:spPr/>
    </dgm:pt>
    <dgm:pt modelId="{B0578924-C12F-884F-A04A-76FE116FE915}" type="pres">
      <dgm:prSet presAssocID="{5D6B157E-C4EF-1D40-8647-EC7315FAF797}" presName="composite4" presStyleCnt="0"/>
      <dgm:spPr/>
    </dgm:pt>
    <dgm:pt modelId="{9E9749B7-7372-0E40-B353-9849D45EC214}" type="pres">
      <dgm:prSet presAssocID="{5D6B157E-C4EF-1D40-8647-EC7315FAF797}" presName="background4" presStyleLbl="node4" presStyleIdx="4" presStyleCnt="7"/>
      <dgm:spPr>
        <a:xfrm>
          <a:off x="4069626" y="2155466"/>
          <a:ext cx="790421"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3279BBFD-6DFC-C44E-B0DA-86A5CD291F1B}" type="pres">
      <dgm:prSet presAssocID="{5D6B157E-C4EF-1D40-8647-EC7315FAF797}" presName="text4" presStyleLbl="fgAcc4" presStyleIdx="4" presStyleCnt="7" custScaleX="122108">
        <dgm:presLayoutVars>
          <dgm:chPref val="3"/>
        </dgm:presLayoutVars>
      </dgm:prSet>
      <dgm:spPr/>
      <dgm:t>
        <a:bodyPr/>
        <a:lstStyle/>
        <a:p>
          <a:endParaRPr lang="en-US"/>
        </a:p>
      </dgm:t>
    </dgm:pt>
    <dgm:pt modelId="{75EC18F1-01E9-0E40-BF02-84BD3F1A6D32}" type="pres">
      <dgm:prSet presAssocID="{5D6B157E-C4EF-1D40-8647-EC7315FAF797}" presName="hierChild5" presStyleCnt="0"/>
      <dgm:spPr/>
    </dgm:pt>
    <dgm:pt modelId="{84EE6116-593E-5F41-B6B4-897E4EF389BB}" type="pres">
      <dgm:prSet presAssocID="{DDA5F55D-D1C1-4E4E-A001-98A69CDB1166}" presName="Name23" presStyleLbl="parChTrans1D4" presStyleIdx="5" presStyleCnt="7"/>
      <dgm:spPr/>
      <dgm:t>
        <a:bodyPr/>
        <a:lstStyle/>
        <a:p>
          <a:endParaRPr lang="en-US"/>
        </a:p>
      </dgm:t>
    </dgm:pt>
    <dgm:pt modelId="{D0082F9C-7F49-5240-B31D-712D532C7F62}" type="pres">
      <dgm:prSet presAssocID="{10865A91-33E5-294E-80D3-2E1D316BB95E}" presName="hierRoot4" presStyleCnt="0"/>
      <dgm:spPr/>
    </dgm:pt>
    <dgm:pt modelId="{CE644A27-F57D-654C-8DB9-6E341D697F8F}" type="pres">
      <dgm:prSet presAssocID="{10865A91-33E5-294E-80D3-2E1D316BB95E}" presName="composite4" presStyleCnt="0"/>
      <dgm:spPr/>
    </dgm:pt>
    <dgm:pt modelId="{3E5DCD30-CE00-BC47-887B-8B8B43F1A72F}" type="pres">
      <dgm:prSet presAssocID="{10865A91-33E5-294E-80D3-2E1D316BB95E}" presName="background4" presStyleLbl="node4" presStyleIdx="5" presStyleCnt="7"/>
      <dgm:spPr>
        <a:xfrm>
          <a:off x="4017647" y="2754770"/>
          <a:ext cx="894379"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AF65E539-9E19-7643-BDDA-39DC4744BF7A}" type="pres">
      <dgm:prSet presAssocID="{10865A91-33E5-294E-80D3-2E1D316BB95E}" presName="text4" presStyleLbl="fgAcc4" presStyleIdx="5" presStyleCnt="7" custScaleX="138168">
        <dgm:presLayoutVars>
          <dgm:chPref val="3"/>
        </dgm:presLayoutVars>
      </dgm:prSet>
      <dgm:spPr/>
      <dgm:t>
        <a:bodyPr/>
        <a:lstStyle/>
        <a:p>
          <a:endParaRPr lang="en-US"/>
        </a:p>
      </dgm:t>
    </dgm:pt>
    <dgm:pt modelId="{2CBED5DB-F6AF-7641-88ED-A8BD677852C6}" type="pres">
      <dgm:prSet presAssocID="{10865A91-33E5-294E-80D3-2E1D316BB95E}" presName="hierChild5" presStyleCnt="0"/>
      <dgm:spPr/>
    </dgm:pt>
    <dgm:pt modelId="{36D65074-6C99-564F-9B53-E810AEDC08D4}" type="pres">
      <dgm:prSet presAssocID="{7F9EA75F-D250-EA4A-B515-C6E17B9EA866}" presName="Name23" presStyleLbl="parChTrans1D4" presStyleIdx="6" presStyleCnt="7"/>
      <dgm:spPr/>
      <dgm:t>
        <a:bodyPr/>
        <a:lstStyle/>
        <a:p>
          <a:endParaRPr lang="en-US"/>
        </a:p>
      </dgm:t>
    </dgm:pt>
    <dgm:pt modelId="{6360C548-0C57-6C49-A751-4F726E307009}" type="pres">
      <dgm:prSet presAssocID="{0FB8794A-0F84-8F48-8AAC-53BEE8C37921}" presName="hierRoot4" presStyleCnt="0"/>
      <dgm:spPr/>
    </dgm:pt>
    <dgm:pt modelId="{9AF929F4-462E-2147-B627-9183DD6CC917}" type="pres">
      <dgm:prSet presAssocID="{0FB8794A-0F84-8F48-8AAC-53BEE8C37921}" presName="composite4" presStyleCnt="0"/>
      <dgm:spPr/>
    </dgm:pt>
    <dgm:pt modelId="{DE63F242-3D5D-2D4B-95EB-BAAF018A70BD}" type="pres">
      <dgm:prSet presAssocID="{0FB8794A-0F84-8F48-8AAC-53BEE8C37921}" presName="background4" presStyleLbl="node4" presStyleIdx="6" presStyleCnt="7"/>
      <dgm:spPr>
        <a:xfrm>
          <a:off x="3937736" y="3354074"/>
          <a:ext cx="1054201"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DBDCFB71-4063-8D4E-B100-E884FE040536}" type="pres">
      <dgm:prSet presAssocID="{0FB8794A-0F84-8F48-8AAC-53BEE8C37921}" presName="text4" presStyleLbl="fgAcc4" presStyleIdx="6" presStyleCnt="7" custScaleX="162858">
        <dgm:presLayoutVars>
          <dgm:chPref val="3"/>
        </dgm:presLayoutVars>
      </dgm:prSet>
      <dgm:spPr/>
      <dgm:t>
        <a:bodyPr/>
        <a:lstStyle/>
        <a:p>
          <a:endParaRPr lang="en-US"/>
        </a:p>
      </dgm:t>
    </dgm:pt>
    <dgm:pt modelId="{D250BC16-8957-014B-B258-96A1DDD88F1B}" type="pres">
      <dgm:prSet presAssocID="{0FB8794A-0F84-8F48-8AAC-53BEE8C37921}" presName="hierChild5" presStyleCnt="0"/>
      <dgm:spPr/>
    </dgm:pt>
  </dgm:ptLst>
  <dgm:cxnLst>
    <dgm:cxn modelId="{63E6B8AF-8E8C-4583-A64B-CC5B19B359CE}" type="presOf" srcId="{EE893BD3-0A85-914E-90AC-E91DD12A16CD}" destId="{BA8A4080-D220-EA48-95E3-906A2F1266EF}" srcOrd="0" destOrd="0" presId="urn:microsoft.com/office/officeart/2005/8/layout/hierarchy1"/>
    <dgm:cxn modelId="{E47D04C7-2496-477A-AC68-29ABA04A7C9B}" type="presOf" srcId="{654F506B-4D05-9946-9172-4035F422A4A5}" destId="{FD35DDF3-2954-5A40-AC94-0142FF6B26DA}" srcOrd="0" destOrd="0" presId="urn:microsoft.com/office/officeart/2005/8/layout/hierarchy1"/>
    <dgm:cxn modelId="{09C76777-DA62-9F4B-972B-343006EFE84A}" srcId="{AB2430CA-4C84-A644-9D4A-9392D273C6BE}" destId="{2E445C09-2420-904D-8B80-D74A9E8C93DB}" srcOrd="0" destOrd="0" parTransId="{6965C79B-F535-704B-8AF1-C641DD912820}" sibTransId="{4E6BDADB-E123-D846-A119-5C9355EC3241}"/>
    <dgm:cxn modelId="{A975CCCF-7503-470D-8976-8A067E2411C6}" type="presOf" srcId="{F9A789EA-7386-A844-AE8C-66E0748C3EC4}" destId="{520A290F-77B3-6245-AD17-5CA26C37326B}" srcOrd="0" destOrd="0" presId="urn:microsoft.com/office/officeart/2005/8/layout/hierarchy1"/>
    <dgm:cxn modelId="{C70C0C11-A9AC-F947-A505-12B0586F2D17}" srcId="{10865A91-33E5-294E-80D3-2E1D316BB95E}" destId="{0FB8794A-0F84-8F48-8AAC-53BEE8C37921}" srcOrd="0" destOrd="0" parTransId="{7F9EA75F-D250-EA4A-B515-C6E17B9EA866}" sibTransId="{8B2BD2F6-62E8-304C-88F5-DF0E66B812AB}"/>
    <dgm:cxn modelId="{83F78BCA-47AF-4BAA-83A8-4E01FB75D0C3}" type="presOf" srcId="{10865A91-33E5-294E-80D3-2E1D316BB95E}" destId="{AF65E539-9E19-7643-BDDA-39DC4744BF7A}" srcOrd="0" destOrd="0" presId="urn:microsoft.com/office/officeart/2005/8/layout/hierarchy1"/>
    <dgm:cxn modelId="{91A35CDA-0879-4CEE-9E0F-C39F5CEEEC13}" type="presOf" srcId="{5D6B157E-C4EF-1D40-8647-EC7315FAF797}" destId="{3279BBFD-6DFC-C44E-B0DA-86A5CD291F1B}" srcOrd="0" destOrd="0" presId="urn:microsoft.com/office/officeart/2005/8/layout/hierarchy1"/>
    <dgm:cxn modelId="{AF83F4E7-6F45-D142-922F-5E82149BFD41}" srcId="{E1718FB7-6804-0C42-B97A-6AD81E026FDB}" destId="{248940FA-DBCE-5A47-B5C2-D99A80EF9C77}" srcOrd="1" destOrd="0" parTransId="{6AD3EEB4-9634-DC43-9965-8C1C47BAFADC}" sibTransId="{88B0DEBD-E82E-9746-8B88-EF8DB195D529}"/>
    <dgm:cxn modelId="{372B778D-5C11-4D0D-8EC2-395C86327068}" type="presOf" srcId="{0FB8794A-0F84-8F48-8AAC-53BEE8C37921}" destId="{DBDCFB71-4063-8D4E-B100-E884FE040536}" srcOrd="0" destOrd="0" presId="urn:microsoft.com/office/officeart/2005/8/layout/hierarchy1"/>
    <dgm:cxn modelId="{33C74199-C0D4-4F63-9D3B-B629D652F6A5}" type="presOf" srcId="{5113BD53-5A8D-A140-B835-07D2C5BCC91D}" destId="{2969516A-18EA-754D-8A88-A3ED4CF41BF2}" srcOrd="0" destOrd="0" presId="urn:microsoft.com/office/officeart/2005/8/layout/hierarchy1"/>
    <dgm:cxn modelId="{A3F09F85-3285-C549-889F-55155726E0CC}" srcId="{12DAB821-BA03-2341-A7DC-35E1866A2B30}" destId="{654F506B-4D05-9946-9172-4035F422A4A5}" srcOrd="0" destOrd="0" parTransId="{BF998618-8187-1846-B689-A32C7AEA333E}" sibTransId="{A3B840CA-D3F3-CE42-928F-6E3DA7B2330D}"/>
    <dgm:cxn modelId="{02B94481-36E4-4FFF-9D7E-0B596EE036A4}" type="presOf" srcId="{6EAFE160-2CB3-1346-8866-6E570231976F}" destId="{CF5AF87B-C88A-E840-8756-80FA37FB2E31}" srcOrd="0" destOrd="0" presId="urn:microsoft.com/office/officeart/2005/8/layout/hierarchy1"/>
    <dgm:cxn modelId="{C900D279-EB67-461D-AC29-28039E90871C}" type="presOf" srcId="{E1718FB7-6804-0C42-B97A-6AD81E026FDB}" destId="{E833E200-3643-2748-8EC0-42E5DF2159CC}" srcOrd="0" destOrd="0" presId="urn:microsoft.com/office/officeart/2005/8/layout/hierarchy1"/>
    <dgm:cxn modelId="{B4E184CD-2CEC-45B0-9AD2-31B7B052BB0F}" type="presOf" srcId="{91D5AA92-7A72-054A-AE97-4EFDD99B1662}" destId="{287FA60C-B598-3745-AD61-57134B9CCD4F}" srcOrd="0" destOrd="0" presId="urn:microsoft.com/office/officeart/2005/8/layout/hierarchy1"/>
    <dgm:cxn modelId="{556A685F-286F-4037-A0D1-21EEB6FA5E9A}" type="presOf" srcId="{D744F3D5-80C4-B749-B130-3F28515E3112}" destId="{6A1A0E53-1870-5245-9C8C-32A84BAE32D2}" srcOrd="0" destOrd="0" presId="urn:microsoft.com/office/officeart/2005/8/layout/hierarchy1"/>
    <dgm:cxn modelId="{3D5558A3-3E00-40AE-B596-A8D55E3CB179}" type="presOf" srcId="{248940FA-DBCE-5A47-B5C2-D99A80EF9C77}" destId="{C9A4BDDC-2ABA-4C48-AC77-1B349133B14A}" srcOrd="0" destOrd="0" presId="urn:microsoft.com/office/officeart/2005/8/layout/hierarchy1"/>
    <dgm:cxn modelId="{24AC68BF-B800-4A13-8611-AA6AC9935EFD}" type="presOf" srcId="{AB2430CA-4C84-A644-9D4A-9392D273C6BE}" destId="{7CC37C10-7BD4-0547-8ED9-6694DFEADF3C}" srcOrd="0" destOrd="0" presId="urn:microsoft.com/office/officeart/2005/8/layout/hierarchy1"/>
    <dgm:cxn modelId="{8DCE61A4-A454-4192-BAC1-0673F3A2CCCE}" type="presOf" srcId="{3FD78C25-A9D2-5B4A-B3B4-809741DEDAF4}" destId="{7C43C5B1-D2B1-8440-86D1-0CDCAA348B1B}" srcOrd="0" destOrd="0" presId="urn:microsoft.com/office/officeart/2005/8/layout/hierarchy1"/>
    <dgm:cxn modelId="{B6E837ED-5089-7442-AF33-F838E8C0A23F}" srcId="{F9A789EA-7386-A844-AE8C-66E0748C3EC4}" destId="{3FD78C25-A9D2-5B4A-B3B4-809741DEDAF4}" srcOrd="0" destOrd="0" parTransId="{5113BD53-5A8D-A140-B835-07D2C5BCC91D}" sibTransId="{B6729BA4-538C-564E-A620-FB3B2BCE0710}"/>
    <dgm:cxn modelId="{8C36CFD5-7039-49F6-9417-021394BCD457}" type="presOf" srcId="{6AD3EEB4-9634-DC43-9965-8C1C47BAFADC}" destId="{669DDBC2-EBB6-8F49-90CD-C4B0620706DE}" srcOrd="0" destOrd="0" presId="urn:microsoft.com/office/officeart/2005/8/layout/hierarchy1"/>
    <dgm:cxn modelId="{0D757AFE-C284-4635-9F42-A18878932969}" type="presOf" srcId="{DDA5F55D-D1C1-4E4E-A001-98A69CDB1166}" destId="{84EE6116-593E-5F41-B6B4-897E4EF389BB}" srcOrd="0" destOrd="0" presId="urn:microsoft.com/office/officeart/2005/8/layout/hierarchy1"/>
    <dgm:cxn modelId="{83EF8BC2-0E51-BA44-A42A-85A21FF3B6F0}" srcId="{2E445C09-2420-904D-8B80-D74A9E8C93DB}" destId="{E1718FB7-6804-0C42-B97A-6AD81E026FDB}" srcOrd="0" destOrd="0" parTransId="{631291B2-C239-694C-97FD-0A94D95055A1}" sibTransId="{7E53568F-51FF-DD44-89AE-B9321B497F28}"/>
    <dgm:cxn modelId="{DC92BD65-D84E-A74C-9114-C4C09CFF31A3}" srcId="{3FD78C25-A9D2-5B4A-B3B4-809741DEDAF4}" destId="{5D6B157E-C4EF-1D40-8647-EC7315FAF797}" srcOrd="0" destOrd="0" parTransId="{E11D75EA-C11B-5349-BA59-680E2780D8E6}" sibTransId="{C9BDA612-A5FE-F84E-9A0E-8F896242E5F0}"/>
    <dgm:cxn modelId="{315C9871-B596-4AC7-9760-67ADBD077709}" type="presOf" srcId="{83965F11-BCB0-0749-8140-CEADE3BD6B46}" destId="{9E5AC1F8-7CDB-B94E-92D9-0CBEFD10F1D5}" srcOrd="0" destOrd="0" presId="urn:microsoft.com/office/officeart/2005/8/layout/hierarchy1"/>
    <dgm:cxn modelId="{D3F1281B-AF3E-BE4B-99B5-5B3B635ED14E}" srcId="{E1718FB7-6804-0C42-B97A-6AD81E026FDB}" destId="{12DAB821-BA03-2341-A7DC-35E1866A2B30}" srcOrd="0" destOrd="0" parTransId="{D744F3D5-80C4-B749-B130-3F28515E3112}" sibTransId="{3776FF1A-1D70-6C4B-BCF0-48C82DAB5934}"/>
    <dgm:cxn modelId="{E2703ACC-2082-45F1-B255-9C5F27D1FFBF}" type="presOf" srcId="{631291B2-C239-694C-97FD-0A94D95055A1}" destId="{C120071F-5F94-3B48-A361-5660F3DDA044}" srcOrd="0" destOrd="0" presId="urn:microsoft.com/office/officeart/2005/8/layout/hierarchy1"/>
    <dgm:cxn modelId="{B6046F72-B1F5-6A4A-9C8D-ABEBD1D1C472}" srcId="{12DAB821-BA03-2341-A7DC-35E1866A2B30}" destId="{91D5AA92-7A72-054A-AE97-4EFDD99B1662}" srcOrd="1" destOrd="0" parTransId="{6EAFE160-2CB3-1346-8866-6E570231976F}" sibTransId="{DD01C224-B1DF-964E-90EB-E72A80A6C655}"/>
    <dgm:cxn modelId="{670C8E2B-6715-467A-AD13-CD41122C80A4}" type="presOf" srcId="{BF998618-8187-1846-B689-A32C7AEA333E}" destId="{C64C332D-A58C-9440-8D35-C33F42CB1F53}" srcOrd="0" destOrd="0" presId="urn:microsoft.com/office/officeart/2005/8/layout/hierarchy1"/>
    <dgm:cxn modelId="{45B00BA2-1FAF-412F-92F7-854D885EE9CB}" type="presOf" srcId="{1D051E0F-38DE-F943-A666-2B0E26DCA6C1}" destId="{E67AB5F5-DD36-4D4C-A25E-D341D1C4C943}" srcOrd="0" destOrd="0" presId="urn:microsoft.com/office/officeart/2005/8/layout/hierarchy1"/>
    <dgm:cxn modelId="{37A99044-3EF6-2342-B02D-3D4AE2DCF5C3}" srcId="{5D6B157E-C4EF-1D40-8647-EC7315FAF797}" destId="{10865A91-33E5-294E-80D3-2E1D316BB95E}" srcOrd="0" destOrd="0" parTransId="{DDA5F55D-D1C1-4E4E-A001-98A69CDB1166}" sibTransId="{57EC9F8D-28C5-AB48-99CE-741AE1500022}"/>
    <dgm:cxn modelId="{421F948C-8D54-41F4-8A4F-972DCED13CE0}" type="presOf" srcId="{E11D75EA-C11B-5349-BA59-680E2780D8E6}" destId="{005A3CC8-612E-BD4D-93F7-81F8E0B1D183}" srcOrd="0" destOrd="0" presId="urn:microsoft.com/office/officeart/2005/8/layout/hierarchy1"/>
    <dgm:cxn modelId="{A0987812-A146-466A-A9AA-73079C9CC067}" type="presOf" srcId="{7F9EA75F-D250-EA4A-B515-C6E17B9EA866}" destId="{36D65074-6C99-564F-9B53-E810AEDC08D4}" srcOrd="0" destOrd="0" presId="urn:microsoft.com/office/officeart/2005/8/layout/hierarchy1"/>
    <dgm:cxn modelId="{6503562E-85CE-4095-8D10-DE83ADB31916}" type="presOf" srcId="{137756EE-A300-EB47-B6CE-9AA06051D0B4}" destId="{D856892B-25E7-034F-BC70-79BAAA71F470}" srcOrd="0" destOrd="0" presId="urn:microsoft.com/office/officeart/2005/8/layout/hierarchy1"/>
    <dgm:cxn modelId="{CD1CE8B6-31A9-4F13-AC6B-EAF1BD8DEA59}" type="presOf" srcId="{2E445C09-2420-904D-8B80-D74A9E8C93DB}" destId="{C4428AB9-9E68-EB47-9108-02F0473F2A64}" srcOrd="0" destOrd="0" presId="urn:microsoft.com/office/officeart/2005/8/layout/hierarchy1"/>
    <dgm:cxn modelId="{B41D617F-3BE7-474F-9389-0BC057F1B651}" srcId="{248940FA-DBCE-5A47-B5C2-D99A80EF9C77}" destId="{83965F11-BCB0-0749-8140-CEADE3BD6B46}" srcOrd="0" destOrd="0" parTransId="{1D051E0F-38DE-F943-A666-2B0E26DCA6C1}" sibTransId="{CED96D50-3E2B-8345-A4FC-F0BCC11FE74A}"/>
    <dgm:cxn modelId="{DA9B287C-8CBC-404B-BB02-6B759C08E8E2}" srcId="{2E445C09-2420-904D-8B80-D74A9E8C93DB}" destId="{F9A789EA-7386-A844-AE8C-66E0748C3EC4}" srcOrd="1" destOrd="0" parTransId="{EE893BD3-0A85-914E-90AC-E91DD12A16CD}" sibTransId="{D49E4114-758D-D149-8AD7-3A24BAA25A5E}"/>
    <dgm:cxn modelId="{B7B4A897-17A6-F94F-A69F-67BC593542FC}" srcId="{248940FA-DBCE-5A47-B5C2-D99A80EF9C77}" destId="{B0E4F579-EB7A-0E47-A5B9-0B1CF28A3DC7}" srcOrd="1" destOrd="0" parTransId="{137756EE-A300-EB47-B6CE-9AA06051D0B4}" sibTransId="{7C7A0852-CC69-354E-88F0-00F2D07C9D24}"/>
    <dgm:cxn modelId="{B2B7311F-E3B2-425D-937C-7AA5D8356FD3}" type="presOf" srcId="{B0E4F579-EB7A-0E47-A5B9-0B1CF28A3DC7}" destId="{D48D9037-73F6-F646-8C18-6706206ECFE8}" srcOrd="0" destOrd="0" presId="urn:microsoft.com/office/officeart/2005/8/layout/hierarchy1"/>
    <dgm:cxn modelId="{1A09B1B2-98E6-4B32-B3AC-6410447CA5BB}" type="presOf" srcId="{12DAB821-BA03-2341-A7DC-35E1866A2B30}" destId="{9E420810-3C7F-B14D-BB9D-8BB0447E27CD}" srcOrd="0" destOrd="0" presId="urn:microsoft.com/office/officeart/2005/8/layout/hierarchy1"/>
    <dgm:cxn modelId="{90F295EF-77AD-40E5-BC5B-E5A931EAD333}" type="presParOf" srcId="{7CC37C10-7BD4-0547-8ED9-6694DFEADF3C}" destId="{EB49E580-DDD4-D54D-9CF5-F6EAF0A3EFE1}" srcOrd="0" destOrd="0" presId="urn:microsoft.com/office/officeart/2005/8/layout/hierarchy1"/>
    <dgm:cxn modelId="{3C09766B-9450-4081-8005-9B13C2ABE60C}" type="presParOf" srcId="{EB49E580-DDD4-D54D-9CF5-F6EAF0A3EFE1}" destId="{1066AF8F-6E63-E149-BA64-8615E4315FCA}" srcOrd="0" destOrd="0" presId="urn:microsoft.com/office/officeart/2005/8/layout/hierarchy1"/>
    <dgm:cxn modelId="{6240360F-AA22-462C-8EB5-BDB63E539CA8}" type="presParOf" srcId="{1066AF8F-6E63-E149-BA64-8615E4315FCA}" destId="{09BA9CC2-3A60-874C-9FF4-FA9C27C8E0F8}" srcOrd="0" destOrd="0" presId="urn:microsoft.com/office/officeart/2005/8/layout/hierarchy1"/>
    <dgm:cxn modelId="{D9C172C9-4D3D-4976-8A5B-AFB309C2987B}" type="presParOf" srcId="{1066AF8F-6E63-E149-BA64-8615E4315FCA}" destId="{C4428AB9-9E68-EB47-9108-02F0473F2A64}" srcOrd="1" destOrd="0" presId="urn:microsoft.com/office/officeart/2005/8/layout/hierarchy1"/>
    <dgm:cxn modelId="{8189145C-1D35-42F9-99B6-6866A1EAEFBE}" type="presParOf" srcId="{EB49E580-DDD4-D54D-9CF5-F6EAF0A3EFE1}" destId="{5A98D57B-F1DA-5543-9320-252D4A6559E9}" srcOrd="1" destOrd="0" presId="urn:microsoft.com/office/officeart/2005/8/layout/hierarchy1"/>
    <dgm:cxn modelId="{37663F6F-FBCC-4DD0-BD1C-5CEC23AA4159}" type="presParOf" srcId="{5A98D57B-F1DA-5543-9320-252D4A6559E9}" destId="{C120071F-5F94-3B48-A361-5660F3DDA044}" srcOrd="0" destOrd="0" presId="urn:microsoft.com/office/officeart/2005/8/layout/hierarchy1"/>
    <dgm:cxn modelId="{2142B889-D39B-4098-82C5-6067F4E1C35F}" type="presParOf" srcId="{5A98D57B-F1DA-5543-9320-252D4A6559E9}" destId="{B21D18FB-4393-FC41-A46B-F4453474A4FB}" srcOrd="1" destOrd="0" presId="urn:microsoft.com/office/officeart/2005/8/layout/hierarchy1"/>
    <dgm:cxn modelId="{3171E66E-73DD-4B4E-AF4C-BE752A1DC5F8}" type="presParOf" srcId="{B21D18FB-4393-FC41-A46B-F4453474A4FB}" destId="{43131717-979F-034B-AE37-6A491D0D8B8C}" srcOrd="0" destOrd="0" presId="urn:microsoft.com/office/officeart/2005/8/layout/hierarchy1"/>
    <dgm:cxn modelId="{9D2DA377-A1E9-436C-BE39-4B87B12F4BCE}" type="presParOf" srcId="{43131717-979F-034B-AE37-6A491D0D8B8C}" destId="{7331BCBC-2298-2C45-A14E-F96D4CE0AEE1}" srcOrd="0" destOrd="0" presId="urn:microsoft.com/office/officeart/2005/8/layout/hierarchy1"/>
    <dgm:cxn modelId="{C3CAAA6E-23E7-4483-8366-A71568018346}" type="presParOf" srcId="{43131717-979F-034B-AE37-6A491D0D8B8C}" destId="{E833E200-3643-2748-8EC0-42E5DF2159CC}" srcOrd="1" destOrd="0" presId="urn:microsoft.com/office/officeart/2005/8/layout/hierarchy1"/>
    <dgm:cxn modelId="{5B888A7E-3541-4A41-8461-76AB7227C5C2}" type="presParOf" srcId="{B21D18FB-4393-FC41-A46B-F4453474A4FB}" destId="{31755FA1-0BF0-B446-AD07-C675427307FE}" srcOrd="1" destOrd="0" presId="urn:microsoft.com/office/officeart/2005/8/layout/hierarchy1"/>
    <dgm:cxn modelId="{B808217E-D846-4A57-A244-28149305A533}" type="presParOf" srcId="{31755FA1-0BF0-B446-AD07-C675427307FE}" destId="{6A1A0E53-1870-5245-9C8C-32A84BAE32D2}" srcOrd="0" destOrd="0" presId="urn:microsoft.com/office/officeart/2005/8/layout/hierarchy1"/>
    <dgm:cxn modelId="{5363BCB3-74DE-4B61-B539-934F16591B99}" type="presParOf" srcId="{31755FA1-0BF0-B446-AD07-C675427307FE}" destId="{4B9EC989-A784-1B4A-9D3A-C07E3A57334F}" srcOrd="1" destOrd="0" presId="urn:microsoft.com/office/officeart/2005/8/layout/hierarchy1"/>
    <dgm:cxn modelId="{47D13578-3644-47E5-A943-C0EB1FE37005}" type="presParOf" srcId="{4B9EC989-A784-1B4A-9D3A-C07E3A57334F}" destId="{14592C33-2DA0-7F4A-B9F3-1837F1752612}" srcOrd="0" destOrd="0" presId="urn:microsoft.com/office/officeart/2005/8/layout/hierarchy1"/>
    <dgm:cxn modelId="{7E5611D9-1EC6-4762-9BAC-B67BA79CF633}" type="presParOf" srcId="{14592C33-2DA0-7F4A-B9F3-1837F1752612}" destId="{B620D381-F1EB-974B-97A0-1C68B18F1208}" srcOrd="0" destOrd="0" presId="urn:microsoft.com/office/officeart/2005/8/layout/hierarchy1"/>
    <dgm:cxn modelId="{80FDFCC3-D80E-4A57-8EF9-7101B3324C06}" type="presParOf" srcId="{14592C33-2DA0-7F4A-B9F3-1837F1752612}" destId="{9E420810-3C7F-B14D-BB9D-8BB0447E27CD}" srcOrd="1" destOrd="0" presId="urn:microsoft.com/office/officeart/2005/8/layout/hierarchy1"/>
    <dgm:cxn modelId="{B32D11D9-BF07-42F7-B91B-E0A90EA71A30}" type="presParOf" srcId="{4B9EC989-A784-1B4A-9D3A-C07E3A57334F}" destId="{3CE2887E-BECC-B846-B9D4-21CAA38E71FE}" srcOrd="1" destOrd="0" presId="urn:microsoft.com/office/officeart/2005/8/layout/hierarchy1"/>
    <dgm:cxn modelId="{5A51B7EF-FD48-4FDD-9417-C54E0436FDB5}" type="presParOf" srcId="{3CE2887E-BECC-B846-B9D4-21CAA38E71FE}" destId="{C64C332D-A58C-9440-8D35-C33F42CB1F53}" srcOrd="0" destOrd="0" presId="urn:microsoft.com/office/officeart/2005/8/layout/hierarchy1"/>
    <dgm:cxn modelId="{1023C05A-E3D0-44CB-8E72-7B28E4A5817C}" type="presParOf" srcId="{3CE2887E-BECC-B846-B9D4-21CAA38E71FE}" destId="{5C94FD63-FBFB-0542-AEB1-77C733C75F76}" srcOrd="1" destOrd="0" presId="urn:microsoft.com/office/officeart/2005/8/layout/hierarchy1"/>
    <dgm:cxn modelId="{A40E9A61-B9AF-440C-A21E-DB63A7D8A556}" type="presParOf" srcId="{5C94FD63-FBFB-0542-AEB1-77C733C75F76}" destId="{BCDB08D1-27DE-1B4C-9A81-3C71C56D1EE1}" srcOrd="0" destOrd="0" presId="urn:microsoft.com/office/officeart/2005/8/layout/hierarchy1"/>
    <dgm:cxn modelId="{3560EC06-C709-43EE-AF69-36754130D25D}" type="presParOf" srcId="{BCDB08D1-27DE-1B4C-9A81-3C71C56D1EE1}" destId="{4353F7D0-97DE-D449-85ED-3B06A08ED747}" srcOrd="0" destOrd="0" presId="urn:microsoft.com/office/officeart/2005/8/layout/hierarchy1"/>
    <dgm:cxn modelId="{7E9C5BA8-D9B5-432D-9B2A-14FE4690B231}" type="presParOf" srcId="{BCDB08D1-27DE-1B4C-9A81-3C71C56D1EE1}" destId="{FD35DDF3-2954-5A40-AC94-0142FF6B26DA}" srcOrd="1" destOrd="0" presId="urn:microsoft.com/office/officeart/2005/8/layout/hierarchy1"/>
    <dgm:cxn modelId="{0440044F-55DB-4199-9F09-170EDB654457}" type="presParOf" srcId="{5C94FD63-FBFB-0542-AEB1-77C733C75F76}" destId="{C8893F20-06E8-F34B-AB98-E5F0FC68D804}" srcOrd="1" destOrd="0" presId="urn:microsoft.com/office/officeart/2005/8/layout/hierarchy1"/>
    <dgm:cxn modelId="{6B750669-8571-4534-8692-7B251647E318}" type="presParOf" srcId="{3CE2887E-BECC-B846-B9D4-21CAA38E71FE}" destId="{CF5AF87B-C88A-E840-8756-80FA37FB2E31}" srcOrd="2" destOrd="0" presId="urn:microsoft.com/office/officeart/2005/8/layout/hierarchy1"/>
    <dgm:cxn modelId="{E31B7015-97A6-4607-92F8-12A3498965EC}" type="presParOf" srcId="{3CE2887E-BECC-B846-B9D4-21CAA38E71FE}" destId="{61157497-E2E1-E945-856B-7576011354E1}" srcOrd="3" destOrd="0" presId="urn:microsoft.com/office/officeart/2005/8/layout/hierarchy1"/>
    <dgm:cxn modelId="{CB98AC53-BF4B-4A2A-B581-D0E1A5E60D26}" type="presParOf" srcId="{61157497-E2E1-E945-856B-7576011354E1}" destId="{A13C8EB3-84A8-C74A-9C86-1CBAF593974C}" srcOrd="0" destOrd="0" presId="urn:microsoft.com/office/officeart/2005/8/layout/hierarchy1"/>
    <dgm:cxn modelId="{73EE25B9-0156-41B7-B4D4-7D4548B32071}" type="presParOf" srcId="{A13C8EB3-84A8-C74A-9C86-1CBAF593974C}" destId="{159376D7-97FC-C54D-B0D6-6C25A381B481}" srcOrd="0" destOrd="0" presId="urn:microsoft.com/office/officeart/2005/8/layout/hierarchy1"/>
    <dgm:cxn modelId="{5092C8D8-1064-4EA6-9703-3EA9EA930557}" type="presParOf" srcId="{A13C8EB3-84A8-C74A-9C86-1CBAF593974C}" destId="{287FA60C-B598-3745-AD61-57134B9CCD4F}" srcOrd="1" destOrd="0" presId="urn:microsoft.com/office/officeart/2005/8/layout/hierarchy1"/>
    <dgm:cxn modelId="{36457775-B7F4-4085-AC6D-478D833D9686}" type="presParOf" srcId="{61157497-E2E1-E945-856B-7576011354E1}" destId="{FBBC750F-75E3-2449-B266-9FF4571145E4}" srcOrd="1" destOrd="0" presId="urn:microsoft.com/office/officeart/2005/8/layout/hierarchy1"/>
    <dgm:cxn modelId="{ABFC00D8-CADB-4645-BB3F-E9F1C4D2C134}" type="presParOf" srcId="{31755FA1-0BF0-B446-AD07-C675427307FE}" destId="{669DDBC2-EBB6-8F49-90CD-C4B0620706DE}" srcOrd="2" destOrd="0" presId="urn:microsoft.com/office/officeart/2005/8/layout/hierarchy1"/>
    <dgm:cxn modelId="{7F7134CD-B8AF-40F6-985C-5CE0676F42A5}" type="presParOf" srcId="{31755FA1-0BF0-B446-AD07-C675427307FE}" destId="{BA3A1898-6CE0-2F48-A3BF-B43C8C6D4793}" srcOrd="3" destOrd="0" presId="urn:microsoft.com/office/officeart/2005/8/layout/hierarchy1"/>
    <dgm:cxn modelId="{0D275283-F9D1-4D5D-BA57-9434386DD3B9}" type="presParOf" srcId="{BA3A1898-6CE0-2F48-A3BF-B43C8C6D4793}" destId="{4FC55750-06B7-5440-8461-8CECBDA832B2}" srcOrd="0" destOrd="0" presId="urn:microsoft.com/office/officeart/2005/8/layout/hierarchy1"/>
    <dgm:cxn modelId="{72EA0B55-792C-4DA7-A9E3-EE685F26D339}" type="presParOf" srcId="{4FC55750-06B7-5440-8461-8CECBDA832B2}" destId="{C551B4DB-F254-514C-B070-3342CA9C2D82}" srcOrd="0" destOrd="0" presId="urn:microsoft.com/office/officeart/2005/8/layout/hierarchy1"/>
    <dgm:cxn modelId="{3F8B895E-3081-40EE-B1FA-1ECD34DC00BF}" type="presParOf" srcId="{4FC55750-06B7-5440-8461-8CECBDA832B2}" destId="{C9A4BDDC-2ABA-4C48-AC77-1B349133B14A}" srcOrd="1" destOrd="0" presId="urn:microsoft.com/office/officeart/2005/8/layout/hierarchy1"/>
    <dgm:cxn modelId="{9EFEB767-C403-464A-AF92-D08710369604}" type="presParOf" srcId="{BA3A1898-6CE0-2F48-A3BF-B43C8C6D4793}" destId="{29C35EFE-EF57-D546-9645-1C44D60EE19F}" srcOrd="1" destOrd="0" presId="urn:microsoft.com/office/officeart/2005/8/layout/hierarchy1"/>
    <dgm:cxn modelId="{171E45FF-4072-4832-85AD-97BD04291187}" type="presParOf" srcId="{29C35EFE-EF57-D546-9645-1C44D60EE19F}" destId="{E67AB5F5-DD36-4D4C-A25E-D341D1C4C943}" srcOrd="0" destOrd="0" presId="urn:microsoft.com/office/officeart/2005/8/layout/hierarchy1"/>
    <dgm:cxn modelId="{A4B5FD57-D5A2-4BC7-9933-7A557577291C}" type="presParOf" srcId="{29C35EFE-EF57-D546-9645-1C44D60EE19F}" destId="{73779335-1872-F94F-8E8B-5F6CB488323A}" srcOrd="1" destOrd="0" presId="urn:microsoft.com/office/officeart/2005/8/layout/hierarchy1"/>
    <dgm:cxn modelId="{8A95E2F9-ACDE-4AD5-9173-0A7AB28D82F6}" type="presParOf" srcId="{73779335-1872-F94F-8E8B-5F6CB488323A}" destId="{08082F4D-ECDD-2F40-865C-ADE3C3A263FC}" srcOrd="0" destOrd="0" presId="urn:microsoft.com/office/officeart/2005/8/layout/hierarchy1"/>
    <dgm:cxn modelId="{B40F6AD5-FE8E-4A31-992F-83E534525B4E}" type="presParOf" srcId="{08082F4D-ECDD-2F40-865C-ADE3C3A263FC}" destId="{0C569A17-5352-E546-A743-B2FCCD36C1A4}" srcOrd="0" destOrd="0" presId="urn:microsoft.com/office/officeart/2005/8/layout/hierarchy1"/>
    <dgm:cxn modelId="{DAC4BF2D-EE0E-4E95-86EC-261B5F8ED83F}" type="presParOf" srcId="{08082F4D-ECDD-2F40-865C-ADE3C3A263FC}" destId="{9E5AC1F8-7CDB-B94E-92D9-0CBEFD10F1D5}" srcOrd="1" destOrd="0" presId="urn:microsoft.com/office/officeart/2005/8/layout/hierarchy1"/>
    <dgm:cxn modelId="{DB16F45D-F270-48B8-B3D3-0DAA77BDFE54}" type="presParOf" srcId="{73779335-1872-F94F-8E8B-5F6CB488323A}" destId="{458E99A7-8D97-544B-B00E-61556756EB90}" srcOrd="1" destOrd="0" presId="urn:microsoft.com/office/officeart/2005/8/layout/hierarchy1"/>
    <dgm:cxn modelId="{95309B79-7C5E-4787-BED0-9D38E0052ED2}" type="presParOf" srcId="{29C35EFE-EF57-D546-9645-1C44D60EE19F}" destId="{D856892B-25E7-034F-BC70-79BAAA71F470}" srcOrd="2" destOrd="0" presId="urn:microsoft.com/office/officeart/2005/8/layout/hierarchy1"/>
    <dgm:cxn modelId="{83ABAB84-C7AC-46EB-B216-D22155E2BCD3}" type="presParOf" srcId="{29C35EFE-EF57-D546-9645-1C44D60EE19F}" destId="{33E2181E-85B4-7044-88AD-1510F2D3717B}" srcOrd="3" destOrd="0" presId="urn:microsoft.com/office/officeart/2005/8/layout/hierarchy1"/>
    <dgm:cxn modelId="{DCD75BFE-6DD6-4834-9ECE-8C5F5BB722E0}" type="presParOf" srcId="{33E2181E-85B4-7044-88AD-1510F2D3717B}" destId="{5572AA21-C161-B442-994A-537955ABC752}" srcOrd="0" destOrd="0" presId="urn:microsoft.com/office/officeart/2005/8/layout/hierarchy1"/>
    <dgm:cxn modelId="{6CD1BD29-3319-41F6-BED0-0C1A3896A5E2}" type="presParOf" srcId="{5572AA21-C161-B442-994A-537955ABC752}" destId="{60275AC2-0571-ED41-911A-4560B8EDD378}" srcOrd="0" destOrd="0" presId="urn:microsoft.com/office/officeart/2005/8/layout/hierarchy1"/>
    <dgm:cxn modelId="{4BA5FA57-02DC-44AD-B4B9-44161EEFB329}" type="presParOf" srcId="{5572AA21-C161-B442-994A-537955ABC752}" destId="{D48D9037-73F6-F646-8C18-6706206ECFE8}" srcOrd="1" destOrd="0" presId="urn:microsoft.com/office/officeart/2005/8/layout/hierarchy1"/>
    <dgm:cxn modelId="{1B3E3984-0673-4ECF-8D06-8508DBC2F635}" type="presParOf" srcId="{33E2181E-85B4-7044-88AD-1510F2D3717B}" destId="{61B78229-4BA3-6645-921D-AA8859A30527}" srcOrd="1" destOrd="0" presId="urn:microsoft.com/office/officeart/2005/8/layout/hierarchy1"/>
    <dgm:cxn modelId="{19E949EE-57E5-4744-ACCF-2DBB7C571520}" type="presParOf" srcId="{5A98D57B-F1DA-5543-9320-252D4A6559E9}" destId="{BA8A4080-D220-EA48-95E3-906A2F1266EF}" srcOrd="2" destOrd="0" presId="urn:microsoft.com/office/officeart/2005/8/layout/hierarchy1"/>
    <dgm:cxn modelId="{A0E33E52-B516-4138-93D9-C377A0ABA664}" type="presParOf" srcId="{5A98D57B-F1DA-5543-9320-252D4A6559E9}" destId="{9C6B9914-2AF5-0143-BA2C-9D9D2CCD5295}" srcOrd="3" destOrd="0" presId="urn:microsoft.com/office/officeart/2005/8/layout/hierarchy1"/>
    <dgm:cxn modelId="{80AA0892-CF54-4C75-9A5F-9574EA39DAC8}" type="presParOf" srcId="{9C6B9914-2AF5-0143-BA2C-9D9D2CCD5295}" destId="{77FE646A-7AB2-5F4B-B01A-807805419B01}" srcOrd="0" destOrd="0" presId="urn:microsoft.com/office/officeart/2005/8/layout/hierarchy1"/>
    <dgm:cxn modelId="{0CA9DB33-0517-43FF-B891-A73EFE9187AE}" type="presParOf" srcId="{77FE646A-7AB2-5F4B-B01A-807805419B01}" destId="{B97633CA-7BAC-574A-A138-7735189C2109}" srcOrd="0" destOrd="0" presId="urn:microsoft.com/office/officeart/2005/8/layout/hierarchy1"/>
    <dgm:cxn modelId="{33C8A6FC-A789-453E-8725-A7163B501FBA}" type="presParOf" srcId="{77FE646A-7AB2-5F4B-B01A-807805419B01}" destId="{520A290F-77B3-6245-AD17-5CA26C37326B}" srcOrd="1" destOrd="0" presId="urn:microsoft.com/office/officeart/2005/8/layout/hierarchy1"/>
    <dgm:cxn modelId="{2476983A-9106-4B84-B3B2-48469FAE72B3}" type="presParOf" srcId="{9C6B9914-2AF5-0143-BA2C-9D9D2CCD5295}" destId="{C422532D-DDFE-0348-907C-A4516E561E5D}" srcOrd="1" destOrd="0" presId="urn:microsoft.com/office/officeart/2005/8/layout/hierarchy1"/>
    <dgm:cxn modelId="{5301BA12-1CDF-4AF9-81AA-C402A60D6BA5}" type="presParOf" srcId="{C422532D-DDFE-0348-907C-A4516E561E5D}" destId="{2969516A-18EA-754D-8A88-A3ED4CF41BF2}" srcOrd="0" destOrd="0" presId="urn:microsoft.com/office/officeart/2005/8/layout/hierarchy1"/>
    <dgm:cxn modelId="{892C6299-EC15-452D-A142-158128F22DA2}" type="presParOf" srcId="{C422532D-DDFE-0348-907C-A4516E561E5D}" destId="{247AEDBF-1F60-5848-B8AC-70AF8BD2009B}" srcOrd="1" destOrd="0" presId="urn:microsoft.com/office/officeart/2005/8/layout/hierarchy1"/>
    <dgm:cxn modelId="{2A58F2DF-333C-4101-9EBD-AE0705FB9509}" type="presParOf" srcId="{247AEDBF-1F60-5848-B8AC-70AF8BD2009B}" destId="{84F32C24-50D7-2F4E-AD79-153D707DD2E3}" srcOrd="0" destOrd="0" presId="urn:microsoft.com/office/officeart/2005/8/layout/hierarchy1"/>
    <dgm:cxn modelId="{0C1B6BCF-E5AF-43CA-BD59-4098D50D42C3}" type="presParOf" srcId="{84F32C24-50D7-2F4E-AD79-153D707DD2E3}" destId="{71D5542A-5138-D74D-9CFF-2C435968B515}" srcOrd="0" destOrd="0" presId="urn:microsoft.com/office/officeart/2005/8/layout/hierarchy1"/>
    <dgm:cxn modelId="{11F9FC18-826B-4705-B8D5-E54B5A730E68}" type="presParOf" srcId="{84F32C24-50D7-2F4E-AD79-153D707DD2E3}" destId="{7C43C5B1-D2B1-8440-86D1-0CDCAA348B1B}" srcOrd="1" destOrd="0" presId="urn:microsoft.com/office/officeart/2005/8/layout/hierarchy1"/>
    <dgm:cxn modelId="{21D782B8-9723-4919-B79E-9266770286A7}" type="presParOf" srcId="{247AEDBF-1F60-5848-B8AC-70AF8BD2009B}" destId="{BC4D6647-306E-3E49-956C-42CF6AA78403}" srcOrd="1" destOrd="0" presId="urn:microsoft.com/office/officeart/2005/8/layout/hierarchy1"/>
    <dgm:cxn modelId="{D4C3EA38-1A03-4C0F-A259-FD840F1FD1FD}" type="presParOf" srcId="{BC4D6647-306E-3E49-956C-42CF6AA78403}" destId="{005A3CC8-612E-BD4D-93F7-81F8E0B1D183}" srcOrd="0" destOrd="0" presId="urn:microsoft.com/office/officeart/2005/8/layout/hierarchy1"/>
    <dgm:cxn modelId="{7958759D-F05A-4135-9325-911B70E3599F}" type="presParOf" srcId="{BC4D6647-306E-3E49-956C-42CF6AA78403}" destId="{58E10D46-FD28-E84C-BBD6-FFB23A36026E}" srcOrd="1" destOrd="0" presId="urn:microsoft.com/office/officeart/2005/8/layout/hierarchy1"/>
    <dgm:cxn modelId="{346B8593-F571-48DF-A0BF-635152EEBA3F}" type="presParOf" srcId="{58E10D46-FD28-E84C-BBD6-FFB23A36026E}" destId="{B0578924-C12F-884F-A04A-76FE116FE915}" srcOrd="0" destOrd="0" presId="urn:microsoft.com/office/officeart/2005/8/layout/hierarchy1"/>
    <dgm:cxn modelId="{723515B1-4788-452D-BCD3-69B2738123FC}" type="presParOf" srcId="{B0578924-C12F-884F-A04A-76FE116FE915}" destId="{9E9749B7-7372-0E40-B353-9849D45EC214}" srcOrd="0" destOrd="0" presId="urn:microsoft.com/office/officeart/2005/8/layout/hierarchy1"/>
    <dgm:cxn modelId="{DF53D471-B871-4EDD-8F53-E8386345CEF2}" type="presParOf" srcId="{B0578924-C12F-884F-A04A-76FE116FE915}" destId="{3279BBFD-6DFC-C44E-B0DA-86A5CD291F1B}" srcOrd="1" destOrd="0" presId="urn:microsoft.com/office/officeart/2005/8/layout/hierarchy1"/>
    <dgm:cxn modelId="{22EDF277-AD69-4B46-9019-E294BFEE79CD}" type="presParOf" srcId="{58E10D46-FD28-E84C-BBD6-FFB23A36026E}" destId="{75EC18F1-01E9-0E40-BF02-84BD3F1A6D32}" srcOrd="1" destOrd="0" presId="urn:microsoft.com/office/officeart/2005/8/layout/hierarchy1"/>
    <dgm:cxn modelId="{E5DD2579-D05D-4B86-9105-746828B1922B}" type="presParOf" srcId="{75EC18F1-01E9-0E40-BF02-84BD3F1A6D32}" destId="{84EE6116-593E-5F41-B6B4-897E4EF389BB}" srcOrd="0" destOrd="0" presId="urn:microsoft.com/office/officeart/2005/8/layout/hierarchy1"/>
    <dgm:cxn modelId="{D9A7CE0A-B6AA-4905-B12F-F3F7FAE95285}" type="presParOf" srcId="{75EC18F1-01E9-0E40-BF02-84BD3F1A6D32}" destId="{D0082F9C-7F49-5240-B31D-712D532C7F62}" srcOrd="1" destOrd="0" presId="urn:microsoft.com/office/officeart/2005/8/layout/hierarchy1"/>
    <dgm:cxn modelId="{61F18B9D-CC7A-4EB2-BB37-F590992D8660}" type="presParOf" srcId="{D0082F9C-7F49-5240-B31D-712D532C7F62}" destId="{CE644A27-F57D-654C-8DB9-6E341D697F8F}" srcOrd="0" destOrd="0" presId="urn:microsoft.com/office/officeart/2005/8/layout/hierarchy1"/>
    <dgm:cxn modelId="{81BC145A-ADF4-4785-907C-8D8CFBD40473}" type="presParOf" srcId="{CE644A27-F57D-654C-8DB9-6E341D697F8F}" destId="{3E5DCD30-CE00-BC47-887B-8B8B43F1A72F}" srcOrd="0" destOrd="0" presId="urn:microsoft.com/office/officeart/2005/8/layout/hierarchy1"/>
    <dgm:cxn modelId="{8F2D2EEA-7A36-4F9A-8EA3-B06FEF7B0C5C}" type="presParOf" srcId="{CE644A27-F57D-654C-8DB9-6E341D697F8F}" destId="{AF65E539-9E19-7643-BDDA-39DC4744BF7A}" srcOrd="1" destOrd="0" presId="urn:microsoft.com/office/officeart/2005/8/layout/hierarchy1"/>
    <dgm:cxn modelId="{BA926F58-2C1C-427A-A80E-00871631436E}" type="presParOf" srcId="{D0082F9C-7F49-5240-B31D-712D532C7F62}" destId="{2CBED5DB-F6AF-7641-88ED-A8BD677852C6}" srcOrd="1" destOrd="0" presId="urn:microsoft.com/office/officeart/2005/8/layout/hierarchy1"/>
    <dgm:cxn modelId="{BC8F51D9-5EA7-497C-98AE-5E304E33B107}" type="presParOf" srcId="{2CBED5DB-F6AF-7641-88ED-A8BD677852C6}" destId="{36D65074-6C99-564F-9B53-E810AEDC08D4}" srcOrd="0" destOrd="0" presId="urn:microsoft.com/office/officeart/2005/8/layout/hierarchy1"/>
    <dgm:cxn modelId="{820CAFB7-F6FE-4BB8-9702-EBD63EEB287A}" type="presParOf" srcId="{2CBED5DB-F6AF-7641-88ED-A8BD677852C6}" destId="{6360C548-0C57-6C49-A751-4F726E307009}" srcOrd="1" destOrd="0" presId="urn:microsoft.com/office/officeart/2005/8/layout/hierarchy1"/>
    <dgm:cxn modelId="{841EB132-5635-4E7B-B97B-93B9C6F5F770}" type="presParOf" srcId="{6360C548-0C57-6C49-A751-4F726E307009}" destId="{9AF929F4-462E-2147-B627-9183DD6CC917}" srcOrd="0" destOrd="0" presId="urn:microsoft.com/office/officeart/2005/8/layout/hierarchy1"/>
    <dgm:cxn modelId="{C5C84C81-F23A-4057-BC8A-375A4F6CD555}" type="presParOf" srcId="{9AF929F4-462E-2147-B627-9183DD6CC917}" destId="{DE63F242-3D5D-2D4B-95EB-BAAF018A70BD}" srcOrd="0" destOrd="0" presId="urn:microsoft.com/office/officeart/2005/8/layout/hierarchy1"/>
    <dgm:cxn modelId="{C0BEFCD9-A2AE-44D1-9494-00726E69F8B1}" type="presParOf" srcId="{9AF929F4-462E-2147-B627-9183DD6CC917}" destId="{DBDCFB71-4063-8D4E-B100-E884FE040536}" srcOrd="1" destOrd="0" presId="urn:microsoft.com/office/officeart/2005/8/layout/hierarchy1"/>
    <dgm:cxn modelId="{E793281F-618F-43AA-8E6F-C4BCF4EDA157}" type="presParOf" srcId="{6360C548-0C57-6C49-A751-4F726E307009}" destId="{D250BC16-8957-014B-B258-96A1DDD88F1B}" srcOrd="1" destOrd="0" presId="urn:microsoft.com/office/officeart/2005/8/layout/hierarchy1"/>
  </dgm:cxnLst>
  <dgm:bg/>
  <dgm:whole/>
  <dgm:extLst>
    <a:ext uri="http://schemas.microsoft.com/office/drawing/2008/diagram">
      <dsp:dataModelExt xmlns:dsp="http://schemas.microsoft.com/office/drawing/2008/diagram" relId="rId16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B2430CA-4C84-A644-9D4A-9392D273C6BE}" type="doc">
      <dgm:prSet loTypeId="urn:microsoft.com/office/officeart/2005/8/layout/hierarchy1" loCatId="" qsTypeId="urn:microsoft.com/office/officeart/2005/8/quickstyle/simple1" qsCatId="simple" csTypeId="urn:microsoft.com/office/officeart/2005/8/colors/accent1_2" csCatId="accent1" phldr="1"/>
      <dgm:spPr/>
      <dgm:t>
        <a:bodyPr/>
        <a:lstStyle/>
        <a:p>
          <a:endParaRPr lang="en-US"/>
        </a:p>
      </dgm:t>
    </dgm:pt>
    <dgm:pt modelId="{2E445C09-2420-904D-8B80-D74A9E8C93DB}">
      <dgm:prSet phldrT="[Text]" custT="1"/>
      <dgm:spPr>
        <a:xfrm>
          <a:off x="0" y="1443748"/>
          <a:ext cx="5863748" cy="798589"/>
        </a:xfrm>
        <a:prstGeom prst="roundRect">
          <a:avLst>
            <a:gd name="adj" fmla="val 10000"/>
          </a:avLst>
        </a:prstGeom>
        <a:solidFill>
          <a:srgbClr val="9BBB59">
            <a:alpha val="90000"/>
          </a:srgbClr>
        </a:solidFill>
        <a:ln w="25400" cap="flat" cmpd="sng" algn="ctr">
          <a:solidFill>
            <a:srgbClr val="4F81BD">
              <a:hueOff val="0"/>
              <a:satOff val="0"/>
              <a:lumOff val="0"/>
              <a:alphaOff val="0"/>
            </a:srgbClr>
          </a:solidFill>
          <a:prstDash val="solid"/>
        </a:ln>
        <a:effectLst/>
        <a:scene3d>
          <a:camera prst="orthographicFront"/>
          <a:lightRig rig="freezing" dir="t"/>
        </a:scene3d>
        <a:sp3d>
          <a:bevelT w="114300" prst="artDeco"/>
          <a:bevelB prst="angle"/>
        </a:sp3d>
      </dgm:spPr>
      <dgm:t>
        <a:bodyPr/>
        <a:lstStyle/>
        <a:p>
          <a:r>
            <a:rPr lang="bg-BG" sz="2400" b="1">
              <a:solidFill>
                <a:sysClr val="windowText" lastClr="000000">
                  <a:hueOff val="0"/>
                  <a:satOff val="0"/>
                  <a:lumOff val="0"/>
                  <a:alphaOff val="0"/>
                </a:sysClr>
              </a:solidFill>
              <a:latin typeface="Calibri"/>
              <a:ea typeface="+mn-ea"/>
              <a:cs typeface="+mn-cs"/>
            </a:rPr>
            <a:t>Лечение на тензионен тип главоболие</a:t>
          </a:r>
          <a:endParaRPr lang="en-US" sz="2400" b="1">
            <a:solidFill>
              <a:sysClr val="windowText" lastClr="000000">
                <a:hueOff val="0"/>
                <a:satOff val="0"/>
                <a:lumOff val="0"/>
                <a:alphaOff val="0"/>
              </a:sysClr>
            </a:solidFill>
            <a:latin typeface="Calibri"/>
            <a:ea typeface="+mn-ea"/>
            <a:cs typeface="+mn-cs"/>
          </a:endParaRPr>
        </a:p>
      </dgm:t>
    </dgm:pt>
    <dgm:pt modelId="{6965C79B-F535-704B-8AF1-C641DD912820}" type="parTrans" cxnId="{09C76777-DA62-9F4B-972B-343006EFE84A}">
      <dgm:prSet/>
      <dgm:spPr/>
      <dgm:t>
        <a:bodyPr/>
        <a:lstStyle/>
        <a:p>
          <a:endParaRPr lang="en-US"/>
        </a:p>
      </dgm:t>
    </dgm:pt>
    <dgm:pt modelId="{4E6BDADB-E123-D846-A119-5C9355EC3241}" type="sibTrans" cxnId="{09C76777-DA62-9F4B-972B-343006EFE84A}">
      <dgm:prSet/>
      <dgm:spPr/>
      <dgm:t>
        <a:bodyPr/>
        <a:lstStyle/>
        <a:p>
          <a:endParaRPr lang="en-US"/>
        </a:p>
      </dgm:t>
    </dgm:pt>
    <dgm:pt modelId="{E1718FB7-6804-0C42-B97A-6AD81E026FDB}">
      <dgm:prSet phldrT="[Text]" custT="1"/>
      <dgm:spPr>
        <a:xfrm>
          <a:off x="83326" y="2536807"/>
          <a:ext cx="1996852" cy="565433"/>
        </a:xfrm>
        <a:prstGeom prst="roundRect">
          <a:avLst>
            <a:gd name="adj" fmla="val 10000"/>
          </a:avLst>
        </a:prstGeom>
        <a:solidFill>
          <a:srgbClr val="4BACC6">
            <a:lumMod val="60000"/>
            <a:lumOff val="40000"/>
            <a:alpha val="90000"/>
          </a:srgbClr>
        </a:solidFill>
        <a:ln w="25400" cap="flat" cmpd="sng" algn="ctr">
          <a:solidFill>
            <a:srgbClr val="4F81BD">
              <a:hueOff val="0"/>
              <a:satOff val="0"/>
              <a:lumOff val="0"/>
              <a:alphaOff val="0"/>
            </a:srgbClr>
          </a:solidFill>
          <a:prstDash val="solid"/>
        </a:ln>
        <a:effectLst/>
        <a:scene3d>
          <a:camera prst="orthographicFront"/>
          <a:lightRig rig="threePt" dir="t">
            <a:rot lat="0" lon="0" rev="3600000"/>
          </a:lightRig>
        </a:scene3d>
        <a:sp3d>
          <a:bevelB/>
        </a:sp3d>
      </dgm:spPr>
      <dgm:t>
        <a:bodyPr/>
        <a:lstStyle/>
        <a:p>
          <a:r>
            <a:rPr lang="bg-BG" sz="2000" b="1">
              <a:solidFill>
                <a:sysClr val="windowText" lastClr="000000">
                  <a:hueOff val="0"/>
                  <a:satOff val="0"/>
                  <a:lumOff val="0"/>
                  <a:alphaOff val="0"/>
                </a:sysClr>
              </a:solidFill>
              <a:latin typeface="Calibri"/>
              <a:ea typeface="+mn-ea"/>
              <a:cs typeface="+mn-cs"/>
            </a:rPr>
            <a:t>Пристъп</a:t>
          </a:r>
          <a:endParaRPr lang="en-US" sz="2000" b="1">
            <a:solidFill>
              <a:sysClr val="windowText" lastClr="000000">
                <a:hueOff val="0"/>
                <a:satOff val="0"/>
                <a:lumOff val="0"/>
                <a:alphaOff val="0"/>
              </a:sysClr>
            </a:solidFill>
            <a:latin typeface="Calibri"/>
            <a:ea typeface="+mn-ea"/>
            <a:cs typeface="+mn-cs"/>
          </a:endParaRPr>
        </a:p>
      </dgm:t>
    </dgm:pt>
    <dgm:pt modelId="{631291B2-C239-694C-97FD-0A94D95055A1}" type="parTrans" cxnId="{83EF8BC2-0E51-BA44-A42A-85A21FF3B6F0}">
      <dgm:prSet/>
      <dgm:spPr>
        <a:xfrm>
          <a:off x="982814" y="2148346"/>
          <a:ext cx="1850121" cy="294469"/>
        </a:xfrm>
        <a:custGeom>
          <a:avLst/>
          <a:gdLst/>
          <a:ahLst/>
          <a:cxnLst/>
          <a:rect l="0" t="0" r="0" b="0"/>
          <a:pathLst>
            <a:path>
              <a:moveTo>
                <a:pt x="1850121" y="0"/>
              </a:moveTo>
              <a:lnTo>
                <a:pt x="1850121" y="211979"/>
              </a:lnTo>
              <a:lnTo>
                <a:pt x="0" y="211979"/>
              </a:lnTo>
              <a:lnTo>
                <a:pt x="0" y="294469"/>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a:p>
      </dgm:t>
    </dgm:pt>
    <dgm:pt modelId="{7E53568F-51FF-DD44-89AE-B9321B497F28}" type="sibTrans" cxnId="{83EF8BC2-0E51-BA44-A42A-85A21FF3B6F0}">
      <dgm:prSet/>
      <dgm:spPr/>
      <dgm:t>
        <a:bodyPr/>
        <a:lstStyle/>
        <a:p>
          <a:endParaRPr lang="en-US"/>
        </a:p>
      </dgm:t>
    </dgm:pt>
    <dgm:pt modelId="{F9A789EA-7386-A844-AE8C-66E0748C3EC4}">
      <dgm:prSet phldrT="[Text]" custT="1"/>
      <dgm:spPr>
        <a:xfrm>
          <a:off x="2594573" y="2529315"/>
          <a:ext cx="2379566" cy="565433"/>
        </a:xfrm>
        <a:prstGeom prst="roundRect">
          <a:avLst>
            <a:gd name="adj" fmla="val 10000"/>
          </a:avLst>
        </a:prstGeom>
        <a:solidFill>
          <a:srgbClr val="C0504D">
            <a:alpha val="90000"/>
          </a:srgbClr>
        </a:solidFill>
        <a:ln w="25400" cap="flat" cmpd="sng" algn="ctr">
          <a:solidFill>
            <a:srgbClr val="4F81BD">
              <a:hueOff val="0"/>
              <a:satOff val="0"/>
              <a:lumOff val="0"/>
              <a:alphaOff val="0"/>
            </a:srgbClr>
          </a:solidFill>
          <a:prstDash val="solid"/>
        </a:ln>
        <a:effectLst/>
        <a:scene3d>
          <a:camera prst="orthographicFront"/>
          <a:lightRig rig="threePt" dir="t"/>
        </a:scene3d>
        <a:sp3d>
          <a:bevelT/>
        </a:sp3d>
      </dgm:spPr>
      <dgm:t>
        <a:bodyPr/>
        <a:lstStyle/>
        <a:p>
          <a:r>
            <a:rPr lang="bg-BG" sz="1800" b="1">
              <a:solidFill>
                <a:sysClr val="windowText" lastClr="000000">
                  <a:hueOff val="0"/>
                  <a:satOff val="0"/>
                  <a:lumOff val="0"/>
                  <a:alphaOff val="0"/>
                </a:sysClr>
              </a:solidFill>
              <a:latin typeface="Calibri"/>
              <a:ea typeface="+mn-ea"/>
              <a:cs typeface="+mn-cs"/>
            </a:rPr>
            <a:t>Профилактично</a:t>
          </a:r>
          <a:endParaRPr lang="en-US" sz="1800" b="1">
            <a:solidFill>
              <a:sysClr val="windowText" lastClr="000000">
                <a:hueOff val="0"/>
                <a:satOff val="0"/>
                <a:lumOff val="0"/>
                <a:alphaOff val="0"/>
              </a:sysClr>
            </a:solidFill>
            <a:latin typeface="Calibri"/>
            <a:ea typeface="+mn-ea"/>
            <a:cs typeface="+mn-cs"/>
          </a:endParaRPr>
        </a:p>
      </dgm:t>
    </dgm:pt>
    <dgm:pt modelId="{EE893BD3-0A85-914E-90AC-E91DD12A16CD}" type="parTrans" cxnId="{DA9B287C-8CBC-404B-BB02-6B759C08E8E2}">
      <dgm:prSet/>
      <dgm:spPr>
        <a:xfrm>
          <a:off x="2832935" y="2148346"/>
          <a:ext cx="852482" cy="286977"/>
        </a:xfrm>
        <a:custGeom>
          <a:avLst/>
          <a:gdLst/>
          <a:ahLst/>
          <a:cxnLst/>
          <a:rect l="0" t="0" r="0" b="0"/>
          <a:pathLst>
            <a:path>
              <a:moveTo>
                <a:pt x="0" y="0"/>
              </a:moveTo>
              <a:lnTo>
                <a:pt x="0" y="204487"/>
              </a:lnTo>
              <a:lnTo>
                <a:pt x="852482" y="204487"/>
              </a:lnTo>
              <a:lnTo>
                <a:pt x="852482" y="286977"/>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a:p>
      </dgm:t>
    </dgm:pt>
    <dgm:pt modelId="{D49E4114-758D-D149-8AD7-3A24BAA25A5E}" type="sibTrans" cxnId="{DA9B287C-8CBC-404B-BB02-6B759C08E8E2}">
      <dgm:prSet/>
      <dgm:spPr/>
      <dgm:t>
        <a:bodyPr/>
        <a:lstStyle/>
        <a:p>
          <a:endParaRPr lang="en-US"/>
        </a:p>
      </dgm:t>
    </dgm:pt>
    <dgm:pt modelId="{3FD78C25-A9D2-5B4A-B3B4-809741DEDAF4}">
      <dgm:prSet phldrT="[Text]" custT="1"/>
      <dgm:spPr>
        <a:xfrm>
          <a:off x="3451405" y="3361212"/>
          <a:ext cx="1314254" cy="565433"/>
        </a:xfrm>
        <a:prstGeom prst="roundRect">
          <a:avLst>
            <a:gd name="adj" fmla="val 10000"/>
          </a:avLst>
        </a:prstGeom>
        <a:solidFill>
          <a:srgbClr val="C0504D">
            <a:lumMod val="40000"/>
            <a:lumOff val="60000"/>
            <a:alpha val="90000"/>
          </a:srgbClr>
        </a:solidFill>
        <a:ln w="25400" cap="flat" cmpd="sng" algn="ctr">
          <a:solidFill>
            <a:srgbClr val="4F81BD">
              <a:hueOff val="0"/>
              <a:satOff val="0"/>
              <a:lumOff val="0"/>
              <a:alphaOff val="0"/>
            </a:srgbClr>
          </a:solidFill>
          <a:prstDash val="solid"/>
        </a:ln>
        <a:effectLst/>
      </dgm:spPr>
      <dgm:t>
        <a:bodyPr/>
        <a:lstStyle/>
        <a:p>
          <a:r>
            <a:rPr lang="bg-BG" sz="1100" b="1">
              <a:solidFill>
                <a:sysClr val="windowText" lastClr="000000">
                  <a:hueOff val="0"/>
                  <a:satOff val="0"/>
                  <a:lumOff val="0"/>
                  <a:alphaOff val="0"/>
                </a:sysClr>
              </a:solidFill>
              <a:latin typeface="Calibri"/>
              <a:ea typeface="+mn-ea"/>
              <a:cs typeface="+mn-cs"/>
            </a:rPr>
            <a:t>трициклични антидепресанти</a:t>
          </a:r>
          <a:endParaRPr lang="en-US" sz="1100" b="1">
            <a:solidFill>
              <a:sysClr val="windowText" lastClr="000000">
                <a:hueOff val="0"/>
                <a:satOff val="0"/>
                <a:lumOff val="0"/>
                <a:alphaOff val="0"/>
              </a:sysClr>
            </a:solidFill>
            <a:latin typeface="Calibri"/>
            <a:ea typeface="+mn-ea"/>
            <a:cs typeface="+mn-cs"/>
          </a:endParaRPr>
        </a:p>
      </dgm:t>
    </dgm:pt>
    <dgm:pt modelId="{5113BD53-5A8D-A140-B835-07D2C5BCC91D}" type="parTrans" cxnId="{B6E837ED-5089-7442-AF33-F838E8C0A23F}">
      <dgm:prSet/>
      <dgm:spPr>
        <a:xfrm>
          <a:off x="3685418" y="3000757"/>
          <a:ext cx="324175" cy="266463"/>
        </a:xfrm>
        <a:custGeom>
          <a:avLst/>
          <a:gdLst/>
          <a:ahLst/>
          <a:cxnLst/>
          <a:rect l="0" t="0" r="0" b="0"/>
          <a:pathLst>
            <a:path>
              <a:moveTo>
                <a:pt x="0" y="0"/>
              </a:moveTo>
              <a:lnTo>
                <a:pt x="0" y="183973"/>
              </a:lnTo>
              <a:lnTo>
                <a:pt x="324175" y="183973"/>
              </a:lnTo>
              <a:lnTo>
                <a:pt x="324175" y="266463"/>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B6729BA4-538C-564E-A620-FB3B2BCE0710}" type="sibTrans" cxnId="{B6E837ED-5089-7442-AF33-F838E8C0A23F}">
      <dgm:prSet/>
      <dgm:spPr/>
      <dgm:t>
        <a:bodyPr/>
        <a:lstStyle/>
        <a:p>
          <a:endParaRPr lang="en-US"/>
        </a:p>
      </dgm:t>
    </dgm:pt>
    <dgm:pt modelId="{654F506B-4D05-9946-9172-4035F422A4A5}">
      <dgm:prSet custT="1"/>
      <dgm:spPr>
        <a:xfrm>
          <a:off x="241344" y="3398683"/>
          <a:ext cx="1463510" cy="565433"/>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gm:spPr>
      <dgm:t>
        <a:bodyPr/>
        <a:lstStyle/>
        <a:p>
          <a:r>
            <a:rPr lang="bg-BG" sz="2000" b="1">
              <a:solidFill>
                <a:sysClr val="windowText" lastClr="000000">
                  <a:hueOff val="0"/>
                  <a:satOff val="0"/>
                  <a:lumOff val="0"/>
                  <a:alphaOff val="0"/>
                </a:sysClr>
              </a:solidFill>
              <a:latin typeface="Calibri"/>
              <a:ea typeface="+mn-ea"/>
              <a:cs typeface="+mn-cs"/>
            </a:rPr>
            <a:t>НСПВС</a:t>
          </a:r>
          <a:endParaRPr lang="en-US" sz="2000" b="1">
            <a:solidFill>
              <a:sysClr val="windowText" lastClr="000000">
                <a:hueOff val="0"/>
                <a:satOff val="0"/>
                <a:lumOff val="0"/>
                <a:alphaOff val="0"/>
              </a:sysClr>
            </a:solidFill>
            <a:latin typeface="Calibri"/>
            <a:ea typeface="+mn-ea"/>
            <a:cs typeface="+mn-cs"/>
          </a:endParaRPr>
        </a:p>
      </dgm:t>
    </dgm:pt>
    <dgm:pt modelId="{BF998618-8187-1846-B689-A32C7AEA333E}" type="parTrans" cxnId="{A3F09F85-3285-C549-889F-55155726E0CC}">
      <dgm:prSet/>
      <dgm:spPr>
        <a:xfrm>
          <a:off x="874161" y="3008249"/>
          <a:ext cx="108652" cy="296442"/>
        </a:xfrm>
        <a:custGeom>
          <a:avLst/>
          <a:gdLst/>
          <a:ahLst/>
          <a:cxnLst/>
          <a:rect l="0" t="0" r="0" b="0"/>
          <a:pathLst>
            <a:path>
              <a:moveTo>
                <a:pt x="108652" y="0"/>
              </a:moveTo>
              <a:lnTo>
                <a:pt x="108652" y="213952"/>
              </a:lnTo>
              <a:lnTo>
                <a:pt x="0" y="213952"/>
              </a:lnTo>
              <a:lnTo>
                <a:pt x="0" y="296442"/>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A3B840CA-D3F3-CE42-928F-6E3DA7B2330D}" type="sibTrans" cxnId="{A3F09F85-3285-C549-889F-55155726E0CC}">
      <dgm:prSet/>
      <dgm:spPr/>
      <dgm:t>
        <a:bodyPr/>
        <a:lstStyle/>
        <a:p>
          <a:endParaRPr lang="en-US"/>
        </a:p>
      </dgm:t>
    </dgm:pt>
    <dgm:pt modelId="{0FB8794A-0F84-8F48-8AAC-53BEE8C37921}">
      <dgm:prSet/>
      <dgm:spPr>
        <a:xfrm>
          <a:off x="3405934" y="4178125"/>
          <a:ext cx="1450162" cy="565433"/>
        </a:xfrm>
        <a:prstGeom prst="roundRect">
          <a:avLst>
            <a:gd name="adj" fmla="val 10000"/>
          </a:avLst>
        </a:prstGeom>
        <a:solidFill>
          <a:srgbClr val="C0504D">
            <a:lumMod val="40000"/>
            <a:lumOff val="60000"/>
            <a:alpha val="90000"/>
          </a:srgbClr>
        </a:solidFill>
        <a:ln w="25400" cap="flat" cmpd="sng" algn="ctr">
          <a:solidFill>
            <a:srgbClr val="4F81BD">
              <a:hueOff val="0"/>
              <a:satOff val="0"/>
              <a:lumOff val="0"/>
              <a:alphaOff val="0"/>
            </a:srgbClr>
          </a:solidFill>
          <a:prstDash val="solid"/>
        </a:ln>
        <a:effectLst/>
      </dgm:spPr>
      <dgm:t>
        <a:bodyPr/>
        <a:lstStyle/>
        <a:p>
          <a:r>
            <a:rPr lang="en-US" b="1">
              <a:solidFill>
                <a:sysClr val="windowText" lastClr="000000">
                  <a:hueOff val="0"/>
                  <a:satOff val="0"/>
                  <a:lumOff val="0"/>
                  <a:alphaOff val="0"/>
                </a:sysClr>
              </a:solidFill>
              <a:latin typeface="Calibri"/>
              <a:ea typeface="+mn-ea"/>
              <a:cs typeface="+mn-cs"/>
            </a:rPr>
            <a:t>SNRI </a:t>
          </a:r>
          <a:r>
            <a:rPr lang="bg-BG" b="1">
              <a:solidFill>
                <a:sysClr val="windowText" lastClr="000000">
                  <a:hueOff val="0"/>
                  <a:satOff val="0"/>
                  <a:lumOff val="0"/>
                  <a:alphaOff val="0"/>
                </a:sysClr>
              </a:solidFill>
              <a:latin typeface="Calibri"/>
              <a:ea typeface="+mn-ea"/>
              <a:cs typeface="+mn-cs"/>
            </a:rPr>
            <a:t>антидепресанти</a:t>
          </a:r>
          <a:endParaRPr lang="en-US" b="1">
            <a:solidFill>
              <a:sysClr val="windowText" lastClr="000000">
                <a:hueOff val="0"/>
                <a:satOff val="0"/>
                <a:lumOff val="0"/>
                <a:alphaOff val="0"/>
              </a:sysClr>
            </a:solidFill>
            <a:latin typeface="Calibri"/>
            <a:ea typeface="+mn-ea"/>
            <a:cs typeface="+mn-cs"/>
          </a:endParaRPr>
        </a:p>
      </dgm:t>
    </dgm:pt>
    <dgm:pt modelId="{7F9EA75F-D250-EA4A-B515-C6E17B9EA866}" type="parTrans" cxnId="{C70C0C11-A9AC-F947-A505-12B0586F2D17}">
      <dgm:prSet/>
      <dgm:spPr>
        <a:xfrm>
          <a:off x="3963874" y="3832654"/>
          <a:ext cx="91440" cy="251479"/>
        </a:xfrm>
        <a:custGeom>
          <a:avLst/>
          <a:gdLst/>
          <a:ahLst/>
          <a:cxnLst/>
          <a:rect l="0" t="0" r="0" b="0"/>
          <a:pathLst>
            <a:path>
              <a:moveTo>
                <a:pt x="45720" y="0"/>
              </a:moveTo>
              <a:lnTo>
                <a:pt x="45720" y="168989"/>
              </a:lnTo>
              <a:lnTo>
                <a:pt x="68203" y="168989"/>
              </a:lnTo>
              <a:lnTo>
                <a:pt x="68203" y="251479"/>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8B2BD2F6-62E8-304C-88F5-DF0E66B812AB}" type="sibTrans" cxnId="{C70C0C11-A9AC-F947-A505-12B0586F2D17}">
      <dgm:prSet/>
      <dgm:spPr/>
      <dgm:t>
        <a:bodyPr/>
        <a:lstStyle/>
        <a:p>
          <a:endParaRPr lang="en-US"/>
        </a:p>
      </dgm:t>
    </dgm:pt>
    <dgm:pt modelId="{7CC37C10-7BD4-0547-8ED9-6694DFEADF3C}" type="pres">
      <dgm:prSet presAssocID="{AB2430CA-4C84-A644-9D4A-9392D273C6BE}" presName="hierChild1" presStyleCnt="0">
        <dgm:presLayoutVars>
          <dgm:chPref val="1"/>
          <dgm:dir/>
          <dgm:animOne val="branch"/>
          <dgm:animLvl val="lvl"/>
          <dgm:resizeHandles/>
        </dgm:presLayoutVars>
      </dgm:prSet>
      <dgm:spPr/>
      <dgm:t>
        <a:bodyPr/>
        <a:lstStyle/>
        <a:p>
          <a:endParaRPr lang="en-US"/>
        </a:p>
      </dgm:t>
    </dgm:pt>
    <dgm:pt modelId="{EB49E580-DDD4-D54D-9CF5-F6EAF0A3EFE1}" type="pres">
      <dgm:prSet presAssocID="{2E445C09-2420-904D-8B80-D74A9E8C93DB}" presName="hierRoot1" presStyleCnt="0"/>
      <dgm:spPr/>
    </dgm:pt>
    <dgm:pt modelId="{1066AF8F-6E63-E149-BA64-8615E4315FCA}" type="pres">
      <dgm:prSet presAssocID="{2E445C09-2420-904D-8B80-D74A9E8C93DB}" presName="composite" presStyleCnt="0"/>
      <dgm:spPr/>
    </dgm:pt>
    <dgm:pt modelId="{09BA9CC2-3A60-874C-9FF4-FA9C27C8E0F8}" type="pres">
      <dgm:prSet presAssocID="{2E445C09-2420-904D-8B80-D74A9E8C93DB}" presName="background" presStyleLbl="node0" presStyleIdx="0" presStyleCnt="1"/>
      <dgm:spPr>
        <a:xfrm>
          <a:off x="-98938" y="1349756"/>
          <a:ext cx="5863748" cy="798589"/>
        </a:xfrm>
        <a:prstGeom prst="roundRect">
          <a:avLst>
            <a:gd name="adj" fmla="val 10000"/>
          </a:avLst>
        </a:prstGeom>
        <a:noFill/>
        <a:ln w="25400" cap="flat" cmpd="sng" algn="ctr">
          <a:noFill/>
          <a:prstDash val="solid"/>
        </a:ln>
        <a:effectLst/>
      </dgm:spPr>
      <dgm:t>
        <a:bodyPr/>
        <a:lstStyle/>
        <a:p>
          <a:endParaRPr lang="en-US"/>
        </a:p>
      </dgm:t>
    </dgm:pt>
    <dgm:pt modelId="{C4428AB9-9E68-EB47-9108-02F0473F2A64}" type="pres">
      <dgm:prSet presAssocID="{2E445C09-2420-904D-8B80-D74A9E8C93DB}" presName="text" presStyleLbl="fgAcc0" presStyleIdx="0" presStyleCnt="1" custScaleX="658518" custScaleY="141235" custLinFactX="-1700" custLinFactNeighborX="-100000" custLinFactNeighborY="-4953">
        <dgm:presLayoutVars>
          <dgm:chPref val="3"/>
        </dgm:presLayoutVars>
      </dgm:prSet>
      <dgm:spPr/>
      <dgm:t>
        <a:bodyPr/>
        <a:lstStyle/>
        <a:p>
          <a:endParaRPr lang="en-US"/>
        </a:p>
      </dgm:t>
    </dgm:pt>
    <dgm:pt modelId="{5A98D57B-F1DA-5543-9320-252D4A6559E9}" type="pres">
      <dgm:prSet presAssocID="{2E445C09-2420-904D-8B80-D74A9E8C93DB}" presName="hierChild2" presStyleCnt="0"/>
      <dgm:spPr/>
    </dgm:pt>
    <dgm:pt modelId="{C120071F-5F94-3B48-A361-5660F3DDA044}" type="pres">
      <dgm:prSet presAssocID="{631291B2-C239-694C-97FD-0A94D95055A1}" presName="Name10" presStyleLbl="parChTrans1D2" presStyleIdx="0" presStyleCnt="2"/>
      <dgm:spPr/>
      <dgm:t>
        <a:bodyPr/>
        <a:lstStyle/>
        <a:p>
          <a:endParaRPr lang="en-US"/>
        </a:p>
      </dgm:t>
    </dgm:pt>
    <dgm:pt modelId="{B21D18FB-4393-FC41-A46B-F4453474A4FB}" type="pres">
      <dgm:prSet presAssocID="{E1718FB7-6804-0C42-B97A-6AD81E026FDB}" presName="hierRoot2" presStyleCnt="0"/>
      <dgm:spPr/>
    </dgm:pt>
    <dgm:pt modelId="{43131717-979F-034B-AE37-6A491D0D8B8C}" type="pres">
      <dgm:prSet presAssocID="{E1718FB7-6804-0C42-B97A-6AD81E026FDB}" presName="composite2" presStyleCnt="0"/>
      <dgm:spPr/>
    </dgm:pt>
    <dgm:pt modelId="{7331BCBC-2298-2C45-A14E-F96D4CE0AEE1}" type="pres">
      <dgm:prSet presAssocID="{E1718FB7-6804-0C42-B97A-6AD81E026FDB}" presName="background2" presStyleLbl="node2" presStyleIdx="0" presStyleCnt="2"/>
      <dgm:spPr>
        <a:xfrm>
          <a:off x="-15612" y="2442815"/>
          <a:ext cx="1996852" cy="565433"/>
        </a:xfrm>
        <a:prstGeom prst="roundRect">
          <a:avLst>
            <a:gd name="adj" fmla="val 10000"/>
          </a:avLst>
        </a:prstGeom>
        <a:noFill/>
        <a:ln w="25400" cap="flat" cmpd="sng" algn="ctr">
          <a:solidFill>
            <a:sysClr val="window" lastClr="FFFFFF">
              <a:hueOff val="0"/>
              <a:satOff val="0"/>
              <a:lumOff val="0"/>
              <a:alphaOff val="0"/>
            </a:sysClr>
          </a:solidFill>
          <a:prstDash val="solid"/>
        </a:ln>
        <a:effectLst/>
        <a:scene3d>
          <a:camera prst="orthographicFront"/>
          <a:lightRig rig="threePt" dir="t"/>
        </a:scene3d>
        <a:sp3d>
          <a:bevelB/>
        </a:sp3d>
      </dgm:spPr>
      <dgm:t>
        <a:bodyPr/>
        <a:lstStyle/>
        <a:p>
          <a:endParaRPr lang="en-US"/>
        </a:p>
      </dgm:t>
    </dgm:pt>
    <dgm:pt modelId="{E833E200-3643-2748-8EC0-42E5DF2159CC}" type="pres">
      <dgm:prSet presAssocID="{E1718FB7-6804-0C42-B97A-6AD81E026FDB}" presName="text2" presStyleLbl="fgAcc2" presStyleIdx="0" presStyleCnt="2" custScaleX="224253" custLinFactNeighborX="-74477" custLinFactNeighborY="1325">
        <dgm:presLayoutVars>
          <dgm:chPref val="3"/>
        </dgm:presLayoutVars>
      </dgm:prSet>
      <dgm:spPr/>
      <dgm:t>
        <a:bodyPr/>
        <a:lstStyle/>
        <a:p>
          <a:endParaRPr lang="en-US"/>
        </a:p>
      </dgm:t>
    </dgm:pt>
    <dgm:pt modelId="{31755FA1-0BF0-B446-AD07-C675427307FE}" type="pres">
      <dgm:prSet presAssocID="{E1718FB7-6804-0C42-B97A-6AD81E026FDB}" presName="hierChild3" presStyleCnt="0"/>
      <dgm:spPr/>
    </dgm:pt>
    <dgm:pt modelId="{52E6E5D3-D389-4A43-A4C4-5712B30E8621}" type="pres">
      <dgm:prSet presAssocID="{BF998618-8187-1846-B689-A32C7AEA333E}" presName="Name17" presStyleLbl="parChTrans1D3" presStyleIdx="0" presStyleCnt="2"/>
      <dgm:spPr/>
      <dgm:t>
        <a:bodyPr/>
        <a:lstStyle/>
        <a:p>
          <a:endParaRPr lang="en-US"/>
        </a:p>
      </dgm:t>
    </dgm:pt>
    <dgm:pt modelId="{953FD994-AF6A-AC41-865F-1ADA11B40FC4}" type="pres">
      <dgm:prSet presAssocID="{654F506B-4D05-9946-9172-4035F422A4A5}" presName="hierRoot3" presStyleCnt="0"/>
      <dgm:spPr/>
    </dgm:pt>
    <dgm:pt modelId="{D0BECF13-AA34-4741-96D3-3ACB11FF9693}" type="pres">
      <dgm:prSet presAssocID="{654F506B-4D05-9946-9172-4035F422A4A5}" presName="composite3" presStyleCnt="0"/>
      <dgm:spPr/>
    </dgm:pt>
    <dgm:pt modelId="{F32CB4BA-90A8-1448-B2D0-C522F37DE2C1}" type="pres">
      <dgm:prSet presAssocID="{654F506B-4D05-9946-9172-4035F422A4A5}" presName="background3" presStyleLbl="node3" presStyleIdx="0" presStyleCnt="2"/>
      <dgm:spPr>
        <a:xfrm>
          <a:off x="142406" y="3304691"/>
          <a:ext cx="1463510" cy="565433"/>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E093EF8F-9493-834B-A349-6C5075CCC2A5}" type="pres">
      <dgm:prSet presAssocID="{654F506B-4D05-9946-9172-4035F422A4A5}" presName="text3" presStyleLbl="fgAcc3" presStyleIdx="0" presStyleCnt="2" custScaleX="164357" custLinFactNeighborX="-86679" custLinFactNeighborY="7952">
        <dgm:presLayoutVars>
          <dgm:chPref val="3"/>
        </dgm:presLayoutVars>
      </dgm:prSet>
      <dgm:spPr/>
      <dgm:t>
        <a:bodyPr/>
        <a:lstStyle/>
        <a:p>
          <a:endParaRPr lang="en-US"/>
        </a:p>
      </dgm:t>
    </dgm:pt>
    <dgm:pt modelId="{A64A68C8-FFB1-4948-9DD7-0E2C470DB8B7}" type="pres">
      <dgm:prSet presAssocID="{654F506B-4D05-9946-9172-4035F422A4A5}" presName="hierChild4" presStyleCnt="0"/>
      <dgm:spPr/>
    </dgm:pt>
    <dgm:pt modelId="{BA8A4080-D220-EA48-95E3-906A2F1266EF}" type="pres">
      <dgm:prSet presAssocID="{EE893BD3-0A85-914E-90AC-E91DD12A16CD}" presName="Name10" presStyleLbl="parChTrans1D2" presStyleIdx="1" presStyleCnt="2"/>
      <dgm:spPr/>
      <dgm:t>
        <a:bodyPr/>
        <a:lstStyle/>
        <a:p>
          <a:endParaRPr lang="en-US"/>
        </a:p>
      </dgm:t>
    </dgm:pt>
    <dgm:pt modelId="{9C6B9914-2AF5-0143-BA2C-9D9D2CCD5295}" type="pres">
      <dgm:prSet presAssocID="{F9A789EA-7386-A844-AE8C-66E0748C3EC4}" presName="hierRoot2" presStyleCnt="0"/>
      <dgm:spPr/>
    </dgm:pt>
    <dgm:pt modelId="{77FE646A-7AB2-5F4B-B01A-807805419B01}" type="pres">
      <dgm:prSet presAssocID="{F9A789EA-7386-A844-AE8C-66E0748C3EC4}" presName="composite2" presStyleCnt="0"/>
      <dgm:spPr/>
    </dgm:pt>
    <dgm:pt modelId="{B97633CA-7BAC-574A-A138-7735189C2109}" type="pres">
      <dgm:prSet presAssocID="{F9A789EA-7386-A844-AE8C-66E0748C3EC4}" presName="background2" presStyleLbl="node2" presStyleIdx="1" presStyleCnt="2"/>
      <dgm:spPr>
        <a:xfrm>
          <a:off x="2495635" y="2435323"/>
          <a:ext cx="2379566" cy="565433"/>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520A290F-77B3-6245-AD17-5CA26C37326B}" type="pres">
      <dgm:prSet presAssocID="{F9A789EA-7386-A844-AE8C-66E0748C3EC4}" presName="text2" presStyleLbl="fgAcc2" presStyleIdx="1" presStyleCnt="2" custScaleX="267233" custLinFactNeighborX="-38931">
        <dgm:presLayoutVars>
          <dgm:chPref val="3"/>
        </dgm:presLayoutVars>
      </dgm:prSet>
      <dgm:spPr/>
      <dgm:t>
        <a:bodyPr/>
        <a:lstStyle/>
        <a:p>
          <a:endParaRPr lang="en-US"/>
        </a:p>
      </dgm:t>
    </dgm:pt>
    <dgm:pt modelId="{C422532D-DDFE-0348-907C-A4516E561E5D}" type="pres">
      <dgm:prSet presAssocID="{F9A789EA-7386-A844-AE8C-66E0748C3EC4}" presName="hierChild3" presStyleCnt="0"/>
      <dgm:spPr/>
    </dgm:pt>
    <dgm:pt modelId="{2969516A-18EA-754D-8A88-A3ED4CF41BF2}" type="pres">
      <dgm:prSet presAssocID="{5113BD53-5A8D-A140-B835-07D2C5BCC91D}" presName="Name17" presStyleLbl="parChTrans1D3" presStyleIdx="1" presStyleCnt="2"/>
      <dgm:spPr/>
      <dgm:t>
        <a:bodyPr/>
        <a:lstStyle/>
        <a:p>
          <a:endParaRPr lang="en-US"/>
        </a:p>
      </dgm:t>
    </dgm:pt>
    <dgm:pt modelId="{247AEDBF-1F60-5848-B8AC-70AF8BD2009B}" type="pres">
      <dgm:prSet presAssocID="{3FD78C25-A9D2-5B4A-B3B4-809741DEDAF4}" presName="hierRoot3" presStyleCnt="0"/>
      <dgm:spPr/>
    </dgm:pt>
    <dgm:pt modelId="{84F32C24-50D7-2F4E-AD79-153D707DD2E3}" type="pres">
      <dgm:prSet presAssocID="{3FD78C25-A9D2-5B4A-B3B4-809741DEDAF4}" presName="composite3" presStyleCnt="0"/>
      <dgm:spPr/>
    </dgm:pt>
    <dgm:pt modelId="{71D5542A-5138-D74D-9CFF-2C435968B515}" type="pres">
      <dgm:prSet presAssocID="{3FD78C25-A9D2-5B4A-B3B4-809741DEDAF4}" presName="background3" presStyleLbl="node3" presStyleIdx="1" presStyleCnt="2"/>
      <dgm:spPr>
        <a:xfrm>
          <a:off x="3352467" y="3267220"/>
          <a:ext cx="1314254" cy="565433"/>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7C43C5B1-D2B1-8440-86D1-0CDCAA348B1B}" type="pres">
      <dgm:prSet presAssocID="{3FD78C25-A9D2-5B4A-B3B4-809741DEDAF4}" presName="text3" presStyleLbl="fgAcc3" presStyleIdx="1" presStyleCnt="2" custScaleX="147595" custLinFactNeighborX="-2525" custLinFactNeighborY="1325">
        <dgm:presLayoutVars>
          <dgm:chPref val="3"/>
        </dgm:presLayoutVars>
      </dgm:prSet>
      <dgm:spPr/>
      <dgm:t>
        <a:bodyPr/>
        <a:lstStyle/>
        <a:p>
          <a:endParaRPr lang="en-US"/>
        </a:p>
      </dgm:t>
    </dgm:pt>
    <dgm:pt modelId="{BC4D6647-306E-3E49-956C-42CF6AA78403}" type="pres">
      <dgm:prSet presAssocID="{3FD78C25-A9D2-5B4A-B3B4-809741DEDAF4}" presName="hierChild4" presStyleCnt="0"/>
      <dgm:spPr/>
    </dgm:pt>
    <dgm:pt modelId="{36D65074-6C99-564F-9B53-E810AEDC08D4}" type="pres">
      <dgm:prSet presAssocID="{7F9EA75F-D250-EA4A-B515-C6E17B9EA866}" presName="Name23" presStyleLbl="parChTrans1D4" presStyleIdx="0" presStyleCnt="1"/>
      <dgm:spPr/>
      <dgm:t>
        <a:bodyPr/>
        <a:lstStyle/>
        <a:p>
          <a:endParaRPr lang="en-US"/>
        </a:p>
      </dgm:t>
    </dgm:pt>
    <dgm:pt modelId="{6360C548-0C57-6C49-A751-4F726E307009}" type="pres">
      <dgm:prSet presAssocID="{0FB8794A-0F84-8F48-8AAC-53BEE8C37921}" presName="hierRoot4" presStyleCnt="0"/>
      <dgm:spPr/>
    </dgm:pt>
    <dgm:pt modelId="{9AF929F4-462E-2147-B627-9183DD6CC917}" type="pres">
      <dgm:prSet presAssocID="{0FB8794A-0F84-8F48-8AAC-53BEE8C37921}" presName="composite4" presStyleCnt="0"/>
      <dgm:spPr/>
    </dgm:pt>
    <dgm:pt modelId="{DE63F242-3D5D-2D4B-95EB-BAAF018A70BD}" type="pres">
      <dgm:prSet presAssocID="{0FB8794A-0F84-8F48-8AAC-53BEE8C37921}" presName="background4" presStyleLbl="node4" presStyleIdx="0" presStyleCnt="1"/>
      <dgm:spPr>
        <a:xfrm>
          <a:off x="3306996" y="4084133"/>
          <a:ext cx="1450162" cy="565433"/>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DBDCFB71-4063-8D4E-B100-E884FE040536}" type="pres">
      <dgm:prSet presAssocID="{0FB8794A-0F84-8F48-8AAC-53BEE8C37921}" presName="text4" presStyleLbl="fgAcc4" presStyleIdx="0" presStyleCnt="1" custScaleX="162858">
        <dgm:presLayoutVars>
          <dgm:chPref val="3"/>
        </dgm:presLayoutVars>
      </dgm:prSet>
      <dgm:spPr/>
      <dgm:t>
        <a:bodyPr/>
        <a:lstStyle/>
        <a:p>
          <a:endParaRPr lang="en-US"/>
        </a:p>
      </dgm:t>
    </dgm:pt>
    <dgm:pt modelId="{D250BC16-8957-014B-B258-96A1DDD88F1B}" type="pres">
      <dgm:prSet presAssocID="{0FB8794A-0F84-8F48-8AAC-53BEE8C37921}" presName="hierChild5" presStyleCnt="0"/>
      <dgm:spPr/>
    </dgm:pt>
  </dgm:ptLst>
  <dgm:cxnLst>
    <dgm:cxn modelId="{83EF8BC2-0E51-BA44-A42A-85A21FF3B6F0}" srcId="{2E445C09-2420-904D-8B80-D74A9E8C93DB}" destId="{E1718FB7-6804-0C42-B97A-6AD81E026FDB}" srcOrd="0" destOrd="0" parTransId="{631291B2-C239-694C-97FD-0A94D95055A1}" sibTransId="{7E53568F-51FF-DD44-89AE-B9321B497F28}"/>
    <dgm:cxn modelId="{0074B2EE-A76A-4BDF-BA41-FFFDDEEA2EE8}" type="presOf" srcId="{EE893BD3-0A85-914E-90AC-E91DD12A16CD}" destId="{BA8A4080-D220-EA48-95E3-906A2F1266EF}" srcOrd="0" destOrd="0" presId="urn:microsoft.com/office/officeart/2005/8/layout/hierarchy1"/>
    <dgm:cxn modelId="{E107FFB8-29B8-489B-AB75-BA88F0CD76ED}" type="presOf" srcId="{631291B2-C239-694C-97FD-0A94D95055A1}" destId="{C120071F-5F94-3B48-A361-5660F3DDA044}" srcOrd="0" destOrd="0" presId="urn:microsoft.com/office/officeart/2005/8/layout/hierarchy1"/>
    <dgm:cxn modelId="{B6E837ED-5089-7442-AF33-F838E8C0A23F}" srcId="{F9A789EA-7386-A844-AE8C-66E0748C3EC4}" destId="{3FD78C25-A9D2-5B4A-B3B4-809741DEDAF4}" srcOrd="0" destOrd="0" parTransId="{5113BD53-5A8D-A140-B835-07D2C5BCC91D}" sibTransId="{B6729BA4-538C-564E-A620-FB3B2BCE0710}"/>
    <dgm:cxn modelId="{CE686C9A-12BE-4756-9330-BF17A7E37E43}" type="presOf" srcId="{5113BD53-5A8D-A140-B835-07D2C5BCC91D}" destId="{2969516A-18EA-754D-8A88-A3ED4CF41BF2}" srcOrd="0" destOrd="0" presId="urn:microsoft.com/office/officeart/2005/8/layout/hierarchy1"/>
    <dgm:cxn modelId="{15295B5A-73BE-4BEB-B543-C11EE263D18C}" type="presOf" srcId="{654F506B-4D05-9946-9172-4035F422A4A5}" destId="{E093EF8F-9493-834B-A349-6C5075CCC2A5}" srcOrd="0" destOrd="0" presId="urn:microsoft.com/office/officeart/2005/8/layout/hierarchy1"/>
    <dgm:cxn modelId="{7570A66F-0053-45D9-B9F5-69A3077B6754}" type="presOf" srcId="{E1718FB7-6804-0C42-B97A-6AD81E026FDB}" destId="{E833E200-3643-2748-8EC0-42E5DF2159CC}" srcOrd="0" destOrd="0" presId="urn:microsoft.com/office/officeart/2005/8/layout/hierarchy1"/>
    <dgm:cxn modelId="{A3F09F85-3285-C549-889F-55155726E0CC}" srcId="{E1718FB7-6804-0C42-B97A-6AD81E026FDB}" destId="{654F506B-4D05-9946-9172-4035F422A4A5}" srcOrd="0" destOrd="0" parTransId="{BF998618-8187-1846-B689-A32C7AEA333E}" sibTransId="{A3B840CA-D3F3-CE42-928F-6E3DA7B2330D}"/>
    <dgm:cxn modelId="{6DF09DA4-42FE-4238-8E58-EEB909285666}" type="presOf" srcId="{AB2430CA-4C84-A644-9D4A-9392D273C6BE}" destId="{7CC37C10-7BD4-0547-8ED9-6694DFEADF3C}" srcOrd="0" destOrd="0" presId="urn:microsoft.com/office/officeart/2005/8/layout/hierarchy1"/>
    <dgm:cxn modelId="{C70C0C11-A9AC-F947-A505-12B0586F2D17}" srcId="{3FD78C25-A9D2-5B4A-B3B4-809741DEDAF4}" destId="{0FB8794A-0F84-8F48-8AAC-53BEE8C37921}" srcOrd="0" destOrd="0" parTransId="{7F9EA75F-D250-EA4A-B515-C6E17B9EA866}" sibTransId="{8B2BD2F6-62E8-304C-88F5-DF0E66B812AB}"/>
    <dgm:cxn modelId="{DA9B287C-8CBC-404B-BB02-6B759C08E8E2}" srcId="{2E445C09-2420-904D-8B80-D74A9E8C93DB}" destId="{F9A789EA-7386-A844-AE8C-66E0748C3EC4}" srcOrd="1" destOrd="0" parTransId="{EE893BD3-0A85-914E-90AC-E91DD12A16CD}" sibTransId="{D49E4114-758D-D149-8AD7-3A24BAA25A5E}"/>
    <dgm:cxn modelId="{1D38EDD6-2717-4A91-85CB-999171587A00}" type="presOf" srcId="{2E445C09-2420-904D-8B80-D74A9E8C93DB}" destId="{C4428AB9-9E68-EB47-9108-02F0473F2A64}" srcOrd="0" destOrd="0" presId="urn:microsoft.com/office/officeart/2005/8/layout/hierarchy1"/>
    <dgm:cxn modelId="{94BAAD53-3E2C-4C86-AE9B-1638C1FC9C33}" type="presOf" srcId="{3FD78C25-A9D2-5B4A-B3B4-809741DEDAF4}" destId="{7C43C5B1-D2B1-8440-86D1-0CDCAA348B1B}" srcOrd="0" destOrd="0" presId="urn:microsoft.com/office/officeart/2005/8/layout/hierarchy1"/>
    <dgm:cxn modelId="{09C76777-DA62-9F4B-972B-343006EFE84A}" srcId="{AB2430CA-4C84-A644-9D4A-9392D273C6BE}" destId="{2E445C09-2420-904D-8B80-D74A9E8C93DB}" srcOrd="0" destOrd="0" parTransId="{6965C79B-F535-704B-8AF1-C641DD912820}" sibTransId="{4E6BDADB-E123-D846-A119-5C9355EC3241}"/>
    <dgm:cxn modelId="{BCE9E41B-A988-49AC-8357-B1943F6808B1}" type="presOf" srcId="{7F9EA75F-D250-EA4A-B515-C6E17B9EA866}" destId="{36D65074-6C99-564F-9B53-E810AEDC08D4}" srcOrd="0" destOrd="0" presId="urn:microsoft.com/office/officeart/2005/8/layout/hierarchy1"/>
    <dgm:cxn modelId="{F5D5232A-F7A3-4FEA-B9A6-12FF461656A6}" type="presOf" srcId="{0FB8794A-0F84-8F48-8AAC-53BEE8C37921}" destId="{DBDCFB71-4063-8D4E-B100-E884FE040536}" srcOrd="0" destOrd="0" presId="urn:microsoft.com/office/officeart/2005/8/layout/hierarchy1"/>
    <dgm:cxn modelId="{6D22FA05-2467-4576-901D-A0EB5F41A7F5}" type="presOf" srcId="{F9A789EA-7386-A844-AE8C-66E0748C3EC4}" destId="{520A290F-77B3-6245-AD17-5CA26C37326B}" srcOrd="0" destOrd="0" presId="urn:microsoft.com/office/officeart/2005/8/layout/hierarchy1"/>
    <dgm:cxn modelId="{623FD702-D24F-42C2-89E6-F0939193F0CA}" type="presOf" srcId="{BF998618-8187-1846-B689-A32C7AEA333E}" destId="{52E6E5D3-D389-4A43-A4C4-5712B30E8621}" srcOrd="0" destOrd="0" presId="urn:microsoft.com/office/officeart/2005/8/layout/hierarchy1"/>
    <dgm:cxn modelId="{3753B1F9-6EC9-4C91-8048-4247E48B724C}" type="presParOf" srcId="{7CC37C10-7BD4-0547-8ED9-6694DFEADF3C}" destId="{EB49E580-DDD4-D54D-9CF5-F6EAF0A3EFE1}" srcOrd="0" destOrd="0" presId="urn:microsoft.com/office/officeart/2005/8/layout/hierarchy1"/>
    <dgm:cxn modelId="{8FCA5AB0-2A5C-49AB-BA18-2019D1A09913}" type="presParOf" srcId="{EB49E580-DDD4-D54D-9CF5-F6EAF0A3EFE1}" destId="{1066AF8F-6E63-E149-BA64-8615E4315FCA}" srcOrd="0" destOrd="0" presId="urn:microsoft.com/office/officeart/2005/8/layout/hierarchy1"/>
    <dgm:cxn modelId="{5040C03E-0BE0-4C6D-A1AB-84C5CA1106E5}" type="presParOf" srcId="{1066AF8F-6E63-E149-BA64-8615E4315FCA}" destId="{09BA9CC2-3A60-874C-9FF4-FA9C27C8E0F8}" srcOrd="0" destOrd="0" presId="urn:microsoft.com/office/officeart/2005/8/layout/hierarchy1"/>
    <dgm:cxn modelId="{99C63F96-9B5A-4FF7-B227-439F6ABFA64E}" type="presParOf" srcId="{1066AF8F-6E63-E149-BA64-8615E4315FCA}" destId="{C4428AB9-9E68-EB47-9108-02F0473F2A64}" srcOrd="1" destOrd="0" presId="urn:microsoft.com/office/officeart/2005/8/layout/hierarchy1"/>
    <dgm:cxn modelId="{B3091642-1971-42B2-BBB6-83FC89A4BBAA}" type="presParOf" srcId="{EB49E580-DDD4-D54D-9CF5-F6EAF0A3EFE1}" destId="{5A98D57B-F1DA-5543-9320-252D4A6559E9}" srcOrd="1" destOrd="0" presId="urn:microsoft.com/office/officeart/2005/8/layout/hierarchy1"/>
    <dgm:cxn modelId="{C5F26C4C-D6AE-4ED6-B254-3DBD23D6F4FE}" type="presParOf" srcId="{5A98D57B-F1DA-5543-9320-252D4A6559E9}" destId="{C120071F-5F94-3B48-A361-5660F3DDA044}" srcOrd="0" destOrd="0" presId="urn:microsoft.com/office/officeart/2005/8/layout/hierarchy1"/>
    <dgm:cxn modelId="{D6F6A3BF-7610-49D2-B457-53380F3751DC}" type="presParOf" srcId="{5A98D57B-F1DA-5543-9320-252D4A6559E9}" destId="{B21D18FB-4393-FC41-A46B-F4453474A4FB}" srcOrd="1" destOrd="0" presId="urn:microsoft.com/office/officeart/2005/8/layout/hierarchy1"/>
    <dgm:cxn modelId="{25EA62E2-4049-42E0-A0F3-FAEAA5C5F1C6}" type="presParOf" srcId="{B21D18FB-4393-FC41-A46B-F4453474A4FB}" destId="{43131717-979F-034B-AE37-6A491D0D8B8C}" srcOrd="0" destOrd="0" presId="urn:microsoft.com/office/officeart/2005/8/layout/hierarchy1"/>
    <dgm:cxn modelId="{A0527CDD-16C7-44C7-958C-004B22DA24A7}" type="presParOf" srcId="{43131717-979F-034B-AE37-6A491D0D8B8C}" destId="{7331BCBC-2298-2C45-A14E-F96D4CE0AEE1}" srcOrd="0" destOrd="0" presId="urn:microsoft.com/office/officeart/2005/8/layout/hierarchy1"/>
    <dgm:cxn modelId="{21E90683-4677-40DE-B30D-799F16135C68}" type="presParOf" srcId="{43131717-979F-034B-AE37-6A491D0D8B8C}" destId="{E833E200-3643-2748-8EC0-42E5DF2159CC}" srcOrd="1" destOrd="0" presId="urn:microsoft.com/office/officeart/2005/8/layout/hierarchy1"/>
    <dgm:cxn modelId="{6F3F1298-11BF-44E1-8EB7-7E10EB62514D}" type="presParOf" srcId="{B21D18FB-4393-FC41-A46B-F4453474A4FB}" destId="{31755FA1-0BF0-B446-AD07-C675427307FE}" srcOrd="1" destOrd="0" presId="urn:microsoft.com/office/officeart/2005/8/layout/hierarchy1"/>
    <dgm:cxn modelId="{D0D12262-3E8B-4706-964E-B086AC623999}" type="presParOf" srcId="{31755FA1-0BF0-B446-AD07-C675427307FE}" destId="{52E6E5D3-D389-4A43-A4C4-5712B30E8621}" srcOrd="0" destOrd="0" presId="urn:microsoft.com/office/officeart/2005/8/layout/hierarchy1"/>
    <dgm:cxn modelId="{5CEE3E1E-5881-46F8-ACFC-8A94E597D402}" type="presParOf" srcId="{31755FA1-0BF0-B446-AD07-C675427307FE}" destId="{953FD994-AF6A-AC41-865F-1ADA11B40FC4}" srcOrd="1" destOrd="0" presId="urn:microsoft.com/office/officeart/2005/8/layout/hierarchy1"/>
    <dgm:cxn modelId="{68745F22-C01C-445D-AD01-5391A548B854}" type="presParOf" srcId="{953FD994-AF6A-AC41-865F-1ADA11B40FC4}" destId="{D0BECF13-AA34-4741-96D3-3ACB11FF9693}" srcOrd="0" destOrd="0" presId="urn:microsoft.com/office/officeart/2005/8/layout/hierarchy1"/>
    <dgm:cxn modelId="{136A1BF4-4994-4416-8AED-5F4E44979CBB}" type="presParOf" srcId="{D0BECF13-AA34-4741-96D3-3ACB11FF9693}" destId="{F32CB4BA-90A8-1448-B2D0-C522F37DE2C1}" srcOrd="0" destOrd="0" presId="urn:microsoft.com/office/officeart/2005/8/layout/hierarchy1"/>
    <dgm:cxn modelId="{B036D98C-440F-4599-845D-60653A917734}" type="presParOf" srcId="{D0BECF13-AA34-4741-96D3-3ACB11FF9693}" destId="{E093EF8F-9493-834B-A349-6C5075CCC2A5}" srcOrd="1" destOrd="0" presId="urn:microsoft.com/office/officeart/2005/8/layout/hierarchy1"/>
    <dgm:cxn modelId="{ADB2D3B5-64AA-4F0C-8537-4D311C02102A}" type="presParOf" srcId="{953FD994-AF6A-AC41-865F-1ADA11B40FC4}" destId="{A64A68C8-FFB1-4948-9DD7-0E2C470DB8B7}" srcOrd="1" destOrd="0" presId="urn:microsoft.com/office/officeart/2005/8/layout/hierarchy1"/>
    <dgm:cxn modelId="{C1EF6E57-8B27-4B76-90C9-A432323096E9}" type="presParOf" srcId="{5A98D57B-F1DA-5543-9320-252D4A6559E9}" destId="{BA8A4080-D220-EA48-95E3-906A2F1266EF}" srcOrd="2" destOrd="0" presId="urn:microsoft.com/office/officeart/2005/8/layout/hierarchy1"/>
    <dgm:cxn modelId="{BE4D4333-7DFF-4FCD-879C-832F4AEA247C}" type="presParOf" srcId="{5A98D57B-F1DA-5543-9320-252D4A6559E9}" destId="{9C6B9914-2AF5-0143-BA2C-9D9D2CCD5295}" srcOrd="3" destOrd="0" presId="urn:microsoft.com/office/officeart/2005/8/layout/hierarchy1"/>
    <dgm:cxn modelId="{0F258ABF-B311-4AC7-B39E-997E17CD3B8F}" type="presParOf" srcId="{9C6B9914-2AF5-0143-BA2C-9D9D2CCD5295}" destId="{77FE646A-7AB2-5F4B-B01A-807805419B01}" srcOrd="0" destOrd="0" presId="urn:microsoft.com/office/officeart/2005/8/layout/hierarchy1"/>
    <dgm:cxn modelId="{105547ED-E3FC-4845-BCF6-6D8FC279605D}" type="presParOf" srcId="{77FE646A-7AB2-5F4B-B01A-807805419B01}" destId="{B97633CA-7BAC-574A-A138-7735189C2109}" srcOrd="0" destOrd="0" presId="urn:microsoft.com/office/officeart/2005/8/layout/hierarchy1"/>
    <dgm:cxn modelId="{FBAFEDD5-8A41-4799-85B1-014CFF0EB710}" type="presParOf" srcId="{77FE646A-7AB2-5F4B-B01A-807805419B01}" destId="{520A290F-77B3-6245-AD17-5CA26C37326B}" srcOrd="1" destOrd="0" presId="urn:microsoft.com/office/officeart/2005/8/layout/hierarchy1"/>
    <dgm:cxn modelId="{DF4604A2-1047-4CBC-9752-A51421CFBA60}" type="presParOf" srcId="{9C6B9914-2AF5-0143-BA2C-9D9D2CCD5295}" destId="{C422532D-DDFE-0348-907C-A4516E561E5D}" srcOrd="1" destOrd="0" presId="urn:microsoft.com/office/officeart/2005/8/layout/hierarchy1"/>
    <dgm:cxn modelId="{97CC14A1-AC0F-429C-BE95-4A003ED9E596}" type="presParOf" srcId="{C422532D-DDFE-0348-907C-A4516E561E5D}" destId="{2969516A-18EA-754D-8A88-A3ED4CF41BF2}" srcOrd="0" destOrd="0" presId="urn:microsoft.com/office/officeart/2005/8/layout/hierarchy1"/>
    <dgm:cxn modelId="{8FB0B982-83A0-4B45-A327-016BC26866B8}" type="presParOf" srcId="{C422532D-DDFE-0348-907C-A4516E561E5D}" destId="{247AEDBF-1F60-5848-B8AC-70AF8BD2009B}" srcOrd="1" destOrd="0" presId="urn:microsoft.com/office/officeart/2005/8/layout/hierarchy1"/>
    <dgm:cxn modelId="{1A465B93-3F69-4D1D-97EA-F5D11352BF08}" type="presParOf" srcId="{247AEDBF-1F60-5848-B8AC-70AF8BD2009B}" destId="{84F32C24-50D7-2F4E-AD79-153D707DD2E3}" srcOrd="0" destOrd="0" presId="urn:microsoft.com/office/officeart/2005/8/layout/hierarchy1"/>
    <dgm:cxn modelId="{EAE34CEF-0723-4E5B-970C-B0F4F36A14C5}" type="presParOf" srcId="{84F32C24-50D7-2F4E-AD79-153D707DD2E3}" destId="{71D5542A-5138-D74D-9CFF-2C435968B515}" srcOrd="0" destOrd="0" presId="urn:microsoft.com/office/officeart/2005/8/layout/hierarchy1"/>
    <dgm:cxn modelId="{0E68819B-404A-4D61-B32A-E1036288E8CE}" type="presParOf" srcId="{84F32C24-50D7-2F4E-AD79-153D707DD2E3}" destId="{7C43C5B1-D2B1-8440-86D1-0CDCAA348B1B}" srcOrd="1" destOrd="0" presId="urn:microsoft.com/office/officeart/2005/8/layout/hierarchy1"/>
    <dgm:cxn modelId="{4108F92E-5047-4A08-AF71-3036DF7B4A9A}" type="presParOf" srcId="{247AEDBF-1F60-5848-B8AC-70AF8BD2009B}" destId="{BC4D6647-306E-3E49-956C-42CF6AA78403}" srcOrd="1" destOrd="0" presId="urn:microsoft.com/office/officeart/2005/8/layout/hierarchy1"/>
    <dgm:cxn modelId="{D83AE899-3810-4189-8994-C070C9254926}" type="presParOf" srcId="{BC4D6647-306E-3E49-956C-42CF6AA78403}" destId="{36D65074-6C99-564F-9B53-E810AEDC08D4}" srcOrd="0" destOrd="0" presId="urn:microsoft.com/office/officeart/2005/8/layout/hierarchy1"/>
    <dgm:cxn modelId="{624C53D3-D7B8-4A77-91F4-7ED248C7A47C}" type="presParOf" srcId="{BC4D6647-306E-3E49-956C-42CF6AA78403}" destId="{6360C548-0C57-6C49-A751-4F726E307009}" srcOrd="1" destOrd="0" presId="urn:microsoft.com/office/officeart/2005/8/layout/hierarchy1"/>
    <dgm:cxn modelId="{004BBF81-9B58-4630-B75E-1A6CE636783C}" type="presParOf" srcId="{6360C548-0C57-6C49-A751-4F726E307009}" destId="{9AF929F4-462E-2147-B627-9183DD6CC917}" srcOrd="0" destOrd="0" presId="urn:microsoft.com/office/officeart/2005/8/layout/hierarchy1"/>
    <dgm:cxn modelId="{2AF50E4D-9E5D-4477-B594-B6E704202CB5}" type="presParOf" srcId="{9AF929F4-462E-2147-B627-9183DD6CC917}" destId="{DE63F242-3D5D-2D4B-95EB-BAAF018A70BD}" srcOrd="0" destOrd="0" presId="urn:microsoft.com/office/officeart/2005/8/layout/hierarchy1"/>
    <dgm:cxn modelId="{CD483650-81AA-4D8B-B204-C6E009636CD2}" type="presParOf" srcId="{9AF929F4-462E-2147-B627-9183DD6CC917}" destId="{DBDCFB71-4063-8D4E-B100-E884FE040536}" srcOrd="1" destOrd="0" presId="urn:microsoft.com/office/officeart/2005/8/layout/hierarchy1"/>
    <dgm:cxn modelId="{F1F3F4EB-03E9-4BA5-AA54-81E47FB2D83E}" type="presParOf" srcId="{6360C548-0C57-6C49-A751-4F726E307009}" destId="{D250BC16-8957-014B-B258-96A1DDD88F1B}" srcOrd="1" destOrd="0" presId="urn:microsoft.com/office/officeart/2005/8/layout/hierarchy1"/>
  </dgm:cxnLst>
  <dgm:bg/>
  <dgm:whole>
    <a:ln>
      <a:solidFill>
        <a:schemeClr val="accent1">
          <a:shade val="80000"/>
          <a:hueOff val="0"/>
          <a:satOff val="0"/>
          <a:lumOff val="0"/>
        </a:schemeClr>
      </a:solidFill>
    </a:ln>
  </dgm:whole>
  <dgm:extLst>
    <a:ext uri="http://schemas.microsoft.com/office/drawing/2008/diagram">
      <dsp:dataModelExt xmlns:dsp="http://schemas.microsoft.com/office/drawing/2008/diagram" relId="rId16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B2430CA-4C84-A644-9D4A-9392D273C6BE}" type="doc">
      <dgm:prSet loTypeId="urn:microsoft.com/office/officeart/2005/8/layout/hierarchy1" loCatId="" qsTypeId="urn:microsoft.com/office/officeart/2005/8/quickstyle/simple1" qsCatId="simple" csTypeId="urn:microsoft.com/office/officeart/2005/8/colors/accent1_2" csCatId="accent1" phldr="1"/>
      <dgm:spPr/>
      <dgm:t>
        <a:bodyPr/>
        <a:lstStyle/>
        <a:p>
          <a:endParaRPr lang="en-US"/>
        </a:p>
      </dgm:t>
    </dgm:pt>
    <dgm:pt modelId="{2E445C09-2420-904D-8B80-D74A9E8C93DB}">
      <dgm:prSet phldrT="[Text]" custT="1"/>
      <dgm:spPr>
        <a:xfrm>
          <a:off x="0" y="790230"/>
          <a:ext cx="6000883" cy="863751"/>
        </a:xfrm>
        <a:prstGeom prst="roundRect">
          <a:avLst>
            <a:gd name="adj" fmla="val 10000"/>
          </a:avLst>
        </a:prstGeom>
        <a:solidFill>
          <a:srgbClr val="C0504D">
            <a:lumMod val="75000"/>
            <a:alpha val="90000"/>
          </a:srgbClr>
        </a:solidFill>
        <a:ln w="25400" cap="flat" cmpd="sng" algn="ctr">
          <a:solidFill>
            <a:srgbClr val="4F81BD">
              <a:hueOff val="0"/>
              <a:satOff val="0"/>
              <a:lumOff val="0"/>
              <a:alphaOff val="0"/>
            </a:srgbClr>
          </a:solidFill>
          <a:prstDash val="solid"/>
        </a:ln>
        <a:effectLst/>
        <a:scene3d>
          <a:camera prst="orthographicFront"/>
          <a:lightRig rig="freezing" dir="t"/>
        </a:scene3d>
        <a:sp3d>
          <a:bevelT w="114300" prst="artDeco"/>
          <a:bevelB prst="angle"/>
        </a:sp3d>
      </dgm:spPr>
      <dgm:t>
        <a:bodyPr/>
        <a:lstStyle/>
        <a:p>
          <a:r>
            <a:rPr lang="bg-BG" sz="2400" b="1">
              <a:solidFill>
                <a:sysClr val="windowText" lastClr="000000">
                  <a:hueOff val="0"/>
                  <a:satOff val="0"/>
                  <a:lumOff val="0"/>
                  <a:alphaOff val="0"/>
                </a:sysClr>
              </a:solidFill>
              <a:latin typeface="Calibri"/>
              <a:ea typeface="+mn-ea"/>
              <a:cs typeface="+mn-cs"/>
            </a:rPr>
            <a:t>Лечение на кластърно главоболие</a:t>
          </a:r>
          <a:endParaRPr lang="en-US" sz="2400" b="1">
            <a:solidFill>
              <a:sysClr val="windowText" lastClr="000000">
                <a:hueOff val="0"/>
                <a:satOff val="0"/>
                <a:lumOff val="0"/>
                <a:alphaOff val="0"/>
              </a:sysClr>
            </a:solidFill>
            <a:latin typeface="Calibri"/>
            <a:ea typeface="+mn-ea"/>
            <a:cs typeface="+mn-cs"/>
          </a:endParaRPr>
        </a:p>
      </dgm:t>
    </dgm:pt>
    <dgm:pt modelId="{6965C79B-F535-704B-8AF1-C641DD912820}" type="parTrans" cxnId="{09C76777-DA62-9F4B-972B-343006EFE84A}">
      <dgm:prSet/>
      <dgm:spPr/>
      <dgm:t>
        <a:bodyPr/>
        <a:lstStyle/>
        <a:p>
          <a:endParaRPr lang="en-US"/>
        </a:p>
      </dgm:t>
    </dgm:pt>
    <dgm:pt modelId="{4E6BDADB-E123-D846-A119-5C9355EC3241}" type="sibTrans" cxnId="{09C76777-DA62-9F4B-972B-343006EFE84A}">
      <dgm:prSet/>
      <dgm:spPr/>
      <dgm:t>
        <a:bodyPr/>
        <a:lstStyle/>
        <a:p>
          <a:endParaRPr lang="en-US"/>
        </a:p>
      </dgm:t>
    </dgm:pt>
    <dgm:pt modelId="{E1718FB7-6804-0C42-B97A-6AD81E026FDB}">
      <dgm:prSet phldrT="[Text]" custT="1"/>
      <dgm:spPr>
        <a:xfrm>
          <a:off x="14912" y="1986633"/>
          <a:ext cx="2273802" cy="643855"/>
        </a:xfrm>
        <a:prstGeom prst="roundRect">
          <a:avLst>
            <a:gd name="adj" fmla="val 10000"/>
          </a:avLst>
        </a:prstGeom>
        <a:solidFill>
          <a:srgbClr val="4BACC6">
            <a:lumMod val="60000"/>
            <a:lumOff val="40000"/>
            <a:alpha val="90000"/>
          </a:srgbClr>
        </a:solidFill>
        <a:ln w="25400" cap="flat" cmpd="sng" algn="ctr">
          <a:solidFill>
            <a:srgbClr val="4F81BD">
              <a:hueOff val="0"/>
              <a:satOff val="0"/>
              <a:lumOff val="0"/>
              <a:alphaOff val="0"/>
            </a:srgbClr>
          </a:solidFill>
          <a:prstDash val="solid"/>
        </a:ln>
        <a:effectLst/>
        <a:scene3d>
          <a:camera prst="orthographicFront"/>
          <a:lightRig rig="threePt" dir="t">
            <a:rot lat="0" lon="0" rev="3600000"/>
          </a:lightRig>
        </a:scene3d>
        <a:sp3d>
          <a:bevelB/>
        </a:sp3d>
      </dgm:spPr>
      <dgm:t>
        <a:bodyPr/>
        <a:lstStyle/>
        <a:p>
          <a:r>
            <a:rPr lang="bg-BG" sz="2000" b="1">
              <a:solidFill>
                <a:sysClr val="windowText" lastClr="000000">
                  <a:hueOff val="0"/>
                  <a:satOff val="0"/>
                  <a:lumOff val="0"/>
                  <a:alphaOff val="0"/>
                </a:sysClr>
              </a:solidFill>
              <a:latin typeface="Calibri"/>
              <a:ea typeface="+mn-ea"/>
              <a:cs typeface="+mn-cs"/>
            </a:rPr>
            <a:t>Лечение на пристъпи </a:t>
          </a:r>
          <a:endParaRPr lang="en-US" sz="2000" b="1">
            <a:solidFill>
              <a:sysClr val="windowText" lastClr="000000">
                <a:hueOff val="0"/>
                <a:satOff val="0"/>
                <a:lumOff val="0"/>
                <a:alphaOff val="0"/>
              </a:sysClr>
            </a:solidFill>
            <a:latin typeface="Calibri"/>
            <a:ea typeface="+mn-ea"/>
            <a:cs typeface="+mn-cs"/>
          </a:endParaRPr>
        </a:p>
      </dgm:t>
    </dgm:pt>
    <dgm:pt modelId="{631291B2-C239-694C-97FD-0A94D95055A1}" type="parTrans" cxnId="{83EF8BC2-0E51-BA44-A42A-85A21FF3B6F0}">
      <dgm:prSet/>
      <dgm:spPr>
        <a:xfrm>
          <a:off x="1039153" y="1546954"/>
          <a:ext cx="1848627" cy="332651"/>
        </a:xfrm>
        <a:custGeom>
          <a:avLst/>
          <a:gdLst/>
          <a:ahLst/>
          <a:cxnLst/>
          <a:rect l="0" t="0" r="0" b="0"/>
          <a:pathLst>
            <a:path>
              <a:moveTo>
                <a:pt x="1848627" y="0"/>
              </a:moveTo>
              <a:lnTo>
                <a:pt x="1848627" y="238720"/>
              </a:lnTo>
              <a:lnTo>
                <a:pt x="0" y="238720"/>
              </a:lnTo>
              <a:lnTo>
                <a:pt x="0" y="332651"/>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a:p>
      </dgm:t>
    </dgm:pt>
    <dgm:pt modelId="{7E53568F-51FF-DD44-89AE-B9321B497F28}" type="sibTrans" cxnId="{83EF8BC2-0E51-BA44-A42A-85A21FF3B6F0}">
      <dgm:prSet/>
      <dgm:spPr/>
      <dgm:t>
        <a:bodyPr/>
        <a:lstStyle/>
        <a:p>
          <a:endParaRPr lang="en-US"/>
        </a:p>
      </dgm:t>
    </dgm:pt>
    <dgm:pt modelId="{12DAB821-BA03-2341-A7DC-35E1866A2B30}">
      <dgm:prSet phldrT="[Text]" custT="1"/>
      <dgm:spPr>
        <a:xfrm>
          <a:off x="19211" y="2913859"/>
          <a:ext cx="2403506" cy="643855"/>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gm:spPr>
      <dgm:t>
        <a:bodyPr/>
        <a:lstStyle/>
        <a:p>
          <a:r>
            <a:rPr lang="bg-BG" sz="1600" b="1">
              <a:solidFill>
                <a:sysClr val="windowText" lastClr="000000">
                  <a:hueOff val="0"/>
                  <a:satOff val="0"/>
                  <a:lumOff val="0"/>
                  <a:alphaOff val="0"/>
                </a:sysClr>
              </a:solidFill>
              <a:latin typeface="Calibri"/>
              <a:ea typeface="+mn-ea"/>
              <a:cs typeface="+mn-cs"/>
            </a:rPr>
            <a:t>инхалация на кислород</a:t>
          </a:r>
          <a:endParaRPr lang="en-US" sz="1600" b="1">
            <a:solidFill>
              <a:sysClr val="windowText" lastClr="000000">
                <a:hueOff val="0"/>
                <a:satOff val="0"/>
                <a:lumOff val="0"/>
                <a:alphaOff val="0"/>
              </a:sysClr>
            </a:solidFill>
            <a:latin typeface="Calibri"/>
            <a:ea typeface="+mn-ea"/>
            <a:cs typeface="+mn-cs"/>
          </a:endParaRPr>
        </a:p>
      </dgm:t>
    </dgm:pt>
    <dgm:pt modelId="{D744F3D5-80C4-B749-B130-3F28515E3112}" type="parTrans" cxnId="{D3F1281B-AF3E-BE4B-99B5-5B3B635ED14E}">
      <dgm:prSet/>
      <dgm:spPr>
        <a:xfrm>
          <a:off x="993433" y="2523461"/>
          <a:ext cx="91440" cy="283370"/>
        </a:xfrm>
        <a:custGeom>
          <a:avLst/>
          <a:gdLst/>
          <a:ahLst/>
          <a:cxnLst/>
          <a:rect l="0" t="0" r="0" b="0"/>
          <a:pathLst>
            <a:path>
              <a:moveTo>
                <a:pt x="45720" y="0"/>
              </a:moveTo>
              <a:lnTo>
                <a:pt x="45720" y="189439"/>
              </a:lnTo>
              <a:lnTo>
                <a:pt x="114871" y="189439"/>
              </a:lnTo>
              <a:lnTo>
                <a:pt x="114871" y="283370"/>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3776FF1A-1D70-6C4B-BCF0-48C82DAB5934}" type="sibTrans" cxnId="{D3F1281B-AF3E-BE4B-99B5-5B3B635ED14E}">
      <dgm:prSet/>
      <dgm:spPr/>
      <dgm:t>
        <a:bodyPr/>
        <a:lstStyle/>
        <a:p>
          <a:endParaRPr lang="en-US"/>
        </a:p>
      </dgm:t>
    </dgm:pt>
    <dgm:pt modelId="{F9A789EA-7386-A844-AE8C-66E0748C3EC4}">
      <dgm:prSet phldrT="[Text]" custT="1"/>
      <dgm:spPr>
        <a:xfrm>
          <a:off x="3565041" y="1932845"/>
          <a:ext cx="2336089" cy="643855"/>
        </a:xfrm>
        <a:prstGeom prst="roundRect">
          <a:avLst>
            <a:gd name="adj" fmla="val 10000"/>
          </a:avLst>
        </a:prstGeom>
        <a:solidFill>
          <a:srgbClr val="C0504D">
            <a:alpha val="90000"/>
          </a:srgbClr>
        </a:solidFill>
        <a:ln w="25400" cap="flat" cmpd="sng" algn="ctr">
          <a:solidFill>
            <a:srgbClr val="4F81BD">
              <a:hueOff val="0"/>
              <a:satOff val="0"/>
              <a:lumOff val="0"/>
              <a:alphaOff val="0"/>
            </a:srgbClr>
          </a:solidFill>
          <a:prstDash val="solid"/>
        </a:ln>
        <a:effectLst/>
        <a:scene3d>
          <a:camera prst="orthographicFront"/>
          <a:lightRig rig="threePt" dir="t"/>
        </a:scene3d>
        <a:sp3d>
          <a:bevelT/>
        </a:sp3d>
      </dgm:spPr>
      <dgm:t>
        <a:bodyPr/>
        <a:lstStyle/>
        <a:p>
          <a:r>
            <a:rPr lang="bg-BG" sz="1800" b="1">
              <a:solidFill>
                <a:sysClr val="windowText" lastClr="000000">
                  <a:hueOff val="0"/>
                  <a:satOff val="0"/>
                  <a:lumOff val="0"/>
                  <a:alphaOff val="0"/>
                </a:sysClr>
              </a:solidFill>
              <a:latin typeface="Calibri"/>
              <a:ea typeface="+mn-ea"/>
              <a:cs typeface="+mn-cs"/>
            </a:rPr>
            <a:t>Профилактично лечение</a:t>
          </a:r>
          <a:endParaRPr lang="en-US" sz="1800" b="1">
            <a:solidFill>
              <a:sysClr val="windowText" lastClr="000000">
                <a:hueOff val="0"/>
                <a:satOff val="0"/>
                <a:lumOff val="0"/>
                <a:alphaOff val="0"/>
              </a:sysClr>
            </a:solidFill>
            <a:latin typeface="Calibri"/>
            <a:ea typeface="+mn-ea"/>
            <a:cs typeface="+mn-cs"/>
          </a:endParaRPr>
        </a:p>
      </dgm:t>
    </dgm:pt>
    <dgm:pt modelId="{EE893BD3-0A85-914E-90AC-E91DD12A16CD}" type="parTrans" cxnId="{DA9B287C-8CBC-404B-BB02-6B759C08E8E2}">
      <dgm:prSet/>
      <dgm:spPr>
        <a:xfrm>
          <a:off x="2887781" y="1546954"/>
          <a:ext cx="1732644" cy="278863"/>
        </a:xfrm>
        <a:custGeom>
          <a:avLst/>
          <a:gdLst/>
          <a:ahLst/>
          <a:cxnLst/>
          <a:rect l="0" t="0" r="0" b="0"/>
          <a:pathLst>
            <a:path>
              <a:moveTo>
                <a:pt x="0" y="0"/>
              </a:moveTo>
              <a:lnTo>
                <a:pt x="0" y="184932"/>
              </a:lnTo>
              <a:lnTo>
                <a:pt x="1732644" y="184932"/>
              </a:lnTo>
              <a:lnTo>
                <a:pt x="1732644" y="278863"/>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a:p>
      </dgm:t>
    </dgm:pt>
    <dgm:pt modelId="{D49E4114-758D-D149-8AD7-3A24BAA25A5E}" type="sibTrans" cxnId="{DA9B287C-8CBC-404B-BB02-6B759C08E8E2}">
      <dgm:prSet/>
      <dgm:spPr/>
      <dgm:t>
        <a:bodyPr/>
        <a:lstStyle/>
        <a:p>
          <a:endParaRPr lang="en-US"/>
        </a:p>
      </dgm:t>
    </dgm:pt>
    <dgm:pt modelId="{3FD78C25-A9D2-5B4A-B3B4-809741DEDAF4}">
      <dgm:prSet phldrT="[Text]" custT="1"/>
      <dgm:spPr>
        <a:xfrm>
          <a:off x="3617691" y="2929221"/>
          <a:ext cx="1496532" cy="643855"/>
        </a:xfrm>
        <a:prstGeom prst="roundRect">
          <a:avLst>
            <a:gd name="adj" fmla="val 10000"/>
          </a:avLst>
        </a:prstGeom>
        <a:solidFill>
          <a:srgbClr val="C0504D">
            <a:lumMod val="40000"/>
            <a:lumOff val="60000"/>
            <a:alpha val="90000"/>
          </a:srgbClr>
        </a:solidFill>
        <a:ln w="25400" cap="flat" cmpd="sng" algn="ctr">
          <a:solidFill>
            <a:srgbClr val="4F81BD">
              <a:hueOff val="0"/>
              <a:satOff val="0"/>
              <a:lumOff val="0"/>
              <a:alphaOff val="0"/>
            </a:srgbClr>
          </a:solidFill>
          <a:prstDash val="solid"/>
        </a:ln>
        <a:effectLst/>
      </dgm:spPr>
      <dgm:t>
        <a:bodyPr/>
        <a:lstStyle/>
        <a:p>
          <a:r>
            <a:rPr lang="bg-BG" sz="1200" b="1">
              <a:solidFill>
                <a:sysClr val="windowText" lastClr="000000">
                  <a:hueOff val="0"/>
                  <a:satOff val="0"/>
                  <a:lumOff val="0"/>
                  <a:alphaOff val="0"/>
                </a:sysClr>
              </a:solidFill>
              <a:latin typeface="Calibri"/>
              <a:ea typeface="+mn-ea"/>
              <a:cs typeface="+mn-cs"/>
            </a:rPr>
            <a:t>кортикостероиди</a:t>
          </a:r>
          <a:endParaRPr lang="en-US" sz="1200" b="1">
            <a:solidFill>
              <a:sysClr val="windowText" lastClr="000000">
                <a:hueOff val="0"/>
                <a:satOff val="0"/>
                <a:lumOff val="0"/>
                <a:alphaOff val="0"/>
              </a:sysClr>
            </a:solidFill>
            <a:latin typeface="Calibri"/>
            <a:ea typeface="+mn-ea"/>
            <a:cs typeface="+mn-cs"/>
          </a:endParaRPr>
        </a:p>
      </dgm:t>
    </dgm:pt>
    <dgm:pt modelId="{5113BD53-5A8D-A140-B835-07D2C5BCC91D}" type="parTrans" cxnId="{B6E837ED-5089-7442-AF33-F838E8C0A23F}">
      <dgm:prSet/>
      <dgm:spPr>
        <a:xfrm>
          <a:off x="4253296" y="2469673"/>
          <a:ext cx="367129" cy="352520"/>
        </a:xfrm>
        <a:custGeom>
          <a:avLst/>
          <a:gdLst/>
          <a:ahLst/>
          <a:cxnLst/>
          <a:rect l="0" t="0" r="0" b="0"/>
          <a:pathLst>
            <a:path>
              <a:moveTo>
                <a:pt x="367129" y="0"/>
              </a:moveTo>
              <a:lnTo>
                <a:pt x="367129" y="258589"/>
              </a:lnTo>
              <a:lnTo>
                <a:pt x="0" y="258589"/>
              </a:lnTo>
              <a:lnTo>
                <a:pt x="0" y="352520"/>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B6729BA4-538C-564E-A620-FB3B2BCE0710}" type="sibTrans" cxnId="{B6E837ED-5089-7442-AF33-F838E8C0A23F}">
      <dgm:prSet/>
      <dgm:spPr/>
      <dgm:t>
        <a:bodyPr/>
        <a:lstStyle/>
        <a:p>
          <a:endParaRPr lang="en-US"/>
        </a:p>
      </dgm:t>
    </dgm:pt>
    <dgm:pt modelId="{654F506B-4D05-9946-9172-4035F422A4A5}">
      <dgm:prSet custT="1"/>
      <dgm:spPr>
        <a:xfrm>
          <a:off x="79019" y="3829547"/>
          <a:ext cx="2337691" cy="643855"/>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gm:spPr>
      <dgm:t>
        <a:bodyPr/>
        <a:lstStyle/>
        <a:p>
          <a:r>
            <a:rPr lang="bg-BG" sz="2000" b="0">
              <a:solidFill>
                <a:sysClr val="windowText" lastClr="000000">
                  <a:hueOff val="0"/>
                  <a:satOff val="0"/>
                  <a:lumOff val="0"/>
                  <a:alphaOff val="0"/>
                </a:sysClr>
              </a:solidFill>
              <a:latin typeface="Calibri"/>
              <a:ea typeface="+mn-ea"/>
              <a:cs typeface="+mn-cs"/>
            </a:rPr>
            <a:t>кортикостероиди</a:t>
          </a:r>
          <a:endParaRPr lang="en-US" sz="2000" b="0">
            <a:solidFill>
              <a:sysClr val="windowText" lastClr="000000">
                <a:hueOff val="0"/>
                <a:satOff val="0"/>
                <a:lumOff val="0"/>
                <a:alphaOff val="0"/>
              </a:sysClr>
            </a:solidFill>
            <a:latin typeface="Calibri"/>
            <a:ea typeface="+mn-ea"/>
            <a:cs typeface="+mn-cs"/>
          </a:endParaRPr>
        </a:p>
      </dgm:t>
    </dgm:pt>
    <dgm:pt modelId="{BF998618-8187-1846-B689-A32C7AEA333E}" type="parTrans" cxnId="{A3F09F85-3285-C549-889F-55155726E0CC}">
      <dgm:prSet/>
      <dgm:spPr>
        <a:xfrm>
          <a:off x="1062584" y="3450687"/>
          <a:ext cx="91440" cy="271832"/>
        </a:xfrm>
        <a:custGeom>
          <a:avLst/>
          <a:gdLst/>
          <a:ahLst/>
          <a:cxnLst/>
          <a:rect l="0" t="0" r="0" b="0"/>
          <a:pathLst>
            <a:path>
              <a:moveTo>
                <a:pt x="45720" y="0"/>
              </a:moveTo>
              <a:lnTo>
                <a:pt x="45720" y="177901"/>
              </a:lnTo>
              <a:lnTo>
                <a:pt x="72619" y="177901"/>
              </a:lnTo>
              <a:lnTo>
                <a:pt x="72619" y="271832"/>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A3B840CA-D3F3-CE42-928F-6E3DA7B2330D}" type="sibTrans" cxnId="{A3F09F85-3285-C549-889F-55155726E0CC}">
      <dgm:prSet/>
      <dgm:spPr/>
      <dgm:t>
        <a:bodyPr/>
        <a:lstStyle/>
        <a:p>
          <a:endParaRPr lang="en-US"/>
        </a:p>
      </dgm:t>
    </dgm:pt>
    <dgm:pt modelId="{5D6B157E-C4EF-1D40-8647-EC7315FAF797}">
      <dgm:prSet custT="1"/>
      <dgm:spPr>
        <a:xfrm>
          <a:off x="3746903" y="3867966"/>
          <a:ext cx="1238108" cy="643855"/>
        </a:xfrm>
        <a:prstGeom prst="roundRect">
          <a:avLst>
            <a:gd name="adj" fmla="val 10000"/>
          </a:avLst>
        </a:prstGeom>
        <a:solidFill>
          <a:srgbClr val="C0504D">
            <a:lumMod val="40000"/>
            <a:lumOff val="60000"/>
            <a:alpha val="90000"/>
          </a:srgbClr>
        </a:solidFill>
        <a:ln w="25400" cap="flat" cmpd="sng" algn="ctr">
          <a:solidFill>
            <a:srgbClr val="4F81BD">
              <a:hueOff val="0"/>
              <a:satOff val="0"/>
              <a:lumOff val="0"/>
              <a:alphaOff val="0"/>
            </a:srgbClr>
          </a:solidFill>
          <a:prstDash val="solid"/>
        </a:ln>
        <a:effectLst/>
      </dgm:spPr>
      <dgm:t>
        <a:bodyPr/>
        <a:lstStyle/>
        <a:p>
          <a:r>
            <a:rPr lang="bg-BG" sz="1050" b="1">
              <a:solidFill>
                <a:sysClr val="windowText" lastClr="000000">
                  <a:hueOff val="0"/>
                  <a:satOff val="0"/>
                  <a:lumOff val="0"/>
                  <a:alphaOff val="0"/>
                </a:sysClr>
              </a:solidFill>
              <a:latin typeface="Calibri"/>
              <a:ea typeface="+mn-ea"/>
              <a:cs typeface="+mn-cs"/>
            </a:rPr>
            <a:t>блокери на калциевите канали</a:t>
          </a:r>
          <a:endParaRPr lang="en-US" sz="1050" b="1">
            <a:solidFill>
              <a:sysClr val="windowText" lastClr="000000">
                <a:hueOff val="0"/>
                <a:satOff val="0"/>
                <a:lumOff val="0"/>
                <a:alphaOff val="0"/>
              </a:sysClr>
            </a:solidFill>
            <a:latin typeface="Calibri"/>
            <a:ea typeface="+mn-ea"/>
            <a:cs typeface="+mn-cs"/>
          </a:endParaRPr>
        </a:p>
      </dgm:t>
    </dgm:pt>
    <dgm:pt modelId="{E11D75EA-C11B-5349-BA59-680E2780D8E6}" type="parTrans" cxnId="{DC92BD65-D84E-A74C-9114-C4C09CFF31A3}">
      <dgm:prSet/>
      <dgm:spPr>
        <a:xfrm>
          <a:off x="4207576" y="3466049"/>
          <a:ext cx="91440" cy="294889"/>
        </a:xfrm>
        <a:custGeom>
          <a:avLst/>
          <a:gdLst/>
          <a:ahLst/>
          <a:cxnLst/>
          <a:rect l="0" t="0" r="0" b="0"/>
          <a:pathLst>
            <a:path>
              <a:moveTo>
                <a:pt x="45720" y="0"/>
              </a:moveTo>
              <a:lnTo>
                <a:pt x="45720" y="294889"/>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C9BDA612-A5FE-F84E-9A0E-8F896242E5F0}" type="sibTrans" cxnId="{DC92BD65-D84E-A74C-9114-C4C09CFF31A3}">
      <dgm:prSet/>
      <dgm:spPr/>
      <dgm:t>
        <a:bodyPr/>
        <a:lstStyle/>
        <a:p>
          <a:endParaRPr lang="en-US"/>
        </a:p>
      </dgm:t>
    </dgm:pt>
    <dgm:pt modelId="{10865A91-33E5-294E-80D3-2E1D316BB95E}">
      <dgm:prSet custT="1"/>
      <dgm:spPr>
        <a:xfrm>
          <a:off x="3665483" y="4806710"/>
          <a:ext cx="1400948" cy="643855"/>
        </a:xfrm>
        <a:prstGeom prst="roundRect">
          <a:avLst>
            <a:gd name="adj" fmla="val 10000"/>
          </a:avLst>
        </a:prstGeom>
        <a:solidFill>
          <a:srgbClr val="C0504D">
            <a:lumMod val="40000"/>
            <a:lumOff val="60000"/>
            <a:alpha val="90000"/>
          </a:srgbClr>
        </a:solidFill>
        <a:ln w="25400" cap="flat" cmpd="sng" algn="ctr">
          <a:solidFill>
            <a:srgbClr val="4F81BD">
              <a:hueOff val="0"/>
              <a:satOff val="0"/>
              <a:lumOff val="0"/>
              <a:alphaOff val="0"/>
            </a:srgbClr>
          </a:solidFill>
          <a:prstDash val="solid"/>
        </a:ln>
        <a:effectLst/>
      </dgm:spPr>
      <dgm:t>
        <a:bodyPr/>
        <a:lstStyle/>
        <a:p>
          <a:r>
            <a:rPr lang="bg-BG" sz="1100" b="1">
              <a:solidFill>
                <a:sysClr val="windowText" lastClr="000000">
                  <a:hueOff val="0"/>
                  <a:satOff val="0"/>
                  <a:lumOff val="0"/>
                  <a:alphaOff val="0"/>
                </a:sysClr>
              </a:solidFill>
              <a:latin typeface="Calibri"/>
              <a:ea typeface="+mn-ea"/>
              <a:cs typeface="+mn-cs"/>
            </a:rPr>
            <a:t>антиконвулсанти</a:t>
          </a:r>
          <a:endParaRPr lang="en-US" sz="1100" b="1">
            <a:solidFill>
              <a:sysClr val="windowText" lastClr="000000">
                <a:hueOff val="0"/>
                <a:satOff val="0"/>
                <a:lumOff val="0"/>
                <a:alphaOff val="0"/>
              </a:sysClr>
            </a:solidFill>
            <a:latin typeface="Calibri"/>
            <a:ea typeface="+mn-ea"/>
            <a:cs typeface="+mn-cs"/>
          </a:endParaRPr>
        </a:p>
      </dgm:t>
    </dgm:pt>
    <dgm:pt modelId="{DDA5F55D-D1C1-4E4E-A001-98A69CDB1166}" type="parTrans" cxnId="{37A99044-3EF6-2342-B02D-3D4AE2DCF5C3}">
      <dgm:prSet/>
      <dgm:spPr>
        <a:xfrm>
          <a:off x="4207576" y="4404793"/>
          <a:ext cx="91440" cy="294889"/>
        </a:xfrm>
        <a:custGeom>
          <a:avLst/>
          <a:gdLst/>
          <a:ahLst/>
          <a:cxnLst/>
          <a:rect l="0" t="0" r="0" b="0"/>
          <a:pathLst>
            <a:path>
              <a:moveTo>
                <a:pt x="45720" y="0"/>
              </a:moveTo>
              <a:lnTo>
                <a:pt x="45720" y="294889"/>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57EC9F8D-28C5-AB48-99CE-741AE1500022}" type="sibTrans" cxnId="{37A99044-3EF6-2342-B02D-3D4AE2DCF5C3}">
      <dgm:prSet/>
      <dgm:spPr/>
      <dgm:t>
        <a:bodyPr/>
        <a:lstStyle/>
        <a:p>
          <a:endParaRPr lang="en-US"/>
        </a:p>
      </dgm:t>
    </dgm:pt>
    <dgm:pt modelId="{0FB8794A-0F84-8F48-8AAC-53BEE8C37921}">
      <dgm:prSet/>
      <dgm:spPr>
        <a:xfrm>
          <a:off x="3540311" y="5745454"/>
          <a:ext cx="1651291" cy="643855"/>
        </a:xfrm>
        <a:prstGeom prst="roundRect">
          <a:avLst>
            <a:gd name="adj" fmla="val 10000"/>
          </a:avLst>
        </a:prstGeom>
        <a:solidFill>
          <a:srgbClr val="C0504D">
            <a:lumMod val="40000"/>
            <a:lumOff val="60000"/>
            <a:alpha val="90000"/>
          </a:srgbClr>
        </a:solidFill>
        <a:ln w="25400" cap="flat" cmpd="sng" algn="ctr">
          <a:solidFill>
            <a:srgbClr val="4F81BD">
              <a:hueOff val="0"/>
              <a:satOff val="0"/>
              <a:lumOff val="0"/>
              <a:alphaOff val="0"/>
            </a:srgbClr>
          </a:solidFill>
          <a:prstDash val="solid"/>
        </a:ln>
        <a:effectLst/>
      </dgm:spPr>
      <dgm:t>
        <a:bodyPr/>
        <a:lstStyle/>
        <a:p>
          <a:r>
            <a:rPr lang="en-US" b="0">
              <a:solidFill>
                <a:sysClr val="windowText" lastClr="000000">
                  <a:hueOff val="0"/>
                  <a:satOff val="0"/>
                  <a:lumOff val="0"/>
                  <a:alphaOff val="0"/>
                </a:sysClr>
              </a:solidFill>
              <a:latin typeface="Calibri"/>
              <a:ea typeface="+mn-ea"/>
              <a:cs typeface="+mn-cs"/>
            </a:rPr>
            <a:t>Lithium carbonate</a:t>
          </a:r>
        </a:p>
      </dgm:t>
    </dgm:pt>
    <dgm:pt modelId="{7F9EA75F-D250-EA4A-B515-C6E17B9EA866}" type="parTrans" cxnId="{C70C0C11-A9AC-F947-A505-12B0586F2D17}">
      <dgm:prSet/>
      <dgm:spPr>
        <a:xfrm>
          <a:off x="4207576" y="5343538"/>
          <a:ext cx="91440" cy="294889"/>
        </a:xfrm>
        <a:custGeom>
          <a:avLst/>
          <a:gdLst/>
          <a:ahLst/>
          <a:cxnLst/>
          <a:rect l="0" t="0" r="0" b="0"/>
          <a:pathLst>
            <a:path>
              <a:moveTo>
                <a:pt x="45720" y="0"/>
              </a:moveTo>
              <a:lnTo>
                <a:pt x="45720" y="294889"/>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8B2BD2F6-62E8-304C-88F5-DF0E66B812AB}" type="sibTrans" cxnId="{C70C0C11-A9AC-F947-A505-12B0586F2D17}">
      <dgm:prSet/>
      <dgm:spPr/>
      <dgm:t>
        <a:bodyPr/>
        <a:lstStyle/>
        <a:p>
          <a:endParaRPr lang="en-US"/>
        </a:p>
      </dgm:t>
    </dgm:pt>
    <dgm:pt modelId="{5100A469-C68E-C948-A5A8-146D1E0619E5}">
      <dgm:prSet/>
      <dgm:spPr>
        <a:xfrm>
          <a:off x="26917" y="4779816"/>
          <a:ext cx="2311258" cy="643855"/>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gm:spPr>
      <dgm:t>
        <a:bodyPr/>
        <a:lstStyle/>
        <a:p>
          <a:r>
            <a:rPr lang="bg-BG">
              <a:solidFill>
                <a:sysClr val="windowText" lastClr="000000">
                  <a:hueOff val="0"/>
                  <a:satOff val="0"/>
                  <a:lumOff val="0"/>
                  <a:alphaOff val="0"/>
                </a:sysClr>
              </a:solidFill>
              <a:latin typeface="Calibri"/>
              <a:ea typeface="+mn-ea"/>
              <a:cs typeface="+mn-cs"/>
            </a:rPr>
            <a:t>триптани</a:t>
          </a:r>
          <a:endParaRPr lang="en-US">
            <a:solidFill>
              <a:sysClr val="windowText" lastClr="000000">
                <a:hueOff val="0"/>
                <a:satOff val="0"/>
                <a:lumOff val="0"/>
                <a:alphaOff val="0"/>
              </a:sysClr>
            </a:solidFill>
            <a:latin typeface="Calibri"/>
            <a:ea typeface="+mn-ea"/>
            <a:cs typeface="+mn-cs"/>
          </a:endParaRPr>
        </a:p>
      </dgm:t>
    </dgm:pt>
    <dgm:pt modelId="{AFAE1F34-717A-8841-9406-CA570EC6D4DD}" type="parTrans" cxnId="{92C38BA1-C0CC-454A-9CE5-AD740047B39E}">
      <dgm:prSet/>
      <dgm:spPr>
        <a:xfrm>
          <a:off x="1024166" y="4366374"/>
          <a:ext cx="91440" cy="306414"/>
        </a:xfrm>
        <a:custGeom>
          <a:avLst/>
          <a:gdLst/>
          <a:ahLst/>
          <a:cxnLst/>
          <a:rect l="0" t="0" r="0" b="0"/>
          <a:pathLst>
            <a:path>
              <a:moveTo>
                <a:pt x="111038" y="0"/>
              </a:moveTo>
              <a:lnTo>
                <a:pt x="111038" y="212483"/>
              </a:lnTo>
              <a:lnTo>
                <a:pt x="45720" y="212483"/>
              </a:lnTo>
              <a:lnTo>
                <a:pt x="45720" y="306414"/>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09EC6C04-1BFA-E64F-AE02-072F5E14EB7E}" type="sibTrans" cxnId="{92C38BA1-C0CC-454A-9CE5-AD740047B39E}">
      <dgm:prSet/>
      <dgm:spPr/>
      <dgm:t>
        <a:bodyPr/>
        <a:lstStyle/>
        <a:p>
          <a:endParaRPr lang="en-US"/>
        </a:p>
      </dgm:t>
    </dgm:pt>
    <dgm:pt modelId="{F2E11242-F67F-1C47-97CB-305A8C1E7181}">
      <dgm:prSet/>
      <dgm:spPr>
        <a:xfrm>
          <a:off x="159699" y="5703192"/>
          <a:ext cx="2145589" cy="643855"/>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gm:spPr>
      <dgm:t>
        <a:bodyPr/>
        <a:lstStyle/>
        <a:p>
          <a:r>
            <a:rPr lang="bg-BG">
              <a:solidFill>
                <a:sysClr val="windowText" lastClr="000000">
                  <a:hueOff val="0"/>
                  <a:satOff val="0"/>
                  <a:lumOff val="0"/>
                  <a:alphaOff val="0"/>
                </a:sysClr>
              </a:solidFill>
              <a:latin typeface="Calibri"/>
              <a:ea typeface="+mn-ea"/>
              <a:cs typeface="+mn-cs"/>
            </a:rPr>
            <a:t>ерготамини</a:t>
          </a:r>
          <a:endParaRPr lang="en-US">
            <a:solidFill>
              <a:sysClr val="windowText" lastClr="000000">
                <a:hueOff val="0"/>
                <a:satOff val="0"/>
                <a:lumOff val="0"/>
                <a:alphaOff val="0"/>
              </a:sysClr>
            </a:solidFill>
            <a:latin typeface="Calibri"/>
            <a:ea typeface="+mn-ea"/>
            <a:cs typeface="+mn-cs"/>
          </a:endParaRPr>
        </a:p>
      </dgm:t>
    </dgm:pt>
    <dgm:pt modelId="{D7744BB5-FC8E-CB45-909E-87C939151841}" type="parTrans" cxnId="{0B901043-FE54-4245-A4DE-37E29A8983E8}">
      <dgm:prSet/>
      <dgm:spPr>
        <a:xfrm>
          <a:off x="1024166" y="5316644"/>
          <a:ext cx="91440" cy="279520"/>
        </a:xfrm>
        <a:custGeom>
          <a:avLst/>
          <a:gdLst/>
          <a:ahLst/>
          <a:cxnLst/>
          <a:rect l="0" t="0" r="0" b="0"/>
          <a:pathLst>
            <a:path>
              <a:moveTo>
                <a:pt x="45720" y="0"/>
              </a:moveTo>
              <a:lnTo>
                <a:pt x="45720" y="185589"/>
              </a:lnTo>
              <a:lnTo>
                <a:pt x="95666" y="185589"/>
              </a:lnTo>
              <a:lnTo>
                <a:pt x="95666" y="279520"/>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D84BF940-5C70-9148-B957-AD70CA3872ED}" type="sibTrans" cxnId="{0B901043-FE54-4245-A4DE-37E29A8983E8}">
      <dgm:prSet/>
      <dgm:spPr/>
      <dgm:t>
        <a:bodyPr/>
        <a:lstStyle/>
        <a:p>
          <a:endParaRPr lang="en-US"/>
        </a:p>
      </dgm:t>
    </dgm:pt>
    <dgm:pt modelId="{881F0A81-7AC2-2A49-9CCC-83FD4ABCA78F}">
      <dgm:prSet custT="1"/>
      <dgm:spPr>
        <a:xfrm>
          <a:off x="159688" y="6630411"/>
          <a:ext cx="2429920" cy="1087291"/>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gm:spPr>
      <dgm:t>
        <a:bodyPr/>
        <a:lstStyle/>
        <a:p>
          <a:r>
            <a:rPr lang="bg-BG" sz="2000">
              <a:solidFill>
                <a:sysClr val="windowText" lastClr="000000">
                  <a:hueOff val="0"/>
                  <a:satOff val="0"/>
                  <a:lumOff val="0"/>
                  <a:alphaOff val="0"/>
                </a:sysClr>
              </a:solidFill>
              <a:latin typeface="Calibri"/>
              <a:ea typeface="+mn-ea"/>
              <a:cs typeface="+mn-cs"/>
            </a:rPr>
            <a:t>локални анестетици</a:t>
          </a:r>
        </a:p>
        <a:p>
          <a:r>
            <a:rPr lang="en-US" sz="1200">
              <a:solidFill>
                <a:sysClr val="windowText" lastClr="000000">
                  <a:hueOff val="0"/>
                  <a:satOff val="0"/>
                  <a:lumOff val="0"/>
                  <a:alphaOff val="0"/>
                </a:sysClr>
              </a:solidFill>
              <a:latin typeface="Calibri"/>
              <a:ea typeface="+mn-ea"/>
              <a:cs typeface="+mn-cs"/>
            </a:rPr>
            <a:t>Lidocaine</a:t>
          </a:r>
        </a:p>
        <a:p>
          <a:r>
            <a:rPr lang="en-US" sz="1200">
              <a:solidFill>
                <a:sysClr val="windowText" lastClr="000000">
                  <a:hueOff val="0"/>
                  <a:satOff val="0"/>
                  <a:lumOff val="0"/>
                  <a:alphaOff val="0"/>
                </a:sysClr>
              </a:solidFill>
              <a:latin typeface="Calibri"/>
              <a:ea typeface="+mn-ea"/>
              <a:cs typeface="+mn-cs"/>
            </a:rPr>
            <a:t>Cocaine</a:t>
          </a:r>
          <a:endParaRPr lang="bg-BG" sz="1200">
            <a:solidFill>
              <a:sysClr val="windowText" lastClr="000000">
                <a:hueOff val="0"/>
                <a:satOff val="0"/>
                <a:lumOff val="0"/>
                <a:alphaOff val="0"/>
              </a:sysClr>
            </a:solidFill>
            <a:latin typeface="Calibri"/>
            <a:ea typeface="+mn-ea"/>
            <a:cs typeface="+mn-cs"/>
          </a:endParaRPr>
        </a:p>
        <a:p>
          <a:endParaRPr lang="en-US" sz="700">
            <a:solidFill>
              <a:sysClr val="windowText" lastClr="000000">
                <a:hueOff val="0"/>
                <a:satOff val="0"/>
                <a:lumOff val="0"/>
                <a:alphaOff val="0"/>
              </a:sysClr>
            </a:solidFill>
            <a:latin typeface="Calibri"/>
            <a:ea typeface="+mn-ea"/>
            <a:cs typeface="+mn-cs"/>
          </a:endParaRPr>
        </a:p>
      </dgm:t>
    </dgm:pt>
    <dgm:pt modelId="{2582A3ED-4901-D647-8E77-0B41D464378A}" type="parTrans" cxnId="{7505D341-66FF-2048-8BA4-4CC9C7844766}">
      <dgm:prSet/>
      <dgm:spPr>
        <a:xfrm>
          <a:off x="1119833" y="6240019"/>
          <a:ext cx="142155" cy="283364"/>
        </a:xfrm>
        <a:custGeom>
          <a:avLst/>
          <a:gdLst/>
          <a:ahLst/>
          <a:cxnLst/>
          <a:rect l="0" t="0" r="0" b="0"/>
          <a:pathLst>
            <a:path>
              <a:moveTo>
                <a:pt x="0" y="0"/>
              </a:moveTo>
              <a:lnTo>
                <a:pt x="0" y="189433"/>
              </a:lnTo>
              <a:lnTo>
                <a:pt x="142155" y="189433"/>
              </a:lnTo>
              <a:lnTo>
                <a:pt x="142155" y="283364"/>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US"/>
        </a:p>
      </dgm:t>
    </dgm:pt>
    <dgm:pt modelId="{BB5DC66A-2CD9-D944-B77E-431BD2BE2A4D}" type="sibTrans" cxnId="{7505D341-66FF-2048-8BA4-4CC9C7844766}">
      <dgm:prSet/>
      <dgm:spPr/>
      <dgm:t>
        <a:bodyPr/>
        <a:lstStyle/>
        <a:p>
          <a:endParaRPr lang="en-US"/>
        </a:p>
      </dgm:t>
    </dgm:pt>
    <dgm:pt modelId="{7CC37C10-7BD4-0547-8ED9-6694DFEADF3C}" type="pres">
      <dgm:prSet presAssocID="{AB2430CA-4C84-A644-9D4A-9392D273C6BE}" presName="hierChild1" presStyleCnt="0">
        <dgm:presLayoutVars>
          <dgm:chPref val="1"/>
          <dgm:dir/>
          <dgm:animOne val="branch"/>
          <dgm:animLvl val="lvl"/>
          <dgm:resizeHandles/>
        </dgm:presLayoutVars>
      </dgm:prSet>
      <dgm:spPr/>
      <dgm:t>
        <a:bodyPr/>
        <a:lstStyle/>
        <a:p>
          <a:endParaRPr lang="en-US"/>
        </a:p>
      </dgm:t>
    </dgm:pt>
    <dgm:pt modelId="{EB49E580-DDD4-D54D-9CF5-F6EAF0A3EFE1}" type="pres">
      <dgm:prSet presAssocID="{2E445C09-2420-904D-8B80-D74A9E8C93DB}" presName="hierRoot1" presStyleCnt="0"/>
      <dgm:spPr/>
    </dgm:pt>
    <dgm:pt modelId="{1066AF8F-6E63-E149-BA64-8615E4315FCA}" type="pres">
      <dgm:prSet presAssocID="{2E445C09-2420-904D-8B80-D74A9E8C93DB}" presName="composite" presStyleCnt="0"/>
      <dgm:spPr/>
    </dgm:pt>
    <dgm:pt modelId="{09BA9CC2-3A60-874C-9FF4-FA9C27C8E0F8}" type="pres">
      <dgm:prSet presAssocID="{2E445C09-2420-904D-8B80-D74A9E8C93DB}" presName="background" presStyleLbl="node0" presStyleIdx="0" presStyleCnt="1"/>
      <dgm:spPr>
        <a:xfrm>
          <a:off x="-112660" y="683203"/>
          <a:ext cx="6000883" cy="863751"/>
        </a:xfrm>
        <a:prstGeom prst="roundRect">
          <a:avLst>
            <a:gd name="adj" fmla="val 10000"/>
          </a:avLst>
        </a:prstGeom>
        <a:noFill/>
        <a:ln w="25400" cap="flat" cmpd="sng" algn="ctr">
          <a:noFill/>
          <a:prstDash val="solid"/>
        </a:ln>
        <a:effectLst/>
      </dgm:spPr>
      <dgm:t>
        <a:bodyPr/>
        <a:lstStyle/>
        <a:p>
          <a:endParaRPr lang="en-US"/>
        </a:p>
      </dgm:t>
    </dgm:pt>
    <dgm:pt modelId="{C4428AB9-9E68-EB47-9108-02F0473F2A64}" type="pres">
      <dgm:prSet presAssocID="{2E445C09-2420-904D-8B80-D74A9E8C93DB}" presName="text" presStyleLbl="fgAcc0" presStyleIdx="0" presStyleCnt="1" custScaleX="591835" custScaleY="134153" custLinFactNeighborX="-74375" custLinFactNeighborY="-6462">
        <dgm:presLayoutVars>
          <dgm:chPref val="3"/>
        </dgm:presLayoutVars>
      </dgm:prSet>
      <dgm:spPr/>
      <dgm:t>
        <a:bodyPr/>
        <a:lstStyle/>
        <a:p>
          <a:endParaRPr lang="en-US"/>
        </a:p>
      </dgm:t>
    </dgm:pt>
    <dgm:pt modelId="{5A98D57B-F1DA-5543-9320-252D4A6559E9}" type="pres">
      <dgm:prSet presAssocID="{2E445C09-2420-904D-8B80-D74A9E8C93DB}" presName="hierChild2" presStyleCnt="0"/>
      <dgm:spPr/>
    </dgm:pt>
    <dgm:pt modelId="{C120071F-5F94-3B48-A361-5660F3DDA044}" type="pres">
      <dgm:prSet presAssocID="{631291B2-C239-694C-97FD-0A94D95055A1}" presName="Name10" presStyleLbl="parChTrans1D2" presStyleIdx="0" presStyleCnt="2"/>
      <dgm:spPr/>
      <dgm:t>
        <a:bodyPr/>
        <a:lstStyle/>
        <a:p>
          <a:endParaRPr lang="en-US"/>
        </a:p>
      </dgm:t>
    </dgm:pt>
    <dgm:pt modelId="{B21D18FB-4393-FC41-A46B-F4453474A4FB}" type="pres">
      <dgm:prSet presAssocID="{E1718FB7-6804-0C42-B97A-6AD81E026FDB}" presName="hierRoot2" presStyleCnt="0"/>
      <dgm:spPr/>
    </dgm:pt>
    <dgm:pt modelId="{43131717-979F-034B-AE37-6A491D0D8B8C}" type="pres">
      <dgm:prSet presAssocID="{E1718FB7-6804-0C42-B97A-6AD81E026FDB}" presName="composite2" presStyleCnt="0"/>
      <dgm:spPr/>
    </dgm:pt>
    <dgm:pt modelId="{7331BCBC-2298-2C45-A14E-F96D4CE0AEE1}" type="pres">
      <dgm:prSet presAssocID="{E1718FB7-6804-0C42-B97A-6AD81E026FDB}" presName="background2" presStyleLbl="node2" presStyleIdx="0" presStyleCnt="2"/>
      <dgm:spPr>
        <a:xfrm>
          <a:off x="-97747" y="1879605"/>
          <a:ext cx="2273802" cy="643855"/>
        </a:xfrm>
        <a:prstGeom prst="roundRect">
          <a:avLst>
            <a:gd name="adj" fmla="val 10000"/>
          </a:avLst>
        </a:prstGeom>
        <a:noFill/>
        <a:ln w="25400" cap="flat" cmpd="sng" algn="ctr">
          <a:solidFill>
            <a:sysClr val="window" lastClr="FFFFFF">
              <a:hueOff val="0"/>
              <a:satOff val="0"/>
              <a:lumOff val="0"/>
              <a:alphaOff val="0"/>
            </a:sysClr>
          </a:solidFill>
          <a:prstDash val="solid"/>
        </a:ln>
        <a:effectLst/>
        <a:scene3d>
          <a:camera prst="orthographicFront"/>
          <a:lightRig rig="threePt" dir="t"/>
        </a:scene3d>
        <a:sp3d>
          <a:bevelB/>
        </a:sp3d>
      </dgm:spPr>
      <dgm:t>
        <a:bodyPr/>
        <a:lstStyle/>
        <a:p>
          <a:endParaRPr lang="en-US"/>
        </a:p>
      </dgm:t>
    </dgm:pt>
    <dgm:pt modelId="{E833E200-3643-2748-8EC0-42E5DF2159CC}" type="pres">
      <dgm:prSet presAssocID="{E1718FB7-6804-0C42-B97A-6AD81E026FDB}" presName="text2" presStyleLbl="fgAcc2" presStyleIdx="0" presStyleCnt="2" custScaleX="224253" custLinFactNeighborX="-67447" custLinFactNeighborY="-597">
        <dgm:presLayoutVars>
          <dgm:chPref val="3"/>
        </dgm:presLayoutVars>
      </dgm:prSet>
      <dgm:spPr/>
      <dgm:t>
        <a:bodyPr/>
        <a:lstStyle/>
        <a:p>
          <a:endParaRPr lang="en-US"/>
        </a:p>
      </dgm:t>
    </dgm:pt>
    <dgm:pt modelId="{31755FA1-0BF0-B446-AD07-C675427307FE}" type="pres">
      <dgm:prSet presAssocID="{E1718FB7-6804-0C42-B97A-6AD81E026FDB}" presName="hierChild3" presStyleCnt="0"/>
      <dgm:spPr/>
    </dgm:pt>
    <dgm:pt modelId="{6A1A0E53-1870-5245-9C8C-32A84BAE32D2}" type="pres">
      <dgm:prSet presAssocID="{D744F3D5-80C4-B749-B130-3F28515E3112}" presName="Name17" presStyleLbl="parChTrans1D3" presStyleIdx="0" presStyleCnt="2"/>
      <dgm:spPr/>
      <dgm:t>
        <a:bodyPr/>
        <a:lstStyle/>
        <a:p>
          <a:endParaRPr lang="en-US"/>
        </a:p>
      </dgm:t>
    </dgm:pt>
    <dgm:pt modelId="{4B9EC989-A784-1B4A-9D3A-C07E3A57334F}" type="pres">
      <dgm:prSet presAssocID="{12DAB821-BA03-2341-A7DC-35E1866A2B30}" presName="hierRoot3" presStyleCnt="0"/>
      <dgm:spPr/>
    </dgm:pt>
    <dgm:pt modelId="{14592C33-2DA0-7F4A-B9F3-1837F1752612}" type="pres">
      <dgm:prSet presAssocID="{12DAB821-BA03-2341-A7DC-35E1866A2B30}" presName="composite3" presStyleCnt="0"/>
      <dgm:spPr/>
    </dgm:pt>
    <dgm:pt modelId="{B620D381-F1EB-974B-97A0-1C68B18F1208}" type="pres">
      <dgm:prSet presAssocID="{12DAB821-BA03-2341-A7DC-35E1866A2B30}" presName="background3" presStyleLbl="node3" presStyleIdx="0" presStyleCnt="2"/>
      <dgm:spPr>
        <a:xfrm>
          <a:off x="-93448" y="2806831"/>
          <a:ext cx="2403506" cy="643855"/>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9E420810-3C7F-B14D-BB9D-8BB0447E27CD}" type="pres">
      <dgm:prSet presAssocID="{12DAB821-BA03-2341-A7DC-35E1866A2B30}" presName="text3" presStyleLbl="fgAcc3" presStyleIdx="0" presStyleCnt="2" custScaleX="237045" custLinFactNeighborX="-60627" custLinFactNeighborY="-2386">
        <dgm:presLayoutVars>
          <dgm:chPref val="3"/>
        </dgm:presLayoutVars>
      </dgm:prSet>
      <dgm:spPr/>
      <dgm:t>
        <a:bodyPr/>
        <a:lstStyle/>
        <a:p>
          <a:endParaRPr lang="en-US"/>
        </a:p>
      </dgm:t>
    </dgm:pt>
    <dgm:pt modelId="{3CE2887E-BECC-B846-B9D4-21CAA38E71FE}" type="pres">
      <dgm:prSet presAssocID="{12DAB821-BA03-2341-A7DC-35E1866A2B30}" presName="hierChild4" presStyleCnt="0"/>
      <dgm:spPr/>
    </dgm:pt>
    <dgm:pt modelId="{C64C332D-A58C-9440-8D35-C33F42CB1F53}" type="pres">
      <dgm:prSet presAssocID="{BF998618-8187-1846-B689-A32C7AEA333E}" presName="Name23" presStyleLbl="parChTrans1D4" presStyleIdx="0" presStyleCnt="7"/>
      <dgm:spPr/>
      <dgm:t>
        <a:bodyPr/>
        <a:lstStyle/>
        <a:p>
          <a:endParaRPr lang="en-US"/>
        </a:p>
      </dgm:t>
    </dgm:pt>
    <dgm:pt modelId="{5C94FD63-FBFB-0542-AEB1-77C733C75F76}" type="pres">
      <dgm:prSet presAssocID="{654F506B-4D05-9946-9172-4035F422A4A5}" presName="hierRoot4" presStyleCnt="0"/>
      <dgm:spPr/>
    </dgm:pt>
    <dgm:pt modelId="{BCDB08D1-27DE-1B4C-9A81-3C71C56D1EE1}" type="pres">
      <dgm:prSet presAssocID="{654F506B-4D05-9946-9172-4035F422A4A5}" presName="composite4" presStyleCnt="0"/>
      <dgm:spPr/>
    </dgm:pt>
    <dgm:pt modelId="{4353F7D0-97DE-D449-85ED-3B06A08ED747}" type="pres">
      <dgm:prSet presAssocID="{654F506B-4D05-9946-9172-4035F422A4A5}" presName="background4" presStyleLbl="node4" presStyleIdx="0" presStyleCnt="7"/>
      <dgm:spPr>
        <a:xfrm>
          <a:off x="-33641" y="3722519"/>
          <a:ext cx="2337691" cy="643855"/>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FD35DDF3-2954-5A40-AC94-0142FF6B26DA}" type="pres">
      <dgm:prSet presAssocID="{654F506B-4D05-9946-9172-4035F422A4A5}" presName="text4" presStyleLbl="fgAcc4" presStyleIdx="0" presStyleCnt="7" custScaleX="230554" custLinFactNeighborX="-57974" custLinFactNeighborY="-5967">
        <dgm:presLayoutVars>
          <dgm:chPref val="3"/>
        </dgm:presLayoutVars>
      </dgm:prSet>
      <dgm:spPr/>
      <dgm:t>
        <a:bodyPr/>
        <a:lstStyle/>
        <a:p>
          <a:endParaRPr lang="en-US"/>
        </a:p>
      </dgm:t>
    </dgm:pt>
    <dgm:pt modelId="{C8893F20-06E8-F34B-AB98-E5F0FC68D804}" type="pres">
      <dgm:prSet presAssocID="{654F506B-4D05-9946-9172-4035F422A4A5}" presName="hierChild5" presStyleCnt="0"/>
      <dgm:spPr/>
    </dgm:pt>
    <dgm:pt modelId="{6BE64590-BFDD-114A-818B-B3985987C9D6}" type="pres">
      <dgm:prSet presAssocID="{AFAE1F34-717A-8841-9406-CA570EC6D4DD}" presName="Name23" presStyleLbl="parChTrans1D4" presStyleIdx="1" presStyleCnt="7"/>
      <dgm:spPr/>
      <dgm:t>
        <a:bodyPr/>
        <a:lstStyle/>
        <a:p>
          <a:endParaRPr lang="en-US"/>
        </a:p>
      </dgm:t>
    </dgm:pt>
    <dgm:pt modelId="{FE5F71E3-401F-3F46-9A76-2C14660A3E02}" type="pres">
      <dgm:prSet presAssocID="{5100A469-C68E-C948-A5A8-146D1E0619E5}" presName="hierRoot4" presStyleCnt="0"/>
      <dgm:spPr/>
    </dgm:pt>
    <dgm:pt modelId="{3367AD15-88BE-AF45-864C-E85E32FFDF76}" type="pres">
      <dgm:prSet presAssocID="{5100A469-C68E-C948-A5A8-146D1E0619E5}" presName="composite4" presStyleCnt="0"/>
      <dgm:spPr/>
    </dgm:pt>
    <dgm:pt modelId="{52FF3DE4-1803-634B-B9B3-E20F5C1DD9D2}" type="pres">
      <dgm:prSet presAssocID="{5100A469-C68E-C948-A5A8-146D1E0619E5}" presName="background4" presStyleLbl="node4" presStyleIdx="1" presStyleCnt="7"/>
      <dgm:spPr>
        <a:xfrm>
          <a:off x="-85742" y="4672789"/>
          <a:ext cx="2311258" cy="643855"/>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DA195395-64A2-6242-BD56-37FCF05CCB5E}" type="pres">
      <dgm:prSet presAssocID="{5100A469-C68E-C948-A5A8-146D1E0619E5}" presName="text4" presStyleLbl="fgAcc4" presStyleIdx="1" presStyleCnt="7" custScaleX="227947" custLinFactNeighborX="-64416" custLinFactNeighborY="-4177">
        <dgm:presLayoutVars>
          <dgm:chPref val="3"/>
        </dgm:presLayoutVars>
      </dgm:prSet>
      <dgm:spPr/>
      <dgm:t>
        <a:bodyPr/>
        <a:lstStyle/>
        <a:p>
          <a:endParaRPr lang="en-US"/>
        </a:p>
      </dgm:t>
    </dgm:pt>
    <dgm:pt modelId="{E016172E-82BE-9E46-87AE-0E5F54896897}" type="pres">
      <dgm:prSet presAssocID="{5100A469-C68E-C948-A5A8-146D1E0619E5}" presName="hierChild5" presStyleCnt="0"/>
      <dgm:spPr/>
    </dgm:pt>
    <dgm:pt modelId="{3BA3375D-4B1D-6945-B7B3-5C5F93577C6B}" type="pres">
      <dgm:prSet presAssocID="{D7744BB5-FC8E-CB45-909E-87C939151841}" presName="Name23" presStyleLbl="parChTrans1D4" presStyleIdx="2" presStyleCnt="7"/>
      <dgm:spPr/>
      <dgm:t>
        <a:bodyPr/>
        <a:lstStyle/>
        <a:p>
          <a:endParaRPr lang="en-US"/>
        </a:p>
      </dgm:t>
    </dgm:pt>
    <dgm:pt modelId="{A7970593-9EE4-A544-ABFC-83ECA6C5B80A}" type="pres">
      <dgm:prSet presAssocID="{F2E11242-F67F-1C47-97CB-305A8C1E7181}" presName="hierRoot4" presStyleCnt="0"/>
      <dgm:spPr/>
    </dgm:pt>
    <dgm:pt modelId="{A04DE2FF-78E8-F142-8677-057976A583F4}" type="pres">
      <dgm:prSet presAssocID="{F2E11242-F67F-1C47-97CB-305A8C1E7181}" presName="composite4" presStyleCnt="0"/>
      <dgm:spPr/>
    </dgm:pt>
    <dgm:pt modelId="{A6C03FED-84E5-D048-B70A-326E7667957B}" type="pres">
      <dgm:prSet presAssocID="{F2E11242-F67F-1C47-97CB-305A8C1E7181}" presName="background4" presStyleLbl="node4" presStyleIdx="2" presStyleCnt="7"/>
      <dgm:spPr>
        <a:xfrm>
          <a:off x="47038" y="5596164"/>
          <a:ext cx="2145589" cy="643855"/>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BE30D8CD-4135-BF47-8DA0-98334A86CEF5}" type="pres">
      <dgm:prSet presAssocID="{F2E11242-F67F-1C47-97CB-305A8C1E7181}" presName="text4" presStyleLbl="fgAcc4" presStyleIdx="2" presStyleCnt="7" custScaleX="211608" custLinFactNeighborX="-59490" custLinFactNeighborY="-6564">
        <dgm:presLayoutVars>
          <dgm:chPref val="3"/>
        </dgm:presLayoutVars>
      </dgm:prSet>
      <dgm:spPr/>
      <dgm:t>
        <a:bodyPr/>
        <a:lstStyle/>
        <a:p>
          <a:endParaRPr lang="en-US"/>
        </a:p>
      </dgm:t>
    </dgm:pt>
    <dgm:pt modelId="{9B9B298D-4D68-C34B-ACC6-44E90D504584}" type="pres">
      <dgm:prSet presAssocID="{F2E11242-F67F-1C47-97CB-305A8C1E7181}" presName="hierChild5" presStyleCnt="0"/>
      <dgm:spPr/>
    </dgm:pt>
    <dgm:pt modelId="{BCFCB674-CBBB-8646-88BF-D0D94F2B3900}" type="pres">
      <dgm:prSet presAssocID="{2582A3ED-4901-D647-8E77-0B41D464378A}" presName="Name23" presStyleLbl="parChTrans1D4" presStyleIdx="3" presStyleCnt="7"/>
      <dgm:spPr/>
      <dgm:t>
        <a:bodyPr/>
        <a:lstStyle/>
        <a:p>
          <a:endParaRPr lang="en-US"/>
        </a:p>
      </dgm:t>
    </dgm:pt>
    <dgm:pt modelId="{96B334A7-6E3E-784A-A29D-DAF33AA7B0F6}" type="pres">
      <dgm:prSet presAssocID="{881F0A81-7AC2-2A49-9CCC-83FD4ABCA78F}" presName="hierRoot4" presStyleCnt="0"/>
      <dgm:spPr/>
    </dgm:pt>
    <dgm:pt modelId="{D5A50210-60BF-354D-9ACF-7D0BC24E562A}" type="pres">
      <dgm:prSet presAssocID="{881F0A81-7AC2-2A49-9CCC-83FD4ABCA78F}" presName="composite4" presStyleCnt="0"/>
      <dgm:spPr/>
    </dgm:pt>
    <dgm:pt modelId="{C4FDF9FA-C4AD-D145-B151-FA110F19735B}" type="pres">
      <dgm:prSet presAssocID="{881F0A81-7AC2-2A49-9CCC-83FD4ABCA78F}" presName="background4" presStyleLbl="node4" presStyleIdx="3" presStyleCnt="7"/>
      <dgm:spPr>
        <a:xfrm>
          <a:off x="47028" y="6523384"/>
          <a:ext cx="2429920" cy="1087291"/>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03F0DCFE-4A6F-BC40-A452-7181F9AB1820}" type="pres">
      <dgm:prSet presAssocID="{881F0A81-7AC2-2A49-9CCC-83FD4ABCA78F}" presName="text4" presStyleLbl="fgAcc4" presStyleIdx="3" presStyleCnt="7" custScaleX="239650" custScaleY="168872" custLinFactNeighborX="-45470" custLinFactNeighborY="-8354">
        <dgm:presLayoutVars>
          <dgm:chPref val="3"/>
        </dgm:presLayoutVars>
      </dgm:prSet>
      <dgm:spPr/>
      <dgm:t>
        <a:bodyPr/>
        <a:lstStyle/>
        <a:p>
          <a:endParaRPr lang="en-US"/>
        </a:p>
      </dgm:t>
    </dgm:pt>
    <dgm:pt modelId="{32D17428-FD35-9F41-B499-1615B4FCE6B4}" type="pres">
      <dgm:prSet presAssocID="{881F0A81-7AC2-2A49-9CCC-83FD4ABCA78F}" presName="hierChild5" presStyleCnt="0"/>
      <dgm:spPr/>
    </dgm:pt>
    <dgm:pt modelId="{BA8A4080-D220-EA48-95E3-906A2F1266EF}" type="pres">
      <dgm:prSet presAssocID="{EE893BD3-0A85-914E-90AC-E91DD12A16CD}" presName="Name10" presStyleLbl="parChTrans1D2" presStyleIdx="1" presStyleCnt="2"/>
      <dgm:spPr/>
      <dgm:t>
        <a:bodyPr/>
        <a:lstStyle/>
        <a:p>
          <a:endParaRPr lang="en-US"/>
        </a:p>
      </dgm:t>
    </dgm:pt>
    <dgm:pt modelId="{9C6B9914-2AF5-0143-BA2C-9D9D2CCD5295}" type="pres">
      <dgm:prSet presAssocID="{F9A789EA-7386-A844-AE8C-66E0748C3EC4}" presName="hierRoot2" presStyleCnt="0"/>
      <dgm:spPr/>
    </dgm:pt>
    <dgm:pt modelId="{77FE646A-7AB2-5F4B-B01A-807805419B01}" type="pres">
      <dgm:prSet presAssocID="{F9A789EA-7386-A844-AE8C-66E0748C3EC4}" presName="composite2" presStyleCnt="0"/>
      <dgm:spPr/>
    </dgm:pt>
    <dgm:pt modelId="{B97633CA-7BAC-574A-A138-7735189C2109}" type="pres">
      <dgm:prSet presAssocID="{F9A789EA-7386-A844-AE8C-66E0748C3EC4}" presName="background2" presStyleLbl="node2" presStyleIdx="1" presStyleCnt="2"/>
      <dgm:spPr>
        <a:xfrm>
          <a:off x="3452381" y="1825818"/>
          <a:ext cx="2336089" cy="643855"/>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520A290F-77B3-6245-AD17-5CA26C37326B}" type="pres">
      <dgm:prSet presAssocID="{F9A789EA-7386-A844-AE8C-66E0748C3EC4}" presName="text2" presStyleLbl="fgAcc2" presStyleIdx="1" presStyleCnt="2" custScaleX="230396" custLinFactNeighborX="36208" custLinFactNeighborY="-8951">
        <dgm:presLayoutVars>
          <dgm:chPref val="3"/>
        </dgm:presLayoutVars>
      </dgm:prSet>
      <dgm:spPr/>
      <dgm:t>
        <a:bodyPr/>
        <a:lstStyle/>
        <a:p>
          <a:endParaRPr lang="en-US"/>
        </a:p>
      </dgm:t>
    </dgm:pt>
    <dgm:pt modelId="{C422532D-DDFE-0348-907C-A4516E561E5D}" type="pres">
      <dgm:prSet presAssocID="{F9A789EA-7386-A844-AE8C-66E0748C3EC4}" presName="hierChild3" presStyleCnt="0"/>
      <dgm:spPr/>
    </dgm:pt>
    <dgm:pt modelId="{2969516A-18EA-754D-8A88-A3ED4CF41BF2}" type="pres">
      <dgm:prSet presAssocID="{5113BD53-5A8D-A140-B835-07D2C5BCC91D}" presName="Name17" presStyleLbl="parChTrans1D3" presStyleIdx="1" presStyleCnt="2"/>
      <dgm:spPr/>
      <dgm:t>
        <a:bodyPr/>
        <a:lstStyle/>
        <a:p>
          <a:endParaRPr lang="en-US"/>
        </a:p>
      </dgm:t>
    </dgm:pt>
    <dgm:pt modelId="{247AEDBF-1F60-5848-B8AC-70AF8BD2009B}" type="pres">
      <dgm:prSet presAssocID="{3FD78C25-A9D2-5B4A-B3B4-809741DEDAF4}" presName="hierRoot3" presStyleCnt="0"/>
      <dgm:spPr/>
    </dgm:pt>
    <dgm:pt modelId="{84F32C24-50D7-2F4E-AD79-153D707DD2E3}" type="pres">
      <dgm:prSet presAssocID="{3FD78C25-A9D2-5B4A-B3B4-809741DEDAF4}" presName="composite3" presStyleCnt="0"/>
      <dgm:spPr/>
    </dgm:pt>
    <dgm:pt modelId="{71D5542A-5138-D74D-9CFF-2C435968B515}" type="pres">
      <dgm:prSet presAssocID="{3FD78C25-A9D2-5B4A-B3B4-809741DEDAF4}" presName="background3" presStyleLbl="node3" presStyleIdx="1" presStyleCnt="2"/>
      <dgm:spPr>
        <a:xfrm>
          <a:off x="3505030" y="2822194"/>
          <a:ext cx="1496532" cy="643855"/>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7C43C5B1-D2B1-8440-86D1-0CDCAA348B1B}" type="pres">
      <dgm:prSet presAssocID="{3FD78C25-A9D2-5B4A-B3B4-809741DEDAF4}" presName="text3" presStyleLbl="fgAcc3" presStyleIdx="1" presStyleCnt="2" custScaleX="147595">
        <dgm:presLayoutVars>
          <dgm:chPref val="3"/>
        </dgm:presLayoutVars>
      </dgm:prSet>
      <dgm:spPr/>
      <dgm:t>
        <a:bodyPr/>
        <a:lstStyle/>
        <a:p>
          <a:endParaRPr lang="en-US"/>
        </a:p>
      </dgm:t>
    </dgm:pt>
    <dgm:pt modelId="{BC4D6647-306E-3E49-956C-42CF6AA78403}" type="pres">
      <dgm:prSet presAssocID="{3FD78C25-A9D2-5B4A-B3B4-809741DEDAF4}" presName="hierChild4" presStyleCnt="0"/>
      <dgm:spPr/>
    </dgm:pt>
    <dgm:pt modelId="{005A3CC8-612E-BD4D-93F7-81F8E0B1D183}" type="pres">
      <dgm:prSet presAssocID="{E11D75EA-C11B-5349-BA59-680E2780D8E6}" presName="Name23" presStyleLbl="parChTrans1D4" presStyleIdx="4" presStyleCnt="7"/>
      <dgm:spPr/>
      <dgm:t>
        <a:bodyPr/>
        <a:lstStyle/>
        <a:p>
          <a:endParaRPr lang="en-US"/>
        </a:p>
      </dgm:t>
    </dgm:pt>
    <dgm:pt modelId="{58E10D46-FD28-E84C-BBD6-FFB23A36026E}" type="pres">
      <dgm:prSet presAssocID="{5D6B157E-C4EF-1D40-8647-EC7315FAF797}" presName="hierRoot4" presStyleCnt="0"/>
      <dgm:spPr/>
    </dgm:pt>
    <dgm:pt modelId="{B0578924-C12F-884F-A04A-76FE116FE915}" type="pres">
      <dgm:prSet presAssocID="{5D6B157E-C4EF-1D40-8647-EC7315FAF797}" presName="composite4" presStyleCnt="0"/>
      <dgm:spPr/>
    </dgm:pt>
    <dgm:pt modelId="{9E9749B7-7372-0E40-B353-9849D45EC214}" type="pres">
      <dgm:prSet presAssocID="{5D6B157E-C4EF-1D40-8647-EC7315FAF797}" presName="background4" presStyleLbl="node4" presStyleIdx="4" presStyleCnt="7"/>
      <dgm:spPr>
        <a:xfrm>
          <a:off x="3634242" y="3760938"/>
          <a:ext cx="1238108" cy="643855"/>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3279BBFD-6DFC-C44E-B0DA-86A5CD291F1B}" type="pres">
      <dgm:prSet presAssocID="{5D6B157E-C4EF-1D40-8647-EC7315FAF797}" presName="text4" presStyleLbl="fgAcc4" presStyleIdx="4" presStyleCnt="7" custScaleX="122108">
        <dgm:presLayoutVars>
          <dgm:chPref val="3"/>
        </dgm:presLayoutVars>
      </dgm:prSet>
      <dgm:spPr/>
      <dgm:t>
        <a:bodyPr/>
        <a:lstStyle/>
        <a:p>
          <a:endParaRPr lang="en-US"/>
        </a:p>
      </dgm:t>
    </dgm:pt>
    <dgm:pt modelId="{75EC18F1-01E9-0E40-BF02-84BD3F1A6D32}" type="pres">
      <dgm:prSet presAssocID="{5D6B157E-C4EF-1D40-8647-EC7315FAF797}" presName="hierChild5" presStyleCnt="0"/>
      <dgm:spPr/>
    </dgm:pt>
    <dgm:pt modelId="{84EE6116-593E-5F41-B6B4-897E4EF389BB}" type="pres">
      <dgm:prSet presAssocID="{DDA5F55D-D1C1-4E4E-A001-98A69CDB1166}" presName="Name23" presStyleLbl="parChTrans1D4" presStyleIdx="5" presStyleCnt="7"/>
      <dgm:spPr/>
      <dgm:t>
        <a:bodyPr/>
        <a:lstStyle/>
        <a:p>
          <a:endParaRPr lang="en-US"/>
        </a:p>
      </dgm:t>
    </dgm:pt>
    <dgm:pt modelId="{D0082F9C-7F49-5240-B31D-712D532C7F62}" type="pres">
      <dgm:prSet presAssocID="{10865A91-33E5-294E-80D3-2E1D316BB95E}" presName="hierRoot4" presStyleCnt="0"/>
      <dgm:spPr/>
    </dgm:pt>
    <dgm:pt modelId="{CE644A27-F57D-654C-8DB9-6E341D697F8F}" type="pres">
      <dgm:prSet presAssocID="{10865A91-33E5-294E-80D3-2E1D316BB95E}" presName="composite4" presStyleCnt="0"/>
      <dgm:spPr/>
    </dgm:pt>
    <dgm:pt modelId="{3E5DCD30-CE00-BC47-887B-8B8B43F1A72F}" type="pres">
      <dgm:prSet presAssocID="{10865A91-33E5-294E-80D3-2E1D316BB95E}" presName="background4" presStyleLbl="node4" presStyleIdx="5" presStyleCnt="7"/>
      <dgm:spPr>
        <a:xfrm>
          <a:off x="3552822" y="4699682"/>
          <a:ext cx="1400948" cy="643855"/>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AF65E539-9E19-7643-BDDA-39DC4744BF7A}" type="pres">
      <dgm:prSet presAssocID="{10865A91-33E5-294E-80D3-2E1D316BB95E}" presName="text4" presStyleLbl="fgAcc4" presStyleIdx="5" presStyleCnt="7" custScaleX="138168">
        <dgm:presLayoutVars>
          <dgm:chPref val="3"/>
        </dgm:presLayoutVars>
      </dgm:prSet>
      <dgm:spPr/>
      <dgm:t>
        <a:bodyPr/>
        <a:lstStyle/>
        <a:p>
          <a:endParaRPr lang="en-US"/>
        </a:p>
      </dgm:t>
    </dgm:pt>
    <dgm:pt modelId="{2CBED5DB-F6AF-7641-88ED-A8BD677852C6}" type="pres">
      <dgm:prSet presAssocID="{10865A91-33E5-294E-80D3-2E1D316BB95E}" presName="hierChild5" presStyleCnt="0"/>
      <dgm:spPr/>
    </dgm:pt>
    <dgm:pt modelId="{36D65074-6C99-564F-9B53-E810AEDC08D4}" type="pres">
      <dgm:prSet presAssocID="{7F9EA75F-D250-EA4A-B515-C6E17B9EA866}" presName="Name23" presStyleLbl="parChTrans1D4" presStyleIdx="6" presStyleCnt="7"/>
      <dgm:spPr/>
      <dgm:t>
        <a:bodyPr/>
        <a:lstStyle/>
        <a:p>
          <a:endParaRPr lang="en-US"/>
        </a:p>
      </dgm:t>
    </dgm:pt>
    <dgm:pt modelId="{6360C548-0C57-6C49-A751-4F726E307009}" type="pres">
      <dgm:prSet presAssocID="{0FB8794A-0F84-8F48-8AAC-53BEE8C37921}" presName="hierRoot4" presStyleCnt="0"/>
      <dgm:spPr/>
    </dgm:pt>
    <dgm:pt modelId="{9AF929F4-462E-2147-B627-9183DD6CC917}" type="pres">
      <dgm:prSet presAssocID="{0FB8794A-0F84-8F48-8AAC-53BEE8C37921}" presName="composite4" presStyleCnt="0"/>
      <dgm:spPr/>
    </dgm:pt>
    <dgm:pt modelId="{DE63F242-3D5D-2D4B-95EB-BAAF018A70BD}" type="pres">
      <dgm:prSet presAssocID="{0FB8794A-0F84-8F48-8AAC-53BEE8C37921}" presName="background4" presStyleLbl="node4" presStyleIdx="6" presStyleCnt="7"/>
      <dgm:spPr>
        <a:xfrm>
          <a:off x="3427651" y="5638427"/>
          <a:ext cx="1651291" cy="643855"/>
        </a:xfrm>
        <a:prstGeom prst="roundRect">
          <a:avLst>
            <a:gd name="adj" fmla="val 10000"/>
          </a:avLst>
        </a:prstGeom>
        <a:noFill/>
        <a:ln w="25400" cap="flat" cmpd="sng" algn="ctr">
          <a:solidFill>
            <a:sysClr val="window" lastClr="FFFFFF">
              <a:hueOff val="0"/>
              <a:satOff val="0"/>
              <a:lumOff val="0"/>
              <a:alphaOff val="0"/>
            </a:sysClr>
          </a:solidFill>
          <a:prstDash val="solid"/>
        </a:ln>
        <a:effectLst/>
      </dgm:spPr>
      <dgm:t>
        <a:bodyPr/>
        <a:lstStyle/>
        <a:p>
          <a:endParaRPr lang="en-US"/>
        </a:p>
      </dgm:t>
    </dgm:pt>
    <dgm:pt modelId="{DBDCFB71-4063-8D4E-B100-E884FE040536}" type="pres">
      <dgm:prSet presAssocID="{0FB8794A-0F84-8F48-8AAC-53BEE8C37921}" presName="text4" presStyleLbl="fgAcc4" presStyleIdx="6" presStyleCnt="7" custScaleX="162858">
        <dgm:presLayoutVars>
          <dgm:chPref val="3"/>
        </dgm:presLayoutVars>
      </dgm:prSet>
      <dgm:spPr/>
      <dgm:t>
        <a:bodyPr/>
        <a:lstStyle/>
        <a:p>
          <a:endParaRPr lang="en-US"/>
        </a:p>
      </dgm:t>
    </dgm:pt>
    <dgm:pt modelId="{D250BC16-8957-014B-B258-96A1DDD88F1B}" type="pres">
      <dgm:prSet presAssocID="{0FB8794A-0F84-8F48-8AAC-53BEE8C37921}" presName="hierChild5" presStyleCnt="0"/>
      <dgm:spPr/>
    </dgm:pt>
  </dgm:ptLst>
  <dgm:cxnLst>
    <dgm:cxn modelId="{B6E837ED-5089-7442-AF33-F838E8C0A23F}" srcId="{F9A789EA-7386-A844-AE8C-66E0748C3EC4}" destId="{3FD78C25-A9D2-5B4A-B3B4-809741DEDAF4}" srcOrd="0" destOrd="0" parTransId="{5113BD53-5A8D-A140-B835-07D2C5BCC91D}" sibTransId="{B6729BA4-538C-564E-A620-FB3B2BCE0710}"/>
    <dgm:cxn modelId="{846D0C65-CDE6-4991-96FC-CDF0F68C5F32}" type="presOf" srcId="{F9A789EA-7386-A844-AE8C-66E0748C3EC4}" destId="{520A290F-77B3-6245-AD17-5CA26C37326B}" srcOrd="0" destOrd="0" presId="urn:microsoft.com/office/officeart/2005/8/layout/hierarchy1"/>
    <dgm:cxn modelId="{92C10464-736E-4B30-B13D-6020C1B917D5}" type="presOf" srcId="{EE893BD3-0A85-914E-90AC-E91DD12A16CD}" destId="{BA8A4080-D220-EA48-95E3-906A2F1266EF}" srcOrd="0" destOrd="0" presId="urn:microsoft.com/office/officeart/2005/8/layout/hierarchy1"/>
    <dgm:cxn modelId="{8CF30C80-E52F-4F31-A5FA-D7E48B0070B2}" type="presOf" srcId="{5100A469-C68E-C948-A5A8-146D1E0619E5}" destId="{DA195395-64A2-6242-BD56-37FCF05CCB5E}" srcOrd="0" destOrd="0" presId="urn:microsoft.com/office/officeart/2005/8/layout/hierarchy1"/>
    <dgm:cxn modelId="{6A818393-3426-4D94-A4B1-2C63C4C9157B}" type="presOf" srcId="{10865A91-33E5-294E-80D3-2E1D316BB95E}" destId="{AF65E539-9E19-7643-BDDA-39DC4744BF7A}" srcOrd="0" destOrd="0" presId="urn:microsoft.com/office/officeart/2005/8/layout/hierarchy1"/>
    <dgm:cxn modelId="{6856BC6F-2232-4E73-9EA7-823A8C87941B}" type="presOf" srcId="{D744F3D5-80C4-B749-B130-3F28515E3112}" destId="{6A1A0E53-1870-5245-9C8C-32A84BAE32D2}" srcOrd="0" destOrd="0" presId="urn:microsoft.com/office/officeart/2005/8/layout/hierarchy1"/>
    <dgm:cxn modelId="{67326802-E95F-4A99-9BB3-8CF3799CEE12}" type="presOf" srcId="{AB2430CA-4C84-A644-9D4A-9392D273C6BE}" destId="{7CC37C10-7BD4-0547-8ED9-6694DFEADF3C}" srcOrd="0" destOrd="0" presId="urn:microsoft.com/office/officeart/2005/8/layout/hierarchy1"/>
    <dgm:cxn modelId="{2F445C98-64D8-4B8F-8705-E8C924E5CA6B}" type="presOf" srcId="{2582A3ED-4901-D647-8E77-0B41D464378A}" destId="{BCFCB674-CBBB-8646-88BF-D0D94F2B3900}" srcOrd="0" destOrd="0" presId="urn:microsoft.com/office/officeart/2005/8/layout/hierarchy1"/>
    <dgm:cxn modelId="{EFBBC37C-25B9-4C85-89A4-ED34A2DA3D98}" type="presOf" srcId="{0FB8794A-0F84-8F48-8AAC-53BEE8C37921}" destId="{DBDCFB71-4063-8D4E-B100-E884FE040536}" srcOrd="0" destOrd="0" presId="urn:microsoft.com/office/officeart/2005/8/layout/hierarchy1"/>
    <dgm:cxn modelId="{AC3638D7-5A91-4BCD-87A2-5BD25BEFF92C}" type="presOf" srcId="{12DAB821-BA03-2341-A7DC-35E1866A2B30}" destId="{9E420810-3C7F-B14D-BB9D-8BB0447E27CD}" srcOrd="0" destOrd="0" presId="urn:microsoft.com/office/officeart/2005/8/layout/hierarchy1"/>
    <dgm:cxn modelId="{D985753A-94EA-4AA5-9614-9F445318E074}" type="presOf" srcId="{2E445C09-2420-904D-8B80-D74A9E8C93DB}" destId="{C4428AB9-9E68-EB47-9108-02F0473F2A64}" srcOrd="0" destOrd="0" presId="urn:microsoft.com/office/officeart/2005/8/layout/hierarchy1"/>
    <dgm:cxn modelId="{83EF8BC2-0E51-BA44-A42A-85A21FF3B6F0}" srcId="{2E445C09-2420-904D-8B80-D74A9E8C93DB}" destId="{E1718FB7-6804-0C42-B97A-6AD81E026FDB}" srcOrd="0" destOrd="0" parTransId="{631291B2-C239-694C-97FD-0A94D95055A1}" sibTransId="{7E53568F-51FF-DD44-89AE-B9321B497F28}"/>
    <dgm:cxn modelId="{A3F09F85-3285-C549-889F-55155726E0CC}" srcId="{12DAB821-BA03-2341-A7DC-35E1866A2B30}" destId="{654F506B-4D05-9946-9172-4035F422A4A5}" srcOrd="0" destOrd="0" parTransId="{BF998618-8187-1846-B689-A32C7AEA333E}" sibTransId="{A3B840CA-D3F3-CE42-928F-6E3DA7B2330D}"/>
    <dgm:cxn modelId="{37A99044-3EF6-2342-B02D-3D4AE2DCF5C3}" srcId="{5D6B157E-C4EF-1D40-8647-EC7315FAF797}" destId="{10865A91-33E5-294E-80D3-2E1D316BB95E}" srcOrd="0" destOrd="0" parTransId="{DDA5F55D-D1C1-4E4E-A001-98A69CDB1166}" sibTransId="{57EC9F8D-28C5-AB48-99CE-741AE1500022}"/>
    <dgm:cxn modelId="{92C38BA1-C0CC-454A-9CE5-AD740047B39E}" srcId="{654F506B-4D05-9946-9172-4035F422A4A5}" destId="{5100A469-C68E-C948-A5A8-146D1E0619E5}" srcOrd="0" destOrd="0" parTransId="{AFAE1F34-717A-8841-9406-CA570EC6D4DD}" sibTransId="{09EC6C04-1BFA-E64F-AE02-072F5E14EB7E}"/>
    <dgm:cxn modelId="{C70C0C11-A9AC-F947-A505-12B0586F2D17}" srcId="{10865A91-33E5-294E-80D3-2E1D316BB95E}" destId="{0FB8794A-0F84-8F48-8AAC-53BEE8C37921}" srcOrd="0" destOrd="0" parTransId="{7F9EA75F-D250-EA4A-B515-C6E17B9EA866}" sibTransId="{8B2BD2F6-62E8-304C-88F5-DF0E66B812AB}"/>
    <dgm:cxn modelId="{8176E487-72B7-44AB-9F8C-00C15A188275}" type="presOf" srcId="{3FD78C25-A9D2-5B4A-B3B4-809741DEDAF4}" destId="{7C43C5B1-D2B1-8440-86D1-0CDCAA348B1B}" srcOrd="0" destOrd="0" presId="urn:microsoft.com/office/officeart/2005/8/layout/hierarchy1"/>
    <dgm:cxn modelId="{D28E4ECE-ACF9-46DD-89AD-CF6C6268E7F9}" type="presOf" srcId="{E11D75EA-C11B-5349-BA59-680E2780D8E6}" destId="{005A3CC8-612E-BD4D-93F7-81F8E0B1D183}" srcOrd="0" destOrd="0" presId="urn:microsoft.com/office/officeart/2005/8/layout/hierarchy1"/>
    <dgm:cxn modelId="{F5E139B6-BBFC-4777-9428-0596287445F3}" type="presOf" srcId="{BF998618-8187-1846-B689-A32C7AEA333E}" destId="{C64C332D-A58C-9440-8D35-C33F42CB1F53}" srcOrd="0" destOrd="0" presId="urn:microsoft.com/office/officeart/2005/8/layout/hierarchy1"/>
    <dgm:cxn modelId="{6E8598A9-5B74-4139-B704-6DF2C836787C}" type="presOf" srcId="{881F0A81-7AC2-2A49-9CCC-83FD4ABCA78F}" destId="{03F0DCFE-4A6F-BC40-A452-7181F9AB1820}" srcOrd="0" destOrd="0" presId="urn:microsoft.com/office/officeart/2005/8/layout/hierarchy1"/>
    <dgm:cxn modelId="{09C76777-DA62-9F4B-972B-343006EFE84A}" srcId="{AB2430CA-4C84-A644-9D4A-9392D273C6BE}" destId="{2E445C09-2420-904D-8B80-D74A9E8C93DB}" srcOrd="0" destOrd="0" parTransId="{6965C79B-F535-704B-8AF1-C641DD912820}" sibTransId="{4E6BDADB-E123-D846-A119-5C9355EC3241}"/>
    <dgm:cxn modelId="{D3F1281B-AF3E-BE4B-99B5-5B3B635ED14E}" srcId="{E1718FB7-6804-0C42-B97A-6AD81E026FDB}" destId="{12DAB821-BA03-2341-A7DC-35E1866A2B30}" srcOrd="0" destOrd="0" parTransId="{D744F3D5-80C4-B749-B130-3F28515E3112}" sibTransId="{3776FF1A-1D70-6C4B-BCF0-48C82DAB5934}"/>
    <dgm:cxn modelId="{D78F2B85-9FFA-4860-86C4-1FC0B9FA316E}" type="presOf" srcId="{5D6B157E-C4EF-1D40-8647-EC7315FAF797}" destId="{3279BBFD-6DFC-C44E-B0DA-86A5CD291F1B}" srcOrd="0" destOrd="0" presId="urn:microsoft.com/office/officeart/2005/8/layout/hierarchy1"/>
    <dgm:cxn modelId="{AE2D5AE8-543F-48EE-81FF-273DB06CA0B1}" type="presOf" srcId="{D7744BB5-FC8E-CB45-909E-87C939151841}" destId="{3BA3375D-4B1D-6945-B7B3-5C5F93577C6B}" srcOrd="0" destOrd="0" presId="urn:microsoft.com/office/officeart/2005/8/layout/hierarchy1"/>
    <dgm:cxn modelId="{07B438F8-7BB5-422F-BB13-93111CD04F24}" type="presOf" srcId="{F2E11242-F67F-1C47-97CB-305A8C1E7181}" destId="{BE30D8CD-4135-BF47-8DA0-98334A86CEF5}" srcOrd="0" destOrd="0" presId="urn:microsoft.com/office/officeart/2005/8/layout/hierarchy1"/>
    <dgm:cxn modelId="{3F141490-4462-45FE-9EBC-A8A43845B5CC}" type="presOf" srcId="{DDA5F55D-D1C1-4E4E-A001-98A69CDB1166}" destId="{84EE6116-593E-5F41-B6B4-897E4EF389BB}" srcOrd="0" destOrd="0" presId="urn:microsoft.com/office/officeart/2005/8/layout/hierarchy1"/>
    <dgm:cxn modelId="{968F6211-1660-4C11-AE35-21ED00B847E7}" type="presOf" srcId="{AFAE1F34-717A-8841-9406-CA570EC6D4DD}" destId="{6BE64590-BFDD-114A-818B-B3985987C9D6}" srcOrd="0" destOrd="0" presId="urn:microsoft.com/office/officeart/2005/8/layout/hierarchy1"/>
    <dgm:cxn modelId="{4AAC8C22-01E0-48DD-A662-0957753E8623}" type="presOf" srcId="{5113BD53-5A8D-A140-B835-07D2C5BCC91D}" destId="{2969516A-18EA-754D-8A88-A3ED4CF41BF2}" srcOrd="0" destOrd="0" presId="urn:microsoft.com/office/officeart/2005/8/layout/hierarchy1"/>
    <dgm:cxn modelId="{5F644CDF-1297-4273-92AA-3852CBBC286A}" type="presOf" srcId="{631291B2-C239-694C-97FD-0A94D95055A1}" destId="{C120071F-5F94-3B48-A361-5660F3DDA044}" srcOrd="0" destOrd="0" presId="urn:microsoft.com/office/officeart/2005/8/layout/hierarchy1"/>
    <dgm:cxn modelId="{0B901043-FE54-4245-A4DE-37E29A8983E8}" srcId="{5100A469-C68E-C948-A5A8-146D1E0619E5}" destId="{F2E11242-F67F-1C47-97CB-305A8C1E7181}" srcOrd="0" destOrd="0" parTransId="{D7744BB5-FC8E-CB45-909E-87C939151841}" sibTransId="{D84BF940-5C70-9148-B957-AD70CA3872ED}"/>
    <dgm:cxn modelId="{EF7DCBFB-BD45-4F32-9D67-75D37DB7FF84}" type="presOf" srcId="{7F9EA75F-D250-EA4A-B515-C6E17B9EA866}" destId="{36D65074-6C99-564F-9B53-E810AEDC08D4}" srcOrd="0" destOrd="0" presId="urn:microsoft.com/office/officeart/2005/8/layout/hierarchy1"/>
    <dgm:cxn modelId="{DA9B287C-8CBC-404B-BB02-6B759C08E8E2}" srcId="{2E445C09-2420-904D-8B80-D74A9E8C93DB}" destId="{F9A789EA-7386-A844-AE8C-66E0748C3EC4}" srcOrd="1" destOrd="0" parTransId="{EE893BD3-0A85-914E-90AC-E91DD12A16CD}" sibTransId="{D49E4114-758D-D149-8AD7-3A24BAA25A5E}"/>
    <dgm:cxn modelId="{AC5B5F43-109F-4D6F-A97B-6714ADE8106E}" type="presOf" srcId="{654F506B-4D05-9946-9172-4035F422A4A5}" destId="{FD35DDF3-2954-5A40-AC94-0142FF6B26DA}" srcOrd="0" destOrd="0" presId="urn:microsoft.com/office/officeart/2005/8/layout/hierarchy1"/>
    <dgm:cxn modelId="{7505D341-66FF-2048-8BA4-4CC9C7844766}" srcId="{F2E11242-F67F-1C47-97CB-305A8C1E7181}" destId="{881F0A81-7AC2-2A49-9CCC-83FD4ABCA78F}" srcOrd="0" destOrd="0" parTransId="{2582A3ED-4901-D647-8E77-0B41D464378A}" sibTransId="{BB5DC66A-2CD9-D944-B77E-431BD2BE2A4D}"/>
    <dgm:cxn modelId="{18723522-49BD-4205-BFBE-9D24F37A4872}" type="presOf" srcId="{E1718FB7-6804-0C42-B97A-6AD81E026FDB}" destId="{E833E200-3643-2748-8EC0-42E5DF2159CC}" srcOrd="0" destOrd="0" presId="urn:microsoft.com/office/officeart/2005/8/layout/hierarchy1"/>
    <dgm:cxn modelId="{DC92BD65-D84E-A74C-9114-C4C09CFF31A3}" srcId="{3FD78C25-A9D2-5B4A-B3B4-809741DEDAF4}" destId="{5D6B157E-C4EF-1D40-8647-EC7315FAF797}" srcOrd="0" destOrd="0" parTransId="{E11D75EA-C11B-5349-BA59-680E2780D8E6}" sibTransId="{C9BDA612-A5FE-F84E-9A0E-8F896242E5F0}"/>
    <dgm:cxn modelId="{D7174671-8366-45E4-99D1-B8C37BBF6031}" type="presParOf" srcId="{7CC37C10-7BD4-0547-8ED9-6694DFEADF3C}" destId="{EB49E580-DDD4-D54D-9CF5-F6EAF0A3EFE1}" srcOrd="0" destOrd="0" presId="urn:microsoft.com/office/officeart/2005/8/layout/hierarchy1"/>
    <dgm:cxn modelId="{6B72A9BD-D0FC-43AD-AE75-6E32E6D09E8E}" type="presParOf" srcId="{EB49E580-DDD4-D54D-9CF5-F6EAF0A3EFE1}" destId="{1066AF8F-6E63-E149-BA64-8615E4315FCA}" srcOrd="0" destOrd="0" presId="urn:microsoft.com/office/officeart/2005/8/layout/hierarchy1"/>
    <dgm:cxn modelId="{81B44B60-414A-4CBB-8D66-8A5BB56386E9}" type="presParOf" srcId="{1066AF8F-6E63-E149-BA64-8615E4315FCA}" destId="{09BA9CC2-3A60-874C-9FF4-FA9C27C8E0F8}" srcOrd="0" destOrd="0" presId="urn:microsoft.com/office/officeart/2005/8/layout/hierarchy1"/>
    <dgm:cxn modelId="{081B1AF2-6714-43A1-8405-742524180FCA}" type="presParOf" srcId="{1066AF8F-6E63-E149-BA64-8615E4315FCA}" destId="{C4428AB9-9E68-EB47-9108-02F0473F2A64}" srcOrd="1" destOrd="0" presId="urn:microsoft.com/office/officeart/2005/8/layout/hierarchy1"/>
    <dgm:cxn modelId="{EA0E6160-A66B-490D-B12D-640F722455A1}" type="presParOf" srcId="{EB49E580-DDD4-D54D-9CF5-F6EAF0A3EFE1}" destId="{5A98D57B-F1DA-5543-9320-252D4A6559E9}" srcOrd="1" destOrd="0" presId="urn:microsoft.com/office/officeart/2005/8/layout/hierarchy1"/>
    <dgm:cxn modelId="{D80B1C8E-4A1F-4149-8F6C-3A60F1B0A78C}" type="presParOf" srcId="{5A98D57B-F1DA-5543-9320-252D4A6559E9}" destId="{C120071F-5F94-3B48-A361-5660F3DDA044}" srcOrd="0" destOrd="0" presId="urn:microsoft.com/office/officeart/2005/8/layout/hierarchy1"/>
    <dgm:cxn modelId="{BFF321D2-151B-4450-91C3-FBCE320874A2}" type="presParOf" srcId="{5A98D57B-F1DA-5543-9320-252D4A6559E9}" destId="{B21D18FB-4393-FC41-A46B-F4453474A4FB}" srcOrd="1" destOrd="0" presId="urn:microsoft.com/office/officeart/2005/8/layout/hierarchy1"/>
    <dgm:cxn modelId="{6B3716ED-0D53-425A-A9C9-F503E09FE9F1}" type="presParOf" srcId="{B21D18FB-4393-FC41-A46B-F4453474A4FB}" destId="{43131717-979F-034B-AE37-6A491D0D8B8C}" srcOrd="0" destOrd="0" presId="urn:microsoft.com/office/officeart/2005/8/layout/hierarchy1"/>
    <dgm:cxn modelId="{226F250F-FB34-4607-9CA6-72C85FB39523}" type="presParOf" srcId="{43131717-979F-034B-AE37-6A491D0D8B8C}" destId="{7331BCBC-2298-2C45-A14E-F96D4CE0AEE1}" srcOrd="0" destOrd="0" presId="urn:microsoft.com/office/officeart/2005/8/layout/hierarchy1"/>
    <dgm:cxn modelId="{DA9F56BA-95AD-40CD-96EA-5F79346E483E}" type="presParOf" srcId="{43131717-979F-034B-AE37-6A491D0D8B8C}" destId="{E833E200-3643-2748-8EC0-42E5DF2159CC}" srcOrd="1" destOrd="0" presId="urn:microsoft.com/office/officeart/2005/8/layout/hierarchy1"/>
    <dgm:cxn modelId="{23F6EF87-D31A-4F85-8815-9D0710C344DD}" type="presParOf" srcId="{B21D18FB-4393-FC41-A46B-F4453474A4FB}" destId="{31755FA1-0BF0-B446-AD07-C675427307FE}" srcOrd="1" destOrd="0" presId="urn:microsoft.com/office/officeart/2005/8/layout/hierarchy1"/>
    <dgm:cxn modelId="{683F27C1-B2DA-4111-AFE5-D8227803D7B3}" type="presParOf" srcId="{31755FA1-0BF0-B446-AD07-C675427307FE}" destId="{6A1A0E53-1870-5245-9C8C-32A84BAE32D2}" srcOrd="0" destOrd="0" presId="urn:microsoft.com/office/officeart/2005/8/layout/hierarchy1"/>
    <dgm:cxn modelId="{EF9F6BAB-4C3C-4303-86AF-4B8502F8D31C}" type="presParOf" srcId="{31755FA1-0BF0-B446-AD07-C675427307FE}" destId="{4B9EC989-A784-1B4A-9D3A-C07E3A57334F}" srcOrd="1" destOrd="0" presId="urn:microsoft.com/office/officeart/2005/8/layout/hierarchy1"/>
    <dgm:cxn modelId="{9CB6AD0E-54B6-4E4D-A399-10126D641B01}" type="presParOf" srcId="{4B9EC989-A784-1B4A-9D3A-C07E3A57334F}" destId="{14592C33-2DA0-7F4A-B9F3-1837F1752612}" srcOrd="0" destOrd="0" presId="urn:microsoft.com/office/officeart/2005/8/layout/hierarchy1"/>
    <dgm:cxn modelId="{EE6E07D2-F331-4BFF-A8D3-B27A0ECB8853}" type="presParOf" srcId="{14592C33-2DA0-7F4A-B9F3-1837F1752612}" destId="{B620D381-F1EB-974B-97A0-1C68B18F1208}" srcOrd="0" destOrd="0" presId="urn:microsoft.com/office/officeart/2005/8/layout/hierarchy1"/>
    <dgm:cxn modelId="{88817988-7174-4454-9E3C-AF47B3EBE1F2}" type="presParOf" srcId="{14592C33-2DA0-7F4A-B9F3-1837F1752612}" destId="{9E420810-3C7F-B14D-BB9D-8BB0447E27CD}" srcOrd="1" destOrd="0" presId="urn:microsoft.com/office/officeart/2005/8/layout/hierarchy1"/>
    <dgm:cxn modelId="{74C9A0D0-06D9-44E2-9681-AE14B58D3D03}" type="presParOf" srcId="{4B9EC989-A784-1B4A-9D3A-C07E3A57334F}" destId="{3CE2887E-BECC-B846-B9D4-21CAA38E71FE}" srcOrd="1" destOrd="0" presId="urn:microsoft.com/office/officeart/2005/8/layout/hierarchy1"/>
    <dgm:cxn modelId="{1EBF072F-62F8-473C-BB02-7CF5BA92A938}" type="presParOf" srcId="{3CE2887E-BECC-B846-B9D4-21CAA38E71FE}" destId="{C64C332D-A58C-9440-8D35-C33F42CB1F53}" srcOrd="0" destOrd="0" presId="urn:microsoft.com/office/officeart/2005/8/layout/hierarchy1"/>
    <dgm:cxn modelId="{E578EAE3-CA6F-46DF-ACD7-E215E08FC0B8}" type="presParOf" srcId="{3CE2887E-BECC-B846-B9D4-21CAA38E71FE}" destId="{5C94FD63-FBFB-0542-AEB1-77C733C75F76}" srcOrd="1" destOrd="0" presId="urn:microsoft.com/office/officeart/2005/8/layout/hierarchy1"/>
    <dgm:cxn modelId="{32B9745B-CA9C-4829-91C8-D49D2F2A3A60}" type="presParOf" srcId="{5C94FD63-FBFB-0542-AEB1-77C733C75F76}" destId="{BCDB08D1-27DE-1B4C-9A81-3C71C56D1EE1}" srcOrd="0" destOrd="0" presId="urn:microsoft.com/office/officeart/2005/8/layout/hierarchy1"/>
    <dgm:cxn modelId="{AF4833E1-04B7-4E52-A41B-2FDF2A3120E0}" type="presParOf" srcId="{BCDB08D1-27DE-1B4C-9A81-3C71C56D1EE1}" destId="{4353F7D0-97DE-D449-85ED-3B06A08ED747}" srcOrd="0" destOrd="0" presId="urn:microsoft.com/office/officeart/2005/8/layout/hierarchy1"/>
    <dgm:cxn modelId="{CE051D53-A8D0-4F87-8234-8F1CDC3E1C4C}" type="presParOf" srcId="{BCDB08D1-27DE-1B4C-9A81-3C71C56D1EE1}" destId="{FD35DDF3-2954-5A40-AC94-0142FF6B26DA}" srcOrd="1" destOrd="0" presId="urn:microsoft.com/office/officeart/2005/8/layout/hierarchy1"/>
    <dgm:cxn modelId="{A3BE14A6-AFC2-4D53-8C9A-1B4E6B5B0F24}" type="presParOf" srcId="{5C94FD63-FBFB-0542-AEB1-77C733C75F76}" destId="{C8893F20-06E8-F34B-AB98-E5F0FC68D804}" srcOrd="1" destOrd="0" presId="urn:microsoft.com/office/officeart/2005/8/layout/hierarchy1"/>
    <dgm:cxn modelId="{911F769B-052F-4CD6-A142-D24B1353C8F9}" type="presParOf" srcId="{C8893F20-06E8-F34B-AB98-E5F0FC68D804}" destId="{6BE64590-BFDD-114A-818B-B3985987C9D6}" srcOrd="0" destOrd="0" presId="urn:microsoft.com/office/officeart/2005/8/layout/hierarchy1"/>
    <dgm:cxn modelId="{88918865-9292-44A4-9F9E-DCB3135AFC96}" type="presParOf" srcId="{C8893F20-06E8-F34B-AB98-E5F0FC68D804}" destId="{FE5F71E3-401F-3F46-9A76-2C14660A3E02}" srcOrd="1" destOrd="0" presId="urn:microsoft.com/office/officeart/2005/8/layout/hierarchy1"/>
    <dgm:cxn modelId="{A51145B5-CBF6-41EC-8D61-550A563102FE}" type="presParOf" srcId="{FE5F71E3-401F-3F46-9A76-2C14660A3E02}" destId="{3367AD15-88BE-AF45-864C-E85E32FFDF76}" srcOrd="0" destOrd="0" presId="urn:microsoft.com/office/officeart/2005/8/layout/hierarchy1"/>
    <dgm:cxn modelId="{455CE032-74C1-4200-9AC5-8ACBB6D9BF4F}" type="presParOf" srcId="{3367AD15-88BE-AF45-864C-E85E32FFDF76}" destId="{52FF3DE4-1803-634B-B9B3-E20F5C1DD9D2}" srcOrd="0" destOrd="0" presId="urn:microsoft.com/office/officeart/2005/8/layout/hierarchy1"/>
    <dgm:cxn modelId="{10664443-0E06-4162-A0D9-FBE49B9D3AF7}" type="presParOf" srcId="{3367AD15-88BE-AF45-864C-E85E32FFDF76}" destId="{DA195395-64A2-6242-BD56-37FCF05CCB5E}" srcOrd="1" destOrd="0" presId="urn:microsoft.com/office/officeart/2005/8/layout/hierarchy1"/>
    <dgm:cxn modelId="{EC410083-C913-42CF-9A46-DB802585D724}" type="presParOf" srcId="{FE5F71E3-401F-3F46-9A76-2C14660A3E02}" destId="{E016172E-82BE-9E46-87AE-0E5F54896897}" srcOrd="1" destOrd="0" presId="urn:microsoft.com/office/officeart/2005/8/layout/hierarchy1"/>
    <dgm:cxn modelId="{68002268-F3BD-4D9D-8412-615EAD4F8F18}" type="presParOf" srcId="{E016172E-82BE-9E46-87AE-0E5F54896897}" destId="{3BA3375D-4B1D-6945-B7B3-5C5F93577C6B}" srcOrd="0" destOrd="0" presId="urn:microsoft.com/office/officeart/2005/8/layout/hierarchy1"/>
    <dgm:cxn modelId="{5F883930-3D09-4093-88EA-D530AC58C93F}" type="presParOf" srcId="{E016172E-82BE-9E46-87AE-0E5F54896897}" destId="{A7970593-9EE4-A544-ABFC-83ECA6C5B80A}" srcOrd="1" destOrd="0" presId="urn:microsoft.com/office/officeart/2005/8/layout/hierarchy1"/>
    <dgm:cxn modelId="{906BFE0F-926E-4C2D-8CF3-9247257BBC1B}" type="presParOf" srcId="{A7970593-9EE4-A544-ABFC-83ECA6C5B80A}" destId="{A04DE2FF-78E8-F142-8677-057976A583F4}" srcOrd="0" destOrd="0" presId="urn:microsoft.com/office/officeart/2005/8/layout/hierarchy1"/>
    <dgm:cxn modelId="{2859BC8C-CE01-4C65-94DE-3698A269CBA8}" type="presParOf" srcId="{A04DE2FF-78E8-F142-8677-057976A583F4}" destId="{A6C03FED-84E5-D048-B70A-326E7667957B}" srcOrd="0" destOrd="0" presId="urn:microsoft.com/office/officeart/2005/8/layout/hierarchy1"/>
    <dgm:cxn modelId="{86FB4C60-BDC0-485A-8643-64E6EC43D859}" type="presParOf" srcId="{A04DE2FF-78E8-F142-8677-057976A583F4}" destId="{BE30D8CD-4135-BF47-8DA0-98334A86CEF5}" srcOrd="1" destOrd="0" presId="urn:microsoft.com/office/officeart/2005/8/layout/hierarchy1"/>
    <dgm:cxn modelId="{E967AB83-EB5D-426E-B1D9-E9A24ABBA4CB}" type="presParOf" srcId="{A7970593-9EE4-A544-ABFC-83ECA6C5B80A}" destId="{9B9B298D-4D68-C34B-ACC6-44E90D504584}" srcOrd="1" destOrd="0" presId="urn:microsoft.com/office/officeart/2005/8/layout/hierarchy1"/>
    <dgm:cxn modelId="{8184CF90-F2CD-4E91-9FBE-3D423B35B27D}" type="presParOf" srcId="{9B9B298D-4D68-C34B-ACC6-44E90D504584}" destId="{BCFCB674-CBBB-8646-88BF-D0D94F2B3900}" srcOrd="0" destOrd="0" presId="urn:microsoft.com/office/officeart/2005/8/layout/hierarchy1"/>
    <dgm:cxn modelId="{3E9BBEF9-28BD-4B9F-BBEA-AEE083306AEF}" type="presParOf" srcId="{9B9B298D-4D68-C34B-ACC6-44E90D504584}" destId="{96B334A7-6E3E-784A-A29D-DAF33AA7B0F6}" srcOrd="1" destOrd="0" presId="urn:microsoft.com/office/officeart/2005/8/layout/hierarchy1"/>
    <dgm:cxn modelId="{753085D4-4ECA-45AC-A2BA-A47F9054DF9B}" type="presParOf" srcId="{96B334A7-6E3E-784A-A29D-DAF33AA7B0F6}" destId="{D5A50210-60BF-354D-9ACF-7D0BC24E562A}" srcOrd="0" destOrd="0" presId="urn:microsoft.com/office/officeart/2005/8/layout/hierarchy1"/>
    <dgm:cxn modelId="{2ACB3E5A-2C03-4494-A1E1-567082683DBF}" type="presParOf" srcId="{D5A50210-60BF-354D-9ACF-7D0BC24E562A}" destId="{C4FDF9FA-C4AD-D145-B151-FA110F19735B}" srcOrd="0" destOrd="0" presId="urn:microsoft.com/office/officeart/2005/8/layout/hierarchy1"/>
    <dgm:cxn modelId="{189652B1-CA0E-454C-90EA-129220D579CF}" type="presParOf" srcId="{D5A50210-60BF-354D-9ACF-7D0BC24E562A}" destId="{03F0DCFE-4A6F-BC40-A452-7181F9AB1820}" srcOrd="1" destOrd="0" presId="urn:microsoft.com/office/officeart/2005/8/layout/hierarchy1"/>
    <dgm:cxn modelId="{199E6023-8BD4-4D30-AE7A-77F721EE6990}" type="presParOf" srcId="{96B334A7-6E3E-784A-A29D-DAF33AA7B0F6}" destId="{32D17428-FD35-9F41-B499-1615B4FCE6B4}" srcOrd="1" destOrd="0" presId="urn:microsoft.com/office/officeart/2005/8/layout/hierarchy1"/>
    <dgm:cxn modelId="{62654A73-DA3E-4B4C-A66C-8B444BD943A9}" type="presParOf" srcId="{5A98D57B-F1DA-5543-9320-252D4A6559E9}" destId="{BA8A4080-D220-EA48-95E3-906A2F1266EF}" srcOrd="2" destOrd="0" presId="urn:microsoft.com/office/officeart/2005/8/layout/hierarchy1"/>
    <dgm:cxn modelId="{88CA5F80-36D9-4FD8-AA93-21707770586D}" type="presParOf" srcId="{5A98D57B-F1DA-5543-9320-252D4A6559E9}" destId="{9C6B9914-2AF5-0143-BA2C-9D9D2CCD5295}" srcOrd="3" destOrd="0" presId="urn:microsoft.com/office/officeart/2005/8/layout/hierarchy1"/>
    <dgm:cxn modelId="{8DF93DF0-092F-40AF-83AB-1863A28C9142}" type="presParOf" srcId="{9C6B9914-2AF5-0143-BA2C-9D9D2CCD5295}" destId="{77FE646A-7AB2-5F4B-B01A-807805419B01}" srcOrd="0" destOrd="0" presId="urn:microsoft.com/office/officeart/2005/8/layout/hierarchy1"/>
    <dgm:cxn modelId="{B795C46A-9841-4FB5-AE09-9A40C0368B75}" type="presParOf" srcId="{77FE646A-7AB2-5F4B-B01A-807805419B01}" destId="{B97633CA-7BAC-574A-A138-7735189C2109}" srcOrd="0" destOrd="0" presId="urn:microsoft.com/office/officeart/2005/8/layout/hierarchy1"/>
    <dgm:cxn modelId="{7FDB36A9-0F2E-44CE-A5CC-C678E53E46C3}" type="presParOf" srcId="{77FE646A-7AB2-5F4B-B01A-807805419B01}" destId="{520A290F-77B3-6245-AD17-5CA26C37326B}" srcOrd="1" destOrd="0" presId="urn:microsoft.com/office/officeart/2005/8/layout/hierarchy1"/>
    <dgm:cxn modelId="{BF80E6D2-DFBE-4EE4-8252-8CAFA1B6A00C}" type="presParOf" srcId="{9C6B9914-2AF5-0143-BA2C-9D9D2CCD5295}" destId="{C422532D-DDFE-0348-907C-A4516E561E5D}" srcOrd="1" destOrd="0" presId="urn:microsoft.com/office/officeart/2005/8/layout/hierarchy1"/>
    <dgm:cxn modelId="{6693219E-B684-4512-903D-1C1EC179930B}" type="presParOf" srcId="{C422532D-DDFE-0348-907C-A4516E561E5D}" destId="{2969516A-18EA-754D-8A88-A3ED4CF41BF2}" srcOrd="0" destOrd="0" presId="urn:microsoft.com/office/officeart/2005/8/layout/hierarchy1"/>
    <dgm:cxn modelId="{D235D08C-96DD-40F9-A41E-A92D95B11BD6}" type="presParOf" srcId="{C422532D-DDFE-0348-907C-A4516E561E5D}" destId="{247AEDBF-1F60-5848-B8AC-70AF8BD2009B}" srcOrd="1" destOrd="0" presId="urn:microsoft.com/office/officeart/2005/8/layout/hierarchy1"/>
    <dgm:cxn modelId="{A9EFA6C0-2F02-4ADC-9FA1-649DBC258E76}" type="presParOf" srcId="{247AEDBF-1F60-5848-B8AC-70AF8BD2009B}" destId="{84F32C24-50D7-2F4E-AD79-153D707DD2E3}" srcOrd="0" destOrd="0" presId="urn:microsoft.com/office/officeart/2005/8/layout/hierarchy1"/>
    <dgm:cxn modelId="{F392E659-2948-45AB-8FAD-A667AE0715B0}" type="presParOf" srcId="{84F32C24-50D7-2F4E-AD79-153D707DD2E3}" destId="{71D5542A-5138-D74D-9CFF-2C435968B515}" srcOrd="0" destOrd="0" presId="urn:microsoft.com/office/officeart/2005/8/layout/hierarchy1"/>
    <dgm:cxn modelId="{75998B8F-2481-4E55-B8BA-A074EB7408AE}" type="presParOf" srcId="{84F32C24-50D7-2F4E-AD79-153D707DD2E3}" destId="{7C43C5B1-D2B1-8440-86D1-0CDCAA348B1B}" srcOrd="1" destOrd="0" presId="urn:microsoft.com/office/officeart/2005/8/layout/hierarchy1"/>
    <dgm:cxn modelId="{F2158054-CCC2-461D-B12D-A8918D91E71F}" type="presParOf" srcId="{247AEDBF-1F60-5848-B8AC-70AF8BD2009B}" destId="{BC4D6647-306E-3E49-956C-42CF6AA78403}" srcOrd="1" destOrd="0" presId="urn:microsoft.com/office/officeart/2005/8/layout/hierarchy1"/>
    <dgm:cxn modelId="{8BFC7249-EBDD-428D-805A-E6F37765F7C6}" type="presParOf" srcId="{BC4D6647-306E-3E49-956C-42CF6AA78403}" destId="{005A3CC8-612E-BD4D-93F7-81F8E0B1D183}" srcOrd="0" destOrd="0" presId="urn:microsoft.com/office/officeart/2005/8/layout/hierarchy1"/>
    <dgm:cxn modelId="{8B5FB22B-BC30-497F-81B9-71E78A9283BD}" type="presParOf" srcId="{BC4D6647-306E-3E49-956C-42CF6AA78403}" destId="{58E10D46-FD28-E84C-BBD6-FFB23A36026E}" srcOrd="1" destOrd="0" presId="urn:microsoft.com/office/officeart/2005/8/layout/hierarchy1"/>
    <dgm:cxn modelId="{7FA12A43-F046-4D30-A001-2BCCAEA53AA7}" type="presParOf" srcId="{58E10D46-FD28-E84C-BBD6-FFB23A36026E}" destId="{B0578924-C12F-884F-A04A-76FE116FE915}" srcOrd="0" destOrd="0" presId="urn:microsoft.com/office/officeart/2005/8/layout/hierarchy1"/>
    <dgm:cxn modelId="{E286B445-978B-4735-A810-7E16ADAF2735}" type="presParOf" srcId="{B0578924-C12F-884F-A04A-76FE116FE915}" destId="{9E9749B7-7372-0E40-B353-9849D45EC214}" srcOrd="0" destOrd="0" presId="urn:microsoft.com/office/officeart/2005/8/layout/hierarchy1"/>
    <dgm:cxn modelId="{94F4657C-6190-49BD-BD5C-E19191FBAA00}" type="presParOf" srcId="{B0578924-C12F-884F-A04A-76FE116FE915}" destId="{3279BBFD-6DFC-C44E-B0DA-86A5CD291F1B}" srcOrd="1" destOrd="0" presId="urn:microsoft.com/office/officeart/2005/8/layout/hierarchy1"/>
    <dgm:cxn modelId="{8F36DC1B-294D-4FD4-9FDF-34117207A490}" type="presParOf" srcId="{58E10D46-FD28-E84C-BBD6-FFB23A36026E}" destId="{75EC18F1-01E9-0E40-BF02-84BD3F1A6D32}" srcOrd="1" destOrd="0" presId="urn:microsoft.com/office/officeart/2005/8/layout/hierarchy1"/>
    <dgm:cxn modelId="{E80B11A3-60B1-46DE-AB7A-DDB0EF999EB7}" type="presParOf" srcId="{75EC18F1-01E9-0E40-BF02-84BD3F1A6D32}" destId="{84EE6116-593E-5F41-B6B4-897E4EF389BB}" srcOrd="0" destOrd="0" presId="urn:microsoft.com/office/officeart/2005/8/layout/hierarchy1"/>
    <dgm:cxn modelId="{8D26A8B6-AC61-4CF6-BE11-ABCAE7EC89FF}" type="presParOf" srcId="{75EC18F1-01E9-0E40-BF02-84BD3F1A6D32}" destId="{D0082F9C-7F49-5240-B31D-712D532C7F62}" srcOrd="1" destOrd="0" presId="urn:microsoft.com/office/officeart/2005/8/layout/hierarchy1"/>
    <dgm:cxn modelId="{80CD1F09-090E-4763-BF44-95998B9E5F86}" type="presParOf" srcId="{D0082F9C-7F49-5240-B31D-712D532C7F62}" destId="{CE644A27-F57D-654C-8DB9-6E341D697F8F}" srcOrd="0" destOrd="0" presId="urn:microsoft.com/office/officeart/2005/8/layout/hierarchy1"/>
    <dgm:cxn modelId="{37A756A8-FC92-4757-A6BF-F4743FED63E6}" type="presParOf" srcId="{CE644A27-F57D-654C-8DB9-6E341D697F8F}" destId="{3E5DCD30-CE00-BC47-887B-8B8B43F1A72F}" srcOrd="0" destOrd="0" presId="urn:microsoft.com/office/officeart/2005/8/layout/hierarchy1"/>
    <dgm:cxn modelId="{1D985725-7926-48CD-92DD-A8BF687EAC12}" type="presParOf" srcId="{CE644A27-F57D-654C-8DB9-6E341D697F8F}" destId="{AF65E539-9E19-7643-BDDA-39DC4744BF7A}" srcOrd="1" destOrd="0" presId="urn:microsoft.com/office/officeart/2005/8/layout/hierarchy1"/>
    <dgm:cxn modelId="{99A087A4-3924-49A3-BFDA-942D9018EB69}" type="presParOf" srcId="{D0082F9C-7F49-5240-B31D-712D532C7F62}" destId="{2CBED5DB-F6AF-7641-88ED-A8BD677852C6}" srcOrd="1" destOrd="0" presId="urn:microsoft.com/office/officeart/2005/8/layout/hierarchy1"/>
    <dgm:cxn modelId="{BBBEE31E-3AF9-445D-ACE4-93F5F88D0F3B}" type="presParOf" srcId="{2CBED5DB-F6AF-7641-88ED-A8BD677852C6}" destId="{36D65074-6C99-564F-9B53-E810AEDC08D4}" srcOrd="0" destOrd="0" presId="urn:microsoft.com/office/officeart/2005/8/layout/hierarchy1"/>
    <dgm:cxn modelId="{0D6E8033-8AAF-415E-ACB6-E1E3D5368BAC}" type="presParOf" srcId="{2CBED5DB-F6AF-7641-88ED-A8BD677852C6}" destId="{6360C548-0C57-6C49-A751-4F726E307009}" srcOrd="1" destOrd="0" presId="urn:microsoft.com/office/officeart/2005/8/layout/hierarchy1"/>
    <dgm:cxn modelId="{B36CA254-6DB6-496A-BE94-29A1CED88F6B}" type="presParOf" srcId="{6360C548-0C57-6C49-A751-4F726E307009}" destId="{9AF929F4-462E-2147-B627-9183DD6CC917}" srcOrd="0" destOrd="0" presId="urn:microsoft.com/office/officeart/2005/8/layout/hierarchy1"/>
    <dgm:cxn modelId="{A2A982E1-AD99-4194-A65D-152F2B9F603D}" type="presParOf" srcId="{9AF929F4-462E-2147-B627-9183DD6CC917}" destId="{DE63F242-3D5D-2D4B-95EB-BAAF018A70BD}" srcOrd="0" destOrd="0" presId="urn:microsoft.com/office/officeart/2005/8/layout/hierarchy1"/>
    <dgm:cxn modelId="{85A82AA7-4E39-4C5B-BA9B-34E847135B5B}" type="presParOf" srcId="{9AF929F4-462E-2147-B627-9183DD6CC917}" destId="{DBDCFB71-4063-8D4E-B100-E884FE040536}" srcOrd="1" destOrd="0" presId="urn:microsoft.com/office/officeart/2005/8/layout/hierarchy1"/>
    <dgm:cxn modelId="{46D07EBC-6709-40A5-88EB-CDA01373ACD3}" type="presParOf" srcId="{6360C548-0C57-6C49-A751-4F726E307009}" destId="{D250BC16-8957-014B-B258-96A1DDD88F1B}" srcOrd="1" destOrd="0" presId="urn:microsoft.com/office/officeart/2005/8/layout/hierarchy1"/>
  </dgm:cxnLst>
  <dgm:bg/>
  <dgm:whole/>
  <dgm:extLst>
    <a:ext uri="http://schemas.microsoft.com/office/drawing/2008/diagram">
      <dsp:dataModelExt xmlns:dsp="http://schemas.microsoft.com/office/drawing/2008/diagram" relId="rId17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D019276-0338-8D42-B2C7-060FD6141AF3}">
      <dsp:nvSpPr>
        <dsp:cNvPr id="0" name=""/>
        <dsp:cNvSpPr/>
      </dsp:nvSpPr>
      <dsp:spPr>
        <a:xfrm>
          <a:off x="1941726" y="846702"/>
          <a:ext cx="2556318" cy="217543"/>
        </a:xfrm>
        <a:custGeom>
          <a:avLst/>
          <a:gdLst/>
          <a:ahLst/>
          <a:cxnLst/>
          <a:rect l="0" t="0" r="0" b="0"/>
          <a:pathLst>
            <a:path>
              <a:moveTo>
                <a:pt x="0" y="0"/>
              </a:moveTo>
              <a:lnTo>
                <a:pt x="0" y="153870"/>
              </a:lnTo>
              <a:lnTo>
                <a:pt x="2556318" y="153870"/>
              </a:lnTo>
              <a:lnTo>
                <a:pt x="2556318" y="217543"/>
              </a:lnTo>
            </a:path>
          </a:pathLst>
        </a:custGeom>
        <a:noFill/>
        <a:ln w="9525" cap="flat" cmpd="sng" algn="ctr">
          <a:solidFill>
            <a:srgbClr val="4F81BD">
              <a:shade val="60000"/>
              <a:hueOff val="0"/>
              <a:satOff val="0"/>
              <a:lumOff val="0"/>
              <a:alphaOff val="0"/>
            </a:srgbClr>
          </a:solidFill>
          <a:prstDash val="solid"/>
        </a:ln>
        <a:effectLst/>
        <a:scene3d>
          <a:camera prst="orthographicFront"/>
          <a:lightRig rig="threePt" dir="t"/>
        </a:scene3d>
        <a:sp3d>
          <a:bevelT prst="relaxedInset"/>
        </a:sp3d>
      </dsp:spPr>
      <dsp:style>
        <a:lnRef idx="1">
          <a:scrgbClr r="0" g="0" b="0"/>
        </a:lnRef>
        <a:fillRef idx="0">
          <a:scrgbClr r="0" g="0" b="0"/>
        </a:fillRef>
        <a:effectRef idx="0">
          <a:scrgbClr r="0" g="0" b="0"/>
        </a:effectRef>
        <a:fontRef idx="minor"/>
      </dsp:style>
    </dsp:sp>
    <dsp:sp modelId="{38A52889-BA98-2D4D-A606-A262FE9B7B05}">
      <dsp:nvSpPr>
        <dsp:cNvPr id="0" name=""/>
        <dsp:cNvSpPr/>
      </dsp:nvSpPr>
      <dsp:spPr>
        <a:xfrm>
          <a:off x="1941726" y="846702"/>
          <a:ext cx="930899" cy="188454"/>
        </a:xfrm>
        <a:custGeom>
          <a:avLst/>
          <a:gdLst/>
          <a:ahLst/>
          <a:cxnLst/>
          <a:rect l="0" t="0" r="0" b="0"/>
          <a:pathLst>
            <a:path>
              <a:moveTo>
                <a:pt x="0" y="0"/>
              </a:moveTo>
              <a:lnTo>
                <a:pt x="0" y="124780"/>
              </a:lnTo>
              <a:lnTo>
                <a:pt x="930899" y="124780"/>
              </a:lnTo>
              <a:lnTo>
                <a:pt x="930899" y="188454"/>
              </a:lnTo>
            </a:path>
          </a:pathLst>
        </a:custGeom>
        <a:noFill/>
        <a:ln w="9525" cap="flat" cmpd="sng" algn="ctr">
          <a:solidFill>
            <a:srgbClr val="4F81BD">
              <a:shade val="60000"/>
              <a:hueOff val="0"/>
              <a:satOff val="0"/>
              <a:lumOff val="0"/>
              <a:alphaOff val="0"/>
            </a:srgbClr>
          </a:solidFill>
          <a:prstDash val="solid"/>
        </a:ln>
        <a:effectLst/>
        <a:scene3d>
          <a:camera prst="orthographicFront"/>
          <a:lightRig rig="threePt" dir="t"/>
        </a:scene3d>
        <a:sp3d>
          <a:bevelT prst="relaxedInset"/>
        </a:sp3d>
      </dsp:spPr>
      <dsp:style>
        <a:lnRef idx="1">
          <a:scrgbClr r="0" g="0" b="0"/>
        </a:lnRef>
        <a:fillRef idx="0">
          <a:scrgbClr r="0" g="0" b="0"/>
        </a:fillRef>
        <a:effectRef idx="0">
          <a:scrgbClr r="0" g="0" b="0"/>
        </a:effectRef>
        <a:fontRef idx="minor"/>
      </dsp:style>
    </dsp:sp>
    <dsp:sp modelId="{37DDE2C3-32A1-4645-8229-9AACEEEBAEB9}">
      <dsp:nvSpPr>
        <dsp:cNvPr id="0" name=""/>
        <dsp:cNvSpPr/>
      </dsp:nvSpPr>
      <dsp:spPr>
        <a:xfrm>
          <a:off x="1512574" y="1562527"/>
          <a:ext cx="1168283" cy="268765"/>
        </a:xfrm>
        <a:custGeom>
          <a:avLst/>
          <a:gdLst/>
          <a:ahLst/>
          <a:cxnLst/>
          <a:rect l="0" t="0" r="0" b="0"/>
          <a:pathLst>
            <a:path>
              <a:moveTo>
                <a:pt x="0" y="0"/>
              </a:moveTo>
              <a:lnTo>
                <a:pt x="0" y="205092"/>
              </a:lnTo>
              <a:lnTo>
                <a:pt x="1168283" y="205092"/>
              </a:lnTo>
              <a:lnTo>
                <a:pt x="1168283" y="268765"/>
              </a:lnTo>
            </a:path>
          </a:pathLst>
        </a:custGeom>
        <a:noFill/>
        <a:ln w="9525" cap="flat" cmpd="sng" algn="ctr">
          <a:solidFill>
            <a:srgbClr val="4F81BD">
              <a:shade val="80000"/>
              <a:hueOff val="0"/>
              <a:satOff val="0"/>
              <a:lumOff val="0"/>
              <a:alphaOff val="0"/>
            </a:srgbClr>
          </a:solidFill>
          <a:prstDash val="solid"/>
        </a:ln>
        <a:effectLst/>
      </dsp:spPr>
      <dsp:style>
        <a:lnRef idx="1">
          <a:scrgbClr r="0" g="0" b="0"/>
        </a:lnRef>
        <a:fillRef idx="0">
          <a:scrgbClr r="0" g="0" b="0"/>
        </a:fillRef>
        <a:effectRef idx="0">
          <a:scrgbClr r="0" g="0" b="0"/>
        </a:effectRef>
        <a:fontRef idx="minor"/>
      </dsp:style>
    </dsp:sp>
    <dsp:sp modelId="{A31F8FA6-2DFA-B448-92C0-2957ABC74ECD}">
      <dsp:nvSpPr>
        <dsp:cNvPr id="0" name=""/>
        <dsp:cNvSpPr/>
      </dsp:nvSpPr>
      <dsp:spPr>
        <a:xfrm>
          <a:off x="1512574" y="1562527"/>
          <a:ext cx="2488542" cy="272951"/>
        </a:xfrm>
        <a:custGeom>
          <a:avLst/>
          <a:gdLst/>
          <a:ahLst/>
          <a:cxnLst/>
          <a:rect l="0" t="0" r="0" b="0"/>
          <a:pathLst>
            <a:path>
              <a:moveTo>
                <a:pt x="0" y="0"/>
              </a:moveTo>
              <a:lnTo>
                <a:pt x="0" y="209278"/>
              </a:lnTo>
              <a:lnTo>
                <a:pt x="2488542" y="209278"/>
              </a:lnTo>
              <a:lnTo>
                <a:pt x="2488542" y="272951"/>
              </a:lnTo>
            </a:path>
          </a:pathLst>
        </a:custGeom>
        <a:noFill/>
        <a:ln w="9525" cap="flat" cmpd="sng" algn="ctr">
          <a:solidFill>
            <a:srgbClr val="4F81BD">
              <a:shade val="80000"/>
              <a:hueOff val="0"/>
              <a:satOff val="0"/>
              <a:lumOff val="0"/>
              <a:alphaOff val="0"/>
            </a:srgbClr>
          </a:solidFill>
          <a:prstDash val="solid"/>
        </a:ln>
        <a:effectLst/>
        <a:scene3d>
          <a:camera prst="orthographicFront"/>
          <a:lightRig rig="threePt" dir="t"/>
        </a:scene3d>
        <a:sp3d>
          <a:bevelT prst="relaxedInset"/>
        </a:sp3d>
      </dsp:spPr>
      <dsp:style>
        <a:lnRef idx="1">
          <a:scrgbClr r="0" g="0" b="0"/>
        </a:lnRef>
        <a:fillRef idx="0">
          <a:scrgbClr r="0" g="0" b="0"/>
        </a:fillRef>
        <a:effectRef idx="0">
          <a:scrgbClr r="0" g="0" b="0"/>
        </a:effectRef>
        <a:fontRef idx="minor"/>
      </dsp:style>
    </dsp:sp>
    <dsp:sp modelId="{DD1E2FA7-B3BE-B04F-968B-F05E0AE9D821}">
      <dsp:nvSpPr>
        <dsp:cNvPr id="0" name=""/>
        <dsp:cNvSpPr/>
      </dsp:nvSpPr>
      <dsp:spPr>
        <a:xfrm>
          <a:off x="1211571" y="1562527"/>
          <a:ext cx="301002" cy="195585"/>
        </a:xfrm>
        <a:custGeom>
          <a:avLst/>
          <a:gdLst/>
          <a:ahLst/>
          <a:cxnLst/>
          <a:rect l="0" t="0" r="0" b="0"/>
          <a:pathLst>
            <a:path>
              <a:moveTo>
                <a:pt x="301002" y="0"/>
              </a:moveTo>
              <a:lnTo>
                <a:pt x="301002" y="131912"/>
              </a:lnTo>
              <a:lnTo>
                <a:pt x="0" y="131912"/>
              </a:lnTo>
              <a:lnTo>
                <a:pt x="0" y="195585"/>
              </a:lnTo>
            </a:path>
          </a:pathLst>
        </a:custGeom>
        <a:noFill/>
        <a:ln w="9525" cap="flat" cmpd="sng" algn="ctr">
          <a:solidFill>
            <a:srgbClr val="4F81BD">
              <a:shade val="80000"/>
              <a:hueOff val="0"/>
              <a:satOff val="0"/>
              <a:lumOff val="0"/>
              <a:alphaOff val="0"/>
            </a:srgbClr>
          </a:solidFill>
          <a:prstDash val="solid"/>
        </a:ln>
        <a:effectLst/>
        <a:scene3d>
          <a:camera prst="orthographicFront"/>
          <a:lightRig rig="threePt" dir="t"/>
        </a:scene3d>
        <a:sp3d>
          <a:bevelT prst="relaxedInset"/>
        </a:sp3d>
      </dsp:spPr>
      <dsp:style>
        <a:lnRef idx="1">
          <a:scrgbClr r="0" g="0" b="0"/>
        </a:lnRef>
        <a:fillRef idx="0">
          <a:scrgbClr r="0" g="0" b="0"/>
        </a:fillRef>
        <a:effectRef idx="0">
          <a:scrgbClr r="0" g="0" b="0"/>
        </a:effectRef>
        <a:fontRef idx="minor"/>
      </dsp:style>
    </dsp:sp>
    <dsp:sp modelId="{DE44A312-AF4A-A74C-8B6B-29CFDBE1CB9D}">
      <dsp:nvSpPr>
        <dsp:cNvPr id="0" name=""/>
        <dsp:cNvSpPr/>
      </dsp:nvSpPr>
      <dsp:spPr>
        <a:xfrm>
          <a:off x="1512574" y="846702"/>
          <a:ext cx="429151" cy="184185"/>
        </a:xfrm>
        <a:custGeom>
          <a:avLst/>
          <a:gdLst/>
          <a:ahLst/>
          <a:cxnLst/>
          <a:rect l="0" t="0" r="0" b="0"/>
          <a:pathLst>
            <a:path>
              <a:moveTo>
                <a:pt x="429151" y="0"/>
              </a:moveTo>
              <a:lnTo>
                <a:pt x="429151" y="120512"/>
              </a:lnTo>
              <a:lnTo>
                <a:pt x="0" y="120512"/>
              </a:lnTo>
              <a:lnTo>
                <a:pt x="0" y="184185"/>
              </a:lnTo>
            </a:path>
          </a:pathLst>
        </a:custGeom>
        <a:noFill/>
        <a:ln w="9525" cap="flat" cmpd="sng" algn="ctr">
          <a:solidFill>
            <a:srgbClr val="4F81BD">
              <a:shade val="60000"/>
              <a:hueOff val="0"/>
              <a:satOff val="0"/>
              <a:lumOff val="0"/>
              <a:alphaOff val="0"/>
            </a:srgbClr>
          </a:solidFill>
          <a:prstDash val="solid"/>
        </a:ln>
        <a:effectLst/>
        <a:scene3d>
          <a:camera prst="orthographicFront"/>
          <a:lightRig rig="threePt" dir="t"/>
        </a:scene3d>
        <a:sp3d>
          <a:bevelT prst="relaxedInset"/>
        </a:sp3d>
      </dsp:spPr>
      <dsp:style>
        <a:lnRef idx="1">
          <a:scrgbClr r="0" g="0" b="0"/>
        </a:lnRef>
        <a:fillRef idx="0">
          <a:scrgbClr r="0" g="0" b="0"/>
        </a:fillRef>
        <a:effectRef idx="0">
          <a:scrgbClr r="0" g="0" b="0"/>
        </a:effectRef>
        <a:fontRef idx="minor"/>
      </dsp:style>
    </dsp:sp>
    <dsp:sp modelId="{25D76EEB-4CB1-DD4B-A302-7E53480B0997}">
      <dsp:nvSpPr>
        <dsp:cNvPr id="0" name=""/>
        <dsp:cNvSpPr/>
      </dsp:nvSpPr>
      <dsp:spPr>
        <a:xfrm>
          <a:off x="1473223" y="410249"/>
          <a:ext cx="937006" cy="436453"/>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scene3d>
        <a:sp3d>
          <a:bevelT prst="relaxedInset"/>
        </a:sp3d>
      </dsp:spPr>
      <dsp:style>
        <a:lnRef idx="0">
          <a:scrgbClr r="0" g="0" b="0"/>
        </a:lnRef>
        <a:fillRef idx="3">
          <a:scrgbClr r="0" g="0" b="0"/>
        </a:fillRef>
        <a:effectRef idx="2">
          <a:scrgbClr r="0" g="0" b="0"/>
        </a:effectRef>
        <a:fontRef idx="minor">
          <a:schemeClr val="lt1"/>
        </a:fontRef>
      </dsp:style>
    </dsp:sp>
    <dsp:sp modelId="{9D2F72DE-4616-5A41-A07B-92F051C9D848}">
      <dsp:nvSpPr>
        <dsp:cNvPr id="0" name=""/>
        <dsp:cNvSpPr/>
      </dsp:nvSpPr>
      <dsp:spPr>
        <a:xfrm>
          <a:off x="1549592" y="482800"/>
          <a:ext cx="937006" cy="43645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threePt" dir="t"/>
        </a:scene3d>
        <a:sp3d>
          <a:bevelT prst="relaxedInset"/>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bg-BG" sz="1200" b="1" kern="1200">
              <a:solidFill>
                <a:sysClr val="windowText" lastClr="000000">
                  <a:hueOff val="0"/>
                  <a:satOff val="0"/>
                  <a:lumOff val="0"/>
                  <a:alphaOff val="0"/>
                </a:sysClr>
              </a:solidFill>
              <a:latin typeface="Calibri"/>
              <a:ea typeface="+mn-ea"/>
              <a:cs typeface="+mn-cs"/>
            </a:rPr>
            <a:t>леводопа</a:t>
          </a:r>
          <a:endParaRPr lang="en-US" sz="1200" b="1" kern="1200">
            <a:solidFill>
              <a:sysClr val="windowText" lastClr="000000">
                <a:hueOff val="0"/>
                <a:satOff val="0"/>
                <a:lumOff val="0"/>
                <a:alphaOff val="0"/>
              </a:sysClr>
            </a:solidFill>
            <a:latin typeface="Calibri"/>
            <a:ea typeface="+mn-ea"/>
            <a:cs typeface="+mn-cs"/>
          </a:endParaRPr>
        </a:p>
      </dsp:txBody>
      <dsp:txXfrm>
        <a:off x="1562375" y="495583"/>
        <a:ext cx="911440" cy="410887"/>
      </dsp:txXfrm>
    </dsp:sp>
    <dsp:sp modelId="{72C3F0A7-1881-9742-930A-0A77EC04DDF7}">
      <dsp:nvSpPr>
        <dsp:cNvPr id="0" name=""/>
        <dsp:cNvSpPr/>
      </dsp:nvSpPr>
      <dsp:spPr>
        <a:xfrm>
          <a:off x="1044184" y="1030888"/>
          <a:ext cx="936779" cy="531639"/>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scene3d>
        <a:sp3d>
          <a:bevelT prst="relaxedInset"/>
        </a:sp3d>
      </dsp:spPr>
      <dsp:style>
        <a:lnRef idx="0">
          <a:scrgbClr r="0" g="0" b="0"/>
        </a:lnRef>
        <a:fillRef idx="3">
          <a:scrgbClr r="0" g="0" b="0"/>
        </a:fillRef>
        <a:effectRef idx="2">
          <a:scrgbClr r="0" g="0" b="0"/>
        </a:effectRef>
        <a:fontRef idx="minor">
          <a:schemeClr val="lt1"/>
        </a:fontRef>
      </dsp:style>
    </dsp:sp>
    <dsp:sp modelId="{F209AE56-0B29-D643-9E81-6A0CF84F393B}">
      <dsp:nvSpPr>
        <dsp:cNvPr id="0" name=""/>
        <dsp:cNvSpPr/>
      </dsp:nvSpPr>
      <dsp:spPr>
        <a:xfrm>
          <a:off x="1120554" y="1103439"/>
          <a:ext cx="936779" cy="531639"/>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threePt" dir="t"/>
        </a:scene3d>
        <a:sp3d>
          <a:bevelT prst="relaxedInset"/>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bg-BG" sz="1200" b="1" kern="1200">
              <a:solidFill>
                <a:sysClr val="windowText" lastClr="000000">
                  <a:hueOff val="0"/>
                  <a:satOff val="0"/>
                  <a:lumOff val="0"/>
                  <a:alphaOff val="0"/>
                </a:sysClr>
              </a:solidFill>
              <a:latin typeface="Calibri"/>
              <a:ea typeface="+mn-ea"/>
              <a:cs typeface="+mn-cs"/>
            </a:rPr>
            <a:t>леводопа с </a:t>
          </a:r>
          <a:r>
            <a:rPr lang="en-US" sz="1200" b="1" kern="1200">
              <a:solidFill>
                <a:sysClr val="windowText" lastClr="000000">
                  <a:hueOff val="0"/>
                  <a:satOff val="0"/>
                  <a:lumOff val="0"/>
                  <a:alphaOff val="0"/>
                </a:sysClr>
              </a:solidFill>
              <a:latin typeface="Calibri"/>
              <a:ea typeface="+mn-ea"/>
              <a:cs typeface="+mn-cs"/>
            </a:rPr>
            <a:t>COMT </a:t>
          </a:r>
          <a:r>
            <a:rPr lang="bg-BG" sz="1200" b="1" kern="1200">
              <a:solidFill>
                <a:sysClr val="windowText" lastClr="000000">
                  <a:hueOff val="0"/>
                  <a:satOff val="0"/>
                  <a:lumOff val="0"/>
                  <a:alphaOff val="0"/>
                </a:sysClr>
              </a:solidFill>
              <a:latin typeface="Calibri"/>
              <a:ea typeface="+mn-ea"/>
              <a:cs typeface="+mn-cs"/>
            </a:rPr>
            <a:t>инхибитор</a:t>
          </a:r>
          <a:endParaRPr lang="en-US" sz="1200" b="1" kern="1200">
            <a:solidFill>
              <a:sysClr val="windowText" lastClr="000000">
                <a:hueOff val="0"/>
                <a:satOff val="0"/>
                <a:lumOff val="0"/>
                <a:alphaOff val="0"/>
              </a:sysClr>
            </a:solidFill>
            <a:latin typeface="Calibri"/>
            <a:ea typeface="+mn-ea"/>
            <a:cs typeface="+mn-cs"/>
          </a:endParaRPr>
        </a:p>
      </dsp:txBody>
      <dsp:txXfrm>
        <a:off x="1136125" y="1119010"/>
        <a:ext cx="905637" cy="500497"/>
      </dsp:txXfrm>
    </dsp:sp>
    <dsp:sp modelId="{7ACBA369-0D64-2A4F-9A9B-6AC1AEEEF2C9}">
      <dsp:nvSpPr>
        <dsp:cNvPr id="0" name=""/>
        <dsp:cNvSpPr/>
      </dsp:nvSpPr>
      <dsp:spPr>
        <a:xfrm>
          <a:off x="753694" y="1758113"/>
          <a:ext cx="915754" cy="436453"/>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scene3d>
        <a:sp3d>
          <a:bevelT prst="relaxedInset"/>
        </a:sp3d>
      </dsp:spPr>
      <dsp:style>
        <a:lnRef idx="0">
          <a:scrgbClr r="0" g="0" b="0"/>
        </a:lnRef>
        <a:fillRef idx="3">
          <a:scrgbClr r="0" g="0" b="0"/>
        </a:fillRef>
        <a:effectRef idx="2">
          <a:scrgbClr r="0" g="0" b="0"/>
        </a:effectRef>
        <a:fontRef idx="minor">
          <a:schemeClr val="lt1"/>
        </a:fontRef>
      </dsp:style>
    </dsp:sp>
    <dsp:sp modelId="{0D953DB1-D143-8D46-8D2E-BC888A70D9A0}">
      <dsp:nvSpPr>
        <dsp:cNvPr id="0" name=""/>
        <dsp:cNvSpPr/>
      </dsp:nvSpPr>
      <dsp:spPr>
        <a:xfrm>
          <a:off x="830064" y="1830664"/>
          <a:ext cx="915754" cy="43645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threePt" dir="t"/>
        </a:scene3d>
        <a:sp3d>
          <a:bevelT prst="relaxedInset"/>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bg-BG" sz="1200" b="1" kern="1200">
              <a:solidFill>
                <a:sysClr val="windowText" lastClr="000000">
                  <a:hueOff val="0"/>
                  <a:satOff val="0"/>
                  <a:lumOff val="0"/>
                  <a:alphaOff val="0"/>
                </a:sysClr>
              </a:solidFill>
              <a:latin typeface="Calibri"/>
              <a:ea typeface="+mn-ea"/>
              <a:cs typeface="+mn-cs"/>
            </a:rPr>
            <a:t>дуоденала леводопа</a:t>
          </a:r>
          <a:endParaRPr lang="en-US" sz="1200" b="1" kern="1200">
            <a:solidFill>
              <a:sysClr val="windowText" lastClr="000000">
                <a:hueOff val="0"/>
                <a:satOff val="0"/>
                <a:lumOff val="0"/>
                <a:alphaOff val="0"/>
              </a:sysClr>
            </a:solidFill>
            <a:latin typeface="Calibri"/>
            <a:ea typeface="+mn-ea"/>
            <a:cs typeface="+mn-cs"/>
          </a:endParaRPr>
        </a:p>
      </dsp:txBody>
      <dsp:txXfrm>
        <a:off x="842847" y="1843447"/>
        <a:ext cx="890188" cy="410887"/>
      </dsp:txXfrm>
    </dsp:sp>
    <dsp:sp modelId="{844A0929-0ED5-4244-B302-F25ABC12314F}">
      <dsp:nvSpPr>
        <dsp:cNvPr id="0" name=""/>
        <dsp:cNvSpPr/>
      </dsp:nvSpPr>
      <dsp:spPr>
        <a:xfrm>
          <a:off x="3430301" y="1835478"/>
          <a:ext cx="1141630" cy="436453"/>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scene3d>
        <a:sp3d>
          <a:bevelT prst="relaxedInset"/>
        </a:sp3d>
      </dsp:spPr>
      <dsp:style>
        <a:lnRef idx="0">
          <a:scrgbClr r="0" g="0" b="0"/>
        </a:lnRef>
        <a:fillRef idx="3">
          <a:scrgbClr r="0" g="0" b="0"/>
        </a:fillRef>
        <a:effectRef idx="2">
          <a:scrgbClr r="0" g="0" b="0"/>
        </a:effectRef>
        <a:fontRef idx="minor">
          <a:schemeClr val="lt1"/>
        </a:fontRef>
      </dsp:style>
    </dsp:sp>
    <dsp:sp modelId="{7FEF44C3-3CCD-0740-B284-9D8C7B9F0CEB}">
      <dsp:nvSpPr>
        <dsp:cNvPr id="0" name=""/>
        <dsp:cNvSpPr/>
      </dsp:nvSpPr>
      <dsp:spPr>
        <a:xfrm>
          <a:off x="3506671" y="1908030"/>
          <a:ext cx="1141630" cy="43645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threePt" dir="t"/>
        </a:scene3d>
        <a:sp3d>
          <a:bevelT prst="relaxedInset"/>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apomorphine hydrochloride</a:t>
          </a:r>
        </a:p>
      </dsp:txBody>
      <dsp:txXfrm>
        <a:off x="3519454" y="1920813"/>
        <a:ext cx="1116064" cy="410887"/>
      </dsp:txXfrm>
    </dsp:sp>
    <dsp:sp modelId="{DC595914-55FC-044D-BBBF-86F98477640A}">
      <dsp:nvSpPr>
        <dsp:cNvPr id="0" name=""/>
        <dsp:cNvSpPr/>
      </dsp:nvSpPr>
      <dsp:spPr>
        <a:xfrm>
          <a:off x="2162094" y="1831293"/>
          <a:ext cx="1037528" cy="514674"/>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26FE4175-8D3C-F944-8377-D50D41EE44B3}">
      <dsp:nvSpPr>
        <dsp:cNvPr id="0" name=""/>
        <dsp:cNvSpPr/>
      </dsp:nvSpPr>
      <dsp:spPr>
        <a:xfrm>
          <a:off x="2238463" y="1903844"/>
          <a:ext cx="1037528" cy="514674"/>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threePt" dir="t"/>
        </a:scene3d>
        <a:sp3d>
          <a:bevelT prst="relaxedInset"/>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bg-BG" sz="1200" b="1" i="0" kern="1200">
              <a:solidFill>
                <a:sysClr val="windowText" lastClr="000000">
                  <a:hueOff val="0"/>
                  <a:satOff val="0"/>
                  <a:lumOff val="0"/>
                  <a:alphaOff val="0"/>
                </a:sysClr>
              </a:solidFill>
              <a:latin typeface="Calibri"/>
              <a:ea typeface="+mn-ea"/>
              <a:cs typeface="+mn-cs"/>
            </a:rPr>
            <a:t>дълбока мозъчна стимулация</a:t>
          </a:r>
          <a:endParaRPr lang="en-US" sz="1200" b="1" i="0" kern="1200">
            <a:solidFill>
              <a:sysClr val="windowText" lastClr="000000">
                <a:hueOff val="0"/>
                <a:satOff val="0"/>
                <a:lumOff val="0"/>
                <a:alphaOff val="0"/>
              </a:sysClr>
            </a:solidFill>
            <a:latin typeface="Calibri"/>
            <a:ea typeface="+mn-ea"/>
            <a:cs typeface="+mn-cs"/>
          </a:endParaRPr>
        </a:p>
      </dsp:txBody>
      <dsp:txXfrm>
        <a:off x="2253537" y="1918918"/>
        <a:ext cx="1007380" cy="484526"/>
      </dsp:txXfrm>
    </dsp:sp>
    <dsp:sp modelId="{8F7F2676-4FFB-A84D-B7A6-D13C2D982490}">
      <dsp:nvSpPr>
        <dsp:cNvPr id="0" name=""/>
        <dsp:cNvSpPr/>
      </dsp:nvSpPr>
      <dsp:spPr>
        <a:xfrm>
          <a:off x="2355181" y="1035156"/>
          <a:ext cx="1034888" cy="436453"/>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scene3d>
        <a:sp3d>
          <a:bevelT prst="relaxedInset"/>
        </a:sp3d>
      </dsp:spPr>
      <dsp:style>
        <a:lnRef idx="0">
          <a:scrgbClr r="0" g="0" b="0"/>
        </a:lnRef>
        <a:fillRef idx="3">
          <a:scrgbClr r="0" g="0" b="0"/>
        </a:fillRef>
        <a:effectRef idx="2">
          <a:scrgbClr r="0" g="0" b="0"/>
        </a:effectRef>
        <a:fontRef idx="minor">
          <a:schemeClr val="lt1"/>
        </a:fontRef>
      </dsp:style>
    </dsp:sp>
    <dsp:sp modelId="{DF9A7659-FC87-9044-9C65-5B90FB6F5EE8}">
      <dsp:nvSpPr>
        <dsp:cNvPr id="0" name=""/>
        <dsp:cNvSpPr/>
      </dsp:nvSpPr>
      <dsp:spPr>
        <a:xfrm>
          <a:off x="2431551" y="1107707"/>
          <a:ext cx="1034888" cy="43645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threePt" dir="t"/>
        </a:scene3d>
        <a:sp3d>
          <a:bevelT prst="relaxedInset"/>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bg-BG" sz="1200" b="1" kern="1200">
              <a:solidFill>
                <a:sysClr val="windowText" lastClr="000000">
                  <a:hueOff val="0"/>
                  <a:satOff val="0"/>
                  <a:lumOff val="0"/>
                  <a:alphaOff val="0"/>
                </a:sysClr>
              </a:solidFill>
              <a:latin typeface="Calibri"/>
              <a:ea typeface="+mn-ea"/>
              <a:cs typeface="+mn-cs"/>
            </a:rPr>
            <a:t>дисперсна леводопа</a:t>
          </a:r>
          <a:endParaRPr lang="en-US" sz="1200" b="1" kern="1200">
            <a:solidFill>
              <a:sysClr val="windowText" lastClr="000000">
                <a:hueOff val="0"/>
                <a:satOff val="0"/>
                <a:lumOff val="0"/>
                <a:alphaOff val="0"/>
              </a:sysClr>
            </a:solidFill>
            <a:latin typeface="Calibri"/>
            <a:ea typeface="+mn-ea"/>
            <a:cs typeface="+mn-cs"/>
          </a:endParaRPr>
        </a:p>
      </dsp:txBody>
      <dsp:txXfrm>
        <a:off x="2444334" y="1120490"/>
        <a:ext cx="1009322" cy="410887"/>
      </dsp:txXfrm>
    </dsp:sp>
    <dsp:sp modelId="{C3B9E77F-C776-B644-A42E-841BB0C8F93A}">
      <dsp:nvSpPr>
        <dsp:cNvPr id="0" name=""/>
        <dsp:cNvSpPr/>
      </dsp:nvSpPr>
      <dsp:spPr>
        <a:xfrm>
          <a:off x="3978823" y="1064246"/>
          <a:ext cx="1038442" cy="436453"/>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scene3d>
        <a:sp3d>
          <a:bevelT prst="relaxedInset"/>
        </a:sp3d>
      </dsp:spPr>
      <dsp:style>
        <a:lnRef idx="0">
          <a:scrgbClr r="0" g="0" b="0"/>
        </a:lnRef>
        <a:fillRef idx="3">
          <a:scrgbClr r="0" g="0" b="0"/>
        </a:fillRef>
        <a:effectRef idx="2">
          <a:scrgbClr r="0" g="0" b="0"/>
        </a:effectRef>
        <a:fontRef idx="minor">
          <a:schemeClr val="lt1"/>
        </a:fontRef>
      </dsp:style>
    </dsp:sp>
    <dsp:sp modelId="{8BFEEE06-B7A1-3745-A6EC-6C4204093C44}">
      <dsp:nvSpPr>
        <dsp:cNvPr id="0" name=""/>
        <dsp:cNvSpPr/>
      </dsp:nvSpPr>
      <dsp:spPr>
        <a:xfrm>
          <a:off x="4055193" y="1136797"/>
          <a:ext cx="1038442" cy="43645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threePt" dir="t"/>
        </a:scene3d>
        <a:sp3d>
          <a:bevelT prst="relaxedInset"/>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bg-BG" sz="1200" b="1" kern="1200">
              <a:solidFill>
                <a:sysClr val="windowText" lastClr="000000">
                  <a:hueOff val="0"/>
                  <a:satOff val="0"/>
                  <a:lumOff val="0"/>
                  <a:alphaOff val="0"/>
                </a:sysClr>
              </a:solidFill>
              <a:latin typeface="Calibri"/>
              <a:ea typeface="+mn-ea"/>
              <a:cs typeface="+mn-cs"/>
            </a:rPr>
            <a:t>МАО-В инхибитори</a:t>
          </a:r>
          <a:endParaRPr lang="en-US" sz="1200" b="1" kern="1200">
            <a:solidFill>
              <a:sysClr val="windowText" lastClr="000000">
                <a:hueOff val="0"/>
                <a:satOff val="0"/>
                <a:lumOff val="0"/>
                <a:alphaOff val="0"/>
              </a:sysClr>
            </a:solidFill>
            <a:latin typeface="Calibri"/>
            <a:ea typeface="+mn-ea"/>
            <a:cs typeface="+mn-cs"/>
          </a:endParaRPr>
        </a:p>
      </dsp:txBody>
      <dsp:txXfrm>
        <a:off x="4067976" y="1149580"/>
        <a:ext cx="1012876" cy="410887"/>
      </dsp:txXfrm>
    </dsp:sp>
    <dsp:sp modelId="{60D832DA-B76F-A14B-8326-0EC2B5A7D4BB}">
      <dsp:nvSpPr>
        <dsp:cNvPr id="0" name=""/>
        <dsp:cNvSpPr/>
      </dsp:nvSpPr>
      <dsp:spPr>
        <a:xfrm>
          <a:off x="2617302" y="398805"/>
          <a:ext cx="1044319" cy="436453"/>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scene3d>
        <a:sp3d>
          <a:bevelT prst="relaxedInset"/>
        </a:sp3d>
      </dsp:spPr>
      <dsp:style>
        <a:lnRef idx="0">
          <a:scrgbClr r="0" g="0" b="0"/>
        </a:lnRef>
        <a:fillRef idx="3">
          <a:scrgbClr r="0" g="0" b="0"/>
        </a:fillRef>
        <a:effectRef idx="2">
          <a:scrgbClr r="0" g="0" b="0"/>
        </a:effectRef>
        <a:fontRef idx="minor">
          <a:schemeClr val="lt1"/>
        </a:fontRef>
      </dsp:style>
    </dsp:sp>
    <dsp:sp modelId="{DB0CCE20-17F3-3C44-A5C0-230C5B209580}">
      <dsp:nvSpPr>
        <dsp:cNvPr id="0" name=""/>
        <dsp:cNvSpPr/>
      </dsp:nvSpPr>
      <dsp:spPr>
        <a:xfrm>
          <a:off x="2693672" y="471356"/>
          <a:ext cx="1044319" cy="43645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threePt" dir="t"/>
        </a:scene3d>
        <a:sp3d>
          <a:bevelT prst="relaxedInset"/>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bg-BG" sz="1200" b="1" kern="1200">
              <a:solidFill>
                <a:sysClr val="windowText" lastClr="000000">
                  <a:hueOff val="0"/>
                  <a:satOff val="0"/>
                  <a:lumOff val="0"/>
                  <a:alphaOff val="0"/>
                </a:sysClr>
              </a:solidFill>
              <a:latin typeface="Calibri"/>
              <a:ea typeface="+mn-ea"/>
              <a:cs typeface="+mn-cs"/>
            </a:rPr>
            <a:t>допаминови агонисти</a:t>
          </a:r>
          <a:endParaRPr lang="en-US" sz="1200" b="1" kern="1200">
            <a:solidFill>
              <a:sysClr val="windowText" lastClr="000000">
                <a:hueOff val="0"/>
                <a:satOff val="0"/>
                <a:lumOff val="0"/>
                <a:alphaOff val="0"/>
              </a:sysClr>
            </a:solidFill>
            <a:latin typeface="Calibri"/>
            <a:ea typeface="+mn-ea"/>
            <a:cs typeface="+mn-cs"/>
          </a:endParaRPr>
        </a:p>
      </dsp:txBody>
      <dsp:txXfrm>
        <a:off x="2706455" y="484139"/>
        <a:ext cx="1018753" cy="410887"/>
      </dsp:txXfrm>
    </dsp:sp>
    <dsp:sp modelId="{D4732B90-23D1-7F41-99B0-109E626069DA}">
      <dsp:nvSpPr>
        <dsp:cNvPr id="0" name=""/>
        <dsp:cNvSpPr/>
      </dsp:nvSpPr>
      <dsp:spPr>
        <a:xfrm>
          <a:off x="3942973" y="375219"/>
          <a:ext cx="1064739" cy="436453"/>
        </a:xfrm>
        <a:prstGeom prst="roundRect">
          <a:avLst>
            <a:gd name="adj" fmla="val 10000"/>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lightRig rig="threePt" dir="t"/>
        </a:scene3d>
        <a:sp3d>
          <a:bevelT prst="relaxedInset"/>
        </a:sp3d>
      </dsp:spPr>
      <dsp:style>
        <a:lnRef idx="0">
          <a:scrgbClr r="0" g="0" b="0"/>
        </a:lnRef>
        <a:fillRef idx="3">
          <a:scrgbClr r="0" g="0" b="0"/>
        </a:fillRef>
        <a:effectRef idx="2">
          <a:scrgbClr r="0" g="0" b="0"/>
        </a:effectRef>
        <a:fontRef idx="minor">
          <a:schemeClr val="lt1"/>
        </a:fontRef>
      </dsp:style>
    </dsp:sp>
    <dsp:sp modelId="{9A6BB072-E6ED-1548-84CB-6721D6554C67}">
      <dsp:nvSpPr>
        <dsp:cNvPr id="0" name=""/>
        <dsp:cNvSpPr/>
      </dsp:nvSpPr>
      <dsp:spPr>
        <a:xfrm>
          <a:off x="4019343" y="447771"/>
          <a:ext cx="1064739" cy="436453"/>
        </a:xfrm>
        <a:prstGeom prst="roundRect">
          <a:avLst>
            <a:gd name="adj" fmla="val 10000"/>
          </a:avLst>
        </a:prstGeom>
        <a:solidFill>
          <a:sysClr val="window" lastClr="FFFFFF">
            <a:alpha val="90000"/>
            <a:hueOff val="0"/>
            <a:satOff val="0"/>
            <a:lumOff val="0"/>
            <a:alphaOff val="0"/>
          </a:sysClr>
        </a:solidFill>
        <a:ln w="9525" cap="flat" cmpd="sng" algn="ctr">
          <a:solidFill>
            <a:srgbClr val="4F81BD">
              <a:hueOff val="0"/>
              <a:satOff val="0"/>
              <a:lumOff val="0"/>
              <a:alphaOff val="0"/>
            </a:srgbClr>
          </a:solidFill>
          <a:prstDash val="solid"/>
        </a:ln>
        <a:effectLst/>
        <a:scene3d>
          <a:camera prst="orthographicFront"/>
          <a:lightRig rig="threePt" dir="t"/>
        </a:scene3d>
        <a:sp3d>
          <a:bevelT prst="relaxedInset"/>
        </a:sp3d>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bg-BG" sz="1200" b="1" kern="1200">
              <a:solidFill>
                <a:sysClr val="windowText" lastClr="000000">
                  <a:hueOff val="0"/>
                  <a:satOff val="0"/>
                  <a:lumOff val="0"/>
                  <a:alphaOff val="0"/>
                </a:sysClr>
              </a:solidFill>
              <a:latin typeface="Calibri"/>
              <a:ea typeface="+mn-ea"/>
              <a:cs typeface="+mn-cs"/>
            </a:rPr>
            <a:t>амантадини</a:t>
          </a:r>
          <a:endParaRPr lang="en-US" sz="1200" b="1" kern="1200">
            <a:solidFill>
              <a:sysClr val="windowText" lastClr="000000">
                <a:hueOff val="0"/>
                <a:satOff val="0"/>
                <a:lumOff val="0"/>
                <a:alphaOff val="0"/>
              </a:sysClr>
            </a:solidFill>
            <a:latin typeface="Calibri"/>
            <a:ea typeface="+mn-ea"/>
            <a:cs typeface="+mn-cs"/>
          </a:endParaRPr>
        </a:p>
      </dsp:txBody>
      <dsp:txXfrm>
        <a:off x="4032126" y="460554"/>
        <a:ext cx="1039173" cy="41088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D65074-6C99-564F-9B53-E810AEDC08D4}">
      <dsp:nvSpPr>
        <dsp:cNvPr id="0" name=""/>
        <dsp:cNvSpPr/>
      </dsp:nvSpPr>
      <dsp:spPr>
        <a:xfrm>
          <a:off x="4419117" y="3165814"/>
          <a:ext cx="91440" cy="188260"/>
        </a:xfrm>
        <a:custGeom>
          <a:avLst/>
          <a:gdLst/>
          <a:ahLst/>
          <a:cxnLst/>
          <a:rect l="0" t="0" r="0" b="0"/>
          <a:pathLst>
            <a:path>
              <a:moveTo>
                <a:pt x="45720" y="0"/>
              </a:moveTo>
              <a:lnTo>
                <a:pt x="45720" y="18826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4EE6116-593E-5F41-B6B4-897E4EF389BB}">
      <dsp:nvSpPr>
        <dsp:cNvPr id="0" name=""/>
        <dsp:cNvSpPr/>
      </dsp:nvSpPr>
      <dsp:spPr>
        <a:xfrm>
          <a:off x="4419117" y="2566510"/>
          <a:ext cx="91440" cy="188260"/>
        </a:xfrm>
        <a:custGeom>
          <a:avLst/>
          <a:gdLst/>
          <a:ahLst/>
          <a:cxnLst/>
          <a:rect l="0" t="0" r="0" b="0"/>
          <a:pathLst>
            <a:path>
              <a:moveTo>
                <a:pt x="45720" y="0"/>
              </a:moveTo>
              <a:lnTo>
                <a:pt x="45720" y="18826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05A3CC8-612E-BD4D-93F7-81F8E0B1D183}">
      <dsp:nvSpPr>
        <dsp:cNvPr id="0" name=""/>
        <dsp:cNvSpPr/>
      </dsp:nvSpPr>
      <dsp:spPr>
        <a:xfrm>
          <a:off x="4419117" y="1967206"/>
          <a:ext cx="91440" cy="188260"/>
        </a:xfrm>
        <a:custGeom>
          <a:avLst/>
          <a:gdLst/>
          <a:ahLst/>
          <a:cxnLst/>
          <a:rect l="0" t="0" r="0" b="0"/>
          <a:pathLst>
            <a:path>
              <a:moveTo>
                <a:pt x="45720" y="0"/>
              </a:moveTo>
              <a:lnTo>
                <a:pt x="45720" y="18826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969516A-18EA-754D-8A88-A3ED4CF41BF2}">
      <dsp:nvSpPr>
        <dsp:cNvPr id="0" name=""/>
        <dsp:cNvSpPr/>
      </dsp:nvSpPr>
      <dsp:spPr>
        <a:xfrm>
          <a:off x="4212832" y="1367901"/>
          <a:ext cx="252005" cy="188260"/>
        </a:xfrm>
        <a:custGeom>
          <a:avLst/>
          <a:gdLst/>
          <a:ahLst/>
          <a:cxnLst/>
          <a:rect l="0" t="0" r="0" b="0"/>
          <a:pathLst>
            <a:path>
              <a:moveTo>
                <a:pt x="0" y="0"/>
              </a:moveTo>
              <a:lnTo>
                <a:pt x="0" y="128293"/>
              </a:lnTo>
              <a:lnTo>
                <a:pt x="252005" y="128293"/>
              </a:lnTo>
              <a:lnTo>
                <a:pt x="252005" y="18826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A8A4080-D220-EA48-95E3-906A2F1266EF}">
      <dsp:nvSpPr>
        <dsp:cNvPr id="0" name=""/>
        <dsp:cNvSpPr/>
      </dsp:nvSpPr>
      <dsp:spPr>
        <a:xfrm>
          <a:off x="3254910" y="768597"/>
          <a:ext cx="957921" cy="188260"/>
        </a:xfrm>
        <a:custGeom>
          <a:avLst/>
          <a:gdLst/>
          <a:ahLst/>
          <a:cxnLst/>
          <a:rect l="0" t="0" r="0" b="0"/>
          <a:pathLst>
            <a:path>
              <a:moveTo>
                <a:pt x="0" y="0"/>
              </a:moveTo>
              <a:lnTo>
                <a:pt x="0" y="128293"/>
              </a:lnTo>
              <a:lnTo>
                <a:pt x="957921" y="128293"/>
              </a:lnTo>
              <a:lnTo>
                <a:pt x="957921" y="18826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D856892B-25E7-034F-BC70-79BAAA71F470}">
      <dsp:nvSpPr>
        <dsp:cNvPr id="0" name=""/>
        <dsp:cNvSpPr/>
      </dsp:nvSpPr>
      <dsp:spPr>
        <a:xfrm>
          <a:off x="2918721" y="1967206"/>
          <a:ext cx="487764" cy="129859"/>
        </a:xfrm>
        <a:custGeom>
          <a:avLst/>
          <a:gdLst/>
          <a:ahLst/>
          <a:cxnLst/>
          <a:rect l="0" t="0" r="0" b="0"/>
          <a:pathLst>
            <a:path>
              <a:moveTo>
                <a:pt x="0" y="0"/>
              </a:moveTo>
              <a:lnTo>
                <a:pt x="0" y="69892"/>
              </a:lnTo>
              <a:lnTo>
                <a:pt x="487764" y="69892"/>
              </a:lnTo>
              <a:lnTo>
                <a:pt x="487764" y="129859"/>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67AB5F5-DD36-4D4C-A25E-D341D1C4C943}">
      <dsp:nvSpPr>
        <dsp:cNvPr id="0" name=""/>
        <dsp:cNvSpPr/>
      </dsp:nvSpPr>
      <dsp:spPr>
        <a:xfrm>
          <a:off x="2568847" y="1967206"/>
          <a:ext cx="349873" cy="730106"/>
        </a:xfrm>
        <a:custGeom>
          <a:avLst/>
          <a:gdLst/>
          <a:ahLst/>
          <a:cxnLst/>
          <a:rect l="0" t="0" r="0" b="0"/>
          <a:pathLst>
            <a:path>
              <a:moveTo>
                <a:pt x="349873" y="0"/>
              </a:moveTo>
              <a:lnTo>
                <a:pt x="349873" y="670140"/>
              </a:lnTo>
              <a:lnTo>
                <a:pt x="0" y="670140"/>
              </a:lnTo>
              <a:lnTo>
                <a:pt x="0" y="730106"/>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69DDBC2-EBB6-8F49-90CD-C4B0620706DE}">
      <dsp:nvSpPr>
        <dsp:cNvPr id="0" name=""/>
        <dsp:cNvSpPr/>
      </dsp:nvSpPr>
      <dsp:spPr>
        <a:xfrm>
          <a:off x="1913463" y="1367901"/>
          <a:ext cx="1005257" cy="188260"/>
        </a:xfrm>
        <a:custGeom>
          <a:avLst/>
          <a:gdLst/>
          <a:ahLst/>
          <a:cxnLst/>
          <a:rect l="0" t="0" r="0" b="0"/>
          <a:pathLst>
            <a:path>
              <a:moveTo>
                <a:pt x="0" y="0"/>
              </a:moveTo>
              <a:lnTo>
                <a:pt x="0" y="128293"/>
              </a:lnTo>
              <a:lnTo>
                <a:pt x="1005257" y="128293"/>
              </a:lnTo>
              <a:lnTo>
                <a:pt x="1005257" y="18826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F5AF87B-C88A-E840-8756-80FA37FB2E31}">
      <dsp:nvSpPr>
        <dsp:cNvPr id="0" name=""/>
        <dsp:cNvSpPr/>
      </dsp:nvSpPr>
      <dsp:spPr>
        <a:xfrm>
          <a:off x="888685" y="1967206"/>
          <a:ext cx="478345" cy="188260"/>
        </a:xfrm>
        <a:custGeom>
          <a:avLst/>
          <a:gdLst/>
          <a:ahLst/>
          <a:cxnLst/>
          <a:rect l="0" t="0" r="0" b="0"/>
          <a:pathLst>
            <a:path>
              <a:moveTo>
                <a:pt x="0" y="0"/>
              </a:moveTo>
              <a:lnTo>
                <a:pt x="0" y="128293"/>
              </a:lnTo>
              <a:lnTo>
                <a:pt x="478345" y="128293"/>
              </a:lnTo>
              <a:lnTo>
                <a:pt x="478345" y="18826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64C332D-A58C-9440-8D35-C33F42CB1F53}">
      <dsp:nvSpPr>
        <dsp:cNvPr id="0" name=""/>
        <dsp:cNvSpPr/>
      </dsp:nvSpPr>
      <dsp:spPr>
        <a:xfrm>
          <a:off x="421848" y="1967206"/>
          <a:ext cx="466836" cy="188260"/>
        </a:xfrm>
        <a:custGeom>
          <a:avLst/>
          <a:gdLst/>
          <a:ahLst/>
          <a:cxnLst/>
          <a:rect l="0" t="0" r="0" b="0"/>
          <a:pathLst>
            <a:path>
              <a:moveTo>
                <a:pt x="466836" y="0"/>
              </a:moveTo>
              <a:lnTo>
                <a:pt x="466836" y="128293"/>
              </a:lnTo>
              <a:lnTo>
                <a:pt x="0" y="128293"/>
              </a:lnTo>
              <a:lnTo>
                <a:pt x="0" y="18826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A1A0E53-1870-5245-9C8C-32A84BAE32D2}">
      <dsp:nvSpPr>
        <dsp:cNvPr id="0" name=""/>
        <dsp:cNvSpPr/>
      </dsp:nvSpPr>
      <dsp:spPr>
        <a:xfrm>
          <a:off x="888685" y="1367901"/>
          <a:ext cx="1024777" cy="188260"/>
        </a:xfrm>
        <a:custGeom>
          <a:avLst/>
          <a:gdLst/>
          <a:ahLst/>
          <a:cxnLst/>
          <a:rect l="0" t="0" r="0" b="0"/>
          <a:pathLst>
            <a:path>
              <a:moveTo>
                <a:pt x="1024777" y="0"/>
              </a:moveTo>
              <a:lnTo>
                <a:pt x="1024777" y="128293"/>
              </a:lnTo>
              <a:lnTo>
                <a:pt x="0" y="128293"/>
              </a:lnTo>
              <a:lnTo>
                <a:pt x="0" y="18826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120071F-5F94-3B48-A361-5660F3DDA044}">
      <dsp:nvSpPr>
        <dsp:cNvPr id="0" name=""/>
        <dsp:cNvSpPr/>
      </dsp:nvSpPr>
      <dsp:spPr>
        <a:xfrm>
          <a:off x="1913463" y="768597"/>
          <a:ext cx="1341447" cy="188260"/>
        </a:xfrm>
        <a:custGeom>
          <a:avLst/>
          <a:gdLst/>
          <a:ahLst/>
          <a:cxnLst/>
          <a:rect l="0" t="0" r="0" b="0"/>
          <a:pathLst>
            <a:path>
              <a:moveTo>
                <a:pt x="1341447" y="0"/>
              </a:moveTo>
              <a:lnTo>
                <a:pt x="1341447" y="128293"/>
              </a:lnTo>
              <a:lnTo>
                <a:pt x="0" y="128293"/>
              </a:lnTo>
              <a:lnTo>
                <a:pt x="0" y="18826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9BA9CC2-3A60-874C-9FF4-FA9C27C8E0F8}">
      <dsp:nvSpPr>
        <dsp:cNvPr id="0" name=""/>
        <dsp:cNvSpPr/>
      </dsp:nvSpPr>
      <dsp:spPr>
        <a:xfrm>
          <a:off x="1951820" y="357553"/>
          <a:ext cx="2606180" cy="411043"/>
        </a:xfrm>
        <a:prstGeom prst="roundRect">
          <a:avLst>
            <a:gd name="adj" fmla="val 10000"/>
          </a:avLst>
        </a:prstGeom>
        <a:no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sp>
    <dsp:sp modelId="{C4428AB9-9E68-EB47-9108-02F0473F2A64}">
      <dsp:nvSpPr>
        <dsp:cNvPr id="0" name=""/>
        <dsp:cNvSpPr/>
      </dsp:nvSpPr>
      <dsp:spPr>
        <a:xfrm>
          <a:off x="2023744" y="425881"/>
          <a:ext cx="2606180" cy="411043"/>
        </a:xfrm>
        <a:prstGeom prst="roundRect">
          <a:avLst>
            <a:gd name="adj" fmla="val 10000"/>
          </a:avLst>
        </a:prstGeom>
        <a:solidFill>
          <a:srgbClr val="00B0F0">
            <a:alpha val="90000"/>
          </a:srgbClr>
        </a:solidFill>
        <a:ln w="25400" cap="flat" cmpd="sng" algn="ctr">
          <a:solidFill>
            <a:srgbClr val="4F81BD">
              <a:hueOff val="0"/>
              <a:satOff val="0"/>
              <a:lumOff val="0"/>
              <a:alphaOff val="0"/>
            </a:srgbClr>
          </a:solidFill>
          <a:prstDash val="solid"/>
        </a:ln>
        <a:effectLst/>
        <a:scene3d>
          <a:camera prst="orthographicFront"/>
          <a:lightRig rig="freezing" dir="t"/>
        </a:scene3d>
        <a:sp3d>
          <a:bevelT w="114300" prst="artDeco"/>
          <a:bevelB prst="angle"/>
        </a:sp3d>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bg-BG" sz="1600" b="1" kern="1200">
              <a:solidFill>
                <a:sysClr val="windowText" lastClr="000000">
                  <a:hueOff val="0"/>
                  <a:satOff val="0"/>
                  <a:lumOff val="0"/>
                  <a:alphaOff val="0"/>
                </a:sysClr>
              </a:solidFill>
              <a:latin typeface="Calibri"/>
              <a:ea typeface="+mn-ea"/>
              <a:cs typeface="+mn-cs"/>
            </a:rPr>
            <a:t>Лечение на мигрена</a:t>
          </a:r>
          <a:endParaRPr lang="en-US" sz="1600" b="1" kern="1200">
            <a:solidFill>
              <a:sysClr val="windowText" lastClr="000000">
                <a:hueOff val="0"/>
                <a:satOff val="0"/>
                <a:lumOff val="0"/>
                <a:alphaOff val="0"/>
              </a:sysClr>
            </a:solidFill>
            <a:latin typeface="Calibri"/>
            <a:ea typeface="+mn-ea"/>
            <a:cs typeface="+mn-cs"/>
          </a:endParaRPr>
        </a:p>
      </dsp:txBody>
      <dsp:txXfrm>
        <a:off x="2035783" y="437920"/>
        <a:ext cx="2582102" cy="386965"/>
      </dsp:txXfrm>
    </dsp:sp>
    <dsp:sp modelId="{7331BCBC-2298-2C45-A14E-F96D4CE0AEE1}">
      <dsp:nvSpPr>
        <dsp:cNvPr id="0" name=""/>
        <dsp:cNvSpPr/>
      </dsp:nvSpPr>
      <dsp:spPr>
        <a:xfrm>
          <a:off x="1187653" y="956857"/>
          <a:ext cx="1451619"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a:scene3d>
          <a:camera prst="orthographicFront"/>
          <a:lightRig rig="threePt" dir="t"/>
        </a:scene3d>
        <a:sp3d>
          <a:bevelB/>
        </a:sp3d>
      </dsp:spPr>
      <dsp:style>
        <a:lnRef idx="2">
          <a:scrgbClr r="0" g="0" b="0"/>
        </a:lnRef>
        <a:fillRef idx="1">
          <a:scrgbClr r="0" g="0" b="0"/>
        </a:fillRef>
        <a:effectRef idx="0">
          <a:scrgbClr r="0" g="0" b="0"/>
        </a:effectRef>
        <a:fontRef idx="minor">
          <a:schemeClr val="lt1"/>
        </a:fontRef>
      </dsp:style>
    </dsp:sp>
    <dsp:sp modelId="{E833E200-3643-2748-8EC0-42E5DF2159CC}">
      <dsp:nvSpPr>
        <dsp:cNvPr id="0" name=""/>
        <dsp:cNvSpPr/>
      </dsp:nvSpPr>
      <dsp:spPr>
        <a:xfrm>
          <a:off x="1259576" y="1025185"/>
          <a:ext cx="1451619" cy="411043"/>
        </a:xfrm>
        <a:prstGeom prst="roundRect">
          <a:avLst>
            <a:gd name="adj" fmla="val 10000"/>
          </a:avLst>
        </a:prstGeom>
        <a:solidFill>
          <a:srgbClr val="4BACC6">
            <a:lumMod val="60000"/>
            <a:lumOff val="40000"/>
            <a:alpha val="90000"/>
          </a:srgbClr>
        </a:solidFill>
        <a:ln w="25400" cap="flat" cmpd="sng" algn="ctr">
          <a:solidFill>
            <a:srgbClr val="4F81BD">
              <a:hueOff val="0"/>
              <a:satOff val="0"/>
              <a:lumOff val="0"/>
              <a:alphaOff val="0"/>
            </a:srgbClr>
          </a:solidFill>
          <a:prstDash val="solid"/>
        </a:ln>
        <a:effectLst/>
        <a:scene3d>
          <a:camera prst="orthographicFront"/>
          <a:lightRig rig="threePt" dir="t">
            <a:rot lat="0" lon="0" rev="3600000"/>
          </a:lightRig>
        </a:scene3d>
        <a:sp3d>
          <a:bevelB/>
        </a:sp3d>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bg-BG" sz="1600" b="1" kern="1200">
              <a:solidFill>
                <a:sysClr val="windowText" lastClr="000000">
                  <a:hueOff val="0"/>
                  <a:satOff val="0"/>
                  <a:lumOff val="0"/>
                  <a:alphaOff val="0"/>
                </a:sysClr>
              </a:solidFill>
              <a:latin typeface="Calibri"/>
              <a:ea typeface="+mn-ea"/>
              <a:cs typeface="+mn-cs"/>
            </a:rPr>
            <a:t>Лечение на пристъпи </a:t>
          </a:r>
          <a:endParaRPr lang="en-US" sz="1600" b="1" kern="1200">
            <a:solidFill>
              <a:sysClr val="windowText" lastClr="000000">
                <a:hueOff val="0"/>
                <a:satOff val="0"/>
                <a:lumOff val="0"/>
                <a:alphaOff val="0"/>
              </a:sysClr>
            </a:solidFill>
            <a:latin typeface="Calibri"/>
            <a:ea typeface="+mn-ea"/>
            <a:cs typeface="+mn-cs"/>
          </a:endParaRPr>
        </a:p>
      </dsp:txBody>
      <dsp:txXfrm>
        <a:off x="1271615" y="1037224"/>
        <a:ext cx="1427541" cy="386965"/>
      </dsp:txXfrm>
    </dsp:sp>
    <dsp:sp modelId="{B620D381-F1EB-974B-97A0-1C68B18F1208}">
      <dsp:nvSpPr>
        <dsp:cNvPr id="0" name=""/>
        <dsp:cNvSpPr/>
      </dsp:nvSpPr>
      <dsp:spPr>
        <a:xfrm>
          <a:off x="406074" y="1556162"/>
          <a:ext cx="965221"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9E420810-3C7F-B14D-BB9D-8BB0447E27CD}">
      <dsp:nvSpPr>
        <dsp:cNvPr id="0" name=""/>
        <dsp:cNvSpPr/>
      </dsp:nvSpPr>
      <dsp:spPr>
        <a:xfrm>
          <a:off x="477998" y="1624489"/>
          <a:ext cx="965221" cy="411043"/>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bg-BG" sz="1400" b="1" kern="1200">
              <a:solidFill>
                <a:sysClr val="windowText" lastClr="000000">
                  <a:hueOff val="0"/>
                  <a:satOff val="0"/>
                  <a:lumOff val="0"/>
                  <a:alphaOff val="0"/>
                </a:sysClr>
              </a:solidFill>
              <a:latin typeface="Calibri"/>
              <a:ea typeface="+mn-ea"/>
              <a:cs typeface="+mn-cs"/>
            </a:rPr>
            <a:t>Леки до умерени</a:t>
          </a:r>
          <a:endParaRPr lang="en-US" sz="1400" b="1" kern="1200">
            <a:solidFill>
              <a:sysClr val="windowText" lastClr="000000">
                <a:hueOff val="0"/>
                <a:satOff val="0"/>
                <a:lumOff val="0"/>
                <a:alphaOff val="0"/>
              </a:sysClr>
            </a:solidFill>
            <a:latin typeface="Calibri"/>
            <a:ea typeface="+mn-ea"/>
            <a:cs typeface="+mn-cs"/>
          </a:endParaRPr>
        </a:p>
      </dsp:txBody>
      <dsp:txXfrm>
        <a:off x="490037" y="1636528"/>
        <a:ext cx="941143" cy="386965"/>
      </dsp:txXfrm>
    </dsp:sp>
    <dsp:sp modelId="{4353F7D0-97DE-D449-85ED-3B06A08ED747}">
      <dsp:nvSpPr>
        <dsp:cNvPr id="0" name=""/>
        <dsp:cNvSpPr/>
      </dsp:nvSpPr>
      <dsp:spPr>
        <a:xfrm>
          <a:off x="1502" y="2155466"/>
          <a:ext cx="840691"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FD35DDF3-2954-5A40-AC94-0142FF6B26DA}">
      <dsp:nvSpPr>
        <dsp:cNvPr id="0" name=""/>
        <dsp:cNvSpPr/>
      </dsp:nvSpPr>
      <dsp:spPr>
        <a:xfrm>
          <a:off x="73426" y="2223793"/>
          <a:ext cx="840691" cy="411043"/>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bg-BG" sz="1600" b="1" kern="1200">
              <a:solidFill>
                <a:sysClr val="windowText" lastClr="000000">
                  <a:hueOff val="0"/>
                  <a:satOff val="0"/>
                  <a:lumOff val="0"/>
                  <a:alphaOff val="0"/>
                </a:sysClr>
              </a:solidFill>
              <a:latin typeface="Calibri"/>
              <a:ea typeface="+mn-ea"/>
              <a:cs typeface="+mn-cs"/>
            </a:rPr>
            <a:t>НСПВС</a:t>
          </a:r>
          <a:endParaRPr lang="en-US" sz="1600" b="1" kern="1200">
            <a:solidFill>
              <a:sysClr val="windowText" lastClr="000000">
                <a:hueOff val="0"/>
                <a:satOff val="0"/>
                <a:lumOff val="0"/>
                <a:alphaOff val="0"/>
              </a:sysClr>
            </a:solidFill>
            <a:latin typeface="Calibri"/>
            <a:ea typeface="+mn-ea"/>
            <a:cs typeface="+mn-cs"/>
          </a:endParaRPr>
        </a:p>
      </dsp:txBody>
      <dsp:txXfrm>
        <a:off x="85465" y="2235832"/>
        <a:ext cx="816613" cy="386965"/>
      </dsp:txXfrm>
    </dsp:sp>
    <dsp:sp modelId="{159376D7-97FC-C54D-B0D6-6C25A381B481}">
      <dsp:nvSpPr>
        <dsp:cNvPr id="0" name=""/>
        <dsp:cNvSpPr/>
      </dsp:nvSpPr>
      <dsp:spPr>
        <a:xfrm>
          <a:off x="972118" y="2155466"/>
          <a:ext cx="789825"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287FA60C-B598-3745-AD61-57134B9CCD4F}">
      <dsp:nvSpPr>
        <dsp:cNvPr id="0" name=""/>
        <dsp:cNvSpPr/>
      </dsp:nvSpPr>
      <dsp:spPr>
        <a:xfrm>
          <a:off x="1044041" y="2223793"/>
          <a:ext cx="789825" cy="411043"/>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bg-BG" sz="1100" b="1" kern="1200">
              <a:solidFill>
                <a:sysClr val="windowText" lastClr="000000">
                  <a:hueOff val="0"/>
                  <a:satOff val="0"/>
                  <a:lumOff val="0"/>
                  <a:alphaOff val="0"/>
                </a:sysClr>
              </a:solidFill>
              <a:latin typeface="Calibri"/>
              <a:ea typeface="+mn-ea"/>
              <a:cs typeface="+mn-cs"/>
            </a:rPr>
            <a:t>Антиеметици</a:t>
          </a:r>
          <a:endParaRPr lang="en-US" sz="1100" b="1" kern="1200">
            <a:solidFill>
              <a:sysClr val="windowText" lastClr="000000">
                <a:hueOff val="0"/>
                <a:satOff val="0"/>
                <a:lumOff val="0"/>
                <a:alphaOff val="0"/>
              </a:sysClr>
            </a:solidFill>
            <a:latin typeface="Calibri"/>
            <a:ea typeface="+mn-ea"/>
            <a:cs typeface="+mn-cs"/>
          </a:endParaRPr>
        </a:p>
      </dsp:txBody>
      <dsp:txXfrm>
        <a:off x="1056080" y="2235832"/>
        <a:ext cx="765747" cy="386965"/>
      </dsp:txXfrm>
    </dsp:sp>
    <dsp:sp modelId="{C551B4DB-F254-514C-B070-3342CA9C2D82}">
      <dsp:nvSpPr>
        <dsp:cNvPr id="0" name=""/>
        <dsp:cNvSpPr/>
      </dsp:nvSpPr>
      <dsp:spPr>
        <a:xfrm>
          <a:off x="2420616" y="1556162"/>
          <a:ext cx="996208"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C9A4BDDC-2ABA-4C48-AC77-1B349133B14A}">
      <dsp:nvSpPr>
        <dsp:cNvPr id="0" name=""/>
        <dsp:cNvSpPr/>
      </dsp:nvSpPr>
      <dsp:spPr>
        <a:xfrm>
          <a:off x="2492540" y="1624489"/>
          <a:ext cx="996208" cy="411043"/>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bg-BG" sz="1400" b="1" kern="1200">
              <a:solidFill>
                <a:sysClr val="windowText" lastClr="000000">
                  <a:hueOff val="0"/>
                  <a:satOff val="0"/>
                  <a:lumOff val="0"/>
                  <a:alphaOff val="0"/>
                </a:sysClr>
              </a:solidFill>
              <a:latin typeface="Calibri"/>
              <a:ea typeface="+mn-ea"/>
              <a:cs typeface="+mn-cs"/>
            </a:rPr>
            <a:t> Умерени до тежки</a:t>
          </a:r>
          <a:endParaRPr lang="en-US" sz="1400" b="1" kern="1200">
            <a:solidFill>
              <a:sysClr val="windowText" lastClr="000000">
                <a:hueOff val="0"/>
                <a:satOff val="0"/>
                <a:lumOff val="0"/>
                <a:alphaOff val="0"/>
              </a:sysClr>
            </a:solidFill>
            <a:latin typeface="Calibri"/>
            <a:ea typeface="+mn-ea"/>
            <a:cs typeface="+mn-cs"/>
          </a:endParaRPr>
        </a:p>
      </dsp:txBody>
      <dsp:txXfrm>
        <a:off x="2504579" y="1636528"/>
        <a:ext cx="972130" cy="386965"/>
      </dsp:txXfrm>
    </dsp:sp>
    <dsp:sp modelId="{0C569A17-5352-E546-A743-B2FCCD36C1A4}">
      <dsp:nvSpPr>
        <dsp:cNvPr id="0" name=""/>
        <dsp:cNvSpPr/>
      </dsp:nvSpPr>
      <dsp:spPr>
        <a:xfrm>
          <a:off x="1961395" y="2697312"/>
          <a:ext cx="1214903"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9E5AC1F8-7CDB-B94E-92D9-0CBEFD10F1D5}">
      <dsp:nvSpPr>
        <dsp:cNvPr id="0" name=""/>
        <dsp:cNvSpPr/>
      </dsp:nvSpPr>
      <dsp:spPr>
        <a:xfrm>
          <a:off x="2033319" y="2765640"/>
          <a:ext cx="1214903" cy="411043"/>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bg-BG" sz="1400" b="1" kern="1200">
              <a:solidFill>
                <a:sysClr val="windowText" lastClr="000000">
                  <a:hueOff val="0"/>
                  <a:satOff val="0"/>
                  <a:lumOff val="0"/>
                  <a:alphaOff val="0"/>
                </a:sysClr>
              </a:solidFill>
              <a:latin typeface="Calibri"/>
              <a:ea typeface="+mn-ea"/>
              <a:cs typeface="+mn-cs"/>
            </a:rPr>
            <a:t>кортикостероиди</a:t>
          </a:r>
          <a:endParaRPr lang="en-US" sz="1400" b="1" kern="1200">
            <a:solidFill>
              <a:sysClr val="windowText" lastClr="000000">
                <a:hueOff val="0"/>
                <a:satOff val="0"/>
                <a:lumOff val="0"/>
                <a:alphaOff val="0"/>
              </a:sysClr>
            </a:solidFill>
            <a:latin typeface="Calibri"/>
            <a:ea typeface="+mn-ea"/>
            <a:cs typeface="+mn-cs"/>
          </a:endParaRPr>
        </a:p>
      </dsp:txBody>
      <dsp:txXfrm>
        <a:off x="2045358" y="2777679"/>
        <a:ext cx="1190825" cy="386965"/>
      </dsp:txXfrm>
    </dsp:sp>
    <dsp:sp modelId="{60275AC2-0571-ED41-911A-4560B8EDD378}">
      <dsp:nvSpPr>
        <dsp:cNvPr id="0" name=""/>
        <dsp:cNvSpPr/>
      </dsp:nvSpPr>
      <dsp:spPr>
        <a:xfrm>
          <a:off x="3082828" y="2097065"/>
          <a:ext cx="647313"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D48D9037-73F6-F646-8C18-6706206ECFE8}">
      <dsp:nvSpPr>
        <dsp:cNvPr id="0" name=""/>
        <dsp:cNvSpPr/>
      </dsp:nvSpPr>
      <dsp:spPr>
        <a:xfrm>
          <a:off x="3154752" y="2165392"/>
          <a:ext cx="647313" cy="411043"/>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bg-BG" sz="1200" b="1" kern="1200">
              <a:solidFill>
                <a:sysClr val="windowText" lastClr="000000">
                  <a:hueOff val="0"/>
                  <a:satOff val="0"/>
                  <a:lumOff val="0"/>
                  <a:alphaOff val="0"/>
                </a:sysClr>
              </a:solidFill>
              <a:latin typeface="Calibri"/>
              <a:ea typeface="+mn-ea"/>
              <a:cs typeface="+mn-cs"/>
            </a:rPr>
            <a:t>Триптани</a:t>
          </a:r>
          <a:endParaRPr lang="en-US" sz="1200" b="1" kern="1200">
            <a:solidFill>
              <a:sysClr val="windowText" lastClr="000000">
                <a:hueOff val="0"/>
                <a:satOff val="0"/>
                <a:lumOff val="0"/>
                <a:alphaOff val="0"/>
              </a:sysClr>
            </a:solidFill>
            <a:latin typeface="Calibri"/>
            <a:ea typeface="+mn-ea"/>
            <a:cs typeface="+mn-cs"/>
          </a:endParaRPr>
        </a:p>
      </dsp:txBody>
      <dsp:txXfrm>
        <a:off x="3166791" y="2177431"/>
        <a:ext cx="623235" cy="386965"/>
      </dsp:txXfrm>
    </dsp:sp>
    <dsp:sp modelId="{B97633CA-7BAC-574A-A138-7735189C2109}">
      <dsp:nvSpPr>
        <dsp:cNvPr id="0" name=""/>
        <dsp:cNvSpPr/>
      </dsp:nvSpPr>
      <dsp:spPr>
        <a:xfrm>
          <a:off x="3355501" y="956857"/>
          <a:ext cx="1714661"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520A290F-77B3-6245-AD17-5CA26C37326B}">
      <dsp:nvSpPr>
        <dsp:cNvPr id="0" name=""/>
        <dsp:cNvSpPr/>
      </dsp:nvSpPr>
      <dsp:spPr>
        <a:xfrm>
          <a:off x="3427424" y="1025185"/>
          <a:ext cx="1714661" cy="411043"/>
        </a:xfrm>
        <a:prstGeom prst="roundRect">
          <a:avLst>
            <a:gd name="adj" fmla="val 10000"/>
          </a:avLst>
        </a:prstGeom>
        <a:solidFill>
          <a:srgbClr val="C0504D">
            <a:alpha val="90000"/>
          </a:srgbClr>
        </a:solidFill>
        <a:ln w="25400" cap="flat" cmpd="sng" algn="ctr">
          <a:solidFill>
            <a:srgbClr val="4F81BD">
              <a:hueOff val="0"/>
              <a:satOff val="0"/>
              <a:lumOff val="0"/>
              <a:alphaOff val="0"/>
            </a:srgbClr>
          </a:solidFill>
          <a:prstDash val="solid"/>
        </a:ln>
        <a:effectLst/>
        <a:scene3d>
          <a:camera prst="orthographicFront"/>
          <a:lightRig rig="threePt" dir="t"/>
        </a:scene3d>
        <a:sp3d>
          <a:bevelT/>
        </a:sp3d>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bg-BG" sz="1600" b="1" kern="1200">
              <a:solidFill>
                <a:sysClr val="windowText" lastClr="000000">
                  <a:hueOff val="0"/>
                  <a:satOff val="0"/>
                  <a:lumOff val="0"/>
                  <a:alphaOff val="0"/>
                </a:sysClr>
              </a:solidFill>
              <a:latin typeface="Calibri"/>
              <a:ea typeface="+mn-ea"/>
              <a:cs typeface="+mn-cs"/>
            </a:rPr>
            <a:t>Профилактично лечение</a:t>
          </a:r>
          <a:endParaRPr lang="en-US" sz="1600" b="1" kern="1200">
            <a:solidFill>
              <a:sysClr val="windowText" lastClr="000000">
                <a:hueOff val="0"/>
                <a:satOff val="0"/>
                <a:lumOff val="0"/>
                <a:alphaOff val="0"/>
              </a:sysClr>
            </a:solidFill>
            <a:latin typeface="Calibri"/>
            <a:ea typeface="+mn-ea"/>
            <a:cs typeface="+mn-cs"/>
          </a:endParaRPr>
        </a:p>
      </dsp:txBody>
      <dsp:txXfrm>
        <a:off x="3439463" y="1037224"/>
        <a:ext cx="1690583" cy="386965"/>
      </dsp:txXfrm>
    </dsp:sp>
    <dsp:sp modelId="{71D5542A-5138-D74D-9CFF-2C435968B515}">
      <dsp:nvSpPr>
        <dsp:cNvPr id="0" name=""/>
        <dsp:cNvSpPr/>
      </dsp:nvSpPr>
      <dsp:spPr>
        <a:xfrm>
          <a:off x="3987136" y="1556162"/>
          <a:ext cx="955402"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7C43C5B1-D2B1-8440-86D1-0CDCAA348B1B}">
      <dsp:nvSpPr>
        <dsp:cNvPr id="0" name=""/>
        <dsp:cNvSpPr/>
      </dsp:nvSpPr>
      <dsp:spPr>
        <a:xfrm>
          <a:off x="4059060" y="1624489"/>
          <a:ext cx="955402" cy="411043"/>
        </a:xfrm>
        <a:prstGeom prst="roundRect">
          <a:avLst>
            <a:gd name="adj" fmla="val 10000"/>
          </a:avLst>
        </a:prstGeom>
        <a:solidFill>
          <a:srgbClr val="C0504D">
            <a:lumMod val="40000"/>
            <a:lumOff val="6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bg-BG" sz="1000" b="1" kern="1200">
              <a:solidFill>
                <a:sysClr val="windowText" lastClr="000000">
                  <a:hueOff val="0"/>
                  <a:satOff val="0"/>
                  <a:lumOff val="0"/>
                  <a:alphaOff val="0"/>
                </a:sysClr>
              </a:solidFill>
              <a:latin typeface="Calibri"/>
              <a:ea typeface="+mn-ea"/>
              <a:cs typeface="+mn-cs"/>
            </a:rPr>
            <a:t>антиепилептични медикаменти</a:t>
          </a:r>
          <a:endParaRPr lang="en-US" sz="1000" b="1" kern="1200">
            <a:solidFill>
              <a:sysClr val="windowText" lastClr="000000">
                <a:hueOff val="0"/>
                <a:satOff val="0"/>
                <a:lumOff val="0"/>
                <a:alphaOff val="0"/>
              </a:sysClr>
            </a:solidFill>
            <a:latin typeface="Calibri"/>
            <a:ea typeface="+mn-ea"/>
            <a:cs typeface="+mn-cs"/>
          </a:endParaRPr>
        </a:p>
      </dsp:txBody>
      <dsp:txXfrm>
        <a:off x="4071099" y="1636528"/>
        <a:ext cx="931324" cy="386965"/>
      </dsp:txXfrm>
    </dsp:sp>
    <dsp:sp modelId="{9E9749B7-7372-0E40-B353-9849D45EC214}">
      <dsp:nvSpPr>
        <dsp:cNvPr id="0" name=""/>
        <dsp:cNvSpPr/>
      </dsp:nvSpPr>
      <dsp:spPr>
        <a:xfrm>
          <a:off x="4069626" y="2155466"/>
          <a:ext cx="790421"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3279BBFD-6DFC-C44E-B0DA-86A5CD291F1B}">
      <dsp:nvSpPr>
        <dsp:cNvPr id="0" name=""/>
        <dsp:cNvSpPr/>
      </dsp:nvSpPr>
      <dsp:spPr>
        <a:xfrm>
          <a:off x="4141550" y="2223793"/>
          <a:ext cx="790421" cy="411043"/>
        </a:xfrm>
        <a:prstGeom prst="roundRect">
          <a:avLst>
            <a:gd name="adj" fmla="val 10000"/>
          </a:avLst>
        </a:prstGeom>
        <a:solidFill>
          <a:srgbClr val="C0504D">
            <a:lumMod val="40000"/>
            <a:lumOff val="6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bg-BG" sz="1050" b="1" kern="1200">
              <a:solidFill>
                <a:sysClr val="windowText" lastClr="000000">
                  <a:hueOff val="0"/>
                  <a:satOff val="0"/>
                  <a:lumOff val="0"/>
                  <a:alphaOff val="0"/>
                </a:sysClr>
              </a:solidFill>
              <a:latin typeface="Calibri"/>
              <a:ea typeface="+mn-ea"/>
              <a:cs typeface="+mn-cs"/>
            </a:rPr>
            <a:t>неселективни бета-блокери</a:t>
          </a:r>
          <a:endParaRPr lang="en-US" sz="1050" b="1" kern="1200">
            <a:solidFill>
              <a:sysClr val="windowText" lastClr="000000">
                <a:hueOff val="0"/>
                <a:satOff val="0"/>
                <a:lumOff val="0"/>
                <a:alphaOff val="0"/>
              </a:sysClr>
            </a:solidFill>
            <a:latin typeface="Calibri"/>
            <a:ea typeface="+mn-ea"/>
            <a:cs typeface="+mn-cs"/>
          </a:endParaRPr>
        </a:p>
      </dsp:txBody>
      <dsp:txXfrm>
        <a:off x="4153589" y="2235832"/>
        <a:ext cx="766343" cy="386965"/>
      </dsp:txXfrm>
    </dsp:sp>
    <dsp:sp modelId="{3E5DCD30-CE00-BC47-887B-8B8B43F1A72F}">
      <dsp:nvSpPr>
        <dsp:cNvPr id="0" name=""/>
        <dsp:cNvSpPr/>
      </dsp:nvSpPr>
      <dsp:spPr>
        <a:xfrm>
          <a:off x="4017647" y="2754770"/>
          <a:ext cx="894379"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AF65E539-9E19-7643-BDDA-39DC4744BF7A}">
      <dsp:nvSpPr>
        <dsp:cNvPr id="0" name=""/>
        <dsp:cNvSpPr/>
      </dsp:nvSpPr>
      <dsp:spPr>
        <a:xfrm>
          <a:off x="4089571" y="2823098"/>
          <a:ext cx="894379" cy="411043"/>
        </a:xfrm>
        <a:prstGeom prst="roundRect">
          <a:avLst>
            <a:gd name="adj" fmla="val 10000"/>
          </a:avLst>
        </a:prstGeom>
        <a:solidFill>
          <a:srgbClr val="C0504D">
            <a:lumMod val="40000"/>
            <a:lumOff val="6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bg-BG" sz="1000" b="1" kern="1200">
              <a:solidFill>
                <a:sysClr val="windowText" lastClr="000000">
                  <a:hueOff val="0"/>
                  <a:satOff val="0"/>
                  <a:lumOff val="0"/>
                  <a:alphaOff val="0"/>
                </a:sysClr>
              </a:solidFill>
              <a:latin typeface="Calibri"/>
              <a:ea typeface="+mn-ea"/>
              <a:cs typeface="+mn-cs"/>
            </a:rPr>
            <a:t>блокери на калциевите канали</a:t>
          </a:r>
          <a:endParaRPr lang="en-US" sz="1000" b="1" kern="1200">
            <a:solidFill>
              <a:sysClr val="windowText" lastClr="000000">
                <a:hueOff val="0"/>
                <a:satOff val="0"/>
                <a:lumOff val="0"/>
                <a:alphaOff val="0"/>
              </a:sysClr>
            </a:solidFill>
            <a:latin typeface="Calibri"/>
            <a:ea typeface="+mn-ea"/>
            <a:cs typeface="+mn-cs"/>
          </a:endParaRPr>
        </a:p>
      </dsp:txBody>
      <dsp:txXfrm>
        <a:off x="4101610" y="2835137"/>
        <a:ext cx="870301" cy="386965"/>
      </dsp:txXfrm>
    </dsp:sp>
    <dsp:sp modelId="{DE63F242-3D5D-2D4B-95EB-BAAF018A70BD}">
      <dsp:nvSpPr>
        <dsp:cNvPr id="0" name=""/>
        <dsp:cNvSpPr/>
      </dsp:nvSpPr>
      <dsp:spPr>
        <a:xfrm>
          <a:off x="3937736" y="3354074"/>
          <a:ext cx="1054201" cy="411043"/>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DBDCFB71-4063-8D4E-B100-E884FE040536}">
      <dsp:nvSpPr>
        <dsp:cNvPr id="0" name=""/>
        <dsp:cNvSpPr/>
      </dsp:nvSpPr>
      <dsp:spPr>
        <a:xfrm>
          <a:off x="4009660" y="3422402"/>
          <a:ext cx="1054201" cy="411043"/>
        </a:xfrm>
        <a:prstGeom prst="roundRect">
          <a:avLst>
            <a:gd name="adj" fmla="val 10000"/>
          </a:avLst>
        </a:prstGeom>
        <a:solidFill>
          <a:srgbClr val="C0504D">
            <a:lumMod val="40000"/>
            <a:lumOff val="6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solidFill>
                <a:sysClr val="windowText" lastClr="000000">
                  <a:hueOff val="0"/>
                  <a:satOff val="0"/>
                  <a:lumOff val="0"/>
                  <a:alphaOff val="0"/>
                </a:sysClr>
              </a:solidFill>
              <a:latin typeface="Calibri"/>
              <a:ea typeface="+mn-ea"/>
              <a:cs typeface="+mn-cs"/>
            </a:rPr>
            <a:t>SNRI </a:t>
          </a:r>
          <a:r>
            <a:rPr lang="bg-BG" sz="1000" b="1" kern="1200">
              <a:solidFill>
                <a:sysClr val="windowText" lastClr="000000">
                  <a:hueOff val="0"/>
                  <a:satOff val="0"/>
                  <a:lumOff val="0"/>
                  <a:alphaOff val="0"/>
                </a:sysClr>
              </a:solidFill>
              <a:latin typeface="Calibri"/>
              <a:ea typeface="+mn-ea"/>
              <a:cs typeface="+mn-cs"/>
            </a:rPr>
            <a:t>антидепресанти</a:t>
          </a:r>
          <a:endParaRPr lang="en-US" sz="1000" b="1" kern="1200">
            <a:solidFill>
              <a:sysClr val="windowText" lastClr="000000">
                <a:hueOff val="0"/>
                <a:satOff val="0"/>
                <a:lumOff val="0"/>
                <a:alphaOff val="0"/>
              </a:sysClr>
            </a:solidFill>
            <a:latin typeface="Calibri"/>
            <a:ea typeface="+mn-ea"/>
            <a:cs typeface="+mn-cs"/>
          </a:endParaRPr>
        </a:p>
      </dsp:txBody>
      <dsp:txXfrm>
        <a:off x="4021699" y="3434441"/>
        <a:ext cx="1030123" cy="38696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D65074-6C99-564F-9B53-E810AEDC08D4}">
      <dsp:nvSpPr>
        <dsp:cNvPr id="0" name=""/>
        <dsp:cNvSpPr/>
      </dsp:nvSpPr>
      <dsp:spPr>
        <a:xfrm>
          <a:off x="3963874" y="3832654"/>
          <a:ext cx="91440" cy="251479"/>
        </a:xfrm>
        <a:custGeom>
          <a:avLst/>
          <a:gdLst/>
          <a:ahLst/>
          <a:cxnLst/>
          <a:rect l="0" t="0" r="0" b="0"/>
          <a:pathLst>
            <a:path>
              <a:moveTo>
                <a:pt x="45720" y="0"/>
              </a:moveTo>
              <a:lnTo>
                <a:pt x="45720" y="168989"/>
              </a:lnTo>
              <a:lnTo>
                <a:pt x="68203" y="168989"/>
              </a:lnTo>
              <a:lnTo>
                <a:pt x="68203" y="251479"/>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969516A-18EA-754D-8A88-A3ED4CF41BF2}">
      <dsp:nvSpPr>
        <dsp:cNvPr id="0" name=""/>
        <dsp:cNvSpPr/>
      </dsp:nvSpPr>
      <dsp:spPr>
        <a:xfrm>
          <a:off x="3685418" y="3000757"/>
          <a:ext cx="324175" cy="266463"/>
        </a:xfrm>
        <a:custGeom>
          <a:avLst/>
          <a:gdLst/>
          <a:ahLst/>
          <a:cxnLst/>
          <a:rect l="0" t="0" r="0" b="0"/>
          <a:pathLst>
            <a:path>
              <a:moveTo>
                <a:pt x="0" y="0"/>
              </a:moveTo>
              <a:lnTo>
                <a:pt x="0" y="183973"/>
              </a:lnTo>
              <a:lnTo>
                <a:pt x="324175" y="183973"/>
              </a:lnTo>
              <a:lnTo>
                <a:pt x="324175" y="26646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A8A4080-D220-EA48-95E3-906A2F1266EF}">
      <dsp:nvSpPr>
        <dsp:cNvPr id="0" name=""/>
        <dsp:cNvSpPr/>
      </dsp:nvSpPr>
      <dsp:spPr>
        <a:xfrm>
          <a:off x="2832935" y="2148346"/>
          <a:ext cx="852482" cy="286977"/>
        </a:xfrm>
        <a:custGeom>
          <a:avLst/>
          <a:gdLst/>
          <a:ahLst/>
          <a:cxnLst/>
          <a:rect l="0" t="0" r="0" b="0"/>
          <a:pathLst>
            <a:path>
              <a:moveTo>
                <a:pt x="0" y="0"/>
              </a:moveTo>
              <a:lnTo>
                <a:pt x="0" y="204487"/>
              </a:lnTo>
              <a:lnTo>
                <a:pt x="852482" y="204487"/>
              </a:lnTo>
              <a:lnTo>
                <a:pt x="852482" y="286977"/>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2E6E5D3-D389-4A43-A4C4-5712B30E8621}">
      <dsp:nvSpPr>
        <dsp:cNvPr id="0" name=""/>
        <dsp:cNvSpPr/>
      </dsp:nvSpPr>
      <dsp:spPr>
        <a:xfrm>
          <a:off x="874161" y="3008249"/>
          <a:ext cx="108652" cy="296442"/>
        </a:xfrm>
        <a:custGeom>
          <a:avLst/>
          <a:gdLst/>
          <a:ahLst/>
          <a:cxnLst/>
          <a:rect l="0" t="0" r="0" b="0"/>
          <a:pathLst>
            <a:path>
              <a:moveTo>
                <a:pt x="108652" y="0"/>
              </a:moveTo>
              <a:lnTo>
                <a:pt x="108652" y="213952"/>
              </a:lnTo>
              <a:lnTo>
                <a:pt x="0" y="213952"/>
              </a:lnTo>
              <a:lnTo>
                <a:pt x="0" y="29644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120071F-5F94-3B48-A361-5660F3DDA044}">
      <dsp:nvSpPr>
        <dsp:cNvPr id="0" name=""/>
        <dsp:cNvSpPr/>
      </dsp:nvSpPr>
      <dsp:spPr>
        <a:xfrm>
          <a:off x="982814" y="2148346"/>
          <a:ext cx="1850121" cy="294469"/>
        </a:xfrm>
        <a:custGeom>
          <a:avLst/>
          <a:gdLst/>
          <a:ahLst/>
          <a:cxnLst/>
          <a:rect l="0" t="0" r="0" b="0"/>
          <a:pathLst>
            <a:path>
              <a:moveTo>
                <a:pt x="1850121" y="0"/>
              </a:moveTo>
              <a:lnTo>
                <a:pt x="1850121" y="211979"/>
              </a:lnTo>
              <a:lnTo>
                <a:pt x="0" y="211979"/>
              </a:lnTo>
              <a:lnTo>
                <a:pt x="0" y="294469"/>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9BA9CC2-3A60-874C-9FF4-FA9C27C8E0F8}">
      <dsp:nvSpPr>
        <dsp:cNvPr id="0" name=""/>
        <dsp:cNvSpPr/>
      </dsp:nvSpPr>
      <dsp:spPr>
        <a:xfrm>
          <a:off x="-98938" y="1349756"/>
          <a:ext cx="5863748" cy="798589"/>
        </a:xfrm>
        <a:prstGeom prst="roundRect">
          <a:avLst>
            <a:gd name="adj" fmla="val 10000"/>
          </a:avLst>
        </a:prstGeom>
        <a:no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sp>
    <dsp:sp modelId="{C4428AB9-9E68-EB47-9108-02F0473F2A64}">
      <dsp:nvSpPr>
        <dsp:cNvPr id="0" name=""/>
        <dsp:cNvSpPr/>
      </dsp:nvSpPr>
      <dsp:spPr>
        <a:xfrm>
          <a:off x="0" y="1443748"/>
          <a:ext cx="5863748" cy="798589"/>
        </a:xfrm>
        <a:prstGeom prst="roundRect">
          <a:avLst>
            <a:gd name="adj" fmla="val 10000"/>
          </a:avLst>
        </a:prstGeom>
        <a:solidFill>
          <a:srgbClr val="9BBB59">
            <a:alpha val="90000"/>
          </a:srgbClr>
        </a:solidFill>
        <a:ln w="25400" cap="flat" cmpd="sng" algn="ctr">
          <a:solidFill>
            <a:srgbClr val="4F81BD">
              <a:hueOff val="0"/>
              <a:satOff val="0"/>
              <a:lumOff val="0"/>
              <a:alphaOff val="0"/>
            </a:srgbClr>
          </a:solidFill>
          <a:prstDash val="solid"/>
        </a:ln>
        <a:effectLst/>
        <a:scene3d>
          <a:camera prst="orthographicFront"/>
          <a:lightRig rig="freezing" dir="t"/>
        </a:scene3d>
        <a:sp3d>
          <a:bevelT w="114300" prst="artDeco"/>
          <a:bevelB prst="angle"/>
        </a:sp3d>
      </dsp:spPr>
      <dsp:style>
        <a:lnRef idx="2">
          <a:scrgbClr r="0" g="0" b="0"/>
        </a:lnRef>
        <a:fillRef idx="1">
          <a:scrgbClr r="0" g="0" b="0"/>
        </a:fillRef>
        <a:effectRef idx="0">
          <a:scrgbClr r="0" g="0" b="0"/>
        </a:effectRef>
        <a:fontRef idx="minor"/>
      </dsp:style>
      <dsp:txBody>
        <a:bodyPr spcFirstLastPara="0" vert="horz" wrap="square" lIns="91440" tIns="91440" rIns="91440" bIns="91440" numCol="1" spcCol="1270" anchor="ctr" anchorCtr="0">
          <a:noAutofit/>
        </a:bodyPr>
        <a:lstStyle/>
        <a:p>
          <a:pPr lvl="0" algn="ctr" defTabSz="1066800">
            <a:lnSpc>
              <a:spcPct val="90000"/>
            </a:lnSpc>
            <a:spcBef>
              <a:spcPct val="0"/>
            </a:spcBef>
            <a:spcAft>
              <a:spcPct val="35000"/>
            </a:spcAft>
          </a:pPr>
          <a:r>
            <a:rPr lang="bg-BG" sz="2400" b="1" kern="1200">
              <a:solidFill>
                <a:sysClr val="windowText" lastClr="000000">
                  <a:hueOff val="0"/>
                  <a:satOff val="0"/>
                  <a:lumOff val="0"/>
                  <a:alphaOff val="0"/>
                </a:sysClr>
              </a:solidFill>
              <a:latin typeface="Calibri"/>
              <a:ea typeface="+mn-ea"/>
              <a:cs typeface="+mn-cs"/>
            </a:rPr>
            <a:t>Лечение на тензионен тип главоболие</a:t>
          </a:r>
          <a:endParaRPr lang="en-US" sz="2400" b="1" kern="1200">
            <a:solidFill>
              <a:sysClr val="windowText" lastClr="000000">
                <a:hueOff val="0"/>
                <a:satOff val="0"/>
                <a:lumOff val="0"/>
                <a:alphaOff val="0"/>
              </a:sysClr>
            </a:solidFill>
            <a:latin typeface="Calibri"/>
            <a:ea typeface="+mn-ea"/>
            <a:cs typeface="+mn-cs"/>
          </a:endParaRPr>
        </a:p>
      </dsp:txBody>
      <dsp:txXfrm>
        <a:off x="23390" y="1467138"/>
        <a:ext cx="5816968" cy="751809"/>
      </dsp:txXfrm>
    </dsp:sp>
    <dsp:sp modelId="{7331BCBC-2298-2C45-A14E-F96D4CE0AEE1}">
      <dsp:nvSpPr>
        <dsp:cNvPr id="0" name=""/>
        <dsp:cNvSpPr/>
      </dsp:nvSpPr>
      <dsp:spPr>
        <a:xfrm>
          <a:off x="-15612" y="2442815"/>
          <a:ext cx="1996852" cy="565433"/>
        </a:xfrm>
        <a:prstGeom prst="roundRect">
          <a:avLst>
            <a:gd name="adj" fmla="val 10000"/>
          </a:avLst>
        </a:prstGeom>
        <a:noFill/>
        <a:ln w="25400" cap="flat" cmpd="sng" algn="ctr">
          <a:solidFill>
            <a:sysClr val="window" lastClr="FFFFFF">
              <a:hueOff val="0"/>
              <a:satOff val="0"/>
              <a:lumOff val="0"/>
              <a:alphaOff val="0"/>
            </a:sysClr>
          </a:solidFill>
          <a:prstDash val="solid"/>
        </a:ln>
        <a:effectLst/>
        <a:scene3d>
          <a:camera prst="orthographicFront"/>
          <a:lightRig rig="threePt" dir="t"/>
        </a:scene3d>
        <a:sp3d>
          <a:bevelB/>
        </a:sp3d>
      </dsp:spPr>
      <dsp:style>
        <a:lnRef idx="2">
          <a:scrgbClr r="0" g="0" b="0"/>
        </a:lnRef>
        <a:fillRef idx="1">
          <a:scrgbClr r="0" g="0" b="0"/>
        </a:fillRef>
        <a:effectRef idx="0">
          <a:scrgbClr r="0" g="0" b="0"/>
        </a:effectRef>
        <a:fontRef idx="minor">
          <a:schemeClr val="lt1"/>
        </a:fontRef>
      </dsp:style>
    </dsp:sp>
    <dsp:sp modelId="{E833E200-3643-2748-8EC0-42E5DF2159CC}">
      <dsp:nvSpPr>
        <dsp:cNvPr id="0" name=""/>
        <dsp:cNvSpPr/>
      </dsp:nvSpPr>
      <dsp:spPr>
        <a:xfrm>
          <a:off x="83326" y="2536807"/>
          <a:ext cx="1996852" cy="565433"/>
        </a:xfrm>
        <a:prstGeom prst="roundRect">
          <a:avLst>
            <a:gd name="adj" fmla="val 10000"/>
          </a:avLst>
        </a:prstGeom>
        <a:solidFill>
          <a:srgbClr val="4BACC6">
            <a:lumMod val="60000"/>
            <a:lumOff val="40000"/>
            <a:alpha val="90000"/>
          </a:srgbClr>
        </a:solidFill>
        <a:ln w="25400" cap="flat" cmpd="sng" algn="ctr">
          <a:solidFill>
            <a:srgbClr val="4F81BD">
              <a:hueOff val="0"/>
              <a:satOff val="0"/>
              <a:lumOff val="0"/>
              <a:alphaOff val="0"/>
            </a:srgbClr>
          </a:solidFill>
          <a:prstDash val="solid"/>
        </a:ln>
        <a:effectLst/>
        <a:scene3d>
          <a:camera prst="orthographicFront"/>
          <a:lightRig rig="threePt" dir="t">
            <a:rot lat="0" lon="0" rev="3600000"/>
          </a:lightRig>
        </a:scene3d>
        <a:sp3d>
          <a:bevelB/>
        </a:sp3d>
      </dsp:spPr>
      <dsp:style>
        <a:lnRef idx="2">
          <a:scrgbClr r="0" g="0" b="0"/>
        </a:lnRef>
        <a:fillRef idx="1">
          <a:scrgbClr r="0" g="0" b="0"/>
        </a:fillRef>
        <a:effectRef idx="0">
          <a:scrgbClr r="0" g="0" b="0"/>
        </a:effectRef>
        <a:fontRef idx="minor"/>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bg-BG" sz="2000" b="1" kern="1200">
              <a:solidFill>
                <a:sysClr val="windowText" lastClr="000000">
                  <a:hueOff val="0"/>
                  <a:satOff val="0"/>
                  <a:lumOff val="0"/>
                  <a:alphaOff val="0"/>
                </a:sysClr>
              </a:solidFill>
              <a:latin typeface="Calibri"/>
              <a:ea typeface="+mn-ea"/>
              <a:cs typeface="+mn-cs"/>
            </a:rPr>
            <a:t>Пристъп</a:t>
          </a:r>
          <a:endParaRPr lang="en-US" sz="2000" b="1" kern="1200">
            <a:solidFill>
              <a:sysClr val="windowText" lastClr="000000">
                <a:hueOff val="0"/>
                <a:satOff val="0"/>
                <a:lumOff val="0"/>
                <a:alphaOff val="0"/>
              </a:sysClr>
            </a:solidFill>
            <a:latin typeface="Calibri"/>
            <a:ea typeface="+mn-ea"/>
            <a:cs typeface="+mn-cs"/>
          </a:endParaRPr>
        </a:p>
      </dsp:txBody>
      <dsp:txXfrm>
        <a:off x="99887" y="2553368"/>
        <a:ext cx="1963730" cy="532311"/>
      </dsp:txXfrm>
    </dsp:sp>
    <dsp:sp modelId="{F32CB4BA-90A8-1448-B2D0-C522F37DE2C1}">
      <dsp:nvSpPr>
        <dsp:cNvPr id="0" name=""/>
        <dsp:cNvSpPr/>
      </dsp:nvSpPr>
      <dsp:spPr>
        <a:xfrm>
          <a:off x="142406" y="3304691"/>
          <a:ext cx="1463510" cy="565433"/>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E093EF8F-9493-834B-A349-6C5075CCC2A5}">
      <dsp:nvSpPr>
        <dsp:cNvPr id="0" name=""/>
        <dsp:cNvSpPr/>
      </dsp:nvSpPr>
      <dsp:spPr>
        <a:xfrm>
          <a:off x="241344" y="3398683"/>
          <a:ext cx="1463510" cy="565433"/>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bg-BG" sz="2000" b="1" kern="1200">
              <a:solidFill>
                <a:sysClr val="windowText" lastClr="000000">
                  <a:hueOff val="0"/>
                  <a:satOff val="0"/>
                  <a:lumOff val="0"/>
                  <a:alphaOff val="0"/>
                </a:sysClr>
              </a:solidFill>
              <a:latin typeface="Calibri"/>
              <a:ea typeface="+mn-ea"/>
              <a:cs typeface="+mn-cs"/>
            </a:rPr>
            <a:t>НСПВС</a:t>
          </a:r>
          <a:endParaRPr lang="en-US" sz="2000" b="1" kern="1200">
            <a:solidFill>
              <a:sysClr val="windowText" lastClr="000000">
                <a:hueOff val="0"/>
                <a:satOff val="0"/>
                <a:lumOff val="0"/>
                <a:alphaOff val="0"/>
              </a:sysClr>
            </a:solidFill>
            <a:latin typeface="Calibri"/>
            <a:ea typeface="+mn-ea"/>
            <a:cs typeface="+mn-cs"/>
          </a:endParaRPr>
        </a:p>
      </dsp:txBody>
      <dsp:txXfrm>
        <a:off x="257905" y="3415244"/>
        <a:ext cx="1430388" cy="532311"/>
      </dsp:txXfrm>
    </dsp:sp>
    <dsp:sp modelId="{B97633CA-7BAC-574A-A138-7735189C2109}">
      <dsp:nvSpPr>
        <dsp:cNvPr id="0" name=""/>
        <dsp:cNvSpPr/>
      </dsp:nvSpPr>
      <dsp:spPr>
        <a:xfrm>
          <a:off x="2495635" y="2435323"/>
          <a:ext cx="2379566" cy="565433"/>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520A290F-77B3-6245-AD17-5CA26C37326B}">
      <dsp:nvSpPr>
        <dsp:cNvPr id="0" name=""/>
        <dsp:cNvSpPr/>
      </dsp:nvSpPr>
      <dsp:spPr>
        <a:xfrm>
          <a:off x="2594573" y="2529315"/>
          <a:ext cx="2379566" cy="565433"/>
        </a:xfrm>
        <a:prstGeom prst="roundRect">
          <a:avLst>
            <a:gd name="adj" fmla="val 10000"/>
          </a:avLst>
        </a:prstGeom>
        <a:solidFill>
          <a:srgbClr val="C0504D">
            <a:alpha val="90000"/>
          </a:srgbClr>
        </a:solidFill>
        <a:ln w="25400" cap="flat" cmpd="sng" algn="ctr">
          <a:solidFill>
            <a:srgbClr val="4F81BD">
              <a:hueOff val="0"/>
              <a:satOff val="0"/>
              <a:lumOff val="0"/>
              <a:alphaOff val="0"/>
            </a:srgbClr>
          </a:solidFill>
          <a:prstDash val="solid"/>
        </a:ln>
        <a:effectLst/>
        <a:scene3d>
          <a:camera prst="orthographicFront"/>
          <a:lightRig rig="threePt" dir="t"/>
        </a:scene3d>
        <a:sp3d>
          <a:bevelT/>
        </a:sp3d>
      </dsp:spPr>
      <dsp:style>
        <a:lnRef idx="2">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bg-BG" sz="1800" b="1" kern="1200">
              <a:solidFill>
                <a:sysClr val="windowText" lastClr="000000">
                  <a:hueOff val="0"/>
                  <a:satOff val="0"/>
                  <a:lumOff val="0"/>
                  <a:alphaOff val="0"/>
                </a:sysClr>
              </a:solidFill>
              <a:latin typeface="Calibri"/>
              <a:ea typeface="+mn-ea"/>
              <a:cs typeface="+mn-cs"/>
            </a:rPr>
            <a:t>Профилактично</a:t>
          </a:r>
          <a:endParaRPr lang="en-US" sz="1800" b="1" kern="1200">
            <a:solidFill>
              <a:sysClr val="windowText" lastClr="000000">
                <a:hueOff val="0"/>
                <a:satOff val="0"/>
                <a:lumOff val="0"/>
                <a:alphaOff val="0"/>
              </a:sysClr>
            </a:solidFill>
            <a:latin typeface="Calibri"/>
            <a:ea typeface="+mn-ea"/>
            <a:cs typeface="+mn-cs"/>
          </a:endParaRPr>
        </a:p>
      </dsp:txBody>
      <dsp:txXfrm>
        <a:off x="2611134" y="2545876"/>
        <a:ext cx="2346444" cy="532311"/>
      </dsp:txXfrm>
    </dsp:sp>
    <dsp:sp modelId="{71D5542A-5138-D74D-9CFF-2C435968B515}">
      <dsp:nvSpPr>
        <dsp:cNvPr id="0" name=""/>
        <dsp:cNvSpPr/>
      </dsp:nvSpPr>
      <dsp:spPr>
        <a:xfrm>
          <a:off x="3352467" y="3267220"/>
          <a:ext cx="1314254" cy="565433"/>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7C43C5B1-D2B1-8440-86D1-0CDCAA348B1B}">
      <dsp:nvSpPr>
        <dsp:cNvPr id="0" name=""/>
        <dsp:cNvSpPr/>
      </dsp:nvSpPr>
      <dsp:spPr>
        <a:xfrm>
          <a:off x="3451405" y="3361212"/>
          <a:ext cx="1314254" cy="565433"/>
        </a:xfrm>
        <a:prstGeom prst="roundRect">
          <a:avLst>
            <a:gd name="adj" fmla="val 10000"/>
          </a:avLst>
        </a:prstGeom>
        <a:solidFill>
          <a:srgbClr val="C0504D">
            <a:lumMod val="40000"/>
            <a:lumOff val="6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bg-BG" sz="1100" b="1" kern="1200">
              <a:solidFill>
                <a:sysClr val="windowText" lastClr="000000">
                  <a:hueOff val="0"/>
                  <a:satOff val="0"/>
                  <a:lumOff val="0"/>
                  <a:alphaOff val="0"/>
                </a:sysClr>
              </a:solidFill>
              <a:latin typeface="Calibri"/>
              <a:ea typeface="+mn-ea"/>
              <a:cs typeface="+mn-cs"/>
            </a:rPr>
            <a:t>трициклични антидепресанти</a:t>
          </a:r>
          <a:endParaRPr lang="en-US" sz="1100" b="1" kern="1200">
            <a:solidFill>
              <a:sysClr val="windowText" lastClr="000000">
                <a:hueOff val="0"/>
                <a:satOff val="0"/>
                <a:lumOff val="0"/>
                <a:alphaOff val="0"/>
              </a:sysClr>
            </a:solidFill>
            <a:latin typeface="Calibri"/>
            <a:ea typeface="+mn-ea"/>
            <a:cs typeface="+mn-cs"/>
          </a:endParaRPr>
        </a:p>
      </dsp:txBody>
      <dsp:txXfrm>
        <a:off x="3467966" y="3377773"/>
        <a:ext cx="1281132" cy="532311"/>
      </dsp:txXfrm>
    </dsp:sp>
    <dsp:sp modelId="{DE63F242-3D5D-2D4B-95EB-BAAF018A70BD}">
      <dsp:nvSpPr>
        <dsp:cNvPr id="0" name=""/>
        <dsp:cNvSpPr/>
      </dsp:nvSpPr>
      <dsp:spPr>
        <a:xfrm>
          <a:off x="3306996" y="4084133"/>
          <a:ext cx="1450162" cy="565433"/>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DBDCFB71-4063-8D4E-B100-E884FE040536}">
      <dsp:nvSpPr>
        <dsp:cNvPr id="0" name=""/>
        <dsp:cNvSpPr/>
      </dsp:nvSpPr>
      <dsp:spPr>
        <a:xfrm>
          <a:off x="3405934" y="4178125"/>
          <a:ext cx="1450162" cy="565433"/>
        </a:xfrm>
        <a:prstGeom prst="roundRect">
          <a:avLst>
            <a:gd name="adj" fmla="val 10000"/>
          </a:avLst>
        </a:prstGeom>
        <a:solidFill>
          <a:srgbClr val="C0504D">
            <a:lumMod val="40000"/>
            <a:lumOff val="6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solidFill>
                <a:sysClr val="windowText" lastClr="000000">
                  <a:hueOff val="0"/>
                  <a:satOff val="0"/>
                  <a:lumOff val="0"/>
                  <a:alphaOff val="0"/>
                </a:sysClr>
              </a:solidFill>
              <a:latin typeface="Calibri"/>
              <a:ea typeface="+mn-ea"/>
              <a:cs typeface="+mn-cs"/>
            </a:rPr>
            <a:t>SNRI </a:t>
          </a:r>
          <a:r>
            <a:rPr lang="bg-BG" sz="1400" b="1" kern="1200">
              <a:solidFill>
                <a:sysClr val="windowText" lastClr="000000">
                  <a:hueOff val="0"/>
                  <a:satOff val="0"/>
                  <a:lumOff val="0"/>
                  <a:alphaOff val="0"/>
                </a:sysClr>
              </a:solidFill>
              <a:latin typeface="Calibri"/>
              <a:ea typeface="+mn-ea"/>
              <a:cs typeface="+mn-cs"/>
            </a:rPr>
            <a:t>антидепресанти</a:t>
          </a:r>
          <a:endParaRPr lang="en-US" sz="1400" b="1" kern="1200">
            <a:solidFill>
              <a:sysClr val="windowText" lastClr="000000">
                <a:hueOff val="0"/>
                <a:satOff val="0"/>
                <a:lumOff val="0"/>
                <a:alphaOff val="0"/>
              </a:sysClr>
            </a:solidFill>
            <a:latin typeface="Calibri"/>
            <a:ea typeface="+mn-ea"/>
            <a:cs typeface="+mn-cs"/>
          </a:endParaRPr>
        </a:p>
      </dsp:txBody>
      <dsp:txXfrm>
        <a:off x="3422495" y="4194686"/>
        <a:ext cx="1417040" cy="53231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D65074-6C99-564F-9B53-E810AEDC08D4}">
      <dsp:nvSpPr>
        <dsp:cNvPr id="0" name=""/>
        <dsp:cNvSpPr/>
      </dsp:nvSpPr>
      <dsp:spPr>
        <a:xfrm>
          <a:off x="4207576" y="5343538"/>
          <a:ext cx="91440" cy="294889"/>
        </a:xfrm>
        <a:custGeom>
          <a:avLst/>
          <a:gdLst/>
          <a:ahLst/>
          <a:cxnLst/>
          <a:rect l="0" t="0" r="0" b="0"/>
          <a:pathLst>
            <a:path>
              <a:moveTo>
                <a:pt x="45720" y="0"/>
              </a:moveTo>
              <a:lnTo>
                <a:pt x="45720" y="294889"/>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4EE6116-593E-5F41-B6B4-897E4EF389BB}">
      <dsp:nvSpPr>
        <dsp:cNvPr id="0" name=""/>
        <dsp:cNvSpPr/>
      </dsp:nvSpPr>
      <dsp:spPr>
        <a:xfrm>
          <a:off x="4207576" y="4404793"/>
          <a:ext cx="91440" cy="294889"/>
        </a:xfrm>
        <a:custGeom>
          <a:avLst/>
          <a:gdLst/>
          <a:ahLst/>
          <a:cxnLst/>
          <a:rect l="0" t="0" r="0" b="0"/>
          <a:pathLst>
            <a:path>
              <a:moveTo>
                <a:pt x="45720" y="0"/>
              </a:moveTo>
              <a:lnTo>
                <a:pt x="45720" y="294889"/>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05A3CC8-612E-BD4D-93F7-81F8E0B1D183}">
      <dsp:nvSpPr>
        <dsp:cNvPr id="0" name=""/>
        <dsp:cNvSpPr/>
      </dsp:nvSpPr>
      <dsp:spPr>
        <a:xfrm>
          <a:off x="4207576" y="3466049"/>
          <a:ext cx="91440" cy="294889"/>
        </a:xfrm>
        <a:custGeom>
          <a:avLst/>
          <a:gdLst/>
          <a:ahLst/>
          <a:cxnLst/>
          <a:rect l="0" t="0" r="0" b="0"/>
          <a:pathLst>
            <a:path>
              <a:moveTo>
                <a:pt x="45720" y="0"/>
              </a:moveTo>
              <a:lnTo>
                <a:pt x="45720" y="294889"/>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969516A-18EA-754D-8A88-A3ED4CF41BF2}">
      <dsp:nvSpPr>
        <dsp:cNvPr id="0" name=""/>
        <dsp:cNvSpPr/>
      </dsp:nvSpPr>
      <dsp:spPr>
        <a:xfrm>
          <a:off x="4253296" y="2469673"/>
          <a:ext cx="367129" cy="352520"/>
        </a:xfrm>
        <a:custGeom>
          <a:avLst/>
          <a:gdLst/>
          <a:ahLst/>
          <a:cxnLst/>
          <a:rect l="0" t="0" r="0" b="0"/>
          <a:pathLst>
            <a:path>
              <a:moveTo>
                <a:pt x="367129" y="0"/>
              </a:moveTo>
              <a:lnTo>
                <a:pt x="367129" y="258589"/>
              </a:lnTo>
              <a:lnTo>
                <a:pt x="0" y="258589"/>
              </a:lnTo>
              <a:lnTo>
                <a:pt x="0" y="35252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A8A4080-D220-EA48-95E3-906A2F1266EF}">
      <dsp:nvSpPr>
        <dsp:cNvPr id="0" name=""/>
        <dsp:cNvSpPr/>
      </dsp:nvSpPr>
      <dsp:spPr>
        <a:xfrm>
          <a:off x="2887781" y="1546954"/>
          <a:ext cx="1732644" cy="278863"/>
        </a:xfrm>
        <a:custGeom>
          <a:avLst/>
          <a:gdLst/>
          <a:ahLst/>
          <a:cxnLst/>
          <a:rect l="0" t="0" r="0" b="0"/>
          <a:pathLst>
            <a:path>
              <a:moveTo>
                <a:pt x="0" y="0"/>
              </a:moveTo>
              <a:lnTo>
                <a:pt x="0" y="184932"/>
              </a:lnTo>
              <a:lnTo>
                <a:pt x="1732644" y="184932"/>
              </a:lnTo>
              <a:lnTo>
                <a:pt x="1732644" y="278863"/>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CFCB674-CBBB-8646-88BF-D0D94F2B3900}">
      <dsp:nvSpPr>
        <dsp:cNvPr id="0" name=""/>
        <dsp:cNvSpPr/>
      </dsp:nvSpPr>
      <dsp:spPr>
        <a:xfrm>
          <a:off x="1119833" y="6240019"/>
          <a:ext cx="142155" cy="283364"/>
        </a:xfrm>
        <a:custGeom>
          <a:avLst/>
          <a:gdLst/>
          <a:ahLst/>
          <a:cxnLst/>
          <a:rect l="0" t="0" r="0" b="0"/>
          <a:pathLst>
            <a:path>
              <a:moveTo>
                <a:pt x="0" y="0"/>
              </a:moveTo>
              <a:lnTo>
                <a:pt x="0" y="189433"/>
              </a:lnTo>
              <a:lnTo>
                <a:pt x="142155" y="189433"/>
              </a:lnTo>
              <a:lnTo>
                <a:pt x="142155" y="283364"/>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BA3375D-4B1D-6945-B7B3-5C5F93577C6B}">
      <dsp:nvSpPr>
        <dsp:cNvPr id="0" name=""/>
        <dsp:cNvSpPr/>
      </dsp:nvSpPr>
      <dsp:spPr>
        <a:xfrm>
          <a:off x="1024166" y="5316644"/>
          <a:ext cx="91440" cy="279520"/>
        </a:xfrm>
        <a:custGeom>
          <a:avLst/>
          <a:gdLst/>
          <a:ahLst/>
          <a:cxnLst/>
          <a:rect l="0" t="0" r="0" b="0"/>
          <a:pathLst>
            <a:path>
              <a:moveTo>
                <a:pt x="45720" y="0"/>
              </a:moveTo>
              <a:lnTo>
                <a:pt x="45720" y="185589"/>
              </a:lnTo>
              <a:lnTo>
                <a:pt x="95666" y="185589"/>
              </a:lnTo>
              <a:lnTo>
                <a:pt x="95666" y="27952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BE64590-BFDD-114A-818B-B3985987C9D6}">
      <dsp:nvSpPr>
        <dsp:cNvPr id="0" name=""/>
        <dsp:cNvSpPr/>
      </dsp:nvSpPr>
      <dsp:spPr>
        <a:xfrm>
          <a:off x="1024166" y="4366374"/>
          <a:ext cx="91440" cy="306414"/>
        </a:xfrm>
        <a:custGeom>
          <a:avLst/>
          <a:gdLst/>
          <a:ahLst/>
          <a:cxnLst/>
          <a:rect l="0" t="0" r="0" b="0"/>
          <a:pathLst>
            <a:path>
              <a:moveTo>
                <a:pt x="111038" y="0"/>
              </a:moveTo>
              <a:lnTo>
                <a:pt x="111038" y="212483"/>
              </a:lnTo>
              <a:lnTo>
                <a:pt x="45720" y="212483"/>
              </a:lnTo>
              <a:lnTo>
                <a:pt x="45720" y="306414"/>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64C332D-A58C-9440-8D35-C33F42CB1F53}">
      <dsp:nvSpPr>
        <dsp:cNvPr id="0" name=""/>
        <dsp:cNvSpPr/>
      </dsp:nvSpPr>
      <dsp:spPr>
        <a:xfrm>
          <a:off x="1062584" y="3450687"/>
          <a:ext cx="91440" cy="271832"/>
        </a:xfrm>
        <a:custGeom>
          <a:avLst/>
          <a:gdLst/>
          <a:ahLst/>
          <a:cxnLst/>
          <a:rect l="0" t="0" r="0" b="0"/>
          <a:pathLst>
            <a:path>
              <a:moveTo>
                <a:pt x="45720" y="0"/>
              </a:moveTo>
              <a:lnTo>
                <a:pt x="45720" y="177901"/>
              </a:lnTo>
              <a:lnTo>
                <a:pt x="72619" y="177901"/>
              </a:lnTo>
              <a:lnTo>
                <a:pt x="72619" y="27183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A1A0E53-1870-5245-9C8C-32A84BAE32D2}">
      <dsp:nvSpPr>
        <dsp:cNvPr id="0" name=""/>
        <dsp:cNvSpPr/>
      </dsp:nvSpPr>
      <dsp:spPr>
        <a:xfrm>
          <a:off x="993433" y="2523461"/>
          <a:ext cx="91440" cy="283370"/>
        </a:xfrm>
        <a:custGeom>
          <a:avLst/>
          <a:gdLst/>
          <a:ahLst/>
          <a:cxnLst/>
          <a:rect l="0" t="0" r="0" b="0"/>
          <a:pathLst>
            <a:path>
              <a:moveTo>
                <a:pt x="45720" y="0"/>
              </a:moveTo>
              <a:lnTo>
                <a:pt x="45720" y="189439"/>
              </a:lnTo>
              <a:lnTo>
                <a:pt x="114871" y="189439"/>
              </a:lnTo>
              <a:lnTo>
                <a:pt x="114871" y="28337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120071F-5F94-3B48-A361-5660F3DDA044}">
      <dsp:nvSpPr>
        <dsp:cNvPr id="0" name=""/>
        <dsp:cNvSpPr/>
      </dsp:nvSpPr>
      <dsp:spPr>
        <a:xfrm>
          <a:off x="1039153" y="1546954"/>
          <a:ext cx="1848627" cy="332651"/>
        </a:xfrm>
        <a:custGeom>
          <a:avLst/>
          <a:gdLst/>
          <a:ahLst/>
          <a:cxnLst/>
          <a:rect l="0" t="0" r="0" b="0"/>
          <a:pathLst>
            <a:path>
              <a:moveTo>
                <a:pt x="1848627" y="0"/>
              </a:moveTo>
              <a:lnTo>
                <a:pt x="1848627" y="238720"/>
              </a:lnTo>
              <a:lnTo>
                <a:pt x="0" y="238720"/>
              </a:lnTo>
              <a:lnTo>
                <a:pt x="0" y="332651"/>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9BA9CC2-3A60-874C-9FF4-FA9C27C8E0F8}">
      <dsp:nvSpPr>
        <dsp:cNvPr id="0" name=""/>
        <dsp:cNvSpPr/>
      </dsp:nvSpPr>
      <dsp:spPr>
        <a:xfrm>
          <a:off x="-112660" y="683203"/>
          <a:ext cx="6000883" cy="863751"/>
        </a:xfrm>
        <a:prstGeom prst="roundRect">
          <a:avLst>
            <a:gd name="adj" fmla="val 10000"/>
          </a:avLst>
        </a:prstGeom>
        <a:no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sp>
    <dsp:sp modelId="{C4428AB9-9E68-EB47-9108-02F0473F2A64}">
      <dsp:nvSpPr>
        <dsp:cNvPr id="0" name=""/>
        <dsp:cNvSpPr/>
      </dsp:nvSpPr>
      <dsp:spPr>
        <a:xfrm>
          <a:off x="0" y="790230"/>
          <a:ext cx="6000883" cy="863751"/>
        </a:xfrm>
        <a:prstGeom prst="roundRect">
          <a:avLst>
            <a:gd name="adj" fmla="val 10000"/>
          </a:avLst>
        </a:prstGeom>
        <a:solidFill>
          <a:srgbClr val="C0504D">
            <a:lumMod val="75000"/>
            <a:alpha val="90000"/>
          </a:srgbClr>
        </a:solidFill>
        <a:ln w="25400" cap="flat" cmpd="sng" algn="ctr">
          <a:solidFill>
            <a:srgbClr val="4F81BD">
              <a:hueOff val="0"/>
              <a:satOff val="0"/>
              <a:lumOff val="0"/>
              <a:alphaOff val="0"/>
            </a:srgbClr>
          </a:solidFill>
          <a:prstDash val="solid"/>
        </a:ln>
        <a:effectLst/>
        <a:scene3d>
          <a:camera prst="orthographicFront"/>
          <a:lightRig rig="freezing" dir="t"/>
        </a:scene3d>
        <a:sp3d>
          <a:bevelT w="114300" prst="artDeco"/>
          <a:bevelB prst="angle"/>
        </a:sp3d>
      </dsp:spPr>
      <dsp:style>
        <a:lnRef idx="2">
          <a:scrgbClr r="0" g="0" b="0"/>
        </a:lnRef>
        <a:fillRef idx="1">
          <a:scrgbClr r="0" g="0" b="0"/>
        </a:fillRef>
        <a:effectRef idx="0">
          <a:scrgbClr r="0" g="0" b="0"/>
        </a:effectRef>
        <a:fontRef idx="minor"/>
      </dsp:style>
      <dsp:txBody>
        <a:bodyPr spcFirstLastPara="0" vert="horz" wrap="square" lIns="91440" tIns="91440" rIns="91440" bIns="91440" numCol="1" spcCol="1270" anchor="ctr" anchorCtr="0">
          <a:noAutofit/>
        </a:bodyPr>
        <a:lstStyle/>
        <a:p>
          <a:pPr lvl="0" algn="ctr" defTabSz="1066800">
            <a:lnSpc>
              <a:spcPct val="90000"/>
            </a:lnSpc>
            <a:spcBef>
              <a:spcPct val="0"/>
            </a:spcBef>
            <a:spcAft>
              <a:spcPct val="35000"/>
            </a:spcAft>
          </a:pPr>
          <a:r>
            <a:rPr lang="bg-BG" sz="2400" b="1" kern="1200">
              <a:solidFill>
                <a:sysClr val="windowText" lastClr="000000">
                  <a:hueOff val="0"/>
                  <a:satOff val="0"/>
                  <a:lumOff val="0"/>
                  <a:alphaOff val="0"/>
                </a:sysClr>
              </a:solidFill>
              <a:latin typeface="Calibri"/>
              <a:ea typeface="+mn-ea"/>
              <a:cs typeface="+mn-cs"/>
            </a:rPr>
            <a:t>Лечение на кластърно главоболие</a:t>
          </a:r>
          <a:endParaRPr lang="en-US" sz="2400" b="1" kern="1200">
            <a:solidFill>
              <a:sysClr val="windowText" lastClr="000000">
                <a:hueOff val="0"/>
                <a:satOff val="0"/>
                <a:lumOff val="0"/>
                <a:alphaOff val="0"/>
              </a:sysClr>
            </a:solidFill>
            <a:latin typeface="Calibri"/>
            <a:ea typeface="+mn-ea"/>
            <a:cs typeface="+mn-cs"/>
          </a:endParaRPr>
        </a:p>
      </dsp:txBody>
      <dsp:txXfrm>
        <a:off x="25298" y="815528"/>
        <a:ext cx="5950287" cy="813155"/>
      </dsp:txXfrm>
    </dsp:sp>
    <dsp:sp modelId="{7331BCBC-2298-2C45-A14E-F96D4CE0AEE1}">
      <dsp:nvSpPr>
        <dsp:cNvPr id="0" name=""/>
        <dsp:cNvSpPr/>
      </dsp:nvSpPr>
      <dsp:spPr>
        <a:xfrm>
          <a:off x="-97747" y="1879605"/>
          <a:ext cx="2273802" cy="643855"/>
        </a:xfrm>
        <a:prstGeom prst="roundRect">
          <a:avLst>
            <a:gd name="adj" fmla="val 10000"/>
          </a:avLst>
        </a:prstGeom>
        <a:noFill/>
        <a:ln w="25400" cap="flat" cmpd="sng" algn="ctr">
          <a:solidFill>
            <a:sysClr val="window" lastClr="FFFFFF">
              <a:hueOff val="0"/>
              <a:satOff val="0"/>
              <a:lumOff val="0"/>
              <a:alphaOff val="0"/>
            </a:sysClr>
          </a:solidFill>
          <a:prstDash val="solid"/>
        </a:ln>
        <a:effectLst/>
        <a:scene3d>
          <a:camera prst="orthographicFront"/>
          <a:lightRig rig="threePt" dir="t"/>
        </a:scene3d>
        <a:sp3d>
          <a:bevelB/>
        </a:sp3d>
      </dsp:spPr>
      <dsp:style>
        <a:lnRef idx="2">
          <a:scrgbClr r="0" g="0" b="0"/>
        </a:lnRef>
        <a:fillRef idx="1">
          <a:scrgbClr r="0" g="0" b="0"/>
        </a:fillRef>
        <a:effectRef idx="0">
          <a:scrgbClr r="0" g="0" b="0"/>
        </a:effectRef>
        <a:fontRef idx="minor">
          <a:schemeClr val="lt1"/>
        </a:fontRef>
      </dsp:style>
    </dsp:sp>
    <dsp:sp modelId="{E833E200-3643-2748-8EC0-42E5DF2159CC}">
      <dsp:nvSpPr>
        <dsp:cNvPr id="0" name=""/>
        <dsp:cNvSpPr/>
      </dsp:nvSpPr>
      <dsp:spPr>
        <a:xfrm>
          <a:off x="14912" y="1986633"/>
          <a:ext cx="2273802" cy="643855"/>
        </a:xfrm>
        <a:prstGeom prst="roundRect">
          <a:avLst>
            <a:gd name="adj" fmla="val 10000"/>
          </a:avLst>
        </a:prstGeom>
        <a:solidFill>
          <a:srgbClr val="4BACC6">
            <a:lumMod val="60000"/>
            <a:lumOff val="40000"/>
            <a:alpha val="90000"/>
          </a:srgbClr>
        </a:solidFill>
        <a:ln w="25400" cap="flat" cmpd="sng" algn="ctr">
          <a:solidFill>
            <a:srgbClr val="4F81BD">
              <a:hueOff val="0"/>
              <a:satOff val="0"/>
              <a:lumOff val="0"/>
              <a:alphaOff val="0"/>
            </a:srgbClr>
          </a:solidFill>
          <a:prstDash val="solid"/>
        </a:ln>
        <a:effectLst/>
        <a:scene3d>
          <a:camera prst="orthographicFront"/>
          <a:lightRig rig="threePt" dir="t">
            <a:rot lat="0" lon="0" rev="3600000"/>
          </a:lightRig>
        </a:scene3d>
        <a:sp3d>
          <a:bevelB/>
        </a:sp3d>
      </dsp:spPr>
      <dsp:style>
        <a:lnRef idx="2">
          <a:scrgbClr r="0" g="0" b="0"/>
        </a:lnRef>
        <a:fillRef idx="1">
          <a:scrgbClr r="0" g="0" b="0"/>
        </a:fillRef>
        <a:effectRef idx="0">
          <a:scrgbClr r="0" g="0" b="0"/>
        </a:effectRef>
        <a:fontRef idx="minor"/>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bg-BG" sz="2000" b="1" kern="1200">
              <a:solidFill>
                <a:sysClr val="windowText" lastClr="000000">
                  <a:hueOff val="0"/>
                  <a:satOff val="0"/>
                  <a:lumOff val="0"/>
                  <a:alphaOff val="0"/>
                </a:sysClr>
              </a:solidFill>
              <a:latin typeface="Calibri"/>
              <a:ea typeface="+mn-ea"/>
              <a:cs typeface="+mn-cs"/>
            </a:rPr>
            <a:t>Лечение на пристъпи </a:t>
          </a:r>
          <a:endParaRPr lang="en-US" sz="2000" b="1" kern="1200">
            <a:solidFill>
              <a:sysClr val="windowText" lastClr="000000">
                <a:hueOff val="0"/>
                <a:satOff val="0"/>
                <a:lumOff val="0"/>
                <a:alphaOff val="0"/>
              </a:sysClr>
            </a:solidFill>
            <a:latin typeface="Calibri"/>
            <a:ea typeface="+mn-ea"/>
            <a:cs typeface="+mn-cs"/>
          </a:endParaRPr>
        </a:p>
      </dsp:txBody>
      <dsp:txXfrm>
        <a:off x="33770" y="2005491"/>
        <a:ext cx="2236086" cy="606139"/>
      </dsp:txXfrm>
    </dsp:sp>
    <dsp:sp modelId="{B620D381-F1EB-974B-97A0-1C68B18F1208}">
      <dsp:nvSpPr>
        <dsp:cNvPr id="0" name=""/>
        <dsp:cNvSpPr/>
      </dsp:nvSpPr>
      <dsp:spPr>
        <a:xfrm>
          <a:off x="-93448" y="2806831"/>
          <a:ext cx="2403506" cy="643855"/>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9E420810-3C7F-B14D-BB9D-8BB0447E27CD}">
      <dsp:nvSpPr>
        <dsp:cNvPr id="0" name=""/>
        <dsp:cNvSpPr/>
      </dsp:nvSpPr>
      <dsp:spPr>
        <a:xfrm>
          <a:off x="19211" y="2913859"/>
          <a:ext cx="2403506" cy="643855"/>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bg-BG" sz="1600" b="1" kern="1200">
              <a:solidFill>
                <a:sysClr val="windowText" lastClr="000000">
                  <a:hueOff val="0"/>
                  <a:satOff val="0"/>
                  <a:lumOff val="0"/>
                  <a:alphaOff val="0"/>
                </a:sysClr>
              </a:solidFill>
              <a:latin typeface="Calibri"/>
              <a:ea typeface="+mn-ea"/>
              <a:cs typeface="+mn-cs"/>
            </a:rPr>
            <a:t>инхалация на кислород</a:t>
          </a:r>
          <a:endParaRPr lang="en-US" sz="1600" b="1" kern="1200">
            <a:solidFill>
              <a:sysClr val="windowText" lastClr="000000">
                <a:hueOff val="0"/>
                <a:satOff val="0"/>
                <a:lumOff val="0"/>
                <a:alphaOff val="0"/>
              </a:sysClr>
            </a:solidFill>
            <a:latin typeface="Calibri"/>
            <a:ea typeface="+mn-ea"/>
            <a:cs typeface="+mn-cs"/>
          </a:endParaRPr>
        </a:p>
      </dsp:txBody>
      <dsp:txXfrm>
        <a:off x="38069" y="2932717"/>
        <a:ext cx="2365790" cy="606139"/>
      </dsp:txXfrm>
    </dsp:sp>
    <dsp:sp modelId="{4353F7D0-97DE-D449-85ED-3B06A08ED747}">
      <dsp:nvSpPr>
        <dsp:cNvPr id="0" name=""/>
        <dsp:cNvSpPr/>
      </dsp:nvSpPr>
      <dsp:spPr>
        <a:xfrm>
          <a:off x="-33641" y="3722519"/>
          <a:ext cx="2337691" cy="643855"/>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FD35DDF3-2954-5A40-AC94-0142FF6B26DA}">
      <dsp:nvSpPr>
        <dsp:cNvPr id="0" name=""/>
        <dsp:cNvSpPr/>
      </dsp:nvSpPr>
      <dsp:spPr>
        <a:xfrm>
          <a:off x="79019" y="3829547"/>
          <a:ext cx="2337691" cy="643855"/>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bg-BG" sz="2000" b="0" kern="1200">
              <a:solidFill>
                <a:sysClr val="windowText" lastClr="000000">
                  <a:hueOff val="0"/>
                  <a:satOff val="0"/>
                  <a:lumOff val="0"/>
                  <a:alphaOff val="0"/>
                </a:sysClr>
              </a:solidFill>
              <a:latin typeface="Calibri"/>
              <a:ea typeface="+mn-ea"/>
              <a:cs typeface="+mn-cs"/>
            </a:rPr>
            <a:t>кортикостероиди</a:t>
          </a:r>
          <a:endParaRPr lang="en-US" sz="2000" b="0" kern="1200">
            <a:solidFill>
              <a:sysClr val="windowText" lastClr="000000">
                <a:hueOff val="0"/>
                <a:satOff val="0"/>
                <a:lumOff val="0"/>
                <a:alphaOff val="0"/>
              </a:sysClr>
            </a:solidFill>
            <a:latin typeface="Calibri"/>
            <a:ea typeface="+mn-ea"/>
            <a:cs typeface="+mn-cs"/>
          </a:endParaRPr>
        </a:p>
      </dsp:txBody>
      <dsp:txXfrm>
        <a:off x="97877" y="3848405"/>
        <a:ext cx="2299975" cy="606139"/>
      </dsp:txXfrm>
    </dsp:sp>
    <dsp:sp modelId="{52FF3DE4-1803-634B-B9B3-E20F5C1DD9D2}">
      <dsp:nvSpPr>
        <dsp:cNvPr id="0" name=""/>
        <dsp:cNvSpPr/>
      </dsp:nvSpPr>
      <dsp:spPr>
        <a:xfrm>
          <a:off x="-85742" y="4672789"/>
          <a:ext cx="2311258" cy="643855"/>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DA195395-64A2-6242-BD56-37FCF05CCB5E}">
      <dsp:nvSpPr>
        <dsp:cNvPr id="0" name=""/>
        <dsp:cNvSpPr/>
      </dsp:nvSpPr>
      <dsp:spPr>
        <a:xfrm>
          <a:off x="26917" y="4779816"/>
          <a:ext cx="2311258" cy="643855"/>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bg-BG" sz="1700" kern="1200">
              <a:solidFill>
                <a:sysClr val="windowText" lastClr="000000">
                  <a:hueOff val="0"/>
                  <a:satOff val="0"/>
                  <a:lumOff val="0"/>
                  <a:alphaOff val="0"/>
                </a:sysClr>
              </a:solidFill>
              <a:latin typeface="Calibri"/>
              <a:ea typeface="+mn-ea"/>
              <a:cs typeface="+mn-cs"/>
            </a:rPr>
            <a:t>триптани</a:t>
          </a:r>
          <a:endParaRPr lang="en-US" sz="1700" kern="1200">
            <a:solidFill>
              <a:sysClr val="windowText" lastClr="000000">
                <a:hueOff val="0"/>
                <a:satOff val="0"/>
                <a:lumOff val="0"/>
                <a:alphaOff val="0"/>
              </a:sysClr>
            </a:solidFill>
            <a:latin typeface="Calibri"/>
            <a:ea typeface="+mn-ea"/>
            <a:cs typeface="+mn-cs"/>
          </a:endParaRPr>
        </a:p>
      </dsp:txBody>
      <dsp:txXfrm>
        <a:off x="45775" y="4798674"/>
        <a:ext cx="2273542" cy="606139"/>
      </dsp:txXfrm>
    </dsp:sp>
    <dsp:sp modelId="{A6C03FED-84E5-D048-B70A-326E7667957B}">
      <dsp:nvSpPr>
        <dsp:cNvPr id="0" name=""/>
        <dsp:cNvSpPr/>
      </dsp:nvSpPr>
      <dsp:spPr>
        <a:xfrm>
          <a:off x="47038" y="5596164"/>
          <a:ext cx="2145589" cy="643855"/>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BE30D8CD-4135-BF47-8DA0-98334A86CEF5}">
      <dsp:nvSpPr>
        <dsp:cNvPr id="0" name=""/>
        <dsp:cNvSpPr/>
      </dsp:nvSpPr>
      <dsp:spPr>
        <a:xfrm>
          <a:off x="159699" y="5703192"/>
          <a:ext cx="2145589" cy="643855"/>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bg-BG" sz="1700" kern="1200">
              <a:solidFill>
                <a:sysClr val="windowText" lastClr="000000">
                  <a:hueOff val="0"/>
                  <a:satOff val="0"/>
                  <a:lumOff val="0"/>
                  <a:alphaOff val="0"/>
                </a:sysClr>
              </a:solidFill>
              <a:latin typeface="Calibri"/>
              <a:ea typeface="+mn-ea"/>
              <a:cs typeface="+mn-cs"/>
            </a:rPr>
            <a:t>ерготамини</a:t>
          </a:r>
          <a:endParaRPr lang="en-US" sz="1700" kern="1200">
            <a:solidFill>
              <a:sysClr val="windowText" lastClr="000000">
                <a:hueOff val="0"/>
                <a:satOff val="0"/>
                <a:lumOff val="0"/>
                <a:alphaOff val="0"/>
              </a:sysClr>
            </a:solidFill>
            <a:latin typeface="Calibri"/>
            <a:ea typeface="+mn-ea"/>
            <a:cs typeface="+mn-cs"/>
          </a:endParaRPr>
        </a:p>
      </dsp:txBody>
      <dsp:txXfrm>
        <a:off x="178557" y="5722050"/>
        <a:ext cx="2107873" cy="606139"/>
      </dsp:txXfrm>
    </dsp:sp>
    <dsp:sp modelId="{C4FDF9FA-C4AD-D145-B151-FA110F19735B}">
      <dsp:nvSpPr>
        <dsp:cNvPr id="0" name=""/>
        <dsp:cNvSpPr/>
      </dsp:nvSpPr>
      <dsp:spPr>
        <a:xfrm>
          <a:off x="47028" y="6523384"/>
          <a:ext cx="2429920" cy="1087291"/>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03F0DCFE-4A6F-BC40-A452-7181F9AB1820}">
      <dsp:nvSpPr>
        <dsp:cNvPr id="0" name=""/>
        <dsp:cNvSpPr/>
      </dsp:nvSpPr>
      <dsp:spPr>
        <a:xfrm>
          <a:off x="159688" y="6630411"/>
          <a:ext cx="2429920" cy="1087291"/>
        </a:xfrm>
        <a:prstGeom prst="roundRect">
          <a:avLst>
            <a:gd name="adj" fmla="val 10000"/>
          </a:avLst>
        </a:prstGeom>
        <a:solidFill>
          <a:srgbClr val="4F81BD">
            <a:lumMod val="20000"/>
            <a:lumOff val="8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0" tIns="76200" rIns="76200" bIns="76200" numCol="1" spcCol="1270" anchor="ctr" anchorCtr="0">
          <a:noAutofit/>
        </a:bodyPr>
        <a:lstStyle/>
        <a:p>
          <a:pPr lvl="0" algn="ctr" defTabSz="889000">
            <a:lnSpc>
              <a:spcPct val="90000"/>
            </a:lnSpc>
            <a:spcBef>
              <a:spcPct val="0"/>
            </a:spcBef>
            <a:spcAft>
              <a:spcPct val="35000"/>
            </a:spcAft>
          </a:pPr>
          <a:r>
            <a:rPr lang="bg-BG" sz="2000" kern="1200">
              <a:solidFill>
                <a:sysClr val="windowText" lastClr="000000">
                  <a:hueOff val="0"/>
                  <a:satOff val="0"/>
                  <a:lumOff val="0"/>
                  <a:alphaOff val="0"/>
                </a:sysClr>
              </a:solidFill>
              <a:latin typeface="Calibri"/>
              <a:ea typeface="+mn-ea"/>
              <a:cs typeface="+mn-cs"/>
            </a:rPr>
            <a:t>локални анестетици</a:t>
          </a:r>
        </a:p>
        <a:p>
          <a:pPr lvl="0" algn="ctr" defTabSz="889000">
            <a:lnSpc>
              <a:spcPct val="90000"/>
            </a:lnSpc>
            <a:spcBef>
              <a:spcPct val="0"/>
            </a:spcBef>
            <a:spcAft>
              <a:spcPct val="35000"/>
            </a:spcAft>
          </a:pPr>
          <a:r>
            <a:rPr lang="en-US" sz="1200" kern="1200">
              <a:solidFill>
                <a:sysClr val="windowText" lastClr="000000">
                  <a:hueOff val="0"/>
                  <a:satOff val="0"/>
                  <a:lumOff val="0"/>
                  <a:alphaOff val="0"/>
                </a:sysClr>
              </a:solidFill>
              <a:latin typeface="Calibri"/>
              <a:ea typeface="+mn-ea"/>
              <a:cs typeface="+mn-cs"/>
            </a:rPr>
            <a:t>Lidocaine</a:t>
          </a:r>
        </a:p>
        <a:p>
          <a:pPr lvl="0" algn="ctr" defTabSz="889000">
            <a:lnSpc>
              <a:spcPct val="90000"/>
            </a:lnSpc>
            <a:spcBef>
              <a:spcPct val="0"/>
            </a:spcBef>
            <a:spcAft>
              <a:spcPct val="35000"/>
            </a:spcAft>
          </a:pPr>
          <a:r>
            <a:rPr lang="en-US" sz="1200" kern="1200">
              <a:solidFill>
                <a:sysClr val="windowText" lastClr="000000">
                  <a:hueOff val="0"/>
                  <a:satOff val="0"/>
                  <a:lumOff val="0"/>
                  <a:alphaOff val="0"/>
                </a:sysClr>
              </a:solidFill>
              <a:latin typeface="Calibri"/>
              <a:ea typeface="+mn-ea"/>
              <a:cs typeface="+mn-cs"/>
            </a:rPr>
            <a:t>Cocaine</a:t>
          </a:r>
          <a:endParaRPr lang="bg-BG" sz="1200" kern="1200">
            <a:solidFill>
              <a:sysClr val="windowText" lastClr="000000">
                <a:hueOff val="0"/>
                <a:satOff val="0"/>
                <a:lumOff val="0"/>
                <a:alphaOff val="0"/>
              </a:sysClr>
            </a:solidFill>
            <a:latin typeface="Calibri"/>
            <a:ea typeface="+mn-ea"/>
            <a:cs typeface="+mn-cs"/>
          </a:endParaRPr>
        </a:p>
        <a:p>
          <a:pPr lvl="0" algn="ctr" defTabSz="889000">
            <a:lnSpc>
              <a:spcPct val="90000"/>
            </a:lnSpc>
            <a:spcBef>
              <a:spcPct val="0"/>
            </a:spcBef>
            <a:spcAft>
              <a:spcPct val="35000"/>
            </a:spcAft>
          </a:pPr>
          <a:endParaRPr lang="en-US" sz="700" kern="1200">
            <a:solidFill>
              <a:sysClr val="windowText" lastClr="000000">
                <a:hueOff val="0"/>
                <a:satOff val="0"/>
                <a:lumOff val="0"/>
                <a:alphaOff val="0"/>
              </a:sysClr>
            </a:solidFill>
            <a:latin typeface="Calibri"/>
            <a:ea typeface="+mn-ea"/>
            <a:cs typeface="+mn-cs"/>
          </a:endParaRPr>
        </a:p>
      </dsp:txBody>
      <dsp:txXfrm>
        <a:off x="191534" y="6662257"/>
        <a:ext cx="2366228" cy="1023599"/>
      </dsp:txXfrm>
    </dsp:sp>
    <dsp:sp modelId="{B97633CA-7BAC-574A-A138-7735189C2109}">
      <dsp:nvSpPr>
        <dsp:cNvPr id="0" name=""/>
        <dsp:cNvSpPr/>
      </dsp:nvSpPr>
      <dsp:spPr>
        <a:xfrm>
          <a:off x="3452381" y="1825818"/>
          <a:ext cx="2336089" cy="643855"/>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520A290F-77B3-6245-AD17-5CA26C37326B}">
      <dsp:nvSpPr>
        <dsp:cNvPr id="0" name=""/>
        <dsp:cNvSpPr/>
      </dsp:nvSpPr>
      <dsp:spPr>
        <a:xfrm>
          <a:off x="3565041" y="1932845"/>
          <a:ext cx="2336089" cy="643855"/>
        </a:xfrm>
        <a:prstGeom prst="roundRect">
          <a:avLst>
            <a:gd name="adj" fmla="val 10000"/>
          </a:avLst>
        </a:prstGeom>
        <a:solidFill>
          <a:srgbClr val="C0504D">
            <a:alpha val="90000"/>
          </a:srgbClr>
        </a:solidFill>
        <a:ln w="25400" cap="flat" cmpd="sng" algn="ctr">
          <a:solidFill>
            <a:srgbClr val="4F81BD">
              <a:hueOff val="0"/>
              <a:satOff val="0"/>
              <a:lumOff val="0"/>
              <a:alphaOff val="0"/>
            </a:srgbClr>
          </a:solidFill>
          <a:prstDash val="solid"/>
        </a:ln>
        <a:effectLst/>
        <a:scene3d>
          <a:camera prst="orthographicFront"/>
          <a:lightRig rig="threePt" dir="t"/>
        </a:scene3d>
        <a:sp3d>
          <a:bevelT/>
        </a:sp3d>
      </dsp:spPr>
      <dsp:style>
        <a:lnRef idx="2">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lvl="0" algn="ctr" defTabSz="800100">
            <a:lnSpc>
              <a:spcPct val="90000"/>
            </a:lnSpc>
            <a:spcBef>
              <a:spcPct val="0"/>
            </a:spcBef>
            <a:spcAft>
              <a:spcPct val="35000"/>
            </a:spcAft>
          </a:pPr>
          <a:r>
            <a:rPr lang="bg-BG" sz="1800" b="1" kern="1200">
              <a:solidFill>
                <a:sysClr val="windowText" lastClr="000000">
                  <a:hueOff val="0"/>
                  <a:satOff val="0"/>
                  <a:lumOff val="0"/>
                  <a:alphaOff val="0"/>
                </a:sysClr>
              </a:solidFill>
              <a:latin typeface="Calibri"/>
              <a:ea typeface="+mn-ea"/>
              <a:cs typeface="+mn-cs"/>
            </a:rPr>
            <a:t>Профилактично лечение</a:t>
          </a:r>
          <a:endParaRPr lang="en-US" sz="1800" b="1" kern="1200">
            <a:solidFill>
              <a:sysClr val="windowText" lastClr="000000">
                <a:hueOff val="0"/>
                <a:satOff val="0"/>
                <a:lumOff val="0"/>
                <a:alphaOff val="0"/>
              </a:sysClr>
            </a:solidFill>
            <a:latin typeface="Calibri"/>
            <a:ea typeface="+mn-ea"/>
            <a:cs typeface="+mn-cs"/>
          </a:endParaRPr>
        </a:p>
      </dsp:txBody>
      <dsp:txXfrm>
        <a:off x="3583899" y="1951703"/>
        <a:ext cx="2298373" cy="606139"/>
      </dsp:txXfrm>
    </dsp:sp>
    <dsp:sp modelId="{71D5542A-5138-D74D-9CFF-2C435968B515}">
      <dsp:nvSpPr>
        <dsp:cNvPr id="0" name=""/>
        <dsp:cNvSpPr/>
      </dsp:nvSpPr>
      <dsp:spPr>
        <a:xfrm>
          <a:off x="3505030" y="2822194"/>
          <a:ext cx="1496532" cy="643855"/>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7C43C5B1-D2B1-8440-86D1-0CDCAA348B1B}">
      <dsp:nvSpPr>
        <dsp:cNvPr id="0" name=""/>
        <dsp:cNvSpPr/>
      </dsp:nvSpPr>
      <dsp:spPr>
        <a:xfrm>
          <a:off x="3617691" y="2929221"/>
          <a:ext cx="1496532" cy="643855"/>
        </a:xfrm>
        <a:prstGeom prst="roundRect">
          <a:avLst>
            <a:gd name="adj" fmla="val 10000"/>
          </a:avLst>
        </a:prstGeom>
        <a:solidFill>
          <a:srgbClr val="C0504D">
            <a:lumMod val="40000"/>
            <a:lumOff val="6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bg-BG" sz="1200" b="1" kern="1200">
              <a:solidFill>
                <a:sysClr val="windowText" lastClr="000000">
                  <a:hueOff val="0"/>
                  <a:satOff val="0"/>
                  <a:lumOff val="0"/>
                  <a:alphaOff val="0"/>
                </a:sysClr>
              </a:solidFill>
              <a:latin typeface="Calibri"/>
              <a:ea typeface="+mn-ea"/>
              <a:cs typeface="+mn-cs"/>
            </a:rPr>
            <a:t>кортикостероиди</a:t>
          </a:r>
          <a:endParaRPr lang="en-US" sz="1200" b="1" kern="1200">
            <a:solidFill>
              <a:sysClr val="windowText" lastClr="000000">
                <a:hueOff val="0"/>
                <a:satOff val="0"/>
                <a:lumOff val="0"/>
                <a:alphaOff val="0"/>
              </a:sysClr>
            </a:solidFill>
            <a:latin typeface="Calibri"/>
            <a:ea typeface="+mn-ea"/>
            <a:cs typeface="+mn-cs"/>
          </a:endParaRPr>
        </a:p>
      </dsp:txBody>
      <dsp:txXfrm>
        <a:off x="3636549" y="2948079"/>
        <a:ext cx="1458816" cy="606139"/>
      </dsp:txXfrm>
    </dsp:sp>
    <dsp:sp modelId="{9E9749B7-7372-0E40-B353-9849D45EC214}">
      <dsp:nvSpPr>
        <dsp:cNvPr id="0" name=""/>
        <dsp:cNvSpPr/>
      </dsp:nvSpPr>
      <dsp:spPr>
        <a:xfrm>
          <a:off x="3634242" y="3760938"/>
          <a:ext cx="1238108" cy="643855"/>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3279BBFD-6DFC-C44E-B0DA-86A5CD291F1B}">
      <dsp:nvSpPr>
        <dsp:cNvPr id="0" name=""/>
        <dsp:cNvSpPr/>
      </dsp:nvSpPr>
      <dsp:spPr>
        <a:xfrm>
          <a:off x="3746903" y="3867966"/>
          <a:ext cx="1238108" cy="643855"/>
        </a:xfrm>
        <a:prstGeom prst="roundRect">
          <a:avLst>
            <a:gd name="adj" fmla="val 10000"/>
          </a:avLst>
        </a:prstGeom>
        <a:solidFill>
          <a:srgbClr val="C0504D">
            <a:lumMod val="40000"/>
            <a:lumOff val="6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pPr>
          <a:r>
            <a:rPr lang="bg-BG" sz="1050" b="1" kern="1200">
              <a:solidFill>
                <a:sysClr val="windowText" lastClr="000000">
                  <a:hueOff val="0"/>
                  <a:satOff val="0"/>
                  <a:lumOff val="0"/>
                  <a:alphaOff val="0"/>
                </a:sysClr>
              </a:solidFill>
              <a:latin typeface="Calibri"/>
              <a:ea typeface="+mn-ea"/>
              <a:cs typeface="+mn-cs"/>
            </a:rPr>
            <a:t>блокери на калциевите канали</a:t>
          </a:r>
          <a:endParaRPr lang="en-US" sz="1050" b="1" kern="1200">
            <a:solidFill>
              <a:sysClr val="windowText" lastClr="000000">
                <a:hueOff val="0"/>
                <a:satOff val="0"/>
                <a:lumOff val="0"/>
                <a:alphaOff val="0"/>
              </a:sysClr>
            </a:solidFill>
            <a:latin typeface="Calibri"/>
            <a:ea typeface="+mn-ea"/>
            <a:cs typeface="+mn-cs"/>
          </a:endParaRPr>
        </a:p>
      </dsp:txBody>
      <dsp:txXfrm>
        <a:off x="3765761" y="3886824"/>
        <a:ext cx="1200392" cy="606139"/>
      </dsp:txXfrm>
    </dsp:sp>
    <dsp:sp modelId="{3E5DCD30-CE00-BC47-887B-8B8B43F1A72F}">
      <dsp:nvSpPr>
        <dsp:cNvPr id="0" name=""/>
        <dsp:cNvSpPr/>
      </dsp:nvSpPr>
      <dsp:spPr>
        <a:xfrm>
          <a:off x="3552822" y="4699682"/>
          <a:ext cx="1400948" cy="643855"/>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AF65E539-9E19-7643-BDDA-39DC4744BF7A}">
      <dsp:nvSpPr>
        <dsp:cNvPr id="0" name=""/>
        <dsp:cNvSpPr/>
      </dsp:nvSpPr>
      <dsp:spPr>
        <a:xfrm>
          <a:off x="3665483" y="4806710"/>
          <a:ext cx="1400948" cy="643855"/>
        </a:xfrm>
        <a:prstGeom prst="roundRect">
          <a:avLst>
            <a:gd name="adj" fmla="val 10000"/>
          </a:avLst>
        </a:prstGeom>
        <a:solidFill>
          <a:srgbClr val="C0504D">
            <a:lumMod val="40000"/>
            <a:lumOff val="6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bg-BG" sz="1100" b="1" kern="1200">
              <a:solidFill>
                <a:sysClr val="windowText" lastClr="000000">
                  <a:hueOff val="0"/>
                  <a:satOff val="0"/>
                  <a:lumOff val="0"/>
                  <a:alphaOff val="0"/>
                </a:sysClr>
              </a:solidFill>
              <a:latin typeface="Calibri"/>
              <a:ea typeface="+mn-ea"/>
              <a:cs typeface="+mn-cs"/>
            </a:rPr>
            <a:t>антиконвулсанти</a:t>
          </a:r>
          <a:endParaRPr lang="en-US" sz="1100" b="1" kern="1200">
            <a:solidFill>
              <a:sysClr val="windowText" lastClr="000000">
                <a:hueOff val="0"/>
                <a:satOff val="0"/>
                <a:lumOff val="0"/>
                <a:alphaOff val="0"/>
              </a:sysClr>
            </a:solidFill>
            <a:latin typeface="Calibri"/>
            <a:ea typeface="+mn-ea"/>
            <a:cs typeface="+mn-cs"/>
          </a:endParaRPr>
        </a:p>
      </dsp:txBody>
      <dsp:txXfrm>
        <a:off x="3684341" y="4825568"/>
        <a:ext cx="1363232" cy="606139"/>
      </dsp:txXfrm>
    </dsp:sp>
    <dsp:sp modelId="{DE63F242-3D5D-2D4B-95EB-BAAF018A70BD}">
      <dsp:nvSpPr>
        <dsp:cNvPr id="0" name=""/>
        <dsp:cNvSpPr/>
      </dsp:nvSpPr>
      <dsp:spPr>
        <a:xfrm>
          <a:off x="3427651" y="5638427"/>
          <a:ext cx="1651291" cy="643855"/>
        </a:xfrm>
        <a:prstGeom prst="roundRect">
          <a:avLst>
            <a:gd name="adj" fmla="val 10000"/>
          </a:avLst>
        </a:prstGeom>
        <a:no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DBDCFB71-4063-8D4E-B100-E884FE040536}">
      <dsp:nvSpPr>
        <dsp:cNvPr id="0" name=""/>
        <dsp:cNvSpPr/>
      </dsp:nvSpPr>
      <dsp:spPr>
        <a:xfrm>
          <a:off x="3540311" y="5745454"/>
          <a:ext cx="1651291" cy="643855"/>
        </a:xfrm>
        <a:prstGeom prst="roundRect">
          <a:avLst>
            <a:gd name="adj" fmla="val 10000"/>
          </a:avLst>
        </a:prstGeom>
        <a:solidFill>
          <a:srgbClr val="C0504D">
            <a:lumMod val="40000"/>
            <a:lumOff val="60000"/>
            <a:alpha val="90000"/>
          </a:srgb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770" tIns="64770" rIns="64770" bIns="64770" numCol="1" spcCol="1270" anchor="ctr" anchorCtr="0">
          <a:noAutofit/>
        </a:bodyPr>
        <a:lstStyle/>
        <a:p>
          <a:pPr lvl="0" algn="ctr" defTabSz="755650">
            <a:lnSpc>
              <a:spcPct val="90000"/>
            </a:lnSpc>
            <a:spcBef>
              <a:spcPct val="0"/>
            </a:spcBef>
            <a:spcAft>
              <a:spcPct val="35000"/>
            </a:spcAft>
          </a:pPr>
          <a:r>
            <a:rPr lang="en-US" sz="1700" b="0" kern="1200">
              <a:solidFill>
                <a:sysClr val="windowText" lastClr="000000">
                  <a:hueOff val="0"/>
                  <a:satOff val="0"/>
                  <a:lumOff val="0"/>
                  <a:alphaOff val="0"/>
                </a:sysClr>
              </a:solidFill>
              <a:latin typeface="Calibri"/>
              <a:ea typeface="+mn-ea"/>
              <a:cs typeface="+mn-cs"/>
            </a:rPr>
            <a:t>Lithium carbonate</a:t>
          </a:r>
        </a:p>
      </dsp:txBody>
      <dsp:txXfrm>
        <a:off x="3559169" y="5764312"/>
        <a:ext cx="1613575" cy="60613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677098-817C-4ACF-BB1A-DD4FD46DC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1017</Pages>
  <Words>274118</Words>
  <Characters>1717970</Characters>
  <Application>Microsoft Office Word</Application>
  <DocSecurity>0</DocSecurity>
  <Lines>14316</Lines>
  <Paragraphs>3976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Фармако-терапевтични ръководства за лечение на неврологичните заболявания</vt:lpstr>
      <vt:lpstr>Фармако-терапевтични ръководства за лечение на неврологичните заболявания</vt:lpstr>
    </vt:vector>
  </TitlesOfParts>
  <Company>Grizli777</Company>
  <LinksUpToDate>false</LinksUpToDate>
  <CharactersWithSpaces>1988112</CharactersWithSpaces>
  <SharedDoc>false</SharedDoc>
  <HLinks>
    <vt:vector size="198" baseType="variant">
      <vt:variant>
        <vt:i4>6160472</vt:i4>
      </vt:variant>
      <vt:variant>
        <vt:i4>96</vt:i4>
      </vt:variant>
      <vt:variant>
        <vt:i4>0</vt:i4>
      </vt:variant>
      <vt:variant>
        <vt:i4>5</vt:i4>
      </vt:variant>
      <vt:variant>
        <vt:lpwstr>http://omim.org/entry/607704</vt:lpwstr>
      </vt:variant>
      <vt:variant>
        <vt:lpwstr/>
      </vt:variant>
      <vt:variant>
        <vt:i4>5570653</vt:i4>
      </vt:variant>
      <vt:variant>
        <vt:i4>93</vt:i4>
      </vt:variant>
      <vt:variant>
        <vt:i4>0</vt:i4>
      </vt:variant>
      <vt:variant>
        <vt:i4>5</vt:i4>
      </vt:variant>
      <vt:variant>
        <vt:lpwstr>http://omim.org/entry/612900</vt:lpwstr>
      </vt:variant>
      <vt:variant>
        <vt:lpwstr/>
      </vt:variant>
      <vt:variant>
        <vt:i4>3538993</vt:i4>
      </vt:variant>
      <vt:variant>
        <vt:i4>90</vt:i4>
      </vt:variant>
      <vt:variant>
        <vt:i4>0</vt:i4>
      </vt:variant>
      <vt:variant>
        <vt:i4>5</vt:i4>
      </vt:variant>
      <vt:variant>
        <vt:lpwstr>http://neuromuscular.wustl.edu/syncm.html</vt:lpwstr>
      </vt:variant>
      <vt:variant>
        <vt:lpwstr>pomt2ww</vt:lpwstr>
      </vt:variant>
      <vt:variant>
        <vt:i4>2293867</vt:i4>
      </vt:variant>
      <vt:variant>
        <vt:i4>87</vt:i4>
      </vt:variant>
      <vt:variant>
        <vt:i4>0</vt:i4>
      </vt:variant>
      <vt:variant>
        <vt:i4>5</vt:i4>
      </vt:variant>
      <vt:variant>
        <vt:lpwstr>http://neuromuscular.wustl.edu/musdist/lg.html</vt:lpwstr>
      </vt:variant>
      <vt:variant>
        <vt:lpwstr>lg2l#lg2l</vt:lpwstr>
      </vt:variant>
      <vt:variant>
        <vt:i4>5570626</vt:i4>
      </vt:variant>
      <vt:variant>
        <vt:i4>84</vt:i4>
      </vt:variant>
      <vt:variant>
        <vt:i4>0</vt:i4>
      </vt:variant>
      <vt:variant>
        <vt:i4>5</vt:i4>
      </vt:variant>
      <vt:variant>
        <vt:lpwstr>http://neuromuscular.wustl.edu/musdist/lg.html</vt:lpwstr>
      </vt:variant>
      <vt:variant>
        <vt:lpwstr>lg11p13#lg11p13</vt:lpwstr>
      </vt:variant>
      <vt:variant>
        <vt:i4>5570624</vt:i4>
      </vt:variant>
      <vt:variant>
        <vt:i4>81</vt:i4>
      </vt:variant>
      <vt:variant>
        <vt:i4>0</vt:i4>
      </vt:variant>
      <vt:variant>
        <vt:i4>5</vt:i4>
      </vt:variant>
      <vt:variant>
        <vt:lpwstr>http://neuromuscular.wustl.edu/musdist/lg.html</vt:lpwstr>
      </vt:variant>
      <vt:variant>
        <vt:lpwstr>lgpomt1#lgpomt1</vt:lpwstr>
      </vt:variant>
      <vt:variant>
        <vt:i4>2949217</vt:i4>
      </vt:variant>
      <vt:variant>
        <vt:i4>78</vt:i4>
      </vt:variant>
      <vt:variant>
        <vt:i4>0</vt:i4>
      </vt:variant>
      <vt:variant>
        <vt:i4>5</vt:i4>
      </vt:variant>
      <vt:variant>
        <vt:lpwstr>http://neuromuscular.wustl.edu/musdist/lg.html</vt:lpwstr>
      </vt:variant>
      <vt:variant>
        <vt:lpwstr>lgmd1h#lgmd1h</vt:lpwstr>
      </vt:variant>
      <vt:variant>
        <vt:i4>2228321</vt:i4>
      </vt:variant>
      <vt:variant>
        <vt:i4>75</vt:i4>
      </vt:variant>
      <vt:variant>
        <vt:i4>0</vt:i4>
      </vt:variant>
      <vt:variant>
        <vt:i4>5</vt:i4>
      </vt:variant>
      <vt:variant>
        <vt:lpwstr>http://neuromuscular.wustl.edu/musdist/lg.html</vt:lpwstr>
      </vt:variant>
      <vt:variant>
        <vt:lpwstr>lgmd1g#lgmd1g</vt:lpwstr>
      </vt:variant>
      <vt:variant>
        <vt:i4>2097249</vt:i4>
      </vt:variant>
      <vt:variant>
        <vt:i4>72</vt:i4>
      </vt:variant>
      <vt:variant>
        <vt:i4>0</vt:i4>
      </vt:variant>
      <vt:variant>
        <vt:i4>5</vt:i4>
      </vt:variant>
      <vt:variant>
        <vt:lpwstr>http://neuromuscular.wustl.edu/musdist/lg.html</vt:lpwstr>
      </vt:variant>
      <vt:variant>
        <vt:lpwstr>lgmd1e#lgmd1e</vt:lpwstr>
      </vt:variant>
      <vt:variant>
        <vt:i4>2228323</vt:i4>
      </vt:variant>
      <vt:variant>
        <vt:i4>69</vt:i4>
      </vt:variant>
      <vt:variant>
        <vt:i4>0</vt:i4>
      </vt:variant>
      <vt:variant>
        <vt:i4>5</vt:i4>
      </vt:variant>
      <vt:variant>
        <vt:lpwstr>http://neuromuscular.wustl.edu/ataxia/domatax.html</vt:lpwstr>
      </vt:variant>
      <vt:variant>
        <vt:lpwstr>scanla#scanla</vt:lpwstr>
      </vt:variant>
      <vt:variant>
        <vt:i4>1245186</vt:i4>
      </vt:variant>
      <vt:variant>
        <vt:i4>66</vt:i4>
      </vt:variant>
      <vt:variant>
        <vt:i4>0</vt:i4>
      </vt:variant>
      <vt:variant>
        <vt:i4>5</vt:i4>
      </vt:variant>
      <vt:variant>
        <vt:lpwstr>http://neuromuscular.wustl.edu/ataxia/domatax.html</vt:lpwstr>
      </vt:variant>
      <vt:variant>
        <vt:lpwstr>sca11#sca11</vt:lpwstr>
      </vt:variant>
      <vt:variant>
        <vt:i4>1245187</vt:i4>
      </vt:variant>
      <vt:variant>
        <vt:i4>63</vt:i4>
      </vt:variant>
      <vt:variant>
        <vt:i4>0</vt:i4>
      </vt:variant>
      <vt:variant>
        <vt:i4>5</vt:i4>
      </vt:variant>
      <vt:variant>
        <vt:lpwstr>http://neuromuscular.wustl.edu/ataxia/domatax.html</vt:lpwstr>
      </vt:variant>
      <vt:variant>
        <vt:lpwstr>sca10#sca10</vt:lpwstr>
      </vt:variant>
      <vt:variant>
        <vt:i4>1245190</vt:i4>
      </vt:variant>
      <vt:variant>
        <vt:i4>60</vt:i4>
      </vt:variant>
      <vt:variant>
        <vt:i4>0</vt:i4>
      </vt:variant>
      <vt:variant>
        <vt:i4>5</vt:i4>
      </vt:variant>
      <vt:variant>
        <vt:lpwstr>http://neuromuscular.wustl.edu/ataxia/domatax.html</vt:lpwstr>
      </vt:variant>
      <vt:variant>
        <vt:lpwstr>5#5</vt:lpwstr>
      </vt:variant>
      <vt:variant>
        <vt:i4>1245271</vt:i4>
      </vt:variant>
      <vt:variant>
        <vt:i4>57</vt:i4>
      </vt:variant>
      <vt:variant>
        <vt:i4>0</vt:i4>
      </vt:variant>
      <vt:variant>
        <vt:i4>5</vt:i4>
      </vt:variant>
      <vt:variant>
        <vt:lpwstr>http://neuromuscular.wustl.edu/ataxia/domatax.html</vt:lpwstr>
      </vt:variant>
      <vt:variant>
        <vt:lpwstr>mjd#mjd</vt:lpwstr>
      </vt:variant>
      <vt:variant>
        <vt:i4>1245189</vt:i4>
      </vt:variant>
      <vt:variant>
        <vt:i4>54</vt:i4>
      </vt:variant>
      <vt:variant>
        <vt:i4>0</vt:i4>
      </vt:variant>
      <vt:variant>
        <vt:i4>5</vt:i4>
      </vt:variant>
      <vt:variant>
        <vt:lpwstr>http://neuromuscular.wustl.edu/ataxia/domatax.html</vt:lpwstr>
      </vt:variant>
      <vt:variant>
        <vt:lpwstr>ea6#ea6</vt:lpwstr>
      </vt:variant>
      <vt:variant>
        <vt:i4>1245266</vt:i4>
      </vt:variant>
      <vt:variant>
        <vt:i4>51</vt:i4>
      </vt:variant>
      <vt:variant>
        <vt:i4>0</vt:i4>
      </vt:variant>
      <vt:variant>
        <vt:i4>5</vt:i4>
      </vt:variant>
      <vt:variant>
        <vt:lpwstr>http://neuromuscular.wustl.edu/ataxia/domatax.html</vt:lpwstr>
      </vt:variant>
      <vt:variant>
        <vt:lpwstr>drpla#drpla</vt:lpwstr>
      </vt:variant>
      <vt:variant>
        <vt:i4>1245190</vt:i4>
      </vt:variant>
      <vt:variant>
        <vt:i4>48</vt:i4>
      </vt:variant>
      <vt:variant>
        <vt:i4>0</vt:i4>
      </vt:variant>
      <vt:variant>
        <vt:i4>5</vt:i4>
      </vt:variant>
      <vt:variant>
        <vt:lpwstr>http://neuromuscular.wustl.edu/ataxia/domatax.html</vt:lpwstr>
      </vt:variant>
      <vt:variant>
        <vt:lpwstr>5#5</vt:lpwstr>
      </vt:variant>
      <vt:variant>
        <vt:i4>3407989</vt:i4>
      </vt:variant>
      <vt:variant>
        <vt:i4>45</vt:i4>
      </vt:variant>
      <vt:variant>
        <vt:i4>0</vt:i4>
      </vt:variant>
      <vt:variant>
        <vt:i4>5</vt:i4>
      </vt:variant>
      <vt:variant>
        <vt:lpwstr>http://neuromuscular.wustl.edu/ataxia/domatax.html</vt:lpwstr>
      </vt:variant>
      <vt:variant>
        <vt:lpwstr>ea#ea</vt:lpwstr>
      </vt:variant>
      <vt:variant>
        <vt:i4>2293815</vt:i4>
      </vt:variant>
      <vt:variant>
        <vt:i4>42</vt:i4>
      </vt:variant>
      <vt:variant>
        <vt:i4>0</vt:i4>
      </vt:variant>
      <vt:variant>
        <vt:i4>5</vt:i4>
      </vt:variant>
      <vt:variant>
        <vt:lpwstr>http://neuromuscular.wustl.edu/ataxia/domatax.html</vt:lpwstr>
      </vt:variant>
      <vt:variant>
        <vt:lpwstr>scafgf14#scafgf14</vt:lpwstr>
      </vt:variant>
      <vt:variant>
        <vt:i4>1245184</vt:i4>
      </vt:variant>
      <vt:variant>
        <vt:i4>39</vt:i4>
      </vt:variant>
      <vt:variant>
        <vt:i4>0</vt:i4>
      </vt:variant>
      <vt:variant>
        <vt:i4>5</vt:i4>
      </vt:variant>
      <vt:variant>
        <vt:lpwstr>http://neuromuscular.wustl.edu/ataxia/domatax.html</vt:lpwstr>
      </vt:variant>
      <vt:variant>
        <vt:lpwstr>sca23#sca23</vt:lpwstr>
      </vt:variant>
      <vt:variant>
        <vt:i4>1245189</vt:i4>
      </vt:variant>
      <vt:variant>
        <vt:i4>36</vt:i4>
      </vt:variant>
      <vt:variant>
        <vt:i4>0</vt:i4>
      </vt:variant>
      <vt:variant>
        <vt:i4>5</vt:i4>
      </vt:variant>
      <vt:variant>
        <vt:lpwstr>http://neuromuscular.wustl.edu/ataxia/domatax.html</vt:lpwstr>
      </vt:variant>
      <vt:variant>
        <vt:lpwstr>sca16#sca16</vt:lpwstr>
      </vt:variant>
      <vt:variant>
        <vt:i4>1245190</vt:i4>
      </vt:variant>
      <vt:variant>
        <vt:i4>33</vt:i4>
      </vt:variant>
      <vt:variant>
        <vt:i4>0</vt:i4>
      </vt:variant>
      <vt:variant>
        <vt:i4>5</vt:i4>
      </vt:variant>
      <vt:variant>
        <vt:lpwstr>http://neuromuscular.wustl.edu/ataxia/domatax.html</vt:lpwstr>
      </vt:variant>
      <vt:variant>
        <vt:lpwstr>sca15#sca15</vt:lpwstr>
      </vt:variant>
      <vt:variant>
        <vt:i4>1245185</vt:i4>
      </vt:variant>
      <vt:variant>
        <vt:i4>30</vt:i4>
      </vt:variant>
      <vt:variant>
        <vt:i4>0</vt:i4>
      </vt:variant>
      <vt:variant>
        <vt:i4>5</vt:i4>
      </vt:variant>
      <vt:variant>
        <vt:lpwstr>http://neuromuscular.wustl.edu/ataxia/domatax.html</vt:lpwstr>
      </vt:variant>
      <vt:variant>
        <vt:lpwstr>sca12#sca12</vt:lpwstr>
      </vt:variant>
      <vt:variant>
        <vt:i4>1245190</vt:i4>
      </vt:variant>
      <vt:variant>
        <vt:i4>27</vt:i4>
      </vt:variant>
      <vt:variant>
        <vt:i4>0</vt:i4>
      </vt:variant>
      <vt:variant>
        <vt:i4>5</vt:i4>
      </vt:variant>
      <vt:variant>
        <vt:lpwstr>http://neuromuscular.wustl.edu/ataxia/domatax.html</vt:lpwstr>
      </vt:variant>
      <vt:variant>
        <vt:lpwstr>5#5</vt:lpwstr>
      </vt:variant>
      <vt:variant>
        <vt:i4>1245266</vt:i4>
      </vt:variant>
      <vt:variant>
        <vt:i4>24</vt:i4>
      </vt:variant>
      <vt:variant>
        <vt:i4>0</vt:i4>
      </vt:variant>
      <vt:variant>
        <vt:i4>5</vt:i4>
      </vt:variant>
      <vt:variant>
        <vt:lpwstr>http://neuromuscular.wustl.edu/ataxia/domatax.html</vt:lpwstr>
      </vt:variant>
      <vt:variant>
        <vt:lpwstr>drpla#drpla</vt:lpwstr>
      </vt:variant>
      <vt:variant>
        <vt:i4>1245271</vt:i4>
      </vt:variant>
      <vt:variant>
        <vt:i4>21</vt:i4>
      </vt:variant>
      <vt:variant>
        <vt:i4>0</vt:i4>
      </vt:variant>
      <vt:variant>
        <vt:i4>5</vt:i4>
      </vt:variant>
      <vt:variant>
        <vt:lpwstr>http://neuromuscular.wustl.edu/ataxia/domatax.html</vt:lpwstr>
      </vt:variant>
      <vt:variant>
        <vt:lpwstr>mjd#mjd</vt:lpwstr>
      </vt:variant>
      <vt:variant>
        <vt:i4>7340129</vt:i4>
      </vt:variant>
      <vt:variant>
        <vt:i4>18</vt:i4>
      </vt:variant>
      <vt:variant>
        <vt:i4>0</vt:i4>
      </vt:variant>
      <vt:variant>
        <vt:i4>5</vt:i4>
      </vt:variant>
      <vt:variant>
        <vt:lpwstr>http://neuromuscular.wustl.edu/ataxia/domatax.html</vt:lpwstr>
      </vt:variant>
      <vt:variant>
        <vt:lpwstr>sca1#sca1</vt:lpwstr>
      </vt:variant>
      <vt:variant>
        <vt:i4>8257646</vt:i4>
      </vt:variant>
      <vt:variant>
        <vt:i4>15</vt:i4>
      </vt:variant>
      <vt:variant>
        <vt:i4>0</vt:i4>
      </vt:variant>
      <vt:variant>
        <vt:i4>5</vt:i4>
      </vt:variant>
      <vt:variant>
        <vt:lpwstr>http://en.wikipedia.org/wiki/EIF2B5</vt:lpwstr>
      </vt:variant>
      <vt:variant>
        <vt:lpwstr/>
      </vt:variant>
      <vt:variant>
        <vt:i4>8257646</vt:i4>
      </vt:variant>
      <vt:variant>
        <vt:i4>12</vt:i4>
      </vt:variant>
      <vt:variant>
        <vt:i4>0</vt:i4>
      </vt:variant>
      <vt:variant>
        <vt:i4>5</vt:i4>
      </vt:variant>
      <vt:variant>
        <vt:lpwstr>http://en.wikipedia.org/wiki/EIF2B4</vt:lpwstr>
      </vt:variant>
      <vt:variant>
        <vt:lpwstr/>
      </vt:variant>
      <vt:variant>
        <vt:i4>8257646</vt:i4>
      </vt:variant>
      <vt:variant>
        <vt:i4>9</vt:i4>
      </vt:variant>
      <vt:variant>
        <vt:i4>0</vt:i4>
      </vt:variant>
      <vt:variant>
        <vt:i4>5</vt:i4>
      </vt:variant>
      <vt:variant>
        <vt:lpwstr>http://en.wikipedia.org/wiki/EIF2B3</vt:lpwstr>
      </vt:variant>
      <vt:variant>
        <vt:lpwstr/>
      </vt:variant>
      <vt:variant>
        <vt:i4>8257646</vt:i4>
      </vt:variant>
      <vt:variant>
        <vt:i4>6</vt:i4>
      </vt:variant>
      <vt:variant>
        <vt:i4>0</vt:i4>
      </vt:variant>
      <vt:variant>
        <vt:i4>5</vt:i4>
      </vt:variant>
      <vt:variant>
        <vt:lpwstr>http://en.wikipedia.org/wiki/EIF2B2</vt:lpwstr>
      </vt:variant>
      <vt:variant>
        <vt:lpwstr/>
      </vt:variant>
      <vt:variant>
        <vt:i4>8257646</vt:i4>
      </vt:variant>
      <vt:variant>
        <vt:i4>3</vt:i4>
      </vt:variant>
      <vt:variant>
        <vt:i4>0</vt:i4>
      </vt:variant>
      <vt:variant>
        <vt:i4>5</vt:i4>
      </vt:variant>
      <vt:variant>
        <vt:lpwstr>http://en.wikipedia.org/wiki/EIF2B1</vt:lpwstr>
      </vt:variant>
      <vt:variant>
        <vt:lpwstr/>
      </vt:variant>
      <vt:variant>
        <vt:i4>7405583</vt:i4>
      </vt:variant>
      <vt:variant>
        <vt:i4>0</vt:i4>
      </vt:variant>
      <vt:variant>
        <vt:i4>0</vt:i4>
      </vt:variant>
      <vt:variant>
        <vt:i4>5</vt:i4>
      </vt:variant>
      <vt:variant>
        <vt:lpwstr>http://en.wikipedia.org/wiki/ASPA_(gene)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Фармако-терапевтични ръководства за лечение на неврологичните заболявания</dc:title>
  <dc:creator>Ivan Milanov</dc:creator>
  <cp:lastModifiedBy>Office</cp:lastModifiedBy>
  <cp:revision>8</cp:revision>
  <cp:lastPrinted>2024-04-15T10:11:00Z</cp:lastPrinted>
  <dcterms:created xsi:type="dcterms:W3CDTF">2024-04-15T06:43:00Z</dcterms:created>
  <dcterms:modified xsi:type="dcterms:W3CDTF">2024-04-15T10:15:00Z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etDate">
    <vt:lpwstr>2021-05-27T14:17:16Z</vt:lpwstr>
  </property>
  <property fmtid="{D5CDD505-2E9C-101B-9397-08002B2CF9AE}" pid="4" name="MSIP_Label_4929bff8-5b33-42aa-95d2-28f72e792cb0_Method">
    <vt:lpwstr>Standard</vt:lpwstr>
  </property>
  <property fmtid="{D5CDD505-2E9C-101B-9397-08002B2CF9AE}" pid="5" name="MSIP_Label_4929bff8-5b33-42aa-95d2-28f72e792cb0_Name">
    <vt:lpwstr>Internal</vt:lpwstr>
  </property>
  <property fmtid="{D5CDD505-2E9C-101B-9397-08002B2CF9AE}" pid="6" name="MSIP_Label_4929bff8-5b33-42aa-95d2-28f72e792cb0_SiteId">
    <vt:lpwstr>f35a6974-607f-47d4-82d7-ff31d7dc53a5</vt:lpwstr>
  </property>
  <property fmtid="{D5CDD505-2E9C-101B-9397-08002B2CF9AE}" pid="7" name="MSIP_Label_4929bff8-5b33-42aa-95d2-28f72e792cb0_ActionId">
    <vt:lpwstr>28eb368c-83ad-433b-83e6-9ded4ac1b474</vt:lpwstr>
  </property>
  <property fmtid="{D5CDD505-2E9C-101B-9397-08002B2CF9AE}" pid="8" name="MSIP_Label_4929bff8-5b33-42aa-95d2-28f72e792cb0_ContentBits">
    <vt:lpwstr>0</vt:lpwstr>
  </property>
</Properties>
</file>